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55C" w:rsidRPr="00697C03" w:rsidRDefault="002A2B45">
      <w:pPr>
        <w:pStyle w:val="ab"/>
        <w:kinsoku w:val="0"/>
        <w:spacing w:before="0"/>
        <w:ind w:leftChars="700" w:left="2381" w:firstLine="0"/>
        <w:rPr>
          <w:rFonts w:hAnsi="標楷體"/>
          <w:bCs/>
          <w:snapToGrid/>
          <w:spacing w:val="200"/>
          <w:kern w:val="0"/>
          <w:sz w:val="40"/>
        </w:rPr>
      </w:pPr>
      <w:r w:rsidRPr="00697C03">
        <w:rPr>
          <w:rFonts w:hAnsi="標楷體" w:hint="eastAsia"/>
          <w:bCs/>
          <w:snapToGrid/>
          <w:spacing w:val="200"/>
          <w:kern w:val="0"/>
          <w:sz w:val="40"/>
        </w:rPr>
        <w:t xml:space="preserve">  </w:t>
      </w:r>
      <w:r w:rsidR="00EF0394" w:rsidRPr="00697C03">
        <w:rPr>
          <w:rFonts w:hAnsi="標楷體" w:hint="eastAsia"/>
          <w:bCs/>
          <w:snapToGrid/>
          <w:spacing w:val="200"/>
          <w:kern w:val="0"/>
          <w:sz w:val="40"/>
        </w:rPr>
        <w:t>調查報告</w:t>
      </w:r>
    </w:p>
    <w:p w:rsidR="008B555C" w:rsidRPr="00697C03" w:rsidRDefault="00EF0394" w:rsidP="00880C81">
      <w:pPr>
        <w:pStyle w:val="1"/>
        <w:kinsoku/>
        <w:ind w:left="2381" w:hanging="2381"/>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bookmarkStart w:id="23" w:name="_Toc41382863"/>
      <w:r w:rsidRPr="00697C03">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880C81" w:rsidRPr="00697C03">
        <w:rPr>
          <w:rFonts w:hAnsi="標楷體" w:hint="eastAsia"/>
          <w:szCs w:val="32"/>
        </w:rPr>
        <w:t>我國</w:t>
      </w:r>
      <w:r w:rsidR="006F4F07" w:rsidRPr="00697C03">
        <w:rPr>
          <w:rFonts w:hAnsi="標楷體" w:hint="eastAsia"/>
          <w:szCs w:val="32"/>
        </w:rPr>
        <w:t>十二年國教</w:t>
      </w:r>
      <w:r w:rsidR="00880C81" w:rsidRPr="00697C03">
        <w:rPr>
          <w:rFonts w:hAnsi="標楷體" w:hint="eastAsia"/>
          <w:szCs w:val="32"/>
        </w:rPr>
        <w:t>未就學未就業青少年相關教育措施及策略整體現況，含</w:t>
      </w:r>
      <w:r w:rsidR="00880C81" w:rsidRPr="00697C03">
        <w:rPr>
          <w:rFonts w:hint="eastAsia"/>
          <w:noProof/>
        </w:rPr>
        <w:t>教育部國教署針對</w:t>
      </w:r>
      <w:r w:rsidR="001532B3" w:rsidRPr="00697C03">
        <w:rPr>
          <w:rFonts w:hint="eastAsia"/>
          <w:noProof/>
        </w:rPr>
        <w:t>高中</w:t>
      </w:r>
      <w:r w:rsidR="00880C81" w:rsidRPr="00697C03">
        <w:rPr>
          <w:rFonts w:hint="eastAsia"/>
          <w:noProof/>
        </w:rPr>
        <w:t>中離生及</w:t>
      </w:r>
      <w:r w:rsidR="001532B3" w:rsidRPr="00697C03">
        <w:rPr>
          <w:rFonts w:hint="eastAsia"/>
          <w:noProof/>
        </w:rPr>
        <w:t>國中小</w:t>
      </w:r>
      <w:r w:rsidR="00880C81" w:rsidRPr="00697C03">
        <w:rPr>
          <w:rFonts w:hint="eastAsia"/>
          <w:noProof/>
        </w:rPr>
        <w:t>中輟生是否有完善配套措施輔導其生涯適切發展，以避免</w:t>
      </w:r>
      <w:r w:rsidR="00CC7F6D" w:rsidRPr="00697C03">
        <w:rPr>
          <w:rFonts w:hint="eastAsia"/>
          <w:noProof/>
        </w:rPr>
        <w:t>廣義上</w:t>
      </w:r>
      <w:r w:rsidR="00880C81" w:rsidRPr="00697C03">
        <w:rPr>
          <w:rFonts w:hint="eastAsia"/>
          <w:noProof/>
        </w:rPr>
        <w:t>未就學未就業青少年因無法適應社會百態而衍生的治安問題或是違法行為？</w:t>
      </w:r>
      <w:r w:rsidR="00CC7F6D" w:rsidRPr="00697C03">
        <w:rPr>
          <w:rFonts w:hAnsi="標楷體" w:hint="eastAsia"/>
          <w:kern w:val="32"/>
        </w:rPr>
        <w:t>尤其是弱勢學生之協助，</w:t>
      </w:r>
      <w:r w:rsidR="00880C81" w:rsidRPr="00697C03">
        <w:rPr>
          <w:rFonts w:hAnsi="標楷體" w:hint="eastAsia"/>
          <w:kern w:val="32"/>
        </w:rPr>
        <w:t>及</w:t>
      </w:r>
      <w:r w:rsidR="00CE3307" w:rsidRPr="00697C03">
        <w:rPr>
          <w:rFonts w:hAnsi="標楷體" w:hint="eastAsia"/>
          <w:kern w:val="32"/>
        </w:rPr>
        <w:t>教育部青年發展署</w:t>
      </w:r>
      <w:r w:rsidR="0082385C" w:rsidRPr="00697C03">
        <w:rPr>
          <w:rFonts w:hAnsi="標楷體" w:hint="eastAsia"/>
          <w:kern w:val="32"/>
        </w:rPr>
        <w:t>實施</w:t>
      </w:r>
      <w:r w:rsidR="00CE3307" w:rsidRPr="00697C03">
        <w:rPr>
          <w:rFonts w:hAnsi="標楷體" w:hint="eastAsia"/>
          <w:kern w:val="32"/>
        </w:rPr>
        <w:t>「未升學未就業青少年關懷輔助計畫」，其落實與成效為何？實有深入查明之必要案。</w:t>
      </w:r>
      <w:bookmarkEnd w:id="23"/>
      <w:r w:rsidR="00CE3307" w:rsidRPr="00697C03">
        <w:rPr>
          <w:rFonts w:hAnsi="標楷體" w:hint="eastAsia"/>
        </w:rPr>
        <w:t xml:space="preserve"> </w:t>
      </w:r>
    </w:p>
    <w:p w:rsidR="008B555C" w:rsidRPr="00697C03" w:rsidRDefault="00EF0394">
      <w:pPr>
        <w:pStyle w:val="1"/>
        <w:ind w:left="2380" w:hanging="2380"/>
        <w:rPr>
          <w:rFonts w:hAnsi="標楷體"/>
        </w:rPr>
      </w:pPr>
      <w:bookmarkStart w:id="24" w:name="_Toc524895646"/>
      <w:bookmarkStart w:id="25" w:name="_Toc524896192"/>
      <w:bookmarkStart w:id="26" w:name="_Toc524896222"/>
      <w:bookmarkStart w:id="27" w:name="_Toc524902729"/>
      <w:bookmarkStart w:id="28" w:name="_Toc525066145"/>
      <w:bookmarkStart w:id="29" w:name="_Toc525070836"/>
      <w:bookmarkStart w:id="30" w:name="_Toc525938376"/>
      <w:bookmarkStart w:id="31" w:name="_Toc525939224"/>
      <w:bookmarkStart w:id="32" w:name="_Toc525939729"/>
      <w:bookmarkStart w:id="33" w:name="_Toc529218269"/>
      <w:bookmarkStart w:id="34" w:name="_Toc529222686"/>
      <w:bookmarkStart w:id="35" w:name="_Toc529223108"/>
      <w:bookmarkStart w:id="36" w:name="_Toc529223859"/>
      <w:bookmarkStart w:id="37" w:name="_Toc529228262"/>
      <w:bookmarkStart w:id="38" w:name="_Toc2400392"/>
      <w:bookmarkStart w:id="39" w:name="_Toc4316186"/>
      <w:bookmarkStart w:id="40" w:name="_Toc4473327"/>
      <w:bookmarkStart w:id="41" w:name="_Toc69556894"/>
      <w:bookmarkStart w:id="42" w:name="_Toc69556943"/>
      <w:bookmarkStart w:id="43" w:name="_Toc69609817"/>
      <w:bookmarkStart w:id="44" w:name="_Toc70241813"/>
      <w:bookmarkStart w:id="45" w:name="_Toc70242202"/>
      <w:bookmarkStart w:id="46" w:name="_Toc41382882"/>
      <w:r w:rsidRPr="00697C03">
        <w:rPr>
          <w:rFonts w:hAnsi="標楷體" w:hint="eastAsia"/>
        </w:rPr>
        <w:t>調查意見：</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406A77" w:rsidRPr="00697C03" w:rsidRDefault="00406A77" w:rsidP="00406A77">
      <w:pPr>
        <w:pStyle w:val="10"/>
        <w:kinsoku/>
        <w:ind w:left="680" w:firstLine="680"/>
        <w:rPr>
          <w:rFonts w:hAnsi="標楷體"/>
        </w:rPr>
      </w:pPr>
      <w:bookmarkStart w:id="47" w:name="_Toc524902730"/>
      <w:bookmarkStart w:id="48" w:name="_Toc525066147"/>
      <w:bookmarkStart w:id="49" w:name="_Toc525070838"/>
      <w:bookmarkStart w:id="50" w:name="_Toc525938378"/>
      <w:bookmarkStart w:id="51" w:name="_Toc525939226"/>
      <w:bookmarkStart w:id="52" w:name="_Toc525939731"/>
      <w:bookmarkStart w:id="53" w:name="_Toc529218271"/>
      <w:bookmarkStart w:id="54" w:name="_Toc529222688"/>
      <w:bookmarkStart w:id="55" w:name="_Toc529223110"/>
      <w:bookmarkStart w:id="56" w:name="_Toc529223861"/>
      <w:bookmarkStart w:id="57" w:name="_Toc529228264"/>
      <w:bookmarkStart w:id="58" w:name="_Toc2400394"/>
      <w:bookmarkStart w:id="59" w:name="_Toc4316188"/>
      <w:bookmarkStart w:id="60" w:name="_Toc4473329"/>
      <w:bookmarkStart w:id="61" w:name="_Toc69556896"/>
      <w:bookmarkStart w:id="62" w:name="_Toc69556945"/>
      <w:bookmarkStart w:id="63" w:name="_Toc69609819"/>
      <w:r w:rsidRPr="00697C03">
        <w:rPr>
          <w:rFonts w:hAnsi="標楷體" w:hint="eastAsia"/>
        </w:rPr>
        <w:t>教育係國家人才之投資，國民教育階段更為一切教育階段發展之基礎、國民素質之長期投資，世界各國無不致力於各級教育體制之改革及品質優化提升，人才資本係國家競爭力之重要發展資源，尤以國民教育措施牽動各方發展，</w:t>
      </w:r>
      <w:r w:rsidR="001F6FD9" w:rsidRPr="00697C03">
        <w:rPr>
          <w:rFonts w:hAnsi="標楷體" w:hint="eastAsia"/>
        </w:rPr>
        <w:t>期</w:t>
      </w:r>
      <w:r w:rsidRPr="00697C03">
        <w:rPr>
          <w:rFonts w:hAnsi="標楷體" w:hint="eastAsia"/>
        </w:rPr>
        <w:t>厚植國家競爭力，政府</w:t>
      </w:r>
      <w:r w:rsidR="00CD37FC" w:rsidRPr="00697C03">
        <w:rPr>
          <w:rFonts w:hAnsi="標楷體" w:hint="eastAsia"/>
        </w:rPr>
        <w:t>應</w:t>
      </w:r>
      <w:r w:rsidRPr="00697C03">
        <w:rPr>
          <w:rFonts w:hAnsi="標楷體" w:hint="eastAsia"/>
        </w:rPr>
        <w:t>責無旁貸。</w:t>
      </w:r>
    </w:p>
    <w:p w:rsidR="00406A77" w:rsidRPr="00697C03" w:rsidRDefault="00406A77" w:rsidP="00406A77">
      <w:pPr>
        <w:pStyle w:val="10"/>
        <w:kinsoku/>
        <w:ind w:left="680" w:firstLine="680"/>
        <w:rPr>
          <w:rFonts w:hAnsi="標楷體"/>
        </w:rPr>
      </w:pPr>
      <w:r w:rsidRPr="00697C03">
        <w:rPr>
          <w:rFonts w:hAnsi="標楷體" w:hint="eastAsia"/>
          <w:bCs/>
          <w:szCs w:val="52"/>
        </w:rPr>
        <w:t>按高級中等教育法規定，</w:t>
      </w:r>
      <w:r w:rsidR="006F62C8" w:rsidRPr="00697C03">
        <w:rPr>
          <w:rFonts w:hAnsi="標楷體" w:hint="eastAsia"/>
          <w:bCs/>
          <w:szCs w:val="52"/>
        </w:rPr>
        <w:t>我國</w:t>
      </w:r>
      <w:r w:rsidR="00C450EA" w:rsidRPr="00697C03">
        <w:rPr>
          <w:rFonts w:hAnsi="標楷體" w:hint="eastAsia"/>
          <w:bCs/>
          <w:szCs w:val="52"/>
        </w:rPr>
        <w:t>於</w:t>
      </w:r>
      <w:r w:rsidRPr="00697C03">
        <w:rPr>
          <w:rFonts w:hAnsi="標楷體" w:hint="eastAsia"/>
        </w:rPr>
        <w:t>民國（下同）103年全面實施十二年國民基本教育</w:t>
      </w:r>
      <w:r w:rsidR="004B5156" w:rsidRPr="00697C03">
        <w:rPr>
          <w:rStyle w:val="aff0"/>
          <w:rFonts w:hAnsi="標楷體"/>
        </w:rPr>
        <w:footnoteReference w:id="1"/>
      </w:r>
      <w:r w:rsidR="004B5156" w:rsidRPr="00697C03">
        <w:rPr>
          <w:rFonts w:hAnsi="標楷體" w:hint="eastAsia"/>
        </w:rPr>
        <w:t xml:space="preserve"> </w:t>
      </w:r>
      <w:r w:rsidR="0079236E" w:rsidRPr="00697C03">
        <w:rPr>
          <w:rFonts w:hAnsi="標楷體" w:hint="eastAsia"/>
        </w:rPr>
        <w:t>（</w:t>
      </w:r>
      <w:r w:rsidR="007966F8" w:rsidRPr="00697C03">
        <w:rPr>
          <w:rFonts w:hAnsi="標楷體" w:hint="eastAsia"/>
        </w:rPr>
        <w:t>或稱</w:t>
      </w:r>
      <w:r w:rsidRPr="00697C03">
        <w:rPr>
          <w:rFonts w:hAnsi="標楷體" w:hint="eastAsia"/>
        </w:rPr>
        <w:t>十二年國教</w:t>
      </w:r>
      <w:r w:rsidR="0079236E" w:rsidRPr="00697C03">
        <w:rPr>
          <w:rFonts w:hAnsi="標楷體" w:hint="eastAsia"/>
        </w:rPr>
        <w:t>）</w:t>
      </w:r>
      <w:r w:rsidRPr="00697C03">
        <w:rPr>
          <w:rFonts w:hAnsi="標楷體" w:hint="eastAsia"/>
        </w:rPr>
        <w:t>，</w:t>
      </w:r>
      <w:r w:rsidR="00313EA8" w:rsidRPr="00697C03">
        <w:rPr>
          <w:rFonts w:hAnsi="標楷體" w:hint="eastAsia"/>
          <w:bCs/>
          <w:szCs w:val="52"/>
        </w:rPr>
        <w:t>其基本精神</w:t>
      </w:r>
      <w:r w:rsidRPr="00697C03">
        <w:rPr>
          <w:rFonts w:hAnsi="標楷體" w:hint="eastAsia"/>
          <w:szCs w:val="32"/>
        </w:rPr>
        <w:t>強調因材施教、適性揚才、多元進路等理念，面對不同智能、性向及興趣的學生，能透過不同的課程、教學方式及適性輔導，引導學生瞭解自我性向與興趣，協助其發展多元智能並找到適合自己的進路，以便繼續升學或順利就業；</w:t>
      </w:r>
      <w:r w:rsidRPr="00697C03">
        <w:rPr>
          <w:rFonts w:hAnsi="標楷體" w:hint="eastAsia"/>
          <w:bCs/>
          <w:szCs w:val="52"/>
        </w:rPr>
        <w:t>政策方向包括「普及」、「就近入學」及「免試」為主</w:t>
      </w:r>
      <w:r w:rsidRPr="00697C03">
        <w:rPr>
          <w:rFonts w:hAnsi="標楷體" w:hint="eastAsia"/>
          <w:szCs w:val="32"/>
        </w:rPr>
        <w:t>。</w:t>
      </w:r>
      <w:r w:rsidRPr="00697C03">
        <w:rPr>
          <w:rFonts w:hAnsi="標楷體" w:hint="eastAsia"/>
        </w:rPr>
        <w:t>是以，係在過去「九年國民教育」基礎上，採取五大理念，包括「有教無類」及「因材施教」等，即「面對不同智能、性向及興趣的學生，設置不同性質與類型的學校，透過不同的課程與分組教學方式施</w:t>
      </w:r>
      <w:r w:rsidRPr="00697C03">
        <w:rPr>
          <w:rFonts w:hAnsi="標楷體" w:hint="eastAsia"/>
        </w:rPr>
        <w:lastRenderedPageBreak/>
        <w:t>教」，本於全人教育的精神，以「自發」、「互動」、「共好」（合稱「自動好」），期落實教育目標。</w:t>
      </w:r>
    </w:p>
    <w:p w:rsidR="00406A77" w:rsidRPr="00697C03" w:rsidRDefault="00406A77" w:rsidP="00406A77">
      <w:pPr>
        <w:pStyle w:val="10"/>
        <w:kinsoku/>
        <w:ind w:left="680" w:firstLine="664"/>
        <w:rPr>
          <w:rFonts w:hAnsi="標楷體"/>
          <w:bCs/>
          <w:spacing w:val="-4"/>
          <w:szCs w:val="32"/>
        </w:rPr>
      </w:pPr>
      <w:r w:rsidRPr="00697C03">
        <w:rPr>
          <w:rFonts w:hAnsi="標楷體"/>
          <w:spacing w:val="-4"/>
        </w:rPr>
        <w:t>本案經向教育部、</w:t>
      </w:r>
      <w:r w:rsidRPr="00697C03">
        <w:rPr>
          <w:rFonts w:hAnsi="標楷體" w:hint="eastAsia"/>
          <w:spacing w:val="-4"/>
        </w:rPr>
        <w:t>衛生福利部、勞動部及法務部</w:t>
      </w:r>
      <w:r w:rsidRPr="00697C03">
        <w:rPr>
          <w:rFonts w:hAnsi="標楷體"/>
          <w:spacing w:val="-4"/>
        </w:rPr>
        <w:t>調閱相關</w:t>
      </w:r>
      <w:r w:rsidRPr="00697C03">
        <w:rPr>
          <w:rFonts w:hAnsi="標楷體" w:hint="eastAsia"/>
          <w:spacing w:val="-4"/>
        </w:rPr>
        <w:t>案情</w:t>
      </w:r>
      <w:r w:rsidRPr="00697C03">
        <w:rPr>
          <w:rFonts w:hAnsi="標楷體"/>
          <w:spacing w:val="-4"/>
        </w:rPr>
        <w:t>卷證資料，</w:t>
      </w:r>
      <w:r w:rsidRPr="00697C03">
        <w:rPr>
          <w:rFonts w:hAnsi="標楷體"/>
          <w:bCs/>
          <w:spacing w:val="-4"/>
          <w:szCs w:val="32"/>
        </w:rPr>
        <w:t>又為瞭解</w:t>
      </w:r>
      <w:r w:rsidRPr="00697C03">
        <w:rPr>
          <w:rFonts w:hAnsi="標楷體" w:hint="eastAsia"/>
          <w:bCs/>
          <w:spacing w:val="-4"/>
          <w:szCs w:val="32"/>
        </w:rPr>
        <w:t>整體十二年國教</w:t>
      </w:r>
      <w:r w:rsidR="00D40772" w:rsidRPr="00697C03">
        <w:rPr>
          <w:rFonts w:hAnsi="標楷體" w:hint="eastAsia"/>
          <w:bCs/>
          <w:spacing w:val="-4"/>
          <w:szCs w:val="32"/>
        </w:rPr>
        <w:t>各</w:t>
      </w:r>
      <w:r w:rsidRPr="00697C03">
        <w:rPr>
          <w:rFonts w:hAnsi="標楷體" w:hint="eastAsia"/>
          <w:bCs/>
          <w:spacing w:val="-4"/>
          <w:szCs w:val="32"/>
        </w:rPr>
        <w:t>階段</w:t>
      </w:r>
      <w:r w:rsidR="00C47BEC" w:rsidRPr="00697C03">
        <w:rPr>
          <w:rFonts w:hAnsi="標楷體" w:hint="eastAsia"/>
          <w:bCs/>
          <w:spacing w:val="-4"/>
          <w:szCs w:val="32"/>
        </w:rPr>
        <w:t>學制</w:t>
      </w:r>
      <w:r w:rsidRPr="00697C03">
        <w:rPr>
          <w:rFonts w:hAnsi="標楷體" w:hint="eastAsia"/>
          <w:bCs/>
          <w:spacing w:val="-4"/>
          <w:szCs w:val="32"/>
        </w:rPr>
        <w:t>未升學未就業青少年之整體面貌、</w:t>
      </w:r>
      <w:r w:rsidR="00ED54DF" w:rsidRPr="00697C03">
        <w:rPr>
          <w:rFonts w:hAnsi="標楷體" w:hint="eastAsia"/>
          <w:bCs/>
          <w:spacing w:val="-4"/>
          <w:szCs w:val="32"/>
        </w:rPr>
        <w:t>現況</w:t>
      </w:r>
      <w:r w:rsidRPr="00697C03">
        <w:rPr>
          <w:rFonts w:hAnsi="標楷體" w:hint="eastAsia"/>
          <w:bCs/>
          <w:spacing w:val="-4"/>
          <w:szCs w:val="32"/>
        </w:rPr>
        <w:t>措施及所涉實務困境等情形</w:t>
      </w:r>
      <w:r w:rsidRPr="00697C03">
        <w:rPr>
          <w:rFonts w:hAnsi="標楷體"/>
          <w:bCs/>
          <w:spacing w:val="-4"/>
          <w:szCs w:val="32"/>
        </w:rPr>
        <w:t>，本院</w:t>
      </w:r>
      <w:r w:rsidR="004F7A7A" w:rsidRPr="00697C03">
        <w:rPr>
          <w:rFonts w:hAnsi="標楷體" w:hint="eastAsia"/>
          <w:bCs/>
          <w:spacing w:val="-4"/>
          <w:szCs w:val="32"/>
        </w:rPr>
        <w:t>茲</w:t>
      </w:r>
      <w:r w:rsidRPr="00697C03">
        <w:rPr>
          <w:rFonts w:hAnsi="標楷體"/>
          <w:bCs/>
          <w:spacing w:val="-4"/>
          <w:szCs w:val="32"/>
        </w:rPr>
        <w:t>配合學校開學期程，於</w:t>
      </w:r>
      <w:r w:rsidRPr="00697C03">
        <w:rPr>
          <w:rFonts w:hAnsi="標楷體" w:hint="eastAsia"/>
          <w:bCs/>
          <w:spacing w:val="-4"/>
          <w:szCs w:val="32"/>
        </w:rPr>
        <w:t>109</w:t>
      </w:r>
      <w:r w:rsidRPr="00697C03">
        <w:rPr>
          <w:rFonts w:hAnsi="標楷體"/>
          <w:bCs/>
          <w:spacing w:val="-4"/>
          <w:szCs w:val="32"/>
        </w:rPr>
        <w:t>年</w:t>
      </w:r>
      <w:r w:rsidRPr="00697C03">
        <w:rPr>
          <w:rFonts w:hAnsi="標楷體" w:hint="eastAsia"/>
          <w:bCs/>
          <w:spacing w:val="-4"/>
          <w:szCs w:val="32"/>
        </w:rPr>
        <w:t>2</w:t>
      </w:r>
      <w:r w:rsidRPr="00697C03">
        <w:rPr>
          <w:rFonts w:hAnsi="標楷體"/>
          <w:bCs/>
          <w:spacing w:val="-4"/>
          <w:szCs w:val="32"/>
        </w:rPr>
        <w:t>月</w:t>
      </w:r>
      <w:r w:rsidRPr="00697C03">
        <w:rPr>
          <w:rFonts w:hAnsi="標楷體" w:hint="eastAsia"/>
          <w:bCs/>
          <w:spacing w:val="-4"/>
          <w:szCs w:val="32"/>
        </w:rPr>
        <w:t>27</w:t>
      </w:r>
      <w:r w:rsidRPr="00697C03">
        <w:rPr>
          <w:rFonts w:hAnsi="標楷體"/>
          <w:bCs/>
          <w:spacing w:val="-4"/>
          <w:szCs w:val="32"/>
        </w:rPr>
        <w:t>日</w:t>
      </w:r>
      <w:r w:rsidRPr="00697C03">
        <w:rPr>
          <w:rFonts w:hAnsi="標楷體" w:hint="eastAsia"/>
          <w:bCs/>
          <w:spacing w:val="-4"/>
          <w:szCs w:val="32"/>
        </w:rPr>
        <w:t>及同年3月4日，分別赴南區及北區履勘，由教育部分區邀集高雄市政府教育局、新北市政府教育局及桃園市政府教育局</w:t>
      </w:r>
      <w:r w:rsidR="006F2C31" w:rsidRPr="00697C03">
        <w:rPr>
          <w:rFonts w:hAnsi="標楷體" w:hint="eastAsia"/>
          <w:bCs/>
          <w:spacing w:val="-4"/>
          <w:szCs w:val="32"/>
        </w:rPr>
        <w:t>業務主管相關</w:t>
      </w:r>
      <w:r w:rsidRPr="00697C03">
        <w:rPr>
          <w:rFonts w:hAnsi="標楷體" w:hint="eastAsia"/>
          <w:bCs/>
          <w:spacing w:val="-4"/>
          <w:szCs w:val="32"/>
        </w:rPr>
        <w:t>人員、各區高級中等學校以下</w:t>
      </w:r>
      <w:r w:rsidR="000C2F52" w:rsidRPr="00697C03">
        <w:rPr>
          <w:rFonts w:hAnsi="標楷體" w:hint="eastAsia"/>
          <w:bCs/>
          <w:spacing w:val="-4"/>
          <w:szCs w:val="32"/>
        </w:rPr>
        <w:t>之</w:t>
      </w:r>
      <w:r w:rsidRPr="00697C03">
        <w:rPr>
          <w:rFonts w:hAnsi="標楷體" w:hint="eastAsia"/>
          <w:bCs/>
          <w:spacing w:val="-4"/>
          <w:szCs w:val="32"/>
        </w:rPr>
        <w:t>校方代表及</w:t>
      </w:r>
      <w:r w:rsidR="00446CA4" w:rsidRPr="00697C03">
        <w:rPr>
          <w:rFonts w:hAnsi="標楷體" w:hint="eastAsia"/>
          <w:bCs/>
          <w:spacing w:val="-4"/>
          <w:szCs w:val="32"/>
        </w:rPr>
        <w:t>部分</w:t>
      </w:r>
      <w:r w:rsidRPr="00697C03">
        <w:rPr>
          <w:rFonts w:hAnsi="標楷體" w:hint="eastAsia"/>
          <w:bCs/>
          <w:spacing w:val="-4"/>
          <w:szCs w:val="32"/>
        </w:rPr>
        <w:t>民間中介教育團體等，會同召開履勘會議</w:t>
      </w:r>
      <w:r w:rsidR="00EB339A" w:rsidRPr="00697C03">
        <w:rPr>
          <w:rFonts w:hAnsi="標楷體"/>
          <w:bCs/>
          <w:spacing w:val="-4"/>
          <w:szCs w:val="32"/>
        </w:rPr>
        <w:t>，並聽取簡報、</w:t>
      </w:r>
      <w:r w:rsidR="00EB339A" w:rsidRPr="00697C03">
        <w:rPr>
          <w:rFonts w:hAnsi="標楷體" w:hint="eastAsia"/>
          <w:bCs/>
          <w:spacing w:val="-4"/>
          <w:szCs w:val="32"/>
        </w:rPr>
        <w:t>進行</w:t>
      </w:r>
      <w:r w:rsidRPr="00697C03">
        <w:rPr>
          <w:rFonts w:hAnsi="標楷體"/>
          <w:bCs/>
          <w:spacing w:val="-4"/>
          <w:szCs w:val="32"/>
        </w:rPr>
        <w:t>座談，</w:t>
      </w:r>
      <w:r w:rsidR="009E4210" w:rsidRPr="00697C03">
        <w:rPr>
          <w:rFonts w:hAnsi="標楷體" w:hint="eastAsia"/>
          <w:bCs/>
          <w:spacing w:val="-4"/>
          <w:szCs w:val="32"/>
        </w:rPr>
        <w:t>以</w:t>
      </w:r>
      <w:r w:rsidRPr="00697C03">
        <w:rPr>
          <w:rFonts w:hAnsi="標楷體"/>
          <w:spacing w:val="-4"/>
        </w:rPr>
        <w:t>蒐集實務執行現況與</w:t>
      </w:r>
      <w:r w:rsidR="00060C36" w:rsidRPr="00697C03">
        <w:rPr>
          <w:rFonts w:hAnsi="標楷體" w:hint="eastAsia"/>
          <w:spacing w:val="-4"/>
        </w:rPr>
        <w:t>相關</w:t>
      </w:r>
      <w:r w:rsidRPr="00697C03">
        <w:rPr>
          <w:rFonts w:hAnsi="標楷體"/>
          <w:spacing w:val="-4"/>
        </w:rPr>
        <w:t>困境之第一手資料</w:t>
      </w:r>
      <w:r w:rsidRPr="00697C03">
        <w:rPr>
          <w:rFonts w:hAnsi="標楷體" w:hint="eastAsia"/>
          <w:spacing w:val="-4"/>
        </w:rPr>
        <w:t>；</w:t>
      </w:r>
      <w:r w:rsidR="00A553E9" w:rsidRPr="00697C03">
        <w:rPr>
          <w:rFonts w:hAnsi="標楷體" w:hint="eastAsia"/>
          <w:spacing w:val="-4"/>
        </w:rPr>
        <w:t>又因應疫情相關原則，</w:t>
      </w:r>
      <w:r w:rsidRPr="00697C03">
        <w:rPr>
          <w:rFonts w:hAnsi="標楷體" w:hint="eastAsia"/>
          <w:spacing w:val="-4"/>
        </w:rPr>
        <w:t>其中原定同年2月26</w:t>
      </w:r>
      <w:r w:rsidR="00FE15BF" w:rsidRPr="00697C03">
        <w:rPr>
          <w:rFonts w:hAnsi="標楷體" w:hint="eastAsia"/>
          <w:spacing w:val="-4"/>
        </w:rPr>
        <w:t>日赴</w:t>
      </w:r>
      <w:r w:rsidR="00B277C9" w:rsidRPr="00697C03">
        <w:rPr>
          <w:rFonts w:hAnsi="標楷體" w:hint="eastAsia"/>
          <w:spacing w:val="-4"/>
        </w:rPr>
        <w:t>中區</w:t>
      </w:r>
      <w:r w:rsidR="00F12F42" w:rsidRPr="00697C03">
        <w:rPr>
          <w:rFonts w:hAnsi="標楷體" w:hint="eastAsia"/>
          <w:spacing w:val="-4"/>
        </w:rPr>
        <w:t>訪查，針對臺中市政府及彰化縣政府之履勘暨</w:t>
      </w:r>
      <w:r w:rsidR="006A5287" w:rsidRPr="00697C03">
        <w:rPr>
          <w:rFonts w:hAnsi="標楷體" w:hint="eastAsia"/>
          <w:spacing w:val="-4"/>
        </w:rPr>
        <w:t>簡報</w:t>
      </w:r>
      <w:r w:rsidR="00F12F42" w:rsidRPr="00697C03">
        <w:rPr>
          <w:rFonts w:hAnsi="標楷體" w:hint="eastAsia"/>
          <w:spacing w:val="-4"/>
        </w:rPr>
        <w:t>座談會議，因配合</w:t>
      </w:r>
      <w:r w:rsidRPr="00697C03">
        <w:rPr>
          <w:rFonts w:hAnsi="標楷體" w:hint="eastAsia"/>
          <w:spacing w:val="-4"/>
        </w:rPr>
        <w:t>疫情</w:t>
      </w:r>
      <w:r w:rsidR="00F12F42" w:rsidRPr="00697C03">
        <w:rPr>
          <w:rFonts w:hAnsi="標楷體" w:hint="eastAsia"/>
          <w:spacing w:val="-4"/>
        </w:rPr>
        <w:t>措施</w:t>
      </w:r>
      <w:r w:rsidR="00316034" w:rsidRPr="00697C03">
        <w:rPr>
          <w:rFonts w:hAnsi="標楷體" w:hint="eastAsia"/>
          <w:spacing w:val="-4"/>
        </w:rPr>
        <w:t>取消，惟該二縣市及所轄學校仍</w:t>
      </w:r>
      <w:r w:rsidR="00EC3046" w:rsidRPr="00697C03">
        <w:rPr>
          <w:rFonts w:hAnsi="標楷體" w:hint="eastAsia"/>
          <w:spacing w:val="-4"/>
        </w:rPr>
        <w:t>於會後</w:t>
      </w:r>
      <w:r w:rsidR="00D220FD" w:rsidRPr="00697C03">
        <w:rPr>
          <w:rFonts w:hAnsi="標楷體" w:hint="eastAsia"/>
          <w:spacing w:val="-4"/>
        </w:rPr>
        <w:t>提供</w:t>
      </w:r>
      <w:r w:rsidR="00EC3046" w:rsidRPr="00697C03">
        <w:rPr>
          <w:rFonts w:hAnsi="標楷體" w:hint="eastAsia"/>
          <w:spacing w:val="-4"/>
        </w:rPr>
        <w:t>更新</w:t>
      </w:r>
      <w:r w:rsidR="00D220FD" w:rsidRPr="00697C03">
        <w:rPr>
          <w:rFonts w:hAnsi="標楷體" w:hint="eastAsia"/>
          <w:spacing w:val="-4"/>
        </w:rPr>
        <w:t>說明及</w:t>
      </w:r>
      <w:r w:rsidR="000408C8" w:rsidRPr="00697C03">
        <w:rPr>
          <w:rFonts w:hAnsi="標楷體" w:hint="eastAsia"/>
          <w:spacing w:val="-4"/>
        </w:rPr>
        <w:t>本案</w:t>
      </w:r>
      <w:r w:rsidRPr="00697C03">
        <w:rPr>
          <w:rFonts w:hAnsi="標楷體" w:hint="eastAsia"/>
          <w:bCs/>
          <w:spacing w:val="-4"/>
          <w:szCs w:val="32"/>
        </w:rPr>
        <w:t>相關數據資料</w:t>
      </w:r>
      <w:r w:rsidRPr="00697C03">
        <w:rPr>
          <w:rFonts w:hAnsi="標楷體" w:hint="eastAsia"/>
          <w:spacing w:val="-4"/>
        </w:rPr>
        <w:t>到院</w:t>
      </w:r>
      <w:r w:rsidR="00206A9D" w:rsidRPr="00697C03">
        <w:rPr>
          <w:rFonts w:hAnsi="標楷體" w:hint="eastAsia"/>
          <w:spacing w:val="-4"/>
        </w:rPr>
        <w:t>供參</w:t>
      </w:r>
      <w:r w:rsidRPr="00697C03">
        <w:rPr>
          <w:rFonts w:hAnsi="標楷體"/>
          <w:spacing w:val="-4"/>
        </w:rPr>
        <w:t>。</w:t>
      </w:r>
      <w:r w:rsidR="00A553E9" w:rsidRPr="00697C03">
        <w:rPr>
          <w:rFonts w:hAnsi="標楷體" w:hint="eastAsia"/>
          <w:spacing w:val="-4"/>
        </w:rPr>
        <w:t>爰</w:t>
      </w:r>
      <w:r w:rsidRPr="00697C03">
        <w:rPr>
          <w:rFonts w:hAnsi="標楷體" w:hint="eastAsia"/>
          <w:spacing w:val="-4"/>
        </w:rPr>
        <w:t>本案總計彙整相關簡報或說明資料者計有教育部、新北市政府等5地方縣市政府</w:t>
      </w:r>
      <w:r w:rsidRPr="00697C03">
        <w:rPr>
          <w:rFonts w:hAnsi="標楷體"/>
          <w:bCs/>
          <w:spacing w:val="-4"/>
          <w:szCs w:val="32"/>
        </w:rPr>
        <w:t>，</w:t>
      </w:r>
      <w:r w:rsidRPr="00697C03">
        <w:rPr>
          <w:rFonts w:hAnsi="標楷體" w:hint="eastAsia"/>
          <w:bCs/>
          <w:spacing w:val="-4"/>
          <w:szCs w:val="32"/>
        </w:rPr>
        <w:t>提供書面</w:t>
      </w:r>
      <w:r w:rsidRPr="00697C03">
        <w:rPr>
          <w:rFonts w:hAnsi="標楷體"/>
          <w:spacing w:val="-4"/>
        </w:rPr>
        <w:t>簡報</w:t>
      </w:r>
      <w:r w:rsidRPr="00697C03">
        <w:rPr>
          <w:rFonts w:hAnsi="標楷體" w:hint="eastAsia"/>
          <w:spacing w:val="-4"/>
        </w:rPr>
        <w:t>或</w:t>
      </w:r>
      <w:r w:rsidRPr="00697C03">
        <w:rPr>
          <w:rFonts w:hAnsi="標楷體" w:hint="eastAsia"/>
          <w:bCs/>
          <w:spacing w:val="-4"/>
          <w:szCs w:val="32"/>
        </w:rPr>
        <w:t>實際參與</w:t>
      </w:r>
      <w:r w:rsidRPr="00697C03">
        <w:rPr>
          <w:rFonts w:hAnsi="標楷體"/>
          <w:spacing w:val="-4"/>
        </w:rPr>
        <w:t>座談者</w:t>
      </w:r>
      <w:r w:rsidRPr="00697C03">
        <w:rPr>
          <w:rFonts w:hAnsi="標楷體" w:hint="eastAsia"/>
          <w:spacing w:val="-4"/>
        </w:rPr>
        <w:t>約</w:t>
      </w:r>
      <w:r w:rsidRPr="00697C03">
        <w:rPr>
          <w:rFonts w:hAnsi="標楷體"/>
          <w:spacing w:val="-4"/>
        </w:rPr>
        <w:t>計</w:t>
      </w:r>
      <w:r w:rsidRPr="00697C03">
        <w:rPr>
          <w:rFonts w:hAnsi="標楷體" w:hint="eastAsia"/>
          <w:spacing w:val="-4"/>
        </w:rPr>
        <w:t>有36</w:t>
      </w:r>
      <w:r w:rsidRPr="00697C03">
        <w:rPr>
          <w:rFonts w:hAnsi="標楷體"/>
          <w:spacing w:val="-4"/>
        </w:rPr>
        <w:t>所</w:t>
      </w:r>
      <w:r w:rsidRPr="00697C03">
        <w:rPr>
          <w:rFonts w:hAnsi="標楷體" w:hint="eastAsia"/>
          <w:spacing w:val="-4"/>
        </w:rPr>
        <w:t>各級</w:t>
      </w:r>
      <w:r w:rsidRPr="00697C03">
        <w:rPr>
          <w:rFonts w:hAnsi="標楷體"/>
          <w:spacing w:val="-4"/>
        </w:rPr>
        <w:t>學校</w:t>
      </w:r>
      <w:r w:rsidR="00725F2D" w:rsidRPr="00697C03">
        <w:rPr>
          <w:rFonts w:hAnsi="標楷體" w:hint="eastAsia"/>
          <w:spacing w:val="-4"/>
        </w:rPr>
        <w:t>（</w:t>
      </w:r>
      <w:r w:rsidRPr="00697C03">
        <w:rPr>
          <w:rFonts w:hAnsi="標楷體"/>
          <w:spacing w:val="-4"/>
        </w:rPr>
        <w:t>包括</w:t>
      </w:r>
      <w:r w:rsidRPr="00697C03">
        <w:rPr>
          <w:rFonts w:hAnsi="標楷體" w:hint="eastAsia"/>
          <w:spacing w:val="-4"/>
        </w:rPr>
        <w:t>16</w:t>
      </w:r>
      <w:r w:rsidRPr="00697C03">
        <w:rPr>
          <w:rFonts w:hAnsi="標楷體"/>
          <w:spacing w:val="-4"/>
        </w:rPr>
        <w:t>所高</w:t>
      </w:r>
      <w:r w:rsidRPr="00697C03">
        <w:rPr>
          <w:rFonts w:hAnsi="標楷體" w:hint="eastAsia"/>
          <w:spacing w:val="-4"/>
        </w:rPr>
        <w:t>中</w:t>
      </w:r>
      <w:r w:rsidRPr="00697C03">
        <w:rPr>
          <w:rFonts w:hAnsi="標楷體"/>
          <w:spacing w:val="-4"/>
        </w:rPr>
        <w:t>職、</w:t>
      </w:r>
      <w:r w:rsidRPr="00697C03">
        <w:rPr>
          <w:rFonts w:hAnsi="標楷體" w:hint="eastAsia"/>
          <w:spacing w:val="-4"/>
        </w:rPr>
        <w:t>17所國民中學</w:t>
      </w:r>
      <w:r w:rsidRPr="00697C03">
        <w:rPr>
          <w:rFonts w:hAnsi="標楷體"/>
          <w:spacing w:val="-4"/>
        </w:rPr>
        <w:t>、</w:t>
      </w:r>
      <w:r w:rsidRPr="00697C03">
        <w:rPr>
          <w:rFonts w:hAnsi="標楷體" w:hint="eastAsia"/>
          <w:spacing w:val="-4"/>
        </w:rPr>
        <w:t>3</w:t>
      </w:r>
      <w:r w:rsidRPr="00697C03">
        <w:rPr>
          <w:rFonts w:hAnsi="標楷體"/>
          <w:spacing w:val="-4"/>
        </w:rPr>
        <w:t>所</w:t>
      </w:r>
      <w:r w:rsidRPr="00697C03">
        <w:rPr>
          <w:rFonts w:hAnsi="標楷體" w:hint="eastAsia"/>
          <w:spacing w:val="-4"/>
        </w:rPr>
        <w:t>國民小學</w:t>
      </w:r>
      <w:r w:rsidR="00FD6FDC" w:rsidRPr="00697C03">
        <w:rPr>
          <w:rFonts w:hAnsi="標楷體" w:hint="eastAsia"/>
          <w:spacing w:val="-4"/>
        </w:rPr>
        <w:t>）</w:t>
      </w:r>
      <w:r w:rsidRPr="00697C03">
        <w:rPr>
          <w:rFonts w:hAnsi="標楷體"/>
          <w:spacing w:val="-4"/>
        </w:rPr>
        <w:t>及</w:t>
      </w:r>
      <w:r w:rsidRPr="00697C03">
        <w:rPr>
          <w:rFonts w:hAnsi="標楷體" w:hint="eastAsia"/>
          <w:spacing w:val="-4"/>
        </w:rPr>
        <w:t>6個民間團體或中介教育措施機構</w:t>
      </w:r>
      <w:r w:rsidRPr="00697C03">
        <w:rPr>
          <w:rFonts w:hAnsi="標楷體"/>
          <w:spacing w:val="-4"/>
        </w:rPr>
        <w:t>，</w:t>
      </w:r>
      <w:r w:rsidR="00E25CE9" w:rsidRPr="00697C03">
        <w:rPr>
          <w:rFonts w:hAnsi="標楷體" w:hint="eastAsia"/>
          <w:spacing w:val="-4"/>
        </w:rPr>
        <w:t>均提供充分第一手</w:t>
      </w:r>
      <w:r w:rsidRPr="00697C03">
        <w:rPr>
          <w:rFonts w:hAnsi="標楷體" w:hint="eastAsia"/>
          <w:spacing w:val="-4"/>
        </w:rPr>
        <w:t>實務經驗</w:t>
      </w:r>
      <w:r w:rsidR="0078119F" w:rsidRPr="00697C03">
        <w:rPr>
          <w:rFonts w:hAnsi="標楷體" w:hint="eastAsia"/>
          <w:spacing w:val="-4"/>
        </w:rPr>
        <w:t>、意見</w:t>
      </w:r>
      <w:r w:rsidRPr="00697C03">
        <w:rPr>
          <w:rFonts w:hAnsi="標楷體" w:hint="eastAsia"/>
          <w:spacing w:val="-4"/>
        </w:rPr>
        <w:t>及建言，俾本案調查</w:t>
      </w:r>
      <w:r w:rsidR="00C20EF6" w:rsidRPr="00697C03">
        <w:rPr>
          <w:rFonts w:hAnsi="標楷體" w:hint="eastAsia"/>
          <w:spacing w:val="-4"/>
        </w:rPr>
        <w:t>報告</w:t>
      </w:r>
      <w:r w:rsidRPr="00697C03">
        <w:rPr>
          <w:rFonts w:hAnsi="標楷體" w:hint="eastAsia"/>
          <w:spacing w:val="-4"/>
        </w:rPr>
        <w:t>內容</w:t>
      </w:r>
      <w:r w:rsidR="008037C6" w:rsidRPr="00697C03">
        <w:rPr>
          <w:rFonts w:hAnsi="標楷體" w:hint="eastAsia"/>
          <w:spacing w:val="-4"/>
        </w:rPr>
        <w:t>及意見</w:t>
      </w:r>
      <w:r w:rsidR="00C20EF6" w:rsidRPr="00697C03">
        <w:rPr>
          <w:rFonts w:hAnsi="標楷體" w:hint="eastAsia"/>
          <w:spacing w:val="-4"/>
        </w:rPr>
        <w:t>之</w:t>
      </w:r>
      <w:r w:rsidRPr="00697C03">
        <w:rPr>
          <w:rFonts w:hAnsi="標楷體" w:hint="eastAsia"/>
          <w:spacing w:val="-4"/>
        </w:rPr>
        <w:t>參酌</w:t>
      </w:r>
      <w:r w:rsidRPr="00697C03">
        <w:rPr>
          <w:rFonts w:hAnsi="標楷體"/>
          <w:bCs/>
          <w:spacing w:val="-4"/>
          <w:szCs w:val="32"/>
        </w:rPr>
        <w:t>。</w:t>
      </w:r>
    </w:p>
    <w:p w:rsidR="00406A77" w:rsidRPr="00697C03" w:rsidRDefault="00406A77" w:rsidP="00C13BEA">
      <w:pPr>
        <w:pStyle w:val="10"/>
        <w:kinsoku/>
        <w:ind w:left="680" w:firstLine="664"/>
        <w:rPr>
          <w:rFonts w:hAnsi="標楷體"/>
          <w:spacing w:val="-4"/>
        </w:rPr>
      </w:pPr>
      <w:r w:rsidRPr="00697C03">
        <w:rPr>
          <w:rFonts w:hAnsi="標楷體" w:hint="eastAsia"/>
          <w:spacing w:val="-4"/>
        </w:rPr>
        <w:t>繼之，本案經綜整調卷</w:t>
      </w:r>
      <w:r w:rsidR="001856ED" w:rsidRPr="00697C03">
        <w:rPr>
          <w:rFonts w:hAnsi="標楷體" w:hint="eastAsia"/>
          <w:spacing w:val="-4"/>
        </w:rPr>
        <w:t>資料</w:t>
      </w:r>
      <w:r w:rsidRPr="00697C03">
        <w:rPr>
          <w:rFonts w:hAnsi="標楷體" w:hint="eastAsia"/>
          <w:spacing w:val="-4"/>
        </w:rPr>
        <w:t>、履勘</w:t>
      </w:r>
      <w:r w:rsidR="00425205" w:rsidRPr="00697C03">
        <w:rPr>
          <w:rFonts w:hAnsi="標楷體" w:hint="eastAsia"/>
          <w:spacing w:val="-4"/>
        </w:rPr>
        <w:t>、簡報</w:t>
      </w:r>
      <w:r w:rsidRPr="00697C03">
        <w:rPr>
          <w:rFonts w:hAnsi="標楷體" w:hint="eastAsia"/>
          <w:spacing w:val="-4"/>
        </w:rPr>
        <w:t>及座談會議相關發現問題，並於109年3月31日詢問教育部范巽綠政務次長、教育部國民及學前教育署</w:t>
      </w:r>
      <w:r w:rsidR="0079236E" w:rsidRPr="00697C03">
        <w:rPr>
          <w:rFonts w:hAnsi="標楷體" w:hint="eastAsia"/>
          <w:spacing w:val="-4"/>
        </w:rPr>
        <w:t>（</w:t>
      </w:r>
      <w:r w:rsidRPr="00697C03">
        <w:rPr>
          <w:rFonts w:hAnsi="標楷體" w:hint="eastAsia"/>
          <w:spacing w:val="-4"/>
        </w:rPr>
        <w:t>下稱國教署</w:t>
      </w:r>
      <w:r w:rsidR="0079236E" w:rsidRPr="00697C03">
        <w:rPr>
          <w:rFonts w:hAnsi="標楷體" w:hint="eastAsia"/>
          <w:spacing w:val="-4"/>
        </w:rPr>
        <w:t>）</w:t>
      </w:r>
      <w:r w:rsidRPr="00697C03">
        <w:rPr>
          <w:rFonts w:hAnsi="標楷體" w:hint="eastAsia"/>
          <w:spacing w:val="-4"/>
        </w:rPr>
        <w:t>戴淑芬副署長、教育部青年發展署</w:t>
      </w:r>
      <w:r w:rsidR="0079236E" w:rsidRPr="00697C03">
        <w:rPr>
          <w:rFonts w:hAnsi="標楷體" w:hint="eastAsia"/>
          <w:spacing w:val="-4"/>
        </w:rPr>
        <w:t>（</w:t>
      </w:r>
      <w:r w:rsidRPr="00697C03">
        <w:rPr>
          <w:rFonts w:hAnsi="標楷體" w:hint="eastAsia"/>
          <w:spacing w:val="-4"/>
        </w:rPr>
        <w:t>下稱青年署</w:t>
      </w:r>
      <w:r w:rsidR="0079236E" w:rsidRPr="00697C03">
        <w:rPr>
          <w:rFonts w:hAnsi="標楷體" w:hint="eastAsia"/>
          <w:spacing w:val="-4"/>
        </w:rPr>
        <w:t>）</w:t>
      </w:r>
      <w:r w:rsidR="003854BE" w:rsidRPr="00697C03">
        <w:rPr>
          <w:rFonts w:hAnsi="標楷體" w:hint="eastAsia"/>
          <w:spacing w:val="-4"/>
        </w:rPr>
        <w:t>王育群副署長等</w:t>
      </w:r>
      <w:r w:rsidRPr="00697C03">
        <w:rPr>
          <w:rFonts w:hAnsi="標楷體" w:hint="eastAsia"/>
          <w:spacing w:val="-4"/>
        </w:rPr>
        <w:t>相關</w:t>
      </w:r>
      <w:r w:rsidR="007872FD" w:rsidRPr="00697C03">
        <w:rPr>
          <w:rFonts w:hAnsi="標楷體" w:hint="eastAsia"/>
          <w:spacing w:val="-4"/>
        </w:rPr>
        <w:t>業務</w:t>
      </w:r>
      <w:r w:rsidRPr="00697C03">
        <w:rPr>
          <w:rFonts w:hAnsi="標楷體" w:hint="eastAsia"/>
          <w:spacing w:val="-4"/>
        </w:rPr>
        <w:t>主管及承辦人員，並經上開機關單位補充</w:t>
      </w:r>
      <w:r w:rsidRPr="00697C03">
        <w:rPr>
          <w:rFonts w:hAnsi="標楷體"/>
          <w:spacing w:val="-4"/>
        </w:rPr>
        <w:t>資料</w:t>
      </w:r>
      <w:r w:rsidR="002420C2" w:rsidRPr="00697C03">
        <w:rPr>
          <w:rFonts w:hAnsi="標楷體" w:hint="eastAsia"/>
          <w:spacing w:val="-4"/>
        </w:rPr>
        <w:t>到院</w:t>
      </w:r>
      <w:r w:rsidRPr="00697C03">
        <w:rPr>
          <w:rFonts w:hAnsi="標楷體"/>
          <w:spacing w:val="-4"/>
        </w:rPr>
        <w:t>後，</w:t>
      </w:r>
      <w:r w:rsidRPr="00697C03">
        <w:rPr>
          <w:rFonts w:hAnsi="標楷體" w:hint="eastAsia"/>
          <w:spacing w:val="-4"/>
        </w:rPr>
        <w:t>已調查竣事，</w:t>
      </w:r>
      <w:r w:rsidRPr="00697C03">
        <w:rPr>
          <w:rFonts w:hAnsi="標楷體"/>
          <w:spacing w:val="-4"/>
        </w:rPr>
        <w:t>茲列調查意見如次</w:t>
      </w:r>
      <w:r w:rsidRPr="00697C03">
        <w:rPr>
          <w:rFonts w:hAnsi="標楷體" w:hint="eastAsia"/>
          <w:spacing w:val="-4"/>
        </w:rPr>
        <w:t>：</w:t>
      </w:r>
    </w:p>
    <w:p w:rsidR="00406A77" w:rsidRPr="00697C03" w:rsidRDefault="00406A77" w:rsidP="00406A77">
      <w:pPr>
        <w:pStyle w:val="2"/>
        <w:kinsoku/>
        <w:overflowPunct w:val="0"/>
        <w:autoSpaceDE w:val="0"/>
        <w:autoSpaceDN w:val="0"/>
        <w:ind w:left="1021" w:hanging="681"/>
        <w:rPr>
          <w:rFonts w:hAnsi="標楷體"/>
          <w:b/>
        </w:rPr>
      </w:pPr>
      <w:bookmarkStart w:id="64" w:name="_Toc37315438"/>
      <w:bookmarkStart w:id="65" w:name="_Toc39250773"/>
      <w:bookmarkStart w:id="66" w:name="_Toc41382883"/>
      <w:r w:rsidRPr="00697C03">
        <w:rPr>
          <w:rFonts w:hAnsi="標楷體" w:hint="eastAsia"/>
          <w:b/>
          <w:bCs w:val="0"/>
          <w:szCs w:val="52"/>
        </w:rPr>
        <w:t>我國自103年8月起全面推動十二年國民基本教育政策，</w:t>
      </w:r>
      <w:r w:rsidRPr="00697C03">
        <w:rPr>
          <w:rFonts w:hAnsi="標楷體"/>
          <w:b/>
          <w:bCs w:val="0"/>
          <w:szCs w:val="52"/>
        </w:rPr>
        <w:t>前</w:t>
      </w:r>
      <w:r w:rsidRPr="00697C03">
        <w:rPr>
          <w:rFonts w:hAnsi="標楷體" w:hint="eastAsia"/>
          <w:b/>
          <w:bCs w:val="0"/>
          <w:szCs w:val="52"/>
        </w:rPr>
        <w:t>9</w:t>
      </w:r>
      <w:r w:rsidRPr="00697C03">
        <w:rPr>
          <w:rFonts w:hAnsi="標楷體"/>
          <w:b/>
          <w:bCs w:val="0"/>
          <w:szCs w:val="52"/>
        </w:rPr>
        <w:t>年國民</w:t>
      </w:r>
      <w:r w:rsidRPr="00697C03">
        <w:rPr>
          <w:rFonts w:hAnsi="標楷體" w:hint="eastAsia"/>
          <w:b/>
          <w:bCs w:val="0"/>
          <w:szCs w:val="52"/>
        </w:rPr>
        <w:t>義務</w:t>
      </w:r>
      <w:r w:rsidRPr="00697C03">
        <w:rPr>
          <w:rFonts w:hAnsi="標楷體"/>
          <w:b/>
          <w:bCs w:val="0"/>
          <w:szCs w:val="52"/>
        </w:rPr>
        <w:t>教育依「國民教育法」及「強迫入學條例」</w:t>
      </w:r>
      <w:r w:rsidRPr="00697C03">
        <w:rPr>
          <w:rFonts w:hAnsi="標楷體" w:hint="eastAsia"/>
          <w:b/>
          <w:bCs w:val="0"/>
          <w:szCs w:val="52"/>
        </w:rPr>
        <w:t>等</w:t>
      </w:r>
      <w:r w:rsidRPr="00697C03">
        <w:rPr>
          <w:rFonts w:hAnsi="標楷體"/>
          <w:b/>
          <w:bCs w:val="0"/>
          <w:szCs w:val="52"/>
        </w:rPr>
        <w:t>規定辦理，後</w:t>
      </w:r>
      <w:r w:rsidRPr="00697C03">
        <w:rPr>
          <w:rFonts w:hAnsi="標楷體" w:hint="eastAsia"/>
          <w:b/>
          <w:bCs w:val="0"/>
          <w:szCs w:val="52"/>
        </w:rPr>
        <w:t>3</w:t>
      </w:r>
      <w:r w:rsidRPr="00697C03">
        <w:rPr>
          <w:rFonts w:hAnsi="標楷體"/>
          <w:b/>
          <w:bCs w:val="0"/>
          <w:szCs w:val="52"/>
        </w:rPr>
        <w:t>年高級中等教育</w:t>
      </w:r>
      <w:r w:rsidRPr="00697C03">
        <w:rPr>
          <w:rFonts w:hAnsi="標楷體" w:hint="eastAsia"/>
          <w:b/>
          <w:bCs w:val="0"/>
          <w:szCs w:val="52"/>
        </w:rPr>
        <w:t>階段雖非屬</w:t>
      </w:r>
      <w:r w:rsidRPr="00697C03">
        <w:rPr>
          <w:rFonts w:hAnsi="標楷體" w:hint="eastAsia"/>
          <w:b/>
          <w:bCs w:val="0"/>
          <w:szCs w:val="52"/>
        </w:rPr>
        <w:lastRenderedPageBreak/>
        <w:t>義務教育，然</w:t>
      </w:r>
      <w:r w:rsidRPr="00697C03">
        <w:rPr>
          <w:rFonts w:hAnsi="標楷體"/>
          <w:b/>
          <w:bCs w:val="0"/>
          <w:szCs w:val="52"/>
        </w:rPr>
        <w:t>主要內涵</w:t>
      </w:r>
      <w:r w:rsidRPr="00697C03">
        <w:rPr>
          <w:rFonts w:hAnsi="標楷體" w:hint="eastAsia"/>
          <w:b/>
          <w:bCs w:val="0"/>
          <w:szCs w:val="52"/>
        </w:rPr>
        <w:t>包括「</w:t>
      </w:r>
      <w:r w:rsidRPr="00697C03">
        <w:rPr>
          <w:rFonts w:hAnsi="標楷體"/>
          <w:b/>
          <w:bCs w:val="0"/>
          <w:szCs w:val="52"/>
        </w:rPr>
        <w:t>普及</w:t>
      </w:r>
      <w:r w:rsidRPr="00697C03">
        <w:rPr>
          <w:rFonts w:hAnsi="標楷體" w:hint="eastAsia"/>
          <w:b/>
          <w:bCs w:val="0"/>
          <w:szCs w:val="52"/>
        </w:rPr>
        <w:t>」與「</w:t>
      </w:r>
      <w:r w:rsidRPr="00697C03">
        <w:rPr>
          <w:rFonts w:hAnsi="標楷體"/>
          <w:b/>
          <w:bCs w:val="0"/>
          <w:szCs w:val="52"/>
        </w:rPr>
        <w:t>自願非強迫入學</w:t>
      </w:r>
      <w:r w:rsidRPr="00697C03">
        <w:rPr>
          <w:rFonts w:hAnsi="標楷體" w:hint="eastAsia"/>
          <w:b/>
          <w:bCs w:val="0"/>
          <w:szCs w:val="52"/>
        </w:rPr>
        <w:t>」，且十二年國教</w:t>
      </w:r>
      <w:r w:rsidR="00AC1B94" w:rsidRPr="00697C03">
        <w:rPr>
          <w:rFonts w:hAnsi="標楷體" w:hint="eastAsia"/>
          <w:b/>
          <w:bCs w:val="0"/>
          <w:szCs w:val="52"/>
        </w:rPr>
        <w:t>精神</w:t>
      </w:r>
      <w:r w:rsidRPr="00697C03">
        <w:rPr>
          <w:rFonts w:hAnsi="標楷體" w:hint="eastAsia"/>
          <w:b/>
          <w:szCs w:val="32"/>
        </w:rPr>
        <w:t>強調因材施教、適性揚才及多元進路等理念，面對不同智能、性向及興趣的學生，應能透過不同的課程、教學方式及適性輔導，引導學生瞭解自我性向與興趣，協助其發展多元智能並找到適合自己的進路，以便繼續升學或順利就業；惟</w:t>
      </w:r>
      <w:r w:rsidR="0085725F" w:rsidRPr="00697C03">
        <w:rPr>
          <w:rFonts w:hAnsi="標楷體" w:hint="eastAsia"/>
          <w:b/>
          <w:szCs w:val="32"/>
        </w:rPr>
        <w:t>十二年國教實施迄今</w:t>
      </w:r>
      <w:r w:rsidR="00F82B56" w:rsidRPr="00697C03">
        <w:rPr>
          <w:rFonts w:hAnsi="標楷體" w:hint="eastAsia"/>
          <w:b/>
          <w:szCs w:val="32"/>
        </w:rPr>
        <w:t>，</w:t>
      </w:r>
      <w:r w:rsidR="0041315F" w:rsidRPr="00697C03">
        <w:rPr>
          <w:rFonts w:hAnsi="標楷體" w:hint="eastAsia"/>
          <w:b/>
          <w:szCs w:val="32"/>
        </w:rPr>
        <w:t>每年</w:t>
      </w:r>
      <w:r w:rsidRPr="00697C03">
        <w:rPr>
          <w:rFonts w:hAnsi="標楷體" w:hint="eastAsia"/>
          <w:b/>
          <w:szCs w:val="32"/>
        </w:rPr>
        <w:t>仍有近2萬名學生因家庭、經濟或個人等因素未能完成</w:t>
      </w:r>
      <w:r w:rsidRPr="00697C03">
        <w:rPr>
          <w:rFonts w:hAnsi="標楷體" w:hint="eastAsia"/>
          <w:b/>
          <w:bCs w:val="0"/>
          <w:szCs w:val="52"/>
        </w:rPr>
        <w:t>十二年</w:t>
      </w:r>
      <w:r w:rsidRPr="00697C03">
        <w:rPr>
          <w:rFonts w:hAnsi="標楷體" w:hint="eastAsia"/>
          <w:b/>
          <w:szCs w:val="32"/>
        </w:rPr>
        <w:t>國教</w:t>
      </w:r>
      <w:r w:rsidR="00860594" w:rsidRPr="00697C03">
        <w:rPr>
          <w:rFonts w:hAnsi="標楷體" w:hint="eastAsia"/>
          <w:b/>
          <w:szCs w:val="32"/>
        </w:rPr>
        <w:t>，</w:t>
      </w:r>
      <w:r w:rsidRPr="00697C03">
        <w:rPr>
          <w:rFonts w:hAnsi="標楷體" w:hint="eastAsia"/>
          <w:b/>
          <w:szCs w:val="32"/>
        </w:rPr>
        <w:t>學制範圍</w:t>
      </w:r>
      <w:r w:rsidR="006E5915" w:rsidRPr="00697C03">
        <w:rPr>
          <w:rFonts w:hAnsi="標楷體" w:hint="eastAsia"/>
          <w:b/>
          <w:bCs w:val="0"/>
          <w:szCs w:val="52"/>
        </w:rPr>
        <w:t>包括高級中等學校</w:t>
      </w:r>
      <w:r w:rsidRPr="00697C03">
        <w:rPr>
          <w:rFonts w:hAnsi="標楷體" w:hint="eastAsia"/>
          <w:b/>
          <w:bCs w:val="0"/>
          <w:szCs w:val="52"/>
        </w:rPr>
        <w:t>中途離校學生、國民中學畢業</w:t>
      </w:r>
      <w:r w:rsidR="00A162CF" w:rsidRPr="00697C03">
        <w:rPr>
          <w:rFonts w:hAnsi="標楷體" w:hint="eastAsia"/>
          <w:b/>
          <w:bCs w:val="0"/>
          <w:szCs w:val="52"/>
        </w:rPr>
        <w:t>後</w:t>
      </w:r>
      <w:r w:rsidRPr="00697C03">
        <w:rPr>
          <w:rFonts w:hAnsi="標楷體" w:hint="eastAsia"/>
          <w:b/>
          <w:bCs w:val="0"/>
          <w:szCs w:val="52"/>
        </w:rPr>
        <w:t>未升學未就業學生、國民中小學中途輟學學生及因</w:t>
      </w:r>
      <w:r w:rsidR="00C72E5F" w:rsidRPr="00697C03">
        <w:rPr>
          <w:rFonts w:hAnsi="標楷體" w:hint="eastAsia"/>
          <w:b/>
          <w:bCs w:val="0"/>
          <w:szCs w:val="52"/>
        </w:rPr>
        <w:t>持續</w:t>
      </w:r>
      <w:r w:rsidRPr="00697C03">
        <w:rPr>
          <w:rFonts w:hAnsi="標楷體" w:hint="eastAsia"/>
          <w:b/>
          <w:bCs w:val="0"/>
          <w:szCs w:val="52"/>
        </w:rPr>
        <w:t>中輟而逾義務教育年齡者</w:t>
      </w:r>
      <w:r w:rsidR="001B0066" w:rsidRPr="00697C03">
        <w:rPr>
          <w:rFonts w:hAnsi="標楷體" w:hint="eastAsia"/>
          <w:b/>
          <w:bCs w:val="0"/>
          <w:szCs w:val="52"/>
        </w:rPr>
        <w:t>等，顯</w:t>
      </w:r>
      <w:r w:rsidR="00A95D00" w:rsidRPr="00697C03">
        <w:rPr>
          <w:rFonts w:hAnsi="標楷體" w:hint="eastAsia"/>
          <w:b/>
          <w:bCs w:val="0"/>
          <w:szCs w:val="52"/>
        </w:rPr>
        <w:t>有</w:t>
      </w:r>
      <w:r w:rsidRPr="00697C03">
        <w:rPr>
          <w:rFonts w:hAnsi="標楷體" w:hint="eastAsia"/>
          <w:b/>
          <w:szCs w:val="32"/>
        </w:rPr>
        <w:t>違十二年國教總體精神</w:t>
      </w:r>
      <w:r w:rsidRPr="00697C03">
        <w:rPr>
          <w:rFonts w:hAnsi="標楷體" w:hint="eastAsia"/>
          <w:b/>
          <w:bCs w:val="0"/>
          <w:szCs w:val="52"/>
        </w:rPr>
        <w:t>，</w:t>
      </w:r>
      <w:r w:rsidR="00453007" w:rsidRPr="00697C03">
        <w:rPr>
          <w:rFonts w:hAnsi="標楷體" w:hint="eastAsia"/>
          <w:b/>
          <w:bCs w:val="0"/>
          <w:szCs w:val="52"/>
        </w:rPr>
        <w:t>足徵</w:t>
      </w:r>
      <w:r w:rsidR="0085725F" w:rsidRPr="00697C03">
        <w:rPr>
          <w:rFonts w:hAnsi="標楷體" w:hint="eastAsia"/>
          <w:b/>
          <w:szCs w:val="32"/>
        </w:rPr>
        <w:t>教育部僅執行就學穩定措施，且</w:t>
      </w:r>
      <w:r w:rsidRPr="00697C03">
        <w:rPr>
          <w:rFonts w:hAnsi="標楷體" w:hint="eastAsia"/>
          <w:b/>
          <w:bCs w:val="0"/>
          <w:szCs w:val="52"/>
        </w:rPr>
        <w:t>十二年國教政策執行之後設分析及檢討機制闕如，缺乏國家整體基礎教育核心政策</w:t>
      </w:r>
      <w:r w:rsidRPr="00697C03">
        <w:rPr>
          <w:rFonts w:hAnsi="標楷體" w:hint="eastAsia"/>
          <w:b/>
          <w:szCs w:val="32"/>
        </w:rPr>
        <w:t>；</w:t>
      </w:r>
      <w:r w:rsidR="00372E55" w:rsidRPr="00697C03">
        <w:rPr>
          <w:rFonts w:hAnsi="標楷體" w:hint="eastAsia"/>
          <w:b/>
          <w:szCs w:val="32"/>
        </w:rPr>
        <w:t>況</w:t>
      </w:r>
      <w:r w:rsidRPr="00697C03">
        <w:rPr>
          <w:rFonts w:hAnsi="標楷體" w:hint="eastAsia"/>
          <w:b/>
          <w:szCs w:val="32"/>
        </w:rPr>
        <w:t>相較於教育部</w:t>
      </w:r>
      <w:r w:rsidR="00BB1E44" w:rsidRPr="00697C03">
        <w:rPr>
          <w:rFonts w:hAnsi="標楷體" w:hint="eastAsia"/>
          <w:b/>
          <w:szCs w:val="32"/>
        </w:rPr>
        <w:t>積極</w:t>
      </w:r>
      <w:r w:rsidRPr="00697C03">
        <w:rPr>
          <w:rFonts w:hAnsi="標楷體"/>
          <w:b/>
        </w:rPr>
        <w:t>配合</w:t>
      </w:r>
      <w:r w:rsidR="003128C7" w:rsidRPr="00697C03">
        <w:rPr>
          <w:rFonts w:hAnsi="標楷體" w:hint="eastAsia"/>
          <w:b/>
        </w:rPr>
        <w:t>政府</w:t>
      </w:r>
      <w:r w:rsidRPr="00697C03">
        <w:rPr>
          <w:rFonts w:hAnsi="標楷體"/>
          <w:b/>
        </w:rPr>
        <w:t>新南向政策，自106學年度開辦</w:t>
      </w:r>
      <w:r w:rsidRPr="00697C03">
        <w:rPr>
          <w:rFonts w:hAnsi="標楷體"/>
          <w:b/>
          <w:szCs w:val="32"/>
        </w:rPr>
        <w:t>新南向產學合作國際專班</w:t>
      </w:r>
      <w:r w:rsidR="00D579D3" w:rsidRPr="00697C03">
        <w:rPr>
          <w:rFonts w:hAnsi="標楷體" w:hint="eastAsia"/>
          <w:b/>
          <w:szCs w:val="32"/>
        </w:rPr>
        <w:t>，</w:t>
      </w:r>
      <w:r w:rsidR="002A11FA" w:rsidRPr="00697C03">
        <w:rPr>
          <w:rFonts w:hAnsi="標楷體" w:hint="eastAsia"/>
          <w:b/>
        </w:rPr>
        <w:t>實施</w:t>
      </w:r>
      <w:r w:rsidRPr="00697C03">
        <w:rPr>
          <w:rFonts w:hAnsi="標楷體" w:hint="eastAsia"/>
          <w:b/>
          <w:spacing w:val="-4"/>
        </w:rPr>
        <w:t>僑生技職專班之</w:t>
      </w:r>
      <w:r w:rsidRPr="00697C03">
        <w:rPr>
          <w:rFonts w:hAnsi="標楷體"/>
          <w:b/>
        </w:rPr>
        <w:t>生</w:t>
      </w:r>
      <w:r w:rsidRPr="00697C03">
        <w:rPr>
          <w:rFonts w:hAnsi="標楷體"/>
          <w:b/>
          <w:szCs w:val="32"/>
        </w:rPr>
        <w:t>活津貼</w:t>
      </w:r>
      <w:r w:rsidRPr="00697C03">
        <w:rPr>
          <w:rFonts w:hAnsi="標楷體" w:hint="eastAsia"/>
          <w:b/>
          <w:szCs w:val="32"/>
        </w:rPr>
        <w:t>等</w:t>
      </w:r>
      <w:r w:rsidR="00C5202B" w:rsidRPr="00697C03">
        <w:rPr>
          <w:rFonts w:hAnsi="標楷體" w:hint="eastAsia"/>
          <w:b/>
          <w:szCs w:val="32"/>
        </w:rPr>
        <w:t>積極</w:t>
      </w:r>
      <w:r w:rsidRPr="00697C03">
        <w:rPr>
          <w:rFonts w:hAnsi="標楷體" w:hint="eastAsia"/>
          <w:b/>
          <w:szCs w:val="32"/>
        </w:rPr>
        <w:t>鼓勵就學措施</w:t>
      </w:r>
      <w:r w:rsidRPr="00697C03">
        <w:rPr>
          <w:rFonts w:hAnsi="標楷體" w:hint="eastAsia"/>
          <w:b/>
        </w:rPr>
        <w:t>，</w:t>
      </w:r>
      <w:r w:rsidR="002D30B1" w:rsidRPr="00697C03">
        <w:rPr>
          <w:rFonts w:hAnsi="標楷體" w:hint="eastAsia"/>
          <w:b/>
        </w:rPr>
        <w:t>統計</w:t>
      </w:r>
      <w:r w:rsidR="00E405E2" w:rsidRPr="00697C03">
        <w:rPr>
          <w:rFonts w:ascii="Times New Roman" w:hint="eastAsia"/>
          <w:b/>
          <w:szCs w:val="32"/>
        </w:rPr>
        <w:t>國際</w:t>
      </w:r>
      <w:r w:rsidR="00E405E2" w:rsidRPr="00697C03">
        <w:rPr>
          <w:rFonts w:ascii="Times New Roman"/>
          <w:b/>
          <w:szCs w:val="32"/>
        </w:rPr>
        <w:t>專班</w:t>
      </w:r>
      <w:r w:rsidR="00E405E2" w:rsidRPr="00697C03">
        <w:rPr>
          <w:rFonts w:ascii="Times New Roman" w:hint="eastAsia"/>
          <w:b/>
          <w:szCs w:val="32"/>
        </w:rPr>
        <w:t>境外學生至</w:t>
      </w:r>
      <w:r w:rsidR="00E405E2" w:rsidRPr="00697C03">
        <w:rPr>
          <w:rFonts w:ascii="Times New Roman" w:hint="eastAsia"/>
          <w:b/>
          <w:szCs w:val="32"/>
        </w:rPr>
        <w:t>107</w:t>
      </w:r>
      <w:r w:rsidR="00E405E2" w:rsidRPr="00697C03">
        <w:rPr>
          <w:rFonts w:ascii="Times New Roman" w:hint="eastAsia"/>
          <w:b/>
          <w:szCs w:val="32"/>
        </w:rPr>
        <w:t>學年度第</w:t>
      </w:r>
      <w:r w:rsidR="00E405E2" w:rsidRPr="00697C03">
        <w:rPr>
          <w:rFonts w:ascii="Times New Roman" w:hint="eastAsia"/>
          <w:b/>
          <w:szCs w:val="32"/>
        </w:rPr>
        <w:t>1</w:t>
      </w:r>
      <w:r w:rsidR="00E405E2" w:rsidRPr="00697C03">
        <w:rPr>
          <w:rFonts w:ascii="Times New Roman" w:hint="eastAsia"/>
          <w:b/>
          <w:szCs w:val="32"/>
        </w:rPr>
        <w:t>學期時已達</w:t>
      </w:r>
      <w:r w:rsidR="00B93CE0" w:rsidRPr="00697C03">
        <w:rPr>
          <w:rFonts w:ascii="Times New Roman" w:hint="eastAsia"/>
          <w:b/>
          <w:szCs w:val="32"/>
        </w:rPr>
        <w:t>3</w:t>
      </w:r>
      <w:r w:rsidR="00B93CE0" w:rsidRPr="00697C03">
        <w:rPr>
          <w:rFonts w:ascii="Times New Roman" w:hint="eastAsia"/>
          <w:b/>
          <w:szCs w:val="32"/>
        </w:rPr>
        <w:t>千餘</w:t>
      </w:r>
      <w:r w:rsidR="00E405E2" w:rsidRPr="00697C03">
        <w:rPr>
          <w:rFonts w:ascii="Times New Roman" w:hint="eastAsia"/>
          <w:b/>
          <w:szCs w:val="32"/>
        </w:rPr>
        <w:t>人</w:t>
      </w:r>
      <w:r w:rsidR="00E405E2" w:rsidRPr="00697C03">
        <w:rPr>
          <w:rFonts w:hAnsi="標楷體" w:hint="eastAsia"/>
          <w:b/>
        </w:rPr>
        <w:t>；</w:t>
      </w:r>
      <w:r w:rsidR="0050436B" w:rsidRPr="00697C03">
        <w:rPr>
          <w:rFonts w:hAnsi="標楷體" w:hint="eastAsia"/>
          <w:b/>
        </w:rPr>
        <w:t>反觀</w:t>
      </w:r>
      <w:r w:rsidR="0050436B" w:rsidRPr="00697C03">
        <w:rPr>
          <w:rFonts w:hAnsi="標楷體" w:hint="eastAsia"/>
          <w:b/>
          <w:bCs w:val="0"/>
          <w:szCs w:val="52"/>
        </w:rPr>
        <w:t>我國</w:t>
      </w:r>
      <w:r w:rsidR="0043212D" w:rsidRPr="00697C03">
        <w:rPr>
          <w:rFonts w:hAnsi="標楷體" w:hint="eastAsia"/>
          <w:b/>
          <w:bCs w:val="0"/>
          <w:szCs w:val="52"/>
        </w:rPr>
        <w:t>刻</w:t>
      </w:r>
      <w:r w:rsidR="0050436B" w:rsidRPr="00697C03">
        <w:rPr>
          <w:rFonts w:hAnsi="標楷體" w:hint="eastAsia"/>
          <w:b/>
          <w:bCs w:val="0"/>
          <w:szCs w:val="52"/>
        </w:rPr>
        <w:t>正面臨少子女化兒少人數急遽下降等嚴重衝擊</w:t>
      </w:r>
      <w:r w:rsidR="007E605D" w:rsidRPr="00697C03">
        <w:rPr>
          <w:rFonts w:hAnsi="標楷體" w:hint="eastAsia"/>
          <w:b/>
          <w:bCs w:val="0"/>
          <w:szCs w:val="52"/>
        </w:rPr>
        <w:t>，</w:t>
      </w:r>
      <w:r w:rsidR="00C436D9" w:rsidRPr="00697C03">
        <w:rPr>
          <w:rFonts w:hAnsi="標楷體" w:hint="eastAsia"/>
          <w:b/>
        </w:rPr>
        <w:t>維護兒少</w:t>
      </w:r>
      <w:r w:rsidR="003F6D31" w:rsidRPr="00697C03">
        <w:rPr>
          <w:rFonts w:hAnsi="標楷體"/>
          <w:b/>
        </w:rPr>
        <w:t>教育</w:t>
      </w:r>
      <w:r w:rsidR="00C436D9" w:rsidRPr="00697C03">
        <w:rPr>
          <w:rFonts w:hAnsi="標楷體" w:hint="eastAsia"/>
          <w:b/>
        </w:rPr>
        <w:t>權應係</w:t>
      </w:r>
      <w:r w:rsidR="004A7DB8" w:rsidRPr="00697C03">
        <w:rPr>
          <w:rFonts w:hAnsi="標楷體"/>
          <w:b/>
        </w:rPr>
        <w:t>政府</w:t>
      </w:r>
      <w:r w:rsidR="004A7DB8" w:rsidRPr="00697C03">
        <w:rPr>
          <w:rFonts w:hAnsi="標楷體" w:hint="eastAsia"/>
          <w:b/>
        </w:rPr>
        <w:t>重大</w:t>
      </w:r>
      <w:r w:rsidR="003F6D31" w:rsidRPr="00697C03">
        <w:rPr>
          <w:rFonts w:hAnsi="標楷體"/>
          <w:b/>
        </w:rPr>
        <w:t>責任</w:t>
      </w:r>
      <w:r w:rsidR="008A4E20" w:rsidRPr="00697C03">
        <w:rPr>
          <w:rFonts w:hAnsi="標楷體" w:hint="eastAsia"/>
          <w:b/>
          <w:bCs w:val="0"/>
          <w:szCs w:val="52"/>
        </w:rPr>
        <w:t>，</w:t>
      </w:r>
      <w:r w:rsidR="000362D4" w:rsidRPr="00697C03">
        <w:rPr>
          <w:rFonts w:hAnsi="標楷體" w:hint="eastAsia"/>
          <w:b/>
        </w:rPr>
        <w:t>然</w:t>
      </w:r>
      <w:r w:rsidR="00F855FD" w:rsidRPr="00697C03">
        <w:rPr>
          <w:rFonts w:hAnsi="標楷體" w:hint="eastAsia"/>
          <w:b/>
          <w:szCs w:val="32"/>
        </w:rPr>
        <w:t>教育部</w:t>
      </w:r>
      <w:r w:rsidR="00D4489E" w:rsidRPr="00697C03">
        <w:rPr>
          <w:rFonts w:hAnsi="標楷體" w:hint="eastAsia"/>
          <w:b/>
          <w:szCs w:val="32"/>
        </w:rPr>
        <w:t>長期</w:t>
      </w:r>
      <w:r w:rsidR="00DB6F54" w:rsidRPr="00697C03">
        <w:rPr>
          <w:rFonts w:hAnsi="標楷體" w:hint="eastAsia"/>
          <w:b/>
          <w:szCs w:val="32"/>
        </w:rPr>
        <w:t>未能</w:t>
      </w:r>
      <w:r w:rsidR="00A64B30" w:rsidRPr="00697C03">
        <w:rPr>
          <w:rFonts w:hAnsi="標楷體" w:hint="eastAsia"/>
          <w:b/>
          <w:szCs w:val="32"/>
        </w:rPr>
        <w:t>積極</w:t>
      </w:r>
      <w:r w:rsidR="002C5FDD" w:rsidRPr="00697C03">
        <w:rPr>
          <w:rFonts w:hAnsi="標楷體" w:hint="eastAsia"/>
          <w:b/>
          <w:szCs w:val="32"/>
        </w:rPr>
        <w:t>檢討</w:t>
      </w:r>
      <w:r w:rsidR="00CF1277" w:rsidRPr="00697C03">
        <w:rPr>
          <w:rFonts w:hAnsi="標楷體" w:hint="eastAsia"/>
          <w:b/>
          <w:szCs w:val="32"/>
        </w:rPr>
        <w:t>國內</w:t>
      </w:r>
      <w:r w:rsidR="00106ACE" w:rsidRPr="00697C03">
        <w:rPr>
          <w:rFonts w:hAnsi="標楷體" w:hint="eastAsia"/>
          <w:b/>
          <w:szCs w:val="32"/>
        </w:rPr>
        <w:t>中離生及中輟生</w:t>
      </w:r>
      <w:bookmarkEnd w:id="64"/>
      <w:r w:rsidR="003A0EA1" w:rsidRPr="00697C03">
        <w:rPr>
          <w:rFonts w:hAnsi="標楷體" w:hint="eastAsia"/>
          <w:b/>
          <w:szCs w:val="32"/>
        </w:rPr>
        <w:t>人數</w:t>
      </w:r>
      <w:r w:rsidR="000C15DB" w:rsidRPr="00697C03">
        <w:rPr>
          <w:rFonts w:hAnsi="標楷體" w:hint="eastAsia"/>
          <w:b/>
          <w:szCs w:val="32"/>
        </w:rPr>
        <w:t>居高不下</w:t>
      </w:r>
      <w:r w:rsidR="00142D26" w:rsidRPr="00697C03">
        <w:rPr>
          <w:rFonts w:hAnsi="標楷體" w:hint="eastAsia"/>
          <w:b/>
          <w:szCs w:val="32"/>
        </w:rPr>
        <w:t>情形</w:t>
      </w:r>
      <w:r w:rsidRPr="00697C03">
        <w:rPr>
          <w:rFonts w:hAnsi="標楷體" w:hint="eastAsia"/>
          <w:b/>
          <w:szCs w:val="32"/>
        </w:rPr>
        <w:t>，</w:t>
      </w:r>
      <w:r w:rsidR="007C63B5" w:rsidRPr="00697C03">
        <w:rPr>
          <w:rFonts w:hAnsi="標楷體" w:hint="eastAsia"/>
          <w:b/>
          <w:szCs w:val="32"/>
        </w:rPr>
        <w:t>針對</w:t>
      </w:r>
      <w:r w:rsidR="00D32D55" w:rsidRPr="00697C03">
        <w:rPr>
          <w:rFonts w:hAnsi="標楷體" w:hint="eastAsia"/>
          <w:b/>
          <w:szCs w:val="32"/>
        </w:rPr>
        <w:t>問題積極研擬</w:t>
      </w:r>
      <w:r w:rsidR="003A76F8" w:rsidRPr="00697C03">
        <w:rPr>
          <w:rFonts w:hAnsi="標楷體" w:hint="eastAsia"/>
          <w:b/>
          <w:szCs w:val="32"/>
        </w:rPr>
        <w:t>整體規劃及配套措施</w:t>
      </w:r>
      <w:r w:rsidR="007C63B5" w:rsidRPr="00697C03">
        <w:rPr>
          <w:rFonts w:hAnsi="標楷體" w:hint="eastAsia"/>
          <w:b/>
          <w:szCs w:val="32"/>
        </w:rPr>
        <w:t>，</w:t>
      </w:r>
      <w:r w:rsidR="00EC3B2C" w:rsidRPr="00697C03">
        <w:rPr>
          <w:rFonts w:hAnsi="標楷體" w:hint="eastAsia"/>
          <w:b/>
          <w:szCs w:val="32"/>
        </w:rPr>
        <w:t>肇致</w:t>
      </w:r>
      <w:r w:rsidR="00710BD4" w:rsidRPr="00697C03">
        <w:rPr>
          <w:rFonts w:hAnsi="標楷體" w:hint="eastAsia"/>
          <w:b/>
          <w:szCs w:val="32"/>
        </w:rPr>
        <w:t>地方政府及學校無所適從，</w:t>
      </w:r>
      <w:r w:rsidR="00986FB0" w:rsidRPr="00697C03">
        <w:rPr>
          <w:rFonts w:hAnsi="標楷體" w:hint="eastAsia"/>
          <w:b/>
          <w:szCs w:val="32"/>
        </w:rPr>
        <w:t>顯未</w:t>
      </w:r>
      <w:r w:rsidR="00671D32" w:rsidRPr="00697C03">
        <w:rPr>
          <w:rFonts w:hAnsi="標楷體" w:hint="eastAsia"/>
          <w:b/>
          <w:szCs w:val="32"/>
        </w:rPr>
        <w:t>落實</w:t>
      </w:r>
      <w:r w:rsidR="00B33DA6" w:rsidRPr="00697C03">
        <w:rPr>
          <w:rFonts w:hAnsi="標楷體" w:hint="eastAsia"/>
          <w:b/>
          <w:bCs w:val="0"/>
          <w:szCs w:val="52"/>
        </w:rPr>
        <w:t>聯合國</w:t>
      </w:r>
      <w:r w:rsidR="00B33DA6" w:rsidRPr="00697C03">
        <w:rPr>
          <w:rFonts w:hAnsi="標楷體" w:hint="eastAsia"/>
          <w:b/>
        </w:rPr>
        <w:t>經濟社會文化權利國際公約之意旨，亦有違</w:t>
      </w:r>
      <w:r w:rsidR="00671D32" w:rsidRPr="00697C03">
        <w:rPr>
          <w:rFonts w:hAnsi="標楷體" w:hint="eastAsia"/>
          <w:b/>
          <w:szCs w:val="32"/>
        </w:rPr>
        <w:t>教育基本法</w:t>
      </w:r>
      <w:r w:rsidR="00986FB0" w:rsidRPr="00697C03">
        <w:rPr>
          <w:rFonts w:hAnsi="標楷體" w:hint="eastAsia"/>
          <w:b/>
          <w:szCs w:val="32"/>
        </w:rPr>
        <w:t>針對教育權之保障</w:t>
      </w:r>
      <w:r w:rsidR="00D57D6E" w:rsidRPr="00697C03">
        <w:rPr>
          <w:rFonts w:hAnsi="標楷體" w:hint="eastAsia"/>
          <w:b/>
          <w:szCs w:val="32"/>
        </w:rPr>
        <w:t>規範</w:t>
      </w:r>
      <w:r w:rsidR="00671D32" w:rsidRPr="00697C03">
        <w:rPr>
          <w:rFonts w:hAnsi="標楷體" w:hint="eastAsia"/>
          <w:b/>
          <w:szCs w:val="32"/>
        </w:rPr>
        <w:t>及十二年國教之精神，</w:t>
      </w:r>
      <w:bookmarkEnd w:id="65"/>
      <w:r w:rsidR="00EF7CDE" w:rsidRPr="00697C03">
        <w:rPr>
          <w:rFonts w:hAnsi="標楷體" w:hint="eastAsia"/>
          <w:b/>
          <w:szCs w:val="32"/>
        </w:rPr>
        <w:t>罔顧</w:t>
      </w:r>
      <w:r w:rsidR="0050171A" w:rsidRPr="00697C03">
        <w:rPr>
          <w:rFonts w:hAnsi="標楷體" w:hint="eastAsia"/>
          <w:b/>
          <w:szCs w:val="32"/>
        </w:rPr>
        <w:t>青少年</w:t>
      </w:r>
      <w:r w:rsidR="00480E0D" w:rsidRPr="00697C03">
        <w:rPr>
          <w:rFonts w:hAnsi="標楷體" w:hint="eastAsia"/>
          <w:b/>
          <w:szCs w:val="32"/>
        </w:rPr>
        <w:t>教育及</w:t>
      </w:r>
      <w:r w:rsidR="00986FB0" w:rsidRPr="00697C03">
        <w:rPr>
          <w:rFonts w:hAnsi="標楷體" w:hint="eastAsia"/>
          <w:b/>
          <w:szCs w:val="32"/>
        </w:rPr>
        <w:t>學習權益</w:t>
      </w:r>
      <w:r w:rsidR="00EF7CDE" w:rsidRPr="00697C03">
        <w:rPr>
          <w:rFonts w:hAnsi="標楷體" w:hint="eastAsia"/>
          <w:b/>
          <w:szCs w:val="32"/>
        </w:rPr>
        <w:t>，</w:t>
      </w:r>
      <w:r w:rsidR="00B33DA6" w:rsidRPr="00697C03">
        <w:rPr>
          <w:rFonts w:hAnsi="標楷體" w:hint="eastAsia"/>
          <w:b/>
          <w:szCs w:val="32"/>
        </w:rPr>
        <w:t>洵有怠失</w:t>
      </w:r>
      <w:bookmarkEnd w:id="66"/>
      <w:r w:rsidRPr="00697C03">
        <w:rPr>
          <w:rFonts w:hAnsi="標楷體"/>
          <w:b/>
        </w:rPr>
        <w:t xml:space="preserve"> </w:t>
      </w:r>
    </w:p>
    <w:p w:rsidR="00406A77" w:rsidRPr="00697C03" w:rsidRDefault="00406A77" w:rsidP="00DA349E">
      <w:pPr>
        <w:pStyle w:val="3"/>
        <w:kinsoku/>
        <w:ind w:left="1394"/>
        <w:rPr>
          <w:szCs w:val="52"/>
        </w:rPr>
      </w:pPr>
      <w:bookmarkStart w:id="67" w:name="_Toc37315439"/>
      <w:r w:rsidRPr="00697C03">
        <w:t>教育是國力的根基，孩子是國家未來的希望；提升教育品</w:t>
      </w:r>
      <w:r w:rsidR="00906F82" w:rsidRPr="00697C03">
        <w:t>質是政府對國民的責任，也是國家對新世代的教育承諾。揆諸世界各國</w:t>
      </w:r>
      <w:r w:rsidRPr="00697C03">
        <w:t>積極推陳教育改革，透過各種策略持續提升教育品質、培養優質人才，以</w:t>
      </w:r>
      <w:r w:rsidRPr="00697C03">
        <w:lastRenderedPageBreak/>
        <w:t>教育提升國家競爭力</w:t>
      </w:r>
      <w:r w:rsidRPr="00697C03">
        <w:rPr>
          <w:rStyle w:val="aff0"/>
          <w:rFonts w:hAnsi="標楷體"/>
        </w:rPr>
        <w:footnoteReference w:id="2"/>
      </w:r>
      <w:r w:rsidRPr="00697C03">
        <w:t>。</w:t>
      </w:r>
      <w:r w:rsidRPr="00697C03">
        <w:rPr>
          <w:rFonts w:hint="eastAsia"/>
        </w:rPr>
        <w:t xml:space="preserve">按經濟社會文化權利國際公約（International Covenant </w:t>
      </w:r>
      <w:r w:rsidRPr="00697C03">
        <w:rPr>
          <w:rFonts w:hint="eastAsia"/>
          <w:szCs w:val="32"/>
        </w:rPr>
        <w:t>on</w:t>
      </w:r>
      <w:r w:rsidRPr="00697C03">
        <w:rPr>
          <w:rFonts w:hint="eastAsia"/>
        </w:rPr>
        <w:t xml:space="preserve"> Economic Social and Cultural Rights</w:t>
      </w:r>
      <w:r w:rsidRPr="00697C03">
        <w:t>, ICESCR</w:t>
      </w:r>
      <w:r w:rsidRPr="00697C03">
        <w:rPr>
          <w:rFonts w:hint="eastAsia"/>
        </w:rPr>
        <w:t>）</w:t>
      </w:r>
      <w:bookmarkEnd w:id="67"/>
      <w:r w:rsidRPr="00697C03">
        <w:rPr>
          <w:rFonts w:hint="eastAsia"/>
        </w:rPr>
        <w:t>第13條</w:t>
      </w:r>
      <w:r w:rsidRPr="00697C03">
        <w:rPr>
          <w:rStyle w:val="aff0"/>
          <w:rFonts w:hAnsi="標楷體"/>
        </w:rPr>
        <w:footnoteReference w:id="3"/>
      </w:r>
      <w:r w:rsidRPr="00697C03">
        <w:rPr>
          <w:rFonts w:hint="eastAsia"/>
        </w:rPr>
        <w:t>：「本公約締約國確認人人有受教育之權。締約國公認教育應謀人格及人格尊嚴意識之充分發展，增強對人權與基本自由之尊重。締約國又公認教育應使人人均能參加自由社會積極貢獻，應促進各民族間及各種族、人種或宗教團體間之了解、容恕及友好關係，並應推進聯合國維持和平之工作。二、本公約締約國為求充分實現此種權利起見，確認：（一）初等教育應屬強迫性質，免費普及全民；（二）各種中等教育，包括技術及職業中等教育在內，應以一切適當方法，特別應逐漸採行免費教育制度，廣行舉辦，庶使人人均有接受機會；（三）高等教育應根</w:t>
      </w:r>
      <w:r w:rsidRPr="00697C03">
        <w:rPr>
          <w:rFonts w:hint="eastAsia"/>
        </w:rPr>
        <w:lastRenderedPageBreak/>
        <w:t>據能力，以一切適當方法，特別應逐漸採行免費教育制度，使人人有平等接受機會；（四）基本教育應儘量予以鼓勵或加緊辦理，以利未受初等教育或未能完成初等教育之人；（五）各級學校完備之制度應予積極發展，適當之獎學金制度應予設置，教育人員之物質條件亦應不斷改善。三、本公約締約國承允尊重父母或法定監護人為子女選擇符合國家所規定或認可最低教育標準之非公立學校，及確保子女接受符合其本人信仰之宗教及道德教育之自由。四、本條任何部分不得解釋為干涉個人或團體設立及管理教育機構之自由，但以遵守本條第一項所載原則及此等機構所施教育符合國家所定最低標準為限」。為實施兩公約，按</w:t>
      </w:r>
      <w:r w:rsidRPr="00697C03">
        <w:t>公民與政治權利國際公約</w:t>
      </w:r>
      <w:r w:rsidR="00DC46ED" w:rsidRPr="00697C03">
        <w:rPr>
          <w:rFonts w:hAnsi="標楷體" w:hint="eastAsia"/>
        </w:rPr>
        <w:t>（International Covenant on Civil and Political Rights</w:t>
      </w:r>
      <w:r w:rsidR="00324841" w:rsidRPr="00697C03">
        <w:t>,</w:t>
      </w:r>
      <w:r w:rsidR="003324E1" w:rsidRPr="00697C03">
        <w:rPr>
          <w:rFonts w:hint="eastAsia"/>
        </w:rPr>
        <w:t>ICCPR</w:t>
      </w:r>
      <w:r w:rsidR="00DC46ED" w:rsidRPr="00697C03">
        <w:rPr>
          <w:rFonts w:hAnsi="標楷體" w:hint="eastAsia"/>
        </w:rPr>
        <w:t>）</w:t>
      </w:r>
      <w:r w:rsidRPr="00697C03">
        <w:t>及經濟社會文化權利國際公約施行法</w:t>
      </w:r>
      <w:r w:rsidRPr="00697C03">
        <w:rPr>
          <w:rFonts w:hint="eastAsia"/>
        </w:rPr>
        <w:t>第2條明定，兩公約所揭示保障人權之規定，具有國內法律之效力。第4條規定，各級政府機關行使其職權，應符合兩公約有關人權保障之規定，避免侵害人權，保護人民不受他人侵害，並應積極促進各項人權之實現。及第5條第1項規定，各級政府機關應確實依現行法令規定之業務職掌，負責籌劃、推動及執行兩公約規定事項；其涉及不同機關業務職掌者，相互間應協調連繫辦理</w:t>
      </w:r>
      <w:r w:rsidR="00FE6B99" w:rsidRPr="00697C03">
        <w:rPr>
          <w:rFonts w:hAnsi="標楷體"/>
        </w:rPr>
        <w:t>……</w:t>
      </w:r>
      <w:r w:rsidRPr="00697C03">
        <w:rPr>
          <w:rFonts w:hint="eastAsia"/>
        </w:rPr>
        <w:t>。</w:t>
      </w:r>
      <w:r w:rsidR="00EC10B2" w:rsidRPr="00697C03">
        <w:rPr>
          <w:rFonts w:hint="eastAsia"/>
        </w:rPr>
        <w:t>準此，</w:t>
      </w:r>
      <w:r w:rsidR="001804E7" w:rsidRPr="00697C03">
        <w:rPr>
          <w:rFonts w:hint="eastAsia"/>
        </w:rPr>
        <w:t>政府應</w:t>
      </w:r>
      <w:r w:rsidR="00111EE7" w:rsidRPr="00697C03">
        <w:rPr>
          <w:rFonts w:hint="eastAsia"/>
        </w:rPr>
        <w:t>積極</w:t>
      </w:r>
      <w:r w:rsidR="00A45644" w:rsidRPr="00697C03">
        <w:rPr>
          <w:rFonts w:hint="eastAsia"/>
        </w:rPr>
        <w:t>落實上述相關法令內容，以保障</w:t>
      </w:r>
      <w:r w:rsidR="00081B1C" w:rsidRPr="00697C03">
        <w:rPr>
          <w:rFonts w:hint="eastAsia"/>
        </w:rPr>
        <w:t>基本人權</w:t>
      </w:r>
      <w:r w:rsidR="00A45644" w:rsidRPr="00697C03">
        <w:rPr>
          <w:rFonts w:hint="eastAsia"/>
        </w:rPr>
        <w:t>，</w:t>
      </w:r>
      <w:r w:rsidR="00AF2D78" w:rsidRPr="00697C03">
        <w:rPr>
          <w:rFonts w:hint="eastAsia"/>
        </w:rPr>
        <w:t>實</w:t>
      </w:r>
      <w:r w:rsidR="00A45644" w:rsidRPr="00697C03">
        <w:rPr>
          <w:rFonts w:hint="eastAsia"/>
        </w:rPr>
        <w:t>屬責無旁貸。</w:t>
      </w:r>
    </w:p>
    <w:p w:rsidR="00406A77" w:rsidRPr="00697C03" w:rsidRDefault="00406A77" w:rsidP="00406A77">
      <w:pPr>
        <w:pStyle w:val="3"/>
        <w:kinsoku/>
        <w:ind w:left="1360" w:hanging="680"/>
        <w:rPr>
          <w:rFonts w:hAnsi="標楷體"/>
        </w:rPr>
      </w:pPr>
      <w:r w:rsidRPr="00697C03">
        <w:rPr>
          <w:rFonts w:hAnsi="標楷體" w:hint="eastAsia"/>
        </w:rPr>
        <w:t>復按教育基本法第4條規定，人民無分性別、年齡、能力、地域、族群、宗教信仰、政治理念、社經地位及其他條件，接受教育之機會一律平等。對於原住民、身心障礙者及其他弱勢族群之教育，應考慮其自主性及特殊性，依法令予以特別保障，並扶助</w:t>
      </w:r>
      <w:r w:rsidRPr="00697C03">
        <w:rPr>
          <w:rFonts w:hAnsi="標楷體" w:hint="eastAsia"/>
        </w:rPr>
        <w:lastRenderedPageBreak/>
        <w:t>其發展。</w:t>
      </w:r>
      <w:r w:rsidR="00FD2BED" w:rsidRPr="00697C03">
        <w:rPr>
          <w:rFonts w:hAnsi="標楷體" w:hint="eastAsia"/>
        </w:rPr>
        <w:t>按</w:t>
      </w:r>
      <w:r w:rsidRPr="00697C03">
        <w:rPr>
          <w:rFonts w:hAnsi="標楷體" w:hint="eastAsia"/>
        </w:rPr>
        <w:t>同法第8條第2項規定，</w:t>
      </w:r>
      <w:r w:rsidRPr="00697C03">
        <w:rPr>
          <w:rFonts w:hAnsi="標楷體" w:hint="eastAsia"/>
          <w:szCs w:val="52"/>
        </w:rPr>
        <w:t>學生之學習權、受教育權、身體自主權及人格發展權，國家應予保障，並使學生不受任何體罰及霸凌行為，造成身心之侵害</w:t>
      </w:r>
      <w:r w:rsidRPr="00697C03">
        <w:rPr>
          <w:rFonts w:hAnsi="標楷體" w:hint="eastAsia"/>
        </w:rPr>
        <w:t>；第4項規定，學校應在各級政府依法監督下，配合社區發展需要，提供良好學習環境。按同法第11條明定，國民教育應視社會發展需要延長年限。</w:t>
      </w:r>
      <w:r w:rsidR="000974D1" w:rsidRPr="00697C03">
        <w:rPr>
          <w:rFonts w:hAnsi="標楷體" w:hint="eastAsia"/>
        </w:rPr>
        <w:t>另</w:t>
      </w:r>
      <w:r w:rsidR="00A83300" w:rsidRPr="00697C03">
        <w:rPr>
          <w:rFonts w:hAnsi="標楷體" w:hint="eastAsia"/>
        </w:rPr>
        <w:t>按</w:t>
      </w:r>
      <w:r w:rsidRPr="00697C03">
        <w:rPr>
          <w:rFonts w:hAnsi="標楷體" w:hint="eastAsia"/>
        </w:rPr>
        <w:t>同法第9條規定中央政府之教育權限如下︰一、教育制度之規劃設計。二、對地方教育事務之適法監督。三、執行全國性教育事務，並協調或協助各地方教育之發展。四、中央教育經費之分配與補助。五、設立並監督國立學校及其他教育機構。六、教育統計、評鑑與政策研究。七、促進教育事務之國際交流。八、依憲法規定對教育事業、教育工作者、少數民族及弱勢群體之教育事項，提供獎勵、扶助或促其發展。準此，針對國民教育權之基本維護事項，政府應依法整體評估並長期規劃，以積極落實國民教育權之保障。</w:t>
      </w:r>
    </w:p>
    <w:p w:rsidR="00406A77" w:rsidRPr="00697C03" w:rsidRDefault="00406A77" w:rsidP="00406A77">
      <w:pPr>
        <w:pStyle w:val="3"/>
        <w:kinsoku/>
        <w:ind w:left="1360" w:hanging="680"/>
        <w:rPr>
          <w:rFonts w:hAnsi="標楷體"/>
        </w:rPr>
      </w:pPr>
      <w:r w:rsidRPr="00697C03">
        <w:rPr>
          <w:rFonts w:hAnsi="標楷體" w:hint="eastAsia"/>
        </w:rPr>
        <w:t>查十二年國民基本教育實施計畫載明</w:t>
      </w:r>
      <w:r w:rsidR="0022119F" w:rsidRPr="00697C03">
        <w:rPr>
          <w:rFonts w:hAnsi="標楷體" w:hint="eastAsia"/>
        </w:rPr>
        <w:t>略以</w:t>
      </w:r>
      <w:r w:rsidRPr="00697C03">
        <w:rPr>
          <w:rFonts w:hAnsi="標楷體" w:hint="eastAsia"/>
        </w:rPr>
        <w:t>，政府辦理義務教育的理念，也從原本培養忠誠國民的政治單一角度，擴大到培養國家經濟發展所需人力的經濟角度，促進教育機會均等的社會正義角度，以及以學生為本，尊重受教者的學習權等多元角度</w:t>
      </w:r>
      <w:r w:rsidR="0064086B" w:rsidRPr="00697C03">
        <w:rPr>
          <w:rFonts w:hAnsi="標楷體" w:hint="eastAsia"/>
        </w:rPr>
        <w:t>。據教育</w:t>
      </w:r>
      <w:r w:rsidRPr="00697C03">
        <w:rPr>
          <w:rFonts w:hAnsi="標楷體" w:hint="eastAsia"/>
        </w:rPr>
        <w:t>部引用國際趨勢</w:t>
      </w:r>
      <w:r w:rsidR="009203B9" w:rsidRPr="00697C03">
        <w:rPr>
          <w:rFonts w:hAnsi="標楷體" w:hint="eastAsia"/>
        </w:rPr>
        <w:t>資料</w:t>
      </w:r>
      <w:r w:rsidRPr="00697C03">
        <w:rPr>
          <w:rFonts w:hAnsi="標楷體" w:hint="eastAsia"/>
        </w:rPr>
        <w:t>指出，</w:t>
      </w:r>
      <w:r w:rsidR="002527F4" w:rsidRPr="00697C03">
        <w:rPr>
          <w:rFonts w:hint="eastAsia"/>
        </w:rPr>
        <w:t>聯合國教育、科學與文化組織（United Nations Educational, Scientific and Cultural Organization</w:t>
      </w:r>
      <w:r w:rsidR="001571D2" w:rsidRPr="00697C03">
        <w:rPr>
          <w:rFonts w:hint="eastAsia"/>
        </w:rPr>
        <w:t>，</w:t>
      </w:r>
      <w:r w:rsidR="002527F4" w:rsidRPr="00697C03">
        <w:rPr>
          <w:rFonts w:hint="eastAsia"/>
        </w:rPr>
        <w:t>下稱UNESCO）</w:t>
      </w:r>
      <w:r w:rsidRPr="00697C03">
        <w:rPr>
          <w:rFonts w:hAnsi="標楷體" w:hint="eastAsia"/>
        </w:rPr>
        <w:t>於</w:t>
      </w:r>
      <w:r w:rsidR="00C44AAD" w:rsidRPr="00697C03">
        <w:rPr>
          <w:rFonts w:hAnsi="標楷體" w:hint="eastAsia"/>
        </w:rPr>
        <w:t>公元</w:t>
      </w:r>
      <w:r w:rsidR="00C44AAD" w:rsidRPr="00697C03">
        <w:rPr>
          <w:rStyle w:val="aff0"/>
          <w:rFonts w:hAnsi="標楷體"/>
        </w:rPr>
        <w:footnoteReference w:id="4"/>
      </w:r>
      <w:r w:rsidRPr="00697C03">
        <w:rPr>
          <w:rFonts w:hAnsi="標楷體" w:hint="eastAsia"/>
        </w:rPr>
        <w:t xml:space="preserve">2000年4月「達喀爾行動綱領，全民教育：實現我們集體的承諾」（The Dakar Framework for Action Education for All: </w:t>
      </w:r>
      <w:r w:rsidRPr="00697C03">
        <w:rPr>
          <w:rFonts w:hAnsi="標楷體" w:hint="eastAsia"/>
        </w:rPr>
        <w:lastRenderedPageBreak/>
        <w:t>Meeting Our Collective Commitments</w:t>
      </w:r>
      <w:r w:rsidR="0079236E" w:rsidRPr="00697C03">
        <w:rPr>
          <w:rFonts w:hAnsi="標楷體" w:hint="eastAsia"/>
        </w:rPr>
        <w:t>）</w:t>
      </w:r>
      <w:r w:rsidRPr="00697C03">
        <w:rPr>
          <w:rFonts w:hAnsi="標楷體" w:hint="eastAsia"/>
        </w:rPr>
        <w:t>第6條揭櫫：「教育是一</w:t>
      </w:r>
      <w:r w:rsidR="00A739A6" w:rsidRPr="00697C03">
        <w:rPr>
          <w:rFonts w:hAnsi="標楷體" w:hint="eastAsia"/>
        </w:rPr>
        <w:t>項基本人權</w:t>
      </w:r>
      <w:r w:rsidR="00EE1212" w:rsidRPr="00697C03">
        <w:rPr>
          <w:rFonts w:hAnsi="標楷體" w:hint="eastAsia"/>
        </w:rPr>
        <w:t>，</w:t>
      </w:r>
      <w:r w:rsidRPr="00697C03">
        <w:rPr>
          <w:rFonts w:hAnsi="標楷體" w:hint="eastAsia"/>
        </w:rPr>
        <w:t>也是有效參與21世紀迅速全球化的社會與經濟必不可少的手段。」並強調「教育的發展應由菁英教育轉向全民教育，且應從基礎教育全民化邁向中等教育全民化。」又世界銀行</w:t>
      </w:r>
      <w:r w:rsidR="0079236E" w:rsidRPr="00697C03">
        <w:rPr>
          <w:rFonts w:hAnsi="標楷體" w:hint="eastAsia"/>
        </w:rPr>
        <w:t>（</w:t>
      </w:r>
      <w:r w:rsidRPr="00697C03">
        <w:rPr>
          <w:rFonts w:hAnsi="標楷體" w:hint="eastAsia"/>
        </w:rPr>
        <w:t>World Bank</w:t>
      </w:r>
      <w:r w:rsidR="0079236E" w:rsidRPr="00697C03">
        <w:rPr>
          <w:rFonts w:hAnsi="標楷體" w:hint="eastAsia"/>
        </w:rPr>
        <w:t>）</w:t>
      </w:r>
      <w:r w:rsidRPr="00697C03">
        <w:rPr>
          <w:rFonts w:hAnsi="標楷體" w:hint="eastAsia"/>
        </w:rPr>
        <w:t>2005年「為年輕人增加機會、培養能力：中等教育新方案」</w:t>
      </w:r>
      <w:r w:rsidR="0079236E" w:rsidRPr="00697C03">
        <w:rPr>
          <w:rFonts w:hAnsi="標楷體" w:hint="eastAsia"/>
        </w:rPr>
        <w:t>（</w:t>
      </w:r>
      <w:r w:rsidRPr="00697C03">
        <w:rPr>
          <w:rFonts w:hAnsi="標楷體" w:hint="eastAsia"/>
        </w:rPr>
        <w:t>Expanding Opportunities and Building Competence for young People- New Agenda for Secondary</w:t>
      </w:r>
      <w:r w:rsidR="0079236E" w:rsidRPr="00697C03">
        <w:rPr>
          <w:rFonts w:hAnsi="標楷體" w:hint="eastAsia"/>
        </w:rPr>
        <w:t>）</w:t>
      </w:r>
      <w:r w:rsidRPr="00697C03">
        <w:rPr>
          <w:rFonts w:hAnsi="標楷體" w:hint="eastAsia"/>
        </w:rPr>
        <w:t>，強調中等教育全民</w:t>
      </w:r>
      <w:r w:rsidRPr="00697C03">
        <w:rPr>
          <w:rFonts w:hAnsi="標楷體" w:hint="eastAsia"/>
          <w:szCs w:val="20"/>
        </w:rPr>
        <w:t>化，這是針對國中階段。然而我國目標應高於兩者，不只數量的普及要從國中教育階段延伸至高級中等教育階段，更應追求品質的提高，發展個人潛能，促進終身學習。</w:t>
      </w:r>
      <w:r w:rsidRPr="00697C03">
        <w:rPr>
          <w:rFonts w:hAnsi="標楷體" w:hint="eastAsia"/>
        </w:rPr>
        <w:t>此外，依我國十二年國民基本教育課程理念指出，</w:t>
      </w:r>
      <w:r w:rsidRPr="00697C03">
        <w:rPr>
          <w:rFonts w:hAnsi="標楷體"/>
          <w:lang w:val="en"/>
        </w:rPr>
        <w:t>課程發展本於全人教育的精神，以「自發」、「互動」及「共好」為理念，強調學生是自發主動的學習者，學校教育應善誘學生的學習動機與熱情，引導學生妥善開展與自我、與他人、與社會、與自然的各種互動能力，協助學生應用及實踐所學、體驗生命意義，願意致力社會、自然與文化的永續發展，共同謀求彼此的互惠與共好。</w:t>
      </w:r>
      <w:r w:rsidR="00BF3CF1" w:rsidRPr="00697C03">
        <w:rPr>
          <w:rFonts w:hAnsi="標楷體" w:hint="eastAsia"/>
          <w:lang w:val="en"/>
        </w:rPr>
        <w:t>是以，十二年國教精神</w:t>
      </w:r>
      <w:r w:rsidR="000C454C" w:rsidRPr="00697C03">
        <w:rPr>
          <w:rFonts w:hAnsi="標楷體" w:hint="eastAsia"/>
          <w:szCs w:val="32"/>
        </w:rPr>
        <w:t>強調因材施教、適性揚才、多元進路等理念，面對不同智能、性向及興趣的學生，能透過不同的課程、教學方式及適性輔導，引導學生瞭解自我性向與興趣，協助其發展多元智能並找到適合自己的進路，以便繼續升學或順利就業。</w:t>
      </w:r>
    </w:p>
    <w:p w:rsidR="00406A77" w:rsidRPr="00697C03" w:rsidRDefault="006D1135" w:rsidP="00A72FFD">
      <w:pPr>
        <w:pStyle w:val="3"/>
        <w:kinsoku/>
        <w:ind w:left="1360" w:hanging="680"/>
      </w:pPr>
      <w:r w:rsidRPr="00697C03">
        <w:rPr>
          <w:rFonts w:hint="eastAsia"/>
        </w:rPr>
        <w:t>惟</w:t>
      </w:r>
      <w:r w:rsidR="00406A77" w:rsidRPr="00697C03">
        <w:rPr>
          <w:rFonts w:hint="eastAsia"/>
        </w:rPr>
        <w:t>查</w:t>
      </w:r>
      <w:r w:rsidR="00C9027A" w:rsidRPr="00697C03">
        <w:rPr>
          <w:rFonts w:hint="eastAsia"/>
        </w:rPr>
        <w:t>，</w:t>
      </w:r>
      <w:r w:rsidR="005B29CD" w:rsidRPr="00697C03">
        <w:rPr>
          <w:rFonts w:hint="eastAsia"/>
        </w:rPr>
        <w:t>廣義而言，</w:t>
      </w:r>
      <w:r w:rsidR="009476E9" w:rsidRPr="00697C03">
        <w:rPr>
          <w:rFonts w:hint="eastAsia"/>
        </w:rPr>
        <w:t>目前我國未能完成國民教育階段之學生計有幾種類型，包括</w:t>
      </w:r>
      <w:r w:rsidR="00A72FFD" w:rsidRPr="00697C03">
        <w:rPr>
          <w:rFonts w:hAnsi="標楷體" w:hint="eastAsia"/>
        </w:rPr>
        <w:t>高級中等學校中途離校學生、國民中學畢業後未升學未就業學生、國民中小學中途輟學學生及因持續中輟而逾義務教育年齡</w:t>
      </w:r>
      <w:r w:rsidR="00A72FFD" w:rsidRPr="00697C03">
        <w:rPr>
          <w:rFonts w:hAnsi="標楷體" w:hint="eastAsia"/>
        </w:rPr>
        <w:lastRenderedPageBreak/>
        <w:t>者等</w:t>
      </w:r>
      <w:r w:rsidR="009476E9" w:rsidRPr="00697C03">
        <w:rPr>
          <w:rFonts w:hint="eastAsia"/>
        </w:rPr>
        <w:t>。</w:t>
      </w:r>
      <w:r w:rsidR="00406A77" w:rsidRPr="00697C03">
        <w:rPr>
          <w:rFonts w:hint="eastAsia"/>
        </w:rPr>
        <w:t>我國國民中</w:t>
      </w:r>
      <w:r w:rsidR="00F5472B" w:rsidRPr="00697C03">
        <w:rPr>
          <w:rFonts w:hint="eastAsia"/>
        </w:rPr>
        <w:t>小</w:t>
      </w:r>
      <w:r w:rsidR="00F717BE" w:rsidRPr="00697C03">
        <w:rPr>
          <w:rFonts w:hint="eastAsia"/>
        </w:rPr>
        <w:t>學中途輟學</w:t>
      </w:r>
      <w:r w:rsidR="00406A77" w:rsidRPr="00697C03">
        <w:rPr>
          <w:rFonts w:hint="eastAsia"/>
        </w:rPr>
        <w:t>相關定義及歷年度各縣市學校統計人數之演變情形如下：</w:t>
      </w:r>
    </w:p>
    <w:p w:rsidR="00840A6E" w:rsidRPr="00697C03" w:rsidRDefault="00602DDC" w:rsidP="00840A6E">
      <w:pPr>
        <w:pStyle w:val="4"/>
        <w:rPr>
          <w:rFonts w:hAnsi="標楷體"/>
        </w:rPr>
      </w:pPr>
      <w:r w:rsidRPr="00697C03">
        <w:rPr>
          <w:rFonts w:hAnsi="標楷體" w:hint="eastAsia"/>
        </w:rPr>
        <w:t>國民中小學中途輟學</w:t>
      </w:r>
      <w:r w:rsidR="00840A6E" w:rsidRPr="00697C03">
        <w:rPr>
          <w:rFonts w:hAnsi="標楷體" w:hint="eastAsia"/>
        </w:rPr>
        <w:t>之定義</w:t>
      </w:r>
      <w:r w:rsidRPr="00697C03">
        <w:rPr>
          <w:rFonts w:hAnsi="標楷體" w:hint="eastAsia"/>
        </w:rPr>
        <w:t>，</w:t>
      </w:r>
      <w:r w:rsidR="00840A6E" w:rsidRPr="00697C03">
        <w:rPr>
          <w:rFonts w:hAnsi="標楷體" w:hint="eastAsia"/>
        </w:rPr>
        <w:t>係</w:t>
      </w:r>
      <w:r w:rsidR="00406A77" w:rsidRPr="00697C03">
        <w:rPr>
          <w:rFonts w:hAnsi="標楷體" w:hint="eastAsia"/>
        </w:rPr>
        <w:t>按強迫入學條例第8條之1規定</w:t>
      </w:r>
      <w:r w:rsidR="00454A0A" w:rsidRPr="00697C03">
        <w:rPr>
          <w:rStyle w:val="aff0"/>
          <w:rFonts w:hAnsi="標楷體"/>
        </w:rPr>
        <w:footnoteReference w:id="5"/>
      </w:r>
      <w:r w:rsidR="00406A77" w:rsidRPr="00697C03">
        <w:rPr>
          <w:rFonts w:hAnsi="標楷體" w:hint="eastAsia"/>
        </w:rPr>
        <w:t>，</w:t>
      </w:r>
      <w:r w:rsidR="00EB776F" w:rsidRPr="00697C03">
        <w:rPr>
          <w:rFonts w:hAnsi="標楷體" w:hint="eastAsia"/>
        </w:rPr>
        <w:t>教育部</w:t>
      </w:r>
      <w:r w:rsidR="00337046" w:rsidRPr="00697C03">
        <w:rPr>
          <w:rFonts w:hAnsi="標楷體" w:hint="eastAsia"/>
        </w:rPr>
        <w:t>訂頒國民小學與國民中學未入學或中途輟學學生通報及復學輔導辦法</w:t>
      </w:r>
      <w:r w:rsidR="00373C6E" w:rsidRPr="00697C03">
        <w:rPr>
          <w:rFonts w:hAnsi="標楷體" w:hint="eastAsia"/>
        </w:rPr>
        <w:t>（下稱國中小學復學輔導辦法）</w:t>
      </w:r>
      <w:r w:rsidR="00406A77" w:rsidRPr="00697C03">
        <w:rPr>
          <w:rFonts w:hAnsi="標楷體" w:hint="eastAsia"/>
        </w:rPr>
        <w:t>，</w:t>
      </w:r>
      <w:r w:rsidR="00920222" w:rsidRPr="00697C03">
        <w:rPr>
          <w:rFonts w:hAnsi="標楷體" w:hint="eastAsia"/>
        </w:rPr>
        <w:t>第2條</w:t>
      </w:r>
      <w:r w:rsidR="00406A77" w:rsidRPr="00697C03">
        <w:rPr>
          <w:rFonts w:hAnsi="標楷體" w:hint="eastAsia"/>
        </w:rPr>
        <w:t>規定國民小學及國民中學發現學生有未經請假、請假未獲准或不明原因未到校上課連續達3日以上者，或轉學生因不明原因，自轉出之日起3日內未向轉入學校完成報到手續者，列為中輟生，應立即填具通報單通報直轄市、縣（市）政府，並報請鄉（鎮、市、區）強迫入學委員會執行強迫入學事宜</w:t>
      </w:r>
      <w:r w:rsidR="006B5CED" w:rsidRPr="00697C03">
        <w:rPr>
          <w:rFonts w:hAnsi="標楷體" w:hint="eastAsia"/>
        </w:rPr>
        <w:t>。</w:t>
      </w:r>
      <w:r w:rsidR="005C6230" w:rsidRPr="00697C03">
        <w:rPr>
          <w:rFonts w:hAnsi="標楷體" w:hint="eastAsia"/>
        </w:rPr>
        <w:t>而</w:t>
      </w:r>
      <w:r w:rsidR="00840A6E" w:rsidRPr="00697C03">
        <w:rPr>
          <w:rFonts w:hAnsi="標楷體" w:hint="eastAsia"/>
        </w:rPr>
        <w:t>高級中等學校中途離校之定義，則按高級中等學校學生穩定就學及中途離校學生輔導機制實施要點規定，學校通報下列學生為中離學生：1.未經請假或不明原因未到校上課連續達</w:t>
      </w:r>
      <w:r w:rsidR="00ED1A28" w:rsidRPr="00697C03">
        <w:rPr>
          <w:rFonts w:hAnsi="標楷體" w:hint="eastAsia"/>
        </w:rPr>
        <w:t>3</w:t>
      </w:r>
      <w:r w:rsidR="00840A6E" w:rsidRPr="00697C03">
        <w:rPr>
          <w:rFonts w:hAnsi="標楷體" w:hint="eastAsia"/>
        </w:rPr>
        <w:t>日以上。2.高級中等學校學生學籍管理辦法第1</w:t>
      </w:r>
      <w:r w:rsidR="00840A6E" w:rsidRPr="00697C03">
        <w:rPr>
          <w:rFonts w:hAnsi="標楷體"/>
        </w:rPr>
        <w:t>7</w:t>
      </w:r>
      <w:r w:rsidR="00840A6E" w:rsidRPr="00697C03">
        <w:rPr>
          <w:rFonts w:hAnsi="標楷體" w:hint="eastAsia"/>
        </w:rPr>
        <w:t>條第2項視為休學之學生。3.因不明原因，自轉出之日起3日內未向轉入學校完成報到手續之轉學生。4.學籍辦法第1</w:t>
      </w:r>
      <w:r w:rsidR="00840A6E" w:rsidRPr="00697C03">
        <w:rPr>
          <w:rFonts w:hAnsi="標楷體"/>
        </w:rPr>
        <w:t>7</w:t>
      </w:r>
      <w:r w:rsidR="00840A6E" w:rsidRPr="00697C03">
        <w:rPr>
          <w:rFonts w:hAnsi="標楷體" w:hint="eastAsia"/>
        </w:rPr>
        <w:t>條第1項之休學學生。</w:t>
      </w:r>
    </w:p>
    <w:p w:rsidR="00406A77" w:rsidRPr="00697C03" w:rsidRDefault="00B74676" w:rsidP="00406A77">
      <w:pPr>
        <w:pStyle w:val="4"/>
        <w:rPr>
          <w:rFonts w:hAnsi="標楷體"/>
        </w:rPr>
      </w:pPr>
      <w:r w:rsidRPr="00697C03">
        <w:rPr>
          <w:rFonts w:hAnsi="標楷體" w:hint="eastAsia"/>
        </w:rPr>
        <w:t>查</w:t>
      </w:r>
      <w:r w:rsidR="0041427D" w:rsidRPr="00697C03">
        <w:rPr>
          <w:rFonts w:hAnsi="標楷體" w:hint="eastAsia"/>
        </w:rPr>
        <w:t>國民中小學中途輟學</w:t>
      </w:r>
      <w:r w:rsidR="005073D5" w:rsidRPr="00697C03">
        <w:rPr>
          <w:rFonts w:hAnsi="標楷體" w:hint="eastAsia"/>
        </w:rPr>
        <w:t>之歷年人數</w:t>
      </w:r>
      <w:r w:rsidR="0041427D" w:rsidRPr="00697C03">
        <w:rPr>
          <w:rFonts w:hAnsi="標楷體" w:hint="eastAsia"/>
        </w:rPr>
        <w:t>部分，</w:t>
      </w:r>
      <w:r w:rsidRPr="00697C03">
        <w:rPr>
          <w:rFonts w:hAnsi="標楷體" w:hint="eastAsia"/>
        </w:rPr>
        <w:t xml:space="preserve"> </w:t>
      </w:r>
      <w:r w:rsidR="00406A77" w:rsidRPr="00697C03">
        <w:rPr>
          <w:rFonts w:hAnsi="標楷體" w:hint="eastAsia"/>
        </w:rPr>
        <w:t>103至107學年度全國國民中學中輟生之總數依序分別為3,765、3,500、3,037、2,755及2,781人；其中依全國22個縣市分布情形，103至107學年度中輟人數最高縣市為新北市、最低縣市為連江縣，詳如下表。</w:t>
      </w:r>
    </w:p>
    <w:p w:rsidR="00406A77" w:rsidRPr="00697C03" w:rsidRDefault="00406A77" w:rsidP="00406A77">
      <w:pPr>
        <w:pStyle w:val="a3"/>
        <w:rPr>
          <w:rFonts w:hAnsi="標楷體"/>
          <w:b/>
        </w:rPr>
      </w:pPr>
      <w:r w:rsidRPr="00697C03">
        <w:rPr>
          <w:rFonts w:hAnsi="標楷體" w:hint="eastAsia"/>
          <w:b/>
        </w:rPr>
        <w:lastRenderedPageBreak/>
        <w:t>103-107學年度國民</w:t>
      </w:r>
      <w:r w:rsidR="001C50C7" w:rsidRPr="00697C03">
        <w:rPr>
          <w:rFonts w:hAnsi="標楷體" w:hint="eastAsia"/>
          <w:b/>
        </w:rPr>
        <w:t>中小</w:t>
      </w:r>
      <w:r w:rsidRPr="00697C03">
        <w:rPr>
          <w:rFonts w:hAnsi="標楷體" w:hint="eastAsia"/>
          <w:b/>
        </w:rPr>
        <w:t>學中輟生</w:t>
      </w:r>
      <w:r w:rsidR="00694491" w:rsidRPr="00697C03">
        <w:rPr>
          <w:rFonts w:hAnsi="標楷體" w:hint="eastAsia"/>
          <w:b/>
        </w:rPr>
        <w:t>之</w:t>
      </w:r>
      <w:r w:rsidRPr="00697C03">
        <w:rPr>
          <w:rFonts w:hAnsi="標楷體" w:hint="eastAsia"/>
          <w:b/>
        </w:rPr>
        <w:t>各縣市分布數據</w:t>
      </w:r>
    </w:p>
    <w:tbl>
      <w:tblPr>
        <w:tblStyle w:val="af6"/>
        <w:tblW w:w="9634" w:type="dxa"/>
        <w:jc w:val="center"/>
        <w:tblLayout w:type="fixed"/>
        <w:tblLook w:val="04A0" w:firstRow="1" w:lastRow="0" w:firstColumn="1" w:lastColumn="0" w:noHBand="0" w:noVBand="1"/>
      </w:tblPr>
      <w:tblGrid>
        <w:gridCol w:w="1166"/>
        <w:gridCol w:w="1693"/>
        <w:gridCol w:w="1694"/>
        <w:gridCol w:w="1693"/>
        <w:gridCol w:w="1694"/>
        <w:gridCol w:w="1694"/>
      </w:tblGrid>
      <w:tr w:rsidR="00697C03" w:rsidRPr="00697C03" w:rsidTr="000D421C">
        <w:trPr>
          <w:trHeight w:val="63"/>
          <w:tblHeader/>
          <w:jc w:val="center"/>
        </w:trPr>
        <w:tc>
          <w:tcPr>
            <w:tcW w:w="1166" w:type="dxa"/>
            <w:noWrap/>
            <w:hideMark/>
          </w:tcPr>
          <w:p w:rsidR="00406A77" w:rsidRPr="00697C03" w:rsidRDefault="00406A77" w:rsidP="00BF41DE">
            <w:pPr>
              <w:widowControl/>
              <w:jc w:val="center"/>
              <w:rPr>
                <w:rFonts w:ascii="標楷體" w:hAnsi="標楷體" w:cs="新細明體"/>
                <w:b/>
                <w:kern w:val="0"/>
                <w:sz w:val="26"/>
                <w:szCs w:val="26"/>
              </w:rPr>
            </w:pPr>
            <w:r w:rsidRPr="00697C03">
              <w:rPr>
                <w:rFonts w:ascii="標楷體" w:hAnsi="標楷體" w:cs="新細明體" w:hint="eastAsia"/>
                <w:b/>
                <w:kern w:val="0"/>
                <w:sz w:val="26"/>
                <w:szCs w:val="26"/>
              </w:rPr>
              <w:t>縣市</w:t>
            </w:r>
          </w:p>
        </w:tc>
        <w:tc>
          <w:tcPr>
            <w:tcW w:w="1693" w:type="dxa"/>
            <w:noWrap/>
            <w:vAlign w:val="center"/>
            <w:hideMark/>
          </w:tcPr>
          <w:p w:rsidR="00406A77" w:rsidRPr="00697C03" w:rsidRDefault="00406A77" w:rsidP="00BF41DE">
            <w:pPr>
              <w:widowControl/>
              <w:jc w:val="center"/>
              <w:rPr>
                <w:rFonts w:ascii="標楷體" w:hAnsi="標楷體" w:cs="新細明體"/>
                <w:b/>
                <w:kern w:val="0"/>
                <w:sz w:val="26"/>
                <w:szCs w:val="26"/>
              </w:rPr>
            </w:pPr>
            <w:r w:rsidRPr="00697C03">
              <w:rPr>
                <w:rFonts w:ascii="標楷體" w:hAnsi="標楷體" w:cs="新細明體" w:hint="eastAsia"/>
                <w:b/>
                <w:kern w:val="0"/>
                <w:sz w:val="26"/>
                <w:szCs w:val="26"/>
              </w:rPr>
              <w:t>103學年度</w:t>
            </w:r>
          </w:p>
        </w:tc>
        <w:tc>
          <w:tcPr>
            <w:tcW w:w="1694" w:type="dxa"/>
            <w:noWrap/>
            <w:vAlign w:val="center"/>
            <w:hideMark/>
          </w:tcPr>
          <w:p w:rsidR="00406A77" w:rsidRPr="00697C03" w:rsidRDefault="00406A77" w:rsidP="00BF41DE">
            <w:pPr>
              <w:widowControl/>
              <w:jc w:val="center"/>
              <w:rPr>
                <w:rFonts w:ascii="標楷體" w:hAnsi="標楷體" w:cs="新細明體"/>
                <w:b/>
                <w:kern w:val="0"/>
                <w:sz w:val="26"/>
                <w:szCs w:val="26"/>
              </w:rPr>
            </w:pPr>
            <w:r w:rsidRPr="00697C03">
              <w:rPr>
                <w:rFonts w:ascii="標楷體" w:hAnsi="標楷體" w:cs="新細明體" w:hint="eastAsia"/>
                <w:b/>
                <w:kern w:val="0"/>
                <w:sz w:val="26"/>
                <w:szCs w:val="26"/>
              </w:rPr>
              <w:t>104學年度</w:t>
            </w:r>
          </w:p>
        </w:tc>
        <w:tc>
          <w:tcPr>
            <w:tcW w:w="1693" w:type="dxa"/>
            <w:noWrap/>
            <w:vAlign w:val="center"/>
            <w:hideMark/>
          </w:tcPr>
          <w:p w:rsidR="00406A77" w:rsidRPr="00697C03" w:rsidRDefault="00406A77" w:rsidP="00BF41DE">
            <w:pPr>
              <w:widowControl/>
              <w:jc w:val="center"/>
              <w:rPr>
                <w:rFonts w:ascii="標楷體" w:hAnsi="標楷體" w:cs="新細明體"/>
                <w:b/>
                <w:kern w:val="0"/>
                <w:sz w:val="26"/>
                <w:szCs w:val="26"/>
              </w:rPr>
            </w:pPr>
            <w:r w:rsidRPr="00697C03">
              <w:rPr>
                <w:rFonts w:ascii="標楷體" w:hAnsi="標楷體" w:cs="新細明體" w:hint="eastAsia"/>
                <w:b/>
                <w:kern w:val="0"/>
                <w:sz w:val="26"/>
                <w:szCs w:val="26"/>
              </w:rPr>
              <w:t>105學年度</w:t>
            </w:r>
          </w:p>
        </w:tc>
        <w:tc>
          <w:tcPr>
            <w:tcW w:w="1694" w:type="dxa"/>
            <w:noWrap/>
            <w:vAlign w:val="center"/>
            <w:hideMark/>
          </w:tcPr>
          <w:p w:rsidR="00406A77" w:rsidRPr="00697C03" w:rsidRDefault="00406A77" w:rsidP="00BF41DE">
            <w:pPr>
              <w:widowControl/>
              <w:jc w:val="center"/>
              <w:rPr>
                <w:rFonts w:ascii="標楷體" w:hAnsi="標楷體" w:cs="新細明體"/>
                <w:b/>
                <w:kern w:val="0"/>
                <w:sz w:val="26"/>
                <w:szCs w:val="26"/>
              </w:rPr>
            </w:pPr>
            <w:r w:rsidRPr="00697C03">
              <w:rPr>
                <w:rFonts w:ascii="標楷體" w:hAnsi="標楷體" w:cs="新細明體" w:hint="eastAsia"/>
                <w:b/>
                <w:kern w:val="0"/>
                <w:sz w:val="26"/>
                <w:szCs w:val="26"/>
              </w:rPr>
              <w:t>106學年度</w:t>
            </w:r>
          </w:p>
        </w:tc>
        <w:tc>
          <w:tcPr>
            <w:tcW w:w="1694" w:type="dxa"/>
            <w:noWrap/>
            <w:vAlign w:val="center"/>
            <w:hideMark/>
          </w:tcPr>
          <w:p w:rsidR="00406A77" w:rsidRPr="00697C03" w:rsidRDefault="00406A77" w:rsidP="00BF41DE">
            <w:pPr>
              <w:widowControl/>
              <w:jc w:val="center"/>
              <w:rPr>
                <w:rFonts w:ascii="標楷體" w:hAnsi="標楷體" w:cs="新細明體"/>
                <w:b/>
                <w:kern w:val="0"/>
                <w:sz w:val="26"/>
                <w:szCs w:val="26"/>
              </w:rPr>
            </w:pPr>
            <w:r w:rsidRPr="00697C03">
              <w:rPr>
                <w:rFonts w:ascii="標楷體" w:hAnsi="標楷體" w:cs="新細明體" w:hint="eastAsia"/>
                <w:b/>
                <w:kern w:val="0"/>
                <w:sz w:val="26"/>
                <w:szCs w:val="26"/>
              </w:rPr>
              <w:t>107學年度</w:t>
            </w:r>
          </w:p>
        </w:tc>
      </w:tr>
      <w:tr w:rsidR="00697C03" w:rsidRPr="00697C03" w:rsidTr="00BF41DE">
        <w:trPr>
          <w:trHeight w:val="63"/>
          <w:jc w:val="center"/>
        </w:trPr>
        <w:tc>
          <w:tcPr>
            <w:tcW w:w="1166" w:type="dxa"/>
            <w:noWrap/>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新北市</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878</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830</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684</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692</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680</w:t>
            </w:r>
          </w:p>
        </w:tc>
      </w:tr>
      <w:tr w:rsidR="00697C03" w:rsidRPr="00697C03" w:rsidTr="00BF41DE">
        <w:trPr>
          <w:trHeight w:val="63"/>
          <w:jc w:val="center"/>
        </w:trPr>
        <w:tc>
          <w:tcPr>
            <w:tcW w:w="1166" w:type="dxa"/>
            <w:noWrap/>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臺北市</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222</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204</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182</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168</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142</w:t>
            </w:r>
          </w:p>
        </w:tc>
      </w:tr>
      <w:tr w:rsidR="00697C03" w:rsidRPr="00697C03" w:rsidTr="00BF41DE">
        <w:trPr>
          <w:trHeight w:val="63"/>
          <w:jc w:val="center"/>
        </w:trPr>
        <w:tc>
          <w:tcPr>
            <w:tcW w:w="1166" w:type="dxa"/>
            <w:noWrap/>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桃園市</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538</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507</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367</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372</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383</w:t>
            </w:r>
          </w:p>
        </w:tc>
      </w:tr>
      <w:tr w:rsidR="00697C03" w:rsidRPr="00697C03" w:rsidTr="00BF41DE">
        <w:trPr>
          <w:trHeight w:val="63"/>
          <w:jc w:val="center"/>
        </w:trPr>
        <w:tc>
          <w:tcPr>
            <w:tcW w:w="1166" w:type="dxa"/>
            <w:noWrap/>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臺中市</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364</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320</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289</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269</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289</w:t>
            </w:r>
          </w:p>
        </w:tc>
      </w:tr>
      <w:tr w:rsidR="00697C03" w:rsidRPr="00697C03" w:rsidTr="00BF41DE">
        <w:trPr>
          <w:trHeight w:val="63"/>
          <w:jc w:val="center"/>
        </w:trPr>
        <w:tc>
          <w:tcPr>
            <w:tcW w:w="1166" w:type="dxa"/>
            <w:noWrap/>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臺南市</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198</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156</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126</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125</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147</w:t>
            </w:r>
          </w:p>
        </w:tc>
      </w:tr>
      <w:tr w:rsidR="00697C03" w:rsidRPr="00697C03" w:rsidTr="00BF41DE">
        <w:trPr>
          <w:trHeight w:val="63"/>
          <w:jc w:val="center"/>
        </w:trPr>
        <w:tc>
          <w:tcPr>
            <w:tcW w:w="1166" w:type="dxa"/>
            <w:noWrap/>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高雄市</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333</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321</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325</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234</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250</w:t>
            </w:r>
          </w:p>
        </w:tc>
      </w:tr>
      <w:tr w:rsidR="00697C03" w:rsidRPr="00697C03" w:rsidTr="00BF41DE">
        <w:trPr>
          <w:trHeight w:val="63"/>
          <w:jc w:val="center"/>
        </w:trPr>
        <w:tc>
          <w:tcPr>
            <w:tcW w:w="1166" w:type="dxa"/>
            <w:noWrap/>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宜蘭縣</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65</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65</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56</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60</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42</w:t>
            </w:r>
          </w:p>
        </w:tc>
      </w:tr>
      <w:tr w:rsidR="00697C03" w:rsidRPr="00697C03" w:rsidTr="00BF41DE">
        <w:trPr>
          <w:trHeight w:val="63"/>
          <w:jc w:val="center"/>
        </w:trPr>
        <w:tc>
          <w:tcPr>
            <w:tcW w:w="1166" w:type="dxa"/>
            <w:noWrap/>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新竹縣</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145</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108</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109</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88</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87</w:t>
            </w:r>
          </w:p>
        </w:tc>
      </w:tr>
      <w:tr w:rsidR="00697C03" w:rsidRPr="00697C03" w:rsidTr="00BF41DE">
        <w:trPr>
          <w:trHeight w:val="63"/>
          <w:jc w:val="center"/>
        </w:trPr>
        <w:tc>
          <w:tcPr>
            <w:tcW w:w="1166" w:type="dxa"/>
            <w:noWrap/>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苗栗縣</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106</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103</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92</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64</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70</w:t>
            </w:r>
          </w:p>
        </w:tc>
      </w:tr>
      <w:tr w:rsidR="00697C03" w:rsidRPr="00697C03" w:rsidTr="00BF41DE">
        <w:trPr>
          <w:trHeight w:val="63"/>
          <w:jc w:val="center"/>
        </w:trPr>
        <w:tc>
          <w:tcPr>
            <w:tcW w:w="1166" w:type="dxa"/>
            <w:noWrap/>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彰化縣</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173</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124</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120</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112</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107</w:t>
            </w:r>
          </w:p>
        </w:tc>
      </w:tr>
      <w:tr w:rsidR="00697C03" w:rsidRPr="00697C03" w:rsidTr="00BF41DE">
        <w:trPr>
          <w:trHeight w:val="63"/>
          <w:jc w:val="center"/>
        </w:trPr>
        <w:tc>
          <w:tcPr>
            <w:tcW w:w="1166" w:type="dxa"/>
            <w:noWrap/>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南投縣</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104</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95</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82</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59</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67</w:t>
            </w:r>
          </w:p>
        </w:tc>
      </w:tr>
      <w:tr w:rsidR="00697C03" w:rsidRPr="00697C03" w:rsidTr="00BF41DE">
        <w:trPr>
          <w:trHeight w:val="63"/>
          <w:jc w:val="center"/>
        </w:trPr>
        <w:tc>
          <w:tcPr>
            <w:tcW w:w="1166" w:type="dxa"/>
            <w:noWrap/>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雲林縣</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90</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98</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90</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63</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75</w:t>
            </w:r>
          </w:p>
        </w:tc>
      </w:tr>
      <w:tr w:rsidR="00697C03" w:rsidRPr="00697C03" w:rsidTr="00BF41DE">
        <w:trPr>
          <w:trHeight w:val="63"/>
          <w:jc w:val="center"/>
        </w:trPr>
        <w:tc>
          <w:tcPr>
            <w:tcW w:w="1166" w:type="dxa"/>
            <w:noWrap/>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嘉義縣</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43</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41</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47</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25</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33</w:t>
            </w:r>
          </w:p>
        </w:tc>
      </w:tr>
      <w:tr w:rsidR="00697C03" w:rsidRPr="00697C03" w:rsidTr="00BF41DE">
        <w:trPr>
          <w:trHeight w:val="63"/>
          <w:jc w:val="center"/>
        </w:trPr>
        <w:tc>
          <w:tcPr>
            <w:tcW w:w="1166" w:type="dxa"/>
            <w:noWrap/>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屏東縣</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137</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150</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126</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113</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120</w:t>
            </w:r>
          </w:p>
        </w:tc>
      </w:tr>
      <w:tr w:rsidR="00697C03" w:rsidRPr="00697C03" w:rsidTr="00BF41DE">
        <w:trPr>
          <w:trHeight w:val="63"/>
          <w:jc w:val="center"/>
        </w:trPr>
        <w:tc>
          <w:tcPr>
            <w:tcW w:w="1166" w:type="dxa"/>
            <w:noWrap/>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臺東縣</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71</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72</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51</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51</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45</w:t>
            </w:r>
          </w:p>
        </w:tc>
      </w:tr>
      <w:tr w:rsidR="00697C03" w:rsidRPr="00697C03" w:rsidTr="00BF41DE">
        <w:trPr>
          <w:trHeight w:val="63"/>
          <w:jc w:val="center"/>
        </w:trPr>
        <w:tc>
          <w:tcPr>
            <w:tcW w:w="1166" w:type="dxa"/>
            <w:noWrap/>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花蓮縣</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109</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116</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102</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96</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97</w:t>
            </w:r>
          </w:p>
        </w:tc>
      </w:tr>
      <w:tr w:rsidR="00697C03" w:rsidRPr="00697C03" w:rsidTr="00BF41DE">
        <w:trPr>
          <w:trHeight w:val="63"/>
          <w:jc w:val="center"/>
        </w:trPr>
        <w:tc>
          <w:tcPr>
            <w:tcW w:w="1166" w:type="dxa"/>
            <w:noWrap/>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澎湖縣</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2</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8</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12</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7</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4</w:t>
            </w:r>
          </w:p>
        </w:tc>
      </w:tr>
      <w:tr w:rsidR="00697C03" w:rsidRPr="00697C03" w:rsidTr="00BF41DE">
        <w:trPr>
          <w:trHeight w:val="63"/>
          <w:jc w:val="center"/>
        </w:trPr>
        <w:tc>
          <w:tcPr>
            <w:tcW w:w="1166" w:type="dxa"/>
            <w:noWrap/>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基隆市</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101</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98</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96</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78</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69</w:t>
            </w:r>
          </w:p>
        </w:tc>
      </w:tr>
      <w:tr w:rsidR="00697C03" w:rsidRPr="00697C03" w:rsidTr="00BF41DE">
        <w:trPr>
          <w:trHeight w:val="63"/>
          <w:jc w:val="center"/>
        </w:trPr>
        <w:tc>
          <w:tcPr>
            <w:tcW w:w="1166" w:type="dxa"/>
            <w:noWrap/>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新竹市</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54</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58</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57</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62</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56</w:t>
            </w:r>
          </w:p>
        </w:tc>
      </w:tr>
      <w:tr w:rsidR="00697C03" w:rsidRPr="00697C03" w:rsidTr="00BF41DE">
        <w:trPr>
          <w:trHeight w:val="63"/>
          <w:jc w:val="center"/>
        </w:trPr>
        <w:tc>
          <w:tcPr>
            <w:tcW w:w="1166" w:type="dxa"/>
            <w:noWrap/>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嘉義市</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29</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24</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19</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14</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15</w:t>
            </w:r>
          </w:p>
        </w:tc>
      </w:tr>
      <w:tr w:rsidR="00697C03" w:rsidRPr="00697C03" w:rsidTr="00BF41DE">
        <w:trPr>
          <w:trHeight w:val="63"/>
          <w:jc w:val="center"/>
        </w:trPr>
        <w:tc>
          <w:tcPr>
            <w:tcW w:w="1166" w:type="dxa"/>
            <w:noWrap/>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金門縣</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3</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2</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5</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3</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3</w:t>
            </w:r>
          </w:p>
        </w:tc>
      </w:tr>
      <w:tr w:rsidR="00697C03" w:rsidRPr="00697C03" w:rsidTr="00BF41DE">
        <w:trPr>
          <w:trHeight w:val="63"/>
          <w:jc w:val="center"/>
        </w:trPr>
        <w:tc>
          <w:tcPr>
            <w:tcW w:w="1166" w:type="dxa"/>
            <w:noWrap/>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連江縣</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0</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0</w:t>
            </w:r>
          </w:p>
        </w:tc>
        <w:tc>
          <w:tcPr>
            <w:tcW w:w="1693"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0</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0</w:t>
            </w:r>
          </w:p>
        </w:tc>
        <w:tc>
          <w:tcPr>
            <w:tcW w:w="1694" w:type="dxa"/>
            <w:noWrap/>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w:t>
            </w:r>
          </w:p>
        </w:tc>
      </w:tr>
      <w:tr w:rsidR="00697C03" w:rsidRPr="00697C03" w:rsidTr="00BF41DE">
        <w:trPr>
          <w:trHeight w:val="63"/>
          <w:jc w:val="center"/>
        </w:trPr>
        <w:tc>
          <w:tcPr>
            <w:tcW w:w="1166" w:type="dxa"/>
            <w:noWrap/>
          </w:tcPr>
          <w:p w:rsidR="00406A77" w:rsidRPr="00697C03" w:rsidRDefault="00406A77" w:rsidP="00BF41DE">
            <w:pPr>
              <w:widowControl/>
              <w:jc w:val="center"/>
              <w:rPr>
                <w:rFonts w:ascii="標楷體" w:hAnsi="標楷體" w:cs="新細明體"/>
                <w:b/>
                <w:kern w:val="0"/>
                <w:sz w:val="24"/>
                <w:szCs w:val="24"/>
              </w:rPr>
            </w:pPr>
          </w:p>
        </w:tc>
        <w:tc>
          <w:tcPr>
            <w:tcW w:w="1693" w:type="dxa"/>
            <w:noWrap/>
          </w:tcPr>
          <w:p w:rsidR="00406A77" w:rsidRPr="00697C03" w:rsidRDefault="00406A77" w:rsidP="00BF41DE">
            <w:pPr>
              <w:widowControl/>
              <w:jc w:val="right"/>
              <w:rPr>
                <w:rFonts w:ascii="標楷體" w:hAnsi="標楷體" w:cs="新細明體"/>
                <w:b/>
                <w:kern w:val="0"/>
                <w:sz w:val="24"/>
                <w:szCs w:val="24"/>
              </w:rPr>
            </w:pPr>
            <w:r w:rsidRPr="00697C03">
              <w:rPr>
                <w:rFonts w:ascii="標楷體" w:hAnsi="標楷體" w:cs="新細明體" w:hint="eastAsia"/>
                <w:b/>
                <w:kern w:val="0"/>
                <w:sz w:val="24"/>
                <w:szCs w:val="24"/>
              </w:rPr>
              <w:t>3</w:t>
            </w:r>
            <w:r w:rsidRPr="00697C03">
              <w:rPr>
                <w:rFonts w:ascii="標楷體" w:hAnsi="標楷體" w:cs="新細明體"/>
                <w:b/>
                <w:kern w:val="0"/>
                <w:sz w:val="24"/>
                <w:szCs w:val="24"/>
              </w:rPr>
              <w:t>,</w:t>
            </w:r>
            <w:r w:rsidRPr="00697C03">
              <w:rPr>
                <w:rFonts w:ascii="標楷體" w:hAnsi="標楷體" w:cs="新細明體" w:hint="eastAsia"/>
                <w:b/>
                <w:kern w:val="0"/>
                <w:sz w:val="24"/>
                <w:szCs w:val="24"/>
              </w:rPr>
              <w:t>765</w:t>
            </w:r>
          </w:p>
        </w:tc>
        <w:tc>
          <w:tcPr>
            <w:tcW w:w="1694" w:type="dxa"/>
            <w:noWrap/>
          </w:tcPr>
          <w:p w:rsidR="00406A77" w:rsidRPr="00697C03" w:rsidRDefault="00406A77" w:rsidP="00BF41DE">
            <w:pPr>
              <w:widowControl/>
              <w:jc w:val="right"/>
              <w:rPr>
                <w:rFonts w:ascii="標楷體" w:hAnsi="標楷體" w:cs="新細明體"/>
                <w:b/>
                <w:kern w:val="0"/>
                <w:sz w:val="24"/>
                <w:szCs w:val="24"/>
              </w:rPr>
            </w:pPr>
            <w:r w:rsidRPr="00697C03">
              <w:rPr>
                <w:rFonts w:ascii="標楷體" w:hAnsi="標楷體" w:cs="新細明體" w:hint="eastAsia"/>
                <w:b/>
                <w:kern w:val="0"/>
                <w:sz w:val="24"/>
                <w:szCs w:val="24"/>
              </w:rPr>
              <w:t>3</w:t>
            </w:r>
            <w:r w:rsidRPr="00697C03">
              <w:rPr>
                <w:rFonts w:ascii="標楷體" w:hAnsi="標楷體" w:cs="新細明體"/>
                <w:b/>
                <w:kern w:val="0"/>
                <w:sz w:val="24"/>
                <w:szCs w:val="24"/>
              </w:rPr>
              <w:t>,</w:t>
            </w:r>
            <w:r w:rsidRPr="00697C03">
              <w:rPr>
                <w:rFonts w:ascii="標楷體" w:hAnsi="標楷體" w:cs="新細明體" w:hint="eastAsia"/>
                <w:b/>
                <w:kern w:val="0"/>
                <w:sz w:val="24"/>
                <w:szCs w:val="24"/>
              </w:rPr>
              <w:t>500</w:t>
            </w:r>
          </w:p>
        </w:tc>
        <w:tc>
          <w:tcPr>
            <w:tcW w:w="1693" w:type="dxa"/>
            <w:noWrap/>
          </w:tcPr>
          <w:p w:rsidR="00406A77" w:rsidRPr="00697C03" w:rsidRDefault="00406A77" w:rsidP="00BF41DE">
            <w:pPr>
              <w:widowControl/>
              <w:jc w:val="right"/>
              <w:rPr>
                <w:rFonts w:ascii="標楷體" w:hAnsi="標楷體" w:cs="新細明體"/>
                <w:b/>
                <w:kern w:val="0"/>
                <w:sz w:val="24"/>
                <w:szCs w:val="24"/>
              </w:rPr>
            </w:pPr>
            <w:r w:rsidRPr="00697C03">
              <w:rPr>
                <w:rFonts w:ascii="標楷體" w:hAnsi="標楷體" w:cs="新細明體" w:hint="eastAsia"/>
                <w:b/>
                <w:kern w:val="0"/>
                <w:sz w:val="24"/>
                <w:szCs w:val="24"/>
              </w:rPr>
              <w:t>3</w:t>
            </w:r>
            <w:r w:rsidRPr="00697C03">
              <w:rPr>
                <w:rFonts w:ascii="標楷體" w:hAnsi="標楷體" w:cs="新細明體"/>
                <w:b/>
                <w:kern w:val="0"/>
                <w:sz w:val="24"/>
                <w:szCs w:val="24"/>
              </w:rPr>
              <w:t>,</w:t>
            </w:r>
            <w:r w:rsidRPr="00697C03">
              <w:rPr>
                <w:rFonts w:ascii="標楷體" w:hAnsi="標楷體" w:cs="新細明體" w:hint="eastAsia"/>
                <w:b/>
                <w:kern w:val="0"/>
                <w:sz w:val="24"/>
                <w:szCs w:val="24"/>
              </w:rPr>
              <w:t>037</w:t>
            </w:r>
          </w:p>
        </w:tc>
        <w:tc>
          <w:tcPr>
            <w:tcW w:w="1694" w:type="dxa"/>
            <w:noWrap/>
          </w:tcPr>
          <w:p w:rsidR="00406A77" w:rsidRPr="00697C03" w:rsidRDefault="00406A77" w:rsidP="00BF41DE">
            <w:pPr>
              <w:widowControl/>
              <w:jc w:val="right"/>
              <w:rPr>
                <w:rFonts w:ascii="標楷體" w:hAnsi="標楷體" w:cs="新細明體"/>
                <w:b/>
                <w:kern w:val="0"/>
                <w:sz w:val="24"/>
                <w:szCs w:val="24"/>
              </w:rPr>
            </w:pPr>
            <w:r w:rsidRPr="00697C03">
              <w:rPr>
                <w:rFonts w:ascii="標楷體" w:hAnsi="標楷體" w:cs="新細明體" w:hint="eastAsia"/>
                <w:b/>
                <w:kern w:val="0"/>
                <w:sz w:val="24"/>
                <w:szCs w:val="24"/>
              </w:rPr>
              <w:t>2</w:t>
            </w:r>
            <w:r w:rsidRPr="00697C03">
              <w:rPr>
                <w:rFonts w:ascii="標楷體" w:hAnsi="標楷體" w:cs="新細明體"/>
                <w:b/>
                <w:kern w:val="0"/>
                <w:sz w:val="24"/>
                <w:szCs w:val="24"/>
              </w:rPr>
              <w:t>,</w:t>
            </w:r>
            <w:r w:rsidRPr="00697C03">
              <w:rPr>
                <w:rFonts w:ascii="標楷體" w:hAnsi="標楷體" w:cs="新細明體" w:hint="eastAsia"/>
                <w:b/>
                <w:kern w:val="0"/>
                <w:sz w:val="24"/>
                <w:szCs w:val="24"/>
              </w:rPr>
              <w:t>755</w:t>
            </w:r>
          </w:p>
        </w:tc>
        <w:tc>
          <w:tcPr>
            <w:tcW w:w="1694" w:type="dxa"/>
            <w:noWrap/>
          </w:tcPr>
          <w:p w:rsidR="00406A77" w:rsidRPr="00697C03" w:rsidRDefault="00406A77" w:rsidP="00BF41DE">
            <w:pPr>
              <w:widowControl/>
              <w:jc w:val="right"/>
              <w:rPr>
                <w:rFonts w:ascii="標楷體" w:hAnsi="標楷體" w:cs="新細明體"/>
                <w:b/>
                <w:kern w:val="0"/>
                <w:sz w:val="24"/>
                <w:szCs w:val="24"/>
              </w:rPr>
            </w:pPr>
            <w:r w:rsidRPr="00697C03">
              <w:rPr>
                <w:rFonts w:ascii="標楷體" w:hAnsi="標楷體" w:cs="新細明體" w:hint="eastAsia"/>
                <w:b/>
                <w:kern w:val="0"/>
                <w:sz w:val="24"/>
                <w:szCs w:val="24"/>
              </w:rPr>
              <w:t>2</w:t>
            </w:r>
            <w:r w:rsidRPr="00697C03">
              <w:rPr>
                <w:rFonts w:ascii="標楷體" w:hAnsi="標楷體" w:cs="新細明體"/>
                <w:b/>
                <w:kern w:val="0"/>
                <w:sz w:val="24"/>
                <w:szCs w:val="24"/>
              </w:rPr>
              <w:t>,</w:t>
            </w:r>
            <w:r w:rsidRPr="00697C03">
              <w:rPr>
                <w:rFonts w:ascii="標楷體" w:hAnsi="標楷體" w:cs="新細明體" w:hint="eastAsia"/>
                <w:b/>
                <w:kern w:val="0"/>
                <w:sz w:val="24"/>
                <w:szCs w:val="24"/>
              </w:rPr>
              <w:t>782</w:t>
            </w:r>
          </w:p>
        </w:tc>
      </w:tr>
    </w:tbl>
    <w:p w:rsidR="00406A77" w:rsidRPr="00697C03" w:rsidRDefault="00406A77" w:rsidP="00406A77">
      <w:pPr>
        <w:rPr>
          <w:rFonts w:ascii="標楷體" w:hAnsi="標楷體"/>
          <w:sz w:val="24"/>
          <w:szCs w:val="24"/>
        </w:rPr>
      </w:pPr>
      <w:r w:rsidRPr="00697C03">
        <w:rPr>
          <w:rFonts w:ascii="標楷體" w:hAnsi="標楷體" w:hint="eastAsia"/>
        </w:rPr>
        <w:t xml:space="preserve">  </w:t>
      </w:r>
      <w:r w:rsidRPr="00697C03">
        <w:rPr>
          <w:rFonts w:ascii="標楷體" w:hAnsi="標楷體" w:hint="eastAsia"/>
          <w:sz w:val="24"/>
          <w:szCs w:val="24"/>
        </w:rPr>
        <w:t>資料來源:教育部調卷資料。</w:t>
      </w:r>
    </w:p>
    <w:p w:rsidR="00406A77" w:rsidRPr="00697C03" w:rsidRDefault="00406A77" w:rsidP="00406A77">
      <w:pPr>
        <w:rPr>
          <w:rFonts w:ascii="標楷體" w:hAnsi="標楷體"/>
        </w:rPr>
      </w:pPr>
    </w:p>
    <w:p w:rsidR="00DF7066" w:rsidRPr="00697C03" w:rsidRDefault="00131611" w:rsidP="00DE1C56">
      <w:pPr>
        <w:pStyle w:val="3"/>
        <w:kinsoku/>
        <w:ind w:left="1360" w:hanging="680"/>
      </w:pPr>
      <w:r w:rsidRPr="00697C03">
        <w:rPr>
          <w:rFonts w:hint="eastAsia"/>
        </w:rPr>
        <w:t>此外，查我國</w:t>
      </w:r>
      <w:r w:rsidR="002E278D" w:rsidRPr="00697C03">
        <w:rPr>
          <w:rFonts w:hint="eastAsia"/>
        </w:rPr>
        <w:t>高級中等學校中途離校學生之</w:t>
      </w:r>
      <w:r w:rsidRPr="00697C03">
        <w:rPr>
          <w:rFonts w:hint="eastAsia"/>
        </w:rPr>
        <w:t>相關定義及歷年度各縣市學校統計人數之演變情形如下：</w:t>
      </w:r>
    </w:p>
    <w:p w:rsidR="00DF7066" w:rsidRPr="00697C03" w:rsidRDefault="00503808" w:rsidP="00A94E5C">
      <w:pPr>
        <w:pStyle w:val="4"/>
        <w:rPr>
          <w:rFonts w:hAnsi="標楷體"/>
          <w:szCs w:val="32"/>
        </w:rPr>
      </w:pPr>
      <w:r w:rsidRPr="00697C03">
        <w:rPr>
          <w:rFonts w:hint="eastAsia"/>
          <w:szCs w:val="32"/>
        </w:rPr>
        <w:t>教育部於106年依據學生輔導法第7條第3項規定</w:t>
      </w:r>
      <w:r w:rsidRPr="00697C03">
        <w:rPr>
          <w:rStyle w:val="aff0"/>
          <w:szCs w:val="32"/>
        </w:rPr>
        <w:footnoteReference w:id="6"/>
      </w:r>
      <w:r w:rsidRPr="00697C03">
        <w:rPr>
          <w:rFonts w:hint="eastAsia"/>
          <w:szCs w:val="32"/>
        </w:rPr>
        <w:t>，訂定</w:t>
      </w:r>
      <w:r w:rsidRPr="00697C03">
        <w:rPr>
          <w:rFonts w:hAnsi="標楷體" w:hint="eastAsia"/>
          <w:szCs w:val="32"/>
        </w:rPr>
        <w:t>高級中等學校學生穩定就學及中途離校學生輔導機制實施要點</w:t>
      </w:r>
      <w:r w:rsidR="002D57E6" w:rsidRPr="00697C03">
        <w:rPr>
          <w:rFonts w:hAnsi="標楷體" w:hint="eastAsia"/>
          <w:szCs w:val="32"/>
        </w:rPr>
        <w:t>。</w:t>
      </w:r>
      <w:r w:rsidR="00EF0D7B" w:rsidRPr="00697C03">
        <w:rPr>
          <w:rFonts w:hAnsi="標楷體" w:hint="eastAsia"/>
          <w:szCs w:val="32"/>
        </w:rPr>
        <w:t>按該要點</w:t>
      </w:r>
      <w:r w:rsidR="00A94E5C" w:rsidRPr="00697C03">
        <w:rPr>
          <w:rFonts w:hAnsi="標楷體" w:hint="eastAsia"/>
          <w:szCs w:val="32"/>
        </w:rPr>
        <w:t>第2點第2項，定義「中途離校學生」係指學生有以下情形之一者：1.未經請假、請假未獲准或不明原因未到校上課連續達3日以上，包括《高級中等學校學生</w:t>
      </w:r>
      <w:r w:rsidR="00A94E5C" w:rsidRPr="00697C03">
        <w:rPr>
          <w:rFonts w:hAnsi="標楷體" w:hint="eastAsia"/>
          <w:szCs w:val="32"/>
        </w:rPr>
        <w:lastRenderedPageBreak/>
        <w:t>學籍管理辦法》第17條第2項視為休學之學生；2.因不明原因，自轉出之日起3日內未向轉入學校完成報到手續之轉學生；3.學籍辦法第17條第1項之休學學生；4.學校依學籍辦法第19條廢止學籍之學生。惟除了前述4款外，尚有同點第1項定義之未入學學生（指新生已報到，未經請假或不明原因未入學），以及同點第3項定義之長期缺課學生：指「高級中等學校學生學習評量辦法」第24條規定，全學期缺課節數達教學總節節數二分之一，或曠課累積達</w:t>
      </w:r>
      <w:r w:rsidR="00A94E5C" w:rsidRPr="00697C03">
        <w:rPr>
          <w:rFonts w:hAnsi="標楷體"/>
          <w:szCs w:val="32"/>
        </w:rPr>
        <w:t>42</w:t>
      </w:r>
      <w:r w:rsidR="00A94E5C" w:rsidRPr="00697C03">
        <w:rPr>
          <w:rFonts w:hAnsi="標楷體" w:hint="eastAsia"/>
          <w:szCs w:val="32"/>
        </w:rPr>
        <w:t>節之學生。</w:t>
      </w:r>
    </w:p>
    <w:p w:rsidR="00406A77" w:rsidRPr="00697C03" w:rsidRDefault="009559BB" w:rsidP="00406A77">
      <w:pPr>
        <w:pStyle w:val="4"/>
        <w:rPr>
          <w:rFonts w:hAnsi="標楷體"/>
        </w:rPr>
      </w:pPr>
      <w:r w:rsidRPr="00697C03">
        <w:rPr>
          <w:rFonts w:hAnsi="標楷體" w:hint="eastAsia"/>
        </w:rPr>
        <w:t>查</w:t>
      </w:r>
      <w:r w:rsidR="0041427D" w:rsidRPr="00697C03">
        <w:rPr>
          <w:rFonts w:hAnsi="標楷體" w:hint="eastAsia"/>
        </w:rPr>
        <w:t>高級中等學校中途離校</w:t>
      </w:r>
      <w:r w:rsidR="00B45B1D" w:rsidRPr="00697C03">
        <w:rPr>
          <w:rFonts w:hAnsi="標楷體" w:hint="eastAsia"/>
        </w:rPr>
        <w:t>之歷年人數部分，</w:t>
      </w:r>
      <w:r w:rsidR="00406A77" w:rsidRPr="00697C03">
        <w:rPr>
          <w:rFonts w:hAnsi="標楷體" w:hint="eastAsia"/>
        </w:rPr>
        <w:t>依教育部中途離校學生通報系統統計資料，近5年高級中等學校中途離校學生之總數分別為103學年度22,864人，104學年度21,890人，105學年度21,615人，106學年度20,282人，107學年度16,689</w:t>
      </w:r>
      <w:r w:rsidR="001F78F4" w:rsidRPr="00697C03">
        <w:rPr>
          <w:rFonts w:hAnsi="標楷體" w:hint="eastAsia"/>
        </w:rPr>
        <w:t>人。</w:t>
      </w:r>
      <w:r w:rsidR="00406A77" w:rsidRPr="00697C03">
        <w:rPr>
          <w:rFonts w:hAnsi="標楷體" w:hint="eastAsia"/>
        </w:rPr>
        <w:t>另各縣市分布情形，</w:t>
      </w:r>
      <w:r w:rsidR="00484EBD" w:rsidRPr="00697C03">
        <w:rPr>
          <w:rFonts w:hAnsi="標楷體" w:hint="eastAsia"/>
        </w:rPr>
        <w:t>大致以六都</w:t>
      </w:r>
      <w:r w:rsidR="009A0B9A" w:rsidRPr="00697C03">
        <w:rPr>
          <w:rFonts w:hAnsi="標楷體" w:hint="eastAsia"/>
        </w:rPr>
        <w:t>之中離</w:t>
      </w:r>
      <w:r w:rsidR="00484EBD" w:rsidRPr="00697C03">
        <w:rPr>
          <w:rFonts w:hAnsi="標楷體" w:hint="eastAsia"/>
        </w:rPr>
        <w:t>人數較高，</w:t>
      </w:r>
      <w:r w:rsidR="00406A77" w:rsidRPr="00697C03">
        <w:rPr>
          <w:rFonts w:hAnsi="標楷體" w:hint="eastAsia"/>
        </w:rPr>
        <w:t>詳如下表。</w:t>
      </w:r>
    </w:p>
    <w:p w:rsidR="00406A77" w:rsidRPr="00697C03" w:rsidRDefault="00406A77" w:rsidP="00406A77">
      <w:pPr>
        <w:pStyle w:val="a3"/>
        <w:rPr>
          <w:rFonts w:hAnsi="標楷體"/>
        </w:rPr>
      </w:pPr>
      <w:r w:rsidRPr="00697C03">
        <w:rPr>
          <w:rFonts w:hAnsi="標楷體" w:hint="eastAsia"/>
          <w:b/>
        </w:rPr>
        <w:t>103</w:t>
      </w:r>
      <w:r w:rsidRPr="00697C03">
        <w:rPr>
          <w:rFonts w:hAnsi="標楷體"/>
          <w:b/>
        </w:rPr>
        <w:t>-107</w:t>
      </w:r>
      <w:r w:rsidRPr="00697C03">
        <w:rPr>
          <w:rFonts w:hAnsi="標楷體" w:hint="eastAsia"/>
          <w:b/>
        </w:rPr>
        <w:t>學年度年高級中等學校中途離校學生各縣市分布數據</w:t>
      </w:r>
    </w:p>
    <w:tbl>
      <w:tblPr>
        <w:tblW w:w="850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7"/>
        <w:gridCol w:w="1418"/>
        <w:gridCol w:w="1417"/>
        <w:gridCol w:w="1418"/>
        <w:gridCol w:w="1417"/>
        <w:gridCol w:w="1418"/>
      </w:tblGrid>
      <w:tr w:rsidR="00697C03" w:rsidRPr="00697C03" w:rsidTr="00BF41DE">
        <w:trPr>
          <w:trHeight w:val="510"/>
          <w:tblHeader/>
        </w:trPr>
        <w:tc>
          <w:tcPr>
            <w:tcW w:w="1417" w:type="dxa"/>
            <w:shd w:val="clear" w:color="auto" w:fill="D9D9D9" w:themeFill="background1" w:themeFillShade="D9"/>
            <w:noWrap/>
            <w:vAlign w:val="center"/>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縣市</w:t>
            </w:r>
          </w:p>
        </w:tc>
        <w:tc>
          <w:tcPr>
            <w:tcW w:w="1418" w:type="dxa"/>
            <w:shd w:val="clear" w:color="auto" w:fill="D9D9D9" w:themeFill="background1" w:themeFillShade="D9"/>
            <w:noWrap/>
            <w:vAlign w:val="center"/>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103學年度</w:t>
            </w:r>
          </w:p>
        </w:tc>
        <w:tc>
          <w:tcPr>
            <w:tcW w:w="1417" w:type="dxa"/>
            <w:shd w:val="clear" w:color="auto" w:fill="D9D9D9" w:themeFill="background1" w:themeFillShade="D9"/>
            <w:noWrap/>
            <w:vAlign w:val="center"/>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104學年度</w:t>
            </w:r>
          </w:p>
        </w:tc>
        <w:tc>
          <w:tcPr>
            <w:tcW w:w="1418" w:type="dxa"/>
            <w:shd w:val="clear" w:color="auto" w:fill="D9D9D9" w:themeFill="background1" w:themeFillShade="D9"/>
            <w:noWrap/>
            <w:vAlign w:val="center"/>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105學年度</w:t>
            </w:r>
          </w:p>
        </w:tc>
        <w:tc>
          <w:tcPr>
            <w:tcW w:w="1417" w:type="dxa"/>
            <w:shd w:val="clear" w:color="auto" w:fill="D9D9D9" w:themeFill="background1" w:themeFillShade="D9"/>
            <w:noWrap/>
            <w:vAlign w:val="center"/>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106學年度</w:t>
            </w:r>
          </w:p>
        </w:tc>
        <w:tc>
          <w:tcPr>
            <w:tcW w:w="1418" w:type="dxa"/>
            <w:shd w:val="clear" w:color="auto" w:fill="D9D9D9" w:themeFill="background1" w:themeFillShade="D9"/>
            <w:noWrap/>
            <w:vAlign w:val="center"/>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107學年度</w:t>
            </w:r>
          </w:p>
        </w:tc>
      </w:tr>
      <w:tr w:rsidR="00697C03" w:rsidRPr="00697C03" w:rsidTr="00BF41DE">
        <w:trPr>
          <w:trHeight w:val="58"/>
        </w:trPr>
        <w:tc>
          <w:tcPr>
            <w:tcW w:w="1417" w:type="dxa"/>
            <w:shd w:val="clear" w:color="auto" w:fill="auto"/>
            <w:vAlign w:val="center"/>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臺北市</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2,1</w:t>
            </w:r>
            <w:r w:rsidRPr="00697C03">
              <w:rPr>
                <w:rFonts w:ascii="標楷體" w:hAnsi="標楷體" w:cs="新細明體"/>
                <w:kern w:val="0"/>
                <w:sz w:val="24"/>
                <w:szCs w:val="24"/>
              </w:rPr>
              <w:t>76</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1,9</w:t>
            </w:r>
            <w:r w:rsidRPr="00697C03">
              <w:rPr>
                <w:rFonts w:ascii="標楷體" w:hAnsi="標楷體" w:cs="新細明體"/>
                <w:kern w:val="0"/>
                <w:sz w:val="24"/>
                <w:szCs w:val="24"/>
              </w:rPr>
              <w:t>77</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1,6</w:t>
            </w:r>
            <w:r w:rsidRPr="00697C03">
              <w:rPr>
                <w:rFonts w:ascii="標楷體" w:hAnsi="標楷體" w:cs="新細明體"/>
                <w:kern w:val="0"/>
                <w:sz w:val="24"/>
                <w:szCs w:val="24"/>
              </w:rPr>
              <w:t>45</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1,698</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1,42</w:t>
            </w:r>
            <w:r w:rsidRPr="00697C03">
              <w:rPr>
                <w:rFonts w:ascii="標楷體" w:hAnsi="標楷體" w:cs="新細明體"/>
                <w:kern w:val="0"/>
                <w:sz w:val="24"/>
                <w:szCs w:val="24"/>
              </w:rPr>
              <w:t>9</w:t>
            </w:r>
          </w:p>
        </w:tc>
      </w:tr>
      <w:tr w:rsidR="00697C03" w:rsidRPr="00697C03" w:rsidTr="00BF41DE">
        <w:trPr>
          <w:trHeight w:val="58"/>
        </w:trPr>
        <w:tc>
          <w:tcPr>
            <w:tcW w:w="1417" w:type="dxa"/>
            <w:shd w:val="clear" w:color="auto" w:fill="auto"/>
            <w:vAlign w:val="center"/>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新北市</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2,9</w:t>
            </w:r>
            <w:r w:rsidRPr="00697C03">
              <w:rPr>
                <w:rFonts w:ascii="標楷體" w:hAnsi="標楷體" w:cs="新細明體"/>
                <w:kern w:val="0"/>
                <w:sz w:val="24"/>
                <w:szCs w:val="24"/>
              </w:rPr>
              <w:t>36</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3,24</w:t>
            </w:r>
            <w:r w:rsidRPr="00697C03">
              <w:rPr>
                <w:rFonts w:ascii="標楷體" w:hAnsi="標楷體" w:cs="新細明體"/>
                <w:kern w:val="0"/>
                <w:sz w:val="24"/>
                <w:szCs w:val="24"/>
              </w:rPr>
              <w:t>0</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3,1</w:t>
            </w:r>
            <w:r w:rsidRPr="00697C03">
              <w:rPr>
                <w:rFonts w:ascii="標楷體" w:hAnsi="標楷體" w:cs="新細明體"/>
                <w:kern w:val="0"/>
                <w:sz w:val="24"/>
                <w:szCs w:val="24"/>
              </w:rPr>
              <w:t>66</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2,728</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2,3</w:t>
            </w:r>
            <w:r w:rsidRPr="00697C03">
              <w:rPr>
                <w:rFonts w:ascii="標楷體" w:hAnsi="標楷體" w:cs="新細明體"/>
                <w:kern w:val="0"/>
                <w:sz w:val="24"/>
                <w:szCs w:val="24"/>
              </w:rPr>
              <w:t>10</w:t>
            </w:r>
          </w:p>
        </w:tc>
      </w:tr>
      <w:tr w:rsidR="00697C03" w:rsidRPr="00697C03" w:rsidTr="00BF41DE">
        <w:trPr>
          <w:trHeight w:val="58"/>
        </w:trPr>
        <w:tc>
          <w:tcPr>
            <w:tcW w:w="1417" w:type="dxa"/>
            <w:shd w:val="clear" w:color="auto" w:fill="auto"/>
            <w:vAlign w:val="center"/>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桃園市</w:t>
            </w:r>
          </w:p>
        </w:tc>
        <w:tc>
          <w:tcPr>
            <w:tcW w:w="1418" w:type="dxa"/>
            <w:shd w:val="clear" w:color="auto" w:fill="auto"/>
            <w:vAlign w:val="center"/>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2,9</w:t>
            </w:r>
            <w:r w:rsidRPr="00697C03">
              <w:rPr>
                <w:rFonts w:ascii="標楷體" w:hAnsi="標楷體" w:cs="新細明體"/>
                <w:kern w:val="0"/>
                <w:sz w:val="24"/>
                <w:szCs w:val="24"/>
              </w:rPr>
              <w:t>86</w:t>
            </w:r>
          </w:p>
        </w:tc>
        <w:tc>
          <w:tcPr>
            <w:tcW w:w="1417" w:type="dxa"/>
            <w:shd w:val="clear" w:color="auto" w:fill="auto"/>
            <w:vAlign w:val="center"/>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2,78</w:t>
            </w:r>
            <w:r w:rsidRPr="00697C03">
              <w:rPr>
                <w:rFonts w:ascii="標楷體" w:hAnsi="標楷體" w:cs="新細明體"/>
                <w:kern w:val="0"/>
                <w:sz w:val="24"/>
                <w:szCs w:val="24"/>
              </w:rPr>
              <w:t>3</w:t>
            </w:r>
          </w:p>
        </w:tc>
        <w:tc>
          <w:tcPr>
            <w:tcW w:w="1418" w:type="dxa"/>
            <w:shd w:val="clear" w:color="auto" w:fill="auto"/>
            <w:vAlign w:val="center"/>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2,5</w:t>
            </w:r>
            <w:r w:rsidRPr="00697C03">
              <w:rPr>
                <w:rFonts w:ascii="標楷體" w:hAnsi="標楷體" w:cs="新細明體"/>
                <w:kern w:val="0"/>
                <w:sz w:val="24"/>
                <w:szCs w:val="24"/>
              </w:rPr>
              <w:t>58</w:t>
            </w:r>
          </w:p>
        </w:tc>
        <w:tc>
          <w:tcPr>
            <w:tcW w:w="1417" w:type="dxa"/>
            <w:shd w:val="clear" w:color="auto" w:fill="auto"/>
            <w:vAlign w:val="center"/>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2,825</w:t>
            </w:r>
          </w:p>
        </w:tc>
        <w:tc>
          <w:tcPr>
            <w:tcW w:w="1418" w:type="dxa"/>
            <w:shd w:val="clear" w:color="auto" w:fill="auto"/>
            <w:vAlign w:val="center"/>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2,43</w:t>
            </w:r>
            <w:r w:rsidRPr="00697C03">
              <w:rPr>
                <w:rFonts w:ascii="標楷體" w:hAnsi="標楷體" w:cs="新細明體"/>
                <w:kern w:val="0"/>
                <w:sz w:val="24"/>
                <w:szCs w:val="24"/>
              </w:rPr>
              <w:t>2</w:t>
            </w:r>
          </w:p>
        </w:tc>
      </w:tr>
      <w:tr w:rsidR="00697C03" w:rsidRPr="00697C03" w:rsidTr="00BF41DE">
        <w:trPr>
          <w:trHeight w:val="58"/>
        </w:trPr>
        <w:tc>
          <w:tcPr>
            <w:tcW w:w="1417" w:type="dxa"/>
            <w:shd w:val="clear" w:color="auto" w:fill="auto"/>
            <w:vAlign w:val="center"/>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臺中市</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kern w:val="0"/>
                <w:sz w:val="24"/>
                <w:szCs w:val="24"/>
              </w:rPr>
              <w:t>2,577</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kern w:val="0"/>
                <w:sz w:val="24"/>
                <w:szCs w:val="24"/>
              </w:rPr>
              <w:t>2,793</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kern w:val="0"/>
                <w:sz w:val="24"/>
                <w:szCs w:val="24"/>
              </w:rPr>
              <w:t>2,553</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kern w:val="0"/>
                <w:sz w:val="24"/>
                <w:szCs w:val="24"/>
              </w:rPr>
              <w:t>2,615</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kern w:val="0"/>
                <w:sz w:val="24"/>
                <w:szCs w:val="24"/>
              </w:rPr>
              <w:t>2325</w:t>
            </w:r>
          </w:p>
        </w:tc>
      </w:tr>
      <w:tr w:rsidR="00697C03" w:rsidRPr="00697C03" w:rsidTr="00BF41DE">
        <w:trPr>
          <w:trHeight w:val="58"/>
        </w:trPr>
        <w:tc>
          <w:tcPr>
            <w:tcW w:w="1417" w:type="dxa"/>
            <w:shd w:val="clear" w:color="auto" w:fill="auto"/>
            <w:vAlign w:val="center"/>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臺南市</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kern w:val="0"/>
                <w:sz w:val="24"/>
                <w:szCs w:val="24"/>
              </w:rPr>
              <w:t>1,339</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kern w:val="0"/>
                <w:sz w:val="24"/>
                <w:szCs w:val="24"/>
              </w:rPr>
              <w:t>1,224</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kern w:val="0"/>
                <w:sz w:val="24"/>
                <w:szCs w:val="24"/>
              </w:rPr>
              <w:t>1,457</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kern w:val="0"/>
                <w:sz w:val="24"/>
                <w:szCs w:val="24"/>
              </w:rPr>
              <w:t>1,205</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kern w:val="0"/>
                <w:sz w:val="24"/>
                <w:szCs w:val="24"/>
              </w:rPr>
              <w:t>929</w:t>
            </w:r>
          </w:p>
        </w:tc>
      </w:tr>
      <w:tr w:rsidR="00697C03" w:rsidRPr="00697C03" w:rsidTr="00BF41DE">
        <w:trPr>
          <w:trHeight w:val="58"/>
        </w:trPr>
        <w:tc>
          <w:tcPr>
            <w:tcW w:w="1417" w:type="dxa"/>
            <w:shd w:val="clear" w:color="auto" w:fill="auto"/>
            <w:vAlign w:val="center"/>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高雄市</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kern w:val="0"/>
                <w:sz w:val="24"/>
                <w:szCs w:val="24"/>
              </w:rPr>
              <w:t>3,823</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kern w:val="0"/>
                <w:sz w:val="24"/>
                <w:szCs w:val="24"/>
              </w:rPr>
              <w:t>3,002</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kern w:val="0"/>
                <w:sz w:val="24"/>
                <w:szCs w:val="24"/>
              </w:rPr>
              <w:t>3,260</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kern w:val="0"/>
                <w:sz w:val="24"/>
                <w:szCs w:val="24"/>
              </w:rPr>
              <w:t>2,645</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kern w:val="0"/>
                <w:sz w:val="24"/>
                <w:szCs w:val="24"/>
              </w:rPr>
              <w:t>2,018</w:t>
            </w:r>
          </w:p>
        </w:tc>
      </w:tr>
      <w:tr w:rsidR="00697C03" w:rsidRPr="00697C03" w:rsidTr="00BF41DE">
        <w:trPr>
          <w:trHeight w:val="58"/>
        </w:trPr>
        <w:tc>
          <w:tcPr>
            <w:tcW w:w="1417" w:type="dxa"/>
            <w:shd w:val="clear" w:color="auto" w:fill="auto"/>
            <w:vAlign w:val="center"/>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基隆市</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40</w:t>
            </w:r>
            <w:r w:rsidRPr="00697C03">
              <w:rPr>
                <w:rFonts w:ascii="標楷體" w:hAnsi="標楷體" w:cs="新細明體"/>
                <w:kern w:val="0"/>
                <w:sz w:val="24"/>
                <w:szCs w:val="24"/>
              </w:rPr>
              <w:t>5</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34</w:t>
            </w:r>
            <w:r w:rsidRPr="00697C03">
              <w:rPr>
                <w:rFonts w:ascii="標楷體" w:hAnsi="標楷體" w:cs="新細明體"/>
                <w:kern w:val="0"/>
                <w:sz w:val="24"/>
                <w:szCs w:val="24"/>
              </w:rPr>
              <w:t>0</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49</w:t>
            </w:r>
            <w:r w:rsidRPr="00697C03">
              <w:rPr>
                <w:rFonts w:ascii="標楷體" w:hAnsi="標楷體" w:cs="新細明體"/>
                <w:kern w:val="0"/>
                <w:sz w:val="24"/>
                <w:szCs w:val="24"/>
              </w:rPr>
              <w:t>3</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364</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2</w:t>
            </w:r>
            <w:r w:rsidRPr="00697C03">
              <w:rPr>
                <w:rFonts w:ascii="標楷體" w:hAnsi="標楷體" w:cs="新細明體"/>
                <w:kern w:val="0"/>
                <w:sz w:val="24"/>
                <w:szCs w:val="24"/>
              </w:rPr>
              <w:t>23</w:t>
            </w:r>
          </w:p>
        </w:tc>
      </w:tr>
      <w:tr w:rsidR="00697C03" w:rsidRPr="00697C03" w:rsidTr="00BF41DE">
        <w:trPr>
          <w:trHeight w:val="58"/>
        </w:trPr>
        <w:tc>
          <w:tcPr>
            <w:tcW w:w="1417" w:type="dxa"/>
            <w:shd w:val="clear" w:color="auto" w:fill="auto"/>
            <w:vAlign w:val="center"/>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宜蘭縣</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487</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48</w:t>
            </w:r>
            <w:r w:rsidRPr="00697C03">
              <w:rPr>
                <w:rFonts w:ascii="標楷體" w:hAnsi="標楷體" w:cs="新細明體"/>
                <w:kern w:val="0"/>
                <w:sz w:val="24"/>
                <w:szCs w:val="24"/>
              </w:rPr>
              <w:t>0</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400</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370</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36</w:t>
            </w:r>
            <w:r w:rsidRPr="00697C03">
              <w:rPr>
                <w:rFonts w:ascii="標楷體" w:hAnsi="標楷體" w:cs="新細明體"/>
                <w:kern w:val="0"/>
                <w:sz w:val="24"/>
                <w:szCs w:val="24"/>
              </w:rPr>
              <w:t>3</w:t>
            </w:r>
          </w:p>
        </w:tc>
      </w:tr>
      <w:tr w:rsidR="00697C03" w:rsidRPr="00697C03" w:rsidTr="00BF41DE">
        <w:trPr>
          <w:trHeight w:val="58"/>
        </w:trPr>
        <w:tc>
          <w:tcPr>
            <w:tcW w:w="1417" w:type="dxa"/>
            <w:shd w:val="clear" w:color="auto" w:fill="auto"/>
            <w:vAlign w:val="center"/>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花蓮縣</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45</w:t>
            </w:r>
            <w:r w:rsidRPr="00697C03">
              <w:rPr>
                <w:rFonts w:ascii="標楷體" w:hAnsi="標楷體" w:cs="新細明體"/>
                <w:kern w:val="0"/>
                <w:sz w:val="24"/>
                <w:szCs w:val="24"/>
              </w:rPr>
              <w:t>2</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403</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29</w:t>
            </w:r>
            <w:r w:rsidRPr="00697C03">
              <w:rPr>
                <w:rFonts w:ascii="標楷體" w:hAnsi="標楷體" w:cs="新細明體"/>
                <w:kern w:val="0"/>
                <w:sz w:val="24"/>
                <w:szCs w:val="24"/>
              </w:rPr>
              <w:t>3</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357</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323</w:t>
            </w:r>
          </w:p>
        </w:tc>
      </w:tr>
      <w:tr w:rsidR="00697C03" w:rsidRPr="00697C03" w:rsidTr="00BF41DE">
        <w:trPr>
          <w:trHeight w:val="58"/>
        </w:trPr>
        <w:tc>
          <w:tcPr>
            <w:tcW w:w="1417" w:type="dxa"/>
            <w:shd w:val="clear" w:color="auto" w:fill="auto"/>
            <w:vAlign w:val="center"/>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臺東縣</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2</w:t>
            </w:r>
            <w:r w:rsidRPr="00697C03">
              <w:rPr>
                <w:rFonts w:ascii="標楷體" w:hAnsi="標楷體" w:cs="新細明體"/>
                <w:kern w:val="0"/>
                <w:sz w:val="24"/>
                <w:szCs w:val="24"/>
              </w:rPr>
              <w:t>88</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274</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26</w:t>
            </w:r>
            <w:r w:rsidRPr="00697C03">
              <w:rPr>
                <w:rFonts w:ascii="標楷體" w:hAnsi="標楷體" w:cs="新細明體"/>
                <w:kern w:val="0"/>
                <w:sz w:val="24"/>
                <w:szCs w:val="24"/>
              </w:rPr>
              <w:t>2</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127</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179</w:t>
            </w:r>
          </w:p>
        </w:tc>
      </w:tr>
      <w:tr w:rsidR="00697C03" w:rsidRPr="00697C03" w:rsidTr="00BF41DE">
        <w:trPr>
          <w:trHeight w:val="58"/>
        </w:trPr>
        <w:tc>
          <w:tcPr>
            <w:tcW w:w="1417" w:type="dxa"/>
            <w:shd w:val="clear" w:color="auto" w:fill="auto"/>
            <w:vAlign w:val="center"/>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新竹市</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64</w:t>
            </w:r>
            <w:r w:rsidRPr="00697C03">
              <w:rPr>
                <w:rFonts w:ascii="標楷體" w:hAnsi="標楷體" w:cs="新細明體"/>
                <w:kern w:val="0"/>
                <w:sz w:val="24"/>
                <w:szCs w:val="24"/>
              </w:rPr>
              <w:t>2</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56</w:t>
            </w:r>
            <w:r w:rsidRPr="00697C03">
              <w:rPr>
                <w:rFonts w:ascii="標楷體" w:hAnsi="標楷體" w:cs="新細明體"/>
                <w:kern w:val="0"/>
                <w:sz w:val="24"/>
                <w:szCs w:val="24"/>
              </w:rPr>
              <w:t>3</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74</w:t>
            </w:r>
            <w:r w:rsidRPr="00697C03">
              <w:rPr>
                <w:rFonts w:ascii="標楷體" w:hAnsi="標楷體" w:cs="新細明體"/>
                <w:kern w:val="0"/>
                <w:sz w:val="24"/>
                <w:szCs w:val="24"/>
              </w:rPr>
              <w:t>2</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685</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559</w:t>
            </w:r>
          </w:p>
        </w:tc>
      </w:tr>
      <w:tr w:rsidR="00697C03" w:rsidRPr="00697C03" w:rsidTr="00BF41DE">
        <w:trPr>
          <w:trHeight w:val="58"/>
        </w:trPr>
        <w:tc>
          <w:tcPr>
            <w:tcW w:w="1417" w:type="dxa"/>
            <w:shd w:val="clear" w:color="auto" w:fill="auto"/>
            <w:vAlign w:val="center"/>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新竹縣</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49</w:t>
            </w:r>
            <w:r w:rsidRPr="00697C03">
              <w:rPr>
                <w:rFonts w:ascii="標楷體" w:hAnsi="標楷體" w:cs="新細明體"/>
                <w:kern w:val="0"/>
                <w:sz w:val="24"/>
                <w:szCs w:val="24"/>
              </w:rPr>
              <w:t>2</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440</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519</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583</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330</w:t>
            </w:r>
          </w:p>
        </w:tc>
      </w:tr>
      <w:tr w:rsidR="00697C03" w:rsidRPr="00697C03" w:rsidTr="00BF41DE">
        <w:trPr>
          <w:trHeight w:val="58"/>
        </w:trPr>
        <w:tc>
          <w:tcPr>
            <w:tcW w:w="1417" w:type="dxa"/>
            <w:shd w:val="clear" w:color="auto" w:fill="auto"/>
            <w:vAlign w:val="center"/>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苗栗縣</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61</w:t>
            </w:r>
            <w:r w:rsidRPr="00697C03">
              <w:rPr>
                <w:rFonts w:ascii="標楷體" w:hAnsi="標楷體" w:cs="新細明體"/>
                <w:kern w:val="0"/>
                <w:sz w:val="24"/>
                <w:szCs w:val="24"/>
              </w:rPr>
              <w:t>7</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554</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67</w:t>
            </w:r>
            <w:r w:rsidRPr="00697C03">
              <w:rPr>
                <w:rFonts w:ascii="標楷體" w:hAnsi="標楷體" w:cs="新細明體"/>
                <w:kern w:val="0"/>
                <w:sz w:val="24"/>
                <w:szCs w:val="24"/>
              </w:rPr>
              <w:t>3</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474</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403</w:t>
            </w:r>
          </w:p>
        </w:tc>
      </w:tr>
      <w:tr w:rsidR="00697C03" w:rsidRPr="00697C03" w:rsidTr="00BF41DE">
        <w:trPr>
          <w:trHeight w:val="58"/>
        </w:trPr>
        <w:tc>
          <w:tcPr>
            <w:tcW w:w="1417" w:type="dxa"/>
            <w:shd w:val="clear" w:color="auto" w:fill="auto"/>
            <w:vAlign w:val="center"/>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彰化縣</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1,01</w:t>
            </w:r>
            <w:r w:rsidRPr="00697C03">
              <w:rPr>
                <w:rFonts w:ascii="標楷體" w:hAnsi="標楷體" w:cs="新細明體"/>
                <w:kern w:val="0"/>
                <w:sz w:val="24"/>
                <w:szCs w:val="24"/>
              </w:rPr>
              <w:t>6</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1,154</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1,004</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1,197</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813</w:t>
            </w:r>
          </w:p>
        </w:tc>
      </w:tr>
      <w:tr w:rsidR="00697C03" w:rsidRPr="00697C03" w:rsidTr="00BF41DE">
        <w:trPr>
          <w:trHeight w:val="58"/>
        </w:trPr>
        <w:tc>
          <w:tcPr>
            <w:tcW w:w="1417" w:type="dxa"/>
            <w:shd w:val="clear" w:color="auto" w:fill="auto"/>
            <w:vAlign w:val="center"/>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lastRenderedPageBreak/>
              <w:t>南投縣</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61</w:t>
            </w:r>
            <w:r w:rsidRPr="00697C03">
              <w:rPr>
                <w:rFonts w:ascii="標楷體" w:hAnsi="標楷體" w:cs="新細明體"/>
                <w:kern w:val="0"/>
                <w:sz w:val="24"/>
                <w:szCs w:val="24"/>
              </w:rPr>
              <w:t>1</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666</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666</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622</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49</w:t>
            </w:r>
            <w:r w:rsidRPr="00697C03">
              <w:rPr>
                <w:rFonts w:ascii="標楷體" w:hAnsi="標楷體" w:cs="新細明體"/>
                <w:kern w:val="0"/>
                <w:sz w:val="24"/>
                <w:szCs w:val="24"/>
              </w:rPr>
              <w:t>2</w:t>
            </w:r>
          </w:p>
        </w:tc>
      </w:tr>
      <w:tr w:rsidR="00697C03" w:rsidRPr="00697C03" w:rsidTr="00BF41DE">
        <w:trPr>
          <w:trHeight w:val="58"/>
        </w:trPr>
        <w:tc>
          <w:tcPr>
            <w:tcW w:w="1417" w:type="dxa"/>
            <w:shd w:val="clear" w:color="auto" w:fill="auto"/>
            <w:vAlign w:val="center"/>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雲林縣</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56</w:t>
            </w:r>
            <w:r w:rsidRPr="00697C03">
              <w:rPr>
                <w:rFonts w:ascii="標楷體" w:hAnsi="標楷體" w:cs="新細明體"/>
                <w:kern w:val="0"/>
                <w:sz w:val="24"/>
                <w:szCs w:val="24"/>
              </w:rPr>
              <w:t>4</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559</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48</w:t>
            </w:r>
            <w:r w:rsidRPr="00697C03">
              <w:rPr>
                <w:rFonts w:ascii="標楷體" w:hAnsi="標楷體" w:cs="新細明體"/>
                <w:kern w:val="0"/>
                <w:sz w:val="24"/>
                <w:szCs w:val="24"/>
              </w:rPr>
              <w:t>5</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466</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355</w:t>
            </w:r>
          </w:p>
        </w:tc>
      </w:tr>
      <w:tr w:rsidR="00697C03" w:rsidRPr="00697C03" w:rsidTr="00BF41DE">
        <w:trPr>
          <w:trHeight w:val="58"/>
        </w:trPr>
        <w:tc>
          <w:tcPr>
            <w:tcW w:w="1417" w:type="dxa"/>
            <w:shd w:val="clear" w:color="auto" w:fill="auto"/>
            <w:vAlign w:val="center"/>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嘉義市</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540</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45</w:t>
            </w:r>
            <w:r w:rsidRPr="00697C03">
              <w:rPr>
                <w:rFonts w:ascii="標楷體" w:hAnsi="標楷體" w:cs="新細明體"/>
                <w:kern w:val="0"/>
                <w:sz w:val="24"/>
                <w:szCs w:val="24"/>
              </w:rPr>
              <w:t>6</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48</w:t>
            </w:r>
            <w:r w:rsidRPr="00697C03">
              <w:rPr>
                <w:rFonts w:ascii="標楷體" w:hAnsi="標楷體" w:cs="新細明體"/>
                <w:kern w:val="0"/>
                <w:sz w:val="24"/>
                <w:szCs w:val="24"/>
              </w:rPr>
              <w:t>4</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477</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356</w:t>
            </w:r>
          </w:p>
        </w:tc>
      </w:tr>
      <w:tr w:rsidR="00697C03" w:rsidRPr="00697C03" w:rsidTr="00BF41DE">
        <w:trPr>
          <w:trHeight w:val="58"/>
        </w:trPr>
        <w:tc>
          <w:tcPr>
            <w:tcW w:w="1417" w:type="dxa"/>
            <w:shd w:val="clear" w:color="auto" w:fill="auto"/>
            <w:vAlign w:val="center"/>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嘉義縣</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13</w:t>
            </w:r>
            <w:r w:rsidRPr="00697C03">
              <w:rPr>
                <w:rFonts w:ascii="標楷體" w:hAnsi="標楷體" w:cs="新細明體"/>
                <w:kern w:val="0"/>
                <w:sz w:val="24"/>
                <w:szCs w:val="24"/>
              </w:rPr>
              <w:t>2</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13</w:t>
            </w:r>
            <w:r w:rsidRPr="00697C03">
              <w:rPr>
                <w:rFonts w:ascii="標楷體" w:hAnsi="標楷體" w:cs="新細明體"/>
                <w:kern w:val="0"/>
                <w:sz w:val="24"/>
                <w:szCs w:val="24"/>
              </w:rPr>
              <w:t>1</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137</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126</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171</w:t>
            </w:r>
          </w:p>
        </w:tc>
      </w:tr>
      <w:tr w:rsidR="00697C03" w:rsidRPr="00697C03" w:rsidTr="00BF41DE">
        <w:trPr>
          <w:trHeight w:val="58"/>
        </w:trPr>
        <w:tc>
          <w:tcPr>
            <w:tcW w:w="1417" w:type="dxa"/>
            <w:shd w:val="clear" w:color="auto" w:fill="auto"/>
            <w:vAlign w:val="center"/>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屏東縣</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66</w:t>
            </w:r>
            <w:r w:rsidRPr="00697C03">
              <w:rPr>
                <w:rFonts w:ascii="標楷體" w:hAnsi="標楷體" w:cs="新細明體"/>
                <w:kern w:val="0"/>
                <w:sz w:val="24"/>
                <w:szCs w:val="24"/>
              </w:rPr>
              <w:t>2</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71</w:t>
            </w:r>
            <w:r w:rsidRPr="00697C03">
              <w:rPr>
                <w:rFonts w:ascii="標楷體" w:hAnsi="標楷體" w:cs="新細明體"/>
                <w:kern w:val="0"/>
                <w:sz w:val="24"/>
                <w:szCs w:val="24"/>
              </w:rPr>
              <w:t>3</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65</w:t>
            </w:r>
            <w:r w:rsidRPr="00697C03">
              <w:rPr>
                <w:rFonts w:ascii="標楷體" w:hAnsi="標楷體" w:cs="新細明體"/>
                <w:kern w:val="0"/>
                <w:sz w:val="24"/>
                <w:szCs w:val="24"/>
              </w:rPr>
              <w:t>4</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598</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557</w:t>
            </w:r>
          </w:p>
        </w:tc>
      </w:tr>
      <w:tr w:rsidR="00697C03" w:rsidRPr="00697C03" w:rsidTr="00BF41DE">
        <w:trPr>
          <w:trHeight w:val="58"/>
        </w:trPr>
        <w:tc>
          <w:tcPr>
            <w:tcW w:w="1417" w:type="dxa"/>
            <w:shd w:val="clear" w:color="auto" w:fill="auto"/>
            <w:vAlign w:val="center"/>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澎湖縣</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2</w:t>
            </w:r>
            <w:r w:rsidRPr="00697C03">
              <w:rPr>
                <w:rFonts w:ascii="標楷體" w:hAnsi="標楷體" w:cs="新細明體"/>
                <w:kern w:val="0"/>
                <w:sz w:val="24"/>
                <w:szCs w:val="24"/>
              </w:rPr>
              <w:t>4</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58</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79</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61</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57</w:t>
            </w:r>
          </w:p>
        </w:tc>
      </w:tr>
      <w:tr w:rsidR="00697C03" w:rsidRPr="00697C03" w:rsidTr="00BF41DE">
        <w:trPr>
          <w:trHeight w:val="58"/>
        </w:trPr>
        <w:tc>
          <w:tcPr>
            <w:tcW w:w="1417" w:type="dxa"/>
            <w:shd w:val="clear" w:color="auto" w:fill="auto"/>
            <w:vAlign w:val="center"/>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金門縣</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88</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64</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70</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53</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59</w:t>
            </w:r>
          </w:p>
        </w:tc>
      </w:tr>
      <w:tr w:rsidR="00697C03" w:rsidRPr="00697C03" w:rsidTr="00BF41DE">
        <w:trPr>
          <w:trHeight w:val="58"/>
        </w:trPr>
        <w:tc>
          <w:tcPr>
            <w:tcW w:w="1417" w:type="dxa"/>
            <w:shd w:val="clear" w:color="auto" w:fill="auto"/>
            <w:vAlign w:val="center"/>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連江縣</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7</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16</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15</w:t>
            </w:r>
          </w:p>
        </w:tc>
        <w:tc>
          <w:tcPr>
            <w:tcW w:w="1417"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6</w:t>
            </w:r>
          </w:p>
        </w:tc>
        <w:tc>
          <w:tcPr>
            <w:tcW w:w="1418" w:type="dxa"/>
            <w:shd w:val="clear" w:color="auto" w:fill="auto"/>
            <w:vAlign w:val="center"/>
            <w:hideMark/>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hint="eastAsia"/>
                <w:kern w:val="0"/>
                <w:sz w:val="24"/>
                <w:szCs w:val="24"/>
              </w:rPr>
              <w:t>6</w:t>
            </w:r>
          </w:p>
        </w:tc>
      </w:tr>
      <w:tr w:rsidR="00697C03" w:rsidRPr="00697C03" w:rsidTr="00BF41DE">
        <w:trPr>
          <w:trHeight w:val="58"/>
        </w:trPr>
        <w:tc>
          <w:tcPr>
            <w:tcW w:w="1417" w:type="dxa"/>
            <w:shd w:val="clear" w:color="auto" w:fill="auto"/>
            <w:vAlign w:val="center"/>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總計</w:t>
            </w:r>
          </w:p>
        </w:tc>
        <w:tc>
          <w:tcPr>
            <w:tcW w:w="1418" w:type="dxa"/>
            <w:shd w:val="clear" w:color="auto" w:fill="auto"/>
            <w:vAlign w:val="center"/>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kern w:val="0"/>
                <w:sz w:val="24"/>
                <w:szCs w:val="24"/>
              </w:rPr>
              <w:t>22,864</w:t>
            </w:r>
          </w:p>
        </w:tc>
        <w:tc>
          <w:tcPr>
            <w:tcW w:w="1417" w:type="dxa"/>
            <w:shd w:val="clear" w:color="auto" w:fill="auto"/>
            <w:vAlign w:val="center"/>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kern w:val="0"/>
                <w:sz w:val="24"/>
                <w:szCs w:val="24"/>
              </w:rPr>
              <w:t>21,890</w:t>
            </w:r>
          </w:p>
        </w:tc>
        <w:tc>
          <w:tcPr>
            <w:tcW w:w="1418" w:type="dxa"/>
            <w:shd w:val="clear" w:color="auto" w:fill="auto"/>
            <w:vAlign w:val="center"/>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kern w:val="0"/>
                <w:sz w:val="24"/>
                <w:szCs w:val="24"/>
              </w:rPr>
              <w:t>21,615</w:t>
            </w:r>
          </w:p>
        </w:tc>
        <w:tc>
          <w:tcPr>
            <w:tcW w:w="1417" w:type="dxa"/>
            <w:shd w:val="clear" w:color="auto" w:fill="auto"/>
            <w:vAlign w:val="center"/>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kern w:val="0"/>
                <w:sz w:val="24"/>
                <w:szCs w:val="24"/>
              </w:rPr>
              <w:t>20,282</w:t>
            </w:r>
          </w:p>
        </w:tc>
        <w:tc>
          <w:tcPr>
            <w:tcW w:w="1418" w:type="dxa"/>
            <w:shd w:val="clear" w:color="auto" w:fill="auto"/>
            <w:vAlign w:val="center"/>
          </w:tcPr>
          <w:p w:rsidR="00406A77" w:rsidRPr="00697C03" w:rsidRDefault="00406A77" w:rsidP="00BF41DE">
            <w:pPr>
              <w:widowControl/>
              <w:jc w:val="right"/>
              <w:rPr>
                <w:rFonts w:ascii="標楷體" w:hAnsi="標楷體" w:cs="新細明體"/>
                <w:kern w:val="0"/>
                <w:sz w:val="24"/>
                <w:szCs w:val="24"/>
              </w:rPr>
            </w:pPr>
            <w:r w:rsidRPr="00697C03">
              <w:rPr>
                <w:rFonts w:ascii="標楷體" w:hAnsi="標楷體" w:cs="新細明體"/>
                <w:kern w:val="0"/>
                <w:sz w:val="24"/>
                <w:szCs w:val="24"/>
              </w:rPr>
              <w:t>16,689</w:t>
            </w:r>
          </w:p>
        </w:tc>
      </w:tr>
    </w:tbl>
    <w:p w:rsidR="00406A77" w:rsidRPr="00697C03" w:rsidRDefault="00406A77" w:rsidP="00406A77">
      <w:pPr>
        <w:rPr>
          <w:rFonts w:ascii="標楷體" w:hAnsi="標楷體"/>
          <w:sz w:val="24"/>
          <w:szCs w:val="24"/>
        </w:rPr>
      </w:pPr>
      <w:r w:rsidRPr="00697C03">
        <w:rPr>
          <w:rFonts w:ascii="標楷體" w:hAnsi="標楷體" w:hint="eastAsia"/>
          <w:sz w:val="24"/>
          <w:szCs w:val="24"/>
        </w:rPr>
        <w:t>資料來源:教育部調卷資料。</w:t>
      </w:r>
    </w:p>
    <w:p w:rsidR="00406A77" w:rsidRPr="00697C03" w:rsidRDefault="00406A77" w:rsidP="00406A77">
      <w:pPr>
        <w:rPr>
          <w:rFonts w:ascii="標楷體" w:hAnsi="標楷體"/>
        </w:rPr>
      </w:pPr>
    </w:p>
    <w:p w:rsidR="00564E53" w:rsidRPr="00697C03" w:rsidRDefault="00564E53" w:rsidP="00406A77">
      <w:pPr>
        <w:pStyle w:val="3"/>
        <w:kinsoku/>
        <w:ind w:left="1360" w:hanging="680"/>
        <w:rPr>
          <w:rFonts w:hAnsi="標楷體"/>
          <w:szCs w:val="32"/>
        </w:rPr>
      </w:pPr>
      <w:r w:rsidRPr="00697C03">
        <w:rPr>
          <w:rFonts w:hAnsi="標楷體" w:hint="eastAsia"/>
          <w:szCs w:val="32"/>
        </w:rPr>
        <w:t>相較於</w:t>
      </w:r>
      <w:r w:rsidR="009A3285" w:rsidRPr="00697C03">
        <w:rPr>
          <w:rFonts w:hAnsi="標楷體" w:hint="eastAsia"/>
          <w:szCs w:val="32"/>
        </w:rPr>
        <w:t>我國歷年中輟</w:t>
      </w:r>
      <w:r w:rsidR="009C3B71" w:rsidRPr="00697C03">
        <w:rPr>
          <w:rFonts w:hAnsi="標楷體" w:hint="eastAsia"/>
          <w:szCs w:val="32"/>
        </w:rPr>
        <w:t>學生</w:t>
      </w:r>
      <w:r w:rsidR="009A3285" w:rsidRPr="00697C03">
        <w:rPr>
          <w:rFonts w:hAnsi="標楷體" w:hint="eastAsia"/>
          <w:szCs w:val="32"/>
        </w:rPr>
        <w:t>及中離</w:t>
      </w:r>
      <w:r w:rsidR="009C3B71" w:rsidRPr="00697C03">
        <w:rPr>
          <w:rFonts w:hAnsi="標楷體" w:hint="eastAsia"/>
          <w:szCs w:val="32"/>
        </w:rPr>
        <w:t>學</w:t>
      </w:r>
      <w:r w:rsidR="009A3285" w:rsidRPr="00697C03">
        <w:rPr>
          <w:rFonts w:hAnsi="標楷體" w:hint="eastAsia"/>
          <w:szCs w:val="32"/>
        </w:rPr>
        <w:t>生人數之眾，教育部顯未積極正視，以</w:t>
      </w:r>
      <w:r w:rsidR="009E5422" w:rsidRPr="00697C03">
        <w:rPr>
          <w:rFonts w:hAnsi="標楷體" w:hint="eastAsia"/>
          <w:szCs w:val="32"/>
        </w:rPr>
        <w:t>本院108年調查「教育部</w:t>
      </w:r>
      <w:r w:rsidR="00A63C25" w:rsidRPr="00697C03">
        <w:rPr>
          <w:rFonts w:hAnsi="標楷體" w:hint="eastAsia"/>
          <w:szCs w:val="32"/>
        </w:rPr>
        <w:t>辦理</w:t>
      </w:r>
      <w:r w:rsidR="00A63C25" w:rsidRPr="00697C03">
        <w:rPr>
          <w:rFonts w:hint="eastAsia"/>
        </w:rPr>
        <w:t>新南向產學合作國際專班</w:t>
      </w:r>
      <w:r w:rsidR="00821C4C" w:rsidRPr="00697C03">
        <w:rPr>
          <w:rFonts w:hint="eastAsia"/>
        </w:rPr>
        <w:t>相關措施</w:t>
      </w:r>
      <w:r w:rsidR="009E5422" w:rsidRPr="00697C03">
        <w:rPr>
          <w:rFonts w:hAnsi="標楷體" w:hint="eastAsia"/>
          <w:szCs w:val="32"/>
        </w:rPr>
        <w:t>」乙案</w:t>
      </w:r>
      <w:r w:rsidR="004D6EDF" w:rsidRPr="00697C03">
        <w:rPr>
          <w:rStyle w:val="aff0"/>
          <w:rFonts w:hAnsi="標楷體"/>
          <w:szCs w:val="32"/>
        </w:rPr>
        <w:footnoteReference w:id="7"/>
      </w:r>
      <w:r w:rsidR="000522BA" w:rsidRPr="00697C03">
        <w:rPr>
          <w:rFonts w:hAnsi="標楷體" w:hint="eastAsia"/>
          <w:szCs w:val="32"/>
        </w:rPr>
        <w:t>之</w:t>
      </w:r>
      <w:r w:rsidR="00D81BB1" w:rsidRPr="00697C03">
        <w:rPr>
          <w:rFonts w:hAnsi="標楷體" w:hint="eastAsia"/>
          <w:szCs w:val="32"/>
        </w:rPr>
        <w:t>數據</w:t>
      </w:r>
      <w:r w:rsidR="009E5422" w:rsidRPr="00697C03">
        <w:rPr>
          <w:rFonts w:hAnsi="標楷體" w:hint="eastAsia"/>
          <w:szCs w:val="32"/>
        </w:rPr>
        <w:t>指出，</w:t>
      </w:r>
      <w:r w:rsidR="00AD1A40" w:rsidRPr="00697C03">
        <w:rPr>
          <w:rFonts w:ascii="Times New Roman"/>
        </w:rPr>
        <w:t>106</w:t>
      </w:r>
      <w:r w:rsidR="00AD1A40" w:rsidRPr="00697C03">
        <w:rPr>
          <w:rFonts w:ascii="Times New Roman"/>
        </w:rPr>
        <w:t>學年度新南向產學合作國際專班</w:t>
      </w:r>
      <w:r w:rsidR="00AD1A40" w:rsidRPr="00697C03">
        <w:rPr>
          <w:rFonts w:ascii="Times New Roman" w:hint="eastAsia"/>
        </w:rPr>
        <w:t>學生</w:t>
      </w:r>
      <w:r w:rsidR="00AD1A40" w:rsidRPr="00697C03">
        <w:rPr>
          <w:rFonts w:ascii="Times New Roman"/>
        </w:rPr>
        <w:t>入學人數共計</w:t>
      </w:r>
      <w:r w:rsidR="00AD1A40" w:rsidRPr="00697C03">
        <w:rPr>
          <w:rFonts w:ascii="Times New Roman"/>
        </w:rPr>
        <w:t>2,494</w:t>
      </w:r>
      <w:r w:rsidR="00AD1A40" w:rsidRPr="00697C03">
        <w:rPr>
          <w:rFonts w:ascii="Times New Roman"/>
        </w:rPr>
        <w:t>人，</w:t>
      </w:r>
      <w:r w:rsidR="00AD1A40" w:rsidRPr="00697C03">
        <w:rPr>
          <w:rFonts w:ascii="Times New Roman"/>
        </w:rPr>
        <w:t>107</w:t>
      </w:r>
      <w:r w:rsidR="00AD1A40" w:rsidRPr="00697C03">
        <w:rPr>
          <w:rFonts w:ascii="Times New Roman"/>
        </w:rPr>
        <w:t>學年度第</w:t>
      </w:r>
      <w:r w:rsidR="00AD1A40" w:rsidRPr="00697C03">
        <w:rPr>
          <w:rFonts w:ascii="Times New Roman"/>
        </w:rPr>
        <w:t>1</w:t>
      </w:r>
      <w:r w:rsidR="00AD1A40" w:rsidRPr="00697C03">
        <w:rPr>
          <w:rFonts w:ascii="Times New Roman"/>
        </w:rPr>
        <w:t>學期</w:t>
      </w:r>
      <w:r w:rsidR="00AD1A40" w:rsidRPr="00697C03">
        <w:rPr>
          <w:rFonts w:ascii="Times New Roman" w:hint="eastAsia"/>
        </w:rPr>
        <w:t>該</w:t>
      </w:r>
      <w:r w:rsidR="00AD1A40" w:rsidRPr="00697C03">
        <w:rPr>
          <w:rFonts w:ascii="Times New Roman"/>
        </w:rPr>
        <w:t>專班</w:t>
      </w:r>
      <w:r w:rsidR="00AD1A40" w:rsidRPr="00697C03">
        <w:rPr>
          <w:rFonts w:ascii="Times New Roman" w:hint="eastAsia"/>
        </w:rPr>
        <w:t>學生</w:t>
      </w:r>
      <w:r w:rsidR="00AD1A40" w:rsidRPr="00697C03">
        <w:rPr>
          <w:rFonts w:ascii="Times New Roman"/>
        </w:rPr>
        <w:t>入學人數增加至</w:t>
      </w:r>
      <w:r w:rsidR="00AD1A40" w:rsidRPr="00697C03">
        <w:rPr>
          <w:rFonts w:ascii="Times New Roman"/>
        </w:rPr>
        <w:t>3,158</w:t>
      </w:r>
      <w:r w:rsidR="00AD1A40" w:rsidRPr="00697C03">
        <w:rPr>
          <w:rFonts w:ascii="Times New Roman"/>
        </w:rPr>
        <w:t>人</w:t>
      </w:r>
      <w:r w:rsidR="00E963CB" w:rsidRPr="00697C03">
        <w:rPr>
          <w:rFonts w:ascii="Times New Roman" w:hint="eastAsia"/>
        </w:rPr>
        <w:t>；而</w:t>
      </w:r>
      <w:r w:rsidR="00A63C7E" w:rsidRPr="00697C03">
        <w:rPr>
          <w:rFonts w:ascii="Times New Roman" w:hAnsi="Times New Roman"/>
        </w:rPr>
        <w:t>3+4</w:t>
      </w:r>
      <w:r w:rsidR="00B6265F" w:rsidRPr="00697C03">
        <w:rPr>
          <w:rFonts w:ascii="Times New Roman" w:hAnsi="Times New Roman"/>
        </w:rPr>
        <w:t>僑生技職專班</w:t>
      </w:r>
      <w:r w:rsidR="006C7A44" w:rsidRPr="00697C03">
        <w:rPr>
          <w:rFonts w:ascii="Times New Roman" w:hAnsi="Times New Roman" w:hint="eastAsia"/>
        </w:rPr>
        <w:t>人數從</w:t>
      </w:r>
      <w:r w:rsidR="006C7A44" w:rsidRPr="00697C03">
        <w:rPr>
          <w:rFonts w:ascii="Times New Roman" w:hAnsi="Times New Roman"/>
        </w:rPr>
        <w:t>103</w:t>
      </w:r>
      <w:r w:rsidR="006C7A44" w:rsidRPr="00697C03">
        <w:rPr>
          <w:rFonts w:ascii="Times New Roman" w:hAnsi="Times New Roman"/>
        </w:rPr>
        <w:t>學年度</w:t>
      </w:r>
      <w:r w:rsidR="006C7A44" w:rsidRPr="00697C03">
        <w:rPr>
          <w:rFonts w:ascii="Times New Roman" w:hAnsi="Times New Roman" w:hint="eastAsia"/>
        </w:rPr>
        <w:t>之</w:t>
      </w:r>
      <w:r w:rsidR="006C7A44" w:rsidRPr="00697C03">
        <w:rPr>
          <w:rFonts w:ascii="Times New Roman" w:hAnsi="Times New Roman"/>
        </w:rPr>
        <w:t>702</w:t>
      </w:r>
      <w:r w:rsidR="006C7A44" w:rsidRPr="00697C03">
        <w:rPr>
          <w:rFonts w:ascii="Times New Roman" w:hAnsi="Times New Roman"/>
        </w:rPr>
        <w:t>人，至</w:t>
      </w:r>
      <w:r w:rsidR="006C7A44" w:rsidRPr="00697C03">
        <w:rPr>
          <w:rFonts w:ascii="Times New Roman" w:hAnsi="Times New Roman"/>
        </w:rPr>
        <w:t>107</w:t>
      </w:r>
      <w:r w:rsidR="006C7A44" w:rsidRPr="00697C03">
        <w:rPr>
          <w:rFonts w:ascii="Times New Roman" w:hAnsi="Times New Roman"/>
        </w:rPr>
        <w:t>學年</w:t>
      </w:r>
      <w:r w:rsidR="006C7A44" w:rsidRPr="00697C03">
        <w:rPr>
          <w:rFonts w:ascii="Times New Roman" w:hAnsi="Times New Roman" w:hint="eastAsia"/>
        </w:rPr>
        <w:t>已達</w:t>
      </w:r>
      <w:r w:rsidR="006C7A44" w:rsidRPr="00697C03">
        <w:rPr>
          <w:rFonts w:ascii="Times New Roman" w:hAnsi="Times New Roman"/>
        </w:rPr>
        <w:t>3,710</w:t>
      </w:r>
      <w:r w:rsidR="006C7A44" w:rsidRPr="00697C03">
        <w:rPr>
          <w:rFonts w:ascii="Times New Roman" w:hAnsi="Times New Roman"/>
        </w:rPr>
        <w:t>人，</w:t>
      </w:r>
      <w:r w:rsidR="006C7A44" w:rsidRPr="00697C03">
        <w:rPr>
          <w:rFonts w:ascii="Times New Roman" w:hAnsi="Times New Roman" w:hint="eastAsia"/>
        </w:rPr>
        <w:t>增幅</w:t>
      </w:r>
      <w:r w:rsidR="006C7A44" w:rsidRPr="00697C03">
        <w:rPr>
          <w:rFonts w:ascii="Times New Roman" w:hAnsi="Times New Roman"/>
        </w:rPr>
        <w:t>超過</w:t>
      </w:r>
      <w:r w:rsidR="006C7A44" w:rsidRPr="00697C03">
        <w:rPr>
          <w:rFonts w:ascii="Times New Roman" w:hAnsi="Times New Roman"/>
        </w:rPr>
        <w:t>5</w:t>
      </w:r>
      <w:r w:rsidR="006C7A44" w:rsidRPr="00697C03">
        <w:rPr>
          <w:rFonts w:ascii="Times New Roman" w:hAnsi="Times New Roman"/>
        </w:rPr>
        <w:t>倍，</w:t>
      </w:r>
      <w:r w:rsidR="003D0539" w:rsidRPr="00697C03">
        <w:rPr>
          <w:rFonts w:ascii="Times New Roman" w:hAnsi="Times New Roman" w:hint="eastAsia"/>
        </w:rPr>
        <w:t>亦呈逐年成長趨勢，</w:t>
      </w:r>
      <w:r w:rsidR="006C7A44" w:rsidRPr="00697C03">
        <w:rPr>
          <w:rFonts w:ascii="Times New Roman" w:hAnsi="Times New Roman" w:hint="eastAsia"/>
        </w:rPr>
        <w:t>且</w:t>
      </w:r>
      <w:r w:rsidR="006C7A44" w:rsidRPr="00697C03">
        <w:rPr>
          <w:rFonts w:ascii="Times New Roman" w:hAnsi="Times New Roman"/>
        </w:rPr>
        <w:t>僑生建教</w:t>
      </w:r>
      <w:r w:rsidR="006C7A44" w:rsidRPr="00697C03">
        <w:rPr>
          <w:rFonts w:ascii="Times New Roman" w:hAnsi="Times New Roman" w:hint="eastAsia"/>
        </w:rPr>
        <w:t>合作</w:t>
      </w:r>
      <w:r w:rsidR="006C7A44" w:rsidRPr="00697C03">
        <w:rPr>
          <w:rFonts w:ascii="Times New Roman" w:hAnsi="Times New Roman"/>
        </w:rPr>
        <w:t>專班人數占高中職僑生</w:t>
      </w:r>
      <w:r w:rsidR="006C7A44" w:rsidRPr="00697C03">
        <w:rPr>
          <w:rFonts w:ascii="Times New Roman" w:hAnsi="Times New Roman" w:hint="eastAsia"/>
        </w:rPr>
        <w:t>總</w:t>
      </w:r>
      <w:r w:rsidR="006C7A44" w:rsidRPr="00697C03">
        <w:rPr>
          <w:rFonts w:ascii="Times New Roman" w:hAnsi="Times New Roman"/>
        </w:rPr>
        <w:t>人數</w:t>
      </w:r>
      <w:r w:rsidR="006C7A44" w:rsidRPr="00697C03">
        <w:rPr>
          <w:rFonts w:ascii="Times New Roman" w:hAnsi="Times New Roman" w:hint="eastAsia"/>
        </w:rPr>
        <w:t>之比率</w:t>
      </w:r>
      <w:r w:rsidR="006C7A44" w:rsidRPr="00697C03">
        <w:rPr>
          <w:rFonts w:ascii="Times New Roman" w:hAnsi="Times New Roman"/>
        </w:rPr>
        <w:t>約</w:t>
      </w:r>
      <w:r w:rsidR="006C7A44" w:rsidRPr="00697C03">
        <w:rPr>
          <w:rFonts w:ascii="Times New Roman" w:hAnsi="Times New Roman"/>
        </w:rPr>
        <w:t>4</w:t>
      </w:r>
      <w:r w:rsidR="006C7A44" w:rsidRPr="00697C03">
        <w:rPr>
          <w:rFonts w:ascii="Times New Roman" w:hAnsi="Times New Roman"/>
        </w:rPr>
        <w:t>成</w:t>
      </w:r>
      <w:r w:rsidR="006C7A44" w:rsidRPr="00697C03">
        <w:rPr>
          <w:rFonts w:ascii="Times New Roman" w:hAnsi="Times New Roman" w:hint="eastAsia"/>
        </w:rPr>
        <w:t>左右</w:t>
      </w:r>
      <w:r w:rsidR="009E5422" w:rsidRPr="00697C03">
        <w:rPr>
          <w:rFonts w:hAnsi="標楷體" w:hint="eastAsia"/>
          <w:szCs w:val="32"/>
        </w:rPr>
        <w:t>。基此，殊不論</w:t>
      </w:r>
      <w:r w:rsidR="009A3285" w:rsidRPr="00697C03">
        <w:rPr>
          <w:rFonts w:hAnsi="標楷體" w:hint="eastAsia"/>
          <w:szCs w:val="32"/>
        </w:rPr>
        <w:t>教育部</w:t>
      </w:r>
      <w:r w:rsidR="009E5422" w:rsidRPr="00697C03">
        <w:rPr>
          <w:rFonts w:hAnsi="標楷體" w:hint="eastAsia"/>
          <w:szCs w:val="32"/>
        </w:rPr>
        <w:t>辦理新南向</w:t>
      </w:r>
      <w:r w:rsidR="00F76117" w:rsidRPr="00697C03">
        <w:rPr>
          <w:rFonts w:hint="eastAsia"/>
        </w:rPr>
        <w:t>產學合作國際專班</w:t>
      </w:r>
      <w:r w:rsidR="009E5422" w:rsidRPr="00697C03">
        <w:rPr>
          <w:rFonts w:hAnsi="標楷體" w:hint="eastAsia"/>
          <w:szCs w:val="32"/>
        </w:rPr>
        <w:t>或僑生建教合作專班之</w:t>
      </w:r>
      <w:r w:rsidR="00EC70E5" w:rsidRPr="00697C03">
        <w:rPr>
          <w:rFonts w:hAnsi="標楷體" w:hint="eastAsia"/>
          <w:szCs w:val="32"/>
        </w:rPr>
        <w:t>實際</w:t>
      </w:r>
      <w:r w:rsidR="009E5422" w:rsidRPr="00697C03">
        <w:rPr>
          <w:rFonts w:hAnsi="標楷體" w:hint="eastAsia"/>
          <w:szCs w:val="32"/>
        </w:rPr>
        <w:t>成效及</w:t>
      </w:r>
      <w:r w:rsidR="0054153D" w:rsidRPr="00697C03">
        <w:rPr>
          <w:rFonts w:hAnsi="標楷體" w:hint="eastAsia"/>
          <w:szCs w:val="32"/>
        </w:rPr>
        <w:t>相關</w:t>
      </w:r>
      <w:r w:rsidR="00EC70E5" w:rsidRPr="00697C03">
        <w:rPr>
          <w:rFonts w:hAnsi="標楷體" w:hint="eastAsia"/>
          <w:szCs w:val="32"/>
        </w:rPr>
        <w:t>待辦事項</w:t>
      </w:r>
      <w:r w:rsidR="009E5422" w:rsidRPr="00697C03">
        <w:rPr>
          <w:rFonts w:hAnsi="標楷體" w:hint="eastAsia"/>
          <w:szCs w:val="32"/>
        </w:rPr>
        <w:t>，惟</w:t>
      </w:r>
      <w:r w:rsidR="002A2089" w:rsidRPr="00697C03">
        <w:rPr>
          <w:rFonts w:hAnsi="標楷體" w:hint="eastAsia"/>
          <w:szCs w:val="32"/>
        </w:rPr>
        <w:t>以</w:t>
      </w:r>
      <w:r w:rsidR="00BD1BD6" w:rsidRPr="00697C03">
        <w:rPr>
          <w:rFonts w:hint="eastAsia"/>
        </w:rPr>
        <w:t>新南向產學合作國際專班及僑生</w:t>
      </w:r>
      <w:r w:rsidR="00BD1BD6" w:rsidRPr="00697C03">
        <w:rPr>
          <w:rFonts w:ascii="Times New Roman" w:hAnsi="Times New Roman"/>
        </w:rPr>
        <w:t>技職專班</w:t>
      </w:r>
      <w:r w:rsidR="00BD1BD6" w:rsidRPr="00697C03">
        <w:rPr>
          <w:rFonts w:ascii="Times New Roman" w:hAnsi="Times New Roman" w:hint="eastAsia"/>
        </w:rPr>
        <w:t>之</w:t>
      </w:r>
      <w:r w:rsidR="00E404E2" w:rsidRPr="00697C03">
        <w:rPr>
          <w:rFonts w:ascii="Times New Roman" w:hAnsi="Times New Roman" w:hint="eastAsia"/>
        </w:rPr>
        <w:t>招生</w:t>
      </w:r>
      <w:r w:rsidR="002A2089" w:rsidRPr="00697C03">
        <w:rPr>
          <w:rFonts w:ascii="Times New Roman" w:hAnsi="Times New Roman" w:hint="eastAsia"/>
        </w:rPr>
        <w:t>策略</w:t>
      </w:r>
      <w:r w:rsidR="00E404E2" w:rsidRPr="00697C03">
        <w:rPr>
          <w:rFonts w:hAnsi="標楷體" w:hint="eastAsia"/>
        </w:rPr>
        <w:t>、</w:t>
      </w:r>
      <w:r w:rsidR="00E404E2" w:rsidRPr="00697C03">
        <w:rPr>
          <w:rFonts w:ascii="Times New Roman" w:hAnsi="Times New Roman"/>
          <w:spacing w:val="-6"/>
        </w:rPr>
        <w:t>生活</w:t>
      </w:r>
      <w:r w:rsidR="005C348C" w:rsidRPr="00697C03">
        <w:rPr>
          <w:rFonts w:ascii="Times New Roman" w:hAnsi="Times New Roman" w:hint="eastAsia"/>
          <w:spacing w:val="-6"/>
        </w:rPr>
        <w:t>與</w:t>
      </w:r>
      <w:r w:rsidR="00A173D7" w:rsidRPr="00697C03">
        <w:rPr>
          <w:rFonts w:ascii="Times New Roman" w:hAnsi="Times New Roman"/>
          <w:spacing w:val="-6"/>
        </w:rPr>
        <w:t>住宿安排</w:t>
      </w:r>
      <w:r w:rsidR="00FE06A3" w:rsidRPr="00697C03">
        <w:rPr>
          <w:rFonts w:hAnsi="標楷體" w:hint="eastAsia"/>
          <w:spacing w:val="-6"/>
        </w:rPr>
        <w:t>、</w:t>
      </w:r>
      <w:r w:rsidR="00B952F3" w:rsidRPr="00697C03">
        <w:rPr>
          <w:rFonts w:ascii="Times New Roman" w:hAnsi="Times New Roman" w:hint="eastAsia"/>
        </w:rPr>
        <w:t>津貼與</w:t>
      </w:r>
      <w:r w:rsidR="00FE06A3" w:rsidRPr="00697C03">
        <w:rPr>
          <w:rFonts w:ascii="Times New Roman" w:hAnsi="Times New Roman" w:hint="eastAsia"/>
        </w:rPr>
        <w:t>待遇、升學及實習機制</w:t>
      </w:r>
      <w:r w:rsidR="00A173D7" w:rsidRPr="00697C03">
        <w:rPr>
          <w:rFonts w:ascii="Times New Roman" w:hAnsi="Times New Roman" w:hint="eastAsia"/>
          <w:spacing w:val="-6"/>
        </w:rPr>
        <w:t>等</w:t>
      </w:r>
      <w:r w:rsidR="00107AA0" w:rsidRPr="00697C03">
        <w:rPr>
          <w:rFonts w:ascii="Times New Roman" w:hAnsi="Times New Roman" w:hint="eastAsia"/>
          <w:spacing w:val="-6"/>
        </w:rPr>
        <w:t>配套</w:t>
      </w:r>
      <w:r w:rsidR="00FE06A3" w:rsidRPr="00697C03">
        <w:rPr>
          <w:rFonts w:ascii="Times New Roman" w:hAnsi="Times New Roman" w:hint="eastAsia"/>
          <w:spacing w:val="-6"/>
        </w:rPr>
        <w:t>誘因，</w:t>
      </w:r>
      <w:r w:rsidR="00D630B8" w:rsidRPr="00697C03">
        <w:rPr>
          <w:rFonts w:ascii="Times New Roman" w:hAnsi="Times New Roman" w:hint="eastAsia"/>
          <w:spacing w:val="-6"/>
        </w:rPr>
        <w:t>教育部之</w:t>
      </w:r>
      <w:r w:rsidR="00A173D7" w:rsidRPr="00697C03">
        <w:rPr>
          <w:rFonts w:ascii="Times New Roman" w:hAnsi="Times New Roman" w:hint="eastAsia"/>
          <w:spacing w:val="-6"/>
        </w:rPr>
        <w:t>政策</w:t>
      </w:r>
      <w:r w:rsidR="00FE06A3" w:rsidRPr="00697C03">
        <w:rPr>
          <w:rFonts w:ascii="Times New Roman" w:hAnsi="Times New Roman" w:hint="eastAsia"/>
          <w:spacing w:val="-6"/>
        </w:rPr>
        <w:t>積極度顯高於</w:t>
      </w:r>
      <w:r w:rsidR="00A173D7" w:rsidRPr="00697C03">
        <w:rPr>
          <w:rFonts w:ascii="Times New Roman" w:hAnsi="Times New Roman" w:hint="eastAsia"/>
          <w:spacing w:val="-6"/>
        </w:rPr>
        <w:t>我國中離生及中輟生</w:t>
      </w:r>
      <w:r w:rsidR="00D630B8" w:rsidRPr="00697C03">
        <w:rPr>
          <w:rFonts w:ascii="Times New Roman" w:hAnsi="Times New Roman" w:hint="eastAsia"/>
          <w:spacing w:val="-6"/>
        </w:rPr>
        <w:t>之</w:t>
      </w:r>
      <w:r w:rsidR="00B5130E" w:rsidRPr="00697C03">
        <w:rPr>
          <w:rFonts w:ascii="Times New Roman" w:hAnsi="Times New Roman" w:hint="eastAsia"/>
          <w:spacing w:val="-6"/>
        </w:rPr>
        <w:t>就學就業措施</w:t>
      </w:r>
      <w:r w:rsidR="007F513A" w:rsidRPr="00697C03">
        <w:rPr>
          <w:rFonts w:ascii="Times New Roman" w:hAnsi="Times New Roman" w:hint="eastAsia"/>
          <w:spacing w:val="-6"/>
        </w:rPr>
        <w:t>。</w:t>
      </w:r>
      <w:r w:rsidR="00A70BD0" w:rsidRPr="00697C03">
        <w:rPr>
          <w:rFonts w:hAnsi="標楷體" w:hint="eastAsia"/>
          <w:szCs w:val="52"/>
        </w:rPr>
        <w:t>況依</w:t>
      </w:r>
      <w:r w:rsidR="00816D23" w:rsidRPr="00697C03">
        <w:rPr>
          <w:rFonts w:hAnsi="標楷體" w:hint="eastAsia"/>
          <w:szCs w:val="52"/>
        </w:rPr>
        <w:t>我國兒少人數趨勢統計</w:t>
      </w:r>
      <w:r w:rsidR="00816D23" w:rsidRPr="00697C03">
        <w:rPr>
          <w:rStyle w:val="aff0"/>
          <w:rFonts w:hAnsi="標楷體"/>
          <w:szCs w:val="52"/>
        </w:rPr>
        <w:footnoteReference w:id="8"/>
      </w:r>
      <w:r w:rsidR="00816D23" w:rsidRPr="00697C03">
        <w:rPr>
          <w:rFonts w:hAnsi="標楷體" w:hint="eastAsia"/>
          <w:szCs w:val="52"/>
        </w:rPr>
        <w:t>，</w:t>
      </w:r>
      <w:r w:rsidR="00816D23" w:rsidRPr="00697C03">
        <w:rPr>
          <w:rFonts w:hAnsi="標楷體" w:hint="eastAsia"/>
        </w:rPr>
        <w:t>107年8月底我國兒童及少年</w:t>
      </w:r>
      <w:r w:rsidR="00816D23" w:rsidRPr="00697C03">
        <w:rPr>
          <w:rFonts w:hAnsi="標楷體" w:hint="eastAsia"/>
        </w:rPr>
        <w:lastRenderedPageBreak/>
        <w:t>人口數分別為242萬5,171人及140萬1,868人，占總人口數之10.3%、5.9%，較10年前分別下降2.7個百分點及2.5</w:t>
      </w:r>
      <w:r w:rsidR="00B5130E" w:rsidRPr="00697C03">
        <w:rPr>
          <w:rFonts w:hAnsi="標楷體" w:hint="eastAsia"/>
        </w:rPr>
        <w:t>個百分點。</w:t>
      </w:r>
      <w:r w:rsidR="00816D23" w:rsidRPr="00697C03">
        <w:rPr>
          <w:rFonts w:hAnsi="標楷體" w:hint="eastAsia"/>
        </w:rPr>
        <w:t>鑑於人口出生率均呈逐年下降趨勢</w:t>
      </w:r>
      <w:r w:rsidR="005A0193" w:rsidRPr="00697C03">
        <w:rPr>
          <w:rFonts w:hAnsi="標楷體" w:hint="eastAsia"/>
        </w:rPr>
        <w:t>，如何提供兒童及少年一個安全、健康且優質的生長環境，</w:t>
      </w:r>
      <w:r w:rsidR="00A70BD0" w:rsidRPr="00697C03">
        <w:rPr>
          <w:rFonts w:hAnsi="標楷體" w:hint="eastAsia"/>
        </w:rPr>
        <w:t>應</w:t>
      </w:r>
      <w:r w:rsidR="005A0193" w:rsidRPr="00697C03">
        <w:rPr>
          <w:rFonts w:hAnsi="標楷體" w:hint="eastAsia"/>
        </w:rPr>
        <w:t>為國家</w:t>
      </w:r>
      <w:r w:rsidR="001C24AE" w:rsidRPr="00697C03">
        <w:rPr>
          <w:rFonts w:hAnsi="標楷體" w:hint="eastAsia"/>
        </w:rPr>
        <w:t>急迫且</w:t>
      </w:r>
      <w:r w:rsidR="005A0193" w:rsidRPr="00697C03">
        <w:rPr>
          <w:rFonts w:hAnsi="標楷體" w:hint="eastAsia"/>
        </w:rPr>
        <w:t>重要</w:t>
      </w:r>
      <w:r w:rsidR="001C24AE" w:rsidRPr="00697C03">
        <w:rPr>
          <w:rFonts w:hAnsi="標楷體" w:hint="eastAsia"/>
        </w:rPr>
        <w:t>之</w:t>
      </w:r>
      <w:r w:rsidR="005A0193" w:rsidRPr="00697C03">
        <w:rPr>
          <w:rFonts w:hAnsi="標楷體" w:hint="eastAsia"/>
        </w:rPr>
        <w:t>思考方向與施政方針</w:t>
      </w:r>
      <w:r w:rsidR="005A0193" w:rsidRPr="00697C03">
        <w:rPr>
          <w:rFonts w:hAnsi="標楷體" w:hint="eastAsia"/>
          <w:szCs w:val="32"/>
        </w:rPr>
        <w:t>。</w:t>
      </w:r>
      <w:r w:rsidR="005D7462" w:rsidRPr="00697C03">
        <w:rPr>
          <w:rFonts w:hAnsi="標楷體" w:hint="eastAsia"/>
        </w:rPr>
        <w:t>政府</w:t>
      </w:r>
      <w:r w:rsidR="009405EE" w:rsidRPr="00697C03">
        <w:rPr>
          <w:rFonts w:hAnsi="標楷體" w:hint="eastAsia"/>
        </w:rPr>
        <w:t>為吸引</w:t>
      </w:r>
      <w:r w:rsidR="00C93864" w:rsidRPr="00697C03">
        <w:rPr>
          <w:rFonts w:hAnsi="標楷體" w:hint="eastAsia"/>
        </w:rPr>
        <w:t>境外學生</w:t>
      </w:r>
      <w:r w:rsidR="00F80E04" w:rsidRPr="00697C03">
        <w:rPr>
          <w:rFonts w:hAnsi="標楷體" w:hint="eastAsia"/>
        </w:rPr>
        <w:t>來台，</w:t>
      </w:r>
      <w:r w:rsidR="00C93864" w:rsidRPr="00697C03">
        <w:rPr>
          <w:rFonts w:hAnsi="標楷體" w:hint="eastAsia"/>
        </w:rPr>
        <w:t>尚且</w:t>
      </w:r>
      <w:r w:rsidR="005D7462" w:rsidRPr="00697C03">
        <w:rPr>
          <w:rFonts w:hAnsi="標楷體" w:hint="eastAsia"/>
        </w:rPr>
        <w:t>提供</w:t>
      </w:r>
      <w:r w:rsidR="004D6721" w:rsidRPr="00697C03">
        <w:rPr>
          <w:rFonts w:hAnsi="標楷體" w:hint="eastAsia"/>
        </w:rPr>
        <w:t>優渥而</w:t>
      </w:r>
      <w:r w:rsidR="00D1348D" w:rsidRPr="00697C03">
        <w:rPr>
          <w:rFonts w:hAnsi="標楷體" w:hint="eastAsia"/>
        </w:rPr>
        <w:t>豐富之</w:t>
      </w:r>
      <w:r w:rsidR="005D7462" w:rsidRPr="00697C03">
        <w:rPr>
          <w:rFonts w:hAnsi="標楷體" w:hint="eastAsia"/>
        </w:rPr>
        <w:t>就學</w:t>
      </w:r>
      <w:r w:rsidR="009405EE" w:rsidRPr="00697C03">
        <w:rPr>
          <w:rFonts w:hAnsi="標楷體" w:hint="eastAsia"/>
        </w:rPr>
        <w:t>及配套</w:t>
      </w:r>
      <w:r w:rsidR="005D7462" w:rsidRPr="00697C03">
        <w:rPr>
          <w:rFonts w:hAnsi="標楷體" w:hint="eastAsia"/>
        </w:rPr>
        <w:t>福利</w:t>
      </w:r>
      <w:r w:rsidR="00C93864" w:rsidRPr="00697C03">
        <w:rPr>
          <w:rFonts w:hAnsi="標楷體" w:hint="eastAsia"/>
        </w:rPr>
        <w:t>，</w:t>
      </w:r>
      <w:r w:rsidR="00816D23" w:rsidRPr="00697C03">
        <w:rPr>
          <w:rFonts w:hAnsi="標楷體" w:hint="eastAsia"/>
        </w:rPr>
        <w:t>為因應少子化、家庭型態多元變遷，</w:t>
      </w:r>
      <w:r w:rsidR="00F832D0" w:rsidRPr="00697C03">
        <w:rPr>
          <w:rFonts w:hAnsi="標楷體" w:hint="eastAsia"/>
          <w:szCs w:val="32"/>
        </w:rPr>
        <w:t>針對我國學生歷年來</w:t>
      </w:r>
      <w:r w:rsidR="00223F51" w:rsidRPr="00697C03">
        <w:rPr>
          <w:rFonts w:hAnsi="標楷體" w:hint="eastAsia"/>
          <w:szCs w:val="32"/>
        </w:rPr>
        <w:t>中輟學生及中離學生人數之眾，</w:t>
      </w:r>
      <w:r w:rsidR="004C6085" w:rsidRPr="00697C03">
        <w:rPr>
          <w:rFonts w:hAnsi="標楷體" w:hint="eastAsia"/>
          <w:szCs w:val="32"/>
        </w:rPr>
        <w:t>卻</w:t>
      </w:r>
      <w:r w:rsidR="00D42726" w:rsidRPr="00697C03">
        <w:rPr>
          <w:rFonts w:hAnsi="標楷體" w:hint="eastAsia"/>
          <w:szCs w:val="32"/>
        </w:rPr>
        <w:t>顯</w:t>
      </w:r>
      <w:r w:rsidR="00DA5716" w:rsidRPr="00697C03">
        <w:rPr>
          <w:rFonts w:hAnsi="標楷體" w:hint="eastAsia"/>
          <w:szCs w:val="32"/>
        </w:rPr>
        <w:t>未能</w:t>
      </w:r>
      <w:r w:rsidR="00B5130E" w:rsidRPr="00697C03">
        <w:rPr>
          <w:rFonts w:hAnsi="標楷體" w:hint="eastAsia"/>
          <w:szCs w:val="32"/>
        </w:rPr>
        <w:t>積極</w:t>
      </w:r>
      <w:r w:rsidR="00B62519" w:rsidRPr="00697C03">
        <w:rPr>
          <w:rFonts w:hAnsi="標楷體" w:hint="eastAsia"/>
          <w:szCs w:val="32"/>
        </w:rPr>
        <w:t>辦理</w:t>
      </w:r>
      <w:r w:rsidR="00D42726" w:rsidRPr="00697C03">
        <w:rPr>
          <w:rFonts w:hAnsi="標楷體" w:hint="eastAsia"/>
          <w:szCs w:val="32"/>
        </w:rPr>
        <w:t>有效就學</w:t>
      </w:r>
      <w:r w:rsidR="00837C07" w:rsidRPr="00697C03">
        <w:rPr>
          <w:rFonts w:hAnsi="標楷體" w:hint="eastAsia"/>
          <w:szCs w:val="32"/>
        </w:rPr>
        <w:t>及</w:t>
      </w:r>
      <w:r w:rsidR="00D42726" w:rsidRPr="00697C03">
        <w:rPr>
          <w:rFonts w:hAnsi="標楷體" w:hint="eastAsia"/>
          <w:szCs w:val="32"/>
        </w:rPr>
        <w:t>就業之</w:t>
      </w:r>
      <w:r w:rsidR="00DA5716" w:rsidRPr="00697C03">
        <w:rPr>
          <w:rFonts w:hAnsi="標楷體" w:hint="eastAsia"/>
          <w:szCs w:val="32"/>
        </w:rPr>
        <w:t>相關誘因及配套措施，</w:t>
      </w:r>
      <w:r w:rsidR="00903E6A" w:rsidRPr="00697C03">
        <w:rPr>
          <w:rFonts w:hAnsi="標楷體" w:hint="eastAsia"/>
          <w:szCs w:val="32"/>
        </w:rPr>
        <w:t>洵有怠失</w:t>
      </w:r>
      <w:r w:rsidR="00D42726" w:rsidRPr="00697C03">
        <w:rPr>
          <w:rFonts w:hAnsi="標楷體" w:hint="eastAsia"/>
        </w:rPr>
        <w:t>。</w:t>
      </w:r>
    </w:p>
    <w:p w:rsidR="00406A77" w:rsidRPr="00697C03" w:rsidRDefault="00B67C98" w:rsidP="00406A77">
      <w:pPr>
        <w:pStyle w:val="3"/>
        <w:kinsoku/>
        <w:ind w:left="1360" w:hanging="680"/>
        <w:rPr>
          <w:rFonts w:hAnsi="標楷體"/>
          <w:sz w:val="28"/>
        </w:rPr>
      </w:pPr>
      <w:r w:rsidRPr="00697C03">
        <w:rPr>
          <w:rFonts w:hAnsi="標楷體" w:hint="eastAsia"/>
          <w:bCs w:val="0"/>
          <w:szCs w:val="52"/>
        </w:rPr>
        <w:t>另</w:t>
      </w:r>
      <w:r w:rsidR="00151EB1" w:rsidRPr="00697C03">
        <w:rPr>
          <w:rFonts w:hAnsi="標楷體" w:hint="eastAsia"/>
          <w:bCs w:val="0"/>
          <w:szCs w:val="52"/>
        </w:rPr>
        <w:t>查，</w:t>
      </w:r>
      <w:r w:rsidR="002D4908" w:rsidRPr="00697C03">
        <w:rPr>
          <w:rFonts w:hAnsi="標楷體" w:hint="eastAsia"/>
          <w:bCs w:val="0"/>
          <w:szCs w:val="52"/>
        </w:rPr>
        <w:t>我國十二年</w:t>
      </w:r>
      <w:r w:rsidR="00406A77" w:rsidRPr="00697C03">
        <w:rPr>
          <w:rFonts w:hAnsi="標楷體" w:hint="eastAsia"/>
          <w:bCs w:val="0"/>
          <w:szCs w:val="52"/>
        </w:rPr>
        <w:t>國民基本教育自103年起延長迄今，仍未見教育部針對國民政策進行整體後設研究分析及執行檢討規劃，以本案調查顯示我國政府針對整體十二年國教之</w:t>
      </w:r>
      <w:r w:rsidR="006A324C" w:rsidRPr="00697C03">
        <w:rPr>
          <w:rFonts w:hAnsi="標楷體" w:hint="eastAsia"/>
          <w:bCs w:val="0"/>
          <w:szCs w:val="52"/>
        </w:rPr>
        <w:t>在學</w:t>
      </w:r>
      <w:r w:rsidR="00406A77" w:rsidRPr="00697C03">
        <w:rPr>
          <w:rFonts w:hAnsi="標楷體" w:hint="eastAsia"/>
          <w:bCs w:val="0"/>
          <w:szCs w:val="52"/>
        </w:rPr>
        <w:t>執行雖有數據提升，惟就</w:t>
      </w:r>
      <w:r w:rsidR="00EC1FE7" w:rsidRPr="00697C03">
        <w:rPr>
          <w:rFonts w:hAnsi="標楷體" w:hint="eastAsia"/>
          <w:bCs w:val="0"/>
          <w:szCs w:val="52"/>
        </w:rPr>
        <w:t>少子女化嚴重情形，現行廣義針對</w:t>
      </w:r>
      <w:r w:rsidR="00874A79" w:rsidRPr="00697C03">
        <w:rPr>
          <w:rFonts w:hAnsi="標楷體" w:hint="eastAsia"/>
          <w:bCs w:val="0"/>
          <w:szCs w:val="52"/>
        </w:rPr>
        <w:t>每年未能完成十二年國教</w:t>
      </w:r>
      <w:r w:rsidR="00406A77" w:rsidRPr="00697C03">
        <w:rPr>
          <w:rFonts w:hAnsi="標楷體" w:hint="eastAsia"/>
          <w:bCs w:val="0"/>
          <w:szCs w:val="52"/>
        </w:rPr>
        <w:t>學生</w:t>
      </w:r>
      <w:r w:rsidR="00874A79" w:rsidRPr="00697C03">
        <w:rPr>
          <w:rFonts w:hAnsi="標楷體" w:hint="eastAsia"/>
          <w:bCs w:val="0"/>
          <w:szCs w:val="52"/>
        </w:rPr>
        <w:t>之數</w:t>
      </w:r>
      <w:r w:rsidR="00406A77" w:rsidRPr="00697C03">
        <w:rPr>
          <w:rFonts w:hAnsi="標楷體" w:hint="eastAsia"/>
          <w:bCs w:val="0"/>
          <w:szCs w:val="52"/>
        </w:rPr>
        <w:t>仍有近2萬餘名，其範圍除國民中學畢業生未升學及未就業者外，</w:t>
      </w:r>
      <w:r w:rsidR="002B490D" w:rsidRPr="00697C03">
        <w:rPr>
          <w:rFonts w:hAnsi="標楷體" w:hint="eastAsia"/>
          <w:bCs w:val="0"/>
          <w:szCs w:val="52"/>
        </w:rPr>
        <w:t>實際漏接學生恐</w:t>
      </w:r>
      <w:r w:rsidR="00406A77" w:rsidRPr="00697C03">
        <w:rPr>
          <w:rFonts w:hAnsi="標楷體" w:hint="eastAsia"/>
          <w:bCs w:val="0"/>
          <w:szCs w:val="52"/>
        </w:rPr>
        <w:t>應包括國民中小學中輟生、及高級中等教育階段中離生，均應屬18歲以下十二年國教關注之範疇</w:t>
      </w:r>
      <w:r w:rsidR="00942D18" w:rsidRPr="00697C03">
        <w:rPr>
          <w:rFonts w:hAnsi="標楷體" w:hint="eastAsia"/>
          <w:bCs w:val="0"/>
          <w:szCs w:val="52"/>
        </w:rPr>
        <w:t>。</w:t>
      </w:r>
      <w:r w:rsidR="00542859" w:rsidRPr="00697C03">
        <w:rPr>
          <w:rFonts w:hAnsi="標楷體" w:hint="eastAsia"/>
          <w:bCs w:val="0"/>
          <w:szCs w:val="52"/>
        </w:rPr>
        <w:t>惟</w:t>
      </w:r>
      <w:r w:rsidR="00406A77" w:rsidRPr="00697C03">
        <w:rPr>
          <w:rFonts w:hAnsi="標楷體" w:hint="eastAsia"/>
          <w:bCs w:val="0"/>
          <w:szCs w:val="52"/>
        </w:rPr>
        <w:t>政府過去迄未就此議題有所關注及精進，尤以高級中等學校階段非屬義務教育，整體配套措施闕如，以致長期難以</w:t>
      </w:r>
      <w:r w:rsidR="00256159" w:rsidRPr="00697C03">
        <w:rPr>
          <w:rFonts w:hAnsi="標楷體" w:hint="eastAsia"/>
          <w:bCs w:val="0"/>
          <w:szCs w:val="52"/>
        </w:rPr>
        <w:t>積極</w:t>
      </w:r>
      <w:r w:rsidR="00C66338" w:rsidRPr="00697C03">
        <w:rPr>
          <w:rFonts w:hAnsi="標楷體" w:hint="eastAsia"/>
          <w:bCs w:val="0"/>
          <w:szCs w:val="52"/>
        </w:rPr>
        <w:t>有效降低人數。教育</w:t>
      </w:r>
      <w:r w:rsidR="00406A77" w:rsidRPr="00697C03">
        <w:rPr>
          <w:rFonts w:hAnsi="標楷體" w:hint="eastAsia"/>
          <w:bCs w:val="0"/>
          <w:szCs w:val="52"/>
        </w:rPr>
        <w:t>部於本案調查期間指出，參照現行</w:t>
      </w:r>
      <w:r w:rsidR="00632D64" w:rsidRPr="00697C03">
        <w:rPr>
          <w:rFonts w:hAnsi="標楷體" w:hint="eastAsia"/>
          <w:bCs w:val="0"/>
          <w:szCs w:val="52"/>
        </w:rPr>
        <w:t>九</w:t>
      </w:r>
      <w:r w:rsidR="00406A77" w:rsidRPr="00697C03">
        <w:rPr>
          <w:rFonts w:hAnsi="標楷體"/>
          <w:bCs w:val="0"/>
          <w:szCs w:val="52"/>
        </w:rPr>
        <w:t>年國民義務教育</w:t>
      </w:r>
      <w:r w:rsidR="00406A77" w:rsidRPr="00697C03">
        <w:rPr>
          <w:rFonts w:hAnsi="標楷體" w:hint="eastAsia"/>
          <w:bCs w:val="0"/>
          <w:szCs w:val="52"/>
        </w:rPr>
        <w:t>係採全面免學費，如高級中等教育階段亦採義務教育，強迫所有學生入學，即應搭配實施全面免學費，</w:t>
      </w:r>
      <w:r w:rsidR="00A05F11" w:rsidRPr="00697C03">
        <w:rPr>
          <w:rFonts w:hAnsi="標楷體" w:hint="eastAsia"/>
          <w:bCs w:val="0"/>
          <w:szCs w:val="52"/>
        </w:rPr>
        <w:t>爰該</w:t>
      </w:r>
      <w:r w:rsidR="00406A77" w:rsidRPr="00697C03">
        <w:rPr>
          <w:rFonts w:hAnsi="標楷體" w:hint="eastAsia"/>
          <w:bCs w:val="0"/>
          <w:szCs w:val="52"/>
        </w:rPr>
        <w:t>部曾於107年間進行高級中等學校全面免學費之評估，</w:t>
      </w:r>
      <w:r w:rsidR="00A62F36" w:rsidRPr="00697C03">
        <w:rPr>
          <w:rFonts w:hAnsi="標楷體" w:hint="eastAsia"/>
          <w:bCs w:val="0"/>
          <w:szCs w:val="52"/>
        </w:rPr>
        <w:t>惟</w:t>
      </w:r>
      <w:r w:rsidR="00406A77" w:rsidRPr="00697C03">
        <w:rPr>
          <w:rFonts w:hAnsi="標楷體" w:hint="eastAsia"/>
          <w:bCs w:val="0"/>
          <w:szCs w:val="52"/>
        </w:rPr>
        <w:t>評估結果顯示</w:t>
      </w:r>
      <w:r w:rsidR="0028658F" w:rsidRPr="00697C03">
        <w:rPr>
          <w:rFonts w:hAnsi="標楷體" w:hint="eastAsia"/>
          <w:bCs w:val="0"/>
          <w:szCs w:val="52"/>
        </w:rPr>
        <w:t>：</w:t>
      </w:r>
      <w:r w:rsidR="00406A77" w:rsidRPr="00697C03">
        <w:rPr>
          <w:rFonts w:hAnsi="標楷體"/>
          <w:bCs w:val="0"/>
          <w:spacing w:val="-18"/>
          <w:szCs w:val="52"/>
        </w:rPr>
        <w:t>110</w:t>
      </w:r>
      <w:r w:rsidR="00406A77" w:rsidRPr="00697C03">
        <w:rPr>
          <w:rFonts w:hAnsi="標楷體" w:hint="eastAsia"/>
          <w:bCs w:val="0"/>
          <w:spacing w:val="-18"/>
          <w:szCs w:val="52"/>
        </w:rPr>
        <w:t>年度需新增學費補助約</w:t>
      </w:r>
      <w:r w:rsidR="00B444AF" w:rsidRPr="00697C03">
        <w:rPr>
          <w:rFonts w:hAnsi="標楷體" w:hint="eastAsia"/>
          <w:bCs w:val="0"/>
          <w:spacing w:val="-18"/>
          <w:szCs w:val="52"/>
        </w:rPr>
        <w:t>新臺</w:t>
      </w:r>
      <w:r w:rsidR="00497266" w:rsidRPr="00697C03">
        <w:rPr>
          <w:rFonts w:hAnsi="標楷體" w:hint="eastAsia"/>
          <w:bCs w:val="0"/>
          <w:spacing w:val="-18"/>
          <w:szCs w:val="52"/>
        </w:rPr>
        <w:t>幣</w:t>
      </w:r>
      <w:r w:rsidR="00406A77" w:rsidRPr="00697C03">
        <w:rPr>
          <w:rFonts w:hAnsi="標楷體"/>
          <w:bCs w:val="0"/>
          <w:spacing w:val="-18"/>
          <w:szCs w:val="52"/>
        </w:rPr>
        <w:t>25.07</w:t>
      </w:r>
      <w:r w:rsidR="00406A77" w:rsidRPr="00697C03">
        <w:rPr>
          <w:rFonts w:hAnsi="標楷體" w:hint="eastAsia"/>
          <w:bCs w:val="0"/>
          <w:spacing w:val="-18"/>
          <w:szCs w:val="52"/>
        </w:rPr>
        <w:t>億元</w:t>
      </w:r>
      <w:r w:rsidR="00406A77" w:rsidRPr="00697C03">
        <w:rPr>
          <w:rFonts w:hAnsi="標楷體" w:hint="eastAsia"/>
          <w:bCs w:val="0"/>
          <w:szCs w:val="52"/>
        </w:rPr>
        <w:t>，方能支撐延長義務教育之基本運作</w:t>
      </w:r>
      <w:r w:rsidR="00F012DE" w:rsidRPr="00697C03">
        <w:rPr>
          <w:rFonts w:hAnsi="標楷體" w:hint="eastAsia"/>
          <w:bCs w:val="0"/>
          <w:szCs w:val="52"/>
        </w:rPr>
        <w:t>等情</w:t>
      </w:r>
      <w:r w:rsidR="00406A77" w:rsidRPr="00697C03">
        <w:rPr>
          <w:rFonts w:hAnsi="標楷體" w:hint="eastAsia"/>
          <w:bCs w:val="0"/>
          <w:szCs w:val="52"/>
        </w:rPr>
        <w:t>。</w:t>
      </w:r>
      <w:r w:rsidR="00406A77" w:rsidRPr="00697C03">
        <w:rPr>
          <w:rFonts w:hAnsi="標楷體" w:hint="eastAsia"/>
          <w:bCs w:val="0"/>
          <w:szCs w:val="52"/>
        </w:rPr>
        <w:lastRenderedPageBreak/>
        <w:t>究此，教育部指稱後續因應策略包括，</w:t>
      </w:r>
      <w:r w:rsidR="00406A77" w:rsidRPr="00697C03">
        <w:rPr>
          <w:rFonts w:hAnsi="標楷體" w:hint="eastAsia"/>
          <w:bCs w:val="0"/>
          <w:kern w:val="2"/>
          <w:szCs w:val="52"/>
        </w:rPr>
        <w:t>高級中等教育階段應提供國中畢業生依其性向、能力和興趣，</w:t>
      </w:r>
      <w:r w:rsidR="00406A77" w:rsidRPr="00697C03">
        <w:rPr>
          <w:rFonts w:hAnsi="標楷體" w:hint="eastAsia"/>
          <w:bCs w:val="0"/>
          <w:szCs w:val="52"/>
        </w:rPr>
        <w:t>分別施予適性課程和教學，以符十二年國民義務教育一貫之精神，爰該部</w:t>
      </w:r>
      <w:r w:rsidR="00406A77" w:rsidRPr="00697C03">
        <w:rPr>
          <w:rFonts w:hAnsi="標楷體" w:hint="eastAsia"/>
          <w:bCs w:val="0"/>
          <w:kern w:val="2"/>
          <w:szCs w:val="52"/>
        </w:rPr>
        <w:t>將加強宣導各校於招生階段或到國中做生涯試探時，應明確告知國中端之師、生及家長，高中</w:t>
      </w:r>
      <w:r w:rsidR="0079236E" w:rsidRPr="00697C03">
        <w:rPr>
          <w:rFonts w:hAnsi="標楷體" w:hint="eastAsia"/>
          <w:bCs w:val="0"/>
          <w:kern w:val="2"/>
          <w:szCs w:val="52"/>
        </w:rPr>
        <w:t>（</w:t>
      </w:r>
      <w:r w:rsidR="00406A77" w:rsidRPr="00697C03">
        <w:rPr>
          <w:rFonts w:hAnsi="標楷體" w:hint="eastAsia"/>
          <w:bCs w:val="0"/>
          <w:kern w:val="2"/>
          <w:szCs w:val="52"/>
        </w:rPr>
        <w:t>職</w:t>
      </w:r>
      <w:r w:rsidR="0079236E" w:rsidRPr="00697C03">
        <w:rPr>
          <w:rFonts w:hAnsi="標楷體" w:hint="eastAsia"/>
          <w:bCs w:val="0"/>
          <w:kern w:val="2"/>
          <w:szCs w:val="52"/>
        </w:rPr>
        <w:t>）</w:t>
      </w:r>
      <w:r w:rsidR="00406A77" w:rsidRPr="00697C03">
        <w:rPr>
          <w:rFonts w:hAnsi="標楷體" w:hint="eastAsia"/>
          <w:bCs w:val="0"/>
          <w:kern w:val="2"/>
          <w:szCs w:val="52"/>
        </w:rPr>
        <w:t>各科之主要學習內容、先備知識及未來生涯發展方向，並協助學生評估是否符合其性向、能力和興趣，以避免學生進入高中</w:t>
      </w:r>
      <w:r w:rsidR="0079236E" w:rsidRPr="00697C03">
        <w:rPr>
          <w:rFonts w:hAnsi="標楷體" w:hint="eastAsia"/>
          <w:bCs w:val="0"/>
          <w:kern w:val="2"/>
          <w:szCs w:val="52"/>
        </w:rPr>
        <w:t>（</w:t>
      </w:r>
      <w:r w:rsidR="00406A77" w:rsidRPr="00697C03">
        <w:rPr>
          <w:rFonts w:hAnsi="標楷體" w:hint="eastAsia"/>
          <w:bCs w:val="0"/>
          <w:kern w:val="2"/>
          <w:szCs w:val="52"/>
        </w:rPr>
        <w:t>職</w:t>
      </w:r>
      <w:r w:rsidR="0079236E" w:rsidRPr="00697C03">
        <w:rPr>
          <w:rFonts w:hAnsi="標楷體" w:hint="eastAsia"/>
          <w:bCs w:val="0"/>
          <w:kern w:val="2"/>
          <w:szCs w:val="52"/>
        </w:rPr>
        <w:t>）</w:t>
      </w:r>
      <w:r w:rsidR="00406A77" w:rsidRPr="00697C03">
        <w:rPr>
          <w:rFonts w:hAnsi="標楷體" w:hint="eastAsia"/>
          <w:bCs w:val="0"/>
          <w:szCs w:val="52"/>
        </w:rPr>
        <w:t>後因志趣</w:t>
      </w:r>
      <w:r w:rsidR="00C77BDF" w:rsidRPr="00697C03">
        <w:rPr>
          <w:rFonts w:hAnsi="標楷體" w:hint="eastAsia"/>
          <w:bCs w:val="0"/>
          <w:szCs w:val="52"/>
        </w:rPr>
        <w:t>不合、學習沒興趣、學習落差大等因素導致無法穩定就學等語，亟待</w:t>
      </w:r>
      <w:r w:rsidR="00406A77" w:rsidRPr="00697C03">
        <w:rPr>
          <w:rFonts w:hAnsi="標楷體" w:hint="eastAsia"/>
          <w:bCs w:val="0"/>
          <w:szCs w:val="52"/>
        </w:rPr>
        <w:t>確實規劃</w:t>
      </w:r>
      <w:r w:rsidR="009557DB" w:rsidRPr="00697C03">
        <w:rPr>
          <w:rFonts w:hAnsi="標楷體" w:hint="eastAsia"/>
          <w:bCs w:val="0"/>
          <w:szCs w:val="52"/>
        </w:rPr>
        <w:t>檢討</w:t>
      </w:r>
      <w:r w:rsidR="00406A77" w:rsidRPr="00697C03">
        <w:rPr>
          <w:rFonts w:hAnsi="標楷體" w:hint="eastAsia"/>
          <w:bCs w:val="0"/>
          <w:szCs w:val="52"/>
        </w:rPr>
        <w:t>落實。</w:t>
      </w:r>
    </w:p>
    <w:p w:rsidR="00406A77" w:rsidRPr="00697C03" w:rsidRDefault="00406A77" w:rsidP="00406A77">
      <w:pPr>
        <w:pStyle w:val="3"/>
        <w:kinsoku/>
        <w:ind w:leftChars="205" w:left="1377" w:hanging="680"/>
        <w:rPr>
          <w:rFonts w:hAnsi="標楷體"/>
        </w:rPr>
      </w:pPr>
      <w:r w:rsidRPr="00697C03">
        <w:rPr>
          <w:rFonts w:hAnsi="標楷體" w:hint="eastAsia"/>
        </w:rPr>
        <w:t>復查，教育部102年「人才培育白皮書」</w:t>
      </w:r>
      <w:r w:rsidRPr="00697C03">
        <w:rPr>
          <w:rStyle w:val="aff0"/>
          <w:rFonts w:hAnsi="標楷體"/>
        </w:rPr>
        <w:footnoteReference w:id="9"/>
      </w:r>
      <w:r w:rsidRPr="00697C03">
        <w:rPr>
          <w:rFonts w:hAnsi="標楷體" w:hint="eastAsia"/>
        </w:rPr>
        <w:t>即載明，「</w:t>
      </w:r>
      <w:r w:rsidR="00BA0291" w:rsidRPr="00697C03">
        <w:rPr>
          <w:rFonts w:hAnsi="標楷體"/>
        </w:rPr>
        <w:t>……</w:t>
      </w:r>
      <w:r w:rsidRPr="00697C03">
        <w:rPr>
          <w:rFonts w:hAnsi="標楷體" w:hint="eastAsia"/>
        </w:rPr>
        <w:t>十二年國教的實施卻也可能帶來一些值得進一步思考的問題，例如：免試升學是否對學生學力造成影響、入學制度之變革是否影響學生選讀高職的意願而影響技職人才之培育、國中之適性輔導與多元學習能否落實、高中職優質化與師資培育及進用能否配合十二年國教之目標而調整、學生的語文等核心能力及基本素養能否紮實。十二年國教將投入龐大的資源，帶來了人才培育的機會，但針對外界諸多疑慮，更須預作因應，化解外界的疑慮，產生正向的驅動力，並強化弱勢學生之扶助，為多元人才之培育奠定根基」。足見，</w:t>
      </w:r>
      <w:r w:rsidR="00A87C1D" w:rsidRPr="00697C03">
        <w:rPr>
          <w:rFonts w:hAnsi="標楷體" w:hint="eastAsia"/>
        </w:rPr>
        <w:t>為</w:t>
      </w:r>
      <w:r w:rsidRPr="00697C03">
        <w:rPr>
          <w:rFonts w:hAnsi="標楷體" w:hint="eastAsia"/>
        </w:rPr>
        <w:t>達十二年國教目標，政府挹注大量資源，</w:t>
      </w:r>
      <w:r w:rsidR="00A87C1D" w:rsidRPr="00697C03">
        <w:rPr>
          <w:rFonts w:hAnsi="標楷體" w:hint="eastAsia"/>
        </w:rPr>
        <w:t>惟實施迄今</w:t>
      </w:r>
      <w:r w:rsidR="00DB3A0C" w:rsidRPr="00697C03">
        <w:rPr>
          <w:rFonts w:hAnsi="標楷體" w:hint="eastAsia"/>
        </w:rPr>
        <w:t>教育部針對</w:t>
      </w:r>
      <w:r w:rsidRPr="00697C03">
        <w:rPr>
          <w:rFonts w:hAnsi="標楷體" w:hint="eastAsia"/>
        </w:rPr>
        <w:t>相關</w:t>
      </w:r>
      <w:r w:rsidR="00DB3A0C" w:rsidRPr="00697C03">
        <w:rPr>
          <w:rFonts w:hAnsi="標楷體" w:hint="eastAsia"/>
        </w:rPr>
        <w:t>政策之檢討機制闕如，亟待積極</w:t>
      </w:r>
      <w:r w:rsidRPr="00697C03">
        <w:rPr>
          <w:rFonts w:hAnsi="標楷體" w:hint="eastAsia"/>
        </w:rPr>
        <w:t>務實面對。</w:t>
      </w:r>
    </w:p>
    <w:p w:rsidR="00406A77" w:rsidRPr="00697C03" w:rsidRDefault="00406A77" w:rsidP="00880DCB">
      <w:pPr>
        <w:pStyle w:val="3"/>
        <w:kinsoku/>
        <w:ind w:leftChars="200" w:left="1360" w:hanging="680"/>
        <w:rPr>
          <w:rFonts w:hAnsi="標楷體"/>
        </w:rPr>
      </w:pPr>
      <w:r w:rsidRPr="00697C03">
        <w:rPr>
          <w:rFonts w:hAnsi="標楷體" w:hint="eastAsia"/>
          <w:bCs w:val="0"/>
          <w:szCs w:val="52"/>
        </w:rPr>
        <w:t>究此，本院109年3月31</w:t>
      </w:r>
      <w:r w:rsidR="0009582A" w:rsidRPr="00697C03">
        <w:rPr>
          <w:rFonts w:hAnsi="標楷體" w:hint="eastAsia"/>
          <w:bCs w:val="0"/>
          <w:szCs w:val="52"/>
        </w:rPr>
        <w:t>日</w:t>
      </w:r>
      <w:r w:rsidRPr="00697C03">
        <w:rPr>
          <w:rFonts w:hAnsi="標楷體" w:hint="eastAsia"/>
          <w:bCs w:val="0"/>
          <w:szCs w:val="52"/>
        </w:rPr>
        <w:t>詢</w:t>
      </w:r>
      <w:r w:rsidR="0009582A" w:rsidRPr="00697C03">
        <w:rPr>
          <w:rFonts w:hAnsi="標楷體" w:hint="eastAsia"/>
          <w:bCs w:val="0"/>
          <w:szCs w:val="52"/>
        </w:rPr>
        <w:t>問</w:t>
      </w:r>
      <w:r w:rsidRPr="00697C03">
        <w:rPr>
          <w:rFonts w:hAnsi="標楷體" w:hint="eastAsia"/>
          <w:bCs w:val="0"/>
          <w:szCs w:val="52"/>
        </w:rPr>
        <w:t>教育部政務次長及主管人員</w:t>
      </w:r>
      <w:r w:rsidR="00917B3C" w:rsidRPr="00697C03">
        <w:rPr>
          <w:rFonts w:hAnsi="標楷體" w:hint="eastAsia"/>
          <w:bCs w:val="0"/>
          <w:szCs w:val="52"/>
        </w:rPr>
        <w:t>，據</w:t>
      </w:r>
      <w:r w:rsidR="001D22CC" w:rsidRPr="00697C03">
        <w:rPr>
          <w:rFonts w:hAnsi="標楷體" w:hint="eastAsia"/>
          <w:bCs w:val="0"/>
          <w:szCs w:val="52"/>
        </w:rPr>
        <w:t>指稱略以</w:t>
      </w:r>
      <w:r w:rsidRPr="00697C03">
        <w:rPr>
          <w:rFonts w:hAnsi="標楷體" w:hint="eastAsia"/>
          <w:bCs w:val="0"/>
          <w:szCs w:val="52"/>
        </w:rPr>
        <w:t>，「因為</w:t>
      </w:r>
      <w:r w:rsidR="002A59FA" w:rsidRPr="00697C03">
        <w:rPr>
          <w:rFonts w:hAnsi="標楷體" w:hint="eastAsia"/>
          <w:bCs w:val="0"/>
          <w:szCs w:val="52"/>
        </w:rPr>
        <w:t>十二</w:t>
      </w:r>
      <w:r w:rsidRPr="00697C03">
        <w:rPr>
          <w:rFonts w:hAnsi="標楷體" w:hint="eastAsia"/>
          <w:bCs w:val="0"/>
          <w:szCs w:val="52"/>
        </w:rPr>
        <w:t>年國教到目前第6年但沒有作後設評估，必須要了解多少有符合適性目標，但也遇到學生到大專校院裡面也有系</w:t>
      </w:r>
      <w:r w:rsidRPr="00697C03">
        <w:rPr>
          <w:rFonts w:hAnsi="標楷體" w:hint="eastAsia"/>
          <w:bCs w:val="0"/>
          <w:szCs w:val="52"/>
        </w:rPr>
        <w:lastRenderedPageBreak/>
        <w:t>所不合的問題，這兩塊都有關係，也可能受到社會家庭價值影響，他選的未必是喜歡的造成科系浪費。我確實看到我們學校法規裡面有綁太多的問題，每次在個案就會遇到要討論法規的放鬆，但對於整體結構性問題沒有太多幫忙。還需要審慎評估實施6年來的成效，如果以漏接人數</w:t>
      </w:r>
      <w:r w:rsidR="00A43766" w:rsidRPr="00697C03">
        <w:rPr>
          <w:rFonts w:hAnsi="標楷體" w:hint="eastAsia"/>
          <w:bCs w:val="0"/>
          <w:szCs w:val="52"/>
        </w:rPr>
        <w:t>3</w:t>
      </w:r>
      <w:r w:rsidRPr="00697C03">
        <w:rPr>
          <w:rFonts w:hAnsi="標楷體" w:hint="eastAsia"/>
          <w:bCs w:val="0"/>
          <w:szCs w:val="52"/>
        </w:rPr>
        <w:t>年來可能達5-6萬人，是很大的問題，必須回到國中生涯有無好的試探幫助，且學生高一就開始中離，必須回頭了解當年國中輔導的問題，強化輔導後，若進到學校不合志趣，學校必須給予一定機制幫忙，每個環節都需要連結。我們第一先找出中離生最多的學校，從最多的是私立學校開始看（如書面），如果</w:t>
      </w:r>
      <w:r w:rsidR="00004875" w:rsidRPr="00697C03">
        <w:rPr>
          <w:rFonts w:hAnsi="標楷體" w:hint="eastAsia"/>
          <w:bCs w:val="0"/>
          <w:szCs w:val="52"/>
        </w:rPr>
        <w:t>十二</w:t>
      </w:r>
      <w:r w:rsidRPr="00697C03">
        <w:rPr>
          <w:rFonts w:hAnsi="標楷體" w:hint="eastAsia"/>
          <w:bCs w:val="0"/>
          <w:szCs w:val="52"/>
        </w:rPr>
        <w:t>年國教把學生送進私校中後段班時，也許無法得到好的優質教育品質，以私校系科來說很多但卻無法找到興趣，學校也無力再設系科，必須往外適性學習思考，另外科技大學也可以分區往下輔導，幫助學生興趣探索和興趣輔導，有助於學生看到未來好的選擇。若是針對家庭經濟因素部分的補助有無幫助，需要請國教署再釐清。個人因素和學校因素是整體連結的，本案有助於我們了解實務面的問題，希望最後可以形成好的政策」等語</w:t>
      </w:r>
      <w:r w:rsidRPr="00697C03">
        <w:rPr>
          <w:rFonts w:hAnsi="標楷體" w:hint="eastAsia"/>
          <w:sz w:val="28"/>
        </w:rPr>
        <w:t>。</w:t>
      </w:r>
      <w:r w:rsidR="00280327" w:rsidRPr="00697C03">
        <w:rPr>
          <w:rFonts w:hAnsi="標楷體" w:hint="eastAsia"/>
        </w:rPr>
        <w:t>基此，</w:t>
      </w:r>
      <w:r w:rsidR="00F64A02" w:rsidRPr="00697C03">
        <w:rPr>
          <w:rFonts w:hAnsi="標楷體" w:hint="eastAsia"/>
        </w:rPr>
        <w:t>教育部對於兒少教育權之思考應以國家整體重要政策為重要參據，惟該</w:t>
      </w:r>
      <w:r w:rsidR="008C0E76" w:rsidRPr="00697C03">
        <w:rPr>
          <w:rFonts w:hAnsi="標楷體" w:hint="eastAsia"/>
          <w:bCs w:val="0"/>
          <w:szCs w:val="52"/>
        </w:rPr>
        <w:t>部長期</w:t>
      </w:r>
      <w:r w:rsidRPr="00697C03">
        <w:rPr>
          <w:rFonts w:hAnsi="標楷體" w:hint="eastAsia"/>
          <w:bCs w:val="0"/>
          <w:szCs w:val="52"/>
        </w:rPr>
        <w:t>針對十二年</w:t>
      </w:r>
      <w:r w:rsidR="00FE42D0" w:rsidRPr="00697C03">
        <w:rPr>
          <w:rFonts w:hAnsi="標楷體" w:hint="eastAsia"/>
          <w:bCs w:val="0"/>
          <w:szCs w:val="52"/>
        </w:rPr>
        <w:t>國教實施後之相關政策後設分析及整體檢討闕如</w:t>
      </w:r>
      <w:r w:rsidR="008C0E76" w:rsidRPr="00697C03">
        <w:rPr>
          <w:rFonts w:hAnsi="標楷體" w:hint="eastAsia"/>
          <w:bCs w:val="0"/>
          <w:szCs w:val="52"/>
        </w:rPr>
        <w:t>，諸本案整體實施困境復</w:t>
      </w:r>
      <w:r w:rsidR="00FE42D0" w:rsidRPr="00697C03">
        <w:rPr>
          <w:rFonts w:hAnsi="標楷體" w:hint="eastAsia"/>
          <w:bCs w:val="0"/>
          <w:szCs w:val="52"/>
        </w:rPr>
        <w:t>未能</w:t>
      </w:r>
      <w:r w:rsidRPr="00697C03">
        <w:rPr>
          <w:rFonts w:hAnsi="標楷體" w:hint="eastAsia"/>
          <w:bCs w:val="0"/>
          <w:szCs w:val="52"/>
        </w:rPr>
        <w:t>積極改善</w:t>
      </w:r>
      <w:r w:rsidR="008C0E76" w:rsidRPr="00697C03">
        <w:rPr>
          <w:rFonts w:hAnsi="標楷體" w:hint="eastAsia"/>
          <w:bCs w:val="0"/>
          <w:szCs w:val="52"/>
        </w:rPr>
        <w:t>或實施有效配套措施，影響學生權益，且有違十二年國教之意旨</w:t>
      </w:r>
      <w:r w:rsidR="00FE42D0" w:rsidRPr="00697C03">
        <w:rPr>
          <w:rFonts w:hAnsi="標楷體" w:hint="eastAsia"/>
          <w:bCs w:val="0"/>
          <w:szCs w:val="52"/>
        </w:rPr>
        <w:t>，洵有怠失</w:t>
      </w:r>
      <w:r w:rsidRPr="00697C03">
        <w:rPr>
          <w:rFonts w:hAnsi="標楷體" w:hint="eastAsia"/>
          <w:bCs w:val="0"/>
          <w:szCs w:val="52"/>
        </w:rPr>
        <w:t xml:space="preserve">。 </w:t>
      </w:r>
    </w:p>
    <w:p w:rsidR="00406A77" w:rsidRPr="00697C03" w:rsidRDefault="00406A77" w:rsidP="00407F9D">
      <w:pPr>
        <w:pStyle w:val="3"/>
        <w:kinsoku/>
        <w:ind w:left="1360" w:hanging="680"/>
        <w:rPr>
          <w:rFonts w:hAnsi="標楷體"/>
        </w:rPr>
      </w:pPr>
      <w:r w:rsidRPr="00697C03">
        <w:rPr>
          <w:rFonts w:hAnsi="標楷體" w:hint="eastAsia"/>
        </w:rPr>
        <w:t>此外，長期以來就在高級中等教育投資與國際比較而言，我國在對於高級中等教育階段的投資，相對實屬偏低。依教育部108年教育統計指標之國際比</w:t>
      </w:r>
      <w:r w:rsidRPr="00697C03">
        <w:rPr>
          <w:rFonts w:hAnsi="標楷體" w:hint="eastAsia"/>
        </w:rPr>
        <w:lastRenderedPageBreak/>
        <w:t>較資料</w:t>
      </w:r>
      <w:r w:rsidRPr="00697C03">
        <w:rPr>
          <w:rStyle w:val="aff0"/>
          <w:rFonts w:hAnsi="標楷體"/>
        </w:rPr>
        <w:footnoteReference w:id="10"/>
      </w:r>
      <w:r w:rsidRPr="00697C03">
        <w:rPr>
          <w:rFonts w:hAnsi="標楷體" w:hint="eastAsia"/>
        </w:rPr>
        <w:t>，我國各級學校經費支出；104年-106年我國平均每生使用教育經費</w:t>
      </w:r>
      <w:r w:rsidR="0079236E" w:rsidRPr="00697C03">
        <w:rPr>
          <w:rFonts w:hAnsi="標楷體" w:hint="eastAsia"/>
        </w:rPr>
        <w:t>（</w:t>
      </w:r>
      <w:r w:rsidRPr="00697C03">
        <w:rPr>
          <w:rFonts w:hAnsi="標楷體" w:hint="eastAsia"/>
        </w:rPr>
        <w:t>Expenditure on EducationalInstitutions Per Student，下同</w:t>
      </w:r>
      <w:r w:rsidR="0079236E" w:rsidRPr="00697C03">
        <w:rPr>
          <w:rFonts w:hAnsi="標楷體" w:hint="eastAsia"/>
        </w:rPr>
        <w:t>）</w:t>
      </w:r>
      <w:r w:rsidRPr="00697C03">
        <w:rPr>
          <w:rFonts w:hAnsi="標楷體" w:hint="eastAsia"/>
        </w:rPr>
        <w:t>顯示，我國高中職校每生教育支出歷年分別為7</w:t>
      </w:r>
      <w:r w:rsidRPr="00697C03">
        <w:rPr>
          <w:rFonts w:hAnsi="標楷體"/>
        </w:rPr>
        <w:t>,655</w:t>
      </w:r>
      <w:r w:rsidRPr="00697C03">
        <w:rPr>
          <w:rFonts w:hAnsi="標楷體" w:hint="eastAsia"/>
        </w:rPr>
        <w:t>美元、7</w:t>
      </w:r>
      <w:r w:rsidRPr="00697C03">
        <w:rPr>
          <w:rFonts w:hAnsi="標楷體"/>
        </w:rPr>
        <w:t>,</w:t>
      </w:r>
      <w:r w:rsidRPr="00697C03">
        <w:rPr>
          <w:rFonts w:hAnsi="標楷體" w:hint="eastAsia"/>
        </w:rPr>
        <w:t>908美元、8</w:t>
      </w:r>
      <w:r w:rsidRPr="00697C03">
        <w:rPr>
          <w:rFonts w:hAnsi="標楷體"/>
        </w:rPr>
        <w:t>,</w:t>
      </w:r>
      <w:r w:rsidRPr="00697C03">
        <w:rPr>
          <w:rFonts w:hAnsi="標楷體" w:hint="eastAsia"/>
        </w:rPr>
        <w:t>158美元及8</w:t>
      </w:r>
      <w:r w:rsidRPr="00697C03">
        <w:rPr>
          <w:rFonts w:hAnsi="標楷體"/>
        </w:rPr>
        <w:t>,</w:t>
      </w:r>
      <w:r w:rsidRPr="00697C03">
        <w:rPr>
          <w:rFonts w:hAnsi="標楷體" w:hint="eastAsia"/>
        </w:rPr>
        <w:t>785美元，</w:t>
      </w:r>
      <w:r w:rsidRPr="00697C03">
        <w:rPr>
          <w:rFonts w:hAnsi="標楷體" w:hint="eastAsia"/>
          <w:szCs w:val="52"/>
        </w:rPr>
        <w:t>遠低於日韓英美的10</w:t>
      </w:r>
      <w:r w:rsidRPr="00697C03">
        <w:rPr>
          <w:rFonts w:hAnsi="標楷體"/>
        </w:rPr>
        <w:t>,</w:t>
      </w:r>
      <w:r w:rsidRPr="00697C03">
        <w:rPr>
          <w:rFonts w:hAnsi="標楷體" w:hint="eastAsia"/>
          <w:szCs w:val="52"/>
        </w:rPr>
        <w:t>569-13</w:t>
      </w:r>
      <w:r w:rsidRPr="00697C03">
        <w:rPr>
          <w:rFonts w:hAnsi="標楷體"/>
        </w:rPr>
        <w:t>,</w:t>
      </w:r>
      <w:r w:rsidRPr="00697C03">
        <w:rPr>
          <w:rFonts w:hAnsi="標楷體" w:hint="eastAsia"/>
          <w:szCs w:val="52"/>
        </w:rPr>
        <w:t>084美元，及經濟合作發展組織國家</w:t>
      </w:r>
      <w:r w:rsidR="0079236E" w:rsidRPr="00697C03">
        <w:rPr>
          <w:rFonts w:hAnsi="標楷體" w:hint="eastAsia"/>
          <w:szCs w:val="52"/>
        </w:rPr>
        <w:t>（</w:t>
      </w:r>
      <w:r w:rsidRPr="00697C03">
        <w:rPr>
          <w:rFonts w:hAnsi="標楷體" w:hint="eastAsia"/>
          <w:szCs w:val="52"/>
        </w:rPr>
        <w:t>OECD</w:t>
      </w:r>
      <w:r w:rsidR="0079236E" w:rsidRPr="00697C03">
        <w:rPr>
          <w:rFonts w:hAnsi="標楷體" w:hint="eastAsia"/>
          <w:szCs w:val="52"/>
        </w:rPr>
        <w:t>）</w:t>
      </w:r>
      <w:r w:rsidRPr="00697C03">
        <w:rPr>
          <w:rFonts w:hAnsi="標楷體" w:hint="eastAsia"/>
          <w:szCs w:val="52"/>
        </w:rPr>
        <w:t>平均</w:t>
      </w:r>
      <w:r w:rsidRPr="00697C03">
        <w:rPr>
          <w:rFonts w:hAnsi="標楷體"/>
          <w:szCs w:val="52"/>
        </w:rPr>
        <w:t>10</w:t>
      </w:r>
      <w:r w:rsidRPr="00697C03">
        <w:rPr>
          <w:rFonts w:hAnsi="標楷體" w:hint="eastAsia"/>
          <w:szCs w:val="52"/>
        </w:rPr>
        <w:t>,</w:t>
      </w:r>
      <w:r w:rsidRPr="00697C03">
        <w:rPr>
          <w:rFonts w:hAnsi="標楷體"/>
          <w:szCs w:val="52"/>
        </w:rPr>
        <w:t>010</w:t>
      </w:r>
      <w:r w:rsidR="00AB0BF7" w:rsidRPr="00697C03">
        <w:rPr>
          <w:rFonts w:hAnsi="標楷體" w:hint="eastAsia"/>
          <w:szCs w:val="52"/>
        </w:rPr>
        <w:t>美元。</w:t>
      </w:r>
      <w:r w:rsidRPr="00697C03">
        <w:rPr>
          <w:rFonts w:hAnsi="標楷體" w:hint="eastAsia"/>
          <w:szCs w:val="52"/>
        </w:rPr>
        <w:t>103年-106年高級中等學校每生教育支出佔同年度每人平均國內生產毛額</w:t>
      </w:r>
      <w:r w:rsidR="0079236E" w:rsidRPr="00697C03">
        <w:rPr>
          <w:rFonts w:hAnsi="標楷體" w:hint="eastAsia"/>
          <w:szCs w:val="52"/>
        </w:rPr>
        <w:t>（</w:t>
      </w:r>
      <w:r w:rsidRPr="00697C03">
        <w:rPr>
          <w:rFonts w:hAnsi="標楷體" w:hint="eastAsia"/>
          <w:szCs w:val="52"/>
        </w:rPr>
        <w:t>GDP</w:t>
      </w:r>
      <w:r w:rsidR="0079236E" w:rsidRPr="00697C03">
        <w:rPr>
          <w:rFonts w:hAnsi="標楷體" w:hint="eastAsia"/>
          <w:szCs w:val="52"/>
        </w:rPr>
        <w:t>）</w:t>
      </w:r>
      <w:r w:rsidRPr="00697C03">
        <w:rPr>
          <w:rFonts w:hAnsi="標楷體" w:hint="eastAsia"/>
          <w:szCs w:val="52"/>
        </w:rPr>
        <w:t>的比率分別為16.5%、16.8%、16.9%及17.4%，而日韓英美分別為28.8%、37.6%、25.9%及23.8%，OECD平均為25.6%。此外，103學年度迄今高級中等學校學生淨在學率</w:t>
      </w:r>
      <w:r w:rsidRPr="00697C03">
        <w:rPr>
          <w:rStyle w:val="aff0"/>
          <w:rFonts w:hAnsi="標楷體"/>
          <w:szCs w:val="52"/>
        </w:rPr>
        <w:footnoteReference w:id="11"/>
      </w:r>
      <w:r w:rsidRPr="00697C03">
        <w:rPr>
          <w:rFonts w:hAnsi="標楷體" w:hint="eastAsia"/>
          <w:szCs w:val="52"/>
        </w:rPr>
        <w:t>為93.66、93.86、94.06、93.88、93.75及93.77，高級中等教育實質就學人數幾乎趨近普及，因此重點應置於教育品質、教育機會均等及挹注差距，亟待教育部積極正視。</w:t>
      </w:r>
      <w:r w:rsidR="00BF62BD" w:rsidRPr="00697C03">
        <w:rPr>
          <w:rFonts w:hAnsi="標楷體" w:hint="eastAsia"/>
          <w:szCs w:val="52"/>
        </w:rPr>
        <w:t>105年</w:t>
      </w:r>
      <w:r w:rsidRPr="00697C03">
        <w:rPr>
          <w:rFonts w:hAnsi="標楷體" w:hint="eastAsia"/>
          <w:szCs w:val="52"/>
        </w:rPr>
        <w:t>國際每生教育經費詳如下表。</w:t>
      </w:r>
    </w:p>
    <w:p w:rsidR="00406A77" w:rsidRPr="007076C6" w:rsidRDefault="00406A77" w:rsidP="00406A77">
      <w:pPr>
        <w:pStyle w:val="a3"/>
        <w:rPr>
          <w:rFonts w:hAnsi="標楷體"/>
          <w:b/>
        </w:rPr>
      </w:pPr>
      <w:r w:rsidRPr="007076C6">
        <w:rPr>
          <w:rFonts w:hAnsi="標楷體" w:hint="eastAsia"/>
          <w:b/>
        </w:rPr>
        <w:t>105年國際平均每生使用教育經費</w:t>
      </w:r>
      <w:r w:rsidR="0079236E" w:rsidRPr="007076C6">
        <w:rPr>
          <w:rFonts w:hAnsi="標楷體" w:hint="eastAsia"/>
          <w:b/>
        </w:rPr>
        <w:t>（</w:t>
      </w:r>
      <w:r w:rsidRPr="007076C6">
        <w:rPr>
          <w:rFonts w:hAnsi="標楷體"/>
          <w:b/>
        </w:rPr>
        <w:t>Expenditure on Educational Institutions Per Student</w:t>
      </w:r>
      <w:r w:rsidR="0079236E" w:rsidRPr="007076C6">
        <w:rPr>
          <w:rFonts w:hAnsi="標楷體" w:hint="eastAsia"/>
          <w:b/>
        </w:rPr>
        <w:t>）</w:t>
      </w:r>
      <w:r w:rsidRPr="007076C6">
        <w:rPr>
          <w:rFonts w:hAnsi="標楷體" w:hint="eastAsia"/>
          <w:b/>
        </w:rPr>
        <w:t>一覽表</w:t>
      </w:r>
    </w:p>
    <w:tbl>
      <w:tblPr>
        <w:tblW w:w="10490" w:type="dxa"/>
        <w:jc w:val="center"/>
        <w:tblCellMar>
          <w:left w:w="28" w:type="dxa"/>
          <w:right w:w="28" w:type="dxa"/>
        </w:tblCellMar>
        <w:tblLook w:val="04A0" w:firstRow="1" w:lastRow="0" w:firstColumn="1" w:lastColumn="0" w:noHBand="0" w:noVBand="1"/>
      </w:tblPr>
      <w:tblGrid>
        <w:gridCol w:w="1350"/>
        <w:gridCol w:w="1060"/>
        <w:gridCol w:w="992"/>
        <w:gridCol w:w="993"/>
        <w:gridCol w:w="1134"/>
        <w:gridCol w:w="1275"/>
        <w:gridCol w:w="993"/>
        <w:gridCol w:w="1134"/>
        <w:gridCol w:w="1559"/>
      </w:tblGrid>
      <w:tr w:rsidR="00406A77" w:rsidRPr="007076C6" w:rsidTr="00B659E2">
        <w:trPr>
          <w:trHeight w:val="480"/>
          <w:tblHeader/>
          <w:jc w:val="center"/>
        </w:trPr>
        <w:tc>
          <w:tcPr>
            <w:tcW w:w="1350" w:type="dxa"/>
            <w:vMerge w:val="restart"/>
            <w:tcBorders>
              <w:top w:val="single" w:sz="4" w:space="0" w:color="BF8F00"/>
              <w:left w:val="nil"/>
              <w:bottom w:val="single" w:sz="4" w:space="0" w:color="BF8F00"/>
              <w:right w:val="single" w:sz="4" w:space="0" w:color="BF8F00"/>
            </w:tcBorders>
            <w:shd w:val="clear" w:color="000000" w:fill="FFC301"/>
            <w:noWrap/>
            <w:vAlign w:val="center"/>
            <w:hideMark/>
          </w:tcPr>
          <w:p w:rsidR="00406A77" w:rsidRPr="001848D9" w:rsidRDefault="00406A77" w:rsidP="00BF41DE">
            <w:pPr>
              <w:widowControl/>
              <w:spacing w:line="240" w:lineRule="exact"/>
              <w:jc w:val="center"/>
              <w:rPr>
                <w:rFonts w:ascii="標楷體" w:hAnsi="標楷體" w:cs="新細明體"/>
                <w:b/>
                <w:kern w:val="0"/>
                <w:sz w:val="16"/>
                <w:szCs w:val="16"/>
              </w:rPr>
            </w:pPr>
            <w:r w:rsidRPr="001848D9">
              <w:rPr>
                <w:rFonts w:ascii="標楷體" w:hAnsi="標楷體" w:cs="新細明體" w:hint="eastAsia"/>
                <w:b/>
                <w:kern w:val="0"/>
                <w:sz w:val="16"/>
                <w:szCs w:val="16"/>
              </w:rPr>
              <w:t xml:space="preserve">　</w:t>
            </w:r>
          </w:p>
        </w:tc>
        <w:tc>
          <w:tcPr>
            <w:tcW w:w="1060" w:type="dxa"/>
            <w:tcBorders>
              <w:top w:val="single" w:sz="4" w:space="0" w:color="BF8F00"/>
              <w:left w:val="nil"/>
              <w:bottom w:val="nil"/>
              <w:right w:val="single" w:sz="4" w:space="0" w:color="BF8F00"/>
            </w:tcBorders>
            <w:shd w:val="clear" w:color="000000" w:fill="FFC301"/>
            <w:noWrap/>
            <w:vAlign w:val="center"/>
            <w:hideMark/>
          </w:tcPr>
          <w:p w:rsidR="00406A77" w:rsidRPr="001848D9" w:rsidRDefault="00406A77" w:rsidP="00BF41DE">
            <w:pPr>
              <w:widowControl/>
              <w:spacing w:line="240" w:lineRule="exact"/>
              <w:jc w:val="center"/>
              <w:rPr>
                <w:rFonts w:ascii="標楷體" w:hAnsi="標楷體" w:cs="新細明體"/>
                <w:b/>
                <w:color w:val="000000"/>
                <w:kern w:val="0"/>
                <w:sz w:val="20"/>
              </w:rPr>
            </w:pPr>
            <w:r w:rsidRPr="001848D9">
              <w:rPr>
                <w:rFonts w:ascii="標楷體" w:hAnsi="標楷體" w:cs="新細明體" w:hint="eastAsia"/>
                <w:b/>
                <w:color w:val="000000"/>
                <w:kern w:val="0"/>
                <w:sz w:val="20"/>
              </w:rPr>
              <w:t>國小</w:t>
            </w:r>
          </w:p>
        </w:tc>
        <w:tc>
          <w:tcPr>
            <w:tcW w:w="992" w:type="dxa"/>
            <w:tcBorders>
              <w:top w:val="single" w:sz="4" w:space="0" w:color="BF8F00"/>
              <w:left w:val="nil"/>
              <w:bottom w:val="nil"/>
              <w:right w:val="nil"/>
            </w:tcBorders>
            <w:shd w:val="clear" w:color="000000" w:fill="FFC301"/>
            <w:noWrap/>
            <w:vAlign w:val="center"/>
            <w:hideMark/>
          </w:tcPr>
          <w:p w:rsidR="00406A77" w:rsidRPr="001848D9" w:rsidRDefault="00406A77" w:rsidP="00BF41DE">
            <w:pPr>
              <w:widowControl/>
              <w:spacing w:line="240" w:lineRule="exact"/>
              <w:jc w:val="center"/>
              <w:rPr>
                <w:rFonts w:ascii="標楷體" w:hAnsi="標楷體" w:cs="新細明體"/>
                <w:b/>
                <w:color w:val="000000"/>
                <w:kern w:val="0"/>
                <w:sz w:val="20"/>
              </w:rPr>
            </w:pPr>
            <w:r w:rsidRPr="001848D9">
              <w:rPr>
                <w:rFonts w:ascii="標楷體" w:hAnsi="標楷體" w:cs="新細明體" w:hint="eastAsia"/>
                <w:b/>
                <w:color w:val="000000"/>
                <w:kern w:val="0"/>
                <w:sz w:val="20"/>
              </w:rPr>
              <w:t>中等教育</w:t>
            </w:r>
          </w:p>
        </w:tc>
        <w:tc>
          <w:tcPr>
            <w:tcW w:w="2127" w:type="dxa"/>
            <w:gridSpan w:val="2"/>
            <w:tcBorders>
              <w:top w:val="single" w:sz="4" w:space="0" w:color="BF8F00"/>
              <w:left w:val="nil"/>
              <w:bottom w:val="single" w:sz="4" w:space="0" w:color="BF8F00"/>
              <w:right w:val="single" w:sz="4" w:space="0" w:color="BF8F00"/>
            </w:tcBorders>
            <w:shd w:val="clear" w:color="000000" w:fill="FFC301"/>
            <w:noWrap/>
            <w:vAlign w:val="center"/>
            <w:hideMark/>
          </w:tcPr>
          <w:p w:rsidR="00406A77" w:rsidRPr="001848D9" w:rsidRDefault="00406A77" w:rsidP="00BF41DE">
            <w:pPr>
              <w:widowControl/>
              <w:spacing w:line="240" w:lineRule="exact"/>
              <w:jc w:val="center"/>
              <w:rPr>
                <w:rFonts w:ascii="標楷體" w:hAnsi="標楷體" w:cs="新細明體"/>
                <w:b/>
                <w:kern w:val="0"/>
                <w:sz w:val="20"/>
              </w:rPr>
            </w:pPr>
            <w:r w:rsidRPr="001848D9">
              <w:rPr>
                <w:rFonts w:ascii="標楷體" w:hAnsi="標楷體" w:cs="新細明體" w:hint="eastAsia"/>
                <w:b/>
                <w:kern w:val="0"/>
                <w:sz w:val="20"/>
              </w:rPr>
              <w:t xml:space="preserve">　</w:t>
            </w:r>
          </w:p>
        </w:tc>
        <w:tc>
          <w:tcPr>
            <w:tcW w:w="1275" w:type="dxa"/>
            <w:vMerge w:val="restart"/>
            <w:tcBorders>
              <w:top w:val="single" w:sz="4" w:space="0" w:color="BF8F00"/>
              <w:left w:val="single" w:sz="4" w:space="0" w:color="BF8F00"/>
              <w:bottom w:val="single" w:sz="4" w:space="0" w:color="BF8F00"/>
              <w:right w:val="single" w:sz="4" w:space="0" w:color="BF8F00"/>
            </w:tcBorders>
            <w:shd w:val="clear" w:color="000000" w:fill="FFC301"/>
            <w:vAlign w:val="center"/>
            <w:hideMark/>
          </w:tcPr>
          <w:p w:rsidR="00406A77" w:rsidRPr="001848D9" w:rsidRDefault="00406A77" w:rsidP="00BF41DE">
            <w:pPr>
              <w:widowControl/>
              <w:spacing w:line="240" w:lineRule="exact"/>
              <w:jc w:val="center"/>
              <w:rPr>
                <w:rFonts w:ascii="標楷體" w:hAnsi="標楷體" w:cs="新細明體"/>
                <w:b/>
                <w:color w:val="000000"/>
                <w:kern w:val="0"/>
                <w:sz w:val="20"/>
              </w:rPr>
            </w:pPr>
            <w:r w:rsidRPr="001848D9">
              <w:rPr>
                <w:rFonts w:ascii="標楷體" w:hAnsi="標楷體" w:cs="新細明體" w:hint="eastAsia"/>
                <w:b/>
                <w:color w:val="000000"/>
                <w:kern w:val="0"/>
                <w:sz w:val="20"/>
              </w:rPr>
              <w:t>中等以上非高等教育</w:t>
            </w:r>
            <w:r w:rsidRPr="001848D9">
              <w:rPr>
                <w:rFonts w:ascii="標楷體" w:hAnsi="標楷體" w:cs="新細明體" w:hint="eastAsia"/>
                <w:b/>
                <w:color w:val="000000"/>
                <w:kern w:val="0"/>
                <w:sz w:val="20"/>
              </w:rPr>
              <w:br/>
              <w:t>Post-Sec. Non-tertiary Edu.</w:t>
            </w:r>
          </w:p>
        </w:tc>
        <w:tc>
          <w:tcPr>
            <w:tcW w:w="993" w:type="dxa"/>
            <w:tcBorders>
              <w:top w:val="single" w:sz="4" w:space="0" w:color="BF8F00"/>
              <w:left w:val="nil"/>
              <w:bottom w:val="nil"/>
              <w:right w:val="nil"/>
            </w:tcBorders>
            <w:shd w:val="clear" w:color="000000" w:fill="FFC301"/>
            <w:noWrap/>
            <w:vAlign w:val="center"/>
            <w:hideMark/>
          </w:tcPr>
          <w:p w:rsidR="00406A77" w:rsidRPr="001848D9" w:rsidRDefault="00406A77" w:rsidP="00BF41DE">
            <w:pPr>
              <w:widowControl/>
              <w:spacing w:line="240" w:lineRule="exact"/>
              <w:jc w:val="center"/>
              <w:rPr>
                <w:rFonts w:ascii="標楷體" w:hAnsi="標楷體" w:cs="新細明體"/>
                <w:b/>
                <w:color w:val="000000"/>
                <w:kern w:val="0"/>
                <w:sz w:val="20"/>
              </w:rPr>
            </w:pPr>
            <w:r w:rsidRPr="001848D9">
              <w:rPr>
                <w:rFonts w:ascii="標楷體" w:hAnsi="標楷體" w:cs="新細明體" w:hint="eastAsia"/>
                <w:b/>
                <w:color w:val="000000"/>
                <w:kern w:val="0"/>
                <w:sz w:val="20"/>
              </w:rPr>
              <w:t xml:space="preserve">  </w:t>
            </w:r>
            <w:r w:rsidRPr="001848D9">
              <w:rPr>
                <w:rFonts w:ascii="標楷體" w:hAnsi="標楷體" w:cs="新細明體" w:hint="eastAsia"/>
                <w:b/>
                <w:kern w:val="0"/>
                <w:sz w:val="20"/>
              </w:rPr>
              <w:t>高等教育</w:t>
            </w:r>
          </w:p>
        </w:tc>
        <w:tc>
          <w:tcPr>
            <w:tcW w:w="1134" w:type="dxa"/>
            <w:tcBorders>
              <w:top w:val="single" w:sz="4" w:space="0" w:color="BF8F00"/>
              <w:left w:val="nil"/>
              <w:bottom w:val="single" w:sz="4" w:space="0" w:color="BF8F00"/>
              <w:right w:val="nil"/>
            </w:tcBorders>
            <w:shd w:val="clear" w:color="000000" w:fill="FFC301"/>
            <w:noWrap/>
            <w:vAlign w:val="center"/>
            <w:hideMark/>
          </w:tcPr>
          <w:p w:rsidR="00406A77" w:rsidRPr="001848D9" w:rsidRDefault="00406A77" w:rsidP="00BF41DE">
            <w:pPr>
              <w:widowControl/>
              <w:spacing w:line="240" w:lineRule="exact"/>
              <w:rPr>
                <w:rFonts w:ascii="標楷體" w:hAnsi="標楷體" w:cs="新細明體"/>
                <w:b/>
                <w:kern w:val="0"/>
                <w:sz w:val="20"/>
              </w:rPr>
            </w:pPr>
            <w:r w:rsidRPr="001848D9">
              <w:rPr>
                <w:rFonts w:ascii="標楷體" w:hAnsi="標楷體" w:cs="新細明體" w:hint="eastAsia"/>
                <w:b/>
                <w:kern w:val="0"/>
                <w:sz w:val="20"/>
              </w:rPr>
              <w:t xml:space="preserve">　</w:t>
            </w:r>
          </w:p>
        </w:tc>
        <w:tc>
          <w:tcPr>
            <w:tcW w:w="1559" w:type="dxa"/>
            <w:tcBorders>
              <w:top w:val="single" w:sz="4" w:space="0" w:color="BF8F00"/>
              <w:left w:val="nil"/>
              <w:bottom w:val="single" w:sz="4" w:space="0" w:color="BF8F00"/>
              <w:right w:val="nil"/>
            </w:tcBorders>
            <w:shd w:val="clear" w:color="000000" w:fill="FFC301"/>
            <w:noWrap/>
            <w:vAlign w:val="center"/>
            <w:hideMark/>
          </w:tcPr>
          <w:p w:rsidR="00406A77" w:rsidRPr="001848D9" w:rsidRDefault="00406A77" w:rsidP="00BF41DE">
            <w:pPr>
              <w:widowControl/>
              <w:spacing w:line="240" w:lineRule="exact"/>
              <w:rPr>
                <w:rFonts w:ascii="標楷體" w:hAnsi="標楷體" w:cs="新細明體"/>
                <w:b/>
                <w:kern w:val="0"/>
                <w:sz w:val="20"/>
              </w:rPr>
            </w:pPr>
            <w:r w:rsidRPr="001848D9">
              <w:rPr>
                <w:rFonts w:ascii="標楷體" w:hAnsi="標楷體" w:cs="新細明體" w:hint="eastAsia"/>
                <w:b/>
                <w:kern w:val="0"/>
                <w:sz w:val="20"/>
              </w:rPr>
              <w:t xml:space="preserve">　</w:t>
            </w:r>
          </w:p>
        </w:tc>
      </w:tr>
      <w:tr w:rsidR="00406A77" w:rsidRPr="007076C6" w:rsidTr="00B659E2">
        <w:trPr>
          <w:trHeight w:val="63"/>
          <w:tblHeader/>
          <w:jc w:val="center"/>
        </w:trPr>
        <w:tc>
          <w:tcPr>
            <w:tcW w:w="1350" w:type="dxa"/>
            <w:vMerge/>
            <w:tcBorders>
              <w:top w:val="single" w:sz="4" w:space="0" w:color="BF8F00"/>
              <w:left w:val="nil"/>
              <w:bottom w:val="single" w:sz="4" w:space="0" w:color="BF8F00"/>
              <w:right w:val="single" w:sz="4" w:space="0" w:color="BF8F00"/>
            </w:tcBorders>
            <w:vAlign w:val="center"/>
            <w:hideMark/>
          </w:tcPr>
          <w:p w:rsidR="00406A77" w:rsidRPr="001848D9" w:rsidRDefault="00406A77" w:rsidP="00BF41DE">
            <w:pPr>
              <w:widowControl/>
              <w:spacing w:line="240" w:lineRule="exact"/>
              <w:rPr>
                <w:rFonts w:ascii="標楷體" w:hAnsi="標楷體" w:cs="新細明體"/>
                <w:b/>
                <w:kern w:val="0"/>
                <w:sz w:val="16"/>
                <w:szCs w:val="16"/>
              </w:rPr>
            </w:pPr>
          </w:p>
        </w:tc>
        <w:tc>
          <w:tcPr>
            <w:tcW w:w="1060" w:type="dxa"/>
            <w:tcBorders>
              <w:top w:val="nil"/>
              <w:left w:val="nil"/>
              <w:bottom w:val="nil"/>
              <w:right w:val="single" w:sz="4" w:space="0" w:color="BF8F00"/>
            </w:tcBorders>
            <w:shd w:val="clear" w:color="000000" w:fill="FFC301"/>
            <w:vAlign w:val="center"/>
            <w:hideMark/>
          </w:tcPr>
          <w:p w:rsidR="00406A77" w:rsidRPr="001848D9" w:rsidRDefault="00406A77" w:rsidP="00BF41DE">
            <w:pPr>
              <w:widowControl/>
              <w:spacing w:line="240" w:lineRule="exact"/>
              <w:jc w:val="center"/>
              <w:rPr>
                <w:rFonts w:ascii="標楷體" w:hAnsi="標楷體" w:cs="新細明體"/>
                <w:b/>
                <w:kern w:val="0"/>
                <w:sz w:val="20"/>
              </w:rPr>
            </w:pPr>
            <w:r w:rsidRPr="001848D9">
              <w:rPr>
                <w:rFonts w:ascii="標楷體" w:hAnsi="標楷體" w:cs="新細明體" w:hint="eastAsia"/>
                <w:b/>
                <w:kern w:val="0"/>
                <w:sz w:val="20"/>
              </w:rPr>
              <w:t>Primary Edu.</w:t>
            </w:r>
          </w:p>
        </w:tc>
        <w:tc>
          <w:tcPr>
            <w:tcW w:w="992" w:type="dxa"/>
            <w:tcBorders>
              <w:top w:val="nil"/>
              <w:left w:val="nil"/>
              <w:bottom w:val="nil"/>
              <w:right w:val="single" w:sz="4" w:space="0" w:color="BF8F00"/>
            </w:tcBorders>
            <w:shd w:val="clear" w:color="000000" w:fill="FFC301"/>
            <w:vAlign w:val="center"/>
            <w:hideMark/>
          </w:tcPr>
          <w:p w:rsidR="00406A77" w:rsidRPr="001848D9" w:rsidRDefault="00406A77" w:rsidP="00BF41DE">
            <w:pPr>
              <w:widowControl/>
              <w:spacing w:line="240" w:lineRule="exact"/>
              <w:jc w:val="center"/>
              <w:rPr>
                <w:rFonts w:ascii="標楷體" w:hAnsi="標楷體" w:cs="新細明體"/>
                <w:b/>
                <w:kern w:val="0"/>
                <w:sz w:val="20"/>
              </w:rPr>
            </w:pPr>
            <w:r w:rsidRPr="001848D9">
              <w:rPr>
                <w:rFonts w:ascii="標楷體" w:hAnsi="標楷體" w:cs="新細明體" w:hint="eastAsia"/>
                <w:b/>
                <w:kern w:val="0"/>
                <w:sz w:val="20"/>
              </w:rPr>
              <w:t>Sec. Edu.</w:t>
            </w:r>
          </w:p>
        </w:tc>
        <w:tc>
          <w:tcPr>
            <w:tcW w:w="993" w:type="dxa"/>
            <w:tcBorders>
              <w:top w:val="nil"/>
              <w:left w:val="nil"/>
              <w:bottom w:val="nil"/>
              <w:right w:val="single" w:sz="4" w:space="0" w:color="BF8F00"/>
            </w:tcBorders>
            <w:shd w:val="clear" w:color="000000" w:fill="FFC301"/>
            <w:vAlign w:val="center"/>
            <w:hideMark/>
          </w:tcPr>
          <w:p w:rsidR="00406A77" w:rsidRPr="001848D9" w:rsidRDefault="00406A77" w:rsidP="00BF41DE">
            <w:pPr>
              <w:widowControl/>
              <w:spacing w:line="240" w:lineRule="exact"/>
              <w:jc w:val="center"/>
              <w:rPr>
                <w:rFonts w:ascii="標楷體" w:hAnsi="標楷體" w:cs="新細明體"/>
                <w:b/>
                <w:kern w:val="0"/>
                <w:sz w:val="20"/>
              </w:rPr>
            </w:pPr>
            <w:r w:rsidRPr="001848D9">
              <w:rPr>
                <w:rFonts w:ascii="標楷體" w:hAnsi="標楷體" w:cs="新細明體" w:hint="eastAsia"/>
                <w:b/>
                <w:kern w:val="0"/>
                <w:sz w:val="20"/>
              </w:rPr>
              <w:t>國中</w:t>
            </w:r>
            <w:r w:rsidRPr="001848D9">
              <w:rPr>
                <w:rFonts w:ascii="標楷體" w:hAnsi="標楷體" w:cs="新細明體" w:hint="eastAsia"/>
                <w:b/>
                <w:kern w:val="0"/>
                <w:sz w:val="20"/>
              </w:rPr>
              <w:br/>
              <w:t>Jr. High Edu.</w:t>
            </w:r>
          </w:p>
        </w:tc>
        <w:tc>
          <w:tcPr>
            <w:tcW w:w="1134" w:type="dxa"/>
            <w:tcBorders>
              <w:top w:val="nil"/>
              <w:left w:val="nil"/>
              <w:bottom w:val="nil"/>
              <w:right w:val="single" w:sz="4" w:space="0" w:color="BF8F00"/>
            </w:tcBorders>
            <w:shd w:val="clear" w:color="000000" w:fill="FFC301"/>
            <w:vAlign w:val="center"/>
            <w:hideMark/>
          </w:tcPr>
          <w:p w:rsidR="00406A77" w:rsidRPr="001848D9" w:rsidRDefault="00406A77" w:rsidP="00BF41DE">
            <w:pPr>
              <w:widowControl/>
              <w:spacing w:line="240" w:lineRule="exact"/>
              <w:jc w:val="center"/>
              <w:rPr>
                <w:rFonts w:ascii="標楷體" w:hAnsi="標楷體" w:cs="新細明體"/>
                <w:b/>
                <w:kern w:val="0"/>
                <w:sz w:val="20"/>
              </w:rPr>
            </w:pPr>
            <w:r w:rsidRPr="001848D9">
              <w:rPr>
                <w:rFonts w:ascii="標楷體" w:hAnsi="標楷體" w:cs="新細明體" w:hint="eastAsia"/>
                <w:b/>
                <w:kern w:val="0"/>
                <w:sz w:val="20"/>
              </w:rPr>
              <w:t>高級中等</w:t>
            </w:r>
            <w:r w:rsidRPr="001848D9">
              <w:rPr>
                <w:rFonts w:ascii="標楷體" w:hAnsi="標楷體" w:cs="新細明體" w:hint="eastAsia"/>
                <w:b/>
                <w:kern w:val="0"/>
                <w:sz w:val="20"/>
              </w:rPr>
              <w:br/>
              <w:t xml:space="preserve"> Sr. Sec. Edu.</w:t>
            </w:r>
          </w:p>
        </w:tc>
        <w:tc>
          <w:tcPr>
            <w:tcW w:w="1275" w:type="dxa"/>
            <w:vMerge/>
            <w:tcBorders>
              <w:top w:val="single" w:sz="4" w:space="0" w:color="BF8F00"/>
              <w:left w:val="single" w:sz="4" w:space="0" w:color="BF8F00"/>
              <w:bottom w:val="single" w:sz="4" w:space="0" w:color="BF8F00"/>
              <w:right w:val="single" w:sz="4" w:space="0" w:color="BF8F00"/>
            </w:tcBorders>
            <w:vAlign w:val="center"/>
            <w:hideMark/>
          </w:tcPr>
          <w:p w:rsidR="00406A77" w:rsidRPr="001848D9" w:rsidRDefault="00406A77" w:rsidP="00BF41DE">
            <w:pPr>
              <w:widowControl/>
              <w:spacing w:line="240" w:lineRule="exact"/>
              <w:rPr>
                <w:rFonts w:ascii="標楷體" w:hAnsi="標楷體" w:cs="新細明體"/>
                <w:b/>
                <w:color w:val="000000"/>
                <w:kern w:val="0"/>
                <w:sz w:val="20"/>
              </w:rPr>
            </w:pPr>
          </w:p>
        </w:tc>
        <w:tc>
          <w:tcPr>
            <w:tcW w:w="993" w:type="dxa"/>
            <w:tcBorders>
              <w:top w:val="nil"/>
              <w:left w:val="nil"/>
              <w:bottom w:val="nil"/>
              <w:right w:val="single" w:sz="4" w:space="0" w:color="BF8F00"/>
            </w:tcBorders>
            <w:shd w:val="clear" w:color="000000" w:fill="FFC301"/>
            <w:vAlign w:val="center"/>
            <w:hideMark/>
          </w:tcPr>
          <w:p w:rsidR="00406A77" w:rsidRPr="001848D9" w:rsidRDefault="00406A77" w:rsidP="00BF41DE">
            <w:pPr>
              <w:widowControl/>
              <w:spacing w:line="240" w:lineRule="exact"/>
              <w:jc w:val="center"/>
              <w:rPr>
                <w:rFonts w:ascii="標楷體" w:hAnsi="標楷體" w:cs="新細明體"/>
                <w:b/>
                <w:kern w:val="0"/>
                <w:sz w:val="20"/>
              </w:rPr>
            </w:pPr>
            <w:r w:rsidRPr="001848D9">
              <w:rPr>
                <w:rFonts w:ascii="標楷體" w:hAnsi="標楷體" w:cs="新細明體" w:hint="eastAsia"/>
                <w:b/>
                <w:kern w:val="0"/>
                <w:sz w:val="20"/>
              </w:rPr>
              <w:t>Tertiary Edu.</w:t>
            </w:r>
          </w:p>
        </w:tc>
        <w:tc>
          <w:tcPr>
            <w:tcW w:w="1134" w:type="dxa"/>
            <w:tcBorders>
              <w:top w:val="nil"/>
              <w:left w:val="nil"/>
              <w:bottom w:val="nil"/>
              <w:right w:val="single" w:sz="4" w:space="0" w:color="BF8F00"/>
            </w:tcBorders>
            <w:shd w:val="clear" w:color="000000" w:fill="FFC301"/>
            <w:vAlign w:val="center"/>
            <w:hideMark/>
          </w:tcPr>
          <w:p w:rsidR="00406A77" w:rsidRPr="001848D9" w:rsidRDefault="00406A77" w:rsidP="00BF41DE">
            <w:pPr>
              <w:widowControl/>
              <w:spacing w:line="240" w:lineRule="exact"/>
              <w:jc w:val="center"/>
              <w:rPr>
                <w:rFonts w:ascii="標楷體" w:hAnsi="標楷體" w:cs="新細明體"/>
                <w:b/>
                <w:color w:val="000000"/>
                <w:kern w:val="0"/>
                <w:sz w:val="20"/>
              </w:rPr>
            </w:pPr>
            <w:r w:rsidRPr="001848D9">
              <w:rPr>
                <w:rFonts w:ascii="標楷體" w:hAnsi="標楷體" w:cs="新細明體" w:hint="eastAsia"/>
                <w:b/>
                <w:color w:val="000000"/>
                <w:kern w:val="0"/>
                <w:sz w:val="20"/>
              </w:rPr>
              <w:t>專    科</w:t>
            </w:r>
            <w:r w:rsidRPr="001848D9">
              <w:rPr>
                <w:rFonts w:ascii="標楷體" w:hAnsi="標楷體" w:cs="新細明體" w:hint="eastAsia"/>
                <w:b/>
                <w:color w:val="000000"/>
                <w:kern w:val="0"/>
                <w:sz w:val="20"/>
              </w:rPr>
              <w:br/>
              <w:t xml:space="preserve">Junior College </w:t>
            </w:r>
          </w:p>
        </w:tc>
        <w:tc>
          <w:tcPr>
            <w:tcW w:w="1559" w:type="dxa"/>
            <w:tcBorders>
              <w:top w:val="nil"/>
              <w:left w:val="nil"/>
              <w:bottom w:val="nil"/>
              <w:right w:val="nil"/>
            </w:tcBorders>
            <w:shd w:val="clear" w:color="000000" w:fill="FFC301"/>
            <w:vAlign w:val="center"/>
            <w:hideMark/>
          </w:tcPr>
          <w:p w:rsidR="00406A77" w:rsidRPr="001848D9" w:rsidRDefault="00406A77" w:rsidP="00BF41DE">
            <w:pPr>
              <w:widowControl/>
              <w:spacing w:line="240" w:lineRule="exact"/>
              <w:jc w:val="center"/>
              <w:rPr>
                <w:rFonts w:ascii="標楷體" w:hAnsi="標楷體" w:cs="新細明體"/>
                <w:b/>
                <w:color w:val="000000"/>
                <w:kern w:val="0"/>
                <w:sz w:val="20"/>
              </w:rPr>
            </w:pPr>
            <w:r w:rsidRPr="001848D9">
              <w:rPr>
                <w:rFonts w:ascii="標楷體" w:hAnsi="標楷體" w:cs="新細明體" w:hint="eastAsia"/>
                <w:b/>
                <w:color w:val="000000"/>
                <w:kern w:val="0"/>
                <w:sz w:val="20"/>
              </w:rPr>
              <w:t>大學及以上</w:t>
            </w:r>
            <w:r w:rsidRPr="001848D9">
              <w:rPr>
                <w:rFonts w:ascii="標楷體" w:hAnsi="標楷體" w:cs="新細明體" w:hint="eastAsia"/>
                <w:b/>
                <w:color w:val="000000"/>
                <w:kern w:val="0"/>
                <w:sz w:val="20"/>
              </w:rPr>
              <w:br/>
              <w:t>University or College and Above</w:t>
            </w:r>
          </w:p>
        </w:tc>
      </w:tr>
      <w:tr w:rsidR="00406A77" w:rsidRPr="007076C6" w:rsidTr="00B659E2">
        <w:trPr>
          <w:trHeight w:val="63"/>
          <w:tblHeader/>
          <w:jc w:val="center"/>
        </w:trPr>
        <w:tc>
          <w:tcPr>
            <w:tcW w:w="1350" w:type="dxa"/>
            <w:vMerge/>
            <w:tcBorders>
              <w:top w:val="single" w:sz="4" w:space="0" w:color="BF8F00"/>
              <w:left w:val="nil"/>
              <w:bottom w:val="single" w:sz="4" w:space="0" w:color="BF8F00"/>
              <w:right w:val="single" w:sz="4" w:space="0" w:color="BF8F00"/>
            </w:tcBorders>
            <w:vAlign w:val="center"/>
            <w:hideMark/>
          </w:tcPr>
          <w:p w:rsidR="00406A77" w:rsidRPr="001848D9" w:rsidRDefault="00406A77" w:rsidP="00BF41DE">
            <w:pPr>
              <w:widowControl/>
              <w:spacing w:line="240" w:lineRule="exact"/>
              <w:rPr>
                <w:rFonts w:ascii="標楷體" w:hAnsi="標楷體" w:cs="新細明體"/>
                <w:b/>
                <w:kern w:val="0"/>
                <w:sz w:val="16"/>
                <w:szCs w:val="16"/>
              </w:rPr>
            </w:pPr>
          </w:p>
        </w:tc>
        <w:tc>
          <w:tcPr>
            <w:tcW w:w="1060" w:type="dxa"/>
            <w:tcBorders>
              <w:top w:val="single" w:sz="4" w:space="0" w:color="BF8F00"/>
              <w:left w:val="nil"/>
              <w:bottom w:val="single" w:sz="4" w:space="0" w:color="BF8F00"/>
              <w:right w:val="single" w:sz="4" w:space="0" w:color="BF8F00"/>
            </w:tcBorders>
            <w:shd w:val="clear" w:color="000000" w:fill="FFC301"/>
            <w:vAlign w:val="center"/>
            <w:hideMark/>
          </w:tcPr>
          <w:p w:rsidR="00406A77" w:rsidRPr="001848D9" w:rsidRDefault="0079236E" w:rsidP="00BF41DE">
            <w:pPr>
              <w:widowControl/>
              <w:spacing w:line="240" w:lineRule="exact"/>
              <w:jc w:val="center"/>
              <w:rPr>
                <w:rFonts w:ascii="標楷體" w:hAnsi="標楷體" w:cs="新細明體"/>
                <w:b/>
                <w:kern w:val="0"/>
                <w:sz w:val="20"/>
              </w:rPr>
            </w:pPr>
            <w:r w:rsidRPr="001848D9">
              <w:rPr>
                <w:rFonts w:ascii="標楷體" w:hAnsi="標楷體" w:cs="新細明體" w:hint="eastAsia"/>
                <w:b/>
                <w:kern w:val="0"/>
                <w:sz w:val="20"/>
              </w:rPr>
              <w:t>（</w:t>
            </w:r>
            <w:r w:rsidR="00406A77" w:rsidRPr="001848D9">
              <w:rPr>
                <w:rFonts w:ascii="標楷體" w:hAnsi="標楷體" w:cs="新細明體" w:hint="eastAsia"/>
                <w:b/>
                <w:kern w:val="0"/>
                <w:sz w:val="20"/>
              </w:rPr>
              <w:t>1</w:t>
            </w:r>
            <w:r w:rsidRPr="001848D9">
              <w:rPr>
                <w:rFonts w:ascii="標楷體" w:hAnsi="標楷體" w:cs="新細明體" w:hint="eastAsia"/>
                <w:b/>
                <w:kern w:val="0"/>
                <w:sz w:val="20"/>
              </w:rPr>
              <w:t>）</w:t>
            </w:r>
          </w:p>
        </w:tc>
        <w:tc>
          <w:tcPr>
            <w:tcW w:w="992" w:type="dxa"/>
            <w:tcBorders>
              <w:top w:val="single" w:sz="4" w:space="0" w:color="BF8F00"/>
              <w:left w:val="nil"/>
              <w:bottom w:val="single" w:sz="4" w:space="0" w:color="BF8F00"/>
              <w:right w:val="single" w:sz="4" w:space="0" w:color="BF8F00"/>
            </w:tcBorders>
            <w:shd w:val="clear" w:color="000000" w:fill="FFC301"/>
            <w:vAlign w:val="center"/>
            <w:hideMark/>
          </w:tcPr>
          <w:p w:rsidR="00406A77" w:rsidRPr="001848D9" w:rsidRDefault="0079236E" w:rsidP="00BF41DE">
            <w:pPr>
              <w:widowControl/>
              <w:spacing w:line="240" w:lineRule="exact"/>
              <w:jc w:val="center"/>
              <w:rPr>
                <w:rFonts w:ascii="標楷體" w:hAnsi="標楷體" w:cs="新細明體"/>
                <w:b/>
                <w:kern w:val="0"/>
                <w:sz w:val="20"/>
              </w:rPr>
            </w:pPr>
            <w:r w:rsidRPr="001848D9">
              <w:rPr>
                <w:rFonts w:ascii="標楷體" w:hAnsi="標楷體" w:cs="新細明體" w:hint="eastAsia"/>
                <w:b/>
                <w:kern w:val="0"/>
                <w:sz w:val="20"/>
              </w:rPr>
              <w:t>（</w:t>
            </w:r>
            <w:r w:rsidR="00406A77" w:rsidRPr="001848D9">
              <w:rPr>
                <w:rFonts w:ascii="標楷體" w:hAnsi="標楷體" w:cs="新細明體" w:hint="eastAsia"/>
                <w:b/>
                <w:kern w:val="0"/>
                <w:sz w:val="20"/>
              </w:rPr>
              <w:t>2</w:t>
            </w:r>
            <w:r w:rsidRPr="001848D9">
              <w:rPr>
                <w:rFonts w:ascii="標楷體" w:hAnsi="標楷體" w:cs="新細明體" w:hint="eastAsia"/>
                <w:b/>
                <w:kern w:val="0"/>
                <w:sz w:val="20"/>
              </w:rPr>
              <w:t>）</w:t>
            </w:r>
          </w:p>
        </w:tc>
        <w:tc>
          <w:tcPr>
            <w:tcW w:w="993" w:type="dxa"/>
            <w:tcBorders>
              <w:top w:val="single" w:sz="4" w:space="0" w:color="BF8F00"/>
              <w:left w:val="nil"/>
              <w:bottom w:val="single" w:sz="4" w:space="0" w:color="BF8F00"/>
              <w:right w:val="single" w:sz="4" w:space="0" w:color="BF8F00"/>
            </w:tcBorders>
            <w:shd w:val="clear" w:color="000000" w:fill="FFC301"/>
            <w:vAlign w:val="center"/>
            <w:hideMark/>
          </w:tcPr>
          <w:p w:rsidR="00406A77" w:rsidRPr="001848D9" w:rsidRDefault="0079236E" w:rsidP="00BF41DE">
            <w:pPr>
              <w:widowControl/>
              <w:spacing w:line="240" w:lineRule="exact"/>
              <w:jc w:val="center"/>
              <w:rPr>
                <w:rFonts w:ascii="標楷體" w:hAnsi="標楷體" w:cs="新細明體"/>
                <w:b/>
                <w:kern w:val="0"/>
                <w:sz w:val="20"/>
              </w:rPr>
            </w:pPr>
            <w:r w:rsidRPr="001848D9">
              <w:rPr>
                <w:rFonts w:ascii="標楷體" w:hAnsi="標楷體" w:cs="新細明體" w:hint="eastAsia"/>
                <w:b/>
                <w:kern w:val="0"/>
                <w:sz w:val="20"/>
              </w:rPr>
              <w:t>（</w:t>
            </w:r>
            <w:r w:rsidR="00406A77" w:rsidRPr="001848D9">
              <w:rPr>
                <w:rFonts w:ascii="標楷體" w:hAnsi="標楷體" w:cs="新細明體" w:hint="eastAsia"/>
                <w:b/>
                <w:kern w:val="0"/>
                <w:sz w:val="20"/>
              </w:rPr>
              <w:t>3</w:t>
            </w:r>
            <w:r w:rsidRPr="001848D9">
              <w:rPr>
                <w:rFonts w:ascii="標楷體" w:hAnsi="標楷體" w:cs="新細明體" w:hint="eastAsia"/>
                <w:b/>
                <w:kern w:val="0"/>
                <w:sz w:val="20"/>
              </w:rPr>
              <w:t>）</w:t>
            </w:r>
          </w:p>
        </w:tc>
        <w:tc>
          <w:tcPr>
            <w:tcW w:w="1134" w:type="dxa"/>
            <w:tcBorders>
              <w:top w:val="single" w:sz="4" w:space="0" w:color="BF8F00"/>
              <w:left w:val="nil"/>
              <w:bottom w:val="single" w:sz="4" w:space="0" w:color="BF8F00"/>
              <w:right w:val="single" w:sz="4" w:space="0" w:color="BF8F00"/>
            </w:tcBorders>
            <w:shd w:val="clear" w:color="000000" w:fill="FFC301"/>
            <w:vAlign w:val="center"/>
            <w:hideMark/>
          </w:tcPr>
          <w:p w:rsidR="00406A77" w:rsidRPr="001848D9" w:rsidRDefault="0079236E" w:rsidP="00BF41DE">
            <w:pPr>
              <w:widowControl/>
              <w:spacing w:line="240" w:lineRule="exact"/>
              <w:jc w:val="center"/>
              <w:rPr>
                <w:rFonts w:ascii="標楷體" w:hAnsi="標楷體" w:cs="新細明體"/>
                <w:b/>
                <w:kern w:val="0"/>
                <w:sz w:val="20"/>
              </w:rPr>
            </w:pPr>
            <w:r w:rsidRPr="001848D9">
              <w:rPr>
                <w:rFonts w:ascii="標楷體" w:hAnsi="標楷體" w:cs="新細明體" w:hint="eastAsia"/>
                <w:b/>
                <w:kern w:val="0"/>
                <w:sz w:val="20"/>
              </w:rPr>
              <w:t>（</w:t>
            </w:r>
            <w:r w:rsidR="00406A77" w:rsidRPr="001848D9">
              <w:rPr>
                <w:rFonts w:ascii="標楷體" w:hAnsi="標楷體" w:cs="新細明體" w:hint="eastAsia"/>
                <w:b/>
                <w:kern w:val="0"/>
                <w:sz w:val="20"/>
              </w:rPr>
              <w:t>4</w:t>
            </w:r>
            <w:r w:rsidRPr="001848D9">
              <w:rPr>
                <w:rFonts w:ascii="標楷體" w:hAnsi="標楷體" w:cs="新細明體" w:hint="eastAsia"/>
                <w:b/>
                <w:kern w:val="0"/>
                <w:sz w:val="20"/>
              </w:rPr>
              <w:t>）</w:t>
            </w:r>
          </w:p>
        </w:tc>
        <w:tc>
          <w:tcPr>
            <w:tcW w:w="1275" w:type="dxa"/>
            <w:tcBorders>
              <w:top w:val="nil"/>
              <w:left w:val="nil"/>
              <w:bottom w:val="single" w:sz="4" w:space="0" w:color="BF8F00"/>
              <w:right w:val="single" w:sz="4" w:space="0" w:color="BF8F00"/>
            </w:tcBorders>
            <w:shd w:val="clear" w:color="000000" w:fill="FFC301"/>
            <w:vAlign w:val="center"/>
            <w:hideMark/>
          </w:tcPr>
          <w:p w:rsidR="00406A77" w:rsidRPr="001848D9" w:rsidRDefault="0079236E" w:rsidP="00BF41DE">
            <w:pPr>
              <w:widowControl/>
              <w:spacing w:line="240" w:lineRule="exact"/>
              <w:jc w:val="center"/>
              <w:rPr>
                <w:rFonts w:ascii="標楷體" w:hAnsi="標楷體" w:cs="新細明體"/>
                <w:b/>
                <w:kern w:val="0"/>
                <w:sz w:val="20"/>
              </w:rPr>
            </w:pPr>
            <w:r w:rsidRPr="001848D9">
              <w:rPr>
                <w:rFonts w:ascii="標楷體" w:hAnsi="標楷體" w:cs="新細明體" w:hint="eastAsia"/>
                <w:b/>
                <w:kern w:val="0"/>
                <w:sz w:val="20"/>
              </w:rPr>
              <w:t>（</w:t>
            </w:r>
            <w:r w:rsidR="00406A77" w:rsidRPr="001848D9">
              <w:rPr>
                <w:rFonts w:ascii="標楷體" w:hAnsi="標楷體" w:cs="新細明體" w:hint="eastAsia"/>
                <w:b/>
                <w:kern w:val="0"/>
                <w:sz w:val="20"/>
              </w:rPr>
              <w:t>5</w:t>
            </w:r>
            <w:r w:rsidRPr="001848D9">
              <w:rPr>
                <w:rFonts w:ascii="標楷體" w:hAnsi="標楷體" w:cs="新細明體" w:hint="eastAsia"/>
                <w:b/>
                <w:kern w:val="0"/>
                <w:sz w:val="20"/>
              </w:rPr>
              <w:t>）</w:t>
            </w:r>
          </w:p>
        </w:tc>
        <w:tc>
          <w:tcPr>
            <w:tcW w:w="993" w:type="dxa"/>
            <w:tcBorders>
              <w:top w:val="single" w:sz="4" w:space="0" w:color="BF8F00"/>
              <w:left w:val="nil"/>
              <w:bottom w:val="single" w:sz="4" w:space="0" w:color="BF8F00"/>
              <w:right w:val="single" w:sz="4" w:space="0" w:color="BF8F00"/>
            </w:tcBorders>
            <w:shd w:val="clear" w:color="000000" w:fill="FFC301"/>
            <w:vAlign w:val="center"/>
            <w:hideMark/>
          </w:tcPr>
          <w:p w:rsidR="00406A77" w:rsidRPr="001848D9" w:rsidRDefault="0079236E" w:rsidP="00BF41DE">
            <w:pPr>
              <w:widowControl/>
              <w:spacing w:line="240" w:lineRule="exact"/>
              <w:jc w:val="center"/>
              <w:rPr>
                <w:rFonts w:ascii="標楷體" w:hAnsi="標楷體" w:cs="新細明體"/>
                <w:b/>
                <w:kern w:val="0"/>
                <w:sz w:val="20"/>
              </w:rPr>
            </w:pPr>
            <w:r w:rsidRPr="001848D9">
              <w:rPr>
                <w:rFonts w:ascii="標楷體" w:hAnsi="標楷體" w:cs="新細明體" w:hint="eastAsia"/>
                <w:b/>
                <w:kern w:val="0"/>
                <w:sz w:val="20"/>
              </w:rPr>
              <w:t>（</w:t>
            </w:r>
            <w:r w:rsidR="00406A77" w:rsidRPr="001848D9">
              <w:rPr>
                <w:rFonts w:ascii="標楷體" w:hAnsi="標楷體" w:cs="新細明體" w:hint="eastAsia"/>
                <w:b/>
                <w:kern w:val="0"/>
                <w:sz w:val="20"/>
              </w:rPr>
              <w:t>6</w:t>
            </w:r>
            <w:r w:rsidRPr="001848D9">
              <w:rPr>
                <w:rFonts w:ascii="標楷體" w:hAnsi="標楷體" w:cs="新細明體" w:hint="eastAsia"/>
                <w:b/>
                <w:kern w:val="0"/>
                <w:sz w:val="20"/>
              </w:rPr>
              <w:t>）</w:t>
            </w:r>
          </w:p>
        </w:tc>
        <w:tc>
          <w:tcPr>
            <w:tcW w:w="1134" w:type="dxa"/>
            <w:tcBorders>
              <w:top w:val="single" w:sz="4" w:space="0" w:color="BF8F00"/>
              <w:left w:val="nil"/>
              <w:bottom w:val="single" w:sz="4" w:space="0" w:color="BF8F00"/>
              <w:right w:val="single" w:sz="4" w:space="0" w:color="BF8F00"/>
            </w:tcBorders>
            <w:shd w:val="clear" w:color="000000" w:fill="FFC301"/>
            <w:vAlign w:val="center"/>
            <w:hideMark/>
          </w:tcPr>
          <w:p w:rsidR="00406A77" w:rsidRPr="001848D9" w:rsidRDefault="0079236E" w:rsidP="00BF41DE">
            <w:pPr>
              <w:widowControl/>
              <w:spacing w:line="240" w:lineRule="exact"/>
              <w:jc w:val="center"/>
              <w:rPr>
                <w:rFonts w:ascii="標楷體" w:hAnsi="標楷體" w:cs="新細明體"/>
                <w:b/>
                <w:kern w:val="0"/>
                <w:sz w:val="20"/>
              </w:rPr>
            </w:pPr>
            <w:r w:rsidRPr="001848D9">
              <w:rPr>
                <w:rFonts w:ascii="標楷體" w:hAnsi="標楷體" w:cs="新細明體" w:hint="eastAsia"/>
                <w:b/>
                <w:kern w:val="0"/>
                <w:sz w:val="20"/>
              </w:rPr>
              <w:t>（</w:t>
            </w:r>
            <w:r w:rsidR="00406A77" w:rsidRPr="001848D9">
              <w:rPr>
                <w:rFonts w:ascii="標楷體" w:hAnsi="標楷體" w:cs="新細明體" w:hint="eastAsia"/>
                <w:b/>
                <w:kern w:val="0"/>
                <w:sz w:val="20"/>
              </w:rPr>
              <w:t>7</w:t>
            </w:r>
            <w:r w:rsidRPr="001848D9">
              <w:rPr>
                <w:rFonts w:ascii="標楷體" w:hAnsi="標楷體" w:cs="新細明體" w:hint="eastAsia"/>
                <w:b/>
                <w:kern w:val="0"/>
                <w:sz w:val="20"/>
              </w:rPr>
              <w:t>）</w:t>
            </w:r>
          </w:p>
        </w:tc>
        <w:tc>
          <w:tcPr>
            <w:tcW w:w="1559" w:type="dxa"/>
            <w:tcBorders>
              <w:top w:val="single" w:sz="4" w:space="0" w:color="BF8F00"/>
              <w:left w:val="nil"/>
              <w:bottom w:val="single" w:sz="4" w:space="0" w:color="BF8F00"/>
              <w:right w:val="nil"/>
            </w:tcBorders>
            <w:shd w:val="clear" w:color="000000" w:fill="FFC301"/>
            <w:vAlign w:val="center"/>
            <w:hideMark/>
          </w:tcPr>
          <w:p w:rsidR="00406A77" w:rsidRPr="001848D9" w:rsidRDefault="0079236E" w:rsidP="00BF41DE">
            <w:pPr>
              <w:widowControl/>
              <w:spacing w:line="240" w:lineRule="exact"/>
              <w:jc w:val="center"/>
              <w:rPr>
                <w:rFonts w:ascii="標楷體" w:hAnsi="標楷體" w:cs="新細明體"/>
                <w:b/>
                <w:kern w:val="0"/>
                <w:sz w:val="20"/>
              </w:rPr>
            </w:pPr>
            <w:r w:rsidRPr="001848D9">
              <w:rPr>
                <w:rFonts w:ascii="標楷體" w:hAnsi="標楷體" w:cs="新細明體" w:hint="eastAsia"/>
                <w:b/>
                <w:kern w:val="0"/>
                <w:sz w:val="20"/>
              </w:rPr>
              <w:t>（</w:t>
            </w:r>
            <w:r w:rsidR="00406A77" w:rsidRPr="001848D9">
              <w:rPr>
                <w:rFonts w:ascii="標楷體" w:hAnsi="標楷體" w:cs="新細明體" w:hint="eastAsia"/>
                <w:b/>
                <w:kern w:val="0"/>
                <w:sz w:val="20"/>
              </w:rPr>
              <w:t>8</w:t>
            </w:r>
            <w:r w:rsidRPr="001848D9">
              <w:rPr>
                <w:rFonts w:ascii="標楷體" w:hAnsi="標楷體" w:cs="新細明體" w:hint="eastAsia"/>
                <w:b/>
                <w:kern w:val="0"/>
                <w:sz w:val="20"/>
              </w:rPr>
              <w:t>）</w:t>
            </w:r>
          </w:p>
        </w:tc>
      </w:tr>
      <w:tr w:rsidR="00406A77" w:rsidRPr="007076C6" w:rsidTr="00BF41DE">
        <w:trPr>
          <w:trHeight w:val="360"/>
          <w:jc w:val="center"/>
        </w:trPr>
        <w:tc>
          <w:tcPr>
            <w:tcW w:w="1350" w:type="dxa"/>
            <w:tcBorders>
              <w:top w:val="nil"/>
              <w:left w:val="nil"/>
              <w:bottom w:val="nil"/>
              <w:right w:val="single" w:sz="4" w:space="0" w:color="BF8F00"/>
            </w:tcBorders>
            <w:shd w:val="clear" w:color="auto" w:fill="auto"/>
            <w:noWrap/>
            <w:vAlign w:val="center"/>
            <w:hideMark/>
          </w:tcPr>
          <w:p w:rsidR="00406A77" w:rsidRPr="001848D9" w:rsidRDefault="00406A77" w:rsidP="00BF41DE">
            <w:pPr>
              <w:widowControl/>
              <w:spacing w:line="260" w:lineRule="exact"/>
              <w:rPr>
                <w:rFonts w:ascii="標楷體" w:hAnsi="標楷體" w:cs="新細明體"/>
                <w:b/>
                <w:kern w:val="0"/>
                <w:sz w:val="16"/>
                <w:szCs w:val="16"/>
              </w:rPr>
            </w:pPr>
            <w:r w:rsidRPr="001848D9">
              <w:rPr>
                <w:rFonts w:ascii="標楷體" w:hAnsi="標楷體" w:cs="新細明體" w:hint="eastAsia"/>
                <w:b/>
                <w:kern w:val="0"/>
                <w:sz w:val="16"/>
                <w:szCs w:val="16"/>
              </w:rPr>
              <w:t>中華民國</w:t>
            </w:r>
            <w:r w:rsidRPr="001848D9">
              <w:rPr>
                <w:rFonts w:ascii="標楷體" w:hAnsi="標楷體" w:cs="新細明體" w:hint="eastAsia"/>
                <w:b/>
                <w:kern w:val="0"/>
                <w:sz w:val="16"/>
                <w:szCs w:val="16"/>
                <w:vertAlign w:val="superscript"/>
              </w:rPr>
              <w:t xml:space="preserve">1 </w:t>
            </w:r>
            <w:r w:rsidRPr="001848D9">
              <w:rPr>
                <w:rFonts w:ascii="標楷體" w:hAnsi="標楷體" w:cs="新細明體" w:hint="eastAsia"/>
                <w:b/>
                <w:kern w:val="0"/>
                <w:sz w:val="16"/>
                <w:szCs w:val="16"/>
              </w:rPr>
              <w:t>R.O.C.</w:t>
            </w:r>
          </w:p>
        </w:tc>
        <w:tc>
          <w:tcPr>
            <w:tcW w:w="1060"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60" w:lineRule="exact"/>
              <w:rPr>
                <w:rFonts w:ascii="標楷體" w:hAnsi="標楷體" w:cs="新細明體"/>
                <w:kern w:val="0"/>
                <w:sz w:val="16"/>
                <w:szCs w:val="16"/>
              </w:rPr>
            </w:pPr>
            <w:r w:rsidRPr="007076C6">
              <w:rPr>
                <w:rFonts w:ascii="標楷體" w:hAnsi="標楷體" w:cs="新細明體" w:hint="eastAsia"/>
                <w:kern w:val="0"/>
                <w:sz w:val="16"/>
                <w:szCs w:val="16"/>
              </w:rPr>
              <w:t xml:space="preserve">　</w:t>
            </w:r>
          </w:p>
        </w:tc>
        <w:tc>
          <w:tcPr>
            <w:tcW w:w="992"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60" w:lineRule="exact"/>
              <w:rPr>
                <w:rFonts w:ascii="標楷體" w:hAnsi="標楷體" w:cs="新細明體"/>
                <w:kern w:val="0"/>
                <w:sz w:val="16"/>
                <w:szCs w:val="16"/>
              </w:rPr>
            </w:pPr>
            <w:r w:rsidRPr="007076C6">
              <w:rPr>
                <w:rFonts w:ascii="標楷體" w:hAnsi="標楷體" w:cs="新細明體" w:hint="eastAsia"/>
                <w:kern w:val="0"/>
                <w:sz w:val="16"/>
                <w:szCs w:val="16"/>
              </w:rPr>
              <w:t xml:space="preserve">　</w:t>
            </w:r>
          </w:p>
        </w:tc>
        <w:tc>
          <w:tcPr>
            <w:tcW w:w="993"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60" w:lineRule="exact"/>
              <w:rPr>
                <w:rFonts w:ascii="標楷體" w:hAnsi="標楷體" w:cs="新細明體"/>
                <w:kern w:val="0"/>
                <w:sz w:val="16"/>
                <w:szCs w:val="16"/>
              </w:rPr>
            </w:pPr>
            <w:r w:rsidRPr="007076C6">
              <w:rPr>
                <w:rFonts w:ascii="標楷體" w:hAnsi="標楷體" w:cs="新細明體" w:hint="eastAsia"/>
                <w:kern w:val="0"/>
                <w:sz w:val="16"/>
                <w:szCs w:val="16"/>
              </w:rPr>
              <w:t xml:space="preserve">　</w:t>
            </w:r>
          </w:p>
        </w:tc>
        <w:tc>
          <w:tcPr>
            <w:tcW w:w="1134"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60" w:lineRule="exact"/>
              <w:rPr>
                <w:rFonts w:ascii="標楷體" w:hAnsi="標楷體" w:cs="新細明體"/>
                <w:kern w:val="0"/>
                <w:sz w:val="16"/>
                <w:szCs w:val="16"/>
              </w:rPr>
            </w:pPr>
            <w:r w:rsidRPr="007076C6">
              <w:rPr>
                <w:rFonts w:ascii="標楷體" w:hAnsi="標楷體" w:cs="新細明體" w:hint="eastAsia"/>
                <w:kern w:val="0"/>
                <w:sz w:val="16"/>
                <w:szCs w:val="16"/>
              </w:rPr>
              <w:t xml:space="preserve">　</w:t>
            </w:r>
          </w:p>
        </w:tc>
        <w:tc>
          <w:tcPr>
            <w:tcW w:w="1275"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w:t>
            </w:r>
          </w:p>
        </w:tc>
        <w:tc>
          <w:tcPr>
            <w:tcW w:w="993"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60" w:lineRule="exact"/>
              <w:rPr>
                <w:rFonts w:ascii="標楷體" w:hAnsi="標楷體" w:cs="新細明體"/>
                <w:kern w:val="0"/>
                <w:sz w:val="16"/>
                <w:szCs w:val="16"/>
              </w:rPr>
            </w:pPr>
            <w:r w:rsidRPr="007076C6">
              <w:rPr>
                <w:rFonts w:ascii="標楷體" w:hAnsi="標楷體" w:cs="新細明體" w:hint="eastAsia"/>
                <w:kern w:val="0"/>
                <w:sz w:val="16"/>
                <w:szCs w:val="16"/>
              </w:rPr>
              <w:t xml:space="preserve">　</w:t>
            </w:r>
          </w:p>
        </w:tc>
        <w:tc>
          <w:tcPr>
            <w:tcW w:w="1134"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60" w:lineRule="exact"/>
              <w:rPr>
                <w:rFonts w:ascii="標楷體" w:hAnsi="標楷體" w:cs="新細明體"/>
                <w:kern w:val="0"/>
                <w:sz w:val="16"/>
                <w:szCs w:val="16"/>
              </w:rPr>
            </w:pPr>
            <w:r w:rsidRPr="007076C6">
              <w:rPr>
                <w:rFonts w:ascii="標楷體" w:hAnsi="標楷體" w:cs="新細明體" w:hint="eastAsia"/>
                <w:kern w:val="0"/>
                <w:sz w:val="16"/>
                <w:szCs w:val="16"/>
              </w:rPr>
              <w:t xml:space="preserve">　</w:t>
            </w:r>
          </w:p>
        </w:tc>
        <w:tc>
          <w:tcPr>
            <w:tcW w:w="1559" w:type="dxa"/>
            <w:tcBorders>
              <w:top w:val="nil"/>
              <w:left w:val="nil"/>
              <w:bottom w:val="nil"/>
              <w:right w:val="nil"/>
            </w:tcBorders>
            <w:shd w:val="clear" w:color="auto" w:fill="auto"/>
            <w:noWrap/>
            <w:vAlign w:val="center"/>
            <w:hideMark/>
          </w:tcPr>
          <w:p w:rsidR="00406A77" w:rsidRPr="007076C6" w:rsidRDefault="00406A77" w:rsidP="00BF41DE">
            <w:pPr>
              <w:widowControl/>
              <w:spacing w:line="260" w:lineRule="exact"/>
              <w:rPr>
                <w:rFonts w:ascii="標楷體" w:hAnsi="標楷體" w:cs="新細明體"/>
                <w:kern w:val="0"/>
                <w:sz w:val="16"/>
                <w:szCs w:val="16"/>
              </w:rPr>
            </w:pPr>
            <w:r w:rsidRPr="007076C6">
              <w:rPr>
                <w:rFonts w:ascii="標楷體" w:hAnsi="標楷體" w:cs="新細明體" w:hint="eastAsia"/>
                <w:kern w:val="0"/>
                <w:sz w:val="16"/>
                <w:szCs w:val="16"/>
              </w:rPr>
              <w:t xml:space="preserve">　</w:t>
            </w:r>
          </w:p>
        </w:tc>
      </w:tr>
      <w:tr w:rsidR="00406A77" w:rsidRPr="007076C6" w:rsidTr="00BF41DE">
        <w:trPr>
          <w:trHeight w:val="318"/>
          <w:jc w:val="center"/>
        </w:trPr>
        <w:tc>
          <w:tcPr>
            <w:tcW w:w="1350" w:type="dxa"/>
            <w:tcBorders>
              <w:top w:val="nil"/>
              <w:left w:val="nil"/>
              <w:bottom w:val="nil"/>
              <w:right w:val="single" w:sz="4" w:space="0" w:color="BF8F00"/>
            </w:tcBorders>
            <w:shd w:val="clear" w:color="auto" w:fill="auto"/>
            <w:noWrap/>
            <w:vAlign w:val="center"/>
            <w:hideMark/>
          </w:tcPr>
          <w:p w:rsidR="00406A77" w:rsidRPr="001848D9" w:rsidRDefault="00406A77" w:rsidP="00BF41DE">
            <w:pPr>
              <w:widowControl/>
              <w:spacing w:line="260" w:lineRule="exact"/>
              <w:jc w:val="center"/>
              <w:rPr>
                <w:rFonts w:ascii="標楷體" w:hAnsi="標楷體" w:cs="新細明體"/>
                <w:b/>
                <w:kern w:val="0"/>
                <w:sz w:val="16"/>
                <w:szCs w:val="16"/>
              </w:rPr>
            </w:pPr>
            <w:r w:rsidRPr="001848D9">
              <w:rPr>
                <w:rFonts w:ascii="標楷體" w:hAnsi="標楷體" w:cs="新細明體" w:hint="eastAsia"/>
                <w:b/>
                <w:kern w:val="0"/>
                <w:sz w:val="16"/>
                <w:szCs w:val="16"/>
              </w:rPr>
              <w:t xml:space="preserve">  2014年 Year</w:t>
            </w:r>
          </w:p>
        </w:tc>
        <w:tc>
          <w:tcPr>
            <w:tcW w:w="1060"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x</w:t>
            </w:r>
            <w:r w:rsidR="0079236E" w:rsidRPr="007076C6">
              <w:rPr>
                <w:rFonts w:ascii="標楷體" w:hAnsi="標楷體" w:cs="新細明體" w:hint="eastAsia"/>
                <w:kern w:val="0"/>
                <w:sz w:val="16"/>
                <w:szCs w:val="16"/>
              </w:rPr>
              <w:t>（</w:t>
            </w:r>
            <w:r w:rsidRPr="007076C6">
              <w:rPr>
                <w:rFonts w:ascii="標楷體" w:hAnsi="標楷體" w:cs="新細明體" w:hint="eastAsia"/>
                <w:kern w:val="0"/>
                <w:sz w:val="16"/>
                <w:szCs w:val="16"/>
              </w:rPr>
              <w:t>3</w:t>
            </w:r>
            <w:r w:rsidR="0079236E" w:rsidRPr="007076C6">
              <w:rPr>
                <w:rFonts w:ascii="標楷體" w:hAnsi="標楷體" w:cs="新細明體" w:hint="eastAsia"/>
                <w:kern w:val="0"/>
                <w:sz w:val="16"/>
                <w:szCs w:val="16"/>
              </w:rPr>
              <w:t>）</w:t>
            </w:r>
            <w:r w:rsidRPr="007076C6">
              <w:rPr>
                <w:rFonts w:ascii="標楷體" w:hAnsi="標楷體" w:cs="新細明體" w:hint="eastAsia"/>
                <w:kern w:val="0"/>
                <w:sz w:val="16"/>
                <w:szCs w:val="16"/>
              </w:rPr>
              <w:t xml:space="preserve"> </w:t>
            </w:r>
          </w:p>
        </w:tc>
        <w:tc>
          <w:tcPr>
            <w:tcW w:w="992"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 </w:t>
            </w:r>
          </w:p>
        </w:tc>
        <w:tc>
          <w:tcPr>
            <w:tcW w:w="993"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MS Gothic" w:eastAsia="MS Gothic" w:hAnsi="MS Gothic" w:cs="MS Gothic" w:hint="eastAsia"/>
                <w:kern w:val="0"/>
                <w:sz w:val="16"/>
                <w:szCs w:val="16"/>
              </w:rPr>
              <w:t>ⓡ</w:t>
            </w:r>
            <w:r w:rsidRPr="007076C6">
              <w:rPr>
                <w:rFonts w:ascii="標楷體" w:hAnsi="標楷體" w:cs="新細明體" w:hint="eastAsia"/>
                <w:kern w:val="0"/>
                <w:sz w:val="16"/>
                <w:szCs w:val="16"/>
              </w:rPr>
              <w:t xml:space="preserve">10,817  </w:t>
            </w:r>
          </w:p>
        </w:tc>
        <w:tc>
          <w:tcPr>
            <w:tcW w:w="1134"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MS Gothic" w:eastAsia="MS Gothic" w:hAnsi="MS Gothic" w:cs="MS Gothic" w:hint="eastAsia"/>
                <w:kern w:val="0"/>
                <w:sz w:val="16"/>
                <w:szCs w:val="16"/>
              </w:rPr>
              <w:t>ⓡ</w:t>
            </w:r>
            <w:r w:rsidRPr="007076C6">
              <w:rPr>
                <w:rFonts w:ascii="標楷體" w:hAnsi="標楷體" w:cs="新細明體" w:hint="eastAsia"/>
                <w:kern w:val="0"/>
                <w:sz w:val="16"/>
                <w:szCs w:val="16"/>
              </w:rPr>
              <w:t xml:space="preserve">7,655  </w:t>
            </w:r>
          </w:p>
        </w:tc>
        <w:tc>
          <w:tcPr>
            <w:tcW w:w="1275"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 </w:t>
            </w:r>
          </w:p>
        </w:tc>
        <w:tc>
          <w:tcPr>
            <w:tcW w:w="993"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MS Gothic" w:eastAsia="MS Gothic" w:hAnsi="MS Gothic" w:cs="MS Gothic" w:hint="eastAsia"/>
                <w:kern w:val="0"/>
                <w:sz w:val="16"/>
                <w:szCs w:val="16"/>
              </w:rPr>
              <w:t>ⓡ</w:t>
            </w:r>
            <w:r w:rsidRPr="007076C6">
              <w:rPr>
                <w:rFonts w:ascii="標楷體" w:hAnsi="標楷體" w:cs="新細明體" w:hint="eastAsia"/>
                <w:kern w:val="0"/>
                <w:sz w:val="16"/>
                <w:szCs w:val="16"/>
              </w:rPr>
              <w:t xml:space="preserve">12,199  </w:t>
            </w:r>
          </w:p>
        </w:tc>
        <w:tc>
          <w:tcPr>
            <w:tcW w:w="1134"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MS Gothic" w:eastAsia="MS Gothic" w:hAnsi="MS Gothic" w:cs="MS Gothic" w:hint="eastAsia"/>
                <w:kern w:val="0"/>
                <w:sz w:val="16"/>
                <w:szCs w:val="16"/>
              </w:rPr>
              <w:t>ⓡ</w:t>
            </w:r>
            <w:r w:rsidRPr="007076C6">
              <w:rPr>
                <w:rFonts w:ascii="標楷體" w:hAnsi="標楷體" w:cs="新細明體" w:hint="eastAsia"/>
                <w:kern w:val="0"/>
                <w:sz w:val="16"/>
                <w:szCs w:val="16"/>
              </w:rPr>
              <w:t xml:space="preserve">6,487  </w:t>
            </w:r>
          </w:p>
        </w:tc>
        <w:tc>
          <w:tcPr>
            <w:tcW w:w="1559" w:type="dxa"/>
            <w:tcBorders>
              <w:top w:val="nil"/>
              <w:left w:val="nil"/>
              <w:bottom w:val="nil"/>
              <w:right w:val="nil"/>
            </w:tcBorders>
            <w:shd w:val="clear" w:color="auto" w:fill="auto"/>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MS Gothic" w:eastAsia="MS Gothic" w:hAnsi="MS Gothic" w:cs="MS Gothic" w:hint="eastAsia"/>
                <w:kern w:val="0"/>
                <w:sz w:val="16"/>
                <w:szCs w:val="16"/>
              </w:rPr>
              <w:t>ⓡ</w:t>
            </w:r>
            <w:r w:rsidRPr="007076C6">
              <w:rPr>
                <w:rFonts w:ascii="標楷體" w:hAnsi="標楷體" w:cs="新細明體" w:hint="eastAsia"/>
                <w:kern w:val="0"/>
                <w:sz w:val="16"/>
                <w:szCs w:val="16"/>
              </w:rPr>
              <w:t xml:space="preserve">12,446  </w:t>
            </w:r>
          </w:p>
        </w:tc>
      </w:tr>
      <w:tr w:rsidR="00406A77" w:rsidRPr="007076C6" w:rsidTr="00BF41DE">
        <w:trPr>
          <w:trHeight w:val="73"/>
          <w:jc w:val="center"/>
        </w:trPr>
        <w:tc>
          <w:tcPr>
            <w:tcW w:w="1350" w:type="dxa"/>
            <w:tcBorders>
              <w:top w:val="nil"/>
              <w:left w:val="nil"/>
              <w:bottom w:val="nil"/>
              <w:right w:val="single" w:sz="4" w:space="0" w:color="BF8F00"/>
            </w:tcBorders>
            <w:shd w:val="clear" w:color="auto" w:fill="auto"/>
            <w:noWrap/>
            <w:vAlign w:val="center"/>
            <w:hideMark/>
          </w:tcPr>
          <w:p w:rsidR="00406A77" w:rsidRPr="001848D9" w:rsidRDefault="00406A77" w:rsidP="00BF41DE">
            <w:pPr>
              <w:widowControl/>
              <w:spacing w:line="260" w:lineRule="exact"/>
              <w:jc w:val="right"/>
              <w:rPr>
                <w:rFonts w:ascii="標楷體" w:hAnsi="標楷體" w:cs="新細明體"/>
                <w:b/>
                <w:kern w:val="0"/>
                <w:sz w:val="16"/>
                <w:szCs w:val="16"/>
              </w:rPr>
            </w:pPr>
            <w:r w:rsidRPr="001848D9">
              <w:rPr>
                <w:rFonts w:ascii="標楷體" w:hAnsi="標楷體" w:cs="新細明體" w:hint="eastAsia"/>
                <w:b/>
                <w:kern w:val="0"/>
                <w:sz w:val="16"/>
                <w:szCs w:val="16"/>
              </w:rPr>
              <w:t xml:space="preserve">　</w:t>
            </w:r>
          </w:p>
        </w:tc>
        <w:tc>
          <w:tcPr>
            <w:tcW w:w="1060"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x</w:t>
            </w:r>
            <w:r w:rsidR="0079236E" w:rsidRPr="007076C6">
              <w:rPr>
                <w:rFonts w:ascii="標楷體" w:hAnsi="標楷體" w:cs="新細明體" w:hint="eastAsia"/>
                <w:kern w:val="0"/>
                <w:sz w:val="16"/>
                <w:szCs w:val="16"/>
              </w:rPr>
              <w:t>（</w:t>
            </w:r>
            <w:r w:rsidRPr="007076C6">
              <w:rPr>
                <w:rFonts w:ascii="標楷體" w:hAnsi="標楷體" w:cs="新細明體" w:hint="eastAsia"/>
                <w:kern w:val="0"/>
                <w:sz w:val="16"/>
                <w:szCs w:val="16"/>
              </w:rPr>
              <w:t>3</w:t>
            </w:r>
            <w:r w:rsidR="0079236E" w:rsidRPr="007076C6">
              <w:rPr>
                <w:rFonts w:ascii="標楷體" w:hAnsi="標楷體" w:cs="新細明體" w:hint="eastAsia"/>
                <w:kern w:val="0"/>
                <w:sz w:val="16"/>
                <w:szCs w:val="16"/>
              </w:rPr>
              <w:t>）</w:t>
            </w:r>
            <w:r w:rsidRPr="007076C6">
              <w:rPr>
                <w:rFonts w:ascii="標楷體" w:hAnsi="標楷體" w:cs="新細明體" w:hint="eastAsia"/>
                <w:kern w:val="0"/>
                <w:sz w:val="16"/>
                <w:szCs w:val="16"/>
              </w:rPr>
              <w:t xml:space="preserve"> </w:t>
            </w:r>
          </w:p>
        </w:tc>
        <w:tc>
          <w:tcPr>
            <w:tcW w:w="992"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 </w:t>
            </w:r>
          </w:p>
        </w:tc>
        <w:tc>
          <w:tcPr>
            <w:tcW w:w="993" w:type="dxa"/>
            <w:tcBorders>
              <w:top w:val="nil"/>
              <w:left w:val="nil"/>
              <w:bottom w:val="nil"/>
              <w:right w:val="single" w:sz="4" w:space="0" w:color="BF8F00"/>
            </w:tcBorders>
            <w:shd w:val="clear" w:color="auto" w:fill="auto"/>
            <w:noWrap/>
            <w:vAlign w:val="center"/>
            <w:hideMark/>
          </w:tcPr>
          <w:p w:rsidR="00406A77" w:rsidRPr="007076C6" w:rsidRDefault="0079236E"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r w:rsidR="00406A77" w:rsidRPr="007076C6">
              <w:rPr>
                <w:rFonts w:ascii="標楷體" w:hAnsi="標楷體" w:cs="新細明體" w:hint="eastAsia"/>
                <w:kern w:val="0"/>
                <w:sz w:val="16"/>
                <w:szCs w:val="16"/>
              </w:rPr>
              <w:t>5,291</w:t>
            </w:r>
            <w:r w:rsidRPr="007076C6">
              <w:rPr>
                <w:rFonts w:ascii="標楷體" w:hAnsi="標楷體" w:cs="新細明體" w:hint="eastAsia"/>
                <w:kern w:val="0"/>
                <w:sz w:val="16"/>
                <w:szCs w:val="16"/>
              </w:rPr>
              <w:t>）</w:t>
            </w:r>
            <w:r w:rsidR="00406A77" w:rsidRPr="007076C6">
              <w:rPr>
                <w:rFonts w:ascii="標楷體" w:hAnsi="標楷體" w:cs="新細明體" w:hint="eastAsia"/>
                <w:kern w:val="0"/>
                <w:sz w:val="16"/>
                <w:szCs w:val="16"/>
              </w:rPr>
              <w:t xml:space="preserve"> </w:t>
            </w:r>
          </w:p>
        </w:tc>
        <w:tc>
          <w:tcPr>
            <w:tcW w:w="1134" w:type="dxa"/>
            <w:tcBorders>
              <w:top w:val="nil"/>
              <w:left w:val="nil"/>
              <w:bottom w:val="nil"/>
              <w:right w:val="single" w:sz="4" w:space="0" w:color="BF8F00"/>
            </w:tcBorders>
            <w:shd w:val="clear" w:color="auto" w:fill="auto"/>
            <w:noWrap/>
            <w:vAlign w:val="center"/>
            <w:hideMark/>
          </w:tcPr>
          <w:p w:rsidR="00406A77" w:rsidRPr="007076C6" w:rsidRDefault="0079236E"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r w:rsidR="00406A77" w:rsidRPr="007076C6">
              <w:rPr>
                <w:rFonts w:ascii="標楷體" w:hAnsi="標楷體" w:cs="新細明體" w:hint="eastAsia"/>
                <w:kern w:val="0"/>
                <w:sz w:val="16"/>
                <w:szCs w:val="16"/>
              </w:rPr>
              <w:t>3,745</w:t>
            </w:r>
            <w:r w:rsidRPr="007076C6">
              <w:rPr>
                <w:rFonts w:ascii="標楷體" w:hAnsi="標楷體" w:cs="新細明體" w:hint="eastAsia"/>
                <w:kern w:val="0"/>
                <w:sz w:val="16"/>
                <w:szCs w:val="16"/>
              </w:rPr>
              <w:t>）</w:t>
            </w:r>
            <w:r w:rsidR="00406A77" w:rsidRPr="007076C6">
              <w:rPr>
                <w:rFonts w:ascii="標楷體" w:hAnsi="標楷體" w:cs="新細明體" w:hint="eastAsia"/>
                <w:kern w:val="0"/>
                <w:sz w:val="16"/>
                <w:szCs w:val="16"/>
              </w:rPr>
              <w:t xml:space="preserve"> </w:t>
            </w:r>
          </w:p>
        </w:tc>
        <w:tc>
          <w:tcPr>
            <w:tcW w:w="1275"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 </w:t>
            </w:r>
          </w:p>
        </w:tc>
        <w:tc>
          <w:tcPr>
            <w:tcW w:w="993" w:type="dxa"/>
            <w:tcBorders>
              <w:top w:val="nil"/>
              <w:left w:val="nil"/>
              <w:bottom w:val="nil"/>
              <w:right w:val="single" w:sz="4" w:space="0" w:color="BF8F00"/>
            </w:tcBorders>
            <w:shd w:val="clear" w:color="auto" w:fill="auto"/>
            <w:noWrap/>
            <w:vAlign w:val="center"/>
            <w:hideMark/>
          </w:tcPr>
          <w:p w:rsidR="00406A77" w:rsidRPr="007076C6" w:rsidRDefault="0079236E"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r w:rsidR="00406A77" w:rsidRPr="007076C6">
              <w:rPr>
                <w:rFonts w:ascii="標楷體" w:hAnsi="標楷體" w:cs="新細明體" w:hint="eastAsia"/>
                <w:kern w:val="0"/>
                <w:sz w:val="16"/>
                <w:szCs w:val="16"/>
              </w:rPr>
              <w:t>5,968</w:t>
            </w:r>
            <w:r w:rsidRPr="007076C6">
              <w:rPr>
                <w:rFonts w:ascii="標楷體" w:hAnsi="標楷體" w:cs="新細明體" w:hint="eastAsia"/>
                <w:kern w:val="0"/>
                <w:sz w:val="16"/>
                <w:szCs w:val="16"/>
              </w:rPr>
              <w:t>）</w:t>
            </w:r>
            <w:r w:rsidR="00406A77" w:rsidRPr="007076C6">
              <w:rPr>
                <w:rFonts w:ascii="標楷體" w:hAnsi="標楷體" w:cs="新細明體" w:hint="eastAsia"/>
                <w:kern w:val="0"/>
                <w:sz w:val="16"/>
                <w:szCs w:val="16"/>
              </w:rPr>
              <w:t xml:space="preserve"> </w:t>
            </w:r>
          </w:p>
        </w:tc>
        <w:tc>
          <w:tcPr>
            <w:tcW w:w="1134" w:type="dxa"/>
            <w:tcBorders>
              <w:top w:val="nil"/>
              <w:left w:val="nil"/>
              <w:bottom w:val="nil"/>
              <w:right w:val="single" w:sz="4" w:space="0" w:color="BF8F00"/>
            </w:tcBorders>
            <w:shd w:val="clear" w:color="auto" w:fill="auto"/>
            <w:noWrap/>
            <w:vAlign w:val="center"/>
            <w:hideMark/>
          </w:tcPr>
          <w:p w:rsidR="00406A77" w:rsidRPr="007076C6" w:rsidRDefault="0079236E"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r w:rsidR="00406A77" w:rsidRPr="007076C6">
              <w:rPr>
                <w:rFonts w:ascii="標楷體" w:hAnsi="標楷體" w:cs="新細明體" w:hint="eastAsia"/>
                <w:kern w:val="0"/>
                <w:sz w:val="16"/>
                <w:szCs w:val="16"/>
              </w:rPr>
              <w:t>3,173</w:t>
            </w:r>
            <w:r w:rsidRPr="007076C6">
              <w:rPr>
                <w:rFonts w:ascii="標楷體" w:hAnsi="標楷體" w:cs="新細明體" w:hint="eastAsia"/>
                <w:kern w:val="0"/>
                <w:sz w:val="16"/>
                <w:szCs w:val="16"/>
              </w:rPr>
              <w:t>）</w:t>
            </w:r>
            <w:r w:rsidR="00406A77" w:rsidRPr="007076C6">
              <w:rPr>
                <w:rFonts w:ascii="標楷體" w:hAnsi="標楷體" w:cs="新細明體" w:hint="eastAsia"/>
                <w:kern w:val="0"/>
                <w:sz w:val="16"/>
                <w:szCs w:val="16"/>
              </w:rPr>
              <w:t xml:space="preserve"> </w:t>
            </w:r>
          </w:p>
        </w:tc>
        <w:tc>
          <w:tcPr>
            <w:tcW w:w="1559" w:type="dxa"/>
            <w:tcBorders>
              <w:top w:val="nil"/>
              <w:left w:val="nil"/>
              <w:bottom w:val="nil"/>
              <w:right w:val="nil"/>
            </w:tcBorders>
            <w:shd w:val="clear" w:color="auto" w:fill="auto"/>
            <w:noWrap/>
            <w:vAlign w:val="center"/>
            <w:hideMark/>
          </w:tcPr>
          <w:p w:rsidR="00406A77" w:rsidRPr="007076C6" w:rsidRDefault="0079236E"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r w:rsidR="00406A77" w:rsidRPr="007076C6">
              <w:rPr>
                <w:rFonts w:ascii="標楷體" w:hAnsi="標楷體" w:cs="新細明體" w:hint="eastAsia"/>
                <w:kern w:val="0"/>
                <w:sz w:val="16"/>
                <w:szCs w:val="16"/>
              </w:rPr>
              <w:t>6,089</w:t>
            </w:r>
            <w:r w:rsidRPr="007076C6">
              <w:rPr>
                <w:rFonts w:ascii="標楷體" w:hAnsi="標楷體" w:cs="新細明體" w:hint="eastAsia"/>
                <w:kern w:val="0"/>
                <w:sz w:val="16"/>
                <w:szCs w:val="16"/>
              </w:rPr>
              <w:t>）</w:t>
            </w:r>
            <w:r w:rsidR="00406A77" w:rsidRPr="007076C6">
              <w:rPr>
                <w:rFonts w:ascii="標楷體" w:hAnsi="標楷體" w:cs="新細明體" w:hint="eastAsia"/>
                <w:kern w:val="0"/>
                <w:sz w:val="16"/>
                <w:szCs w:val="16"/>
              </w:rPr>
              <w:t xml:space="preserve"> </w:t>
            </w:r>
          </w:p>
        </w:tc>
      </w:tr>
      <w:tr w:rsidR="00406A77" w:rsidRPr="007076C6" w:rsidTr="00BF41DE">
        <w:trPr>
          <w:trHeight w:val="318"/>
          <w:jc w:val="center"/>
        </w:trPr>
        <w:tc>
          <w:tcPr>
            <w:tcW w:w="1350" w:type="dxa"/>
            <w:tcBorders>
              <w:top w:val="nil"/>
              <w:left w:val="nil"/>
              <w:bottom w:val="nil"/>
              <w:right w:val="single" w:sz="4" w:space="0" w:color="BF8F00"/>
            </w:tcBorders>
            <w:shd w:val="clear" w:color="000000" w:fill="FEF6D6"/>
            <w:noWrap/>
            <w:vAlign w:val="center"/>
            <w:hideMark/>
          </w:tcPr>
          <w:p w:rsidR="00406A77" w:rsidRPr="001848D9" w:rsidRDefault="00406A77" w:rsidP="00BF41DE">
            <w:pPr>
              <w:widowControl/>
              <w:spacing w:line="260" w:lineRule="exact"/>
              <w:jc w:val="center"/>
              <w:rPr>
                <w:rFonts w:ascii="標楷體" w:hAnsi="標楷體" w:cs="新細明體"/>
                <w:b/>
                <w:kern w:val="0"/>
                <w:sz w:val="16"/>
                <w:szCs w:val="16"/>
              </w:rPr>
            </w:pPr>
            <w:r w:rsidRPr="001848D9">
              <w:rPr>
                <w:rFonts w:ascii="標楷體" w:hAnsi="標楷體" w:cs="新細明體" w:hint="eastAsia"/>
                <w:b/>
                <w:kern w:val="0"/>
                <w:sz w:val="16"/>
                <w:szCs w:val="16"/>
              </w:rPr>
              <w:t xml:space="preserve">  2015年 Year</w:t>
            </w:r>
          </w:p>
        </w:tc>
        <w:tc>
          <w:tcPr>
            <w:tcW w:w="1060"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x</w:t>
            </w:r>
            <w:r w:rsidR="0079236E" w:rsidRPr="007076C6">
              <w:rPr>
                <w:rFonts w:ascii="標楷體" w:hAnsi="標楷體" w:cs="新細明體" w:hint="eastAsia"/>
                <w:kern w:val="0"/>
                <w:sz w:val="16"/>
                <w:szCs w:val="16"/>
              </w:rPr>
              <w:t>（</w:t>
            </w:r>
            <w:r w:rsidRPr="007076C6">
              <w:rPr>
                <w:rFonts w:ascii="標楷體" w:hAnsi="標楷體" w:cs="新細明體" w:hint="eastAsia"/>
                <w:kern w:val="0"/>
                <w:sz w:val="16"/>
                <w:szCs w:val="16"/>
              </w:rPr>
              <w:t>3</w:t>
            </w:r>
            <w:r w:rsidR="0079236E" w:rsidRPr="007076C6">
              <w:rPr>
                <w:rFonts w:ascii="標楷體" w:hAnsi="標楷體" w:cs="新細明體" w:hint="eastAsia"/>
                <w:kern w:val="0"/>
                <w:sz w:val="16"/>
                <w:szCs w:val="16"/>
              </w:rPr>
              <w:t>）</w:t>
            </w:r>
            <w:r w:rsidRPr="007076C6">
              <w:rPr>
                <w:rFonts w:ascii="標楷體" w:hAnsi="標楷體" w:cs="新細明體" w:hint="eastAsia"/>
                <w:kern w:val="0"/>
                <w:sz w:val="16"/>
                <w:szCs w:val="16"/>
              </w:rPr>
              <w:t xml:space="preserve"> </w:t>
            </w:r>
          </w:p>
        </w:tc>
        <w:tc>
          <w:tcPr>
            <w:tcW w:w="992"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 </w:t>
            </w:r>
          </w:p>
        </w:tc>
        <w:tc>
          <w:tcPr>
            <w:tcW w:w="993"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MS Gothic" w:eastAsia="MS Gothic" w:hAnsi="MS Gothic" w:cs="MS Gothic" w:hint="eastAsia"/>
                <w:kern w:val="0"/>
                <w:sz w:val="16"/>
                <w:szCs w:val="16"/>
              </w:rPr>
              <w:t>ⓡ</w:t>
            </w:r>
            <w:r w:rsidRPr="007076C6">
              <w:rPr>
                <w:rFonts w:ascii="標楷體" w:hAnsi="標楷體" w:cs="新細明體" w:hint="eastAsia"/>
                <w:kern w:val="0"/>
                <w:sz w:val="16"/>
                <w:szCs w:val="16"/>
              </w:rPr>
              <w:t xml:space="preserve">11,163  </w:t>
            </w:r>
          </w:p>
        </w:tc>
        <w:tc>
          <w:tcPr>
            <w:tcW w:w="1134"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7,908  </w:t>
            </w:r>
          </w:p>
        </w:tc>
        <w:tc>
          <w:tcPr>
            <w:tcW w:w="1275"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 </w:t>
            </w:r>
          </w:p>
        </w:tc>
        <w:tc>
          <w:tcPr>
            <w:tcW w:w="993"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MS Gothic" w:eastAsia="MS Gothic" w:hAnsi="MS Gothic" w:cs="MS Gothic" w:hint="eastAsia"/>
                <w:kern w:val="0"/>
                <w:sz w:val="16"/>
                <w:szCs w:val="16"/>
              </w:rPr>
              <w:t>ⓡ</w:t>
            </w:r>
            <w:r w:rsidRPr="007076C6">
              <w:rPr>
                <w:rFonts w:ascii="標楷體" w:hAnsi="標楷體" w:cs="新細明體" w:hint="eastAsia"/>
                <w:kern w:val="0"/>
                <w:sz w:val="16"/>
                <w:szCs w:val="16"/>
              </w:rPr>
              <w:t xml:space="preserve">12,124  </w:t>
            </w:r>
          </w:p>
        </w:tc>
        <w:tc>
          <w:tcPr>
            <w:tcW w:w="1134"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MS Gothic" w:eastAsia="MS Gothic" w:hAnsi="MS Gothic" w:cs="MS Gothic" w:hint="eastAsia"/>
                <w:kern w:val="0"/>
                <w:sz w:val="16"/>
                <w:szCs w:val="16"/>
              </w:rPr>
              <w:t>ⓡ</w:t>
            </w:r>
            <w:r w:rsidRPr="007076C6">
              <w:rPr>
                <w:rFonts w:ascii="標楷體" w:hAnsi="標楷體" w:cs="新細明體" w:hint="eastAsia"/>
                <w:kern w:val="0"/>
                <w:sz w:val="16"/>
                <w:szCs w:val="16"/>
              </w:rPr>
              <w:t xml:space="preserve">6,944  </w:t>
            </w:r>
          </w:p>
        </w:tc>
        <w:tc>
          <w:tcPr>
            <w:tcW w:w="1559" w:type="dxa"/>
            <w:tcBorders>
              <w:top w:val="nil"/>
              <w:left w:val="nil"/>
              <w:bottom w:val="nil"/>
              <w:right w:val="nil"/>
            </w:tcBorders>
            <w:shd w:val="clear" w:color="000000" w:fill="FEF6D6"/>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MS Gothic" w:eastAsia="MS Gothic" w:hAnsi="MS Gothic" w:cs="MS Gothic" w:hint="eastAsia"/>
                <w:kern w:val="0"/>
                <w:sz w:val="16"/>
                <w:szCs w:val="16"/>
              </w:rPr>
              <w:t>ⓡ</w:t>
            </w:r>
            <w:r w:rsidRPr="007076C6">
              <w:rPr>
                <w:rFonts w:ascii="標楷體" w:hAnsi="標楷體" w:cs="新細明體" w:hint="eastAsia"/>
                <w:kern w:val="0"/>
                <w:sz w:val="16"/>
                <w:szCs w:val="16"/>
              </w:rPr>
              <w:t xml:space="preserve">12,338  </w:t>
            </w:r>
          </w:p>
        </w:tc>
      </w:tr>
      <w:tr w:rsidR="00406A77" w:rsidRPr="007076C6" w:rsidTr="00BF41DE">
        <w:trPr>
          <w:trHeight w:val="318"/>
          <w:jc w:val="center"/>
        </w:trPr>
        <w:tc>
          <w:tcPr>
            <w:tcW w:w="1350" w:type="dxa"/>
            <w:tcBorders>
              <w:top w:val="nil"/>
              <w:left w:val="nil"/>
              <w:bottom w:val="nil"/>
              <w:right w:val="single" w:sz="4" w:space="0" w:color="BF8F00"/>
            </w:tcBorders>
            <w:shd w:val="clear" w:color="000000" w:fill="FEF6D6"/>
            <w:noWrap/>
            <w:vAlign w:val="center"/>
            <w:hideMark/>
          </w:tcPr>
          <w:p w:rsidR="00406A77" w:rsidRPr="001848D9" w:rsidRDefault="00406A77" w:rsidP="00BF41DE">
            <w:pPr>
              <w:widowControl/>
              <w:spacing w:line="260" w:lineRule="exact"/>
              <w:jc w:val="right"/>
              <w:rPr>
                <w:rFonts w:ascii="標楷體" w:hAnsi="標楷體" w:cs="新細明體"/>
                <w:b/>
                <w:kern w:val="0"/>
                <w:sz w:val="16"/>
                <w:szCs w:val="16"/>
              </w:rPr>
            </w:pPr>
            <w:r w:rsidRPr="001848D9">
              <w:rPr>
                <w:rFonts w:ascii="標楷體" w:hAnsi="標楷體" w:cs="新細明體" w:hint="eastAsia"/>
                <w:b/>
                <w:kern w:val="0"/>
                <w:sz w:val="16"/>
                <w:szCs w:val="16"/>
              </w:rPr>
              <w:t xml:space="preserve">　</w:t>
            </w:r>
          </w:p>
        </w:tc>
        <w:tc>
          <w:tcPr>
            <w:tcW w:w="1060"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x</w:t>
            </w:r>
            <w:r w:rsidR="0079236E" w:rsidRPr="007076C6">
              <w:rPr>
                <w:rFonts w:ascii="標楷體" w:hAnsi="標楷體" w:cs="新細明體" w:hint="eastAsia"/>
                <w:kern w:val="0"/>
                <w:sz w:val="16"/>
                <w:szCs w:val="16"/>
              </w:rPr>
              <w:t>（</w:t>
            </w:r>
            <w:r w:rsidRPr="007076C6">
              <w:rPr>
                <w:rFonts w:ascii="標楷體" w:hAnsi="標楷體" w:cs="新細明體" w:hint="eastAsia"/>
                <w:kern w:val="0"/>
                <w:sz w:val="16"/>
                <w:szCs w:val="16"/>
              </w:rPr>
              <w:t>3</w:t>
            </w:r>
            <w:r w:rsidR="0079236E" w:rsidRPr="007076C6">
              <w:rPr>
                <w:rFonts w:ascii="標楷體" w:hAnsi="標楷體" w:cs="新細明體" w:hint="eastAsia"/>
                <w:kern w:val="0"/>
                <w:sz w:val="16"/>
                <w:szCs w:val="16"/>
              </w:rPr>
              <w:t>）</w:t>
            </w:r>
            <w:r w:rsidRPr="007076C6">
              <w:rPr>
                <w:rFonts w:ascii="標楷體" w:hAnsi="標楷體" w:cs="新細明體" w:hint="eastAsia"/>
                <w:kern w:val="0"/>
                <w:sz w:val="16"/>
                <w:szCs w:val="16"/>
              </w:rPr>
              <w:t xml:space="preserve"> </w:t>
            </w:r>
          </w:p>
        </w:tc>
        <w:tc>
          <w:tcPr>
            <w:tcW w:w="992"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 </w:t>
            </w:r>
          </w:p>
        </w:tc>
        <w:tc>
          <w:tcPr>
            <w:tcW w:w="993" w:type="dxa"/>
            <w:tcBorders>
              <w:top w:val="nil"/>
              <w:left w:val="nil"/>
              <w:bottom w:val="nil"/>
              <w:right w:val="single" w:sz="4" w:space="0" w:color="BF8F00"/>
            </w:tcBorders>
            <w:shd w:val="clear" w:color="000000" w:fill="FEF6D6"/>
            <w:noWrap/>
            <w:vAlign w:val="center"/>
            <w:hideMark/>
          </w:tcPr>
          <w:p w:rsidR="00406A77" w:rsidRPr="007076C6" w:rsidRDefault="0079236E"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r w:rsidR="00406A77" w:rsidRPr="007076C6">
              <w:rPr>
                <w:rFonts w:ascii="標楷體" w:hAnsi="標楷體" w:cs="新細明體" w:hint="eastAsia"/>
                <w:kern w:val="0"/>
                <w:sz w:val="16"/>
                <w:szCs w:val="16"/>
              </w:rPr>
              <w:t>5,310</w:t>
            </w:r>
            <w:r w:rsidRPr="007076C6">
              <w:rPr>
                <w:rFonts w:ascii="標楷體" w:hAnsi="標楷體" w:cs="新細明體" w:hint="eastAsia"/>
                <w:kern w:val="0"/>
                <w:sz w:val="16"/>
                <w:szCs w:val="16"/>
              </w:rPr>
              <w:t>）</w:t>
            </w:r>
            <w:r w:rsidR="00406A77" w:rsidRPr="007076C6">
              <w:rPr>
                <w:rFonts w:ascii="標楷體" w:hAnsi="標楷體" w:cs="新細明體" w:hint="eastAsia"/>
                <w:kern w:val="0"/>
                <w:sz w:val="16"/>
                <w:szCs w:val="16"/>
              </w:rPr>
              <w:t xml:space="preserve"> </w:t>
            </w:r>
          </w:p>
        </w:tc>
        <w:tc>
          <w:tcPr>
            <w:tcW w:w="1134" w:type="dxa"/>
            <w:tcBorders>
              <w:top w:val="nil"/>
              <w:left w:val="nil"/>
              <w:bottom w:val="nil"/>
              <w:right w:val="single" w:sz="4" w:space="0" w:color="BF8F00"/>
            </w:tcBorders>
            <w:shd w:val="clear" w:color="000000" w:fill="FEF6D6"/>
            <w:noWrap/>
            <w:vAlign w:val="center"/>
            <w:hideMark/>
          </w:tcPr>
          <w:p w:rsidR="00406A77" w:rsidRPr="007076C6" w:rsidRDefault="0079236E"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r w:rsidR="00406A77" w:rsidRPr="007076C6">
              <w:rPr>
                <w:rFonts w:ascii="標楷體" w:hAnsi="標楷體" w:cs="新細明體" w:hint="eastAsia"/>
                <w:kern w:val="0"/>
                <w:sz w:val="16"/>
                <w:szCs w:val="16"/>
              </w:rPr>
              <w:t>3,761</w:t>
            </w:r>
            <w:r w:rsidRPr="007076C6">
              <w:rPr>
                <w:rFonts w:ascii="標楷體" w:hAnsi="標楷體" w:cs="新細明體" w:hint="eastAsia"/>
                <w:kern w:val="0"/>
                <w:sz w:val="16"/>
                <w:szCs w:val="16"/>
              </w:rPr>
              <w:t>）</w:t>
            </w:r>
            <w:r w:rsidR="00406A77" w:rsidRPr="007076C6">
              <w:rPr>
                <w:rFonts w:ascii="標楷體" w:hAnsi="標楷體" w:cs="新細明體" w:hint="eastAsia"/>
                <w:kern w:val="0"/>
                <w:sz w:val="16"/>
                <w:szCs w:val="16"/>
              </w:rPr>
              <w:t xml:space="preserve"> </w:t>
            </w:r>
          </w:p>
        </w:tc>
        <w:tc>
          <w:tcPr>
            <w:tcW w:w="1275"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 </w:t>
            </w:r>
          </w:p>
        </w:tc>
        <w:tc>
          <w:tcPr>
            <w:tcW w:w="993" w:type="dxa"/>
            <w:tcBorders>
              <w:top w:val="nil"/>
              <w:left w:val="nil"/>
              <w:bottom w:val="nil"/>
              <w:right w:val="single" w:sz="4" w:space="0" w:color="BF8F00"/>
            </w:tcBorders>
            <w:shd w:val="clear" w:color="000000" w:fill="FEF6D6"/>
            <w:noWrap/>
            <w:vAlign w:val="center"/>
            <w:hideMark/>
          </w:tcPr>
          <w:p w:rsidR="00406A77" w:rsidRPr="007076C6" w:rsidRDefault="0079236E"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r w:rsidR="00406A77" w:rsidRPr="007076C6">
              <w:rPr>
                <w:rFonts w:ascii="標楷體" w:hAnsi="標楷體" w:cs="新細明體" w:hint="eastAsia"/>
                <w:kern w:val="0"/>
                <w:sz w:val="16"/>
                <w:szCs w:val="16"/>
              </w:rPr>
              <w:t>5,767</w:t>
            </w:r>
            <w:r w:rsidRPr="007076C6">
              <w:rPr>
                <w:rFonts w:ascii="標楷體" w:hAnsi="標楷體" w:cs="新細明體" w:hint="eastAsia"/>
                <w:kern w:val="0"/>
                <w:sz w:val="16"/>
                <w:szCs w:val="16"/>
              </w:rPr>
              <w:t>）</w:t>
            </w:r>
            <w:r w:rsidR="00406A77" w:rsidRPr="007076C6">
              <w:rPr>
                <w:rFonts w:ascii="標楷體" w:hAnsi="標楷體" w:cs="新細明體" w:hint="eastAsia"/>
                <w:kern w:val="0"/>
                <w:sz w:val="16"/>
                <w:szCs w:val="16"/>
              </w:rPr>
              <w:t xml:space="preserve"> </w:t>
            </w:r>
          </w:p>
        </w:tc>
        <w:tc>
          <w:tcPr>
            <w:tcW w:w="1134" w:type="dxa"/>
            <w:tcBorders>
              <w:top w:val="nil"/>
              <w:left w:val="nil"/>
              <w:bottom w:val="nil"/>
              <w:right w:val="single" w:sz="4" w:space="0" w:color="BF8F00"/>
            </w:tcBorders>
            <w:shd w:val="clear" w:color="000000" w:fill="FEF6D6"/>
            <w:noWrap/>
            <w:vAlign w:val="center"/>
            <w:hideMark/>
          </w:tcPr>
          <w:p w:rsidR="00406A77" w:rsidRPr="007076C6" w:rsidRDefault="0079236E"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r w:rsidR="00406A77" w:rsidRPr="007076C6">
              <w:rPr>
                <w:rFonts w:ascii="標楷體" w:hAnsi="標楷體" w:cs="新細明體" w:hint="eastAsia"/>
                <w:kern w:val="0"/>
                <w:sz w:val="16"/>
                <w:szCs w:val="16"/>
              </w:rPr>
              <w:t>3,303</w:t>
            </w:r>
            <w:r w:rsidRPr="007076C6">
              <w:rPr>
                <w:rFonts w:ascii="標楷體" w:hAnsi="標楷體" w:cs="新細明體" w:hint="eastAsia"/>
                <w:kern w:val="0"/>
                <w:sz w:val="16"/>
                <w:szCs w:val="16"/>
              </w:rPr>
              <w:t>）</w:t>
            </w:r>
            <w:r w:rsidR="00406A77" w:rsidRPr="007076C6">
              <w:rPr>
                <w:rFonts w:ascii="標楷體" w:hAnsi="標楷體" w:cs="新細明體" w:hint="eastAsia"/>
                <w:kern w:val="0"/>
                <w:sz w:val="16"/>
                <w:szCs w:val="16"/>
              </w:rPr>
              <w:t xml:space="preserve"> </w:t>
            </w:r>
          </w:p>
        </w:tc>
        <w:tc>
          <w:tcPr>
            <w:tcW w:w="1559" w:type="dxa"/>
            <w:tcBorders>
              <w:top w:val="nil"/>
              <w:left w:val="nil"/>
              <w:bottom w:val="nil"/>
              <w:right w:val="nil"/>
            </w:tcBorders>
            <w:shd w:val="clear" w:color="000000" w:fill="FEF6D6"/>
            <w:noWrap/>
            <w:vAlign w:val="center"/>
            <w:hideMark/>
          </w:tcPr>
          <w:p w:rsidR="00406A77" w:rsidRPr="007076C6" w:rsidRDefault="0079236E"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r w:rsidR="00406A77" w:rsidRPr="007076C6">
              <w:rPr>
                <w:rFonts w:ascii="標楷體" w:hAnsi="標楷體" w:cs="新細明體" w:hint="eastAsia"/>
                <w:kern w:val="0"/>
                <w:sz w:val="16"/>
                <w:szCs w:val="16"/>
              </w:rPr>
              <w:t>5,869</w:t>
            </w:r>
            <w:r w:rsidRPr="007076C6">
              <w:rPr>
                <w:rFonts w:ascii="標楷體" w:hAnsi="標楷體" w:cs="新細明體" w:hint="eastAsia"/>
                <w:kern w:val="0"/>
                <w:sz w:val="16"/>
                <w:szCs w:val="16"/>
              </w:rPr>
              <w:t>）</w:t>
            </w:r>
            <w:r w:rsidR="00406A77" w:rsidRPr="007076C6">
              <w:rPr>
                <w:rFonts w:ascii="標楷體" w:hAnsi="標楷體" w:cs="新細明體" w:hint="eastAsia"/>
                <w:kern w:val="0"/>
                <w:sz w:val="16"/>
                <w:szCs w:val="16"/>
              </w:rPr>
              <w:t xml:space="preserve"> </w:t>
            </w:r>
          </w:p>
        </w:tc>
      </w:tr>
      <w:tr w:rsidR="00406A77" w:rsidRPr="007076C6" w:rsidTr="00BF41DE">
        <w:trPr>
          <w:trHeight w:val="318"/>
          <w:jc w:val="center"/>
        </w:trPr>
        <w:tc>
          <w:tcPr>
            <w:tcW w:w="1350" w:type="dxa"/>
            <w:tcBorders>
              <w:top w:val="nil"/>
              <w:left w:val="nil"/>
              <w:bottom w:val="nil"/>
              <w:right w:val="single" w:sz="4" w:space="0" w:color="BF8F00"/>
            </w:tcBorders>
            <w:shd w:val="clear" w:color="auto" w:fill="auto"/>
            <w:noWrap/>
            <w:vAlign w:val="center"/>
            <w:hideMark/>
          </w:tcPr>
          <w:p w:rsidR="00406A77" w:rsidRPr="001848D9" w:rsidRDefault="00406A77" w:rsidP="00BF41DE">
            <w:pPr>
              <w:widowControl/>
              <w:spacing w:line="260" w:lineRule="exact"/>
              <w:jc w:val="center"/>
              <w:rPr>
                <w:rFonts w:ascii="標楷體" w:hAnsi="標楷體" w:cs="新細明體"/>
                <w:b/>
                <w:kern w:val="0"/>
                <w:sz w:val="16"/>
                <w:szCs w:val="16"/>
              </w:rPr>
            </w:pPr>
            <w:r w:rsidRPr="001848D9">
              <w:rPr>
                <w:rFonts w:ascii="標楷體" w:hAnsi="標楷體" w:cs="新細明體" w:hint="eastAsia"/>
                <w:b/>
                <w:kern w:val="0"/>
                <w:sz w:val="16"/>
                <w:szCs w:val="16"/>
              </w:rPr>
              <w:t xml:space="preserve">  2016年 Year</w:t>
            </w:r>
          </w:p>
        </w:tc>
        <w:tc>
          <w:tcPr>
            <w:tcW w:w="1060"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x</w:t>
            </w:r>
            <w:r w:rsidR="0079236E" w:rsidRPr="007076C6">
              <w:rPr>
                <w:rFonts w:ascii="標楷體" w:hAnsi="標楷體" w:cs="新細明體" w:hint="eastAsia"/>
                <w:kern w:val="0"/>
                <w:sz w:val="16"/>
                <w:szCs w:val="16"/>
              </w:rPr>
              <w:t>（</w:t>
            </w:r>
            <w:r w:rsidRPr="007076C6">
              <w:rPr>
                <w:rFonts w:ascii="標楷體" w:hAnsi="標楷體" w:cs="新細明體" w:hint="eastAsia"/>
                <w:kern w:val="0"/>
                <w:sz w:val="16"/>
                <w:szCs w:val="16"/>
              </w:rPr>
              <w:t>3</w:t>
            </w:r>
            <w:r w:rsidR="0079236E" w:rsidRPr="007076C6">
              <w:rPr>
                <w:rFonts w:ascii="標楷體" w:hAnsi="標楷體" w:cs="新細明體" w:hint="eastAsia"/>
                <w:kern w:val="0"/>
                <w:sz w:val="16"/>
                <w:szCs w:val="16"/>
              </w:rPr>
              <w:t>）</w:t>
            </w:r>
            <w:r w:rsidRPr="007076C6">
              <w:rPr>
                <w:rFonts w:ascii="標楷體" w:hAnsi="標楷體" w:cs="新細明體" w:hint="eastAsia"/>
                <w:kern w:val="0"/>
                <w:sz w:val="16"/>
                <w:szCs w:val="16"/>
              </w:rPr>
              <w:t xml:space="preserve"> </w:t>
            </w:r>
          </w:p>
        </w:tc>
        <w:tc>
          <w:tcPr>
            <w:tcW w:w="992"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 </w:t>
            </w:r>
          </w:p>
        </w:tc>
        <w:tc>
          <w:tcPr>
            <w:tcW w:w="993"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MS Gothic" w:eastAsia="MS Gothic" w:hAnsi="MS Gothic" w:cs="MS Gothic" w:hint="eastAsia"/>
                <w:kern w:val="0"/>
                <w:sz w:val="16"/>
                <w:szCs w:val="16"/>
              </w:rPr>
              <w:t>ⓡ</w:t>
            </w:r>
            <w:r w:rsidRPr="007076C6">
              <w:rPr>
                <w:rFonts w:ascii="標楷體" w:hAnsi="標楷體" w:cs="新細明體" w:hint="eastAsia"/>
                <w:kern w:val="0"/>
                <w:sz w:val="16"/>
                <w:szCs w:val="16"/>
              </w:rPr>
              <w:t xml:space="preserve">11,809  </w:t>
            </w:r>
          </w:p>
        </w:tc>
        <w:tc>
          <w:tcPr>
            <w:tcW w:w="1134"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8,158  </w:t>
            </w:r>
          </w:p>
        </w:tc>
        <w:tc>
          <w:tcPr>
            <w:tcW w:w="1275"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 </w:t>
            </w:r>
          </w:p>
        </w:tc>
        <w:tc>
          <w:tcPr>
            <w:tcW w:w="993"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MS Gothic" w:eastAsia="MS Gothic" w:hAnsi="MS Gothic" w:cs="MS Gothic" w:hint="eastAsia"/>
                <w:kern w:val="0"/>
                <w:sz w:val="16"/>
                <w:szCs w:val="16"/>
              </w:rPr>
              <w:t>ⓡ</w:t>
            </w:r>
            <w:r w:rsidRPr="007076C6">
              <w:rPr>
                <w:rFonts w:ascii="標楷體" w:hAnsi="標楷體" w:cs="新細明體" w:hint="eastAsia"/>
                <w:kern w:val="0"/>
                <w:sz w:val="16"/>
                <w:szCs w:val="16"/>
              </w:rPr>
              <w:t xml:space="preserve">12,364  </w:t>
            </w:r>
          </w:p>
        </w:tc>
        <w:tc>
          <w:tcPr>
            <w:tcW w:w="1134"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MS Gothic" w:eastAsia="MS Gothic" w:hAnsi="MS Gothic" w:cs="MS Gothic" w:hint="eastAsia"/>
                <w:kern w:val="0"/>
                <w:sz w:val="16"/>
                <w:szCs w:val="16"/>
              </w:rPr>
              <w:t>ⓡ</w:t>
            </w:r>
            <w:r w:rsidRPr="007076C6">
              <w:rPr>
                <w:rFonts w:ascii="標楷體" w:hAnsi="標楷體" w:cs="新細明體" w:hint="eastAsia"/>
                <w:kern w:val="0"/>
                <w:sz w:val="16"/>
                <w:szCs w:val="16"/>
              </w:rPr>
              <w:t xml:space="preserve">7,013  </w:t>
            </w:r>
          </w:p>
        </w:tc>
        <w:tc>
          <w:tcPr>
            <w:tcW w:w="1559" w:type="dxa"/>
            <w:tcBorders>
              <w:top w:val="nil"/>
              <w:left w:val="nil"/>
              <w:bottom w:val="nil"/>
              <w:right w:val="nil"/>
            </w:tcBorders>
            <w:shd w:val="clear" w:color="auto" w:fill="auto"/>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MS Gothic" w:eastAsia="MS Gothic" w:hAnsi="MS Gothic" w:cs="MS Gothic" w:hint="eastAsia"/>
                <w:kern w:val="0"/>
                <w:sz w:val="16"/>
                <w:szCs w:val="16"/>
              </w:rPr>
              <w:t>ⓡ</w:t>
            </w:r>
            <w:r w:rsidRPr="007076C6">
              <w:rPr>
                <w:rFonts w:ascii="標楷體" w:hAnsi="標楷體" w:cs="新細明體" w:hint="eastAsia"/>
                <w:kern w:val="0"/>
                <w:sz w:val="16"/>
                <w:szCs w:val="16"/>
              </w:rPr>
              <w:t xml:space="preserve">12,590  </w:t>
            </w:r>
          </w:p>
        </w:tc>
      </w:tr>
      <w:tr w:rsidR="00406A77" w:rsidRPr="007076C6" w:rsidTr="00BF41DE">
        <w:trPr>
          <w:trHeight w:val="318"/>
          <w:jc w:val="center"/>
        </w:trPr>
        <w:tc>
          <w:tcPr>
            <w:tcW w:w="1350" w:type="dxa"/>
            <w:tcBorders>
              <w:top w:val="nil"/>
              <w:left w:val="nil"/>
              <w:bottom w:val="nil"/>
              <w:right w:val="single" w:sz="4" w:space="0" w:color="BF8F00"/>
            </w:tcBorders>
            <w:shd w:val="clear" w:color="auto" w:fill="auto"/>
            <w:noWrap/>
            <w:vAlign w:val="center"/>
            <w:hideMark/>
          </w:tcPr>
          <w:p w:rsidR="00406A77" w:rsidRPr="001848D9" w:rsidRDefault="00406A77" w:rsidP="00BF41DE">
            <w:pPr>
              <w:widowControl/>
              <w:spacing w:line="260" w:lineRule="exact"/>
              <w:jc w:val="right"/>
              <w:rPr>
                <w:rFonts w:ascii="標楷體" w:hAnsi="標楷體" w:cs="新細明體"/>
                <w:b/>
                <w:kern w:val="0"/>
                <w:sz w:val="16"/>
                <w:szCs w:val="16"/>
              </w:rPr>
            </w:pPr>
            <w:r w:rsidRPr="001848D9">
              <w:rPr>
                <w:rFonts w:ascii="標楷體" w:hAnsi="標楷體" w:cs="新細明體" w:hint="eastAsia"/>
                <w:b/>
                <w:kern w:val="0"/>
                <w:sz w:val="16"/>
                <w:szCs w:val="16"/>
              </w:rPr>
              <w:lastRenderedPageBreak/>
              <w:t xml:space="preserve">　</w:t>
            </w:r>
          </w:p>
        </w:tc>
        <w:tc>
          <w:tcPr>
            <w:tcW w:w="1060"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x</w:t>
            </w:r>
            <w:r w:rsidR="0079236E" w:rsidRPr="007076C6">
              <w:rPr>
                <w:rFonts w:ascii="標楷體" w:hAnsi="標楷體" w:cs="新細明體" w:hint="eastAsia"/>
                <w:kern w:val="0"/>
                <w:sz w:val="16"/>
                <w:szCs w:val="16"/>
              </w:rPr>
              <w:t>（</w:t>
            </w:r>
            <w:r w:rsidRPr="007076C6">
              <w:rPr>
                <w:rFonts w:ascii="標楷體" w:hAnsi="標楷體" w:cs="新細明體" w:hint="eastAsia"/>
                <w:kern w:val="0"/>
                <w:sz w:val="16"/>
                <w:szCs w:val="16"/>
              </w:rPr>
              <w:t>3</w:t>
            </w:r>
            <w:r w:rsidR="0079236E" w:rsidRPr="007076C6">
              <w:rPr>
                <w:rFonts w:ascii="標楷體" w:hAnsi="標楷體" w:cs="新細明體" w:hint="eastAsia"/>
                <w:kern w:val="0"/>
                <w:sz w:val="16"/>
                <w:szCs w:val="16"/>
              </w:rPr>
              <w:t>）</w:t>
            </w:r>
            <w:r w:rsidRPr="007076C6">
              <w:rPr>
                <w:rFonts w:ascii="標楷體" w:hAnsi="標楷體" w:cs="新細明體" w:hint="eastAsia"/>
                <w:kern w:val="0"/>
                <w:sz w:val="16"/>
                <w:szCs w:val="16"/>
              </w:rPr>
              <w:t xml:space="preserve"> </w:t>
            </w:r>
          </w:p>
        </w:tc>
        <w:tc>
          <w:tcPr>
            <w:tcW w:w="992"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 </w:t>
            </w:r>
          </w:p>
        </w:tc>
        <w:tc>
          <w:tcPr>
            <w:tcW w:w="993"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MS Gothic" w:eastAsia="MS Gothic" w:hAnsi="MS Gothic" w:cs="MS Gothic" w:hint="eastAsia"/>
                <w:kern w:val="0"/>
                <w:sz w:val="16"/>
                <w:szCs w:val="16"/>
              </w:rPr>
              <w:t>ⓡ</w:t>
            </w:r>
            <w:r w:rsidR="0079236E" w:rsidRPr="007076C6">
              <w:rPr>
                <w:rFonts w:ascii="標楷體" w:hAnsi="標楷體" w:cs="新細明體" w:hint="eastAsia"/>
                <w:kern w:val="0"/>
                <w:sz w:val="16"/>
                <w:szCs w:val="16"/>
              </w:rPr>
              <w:t>（</w:t>
            </w:r>
            <w:r w:rsidRPr="007076C6">
              <w:rPr>
                <w:rFonts w:ascii="標楷體" w:hAnsi="標楷體" w:cs="新細明體" w:hint="eastAsia"/>
                <w:kern w:val="0"/>
                <w:sz w:val="16"/>
                <w:szCs w:val="16"/>
              </w:rPr>
              <w:t>5,537</w:t>
            </w:r>
            <w:r w:rsidR="0079236E" w:rsidRPr="007076C6">
              <w:rPr>
                <w:rFonts w:ascii="標楷體" w:hAnsi="標楷體" w:cs="新細明體" w:hint="eastAsia"/>
                <w:kern w:val="0"/>
                <w:sz w:val="16"/>
                <w:szCs w:val="16"/>
              </w:rPr>
              <w:t>）</w:t>
            </w:r>
            <w:r w:rsidRPr="007076C6">
              <w:rPr>
                <w:rFonts w:ascii="標楷體" w:hAnsi="標楷體" w:cs="新細明體" w:hint="eastAsia"/>
                <w:kern w:val="0"/>
                <w:sz w:val="16"/>
                <w:szCs w:val="16"/>
              </w:rPr>
              <w:t xml:space="preserve"> </w:t>
            </w:r>
          </w:p>
        </w:tc>
        <w:tc>
          <w:tcPr>
            <w:tcW w:w="1134" w:type="dxa"/>
            <w:tcBorders>
              <w:top w:val="nil"/>
              <w:left w:val="nil"/>
              <w:bottom w:val="nil"/>
              <w:right w:val="single" w:sz="4" w:space="0" w:color="BF8F00"/>
            </w:tcBorders>
            <w:shd w:val="clear" w:color="auto" w:fill="auto"/>
            <w:noWrap/>
            <w:vAlign w:val="center"/>
            <w:hideMark/>
          </w:tcPr>
          <w:p w:rsidR="00406A77" w:rsidRPr="007076C6" w:rsidRDefault="0079236E"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r w:rsidR="00406A77" w:rsidRPr="007076C6">
              <w:rPr>
                <w:rFonts w:ascii="標楷體" w:hAnsi="標楷體" w:cs="新細明體" w:hint="eastAsia"/>
                <w:kern w:val="0"/>
                <w:sz w:val="16"/>
                <w:szCs w:val="16"/>
              </w:rPr>
              <w:t>3,825</w:t>
            </w:r>
            <w:r w:rsidRPr="007076C6">
              <w:rPr>
                <w:rFonts w:ascii="標楷體" w:hAnsi="標楷體" w:cs="新細明體" w:hint="eastAsia"/>
                <w:kern w:val="0"/>
                <w:sz w:val="16"/>
                <w:szCs w:val="16"/>
              </w:rPr>
              <w:t>）</w:t>
            </w:r>
            <w:r w:rsidR="00406A77" w:rsidRPr="007076C6">
              <w:rPr>
                <w:rFonts w:ascii="標楷體" w:hAnsi="標楷體" w:cs="新細明體" w:hint="eastAsia"/>
                <w:kern w:val="0"/>
                <w:sz w:val="16"/>
                <w:szCs w:val="16"/>
              </w:rPr>
              <w:t xml:space="preserve"> </w:t>
            </w:r>
          </w:p>
        </w:tc>
        <w:tc>
          <w:tcPr>
            <w:tcW w:w="1275"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 </w:t>
            </w:r>
          </w:p>
        </w:tc>
        <w:tc>
          <w:tcPr>
            <w:tcW w:w="993" w:type="dxa"/>
            <w:tcBorders>
              <w:top w:val="nil"/>
              <w:left w:val="nil"/>
              <w:bottom w:val="nil"/>
              <w:right w:val="single" w:sz="4" w:space="0" w:color="BF8F00"/>
            </w:tcBorders>
            <w:shd w:val="clear" w:color="auto" w:fill="auto"/>
            <w:noWrap/>
            <w:vAlign w:val="center"/>
            <w:hideMark/>
          </w:tcPr>
          <w:p w:rsidR="00406A77" w:rsidRPr="007076C6" w:rsidRDefault="0079236E"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r w:rsidR="00406A77" w:rsidRPr="007076C6">
              <w:rPr>
                <w:rFonts w:ascii="標楷體" w:hAnsi="標楷體" w:cs="新細明體" w:hint="eastAsia"/>
                <w:kern w:val="0"/>
                <w:sz w:val="16"/>
                <w:szCs w:val="16"/>
              </w:rPr>
              <w:t>5,797</w:t>
            </w:r>
            <w:r w:rsidRPr="007076C6">
              <w:rPr>
                <w:rFonts w:ascii="標楷體" w:hAnsi="標楷體" w:cs="新細明體" w:hint="eastAsia"/>
                <w:kern w:val="0"/>
                <w:sz w:val="16"/>
                <w:szCs w:val="16"/>
              </w:rPr>
              <w:t>）</w:t>
            </w:r>
            <w:r w:rsidR="00406A77" w:rsidRPr="007076C6">
              <w:rPr>
                <w:rFonts w:ascii="標楷體" w:hAnsi="標楷體" w:cs="新細明體" w:hint="eastAsia"/>
                <w:kern w:val="0"/>
                <w:sz w:val="16"/>
                <w:szCs w:val="16"/>
              </w:rPr>
              <w:t xml:space="preserve"> </w:t>
            </w:r>
          </w:p>
        </w:tc>
        <w:tc>
          <w:tcPr>
            <w:tcW w:w="1134" w:type="dxa"/>
            <w:tcBorders>
              <w:top w:val="nil"/>
              <w:left w:val="nil"/>
              <w:bottom w:val="nil"/>
              <w:right w:val="single" w:sz="4" w:space="0" w:color="BF8F00"/>
            </w:tcBorders>
            <w:shd w:val="clear" w:color="auto" w:fill="auto"/>
            <w:noWrap/>
            <w:vAlign w:val="center"/>
            <w:hideMark/>
          </w:tcPr>
          <w:p w:rsidR="00406A77" w:rsidRPr="007076C6" w:rsidRDefault="0079236E"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r w:rsidR="00406A77" w:rsidRPr="007076C6">
              <w:rPr>
                <w:rFonts w:ascii="標楷體" w:hAnsi="標楷體" w:cs="新細明體" w:hint="eastAsia"/>
                <w:kern w:val="0"/>
                <w:sz w:val="16"/>
                <w:szCs w:val="16"/>
              </w:rPr>
              <w:t>3,288</w:t>
            </w:r>
            <w:r w:rsidRPr="007076C6">
              <w:rPr>
                <w:rFonts w:ascii="標楷體" w:hAnsi="標楷體" w:cs="新細明體" w:hint="eastAsia"/>
                <w:kern w:val="0"/>
                <w:sz w:val="16"/>
                <w:szCs w:val="16"/>
              </w:rPr>
              <w:t>）</w:t>
            </w:r>
            <w:r w:rsidR="00406A77" w:rsidRPr="007076C6">
              <w:rPr>
                <w:rFonts w:ascii="標楷體" w:hAnsi="標楷體" w:cs="新細明體" w:hint="eastAsia"/>
                <w:kern w:val="0"/>
                <w:sz w:val="16"/>
                <w:szCs w:val="16"/>
              </w:rPr>
              <w:t xml:space="preserve"> </w:t>
            </w:r>
          </w:p>
        </w:tc>
        <w:tc>
          <w:tcPr>
            <w:tcW w:w="1559" w:type="dxa"/>
            <w:tcBorders>
              <w:top w:val="nil"/>
              <w:left w:val="nil"/>
              <w:bottom w:val="nil"/>
              <w:right w:val="nil"/>
            </w:tcBorders>
            <w:shd w:val="clear" w:color="auto" w:fill="auto"/>
            <w:noWrap/>
            <w:vAlign w:val="center"/>
            <w:hideMark/>
          </w:tcPr>
          <w:p w:rsidR="00406A77" w:rsidRPr="007076C6" w:rsidRDefault="0079236E"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r w:rsidR="00406A77" w:rsidRPr="007076C6">
              <w:rPr>
                <w:rFonts w:ascii="標楷體" w:hAnsi="標楷體" w:cs="新細明體" w:hint="eastAsia"/>
                <w:kern w:val="0"/>
                <w:sz w:val="16"/>
                <w:szCs w:val="16"/>
              </w:rPr>
              <w:t>5,903</w:t>
            </w:r>
            <w:r w:rsidRPr="007076C6">
              <w:rPr>
                <w:rFonts w:ascii="標楷體" w:hAnsi="標楷體" w:cs="新細明體" w:hint="eastAsia"/>
                <w:kern w:val="0"/>
                <w:sz w:val="16"/>
                <w:szCs w:val="16"/>
              </w:rPr>
              <w:t>）</w:t>
            </w:r>
            <w:r w:rsidR="00406A77" w:rsidRPr="007076C6">
              <w:rPr>
                <w:rFonts w:ascii="標楷體" w:hAnsi="標楷體" w:cs="新細明體" w:hint="eastAsia"/>
                <w:kern w:val="0"/>
                <w:sz w:val="16"/>
                <w:szCs w:val="16"/>
              </w:rPr>
              <w:t xml:space="preserve"> </w:t>
            </w:r>
          </w:p>
        </w:tc>
      </w:tr>
      <w:tr w:rsidR="00406A77" w:rsidRPr="007076C6" w:rsidTr="00BF41DE">
        <w:trPr>
          <w:trHeight w:val="318"/>
          <w:jc w:val="center"/>
        </w:trPr>
        <w:tc>
          <w:tcPr>
            <w:tcW w:w="1350" w:type="dxa"/>
            <w:tcBorders>
              <w:top w:val="nil"/>
              <w:left w:val="nil"/>
              <w:bottom w:val="nil"/>
              <w:right w:val="single" w:sz="4" w:space="0" w:color="BF8F00"/>
            </w:tcBorders>
            <w:shd w:val="clear" w:color="000000" w:fill="FEF6D6"/>
            <w:noWrap/>
            <w:vAlign w:val="center"/>
            <w:hideMark/>
          </w:tcPr>
          <w:p w:rsidR="00406A77" w:rsidRPr="001848D9" w:rsidRDefault="00406A77" w:rsidP="00BF41DE">
            <w:pPr>
              <w:widowControl/>
              <w:spacing w:line="260" w:lineRule="exact"/>
              <w:jc w:val="center"/>
              <w:rPr>
                <w:rFonts w:ascii="標楷體" w:hAnsi="標楷體" w:cs="新細明體"/>
                <w:b/>
                <w:kern w:val="0"/>
                <w:sz w:val="16"/>
                <w:szCs w:val="16"/>
              </w:rPr>
            </w:pPr>
            <w:r w:rsidRPr="001848D9">
              <w:rPr>
                <w:rFonts w:ascii="標楷體" w:hAnsi="標楷體" w:cs="新細明體" w:hint="eastAsia"/>
                <w:b/>
                <w:kern w:val="0"/>
                <w:sz w:val="16"/>
                <w:szCs w:val="16"/>
              </w:rPr>
              <w:t xml:space="preserve">  2017年 Year</w:t>
            </w:r>
          </w:p>
        </w:tc>
        <w:tc>
          <w:tcPr>
            <w:tcW w:w="1060"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x</w:t>
            </w:r>
            <w:r w:rsidR="0079236E" w:rsidRPr="007076C6">
              <w:rPr>
                <w:rFonts w:ascii="標楷體" w:hAnsi="標楷體" w:cs="新細明體" w:hint="eastAsia"/>
                <w:kern w:val="0"/>
                <w:sz w:val="16"/>
                <w:szCs w:val="16"/>
              </w:rPr>
              <w:t>（</w:t>
            </w:r>
            <w:r w:rsidRPr="007076C6">
              <w:rPr>
                <w:rFonts w:ascii="標楷體" w:hAnsi="標楷體" w:cs="新細明體" w:hint="eastAsia"/>
                <w:kern w:val="0"/>
                <w:sz w:val="16"/>
                <w:szCs w:val="16"/>
              </w:rPr>
              <w:t>3</w:t>
            </w:r>
            <w:r w:rsidR="0079236E" w:rsidRPr="007076C6">
              <w:rPr>
                <w:rFonts w:ascii="標楷體" w:hAnsi="標楷體" w:cs="新細明體" w:hint="eastAsia"/>
                <w:kern w:val="0"/>
                <w:sz w:val="16"/>
                <w:szCs w:val="16"/>
              </w:rPr>
              <w:t>）</w:t>
            </w:r>
            <w:r w:rsidRPr="007076C6">
              <w:rPr>
                <w:rFonts w:ascii="標楷體" w:hAnsi="標楷體" w:cs="新細明體" w:hint="eastAsia"/>
                <w:kern w:val="0"/>
                <w:sz w:val="16"/>
                <w:szCs w:val="16"/>
              </w:rPr>
              <w:t xml:space="preserve"> </w:t>
            </w:r>
          </w:p>
        </w:tc>
        <w:tc>
          <w:tcPr>
            <w:tcW w:w="992"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 </w:t>
            </w:r>
          </w:p>
        </w:tc>
        <w:tc>
          <w:tcPr>
            <w:tcW w:w="993"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12,654  </w:t>
            </w:r>
          </w:p>
        </w:tc>
        <w:tc>
          <w:tcPr>
            <w:tcW w:w="1134"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8,785  </w:t>
            </w:r>
          </w:p>
        </w:tc>
        <w:tc>
          <w:tcPr>
            <w:tcW w:w="1275"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 </w:t>
            </w:r>
          </w:p>
        </w:tc>
        <w:tc>
          <w:tcPr>
            <w:tcW w:w="993"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13,302  </w:t>
            </w:r>
          </w:p>
        </w:tc>
        <w:tc>
          <w:tcPr>
            <w:tcW w:w="1134"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6,809  </w:t>
            </w:r>
          </w:p>
        </w:tc>
        <w:tc>
          <w:tcPr>
            <w:tcW w:w="1559" w:type="dxa"/>
            <w:tcBorders>
              <w:top w:val="nil"/>
              <w:left w:val="nil"/>
              <w:bottom w:val="nil"/>
              <w:right w:val="nil"/>
            </w:tcBorders>
            <w:shd w:val="clear" w:color="000000" w:fill="FEF6D6"/>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13,578  </w:t>
            </w:r>
          </w:p>
        </w:tc>
      </w:tr>
      <w:tr w:rsidR="00406A77" w:rsidRPr="007076C6" w:rsidTr="00BF41DE">
        <w:trPr>
          <w:trHeight w:val="318"/>
          <w:jc w:val="center"/>
        </w:trPr>
        <w:tc>
          <w:tcPr>
            <w:tcW w:w="1350" w:type="dxa"/>
            <w:tcBorders>
              <w:top w:val="nil"/>
              <w:left w:val="nil"/>
              <w:bottom w:val="nil"/>
              <w:right w:val="single" w:sz="4" w:space="0" w:color="BF8F00"/>
            </w:tcBorders>
            <w:shd w:val="clear" w:color="000000" w:fill="FEF6D6"/>
            <w:noWrap/>
            <w:vAlign w:val="center"/>
            <w:hideMark/>
          </w:tcPr>
          <w:p w:rsidR="00406A77" w:rsidRPr="001848D9" w:rsidRDefault="00406A77" w:rsidP="00BF41DE">
            <w:pPr>
              <w:widowControl/>
              <w:spacing w:line="260" w:lineRule="exact"/>
              <w:jc w:val="right"/>
              <w:rPr>
                <w:rFonts w:ascii="標楷體" w:hAnsi="標楷體" w:cs="新細明體"/>
                <w:b/>
                <w:kern w:val="0"/>
                <w:sz w:val="16"/>
                <w:szCs w:val="16"/>
              </w:rPr>
            </w:pPr>
            <w:r w:rsidRPr="001848D9">
              <w:rPr>
                <w:rFonts w:ascii="標楷體" w:hAnsi="標楷體" w:cs="新細明體" w:hint="eastAsia"/>
                <w:b/>
                <w:kern w:val="0"/>
                <w:sz w:val="16"/>
                <w:szCs w:val="16"/>
              </w:rPr>
              <w:t xml:space="preserve">　</w:t>
            </w:r>
          </w:p>
        </w:tc>
        <w:tc>
          <w:tcPr>
            <w:tcW w:w="1060"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x</w:t>
            </w:r>
            <w:r w:rsidR="0079236E" w:rsidRPr="007076C6">
              <w:rPr>
                <w:rFonts w:ascii="標楷體" w:hAnsi="標楷體" w:cs="新細明體" w:hint="eastAsia"/>
                <w:kern w:val="0"/>
                <w:sz w:val="16"/>
                <w:szCs w:val="16"/>
              </w:rPr>
              <w:t>（</w:t>
            </w:r>
            <w:r w:rsidRPr="007076C6">
              <w:rPr>
                <w:rFonts w:ascii="標楷體" w:hAnsi="標楷體" w:cs="新細明體" w:hint="eastAsia"/>
                <w:kern w:val="0"/>
                <w:sz w:val="16"/>
                <w:szCs w:val="16"/>
              </w:rPr>
              <w:t>3</w:t>
            </w:r>
            <w:r w:rsidR="0079236E" w:rsidRPr="007076C6">
              <w:rPr>
                <w:rFonts w:ascii="標楷體" w:hAnsi="標楷體" w:cs="新細明體" w:hint="eastAsia"/>
                <w:kern w:val="0"/>
                <w:sz w:val="16"/>
                <w:szCs w:val="16"/>
              </w:rPr>
              <w:t>）</w:t>
            </w:r>
            <w:r w:rsidRPr="007076C6">
              <w:rPr>
                <w:rFonts w:ascii="標楷體" w:hAnsi="標楷體" w:cs="新細明體" w:hint="eastAsia"/>
                <w:kern w:val="0"/>
                <w:sz w:val="16"/>
                <w:szCs w:val="16"/>
              </w:rPr>
              <w:t xml:space="preserve"> </w:t>
            </w:r>
          </w:p>
        </w:tc>
        <w:tc>
          <w:tcPr>
            <w:tcW w:w="992"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 </w:t>
            </w:r>
          </w:p>
        </w:tc>
        <w:tc>
          <w:tcPr>
            <w:tcW w:w="993" w:type="dxa"/>
            <w:tcBorders>
              <w:top w:val="nil"/>
              <w:left w:val="nil"/>
              <w:bottom w:val="nil"/>
              <w:right w:val="single" w:sz="4" w:space="0" w:color="BF8F00"/>
            </w:tcBorders>
            <w:shd w:val="clear" w:color="000000" w:fill="FEF6D6"/>
            <w:noWrap/>
            <w:vAlign w:val="center"/>
            <w:hideMark/>
          </w:tcPr>
          <w:p w:rsidR="00406A77" w:rsidRPr="007076C6" w:rsidRDefault="0079236E"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r w:rsidR="00406A77" w:rsidRPr="007076C6">
              <w:rPr>
                <w:rFonts w:ascii="標楷體" w:hAnsi="標楷體" w:cs="新細明體" w:hint="eastAsia"/>
                <w:kern w:val="0"/>
                <w:sz w:val="16"/>
                <w:szCs w:val="16"/>
              </w:rPr>
              <w:t>6,122</w:t>
            </w:r>
            <w:r w:rsidRPr="007076C6">
              <w:rPr>
                <w:rFonts w:ascii="標楷體" w:hAnsi="標楷體" w:cs="新細明體" w:hint="eastAsia"/>
                <w:kern w:val="0"/>
                <w:sz w:val="16"/>
                <w:szCs w:val="16"/>
              </w:rPr>
              <w:t>）</w:t>
            </w:r>
            <w:r w:rsidR="00406A77" w:rsidRPr="007076C6">
              <w:rPr>
                <w:rFonts w:ascii="標楷體" w:hAnsi="標楷體" w:cs="新細明體" w:hint="eastAsia"/>
                <w:kern w:val="0"/>
                <w:sz w:val="16"/>
                <w:szCs w:val="16"/>
              </w:rPr>
              <w:t xml:space="preserve"> </w:t>
            </w:r>
          </w:p>
        </w:tc>
        <w:tc>
          <w:tcPr>
            <w:tcW w:w="1134" w:type="dxa"/>
            <w:tcBorders>
              <w:top w:val="nil"/>
              <w:left w:val="nil"/>
              <w:bottom w:val="nil"/>
              <w:right w:val="single" w:sz="4" w:space="0" w:color="BF8F00"/>
            </w:tcBorders>
            <w:shd w:val="clear" w:color="000000" w:fill="FEF6D6"/>
            <w:noWrap/>
            <w:vAlign w:val="center"/>
            <w:hideMark/>
          </w:tcPr>
          <w:p w:rsidR="00406A77" w:rsidRPr="007076C6" w:rsidRDefault="0079236E"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r w:rsidR="00406A77" w:rsidRPr="007076C6">
              <w:rPr>
                <w:rFonts w:ascii="標楷體" w:hAnsi="標楷體" w:cs="新細明體" w:hint="eastAsia"/>
                <w:kern w:val="0"/>
                <w:sz w:val="16"/>
                <w:szCs w:val="16"/>
              </w:rPr>
              <w:t>4,250</w:t>
            </w:r>
            <w:r w:rsidRPr="007076C6">
              <w:rPr>
                <w:rFonts w:ascii="標楷體" w:hAnsi="標楷體" w:cs="新細明體" w:hint="eastAsia"/>
                <w:kern w:val="0"/>
                <w:sz w:val="16"/>
                <w:szCs w:val="16"/>
              </w:rPr>
              <w:t>）</w:t>
            </w:r>
            <w:r w:rsidR="00406A77" w:rsidRPr="007076C6">
              <w:rPr>
                <w:rFonts w:ascii="標楷體" w:hAnsi="標楷體" w:cs="新細明體" w:hint="eastAsia"/>
                <w:kern w:val="0"/>
                <w:sz w:val="16"/>
                <w:szCs w:val="16"/>
              </w:rPr>
              <w:t xml:space="preserve"> </w:t>
            </w:r>
          </w:p>
        </w:tc>
        <w:tc>
          <w:tcPr>
            <w:tcW w:w="1275"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 </w:t>
            </w:r>
          </w:p>
        </w:tc>
        <w:tc>
          <w:tcPr>
            <w:tcW w:w="993" w:type="dxa"/>
            <w:tcBorders>
              <w:top w:val="nil"/>
              <w:left w:val="nil"/>
              <w:bottom w:val="nil"/>
              <w:right w:val="single" w:sz="4" w:space="0" w:color="BF8F00"/>
            </w:tcBorders>
            <w:shd w:val="clear" w:color="000000" w:fill="FEF6D6"/>
            <w:noWrap/>
            <w:vAlign w:val="center"/>
            <w:hideMark/>
          </w:tcPr>
          <w:p w:rsidR="00406A77" w:rsidRPr="007076C6" w:rsidRDefault="0079236E"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r w:rsidR="00406A77" w:rsidRPr="007076C6">
              <w:rPr>
                <w:rFonts w:ascii="標楷體" w:hAnsi="標楷體" w:cs="新細明體" w:hint="eastAsia"/>
                <w:kern w:val="0"/>
                <w:sz w:val="16"/>
                <w:szCs w:val="16"/>
              </w:rPr>
              <w:t>6,435</w:t>
            </w:r>
            <w:r w:rsidRPr="007076C6">
              <w:rPr>
                <w:rFonts w:ascii="標楷體" w:hAnsi="標楷體" w:cs="新細明體" w:hint="eastAsia"/>
                <w:kern w:val="0"/>
                <w:sz w:val="16"/>
                <w:szCs w:val="16"/>
              </w:rPr>
              <w:t>）</w:t>
            </w:r>
            <w:r w:rsidR="00406A77" w:rsidRPr="007076C6">
              <w:rPr>
                <w:rFonts w:ascii="標楷體" w:hAnsi="標楷體" w:cs="新細明體" w:hint="eastAsia"/>
                <w:kern w:val="0"/>
                <w:sz w:val="16"/>
                <w:szCs w:val="16"/>
              </w:rPr>
              <w:t xml:space="preserve"> </w:t>
            </w:r>
          </w:p>
        </w:tc>
        <w:tc>
          <w:tcPr>
            <w:tcW w:w="1134" w:type="dxa"/>
            <w:tcBorders>
              <w:top w:val="nil"/>
              <w:left w:val="nil"/>
              <w:bottom w:val="nil"/>
              <w:right w:val="single" w:sz="4" w:space="0" w:color="BF8F00"/>
            </w:tcBorders>
            <w:shd w:val="clear" w:color="000000" w:fill="FEF6D6"/>
            <w:noWrap/>
            <w:vAlign w:val="center"/>
            <w:hideMark/>
          </w:tcPr>
          <w:p w:rsidR="00406A77" w:rsidRPr="007076C6" w:rsidRDefault="0079236E"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r w:rsidR="00406A77" w:rsidRPr="007076C6">
              <w:rPr>
                <w:rFonts w:ascii="標楷體" w:hAnsi="標楷體" w:cs="新細明體" w:hint="eastAsia"/>
                <w:kern w:val="0"/>
                <w:sz w:val="16"/>
                <w:szCs w:val="16"/>
              </w:rPr>
              <w:t>3,294</w:t>
            </w:r>
            <w:r w:rsidRPr="007076C6">
              <w:rPr>
                <w:rFonts w:ascii="標楷體" w:hAnsi="標楷體" w:cs="新細明體" w:hint="eastAsia"/>
                <w:kern w:val="0"/>
                <w:sz w:val="16"/>
                <w:szCs w:val="16"/>
              </w:rPr>
              <w:t>）</w:t>
            </w:r>
            <w:r w:rsidR="00406A77" w:rsidRPr="007076C6">
              <w:rPr>
                <w:rFonts w:ascii="標楷體" w:hAnsi="標楷體" w:cs="新細明體" w:hint="eastAsia"/>
                <w:kern w:val="0"/>
                <w:sz w:val="16"/>
                <w:szCs w:val="16"/>
              </w:rPr>
              <w:t xml:space="preserve"> </w:t>
            </w:r>
          </w:p>
        </w:tc>
        <w:tc>
          <w:tcPr>
            <w:tcW w:w="1559" w:type="dxa"/>
            <w:tcBorders>
              <w:top w:val="nil"/>
              <w:left w:val="nil"/>
              <w:bottom w:val="nil"/>
              <w:right w:val="nil"/>
            </w:tcBorders>
            <w:shd w:val="clear" w:color="000000" w:fill="FEF6D6"/>
            <w:noWrap/>
            <w:vAlign w:val="center"/>
            <w:hideMark/>
          </w:tcPr>
          <w:p w:rsidR="00406A77" w:rsidRPr="007076C6" w:rsidRDefault="0079236E"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r w:rsidR="00406A77" w:rsidRPr="007076C6">
              <w:rPr>
                <w:rFonts w:ascii="標楷體" w:hAnsi="標楷體" w:cs="新細明體" w:hint="eastAsia"/>
                <w:kern w:val="0"/>
                <w:sz w:val="16"/>
                <w:szCs w:val="16"/>
              </w:rPr>
              <w:t>6,569</w:t>
            </w:r>
            <w:r w:rsidRPr="007076C6">
              <w:rPr>
                <w:rFonts w:ascii="標楷體" w:hAnsi="標楷體" w:cs="新細明體" w:hint="eastAsia"/>
                <w:kern w:val="0"/>
                <w:sz w:val="16"/>
                <w:szCs w:val="16"/>
              </w:rPr>
              <w:t>）</w:t>
            </w:r>
            <w:r w:rsidR="00406A77" w:rsidRPr="007076C6">
              <w:rPr>
                <w:rFonts w:ascii="標楷體" w:hAnsi="標楷體" w:cs="新細明體" w:hint="eastAsia"/>
                <w:kern w:val="0"/>
                <w:sz w:val="16"/>
                <w:szCs w:val="16"/>
              </w:rPr>
              <w:t xml:space="preserve"> </w:t>
            </w:r>
          </w:p>
        </w:tc>
      </w:tr>
      <w:tr w:rsidR="00406A77" w:rsidRPr="007076C6" w:rsidTr="00BF41DE">
        <w:trPr>
          <w:trHeight w:val="165"/>
          <w:jc w:val="center"/>
        </w:trPr>
        <w:tc>
          <w:tcPr>
            <w:tcW w:w="1350" w:type="dxa"/>
            <w:tcBorders>
              <w:top w:val="nil"/>
              <w:left w:val="nil"/>
              <w:bottom w:val="nil"/>
              <w:right w:val="single" w:sz="4" w:space="0" w:color="BF8F00"/>
            </w:tcBorders>
            <w:shd w:val="clear" w:color="auto" w:fill="auto"/>
            <w:noWrap/>
            <w:vAlign w:val="center"/>
            <w:hideMark/>
          </w:tcPr>
          <w:p w:rsidR="00406A77" w:rsidRPr="001848D9" w:rsidRDefault="00406A77" w:rsidP="00BF41DE">
            <w:pPr>
              <w:widowControl/>
              <w:spacing w:line="260" w:lineRule="exact"/>
              <w:rPr>
                <w:rFonts w:ascii="標楷體" w:hAnsi="標楷體" w:cs="新細明體"/>
                <w:b/>
                <w:kern w:val="0"/>
                <w:sz w:val="16"/>
                <w:szCs w:val="16"/>
              </w:rPr>
            </w:pPr>
            <w:r w:rsidRPr="001848D9">
              <w:rPr>
                <w:rFonts w:ascii="標楷體" w:hAnsi="標楷體" w:cs="新細明體" w:hint="eastAsia"/>
                <w:b/>
                <w:kern w:val="0"/>
                <w:sz w:val="16"/>
                <w:szCs w:val="16"/>
              </w:rPr>
              <w:t xml:space="preserve">　</w:t>
            </w:r>
          </w:p>
        </w:tc>
        <w:tc>
          <w:tcPr>
            <w:tcW w:w="1060"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w:t>
            </w:r>
          </w:p>
        </w:tc>
        <w:tc>
          <w:tcPr>
            <w:tcW w:w="992"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w:t>
            </w:r>
          </w:p>
        </w:tc>
        <w:tc>
          <w:tcPr>
            <w:tcW w:w="993"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w:t>
            </w:r>
          </w:p>
        </w:tc>
        <w:tc>
          <w:tcPr>
            <w:tcW w:w="1134"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w:t>
            </w:r>
          </w:p>
        </w:tc>
        <w:tc>
          <w:tcPr>
            <w:tcW w:w="1275"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w:t>
            </w:r>
          </w:p>
        </w:tc>
        <w:tc>
          <w:tcPr>
            <w:tcW w:w="993"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w:t>
            </w:r>
          </w:p>
        </w:tc>
        <w:tc>
          <w:tcPr>
            <w:tcW w:w="1134"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w:t>
            </w:r>
          </w:p>
        </w:tc>
        <w:tc>
          <w:tcPr>
            <w:tcW w:w="1559" w:type="dxa"/>
            <w:tcBorders>
              <w:top w:val="nil"/>
              <w:left w:val="nil"/>
              <w:bottom w:val="nil"/>
              <w:right w:val="nil"/>
            </w:tcBorders>
            <w:shd w:val="clear" w:color="auto" w:fill="auto"/>
            <w:noWrap/>
            <w:vAlign w:val="center"/>
            <w:hideMark/>
          </w:tcPr>
          <w:p w:rsidR="00406A77" w:rsidRPr="007076C6" w:rsidRDefault="00406A77" w:rsidP="00BF41DE">
            <w:pPr>
              <w:widowControl/>
              <w:spacing w:line="26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w:t>
            </w:r>
          </w:p>
        </w:tc>
      </w:tr>
      <w:tr w:rsidR="00406A77" w:rsidRPr="007076C6" w:rsidTr="00BF41DE">
        <w:trPr>
          <w:trHeight w:val="318"/>
          <w:jc w:val="center"/>
        </w:trPr>
        <w:tc>
          <w:tcPr>
            <w:tcW w:w="1350" w:type="dxa"/>
            <w:tcBorders>
              <w:top w:val="nil"/>
              <w:left w:val="nil"/>
              <w:bottom w:val="nil"/>
              <w:right w:val="single" w:sz="4" w:space="0" w:color="BF8F00"/>
            </w:tcBorders>
            <w:shd w:val="clear" w:color="auto" w:fill="auto"/>
            <w:noWrap/>
            <w:vAlign w:val="center"/>
            <w:hideMark/>
          </w:tcPr>
          <w:p w:rsidR="00406A77" w:rsidRPr="001848D9" w:rsidRDefault="00406A77" w:rsidP="00BF41DE">
            <w:pPr>
              <w:widowControl/>
              <w:spacing w:line="240" w:lineRule="exact"/>
              <w:rPr>
                <w:rFonts w:ascii="標楷體" w:hAnsi="標楷體" w:cs="新細明體"/>
                <w:b/>
                <w:kern w:val="0"/>
                <w:sz w:val="16"/>
                <w:szCs w:val="16"/>
              </w:rPr>
            </w:pPr>
            <w:r w:rsidRPr="001848D9">
              <w:rPr>
                <w:rFonts w:ascii="標楷體" w:hAnsi="標楷體" w:cs="新細明體" w:hint="eastAsia"/>
                <w:b/>
                <w:kern w:val="0"/>
                <w:sz w:val="16"/>
                <w:szCs w:val="16"/>
              </w:rPr>
              <w:t>OECD國家 Countries</w:t>
            </w:r>
          </w:p>
        </w:tc>
        <w:tc>
          <w:tcPr>
            <w:tcW w:w="1060"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rPr>
                <w:rFonts w:ascii="標楷體" w:hAnsi="標楷體" w:cs="新細明體"/>
                <w:kern w:val="0"/>
                <w:sz w:val="16"/>
                <w:szCs w:val="16"/>
              </w:rPr>
            </w:pPr>
            <w:r w:rsidRPr="007076C6">
              <w:rPr>
                <w:rFonts w:ascii="標楷體" w:hAnsi="標楷體" w:cs="新細明體" w:hint="eastAsia"/>
                <w:kern w:val="0"/>
                <w:sz w:val="16"/>
                <w:szCs w:val="16"/>
              </w:rPr>
              <w:t xml:space="preserve">　</w:t>
            </w:r>
          </w:p>
        </w:tc>
        <w:tc>
          <w:tcPr>
            <w:tcW w:w="992"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rPr>
                <w:rFonts w:ascii="標楷體" w:hAnsi="標楷體" w:cs="新細明體"/>
                <w:kern w:val="0"/>
                <w:sz w:val="16"/>
                <w:szCs w:val="16"/>
              </w:rPr>
            </w:pPr>
            <w:r w:rsidRPr="007076C6">
              <w:rPr>
                <w:rFonts w:ascii="標楷體" w:hAnsi="標楷體" w:cs="新細明體" w:hint="eastAsia"/>
                <w:kern w:val="0"/>
                <w:sz w:val="16"/>
                <w:szCs w:val="16"/>
              </w:rPr>
              <w:t xml:space="preserve">　</w:t>
            </w:r>
          </w:p>
        </w:tc>
        <w:tc>
          <w:tcPr>
            <w:tcW w:w="993"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rPr>
                <w:rFonts w:ascii="標楷體" w:hAnsi="標楷體" w:cs="新細明體"/>
                <w:kern w:val="0"/>
                <w:sz w:val="16"/>
                <w:szCs w:val="16"/>
              </w:rPr>
            </w:pPr>
            <w:r w:rsidRPr="007076C6">
              <w:rPr>
                <w:rFonts w:ascii="標楷體" w:hAnsi="標楷體" w:cs="新細明體" w:hint="eastAsia"/>
                <w:kern w:val="0"/>
                <w:sz w:val="16"/>
                <w:szCs w:val="16"/>
              </w:rPr>
              <w:t xml:space="preserve">　</w:t>
            </w:r>
          </w:p>
        </w:tc>
        <w:tc>
          <w:tcPr>
            <w:tcW w:w="1134"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rPr>
                <w:rFonts w:ascii="標楷體" w:hAnsi="標楷體" w:cs="新細明體"/>
                <w:kern w:val="0"/>
                <w:sz w:val="16"/>
                <w:szCs w:val="16"/>
              </w:rPr>
            </w:pPr>
            <w:r w:rsidRPr="007076C6">
              <w:rPr>
                <w:rFonts w:ascii="標楷體" w:hAnsi="標楷體" w:cs="新細明體" w:hint="eastAsia"/>
                <w:kern w:val="0"/>
                <w:sz w:val="16"/>
                <w:szCs w:val="16"/>
              </w:rPr>
              <w:t xml:space="preserve">　</w:t>
            </w:r>
          </w:p>
        </w:tc>
        <w:tc>
          <w:tcPr>
            <w:tcW w:w="1275"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w:t>
            </w:r>
          </w:p>
        </w:tc>
        <w:tc>
          <w:tcPr>
            <w:tcW w:w="993"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rPr>
                <w:rFonts w:ascii="標楷體" w:hAnsi="標楷體" w:cs="新細明體"/>
                <w:kern w:val="0"/>
                <w:sz w:val="16"/>
                <w:szCs w:val="16"/>
              </w:rPr>
            </w:pPr>
            <w:r w:rsidRPr="007076C6">
              <w:rPr>
                <w:rFonts w:ascii="標楷體" w:hAnsi="標楷體" w:cs="新細明體" w:hint="eastAsia"/>
                <w:kern w:val="0"/>
                <w:sz w:val="16"/>
                <w:szCs w:val="16"/>
              </w:rPr>
              <w:t xml:space="preserve">　</w:t>
            </w:r>
          </w:p>
        </w:tc>
        <w:tc>
          <w:tcPr>
            <w:tcW w:w="1134"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rPr>
                <w:rFonts w:ascii="標楷體" w:hAnsi="標楷體" w:cs="新細明體"/>
                <w:kern w:val="0"/>
                <w:sz w:val="16"/>
                <w:szCs w:val="16"/>
              </w:rPr>
            </w:pPr>
            <w:r w:rsidRPr="007076C6">
              <w:rPr>
                <w:rFonts w:ascii="標楷體" w:hAnsi="標楷體" w:cs="新細明體" w:hint="eastAsia"/>
                <w:kern w:val="0"/>
                <w:sz w:val="16"/>
                <w:szCs w:val="16"/>
              </w:rPr>
              <w:t xml:space="preserve">　</w:t>
            </w:r>
          </w:p>
        </w:tc>
        <w:tc>
          <w:tcPr>
            <w:tcW w:w="1559" w:type="dxa"/>
            <w:tcBorders>
              <w:top w:val="nil"/>
              <w:left w:val="nil"/>
              <w:bottom w:val="nil"/>
              <w:right w:val="nil"/>
            </w:tcBorders>
            <w:shd w:val="clear" w:color="auto" w:fill="auto"/>
            <w:noWrap/>
            <w:vAlign w:val="center"/>
            <w:hideMark/>
          </w:tcPr>
          <w:p w:rsidR="00406A77" w:rsidRPr="007076C6" w:rsidRDefault="00406A77" w:rsidP="00BF41DE">
            <w:pPr>
              <w:widowControl/>
              <w:spacing w:line="240" w:lineRule="exact"/>
              <w:rPr>
                <w:rFonts w:ascii="標楷體" w:hAnsi="標楷體" w:cs="新細明體"/>
                <w:kern w:val="0"/>
                <w:sz w:val="16"/>
                <w:szCs w:val="16"/>
              </w:rPr>
            </w:pPr>
            <w:r w:rsidRPr="007076C6">
              <w:rPr>
                <w:rFonts w:ascii="標楷體" w:hAnsi="標楷體" w:cs="新細明體" w:hint="eastAsia"/>
                <w:kern w:val="0"/>
                <w:sz w:val="16"/>
                <w:szCs w:val="16"/>
              </w:rPr>
              <w:t xml:space="preserve">　</w:t>
            </w:r>
          </w:p>
        </w:tc>
      </w:tr>
      <w:tr w:rsidR="00406A77" w:rsidRPr="007076C6" w:rsidTr="00BF41DE">
        <w:trPr>
          <w:trHeight w:val="73"/>
          <w:jc w:val="center"/>
        </w:trPr>
        <w:tc>
          <w:tcPr>
            <w:tcW w:w="1350" w:type="dxa"/>
            <w:tcBorders>
              <w:top w:val="nil"/>
              <w:left w:val="nil"/>
              <w:bottom w:val="nil"/>
              <w:right w:val="single" w:sz="4" w:space="0" w:color="BF8F00"/>
            </w:tcBorders>
            <w:shd w:val="clear" w:color="000000" w:fill="FEF6D6"/>
            <w:noWrap/>
            <w:vAlign w:val="center"/>
            <w:hideMark/>
          </w:tcPr>
          <w:p w:rsidR="00406A77" w:rsidRPr="001848D9" w:rsidRDefault="00406A77" w:rsidP="00BF41DE">
            <w:pPr>
              <w:widowControl/>
              <w:spacing w:line="240" w:lineRule="exact"/>
              <w:ind w:firstLineChars="100" w:firstLine="180"/>
              <w:jc w:val="center"/>
              <w:rPr>
                <w:rFonts w:ascii="標楷體" w:hAnsi="標楷體" w:cs="新細明體"/>
                <w:b/>
                <w:kern w:val="0"/>
                <w:sz w:val="16"/>
                <w:szCs w:val="16"/>
              </w:rPr>
            </w:pPr>
            <w:r w:rsidRPr="001848D9">
              <w:rPr>
                <w:rFonts w:ascii="標楷體" w:hAnsi="標楷體" w:cs="新細明體" w:hint="eastAsia"/>
                <w:b/>
                <w:kern w:val="0"/>
                <w:sz w:val="16"/>
                <w:szCs w:val="16"/>
              </w:rPr>
              <w:t>日本 Japan</w:t>
            </w:r>
          </w:p>
        </w:tc>
        <w:tc>
          <w:tcPr>
            <w:tcW w:w="1060"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9,105</w:t>
            </w:r>
          </w:p>
        </w:tc>
        <w:tc>
          <w:tcPr>
            <w:tcW w:w="992"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11,147</w:t>
            </w:r>
          </w:p>
        </w:tc>
        <w:tc>
          <w:tcPr>
            <w:tcW w:w="993"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10,562</w:t>
            </w:r>
          </w:p>
        </w:tc>
        <w:tc>
          <w:tcPr>
            <w:tcW w:w="1134"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11,147</w:t>
            </w:r>
          </w:p>
        </w:tc>
        <w:tc>
          <w:tcPr>
            <w:tcW w:w="1275"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x</w:t>
            </w:r>
            <w:r w:rsidR="0079236E" w:rsidRPr="007076C6">
              <w:rPr>
                <w:rFonts w:ascii="標楷體" w:hAnsi="標楷體" w:cs="新細明體" w:hint="eastAsia"/>
                <w:kern w:val="0"/>
                <w:sz w:val="16"/>
                <w:szCs w:val="16"/>
              </w:rPr>
              <w:t>（</w:t>
            </w:r>
            <w:r w:rsidRPr="007076C6">
              <w:rPr>
                <w:rFonts w:ascii="標楷體" w:hAnsi="標楷體" w:cs="新細明體" w:hint="eastAsia"/>
                <w:kern w:val="0"/>
                <w:sz w:val="16"/>
                <w:szCs w:val="16"/>
              </w:rPr>
              <w:t>4,6</w:t>
            </w:r>
            <w:r w:rsidR="0079236E" w:rsidRPr="007076C6">
              <w:rPr>
                <w:rFonts w:ascii="標楷體" w:hAnsi="標楷體" w:cs="新細明體" w:hint="eastAsia"/>
                <w:kern w:val="0"/>
                <w:sz w:val="16"/>
                <w:szCs w:val="16"/>
              </w:rPr>
              <w:t>）</w:t>
            </w:r>
          </w:p>
        </w:tc>
        <w:tc>
          <w:tcPr>
            <w:tcW w:w="993"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19,289</w:t>
            </w:r>
          </w:p>
        </w:tc>
        <w:tc>
          <w:tcPr>
            <w:tcW w:w="1134"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13,806</w:t>
            </w:r>
          </w:p>
        </w:tc>
        <w:tc>
          <w:tcPr>
            <w:tcW w:w="1559" w:type="dxa"/>
            <w:tcBorders>
              <w:top w:val="nil"/>
              <w:left w:val="nil"/>
              <w:bottom w:val="nil"/>
              <w:right w:val="nil"/>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20,758</w:t>
            </w:r>
          </w:p>
        </w:tc>
      </w:tr>
      <w:tr w:rsidR="00406A77" w:rsidRPr="007076C6" w:rsidTr="00BF41DE">
        <w:trPr>
          <w:trHeight w:val="73"/>
          <w:jc w:val="center"/>
        </w:trPr>
        <w:tc>
          <w:tcPr>
            <w:tcW w:w="1350" w:type="dxa"/>
            <w:tcBorders>
              <w:top w:val="nil"/>
              <w:left w:val="nil"/>
              <w:bottom w:val="nil"/>
              <w:right w:val="single" w:sz="4" w:space="0" w:color="BF8F00"/>
            </w:tcBorders>
            <w:shd w:val="clear" w:color="auto" w:fill="auto"/>
            <w:noWrap/>
            <w:vAlign w:val="center"/>
            <w:hideMark/>
          </w:tcPr>
          <w:p w:rsidR="00406A77" w:rsidRPr="001848D9" w:rsidRDefault="00406A77" w:rsidP="00BF41DE">
            <w:pPr>
              <w:widowControl/>
              <w:spacing w:line="240" w:lineRule="exact"/>
              <w:ind w:firstLineChars="100" w:firstLine="180"/>
              <w:jc w:val="center"/>
              <w:rPr>
                <w:rFonts w:ascii="標楷體" w:hAnsi="標楷體" w:cs="新細明體"/>
                <w:b/>
                <w:kern w:val="0"/>
                <w:sz w:val="16"/>
                <w:szCs w:val="16"/>
              </w:rPr>
            </w:pPr>
            <w:r w:rsidRPr="001848D9">
              <w:rPr>
                <w:rFonts w:ascii="標楷體" w:hAnsi="標楷體" w:cs="新細明體" w:hint="eastAsia"/>
                <w:b/>
                <w:kern w:val="0"/>
                <w:sz w:val="16"/>
                <w:szCs w:val="16"/>
              </w:rPr>
              <w:t>南韓 Republic of Korea</w:t>
            </w:r>
          </w:p>
        </w:tc>
        <w:tc>
          <w:tcPr>
            <w:tcW w:w="1060"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11,047</w:t>
            </w:r>
          </w:p>
        </w:tc>
        <w:tc>
          <w:tcPr>
            <w:tcW w:w="992"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12,202</w:t>
            </w:r>
          </w:p>
        </w:tc>
        <w:tc>
          <w:tcPr>
            <w:tcW w:w="993"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11,025</w:t>
            </w:r>
          </w:p>
        </w:tc>
        <w:tc>
          <w:tcPr>
            <w:tcW w:w="1134"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12,202</w:t>
            </w:r>
          </w:p>
        </w:tc>
        <w:tc>
          <w:tcPr>
            <w:tcW w:w="1275"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p>
        </w:tc>
        <w:tc>
          <w:tcPr>
            <w:tcW w:w="993"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10,109</w:t>
            </w:r>
          </w:p>
        </w:tc>
        <w:tc>
          <w:tcPr>
            <w:tcW w:w="1134"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5,817</w:t>
            </w:r>
          </w:p>
        </w:tc>
        <w:tc>
          <w:tcPr>
            <w:tcW w:w="1559" w:type="dxa"/>
            <w:tcBorders>
              <w:top w:val="nil"/>
              <w:left w:val="nil"/>
              <w:bottom w:val="nil"/>
              <w:right w:val="nil"/>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11,310</w:t>
            </w:r>
          </w:p>
        </w:tc>
      </w:tr>
      <w:tr w:rsidR="00406A77" w:rsidRPr="007076C6" w:rsidTr="00BF41DE">
        <w:trPr>
          <w:trHeight w:val="318"/>
          <w:jc w:val="center"/>
        </w:trPr>
        <w:tc>
          <w:tcPr>
            <w:tcW w:w="1350" w:type="dxa"/>
            <w:tcBorders>
              <w:top w:val="nil"/>
              <w:left w:val="nil"/>
              <w:bottom w:val="nil"/>
              <w:right w:val="single" w:sz="4" w:space="0" w:color="BF8F00"/>
            </w:tcBorders>
            <w:shd w:val="clear" w:color="000000" w:fill="FEF6D6"/>
            <w:noWrap/>
            <w:vAlign w:val="center"/>
            <w:hideMark/>
          </w:tcPr>
          <w:p w:rsidR="00406A77" w:rsidRPr="001848D9" w:rsidRDefault="00406A77" w:rsidP="00BF41DE">
            <w:pPr>
              <w:widowControl/>
              <w:spacing w:line="240" w:lineRule="exact"/>
              <w:ind w:firstLineChars="100" w:firstLine="180"/>
              <w:jc w:val="center"/>
              <w:rPr>
                <w:rFonts w:ascii="標楷體" w:hAnsi="標楷體" w:cs="新細明體"/>
                <w:b/>
                <w:kern w:val="0"/>
                <w:sz w:val="16"/>
                <w:szCs w:val="16"/>
              </w:rPr>
            </w:pPr>
            <w:r w:rsidRPr="001848D9">
              <w:rPr>
                <w:rFonts w:ascii="標楷體" w:hAnsi="標楷體" w:cs="新細明體" w:hint="eastAsia"/>
                <w:b/>
                <w:kern w:val="0"/>
                <w:sz w:val="16"/>
                <w:szCs w:val="16"/>
              </w:rPr>
              <w:t>美國 United States</w:t>
            </w:r>
          </w:p>
        </w:tc>
        <w:tc>
          <w:tcPr>
            <w:tcW w:w="1060"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11,727</w:t>
            </w:r>
          </w:p>
        </w:tc>
        <w:tc>
          <w:tcPr>
            <w:tcW w:w="992"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13,084</w:t>
            </w:r>
          </w:p>
        </w:tc>
        <w:tc>
          <w:tcPr>
            <w:tcW w:w="993"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12,693</w:t>
            </w:r>
          </w:p>
        </w:tc>
        <w:tc>
          <w:tcPr>
            <w:tcW w:w="1134"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13,084</w:t>
            </w:r>
          </w:p>
        </w:tc>
        <w:tc>
          <w:tcPr>
            <w:tcW w:w="1275"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14,294</w:t>
            </w:r>
          </w:p>
        </w:tc>
        <w:tc>
          <w:tcPr>
            <w:tcW w:w="993"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30,003</w:t>
            </w:r>
          </w:p>
        </w:tc>
        <w:tc>
          <w:tcPr>
            <w:tcW w:w="1134"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x</w:t>
            </w:r>
            <w:r w:rsidR="0079236E" w:rsidRPr="007076C6">
              <w:rPr>
                <w:rFonts w:ascii="標楷體" w:hAnsi="標楷體" w:cs="新細明體" w:hint="eastAsia"/>
                <w:kern w:val="0"/>
                <w:sz w:val="16"/>
                <w:szCs w:val="16"/>
              </w:rPr>
              <w:t>（</w:t>
            </w:r>
            <w:r w:rsidRPr="007076C6">
              <w:rPr>
                <w:rFonts w:ascii="標楷體" w:hAnsi="標楷體" w:cs="新細明體" w:hint="eastAsia"/>
                <w:kern w:val="0"/>
                <w:sz w:val="16"/>
                <w:szCs w:val="16"/>
              </w:rPr>
              <w:t>6</w:t>
            </w:r>
            <w:r w:rsidR="0079236E" w:rsidRPr="007076C6">
              <w:rPr>
                <w:rFonts w:ascii="標楷體" w:hAnsi="標楷體" w:cs="新細明體" w:hint="eastAsia"/>
                <w:kern w:val="0"/>
                <w:sz w:val="16"/>
                <w:szCs w:val="16"/>
              </w:rPr>
              <w:t>）</w:t>
            </w:r>
          </w:p>
        </w:tc>
        <w:tc>
          <w:tcPr>
            <w:tcW w:w="1559" w:type="dxa"/>
            <w:tcBorders>
              <w:top w:val="nil"/>
              <w:left w:val="nil"/>
              <w:bottom w:val="nil"/>
              <w:right w:val="nil"/>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x</w:t>
            </w:r>
            <w:r w:rsidR="0079236E" w:rsidRPr="007076C6">
              <w:rPr>
                <w:rFonts w:ascii="標楷體" w:hAnsi="標楷體" w:cs="新細明體" w:hint="eastAsia"/>
                <w:kern w:val="0"/>
                <w:sz w:val="16"/>
                <w:szCs w:val="16"/>
              </w:rPr>
              <w:t>（</w:t>
            </w:r>
            <w:r w:rsidRPr="007076C6">
              <w:rPr>
                <w:rFonts w:ascii="標楷體" w:hAnsi="標楷體" w:cs="新細明體" w:hint="eastAsia"/>
                <w:kern w:val="0"/>
                <w:sz w:val="16"/>
                <w:szCs w:val="16"/>
              </w:rPr>
              <w:t>6</w:t>
            </w:r>
            <w:r w:rsidR="0079236E" w:rsidRPr="007076C6">
              <w:rPr>
                <w:rFonts w:ascii="標楷體" w:hAnsi="標楷體" w:cs="新細明體" w:hint="eastAsia"/>
                <w:kern w:val="0"/>
                <w:sz w:val="16"/>
                <w:szCs w:val="16"/>
              </w:rPr>
              <w:t>）</w:t>
            </w:r>
          </w:p>
        </w:tc>
      </w:tr>
      <w:tr w:rsidR="00406A77" w:rsidRPr="007076C6" w:rsidTr="00BF41DE">
        <w:trPr>
          <w:trHeight w:val="318"/>
          <w:jc w:val="center"/>
        </w:trPr>
        <w:tc>
          <w:tcPr>
            <w:tcW w:w="1350" w:type="dxa"/>
            <w:tcBorders>
              <w:top w:val="nil"/>
              <w:left w:val="nil"/>
              <w:bottom w:val="nil"/>
              <w:right w:val="single" w:sz="4" w:space="0" w:color="BF8F00"/>
            </w:tcBorders>
            <w:shd w:val="clear" w:color="auto" w:fill="auto"/>
            <w:noWrap/>
            <w:vAlign w:val="center"/>
            <w:hideMark/>
          </w:tcPr>
          <w:p w:rsidR="00406A77" w:rsidRPr="001848D9" w:rsidRDefault="00406A77" w:rsidP="00BF41DE">
            <w:pPr>
              <w:widowControl/>
              <w:spacing w:line="240" w:lineRule="exact"/>
              <w:ind w:firstLineChars="100" w:firstLine="180"/>
              <w:jc w:val="center"/>
              <w:rPr>
                <w:rFonts w:ascii="標楷體" w:hAnsi="標楷體" w:cs="新細明體"/>
                <w:b/>
                <w:kern w:val="0"/>
                <w:sz w:val="16"/>
                <w:szCs w:val="16"/>
              </w:rPr>
            </w:pPr>
            <w:r w:rsidRPr="001848D9">
              <w:rPr>
                <w:rFonts w:ascii="標楷體" w:hAnsi="標楷體" w:cs="新細明體" w:hint="eastAsia"/>
                <w:b/>
                <w:kern w:val="0"/>
                <w:sz w:val="16"/>
                <w:szCs w:val="16"/>
              </w:rPr>
              <w:t>加拿大</w:t>
            </w:r>
            <w:r w:rsidRPr="001848D9">
              <w:rPr>
                <w:rFonts w:ascii="標楷體" w:hAnsi="標楷體" w:cs="新細明體" w:hint="eastAsia"/>
                <w:b/>
                <w:kern w:val="0"/>
                <w:sz w:val="16"/>
                <w:szCs w:val="16"/>
                <w:vertAlign w:val="superscript"/>
              </w:rPr>
              <w:t>2</w:t>
            </w:r>
            <w:r w:rsidRPr="001848D9">
              <w:rPr>
                <w:rFonts w:ascii="標楷體" w:hAnsi="標楷體" w:cs="新細明體" w:hint="eastAsia"/>
                <w:b/>
                <w:kern w:val="0"/>
                <w:sz w:val="16"/>
                <w:szCs w:val="16"/>
              </w:rPr>
              <w:t xml:space="preserve"> Canada</w:t>
            </w:r>
          </w:p>
        </w:tc>
        <w:tc>
          <w:tcPr>
            <w:tcW w:w="1060"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9,249</w:t>
            </w:r>
          </w:p>
        </w:tc>
        <w:tc>
          <w:tcPr>
            <w:tcW w:w="992"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12,900</w:t>
            </w:r>
          </w:p>
        </w:tc>
        <w:tc>
          <w:tcPr>
            <w:tcW w:w="993"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x</w:t>
            </w:r>
            <w:r w:rsidR="0079236E" w:rsidRPr="007076C6">
              <w:rPr>
                <w:rFonts w:ascii="標楷體" w:hAnsi="標楷體" w:cs="新細明體" w:hint="eastAsia"/>
                <w:kern w:val="0"/>
                <w:sz w:val="16"/>
                <w:szCs w:val="16"/>
              </w:rPr>
              <w:t>（</w:t>
            </w:r>
            <w:r w:rsidRPr="007076C6">
              <w:rPr>
                <w:rFonts w:ascii="標楷體" w:hAnsi="標楷體" w:cs="新細明體" w:hint="eastAsia"/>
                <w:kern w:val="0"/>
                <w:sz w:val="16"/>
                <w:szCs w:val="16"/>
              </w:rPr>
              <w:t>1</w:t>
            </w:r>
            <w:r w:rsidR="0079236E" w:rsidRPr="007076C6">
              <w:rPr>
                <w:rFonts w:ascii="標楷體" w:hAnsi="標楷體" w:cs="新細明體" w:hint="eastAsia"/>
                <w:kern w:val="0"/>
                <w:sz w:val="16"/>
                <w:szCs w:val="16"/>
              </w:rPr>
              <w:t>）</w:t>
            </w:r>
          </w:p>
        </w:tc>
        <w:tc>
          <w:tcPr>
            <w:tcW w:w="1134"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12,900</w:t>
            </w:r>
          </w:p>
        </w:tc>
        <w:tc>
          <w:tcPr>
            <w:tcW w:w="1275"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p>
        </w:tc>
        <w:tc>
          <w:tcPr>
            <w:tcW w:w="993"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p>
        </w:tc>
        <w:tc>
          <w:tcPr>
            <w:tcW w:w="1134"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p>
        </w:tc>
        <w:tc>
          <w:tcPr>
            <w:tcW w:w="1559" w:type="dxa"/>
            <w:tcBorders>
              <w:top w:val="nil"/>
              <w:left w:val="nil"/>
              <w:bottom w:val="nil"/>
              <w:right w:val="nil"/>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p>
        </w:tc>
      </w:tr>
      <w:tr w:rsidR="00406A77" w:rsidRPr="007076C6" w:rsidTr="00BF41DE">
        <w:trPr>
          <w:trHeight w:val="318"/>
          <w:jc w:val="center"/>
        </w:trPr>
        <w:tc>
          <w:tcPr>
            <w:tcW w:w="1350" w:type="dxa"/>
            <w:tcBorders>
              <w:top w:val="nil"/>
              <w:left w:val="nil"/>
              <w:bottom w:val="nil"/>
              <w:right w:val="single" w:sz="4" w:space="0" w:color="BF8F00"/>
            </w:tcBorders>
            <w:shd w:val="clear" w:color="000000" w:fill="FEF6D6"/>
            <w:noWrap/>
            <w:vAlign w:val="center"/>
            <w:hideMark/>
          </w:tcPr>
          <w:p w:rsidR="00406A77" w:rsidRPr="001848D9" w:rsidRDefault="00406A77" w:rsidP="00BF41DE">
            <w:pPr>
              <w:widowControl/>
              <w:spacing w:line="240" w:lineRule="exact"/>
              <w:ind w:firstLineChars="100" w:firstLine="180"/>
              <w:jc w:val="center"/>
              <w:rPr>
                <w:rFonts w:ascii="標楷體" w:hAnsi="標楷體" w:cs="新細明體"/>
                <w:b/>
                <w:kern w:val="0"/>
                <w:sz w:val="16"/>
                <w:szCs w:val="16"/>
              </w:rPr>
            </w:pPr>
            <w:r w:rsidRPr="001848D9">
              <w:rPr>
                <w:rFonts w:ascii="標楷體" w:hAnsi="標楷體" w:cs="新細明體" w:hint="eastAsia"/>
                <w:b/>
                <w:kern w:val="0"/>
                <w:sz w:val="16"/>
                <w:szCs w:val="16"/>
              </w:rPr>
              <w:t>英國 United Kingdom</w:t>
            </w:r>
          </w:p>
        </w:tc>
        <w:tc>
          <w:tcPr>
            <w:tcW w:w="1060"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11,630</w:t>
            </w:r>
          </w:p>
        </w:tc>
        <w:tc>
          <w:tcPr>
            <w:tcW w:w="992"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10,569</w:t>
            </w:r>
          </w:p>
        </w:tc>
        <w:tc>
          <w:tcPr>
            <w:tcW w:w="993"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10,249</w:t>
            </w:r>
          </w:p>
        </w:tc>
        <w:tc>
          <w:tcPr>
            <w:tcW w:w="1134"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10,569</w:t>
            </w:r>
          </w:p>
        </w:tc>
        <w:tc>
          <w:tcPr>
            <w:tcW w:w="1275"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p>
        </w:tc>
        <w:tc>
          <w:tcPr>
            <w:tcW w:w="993"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26,320</w:t>
            </w:r>
          </w:p>
        </w:tc>
        <w:tc>
          <w:tcPr>
            <w:tcW w:w="1134"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8,421</w:t>
            </w:r>
          </w:p>
        </w:tc>
        <w:tc>
          <w:tcPr>
            <w:tcW w:w="1559" w:type="dxa"/>
            <w:tcBorders>
              <w:top w:val="nil"/>
              <w:left w:val="nil"/>
              <w:bottom w:val="nil"/>
              <w:right w:val="nil"/>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27,931</w:t>
            </w:r>
          </w:p>
        </w:tc>
      </w:tr>
      <w:tr w:rsidR="00406A77" w:rsidRPr="007076C6" w:rsidTr="00BF41DE">
        <w:trPr>
          <w:trHeight w:val="318"/>
          <w:jc w:val="center"/>
        </w:trPr>
        <w:tc>
          <w:tcPr>
            <w:tcW w:w="1350" w:type="dxa"/>
            <w:tcBorders>
              <w:top w:val="nil"/>
              <w:left w:val="nil"/>
              <w:bottom w:val="nil"/>
              <w:right w:val="single" w:sz="4" w:space="0" w:color="BF8F00"/>
            </w:tcBorders>
            <w:shd w:val="clear" w:color="auto" w:fill="auto"/>
            <w:noWrap/>
            <w:vAlign w:val="center"/>
            <w:hideMark/>
          </w:tcPr>
          <w:p w:rsidR="00406A77" w:rsidRPr="001848D9" w:rsidRDefault="00406A77" w:rsidP="00BF41DE">
            <w:pPr>
              <w:widowControl/>
              <w:spacing w:line="240" w:lineRule="exact"/>
              <w:ind w:firstLineChars="100" w:firstLine="180"/>
              <w:jc w:val="center"/>
              <w:rPr>
                <w:rFonts w:ascii="標楷體" w:hAnsi="標楷體" w:cs="新細明體"/>
                <w:b/>
                <w:kern w:val="0"/>
                <w:sz w:val="16"/>
                <w:szCs w:val="16"/>
              </w:rPr>
            </w:pPr>
            <w:r w:rsidRPr="001848D9">
              <w:rPr>
                <w:rFonts w:ascii="標楷體" w:hAnsi="標楷體" w:cs="新細明體" w:hint="eastAsia"/>
                <w:b/>
                <w:kern w:val="0"/>
                <w:sz w:val="16"/>
                <w:szCs w:val="16"/>
              </w:rPr>
              <w:t>法國 France</w:t>
            </w:r>
          </w:p>
        </w:tc>
        <w:tc>
          <w:tcPr>
            <w:tcW w:w="1060"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7,395</w:t>
            </w:r>
          </w:p>
        </w:tc>
        <w:tc>
          <w:tcPr>
            <w:tcW w:w="992"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11,747</w:t>
            </w:r>
          </w:p>
        </w:tc>
        <w:tc>
          <w:tcPr>
            <w:tcW w:w="993"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10,268</w:t>
            </w:r>
          </w:p>
        </w:tc>
        <w:tc>
          <w:tcPr>
            <w:tcW w:w="1134"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11,747</w:t>
            </w:r>
          </w:p>
        </w:tc>
        <w:tc>
          <w:tcPr>
            <w:tcW w:w="1275"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9,286</w:t>
            </w:r>
          </w:p>
        </w:tc>
        <w:tc>
          <w:tcPr>
            <w:tcW w:w="993"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16,145</w:t>
            </w:r>
          </w:p>
        </w:tc>
        <w:tc>
          <w:tcPr>
            <w:tcW w:w="1134"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14,093</w:t>
            </w:r>
          </w:p>
        </w:tc>
        <w:tc>
          <w:tcPr>
            <w:tcW w:w="1559" w:type="dxa"/>
            <w:tcBorders>
              <w:top w:val="nil"/>
              <w:left w:val="nil"/>
              <w:bottom w:val="nil"/>
              <w:right w:val="nil"/>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16,805</w:t>
            </w:r>
          </w:p>
        </w:tc>
      </w:tr>
      <w:tr w:rsidR="00406A77" w:rsidRPr="007076C6" w:rsidTr="00BF41DE">
        <w:trPr>
          <w:trHeight w:val="318"/>
          <w:jc w:val="center"/>
        </w:trPr>
        <w:tc>
          <w:tcPr>
            <w:tcW w:w="1350" w:type="dxa"/>
            <w:tcBorders>
              <w:top w:val="nil"/>
              <w:left w:val="nil"/>
              <w:bottom w:val="nil"/>
              <w:right w:val="single" w:sz="4" w:space="0" w:color="BF8F00"/>
            </w:tcBorders>
            <w:shd w:val="clear" w:color="000000" w:fill="FEF6D6"/>
            <w:noWrap/>
            <w:vAlign w:val="center"/>
            <w:hideMark/>
          </w:tcPr>
          <w:p w:rsidR="00406A77" w:rsidRPr="001848D9" w:rsidRDefault="00406A77" w:rsidP="00BF41DE">
            <w:pPr>
              <w:widowControl/>
              <w:spacing w:line="240" w:lineRule="exact"/>
              <w:ind w:firstLineChars="100" w:firstLine="180"/>
              <w:jc w:val="center"/>
              <w:rPr>
                <w:rFonts w:ascii="標楷體" w:hAnsi="標楷體" w:cs="新細明體"/>
                <w:b/>
                <w:kern w:val="0"/>
                <w:sz w:val="16"/>
                <w:szCs w:val="16"/>
              </w:rPr>
            </w:pPr>
            <w:r w:rsidRPr="001848D9">
              <w:rPr>
                <w:rFonts w:ascii="標楷體" w:hAnsi="標楷體" w:cs="新細明體" w:hint="eastAsia"/>
                <w:b/>
                <w:kern w:val="0"/>
                <w:sz w:val="16"/>
                <w:szCs w:val="16"/>
              </w:rPr>
              <w:t>德國 Germany</w:t>
            </w:r>
          </w:p>
        </w:tc>
        <w:tc>
          <w:tcPr>
            <w:tcW w:w="1060"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8,619</w:t>
            </w:r>
          </w:p>
        </w:tc>
        <w:tc>
          <w:tcPr>
            <w:tcW w:w="992"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11,791</w:t>
            </w:r>
          </w:p>
        </w:tc>
        <w:tc>
          <w:tcPr>
            <w:tcW w:w="993"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10,680</w:t>
            </w:r>
          </w:p>
        </w:tc>
        <w:tc>
          <w:tcPr>
            <w:tcW w:w="1134"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11,791</w:t>
            </w:r>
          </w:p>
        </w:tc>
        <w:tc>
          <w:tcPr>
            <w:tcW w:w="1275"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10,736</w:t>
            </w:r>
          </w:p>
        </w:tc>
        <w:tc>
          <w:tcPr>
            <w:tcW w:w="993"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17,036</w:t>
            </w:r>
          </w:p>
        </w:tc>
        <w:tc>
          <w:tcPr>
            <w:tcW w:w="1134"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10,149</w:t>
            </w:r>
          </w:p>
        </w:tc>
        <w:tc>
          <w:tcPr>
            <w:tcW w:w="1559" w:type="dxa"/>
            <w:tcBorders>
              <w:top w:val="nil"/>
              <w:left w:val="nil"/>
              <w:bottom w:val="nil"/>
              <w:right w:val="nil"/>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17,036</w:t>
            </w:r>
          </w:p>
        </w:tc>
      </w:tr>
      <w:tr w:rsidR="00406A77" w:rsidRPr="007076C6" w:rsidTr="00BF41DE">
        <w:trPr>
          <w:trHeight w:val="318"/>
          <w:jc w:val="center"/>
        </w:trPr>
        <w:tc>
          <w:tcPr>
            <w:tcW w:w="1350" w:type="dxa"/>
            <w:tcBorders>
              <w:top w:val="nil"/>
              <w:left w:val="nil"/>
              <w:bottom w:val="nil"/>
              <w:right w:val="single" w:sz="4" w:space="0" w:color="BF8F00"/>
            </w:tcBorders>
            <w:shd w:val="clear" w:color="auto" w:fill="auto"/>
            <w:noWrap/>
            <w:vAlign w:val="center"/>
            <w:hideMark/>
          </w:tcPr>
          <w:p w:rsidR="00406A77" w:rsidRPr="001848D9" w:rsidRDefault="00406A77" w:rsidP="00BF41DE">
            <w:pPr>
              <w:widowControl/>
              <w:spacing w:line="240" w:lineRule="exact"/>
              <w:ind w:firstLineChars="100" w:firstLine="180"/>
              <w:jc w:val="center"/>
              <w:rPr>
                <w:rFonts w:ascii="標楷體" w:hAnsi="標楷體" w:cs="新細明體"/>
                <w:b/>
                <w:kern w:val="0"/>
                <w:sz w:val="16"/>
                <w:szCs w:val="16"/>
              </w:rPr>
            </w:pPr>
            <w:r w:rsidRPr="001848D9">
              <w:rPr>
                <w:rFonts w:ascii="標楷體" w:hAnsi="標楷體" w:cs="新細明體" w:hint="eastAsia"/>
                <w:b/>
                <w:kern w:val="0"/>
                <w:sz w:val="16"/>
                <w:szCs w:val="16"/>
              </w:rPr>
              <w:t>義大利 Italy</w:t>
            </w:r>
          </w:p>
        </w:tc>
        <w:tc>
          <w:tcPr>
            <w:tcW w:w="1060"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8,426</w:t>
            </w:r>
          </w:p>
        </w:tc>
        <w:tc>
          <w:tcPr>
            <w:tcW w:w="992"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9,079</w:t>
            </w:r>
          </w:p>
        </w:tc>
        <w:tc>
          <w:tcPr>
            <w:tcW w:w="993"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9,258</w:t>
            </w:r>
          </w:p>
        </w:tc>
        <w:tc>
          <w:tcPr>
            <w:tcW w:w="1134"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9,079</w:t>
            </w:r>
          </w:p>
        </w:tc>
        <w:tc>
          <w:tcPr>
            <w:tcW w:w="1275"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p>
        </w:tc>
        <w:tc>
          <w:tcPr>
            <w:tcW w:w="993"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11,257</w:t>
            </w:r>
          </w:p>
        </w:tc>
        <w:tc>
          <w:tcPr>
            <w:tcW w:w="1134"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4,120</w:t>
            </w:r>
          </w:p>
        </w:tc>
        <w:tc>
          <w:tcPr>
            <w:tcW w:w="1559" w:type="dxa"/>
            <w:tcBorders>
              <w:top w:val="nil"/>
              <w:left w:val="nil"/>
              <w:bottom w:val="nil"/>
              <w:right w:val="nil"/>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11,285</w:t>
            </w:r>
          </w:p>
        </w:tc>
      </w:tr>
      <w:tr w:rsidR="00406A77" w:rsidRPr="007076C6" w:rsidTr="00BF41DE">
        <w:trPr>
          <w:trHeight w:val="318"/>
          <w:jc w:val="center"/>
        </w:trPr>
        <w:tc>
          <w:tcPr>
            <w:tcW w:w="1350" w:type="dxa"/>
            <w:tcBorders>
              <w:top w:val="nil"/>
              <w:left w:val="nil"/>
              <w:bottom w:val="nil"/>
              <w:right w:val="single" w:sz="4" w:space="0" w:color="BF8F00"/>
            </w:tcBorders>
            <w:shd w:val="clear" w:color="000000" w:fill="FEF6D6"/>
            <w:noWrap/>
            <w:vAlign w:val="center"/>
            <w:hideMark/>
          </w:tcPr>
          <w:p w:rsidR="00406A77" w:rsidRPr="001848D9" w:rsidRDefault="00406A77" w:rsidP="00BF41DE">
            <w:pPr>
              <w:widowControl/>
              <w:spacing w:line="240" w:lineRule="exact"/>
              <w:ind w:firstLineChars="100" w:firstLine="180"/>
              <w:jc w:val="center"/>
              <w:rPr>
                <w:rFonts w:ascii="標楷體" w:hAnsi="標楷體" w:cs="新細明體"/>
                <w:b/>
                <w:kern w:val="0"/>
                <w:sz w:val="16"/>
                <w:szCs w:val="16"/>
              </w:rPr>
            </w:pPr>
            <w:r w:rsidRPr="001848D9">
              <w:rPr>
                <w:rFonts w:ascii="標楷體" w:hAnsi="標楷體" w:cs="新細明體" w:hint="eastAsia"/>
                <w:b/>
                <w:kern w:val="0"/>
                <w:sz w:val="16"/>
                <w:szCs w:val="16"/>
              </w:rPr>
              <w:t>西班牙 Spain</w:t>
            </w:r>
          </w:p>
        </w:tc>
        <w:tc>
          <w:tcPr>
            <w:tcW w:w="1060"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7,320</w:t>
            </w:r>
          </w:p>
        </w:tc>
        <w:tc>
          <w:tcPr>
            <w:tcW w:w="992"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9,020</w:t>
            </w:r>
          </w:p>
        </w:tc>
        <w:tc>
          <w:tcPr>
            <w:tcW w:w="993"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8,765</w:t>
            </w:r>
          </w:p>
        </w:tc>
        <w:tc>
          <w:tcPr>
            <w:tcW w:w="1134"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9,020</w:t>
            </w:r>
          </w:p>
        </w:tc>
        <w:tc>
          <w:tcPr>
            <w:tcW w:w="1275"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x</w:t>
            </w:r>
            <w:r w:rsidR="0079236E" w:rsidRPr="007076C6">
              <w:rPr>
                <w:rFonts w:ascii="標楷體" w:hAnsi="標楷體" w:cs="新細明體" w:hint="eastAsia"/>
                <w:kern w:val="0"/>
                <w:sz w:val="16"/>
                <w:szCs w:val="16"/>
              </w:rPr>
              <w:t>（</w:t>
            </w:r>
            <w:r w:rsidRPr="007076C6">
              <w:rPr>
                <w:rFonts w:ascii="標楷體" w:hAnsi="標楷體" w:cs="新細明體" w:hint="eastAsia"/>
                <w:kern w:val="0"/>
                <w:sz w:val="16"/>
                <w:szCs w:val="16"/>
              </w:rPr>
              <w:t>4</w:t>
            </w:r>
            <w:r w:rsidR="0079236E" w:rsidRPr="007076C6">
              <w:rPr>
                <w:rFonts w:ascii="標楷體" w:hAnsi="標楷體" w:cs="新細明體" w:hint="eastAsia"/>
                <w:kern w:val="0"/>
                <w:sz w:val="16"/>
                <w:szCs w:val="16"/>
              </w:rPr>
              <w:t>）</w:t>
            </w:r>
          </w:p>
        </w:tc>
        <w:tc>
          <w:tcPr>
            <w:tcW w:w="993"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12,605</w:t>
            </w:r>
          </w:p>
        </w:tc>
        <w:tc>
          <w:tcPr>
            <w:tcW w:w="1134"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9,088</w:t>
            </w:r>
          </w:p>
        </w:tc>
        <w:tc>
          <w:tcPr>
            <w:tcW w:w="1559" w:type="dxa"/>
            <w:tcBorders>
              <w:top w:val="nil"/>
              <w:left w:val="nil"/>
              <w:bottom w:val="nil"/>
              <w:right w:val="nil"/>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13,487</w:t>
            </w:r>
          </w:p>
        </w:tc>
      </w:tr>
      <w:tr w:rsidR="00406A77" w:rsidRPr="007076C6" w:rsidTr="00BF41DE">
        <w:trPr>
          <w:trHeight w:val="318"/>
          <w:jc w:val="center"/>
        </w:trPr>
        <w:tc>
          <w:tcPr>
            <w:tcW w:w="1350" w:type="dxa"/>
            <w:tcBorders>
              <w:top w:val="nil"/>
              <w:left w:val="nil"/>
              <w:bottom w:val="nil"/>
              <w:right w:val="single" w:sz="4" w:space="0" w:color="BF8F00"/>
            </w:tcBorders>
            <w:shd w:val="clear" w:color="auto" w:fill="auto"/>
            <w:noWrap/>
            <w:vAlign w:val="center"/>
            <w:hideMark/>
          </w:tcPr>
          <w:p w:rsidR="00406A77" w:rsidRPr="001848D9" w:rsidRDefault="00406A77" w:rsidP="00BF41DE">
            <w:pPr>
              <w:widowControl/>
              <w:spacing w:line="240" w:lineRule="exact"/>
              <w:ind w:firstLineChars="100" w:firstLine="180"/>
              <w:jc w:val="center"/>
              <w:rPr>
                <w:rFonts w:ascii="標楷體" w:hAnsi="標楷體" w:cs="新細明體"/>
                <w:b/>
                <w:kern w:val="0"/>
                <w:sz w:val="16"/>
                <w:szCs w:val="16"/>
              </w:rPr>
            </w:pPr>
            <w:r w:rsidRPr="001848D9">
              <w:rPr>
                <w:rFonts w:ascii="標楷體" w:hAnsi="標楷體" w:cs="新細明體" w:hint="eastAsia"/>
                <w:b/>
                <w:kern w:val="0"/>
                <w:sz w:val="16"/>
                <w:szCs w:val="16"/>
              </w:rPr>
              <w:t>比利時 Belgium</w:t>
            </w:r>
          </w:p>
        </w:tc>
        <w:tc>
          <w:tcPr>
            <w:tcW w:w="1060"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10,211</w:t>
            </w:r>
          </w:p>
        </w:tc>
        <w:tc>
          <w:tcPr>
            <w:tcW w:w="992"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13,070</w:t>
            </w:r>
          </w:p>
        </w:tc>
        <w:tc>
          <w:tcPr>
            <w:tcW w:w="993"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12,538</w:t>
            </w:r>
          </w:p>
        </w:tc>
        <w:tc>
          <w:tcPr>
            <w:tcW w:w="1134"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13,070</w:t>
            </w:r>
          </w:p>
        </w:tc>
        <w:tc>
          <w:tcPr>
            <w:tcW w:w="1275"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x</w:t>
            </w:r>
            <w:r w:rsidR="0079236E" w:rsidRPr="007076C6">
              <w:rPr>
                <w:rFonts w:ascii="標楷體" w:hAnsi="標楷體" w:cs="新細明體" w:hint="eastAsia"/>
                <w:kern w:val="0"/>
                <w:sz w:val="16"/>
                <w:szCs w:val="16"/>
              </w:rPr>
              <w:t>（</w:t>
            </w:r>
            <w:r w:rsidRPr="007076C6">
              <w:rPr>
                <w:rFonts w:ascii="標楷體" w:hAnsi="標楷體" w:cs="新細明體" w:hint="eastAsia"/>
                <w:kern w:val="0"/>
                <w:sz w:val="16"/>
                <w:szCs w:val="16"/>
              </w:rPr>
              <w:t>4</w:t>
            </w:r>
            <w:r w:rsidR="0079236E" w:rsidRPr="007076C6">
              <w:rPr>
                <w:rFonts w:ascii="標楷體" w:hAnsi="標楷體" w:cs="新細明體" w:hint="eastAsia"/>
                <w:kern w:val="0"/>
                <w:sz w:val="16"/>
                <w:szCs w:val="16"/>
              </w:rPr>
              <w:t>）</w:t>
            </w:r>
          </w:p>
        </w:tc>
        <w:tc>
          <w:tcPr>
            <w:tcW w:w="993"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17,320</w:t>
            </w:r>
          </w:p>
        </w:tc>
        <w:tc>
          <w:tcPr>
            <w:tcW w:w="1134"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11,577</w:t>
            </w:r>
          </w:p>
        </w:tc>
        <w:tc>
          <w:tcPr>
            <w:tcW w:w="1559" w:type="dxa"/>
            <w:tcBorders>
              <w:top w:val="nil"/>
              <w:left w:val="nil"/>
              <w:bottom w:val="nil"/>
              <w:right w:val="nil"/>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17,538</w:t>
            </w:r>
          </w:p>
        </w:tc>
      </w:tr>
      <w:tr w:rsidR="00406A77" w:rsidRPr="007076C6" w:rsidTr="00BF41DE">
        <w:trPr>
          <w:trHeight w:val="318"/>
          <w:jc w:val="center"/>
        </w:trPr>
        <w:tc>
          <w:tcPr>
            <w:tcW w:w="1350" w:type="dxa"/>
            <w:tcBorders>
              <w:top w:val="nil"/>
              <w:left w:val="nil"/>
              <w:bottom w:val="nil"/>
              <w:right w:val="single" w:sz="4" w:space="0" w:color="BF8F00"/>
            </w:tcBorders>
            <w:shd w:val="clear" w:color="000000" w:fill="FEF6D6"/>
            <w:noWrap/>
            <w:vAlign w:val="center"/>
            <w:hideMark/>
          </w:tcPr>
          <w:p w:rsidR="00406A77" w:rsidRPr="001848D9" w:rsidRDefault="00406A77" w:rsidP="00BF41DE">
            <w:pPr>
              <w:widowControl/>
              <w:spacing w:line="240" w:lineRule="exact"/>
              <w:ind w:firstLineChars="100" w:firstLine="180"/>
              <w:jc w:val="center"/>
              <w:rPr>
                <w:rFonts w:ascii="標楷體" w:hAnsi="標楷體" w:cs="新細明體"/>
                <w:b/>
                <w:kern w:val="0"/>
                <w:sz w:val="16"/>
                <w:szCs w:val="16"/>
              </w:rPr>
            </w:pPr>
            <w:r w:rsidRPr="001848D9">
              <w:rPr>
                <w:rFonts w:ascii="標楷體" w:hAnsi="標楷體" w:cs="新細明體" w:hint="eastAsia"/>
                <w:b/>
                <w:kern w:val="0"/>
                <w:sz w:val="16"/>
                <w:szCs w:val="16"/>
              </w:rPr>
              <w:t>荷蘭 Netherlands</w:t>
            </w:r>
          </w:p>
        </w:tc>
        <w:tc>
          <w:tcPr>
            <w:tcW w:w="1060"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8,478</w:t>
            </w:r>
          </w:p>
        </w:tc>
        <w:tc>
          <w:tcPr>
            <w:tcW w:w="992"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12,850</w:t>
            </w:r>
          </w:p>
        </w:tc>
        <w:tc>
          <w:tcPr>
            <w:tcW w:w="993"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12,491</w:t>
            </w:r>
          </w:p>
        </w:tc>
        <w:tc>
          <w:tcPr>
            <w:tcW w:w="1134"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12,850</w:t>
            </w:r>
          </w:p>
        </w:tc>
        <w:tc>
          <w:tcPr>
            <w:tcW w:w="1275"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12,655</w:t>
            </w:r>
          </w:p>
        </w:tc>
        <w:tc>
          <w:tcPr>
            <w:tcW w:w="993"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19,286</w:t>
            </w:r>
          </w:p>
        </w:tc>
        <w:tc>
          <w:tcPr>
            <w:tcW w:w="1134"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10,543</w:t>
            </w:r>
          </w:p>
        </w:tc>
        <w:tc>
          <w:tcPr>
            <w:tcW w:w="1559" w:type="dxa"/>
            <w:tcBorders>
              <w:top w:val="nil"/>
              <w:left w:val="nil"/>
              <w:bottom w:val="nil"/>
              <w:right w:val="nil"/>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19,323</w:t>
            </w:r>
          </w:p>
        </w:tc>
      </w:tr>
      <w:tr w:rsidR="00406A77" w:rsidRPr="007076C6" w:rsidTr="00BF41DE">
        <w:trPr>
          <w:trHeight w:val="318"/>
          <w:jc w:val="center"/>
        </w:trPr>
        <w:tc>
          <w:tcPr>
            <w:tcW w:w="1350" w:type="dxa"/>
            <w:tcBorders>
              <w:top w:val="nil"/>
              <w:left w:val="nil"/>
              <w:bottom w:val="nil"/>
              <w:right w:val="single" w:sz="4" w:space="0" w:color="BF8F00"/>
            </w:tcBorders>
            <w:shd w:val="clear" w:color="auto" w:fill="auto"/>
            <w:noWrap/>
            <w:vAlign w:val="center"/>
            <w:hideMark/>
          </w:tcPr>
          <w:p w:rsidR="00406A77" w:rsidRPr="001848D9" w:rsidRDefault="00406A77" w:rsidP="00BF41DE">
            <w:pPr>
              <w:widowControl/>
              <w:spacing w:line="240" w:lineRule="exact"/>
              <w:ind w:firstLineChars="100" w:firstLine="180"/>
              <w:jc w:val="center"/>
              <w:rPr>
                <w:rFonts w:ascii="標楷體" w:hAnsi="標楷體" w:cs="新細明體"/>
                <w:b/>
                <w:kern w:val="0"/>
                <w:sz w:val="16"/>
                <w:szCs w:val="16"/>
              </w:rPr>
            </w:pPr>
            <w:r w:rsidRPr="001848D9">
              <w:rPr>
                <w:rFonts w:ascii="標楷體" w:hAnsi="標楷體" w:cs="新細明體" w:hint="eastAsia"/>
                <w:b/>
                <w:kern w:val="0"/>
                <w:sz w:val="16"/>
                <w:szCs w:val="16"/>
              </w:rPr>
              <w:t>芬蘭 Finland</w:t>
            </w:r>
          </w:p>
        </w:tc>
        <w:tc>
          <w:tcPr>
            <w:tcW w:w="1060"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9,305</w:t>
            </w:r>
          </w:p>
        </w:tc>
        <w:tc>
          <w:tcPr>
            <w:tcW w:w="992"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10,482</w:t>
            </w:r>
          </w:p>
        </w:tc>
        <w:tc>
          <w:tcPr>
            <w:tcW w:w="993"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14,682</w:t>
            </w:r>
          </w:p>
        </w:tc>
        <w:tc>
          <w:tcPr>
            <w:tcW w:w="1134"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10,482</w:t>
            </w:r>
          </w:p>
        </w:tc>
        <w:tc>
          <w:tcPr>
            <w:tcW w:w="1275"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x</w:t>
            </w:r>
            <w:r w:rsidR="0079236E" w:rsidRPr="007076C6">
              <w:rPr>
                <w:rFonts w:ascii="標楷體" w:hAnsi="標楷體" w:cs="新細明體" w:hint="eastAsia"/>
                <w:kern w:val="0"/>
                <w:sz w:val="16"/>
                <w:szCs w:val="16"/>
              </w:rPr>
              <w:t>（</w:t>
            </w:r>
            <w:r w:rsidRPr="007076C6">
              <w:rPr>
                <w:rFonts w:ascii="標楷體" w:hAnsi="標楷體" w:cs="新細明體" w:hint="eastAsia"/>
                <w:kern w:val="0"/>
                <w:sz w:val="16"/>
                <w:szCs w:val="16"/>
              </w:rPr>
              <w:t>4</w:t>
            </w:r>
            <w:r w:rsidR="0079236E" w:rsidRPr="007076C6">
              <w:rPr>
                <w:rFonts w:ascii="標楷體" w:hAnsi="標楷體" w:cs="新細明體" w:hint="eastAsia"/>
                <w:kern w:val="0"/>
                <w:sz w:val="16"/>
                <w:szCs w:val="16"/>
              </w:rPr>
              <w:t>）</w:t>
            </w:r>
          </w:p>
        </w:tc>
        <w:tc>
          <w:tcPr>
            <w:tcW w:w="993"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17,591</w:t>
            </w:r>
          </w:p>
        </w:tc>
        <w:tc>
          <w:tcPr>
            <w:tcW w:w="1134"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p>
        </w:tc>
        <w:tc>
          <w:tcPr>
            <w:tcW w:w="1559" w:type="dxa"/>
            <w:tcBorders>
              <w:top w:val="nil"/>
              <w:left w:val="nil"/>
              <w:bottom w:val="nil"/>
              <w:right w:val="nil"/>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17,591</w:t>
            </w:r>
          </w:p>
        </w:tc>
      </w:tr>
      <w:tr w:rsidR="00406A77" w:rsidRPr="007076C6" w:rsidTr="00BF41DE">
        <w:trPr>
          <w:trHeight w:val="318"/>
          <w:jc w:val="center"/>
        </w:trPr>
        <w:tc>
          <w:tcPr>
            <w:tcW w:w="1350" w:type="dxa"/>
            <w:tcBorders>
              <w:top w:val="nil"/>
              <w:left w:val="nil"/>
              <w:bottom w:val="nil"/>
              <w:right w:val="single" w:sz="4" w:space="0" w:color="BF8F00"/>
            </w:tcBorders>
            <w:shd w:val="clear" w:color="000000" w:fill="FEF6D6"/>
            <w:noWrap/>
            <w:vAlign w:val="center"/>
            <w:hideMark/>
          </w:tcPr>
          <w:p w:rsidR="00406A77" w:rsidRPr="001848D9" w:rsidRDefault="00406A77" w:rsidP="00BF41DE">
            <w:pPr>
              <w:widowControl/>
              <w:spacing w:line="240" w:lineRule="exact"/>
              <w:ind w:firstLineChars="100" w:firstLine="180"/>
              <w:jc w:val="center"/>
              <w:rPr>
                <w:rFonts w:ascii="標楷體" w:hAnsi="標楷體" w:cs="新細明體"/>
                <w:b/>
                <w:kern w:val="0"/>
                <w:sz w:val="16"/>
                <w:szCs w:val="16"/>
              </w:rPr>
            </w:pPr>
            <w:r w:rsidRPr="001848D9">
              <w:rPr>
                <w:rFonts w:ascii="標楷體" w:hAnsi="標楷體" w:cs="新細明體" w:hint="eastAsia"/>
                <w:b/>
                <w:kern w:val="0"/>
                <w:sz w:val="16"/>
                <w:szCs w:val="16"/>
              </w:rPr>
              <w:t>澳大利亞 Australia</w:t>
            </w:r>
          </w:p>
        </w:tc>
        <w:tc>
          <w:tcPr>
            <w:tcW w:w="1060"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9,546</w:t>
            </w:r>
          </w:p>
        </w:tc>
        <w:tc>
          <w:tcPr>
            <w:tcW w:w="992"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12,303</w:t>
            </w:r>
          </w:p>
        </w:tc>
        <w:tc>
          <w:tcPr>
            <w:tcW w:w="993"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12,466</w:t>
            </w:r>
          </w:p>
        </w:tc>
        <w:tc>
          <w:tcPr>
            <w:tcW w:w="1134"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12,303</w:t>
            </w:r>
          </w:p>
        </w:tc>
        <w:tc>
          <w:tcPr>
            <w:tcW w:w="1275"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9,343</w:t>
            </w:r>
          </w:p>
        </w:tc>
        <w:tc>
          <w:tcPr>
            <w:tcW w:w="993"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20,344</w:t>
            </w:r>
          </w:p>
        </w:tc>
        <w:tc>
          <w:tcPr>
            <w:tcW w:w="1134"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21,290</w:t>
            </w:r>
          </w:p>
        </w:tc>
        <w:tc>
          <w:tcPr>
            <w:tcW w:w="1559" w:type="dxa"/>
            <w:tcBorders>
              <w:top w:val="nil"/>
              <w:left w:val="nil"/>
              <w:bottom w:val="nil"/>
              <w:right w:val="nil"/>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20,122</w:t>
            </w:r>
          </w:p>
        </w:tc>
      </w:tr>
      <w:tr w:rsidR="00406A77" w:rsidRPr="007076C6" w:rsidTr="00BF41DE">
        <w:trPr>
          <w:trHeight w:val="318"/>
          <w:jc w:val="center"/>
        </w:trPr>
        <w:tc>
          <w:tcPr>
            <w:tcW w:w="1350" w:type="dxa"/>
            <w:tcBorders>
              <w:top w:val="nil"/>
              <w:left w:val="nil"/>
              <w:bottom w:val="nil"/>
              <w:right w:val="single" w:sz="4" w:space="0" w:color="BF8F00"/>
            </w:tcBorders>
            <w:shd w:val="clear" w:color="auto" w:fill="auto"/>
            <w:noWrap/>
            <w:vAlign w:val="center"/>
            <w:hideMark/>
          </w:tcPr>
          <w:p w:rsidR="00406A77" w:rsidRPr="001848D9" w:rsidRDefault="00406A77" w:rsidP="00BF41DE">
            <w:pPr>
              <w:widowControl/>
              <w:spacing w:line="240" w:lineRule="exact"/>
              <w:ind w:firstLineChars="100" w:firstLine="180"/>
              <w:jc w:val="center"/>
              <w:rPr>
                <w:rFonts w:ascii="標楷體" w:hAnsi="標楷體" w:cs="新細明體"/>
                <w:b/>
                <w:kern w:val="0"/>
                <w:sz w:val="16"/>
                <w:szCs w:val="16"/>
              </w:rPr>
            </w:pPr>
            <w:r w:rsidRPr="001848D9">
              <w:rPr>
                <w:rFonts w:ascii="標楷體" w:hAnsi="標楷體" w:cs="新細明體" w:hint="eastAsia"/>
                <w:b/>
                <w:kern w:val="0"/>
                <w:sz w:val="16"/>
                <w:szCs w:val="16"/>
              </w:rPr>
              <w:t>紐西蘭 New Zealand</w:t>
            </w:r>
          </w:p>
        </w:tc>
        <w:tc>
          <w:tcPr>
            <w:tcW w:w="1060"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7,849</w:t>
            </w:r>
          </w:p>
        </w:tc>
        <w:tc>
          <w:tcPr>
            <w:tcW w:w="992"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10,383</w:t>
            </w:r>
          </w:p>
        </w:tc>
        <w:tc>
          <w:tcPr>
            <w:tcW w:w="993"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9,409</w:t>
            </w:r>
          </w:p>
        </w:tc>
        <w:tc>
          <w:tcPr>
            <w:tcW w:w="1134"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10,383</w:t>
            </w:r>
          </w:p>
        </w:tc>
        <w:tc>
          <w:tcPr>
            <w:tcW w:w="1275"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9,990</w:t>
            </w:r>
          </w:p>
        </w:tc>
        <w:tc>
          <w:tcPr>
            <w:tcW w:w="993"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15,166</w:t>
            </w:r>
          </w:p>
        </w:tc>
        <w:tc>
          <w:tcPr>
            <w:tcW w:w="1134"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11,494</w:t>
            </w:r>
          </w:p>
        </w:tc>
        <w:tc>
          <w:tcPr>
            <w:tcW w:w="1559" w:type="dxa"/>
            <w:tcBorders>
              <w:top w:val="nil"/>
              <w:left w:val="nil"/>
              <w:bottom w:val="nil"/>
              <w:right w:val="nil"/>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16,015</w:t>
            </w:r>
          </w:p>
        </w:tc>
      </w:tr>
      <w:tr w:rsidR="00406A77" w:rsidRPr="007076C6" w:rsidTr="00BF41DE">
        <w:trPr>
          <w:trHeight w:val="318"/>
          <w:jc w:val="center"/>
        </w:trPr>
        <w:tc>
          <w:tcPr>
            <w:tcW w:w="1350" w:type="dxa"/>
            <w:tcBorders>
              <w:top w:val="nil"/>
              <w:left w:val="nil"/>
              <w:bottom w:val="nil"/>
              <w:right w:val="single" w:sz="4" w:space="0" w:color="BF8F00"/>
            </w:tcBorders>
            <w:shd w:val="clear" w:color="000000" w:fill="FEF6D6"/>
            <w:noWrap/>
            <w:vAlign w:val="center"/>
            <w:hideMark/>
          </w:tcPr>
          <w:p w:rsidR="00406A77" w:rsidRPr="001848D9" w:rsidRDefault="00406A77" w:rsidP="00BF41DE">
            <w:pPr>
              <w:widowControl/>
              <w:spacing w:line="240" w:lineRule="exact"/>
              <w:ind w:firstLineChars="100" w:firstLine="180"/>
              <w:jc w:val="center"/>
              <w:rPr>
                <w:rFonts w:ascii="標楷體" w:hAnsi="標楷體" w:cs="新細明體"/>
                <w:b/>
                <w:kern w:val="0"/>
                <w:sz w:val="16"/>
                <w:szCs w:val="16"/>
              </w:rPr>
            </w:pPr>
            <w:r w:rsidRPr="001848D9">
              <w:rPr>
                <w:rFonts w:ascii="標楷體" w:hAnsi="標楷體" w:cs="新細明體" w:hint="eastAsia"/>
                <w:b/>
                <w:kern w:val="0"/>
                <w:sz w:val="16"/>
                <w:szCs w:val="16"/>
              </w:rPr>
              <w:t xml:space="preserve">OECD國家平均 </w:t>
            </w:r>
            <w:r w:rsidR="0079236E" w:rsidRPr="001848D9">
              <w:rPr>
                <w:rFonts w:ascii="標楷體" w:hAnsi="標楷體" w:cs="新細明體" w:hint="eastAsia"/>
                <w:b/>
                <w:kern w:val="0"/>
                <w:sz w:val="16"/>
                <w:szCs w:val="16"/>
              </w:rPr>
              <w:t>（</w:t>
            </w:r>
            <w:r w:rsidRPr="001848D9">
              <w:rPr>
                <w:rFonts w:ascii="標楷體" w:hAnsi="標楷體" w:cs="新細明體" w:hint="eastAsia"/>
                <w:b/>
                <w:kern w:val="0"/>
                <w:sz w:val="16"/>
                <w:szCs w:val="16"/>
              </w:rPr>
              <w:t>Ave.</w:t>
            </w:r>
            <w:r w:rsidR="0079236E" w:rsidRPr="001848D9">
              <w:rPr>
                <w:rFonts w:ascii="標楷體" w:hAnsi="標楷體" w:cs="新細明體" w:hint="eastAsia"/>
                <w:b/>
                <w:kern w:val="0"/>
                <w:sz w:val="16"/>
                <w:szCs w:val="16"/>
              </w:rPr>
              <w:t>）</w:t>
            </w:r>
          </w:p>
        </w:tc>
        <w:tc>
          <w:tcPr>
            <w:tcW w:w="1060"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8,631</w:t>
            </w:r>
          </w:p>
        </w:tc>
        <w:tc>
          <w:tcPr>
            <w:tcW w:w="992"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10,010</w:t>
            </w:r>
          </w:p>
        </w:tc>
        <w:tc>
          <w:tcPr>
            <w:tcW w:w="993"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9,941</w:t>
            </w:r>
          </w:p>
        </w:tc>
        <w:tc>
          <w:tcPr>
            <w:tcW w:w="1134"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10,010</w:t>
            </w:r>
          </w:p>
        </w:tc>
        <w:tc>
          <w:tcPr>
            <w:tcW w:w="1275"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8,927</w:t>
            </w:r>
          </w:p>
        </w:tc>
        <w:tc>
          <w:tcPr>
            <w:tcW w:w="993"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15,656</w:t>
            </w:r>
          </w:p>
        </w:tc>
        <w:tc>
          <w:tcPr>
            <w:tcW w:w="1134"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11,022</w:t>
            </w:r>
          </w:p>
        </w:tc>
        <w:tc>
          <w:tcPr>
            <w:tcW w:w="1559" w:type="dxa"/>
            <w:tcBorders>
              <w:top w:val="nil"/>
              <w:left w:val="nil"/>
              <w:bottom w:val="nil"/>
              <w:right w:val="nil"/>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16,518</w:t>
            </w:r>
          </w:p>
        </w:tc>
      </w:tr>
      <w:tr w:rsidR="00406A77" w:rsidRPr="007076C6" w:rsidTr="00BF41DE">
        <w:trPr>
          <w:trHeight w:val="318"/>
          <w:jc w:val="center"/>
        </w:trPr>
        <w:tc>
          <w:tcPr>
            <w:tcW w:w="1350" w:type="dxa"/>
            <w:tcBorders>
              <w:top w:val="nil"/>
              <w:left w:val="nil"/>
              <w:bottom w:val="nil"/>
              <w:right w:val="single" w:sz="4" w:space="0" w:color="BF8F00"/>
            </w:tcBorders>
            <w:shd w:val="clear" w:color="auto" w:fill="auto"/>
            <w:vAlign w:val="center"/>
            <w:hideMark/>
          </w:tcPr>
          <w:p w:rsidR="00406A77" w:rsidRPr="001848D9" w:rsidRDefault="00406A77" w:rsidP="00BF41DE">
            <w:pPr>
              <w:widowControl/>
              <w:spacing w:line="240" w:lineRule="exact"/>
              <w:jc w:val="center"/>
              <w:rPr>
                <w:rFonts w:ascii="標楷體" w:hAnsi="標楷體" w:cs="新細明體"/>
                <w:b/>
                <w:kern w:val="0"/>
                <w:sz w:val="16"/>
                <w:szCs w:val="16"/>
              </w:rPr>
            </w:pPr>
            <w:r w:rsidRPr="001848D9">
              <w:rPr>
                <w:rFonts w:ascii="標楷體" w:hAnsi="標楷體" w:cs="新細明體" w:hint="eastAsia"/>
                <w:b/>
                <w:kern w:val="0"/>
                <w:sz w:val="16"/>
                <w:szCs w:val="16"/>
              </w:rPr>
              <w:t>其他G20國家 Other G20</w:t>
            </w:r>
          </w:p>
        </w:tc>
        <w:tc>
          <w:tcPr>
            <w:tcW w:w="1060"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p>
        </w:tc>
        <w:tc>
          <w:tcPr>
            <w:tcW w:w="992"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p>
        </w:tc>
        <w:tc>
          <w:tcPr>
            <w:tcW w:w="993"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p>
        </w:tc>
        <w:tc>
          <w:tcPr>
            <w:tcW w:w="1134"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p>
        </w:tc>
        <w:tc>
          <w:tcPr>
            <w:tcW w:w="1275"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p>
        </w:tc>
        <w:tc>
          <w:tcPr>
            <w:tcW w:w="993"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p>
        </w:tc>
        <w:tc>
          <w:tcPr>
            <w:tcW w:w="1134"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p>
        </w:tc>
        <w:tc>
          <w:tcPr>
            <w:tcW w:w="1559" w:type="dxa"/>
            <w:tcBorders>
              <w:top w:val="nil"/>
              <w:left w:val="nil"/>
              <w:bottom w:val="nil"/>
              <w:right w:val="nil"/>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p>
        </w:tc>
      </w:tr>
      <w:tr w:rsidR="00406A77" w:rsidRPr="007076C6" w:rsidTr="00BF41DE">
        <w:trPr>
          <w:trHeight w:val="318"/>
          <w:jc w:val="center"/>
        </w:trPr>
        <w:tc>
          <w:tcPr>
            <w:tcW w:w="1350" w:type="dxa"/>
            <w:tcBorders>
              <w:top w:val="nil"/>
              <w:left w:val="nil"/>
              <w:bottom w:val="nil"/>
              <w:right w:val="single" w:sz="4" w:space="0" w:color="BF8F00"/>
            </w:tcBorders>
            <w:shd w:val="clear" w:color="000000" w:fill="FEF6D6"/>
            <w:noWrap/>
            <w:vAlign w:val="center"/>
            <w:hideMark/>
          </w:tcPr>
          <w:p w:rsidR="00406A77" w:rsidRPr="001848D9" w:rsidRDefault="00406A77" w:rsidP="00BF41DE">
            <w:pPr>
              <w:widowControl/>
              <w:spacing w:line="240" w:lineRule="exact"/>
              <w:ind w:firstLineChars="100" w:firstLine="180"/>
              <w:jc w:val="center"/>
              <w:rPr>
                <w:rFonts w:ascii="標楷體" w:hAnsi="標楷體" w:cs="新細明體"/>
                <w:b/>
                <w:kern w:val="0"/>
                <w:sz w:val="16"/>
                <w:szCs w:val="16"/>
              </w:rPr>
            </w:pPr>
            <w:r w:rsidRPr="001848D9">
              <w:rPr>
                <w:rFonts w:ascii="標楷體" w:hAnsi="標楷體" w:cs="新細明體" w:hint="eastAsia"/>
                <w:b/>
                <w:kern w:val="0"/>
                <w:sz w:val="16"/>
                <w:szCs w:val="16"/>
              </w:rPr>
              <w:t>大陸地區 Mainland China</w:t>
            </w:r>
          </w:p>
        </w:tc>
        <w:tc>
          <w:tcPr>
            <w:tcW w:w="1060"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p>
        </w:tc>
        <w:tc>
          <w:tcPr>
            <w:tcW w:w="992"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p>
        </w:tc>
        <w:tc>
          <w:tcPr>
            <w:tcW w:w="993"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p>
        </w:tc>
        <w:tc>
          <w:tcPr>
            <w:tcW w:w="1134"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p>
        </w:tc>
        <w:tc>
          <w:tcPr>
            <w:tcW w:w="1275"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p>
        </w:tc>
        <w:tc>
          <w:tcPr>
            <w:tcW w:w="993"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p>
        </w:tc>
        <w:tc>
          <w:tcPr>
            <w:tcW w:w="1134"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p>
        </w:tc>
        <w:tc>
          <w:tcPr>
            <w:tcW w:w="1559" w:type="dxa"/>
            <w:tcBorders>
              <w:top w:val="nil"/>
              <w:left w:val="nil"/>
              <w:bottom w:val="nil"/>
              <w:right w:val="nil"/>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p>
        </w:tc>
      </w:tr>
      <w:tr w:rsidR="00406A77" w:rsidRPr="007076C6" w:rsidTr="00BF41DE">
        <w:trPr>
          <w:trHeight w:val="318"/>
          <w:jc w:val="center"/>
        </w:trPr>
        <w:tc>
          <w:tcPr>
            <w:tcW w:w="1350" w:type="dxa"/>
            <w:tcBorders>
              <w:top w:val="nil"/>
              <w:left w:val="nil"/>
              <w:bottom w:val="nil"/>
              <w:right w:val="single" w:sz="4" w:space="0" w:color="BF8F00"/>
            </w:tcBorders>
            <w:shd w:val="clear" w:color="auto" w:fill="auto"/>
            <w:noWrap/>
            <w:vAlign w:val="center"/>
            <w:hideMark/>
          </w:tcPr>
          <w:p w:rsidR="00406A77" w:rsidRPr="001848D9" w:rsidRDefault="00406A77" w:rsidP="00BF41DE">
            <w:pPr>
              <w:widowControl/>
              <w:spacing w:line="240" w:lineRule="exact"/>
              <w:ind w:firstLineChars="100" w:firstLine="180"/>
              <w:jc w:val="center"/>
              <w:rPr>
                <w:rFonts w:ascii="標楷體" w:hAnsi="標楷體" w:cs="新細明體"/>
                <w:b/>
                <w:kern w:val="0"/>
                <w:sz w:val="16"/>
                <w:szCs w:val="16"/>
              </w:rPr>
            </w:pPr>
            <w:r w:rsidRPr="001848D9">
              <w:rPr>
                <w:rFonts w:ascii="標楷體" w:hAnsi="標楷體" w:cs="新細明體" w:hint="eastAsia"/>
                <w:b/>
                <w:kern w:val="0"/>
                <w:sz w:val="16"/>
                <w:szCs w:val="16"/>
              </w:rPr>
              <w:t>印尼 Indonesia</w:t>
            </w:r>
          </w:p>
        </w:tc>
        <w:tc>
          <w:tcPr>
            <w:tcW w:w="1060"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1,476</w:t>
            </w:r>
          </w:p>
        </w:tc>
        <w:tc>
          <w:tcPr>
            <w:tcW w:w="992"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1,175</w:t>
            </w:r>
          </w:p>
        </w:tc>
        <w:tc>
          <w:tcPr>
            <w:tcW w:w="993"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1,200</w:t>
            </w:r>
          </w:p>
        </w:tc>
        <w:tc>
          <w:tcPr>
            <w:tcW w:w="1134"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1,143</w:t>
            </w:r>
          </w:p>
        </w:tc>
        <w:tc>
          <w:tcPr>
            <w:tcW w:w="1275"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x</w:t>
            </w:r>
            <w:r w:rsidR="0079236E" w:rsidRPr="007076C6">
              <w:rPr>
                <w:rFonts w:ascii="標楷體" w:hAnsi="標楷體" w:cs="新細明體" w:hint="eastAsia"/>
                <w:kern w:val="0"/>
                <w:sz w:val="16"/>
                <w:szCs w:val="16"/>
              </w:rPr>
              <w:t>（</w:t>
            </w:r>
            <w:r w:rsidRPr="007076C6">
              <w:rPr>
                <w:rFonts w:ascii="標楷體" w:hAnsi="標楷體" w:cs="新細明體" w:hint="eastAsia"/>
                <w:kern w:val="0"/>
                <w:sz w:val="16"/>
                <w:szCs w:val="16"/>
              </w:rPr>
              <w:t>6</w:t>
            </w:r>
            <w:r w:rsidR="0079236E" w:rsidRPr="007076C6">
              <w:rPr>
                <w:rFonts w:ascii="標楷體" w:hAnsi="標楷體" w:cs="新細明體" w:hint="eastAsia"/>
                <w:kern w:val="0"/>
                <w:sz w:val="16"/>
                <w:szCs w:val="16"/>
              </w:rPr>
              <w:t>）</w:t>
            </w:r>
          </w:p>
        </w:tc>
        <w:tc>
          <w:tcPr>
            <w:tcW w:w="993"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2,962</w:t>
            </w:r>
          </w:p>
        </w:tc>
        <w:tc>
          <w:tcPr>
            <w:tcW w:w="1134"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x</w:t>
            </w:r>
            <w:r w:rsidR="0079236E" w:rsidRPr="007076C6">
              <w:rPr>
                <w:rFonts w:ascii="標楷體" w:hAnsi="標楷體" w:cs="新細明體" w:hint="eastAsia"/>
                <w:kern w:val="0"/>
                <w:sz w:val="16"/>
                <w:szCs w:val="16"/>
              </w:rPr>
              <w:t>（</w:t>
            </w:r>
            <w:r w:rsidRPr="007076C6">
              <w:rPr>
                <w:rFonts w:ascii="標楷體" w:hAnsi="標楷體" w:cs="新細明體" w:hint="eastAsia"/>
                <w:kern w:val="0"/>
                <w:sz w:val="16"/>
                <w:szCs w:val="16"/>
              </w:rPr>
              <w:t>6</w:t>
            </w:r>
            <w:r w:rsidR="0079236E" w:rsidRPr="007076C6">
              <w:rPr>
                <w:rFonts w:ascii="標楷體" w:hAnsi="標楷體" w:cs="新細明體" w:hint="eastAsia"/>
                <w:kern w:val="0"/>
                <w:sz w:val="16"/>
                <w:szCs w:val="16"/>
              </w:rPr>
              <w:t>）</w:t>
            </w:r>
          </w:p>
        </w:tc>
        <w:tc>
          <w:tcPr>
            <w:tcW w:w="1559" w:type="dxa"/>
            <w:tcBorders>
              <w:top w:val="nil"/>
              <w:left w:val="nil"/>
              <w:bottom w:val="nil"/>
              <w:right w:val="nil"/>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x</w:t>
            </w:r>
            <w:r w:rsidR="0079236E" w:rsidRPr="007076C6">
              <w:rPr>
                <w:rFonts w:ascii="標楷體" w:hAnsi="標楷體" w:cs="新細明體" w:hint="eastAsia"/>
                <w:kern w:val="0"/>
                <w:sz w:val="16"/>
                <w:szCs w:val="16"/>
              </w:rPr>
              <w:t>（</w:t>
            </w:r>
            <w:r w:rsidRPr="007076C6">
              <w:rPr>
                <w:rFonts w:ascii="標楷體" w:hAnsi="標楷體" w:cs="新細明體" w:hint="eastAsia"/>
                <w:kern w:val="0"/>
                <w:sz w:val="16"/>
                <w:szCs w:val="16"/>
              </w:rPr>
              <w:t>6</w:t>
            </w:r>
            <w:r w:rsidR="0079236E" w:rsidRPr="007076C6">
              <w:rPr>
                <w:rFonts w:ascii="標楷體" w:hAnsi="標楷體" w:cs="新細明體" w:hint="eastAsia"/>
                <w:kern w:val="0"/>
                <w:sz w:val="16"/>
                <w:szCs w:val="16"/>
              </w:rPr>
              <w:t>）</w:t>
            </w:r>
          </w:p>
        </w:tc>
      </w:tr>
      <w:tr w:rsidR="00406A77" w:rsidRPr="007076C6" w:rsidTr="00BF41DE">
        <w:trPr>
          <w:trHeight w:val="318"/>
          <w:jc w:val="center"/>
        </w:trPr>
        <w:tc>
          <w:tcPr>
            <w:tcW w:w="1350" w:type="dxa"/>
            <w:tcBorders>
              <w:top w:val="nil"/>
              <w:left w:val="nil"/>
              <w:bottom w:val="nil"/>
              <w:right w:val="single" w:sz="4" w:space="0" w:color="BF8F00"/>
            </w:tcBorders>
            <w:shd w:val="clear" w:color="000000" w:fill="FEF6D6"/>
            <w:noWrap/>
            <w:vAlign w:val="center"/>
            <w:hideMark/>
          </w:tcPr>
          <w:p w:rsidR="00406A77" w:rsidRPr="001848D9" w:rsidRDefault="00406A77" w:rsidP="00BF41DE">
            <w:pPr>
              <w:widowControl/>
              <w:spacing w:line="240" w:lineRule="exact"/>
              <w:ind w:firstLineChars="100" w:firstLine="180"/>
              <w:jc w:val="center"/>
              <w:rPr>
                <w:rFonts w:ascii="標楷體" w:hAnsi="標楷體" w:cs="新細明體"/>
                <w:b/>
                <w:kern w:val="0"/>
                <w:sz w:val="16"/>
                <w:szCs w:val="16"/>
              </w:rPr>
            </w:pPr>
            <w:r w:rsidRPr="001848D9">
              <w:rPr>
                <w:rFonts w:ascii="標楷體" w:hAnsi="標楷體" w:cs="新細明體" w:hint="eastAsia"/>
                <w:b/>
                <w:kern w:val="0"/>
                <w:sz w:val="16"/>
                <w:szCs w:val="16"/>
              </w:rPr>
              <w:t>巴西 Brazil</w:t>
            </w:r>
          </w:p>
        </w:tc>
        <w:tc>
          <w:tcPr>
            <w:tcW w:w="1060"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3,762</w:t>
            </w:r>
          </w:p>
        </w:tc>
        <w:tc>
          <w:tcPr>
            <w:tcW w:w="992"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3,872</w:t>
            </w:r>
          </w:p>
        </w:tc>
        <w:tc>
          <w:tcPr>
            <w:tcW w:w="993"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3,789</w:t>
            </w:r>
          </w:p>
        </w:tc>
        <w:tc>
          <w:tcPr>
            <w:tcW w:w="1134"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3,986</w:t>
            </w:r>
          </w:p>
        </w:tc>
        <w:tc>
          <w:tcPr>
            <w:tcW w:w="1275"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x</w:t>
            </w:r>
            <w:r w:rsidR="0079236E" w:rsidRPr="007076C6">
              <w:rPr>
                <w:rFonts w:ascii="標楷體" w:hAnsi="標楷體" w:cs="新細明體" w:hint="eastAsia"/>
                <w:kern w:val="0"/>
                <w:sz w:val="16"/>
                <w:szCs w:val="16"/>
              </w:rPr>
              <w:t>（</w:t>
            </w:r>
            <w:r w:rsidRPr="007076C6">
              <w:rPr>
                <w:rFonts w:ascii="標楷體" w:hAnsi="標楷體" w:cs="新細明體" w:hint="eastAsia"/>
                <w:kern w:val="0"/>
                <w:sz w:val="16"/>
                <w:szCs w:val="16"/>
              </w:rPr>
              <w:t>4</w:t>
            </w:r>
            <w:r w:rsidR="0079236E" w:rsidRPr="007076C6">
              <w:rPr>
                <w:rFonts w:ascii="標楷體" w:hAnsi="標楷體" w:cs="新細明體" w:hint="eastAsia"/>
                <w:kern w:val="0"/>
                <w:sz w:val="16"/>
                <w:szCs w:val="16"/>
              </w:rPr>
              <w:t>）</w:t>
            </w:r>
          </w:p>
        </w:tc>
        <w:tc>
          <w:tcPr>
            <w:tcW w:w="993"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14,261</w:t>
            </w:r>
          </w:p>
        </w:tc>
        <w:tc>
          <w:tcPr>
            <w:tcW w:w="1134" w:type="dxa"/>
            <w:tcBorders>
              <w:top w:val="nil"/>
              <w:left w:val="nil"/>
              <w:bottom w:val="nil"/>
              <w:right w:val="single" w:sz="4" w:space="0" w:color="BF8F00"/>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x</w:t>
            </w:r>
            <w:r w:rsidR="0079236E" w:rsidRPr="007076C6">
              <w:rPr>
                <w:rFonts w:ascii="標楷體" w:hAnsi="標楷體" w:cs="新細明體" w:hint="eastAsia"/>
                <w:kern w:val="0"/>
                <w:sz w:val="16"/>
                <w:szCs w:val="16"/>
              </w:rPr>
              <w:t>（</w:t>
            </w:r>
            <w:r w:rsidRPr="007076C6">
              <w:rPr>
                <w:rFonts w:ascii="標楷體" w:hAnsi="標楷體" w:cs="新細明體" w:hint="eastAsia"/>
                <w:kern w:val="0"/>
                <w:sz w:val="16"/>
                <w:szCs w:val="16"/>
              </w:rPr>
              <w:t>6</w:t>
            </w:r>
            <w:r w:rsidR="0079236E" w:rsidRPr="007076C6">
              <w:rPr>
                <w:rFonts w:ascii="標楷體" w:hAnsi="標楷體" w:cs="新細明體" w:hint="eastAsia"/>
                <w:kern w:val="0"/>
                <w:sz w:val="16"/>
                <w:szCs w:val="16"/>
              </w:rPr>
              <w:t>）</w:t>
            </w:r>
          </w:p>
        </w:tc>
        <w:tc>
          <w:tcPr>
            <w:tcW w:w="1559" w:type="dxa"/>
            <w:tcBorders>
              <w:top w:val="nil"/>
              <w:left w:val="nil"/>
              <w:bottom w:val="nil"/>
              <w:right w:val="nil"/>
            </w:tcBorders>
            <w:shd w:val="clear" w:color="000000" w:fill="FEF6D6"/>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x</w:t>
            </w:r>
            <w:r w:rsidR="0079236E" w:rsidRPr="007076C6">
              <w:rPr>
                <w:rFonts w:ascii="標楷體" w:hAnsi="標楷體" w:cs="新細明體" w:hint="eastAsia"/>
                <w:kern w:val="0"/>
                <w:sz w:val="16"/>
                <w:szCs w:val="16"/>
              </w:rPr>
              <w:t>（</w:t>
            </w:r>
            <w:r w:rsidRPr="007076C6">
              <w:rPr>
                <w:rFonts w:ascii="標楷體" w:hAnsi="標楷體" w:cs="新細明體" w:hint="eastAsia"/>
                <w:kern w:val="0"/>
                <w:sz w:val="16"/>
                <w:szCs w:val="16"/>
              </w:rPr>
              <w:t>6</w:t>
            </w:r>
            <w:r w:rsidR="0079236E" w:rsidRPr="007076C6">
              <w:rPr>
                <w:rFonts w:ascii="標楷體" w:hAnsi="標楷體" w:cs="新細明體" w:hint="eastAsia"/>
                <w:kern w:val="0"/>
                <w:sz w:val="16"/>
                <w:szCs w:val="16"/>
              </w:rPr>
              <w:t>）</w:t>
            </w:r>
          </w:p>
        </w:tc>
      </w:tr>
      <w:tr w:rsidR="00406A77" w:rsidRPr="007076C6" w:rsidTr="00BF41DE">
        <w:trPr>
          <w:trHeight w:val="318"/>
          <w:jc w:val="center"/>
        </w:trPr>
        <w:tc>
          <w:tcPr>
            <w:tcW w:w="1350" w:type="dxa"/>
            <w:tcBorders>
              <w:top w:val="nil"/>
              <w:left w:val="nil"/>
              <w:bottom w:val="nil"/>
              <w:right w:val="single" w:sz="4" w:space="0" w:color="BF8F00"/>
            </w:tcBorders>
            <w:shd w:val="clear" w:color="auto" w:fill="auto"/>
            <w:noWrap/>
            <w:vAlign w:val="center"/>
            <w:hideMark/>
          </w:tcPr>
          <w:p w:rsidR="00406A77" w:rsidRPr="001848D9" w:rsidRDefault="00406A77" w:rsidP="00BF41DE">
            <w:pPr>
              <w:widowControl/>
              <w:spacing w:line="240" w:lineRule="exact"/>
              <w:ind w:firstLineChars="100" w:firstLine="180"/>
              <w:jc w:val="center"/>
              <w:rPr>
                <w:rFonts w:ascii="標楷體" w:hAnsi="標楷體" w:cs="新細明體"/>
                <w:b/>
                <w:kern w:val="0"/>
                <w:sz w:val="16"/>
                <w:szCs w:val="16"/>
              </w:rPr>
            </w:pPr>
            <w:r w:rsidRPr="001848D9">
              <w:rPr>
                <w:rFonts w:ascii="標楷體" w:hAnsi="標楷體" w:cs="新細明體" w:hint="eastAsia"/>
                <w:b/>
                <w:kern w:val="0"/>
                <w:sz w:val="16"/>
                <w:szCs w:val="16"/>
              </w:rPr>
              <w:t>俄羅斯 Russia</w:t>
            </w:r>
          </w:p>
        </w:tc>
        <w:tc>
          <w:tcPr>
            <w:tcW w:w="1060"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p>
        </w:tc>
        <w:tc>
          <w:tcPr>
            <w:tcW w:w="992"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p>
        </w:tc>
        <w:tc>
          <w:tcPr>
            <w:tcW w:w="993"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p>
        </w:tc>
        <w:tc>
          <w:tcPr>
            <w:tcW w:w="1134"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p>
        </w:tc>
        <w:tc>
          <w:tcPr>
            <w:tcW w:w="1275"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w:t>
            </w:r>
          </w:p>
        </w:tc>
        <w:tc>
          <w:tcPr>
            <w:tcW w:w="993"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8,369</w:t>
            </w:r>
          </w:p>
        </w:tc>
        <w:tc>
          <w:tcPr>
            <w:tcW w:w="1134" w:type="dxa"/>
            <w:tcBorders>
              <w:top w:val="nil"/>
              <w:left w:val="nil"/>
              <w:bottom w:val="nil"/>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4,249</w:t>
            </w:r>
          </w:p>
        </w:tc>
        <w:tc>
          <w:tcPr>
            <w:tcW w:w="1559" w:type="dxa"/>
            <w:tcBorders>
              <w:top w:val="nil"/>
              <w:left w:val="nil"/>
              <w:bottom w:val="nil"/>
              <w:right w:val="nil"/>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9,554</w:t>
            </w:r>
          </w:p>
        </w:tc>
      </w:tr>
      <w:tr w:rsidR="00406A77" w:rsidRPr="007076C6" w:rsidTr="00BF41DE">
        <w:trPr>
          <w:trHeight w:val="165"/>
          <w:jc w:val="center"/>
        </w:trPr>
        <w:tc>
          <w:tcPr>
            <w:tcW w:w="1350" w:type="dxa"/>
            <w:tcBorders>
              <w:top w:val="nil"/>
              <w:left w:val="nil"/>
              <w:bottom w:val="single" w:sz="4" w:space="0" w:color="BF8F00"/>
              <w:right w:val="single" w:sz="4" w:space="0" w:color="BF8F00"/>
            </w:tcBorders>
            <w:shd w:val="clear" w:color="auto" w:fill="auto"/>
            <w:noWrap/>
            <w:vAlign w:val="center"/>
            <w:hideMark/>
          </w:tcPr>
          <w:p w:rsidR="00406A77" w:rsidRPr="001848D9" w:rsidRDefault="00406A77" w:rsidP="00BF41DE">
            <w:pPr>
              <w:widowControl/>
              <w:spacing w:line="240" w:lineRule="exact"/>
              <w:rPr>
                <w:rFonts w:ascii="標楷體" w:hAnsi="標楷體" w:cs="新細明體"/>
                <w:b/>
                <w:kern w:val="0"/>
                <w:sz w:val="16"/>
                <w:szCs w:val="16"/>
              </w:rPr>
            </w:pPr>
          </w:p>
        </w:tc>
        <w:tc>
          <w:tcPr>
            <w:tcW w:w="1060" w:type="dxa"/>
            <w:tcBorders>
              <w:top w:val="nil"/>
              <w:left w:val="nil"/>
              <w:bottom w:val="single" w:sz="4" w:space="0" w:color="BF8F00"/>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w:t>
            </w:r>
          </w:p>
        </w:tc>
        <w:tc>
          <w:tcPr>
            <w:tcW w:w="992" w:type="dxa"/>
            <w:tcBorders>
              <w:top w:val="nil"/>
              <w:left w:val="nil"/>
              <w:bottom w:val="single" w:sz="4" w:space="0" w:color="BF8F00"/>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w:t>
            </w:r>
          </w:p>
        </w:tc>
        <w:tc>
          <w:tcPr>
            <w:tcW w:w="993" w:type="dxa"/>
            <w:tcBorders>
              <w:top w:val="nil"/>
              <w:left w:val="nil"/>
              <w:bottom w:val="single" w:sz="4" w:space="0" w:color="BF8F00"/>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w:t>
            </w:r>
          </w:p>
        </w:tc>
        <w:tc>
          <w:tcPr>
            <w:tcW w:w="1134" w:type="dxa"/>
            <w:tcBorders>
              <w:top w:val="nil"/>
              <w:left w:val="nil"/>
              <w:bottom w:val="single" w:sz="4" w:space="0" w:color="BF8F00"/>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w:t>
            </w:r>
          </w:p>
        </w:tc>
        <w:tc>
          <w:tcPr>
            <w:tcW w:w="1275" w:type="dxa"/>
            <w:tcBorders>
              <w:top w:val="nil"/>
              <w:left w:val="nil"/>
              <w:bottom w:val="single" w:sz="4" w:space="0" w:color="BF8F00"/>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w:t>
            </w:r>
          </w:p>
        </w:tc>
        <w:tc>
          <w:tcPr>
            <w:tcW w:w="993" w:type="dxa"/>
            <w:tcBorders>
              <w:top w:val="nil"/>
              <w:left w:val="nil"/>
              <w:bottom w:val="single" w:sz="4" w:space="0" w:color="BF8F00"/>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w:t>
            </w:r>
          </w:p>
        </w:tc>
        <w:tc>
          <w:tcPr>
            <w:tcW w:w="1134" w:type="dxa"/>
            <w:tcBorders>
              <w:top w:val="nil"/>
              <w:left w:val="nil"/>
              <w:bottom w:val="single" w:sz="4" w:space="0" w:color="BF8F00"/>
              <w:right w:val="single" w:sz="4" w:space="0" w:color="BF8F00"/>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w:t>
            </w:r>
          </w:p>
        </w:tc>
        <w:tc>
          <w:tcPr>
            <w:tcW w:w="1559" w:type="dxa"/>
            <w:tcBorders>
              <w:top w:val="nil"/>
              <w:left w:val="nil"/>
              <w:bottom w:val="single" w:sz="4" w:space="0" w:color="BF8F00"/>
              <w:right w:val="nil"/>
            </w:tcBorders>
            <w:shd w:val="clear" w:color="auto" w:fill="auto"/>
            <w:noWrap/>
            <w:vAlign w:val="center"/>
            <w:hideMark/>
          </w:tcPr>
          <w:p w:rsidR="00406A77" w:rsidRPr="007076C6" w:rsidRDefault="00406A77" w:rsidP="00BF41DE">
            <w:pPr>
              <w:widowControl/>
              <w:spacing w:line="240" w:lineRule="exact"/>
              <w:jc w:val="right"/>
              <w:rPr>
                <w:rFonts w:ascii="標楷體" w:hAnsi="標楷體" w:cs="新細明體"/>
                <w:kern w:val="0"/>
                <w:sz w:val="16"/>
                <w:szCs w:val="16"/>
              </w:rPr>
            </w:pPr>
            <w:r w:rsidRPr="007076C6">
              <w:rPr>
                <w:rFonts w:ascii="標楷體" w:hAnsi="標楷體" w:cs="新細明體" w:hint="eastAsia"/>
                <w:kern w:val="0"/>
                <w:sz w:val="16"/>
                <w:szCs w:val="16"/>
              </w:rPr>
              <w:t xml:space="preserve">　</w:t>
            </w:r>
          </w:p>
        </w:tc>
      </w:tr>
      <w:tr w:rsidR="00BD6FA8" w:rsidRPr="007076C6" w:rsidTr="00B7181D">
        <w:trPr>
          <w:trHeight w:val="2064"/>
          <w:jc w:val="center"/>
        </w:trPr>
        <w:tc>
          <w:tcPr>
            <w:tcW w:w="10490" w:type="dxa"/>
            <w:gridSpan w:val="9"/>
            <w:tcBorders>
              <w:top w:val="nil"/>
              <w:left w:val="nil"/>
              <w:right w:val="nil"/>
            </w:tcBorders>
            <w:shd w:val="clear" w:color="auto" w:fill="auto"/>
            <w:noWrap/>
            <w:vAlign w:val="center"/>
            <w:hideMark/>
          </w:tcPr>
          <w:p w:rsidR="00BD6FA8" w:rsidRPr="0047465D" w:rsidRDefault="00BD6FA8" w:rsidP="00BF41DE">
            <w:pPr>
              <w:widowControl/>
              <w:spacing w:line="240" w:lineRule="exact"/>
              <w:rPr>
                <w:rFonts w:ascii="標楷體" w:hAnsi="標楷體" w:cs="新細明體"/>
                <w:color w:val="000000"/>
                <w:kern w:val="0"/>
                <w:sz w:val="24"/>
                <w:szCs w:val="24"/>
              </w:rPr>
            </w:pPr>
            <w:r w:rsidRPr="0047465D">
              <w:rPr>
                <w:rFonts w:ascii="標楷體" w:hAnsi="標楷體" w:cs="新細明體" w:hint="eastAsia"/>
                <w:color w:val="000000"/>
                <w:kern w:val="0"/>
                <w:sz w:val="24"/>
                <w:szCs w:val="24"/>
              </w:rPr>
              <w:lastRenderedPageBreak/>
              <w:t>資料來源：2018年經濟合作發展組織「各國教育概觀」。（Education at a Glance OECD Indicators 2018,Tab. C1.1）</w:t>
            </w:r>
          </w:p>
          <w:p w:rsidR="00BD6FA8" w:rsidRPr="0047465D" w:rsidRDefault="00BD6FA8" w:rsidP="00BF41DE">
            <w:pPr>
              <w:widowControl/>
              <w:spacing w:line="240" w:lineRule="exact"/>
              <w:rPr>
                <w:rFonts w:ascii="標楷體" w:hAnsi="標楷體" w:cs="新細明體"/>
                <w:color w:val="000000"/>
                <w:kern w:val="0"/>
                <w:sz w:val="24"/>
                <w:szCs w:val="24"/>
              </w:rPr>
            </w:pPr>
            <w:r w:rsidRPr="0047465D">
              <w:rPr>
                <w:rFonts w:ascii="標楷體" w:hAnsi="標楷體" w:cs="新細明體" w:hint="eastAsia"/>
                <w:color w:val="000000"/>
                <w:kern w:val="0"/>
                <w:sz w:val="24"/>
                <w:szCs w:val="24"/>
              </w:rPr>
              <w:t xml:space="preserve">說明：1.本表以購買力平價指數換算美元（IMF估算），高教經費包括研究發展經費。  </w:t>
            </w:r>
          </w:p>
          <w:p w:rsidR="00BD6FA8" w:rsidRPr="0047465D" w:rsidRDefault="00BD6FA8" w:rsidP="00BF41DE">
            <w:pPr>
              <w:widowControl/>
              <w:spacing w:line="240" w:lineRule="exact"/>
              <w:rPr>
                <w:rFonts w:ascii="標楷體" w:hAnsi="標楷體" w:cs="新細明體"/>
                <w:color w:val="000000"/>
                <w:kern w:val="0"/>
                <w:sz w:val="24"/>
                <w:szCs w:val="24"/>
              </w:rPr>
            </w:pPr>
            <w:r w:rsidRPr="0047465D">
              <w:rPr>
                <w:rFonts w:ascii="標楷體" w:hAnsi="標楷體" w:cs="新細明體" w:hint="eastAsia"/>
                <w:color w:val="000000"/>
                <w:kern w:val="0"/>
                <w:sz w:val="24"/>
                <w:szCs w:val="24"/>
              </w:rPr>
              <w:t xml:space="preserve">　　　2.平均匯率資料為108年2月行政院主計總處發布數。</w:t>
            </w:r>
          </w:p>
          <w:p w:rsidR="00BD6FA8" w:rsidRDefault="00BD6FA8" w:rsidP="00BF41DE">
            <w:pPr>
              <w:widowControl/>
              <w:rPr>
                <w:rFonts w:ascii="標楷體" w:hAnsi="標楷體" w:cs="新細明體"/>
                <w:color w:val="000000"/>
                <w:kern w:val="0"/>
                <w:sz w:val="24"/>
                <w:szCs w:val="24"/>
              </w:rPr>
            </w:pPr>
            <w:r w:rsidRPr="0047465D">
              <w:rPr>
                <w:rFonts w:ascii="標楷體" w:hAnsi="標楷體" w:cs="新細明體" w:hint="eastAsia"/>
                <w:color w:val="000000"/>
                <w:kern w:val="0"/>
                <w:sz w:val="24"/>
                <w:szCs w:val="24"/>
              </w:rPr>
              <w:t>附註：1.我國（ ）內數字係以當年的新臺幣對美元平均匯率計算。</w:t>
            </w:r>
            <w:r>
              <w:rPr>
                <w:rFonts w:ascii="標楷體" w:hAnsi="標楷體" w:cs="新細明體" w:hint="eastAsia"/>
                <w:color w:val="000000"/>
                <w:kern w:val="0"/>
                <w:sz w:val="24"/>
                <w:szCs w:val="24"/>
              </w:rPr>
              <w:t xml:space="preserve">    </w:t>
            </w:r>
          </w:p>
          <w:p w:rsidR="00BD6FA8" w:rsidRPr="0047465D" w:rsidRDefault="00BD6FA8" w:rsidP="00BF41DE">
            <w:pPr>
              <w:rPr>
                <w:rFonts w:ascii="標楷體" w:hAnsi="標楷體" w:cs="新細明體"/>
                <w:color w:val="000000"/>
                <w:kern w:val="0"/>
                <w:sz w:val="24"/>
                <w:szCs w:val="24"/>
              </w:rPr>
            </w:pPr>
            <w:r>
              <w:rPr>
                <w:rFonts w:ascii="標楷體" w:hAnsi="標楷體" w:cs="新細明體" w:hint="eastAsia"/>
                <w:color w:val="000000"/>
                <w:kern w:val="0"/>
                <w:sz w:val="24"/>
                <w:szCs w:val="24"/>
              </w:rPr>
              <w:t xml:space="preserve">      </w:t>
            </w:r>
            <w:r w:rsidRPr="0047465D">
              <w:rPr>
                <w:rFonts w:ascii="標楷體" w:hAnsi="標楷體" w:cs="新細明體" w:hint="eastAsia"/>
                <w:color w:val="000000"/>
                <w:kern w:val="0"/>
                <w:sz w:val="24"/>
                <w:szCs w:val="24"/>
              </w:rPr>
              <w:t xml:space="preserve">2.國小資料包含幼兒園及國中。         </w:t>
            </w:r>
          </w:p>
        </w:tc>
      </w:tr>
    </w:tbl>
    <w:p w:rsidR="00406A77" w:rsidRPr="007076C6" w:rsidRDefault="00406A77" w:rsidP="00406A77">
      <w:pPr>
        <w:rPr>
          <w:rFonts w:ascii="標楷體" w:hAnsi="標楷體"/>
        </w:rPr>
      </w:pPr>
    </w:p>
    <w:p w:rsidR="007938BD" w:rsidRPr="007076C6" w:rsidRDefault="00406A77" w:rsidP="00606D9C">
      <w:pPr>
        <w:pStyle w:val="3"/>
        <w:kinsoku/>
        <w:ind w:left="1360" w:hanging="680"/>
        <w:rPr>
          <w:rFonts w:hAnsi="標楷體"/>
        </w:rPr>
      </w:pPr>
      <w:r w:rsidRPr="007076C6">
        <w:rPr>
          <w:rFonts w:hAnsi="標楷體" w:hint="eastAsia"/>
        </w:rPr>
        <w:t>另依據我國與主要國家人類發展指數</w:t>
      </w:r>
      <w:r w:rsidR="0079236E" w:rsidRPr="007076C6">
        <w:rPr>
          <w:rFonts w:hAnsi="標楷體"/>
        </w:rPr>
        <w:t>（</w:t>
      </w:r>
      <w:r w:rsidRPr="007076C6">
        <w:rPr>
          <w:rFonts w:hAnsi="標楷體"/>
        </w:rPr>
        <w:t>HDI</w:t>
      </w:r>
      <w:r w:rsidR="0079236E" w:rsidRPr="007076C6">
        <w:rPr>
          <w:rFonts w:hAnsi="標楷體"/>
        </w:rPr>
        <w:t>）</w:t>
      </w:r>
      <w:r w:rsidRPr="007076C6">
        <w:rPr>
          <w:rFonts w:hAnsi="標楷體" w:hint="eastAsia"/>
        </w:rPr>
        <w:t>－教育領域指標國際比較統計</w:t>
      </w:r>
      <w:r w:rsidRPr="007076C6">
        <w:rPr>
          <w:rStyle w:val="aff0"/>
          <w:rFonts w:hAnsi="標楷體"/>
        </w:rPr>
        <w:footnoteReference w:id="12"/>
      </w:r>
      <w:r w:rsidRPr="007076C6">
        <w:rPr>
          <w:rFonts w:hAnsi="標楷體" w:hint="eastAsia"/>
        </w:rPr>
        <w:t>，人類發展指數（</w:t>
      </w:r>
      <w:r w:rsidRPr="007076C6">
        <w:rPr>
          <w:rFonts w:hAnsi="標楷體"/>
        </w:rPr>
        <w:t>Human Development Index</w:t>
      </w:r>
      <w:r w:rsidRPr="007076C6">
        <w:rPr>
          <w:rFonts w:hAnsi="標楷體" w:hint="eastAsia"/>
        </w:rPr>
        <w:t>，簡稱</w:t>
      </w:r>
      <w:r w:rsidRPr="007076C6">
        <w:rPr>
          <w:rFonts w:hAnsi="標楷體"/>
        </w:rPr>
        <w:t>HDI</w:t>
      </w:r>
      <w:r w:rsidRPr="007076C6">
        <w:rPr>
          <w:rFonts w:hAnsi="標楷體" w:hint="eastAsia"/>
        </w:rPr>
        <w:t>）係聯合國開發計畫署（簡稱</w:t>
      </w:r>
      <w:r w:rsidRPr="007076C6">
        <w:rPr>
          <w:rFonts w:hAnsi="標楷體"/>
        </w:rPr>
        <w:t>UNDP</w:t>
      </w:r>
      <w:r w:rsidRPr="007076C6">
        <w:rPr>
          <w:rFonts w:hAnsi="標楷體" w:hint="eastAsia"/>
        </w:rPr>
        <w:t>）於</w:t>
      </w:r>
      <w:r w:rsidRPr="007076C6">
        <w:rPr>
          <w:rFonts w:hAnsi="標楷體"/>
        </w:rPr>
        <w:t xml:space="preserve">1990 </w:t>
      </w:r>
      <w:r w:rsidRPr="007076C6">
        <w:rPr>
          <w:rFonts w:hAnsi="標楷體" w:hint="eastAsia"/>
        </w:rPr>
        <w:t>年創編並按年公布之單一綜合指數，由健康、教育及經濟等三個領域之統計指標建構而成，用以衡量各國社會經濟發展程度的標準，其中在教育領域之指標項目為「平均就學年數</w:t>
      </w:r>
      <w:r w:rsidRPr="007076C6">
        <w:rPr>
          <w:rFonts w:hAnsi="標楷體" w:hint="eastAsia"/>
          <w:color w:val="000000" w:themeColor="text1"/>
        </w:rPr>
        <w:t>」</w:t>
      </w:r>
      <w:r w:rsidRPr="007076C6">
        <w:rPr>
          <w:rStyle w:val="aff0"/>
          <w:rFonts w:hAnsi="標楷體"/>
          <w:color w:val="000000" w:themeColor="text1"/>
          <w:szCs w:val="52"/>
        </w:rPr>
        <w:footnoteReference w:id="13"/>
      </w:r>
      <w:r w:rsidRPr="007076C6">
        <w:rPr>
          <w:rFonts w:hAnsi="標楷體" w:hint="eastAsia"/>
          <w:color w:val="000000" w:themeColor="text1"/>
        </w:rPr>
        <w:t>（</w:t>
      </w:r>
      <w:r w:rsidRPr="007076C6">
        <w:rPr>
          <w:rFonts w:hAnsi="標楷體"/>
          <w:color w:val="000000" w:themeColor="text1"/>
        </w:rPr>
        <w:t>Mean Years</w:t>
      </w:r>
      <w:r w:rsidRPr="007076C6">
        <w:rPr>
          <w:rFonts w:hAnsi="標楷體" w:hint="eastAsia"/>
          <w:color w:val="000000" w:themeColor="text1"/>
        </w:rPr>
        <w:t xml:space="preserve"> </w:t>
      </w:r>
      <w:r w:rsidRPr="007076C6">
        <w:rPr>
          <w:rFonts w:hAnsi="標楷體"/>
          <w:color w:val="000000" w:themeColor="text1"/>
        </w:rPr>
        <w:t>of Schooling</w:t>
      </w:r>
      <w:r w:rsidRPr="007076C6">
        <w:rPr>
          <w:rFonts w:hAnsi="標楷體" w:hint="eastAsia"/>
          <w:color w:val="000000" w:themeColor="text1"/>
        </w:rPr>
        <w:t>；</w:t>
      </w:r>
      <w:r w:rsidRPr="007076C6">
        <w:rPr>
          <w:rFonts w:hAnsi="標楷體"/>
          <w:color w:val="000000" w:themeColor="text1"/>
        </w:rPr>
        <w:t>MYS</w:t>
      </w:r>
      <w:r w:rsidRPr="007076C6">
        <w:rPr>
          <w:rFonts w:hAnsi="標楷體" w:hint="eastAsia"/>
          <w:color w:val="000000" w:themeColor="text1"/>
        </w:rPr>
        <w:t>）及「預期受教育年數」</w:t>
      </w:r>
      <w:r w:rsidRPr="007076C6">
        <w:rPr>
          <w:rStyle w:val="aff0"/>
          <w:rFonts w:hAnsi="標楷體"/>
          <w:color w:val="000000" w:themeColor="text1"/>
          <w:szCs w:val="52"/>
        </w:rPr>
        <w:footnoteReference w:id="14"/>
      </w:r>
      <w:r w:rsidRPr="007076C6">
        <w:rPr>
          <w:rFonts w:hAnsi="標楷體" w:hint="eastAsia"/>
          <w:color w:val="000000" w:themeColor="text1"/>
        </w:rPr>
        <w:t>（</w:t>
      </w:r>
      <w:r w:rsidRPr="007076C6">
        <w:rPr>
          <w:rFonts w:hAnsi="標楷體"/>
          <w:color w:val="000000" w:themeColor="text1"/>
        </w:rPr>
        <w:t>Expected Years of Schooling</w:t>
      </w:r>
      <w:r w:rsidRPr="007076C6">
        <w:rPr>
          <w:rFonts w:hAnsi="標楷體" w:hint="eastAsia"/>
          <w:color w:val="000000" w:themeColor="text1"/>
        </w:rPr>
        <w:t>；</w:t>
      </w:r>
      <w:r w:rsidRPr="007076C6">
        <w:rPr>
          <w:rFonts w:hAnsi="標楷體"/>
          <w:color w:val="000000" w:themeColor="text1"/>
        </w:rPr>
        <w:t>EYS</w:t>
      </w:r>
      <w:r w:rsidRPr="007076C6">
        <w:rPr>
          <w:rFonts w:hAnsi="標楷體" w:hint="eastAsia"/>
          <w:color w:val="000000" w:themeColor="text1"/>
        </w:rPr>
        <w:t>），用以衡量各</w:t>
      </w:r>
      <w:r w:rsidRPr="007076C6">
        <w:rPr>
          <w:rFonts w:hAnsi="標楷體" w:hint="eastAsia"/>
        </w:rPr>
        <w:t>國在全球教育面向上之發展成就。</w:t>
      </w:r>
      <w:r w:rsidRPr="007076C6">
        <w:rPr>
          <w:rFonts w:hAnsi="標楷體" w:hint="eastAsia"/>
          <w:color w:val="000000" w:themeColor="text1"/>
          <w:szCs w:val="52"/>
        </w:rPr>
        <w:t>與主要國家比較，</w:t>
      </w:r>
      <w:r w:rsidRPr="007076C6">
        <w:rPr>
          <w:rFonts w:hAnsi="標楷體"/>
          <w:color w:val="000000" w:themeColor="text1"/>
          <w:szCs w:val="52"/>
        </w:rPr>
        <w:t>2015</w:t>
      </w:r>
      <w:r w:rsidRPr="007076C6">
        <w:rPr>
          <w:rFonts w:hAnsi="標楷體" w:hint="eastAsia"/>
          <w:color w:val="000000" w:themeColor="text1"/>
          <w:szCs w:val="52"/>
        </w:rPr>
        <w:t>年亞洲多數國家</w:t>
      </w:r>
      <w:r w:rsidRPr="007076C6">
        <w:rPr>
          <w:rFonts w:hAnsi="標楷體"/>
          <w:color w:val="000000" w:themeColor="text1"/>
          <w:szCs w:val="52"/>
        </w:rPr>
        <w:t>MYS</w:t>
      </w:r>
      <w:r w:rsidRPr="007076C6">
        <w:rPr>
          <w:rFonts w:hAnsi="標楷體" w:hint="eastAsia"/>
          <w:color w:val="000000" w:themeColor="text1"/>
          <w:szCs w:val="52"/>
        </w:rPr>
        <w:t>約介於</w:t>
      </w:r>
      <w:r w:rsidRPr="007076C6">
        <w:rPr>
          <w:rFonts w:hAnsi="標楷體"/>
          <w:color w:val="000000" w:themeColor="text1"/>
          <w:szCs w:val="52"/>
        </w:rPr>
        <w:t>11</w:t>
      </w:r>
      <w:r w:rsidR="004641AB">
        <w:rPr>
          <w:rFonts w:hAnsi="標楷體" w:hint="eastAsia"/>
          <w:color w:val="000000" w:themeColor="text1"/>
          <w:szCs w:val="52"/>
        </w:rPr>
        <w:t>-</w:t>
      </w:r>
      <w:r w:rsidRPr="007076C6">
        <w:rPr>
          <w:rFonts w:hAnsi="標楷體"/>
          <w:color w:val="000000" w:themeColor="text1"/>
          <w:szCs w:val="52"/>
        </w:rPr>
        <w:t>12</w:t>
      </w:r>
      <w:r w:rsidRPr="007076C6">
        <w:rPr>
          <w:rFonts w:hAnsi="標楷體" w:hint="eastAsia"/>
          <w:color w:val="000000" w:themeColor="text1"/>
          <w:szCs w:val="52"/>
        </w:rPr>
        <w:t>年之間，以日本</w:t>
      </w:r>
      <w:r w:rsidRPr="007076C6">
        <w:rPr>
          <w:rFonts w:hAnsi="標楷體"/>
          <w:color w:val="000000" w:themeColor="text1"/>
          <w:szCs w:val="52"/>
        </w:rPr>
        <w:t>12.5</w:t>
      </w:r>
      <w:r w:rsidRPr="007076C6">
        <w:rPr>
          <w:rFonts w:hAnsi="標楷體" w:hint="eastAsia"/>
          <w:color w:val="000000" w:themeColor="text1"/>
          <w:szCs w:val="52"/>
        </w:rPr>
        <w:t>年為最高，我國為</w:t>
      </w:r>
      <w:r w:rsidRPr="007076C6">
        <w:rPr>
          <w:rFonts w:hAnsi="標楷體"/>
          <w:color w:val="000000" w:themeColor="text1"/>
          <w:szCs w:val="52"/>
        </w:rPr>
        <w:t>11.9</w:t>
      </w:r>
      <w:r w:rsidRPr="007076C6">
        <w:rPr>
          <w:rFonts w:hAnsi="標楷體" w:hint="eastAsia"/>
          <w:color w:val="000000" w:themeColor="text1"/>
          <w:szCs w:val="52"/>
        </w:rPr>
        <w:t>年，位居亞洲國家中間，歐美國家除義大利、法國及荷蘭外，多介於</w:t>
      </w:r>
      <w:r w:rsidRPr="007076C6">
        <w:rPr>
          <w:rFonts w:hAnsi="標楷體"/>
          <w:color w:val="000000" w:themeColor="text1"/>
          <w:szCs w:val="52"/>
        </w:rPr>
        <w:t>12~13</w:t>
      </w:r>
      <w:r w:rsidRPr="007076C6">
        <w:rPr>
          <w:rFonts w:hAnsi="標楷體" w:hint="eastAsia"/>
          <w:color w:val="000000" w:themeColor="text1"/>
          <w:szCs w:val="52"/>
        </w:rPr>
        <w:t>年之間，普遍高於亞洲國</w:t>
      </w:r>
      <w:r w:rsidRPr="007076C6">
        <w:rPr>
          <w:rFonts w:hAnsi="標楷體" w:hint="eastAsia"/>
          <w:color w:val="000000" w:themeColor="text1"/>
          <w:szCs w:val="52"/>
        </w:rPr>
        <w:lastRenderedPageBreak/>
        <w:t>家；在</w:t>
      </w:r>
      <w:r w:rsidRPr="007076C6">
        <w:rPr>
          <w:rFonts w:hAnsi="標楷體"/>
          <w:color w:val="000000" w:themeColor="text1"/>
          <w:szCs w:val="52"/>
        </w:rPr>
        <w:t>2015</w:t>
      </w:r>
      <w:r w:rsidRPr="007076C6">
        <w:rPr>
          <w:rFonts w:hAnsi="標楷體" w:hint="eastAsia"/>
          <w:color w:val="000000" w:themeColor="text1"/>
          <w:szCs w:val="52"/>
        </w:rPr>
        <w:t>年</w:t>
      </w:r>
      <w:r w:rsidRPr="007076C6">
        <w:rPr>
          <w:rFonts w:hAnsi="標楷體"/>
          <w:color w:val="000000" w:themeColor="text1"/>
          <w:szCs w:val="52"/>
        </w:rPr>
        <w:t>EYS</w:t>
      </w:r>
      <w:r w:rsidRPr="007076C6">
        <w:rPr>
          <w:rFonts w:hAnsi="標楷體" w:hint="eastAsia"/>
          <w:color w:val="000000" w:themeColor="text1"/>
          <w:szCs w:val="52"/>
        </w:rPr>
        <w:t>比較上，我國之</w:t>
      </w:r>
      <w:r w:rsidRPr="007076C6">
        <w:rPr>
          <w:rFonts w:hAnsi="標楷體"/>
          <w:color w:val="000000" w:themeColor="text1"/>
          <w:szCs w:val="52"/>
        </w:rPr>
        <w:t>16.6</w:t>
      </w:r>
      <w:r w:rsidRPr="007076C6">
        <w:rPr>
          <w:rFonts w:hAnsi="標楷體" w:hint="eastAsia"/>
          <w:color w:val="000000" w:themeColor="text1"/>
          <w:szCs w:val="52"/>
        </w:rPr>
        <w:t>年低於紐、澳、荷、德，與南韓及美國相近，明顯高於港、星、日及大陸，爰就其整體發展意</w:t>
      </w:r>
      <w:r w:rsidRPr="004615E9">
        <w:rPr>
          <w:rFonts w:hAnsi="標楷體" w:hint="eastAsia"/>
          <w:color w:val="000000" w:themeColor="text1"/>
          <w:szCs w:val="52"/>
        </w:rPr>
        <w:t>義及教育趨勢，亟待各級教育行政機關參考。</w:t>
      </w:r>
    </w:p>
    <w:p w:rsidR="00406A77" w:rsidRPr="007076C6" w:rsidRDefault="00406A77" w:rsidP="00406A77">
      <w:pPr>
        <w:pStyle w:val="3"/>
        <w:kinsoku/>
        <w:ind w:left="1360" w:hanging="680"/>
        <w:rPr>
          <w:rFonts w:hAnsi="標楷體"/>
        </w:rPr>
      </w:pPr>
      <w:r w:rsidRPr="007076C6">
        <w:rPr>
          <w:rFonts w:hAnsi="標楷體" w:hint="eastAsia"/>
        </w:rPr>
        <w:t>綜上論述，聯合國經濟社會文化權利國際公約揭櫫針對教育權保障之規定，具有國內法律之效力，此應為政府責無旁貸事項。而我國自103年8月起全面推動十二年國民基本教育政策，前9年國民義務教育係依「國民教育法」及「強迫入學條例」等規定辦理，後3年高級中等教育階段雖非屬義務教育，然主要內涵包括「普及」與「自願非強迫入學」，且十二年國教強調因材施教、適性揚才及多元進路等理念，面對不同智能、性向及興趣的學生，應能透過不同的課程、教學方式及適性輔導，引導學生瞭解自我性向與興趣，協助其發展多元智能並找到適合自己的進路，以便繼續升學或順利就業；惟十二年國教實施後，教育部針對各學制學生雖分別執行部分就學措施，整體核心政策及積極助學措施尚不明確，每年仍有近</w:t>
      </w:r>
      <w:r w:rsidRPr="007076C6">
        <w:rPr>
          <w:rFonts w:hAnsi="標楷體"/>
        </w:rPr>
        <w:t>2</w:t>
      </w:r>
      <w:r w:rsidRPr="007076C6">
        <w:rPr>
          <w:rFonts w:hAnsi="標楷體" w:hint="eastAsia"/>
        </w:rPr>
        <w:t>萬名學生因家庭、經濟或個人等因素未能完成十二年國教，其學制範圍包括高級中等學校之中途離校學生、國民中學畢業生未升學未就業學生、國民中小學中途輟學學生及因中輟而逾義務教育年齡者等，實有違十二年國教總體精神，況十二年國教政策執行之後設分析及檢討機制闕如，缺乏國家整體基礎教育核心政策；相較於教育部配合新南向政策，自</w:t>
      </w:r>
      <w:r w:rsidRPr="007076C6">
        <w:rPr>
          <w:rFonts w:hAnsi="標楷體"/>
        </w:rPr>
        <w:t>106</w:t>
      </w:r>
      <w:r w:rsidRPr="007076C6">
        <w:rPr>
          <w:rFonts w:hAnsi="標楷體" w:hint="eastAsia"/>
        </w:rPr>
        <w:t>學年度開辦新南向產學合作國際專班、規劃理論及實習課程，並有僑生技職專班之生活津貼等鼓勵就學積極措施，反觀國內學生教育權仍有大幅改善空間，此情於我國面臨少子女化社會更顯迫切，後續亟待教育部儘速盤整</w:t>
      </w:r>
      <w:r w:rsidRPr="007076C6">
        <w:rPr>
          <w:rFonts w:hAnsi="標楷體" w:hint="eastAsia"/>
        </w:rPr>
        <w:lastRenderedPageBreak/>
        <w:t>檢討，以提升教育權之保障，落實聯合國經濟社會文化權利國際公約之意旨。</w:t>
      </w:r>
    </w:p>
    <w:p w:rsidR="00406A77" w:rsidRPr="007076C6" w:rsidRDefault="00406A77" w:rsidP="00406A77">
      <w:pPr>
        <w:rPr>
          <w:rFonts w:ascii="標楷體" w:hAnsi="標楷體"/>
        </w:rPr>
      </w:pPr>
    </w:p>
    <w:p w:rsidR="00406A77" w:rsidRPr="00697C03" w:rsidRDefault="00406A77" w:rsidP="00406A77">
      <w:pPr>
        <w:pStyle w:val="2"/>
        <w:kinsoku/>
        <w:ind w:left="1043"/>
        <w:rPr>
          <w:rFonts w:hAnsi="標楷體"/>
          <w:b/>
        </w:rPr>
      </w:pPr>
      <w:bookmarkStart w:id="68" w:name="_Toc37315440"/>
      <w:bookmarkStart w:id="69" w:name="_Toc39250774"/>
      <w:bookmarkStart w:id="70" w:name="_Toc41382884"/>
      <w:r w:rsidRPr="00697C03">
        <w:rPr>
          <w:rFonts w:hAnsi="標楷體" w:hint="eastAsia"/>
          <w:b/>
        </w:rPr>
        <w:t>十二年國民基本教育之總體目標包括「強化國民基本能力，以厚植國家經濟</w:t>
      </w:r>
      <w:r w:rsidR="00F438AC" w:rsidRPr="00697C03">
        <w:rPr>
          <w:rFonts w:hAnsi="標楷體" w:hint="eastAsia"/>
          <w:b/>
        </w:rPr>
        <w:t>競爭力」等</w:t>
      </w:r>
      <w:r w:rsidRPr="00697C03">
        <w:rPr>
          <w:rFonts w:hAnsi="標楷體" w:hint="eastAsia"/>
          <w:b/>
        </w:rPr>
        <w:t>；惟現行針對高級中等學校中離學生實施之輔導及協尋事項，受限於非屬法定義務教育之範疇，實務</w:t>
      </w:r>
      <w:r w:rsidR="00CA2641" w:rsidRPr="00697C03">
        <w:rPr>
          <w:rFonts w:hAnsi="標楷體" w:hint="eastAsia"/>
          <w:b/>
        </w:rPr>
        <w:t>上，</w:t>
      </w:r>
      <w:r w:rsidRPr="00697C03">
        <w:rPr>
          <w:rFonts w:hAnsi="標楷體" w:hint="eastAsia"/>
          <w:b/>
        </w:rPr>
        <w:t>學校端及地方教育局端針對中途離校之學生，無論於協尋或返回原校等穩定就學</w:t>
      </w:r>
      <w:r w:rsidR="001F3A05" w:rsidRPr="00697C03">
        <w:rPr>
          <w:rFonts w:hAnsi="標楷體" w:hint="eastAsia"/>
          <w:b/>
        </w:rPr>
        <w:t>之</w:t>
      </w:r>
      <w:r w:rsidRPr="00697C03">
        <w:rPr>
          <w:rFonts w:hAnsi="標楷體" w:hint="eastAsia"/>
          <w:b/>
        </w:rPr>
        <w:t>相關業務工作上，往往面臨人力不</w:t>
      </w:r>
      <w:r w:rsidR="00C83821" w:rsidRPr="00697C03">
        <w:rPr>
          <w:rFonts w:hAnsi="標楷體" w:hint="eastAsia"/>
          <w:b/>
        </w:rPr>
        <w:t>足甚或</w:t>
      </w:r>
      <w:r w:rsidRPr="00697C03">
        <w:rPr>
          <w:rFonts w:hAnsi="標楷體" w:hint="eastAsia"/>
          <w:b/>
        </w:rPr>
        <w:t>人身安全問題；</w:t>
      </w:r>
      <w:r w:rsidR="003A76F8" w:rsidRPr="00697C03">
        <w:rPr>
          <w:rFonts w:hAnsi="標楷體" w:hint="eastAsia"/>
          <w:b/>
        </w:rPr>
        <w:t>且</w:t>
      </w:r>
      <w:r w:rsidRPr="00697C03">
        <w:rPr>
          <w:rFonts w:hAnsi="標楷體" w:hint="eastAsia"/>
          <w:b/>
        </w:rPr>
        <w:t>由於現行學校尋求警政機關之協助</w:t>
      </w:r>
      <w:r w:rsidR="002200AB" w:rsidRPr="00697C03">
        <w:rPr>
          <w:rFonts w:hAnsi="標楷體" w:hint="eastAsia"/>
          <w:b/>
        </w:rPr>
        <w:t>上，亦面臨</w:t>
      </w:r>
      <w:r w:rsidRPr="00697C03">
        <w:rPr>
          <w:rFonts w:hAnsi="標楷體" w:hint="eastAsia"/>
          <w:b/>
        </w:rPr>
        <w:t>缺乏具體法源及強制規範之困境，教育部長期均未有積極溝通協調措施，</w:t>
      </w:r>
      <w:r w:rsidR="00582EC4" w:rsidRPr="00697C03">
        <w:rPr>
          <w:rFonts w:hAnsi="標楷體" w:hint="eastAsia"/>
          <w:b/>
        </w:rPr>
        <w:t>以落實中離學生之追蹤輔導，</w:t>
      </w:r>
      <w:r w:rsidRPr="00697C03">
        <w:rPr>
          <w:rFonts w:hAnsi="標楷體" w:hint="eastAsia"/>
          <w:b/>
        </w:rPr>
        <w:t>關於國民教育階段非屬義務教育時期面臨類此教育權或人權折衝分際顯難以取得平衡</w:t>
      </w:r>
      <w:r w:rsidR="005C7991" w:rsidRPr="00697C03">
        <w:rPr>
          <w:rFonts w:hAnsi="標楷體" w:hint="eastAsia"/>
          <w:b/>
        </w:rPr>
        <w:t>；</w:t>
      </w:r>
      <w:r w:rsidR="00C934DC" w:rsidRPr="00697C03">
        <w:rPr>
          <w:rFonts w:hAnsi="標楷體" w:hint="eastAsia"/>
          <w:b/>
        </w:rPr>
        <w:t>該</w:t>
      </w:r>
      <w:r w:rsidRPr="00697C03">
        <w:rPr>
          <w:rFonts w:hAnsi="標楷體" w:hint="eastAsia"/>
          <w:b/>
        </w:rPr>
        <w:t>部於本院調查期間雖已研議評估延長十二年國教之可行性，惟此舉不僅牽涉我國長期重大國民教育政策</w:t>
      </w:r>
      <w:r w:rsidR="004007B3" w:rsidRPr="00697C03">
        <w:rPr>
          <w:rFonts w:hAnsi="標楷體" w:hint="eastAsia"/>
          <w:b/>
        </w:rPr>
        <w:t>及</w:t>
      </w:r>
      <w:r w:rsidR="00555829" w:rsidRPr="00697C03">
        <w:rPr>
          <w:rFonts w:hAnsi="標楷體" w:hint="eastAsia"/>
          <w:b/>
        </w:rPr>
        <w:t>整體國家財務狀況</w:t>
      </w:r>
      <w:r w:rsidRPr="00697C03">
        <w:rPr>
          <w:rFonts w:hAnsi="標楷體" w:hint="eastAsia"/>
          <w:b/>
        </w:rPr>
        <w:t>，顯非</w:t>
      </w:r>
      <w:r w:rsidRPr="00697C03">
        <w:rPr>
          <w:rFonts w:hAnsi="標楷體" w:hint="eastAsia"/>
          <w:b/>
          <w:szCs w:val="52"/>
        </w:rPr>
        <w:t>一蹴可幾</w:t>
      </w:r>
      <w:r w:rsidRPr="00697C03">
        <w:rPr>
          <w:rFonts w:hAnsi="標楷體" w:hint="eastAsia"/>
          <w:b/>
        </w:rPr>
        <w:t>，爰</w:t>
      </w:r>
      <w:r w:rsidR="004D00B5" w:rsidRPr="00697C03">
        <w:rPr>
          <w:rFonts w:hAnsi="標楷體" w:hint="eastAsia"/>
          <w:b/>
        </w:rPr>
        <w:t>於上述措施尚未實施前，</w:t>
      </w:r>
      <w:r w:rsidR="007A5882" w:rsidRPr="00697C03">
        <w:rPr>
          <w:rFonts w:hAnsi="標楷體" w:hint="eastAsia"/>
          <w:b/>
        </w:rPr>
        <w:t>亟待教育</w:t>
      </w:r>
      <w:r w:rsidRPr="00697C03">
        <w:rPr>
          <w:rFonts w:hAnsi="標楷體" w:hint="eastAsia"/>
          <w:b/>
        </w:rPr>
        <w:t>部盡速會同地方政府評估因應，針對中離生協尋輔導之實務辦理困境及</w:t>
      </w:r>
      <w:r w:rsidR="00A34FB8" w:rsidRPr="00697C03">
        <w:rPr>
          <w:rFonts w:hAnsi="標楷體" w:hint="eastAsia"/>
          <w:b/>
        </w:rPr>
        <w:t>應進行之</w:t>
      </w:r>
      <w:r w:rsidRPr="00697C03">
        <w:rPr>
          <w:rFonts w:hAnsi="標楷體" w:hint="eastAsia"/>
          <w:b/>
        </w:rPr>
        <w:t>積極</w:t>
      </w:r>
      <w:r w:rsidR="004A1648" w:rsidRPr="00697C03">
        <w:rPr>
          <w:rFonts w:hAnsi="標楷體" w:hint="eastAsia"/>
          <w:b/>
        </w:rPr>
        <w:t>整</w:t>
      </w:r>
      <w:r w:rsidRPr="00697C03">
        <w:rPr>
          <w:rFonts w:hAnsi="標楷體" w:hint="eastAsia"/>
          <w:b/>
        </w:rPr>
        <w:t>體配套措施</w:t>
      </w:r>
      <w:r w:rsidR="00086688" w:rsidRPr="00697C03">
        <w:rPr>
          <w:rFonts w:hAnsi="標楷體" w:hint="eastAsia"/>
          <w:b/>
        </w:rPr>
        <w:t>考量研擬</w:t>
      </w:r>
      <w:r w:rsidRPr="00697C03">
        <w:rPr>
          <w:rFonts w:hAnsi="標楷體" w:hint="eastAsia"/>
          <w:b/>
        </w:rPr>
        <w:t>，以解決現行第一線各項窒礙難行之處，</w:t>
      </w:r>
      <w:bookmarkEnd w:id="68"/>
      <w:r w:rsidRPr="00697C03">
        <w:rPr>
          <w:rFonts w:hAnsi="標楷體" w:hint="eastAsia"/>
          <w:b/>
        </w:rPr>
        <w:t>維護學生受教權益，實現教育機會均等原則，方為正辦</w:t>
      </w:r>
      <w:bookmarkEnd w:id="69"/>
      <w:bookmarkEnd w:id="70"/>
    </w:p>
    <w:p w:rsidR="00406A77" w:rsidRPr="00697C03" w:rsidRDefault="00406A77" w:rsidP="00406A77">
      <w:pPr>
        <w:pStyle w:val="3"/>
        <w:kinsoku/>
        <w:ind w:left="1360" w:hanging="680"/>
        <w:rPr>
          <w:rFonts w:hAnsi="標楷體"/>
        </w:rPr>
      </w:pPr>
      <w:r w:rsidRPr="00697C03">
        <w:rPr>
          <w:rFonts w:hAnsi="標楷體" w:hint="eastAsia"/>
        </w:rPr>
        <w:t>按行政院106年10月12日院臺教字第1060191247號函核定略以，推動十二年國民基本教育的目標，係以國家、社會及學生個人多元角度之觀照，訂定總體目標與啟動準備階段具體目標，分述如下：一、總體目標提升國民基本知能，培養現代公民素養。強化國民基本能力，以厚植國家經濟競爭力。促進教育機會均等，以實現社會公平與正義。充實高級中等學校資源，均衡區域與城鄉教育發展。落實中</w:t>
      </w:r>
      <w:r w:rsidRPr="00697C03">
        <w:rPr>
          <w:rFonts w:hAnsi="標楷體" w:hint="eastAsia"/>
        </w:rPr>
        <w:lastRenderedPageBreak/>
        <w:t>學生性向探索與生涯輔導，引導多元適性升學或就業。有效舒緩過度升學壓力，引導國中正常教學與五育均衡發展。實施期程部分，十二年國民基本教育的推動，配合</w:t>
      </w:r>
      <w:r w:rsidR="006778B8" w:rsidRPr="00697C03">
        <w:rPr>
          <w:rFonts w:hAnsi="標楷體" w:hint="eastAsia"/>
        </w:rPr>
        <w:t>「</w:t>
      </w:r>
      <w:r w:rsidRPr="00697C03">
        <w:rPr>
          <w:rFonts w:hAnsi="標楷體" w:hint="eastAsia"/>
        </w:rPr>
        <w:t>中華民國教育報告書：黃金十年百年樹人</w:t>
      </w:r>
      <w:r w:rsidR="006778B8" w:rsidRPr="00697C03">
        <w:rPr>
          <w:rFonts w:hAnsi="標楷體" w:hint="eastAsia"/>
        </w:rPr>
        <w:t>」</w:t>
      </w:r>
      <w:r w:rsidRPr="00697C03">
        <w:rPr>
          <w:rFonts w:hAnsi="標楷體" w:hint="eastAsia"/>
        </w:rPr>
        <w:t>之政策規劃，自</w:t>
      </w:r>
      <w:r w:rsidRPr="00697C03">
        <w:rPr>
          <w:rFonts w:hAnsi="標楷體"/>
        </w:rPr>
        <w:t>100</w:t>
      </w:r>
      <w:r w:rsidRPr="00697C03">
        <w:rPr>
          <w:rFonts w:hAnsi="標楷體" w:hint="eastAsia"/>
        </w:rPr>
        <w:t>年</w:t>
      </w:r>
      <w:r w:rsidRPr="00697C03">
        <w:rPr>
          <w:rFonts w:hAnsi="標楷體"/>
        </w:rPr>
        <w:t>1</w:t>
      </w:r>
      <w:r w:rsidRPr="00697C03">
        <w:rPr>
          <w:rFonts w:hAnsi="標楷體" w:hint="eastAsia"/>
        </w:rPr>
        <w:t>月至</w:t>
      </w:r>
      <w:r w:rsidRPr="00697C03">
        <w:rPr>
          <w:rFonts w:hAnsi="標楷體"/>
        </w:rPr>
        <w:t>103</w:t>
      </w:r>
      <w:r w:rsidRPr="00697C03">
        <w:rPr>
          <w:rFonts w:hAnsi="標楷體" w:hint="eastAsia"/>
        </w:rPr>
        <w:t>年</w:t>
      </w:r>
      <w:r w:rsidRPr="00697C03">
        <w:rPr>
          <w:rFonts w:hAnsi="標楷體"/>
        </w:rPr>
        <w:t>7</w:t>
      </w:r>
      <w:r w:rsidRPr="00697C03">
        <w:rPr>
          <w:rFonts w:hAnsi="標楷體" w:hint="eastAsia"/>
        </w:rPr>
        <w:t>月，為啟動準備階段；自</w:t>
      </w:r>
      <w:r w:rsidRPr="00697C03">
        <w:rPr>
          <w:rFonts w:hAnsi="標楷體"/>
        </w:rPr>
        <w:t>103</w:t>
      </w:r>
      <w:r w:rsidRPr="00697C03">
        <w:rPr>
          <w:rFonts w:hAnsi="標楷體" w:hint="eastAsia"/>
        </w:rPr>
        <w:t>年</w:t>
      </w:r>
      <w:r w:rsidRPr="00697C03">
        <w:rPr>
          <w:rFonts w:hAnsi="標楷體"/>
        </w:rPr>
        <w:t>8</w:t>
      </w:r>
      <w:r w:rsidRPr="00697C03">
        <w:rPr>
          <w:rFonts w:hAnsi="標楷體" w:hint="eastAsia"/>
        </w:rPr>
        <w:t>月</w:t>
      </w:r>
      <w:r w:rsidRPr="00697C03">
        <w:rPr>
          <w:rFonts w:hAnsi="標楷體"/>
        </w:rPr>
        <w:t>1</w:t>
      </w:r>
      <w:r w:rsidRPr="00697C03">
        <w:rPr>
          <w:rFonts w:hAnsi="標楷體" w:hint="eastAsia"/>
        </w:rPr>
        <w:t>日起至</w:t>
      </w:r>
      <w:r w:rsidRPr="00697C03">
        <w:rPr>
          <w:rFonts w:hAnsi="標楷體"/>
        </w:rPr>
        <w:t>109</w:t>
      </w:r>
      <w:r w:rsidRPr="00697C03">
        <w:rPr>
          <w:rFonts w:hAnsi="標楷體" w:hint="eastAsia"/>
        </w:rPr>
        <w:t>年</w:t>
      </w:r>
      <w:r w:rsidRPr="00697C03">
        <w:rPr>
          <w:rFonts w:hAnsi="標楷體"/>
        </w:rPr>
        <w:t>7</w:t>
      </w:r>
      <w:r w:rsidRPr="00697C03">
        <w:rPr>
          <w:rFonts w:hAnsi="標楷體" w:hint="eastAsia"/>
        </w:rPr>
        <w:t>月，為全面實施階段。此外，在推動高級中等學校優質化及均質化工作上，除推動「高級中等學校優質化輔助方案」，各校提出競爭性校務優質化計畫，由教育部補助經費並建立專家諮詢輔導團隊，期為相對學習弱勢地區營造更多「優質高級中等學校」外。在均質化方案，鼓勵高級中等學校類科調整及特色發展、加強高級中等學校與國中垂直合作為工作重點，輔助社區內的高級中等學校持續既有的橫向整合，並延伸至縱向的連結，建立高級中等學校與國中的夥伴關係，達成師資、課程、設備等教育資源的共享。另鼓勵高級中等學校辦理「學術試探」及「職涯試探」的課程及活動，提供社區內國中學生生涯探索的機會，讓國中畢業生進入高級中等學校前，對高級中等學校的學習內容能先一步認識，讓學生在當地高級中等學校的就學環境中能有適性學習的機會，期落實就近及免試入學的目標。</w:t>
      </w:r>
    </w:p>
    <w:p w:rsidR="00406A77" w:rsidRPr="00697C03" w:rsidRDefault="00962EBA" w:rsidP="00406A77">
      <w:pPr>
        <w:pStyle w:val="3"/>
        <w:kinsoku/>
        <w:ind w:left="1360" w:hanging="680"/>
        <w:rPr>
          <w:rFonts w:hAnsi="標楷體"/>
        </w:rPr>
      </w:pPr>
      <w:r w:rsidRPr="00697C03">
        <w:rPr>
          <w:rFonts w:hAnsi="標楷體" w:hint="eastAsia"/>
        </w:rPr>
        <w:t>查</w:t>
      </w:r>
      <w:r w:rsidR="00373928" w:rsidRPr="00697C03">
        <w:rPr>
          <w:rFonts w:hAnsi="標楷體" w:hint="eastAsia"/>
        </w:rPr>
        <w:t>國民中學中輟學生之協尋輔導部分，係由教育部按</w:t>
      </w:r>
      <w:r w:rsidR="00406A77" w:rsidRPr="00697C03">
        <w:rPr>
          <w:rFonts w:hAnsi="標楷體" w:hint="eastAsia"/>
        </w:rPr>
        <w:t>強迫入學條例第8條之1訂頒之</w:t>
      </w:r>
      <w:r w:rsidR="0023083C" w:rsidRPr="00697C03">
        <w:rPr>
          <w:rFonts w:hAnsi="標楷體" w:hint="eastAsia"/>
        </w:rPr>
        <w:t>國中小學復學輔導辦法，該辦法</w:t>
      </w:r>
      <w:r w:rsidR="00406A77" w:rsidRPr="00697C03">
        <w:rPr>
          <w:rFonts w:hAnsi="標楷體" w:hint="eastAsia"/>
        </w:rPr>
        <w:t>第3條規定略以，教育部建置主管教育行政機關通報系統，供學生就讀學校、轉出學校或新生未就學學校辦理通報及協尋；學校至通報系統辦理通報，如學生有行蹤不明情事者，除將該學生檔案資料傳送通報系統列管外，由通報系統交換至內政部警政署並函送鄉（鎮、市、區）強迫入</w:t>
      </w:r>
      <w:r w:rsidR="00406A77" w:rsidRPr="00697C03">
        <w:rPr>
          <w:rFonts w:hAnsi="標楷體" w:hint="eastAsia"/>
        </w:rPr>
        <w:lastRenderedPageBreak/>
        <w:t>學委員會，執行強迫入學程序，協助尋獲學生之復學事宜。內政部警政署接獲行蹤不明學生協尋通報檔案資料後，傳送各地警察機關（單位），配合協尋。各地警察機關（單位）協尋查獲學生後，除應註明尋獲外，並即通知其法定代理人及學校，並以書面通知學校及副知直轄市、縣（市）政府。學生之通報、協尋及協助復學，至其滿15歲之該學年度結束為止。經查，</w:t>
      </w:r>
      <w:r w:rsidR="00406A77" w:rsidRPr="00697C03">
        <w:rPr>
          <w:rFonts w:hAnsi="標楷體" w:hint="eastAsia"/>
        </w:rPr>
        <w:tab/>
        <w:t>近5年國民中學中輟生之總數及協尋比率概況，</w:t>
      </w:r>
      <w:r w:rsidR="00406A77" w:rsidRPr="00697C03">
        <w:rPr>
          <w:rFonts w:hAnsi="標楷體" w:hint="eastAsia"/>
        </w:rPr>
        <w:tab/>
        <w:t>各縣市中輟生倘為行蹤不明，多透過介接警政署追蹤協尋平臺進行協尋，其中以108學年度為例，截至108年12月25日輟學人數為1,494位，協尋總人數為634位，比率為42.44%。</w:t>
      </w:r>
    </w:p>
    <w:p w:rsidR="00406A77" w:rsidRPr="00697C03" w:rsidRDefault="00406A77" w:rsidP="00406A77">
      <w:pPr>
        <w:pStyle w:val="a3"/>
        <w:rPr>
          <w:rFonts w:hAnsi="標楷體"/>
          <w:b/>
        </w:rPr>
      </w:pPr>
      <w:r w:rsidRPr="00697C03">
        <w:rPr>
          <w:rFonts w:hAnsi="標楷體" w:hint="eastAsia"/>
          <w:b/>
        </w:rPr>
        <w:t>103-107學年度全國各縣市國民中小學中輟學生中途輟學及復學統計表</w:t>
      </w:r>
    </w:p>
    <w:tbl>
      <w:tblPr>
        <w:tblW w:w="10819" w:type="dxa"/>
        <w:jc w:val="center"/>
        <w:tblLayout w:type="fixed"/>
        <w:tblCellMar>
          <w:left w:w="28" w:type="dxa"/>
          <w:right w:w="28" w:type="dxa"/>
        </w:tblCellMar>
        <w:tblLook w:val="04A0" w:firstRow="1" w:lastRow="0" w:firstColumn="1" w:lastColumn="0" w:noHBand="0" w:noVBand="1"/>
      </w:tblPr>
      <w:tblGrid>
        <w:gridCol w:w="575"/>
        <w:gridCol w:w="879"/>
        <w:gridCol w:w="708"/>
        <w:gridCol w:w="426"/>
        <w:gridCol w:w="425"/>
        <w:gridCol w:w="425"/>
        <w:gridCol w:w="284"/>
        <w:gridCol w:w="567"/>
        <w:gridCol w:w="850"/>
        <w:gridCol w:w="567"/>
        <w:gridCol w:w="709"/>
        <w:gridCol w:w="709"/>
        <w:gridCol w:w="992"/>
        <w:gridCol w:w="709"/>
        <w:gridCol w:w="860"/>
        <w:gridCol w:w="709"/>
        <w:gridCol w:w="425"/>
      </w:tblGrid>
      <w:tr w:rsidR="00697C03" w:rsidRPr="00697C03" w:rsidTr="00BF41DE">
        <w:trPr>
          <w:trHeight w:val="405"/>
          <w:jc w:val="center"/>
        </w:trPr>
        <w:tc>
          <w:tcPr>
            <w:tcW w:w="575" w:type="dxa"/>
            <w:vMerge w:val="restart"/>
            <w:tcBorders>
              <w:top w:val="single" w:sz="8" w:space="0" w:color="000000"/>
              <w:left w:val="single" w:sz="8" w:space="0" w:color="000000"/>
              <w:bottom w:val="single" w:sz="6" w:space="0" w:color="000000"/>
              <w:right w:val="single" w:sz="6" w:space="0" w:color="000000"/>
            </w:tcBorders>
            <w:shd w:val="clear" w:color="auto" w:fill="D9D9D9" w:themeFill="background1" w:themeFillShade="D9"/>
            <w:vAlign w:val="center"/>
            <w:hideMark/>
          </w:tcPr>
          <w:p w:rsidR="00406A77" w:rsidRPr="00697C03" w:rsidRDefault="00406A77" w:rsidP="00BF41DE">
            <w:pPr>
              <w:widowControl/>
              <w:jc w:val="center"/>
              <w:rPr>
                <w:rFonts w:ascii="標楷體" w:hAnsi="標楷體" w:cs="新細明體"/>
                <w:b/>
                <w:bCs/>
                <w:kern w:val="0"/>
                <w:sz w:val="20"/>
              </w:rPr>
            </w:pPr>
            <w:r w:rsidRPr="00697C03">
              <w:rPr>
                <w:rFonts w:ascii="標楷體" w:hAnsi="標楷體" w:cs="新細明體" w:hint="eastAsia"/>
                <w:b/>
                <w:bCs/>
                <w:kern w:val="0"/>
                <w:sz w:val="20"/>
              </w:rPr>
              <w:t>學</w:t>
            </w:r>
          </w:p>
          <w:p w:rsidR="00406A77" w:rsidRPr="00697C03" w:rsidRDefault="00406A77" w:rsidP="00BF41DE">
            <w:pPr>
              <w:widowControl/>
              <w:jc w:val="center"/>
              <w:rPr>
                <w:rFonts w:ascii="標楷體" w:hAnsi="標楷體" w:cs="新細明體"/>
                <w:b/>
                <w:bCs/>
                <w:kern w:val="0"/>
                <w:sz w:val="20"/>
              </w:rPr>
            </w:pPr>
            <w:r w:rsidRPr="00697C03">
              <w:rPr>
                <w:rFonts w:ascii="標楷體" w:hAnsi="標楷體" w:cs="新細明體" w:hint="eastAsia"/>
                <w:b/>
                <w:bCs/>
                <w:kern w:val="0"/>
                <w:sz w:val="20"/>
              </w:rPr>
              <w:t>年</w:t>
            </w:r>
          </w:p>
          <w:p w:rsidR="00406A77" w:rsidRPr="00697C03" w:rsidRDefault="00406A77" w:rsidP="00BF41DE">
            <w:pPr>
              <w:widowControl/>
              <w:jc w:val="center"/>
              <w:rPr>
                <w:rFonts w:ascii="標楷體" w:hAnsi="標楷體" w:cs="新細明體"/>
                <w:b/>
                <w:bCs/>
                <w:kern w:val="0"/>
                <w:sz w:val="20"/>
              </w:rPr>
            </w:pPr>
            <w:r w:rsidRPr="00697C03">
              <w:rPr>
                <w:rFonts w:ascii="標楷體" w:hAnsi="標楷體" w:cs="新細明體" w:hint="eastAsia"/>
                <w:b/>
                <w:bCs/>
                <w:kern w:val="0"/>
                <w:sz w:val="20"/>
              </w:rPr>
              <w:t>度</w:t>
            </w:r>
          </w:p>
        </w:tc>
        <w:tc>
          <w:tcPr>
            <w:tcW w:w="879" w:type="dxa"/>
            <w:vMerge w:val="restart"/>
            <w:tcBorders>
              <w:top w:val="single" w:sz="8"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406A77" w:rsidRPr="00697C03" w:rsidRDefault="00406A77" w:rsidP="00BF41DE">
            <w:pPr>
              <w:widowControl/>
              <w:jc w:val="center"/>
              <w:rPr>
                <w:rFonts w:ascii="標楷體" w:hAnsi="標楷體" w:cs="新細明體"/>
                <w:b/>
                <w:bCs/>
                <w:kern w:val="0"/>
                <w:sz w:val="20"/>
              </w:rPr>
            </w:pPr>
            <w:r w:rsidRPr="00697C03">
              <w:rPr>
                <w:rFonts w:ascii="標楷體" w:hAnsi="標楷體" w:cs="新細明體" w:hint="eastAsia"/>
                <w:b/>
                <w:bCs/>
                <w:kern w:val="0"/>
                <w:sz w:val="20"/>
              </w:rPr>
              <w:t>該學年度</w:t>
            </w:r>
          </w:p>
          <w:p w:rsidR="00406A77" w:rsidRPr="00697C03" w:rsidRDefault="00406A77" w:rsidP="00BF41DE">
            <w:pPr>
              <w:widowControl/>
              <w:jc w:val="center"/>
              <w:rPr>
                <w:rFonts w:ascii="標楷體" w:hAnsi="標楷體" w:cs="新細明體"/>
                <w:b/>
                <w:bCs/>
                <w:kern w:val="0"/>
                <w:sz w:val="20"/>
              </w:rPr>
            </w:pPr>
            <w:r w:rsidRPr="00697C03">
              <w:rPr>
                <w:rFonts w:ascii="標楷體" w:hAnsi="標楷體" w:cs="新細明體" w:hint="eastAsia"/>
                <w:b/>
                <w:bCs/>
                <w:kern w:val="0"/>
                <w:sz w:val="20"/>
              </w:rPr>
              <w:t>學校學生總數</w:t>
            </w:r>
          </w:p>
        </w:tc>
        <w:tc>
          <w:tcPr>
            <w:tcW w:w="2268" w:type="dxa"/>
            <w:gridSpan w:val="5"/>
            <w:tcBorders>
              <w:top w:val="single" w:sz="8"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06A77" w:rsidRPr="00697C03" w:rsidRDefault="00406A77" w:rsidP="00BF41DE">
            <w:pPr>
              <w:jc w:val="center"/>
              <w:rPr>
                <w:rFonts w:ascii="標楷體" w:hAnsi="標楷體" w:cs="新細明體"/>
                <w:b/>
                <w:bCs/>
                <w:kern w:val="0"/>
                <w:sz w:val="20"/>
              </w:rPr>
            </w:pPr>
            <w:r w:rsidRPr="00697C03">
              <w:rPr>
                <w:rFonts w:ascii="標楷體" w:hAnsi="標楷體" w:cs="新細明體" w:hint="eastAsia"/>
                <w:b/>
                <w:bCs/>
                <w:kern w:val="0"/>
                <w:sz w:val="20"/>
              </w:rPr>
              <w:t>該學年度中輟生</w:t>
            </w:r>
          </w:p>
          <w:p w:rsidR="00406A77" w:rsidRPr="00697C03" w:rsidRDefault="00406A77" w:rsidP="00BF41DE">
            <w:pPr>
              <w:jc w:val="center"/>
              <w:rPr>
                <w:rFonts w:ascii="標楷體" w:hAnsi="標楷體" w:cs="新細明體"/>
                <w:b/>
                <w:bCs/>
                <w:kern w:val="0"/>
                <w:sz w:val="20"/>
              </w:rPr>
            </w:pPr>
            <w:r w:rsidRPr="00697C03">
              <w:rPr>
                <w:rFonts w:ascii="標楷體" w:hAnsi="標楷體" w:cs="新細明體" w:hint="eastAsia"/>
                <w:b/>
                <w:bCs/>
                <w:kern w:val="0"/>
                <w:sz w:val="20"/>
              </w:rPr>
              <w:t>人數分析</w:t>
            </w:r>
          </w:p>
        </w:tc>
        <w:tc>
          <w:tcPr>
            <w:tcW w:w="2693" w:type="dxa"/>
            <w:gridSpan w:val="4"/>
            <w:tcBorders>
              <w:top w:val="single" w:sz="8"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406A77" w:rsidRPr="00697C03" w:rsidRDefault="00406A77" w:rsidP="00BF41DE">
            <w:pPr>
              <w:widowControl/>
              <w:jc w:val="center"/>
              <w:rPr>
                <w:rFonts w:ascii="標楷體" w:hAnsi="標楷體" w:cs="新細明體"/>
                <w:b/>
                <w:bCs/>
                <w:kern w:val="0"/>
                <w:sz w:val="20"/>
              </w:rPr>
            </w:pPr>
            <w:r w:rsidRPr="00697C03">
              <w:rPr>
                <w:rFonts w:ascii="標楷體" w:hAnsi="標楷體" w:cs="新細明體" w:hint="eastAsia"/>
                <w:b/>
                <w:bCs/>
                <w:kern w:val="0"/>
                <w:sz w:val="20"/>
              </w:rPr>
              <w:t>該學年與非該學年</w:t>
            </w:r>
          </w:p>
          <w:p w:rsidR="00406A77" w:rsidRPr="00697C03" w:rsidRDefault="00406A77" w:rsidP="00BF41DE">
            <w:pPr>
              <w:widowControl/>
              <w:jc w:val="center"/>
              <w:rPr>
                <w:rFonts w:ascii="標楷體" w:hAnsi="標楷體" w:cs="新細明體"/>
                <w:b/>
                <w:bCs/>
                <w:kern w:val="0"/>
                <w:sz w:val="20"/>
              </w:rPr>
            </w:pPr>
            <w:r w:rsidRPr="00697C03">
              <w:rPr>
                <w:rFonts w:ascii="標楷體" w:hAnsi="標楷體" w:cs="新細明體" w:hint="eastAsia"/>
                <w:b/>
                <w:bCs/>
                <w:kern w:val="0"/>
                <w:sz w:val="20"/>
              </w:rPr>
              <w:t>分開統計</w:t>
            </w:r>
          </w:p>
        </w:tc>
        <w:tc>
          <w:tcPr>
            <w:tcW w:w="2410" w:type="dxa"/>
            <w:gridSpan w:val="3"/>
            <w:tcBorders>
              <w:top w:val="single" w:sz="8"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406A77" w:rsidRPr="00697C03" w:rsidRDefault="00406A77" w:rsidP="00BF41DE">
            <w:pPr>
              <w:widowControl/>
              <w:jc w:val="center"/>
              <w:rPr>
                <w:rFonts w:ascii="標楷體" w:hAnsi="標楷體" w:cs="新細明體"/>
                <w:b/>
                <w:bCs/>
                <w:kern w:val="0"/>
                <w:sz w:val="20"/>
              </w:rPr>
            </w:pPr>
            <w:r w:rsidRPr="00697C03">
              <w:rPr>
                <w:rFonts w:ascii="標楷體" w:hAnsi="標楷體" w:cs="新細明體" w:hint="eastAsia"/>
                <w:b/>
                <w:bCs/>
                <w:kern w:val="0"/>
                <w:sz w:val="20"/>
              </w:rPr>
              <w:t>復學率</w:t>
            </w:r>
          </w:p>
        </w:tc>
        <w:tc>
          <w:tcPr>
            <w:tcW w:w="1569" w:type="dxa"/>
            <w:gridSpan w:val="2"/>
            <w:tcBorders>
              <w:top w:val="single" w:sz="8"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406A77" w:rsidRPr="00697C03" w:rsidRDefault="00406A77" w:rsidP="00BF41DE">
            <w:pPr>
              <w:widowControl/>
              <w:jc w:val="center"/>
              <w:rPr>
                <w:rFonts w:ascii="標楷體" w:hAnsi="標楷體" w:cs="新細明體"/>
                <w:b/>
                <w:bCs/>
                <w:kern w:val="0"/>
                <w:sz w:val="20"/>
              </w:rPr>
            </w:pPr>
            <w:r w:rsidRPr="00697C03">
              <w:rPr>
                <w:rFonts w:ascii="標楷體" w:hAnsi="標楷體" w:cs="新細明體" w:hint="eastAsia"/>
                <w:b/>
                <w:bCs/>
                <w:kern w:val="0"/>
                <w:sz w:val="20"/>
              </w:rPr>
              <w:t>輟學率</w:t>
            </w:r>
          </w:p>
        </w:tc>
        <w:tc>
          <w:tcPr>
            <w:tcW w:w="425" w:type="dxa"/>
            <w:vMerge w:val="restart"/>
            <w:tcBorders>
              <w:top w:val="single" w:sz="8" w:space="0" w:color="000000"/>
              <w:left w:val="single" w:sz="6" w:space="0" w:color="000000"/>
              <w:bottom w:val="single" w:sz="6" w:space="0" w:color="000000"/>
              <w:right w:val="single" w:sz="8" w:space="0" w:color="000000"/>
            </w:tcBorders>
            <w:shd w:val="clear" w:color="auto" w:fill="D9D9D9" w:themeFill="background1" w:themeFillShade="D9"/>
            <w:vAlign w:val="center"/>
            <w:hideMark/>
          </w:tcPr>
          <w:p w:rsidR="00406A77" w:rsidRPr="00697C03" w:rsidRDefault="00406A77" w:rsidP="00BF41DE">
            <w:pPr>
              <w:widowControl/>
              <w:jc w:val="center"/>
              <w:rPr>
                <w:rFonts w:ascii="標楷體" w:hAnsi="標楷體" w:cs="新細明體"/>
                <w:b/>
                <w:bCs/>
                <w:kern w:val="0"/>
                <w:sz w:val="20"/>
              </w:rPr>
            </w:pPr>
            <w:r w:rsidRPr="00697C03">
              <w:rPr>
                <w:rFonts w:ascii="標楷體" w:hAnsi="標楷體" w:cs="新細明體" w:hint="eastAsia"/>
                <w:b/>
                <w:bCs/>
                <w:kern w:val="0"/>
                <w:sz w:val="20"/>
              </w:rPr>
              <w:t>尚輟</w:t>
            </w:r>
          </w:p>
          <w:p w:rsidR="00406A77" w:rsidRPr="00697C03" w:rsidRDefault="00406A77" w:rsidP="00BF41DE">
            <w:pPr>
              <w:widowControl/>
              <w:jc w:val="center"/>
              <w:rPr>
                <w:rFonts w:ascii="標楷體" w:hAnsi="標楷體" w:cs="新細明體"/>
                <w:b/>
                <w:bCs/>
                <w:kern w:val="0"/>
                <w:sz w:val="20"/>
              </w:rPr>
            </w:pPr>
            <w:r w:rsidRPr="00697C03">
              <w:rPr>
                <w:rFonts w:ascii="標楷體" w:hAnsi="標楷體" w:cs="新細明體" w:hint="eastAsia"/>
                <w:b/>
                <w:bCs/>
                <w:kern w:val="0"/>
                <w:sz w:val="20"/>
              </w:rPr>
              <w:t>學生數</w:t>
            </w:r>
          </w:p>
        </w:tc>
      </w:tr>
      <w:tr w:rsidR="00697C03" w:rsidRPr="00697C03" w:rsidTr="00BF41DE">
        <w:trPr>
          <w:trHeight w:val="63"/>
          <w:jc w:val="center"/>
        </w:trPr>
        <w:tc>
          <w:tcPr>
            <w:tcW w:w="575" w:type="dxa"/>
            <w:vMerge/>
            <w:tcBorders>
              <w:top w:val="single" w:sz="6" w:space="0" w:color="000000"/>
              <w:left w:val="single" w:sz="8" w:space="0" w:color="000000"/>
              <w:bottom w:val="single" w:sz="6" w:space="0" w:color="000000"/>
              <w:right w:val="single" w:sz="6" w:space="0" w:color="000000"/>
            </w:tcBorders>
            <w:shd w:val="clear" w:color="auto" w:fill="D9D9D9" w:themeFill="background1" w:themeFillShade="D9"/>
            <w:vAlign w:val="center"/>
            <w:hideMark/>
          </w:tcPr>
          <w:p w:rsidR="00406A77" w:rsidRPr="00697C03" w:rsidRDefault="00406A77" w:rsidP="00BF41DE">
            <w:pPr>
              <w:widowControl/>
              <w:rPr>
                <w:rFonts w:ascii="標楷體" w:hAnsi="標楷體" w:cs="新細明體"/>
                <w:b/>
                <w:bCs/>
                <w:kern w:val="0"/>
                <w:sz w:val="20"/>
              </w:rPr>
            </w:pPr>
          </w:p>
        </w:tc>
        <w:tc>
          <w:tcPr>
            <w:tcW w:w="879" w:type="dxa"/>
            <w:vMerge/>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406A77" w:rsidRPr="00697C03" w:rsidRDefault="00406A77" w:rsidP="00BF41DE">
            <w:pPr>
              <w:widowControl/>
              <w:rPr>
                <w:rFonts w:ascii="標楷體" w:hAnsi="標楷體" w:cs="新細明體"/>
                <w:b/>
                <w:bCs/>
                <w:kern w:val="0"/>
                <w:sz w:val="20"/>
              </w:rPr>
            </w:pPr>
          </w:p>
        </w:tc>
        <w:tc>
          <w:tcPr>
            <w:tcW w:w="2268" w:type="dxa"/>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406A77" w:rsidRPr="00697C03" w:rsidRDefault="00406A77" w:rsidP="00BF41DE">
            <w:pPr>
              <w:widowControl/>
              <w:jc w:val="center"/>
              <w:rPr>
                <w:rFonts w:ascii="標楷體" w:hAnsi="標楷體" w:cs="新細明體"/>
                <w:b/>
                <w:bCs/>
                <w:kern w:val="0"/>
                <w:sz w:val="20"/>
              </w:rPr>
            </w:pPr>
            <w:r w:rsidRPr="00697C03">
              <w:rPr>
                <w:rFonts w:ascii="標楷體" w:hAnsi="標楷體" w:cs="新細明體" w:hint="eastAsia"/>
                <w:b/>
                <w:bCs/>
                <w:kern w:val="0"/>
                <w:sz w:val="20"/>
              </w:rPr>
              <w:t>輟學原因</w:t>
            </w:r>
          </w:p>
        </w:tc>
        <w:tc>
          <w:tcPr>
            <w:tcW w:w="1417"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406A77" w:rsidRPr="00697C03" w:rsidRDefault="00406A77" w:rsidP="00BF41DE">
            <w:pPr>
              <w:widowControl/>
              <w:jc w:val="center"/>
              <w:rPr>
                <w:rFonts w:ascii="標楷體" w:hAnsi="標楷體" w:cs="新細明體"/>
                <w:b/>
                <w:bCs/>
                <w:kern w:val="0"/>
                <w:sz w:val="20"/>
              </w:rPr>
            </w:pPr>
            <w:r w:rsidRPr="00697C03">
              <w:rPr>
                <w:rFonts w:ascii="標楷體" w:hAnsi="標楷體" w:cs="新細明體" w:hint="eastAsia"/>
                <w:b/>
                <w:bCs/>
                <w:kern w:val="0"/>
                <w:sz w:val="20"/>
              </w:rPr>
              <w:t>輟學人數</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406A77" w:rsidRPr="00697C03" w:rsidRDefault="00406A77" w:rsidP="00BF41DE">
            <w:pPr>
              <w:widowControl/>
              <w:jc w:val="center"/>
              <w:rPr>
                <w:rFonts w:ascii="標楷體" w:hAnsi="標楷體" w:cs="新細明體"/>
                <w:b/>
                <w:bCs/>
                <w:kern w:val="0"/>
                <w:sz w:val="20"/>
              </w:rPr>
            </w:pPr>
            <w:r w:rsidRPr="00697C03">
              <w:rPr>
                <w:rFonts w:ascii="標楷體" w:hAnsi="標楷體" w:cs="新細明體" w:hint="eastAsia"/>
                <w:b/>
                <w:bCs/>
                <w:kern w:val="0"/>
                <w:sz w:val="20"/>
              </w:rPr>
              <w:t>復學人數</w:t>
            </w:r>
          </w:p>
        </w:tc>
        <w:tc>
          <w:tcPr>
            <w:tcW w:w="709" w:type="dxa"/>
            <w:vMerge w:val="restar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06A77" w:rsidRPr="00697C03" w:rsidRDefault="00406A77" w:rsidP="00BF41DE">
            <w:pPr>
              <w:widowControl/>
              <w:jc w:val="center"/>
              <w:rPr>
                <w:rFonts w:ascii="標楷體" w:hAnsi="標楷體" w:cs="新細明體"/>
                <w:b/>
                <w:bCs/>
                <w:kern w:val="0"/>
                <w:sz w:val="20"/>
              </w:rPr>
            </w:pPr>
            <w:r w:rsidRPr="00697C03">
              <w:rPr>
                <w:rFonts w:ascii="標楷體" w:hAnsi="標楷體" w:cs="新細明體" w:hint="eastAsia"/>
                <w:b/>
                <w:bCs/>
                <w:kern w:val="0"/>
                <w:sz w:val="20"/>
              </w:rPr>
              <w:t>該學年復學率</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406A77" w:rsidRPr="00697C03" w:rsidRDefault="00406A77" w:rsidP="00BF41DE">
            <w:pPr>
              <w:widowControl/>
              <w:jc w:val="center"/>
              <w:rPr>
                <w:rFonts w:ascii="標楷體" w:hAnsi="標楷體" w:cs="新細明體"/>
                <w:b/>
                <w:bCs/>
                <w:kern w:val="0"/>
                <w:sz w:val="20"/>
              </w:rPr>
            </w:pPr>
            <w:r w:rsidRPr="00697C03">
              <w:rPr>
                <w:rFonts w:ascii="標楷體" w:hAnsi="標楷體" w:cs="新細明體" w:hint="eastAsia"/>
                <w:b/>
                <w:bCs/>
                <w:kern w:val="0"/>
                <w:sz w:val="20"/>
              </w:rPr>
              <w:t>非該學年復學率</w:t>
            </w:r>
          </w:p>
        </w:tc>
        <w:tc>
          <w:tcPr>
            <w:tcW w:w="709" w:type="dxa"/>
            <w:vMerge w:val="restar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406A77" w:rsidRPr="00697C03" w:rsidRDefault="00406A77" w:rsidP="00BF41DE">
            <w:pPr>
              <w:widowControl/>
              <w:jc w:val="center"/>
              <w:rPr>
                <w:rFonts w:ascii="標楷體" w:hAnsi="標楷體" w:cs="新細明體"/>
                <w:b/>
                <w:bCs/>
                <w:kern w:val="0"/>
                <w:sz w:val="20"/>
              </w:rPr>
            </w:pPr>
            <w:r w:rsidRPr="00697C03">
              <w:rPr>
                <w:rFonts w:ascii="標楷體" w:hAnsi="標楷體" w:cs="新細明體" w:hint="eastAsia"/>
                <w:b/>
                <w:bCs/>
                <w:kern w:val="0"/>
                <w:sz w:val="20"/>
              </w:rPr>
              <w:t>總復</w:t>
            </w:r>
          </w:p>
          <w:p w:rsidR="00406A77" w:rsidRPr="00697C03" w:rsidRDefault="00406A77" w:rsidP="00BF41DE">
            <w:pPr>
              <w:widowControl/>
              <w:jc w:val="center"/>
              <w:rPr>
                <w:rFonts w:ascii="標楷體" w:hAnsi="標楷體" w:cs="新細明體"/>
                <w:b/>
                <w:bCs/>
                <w:kern w:val="0"/>
                <w:sz w:val="20"/>
              </w:rPr>
            </w:pPr>
            <w:r w:rsidRPr="00697C03">
              <w:rPr>
                <w:rFonts w:ascii="標楷體" w:hAnsi="標楷體" w:cs="新細明體" w:hint="eastAsia"/>
                <w:b/>
                <w:bCs/>
                <w:kern w:val="0"/>
                <w:sz w:val="20"/>
              </w:rPr>
              <w:t>學率</w:t>
            </w:r>
          </w:p>
        </w:tc>
        <w:tc>
          <w:tcPr>
            <w:tcW w:w="860" w:type="dxa"/>
            <w:vMerge w:val="restar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406A77" w:rsidRPr="00697C03" w:rsidRDefault="00406A77" w:rsidP="00BF41DE">
            <w:pPr>
              <w:widowControl/>
              <w:jc w:val="center"/>
              <w:rPr>
                <w:rFonts w:ascii="標楷體" w:hAnsi="標楷體" w:cs="新細明體"/>
                <w:b/>
                <w:bCs/>
                <w:kern w:val="0"/>
                <w:sz w:val="20"/>
              </w:rPr>
            </w:pPr>
            <w:r w:rsidRPr="00697C03">
              <w:rPr>
                <w:rFonts w:ascii="標楷體" w:hAnsi="標楷體" w:cs="新細明體" w:hint="eastAsia"/>
                <w:b/>
                <w:bCs/>
                <w:kern w:val="0"/>
                <w:sz w:val="20"/>
              </w:rPr>
              <w:t>該學年度輟學率</w:t>
            </w:r>
          </w:p>
        </w:tc>
        <w:tc>
          <w:tcPr>
            <w:tcW w:w="709" w:type="dxa"/>
            <w:vMerge w:val="restar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406A77" w:rsidRPr="00697C03" w:rsidRDefault="00406A77" w:rsidP="00BF41DE">
            <w:pPr>
              <w:widowControl/>
              <w:jc w:val="center"/>
              <w:rPr>
                <w:rFonts w:ascii="標楷體" w:hAnsi="標楷體" w:cs="新細明體"/>
                <w:b/>
                <w:bCs/>
                <w:kern w:val="0"/>
                <w:sz w:val="20"/>
              </w:rPr>
            </w:pPr>
            <w:r w:rsidRPr="00697C03">
              <w:rPr>
                <w:rFonts w:ascii="標楷體" w:hAnsi="標楷體" w:cs="新細明體" w:hint="eastAsia"/>
                <w:b/>
                <w:bCs/>
                <w:kern w:val="0"/>
                <w:sz w:val="20"/>
              </w:rPr>
              <w:t>尚輟學率</w:t>
            </w:r>
          </w:p>
        </w:tc>
        <w:tc>
          <w:tcPr>
            <w:tcW w:w="425" w:type="dxa"/>
            <w:vMerge/>
            <w:tcBorders>
              <w:top w:val="single" w:sz="6" w:space="0" w:color="000000"/>
              <w:left w:val="single" w:sz="6" w:space="0" w:color="000000"/>
              <w:bottom w:val="single" w:sz="6" w:space="0" w:color="000000"/>
              <w:right w:val="single" w:sz="8" w:space="0" w:color="000000"/>
            </w:tcBorders>
            <w:shd w:val="clear" w:color="auto" w:fill="D9D9D9" w:themeFill="background1" w:themeFillShade="D9"/>
            <w:vAlign w:val="center"/>
            <w:hideMark/>
          </w:tcPr>
          <w:p w:rsidR="00406A77" w:rsidRPr="00697C03" w:rsidRDefault="00406A77" w:rsidP="00BF41DE">
            <w:pPr>
              <w:widowControl/>
              <w:rPr>
                <w:rFonts w:ascii="標楷體" w:hAnsi="標楷體" w:cs="新細明體"/>
                <w:b/>
                <w:bCs/>
                <w:kern w:val="0"/>
                <w:sz w:val="20"/>
              </w:rPr>
            </w:pPr>
          </w:p>
        </w:tc>
      </w:tr>
      <w:tr w:rsidR="00697C03" w:rsidRPr="00697C03" w:rsidTr="00BF41DE">
        <w:trPr>
          <w:trHeight w:val="411"/>
          <w:jc w:val="center"/>
        </w:trPr>
        <w:tc>
          <w:tcPr>
            <w:tcW w:w="575" w:type="dxa"/>
            <w:vMerge/>
            <w:tcBorders>
              <w:top w:val="single" w:sz="6" w:space="0" w:color="000000"/>
              <w:left w:val="single" w:sz="8" w:space="0" w:color="000000"/>
              <w:bottom w:val="single" w:sz="6" w:space="0" w:color="000000"/>
              <w:right w:val="single" w:sz="6" w:space="0" w:color="000000"/>
            </w:tcBorders>
            <w:shd w:val="clear" w:color="auto" w:fill="D9D9D9" w:themeFill="background1" w:themeFillShade="D9"/>
            <w:vAlign w:val="center"/>
            <w:hideMark/>
          </w:tcPr>
          <w:p w:rsidR="00406A77" w:rsidRPr="00697C03" w:rsidRDefault="00406A77" w:rsidP="00BF41DE">
            <w:pPr>
              <w:widowControl/>
              <w:rPr>
                <w:rFonts w:ascii="標楷體" w:hAnsi="標楷體" w:cs="新細明體"/>
                <w:b/>
                <w:bCs/>
                <w:kern w:val="0"/>
                <w:sz w:val="20"/>
              </w:rPr>
            </w:pPr>
          </w:p>
        </w:tc>
        <w:tc>
          <w:tcPr>
            <w:tcW w:w="879" w:type="dxa"/>
            <w:vMerge/>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406A77" w:rsidRPr="00697C03" w:rsidRDefault="00406A77" w:rsidP="00BF41DE">
            <w:pPr>
              <w:widowControl/>
              <w:rPr>
                <w:rFonts w:ascii="標楷體" w:hAnsi="標楷體" w:cs="新細明體"/>
                <w:b/>
                <w:bCs/>
                <w:kern w:val="0"/>
                <w:sz w:val="20"/>
              </w:rPr>
            </w:pPr>
          </w:p>
        </w:tc>
        <w:tc>
          <w:tcPr>
            <w:tcW w:w="70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406A77" w:rsidRPr="00697C03" w:rsidRDefault="00406A77" w:rsidP="00BF41DE">
            <w:pPr>
              <w:widowControl/>
              <w:spacing w:line="300" w:lineRule="exact"/>
              <w:jc w:val="center"/>
              <w:rPr>
                <w:rFonts w:ascii="標楷體" w:hAnsi="標楷體" w:cs="新細明體"/>
                <w:b/>
                <w:bCs/>
                <w:kern w:val="0"/>
                <w:sz w:val="20"/>
              </w:rPr>
            </w:pPr>
            <w:r w:rsidRPr="00697C03">
              <w:rPr>
                <w:rFonts w:ascii="標楷體" w:hAnsi="標楷體" w:cs="新細明體" w:hint="eastAsia"/>
                <w:b/>
                <w:bCs/>
                <w:kern w:val="0"/>
                <w:sz w:val="20"/>
              </w:rPr>
              <w:t>個人</w:t>
            </w:r>
          </w:p>
        </w:tc>
        <w:tc>
          <w:tcPr>
            <w:tcW w:w="42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406A77" w:rsidRPr="00697C03" w:rsidRDefault="00406A77" w:rsidP="00BF41DE">
            <w:pPr>
              <w:widowControl/>
              <w:spacing w:line="300" w:lineRule="exact"/>
              <w:jc w:val="center"/>
              <w:rPr>
                <w:rFonts w:ascii="標楷體" w:hAnsi="標楷體" w:cs="新細明體"/>
                <w:b/>
                <w:bCs/>
                <w:kern w:val="0"/>
                <w:sz w:val="20"/>
              </w:rPr>
            </w:pPr>
            <w:r w:rsidRPr="00697C03">
              <w:rPr>
                <w:rFonts w:ascii="標楷體" w:hAnsi="標楷體" w:cs="新細明體" w:hint="eastAsia"/>
                <w:b/>
                <w:bCs/>
                <w:kern w:val="0"/>
                <w:sz w:val="20"/>
              </w:rPr>
              <w:t>家庭</w:t>
            </w:r>
          </w:p>
        </w:tc>
        <w:tc>
          <w:tcPr>
            <w:tcW w:w="42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406A77" w:rsidRPr="00697C03" w:rsidRDefault="00406A77" w:rsidP="00BF41DE">
            <w:pPr>
              <w:widowControl/>
              <w:spacing w:line="300" w:lineRule="exact"/>
              <w:jc w:val="center"/>
              <w:rPr>
                <w:rFonts w:ascii="標楷體" w:hAnsi="標楷體" w:cs="新細明體"/>
                <w:b/>
                <w:bCs/>
                <w:kern w:val="0"/>
                <w:sz w:val="20"/>
              </w:rPr>
            </w:pPr>
            <w:r w:rsidRPr="00697C03">
              <w:rPr>
                <w:rFonts w:ascii="標楷體" w:hAnsi="標楷體" w:cs="新細明體" w:hint="eastAsia"/>
                <w:b/>
                <w:bCs/>
                <w:kern w:val="0"/>
                <w:sz w:val="20"/>
              </w:rPr>
              <w:t>學校</w:t>
            </w:r>
          </w:p>
        </w:tc>
        <w:tc>
          <w:tcPr>
            <w:tcW w:w="42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406A77" w:rsidRPr="00697C03" w:rsidRDefault="00406A77" w:rsidP="00BF41DE">
            <w:pPr>
              <w:widowControl/>
              <w:spacing w:line="300" w:lineRule="exact"/>
              <w:jc w:val="center"/>
              <w:rPr>
                <w:rFonts w:ascii="標楷體" w:hAnsi="標楷體" w:cs="新細明體"/>
                <w:b/>
                <w:bCs/>
                <w:kern w:val="0"/>
                <w:sz w:val="20"/>
              </w:rPr>
            </w:pPr>
            <w:r w:rsidRPr="00697C03">
              <w:rPr>
                <w:rFonts w:ascii="標楷體" w:hAnsi="標楷體" w:cs="新細明體" w:hint="eastAsia"/>
                <w:b/>
                <w:bCs/>
                <w:kern w:val="0"/>
                <w:sz w:val="20"/>
              </w:rPr>
              <w:t>社會</w:t>
            </w:r>
          </w:p>
        </w:tc>
        <w:tc>
          <w:tcPr>
            <w:tcW w:w="28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406A77" w:rsidRPr="00697C03" w:rsidRDefault="00406A77" w:rsidP="00BF41DE">
            <w:pPr>
              <w:widowControl/>
              <w:spacing w:line="300" w:lineRule="exact"/>
              <w:jc w:val="center"/>
              <w:rPr>
                <w:rFonts w:ascii="標楷體" w:hAnsi="標楷體" w:cs="新細明體"/>
                <w:b/>
                <w:bCs/>
                <w:kern w:val="0"/>
                <w:sz w:val="20"/>
              </w:rPr>
            </w:pPr>
            <w:r w:rsidRPr="00697C03">
              <w:rPr>
                <w:rFonts w:ascii="標楷體" w:hAnsi="標楷體" w:cs="新細明體" w:hint="eastAsia"/>
                <w:b/>
                <w:bCs/>
                <w:kern w:val="0"/>
                <w:sz w:val="20"/>
              </w:rPr>
              <w:t>其他</w:t>
            </w:r>
          </w:p>
        </w:tc>
        <w:tc>
          <w:tcPr>
            <w:tcW w:w="56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406A77" w:rsidRPr="00697C03" w:rsidRDefault="00406A77" w:rsidP="00BF41DE">
            <w:pPr>
              <w:widowControl/>
              <w:spacing w:line="300" w:lineRule="exact"/>
              <w:jc w:val="center"/>
              <w:rPr>
                <w:rFonts w:ascii="標楷體" w:hAnsi="標楷體" w:cs="新細明體"/>
                <w:b/>
                <w:bCs/>
                <w:kern w:val="0"/>
                <w:sz w:val="20"/>
              </w:rPr>
            </w:pPr>
            <w:r w:rsidRPr="00697C03">
              <w:rPr>
                <w:rFonts w:ascii="標楷體" w:hAnsi="標楷體" w:cs="新細明體" w:hint="eastAsia"/>
                <w:b/>
                <w:bCs/>
                <w:kern w:val="0"/>
                <w:sz w:val="20"/>
              </w:rPr>
              <w:t>該學年度</w:t>
            </w:r>
          </w:p>
        </w:tc>
        <w:tc>
          <w:tcPr>
            <w:tcW w:w="8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406A77" w:rsidRPr="00697C03" w:rsidRDefault="00406A77" w:rsidP="00BF41DE">
            <w:pPr>
              <w:widowControl/>
              <w:spacing w:line="300" w:lineRule="exact"/>
              <w:jc w:val="center"/>
              <w:rPr>
                <w:rFonts w:ascii="標楷體" w:hAnsi="標楷體" w:cs="新細明體"/>
                <w:b/>
                <w:bCs/>
                <w:kern w:val="0"/>
                <w:sz w:val="20"/>
              </w:rPr>
            </w:pPr>
            <w:r w:rsidRPr="00697C03">
              <w:rPr>
                <w:rFonts w:ascii="標楷體" w:hAnsi="標楷體" w:cs="新細明體" w:hint="eastAsia"/>
                <w:b/>
                <w:bCs/>
                <w:kern w:val="0"/>
                <w:sz w:val="20"/>
              </w:rPr>
              <w:t>非該學年度</w:t>
            </w:r>
          </w:p>
        </w:tc>
        <w:tc>
          <w:tcPr>
            <w:tcW w:w="56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406A77" w:rsidRPr="00697C03" w:rsidRDefault="00406A77" w:rsidP="00BF41DE">
            <w:pPr>
              <w:widowControl/>
              <w:spacing w:line="300" w:lineRule="exact"/>
              <w:jc w:val="center"/>
              <w:rPr>
                <w:rFonts w:ascii="標楷體" w:hAnsi="標楷體" w:cs="新細明體"/>
                <w:b/>
                <w:bCs/>
                <w:kern w:val="0"/>
                <w:sz w:val="20"/>
              </w:rPr>
            </w:pPr>
            <w:r w:rsidRPr="00697C03">
              <w:rPr>
                <w:rFonts w:ascii="標楷體" w:hAnsi="標楷體" w:cs="新細明體" w:hint="eastAsia"/>
                <w:b/>
                <w:bCs/>
                <w:kern w:val="0"/>
                <w:sz w:val="20"/>
              </w:rPr>
              <w:t>該學年度</w:t>
            </w:r>
          </w:p>
        </w:tc>
        <w:tc>
          <w:tcPr>
            <w:tcW w:w="70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406A77" w:rsidRPr="00697C03" w:rsidRDefault="00406A77" w:rsidP="00BF41DE">
            <w:pPr>
              <w:widowControl/>
              <w:spacing w:line="300" w:lineRule="exact"/>
              <w:jc w:val="center"/>
              <w:rPr>
                <w:rFonts w:ascii="標楷體" w:hAnsi="標楷體" w:cs="新細明體"/>
                <w:b/>
                <w:bCs/>
                <w:spacing w:val="-20"/>
                <w:kern w:val="0"/>
                <w:sz w:val="20"/>
              </w:rPr>
            </w:pPr>
            <w:r w:rsidRPr="00697C03">
              <w:rPr>
                <w:rFonts w:ascii="標楷體" w:hAnsi="標楷體" w:cs="新細明體" w:hint="eastAsia"/>
                <w:b/>
                <w:bCs/>
                <w:spacing w:val="-20"/>
                <w:kern w:val="0"/>
                <w:sz w:val="20"/>
              </w:rPr>
              <w:t>非該學年度</w:t>
            </w:r>
          </w:p>
        </w:tc>
        <w:tc>
          <w:tcPr>
            <w:tcW w:w="709" w:type="dxa"/>
            <w:vMerge/>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06A77" w:rsidRPr="00697C03" w:rsidRDefault="00406A77" w:rsidP="00BF41DE">
            <w:pPr>
              <w:jc w:val="center"/>
              <w:rPr>
                <w:rFonts w:ascii="標楷體" w:hAnsi="標楷體" w:cs="新細明體"/>
                <w:b/>
                <w:bCs/>
                <w:sz w:val="20"/>
              </w:rPr>
            </w:pPr>
          </w:p>
        </w:tc>
        <w:tc>
          <w:tcPr>
            <w:tcW w:w="992" w:type="dxa"/>
            <w:vMerge/>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406A77" w:rsidRPr="00697C03" w:rsidRDefault="00406A77" w:rsidP="00BF41DE">
            <w:pPr>
              <w:widowControl/>
              <w:rPr>
                <w:rFonts w:ascii="標楷體" w:hAnsi="標楷體" w:cs="新細明體"/>
                <w:b/>
                <w:bCs/>
                <w:kern w:val="0"/>
                <w:sz w:val="20"/>
              </w:rPr>
            </w:pPr>
          </w:p>
        </w:tc>
        <w:tc>
          <w:tcPr>
            <w:tcW w:w="709" w:type="dxa"/>
            <w:vMerge/>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406A77" w:rsidRPr="00697C03" w:rsidRDefault="00406A77" w:rsidP="00BF41DE">
            <w:pPr>
              <w:widowControl/>
              <w:rPr>
                <w:rFonts w:ascii="標楷體" w:hAnsi="標楷體" w:cs="新細明體"/>
                <w:b/>
                <w:bCs/>
                <w:kern w:val="0"/>
                <w:sz w:val="20"/>
              </w:rPr>
            </w:pPr>
          </w:p>
        </w:tc>
        <w:tc>
          <w:tcPr>
            <w:tcW w:w="860" w:type="dxa"/>
            <w:vMerge/>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406A77" w:rsidRPr="00697C03" w:rsidRDefault="00406A77" w:rsidP="00BF41DE">
            <w:pPr>
              <w:rPr>
                <w:rFonts w:ascii="標楷體" w:hAnsi="標楷體" w:cs="新細明體"/>
                <w:b/>
                <w:bCs/>
                <w:sz w:val="20"/>
              </w:rPr>
            </w:pPr>
          </w:p>
        </w:tc>
        <w:tc>
          <w:tcPr>
            <w:tcW w:w="709" w:type="dxa"/>
            <w:vMerge/>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406A77" w:rsidRPr="00697C03" w:rsidRDefault="00406A77" w:rsidP="00BF41DE">
            <w:pPr>
              <w:widowControl/>
              <w:rPr>
                <w:rFonts w:ascii="標楷體" w:hAnsi="標楷體" w:cs="新細明體"/>
                <w:b/>
                <w:bCs/>
                <w:kern w:val="0"/>
                <w:sz w:val="20"/>
              </w:rPr>
            </w:pPr>
          </w:p>
        </w:tc>
        <w:tc>
          <w:tcPr>
            <w:tcW w:w="425" w:type="dxa"/>
            <w:vMerge/>
            <w:tcBorders>
              <w:top w:val="single" w:sz="6" w:space="0" w:color="000000"/>
              <w:left w:val="single" w:sz="6" w:space="0" w:color="000000"/>
              <w:bottom w:val="single" w:sz="6" w:space="0" w:color="000000"/>
              <w:right w:val="single" w:sz="8" w:space="0" w:color="000000"/>
            </w:tcBorders>
            <w:shd w:val="clear" w:color="auto" w:fill="D9D9D9" w:themeFill="background1" w:themeFillShade="D9"/>
            <w:vAlign w:val="center"/>
            <w:hideMark/>
          </w:tcPr>
          <w:p w:rsidR="00406A77" w:rsidRPr="00697C03" w:rsidRDefault="00406A77" w:rsidP="00BF41DE">
            <w:pPr>
              <w:widowControl/>
              <w:rPr>
                <w:rFonts w:ascii="標楷體" w:hAnsi="標楷體" w:cs="新細明體"/>
                <w:b/>
                <w:bCs/>
                <w:kern w:val="0"/>
                <w:sz w:val="20"/>
              </w:rPr>
            </w:pPr>
          </w:p>
        </w:tc>
      </w:tr>
      <w:tr w:rsidR="00697C03" w:rsidRPr="00697C03" w:rsidTr="00BF41DE">
        <w:trPr>
          <w:trHeight w:val="53"/>
          <w:jc w:val="center"/>
        </w:trPr>
        <w:tc>
          <w:tcPr>
            <w:tcW w:w="575" w:type="dxa"/>
            <w:tcBorders>
              <w:top w:val="single" w:sz="6" w:space="0" w:color="000000"/>
              <w:left w:val="single" w:sz="8" w:space="0" w:color="000000"/>
              <w:bottom w:val="single" w:sz="6" w:space="0" w:color="000000"/>
              <w:right w:val="single" w:sz="6" w:space="0" w:color="000000"/>
            </w:tcBorders>
            <w:shd w:val="clear" w:color="auto" w:fill="auto"/>
            <w:noWrap/>
            <w:vAlign w:val="center"/>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b/>
                <w:kern w:val="0"/>
                <w:sz w:val="24"/>
                <w:szCs w:val="24"/>
              </w:rPr>
              <w:t>1</w:t>
            </w:r>
            <w:r w:rsidRPr="00697C03">
              <w:rPr>
                <w:rFonts w:ascii="標楷體" w:hAnsi="標楷體" w:cs="新細明體" w:hint="eastAsia"/>
                <w:b/>
                <w:kern w:val="0"/>
                <w:sz w:val="24"/>
                <w:szCs w:val="24"/>
              </w:rPr>
              <w:t>03</w:t>
            </w:r>
          </w:p>
        </w:tc>
        <w:tc>
          <w:tcPr>
            <w:tcW w:w="879"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2048589</w:t>
            </w:r>
          </w:p>
        </w:tc>
        <w:tc>
          <w:tcPr>
            <w:tcW w:w="708"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2187</w:t>
            </w:r>
          </w:p>
        </w:tc>
        <w:tc>
          <w:tcPr>
            <w:tcW w:w="426"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910</w:t>
            </w:r>
          </w:p>
        </w:tc>
        <w:tc>
          <w:tcPr>
            <w:tcW w:w="425"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449</w:t>
            </w:r>
          </w:p>
        </w:tc>
        <w:tc>
          <w:tcPr>
            <w:tcW w:w="425"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585</w:t>
            </w:r>
          </w:p>
        </w:tc>
        <w:tc>
          <w:tcPr>
            <w:tcW w:w="284"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83</w:t>
            </w:r>
          </w:p>
        </w:tc>
        <w:tc>
          <w:tcPr>
            <w:tcW w:w="567"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4214</w:t>
            </w:r>
          </w:p>
        </w:tc>
        <w:tc>
          <w:tcPr>
            <w:tcW w:w="850"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635</w:t>
            </w:r>
          </w:p>
        </w:tc>
        <w:tc>
          <w:tcPr>
            <w:tcW w:w="567"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3638</w:t>
            </w:r>
          </w:p>
        </w:tc>
        <w:tc>
          <w:tcPr>
            <w:tcW w:w="709"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552</w:t>
            </w:r>
          </w:p>
        </w:tc>
        <w:tc>
          <w:tcPr>
            <w:tcW w:w="709"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center"/>
              <w:rPr>
                <w:rFonts w:ascii="標楷體" w:hAnsi="標楷體" w:cs="新細明體"/>
                <w:kern w:val="0"/>
                <w:sz w:val="18"/>
                <w:szCs w:val="18"/>
              </w:rPr>
            </w:pPr>
            <w:r w:rsidRPr="00697C03">
              <w:rPr>
                <w:rFonts w:ascii="標楷體" w:hAnsi="標楷體" w:cs="新細明體" w:hint="eastAsia"/>
                <w:kern w:val="0"/>
                <w:sz w:val="18"/>
                <w:szCs w:val="18"/>
              </w:rPr>
              <w:t>86.33%</w:t>
            </w:r>
          </w:p>
        </w:tc>
        <w:tc>
          <w:tcPr>
            <w:tcW w:w="992"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center"/>
              <w:rPr>
                <w:rFonts w:ascii="標楷體" w:hAnsi="標楷體" w:cs="新細明體"/>
                <w:kern w:val="0"/>
                <w:sz w:val="18"/>
                <w:szCs w:val="18"/>
              </w:rPr>
            </w:pPr>
            <w:r w:rsidRPr="00697C03">
              <w:rPr>
                <w:rFonts w:ascii="標楷體" w:hAnsi="標楷體" w:cs="新細明體" w:hint="eastAsia"/>
                <w:kern w:val="0"/>
                <w:sz w:val="18"/>
                <w:szCs w:val="18"/>
              </w:rPr>
              <w:t>86.93%</w:t>
            </w:r>
          </w:p>
        </w:tc>
        <w:tc>
          <w:tcPr>
            <w:tcW w:w="709"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center"/>
              <w:rPr>
                <w:rFonts w:ascii="標楷體" w:hAnsi="標楷體" w:cs="新細明體"/>
                <w:kern w:val="0"/>
                <w:sz w:val="18"/>
                <w:szCs w:val="18"/>
              </w:rPr>
            </w:pPr>
            <w:r w:rsidRPr="00697C03">
              <w:rPr>
                <w:rFonts w:ascii="標楷體" w:hAnsi="標楷體" w:cs="新細明體" w:hint="eastAsia"/>
                <w:kern w:val="0"/>
                <w:sz w:val="18"/>
                <w:szCs w:val="18"/>
              </w:rPr>
              <w:t>86.41%</w:t>
            </w:r>
          </w:p>
        </w:tc>
        <w:tc>
          <w:tcPr>
            <w:tcW w:w="860"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center"/>
              <w:rPr>
                <w:rFonts w:ascii="標楷體" w:hAnsi="標楷體" w:cs="新細明體"/>
                <w:kern w:val="0"/>
                <w:sz w:val="18"/>
                <w:szCs w:val="18"/>
              </w:rPr>
            </w:pPr>
            <w:r w:rsidRPr="00697C03">
              <w:rPr>
                <w:rFonts w:ascii="標楷體" w:hAnsi="標楷體" w:cs="新細明體" w:hint="eastAsia"/>
                <w:kern w:val="0"/>
                <w:sz w:val="18"/>
                <w:szCs w:val="18"/>
              </w:rPr>
              <w:t>0.210%</w:t>
            </w:r>
          </w:p>
        </w:tc>
        <w:tc>
          <w:tcPr>
            <w:tcW w:w="709"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406A77" w:rsidRPr="00697C03" w:rsidRDefault="00406A77" w:rsidP="00BF41DE">
            <w:pPr>
              <w:widowControl/>
              <w:jc w:val="center"/>
              <w:rPr>
                <w:rFonts w:ascii="標楷體" w:hAnsi="標楷體" w:cs="新細明體"/>
                <w:kern w:val="0"/>
                <w:sz w:val="18"/>
                <w:szCs w:val="18"/>
              </w:rPr>
            </w:pPr>
            <w:r w:rsidRPr="00697C03">
              <w:rPr>
                <w:rFonts w:ascii="標楷體" w:hAnsi="標楷體" w:cs="新細明體" w:hint="eastAsia"/>
                <w:kern w:val="0"/>
                <w:sz w:val="18"/>
                <w:szCs w:val="18"/>
              </w:rPr>
              <w:t>0.032%</w:t>
            </w:r>
          </w:p>
        </w:tc>
        <w:tc>
          <w:tcPr>
            <w:tcW w:w="425" w:type="dxa"/>
            <w:tcBorders>
              <w:top w:val="single" w:sz="6" w:space="0" w:color="000000"/>
              <w:left w:val="single" w:sz="6" w:space="0" w:color="000000"/>
              <w:bottom w:val="single" w:sz="6" w:space="0" w:color="000000"/>
              <w:right w:val="single" w:sz="8" w:space="0" w:color="000000"/>
            </w:tcBorders>
            <w:shd w:val="clear" w:color="FFFFFF" w:fill="FFFFFF"/>
            <w:vAlign w:val="center"/>
            <w:hideMark/>
          </w:tcPr>
          <w:p w:rsidR="00406A77" w:rsidRPr="00697C03" w:rsidRDefault="00406A77" w:rsidP="00BF41DE">
            <w:pPr>
              <w:widowControl/>
              <w:jc w:val="center"/>
              <w:rPr>
                <w:rFonts w:ascii="標楷體" w:hAnsi="標楷體" w:cs="新細明體"/>
                <w:kern w:val="0"/>
                <w:sz w:val="18"/>
                <w:szCs w:val="18"/>
              </w:rPr>
            </w:pPr>
            <w:r w:rsidRPr="00697C03">
              <w:rPr>
                <w:rFonts w:ascii="標楷體" w:hAnsi="標楷體" w:cs="新細明體" w:hint="eastAsia"/>
                <w:kern w:val="0"/>
                <w:sz w:val="18"/>
                <w:szCs w:val="18"/>
              </w:rPr>
              <w:t>661</w:t>
            </w:r>
          </w:p>
        </w:tc>
      </w:tr>
      <w:tr w:rsidR="00697C03" w:rsidRPr="00697C03" w:rsidTr="00BF41DE">
        <w:trPr>
          <w:trHeight w:val="53"/>
          <w:jc w:val="center"/>
        </w:trPr>
        <w:tc>
          <w:tcPr>
            <w:tcW w:w="575" w:type="dxa"/>
            <w:tcBorders>
              <w:top w:val="single" w:sz="6" w:space="0" w:color="000000"/>
              <w:left w:val="single" w:sz="8" w:space="0" w:color="000000"/>
              <w:bottom w:val="single" w:sz="6" w:space="0" w:color="000000"/>
              <w:right w:val="single" w:sz="6" w:space="0" w:color="000000"/>
            </w:tcBorders>
            <w:shd w:val="clear" w:color="auto" w:fill="auto"/>
            <w:noWrap/>
            <w:vAlign w:val="center"/>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104</w:t>
            </w:r>
          </w:p>
        </w:tc>
        <w:tc>
          <w:tcPr>
            <w:tcW w:w="879"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1951837</w:t>
            </w:r>
          </w:p>
        </w:tc>
        <w:tc>
          <w:tcPr>
            <w:tcW w:w="708"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1997</w:t>
            </w:r>
          </w:p>
        </w:tc>
        <w:tc>
          <w:tcPr>
            <w:tcW w:w="426"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891</w:t>
            </w:r>
          </w:p>
        </w:tc>
        <w:tc>
          <w:tcPr>
            <w:tcW w:w="425"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411</w:t>
            </w:r>
          </w:p>
        </w:tc>
        <w:tc>
          <w:tcPr>
            <w:tcW w:w="425"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556</w:t>
            </w:r>
          </w:p>
        </w:tc>
        <w:tc>
          <w:tcPr>
            <w:tcW w:w="284"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79</w:t>
            </w:r>
          </w:p>
        </w:tc>
        <w:tc>
          <w:tcPr>
            <w:tcW w:w="567"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3934</w:t>
            </w:r>
          </w:p>
        </w:tc>
        <w:tc>
          <w:tcPr>
            <w:tcW w:w="850"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612</w:t>
            </w:r>
          </w:p>
        </w:tc>
        <w:tc>
          <w:tcPr>
            <w:tcW w:w="567"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3373</w:t>
            </w:r>
          </w:p>
        </w:tc>
        <w:tc>
          <w:tcPr>
            <w:tcW w:w="709"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538</w:t>
            </w:r>
          </w:p>
        </w:tc>
        <w:tc>
          <w:tcPr>
            <w:tcW w:w="709"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center"/>
              <w:rPr>
                <w:rFonts w:ascii="標楷體" w:hAnsi="標楷體" w:cs="新細明體"/>
                <w:kern w:val="0"/>
                <w:sz w:val="18"/>
                <w:szCs w:val="18"/>
              </w:rPr>
            </w:pPr>
            <w:r w:rsidRPr="00697C03">
              <w:rPr>
                <w:rFonts w:ascii="標楷體" w:hAnsi="標楷體" w:cs="新細明體" w:hint="eastAsia"/>
                <w:kern w:val="0"/>
                <w:sz w:val="18"/>
                <w:szCs w:val="18"/>
              </w:rPr>
              <w:t>85.74%</w:t>
            </w:r>
          </w:p>
        </w:tc>
        <w:tc>
          <w:tcPr>
            <w:tcW w:w="992"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center"/>
              <w:rPr>
                <w:rFonts w:ascii="標楷體" w:hAnsi="標楷體" w:cs="新細明體"/>
                <w:kern w:val="0"/>
                <w:sz w:val="18"/>
                <w:szCs w:val="18"/>
              </w:rPr>
            </w:pPr>
            <w:r w:rsidRPr="00697C03">
              <w:rPr>
                <w:rFonts w:ascii="標楷體" w:hAnsi="標楷體" w:cs="新細明體" w:hint="eastAsia"/>
                <w:kern w:val="0"/>
                <w:sz w:val="18"/>
                <w:szCs w:val="18"/>
              </w:rPr>
              <w:t>87.91%</w:t>
            </w:r>
          </w:p>
        </w:tc>
        <w:tc>
          <w:tcPr>
            <w:tcW w:w="709"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center"/>
              <w:rPr>
                <w:rFonts w:ascii="標楷體" w:hAnsi="標楷體" w:cs="新細明體"/>
                <w:kern w:val="0"/>
                <w:sz w:val="18"/>
                <w:szCs w:val="18"/>
              </w:rPr>
            </w:pPr>
            <w:r w:rsidRPr="00697C03">
              <w:rPr>
                <w:rFonts w:ascii="標楷體" w:hAnsi="標楷體" w:cs="新細明體" w:hint="eastAsia"/>
                <w:kern w:val="0"/>
                <w:sz w:val="18"/>
                <w:szCs w:val="18"/>
              </w:rPr>
              <w:t>86.03%</w:t>
            </w:r>
          </w:p>
        </w:tc>
        <w:tc>
          <w:tcPr>
            <w:tcW w:w="860"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center"/>
              <w:rPr>
                <w:rFonts w:ascii="標楷體" w:hAnsi="標楷體" w:cs="新細明體"/>
                <w:kern w:val="0"/>
                <w:sz w:val="18"/>
                <w:szCs w:val="18"/>
              </w:rPr>
            </w:pPr>
            <w:r w:rsidRPr="00697C03">
              <w:rPr>
                <w:rFonts w:ascii="標楷體" w:hAnsi="標楷體" w:cs="新細明體" w:hint="eastAsia"/>
                <w:kern w:val="0"/>
                <w:sz w:val="18"/>
                <w:szCs w:val="18"/>
              </w:rPr>
              <w:t>0.200%</w:t>
            </w:r>
          </w:p>
        </w:tc>
        <w:tc>
          <w:tcPr>
            <w:tcW w:w="709"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center"/>
              <w:rPr>
                <w:rFonts w:ascii="標楷體" w:hAnsi="標楷體" w:cs="新細明體"/>
                <w:kern w:val="0"/>
                <w:sz w:val="18"/>
                <w:szCs w:val="18"/>
              </w:rPr>
            </w:pPr>
            <w:r w:rsidRPr="00697C03">
              <w:rPr>
                <w:rFonts w:ascii="標楷體" w:hAnsi="標楷體" w:cs="新細明體" w:hint="eastAsia"/>
                <w:kern w:val="0"/>
                <w:sz w:val="18"/>
                <w:szCs w:val="18"/>
              </w:rPr>
              <w:t>0.031%</w:t>
            </w:r>
          </w:p>
        </w:tc>
        <w:tc>
          <w:tcPr>
            <w:tcW w:w="425" w:type="dxa"/>
            <w:tcBorders>
              <w:top w:val="single" w:sz="6" w:space="0" w:color="000000"/>
              <w:left w:val="single" w:sz="6" w:space="0" w:color="000000"/>
              <w:bottom w:val="single" w:sz="6" w:space="0" w:color="000000"/>
              <w:right w:val="single" w:sz="8" w:space="0" w:color="000000"/>
            </w:tcBorders>
            <w:shd w:val="clear" w:color="FFFFFF" w:fill="FFFFFF"/>
            <w:vAlign w:val="center"/>
            <w:hideMark/>
          </w:tcPr>
          <w:p w:rsidR="00406A77" w:rsidRPr="00697C03" w:rsidRDefault="00406A77" w:rsidP="00BF41DE">
            <w:pPr>
              <w:widowControl/>
              <w:jc w:val="center"/>
              <w:rPr>
                <w:rFonts w:ascii="標楷體" w:hAnsi="標楷體" w:cs="新細明體"/>
                <w:kern w:val="0"/>
                <w:sz w:val="18"/>
                <w:szCs w:val="18"/>
              </w:rPr>
            </w:pPr>
            <w:r w:rsidRPr="00697C03">
              <w:rPr>
                <w:rFonts w:ascii="標楷體" w:hAnsi="標楷體" w:cs="新細明體" w:hint="eastAsia"/>
                <w:kern w:val="0"/>
                <w:sz w:val="18"/>
                <w:szCs w:val="18"/>
              </w:rPr>
              <w:t>606</w:t>
            </w:r>
          </w:p>
        </w:tc>
      </w:tr>
      <w:tr w:rsidR="00697C03" w:rsidRPr="00697C03" w:rsidTr="00BF41DE">
        <w:trPr>
          <w:trHeight w:val="53"/>
          <w:jc w:val="center"/>
        </w:trPr>
        <w:tc>
          <w:tcPr>
            <w:tcW w:w="575" w:type="dxa"/>
            <w:tcBorders>
              <w:top w:val="single" w:sz="6" w:space="0" w:color="000000"/>
              <w:left w:val="single" w:sz="8" w:space="0" w:color="000000"/>
              <w:bottom w:val="single" w:sz="6" w:space="0" w:color="000000"/>
              <w:right w:val="single" w:sz="6" w:space="0" w:color="000000"/>
            </w:tcBorders>
            <w:shd w:val="clear" w:color="auto" w:fill="auto"/>
            <w:noWrap/>
            <w:vAlign w:val="center"/>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105</w:t>
            </w:r>
          </w:p>
        </w:tc>
        <w:tc>
          <w:tcPr>
            <w:tcW w:w="879"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1839627</w:t>
            </w:r>
          </w:p>
        </w:tc>
        <w:tc>
          <w:tcPr>
            <w:tcW w:w="708"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1848</w:t>
            </w:r>
          </w:p>
        </w:tc>
        <w:tc>
          <w:tcPr>
            <w:tcW w:w="426"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780</w:t>
            </w:r>
          </w:p>
        </w:tc>
        <w:tc>
          <w:tcPr>
            <w:tcW w:w="425"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353</w:t>
            </w:r>
          </w:p>
        </w:tc>
        <w:tc>
          <w:tcPr>
            <w:tcW w:w="425"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396</w:t>
            </w:r>
          </w:p>
        </w:tc>
        <w:tc>
          <w:tcPr>
            <w:tcW w:w="284"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69</w:t>
            </w:r>
          </w:p>
        </w:tc>
        <w:tc>
          <w:tcPr>
            <w:tcW w:w="567"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3446</w:t>
            </w:r>
          </w:p>
        </w:tc>
        <w:tc>
          <w:tcPr>
            <w:tcW w:w="850"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590</w:t>
            </w:r>
          </w:p>
        </w:tc>
        <w:tc>
          <w:tcPr>
            <w:tcW w:w="567"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2922</w:t>
            </w:r>
          </w:p>
        </w:tc>
        <w:tc>
          <w:tcPr>
            <w:tcW w:w="709"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526</w:t>
            </w:r>
          </w:p>
        </w:tc>
        <w:tc>
          <w:tcPr>
            <w:tcW w:w="709"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center"/>
              <w:rPr>
                <w:rFonts w:ascii="標楷體" w:hAnsi="標楷體" w:cs="新細明體"/>
                <w:kern w:val="0"/>
                <w:sz w:val="18"/>
                <w:szCs w:val="18"/>
              </w:rPr>
            </w:pPr>
            <w:r w:rsidRPr="00697C03">
              <w:rPr>
                <w:rFonts w:ascii="標楷體" w:hAnsi="標楷體" w:cs="新細明體" w:hint="eastAsia"/>
                <w:kern w:val="0"/>
                <w:sz w:val="18"/>
                <w:szCs w:val="18"/>
              </w:rPr>
              <w:t>84.79%</w:t>
            </w:r>
          </w:p>
        </w:tc>
        <w:tc>
          <w:tcPr>
            <w:tcW w:w="992"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center"/>
              <w:rPr>
                <w:rFonts w:ascii="標楷體" w:hAnsi="標楷體" w:cs="新細明體"/>
                <w:kern w:val="0"/>
                <w:sz w:val="18"/>
                <w:szCs w:val="18"/>
              </w:rPr>
            </w:pPr>
            <w:r w:rsidRPr="00697C03">
              <w:rPr>
                <w:rFonts w:ascii="標楷體" w:hAnsi="標楷體" w:cs="新細明體" w:hint="eastAsia"/>
                <w:kern w:val="0"/>
                <w:sz w:val="18"/>
                <w:szCs w:val="18"/>
              </w:rPr>
              <w:t>89.15%</w:t>
            </w:r>
          </w:p>
        </w:tc>
        <w:tc>
          <w:tcPr>
            <w:tcW w:w="709"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center"/>
              <w:rPr>
                <w:rFonts w:ascii="標楷體" w:hAnsi="標楷體" w:cs="新細明體"/>
                <w:kern w:val="0"/>
                <w:sz w:val="18"/>
                <w:szCs w:val="18"/>
              </w:rPr>
            </w:pPr>
            <w:r w:rsidRPr="00697C03">
              <w:rPr>
                <w:rFonts w:ascii="標楷體" w:hAnsi="標楷體" w:cs="新細明體" w:hint="eastAsia"/>
                <w:kern w:val="0"/>
                <w:sz w:val="18"/>
                <w:szCs w:val="18"/>
              </w:rPr>
              <w:t>85.43%</w:t>
            </w:r>
          </w:p>
        </w:tc>
        <w:tc>
          <w:tcPr>
            <w:tcW w:w="860"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center"/>
              <w:rPr>
                <w:rFonts w:ascii="標楷體" w:hAnsi="標楷體" w:cs="新細明體"/>
                <w:kern w:val="0"/>
                <w:sz w:val="18"/>
                <w:szCs w:val="18"/>
              </w:rPr>
            </w:pPr>
            <w:r w:rsidRPr="00697C03">
              <w:rPr>
                <w:rFonts w:ascii="標楷體" w:hAnsi="標楷體" w:cs="新細明體" w:hint="eastAsia"/>
                <w:kern w:val="0"/>
                <w:sz w:val="18"/>
                <w:szCs w:val="18"/>
              </w:rPr>
              <w:t>0.190%</w:t>
            </w:r>
          </w:p>
        </w:tc>
        <w:tc>
          <w:tcPr>
            <w:tcW w:w="709" w:type="dxa"/>
            <w:tcBorders>
              <w:top w:val="single" w:sz="6" w:space="0" w:color="000000"/>
              <w:left w:val="single" w:sz="6" w:space="0" w:color="000000"/>
              <w:bottom w:val="single" w:sz="6" w:space="0" w:color="000000"/>
              <w:right w:val="single" w:sz="6" w:space="0" w:color="000000"/>
            </w:tcBorders>
            <w:shd w:val="clear" w:color="FFFFFF" w:fill="FFFFFF"/>
            <w:vAlign w:val="center"/>
            <w:hideMark/>
          </w:tcPr>
          <w:p w:rsidR="00406A77" w:rsidRPr="00697C03" w:rsidRDefault="00406A77" w:rsidP="00BF41DE">
            <w:pPr>
              <w:widowControl/>
              <w:jc w:val="center"/>
              <w:rPr>
                <w:rFonts w:ascii="標楷體" w:hAnsi="標楷體" w:cs="新細明體"/>
                <w:kern w:val="0"/>
                <w:sz w:val="18"/>
                <w:szCs w:val="18"/>
              </w:rPr>
            </w:pPr>
            <w:r w:rsidRPr="00697C03">
              <w:rPr>
                <w:rFonts w:ascii="標楷體" w:hAnsi="標楷體" w:cs="新細明體" w:hint="eastAsia"/>
                <w:kern w:val="0"/>
                <w:sz w:val="18"/>
                <w:szCs w:val="18"/>
              </w:rPr>
              <w:t>0.030%</w:t>
            </w:r>
          </w:p>
        </w:tc>
        <w:tc>
          <w:tcPr>
            <w:tcW w:w="425" w:type="dxa"/>
            <w:tcBorders>
              <w:top w:val="single" w:sz="6" w:space="0" w:color="000000"/>
              <w:left w:val="single" w:sz="6" w:space="0" w:color="000000"/>
              <w:bottom w:val="single" w:sz="6" w:space="0" w:color="000000"/>
              <w:right w:val="single" w:sz="8" w:space="0" w:color="000000"/>
            </w:tcBorders>
            <w:shd w:val="clear" w:color="FFFFFF" w:fill="FFFFFF"/>
            <w:vAlign w:val="center"/>
            <w:hideMark/>
          </w:tcPr>
          <w:p w:rsidR="00406A77" w:rsidRPr="00697C03" w:rsidRDefault="00406A77" w:rsidP="00BF41DE">
            <w:pPr>
              <w:widowControl/>
              <w:jc w:val="center"/>
              <w:rPr>
                <w:rFonts w:ascii="標楷體" w:hAnsi="標楷體" w:cs="新細明體"/>
                <w:kern w:val="0"/>
                <w:sz w:val="18"/>
                <w:szCs w:val="18"/>
              </w:rPr>
            </w:pPr>
            <w:r w:rsidRPr="00697C03">
              <w:rPr>
                <w:rFonts w:ascii="標楷體" w:hAnsi="標楷體" w:cs="新細明體" w:hint="eastAsia"/>
                <w:kern w:val="0"/>
                <w:sz w:val="18"/>
                <w:szCs w:val="18"/>
              </w:rPr>
              <w:t>560</w:t>
            </w:r>
          </w:p>
        </w:tc>
      </w:tr>
      <w:tr w:rsidR="00697C03" w:rsidRPr="00697C03" w:rsidTr="00BF41DE">
        <w:trPr>
          <w:trHeight w:val="53"/>
          <w:jc w:val="center"/>
        </w:trPr>
        <w:tc>
          <w:tcPr>
            <w:tcW w:w="575" w:type="dxa"/>
            <w:tcBorders>
              <w:top w:val="single" w:sz="6" w:space="0" w:color="000000"/>
              <w:left w:val="single" w:sz="8" w:space="0" w:color="000000"/>
              <w:bottom w:val="single" w:sz="6" w:space="0" w:color="000000"/>
              <w:right w:val="single" w:sz="6" w:space="0" w:color="000000"/>
            </w:tcBorders>
            <w:shd w:val="clear" w:color="auto" w:fill="auto"/>
            <w:noWrap/>
            <w:vAlign w:val="center"/>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106</w:t>
            </w:r>
          </w:p>
        </w:tc>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1786590</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1655</w:t>
            </w: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776</w:t>
            </w: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317</w:t>
            </w: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316</w:t>
            </w:r>
          </w:p>
        </w:tc>
        <w:tc>
          <w:tcPr>
            <w:tcW w:w="2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70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3134</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456</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2690</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424</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06A77" w:rsidRPr="00697C03" w:rsidRDefault="00406A77" w:rsidP="00BF41DE">
            <w:pPr>
              <w:widowControl/>
              <w:jc w:val="center"/>
              <w:rPr>
                <w:rFonts w:ascii="標楷體" w:hAnsi="標楷體" w:cs="新細明體"/>
                <w:kern w:val="0"/>
                <w:sz w:val="18"/>
                <w:szCs w:val="18"/>
              </w:rPr>
            </w:pPr>
            <w:r w:rsidRPr="00697C03">
              <w:rPr>
                <w:rFonts w:ascii="標楷體" w:hAnsi="標楷體" w:cs="新細明體" w:hint="eastAsia"/>
                <w:kern w:val="0"/>
                <w:sz w:val="18"/>
                <w:szCs w:val="18"/>
              </w:rPr>
              <w:t>85.83%</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06A77" w:rsidRPr="00697C03" w:rsidRDefault="00406A77" w:rsidP="00BF41DE">
            <w:pPr>
              <w:widowControl/>
              <w:jc w:val="center"/>
              <w:rPr>
                <w:rFonts w:ascii="標楷體" w:hAnsi="標楷體" w:cs="新細明體"/>
                <w:kern w:val="0"/>
                <w:sz w:val="18"/>
                <w:szCs w:val="18"/>
              </w:rPr>
            </w:pPr>
            <w:r w:rsidRPr="00697C03">
              <w:rPr>
                <w:rFonts w:ascii="標楷體" w:hAnsi="標楷體" w:cs="新細明體" w:hint="eastAsia"/>
                <w:kern w:val="0"/>
                <w:sz w:val="18"/>
                <w:szCs w:val="18"/>
              </w:rPr>
              <w:t>92.98%</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06A77" w:rsidRPr="00697C03" w:rsidRDefault="00406A77" w:rsidP="00BF41DE">
            <w:pPr>
              <w:widowControl/>
              <w:jc w:val="center"/>
              <w:rPr>
                <w:rFonts w:ascii="標楷體" w:hAnsi="標楷體" w:cs="新細明體"/>
                <w:kern w:val="0"/>
                <w:sz w:val="18"/>
                <w:szCs w:val="18"/>
              </w:rPr>
            </w:pPr>
            <w:r w:rsidRPr="00697C03">
              <w:rPr>
                <w:rFonts w:ascii="標楷體" w:hAnsi="標楷體" w:cs="新細明體" w:hint="eastAsia"/>
                <w:kern w:val="0"/>
                <w:sz w:val="18"/>
                <w:szCs w:val="18"/>
              </w:rPr>
              <w:t>86.74%</w:t>
            </w:r>
          </w:p>
        </w:tc>
        <w:tc>
          <w:tcPr>
            <w:tcW w:w="8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06A77" w:rsidRPr="00697C03" w:rsidRDefault="00406A77" w:rsidP="00BF41DE">
            <w:pPr>
              <w:widowControl/>
              <w:jc w:val="center"/>
              <w:rPr>
                <w:rFonts w:ascii="標楷體" w:hAnsi="標楷體" w:cs="新細明體"/>
                <w:kern w:val="0"/>
                <w:sz w:val="18"/>
                <w:szCs w:val="18"/>
              </w:rPr>
            </w:pPr>
            <w:r w:rsidRPr="00697C03">
              <w:rPr>
                <w:rFonts w:ascii="標楷體" w:hAnsi="標楷體" w:cs="新細明體" w:hint="eastAsia"/>
                <w:kern w:val="0"/>
                <w:sz w:val="18"/>
                <w:szCs w:val="18"/>
              </w:rPr>
              <w:t>0.175%</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06A77" w:rsidRPr="00697C03" w:rsidRDefault="00406A77" w:rsidP="00BF41DE">
            <w:pPr>
              <w:widowControl/>
              <w:jc w:val="center"/>
              <w:rPr>
                <w:rFonts w:ascii="標楷體" w:hAnsi="標楷體" w:cs="新細明體"/>
                <w:kern w:val="0"/>
                <w:sz w:val="18"/>
                <w:szCs w:val="18"/>
              </w:rPr>
            </w:pPr>
            <w:r w:rsidRPr="00697C03">
              <w:rPr>
                <w:rFonts w:ascii="標楷體" w:hAnsi="標楷體" w:cs="新細明體" w:hint="eastAsia"/>
                <w:kern w:val="0"/>
                <w:sz w:val="18"/>
                <w:szCs w:val="18"/>
              </w:rPr>
              <w:t>0.026%</w:t>
            </w:r>
          </w:p>
        </w:tc>
        <w:tc>
          <w:tcPr>
            <w:tcW w:w="425" w:type="dxa"/>
            <w:tcBorders>
              <w:top w:val="single" w:sz="6" w:space="0" w:color="000000"/>
              <w:left w:val="single" w:sz="6" w:space="0" w:color="000000"/>
              <w:bottom w:val="single" w:sz="6" w:space="0" w:color="000000"/>
              <w:right w:val="single" w:sz="8" w:space="0" w:color="000000"/>
            </w:tcBorders>
            <w:shd w:val="clear" w:color="auto" w:fill="auto"/>
            <w:vAlign w:val="center"/>
            <w:hideMark/>
          </w:tcPr>
          <w:p w:rsidR="00406A77" w:rsidRPr="00697C03" w:rsidRDefault="00406A77" w:rsidP="00BF41DE">
            <w:pPr>
              <w:widowControl/>
              <w:jc w:val="center"/>
              <w:rPr>
                <w:rFonts w:ascii="標楷體" w:hAnsi="標楷體" w:cs="新細明體"/>
                <w:kern w:val="0"/>
                <w:sz w:val="18"/>
                <w:szCs w:val="18"/>
              </w:rPr>
            </w:pPr>
            <w:r w:rsidRPr="00697C03">
              <w:rPr>
                <w:rFonts w:ascii="標楷體" w:hAnsi="標楷體" w:cs="新細明體" w:hint="eastAsia"/>
                <w:kern w:val="0"/>
                <w:sz w:val="18"/>
                <w:szCs w:val="18"/>
              </w:rPr>
              <w:t>465</w:t>
            </w:r>
          </w:p>
        </w:tc>
      </w:tr>
      <w:tr w:rsidR="00697C03" w:rsidRPr="00697C03" w:rsidTr="00BF41DE">
        <w:trPr>
          <w:trHeight w:val="53"/>
          <w:jc w:val="center"/>
        </w:trPr>
        <w:tc>
          <w:tcPr>
            <w:tcW w:w="575" w:type="dxa"/>
            <w:tcBorders>
              <w:top w:val="single" w:sz="6" w:space="0" w:color="000000"/>
              <w:left w:val="single" w:sz="8" w:space="0" w:color="000000"/>
              <w:bottom w:val="single" w:sz="8" w:space="0" w:color="000000"/>
              <w:right w:val="single" w:sz="6" w:space="0" w:color="000000"/>
            </w:tcBorders>
            <w:shd w:val="clear" w:color="auto" w:fill="auto"/>
            <w:noWrap/>
            <w:vAlign w:val="center"/>
            <w:hideMark/>
          </w:tcPr>
          <w:p w:rsidR="00406A77" w:rsidRPr="00697C03" w:rsidRDefault="00406A77" w:rsidP="00BF41DE">
            <w:pPr>
              <w:widowControl/>
              <w:jc w:val="center"/>
              <w:rPr>
                <w:rFonts w:ascii="標楷體" w:hAnsi="標楷體" w:cs="新細明體"/>
                <w:b/>
                <w:kern w:val="0"/>
                <w:sz w:val="24"/>
                <w:szCs w:val="24"/>
              </w:rPr>
            </w:pPr>
            <w:r w:rsidRPr="00697C03">
              <w:rPr>
                <w:rFonts w:ascii="標楷體" w:hAnsi="標楷體" w:cs="新細明體" w:hint="eastAsia"/>
                <w:b/>
                <w:kern w:val="0"/>
                <w:sz w:val="24"/>
                <w:szCs w:val="24"/>
              </w:rPr>
              <w:t>107</w:t>
            </w:r>
          </w:p>
        </w:tc>
        <w:tc>
          <w:tcPr>
            <w:tcW w:w="879" w:type="dxa"/>
            <w:tcBorders>
              <w:top w:val="single" w:sz="6" w:space="0" w:color="000000"/>
              <w:left w:val="single" w:sz="6" w:space="0" w:color="000000"/>
              <w:bottom w:val="single" w:sz="8"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1777276</w:t>
            </w:r>
          </w:p>
        </w:tc>
        <w:tc>
          <w:tcPr>
            <w:tcW w:w="708" w:type="dxa"/>
            <w:tcBorders>
              <w:top w:val="single" w:sz="6" w:space="0" w:color="000000"/>
              <w:left w:val="single" w:sz="6" w:space="0" w:color="000000"/>
              <w:bottom w:val="single" w:sz="8"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1656</w:t>
            </w:r>
          </w:p>
        </w:tc>
        <w:tc>
          <w:tcPr>
            <w:tcW w:w="426" w:type="dxa"/>
            <w:tcBorders>
              <w:top w:val="single" w:sz="6" w:space="0" w:color="000000"/>
              <w:left w:val="single" w:sz="6" w:space="0" w:color="000000"/>
              <w:bottom w:val="single" w:sz="8"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707</w:t>
            </w:r>
          </w:p>
        </w:tc>
        <w:tc>
          <w:tcPr>
            <w:tcW w:w="425" w:type="dxa"/>
            <w:tcBorders>
              <w:top w:val="single" w:sz="6" w:space="0" w:color="000000"/>
              <w:left w:val="single" w:sz="6" w:space="0" w:color="000000"/>
              <w:bottom w:val="single" w:sz="8"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323</w:t>
            </w:r>
          </w:p>
        </w:tc>
        <w:tc>
          <w:tcPr>
            <w:tcW w:w="425" w:type="dxa"/>
            <w:tcBorders>
              <w:top w:val="single" w:sz="6" w:space="0" w:color="000000"/>
              <w:left w:val="single" w:sz="6" w:space="0" w:color="000000"/>
              <w:bottom w:val="single" w:sz="8"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380</w:t>
            </w:r>
          </w:p>
        </w:tc>
        <w:tc>
          <w:tcPr>
            <w:tcW w:w="284" w:type="dxa"/>
            <w:tcBorders>
              <w:top w:val="single" w:sz="6" w:space="0" w:color="000000"/>
              <w:left w:val="single" w:sz="6" w:space="0" w:color="000000"/>
              <w:bottom w:val="single" w:sz="8"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71</w:t>
            </w:r>
          </w:p>
        </w:tc>
        <w:tc>
          <w:tcPr>
            <w:tcW w:w="567" w:type="dxa"/>
            <w:tcBorders>
              <w:top w:val="single" w:sz="6" w:space="0" w:color="000000"/>
              <w:left w:val="single" w:sz="6" w:space="0" w:color="000000"/>
              <w:bottom w:val="single" w:sz="8"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3137</w:t>
            </w:r>
          </w:p>
        </w:tc>
        <w:tc>
          <w:tcPr>
            <w:tcW w:w="850" w:type="dxa"/>
            <w:tcBorders>
              <w:top w:val="single" w:sz="6" w:space="0" w:color="000000"/>
              <w:left w:val="single" w:sz="6" w:space="0" w:color="000000"/>
              <w:bottom w:val="single" w:sz="8"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413</w:t>
            </w:r>
          </w:p>
        </w:tc>
        <w:tc>
          <w:tcPr>
            <w:tcW w:w="567" w:type="dxa"/>
            <w:tcBorders>
              <w:top w:val="single" w:sz="6" w:space="0" w:color="000000"/>
              <w:left w:val="single" w:sz="6" w:space="0" w:color="000000"/>
              <w:bottom w:val="single" w:sz="8"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2657</w:t>
            </w:r>
          </w:p>
        </w:tc>
        <w:tc>
          <w:tcPr>
            <w:tcW w:w="709" w:type="dxa"/>
            <w:tcBorders>
              <w:top w:val="single" w:sz="6" w:space="0" w:color="000000"/>
              <w:left w:val="single" w:sz="6" w:space="0" w:color="000000"/>
              <w:bottom w:val="single" w:sz="8" w:space="0" w:color="000000"/>
              <w:right w:val="single" w:sz="6" w:space="0" w:color="000000"/>
            </w:tcBorders>
            <w:shd w:val="clear" w:color="FFFFFF" w:fill="FFFFFF"/>
            <w:vAlign w:val="center"/>
            <w:hideMark/>
          </w:tcPr>
          <w:p w:rsidR="00406A77" w:rsidRPr="00697C03" w:rsidRDefault="00406A77" w:rsidP="00BF41DE">
            <w:pPr>
              <w:widowControl/>
              <w:jc w:val="right"/>
              <w:rPr>
                <w:rFonts w:ascii="標楷體" w:hAnsi="標楷體" w:cs="新細明體"/>
                <w:kern w:val="0"/>
                <w:sz w:val="18"/>
                <w:szCs w:val="18"/>
              </w:rPr>
            </w:pPr>
            <w:r w:rsidRPr="00697C03">
              <w:rPr>
                <w:rFonts w:ascii="標楷體" w:hAnsi="標楷體" w:cs="新細明體" w:hint="eastAsia"/>
                <w:kern w:val="0"/>
                <w:sz w:val="18"/>
                <w:szCs w:val="18"/>
              </w:rPr>
              <w:t>378</w:t>
            </w:r>
          </w:p>
        </w:tc>
        <w:tc>
          <w:tcPr>
            <w:tcW w:w="709" w:type="dxa"/>
            <w:tcBorders>
              <w:top w:val="single" w:sz="6" w:space="0" w:color="000000"/>
              <w:left w:val="single" w:sz="6" w:space="0" w:color="000000"/>
              <w:bottom w:val="single" w:sz="8" w:space="0" w:color="000000"/>
              <w:right w:val="single" w:sz="6" w:space="0" w:color="000000"/>
            </w:tcBorders>
            <w:shd w:val="clear" w:color="FFFFFF" w:fill="FFFFFF"/>
            <w:vAlign w:val="center"/>
            <w:hideMark/>
          </w:tcPr>
          <w:p w:rsidR="00406A77" w:rsidRPr="00697C03" w:rsidRDefault="00406A77" w:rsidP="00BF41DE">
            <w:pPr>
              <w:widowControl/>
              <w:jc w:val="center"/>
              <w:rPr>
                <w:rFonts w:ascii="標楷體" w:hAnsi="標楷體" w:cs="新細明體"/>
                <w:kern w:val="0"/>
                <w:sz w:val="18"/>
                <w:szCs w:val="18"/>
              </w:rPr>
            </w:pPr>
            <w:r w:rsidRPr="00697C03">
              <w:rPr>
                <w:rFonts w:ascii="標楷體" w:hAnsi="標楷體" w:cs="新細明體" w:hint="eastAsia"/>
                <w:kern w:val="0"/>
                <w:sz w:val="18"/>
                <w:szCs w:val="18"/>
              </w:rPr>
              <w:t>84.70%</w:t>
            </w:r>
          </w:p>
        </w:tc>
        <w:tc>
          <w:tcPr>
            <w:tcW w:w="992" w:type="dxa"/>
            <w:tcBorders>
              <w:top w:val="single" w:sz="6" w:space="0" w:color="000000"/>
              <w:left w:val="single" w:sz="6" w:space="0" w:color="000000"/>
              <w:bottom w:val="single" w:sz="8" w:space="0" w:color="000000"/>
              <w:right w:val="single" w:sz="6" w:space="0" w:color="000000"/>
            </w:tcBorders>
            <w:shd w:val="clear" w:color="FFFFFF" w:fill="FFFFFF"/>
            <w:vAlign w:val="center"/>
            <w:hideMark/>
          </w:tcPr>
          <w:p w:rsidR="00406A77" w:rsidRPr="00697C03" w:rsidRDefault="00406A77" w:rsidP="00BF41DE">
            <w:pPr>
              <w:widowControl/>
              <w:jc w:val="center"/>
              <w:rPr>
                <w:rFonts w:ascii="標楷體" w:hAnsi="標楷體" w:cs="新細明體"/>
                <w:kern w:val="0"/>
                <w:sz w:val="18"/>
                <w:szCs w:val="18"/>
              </w:rPr>
            </w:pPr>
            <w:r w:rsidRPr="00697C03">
              <w:rPr>
                <w:rFonts w:ascii="標楷體" w:hAnsi="標楷體" w:cs="新細明體" w:hint="eastAsia"/>
                <w:kern w:val="0"/>
                <w:sz w:val="18"/>
                <w:szCs w:val="18"/>
              </w:rPr>
              <w:t>91.53%</w:t>
            </w:r>
          </w:p>
        </w:tc>
        <w:tc>
          <w:tcPr>
            <w:tcW w:w="709" w:type="dxa"/>
            <w:tcBorders>
              <w:top w:val="single" w:sz="6" w:space="0" w:color="000000"/>
              <w:left w:val="single" w:sz="6" w:space="0" w:color="000000"/>
              <w:bottom w:val="single" w:sz="8" w:space="0" w:color="000000"/>
              <w:right w:val="single" w:sz="6" w:space="0" w:color="000000"/>
            </w:tcBorders>
            <w:shd w:val="clear" w:color="FFFFFF" w:fill="FFFFFF"/>
            <w:vAlign w:val="center"/>
            <w:hideMark/>
          </w:tcPr>
          <w:p w:rsidR="00406A77" w:rsidRPr="00697C03" w:rsidRDefault="00406A77" w:rsidP="00BF41DE">
            <w:pPr>
              <w:widowControl/>
              <w:jc w:val="center"/>
              <w:rPr>
                <w:rFonts w:ascii="標楷體" w:hAnsi="標楷體" w:cs="新細明體"/>
                <w:kern w:val="0"/>
                <w:sz w:val="18"/>
                <w:szCs w:val="18"/>
              </w:rPr>
            </w:pPr>
            <w:r w:rsidRPr="00697C03">
              <w:rPr>
                <w:rFonts w:ascii="標楷體" w:hAnsi="標楷體" w:cs="新細明體" w:hint="eastAsia"/>
                <w:kern w:val="0"/>
                <w:sz w:val="18"/>
                <w:szCs w:val="18"/>
              </w:rPr>
              <w:t>85.49%</w:t>
            </w:r>
          </w:p>
        </w:tc>
        <w:tc>
          <w:tcPr>
            <w:tcW w:w="860" w:type="dxa"/>
            <w:tcBorders>
              <w:top w:val="single" w:sz="6" w:space="0" w:color="000000"/>
              <w:left w:val="single" w:sz="6" w:space="0" w:color="000000"/>
              <w:bottom w:val="single" w:sz="8" w:space="0" w:color="000000"/>
              <w:right w:val="single" w:sz="6" w:space="0" w:color="000000"/>
            </w:tcBorders>
            <w:shd w:val="clear" w:color="FFFFFF" w:fill="FFFFFF"/>
            <w:vAlign w:val="center"/>
            <w:hideMark/>
          </w:tcPr>
          <w:p w:rsidR="00406A77" w:rsidRPr="00697C03" w:rsidRDefault="00406A77" w:rsidP="00BF41DE">
            <w:pPr>
              <w:widowControl/>
              <w:jc w:val="center"/>
              <w:rPr>
                <w:rFonts w:ascii="標楷體" w:hAnsi="標楷體" w:cs="新細明體"/>
                <w:kern w:val="0"/>
                <w:sz w:val="18"/>
                <w:szCs w:val="18"/>
              </w:rPr>
            </w:pPr>
            <w:r w:rsidRPr="00697C03">
              <w:rPr>
                <w:rFonts w:ascii="標楷體" w:hAnsi="標楷體" w:cs="新細明體" w:hint="eastAsia"/>
                <w:kern w:val="0"/>
                <w:sz w:val="18"/>
                <w:szCs w:val="18"/>
              </w:rPr>
              <w:t>0.177%</w:t>
            </w:r>
          </w:p>
        </w:tc>
        <w:tc>
          <w:tcPr>
            <w:tcW w:w="709" w:type="dxa"/>
            <w:tcBorders>
              <w:top w:val="single" w:sz="6" w:space="0" w:color="000000"/>
              <w:left w:val="single" w:sz="6" w:space="0" w:color="000000"/>
              <w:bottom w:val="single" w:sz="8" w:space="0" w:color="000000"/>
              <w:right w:val="single" w:sz="6" w:space="0" w:color="000000"/>
            </w:tcBorders>
            <w:shd w:val="clear" w:color="FFFFFF" w:fill="FFFFFF"/>
            <w:vAlign w:val="center"/>
            <w:hideMark/>
          </w:tcPr>
          <w:p w:rsidR="00406A77" w:rsidRPr="00697C03" w:rsidRDefault="00406A77" w:rsidP="00BF41DE">
            <w:pPr>
              <w:widowControl/>
              <w:jc w:val="center"/>
              <w:rPr>
                <w:rFonts w:ascii="標楷體" w:hAnsi="標楷體" w:cs="新細明體"/>
                <w:kern w:val="0"/>
                <w:sz w:val="18"/>
                <w:szCs w:val="18"/>
              </w:rPr>
            </w:pPr>
            <w:r w:rsidRPr="00697C03">
              <w:rPr>
                <w:rFonts w:ascii="標楷體" w:hAnsi="標楷體" w:cs="新細明體" w:hint="eastAsia"/>
                <w:kern w:val="0"/>
                <w:sz w:val="18"/>
                <w:szCs w:val="18"/>
              </w:rPr>
              <w:t>0.029%</w:t>
            </w:r>
          </w:p>
        </w:tc>
        <w:tc>
          <w:tcPr>
            <w:tcW w:w="425" w:type="dxa"/>
            <w:tcBorders>
              <w:top w:val="single" w:sz="6" w:space="0" w:color="000000"/>
              <w:left w:val="single" w:sz="6" w:space="0" w:color="000000"/>
              <w:bottom w:val="single" w:sz="8" w:space="0" w:color="000000"/>
              <w:right w:val="single" w:sz="8" w:space="0" w:color="000000"/>
            </w:tcBorders>
            <w:shd w:val="clear" w:color="FFFFFF" w:fill="FFFFFF"/>
            <w:vAlign w:val="center"/>
            <w:hideMark/>
          </w:tcPr>
          <w:p w:rsidR="00406A77" w:rsidRPr="00697C03" w:rsidRDefault="00406A77" w:rsidP="00BF41DE">
            <w:pPr>
              <w:widowControl/>
              <w:jc w:val="center"/>
              <w:rPr>
                <w:rFonts w:ascii="標楷體" w:hAnsi="標楷體" w:cs="新細明體"/>
                <w:kern w:val="0"/>
                <w:sz w:val="18"/>
                <w:szCs w:val="18"/>
              </w:rPr>
            </w:pPr>
            <w:r w:rsidRPr="00697C03">
              <w:rPr>
                <w:rFonts w:ascii="標楷體" w:hAnsi="標楷體" w:cs="新細明體" w:hint="eastAsia"/>
                <w:kern w:val="0"/>
                <w:sz w:val="18"/>
                <w:szCs w:val="18"/>
              </w:rPr>
              <w:t>510</w:t>
            </w:r>
          </w:p>
        </w:tc>
      </w:tr>
    </w:tbl>
    <w:p w:rsidR="00406A77" w:rsidRPr="00697C03" w:rsidRDefault="00406A77" w:rsidP="00406A77">
      <w:pPr>
        <w:rPr>
          <w:rFonts w:ascii="標楷體" w:hAnsi="標楷體"/>
          <w:sz w:val="24"/>
          <w:szCs w:val="24"/>
        </w:rPr>
      </w:pPr>
      <w:r w:rsidRPr="00697C03">
        <w:rPr>
          <w:rFonts w:ascii="標楷體" w:hAnsi="標楷體" w:hint="eastAsia"/>
          <w:sz w:val="24"/>
          <w:szCs w:val="24"/>
        </w:rPr>
        <w:t>資料來源:教育部調卷資料。</w:t>
      </w:r>
    </w:p>
    <w:p w:rsidR="00406A77" w:rsidRPr="00697C03" w:rsidRDefault="00406A77" w:rsidP="00406A77">
      <w:pPr>
        <w:rPr>
          <w:rFonts w:ascii="標楷體" w:hAnsi="標楷體"/>
        </w:rPr>
      </w:pPr>
      <w:r w:rsidRPr="00697C03">
        <w:rPr>
          <w:rFonts w:ascii="標楷體" w:hAnsi="標楷體" w:hint="eastAsia"/>
        </w:rPr>
        <w:tab/>
      </w:r>
    </w:p>
    <w:p w:rsidR="00406A77" w:rsidRPr="00697C03" w:rsidRDefault="00406A77" w:rsidP="00406A77">
      <w:pPr>
        <w:pStyle w:val="3"/>
        <w:kinsoku/>
        <w:ind w:left="1360" w:hanging="680"/>
        <w:rPr>
          <w:rFonts w:hAnsi="標楷體"/>
        </w:rPr>
      </w:pPr>
      <w:r w:rsidRPr="00697C03">
        <w:rPr>
          <w:rFonts w:hAnsi="標楷體" w:hint="eastAsia"/>
        </w:rPr>
        <w:t>復查，中離學生之協尋係按中離生輔導要點第3點規定略以，教育部應建置中途離校學生通報系統，供未入學學生、中途離校學生及長期缺課學生</w:t>
      </w:r>
      <w:r w:rsidR="0079236E" w:rsidRPr="00697C03">
        <w:rPr>
          <w:rFonts w:hAnsi="標楷體" w:hint="eastAsia"/>
        </w:rPr>
        <w:t>（</w:t>
      </w:r>
      <w:r w:rsidRPr="00697C03">
        <w:rPr>
          <w:rFonts w:hAnsi="標楷體" w:hint="eastAsia"/>
        </w:rPr>
        <w:t>以下併稱學生</w:t>
      </w:r>
      <w:r w:rsidR="0079236E" w:rsidRPr="00697C03">
        <w:rPr>
          <w:rFonts w:hAnsi="標楷體" w:hint="eastAsia"/>
        </w:rPr>
        <w:t>）</w:t>
      </w:r>
      <w:r w:rsidRPr="00697C03">
        <w:rPr>
          <w:rFonts w:hAnsi="標楷體" w:hint="eastAsia"/>
        </w:rPr>
        <w:t>未就學學校、就讀學校或轉出學校辦理通報及協尋，掌握各學校學生狀況。次依同要點第4點規定，學校應自學生未入學、中途離校、長期缺課事實發生，或復學之日起3日內，完成通報</w:t>
      </w:r>
      <w:r w:rsidRPr="00697C03">
        <w:rPr>
          <w:rFonts w:hAnsi="標楷體" w:hint="eastAsia"/>
        </w:rPr>
        <w:lastRenderedPageBreak/>
        <w:t>作業。前項通報作業及嗣後追蹤、輔導事項，由原學籍學校依本部所定通報及輔導流程，訂定規定為之。爰學校應依規定，設輔導小組，提供學生輔導法第6條所定三級輔導，施予適當之補救教學及差異化教學等教育措施；必要時，得視學生需求召開安置輔導會議，或轉介相關機關（構）、民間團體，進行輔導及救助。</w:t>
      </w:r>
      <w:r w:rsidR="00432817" w:rsidRPr="00697C03">
        <w:rPr>
          <w:rFonts w:hAnsi="標楷體" w:hint="eastAsia"/>
        </w:rPr>
        <w:t>然高級中等教育階段非屬強制入學，倘學校有行蹤不明之中離生，則依失蹤人口查尋作業要點</w:t>
      </w:r>
      <w:r w:rsidRPr="00697C03">
        <w:rPr>
          <w:rFonts w:hAnsi="標楷體" w:hint="eastAsia"/>
        </w:rPr>
        <w:t>第4點，警察機關應依失蹤人之直系血親尊親屬、法定代理人、監護人、配偶、直系血親卑親屬及民法第1123條家長、家屬或親屬之報案實施查尋。另依教育部國教署於107年5月22日召開「107年度高級中等學校中途離校學生資源使用一覽表之文宣宣導單張研發計畫資源彙整暨專家研討會議」決議略以：查依上開要點，中離生如果失聯僅可由上開人員報案請警方協尋，建請內政部警政署研議納入教育人員亦可報案協請警方協助，以落實中離學生之追蹤輔導。</w:t>
      </w:r>
      <w:r w:rsidR="006F6564" w:rsidRPr="00697C03">
        <w:rPr>
          <w:rFonts w:hAnsi="標楷體" w:hint="eastAsia"/>
        </w:rPr>
        <w:t>準此，中離生協尋依據上開規定辦理。</w:t>
      </w:r>
    </w:p>
    <w:p w:rsidR="00406A77" w:rsidRPr="00697C03" w:rsidRDefault="00406A77" w:rsidP="00F55196">
      <w:pPr>
        <w:pStyle w:val="3"/>
        <w:kinsoku/>
        <w:ind w:left="1360" w:hanging="680"/>
        <w:rPr>
          <w:rFonts w:hAnsi="標楷體"/>
        </w:rPr>
      </w:pPr>
      <w:r w:rsidRPr="00697C03">
        <w:rPr>
          <w:rFonts w:hAnsi="標楷體" w:hint="eastAsia"/>
        </w:rPr>
        <w:t>另關於中離生協尋或復學之數據，依教育部提供全國105-107學年度中途離校學生復學人數（105學年度前</w:t>
      </w:r>
      <w:r w:rsidR="005C5137" w:rsidRPr="00697C03">
        <w:rPr>
          <w:rFonts w:hAnsi="標楷體" w:hint="eastAsia"/>
        </w:rPr>
        <w:t>尚</w:t>
      </w:r>
      <w:r w:rsidRPr="00697C03">
        <w:rPr>
          <w:rFonts w:hAnsi="標楷體" w:hint="eastAsia"/>
        </w:rPr>
        <w:t>無相關統計）顯示，歷年度整體數據</w:t>
      </w:r>
      <w:r w:rsidR="005B21D2" w:rsidRPr="00697C03">
        <w:rPr>
          <w:rFonts w:hAnsi="標楷體" w:hint="eastAsia"/>
        </w:rPr>
        <w:t>除</w:t>
      </w:r>
      <w:r w:rsidRPr="00697C03">
        <w:rPr>
          <w:rFonts w:hAnsi="標楷體" w:hint="eastAsia"/>
        </w:rPr>
        <w:t>仍均高不下外，</w:t>
      </w:r>
      <w:r w:rsidR="001034D1" w:rsidRPr="00697C03">
        <w:rPr>
          <w:rFonts w:hAnsi="標楷體" w:hint="eastAsia"/>
        </w:rPr>
        <w:t>顯示</w:t>
      </w:r>
      <w:r w:rsidRPr="00697C03">
        <w:rPr>
          <w:rFonts w:hAnsi="標楷體" w:hint="eastAsia"/>
        </w:rPr>
        <w:t>每學年度中離生復學率僅約4</w:t>
      </w:r>
      <w:r w:rsidR="00AE0C3F" w:rsidRPr="00697C03">
        <w:rPr>
          <w:rFonts w:hAnsi="標楷體" w:hint="eastAsia"/>
        </w:rPr>
        <w:t>成左右。足徵</w:t>
      </w:r>
      <w:r w:rsidRPr="00697C03">
        <w:rPr>
          <w:rFonts w:hAnsi="標楷體" w:hint="eastAsia"/>
        </w:rPr>
        <w:t>，政府對於中離學生之協尋及復學情形</w:t>
      </w:r>
      <w:r w:rsidR="006738E4" w:rsidRPr="00697C03">
        <w:rPr>
          <w:rFonts w:hAnsi="標楷體" w:hint="eastAsia"/>
        </w:rPr>
        <w:t>尚無有效積極應對錯市，後續允</w:t>
      </w:r>
      <w:r w:rsidRPr="00697C03">
        <w:rPr>
          <w:rFonts w:hAnsi="標楷體" w:hint="eastAsia"/>
        </w:rPr>
        <w:t>應盡速徹底檢討改進。</w:t>
      </w:r>
      <w:r w:rsidR="0007356E" w:rsidRPr="00697C03">
        <w:rPr>
          <w:rFonts w:hAnsi="標楷體" w:hint="eastAsia"/>
        </w:rPr>
        <w:t>依</w:t>
      </w:r>
      <w:r w:rsidRPr="00697C03">
        <w:rPr>
          <w:rFonts w:hAnsi="標楷體" w:hint="eastAsia"/>
        </w:rPr>
        <w:t>教育部約詢會後補充資料</w:t>
      </w:r>
      <w:r w:rsidR="0079236E" w:rsidRPr="00697C03">
        <w:rPr>
          <w:rFonts w:hAnsi="標楷體" w:hint="eastAsia"/>
        </w:rPr>
        <w:t>（</w:t>
      </w:r>
      <w:r w:rsidRPr="00697C03">
        <w:rPr>
          <w:rFonts w:hAnsi="標楷體" w:hint="eastAsia"/>
        </w:rPr>
        <w:t>截至109年4月16日中離通報系統數據</w:t>
      </w:r>
      <w:r w:rsidR="0079236E" w:rsidRPr="00697C03">
        <w:rPr>
          <w:rFonts w:hAnsi="標楷體" w:hint="eastAsia"/>
        </w:rPr>
        <w:t>）</w:t>
      </w:r>
      <w:r w:rsidRPr="00697C03">
        <w:rPr>
          <w:rFonts w:hAnsi="標楷體" w:hint="eastAsia"/>
        </w:rPr>
        <w:t>詳如下表。</w:t>
      </w:r>
    </w:p>
    <w:p w:rsidR="00406A77" w:rsidRPr="00697C03" w:rsidRDefault="00406A77" w:rsidP="00406A77">
      <w:pPr>
        <w:pStyle w:val="a3"/>
        <w:rPr>
          <w:rFonts w:hAnsi="標楷體"/>
        </w:rPr>
      </w:pPr>
      <w:r w:rsidRPr="00697C03">
        <w:rPr>
          <w:rFonts w:hAnsi="標楷體" w:hint="eastAsia"/>
          <w:b/>
        </w:rPr>
        <w:lastRenderedPageBreak/>
        <w:t xml:space="preserve">105-107學年度中離生復學人數情形　　　　　</w:t>
      </w:r>
      <w:r w:rsidRPr="00697C03">
        <w:rPr>
          <w:rFonts w:hAnsi="標楷體" w:hint="eastAsia"/>
          <w:sz w:val="24"/>
          <w:szCs w:val="24"/>
        </w:rPr>
        <w:t>單位：人數；比例</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6"/>
        <w:gridCol w:w="1984"/>
        <w:gridCol w:w="2127"/>
        <w:gridCol w:w="1842"/>
      </w:tblGrid>
      <w:tr w:rsidR="00697C03" w:rsidRPr="00697C03" w:rsidTr="00BF41DE">
        <w:trPr>
          <w:trHeight w:val="324"/>
          <w:tblHeader/>
        </w:trPr>
        <w:tc>
          <w:tcPr>
            <w:tcW w:w="2126" w:type="dxa"/>
            <w:shd w:val="clear" w:color="auto" w:fill="D0CECE" w:themeFill="background2" w:themeFillShade="E6"/>
            <w:noWrap/>
            <w:vAlign w:val="center"/>
            <w:hideMark/>
          </w:tcPr>
          <w:p w:rsidR="00406A77" w:rsidRPr="00697C03" w:rsidRDefault="00406A77" w:rsidP="00BF41DE">
            <w:pPr>
              <w:spacing w:line="420" w:lineRule="exact"/>
              <w:ind w:firstLineChars="50" w:firstLine="150"/>
              <w:jc w:val="center"/>
              <w:rPr>
                <w:rFonts w:ascii="標楷體" w:hAnsi="標楷體"/>
                <w:b/>
                <w:sz w:val="28"/>
              </w:rPr>
            </w:pPr>
            <w:r w:rsidRPr="00697C03">
              <w:rPr>
                <w:rFonts w:ascii="標楷體" w:hAnsi="標楷體" w:hint="eastAsia"/>
                <w:b/>
                <w:sz w:val="28"/>
              </w:rPr>
              <w:t>學年度</w:t>
            </w:r>
          </w:p>
        </w:tc>
        <w:tc>
          <w:tcPr>
            <w:tcW w:w="1984" w:type="dxa"/>
            <w:shd w:val="clear" w:color="auto" w:fill="D0CECE" w:themeFill="background2" w:themeFillShade="E6"/>
            <w:noWrap/>
            <w:vAlign w:val="center"/>
            <w:hideMark/>
          </w:tcPr>
          <w:p w:rsidR="00406A77" w:rsidRPr="00697C03" w:rsidRDefault="00406A77" w:rsidP="00BF41DE">
            <w:pPr>
              <w:spacing w:line="420" w:lineRule="exact"/>
              <w:ind w:firstLineChars="50" w:firstLine="150"/>
              <w:jc w:val="center"/>
              <w:rPr>
                <w:rFonts w:ascii="標楷體" w:hAnsi="標楷體"/>
                <w:b/>
                <w:sz w:val="28"/>
              </w:rPr>
            </w:pPr>
            <w:r w:rsidRPr="00697C03">
              <w:rPr>
                <w:rFonts w:ascii="標楷體" w:hAnsi="標楷體" w:hint="eastAsia"/>
                <w:b/>
                <w:sz w:val="28"/>
              </w:rPr>
              <w:t>105學年度</w:t>
            </w:r>
          </w:p>
        </w:tc>
        <w:tc>
          <w:tcPr>
            <w:tcW w:w="2127" w:type="dxa"/>
            <w:shd w:val="clear" w:color="auto" w:fill="D0CECE" w:themeFill="background2" w:themeFillShade="E6"/>
            <w:noWrap/>
            <w:vAlign w:val="center"/>
            <w:hideMark/>
          </w:tcPr>
          <w:p w:rsidR="00406A77" w:rsidRPr="00697C03" w:rsidRDefault="00406A77" w:rsidP="00BF41DE">
            <w:pPr>
              <w:spacing w:line="420" w:lineRule="exact"/>
              <w:ind w:firstLineChars="50" w:firstLine="150"/>
              <w:jc w:val="center"/>
              <w:rPr>
                <w:rFonts w:ascii="標楷體" w:hAnsi="標楷體"/>
                <w:b/>
                <w:sz w:val="28"/>
              </w:rPr>
            </w:pPr>
            <w:r w:rsidRPr="00697C03">
              <w:rPr>
                <w:rFonts w:ascii="標楷體" w:hAnsi="標楷體" w:hint="eastAsia"/>
                <w:b/>
                <w:sz w:val="28"/>
              </w:rPr>
              <w:t>106學年度</w:t>
            </w:r>
          </w:p>
        </w:tc>
        <w:tc>
          <w:tcPr>
            <w:tcW w:w="1842" w:type="dxa"/>
            <w:shd w:val="clear" w:color="auto" w:fill="D0CECE" w:themeFill="background2" w:themeFillShade="E6"/>
            <w:noWrap/>
            <w:vAlign w:val="center"/>
            <w:hideMark/>
          </w:tcPr>
          <w:p w:rsidR="00406A77" w:rsidRPr="00697C03" w:rsidRDefault="00406A77" w:rsidP="00BF41DE">
            <w:pPr>
              <w:spacing w:line="420" w:lineRule="exact"/>
              <w:ind w:firstLineChars="50" w:firstLine="150"/>
              <w:jc w:val="center"/>
              <w:rPr>
                <w:rFonts w:ascii="標楷體" w:hAnsi="標楷體"/>
                <w:b/>
                <w:sz w:val="28"/>
              </w:rPr>
            </w:pPr>
            <w:r w:rsidRPr="00697C03">
              <w:rPr>
                <w:rFonts w:ascii="標楷體" w:hAnsi="標楷體" w:hint="eastAsia"/>
                <w:b/>
                <w:sz w:val="28"/>
              </w:rPr>
              <w:t>107學年度</w:t>
            </w:r>
          </w:p>
        </w:tc>
      </w:tr>
      <w:tr w:rsidR="00697C03" w:rsidRPr="00697C03" w:rsidTr="00BF41DE">
        <w:trPr>
          <w:trHeight w:val="102"/>
        </w:trPr>
        <w:tc>
          <w:tcPr>
            <w:tcW w:w="2126" w:type="dxa"/>
            <w:shd w:val="clear" w:color="auto" w:fill="auto"/>
            <w:vAlign w:val="center"/>
            <w:hideMark/>
          </w:tcPr>
          <w:p w:rsidR="00406A77" w:rsidRPr="00697C03" w:rsidRDefault="00406A77" w:rsidP="00AE0486">
            <w:pPr>
              <w:spacing w:line="300" w:lineRule="exact"/>
              <w:ind w:firstLineChars="50" w:firstLine="150"/>
              <w:jc w:val="center"/>
              <w:rPr>
                <w:rFonts w:ascii="標楷體" w:hAnsi="標楷體"/>
                <w:b/>
                <w:sz w:val="28"/>
              </w:rPr>
            </w:pPr>
            <w:r w:rsidRPr="00697C03">
              <w:rPr>
                <w:rFonts w:ascii="標楷體" w:hAnsi="標楷體" w:hint="eastAsia"/>
                <w:b/>
                <w:sz w:val="28"/>
              </w:rPr>
              <w:t>返校復學</w:t>
            </w:r>
          </w:p>
        </w:tc>
        <w:tc>
          <w:tcPr>
            <w:tcW w:w="1984" w:type="dxa"/>
            <w:shd w:val="clear" w:color="auto" w:fill="auto"/>
            <w:noWrap/>
            <w:vAlign w:val="center"/>
            <w:hideMark/>
          </w:tcPr>
          <w:p w:rsidR="00406A77" w:rsidRPr="00697C03" w:rsidRDefault="00406A77" w:rsidP="00BF41DE">
            <w:pPr>
              <w:spacing w:line="420" w:lineRule="exact"/>
              <w:ind w:firstLineChars="50" w:firstLine="150"/>
              <w:jc w:val="right"/>
              <w:rPr>
                <w:rFonts w:ascii="標楷體" w:hAnsi="標楷體"/>
                <w:sz w:val="28"/>
              </w:rPr>
            </w:pPr>
            <w:r w:rsidRPr="00697C03">
              <w:rPr>
                <w:rFonts w:ascii="標楷體" w:hAnsi="標楷體" w:hint="eastAsia"/>
                <w:sz w:val="28"/>
              </w:rPr>
              <w:t>2,334</w:t>
            </w:r>
          </w:p>
        </w:tc>
        <w:tc>
          <w:tcPr>
            <w:tcW w:w="2127" w:type="dxa"/>
            <w:shd w:val="clear" w:color="auto" w:fill="auto"/>
            <w:noWrap/>
            <w:vAlign w:val="center"/>
            <w:hideMark/>
          </w:tcPr>
          <w:p w:rsidR="00406A77" w:rsidRPr="00697C03" w:rsidRDefault="00406A77" w:rsidP="00BF41DE">
            <w:pPr>
              <w:spacing w:line="420" w:lineRule="exact"/>
              <w:ind w:firstLineChars="50" w:firstLine="150"/>
              <w:jc w:val="right"/>
              <w:rPr>
                <w:rFonts w:ascii="標楷體" w:hAnsi="標楷體"/>
                <w:sz w:val="28"/>
              </w:rPr>
            </w:pPr>
            <w:r w:rsidRPr="00697C03">
              <w:rPr>
                <w:rFonts w:ascii="標楷體" w:hAnsi="標楷體" w:hint="eastAsia"/>
                <w:sz w:val="28"/>
              </w:rPr>
              <w:t>2,550</w:t>
            </w:r>
          </w:p>
        </w:tc>
        <w:tc>
          <w:tcPr>
            <w:tcW w:w="1842" w:type="dxa"/>
            <w:shd w:val="clear" w:color="auto" w:fill="auto"/>
            <w:noWrap/>
            <w:vAlign w:val="center"/>
            <w:hideMark/>
          </w:tcPr>
          <w:p w:rsidR="00406A77" w:rsidRPr="00697C03" w:rsidRDefault="00406A77" w:rsidP="00BF41DE">
            <w:pPr>
              <w:spacing w:line="420" w:lineRule="exact"/>
              <w:ind w:firstLineChars="50" w:firstLine="150"/>
              <w:jc w:val="right"/>
              <w:rPr>
                <w:rFonts w:ascii="標楷體" w:hAnsi="標楷體"/>
                <w:sz w:val="28"/>
              </w:rPr>
            </w:pPr>
            <w:r w:rsidRPr="00697C03">
              <w:rPr>
                <w:rFonts w:ascii="標楷體" w:hAnsi="標楷體" w:hint="eastAsia"/>
                <w:sz w:val="28"/>
              </w:rPr>
              <w:t>2,126</w:t>
            </w:r>
          </w:p>
        </w:tc>
      </w:tr>
      <w:tr w:rsidR="00697C03" w:rsidRPr="00697C03" w:rsidTr="00BF41DE">
        <w:trPr>
          <w:trHeight w:val="324"/>
        </w:trPr>
        <w:tc>
          <w:tcPr>
            <w:tcW w:w="2126" w:type="dxa"/>
            <w:shd w:val="clear" w:color="auto" w:fill="auto"/>
            <w:vAlign w:val="center"/>
            <w:hideMark/>
          </w:tcPr>
          <w:p w:rsidR="00406A77" w:rsidRPr="00697C03" w:rsidRDefault="00406A77" w:rsidP="00AE0486">
            <w:pPr>
              <w:spacing w:line="300" w:lineRule="exact"/>
              <w:ind w:firstLineChars="50" w:firstLine="150"/>
              <w:jc w:val="center"/>
              <w:rPr>
                <w:rFonts w:ascii="標楷體" w:hAnsi="標楷體"/>
                <w:b/>
                <w:sz w:val="28"/>
              </w:rPr>
            </w:pPr>
            <w:r w:rsidRPr="00697C03">
              <w:rPr>
                <w:rFonts w:ascii="標楷體" w:hAnsi="標楷體" w:hint="eastAsia"/>
                <w:b/>
                <w:sz w:val="28"/>
              </w:rPr>
              <w:t>他校就讀</w:t>
            </w:r>
          </w:p>
        </w:tc>
        <w:tc>
          <w:tcPr>
            <w:tcW w:w="1984" w:type="dxa"/>
            <w:shd w:val="clear" w:color="auto" w:fill="auto"/>
            <w:noWrap/>
            <w:vAlign w:val="center"/>
            <w:hideMark/>
          </w:tcPr>
          <w:p w:rsidR="00406A77" w:rsidRPr="00697C03" w:rsidRDefault="00406A77" w:rsidP="00BF41DE">
            <w:pPr>
              <w:spacing w:line="420" w:lineRule="exact"/>
              <w:ind w:firstLineChars="50" w:firstLine="150"/>
              <w:jc w:val="right"/>
              <w:rPr>
                <w:rFonts w:ascii="標楷體" w:hAnsi="標楷體"/>
                <w:sz w:val="28"/>
              </w:rPr>
            </w:pPr>
            <w:r w:rsidRPr="00697C03">
              <w:rPr>
                <w:rFonts w:ascii="標楷體" w:hAnsi="標楷體" w:hint="eastAsia"/>
                <w:sz w:val="28"/>
              </w:rPr>
              <w:t>7,402</w:t>
            </w:r>
          </w:p>
        </w:tc>
        <w:tc>
          <w:tcPr>
            <w:tcW w:w="2127" w:type="dxa"/>
            <w:shd w:val="clear" w:color="auto" w:fill="auto"/>
            <w:noWrap/>
            <w:vAlign w:val="center"/>
            <w:hideMark/>
          </w:tcPr>
          <w:p w:rsidR="00406A77" w:rsidRPr="00697C03" w:rsidRDefault="00406A77" w:rsidP="00BF41DE">
            <w:pPr>
              <w:spacing w:line="420" w:lineRule="exact"/>
              <w:ind w:firstLineChars="50" w:firstLine="150"/>
              <w:jc w:val="right"/>
              <w:rPr>
                <w:rFonts w:ascii="標楷體" w:hAnsi="標楷體"/>
                <w:sz w:val="28"/>
              </w:rPr>
            </w:pPr>
            <w:r w:rsidRPr="00697C03">
              <w:rPr>
                <w:rFonts w:ascii="標楷體" w:hAnsi="標楷體" w:hint="eastAsia"/>
                <w:sz w:val="28"/>
              </w:rPr>
              <w:t>6,678</w:t>
            </w:r>
          </w:p>
        </w:tc>
        <w:tc>
          <w:tcPr>
            <w:tcW w:w="1842" w:type="dxa"/>
            <w:shd w:val="clear" w:color="auto" w:fill="auto"/>
            <w:noWrap/>
            <w:vAlign w:val="center"/>
            <w:hideMark/>
          </w:tcPr>
          <w:p w:rsidR="00406A77" w:rsidRPr="00697C03" w:rsidRDefault="00406A77" w:rsidP="00BF41DE">
            <w:pPr>
              <w:spacing w:line="420" w:lineRule="exact"/>
              <w:ind w:firstLineChars="50" w:firstLine="150"/>
              <w:jc w:val="right"/>
              <w:rPr>
                <w:rFonts w:ascii="標楷體" w:hAnsi="標楷體"/>
                <w:sz w:val="28"/>
              </w:rPr>
            </w:pPr>
            <w:r w:rsidRPr="00697C03">
              <w:rPr>
                <w:rFonts w:ascii="標楷體" w:hAnsi="標楷體" w:hint="eastAsia"/>
                <w:sz w:val="28"/>
              </w:rPr>
              <w:t>5,288</w:t>
            </w:r>
          </w:p>
        </w:tc>
      </w:tr>
      <w:tr w:rsidR="00697C03" w:rsidRPr="00697C03" w:rsidTr="00BF41DE">
        <w:trPr>
          <w:trHeight w:val="324"/>
        </w:trPr>
        <w:tc>
          <w:tcPr>
            <w:tcW w:w="2126" w:type="dxa"/>
            <w:tcBorders>
              <w:bottom w:val="single" w:sz="4" w:space="0" w:color="auto"/>
            </w:tcBorders>
            <w:shd w:val="clear" w:color="auto" w:fill="D0CECE" w:themeFill="background2" w:themeFillShade="E6"/>
            <w:vAlign w:val="center"/>
          </w:tcPr>
          <w:p w:rsidR="00406A77" w:rsidRPr="00697C03" w:rsidRDefault="00406A77" w:rsidP="00AE0486">
            <w:pPr>
              <w:spacing w:line="300" w:lineRule="exact"/>
              <w:ind w:firstLineChars="50" w:firstLine="150"/>
              <w:jc w:val="center"/>
              <w:rPr>
                <w:rFonts w:ascii="標楷體" w:hAnsi="標楷體"/>
                <w:b/>
                <w:sz w:val="28"/>
              </w:rPr>
            </w:pPr>
            <w:r w:rsidRPr="00697C03">
              <w:rPr>
                <w:rFonts w:ascii="標楷體" w:hAnsi="標楷體" w:hint="eastAsia"/>
                <w:b/>
                <w:sz w:val="28"/>
              </w:rPr>
              <w:t>復學總人數</w:t>
            </w:r>
          </w:p>
        </w:tc>
        <w:tc>
          <w:tcPr>
            <w:tcW w:w="1984" w:type="dxa"/>
            <w:tcBorders>
              <w:bottom w:val="single" w:sz="4" w:space="0" w:color="auto"/>
            </w:tcBorders>
            <w:shd w:val="clear" w:color="auto" w:fill="D0CECE" w:themeFill="background2" w:themeFillShade="E6"/>
            <w:noWrap/>
            <w:vAlign w:val="center"/>
          </w:tcPr>
          <w:p w:rsidR="00406A77" w:rsidRPr="00697C03" w:rsidRDefault="00406A77" w:rsidP="00BF41DE">
            <w:pPr>
              <w:spacing w:line="420" w:lineRule="exact"/>
              <w:ind w:firstLineChars="50" w:firstLine="150"/>
              <w:jc w:val="right"/>
              <w:rPr>
                <w:rFonts w:ascii="標楷體" w:hAnsi="標楷體"/>
                <w:sz w:val="28"/>
              </w:rPr>
            </w:pPr>
            <w:r w:rsidRPr="00697C03">
              <w:rPr>
                <w:rFonts w:ascii="標楷體" w:hAnsi="標楷體"/>
                <w:sz w:val="28"/>
              </w:rPr>
              <w:fldChar w:fldCharType="begin"/>
            </w:r>
            <w:r w:rsidRPr="00697C03">
              <w:rPr>
                <w:rFonts w:ascii="標楷體" w:hAnsi="標楷體"/>
                <w:sz w:val="28"/>
              </w:rPr>
              <w:instrText xml:space="preserve"> </w:instrText>
            </w:r>
            <w:r w:rsidRPr="00697C03">
              <w:rPr>
                <w:rFonts w:ascii="標楷體" w:hAnsi="標楷體" w:hint="eastAsia"/>
                <w:sz w:val="28"/>
              </w:rPr>
              <w:instrText>=SUM(ABOVE)</w:instrText>
            </w:r>
            <w:r w:rsidRPr="00697C03">
              <w:rPr>
                <w:rFonts w:ascii="標楷體" w:hAnsi="標楷體"/>
                <w:sz w:val="28"/>
              </w:rPr>
              <w:instrText xml:space="preserve"> </w:instrText>
            </w:r>
            <w:r w:rsidRPr="00697C03">
              <w:rPr>
                <w:rFonts w:ascii="標楷體" w:hAnsi="標楷體"/>
                <w:sz w:val="28"/>
              </w:rPr>
              <w:fldChar w:fldCharType="separate"/>
            </w:r>
            <w:r w:rsidRPr="00697C03">
              <w:rPr>
                <w:rFonts w:ascii="標楷體" w:hAnsi="標楷體"/>
                <w:noProof/>
                <w:sz w:val="28"/>
              </w:rPr>
              <w:t>9,736</w:t>
            </w:r>
            <w:r w:rsidRPr="00697C03">
              <w:rPr>
                <w:rFonts w:ascii="標楷體" w:hAnsi="標楷體"/>
                <w:sz w:val="28"/>
              </w:rPr>
              <w:fldChar w:fldCharType="end"/>
            </w:r>
          </w:p>
        </w:tc>
        <w:tc>
          <w:tcPr>
            <w:tcW w:w="2127" w:type="dxa"/>
            <w:tcBorders>
              <w:bottom w:val="single" w:sz="4" w:space="0" w:color="auto"/>
            </w:tcBorders>
            <w:shd w:val="clear" w:color="auto" w:fill="D0CECE" w:themeFill="background2" w:themeFillShade="E6"/>
            <w:noWrap/>
            <w:vAlign w:val="center"/>
          </w:tcPr>
          <w:p w:rsidR="00406A77" w:rsidRPr="00697C03" w:rsidRDefault="00406A77" w:rsidP="00BF41DE">
            <w:pPr>
              <w:spacing w:line="420" w:lineRule="exact"/>
              <w:ind w:firstLineChars="50" w:firstLine="150"/>
              <w:jc w:val="right"/>
              <w:rPr>
                <w:rFonts w:ascii="標楷體" w:hAnsi="標楷體"/>
                <w:sz w:val="28"/>
              </w:rPr>
            </w:pPr>
            <w:r w:rsidRPr="00697C03">
              <w:rPr>
                <w:rFonts w:ascii="標楷體" w:hAnsi="標楷體"/>
                <w:sz w:val="28"/>
              </w:rPr>
              <w:fldChar w:fldCharType="begin"/>
            </w:r>
            <w:r w:rsidRPr="00697C03">
              <w:rPr>
                <w:rFonts w:ascii="標楷體" w:hAnsi="標楷體"/>
                <w:sz w:val="28"/>
              </w:rPr>
              <w:instrText xml:space="preserve"> </w:instrText>
            </w:r>
            <w:r w:rsidRPr="00697C03">
              <w:rPr>
                <w:rFonts w:ascii="標楷體" w:hAnsi="標楷體" w:hint="eastAsia"/>
                <w:sz w:val="28"/>
              </w:rPr>
              <w:instrText>=SUM(ABOVE)</w:instrText>
            </w:r>
            <w:r w:rsidRPr="00697C03">
              <w:rPr>
                <w:rFonts w:ascii="標楷體" w:hAnsi="標楷體"/>
                <w:sz w:val="28"/>
              </w:rPr>
              <w:instrText xml:space="preserve"> </w:instrText>
            </w:r>
            <w:r w:rsidRPr="00697C03">
              <w:rPr>
                <w:rFonts w:ascii="標楷體" w:hAnsi="標楷體"/>
                <w:sz w:val="28"/>
              </w:rPr>
              <w:fldChar w:fldCharType="separate"/>
            </w:r>
            <w:r w:rsidRPr="00697C03">
              <w:rPr>
                <w:rFonts w:ascii="標楷體" w:hAnsi="標楷體"/>
                <w:noProof/>
                <w:sz w:val="28"/>
              </w:rPr>
              <w:t>9,228</w:t>
            </w:r>
            <w:r w:rsidRPr="00697C03">
              <w:rPr>
                <w:rFonts w:ascii="標楷體" w:hAnsi="標楷體"/>
                <w:sz w:val="28"/>
              </w:rPr>
              <w:fldChar w:fldCharType="end"/>
            </w:r>
          </w:p>
        </w:tc>
        <w:tc>
          <w:tcPr>
            <w:tcW w:w="1842" w:type="dxa"/>
            <w:tcBorders>
              <w:bottom w:val="single" w:sz="4" w:space="0" w:color="auto"/>
            </w:tcBorders>
            <w:shd w:val="clear" w:color="auto" w:fill="D0CECE" w:themeFill="background2" w:themeFillShade="E6"/>
            <w:noWrap/>
            <w:vAlign w:val="center"/>
          </w:tcPr>
          <w:p w:rsidR="00406A77" w:rsidRPr="00697C03" w:rsidRDefault="00406A77" w:rsidP="00BF41DE">
            <w:pPr>
              <w:spacing w:line="420" w:lineRule="exact"/>
              <w:ind w:firstLineChars="50" w:firstLine="150"/>
              <w:jc w:val="right"/>
              <w:rPr>
                <w:rFonts w:ascii="標楷體" w:hAnsi="標楷體"/>
                <w:sz w:val="28"/>
              </w:rPr>
            </w:pPr>
            <w:r w:rsidRPr="00697C03">
              <w:rPr>
                <w:rFonts w:ascii="標楷體" w:hAnsi="標楷體"/>
                <w:sz w:val="28"/>
              </w:rPr>
              <w:fldChar w:fldCharType="begin"/>
            </w:r>
            <w:r w:rsidRPr="00697C03">
              <w:rPr>
                <w:rFonts w:ascii="標楷體" w:hAnsi="標楷體"/>
                <w:sz w:val="28"/>
              </w:rPr>
              <w:instrText xml:space="preserve"> </w:instrText>
            </w:r>
            <w:r w:rsidRPr="00697C03">
              <w:rPr>
                <w:rFonts w:ascii="標楷體" w:hAnsi="標楷體" w:hint="eastAsia"/>
                <w:sz w:val="28"/>
              </w:rPr>
              <w:instrText>=SUM(ABOVE)</w:instrText>
            </w:r>
            <w:r w:rsidRPr="00697C03">
              <w:rPr>
                <w:rFonts w:ascii="標楷體" w:hAnsi="標楷體"/>
                <w:sz w:val="28"/>
              </w:rPr>
              <w:instrText xml:space="preserve"> </w:instrText>
            </w:r>
            <w:r w:rsidRPr="00697C03">
              <w:rPr>
                <w:rFonts w:ascii="標楷體" w:hAnsi="標楷體"/>
                <w:sz w:val="28"/>
              </w:rPr>
              <w:fldChar w:fldCharType="separate"/>
            </w:r>
            <w:r w:rsidRPr="00697C03">
              <w:rPr>
                <w:rFonts w:ascii="標楷體" w:hAnsi="標楷體"/>
                <w:noProof/>
                <w:sz w:val="28"/>
              </w:rPr>
              <w:t>7,414</w:t>
            </w:r>
            <w:r w:rsidRPr="00697C03">
              <w:rPr>
                <w:rFonts w:ascii="標楷體" w:hAnsi="標楷體"/>
                <w:sz w:val="28"/>
              </w:rPr>
              <w:fldChar w:fldCharType="end"/>
            </w:r>
          </w:p>
        </w:tc>
      </w:tr>
      <w:tr w:rsidR="00697C03" w:rsidRPr="00697C03" w:rsidTr="00BF41DE">
        <w:trPr>
          <w:trHeight w:val="324"/>
        </w:trPr>
        <w:tc>
          <w:tcPr>
            <w:tcW w:w="2126" w:type="dxa"/>
            <w:tcBorders>
              <w:bottom w:val="single" w:sz="4" w:space="0" w:color="auto"/>
            </w:tcBorders>
            <w:shd w:val="clear" w:color="auto" w:fill="auto"/>
            <w:vAlign w:val="center"/>
          </w:tcPr>
          <w:p w:rsidR="00406A77" w:rsidRPr="00697C03" w:rsidRDefault="00406A77" w:rsidP="00AE0486">
            <w:pPr>
              <w:spacing w:line="300" w:lineRule="exact"/>
              <w:ind w:firstLineChars="50" w:firstLine="150"/>
              <w:jc w:val="center"/>
              <w:rPr>
                <w:rFonts w:ascii="標楷體" w:hAnsi="標楷體"/>
                <w:b/>
                <w:sz w:val="28"/>
              </w:rPr>
            </w:pPr>
            <w:r w:rsidRPr="00697C03">
              <w:rPr>
                <w:rFonts w:ascii="標楷體" w:hAnsi="標楷體" w:hint="eastAsia"/>
                <w:b/>
                <w:sz w:val="28"/>
              </w:rPr>
              <w:t>中離生總數</w:t>
            </w:r>
          </w:p>
        </w:tc>
        <w:tc>
          <w:tcPr>
            <w:tcW w:w="1984" w:type="dxa"/>
            <w:tcBorders>
              <w:bottom w:val="single" w:sz="4" w:space="0" w:color="auto"/>
            </w:tcBorders>
            <w:shd w:val="clear" w:color="auto" w:fill="auto"/>
            <w:noWrap/>
            <w:vAlign w:val="center"/>
          </w:tcPr>
          <w:p w:rsidR="00406A77" w:rsidRPr="00697C03" w:rsidRDefault="00406A77" w:rsidP="00BF41DE">
            <w:pPr>
              <w:spacing w:line="420" w:lineRule="exact"/>
              <w:ind w:firstLineChars="50" w:firstLine="150"/>
              <w:jc w:val="right"/>
              <w:rPr>
                <w:rFonts w:ascii="標楷體" w:hAnsi="標楷體"/>
                <w:sz w:val="28"/>
              </w:rPr>
            </w:pPr>
            <w:r w:rsidRPr="00697C03">
              <w:rPr>
                <w:rFonts w:ascii="標楷體" w:hAnsi="標楷體"/>
                <w:sz w:val="28"/>
              </w:rPr>
              <w:t>21,615</w:t>
            </w:r>
          </w:p>
        </w:tc>
        <w:tc>
          <w:tcPr>
            <w:tcW w:w="2127" w:type="dxa"/>
            <w:tcBorders>
              <w:bottom w:val="single" w:sz="4" w:space="0" w:color="auto"/>
            </w:tcBorders>
            <w:shd w:val="clear" w:color="auto" w:fill="auto"/>
            <w:noWrap/>
            <w:vAlign w:val="center"/>
          </w:tcPr>
          <w:p w:rsidR="00406A77" w:rsidRPr="00697C03" w:rsidRDefault="00406A77" w:rsidP="00BF41DE">
            <w:pPr>
              <w:spacing w:line="420" w:lineRule="exact"/>
              <w:ind w:firstLineChars="50" w:firstLine="150"/>
              <w:jc w:val="right"/>
              <w:rPr>
                <w:rFonts w:ascii="標楷體" w:hAnsi="標楷體"/>
                <w:sz w:val="28"/>
              </w:rPr>
            </w:pPr>
            <w:r w:rsidRPr="00697C03">
              <w:rPr>
                <w:rFonts w:ascii="標楷體" w:hAnsi="標楷體"/>
                <w:sz w:val="28"/>
              </w:rPr>
              <w:t>20,282</w:t>
            </w:r>
          </w:p>
        </w:tc>
        <w:tc>
          <w:tcPr>
            <w:tcW w:w="1842" w:type="dxa"/>
            <w:tcBorders>
              <w:bottom w:val="single" w:sz="4" w:space="0" w:color="auto"/>
            </w:tcBorders>
            <w:shd w:val="clear" w:color="auto" w:fill="auto"/>
            <w:noWrap/>
            <w:vAlign w:val="center"/>
          </w:tcPr>
          <w:p w:rsidR="00406A77" w:rsidRPr="00697C03" w:rsidRDefault="00406A77" w:rsidP="00BF41DE">
            <w:pPr>
              <w:spacing w:line="420" w:lineRule="exact"/>
              <w:ind w:firstLineChars="50" w:firstLine="150"/>
              <w:jc w:val="right"/>
              <w:rPr>
                <w:rFonts w:ascii="標楷體" w:hAnsi="標楷體"/>
                <w:sz w:val="28"/>
              </w:rPr>
            </w:pPr>
            <w:r w:rsidRPr="00697C03">
              <w:rPr>
                <w:rFonts w:ascii="標楷體" w:hAnsi="標楷體"/>
                <w:sz w:val="28"/>
              </w:rPr>
              <w:t>16,689</w:t>
            </w:r>
          </w:p>
        </w:tc>
      </w:tr>
      <w:tr w:rsidR="00697C03" w:rsidRPr="00697C03" w:rsidTr="00BF41DE">
        <w:trPr>
          <w:trHeight w:val="324"/>
        </w:trPr>
        <w:tc>
          <w:tcPr>
            <w:tcW w:w="2126" w:type="dxa"/>
            <w:shd w:val="clear" w:color="auto" w:fill="E7E6E6" w:themeFill="background2"/>
            <w:vAlign w:val="center"/>
          </w:tcPr>
          <w:p w:rsidR="00406A77" w:rsidRPr="00697C03" w:rsidRDefault="00406A77" w:rsidP="00AE0486">
            <w:pPr>
              <w:spacing w:line="300" w:lineRule="exact"/>
              <w:ind w:firstLineChars="50" w:firstLine="150"/>
              <w:jc w:val="center"/>
              <w:rPr>
                <w:rFonts w:ascii="標楷體" w:hAnsi="標楷體"/>
                <w:b/>
                <w:sz w:val="28"/>
              </w:rPr>
            </w:pPr>
            <w:r w:rsidRPr="00697C03">
              <w:rPr>
                <w:rFonts w:ascii="標楷體" w:hAnsi="標楷體" w:hint="eastAsia"/>
                <w:b/>
                <w:sz w:val="28"/>
              </w:rPr>
              <w:t>中離生</w:t>
            </w:r>
          </w:p>
          <w:p w:rsidR="00406A77" w:rsidRPr="00697C03" w:rsidRDefault="00406A77" w:rsidP="00AE0486">
            <w:pPr>
              <w:spacing w:line="300" w:lineRule="exact"/>
              <w:ind w:firstLineChars="50" w:firstLine="150"/>
              <w:jc w:val="center"/>
              <w:rPr>
                <w:rFonts w:ascii="標楷體" w:hAnsi="標楷體"/>
                <w:b/>
                <w:sz w:val="28"/>
              </w:rPr>
            </w:pPr>
            <w:r w:rsidRPr="00697C03">
              <w:rPr>
                <w:rFonts w:ascii="標楷體" w:hAnsi="標楷體" w:hint="eastAsia"/>
                <w:b/>
                <w:sz w:val="28"/>
              </w:rPr>
              <w:t>復學比例</w:t>
            </w:r>
          </w:p>
        </w:tc>
        <w:tc>
          <w:tcPr>
            <w:tcW w:w="1984" w:type="dxa"/>
            <w:shd w:val="clear" w:color="auto" w:fill="E7E6E6" w:themeFill="background2"/>
            <w:noWrap/>
            <w:vAlign w:val="center"/>
          </w:tcPr>
          <w:p w:rsidR="00406A77" w:rsidRPr="00697C03" w:rsidRDefault="00406A77" w:rsidP="00BF41DE">
            <w:pPr>
              <w:spacing w:line="420" w:lineRule="exact"/>
              <w:ind w:firstLineChars="50" w:firstLine="150"/>
              <w:jc w:val="right"/>
              <w:rPr>
                <w:rFonts w:ascii="標楷體" w:hAnsi="標楷體"/>
                <w:sz w:val="28"/>
              </w:rPr>
            </w:pPr>
            <w:r w:rsidRPr="00697C03">
              <w:rPr>
                <w:rFonts w:ascii="標楷體" w:hAnsi="標楷體" w:hint="eastAsia"/>
                <w:sz w:val="28"/>
              </w:rPr>
              <w:t>45.0%</w:t>
            </w:r>
          </w:p>
        </w:tc>
        <w:tc>
          <w:tcPr>
            <w:tcW w:w="2127" w:type="dxa"/>
            <w:shd w:val="clear" w:color="auto" w:fill="E7E6E6" w:themeFill="background2"/>
            <w:noWrap/>
            <w:vAlign w:val="center"/>
          </w:tcPr>
          <w:p w:rsidR="00406A77" w:rsidRPr="00697C03" w:rsidRDefault="00406A77" w:rsidP="00BF41DE">
            <w:pPr>
              <w:spacing w:line="420" w:lineRule="exact"/>
              <w:ind w:firstLineChars="50" w:firstLine="150"/>
              <w:jc w:val="right"/>
              <w:rPr>
                <w:rFonts w:ascii="標楷體" w:hAnsi="標楷體"/>
                <w:sz w:val="28"/>
              </w:rPr>
            </w:pPr>
            <w:r w:rsidRPr="00697C03">
              <w:rPr>
                <w:rFonts w:ascii="標楷體" w:hAnsi="標楷體" w:hint="eastAsia"/>
                <w:sz w:val="28"/>
              </w:rPr>
              <w:t>45.5%</w:t>
            </w:r>
          </w:p>
        </w:tc>
        <w:tc>
          <w:tcPr>
            <w:tcW w:w="1842" w:type="dxa"/>
            <w:shd w:val="clear" w:color="auto" w:fill="E7E6E6" w:themeFill="background2"/>
            <w:noWrap/>
            <w:vAlign w:val="center"/>
          </w:tcPr>
          <w:p w:rsidR="00406A77" w:rsidRPr="00697C03" w:rsidRDefault="00406A77" w:rsidP="00BF41DE">
            <w:pPr>
              <w:spacing w:line="420" w:lineRule="exact"/>
              <w:ind w:firstLineChars="50" w:firstLine="150"/>
              <w:jc w:val="right"/>
              <w:rPr>
                <w:rFonts w:ascii="標楷體" w:hAnsi="標楷體"/>
                <w:sz w:val="28"/>
              </w:rPr>
            </w:pPr>
            <w:r w:rsidRPr="00697C03">
              <w:rPr>
                <w:rFonts w:ascii="標楷體" w:hAnsi="標楷體" w:hint="eastAsia"/>
                <w:sz w:val="28"/>
              </w:rPr>
              <w:t>44.4%</w:t>
            </w:r>
          </w:p>
        </w:tc>
      </w:tr>
    </w:tbl>
    <w:p w:rsidR="00406A77" w:rsidRPr="00697C03" w:rsidRDefault="00406A77" w:rsidP="00AE0486">
      <w:pPr>
        <w:spacing w:afterLines="50" w:after="228" w:line="300" w:lineRule="exact"/>
        <w:ind w:firstLineChars="200" w:firstLine="520"/>
        <w:rPr>
          <w:rFonts w:ascii="標楷體" w:hAnsi="標楷體"/>
          <w:sz w:val="24"/>
          <w:szCs w:val="24"/>
        </w:rPr>
      </w:pPr>
      <w:r w:rsidRPr="00697C03">
        <w:rPr>
          <w:rFonts w:ascii="標楷體" w:hAnsi="標楷體" w:hint="eastAsia"/>
          <w:sz w:val="24"/>
          <w:szCs w:val="24"/>
        </w:rPr>
        <w:t>資料來源：本調查整理自教育部約詢會後補充資料。</w:t>
      </w:r>
    </w:p>
    <w:p w:rsidR="003A5288" w:rsidRPr="00697C03" w:rsidRDefault="00406A77" w:rsidP="00242D67">
      <w:pPr>
        <w:pStyle w:val="3"/>
        <w:kinsoku/>
        <w:ind w:left="1394"/>
        <w:rPr>
          <w:rFonts w:hAnsi="標楷體"/>
        </w:rPr>
      </w:pPr>
      <w:r w:rsidRPr="00697C03">
        <w:rPr>
          <w:rFonts w:hAnsi="標楷體" w:hint="eastAsia"/>
        </w:rPr>
        <w:t>針對中離生協尋相關實務辦理事項，依本案部分縣市政府履勘及座談會議意見指出，現行政府針對未升學未就業或中離生之輔導或相關措施之推動人力不足，且因未能強制入學，協尋困難等情</w:t>
      </w:r>
      <w:r w:rsidR="009F0695" w:rsidRPr="00697C03">
        <w:rPr>
          <w:rFonts w:hAnsi="標楷體" w:hint="eastAsia"/>
        </w:rPr>
        <w:t>。</w:t>
      </w:r>
      <w:r w:rsidRPr="00697C03">
        <w:rPr>
          <w:rFonts w:hAnsi="標楷體" w:hint="eastAsia"/>
        </w:rPr>
        <w:t>如</w:t>
      </w:r>
      <w:r w:rsidR="00720035" w:rsidRPr="00697C03">
        <w:rPr>
          <w:rFonts w:hAnsi="標楷體" w:hint="eastAsia"/>
        </w:rPr>
        <w:t>「高中階段非屬義務教育，學生及家長自主性高，學校除積極分析及勸導外，亦須尊重學生意願。」、「學生中離後行蹤不明者，學校因無法律授權，無法進行警政通報協尋，僅能勸說家長通報失蹤人口，難有輔導作為」、</w:t>
      </w:r>
      <w:r w:rsidRPr="00697C03">
        <w:rPr>
          <w:rFonts w:hAnsi="標楷體" w:hint="eastAsia"/>
        </w:rPr>
        <w:t>「多次與個案外婆家聯繫仍未有結果，家人也都不知去向，希望可以有更多人力協助協尋該名個案」、「當中輟或中離學生未到校或是失蹤、失聯時，校方對於個案的協尋力有未逮，需要更多人力的協助，以進行後續返校時的輔導工作」</w:t>
      </w:r>
      <w:r w:rsidR="00D03B60" w:rsidRPr="00697C03">
        <w:rPr>
          <w:rFonts w:hAnsi="標楷體" w:hint="eastAsia"/>
        </w:rPr>
        <w:t>、</w:t>
      </w:r>
      <w:r w:rsidRPr="00697C03">
        <w:rPr>
          <w:rFonts w:hAnsi="標楷體" w:hint="eastAsia"/>
        </w:rPr>
        <w:t>「有關15-18歲未升學未就業失聯/行蹤不明學生，囿於學校、本方案人力限制無法大區域性協尋，且並無適當法源輔以公權力介入（如調閱通信紀錄、社群軟體IP調閱等）</w:t>
      </w:r>
      <w:r w:rsidR="00F538F4" w:rsidRPr="00697C03">
        <w:rPr>
          <w:rFonts w:hAnsi="標楷體" w:hint="eastAsia"/>
        </w:rPr>
        <w:t>」及「</w:t>
      </w:r>
      <w:r w:rsidR="003406BE" w:rsidRPr="00697C03">
        <w:rPr>
          <w:rFonts w:hAnsi="標楷體" w:hint="eastAsia"/>
        </w:rPr>
        <w:t>因為</w:t>
      </w:r>
      <w:r w:rsidR="00826EC9" w:rsidRPr="00697C03">
        <w:rPr>
          <w:rFonts w:hAnsi="標楷體" w:hint="eastAsia"/>
        </w:rPr>
        <w:t>高中職</w:t>
      </w:r>
      <w:r w:rsidR="009A58FD" w:rsidRPr="00697C03">
        <w:rPr>
          <w:rFonts w:hAnsi="標楷體" w:hint="eastAsia"/>
        </w:rPr>
        <w:t>學生</w:t>
      </w:r>
      <w:r w:rsidR="003406BE" w:rsidRPr="00697C03">
        <w:rPr>
          <w:rFonts w:hAnsi="標楷體" w:hint="eastAsia"/>
        </w:rPr>
        <w:t>已逾義務教育年限，未有警方</w:t>
      </w:r>
      <w:r w:rsidR="001B00E8" w:rsidRPr="00697C03">
        <w:rPr>
          <w:rFonts w:hAnsi="標楷體" w:hint="eastAsia"/>
        </w:rPr>
        <w:t>主動</w:t>
      </w:r>
      <w:r w:rsidR="003406BE" w:rsidRPr="00697C03">
        <w:rPr>
          <w:rFonts w:hAnsi="標楷體" w:hint="eastAsia"/>
        </w:rPr>
        <w:t>協尋，因此仍會擔心教師</w:t>
      </w:r>
      <w:r w:rsidR="00476218" w:rsidRPr="00697C03">
        <w:rPr>
          <w:rFonts w:hAnsi="標楷體" w:hint="eastAsia"/>
        </w:rPr>
        <w:t>同仁</w:t>
      </w:r>
      <w:r w:rsidR="003406BE" w:rsidRPr="00697C03">
        <w:rPr>
          <w:rFonts w:hAnsi="標楷體" w:hint="eastAsia"/>
        </w:rPr>
        <w:t>在外協</w:t>
      </w:r>
      <w:r w:rsidR="0069283B" w:rsidRPr="00697C03">
        <w:rPr>
          <w:rFonts w:hAnsi="標楷體" w:hint="eastAsia"/>
        </w:rPr>
        <w:t>助</w:t>
      </w:r>
      <w:r w:rsidR="003406BE" w:rsidRPr="00697C03">
        <w:rPr>
          <w:rFonts w:hAnsi="標楷體" w:hint="eastAsia"/>
        </w:rPr>
        <w:t>學生</w:t>
      </w:r>
      <w:r w:rsidR="0069283B" w:rsidRPr="00697C03">
        <w:rPr>
          <w:rFonts w:hAnsi="標楷體" w:hint="eastAsia"/>
        </w:rPr>
        <w:t>返校</w:t>
      </w:r>
      <w:r w:rsidR="003406BE" w:rsidRPr="00697C03">
        <w:rPr>
          <w:rFonts w:hAnsi="標楷體" w:hint="eastAsia"/>
        </w:rPr>
        <w:t>之安全</w:t>
      </w:r>
      <w:r w:rsidR="00F538F4" w:rsidRPr="00697C03">
        <w:rPr>
          <w:rFonts w:hAnsi="標楷體" w:hint="eastAsia"/>
        </w:rPr>
        <w:t>」</w:t>
      </w:r>
      <w:r w:rsidR="003406BE" w:rsidRPr="00697C03">
        <w:rPr>
          <w:rFonts w:hAnsi="標楷體" w:hint="eastAsia"/>
        </w:rPr>
        <w:t>等語</w:t>
      </w:r>
      <w:r w:rsidRPr="00697C03">
        <w:rPr>
          <w:rFonts w:hAnsi="標楷體" w:hint="eastAsia"/>
        </w:rPr>
        <w:t>。</w:t>
      </w:r>
    </w:p>
    <w:p w:rsidR="00406A77" w:rsidRPr="00697C03" w:rsidRDefault="00406A77" w:rsidP="00242D67">
      <w:pPr>
        <w:pStyle w:val="3"/>
        <w:kinsoku/>
        <w:ind w:left="1394"/>
        <w:rPr>
          <w:rFonts w:hAnsi="標楷體"/>
        </w:rPr>
      </w:pPr>
      <w:r w:rsidRPr="00697C03">
        <w:rPr>
          <w:rFonts w:hAnsi="標楷體" w:hint="eastAsia"/>
        </w:rPr>
        <w:t>此外如</w:t>
      </w:r>
      <w:r w:rsidR="00992D64" w:rsidRPr="00697C03">
        <w:rPr>
          <w:rFonts w:hAnsi="標楷體" w:hint="eastAsia"/>
        </w:rPr>
        <w:t>部分</w:t>
      </w:r>
      <w:r w:rsidRPr="00697C03">
        <w:rPr>
          <w:rFonts w:hAnsi="標楷體" w:hint="eastAsia"/>
        </w:rPr>
        <w:t>地方政府簡報</w:t>
      </w:r>
      <w:r w:rsidR="00F2311B" w:rsidRPr="00697C03">
        <w:rPr>
          <w:rFonts w:hAnsi="標楷體" w:hint="eastAsia"/>
        </w:rPr>
        <w:t>及說明</w:t>
      </w:r>
      <w:r w:rsidR="00854D9D" w:rsidRPr="00697C03">
        <w:rPr>
          <w:rFonts w:hAnsi="標楷體" w:hint="eastAsia"/>
        </w:rPr>
        <w:t>資料亦</w:t>
      </w:r>
      <w:r w:rsidR="00411835" w:rsidRPr="00697C03">
        <w:rPr>
          <w:rFonts w:hAnsi="標楷體" w:hint="eastAsia"/>
        </w:rPr>
        <w:t>載明略以，</w:t>
      </w:r>
      <w:r w:rsidRPr="00697C03">
        <w:rPr>
          <w:rFonts w:hAnsi="標楷體" w:hint="eastAsia"/>
        </w:rPr>
        <w:t>「行蹤不明學生比例偏高，經學校追蹤輔導後發現</w:t>
      </w:r>
      <w:r w:rsidRPr="00697C03">
        <w:rPr>
          <w:rFonts w:hAnsi="標楷體" w:hint="eastAsia"/>
        </w:rPr>
        <w:lastRenderedPageBreak/>
        <w:t>行蹤不明之中輟學生其家庭結構大多為單親或隔代教養，部分家長因工作因素並未與學生同住導致親職功能不佳，再則交通方便及學生交友多元，學校不易掌握學生行蹤，家長配合度不高，上開情形為學校進行中輟追蹤輔導之困境。另警政單位協助協尋工作時，亦發現學生行蹤確實不易掌握，家長配合消極，警政單位無法獲得更多情資進行協尋」及「未升學未就業為青少年表面議題，服務本縣個案經驗，通常是類青少年牽涉家庭教育、同儕人際、經濟因素、價值觀念扭曲等多元議題須協助輔導，增加輔導難度，須跨單位資源連結，以提供多元試探機會並鼓勵青少年改變現況，故須花費較多時間進行個案輔導，較難短時間呈現輔導成效」等語。另國中畢業非義務教育學生，無介接警政協尋系統，需家長自行通報失蹤協尋，又是類個案多僅能以電話聯繫到家長，惟家長多亦不確定學生動向</w:t>
      </w:r>
      <w:r w:rsidR="0079236E" w:rsidRPr="00697C03">
        <w:rPr>
          <w:rFonts w:hAnsi="標楷體" w:hint="eastAsia"/>
        </w:rPr>
        <w:t>（</w:t>
      </w:r>
      <w:r w:rsidRPr="00697C03">
        <w:rPr>
          <w:rFonts w:hAnsi="標楷體" w:hint="eastAsia"/>
        </w:rPr>
        <w:t>弱勢或失功能家庭居多</w:t>
      </w:r>
      <w:r w:rsidR="0079236E" w:rsidRPr="00697C03">
        <w:rPr>
          <w:rFonts w:hAnsi="標楷體" w:hint="eastAsia"/>
        </w:rPr>
        <w:t>）</w:t>
      </w:r>
      <w:r w:rsidRPr="00697C03">
        <w:rPr>
          <w:rFonts w:hAnsi="標楷體" w:hint="eastAsia"/>
        </w:rPr>
        <w:t>，實為辦理此項業務之困難」足見，因現行中輟</w:t>
      </w:r>
      <w:r w:rsidR="00446919" w:rsidRPr="00697C03">
        <w:rPr>
          <w:rFonts w:hAnsi="標楷體" w:hint="eastAsia"/>
        </w:rPr>
        <w:t>學生</w:t>
      </w:r>
      <w:r w:rsidRPr="00697C03">
        <w:rPr>
          <w:rFonts w:hAnsi="標楷體" w:hint="eastAsia"/>
        </w:rPr>
        <w:t>及中離</w:t>
      </w:r>
      <w:r w:rsidR="00446919" w:rsidRPr="00697C03">
        <w:rPr>
          <w:rFonts w:hAnsi="標楷體" w:hint="eastAsia"/>
        </w:rPr>
        <w:t>學生</w:t>
      </w:r>
      <w:r w:rsidRPr="00697C03">
        <w:rPr>
          <w:rFonts w:hAnsi="標楷體" w:hint="eastAsia"/>
        </w:rPr>
        <w:t>協尋工作，由於其背景或家庭等複雜原因，及學校有限人力，實難以徹底發揮協尋並協助復學之功能。</w:t>
      </w:r>
    </w:p>
    <w:p w:rsidR="00406A77" w:rsidRPr="00697C03" w:rsidRDefault="00406A77" w:rsidP="00406A77">
      <w:pPr>
        <w:pStyle w:val="3"/>
        <w:kinsoku/>
        <w:ind w:left="1360" w:hanging="680"/>
        <w:rPr>
          <w:rFonts w:hAnsi="標楷體"/>
        </w:rPr>
      </w:pPr>
      <w:r w:rsidRPr="00697C03">
        <w:rPr>
          <w:rFonts w:hAnsi="標楷體" w:hint="eastAsia"/>
        </w:rPr>
        <w:t>究此問題，依內政部警政署表示，依</w:t>
      </w:r>
      <w:r w:rsidR="0096522F" w:rsidRPr="00697C03">
        <w:rPr>
          <w:rFonts w:hAnsi="標楷體" w:hint="eastAsia"/>
        </w:rPr>
        <w:t>國中小學復學輔導辦法</w:t>
      </w:r>
      <w:r w:rsidRPr="00697C03">
        <w:rPr>
          <w:rFonts w:hAnsi="標楷體" w:hint="eastAsia"/>
        </w:rPr>
        <w:t>第3條規定，學生有行蹤不明情事者</w:t>
      </w:r>
      <w:r w:rsidR="0079236E" w:rsidRPr="00697C03">
        <w:rPr>
          <w:rFonts w:hAnsi="標楷體" w:hint="eastAsia"/>
        </w:rPr>
        <w:t>（</w:t>
      </w:r>
      <w:r w:rsidRPr="00697C03">
        <w:rPr>
          <w:rFonts w:hAnsi="標楷體" w:hint="eastAsia"/>
        </w:rPr>
        <w:t>中輟生</w:t>
      </w:r>
      <w:r w:rsidR="0079236E" w:rsidRPr="00697C03">
        <w:rPr>
          <w:rFonts w:hAnsi="標楷體" w:hint="eastAsia"/>
        </w:rPr>
        <w:t>）</w:t>
      </w:r>
      <w:r w:rsidRPr="00697C03">
        <w:rPr>
          <w:rFonts w:hAnsi="標楷體" w:hint="eastAsia"/>
        </w:rPr>
        <w:t>，學校應將該學生檔案資料通報至該署各警察機關協尋；另同條第4項規定，中輟生協尋至滿15歲之該學年度結束。據此，中離生不適用前開中輟生協尋規定，另失蹤人口之報案協尋，涉及健康保險、死亡宣告等法律效果，爰該署訂定之「失蹤人口查詢作業要點」，仍應以有親屬權或監護權者始得向警方報案為原則。本案中離生如需比照中輟生協尋，建請教育部評估修正相關規定，俾利該署</w:t>
      </w:r>
      <w:r w:rsidRPr="00697C03">
        <w:rPr>
          <w:rFonts w:hAnsi="標楷體" w:hint="eastAsia"/>
        </w:rPr>
        <w:lastRenderedPageBreak/>
        <w:t>依法辦理工作等語。對此，教育部主管人員於本院109年3月31日詢問會議指稱「縣市</w:t>
      </w:r>
      <w:r w:rsidRPr="00697C03">
        <w:rPr>
          <w:rFonts w:hAnsi="標楷體" w:hint="eastAsia"/>
          <w:szCs w:val="52"/>
        </w:rPr>
        <w:t>反映的個案是孩子離家去向不明，孩子不願意回家，因為已經超過17歲，依據失蹤人口協尋作業要點已經年滿18歲，無法強制小孩回到住處」及「關於上述提到18歲以上中離生被家長通報失蹤或警政協尋後能否提供其住址，本部會再釐清」等語在卷可稽。足見</w:t>
      </w:r>
      <w:r w:rsidRPr="00697C03">
        <w:rPr>
          <w:rFonts w:hAnsi="標楷體" w:hint="eastAsia"/>
        </w:rPr>
        <w:t>，</w:t>
      </w:r>
      <w:r w:rsidRPr="00697C03">
        <w:rPr>
          <w:rFonts w:hAnsi="標楷體" w:hint="eastAsia"/>
          <w:szCs w:val="52"/>
        </w:rPr>
        <w:t>中途離校學生如已逾18歲成年，實難以透過警政失蹤人口查尋機制協助學生返校輔導或返家，教育部長期均未有積極溝通協調措施，針對中離學生如有行蹤不明情事之協尋或協助返校事項，目前實務</w:t>
      </w:r>
      <w:r w:rsidRPr="00697C03">
        <w:rPr>
          <w:rFonts w:hAnsi="標楷體" w:hint="eastAsia"/>
        </w:rPr>
        <w:t>無論學校端辦理困境或機關橫向協助及法令依據均待教育部會同解決。</w:t>
      </w:r>
    </w:p>
    <w:p w:rsidR="00E35CDF" w:rsidRPr="00697C03" w:rsidRDefault="00E35CDF" w:rsidP="00406A77">
      <w:pPr>
        <w:pStyle w:val="3"/>
        <w:kinsoku/>
        <w:ind w:left="1360" w:hanging="680"/>
        <w:rPr>
          <w:rFonts w:hAnsi="標楷體"/>
        </w:rPr>
      </w:pPr>
      <w:r w:rsidRPr="00697C03">
        <w:rPr>
          <w:rFonts w:hAnsi="標楷體" w:hint="eastAsia"/>
        </w:rPr>
        <w:t>針對中離生長期為數眾多，教育部仍未有積極對策，相關報導研究亦指出</w:t>
      </w:r>
      <w:r w:rsidR="00EB0D04" w:rsidRPr="00697C03">
        <w:rPr>
          <w:rStyle w:val="aff0"/>
          <w:rFonts w:hAnsi="標楷體"/>
        </w:rPr>
        <w:footnoteReference w:id="15"/>
      </w:r>
      <w:r w:rsidRPr="00697C03">
        <w:rPr>
          <w:rFonts w:hAnsi="標楷體" w:hint="eastAsia"/>
        </w:rPr>
        <w:t>，</w:t>
      </w:r>
      <w:r w:rsidR="00C6419A" w:rsidRPr="00697C03">
        <w:rPr>
          <w:rFonts w:hAnsi="標楷體" w:hint="eastAsia"/>
        </w:rPr>
        <w:t>「</w:t>
      </w:r>
      <w:r w:rsidR="00A17DC8" w:rsidRPr="00697C03">
        <w:rPr>
          <w:rFonts w:hAnsi="標楷體" w:hint="eastAsia"/>
          <w:spacing w:val="6"/>
        </w:rPr>
        <w:t>脆弱家庭的小孩，如果學習不利，又沒遇見重要的他者，拉自己一把，就容易中輟中離。教育部統計中，台灣104學年度中輟的國中生有近4千名，但到了高中，中離生的人數卻超過2萬3千名</w:t>
      </w:r>
      <w:r w:rsidR="00D50E86" w:rsidRPr="00697C03">
        <w:rPr>
          <w:rFonts w:hAnsi="標楷體"/>
          <w:szCs w:val="32"/>
        </w:rPr>
        <w:t>……</w:t>
      </w:r>
      <w:r w:rsidR="00EA2139" w:rsidRPr="00697C03">
        <w:rPr>
          <w:rFonts w:hAnsi="標楷體" w:hint="eastAsia"/>
          <w:spacing w:val="6"/>
        </w:rPr>
        <w:t>。</w:t>
      </w:r>
      <w:r w:rsidR="00AE0EDC" w:rsidRPr="00697C03">
        <w:rPr>
          <w:rFonts w:hAnsi="標楷體" w:hint="eastAsia"/>
        </w:rPr>
        <w:t>台灣少年權益與福利促進聯盟秘書長葉大華分析過，12年國教後，雖然高職學費全免，但雜費、實習費、書簿費等費用加總，就讀私立高職的學生，每學期費用也落在7千到1萬5千元。不像九年義務教育的強迫入學，這群家困的少年中斷就學的情況，看來從國中往後（高中）遞延而已。不幸運的，失學失業，落入地下經濟，甚至犯罪</w:t>
      </w:r>
      <w:r w:rsidR="002A09FA" w:rsidRPr="00697C03">
        <w:rPr>
          <w:rFonts w:hAnsi="標楷體"/>
          <w:szCs w:val="32"/>
        </w:rPr>
        <w:t>……</w:t>
      </w:r>
      <w:r w:rsidR="00C6419A" w:rsidRPr="00697C03">
        <w:rPr>
          <w:rFonts w:hAnsi="標楷體" w:hint="eastAsia"/>
        </w:rPr>
        <w:t>」</w:t>
      </w:r>
      <w:r w:rsidR="00AE0EDC" w:rsidRPr="00697C03">
        <w:rPr>
          <w:rFonts w:hAnsi="標楷體" w:hint="eastAsia"/>
        </w:rPr>
        <w:t>。</w:t>
      </w:r>
      <w:r w:rsidR="003C0144" w:rsidRPr="00697C03">
        <w:rPr>
          <w:rFonts w:hAnsi="標楷體" w:hint="eastAsia"/>
        </w:rPr>
        <w:t>是以，中途離校學生如已逾18歲成年，</w:t>
      </w:r>
      <w:r w:rsidR="0048276A" w:rsidRPr="00697C03">
        <w:rPr>
          <w:rFonts w:hAnsi="標楷體" w:hint="eastAsia"/>
        </w:rPr>
        <w:t>除教育端協尋不易外，</w:t>
      </w:r>
      <w:r w:rsidR="003C0144" w:rsidRPr="00697C03">
        <w:rPr>
          <w:rFonts w:hAnsi="標楷體" w:hint="eastAsia"/>
        </w:rPr>
        <w:t>更難以透過警政失蹤人口查尋機制協助學生返校輔導或返家，</w:t>
      </w:r>
      <w:r w:rsidR="0011573B" w:rsidRPr="00697C03">
        <w:rPr>
          <w:rFonts w:hAnsi="標楷體" w:hint="eastAsia"/>
        </w:rPr>
        <w:lastRenderedPageBreak/>
        <w:t>對此本案調查過程中無論學校或教育局均多次反應實務困境及亟待主管機關協助意見，顯見</w:t>
      </w:r>
      <w:r w:rsidR="003C0144" w:rsidRPr="00697C03">
        <w:rPr>
          <w:rFonts w:hAnsi="標楷體" w:hint="eastAsia"/>
        </w:rPr>
        <w:t>教育部長期均未有積極溝通協調措施，關於國民教育階段非屬義務教育時期面臨類此教育權或人權折衝分際顯難以取得平衡</w:t>
      </w:r>
      <w:r w:rsidR="000022B1" w:rsidRPr="00697C03">
        <w:rPr>
          <w:rFonts w:hAnsi="標楷體" w:hint="eastAsia"/>
        </w:rPr>
        <w:t>，顯有怠失。</w:t>
      </w:r>
    </w:p>
    <w:p w:rsidR="00135348" w:rsidRPr="00697C03" w:rsidRDefault="00135348" w:rsidP="008F4B71">
      <w:pPr>
        <w:pStyle w:val="3"/>
        <w:kinsoku/>
        <w:ind w:left="1394"/>
        <w:rPr>
          <w:rFonts w:hAnsi="標楷體"/>
        </w:rPr>
      </w:pPr>
      <w:r w:rsidRPr="00697C03">
        <w:rPr>
          <w:rFonts w:hAnsi="標楷體" w:hint="eastAsia"/>
        </w:rPr>
        <w:t>復查，</w:t>
      </w:r>
      <w:r w:rsidR="00C64885" w:rsidRPr="00697C03">
        <w:rPr>
          <w:rFonts w:hAnsi="標楷體" w:hint="eastAsia"/>
        </w:rPr>
        <w:t>針對本案為數不少實務意見反應缺乏警政或其他橫向機關連繫強制力之情形</w:t>
      </w:r>
      <w:r w:rsidR="0068337D" w:rsidRPr="00697C03">
        <w:rPr>
          <w:rFonts w:hAnsi="標楷體" w:hint="eastAsia"/>
        </w:rPr>
        <w:t>，過去長期均為積極妥處，直至本案調查期間</w:t>
      </w:r>
      <w:r w:rsidRPr="00697C03">
        <w:rPr>
          <w:rFonts w:hAnsi="標楷體" w:hint="eastAsia"/>
        </w:rPr>
        <w:t>，</w:t>
      </w:r>
      <w:r w:rsidR="0068337D" w:rsidRPr="00697C03">
        <w:rPr>
          <w:rFonts w:hAnsi="標楷體" w:hint="eastAsia"/>
        </w:rPr>
        <w:t>教育部為符應學校實務現況，</w:t>
      </w:r>
      <w:r w:rsidR="00F72D20" w:rsidRPr="00697C03">
        <w:rPr>
          <w:rFonts w:hAnsi="標楷體" w:hint="eastAsia"/>
        </w:rPr>
        <w:t>方</w:t>
      </w:r>
      <w:r w:rsidR="0068337D" w:rsidRPr="00697C03">
        <w:rPr>
          <w:rFonts w:hAnsi="標楷體" w:hint="eastAsia"/>
        </w:rPr>
        <w:t>於</w:t>
      </w:r>
      <w:r w:rsidR="00C64885" w:rsidRPr="00697C03">
        <w:rPr>
          <w:rFonts w:hAnsi="標楷體" w:hint="eastAsia"/>
        </w:rPr>
        <w:t>1</w:t>
      </w:r>
      <w:r w:rsidRPr="00697C03">
        <w:rPr>
          <w:rFonts w:hAnsi="標楷體" w:hint="eastAsia"/>
        </w:rPr>
        <w:t>09年</w:t>
      </w:r>
      <w:r w:rsidRPr="00697C03">
        <w:rPr>
          <w:rFonts w:hAnsi="標楷體"/>
        </w:rPr>
        <w:t>4</w:t>
      </w:r>
      <w:r w:rsidRPr="00697C03">
        <w:rPr>
          <w:rFonts w:hAnsi="標楷體" w:hint="eastAsia"/>
        </w:rPr>
        <w:t>月1日召開「</w:t>
      </w:r>
      <w:r w:rsidRPr="00697C03">
        <w:rPr>
          <w:rFonts w:hAnsi="標楷體"/>
        </w:rPr>
        <w:t>研</w:t>
      </w:r>
      <w:r w:rsidRPr="00697C03">
        <w:rPr>
          <w:rFonts w:hAnsi="標楷體" w:hint="eastAsia"/>
        </w:rPr>
        <w:t>商高級中等學校學生穩定就學及中途離校學生輔導機制實施要點修正草案定案會議</w:t>
      </w:r>
      <w:r w:rsidRPr="00697C03">
        <w:rPr>
          <w:rFonts w:hAnsi="標楷體"/>
        </w:rPr>
        <w:t>」</w:t>
      </w:r>
      <w:r w:rsidR="00C64885" w:rsidRPr="00697C03">
        <w:rPr>
          <w:rFonts w:hAnsi="標楷體" w:hint="eastAsia"/>
        </w:rPr>
        <w:t>，</w:t>
      </w:r>
      <w:r w:rsidR="00450EA0" w:rsidRPr="00697C03">
        <w:rPr>
          <w:rFonts w:hAnsi="標楷體" w:hint="eastAsia"/>
        </w:rPr>
        <w:t>會後檢送</w:t>
      </w:r>
      <w:r w:rsidR="00C64885" w:rsidRPr="00697C03">
        <w:rPr>
          <w:rFonts w:hAnsi="標楷體" w:hint="eastAsia"/>
        </w:rPr>
        <w:t>相關決議</w:t>
      </w:r>
      <w:r w:rsidR="00450EA0" w:rsidRPr="00697C03">
        <w:rPr>
          <w:rFonts w:hAnsi="標楷體" w:hint="eastAsia"/>
        </w:rPr>
        <w:t>到院</w:t>
      </w:r>
      <w:r w:rsidR="00C64885" w:rsidRPr="00697C03">
        <w:rPr>
          <w:rFonts w:hAnsi="標楷體" w:hint="eastAsia"/>
        </w:rPr>
        <w:t>略以：</w:t>
      </w:r>
      <w:r w:rsidR="00450EA0" w:rsidRPr="00697C03">
        <w:rPr>
          <w:rFonts w:hAnsi="標楷體" w:hint="eastAsia"/>
        </w:rPr>
        <w:t>「</w:t>
      </w:r>
      <w:r w:rsidR="009C2949" w:rsidRPr="00697C03">
        <w:rPr>
          <w:rFonts w:hAnsi="標楷體"/>
          <w:szCs w:val="32"/>
        </w:rPr>
        <w:t>……</w:t>
      </w:r>
      <w:r w:rsidR="00E1646E" w:rsidRPr="00697C03">
        <w:rPr>
          <w:rFonts w:hAnsi="標楷體" w:hint="eastAsia"/>
        </w:rPr>
        <w:t>二、</w:t>
      </w:r>
      <w:r w:rsidR="00526D77" w:rsidRPr="00697C03">
        <w:rPr>
          <w:rFonts w:hAnsi="標楷體" w:hint="eastAsia"/>
        </w:rPr>
        <w:t>本署</w:t>
      </w:r>
      <w:r w:rsidR="006E434E" w:rsidRPr="00697C03">
        <w:rPr>
          <w:rFonts w:hAnsi="標楷體" w:hint="eastAsia"/>
        </w:rPr>
        <w:t>刻正進行實施要點行政程序發布事宜，賡續辦理學生穩定就學與中途離校通報及追蹤輔導計畫</w:t>
      </w:r>
      <w:r w:rsidR="0079236E" w:rsidRPr="00697C03">
        <w:rPr>
          <w:rFonts w:hAnsi="標楷體" w:hint="eastAsia"/>
        </w:rPr>
        <w:t>（</w:t>
      </w:r>
      <w:r w:rsidR="006E434E" w:rsidRPr="00697C03">
        <w:rPr>
          <w:rFonts w:hAnsi="標楷體" w:hint="eastAsia"/>
        </w:rPr>
        <w:t>範本</w:t>
      </w:r>
      <w:r w:rsidR="0079236E" w:rsidRPr="00697C03">
        <w:rPr>
          <w:rFonts w:hAnsi="標楷體" w:hint="eastAsia"/>
        </w:rPr>
        <w:t>）</w:t>
      </w:r>
      <w:r w:rsidR="006E434E" w:rsidRPr="00697C03">
        <w:rPr>
          <w:rFonts w:hAnsi="標楷體" w:hint="eastAsia"/>
        </w:rPr>
        <w:t>修正，以符實施要點規定內容，並落實督導學校應依實施要點訂定各校追蹤輔導計畫，並依計畫成立輔導小組，落實進行中離學生通報並啟動追輔機制。另有關行蹤不明之學生將持續請警政署予以提供協助，俾利維護兒童最佳之利益。三、考量目前高級中等學校區分為教育部主管之國立、私立高級中等學校及科技部所屬三所園區實中，以及直轄市政府轄屬市立及私立</w:t>
      </w:r>
      <w:r w:rsidR="0079236E" w:rsidRPr="00697C03">
        <w:rPr>
          <w:rFonts w:hAnsi="標楷體" w:hint="eastAsia"/>
        </w:rPr>
        <w:t>（</w:t>
      </w:r>
      <w:r w:rsidR="006E434E" w:rsidRPr="00697C03">
        <w:rPr>
          <w:rFonts w:hAnsi="標楷體" w:hint="eastAsia"/>
        </w:rPr>
        <w:t>除臺南市及高雄市部分私立外</w:t>
      </w:r>
      <w:r w:rsidR="0079236E" w:rsidRPr="00697C03">
        <w:rPr>
          <w:rFonts w:hAnsi="標楷體" w:hint="eastAsia"/>
        </w:rPr>
        <w:t>）</w:t>
      </w:r>
      <w:r w:rsidR="006E434E" w:rsidRPr="00697C03">
        <w:rPr>
          <w:rFonts w:hAnsi="標楷體" w:hint="eastAsia"/>
        </w:rPr>
        <w:t>，各校非統一由地方教育局</w:t>
      </w:r>
      <w:r w:rsidR="0079236E" w:rsidRPr="00697C03">
        <w:rPr>
          <w:rFonts w:hAnsi="標楷體" w:hint="eastAsia"/>
        </w:rPr>
        <w:t>（</w:t>
      </w:r>
      <w:r w:rsidR="006E434E" w:rsidRPr="00697C03">
        <w:rPr>
          <w:rFonts w:hAnsi="標楷體" w:hint="eastAsia"/>
        </w:rPr>
        <w:t>處</w:t>
      </w:r>
      <w:r w:rsidR="0079236E" w:rsidRPr="00697C03">
        <w:rPr>
          <w:rFonts w:hAnsi="標楷體" w:hint="eastAsia"/>
        </w:rPr>
        <w:t>）</w:t>
      </w:r>
      <w:r w:rsidR="006E434E" w:rsidRPr="00697C03">
        <w:rPr>
          <w:rFonts w:hAnsi="標楷體" w:hint="eastAsia"/>
        </w:rPr>
        <w:t>所管轄，各項行政協調事項需多方協調。爰本次實施要點新增第13點各直轄市和縣</w:t>
      </w:r>
      <w:r w:rsidR="0079236E" w:rsidRPr="00697C03">
        <w:rPr>
          <w:rFonts w:hAnsi="標楷體" w:hint="eastAsia"/>
        </w:rPr>
        <w:t>（</w:t>
      </w:r>
      <w:r w:rsidR="006E434E" w:rsidRPr="00697C03">
        <w:rPr>
          <w:rFonts w:hAnsi="標楷體" w:hint="eastAsia"/>
        </w:rPr>
        <w:t>市</w:t>
      </w:r>
      <w:r w:rsidR="0079236E" w:rsidRPr="00697C03">
        <w:rPr>
          <w:rFonts w:hAnsi="標楷體" w:hint="eastAsia"/>
        </w:rPr>
        <w:t>）</w:t>
      </w:r>
      <w:r w:rsidR="006E434E" w:rsidRPr="00697C03">
        <w:rPr>
          <w:rFonts w:hAnsi="標楷體" w:hint="eastAsia"/>
        </w:rPr>
        <w:t>政府之權責，並於本次會議決議請各直轄市、縣（市）政府能本協同合作精神予以協助中離學生輔導業務</w:t>
      </w:r>
      <w:r w:rsidR="009C2949" w:rsidRPr="00697C03">
        <w:rPr>
          <w:rFonts w:hAnsi="標楷體"/>
          <w:szCs w:val="32"/>
        </w:rPr>
        <w:t>……</w:t>
      </w:r>
      <w:r w:rsidR="00450EA0" w:rsidRPr="00697C03">
        <w:rPr>
          <w:rFonts w:hAnsi="標楷體"/>
        </w:rPr>
        <w:t>」</w:t>
      </w:r>
      <w:r w:rsidR="001415F2" w:rsidRPr="00697C03">
        <w:rPr>
          <w:rFonts w:hAnsi="標楷體" w:hint="eastAsia"/>
        </w:rPr>
        <w:t>等語，</w:t>
      </w:r>
      <w:r w:rsidR="00CA53E0" w:rsidRPr="00697C03">
        <w:rPr>
          <w:rFonts w:hAnsi="標楷體" w:hint="eastAsia"/>
        </w:rPr>
        <w:t>爰</w:t>
      </w:r>
      <w:r w:rsidR="00FF15D2" w:rsidRPr="00697C03">
        <w:rPr>
          <w:rFonts w:hAnsi="標楷體" w:hint="eastAsia"/>
        </w:rPr>
        <w:t>見</w:t>
      </w:r>
      <w:r w:rsidR="00CA53E0" w:rsidRPr="00697C03">
        <w:rPr>
          <w:rFonts w:hAnsi="標楷體" w:hint="eastAsia"/>
        </w:rPr>
        <w:t>後續</w:t>
      </w:r>
      <w:r w:rsidR="00DE2F4F" w:rsidRPr="00697C03">
        <w:rPr>
          <w:rFonts w:hAnsi="標楷體" w:hint="eastAsia"/>
        </w:rPr>
        <w:t>亟待教育部全盤檢討改善，以</w:t>
      </w:r>
      <w:r w:rsidR="00E4676B" w:rsidRPr="00697C03">
        <w:rPr>
          <w:rFonts w:hAnsi="標楷體" w:hint="eastAsia"/>
        </w:rPr>
        <w:t>積極</w:t>
      </w:r>
      <w:r w:rsidR="00DE2F4F" w:rsidRPr="00697C03">
        <w:rPr>
          <w:rFonts w:hAnsi="標楷體" w:hint="eastAsia"/>
        </w:rPr>
        <w:t>維</w:t>
      </w:r>
      <w:r w:rsidR="00E4676B" w:rsidRPr="00697C03">
        <w:rPr>
          <w:rFonts w:hAnsi="標楷體" w:hint="eastAsia"/>
        </w:rPr>
        <w:t>護</w:t>
      </w:r>
      <w:r w:rsidR="00DE2F4F" w:rsidRPr="00697C03">
        <w:rPr>
          <w:rFonts w:hAnsi="標楷體" w:hint="eastAsia"/>
        </w:rPr>
        <w:t>學生教育權益。</w:t>
      </w:r>
    </w:p>
    <w:p w:rsidR="00406A77" w:rsidRPr="00697C03" w:rsidRDefault="00406A77" w:rsidP="00406A77">
      <w:pPr>
        <w:pStyle w:val="3"/>
        <w:kinsoku/>
        <w:ind w:leftChars="200" w:left="1360" w:hangingChars="200" w:hanging="680"/>
        <w:rPr>
          <w:rFonts w:hAnsi="標楷體"/>
        </w:rPr>
      </w:pPr>
      <w:r w:rsidRPr="00697C03">
        <w:rPr>
          <w:rFonts w:hAnsi="標楷體" w:hint="eastAsia"/>
        </w:rPr>
        <w:t>綜上論結，十二年國民基本教育除推動高級中等學校優質化及均質化工作，並強化學校試探功能，期</w:t>
      </w:r>
      <w:r w:rsidRPr="00697C03">
        <w:rPr>
          <w:rFonts w:hAnsi="標楷體" w:hint="eastAsia"/>
        </w:rPr>
        <w:lastRenderedPageBreak/>
        <w:t>讓學生在當地高級中等學校的就學環境中能有適性學習的機會，期落實就近及免試入學的目標。且十二年國教總體目標包括「強化國民基本能力，以厚植國家經濟競爭力」等，教育政策重點應包括積極追求教育品質的提升與消弭落差，容屬教育部及地方縣市政府教育局責無旁貸之事項；惟現行針對高級中等學校</w:t>
      </w:r>
      <w:r w:rsidR="0079236E" w:rsidRPr="00697C03">
        <w:rPr>
          <w:rFonts w:hAnsi="標楷體" w:hint="eastAsia"/>
        </w:rPr>
        <w:t>（</w:t>
      </w:r>
      <w:r w:rsidRPr="00697C03">
        <w:rPr>
          <w:rFonts w:hAnsi="標楷體" w:hint="eastAsia"/>
        </w:rPr>
        <w:t>含技術型高中</w:t>
      </w:r>
      <w:r w:rsidR="0079236E" w:rsidRPr="00697C03">
        <w:rPr>
          <w:rFonts w:hAnsi="標楷體" w:hint="eastAsia"/>
        </w:rPr>
        <w:t>）</w:t>
      </w:r>
      <w:r w:rsidRPr="00697C03">
        <w:rPr>
          <w:rFonts w:hAnsi="標楷體" w:hint="eastAsia"/>
        </w:rPr>
        <w:t>中離學生實施之輔導及協尋事項，十二年國教的後三年應屬基本教育，因受限於非屬法定國民義務教育之範疇，實務</w:t>
      </w:r>
      <w:r w:rsidR="004E1690" w:rsidRPr="00697C03">
        <w:rPr>
          <w:rFonts w:hAnsi="標楷體" w:hint="eastAsia"/>
        </w:rPr>
        <w:t>上</w:t>
      </w:r>
      <w:r w:rsidRPr="00697C03">
        <w:rPr>
          <w:rFonts w:hAnsi="標楷體" w:hint="eastAsia"/>
        </w:rPr>
        <w:t>學校端及地方教育局端針對中途離校之學生，無論於協尋或返回原校等穩定就學相關業務工作上，往往面臨人力不足及人身安全問題；</w:t>
      </w:r>
      <w:r w:rsidR="00093B05" w:rsidRPr="00697C03">
        <w:rPr>
          <w:rFonts w:hAnsi="標楷體" w:hint="eastAsia"/>
        </w:rPr>
        <w:t>且由於現行學校尋求警政機關之協助上，亦面臨缺乏具體法源及強制規範之困境，況若中途離校失聯學生如已逾18歲之成年，更難以透過警政失蹤人口查尋機制強制協助返校輔導或返家，教育部長期均未有積極溝通協調措施，以落實中離學生之追蹤輔導，關於國民教育階段非屬義務教育時期面臨類此教育權或人權折衝分際顯難以取得平衡</w:t>
      </w:r>
      <w:r w:rsidRPr="00697C03">
        <w:rPr>
          <w:rFonts w:hAnsi="標楷體" w:hint="eastAsia"/>
        </w:rPr>
        <w:t>；</w:t>
      </w:r>
      <w:r w:rsidR="00093B05" w:rsidRPr="00697C03">
        <w:rPr>
          <w:rFonts w:hAnsi="標楷體" w:hint="eastAsia"/>
        </w:rPr>
        <w:t>該部於本院調查期間雖已研議評估延長十二年國教之可行性，惟此舉不僅牽涉我國長期重大國民教育政策，況繫於整體國家財務及地方縣市政府資源配置，顯非</w:t>
      </w:r>
      <w:r w:rsidR="00093B05" w:rsidRPr="00697C03">
        <w:rPr>
          <w:rFonts w:hAnsi="標楷體" w:hint="eastAsia"/>
          <w:szCs w:val="52"/>
        </w:rPr>
        <w:t>一蹴可幾</w:t>
      </w:r>
      <w:r w:rsidR="00093B05" w:rsidRPr="00697C03">
        <w:rPr>
          <w:rFonts w:hAnsi="標楷體" w:hint="eastAsia"/>
        </w:rPr>
        <w:t>，措施緩不濟急，爰於上述措施尚未實施前，亟待教育部盡速會同地方政府評估因應，針對中離生協尋輔導之實務辦理困境及應進行之積極整體配套措施考量研擬，以解決現行第一線各項窒礙難行之處，維護學生受教權益</w:t>
      </w:r>
      <w:r w:rsidRPr="00697C03">
        <w:rPr>
          <w:rFonts w:hAnsi="標楷體" w:hint="eastAsia"/>
        </w:rPr>
        <w:t>，實現教育機會均等原則，方為正辦。</w:t>
      </w:r>
    </w:p>
    <w:p w:rsidR="00406A77" w:rsidRPr="00697C03" w:rsidRDefault="00406A77" w:rsidP="00406A77">
      <w:pPr>
        <w:rPr>
          <w:rFonts w:ascii="標楷體" w:hAnsi="標楷體"/>
        </w:rPr>
      </w:pPr>
    </w:p>
    <w:p w:rsidR="00406A77" w:rsidRPr="00697C03" w:rsidRDefault="00406A77" w:rsidP="00406A77">
      <w:pPr>
        <w:pStyle w:val="2"/>
        <w:kinsoku/>
        <w:overflowPunct w:val="0"/>
        <w:autoSpaceDE w:val="0"/>
        <w:autoSpaceDN w:val="0"/>
        <w:ind w:left="1021" w:hanging="681"/>
        <w:rPr>
          <w:rFonts w:hAnsi="標楷體"/>
        </w:rPr>
      </w:pPr>
      <w:bookmarkStart w:id="71" w:name="_Toc37315441"/>
      <w:bookmarkStart w:id="72" w:name="_Toc39250775"/>
      <w:bookmarkStart w:id="73" w:name="_Toc41382885"/>
      <w:r w:rsidRPr="00697C03">
        <w:rPr>
          <w:rFonts w:hAnsi="標楷體" w:hint="eastAsia"/>
          <w:b/>
        </w:rPr>
        <w:t>高級中等教育以奠定學術研究或專業技術知能之基礎為宗旨，係國中生未來適性進路的轉捩點，惟</w:t>
      </w:r>
      <w:r w:rsidRPr="00697C03">
        <w:rPr>
          <w:rFonts w:hAnsi="標楷體" w:hint="eastAsia"/>
          <w:b/>
          <w:bCs w:val="0"/>
          <w:szCs w:val="52"/>
        </w:rPr>
        <w:t>107學</w:t>
      </w:r>
      <w:r w:rsidRPr="00697C03">
        <w:rPr>
          <w:rFonts w:hAnsi="標楷體" w:hint="eastAsia"/>
          <w:b/>
          <w:bCs w:val="0"/>
          <w:szCs w:val="52"/>
        </w:rPr>
        <w:lastRenderedPageBreak/>
        <w:t>年度我國高級中等學校中離生主要原因係以個人因素佔61.4%為大宗，其中志趣不合即佔53.40%，近5年整體</w:t>
      </w:r>
      <w:r w:rsidR="00D01332" w:rsidRPr="00697C03">
        <w:rPr>
          <w:rFonts w:hAnsi="標楷體" w:hint="eastAsia"/>
          <w:b/>
          <w:bCs w:val="0"/>
          <w:szCs w:val="52"/>
        </w:rPr>
        <w:t>數據又</w:t>
      </w:r>
      <w:r w:rsidRPr="00697C03">
        <w:rPr>
          <w:rFonts w:hAnsi="標楷體" w:hint="eastAsia"/>
          <w:b/>
          <w:bCs w:val="0"/>
          <w:szCs w:val="52"/>
        </w:rPr>
        <w:t>以高中一年級</w:t>
      </w:r>
      <w:r w:rsidR="00F358CE" w:rsidRPr="00697C03">
        <w:rPr>
          <w:rFonts w:hAnsi="標楷體" w:hint="eastAsia"/>
          <w:b/>
          <w:bCs w:val="0"/>
          <w:szCs w:val="52"/>
        </w:rPr>
        <w:t>中離</w:t>
      </w:r>
      <w:r w:rsidRPr="00697C03">
        <w:rPr>
          <w:rFonts w:hAnsi="標楷體" w:hint="eastAsia"/>
          <w:b/>
          <w:bCs w:val="0"/>
          <w:szCs w:val="52"/>
        </w:rPr>
        <w:t>生達54-64%</w:t>
      </w:r>
      <w:r w:rsidR="00CD47F3" w:rsidRPr="00697C03">
        <w:rPr>
          <w:rFonts w:hAnsi="標楷體" w:hint="eastAsia"/>
          <w:b/>
          <w:bCs w:val="0"/>
          <w:szCs w:val="52"/>
        </w:rPr>
        <w:t>為最大宗，且學制別</w:t>
      </w:r>
      <w:r w:rsidRPr="00697C03">
        <w:rPr>
          <w:rFonts w:hAnsi="標楷體" w:hint="eastAsia"/>
          <w:b/>
          <w:bCs w:val="0"/>
          <w:szCs w:val="52"/>
        </w:rPr>
        <w:t>以私立職業科中離人數</w:t>
      </w:r>
      <w:r w:rsidR="00CD47F3" w:rsidRPr="00697C03">
        <w:rPr>
          <w:rFonts w:hAnsi="標楷體" w:hint="eastAsia"/>
          <w:b/>
          <w:bCs w:val="0"/>
          <w:szCs w:val="52"/>
        </w:rPr>
        <w:t>占比</w:t>
      </w:r>
      <w:r w:rsidRPr="00697C03">
        <w:rPr>
          <w:rFonts w:hAnsi="標楷體" w:hint="eastAsia"/>
          <w:b/>
          <w:bCs w:val="0"/>
          <w:szCs w:val="52"/>
        </w:rPr>
        <w:t>最高；復</w:t>
      </w:r>
      <w:r w:rsidRPr="00697C03">
        <w:rPr>
          <w:rFonts w:hAnsi="標楷體" w:hint="eastAsia"/>
          <w:b/>
          <w:szCs w:val="52"/>
        </w:rPr>
        <w:t>依本</w:t>
      </w:r>
      <w:r w:rsidR="00776009" w:rsidRPr="00697C03">
        <w:rPr>
          <w:rFonts w:hAnsi="標楷體" w:hint="eastAsia"/>
          <w:b/>
          <w:szCs w:val="52"/>
        </w:rPr>
        <w:t>院赴</w:t>
      </w:r>
      <w:r w:rsidRPr="00697C03">
        <w:rPr>
          <w:rFonts w:hAnsi="標楷體" w:hint="eastAsia"/>
          <w:b/>
          <w:szCs w:val="52"/>
        </w:rPr>
        <w:t>部分縣市</w:t>
      </w:r>
      <w:r w:rsidR="007C43FA" w:rsidRPr="00697C03">
        <w:rPr>
          <w:rFonts w:hAnsi="標楷體" w:hint="eastAsia"/>
          <w:b/>
          <w:szCs w:val="52"/>
        </w:rPr>
        <w:t>座談及</w:t>
      </w:r>
      <w:r w:rsidRPr="00697C03">
        <w:rPr>
          <w:rFonts w:hAnsi="標楷體" w:hint="eastAsia"/>
          <w:b/>
          <w:szCs w:val="52"/>
        </w:rPr>
        <w:t>簡報資料均指出</w:t>
      </w:r>
      <w:r w:rsidR="005A5B66" w:rsidRPr="00697C03">
        <w:rPr>
          <w:rFonts w:hAnsi="標楷體" w:hint="eastAsia"/>
          <w:b/>
          <w:szCs w:val="52"/>
        </w:rPr>
        <w:t>激發學生之</w:t>
      </w:r>
      <w:r w:rsidRPr="00697C03">
        <w:rPr>
          <w:rFonts w:hAnsi="標楷體" w:hint="eastAsia"/>
          <w:b/>
          <w:szCs w:val="52"/>
        </w:rPr>
        <w:t>興趣為吸引中離學生復學之動</w:t>
      </w:r>
      <w:r w:rsidR="00B02D43" w:rsidRPr="00697C03">
        <w:rPr>
          <w:rFonts w:hAnsi="標楷體" w:hint="eastAsia"/>
          <w:b/>
          <w:szCs w:val="52"/>
        </w:rPr>
        <w:t>力之一，顯見</w:t>
      </w:r>
      <w:r w:rsidR="005A5B66" w:rsidRPr="00697C03">
        <w:rPr>
          <w:rFonts w:hAnsi="標楷體" w:hint="eastAsia"/>
          <w:b/>
          <w:szCs w:val="52"/>
        </w:rPr>
        <w:t>發展學生</w:t>
      </w:r>
      <w:r w:rsidR="00B02D43" w:rsidRPr="00697C03">
        <w:rPr>
          <w:rFonts w:hAnsi="標楷體" w:hint="eastAsia"/>
          <w:b/>
          <w:szCs w:val="52"/>
        </w:rPr>
        <w:t>適性</w:t>
      </w:r>
      <w:r w:rsidR="005A5B66" w:rsidRPr="00697C03">
        <w:rPr>
          <w:rFonts w:hAnsi="標楷體" w:hint="eastAsia"/>
          <w:b/>
          <w:szCs w:val="52"/>
        </w:rPr>
        <w:t>學習</w:t>
      </w:r>
      <w:r w:rsidR="00B02D43" w:rsidRPr="00697C03">
        <w:rPr>
          <w:rFonts w:hAnsi="標楷體" w:hint="eastAsia"/>
          <w:b/>
          <w:szCs w:val="52"/>
        </w:rPr>
        <w:t>對於學生穩定就學仍扮演一定之拉力，</w:t>
      </w:r>
      <w:r w:rsidRPr="00697C03">
        <w:rPr>
          <w:rFonts w:hAnsi="標楷體" w:hint="eastAsia"/>
          <w:b/>
          <w:szCs w:val="52"/>
        </w:rPr>
        <w:t>惟依</w:t>
      </w:r>
      <w:r w:rsidR="0085774A" w:rsidRPr="00697C03">
        <w:rPr>
          <w:rFonts w:hAnsi="標楷體" w:hint="eastAsia"/>
          <w:b/>
          <w:szCs w:val="52"/>
        </w:rPr>
        <w:t>現行</w:t>
      </w:r>
      <w:r w:rsidRPr="00697C03">
        <w:rPr>
          <w:rFonts w:hAnsi="標楷體" w:hint="eastAsia"/>
          <w:b/>
          <w:szCs w:val="52"/>
        </w:rPr>
        <w:t>相關規定，學校實招班數名額遇有缺額時，</w:t>
      </w:r>
      <w:r w:rsidR="00D4418E" w:rsidRPr="00697C03">
        <w:rPr>
          <w:rFonts w:hAnsi="標楷體" w:hint="eastAsia"/>
          <w:b/>
          <w:szCs w:val="52"/>
        </w:rPr>
        <w:t>方</w:t>
      </w:r>
      <w:r w:rsidRPr="00697C03">
        <w:rPr>
          <w:rFonts w:hAnsi="標楷體" w:hint="eastAsia"/>
          <w:b/>
          <w:szCs w:val="52"/>
        </w:rPr>
        <w:t>得辦理學生轉科（學程）或招收轉學生，並以公開方式為之，以本案高級中等學校中離背景呈現</w:t>
      </w:r>
      <w:r w:rsidR="006874FC" w:rsidRPr="00697C03">
        <w:rPr>
          <w:rFonts w:hAnsi="標楷體" w:hint="eastAsia"/>
          <w:b/>
          <w:szCs w:val="52"/>
        </w:rPr>
        <w:t>各式</w:t>
      </w:r>
      <w:r w:rsidR="00F5584B" w:rsidRPr="00697C03">
        <w:rPr>
          <w:rFonts w:hAnsi="標楷體" w:hint="eastAsia"/>
          <w:b/>
          <w:szCs w:val="52"/>
        </w:rPr>
        <w:t>複合性且</w:t>
      </w:r>
      <w:r w:rsidRPr="00697C03">
        <w:rPr>
          <w:rFonts w:hAnsi="標楷體" w:hint="eastAsia"/>
          <w:b/>
          <w:szCs w:val="52"/>
        </w:rPr>
        <w:t>複雜之</w:t>
      </w:r>
      <w:r w:rsidR="00E9485C" w:rsidRPr="00697C03">
        <w:rPr>
          <w:rFonts w:hAnsi="標楷體" w:hint="eastAsia"/>
          <w:b/>
          <w:szCs w:val="52"/>
        </w:rPr>
        <w:t>情形</w:t>
      </w:r>
      <w:r w:rsidRPr="00697C03">
        <w:rPr>
          <w:rFonts w:hAnsi="標楷體" w:hint="eastAsia"/>
          <w:b/>
          <w:szCs w:val="52"/>
        </w:rPr>
        <w:t>為例，該現行辦法恐過於僵化</w:t>
      </w:r>
      <w:r w:rsidR="00112771" w:rsidRPr="00697C03">
        <w:rPr>
          <w:rFonts w:hAnsi="標楷體" w:hint="eastAsia"/>
          <w:b/>
          <w:szCs w:val="52"/>
        </w:rPr>
        <w:t>，</w:t>
      </w:r>
      <w:r w:rsidRPr="00697C03">
        <w:rPr>
          <w:rFonts w:hAnsi="標楷體" w:hint="eastAsia"/>
          <w:b/>
          <w:szCs w:val="52"/>
        </w:rPr>
        <w:t>缺乏彈性及實益效率</w:t>
      </w:r>
      <w:r w:rsidR="002C661D" w:rsidRPr="00697C03">
        <w:rPr>
          <w:rFonts w:hAnsi="標楷體" w:hint="eastAsia"/>
          <w:b/>
          <w:szCs w:val="52"/>
        </w:rPr>
        <w:t>，因應學生適性教育之措施</w:t>
      </w:r>
      <w:r w:rsidR="00A90D1B" w:rsidRPr="00697C03">
        <w:rPr>
          <w:rFonts w:hAnsi="標楷體" w:hint="eastAsia"/>
          <w:b/>
          <w:szCs w:val="52"/>
        </w:rPr>
        <w:t>實</w:t>
      </w:r>
      <w:r w:rsidR="002C661D" w:rsidRPr="00697C03">
        <w:rPr>
          <w:rFonts w:hAnsi="標楷體" w:hint="eastAsia"/>
          <w:b/>
          <w:szCs w:val="52"/>
        </w:rPr>
        <w:t>有不足</w:t>
      </w:r>
      <w:r w:rsidRPr="00697C03">
        <w:rPr>
          <w:rFonts w:hAnsi="標楷體" w:hint="eastAsia"/>
          <w:b/>
          <w:szCs w:val="52"/>
        </w:rPr>
        <w:t>；而教育部於本案調查期間</w:t>
      </w:r>
      <w:r w:rsidR="002E0A26" w:rsidRPr="00697C03">
        <w:rPr>
          <w:rFonts w:hAnsi="標楷體" w:hint="eastAsia"/>
          <w:b/>
          <w:szCs w:val="52"/>
        </w:rPr>
        <w:t>方研議</w:t>
      </w:r>
      <w:r w:rsidRPr="00697C03">
        <w:rPr>
          <w:rFonts w:hAnsi="標楷體" w:hint="eastAsia"/>
          <w:b/>
          <w:szCs w:val="52"/>
        </w:rPr>
        <w:t>，未來</w:t>
      </w:r>
      <w:r w:rsidR="000866D7" w:rsidRPr="00697C03">
        <w:rPr>
          <w:rFonts w:hAnsi="標楷體" w:hint="eastAsia"/>
          <w:b/>
          <w:szCs w:val="52"/>
        </w:rPr>
        <w:t>將</w:t>
      </w:r>
      <w:r w:rsidRPr="00697C03">
        <w:rPr>
          <w:rFonts w:hAnsi="標楷體" w:hint="eastAsia"/>
          <w:b/>
          <w:szCs w:val="52"/>
        </w:rPr>
        <w:t>集中推動實用技能學程及建教合作等</w:t>
      </w:r>
      <w:r w:rsidR="00F741D3" w:rsidRPr="00697C03">
        <w:rPr>
          <w:rFonts w:hAnsi="標楷體" w:hint="eastAsia"/>
          <w:b/>
          <w:szCs w:val="52"/>
        </w:rPr>
        <w:t>學制或專班之轉銜選擇，</w:t>
      </w:r>
      <w:r w:rsidR="000866D7" w:rsidRPr="00697C03">
        <w:rPr>
          <w:rFonts w:hAnsi="標楷體" w:hint="eastAsia"/>
          <w:b/>
          <w:szCs w:val="52"/>
        </w:rPr>
        <w:t>提供中離生多樣化適性教育之平臺</w:t>
      </w:r>
      <w:r w:rsidR="00327C13" w:rsidRPr="00697C03">
        <w:rPr>
          <w:rFonts w:hAnsi="標楷體" w:hint="eastAsia"/>
          <w:b/>
          <w:szCs w:val="52"/>
        </w:rPr>
        <w:t>，爰</w:t>
      </w:r>
      <w:r w:rsidRPr="00697C03">
        <w:rPr>
          <w:rFonts w:hAnsi="標楷體" w:hint="eastAsia"/>
          <w:b/>
          <w:szCs w:val="52"/>
        </w:rPr>
        <w:t>後續</w:t>
      </w:r>
      <w:r w:rsidR="00327C13" w:rsidRPr="00697C03">
        <w:rPr>
          <w:rFonts w:hAnsi="標楷體" w:hint="eastAsia"/>
          <w:b/>
          <w:szCs w:val="52"/>
        </w:rPr>
        <w:t>相關機制整合、彈性</w:t>
      </w:r>
      <w:r w:rsidRPr="00697C03">
        <w:rPr>
          <w:rFonts w:hAnsi="標楷體" w:hint="eastAsia"/>
          <w:b/>
          <w:szCs w:val="52"/>
        </w:rPr>
        <w:t>轉</w:t>
      </w:r>
      <w:r w:rsidR="00327C13" w:rsidRPr="00697C03">
        <w:rPr>
          <w:rFonts w:hAnsi="標楷體" w:hint="eastAsia"/>
          <w:b/>
          <w:szCs w:val="52"/>
        </w:rPr>
        <w:t>科（校）等</w:t>
      </w:r>
      <w:r w:rsidR="00557E8D" w:rsidRPr="00697C03">
        <w:rPr>
          <w:rFonts w:hAnsi="標楷體" w:hint="eastAsia"/>
          <w:b/>
          <w:szCs w:val="52"/>
        </w:rPr>
        <w:t>措施</w:t>
      </w:r>
      <w:r w:rsidRPr="00697C03">
        <w:rPr>
          <w:rFonts w:hAnsi="標楷體" w:hint="eastAsia"/>
          <w:b/>
          <w:szCs w:val="52"/>
        </w:rPr>
        <w:t>，亟待教育部盡速評估</w:t>
      </w:r>
      <w:bookmarkEnd w:id="71"/>
      <w:r w:rsidRPr="00697C03">
        <w:rPr>
          <w:rFonts w:hAnsi="標楷體" w:hint="eastAsia"/>
          <w:b/>
          <w:szCs w:val="52"/>
        </w:rPr>
        <w:t>辦理，俾能落實國民適性教育</w:t>
      </w:r>
      <w:bookmarkEnd w:id="72"/>
      <w:bookmarkEnd w:id="73"/>
    </w:p>
    <w:p w:rsidR="00406A77" w:rsidRPr="00697C03" w:rsidRDefault="00406A77" w:rsidP="00406A77">
      <w:pPr>
        <w:pStyle w:val="3"/>
        <w:kinsoku/>
        <w:ind w:left="1360" w:hanging="680"/>
        <w:rPr>
          <w:rFonts w:hAnsi="標楷體"/>
        </w:rPr>
      </w:pPr>
      <w:r w:rsidRPr="00697C03">
        <w:rPr>
          <w:rFonts w:hAnsi="標楷體" w:hint="eastAsia"/>
        </w:rPr>
        <w:t>按教育基本法第2條第1項規定，人民為教育權之主體；</w:t>
      </w:r>
      <w:r w:rsidR="00122793" w:rsidRPr="00697C03">
        <w:rPr>
          <w:rFonts w:hAnsi="標楷體" w:hint="eastAsia"/>
        </w:rPr>
        <w:t>按同法</w:t>
      </w:r>
      <w:r w:rsidRPr="00697C03">
        <w:rPr>
          <w:rFonts w:hAnsi="標楷體" w:hint="eastAsia"/>
        </w:rPr>
        <w:t>第2項規定，教育之目的以培養人民健全人格、民主素養、法治觀念、人文涵養、愛國教育、鄉土關懷、資訊知能、強健體魄及思考、判斷與創造能力，並促進其對基本人權之尊重、生態環境之保護及對不同國家、族群、性別、宗教、文化之瞭解與關懷，使其成為具有國家意識與國際視野之現代化國民；同條第3項規定，為實現前項教育目的，國家、教育機構、教師、父母應負協助之責任。同法第3條規定，第3條教育之實施，應本有教無類、因材施教之原則，以人文精神及科學方法，尊重人性價值，致力開發個人潛能，培養群性，協助個人追求自我實現。復按高級中等教育法第1</w:t>
      </w:r>
      <w:r w:rsidRPr="00697C03">
        <w:rPr>
          <w:rFonts w:hAnsi="標楷體" w:hint="eastAsia"/>
        </w:rPr>
        <w:lastRenderedPageBreak/>
        <w:t>條明定，高級中等教育，應接續九年國民教育，以陶冶青年身心，發展學生潛能，奠定學術研究或專業技術知能之基礎，培養五育均衡發展之優質公民為宗旨。同法第2條第2項規定，九年國民教育，依國民教育法規定，採免試、免學費及強迫入學；高級中等教育，依本法規定，採免試入學為主，由學生依其性向、興趣及能力自願入學，並依一定條件採免學費方式辦理。同法第35條第7項規定，各國民中學應協助學生自我認識及探索，依其能力、性向及興趣等，給予適性輔導，並提供升學選擇之建議，進入高級中等學校就學；第36條第2項規定，</w:t>
      </w:r>
      <w:r w:rsidR="00BA0291" w:rsidRPr="00697C03">
        <w:rPr>
          <w:rFonts w:hAnsi="標楷體" w:hint="eastAsia"/>
        </w:rPr>
        <w:t>……</w:t>
      </w:r>
      <w:r w:rsidRPr="00697C03">
        <w:rPr>
          <w:rFonts w:hAnsi="標楷體" w:hint="eastAsia"/>
        </w:rPr>
        <w:t>私立高級中等學校應依下列原則配合十二年國民基本教育之實施：一、培養學生五育均衡發展。二、充足合格教師專長授課。三、輔導學生適性發展。四、貫徹教學正常化。按同法第45條第3項規定，高級中等學校應就學生能力、性向及興趣，輔導其適性發展，並得採取專案編班方式提供體育、音樂、美術、舞蹈、戲劇等技藝課程，以銜接國民中學之技藝教育，其所需專業師資得由校長就校外具有專業技能之專任教師聘任之。基此，高級中等教育以奠定學術研究或專業技術知能之基礎為宗旨，係國中生未來適性進路的轉捩點，為達成上述法令規定之目標，政府機關及學校應屬責無旁貸。</w:t>
      </w:r>
    </w:p>
    <w:p w:rsidR="00406A77" w:rsidRPr="00697C03" w:rsidRDefault="00406A77" w:rsidP="00406A77">
      <w:pPr>
        <w:pStyle w:val="3"/>
        <w:ind w:left="1360" w:hanging="680"/>
        <w:rPr>
          <w:rFonts w:hAnsi="標楷體"/>
        </w:rPr>
      </w:pPr>
      <w:r w:rsidRPr="00697C03">
        <w:rPr>
          <w:rFonts w:hAnsi="標楷體" w:hint="eastAsia"/>
        </w:rPr>
        <w:t>經查，103至107學年度高級中等學校中途離校學生之總數依序分別為</w:t>
      </w:r>
      <w:r w:rsidR="009435CD" w:rsidRPr="00697C03">
        <w:rPr>
          <w:rFonts w:hAnsi="標楷體" w:hint="eastAsia"/>
        </w:rPr>
        <w:t>：</w:t>
      </w:r>
      <w:r w:rsidRPr="00697C03">
        <w:rPr>
          <w:rFonts w:hAnsi="標楷體" w:hint="eastAsia"/>
        </w:rPr>
        <w:t>103學年度22,864人，104學年度21,890人，105學年度21,615人，106學年度20,282人</w:t>
      </w:r>
      <w:r w:rsidR="00423B4C" w:rsidRPr="00697C03">
        <w:rPr>
          <w:rFonts w:hAnsi="標楷體" w:hint="eastAsia"/>
        </w:rPr>
        <w:t>及</w:t>
      </w:r>
      <w:r w:rsidRPr="00697C03">
        <w:rPr>
          <w:rFonts w:hAnsi="標楷體" w:hint="eastAsia"/>
        </w:rPr>
        <w:t>107學年度16,689人。其中</w:t>
      </w:r>
      <w:r w:rsidR="00E65A85" w:rsidRPr="00697C03">
        <w:rPr>
          <w:rFonts w:hAnsi="標楷體" w:hint="eastAsia"/>
        </w:rPr>
        <w:t>，</w:t>
      </w:r>
      <w:r w:rsidRPr="00697C03">
        <w:rPr>
          <w:rFonts w:hAnsi="標楷體" w:hint="eastAsia"/>
        </w:rPr>
        <w:t>以職業科中離生人數最高，進修部為次高；另學制別以私立學校最高；經統計至109.3.26日止，全國未結案中離學生人數為15,793人，其中進修部未結案人</w:t>
      </w:r>
      <w:r w:rsidRPr="00697C03">
        <w:rPr>
          <w:rFonts w:hAnsi="標楷體" w:hint="eastAsia"/>
        </w:rPr>
        <w:lastRenderedPageBreak/>
        <w:t>數為2,945人日間部已滿18歲以上未結案中離學生人數為5,365人，進修部已滿18歲以上未結案人數為1,580人。有關中離生之所屬學校類型及公私立屬性等相關數據如下表。</w:t>
      </w:r>
    </w:p>
    <w:p w:rsidR="00406A77" w:rsidRPr="00697C03" w:rsidRDefault="00F03ABB" w:rsidP="00406A77">
      <w:pPr>
        <w:pStyle w:val="a3"/>
        <w:rPr>
          <w:rFonts w:hAnsi="標楷體"/>
          <w:b/>
        </w:rPr>
      </w:pPr>
      <w:r w:rsidRPr="00697C03">
        <w:rPr>
          <w:rFonts w:hAnsi="標楷體" w:hint="eastAsia"/>
          <w:b/>
        </w:rPr>
        <w:t>中離生</w:t>
      </w:r>
      <w:r w:rsidR="00406A77" w:rsidRPr="00697C03">
        <w:rPr>
          <w:rFonts w:hAnsi="標楷體" w:hint="eastAsia"/>
          <w:b/>
        </w:rPr>
        <w:t>所屬學校類型及公私立屬性</w:t>
      </w:r>
      <w:r w:rsidR="00920D8C" w:rsidRPr="00697C03">
        <w:rPr>
          <w:rFonts w:hAnsi="標楷體" w:hint="eastAsia"/>
          <w:b/>
        </w:rPr>
        <w:t xml:space="preserve">　　　　　　　　　　</w:t>
      </w:r>
      <w:r w:rsidR="00920D8C" w:rsidRPr="00697C03">
        <w:rPr>
          <w:rFonts w:hAnsi="標楷體" w:hint="eastAsia"/>
          <w:sz w:val="24"/>
          <w:szCs w:val="24"/>
        </w:rPr>
        <w:t>單位：人</w:t>
      </w:r>
    </w:p>
    <w:tbl>
      <w:tblPr>
        <w:tblW w:w="9242" w:type="dxa"/>
        <w:jc w:val="center"/>
        <w:tblLayout w:type="fixed"/>
        <w:tblCellMar>
          <w:left w:w="28" w:type="dxa"/>
          <w:right w:w="28" w:type="dxa"/>
        </w:tblCellMar>
        <w:tblLook w:val="04A0" w:firstRow="1" w:lastRow="0" w:firstColumn="1" w:lastColumn="0" w:noHBand="0" w:noVBand="1"/>
      </w:tblPr>
      <w:tblGrid>
        <w:gridCol w:w="1420"/>
        <w:gridCol w:w="1564"/>
        <w:gridCol w:w="1564"/>
        <w:gridCol w:w="1565"/>
        <w:gridCol w:w="1564"/>
        <w:gridCol w:w="1565"/>
      </w:tblGrid>
      <w:tr w:rsidR="00697C03" w:rsidRPr="00697C03" w:rsidTr="00BF41DE">
        <w:trPr>
          <w:trHeight w:val="324"/>
          <w:jc w:val="center"/>
        </w:trPr>
        <w:tc>
          <w:tcPr>
            <w:tcW w:w="1420" w:type="dxa"/>
            <w:tcBorders>
              <w:top w:val="single" w:sz="4" w:space="0" w:color="auto"/>
              <w:left w:val="single" w:sz="4" w:space="0" w:color="auto"/>
              <w:bottom w:val="single" w:sz="4" w:space="0" w:color="auto"/>
              <w:right w:val="single" w:sz="4" w:space="0" w:color="auto"/>
            </w:tcBorders>
            <w:shd w:val="clear" w:color="auto" w:fill="D0CECE"/>
            <w:noWrap/>
            <w:vAlign w:val="center"/>
            <w:hideMark/>
          </w:tcPr>
          <w:p w:rsidR="00406A77" w:rsidRPr="00697C03" w:rsidRDefault="00406A77" w:rsidP="00BF41DE">
            <w:pPr>
              <w:spacing w:line="0" w:lineRule="atLeast"/>
              <w:jc w:val="center"/>
              <w:rPr>
                <w:rFonts w:ascii="標楷體" w:hAnsi="標楷體"/>
                <w:b/>
                <w:sz w:val="26"/>
                <w:szCs w:val="26"/>
              </w:rPr>
            </w:pPr>
            <w:r w:rsidRPr="00697C03">
              <w:rPr>
                <w:rFonts w:ascii="標楷體" w:hAnsi="標楷體" w:hint="eastAsia"/>
                <w:b/>
                <w:sz w:val="26"/>
                <w:szCs w:val="26"/>
              </w:rPr>
              <w:t>學校類型</w:t>
            </w:r>
          </w:p>
        </w:tc>
        <w:tc>
          <w:tcPr>
            <w:tcW w:w="1564" w:type="dxa"/>
            <w:tcBorders>
              <w:top w:val="single" w:sz="4" w:space="0" w:color="auto"/>
              <w:left w:val="nil"/>
              <w:bottom w:val="single" w:sz="4" w:space="0" w:color="auto"/>
              <w:right w:val="single" w:sz="4" w:space="0" w:color="auto"/>
            </w:tcBorders>
            <w:shd w:val="clear" w:color="auto" w:fill="D0CECE"/>
            <w:noWrap/>
            <w:vAlign w:val="center"/>
            <w:hideMark/>
          </w:tcPr>
          <w:p w:rsidR="00406A77" w:rsidRPr="00697C03" w:rsidRDefault="00406A77" w:rsidP="00BF41DE">
            <w:pPr>
              <w:spacing w:line="0" w:lineRule="atLeast"/>
              <w:jc w:val="center"/>
              <w:rPr>
                <w:rFonts w:ascii="標楷體" w:hAnsi="標楷體"/>
                <w:b/>
                <w:sz w:val="26"/>
                <w:szCs w:val="26"/>
              </w:rPr>
            </w:pPr>
            <w:r w:rsidRPr="00697C03">
              <w:rPr>
                <w:rFonts w:ascii="標楷體" w:hAnsi="標楷體" w:hint="eastAsia"/>
                <w:b/>
                <w:sz w:val="26"/>
                <w:szCs w:val="26"/>
              </w:rPr>
              <w:t>103學年度</w:t>
            </w:r>
          </w:p>
        </w:tc>
        <w:tc>
          <w:tcPr>
            <w:tcW w:w="1564" w:type="dxa"/>
            <w:tcBorders>
              <w:top w:val="single" w:sz="4" w:space="0" w:color="auto"/>
              <w:left w:val="nil"/>
              <w:bottom w:val="single" w:sz="4" w:space="0" w:color="auto"/>
              <w:right w:val="single" w:sz="4" w:space="0" w:color="auto"/>
            </w:tcBorders>
            <w:shd w:val="clear" w:color="auto" w:fill="D0CECE"/>
            <w:noWrap/>
            <w:vAlign w:val="center"/>
            <w:hideMark/>
          </w:tcPr>
          <w:p w:rsidR="00406A77" w:rsidRPr="00697C03" w:rsidRDefault="00406A77" w:rsidP="00BF41DE">
            <w:pPr>
              <w:spacing w:line="0" w:lineRule="atLeast"/>
              <w:jc w:val="center"/>
              <w:rPr>
                <w:rFonts w:ascii="標楷體" w:hAnsi="標楷體"/>
                <w:b/>
                <w:sz w:val="26"/>
                <w:szCs w:val="26"/>
              </w:rPr>
            </w:pPr>
            <w:r w:rsidRPr="00697C03">
              <w:rPr>
                <w:rFonts w:ascii="標楷體" w:hAnsi="標楷體" w:hint="eastAsia"/>
                <w:b/>
                <w:sz w:val="26"/>
                <w:szCs w:val="26"/>
              </w:rPr>
              <w:t>104學年度</w:t>
            </w:r>
          </w:p>
        </w:tc>
        <w:tc>
          <w:tcPr>
            <w:tcW w:w="1565" w:type="dxa"/>
            <w:tcBorders>
              <w:top w:val="single" w:sz="4" w:space="0" w:color="auto"/>
              <w:left w:val="nil"/>
              <w:bottom w:val="single" w:sz="4" w:space="0" w:color="auto"/>
              <w:right w:val="single" w:sz="4" w:space="0" w:color="auto"/>
            </w:tcBorders>
            <w:shd w:val="clear" w:color="auto" w:fill="D0CECE"/>
            <w:noWrap/>
            <w:vAlign w:val="center"/>
            <w:hideMark/>
          </w:tcPr>
          <w:p w:rsidR="00406A77" w:rsidRPr="00697C03" w:rsidRDefault="00406A77" w:rsidP="00BF41DE">
            <w:pPr>
              <w:spacing w:line="0" w:lineRule="atLeast"/>
              <w:jc w:val="center"/>
              <w:rPr>
                <w:rFonts w:ascii="標楷體" w:hAnsi="標楷體"/>
                <w:b/>
                <w:sz w:val="26"/>
                <w:szCs w:val="26"/>
              </w:rPr>
            </w:pPr>
            <w:r w:rsidRPr="00697C03">
              <w:rPr>
                <w:rFonts w:ascii="標楷體" w:hAnsi="標楷體" w:hint="eastAsia"/>
                <w:b/>
                <w:sz w:val="26"/>
                <w:szCs w:val="26"/>
              </w:rPr>
              <w:t>105學年度</w:t>
            </w:r>
          </w:p>
        </w:tc>
        <w:tc>
          <w:tcPr>
            <w:tcW w:w="1564" w:type="dxa"/>
            <w:tcBorders>
              <w:top w:val="single" w:sz="4" w:space="0" w:color="auto"/>
              <w:left w:val="nil"/>
              <w:bottom w:val="single" w:sz="4" w:space="0" w:color="auto"/>
              <w:right w:val="single" w:sz="4" w:space="0" w:color="auto"/>
            </w:tcBorders>
            <w:shd w:val="clear" w:color="auto" w:fill="D0CECE"/>
            <w:noWrap/>
            <w:vAlign w:val="center"/>
            <w:hideMark/>
          </w:tcPr>
          <w:p w:rsidR="00406A77" w:rsidRPr="00697C03" w:rsidRDefault="00406A77" w:rsidP="00BF41DE">
            <w:pPr>
              <w:spacing w:line="0" w:lineRule="atLeast"/>
              <w:jc w:val="center"/>
              <w:rPr>
                <w:rFonts w:ascii="標楷體" w:hAnsi="標楷體"/>
                <w:b/>
                <w:sz w:val="26"/>
                <w:szCs w:val="26"/>
              </w:rPr>
            </w:pPr>
            <w:r w:rsidRPr="00697C03">
              <w:rPr>
                <w:rFonts w:ascii="標楷體" w:hAnsi="標楷體" w:hint="eastAsia"/>
                <w:b/>
                <w:sz w:val="26"/>
                <w:szCs w:val="26"/>
              </w:rPr>
              <w:t>106學年度</w:t>
            </w:r>
          </w:p>
        </w:tc>
        <w:tc>
          <w:tcPr>
            <w:tcW w:w="1565" w:type="dxa"/>
            <w:tcBorders>
              <w:top w:val="single" w:sz="4" w:space="0" w:color="auto"/>
              <w:left w:val="nil"/>
              <w:bottom w:val="single" w:sz="4" w:space="0" w:color="auto"/>
              <w:right w:val="single" w:sz="4" w:space="0" w:color="auto"/>
            </w:tcBorders>
            <w:shd w:val="clear" w:color="auto" w:fill="D0CECE"/>
            <w:noWrap/>
            <w:vAlign w:val="center"/>
            <w:hideMark/>
          </w:tcPr>
          <w:p w:rsidR="00406A77" w:rsidRPr="00697C03" w:rsidRDefault="00406A77" w:rsidP="00BF41DE">
            <w:pPr>
              <w:spacing w:line="0" w:lineRule="atLeast"/>
              <w:jc w:val="center"/>
              <w:rPr>
                <w:rFonts w:ascii="標楷體" w:hAnsi="標楷體"/>
                <w:b/>
                <w:sz w:val="26"/>
                <w:szCs w:val="26"/>
              </w:rPr>
            </w:pPr>
            <w:r w:rsidRPr="00697C03">
              <w:rPr>
                <w:rFonts w:ascii="標楷體" w:hAnsi="標楷體" w:hint="eastAsia"/>
                <w:b/>
                <w:sz w:val="26"/>
                <w:szCs w:val="26"/>
              </w:rPr>
              <w:t>107學年度</w:t>
            </w:r>
          </w:p>
        </w:tc>
      </w:tr>
      <w:tr w:rsidR="00697C03" w:rsidRPr="00697C03" w:rsidTr="00BF41DE">
        <w:trPr>
          <w:trHeight w:val="324"/>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406A77" w:rsidRPr="00697C03" w:rsidRDefault="00406A77" w:rsidP="00BF41DE">
            <w:pPr>
              <w:spacing w:line="0" w:lineRule="atLeast"/>
              <w:jc w:val="center"/>
              <w:rPr>
                <w:rFonts w:ascii="標楷體" w:hAnsi="標楷體"/>
                <w:b/>
                <w:sz w:val="26"/>
                <w:szCs w:val="26"/>
              </w:rPr>
            </w:pPr>
            <w:r w:rsidRPr="00697C03">
              <w:rPr>
                <w:rFonts w:ascii="標楷體" w:hAnsi="標楷體" w:hint="eastAsia"/>
                <w:b/>
                <w:sz w:val="26"/>
                <w:szCs w:val="26"/>
              </w:rPr>
              <w:t>普通科</w:t>
            </w:r>
          </w:p>
        </w:tc>
        <w:tc>
          <w:tcPr>
            <w:tcW w:w="1564"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4</w:t>
            </w:r>
            <w:r w:rsidRPr="00697C03">
              <w:rPr>
                <w:rFonts w:ascii="標楷體" w:hAnsi="標楷體" w:cs="新細明體"/>
                <w:sz w:val="26"/>
                <w:szCs w:val="26"/>
              </w:rPr>
              <w:t>,</w:t>
            </w:r>
            <w:r w:rsidRPr="00697C03">
              <w:rPr>
                <w:rFonts w:ascii="標楷體" w:hAnsi="標楷體" w:cs="新細明體" w:hint="eastAsia"/>
                <w:sz w:val="26"/>
                <w:szCs w:val="26"/>
              </w:rPr>
              <w:t>352</w:t>
            </w:r>
          </w:p>
        </w:tc>
        <w:tc>
          <w:tcPr>
            <w:tcW w:w="1564"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4</w:t>
            </w:r>
            <w:r w:rsidRPr="00697C03">
              <w:rPr>
                <w:rFonts w:ascii="標楷體" w:hAnsi="標楷體" w:cs="新細明體"/>
                <w:sz w:val="26"/>
                <w:szCs w:val="26"/>
              </w:rPr>
              <w:t>,</w:t>
            </w:r>
            <w:r w:rsidRPr="00697C03">
              <w:rPr>
                <w:rFonts w:ascii="標楷體" w:hAnsi="標楷體" w:cs="新細明體" w:hint="eastAsia"/>
                <w:sz w:val="26"/>
                <w:szCs w:val="26"/>
              </w:rPr>
              <w:t>073</w:t>
            </w:r>
          </w:p>
        </w:tc>
        <w:tc>
          <w:tcPr>
            <w:tcW w:w="1565"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4</w:t>
            </w:r>
            <w:r w:rsidRPr="00697C03">
              <w:rPr>
                <w:rFonts w:ascii="標楷體" w:hAnsi="標楷體" w:cs="新細明體"/>
                <w:sz w:val="26"/>
                <w:szCs w:val="26"/>
              </w:rPr>
              <w:t>,</w:t>
            </w:r>
            <w:r w:rsidRPr="00697C03">
              <w:rPr>
                <w:rFonts w:ascii="標楷體" w:hAnsi="標楷體" w:cs="新細明體" w:hint="eastAsia"/>
                <w:sz w:val="26"/>
                <w:szCs w:val="26"/>
              </w:rPr>
              <w:t>515</w:t>
            </w:r>
          </w:p>
        </w:tc>
        <w:tc>
          <w:tcPr>
            <w:tcW w:w="1564"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3</w:t>
            </w:r>
            <w:r w:rsidRPr="00697C03">
              <w:rPr>
                <w:rFonts w:ascii="標楷體" w:hAnsi="標楷體" w:cs="新細明體"/>
                <w:sz w:val="26"/>
                <w:szCs w:val="26"/>
              </w:rPr>
              <w:t>,</w:t>
            </w:r>
            <w:r w:rsidRPr="00697C03">
              <w:rPr>
                <w:rFonts w:ascii="標楷體" w:hAnsi="標楷體" w:cs="新細明體" w:hint="eastAsia"/>
                <w:sz w:val="26"/>
                <w:szCs w:val="26"/>
              </w:rPr>
              <w:t>500</w:t>
            </w:r>
          </w:p>
        </w:tc>
        <w:tc>
          <w:tcPr>
            <w:tcW w:w="1565"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2</w:t>
            </w:r>
            <w:r w:rsidRPr="00697C03">
              <w:rPr>
                <w:rFonts w:ascii="標楷體" w:hAnsi="標楷體" w:cs="新細明體"/>
                <w:sz w:val="26"/>
                <w:szCs w:val="26"/>
              </w:rPr>
              <w:t>,</w:t>
            </w:r>
            <w:r w:rsidRPr="00697C03">
              <w:rPr>
                <w:rFonts w:ascii="標楷體" w:hAnsi="標楷體" w:cs="新細明體" w:hint="eastAsia"/>
                <w:sz w:val="26"/>
                <w:szCs w:val="26"/>
              </w:rPr>
              <w:t>760</w:t>
            </w:r>
          </w:p>
        </w:tc>
      </w:tr>
      <w:tr w:rsidR="00697C03" w:rsidRPr="00697C03" w:rsidTr="00BF41DE">
        <w:trPr>
          <w:trHeight w:val="324"/>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406A77" w:rsidRPr="00697C03" w:rsidRDefault="00406A77" w:rsidP="00BF41DE">
            <w:pPr>
              <w:spacing w:line="0" w:lineRule="atLeast"/>
              <w:jc w:val="center"/>
              <w:rPr>
                <w:rFonts w:ascii="標楷體" w:hAnsi="標楷體"/>
                <w:b/>
                <w:sz w:val="26"/>
                <w:szCs w:val="26"/>
              </w:rPr>
            </w:pPr>
            <w:r w:rsidRPr="00697C03">
              <w:rPr>
                <w:rFonts w:ascii="標楷體" w:hAnsi="標楷體" w:hint="eastAsia"/>
                <w:b/>
                <w:sz w:val="26"/>
                <w:szCs w:val="26"/>
              </w:rPr>
              <w:t>職業科</w:t>
            </w:r>
          </w:p>
        </w:tc>
        <w:tc>
          <w:tcPr>
            <w:tcW w:w="1564"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sz w:val="26"/>
                <w:szCs w:val="26"/>
              </w:rPr>
              <w:t>8,472</w:t>
            </w:r>
          </w:p>
        </w:tc>
        <w:tc>
          <w:tcPr>
            <w:tcW w:w="1564"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8</w:t>
            </w:r>
            <w:r w:rsidRPr="00697C03">
              <w:rPr>
                <w:rFonts w:ascii="標楷體" w:hAnsi="標楷體" w:cs="新細明體"/>
                <w:sz w:val="26"/>
                <w:szCs w:val="26"/>
              </w:rPr>
              <w:t>,</w:t>
            </w:r>
            <w:r w:rsidRPr="00697C03">
              <w:rPr>
                <w:rFonts w:ascii="標楷體" w:hAnsi="標楷體" w:cs="新細明體" w:hint="eastAsia"/>
                <w:sz w:val="26"/>
                <w:szCs w:val="26"/>
              </w:rPr>
              <w:t>6</w:t>
            </w:r>
            <w:r w:rsidRPr="00697C03">
              <w:rPr>
                <w:rFonts w:ascii="標楷體" w:hAnsi="標楷體" w:cs="新細明體"/>
                <w:sz w:val="26"/>
                <w:szCs w:val="26"/>
              </w:rPr>
              <w:t>26</w:t>
            </w:r>
          </w:p>
        </w:tc>
        <w:tc>
          <w:tcPr>
            <w:tcW w:w="1565"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8</w:t>
            </w:r>
            <w:r w:rsidRPr="00697C03">
              <w:rPr>
                <w:rFonts w:ascii="標楷體" w:hAnsi="標楷體" w:cs="新細明體"/>
                <w:sz w:val="26"/>
                <w:szCs w:val="26"/>
              </w:rPr>
              <w:t>,</w:t>
            </w:r>
            <w:r w:rsidRPr="00697C03">
              <w:rPr>
                <w:rFonts w:ascii="標楷體" w:hAnsi="標楷體" w:cs="新細明體" w:hint="eastAsia"/>
                <w:sz w:val="26"/>
                <w:szCs w:val="26"/>
              </w:rPr>
              <w:t>4</w:t>
            </w:r>
            <w:r w:rsidRPr="00697C03">
              <w:rPr>
                <w:rFonts w:ascii="標楷體" w:hAnsi="標楷體" w:cs="新細明體"/>
                <w:sz w:val="26"/>
                <w:szCs w:val="26"/>
              </w:rPr>
              <w:t>18</w:t>
            </w:r>
          </w:p>
        </w:tc>
        <w:tc>
          <w:tcPr>
            <w:tcW w:w="1564"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sz w:val="26"/>
                <w:szCs w:val="26"/>
              </w:rPr>
              <w:t>8,435</w:t>
            </w:r>
          </w:p>
        </w:tc>
        <w:tc>
          <w:tcPr>
            <w:tcW w:w="1565"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sz w:val="26"/>
                <w:szCs w:val="26"/>
              </w:rPr>
              <w:t>7,602</w:t>
            </w:r>
          </w:p>
        </w:tc>
      </w:tr>
      <w:tr w:rsidR="00697C03" w:rsidRPr="00697C03" w:rsidTr="00BF41DE">
        <w:trPr>
          <w:trHeight w:val="324"/>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406A77" w:rsidRPr="00697C03" w:rsidRDefault="00406A77" w:rsidP="00BF41DE">
            <w:pPr>
              <w:spacing w:line="0" w:lineRule="atLeast"/>
              <w:jc w:val="center"/>
              <w:rPr>
                <w:rFonts w:ascii="標楷體" w:hAnsi="標楷體"/>
                <w:b/>
                <w:sz w:val="26"/>
                <w:szCs w:val="26"/>
              </w:rPr>
            </w:pPr>
            <w:r w:rsidRPr="00697C03">
              <w:rPr>
                <w:rFonts w:ascii="標楷體" w:hAnsi="標楷體" w:hint="eastAsia"/>
                <w:b/>
                <w:sz w:val="26"/>
                <w:szCs w:val="26"/>
              </w:rPr>
              <w:t>綜合高中</w:t>
            </w:r>
          </w:p>
        </w:tc>
        <w:tc>
          <w:tcPr>
            <w:tcW w:w="1564"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887</w:t>
            </w:r>
          </w:p>
        </w:tc>
        <w:tc>
          <w:tcPr>
            <w:tcW w:w="1564"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820</w:t>
            </w:r>
          </w:p>
        </w:tc>
        <w:tc>
          <w:tcPr>
            <w:tcW w:w="1565"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793</w:t>
            </w:r>
          </w:p>
        </w:tc>
        <w:tc>
          <w:tcPr>
            <w:tcW w:w="1564"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830</w:t>
            </w:r>
          </w:p>
        </w:tc>
        <w:tc>
          <w:tcPr>
            <w:tcW w:w="1565"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803</w:t>
            </w:r>
          </w:p>
        </w:tc>
      </w:tr>
      <w:tr w:rsidR="00697C03" w:rsidRPr="00697C03" w:rsidTr="00BF41DE">
        <w:trPr>
          <w:trHeight w:val="324"/>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406A77" w:rsidRPr="00697C03" w:rsidRDefault="00406A77" w:rsidP="00BF41DE">
            <w:pPr>
              <w:spacing w:line="0" w:lineRule="atLeast"/>
              <w:jc w:val="center"/>
              <w:rPr>
                <w:rFonts w:ascii="標楷體" w:hAnsi="標楷體"/>
                <w:b/>
                <w:sz w:val="26"/>
                <w:szCs w:val="26"/>
              </w:rPr>
            </w:pPr>
            <w:r w:rsidRPr="00697C03">
              <w:rPr>
                <w:rFonts w:ascii="標楷體" w:hAnsi="標楷體" w:hint="eastAsia"/>
                <w:b/>
                <w:sz w:val="26"/>
                <w:szCs w:val="26"/>
              </w:rPr>
              <w:t>實用技能</w:t>
            </w:r>
          </w:p>
        </w:tc>
        <w:tc>
          <w:tcPr>
            <w:tcW w:w="1564"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2</w:t>
            </w:r>
            <w:r w:rsidRPr="00697C03">
              <w:rPr>
                <w:rFonts w:ascii="標楷體" w:hAnsi="標楷體" w:cs="新細明體"/>
                <w:sz w:val="26"/>
                <w:szCs w:val="26"/>
              </w:rPr>
              <w:t>,</w:t>
            </w:r>
            <w:r w:rsidRPr="00697C03">
              <w:rPr>
                <w:rFonts w:ascii="標楷體" w:hAnsi="標楷體" w:cs="新細明體" w:hint="eastAsia"/>
                <w:sz w:val="26"/>
                <w:szCs w:val="26"/>
              </w:rPr>
              <w:t>067</w:t>
            </w:r>
          </w:p>
        </w:tc>
        <w:tc>
          <w:tcPr>
            <w:tcW w:w="1564"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1</w:t>
            </w:r>
            <w:r w:rsidRPr="00697C03">
              <w:rPr>
                <w:rFonts w:ascii="標楷體" w:hAnsi="標楷體" w:cs="新細明體"/>
                <w:sz w:val="26"/>
                <w:szCs w:val="26"/>
              </w:rPr>
              <w:t>,</w:t>
            </w:r>
            <w:r w:rsidRPr="00697C03">
              <w:rPr>
                <w:rFonts w:ascii="標楷體" w:hAnsi="標楷體" w:cs="新細明體" w:hint="eastAsia"/>
                <w:sz w:val="26"/>
                <w:szCs w:val="26"/>
              </w:rPr>
              <w:t>951</w:t>
            </w:r>
          </w:p>
        </w:tc>
        <w:tc>
          <w:tcPr>
            <w:tcW w:w="1565"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1</w:t>
            </w:r>
            <w:r w:rsidRPr="00697C03">
              <w:rPr>
                <w:rFonts w:ascii="標楷體" w:hAnsi="標楷體" w:cs="新細明體"/>
                <w:sz w:val="26"/>
                <w:szCs w:val="26"/>
              </w:rPr>
              <w:t>,</w:t>
            </w:r>
            <w:r w:rsidRPr="00697C03">
              <w:rPr>
                <w:rFonts w:ascii="標楷體" w:hAnsi="標楷體" w:cs="新細明體" w:hint="eastAsia"/>
                <w:sz w:val="26"/>
                <w:szCs w:val="26"/>
              </w:rPr>
              <w:t>972</w:t>
            </w:r>
          </w:p>
        </w:tc>
        <w:tc>
          <w:tcPr>
            <w:tcW w:w="1564"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1</w:t>
            </w:r>
            <w:r w:rsidRPr="00697C03">
              <w:rPr>
                <w:rFonts w:ascii="標楷體" w:hAnsi="標楷體" w:cs="新細明體"/>
                <w:sz w:val="26"/>
                <w:szCs w:val="26"/>
              </w:rPr>
              <w:t>,</w:t>
            </w:r>
            <w:r w:rsidRPr="00697C03">
              <w:rPr>
                <w:rFonts w:ascii="標楷體" w:hAnsi="標楷體" w:cs="新細明體" w:hint="eastAsia"/>
                <w:sz w:val="26"/>
                <w:szCs w:val="26"/>
              </w:rPr>
              <w:t>826</w:t>
            </w:r>
          </w:p>
        </w:tc>
        <w:tc>
          <w:tcPr>
            <w:tcW w:w="1565"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1</w:t>
            </w:r>
            <w:r w:rsidRPr="00697C03">
              <w:rPr>
                <w:rFonts w:ascii="標楷體" w:hAnsi="標楷體" w:cs="新細明體"/>
                <w:sz w:val="26"/>
                <w:szCs w:val="26"/>
              </w:rPr>
              <w:t>,</w:t>
            </w:r>
            <w:r w:rsidRPr="00697C03">
              <w:rPr>
                <w:rFonts w:ascii="標楷體" w:hAnsi="標楷體" w:cs="新細明體" w:hint="eastAsia"/>
                <w:sz w:val="26"/>
                <w:szCs w:val="26"/>
              </w:rPr>
              <w:t>475</w:t>
            </w:r>
          </w:p>
        </w:tc>
      </w:tr>
      <w:tr w:rsidR="00697C03" w:rsidRPr="00697C03" w:rsidTr="00BF41DE">
        <w:trPr>
          <w:trHeight w:val="324"/>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406A77" w:rsidRPr="00697C03" w:rsidRDefault="00406A77" w:rsidP="00BF41DE">
            <w:pPr>
              <w:spacing w:line="0" w:lineRule="atLeast"/>
              <w:jc w:val="center"/>
              <w:rPr>
                <w:rFonts w:ascii="標楷體" w:hAnsi="標楷體"/>
                <w:b/>
                <w:sz w:val="26"/>
                <w:szCs w:val="26"/>
              </w:rPr>
            </w:pPr>
            <w:r w:rsidRPr="00697C03">
              <w:rPr>
                <w:rFonts w:ascii="標楷體" w:hAnsi="標楷體" w:hint="eastAsia"/>
                <w:b/>
                <w:sz w:val="26"/>
                <w:szCs w:val="26"/>
              </w:rPr>
              <w:t>建教合作</w:t>
            </w:r>
          </w:p>
        </w:tc>
        <w:tc>
          <w:tcPr>
            <w:tcW w:w="1564"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1</w:t>
            </w:r>
            <w:r w:rsidRPr="00697C03">
              <w:rPr>
                <w:rFonts w:ascii="標楷體" w:hAnsi="標楷體" w:cs="新細明體"/>
                <w:sz w:val="26"/>
                <w:szCs w:val="26"/>
              </w:rPr>
              <w:t>,</w:t>
            </w:r>
            <w:r w:rsidRPr="00697C03">
              <w:rPr>
                <w:rFonts w:ascii="標楷體" w:hAnsi="標楷體" w:cs="新細明體" w:hint="eastAsia"/>
                <w:sz w:val="26"/>
                <w:szCs w:val="26"/>
              </w:rPr>
              <w:t>069</w:t>
            </w:r>
          </w:p>
        </w:tc>
        <w:tc>
          <w:tcPr>
            <w:tcW w:w="1564"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811</w:t>
            </w:r>
          </w:p>
        </w:tc>
        <w:tc>
          <w:tcPr>
            <w:tcW w:w="1565"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812</w:t>
            </w:r>
          </w:p>
        </w:tc>
        <w:tc>
          <w:tcPr>
            <w:tcW w:w="1564"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841</w:t>
            </w:r>
          </w:p>
        </w:tc>
        <w:tc>
          <w:tcPr>
            <w:tcW w:w="1565"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656</w:t>
            </w:r>
          </w:p>
        </w:tc>
      </w:tr>
      <w:tr w:rsidR="00697C03" w:rsidRPr="00697C03" w:rsidTr="000A5E93">
        <w:trPr>
          <w:trHeight w:val="66"/>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406A77" w:rsidRPr="00697C03" w:rsidRDefault="00406A77" w:rsidP="00BF41DE">
            <w:pPr>
              <w:spacing w:line="0" w:lineRule="atLeast"/>
              <w:jc w:val="center"/>
              <w:rPr>
                <w:rFonts w:ascii="標楷體" w:hAnsi="標楷體"/>
                <w:b/>
                <w:sz w:val="26"/>
                <w:szCs w:val="26"/>
              </w:rPr>
            </w:pPr>
            <w:r w:rsidRPr="00697C03">
              <w:rPr>
                <w:rFonts w:ascii="標楷體" w:hAnsi="標楷體" w:hint="eastAsia"/>
                <w:b/>
                <w:sz w:val="26"/>
                <w:szCs w:val="26"/>
              </w:rPr>
              <w:t>進修部</w:t>
            </w:r>
          </w:p>
        </w:tc>
        <w:tc>
          <w:tcPr>
            <w:tcW w:w="1564"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sz w:val="26"/>
                <w:szCs w:val="26"/>
              </w:rPr>
              <w:t>5,921</w:t>
            </w:r>
          </w:p>
        </w:tc>
        <w:tc>
          <w:tcPr>
            <w:tcW w:w="1564"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5</w:t>
            </w:r>
            <w:r w:rsidRPr="00697C03">
              <w:rPr>
                <w:rFonts w:ascii="標楷體" w:hAnsi="標楷體" w:cs="新細明體"/>
                <w:sz w:val="26"/>
                <w:szCs w:val="26"/>
              </w:rPr>
              <w:t>,</w:t>
            </w:r>
            <w:r w:rsidRPr="00697C03">
              <w:rPr>
                <w:rFonts w:ascii="標楷體" w:hAnsi="標楷體" w:cs="新細明體" w:hint="eastAsia"/>
                <w:sz w:val="26"/>
                <w:szCs w:val="26"/>
              </w:rPr>
              <w:t>4</w:t>
            </w:r>
            <w:r w:rsidRPr="00697C03">
              <w:rPr>
                <w:rFonts w:ascii="標楷體" w:hAnsi="標楷體" w:cs="新細明體"/>
                <w:sz w:val="26"/>
                <w:szCs w:val="26"/>
              </w:rPr>
              <w:t>47</w:t>
            </w:r>
          </w:p>
        </w:tc>
        <w:tc>
          <w:tcPr>
            <w:tcW w:w="1565"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5</w:t>
            </w:r>
            <w:r w:rsidRPr="00697C03">
              <w:rPr>
                <w:rFonts w:ascii="標楷體" w:hAnsi="標楷體" w:cs="新細明體"/>
                <w:sz w:val="26"/>
                <w:szCs w:val="26"/>
              </w:rPr>
              <w:t>,</w:t>
            </w:r>
            <w:r w:rsidRPr="00697C03">
              <w:rPr>
                <w:rFonts w:ascii="標楷體" w:hAnsi="標楷體" w:cs="新細明體" w:hint="eastAsia"/>
                <w:sz w:val="26"/>
                <w:szCs w:val="26"/>
              </w:rPr>
              <w:t>0</w:t>
            </w:r>
            <w:r w:rsidRPr="00697C03">
              <w:rPr>
                <w:rFonts w:ascii="標楷體" w:hAnsi="標楷體" w:cs="新細明體"/>
                <w:sz w:val="26"/>
                <w:szCs w:val="26"/>
              </w:rPr>
              <w:t>50</w:t>
            </w:r>
          </w:p>
        </w:tc>
        <w:tc>
          <w:tcPr>
            <w:tcW w:w="1564"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sz w:val="26"/>
                <w:szCs w:val="26"/>
              </w:rPr>
              <w:t>4,560</w:t>
            </w:r>
          </w:p>
        </w:tc>
        <w:tc>
          <w:tcPr>
            <w:tcW w:w="1565"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3</w:t>
            </w:r>
            <w:r w:rsidRPr="00697C03">
              <w:rPr>
                <w:rFonts w:ascii="標楷體" w:hAnsi="標楷體" w:cs="新細明體"/>
                <w:sz w:val="26"/>
                <w:szCs w:val="26"/>
              </w:rPr>
              <w:t>,</w:t>
            </w:r>
            <w:r w:rsidRPr="00697C03">
              <w:rPr>
                <w:rFonts w:ascii="標楷體" w:hAnsi="標楷體" w:cs="新細明體" w:hint="eastAsia"/>
                <w:sz w:val="26"/>
                <w:szCs w:val="26"/>
              </w:rPr>
              <w:t>393</w:t>
            </w:r>
          </w:p>
        </w:tc>
      </w:tr>
      <w:tr w:rsidR="00697C03" w:rsidRPr="00697C03" w:rsidTr="00BF41DE">
        <w:trPr>
          <w:trHeight w:val="324"/>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406A77" w:rsidRPr="00697C03" w:rsidRDefault="00406A77" w:rsidP="00BF41DE">
            <w:pPr>
              <w:spacing w:line="0" w:lineRule="atLeast"/>
              <w:jc w:val="center"/>
              <w:rPr>
                <w:rFonts w:ascii="標楷體" w:hAnsi="標楷體"/>
                <w:b/>
                <w:sz w:val="26"/>
                <w:szCs w:val="26"/>
              </w:rPr>
            </w:pPr>
            <w:r w:rsidRPr="00697C03">
              <w:rPr>
                <w:rFonts w:ascii="標楷體" w:hAnsi="標楷體" w:hint="eastAsia"/>
                <w:b/>
                <w:sz w:val="26"/>
                <w:szCs w:val="26"/>
              </w:rPr>
              <w:t>未填寫</w:t>
            </w:r>
          </w:p>
        </w:tc>
        <w:tc>
          <w:tcPr>
            <w:tcW w:w="1564"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96</w:t>
            </w:r>
          </w:p>
        </w:tc>
        <w:tc>
          <w:tcPr>
            <w:tcW w:w="1564"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162</w:t>
            </w:r>
          </w:p>
        </w:tc>
        <w:tc>
          <w:tcPr>
            <w:tcW w:w="1565"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55</w:t>
            </w:r>
          </w:p>
        </w:tc>
        <w:tc>
          <w:tcPr>
            <w:tcW w:w="1564"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250</w:t>
            </w:r>
          </w:p>
        </w:tc>
        <w:tc>
          <w:tcPr>
            <w:tcW w:w="1565"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0</w:t>
            </w:r>
          </w:p>
        </w:tc>
      </w:tr>
      <w:tr w:rsidR="00697C03" w:rsidRPr="00697C03" w:rsidTr="00BF41DE">
        <w:trPr>
          <w:trHeight w:val="324"/>
          <w:jc w:val="center"/>
        </w:trPr>
        <w:tc>
          <w:tcPr>
            <w:tcW w:w="1420" w:type="dxa"/>
            <w:tcBorders>
              <w:top w:val="nil"/>
              <w:left w:val="single" w:sz="4" w:space="0" w:color="auto"/>
              <w:bottom w:val="single" w:sz="4" w:space="0" w:color="auto"/>
              <w:right w:val="single" w:sz="4" w:space="0" w:color="auto"/>
            </w:tcBorders>
            <w:shd w:val="clear" w:color="auto" w:fill="D0CECE"/>
            <w:noWrap/>
            <w:vAlign w:val="center"/>
            <w:hideMark/>
          </w:tcPr>
          <w:p w:rsidR="00240E41" w:rsidRPr="00697C03" w:rsidRDefault="00406A77" w:rsidP="00BF41DE">
            <w:pPr>
              <w:spacing w:line="0" w:lineRule="atLeast"/>
              <w:jc w:val="center"/>
              <w:rPr>
                <w:rFonts w:ascii="標楷體" w:hAnsi="標楷體"/>
                <w:b/>
                <w:sz w:val="26"/>
                <w:szCs w:val="26"/>
              </w:rPr>
            </w:pPr>
            <w:r w:rsidRPr="00697C03">
              <w:rPr>
                <w:rFonts w:ascii="標楷體" w:hAnsi="標楷體" w:hint="eastAsia"/>
                <w:b/>
                <w:sz w:val="26"/>
                <w:szCs w:val="26"/>
              </w:rPr>
              <w:t>學制別</w:t>
            </w:r>
          </w:p>
          <w:p w:rsidR="00406A77" w:rsidRPr="00697C03" w:rsidRDefault="00406A77" w:rsidP="00BF41DE">
            <w:pPr>
              <w:spacing w:line="0" w:lineRule="atLeast"/>
              <w:jc w:val="center"/>
              <w:rPr>
                <w:rFonts w:ascii="標楷體" w:hAnsi="標楷體"/>
                <w:b/>
                <w:sz w:val="26"/>
                <w:szCs w:val="26"/>
              </w:rPr>
            </w:pPr>
            <w:r w:rsidRPr="00697C03">
              <w:rPr>
                <w:rFonts w:ascii="標楷體" w:hAnsi="標楷體" w:hint="eastAsia"/>
                <w:b/>
                <w:sz w:val="26"/>
                <w:szCs w:val="26"/>
              </w:rPr>
              <w:t>總計</w:t>
            </w:r>
          </w:p>
        </w:tc>
        <w:tc>
          <w:tcPr>
            <w:tcW w:w="1564" w:type="dxa"/>
            <w:tcBorders>
              <w:top w:val="nil"/>
              <w:left w:val="nil"/>
              <w:bottom w:val="single" w:sz="4" w:space="0" w:color="auto"/>
              <w:right w:val="single" w:sz="4" w:space="0" w:color="auto"/>
            </w:tcBorders>
            <w:shd w:val="clear" w:color="auto" w:fill="D0CECE"/>
            <w:vAlign w:val="center"/>
            <w:hideMark/>
          </w:tcPr>
          <w:p w:rsidR="00406A77" w:rsidRPr="00697C03" w:rsidRDefault="00406A77" w:rsidP="000A5E93">
            <w:pPr>
              <w:spacing w:line="0" w:lineRule="atLeast"/>
              <w:jc w:val="right"/>
              <w:rPr>
                <w:rFonts w:ascii="標楷體" w:hAnsi="標楷體" w:cs="新細明體"/>
                <w:b/>
                <w:sz w:val="26"/>
                <w:szCs w:val="26"/>
              </w:rPr>
            </w:pPr>
            <w:r w:rsidRPr="00697C03">
              <w:rPr>
                <w:rFonts w:ascii="標楷體" w:hAnsi="標楷體" w:cs="新細明體"/>
                <w:b/>
                <w:sz w:val="26"/>
                <w:szCs w:val="26"/>
              </w:rPr>
              <w:fldChar w:fldCharType="begin"/>
            </w:r>
            <w:r w:rsidRPr="00697C03">
              <w:rPr>
                <w:rFonts w:ascii="標楷體" w:hAnsi="標楷體" w:cs="新細明體"/>
                <w:b/>
                <w:sz w:val="26"/>
                <w:szCs w:val="26"/>
              </w:rPr>
              <w:instrText xml:space="preserve"> =SUM(ABOVE) </w:instrText>
            </w:r>
            <w:r w:rsidRPr="00697C03">
              <w:rPr>
                <w:rFonts w:ascii="標楷體" w:hAnsi="標楷體" w:cs="新細明體"/>
                <w:b/>
                <w:sz w:val="26"/>
                <w:szCs w:val="26"/>
              </w:rPr>
              <w:fldChar w:fldCharType="separate"/>
            </w:r>
            <w:r w:rsidRPr="00697C03">
              <w:rPr>
                <w:rFonts w:ascii="標楷體" w:hAnsi="標楷體" w:cs="新細明體"/>
                <w:b/>
                <w:noProof/>
                <w:sz w:val="26"/>
                <w:szCs w:val="26"/>
              </w:rPr>
              <w:t>22,864</w:t>
            </w:r>
            <w:r w:rsidRPr="00697C03">
              <w:rPr>
                <w:rFonts w:ascii="標楷體" w:hAnsi="標楷體" w:cs="新細明體"/>
                <w:b/>
                <w:sz w:val="26"/>
                <w:szCs w:val="26"/>
              </w:rPr>
              <w:fldChar w:fldCharType="end"/>
            </w:r>
          </w:p>
        </w:tc>
        <w:tc>
          <w:tcPr>
            <w:tcW w:w="1564" w:type="dxa"/>
            <w:tcBorders>
              <w:top w:val="nil"/>
              <w:left w:val="nil"/>
              <w:bottom w:val="single" w:sz="4" w:space="0" w:color="auto"/>
              <w:right w:val="single" w:sz="4" w:space="0" w:color="auto"/>
            </w:tcBorders>
            <w:shd w:val="clear" w:color="auto" w:fill="D0CECE"/>
            <w:vAlign w:val="center"/>
          </w:tcPr>
          <w:p w:rsidR="00406A77" w:rsidRPr="00697C03" w:rsidRDefault="00406A77" w:rsidP="000A5E93">
            <w:pPr>
              <w:spacing w:line="0" w:lineRule="atLeast"/>
              <w:jc w:val="right"/>
              <w:rPr>
                <w:rFonts w:ascii="標楷體" w:hAnsi="標楷體" w:cs="新細明體"/>
                <w:b/>
                <w:sz w:val="26"/>
                <w:szCs w:val="26"/>
              </w:rPr>
            </w:pPr>
            <w:r w:rsidRPr="00697C03">
              <w:rPr>
                <w:rFonts w:ascii="標楷體" w:hAnsi="標楷體" w:cs="新細明體"/>
                <w:b/>
                <w:sz w:val="26"/>
                <w:szCs w:val="26"/>
              </w:rPr>
              <w:fldChar w:fldCharType="begin"/>
            </w:r>
            <w:r w:rsidRPr="00697C03">
              <w:rPr>
                <w:rFonts w:ascii="標楷體" w:hAnsi="標楷體" w:cs="新細明體"/>
                <w:b/>
                <w:sz w:val="26"/>
                <w:szCs w:val="26"/>
              </w:rPr>
              <w:instrText xml:space="preserve"> =SUM(ABOVE) </w:instrText>
            </w:r>
            <w:r w:rsidRPr="00697C03">
              <w:rPr>
                <w:rFonts w:ascii="標楷體" w:hAnsi="標楷體" w:cs="新細明體"/>
                <w:b/>
                <w:sz w:val="26"/>
                <w:szCs w:val="26"/>
              </w:rPr>
              <w:fldChar w:fldCharType="separate"/>
            </w:r>
            <w:r w:rsidRPr="00697C03">
              <w:rPr>
                <w:rFonts w:ascii="標楷體" w:hAnsi="標楷體" w:cs="新細明體"/>
                <w:b/>
                <w:noProof/>
                <w:sz w:val="26"/>
                <w:szCs w:val="26"/>
              </w:rPr>
              <w:t>21,890</w:t>
            </w:r>
            <w:r w:rsidRPr="00697C03">
              <w:rPr>
                <w:rFonts w:ascii="標楷體" w:hAnsi="標楷體" w:cs="新細明體"/>
                <w:b/>
                <w:sz w:val="26"/>
                <w:szCs w:val="26"/>
              </w:rPr>
              <w:fldChar w:fldCharType="end"/>
            </w:r>
          </w:p>
        </w:tc>
        <w:tc>
          <w:tcPr>
            <w:tcW w:w="1565" w:type="dxa"/>
            <w:tcBorders>
              <w:top w:val="nil"/>
              <w:left w:val="nil"/>
              <w:bottom w:val="single" w:sz="4" w:space="0" w:color="auto"/>
              <w:right w:val="single" w:sz="4" w:space="0" w:color="auto"/>
            </w:tcBorders>
            <w:shd w:val="clear" w:color="auto" w:fill="D0CECE"/>
            <w:vAlign w:val="center"/>
          </w:tcPr>
          <w:p w:rsidR="00406A77" w:rsidRPr="00697C03" w:rsidRDefault="00406A77" w:rsidP="000A5E93">
            <w:pPr>
              <w:spacing w:line="0" w:lineRule="atLeast"/>
              <w:jc w:val="right"/>
              <w:rPr>
                <w:rFonts w:ascii="標楷體" w:hAnsi="標楷體" w:cs="新細明體"/>
                <w:b/>
                <w:sz w:val="26"/>
                <w:szCs w:val="26"/>
              </w:rPr>
            </w:pPr>
            <w:r w:rsidRPr="00697C03">
              <w:rPr>
                <w:rFonts w:ascii="標楷體" w:hAnsi="標楷體" w:cs="新細明體"/>
                <w:b/>
                <w:sz w:val="26"/>
                <w:szCs w:val="26"/>
              </w:rPr>
              <w:fldChar w:fldCharType="begin"/>
            </w:r>
            <w:r w:rsidRPr="00697C03">
              <w:rPr>
                <w:rFonts w:ascii="標楷體" w:hAnsi="標楷體" w:cs="新細明體"/>
                <w:b/>
                <w:sz w:val="26"/>
                <w:szCs w:val="26"/>
              </w:rPr>
              <w:instrText xml:space="preserve"> =SUM(ABOVE) </w:instrText>
            </w:r>
            <w:r w:rsidRPr="00697C03">
              <w:rPr>
                <w:rFonts w:ascii="標楷體" w:hAnsi="標楷體" w:cs="新細明體"/>
                <w:b/>
                <w:sz w:val="26"/>
                <w:szCs w:val="26"/>
              </w:rPr>
              <w:fldChar w:fldCharType="separate"/>
            </w:r>
            <w:r w:rsidRPr="00697C03">
              <w:rPr>
                <w:rFonts w:ascii="標楷體" w:hAnsi="標楷體" w:cs="新細明體"/>
                <w:b/>
                <w:noProof/>
                <w:sz w:val="26"/>
                <w:szCs w:val="26"/>
              </w:rPr>
              <w:t>21,615</w:t>
            </w:r>
            <w:r w:rsidRPr="00697C03">
              <w:rPr>
                <w:rFonts w:ascii="標楷體" w:hAnsi="標楷體" w:cs="新細明體"/>
                <w:b/>
                <w:sz w:val="26"/>
                <w:szCs w:val="26"/>
              </w:rPr>
              <w:fldChar w:fldCharType="end"/>
            </w:r>
          </w:p>
        </w:tc>
        <w:tc>
          <w:tcPr>
            <w:tcW w:w="1564" w:type="dxa"/>
            <w:tcBorders>
              <w:top w:val="nil"/>
              <w:left w:val="nil"/>
              <w:bottom w:val="single" w:sz="4" w:space="0" w:color="auto"/>
              <w:right w:val="single" w:sz="4" w:space="0" w:color="auto"/>
            </w:tcBorders>
            <w:shd w:val="clear" w:color="auto" w:fill="D0CECE"/>
            <w:vAlign w:val="center"/>
          </w:tcPr>
          <w:p w:rsidR="00406A77" w:rsidRPr="00697C03" w:rsidRDefault="00406A77" w:rsidP="000A5E93">
            <w:pPr>
              <w:spacing w:line="0" w:lineRule="atLeast"/>
              <w:jc w:val="right"/>
              <w:rPr>
                <w:rFonts w:ascii="標楷體" w:hAnsi="標楷體" w:cs="新細明體"/>
                <w:b/>
                <w:sz w:val="26"/>
                <w:szCs w:val="26"/>
              </w:rPr>
            </w:pPr>
            <w:r w:rsidRPr="00697C03">
              <w:rPr>
                <w:rFonts w:ascii="標楷體" w:hAnsi="標楷體" w:cs="新細明體"/>
                <w:b/>
                <w:sz w:val="26"/>
                <w:szCs w:val="26"/>
              </w:rPr>
              <w:fldChar w:fldCharType="begin"/>
            </w:r>
            <w:r w:rsidRPr="00697C03">
              <w:rPr>
                <w:rFonts w:ascii="標楷體" w:hAnsi="標楷體" w:cs="新細明體"/>
                <w:b/>
                <w:sz w:val="26"/>
                <w:szCs w:val="26"/>
              </w:rPr>
              <w:instrText xml:space="preserve"> =SUM(ABOVE) </w:instrText>
            </w:r>
            <w:r w:rsidRPr="00697C03">
              <w:rPr>
                <w:rFonts w:ascii="標楷體" w:hAnsi="標楷體" w:cs="新細明體"/>
                <w:b/>
                <w:sz w:val="26"/>
                <w:szCs w:val="26"/>
              </w:rPr>
              <w:fldChar w:fldCharType="separate"/>
            </w:r>
            <w:r w:rsidRPr="00697C03">
              <w:rPr>
                <w:rFonts w:ascii="標楷體" w:hAnsi="標楷體" w:cs="新細明體"/>
                <w:b/>
                <w:noProof/>
                <w:sz w:val="26"/>
                <w:szCs w:val="26"/>
              </w:rPr>
              <w:t>20,282</w:t>
            </w:r>
            <w:r w:rsidRPr="00697C03">
              <w:rPr>
                <w:rFonts w:ascii="標楷體" w:hAnsi="標楷體" w:cs="新細明體"/>
                <w:b/>
                <w:sz w:val="26"/>
                <w:szCs w:val="26"/>
              </w:rPr>
              <w:fldChar w:fldCharType="end"/>
            </w:r>
          </w:p>
        </w:tc>
        <w:tc>
          <w:tcPr>
            <w:tcW w:w="1565" w:type="dxa"/>
            <w:tcBorders>
              <w:top w:val="nil"/>
              <w:left w:val="nil"/>
              <w:bottom w:val="single" w:sz="4" w:space="0" w:color="auto"/>
              <w:right w:val="single" w:sz="4" w:space="0" w:color="auto"/>
            </w:tcBorders>
            <w:shd w:val="clear" w:color="auto" w:fill="D0CECE"/>
            <w:vAlign w:val="center"/>
          </w:tcPr>
          <w:p w:rsidR="00406A77" w:rsidRPr="00697C03" w:rsidRDefault="00406A77" w:rsidP="000A5E93">
            <w:pPr>
              <w:spacing w:line="0" w:lineRule="atLeast"/>
              <w:jc w:val="right"/>
              <w:rPr>
                <w:rFonts w:ascii="標楷體" w:hAnsi="標楷體" w:cs="新細明體"/>
                <w:b/>
                <w:sz w:val="26"/>
                <w:szCs w:val="26"/>
              </w:rPr>
            </w:pPr>
            <w:r w:rsidRPr="00697C03">
              <w:rPr>
                <w:rFonts w:ascii="標楷體" w:hAnsi="標楷體" w:cs="新細明體"/>
                <w:b/>
                <w:sz w:val="26"/>
                <w:szCs w:val="26"/>
              </w:rPr>
              <w:fldChar w:fldCharType="begin"/>
            </w:r>
            <w:r w:rsidRPr="00697C03">
              <w:rPr>
                <w:rFonts w:ascii="標楷體" w:hAnsi="標楷體" w:cs="新細明體"/>
                <w:b/>
                <w:sz w:val="26"/>
                <w:szCs w:val="26"/>
              </w:rPr>
              <w:instrText xml:space="preserve"> =SUM(ABOVE) </w:instrText>
            </w:r>
            <w:r w:rsidRPr="00697C03">
              <w:rPr>
                <w:rFonts w:ascii="標楷體" w:hAnsi="標楷體" w:cs="新細明體"/>
                <w:b/>
                <w:sz w:val="26"/>
                <w:szCs w:val="26"/>
              </w:rPr>
              <w:fldChar w:fldCharType="separate"/>
            </w:r>
            <w:r w:rsidRPr="00697C03">
              <w:rPr>
                <w:rFonts w:ascii="標楷體" w:hAnsi="標楷體" w:cs="新細明體"/>
                <w:b/>
                <w:noProof/>
                <w:sz w:val="26"/>
                <w:szCs w:val="26"/>
              </w:rPr>
              <w:t>16,689</w:t>
            </w:r>
            <w:r w:rsidRPr="00697C03">
              <w:rPr>
                <w:rFonts w:ascii="標楷體" w:hAnsi="標楷體" w:cs="新細明體"/>
                <w:b/>
                <w:sz w:val="26"/>
                <w:szCs w:val="26"/>
              </w:rPr>
              <w:fldChar w:fldCharType="end"/>
            </w:r>
          </w:p>
        </w:tc>
      </w:tr>
      <w:tr w:rsidR="00697C03" w:rsidRPr="00697C03" w:rsidTr="00BF41DE">
        <w:trPr>
          <w:trHeight w:val="324"/>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406A77" w:rsidRPr="00697C03" w:rsidRDefault="00406A77" w:rsidP="00BF41DE">
            <w:pPr>
              <w:spacing w:line="0" w:lineRule="atLeast"/>
              <w:jc w:val="center"/>
              <w:rPr>
                <w:rFonts w:ascii="標楷體" w:hAnsi="標楷體"/>
                <w:b/>
                <w:sz w:val="26"/>
                <w:szCs w:val="26"/>
              </w:rPr>
            </w:pPr>
            <w:r w:rsidRPr="00697C03">
              <w:rPr>
                <w:rFonts w:ascii="標楷體" w:hAnsi="標楷體" w:hint="eastAsia"/>
                <w:b/>
                <w:sz w:val="26"/>
                <w:szCs w:val="26"/>
              </w:rPr>
              <w:t>國立</w:t>
            </w:r>
          </w:p>
        </w:tc>
        <w:tc>
          <w:tcPr>
            <w:tcW w:w="1564"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4</w:t>
            </w:r>
            <w:r w:rsidRPr="00697C03">
              <w:rPr>
                <w:rFonts w:ascii="標楷體" w:hAnsi="標楷體" w:cs="新細明體"/>
                <w:sz w:val="26"/>
                <w:szCs w:val="26"/>
              </w:rPr>
              <w:t>,</w:t>
            </w:r>
            <w:r w:rsidRPr="00697C03">
              <w:rPr>
                <w:rFonts w:ascii="標楷體" w:hAnsi="標楷體" w:cs="新細明體" w:hint="eastAsia"/>
                <w:sz w:val="26"/>
                <w:szCs w:val="26"/>
              </w:rPr>
              <w:t>574</w:t>
            </w:r>
          </w:p>
        </w:tc>
        <w:tc>
          <w:tcPr>
            <w:tcW w:w="1564"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4</w:t>
            </w:r>
            <w:r w:rsidRPr="00697C03">
              <w:rPr>
                <w:rFonts w:ascii="標楷體" w:hAnsi="標楷體" w:cs="新細明體"/>
                <w:sz w:val="26"/>
                <w:szCs w:val="26"/>
              </w:rPr>
              <w:t>,</w:t>
            </w:r>
            <w:r w:rsidRPr="00697C03">
              <w:rPr>
                <w:rFonts w:ascii="標楷體" w:hAnsi="標楷體" w:cs="新細明體" w:hint="eastAsia"/>
                <w:sz w:val="26"/>
                <w:szCs w:val="26"/>
              </w:rPr>
              <w:t>610</w:t>
            </w:r>
          </w:p>
        </w:tc>
        <w:tc>
          <w:tcPr>
            <w:tcW w:w="1565"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4</w:t>
            </w:r>
            <w:r w:rsidRPr="00697C03">
              <w:rPr>
                <w:rFonts w:ascii="標楷體" w:hAnsi="標楷體" w:cs="新細明體"/>
                <w:sz w:val="26"/>
                <w:szCs w:val="26"/>
              </w:rPr>
              <w:t>,</w:t>
            </w:r>
            <w:r w:rsidRPr="00697C03">
              <w:rPr>
                <w:rFonts w:ascii="標楷體" w:hAnsi="標楷體" w:cs="新細明體" w:hint="eastAsia"/>
                <w:sz w:val="26"/>
                <w:szCs w:val="26"/>
              </w:rPr>
              <w:t>261</w:t>
            </w:r>
          </w:p>
        </w:tc>
        <w:tc>
          <w:tcPr>
            <w:tcW w:w="1564"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4</w:t>
            </w:r>
            <w:r w:rsidRPr="00697C03">
              <w:rPr>
                <w:rFonts w:ascii="標楷體" w:hAnsi="標楷體" w:cs="新細明體"/>
                <w:sz w:val="26"/>
                <w:szCs w:val="26"/>
              </w:rPr>
              <w:t>,</w:t>
            </w:r>
            <w:r w:rsidRPr="00697C03">
              <w:rPr>
                <w:rFonts w:ascii="標楷體" w:hAnsi="標楷體" w:cs="新細明體" w:hint="eastAsia"/>
                <w:sz w:val="26"/>
                <w:szCs w:val="26"/>
              </w:rPr>
              <w:t>118</w:t>
            </w:r>
          </w:p>
        </w:tc>
        <w:tc>
          <w:tcPr>
            <w:tcW w:w="1565"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3</w:t>
            </w:r>
            <w:r w:rsidRPr="00697C03">
              <w:rPr>
                <w:rFonts w:ascii="標楷體" w:hAnsi="標楷體" w:cs="新細明體"/>
                <w:sz w:val="26"/>
                <w:szCs w:val="26"/>
              </w:rPr>
              <w:t>,</w:t>
            </w:r>
            <w:r w:rsidRPr="00697C03">
              <w:rPr>
                <w:rFonts w:ascii="標楷體" w:hAnsi="標楷體" w:cs="新細明體" w:hint="eastAsia"/>
                <w:sz w:val="26"/>
                <w:szCs w:val="26"/>
              </w:rPr>
              <w:t>666</w:t>
            </w:r>
          </w:p>
        </w:tc>
      </w:tr>
      <w:tr w:rsidR="00697C03" w:rsidRPr="00697C03" w:rsidTr="00BF41DE">
        <w:trPr>
          <w:trHeight w:val="324"/>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406A77" w:rsidRPr="00697C03" w:rsidRDefault="00406A77" w:rsidP="00BF41DE">
            <w:pPr>
              <w:spacing w:line="0" w:lineRule="atLeast"/>
              <w:jc w:val="center"/>
              <w:rPr>
                <w:rFonts w:ascii="標楷體" w:hAnsi="標楷體"/>
                <w:b/>
                <w:sz w:val="26"/>
                <w:szCs w:val="26"/>
              </w:rPr>
            </w:pPr>
            <w:r w:rsidRPr="00697C03">
              <w:rPr>
                <w:rFonts w:ascii="標楷體" w:hAnsi="標楷體" w:hint="eastAsia"/>
                <w:b/>
                <w:sz w:val="26"/>
                <w:szCs w:val="26"/>
              </w:rPr>
              <w:t>縣市立</w:t>
            </w:r>
          </w:p>
        </w:tc>
        <w:tc>
          <w:tcPr>
            <w:tcW w:w="1564"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3</w:t>
            </w:r>
            <w:r w:rsidRPr="00697C03">
              <w:rPr>
                <w:rFonts w:ascii="標楷體" w:hAnsi="標楷體" w:cs="新細明體"/>
                <w:sz w:val="26"/>
                <w:szCs w:val="26"/>
              </w:rPr>
              <w:t>,</w:t>
            </w:r>
            <w:r w:rsidRPr="00697C03">
              <w:rPr>
                <w:rFonts w:ascii="標楷體" w:hAnsi="標楷體" w:cs="新細明體" w:hint="eastAsia"/>
                <w:sz w:val="26"/>
                <w:szCs w:val="26"/>
              </w:rPr>
              <w:t>705</w:t>
            </w:r>
          </w:p>
        </w:tc>
        <w:tc>
          <w:tcPr>
            <w:tcW w:w="1564"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3</w:t>
            </w:r>
            <w:r w:rsidRPr="00697C03">
              <w:rPr>
                <w:rFonts w:ascii="標楷體" w:hAnsi="標楷體" w:cs="新細明體"/>
                <w:sz w:val="26"/>
                <w:szCs w:val="26"/>
              </w:rPr>
              <w:t>,</w:t>
            </w:r>
            <w:r w:rsidRPr="00697C03">
              <w:rPr>
                <w:rFonts w:ascii="標楷體" w:hAnsi="標楷體" w:cs="新細明體" w:hint="eastAsia"/>
                <w:sz w:val="26"/>
                <w:szCs w:val="26"/>
              </w:rPr>
              <w:t>421</w:t>
            </w:r>
          </w:p>
        </w:tc>
        <w:tc>
          <w:tcPr>
            <w:tcW w:w="1565"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3</w:t>
            </w:r>
            <w:r w:rsidRPr="00697C03">
              <w:rPr>
                <w:rFonts w:ascii="標楷體" w:hAnsi="標楷體" w:cs="新細明體"/>
                <w:sz w:val="26"/>
                <w:szCs w:val="26"/>
              </w:rPr>
              <w:t>,</w:t>
            </w:r>
            <w:r w:rsidRPr="00697C03">
              <w:rPr>
                <w:rFonts w:ascii="標楷體" w:hAnsi="標楷體" w:cs="新細明體" w:hint="eastAsia"/>
                <w:sz w:val="26"/>
                <w:szCs w:val="26"/>
              </w:rPr>
              <w:t>615</w:t>
            </w:r>
          </w:p>
        </w:tc>
        <w:tc>
          <w:tcPr>
            <w:tcW w:w="1564"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3</w:t>
            </w:r>
            <w:r w:rsidRPr="00697C03">
              <w:rPr>
                <w:rFonts w:ascii="標楷體" w:hAnsi="標楷體" w:cs="新細明體"/>
                <w:sz w:val="26"/>
                <w:szCs w:val="26"/>
              </w:rPr>
              <w:t>,</w:t>
            </w:r>
            <w:r w:rsidRPr="00697C03">
              <w:rPr>
                <w:rFonts w:ascii="標楷體" w:hAnsi="標楷體" w:cs="新細明體" w:hint="eastAsia"/>
                <w:sz w:val="26"/>
                <w:szCs w:val="26"/>
              </w:rPr>
              <w:t>344</w:t>
            </w:r>
          </w:p>
        </w:tc>
        <w:tc>
          <w:tcPr>
            <w:tcW w:w="1565"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3</w:t>
            </w:r>
            <w:r w:rsidRPr="00697C03">
              <w:rPr>
                <w:rFonts w:ascii="標楷體" w:hAnsi="標楷體" w:cs="新細明體"/>
                <w:sz w:val="26"/>
                <w:szCs w:val="26"/>
              </w:rPr>
              <w:t>,</w:t>
            </w:r>
            <w:r w:rsidRPr="00697C03">
              <w:rPr>
                <w:rFonts w:ascii="標楷體" w:hAnsi="標楷體" w:cs="新細明體" w:hint="eastAsia"/>
                <w:sz w:val="26"/>
                <w:szCs w:val="26"/>
              </w:rPr>
              <w:t>166</w:t>
            </w:r>
          </w:p>
        </w:tc>
      </w:tr>
      <w:tr w:rsidR="00697C03" w:rsidRPr="00697C03" w:rsidTr="00BF41DE">
        <w:trPr>
          <w:trHeight w:val="324"/>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406A77" w:rsidRPr="00697C03" w:rsidRDefault="00406A77" w:rsidP="00BF41DE">
            <w:pPr>
              <w:spacing w:line="0" w:lineRule="atLeast"/>
              <w:jc w:val="center"/>
              <w:rPr>
                <w:rFonts w:ascii="標楷體" w:hAnsi="標楷體"/>
                <w:b/>
                <w:sz w:val="26"/>
                <w:szCs w:val="26"/>
              </w:rPr>
            </w:pPr>
            <w:r w:rsidRPr="00697C03">
              <w:rPr>
                <w:rFonts w:ascii="標楷體" w:hAnsi="標楷體" w:hint="eastAsia"/>
                <w:b/>
                <w:sz w:val="26"/>
                <w:szCs w:val="26"/>
              </w:rPr>
              <w:t>私立</w:t>
            </w:r>
          </w:p>
        </w:tc>
        <w:tc>
          <w:tcPr>
            <w:tcW w:w="1564"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14</w:t>
            </w:r>
            <w:r w:rsidRPr="00697C03">
              <w:rPr>
                <w:rFonts w:ascii="標楷體" w:hAnsi="標楷體" w:cs="新細明體"/>
                <w:sz w:val="26"/>
                <w:szCs w:val="26"/>
              </w:rPr>
              <w:t>,585</w:t>
            </w:r>
          </w:p>
        </w:tc>
        <w:tc>
          <w:tcPr>
            <w:tcW w:w="1564"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13</w:t>
            </w:r>
            <w:r w:rsidRPr="00697C03">
              <w:rPr>
                <w:rFonts w:ascii="標楷體" w:hAnsi="標楷體" w:cs="新細明體"/>
                <w:sz w:val="26"/>
                <w:szCs w:val="26"/>
              </w:rPr>
              <w:t>,</w:t>
            </w:r>
            <w:r w:rsidRPr="00697C03">
              <w:rPr>
                <w:rFonts w:ascii="標楷體" w:hAnsi="標楷體" w:cs="新細明體" w:hint="eastAsia"/>
                <w:sz w:val="26"/>
                <w:szCs w:val="26"/>
              </w:rPr>
              <w:t>8</w:t>
            </w:r>
            <w:r w:rsidRPr="00697C03">
              <w:rPr>
                <w:rFonts w:ascii="標楷體" w:hAnsi="標楷體" w:cs="新細明體"/>
                <w:sz w:val="26"/>
                <w:szCs w:val="26"/>
              </w:rPr>
              <w:t>59</w:t>
            </w:r>
          </w:p>
        </w:tc>
        <w:tc>
          <w:tcPr>
            <w:tcW w:w="1565"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13</w:t>
            </w:r>
            <w:r w:rsidRPr="00697C03">
              <w:rPr>
                <w:rFonts w:ascii="標楷體" w:hAnsi="標楷體" w:cs="新細明體"/>
                <w:sz w:val="26"/>
                <w:szCs w:val="26"/>
              </w:rPr>
              <w:t>,</w:t>
            </w:r>
            <w:r w:rsidRPr="00697C03">
              <w:rPr>
                <w:rFonts w:ascii="標楷體" w:hAnsi="標楷體" w:cs="新細明體" w:hint="eastAsia"/>
                <w:sz w:val="26"/>
                <w:szCs w:val="26"/>
              </w:rPr>
              <w:t>7</w:t>
            </w:r>
            <w:r w:rsidRPr="00697C03">
              <w:rPr>
                <w:rFonts w:ascii="標楷體" w:hAnsi="標楷體" w:cs="新細明體"/>
                <w:sz w:val="26"/>
                <w:szCs w:val="26"/>
              </w:rPr>
              <w:t>39</w:t>
            </w:r>
          </w:p>
        </w:tc>
        <w:tc>
          <w:tcPr>
            <w:tcW w:w="1564"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12</w:t>
            </w:r>
            <w:r w:rsidRPr="00697C03">
              <w:rPr>
                <w:rFonts w:ascii="標楷體" w:hAnsi="標楷體" w:cs="新細明體"/>
                <w:sz w:val="26"/>
                <w:szCs w:val="26"/>
              </w:rPr>
              <w:t>,</w:t>
            </w:r>
            <w:r w:rsidRPr="00697C03">
              <w:rPr>
                <w:rFonts w:ascii="標楷體" w:hAnsi="標楷體" w:cs="新細明體" w:hint="eastAsia"/>
                <w:sz w:val="26"/>
                <w:szCs w:val="26"/>
              </w:rPr>
              <w:t>8</w:t>
            </w:r>
            <w:r w:rsidRPr="00697C03">
              <w:rPr>
                <w:rFonts w:ascii="標楷體" w:hAnsi="標楷體" w:cs="新細明體"/>
                <w:sz w:val="26"/>
                <w:szCs w:val="26"/>
              </w:rPr>
              <w:t>20</w:t>
            </w:r>
          </w:p>
        </w:tc>
        <w:tc>
          <w:tcPr>
            <w:tcW w:w="1565" w:type="dxa"/>
            <w:tcBorders>
              <w:top w:val="nil"/>
              <w:left w:val="nil"/>
              <w:bottom w:val="single" w:sz="4" w:space="0" w:color="auto"/>
              <w:right w:val="single" w:sz="4" w:space="0" w:color="auto"/>
            </w:tcBorders>
            <w:shd w:val="clear" w:color="auto" w:fill="auto"/>
            <w:vAlign w:val="center"/>
            <w:hideMark/>
          </w:tcPr>
          <w:p w:rsidR="00406A77" w:rsidRPr="00697C03" w:rsidRDefault="00406A77" w:rsidP="000A5E93">
            <w:pPr>
              <w:spacing w:line="0" w:lineRule="atLeast"/>
              <w:jc w:val="right"/>
              <w:rPr>
                <w:rFonts w:ascii="標楷體" w:hAnsi="標楷體" w:cs="新細明體"/>
                <w:sz w:val="26"/>
                <w:szCs w:val="26"/>
              </w:rPr>
            </w:pPr>
            <w:r w:rsidRPr="00697C03">
              <w:rPr>
                <w:rFonts w:ascii="標楷體" w:hAnsi="標楷體" w:cs="新細明體" w:hint="eastAsia"/>
                <w:sz w:val="26"/>
                <w:szCs w:val="26"/>
              </w:rPr>
              <w:t>9</w:t>
            </w:r>
            <w:r w:rsidRPr="00697C03">
              <w:rPr>
                <w:rFonts w:ascii="標楷體" w:hAnsi="標楷體" w:cs="新細明體"/>
                <w:sz w:val="26"/>
                <w:szCs w:val="26"/>
              </w:rPr>
              <w:t>,857</w:t>
            </w:r>
          </w:p>
        </w:tc>
      </w:tr>
      <w:tr w:rsidR="00697C03" w:rsidRPr="00697C03" w:rsidTr="00BF41DE">
        <w:trPr>
          <w:trHeight w:val="324"/>
          <w:jc w:val="center"/>
        </w:trPr>
        <w:tc>
          <w:tcPr>
            <w:tcW w:w="1420" w:type="dxa"/>
            <w:tcBorders>
              <w:top w:val="nil"/>
              <w:left w:val="single" w:sz="4" w:space="0" w:color="auto"/>
              <w:bottom w:val="single" w:sz="4" w:space="0" w:color="auto"/>
              <w:right w:val="single" w:sz="4" w:space="0" w:color="auto"/>
            </w:tcBorders>
            <w:shd w:val="clear" w:color="auto" w:fill="D0CECE"/>
            <w:noWrap/>
            <w:vAlign w:val="center"/>
            <w:hideMark/>
          </w:tcPr>
          <w:p w:rsidR="00406A77" w:rsidRPr="00697C03" w:rsidRDefault="00406A77" w:rsidP="00BF41DE">
            <w:pPr>
              <w:spacing w:line="0" w:lineRule="atLeast"/>
              <w:jc w:val="center"/>
              <w:rPr>
                <w:rFonts w:ascii="標楷體" w:hAnsi="標楷體"/>
                <w:b/>
                <w:sz w:val="26"/>
                <w:szCs w:val="26"/>
              </w:rPr>
            </w:pPr>
            <w:r w:rsidRPr="00697C03">
              <w:rPr>
                <w:rFonts w:ascii="標楷體" w:hAnsi="標楷體" w:hint="eastAsia"/>
                <w:b/>
                <w:sz w:val="26"/>
                <w:szCs w:val="26"/>
              </w:rPr>
              <w:t>總計</w:t>
            </w:r>
          </w:p>
        </w:tc>
        <w:tc>
          <w:tcPr>
            <w:tcW w:w="1564" w:type="dxa"/>
            <w:tcBorders>
              <w:top w:val="nil"/>
              <w:left w:val="nil"/>
              <w:bottom w:val="single" w:sz="4" w:space="0" w:color="auto"/>
              <w:right w:val="single" w:sz="4" w:space="0" w:color="auto"/>
            </w:tcBorders>
            <w:shd w:val="clear" w:color="auto" w:fill="D0CECE"/>
            <w:noWrap/>
            <w:vAlign w:val="center"/>
            <w:hideMark/>
          </w:tcPr>
          <w:p w:rsidR="00406A77" w:rsidRPr="00697C03" w:rsidRDefault="00406A77" w:rsidP="000A5E93">
            <w:pPr>
              <w:spacing w:line="0" w:lineRule="atLeast"/>
              <w:jc w:val="right"/>
              <w:rPr>
                <w:rFonts w:ascii="標楷體" w:hAnsi="標楷體" w:cs="新細明體"/>
                <w:b/>
                <w:sz w:val="26"/>
                <w:szCs w:val="26"/>
              </w:rPr>
            </w:pPr>
            <w:r w:rsidRPr="00697C03">
              <w:rPr>
                <w:rFonts w:ascii="標楷體" w:hAnsi="標楷體" w:cs="新細明體" w:hint="eastAsia"/>
                <w:b/>
                <w:sz w:val="26"/>
                <w:szCs w:val="26"/>
              </w:rPr>
              <w:t>22</w:t>
            </w:r>
            <w:r w:rsidRPr="00697C03">
              <w:rPr>
                <w:rFonts w:ascii="標楷體" w:hAnsi="標楷體" w:cs="新細明體"/>
                <w:b/>
                <w:sz w:val="26"/>
                <w:szCs w:val="26"/>
              </w:rPr>
              <w:t>,</w:t>
            </w:r>
            <w:r w:rsidRPr="00697C03">
              <w:rPr>
                <w:rFonts w:ascii="標楷體" w:hAnsi="標楷體" w:cs="新細明體" w:hint="eastAsia"/>
                <w:b/>
                <w:sz w:val="26"/>
                <w:szCs w:val="26"/>
              </w:rPr>
              <w:t>864</w:t>
            </w:r>
          </w:p>
        </w:tc>
        <w:tc>
          <w:tcPr>
            <w:tcW w:w="1564" w:type="dxa"/>
            <w:tcBorders>
              <w:top w:val="nil"/>
              <w:left w:val="nil"/>
              <w:bottom w:val="single" w:sz="4" w:space="0" w:color="auto"/>
              <w:right w:val="single" w:sz="4" w:space="0" w:color="auto"/>
            </w:tcBorders>
            <w:shd w:val="clear" w:color="auto" w:fill="D0CECE"/>
            <w:noWrap/>
            <w:vAlign w:val="center"/>
            <w:hideMark/>
          </w:tcPr>
          <w:p w:rsidR="00406A77" w:rsidRPr="00697C03" w:rsidRDefault="00406A77" w:rsidP="000A5E93">
            <w:pPr>
              <w:spacing w:line="0" w:lineRule="atLeast"/>
              <w:jc w:val="right"/>
              <w:rPr>
                <w:rFonts w:ascii="標楷體" w:hAnsi="標楷體" w:cs="新細明體"/>
                <w:b/>
                <w:sz w:val="26"/>
                <w:szCs w:val="26"/>
              </w:rPr>
            </w:pPr>
            <w:r w:rsidRPr="00697C03">
              <w:rPr>
                <w:rFonts w:ascii="標楷體" w:hAnsi="標楷體" w:cs="新細明體" w:hint="eastAsia"/>
                <w:b/>
                <w:sz w:val="26"/>
                <w:szCs w:val="26"/>
              </w:rPr>
              <w:t>21</w:t>
            </w:r>
            <w:r w:rsidRPr="00697C03">
              <w:rPr>
                <w:rFonts w:ascii="標楷體" w:hAnsi="標楷體" w:cs="新細明體"/>
                <w:b/>
                <w:sz w:val="26"/>
                <w:szCs w:val="26"/>
              </w:rPr>
              <w:t>,890</w:t>
            </w:r>
          </w:p>
        </w:tc>
        <w:tc>
          <w:tcPr>
            <w:tcW w:w="1565" w:type="dxa"/>
            <w:tcBorders>
              <w:top w:val="nil"/>
              <w:left w:val="nil"/>
              <w:bottom w:val="single" w:sz="4" w:space="0" w:color="auto"/>
              <w:right w:val="single" w:sz="4" w:space="0" w:color="auto"/>
            </w:tcBorders>
            <w:shd w:val="clear" w:color="auto" w:fill="D0CECE"/>
            <w:noWrap/>
            <w:vAlign w:val="center"/>
            <w:hideMark/>
          </w:tcPr>
          <w:p w:rsidR="00406A77" w:rsidRPr="00697C03" w:rsidRDefault="00406A77" w:rsidP="000A5E93">
            <w:pPr>
              <w:spacing w:line="0" w:lineRule="atLeast"/>
              <w:jc w:val="right"/>
              <w:rPr>
                <w:rFonts w:ascii="標楷體" w:hAnsi="標楷體" w:cs="新細明體"/>
                <w:b/>
                <w:sz w:val="26"/>
                <w:szCs w:val="26"/>
              </w:rPr>
            </w:pPr>
            <w:r w:rsidRPr="00697C03">
              <w:rPr>
                <w:rFonts w:ascii="標楷體" w:hAnsi="標楷體" w:cs="新細明體" w:hint="eastAsia"/>
                <w:b/>
                <w:sz w:val="26"/>
                <w:szCs w:val="26"/>
              </w:rPr>
              <w:t>21</w:t>
            </w:r>
            <w:r w:rsidRPr="00697C03">
              <w:rPr>
                <w:rFonts w:ascii="標楷體" w:hAnsi="標楷體" w:cs="新細明體"/>
                <w:b/>
                <w:sz w:val="26"/>
                <w:szCs w:val="26"/>
              </w:rPr>
              <w:t>,</w:t>
            </w:r>
            <w:r w:rsidRPr="00697C03">
              <w:rPr>
                <w:rFonts w:ascii="標楷體" w:hAnsi="標楷體" w:cs="新細明體" w:hint="eastAsia"/>
                <w:b/>
                <w:sz w:val="26"/>
                <w:szCs w:val="26"/>
              </w:rPr>
              <w:t>6</w:t>
            </w:r>
            <w:r w:rsidRPr="00697C03">
              <w:rPr>
                <w:rFonts w:ascii="標楷體" w:hAnsi="標楷體" w:cs="新細明體"/>
                <w:b/>
                <w:sz w:val="26"/>
                <w:szCs w:val="26"/>
              </w:rPr>
              <w:t>15</w:t>
            </w:r>
          </w:p>
        </w:tc>
        <w:tc>
          <w:tcPr>
            <w:tcW w:w="1564" w:type="dxa"/>
            <w:tcBorders>
              <w:top w:val="nil"/>
              <w:left w:val="nil"/>
              <w:bottom w:val="single" w:sz="4" w:space="0" w:color="auto"/>
              <w:right w:val="single" w:sz="4" w:space="0" w:color="auto"/>
            </w:tcBorders>
            <w:shd w:val="clear" w:color="auto" w:fill="D0CECE"/>
            <w:noWrap/>
            <w:vAlign w:val="center"/>
            <w:hideMark/>
          </w:tcPr>
          <w:p w:rsidR="00406A77" w:rsidRPr="00697C03" w:rsidRDefault="00406A77" w:rsidP="000A5E93">
            <w:pPr>
              <w:spacing w:line="0" w:lineRule="atLeast"/>
              <w:jc w:val="right"/>
              <w:rPr>
                <w:rFonts w:ascii="標楷體" w:hAnsi="標楷體" w:cs="新細明體"/>
                <w:b/>
                <w:sz w:val="26"/>
                <w:szCs w:val="26"/>
              </w:rPr>
            </w:pPr>
            <w:r w:rsidRPr="00697C03">
              <w:rPr>
                <w:rFonts w:ascii="標楷體" w:hAnsi="標楷體" w:cs="新細明體" w:hint="eastAsia"/>
                <w:b/>
                <w:sz w:val="26"/>
                <w:szCs w:val="26"/>
              </w:rPr>
              <w:t>20</w:t>
            </w:r>
            <w:r w:rsidRPr="00697C03">
              <w:rPr>
                <w:rFonts w:ascii="標楷體" w:hAnsi="標楷體" w:cs="新細明體"/>
                <w:b/>
                <w:sz w:val="26"/>
                <w:szCs w:val="26"/>
              </w:rPr>
              <w:t>,</w:t>
            </w:r>
            <w:r w:rsidRPr="00697C03">
              <w:rPr>
                <w:rFonts w:ascii="標楷體" w:hAnsi="標楷體" w:cs="新細明體" w:hint="eastAsia"/>
                <w:b/>
                <w:sz w:val="26"/>
                <w:szCs w:val="26"/>
              </w:rPr>
              <w:t>2</w:t>
            </w:r>
            <w:r w:rsidRPr="00697C03">
              <w:rPr>
                <w:rFonts w:ascii="標楷體" w:hAnsi="標楷體" w:cs="新細明體"/>
                <w:b/>
                <w:sz w:val="26"/>
                <w:szCs w:val="26"/>
              </w:rPr>
              <w:t>82</w:t>
            </w:r>
          </w:p>
        </w:tc>
        <w:tc>
          <w:tcPr>
            <w:tcW w:w="1565" w:type="dxa"/>
            <w:tcBorders>
              <w:top w:val="nil"/>
              <w:left w:val="nil"/>
              <w:bottom w:val="single" w:sz="4" w:space="0" w:color="auto"/>
              <w:right w:val="single" w:sz="4" w:space="0" w:color="auto"/>
            </w:tcBorders>
            <w:shd w:val="clear" w:color="auto" w:fill="D0CECE"/>
            <w:noWrap/>
            <w:vAlign w:val="center"/>
            <w:hideMark/>
          </w:tcPr>
          <w:p w:rsidR="00406A77" w:rsidRPr="00697C03" w:rsidRDefault="00406A77" w:rsidP="000A5E93">
            <w:pPr>
              <w:spacing w:line="0" w:lineRule="atLeast"/>
              <w:jc w:val="right"/>
              <w:rPr>
                <w:rFonts w:ascii="標楷體" w:hAnsi="標楷體" w:cs="新細明體"/>
                <w:b/>
                <w:sz w:val="26"/>
                <w:szCs w:val="26"/>
              </w:rPr>
            </w:pPr>
            <w:r w:rsidRPr="00697C03">
              <w:rPr>
                <w:rFonts w:ascii="標楷體" w:hAnsi="標楷體" w:cs="新細明體" w:hint="eastAsia"/>
                <w:b/>
                <w:sz w:val="26"/>
                <w:szCs w:val="26"/>
              </w:rPr>
              <w:t>16</w:t>
            </w:r>
            <w:r w:rsidRPr="00697C03">
              <w:rPr>
                <w:rFonts w:ascii="標楷體" w:hAnsi="標楷體" w:cs="新細明體"/>
                <w:b/>
                <w:sz w:val="26"/>
                <w:szCs w:val="26"/>
              </w:rPr>
              <w:t>,</w:t>
            </w:r>
            <w:r w:rsidRPr="00697C03">
              <w:rPr>
                <w:rFonts w:ascii="標楷體" w:hAnsi="標楷體" w:cs="新細明體" w:hint="eastAsia"/>
                <w:b/>
                <w:sz w:val="26"/>
                <w:szCs w:val="26"/>
              </w:rPr>
              <w:t>6</w:t>
            </w:r>
            <w:r w:rsidRPr="00697C03">
              <w:rPr>
                <w:rFonts w:ascii="標楷體" w:hAnsi="標楷體" w:cs="新細明體"/>
                <w:b/>
                <w:sz w:val="26"/>
                <w:szCs w:val="26"/>
              </w:rPr>
              <w:t>89</w:t>
            </w:r>
          </w:p>
        </w:tc>
      </w:tr>
    </w:tbl>
    <w:p w:rsidR="00406A77" w:rsidRPr="00697C03" w:rsidRDefault="00406A77" w:rsidP="00406A77">
      <w:pPr>
        <w:ind w:firstLineChars="150" w:firstLine="390"/>
        <w:rPr>
          <w:rFonts w:ascii="標楷體" w:hAnsi="標楷體"/>
          <w:sz w:val="24"/>
          <w:szCs w:val="24"/>
        </w:rPr>
      </w:pPr>
      <w:r w:rsidRPr="00697C03">
        <w:rPr>
          <w:rFonts w:ascii="標楷體" w:hAnsi="標楷體" w:hint="eastAsia"/>
          <w:sz w:val="24"/>
          <w:szCs w:val="24"/>
        </w:rPr>
        <w:t>資料來源：本調查整理自教育部調卷資料。</w:t>
      </w:r>
    </w:p>
    <w:p w:rsidR="00406A77" w:rsidRPr="00697C03" w:rsidRDefault="00406A77" w:rsidP="00406A77">
      <w:pPr>
        <w:ind w:firstLineChars="150" w:firstLine="390"/>
        <w:rPr>
          <w:rFonts w:ascii="標楷體" w:hAnsi="標楷體"/>
          <w:sz w:val="24"/>
          <w:szCs w:val="24"/>
        </w:rPr>
      </w:pPr>
    </w:p>
    <w:p w:rsidR="00406A77" w:rsidRPr="00697C03" w:rsidRDefault="00022711" w:rsidP="00406A77">
      <w:pPr>
        <w:pStyle w:val="3"/>
        <w:kinsoku/>
        <w:ind w:left="1360" w:hanging="680"/>
        <w:rPr>
          <w:rFonts w:hAnsi="標楷體"/>
        </w:rPr>
      </w:pPr>
      <w:r w:rsidRPr="00697C03">
        <w:rPr>
          <w:rFonts w:hAnsi="標楷體" w:hint="eastAsia"/>
        </w:rPr>
        <w:t>查</w:t>
      </w:r>
      <w:r w:rsidR="00406A77" w:rsidRPr="00697C03">
        <w:rPr>
          <w:rFonts w:hAnsi="標楷體" w:hint="eastAsia"/>
        </w:rPr>
        <w:t>教育部統計分析高級中等教育開設班別顯示</w:t>
      </w:r>
      <w:r w:rsidR="00406A77" w:rsidRPr="00697C03">
        <w:rPr>
          <w:rStyle w:val="aff0"/>
          <w:rFonts w:hAnsi="標楷體"/>
        </w:rPr>
        <w:footnoteReference w:id="16"/>
      </w:r>
      <w:r w:rsidR="00406A77" w:rsidRPr="00697C03">
        <w:rPr>
          <w:rFonts w:hAnsi="標楷體" w:hint="eastAsia"/>
        </w:rPr>
        <w:t>，以</w:t>
      </w:r>
      <w:r w:rsidR="00406A77" w:rsidRPr="00697C03">
        <w:rPr>
          <w:rFonts w:hAnsi="標楷體"/>
        </w:rPr>
        <w:t>107</w:t>
      </w:r>
      <w:r w:rsidR="00406A77" w:rsidRPr="00697C03">
        <w:rPr>
          <w:rFonts w:hAnsi="標楷體" w:hint="eastAsia"/>
        </w:rPr>
        <w:t>學年為例，當學年510所</w:t>
      </w:r>
      <w:r w:rsidR="00406A77" w:rsidRPr="00697C03">
        <w:rPr>
          <w:rStyle w:val="aff0"/>
          <w:rFonts w:hAnsi="標楷體"/>
        </w:rPr>
        <w:footnoteReference w:id="17"/>
      </w:r>
      <w:r w:rsidR="00406A77" w:rsidRPr="00697C03">
        <w:rPr>
          <w:rFonts w:hAnsi="標楷體" w:hint="eastAsia"/>
        </w:rPr>
        <w:t>高級中等學校中，與103學年度相較，其中開辦「普通科」由366所增至</w:t>
      </w:r>
      <w:r w:rsidR="00406A77" w:rsidRPr="00697C03">
        <w:rPr>
          <w:rFonts w:hAnsi="標楷體"/>
        </w:rPr>
        <w:t>374</w:t>
      </w:r>
      <w:r w:rsidR="00406A77" w:rsidRPr="00697C03">
        <w:rPr>
          <w:rFonts w:hAnsi="標楷體" w:hint="eastAsia"/>
        </w:rPr>
        <w:t>所，開辦「專業群（職業）科」由256所增至267所，而「綜合高中」與「實用技能學程」則分別由107所、139所減至77所、127所（各減少30所、12所），「進修部（學校）」亦由220所減至187</w:t>
      </w:r>
      <w:r w:rsidR="00406A77" w:rsidRPr="00697C03">
        <w:rPr>
          <w:rFonts w:hAnsi="標楷體"/>
        </w:rPr>
        <w:t xml:space="preserve"> </w:t>
      </w:r>
      <w:r w:rsidR="00406A77" w:rsidRPr="00697C03">
        <w:rPr>
          <w:rFonts w:hAnsi="標楷體" w:hint="eastAsia"/>
        </w:rPr>
        <w:t>所，其變化恐與過去因素雷同，主要受到</w:t>
      </w:r>
      <w:r w:rsidR="00406A77" w:rsidRPr="00697C03">
        <w:rPr>
          <w:rFonts w:hAnsi="標楷體" w:hint="eastAsia"/>
        </w:rPr>
        <w:lastRenderedPageBreak/>
        <w:t>生源驟減、家長及學生對於未來進路考量、專業群科加強基礎與通識教育、大專校院增多拉升升學機會等諸多因素影響，選讀綜合高中、實用技能學程及進修部之意願轉變所致。然查，教育部於本院109年3月31日約詢會議前補充數據顯示，職業科中離人數最高，進修部為次高；另學制別以私立學校最高，經統計至109年3月26日止，全國未結案中離學生人數為15,793人，其中進修部未結案人數為2,945人，日間部已滿18歲以上未結案中離學生人數為5,365人，進修部已滿18歲以上未結案人數為1,580人。是以，數據顯示職業科中離人數最高，進修部為次高；另學制別以私立學校最高，顯見相關學制能否彈性提供多元教育之適性情形，仍有待全盤檢討規劃。</w:t>
      </w:r>
    </w:p>
    <w:p w:rsidR="00406A77" w:rsidRPr="00697C03" w:rsidRDefault="00406A77" w:rsidP="00406A77">
      <w:pPr>
        <w:pStyle w:val="3"/>
        <w:kinsoku/>
        <w:ind w:left="1360" w:hanging="680"/>
        <w:rPr>
          <w:rFonts w:hAnsi="標楷體"/>
        </w:rPr>
      </w:pPr>
      <w:r w:rsidRPr="00697C03">
        <w:rPr>
          <w:rFonts w:hAnsi="標楷體" w:hint="eastAsia"/>
        </w:rPr>
        <w:t>此外，依據教育部統計資料分析中離因素顯示，</w:t>
      </w:r>
      <w:r w:rsidRPr="00697C03">
        <w:rPr>
          <w:rFonts w:hAnsi="標楷體" w:hint="eastAsia"/>
          <w:bCs w:val="0"/>
          <w:szCs w:val="52"/>
        </w:rPr>
        <w:t>107學年度中離主要原因為：個人因素佔61.4%，其中志趣不合即佔有53.40%為多數，</w:t>
      </w:r>
      <w:r w:rsidRPr="00697C03">
        <w:rPr>
          <w:rFonts w:hAnsi="標楷體" w:hint="eastAsia"/>
        </w:rPr>
        <w:t>中離學生多為志趣不合或家庭經濟狀況不佳而離校，極需提供生涯輔導，協助其生涯探索外，透過適性轉銜就學、就業或參加職訓，以奠定未來生涯發展基礎。</w:t>
      </w:r>
      <w:r w:rsidR="00F205D0" w:rsidRPr="00697C03">
        <w:rPr>
          <w:rFonts w:hAnsi="標楷體" w:hint="eastAsia"/>
        </w:rPr>
        <w:t>復</w:t>
      </w:r>
      <w:r w:rsidRPr="00697C03">
        <w:rPr>
          <w:rFonts w:hAnsi="標楷體" w:hint="eastAsia"/>
        </w:rPr>
        <w:t>依該部109 年1月14日109年度第1次高級中等學校學生穩定就學及中途離校學生輔導業務聯繫會議紀錄載明，因中離人數仍偏高，國教署持續透過「中離生追蹤輔導團」針對中離數高之學校到校進行諮詢輔導，強化學校落實追蹤輔導。然多數學校反應中離學生離校後續追蹤輔導困難，且學生多為志趣不合，導致中離情事之發生。</w:t>
      </w:r>
      <w:r w:rsidRPr="00697C03">
        <w:rPr>
          <w:rFonts w:hAnsi="標楷體" w:hint="eastAsia"/>
          <w:bCs w:val="0"/>
          <w:szCs w:val="52"/>
        </w:rPr>
        <w:t>足見，十二年國教實施後，教育部對於國中端學生之升學試探、就學輔導及整體相關彈性轉銜配套政策仍有極大改善空間</w:t>
      </w:r>
      <w:r w:rsidRPr="00697C03">
        <w:rPr>
          <w:rFonts w:hAnsi="標楷體" w:hint="eastAsia"/>
        </w:rPr>
        <w:t>。</w:t>
      </w:r>
      <w:r w:rsidR="001E5444" w:rsidRPr="00697C03">
        <w:rPr>
          <w:rFonts w:hAnsi="標楷體" w:hint="eastAsia"/>
        </w:rPr>
        <w:t>中離因素</w:t>
      </w:r>
      <w:r w:rsidRPr="00697C03">
        <w:rPr>
          <w:rFonts w:hAnsi="標楷體" w:hint="eastAsia"/>
        </w:rPr>
        <w:t>相關數據如下表所示。</w:t>
      </w:r>
    </w:p>
    <w:p w:rsidR="003A7A8A" w:rsidRPr="00697C03" w:rsidRDefault="003A7A8A" w:rsidP="003A7A8A"/>
    <w:p w:rsidR="00406A77" w:rsidRPr="00697C03" w:rsidRDefault="00406A77" w:rsidP="00406A77">
      <w:pPr>
        <w:pStyle w:val="a3"/>
        <w:rPr>
          <w:rFonts w:hAnsi="標楷體"/>
          <w:b/>
        </w:rPr>
      </w:pPr>
      <w:r w:rsidRPr="00697C03">
        <w:rPr>
          <w:rFonts w:hAnsi="標楷體" w:hint="eastAsia"/>
          <w:b/>
        </w:rPr>
        <w:t>中離因素分析表</w:t>
      </w:r>
    </w:p>
    <w:tbl>
      <w:tblPr>
        <w:tblStyle w:val="af6"/>
        <w:tblW w:w="9497" w:type="dxa"/>
        <w:jc w:val="center"/>
        <w:tblLook w:val="04A0" w:firstRow="1" w:lastRow="0" w:firstColumn="1" w:lastColumn="0" w:noHBand="0" w:noVBand="1"/>
      </w:tblPr>
      <w:tblGrid>
        <w:gridCol w:w="1559"/>
        <w:gridCol w:w="1559"/>
        <w:gridCol w:w="6379"/>
      </w:tblGrid>
      <w:tr w:rsidR="00697C03" w:rsidRPr="00697C03" w:rsidTr="004E00FE">
        <w:trPr>
          <w:trHeight w:val="68"/>
          <w:jc w:val="center"/>
        </w:trPr>
        <w:tc>
          <w:tcPr>
            <w:tcW w:w="1559" w:type="dxa"/>
            <w:shd w:val="clear" w:color="auto" w:fill="E7E6E6" w:themeFill="background2"/>
            <w:vAlign w:val="center"/>
            <w:hideMark/>
          </w:tcPr>
          <w:p w:rsidR="00406A77" w:rsidRPr="00697C03" w:rsidRDefault="00406A77" w:rsidP="00BF41DE">
            <w:pPr>
              <w:spacing w:line="0" w:lineRule="atLeast"/>
              <w:jc w:val="center"/>
              <w:rPr>
                <w:rFonts w:ascii="標楷體" w:hAnsi="標楷體" w:cs="新細明體"/>
                <w:b/>
                <w:sz w:val="28"/>
                <w:szCs w:val="28"/>
              </w:rPr>
            </w:pPr>
            <w:r w:rsidRPr="00697C03">
              <w:rPr>
                <w:rFonts w:ascii="標楷體" w:hAnsi="標楷體" w:cs="新細明體" w:hint="eastAsia"/>
                <w:b/>
                <w:sz w:val="28"/>
                <w:szCs w:val="28"/>
              </w:rPr>
              <w:t>中離因素</w:t>
            </w:r>
          </w:p>
        </w:tc>
        <w:tc>
          <w:tcPr>
            <w:tcW w:w="1559" w:type="dxa"/>
            <w:shd w:val="clear" w:color="auto" w:fill="E7E6E6" w:themeFill="background2"/>
            <w:vAlign w:val="center"/>
            <w:hideMark/>
          </w:tcPr>
          <w:p w:rsidR="00406A77" w:rsidRPr="00697C03" w:rsidRDefault="00406A77" w:rsidP="00BF41DE">
            <w:pPr>
              <w:spacing w:line="0" w:lineRule="atLeast"/>
              <w:jc w:val="center"/>
              <w:rPr>
                <w:rFonts w:ascii="標楷體" w:hAnsi="標楷體" w:cs="新細明體"/>
                <w:b/>
                <w:sz w:val="28"/>
                <w:szCs w:val="28"/>
              </w:rPr>
            </w:pPr>
            <w:r w:rsidRPr="00697C03">
              <w:rPr>
                <w:rFonts w:ascii="標楷體" w:hAnsi="標楷體" w:cs="新細明體" w:hint="eastAsia"/>
                <w:b/>
                <w:sz w:val="28"/>
                <w:szCs w:val="28"/>
              </w:rPr>
              <w:t>人數比率</w:t>
            </w:r>
          </w:p>
        </w:tc>
        <w:tc>
          <w:tcPr>
            <w:tcW w:w="6379" w:type="dxa"/>
            <w:shd w:val="clear" w:color="auto" w:fill="E7E6E6" w:themeFill="background2"/>
            <w:vAlign w:val="center"/>
            <w:hideMark/>
          </w:tcPr>
          <w:p w:rsidR="00406A77" w:rsidRPr="00697C03" w:rsidRDefault="00406A77" w:rsidP="00BF41DE">
            <w:pPr>
              <w:spacing w:line="0" w:lineRule="atLeast"/>
              <w:jc w:val="center"/>
              <w:rPr>
                <w:rFonts w:ascii="標楷體" w:hAnsi="標楷體"/>
                <w:sz w:val="28"/>
                <w:szCs w:val="28"/>
              </w:rPr>
            </w:pPr>
            <w:r w:rsidRPr="00697C03">
              <w:rPr>
                <w:rFonts w:ascii="標楷體" w:hAnsi="標楷體" w:cs="新細明體" w:hint="eastAsia"/>
                <w:b/>
                <w:sz w:val="28"/>
                <w:szCs w:val="28"/>
              </w:rPr>
              <w:t>詳細分類</w:t>
            </w:r>
          </w:p>
        </w:tc>
      </w:tr>
      <w:tr w:rsidR="00697C03" w:rsidRPr="00697C03" w:rsidTr="00BF41DE">
        <w:trPr>
          <w:trHeight w:val="68"/>
          <w:jc w:val="center"/>
        </w:trPr>
        <w:tc>
          <w:tcPr>
            <w:tcW w:w="1559" w:type="dxa"/>
            <w:vAlign w:val="center"/>
            <w:hideMark/>
          </w:tcPr>
          <w:p w:rsidR="00406A77" w:rsidRPr="00697C03" w:rsidRDefault="00406A77" w:rsidP="00BF41DE">
            <w:pPr>
              <w:spacing w:line="0" w:lineRule="atLeast"/>
              <w:jc w:val="center"/>
              <w:rPr>
                <w:rFonts w:ascii="標楷體" w:hAnsi="標楷體" w:cs="新細明體"/>
                <w:b/>
                <w:sz w:val="28"/>
                <w:szCs w:val="28"/>
              </w:rPr>
            </w:pPr>
            <w:r w:rsidRPr="00697C03">
              <w:rPr>
                <w:rFonts w:ascii="標楷體" w:hAnsi="標楷體" w:cs="新細明體" w:hint="eastAsia"/>
                <w:b/>
                <w:sz w:val="28"/>
                <w:szCs w:val="28"/>
              </w:rPr>
              <w:t>個人因素</w:t>
            </w:r>
          </w:p>
        </w:tc>
        <w:tc>
          <w:tcPr>
            <w:tcW w:w="1559" w:type="dxa"/>
            <w:vAlign w:val="center"/>
            <w:hideMark/>
          </w:tcPr>
          <w:p w:rsidR="00406A77" w:rsidRPr="00697C03" w:rsidRDefault="00406A77" w:rsidP="00BF41DE">
            <w:pPr>
              <w:spacing w:line="0" w:lineRule="atLeast"/>
              <w:jc w:val="center"/>
              <w:rPr>
                <w:rFonts w:ascii="標楷體" w:hAnsi="標楷體" w:cs="新細明體"/>
                <w:sz w:val="26"/>
                <w:szCs w:val="26"/>
              </w:rPr>
            </w:pPr>
            <w:r w:rsidRPr="00697C03">
              <w:rPr>
                <w:rFonts w:ascii="標楷體" w:hAnsi="標楷體" w:cs="新細明體" w:hint="eastAsia"/>
                <w:sz w:val="26"/>
                <w:szCs w:val="26"/>
              </w:rPr>
              <w:t>10,608人</w:t>
            </w:r>
          </w:p>
          <w:p w:rsidR="00406A77" w:rsidRPr="00697C03" w:rsidRDefault="00406A77" w:rsidP="00BF41DE">
            <w:pPr>
              <w:spacing w:line="0" w:lineRule="atLeast"/>
              <w:jc w:val="center"/>
              <w:rPr>
                <w:rFonts w:ascii="標楷體" w:hAnsi="標楷體" w:cs="新細明體"/>
                <w:sz w:val="26"/>
                <w:szCs w:val="26"/>
              </w:rPr>
            </w:pPr>
            <w:r w:rsidRPr="00697C03">
              <w:rPr>
                <w:rFonts w:ascii="標楷體" w:hAnsi="標楷體" w:cs="新細明體" w:hint="eastAsia"/>
                <w:sz w:val="26"/>
                <w:szCs w:val="26"/>
              </w:rPr>
              <w:t>佔61.4%</w:t>
            </w:r>
          </w:p>
        </w:tc>
        <w:tc>
          <w:tcPr>
            <w:tcW w:w="6379" w:type="dxa"/>
            <w:hideMark/>
          </w:tcPr>
          <w:p w:rsidR="00406A77" w:rsidRPr="00697C03" w:rsidRDefault="00406A77" w:rsidP="00BF41DE">
            <w:pPr>
              <w:rPr>
                <w:rFonts w:ascii="標楷體" w:hAnsi="標楷體"/>
                <w:sz w:val="26"/>
                <w:szCs w:val="26"/>
              </w:rPr>
            </w:pPr>
            <w:r w:rsidRPr="00697C03">
              <w:rPr>
                <w:rFonts w:ascii="標楷體" w:hAnsi="標楷體" w:hint="eastAsia"/>
                <w:b/>
                <w:bCs/>
                <w:sz w:val="26"/>
                <w:szCs w:val="26"/>
              </w:rPr>
              <w:t>1.志趣不合有5,665人</w:t>
            </w:r>
            <w:r w:rsidR="0079236E" w:rsidRPr="00697C03">
              <w:rPr>
                <w:rFonts w:ascii="標楷體" w:hAnsi="標楷體" w:hint="eastAsia"/>
                <w:b/>
                <w:bCs/>
                <w:sz w:val="26"/>
                <w:szCs w:val="26"/>
              </w:rPr>
              <w:t>（</w:t>
            </w:r>
            <w:r w:rsidRPr="00697C03">
              <w:rPr>
                <w:rFonts w:ascii="標楷體" w:hAnsi="標楷體" w:hint="eastAsia"/>
                <w:b/>
                <w:bCs/>
                <w:sz w:val="26"/>
                <w:szCs w:val="26"/>
              </w:rPr>
              <w:t>53.40%</w:t>
            </w:r>
            <w:r w:rsidR="0079236E" w:rsidRPr="00697C03">
              <w:rPr>
                <w:rFonts w:ascii="標楷體" w:hAnsi="標楷體" w:hint="eastAsia"/>
                <w:b/>
                <w:bCs/>
                <w:sz w:val="26"/>
                <w:szCs w:val="26"/>
              </w:rPr>
              <w:t>）</w:t>
            </w:r>
          </w:p>
          <w:p w:rsidR="00406A77" w:rsidRPr="00697C03" w:rsidRDefault="00406A77" w:rsidP="00BF41DE">
            <w:pPr>
              <w:rPr>
                <w:rFonts w:ascii="標楷體" w:hAnsi="標楷體"/>
                <w:sz w:val="26"/>
                <w:szCs w:val="26"/>
              </w:rPr>
            </w:pPr>
            <w:r w:rsidRPr="00697C03">
              <w:rPr>
                <w:rFonts w:ascii="標楷體" w:hAnsi="標楷體" w:hint="eastAsia"/>
                <w:sz w:val="26"/>
                <w:szCs w:val="26"/>
              </w:rPr>
              <w:t>2.其他1,483人</w:t>
            </w:r>
            <w:r w:rsidR="0079236E" w:rsidRPr="00697C03">
              <w:rPr>
                <w:rFonts w:ascii="標楷體" w:hAnsi="標楷體" w:hint="eastAsia"/>
                <w:sz w:val="26"/>
                <w:szCs w:val="26"/>
              </w:rPr>
              <w:t>（</w:t>
            </w:r>
            <w:r w:rsidRPr="00697C03">
              <w:rPr>
                <w:rFonts w:ascii="標楷體" w:hAnsi="標楷體" w:hint="eastAsia"/>
                <w:sz w:val="26"/>
                <w:szCs w:val="26"/>
              </w:rPr>
              <w:t>13.98%</w:t>
            </w:r>
            <w:r w:rsidR="0079236E" w:rsidRPr="00697C03">
              <w:rPr>
                <w:rFonts w:ascii="標楷體" w:hAnsi="標楷體" w:hint="eastAsia"/>
                <w:sz w:val="26"/>
                <w:szCs w:val="26"/>
              </w:rPr>
              <w:t>）</w:t>
            </w:r>
          </w:p>
          <w:p w:rsidR="00406A77" w:rsidRPr="00697C03" w:rsidRDefault="00406A77" w:rsidP="00BF41DE">
            <w:pPr>
              <w:rPr>
                <w:rFonts w:ascii="標楷體" w:hAnsi="標楷體"/>
                <w:sz w:val="26"/>
                <w:szCs w:val="26"/>
              </w:rPr>
            </w:pPr>
            <w:r w:rsidRPr="00697C03">
              <w:rPr>
                <w:rFonts w:ascii="標楷體" w:hAnsi="標楷體" w:hint="eastAsia"/>
                <w:sz w:val="26"/>
                <w:szCs w:val="26"/>
              </w:rPr>
              <w:t>3.生活作息不正常有1,138人</w:t>
            </w:r>
            <w:r w:rsidR="0079236E" w:rsidRPr="00697C03">
              <w:rPr>
                <w:rFonts w:ascii="標楷體" w:hAnsi="標楷體" w:hint="eastAsia"/>
                <w:sz w:val="26"/>
                <w:szCs w:val="26"/>
              </w:rPr>
              <w:t>（</w:t>
            </w:r>
            <w:r w:rsidRPr="00697C03">
              <w:rPr>
                <w:rFonts w:ascii="標楷體" w:hAnsi="標楷體" w:hint="eastAsia"/>
                <w:sz w:val="26"/>
                <w:szCs w:val="26"/>
              </w:rPr>
              <w:t>10.73%</w:t>
            </w:r>
            <w:r w:rsidR="0079236E" w:rsidRPr="00697C03">
              <w:rPr>
                <w:rFonts w:ascii="標楷體" w:hAnsi="標楷體" w:hint="eastAsia"/>
                <w:sz w:val="26"/>
                <w:szCs w:val="26"/>
              </w:rPr>
              <w:t>）</w:t>
            </w:r>
          </w:p>
        </w:tc>
      </w:tr>
      <w:tr w:rsidR="00697C03" w:rsidRPr="00697C03" w:rsidTr="00682AE2">
        <w:trPr>
          <w:trHeight w:val="68"/>
          <w:jc w:val="center"/>
        </w:trPr>
        <w:tc>
          <w:tcPr>
            <w:tcW w:w="1559" w:type="dxa"/>
            <w:tcBorders>
              <w:bottom w:val="single" w:sz="4" w:space="0" w:color="auto"/>
            </w:tcBorders>
            <w:vAlign w:val="center"/>
            <w:hideMark/>
          </w:tcPr>
          <w:p w:rsidR="00406A77" w:rsidRPr="00697C03" w:rsidRDefault="00406A77" w:rsidP="00BF41DE">
            <w:pPr>
              <w:spacing w:line="0" w:lineRule="atLeast"/>
              <w:jc w:val="center"/>
              <w:rPr>
                <w:rFonts w:ascii="標楷體" w:hAnsi="標楷體" w:cs="新細明體"/>
                <w:b/>
                <w:sz w:val="28"/>
                <w:szCs w:val="28"/>
              </w:rPr>
            </w:pPr>
            <w:r w:rsidRPr="00697C03">
              <w:rPr>
                <w:rFonts w:ascii="標楷體" w:hAnsi="標楷體" w:cs="新細明體" w:hint="eastAsia"/>
                <w:b/>
                <w:sz w:val="28"/>
                <w:szCs w:val="28"/>
              </w:rPr>
              <w:t>學校因素</w:t>
            </w:r>
          </w:p>
        </w:tc>
        <w:tc>
          <w:tcPr>
            <w:tcW w:w="1559" w:type="dxa"/>
            <w:tcBorders>
              <w:bottom w:val="single" w:sz="4" w:space="0" w:color="auto"/>
            </w:tcBorders>
            <w:vAlign w:val="center"/>
            <w:hideMark/>
          </w:tcPr>
          <w:p w:rsidR="00406A77" w:rsidRPr="00697C03" w:rsidRDefault="00406A77" w:rsidP="00BF41DE">
            <w:pPr>
              <w:spacing w:line="0" w:lineRule="atLeast"/>
              <w:jc w:val="center"/>
              <w:rPr>
                <w:rFonts w:ascii="標楷體" w:hAnsi="標楷體" w:cs="新細明體"/>
                <w:sz w:val="26"/>
                <w:szCs w:val="26"/>
              </w:rPr>
            </w:pPr>
            <w:r w:rsidRPr="00697C03">
              <w:rPr>
                <w:rFonts w:ascii="標楷體" w:hAnsi="標楷體" w:cs="新細明體" w:hint="eastAsia"/>
                <w:sz w:val="26"/>
                <w:szCs w:val="26"/>
              </w:rPr>
              <w:t>3,489人</w:t>
            </w:r>
          </w:p>
          <w:p w:rsidR="00406A77" w:rsidRPr="00697C03" w:rsidRDefault="00406A77" w:rsidP="00BF41DE">
            <w:pPr>
              <w:spacing w:line="0" w:lineRule="atLeast"/>
              <w:jc w:val="center"/>
              <w:rPr>
                <w:rFonts w:ascii="標楷體" w:hAnsi="標楷體" w:cs="新細明體"/>
                <w:sz w:val="26"/>
                <w:szCs w:val="26"/>
              </w:rPr>
            </w:pPr>
            <w:r w:rsidRPr="00697C03">
              <w:rPr>
                <w:rFonts w:ascii="標楷體" w:hAnsi="標楷體" w:cs="新細明體" w:hint="eastAsia"/>
                <w:sz w:val="26"/>
                <w:szCs w:val="26"/>
              </w:rPr>
              <w:t>佔20.19%</w:t>
            </w:r>
          </w:p>
        </w:tc>
        <w:tc>
          <w:tcPr>
            <w:tcW w:w="6379" w:type="dxa"/>
            <w:tcBorders>
              <w:bottom w:val="single" w:sz="4" w:space="0" w:color="auto"/>
            </w:tcBorders>
            <w:hideMark/>
          </w:tcPr>
          <w:p w:rsidR="00406A77" w:rsidRPr="00697C03" w:rsidRDefault="00406A77" w:rsidP="00BF41DE">
            <w:pPr>
              <w:rPr>
                <w:rFonts w:ascii="標楷體" w:hAnsi="標楷體"/>
                <w:sz w:val="26"/>
                <w:szCs w:val="26"/>
              </w:rPr>
            </w:pPr>
            <w:r w:rsidRPr="00697C03">
              <w:rPr>
                <w:rFonts w:ascii="標楷體" w:hAnsi="標楷體" w:hint="eastAsia"/>
                <w:b/>
                <w:bCs/>
                <w:sz w:val="26"/>
                <w:szCs w:val="26"/>
              </w:rPr>
              <w:t>1.對學校課程、生活無興趣有1380人</w:t>
            </w:r>
            <w:r w:rsidR="0079236E" w:rsidRPr="00697C03">
              <w:rPr>
                <w:rFonts w:ascii="標楷體" w:hAnsi="標楷體" w:hint="eastAsia"/>
                <w:b/>
                <w:bCs/>
                <w:sz w:val="26"/>
                <w:szCs w:val="26"/>
              </w:rPr>
              <w:t>（</w:t>
            </w:r>
            <w:r w:rsidRPr="00697C03">
              <w:rPr>
                <w:rFonts w:ascii="標楷體" w:hAnsi="標楷體" w:hint="eastAsia"/>
                <w:b/>
                <w:bCs/>
                <w:sz w:val="26"/>
                <w:szCs w:val="26"/>
              </w:rPr>
              <w:t>39.55%</w:t>
            </w:r>
            <w:r w:rsidR="0079236E" w:rsidRPr="00697C03">
              <w:rPr>
                <w:rFonts w:ascii="標楷體" w:hAnsi="標楷體" w:hint="eastAsia"/>
                <w:b/>
                <w:bCs/>
                <w:sz w:val="26"/>
                <w:szCs w:val="26"/>
              </w:rPr>
              <w:t>）</w:t>
            </w:r>
          </w:p>
          <w:p w:rsidR="00406A77" w:rsidRPr="00697C03" w:rsidRDefault="00406A77" w:rsidP="00BF41DE">
            <w:pPr>
              <w:rPr>
                <w:rFonts w:ascii="標楷體" w:hAnsi="標楷體"/>
                <w:sz w:val="26"/>
                <w:szCs w:val="26"/>
              </w:rPr>
            </w:pPr>
            <w:r w:rsidRPr="00697C03">
              <w:rPr>
                <w:rFonts w:ascii="標楷體" w:hAnsi="標楷體" w:hint="eastAsia"/>
                <w:sz w:val="26"/>
                <w:szCs w:val="26"/>
              </w:rPr>
              <w:t>2.缺曠課太多有1363人</w:t>
            </w:r>
            <w:r w:rsidR="0079236E" w:rsidRPr="00697C03">
              <w:rPr>
                <w:rFonts w:ascii="標楷體" w:hAnsi="標楷體" w:hint="eastAsia"/>
                <w:sz w:val="26"/>
                <w:szCs w:val="26"/>
              </w:rPr>
              <w:t>（</w:t>
            </w:r>
            <w:r w:rsidRPr="00697C03">
              <w:rPr>
                <w:rFonts w:ascii="標楷體" w:hAnsi="標楷體" w:hint="eastAsia"/>
                <w:sz w:val="26"/>
                <w:szCs w:val="26"/>
              </w:rPr>
              <w:t>39.07%</w:t>
            </w:r>
            <w:r w:rsidR="0079236E" w:rsidRPr="00697C03">
              <w:rPr>
                <w:rFonts w:ascii="標楷體" w:hAnsi="標楷體" w:hint="eastAsia"/>
                <w:sz w:val="26"/>
                <w:szCs w:val="26"/>
              </w:rPr>
              <w:t>）</w:t>
            </w:r>
          </w:p>
          <w:p w:rsidR="00406A77" w:rsidRPr="00697C03" w:rsidRDefault="00406A77" w:rsidP="00BF41DE">
            <w:pPr>
              <w:rPr>
                <w:rFonts w:ascii="標楷體" w:hAnsi="標楷體"/>
                <w:sz w:val="26"/>
                <w:szCs w:val="26"/>
              </w:rPr>
            </w:pPr>
            <w:r w:rsidRPr="00697C03">
              <w:rPr>
                <w:rFonts w:ascii="標楷體" w:hAnsi="標楷體" w:hint="eastAsia"/>
                <w:sz w:val="26"/>
                <w:szCs w:val="26"/>
              </w:rPr>
              <w:t>3.觸犯校規過多有332人</w:t>
            </w:r>
            <w:r w:rsidR="0079236E" w:rsidRPr="00697C03">
              <w:rPr>
                <w:rFonts w:ascii="標楷體" w:hAnsi="標楷體" w:hint="eastAsia"/>
                <w:sz w:val="26"/>
                <w:szCs w:val="26"/>
              </w:rPr>
              <w:t>（</w:t>
            </w:r>
            <w:r w:rsidRPr="00697C03">
              <w:rPr>
                <w:rFonts w:ascii="標楷體" w:hAnsi="標楷體" w:hint="eastAsia"/>
                <w:sz w:val="26"/>
                <w:szCs w:val="26"/>
              </w:rPr>
              <w:t>9.52%</w:t>
            </w:r>
            <w:r w:rsidR="0079236E" w:rsidRPr="00697C03">
              <w:rPr>
                <w:rFonts w:ascii="標楷體" w:hAnsi="標楷體" w:hint="eastAsia"/>
                <w:sz w:val="26"/>
                <w:szCs w:val="26"/>
              </w:rPr>
              <w:t>）</w:t>
            </w:r>
            <w:r w:rsidRPr="00697C03">
              <w:rPr>
                <w:rFonts w:ascii="標楷體" w:hAnsi="標楷體" w:hint="eastAsia"/>
                <w:sz w:val="26"/>
                <w:szCs w:val="26"/>
              </w:rPr>
              <w:t>。</w:t>
            </w:r>
          </w:p>
        </w:tc>
      </w:tr>
      <w:tr w:rsidR="00697C03" w:rsidRPr="00697C03" w:rsidTr="00BF41DE">
        <w:trPr>
          <w:trHeight w:val="68"/>
          <w:jc w:val="center"/>
        </w:trPr>
        <w:tc>
          <w:tcPr>
            <w:tcW w:w="1559" w:type="dxa"/>
            <w:vAlign w:val="center"/>
            <w:hideMark/>
          </w:tcPr>
          <w:p w:rsidR="00406A77" w:rsidRPr="00697C03" w:rsidRDefault="00406A77" w:rsidP="00BF41DE">
            <w:pPr>
              <w:spacing w:line="0" w:lineRule="atLeast"/>
              <w:jc w:val="center"/>
              <w:rPr>
                <w:rFonts w:ascii="標楷體" w:hAnsi="標楷體" w:cs="新細明體"/>
                <w:b/>
                <w:sz w:val="28"/>
                <w:szCs w:val="28"/>
              </w:rPr>
            </w:pPr>
            <w:r w:rsidRPr="00697C03">
              <w:rPr>
                <w:rFonts w:ascii="標楷體" w:hAnsi="標楷體" w:cs="新細明體" w:hint="eastAsia"/>
                <w:b/>
                <w:sz w:val="28"/>
                <w:szCs w:val="28"/>
              </w:rPr>
              <w:t>家庭因素</w:t>
            </w:r>
          </w:p>
        </w:tc>
        <w:tc>
          <w:tcPr>
            <w:tcW w:w="1559" w:type="dxa"/>
            <w:vAlign w:val="center"/>
            <w:hideMark/>
          </w:tcPr>
          <w:p w:rsidR="00406A77" w:rsidRPr="00697C03" w:rsidRDefault="00406A77" w:rsidP="00BF41DE">
            <w:pPr>
              <w:spacing w:line="0" w:lineRule="atLeast"/>
              <w:jc w:val="center"/>
              <w:rPr>
                <w:rFonts w:ascii="標楷體" w:hAnsi="標楷體" w:cs="新細明體"/>
                <w:sz w:val="26"/>
                <w:szCs w:val="26"/>
              </w:rPr>
            </w:pPr>
            <w:r w:rsidRPr="00697C03">
              <w:rPr>
                <w:rFonts w:ascii="標楷體" w:hAnsi="標楷體" w:cs="新細明體" w:hint="eastAsia"/>
                <w:sz w:val="26"/>
                <w:szCs w:val="26"/>
              </w:rPr>
              <w:t>1,982人</w:t>
            </w:r>
          </w:p>
          <w:p w:rsidR="00406A77" w:rsidRPr="00697C03" w:rsidRDefault="00406A77" w:rsidP="00BF41DE">
            <w:pPr>
              <w:spacing w:line="0" w:lineRule="atLeast"/>
              <w:jc w:val="center"/>
              <w:rPr>
                <w:rFonts w:ascii="標楷體" w:hAnsi="標楷體" w:cs="新細明體"/>
                <w:sz w:val="26"/>
                <w:szCs w:val="26"/>
              </w:rPr>
            </w:pPr>
            <w:r w:rsidRPr="00697C03">
              <w:rPr>
                <w:rFonts w:ascii="標楷體" w:hAnsi="標楷體" w:cs="新細明體" w:hint="eastAsia"/>
                <w:sz w:val="26"/>
                <w:szCs w:val="26"/>
              </w:rPr>
              <w:t>佔11.47%</w:t>
            </w:r>
          </w:p>
        </w:tc>
        <w:tc>
          <w:tcPr>
            <w:tcW w:w="6379" w:type="dxa"/>
            <w:hideMark/>
          </w:tcPr>
          <w:p w:rsidR="00406A77" w:rsidRPr="00697C03" w:rsidRDefault="00406A77" w:rsidP="00BF41DE">
            <w:pPr>
              <w:rPr>
                <w:rFonts w:ascii="標楷體" w:hAnsi="標楷體"/>
                <w:sz w:val="26"/>
                <w:szCs w:val="26"/>
              </w:rPr>
            </w:pPr>
            <w:r w:rsidRPr="00697C03">
              <w:rPr>
                <w:rFonts w:ascii="標楷體" w:hAnsi="標楷體" w:hint="eastAsia"/>
                <w:b/>
                <w:bCs/>
                <w:sz w:val="26"/>
                <w:szCs w:val="26"/>
              </w:rPr>
              <w:t>1.經濟因素有928人</w:t>
            </w:r>
            <w:r w:rsidR="0079236E" w:rsidRPr="00697C03">
              <w:rPr>
                <w:rFonts w:ascii="標楷體" w:hAnsi="標楷體" w:hint="eastAsia"/>
                <w:b/>
                <w:bCs/>
                <w:sz w:val="26"/>
                <w:szCs w:val="26"/>
              </w:rPr>
              <w:t>（</w:t>
            </w:r>
            <w:r w:rsidRPr="00697C03">
              <w:rPr>
                <w:rFonts w:ascii="標楷體" w:hAnsi="標楷體" w:hint="eastAsia"/>
                <w:b/>
                <w:bCs/>
                <w:sz w:val="26"/>
                <w:szCs w:val="26"/>
              </w:rPr>
              <w:t>46.82%</w:t>
            </w:r>
            <w:r w:rsidR="0079236E" w:rsidRPr="00697C03">
              <w:rPr>
                <w:rFonts w:ascii="標楷體" w:hAnsi="標楷體" w:hint="eastAsia"/>
                <w:b/>
                <w:bCs/>
                <w:sz w:val="26"/>
                <w:szCs w:val="26"/>
              </w:rPr>
              <w:t>）</w:t>
            </w:r>
          </w:p>
          <w:p w:rsidR="00406A77" w:rsidRPr="00697C03" w:rsidRDefault="00406A77" w:rsidP="00BF41DE">
            <w:pPr>
              <w:rPr>
                <w:rFonts w:ascii="標楷體" w:hAnsi="標楷體"/>
                <w:sz w:val="26"/>
                <w:szCs w:val="26"/>
              </w:rPr>
            </w:pPr>
            <w:r w:rsidRPr="00697C03">
              <w:rPr>
                <w:rFonts w:ascii="標楷體" w:hAnsi="標楷體" w:hint="eastAsia"/>
                <w:sz w:val="26"/>
                <w:szCs w:val="26"/>
              </w:rPr>
              <w:t>2.其他有280人</w:t>
            </w:r>
            <w:r w:rsidR="0079236E" w:rsidRPr="00697C03">
              <w:rPr>
                <w:rFonts w:ascii="標楷體" w:hAnsi="標楷體" w:hint="eastAsia"/>
                <w:sz w:val="26"/>
                <w:szCs w:val="26"/>
              </w:rPr>
              <w:t>（</w:t>
            </w:r>
            <w:r w:rsidRPr="00697C03">
              <w:rPr>
                <w:rFonts w:ascii="標楷體" w:hAnsi="標楷體" w:hint="eastAsia"/>
                <w:sz w:val="26"/>
                <w:szCs w:val="26"/>
              </w:rPr>
              <w:t>14.13%</w:t>
            </w:r>
            <w:r w:rsidR="0079236E" w:rsidRPr="00697C03">
              <w:rPr>
                <w:rFonts w:ascii="標楷體" w:hAnsi="標楷體" w:hint="eastAsia"/>
                <w:sz w:val="26"/>
                <w:szCs w:val="26"/>
              </w:rPr>
              <w:t>）</w:t>
            </w:r>
          </w:p>
          <w:p w:rsidR="00406A77" w:rsidRPr="00697C03" w:rsidRDefault="00406A77" w:rsidP="00BF41DE">
            <w:pPr>
              <w:rPr>
                <w:rFonts w:ascii="標楷體" w:hAnsi="標楷體"/>
                <w:sz w:val="26"/>
                <w:szCs w:val="26"/>
              </w:rPr>
            </w:pPr>
            <w:r w:rsidRPr="00697C03">
              <w:rPr>
                <w:rFonts w:ascii="標楷體" w:hAnsi="標楷體" w:hint="eastAsia"/>
                <w:sz w:val="26"/>
                <w:szCs w:val="26"/>
              </w:rPr>
              <w:t>3.居家交通不便有276人</w:t>
            </w:r>
            <w:r w:rsidR="0079236E" w:rsidRPr="00697C03">
              <w:rPr>
                <w:rFonts w:ascii="標楷體" w:hAnsi="標楷體" w:hint="eastAsia"/>
                <w:sz w:val="26"/>
                <w:szCs w:val="26"/>
              </w:rPr>
              <w:t>（</w:t>
            </w:r>
            <w:r w:rsidRPr="00697C03">
              <w:rPr>
                <w:rFonts w:ascii="標楷體" w:hAnsi="標楷體" w:hint="eastAsia"/>
                <w:sz w:val="26"/>
                <w:szCs w:val="26"/>
              </w:rPr>
              <w:t>13.93%</w:t>
            </w:r>
            <w:r w:rsidR="0079236E" w:rsidRPr="00697C03">
              <w:rPr>
                <w:rFonts w:ascii="標楷體" w:hAnsi="標楷體" w:hint="eastAsia"/>
                <w:sz w:val="26"/>
                <w:szCs w:val="26"/>
              </w:rPr>
              <w:t>）</w:t>
            </w:r>
            <w:r w:rsidRPr="00697C03">
              <w:rPr>
                <w:rFonts w:ascii="標楷體" w:hAnsi="標楷體" w:hint="eastAsia"/>
                <w:sz w:val="26"/>
                <w:szCs w:val="26"/>
              </w:rPr>
              <w:t>。</w:t>
            </w:r>
          </w:p>
        </w:tc>
      </w:tr>
    </w:tbl>
    <w:p w:rsidR="00406A77" w:rsidRPr="00697C03" w:rsidRDefault="00406A77" w:rsidP="00406A77">
      <w:pPr>
        <w:ind w:firstLineChars="150" w:firstLine="390"/>
        <w:rPr>
          <w:rFonts w:ascii="標楷體" w:hAnsi="標楷體"/>
          <w:sz w:val="24"/>
          <w:szCs w:val="24"/>
        </w:rPr>
      </w:pPr>
      <w:r w:rsidRPr="00697C03">
        <w:rPr>
          <w:rFonts w:ascii="標楷體" w:hAnsi="標楷體" w:hint="eastAsia"/>
          <w:sz w:val="24"/>
          <w:szCs w:val="24"/>
        </w:rPr>
        <w:t>資料來源：本調查整理自教育部約詢前補充資料。</w:t>
      </w:r>
    </w:p>
    <w:p w:rsidR="00406A77" w:rsidRPr="00697C03" w:rsidRDefault="00406A77" w:rsidP="00406A77">
      <w:pPr>
        <w:rPr>
          <w:rFonts w:ascii="標楷體" w:hAnsi="標楷體"/>
        </w:rPr>
      </w:pPr>
    </w:p>
    <w:p w:rsidR="00406A77" w:rsidRPr="00697C03" w:rsidRDefault="00406A77" w:rsidP="00406A77">
      <w:pPr>
        <w:pStyle w:val="3"/>
        <w:kinsoku/>
        <w:ind w:left="1360" w:hanging="680"/>
        <w:rPr>
          <w:rFonts w:hAnsi="標楷體"/>
        </w:rPr>
      </w:pPr>
      <w:r w:rsidRPr="00697C03">
        <w:rPr>
          <w:rFonts w:hAnsi="標楷體" w:hint="eastAsia"/>
        </w:rPr>
        <w:t>另查，</w:t>
      </w:r>
      <w:r w:rsidR="00953F7E" w:rsidRPr="00697C03">
        <w:rPr>
          <w:rFonts w:hAnsi="標楷體" w:hint="eastAsia"/>
        </w:rPr>
        <w:t>針對</w:t>
      </w:r>
      <w:r w:rsidRPr="00697C03">
        <w:rPr>
          <w:rFonts w:hAnsi="標楷體" w:hint="eastAsia"/>
        </w:rPr>
        <w:t>全國103-107</w:t>
      </w:r>
      <w:r w:rsidR="00F37392" w:rsidRPr="00697C03">
        <w:rPr>
          <w:rFonts w:hAnsi="標楷體" w:hint="eastAsia"/>
        </w:rPr>
        <w:t>學年度中離生數據</w:t>
      </w:r>
      <w:r w:rsidR="00594F71" w:rsidRPr="00697C03">
        <w:rPr>
          <w:rFonts w:hAnsi="標楷體" w:hint="eastAsia"/>
        </w:rPr>
        <w:t>顯示，一年級</w:t>
      </w:r>
      <w:r w:rsidRPr="00697C03">
        <w:rPr>
          <w:rFonts w:hAnsi="標楷體" w:hint="eastAsia"/>
        </w:rPr>
        <w:t>中離生</w:t>
      </w:r>
      <w:r w:rsidR="00191A78" w:rsidRPr="00697C03">
        <w:rPr>
          <w:rFonts w:hAnsi="標楷體" w:hint="eastAsia"/>
        </w:rPr>
        <w:t>人</w:t>
      </w:r>
      <w:r w:rsidR="002C5D46" w:rsidRPr="00697C03">
        <w:rPr>
          <w:rFonts w:hAnsi="標楷體" w:hint="eastAsia"/>
        </w:rPr>
        <w:t>數約1萬上下</w:t>
      </w:r>
      <w:r w:rsidR="00191A78" w:rsidRPr="00697C03">
        <w:rPr>
          <w:rFonts w:hAnsi="標楷體" w:hint="eastAsia"/>
        </w:rPr>
        <w:t>，</w:t>
      </w:r>
      <w:r w:rsidRPr="00697C03">
        <w:rPr>
          <w:rFonts w:hAnsi="標楷體" w:hint="eastAsia"/>
        </w:rPr>
        <w:t>比例高達54%至65%。教育部雖指稱，因中離人數以志趣不合及高一學生居多，國教署推動「高級中等學校適性學習社區教育資源均質化實施方案」，以均衡適性學習社區之教育資源，並推動「適性探索」辦理項目，其中包含「學術試探」、「職涯試探」，也針對一年級學生進行「適性轉學」，彙整適性學習社區教育資源，落實適才適性、就近入學目標，另為幫助學習適應不良的高級中等學校學生重新找到符合志向的科系或學校，該署持續推動各區「適性輔導轉學計畫」，結合各校資源共享，以興趣量表等專業方式輔導學生適性學習，協助學習適應不良或志趣不合的學生，透過適性轉學機制順利轉銜，以達到學生穩定就學之目標等語。惟</w:t>
      </w:r>
      <w:r w:rsidR="00E1406A" w:rsidRPr="00697C03">
        <w:rPr>
          <w:rFonts w:hAnsi="標楷體" w:hint="eastAsia"/>
        </w:rPr>
        <w:t>查</w:t>
      </w:r>
      <w:r w:rsidRPr="00697C03">
        <w:rPr>
          <w:rFonts w:hAnsi="標楷體" w:hint="eastAsia"/>
        </w:rPr>
        <w:t>歷年度數據顯示，高一學生占中離生比例仍屬中離生年級分布最高者，顯見教育部針對上述相關措施亟待通盤檢討改善，數據詳如下表所示。</w:t>
      </w:r>
    </w:p>
    <w:p w:rsidR="00406A77" w:rsidRPr="00697C03" w:rsidRDefault="00406A77" w:rsidP="00406A77">
      <w:pPr>
        <w:pStyle w:val="a3"/>
        <w:rPr>
          <w:rFonts w:hAnsi="標楷體"/>
        </w:rPr>
      </w:pPr>
      <w:r w:rsidRPr="00697C03">
        <w:rPr>
          <w:rFonts w:hAnsi="標楷體" w:hint="eastAsia"/>
          <w:b/>
        </w:rPr>
        <w:lastRenderedPageBreak/>
        <w:t xml:space="preserve">103-107學年度中離生數據分析                    </w:t>
      </w:r>
      <w:r w:rsidRPr="00697C03">
        <w:rPr>
          <w:rFonts w:hAnsi="標楷體" w:hint="eastAsia"/>
          <w:sz w:val="24"/>
          <w:szCs w:val="24"/>
        </w:rPr>
        <w:t>單位:人；比例</w:t>
      </w:r>
    </w:p>
    <w:tbl>
      <w:tblPr>
        <w:tblStyle w:val="af6"/>
        <w:tblW w:w="0" w:type="auto"/>
        <w:jc w:val="center"/>
        <w:tblLook w:val="04A0" w:firstRow="1" w:lastRow="0" w:firstColumn="1" w:lastColumn="0" w:noHBand="0" w:noVBand="1"/>
      </w:tblPr>
      <w:tblGrid>
        <w:gridCol w:w="1418"/>
        <w:gridCol w:w="1603"/>
        <w:gridCol w:w="1117"/>
        <w:gridCol w:w="1249"/>
        <w:gridCol w:w="1134"/>
        <w:gridCol w:w="1134"/>
        <w:gridCol w:w="1134"/>
      </w:tblGrid>
      <w:tr w:rsidR="00697C03" w:rsidRPr="00697C03" w:rsidTr="00BF41DE">
        <w:trPr>
          <w:trHeight w:val="336"/>
          <w:jc w:val="center"/>
        </w:trPr>
        <w:tc>
          <w:tcPr>
            <w:tcW w:w="1418" w:type="dxa"/>
            <w:vMerge w:val="restart"/>
            <w:vAlign w:val="center"/>
            <w:hideMark/>
          </w:tcPr>
          <w:p w:rsidR="00406A77" w:rsidRPr="00697C03" w:rsidRDefault="00406A77" w:rsidP="00BF41DE">
            <w:pPr>
              <w:jc w:val="center"/>
              <w:rPr>
                <w:rFonts w:ascii="標楷體" w:hAnsi="標楷體"/>
                <w:b/>
                <w:sz w:val="28"/>
                <w:szCs w:val="28"/>
              </w:rPr>
            </w:pPr>
            <w:r w:rsidRPr="00697C03">
              <w:rPr>
                <w:rFonts w:ascii="標楷體" w:hAnsi="標楷體" w:hint="eastAsia"/>
                <w:b/>
                <w:sz w:val="28"/>
                <w:szCs w:val="28"/>
              </w:rPr>
              <w:t>主要分類</w:t>
            </w:r>
          </w:p>
        </w:tc>
        <w:tc>
          <w:tcPr>
            <w:tcW w:w="1603" w:type="dxa"/>
            <w:vMerge w:val="restart"/>
            <w:vAlign w:val="center"/>
            <w:hideMark/>
          </w:tcPr>
          <w:p w:rsidR="00406A77" w:rsidRPr="00697C03" w:rsidRDefault="00406A77" w:rsidP="00BF41DE">
            <w:pPr>
              <w:jc w:val="center"/>
              <w:rPr>
                <w:rFonts w:ascii="標楷體" w:hAnsi="標楷體"/>
                <w:b/>
                <w:sz w:val="28"/>
                <w:szCs w:val="28"/>
              </w:rPr>
            </w:pPr>
            <w:r w:rsidRPr="00697C03">
              <w:rPr>
                <w:rFonts w:ascii="標楷體" w:hAnsi="標楷體" w:hint="eastAsia"/>
                <w:b/>
                <w:sz w:val="28"/>
                <w:szCs w:val="28"/>
              </w:rPr>
              <w:t>次要分類</w:t>
            </w:r>
          </w:p>
        </w:tc>
        <w:tc>
          <w:tcPr>
            <w:tcW w:w="5768" w:type="dxa"/>
            <w:gridSpan w:val="5"/>
            <w:hideMark/>
          </w:tcPr>
          <w:p w:rsidR="00406A77" w:rsidRPr="00697C03" w:rsidRDefault="00406A77" w:rsidP="00BF41DE">
            <w:pPr>
              <w:jc w:val="center"/>
              <w:rPr>
                <w:rFonts w:ascii="標楷體" w:hAnsi="標楷體"/>
                <w:b/>
                <w:sz w:val="28"/>
                <w:szCs w:val="28"/>
              </w:rPr>
            </w:pPr>
            <w:r w:rsidRPr="00697C03">
              <w:rPr>
                <w:rFonts w:ascii="標楷體" w:hAnsi="標楷體" w:hint="eastAsia"/>
                <w:b/>
                <w:sz w:val="28"/>
                <w:szCs w:val="28"/>
              </w:rPr>
              <w:t>合計</w:t>
            </w:r>
            <w:r w:rsidR="0079236E" w:rsidRPr="00697C03">
              <w:rPr>
                <w:rFonts w:ascii="標楷體" w:hAnsi="標楷體" w:hint="eastAsia"/>
                <w:b/>
                <w:sz w:val="28"/>
                <w:szCs w:val="28"/>
              </w:rPr>
              <w:t>（</w:t>
            </w:r>
            <w:r w:rsidRPr="00697C03">
              <w:rPr>
                <w:rFonts w:ascii="標楷體" w:hAnsi="標楷體" w:hint="eastAsia"/>
                <w:b/>
                <w:sz w:val="28"/>
                <w:szCs w:val="28"/>
              </w:rPr>
              <w:t>學年度</w:t>
            </w:r>
            <w:r w:rsidR="0079236E" w:rsidRPr="00697C03">
              <w:rPr>
                <w:rFonts w:ascii="標楷體" w:hAnsi="標楷體" w:hint="eastAsia"/>
                <w:b/>
                <w:sz w:val="28"/>
                <w:szCs w:val="28"/>
              </w:rPr>
              <w:t>）</w:t>
            </w:r>
          </w:p>
        </w:tc>
      </w:tr>
      <w:tr w:rsidR="00697C03" w:rsidRPr="00697C03" w:rsidTr="00BF41DE">
        <w:trPr>
          <w:trHeight w:val="336"/>
          <w:jc w:val="center"/>
        </w:trPr>
        <w:tc>
          <w:tcPr>
            <w:tcW w:w="1418" w:type="dxa"/>
            <w:vMerge/>
            <w:hideMark/>
          </w:tcPr>
          <w:p w:rsidR="00406A77" w:rsidRPr="00697C03" w:rsidRDefault="00406A77" w:rsidP="00BF41DE">
            <w:pPr>
              <w:jc w:val="center"/>
              <w:rPr>
                <w:rFonts w:ascii="標楷體" w:hAnsi="標楷體"/>
                <w:b/>
                <w:sz w:val="28"/>
                <w:szCs w:val="28"/>
              </w:rPr>
            </w:pPr>
          </w:p>
        </w:tc>
        <w:tc>
          <w:tcPr>
            <w:tcW w:w="1603" w:type="dxa"/>
            <w:vMerge/>
            <w:hideMark/>
          </w:tcPr>
          <w:p w:rsidR="00406A77" w:rsidRPr="00697C03" w:rsidRDefault="00406A77" w:rsidP="00BF41DE">
            <w:pPr>
              <w:jc w:val="center"/>
              <w:rPr>
                <w:rFonts w:ascii="標楷體" w:hAnsi="標楷體"/>
                <w:b/>
                <w:sz w:val="28"/>
                <w:szCs w:val="28"/>
              </w:rPr>
            </w:pPr>
          </w:p>
        </w:tc>
        <w:tc>
          <w:tcPr>
            <w:tcW w:w="1117" w:type="dxa"/>
            <w:noWrap/>
            <w:hideMark/>
          </w:tcPr>
          <w:p w:rsidR="00406A77" w:rsidRPr="00697C03" w:rsidRDefault="00406A77" w:rsidP="00BF41DE">
            <w:pPr>
              <w:jc w:val="center"/>
              <w:rPr>
                <w:rFonts w:ascii="標楷體" w:hAnsi="標楷體"/>
                <w:b/>
                <w:sz w:val="28"/>
                <w:szCs w:val="28"/>
              </w:rPr>
            </w:pPr>
            <w:r w:rsidRPr="00697C03">
              <w:rPr>
                <w:rFonts w:ascii="標楷體" w:hAnsi="標楷體" w:hint="eastAsia"/>
                <w:b/>
                <w:sz w:val="28"/>
                <w:szCs w:val="28"/>
              </w:rPr>
              <w:t>103</w:t>
            </w:r>
          </w:p>
        </w:tc>
        <w:tc>
          <w:tcPr>
            <w:tcW w:w="1249" w:type="dxa"/>
            <w:noWrap/>
            <w:hideMark/>
          </w:tcPr>
          <w:p w:rsidR="00406A77" w:rsidRPr="00697C03" w:rsidRDefault="00406A77" w:rsidP="00BF41DE">
            <w:pPr>
              <w:jc w:val="center"/>
              <w:rPr>
                <w:rFonts w:ascii="標楷體" w:hAnsi="標楷體"/>
                <w:b/>
                <w:sz w:val="28"/>
                <w:szCs w:val="28"/>
              </w:rPr>
            </w:pPr>
            <w:r w:rsidRPr="00697C03">
              <w:rPr>
                <w:rFonts w:ascii="標楷體" w:hAnsi="標楷體" w:hint="eastAsia"/>
                <w:b/>
                <w:sz w:val="28"/>
                <w:szCs w:val="28"/>
              </w:rPr>
              <w:t>104</w:t>
            </w:r>
          </w:p>
        </w:tc>
        <w:tc>
          <w:tcPr>
            <w:tcW w:w="1134" w:type="dxa"/>
            <w:noWrap/>
            <w:hideMark/>
          </w:tcPr>
          <w:p w:rsidR="00406A77" w:rsidRPr="00697C03" w:rsidRDefault="00406A77" w:rsidP="00BF41DE">
            <w:pPr>
              <w:jc w:val="center"/>
              <w:rPr>
                <w:rFonts w:ascii="標楷體" w:hAnsi="標楷體"/>
                <w:b/>
                <w:sz w:val="28"/>
                <w:szCs w:val="28"/>
              </w:rPr>
            </w:pPr>
            <w:r w:rsidRPr="00697C03">
              <w:rPr>
                <w:rFonts w:ascii="標楷體" w:hAnsi="標楷體" w:hint="eastAsia"/>
                <w:b/>
                <w:sz w:val="28"/>
                <w:szCs w:val="28"/>
              </w:rPr>
              <w:t>105</w:t>
            </w:r>
          </w:p>
        </w:tc>
        <w:tc>
          <w:tcPr>
            <w:tcW w:w="1134" w:type="dxa"/>
            <w:noWrap/>
            <w:hideMark/>
          </w:tcPr>
          <w:p w:rsidR="00406A77" w:rsidRPr="00697C03" w:rsidRDefault="00406A77" w:rsidP="00BF41DE">
            <w:pPr>
              <w:jc w:val="center"/>
              <w:rPr>
                <w:rFonts w:ascii="標楷體" w:hAnsi="標楷體"/>
                <w:b/>
                <w:sz w:val="28"/>
                <w:szCs w:val="28"/>
              </w:rPr>
            </w:pPr>
            <w:r w:rsidRPr="00697C03">
              <w:rPr>
                <w:rFonts w:ascii="標楷體" w:hAnsi="標楷體" w:hint="eastAsia"/>
                <w:b/>
                <w:sz w:val="28"/>
                <w:szCs w:val="28"/>
              </w:rPr>
              <w:t>106</w:t>
            </w:r>
          </w:p>
        </w:tc>
        <w:tc>
          <w:tcPr>
            <w:tcW w:w="1134" w:type="dxa"/>
            <w:noWrap/>
            <w:hideMark/>
          </w:tcPr>
          <w:p w:rsidR="00406A77" w:rsidRPr="00697C03" w:rsidRDefault="00406A77" w:rsidP="00BF41DE">
            <w:pPr>
              <w:jc w:val="center"/>
              <w:rPr>
                <w:rFonts w:ascii="標楷體" w:hAnsi="標楷體"/>
                <w:b/>
                <w:sz w:val="28"/>
                <w:szCs w:val="28"/>
              </w:rPr>
            </w:pPr>
            <w:r w:rsidRPr="00697C03">
              <w:rPr>
                <w:rFonts w:ascii="標楷體" w:hAnsi="標楷體" w:hint="eastAsia"/>
                <w:b/>
                <w:sz w:val="28"/>
                <w:szCs w:val="28"/>
              </w:rPr>
              <w:t>107</w:t>
            </w:r>
          </w:p>
        </w:tc>
      </w:tr>
      <w:tr w:rsidR="00697C03" w:rsidRPr="00697C03" w:rsidTr="00BF41DE">
        <w:trPr>
          <w:trHeight w:val="336"/>
          <w:jc w:val="center"/>
        </w:trPr>
        <w:tc>
          <w:tcPr>
            <w:tcW w:w="1418" w:type="dxa"/>
            <w:vMerge w:val="restart"/>
            <w:vAlign w:val="center"/>
            <w:hideMark/>
          </w:tcPr>
          <w:p w:rsidR="00406A77" w:rsidRPr="00697C03" w:rsidRDefault="00406A77" w:rsidP="00BF41DE">
            <w:pPr>
              <w:jc w:val="center"/>
              <w:rPr>
                <w:rFonts w:ascii="標楷體" w:hAnsi="標楷體"/>
                <w:b/>
                <w:sz w:val="28"/>
                <w:szCs w:val="28"/>
              </w:rPr>
            </w:pPr>
            <w:r w:rsidRPr="00697C03">
              <w:rPr>
                <w:rFonts w:ascii="標楷體" w:hAnsi="標楷體" w:hint="eastAsia"/>
                <w:b/>
                <w:sz w:val="28"/>
                <w:szCs w:val="28"/>
              </w:rPr>
              <w:t>年級別</w:t>
            </w:r>
          </w:p>
        </w:tc>
        <w:tc>
          <w:tcPr>
            <w:tcW w:w="1603" w:type="dxa"/>
            <w:vAlign w:val="center"/>
            <w:hideMark/>
          </w:tcPr>
          <w:p w:rsidR="00406A77" w:rsidRPr="00697C03" w:rsidRDefault="00406A77" w:rsidP="00BF41DE">
            <w:pPr>
              <w:jc w:val="center"/>
              <w:rPr>
                <w:rFonts w:ascii="標楷體" w:hAnsi="標楷體"/>
                <w:b/>
                <w:sz w:val="26"/>
                <w:szCs w:val="26"/>
              </w:rPr>
            </w:pPr>
            <w:r w:rsidRPr="00697C03">
              <w:rPr>
                <w:rFonts w:ascii="標楷體" w:hAnsi="標楷體" w:hint="eastAsia"/>
                <w:b/>
                <w:sz w:val="26"/>
                <w:szCs w:val="26"/>
              </w:rPr>
              <w:t>一年級</w:t>
            </w:r>
          </w:p>
        </w:tc>
        <w:tc>
          <w:tcPr>
            <w:tcW w:w="1117" w:type="dxa"/>
            <w:vAlign w:val="center"/>
            <w:hideMark/>
          </w:tcPr>
          <w:p w:rsidR="00406A77" w:rsidRPr="00697C03" w:rsidRDefault="00406A77" w:rsidP="00BF41DE">
            <w:pPr>
              <w:jc w:val="right"/>
              <w:rPr>
                <w:rFonts w:ascii="標楷體" w:hAnsi="標楷體"/>
                <w:b/>
                <w:sz w:val="26"/>
                <w:szCs w:val="26"/>
              </w:rPr>
            </w:pPr>
            <w:r w:rsidRPr="00697C03">
              <w:rPr>
                <w:rFonts w:ascii="標楷體" w:hAnsi="標楷體" w:hint="eastAsia"/>
                <w:b/>
                <w:sz w:val="26"/>
                <w:szCs w:val="26"/>
              </w:rPr>
              <w:t>14,759</w:t>
            </w:r>
          </w:p>
        </w:tc>
        <w:tc>
          <w:tcPr>
            <w:tcW w:w="1249" w:type="dxa"/>
            <w:vAlign w:val="center"/>
            <w:hideMark/>
          </w:tcPr>
          <w:p w:rsidR="00406A77" w:rsidRPr="00697C03" w:rsidRDefault="00406A77" w:rsidP="00BF41DE">
            <w:pPr>
              <w:jc w:val="right"/>
              <w:rPr>
                <w:rFonts w:ascii="標楷體" w:hAnsi="標楷體"/>
                <w:b/>
                <w:sz w:val="26"/>
                <w:szCs w:val="26"/>
              </w:rPr>
            </w:pPr>
            <w:r w:rsidRPr="00697C03">
              <w:rPr>
                <w:rFonts w:ascii="標楷體" w:hAnsi="標楷體" w:hint="eastAsia"/>
                <w:b/>
                <w:sz w:val="26"/>
                <w:szCs w:val="26"/>
              </w:rPr>
              <w:t>14,065</w:t>
            </w:r>
          </w:p>
        </w:tc>
        <w:tc>
          <w:tcPr>
            <w:tcW w:w="1134" w:type="dxa"/>
            <w:vAlign w:val="center"/>
            <w:hideMark/>
          </w:tcPr>
          <w:p w:rsidR="00406A77" w:rsidRPr="00697C03" w:rsidRDefault="00406A77" w:rsidP="00BF41DE">
            <w:pPr>
              <w:jc w:val="right"/>
              <w:rPr>
                <w:rFonts w:ascii="標楷體" w:hAnsi="標楷體"/>
                <w:b/>
                <w:sz w:val="26"/>
                <w:szCs w:val="26"/>
              </w:rPr>
            </w:pPr>
            <w:r w:rsidRPr="00697C03">
              <w:rPr>
                <w:rFonts w:ascii="標楷體" w:hAnsi="標楷體" w:hint="eastAsia"/>
                <w:b/>
                <w:sz w:val="26"/>
                <w:szCs w:val="26"/>
              </w:rPr>
              <w:t>13,731</w:t>
            </w:r>
          </w:p>
        </w:tc>
        <w:tc>
          <w:tcPr>
            <w:tcW w:w="1134" w:type="dxa"/>
            <w:vAlign w:val="center"/>
            <w:hideMark/>
          </w:tcPr>
          <w:p w:rsidR="00406A77" w:rsidRPr="00697C03" w:rsidRDefault="00406A77" w:rsidP="00BF41DE">
            <w:pPr>
              <w:jc w:val="right"/>
              <w:rPr>
                <w:rFonts w:ascii="標楷體" w:hAnsi="標楷體"/>
                <w:b/>
                <w:sz w:val="26"/>
                <w:szCs w:val="26"/>
              </w:rPr>
            </w:pPr>
            <w:r w:rsidRPr="00697C03">
              <w:rPr>
                <w:rFonts w:ascii="標楷體" w:hAnsi="標楷體" w:hint="eastAsia"/>
                <w:b/>
                <w:sz w:val="26"/>
                <w:szCs w:val="26"/>
              </w:rPr>
              <w:t>12,115</w:t>
            </w:r>
          </w:p>
        </w:tc>
        <w:tc>
          <w:tcPr>
            <w:tcW w:w="1134" w:type="dxa"/>
            <w:vAlign w:val="center"/>
            <w:hideMark/>
          </w:tcPr>
          <w:p w:rsidR="00406A77" w:rsidRPr="00697C03" w:rsidRDefault="00406A77" w:rsidP="00BF41DE">
            <w:pPr>
              <w:jc w:val="right"/>
              <w:rPr>
                <w:rFonts w:ascii="標楷體" w:hAnsi="標楷體"/>
                <w:b/>
                <w:sz w:val="26"/>
                <w:szCs w:val="26"/>
              </w:rPr>
            </w:pPr>
            <w:r w:rsidRPr="00697C03">
              <w:rPr>
                <w:rFonts w:ascii="標楷體" w:hAnsi="標楷體" w:hint="eastAsia"/>
                <w:b/>
                <w:sz w:val="26"/>
                <w:szCs w:val="26"/>
              </w:rPr>
              <w:t>9,072</w:t>
            </w:r>
          </w:p>
        </w:tc>
      </w:tr>
      <w:tr w:rsidR="00697C03" w:rsidRPr="00697C03" w:rsidTr="00BF41DE">
        <w:trPr>
          <w:trHeight w:val="336"/>
          <w:jc w:val="center"/>
        </w:trPr>
        <w:tc>
          <w:tcPr>
            <w:tcW w:w="1418" w:type="dxa"/>
            <w:vMerge/>
            <w:hideMark/>
          </w:tcPr>
          <w:p w:rsidR="00406A77" w:rsidRPr="00697C03" w:rsidRDefault="00406A77" w:rsidP="00BF41DE">
            <w:pPr>
              <w:rPr>
                <w:rFonts w:ascii="標楷體" w:hAnsi="標楷體"/>
                <w:b/>
                <w:sz w:val="28"/>
                <w:szCs w:val="28"/>
              </w:rPr>
            </w:pPr>
          </w:p>
        </w:tc>
        <w:tc>
          <w:tcPr>
            <w:tcW w:w="1603" w:type="dxa"/>
            <w:vAlign w:val="center"/>
            <w:hideMark/>
          </w:tcPr>
          <w:p w:rsidR="00406A77" w:rsidRPr="00697C03" w:rsidRDefault="00406A77" w:rsidP="00BF41DE">
            <w:pPr>
              <w:jc w:val="center"/>
              <w:rPr>
                <w:rFonts w:ascii="標楷體" w:hAnsi="標楷體"/>
                <w:sz w:val="26"/>
                <w:szCs w:val="26"/>
              </w:rPr>
            </w:pPr>
            <w:r w:rsidRPr="00697C03">
              <w:rPr>
                <w:rFonts w:ascii="標楷體" w:hAnsi="標楷體" w:hint="eastAsia"/>
                <w:sz w:val="26"/>
                <w:szCs w:val="26"/>
              </w:rPr>
              <w:t>二年級</w:t>
            </w:r>
          </w:p>
        </w:tc>
        <w:tc>
          <w:tcPr>
            <w:tcW w:w="1117" w:type="dxa"/>
            <w:vAlign w:val="center"/>
            <w:hideMark/>
          </w:tcPr>
          <w:p w:rsidR="00406A77" w:rsidRPr="00697C03" w:rsidRDefault="00406A77" w:rsidP="00BF41DE">
            <w:pPr>
              <w:jc w:val="right"/>
              <w:rPr>
                <w:rFonts w:ascii="標楷體" w:hAnsi="標楷體"/>
                <w:sz w:val="26"/>
                <w:szCs w:val="26"/>
              </w:rPr>
            </w:pPr>
            <w:r w:rsidRPr="00697C03">
              <w:rPr>
                <w:rFonts w:ascii="標楷體" w:hAnsi="標楷體" w:hint="eastAsia"/>
                <w:sz w:val="26"/>
                <w:szCs w:val="26"/>
              </w:rPr>
              <w:t>6,082</w:t>
            </w:r>
          </w:p>
        </w:tc>
        <w:tc>
          <w:tcPr>
            <w:tcW w:w="1249" w:type="dxa"/>
            <w:vAlign w:val="center"/>
            <w:hideMark/>
          </w:tcPr>
          <w:p w:rsidR="00406A77" w:rsidRPr="00697C03" w:rsidRDefault="00406A77" w:rsidP="00BF41DE">
            <w:pPr>
              <w:jc w:val="right"/>
              <w:rPr>
                <w:rFonts w:ascii="標楷體" w:hAnsi="標楷體"/>
                <w:sz w:val="26"/>
                <w:szCs w:val="26"/>
              </w:rPr>
            </w:pPr>
            <w:r w:rsidRPr="00697C03">
              <w:rPr>
                <w:rFonts w:ascii="標楷體" w:hAnsi="標楷體" w:hint="eastAsia"/>
                <w:sz w:val="26"/>
                <w:szCs w:val="26"/>
              </w:rPr>
              <w:t>5,706</w:t>
            </w:r>
          </w:p>
        </w:tc>
        <w:tc>
          <w:tcPr>
            <w:tcW w:w="1134" w:type="dxa"/>
            <w:vAlign w:val="center"/>
            <w:hideMark/>
          </w:tcPr>
          <w:p w:rsidR="00406A77" w:rsidRPr="00697C03" w:rsidRDefault="00406A77" w:rsidP="00BF41DE">
            <w:pPr>
              <w:jc w:val="right"/>
              <w:rPr>
                <w:rFonts w:ascii="標楷體" w:hAnsi="標楷體"/>
                <w:sz w:val="26"/>
                <w:szCs w:val="26"/>
              </w:rPr>
            </w:pPr>
            <w:r w:rsidRPr="00697C03">
              <w:rPr>
                <w:rFonts w:ascii="標楷體" w:hAnsi="標楷體" w:hint="eastAsia"/>
                <w:sz w:val="26"/>
                <w:szCs w:val="26"/>
              </w:rPr>
              <w:t>5,673</w:t>
            </w:r>
          </w:p>
        </w:tc>
        <w:tc>
          <w:tcPr>
            <w:tcW w:w="1134" w:type="dxa"/>
            <w:vAlign w:val="center"/>
            <w:hideMark/>
          </w:tcPr>
          <w:p w:rsidR="00406A77" w:rsidRPr="00697C03" w:rsidRDefault="00406A77" w:rsidP="00BF41DE">
            <w:pPr>
              <w:jc w:val="right"/>
              <w:rPr>
                <w:rFonts w:ascii="標楷體" w:hAnsi="標楷體"/>
                <w:sz w:val="26"/>
                <w:szCs w:val="26"/>
              </w:rPr>
            </w:pPr>
            <w:r w:rsidRPr="00697C03">
              <w:rPr>
                <w:rFonts w:ascii="標楷體" w:hAnsi="標楷體" w:hint="eastAsia"/>
                <w:sz w:val="26"/>
                <w:szCs w:val="26"/>
              </w:rPr>
              <w:t>6,014</w:t>
            </w:r>
          </w:p>
        </w:tc>
        <w:tc>
          <w:tcPr>
            <w:tcW w:w="1134" w:type="dxa"/>
            <w:vAlign w:val="center"/>
            <w:hideMark/>
          </w:tcPr>
          <w:p w:rsidR="00406A77" w:rsidRPr="00697C03" w:rsidRDefault="00406A77" w:rsidP="00BF41DE">
            <w:pPr>
              <w:jc w:val="right"/>
              <w:rPr>
                <w:rFonts w:ascii="標楷體" w:hAnsi="標楷體"/>
                <w:sz w:val="26"/>
                <w:szCs w:val="26"/>
              </w:rPr>
            </w:pPr>
            <w:r w:rsidRPr="00697C03">
              <w:rPr>
                <w:rFonts w:ascii="標楷體" w:hAnsi="標楷體" w:hint="eastAsia"/>
                <w:sz w:val="26"/>
                <w:szCs w:val="26"/>
              </w:rPr>
              <w:t>5,397</w:t>
            </w:r>
          </w:p>
        </w:tc>
      </w:tr>
      <w:tr w:rsidR="00697C03" w:rsidRPr="00697C03" w:rsidTr="00BF41DE">
        <w:trPr>
          <w:trHeight w:val="336"/>
          <w:jc w:val="center"/>
        </w:trPr>
        <w:tc>
          <w:tcPr>
            <w:tcW w:w="1418" w:type="dxa"/>
            <w:vMerge/>
            <w:hideMark/>
          </w:tcPr>
          <w:p w:rsidR="00406A77" w:rsidRPr="00697C03" w:rsidRDefault="00406A77" w:rsidP="00BF41DE">
            <w:pPr>
              <w:rPr>
                <w:rFonts w:ascii="標楷體" w:hAnsi="標楷體"/>
                <w:b/>
                <w:sz w:val="28"/>
                <w:szCs w:val="28"/>
              </w:rPr>
            </w:pPr>
          </w:p>
        </w:tc>
        <w:tc>
          <w:tcPr>
            <w:tcW w:w="1603" w:type="dxa"/>
            <w:vAlign w:val="center"/>
            <w:hideMark/>
          </w:tcPr>
          <w:p w:rsidR="00406A77" w:rsidRPr="00697C03" w:rsidRDefault="00406A77" w:rsidP="00BF41DE">
            <w:pPr>
              <w:jc w:val="center"/>
              <w:rPr>
                <w:rFonts w:ascii="標楷體" w:hAnsi="標楷體"/>
                <w:sz w:val="26"/>
                <w:szCs w:val="26"/>
              </w:rPr>
            </w:pPr>
            <w:r w:rsidRPr="00697C03">
              <w:rPr>
                <w:rFonts w:ascii="標楷體" w:hAnsi="標楷體" w:hint="eastAsia"/>
                <w:sz w:val="26"/>
                <w:szCs w:val="26"/>
              </w:rPr>
              <w:t>三年級</w:t>
            </w:r>
          </w:p>
        </w:tc>
        <w:tc>
          <w:tcPr>
            <w:tcW w:w="1117" w:type="dxa"/>
            <w:vAlign w:val="center"/>
            <w:hideMark/>
          </w:tcPr>
          <w:p w:rsidR="00406A77" w:rsidRPr="00697C03" w:rsidRDefault="00406A77" w:rsidP="00BF41DE">
            <w:pPr>
              <w:jc w:val="right"/>
              <w:rPr>
                <w:rFonts w:ascii="標楷體" w:hAnsi="標楷體"/>
                <w:sz w:val="26"/>
                <w:szCs w:val="26"/>
              </w:rPr>
            </w:pPr>
            <w:r w:rsidRPr="00697C03">
              <w:rPr>
                <w:rFonts w:ascii="標楷體" w:hAnsi="標楷體" w:hint="eastAsia"/>
                <w:sz w:val="26"/>
                <w:szCs w:val="26"/>
              </w:rPr>
              <w:t>1,920</w:t>
            </w:r>
          </w:p>
        </w:tc>
        <w:tc>
          <w:tcPr>
            <w:tcW w:w="1249" w:type="dxa"/>
            <w:vAlign w:val="center"/>
            <w:hideMark/>
          </w:tcPr>
          <w:p w:rsidR="00406A77" w:rsidRPr="00697C03" w:rsidRDefault="00406A77" w:rsidP="00BF41DE">
            <w:pPr>
              <w:jc w:val="right"/>
              <w:rPr>
                <w:rFonts w:ascii="標楷體" w:hAnsi="標楷體"/>
                <w:sz w:val="26"/>
                <w:szCs w:val="26"/>
              </w:rPr>
            </w:pPr>
            <w:r w:rsidRPr="00697C03">
              <w:rPr>
                <w:rFonts w:ascii="標楷體" w:hAnsi="標楷體" w:hint="eastAsia"/>
                <w:sz w:val="26"/>
                <w:szCs w:val="26"/>
              </w:rPr>
              <w:t>2,015</w:t>
            </w:r>
          </w:p>
        </w:tc>
        <w:tc>
          <w:tcPr>
            <w:tcW w:w="1134" w:type="dxa"/>
            <w:vAlign w:val="center"/>
            <w:hideMark/>
          </w:tcPr>
          <w:p w:rsidR="00406A77" w:rsidRPr="00697C03" w:rsidRDefault="00406A77" w:rsidP="00BF41DE">
            <w:pPr>
              <w:jc w:val="right"/>
              <w:rPr>
                <w:rFonts w:ascii="標楷體" w:hAnsi="標楷體"/>
                <w:sz w:val="26"/>
                <w:szCs w:val="26"/>
              </w:rPr>
            </w:pPr>
            <w:r w:rsidRPr="00697C03">
              <w:rPr>
                <w:rFonts w:ascii="標楷體" w:hAnsi="標楷體" w:hint="eastAsia"/>
                <w:sz w:val="26"/>
                <w:szCs w:val="26"/>
              </w:rPr>
              <w:t>2,106</w:t>
            </w:r>
          </w:p>
        </w:tc>
        <w:tc>
          <w:tcPr>
            <w:tcW w:w="1134" w:type="dxa"/>
            <w:vAlign w:val="center"/>
            <w:hideMark/>
          </w:tcPr>
          <w:p w:rsidR="00406A77" w:rsidRPr="00697C03" w:rsidRDefault="00406A77" w:rsidP="00BF41DE">
            <w:pPr>
              <w:jc w:val="right"/>
              <w:rPr>
                <w:rFonts w:ascii="標楷體" w:hAnsi="標楷體"/>
                <w:sz w:val="26"/>
                <w:szCs w:val="26"/>
              </w:rPr>
            </w:pPr>
            <w:r w:rsidRPr="00697C03">
              <w:rPr>
                <w:rFonts w:ascii="標楷體" w:hAnsi="標楷體" w:hint="eastAsia"/>
                <w:sz w:val="26"/>
                <w:szCs w:val="26"/>
              </w:rPr>
              <w:t>2,047</w:t>
            </w:r>
          </w:p>
        </w:tc>
        <w:tc>
          <w:tcPr>
            <w:tcW w:w="1134" w:type="dxa"/>
            <w:vAlign w:val="center"/>
            <w:hideMark/>
          </w:tcPr>
          <w:p w:rsidR="00406A77" w:rsidRPr="00697C03" w:rsidRDefault="00406A77" w:rsidP="00BF41DE">
            <w:pPr>
              <w:jc w:val="right"/>
              <w:rPr>
                <w:rFonts w:ascii="標楷體" w:hAnsi="標楷體"/>
                <w:sz w:val="26"/>
                <w:szCs w:val="26"/>
              </w:rPr>
            </w:pPr>
            <w:r w:rsidRPr="00697C03">
              <w:rPr>
                <w:rFonts w:ascii="標楷體" w:hAnsi="標楷體" w:hint="eastAsia"/>
                <w:sz w:val="26"/>
                <w:szCs w:val="26"/>
              </w:rPr>
              <w:t>2,113</w:t>
            </w:r>
          </w:p>
        </w:tc>
      </w:tr>
      <w:tr w:rsidR="00697C03" w:rsidRPr="00697C03" w:rsidTr="00BF41DE">
        <w:trPr>
          <w:trHeight w:val="63"/>
          <w:jc w:val="center"/>
        </w:trPr>
        <w:tc>
          <w:tcPr>
            <w:tcW w:w="1418" w:type="dxa"/>
            <w:vMerge/>
            <w:hideMark/>
          </w:tcPr>
          <w:p w:rsidR="00406A77" w:rsidRPr="00697C03" w:rsidRDefault="00406A77" w:rsidP="00BF41DE">
            <w:pPr>
              <w:rPr>
                <w:rFonts w:ascii="標楷體" w:hAnsi="標楷體"/>
                <w:b/>
                <w:sz w:val="28"/>
                <w:szCs w:val="28"/>
              </w:rPr>
            </w:pPr>
          </w:p>
        </w:tc>
        <w:tc>
          <w:tcPr>
            <w:tcW w:w="1603" w:type="dxa"/>
            <w:vAlign w:val="center"/>
            <w:hideMark/>
          </w:tcPr>
          <w:p w:rsidR="00406A77" w:rsidRPr="00697C03" w:rsidRDefault="00406A77" w:rsidP="00BF41DE">
            <w:pPr>
              <w:jc w:val="center"/>
              <w:rPr>
                <w:rFonts w:ascii="標楷體" w:hAnsi="標楷體"/>
                <w:sz w:val="24"/>
                <w:szCs w:val="24"/>
              </w:rPr>
            </w:pPr>
            <w:r w:rsidRPr="00697C03">
              <w:rPr>
                <w:rFonts w:ascii="標楷體" w:hAnsi="標楷體" w:hint="eastAsia"/>
                <w:sz w:val="24"/>
                <w:szCs w:val="24"/>
              </w:rPr>
              <w:t>年級別小計</w:t>
            </w:r>
          </w:p>
        </w:tc>
        <w:tc>
          <w:tcPr>
            <w:tcW w:w="1117" w:type="dxa"/>
            <w:vAlign w:val="center"/>
            <w:hideMark/>
          </w:tcPr>
          <w:p w:rsidR="00406A77" w:rsidRPr="00697C03" w:rsidRDefault="00406A77" w:rsidP="00BF41DE">
            <w:pPr>
              <w:jc w:val="right"/>
              <w:rPr>
                <w:rFonts w:ascii="標楷體" w:hAnsi="標楷體"/>
                <w:sz w:val="26"/>
                <w:szCs w:val="26"/>
              </w:rPr>
            </w:pPr>
            <w:r w:rsidRPr="00697C03">
              <w:rPr>
                <w:rFonts w:ascii="標楷體" w:hAnsi="標楷體" w:hint="eastAsia"/>
                <w:sz w:val="26"/>
                <w:szCs w:val="26"/>
              </w:rPr>
              <w:t>22,864</w:t>
            </w:r>
          </w:p>
        </w:tc>
        <w:tc>
          <w:tcPr>
            <w:tcW w:w="1249" w:type="dxa"/>
            <w:vAlign w:val="center"/>
            <w:hideMark/>
          </w:tcPr>
          <w:p w:rsidR="00406A77" w:rsidRPr="00697C03" w:rsidRDefault="00406A77" w:rsidP="00BF41DE">
            <w:pPr>
              <w:jc w:val="right"/>
              <w:rPr>
                <w:rFonts w:ascii="標楷體" w:hAnsi="標楷體"/>
                <w:sz w:val="26"/>
                <w:szCs w:val="26"/>
              </w:rPr>
            </w:pPr>
            <w:r w:rsidRPr="00697C03">
              <w:rPr>
                <w:rFonts w:ascii="標楷體" w:hAnsi="標楷體" w:hint="eastAsia"/>
                <w:sz w:val="26"/>
                <w:szCs w:val="26"/>
              </w:rPr>
              <w:t>21,890</w:t>
            </w:r>
          </w:p>
        </w:tc>
        <w:tc>
          <w:tcPr>
            <w:tcW w:w="1134" w:type="dxa"/>
            <w:vAlign w:val="center"/>
            <w:hideMark/>
          </w:tcPr>
          <w:p w:rsidR="00406A77" w:rsidRPr="00697C03" w:rsidRDefault="00406A77" w:rsidP="00BF41DE">
            <w:pPr>
              <w:jc w:val="right"/>
              <w:rPr>
                <w:rFonts w:ascii="標楷體" w:hAnsi="標楷體"/>
                <w:sz w:val="26"/>
                <w:szCs w:val="26"/>
              </w:rPr>
            </w:pPr>
            <w:r w:rsidRPr="00697C03">
              <w:rPr>
                <w:rFonts w:ascii="標楷體" w:hAnsi="標楷體" w:hint="eastAsia"/>
                <w:sz w:val="26"/>
                <w:szCs w:val="26"/>
              </w:rPr>
              <w:t>21,615</w:t>
            </w:r>
          </w:p>
        </w:tc>
        <w:tc>
          <w:tcPr>
            <w:tcW w:w="1134" w:type="dxa"/>
            <w:vAlign w:val="center"/>
            <w:hideMark/>
          </w:tcPr>
          <w:p w:rsidR="00406A77" w:rsidRPr="00697C03" w:rsidRDefault="00406A77" w:rsidP="00BF41DE">
            <w:pPr>
              <w:jc w:val="right"/>
              <w:rPr>
                <w:rFonts w:ascii="標楷體" w:hAnsi="標楷體"/>
                <w:sz w:val="26"/>
                <w:szCs w:val="26"/>
              </w:rPr>
            </w:pPr>
            <w:r w:rsidRPr="00697C03">
              <w:rPr>
                <w:rFonts w:ascii="標楷體" w:hAnsi="標楷體" w:hint="eastAsia"/>
                <w:sz w:val="26"/>
                <w:szCs w:val="26"/>
              </w:rPr>
              <w:t>20,282</w:t>
            </w:r>
          </w:p>
        </w:tc>
        <w:tc>
          <w:tcPr>
            <w:tcW w:w="1134" w:type="dxa"/>
            <w:vAlign w:val="center"/>
            <w:hideMark/>
          </w:tcPr>
          <w:p w:rsidR="00406A77" w:rsidRPr="00697C03" w:rsidRDefault="00406A77" w:rsidP="00BF41DE">
            <w:pPr>
              <w:jc w:val="right"/>
              <w:rPr>
                <w:rFonts w:ascii="標楷體" w:hAnsi="標楷體"/>
                <w:sz w:val="26"/>
                <w:szCs w:val="26"/>
              </w:rPr>
            </w:pPr>
            <w:r w:rsidRPr="00697C03">
              <w:rPr>
                <w:rFonts w:ascii="標楷體" w:hAnsi="標楷體" w:hint="eastAsia"/>
                <w:sz w:val="26"/>
                <w:szCs w:val="26"/>
              </w:rPr>
              <w:t>16,689</w:t>
            </w:r>
          </w:p>
        </w:tc>
      </w:tr>
      <w:tr w:rsidR="00697C03" w:rsidRPr="00697C03" w:rsidTr="00BF41DE">
        <w:trPr>
          <w:trHeight w:val="324"/>
          <w:jc w:val="center"/>
        </w:trPr>
        <w:tc>
          <w:tcPr>
            <w:tcW w:w="3021" w:type="dxa"/>
            <w:gridSpan w:val="2"/>
            <w:noWrap/>
            <w:vAlign w:val="center"/>
            <w:hideMark/>
          </w:tcPr>
          <w:p w:rsidR="00406A77" w:rsidRPr="00697C03" w:rsidRDefault="00406A77" w:rsidP="00BF41DE">
            <w:pPr>
              <w:jc w:val="center"/>
              <w:rPr>
                <w:rFonts w:ascii="標楷體" w:hAnsi="標楷體"/>
                <w:sz w:val="28"/>
                <w:szCs w:val="28"/>
              </w:rPr>
            </w:pPr>
            <w:r w:rsidRPr="00697C03">
              <w:rPr>
                <w:rFonts w:ascii="標楷體" w:hAnsi="標楷體" w:hint="eastAsia"/>
                <w:b/>
                <w:sz w:val="28"/>
                <w:szCs w:val="28"/>
              </w:rPr>
              <w:t>一年級生占比情形</w:t>
            </w:r>
          </w:p>
        </w:tc>
        <w:tc>
          <w:tcPr>
            <w:tcW w:w="1117" w:type="dxa"/>
            <w:noWrap/>
            <w:vAlign w:val="center"/>
            <w:hideMark/>
          </w:tcPr>
          <w:p w:rsidR="00406A77" w:rsidRPr="00697C03" w:rsidRDefault="00406A77" w:rsidP="00BF41DE">
            <w:pPr>
              <w:jc w:val="center"/>
              <w:rPr>
                <w:rFonts w:ascii="標楷體" w:hAnsi="標楷體"/>
                <w:b/>
                <w:sz w:val="28"/>
                <w:szCs w:val="28"/>
              </w:rPr>
            </w:pPr>
            <w:r w:rsidRPr="00697C03">
              <w:rPr>
                <w:rFonts w:ascii="標楷體" w:hAnsi="標楷體" w:hint="eastAsia"/>
                <w:b/>
                <w:sz w:val="28"/>
                <w:szCs w:val="28"/>
              </w:rPr>
              <w:t>0.65</w:t>
            </w:r>
          </w:p>
        </w:tc>
        <w:tc>
          <w:tcPr>
            <w:tcW w:w="1249" w:type="dxa"/>
            <w:noWrap/>
            <w:vAlign w:val="center"/>
            <w:hideMark/>
          </w:tcPr>
          <w:p w:rsidR="00406A77" w:rsidRPr="00697C03" w:rsidRDefault="00406A77" w:rsidP="00BF41DE">
            <w:pPr>
              <w:jc w:val="center"/>
              <w:rPr>
                <w:rFonts w:ascii="標楷體" w:hAnsi="標楷體"/>
                <w:b/>
                <w:sz w:val="28"/>
                <w:szCs w:val="28"/>
              </w:rPr>
            </w:pPr>
            <w:r w:rsidRPr="00697C03">
              <w:rPr>
                <w:rFonts w:ascii="標楷體" w:hAnsi="標楷體" w:hint="eastAsia"/>
                <w:b/>
                <w:sz w:val="28"/>
                <w:szCs w:val="28"/>
              </w:rPr>
              <w:t>0.64</w:t>
            </w:r>
          </w:p>
        </w:tc>
        <w:tc>
          <w:tcPr>
            <w:tcW w:w="1134" w:type="dxa"/>
            <w:noWrap/>
            <w:vAlign w:val="center"/>
            <w:hideMark/>
          </w:tcPr>
          <w:p w:rsidR="00406A77" w:rsidRPr="00697C03" w:rsidRDefault="00406A77" w:rsidP="00BF41DE">
            <w:pPr>
              <w:jc w:val="center"/>
              <w:rPr>
                <w:rFonts w:ascii="標楷體" w:hAnsi="標楷體"/>
                <w:b/>
                <w:sz w:val="28"/>
                <w:szCs w:val="28"/>
              </w:rPr>
            </w:pPr>
            <w:r w:rsidRPr="00697C03">
              <w:rPr>
                <w:rFonts w:ascii="標楷體" w:hAnsi="標楷體" w:hint="eastAsia"/>
                <w:b/>
                <w:sz w:val="28"/>
                <w:szCs w:val="28"/>
              </w:rPr>
              <w:t>0.64</w:t>
            </w:r>
          </w:p>
        </w:tc>
        <w:tc>
          <w:tcPr>
            <w:tcW w:w="1134" w:type="dxa"/>
            <w:noWrap/>
            <w:vAlign w:val="center"/>
            <w:hideMark/>
          </w:tcPr>
          <w:p w:rsidR="00406A77" w:rsidRPr="00697C03" w:rsidRDefault="00406A77" w:rsidP="00BF41DE">
            <w:pPr>
              <w:jc w:val="center"/>
              <w:rPr>
                <w:rFonts w:ascii="標楷體" w:hAnsi="標楷體"/>
                <w:b/>
                <w:sz w:val="28"/>
                <w:szCs w:val="28"/>
              </w:rPr>
            </w:pPr>
            <w:r w:rsidRPr="00697C03">
              <w:rPr>
                <w:rFonts w:ascii="標楷體" w:hAnsi="標楷體" w:hint="eastAsia"/>
                <w:b/>
                <w:sz w:val="28"/>
                <w:szCs w:val="28"/>
              </w:rPr>
              <w:t>0.60</w:t>
            </w:r>
          </w:p>
        </w:tc>
        <w:tc>
          <w:tcPr>
            <w:tcW w:w="1134" w:type="dxa"/>
            <w:noWrap/>
            <w:vAlign w:val="center"/>
            <w:hideMark/>
          </w:tcPr>
          <w:p w:rsidR="00406A77" w:rsidRPr="00697C03" w:rsidRDefault="00406A77" w:rsidP="00BF41DE">
            <w:pPr>
              <w:jc w:val="center"/>
              <w:rPr>
                <w:rFonts w:ascii="標楷體" w:hAnsi="標楷體"/>
                <w:b/>
                <w:sz w:val="28"/>
                <w:szCs w:val="28"/>
              </w:rPr>
            </w:pPr>
            <w:r w:rsidRPr="00697C03">
              <w:rPr>
                <w:rFonts w:ascii="標楷體" w:hAnsi="標楷體" w:hint="eastAsia"/>
                <w:b/>
                <w:sz w:val="28"/>
                <w:szCs w:val="28"/>
              </w:rPr>
              <w:t>0.54</w:t>
            </w:r>
          </w:p>
        </w:tc>
      </w:tr>
    </w:tbl>
    <w:p w:rsidR="00406A77" w:rsidRPr="00697C03" w:rsidRDefault="00406A77" w:rsidP="00406A77">
      <w:pPr>
        <w:ind w:firstLineChars="150" w:firstLine="390"/>
        <w:rPr>
          <w:rFonts w:ascii="標楷體" w:hAnsi="標楷體"/>
          <w:sz w:val="24"/>
          <w:szCs w:val="24"/>
        </w:rPr>
      </w:pPr>
      <w:r w:rsidRPr="00697C03">
        <w:rPr>
          <w:rFonts w:ascii="標楷體" w:hAnsi="標楷體" w:hint="eastAsia"/>
          <w:sz w:val="24"/>
          <w:szCs w:val="24"/>
        </w:rPr>
        <w:t>資料來源：本調查整理自教育部調卷資料。</w:t>
      </w:r>
    </w:p>
    <w:p w:rsidR="00406A77" w:rsidRPr="00697C03" w:rsidRDefault="00406A77" w:rsidP="00406A77">
      <w:pPr>
        <w:ind w:firstLineChars="150" w:firstLine="390"/>
        <w:rPr>
          <w:rFonts w:ascii="標楷體" w:hAnsi="標楷體"/>
          <w:sz w:val="24"/>
          <w:szCs w:val="24"/>
        </w:rPr>
      </w:pPr>
    </w:p>
    <w:p w:rsidR="00406A77" w:rsidRPr="00697C03" w:rsidRDefault="00406A77" w:rsidP="00406A77">
      <w:pPr>
        <w:pStyle w:val="3"/>
        <w:kinsoku/>
        <w:ind w:left="1360" w:hanging="680"/>
        <w:rPr>
          <w:rFonts w:hAnsi="標楷體"/>
        </w:rPr>
      </w:pPr>
      <w:r w:rsidRPr="00697C03">
        <w:rPr>
          <w:rFonts w:hAnsi="標楷體" w:hint="eastAsia"/>
        </w:rPr>
        <w:t>再查，依據本院</w:t>
      </w:r>
      <w:r w:rsidR="00761157" w:rsidRPr="00697C03">
        <w:rPr>
          <w:rFonts w:hAnsi="標楷體" w:hint="eastAsia"/>
        </w:rPr>
        <w:t>辦理</w:t>
      </w:r>
      <w:r w:rsidRPr="00697C03">
        <w:rPr>
          <w:rFonts w:hAnsi="標楷體" w:hint="eastAsia"/>
        </w:rPr>
        <w:t>履勘及</w:t>
      </w:r>
      <w:r w:rsidR="003B6A9E" w:rsidRPr="00697C03">
        <w:rPr>
          <w:rFonts w:hAnsi="標楷體" w:hint="eastAsia"/>
        </w:rPr>
        <w:t>簡報</w:t>
      </w:r>
      <w:r w:rsidRPr="00697C03">
        <w:rPr>
          <w:rFonts w:hAnsi="標楷體" w:hint="eastAsia"/>
        </w:rPr>
        <w:t>座談會議相關資料及</w:t>
      </w:r>
      <w:r w:rsidR="00E44BD3" w:rsidRPr="00697C03">
        <w:rPr>
          <w:rFonts w:hAnsi="標楷體" w:hint="eastAsia"/>
        </w:rPr>
        <w:t>現場</w:t>
      </w:r>
      <w:r w:rsidRPr="00697C03">
        <w:rPr>
          <w:rFonts w:hAnsi="標楷體" w:hint="eastAsia"/>
        </w:rPr>
        <w:t>反映意見，</w:t>
      </w:r>
      <w:r w:rsidR="009C1F69" w:rsidRPr="00697C03">
        <w:rPr>
          <w:rFonts w:hAnsi="標楷體" w:hint="eastAsia"/>
        </w:rPr>
        <w:t>縣市指出</w:t>
      </w:r>
      <w:r w:rsidR="00DF6FD5" w:rsidRPr="00697C03">
        <w:rPr>
          <w:rFonts w:hAnsi="標楷體" w:hint="eastAsia"/>
        </w:rPr>
        <w:t>整體</w:t>
      </w:r>
      <w:r w:rsidRPr="00697C03">
        <w:rPr>
          <w:rFonts w:hAnsi="標楷體" w:hint="eastAsia"/>
        </w:rPr>
        <w:t>日間部及進修部中途離校學生的年級分布以高一最多，高二其次，高三最少，其主要癥結可能為多數國中畢業學生於未確定自我生涯定向及未充分認識不同升學進路之要求下，以致認知落差易對新的學習環境產生不適應感，造成多有「志趣不合」休學、轉學或缺曠課等情事。爰就國中畢業生升學輔導試探及定向之選擇，顯示適性教育</w:t>
      </w:r>
      <w:r w:rsidR="00DC2B52" w:rsidRPr="00697C03">
        <w:rPr>
          <w:rFonts w:hAnsi="標楷體" w:hint="eastAsia"/>
        </w:rPr>
        <w:t>成果</w:t>
      </w:r>
      <w:r w:rsidRPr="00697C03">
        <w:rPr>
          <w:rFonts w:hAnsi="標楷體" w:hint="eastAsia"/>
        </w:rPr>
        <w:t>落差極大，教育部應盡速整體檢討，會同縣市政府因應改善。</w:t>
      </w:r>
    </w:p>
    <w:p w:rsidR="00406A77" w:rsidRPr="00697C03" w:rsidRDefault="00C8009C" w:rsidP="00406A77">
      <w:pPr>
        <w:pStyle w:val="3"/>
        <w:kinsoku/>
        <w:ind w:left="1360" w:hanging="680"/>
        <w:rPr>
          <w:rFonts w:hAnsi="標楷體"/>
        </w:rPr>
      </w:pPr>
      <w:r w:rsidRPr="00697C03">
        <w:rPr>
          <w:rFonts w:hAnsi="標楷體" w:hint="eastAsia"/>
        </w:rPr>
        <w:t>惟查</w:t>
      </w:r>
      <w:r w:rsidR="00406A77" w:rsidRPr="00697C03">
        <w:rPr>
          <w:rFonts w:hAnsi="標楷體" w:hint="eastAsia"/>
        </w:rPr>
        <w:t>，</w:t>
      </w:r>
      <w:r w:rsidRPr="00697C03">
        <w:rPr>
          <w:rFonts w:hAnsi="標楷體" w:hint="eastAsia"/>
        </w:rPr>
        <w:t>現行高中職彈性教育轉銜措施，依</w:t>
      </w:r>
      <w:r w:rsidR="00406A77" w:rsidRPr="00697C03">
        <w:rPr>
          <w:rFonts w:hAnsi="標楷體" w:hint="eastAsia"/>
        </w:rPr>
        <w:t>教育部於本院109年3月31</w:t>
      </w:r>
      <w:r w:rsidR="008513CE" w:rsidRPr="00697C03">
        <w:rPr>
          <w:rFonts w:hAnsi="標楷體" w:hint="eastAsia"/>
        </w:rPr>
        <w:t>日詢問會議前補充資料載明</w:t>
      </w:r>
      <w:r w:rsidR="00406A77" w:rsidRPr="00697C03">
        <w:rPr>
          <w:rFonts w:hAnsi="標楷體" w:hint="eastAsia"/>
        </w:rPr>
        <w:t>，</w:t>
      </w:r>
      <w:r w:rsidR="003B5D88" w:rsidRPr="00697C03">
        <w:rPr>
          <w:rFonts w:hAnsi="標楷體"/>
        </w:rPr>
        <w:t>依</w:t>
      </w:r>
      <w:r w:rsidR="003B5D88" w:rsidRPr="00697C03">
        <w:rPr>
          <w:rFonts w:hAnsi="標楷體" w:hint="eastAsia"/>
        </w:rPr>
        <w:t>高級中等學校學生學籍管理辦法</w:t>
      </w:r>
      <w:r w:rsidR="00406A77" w:rsidRPr="00697C03">
        <w:rPr>
          <w:rFonts w:hAnsi="標楷體" w:hint="eastAsia"/>
        </w:rPr>
        <w:t>第</w:t>
      </w:r>
      <w:r w:rsidR="00406A77" w:rsidRPr="00697C03">
        <w:rPr>
          <w:rFonts w:hAnsi="標楷體"/>
        </w:rPr>
        <w:t>12</w:t>
      </w:r>
      <w:r w:rsidR="00406A77" w:rsidRPr="00697C03">
        <w:rPr>
          <w:rFonts w:hAnsi="標楷體" w:hint="eastAsia"/>
        </w:rPr>
        <w:t>條規定：學校各科經核定新生名冊後，其實招班數名額遇有缺額時，得辦理學生轉科（學程）或招收轉學生，並以公開方式為之。為落實十二年國民基本教育適性揚才之核心理念，並配合學生性向、興趣及適性發展需要，如學生欲轉科班校，可依旨揭辦法規定先辦理校內轉科（學程），並能在充分提供資訊、公告流程完整以及維持制度公平性等原則下，依序辦理公告招收轉學及學生申請轉學作業，</w:t>
      </w:r>
      <w:r w:rsidR="00406A77" w:rsidRPr="00697C03">
        <w:rPr>
          <w:rFonts w:hAnsi="標楷體"/>
        </w:rPr>
        <w:t>至於轉學</w:t>
      </w:r>
      <w:r w:rsidR="00406A77" w:rsidRPr="00697C03">
        <w:rPr>
          <w:rFonts w:hAnsi="標楷體"/>
        </w:rPr>
        <w:lastRenderedPageBreak/>
        <w:t>的入學方式，可視學校狀況，決定以考試或參採在校成績的方式辦理</w:t>
      </w:r>
      <w:r w:rsidR="00BA0291" w:rsidRPr="00697C03">
        <w:rPr>
          <w:rFonts w:hAnsi="標楷體" w:hint="eastAsia"/>
        </w:rPr>
        <w:t>……</w:t>
      </w:r>
      <w:r w:rsidR="00406A77" w:rsidRPr="00697C03">
        <w:rPr>
          <w:rFonts w:hAnsi="標楷體" w:hint="eastAsia"/>
        </w:rPr>
        <w:t>等語。惟如若</w:t>
      </w:r>
      <w:r w:rsidR="00406A77" w:rsidRPr="00697C03">
        <w:rPr>
          <w:rFonts w:hAnsi="標楷體" w:hint="eastAsia"/>
          <w:szCs w:val="52"/>
        </w:rPr>
        <w:t>以高級中等教育階段中離生背景因素等複合式情形為例，如按該辦法第12條之規定，學校各科經核定新生名冊後，其實招班數名額遇有缺額時，方辦理學生轉科（學程）或招收轉學生，並以公開方式為之辦理，恐缺乏實務提供多元適性教育之彈性及及時性，如若學生意願為留在原校就讀，實難提高及時提供適性教育之機會，以具體強化完善校際及校內轉科機制，此有本院調查期間</w:t>
      </w:r>
      <w:r w:rsidR="00670B0E" w:rsidRPr="00697C03">
        <w:rPr>
          <w:rFonts w:hAnsi="標楷體" w:hint="eastAsia"/>
          <w:szCs w:val="52"/>
        </w:rPr>
        <w:t>，依</w:t>
      </w:r>
      <w:r w:rsidR="00406A77" w:rsidRPr="00697C03">
        <w:rPr>
          <w:rFonts w:hAnsi="標楷體" w:hint="eastAsia"/>
          <w:szCs w:val="52"/>
        </w:rPr>
        <w:t>地方縣市政府意見指出「本市屬中投就學區，然依據高級中等學校學生學籍管理辦法第15條規定，部分中離學生須俟下一學期或學年度方能參加轉學考，中離時間太長，變數太多，影響復學意願」</w:t>
      </w:r>
      <w:r w:rsidR="00625BDD" w:rsidRPr="00697C03">
        <w:rPr>
          <w:rFonts w:hAnsi="標楷體" w:hint="eastAsia"/>
          <w:szCs w:val="52"/>
        </w:rPr>
        <w:t>等語可</w:t>
      </w:r>
      <w:r w:rsidR="00043E46" w:rsidRPr="00697C03">
        <w:rPr>
          <w:rFonts w:hAnsi="標楷體" w:hint="eastAsia"/>
          <w:szCs w:val="52"/>
        </w:rPr>
        <w:t>稽</w:t>
      </w:r>
      <w:r w:rsidR="00406A77" w:rsidRPr="00697C03">
        <w:rPr>
          <w:rFonts w:hAnsi="標楷體" w:hint="eastAsia"/>
          <w:szCs w:val="52"/>
        </w:rPr>
        <w:t>，亦徵實務上彈性轉科校之不易，教育部未能盡速會同地方縣市研議辦理改善，顯有怠失。</w:t>
      </w:r>
    </w:p>
    <w:p w:rsidR="009E6934" w:rsidRPr="00697C03" w:rsidRDefault="009E6934" w:rsidP="00406A77">
      <w:pPr>
        <w:pStyle w:val="3"/>
        <w:kinsoku/>
        <w:ind w:left="1360" w:hanging="680"/>
        <w:rPr>
          <w:rFonts w:hAnsi="標楷體"/>
        </w:rPr>
      </w:pPr>
      <w:r w:rsidRPr="00697C03">
        <w:rPr>
          <w:rFonts w:hAnsi="標楷體" w:hint="eastAsia"/>
        </w:rPr>
        <w:t>針對</w:t>
      </w:r>
      <w:r w:rsidR="0063212D" w:rsidRPr="00697C03">
        <w:rPr>
          <w:rFonts w:hAnsi="標楷體" w:hint="eastAsia"/>
        </w:rPr>
        <w:t>其他</w:t>
      </w:r>
      <w:r w:rsidRPr="00697C03">
        <w:rPr>
          <w:rFonts w:hAnsi="標楷體" w:hint="eastAsia"/>
        </w:rPr>
        <w:t>相關問題，本院於履勘及簡報座談意見顯示，各機關及學校所面臨關於親職或家庭教育端，仍有許多待主管機關強化輔導或協尋之協助事宜，歸納包括如「應強化家長父母親職教育及界定親權行使範圍」、「應避免3C用品及網路成癮問題」、「關於放寬以社群網站協尋之可行性評估」及其他，亟待後續應由主管機關通盤檢討，並會同各機關、縣市政府因應處理，相關意見併予概述略以：</w:t>
      </w:r>
    </w:p>
    <w:p w:rsidR="00D13175" w:rsidRPr="00697C03" w:rsidRDefault="00D13175" w:rsidP="00D13175">
      <w:pPr>
        <w:pStyle w:val="4"/>
        <w:rPr>
          <w:rFonts w:hAnsi="標楷體"/>
        </w:rPr>
      </w:pPr>
      <w:r w:rsidRPr="00697C03">
        <w:rPr>
          <w:rFonts w:hAnsi="標楷體" w:hint="eastAsia"/>
        </w:rPr>
        <w:t>「近年本市在國小中輟常見因父母爭監護權引發學生中輟現象，為協助是類學生就學，本局提供轉學籍不轉戶籍方式協助學生就讀，前提為雙方家長需達成共識，然實務上常見家長雙方各執己見，致影響學生就學權益。」</w:t>
      </w:r>
    </w:p>
    <w:p w:rsidR="00D13175" w:rsidRPr="00697C03" w:rsidRDefault="00D13175" w:rsidP="00D13175">
      <w:pPr>
        <w:pStyle w:val="4"/>
        <w:rPr>
          <w:rFonts w:hAnsi="標楷體"/>
        </w:rPr>
      </w:pPr>
      <w:r w:rsidRPr="00697C03">
        <w:rPr>
          <w:rFonts w:hAnsi="標楷體" w:hint="eastAsia"/>
        </w:rPr>
        <w:t>「針對家長失職部份 ，例如長期讓學生獨居，未</w:t>
      </w:r>
      <w:r w:rsidRPr="00697C03">
        <w:rPr>
          <w:rFonts w:hAnsi="標楷體" w:hint="eastAsia"/>
        </w:rPr>
        <w:lastRenderedPageBreak/>
        <w:t>能善盡照顧督導之責，即使通報社會局，家長亦有辦法規避，難有實質改善成效。」</w:t>
      </w:r>
    </w:p>
    <w:p w:rsidR="00D13175" w:rsidRPr="00697C03" w:rsidRDefault="00D13175" w:rsidP="00D13175">
      <w:pPr>
        <w:pStyle w:val="4"/>
        <w:rPr>
          <w:rFonts w:hAnsi="標楷體"/>
        </w:rPr>
      </w:pPr>
      <w:r w:rsidRPr="00697C03">
        <w:rPr>
          <w:rFonts w:hAnsi="標楷體" w:hint="eastAsia"/>
        </w:rPr>
        <w:t>「因少子化影響，多數私立高級中等學校有招生壓力，只怕學生招不滿，不怕招到素質不好的學生，學生就算成績、品行差也都有學校唸，造成學生國中階段學習動機不強烈，兩相權衡寧可選擇舒適在家玩樂、玩手遊，也不願到校面對校園內各種壓力。」</w:t>
      </w:r>
    </w:p>
    <w:p w:rsidR="00D13175" w:rsidRPr="00697C03" w:rsidRDefault="00D13175" w:rsidP="00D13175">
      <w:pPr>
        <w:pStyle w:val="4"/>
        <w:rPr>
          <w:rFonts w:hAnsi="標楷體"/>
        </w:rPr>
      </w:pPr>
      <w:r w:rsidRPr="00697C03">
        <w:rPr>
          <w:rFonts w:hAnsi="標楷體" w:hint="eastAsia"/>
        </w:rPr>
        <w:t>「協助整合青少年常用之社群網站業者，包含Facebook、Instagram、Line、TikTok 等及網路服務供應商（ISP），納入失學少年協尋體系，需配合政府單位提供通信紀錄及網路使用紀錄。」</w:t>
      </w:r>
    </w:p>
    <w:p w:rsidR="00D13175" w:rsidRPr="00697C03" w:rsidRDefault="00D13175" w:rsidP="00D13175">
      <w:pPr>
        <w:pStyle w:val="4"/>
        <w:rPr>
          <w:rFonts w:hAnsi="標楷體"/>
        </w:rPr>
      </w:pPr>
      <w:r w:rsidRPr="00697C03">
        <w:rPr>
          <w:rFonts w:hAnsi="標楷體" w:hint="eastAsia"/>
        </w:rPr>
        <w:t>「衡酌社會風氣、網路媒體及3C 產品使用普及開放，易衍生網路成癮個案，Facebook、Instagram、Line、TikTok等社群軟體影響學生偏差行為甚鉅，同樣也需規範相關業者自律並加入網路不當內容的協防體系，政府相關單位亦應積極採取主動監督之角色，對於之網路不當內容（霸凌、暴力等）予以裁罰及移除。」</w:t>
      </w:r>
    </w:p>
    <w:p w:rsidR="009E6934" w:rsidRPr="00697C03" w:rsidRDefault="00D13175" w:rsidP="00D13175">
      <w:pPr>
        <w:pStyle w:val="4"/>
      </w:pPr>
      <w:r w:rsidRPr="00697C03">
        <w:rPr>
          <w:rFonts w:hAnsi="標楷體" w:hint="eastAsia"/>
        </w:rPr>
        <w:t>「部份夜市攤商違法雇用未滿16歲童工 ，並造成群吸效應，僅靠學校輔導人力道德勸說，難以找回中輟生。建請相關主管機關對此加強查訪，依法開罰，以收遏阻之效。」</w:t>
      </w:r>
    </w:p>
    <w:p w:rsidR="00406A77" w:rsidRPr="00697C03" w:rsidRDefault="00406A77" w:rsidP="00406A77">
      <w:pPr>
        <w:pStyle w:val="3"/>
        <w:ind w:left="1360" w:hanging="680"/>
        <w:rPr>
          <w:rFonts w:hAnsi="標楷體"/>
        </w:rPr>
      </w:pPr>
      <w:r w:rsidRPr="00697C03">
        <w:rPr>
          <w:rFonts w:hAnsi="標楷體" w:hint="eastAsia"/>
        </w:rPr>
        <w:t>承上議題，針對現行我國中等技職教育學制，評估集中由特定大型學校推動實用技能學程（含實習或輪調式課程）等轉銜選擇以提供中離生多樣化適性教育之可行性及必要性情形，依據教育部回覆本院指稱，考量大型技術型高中設立科班較為多元且多樣，對於提供中離學生復學就讀，可因應及符合不同需求，爰未來將研議評估由北、中、南、東各擇</w:t>
      </w:r>
      <w:r w:rsidRPr="00697C03">
        <w:rPr>
          <w:rFonts w:hAnsi="標楷體" w:hint="eastAsia"/>
        </w:rPr>
        <w:lastRenderedPageBreak/>
        <w:t>一績優大型之技術型高中，集中推動實用技能學程及建教合作等學制或專班之轉銜選擇，以提供中離生多樣化適性教育之平臺……</w:t>
      </w:r>
      <w:r w:rsidR="000C20C4" w:rsidRPr="00697C03">
        <w:rPr>
          <w:rFonts w:hAnsi="標楷體" w:hint="eastAsia"/>
        </w:rPr>
        <w:t>等</w:t>
      </w:r>
      <w:r w:rsidRPr="00697C03">
        <w:rPr>
          <w:rFonts w:hAnsi="標楷體" w:hint="eastAsia"/>
        </w:rPr>
        <w:t>。又本院於縣市履勘座談，地方政府及教育部主管人員意見復指稱，將</w:t>
      </w:r>
      <w:r w:rsidRPr="00697C03">
        <w:rPr>
          <w:rFonts w:hAnsi="標楷體" w:hint="eastAsia"/>
          <w:szCs w:val="32"/>
        </w:rPr>
        <w:t>致力尋回較易聯繫找回之中離生，並嘗試規劃設立虛擬學校，支援協助中離生安置，俾利改善本市中離學生人數較高之問題；及</w:t>
      </w:r>
      <w:r w:rsidRPr="00697C03">
        <w:rPr>
          <w:rFonts w:hAnsi="標楷體" w:hint="eastAsia"/>
        </w:rPr>
        <w:t>推廣跨校合作、資源共享，以各就學區為範圍落實每學期或每學年調查有意願轉科學生</w:t>
      </w:r>
      <w:r w:rsidRPr="00697C03">
        <w:rPr>
          <w:rFonts w:hAnsi="標楷體" w:hint="eastAsia"/>
          <w:szCs w:val="32"/>
        </w:rPr>
        <w:t>等語。基此，後續針對所謂「適性學習區」與「虛擬學校」概念、相對彈性轉科轉校之辦法規定、整體高級中等教育階段學制班別之規劃消長及政策引導等</w:t>
      </w:r>
      <w:r w:rsidR="00D54106" w:rsidRPr="00697C03">
        <w:rPr>
          <w:rFonts w:hAnsi="標楷體" w:hint="eastAsia"/>
          <w:szCs w:val="32"/>
        </w:rPr>
        <w:t>長期未盡事項</w:t>
      </w:r>
      <w:r w:rsidRPr="00697C03">
        <w:rPr>
          <w:rFonts w:hAnsi="標楷體" w:hint="eastAsia"/>
          <w:szCs w:val="32"/>
        </w:rPr>
        <w:t>，亟待教育部</w:t>
      </w:r>
      <w:r w:rsidR="00FE6787" w:rsidRPr="00697C03">
        <w:rPr>
          <w:rFonts w:hAnsi="標楷體" w:hint="eastAsia"/>
          <w:szCs w:val="32"/>
        </w:rPr>
        <w:t>賡續</w:t>
      </w:r>
      <w:r w:rsidRPr="00697C03">
        <w:rPr>
          <w:rFonts w:hAnsi="標楷體" w:hint="eastAsia"/>
          <w:szCs w:val="32"/>
        </w:rPr>
        <w:t>通盤檢討因應。</w:t>
      </w:r>
    </w:p>
    <w:p w:rsidR="00E209E2" w:rsidRPr="00697C03" w:rsidRDefault="00E209E2" w:rsidP="00E209E2">
      <w:pPr>
        <w:pStyle w:val="3"/>
        <w:ind w:left="1360" w:hanging="680"/>
        <w:rPr>
          <w:rFonts w:hAnsi="標楷體"/>
        </w:rPr>
      </w:pPr>
      <w:r w:rsidRPr="00697C03">
        <w:rPr>
          <w:rFonts w:hAnsi="標楷體" w:hint="eastAsia"/>
        </w:rPr>
        <w:t>另本案調查中，部分縣市學校意見指出，現行未滿18歲中離生參與打工或校外工讀等活動之情形尚屬頻繁，惟整體情況未見相關單位積極協助及妥處等情。經詢教育部雖指出，勞動部應設置青少年就業專責單位，統一規劃各級政府青少年就業輔導政策，專責人力及預算，另為協助弱勢青少年就業，設置青少年就業輔導專責人力……等語。惟按高級中等學校建教合作實施及建教生權益保障法第5條規定，學校辦理建教合作，應依下列方式為之：1、輪調式：學校與建教合作機構以2班為單位實施輪調，1班在校上課，另1班在建教合作機構接受職業技能訓練；2、階梯式：學校之一年級及二年級學生在校接受基礎及專業理論教育，三年級在建教合作機構接受職業技能訓練；3、實習式：學校依各年級專業課程需求，在不調整課程架構之前提下，使學生於寒暑假或學期中至建教合作機構接受職業技能訓練；4、其他由學校研擬辦理方式，經地方主管</w:t>
      </w:r>
      <w:r w:rsidRPr="00697C03">
        <w:rPr>
          <w:rFonts w:hAnsi="標楷體" w:hint="eastAsia"/>
        </w:rPr>
        <w:lastRenderedPageBreak/>
        <w:t>機關核轉中央主管機關核定之之方式。準此，針對高級中等教育階段以下學校，教育部仍應積極評估整合相關建教合作或輪調式課程機會，促進青少年回歸學校之誘因，以符十二年國教宗旨，針對本案學校及地方之相關意見亟待教育部積極妥處。</w:t>
      </w:r>
    </w:p>
    <w:p w:rsidR="00777EC7" w:rsidRPr="00697C03" w:rsidRDefault="00A36D7A" w:rsidP="006041E9">
      <w:pPr>
        <w:pStyle w:val="3"/>
        <w:kinsoku/>
        <w:ind w:left="1360" w:hanging="680"/>
        <w:rPr>
          <w:rFonts w:hAnsi="標楷體"/>
        </w:rPr>
      </w:pPr>
      <w:r w:rsidRPr="00697C03">
        <w:rPr>
          <w:rFonts w:hAnsi="標楷體" w:hint="eastAsia"/>
        </w:rPr>
        <w:t>復</w:t>
      </w:r>
      <w:r w:rsidR="00777EC7" w:rsidRPr="00697C03">
        <w:rPr>
          <w:rFonts w:hAnsi="標楷體" w:hint="eastAsia"/>
        </w:rPr>
        <w:t>依相關研究指出</w:t>
      </w:r>
      <w:r w:rsidR="000F03E3" w:rsidRPr="00697C03">
        <w:rPr>
          <w:rStyle w:val="aff0"/>
          <w:rFonts w:hAnsi="標楷體"/>
        </w:rPr>
        <w:footnoteReference w:id="18"/>
      </w:r>
      <w:r w:rsidR="00777EC7" w:rsidRPr="00697C03">
        <w:rPr>
          <w:rFonts w:hAnsi="標楷體" w:hint="eastAsia"/>
        </w:rPr>
        <w:t>，「</w:t>
      </w:r>
      <w:r w:rsidR="00C66376" w:rsidRPr="00697C03">
        <w:rPr>
          <w:rFonts w:hAnsi="標楷體" w:hint="eastAsia"/>
        </w:rPr>
        <w:t>建議</w:t>
      </w:r>
      <w:r w:rsidR="00777EC7" w:rsidRPr="00697C03">
        <w:rPr>
          <w:rFonts w:hAnsi="標楷體" w:hint="eastAsia"/>
        </w:rPr>
        <w:t>積極輔導未升學未就業之學程畢業生或中途離學之學生</w:t>
      </w:r>
      <w:r w:rsidR="001268B8" w:rsidRPr="00697C03">
        <w:rPr>
          <w:rFonts w:hAnsi="標楷體" w:hint="eastAsia"/>
        </w:rPr>
        <w:t>：</w:t>
      </w:r>
      <w:r w:rsidR="00777EC7" w:rsidRPr="00697C03">
        <w:rPr>
          <w:rFonts w:hAnsi="標楷體" w:hint="eastAsia"/>
        </w:rPr>
        <w:t>技能學程每學年約達</w:t>
      </w:r>
      <w:r w:rsidR="00F93C53" w:rsidRPr="00697C03">
        <w:rPr>
          <w:rFonts w:hAnsi="標楷體" w:hint="eastAsia"/>
        </w:rPr>
        <w:t>1,</w:t>
      </w:r>
      <w:r w:rsidR="00777EC7" w:rsidRPr="00697C03">
        <w:rPr>
          <w:rFonts w:hAnsi="標楷體" w:hint="eastAsia"/>
        </w:rPr>
        <w:t>650人未升學未就業，部分是在課程與志趣不符，需轉讀或中途離學的學生。建議中等教育學制間，提供轉換學程與群科轉銜之輔導機制。並加強校內追蹤離學與輔導機制，助共穩定就學、就業，或整合資源協助開辦非正規的回流職業教育體系、就業或職業訓練，予助其職涯與定向發展。對於學生在就業或升</w:t>
      </w:r>
      <w:r w:rsidR="004F1EDF" w:rsidRPr="00697C03">
        <w:rPr>
          <w:rFonts w:hAnsi="標楷體" w:hint="eastAsia"/>
        </w:rPr>
        <w:t>學上，應</w:t>
      </w:r>
      <w:r w:rsidR="006041E9" w:rsidRPr="00697C03">
        <w:rPr>
          <w:rFonts w:hAnsi="標楷體" w:hint="eastAsia"/>
        </w:rPr>
        <w:t>彈性多元輔導機制，透過公費及補救措施提高學生選讀意願</w:t>
      </w:r>
      <w:r w:rsidR="00A23C63" w:rsidRPr="00697C03">
        <w:rPr>
          <w:rFonts w:hAnsi="標楷體" w:hint="eastAsia"/>
        </w:rPr>
        <w:t>……</w:t>
      </w:r>
      <w:r w:rsidR="00777EC7" w:rsidRPr="00697C03">
        <w:rPr>
          <w:rFonts w:hAnsi="標楷體" w:hint="eastAsia"/>
        </w:rPr>
        <w:t>」</w:t>
      </w:r>
      <w:r w:rsidR="00A23C63" w:rsidRPr="00697C03">
        <w:rPr>
          <w:rFonts w:hAnsi="標楷體" w:hint="eastAsia"/>
        </w:rPr>
        <w:t>等語，殊值教育部後續整體研議參酌。</w:t>
      </w:r>
    </w:p>
    <w:p w:rsidR="00406A77" w:rsidRPr="00697C03" w:rsidRDefault="00406A77" w:rsidP="00406A77">
      <w:pPr>
        <w:pStyle w:val="3"/>
        <w:kinsoku/>
        <w:ind w:left="1360" w:hanging="680"/>
        <w:rPr>
          <w:rFonts w:hAnsi="標楷體"/>
        </w:rPr>
      </w:pPr>
      <w:r w:rsidRPr="00697C03">
        <w:rPr>
          <w:rFonts w:hAnsi="標楷體" w:hint="eastAsia"/>
        </w:rPr>
        <w:t>綜上論結，高級中等教育以奠定學術研究或專業技術知能之基礎為宗旨，係國中生未來適性進路的轉捩點，惟</w:t>
      </w:r>
      <w:r w:rsidRPr="00697C03">
        <w:rPr>
          <w:rFonts w:hAnsi="標楷體"/>
        </w:rPr>
        <w:t>107</w:t>
      </w:r>
      <w:r w:rsidRPr="00697C03">
        <w:rPr>
          <w:rFonts w:hAnsi="標楷體" w:hint="eastAsia"/>
        </w:rPr>
        <w:t>學年度我國高級中等學校中離生主要原因係以個人因素佔</w:t>
      </w:r>
      <w:r w:rsidRPr="00697C03">
        <w:rPr>
          <w:rFonts w:hAnsi="標楷體"/>
        </w:rPr>
        <w:t>61.4%</w:t>
      </w:r>
      <w:r w:rsidRPr="00697C03">
        <w:rPr>
          <w:rFonts w:hAnsi="標楷體" w:hint="eastAsia"/>
        </w:rPr>
        <w:t>為大宗，其中志趣不合即佔</w:t>
      </w:r>
      <w:r w:rsidRPr="00697C03">
        <w:rPr>
          <w:rFonts w:hAnsi="標楷體"/>
        </w:rPr>
        <w:t>53.40%</w:t>
      </w:r>
      <w:r w:rsidRPr="00697C03">
        <w:rPr>
          <w:rFonts w:hAnsi="標楷體" w:hint="eastAsia"/>
        </w:rPr>
        <w:t>，且近</w:t>
      </w:r>
      <w:r w:rsidRPr="00697C03">
        <w:rPr>
          <w:rFonts w:hAnsi="標楷體"/>
        </w:rPr>
        <w:t>5</w:t>
      </w:r>
      <w:r w:rsidRPr="00697C03">
        <w:rPr>
          <w:rFonts w:hAnsi="標楷體" w:hint="eastAsia"/>
        </w:rPr>
        <w:t>年整體均以高中一年級學生達</w:t>
      </w:r>
      <w:r w:rsidRPr="00697C03">
        <w:rPr>
          <w:rFonts w:hAnsi="標楷體"/>
        </w:rPr>
        <w:t>54-64%</w:t>
      </w:r>
      <w:r w:rsidRPr="00697C03">
        <w:rPr>
          <w:rFonts w:hAnsi="標楷體" w:hint="eastAsia"/>
        </w:rPr>
        <w:t>為最大宗，復依本案部分縣市簡報資料及座談均指出課程興趣為吸引中離學生復學之動力之一，顯見學校教育內容之適性對於學生穩定就學仍扮演一定之拉力；惟目前教育部針對高中職學制轉銜彈性情形，依據「高級中等學校學生學籍管理辦法」等相關規定，學校各科經核定新生名冊後，其實招班數名額遇有缺額時，得辦理學生轉科（學程）</w:t>
      </w:r>
      <w:r w:rsidRPr="00697C03">
        <w:rPr>
          <w:rFonts w:hAnsi="標楷體" w:hint="eastAsia"/>
        </w:rPr>
        <w:lastRenderedPageBreak/>
        <w:t>或招收轉學生，並以公開方式為之，以本案高級中等學校中離背景呈現隻複合性且極為複雜之原因為例，該現行辦法恐過於僵化且缺乏彈性及實益效率；而教育部於本案調查及詢問會議期間指出，未來對於提供中離學生復學就讀，可因應及符合不同需求，將研議評估由北、中、南、東各擇一績優大型之技術型高中，集中推動實用技能學程及建教合作等學制或專班之轉銜選擇，以提供中離生多樣化適性教育之平臺等語，爰此後續針對高級中等學校學生因興趣不合而有中途轉科班甚或轉校之需求，以降低中離率之整體機制或相關辦法調整，亟待教育部盡速評估辦理，俾能落實國民適性教育</w:t>
      </w:r>
      <w:r w:rsidR="006E5A65" w:rsidRPr="00697C03">
        <w:rPr>
          <w:rFonts w:hAnsi="標楷體" w:hint="eastAsia"/>
        </w:rPr>
        <w:t>。</w:t>
      </w:r>
    </w:p>
    <w:p w:rsidR="00406A77" w:rsidRPr="00697C03" w:rsidRDefault="00406A77" w:rsidP="00406A77">
      <w:pPr>
        <w:rPr>
          <w:rFonts w:ascii="標楷體" w:hAnsi="標楷體"/>
        </w:rPr>
      </w:pPr>
    </w:p>
    <w:p w:rsidR="00406A77" w:rsidRPr="00697C03" w:rsidRDefault="00406A77" w:rsidP="00406A77">
      <w:pPr>
        <w:pStyle w:val="2"/>
        <w:kinsoku/>
        <w:ind w:left="1043"/>
        <w:rPr>
          <w:rFonts w:hAnsi="標楷體"/>
          <w:b/>
        </w:rPr>
      </w:pPr>
      <w:bookmarkStart w:id="74" w:name="_Toc39250776"/>
      <w:bookmarkStart w:id="75" w:name="_Toc41382886"/>
      <w:bookmarkStart w:id="76" w:name="_Toc37315442"/>
      <w:r w:rsidRPr="00697C03">
        <w:rPr>
          <w:rFonts w:hAnsi="標楷體" w:hint="eastAsia"/>
          <w:b/>
        </w:rPr>
        <w:t>103年我國實驗教育三法正式立法，有助於積極建構完善且多元之教育環境，本院過去</w:t>
      </w:r>
      <w:r w:rsidR="006E5A65" w:rsidRPr="00697C03">
        <w:rPr>
          <w:rFonts w:hAnsi="標楷體" w:hint="eastAsia"/>
          <w:b/>
        </w:rPr>
        <w:t>調查亦</w:t>
      </w:r>
      <w:r w:rsidR="006723F0" w:rsidRPr="00697C03">
        <w:rPr>
          <w:rFonts w:hAnsi="標楷體" w:hint="eastAsia"/>
          <w:b/>
        </w:rPr>
        <w:t>曾實地走訪花蓮縣「五味屋」及宜蘭縣「不老部落」</w:t>
      </w:r>
      <w:r w:rsidRPr="00697C03">
        <w:rPr>
          <w:rFonts w:hAnsi="標楷體" w:hint="eastAsia"/>
          <w:b/>
        </w:rPr>
        <w:t>，展現體制外民間教育之能量</w:t>
      </w:r>
      <w:r w:rsidR="00180953" w:rsidRPr="00697C03">
        <w:rPr>
          <w:rFonts w:hAnsi="標楷體" w:hint="eastAsia"/>
          <w:b/>
        </w:rPr>
        <w:t>及補充性功能</w:t>
      </w:r>
      <w:r w:rsidRPr="00697C03">
        <w:rPr>
          <w:rFonts w:hAnsi="標楷體" w:hint="eastAsia"/>
          <w:b/>
        </w:rPr>
        <w:t>，殊值本案教育部參酌；又參考國際比較教育研究指出</w:t>
      </w:r>
      <w:r w:rsidR="00AC1114" w:rsidRPr="00697C03">
        <w:rPr>
          <w:rFonts w:hAnsi="標楷體" w:hint="eastAsia"/>
          <w:b/>
        </w:rPr>
        <w:t>，</w:t>
      </w:r>
      <w:r w:rsidRPr="00697C03">
        <w:rPr>
          <w:rFonts w:hAnsi="標楷體" w:hint="eastAsia"/>
          <w:b/>
        </w:rPr>
        <w:t>日本針對「不登校</w:t>
      </w:r>
      <w:r w:rsidRPr="00697C03">
        <w:rPr>
          <w:rFonts w:hAnsi="標楷體"/>
          <w:b/>
          <w:lang w:val="en"/>
        </w:rPr>
        <w:t>（futoko）</w:t>
      </w:r>
      <w:r w:rsidRPr="00697C03">
        <w:rPr>
          <w:rFonts w:hAnsi="標楷體" w:hint="eastAsia"/>
          <w:b/>
        </w:rPr>
        <w:t>」學生發展「自由學校（free school</w:t>
      </w:r>
      <w:r w:rsidR="00AE401E" w:rsidRPr="00697C03">
        <w:rPr>
          <w:rFonts w:hAnsi="標楷體" w:hint="eastAsia"/>
          <w:b/>
        </w:rPr>
        <w:t>）」，有別於歐美隸屬學校系統的自由學校，非屬</w:t>
      </w:r>
      <w:r w:rsidRPr="00697C03">
        <w:rPr>
          <w:rFonts w:hAnsi="標楷體" w:hint="eastAsia"/>
          <w:b/>
        </w:rPr>
        <w:t>公立教育系統，期協助原無法適應一般學校</w:t>
      </w:r>
      <w:r w:rsidR="00016292" w:rsidRPr="00697C03">
        <w:rPr>
          <w:rFonts w:hAnsi="標楷體" w:hint="eastAsia"/>
          <w:b/>
        </w:rPr>
        <w:t>生活</w:t>
      </w:r>
      <w:r w:rsidRPr="00697C03">
        <w:rPr>
          <w:rFonts w:hAnsi="標楷體" w:hint="eastAsia"/>
          <w:b/>
        </w:rPr>
        <w:t>之學生透過多元學制仍能進行學習。我國目前雖尚無專門自由學校體制，惟</w:t>
      </w:r>
      <w:r w:rsidR="006D2058" w:rsidRPr="00697C03">
        <w:rPr>
          <w:rFonts w:hAnsi="標楷體" w:hint="eastAsia"/>
          <w:b/>
        </w:rPr>
        <w:t>現行</w:t>
      </w:r>
      <w:r w:rsidRPr="00697C03">
        <w:rPr>
          <w:rFonts w:hAnsi="標楷體" w:hint="eastAsia"/>
          <w:b/>
        </w:rPr>
        <w:t>各縣市國民教育階段</w:t>
      </w:r>
      <w:r w:rsidR="00C8649E" w:rsidRPr="00697C03">
        <w:rPr>
          <w:rFonts w:hAnsi="標楷體" w:hint="eastAsia"/>
          <w:b/>
        </w:rPr>
        <w:t>推動之</w:t>
      </w:r>
      <w:r w:rsidRPr="00697C03">
        <w:rPr>
          <w:rFonts w:hAnsi="標楷體" w:hint="eastAsia"/>
          <w:b/>
        </w:rPr>
        <w:t>中介教育措施，實務上已有期</w:t>
      </w:r>
      <w:r w:rsidR="00861A13" w:rsidRPr="00697C03">
        <w:rPr>
          <w:rFonts w:hAnsi="標楷體" w:hint="eastAsia"/>
          <w:b/>
        </w:rPr>
        <w:t>待</w:t>
      </w:r>
      <w:r w:rsidRPr="00697C03">
        <w:rPr>
          <w:rFonts w:hAnsi="標楷體" w:hint="eastAsia"/>
          <w:b/>
        </w:rPr>
        <w:t>延長至後期中等教育階段實施之呼聲；而</w:t>
      </w:r>
      <w:r w:rsidRPr="00697C03">
        <w:rPr>
          <w:rFonts w:hAnsi="標楷體" w:hint="eastAsia"/>
          <w:b/>
          <w:szCs w:val="52"/>
        </w:rPr>
        <w:t>教育部雖於本院調查期間將中離生穩定就學措施實施計畫經費申請納入準用之</w:t>
      </w:r>
      <w:r w:rsidR="00A874D4" w:rsidRPr="00697C03">
        <w:rPr>
          <w:rFonts w:hAnsi="標楷體" w:hint="eastAsia"/>
          <w:b/>
          <w:szCs w:val="52"/>
        </w:rPr>
        <w:t>，</w:t>
      </w:r>
      <w:r w:rsidRPr="00697C03">
        <w:rPr>
          <w:rFonts w:hAnsi="標楷體" w:hint="eastAsia"/>
          <w:b/>
          <w:szCs w:val="52"/>
        </w:rPr>
        <w:t>並稱考量實驗教育多元發展，期</w:t>
      </w:r>
      <w:r w:rsidRPr="00697C03">
        <w:rPr>
          <w:rFonts w:hAnsi="標楷體" w:hint="eastAsia"/>
          <w:b/>
        </w:rPr>
        <w:t>建置多元適性探索的中介教育資源</w:t>
      </w:r>
      <w:r w:rsidRPr="00697C03">
        <w:rPr>
          <w:rFonts w:hAnsi="標楷體" w:hint="eastAsia"/>
          <w:b/>
          <w:szCs w:val="52"/>
        </w:rPr>
        <w:t>等，惟此於實驗教育及</w:t>
      </w:r>
      <w:r w:rsidRPr="00697C03">
        <w:rPr>
          <w:rFonts w:hAnsi="標楷體" w:hint="eastAsia"/>
          <w:b/>
        </w:rPr>
        <w:t>多元型態中介教育</w:t>
      </w:r>
      <w:r w:rsidRPr="00697C03">
        <w:rPr>
          <w:rFonts w:hAnsi="標楷體" w:hint="eastAsia"/>
          <w:b/>
          <w:szCs w:val="52"/>
        </w:rPr>
        <w:t>政策亦待進行整體調整、研究評估、督導及整合機制之當下，仍亟待該部持續積極正視並同時研議發展，以維學生教育</w:t>
      </w:r>
      <w:r w:rsidRPr="00697C03">
        <w:rPr>
          <w:rFonts w:hAnsi="標楷體" w:hint="eastAsia"/>
          <w:b/>
          <w:szCs w:val="52"/>
        </w:rPr>
        <w:lastRenderedPageBreak/>
        <w:t>權保障，奠定國家基本教育堅厚之基石</w:t>
      </w:r>
      <w:bookmarkEnd w:id="74"/>
      <w:bookmarkEnd w:id="75"/>
    </w:p>
    <w:p w:rsidR="00406A77" w:rsidRPr="00697C03" w:rsidRDefault="00406A77" w:rsidP="00406A77">
      <w:pPr>
        <w:pStyle w:val="3"/>
        <w:kinsoku/>
        <w:ind w:left="1360" w:hanging="680"/>
        <w:rPr>
          <w:rFonts w:hAnsi="標楷體"/>
        </w:rPr>
      </w:pPr>
      <w:r w:rsidRPr="00697C03">
        <w:rPr>
          <w:rFonts w:hAnsi="標楷體" w:hint="eastAsia"/>
        </w:rPr>
        <w:t>按教育基本法第9條規定，中央政府之教育權限包括，一、教育制度之規劃設計。二、對地方教育事務之適法監督、執行全國性教育事務，並協調或協助各地方教育之發展，以及中央教育經費之分配與補助……七、促進教育事務之國際交流及八、依憲法規定對教育事業、教育工作者、少數民族及弱勢群體之教育事項，提供獎勵、扶助或促其發展等。復按同法第8條第2項規定，學生之學習權、受教育權、身體自主權及人格發展權，國家應予保障；同條第4項規定，學校應在各級政府依法監督下，配合社區發展需要，提供良好學習環境。又按教育部組織法第2條第8款規定，教育部掌理事項包括中小學與學前教育、青年發展</w:t>
      </w:r>
      <w:r w:rsidRPr="00697C03">
        <w:rPr>
          <w:rFonts w:hAnsi="標楷體" w:hint="eastAsia"/>
          <w:szCs w:val="32"/>
        </w:rPr>
        <w:t>……</w:t>
      </w:r>
      <w:r w:rsidRPr="00697C03">
        <w:rPr>
          <w:rFonts w:hAnsi="標楷體" w:hint="eastAsia"/>
        </w:rPr>
        <w:t>及行政監督等；同條第7款包括原住民族及少數族群教育、學校衛生教育政策之規劃、輔導及行政監督。另教育部109年施政計畫載明，「落實適性發展的十二年國教」、「再造務實致用的技職教育」、「發展國際創新的高等教育」、「培養學生的前瞻應用能力」、「維護國民的多元學習權益」、「營造安全永續的友善校園」、「協助青年職涯發展及提升公共參與」及「推展全民健康運動及提升國際競技實力」等8項施政重點。準此，針對無法適應體制內學生之各項教育權及積極保障措施，應屬教育部及各地方政府之權責。</w:t>
      </w:r>
    </w:p>
    <w:p w:rsidR="00406A77" w:rsidRPr="00697C03" w:rsidRDefault="00406A77" w:rsidP="00406A77">
      <w:pPr>
        <w:pStyle w:val="3"/>
        <w:kinsoku/>
        <w:ind w:left="1360" w:hanging="680"/>
        <w:rPr>
          <w:rFonts w:hAnsi="標楷體"/>
        </w:rPr>
      </w:pPr>
      <w:r w:rsidRPr="00697C03">
        <w:rPr>
          <w:rFonts w:hAnsi="標楷體" w:hint="eastAsia"/>
        </w:rPr>
        <w:t xml:space="preserve">依BBC </w:t>
      </w:r>
      <w:r w:rsidRPr="00697C03">
        <w:rPr>
          <w:rFonts w:hAnsi="標楷體"/>
        </w:rPr>
        <w:t>news</w:t>
      </w:r>
      <w:r w:rsidR="00044601" w:rsidRPr="00697C03">
        <w:rPr>
          <w:rFonts w:hAnsi="標楷體" w:hint="eastAsia"/>
        </w:rPr>
        <w:t>、</w:t>
      </w:r>
      <w:r w:rsidR="0052519A" w:rsidRPr="00697C03">
        <w:rPr>
          <w:rFonts w:hAnsi="標楷體" w:hint="eastAsia"/>
        </w:rPr>
        <w:t>國內媒體</w:t>
      </w:r>
      <w:r w:rsidRPr="00697C03">
        <w:rPr>
          <w:rFonts w:hAnsi="標楷體" w:hint="eastAsia"/>
        </w:rPr>
        <w:t>報導</w:t>
      </w:r>
      <w:r w:rsidRPr="00697C03">
        <w:rPr>
          <w:rStyle w:val="aff0"/>
          <w:rFonts w:hAnsi="標楷體"/>
        </w:rPr>
        <w:footnoteReference w:id="19"/>
      </w:r>
      <w:r w:rsidRPr="00697C03">
        <w:rPr>
          <w:rFonts w:hAnsi="標楷體" w:hint="eastAsia"/>
        </w:rPr>
        <w:t>，</w:t>
      </w:r>
      <w:r w:rsidR="00044601" w:rsidRPr="00697C03">
        <w:rPr>
          <w:rFonts w:hAnsi="標楷體" w:hint="eastAsia"/>
        </w:rPr>
        <w:t>及</w:t>
      </w:r>
      <w:r w:rsidRPr="00697C03">
        <w:rPr>
          <w:rFonts w:hAnsi="標楷體" w:hint="eastAsia"/>
        </w:rPr>
        <w:t>日本文部科學省</w:t>
      </w:r>
      <w:r w:rsidRPr="00697C03">
        <w:rPr>
          <w:rFonts w:hAnsi="標楷體" w:hint="eastAsia"/>
        </w:rPr>
        <w:lastRenderedPageBreak/>
        <w:t>（</w:t>
      </w:r>
      <w:r w:rsidRPr="00697C03">
        <w:rPr>
          <w:rFonts w:hAnsi="標楷體"/>
        </w:rPr>
        <w:t>Ministry of Education, Culture, Sports, Science and Technology</w:t>
      </w:r>
      <w:r w:rsidRPr="00697C03">
        <w:rPr>
          <w:rFonts w:hAnsi="標楷體" w:hint="eastAsia"/>
        </w:rPr>
        <w:t>）資料顯示，日本拒絕上之現象被稱為不登校（futoko），並於日本</w:t>
      </w:r>
      <w:r w:rsidRPr="00697C03">
        <w:rPr>
          <w:rFonts w:hAnsi="標楷體" w:hint="eastAsia"/>
          <w:szCs w:val="32"/>
        </w:rPr>
        <w:t>發展所謂</w:t>
      </w:r>
      <w:r w:rsidRPr="00697C03">
        <w:rPr>
          <w:rFonts w:hAnsi="標楷體" w:hint="eastAsia"/>
        </w:rPr>
        <w:t>「自由學校（free school）」專門招收不登校的學生，有別於歐美隸屬學校系統的自由學校，並且不屬於公立教育系統定位於民間教育設施。有越來越多學生因為家庭因素、與師長或同學的人際關係、或是遭到罷凌而不願上學，2018年即有16萬4,528名學生連續缺課超過30日，2017年則有14萬4</w:t>
      </w:r>
      <w:r w:rsidRPr="00697C03">
        <w:rPr>
          <w:rFonts w:hAnsi="標楷體"/>
        </w:rPr>
        <w:t>,</w:t>
      </w:r>
      <w:r w:rsidRPr="00697C03">
        <w:rPr>
          <w:rFonts w:hAnsi="標楷體" w:hint="eastAsia"/>
        </w:rPr>
        <w:t>031人；就讀「自由學校（free school）」人數則從1992年7</w:t>
      </w:r>
      <w:r w:rsidRPr="00697C03">
        <w:rPr>
          <w:rFonts w:hAnsi="標楷體"/>
        </w:rPr>
        <w:t>,</w:t>
      </w:r>
      <w:r w:rsidRPr="00697C03">
        <w:rPr>
          <w:rFonts w:hAnsi="標楷體" w:hint="eastAsia"/>
        </w:rPr>
        <w:t>424名學生，至2017年大幅增加至2萬346名學生。</w:t>
      </w:r>
      <w:r w:rsidR="009D76CC" w:rsidRPr="00697C03">
        <w:rPr>
          <w:rFonts w:hAnsi="標楷體" w:hint="eastAsia"/>
        </w:rPr>
        <w:t>復</w:t>
      </w:r>
      <w:r w:rsidRPr="00697C03">
        <w:rPr>
          <w:rFonts w:hAnsi="標楷體" w:hint="eastAsia"/>
        </w:rPr>
        <w:t>依國際比較教育相關研究指出</w:t>
      </w:r>
      <w:r w:rsidRPr="00697C03">
        <w:rPr>
          <w:rStyle w:val="aff0"/>
          <w:rFonts w:hAnsi="標楷體"/>
        </w:rPr>
        <w:footnoteReference w:id="20"/>
      </w:r>
      <w:r w:rsidRPr="00697C03">
        <w:rPr>
          <w:rFonts w:hAnsi="標楷體" w:hint="eastAsia"/>
        </w:rPr>
        <w:t>，不登校特區提供學生於正式學校以外的學習場所，特區內得以申請放寬學習指導要領的課程規定，擴大出缺席時間的標準，讓許多富地方特色的另類教育理念得以實現，不僅是解決學生不登校問題的方法，也是促進地方教育改革發展的政策；日本經驗除了喚醒我們應該正視學生不去上學的問題之外，更昭示著若能有效結合體制內教育政策改進以及體制外教育的實務執行，教育改革的步伐與成效將更加顯著。基此，現行國內相關比較教育研究殊值參考。</w:t>
      </w:r>
    </w:p>
    <w:p w:rsidR="00406A77" w:rsidRPr="00697C03" w:rsidRDefault="00DD640E" w:rsidP="00C77726">
      <w:pPr>
        <w:pStyle w:val="3"/>
        <w:kinsoku/>
        <w:ind w:left="1360" w:hanging="680"/>
        <w:rPr>
          <w:rFonts w:hAnsi="標楷體"/>
        </w:rPr>
      </w:pPr>
      <w:r w:rsidRPr="00697C03">
        <w:rPr>
          <w:rFonts w:hAnsi="標楷體" w:hint="eastAsia"/>
        </w:rPr>
        <w:t>經查，相對於日本自由學校，國內目前尚無此官方教育系統，然而國民教育階段則有中介教育措施之資源。</w:t>
      </w:r>
      <w:r w:rsidR="00406A77" w:rsidRPr="00697C03">
        <w:rPr>
          <w:rFonts w:hAnsi="標楷體" w:hint="eastAsia"/>
        </w:rPr>
        <w:t>按兒童及少年福利與權益保障法第7條略以，教育主管機關：主管兒童及少年教育及其經費之補助、家庭教育、中介教育、職涯教育、兒童及少年就學權益之維護等相關事宜。依教育部每月督導地方政府掌握中輟人數，各縣</w:t>
      </w:r>
      <w:r w:rsidR="0079236E" w:rsidRPr="00697C03">
        <w:rPr>
          <w:rFonts w:hAnsi="標楷體" w:hint="eastAsia"/>
        </w:rPr>
        <w:t>（</w:t>
      </w:r>
      <w:r w:rsidR="00406A77" w:rsidRPr="00697C03">
        <w:rPr>
          <w:rFonts w:hAnsi="標楷體" w:hint="eastAsia"/>
        </w:rPr>
        <w:t>市</w:t>
      </w:r>
      <w:r w:rsidR="0079236E" w:rsidRPr="00697C03">
        <w:rPr>
          <w:rFonts w:hAnsi="標楷體" w:hint="eastAsia"/>
        </w:rPr>
        <w:t>）</w:t>
      </w:r>
      <w:r w:rsidR="00406A77" w:rsidRPr="00697C03">
        <w:rPr>
          <w:rFonts w:hAnsi="標楷體" w:hint="eastAsia"/>
        </w:rPr>
        <w:t>依需要召開中輟</w:t>
      </w:r>
      <w:r w:rsidR="00406A77" w:rsidRPr="00697C03">
        <w:rPr>
          <w:rFonts w:hAnsi="標楷體" w:hint="eastAsia"/>
        </w:rPr>
        <w:lastRenderedPageBreak/>
        <w:t>專案會議整合縣內資源共同協助中輟生復學，復學後如不適應一般學校教育課程者，可選擇就讀多元型態中介教育設施，包含：慈輝班</w:t>
      </w:r>
      <w:r w:rsidR="0079236E" w:rsidRPr="00697C03">
        <w:rPr>
          <w:rFonts w:hAnsi="標楷體" w:hint="eastAsia"/>
        </w:rPr>
        <w:t>（</w:t>
      </w:r>
      <w:r w:rsidR="00406A77" w:rsidRPr="00697C03">
        <w:rPr>
          <w:rFonts w:hAnsi="標楷體" w:hint="eastAsia"/>
        </w:rPr>
        <w:t>針對家庭遭遇變故或因家庭功能不彰之學生</w:t>
      </w:r>
      <w:r w:rsidR="0079236E" w:rsidRPr="00697C03">
        <w:rPr>
          <w:rFonts w:hAnsi="標楷體" w:hint="eastAsia"/>
        </w:rPr>
        <w:t>）</w:t>
      </w:r>
      <w:r w:rsidR="00406A77" w:rsidRPr="00697C03">
        <w:rPr>
          <w:rFonts w:hAnsi="標楷體" w:hint="eastAsia"/>
        </w:rPr>
        <w:t>、資源式中途班、合作式中途班及其他具有相同功能之教育輔導措施等。以108學年度為例，高關懷課程計444班、彈性課程計351班、中介教育措施計15縣市90班</w:t>
      </w:r>
      <w:r w:rsidR="0079236E" w:rsidRPr="00697C03">
        <w:rPr>
          <w:rFonts w:hAnsi="標楷體" w:hint="eastAsia"/>
        </w:rPr>
        <w:t>（</w:t>
      </w:r>
      <w:r w:rsidR="00406A77" w:rsidRPr="00697C03">
        <w:rPr>
          <w:rFonts w:hAnsi="標楷體" w:hint="eastAsia"/>
        </w:rPr>
        <w:t>資源式中途班41班、合作式中途班19班、慈輝班30班</w:t>
      </w:r>
      <w:r w:rsidR="0079236E" w:rsidRPr="00697C03">
        <w:rPr>
          <w:rFonts w:hAnsi="標楷體" w:hint="eastAsia"/>
        </w:rPr>
        <w:t>）</w:t>
      </w:r>
      <w:r w:rsidR="00406A77" w:rsidRPr="00697C03">
        <w:rPr>
          <w:rFonts w:hAnsi="標楷體" w:hint="eastAsia"/>
        </w:rPr>
        <w:t>。復依本案履勘座談縣市資料建議指出，「人力經費：與民間團體或社福團體合作，提供更多元化、文青、貼近青少年之個別化多元課程，並補助弱勢家庭獎學金，俾利提升社區化直接服務人力及資源」。顯示民間教育力量及資源之挹注，實為重要過渡性教育措施，提供不同於體制內之適性教育。</w:t>
      </w:r>
    </w:p>
    <w:p w:rsidR="001738F3" w:rsidRPr="00697C03" w:rsidRDefault="00406A77" w:rsidP="00406A77">
      <w:pPr>
        <w:pStyle w:val="3"/>
        <w:kinsoku/>
        <w:ind w:left="1360" w:hanging="680"/>
        <w:rPr>
          <w:rFonts w:hAnsi="標楷體"/>
        </w:rPr>
      </w:pPr>
      <w:r w:rsidRPr="00697C03">
        <w:rPr>
          <w:rFonts w:hAnsi="標楷體" w:hint="eastAsia"/>
        </w:rPr>
        <w:t>基此，本案履勘及座談會議亦邀請各地區辦理中介教育措施之民間團體代表出席，相關意見略以：「比較困難的就是哪些企業或那些單位願意接納這些學生，上學期也嘗試去洽詢機車行，去洽詢他們願不願意收我們的學生，可是我感覺種類很少的，因為不是每個學生都喜歡這樣的工作場域，……現在接觸到的都是拒學在家的孩子，我們請他騎個腳踏車與老人送餐計畫結合，這些學生就說太累了、不想出門、不想運動……目前轉介進來的幾乎都是拒學，還沒有我心目中所想的那些孩子，所以希望新學年，可以提供住宿之外，到宮廟去、到各個場域去把那些孩子帶回來」等語。另參考</w:t>
      </w:r>
      <w:r w:rsidR="004B7571" w:rsidRPr="00697C03">
        <w:rPr>
          <w:rFonts w:hAnsi="標楷體" w:hint="eastAsia"/>
        </w:rPr>
        <w:t>相關議題</w:t>
      </w:r>
      <w:r w:rsidRPr="00697C03">
        <w:rPr>
          <w:rFonts w:hAnsi="標楷體" w:hint="eastAsia"/>
        </w:rPr>
        <w:t>報導及研究指出</w:t>
      </w:r>
      <w:r w:rsidRPr="00697C03">
        <w:rPr>
          <w:rStyle w:val="aff0"/>
          <w:rFonts w:hAnsi="標楷體"/>
        </w:rPr>
        <w:footnoteReference w:id="21"/>
      </w:r>
      <w:r w:rsidR="000D057E" w:rsidRPr="00697C03">
        <w:rPr>
          <w:rFonts w:hAnsi="標楷體" w:hint="eastAsia"/>
        </w:rPr>
        <w:t>，</w:t>
      </w:r>
      <w:r w:rsidRPr="00697C03">
        <w:rPr>
          <w:rFonts w:hAnsi="標楷體" w:hint="eastAsia"/>
        </w:rPr>
        <w:t>「……採訪了多所中介教育的學校，發現要在校內開設一個資源式中途班、慈輝班，難度都相</w:t>
      </w:r>
      <w:r w:rsidRPr="00697C03">
        <w:rPr>
          <w:rFonts w:hAnsi="標楷體" w:hint="eastAsia"/>
        </w:rPr>
        <w:lastRenderedPageBreak/>
        <w:t>當高。除了學生情緒穩定度不高，學習意願低，多數老師在每週20堂課之外不願意為了一堂360元的鐘點費，增加負荷；導師一個月的加給不過2到3千多元，與要承擔的責任相比，誘因更小。而且台灣的中介教育，越是偏鄉，或不在山區也不在市區的</w:t>
      </w:r>
      <w:r w:rsidR="00CB3F9A" w:rsidRPr="00697C03">
        <w:rPr>
          <w:rFonts w:hAnsi="標楷體" w:hint="eastAsia"/>
        </w:rPr>
        <w:t>『</w:t>
      </w:r>
      <w:r w:rsidRPr="00697C03">
        <w:rPr>
          <w:rFonts w:hAnsi="標楷體" w:hint="eastAsia"/>
        </w:rPr>
        <w:t>不山不市</w:t>
      </w:r>
      <w:r w:rsidR="00CB3F9A" w:rsidRPr="00697C03">
        <w:rPr>
          <w:rFonts w:hAnsi="標楷體" w:hint="eastAsia"/>
        </w:rPr>
        <w:t>』</w:t>
      </w:r>
      <w:r w:rsidRPr="00697C03">
        <w:rPr>
          <w:rFonts w:hAnsi="標楷體" w:hint="eastAsia"/>
        </w:rPr>
        <w:t>的地方，越顯捉襟見肘……」，相關困境及配套措施尚待教育部通盤研議。</w:t>
      </w:r>
    </w:p>
    <w:p w:rsidR="00406A77" w:rsidRPr="00697C03" w:rsidRDefault="00406A77" w:rsidP="00406A77">
      <w:pPr>
        <w:pStyle w:val="3"/>
        <w:kinsoku/>
        <w:ind w:left="1360" w:hanging="680"/>
        <w:rPr>
          <w:rFonts w:hAnsi="標楷體"/>
        </w:rPr>
      </w:pPr>
      <w:r w:rsidRPr="00697C03">
        <w:rPr>
          <w:rFonts w:hAnsi="標楷體" w:hint="eastAsia"/>
        </w:rPr>
        <w:t>此外，相對於國民教育階段現行多元中介教育措施，本案簡報資料及相關實務意見復指出，</w:t>
      </w:r>
      <w:r w:rsidR="006904B8" w:rsidRPr="00697C03">
        <w:rPr>
          <w:rFonts w:hAnsi="標楷體" w:hint="eastAsia"/>
        </w:rPr>
        <w:t>目前</w:t>
      </w:r>
      <w:r w:rsidR="00604825" w:rsidRPr="00697C03">
        <w:rPr>
          <w:rFonts w:hAnsi="標楷體" w:hint="eastAsia"/>
        </w:rPr>
        <w:t>高中中離生階段</w:t>
      </w:r>
      <w:r w:rsidRPr="00697C03">
        <w:rPr>
          <w:rFonts w:hAnsi="標楷體" w:hint="eastAsia"/>
        </w:rPr>
        <w:t>並未實施中介教育措施，惟</w:t>
      </w:r>
      <w:r w:rsidR="00DD4A01" w:rsidRPr="00697C03">
        <w:rPr>
          <w:rFonts w:hAnsi="標楷體" w:hint="eastAsia"/>
        </w:rPr>
        <w:t>部分</w:t>
      </w:r>
      <w:r w:rsidRPr="00697C03">
        <w:rPr>
          <w:rFonts w:hAnsi="標楷體" w:hint="eastAsia"/>
        </w:rPr>
        <w:t>學校端</w:t>
      </w:r>
      <w:r w:rsidR="00B37285" w:rsidRPr="00697C03">
        <w:rPr>
          <w:rFonts w:hAnsi="標楷體" w:hint="eastAsia"/>
        </w:rPr>
        <w:t>認亟需中介教育相關措施（機構）之協助及資源。對此，</w:t>
      </w:r>
      <w:r w:rsidRPr="00697C03">
        <w:rPr>
          <w:rFonts w:hAnsi="標楷體" w:hint="eastAsia"/>
        </w:rPr>
        <w:t>於本院調查期間</w:t>
      </w:r>
      <w:r w:rsidR="00931783" w:rsidRPr="00697C03">
        <w:rPr>
          <w:rFonts w:hAnsi="標楷體" w:hint="eastAsia"/>
        </w:rPr>
        <w:t>，</w:t>
      </w:r>
      <w:r w:rsidR="00022FEF" w:rsidRPr="00697C03">
        <w:rPr>
          <w:rFonts w:hAnsi="標楷體" w:hint="eastAsia"/>
        </w:rPr>
        <w:t>教育部</w:t>
      </w:r>
      <w:r w:rsidRPr="00697C03">
        <w:rPr>
          <w:rFonts w:hAnsi="標楷體" w:hint="eastAsia"/>
          <w:bCs w:val="0"/>
          <w:szCs w:val="52"/>
        </w:rPr>
        <w:t>國教署於</w:t>
      </w:r>
      <w:r w:rsidRPr="00697C03">
        <w:rPr>
          <w:rFonts w:hAnsi="標楷體"/>
          <w:bCs w:val="0"/>
          <w:szCs w:val="52"/>
        </w:rPr>
        <w:t>109</w:t>
      </w:r>
      <w:r w:rsidRPr="00697C03">
        <w:rPr>
          <w:rFonts w:hAnsi="標楷體" w:hint="eastAsia"/>
          <w:bCs w:val="0"/>
          <w:szCs w:val="52"/>
        </w:rPr>
        <w:t>年</w:t>
      </w:r>
      <w:r w:rsidRPr="00697C03">
        <w:rPr>
          <w:rFonts w:hAnsi="標楷體"/>
          <w:bCs w:val="0"/>
          <w:szCs w:val="52"/>
        </w:rPr>
        <w:t>3</w:t>
      </w:r>
      <w:r w:rsidRPr="00697C03">
        <w:rPr>
          <w:rFonts w:hAnsi="標楷體" w:hint="eastAsia"/>
          <w:bCs w:val="0"/>
          <w:szCs w:val="52"/>
        </w:rPr>
        <w:t>月</w:t>
      </w:r>
      <w:r w:rsidRPr="00697C03">
        <w:rPr>
          <w:rFonts w:hAnsi="標楷體"/>
          <w:bCs w:val="0"/>
          <w:szCs w:val="52"/>
        </w:rPr>
        <w:t>18</w:t>
      </w:r>
      <w:r w:rsidRPr="00697C03">
        <w:rPr>
          <w:rFonts w:hAnsi="標楷體" w:hint="eastAsia"/>
          <w:bCs w:val="0"/>
          <w:szCs w:val="52"/>
        </w:rPr>
        <w:t>日召開「工作原則」修正會議，將高級中等學校中離生穩定就學措施實施計畫經費申請納入準用之，未來據以補助各地方政府辦理高級中等學校中介教育措施所需經費補助基準等改善措施。</w:t>
      </w:r>
      <w:r w:rsidRPr="00697C03">
        <w:rPr>
          <w:rFonts w:hAnsi="標楷體" w:hint="eastAsia"/>
        </w:rPr>
        <w:t>爰此，針對後期中等教育階段實務上已有促請教育主管機關研議延長至後期中等教育階段學制實施之呼聲，亟待教育部積極研議並規劃相關配套措施，以期透過中介教育協助不適應學生，發揮中介教育之精神。</w:t>
      </w:r>
    </w:p>
    <w:p w:rsidR="00406A77" w:rsidRPr="00697C03" w:rsidRDefault="00406A77" w:rsidP="00406A77">
      <w:pPr>
        <w:pStyle w:val="3"/>
        <w:kinsoku/>
        <w:ind w:left="1360" w:hanging="680"/>
        <w:rPr>
          <w:rFonts w:hAnsi="標楷體"/>
        </w:rPr>
      </w:pPr>
      <w:r w:rsidRPr="00697C03">
        <w:rPr>
          <w:rFonts w:hAnsi="標楷體" w:hint="eastAsia"/>
        </w:rPr>
        <w:t>另查，我國為進一步保障學生學習權，增進家長教育選擇權，鼓勵教育創新與實驗，促進教育多元發展，</w:t>
      </w:r>
      <w:r w:rsidRPr="00697C03">
        <w:rPr>
          <w:rFonts w:hAnsi="標楷體"/>
        </w:rPr>
        <w:t>103</w:t>
      </w:r>
      <w:r w:rsidRPr="00697C03">
        <w:rPr>
          <w:rFonts w:hAnsi="標楷體" w:hint="eastAsia"/>
        </w:rPr>
        <w:t>年底再公布學校型態實驗教育實施條例、公立國民小學及國民中學委託私人辦理條例、及高級中等以下教育階段非學校型態實驗教育實施條例，即所稱「實驗教育三法」。實驗教育三法公布後，因應教育現場陸續反映相關意見，爰教育部</w:t>
      </w:r>
      <w:r w:rsidRPr="00697C03">
        <w:rPr>
          <w:rFonts w:hAnsi="標楷體"/>
        </w:rPr>
        <w:t>105</w:t>
      </w:r>
      <w:r w:rsidRPr="00697C03">
        <w:rPr>
          <w:rFonts w:hAnsi="標楷體" w:hint="eastAsia"/>
        </w:rPr>
        <w:t>年以「友善協助、彈性鬆綁、多元創新」為方向提出實驗教育三法修正案，並於</w:t>
      </w:r>
      <w:r w:rsidRPr="00697C03">
        <w:rPr>
          <w:rFonts w:hAnsi="標楷體"/>
        </w:rPr>
        <w:t>106</w:t>
      </w:r>
      <w:r w:rsidRPr="00697C03">
        <w:rPr>
          <w:rFonts w:hAnsi="標楷體" w:hint="eastAsia"/>
        </w:rPr>
        <w:t>年</w:t>
      </w:r>
      <w:r w:rsidRPr="00697C03">
        <w:rPr>
          <w:rFonts w:hAnsi="標楷體"/>
        </w:rPr>
        <w:t>12</w:t>
      </w:r>
      <w:r w:rsidRPr="00697C03">
        <w:rPr>
          <w:rFonts w:hAnsi="標楷體" w:hint="eastAsia"/>
        </w:rPr>
        <w:t>月</w:t>
      </w:r>
      <w:r w:rsidRPr="00697C03">
        <w:rPr>
          <w:rFonts w:hAnsi="標楷體"/>
        </w:rPr>
        <w:t>29</w:t>
      </w:r>
      <w:r w:rsidRPr="00697C03">
        <w:rPr>
          <w:rFonts w:hAnsi="標楷體" w:hint="eastAsia"/>
        </w:rPr>
        <w:t>日經立法院三讀通過，</w:t>
      </w:r>
      <w:r w:rsidRPr="00697C03">
        <w:rPr>
          <w:rFonts w:hAnsi="標楷體"/>
        </w:rPr>
        <w:t>107</w:t>
      </w:r>
      <w:r w:rsidRPr="00697C03">
        <w:rPr>
          <w:rFonts w:hAnsi="標楷體" w:hint="eastAsia"/>
        </w:rPr>
        <w:t>年</w:t>
      </w:r>
      <w:r w:rsidRPr="00697C03">
        <w:rPr>
          <w:rFonts w:hAnsi="標楷體"/>
        </w:rPr>
        <w:t>1</w:t>
      </w:r>
      <w:r w:rsidRPr="00697C03">
        <w:rPr>
          <w:rFonts w:hAnsi="標楷體" w:hint="eastAsia"/>
        </w:rPr>
        <w:t>月</w:t>
      </w:r>
      <w:r w:rsidRPr="00697C03">
        <w:rPr>
          <w:rFonts w:hAnsi="標楷體"/>
        </w:rPr>
        <w:t>31</w:t>
      </w:r>
      <w:r w:rsidRPr="00697C03">
        <w:rPr>
          <w:rFonts w:hAnsi="標楷體" w:hint="eastAsia"/>
        </w:rPr>
        <w:t>日經總統公布。是以，</w:t>
      </w:r>
      <w:r w:rsidRPr="00697C03">
        <w:rPr>
          <w:rFonts w:hAnsi="標楷體" w:hint="eastAsia"/>
        </w:rPr>
        <w:lastRenderedPageBreak/>
        <w:t>據「臺灣實驗教育推動中心」分析臺灣實驗教育法制發展，指出我國實驗教育之法制發展脈絡有「從『特定學校進行實驗』發展成為『實驗學校』」、「『特殊需求學生』擴及『所有學生』」、「立法完備，提升至『中央法規』位階」等三大演變。國內實驗教育發展迄今，107學年度實驗三法之實驗教育執行單位數量計有學校型態64所、非學校型態-團體92個、非學校型態-機構32個及委託私人辦理10個，學生人數分別有</w:t>
      </w:r>
      <w:r w:rsidRPr="00697C03">
        <w:rPr>
          <w:rFonts w:hAnsi="標楷體"/>
        </w:rPr>
        <w:t>6,244</w:t>
      </w:r>
      <w:r w:rsidRPr="00697C03">
        <w:rPr>
          <w:rFonts w:hAnsi="標楷體" w:hint="eastAsia"/>
        </w:rPr>
        <w:t>人、</w:t>
      </w:r>
      <w:r w:rsidRPr="00697C03">
        <w:rPr>
          <w:rFonts w:hAnsi="標楷體"/>
        </w:rPr>
        <w:t>3,436</w:t>
      </w:r>
      <w:r w:rsidRPr="00697C03">
        <w:rPr>
          <w:rFonts w:hAnsi="標楷體" w:hint="eastAsia"/>
        </w:rPr>
        <w:t>人、</w:t>
      </w:r>
      <w:r w:rsidRPr="00697C03">
        <w:rPr>
          <w:rFonts w:hAnsi="標楷體"/>
        </w:rPr>
        <w:t>1,513</w:t>
      </w:r>
      <w:r w:rsidRPr="00697C03">
        <w:rPr>
          <w:rFonts w:hAnsi="標楷體" w:hint="eastAsia"/>
        </w:rPr>
        <w:t>人、</w:t>
      </w:r>
      <w:r w:rsidRPr="00697C03">
        <w:rPr>
          <w:rFonts w:hAnsi="標楷體"/>
        </w:rPr>
        <w:t>2,333</w:t>
      </w:r>
      <w:r w:rsidRPr="00697C03">
        <w:rPr>
          <w:rFonts w:hAnsi="標楷體" w:hint="eastAsia"/>
        </w:rPr>
        <w:t>人及</w:t>
      </w:r>
      <w:r w:rsidRPr="00697C03">
        <w:rPr>
          <w:rFonts w:hAnsi="標楷體"/>
        </w:rPr>
        <w:t>1,940</w:t>
      </w:r>
      <w:r w:rsidRPr="00697C03">
        <w:rPr>
          <w:rFonts w:hAnsi="標楷體" w:hint="eastAsia"/>
        </w:rPr>
        <w:t>人。此有本院108年「通案性案件調查研究：我國實驗教育的實施現況與未來發展」之報告可參</w:t>
      </w:r>
      <w:r w:rsidRPr="00697C03">
        <w:rPr>
          <w:rStyle w:val="aff0"/>
          <w:rFonts w:hAnsi="標楷體"/>
        </w:rPr>
        <w:footnoteReference w:id="22"/>
      </w:r>
      <w:r w:rsidRPr="00697C03">
        <w:rPr>
          <w:rFonts w:hAnsi="標楷體" w:hint="eastAsia"/>
        </w:rPr>
        <w:t>。</w:t>
      </w:r>
    </w:p>
    <w:p w:rsidR="00406A77" w:rsidRPr="00697C03" w:rsidRDefault="00406A77" w:rsidP="00406A77">
      <w:pPr>
        <w:pStyle w:val="3"/>
        <w:kinsoku/>
        <w:ind w:left="1360" w:hanging="680"/>
        <w:rPr>
          <w:rFonts w:hAnsi="標楷體"/>
        </w:rPr>
      </w:pPr>
      <w:r w:rsidRPr="00697C03">
        <w:rPr>
          <w:rFonts w:hAnsi="標楷體" w:hint="eastAsia"/>
        </w:rPr>
        <w:t>參考本院</w:t>
      </w:r>
      <w:r w:rsidR="004E5ED5" w:rsidRPr="00697C03">
        <w:rPr>
          <w:rFonts w:hAnsi="標楷體" w:hint="eastAsia"/>
        </w:rPr>
        <w:t>108年</w:t>
      </w:r>
      <w:r w:rsidRPr="00697C03">
        <w:rPr>
          <w:rFonts w:hAnsi="標楷體" w:hint="eastAsia"/>
        </w:rPr>
        <w:t>實驗教育通案性調查研究</w:t>
      </w:r>
      <w:r w:rsidR="003A5B62" w:rsidRPr="00697C03">
        <w:rPr>
          <w:rFonts w:hAnsi="標楷體" w:hint="eastAsia"/>
        </w:rPr>
        <w:t>報告之</w:t>
      </w:r>
      <w:r w:rsidRPr="00697C03">
        <w:rPr>
          <w:rFonts w:hAnsi="標楷體" w:hint="eastAsia"/>
        </w:rPr>
        <w:t>履勘及座談意見</w:t>
      </w:r>
      <w:r w:rsidR="002D21AF" w:rsidRPr="00697C03">
        <w:rPr>
          <w:rFonts w:hAnsi="標楷體" w:hint="eastAsia"/>
        </w:rPr>
        <w:t>載明</w:t>
      </w:r>
      <w:r w:rsidRPr="00697C03">
        <w:rPr>
          <w:rStyle w:val="aff0"/>
          <w:rFonts w:hAnsi="標楷體"/>
        </w:rPr>
        <w:footnoteReference w:id="23"/>
      </w:r>
      <w:r w:rsidRPr="00697C03">
        <w:rPr>
          <w:rFonts w:hAnsi="標楷體" w:hint="eastAsia"/>
        </w:rPr>
        <w:t>，關於</w:t>
      </w:r>
      <w:r w:rsidRPr="00697C03">
        <w:rPr>
          <w:rFonts w:hAnsi="標楷體" w:hint="eastAsia"/>
          <w:szCs w:val="32"/>
        </w:rPr>
        <w:t>花蓮縣「五味屋」及宜蘭縣「不老部落」等2團體型非學校型態實驗教育運作情形，發現該等團體提供弱勢、中輟學生不同於體制內教育之機會與經驗，藉由結合社區或部落資源、提供職業訓練課程等，提供學生更符合個別需求之學習內容，亦因為此種教育模式，避免部分學生步入歧途，可</w:t>
      </w:r>
      <w:bookmarkStart w:id="77" w:name="_Toc26196216"/>
      <w:r w:rsidRPr="00697C03">
        <w:rPr>
          <w:rFonts w:hAnsi="標楷體" w:hint="eastAsia"/>
          <w:szCs w:val="32"/>
        </w:rPr>
        <w:t>謂該等團體補充了家庭與學校不足之功能，展現體制外民間教育之能量</w:t>
      </w:r>
      <w:r w:rsidRPr="00697C03">
        <w:rPr>
          <w:rFonts w:hAnsi="標楷體"/>
          <w:szCs w:val="32"/>
        </w:rPr>
        <w:t>……</w:t>
      </w:r>
      <w:r w:rsidRPr="00697C03">
        <w:rPr>
          <w:rFonts w:hAnsi="標楷體" w:hint="eastAsia"/>
          <w:szCs w:val="32"/>
        </w:rPr>
        <w:t>。及團體型非學校型態實驗教育多以華德福、蒙特梭利等教育理念據以辦學，或有以宗教理念融入教學、結合在地特色資源等樣態，部分團體更提供弱勢、中輟學生補充性教育之功能，實地訪查走訪之花蓮縣「五味屋」及宜蘭縣「不老部落」等，展現體制外民間教育之能量，優質經驗頗值傳承</w:t>
      </w:r>
      <w:bookmarkEnd w:id="77"/>
      <w:r w:rsidRPr="00697C03">
        <w:rPr>
          <w:rFonts w:hAnsi="標楷體"/>
          <w:szCs w:val="32"/>
        </w:rPr>
        <w:t>……</w:t>
      </w:r>
      <w:r w:rsidRPr="00697C03">
        <w:rPr>
          <w:rFonts w:hAnsi="標楷體" w:hint="eastAsia"/>
          <w:szCs w:val="32"/>
        </w:rPr>
        <w:t>等語。</w:t>
      </w:r>
      <w:r w:rsidR="00FE1AB0" w:rsidRPr="00697C03">
        <w:rPr>
          <w:rFonts w:hAnsi="標楷體" w:hint="eastAsia"/>
        </w:rPr>
        <w:t>基此，</w:t>
      </w:r>
      <w:r w:rsidR="00FE1AB0" w:rsidRPr="00697C03">
        <w:rPr>
          <w:rFonts w:hAnsi="標楷體" w:hint="eastAsia"/>
        </w:rPr>
        <w:lastRenderedPageBreak/>
        <w:t>以本院</w:t>
      </w:r>
      <w:r w:rsidR="00600DAD" w:rsidRPr="00697C03">
        <w:rPr>
          <w:rFonts w:hAnsi="標楷體" w:hint="eastAsia"/>
        </w:rPr>
        <w:t>108年</w:t>
      </w:r>
      <w:r w:rsidRPr="00697C03">
        <w:rPr>
          <w:rFonts w:hAnsi="標楷體" w:hint="eastAsia"/>
        </w:rPr>
        <w:t>實驗教育通案性調查研究報告及相關教育調查案件之經驗或參考結論指出，教育成功的要素之一往往在於「教師工作熱忱度」、「多元化課程及教學方式」、「師生共學」、「創新教學資源」，讓學生發覺自己合適的領域，即有志趣於學校學習。此外，參考「複合式教學」</w:t>
      </w:r>
      <w:r w:rsidR="0079236E" w:rsidRPr="00697C03">
        <w:rPr>
          <w:rFonts w:hAnsi="標楷體" w:hint="eastAsia"/>
        </w:rPr>
        <w:t>（</w:t>
      </w:r>
      <w:r w:rsidRPr="00697C03">
        <w:rPr>
          <w:rFonts w:hAnsi="標楷體" w:hint="eastAsia"/>
        </w:rPr>
        <w:t>Complex instruction</w:t>
      </w:r>
      <w:r w:rsidR="0079236E" w:rsidRPr="00697C03">
        <w:rPr>
          <w:rFonts w:hAnsi="標楷體" w:hint="eastAsia"/>
        </w:rPr>
        <w:t>）</w:t>
      </w:r>
      <w:r w:rsidRPr="00697C03">
        <w:rPr>
          <w:rFonts w:hAnsi="標楷體" w:hint="eastAsia"/>
        </w:rPr>
        <w:t>，係透過複合式教學來處理教學中不同種類的學習問題，包括學業、文化和語言上的異質，俾利建立公正的學習機會，且讓學生於智能挑戰教材的環境之下，進行小組教學，發現學生個別興趣，因材施教，安排多元化課程等，相關實驗教育之精神及意旨，尚待教育部通盤檢視，並期能整體規畫作為本案辦理之參酌。</w:t>
      </w:r>
    </w:p>
    <w:p w:rsidR="00406A77" w:rsidRPr="00697C03" w:rsidRDefault="00406A77" w:rsidP="00406A77">
      <w:pPr>
        <w:pStyle w:val="3"/>
        <w:kinsoku/>
        <w:ind w:left="1360" w:hanging="680"/>
        <w:rPr>
          <w:rFonts w:hAnsi="標楷體"/>
        </w:rPr>
      </w:pPr>
      <w:r w:rsidRPr="00697C03">
        <w:rPr>
          <w:rFonts w:hAnsi="標楷體" w:hint="eastAsia"/>
        </w:rPr>
        <w:t>針對本項</w:t>
      </w:r>
      <w:r w:rsidR="00BE5A77" w:rsidRPr="00697C03">
        <w:rPr>
          <w:rFonts w:hAnsi="標楷體" w:hint="eastAsia"/>
        </w:rPr>
        <w:t>調查</w:t>
      </w:r>
      <w:r w:rsidRPr="00697C03">
        <w:rPr>
          <w:rFonts w:hAnsi="標楷體" w:hint="eastAsia"/>
        </w:rPr>
        <w:t>議題，教育部於本院調查期間，已於</w:t>
      </w:r>
      <w:r w:rsidRPr="00697C03">
        <w:rPr>
          <w:rFonts w:hAnsi="標楷體"/>
        </w:rPr>
        <w:t>109</w:t>
      </w:r>
      <w:r w:rsidRPr="00697C03">
        <w:rPr>
          <w:rFonts w:hAnsi="標楷體" w:hint="eastAsia"/>
        </w:rPr>
        <w:t>年</w:t>
      </w:r>
      <w:r w:rsidRPr="00697C03">
        <w:rPr>
          <w:rFonts w:hAnsi="標楷體"/>
        </w:rPr>
        <w:t>3</w:t>
      </w:r>
      <w:r w:rsidRPr="00697C03">
        <w:rPr>
          <w:rFonts w:hAnsi="標楷體" w:hint="eastAsia"/>
        </w:rPr>
        <w:t>月</w:t>
      </w:r>
      <w:r w:rsidRPr="00697C03">
        <w:rPr>
          <w:rFonts w:hAnsi="標楷體"/>
        </w:rPr>
        <w:t>20</w:t>
      </w:r>
      <w:r w:rsidRPr="00697C03">
        <w:rPr>
          <w:rFonts w:hAnsi="標楷體" w:hint="eastAsia"/>
        </w:rPr>
        <w:t>日邀集行政院及青年署青年諮詢委員、民間團體、專家學者及中離學生</w:t>
      </w:r>
      <w:r w:rsidR="0079236E" w:rsidRPr="00697C03">
        <w:rPr>
          <w:rFonts w:hAnsi="標楷體"/>
        </w:rPr>
        <w:t>（</w:t>
      </w:r>
      <w:r w:rsidRPr="00697C03">
        <w:rPr>
          <w:rFonts w:hAnsi="標楷體" w:hint="eastAsia"/>
        </w:rPr>
        <w:t>包含復學生</w:t>
      </w:r>
      <w:r w:rsidR="0079236E" w:rsidRPr="00697C03">
        <w:rPr>
          <w:rFonts w:hAnsi="標楷體"/>
        </w:rPr>
        <w:t>）</w:t>
      </w:r>
      <w:r w:rsidRPr="00697C03">
        <w:rPr>
          <w:rFonts w:hAnsi="標楷體" w:hint="eastAsia"/>
        </w:rPr>
        <w:t>召開焦點座談會，初歩彙整可能之精進策略方案，其中包括「離校後佈建中介教育資源」，略以：實驗性的短期</w:t>
      </w:r>
      <w:r w:rsidR="0079236E" w:rsidRPr="00697C03">
        <w:rPr>
          <w:rFonts w:hAnsi="標楷體" w:hint="eastAsia"/>
        </w:rPr>
        <w:t>（</w:t>
      </w:r>
      <w:r w:rsidRPr="00697C03">
        <w:rPr>
          <w:rFonts w:hAnsi="標楷體" w:hint="eastAsia"/>
        </w:rPr>
        <w:t>中介</w:t>
      </w:r>
      <w:r w:rsidR="0079236E" w:rsidRPr="00697C03">
        <w:rPr>
          <w:rFonts w:hAnsi="標楷體" w:hint="eastAsia"/>
        </w:rPr>
        <w:t>）</w:t>
      </w:r>
      <w:r w:rsidRPr="00697C03">
        <w:rPr>
          <w:rFonts w:hAnsi="標楷體" w:hint="eastAsia"/>
        </w:rPr>
        <w:t>學校，如：日本的Free School或類似本土逆風劇團之陪伴方案，提供各類創意課程或體驗活動，讓中離學生短期多方試探，並可折抵學校上課時數；或可以跨校、區域式，優先評估採公辦民營方式辦理，以整合民間及公部門之資源。此外如實驗教育多元發展，針對不擅學科與套裝知識學習的學生，規劃以技能實習課程及較具彈性之多元實驗教育方案，藉由增加探究與實作之課程與活動設計，激發學生之興趣，以發展學生適性學習。此外，該部政務次長及主管人員於本院109年3月31</w:t>
      </w:r>
      <w:r w:rsidR="00FF4D0A" w:rsidRPr="00697C03">
        <w:rPr>
          <w:rFonts w:hAnsi="標楷體" w:hint="eastAsia"/>
        </w:rPr>
        <w:t>日</w:t>
      </w:r>
      <w:r w:rsidRPr="00697C03">
        <w:rPr>
          <w:rFonts w:hAnsi="標楷體" w:hint="eastAsia"/>
        </w:rPr>
        <w:t>詢</w:t>
      </w:r>
      <w:r w:rsidR="00FF4D0A" w:rsidRPr="00697C03">
        <w:rPr>
          <w:rFonts w:hAnsi="標楷體" w:hint="eastAsia"/>
        </w:rPr>
        <w:t>問會議</w:t>
      </w:r>
      <w:r w:rsidRPr="00697C03">
        <w:rPr>
          <w:rFonts w:hAnsi="標楷體" w:hint="eastAsia"/>
        </w:rPr>
        <w:t>指出，本案也針對不適合體制內教育中離生，對此，我們去徵詢過實驗教育團體，主要</w:t>
      </w:r>
      <w:r w:rsidRPr="00697C03">
        <w:rPr>
          <w:rFonts w:hAnsi="標楷體" w:hint="eastAsia"/>
        </w:rPr>
        <w:lastRenderedPageBreak/>
        <w:t>有學校型態和非學校型態團體，他們也表示可以帶幾個中離生進去，也是一個新的教育方式，該部未來將盡快經過評估後，針對有能力接收的學校團體也會納入協助辦理。基此，</w:t>
      </w:r>
      <w:r w:rsidRPr="00697C03">
        <w:rPr>
          <w:rFonts w:hAnsi="標楷體" w:hint="eastAsia"/>
          <w:szCs w:val="52"/>
        </w:rPr>
        <w:t>教育部雖於本院調查及詢問期間已考量</w:t>
      </w:r>
      <w:r w:rsidRPr="00697C03">
        <w:rPr>
          <w:rFonts w:hAnsi="標楷體" w:hint="eastAsia"/>
          <w:bCs w:val="0"/>
          <w:szCs w:val="52"/>
        </w:rPr>
        <w:t>實驗教育多元發展，惟後續仍待具體規劃或以技能實習課程及較具彈性之多元實驗教育方案，激發學生之興趣，開展學生適性學習</w:t>
      </w:r>
      <w:r w:rsidRPr="00697C03">
        <w:rPr>
          <w:rFonts w:hAnsi="標楷體" w:hint="eastAsia"/>
        </w:rPr>
        <w:t>。</w:t>
      </w:r>
    </w:p>
    <w:p w:rsidR="00406A77" w:rsidRPr="00697C03" w:rsidRDefault="00406A77" w:rsidP="00406A77">
      <w:pPr>
        <w:pStyle w:val="3"/>
        <w:kinsoku/>
        <w:ind w:left="1360" w:hanging="680"/>
        <w:rPr>
          <w:rFonts w:hAnsi="標楷體"/>
        </w:rPr>
      </w:pPr>
      <w:r w:rsidRPr="00697C03">
        <w:rPr>
          <w:rFonts w:hAnsi="標楷體" w:hint="eastAsia"/>
        </w:rPr>
        <w:t>綜上論述，實驗教育目的係為鼓勵教育創新與實驗、保障學生學習權及家長教育選擇權，為整體教育發展開創新契機。103年我國實驗教育三法正式立法，所謂實驗教育或另類教育（alternative education）體制蓬勃發展，且係亞洲實驗教育之先河，有助於積極建構完善且多元之教育環境，部分實驗教育團體更提供弱勢、中輟學生補充性教育之功能，本院過去曾實地走訪花蓮縣「五味屋」及宜蘭縣「不老部落」等，展現體制外民間教育之能量，殊值本案教育部考量輔導各縣市積極參酌，且教育成功要素在於「教師工作熱忱度」、「多元化課程及教學方式」、「師生共學」、「創新教學資源」，讓學生發覺自己合適的領域，即有志趣於學校學習，另參考國際比較教育研究指出日本針對「不登校（futoko）」學生發展「自由學校（free school）」，有別於歐美隸屬學校系統的自由學校，不屬於公立教育系統，定位於民間教育設施，期協助原無法適應一般學校</w:t>
      </w:r>
      <w:r w:rsidR="00091D1F" w:rsidRPr="00697C03">
        <w:rPr>
          <w:rFonts w:hAnsi="標楷體" w:hint="eastAsia"/>
        </w:rPr>
        <w:t>生</w:t>
      </w:r>
      <w:r w:rsidRPr="00697C03">
        <w:rPr>
          <w:rFonts w:hAnsi="標楷體" w:hint="eastAsia"/>
        </w:rPr>
        <w:t>活之學生透過多元學制仍能進行學習。我國目前雖尚未發展專門自由學校體制，惟針對國民教育階段之中介教育措施，實務上已有延長至後期中等教育階段學制實施之呼聲；而教育部雖於本院調查期間將中離生穩定就學措施實施計畫經費申請納入準用之，據以補助辦理中介教育措施，並稱</w:t>
      </w:r>
      <w:r w:rsidRPr="00697C03">
        <w:rPr>
          <w:rFonts w:hAnsi="標楷體" w:hint="eastAsia"/>
        </w:rPr>
        <w:lastRenderedPageBreak/>
        <w:t>已考量實驗教育多元發展，期規劃以技能實習課程及較具彈性之多元實驗教育方案，建置多元適性探索的中介教育資源等，惟鑒於國民教育階段實扮演重要人才素質之基礎角色，此於實驗教育政策有待進行整體調整、研究評估、督導及整合機制之當下，仍亟待該部持續積極正視並同時研議發展，以維學生教育權保障。</w:t>
      </w:r>
    </w:p>
    <w:p w:rsidR="00406A77" w:rsidRPr="00697C03" w:rsidRDefault="00406A77" w:rsidP="00406A77">
      <w:pPr>
        <w:rPr>
          <w:rFonts w:ascii="標楷體" w:hAnsi="標楷體"/>
        </w:rPr>
      </w:pPr>
    </w:p>
    <w:p w:rsidR="00406A77" w:rsidRPr="00697C03" w:rsidRDefault="00406A77" w:rsidP="00406A77">
      <w:pPr>
        <w:pStyle w:val="2"/>
        <w:kinsoku/>
        <w:overflowPunct w:val="0"/>
        <w:autoSpaceDE w:val="0"/>
        <w:autoSpaceDN w:val="0"/>
        <w:ind w:left="1021" w:hanging="681"/>
        <w:rPr>
          <w:rFonts w:hAnsi="標楷體"/>
        </w:rPr>
      </w:pPr>
      <w:bookmarkStart w:id="78" w:name="_Toc39250777"/>
      <w:bookmarkStart w:id="79" w:name="_Toc41382887"/>
      <w:r w:rsidRPr="00697C03">
        <w:rPr>
          <w:rFonts w:hAnsi="標楷體" w:hint="eastAsia"/>
          <w:b/>
          <w:bCs w:val="0"/>
          <w:szCs w:val="52"/>
        </w:rPr>
        <w:t>中央教育權限依規定由</w:t>
      </w:r>
      <w:r w:rsidR="00342641" w:rsidRPr="00697C03">
        <w:rPr>
          <w:rFonts w:hAnsi="標楷體" w:hint="eastAsia"/>
          <w:b/>
          <w:bCs w:val="0"/>
          <w:szCs w:val="52"/>
        </w:rPr>
        <w:t>教育部</w:t>
      </w:r>
      <w:r w:rsidRPr="00697C03">
        <w:rPr>
          <w:rFonts w:hAnsi="標楷體" w:hint="eastAsia"/>
          <w:b/>
          <w:bCs w:val="0"/>
          <w:szCs w:val="52"/>
        </w:rPr>
        <w:t>國民及學前教育署綜理各直轄市、縣（市）政府辦理高級中等教育之督導及協調、所轄高級中等學校行政之管理及督導，以及高級中等以下學校學生輔導工作之規劃、推動及督導；</w:t>
      </w:r>
      <w:r w:rsidR="00503327" w:rsidRPr="00697C03">
        <w:rPr>
          <w:rFonts w:hAnsi="標楷體" w:hint="eastAsia"/>
          <w:b/>
          <w:bCs w:val="0"/>
          <w:szCs w:val="52"/>
        </w:rPr>
        <w:t>教育部</w:t>
      </w:r>
      <w:r w:rsidRPr="00697C03">
        <w:rPr>
          <w:rFonts w:hAnsi="標楷體" w:hint="eastAsia"/>
          <w:b/>
          <w:bCs w:val="0"/>
          <w:szCs w:val="52"/>
        </w:rPr>
        <w:t>青年發展署則綜理主管未就學未就業青少年關懷扶助計畫之規劃及協調事項</w:t>
      </w:r>
      <w:r w:rsidRPr="00697C03">
        <w:rPr>
          <w:rFonts w:hAnsi="標楷體" w:hint="eastAsia"/>
          <w:b/>
        </w:rPr>
        <w:t>；而現行國民中小</w:t>
      </w:r>
      <w:r w:rsidR="00724572" w:rsidRPr="00697C03">
        <w:rPr>
          <w:rFonts w:hAnsi="標楷體" w:hint="eastAsia"/>
          <w:b/>
        </w:rPr>
        <w:t>學中輟生輔導追蹤</w:t>
      </w:r>
      <w:r w:rsidR="00063387" w:rsidRPr="00697C03">
        <w:rPr>
          <w:rFonts w:hAnsi="標楷體" w:hint="eastAsia"/>
          <w:b/>
        </w:rPr>
        <w:t>等</w:t>
      </w:r>
      <w:r w:rsidR="00724572" w:rsidRPr="00697C03">
        <w:rPr>
          <w:rFonts w:hAnsi="標楷體" w:hint="eastAsia"/>
          <w:b/>
        </w:rPr>
        <w:t>機制</w:t>
      </w:r>
      <w:r w:rsidRPr="00697C03">
        <w:rPr>
          <w:rFonts w:hAnsi="標楷體" w:hint="eastAsia"/>
          <w:b/>
        </w:rPr>
        <w:t>係由國教署政策統籌，</w:t>
      </w:r>
      <w:r w:rsidR="00723962" w:rsidRPr="00697C03">
        <w:rPr>
          <w:rFonts w:hAnsi="標楷體" w:hint="eastAsia"/>
          <w:b/>
        </w:rPr>
        <w:t>事</w:t>
      </w:r>
      <w:r w:rsidR="00341BEE" w:rsidRPr="00697C03">
        <w:rPr>
          <w:rFonts w:hAnsi="標楷體" w:hint="eastAsia"/>
          <w:b/>
        </w:rPr>
        <w:t>涉部分地方自治事項則由直轄市、縣市政府主管，</w:t>
      </w:r>
      <w:r w:rsidRPr="00697C03">
        <w:rPr>
          <w:rFonts w:hAnsi="標楷體" w:hint="eastAsia"/>
          <w:b/>
        </w:rPr>
        <w:t>針對</w:t>
      </w:r>
      <w:r w:rsidR="0000213C" w:rsidRPr="00697C03">
        <w:rPr>
          <w:rFonts w:hAnsi="標楷體" w:hint="eastAsia"/>
          <w:b/>
          <w:bCs w:val="0"/>
          <w:szCs w:val="52"/>
        </w:rPr>
        <w:t>國中畢業後未升學未就業不具學生身分，</w:t>
      </w:r>
      <w:r w:rsidRPr="00697C03">
        <w:rPr>
          <w:rFonts w:hAnsi="標楷體" w:hint="eastAsia"/>
          <w:b/>
          <w:bCs w:val="0"/>
          <w:szCs w:val="52"/>
        </w:rPr>
        <w:t>政策劃分係屬青年署所轄</w:t>
      </w:r>
      <w:r w:rsidRPr="00697C03">
        <w:rPr>
          <w:rFonts w:hAnsi="標楷體" w:hint="eastAsia"/>
          <w:b/>
        </w:rPr>
        <w:t>，又高級中等教育中離</w:t>
      </w:r>
      <w:r w:rsidR="00EF5533" w:rsidRPr="00697C03">
        <w:rPr>
          <w:rFonts w:hAnsi="標楷體" w:hint="eastAsia"/>
          <w:b/>
        </w:rPr>
        <w:t>生</w:t>
      </w:r>
      <w:r w:rsidR="00D80D63" w:rsidRPr="00697C03">
        <w:rPr>
          <w:rFonts w:hAnsi="標楷體" w:hint="eastAsia"/>
          <w:b/>
        </w:rPr>
        <w:t>相關</w:t>
      </w:r>
      <w:r w:rsidRPr="00697C03">
        <w:rPr>
          <w:rFonts w:hAnsi="標楷體" w:hint="eastAsia"/>
          <w:b/>
        </w:rPr>
        <w:t>措施除直轄市政府轄區外，則隸屬國教署，惟青年署與縣市政府教育局端尚未有直接指導協調關係，業務聯繫實屬不易，</w:t>
      </w:r>
      <w:r w:rsidR="001462EC" w:rsidRPr="00697C03">
        <w:rPr>
          <w:rFonts w:hAnsi="標楷體" w:hint="eastAsia"/>
          <w:b/>
        </w:rPr>
        <w:t>況</w:t>
      </w:r>
      <w:r w:rsidRPr="00697C03">
        <w:rPr>
          <w:rFonts w:hAnsi="標楷體" w:hint="eastAsia"/>
          <w:b/>
        </w:rPr>
        <w:t>整體措施顯難單獨於</w:t>
      </w:r>
      <w:r w:rsidR="00542734" w:rsidRPr="00697C03">
        <w:rPr>
          <w:rFonts w:hAnsi="標楷體" w:hint="eastAsia"/>
          <w:b/>
        </w:rPr>
        <w:t>整體</w:t>
      </w:r>
      <w:r w:rsidRPr="00697C03">
        <w:rPr>
          <w:rFonts w:hAnsi="標楷體" w:hint="eastAsia"/>
          <w:b/>
        </w:rPr>
        <w:t>國家發展架構外具體實踐</w:t>
      </w:r>
      <w:r w:rsidR="00D46A77" w:rsidRPr="00697C03">
        <w:rPr>
          <w:rFonts w:hAnsi="標楷體" w:hint="eastAsia"/>
          <w:b/>
        </w:rPr>
        <w:t>；</w:t>
      </w:r>
      <w:r w:rsidRPr="00697C03">
        <w:rPr>
          <w:rFonts w:hAnsi="標楷體" w:hint="eastAsia"/>
          <w:b/>
        </w:rPr>
        <w:t>惟就十二年國教整體廣義未升學未就業學生情形</w:t>
      </w:r>
      <w:r w:rsidR="0079236E" w:rsidRPr="00697C03">
        <w:rPr>
          <w:rFonts w:hAnsi="標楷體" w:hint="eastAsia"/>
          <w:b/>
        </w:rPr>
        <w:t>（</w:t>
      </w:r>
      <w:r w:rsidRPr="00697C03">
        <w:rPr>
          <w:rFonts w:hAnsi="標楷體" w:hint="eastAsia"/>
          <w:b/>
        </w:rPr>
        <w:t>含中輟、中離及雙青計畫</w:t>
      </w:r>
      <w:r w:rsidR="0079236E" w:rsidRPr="00697C03">
        <w:rPr>
          <w:rFonts w:hAnsi="標楷體" w:hint="eastAsia"/>
          <w:b/>
        </w:rPr>
        <w:t>）</w:t>
      </w:r>
      <w:r w:rsidRPr="00697C03">
        <w:rPr>
          <w:rFonts w:hAnsi="標楷體" w:hint="eastAsia"/>
          <w:b/>
        </w:rPr>
        <w:t>相關事宜，竟未有單一跨部會橫向統合窗口，肇致各單位單打獨鬥實施分項政策卻缺乏盤整</w:t>
      </w:r>
      <w:r w:rsidR="000C636B" w:rsidRPr="00697C03">
        <w:rPr>
          <w:rFonts w:hAnsi="標楷體" w:hint="eastAsia"/>
          <w:b/>
        </w:rPr>
        <w:t>策略，資源分散或重置</w:t>
      </w:r>
      <w:r w:rsidRPr="00697C03">
        <w:rPr>
          <w:rFonts w:hAnsi="標楷體" w:hint="eastAsia"/>
          <w:b/>
        </w:rPr>
        <w:t>現象處處可見，均不利於十二年國民教育資源配置及教育權保障，洵有未當</w:t>
      </w:r>
      <w:bookmarkEnd w:id="78"/>
      <w:bookmarkEnd w:id="79"/>
    </w:p>
    <w:p w:rsidR="00406A77" w:rsidRPr="00697C03" w:rsidRDefault="00406A77" w:rsidP="00406A77">
      <w:pPr>
        <w:pStyle w:val="3"/>
        <w:ind w:left="1360" w:hanging="680"/>
        <w:rPr>
          <w:rFonts w:hAnsi="標楷體"/>
        </w:rPr>
      </w:pPr>
      <w:r w:rsidRPr="00697C03">
        <w:rPr>
          <w:rFonts w:hAnsi="標楷體" w:hint="eastAsia"/>
        </w:rPr>
        <w:t>按教育部國民及學前教育署組織法第2條第1款規定，該署掌理事項包括高級中等以下學校與學前教育政策、制度之規劃、執行與督導及相關法規之研</w:t>
      </w:r>
      <w:r w:rsidRPr="00697C03">
        <w:rPr>
          <w:rFonts w:hAnsi="標楷體" w:hint="eastAsia"/>
        </w:rPr>
        <w:lastRenderedPageBreak/>
        <w:t>修；</w:t>
      </w:r>
      <w:r w:rsidR="00D550F9" w:rsidRPr="00697C03">
        <w:rPr>
          <w:rFonts w:hAnsi="標楷體" w:hint="eastAsia"/>
        </w:rPr>
        <w:t>按照</w:t>
      </w:r>
      <w:r w:rsidRPr="00697C03">
        <w:rPr>
          <w:rFonts w:hAnsi="標楷體" w:hint="eastAsia"/>
        </w:rPr>
        <w:t>第3款規定國民中學與國民小學一般教育事項之規劃、執行及督導，及</w:t>
      </w:r>
      <w:r w:rsidR="00D550F9" w:rsidRPr="00697C03">
        <w:rPr>
          <w:rFonts w:hAnsi="標楷體" w:hint="eastAsia"/>
        </w:rPr>
        <w:t>按</w:t>
      </w:r>
      <w:r w:rsidRPr="00697C03">
        <w:rPr>
          <w:rFonts w:hAnsi="標楷體" w:hint="eastAsia"/>
        </w:rPr>
        <w:t>第7款規定高級中等以下學校</w:t>
      </w:r>
      <w:r w:rsidR="00B5220F" w:rsidRPr="00697C03">
        <w:rPr>
          <w:rFonts w:hAnsi="標楷體" w:hint="eastAsia"/>
        </w:rPr>
        <w:t>與學前教育階段原住民族及少數族群教育事項之規劃、執行及督導等。準</w:t>
      </w:r>
      <w:r w:rsidRPr="00697C03">
        <w:rPr>
          <w:rFonts w:hAnsi="標楷體" w:hint="eastAsia"/>
        </w:rPr>
        <w:t>此，教育事務有全國一致之性質，應屬中央機關之權限，教育部主掌全國教育工作，下設國民及學前教育署，應督導中等教育階段之國立高級中等學校、國立學校附設國民中學部及非直轄市之私立高級中等學校。各縣（市）政府教育處負責掌理督導轄內縣（市）立高級中等學校及國民中學教育等事項。而整體國民教育階段之政策及地方中離生教育事務之推動攸關整體教育品質發展事項，為提升國家教育品質及維護學生受教權益，教育部對於其整體規劃及協調監督作為，應屬責無旁貸。</w:t>
      </w:r>
    </w:p>
    <w:p w:rsidR="00406A77" w:rsidRPr="00697C03" w:rsidRDefault="00406A77" w:rsidP="00CA53D2">
      <w:pPr>
        <w:pStyle w:val="3"/>
        <w:kinsoku/>
        <w:ind w:left="1360" w:hanging="680"/>
        <w:rPr>
          <w:rFonts w:hAnsi="標楷體"/>
        </w:rPr>
      </w:pPr>
      <w:r w:rsidRPr="00697C03">
        <w:rPr>
          <w:rFonts w:hAnsi="標楷體" w:hint="eastAsia"/>
        </w:rPr>
        <w:t>102年7月10日高級中等教育法</w:t>
      </w:r>
      <w:r w:rsidR="00D304A3" w:rsidRPr="00697C03">
        <w:rPr>
          <w:rFonts w:hAnsi="標楷體" w:hint="eastAsia"/>
        </w:rPr>
        <w:t>正式</w:t>
      </w:r>
      <w:r w:rsidRPr="00697C03">
        <w:rPr>
          <w:rFonts w:hAnsi="標楷體" w:hint="eastAsia"/>
        </w:rPr>
        <w:t>公布，賦予十二年國教實施之法源，</w:t>
      </w:r>
      <w:r w:rsidR="00661B3A" w:rsidRPr="00697C03">
        <w:rPr>
          <w:rFonts w:hAnsi="標楷體" w:hint="eastAsia"/>
        </w:rPr>
        <w:t>第1條即</w:t>
      </w:r>
      <w:r w:rsidRPr="00697C03">
        <w:rPr>
          <w:rFonts w:hAnsi="標楷體" w:hint="eastAsia"/>
        </w:rPr>
        <w:t>開宗明義</w:t>
      </w:r>
      <w:r w:rsidR="00AC3A36" w:rsidRPr="00697C03">
        <w:rPr>
          <w:rFonts w:hAnsi="標楷體" w:hint="eastAsia"/>
        </w:rPr>
        <w:t>規定</w:t>
      </w:r>
      <w:r w:rsidR="00503B04" w:rsidRPr="00697C03">
        <w:rPr>
          <w:rFonts w:hAnsi="標楷體" w:hint="eastAsia"/>
        </w:rPr>
        <w:t>：</w:t>
      </w:r>
      <w:r w:rsidRPr="00697C03">
        <w:rPr>
          <w:rFonts w:hAnsi="標楷體" w:hint="eastAsia"/>
        </w:rPr>
        <w:t>「高級中等教育，應接續九年國民教育，以陶冶青年身心，發展學生潛能，奠定學術研究或專業技術知能之基礎，培養五育均衡發展之優質公民為宗旨」。復</w:t>
      </w:r>
      <w:r w:rsidR="005920AD" w:rsidRPr="00697C03">
        <w:rPr>
          <w:rFonts w:hAnsi="標楷體" w:hint="eastAsia"/>
          <w:szCs w:val="52"/>
        </w:rPr>
        <w:t>於</w:t>
      </w:r>
      <w:r w:rsidRPr="00697C03">
        <w:rPr>
          <w:rFonts w:hAnsi="標楷體" w:hint="eastAsia"/>
          <w:szCs w:val="52"/>
        </w:rPr>
        <w:t>1</w:t>
      </w:r>
      <w:r w:rsidRPr="00697C03">
        <w:rPr>
          <w:rFonts w:hAnsi="標楷體" w:hint="eastAsia"/>
        </w:rPr>
        <w:t>03年全面實施</w:t>
      </w:r>
      <w:r w:rsidR="005920AD" w:rsidRPr="00697C03">
        <w:rPr>
          <w:rFonts w:hAnsi="標楷體" w:hint="eastAsia"/>
        </w:rPr>
        <w:t>行</w:t>
      </w:r>
      <w:r w:rsidRPr="00697C03">
        <w:rPr>
          <w:rFonts w:hAnsi="標楷體" w:hint="eastAsia"/>
        </w:rPr>
        <w:t>十二年國民基本教育</w:t>
      </w:r>
      <w:r w:rsidRPr="00697C03">
        <w:rPr>
          <w:rStyle w:val="aff0"/>
          <w:rFonts w:hAnsi="標楷體"/>
        </w:rPr>
        <w:footnoteReference w:id="24"/>
      </w:r>
      <w:r w:rsidRPr="00697C03">
        <w:rPr>
          <w:rFonts w:hAnsi="標楷體" w:hint="eastAsia"/>
        </w:rPr>
        <w:t>，</w:t>
      </w:r>
      <w:r w:rsidR="005920AD" w:rsidRPr="00697C03">
        <w:rPr>
          <w:rFonts w:hAnsi="標楷體" w:hint="eastAsia"/>
        </w:rPr>
        <w:t>整體</w:t>
      </w:r>
      <w:r w:rsidRPr="00697C03">
        <w:rPr>
          <w:rFonts w:hAnsi="標楷體" w:hint="eastAsia"/>
        </w:rPr>
        <w:t>相關精神及</w:t>
      </w:r>
      <w:r w:rsidR="005920AD" w:rsidRPr="00697C03">
        <w:rPr>
          <w:rFonts w:hAnsi="標楷體" w:hint="eastAsia"/>
        </w:rPr>
        <w:t>意旨等</w:t>
      </w:r>
      <w:r w:rsidRPr="00697C03">
        <w:rPr>
          <w:rFonts w:hAnsi="標楷體" w:hint="eastAsia"/>
        </w:rPr>
        <w:t>說明已如前述。復依教育部十二年國教基本計畫100年核定版載明</w:t>
      </w:r>
      <w:r w:rsidRPr="00697C03">
        <w:rPr>
          <w:rStyle w:val="aff0"/>
          <w:rFonts w:hAnsi="標楷體"/>
        </w:rPr>
        <w:footnoteReference w:id="25"/>
      </w:r>
      <w:r w:rsidRPr="00697C03">
        <w:rPr>
          <w:rFonts w:hAnsi="標楷體" w:hint="eastAsia"/>
        </w:rPr>
        <w:t>，針對</w:t>
      </w:r>
      <w:r w:rsidRPr="00697C03">
        <w:rPr>
          <w:rFonts w:hAnsi="標楷體" w:hint="eastAsia"/>
          <w:szCs w:val="32"/>
        </w:rPr>
        <w:t>「3-4國中小學生輟學預防與復學輔導方案」及「3-5國中畢業未升學未就業青少年職能培十二年國教訓輔導方案」等，分別由教育部訓育委員會</w:t>
      </w:r>
      <w:r w:rsidR="0079236E" w:rsidRPr="00697C03">
        <w:rPr>
          <w:rFonts w:hAnsi="標楷體" w:hint="eastAsia"/>
          <w:szCs w:val="32"/>
        </w:rPr>
        <w:t>（</w:t>
      </w:r>
      <w:r w:rsidRPr="00697C03">
        <w:rPr>
          <w:rFonts w:hAnsi="標楷體" w:hint="eastAsia"/>
          <w:szCs w:val="32"/>
        </w:rPr>
        <w:t>現由國民及學前教育署主政）、</w:t>
      </w:r>
      <w:r w:rsidR="009C30DD" w:rsidRPr="00697C03">
        <w:rPr>
          <w:rFonts w:hint="eastAsia"/>
        </w:rPr>
        <w:t>行政院青年輔導委員會</w:t>
      </w:r>
      <w:r w:rsidR="0079236E" w:rsidRPr="00697C03">
        <w:rPr>
          <w:rFonts w:hAnsi="標楷體" w:hint="eastAsia"/>
          <w:szCs w:val="32"/>
        </w:rPr>
        <w:t>（</w:t>
      </w:r>
      <w:r w:rsidRPr="00697C03">
        <w:rPr>
          <w:rFonts w:hAnsi="標楷體" w:hint="eastAsia"/>
          <w:szCs w:val="32"/>
        </w:rPr>
        <w:t>現</w:t>
      </w:r>
      <w:r w:rsidRPr="00697C03">
        <w:rPr>
          <w:rFonts w:hAnsi="標楷體" w:hint="eastAsia"/>
          <w:szCs w:val="32"/>
        </w:rPr>
        <w:lastRenderedPageBreak/>
        <w:t>青年發展署主政</w:t>
      </w:r>
      <w:r w:rsidR="0079236E" w:rsidRPr="00697C03">
        <w:rPr>
          <w:rFonts w:hAnsi="標楷體" w:hint="eastAsia"/>
          <w:szCs w:val="32"/>
        </w:rPr>
        <w:t>）</w:t>
      </w:r>
      <w:r w:rsidRPr="00697C03">
        <w:rPr>
          <w:rFonts w:hAnsi="標楷體" w:hint="eastAsia"/>
          <w:szCs w:val="32"/>
        </w:rPr>
        <w:t>辦理之。</w:t>
      </w:r>
      <w:r w:rsidRPr="00697C03">
        <w:rPr>
          <w:rFonts w:hAnsi="標楷體" w:hint="eastAsia"/>
        </w:rPr>
        <w:t>十二年國民基本教育實施計畫</w:t>
      </w:r>
      <w:r w:rsidRPr="00697C03">
        <w:rPr>
          <w:rFonts w:hAnsi="標楷體" w:hint="eastAsia"/>
          <w:szCs w:val="32"/>
        </w:rPr>
        <w:t>相關</w:t>
      </w:r>
      <w:r w:rsidRPr="00697C03">
        <w:rPr>
          <w:rFonts w:hAnsi="標楷體" w:hint="eastAsia"/>
        </w:rPr>
        <w:t>配套措施及主政單位一覽表，如下。</w:t>
      </w:r>
    </w:p>
    <w:p w:rsidR="00406A77" w:rsidRPr="00697C03" w:rsidRDefault="00406A77" w:rsidP="00406A77">
      <w:pPr>
        <w:pStyle w:val="a3"/>
        <w:rPr>
          <w:rFonts w:hAnsi="標楷體"/>
          <w:b/>
        </w:rPr>
      </w:pPr>
      <w:r w:rsidRPr="00697C03">
        <w:rPr>
          <w:rFonts w:hAnsi="標楷體" w:hint="eastAsia"/>
          <w:b/>
        </w:rPr>
        <w:t>十二年國民基本教育實施計畫配套措施一覽表</w:t>
      </w:r>
    </w:p>
    <w:tbl>
      <w:tblPr>
        <w:tblStyle w:val="af6"/>
        <w:tblW w:w="9366" w:type="dxa"/>
        <w:tblInd w:w="-147" w:type="dxa"/>
        <w:tblLook w:val="04A0" w:firstRow="1" w:lastRow="0" w:firstColumn="1" w:lastColumn="0" w:noHBand="0" w:noVBand="1"/>
      </w:tblPr>
      <w:tblGrid>
        <w:gridCol w:w="2886"/>
        <w:gridCol w:w="4860"/>
        <w:gridCol w:w="1620"/>
      </w:tblGrid>
      <w:tr w:rsidR="00697C03" w:rsidRPr="00697C03" w:rsidTr="00997CD5">
        <w:tc>
          <w:tcPr>
            <w:tcW w:w="2886" w:type="dxa"/>
          </w:tcPr>
          <w:p w:rsidR="00406A77" w:rsidRPr="00697C03" w:rsidRDefault="00406A77" w:rsidP="00BF41DE">
            <w:pPr>
              <w:jc w:val="center"/>
              <w:rPr>
                <w:rFonts w:ascii="標楷體" w:hAnsi="標楷體"/>
                <w:b/>
                <w:sz w:val="28"/>
                <w:szCs w:val="28"/>
              </w:rPr>
            </w:pPr>
            <w:r w:rsidRPr="00697C03">
              <w:rPr>
                <w:rFonts w:ascii="標楷體" w:hAnsi="標楷體"/>
                <w:b/>
                <w:sz w:val="28"/>
                <w:szCs w:val="28"/>
              </w:rPr>
              <w:t>配套措施</w:t>
            </w:r>
          </w:p>
        </w:tc>
        <w:tc>
          <w:tcPr>
            <w:tcW w:w="4860" w:type="dxa"/>
          </w:tcPr>
          <w:p w:rsidR="00406A77" w:rsidRPr="00697C03" w:rsidRDefault="00406A77" w:rsidP="00BF41DE">
            <w:pPr>
              <w:jc w:val="center"/>
              <w:rPr>
                <w:rFonts w:ascii="標楷體" w:hAnsi="標楷體"/>
                <w:b/>
                <w:sz w:val="28"/>
                <w:szCs w:val="28"/>
              </w:rPr>
            </w:pPr>
            <w:r w:rsidRPr="00697C03">
              <w:rPr>
                <w:rFonts w:ascii="標楷體" w:hAnsi="標楷體"/>
                <w:b/>
                <w:sz w:val="28"/>
                <w:szCs w:val="28"/>
              </w:rPr>
              <w:t>方    案</w:t>
            </w:r>
          </w:p>
        </w:tc>
        <w:tc>
          <w:tcPr>
            <w:tcW w:w="1620" w:type="dxa"/>
          </w:tcPr>
          <w:p w:rsidR="00406A77" w:rsidRPr="00697C03" w:rsidRDefault="00406A77" w:rsidP="00BF41DE">
            <w:pPr>
              <w:jc w:val="center"/>
              <w:rPr>
                <w:rFonts w:ascii="標楷體" w:hAnsi="標楷體"/>
                <w:b/>
                <w:sz w:val="28"/>
                <w:szCs w:val="28"/>
              </w:rPr>
            </w:pPr>
            <w:r w:rsidRPr="00697C03">
              <w:rPr>
                <w:rFonts w:ascii="標楷體" w:hAnsi="標楷體"/>
                <w:b/>
                <w:sz w:val="28"/>
                <w:szCs w:val="28"/>
              </w:rPr>
              <w:t>主政單位</w:t>
            </w:r>
          </w:p>
        </w:tc>
      </w:tr>
      <w:tr w:rsidR="00697C03" w:rsidRPr="00697C03" w:rsidTr="00A713F7">
        <w:tc>
          <w:tcPr>
            <w:tcW w:w="2886" w:type="dxa"/>
            <w:vAlign w:val="center"/>
          </w:tcPr>
          <w:p w:rsidR="00406A77" w:rsidRPr="00697C03" w:rsidRDefault="00406A77" w:rsidP="00A713F7">
            <w:pPr>
              <w:jc w:val="both"/>
              <w:rPr>
                <w:rFonts w:ascii="標楷體" w:hAnsi="標楷體"/>
                <w:b/>
                <w:sz w:val="26"/>
                <w:szCs w:val="26"/>
              </w:rPr>
            </w:pPr>
            <w:r w:rsidRPr="00697C03">
              <w:rPr>
                <w:rFonts w:ascii="標楷體" w:hAnsi="標楷體"/>
                <w:b/>
                <w:sz w:val="26"/>
                <w:szCs w:val="26"/>
              </w:rPr>
              <w:t>1.學前教育免學費</w:t>
            </w:r>
          </w:p>
        </w:tc>
        <w:tc>
          <w:tcPr>
            <w:tcW w:w="4860" w:type="dxa"/>
          </w:tcPr>
          <w:p w:rsidR="00406A77" w:rsidRPr="00697C03" w:rsidRDefault="00406A77" w:rsidP="002B7763">
            <w:pPr>
              <w:jc w:val="both"/>
              <w:rPr>
                <w:rFonts w:ascii="標楷體" w:hAnsi="標楷體"/>
                <w:sz w:val="24"/>
                <w:szCs w:val="24"/>
              </w:rPr>
            </w:pPr>
            <w:r w:rsidRPr="00697C03">
              <w:rPr>
                <w:rFonts w:ascii="標楷體" w:hAnsi="標楷體"/>
                <w:sz w:val="24"/>
                <w:szCs w:val="24"/>
              </w:rPr>
              <w:t>1-1五歲幼兒免學費教育計畫</w:t>
            </w:r>
          </w:p>
        </w:tc>
        <w:tc>
          <w:tcPr>
            <w:tcW w:w="1620" w:type="dxa"/>
            <w:vAlign w:val="center"/>
          </w:tcPr>
          <w:p w:rsidR="00406A77" w:rsidRPr="00697C03" w:rsidRDefault="00406A77" w:rsidP="00BF41DE">
            <w:pPr>
              <w:jc w:val="center"/>
              <w:rPr>
                <w:rFonts w:ascii="標楷體" w:hAnsi="標楷體"/>
                <w:sz w:val="24"/>
                <w:szCs w:val="24"/>
              </w:rPr>
            </w:pPr>
            <w:r w:rsidRPr="00697C03">
              <w:rPr>
                <w:rFonts w:ascii="標楷體" w:hAnsi="標楷體" w:hint="eastAsia"/>
                <w:sz w:val="24"/>
                <w:szCs w:val="24"/>
              </w:rPr>
              <w:t>國教司</w:t>
            </w:r>
          </w:p>
        </w:tc>
      </w:tr>
      <w:tr w:rsidR="00697C03" w:rsidRPr="00697C03" w:rsidTr="00A713F7">
        <w:tc>
          <w:tcPr>
            <w:tcW w:w="2886" w:type="dxa"/>
            <w:vAlign w:val="center"/>
          </w:tcPr>
          <w:p w:rsidR="00406A77" w:rsidRPr="00697C03" w:rsidRDefault="00406A77" w:rsidP="00A713F7">
            <w:pPr>
              <w:ind w:left="336" w:hangingChars="120" w:hanging="336"/>
              <w:jc w:val="both"/>
              <w:rPr>
                <w:rFonts w:ascii="標楷體" w:hAnsi="標楷體"/>
                <w:b/>
                <w:sz w:val="26"/>
                <w:szCs w:val="26"/>
              </w:rPr>
            </w:pPr>
            <w:r w:rsidRPr="00697C03">
              <w:rPr>
                <w:rFonts w:ascii="標楷體" w:hAnsi="標楷體"/>
                <w:b/>
                <w:sz w:val="26"/>
                <w:szCs w:val="26"/>
              </w:rPr>
              <w:t>2.中小學課程連貫與統整</w:t>
            </w:r>
          </w:p>
        </w:tc>
        <w:tc>
          <w:tcPr>
            <w:tcW w:w="4860" w:type="dxa"/>
          </w:tcPr>
          <w:p w:rsidR="00406A77" w:rsidRPr="00697C03" w:rsidRDefault="00406A77" w:rsidP="002B7763">
            <w:pPr>
              <w:jc w:val="both"/>
              <w:rPr>
                <w:rFonts w:ascii="標楷體" w:hAnsi="標楷體"/>
                <w:sz w:val="24"/>
                <w:szCs w:val="24"/>
              </w:rPr>
            </w:pPr>
            <w:r w:rsidRPr="00697C03">
              <w:rPr>
                <w:rFonts w:ascii="標楷體" w:hAnsi="標楷體"/>
                <w:sz w:val="24"/>
                <w:szCs w:val="24"/>
              </w:rPr>
              <w:t xml:space="preserve">2-1建置十二年國民基本教育課程體系方  </w:t>
            </w:r>
          </w:p>
          <w:p w:rsidR="00406A77" w:rsidRPr="00697C03" w:rsidRDefault="00406A77" w:rsidP="006E7365">
            <w:pPr>
              <w:jc w:val="both"/>
              <w:rPr>
                <w:rFonts w:ascii="標楷體" w:hAnsi="標楷體"/>
                <w:sz w:val="24"/>
                <w:szCs w:val="24"/>
              </w:rPr>
            </w:pPr>
            <w:r w:rsidRPr="00697C03">
              <w:rPr>
                <w:rFonts w:ascii="標楷體" w:hAnsi="標楷體"/>
                <w:sz w:val="24"/>
                <w:szCs w:val="24"/>
              </w:rPr>
              <w:t xml:space="preserve">    案</w:t>
            </w:r>
          </w:p>
        </w:tc>
        <w:tc>
          <w:tcPr>
            <w:tcW w:w="1620" w:type="dxa"/>
            <w:vAlign w:val="center"/>
          </w:tcPr>
          <w:p w:rsidR="00406A77" w:rsidRPr="00697C03" w:rsidRDefault="00406A77" w:rsidP="00BF41DE">
            <w:pPr>
              <w:jc w:val="center"/>
              <w:rPr>
                <w:rFonts w:ascii="標楷體" w:hAnsi="標楷體"/>
                <w:sz w:val="24"/>
                <w:szCs w:val="24"/>
              </w:rPr>
            </w:pPr>
            <w:r w:rsidRPr="00697C03">
              <w:rPr>
                <w:rFonts w:ascii="標楷體" w:hAnsi="標楷體"/>
                <w:sz w:val="24"/>
                <w:szCs w:val="24"/>
              </w:rPr>
              <w:t>國家</w:t>
            </w:r>
          </w:p>
          <w:p w:rsidR="00406A77" w:rsidRPr="00697C03" w:rsidRDefault="00406A77" w:rsidP="00BF41DE">
            <w:pPr>
              <w:jc w:val="center"/>
              <w:rPr>
                <w:rFonts w:ascii="標楷體" w:hAnsi="標楷體"/>
                <w:sz w:val="24"/>
                <w:szCs w:val="24"/>
              </w:rPr>
            </w:pPr>
            <w:r w:rsidRPr="00697C03">
              <w:rPr>
                <w:rFonts w:ascii="標楷體" w:hAnsi="標楷體"/>
                <w:sz w:val="24"/>
                <w:szCs w:val="24"/>
              </w:rPr>
              <w:t>教育研究院</w:t>
            </w:r>
          </w:p>
        </w:tc>
      </w:tr>
      <w:tr w:rsidR="00697C03" w:rsidRPr="00697C03" w:rsidTr="00A713F7">
        <w:tc>
          <w:tcPr>
            <w:tcW w:w="2886" w:type="dxa"/>
            <w:vAlign w:val="center"/>
          </w:tcPr>
          <w:p w:rsidR="00406A77" w:rsidRPr="00697C03" w:rsidRDefault="00406A77" w:rsidP="00A713F7">
            <w:pPr>
              <w:ind w:left="336" w:hangingChars="120" w:hanging="336"/>
              <w:jc w:val="both"/>
              <w:rPr>
                <w:rFonts w:ascii="標楷體" w:hAnsi="標楷體"/>
                <w:b/>
                <w:sz w:val="26"/>
                <w:szCs w:val="26"/>
              </w:rPr>
            </w:pPr>
            <w:r w:rsidRPr="00697C03">
              <w:rPr>
                <w:rFonts w:ascii="標楷體" w:hAnsi="標楷體"/>
                <w:b/>
                <w:sz w:val="26"/>
                <w:szCs w:val="26"/>
              </w:rPr>
              <w:t>3.學生生涯規劃與國民素養提升</w:t>
            </w:r>
          </w:p>
        </w:tc>
        <w:tc>
          <w:tcPr>
            <w:tcW w:w="4860" w:type="dxa"/>
          </w:tcPr>
          <w:p w:rsidR="00406A77" w:rsidRPr="00697C03" w:rsidRDefault="00406A77" w:rsidP="002B7763">
            <w:pPr>
              <w:jc w:val="both"/>
              <w:rPr>
                <w:rFonts w:ascii="標楷體" w:hAnsi="標楷體"/>
                <w:sz w:val="24"/>
                <w:szCs w:val="24"/>
              </w:rPr>
            </w:pPr>
            <w:r w:rsidRPr="00697C03">
              <w:rPr>
                <w:rFonts w:ascii="標楷體" w:hAnsi="標楷體"/>
                <w:sz w:val="24"/>
                <w:szCs w:val="24"/>
              </w:rPr>
              <w:t>3-1國中與高中職學生生涯輔導實施方案</w:t>
            </w:r>
          </w:p>
          <w:p w:rsidR="00406A77" w:rsidRPr="00697C03" w:rsidRDefault="00406A77" w:rsidP="006E7365">
            <w:pPr>
              <w:ind w:left="406" w:hangingChars="156" w:hanging="406"/>
              <w:jc w:val="both"/>
              <w:rPr>
                <w:rFonts w:ascii="標楷體" w:hAnsi="標楷體"/>
                <w:sz w:val="24"/>
                <w:szCs w:val="24"/>
              </w:rPr>
            </w:pPr>
            <w:r w:rsidRPr="00697C03">
              <w:rPr>
                <w:rFonts w:ascii="標楷體" w:hAnsi="標楷體"/>
                <w:sz w:val="24"/>
                <w:szCs w:val="24"/>
              </w:rPr>
              <w:t>3-2國民小學及國民中學補救教學實施方案</w:t>
            </w:r>
          </w:p>
          <w:p w:rsidR="00406A77" w:rsidRPr="00697C03" w:rsidRDefault="00406A77" w:rsidP="002B7763">
            <w:pPr>
              <w:jc w:val="both"/>
              <w:rPr>
                <w:rFonts w:ascii="標楷體" w:hAnsi="標楷體"/>
                <w:sz w:val="24"/>
                <w:szCs w:val="24"/>
              </w:rPr>
            </w:pPr>
            <w:r w:rsidRPr="00697C03">
              <w:rPr>
                <w:rFonts w:ascii="標楷體" w:hAnsi="標楷體"/>
                <w:sz w:val="24"/>
                <w:szCs w:val="24"/>
              </w:rPr>
              <w:t>3-3高級中等學校學生學習扶助方案</w:t>
            </w:r>
          </w:p>
          <w:p w:rsidR="00406A77" w:rsidRPr="00697C03" w:rsidRDefault="00406A77" w:rsidP="002B7763">
            <w:pPr>
              <w:jc w:val="both"/>
              <w:rPr>
                <w:rFonts w:ascii="標楷體" w:hAnsi="標楷體"/>
                <w:sz w:val="24"/>
                <w:szCs w:val="24"/>
                <w:u w:val="single"/>
              </w:rPr>
            </w:pPr>
            <w:r w:rsidRPr="00697C03">
              <w:rPr>
                <w:rFonts w:ascii="標楷體" w:hAnsi="標楷體"/>
                <w:sz w:val="24"/>
                <w:szCs w:val="24"/>
                <w:u w:val="single"/>
              </w:rPr>
              <w:t>3-4國中小學生輟學預防與復學輔導方案</w:t>
            </w:r>
          </w:p>
          <w:p w:rsidR="00406A77" w:rsidRPr="00697C03" w:rsidRDefault="00406A77" w:rsidP="006E7365">
            <w:pPr>
              <w:ind w:leftChars="-5" w:left="407" w:hangingChars="163" w:hanging="424"/>
              <w:jc w:val="both"/>
              <w:rPr>
                <w:rFonts w:ascii="標楷體" w:hAnsi="標楷體"/>
                <w:sz w:val="24"/>
                <w:szCs w:val="24"/>
                <w:u w:val="single"/>
              </w:rPr>
            </w:pPr>
            <w:r w:rsidRPr="00697C03">
              <w:rPr>
                <w:rFonts w:ascii="標楷體" w:hAnsi="標楷體"/>
                <w:sz w:val="24"/>
                <w:szCs w:val="24"/>
                <w:u w:val="single"/>
              </w:rPr>
              <w:t>3-5國中畢業未升學未就業青少年職能培訓輔導方案</w:t>
            </w:r>
          </w:p>
          <w:p w:rsidR="00406A77" w:rsidRPr="00697C03" w:rsidRDefault="00406A77" w:rsidP="002B7763">
            <w:pPr>
              <w:jc w:val="both"/>
              <w:rPr>
                <w:rFonts w:ascii="標楷體" w:hAnsi="標楷體"/>
                <w:sz w:val="24"/>
                <w:szCs w:val="24"/>
              </w:rPr>
            </w:pPr>
            <w:r w:rsidRPr="00697C03">
              <w:rPr>
                <w:rFonts w:ascii="標楷體" w:hAnsi="標楷體"/>
                <w:sz w:val="24"/>
                <w:szCs w:val="24"/>
              </w:rPr>
              <w:t>3-6提升國民素養實施方案</w:t>
            </w:r>
          </w:p>
        </w:tc>
        <w:tc>
          <w:tcPr>
            <w:tcW w:w="1620" w:type="dxa"/>
            <w:vAlign w:val="center"/>
          </w:tcPr>
          <w:p w:rsidR="00406A77" w:rsidRPr="00697C03" w:rsidRDefault="00406A77" w:rsidP="00BF41DE">
            <w:pPr>
              <w:jc w:val="center"/>
              <w:rPr>
                <w:rFonts w:ascii="標楷體" w:hAnsi="標楷體"/>
                <w:sz w:val="24"/>
                <w:szCs w:val="24"/>
              </w:rPr>
            </w:pPr>
            <w:r w:rsidRPr="00697C03">
              <w:rPr>
                <w:rFonts w:ascii="標楷體" w:hAnsi="標楷體" w:hint="eastAsia"/>
                <w:sz w:val="24"/>
                <w:szCs w:val="24"/>
              </w:rPr>
              <w:t>訓委會</w:t>
            </w:r>
          </w:p>
          <w:p w:rsidR="00406A77" w:rsidRPr="00697C03" w:rsidRDefault="00406A77" w:rsidP="00BF41DE">
            <w:pPr>
              <w:jc w:val="center"/>
              <w:rPr>
                <w:rFonts w:ascii="標楷體" w:hAnsi="標楷體"/>
                <w:sz w:val="24"/>
                <w:szCs w:val="24"/>
              </w:rPr>
            </w:pPr>
            <w:r w:rsidRPr="00697C03">
              <w:rPr>
                <w:rFonts w:ascii="標楷體" w:hAnsi="標楷體" w:hint="eastAsia"/>
                <w:sz w:val="24"/>
                <w:szCs w:val="24"/>
              </w:rPr>
              <w:t>國教司</w:t>
            </w:r>
          </w:p>
          <w:p w:rsidR="00406A77" w:rsidRPr="00697C03" w:rsidRDefault="00406A77" w:rsidP="00BF41DE">
            <w:pPr>
              <w:jc w:val="center"/>
              <w:rPr>
                <w:rFonts w:ascii="標楷體" w:hAnsi="標楷體"/>
                <w:sz w:val="24"/>
                <w:szCs w:val="24"/>
              </w:rPr>
            </w:pPr>
          </w:p>
          <w:p w:rsidR="00406A77" w:rsidRPr="00697C03" w:rsidRDefault="00406A77" w:rsidP="00BF41DE">
            <w:pPr>
              <w:jc w:val="center"/>
              <w:rPr>
                <w:rFonts w:ascii="標楷體" w:hAnsi="標楷體"/>
                <w:sz w:val="24"/>
                <w:szCs w:val="24"/>
              </w:rPr>
            </w:pPr>
            <w:r w:rsidRPr="00697C03">
              <w:rPr>
                <w:rFonts w:ascii="標楷體" w:hAnsi="標楷體" w:hint="eastAsia"/>
                <w:sz w:val="24"/>
                <w:szCs w:val="24"/>
              </w:rPr>
              <w:t>中部辦公室</w:t>
            </w:r>
          </w:p>
          <w:p w:rsidR="00406A77" w:rsidRPr="00697C03" w:rsidRDefault="00406A77" w:rsidP="00BF41DE">
            <w:pPr>
              <w:jc w:val="center"/>
              <w:rPr>
                <w:rFonts w:ascii="標楷體" w:hAnsi="標楷體"/>
                <w:sz w:val="24"/>
                <w:szCs w:val="24"/>
                <w:u w:val="single"/>
              </w:rPr>
            </w:pPr>
            <w:r w:rsidRPr="00697C03">
              <w:rPr>
                <w:rFonts w:ascii="標楷體" w:hAnsi="標楷體" w:hint="eastAsia"/>
                <w:sz w:val="24"/>
                <w:szCs w:val="24"/>
                <w:u w:val="single"/>
              </w:rPr>
              <w:t>訓委會</w:t>
            </w:r>
          </w:p>
          <w:p w:rsidR="00406A77" w:rsidRPr="00697C03" w:rsidRDefault="00406A77" w:rsidP="00BF41DE">
            <w:pPr>
              <w:jc w:val="center"/>
              <w:rPr>
                <w:rFonts w:ascii="標楷體" w:hAnsi="標楷體"/>
                <w:sz w:val="24"/>
                <w:szCs w:val="24"/>
                <w:u w:val="single"/>
              </w:rPr>
            </w:pPr>
            <w:r w:rsidRPr="00697C03">
              <w:rPr>
                <w:rFonts w:ascii="標楷體" w:hAnsi="標楷體" w:hint="eastAsia"/>
                <w:sz w:val="24"/>
                <w:szCs w:val="24"/>
                <w:u w:val="single"/>
              </w:rPr>
              <w:t>青輔會</w:t>
            </w:r>
          </w:p>
          <w:p w:rsidR="00406A77" w:rsidRPr="00697C03" w:rsidRDefault="00406A77" w:rsidP="00BF41DE">
            <w:pPr>
              <w:jc w:val="center"/>
              <w:rPr>
                <w:rFonts w:ascii="標楷體" w:hAnsi="標楷體"/>
                <w:sz w:val="24"/>
                <w:szCs w:val="24"/>
              </w:rPr>
            </w:pPr>
            <w:r w:rsidRPr="00697C03">
              <w:rPr>
                <w:rFonts w:ascii="標楷體" w:hAnsi="標楷體"/>
                <w:sz w:val="24"/>
                <w:szCs w:val="24"/>
              </w:rPr>
              <w:t>國家</w:t>
            </w:r>
          </w:p>
          <w:p w:rsidR="00406A77" w:rsidRPr="00697C03" w:rsidRDefault="00406A77" w:rsidP="00BF41DE">
            <w:pPr>
              <w:jc w:val="center"/>
              <w:rPr>
                <w:rFonts w:ascii="標楷體" w:hAnsi="標楷體"/>
                <w:sz w:val="24"/>
                <w:szCs w:val="24"/>
              </w:rPr>
            </w:pPr>
            <w:r w:rsidRPr="00697C03">
              <w:rPr>
                <w:rFonts w:ascii="標楷體" w:hAnsi="標楷體"/>
                <w:sz w:val="24"/>
                <w:szCs w:val="24"/>
              </w:rPr>
              <w:t>教育研究院</w:t>
            </w:r>
          </w:p>
        </w:tc>
      </w:tr>
      <w:tr w:rsidR="00697C03" w:rsidRPr="00697C03" w:rsidTr="00A713F7">
        <w:tc>
          <w:tcPr>
            <w:tcW w:w="2886" w:type="dxa"/>
            <w:vAlign w:val="center"/>
          </w:tcPr>
          <w:p w:rsidR="00406A77" w:rsidRPr="00697C03" w:rsidRDefault="00406A77" w:rsidP="00A713F7">
            <w:pPr>
              <w:jc w:val="both"/>
              <w:rPr>
                <w:rFonts w:ascii="標楷體" w:hAnsi="標楷體"/>
                <w:b/>
                <w:sz w:val="26"/>
                <w:szCs w:val="26"/>
              </w:rPr>
            </w:pPr>
            <w:r w:rsidRPr="00697C03">
              <w:rPr>
                <w:rFonts w:ascii="標楷體" w:hAnsi="標楷體"/>
                <w:b/>
                <w:sz w:val="26"/>
                <w:szCs w:val="26"/>
              </w:rPr>
              <w:t>4.學校資源分布調整</w:t>
            </w:r>
          </w:p>
        </w:tc>
        <w:tc>
          <w:tcPr>
            <w:tcW w:w="4860" w:type="dxa"/>
          </w:tcPr>
          <w:p w:rsidR="00406A77" w:rsidRPr="00697C03" w:rsidRDefault="00406A77" w:rsidP="002B7763">
            <w:pPr>
              <w:jc w:val="both"/>
              <w:rPr>
                <w:rFonts w:ascii="標楷體" w:hAnsi="標楷體"/>
                <w:sz w:val="24"/>
                <w:szCs w:val="24"/>
              </w:rPr>
            </w:pPr>
            <w:r w:rsidRPr="00697C03">
              <w:rPr>
                <w:rFonts w:ascii="標楷體" w:hAnsi="標楷體"/>
                <w:sz w:val="24"/>
                <w:szCs w:val="24"/>
              </w:rPr>
              <w:t>4-1高中高職學校資源分布調整實施方案</w:t>
            </w:r>
          </w:p>
        </w:tc>
        <w:tc>
          <w:tcPr>
            <w:tcW w:w="1620" w:type="dxa"/>
            <w:vAlign w:val="center"/>
          </w:tcPr>
          <w:p w:rsidR="00406A77" w:rsidRPr="00697C03" w:rsidRDefault="00406A77" w:rsidP="00BF41DE">
            <w:pPr>
              <w:jc w:val="center"/>
              <w:rPr>
                <w:rFonts w:ascii="標楷體" w:hAnsi="標楷體"/>
                <w:sz w:val="24"/>
                <w:szCs w:val="24"/>
              </w:rPr>
            </w:pPr>
            <w:r w:rsidRPr="00697C03">
              <w:rPr>
                <w:rFonts w:ascii="標楷體" w:hAnsi="標楷體" w:hint="eastAsia"/>
                <w:sz w:val="24"/>
                <w:szCs w:val="24"/>
              </w:rPr>
              <w:t>中部辦公室</w:t>
            </w:r>
          </w:p>
        </w:tc>
      </w:tr>
      <w:tr w:rsidR="00697C03" w:rsidRPr="00697C03" w:rsidTr="00A713F7">
        <w:tc>
          <w:tcPr>
            <w:tcW w:w="2886" w:type="dxa"/>
            <w:vAlign w:val="center"/>
          </w:tcPr>
          <w:p w:rsidR="00406A77" w:rsidRPr="00697C03" w:rsidRDefault="00406A77" w:rsidP="00A713F7">
            <w:pPr>
              <w:ind w:left="336" w:hangingChars="120" w:hanging="336"/>
              <w:jc w:val="both"/>
              <w:rPr>
                <w:rFonts w:ascii="標楷體" w:hAnsi="標楷體"/>
                <w:b/>
                <w:sz w:val="26"/>
                <w:szCs w:val="26"/>
              </w:rPr>
            </w:pPr>
            <w:r w:rsidRPr="00697C03">
              <w:rPr>
                <w:rFonts w:ascii="標楷體" w:hAnsi="標楷體"/>
                <w:b/>
                <w:sz w:val="26"/>
                <w:szCs w:val="26"/>
              </w:rPr>
              <w:t>5.精進高中職師資人力發展</w:t>
            </w:r>
          </w:p>
        </w:tc>
        <w:tc>
          <w:tcPr>
            <w:tcW w:w="4860" w:type="dxa"/>
          </w:tcPr>
          <w:p w:rsidR="00406A77" w:rsidRPr="00697C03" w:rsidRDefault="00406A77" w:rsidP="002B7763">
            <w:pPr>
              <w:jc w:val="both"/>
              <w:rPr>
                <w:rFonts w:ascii="標楷體" w:hAnsi="標楷體"/>
                <w:sz w:val="24"/>
                <w:szCs w:val="24"/>
              </w:rPr>
            </w:pPr>
            <w:r w:rsidRPr="00697C03">
              <w:rPr>
                <w:rFonts w:ascii="標楷體" w:hAnsi="標楷體"/>
                <w:sz w:val="24"/>
                <w:szCs w:val="24"/>
              </w:rPr>
              <w:t>5-1提升高中職教師教學品質實施方案</w:t>
            </w:r>
          </w:p>
        </w:tc>
        <w:tc>
          <w:tcPr>
            <w:tcW w:w="1620" w:type="dxa"/>
            <w:vAlign w:val="center"/>
          </w:tcPr>
          <w:p w:rsidR="00406A77" w:rsidRPr="00697C03" w:rsidRDefault="00406A77" w:rsidP="00BF41DE">
            <w:pPr>
              <w:jc w:val="center"/>
              <w:rPr>
                <w:rFonts w:ascii="標楷體" w:hAnsi="標楷體"/>
                <w:sz w:val="24"/>
                <w:szCs w:val="24"/>
              </w:rPr>
            </w:pPr>
            <w:r w:rsidRPr="00697C03">
              <w:rPr>
                <w:rFonts w:ascii="標楷體" w:hAnsi="標楷體" w:hint="eastAsia"/>
                <w:sz w:val="24"/>
                <w:szCs w:val="24"/>
              </w:rPr>
              <w:t>中教司</w:t>
            </w:r>
          </w:p>
          <w:p w:rsidR="00406A77" w:rsidRPr="00697C03" w:rsidRDefault="00406A77" w:rsidP="00BF41DE">
            <w:pPr>
              <w:jc w:val="center"/>
              <w:rPr>
                <w:rFonts w:ascii="標楷體" w:hAnsi="標楷體"/>
                <w:sz w:val="24"/>
                <w:szCs w:val="24"/>
              </w:rPr>
            </w:pPr>
            <w:r w:rsidRPr="00697C03">
              <w:rPr>
                <w:rFonts w:ascii="標楷體" w:hAnsi="標楷體" w:hint="eastAsia"/>
                <w:sz w:val="24"/>
                <w:szCs w:val="24"/>
              </w:rPr>
              <w:t>中部辦公室</w:t>
            </w:r>
          </w:p>
        </w:tc>
      </w:tr>
      <w:tr w:rsidR="00697C03" w:rsidRPr="00697C03" w:rsidTr="00A713F7">
        <w:trPr>
          <w:trHeight w:val="368"/>
        </w:trPr>
        <w:tc>
          <w:tcPr>
            <w:tcW w:w="2886" w:type="dxa"/>
            <w:vAlign w:val="center"/>
          </w:tcPr>
          <w:p w:rsidR="00406A77" w:rsidRPr="00697C03" w:rsidRDefault="00406A77" w:rsidP="00A713F7">
            <w:pPr>
              <w:jc w:val="both"/>
              <w:rPr>
                <w:rFonts w:ascii="標楷體" w:hAnsi="標楷體"/>
                <w:b/>
                <w:sz w:val="26"/>
                <w:szCs w:val="26"/>
              </w:rPr>
            </w:pPr>
            <w:r w:rsidRPr="00697C03">
              <w:rPr>
                <w:rFonts w:ascii="標楷體" w:hAnsi="標楷體"/>
                <w:b/>
                <w:sz w:val="26"/>
                <w:szCs w:val="26"/>
              </w:rPr>
              <w:t>6.高中職評鑑與輔導</w:t>
            </w:r>
          </w:p>
        </w:tc>
        <w:tc>
          <w:tcPr>
            <w:tcW w:w="4860" w:type="dxa"/>
          </w:tcPr>
          <w:p w:rsidR="00406A77" w:rsidRPr="00697C03" w:rsidRDefault="00406A77" w:rsidP="002B7763">
            <w:pPr>
              <w:jc w:val="both"/>
              <w:rPr>
                <w:rFonts w:ascii="標楷體" w:hAnsi="標楷體"/>
                <w:sz w:val="24"/>
                <w:szCs w:val="24"/>
              </w:rPr>
            </w:pPr>
            <w:r w:rsidRPr="00697C03">
              <w:rPr>
                <w:rFonts w:ascii="標楷體" w:hAnsi="標楷體"/>
                <w:sz w:val="24"/>
                <w:szCs w:val="24"/>
              </w:rPr>
              <w:t>6-1高級中學學校評鑑實施方案</w:t>
            </w:r>
          </w:p>
          <w:p w:rsidR="00406A77" w:rsidRPr="00697C03" w:rsidRDefault="00406A77" w:rsidP="002B7763">
            <w:pPr>
              <w:jc w:val="both"/>
              <w:rPr>
                <w:rFonts w:ascii="標楷體" w:hAnsi="標楷體"/>
                <w:sz w:val="24"/>
                <w:szCs w:val="24"/>
              </w:rPr>
            </w:pPr>
            <w:r w:rsidRPr="00697C03">
              <w:rPr>
                <w:rFonts w:ascii="標楷體" w:hAnsi="標楷體"/>
                <w:sz w:val="24"/>
                <w:szCs w:val="24"/>
              </w:rPr>
              <w:t>6-2高職學校評鑑實施方案</w:t>
            </w:r>
          </w:p>
          <w:p w:rsidR="00406A77" w:rsidRPr="00697C03" w:rsidRDefault="00406A77" w:rsidP="002B7763">
            <w:pPr>
              <w:jc w:val="both"/>
              <w:rPr>
                <w:rFonts w:ascii="標楷體" w:hAnsi="標楷體"/>
                <w:sz w:val="24"/>
                <w:szCs w:val="24"/>
              </w:rPr>
            </w:pPr>
            <w:r w:rsidRPr="00697C03">
              <w:rPr>
                <w:rFonts w:ascii="標楷體" w:hAnsi="標楷體"/>
                <w:sz w:val="24"/>
                <w:szCs w:val="24"/>
              </w:rPr>
              <w:t>6-3高中職發展轉型及退場輔導方案</w:t>
            </w:r>
          </w:p>
        </w:tc>
        <w:tc>
          <w:tcPr>
            <w:tcW w:w="1620" w:type="dxa"/>
            <w:vAlign w:val="center"/>
          </w:tcPr>
          <w:p w:rsidR="00406A77" w:rsidRPr="00697C03" w:rsidRDefault="00406A77" w:rsidP="00BF41DE">
            <w:pPr>
              <w:jc w:val="center"/>
              <w:rPr>
                <w:rFonts w:ascii="標楷體" w:hAnsi="標楷體"/>
                <w:sz w:val="24"/>
                <w:szCs w:val="24"/>
              </w:rPr>
            </w:pPr>
          </w:p>
          <w:p w:rsidR="00406A77" w:rsidRPr="00697C03" w:rsidRDefault="00406A77" w:rsidP="00BF41DE">
            <w:pPr>
              <w:jc w:val="center"/>
              <w:rPr>
                <w:rFonts w:ascii="標楷體" w:hAnsi="標楷體"/>
                <w:sz w:val="24"/>
                <w:szCs w:val="24"/>
              </w:rPr>
            </w:pPr>
            <w:r w:rsidRPr="00697C03">
              <w:rPr>
                <w:rFonts w:ascii="標楷體" w:hAnsi="標楷體" w:hint="eastAsia"/>
                <w:sz w:val="24"/>
                <w:szCs w:val="24"/>
              </w:rPr>
              <w:t>中部辦公室</w:t>
            </w:r>
          </w:p>
        </w:tc>
      </w:tr>
      <w:tr w:rsidR="00697C03" w:rsidRPr="00697C03" w:rsidTr="00A713F7">
        <w:tc>
          <w:tcPr>
            <w:tcW w:w="2886" w:type="dxa"/>
            <w:vAlign w:val="center"/>
          </w:tcPr>
          <w:p w:rsidR="00406A77" w:rsidRPr="00697C03" w:rsidRDefault="00406A77" w:rsidP="00A713F7">
            <w:pPr>
              <w:ind w:left="336" w:hangingChars="120" w:hanging="336"/>
              <w:jc w:val="both"/>
              <w:rPr>
                <w:rFonts w:ascii="標楷體" w:hAnsi="標楷體"/>
                <w:b/>
                <w:sz w:val="26"/>
                <w:szCs w:val="26"/>
              </w:rPr>
            </w:pPr>
            <w:r w:rsidRPr="00697C03">
              <w:rPr>
                <w:rFonts w:ascii="標楷體" w:hAnsi="標楷體"/>
                <w:b/>
                <w:sz w:val="26"/>
                <w:szCs w:val="26"/>
              </w:rPr>
              <w:t>7.技職教育與產業發展</w:t>
            </w:r>
          </w:p>
        </w:tc>
        <w:tc>
          <w:tcPr>
            <w:tcW w:w="4860" w:type="dxa"/>
          </w:tcPr>
          <w:p w:rsidR="00406A77" w:rsidRPr="00697C03" w:rsidRDefault="00406A77" w:rsidP="002B7763">
            <w:pPr>
              <w:jc w:val="both"/>
              <w:rPr>
                <w:rFonts w:ascii="標楷體" w:hAnsi="標楷體"/>
                <w:sz w:val="24"/>
                <w:szCs w:val="24"/>
              </w:rPr>
            </w:pPr>
            <w:r w:rsidRPr="00697C03">
              <w:rPr>
                <w:rFonts w:ascii="標楷體" w:hAnsi="標楷體"/>
                <w:sz w:val="24"/>
                <w:szCs w:val="24"/>
              </w:rPr>
              <w:t>7-1教育部推動產學攜手合作實施方案</w:t>
            </w:r>
          </w:p>
          <w:p w:rsidR="00406A77" w:rsidRPr="00697C03" w:rsidRDefault="00406A77" w:rsidP="002B7763">
            <w:pPr>
              <w:jc w:val="both"/>
              <w:rPr>
                <w:rFonts w:ascii="標楷體" w:hAnsi="標楷體"/>
                <w:sz w:val="24"/>
                <w:szCs w:val="24"/>
              </w:rPr>
            </w:pPr>
            <w:r w:rsidRPr="00697C03">
              <w:rPr>
                <w:rFonts w:ascii="標楷體" w:hAnsi="標楷體"/>
                <w:sz w:val="24"/>
                <w:szCs w:val="24"/>
              </w:rPr>
              <w:t>7-2技職教育宣導方案</w:t>
            </w:r>
          </w:p>
        </w:tc>
        <w:tc>
          <w:tcPr>
            <w:tcW w:w="1620" w:type="dxa"/>
            <w:vAlign w:val="center"/>
          </w:tcPr>
          <w:p w:rsidR="00406A77" w:rsidRPr="00697C03" w:rsidRDefault="00406A77" w:rsidP="00BF41DE">
            <w:pPr>
              <w:jc w:val="center"/>
              <w:rPr>
                <w:rFonts w:ascii="標楷體" w:hAnsi="標楷體"/>
                <w:sz w:val="24"/>
                <w:szCs w:val="24"/>
              </w:rPr>
            </w:pPr>
            <w:r w:rsidRPr="00697C03">
              <w:rPr>
                <w:rFonts w:ascii="標楷體" w:hAnsi="標楷體"/>
                <w:sz w:val="24"/>
                <w:szCs w:val="24"/>
              </w:rPr>
              <w:t>技職司</w:t>
            </w:r>
          </w:p>
        </w:tc>
      </w:tr>
      <w:tr w:rsidR="00697C03" w:rsidRPr="00697C03" w:rsidTr="00A713F7">
        <w:tc>
          <w:tcPr>
            <w:tcW w:w="2886" w:type="dxa"/>
            <w:vAlign w:val="center"/>
          </w:tcPr>
          <w:p w:rsidR="00406A77" w:rsidRPr="00697C03" w:rsidRDefault="00406A77" w:rsidP="00A713F7">
            <w:pPr>
              <w:ind w:left="336" w:hangingChars="120" w:hanging="336"/>
              <w:jc w:val="both"/>
              <w:rPr>
                <w:rFonts w:ascii="標楷體" w:hAnsi="標楷體"/>
                <w:b/>
                <w:sz w:val="26"/>
                <w:szCs w:val="26"/>
              </w:rPr>
            </w:pPr>
            <w:r w:rsidRPr="00697C03">
              <w:rPr>
                <w:rFonts w:ascii="標楷體" w:hAnsi="標楷體"/>
                <w:b/>
                <w:sz w:val="26"/>
                <w:szCs w:val="26"/>
              </w:rPr>
              <w:t>8.推動大學支持高中職社區化</w:t>
            </w:r>
          </w:p>
        </w:tc>
        <w:tc>
          <w:tcPr>
            <w:tcW w:w="4860" w:type="dxa"/>
          </w:tcPr>
          <w:p w:rsidR="00406A77" w:rsidRPr="00697C03" w:rsidRDefault="00406A77" w:rsidP="00107A2E">
            <w:pPr>
              <w:ind w:leftChars="-5" w:left="407" w:hangingChars="163" w:hanging="424"/>
              <w:jc w:val="both"/>
              <w:rPr>
                <w:rFonts w:ascii="標楷體" w:hAnsi="標楷體"/>
                <w:sz w:val="24"/>
                <w:szCs w:val="24"/>
              </w:rPr>
            </w:pPr>
            <w:r w:rsidRPr="00697C03">
              <w:rPr>
                <w:rFonts w:ascii="標楷體" w:hAnsi="標楷體"/>
                <w:sz w:val="24"/>
                <w:szCs w:val="24"/>
              </w:rPr>
              <w:t>8-1擴大辦理「大學繁星推薦、技職繁星」-引導就近入學高中職</w:t>
            </w:r>
          </w:p>
        </w:tc>
        <w:tc>
          <w:tcPr>
            <w:tcW w:w="1620" w:type="dxa"/>
            <w:vAlign w:val="center"/>
          </w:tcPr>
          <w:p w:rsidR="00406A77" w:rsidRPr="00697C03" w:rsidRDefault="00406A77" w:rsidP="00BF41DE">
            <w:pPr>
              <w:jc w:val="center"/>
              <w:rPr>
                <w:rFonts w:ascii="標楷體" w:hAnsi="標楷體"/>
                <w:sz w:val="24"/>
                <w:szCs w:val="24"/>
              </w:rPr>
            </w:pPr>
            <w:r w:rsidRPr="00697C03">
              <w:rPr>
                <w:rFonts w:ascii="標楷體" w:hAnsi="標楷體" w:hint="eastAsia"/>
                <w:sz w:val="24"/>
                <w:szCs w:val="24"/>
              </w:rPr>
              <w:t>高教司</w:t>
            </w:r>
          </w:p>
          <w:p w:rsidR="00406A77" w:rsidRPr="00697C03" w:rsidRDefault="00406A77" w:rsidP="00BF41DE">
            <w:pPr>
              <w:jc w:val="center"/>
              <w:rPr>
                <w:rFonts w:ascii="標楷體" w:hAnsi="標楷體"/>
                <w:sz w:val="24"/>
                <w:szCs w:val="24"/>
              </w:rPr>
            </w:pPr>
            <w:r w:rsidRPr="00697C03">
              <w:rPr>
                <w:rFonts w:ascii="標楷體" w:hAnsi="標楷體"/>
                <w:sz w:val="24"/>
                <w:szCs w:val="24"/>
              </w:rPr>
              <w:t>技職司</w:t>
            </w:r>
          </w:p>
        </w:tc>
      </w:tr>
      <w:tr w:rsidR="00697C03" w:rsidRPr="00697C03" w:rsidTr="00A713F7">
        <w:tc>
          <w:tcPr>
            <w:tcW w:w="2886" w:type="dxa"/>
            <w:vAlign w:val="center"/>
          </w:tcPr>
          <w:p w:rsidR="00406A77" w:rsidRPr="00697C03" w:rsidRDefault="00406A77" w:rsidP="00A713F7">
            <w:pPr>
              <w:ind w:left="336" w:hangingChars="120" w:hanging="336"/>
              <w:jc w:val="both"/>
              <w:rPr>
                <w:rFonts w:ascii="標楷體" w:hAnsi="標楷體"/>
                <w:b/>
                <w:sz w:val="26"/>
                <w:szCs w:val="26"/>
              </w:rPr>
            </w:pPr>
            <w:r w:rsidRPr="00697C03">
              <w:rPr>
                <w:rFonts w:ascii="標楷體" w:hAnsi="標楷體"/>
                <w:b/>
                <w:sz w:val="26"/>
                <w:szCs w:val="26"/>
              </w:rPr>
              <w:t>9.高中職身心障礙學生就學輔導</w:t>
            </w:r>
          </w:p>
        </w:tc>
        <w:tc>
          <w:tcPr>
            <w:tcW w:w="4860" w:type="dxa"/>
          </w:tcPr>
          <w:p w:rsidR="00406A77" w:rsidRPr="00697C03" w:rsidRDefault="00406A77" w:rsidP="00107A2E">
            <w:pPr>
              <w:ind w:leftChars="-5" w:left="407" w:hangingChars="163" w:hanging="424"/>
              <w:jc w:val="both"/>
              <w:rPr>
                <w:rFonts w:ascii="標楷體" w:hAnsi="標楷體"/>
                <w:sz w:val="24"/>
                <w:szCs w:val="24"/>
              </w:rPr>
            </w:pPr>
            <w:r w:rsidRPr="00697C03">
              <w:rPr>
                <w:rFonts w:ascii="標楷體" w:hAnsi="標楷體"/>
                <w:sz w:val="24"/>
                <w:szCs w:val="24"/>
              </w:rPr>
              <w:t>9-1高中職身心障礙學生就學輔導發展方案</w:t>
            </w:r>
          </w:p>
        </w:tc>
        <w:tc>
          <w:tcPr>
            <w:tcW w:w="1620" w:type="dxa"/>
            <w:vAlign w:val="center"/>
          </w:tcPr>
          <w:p w:rsidR="00406A77" w:rsidRPr="00697C03" w:rsidRDefault="00406A77" w:rsidP="00BF41DE">
            <w:pPr>
              <w:jc w:val="center"/>
              <w:rPr>
                <w:rFonts w:ascii="標楷體" w:hAnsi="標楷體"/>
                <w:sz w:val="24"/>
                <w:szCs w:val="24"/>
              </w:rPr>
            </w:pPr>
            <w:r w:rsidRPr="00697C03">
              <w:rPr>
                <w:rFonts w:ascii="標楷體" w:hAnsi="標楷體" w:hint="eastAsia"/>
                <w:sz w:val="24"/>
                <w:szCs w:val="24"/>
              </w:rPr>
              <w:t>特殊教育</w:t>
            </w:r>
          </w:p>
          <w:p w:rsidR="00406A77" w:rsidRPr="00697C03" w:rsidRDefault="00406A77" w:rsidP="00BF41DE">
            <w:pPr>
              <w:jc w:val="center"/>
              <w:rPr>
                <w:rFonts w:ascii="標楷體" w:hAnsi="標楷體"/>
                <w:sz w:val="24"/>
                <w:szCs w:val="24"/>
              </w:rPr>
            </w:pPr>
            <w:r w:rsidRPr="00697C03">
              <w:rPr>
                <w:rFonts w:ascii="標楷體" w:hAnsi="標楷體" w:hint="eastAsia"/>
                <w:sz w:val="24"/>
                <w:szCs w:val="24"/>
              </w:rPr>
              <w:t>小組</w:t>
            </w:r>
          </w:p>
        </w:tc>
      </w:tr>
      <w:tr w:rsidR="00697C03" w:rsidRPr="00697C03" w:rsidTr="00A713F7">
        <w:trPr>
          <w:trHeight w:val="156"/>
        </w:trPr>
        <w:tc>
          <w:tcPr>
            <w:tcW w:w="2886" w:type="dxa"/>
            <w:vAlign w:val="center"/>
          </w:tcPr>
          <w:p w:rsidR="00406A77" w:rsidRPr="00697C03" w:rsidRDefault="00406A77" w:rsidP="00A713F7">
            <w:pPr>
              <w:ind w:left="336" w:hangingChars="120" w:hanging="336"/>
              <w:jc w:val="both"/>
              <w:rPr>
                <w:rFonts w:ascii="標楷體" w:hAnsi="標楷體"/>
                <w:b/>
                <w:sz w:val="26"/>
                <w:szCs w:val="26"/>
              </w:rPr>
            </w:pPr>
            <w:r w:rsidRPr="00697C03">
              <w:rPr>
                <w:rFonts w:ascii="標楷體" w:hAnsi="標楷體"/>
                <w:b/>
                <w:sz w:val="26"/>
                <w:szCs w:val="26"/>
              </w:rPr>
              <w:t>10.促進家長參與推動十二年國民基本教育</w:t>
            </w:r>
          </w:p>
        </w:tc>
        <w:tc>
          <w:tcPr>
            <w:tcW w:w="4860" w:type="dxa"/>
          </w:tcPr>
          <w:p w:rsidR="00406A77" w:rsidRPr="00697C03" w:rsidRDefault="00406A77" w:rsidP="00107A2E">
            <w:pPr>
              <w:ind w:leftChars="-5" w:left="407" w:hangingChars="163" w:hanging="424"/>
              <w:jc w:val="both"/>
              <w:rPr>
                <w:rFonts w:ascii="標楷體" w:hAnsi="標楷體"/>
                <w:sz w:val="24"/>
                <w:szCs w:val="24"/>
              </w:rPr>
            </w:pPr>
            <w:r w:rsidRPr="00697C03">
              <w:rPr>
                <w:rFonts w:ascii="標楷體" w:hAnsi="標楷體"/>
                <w:sz w:val="24"/>
                <w:szCs w:val="24"/>
              </w:rPr>
              <w:t>10-1促進家長參與推動十二年國民基本教育實施方案</w:t>
            </w:r>
          </w:p>
        </w:tc>
        <w:tc>
          <w:tcPr>
            <w:tcW w:w="1620" w:type="dxa"/>
            <w:vAlign w:val="center"/>
          </w:tcPr>
          <w:p w:rsidR="00406A77" w:rsidRPr="00697C03" w:rsidRDefault="00406A77" w:rsidP="00BF41DE">
            <w:pPr>
              <w:jc w:val="center"/>
              <w:rPr>
                <w:rFonts w:ascii="標楷體" w:hAnsi="標楷體"/>
                <w:sz w:val="24"/>
                <w:szCs w:val="24"/>
              </w:rPr>
            </w:pPr>
            <w:r w:rsidRPr="00697C03">
              <w:rPr>
                <w:rFonts w:ascii="標楷體" w:hAnsi="標楷體"/>
                <w:sz w:val="24"/>
                <w:szCs w:val="24"/>
              </w:rPr>
              <w:t>國教</w:t>
            </w:r>
            <w:r w:rsidRPr="00697C03">
              <w:rPr>
                <w:rFonts w:ascii="標楷體" w:hAnsi="標楷體" w:hint="eastAsia"/>
                <w:sz w:val="24"/>
                <w:szCs w:val="24"/>
              </w:rPr>
              <w:t>司</w:t>
            </w:r>
          </w:p>
        </w:tc>
      </w:tr>
      <w:tr w:rsidR="00697C03" w:rsidRPr="00697C03" w:rsidTr="00A713F7">
        <w:trPr>
          <w:trHeight w:val="450"/>
        </w:trPr>
        <w:tc>
          <w:tcPr>
            <w:tcW w:w="2886" w:type="dxa"/>
            <w:vAlign w:val="center"/>
          </w:tcPr>
          <w:p w:rsidR="00406A77" w:rsidRPr="00697C03" w:rsidRDefault="00406A77" w:rsidP="00A713F7">
            <w:pPr>
              <w:jc w:val="both"/>
              <w:rPr>
                <w:rFonts w:ascii="標楷體" w:hAnsi="標楷體"/>
                <w:b/>
                <w:sz w:val="26"/>
                <w:szCs w:val="26"/>
              </w:rPr>
            </w:pPr>
            <w:r w:rsidRPr="00697C03">
              <w:rPr>
                <w:rFonts w:ascii="標楷體" w:hAnsi="標楷體"/>
                <w:b/>
                <w:sz w:val="26"/>
                <w:szCs w:val="26"/>
              </w:rPr>
              <w:t>11.政策宣導</w:t>
            </w:r>
          </w:p>
        </w:tc>
        <w:tc>
          <w:tcPr>
            <w:tcW w:w="4860" w:type="dxa"/>
          </w:tcPr>
          <w:p w:rsidR="00406A77" w:rsidRPr="00697C03" w:rsidRDefault="00406A77" w:rsidP="002B7763">
            <w:pPr>
              <w:jc w:val="both"/>
              <w:rPr>
                <w:rFonts w:ascii="標楷體" w:hAnsi="標楷體"/>
                <w:sz w:val="24"/>
                <w:szCs w:val="24"/>
              </w:rPr>
            </w:pPr>
            <w:r w:rsidRPr="00697C03">
              <w:rPr>
                <w:rFonts w:ascii="標楷體" w:hAnsi="標楷體"/>
                <w:sz w:val="24"/>
                <w:szCs w:val="24"/>
              </w:rPr>
              <w:t>11-1十二年國民基本教育宣導方案</w:t>
            </w:r>
          </w:p>
        </w:tc>
        <w:tc>
          <w:tcPr>
            <w:tcW w:w="1620" w:type="dxa"/>
            <w:vAlign w:val="center"/>
          </w:tcPr>
          <w:p w:rsidR="00406A77" w:rsidRPr="00697C03" w:rsidRDefault="00406A77" w:rsidP="00BF41DE">
            <w:pPr>
              <w:jc w:val="center"/>
              <w:rPr>
                <w:rFonts w:ascii="標楷體" w:hAnsi="標楷體"/>
                <w:sz w:val="24"/>
                <w:szCs w:val="24"/>
              </w:rPr>
            </w:pPr>
            <w:r w:rsidRPr="00697C03">
              <w:rPr>
                <w:rFonts w:ascii="標楷體" w:hAnsi="標楷體" w:hint="eastAsia"/>
                <w:sz w:val="24"/>
                <w:szCs w:val="24"/>
              </w:rPr>
              <w:t>中教司</w:t>
            </w:r>
          </w:p>
        </w:tc>
      </w:tr>
    </w:tbl>
    <w:p w:rsidR="00406A77" w:rsidRPr="00697C03" w:rsidRDefault="00406A77" w:rsidP="00406A77">
      <w:pPr>
        <w:rPr>
          <w:rFonts w:ascii="標楷體" w:hAnsi="標楷體"/>
          <w:sz w:val="24"/>
          <w:szCs w:val="24"/>
        </w:rPr>
      </w:pPr>
      <w:r w:rsidRPr="00697C03">
        <w:rPr>
          <w:rFonts w:ascii="標楷體" w:hAnsi="標楷體" w:hint="eastAsia"/>
          <w:sz w:val="24"/>
          <w:szCs w:val="24"/>
        </w:rPr>
        <w:t>資料來源：教育部（民</w:t>
      </w:r>
      <w:r w:rsidRPr="00697C03">
        <w:rPr>
          <w:rFonts w:ascii="標楷體" w:hAnsi="標楷體"/>
          <w:sz w:val="24"/>
          <w:szCs w:val="24"/>
        </w:rPr>
        <w:t>100</w:t>
      </w:r>
      <w:r w:rsidRPr="00697C03">
        <w:rPr>
          <w:rFonts w:ascii="標楷體" w:hAnsi="標楷體" w:hint="eastAsia"/>
          <w:sz w:val="24"/>
          <w:szCs w:val="24"/>
        </w:rPr>
        <w:t>）。十二年國民基本教育實施計畫核定版。</w:t>
      </w:r>
    </w:p>
    <w:p w:rsidR="00406A77" w:rsidRPr="00697C03" w:rsidRDefault="00406A77" w:rsidP="00406A77">
      <w:pPr>
        <w:rPr>
          <w:rFonts w:ascii="標楷體" w:hAnsi="標楷體"/>
        </w:rPr>
      </w:pPr>
    </w:p>
    <w:p w:rsidR="00406A77" w:rsidRPr="00697C03" w:rsidRDefault="0051288C" w:rsidP="00406A77">
      <w:pPr>
        <w:pStyle w:val="3"/>
        <w:kinsoku/>
        <w:ind w:left="1360" w:hanging="680"/>
        <w:rPr>
          <w:rFonts w:hAnsi="標楷體"/>
        </w:rPr>
      </w:pPr>
      <w:r w:rsidRPr="00697C03">
        <w:rPr>
          <w:rFonts w:hAnsi="標楷體" w:hint="eastAsia"/>
        </w:rPr>
        <w:t>經</w:t>
      </w:r>
      <w:r w:rsidR="00406A77" w:rsidRPr="00697C03">
        <w:rPr>
          <w:rFonts w:hAnsi="標楷體" w:hint="eastAsia"/>
        </w:rPr>
        <w:t>本案涉及之中離生業務及未升學未就業</w:t>
      </w:r>
      <w:r w:rsidRPr="00697C03">
        <w:rPr>
          <w:rFonts w:hAnsi="標楷體" w:hint="eastAsia"/>
        </w:rPr>
        <w:t>國中生之相關業務辦理權責劃分情形，依教育部回應本院指稱，依據該</w:t>
      </w:r>
      <w:r w:rsidR="00406A77" w:rsidRPr="00697C03">
        <w:rPr>
          <w:rFonts w:hAnsi="標楷體" w:hint="eastAsia"/>
        </w:rPr>
        <w:t>部分層負責明細表，該部國教署綜理各</w:t>
      </w:r>
      <w:r w:rsidR="00406A77" w:rsidRPr="00697C03">
        <w:rPr>
          <w:rFonts w:hAnsi="標楷體" w:hint="eastAsia"/>
        </w:rPr>
        <w:lastRenderedPageBreak/>
        <w:t>直轄市、縣（市）政府辦理高級中等教育之督導及協調、所轄高級中等學校行政之管理及督導，以及高級中等以下學校學生輔導工作之規劃、推動及督導；該部青年</w:t>
      </w:r>
      <w:r w:rsidR="00440AAA" w:rsidRPr="00697C03">
        <w:rPr>
          <w:rFonts w:hAnsi="標楷體" w:hint="eastAsia"/>
        </w:rPr>
        <w:t>發展</w:t>
      </w:r>
      <w:r w:rsidR="00264767" w:rsidRPr="00697C03">
        <w:rPr>
          <w:rFonts w:hAnsi="標楷體" w:hint="eastAsia"/>
        </w:rPr>
        <w:t>署綜理主管未就學未就業青少年關懷扶助計畫之規劃及協調事項。次依教育</w:t>
      </w:r>
      <w:r w:rsidR="00406A77" w:rsidRPr="00697C03">
        <w:rPr>
          <w:rFonts w:hAnsi="標楷體" w:hint="eastAsia"/>
        </w:rPr>
        <w:t>部106年8月10日首長幕僚會議紀錄表示，該部組織架構中，成立非屬學校教育階段之司</w:t>
      </w:r>
      <w:r w:rsidR="0079236E" w:rsidRPr="00697C03">
        <w:rPr>
          <w:rFonts w:hAnsi="標楷體" w:hint="eastAsia"/>
        </w:rPr>
        <w:t>（</w:t>
      </w:r>
      <w:r w:rsidR="00406A77" w:rsidRPr="00697C03">
        <w:rPr>
          <w:rFonts w:hAnsi="標楷體" w:hint="eastAsia"/>
        </w:rPr>
        <w:t>署</w:t>
      </w:r>
      <w:r w:rsidR="0079236E" w:rsidRPr="00697C03">
        <w:rPr>
          <w:rFonts w:hAnsi="標楷體" w:hint="eastAsia"/>
        </w:rPr>
        <w:t>）</w:t>
      </w:r>
      <w:r w:rsidR="00406A77" w:rsidRPr="00697C03">
        <w:rPr>
          <w:rFonts w:hAnsi="標楷體" w:hint="eastAsia"/>
        </w:rPr>
        <w:t>，均負有其特定之任務，鑑於國中畢業後未升學未就業不具學生身分，爰有關未升學未就業青少年關懷扶助計畫由該部青年</w:t>
      </w:r>
      <w:r w:rsidR="00C31347" w:rsidRPr="00697C03">
        <w:rPr>
          <w:rFonts w:hAnsi="標楷體" w:hint="eastAsia"/>
        </w:rPr>
        <w:t>發展</w:t>
      </w:r>
      <w:r w:rsidR="00406A77" w:rsidRPr="00697C03">
        <w:rPr>
          <w:rFonts w:hAnsi="標楷體" w:hint="eastAsia"/>
        </w:rPr>
        <w:t>署引進社會資源之方向持續辦理，並請該部國教署善用專業輔導人力，加強對高關懷學生之輔導等語。惟查，青年發展署「十二年國教未升學未就業青少年」之服務對象實已包括「高中職休、退學，且未就業者」 ，部分對象應仍具學籍，況相關預防性措施係針對國中小學生中輟之輔導協尋，係屬國教署</w:t>
      </w:r>
      <w:r w:rsidR="00810B86" w:rsidRPr="00697C03">
        <w:rPr>
          <w:rFonts w:hAnsi="標楷體" w:hint="eastAsia"/>
        </w:rPr>
        <w:t>之</w:t>
      </w:r>
      <w:r w:rsidR="00406A77" w:rsidRPr="00697C03">
        <w:rPr>
          <w:rFonts w:hAnsi="標楷體" w:hint="eastAsia"/>
        </w:rPr>
        <w:t>督導範疇，而升學至高中職階段衍生之中離生輔導要點亦由國教署督導，顯難謂以未具學生身分與否作為本案整體業務劃分依據。</w:t>
      </w:r>
    </w:p>
    <w:p w:rsidR="00406A77" w:rsidRPr="00697C03" w:rsidRDefault="00406A77" w:rsidP="00406A77">
      <w:pPr>
        <w:pStyle w:val="3"/>
        <w:kinsoku/>
        <w:ind w:left="1360" w:hanging="680"/>
        <w:rPr>
          <w:rFonts w:hAnsi="標楷體"/>
        </w:rPr>
      </w:pPr>
      <w:r w:rsidRPr="00697C03">
        <w:rPr>
          <w:rFonts w:hAnsi="標楷體" w:hint="eastAsia"/>
        </w:rPr>
        <w:t>另查，本案調查履勘及簡報座談過程中，有本年2月27日高雄市政府相關履勘座談意見、3月4日新北市政府相關履勘座談意見及原定2月26日履勘臺中市政府及彰化市政府提供之履勘簡報及書面等資料反映指稱，針對教育部對於中離生與未就學未就業國中畢業生之整體機制多反應尚有定義不清及權責不明之情形，如</w:t>
      </w:r>
      <w:r w:rsidR="00ED365C" w:rsidRPr="00697C03">
        <w:rPr>
          <w:rFonts w:hAnsi="標楷體" w:hint="eastAsia"/>
        </w:rPr>
        <w:t>稱</w:t>
      </w:r>
      <w:r w:rsidRPr="00697C03">
        <w:rPr>
          <w:rFonts w:hAnsi="標楷體" w:hint="eastAsia"/>
        </w:rPr>
        <w:t>「建議中央單位釐清中輟輔導、中離輔導等主責單位，並聚焦『未就學未就業』之輔導對象，以利地方政府於執行本案計畫時，無後顧之憂，提供落於體制外之青少年完整輔導措施，協助聚焦生涯議題，穩定未來發展」等語。對此，</w:t>
      </w:r>
      <w:r w:rsidR="00F51FC3" w:rsidRPr="00697C03">
        <w:rPr>
          <w:rFonts w:hAnsi="標楷體" w:hint="eastAsia"/>
        </w:rPr>
        <w:t>109年3月31日</w:t>
      </w:r>
      <w:r w:rsidR="0082616E" w:rsidRPr="00697C03">
        <w:rPr>
          <w:rFonts w:hAnsi="標楷體" w:hint="eastAsia"/>
        </w:rPr>
        <w:t>教育</w:t>
      </w:r>
      <w:r w:rsidRPr="00697C03">
        <w:rPr>
          <w:rFonts w:hAnsi="標楷體" w:hint="eastAsia"/>
        </w:rPr>
        <w:t>部</w:t>
      </w:r>
      <w:r w:rsidR="006F50F9" w:rsidRPr="00697C03">
        <w:rPr>
          <w:rFonts w:hAnsi="標楷體" w:hint="eastAsia"/>
        </w:rPr>
        <w:t>青年發展署相關主管人</w:t>
      </w:r>
      <w:r w:rsidR="00B276A9" w:rsidRPr="00697C03">
        <w:rPr>
          <w:rFonts w:hAnsi="標楷體" w:hint="eastAsia"/>
        </w:rPr>
        <w:t>員</w:t>
      </w:r>
      <w:r w:rsidR="006F50F9" w:rsidRPr="00697C03">
        <w:rPr>
          <w:rFonts w:hAnsi="標楷體" w:hint="eastAsia"/>
        </w:rPr>
        <w:t>、</w:t>
      </w:r>
      <w:r w:rsidRPr="00697C03">
        <w:rPr>
          <w:rFonts w:hAnsi="標楷體" w:hint="eastAsia"/>
        </w:rPr>
        <w:lastRenderedPageBreak/>
        <w:t>政務次長</w:t>
      </w:r>
      <w:r w:rsidR="006F50F9" w:rsidRPr="00697C03">
        <w:rPr>
          <w:rFonts w:hAnsi="標楷體" w:hint="eastAsia"/>
        </w:rPr>
        <w:t>等</w:t>
      </w:r>
      <w:r w:rsidRPr="00697C03">
        <w:rPr>
          <w:rFonts w:hAnsi="標楷體" w:hint="eastAsia"/>
        </w:rPr>
        <w:t>於本院詢問會議亦分別指稱略以，「因為本署當初沒參與到那方面計畫，雙青計畫聯繫會議，當初矯正署臨時提到這個建議來輔導出所青少年，才建議矯正署再自行研究一下。因為本署對矯正署整個機制過去沒有參與，這部分我們後續會再修正</w:t>
      </w:r>
      <w:r w:rsidR="00844443" w:rsidRPr="00697C03">
        <w:rPr>
          <w:rFonts w:hAnsi="標楷體"/>
        </w:rPr>
        <w:t>……</w:t>
      </w:r>
      <w:r w:rsidRPr="00697C03">
        <w:rPr>
          <w:rFonts w:hAnsi="標楷體" w:hint="eastAsia"/>
        </w:rPr>
        <w:t>」、「青儲方案有專辦小組，後續會請專辦討論。此外本部106年有建立育才和技高對接，依照產業特性建立，但後續要看怎麼來對中離生對接，也需要後續再與青年署合作了解可行性</w:t>
      </w:r>
      <w:r w:rsidR="0009247F" w:rsidRPr="00697C03">
        <w:rPr>
          <w:rFonts w:hAnsi="標楷體"/>
        </w:rPr>
        <w:t>……</w:t>
      </w:r>
      <w:r w:rsidRPr="00697C03">
        <w:rPr>
          <w:rFonts w:hAnsi="標楷體" w:hint="eastAsia"/>
        </w:rPr>
        <w:t>」及「本部針對這問題已經在進行盤整，將會成立跨署跨司的工作小組來辦理</w:t>
      </w:r>
      <w:r w:rsidR="002272CC" w:rsidRPr="00697C03">
        <w:rPr>
          <w:rFonts w:hAnsi="標楷體"/>
        </w:rPr>
        <w:t>……</w:t>
      </w:r>
      <w:r w:rsidRPr="00697C03">
        <w:rPr>
          <w:rFonts w:hAnsi="標楷體" w:hint="eastAsia"/>
        </w:rPr>
        <w:t>」等語，亦徵國民基本教育與國家發展之相關體系環環相扣、密不可分，跨機關部會、各縣市地方政府及教育部單位，顯難單獨於國家發展架構外具體實踐。</w:t>
      </w:r>
    </w:p>
    <w:p w:rsidR="00406A77" w:rsidRPr="00697C03" w:rsidRDefault="00406A77" w:rsidP="00406A77">
      <w:pPr>
        <w:pStyle w:val="3"/>
        <w:kinsoku/>
        <w:ind w:left="1360" w:hanging="680"/>
        <w:rPr>
          <w:rFonts w:hAnsi="標楷體"/>
        </w:rPr>
      </w:pPr>
      <w:r w:rsidRPr="00697C03">
        <w:rPr>
          <w:rFonts w:hAnsi="標楷體" w:hint="eastAsia"/>
        </w:rPr>
        <w:t>此外，據教育部指稱，「青年署未升學未就業青少年關懷扶助計畫自106年首次與地方政府合作，本計畫服務對象，經多次與地方政府溝通及檢討後，地方政府</w:t>
      </w:r>
      <w:r w:rsidR="0079236E" w:rsidRPr="00697C03">
        <w:rPr>
          <w:rFonts w:hAnsi="標楷體" w:hint="eastAsia"/>
        </w:rPr>
        <w:t>（</w:t>
      </w:r>
      <w:r w:rsidRPr="00697C03">
        <w:rPr>
          <w:rFonts w:hAnsi="標楷體" w:hint="eastAsia"/>
        </w:rPr>
        <w:t>除五都外</w:t>
      </w:r>
      <w:r w:rsidR="0079236E" w:rsidRPr="00697C03">
        <w:rPr>
          <w:rFonts w:hAnsi="標楷體" w:hint="eastAsia"/>
        </w:rPr>
        <w:t>）</w:t>
      </w:r>
      <w:r w:rsidRPr="00697C03">
        <w:rPr>
          <w:rFonts w:hAnsi="標楷體" w:hint="eastAsia"/>
        </w:rPr>
        <w:t>屢次透過相關分區聯繫會議反映，公私立高中職非地方政府轄管，地方政府若以本計畫輔導高中中離生，實務執行確有困難」及「國教署將持續協調青年署能提供高級中等學校未升學未就業青少年關懷扶助計畫申請窗口與方式，俾利學校能針對學生問題依三級輔導流程，結合相關資源規劃轉銜措施，並進一步研議雙方整合機制……」等節，亦顯示整體業務內容與國教署息息相關，惟青年署與縣市政府教育局端未見直接指揮協調關係，業務聯繫實屬不易，況就十二年國教整體廣義未升學未就業事項</w:t>
      </w:r>
      <w:r w:rsidR="0079236E" w:rsidRPr="00697C03">
        <w:rPr>
          <w:rFonts w:hAnsi="標楷體" w:hint="eastAsia"/>
        </w:rPr>
        <w:t>（</w:t>
      </w:r>
      <w:r w:rsidRPr="00697C03">
        <w:rPr>
          <w:rFonts w:hAnsi="標楷體" w:hint="eastAsia"/>
        </w:rPr>
        <w:t>含中輟、中離及雙青計畫</w:t>
      </w:r>
      <w:r w:rsidR="0079236E" w:rsidRPr="00697C03">
        <w:rPr>
          <w:rFonts w:hAnsi="標楷體" w:hint="eastAsia"/>
        </w:rPr>
        <w:t>）</w:t>
      </w:r>
      <w:r w:rsidRPr="00697C03">
        <w:rPr>
          <w:rFonts w:hAnsi="標楷體" w:hint="eastAsia"/>
        </w:rPr>
        <w:t>相關事宜，竟未有單一跨部會統合窗口，政出多門，肇致各機關單打獨鬥實施各項政策卻缺乏盤</w:t>
      </w:r>
      <w:r w:rsidRPr="00697C03">
        <w:rPr>
          <w:rFonts w:hAnsi="標楷體" w:hint="eastAsia"/>
        </w:rPr>
        <w:lastRenderedPageBreak/>
        <w:t>整、計畫目標、退場或永續規劃策略，資源力量分散或重置之現象處處可見，亟待教育部</w:t>
      </w:r>
      <w:r w:rsidR="00F26D21" w:rsidRPr="00697C03">
        <w:rPr>
          <w:rFonts w:hAnsi="標楷體" w:hint="eastAsia"/>
        </w:rPr>
        <w:t>賡續</w:t>
      </w:r>
      <w:r w:rsidRPr="00697C03">
        <w:rPr>
          <w:rFonts w:hAnsi="標楷體" w:hint="eastAsia"/>
        </w:rPr>
        <w:t>積極檢討改善等情。</w:t>
      </w:r>
    </w:p>
    <w:p w:rsidR="00AA3F86" w:rsidRPr="00697C03" w:rsidRDefault="0035560B" w:rsidP="00AA3F86">
      <w:pPr>
        <w:pStyle w:val="3"/>
        <w:kinsoku/>
        <w:ind w:left="1360" w:hanging="680"/>
        <w:rPr>
          <w:rFonts w:hAnsi="標楷體"/>
        </w:rPr>
      </w:pPr>
      <w:r w:rsidRPr="00697C03">
        <w:rPr>
          <w:rFonts w:hAnsi="標楷體" w:hint="eastAsia"/>
        </w:rPr>
        <w:t>另</w:t>
      </w:r>
      <w:r w:rsidR="00AA3F86" w:rsidRPr="00697C03">
        <w:rPr>
          <w:rFonts w:hAnsi="標楷體" w:hint="eastAsia"/>
        </w:rPr>
        <w:t>尚有部分縣市政府或其他機關反映關於相關業務上亟待尋求整合事項、建議或機制，應由教育部積極賡續了解，以期積極會同溝通檢討，維護兒少教育權益，茲概述如下：</w:t>
      </w:r>
    </w:p>
    <w:p w:rsidR="00AA3F86" w:rsidRPr="00697C03" w:rsidRDefault="00AA3F86" w:rsidP="00AA3F86">
      <w:pPr>
        <w:pStyle w:val="4"/>
        <w:rPr>
          <w:rFonts w:hAnsi="標楷體"/>
        </w:rPr>
      </w:pPr>
      <w:r w:rsidRPr="00697C03">
        <w:rPr>
          <w:rFonts w:hAnsi="標楷體" w:hint="eastAsia"/>
        </w:rPr>
        <w:t>為使中途離校分析機制更臻完善，教育局將請教育部協助增列中途離校系統相關設定或功能，以整合中途離校學生及其國中畢業學校等資訊（目前系統尚無法匯出此筆資料），以利賡續邀集國中學校及高級中等學校共商研議輔導策略，以就學生實際需求調整執行措施並提供必要協助。</w:t>
      </w:r>
    </w:p>
    <w:p w:rsidR="00AA3F86" w:rsidRPr="00697C03" w:rsidRDefault="00AA3F86" w:rsidP="00AA3F86">
      <w:pPr>
        <w:pStyle w:val="4"/>
        <w:ind w:leftChars="307" w:left="1742"/>
        <w:rPr>
          <w:rFonts w:hAnsi="標楷體"/>
        </w:rPr>
      </w:pPr>
      <w:r w:rsidRPr="00697C03">
        <w:rPr>
          <w:rFonts w:hAnsi="標楷體" w:hint="eastAsia"/>
          <w:szCs w:val="52"/>
        </w:rPr>
        <w:t>教育部「高級中等學校中途離校學生通報系統」與衛福部社家署「脆弱家庭個案管理平台｣系統之實際辦理成效部分，惟依據部分縣市書面資料提及並未收到中央機關之合作溝通訊息，</w:t>
      </w:r>
      <w:r w:rsidRPr="00697C03">
        <w:rPr>
          <w:rFonts w:hAnsi="標楷體" w:hint="eastAsia"/>
          <w:bCs/>
          <w:szCs w:val="52"/>
        </w:rPr>
        <w:t>查教育部</w:t>
      </w:r>
      <w:r w:rsidRPr="00697C03">
        <w:rPr>
          <w:rFonts w:hAnsi="標楷體" w:hint="eastAsia"/>
          <w:szCs w:val="52"/>
        </w:rPr>
        <w:t>回覆指出，擬進一步規劃將系統介接比對共同個案，於中離通報系統中註記脆弱家庭身份，俾利學校與地方政府可掌握學生狀況予以適當資源連結與協助等語。</w:t>
      </w:r>
    </w:p>
    <w:p w:rsidR="00AA3F86" w:rsidRPr="00697C03" w:rsidRDefault="00AA3F86" w:rsidP="00AA3F86">
      <w:pPr>
        <w:pStyle w:val="4"/>
        <w:rPr>
          <w:rFonts w:hAnsi="標楷體"/>
        </w:rPr>
      </w:pPr>
      <w:r w:rsidRPr="00697C03">
        <w:rPr>
          <w:rFonts w:hAnsi="標楷體" w:hint="eastAsia"/>
        </w:rPr>
        <w:t>未升學未就業青少年關懷扶助計畫，主要個案來源為包括9月考試分發放榜後之動向結果調查</w:t>
      </w:r>
      <w:r w:rsidRPr="00697C03">
        <w:rPr>
          <w:rFonts w:hAnsi="標楷體" w:cs="新細明體" w:hint="eastAsia"/>
        </w:rPr>
        <w:t>、</w:t>
      </w:r>
      <w:r w:rsidRPr="00697C03">
        <w:rPr>
          <w:rFonts w:hAnsi="標楷體" w:hint="eastAsia"/>
        </w:rPr>
        <w:t>各校輔導室轉介之個案</w:t>
      </w:r>
      <w:r w:rsidRPr="00697C03">
        <w:rPr>
          <w:rFonts w:hAnsi="標楷體" w:cs="新細明體" w:hint="eastAsia"/>
        </w:rPr>
        <w:t>、</w:t>
      </w:r>
      <w:r w:rsidRPr="00697C03">
        <w:rPr>
          <w:rFonts w:hAnsi="標楷體" w:hint="eastAsia"/>
        </w:rPr>
        <w:t>外部社福機構轉介之個案亟高中輔導室轉介之中離個案。惟矯正學校已有校內輔導體系及學諮中心等輔導資源進入，並於院生離院後，因年紀已達超過服務年齡並有後追社工協助追蹤，以致較難有效將未升學未就業青少年關懷扶助計畫資源連結入內；自立少年計畫礙於結束安置此限制，故未升學未就業青少年</w:t>
      </w:r>
      <w:r w:rsidRPr="00697C03">
        <w:rPr>
          <w:rFonts w:hAnsi="標楷體" w:hint="eastAsia"/>
        </w:rPr>
        <w:lastRenderedPageBreak/>
        <w:t>扶助計畫較難與其合作。針對相關建議措施，該縣市政府建議增加專責單位協助統籌辦理後追輔導服務，以利跨單位間協調順暢，確實了解個案後續發展。</w:t>
      </w:r>
    </w:p>
    <w:p w:rsidR="00AA3F86" w:rsidRPr="00697C03" w:rsidRDefault="00AA3F86" w:rsidP="00AA3F86">
      <w:pPr>
        <w:pStyle w:val="4"/>
      </w:pPr>
      <w:r w:rsidRPr="00697C03">
        <w:rPr>
          <w:rFonts w:hint="eastAsia"/>
        </w:rPr>
        <w:t>針對高中職中途離校學生常有家庭支持功能不足或脆弱家庭等問題，依「高級中等學校學生穩定就學及中途離校學生輔導機制實施要點」第10點後段規定：「其屬親職功能不彰者，得請家庭教育中心或民間相關團體，提供親職教育或諮詢」。惟目前個別化親職教育計畫係配合中央（終身教育司）政策試行，爰服務對象尚未涵蓋高級中等學校，有待後續調整計畫。期待後續109年新增高級中等學校學生家長列入本計畫服務對象。</w:t>
      </w:r>
    </w:p>
    <w:p w:rsidR="00406A77" w:rsidRPr="00697C03" w:rsidRDefault="00406A77" w:rsidP="00406A77">
      <w:pPr>
        <w:pStyle w:val="3"/>
        <w:kinsoku/>
        <w:ind w:left="1360" w:hanging="680"/>
        <w:rPr>
          <w:rFonts w:hAnsi="標楷體"/>
        </w:rPr>
      </w:pPr>
      <w:r w:rsidRPr="00697C03">
        <w:rPr>
          <w:rFonts w:hAnsi="標楷體" w:hint="eastAsia"/>
        </w:rPr>
        <w:t>綜上，依教育部組織法及分層負責明細表規定，教育部管理中央教育權限，由國民及學前教育署綜理各直轄市、縣（市）政府辦理高級中等教育之督導及協調、所轄高級中等學校行政之管理及督導，以及高級中等以下學校學生輔導工作之規劃、推動及督導；青年發展署則綜理主管未就學未就業青少年關懷扶助計畫之規劃及協調事項；而現行國民中小學中輟生制度係由國教署政策統籌，涉部分地方自治事項則由直轄市、縣市政府主管，惟針對國中畢業後未升學未就業不具學生身分，目前政策劃分係屬青年署所轄，又高級中等教育中離措施除直轄市政府轄區外，則隸屬國教署，惟青年署與縣市政府教育局端未見直接指揮協調關係，業務聯繫實屬不易；且關於矯正學校少年或自立少年部分則分屬法務部及衛生福利部所轄範圍，另青年就業及童工則係勞動部權責範圍，國民基本教育與國家發展之相關體系環環相扣、密不可分，跨機關部會、各縣市</w:t>
      </w:r>
      <w:r w:rsidRPr="00697C03">
        <w:rPr>
          <w:rFonts w:hAnsi="標楷體" w:hint="eastAsia"/>
        </w:rPr>
        <w:lastRenderedPageBreak/>
        <w:t>地方政府及教育部單位；爰整體措施應立基於教育機會均等、社會安全福利及經濟穩定等國家整體政策基礎下運行，顯難單獨於國家發展架構外具體實踐，惟就十二年國教整體廣義未升學未就業事項</w:t>
      </w:r>
      <w:r w:rsidR="0079236E" w:rsidRPr="00697C03">
        <w:rPr>
          <w:rFonts w:hAnsi="標楷體" w:hint="eastAsia"/>
        </w:rPr>
        <w:t>（</w:t>
      </w:r>
      <w:r w:rsidRPr="00697C03">
        <w:rPr>
          <w:rFonts w:hAnsi="標楷體" w:hint="eastAsia"/>
        </w:rPr>
        <w:t>含中輟、中離及雙青計畫</w:t>
      </w:r>
      <w:r w:rsidR="0079236E" w:rsidRPr="00697C03">
        <w:rPr>
          <w:rFonts w:hAnsi="標楷體" w:hint="eastAsia"/>
        </w:rPr>
        <w:t>）</w:t>
      </w:r>
      <w:r w:rsidRPr="00697C03">
        <w:rPr>
          <w:rFonts w:hAnsi="標楷體" w:hint="eastAsia"/>
        </w:rPr>
        <w:t>相關事宜，竟未有單一跨部會統合窗口，政出多門，肇致各機關單打獨鬥實施各項政策卻缺乏盤整、計畫目標、退場或永續規劃策略，資源力量分散或重置之現象處處可見；況本案履勘座談建議亦指出仍有權責不清且未見整合之情形，均不利於十二年國民教育資源配置及教育權保障，洵有未當。</w:t>
      </w:r>
    </w:p>
    <w:p w:rsidR="00E6167D" w:rsidRPr="00697C03" w:rsidRDefault="00E6167D" w:rsidP="00E6167D"/>
    <w:p w:rsidR="00406A77" w:rsidRPr="00697C03" w:rsidRDefault="00406A77" w:rsidP="00AD182A">
      <w:pPr>
        <w:pStyle w:val="2"/>
        <w:kinsoku/>
        <w:ind w:left="1043"/>
        <w:rPr>
          <w:b/>
        </w:rPr>
      </w:pPr>
      <w:bookmarkStart w:id="80" w:name="_Toc39250778"/>
      <w:bookmarkStart w:id="81" w:name="_Toc41382888"/>
      <w:r w:rsidRPr="00697C03">
        <w:rPr>
          <w:rFonts w:hint="eastAsia"/>
          <w:b/>
        </w:rPr>
        <w:t>102年-105年前行政院青年輔導委員會辦理「國中畢業未升學未就業青少年輔導計畫</w:t>
      </w:r>
      <w:r w:rsidR="0079236E" w:rsidRPr="00697C03">
        <w:rPr>
          <w:rFonts w:hint="eastAsia"/>
          <w:b/>
        </w:rPr>
        <w:t>（</w:t>
      </w:r>
      <w:r w:rsidRPr="00697C03">
        <w:rPr>
          <w:rFonts w:hint="eastAsia"/>
          <w:b/>
        </w:rPr>
        <w:t>少年On Light計畫</w:t>
      </w:r>
      <w:r w:rsidR="0079236E" w:rsidRPr="00697C03">
        <w:rPr>
          <w:rFonts w:hint="eastAsia"/>
          <w:b/>
        </w:rPr>
        <w:t>）</w:t>
      </w:r>
      <w:r w:rsidRPr="00697C03">
        <w:rPr>
          <w:rFonts w:hint="eastAsia"/>
          <w:b/>
        </w:rPr>
        <w:t>」，</w:t>
      </w:r>
      <w:r w:rsidR="004E3970" w:rsidRPr="00697C03">
        <w:rPr>
          <w:rFonts w:hint="eastAsia"/>
          <w:b/>
        </w:rPr>
        <w:t>組織改造後於</w:t>
      </w:r>
      <w:r w:rsidRPr="00697C03">
        <w:rPr>
          <w:rFonts w:hint="eastAsia"/>
          <w:b/>
        </w:rPr>
        <w:t>106年-108年則轉型為「未升學未就業青少年關懷扶助計畫」，續由教育部青年發展署辦理，計畫目標定為協助未升學未就業青少年適性轉銜就學、就業或參加職訓，以奠定未來生涯發展基礎；惟</w:t>
      </w:r>
      <w:r w:rsidR="00DF47ED" w:rsidRPr="00697C03">
        <w:rPr>
          <w:rFonts w:hint="eastAsia"/>
          <w:b/>
        </w:rPr>
        <w:t>然全國未升學未就業總數計871人，</w:t>
      </w:r>
      <w:r w:rsidRPr="00697C03">
        <w:rPr>
          <w:rFonts w:hint="eastAsia"/>
          <w:b/>
        </w:rPr>
        <w:t>該計畫106學年度輔導420人</w:t>
      </w:r>
      <w:r w:rsidR="0079236E" w:rsidRPr="00697C03">
        <w:rPr>
          <w:rFonts w:hint="eastAsia"/>
          <w:b/>
        </w:rPr>
        <w:t>（</w:t>
      </w:r>
      <w:r w:rsidRPr="00697C03">
        <w:rPr>
          <w:rFonts w:hint="eastAsia"/>
          <w:b/>
        </w:rPr>
        <w:t>或497人，係已含自辦縣市之輔導人數</w:t>
      </w:r>
      <w:r w:rsidR="0079236E" w:rsidRPr="00697C03">
        <w:rPr>
          <w:rFonts w:hint="eastAsia"/>
          <w:b/>
        </w:rPr>
        <w:t>）</w:t>
      </w:r>
      <w:r w:rsidR="00E823CD" w:rsidRPr="00697C03">
        <w:rPr>
          <w:rFonts w:hint="eastAsia"/>
          <w:b/>
        </w:rPr>
        <w:t>，107學年度國中畢業未升學未就業人數為1,084人，然</w:t>
      </w:r>
      <w:r w:rsidRPr="00697C03">
        <w:rPr>
          <w:rFonts w:hint="eastAsia"/>
          <w:b/>
        </w:rPr>
        <w:t>108年至11月底各縣市計349名輔導對象，整體計畫之能量</w:t>
      </w:r>
      <w:r w:rsidR="00D82AE4" w:rsidRPr="00697C03">
        <w:rPr>
          <w:rFonts w:hint="eastAsia"/>
          <w:b/>
        </w:rPr>
        <w:t>顯然</w:t>
      </w:r>
      <w:r w:rsidR="00EA1632" w:rsidRPr="00697C03">
        <w:rPr>
          <w:rFonts w:hint="eastAsia"/>
          <w:b/>
        </w:rPr>
        <w:t>績效</w:t>
      </w:r>
      <w:r w:rsidRPr="00697C03">
        <w:rPr>
          <w:rFonts w:hint="eastAsia"/>
          <w:b/>
        </w:rPr>
        <w:t>不足、成效不顯著及</w:t>
      </w:r>
      <w:r w:rsidR="00BC4C7E" w:rsidRPr="00697C03">
        <w:rPr>
          <w:rFonts w:hint="eastAsia"/>
          <w:b/>
        </w:rPr>
        <w:t>輔導</w:t>
      </w:r>
      <w:r w:rsidRPr="00697C03">
        <w:rPr>
          <w:rFonts w:hint="eastAsia"/>
          <w:b/>
        </w:rPr>
        <w:t>容量有限</w:t>
      </w:r>
      <w:r w:rsidR="00BF5C04" w:rsidRPr="00697C03">
        <w:rPr>
          <w:rFonts w:hint="eastAsia"/>
          <w:b/>
        </w:rPr>
        <w:t>，且</w:t>
      </w:r>
      <w:r w:rsidR="00697D37" w:rsidRPr="00697C03">
        <w:rPr>
          <w:rFonts w:hAnsi="標楷體" w:hint="eastAsia"/>
          <w:b/>
          <w:szCs w:val="52"/>
        </w:rPr>
        <w:t>歷年累積</w:t>
      </w:r>
      <w:r w:rsidR="001641A3" w:rsidRPr="00697C03">
        <w:rPr>
          <w:rFonts w:hAnsi="標楷體" w:hint="eastAsia"/>
          <w:b/>
          <w:szCs w:val="52"/>
        </w:rPr>
        <w:t>為數眾多</w:t>
      </w:r>
      <w:r w:rsidR="00BF5C04" w:rsidRPr="00697C03">
        <w:rPr>
          <w:rFonts w:hint="eastAsia"/>
          <w:b/>
        </w:rPr>
        <w:t>未</w:t>
      </w:r>
      <w:r w:rsidR="001641A3" w:rsidRPr="00697C03">
        <w:rPr>
          <w:rFonts w:hint="eastAsia"/>
          <w:b/>
        </w:rPr>
        <w:t>能</w:t>
      </w:r>
      <w:r w:rsidR="00AD182A" w:rsidRPr="00697C03">
        <w:rPr>
          <w:rFonts w:hint="eastAsia"/>
          <w:b/>
        </w:rPr>
        <w:t>順利</w:t>
      </w:r>
      <w:r w:rsidR="003D207C" w:rsidRPr="00697C03">
        <w:rPr>
          <w:rFonts w:hint="eastAsia"/>
          <w:b/>
        </w:rPr>
        <w:t>銜接</w:t>
      </w:r>
      <w:r w:rsidR="00BF5C04" w:rsidRPr="00697C03">
        <w:rPr>
          <w:rFonts w:hint="eastAsia"/>
          <w:b/>
        </w:rPr>
        <w:t>升學</w:t>
      </w:r>
      <w:r w:rsidR="00AD182A" w:rsidRPr="00697C03">
        <w:rPr>
          <w:rFonts w:hint="eastAsia"/>
          <w:b/>
        </w:rPr>
        <w:t>或</w:t>
      </w:r>
      <w:r w:rsidR="00BF5C04" w:rsidRPr="00697C03">
        <w:rPr>
          <w:rFonts w:hint="eastAsia"/>
          <w:b/>
        </w:rPr>
        <w:t>就業之青少年</w:t>
      </w:r>
      <w:r w:rsidR="00132E88" w:rsidRPr="00697C03">
        <w:rPr>
          <w:rFonts w:hint="eastAsia"/>
          <w:b/>
        </w:rPr>
        <w:t>，</w:t>
      </w:r>
      <w:r w:rsidR="0084533B" w:rsidRPr="00697C03">
        <w:rPr>
          <w:rFonts w:hint="eastAsia"/>
          <w:b/>
        </w:rPr>
        <w:t>如</w:t>
      </w:r>
      <w:r w:rsidR="0084533B" w:rsidRPr="00697C03">
        <w:rPr>
          <w:rFonts w:hAnsi="標楷體" w:hint="eastAsia"/>
          <w:b/>
          <w:szCs w:val="52"/>
        </w:rPr>
        <w:t>長期定向不明，恐</w:t>
      </w:r>
      <w:r w:rsidR="00DC7100" w:rsidRPr="00697C03">
        <w:rPr>
          <w:rFonts w:hAnsi="標楷體" w:hint="eastAsia"/>
          <w:b/>
          <w:szCs w:val="52"/>
        </w:rPr>
        <w:t>將</w:t>
      </w:r>
      <w:r w:rsidR="00B33684" w:rsidRPr="00697C03">
        <w:rPr>
          <w:rFonts w:hAnsi="標楷體" w:hint="eastAsia"/>
          <w:b/>
          <w:szCs w:val="52"/>
        </w:rPr>
        <w:t>衍生</w:t>
      </w:r>
      <w:r w:rsidR="007F1CB0" w:rsidRPr="00697C03">
        <w:rPr>
          <w:rFonts w:hAnsi="標楷體" w:hint="eastAsia"/>
          <w:b/>
          <w:szCs w:val="52"/>
        </w:rPr>
        <w:t>嚴重</w:t>
      </w:r>
      <w:r w:rsidR="00B33684" w:rsidRPr="00697C03">
        <w:rPr>
          <w:rFonts w:hAnsi="標楷體" w:hint="eastAsia"/>
          <w:b/>
          <w:szCs w:val="52"/>
        </w:rPr>
        <w:t>社會問題，抑或教育及</w:t>
      </w:r>
      <w:r w:rsidR="000909B9" w:rsidRPr="00697C03">
        <w:rPr>
          <w:rFonts w:hAnsi="標楷體" w:hint="eastAsia"/>
          <w:b/>
          <w:szCs w:val="52"/>
        </w:rPr>
        <w:t>人力資源</w:t>
      </w:r>
      <w:r w:rsidR="00B33684" w:rsidRPr="00697C03">
        <w:rPr>
          <w:rFonts w:hAnsi="標楷體" w:hint="eastAsia"/>
          <w:b/>
          <w:szCs w:val="52"/>
        </w:rPr>
        <w:t>之</w:t>
      </w:r>
      <w:r w:rsidR="00AD182A" w:rsidRPr="00697C03">
        <w:rPr>
          <w:rFonts w:hAnsi="標楷體" w:hint="eastAsia"/>
          <w:b/>
          <w:szCs w:val="52"/>
        </w:rPr>
        <w:t>浪費</w:t>
      </w:r>
      <w:r w:rsidR="00F72429" w:rsidRPr="00697C03">
        <w:rPr>
          <w:rFonts w:hAnsi="標楷體" w:hint="eastAsia"/>
          <w:b/>
          <w:szCs w:val="52"/>
        </w:rPr>
        <w:t>，</w:t>
      </w:r>
      <w:r w:rsidR="00CE2A34" w:rsidRPr="00697C03">
        <w:rPr>
          <w:rFonts w:hint="eastAsia"/>
          <w:b/>
        </w:rPr>
        <w:t>爰</w:t>
      </w:r>
      <w:r w:rsidR="00BC6050" w:rsidRPr="00697C03">
        <w:rPr>
          <w:rFonts w:hint="eastAsia"/>
          <w:b/>
        </w:rPr>
        <w:t>後續均待教育部積極盤點</w:t>
      </w:r>
      <w:r w:rsidR="004053EC" w:rsidRPr="00697C03">
        <w:rPr>
          <w:rFonts w:hint="eastAsia"/>
          <w:b/>
        </w:rPr>
        <w:t>現有資源</w:t>
      </w:r>
      <w:r w:rsidR="00BC6050" w:rsidRPr="00697C03">
        <w:rPr>
          <w:rFonts w:hint="eastAsia"/>
          <w:b/>
        </w:rPr>
        <w:t>並檢討</w:t>
      </w:r>
      <w:r w:rsidR="006A12E2" w:rsidRPr="00697C03">
        <w:rPr>
          <w:rFonts w:hint="eastAsia"/>
          <w:b/>
        </w:rPr>
        <w:t>該</w:t>
      </w:r>
      <w:r w:rsidRPr="00697C03">
        <w:rPr>
          <w:rFonts w:hint="eastAsia"/>
          <w:b/>
        </w:rPr>
        <w:t>計畫</w:t>
      </w:r>
      <w:r w:rsidR="00BC6050" w:rsidRPr="00697C03">
        <w:rPr>
          <w:rFonts w:hint="eastAsia"/>
          <w:b/>
        </w:rPr>
        <w:t>歷來</w:t>
      </w:r>
      <w:r w:rsidRPr="00697C03">
        <w:rPr>
          <w:rFonts w:hint="eastAsia"/>
          <w:b/>
        </w:rPr>
        <w:t>實施成效</w:t>
      </w:r>
      <w:r w:rsidR="00852E73" w:rsidRPr="00697C03">
        <w:rPr>
          <w:rFonts w:hint="eastAsia"/>
          <w:b/>
        </w:rPr>
        <w:t>及現況問題</w:t>
      </w:r>
      <w:r w:rsidRPr="00697C03">
        <w:rPr>
          <w:rFonts w:hint="eastAsia"/>
          <w:b/>
        </w:rPr>
        <w:t>，併予研議改善</w:t>
      </w:r>
      <w:r w:rsidR="00CE710A" w:rsidRPr="00697C03">
        <w:rPr>
          <w:rFonts w:hint="eastAsia"/>
          <w:b/>
        </w:rPr>
        <w:t>該計畫與整體十二年國教中輟及中離生機制之分工及</w:t>
      </w:r>
      <w:r w:rsidRPr="00697C03">
        <w:rPr>
          <w:rFonts w:hint="eastAsia"/>
          <w:b/>
        </w:rPr>
        <w:t>整合問題</w:t>
      </w:r>
      <w:bookmarkEnd w:id="76"/>
      <w:bookmarkEnd w:id="80"/>
      <w:bookmarkEnd w:id="81"/>
      <w:r w:rsidRPr="00697C03">
        <w:rPr>
          <w:b/>
        </w:rPr>
        <w:t xml:space="preserve"> </w:t>
      </w:r>
    </w:p>
    <w:p w:rsidR="00406A77" w:rsidRPr="00697C03" w:rsidRDefault="00406A77" w:rsidP="00406A77">
      <w:pPr>
        <w:pStyle w:val="3"/>
        <w:kinsoku/>
        <w:ind w:left="1360" w:hanging="680"/>
        <w:rPr>
          <w:rFonts w:hAnsi="標楷體"/>
        </w:rPr>
      </w:pPr>
      <w:r w:rsidRPr="00697C03">
        <w:rPr>
          <w:rFonts w:hAnsi="標楷體" w:hint="eastAsia"/>
        </w:rPr>
        <w:t>按兒童及少年福利與權益保障法第7條規定</w:t>
      </w:r>
      <w:r w:rsidR="004A448C" w:rsidRPr="00697C03">
        <w:rPr>
          <w:rFonts w:hAnsi="標楷體" w:hint="eastAsia"/>
        </w:rPr>
        <w:t>，</w:t>
      </w:r>
      <w:r w:rsidR="00D57932" w:rsidRPr="00697C03">
        <w:rPr>
          <w:rFonts w:hAnsi="標楷體" w:hint="eastAsia"/>
        </w:rPr>
        <w:t>「</w:t>
      </w:r>
      <w:r w:rsidRPr="00697C03">
        <w:rPr>
          <w:rFonts w:hAnsi="標楷體" w:hint="eastAsia"/>
        </w:rPr>
        <w:t>勞</w:t>
      </w:r>
      <w:r w:rsidRPr="00697C03">
        <w:rPr>
          <w:rFonts w:hAnsi="標楷體" w:hint="eastAsia"/>
        </w:rPr>
        <w:lastRenderedPageBreak/>
        <w:t>工主管機關：主管未滿15歲之人勞動條件維護與年滿15歲或國民中學畢</w:t>
      </w:r>
      <w:r w:rsidR="006E07E4" w:rsidRPr="00697C03">
        <w:rPr>
          <w:rFonts w:hAnsi="標楷體" w:hint="eastAsia"/>
        </w:rPr>
        <w:t>業少年之職業訓練、就業準備、就業服務及勞動條件維護等相關事宜</w:t>
      </w:r>
      <w:r w:rsidR="00D57932" w:rsidRPr="00697C03">
        <w:rPr>
          <w:rFonts w:hAnsi="標楷體" w:hint="eastAsia"/>
        </w:rPr>
        <w:t>」</w:t>
      </w:r>
      <w:r w:rsidR="006E07E4" w:rsidRPr="00697C03">
        <w:rPr>
          <w:rFonts w:hAnsi="標楷體" w:hint="eastAsia"/>
        </w:rPr>
        <w:t>。</w:t>
      </w:r>
      <w:r w:rsidR="009451C6" w:rsidRPr="00697C03">
        <w:rPr>
          <w:rFonts w:hAnsi="標楷體" w:hint="eastAsia"/>
        </w:rPr>
        <w:t>又</w:t>
      </w:r>
      <w:r w:rsidRPr="00697C03">
        <w:rPr>
          <w:rFonts w:hAnsi="標楷體" w:hint="eastAsia"/>
        </w:rPr>
        <w:t>同法第34條規定</w:t>
      </w:r>
      <w:r w:rsidR="005467C1" w:rsidRPr="00697C03">
        <w:rPr>
          <w:rFonts w:hAnsi="標楷體" w:hint="eastAsia"/>
        </w:rPr>
        <w:t>，</w:t>
      </w:r>
      <w:r w:rsidR="00DB71EB" w:rsidRPr="00697C03">
        <w:rPr>
          <w:rFonts w:hAnsi="標楷體" w:hint="eastAsia"/>
        </w:rPr>
        <w:t>「</w:t>
      </w:r>
      <w:r w:rsidRPr="00697C03">
        <w:rPr>
          <w:rFonts w:hAnsi="標楷體" w:hint="eastAsia"/>
        </w:rPr>
        <w:t>少年年滿15歲或國民中學畢業，有進修或就業意願者，教育、勞工主管機關應視其性向及志願，輔導其進修、接受職業訓練或就業。教育主管機關應依前項規定辦理並督導高級中等以下學校辦理職涯教育、勞動權益及職業安全教育。勞工主管機關應依第一項規定提供職業訓練、就業準備、職場體驗、就業媒合、支持性就業安置及其他就業服務措施。」</w:t>
      </w:r>
      <w:r w:rsidR="009451C6" w:rsidRPr="00697C03">
        <w:rPr>
          <w:rFonts w:hAnsi="標楷體" w:hint="eastAsia"/>
        </w:rPr>
        <w:t>復按</w:t>
      </w:r>
      <w:r w:rsidRPr="00697C03">
        <w:rPr>
          <w:rFonts w:hAnsi="標楷體" w:hint="eastAsia"/>
        </w:rPr>
        <w:t>同法第36條規定</w:t>
      </w:r>
      <w:r w:rsidR="009451C6" w:rsidRPr="00697C03">
        <w:rPr>
          <w:rFonts w:hAnsi="標楷體" w:hint="eastAsia"/>
        </w:rPr>
        <w:t>，</w:t>
      </w:r>
      <w:r w:rsidRPr="00697C03">
        <w:rPr>
          <w:rFonts w:hAnsi="標楷體" w:hint="eastAsia"/>
        </w:rPr>
        <w:t>「勞工主管機關對於缺乏技術及學歷，而有就業需求之少年，應整合教育及社政主管機關，提供個別化就業服務措施。」及同法第74</w:t>
      </w:r>
      <w:r w:rsidR="000A5F58" w:rsidRPr="00697C03">
        <w:rPr>
          <w:rFonts w:hAnsi="標楷體" w:hint="eastAsia"/>
        </w:rPr>
        <w:t>條規定，</w:t>
      </w:r>
      <w:r w:rsidRPr="00697C03">
        <w:rPr>
          <w:rFonts w:hAnsi="標楷體" w:hint="eastAsia"/>
        </w:rPr>
        <w:t>「法務主管機關應針對矯正階段之兒童及少年，依其意願，整合各主管機關提供就學輔導、職業訓練、就業服務或其他相關服務與措施，以協助其回歸家庭及社區。」而在實務推動上，對於年滿15歲或國民中學畢業少年，生涯</w:t>
      </w:r>
      <w:r w:rsidR="0079236E" w:rsidRPr="00697C03">
        <w:rPr>
          <w:rFonts w:hAnsi="標楷體" w:hint="eastAsia"/>
        </w:rPr>
        <w:t>（</w:t>
      </w:r>
      <w:r w:rsidRPr="00697C03">
        <w:rPr>
          <w:rFonts w:hAnsi="標楷體" w:hint="eastAsia"/>
        </w:rPr>
        <w:t>含升學</w:t>
      </w:r>
      <w:r w:rsidR="0079236E" w:rsidRPr="00697C03">
        <w:rPr>
          <w:rFonts w:hAnsi="標楷體" w:hint="eastAsia"/>
        </w:rPr>
        <w:t>）</w:t>
      </w:r>
      <w:r w:rsidRPr="00697C03">
        <w:rPr>
          <w:rFonts w:hAnsi="標楷體" w:hint="eastAsia"/>
        </w:rPr>
        <w:t>輔導由國中、高中學校端負責；就業培訓由勞政單位主政，並由勞政單位整合教育及社政機關；有矯正情事的少年，則由法務部整合就學、就業及職訓服務措施，爰針對未升學未就業青少年之輔導，教育部雖認尚無明確法源及主政單位，惟依據十二年國民教育計畫載明</w:t>
      </w:r>
      <w:r w:rsidRPr="00697C03">
        <w:rPr>
          <w:rFonts w:hAnsi="標楷體" w:hint="eastAsia"/>
          <w:szCs w:val="32"/>
        </w:rPr>
        <w:t>「3-4國中小學生輟學預防與復學輔導方案」及「3-5國中畢業未升學未就業青少年職能培訓輔導方案」等</w:t>
      </w:r>
      <w:r w:rsidRPr="00697C03">
        <w:rPr>
          <w:rFonts w:hAnsi="標楷體" w:hint="eastAsia"/>
        </w:rPr>
        <w:t>內容，仍應由教育部主政辦理。</w:t>
      </w:r>
    </w:p>
    <w:p w:rsidR="00406A77" w:rsidRPr="00697C03" w:rsidRDefault="00406A77" w:rsidP="00406A77">
      <w:pPr>
        <w:pStyle w:val="3"/>
        <w:kinsoku/>
        <w:ind w:left="1360" w:hanging="680"/>
        <w:rPr>
          <w:rFonts w:hAnsi="標楷體"/>
        </w:rPr>
      </w:pPr>
      <w:r w:rsidRPr="00697C03">
        <w:rPr>
          <w:rFonts w:hAnsi="標楷體" w:hint="eastAsia"/>
        </w:rPr>
        <w:t>經查，過去於組織改造前，針對國中畢業後未升學未就業學生，係由前行政院青年輔導委員會</w:t>
      </w:r>
      <w:r w:rsidR="0079236E" w:rsidRPr="00697C03">
        <w:rPr>
          <w:rFonts w:hAnsi="標楷體" w:hint="eastAsia"/>
        </w:rPr>
        <w:t>（</w:t>
      </w:r>
      <w:r w:rsidRPr="00697C03">
        <w:rPr>
          <w:rFonts w:hAnsi="標楷體" w:hint="eastAsia"/>
        </w:rPr>
        <w:t>下稱青輔會</w:t>
      </w:r>
      <w:r w:rsidR="0079236E" w:rsidRPr="00697C03">
        <w:rPr>
          <w:rFonts w:hAnsi="標楷體" w:hint="eastAsia"/>
        </w:rPr>
        <w:t>）</w:t>
      </w:r>
      <w:r w:rsidRPr="00697C03">
        <w:rPr>
          <w:rFonts w:hAnsi="標楷體" w:hint="eastAsia"/>
        </w:rPr>
        <w:t>辦理「國中畢業未升學未就業青少年輔導</w:t>
      </w:r>
      <w:r w:rsidRPr="00697C03">
        <w:rPr>
          <w:rFonts w:hAnsi="標楷體" w:hint="eastAsia"/>
        </w:rPr>
        <w:lastRenderedPageBreak/>
        <w:t>計畫</w:t>
      </w:r>
      <w:r w:rsidR="0079236E" w:rsidRPr="00697C03">
        <w:rPr>
          <w:rFonts w:hAnsi="標楷體" w:hint="eastAsia"/>
        </w:rPr>
        <w:t>（</w:t>
      </w:r>
      <w:r w:rsidRPr="00697C03">
        <w:rPr>
          <w:rFonts w:hAnsi="標楷體" w:hint="eastAsia"/>
        </w:rPr>
        <w:t>簡稱「少年On Light計畫」</w:t>
      </w:r>
      <w:r w:rsidR="0079236E" w:rsidRPr="00697C03">
        <w:rPr>
          <w:rFonts w:hAnsi="標楷體" w:hint="eastAsia"/>
        </w:rPr>
        <w:t>）</w:t>
      </w:r>
      <w:r w:rsidRPr="00697C03">
        <w:rPr>
          <w:rFonts w:hAnsi="標楷體" w:hint="eastAsia"/>
        </w:rPr>
        <w:t>」，以培訓課程、工作體驗及職場見習輔以全程輔導員陪伴，協助其探索生涯方向，回流教育體系就學，或順利就業。復依教育部十二年國教基本計畫100年核定版載明</w:t>
      </w:r>
      <w:r w:rsidRPr="00697C03">
        <w:rPr>
          <w:rStyle w:val="aff0"/>
          <w:rFonts w:hAnsi="標楷體"/>
        </w:rPr>
        <w:footnoteReference w:id="26"/>
      </w:r>
      <w:r w:rsidRPr="00697C03">
        <w:rPr>
          <w:rFonts w:hAnsi="標楷體" w:hint="eastAsia"/>
        </w:rPr>
        <w:t>，針對</w:t>
      </w:r>
      <w:r w:rsidRPr="00697C03">
        <w:rPr>
          <w:rFonts w:hAnsi="標楷體" w:hint="eastAsia"/>
          <w:szCs w:val="32"/>
        </w:rPr>
        <w:t>「3-4國中小學生輟學預防與復學輔導方案」及「3-5國中畢業未升學未就業青少年職能培十二年國教訓輔導方案」等，分別由教育部訓育委員會</w:t>
      </w:r>
      <w:r w:rsidR="0079236E" w:rsidRPr="00697C03">
        <w:rPr>
          <w:rFonts w:hAnsi="標楷體" w:hint="eastAsia"/>
          <w:szCs w:val="32"/>
        </w:rPr>
        <w:t>（</w:t>
      </w:r>
      <w:r w:rsidRPr="00697C03">
        <w:rPr>
          <w:rFonts w:hAnsi="標楷體" w:hint="eastAsia"/>
          <w:szCs w:val="32"/>
        </w:rPr>
        <w:t>現由國民及學前教育署主政）、青輔會</w:t>
      </w:r>
      <w:r w:rsidR="0079236E" w:rsidRPr="00697C03">
        <w:rPr>
          <w:rFonts w:hAnsi="標楷體" w:hint="eastAsia"/>
          <w:szCs w:val="32"/>
        </w:rPr>
        <w:t>（</w:t>
      </w:r>
      <w:r w:rsidRPr="00697C03">
        <w:rPr>
          <w:rFonts w:hAnsi="標楷體" w:hint="eastAsia"/>
          <w:szCs w:val="32"/>
        </w:rPr>
        <w:t>現青年發展署主政</w:t>
      </w:r>
      <w:r w:rsidR="0079236E" w:rsidRPr="00697C03">
        <w:rPr>
          <w:rFonts w:hAnsi="標楷體" w:hint="eastAsia"/>
          <w:szCs w:val="32"/>
        </w:rPr>
        <w:t>）</w:t>
      </w:r>
      <w:r w:rsidRPr="00697C03">
        <w:rPr>
          <w:rFonts w:hAnsi="標楷體" w:hint="eastAsia"/>
          <w:szCs w:val="32"/>
        </w:rPr>
        <w:t>辦理之，相關配套措施之主政機關詳如前述。爰</w:t>
      </w:r>
      <w:r w:rsidRPr="00697C03">
        <w:rPr>
          <w:rFonts w:hAnsi="標楷體" w:hint="eastAsia"/>
        </w:rPr>
        <w:t>102年組織改造後，青輔會原有青年就業相關業務移由勞動部主政，該計畫仍隨組織改造續由教育部青年發展署辦理，且自106年轉型為「未升學未就業青少年關懷扶助計畫」，首次與地方政府教育局</w:t>
      </w:r>
      <w:r w:rsidR="0079236E" w:rsidRPr="00697C03">
        <w:rPr>
          <w:rFonts w:hAnsi="標楷體" w:hint="eastAsia"/>
        </w:rPr>
        <w:t>（</w:t>
      </w:r>
      <w:r w:rsidRPr="00697C03">
        <w:rPr>
          <w:rFonts w:hAnsi="標楷體" w:hint="eastAsia"/>
        </w:rPr>
        <w:t>處</w:t>
      </w:r>
      <w:r w:rsidR="0079236E" w:rsidRPr="00697C03">
        <w:rPr>
          <w:rFonts w:hAnsi="標楷體" w:hint="eastAsia"/>
        </w:rPr>
        <w:t>）</w:t>
      </w:r>
      <w:r w:rsidRPr="00697C03">
        <w:rPr>
          <w:rFonts w:hAnsi="標楷體" w:hint="eastAsia"/>
        </w:rPr>
        <w:t>合作，嘗試用前端協尋及輔導為主，後端就業服務由專業勞政機關負責。</w:t>
      </w:r>
    </w:p>
    <w:p w:rsidR="00406A77" w:rsidRPr="00697C03" w:rsidRDefault="00406A77" w:rsidP="004076ED">
      <w:pPr>
        <w:pStyle w:val="3"/>
        <w:kinsoku/>
        <w:ind w:left="1360" w:hanging="680"/>
        <w:rPr>
          <w:rFonts w:hAnsi="標楷體"/>
        </w:rPr>
      </w:pPr>
      <w:r w:rsidRPr="00697C03">
        <w:rPr>
          <w:rFonts w:hAnsi="標楷體" w:hint="eastAsia"/>
        </w:rPr>
        <w:t>經查，十二年國教實施後，依教育部國中畢業未升學未就業動向調查分析顯示，自103學年度至107學年度歷年各縣市國中畢業生未升學未就業人數分別為</w:t>
      </w:r>
      <w:r w:rsidRPr="00697C03">
        <w:rPr>
          <w:rFonts w:hAnsi="標楷體"/>
        </w:rPr>
        <w:t>1,279</w:t>
      </w:r>
      <w:r w:rsidR="00C92805" w:rsidRPr="00697C03">
        <w:rPr>
          <w:rFonts w:hAnsi="標楷體" w:hint="eastAsia"/>
        </w:rPr>
        <w:t>人</w:t>
      </w:r>
      <w:r w:rsidRPr="00697C03">
        <w:rPr>
          <w:rFonts w:hAnsi="標楷體" w:hint="eastAsia"/>
        </w:rPr>
        <w:t>、</w:t>
      </w:r>
      <w:r w:rsidRPr="00697C03">
        <w:rPr>
          <w:rFonts w:hAnsi="標楷體"/>
        </w:rPr>
        <w:t>1,203</w:t>
      </w:r>
      <w:r w:rsidR="00C92805" w:rsidRPr="00697C03">
        <w:rPr>
          <w:rFonts w:hAnsi="標楷體" w:hint="eastAsia"/>
        </w:rPr>
        <w:t>人</w:t>
      </w:r>
      <w:r w:rsidRPr="00697C03">
        <w:rPr>
          <w:rFonts w:hAnsi="標楷體" w:hint="eastAsia"/>
        </w:rPr>
        <w:t>、</w:t>
      </w:r>
      <w:r w:rsidRPr="00697C03">
        <w:rPr>
          <w:rFonts w:hAnsi="標楷體"/>
        </w:rPr>
        <w:t>1,095</w:t>
      </w:r>
      <w:r w:rsidR="00C92805" w:rsidRPr="00697C03">
        <w:rPr>
          <w:rFonts w:hAnsi="標楷體" w:hint="eastAsia"/>
        </w:rPr>
        <w:t>人</w:t>
      </w:r>
      <w:r w:rsidRPr="00697C03">
        <w:rPr>
          <w:rFonts w:hAnsi="標楷體" w:hint="eastAsia"/>
        </w:rPr>
        <w:t>、</w:t>
      </w:r>
      <w:r w:rsidRPr="00697C03">
        <w:rPr>
          <w:rFonts w:hAnsi="標楷體"/>
        </w:rPr>
        <w:t>871</w:t>
      </w:r>
      <w:r w:rsidR="00C92805" w:rsidRPr="00697C03">
        <w:rPr>
          <w:rFonts w:hAnsi="標楷體" w:hint="eastAsia"/>
        </w:rPr>
        <w:t>人</w:t>
      </w:r>
      <w:r w:rsidRPr="00697C03">
        <w:rPr>
          <w:rFonts w:hAnsi="標楷體" w:hint="eastAsia"/>
        </w:rPr>
        <w:t>及</w:t>
      </w:r>
      <w:r w:rsidRPr="00697C03">
        <w:rPr>
          <w:rFonts w:hAnsi="標楷體"/>
        </w:rPr>
        <w:t>1,084</w:t>
      </w:r>
      <w:r w:rsidRPr="00697C03">
        <w:rPr>
          <w:rFonts w:hAnsi="標楷體" w:hint="eastAsia"/>
        </w:rPr>
        <w:t>人，其人數雖不若整體中途離校學生之數</w:t>
      </w:r>
      <w:r w:rsidR="004D4F2D" w:rsidRPr="00697C03">
        <w:rPr>
          <w:rFonts w:hAnsi="標楷體" w:hint="eastAsia"/>
        </w:rPr>
        <w:t>高達2萬人上下之多</w:t>
      </w:r>
      <w:r w:rsidRPr="00697C03">
        <w:rPr>
          <w:rFonts w:hAnsi="標楷體" w:hint="eastAsia"/>
        </w:rPr>
        <w:t>，惟</w:t>
      </w:r>
      <w:r w:rsidR="004D4F2D" w:rsidRPr="00697C03">
        <w:rPr>
          <w:rFonts w:hAnsi="標楷體" w:hint="eastAsia"/>
        </w:rPr>
        <w:t>仍</w:t>
      </w:r>
      <w:r w:rsidRPr="00697C03">
        <w:rPr>
          <w:rFonts w:hAnsi="標楷體" w:hint="eastAsia"/>
        </w:rPr>
        <w:t>顯示十二年國教實施迄今，歷年</w:t>
      </w:r>
      <w:r w:rsidR="00BB0D6B" w:rsidRPr="00697C03">
        <w:rPr>
          <w:rFonts w:hAnsi="標楷體" w:hint="eastAsia"/>
        </w:rPr>
        <w:t>累積</w:t>
      </w:r>
      <w:r w:rsidRPr="00697C03">
        <w:rPr>
          <w:rFonts w:hAnsi="標楷體" w:hint="eastAsia"/>
        </w:rPr>
        <w:t>恐有</w:t>
      </w:r>
      <w:r w:rsidR="00BB0D6B" w:rsidRPr="00697C03">
        <w:rPr>
          <w:rFonts w:hAnsi="標楷體" w:hint="eastAsia"/>
        </w:rPr>
        <w:t>相當人數因</w:t>
      </w:r>
      <w:r w:rsidR="00A60F2C" w:rsidRPr="00697C03">
        <w:rPr>
          <w:rFonts w:hAnsi="標楷體" w:hint="eastAsia"/>
        </w:rPr>
        <w:t>故</w:t>
      </w:r>
      <w:r w:rsidR="00BB0D6B" w:rsidRPr="00697C03">
        <w:rPr>
          <w:rFonts w:hAnsi="標楷體" w:hint="eastAsia"/>
        </w:rPr>
        <w:t>未能完成十二年國教</w:t>
      </w:r>
      <w:r w:rsidR="005870F1" w:rsidRPr="00697C03">
        <w:rPr>
          <w:rFonts w:hAnsi="標楷體" w:hint="eastAsia"/>
        </w:rPr>
        <w:t>亦未能就業之</w:t>
      </w:r>
      <w:r w:rsidRPr="00697C03">
        <w:rPr>
          <w:rFonts w:hAnsi="標楷體" w:hint="eastAsia"/>
        </w:rPr>
        <w:t>漏接情形</w:t>
      </w:r>
      <w:r w:rsidR="0029762B" w:rsidRPr="00697C03">
        <w:rPr>
          <w:rFonts w:hAnsi="標楷體" w:hint="eastAsia"/>
        </w:rPr>
        <w:t>，</w:t>
      </w:r>
      <w:r w:rsidR="005870F1" w:rsidRPr="00697C03">
        <w:rPr>
          <w:rFonts w:hAnsi="標楷體" w:hint="eastAsia"/>
        </w:rPr>
        <w:t>此類</w:t>
      </w:r>
      <w:r w:rsidR="0029762B" w:rsidRPr="00697C03">
        <w:rPr>
          <w:rFonts w:hAnsi="標楷體" w:hint="eastAsia"/>
        </w:rPr>
        <w:t>未能順利銜接教育或就業之青少年如長期處於不定向狀態，亦恐衍生社會問題或教育及人力資源之浪費</w:t>
      </w:r>
      <w:r w:rsidRPr="00697C03">
        <w:rPr>
          <w:rFonts w:hAnsi="標楷體" w:hint="eastAsia"/>
        </w:rPr>
        <w:t>。相關原因分布及分析情形如下表所示。</w:t>
      </w:r>
    </w:p>
    <w:p w:rsidR="00406A77" w:rsidRPr="00697C03" w:rsidRDefault="00406A77" w:rsidP="00406A77">
      <w:pPr>
        <w:pStyle w:val="a3"/>
        <w:jc w:val="left"/>
        <w:rPr>
          <w:rFonts w:hAnsi="標楷體"/>
        </w:rPr>
      </w:pPr>
      <w:r w:rsidRPr="00697C03">
        <w:rPr>
          <w:rFonts w:hAnsi="標楷體" w:hint="eastAsia"/>
          <w:b/>
        </w:rPr>
        <w:lastRenderedPageBreak/>
        <w:t>103-107學年度國中畢業生未升學未就業因素統計情形</w:t>
      </w:r>
      <w:r w:rsidRPr="00697C03">
        <w:rPr>
          <w:rFonts w:hAnsi="標楷體" w:hint="eastAsia"/>
        </w:rPr>
        <w:t xml:space="preserve">   </w:t>
      </w:r>
      <w:r w:rsidRPr="00697C03">
        <w:rPr>
          <w:rFonts w:hAnsi="標楷體" w:hint="eastAsia"/>
          <w:sz w:val="24"/>
          <w:szCs w:val="24"/>
        </w:rPr>
        <w:t>單位：人</w:t>
      </w:r>
      <w:r w:rsidRPr="00697C03">
        <w:rPr>
          <w:rFonts w:hAnsi="標楷體" w:hint="eastAsia"/>
        </w:rPr>
        <w:t xml:space="preserve"> </w:t>
      </w:r>
    </w:p>
    <w:tbl>
      <w:tblPr>
        <w:tblStyle w:val="af6"/>
        <w:tblW w:w="10207" w:type="dxa"/>
        <w:jc w:val="center"/>
        <w:tblLook w:val="0420" w:firstRow="1" w:lastRow="0" w:firstColumn="0" w:lastColumn="0" w:noHBand="0" w:noVBand="1"/>
      </w:tblPr>
      <w:tblGrid>
        <w:gridCol w:w="1012"/>
        <w:gridCol w:w="1127"/>
        <w:gridCol w:w="1014"/>
        <w:gridCol w:w="742"/>
        <w:gridCol w:w="1068"/>
        <w:gridCol w:w="506"/>
        <w:gridCol w:w="751"/>
        <w:gridCol w:w="751"/>
        <w:gridCol w:w="823"/>
        <w:gridCol w:w="607"/>
        <w:gridCol w:w="684"/>
        <w:gridCol w:w="1122"/>
      </w:tblGrid>
      <w:tr w:rsidR="00697C03" w:rsidRPr="00697C03" w:rsidTr="00D25E46">
        <w:trPr>
          <w:trHeight w:val="584"/>
          <w:tblHeader/>
          <w:jc w:val="center"/>
        </w:trPr>
        <w:tc>
          <w:tcPr>
            <w:tcW w:w="1021" w:type="dxa"/>
            <w:shd w:val="clear" w:color="auto" w:fill="E7E6E6" w:themeFill="background2"/>
            <w:vAlign w:val="center"/>
            <w:hideMark/>
          </w:tcPr>
          <w:p w:rsidR="00406A77" w:rsidRPr="00697C03" w:rsidRDefault="00406A77" w:rsidP="00BF41DE">
            <w:pPr>
              <w:jc w:val="center"/>
              <w:rPr>
                <w:rFonts w:ascii="標楷體" w:hAnsi="標楷體"/>
                <w:sz w:val="24"/>
                <w:szCs w:val="24"/>
              </w:rPr>
            </w:pPr>
            <w:r w:rsidRPr="00697C03">
              <w:rPr>
                <w:rFonts w:ascii="標楷體" w:hAnsi="標楷體" w:hint="eastAsia"/>
                <w:b/>
                <w:bCs/>
                <w:sz w:val="24"/>
                <w:szCs w:val="24"/>
              </w:rPr>
              <w:t>類別學/年度</w:t>
            </w:r>
          </w:p>
        </w:tc>
        <w:tc>
          <w:tcPr>
            <w:tcW w:w="1067" w:type="dxa"/>
            <w:shd w:val="clear" w:color="auto" w:fill="E7E6E6" w:themeFill="background2"/>
            <w:vAlign w:val="center"/>
            <w:hideMark/>
          </w:tcPr>
          <w:p w:rsidR="00406A77" w:rsidRPr="00697C03" w:rsidRDefault="00406A77" w:rsidP="00BF41DE">
            <w:pPr>
              <w:jc w:val="center"/>
              <w:rPr>
                <w:rFonts w:ascii="標楷體" w:hAnsi="標楷體"/>
                <w:sz w:val="24"/>
                <w:szCs w:val="24"/>
              </w:rPr>
            </w:pPr>
            <w:r w:rsidRPr="00697C03">
              <w:rPr>
                <w:rFonts w:ascii="標楷體" w:hAnsi="標楷體" w:hint="eastAsia"/>
                <w:b/>
                <w:bCs/>
                <w:sz w:val="24"/>
                <w:szCs w:val="24"/>
              </w:rPr>
              <w:t>畢業生</w:t>
            </w:r>
            <w:r w:rsidRPr="00697C03">
              <w:rPr>
                <w:rFonts w:ascii="標楷體" w:hAnsi="標楷體" w:hint="eastAsia"/>
                <w:b/>
                <w:bCs/>
                <w:sz w:val="24"/>
                <w:szCs w:val="24"/>
              </w:rPr>
              <w:br/>
              <w:t>總計</w:t>
            </w:r>
          </w:p>
        </w:tc>
        <w:tc>
          <w:tcPr>
            <w:tcW w:w="1017" w:type="dxa"/>
            <w:shd w:val="clear" w:color="auto" w:fill="E7E6E6" w:themeFill="background2"/>
            <w:vAlign w:val="center"/>
            <w:hideMark/>
          </w:tcPr>
          <w:p w:rsidR="00406A77" w:rsidRPr="00697C03" w:rsidRDefault="00406A77" w:rsidP="00BF41DE">
            <w:pPr>
              <w:jc w:val="center"/>
              <w:rPr>
                <w:rFonts w:ascii="標楷體" w:hAnsi="標楷體"/>
                <w:sz w:val="24"/>
                <w:szCs w:val="24"/>
              </w:rPr>
            </w:pPr>
            <w:r w:rsidRPr="00697C03">
              <w:rPr>
                <w:rFonts w:ascii="標楷體" w:hAnsi="標楷體" w:hint="eastAsia"/>
                <w:b/>
                <w:bCs/>
                <w:sz w:val="24"/>
                <w:szCs w:val="24"/>
              </w:rPr>
              <w:t>未升學未就業計</w:t>
            </w:r>
          </w:p>
        </w:tc>
        <w:tc>
          <w:tcPr>
            <w:tcW w:w="745" w:type="dxa"/>
            <w:shd w:val="clear" w:color="auto" w:fill="E7E6E6" w:themeFill="background2"/>
            <w:vAlign w:val="center"/>
            <w:hideMark/>
          </w:tcPr>
          <w:p w:rsidR="00406A77" w:rsidRPr="00697C03" w:rsidRDefault="00406A77" w:rsidP="00BF41DE">
            <w:pPr>
              <w:jc w:val="center"/>
              <w:rPr>
                <w:rFonts w:ascii="標楷體" w:hAnsi="標楷體"/>
                <w:sz w:val="24"/>
                <w:szCs w:val="24"/>
              </w:rPr>
            </w:pPr>
            <w:r w:rsidRPr="00697C03">
              <w:rPr>
                <w:rFonts w:ascii="標楷體" w:hAnsi="標楷體" w:hint="eastAsia"/>
                <w:b/>
                <w:bCs/>
                <w:sz w:val="24"/>
                <w:szCs w:val="24"/>
              </w:rPr>
              <w:t>準備升學</w:t>
            </w:r>
          </w:p>
        </w:tc>
        <w:tc>
          <w:tcPr>
            <w:tcW w:w="1079" w:type="dxa"/>
            <w:shd w:val="clear" w:color="auto" w:fill="E7E6E6" w:themeFill="background2"/>
            <w:vAlign w:val="center"/>
            <w:hideMark/>
          </w:tcPr>
          <w:p w:rsidR="00406A77" w:rsidRPr="00697C03" w:rsidRDefault="00406A77" w:rsidP="00BF41DE">
            <w:pPr>
              <w:jc w:val="center"/>
              <w:rPr>
                <w:rFonts w:ascii="標楷體" w:hAnsi="標楷體"/>
                <w:sz w:val="24"/>
                <w:szCs w:val="24"/>
              </w:rPr>
            </w:pPr>
            <w:r w:rsidRPr="00697C03">
              <w:rPr>
                <w:rFonts w:ascii="標楷體" w:hAnsi="標楷體" w:hint="eastAsia"/>
                <w:b/>
                <w:bCs/>
                <w:sz w:val="24"/>
                <w:szCs w:val="24"/>
              </w:rPr>
              <w:t>準備或正在找工作</w:t>
            </w:r>
          </w:p>
        </w:tc>
        <w:tc>
          <w:tcPr>
            <w:tcW w:w="507" w:type="dxa"/>
            <w:shd w:val="clear" w:color="auto" w:fill="E7E6E6" w:themeFill="background2"/>
            <w:vAlign w:val="center"/>
            <w:hideMark/>
          </w:tcPr>
          <w:p w:rsidR="00406A77" w:rsidRPr="00697C03" w:rsidRDefault="00406A77" w:rsidP="00BF41DE">
            <w:pPr>
              <w:jc w:val="center"/>
              <w:rPr>
                <w:rFonts w:ascii="標楷體" w:hAnsi="標楷體"/>
                <w:sz w:val="24"/>
                <w:szCs w:val="24"/>
              </w:rPr>
            </w:pPr>
            <w:r w:rsidRPr="00697C03">
              <w:rPr>
                <w:rFonts w:ascii="標楷體" w:hAnsi="標楷體" w:hint="eastAsia"/>
                <w:b/>
                <w:bCs/>
                <w:sz w:val="24"/>
                <w:szCs w:val="24"/>
              </w:rPr>
              <w:t>職訓中</w:t>
            </w:r>
          </w:p>
        </w:tc>
        <w:tc>
          <w:tcPr>
            <w:tcW w:w="758" w:type="dxa"/>
            <w:shd w:val="clear" w:color="auto" w:fill="E7E6E6" w:themeFill="background2"/>
            <w:vAlign w:val="center"/>
            <w:hideMark/>
          </w:tcPr>
          <w:p w:rsidR="00406A77" w:rsidRPr="00697C03" w:rsidRDefault="00406A77" w:rsidP="00BF41DE">
            <w:pPr>
              <w:jc w:val="center"/>
              <w:rPr>
                <w:rFonts w:ascii="標楷體" w:hAnsi="標楷體"/>
                <w:sz w:val="24"/>
                <w:szCs w:val="24"/>
              </w:rPr>
            </w:pPr>
            <w:r w:rsidRPr="00697C03">
              <w:rPr>
                <w:rFonts w:ascii="標楷體" w:hAnsi="標楷體" w:hint="eastAsia"/>
                <w:b/>
                <w:bCs/>
                <w:sz w:val="24"/>
                <w:szCs w:val="24"/>
              </w:rPr>
              <w:t>家務勞動</w:t>
            </w:r>
          </w:p>
        </w:tc>
        <w:tc>
          <w:tcPr>
            <w:tcW w:w="758" w:type="dxa"/>
            <w:shd w:val="clear" w:color="auto" w:fill="E7E6E6" w:themeFill="background2"/>
            <w:vAlign w:val="center"/>
            <w:hideMark/>
          </w:tcPr>
          <w:p w:rsidR="00406A77" w:rsidRPr="00697C03" w:rsidRDefault="00406A77" w:rsidP="00BF41DE">
            <w:pPr>
              <w:jc w:val="center"/>
              <w:rPr>
                <w:rFonts w:ascii="標楷體" w:hAnsi="標楷體"/>
                <w:sz w:val="24"/>
                <w:szCs w:val="24"/>
              </w:rPr>
            </w:pPr>
            <w:r w:rsidRPr="00697C03">
              <w:rPr>
                <w:rFonts w:ascii="標楷體" w:hAnsi="標楷體" w:hint="eastAsia"/>
                <w:b/>
                <w:bCs/>
                <w:sz w:val="24"/>
                <w:szCs w:val="24"/>
              </w:rPr>
              <w:t>身體因素</w:t>
            </w:r>
          </w:p>
        </w:tc>
        <w:tc>
          <w:tcPr>
            <w:tcW w:w="828" w:type="dxa"/>
            <w:shd w:val="clear" w:color="auto" w:fill="E7E6E6" w:themeFill="background2"/>
            <w:vAlign w:val="center"/>
            <w:hideMark/>
          </w:tcPr>
          <w:p w:rsidR="00406A77" w:rsidRPr="00697C03" w:rsidRDefault="00406A77" w:rsidP="00BF41DE">
            <w:pPr>
              <w:jc w:val="center"/>
              <w:rPr>
                <w:rFonts w:ascii="標楷體" w:hAnsi="標楷體"/>
                <w:sz w:val="24"/>
                <w:szCs w:val="24"/>
              </w:rPr>
            </w:pPr>
            <w:r w:rsidRPr="00697C03">
              <w:rPr>
                <w:rFonts w:ascii="標楷體" w:hAnsi="標楷體" w:hint="eastAsia"/>
                <w:b/>
                <w:bCs/>
                <w:sz w:val="24"/>
                <w:szCs w:val="24"/>
              </w:rPr>
              <w:t>尚未規劃</w:t>
            </w:r>
          </w:p>
        </w:tc>
        <w:tc>
          <w:tcPr>
            <w:tcW w:w="607" w:type="dxa"/>
            <w:shd w:val="clear" w:color="auto" w:fill="E7E6E6" w:themeFill="background2"/>
            <w:vAlign w:val="center"/>
            <w:hideMark/>
          </w:tcPr>
          <w:p w:rsidR="00406A77" w:rsidRPr="00697C03" w:rsidRDefault="00406A77" w:rsidP="00BF41DE">
            <w:pPr>
              <w:jc w:val="center"/>
              <w:rPr>
                <w:rFonts w:ascii="標楷體" w:hAnsi="標楷體"/>
                <w:sz w:val="24"/>
                <w:szCs w:val="24"/>
              </w:rPr>
            </w:pPr>
            <w:r w:rsidRPr="00697C03">
              <w:rPr>
                <w:rFonts w:ascii="標楷體" w:hAnsi="標楷體" w:hint="eastAsia"/>
                <w:b/>
                <w:bCs/>
                <w:sz w:val="24"/>
                <w:szCs w:val="24"/>
              </w:rPr>
              <w:t>失聯</w:t>
            </w:r>
          </w:p>
        </w:tc>
        <w:tc>
          <w:tcPr>
            <w:tcW w:w="686" w:type="dxa"/>
            <w:shd w:val="clear" w:color="auto" w:fill="E7E6E6" w:themeFill="background2"/>
            <w:vAlign w:val="center"/>
            <w:hideMark/>
          </w:tcPr>
          <w:p w:rsidR="00406A77" w:rsidRPr="00697C03" w:rsidRDefault="00406A77" w:rsidP="00BF41DE">
            <w:pPr>
              <w:jc w:val="center"/>
              <w:rPr>
                <w:rFonts w:ascii="標楷體" w:hAnsi="標楷體"/>
                <w:sz w:val="24"/>
                <w:szCs w:val="24"/>
              </w:rPr>
            </w:pPr>
            <w:r w:rsidRPr="00697C03">
              <w:rPr>
                <w:rFonts w:ascii="標楷體" w:hAnsi="標楷體" w:hint="eastAsia"/>
                <w:b/>
                <w:bCs/>
                <w:sz w:val="24"/>
                <w:szCs w:val="24"/>
              </w:rPr>
              <w:t>其他</w:t>
            </w:r>
          </w:p>
        </w:tc>
        <w:tc>
          <w:tcPr>
            <w:tcW w:w="1134" w:type="dxa"/>
            <w:shd w:val="clear" w:color="auto" w:fill="E7E6E6" w:themeFill="background2"/>
            <w:vAlign w:val="center"/>
            <w:hideMark/>
          </w:tcPr>
          <w:p w:rsidR="00406A77" w:rsidRPr="00697C03" w:rsidRDefault="00406A77" w:rsidP="00BF41DE">
            <w:pPr>
              <w:jc w:val="center"/>
              <w:rPr>
                <w:rFonts w:ascii="標楷體" w:hAnsi="標楷體"/>
                <w:sz w:val="24"/>
                <w:szCs w:val="24"/>
              </w:rPr>
            </w:pPr>
            <w:r w:rsidRPr="00697C03">
              <w:rPr>
                <w:rFonts w:ascii="標楷體" w:hAnsi="標楷體" w:hint="eastAsia"/>
                <w:b/>
                <w:bCs/>
                <w:sz w:val="24"/>
                <w:szCs w:val="24"/>
              </w:rPr>
              <w:t>需政府介入輔導人數</w:t>
            </w:r>
          </w:p>
        </w:tc>
      </w:tr>
      <w:tr w:rsidR="00697C03" w:rsidRPr="00697C03" w:rsidTr="00BF41DE">
        <w:trPr>
          <w:trHeight w:val="68"/>
          <w:jc w:val="center"/>
        </w:trPr>
        <w:tc>
          <w:tcPr>
            <w:tcW w:w="1021" w:type="dxa"/>
            <w:hideMark/>
          </w:tcPr>
          <w:p w:rsidR="00406A77" w:rsidRPr="00697C03" w:rsidRDefault="00406A77" w:rsidP="00BF41DE">
            <w:pPr>
              <w:jc w:val="center"/>
              <w:rPr>
                <w:rFonts w:ascii="標楷體" w:hAnsi="標楷體"/>
                <w:b/>
                <w:sz w:val="24"/>
                <w:szCs w:val="24"/>
              </w:rPr>
            </w:pPr>
            <w:r w:rsidRPr="00697C03">
              <w:rPr>
                <w:rFonts w:ascii="標楷體" w:hAnsi="標楷體" w:hint="eastAsia"/>
                <w:b/>
                <w:sz w:val="24"/>
                <w:szCs w:val="24"/>
              </w:rPr>
              <w:t>103</w:t>
            </w:r>
          </w:p>
        </w:tc>
        <w:tc>
          <w:tcPr>
            <w:tcW w:w="1067"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276,628 </w:t>
            </w:r>
          </w:p>
        </w:tc>
        <w:tc>
          <w:tcPr>
            <w:tcW w:w="1017" w:type="dxa"/>
            <w:shd w:val="clear" w:color="auto" w:fill="E7E6E6" w:themeFill="background2"/>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1,279 </w:t>
            </w:r>
          </w:p>
        </w:tc>
        <w:tc>
          <w:tcPr>
            <w:tcW w:w="745"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217 </w:t>
            </w:r>
          </w:p>
        </w:tc>
        <w:tc>
          <w:tcPr>
            <w:tcW w:w="1079" w:type="dxa"/>
            <w:hideMark/>
          </w:tcPr>
          <w:p w:rsidR="00406A77" w:rsidRPr="00697C03" w:rsidRDefault="00406A77" w:rsidP="00BF41DE">
            <w:pPr>
              <w:jc w:val="right"/>
              <w:rPr>
                <w:rFonts w:ascii="標楷體" w:hAnsi="標楷體"/>
                <w:sz w:val="24"/>
                <w:szCs w:val="24"/>
              </w:rPr>
            </w:pPr>
            <w:r w:rsidRPr="00697C03">
              <w:rPr>
                <w:rFonts w:ascii="標楷體" w:hAnsi="標楷體" w:hint="eastAsia"/>
                <w:b/>
                <w:bCs/>
                <w:sz w:val="24"/>
                <w:szCs w:val="24"/>
              </w:rPr>
              <w:t xml:space="preserve">144 </w:t>
            </w:r>
          </w:p>
        </w:tc>
        <w:tc>
          <w:tcPr>
            <w:tcW w:w="507"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15 </w:t>
            </w:r>
          </w:p>
        </w:tc>
        <w:tc>
          <w:tcPr>
            <w:tcW w:w="758"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61 </w:t>
            </w:r>
          </w:p>
        </w:tc>
        <w:tc>
          <w:tcPr>
            <w:tcW w:w="758"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71 </w:t>
            </w:r>
          </w:p>
        </w:tc>
        <w:tc>
          <w:tcPr>
            <w:tcW w:w="828"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115 </w:t>
            </w:r>
          </w:p>
        </w:tc>
        <w:tc>
          <w:tcPr>
            <w:tcW w:w="607"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185 </w:t>
            </w:r>
          </w:p>
        </w:tc>
        <w:tc>
          <w:tcPr>
            <w:tcW w:w="686"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471 </w:t>
            </w:r>
          </w:p>
        </w:tc>
        <w:tc>
          <w:tcPr>
            <w:tcW w:w="1134"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444 </w:t>
            </w:r>
          </w:p>
        </w:tc>
      </w:tr>
      <w:tr w:rsidR="00697C03" w:rsidRPr="00697C03" w:rsidTr="00BF41DE">
        <w:trPr>
          <w:trHeight w:val="68"/>
          <w:jc w:val="center"/>
        </w:trPr>
        <w:tc>
          <w:tcPr>
            <w:tcW w:w="1021" w:type="dxa"/>
            <w:hideMark/>
          </w:tcPr>
          <w:p w:rsidR="00406A77" w:rsidRPr="00697C03" w:rsidRDefault="00406A77" w:rsidP="00BF41DE">
            <w:pPr>
              <w:jc w:val="center"/>
              <w:rPr>
                <w:rFonts w:ascii="標楷體" w:hAnsi="標楷體"/>
                <w:b/>
                <w:sz w:val="24"/>
                <w:szCs w:val="24"/>
              </w:rPr>
            </w:pPr>
            <w:r w:rsidRPr="00697C03">
              <w:rPr>
                <w:rFonts w:ascii="標楷體" w:hAnsi="標楷體" w:hint="eastAsia"/>
                <w:b/>
                <w:sz w:val="24"/>
                <w:szCs w:val="24"/>
              </w:rPr>
              <w:t>104</w:t>
            </w:r>
          </w:p>
        </w:tc>
        <w:tc>
          <w:tcPr>
            <w:tcW w:w="1067"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265,886 </w:t>
            </w:r>
          </w:p>
        </w:tc>
        <w:tc>
          <w:tcPr>
            <w:tcW w:w="1017" w:type="dxa"/>
            <w:shd w:val="clear" w:color="auto" w:fill="E7E6E6" w:themeFill="background2"/>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1,203 </w:t>
            </w:r>
          </w:p>
        </w:tc>
        <w:tc>
          <w:tcPr>
            <w:tcW w:w="745"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145 </w:t>
            </w:r>
          </w:p>
        </w:tc>
        <w:tc>
          <w:tcPr>
            <w:tcW w:w="1079" w:type="dxa"/>
            <w:hideMark/>
          </w:tcPr>
          <w:p w:rsidR="00406A77" w:rsidRPr="00697C03" w:rsidRDefault="00406A77" w:rsidP="00BF41DE">
            <w:pPr>
              <w:jc w:val="right"/>
              <w:rPr>
                <w:rFonts w:ascii="標楷體" w:hAnsi="標楷體"/>
                <w:sz w:val="24"/>
                <w:szCs w:val="24"/>
              </w:rPr>
            </w:pPr>
            <w:r w:rsidRPr="00697C03">
              <w:rPr>
                <w:rFonts w:ascii="標楷體" w:hAnsi="標楷體" w:hint="eastAsia"/>
                <w:b/>
                <w:bCs/>
                <w:sz w:val="24"/>
                <w:szCs w:val="24"/>
              </w:rPr>
              <w:t xml:space="preserve">155 </w:t>
            </w:r>
          </w:p>
        </w:tc>
        <w:tc>
          <w:tcPr>
            <w:tcW w:w="507"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8 </w:t>
            </w:r>
          </w:p>
        </w:tc>
        <w:tc>
          <w:tcPr>
            <w:tcW w:w="758"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75 </w:t>
            </w:r>
          </w:p>
        </w:tc>
        <w:tc>
          <w:tcPr>
            <w:tcW w:w="758"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62 </w:t>
            </w:r>
          </w:p>
        </w:tc>
        <w:tc>
          <w:tcPr>
            <w:tcW w:w="828"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78 </w:t>
            </w:r>
          </w:p>
        </w:tc>
        <w:tc>
          <w:tcPr>
            <w:tcW w:w="607"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188 </w:t>
            </w:r>
          </w:p>
        </w:tc>
        <w:tc>
          <w:tcPr>
            <w:tcW w:w="686"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492 </w:t>
            </w:r>
          </w:p>
        </w:tc>
        <w:tc>
          <w:tcPr>
            <w:tcW w:w="1134"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421 </w:t>
            </w:r>
          </w:p>
        </w:tc>
      </w:tr>
      <w:tr w:rsidR="00697C03" w:rsidRPr="00697C03" w:rsidTr="00BF41DE">
        <w:trPr>
          <w:trHeight w:val="68"/>
          <w:jc w:val="center"/>
        </w:trPr>
        <w:tc>
          <w:tcPr>
            <w:tcW w:w="1021" w:type="dxa"/>
            <w:hideMark/>
          </w:tcPr>
          <w:p w:rsidR="00406A77" w:rsidRPr="00697C03" w:rsidRDefault="00406A77" w:rsidP="00BF41DE">
            <w:pPr>
              <w:jc w:val="center"/>
              <w:rPr>
                <w:rFonts w:ascii="標楷體" w:hAnsi="標楷體"/>
                <w:b/>
                <w:sz w:val="24"/>
                <w:szCs w:val="24"/>
              </w:rPr>
            </w:pPr>
            <w:r w:rsidRPr="00697C03">
              <w:rPr>
                <w:rFonts w:ascii="標楷體" w:hAnsi="標楷體" w:hint="eastAsia"/>
                <w:b/>
                <w:sz w:val="24"/>
                <w:szCs w:val="24"/>
              </w:rPr>
              <w:t>105</w:t>
            </w:r>
          </w:p>
        </w:tc>
        <w:tc>
          <w:tcPr>
            <w:tcW w:w="1067"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236,042 </w:t>
            </w:r>
          </w:p>
        </w:tc>
        <w:tc>
          <w:tcPr>
            <w:tcW w:w="1017" w:type="dxa"/>
            <w:shd w:val="clear" w:color="auto" w:fill="E7E6E6" w:themeFill="background2"/>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1,095 </w:t>
            </w:r>
          </w:p>
        </w:tc>
        <w:tc>
          <w:tcPr>
            <w:tcW w:w="745"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110 </w:t>
            </w:r>
          </w:p>
        </w:tc>
        <w:tc>
          <w:tcPr>
            <w:tcW w:w="1079" w:type="dxa"/>
            <w:hideMark/>
          </w:tcPr>
          <w:p w:rsidR="00406A77" w:rsidRPr="00697C03" w:rsidRDefault="00406A77" w:rsidP="00BF41DE">
            <w:pPr>
              <w:jc w:val="right"/>
              <w:rPr>
                <w:rFonts w:ascii="標楷體" w:hAnsi="標楷體"/>
                <w:sz w:val="24"/>
                <w:szCs w:val="24"/>
              </w:rPr>
            </w:pPr>
            <w:r w:rsidRPr="00697C03">
              <w:rPr>
                <w:rFonts w:ascii="標楷體" w:hAnsi="標楷體" w:hint="eastAsia"/>
                <w:b/>
                <w:bCs/>
                <w:sz w:val="24"/>
                <w:szCs w:val="24"/>
              </w:rPr>
              <w:t xml:space="preserve">177 </w:t>
            </w:r>
          </w:p>
        </w:tc>
        <w:tc>
          <w:tcPr>
            <w:tcW w:w="507"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3 </w:t>
            </w:r>
          </w:p>
        </w:tc>
        <w:tc>
          <w:tcPr>
            <w:tcW w:w="758"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66 </w:t>
            </w:r>
          </w:p>
        </w:tc>
        <w:tc>
          <w:tcPr>
            <w:tcW w:w="758"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56 </w:t>
            </w:r>
          </w:p>
        </w:tc>
        <w:tc>
          <w:tcPr>
            <w:tcW w:w="828"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101 </w:t>
            </w:r>
          </w:p>
        </w:tc>
        <w:tc>
          <w:tcPr>
            <w:tcW w:w="607"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142 </w:t>
            </w:r>
          </w:p>
        </w:tc>
        <w:tc>
          <w:tcPr>
            <w:tcW w:w="686"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440 </w:t>
            </w:r>
          </w:p>
        </w:tc>
        <w:tc>
          <w:tcPr>
            <w:tcW w:w="1134"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420 </w:t>
            </w:r>
          </w:p>
        </w:tc>
      </w:tr>
      <w:tr w:rsidR="00697C03" w:rsidRPr="00697C03" w:rsidTr="00BF41DE">
        <w:trPr>
          <w:trHeight w:val="68"/>
          <w:jc w:val="center"/>
        </w:trPr>
        <w:tc>
          <w:tcPr>
            <w:tcW w:w="1021" w:type="dxa"/>
            <w:hideMark/>
          </w:tcPr>
          <w:p w:rsidR="00406A77" w:rsidRPr="00697C03" w:rsidRDefault="00406A77" w:rsidP="00BF41DE">
            <w:pPr>
              <w:jc w:val="center"/>
              <w:rPr>
                <w:rFonts w:ascii="標楷體" w:hAnsi="標楷體"/>
                <w:b/>
                <w:sz w:val="24"/>
                <w:szCs w:val="24"/>
              </w:rPr>
            </w:pPr>
            <w:r w:rsidRPr="00697C03">
              <w:rPr>
                <w:rFonts w:ascii="標楷體" w:hAnsi="標楷體" w:hint="eastAsia"/>
                <w:b/>
                <w:sz w:val="24"/>
                <w:szCs w:val="24"/>
              </w:rPr>
              <w:t>106</w:t>
            </w:r>
          </w:p>
        </w:tc>
        <w:tc>
          <w:tcPr>
            <w:tcW w:w="1067"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224,751 </w:t>
            </w:r>
          </w:p>
        </w:tc>
        <w:tc>
          <w:tcPr>
            <w:tcW w:w="1017" w:type="dxa"/>
            <w:shd w:val="clear" w:color="auto" w:fill="E7E6E6" w:themeFill="background2"/>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871 </w:t>
            </w:r>
          </w:p>
        </w:tc>
        <w:tc>
          <w:tcPr>
            <w:tcW w:w="745"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86 </w:t>
            </w:r>
          </w:p>
        </w:tc>
        <w:tc>
          <w:tcPr>
            <w:tcW w:w="1079" w:type="dxa"/>
            <w:hideMark/>
          </w:tcPr>
          <w:p w:rsidR="00406A77" w:rsidRPr="00697C03" w:rsidRDefault="00406A77" w:rsidP="00BF41DE">
            <w:pPr>
              <w:jc w:val="right"/>
              <w:rPr>
                <w:rFonts w:ascii="標楷體" w:hAnsi="標楷體"/>
                <w:sz w:val="24"/>
                <w:szCs w:val="24"/>
              </w:rPr>
            </w:pPr>
            <w:r w:rsidRPr="00697C03">
              <w:rPr>
                <w:rFonts w:ascii="標楷體" w:hAnsi="標楷體" w:hint="eastAsia"/>
                <w:b/>
                <w:bCs/>
                <w:sz w:val="24"/>
                <w:szCs w:val="24"/>
              </w:rPr>
              <w:t xml:space="preserve">171 </w:t>
            </w:r>
          </w:p>
        </w:tc>
        <w:tc>
          <w:tcPr>
            <w:tcW w:w="507"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7 </w:t>
            </w:r>
          </w:p>
        </w:tc>
        <w:tc>
          <w:tcPr>
            <w:tcW w:w="758"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59 </w:t>
            </w:r>
          </w:p>
        </w:tc>
        <w:tc>
          <w:tcPr>
            <w:tcW w:w="758"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54 </w:t>
            </w:r>
          </w:p>
        </w:tc>
        <w:tc>
          <w:tcPr>
            <w:tcW w:w="828"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82 </w:t>
            </w:r>
          </w:p>
        </w:tc>
        <w:tc>
          <w:tcPr>
            <w:tcW w:w="607"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85 </w:t>
            </w:r>
          </w:p>
        </w:tc>
        <w:tc>
          <w:tcPr>
            <w:tcW w:w="686"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327 </w:t>
            </w:r>
          </w:p>
        </w:tc>
        <w:tc>
          <w:tcPr>
            <w:tcW w:w="1134"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338 </w:t>
            </w:r>
          </w:p>
        </w:tc>
      </w:tr>
      <w:tr w:rsidR="00697C03" w:rsidRPr="00697C03" w:rsidTr="00BF41DE">
        <w:trPr>
          <w:trHeight w:val="68"/>
          <w:jc w:val="center"/>
        </w:trPr>
        <w:tc>
          <w:tcPr>
            <w:tcW w:w="1021" w:type="dxa"/>
            <w:hideMark/>
          </w:tcPr>
          <w:p w:rsidR="00406A77" w:rsidRPr="00697C03" w:rsidRDefault="00406A77" w:rsidP="00BF41DE">
            <w:pPr>
              <w:jc w:val="center"/>
              <w:rPr>
                <w:rFonts w:ascii="標楷體" w:hAnsi="標楷體"/>
                <w:b/>
                <w:sz w:val="24"/>
                <w:szCs w:val="24"/>
              </w:rPr>
            </w:pPr>
            <w:r w:rsidRPr="00697C03">
              <w:rPr>
                <w:rFonts w:ascii="標楷體" w:hAnsi="標楷體" w:hint="eastAsia"/>
                <w:b/>
                <w:sz w:val="24"/>
                <w:szCs w:val="24"/>
              </w:rPr>
              <w:t>107</w:t>
            </w:r>
          </w:p>
        </w:tc>
        <w:tc>
          <w:tcPr>
            <w:tcW w:w="1067"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214,360 </w:t>
            </w:r>
          </w:p>
        </w:tc>
        <w:tc>
          <w:tcPr>
            <w:tcW w:w="1017" w:type="dxa"/>
            <w:shd w:val="clear" w:color="auto" w:fill="E7E6E6" w:themeFill="background2"/>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1,084 </w:t>
            </w:r>
          </w:p>
        </w:tc>
        <w:tc>
          <w:tcPr>
            <w:tcW w:w="745"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89 </w:t>
            </w:r>
          </w:p>
        </w:tc>
        <w:tc>
          <w:tcPr>
            <w:tcW w:w="1079" w:type="dxa"/>
            <w:hideMark/>
          </w:tcPr>
          <w:p w:rsidR="00406A77" w:rsidRPr="00697C03" w:rsidRDefault="00406A77" w:rsidP="00BF41DE">
            <w:pPr>
              <w:jc w:val="right"/>
              <w:rPr>
                <w:rFonts w:ascii="標楷體" w:hAnsi="標楷體"/>
                <w:sz w:val="24"/>
                <w:szCs w:val="24"/>
              </w:rPr>
            </w:pPr>
            <w:r w:rsidRPr="00697C03">
              <w:rPr>
                <w:rFonts w:ascii="標楷體" w:hAnsi="標楷體" w:hint="eastAsia"/>
                <w:b/>
                <w:bCs/>
                <w:sz w:val="24"/>
                <w:szCs w:val="24"/>
              </w:rPr>
              <w:t xml:space="preserve">162 </w:t>
            </w:r>
          </w:p>
        </w:tc>
        <w:tc>
          <w:tcPr>
            <w:tcW w:w="507"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0 </w:t>
            </w:r>
          </w:p>
        </w:tc>
        <w:tc>
          <w:tcPr>
            <w:tcW w:w="758"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65 </w:t>
            </w:r>
          </w:p>
        </w:tc>
        <w:tc>
          <w:tcPr>
            <w:tcW w:w="758"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72 </w:t>
            </w:r>
          </w:p>
        </w:tc>
        <w:tc>
          <w:tcPr>
            <w:tcW w:w="828"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90 </w:t>
            </w:r>
          </w:p>
        </w:tc>
        <w:tc>
          <w:tcPr>
            <w:tcW w:w="607"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104 </w:t>
            </w:r>
          </w:p>
        </w:tc>
        <w:tc>
          <w:tcPr>
            <w:tcW w:w="686"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502 </w:t>
            </w:r>
          </w:p>
        </w:tc>
        <w:tc>
          <w:tcPr>
            <w:tcW w:w="1134" w:type="dxa"/>
            <w:hideMark/>
          </w:tcPr>
          <w:p w:rsidR="00406A77" w:rsidRPr="00697C03" w:rsidRDefault="00406A77" w:rsidP="00BF41DE">
            <w:pPr>
              <w:jc w:val="right"/>
              <w:rPr>
                <w:rFonts w:ascii="標楷體" w:hAnsi="標楷體"/>
                <w:sz w:val="24"/>
                <w:szCs w:val="24"/>
              </w:rPr>
            </w:pPr>
            <w:r w:rsidRPr="00697C03">
              <w:rPr>
                <w:rFonts w:ascii="標楷體" w:hAnsi="標楷體" w:hint="eastAsia"/>
                <w:sz w:val="24"/>
                <w:szCs w:val="24"/>
              </w:rPr>
              <w:t xml:space="preserve">356 </w:t>
            </w:r>
          </w:p>
        </w:tc>
      </w:tr>
    </w:tbl>
    <w:p w:rsidR="00406A77" w:rsidRPr="00697C03" w:rsidRDefault="00406A77" w:rsidP="00406A77">
      <w:pPr>
        <w:spacing w:line="240" w:lineRule="exact"/>
        <w:rPr>
          <w:rFonts w:ascii="標楷體" w:hAnsi="標楷體"/>
          <w:sz w:val="24"/>
          <w:szCs w:val="24"/>
        </w:rPr>
      </w:pPr>
      <w:r w:rsidRPr="00697C03">
        <w:rPr>
          <w:rFonts w:ascii="標楷體" w:hAnsi="標楷體" w:hint="eastAsia"/>
          <w:sz w:val="24"/>
          <w:szCs w:val="24"/>
        </w:rPr>
        <w:t>註：1.需政府介入「準備或正在找工作」、「尚未規劃」、「失聯」。</w:t>
      </w:r>
    </w:p>
    <w:p w:rsidR="00406A77" w:rsidRPr="00697C03" w:rsidRDefault="00406A77" w:rsidP="00406A77">
      <w:pPr>
        <w:spacing w:line="240" w:lineRule="exact"/>
        <w:rPr>
          <w:rFonts w:ascii="標楷體" w:hAnsi="標楷體"/>
          <w:sz w:val="24"/>
          <w:szCs w:val="24"/>
        </w:rPr>
      </w:pPr>
      <w:r w:rsidRPr="00697C03">
        <w:rPr>
          <w:rFonts w:ascii="標楷體" w:hAnsi="標楷體" w:hint="eastAsia"/>
          <w:sz w:val="24"/>
          <w:szCs w:val="24"/>
        </w:rPr>
        <w:t xml:space="preserve">    2.調查時間為當年度國中應屆畢業生續召完成後約9月-10月。</w:t>
      </w:r>
    </w:p>
    <w:p w:rsidR="00406A77" w:rsidRPr="00697C03" w:rsidRDefault="00406A77" w:rsidP="00406A77">
      <w:pPr>
        <w:spacing w:line="240" w:lineRule="exact"/>
        <w:rPr>
          <w:rFonts w:ascii="標楷體" w:hAnsi="標楷體"/>
          <w:sz w:val="24"/>
          <w:szCs w:val="24"/>
        </w:rPr>
      </w:pPr>
      <w:r w:rsidRPr="00697C03">
        <w:rPr>
          <w:rFonts w:ascii="標楷體" w:hAnsi="標楷體" w:hint="eastAsia"/>
          <w:sz w:val="24"/>
          <w:szCs w:val="24"/>
        </w:rPr>
        <w:t xml:space="preserve">    3.其他包括出國、去世、服兵役、自學、社政司法安置等。</w:t>
      </w:r>
    </w:p>
    <w:p w:rsidR="00406A77" w:rsidRPr="00697C03" w:rsidRDefault="00406A77" w:rsidP="00406A77">
      <w:pPr>
        <w:rPr>
          <w:rFonts w:ascii="標楷體" w:hAnsi="標楷體"/>
          <w:sz w:val="24"/>
          <w:szCs w:val="24"/>
        </w:rPr>
      </w:pPr>
      <w:r w:rsidRPr="00697C03">
        <w:rPr>
          <w:rFonts w:ascii="標楷體" w:hAnsi="標楷體" w:hint="eastAsia"/>
          <w:sz w:val="24"/>
          <w:szCs w:val="24"/>
        </w:rPr>
        <w:t>資料來源：教育部約詢會議前補充資料。</w:t>
      </w:r>
    </w:p>
    <w:p w:rsidR="00406A77" w:rsidRPr="00697C03" w:rsidRDefault="00406A77" w:rsidP="00406A77">
      <w:pPr>
        <w:rPr>
          <w:rFonts w:ascii="標楷體" w:hAnsi="標楷體"/>
        </w:rPr>
      </w:pPr>
    </w:p>
    <w:p w:rsidR="00406A77" w:rsidRPr="00697C03" w:rsidRDefault="00406A77" w:rsidP="00406A77">
      <w:pPr>
        <w:pStyle w:val="3"/>
        <w:kinsoku/>
        <w:ind w:left="1360" w:hanging="680"/>
        <w:rPr>
          <w:rFonts w:hAnsi="標楷體"/>
        </w:rPr>
      </w:pPr>
      <w:r w:rsidRPr="00697C03">
        <w:rPr>
          <w:rFonts w:hAnsi="標楷體" w:hint="eastAsia"/>
        </w:rPr>
        <w:t>按青年署108年修正「未升學未就業青少年關懷扶助計畫」</w:t>
      </w:r>
      <w:r w:rsidRPr="00697C03">
        <w:rPr>
          <w:rStyle w:val="aff0"/>
          <w:rFonts w:hAnsi="標楷體"/>
        </w:rPr>
        <w:footnoteReference w:id="27"/>
      </w:r>
      <w:r w:rsidR="0079236E" w:rsidRPr="00697C03">
        <w:rPr>
          <w:rFonts w:hAnsi="標楷體" w:hint="eastAsia"/>
        </w:rPr>
        <w:t>（</w:t>
      </w:r>
      <w:r w:rsidRPr="00697C03">
        <w:rPr>
          <w:rFonts w:hAnsi="標楷體" w:hint="eastAsia"/>
        </w:rPr>
        <w:t>以下簡稱扶助計畫</w:t>
      </w:r>
      <w:r w:rsidR="0079236E" w:rsidRPr="00697C03">
        <w:rPr>
          <w:rFonts w:hAnsi="標楷體" w:hint="eastAsia"/>
        </w:rPr>
        <w:t>）</w:t>
      </w:r>
      <w:r w:rsidRPr="00697C03">
        <w:rPr>
          <w:rFonts w:hAnsi="標楷體" w:hint="eastAsia"/>
        </w:rPr>
        <w:t>對象如下：以國中畢業</w:t>
      </w:r>
      <w:r w:rsidR="0079236E" w:rsidRPr="00697C03">
        <w:rPr>
          <w:rFonts w:hAnsi="標楷體" w:hint="eastAsia"/>
        </w:rPr>
        <w:t>（</w:t>
      </w:r>
      <w:r w:rsidRPr="00697C03">
        <w:rPr>
          <w:rFonts w:hAnsi="標楷體" w:hint="eastAsia"/>
        </w:rPr>
        <w:t>修業完成</w:t>
      </w:r>
      <w:r w:rsidR="0079236E" w:rsidRPr="00697C03">
        <w:rPr>
          <w:rFonts w:hAnsi="標楷體" w:hint="eastAsia"/>
        </w:rPr>
        <w:t>）</w:t>
      </w:r>
      <w:r w:rsidRPr="00697C03">
        <w:rPr>
          <w:rFonts w:hAnsi="標楷體" w:hint="eastAsia"/>
        </w:rPr>
        <w:t>後年滿15歲至18 歲，未曾升學、目前未就業生涯未定向有轉銜扶助需求之青少年為主要服務對象；地方政府得評估國中九年級學生畢業前有需提早介入者，提供預防性措施；高級中等學校曾就學，目前未就業，或未能穩定就學</w:t>
      </w:r>
      <w:r w:rsidR="0079236E" w:rsidRPr="00697C03">
        <w:rPr>
          <w:rFonts w:hAnsi="標楷體" w:hint="eastAsia"/>
        </w:rPr>
        <w:t>（</w:t>
      </w:r>
      <w:r w:rsidRPr="00697C03">
        <w:rPr>
          <w:rFonts w:hAnsi="標楷體" w:hint="eastAsia"/>
        </w:rPr>
        <w:t>簡稱中離生</w:t>
      </w:r>
      <w:r w:rsidR="0079236E" w:rsidRPr="00697C03">
        <w:rPr>
          <w:rFonts w:hAnsi="標楷體" w:hint="eastAsia"/>
        </w:rPr>
        <w:t>）</w:t>
      </w:r>
      <w:r w:rsidR="00D945F2" w:rsidRPr="00697C03">
        <w:rPr>
          <w:rFonts w:hAnsi="標楷體" w:hint="eastAsia"/>
        </w:rPr>
        <w:t>，應依教育部國民及學前教育署所訂高級中等學校學生穩定就學及中途離校學生輔導機制實施要點</w:t>
      </w:r>
      <w:r w:rsidRPr="00697C03">
        <w:rPr>
          <w:rFonts w:hAnsi="標楷體" w:hint="eastAsia"/>
        </w:rPr>
        <w:t>規定辦理。惟經地方政府評估，並依各該縣市本身服務量能與需求後，方得提供協助惟該計畫。因此，該計畫雖以國中畢業後年滿15歲至18歲、未升學未就業有轉銜扶助需求</w:t>
      </w:r>
      <w:r w:rsidRPr="00697C03">
        <w:rPr>
          <w:rFonts w:hAnsi="標楷體"/>
        </w:rPr>
        <w:t>之青</w:t>
      </w:r>
      <w:r w:rsidRPr="00697C03">
        <w:rPr>
          <w:rFonts w:hAnsi="標楷體" w:hint="eastAsia"/>
        </w:rPr>
        <w:t>少年為主</w:t>
      </w:r>
      <w:r w:rsidRPr="00697C03">
        <w:rPr>
          <w:rFonts w:hAnsi="標楷體"/>
        </w:rPr>
        <w:t>要</w:t>
      </w:r>
      <w:r w:rsidRPr="00697C03">
        <w:rPr>
          <w:rFonts w:hAnsi="標楷體" w:hint="eastAsia"/>
        </w:rPr>
        <w:t>服務對象，然統計其歷年辦理容量則顯示，102年實際參訓人數為247位青少年、103年實際參訓人數為333位青少年；104年為跨年度計畫，執行至105年12月，實際參訓人數為268位青少年；106年首次與地方政府合作，輔導431位青少年；107年輔導</w:t>
      </w:r>
      <w:r w:rsidRPr="00697C03">
        <w:rPr>
          <w:rFonts w:hAnsi="標楷體" w:hint="eastAsia"/>
        </w:rPr>
        <w:lastRenderedPageBreak/>
        <w:t>497位青少年；108年至8月底止，輔導264位青少年。足徵，</w:t>
      </w:r>
      <w:r w:rsidR="00D945F2" w:rsidRPr="00697C03">
        <w:rPr>
          <w:rFonts w:hAnsi="標楷體" w:hint="eastAsia"/>
        </w:rPr>
        <w:t>每年均有千餘人未升學未就業</w:t>
      </w:r>
      <w:r w:rsidR="00266C85" w:rsidRPr="00697C03">
        <w:rPr>
          <w:rFonts w:hAnsi="標楷體" w:hint="eastAsia"/>
        </w:rPr>
        <w:t>，以歷年累積之數龐大</w:t>
      </w:r>
      <w:r w:rsidR="001467B9" w:rsidRPr="00697C03">
        <w:rPr>
          <w:rFonts w:hAnsi="標楷體" w:hint="eastAsia"/>
        </w:rPr>
        <w:t>對比實際輔導人數之成效不彰，</w:t>
      </w:r>
      <w:r w:rsidRPr="00697C03">
        <w:rPr>
          <w:rFonts w:hAnsi="標楷體" w:hint="eastAsia"/>
        </w:rPr>
        <w:t>教育部過去針對高級中學中離生、國中畢業未升學未就業學生及國民中小學因中輟而逾義務教育年齡者之積極度尚顯不足。</w:t>
      </w:r>
    </w:p>
    <w:p w:rsidR="00406A77" w:rsidRPr="00697C03" w:rsidRDefault="00406A77" w:rsidP="00406A77">
      <w:pPr>
        <w:pStyle w:val="3"/>
        <w:kinsoku/>
        <w:ind w:left="1360" w:hanging="680"/>
        <w:rPr>
          <w:rFonts w:hAnsi="標楷體"/>
        </w:rPr>
      </w:pPr>
      <w:r w:rsidRPr="00697C03">
        <w:rPr>
          <w:rFonts w:hAnsi="標楷體" w:hint="eastAsia"/>
        </w:rPr>
        <w:t>究此議題，本院於109年3月31日詢問教育部主管人員</w:t>
      </w:r>
      <w:r w:rsidR="008A6B2F" w:rsidRPr="00697C03">
        <w:rPr>
          <w:rFonts w:hAnsi="標楷體" w:hint="eastAsia"/>
        </w:rPr>
        <w:t>，</w:t>
      </w:r>
      <w:r w:rsidRPr="00697C03">
        <w:rPr>
          <w:rFonts w:hAnsi="標楷體" w:hint="eastAsia"/>
        </w:rPr>
        <w:t>亦稱，「過去雙青計劃是從青輔會延續過來，就是關注在未升學未就業國中畢業生，也持續做精進，一開始跟非營利組織合作，106年開始與地方政府合作，因為非營利組織缺乏行政體系</w:t>
      </w:r>
      <w:r w:rsidRPr="00697C03">
        <w:rPr>
          <w:rFonts w:hAnsi="標楷體"/>
          <w:szCs w:val="32"/>
        </w:rPr>
        <w:t>……</w:t>
      </w:r>
      <w:r w:rsidRPr="00697C03">
        <w:rPr>
          <w:rFonts w:hAnsi="標楷體" w:hint="eastAsia"/>
        </w:rPr>
        <w:t>。過程中很努力去想辦法去精進檢討，但一直會有困難，青少年的成長歷程前後是連結的，在國中也許有狀況才會落在這部分，因此處理應該更系統性，但過去守著這個計畫的目標，因此確實如委員提到的會有很多執行困難</w:t>
      </w:r>
      <w:r w:rsidRPr="00697C03">
        <w:rPr>
          <w:rFonts w:hAnsi="標楷體"/>
          <w:szCs w:val="32"/>
        </w:rPr>
        <w:t>……</w:t>
      </w:r>
      <w:r w:rsidRPr="00697C03">
        <w:rPr>
          <w:rFonts w:hAnsi="標楷體" w:hint="eastAsia"/>
        </w:rPr>
        <w:t>。行政上，與地方政府合作過去沒做這部分，有所困難。這個計畫第一優先是未升學未就業的青少年，但因為本計畫屬於多元生涯探索，因此中離生也進來這個計畫，或者9年級需提早介入，約有40%也是輔導中離生身分。因為執行這個計畫有上述困難，近來我們也與國教署交流，取得掌握更詳細資料，未來可能需要更廣泛討論，重新形塑這個計畫，發揮更多價值。因為這個計畫也沒有法令依據，可以有彈性修正</w:t>
      </w:r>
      <w:r w:rsidRPr="00697C03">
        <w:rPr>
          <w:rFonts w:hAnsi="標楷體"/>
          <w:szCs w:val="32"/>
        </w:rPr>
        <w:t>……</w:t>
      </w:r>
      <w:r w:rsidRPr="00697C03">
        <w:rPr>
          <w:rFonts w:hAnsi="標楷體" w:hint="eastAsia"/>
        </w:rPr>
        <w:t>」等語。足徵，教育部對於本計畫實施迄今之績效檢討、後續整體之調整因應尚有不足，允應積極連同整體漏接學生之情形併予考量規劃，包括實習及工作機會之擴大等，過去亦未能與技職司資源連結，已強化中等技職教育之工作試探或工讀機會等情，均待</w:t>
      </w:r>
      <w:r w:rsidR="002A2A60" w:rsidRPr="00697C03">
        <w:rPr>
          <w:rFonts w:hAnsi="標楷體" w:hint="eastAsia"/>
        </w:rPr>
        <w:t>積極</w:t>
      </w:r>
      <w:r w:rsidRPr="00697C03">
        <w:rPr>
          <w:rFonts w:hAnsi="標楷體" w:hint="eastAsia"/>
        </w:rPr>
        <w:t>通盤盤點檢討改善。</w:t>
      </w:r>
    </w:p>
    <w:p w:rsidR="00406A77" w:rsidRPr="00697C03" w:rsidRDefault="00406A77" w:rsidP="00406A77">
      <w:pPr>
        <w:pStyle w:val="3"/>
        <w:kinsoku/>
        <w:ind w:left="1360" w:hanging="680"/>
        <w:rPr>
          <w:rFonts w:hAnsi="標楷體"/>
        </w:rPr>
      </w:pPr>
      <w:r w:rsidRPr="00697C03">
        <w:rPr>
          <w:rFonts w:hAnsi="標楷體" w:hint="eastAsia"/>
        </w:rPr>
        <w:lastRenderedPageBreak/>
        <w:t>另查，關於該計畫</w:t>
      </w:r>
      <w:r w:rsidR="00AD2807" w:rsidRPr="00697C03">
        <w:rPr>
          <w:rFonts w:hAnsi="標楷體" w:hint="eastAsia"/>
        </w:rPr>
        <w:t>辦理之成效及計畫變更</w:t>
      </w:r>
      <w:r w:rsidR="00EA1611" w:rsidRPr="00697C03">
        <w:rPr>
          <w:rFonts w:hAnsi="標楷體" w:hint="eastAsia"/>
        </w:rPr>
        <w:t>檢討</w:t>
      </w:r>
      <w:r w:rsidRPr="00697C03">
        <w:rPr>
          <w:rFonts w:hAnsi="標楷體" w:hint="eastAsia"/>
        </w:rPr>
        <w:t>情形，</w:t>
      </w:r>
      <w:r w:rsidR="009E4503" w:rsidRPr="00697C03">
        <w:rPr>
          <w:rFonts w:hAnsi="標楷體" w:hint="eastAsia"/>
        </w:rPr>
        <w:t>依相關</w:t>
      </w:r>
      <w:r w:rsidR="005D1E60" w:rsidRPr="00697C03">
        <w:rPr>
          <w:rFonts w:hAnsi="標楷體" w:hint="eastAsia"/>
        </w:rPr>
        <w:t>研究</w:t>
      </w:r>
      <w:r w:rsidRPr="00697C03">
        <w:rPr>
          <w:rFonts w:hAnsi="標楷體" w:hint="eastAsia"/>
        </w:rPr>
        <w:t>報導指出</w:t>
      </w:r>
      <w:r w:rsidR="00EA1611" w:rsidRPr="00697C03">
        <w:rPr>
          <w:rStyle w:val="aff0"/>
          <w:rFonts w:hAnsi="標楷體"/>
        </w:rPr>
        <w:footnoteReference w:id="28"/>
      </w:r>
      <w:r w:rsidRPr="00697C03">
        <w:rPr>
          <w:rFonts w:hAnsi="標楷體" w:hint="eastAsia"/>
        </w:rPr>
        <w:t>，「</w:t>
      </w:r>
      <w:r w:rsidR="00D15A10" w:rsidRPr="00697C03">
        <w:rPr>
          <w:rFonts w:hAnsi="標楷體"/>
          <w:szCs w:val="32"/>
        </w:rPr>
        <w:t>……</w:t>
      </w:r>
      <w:r w:rsidRPr="00697C03">
        <w:rPr>
          <w:rFonts w:hAnsi="標楷體" w:hint="eastAsia"/>
        </w:rPr>
        <w:t>以落實9年的</w:t>
      </w:r>
      <w:r w:rsidR="003D650B" w:rsidRPr="00697C03">
        <w:rPr>
          <w:rFonts w:hAnsi="標楷體" w:hint="eastAsia"/>
        </w:rPr>
        <w:t>『</w:t>
      </w:r>
      <w:r w:rsidRPr="00697C03">
        <w:rPr>
          <w:rFonts w:hAnsi="標楷體" w:hint="eastAsia"/>
        </w:rPr>
        <w:t>少年On Light計畫</w:t>
      </w:r>
      <w:r w:rsidR="003D650B" w:rsidRPr="00697C03">
        <w:rPr>
          <w:rFonts w:hAnsi="標楷體" w:hint="eastAsia"/>
        </w:rPr>
        <w:t>』</w:t>
      </w:r>
      <w:r w:rsidRPr="00697C03">
        <w:rPr>
          <w:rFonts w:hAnsi="標楷體" w:hint="eastAsia"/>
        </w:rPr>
        <w:t>為例，是政府針對18歲以下的中離生，順利過渡到就業的職訓計劃，由青輔會（教育部青年署前身）每年投入約4千萬；學生在上完4個月的課程後，會被安排兩個月的職場見習，這段期間，由雇主培訓少年學習一技之長，也支付受訓學生兩個月薪水，讓他們在受訓期無後顧之憂。但對比每年2萬3千名的中離生，參與</w:t>
      </w:r>
      <w:r w:rsidR="00D26103" w:rsidRPr="00697C03">
        <w:rPr>
          <w:rFonts w:hAnsi="標楷體" w:hint="eastAsia"/>
        </w:rPr>
        <w:t>『</w:t>
      </w:r>
      <w:r w:rsidRPr="00697C03">
        <w:rPr>
          <w:rFonts w:hAnsi="標楷體" w:hint="eastAsia"/>
        </w:rPr>
        <w:t>少年On Light</w:t>
      </w:r>
      <w:r w:rsidR="00D26103" w:rsidRPr="00697C03">
        <w:rPr>
          <w:rFonts w:hAnsi="標楷體" w:hint="eastAsia"/>
        </w:rPr>
        <w:t>』</w:t>
      </w:r>
      <w:r w:rsidRPr="00697C03">
        <w:rPr>
          <w:rFonts w:hAnsi="標楷體" w:hint="eastAsia"/>
        </w:rPr>
        <w:t>的人數每年約250人，數字間出現巨大落差。承接計畫的第一線社工告知，問題出在課程，</w:t>
      </w:r>
      <w:r w:rsidR="00AD4458" w:rsidRPr="00697C03">
        <w:rPr>
          <w:rFonts w:hAnsi="標楷體" w:hint="eastAsia"/>
        </w:rPr>
        <w:t>『</w:t>
      </w:r>
      <w:r w:rsidRPr="00697C03">
        <w:rPr>
          <w:rFonts w:hAnsi="標楷體" w:hint="eastAsia"/>
        </w:rPr>
        <w:t>（4個月）上課期間沒薪水，對這群學生來講，賺錢很重要，有學生跟我說明天有人找他出陣頭，一天有伍佰塊，他就去了，就不會來上課了。</w:t>
      </w:r>
      <w:r w:rsidR="00AD4458" w:rsidRPr="00697C03">
        <w:rPr>
          <w:rFonts w:hAnsi="標楷體" w:hint="eastAsia"/>
        </w:rPr>
        <w:t>』</w:t>
      </w:r>
      <w:r w:rsidRPr="00697C03">
        <w:rPr>
          <w:rFonts w:hAnsi="標楷體" w:hint="eastAsia"/>
        </w:rPr>
        <w:t>而政府的課程設計不太符合少年就業的迫切需求。</w:t>
      </w:r>
      <w:r w:rsidR="00AD4458" w:rsidRPr="00697C03">
        <w:rPr>
          <w:rFonts w:hAnsi="標楷體" w:hint="eastAsia"/>
        </w:rPr>
        <w:t>『</w:t>
      </w:r>
      <w:r w:rsidRPr="00697C03">
        <w:rPr>
          <w:rFonts w:hAnsi="標楷體" w:hint="eastAsia"/>
        </w:rPr>
        <w:t>它的就業準備課程有200</w:t>
      </w:r>
      <w:r w:rsidR="00AD4458" w:rsidRPr="00697C03">
        <w:rPr>
          <w:rFonts w:hAnsi="標楷體" w:hint="eastAsia"/>
        </w:rPr>
        <w:t>個小時，同樣在上法治教育、性別平權』。</w:t>
      </w:r>
      <w:r w:rsidRPr="00697C03">
        <w:rPr>
          <w:rFonts w:hAnsi="標楷體" w:hint="eastAsia"/>
        </w:rPr>
        <w:t>葉大華認為強調上課的傳統教育思維，忽略這群揹負生計的少年，需要的是確保未來有一技在身的工作</w:t>
      </w:r>
      <w:r w:rsidR="009B7F9B" w:rsidRPr="00697C03">
        <w:rPr>
          <w:rFonts w:hAnsi="標楷體"/>
          <w:szCs w:val="32"/>
        </w:rPr>
        <w:t>……</w:t>
      </w:r>
      <w:r w:rsidRPr="00697C03">
        <w:rPr>
          <w:rFonts w:hAnsi="標楷體" w:hint="eastAsia"/>
        </w:rPr>
        <w:t>」</w:t>
      </w:r>
      <w:r w:rsidR="000C23DD" w:rsidRPr="00697C03">
        <w:rPr>
          <w:rFonts w:hAnsi="標楷體" w:hint="eastAsia"/>
        </w:rPr>
        <w:t>等語，此係</w:t>
      </w:r>
      <w:r w:rsidR="00EF6BE6" w:rsidRPr="00697C03">
        <w:rPr>
          <w:rFonts w:hAnsi="標楷體" w:hint="eastAsia"/>
        </w:rPr>
        <w:t>民間</w:t>
      </w:r>
      <w:r w:rsidR="00353CEE" w:rsidRPr="00697C03">
        <w:rPr>
          <w:rFonts w:hAnsi="標楷體" w:hint="eastAsia"/>
        </w:rPr>
        <w:t>團體</w:t>
      </w:r>
      <w:r w:rsidR="00334451" w:rsidRPr="00697C03">
        <w:rPr>
          <w:rFonts w:hAnsi="標楷體" w:hint="eastAsia"/>
        </w:rPr>
        <w:t>及媒體</w:t>
      </w:r>
      <w:r w:rsidR="00353CEE" w:rsidRPr="00697C03">
        <w:rPr>
          <w:rFonts w:hAnsi="標楷體" w:hint="eastAsia"/>
        </w:rPr>
        <w:t>觀察</w:t>
      </w:r>
      <w:r w:rsidR="00784CEE" w:rsidRPr="00697C03">
        <w:rPr>
          <w:rFonts w:hAnsi="標楷體" w:hint="eastAsia"/>
        </w:rPr>
        <w:t>針對計畫</w:t>
      </w:r>
      <w:r w:rsidR="00334451" w:rsidRPr="00697C03">
        <w:rPr>
          <w:rFonts w:hAnsi="標楷體" w:hint="eastAsia"/>
        </w:rPr>
        <w:t>辦理及轉型</w:t>
      </w:r>
      <w:r w:rsidR="00784CEE" w:rsidRPr="00697C03">
        <w:rPr>
          <w:rFonts w:hAnsi="標楷體" w:hint="eastAsia"/>
        </w:rPr>
        <w:t>後</w:t>
      </w:r>
      <w:r w:rsidR="00334451" w:rsidRPr="00697C03">
        <w:rPr>
          <w:rFonts w:hAnsi="標楷體" w:hint="eastAsia"/>
        </w:rPr>
        <w:t>，</w:t>
      </w:r>
      <w:r w:rsidR="00784CEE" w:rsidRPr="00697C03">
        <w:rPr>
          <w:rFonts w:hAnsi="標楷體" w:hint="eastAsia"/>
        </w:rPr>
        <w:t>對於</w:t>
      </w:r>
      <w:r w:rsidR="00334451" w:rsidRPr="00697C03">
        <w:rPr>
          <w:rFonts w:hAnsi="標楷體" w:hint="eastAsia"/>
        </w:rPr>
        <w:t>對此類青</w:t>
      </w:r>
      <w:r w:rsidRPr="00697C03">
        <w:rPr>
          <w:rFonts w:hAnsi="標楷體" w:hint="eastAsia"/>
        </w:rPr>
        <w:t>少年</w:t>
      </w:r>
      <w:r w:rsidR="00334451" w:rsidRPr="00697C03">
        <w:rPr>
          <w:rFonts w:hAnsi="標楷體" w:hint="eastAsia"/>
        </w:rPr>
        <w:t>提供誘因不足之隱憂及對教育部等機關之</w:t>
      </w:r>
      <w:r w:rsidR="00BF3BEA" w:rsidRPr="00697C03">
        <w:rPr>
          <w:rFonts w:hAnsi="標楷體" w:hint="eastAsia"/>
        </w:rPr>
        <w:t>相關</w:t>
      </w:r>
      <w:r w:rsidRPr="00697C03">
        <w:rPr>
          <w:rFonts w:hAnsi="標楷體" w:hint="eastAsia"/>
        </w:rPr>
        <w:t>辦理</w:t>
      </w:r>
      <w:r w:rsidR="00BF3BEA" w:rsidRPr="00697C03">
        <w:rPr>
          <w:rFonts w:hAnsi="標楷體" w:hint="eastAsia"/>
        </w:rPr>
        <w:t>檢討</w:t>
      </w:r>
      <w:r w:rsidRPr="00697C03">
        <w:rPr>
          <w:rFonts w:hAnsi="標楷體" w:hint="eastAsia"/>
        </w:rPr>
        <w:t>建議，尚待政府積極正視及處理。</w:t>
      </w:r>
    </w:p>
    <w:p w:rsidR="00406A77" w:rsidRPr="00697C03" w:rsidRDefault="00406A77" w:rsidP="00944F83">
      <w:pPr>
        <w:pStyle w:val="3"/>
        <w:kinsoku/>
        <w:ind w:left="1360" w:hanging="680"/>
        <w:rPr>
          <w:rFonts w:hAnsi="標楷體"/>
        </w:rPr>
      </w:pPr>
      <w:r w:rsidRPr="00697C03">
        <w:rPr>
          <w:rFonts w:hAnsi="標楷體"/>
        </w:rPr>
        <w:t>綜上論</w:t>
      </w:r>
      <w:r w:rsidR="00C60529" w:rsidRPr="00697C03">
        <w:rPr>
          <w:rFonts w:hAnsi="標楷體" w:hint="eastAsia"/>
        </w:rPr>
        <w:t>結</w:t>
      </w:r>
      <w:r w:rsidRPr="00697C03">
        <w:rPr>
          <w:rFonts w:hAnsi="標楷體"/>
        </w:rPr>
        <w:t>，</w:t>
      </w:r>
      <w:r w:rsidRPr="00697C03">
        <w:rPr>
          <w:rFonts w:hAnsi="標楷體" w:hint="eastAsia"/>
        </w:rPr>
        <w:t>102年-105年前行政院青年輔導委員會辦理「國中畢業未升學未就業青少年輔導計畫</w:t>
      </w:r>
      <w:r w:rsidR="0079236E" w:rsidRPr="00697C03">
        <w:rPr>
          <w:rFonts w:hAnsi="標楷體" w:hint="eastAsia"/>
        </w:rPr>
        <w:t>（</w:t>
      </w:r>
      <w:r w:rsidRPr="00697C03">
        <w:rPr>
          <w:rFonts w:hAnsi="標楷體" w:hint="eastAsia"/>
        </w:rPr>
        <w:t>少年On Light計畫</w:t>
      </w:r>
      <w:r w:rsidR="0079236E" w:rsidRPr="00697C03">
        <w:rPr>
          <w:rFonts w:hAnsi="標楷體" w:hint="eastAsia"/>
        </w:rPr>
        <w:t>）</w:t>
      </w:r>
      <w:r w:rsidRPr="00697C03">
        <w:rPr>
          <w:rFonts w:hAnsi="標楷體" w:hint="eastAsia"/>
        </w:rPr>
        <w:t>」，組織改造後，106年-108年則轉型為「未升學未就業青少年關懷扶助計畫」，續由教育部青年發展署辦理，每年公務預算3,500萬元，計畫目標定為協助未升學未就業青少年適性</w:t>
      </w:r>
      <w:r w:rsidRPr="00697C03">
        <w:rPr>
          <w:rFonts w:hAnsi="標楷體" w:hint="eastAsia"/>
        </w:rPr>
        <w:lastRenderedPageBreak/>
        <w:t>轉銜就學、就業或參加職訓，以奠定未來生涯發展基礎，對象仍以國中畢業未升學未就業青少年為主；惟該計畫106學年度輔導420人</w:t>
      </w:r>
      <w:r w:rsidR="0079236E" w:rsidRPr="00697C03">
        <w:rPr>
          <w:rFonts w:hAnsi="標楷體" w:hint="eastAsia"/>
        </w:rPr>
        <w:t>（</w:t>
      </w:r>
      <w:r w:rsidRPr="00697C03">
        <w:rPr>
          <w:rFonts w:hAnsi="標楷體" w:hint="eastAsia"/>
        </w:rPr>
        <w:t>或497人，係已含自辦縣市之輔導人數</w:t>
      </w:r>
      <w:r w:rsidR="0079236E" w:rsidRPr="00697C03">
        <w:rPr>
          <w:rFonts w:hAnsi="標楷體" w:hint="eastAsia"/>
        </w:rPr>
        <w:t>）</w:t>
      </w:r>
      <w:r w:rsidR="00607EE9" w:rsidRPr="00697C03">
        <w:rPr>
          <w:rFonts w:hAnsi="標楷體" w:hint="eastAsia"/>
        </w:rPr>
        <w:t>，</w:t>
      </w:r>
      <w:r w:rsidRPr="00697C03">
        <w:rPr>
          <w:rFonts w:hAnsi="標楷體" w:hint="eastAsia"/>
        </w:rPr>
        <w:t>然全國未升學未就業總數計871人；108年至11月底各縣市計349名輔導對象</w:t>
      </w:r>
      <w:r w:rsidR="0079236E" w:rsidRPr="00697C03">
        <w:rPr>
          <w:rFonts w:hAnsi="標楷體" w:hint="eastAsia"/>
        </w:rPr>
        <w:t>（</w:t>
      </w:r>
      <w:r w:rsidRPr="00697C03">
        <w:rPr>
          <w:rFonts w:hAnsi="標楷體" w:hint="eastAsia"/>
        </w:rPr>
        <w:t>107學年度國中畢業未升學未就業人數為1,084人</w:t>
      </w:r>
      <w:r w:rsidR="0079236E" w:rsidRPr="00697C03">
        <w:rPr>
          <w:rFonts w:hAnsi="標楷體" w:hint="eastAsia"/>
        </w:rPr>
        <w:t>）</w:t>
      </w:r>
      <w:r w:rsidRPr="00697C03">
        <w:rPr>
          <w:rFonts w:hAnsi="標楷體" w:hint="eastAsia"/>
        </w:rPr>
        <w:t>，</w:t>
      </w:r>
      <w:r w:rsidR="003B5F04" w:rsidRPr="00697C03">
        <w:rPr>
          <w:rFonts w:hint="eastAsia"/>
        </w:rPr>
        <w:t>整體計畫之能量顯然績效不足、成效不顯著及輔導容量有限，且</w:t>
      </w:r>
      <w:r w:rsidR="003B5F04" w:rsidRPr="00697C03">
        <w:rPr>
          <w:rFonts w:hAnsi="標楷體" w:hint="eastAsia"/>
          <w:szCs w:val="52"/>
        </w:rPr>
        <w:t>歷年累積為數眾多</w:t>
      </w:r>
      <w:r w:rsidR="003B5F04" w:rsidRPr="00697C03">
        <w:rPr>
          <w:rFonts w:hint="eastAsia"/>
        </w:rPr>
        <w:t>未能順利銜接升學或就業之青少年，如</w:t>
      </w:r>
      <w:r w:rsidR="003B5F04" w:rsidRPr="00697C03">
        <w:rPr>
          <w:rFonts w:hAnsi="標楷體" w:hint="eastAsia"/>
          <w:szCs w:val="52"/>
        </w:rPr>
        <w:t>長期定向不明，恐將衍生嚴重社會問題，抑或教育及人力資源之浪費，亟待教育部會同各地方政府積極解決</w:t>
      </w:r>
      <w:r w:rsidR="003B5F04" w:rsidRPr="00697C03">
        <w:rPr>
          <w:rFonts w:hAnsi="標楷體" w:hint="eastAsia"/>
        </w:rPr>
        <w:t>；況</w:t>
      </w:r>
      <w:r w:rsidRPr="00697C03">
        <w:rPr>
          <w:rFonts w:hAnsi="標楷體" w:hint="eastAsia"/>
        </w:rPr>
        <w:t>實務推動上，對於年滿15歲或國民中學畢業少年，生涯</w:t>
      </w:r>
      <w:r w:rsidR="0079236E" w:rsidRPr="00697C03">
        <w:rPr>
          <w:rFonts w:hAnsi="標楷體" w:hint="eastAsia"/>
        </w:rPr>
        <w:t>（</w:t>
      </w:r>
      <w:r w:rsidRPr="00697C03">
        <w:rPr>
          <w:rFonts w:hAnsi="標楷體" w:hint="eastAsia"/>
        </w:rPr>
        <w:t>含升學</w:t>
      </w:r>
      <w:r w:rsidR="0079236E" w:rsidRPr="00697C03">
        <w:rPr>
          <w:rFonts w:hAnsi="標楷體" w:hint="eastAsia"/>
        </w:rPr>
        <w:t>）</w:t>
      </w:r>
      <w:r w:rsidRPr="00697C03">
        <w:rPr>
          <w:rFonts w:hAnsi="標楷體" w:hint="eastAsia"/>
        </w:rPr>
        <w:t>輔導由國中、高中學校端負責</w:t>
      </w:r>
      <w:r w:rsidR="00E65B73" w:rsidRPr="00697C03">
        <w:rPr>
          <w:rFonts w:hAnsi="標楷體" w:hint="eastAsia"/>
        </w:rPr>
        <w:t>，</w:t>
      </w:r>
      <w:r w:rsidRPr="00697C03">
        <w:rPr>
          <w:rFonts w:hAnsi="標楷體" w:hint="eastAsia"/>
        </w:rPr>
        <w:t>就業培訓由勞政單位主政，並由勞政單位整合教育及社政機關；有矯正情事的少年，由法務部整合就學、就業及職訓服務措施，均待該部積極檢討該計畫實施成效，併予研議改善整體十二年國教中輟及中離生計</w:t>
      </w:r>
      <w:r w:rsidR="00F44581" w:rsidRPr="00697C03">
        <w:rPr>
          <w:rFonts w:hAnsi="標楷體" w:hint="eastAsia"/>
        </w:rPr>
        <w:t>畫</w:t>
      </w:r>
      <w:r w:rsidRPr="00697C03">
        <w:rPr>
          <w:rFonts w:hAnsi="標楷體" w:hint="eastAsia"/>
        </w:rPr>
        <w:t>制度及分工之整合問題</w:t>
      </w:r>
      <w:r w:rsidR="00304DCB" w:rsidRPr="00697C03">
        <w:rPr>
          <w:rFonts w:hAnsi="標楷體" w:hint="eastAsia"/>
        </w:rPr>
        <w:t>。</w:t>
      </w:r>
    </w:p>
    <w:p w:rsidR="00406A77" w:rsidRPr="00697C03" w:rsidRDefault="00406A77" w:rsidP="00406A77">
      <w:pPr>
        <w:rPr>
          <w:rFonts w:ascii="標楷體" w:hAnsi="標楷體"/>
        </w:rPr>
      </w:pPr>
    </w:p>
    <w:p w:rsidR="00406A77" w:rsidRPr="00697C03" w:rsidRDefault="00406A77" w:rsidP="00492FBE">
      <w:pPr>
        <w:pStyle w:val="2"/>
        <w:kinsoku/>
        <w:autoSpaceDE w:val="0"/>
        <w:autoSpaceDN w:val="0"/>
        <w:ind w:left="1020" w:hanging="680"/>
        <w:rPr>
          <w:rFonts w:hAnsi="標楷體"/>
          <w:bCs w:val="0"/>
        </w:rPr>
      </w:pPr>
      <w:bookmarkStart w:id="82" w:name="_Toc37315444"/>
      <w:bookmarkStart w:id="83" w:name="_Toc39250780"/>
      <w:bookmarkStart w:id="84" w:name="_Toc41382889"/>
      <w:r w:rsidRPr="00697C03">
        <w:rPr>
          <w:rFonts w:hAnsi="標楷體" w:hint="eastAsia"/>
          <w:b/>
          <w:szCs w:val="52"/>
        </w:rPr>
        <w:t>針對十二年國教前</w:t>
      </w:r>
      <w:r w:rsidR="002C46C4" w:rsidRPr="00697C03">
        <w:rPr>
          <w:rFonts w:hAnsi="標楷體" w:hint="eastAsia"/>
          <w:b/>
          <w:szCs w:val="52"/>
        </w:rPr>
        <w:t>9</w:t>
      </w:r>
      <w:r w:rsidRPr="00697C03">
        <w:rPr>
          <w:rFonts w:hAnsi="標楷體" w:hint="eastAsia"/>
          <w:b/>
          <w:szCs w:val="52"/>
        </w:rPr>
        <w:t>年</w:t>
      </w:r>
      <w:r w:rsidR="00D15565" w:rsidRPr="00697C03">
        <w:rPr>
          <w:rFonts w:hAnsi="標楷體" w:hint="eastAsia"/>
          <w:b/>
          <w:szCs w:val="52"/>
        </w:rPr>
        <w:t>國中小</w:t>
      </w:r>
      <w:r w:rsidR="000D36EA" w:rsidRPr="00697C03">
        <w:rPr>
          <w:rFonts w:hAnsi="標楷體" w:hint="eastAsia"/>
          <w:b/>
          <w:szCs w:val="52"/>
        </w:rPr>
        <w:t>之</w:t>
      </w:r>
      <w:r w:rsidRPr="00697C03">
        <w:rPr>
          <w:rFonts w:hAnsi="標楷體" w:hint="eastAsia"/>
          <w:b/>
          <w:szCs w:val="52"/>
        </w:rPr>
        <w:t>國民義務教育部分，依強迫入學條例等相關規定，教育部長期與縣市政府共同辦理國中小中輟生通報及輔導機制，執行整體法源及分工機制</w:t>
      </w:r>
      <w:r w:rsidR="00AD32C7" w:rsidRPr="00697C03">
        <w:rPr>
          <w:rFonts w:hAnsi="標楷體" w:hint="eastAsia"/>
          <w:b/>
          <w:szCs w:val="52"/>
        </w:rPr>
        <w:t>相對</w:t>
      </w:r>
      <w:r w:rsidRPr="00697C03">
        <w:rPr>
          <w:rFonts w:hAnsi="標楷體" w:hint="eastAsia"/>
          <w:b/>
          <w:szCs w:val="52"/>
        </w:rPr>
        <w:t>明確，</w:t>
      </w:r>
      <w:r w:rsidR="00EC589E" w:rsidRPr="00697C03">
        <w:rPr>
          <w:rFonts w:hAnsi="標楷體" w:hint="eastAsia"/>
          <w:b/>
          <w:szCs w:val="52"/>
        </w:rPr>
        <w:t>自</w:t>
      </w:r>
      <w:r w:rsidRPr="00697C03">
        <w:rPr>
          <w:rFonts w:hAnsi="標楷體" w:hint="eastAsia"/>
          <w:b/>
          <w:szCs w:val="52"/>
        </w:rPr>
        <w:t>103至107學年度全國國民中小學中輟生之總數依序分別為4</w:t>
      </w:r>
      <w:r w:rsidRPr="00697C03">
        <w:rPr>
          <w:rFonts w:hAnsi="標楷體"/>
          <w:b/>
          <w:szCs w:val="52"/>
        </w:rPr>
        <w:t>,</w:t>
      </w:r>
      <w:r w:rsidRPr="00697C03">
        <w:rPr>
          <w:rFonts w:hAnsi="標楷體" w:hint="eastAsia"/>
          <w:b/>
          <w:szCs w:val="52"/>
        </w:rPr>
        <w:t>214、3</w:t>
      </w:r>
      <w:r w:rsidRPr="00697C03">
        <w:rPr>
          <w:rFonts w:hAnsi="標楷體"/>
          <w:b/>
          <w:szCs w:val="52"/>
        </w:rPr>
        <w:t>,</w:t>
      </w:r>
      <w:r w:rsidRPr="00697C03">
        <w:rPr>
          <w:rFonts w:hAnsi="標楷體" w:hint="eastAsia"/>
          <w:b/>
          <w:szCs w:val="52"/>
        </w:rPr>
        <w:t>934、3</w:t>
      </w:r>
      <w:r w:rsidRPr="00697C03">
        <w:rPr>
          <w:rFonts w:hAnsi="標楷體"/>
          <w:b/>
          <w:szCs w:val="52"/>
        </w:rPr>
        <w:t>,</w:t>
      </w:r>
      <w:r w:rsidRPr="00697C03">
        <w:rPr>
          <w:rFonts w:hAnsi="標楷體" w:hint="eastAsia"/>
          <w:b/>
          <w:szCs w:val="52"/>
        </w:rPr>
        <w:t>446、3</w:t>
      </w:r>
      <w:r w:rsidRPr="00697C03">
        <w:rPr>
          <w:rFonts w:hAnsi="標楷體"/>
          <w:b/>
          <w:szCs w:val="52"/>
        </w:rPr>
        <w:t>,</w:t>
      </w:r>
      <w:r w:rsidRPr="00697C03">
        <w:rPr>
          <w:rFonts w:hAnsi="標楷體" w:hint="eastAsia"/>
          <w:b/>
          <w:szCs w:val="52"/>
        </w:rPr>
        <w:t>134及3</w:t>
      </w:r>
      <w:r w:rsidRPr="00697C03">
        <w:rPr>
          <w:rFonts w:hAnsi="標楷體"/>
          <w:b/>
          <w:szCs w:val="52"/>
        </w:rPr>
        <w:t>,</w:t>
      </w:r>
      <w:r w:rsidRPr="00697C03">
        <w:rPr>
          <w:rFonts w:hAnsi="標楷體" w:hint="eastAsia"/>
          <w:b/>
          <w:szCs w:val="52"/>
        </w:rPr>
        <w:t>137人，103至107學年度自86.41%降至85.49%，逐漸呈下降趨勢情形，惟總復學率仍未見明顯提升</w:t>
      </w:r>
      <w:r w:rsidR="00C40A69" w:rsidRPr="00697C03">
        <w:rPr>
          <w:rFonts w:hAnsi="標楷體" w:hint="eastAsia"/>
          <w:b/>
          <w:szCs w:val="52"/>
        </w:rPr>
        <w:t>，值得</w:t>
      </w:r>
      <w:r w:rsidR="003B38B1" w:rsidRPr="00697C03">
        <w:rPr>
          <w:rFonts w:hAnsi="標楷體" w:hint="eastAsia"/>
          <w:b/>
          <w:szCs w:val="52"/>
        </w:rPr>
        <w:t>持續</w:t>
      </w:r>
      <w:r w:rsidR="00C40A69" w:rsidRPr="00697C03">
        <w:rPr>
          <w:rFonts w:hAnsi="標楷體" w:hint="eastAsia"/>
          <w:b/>
          <w:szCs w:val="52"/>
        </w:rPr>
        <w:t>關注</w:t>
      </w:r>
      <w:r w:rsidRPr="00697C03">
        <w:rPr>
          <w:rFonts w:hAnsi="標楷體" w:hint="eastAsia"/>
          <w:b/>
          <w:szCs w:val="52"/>
        </w:rPr>
        <w:t>；鑒於</w:t>
      </w:r>
      <w:r w:rsidRPr="00697C03">
        <w:rPr>
          <w:rFonts w:hAnsi="標楷體" w:hint="eastAsia"/>
          <w:b/>
          <w:bCs w:val="0"/>
          <w:szCs w:val="52"/>
        </w:rPr>
        <w:t>中小學階段係國民基礎教育時期，其就學穩定性與後續高級中等教育階段之中離因素息息相關，教育部於本院調查期間已</w:t>
      </w:r>
      <w:r w:rsidR="00EF0F25" w:rsidRPr="00697C03">
        <w:rPr>
          <w:rFonts w:hAnsi="標楷體" w:hint="eastAsia"/>
          <w:b/>
          <w:bCs w:val="0"/>
          <w:szCs w:val="52"/>
        </w:rPr>
        <w:t>檢討</w:t>
      </w:r>
      <w:r w:rsidRPr="00697C03">
        <w:rPr>
          <w:rFonts w:hAnsi="標楷體" w:hint="eastAsia"/>
          <w:b/>
          <w:bCs w:val="0"/>
          <w:szCs w:val="52"/>
        </w:rPr>
        <w:t>開放於「全國國民中小學中輟通報及復學系統」通報，</w:t>
      </w:r>
      <w:r w:rsidRPr="00697C03">
        <w:rPr>
          <w:rFonts w:hAnsi="標楷體" w:hint="eastAsia"/>
          <w:b/>
          <w:bCs w:val="0"/>
          <w:szCs w:val="52"/>
        </w:rPr>
        <w:lastRenderedPageBreak/>
        <w:t>惟後續落實執行情形及成效</w:t>
      </w:r>
      <w:r w:rsidR="00E15A1E" w:rsidRPr="00697C03">
        <w:rPr>
          <w:rFonts w:hAnsi="標楷體" w:hint="eastAsia"/>
          <w:b/>
          <w:bCs w:val="0"/>
          <w:szCs w:val="52"/>
        </w:rPr>
        <w:t>待評估，</w:t>
      </w:r>
      <w:r w:rsidRPr="00697C03">
        <w:rPr>
          <w:rFonts w:hAnsi="標楷體" w:hint="eastAsia"/>
          <w:b/>
          <w:bCs w:val="0"/>
          <w:szCs w:val="52"/>
        </w:rPr>
        <w:t>另有實務上反映面臨「修業證</w:t>
      </w:r>
      <w:r w:rsidR="00A43E79" w:rsidRPr="00697C03">
        <w:rPr>
          <w:rFonts w:hAnsi="標楷體" w:hint="eastAsia"/>
          <w:b/>
          <w:bCs w:val="0"/>
          <w:szCs w:val="52"/>
        </w:rPr>
        <w:t>書門檻過低」及「畢業證書誘因不足」等相關執行困境</w:t>
      </w:r>
      <w:r w:rsidR="00A30804" w:rsidRPr="00697C03">
        <w:rPr>
          <w:rFonts w:hAnsi="標楷體" w:hint="eastAsia"/>
          <w:b/>
          <w:bCs w:val="0"/>
          <w:szCs w:val="52"/>
        </w:rPr>
        <w:t>；及針對</w:t>
      </w:r>
      <w:r w:rsidR="00BC5702" w:rsidRPr="00697C03">
        <w:rPr>
          <w:rFonts w:hAnsi="標楷體" w:hint="eastAsia"/>
          <w:b/>
          <w:szCs w:val="52"/>
        </w:rPr>
        <w:t>高級中等以下學校專任輔導教師及專任專業輔導人員實聘數未按學生輔導法第22條及其細則相關規定配置等情形</w:t>
      </w:r>
      <w:r w:rsidR="00A30804" w:rsidRPr="00697C03">
        <w:rPr>
          <w:rFonts w:hAnsi="標楷體" w:hint="eastAsia"/>
          <w:b/>
          <w:bCs w:val="0"/>
          <w:szCs w:val="52"/>
        </w:rPr>
        <w:t>，</w:t>
      </w:r>
      <w:r w:rsidR="00871376" w:rsidRPr="00697C03">
        <w:rPr>
          <w:rFonts w:hAnsi="標楷體" w:hint="eastAsia"/>
          <w:b/>
          <w:bCs w:val="0"/>
          <w:szCs w:val="52"/>
        </w:rPr>
        <w:t>均顯示教育部長期缺乏積極檢討改善機制</w:t>
      </w:r>
      <w:r w:rsidR="00BD03A5" w:rsidRPr="00697C03">
        <w:rPr>
          <w:rFonts w:hAnsi="標楷體" w:hint="eastAsia"/>
          <w:b/>
          <w:bCs w:val="0"/>
          <w:szCs w:val="52"/>
        </w:rPr>
        <w:t>及配套措施</w:t>
      </w:r>
      <w:r w:rsidR="00871376" w:rsidRPr="00697C03">
        <w:rPr>
          <w:rFonts w:hAnsi="標楷體" w:hint="eastAsia"/>
          <w:b/>
          <w:bCs w:val="0"/>
          <w:szCs w:val="52"/>
        </w:rPr>
        <w:t>，實</w:t>
      </w:r>
      <w:r w:rsidRPr="00697C03">
        <w:rPr>
          <w:rFonts w:hAnsi="標楷體" w:hint="eastAsia"/>
          <w:b/>
          <w:bCs w:val="0"/>
          <w:szCs w:val="52"/>
        </w:rPr>
        <w:t>有怠失，亟待儘速會同各縣市</w:t>
      </w:r>
      <w:r w:rsidR="000E38BB" w:rsidRPr="00697C03">
        <w:rPr>
          <w:rFonts w:hAnsi="標楷體" w:hint="eastAsia"/>
          <w:b/>
          <w:bCs w:val="0"/>
          <w:szCs w:val="52"/>
        </w:rPr>
        <w:t>政府積極</w:t>
      </w:r>
      <w:r w:rsidRPr="00697C03">
        <w:rPr>
          <w:rFonts w:hAnsi="標楷體" w:hint="eastAsia"/>
          <w:b/>
          <w:bCs w:val="0"/>
          <w:szCs w:val="52"/>
        </w:rPr>
        <w:t>督導釐清</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82"/>
      <w:r w:rsidRPr="00697C03">
        <w:rPr>
          <w:rFonts w:hAnsi="標楷體" w:hint="eastAsia"/>
          <w:b/>
          <w:bCs w:val="0"/>
          <w:szCs w:val="52"/>
        </w:rPr>
        <w:t>改善</w:t>
      </w:r>
      <w:bookmarkEnd w:id="83"/>
      <w:bookmarkEnd w:id="84"/>
    </w:p>
    <w:p w:rsidR="00406A77" w:rsidRPr="00697C03" w:rsidRDefault="00406A77" w:rsidP="0088478A">
      <w:pPr>
        <w:pStyle w:val="3"/>
        <w:kinsoku/>
        <w:ind w:left="1394"/>
      </w:pPr>
      <w:r w:rsidRPr="00697C03">
        <w:rPr>
          <w:rFonts w:hint="eastAsia"/>
        </w:rPr>
        <w:t>為保障國民受教權，憲法、國民教育法已明訂6歲至15歲之國民應接受國民教育，爰有強迫入學條例明訂強迫入學規定。另按強迫入學條例第8條之1</w:t>
      </w:r>
      <w:r w:rsidR="00CF14F8" w:rsidRPr="00697C03">
        <w:rPr>
          <w:rFonts w:hint="eastAsia"/>
        </w:rPr>
        <w:t>，訂頒</w:t>
      </w:r>
      <w:r w:rsidR="00851F18" w:rsidRPr="00697C03">
        <w:rPr>
          <w:rFonts w:hint="eastAsia"/>
        </w:rPr>
        <w:t>國中小學復學輔導辦法</w:t>
      </w:r>
      <w:r w:rsidRPr="00697C03">
        <w:rPr>
          <w:rFonts w:hint="eastAsia"/>
        </w:rPr>
        <w:t>，規定國民小學及國民中學發現學生有未經請假、請假未獲准或不明原因未到校上課連續達3日以上者，或轉學生因不明原因，自轉出之日起3日內未向轉入學校完成報到手續者，列為中輟生，應立即填具通報單通報直轄市、縣（市）政府，並報請鄉（鎮、市、區）強迫入學委員會執行強迫入學事宜。此外，針對本案涉及各機關業務會同聯繫事項部分，按聯合國兒童權利公約</w:t>
      </w:r>
      <w:r w:rsidR="0088478A" w:rsidRPr="00697C03">
        <w:rPr>
          <w:rFonts w:hint="eastAsia"/>
        </w:rPr>
        <w:t>（</w:t>
      </w:r>
      <w:r w:rsidR="0088478A" w:rsidRPr="00697C03">
        <w:rPr>
          <w:rFonts w:hAnsi="標楷體"/>
        </w:rPr>
        <w:t>Conven</w:t>
      </w:r>
      <w:r w:rsidR="00B81296" w:rsidRPr="00697C03">
        <w:rPr>
          <w:rFonts w:hAnsi="標楷體"/>
        </w:rPr>
        <w:t>tion on the Rights of the Child</w:t>
      </w:r>
      <w:r w:rsidR="0088478A" w:rsidRPr="00697C03">
        <w:rPr>
          <w:rFonts w:hint="eastAsia"/>
        </w:rPr>
        <w:t>）</w:t>
      </w:r>
      <w:r w:rsidRPr="00697C03">
        <w:rPr>
          <w:rFonts w:hint="eastAsia"/>
        </w:rPr>
        <w:t>第3條第1</w:t>
      </w:r>
      <w:r w:rsidR="00E75D0E" w:rsidRPr="00697C03">
        <w:rPr>
          <w:rFonts w:hint="eastAsia"/>
        </w:rPr>
        <w:t>項</w:t>
      </w:r>
      <w:r w:rsidR="006E0ED1" w:rsidRPr="00697C03">
        <w:rPr>
          <w:rStyle w:val="aff0"/>
        </w:rPr>
        <w:footnoteReference w:id="29"/>
      </w:r>
      <w:r w:rsidR="00E75D0E" w:rsidRPr="00697C03">
        <w:rPr>
          <w:rFonts w:hint="eastAsia"/>
        </w:rPr>
        <w:t>，</w:t>
      </w:r>
      <w:r w:rsidR="00851140" w:rsidRPr="00697C03">
        <w:rPr>
          <w:rFonts w:hAnsi="標楷體" w:hint="eastAsia"/>
        </w:rPr>
        <w:t>「</w:t>
      </w:r>
      <w:r w:rsidRPr="00697C03">
        <w:rPr>
          <w:rFonts w:hint="eastAsia"/>
        </w:rPr>
        <w:t>所有關係兒童之事務，無論是由公私社會福利機構</w:t>
      </w:r>
      <w:r w:rsidR="00850235" w:rsidRPr="00697C03">
        <w:rPr>
          <w:rFonts w:hint="eastAsia"/>
        </w:rPr>
        <w:t>、法院、行政機關或立法機關作為，均應以兒童最佳利益為優先考量</w:t>
      </w:r>
      <w:r w:rsidR="00851140" w:rsidRPr="00697C03">
        <w:rPr>
          <w:rFonts w:hAnsi="標楷體" w:hint="eastAsia"/>
        </w:rPr>
        <w:t>」</w:t>
      </w:r>
      <w:r w:rsidR="007D09A1" w:rsidRPr="00697C03">
        <w:rPr>
          <w:rFonts w:hint="eastAsia"/>
        </w:rPr>
        <w:t>，及</w:t>
      </w:r>
      <w:r w:rsidR="00B03761" w:rsidRPr="00697C03">
        <w:rPr>
          <w:rFonts w:hint="eastAsia"/>
        </w:rPr>
        <w:t>同條</w:t>
      </w:r>
      <w:r w:rsidR="007D09A1" w:rsidRPr="00697C03">
        <w:rPr>
          <w:rFonts w:hint="eastAsia"/>
        </w:rPr>
        <w:t>第2項</w:t>
      </w:r>
      <w:r w:rsidR="00B03761" w:rsidRPr="00697C03">
        <w:rPr>
          <w:rStyle w:val="aff0"/>
        </w:rPr>
        <w:footnoteReference w:id="30"/>
      </w:r>
      <w:r w:rsidR="007D09A1" w:rsidRPr="00697C03">
        <w:rPr>
          <w:rFonts w:hint="eastAsia"/>
        </w:rPr>
        <w:t>「締約國承諾為確保兒童福祉所必要之保護與照顧，應考量其父母、法定監護人或其他對其負</w:t>
      </w:r>
      <w:r w:rsidR="006E0ED1" w:rsidRPr="00697C03">
        <w:rPr>
          <w:rFonts w:hint="eastAsia"/>
        </w:rPr>
        <w:t>有法律責任者之權利及義務，並採取一切適當之</w:t>
      </w:r>
      <w:r w:rsidR="006E0ED1" w:rsidRPr="00697C03">
        <w:rPr>
          <w:rFonts w:hint="eastAsia"/>
        </w:rPr>
        <w:lastRenderedPageBreak/>
        <w:t>立法及行政措施達成之</w:t>
      </w:r>
      <w:r w:rsidR="007D09A1" w:rsidRPr="00697C03">
        <w:rPr>
          <w:rFonts w:hint="eastAsia"/>
        </w:rPr>
        <w:t>」</w:t>
      </w:r>
      <w:r w:rsidR="00850235" w:rsidRPr="00697C03">
        <w:rPr>
          <w:rFonts w:hint="eastAsia"/>
        </w:rPr>
        <w:t>。</w:t>
      </w:r>
      <w:r w:rsidR="00496DBC" w:rsidRPr="00697C03">
        <w:rPr>
          <w:rFonts w:hint="eastAsia"/>
        </w:rPr>
        <w:t>我國</w:t>
      </w:r>
      <w:r w:rsidR="00B81296" w:rsidRPr="00697C03">
        <w:rPr>
          <w:rFonts w:hint="eastAsia"/>
        </w:rPr>
        <w:t>為實施聯合國</w:t>
      </w:r>
      <w:r w:rsidR="00734A18" w:rsidRPr="00697C03">
        <w:rPr>
          <w:rFonts w:hint="eastAsia"/>
        </w:rPr>
        <w:t>1989</w:t>
      </w:r>
      <w:r w:rsidR="00B81296" w:rsidRPr="00697C03">
        <w:rPr>
          <w:rFonts w:hint="eastAsia"/>
        </w:rPr>
        <w:t>年兒童權利公約，健全兒童及少年身心發展，落實保障及促進兒童及少年權利，特定</w:t>
      </w:r>
      <w:r w:rsidRPr="00697C03">
        <w:rPr>
          <w:rFonts w:hint="eastAsia"/>
        </w:rPr>
        <w:t>兒童權利公約施行法</w:t>
      </w:r>
      <w:r w:rsidR="00734A18" w:rsidRPr="00697C03">
        <w:rPr>
          <w:rFonts w:hint="eastAsia"/>
        </w:rPr>
        <w:t>（第1條參照）。按同法</w:t>
      </w:r>
      <w:r w:rsidRPr="00697C03">
        <w:rPr>
          <w:rFonts w:hint="eastAsia"/>
        </w:rPr>
        <w:t>第4</w:t>
      </w:r>
      <w:r w:rsidR="006E335E" w:rsidRPr="00697C03">
        <w:rPr>
          <w:rFonts w:hint="eastAsia"/>
        </w:rPr>
        <w:t>條</w:t>
      </w:r>
      <w:r w:rsidR="00734A18" w:rsidRPr="00697C03">
        <w:rPr>
          <w:rFonts w:hint="eastAsia"/>
        </w:rPr>
        <w:t>規定</w:t>
      </w:r>
      <w:r w:rsidR="006E335E" w:rsidRPr="00697C03">
        <w:rPr>
          <w:rFonts w:hint="eastAsia"/>
        </w:rPr>
        <w:t>，</w:t>
      </w:r>
      <w:r w:rsidRPr="00697C03">
        <w:rPr>
          <w:rFonts w:hint="eastAsia"/>
        </w:rPr>
        <w:t>「各級政府機關行使職權，應符合公約有關兒童及少年權利保障之規定，避免</w:t>
      </w:r>
      <w:r w:rsidR="00901012" w:rsidRPr="00697C03">
        <w:rPr>
          <w:rFonts w:hint="eastAsia"/>
        </w:rPr>
        <w:t>兒童及少年權利受到不法侵害，並積極促進兒童及少年權利之實現。」復</w:t>
      </w:r>
      <w:r w:rsidRPr="00697C03">
        <w:rPr>
          <w:rFonts w:hint="eastAsia"/>
        </w:rPr>
        <w:t>按學生輔導法第7條第4項規定，學校執行學生輔導工作，必要時，得結合學生輔導諮商中心、特殊教育資源中心、家庭教育中心等資源</w:t>
      </w:r>
      <w:r w:rsidR="00AF17DE" w:rsidRPr="00697C03">
        <w:rPr>
          <w:rFonts w:hint="eastAsia"/>
        </w:rPr>
        <w:t>，並得請求其他相關機關（構）協助，被請求之機關（構）應予配合。又</w:t>
      </w:r>
      <w:r w:rsidRPr="00697C03">
        <w:rPr>
          <w:rFonts w:hint="eastAsia"/>
        </w:rPr>
        <w:t>按行政程序法第19條第1項「行政機關為發揮共同一體之行政機能，應於其權限範圍內互相協助」</w:t>
      </w:r>
      <w:r w:rsidR="008E69BC" w:rsidRPr="00697C03">
        <w:rPr>
          <w:rFonts w:hint="eastAsia"/>
        </w:rPr>
        <w:t>等。</w:t>
      </w:r>
      <w:r w:rsidR="00892BA3" w:rsidRPr="00697C03">
        <w:rPr>
          <w:rFonts w:hint="eastAsia"/>
        </w:rPr>
        <w:t>準此，</w:t>
      </w:r>
      <w:r w:rsidRPr="00697C03">
        <w:rPr>
          <w:rFonts w:hint="eastAsia"/>
        </w:rPr>
        <w:t>依上述相關規定，</w:t>
      </w:r>
      <w:r w:rsidR="00A2726F" w:rsidRPr="00697C03">
        <w:rPr>
          <w:rFonts w:hint="eastAsia"/>
        </w:rPr>
        <w:t>為維護兒童相關權益，</w:t>
      </w:r>
      <w:r w:rsidRPr="00697C03">
        <w:rPr>
          <w:rFonts w:hint="eastAsia"/>
        </w:rPr>
        <w:t>教育部應</w:t>
      </w:r>
      <w:r w:rsidR="004C3BD6" w:rsidRPr="00697C03">
        <w:rPr>
          <w:rFonts w:hint="eastAsia"/>
        </w:rPr>
        <w:t>積極就相關權限執掌內之議題，</w:t>
      </w:r>
      <w:r w:rsidRPr="00697C03">
        <w:rPr>
          <w:rFonts w:hint="eastAsia"/>
        </w:rPr>
        <w:t>會同縣市政府針對本案相關實務反應待協調事項，</w:t>
      </w:r>
      <w:r w:rsidR="006D47AF" w:rsidRPr="00697C03">
        <w:rPr>
          <w:rFonts w:hint="eastAsia"/>
        </w:rPr>
        <w:t>並有待就各縣市學校反應尚須請求其他機關，包括如警政機關在內之其他行政機關積極協調解決</w:t>
      </w:r>
      <w:r w:rsidRPr="00697C03">
        <w:rPr>
          <w:rFonts w:hint="eastAsia"/>
        </w:rPr>
        <w:t>。</w:t>
      </w:r>
    </w:p>
    <w:p w:rsidR="00406A77" w:rsidRPr="00697C03" w:rsidRDefault="00406A77" w:rsidP="00406A77">
      <w:pPr>
        <w:pStyle w:val="3"/>
        <w:kinsoku/>
        <w:ind w:left="1360" w:hanging="680"/>
        <w:rPr>
          <w:rFonts w:hAnsi="標楷體"/>
        </w:rPr>
      </w:pPr>
      <w:r w:rsidRPr="00697C03">
        <w:rPr>
          <w:rFonts w:hAnsi="標楷體" w:hint="eastAsia"/>
        </w:rPr>
        <w:t>經查，</w:t>
      </w:r>
      <w:r w:rsidRPr="00697C03">
        <w:rPr>
          <w:rFonts w:hAnsi="標楷體" w:hint="eastAsia"/>
          <w:szCs w:val="52"/>
        </w:rPr>
        <w:t>針對十二年國教前九年之國民義務教育部分，依強迫入學條例等相關規定，教育部長期與縣市政府共同辦理國中小中輟生通報及輔導機制，因執行整體法源及分工機制</w:t>
      </w:r>
      <w:r w:rsidR="00650C72" w:rsidRPr="00697C03">
        <w:rPr>
          <w:rFonts w:hAnsi="標楷體" w:hint="eastAsia"/>
          <w:szCs w:val="52"/>
        </w:rPr>
        <w:t>相對</w:t>
      </w:r>
      <w:r w:rsidRPr="00697C03">
        <w:rPr>
          <w:rFonts w:hAnsi="標楷體" w:hint="eastAsia"/>
          <w:szCs w:val="52"/>
        </w:rPr>
        <w:t>明確，103至107學年度全國國民中小學中輟生之總數依序分別為4</w:t>
      </w:r>
      <w:r w:rsidRPr="00697C03">
        <w:rPr>
          <w:rFonts w:hAnsi="標楷體"/>
          <w:szCs w:val="52"/>
        </w:rPr>
        <w:t>,</w:t>
      </w:r>
      <w:r w:rsidRPr="00697C03">
        <w:rPr>
          <w:rFonts w:hAnsi="標楷體" w:hint="eastAsia"/>
          <w:szCs w:val="52"/>
        </w:rPr>
        <w:t>214、3</w:t>
      </w:r>
      <w:r w:rsidRPr="00697C03">
        <w:rPr>
          <w:rFonts w:hAnsi="標楷體"/>
          <w:szCs w:val="52"/>
        </w:rPr>
        <w:t>,</w:t>
      </w:r>
      <w:r w:rsidRPr="00697C03">
        <w:rPr>
          <w:rFonts w:hAnsi="標楷體" w:hint="eastAsia"/>
          <w:szCs w:val="52"/>
        </w:rPr>
        <w:t>934、3</w:t>
      </w:r>
      <w:r w:rsidRPr="00697C03">
        <w:rPr>
          <w:rFonts w:hAnsi="標楷體"/>
          <w:szCs w:val="52"/>
        </w:rPr>
        <w:t>,</w:t>
      </w:r>
      <w:r w:rsidRPr="00697C03">
        <w:rPr>
          <w:rFonts w:hAnsi="標楷體" w:hint="eastAsia"/>
          <w:szCs w:val="52"/>
        </w:rPr>
        <w:t>446、3</w:t>
      </w:r>
      <w:r w:rsidRPr="00697C03">
        <w:rPr>
          <w:rFonts w:hAnsi="標楷體"/>
          <w:szCs w:val="52"/>
        </w:rPr>
        <w:t>,</w:t>
      </w:r>
      <w:r w:rsidRPr="00697C03">
        <w:rPr>
          <w:rFonts w:hAnsi="標楷體" w:hint="eastAsia"/>
          <w:szCs w:val="52"/>
        </w:rPr>
        <w:t>134及3</w:t>
      </w:r>
      <w:r w:rsidRPr="00697C03">
        <w:rPr>
          <w:rFonts w:hAnsi="標楷體"/>
          <w:szCs w:val="52"/>
        </w:rPr>
        <w:t>,</w:t>
      </w:r>
      <w:r w:rsidRPr="00697C03">
        <w:rPr>
          <w:rFonts w:hAnsi="標楷體" w:hint="eastAsia"/>
          <w:szCs w:val="52"/>
        </w:rPr>
        <w:t>137人，103至107學年度自86.41%降至85.49%，</w:t>
      </w:r>
      <w:r w:rsidR="00B51EC4" w:rsidRPr="00697C03">
        <w:rPr>
          <w:rFonts w:hAnsi="標楷體" w:hint="eastAsia"/>
        </w:rPr>
        <w:t>雖逐漸呈下降趨勢情形，惟以少子女化現象衝擊</w:t>
      </w:r>
      <w:r w:rsidR="00FF19A3" w:rsidRPr="00697C03">
        <w:rPr>
          <w:rFonts w:hAnsi="標楷體" w:hint="eastAsia"/>
        </w:rPr>
        <w:t>，「一個都不能少」</w:t>
      </w:r>
      <w:r w:rsidRPr="00697C03">
        <w:rPr>
          <w:rFonts w:hAnsi="標楷體" w:hint="eastAsia"/>
        </w:rPr>
        <w:t>，</w:t>
      </w:r>
      <w:r w:rsidR="00B51EC4" w:rsidRPr="00697C03">
        <w:rPr>
          <w:rFonts w:hAnsi="標楷體" w:hint="eastAsia"/>
        </w:rPr>
        <w:t>及</w:t>
      </w:r>
      <w:r w:rsidRPr="00697C03">
        <w:rPr>
          <w:rFonts w:hAnsi="標楷體" w:hint="eastAsia"/>
        </w:rPr>
        <w:t>基於維護</w:t>
      </w:r>
      <w:r w:rsidR="00B51EC4" w:rsidRPr="00697C03">
        <w:rPr>
          <w:rFonts w:hAnsi="標楷體" w:hint="eastAsia"/>
        </w:rPr>
        <w:t>兒少</w:t>
      </w:r>
      <w:r w:rsidRPr="00697C03">
        <w:rPr>
          <w:rFonts w:hAnsi="標楷體" w:hint="eastAsia"/>
        </w:rPr>
        <w:t>基本教育權之概念下，</w:t>
      </w:r>
      <w:r w:rsidR="008F513C" w:rsidRPr="00697C03">
        <w:rPr>
          <w:rFonts w:hAnsi="標楷體" w:hint="eastAsia"/>
        </w:rPr>
        <w:t>我國</w:t>
      </w:r>
      <w:r w:rsidRPr="00697C03">
        <w:rPr>
          <w:rFonts w:hAnsi="標楷體" w:hint="eastAsia"/>
        </w:rPr>
        <w:t>中輟生總復學率仍待積極提升。歷年數據如下：</w:t>
      </w:r>
    </w:p>
    <w:p w:rsidR="00406A77" w:rsidRPr="00697C03" w:rsidRDefault="00406A77" w:rsidP="00406A77">
      <w:pPr>
        <w:pStyle w:val="a3"/>
        <w:rPr>
          <w:rFonts w:hAnsi="標楷體"/>
          <w:b/>
        </w:rPr>
      </w:pPr>
      <w:r w:rsidRPr="00697C03">
        <w:rPr>
          <w:rFonts w:hAnsi="標楷體" w:hint="eastAsia"/>
          <w:b/>
        </w:rPr>
        <w:lastRenderedPageBreak/>
        <w:t>中途輟學人數統計</w:t>
      </w:r>
    </w:p>
    <w:tbl>
      <w:tblPr>
        <w:tblStyle w:val="af6"/>
        <w:tblW w:w="8781" w:type="dxa"/>
        <w:jc w:val="center"/>
        <w:tblLook w:val="04A0" w:firstRow="1" w:lastRow="0" w:firstColumn="1" w:lastColumn="0" w:noHBand="0" w:noVBand="1"/>
      </w:tblPr>
      <w:tblGrid>
        <w:gridCol w:w="1187"/>
        <w:gridCol w:w="1134"/>
        <w:gridCol w:w="1417"/>
        <w:gridCol w:w="3261"/>
        <w:gridCol w:w="1782"/>
      </w:tblGrid>
      <w:tr w:rsidR="00697C03" w:rsidRPr="00697C03" w:rsidTr="004A7B4F">
        <w:trPr>
          <w:trHeight w:val="730"/>
          <w:tblHeader/>
          <w:jc w:val="center"/>
        </w:trPr>
        <w:tc>
          <w:tcPr>
            <w:tcW w:w="1187" w:type="dxa"/>
            <w:tcBorders>
              <w:top w:val="single" w:sz="6" w:space="0" w:color="00000A"/>
              <w:left w:val="single" w:sz="6" w:space="0" w:color="00000A"/>
              <w:bottom w:val="single" w:sz="6" w:space="0" w:color="00000A"/>
              <w:right w:val="single" w:sz="6" w:space="0" w:color="00000A"/>
            </w:tcBorders>
            <w:shd w:val="clear" w:color="auto" w:fill="E7E6E6" w:themeFill="background2"/>
            <w:vAlign w:val="center"/>
          </w:tcPr>
          <w:p w:rsidR="00406A77" w:rsidRPr="00697C03" w:rsidRDefault="00406A77" w:rsidP="00AB2FCB">
            <w:pPr>
              <w:pStyle w:val="Web"/>
              <w:adjustRightInd w:val="0"/>
              <w:snapToGrid w:val="0"/>
              <w:spacing w:before="0" w:beforeAutospacing="0" w:after="0" w:line="240" w:lineRule="atLeast"/>
              <w:jc w:val="center"/>
              <w:rPr>
                <w:rFonts w:ascii="標楷體" w:eastAsia="標楷體" w:hAnsi="標楷體"/>
                <w:b/>
                <w:sz w:val="28"/>
                <w:szCs w:val="28"/>
              </w:rPr>
            </w:pPr>
            <w:r w:rsidRPr="00697C03">
              <w:rPr>
                <w:rFonts w:ascii="標楷體" w:eastAsia="標楷體" w:hAnsi="標楷體"/>
                <w:b/>
                <w:sz w:val="28"/>
                <w:szCs w:val="28"/>
              </w:rPr>
              <w:t>學年度</w:t>
            </w:r>
          </w:p>
        </w:tc>
        <w:tc>
          <w:tcPr>
            <w:tcW w:w="1134" w:type="dxa"/>
            <w:shd w:val="clear" w:color="auto" w:fill="E7E6E6" w:themeFill="background2"/>
            <w:vAlign w:val="center"/>
          </w:tcPr>
          <w:p w:rsidR="00406A77" w:rsidRPr="00697C03" w:rsidRDefault="00406A77" w:rsidP="00AB2FCB">
            <w:pPr>
              <w:pStyle w:val="Web"/>
              <w:adjustRightInd w:val="0"/>
              <w:snapToGrid w:val="0"/>
              <w:spacing w:before="0" w:beforeAutospacing="0" w:after="0" w:line="240" w:lineRule="atLeast"/>
              <w:jc w:val="center"/>
              <w:rPr>
                <w:rFonts w:ascii="標楷體" w:eastAsia="標楷體" w:hAnsi="標楷體"/>
                <w:b/>
                <w:sz w:val="28"/>
                <w:szCs w:val="28"/>
              </w:rPr>
            </w:pPr>
            <w:r w:rsidRPr="00697C03">
              <w:rPr>
                <w:rFonts w:ascii="標楷體" w:eastAsia="標楷體" w:hAnsi="標楷體"/>
                <w:b/>
                <w:sz w:val="28"/>
                <w:szCs w:val="28"/>
              </w:rPr>
              <w:t>中輟</w:t>
            </w:r>
          </w:p>
          <w:p w:rsidR="00406A77" w:rsidRPr="00697C03" w:rsidRDefault="00406A77" w:rsidP="00AB2FCB">
            <w:pPr>
              <w:pStyle w:val="Web"/>
              <w:adjustRightInd w:val="0"/>
              <w:snapToGrid w:val="0"/>
              <w:spacing w:before="0" w:beforeAutospacing="0" w:after="0" w:line="240" w:lineRule="atLeast"/>
              <w:jc w:val="center"/>
              <w:rPr>
                <w:rFonts w:ascii="標楷體" w:eastAsia="標楷體" w:hAnsi="標楷體"/>
                <w:b/>
                <w:sz w:val="28"/>
                <w:szCs w:val="28"/>
              </w:rPr>
            </w:pPr>
            <w:r w:rsidRPr="00697C03">
              <w:rPr>
                <w:rFonts w:ascii="標楷體" w:eastAsia="標楷體" w:hAnsi="標楷體"/>
                <w:b/>
                <w:sz w:val="28"/>
                <w:szCs w:val="28"/>
              </w:rPr>
              <w:t>總人數</w:t>
            </w:r>
          </w:p>
        </w:tc>
        <w:tc>
          <w:tcPr>
            <w:tcW w:w="1417" w:type="dxa"/>
            <w:shd w:val="clear" w:color="auto" w:fill="E7E6E6" w:themeFill="background2"/>
            <w:vAlign w:val="center"/>
          </w:tcPr>
          <w:p w:rsidR="004A7B4F" w:rsidRPr="00697C03" w:rsidRDefault="00406A77" w:rsidP="00AB2FCB">
            <w:pPr>
              <w:pStyle w:val="Web"/>
              <w:adjustRightInd w:val="0"/>
              <w:snapToGrid w:val="0"/>
              <w:spacing w:before="0" w:beforeAutospacing="0" w:after="0" w:line="240" w:lineRule="atLeast"/>
              <w:jc w:val="center"/>
              <w:rPr>
                <w:rFonts w:ascii="標楷體" w:eastAsia="標楷體" w:hAnsi="標楷體"/>
                <w:b/>
                <w:sz w:val="28"/>
                <w:szCs w:val="28"/>
              </w:rPr>
            </w:pPr>
            <w:r w:rsidRPr="00697C03">
              <w:rPr>
                <w:rFonts w:ascii="標楷體" w:eastAsia="標楷體" w:hAnsi="標楷體"/>
                <w:b/>
                <w:sz w:val="28"/>
                <w:szCs w:val="28"/>
              </w:rPr>
              <w:t>行蹤</w:t>
            </w:r>
          </w:p>
          <w:p w:rsidR="00406A77" w:rsidRPr="00697C03" w:rsidRDefault="00406A77" w:rsidP="00AB2FCB">
            <w:pPr>
              <w:pStyle w:val="Web"/>
              <w:adjustRightInd w:val="0"/>
              <w:snapToGrid w:val="0"/>
              <w:spacing w:before="0" w:beforeAutospacing="0" w:after="0" w:line="240" w:lineRule="atLeast"/>
              <w:jc w:val="center"/>
              <w:rPr>
                <w:rFonts w:ascii="標楷體" w:eastAsia="標楷體" w:hAnsi="標楷體"/>
                <w:b/>
                <w:sz w:val="28"/>
                <w:szCs w:val="28"/>
              </w:rPr>
            </w:pPr>
            <w:r w:rsidRPr="00697C03">
              <w:rPr>
                <w:rFonts w:ascii="標楷體" w:eastAsia="標楷體" w:hAnsi="標楷體"/>
                <w:b/>
                <w:sz w:val="28"/>
                <w:szCs w:val="28"/>
              </w:rPr>
              <w:t>不明</w:t>
            </w:r>
          </w:p>
        </w:tc>
        <w:tc>
          <w:tcPr>
            <w:tcW w:w="3261" w:type="dxa"/>
            <w:shd w:val="clear" w:color="auto" w:fill="E7E6E6" w:themeFill="background2"/>
            <w:vAlign w:val="center"/>
          </w:tcPr>
          <w:p w:rsidR="00406A77" w:rsidRPr="00697C03" w:rsidRDefault="00406A77" w:rsidP="00AB2FCB">
            <w:pPr>
              <w:pStyle w:val="Web"/>
              <w:adjustRightInd w:val="0"/>
              <w:snapToGrid w:val="0"/>
              <w:spacing w:before="0" w:beforeAutospacing="0" w:after="0" w:line="240" w:lineRule="atLeast"/>
              <w:jc w:val="center"/>
              <w:rPr>
                <w:rFonts w:ascii="標楷體" w:eastAsia="標楷體" w:hAnsi="標楷體"/>
                <w:b/>
                <w:sz w:val="28"/>
                <w:szCs w:val="28"/>
              </w:rPr>
            </w:pPr>
            <w:r w:rsidRPr="00697C03">
              <w:rPr>
                <w:rFonts w:ascii="標楷體" w:eastAsia="標楷體" w:hAnsi="標楷體"/>
                <w:b/>
                <w:sz w:val="28"/>
                <w:szCs w:val="28"/>
              </w:rPr>
              <w:t>復學總人數</w:t>
            </w:r>
          </w:p>
          <w:p w:rsidR="00406A77" w:rsidRPr="00697C03" w:rsidRDefault="00406A77" w:rsidP="00AB2FCB">
            <w:pPr>
              <w:pStyle w:val="Web"/>
              <w:adjustRightInd w:val="0"/>
              <w:snapToGrid w:val="0"/>
              <w:spacing w:before="0" w:beforeAutospacing="0" w:after="0" w:line="240" w:lineRule="atLeast"/>
              <w:jc w:val="center"/>
              <w:rPr>
                <w:rFonts w:ascii="標楷體" w:eastAsia="標楷體" w:hAnsi="標楷體"/>
                <w:b/>
                <w:sz w:val="28"/>
                <w:szCs w:val="28"/>
              </w:rPr>
            </w:pPr>
            <w:r w:rsidRPr="00697C03">
              <w:rPr>
                <w:rFonts w:ascii="標楷體" w:eastAsia="標楷體" w:hAnsi="標楷體"/>
                <w:b/>
                <w:sz w:val="28"/>
                <w:szCs w:val="28"/>
              </w:rPr>
              <w:t>（含以前學年度輟學但於本學年度復學人數）</w:t>
            </w:r>
          </w:p>
        </w:tc>
        <w:tc>
          <w:tcPr>
            <w:tcW w:w="1782" w:type="dxa"/>
            <w:shd w:val="clear" w:color="auto" w:fill="E7E6E6" w:themeFill="background2"/>
            <w:vAlign w:val="center"/>
          </w:tcPr>
          <w:p w:rsidR="00406A77" w:rsidRPr="00697C03" w:rsidRDefault="00406A77" w:rsidP="00AB2FCB">
            <w:pPr>
              <w:pStyle w:val="Web"/>
              <w:adjustRightInd w:val="0"/>
              <w:snapToGrid w:val="0"/>
              <w:spacing w:before="0" w:beforeAutospacing="0" w:after="0" w:line="240" w:lineRule="atLeast"/>
              <w:jc w:val="center"/>
              <w:rPr>
                <w:rFonts w:ascii="標楷體" w:eastAsia="標楷體" w:hAnsi="標楷體"/>
                <w:b/>
                <w:sz w:val="28"/>
                <w:szCs w:val="28"/>
              </w:rPr>
            </w:pPr>
            <w:r w:rsidRPr="00697C03">
              <w:rPr>
                <w:rFonts w:ascii="標楷體" w:eastAsia="標楷體" w:hAnsi="標楷體"/>
                <w:b/>
                <w:sz w:val="28"/>
                <w:szCs w:val="28"/>
              </w:rPr>
              <w:t>該學年度總復學率</w:t>
            </w:r>
          </w:p>
        </w:tc>
      </w:tr>
      <w:tr w:rsidR="00697C03" w:rsidRPr="00697C03" w:rsidTr="00497D6E">
        <w:trPr>
          <w:trHeight w:val="58"/>
          <w:jc w:val="center"/>
        </w:trPr>
        <w:tc>
          <w:tcPr>
            <w:tcW w:w="1187" w:type="dxa"/>
            <w:tcBorders>
              <w:top w:val="single" w:sz="6" w:space="0" w:color="00000A"/>
              <w:left w:val="single" w:sz="6" w:space="0" w:color="00000A"/>
              <w:bottom w:val="single" w:sz="6" w:space="0" w:color="00000A"/>
              <w:right w:val="single" w:sz="6" w:space="0" w:color="00000A"/>
            </w:tcBorders>
            <w:vAlign w:val="bottom"/>
          </w:tcPr>
          <w:p w:rsidR="00406A77" w:rsidRPr="00697C03" w:rsidRDefault="00406A77" w:rsidP="00BF41DE">
            <w:pPr>
              <w:pStyle w:val="Web"/>
              <w:spacing w:before="0" w:beforeAutospacing="0" w:after="0" w:line="240" w:lineRule="auto"/>
              <w:jc w:val="center"/>
              <w:rPr>
                <w:rFonts w:ascii="標楷體" w:eastAsia="標楷體" w:hAnsi="標楷體"/>
                <w:sz w:val="26"/>
                <w:szCs w:val="26"/>
              </w:rPr>
            </w:pPr>
            <w:r w:rsidRPr="00697C03">
              <w:rPr>
                <w:rFonts w:ascii="標楷體" w:eastAsia="標楷體" w:hAnsi="標楷體"/>
                <w:sz w:val="26"/>
                <w:szCs w:val="26"/>
              </w:rPr>
              <w:t>102</w:t>
            </w:r>
          </w:p>
        </w:tc>
        <w:tc>
          <w:tcPr>
            <w:tcW w:w="1134" w:type="dxa"/>
            <w:vAlign w:val="bottom"/>
          </w:tcPr>
          <w:p w:rsidR="00406A77" w:rsidRPr="00697C03" w:rsidRDefault="00406A77" w:rsidP="00BF41DE">
            <w:pPr>
              <w:pStyle w:val="Web"/>
              <w:spacing w:before="0" w:beforeAutospacing="0" w:after="0" w:line="240" w:lineRule="auto"/>
              <w:jc w:val="center"/>
              <w:rPr>
                <w:rFonts w:ascii="標楷體" w:eastAsia="標楷體" w:hAnsi="標楷體"/>
                <w:sz w:val="26"/>
                <w:szCs w:val="26"/>
              </w:rPr>
            </w:pPr>
            <w:r w:rsidRPr="00697C03">
              <w:rPr>
                <w:rFonts w:ascii="標楷體" w:eastAsia="標楷體" w:hAnsi="標楷體"/>
                <w:sz w:val="26"/>
                <w:szCs w:val="26"/>
              </w:rPr>
              <w:t>4,316</w:t>
            </w:r>
          </w:p>
        </w:tc>
        <w:tc>
          <w:tcPr>
            <w:tcW w:w="1417" w:type="dxa"/>
            <w:vAlign w:val="bottom"/>
          </w:tcPr>
          <w:p w:rsidR="00406A77" w:rsidRPr="00697C03" w:rsidRDefault="00406A77" w:rsidP="00BF41DE">
            <w:pPr>
              <w:pStyle w:val="Web"/>
              <w:spacing w:before="0" w:beforeAutospacing="0" w:after="0" w:line="240" w:lineRule="auto"/>
              <w:jc w:val="center"/>
              <w:rPr>
                <w:rFonts w:ascii="標楷體" w:eastAsia="標楷體" w:hAnsi="標楷體"/>
                <w:sz w:val="26"/>
                <w:szCs w:val="26"/>
              </w:rPr>
            </w:pPr>
            <w:r w:rsidRPr="00697C03">
              <w:rPr>
                <w:rFonts w:ascii="標楷體" w:eastAsia="標楷體" w:hAnsi="標楷體"/>
                <w:sz w:val="26"/>
                <w:szCs w:val="26"/>
              </w:rPr>
              <w:t>2,834</w:t>
            </w:r>
          </w:p>
        </w:tc>
        <w:tc>
          <w:tcPr>
            <w:tcW w:w="3261" w:type="dxa"/>
            <w:vAlign w:val="bottom"/>
          </w:tcPr>
          <w:p w:rsidR="00406A77" w:rsidRPr="00697C03" w:rsidRDefault="00406A77" w:rsidP="00BF41DE">
            <w:pPr>
              <w:pStyle w:val="Web"/>
              <w:spacing w:before="0" w:beforeAutospacing="0" w:after="0" w:line="240" w:lineRule="auto"/>
              <w:jc w:val="center"/>
              <w:rPr>
                <w:rFonts w:ascii="標楷體" w:eastAsia="標楷體" w:hAnsi="標楷體"/>
                <w:sz w:val="26"/>
                <w:szCs w:val="26"/>
              </w:rPr>
            </w:pPr>
            <w:r w:rsidRPr="00697C03">
              <w:rPr>
                <w:rFonts w:ascii="標楷體" w:eastAsia="標楷體" w:hAnsi="標楷體"/>
                <w:sz w:val="26"/>
                <w:szCs w:val="26"/>
              </w:rPr>
              <w:t>4,329</w:t>
            </w:r>
          </w:p>
        </w:tc>
        <w:tc>
          <w:tcPr>
            <w:tcW w:w="1782" w:type="dxa"/>
            <w:vAlign w:val="bottom"/>
          </w:tcPr>
          <w:p w:rsidR="00406A77" w:rsidRPr="00697C03" w:rsidRDefault="00406A77" w:rsidP="00BF41DE">
            <w:pPr>
              <w:pStyle w:val="Web"/>
              <w:spacing w:before="0" w:beforeAutospacing="0" w:after="0" w:line="240" w:lineRule="auto"/>
              <w:jc w:val="center"/>
              <w:rPr>
                <w:rFonts w:ascii="標楷體" w:eastAsia="標楷體" w:hAnsi="標楷體"/>
                <w:sz w:val="26"/>
                <w:szCs w:val="26"/>
              </w:rPr>
            </w:pPr>
            <w:r w:rsidRPr="00697C03">
              <w:rPr>
                <w:rFonts w:ascii="標楷體" w:eastAsia="標楷體" w:hAnsi="標楷體"/>
                <w:sz w:val="26"/>
                <w:szCs w:val="26"/>
              </w:rPr>
              <w:t>85.98%</w:t>
            </w:r>
          </w:p>
        </w:tc>
      </w:tr>
      <w:tr w:rsidR="00697C03" w:rsidRPr="00697C03" w:rsidTr="00497D6E">
        <w:trPr>
          <w:jc w:val="center"/>
        </w:trPr>
        <w:tc>
          <w:tcPr>
            <w:tcW w:w="1187" w:type="dxa"/>
            <w:tcBorders>
              <w:top w:val="single" w:sz="6" w:space="0" w:color="00000A"/>
              <w:left w:val="single" w:sz="6" w:space="0" w:color="00000A"/>
              <w:bottom w:val="single" w:sz="6" w:space="0" w:color="00000A"/>
              <w:right w:val="single" w:sz="6" w:space="0" w:color="00000A"/>
            </w:tcBorders>
            <w:vAlign w:val="bottom"/>
          </w:tcPr>
          <w:p w:rsidR="00406A77" w:rsidRPr="00697C03" w:rsidRDefault="00406A77" w:rsidP="00BF41DE">
            <w:pPr>
              <w:pStyle w:val="Web"/>
              <w:spacing w:before="0" w:beforeAutospacing="0" w:after="0" w:line="240" w:lineRule="auto"/>
              <w:jc w:val="center"/>
              <w:rPr>
                <w:rFonts w:ascii="標楷體" w:eastAsia="標楷體" w:hAnsi="標楷體"/>
                <w:sz w:val="26"/>
                <w:szCs w:val="26"/>
              </w:rPr>
            </w:pPr>
            <w:r w:rsidRPr="00697C03">
              <w:rPr>
                <w:rFonts w:ascii="標楷體" w:eastAsia="標楷體" w:hAnsi="標楷體"/>
                <w:sz w:val="26"/>
                <w:szCs w:val="26"/>
              </w:rPr>
              <w:t>103</w:t>
            </w:r>
          </w:p>
        </w:tc>
        <w:tc>
          <w:tcPr>
            <w:tcW w:w="1134" w:type="dxa"/>
            <w:vAlign w:val="bottom"/>
          </w:tcPr>
          <w:p w:rsidR="00406A77" w:rsidRPr="00697C03" w:rsidRDefault="00406A77" w:rsidP="00BF41DE">
            <w:pPr>
              <w:pStyle w:val="Web"/>
              <w:spacing w:before="0" w:beforeAutospacing="0" w:after="0" w:line="240" w:lineRule="auto"/>
              <w:jc w:val="center"/>
              <w:rPr>
                <w:rFonts w:ascii="標楷體" w:eastAsia="標楷體" w:hAnsi="標楷體"/>
                <w:sz w:val="26"/>
                <w:szCs w:val="26"/>
              </w:rPr>
            </w:pPr>
            <w:r w:rsidRPr="00697C03">
              <w:rPr>
                <w:rFonts w:ascii="標楷體" w:eastAsia="標楷體" w:hAnsi="標楷體"/>
                <w:sz w:val="26"/>
                <w:szCs w:val="26"/>
              </w:rPr>
              <w:t>4,214</w:t>
            </w:r>
          </w:p>
        </w:tc>
        <w:tc>
          <w:tcPr>
            <w:tcW w:w="1417" w:type="dxa"/>
            <w:vAlign w:val="bottom"/>
          </w:tcPr>
          <w:p w:rsidR="00406A77" w:rsidRPr="00697C03" w:rsidRDefault="00406A77" w:rsidP="00BF41DE">
            <w:pPr>
              <w:pStyle w:val="Web"/>
              <w:spacing w:before="0" w:beforeAutospacing="0" w:after="0" w:line="240" w:lineRule="auto"/>
              <w:jc w:val="center"/>
              <w:rPr>
                <w:rFonts w:ascii="標楷體" w:eastAsia="標楷體" w:hAnsi="標楷體"/>
                <w:sz w:val="26"/>
                <w:szCs w:val="26"/>
              </w:rPr>
            </w:pPr>
            <w:r w:rsidRPr="00697C03">
              <w:rPr>
                <w:rFonts w:ascii="標楷體" w:eastAsia="標楷體" w:hAnsi="標楷體"/>
                <w:sz w:val="26"/>
                <w:szCs w:val="26"/>
              </w:rPr>
              <w:t>2,731</w:t>
            </w:r>
          </w:p>
        </w:tc>
        <w:tc>
          <w:tcPr>
            <w:tcW w:w="3261" w:type="dxa"/>
            <w:vAlign w:val="bottom"/>
          </w:tcPr>
          <w:p w:rsidR="00406A77" w:rsidRPr="00697C03" w:rsidRDefault="00406A77" w:rsidP="00BF41DE">
            <w:pPr>
              <w:pStyle w:val="Web"/>
              <w:spacing w:before="0" w:beforeAutospacing="0" w:after="0" w:line="240" w:lineRule="auto"/>
              <w:jc w:val="center"/>
              <w:rPr>
                <w:rFonts w:ascii="標楷體" w:eastAsia="標楷體" w:hAnsi="標楷體"/>
                <w:sz w:val="26"/>
                <w:szCs w:val="26"/>
              </w:rPr>
            </w:pPr>
            <w:r w:rsidRPr="00697C03">
              <w:rPr>
                <w:rFonts w:ascii="標楷體" w:eastAsia="標楷體" w:hAnsi="標楷體"/>
                <w:sz w:val="26"/>
                <w:szCs w:val="26"/>
              </w:rPr>
              <w:t>4,190</w:t>
            </w:r>
          </w:p>
        </w:tc>
        <w:tc>
          <w:tcPr>
            <w:tcW w:w="1782" w:type="dxa"/>
            <w:vAlign w:val="bottom"/>
          </w:tcPr>
          <w:p w:rsidR="00406A77" w:rsidRPr="00697C03" w:rsidRDefault="00406A77" w:rsidP="00BF41DE">
            <w:pPr>
              <w:pStyle w:val="Web"/>
              <w:spacing w:before="0" w:beforeAutospacing="0" w:after="0" w:line="240" w:lineRule="auto"/>
              <w:jc w:val="center"/>
              <w:rPr>
                <w:rFonts w:ascii="標楷體" w:eastAsia="標楷體" w:hAnsi="標楷體"/>
                <w:sz w:val="26"/>
                <w:szCs w:val="26"/>
              </w:rPr>
            </w:pPr>
            <w:r w:rsidRPr="00697C03">
              <w:rPr>
                <w:rFonts w:ascii="標楷體" w:eastAsia="標楷體" w:hAnsi="標楷體"/>
                <w:sz w:val="26"/>
                <w:szCs w:val="26"/>
              </w:rPr>
              <w:t>86.41%</w:t>
            </w:r>
          </w:p>
        </w:tc>
      </w:tr>
      <w:tr w:rsidR="00697C03" w:rsidRPr="00697C03" w:rsidTr="00497D6E">
        <w:trPr>
          <w:jc w:val="center"/>
        </w:trPr>
        <w:tc>
          <w:tcPr>
            <w:tcW w:w="1187" w:type="dxa"/>
            <w:tcBorders>
              <w:top w:val="single" w:sz="6" w:space="0" w:color="00000A"/>
              <w:left w:val="single" w:sz="6" w:space="0" w:color="00000A"/>
              <w:bottom w:val="single" w:sz="6" w:space="0" w:color="00000A"/>
              <w:right w:val="single" w:sz="6" w:space="0" w:color="00000A"/>
            </w:tcBorders>
            <w:vAlign w:val="bottom"/>
          </w:tcPr>
          <w:p w:rsidR="00406A77" w:rsidRPr="00697C03" w:rsidRDefault="00406A77" w:rsidP="00BF41DE">
            <w:pPr>
              <w:pStyle w:val="Web"/>
              <w:spacing w:before="0" w:beforeAutospacing="0" w:after="0" w:line="240" w:lineRule="auto"/>
              <w:jc w:val="center"/>
              <w:rPr>
                <w:rFonts w:ascii="標楷體" w:eastAsia="標楷體" w:hAnsi="標楷體"/>
                <w:sz w:val="26"/>
                <w:szCs w:val="26"/>
              </w:rPr>
            </w:pPr>
            <w:r w:rsidRPr="00697C03">
              <w:rPr>
                <w:rFonts w:ascii="標楷體" w:eastAsia="標楷體" w:hAnsi="標楷體"/>
                <w:sz w:val="26"/>
                <w:szCs w:val="26"/>
              </w:rPr>
              <w:t>104</w:t>
            </w:r>
          </w:p>
        </w:tc>
        <w:tc>
          <w:tcPr>
            <w:tcW w:w="1134" w:type="dxa"/>
            <w:vAlign w:val="bottom"/>
          </w:tcPr>
          <w:p w:rsidR="00406A77" w:rsidRPr="00697C03" w:rsidRDefault="00406A77" w:rsidP="00BF41DE">
            <w:pPr>
              <w:pStyle w:val="Web"/>
              <w:spacing w:before="0" w:beforeAutospacing="0" w:after="0" w:line="240" w:lineRule="auto"/>
              <w:jc w:val="center"/>
              <w:rPr>
                <w:rFonts w:ascii="標楷體" w:eastAsia="標楷體" w:hAnsi="標楷體"/>
                <w:sz w:val="26"/>
                <w:szCs w:val="26"/>
              </w:rPr>
            </w:pPr>
            <w:r w:rsidRPr="00697C03">
              <w:rPr>
                <w:rFonts w:ascii="標楷體" w:eastAsia="標楷體" w:hAnsi="標楷體"/>
                <w:sz w:val="26"/>
                <w:szCs w:val="26"/>
              </w:rPr>
              <w:t>3,934</w:t>
            </w:r>
          </w:p>
        </w:tc>
        <w:tc>
          <w:tcPr>
            <w:tcW w:w="1417" w:type="dxa"/>
            <w:vAlign w:val="bottom"/>
          </w:tcPr>
          <w:p w:rsidR="00406A77" w:rsidRPr="00697C03" w:rsidRDefault="00406A77" w:rsidP="00BF41DE">
            <w:pPr>
              <w:pStyle w:val="Web"/>
              <w:spacing w:before="0" w:beforeAutospacing="0" w:after="0" w:line="240" w:lineRule="auto"/>
              <w:jc w:val="center"/>
              <w:rPr>
                <w:rFonts w:ascii="標楷體" w:eastAsia="標楷體" w:hAnsi="標楷體"/>
                <w:sz w:val="26"/>
                <w:szCs w:val="26"/>
              </w:rPr>
            </w:pPr>
            <w:r w:rsidRPr="00697C03">
              <w:rPr>
                <w:rFonts w:ascii="標楷體" w:eastAsia="標楷體" w:hAnsi="標楷體"/>
                <w:sz w:val="26"/>
                <w:szCs w:val="26"/>
              </w:rPr>
              <w:t>2,550</w:t>
            </w:r>
          </w:p>
        </w:tc>
        <w:tc>
          <w:tcPr>
            <w:tcW w:w="3261" w:type="dxa"/>
            <w:vAlign w:val="bottom"/>
          </w:tcPr>
          <w:p w:rsidR="00406A77" w:rsidRPr="00697C03" w:rsidRDefault="00406A77" w:rsidP="00BF41DE">
            <w:pPr>
              <w:pStyle w:val="Web"/>
              <w:spacing w:before="0" w:beforeAutospacing="0" w:after="0" w:line="240" w:lineRule="auto"/>
              <w:jc w:val="center"/>
              <w:rPr>
                <w:rFonts w:ascii="標楷體" w:eastAsia="標楷體" w:hAnsi="標楷體"/>
                <w:sz w:val="26"/>
                <w:szCs w:val="26"/>
              </w:rPr>
            </w:pPr>
            <w:r w:rsidRPr="00697C03">
              <w:rPr>
                <w:rFonts w:ascii="標楷體" w:eastAsia="標楷體" w:hAnsi="標楷體"/>
                <w:sz w:val="26"/>
                <w:szCs w:val="26"/>
              </w:rPr>
              <w:t>3,911</w:t>
            </w:r>
          </w:p>
        </w:tc>
        <w:tc>
          <w:tcPr>
            <w:tcW w:w="1782" w:type="dxa"/>
            <w:vAlign w:val="bottom"/>
          </w:tcPr>
          <w:p w:rsidR="00406A77" w:rsidRPr="00697C03" w:rsidRDefault="00406A77" w:rsidP="00BF41DE">
            <w:pPr>
              <w:pStyle w:val="Web"/>
              <w:spacing w:before="0" w:beforeAutospacing="0" w:after="0" w:line="240" w:lineRule="auto"/>
              <w:jc w:val="center"/>
              <w:rPr>
                <w:rFonts w:ascii="標楷體" w:eastAsia="標楷體" w:hAnsi="標楷體"/>
                <w:sz w:val="26"/>
                <w:szCs w:val="26"/>
              </w:rPr>
            </w:pPr>
            <w:r w:rsidRPr="00697C03">
              <w:rPr>
                <w:rFonts w:ascii="標楷體" w:eastAsia="標楷體" w:hAnsi="標楷體"/>
                <w:sz w:val="26"/>
                <w:szCs w:val="26"/>
              </w:rPr>
              <w:t>86.03%</w:t>
            </w:r>
          </w:p>
        </w:tc>
      </w:tr>
      <w:tr w:rsidR="00697C03" w:rsidRPr="00697C03" w:rsidTr="00497D6E">
        <w:trPr>
          <w:trHeight w:val="58"/>
          <w:jc w:val="center"/>
        </w:trPr>
        <w:tc>
          <w:tcPr>
            <w:tcW w:w="1187" w:type="dxa"/>
            <w:tcBorders>
              <w:top w:val="single" w:sz="6" w:space="0" w:color="00000A"/>
              <w:left w:val="single" w:sz="6" w:space="0" w:color="00000A"/>
              <w:bottom w:val="single" w:sz="6" w:space="0" w:color="00000A"/>
              <w:right w:val="single" w:sz="6" w:space="0" w:color="00000A"/>
            </w:tcBorders>
            <w:vAlign w:val="bottom"/>
          </w:tcPr>
          <w:p w:rsidR="00406A77" w:rsidRPr="00697C03" w:rsidRDefault="00406A77" w:rsidP="00BF41DE">
            <w:pPr>
              <w:pStyle w:val="Web"/>
              <w:spacing w:before="0" w:beforeAutospacing="0" w:after="0" w:line="240" w:lineRule="auto"/>
              <w:jc w:val="center"/>
              <w:rPr>
                <w:rFonts w:ascii="標楷體" w:eastAsia="標楷體" w:hAnsi="標楷體"/>
                <w:sz w:val="26"/>
                <w:szCs w:val="26"/>
              </w:rPr>
            </w:pPr>
            <w:r w:rsidRPr="00697C03">
              <w:rPr>
                <w:rFonts w:ascii="標楷體" w:eastAsia="標楷體" w:hAnsi="標楷體"/>
                <w:sz w:val="26"/>
                <w:szCs w:val="26"/>
              </w:rPr>
              <w:t>105</w:t>
            </w:r>
          </w:p>
        </w:tc>
        <w:tc>
          <w:tcPr>
            <w:tcW w:w="1134" w:type="dxa"/>
            <w:vAlign w:val="bottom"/>
          </w:tcPr>
          <w:p w:rsidR="00406A77" w:rsidRPr="00697C03" w:rsidRDefault="00406A77" w:rsidP="00BF41DE">
            <w:pPr>
              <w:pStyle w:val="Web"/>
              <w:spacing w:before="0" w:beforeAutospacing="0" w:after="0" w:line="240" w:lineRule="auto"/>
              <w:jc w:val="center"/>
              <w:rPr>
                <w:rFonts w:ascii="標楷體" w:eastAsia="標楷體" w:hAnsi="標楷體"/>
                <w:sz w:val="26"/>
                <w:szCs w:val="26"/>
              </w:rPr>
            </w:pPr>
            <w:r w:rsidRPr="00697C03">
              <w:rPr>
                <w:rFonts w:ascii="標楷體" w:eastAsia="標楷體" w:hAnsi="標楷體"/>
                <w:sz w:val="26"/>
                <w:szCs w:val="26"/>
              </w:rPr>
              <w:t>3,446</w:t>
            </w:r>
          </w:p>
        </w:tc>
        <w:tc>
          <w:tcPr>
            <w:tcW w:w="1417" w:type="dxa"/>
            <w:vAlign w:val="bottom"/>
          </w:tcPr>
          <w:p w:rsidR="00406A77" w:rsidRPr="00697C03" w:rsidRDefault="00406A77" w:rsidP="00BF41DE">
            <w:pPr>
              <w:pStyle w:val="Web"/>
              <w:spacing w:before="0" w:beforeAutospacing="0" w:after="0" w:line="240" w:lineRule="auto"/>
              <w:jc w:val="center"/>
              <w:rPr>
                <w:rFonts w:ascii="標楷體" w:eastAsia="標楷體" w:hAnsi="標楷體"/>
                <w:sz w:val="26"/>
                <w:szCs w:val="26"/>
              </w:rPr>
            </w:pPr>
            <w:r w:rsidRPr="00697C03">
              <w:rPr>
                <w:rFonts w:ascii="標楷體" w:eastAsia="標楷體" w:hAnsi="標楷體"/>
                <w:sz w:val="26"/>
                <w:szCs w:val="26"/>
              </w:rPr>
              <w:t>2,178</w:t>
            </w:r>
          </w:p>
        </w:tc>
        <w:tc>
          <w:tcPr>
            <w:tcW w:w="3261" w:type="dxa"/>
            <w:vAlign w:val="bottom"/>
          </w:tcPr>
          <w:p w:rsidR="00406A77" w:rsidRPr="00697C03" w:rsidRDefault="00406A77" w:rsidP="00BF41DE">
            <w:pPr>
              <w:pStyle w:val="Web"/>
              <w:spacing w:before="0" w:beforeAutospacing="0" w:after="0" w:line="240" w:lineRule="auto"/>
              <w:jc w:val="center"/>
              <w:rPr>
                <w:rFonts w:ascii="標楷體" w:eastAsia="標楷體" w:hAnsi="標楷體"/>
                <w:sz w:val="26"/>
                <w:szCs w:val="26"/>
              </w:rPr>
            </w:pPr>
            <w:r w:rsidRPr="00697C03">
              <w:rPr>
                <w:rFonts w:ascii="標楷體" w:eastAsia="標楷體" w:hAnsi="標楷體"/>
                <w:sz w:val="26"/>
                <w:szCs w:val="26"/>
              </w:rPr>
              <w:t>3,448</w:t>
            </w:r>
          </w:p>
        </w:tc>
        <w:tc>
          <w:tcPr>
            <w:tcW w:w="1782" w:type="dxa"/>
            <w:vAlign w:val="bottom"/>
          </w:tcPr>
          <w:p w:rsidR="00406A77" w:rsidRPr="00697C03" w:rsidRDefault="00406A77" w:rsidP="00BF41DE">
            <w:pPr>
              <w:pStyle w:val="Web"/>
              <w:spacing w:before="0" w:beforeAutospacing="0" w:after="0" w:line="240" w:lineRule="auto"/>
              <w:jc w:val="center"/>
              <w:rPr>
                <w:rFonts w:ascii="標楷體" w:eastAsia="標楷體" w:hAnsi="標楷體"/>
                <w:sz w:val="26"/>
                <w:szCs w:val="26"/>
              </w:rPr>
            </w:pPr>
            <w:r w:rsidRPr="00697C03">
              <w:rPr>
                <w:rFonts w:ascii="標楷體" w:eastAsia="標楷體" w:hAnsi="標楷體"/>
                <w:sz w:val="26"/>
                <w:szCs w:val="26"/>
              </w:rPr>
              <w:t>85.43%</w:t>
            </w:r>
          </w:p>
        </w:tc>
      </w:tr>
      <w:tr w:rsidR="00697C03" w:rsidRPr="00697C03" w:rsidTr="00497D6E">
        <w:trPr>
          <w:trHeight w:val="58"/>
          <w:jc w:val="center"/>
        </w:trPr>
        <w:tc>
          <w:tcPr>
            <w:tcW w:w="1187" w:type="dxa"/>
            <w:tcBorders>
              <w:top w:val="single" w:sz="6" w:space="0" w:color="00000A"/>
              <w:left w:val="single" w:sz="6" w:space="0" w:color="00000A"/>
              <w:bottom w:val="single" w:sz="6" w:space="0" w:color="00000A"/>
              <w:right w:val="single" w:sz="6" w:space="0" w:color="00000A"/>
            </w:tcBorders>
            <w:vAlign w:val="bottom"/>
          </w:tcPr>
          <w:p w:rsidR="00406A77" w:rsidRPr="00697C03" w:rsidRDefault="00406A77" w:rsidP="00BF41DE">
            <w:pPr>
              <w:pStyle w:val="Web"/>
              <w:spacing w:before="0" w:beforeAutospacing="0" w:after="0" w:line="240" w:lineRule="auto"/>
              <w:jc w:val="center"/>
              <w:rPr>
                <w:rFonts w:ascii="標楷體" w:eastAsia="標楷體" w:hAnsi="標楷體"/>
                <w:sz w:val="26"/>
                <w:szCs w:val="26"/>
              </w:rPr>
            </w:pPr>
            <w:r w:rsidRPr="00697C03">
              <w:rPr>
                <w:rFonts w:ascii="標楷體" w:eastAsia="標楷體" w:hAnsi="標楷體"/>
                <w:sz w:val="26"/>
                <w:szCs w:val="26"/>
              </w:rPr>
              <w:t>106</w:t>
            </w:r>
          </w:p>
        </w:tc>
        <w:tc>
          <w:tcPr>
            <w:tcW w:w="1134" w:type="dxa"/>
            <w:vAlign w:val="bottom"/>
          </w:tcPr>
          <w:p w:rsidR="00406A77" w:rsidRPr="00697C03" w:rsidRDefault="00406A77" w:rsidP="00BF41DE">
            <w:pPr>
              <w:pStyle w:val="Web"/>
              <w:spacing w:before="0" w:beforeAutospacing="0" w:after="0" w:line="240" w:lineRule="auto"/>
              <w:jc w:val="center"/>
              <w:rPr>
                <w:rFonts w:ascii="標楷體" w:eastAsia="標楷體" w:hAnsi="標楷體"/>
                <w:sz w:val="26"/>
                <w:szCs w:val="26"/>
              </w:rPr>
            </w:pPr>
            <w:r w:rsidRPr="00697C03">
              <w:rPr>
                <w:rFonts w:ascii="標楷體" w:eastAsia="標楷體" w:hAnsi="標楷體"/>
                <w:sz w:val="26"/>
                <w:szCs w:val="26"/>
              </w:rPr>
              <w:t>3,134</w:t>
            </w:r>
          </w:p>
        </w:tc>
        <w:tc>
          <w:tcPr>
            <w:tcW w:w="1417" w:type="dxa"/>
            <w:vAlign w:val="bottom"/>
          </w:tcPr>
          <w:p w:rsidR="00406A77" w:rsidRPr="00697C03" w:rsidRDefault="00406A77" w:rsidP="00BF41DE">
            <w:pPr>
              <w:pStyle w:val="Web"/>
              <w:spacing w:before="0" w:beforeAutospacing="0" w:after="0" w:line="240" w:lineRule="auto"/>
              <w:jc w:val="center"/>
              <w:rPr>
                <w:rFonts w:ascii="標楷體" w:eastAsia="標楷體" w:hAnsi="標楷體"/>
                <w:sz w:val="26"/>
                <w:szCs w:val="26"/>
              </w:rPr>
            </w:pPr>
            <w:r w:rsidRPr="00697C03">
              <w:rPr>
                <w:rFonts w:ascii="標楷體" w:eastAsia="標楷體" w:hAnsi="標楷體"/>
                <w:sz w:val="26"/>
                <w:szCs w:val="26"/>
              </w:rPr>
              <w:t>1,829</w:t>
            </w:r>
          </w:p>
        </w:tc>
        <w:tc>
          <w:tcPr>
            <w:tcW w:w="3261" w:type="dxa"/>
            <w:vAlign w:val="bottom"/>
          </w:tcPr>
          <w:p w:rsidR="00406A77" w:rsidRPr="00697C03" w:rsidRDefault="00406A77" w:rsidP="00BF41DE">
            <w:pPr>
              <w:pStyle w:val="Web"/>
              <w:spacing w:before="0" w:beforeAutospacing="0" w:after="0" w:line="240" w:lineRule="auto"/>
              <w:jc w:val="center"/>
              <w:rPr>
                <w:rFonts w:ascii="標楷體" w:eastAsia="標楷體" w:hAnsi="標楷體"/>
                <w:sz w:val="26"/>
                <w:szCs w:val="26"/>
              </w:rPr>
            </w:pPr>
            <w:r w:rsidRPr="00697C03">
              <w:rPr>
                <w:rFonts w:ascii="標楷體" w:eastAsia="標楷體" w:hAnsi="標楷體"/>
                <w:sz w:val="26"/>
                <w:szCs w:val="26"/>
              </w:rPr>
              <w:t>3,114</w:t>
            </w:r>
          </w:p>
        </w:tc>
        <w:tc>
          <w:tcPr>
            <w:tcW w:w="1782" w:type="dxa"/>
            <w:vAlign w:val="bottom"/>
          </w:tcPr>
          <w:p w:rsidR="00406A77" w:rsidRPr="00697C03" w:rsidRDefault="00406A77" w:rsidP="00BF41DE">
            <w:pPr>
              <w:pStyle w:val="Web"/>
              <w:spacing w:before="0" w:beforeAutospacing="0" w:after="0" w:line="240" w:lineRule="auto"/>
              <w:jc w:val="center"/>
              <w:rPr>
                <w:rFonts w:ascii="標楷體" w:eastAsia="標楷體" w:hAnsi="標楷體"/>
                <w:sz w:val="26"/>
                <w:szCs w:val="26"/>
              </w:rPr>
            </w:pPr>
            <w:r w:rsidRPr="00697C03">
              <w:rPr>
                <w:rFonts w:ascii="標楷體" w:eastAsia="標楷體" w:hAnsi="標楷體"/>
                <w:sz w:val="26"/>
                <w:szCs w:val="26"/>
              </w:rPr>
              <w:t>86.74%</w:t>
            </w:r>
          </w:p>
        </w:tc>
      </w:tr>
      <w:tr w:rsidR="00697C03" w:rsidRPr="00697C03" w:rsidTr="00497D6E">
        <w:trPr>
          <w:trHeight w:val="58"/>
          <w:jc w:val="center"/>
        </w:trPr>
        <w:tc>
          <w:tcPr>
            <w:tcW w:w="1187" w:type="dxa"/>
            <w:tcBorders>
              <w:top w:val="single" w:sz="6" w:space="0" w:color="00000A"/>
              <w:left w:val="single" w:sz="6" w:space="0" w:color="00000A"/>
              <w:bottom w:val="single" w:sz="6" w:space="0" w:color="00000A"/>
              <w:right w:val="single" w:sz="6" w:space="0" w:color="00000A"/>
            </w:tcBorders>
            <w:vAlign w:val="bottom"/>
          </w:tcPr>
          <w:p w:rsidR="00406A77" w:rsidRPr="00697C03" w:rsidRDefault="00406A77" w:rsidP="00BF41DE">
            <w:pPr>
              <w:pStyle w:val="Web"/>
              <w:spacing w:before="0" w:beforeAutospacing="0" w:after="0" w:line="240" w:lineRule="auto"/>
              <w:jc w:val="center"/>
              <w:rPr>
                <w:rFonts w:ascii="標楷體" w:eastAsia="標楷體" w:hAnsi="標楷體"/>
                <w:sz w:val="26"/>
                <w:szCs w:val="26"/>
              </w:rPr>
            </w:pPr>
            <w:r w:rsidRPr="00697C03">
              <w:rPr>
                <w:rFonts w:ascii="標楷體" w:eastAsia="標楷體" w:hAnsi="標楷體"/>
                <w:sz w:val="26"/>
                <w:szCs w:val="26"/>
              </w:rPr>
              <w:t>107</w:t>
            </w:r>
          </w:p>
        </w:tc>
        <w:tc>
          <w:tcPr>
            <w:tcW w:w="1134" w:type="dxa"/>
            <w:vAlign w:val="bottom"/>
          </w:tcPr>
          <w:p w:rsidR="00406A77" w:rsidRPr="00697C03" w:rsidRDefault="00406A77" w:rsidP="00BF41DE">
            <w:pPr>
              <w:pStyle w:val="Web"/>
              <w:spacing w:before="0" w:beforeAutospacing="0" w:after="0" w:line="240" w:lineRule="auto"/>
              <w:jc w:val="center"/>
              <w:rPr>
                <w:rFonts w:ascii="標楷體" w:eastAsia="標楷體" w:hAnsi="標楷體"/>
                <w:sz w:val="26"/>
                <w:szCs w:val="26"/>
              </w:rPr>
            </w:pPr>
            <w:r w:rsidRPr="00697C03">
              <w:rPr>
                <w:rFonts w:ascii="標楷體" w:eastAsia="標楷體" w:hAnsi="標楷體"/>
                <w:sz w:val="26"/>
                <w:szCs w:val="26"/>
              </w:rPr>
              <w:t>3,137</w:t>
            </w:r>
          </w:p>
        </w:tc>
        <w:tc>
          <w:tcPr>
            <w:tcW w:w="1417" w:type="dxa"/>
            <w:vAlign w:val="bottom"/>
          </w:tcPr>
          <w:p w:rsidR="00406A77" w:rsidRPr="00697C03" w:rsidRDefault="00406A77" w:rsidP="00BF41DE">
            <w:pPr>
              <w:pStyle w:val="Web"/>
              <w:spacing w:before="0" w:beforeAutospacing="0" w:after="0" w:line="240" w:lineRule="auto"/>
              <w:jc w:val="center"/>
              <w:rPr>
                <w:rFonts w:ascii="標楷體" w:eastAsia="標楷體" w:hAnsi="標楷體"/>
                <w:sz w:val="26"/>
                <w:szCs w:val="26"/>
              </w:rPr>
            </w:pPr>
            <w:r w:rsidRPr="00697C03">
              <w:rPr>
                <w:rFonts w:ascii="標楷體" w:eastAsia="標楷體" w:hAnsi="標楷體"/>
                <w:sz w:val="26"/>
                <w:szCs w:val="26"/>
              </w:rPr>
              <w:t>1,856</w:t>
            </w:r>
          </w:p>
        </w:tc>
        <w:tc>
          <w:tcPr>
            <w:tcW w:w="3261" w:type="dxa"/>
            <w:vAlign w:val="bottom"/>
          </w:tcPr>
          <w:p w:rsidR="00406A77" w:rsidRPr="00697C03" w:rsidRDefault="00406A77" w:rsidP="00BF41DE">
            <w:pPr>
              <w:pStyle w:val="Web"/>
              <w:spacing w:before="0" w:beforeAutospacing="0" w:after="0" w:line="240" w:lineRule="auto"/>
              <w:jc w:val="center"/>
              <w:rPr>
                <w:rFonts w:ascii="標楷體" w:eastAsia="標楷體" w:hAnsi="標楷體"/>
                <w:sz w:val="26"/>
                <w:szCs w:val="26"/>
              </w:rPr>
            </w:pPr>
            <w:r w:rsidRPr="00697C03">
              <w:rPr>
                <w:rFonts w:ascii="標楷體" w:eastAsia="標楷體" w:hAnsi="標楷體"/>
                <w:sz w:val="26"/>
                <w:szCs w:val="26"/>
              </w:rPr>
              <w:t>3,035</w:t>
            </w:r>
          </w:p>
        </w:tc>
        <w:tc>
          <w:tcPr>
            <w:tcW w:w="1782" w:type="dxa"/>
            <w:vAlign w:val="bottom"/>
          </w:tcPr>
          <w:p w:rsidR="00406A77" w:rsidRPr="00697C03" w:rsidRDefault="00406A77" w:rsidP="00BF41DE">
            <w:pPr>
              <w:pStyle w:val="Web"/>
              <w:spacing w:before="0" w:beforeAutospacing="0" w:after="0" w:line="240" w:lineRule="auto"/>
              <w:jc w:val="center"/>
              <w:rPr>
                <w:rFonts w:ascii="標楷體" w:eastAsia="標楷體" w:hAnsi="標楷體"/>
                <w:sz w:val="26"/>
                <w:szCs w:val="26"/>
              </w:rPr>
            </w:pPr>
            <w:r w:rsidRPr="00697C03">
              <w:rPr>
                <w:rFonts w:ascii="標楷體" w:eastAsia="標楷體" w:hAnsi="標楷體"/>
                <w:sz w:val="26"/>
                <w:szCs w:val="26"/>
              </w:rPr>
              <w:t>85.49%</w:t>
            </w:r>
          </w:p>
        </w:tc>
      </w:tr>
    </w:tbl>
    <w:p w:rsidR="00406A77" w:rsidRPr="00697C03" w:rsidRDefault="00406A77" w:rsidP="00406A77">
      <w:pPr>
        <w:rPr>
          <w:rFonts w:ascii="標楷體" w:hAnsi="標楷體"/>
          <w:sz w:val="24"/>
          <w:szCs w:val="24"/>
        </w:rPr>
      </w:pPr>
      <w:r w:rsidRPr="00697C03">
        <w:rPr>
          <w:rFonts w:ascii="標楷體" w:hAnsi="標楷體" w:hint="eastAsia"/>
        </w:rPr>
        <w:t xml:space="preserve">  </w:t>
      </w:r>
      <w:r w:rsidRPr="00697C03">
        <w:rPr>
          <w:rFonts w:ascii="標楷體" w:hAnsi="標楷體" w:hint="eastAsia"/>
          <w:sz w:val="24"/>
          <w:szCs w:val="24"/>
        </w:rPr>
        <w:t>資料來源：教育部調卷資料。</w:t>
      </w:r>
    </w:p>
    <w:p w:rsidR="00406A77" w:rsidRPr="00697C03" w:rsidRDefault="00406A77" w:rsidP="00406A77">
      <w:pPr>
        <w:rPr>
          <w:rFonts w:ascii="標楷體" w:hAnsi="標楷體"/>
        </w:rPr>
      </w:pPr>
    </w:p>
    <w:p w:rsidR="00406A77" w:rsidRPr="00697C03" w:rsidRDefault="00A84293" w:rsidP="00406A77">
      <w:pPr>
        <w:pStyle w:val="3"/>
        <w:kinsoku/>
        <w:ind w:left="1360" w:hanging="680"/>
        <w:rPr>
          <w:rFonts w:hAnsi="標楷體"/>
        </w:rPr>
      </w:pPr>
      <w:r w:rsidRPr="00697C03">
        <w:rPr>
          <w:rFonts w:hAnsi="標楷體" w:hint="eastAsia"/>
        </w:rPr>
        <w:t>此外，除</w:t>
      </w:r>
      <w:r w:rsidR="00406A77" w:rsidRPr="00697C03">
        <w:rPr>
          <w:rFonts w:hAnsi="標楷體" w:hint="eastAsia"/>
        </w:rPr>
        <w:t>上述整體</w:t>
      </w:r>
      <w:r w:rsidR="00537235" w:rsidRPr="00697C03">
        <w:rPr>
          <w:rFonts w:hAnsi="標楷體" w:hint="eastAsia"/>
        </w:rPr>
        <w:t>中輟生復學率</w:t>
      </w:r>
      <w:r w:rsidR="00B04A3D" w:rsidRPr="00697C03">
        <w:rPr>
          <w:rFonts w:hAnsi="標楷體" w:hint="eastAsia"/>
        </w:rPr>
        <w:t>亟待改善</w:t>
      </w:r>
      <w:r w:rsidR="001B3819" w:rsidRPr="00697C03">
        <w:rPr>
          <w:rFonts w:hAnsi="標楷體" w:hint="eastAsia"/>
        </w:rPr>
        <w:t>外，針對此議題，本案</w:t>
      </w:r>
      <w:r w:rsidR="00406A77" w:rsidRPr="00697C03">
        <w:rPr>
          <w:rFonts w:hAnsi="標楷體" w:hint="eastAsia"/>
        </w:rPr>
        <w:t>履勘及簡報座談意見顯示，由於少子女化造成高中職端及大專校院端之招生壓力，部分學校招生方式及管道多元，導致部分學生因較無升學門檻壓力，加以畢業證書尚非入學門檻，爰未有積極返校就學之意願，造成學校端更難以尋回及輔導。此有本案履勘、簡報資料及座談之部分縣市政府意見指出</w:t>
      </w:r>
      <w:r w:rsidR="008F4B2F" w:rsidRPr="00697C03">
        <w:rPr>
          <w:rFonts w:hAnsi="標楷體" w:hint="eastAsia"/>
        </w:rPr>
        <w:t>略以</w:t>
      </w:r>
      <w:r w:rsidR="00406A77" w:rsidRPr="00697C03">
        <w:rPr>
          <w:rFonts w:hAnsi="標楷體" w:hint="eastAsia"/>
        </w:rPr>
        <w:t>，「學生及家長表示不需取得國中端畢業證</w:t>
      </w:r>
      <w:r w:rsidR="002C1E6B" w:rsidRPr="00697C03">
        <w:rPr>
          <w:rFonts w:hAnsi="標楷體" w:hint="eastAsia"/>
        </w:rPr>
        <w:t>書」及「中輟生表示已有高中職可就讀，不用到國中尚學」等語。此外</w:t>
      </w:r>
      <w:r w:rsidR="00406A77" w:rsidRPr="00697C03">
        <w:rPr>
          <w:rFonts w:hAnsi="標楷體" w:hint="eastAsia"/>
        </w:rPr>
        <w:t>其他意見指稱</w:t>
      </w:r>
      <w:r w:rsidR="00B51CD8" w:rsidRPr="00697C03">
        <w:rPr>
          <w:rFonts w:hAnsi="標楷體" w:hint="eastAsia"/>
        </w:rPr>
        <w:t>如</w:t>
      </w:r>
      <w:r w:rsidR="00406A77" w:rsidRPr="00697C03">
        <w:rPr>
          <w:rFonts w:hAnsi="標楷體" w:hint="eastAsia"/>
        </w:rPr>
        <w:t>，「礙於高級中等學校學生學習評量辦法第25條規定</w:t>
      </w:r>
      <w:r w:rsidR="00E34430" w:rsidRPr="00697C03">
        <w:rPr>
          <w:rFonts w:hAnsi="標楷體" w:hint="eastAsia"/>
        </w:rPr>
        <w:t>（</w:t>
      </w:r>
      <w:r w:rsidR="00406A77" w:rsidRPr="00697C03">
        <w:rPr>
          <w:rFonts w:hAnsi="標楷體" w:hint="eastAsia"/>
        </w:rPr>
        <w:t>學生曠課及事假之缺課節數合計達該科目全學期總修習節數1/3者，該科目學期學業成績以零分計算</w:t>
      </w:r>
      <w:r w:rsidR="0079236E" w:rsidRPr="00697C03">
        <w:rPr>
          <w:rFonts w:hAnsi="標楷體" w:hint="eastAsia"/>
        </w:rPr>
        <w:t>）</w:t>
      </w:r>
      <w:r w:rsidR="00406A77" w:rsidRPr="00697C03">
        <w:rPr>
          <w:rFonts w:hAnsi="標楷體" w:hint="eastAsia"/>
        </w:rPr>
        <w:t>，學校申辦高級中等學校學生穩定就學措施實施計畫意願低，中離預防輔導工作成效不彰」等因涉整體機制設計，均待教育部後續盡速整體通盤檢討改善。</w:t>
      </w:r>
    </w:p>
    <w:p w:rsidR="00406A77" w:rsidRPr="00697C03" w:rsidRDefault="00406A77" w:rsidP="00406A77">
      <w:pPr>
        <w:pStyle w:val="3"/>
        <w:kinsoku/>
        <w:ind w:left="1360" w:hanging="680"/>
        <w:rPr>
          <w:rFonts w:hAnsi="標楷體"/>
        </w:rPr>
      </w:pPr>
      <w:r w:rsidRPr="00697C03">
        <w:rPr>
          <w:rFonts w:hAnsi="標楷體" w:hint="eastAsia"/>
        </w:rPr>
        <w:t>究此問題，教育部主管人員於本院109年3月31日約詢會議補充資料及會上發言分別指出，「</w:t>
      </w:r>
      <w:r w:rsidRPr="00697C03">
        <w:rPr>
          <w:rFonts w:hAnsi="標楷體" w:hint="eastAsia"/>
          <w:bCs w:val="0"/>
          <w:szCs w:val="52"/>
        </w:rPr>
        <w:t>如有私立高級中等學校未依招生作業期程規定提前招生，係屬違法，本部將加強查核學籍系統與入學管理系</w:t>
      </w:r>
      <w:r w:rsidRPr="00697C03">
        <w:rPr>
          <w:rFonts w:hAnsi="標楷體" w:hint="eastAsia"/>
          <w:bCs w:val="0"/>
          <w:szCs w:val="52"/>
        </w:rPr>
        <w:lastRenderedPageBreak/>
        <w:t>統之資料勾稽比對，杜絶類似違法招生情形</w:t>
      </w:r>
      <w:r w:rsidRPr="00697C03">
        <w:rPr>
          <w:rFonts w:hAnsi="標楷體" w:hint="eastAsia"/>
        </w:rPr>
        <w:t>」及「因為學生已經有去路，後面時間就不願意到校。就法令來說，因為高中各項入學作業是６月中旬，會考之後才可以展開招生，如果高中職對國中端有提前，行政層面上是違反招生作業規定」。惟若針對中輟生提前試探部分，該部亦稱「未來應該要有修法空間排除限制，讓他有優先試探的機會」及「針對高中升大學部分，確實在招生階段如果持結業證書和修業證明文件是以同等學力報考大學，後續本部可以配合從整體學制上一起來研議可行作法。」等語，此併涉相關法令限制及彈性制度，亦亟需由教育部通盤檢討因應，方為正辦。</w:t>
      </w:r>
    </w:p>
    <w:p w:rsidR="00406A77" w:rsidRPr="00697C03" w:rsidRDefault="00406A77" w:rsidP="00406A77">
      <w:pPr>
        <w:pStyle w:val="3"/>
        <w:kinsoku/>
        <w:ind w:left="1360" w:hanging="680"/>
        <w:rPr>
          <w:rFonts w:hAnsi="標楷體"/>
        </w:rPr>
      </w:pPr>
      <w:r w:rsidRPr="00697C03">
        <w:rPr>
          <w:rFonts w:hAnsi="標楷體" w:hint="eastAsia"/>
        </w:rPr>
        <w:t>而針對</w:t>
      </w:r>
      <w:r w:rsidR="00B67D09" w:rsidRPr="00697C03">
        <w:rPr>
          <w:rFonts w:hAnsi="標楷體" w:hint="eastAsia"/>
        </w:rPr>
        <w:t>畢結業</w:t>
      </w:r>
      <w:r w:rsidRPr="00697C03">
        <w:rPr>
          <w:rFonts w:hAnsi="標楷體" w:hint="eastAsia"/>
        </w:rPr>
        <w:t>門檻部分，按教育部國民小學及國民中學學生成績評量準則</w:t>
      </w:r>
      <w:r w:rsidRPr="00697C03">
        <w:rPr>
          <w:rStyle w:val="aff0"/>
          <w:rFonts w:hAnsi="標楷體"/>
        </w:rPr>
        <w:footnoteReference w:id="31"/>
      </w:r>
      <w:r w:rsidRPr="00697C03">
        <w:rPr>
          <w:rFonts w:hAnsi="標楷體" w:hint="eastAsia"/>
        </w:rPr>
        <w:t>，108學年度學生修業期滿，符合下列規定者，為成績及格由學校發給畢業證書；未達畢業標準者，發給修業證明書：1.學習期間扣除學校核可之公、喪、病假，上課總出席率至少達三分之二以上。2.經獎懲抵銷後，未滿三大過。3.八大學習領域有四大學習領域以上畢業總平均成績丙等</w:t>
      </w:r>
      <w:r w:rsidR="0079236E" w:rsidRPr="00697C03">
        <w:rPr>
          <w:rFonts w:hAnsi="標楷體" w:hint="eastAsia"/>
        </w:rPr>
        <w:t>（</w:t>
      </w:r>
      <w:r w:rsidRPr="00697C03">
        <w:rPr>
          <w:rFonts w:hAnsi="標楷體" w:hint="eastAsia"/>
        </w:rPr>
        <w:t>即60分</w:t>
      </w:r>
      <w:r w:rsidR="0079236E" w:rsidRPr="00697C03">
        <w:rPr>
          <w:rFonts w:hAnsi="標楷體" w:hint="eastAsia"/>
        </w:rPr>
        <w:t>）</w:t>
      </w:r>
      <w:r w:rsidRPr="00697C03">
        <w:rPr>
          <w:rFonts w:hAnsi="標楷體" w:hint="eastAsia"/>
        </w:rPr>
        <w:t>以上。另按高級中等學校學生學習評量辦法第25條第2</w:t>
      </w:r>
      <w:r w:rsidR="00070586" w:rsidRPr="00697C03">
        <w:rPr>
          <w:rFonts w:hAnsi="標楷體" w:hint="eastAsia"/>
        </w:rPr>
        <w:t>項規定，</w:t>
      </w:r>
      <w:r w:rsidRPr="00697C03">
        <w:rPr>
          <w:rFonts w:hAnsi="標楷體" w:hint="eastAsia"/>
        </w:rPr>
        <w:t>「學生缺課致影響課業時，學校應視其情形提供預警措施，並給予個別輔導。」學校就學生出缺席紀錄明顯異常，以致影響課業時，應適時提出預警並給予個別輔導。惟本院於本案履勘縣市政府及座談會議中，亦有高中職端校長代表指出，依現行規定中離生因持結業證書亦得升學大專校院，爰不重視高中畢業證書，顯難以有效遏止中離情事，而國民中小學亦有相同現象，</w:t>
      </w:r>
      <w:r w:rsidRPr="00697C03">
        <w:rPr>
          <w:rFonts w:hAnsi="標楷體" w:hint="eastAsia"/>
        </w:rPr>
        <w:lastRenderedPageBreak/>
        <w:t>恐不利基本能力之確保及提升等語。</w:t>
      </w:r>
    </w:p>
    <w:p w:rsidR="00406A77" w:rsidRPr="00697C03" w:rsidRDefault="002D7156" w:rsidP="00406A77">
      <w:pPr>
        <w:pStyle w:val="3"/>
        <w:kinsoku/>
        <w:ind w:left="1360" w:hanging="680"/>
        <w:rPr>
          <w:rFonts w:hAnsi="標楷體"/>
        </w:rPr>
      </w:pPr>
      <w:r w:rsidRPr="00697C03">
        <w:rPr>
          <w:rFonts w:hAnsi="標楷體" w:hint="eastAsia"/>
        </w:rPr>
        <w:t>另依據</w:t>
      </w:r>
      <w:r w:rsidR="00406A77" w:rsidRPr="00697C03">
        <w:rPr>
          <w:rFonts w:hAnsi="標楷體" w:hint="eastAsia"/>
        </w:rPr>
        <w:t>教育部「全國國民中小學中輟生通報及復學系統」分析</w:t>
      </w:r>
      <w:r w:rsidR="00406A77" w:rsidRPr="00697C03">
        <w:rPr>
          <w:rStyle w:val="aff0"/>
          <w:rFonts w:hAnsi="標楷體"/>
        </w:rPr>
        <w:footnoteReference w:id="32"/>
      </w:r>
      <w:r w:rsidR="00406A77" w:rsidRPr="00697C03">
        <w:rPr>
          <w:rFonts w:hAnsi="標楷體" w:hint="eastAsia"/>
        </w:rPr>
        <w:t>，國中小之中輟人數由100 學年之5,379人，逐年減少至104學年之3,934人，平均每年減少7.5%，致輟學率亦由100學年之0.23%降至104 學年之0.20%，其中國小輟學率大致呈現持平趨勢，國中則因學生正值青春叛逆期，自我意識快速發展、重視同伴關係及易受周遭生活環境影響，致中輟人數達3,500人，占國中小中輟生總數的89%，輟學率也顯著大於國小階段，且男性輟學率略高於女生、原住民生大於一般生。探究近幾年中輟生人數的減少及輟學率持穩的原因，主要是民間團體積極投入認輔、關懷及陪伴，加上政府部門結合學校、社福、司法、警政、醫療等資源，增聘專任輔導人力，以落實中輟生之通報、協尋、追蹤、輔導、安置及復學等機制所致。此外，依「國中畢業未升學未就業原因及身心特質」顯示，具體原因包括如學習挫敗、中輟、中離、與同學關係差</w:t>
      </w:r>
      <w:r w:rsidR="0079236E" w:rsidRPr="00697C03">
        <w:rPr>
          <w:rFonts w:hAnsi="標楷體" w:hint="eastAsia"/>
        </w:rPr>
        <w:t>（</w:t>
      </w:r>
      <w:r w:rsidR="00406A77" w:rsidRPr="00697C03">
        <w:rPr>
          <w:rFonts w:hAnsi="標楷體" w:hint="eastAsia"/>
        </w:rPr>
        <w:t>衝突、疏離</w:t>
      </w:r>
      <w:r w:rsidR="0079236E" w:rsidRPr="00697C03">
        <w:rPr>
          <w:rFonts w:hAnsi="標楷體" w:hint="eastAsia"/>
        </w:rPr>
        <w:t>）</w:t>
      </w:r>
      <w:r w:rsidR="00406A77" w:rsidRPr="00697C03">
        <w:rPr>
          <w:rFonts w:hAnsi="標楷體" w:hint="eastAsia"/>
        </w:rPr>
        <w:t>等因素，故中輟生亦潛藏成為國中畢業未升學未就業之</w:t>
      </w:r>
      <w:r w:rsidR="00406A77" w:rsidRPr="00697C03">
        <w:rPr>
          <w:rFonts w:hAnsi="標楷體" w:hint="eastAsia"/>
        </w:rPr>
        <w:tab/>
        <w:t>可能對象；爰中小學中輟原因如未具體獲得改善，亦可能恐延長至下一學制，況國中小係強迫入學階段，政府應有維護教育全之法定職責。相關國中畢業未升學未就業原因及身心特質如下表所示。</w:t>
      </w:r>
    </w:p>
    <w:p w:rsidR="00406A77" w:rsidRPr="00697C03" w:rsidRDefault="00406A77" w:rsidP="00406A77">
      <w:pPr>
        <w:pStyle w:val="a3"/>
        <w:rPr>
          <w:rFonts w:hAnsi="標楷體"/>
          <w:b/>
        </w:rPr>
      </w:pPr>
      <w:r w:rsidRPr="00697C03">
        <w:rPr>
          <w:rFonts w:hAnsi="標楷體" w:hint="eastAsia"/>
          <w:b/>
        </w:rPr>
        <w:t>國中畢業未升學未就業原因及身心特質</w:t>
      </w:r>
    </w:p>
    <w:tbl>
      <w:tblPr>
        <w:tblStyle w:val="af6"/>
        <w:tblW w:w="8926" w:type="dxa"/>
        <w:tblLook w:val="01E0" w:firstRow="1" w:lastRow="1" w:firstColumn="1" w:lastColumn="1" w:noHBand="0" w:noVBand="0"/>
      </w:tblPr>
      <w:tblGrid>
        <w:gridCol w:w="927"/>
        <w:gridCol w:w="2022"/>
        <w:gridCol w:w="5977"/>
      </w:tblGrid>
      <w:tr w:rsidR="00697C03" w:rsidRPr="00697C03" w:rsidTr="008634EA">
        <w:trPr>
          <w:trHeight w:val="68"/>
          <w:tblHeader/>
        </w:trPr>
        <w:tc>
          <w:tcPr>
            <w:tcW w:w="927" w:type="dxa"/>
            <w:shd w:val="clear" w:color="auto" w:fill="E7E6E6" w:themeFill="background2"/>
            <w:vAlign w:val="center"/>
            <w:hideMark/>
          </w:tcPr>
          <w:p w:rsidR="00406A77" w:rsidRPr="00697C03" w:rsidRDefault="00406A77" w:rsidP="00BF41DE">
            <w:pPr>
              <w:jc w:val="center"/>
              <w:rPr>
                <w:rFonts w:ascii="標楷體" w:hAnsi="標楷體"/>
                <w:b/>
                <w:sz w:val="28"/>
                <w:szCs w:val="28"/>
              </w:rPr>
            </w:pPr>
            <w:r w:rsidRPr="00697C03">
              <w:rPr>
                <w:rFonts w:ascii="標楷體" w:hAnsi="標楷體" w:hint="eastAsia"/>
                <w:b/>
                <w:bCs/>
                <w:sz w:val="28"/>
                <w:szCs w:val="28"/>
              </w:rPr>
              <w:t>向度</w:t>
            </w:r>
          </w:p>
        </w:tc>
        <w:tc>
          <w:tcPr>
            <w:tcW w:w="2022" w:type="dxa"/>
            <w:shd w:val="clear" w:color="auto" w:fill="E7E6E6" w:themeFill="background2"/>
            <w:hideMark/>
          </w:tcPr>
          <w:p w:rsidR="00406A77" w:rsidRPr="00697C03" w:rsidRDefault="00406A77" w:rsidP="00BF41DE">
            <w:pPr>
              <w:jc w:val="center"/>
              <w:rPr>
                <w:rFonts w:ascii="標楷體" w:hAnsi="標楷體"/>
                <w:b/>
                <w:sz w:val="28"/>
                <w:szCs w:val="28"/>
              </w:rPr>
            </w:pPr>
            <w:r w:rsidRPr="00697C03">
              <w:rPr>
                <w:rFonts w:ascii="標楷體" w:hAnsi="標楷體" w:hint="eastAsia"/>
                <w:b/>
                <w:bCs/>
                <w:sz w:val="28"/>
                <w:szCs w:val="28"/>
              </w:rPr>
              <w:t>身心特質</w:t>
            </w:r>
          </w:p>
        </w:tc>
        <w:tc>
          <w:tcPr>
            <w:tcW w:w="5977" w:type="dxa"/>
            <w:shd w:val="clear" w:color="auto" w:fill="E7E6E6" w:themeFill="background2"/>
            <w:hideMark/>
          </w:tcPr>
          <w:p w:rsidR="00406A77" w:rsidRPr="00697C03" w:rsidRDefault="00406A77" w:rsidP="00BF41DE">
            <w:pPr>
              <w:jc w:val="center"/>
              <w:rPr>
                <w:rFonts w:ascii="標楷體" w:hAnsi="標楷體"/>
                <w:b/>
                <w:sz w:val="28"/>
                <w:szCs w:val="28"/>
              </w:rPr>
            </w:pPr>
            <w:r w:rsidRPr="00697C03">
              <w:rPr>
                <w:rFonts w:ascii="標楷體" w:hAnsi="標楷體" w:hint="eastAsia"/>
                <w:b/>
                <w:bCs/>
                <w:sz w:val="28"/>
                <w:szCs w:val="28"/>
              </w:rPr>
              <w:t>未升學未就業原因</w:t>
            </w:r>
          </w:p>
        </w:tc>
      </w:tr>
      <w:tr w:rsidR="00697C03" w:rsidRPr="00697C03" w:rsidTr="008634EA">
        <w:trPr>
          <w:trHeight w:val="647"/>
        </w:trPr>
        <w:tc>
          <w:tcPr>
            <w:tcW w:w="927" w:type="dxa"/>
            <w:vMerge w:val="restart"/>
            <w:vAlign w:val="center"/>
            <w:hideMark/>
          </w:tcPr>
          <w:p w:rsidR="00406A77" w:rsidRPr="00697C03" w:rsidRDefault="00406A77" w:rsidP="00BF41DE">
            <w:pPr>
              <w:jc w:val="center"/>
              <w:rPr>
                <w:rFonts w:ascii="標楷體" w:hAnsi="標楷體"/>
                <w:b/>
                <w:sz w:val="28"/>
                <w:szCs w:val="28"/>
              </w:rPr>
            </w:pPr>
            <w:r w:rsidRPr="00697C03">
              <w:rPr>
                <w:rFonts w:ascii="標楷體" w:hAnsi="標楷體" w:hint="eastAsia"/>
                <w:b/>
                <w:bCs/>
                <w:sz w:val="28"/>
                <w:szCs w:val="28"/>
              </w:rPr>
              <w:t>認知</w:t>
            </w:r>
          </w:p>
        </w:tc>
        <w:tc>
          <w:tcPr>
            <w:tcW w:w="2022" w:type="dxa"/>
            <w:vAlign w:val="center"/>
            <w:hideMark/>
          </w:tcPr>
          <w:p w:rsidR="002412DF" w:rsidRPr="00697C03" w:rsidRDefault="00406A77" w:rsidP="008437A4">
            <w:pPr>
              <w:jc w:val="center"/>
              <w:rPr>
                <w:rFonts w:ascii="標楷體" w:hAnsi="標楷體"/>
                <w:bCs/>
                <w:sz w:val="26"/>
                <w:szCs w:val="26"/>
              </w:rPr>
            </w:pPr>
            <w:r w:rsidRPr="00697C03">
              <w:rPr>
                <w:rFonts w:ascii="標楷體" w:hAnsi="標楷體" w:hint="eastAsia"/>
                <w:bCs/>
                <w:sz w:val="26"/>
                <w:szCs w:val="26"/>
              </w:rPr>
              <w:t>自我概念、</w:t>
            </w:r>
          </w:p>
          <w:p w:rsidR="00406A77" w:rsidRPr="00697C03" w:rsidRDefault="00406A77" w:rsidP="008437A4">
            <w:pPr>
              <w:jc w:val="center"/>
              <w:rPr>
                <w:rFonts w:ascii="標楷體" w:hAnsi="標楷體"/>
                <w:sz w:val="26"/>
                <w:szCs w:val="26"/>
              </w:rPr>
            </w:pPr>
            <w:r w:rsidRPr="00697C03">
              <w:rPr>
                <w:rFonts w:ascii="標楷體" w:hAnsi="標楷體" w:hint="eastAsia"/>
                <w:bCs/>
                <w:sz w:val="26"/>
                <w:szCs w:val="26"/>
              </w:rPr>
              <w:t>動機不足</w:t>
            </w:r>
          </w:p>
        </w:tc>
        <w:tc>
          <w:tcPr>
            <w:tcW w:w="5977" w:type="dxa"/>
            <w:vAlign w:val="center"/>
            <w:hideMark/>
          </w:tcPr>
          <w:p w:rsidR="00406A77" w:rsidRPr="00697C03" w:rsidRDefault="00406A77" w:rsidP="00BF41DE">
            <w:pPr>
              <w:jc w:val="both"/>
              <w:rPr>
                <w:rFonts w:ascii="標楷體" w:hAnsi="標楷體"/>
                <w:sz w:val="26"/>
                <w:szCs w:val="26"/>
              </w:rPr>
            </w:pPr>
            <w:r w:rsidRPr="00697C03">
              <w:rPr>
                <w:rFonts w:ascii="標楷體" w:hAnsi="標楷體" w:hint="eastAsia"/>
                <w:bCs/>
                <w:sz w:val="26"/>
                <w:szCs w:val="26"/>
              </w:rPr>
              <w:t>信心不足、自我價值低落、無法自己決定、不想行動、自我設限</w:t>
            </w:r>
          </w:p>
        </w:tc>
      </w:tr>
      <w:tr w:rsidR="00697C03" w:rsidRPr="00697C03" w:rsidTr="008634EA">
        <w:trPr>
          <w:trHeight w:val="567"/>
        </w:trPr>
        <w:tc>
          <w:tcPr>
            <w:tcW w:w="0" w:type="auto"/>
            <w:vMerge/>
            <w:vAlign w:val="center"/>
            <w:hideMark/>
          </w:tcPr>
          <w:p w:rsidR="00406A77" w:rsidRPr="00697C03" w:rsidRDefault="00406A77" w:rsidP="00BF41DE">
            <w:pPr>
              <w:jc w:val="center"/>
              <w:rPr>
                <w:rFonts w:ascii="標楷體" w:hAnsi="標楷體"/>
                <w:b/>
                <w:sz w:val="28"/>
                <w:szCs w:val="28"/>
              </w:rPr>
            </w:pPr>
          </w:p>
        </w:tc>
        <w:tc>
          <w:tcPr>
            <w:tcW w:w="2022" w:type="dxa"/>
            <w:vAlign w:val="center"/>
            <w:hideMark/>
          </w:tcPr>
          <w:p w:rsidR="002412DF" w:rsidRPr="00697C03" w:rsidRDefault="00406A77" w:rsidP="008437A4">
            <w:pPr>
              <w:jc w:val="center"/>
              <w:rPr>
                <w:rFonts w:ascii="標楷體" w:hAnsi="標楷體"/>
                <w:bCs/>
                <w:sz w:val="26"/>
                <w:szCs w:val="26"/>
              </w:rPr>
            </w:pPr>
            <w:r w:rsidRPr="00697C03">
              <w:rPr>
                <w:rFonts w:ascii="標楷體" w:hAnsi="標楷體" w:hint="eastAsia"/>
                <w:bCs/>
                <w:sz w:val="26"/>
                <w:szCs w:val="26"/>
              </w:rPr>
              <w:t>歸因謬誤、</w:t>
            </w:r>
          </w:p>
          <w:p w:rsidR="00406A77" w:rsidRPr="00697C03" w:rsidRDefault="00406A77" w:rsidP="008437A4">
            <w:pPr>
              <w:jc w:val="center"/>
              <w:rPr>
                <w:rFonts w:ascii="標楷體" w:hAnsi="標楷體"/>
                <w:sz w:val="26"/>
                <w:szCs w:val="26"/>
              </w:rPr>
            </w:pPr>
            <w:r w:rsidRPr="00697C03">
              <w:rPr>
                <w:rFonts w:ascii="標楷體" w:hAnsi="標楷體" w:hint="eastAsia"/>
                <w:bCs/>
                <w:sz w:val="26"/>
                <w:szCs w:val="26"/>
              </w:rPr>
              <w:t>認知扭曲</w:t>
            </w:r>
          </w:p>
        </w:tc>
        <w:tc>
          <w:tcPr>
            <w:tcW w:w="5977" w:type="dxa"/>
            <w:vAlign w:val="center"/>
            <w:hideMark/>
          </w:tcPr>
          <w:p w:rsidR="00406A77" w:rsidRPr="00697C03" w:rsidRDefault="00406A77" w:rsidP="00BF41DE">
            <w:pPr>
              <w:jc w:val="both"/>
              <w:rPr>
                <w:rFonts w:ascii="標楷體" w:hAnsi="標楷體"/>
                <w:sz w:val="26"/>
                <w:szCs w:val="26"/>
              </w:rPr>
            </w:pPr>
            <w:r w:rsidRPr="00697C03">
              <w:rPr>
                <w:rFonts w:ascii="標楷體" w:hAnsi="標楷體" w:hint="eastAsia"/>
                <w:bCs/>
                <w:sz w:val="26"/>
                <w:szCs w:val="26"/>
              </w:rPr>
              <w:t>怪罪別人、推諉責任、價值偏差、敵意扭曲</w:t>
            </w:r>
          </w:p>
        </w:tc>
      </w:tr>
      <w:tr w:rsidR="00697C03" w:rsidRPr="00697C03" w:rsidTr="008634EA">
        <w:trPr>
          <w:trHeight w:val="68"/>
        </w:trPr>
        <w:tc>
          <w:tcPr>
            <w:tcW w:w="927" w:type="dxa"/>
            <w:vMerge w:val="restart"/>
            <w:vAlign w:val="center"/>
            <w:hideMark/>
          </w:tcPr>
          <w:p w:rsidR="00406A77" w:rsidRPr="00697C03" w:rsidRDefault="00406A77" w:rsidP="00BF41DE">
            <w:pPr>
              <w:jc w:val="center"/>
              <w:rPr>
                <w:rFonts w:ascii="標楷體" w:hAnsi="標楷體"/>
                <w:b/>
                <w:sz w:val="28"/>
                <w:szCs w:val="28"/>
              </w:rPr>
            </w:pPr>
            <w:r w:rsidRPr="00697C03">
              <w:rPr>
                <w:rFonts w:ascii="標楷體" w:hAnsi="標楷體" w:hint="eastAsia"/>
                <w:b/>
                <w:bCs/>
                <w:sz w:val="28"/>
                <w:szCs w:val="28"/>
              </w:rPr>
              <w:lastRenderedPageBreak/>
              <w:t>身心</w:t>
            </w:r>
          </w:p>
        </w:tc>
        <w:tc>
          <w:tcPr>
            <w:tcW w:w="2022" w:type="dxa"/>
            <w:vAlign w:val="center"/>
            <w:hideMark/>
          </w:tcPr>
          <w:p w:rsidR="00406A77" w:rsidRPr="00697C03" w:rsidRDefault="00406A77" w:rsidP="008437A4">
            <w:pPr>
              <w:jc w:val="center"/>
              <w:rPr>
                <w:rFonts w:ascii="標楷體" w:hAnsi="標楷體"/>
                <w:sz w:val="26"/>
                <w:szCs w:val="26"/>
              </w:rPr>
            </w:pPr>
            <w:r w:rsidRPr="00697C03">
              <w:rPr>
                <w:rFonts w:ascii="標楷體" w:hAnsi="標楷體" w:hint="eastAsia"/>
                <w:bCs/>
                <w:sz w:val="26"/>
                <w:szCs w:val="26"/>
              </w:rPr>
              <w:t>健康狀況</w:t>
            </w:r>
          </w:p>
        </w:tc>
        <w:tc>
          <w:tcPr>
            <w:tcW w:w="5977" w:type="dxa"/>
            <w:hideMark/>
          </w:tcPr>
          <w:p w:rsidR="00406A77" w:rsidRPr="00697C03" w:rsidRDefault="00406A77" w:rsidP="00BF41DE">
            <w:pPr>
              <w:jc w:val="both"/>
              <w:rPr>
                <w:rFonts w:ascii="標楷體" w:hAnsi="標楷體"/>
                <w:sz w:val="26"/>
                <w:szCs w:val="26"/>
              </w:rPr>
            </w:pPr>
            <w:r w:rsidRPr="00697C03">
              <w:rPr>
                <w:rFonts w:ascii="標楷體" w:hAnsi="標楷體" w:hint="eastAsia"/>
                <w:bCs/>
                <w:sz w:val="26"/>
                <w:szCs w:val="26"/>
              </w:rPr>
              <w:t>身心狀況不佳、體弱無力、容易疲累</w:t>
            </w:r>
          </w:p>
        </w:tc>
      </w:tr>
      <w:tr w:rsidR="00697C03" w:rsidRPr="00697C03" w:rsidTr="008634EA">
        <w:trPr>
          <w:trHeight w:val="68"/>
        </w:trPr>
        <w:tc>
          <w:tcPr>
            <w:tcW w:w="0" w:type="auto"/>
            <w:vMerge/>
            <w:vAlign w:val="center"/>
            <w:hideMark/>
          </w:tcPr>
          <w:p w:rsidR="00406A77" w:rsidRPr="00697C03" w:rsidRDefault="00406A77" w:rsidP="00BF41DE">
            <w:pPr>
              <w:jc w:val="center"/>
              <w:rPr>
                <w:rFonts w:ascii="標楷體" w:hAnsi="標楷體"/>
                <w:b/>
                <w:sz w:val="28"/>
                <w:szCs w:val="28"/>
              </w:rPr>
            </w:pPr>
          </w:p>
        </w:tc>
        <w:tc>
          <w:tcPr>
            <w:tcW w:w="2022" w:type="dxa"/>
            <w:vAlign w:val="center"/>
            <w:hideMark/>
          </w:tcPr>
          <w:p w:rsidR="00406A77" w:rsidRPr="00697C03" w:rsidRDefault="00406A77" w:rsidP="008437A4">
            <w:pPr>
              <w:jc w:val="center"/>
              <w:rPr>
                <w:rFonts w:ascii="標楷體" w:hAnsi="標楷體"/>
                <w:sz w:val="26"/>
                <w:szCs w:val="26"/>
              </w:rPr>
            </w:pPr>
            <w:r w:rsidRPr="00697C03">
              <w:rPr>
                <w:rFonts w:ascii="標楷體" w:hAnsi="標楷體" w:hint="eastAsia"/>
                <w:bCs/>
                <w:sz w:val="26"/>
                <w:szCs w:val="26"/>
              </w:rPr>
              <w:t>情緒狀況</w:t>
            </w:r>
          </w:p>
        </w:tc>
        <w:tc>
          <w:tcPr>
            <w:tcW w:w="5977" w:type="dxa"/>
            <w:hideMark/>
          </w:tcPr>
          <w:p w:rsidR="00406A77" w:rsidRPr="00697C03" w:rsidRDefault="00406A77" w:rsidP="00BF41DE">
            <w:pPr>
              <w:jc w:val="both"/>
              <w:rPr>
                <w:rFonts w:ascii="標楷體" w:hAnsi="標楷體"/>
                <w:sz w:val="26"/>
                <w:szCs w:val="26"/>
              </w:rPr>
            </w:pPr>
            <w:r w:rsidRPr="00697C03">
              <w:rPr>
                <w:rFonts w:ascii="標楷體" w:hAnsi="標楷體" w:hint="eastAsia"/>
                <w:bCs/>
                <w:sz w:val="26"/>
                <w:szCs w:val="26"/>
              </w:rPr>
              <w:t>焦慮、暴怒、憂鬱、無聊或無助感</w:t>
            </w:r>
          </w:p>
        </w:tc>
      </w:tr>
      <w:tr w:rsidR="00697C03" w:rsidRPr="00697C03" w:rsidTr="008634EA">
        <w:trPr>
          <w:trHeight w:val="68"/>
        </w:trPr>
        <w:tc>
          <w:tcPr>
            <w:tcW w:w="927" w:type="dxa"/>
            <w:vMerge w:val="restart"/>
            <w:vAlign w:val="center"/>
            <w:hideMark/>
          </w:tcPr>
          <w:p w:rsidR="00406A77" w:rsidRPr="00697C03" w:rsidRDefault="00406A77" w:rsidP="00BF41DE">
            <w:pPr>
              <w:jc w:val="center"/>
              <w:rPr>
                <w:rFonts w:ascii="標楷體" w:hAnsi="標楷體"/>
                <w:b/>
                <w:sz w:val="28"/>
                <w:szCs w:val="28"/>
              </w:rPr>
            </w:pPr>
            <w:r w:rsidRPr="00697C03">
              <w:rPr>
                <w:rFonts w:ascii="標楷體" w:hAnsi="標楷體" w:hint="eastAsia"/>
                <w:b/>
                <w:bCs/>
                <w:sz w:val="28"/>
                <w:szCs w:val="28"/>
              </w:rPr>
              <w:t>行為</w:t>
            </w:r>
          </w:p>
        </w:tc>
        <w:tc>
          <w:tcPr>
            <w:tcW w:w="2022" w:type="dxa"/>
            <w:vAlign w:val="center"/>
            <w:hideMark/>
          </w:tcPr>
          <w:p w:rsidR="00406A77" w:rsidRPr="00697C03" w:rsidRDefault="00406A77" w:rsidP="008437A4">
            <w:pPr>
              <w:jc w:val="center"/>
              <w:rPr>
                <w:rFonts w:ascii="標楷體" w:hAnsi="標楷體"/>
                <w:sz w:val="26"/>
                <w:szCs w:val="26"/>
              </w:rPr>
            </w:pPr>
            <w:r w:rsidRPr="00697C03">
              <w:rPr>
                <w:rFonts w:ascii="標楷體" w:hAnsi="標楷體" w:hint="eastAsia"/>
                <w:bCs/>
                <w:sz w:val="26"/>
                <w:szCs w:val="26"/>
              </w:rPr>
              <w:t>過當/偏差</w:t>
            </w:r>
          </w:p>
        </w:tc>
        <w:tc>
          <w:tcPr>
            <w:tcW w:w="5977" w:type="dxa"/>
            <w:hideMark/>
          </w:tcPr>
          <w:p w:rsidR="00406A77" w:rsidRPr="00697C03" w:rsidRDefault="00406A77" w:rsidP="00BF41DE">
            <w:pPr>
              <w:jc w:val="both"/>
              <w:rPr>
                <w:rFonts w:ascii="標楷體" w:hAnsi="標楷體"/>
                <w:sz w:val="26"/>
                <w:szCs w:val="26"/>
              </w:rPr>
            </w:pPr>
            <w:r w:rsidRPr="00697C03">
              <w:rPr>
                <w:rFonts w:ascii="標楷體" w:hAnsi="標楷體" w:hint="eastAsia"/>
                <w:bCs/>
                <w:sz w:val="26"/>
                <w:szCs w:val="26"/>
              </w:rPr>
              <w:t>網路過度使用、吸毒/物質耽溺、犯罪/非行</w:t>
            </w:r>
          </w:p>
        </w:tc>
      </w:tr>
      <w:tr w:rsidR="00697C03" w:rsidRPr="00697C03" w:rsidTr="008634EA">
        <w:trPr>
          <w:trHeight w:val="68"/>
        </w:trPr>
        <w:tc>
          <w:tcPr>
            <w:tcW w:w="0" w:type="auto"/>
            <w:vMerge/>
            <w:vAlign w:val="center"/>
            <w:hideMark/>
          </w:tcPr>
          <w:p w:rsidR="00406A77" w:rsidRPr="00697C03" w:rsidRDefault="00406A77" w:rsidP="00BF41DE">
            <w:pPr>
              <w:jc w:val="center"/>
              <w:rPr>
                <w:rFonts w:ascii="標楷體" w:hAnsi="標楷體"/>
                <w:b/>
                <w:sz w:val="28"/>
                <w:szCs w:val="28"/>
              </w:rPr>
            </w:pPr>
          </w:p>
        </w:tc>
        <w:tc>
          <w:tcPr>
            <w:tcW w:w="2022" w:type="dxa"/>
            <w:vAlign w:val="center"/>
            <w:hideMark/>
          </w:tcPr>
          <w:p w:rsidR="00406A77" w:rsidRPr="00697C03" w:rsidRDefault="00406A77" w:rsidP="008437A4">
            <w:pPr>
              <w:jc w:val="center"/>
              <w:rPr>
                <w:rFonts w:ascii="標楷體" w:hAnsi="標楷體"/>
                <w:sz w:val="26"/>
                <w:szCs w:val="26"/>
              </w:rPr>
            </w:pPr>
            <w:r w:rsidRPr="00697C03">
              <w:rPr>
                <w:rFonts w:ascii="標楷體" w:hAnsi="標楷體" w:hint="eastAsia"/>
                <w:bCs/>
                <w:sz w:val="26"/>
                <w:szCs w:val="26"/>
              </w:rPr>
              <w:t>表現退縮</w:t>
            </w:r>
          </w:p>
        </w:tc>
        <w:tc>
          <w:tcPr>
            <w:tcW w:w="5977" w:type="dxa"/>
            <w:hideMark/>
          </w:tcPr>
          <w:p w:rsidR="00406A77" w:rsidRPr="00697C03" w:rsidRDefault="00406A77" w:rsidP="00BF41DE">
            <w:pPr>
              <w:jc w:val="both"/>
              <w:rPr>
                <w:rFonts w:ascii="標楷體" w:hAnsi="標楷體"/>
                <w:sz w:val="26"/>
                <w:szCs w:val="26"/>
              </w:rPr>
            </w:pPr>
            <w:r w:rsidRPr="00697C03">
              <w:rPr>
                <w:rFonts w:ascii="標楷體" w:hAnsi="標楷體" w:hint="eastAsia"/>
                <w:bCs/>
                <w:sz w:val="26"/>
                <w:szCs w:val="26"/>
              </w:rPr>
              <w:t>人際退縮、孤單且缺乏社交</w:t>
            </w:r>
          </w:p>
        </w:tc>
      </w:tr>
      <w:tr w:rsidR="00697C03" w:rsidRPr="00697C03" w:rsidTr="008634EA">
        <w:trPr>
          <w:trHeight w:val="68"/>
        </w:trPr>
        <w:tc>
          <w:tcPr>
            <w:tcW w:w="927" w:type="dxa"/>
            <w:vMerge w:val="restart"/>
            <w:vAlign w:val="center"/>
            <w:hideMark/>
          </w:tcPr>
          <w:p w:rsidR="00406A77" w:rsidRPr="00697C03" w:rsidRDefault="00406A77" w:rsidP="00BF41DE">
            <w:pPr>
              <w:jc w:val="center"/>
              <w:rPr>
                <w:rFonts w:ascii="標楷體" w:hAnsi="標楷體"/>
                <w:b/>
                <w:sz w:val="28"/>
                <w:szCs w:val="28"/>
              </w:rPr>
            </w:pPr>
            <w:r w:rsidRPr="00697C03">
              <w:rPr>
                <w:rFonts w:ascii="標楷體" w:hAnsi="標楷體" w:hint="eastAsia"/>
                <w:b/>
                <w:bCs/>
                <w:sz w:val="28"/>
                <w:szCs w:val="28"/>
              </w:rPr>
              <w:t>環境</w:t>
            </w:r>
          </w:p>
        </w:tc>
        <w:tc>
          <w:tcPr>
            <w:tcW w:w="2022" w:type="dxa"/>
            <w:vAlign w:val="center"/>
            <w:hideMark/>
          </w:tcPr>
          <w:p w:rsidR="00406A77" w:rsidRPr="00697C03" w:rsidRDefault="00406A77" w:rsidP="008437A4">
            <w:pPr>
              <w:jc w:val="center"/>
              <w:rPr>
                <w:rFonts w:ascii="標楷體" w:hAnsi="標楷體"/>
                <w:sz w:val="26"/>
                <w:szCs w:val="26"/>
              </w:rPr>
            </w:pPr>
            <w:r w:rsidRPr="00697C03">
              <w:rPr>
                <w:rFonts w:ascii="標楷體" w:hAnsi="標楷體" w:hint="eastAsia"/>
                <w:bCs/>
                <w:sz w:val="26"/>
                <w:szCs w:val="26"/>
              </w:rPr>
              <w:t>學校</w:t>
            </w:r>
          </w:p>
        </w:tc>
        <w:tc>
          <w:tcPr>
            <w:tcW w:w="5977" w:type="dxa"/>
            <w:hideMark/>
          </w:tcPr>
          <w:p w:rsidR="00406A77" w:rsidRPr="00697C03" w:rsidRDefault="00406A77" w:rsidP="00BF41DE">
            <w:pPr>
              <w:jc w:val="both"/>
              <w:rPr>
                <w:rFonts w:ascii="標楷體" w:hAnsi="標楷體"/>
                <w:sz w:val="26"/>
                <w:szCs w:val="26"/>
              </w:rPr>
            </w:pPr>
            <w:r w:rsidRPr="00697C03">
              <w:rPr>
                <w:rFonts w:ascii="標楷體" w:hAnsi="標楷體" w:hint="eastAsia"/>
                <w:bCs/>
                <w:sz w:val="26"/>
                <w:szCs w:val="26"/>
              </w:rPr>
              <w:t>學習挫敗、中輟/中離、與同學關係差</w:t>
            </w:r>
            <w:r w:rsidR="0079236E" w:rsidRPr="00697C03">
              <w:rPr>
                <w:rFonts w:ascii="標楷體" w:hAnsi="標楷體" w:hint="eastAsia"/>
                <w:bCs/>
                <w:sz w:val="26"/>
                <w:szCs w:val="26"/>
              </w:rPr>
              <w:t>（</w:t>
            </w:r>
            <w:r w:rsidRPr="00697C03">
              <w:rPr>
                <w:rFonts w:ascii="標楷體" w:hAnsi="標楷體" w:hint="eastAsia"/>
                <w:bCs/>
                <w:sz w:val="26"/>
                <w:szCs w:val="26"/>
              </w:rPr>
              <w:t>衝突、疏離</w:t>
            </w:r>
            <w:r w:rsidR="0079236E" w:rsidRPr="00697C03">
              <w:rPr>
                <w:rFonts w:ascii="標楷體" w:hAnsi="標楷體" w:hint="eastAsia"/>
                <w:bCs/>
                <w:sz w:val="26"/>
                <w:szCs w:val="26"/>
              </w:rPr>
              <w:t>）</w:t>
            </w:r>
          </w:p>
        </w:tc>
      </w:tr>
      <w:tr w:rsidR="00697C03" w:rsidRPr="00697C03" w:rsidTr="008634EA">
        <w:trPr>
          <w:trHeight w:val="437"/>
        </w:trPr>
        <w:tc>
          <w:tcPr>
            <w:tcW w:w="0" w:type="auto"/>
            <w:vMerge/>
            <w:vAlign w:val="center"/>
            <w:hideMark/>
          </w:tcPr>
          <w:p w:rsidR="00406A77" w:rsidRPr="00697C03" w:rsidRDefault="00406A77" w:rsidP="00BF41DE">
            <w:pPr>
              <w:jc w:val="center"/>
              <w:rPr>
                <w:rFonts w:ascii="標楷體" w:hAnsi="標楷體"/>
                <w:b/>
                <w:sz w:val="28"/>
                <w:szCs w:val="28"/>
              </w:rPr>
            </w:pPr>
          </w:p>
        </w:tc>
        <w:tc>
          <w:tcPr>
            <w:tcW w:w="2022" w:type="dxa"/>
            <w:vAlign w:val="center"/>
            <w:hideMark/>
          </w:tcPr>
          <w:p w:rsidR="00406A77" w:rsidRPr="00697C03" w:rsidRDefault="00406A77" w:rsidP="008437A4">
            <w:pPr>
              <w:jc w:val="center"/>
              <w:rPr>
                <w:rFonts w:ascii="標楷體" w:hAnsi="標楷體"/>
                <w:sz w:val="26"/>
                <w:szCs w:val="26"/>
              </w:rPr>
            </w:pPr>
            <w:r w:rsidRPr="00697C03">
              <w:rPr>
                <w:rFonts w:ascii="標楷體" w:hAnsi="標楷體" w:hint="eastAsia"/>
                <w:bCs/>
                <w:sz w:val="26"/>
                <w:szCs w:val="26"/>
              </w:rPr>
              <w:t>家庭</w:t>
            </w:r>
          </w:p>
        </w:tc>
        <w:tc>
          <w:tcPr>
            <w:tcW w:w="5977" w:type="dxa"/>
            <w:hideMark/>
          </w:tcPr>
          <w:p w:rsidR="00406A77" w:rsidRPr="00697C03" w:rsidRDefault="00406A77" w:rsidP="00BF41DE">
            <w:pPr>
              <w:jc w:val="both"/>
              <w:rPr>
                <w:rFonts w:ascii="標楷體" w:hAnsi="標楷體"/>
                <w:sz w:val="26"/>
                <w:szCs w:val="26"/>
              </w:rPr>
            </w:pPr>
            <w:r w:rsidRPr="00697C03">
              <w:rPr>
                <w:rFonts w:ascii="標楷體" w:hAnsi="標楷體" w:hint="eastAsia"/>
                <w:bCs/>
                <w:sz w:val="26"/>
                <w:szCs w:val="26"/>
              </w:rPr>
              <w:t>高風險/脆弱家庭、家庭關係及氛圍不佳</w:t>
            </w:r>
            <w:r w:rsidR="0079236E" w:rsidRPr="00697C03">
              <w:rPr>
                <w:rFonts w:ascii="標楷體" w:hAnsi="標楷體" w:hint="eastAsia"/>
                <w:bCs/>
                <w:sz w:val="26"/>
                <w:szCs w:val="26"/>
              </w:rPr>
              <w:t>（</w:t>
            </w:r>
            <w:r w:rsidRPr="00697C03">
              <w:rPr>
                <w:rFonts w:ascii="標楷體" w:hAnsi="標楷體" w:hint="eastAsia"/>
                <w:bCs/>
                <w:sz w:val="26"/>
                <w:szCs w:val="26"/>
              </w:rPr>
              <w:t>衝突、疏離</w:t>
            </w:r>
            <w:r w:rsidR="0079236E" w:rsidRPr="00697C03">
              <w:rPr>
                <w:rFonts w:ascii="標楷體" w:hAnsi="標楷體" w:hint="eastAsia"/>
                <w:bCs/>
                <w:sz w:val="26"/>
                <w:szCs w:val="26"/>
              </w:rPr>
              <w:t>）</w:t>
            </w:r>
            <w:r w:rsidRPr="00697C03">
              <w:rPr>
                <w:rFonts w:ascii="標楷體" w:hAnsi="標楷體" w:hint="eastAsia"/>
                <w:bCs/>
                <w:sz w:val="26"/>
                <w:szCs w:val="26"/>
              </w:rPr>
              <w:t>、父母教養態度或價值觀不佳</w:t>
            </w:r>
          </w:p>
        </w:tc>
      </w:tr>
      <w:tr w:rsidR="00697C03" w:rsidRPr="00697C03" w:rsidTr="008634EA">
        <w:trPr>
          <w:trHeight w:val="68"/>
        </w:trPr>
        <w:tc>
          <w:tcPr>
            <w:tcW w:w="0" w:type="auto"/>
            <w:vMerge/>
            <w:vAlign w:val="center"/>
            <w:hideMark/>
          </w:tcPr>
          <w:p w:rsidR="00406A77" w:rsidRPr="00697C03" w:rsidRDefault="00406A77" w:rsidP="00BF41DE">
            <w:pPr>
              <w:jc w:val="center"/>
              <w:rPr>
                <w:rFonts w:ascii="標楷體" w:hAnsi="標楷體"/>
                <w:b/>
                <w:sz w:val="28"/>
                <w:szCs w:val="28"/>
              </w:rPr>
            </w:pPr>
          </w:p>
        </w:tc>
        <w:tc>
          <w:tcPr>
            <w:tcW w:w="2022" w:type="dxa"/>
            <w:vAlign w:val="center"/>
            <w:hideMark/>
          </w:tcPr>
          <w:p w:rsidR="00406A77" w:rsidRPr="00697C03" w:rsidRDefault="00406A77" w:rsidP="00BF41DE">
            <w:pPr>
              <w:jc w:val="both"/>
              <w:rPr>
                <w:rFonts w:ascii="標楷體" w:hAnsi="標楷體"/>
                <w:sz w:val="26"/>
                <w:szCs w:val="26"/>
              </w:rPr>
            </w:pPr>
            <w:r w:rsidRPr="00697C03">
              <w:rPr>
                <w:rFonts w:ascii="標楷體" w:hAnsi="標楷體" w:hint="eastAsia"/>
                <w:bCs/>
                <w:sz w:val="26"/>
                <w:szCs w:val="26"/>
              </w:rPr>
              <w:t>其他</w:t>
            </w:r>
          </w:p>
        </w:tc>
        <w:tc>
          <w:tcPr>
            <w:tcW w:w="5977" w:type="dxa"/>
            <w:hideMark/>
          </w:tcPr>
          <w:p w:rsidR="00406A77" w:rsidRPr="00697C03" w:rsidRDefault="00406A77" w:rsidP="00BF41DE">
            <w:pPr>
              <w:jc w:val="both"/>
              <w:rPr>
                <w:rFonts w:ascii="標楷體" w:hAnsi="標楷體"/>
                <w:sz w:val="26"/>
                <w:szCs w:val="26"/>
              </w:rPr>
            </w:pPr>
            <w:r w:rsidRPr="00697C03">
              <w:rPr>
                <w:rFonts w:ascii="標楷體" w:hAnsi="標楷體" w:hint="eastAsia"/>
                <w:bCs/>
                <w:sz w:val="26"/>
                <w:szCs w:val="26"/>
              </w:rPr>
              <w:t>結交不良朋友、涉足不當場所</w:t>
            </w:r>
          </w:p>
        </w:tc>
      </w:tr>
    </w:tbl>
    <w:p w:rsidR="00406A77" w:rsidRPr="00697C03" w:rsidRDefault="00406A77" w:rsidP="00406A77">
      <w:pPr>
        <w:rPr>
          <w:rFonts w:ascii="標楷體" w:hAnsi="標楷體"/>
          <w:sz w:val="24"/>
          <w:szCs w:val="24"/>
        </w:rPr>
      </w:pPr>
      <w:r w:rsidRPr="00697C03">
        <w:rPr>
          <w:rFonts w:ascii="標楷體" w:hAnsi="標楷體" w:hint="eastAsia"/>
        </w:rPr>
        <w:t xml:space="preserve">  </w:t>
      </w:r>
      <w:r w:rsidRPr="00697C03">
        <w:rPr>
          <w:rFonts w:ascii="標楷體" w:hAnsi="標楷體" w:hint="eastAsia"/>
          <w:sz w:val="24"/>
          <w:szCs w:val="24"/>
        </w:rPr>
        <w:t>資料來源：教育部約詢前補充資料。</w:t>
      </w:r>
    </w:p>
    <w:p w:rsidR="00406A77" w:rsidRPr="00697C03" w:rsidRDefault="00406A77" w:rsidP="00406A77">
      <w:pPr>
        <w:rPr>
          <w:rFonts w:ascii="標楷體" w:hAnsi="標楷體"/>
          <w:sz w:val="24"/>
          <w:szCs w:val="24"/>
        </w:rPr>
      </w:pPr>
    </w:p>
    <w:p w:rsidR="004606DF" w:rsidRPr="00697C03" w:rsidRDefault="004606DF" w:rsidP="0095409B">
      <w:pPr>
        <w:pStyle w:val="3"/>
        <w:kinsoku/>
        <w:ind w:left="1360" w:hanging="680"/>
        <w:rPr>
          <w:rFonts w:hAnsi="標楷體"/>
        </w:rPr>
      </w:pPr>
      <w:r w:rsidRPr="00697C03">
        <w:rPr>
          <w:rFonts w:hAnsi="標楷體" w:hint="eastAsia"/>
        </w:rPr>
        <w:t>另查，高級中等以下學校專任輔導教師及專任專業輔導人員之配置，按學生輔導法第22條及其細則相關規定，高中以下學校及主管機關應自106年8月1日起逐年增加專任輔導教師及專任專業輔導人員；惟統計108學年度各地方政府所屬國民小學專任輔導教師應編制數995人，實際聘用963人、所屬國民中學專任輔導教師應編制數1,443人，實際聘用1,431人；教育部所轄國立高級中等學校專任輔導教師實聘469人、應聘469人，地方政府公立高級中等學校實聘584人，應聘數為604人，私立高級中等學校實聘463名，應聘數為663人，整體而言雖已聘用1,516人名專任輔導教師，然與法定員額仍有落差，教育部未依法督導積極改善，顯有違失；又本案議題涉及各項人力、法令、制度及整體措施問題，雖未能僅以學校專輔教師人力作為協尋及本案關注中離生、中輟生及雙青少年之核心成敗角色，然本院於調查進行履勘及座談會議中，地方政府及學校代表不乏意見指出，因現行實務面臨各校輔導人員或外聘輔導員之編制及流動性問題，相關人員之穩定性不足實已影響學校未升學未就業</w:t>
      </w:r>
      <w:r w:rsidRPr="00697C03">
        <w:rPr>
          <w:rFonts w:hAnsi="標楷體" w:hint="eastAsia"/>
        </w:rPr>
        <w:lastRenderedPageBreak/>
        <w:t>計畫之辦理及中離輔導策略之延續等情，爰對於現況輔導人力不足或實務上尚難補足等之情形，亟待教育部積極正視處理或輔以配套措施，以期健全學生輔導工作，促進與維護學生身心健康及全人之發展</w:t>
      </w:r>
      <w:r w:rsidR="008819B0" w:rsidRPr="00697C03">
        <w:rPr>
          <w:rFonts w:hAnsi="標楷體" w:hint="eastAsia"/>
        </w:rPr>
        <w:t>。經查如下：</w:t>
      </w:r>
    </w:p>
    <w:p w:rsidR="00072923" w:rsidRPr="00697C03" w:rsidRDefault="00072923" w:rsidP="00072923">
      <w:pPr>
        <w:pStyle w:val="4"/>
      </w:pPr>
      <w:r w:rsidRPr="00697C03">
        <w:rPr>
          <w:rFonts w:hint="eastAsia"/>
        </w:rPr>
        <w:t>按學生輔導法第1條第1項規定，為促進與維護學生身心健康及全人發展，並健全學生輔導工作，特制定本法。同法第4條第2項規定，高級中等以下學校主管機關應設學生輔導諮商中心（下稱學諮中心），其任務如下：提供學生心理評估、輔導諮商及資源轉介服務；支援學校輔導嚴重適應困難及行為偏差之學生；支援學校嚴重個案之轉介及轉銜服務；支援學校教師及學生家長專業諮詢服務；支援學校辦理個案研討會議；支援學校處理危機事件之心理諮商工作；進行成果評估及嚴重個案追蹤管理；協調與整合社區諮商及輔導資源；協助辦理專業輔導人員與輔導教師之研習與督導工作；統整並督導學校適性輔導工作之推動；其他與學生輔導相關事宜。按同法第3條規定，……二、輔導教師：指符合高級中等以下學校輔導教師資格，依法令任用於高級中等以下學校從事學生輔導工作者。三、專業輔導人員：指具有臨床心理師、諮商心理師或社會工作師證書，由主管機關或學校依法進用，從事學生輔導工作者……。同法第10條規定，高級中等以下學校專任輔導教師員額編制如下：一、國民小學24班以下者，置1人，25班以上者，每24班增置1人。二、國民中學15班以下者，置1人，16班以上者，每15班增置1人。三、高級中等學校12班以下者，置1人，13班以上者，每12班增置1</w:t>
      </w:r>
      <w:r w:rsidRPr="00697C03">
        <w:rPr>
          <w:rFonts w:hint="eastAsia"/>
        </w:rPr>
        <w:lastRenderedPageBreak/>
        <w:t>人。復按同法第11條規定，高級中等以下學校得視實際需要置專任專業輔導人員及義務輔導人員若干人，其班級數達55班以上者，應至少置專任專業輔導人員1人。高級中等以下學校主管機關應置專任專業輔導人員，其所轄高級中等以下學校數合計20校以下者，置1人，21校至40校者，置2人，41校以上者以此類推……。準此，學生輔導法及其施行細則有關專任輔導教師聘用與員額等規範，教育部應督促所屬高級中等學校儘速依法聘齊所需之專任輔導教師。另教育部依獎勵補助私立高級中等學校經費實施要點機制檢核專任輔導教師之聘用率，以期落實輔導人力聘用。</w:t>
      </w:r>
    </w:p>
    <w:p w:rsidR="00B04EDC" w:rsidRPr="00697C03" w:rsidRDefault="00B04EDC" w:rsidP="00B04EDC">
      <w:pPr>
        <w:pStyle w:val="4"/>
      </w:pPr>
      <w:r w:rsidRPr="00697C03">
        <w:rPr>
          <w:rFonts w:hint="eastAsia"/>
        </w:rPr>
        <w:t>經查，公立高級中等以下學校專任輔導教師人力已有逐年增加情形，102-107學年度依法累計應置專任輔導教師之員額數詳如下表。</w:t>
      </w:r>
    </w:p>
    <w:p w:rsidR="00B04EDC" w:rsidRPr="00697C03" w:rsidRDefault="00B04EDC" w:rsidP="00B04EDC">
      <w:pPr>
        <w:pStyle w:val="a3"/>
        <w:ind w:left="851" w:hanging="851"/>
        <w:rPr>
          <w:rFonts w:hAnsi="標楷體"/>
          <w:b/>
        </w:rPr>
      </w:pPr>
      <w:r w:rsidRPr="00697C03">
        <w:rPr>
          <w:rFonts w:hAnsi="標楷體" w:hint="eastAsia"/>
          <w:b/>
        </w:rPr>
        <w:t>公立高級中等以下學校專輔教師自102-107學年度依法累計應置專任輔導教師員額數一覽表</w:t>
      </w:r>
    </w:p>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3"/>
        <w:gridCol w:w="1045"/>
        <w:gridCol w:w="939"/>
        <w:gridCol w:w="993"/>
        <w:gridCol w:w="992"/>
        <w:gridCol w:w="992"/>
        <w:gridCol w:w="992"/>
      </w:tblGrid>
      <w:tr w:rsidR="00697C03" w:rsidRPr="00697C03" w:rsidTr="00AE3697">
        <w:trPr>
          <w:trHeight w:val="219"/>
          <w:tblHeader/>
          <w:jc w:val="center"/>
        </w:trPr>
        <w:tc>
          <w:tcPr>
            <w:tcW w:w="2893" w:type="dxa"/>
            <w:shd w:val="clear" w:color="auto" w:fill="auto"/>
            <w:vAlign w:val="center"/>
          </w:tcPr>
          <w:p w:rsidR="00B04EDC" w:rsidRPr="00697C03" w:rsidRDefault="00B04EDC" w:rsidP="00AE3697">
            <w:pPr>
              <w:jc w:val="center"/>
              <w:rPr>
                <w:rFonts w:ascii="標楷體" w:hAnsi="標楷體"/>
                <w:b/>
                <w:sz w:val="26"/>
                <w:szCs w:val="26"/>
              </w:rPr>
            </w:pPr>
            <w:r w:rsidRPr="00697C03">
              <w:rPr>
                <w:rFonts w:ascii="標楷體" w:hAnsi="標楷體" w:hint="eastAsia"/>
                <w:b/>
                <w:sz w:val="26"/>
                <w:szCs w:val="26"/>
              </w:rPr>
              <w:t>學年度</w:t>
            </w:r>
          </w:p>
        </w:tc>
        <w:tc>
          <w:tcPr>
            <w:tcW w:w="1045" w:type="dxa"/>
            <w:shd w:val="clear" w:color="auto" w:fill="F7CAAC"/>
          </w:tcPr>
          <w:p w:rsidR="00B04EDC" w:rsidRPr="00697C03" w:rsidRDefault="00B04EDC" w:rsidP="00AE3697">
            <w:pPr>
              <w:jc w:val="center"/>
              <w:rPr>
                <w:rFonts w:ascii="標楷體" w:hAnsi="標楷體"/>
                <w:b/>
                <w:sz w:val="26"/>
                <w:szCs w:val="26"/>
              </w:rPr>
            </w:pPr>
            <w:r w:rsidRPr="00697C03">
              <w:rPr>
                <w:rFonts w:ascii="標楷體" w:hAnsi="標楷體" w:hint="eastAsia"/>
                <w:b/>
                <w:sz w:val="26"/>
                <w:szCs w:val="26"/>
              </w:rPr>
              <w:t>102</w:t>
            </w:r>
          </w:p>
        </w:tc>
        <w:tc>
          <w:tcPr>
            <w:tcW w:w="939" w:type="dxa"/>
            <w:shd w:val="clear" w:color="auto" w:fill="F7CAAC"/>
          </w:tcPr>
          <w:p w:rsidR="00B04EDC" w:rsidRPr="00697C03" w:rsidRDefault="00B04EDC" w:rsidP="00AE3697">
            <w:pPr>
              <w:jc w:val="center"/>
              <w:rPr>
                <w:rFonts w:ascii="標楷體" w:hAnsi="標楷體"/>
                <w:b/>
                <w:sz w:val="26"/>
                <w:szCs w:val="26"/>
              </w:rPr>
            </w:pPr>
            <w:r w:rsidRPr="00697C03">
              <w:rPr>
                <w:rFonts w:ascii="標楷體" w:hAnsi="標楷體" w:hint="eastAsia"/>
                <w:b/>
                <w:sz w:val="26"/>
                <w:szCs w:val="26"/>
              </w:rPr>
              <w:t>103</w:t>
            </w:r>
          </w:p>
        </w:tc>
        <w:tc>
          <w:tcPr>
            <w:tcW w:w="993" w:type="dxa"/>
            <w:shd w:val="clear" w:color="auto" w:fill="F7CAAC"/>
          </w:tcPr>
          <w:p w:rsidR="00B04EDC" w:rsidRPr="00697C03" w:rsidRDefault="00B04EDC" w:rsidP="00AE3697">
            <w:pPr>
              <w:jc w:val="center"/>
              <w:rPr>
                <w:rFonts w:ascii="標楷體" w:hAnsi="標楷體"/>
                <w:b/>
                <w:sz w:val="26"/>
                <w:szCs w:val="26"/>
              </w:rPr>
            </w:pPr>
            <w:r w:rsidRPr="00697C03">
              <w:rPr>
                <w:rFonts w:ascii="標楷體" w:hAnsi="標楷體" w:hint="eastAsia"/>
                <w:b/>
                <w:sz w:val="26"/>
                <w:szCs w:val="26"/>
              </w:rPr>
              <w:t>104</w:t>
            </w:r>
          </w:p>
        </w:tc>
        <w:tc>
          <w:tcPr>
            <w:tcW w:w="992" w:type="dxa"/>
            <w:shd w:val="clear" w:color="auto" w:fill="F7CAAC"/>
          </w:tcPr>
          <w:p w:rsidR="00B04EDC" w:rsidRPr="00697C03" w:rsidRDefault="00B04EDC" w:rsidP="00AE3697">
            <w:pPr>
              <w:jc w:val="center"/>
              <w:rPr>
                <w:rFonts w:ascii="標楷體" w:hAnsi="標楷體"/>
                <w:b/>
                <w:sz w:val="26"/>
                <w:szCs w:val="26"/>
              </w:rPr>
            </w:pPr>
            <w:r w:rsidRPr="00697C03">
              <w:rPr>
                <w:rFonts w:ascii="標楷體" w:hAnsi="標楷體" w:hint="eastAsia"/>
                <w:b/>
                <w:sz w:val="26"/>
                <w:szCs w:val="26"/>
              </w:rPr>
              <w:t>105</w:t>
            </w:r>
          </w:p>
        </w:tc>
        <w:tc>
          <w:tcPr>
            <w:tcW w:w="992" w:type="dxa"/>
            <w:shd w:val="clear" w:color="auto" w:fill="F7CAAC"/>
          </w:tcPr>
          <w:p w:rsidR="00B04EDC" w:rsidRPr="00697C03" w:rsidRDefault="00B04EDC" w:rsidP="00AE3697">
            <w:pPr>
              <w:jc w:val="center"/>
              <w:rPr>
                <w:rFonts w:ascii="標楷體" w:hAnsi="標楷體"/>
                <w:b/>
                <w:sz w:val="26"/>
                <w:szCs w:val="26"/>
              </w:rPr>
            </w:pPr>
            <w:r w:rsidRPr="00697C03">
              <w:rPr>
                <w:rFonts w:ascii="標楷體" w:hAnsi="標楷體" w:hint="eastAsia"/>
                <w:b/>
                <w:sz w:val="26"/>
                <w:szCs w:val="26"/>
              </w:rPr>
              <w:t>106</w:t>
            </w:r>
          </w:p>
        </w:tc>
        <w:tc>
          <w:tcPr>
            <w:tcW w:w="992" w:type="dxa"/>
            <w:shd w:val="clear" w:color="auto" w:fill="F7CAAC"/>
          </w:tcPr>
          <w:p w:rsidR="00B04EDC" w:rsidRPr="00697C03" w:rsidRDefault="00B04EDC" w:rsidP="00AE3697">
            <w:pPr>
              <w:jc w:val="center"/>
              <w:rPr>
                <w:rFonts w:ascii="標楷體" w:hAnsi="標楷體"/>
                <w:b/>
                <w:sz w:val="26"/>
                <w:szCs w:val="26"/>
              </w:rPr>
            </w:pPr>
            <w:r w:rsidRPr="00697C03">
              <w:rPr>
                <w:rFonts w:ascii="標楷體" w:hAnsi="標楷體" w:hint="eastAsia"/>
                <w:b/>
                <w:sz w:val="26"/>
                <w:szCs w:val="26"/>
              </w:rPr>
              <w:t>107</w:t>
            </w:r>
          </w:p>
        </w:tc>
      </w:tr>
      <w:tr w:rsidR="00697C03" w:rsidRPr="00697C03" w:rsidTr="00AE3697">
        <w:trPr>
          <w:trHeight w:val="63"/>
          <w:jc w:val="center"/>
        </w:trPr>
        <w:tc>
          <w:tcPr>
            <w:tcW w:w="2893" w:type="dxa"/>
            <w:shd w:val="clear" w:color="auto" w:fill="FBE4D5" w:themeFill="accent2" w:themeFillTint="33"/>
            <w:vAlign w:val="center"/>
          </w:tcPr>
          <w:p w:rsidR="00B04EDC" w:rsidRPr="00697C03" w:rsidRDefault="00B04EDC" w:rsidP="00AE3697">
            <w:pPr>
              <w:jc w:val="center"/>
              <w:rPr>
                <w:rFonts w:ascii="標楷體" w:hAnsi="標楷體"/>
                <w:b/>
                <w:sz w:val="26"/>
                <w:szCs w:val="26"/>
              </w:rPr>
            </w:pPr>
            <w:r w:rsidRPr="00697C03">
              <w:rPr>
                <w:rFonts w:ascii="標楷體" w:hAnsi="標楷體" w:hint="eastAsia"/>
                <w:b/>
                <w:sz w:val="26"/>
                <w:szCs w:val="26"/>
              </w:rPr>
              <w:t>國小應置人數</w:t>
            </w:r>
          </w:p>
        </w:tc>
        <w:tc>
          <w:tcPr>
            <w:tcW w:w="1045" w:type="dxa"/>
            <w:shd w:val="clear" w:color="auto" w:fill="auto"/>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384</w:t>
            </w:r>
          </w:p>
        </w:tc>
        <w:tc>
          <w:tcPr>
            <w:tcW w:w="939" w:type="dxa"/>
            <w:shd w:val="clear" w:color="auto" w:fill="auto"/>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444</w:t>
            </w:r>
          </w:p>
        </w:tc>
        <w:tc>
          <w:tcPr>
            <w:tcW w:w="993" w:type="dxa"/>
            <w:shd w:val="clear" w:color="auto" w:fill="auto"/>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552</w:t>
            </w:r>
          </w:p>
        </w:tc>
        <w:tc>
          <w:tcPr>
            <w:tcW w:w="992" w:type="dxa"/>
            <w:shd w:val="clear" w:color="auto" w:fill="auto"/>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726</w:t>
            </w:r>
          </w:p>
        </w:tc>
        <w:tc>
          <w:tcPr>
            <w:tcW w:w="992" w:type="dxa"/>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770</w:t>
            </w:r>
          </w:p>
        </w:tc>
        <w:tc>
          <w:tcPr>
            <w:tcW w:w="992" w:type="dxa"/>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875</w:t>
            </w:r>
          </w:p>
        </w:tc>
      </w:tr>
      <w:tr w:rsidR="00697C03" w:rsidRPr="00697C03" w:rsidTr="00AE3697">
        <w:trPr>
          <w:jc w:val="center"/>
        </w:trPr>
        <w:tc>
          <w:tcPr>
            <w:tcW w:w="2893" w:type="dxa"/>
            <w:shd w:val="clear" w:color="auto" w:fill="FBE4D5" w:themeFill="accent2" w:themeFillTint="33"/>
            <w:vAlign w:val="center"/>
          </w:tcPr>
          <w:p w:rsidR="00B04EDC" w:rsidRPr="00697C03" w:rsidRDefault="00B04EDC" w:rsidP="00AE3697">
            <w:pPr>
              <w:jc w:val="center"/>
              <w:rPr>
                <w:rFonts w:ascii="標楷體" w:hAnsi="標楷體"/>
                <w:b/>
                <w:sz w:val="26"/>
                <w:szCs w:val="26"/>
              </w:rPr>
            </w:pPr>
            <w:r w:rsidRPr="00697C03">
              <w:rPr>
                <w:rFonts w:ascii="標楷體" w:hAnsi="標楷體" w:hint="eastAsia"/>
                <w:b/>
                <w:sz w:val="26"/>
                <w:szCs w:val="26"/>
              </w:rPr>
              <w:t>國中應置人數</w:t>
            </w:r>
          </w:p>
        </w:tc>
        <w:tc>
          <w:tcPr>
            <w:tcW w:w="1045" w:type="dxa"/>
            <w:shd w:val="clear" w:color="auto" w:fill="auto"/>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788</w:t>
            </w:r>
          </w:p>
        </w:tc>
        <w:tc>
          <w:tcPr>
            <w:tcW w:w="939" w:type="dxa"/>
            <w:shd w:val="clear" w:color="auto" w:fill="auto"/>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981</w:t>
            </w:r>
          </w:p>
        </w:tc>
        <w:tc>
          <w:tcPr>
            <w:tcW w:w="993" w:type="dxa"/>
            <w:shd w:val="clear" w:color="auto" w:fill="auto"/>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1</w:t>
            </w:r>
            <w:r w:rsidRPr="00697C03">
              <w:rPr>
                <w:rFonts w:ascii="標楷體" w:hAnsi="標楷體"/>
                <w:sz w:val="26"/>
                <w:szCs w:val="26"/>
              </w:rPr>
              <w:t>,</w:t>
            </w:r>
            <w:r w:rsidRPr="00697C03">
              <w:rPr>
                <w:rFonts w:ascii="標楷體" w:hAnsi="標楷體" w:hint="eastAsia"/>
                <w:sz w:val="26"/>
                <w:szCs w:val="26"/>
              </w:rPr>
              <w:t>309</w:t>
            </w:r>
          </w:p>
        </w:tc>
        <w:tc>
          <w:tcPr>
            <w:tcW w:w="992" w:type="dxa"/>
            <w:shd w:val="clear" w:color="auto" w:fill="auto"/>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1</w:t>
            </w:r>
            <w:r w:rsidRPr="00697C03">
              <w:rPr>
                <w:rFonts w:ascii="標楷體" w:hAnsi="標楷體"/>
                <w:sz w:val="26"/>
                <w:szCs w:val="26"/>
              </w:rPr>
              <w:t>,</w:t>
            </w:r>
            <w:r w:rsidRPr="00697C03">
              <w:rPr>
                <w:rFonts w:ascii="標楷體" w:hAnsi="標楷體" w:hint="eastAsia"/>
                <w:sz w:val="26"/>
                <w:szCs w:val="26"/>
              </w:rPr>
              <w:t>254</w:t>
            </w:r>
          </w:p>
        </w:tc>
        <w:tc>
          <w:tcPr>
            <w:tcW w:w="992" w:type="dxa"/>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1</w:t>
            </w:r>
            <w:r w:rsidRPr="00697C03">
              <w:rPr>
                <w:rFonts w:ascii="標楷體" w:hAnsi="標楷體"/>
                <w:sz w:val="26"/>
                <w:szCs w:val="26"/>
              </w:rPr>
              <w:t>,</w:t>
            </w:r>
            <w:r w:rsidRPr="00697C03">
              <w:rPr>
                <w:rFonts w:ascii="標楷體" w:hAnsi="標楷體" w:hint="eastAsia"/>
                <w:sz w:val="26"/>
                <w:szCs w:val="26"/>
              </w:rPr>
              <w:t>324</w:t>
            </w:r>
          </w:p>
        </w:tc>
        <w:tc>
          <w:tcPr>
            <w:tcW w:w="992" w:type="dxa"/>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1</w:t>
            </w:r>
            <w:r w:rsidRPr="00697C03">
              <w:rPr>
                <w:rFonts w:ascii="標楷體" w:hAnsi="標楷體"/>
                <w:sz w:val="26"/>
                <w:szCs w:val="26"/>
              </w:rPr>
              <w:t>,</w:t>
            </w:r>
            <w:r w:rsidRPr="00697C03">
              <w:rPr>
                <w:rFonts w:ascii="標楷體" w:hAnsi="標楷體" w:hint="eastAsia"/>
                <w:sz w:val="26"/>
                <w:szCs w:val="26"/>
              </w:rPr>
              <w:t>362</w:t>
            </w:r>
          </w:p>
        </w:tc>
      </w:tr>
      <w:tr w:rsidR="00697C03" w:rsidRPr="00697C03" w:rsidTr="00AE3697">
        <w:trPr>
          <w:trHeight w:val="69"/>
          <w:jc w:val="center"/>
        </w:trPr>
        <w:tc>
          <w:tcPr>
            <w:tcW w:w="2893" w:type="dxa"/>
            <w:shd w:val="clear" w:color="auto" w:fill="FBE4D5" w:themeFill="accent2" w:themeFillTint="33"/>
            <w:vAlign w:val="center"/>
          </w:tcPr>
          <w:p w:rsidR="00B04EDC" w:rsidRPr="00697C03" w:rsidRDefault="00B04EDC" w:rsidP="00AE3697">
            <w:pPr>
              <w:jc w:val="center"/>
              <w:rPr>
                <w:rFonts w:ascii="標楷體" w:hAnsi="標楷體"/>
                <w:b/>
                <w:sz w:val="26"/>
                <w:szCs w:val="26"/>
              </w:rPr>
            </w:pPr>
            <w:r w:rsidRPr="00697C03">
              <w:rPr>
                <w:rFonts w:ascii="標楷體" w:hAnsi="標楷體" w:hint="eastAsia"/>
                <w:b/>
                <w:sz w:val="26"/>
                <w:szCs w:val="26"/>
              </w:rPr>
              <w:t>合  計</w:t>
            </w:r>
          </w:p>
        </w:tc>
        <w:tc>
          <w:tcPr>
            <w:tcW w:w="1045" w:type="dxa"/>
            <w:shd w:val="clear" w:color="auto" w:fill="auto"/>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1</w:t>
            </w:r>
            <w:r w:rsidRPr="00697C03">
              <w:rPr>
                <w:rFonts w:ascii="標楷體" w:hAnsi="標楷體"/>
                <w:sz w:val="26"/>
                <w:szCs w:val="26"/>
              </w:rPr>
              <w:t>,172</w:t>
            </w:r>
          </w:p>
        </w:tc>
        <w:tc>
          <w:tcPr>
            <w:tcW w:w="939" w:type="dxa"/>
            <w:shd w:val="clear" w:color="auto" w:fill="auto"/>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1</w:t>
            </w:r>
            <w:r w:rsidRPr="00697C03">
              <w:rPr>
                <w:rFonts w:ascii="標楷體" w:hAnsi="標楷體"/>
                <w:sz w:val="26"/>
                <w:szCs w:val="26"/>
              </w:rPr>
              <w:t>,425</w:t>
            </w:r>
          </w:p>
        </w:tc>
        <w:tc>
          <w:tcPr>
            <w:tcW w:w="993" w:type="dxa"/>
            <w:shd w:val="clear" w:color="auto" w:fill="auto"/>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1</w:t>
            </w:r>
            <w:r w:rsidRPr="00697C03">
              <w:rPr>
                <w:rFonts w:ascii="標楷體" w:hAnsi="標楷體"/>
                <w:sz w:val="26"/>
                <w:szCs w:val="26"/>
              </w:rPr>
              <w:t>,861</w:t>
            </w:r>
          </w:p>
        </w:tc>
        <w:tc>
          <w:tcPr>
            <w:tcW w:w="992" w:type="dxa"/>
            <w:shd w:val="clear" w:color="auto" w:fill="auto"/>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1</w:t>
            </w:r>
            <w:r w:rsidRPr="00697C03">
              <w:rPr>
                <w:rFonts w:ascii="標楷體" w:hAnsi="標楷體"/>
                <w:sz w:val="26"/>
                <w:szCs w:val="26"/>
              </w:rPr>
              <w:t>,980</w:t>
            </w:r>
          </w:p>
        </w:tc>
        <w:tc>
          <w:tcPr>
            <w:tcW w:w="992" w:type="dxa"/>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2</w:t>
            </w:r>
            <w:r w:rsidRPr="00697C03">
              <w:rPr>
                <w:rFonts w:ascii="標楷體" w:hAnsi="標楷體"/>
                <w:sz w:val="26"/>
                <w:szCs w:val="26"/>
              </w:rPr>
              <w:t>,094</w:t>
            </w:r>
          </w:p>
        </w:tc>
        <w:tc>
          <w:tcPr>
            <w:tcW w:w="992" w:type="dxa"/>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2</w:t>
            </w:r>
            <w:r w:rsidRPr="00697C03">
              <w:rPr>
                <w:rFonts w:ascii="標楷體" w:hAnsi="標楷體"/>
                <w:sz w:val="26"/>
                <w:szCs w:val="26"/>
              </w:rPr>
              <w:t>,237</w:t>
            </w:r>
          </w:p>
        </w:tc>
      </w:tr>
      <w:tr w:rsidR="00697C03" w:rsidRPr="00697C03" w:rsidTr="00AE3697">
        <w:trPr>
          <w:jc w:val="center"/>
        </w:trPr>
        <w:tc>
          <w:tcPr>
            <w:tcW w:w="2893" w:type="dxa"/>
            <w:shd w:val="clear" w:color="auto" w:fill="DEEAF6" w:themeFill="accent1" w:themeFillTint="33"/>
            <w:vAlign w:val="center"/>
          </w:tcPr>
          <w:p w:rsidR="00B04EDC" w:rsidRPr="00697C03" w:rsidRDefault="00B04EDC" w:rsidP="00AE3697">
            <w:pPr>
              <w:jc w:val="center"/>
              <w:rPr>
                <w:rFonts w:ascii="標楷體" w:hAnsi="標楷體"/>
                <w:b/>
                <w:sz w:val="26"/>
                <w:szCs w:val="26"/>
              </w:rPr>
            </w:pPr>
            <w:r w:rsidRPr="00697C03">
              <w:rPr>
                <w:rFonts w:ascii="標楷體" w:hAnsi="標楷體" w:hint="eastAsia"/>
                <w:b/>
                <w:sz w:val="26"/>
                <w:szCs w:val="26"/>
              </w:rPr>
              <w:t>國小實置人數</w:t>
            </w:r>
          </w:p>
        </w:tc>
        <w:tc>
          <w:tcPr>
            <w:tcW w:w="1045" w:type="dxa"/>
            <w:shd w:val="clear" w:color="auto" w:fill="auto"/>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400</w:t>
            </w:r>
          </w:p>
        </w:tc>
        <w:tc>
          <w:tcPr>
            <w:tcW w:w="939" w:type="dxa"/>
            <w:shd w:val="clear" w:color="auto" w:fill="auto"/>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486</w:t>
            </w:r>
          </w:p>
        </w:tc>
        <w:tc>
          <w:tcPr>
            <w:tcW w:w="993" w:type="dxa"/>
            <w:shd w:val="clear" w:color="auto" w:fill="auto"/>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551</w:t>
            </w:r>
          </w:p>
        </w:tc>
        <w:tc>
          <w:tcPr>
            <w:tcW w:w="992" w:type="dxa"/>
            <w:shd w:val="clear" w:color="auto" w:fill="auto"/>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727</w:t>
            </w:r>
          </w:p>
        </w:tc>
        <w:tc>
          <w:tcPr>
            <w:tcW w:w="992" w:type="dxa"/>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766</w:t>
            </w:r>
          </w:p>
        </w:tc>
        <w:tc>
          <w:tcPr>
            <w:tcW w:w="992" w:type="dxa"/>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860</w:t>
            </w:r>
          </w:p>
        </w:tc>
      </w:tr>
      <w:tr w:rsidR="00697C03" w:rsidRPr="00697C03" w:rsidTr="00AE3697">
        <w:trPr>
          <w:jc w:val="center"/>
        </w:trPr>
        <w:tc>
          <w:tcPr>
            <w:tcW w:w="2893" w:type="dxa"/>
            <w:shd w:val="clear" w:color="auto" w:fill="DEEAF6" w:themeFill="accent1" w:themeFillTint="33"/>
            <w:vAlign w:val="center"/>
          </w:tcPr>
          <w:p w:rsidR="00B04EDC" w:rsidRPr="00697C03" w:rsidRDefault="00B04EDC" w:rsidP="00AE3697">
            <w:pPr>
              <w:jc w:val="center"/>
              <w:rPr>
                <w:rFonts w:ascii="標楷體" w:hAnsi="標楷體"/>
                <w:b/>
                <w:sz w:val="26"/>
                <w:szCs w:val="26"/>
              </w:rPr>
            </w:pPr>
            <w:r w:rsidRPr="00697C03">
              <w:rPr>
                <w:rFonts w:ascii="標楷體" w:hAnsi="標楷體" w:hint="eastAsia"/>
                <w:b/>
                <w:sz w:val="26"/>
                <w:szCs w:val="26"/>
              </w:rPr>
              <w:t>國中實置人數</w:t>
            </w:r>
          </w:p>
        </w:tc>
        <w:tc>
          <w:tcPr>
            <w:tcW w:w="1045" w:type="dxa"/>
            <w:shd w:val="clear" w:color="auto" w:fill="auto"/>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678</w:t>
            </w:r>
          </w:p>
        </w:tc>
        <w:tc>
          <w:tcPr>
            <w:tcW w:w="939" w:type="dxa"/>
            <w:shd w:val="clear" w:color="auto" w:fill="auto"/>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922</w:t>
            </w:r>
          </w:p>
        </w:tc>
        <w:tc>
          <w:tcPr>
            <w:tcW w:w="993" w:type="dxa"/>
            <w:shd w:val="clear" w:color="auto" w:fill="auto"/>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1</w:t>
            </w:r>
            <w:r w:rsidRPr="00697C03">
              <w:rPr>
                <w:rFonts w:ascii="標楷體" w:hAnsi="標楷體"/>
                <w:sz w:val="26"/>
                <w:szCs w:val="26"/>
              </w:rPr>
              <w:t>,</w:t>
            </w:r>
            <w:r w:rsidRPr="00697C03">
              <w:rPr>
                <w:rFonts w:ascii="標楷體" w:hAnsi="標楷體" w:hint="eastAsia"/>
                <w:sz w:val="26"/>
                <w:szCs w:val="26"/>
              </w:rPr>
              <w:t>253</w:t>
            </w:r>
          </w:p>
        </w:tc>
        <w:tc>
          <w:tcPr>
            <w:tcW w:w="992" w:type="dxa"/>
            <w:shd w:val="clear" w:color="auto" w:fill="auto"/>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1</w:t>
            </w:r>
            <w:r w:rsidRPr="00697C03">
              <w:rPr>
                <w:rFonts w:ascii="標楷體" w:hAnsi="標楷體"/>
                <w:sz w:val="26"/>
                <w:szCs w:val="26"/>
              </w:rPr>
              <w:t>,</w:t>
            </w:r>
            <w:r w:rsidRPr="00697C03">
              <w:rPr>
                <w:rFonts w:ascii="標楷體" w:hAnsi="標楷體" w:hint="eastAsia"/>
                <w:sz w:val="26"/>
                <w:szCs w:val="26"/>
              </w:rPr>
              <w:t>233</w:t>
            </w:r>
          </w:p>
        </w:tc>
        <w:tc>
          <w:tcPr>
            <w:tcW w:w="992" w:type="dxa"/>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1</w:t>
            </w:r>
            <w:r w:rsidRPr="00697C03">
              <w:rPr>
                <w:rFonts w:ascii="標楷體" w:hAnsi="標楷體"/>
                <w:sz w:val="26"/>
                <w:szCs w:val="26"/>
              </w:rPr>
              <w:t>,</w:t>
            </w:r>
            <w:r w:rsidRPr="00697C03">
              <w:rPr>
                <w:rFonts w:ascii="標楷體" w:hAnsi="標楷體" w:hint="eastAsia"/>
                <w:sz w:val="26"/>
                <w:szCs w:val="26"/>
              </w:rPr>
              <w:t>303</w:t>
            </w:r>
          </w:p>
        </w:tc>
        <w:tc>
          <w:tcPr>
            <w:tcW w:w="992" w:type="dxa"/>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1</w:t>
            </w:r>
            <w:r w:rsidRPr="00697C03">
              <w:rPr>
                <w:rFonts w:ascii="標楷體" w:hAnsi="標楷體"/>
                <w:sz w:val="26"/>
                <w:szCs w:val="26"/>
              </w:rPr>
              <w:t>,</w:t>
            </w:r>
            <w:r w:rsidRPr="00697C03">
              <w:rPr>
                <w:rFonts w:ascii="標楷體" w:hAnsi="標楷體" w:hint="eastAsia"/>
                <w:sz w:val="26"/>
                <w:szCs w:val="26"/>
              </w:rPr>
              <w:t>356</w:t>
            </w:r>
          </w:p>
        </w:tc>
      </w:tr>
      <w:tr w:rsidR="00697C03" w:rsidRPr="00697C03" w:rsidTr="00AE3697">
        <w:trPr>
          <w:jc w:val="center"/>
        </w:trPr>
        <w:tc>
          <w:tcPr>
            <w:tcW w:w="2893" w:type="dxa"/>
            <w:shd w:val="clear" w:color="auto" w:fill="DEEAF6" w:themeFill="accent1" w:themeFillTint="33"/>
            <w:vAlign w:val="center"/>
          </w:tcPr>
          <w:p w:rsidR="00B04EDC" w:rsidRPr="00697C03" w:rsidRDefault="00B04EDC" w:rsidP="00AE3697">
            <w:pPr>
              <w:jc w:val="center"/>
              <w:rPr>
                <w:rFonts w:ascii="標楷體" w:hAnsi="標楷體"/>
                <w:b/>
                <w:sz w:val="26"/>
                <w:szCs w:val="26"/>
              </w:rPr>
            </w:pPr>
            <w:r w:rsidRPr="00697C03">
              <w:rPr>
                <w:rFonts w:ascii="標楷體" w:hAnsi="標楷體" w:hint="eastAsia"/>
                <w:b/>
                <w:sz w:val="26"/>
                <w:szCs w:val="26"/>
              </w:rPr>
              <w:t>合  計</w:t>
            </w:r>
          </w:p>
        </w:tc>
        <w:tc>
          <w:tcPr>
            <w:tcW w:w="1045" w:type="dxa"/>
            <w:shd w:val="clear" w:color="auto" w:fill="auto"/>
            <w:vAlign w:val="center"/>
          </w:tcPr>
          <w:p w:rsidR="00B04EDC" w:rsidRPr="00697C03" w:rsidRDefault="00B04EDC" w:rsidP="00AE3697">
            <w:pPr>
              <w:jc w:val="right"/>
              <w:rPr>
                <w:rFonts w:ascii="標楷體" w:hAnsi="標楷體" w:cs="新細明體"/>
                <w:sz w:val="26"/>
                <w:szCs w:val="26"/>
              </w:rPr>
            </w:pPr>
            <w:r w:rsidRPr="00697C03">
              <w:rPr>
                <w:rFonts w:ascii="標楷體" w:hAnsi="標楷體" w:hint="eastAsia"/>
                <w:sz w:val="26"/>
                <w:szCs w:val="26"/>
              </w:rPr>
              <w:t>1</w:t>
            </w:r>
            <w:r w:rsidRPr="00697C03">
              <w:rPr>
                <w:rFonts w:ascii="標楷體" w:hAnsi="標楷體"/>
                <w:sz w:val="26"/>
                <w:szCs w:val="26"/>
              </w:rPr>
              <w:t>,</w:t>
            </w:r>
            <w:r w:rsidRPr="00697C03">
              <w:rPr>
                <w:rFonts w:ascii="標楷體" w:hAnsi="標楷體" w:hint="eastAsia"/>
                <w:sz w:val="26"/>
                <w:szCs w:val="26"/>
              </w:rPr>
              <w:t>078</w:t>
            </w:r>
          </w:p>
        </w:tc>
        <w:tc>
          <w:tcPr>
            <w:tcW w:w="939" w:type="dxa"/>
            <w:shd w:val="clear" w:color="auto" w:fill="auto"/>
            <w:vAlign w:val="center"/>
          </w:tcPr>
          <w:p w:rsidR="00B04EDC" w:rsidRPr="00697C03" w:rsidRDefault="00B04EDC" w:rsidP="00AE3697">
            <w:pPr>
              <w:jc w:val="right"/>
              <w:rPr>
                <w:rFonts w:ascii="標楷體" w:hAnsi="標楷體" w:cs="新細明體"/>
                <w:sz w:val="26"/>
                <w:szCs w:val="26"/>
              </w:rPr>
            </w:pPr>
            <w:r w:rsidRPr="00697C03">
              <w:rPr>
                <w:rFonts w:ascii="標楷體" w:hAnsi="標楷體" w:hint="eastAsia"/>
                <w:sz w:val="26"/>
                <w:szCs w:val="26"/>
              </w:rPr>
              <w:t>1</w:t>
            </w:r>
            <w:r w:rsidRPr="00697C03">
              <w:rPr>
                <w:rFonts w:ascii="標楷體" w:hAnsi="標楷體"/>
                <w:sz w:val="26"/>
                <w:szCs w:val="26"/>
              </w:rPr>
              <w:t>,</w:t>
            </w:r>
            <w:r w:rsidRPr="00697C03">
              <w:rPr>
                <w:rFonts w:ascii="標楷體" w:hAnsi="標楷體" w:hint="eastAsia"/>
                <w:sz w:val="26"/>
                <w:szCs w:val="26"/>
              </w:rPr>
              <w:t>408</w:t>
            </w:r>
          </w:p>
        </w:tc>
        <w:tc>
          <w:tcPr>
            <w:tcW w:w="993" w:type="dxa"/>
            <w:shd w:val="clear" w:color="auto" w:fill="auto"/>
            <w:vAlign w:val="center"/>
          </w:tcPr>
          <w:p w:rsidR="00B04EDC" w:rsidRPr="00697C03" w:rsidRDefault="00B04EDC" w:rsidP="00AE3697">
            <w:pPr>
              <w:jc w:val="right"/>
              <w:rPr>
                <w:rFonts w:ascii="標楷體" w:hAnsi="標楷體" w:cs="新細明體"/>
                <w:sz w:val="26"/>
                <w:szCs w:val="26"/>
              </w:rPr>
            </w:pPr>
            <w:r w:rsidRPr="00697C03">
              <w:rPr>
                <w:rFonts w:ascii="標楷體" w:hAnsi="標楷體" w:hint="eastAsia"/>
                <w:sz w:val="26"/>
                <w:szCs w:val="26"/>
              </w:rPr>
              <w:t>1</w:t>
            </w:r>
            <w:r w:rsidRPr="00697C03">
              <w:rPr>
                <w:rFonts w:ascii="標楷體" w:hAnsi="標楷體"/>
                <w:sz w:val="26"/>
                <w:szCs w:val="26"/>
              </w:rPr>
              <w:t>,</w:t>
            </w:r>
            <w:r w:rsidRPr="00697C03">
              <w:rPr>
                <w:rFonts w:ascii="標楷體" w:hAnsi="標楷體" w:hint="eastAsia"/>
                <w:sz w:val="26"/>
                <w:szCs w:val="26"/>
              </w:rPr>
              <w:t>804</w:t>
            </w:r>
          </w:p>
        </w:tc>
        <w:tc>
          <w:tcPr>
            <w:tcW w:w="992" w:type="dxa"/>
            <w:shd w:val="clear" w:color="auto" w:fill="auto"/>
            <w:vAlign w:val="center"/>
          </w:tcPr>
          <w:p w:rsidR="00B04EDC" w:rsidRPr="00697C03" w:rsidRDefault="00B04EDC" w:rsidP="00AE3697">
            <w:pPr>
              <w:jc w:val="right"/>
              <w:rPr>
                <w:rFonts w:ascii="標楷體" w:hAnsi="標楷體" w:cs="新細明體"/>
                <w:sz w:val="26"/>
                <w:szCs w:val="26"/>
              </w:rPr>
            </w:pPr>
            <w:r w:rsidRPr="00697C03">
              <w:rPr>
                <w:rFonts w:ascii="標楷體" w:hAnsi="標楷體" w:hint="eastAsia"/>
                <w:sz w:val="26"/>
                <w:szCs w:val="26"/>
              </w:rPr>
              <w:t>1</w:t>
            </w:r>
            <w:r w:rsidRPr="00697C03">
              <w:rPr>
                <w:rFonts w:ascii="標楷體" w:hAnsi="標楷體"/>
                <w:sz w:val="26"/>
                <w:szCs w:val="26"/>
              </w:rPr>
              <w:t>,</w:t>
            </w:r>
            <w:r w:rsidRPr="00697C03">
              <w:rPr>
                <w:rFonts w:ascii="標楷體" w:hAnsi="標楷體" w:hint="eastAsia"/>
                <w:sz w:val="26"/>
                <w:szCs w:val="26"/>
              </w:rPr>
              <w:t>960</w:t>
            </w:r>
          </w:p>
        </w:tc>
        <w:tc>
          <w:tcPr>
            <w:tcW w:w="992" w:type="dxa"/>
            <w:vAlign w:val="center"/>
          </w:tcPr>
          <w:p w:rsidR="00B04EDC" w:rsidRPr="00697C03" w:rsidRDefault="00B04EDC" w:rsidP="00AE3697">
            <w:pPr>
              <w:jc w:val="right"/>
              <w:rPr>
                <w:rFonts w:ascii="標楷體" w:hAnsi="標楷體" w:cs="新細明體"/>
                <w:sz w:val="26"/>
                <w:szCs w:val="26"/>
              </w:rPr>
            </w:pPr>
            <w:r w:rsidRPr="00697C03">
              <w:rPr>
                <w:rFonts w:ascii="標楷體" w:hAnsi="標楷體" w:hint="eastAsia"/>
                <w:sz w:val="26"/>
                <w:szCs w:val="26"/>
              </w:rPr>
              <w:t>2</w:t>
            </w:r>
            <w:r w:rsidRPr="00697C03">
              <w:rPr>
                <w:rFonts w:ascii="標楷體" w:hAnsi="標楷體"/>
                <w:sz w:val="26"/>
                <w:szCs w:val="26"/>
              </w:rPr>
              <w:t>,</w:t>
            </w:r>
            <w:r w:rsidRPr="00697C03">
              <w:rPr>
                <w:rFonts w:ascii="標楷體" w:hAnsi="標楷體" w:hint="eastAsia"/>
                <w:sz w:val="26"/>
                <w:szCs w:val="26"/>
              </w:rPr>
              <w:t>069</w:t>
            </w:r>
          </w:p>
        </w:tc>
        <w:tc>
          <w:tcPr>
            <w:tcW w:w="992" w:type="dxa"/>
            <w:vAlign w:val="center"/>
          </w:tcPr>
          <w:p w:rsidR="00B04EDC" w:rsidRPr="00697C03" w:rsidRDefault="00B04EDC" w:rsidP="00AE3697">
            <w:pPr>
              <w:jc w:val="right"/>
              <w:rPr>
                <w:rFonts w:ascii="標楷體" w:hAnsi="標楷體" w:cs="新細明體"/>
                <w:sz w:val="26"/>
                <w:szCs w:val="26"/>
              </w:rPr>
            </w:pPr>
            <w:r w:rsidRPr="00697C03">
              <w:rPr>
                <w:rFonts w:ascii="標楷體" w:hAnsi="標楷體" w:hint="eastAsia"/>
                <w:sz w:val="26"/>
                <w:szCs w:val="26"/>
              </w:rPr>
              <w:t>2</w:t>
            </w:r>
            <w:r w:rsidRPr="00697C03">
              <w:rPr>
                <w:rFonts w:ascii="標楷體" w:hAnsi="標楷體"/>
                <w:sz w:val="26"/>
                <w:szCs w:val="26"/>
              </w:rPr>
              <w:t>,</w:t>
            </w:r>
            <w:r w:rsidRPr="00697C03">
              <w:rPr>
                <w:rFonts w:ascii="標楷體" w:hAnsi="標楷體" w:hint="eastAsia"/>
                <w:sz w:val="26"/>
                <w:szCs w:val="26"/>
              </w:rPr>
              <w:t>216</w:t>
            </w:r>
          </w:p>
        </w:tc>
      </w:tr>
      <w:tr w:rsidR="00697C03" w:rsidRPr="00697C03" w:rsidTr="00AE3697">
        <w:trPr>
          <w:jc w:val="center"/>
        </w:trPr>
        <w:tc>
          <w:tcPr>
            <w:tcW w:w="2893" w:type="dxa"/>
            <w:shd w:val="clear" w:color="auto" w:fill="FFF2CC" w:themeFill="accent4" w:themeFillTint="33"/>
            <w:vAlign w:val="center"/>
          </w:tcPr>
          <w:p w:rsidR="00B04EDC" w:rsidRPr="00697C03" w:rsidRDefault="00B04EDC" w:rsidP="00AE3697">
            <w:pPr>
              <w:spacing w:line="300" w:lineRule="exact"/>
              <w:jc w:val="center"/>
              <w:rPr>
                <w:rFonts w:ascii="標楷體" w:hAnsi="標楷體"/>
                <w:b/>
                <w:sz w:val="26"/>
                <w:szCs w:val="26"/>
              </w:rPr>
            </w:pPr>
            <w:r w:rsidRPr="00697C03">
              <w:rPr>
                <w:rFonts w:ascii="標楷體" w:hAnsi="標楷體" w:hint="eastAsia"/>
                <w:b/>
                <w:sz w:val="26"/>
                <w:szCs w:val="26"/>
              </w:rPr>
              <w:t>直轄市/縣市政府所屬高級中學</w:t>
            </w:r>
          </w:p>
          <w:p w:rsidR="00B04EDC" w:rsidRPr="00697C03" w:rsidRDefault="00B04EDC" w:rsidP="00AE3697">
            <w:pPr>
              <w:spacing w:line="300" w:lineRule="exact"/>
              <w:jc w:val="center"/>
              <w:rPr>
                <w:rFonts w:ascii="標楷體" w:hAnsi="標楷體"/>
                <w:b/>
                <w:sz w:val="26"/>
                <w:szCs w:val="26"/>
              </w:rPr>
            </w:pPr>
            <w:r w:rsidRPr="00697C03">
              <w:rPr>
                <w:rFonts w:ascii="標楷體" w:hAnsi="標楷體" w:hint="eastAsia"/>
                <w:b/>
                <w:sz w:val="26"/>
                <w:szCs w:val="26"/>
              </w:rPr>
              <w:t>（含完全中學高中部）應置人數</w:t>
            </w:r>
          </w:p>
        </w:tc>
        <w:tc>
          <w:tcPr>
            <w:tcW w:w="1045" w:type="dxa"/>
            <w:shd w:val="clear" w:color="auto" w:fill="auto"/>
            <w:vAlign w:val="center"/>
          </w:tcPr>
          <w:p w:rsidR="00B04EDC" w:rsidRPr="00697C03" w:rsidRDefault="00B04EDC" w:rsidP="00AE3697">
            <w:pPr>
              <w:jc w:val="right"/>
              <w:rPr>
                <w:rFonts w:ascii="標楷體" w:hAnsi="標楷體"/>
                <w:sz w:val="26"/>
                <w:szCs w:val="26"/>
              </w:rPr>
            </w:pPr>
          </w:p>
        </w:tc>
        <w:tc>
          <w:tcPr>
            <w:tcW w:w="939" w:type="dxa"/>
            <w:shd w:val="clear" w:color="auto" w:fill="auto"/>
            <w:vAlign w:val="center"/>
          </w:tcPr>
          <w:p w:rsidR="00B04EDC" w:rsidRPr="00697C03" w:rsidRDefault="00B04EDC" w:rsidP="00AE3697">
            <w:pPr>
              <w:jc w:val="right"/>
              <w:rPr>
                <w:rFonts w:ascii="標楷體" w:hAnsi="標楷體"/>
                <w:sz w:val="26"/>
                <w:szCs w:val="26"/>
              </w:rPr>
            </w:pPr>
          </w:p>
        </w:tc>
        <w:tc>
          <w:tcPr>
            <w:tcW w:w="993" w:type="dxa"/>
            <w:shd w:val="clear" w:color="auto" w:fill="auto"/>
            <w:vAlign w:val="center"/>
          </w:tcPr>
          <w:p w:rsidR="00B04EDC" w:rsidRPr="00697C03" w:rsidRDefault="00B04EDC" w:rsidP="00AE3697">
            <w:pPr>
              <w:jc w:val="right"/>
              <w:rPr>
                <w:rFonts w:ascii="標楷體" w:hAnsi="標楷體"/>
                <w:sz w:val="26"/>
                <w:szCs w:val="26"/>
              </w:rPr>
            </w:pPr>
          </w:p>
        </w:tc>
        <w:tc>
          <w:tcPr>
            <w:tcW w:w="992" w:type="dxa"/>
            <w:shd w:val="clear" w:color="auto" w:fill="auto"/>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442</w:t>
            </w:r>
          </w:p>
        </w:tc>
        <w:tc>
          <w:tcPr>
            <w:tcW w:w="992" w:type="dxa"/>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611</w:t>
            </w:r>
          </w:p>
        </w:tc>
        <w:tc>
          <w:tcPr>
            <w:tcW w:w="992" w:type="dxa"/>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606</w:t>
            </w:r>
          </w:p>
        </w:tc>
      </w:tr>
      <w:tr w:rsidR="00697C03" w:rsidRPr="00697C03" w:rsidTr="00AE3697">
        <w:trPr>
          <w:jc w:val="center"/>
        </w:trPr>
        <w:tc>
          <w:tcPr>
            <w:tcW w:w="2893" w:type="dxa"/>
            <w:shd w:val="clear" w:color="auto" w:fill="FFF2CC" w:themeFill="accent4" w:themeFillTint="33"/>
            <w:vAlign w:val="center"/>
          </w:tcPr>
          <w:p w:rsidR="00B04EDC" w:rsidRPr="00697C03" w:rsidRDefault="00B04EDC" w:rsidP="00AE3697">
            <w:pPr>
              <w:spacing w:line="300" w:lineRule="exact"/>
              <w:jc w:val="center"/>
              <w:rPr>
                <w:rFonts w:ascii="標楷體" w:hAnsi="標楷體"/>
                <w:b/>
                <w:sz w:val="26"/>
                <w:szCs w:val="26"/>
              </w:rPr>
            </w:pPr>
            <w:r w:rsidRPr="00697C03">
              <w:rPr>
                <w:rFonts w:ascii="標楷體" w:hAnsi="標楷體" w:hint="eastAsia"/>
                <w:b/>
                <w:sz w:val="26"/>
                <w:szCs w:val="26"/>
              </w:rPr>
              <w:t>直轄市/縣市政府所屬高級中學</w:t>
            </w:r>
          </w:p>
          <w:p w:rsidR="00B04EDC" w:rsidRPr="00697C03" w:rsidRDefault="00B04EDC" w:rsidP="00AE3697">
            <w:pPr>
              <w:spacing w:line="300" w:lineRule="exact"/>
              <w:jc w:val="center"/>
              <w:rPr>
                <w:rFonts w:ascii="標楷體" w:hAnsi="標楷體"/>
                <w:b/>
                <w:sz w:val="26"/>
                <w:szCs w:val="26"/>
              </w:rPr>
            </w:pPr>
            <w:r w:rsidRPr="00697C03">
              <w:rPr>
                <w:rFonts w:ascii="標楷體" w:hAnsi="標楷體" w:hint="eastAsia"/>
                <w:b/>
                <w:sz w:val="26"/>
                <w:szCs w:val="26"/>
              </w:rPr>
              <w:t>（含完全中學高中部）實置人數</w:t>
            </w:r>
          </w:p>
        </w:tc>
        <w:tc>
          <w:tcPr>
            <w:tcW w:w="1045" w:type="dxa"/>
            <w:shd w:val="clear" w:color="auto" w:fill="auto"/>
            <w:vAlign w:val="center"/>
          </w:tcPr>
          <w:p w:rsidR="00B04EDC" w:rsidRPr="00697C03" w:rsidRDefault="00B04EDC" w:rsidP="00AE3697">
            <w:pPr>
              <w:jc w:val="right"/>
              <w:rPr>
                <w:rFonts w:ascii="標楷體" w:hAnsi="標楷體"/>
                <w:sz w:val="26"/>
                <w:szCs w:val="26"/>
              </w:rPr>
            </w:pPr>
          </w:p>
        </w:tc>
        <w:tc>
          <w:tcPr>
            <w:tcW w:w="939" w:type="dxa"/>
            <w:shd w:val="clear" w:color="auto" w:fill="auto"/>
            <w:vAlign w:val="center"/>
          </w:tcPr>
          <w:p w:rsidR="00B04EDC" w:rsidRPr="00697C03" w:rsidRDefault="00B04EDC" w:rsidP="00AE3697">
            <w:pPr>
              <w:jc w:val="right"/>
              <w:rPr>
                <w:rFonts w:ascii="標楷體" w:hAnsi="標楷體"/>
                <w:sz w:val="26"/>
                <w:szCs w:val="26"/>
              </w:rPr>
            </w:pPr>
          </w:p>
        </w:tc>
        <w:tc>
          <w:tcPr>
            <w:tcW w:w="993" w:type="dxa"/>
            <w:shd w:val="clear" w:color="auto" w:fill="auto"/>
            <w:vAlign w:val="center"/>
          </w:tcPr>
          <w:p w:rsidR="00B04EDC" w:rsidRPr="00697C03" w:rsidRDefault="00B04EDC" w:rsidP="00AE3697">
            <w:pPr>
              <w:jc w:val="right"/>
              <w:rPr>
                <w:rFonts w:ascii="標楷體" w:hAnsi="標楷體"/>
                <w:sz w:val="26"/>
                <w:szCs w:val="26"/>
              </w:rPr>
            </w:pPr>
          </w:p>
        </w:tc>
        <w:tc>
          <w:tcPr>
            <w:tcW w:w="992" w:type="dxa"/>
            <w:shd w:val="clear" w:color="auto" w:fill="auto"/>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373</w:t>
            </w:r>
          </w:p>
        </w:tc>
        <w:tc>
          <w:tcPr>
            <w:tcW w:w="992" w:type="dxa"/>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580</w:t>
            </w:r>
          </w:p>
        </w:tc>
        <w:tc>
          <w:tcPr>
            <w:tcW w:w="992" w:type="dxa"/>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546</w:t>
            </w:r>
          </w:p>
        </w:tc>
      </w:tr>
      <w:tr w:rsidR="00697C03" w:rsidRPr="00697C03" w:rsidTr="00AE3697">
        <w:trPr>
          <w:jc w:val="center"/>
        </w:trPr>
        <w:tc>
          <w:tcPr>
            <w:tcW w:w="2893" w:type="dxa"/>
            <w:shd w:val="clear" w:color="auto" w:fill="E2EFD9" w:themeFill="accent6" w:themeFillTint="33"/>
            <w:vAlign w:val="center"/>
          </w:tcPr>
          <w:p w:rsidR="00B04EDC" w:rsidRPr="00697C03" w:rsidRDefault="00B04EDC" w:rsidP="00AE3697">
            <w:pPr>
              <w:spacing w:line="300" w:lineRule="exact"/>
              <w:jc w:val="center"/>
              <w:rPr>
                <w:rFonts w:ascii="標楷體" w:hAnsi="標楷體"/>
                <w:b/>
                <w:sz w:val="26"/>
                <w:szCs w:val="26"/>
              </w:rPr>
            </w:pPr>
            <w:r w:rsidRPr="00697C03">
              <w:rPr>
                <w:rFonts w:ascii="標楷體" w:hAnsi="標楷體" w:hint="eastAsia"/>
                <w:b/>
                <w:sz w:val="26"/>
                <w:szCs w:val="26"/>
              </w:rPr>
              <w:t>國立高中職應置人數</w:t>
            </w:r>
          </w:p>
        </w:tc>
        <w:tc>
          <w:tcPr>
            <w:tcW w:w="1045" w:type="dxa"/>
            <w:shd w:val="clear" w:color="auto" w:fill="auto"/>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4</w:t>
            </w:r>
            <w:r w:rsidRPr="00697C03">
              <w:rPr>
                <w:rFonts w:ascii="標楷體" w:hAnsi="標楷體"/>
                <w:sz w:val="26"/>
                <w:szCs w:val="26"/>
              </w:rPr>
              <w:t>23</w:t>
            </w:r>
          </w:p>
        </w:tc>
        <w:tc>
          <w:tcPr>
            <w:tcW w:w="939" w:type="dxa"/>
            <w:shd w:val="clear" w:color="auto" w:fill="auto"/>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4</w:t>
            </w:r>
            <w:r w:rsidRPr="00697C03">
              <w:rPr>
                <w:rFonts w:ascii="標楷體" w:hAnsi="標楷體"/>
                <w:sz w:val="26"/>
                <w:szCs w:val="26"/>
              </w:rPr>
              <w:t>23</w:t>
            </w:r>
          </w:p>
        </w:tc>
        <w:tc>
          <w:tcPr>
            <w:tcW w:w="993" w:type="dxa"/>
            <w:shd w:val="clear" w:color="auto" w:fill="auto"/>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4</w:t>
            </w:r>
            <w:r w:rsidRPr="00697C03">
              <w:rPr>
                <w:rFonts w:ascii="標楷體" w:hAnsi="標楷體"/>
                <w:sz w:val="26"/>
                <w:szCs w:val="26"/>
              </w:rPr>
              <w:t>23</w:t>
            </w:r>
          </w:p>
        </w:tc>
        <w:tc>
          <w:tcPr>
            <w:tcW w:w="992" w:type="dxa"/>
            <w:shd w:val="clear" w:color="auto" w:fill="auto"/>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423</w:t>
            </w:r>
          </w:p>
        </w:tc>
        <w:tc>
          <w:tcPr>
            <w:tcW w:w="992" w:type="dxa"/>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435</w:t>
            </w:r>
          </w:p>
        </w:tc>
        <w:tc>
          <w:tcPr>
            <w:tcW w:w="992" w:type="dxa"/>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447</w:t>
            </w:r>
          </w:p>
        </w:tc>
      </w:tr>
      <w:tr w:rsidR="00697C03" w:rsidRPr="00697C03" w:rsidTr="00AE3697">
        <w:trPr>
          <w:jc w:val="center"/>
        </w:trPr>
        <w:tc>
          <w:tcPr>
            <w:tcW w:w="2893" w:type="dxa"/>
            <w:shd w:val="clear" w:color="auto" w:fill="E2EFD9" w:themeFill="accent6" w:themeFillTint="33"/>
            <w:vAlign w:val="center"/>
          </w:tcPr>
          <w:p w:rsidR="00B04EDC" w:rsidRPr="00697C03" w:rsidRDefault="00B04EDC" w:rsidP="00AE3697">
            <w:pPr>
              <w:spacing w:line="300" w:lineRule="exact"/>
              <w:jc w:val="center"/>
              <w:rPr>
                <w:rFonts w:ascii="標楷體" w:hAnsi="標楷體"/>
                <w:b/>
                <w:sz w:val="26"/>
                <w:szCs w:val="26"/>
              </w:rPr>
            </w:pPr>
            <w:r w:rsidRPr="00697C03">
              <w:rPr>
                <w:rFonts w:ascii="標楷體" w:hAnsi="標楷體" w:hint="eastAsia"/>
                <w:b/>
                <w:sz w:val="26"/>
                <w:szCs w:val="26"/>
              </w:rPr>
              <w:lastRenderedPageBreak/>
              <w:t>國立高中職實置人數</w:t>
            </w:r>
          </w:p>
        </w:tc>
        <w:tc>
          <w:tcPr>
            <w:tcW w:w="1045" w:type="dxa"/>
            <w:shd w:val="clear" w:color="auto" w:fill="auto"/>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423</w:t>
            </w:r>
          </w:p>
        </w:tc>
        <w:tc>
          <w:tcPr>
            <w:tcW w:w="939" w:type="dxa"/>
            <w:shd w:val="clear" w:color="auto" w:fill="auto"/>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4</w:t>
            </w:r>
            <w:r w:rsidRPr="00697C03">
              <w:rPr>
                <w:rFonts w:ascii="標楷體" w:hAnsi="標楷體"/>
                <w:sz w:val="26"/>
                <w:szCs w:val="26"/>
              </w:rPr>
              <w:t>23</w:t>
            </w:r>
          </w:p>
        </w:tc>
        <w:tc>
          <w:tcPr>
            <w:tcW w:w="993" w:type="dxa"/>
            <w:shd w:val="clear" w:color="auto" w:fill="auto"/>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4</w:t>
            </w:r>
            <w:r w:rsidRPr="00697C03">
              <w:rPr>
                <w:rFonts w:ascii="標楷體" w:hAnsi="標楷體"/>
                <w:sz w:val="26"/>
                <w:szCs w:val="26"/>
              </w:rPr>
              <w:t>23</w:t>
            </w:r>
          </w:p>
        </w:tc>
        <w:tc>
          <w:tcPr>
            <w:tcW w:w="992" w:type="dxa"/>
            <w:shd w:val="clear" w:color="auto" w:fill="auto"/>
            <w:vAlign w:val="center"/>
          </w:tcPr>
          <w:p w:rsidR="00B04EDC" w:rsidRPr="00697C03" w:rsidRDefault="00B04EDC" w:rsidP="00AE3697">
            <w:pPr>
              <w:jc w:val="right"/>
              <w:rPr>
                <w:rFonts w:ascii="標楷體" w:hAnsi="標楷體"/>
                <w:sz w:val="26"/>
                <w:szCs w:val="26"/>
              </w:rPr>
            </w:pPr>
            <w:r w:rsidRPr="00697C03">
              <w:rPr>
                <w:rFonts w:ascii="標楷體" w:hAnsi="標楷體"/>
                <w:sz w:val="26"/>
                <w:szCs w:val="26"/>
              </w:rPr>
              <w:t>423</w:t>
            </w:r>
          </w:p>
        </w:tc>
        <w:tc>
          <w:tcPr>
            <w:tcW w:w="992" w:type="dxa"/>
            <w:shd w:val="clear" w:color="auto" w:fill="auto"/>
            <w:vAlign w:val="center"/>
          </w:tcPr>
          <w:p w:rsidR="00B04EDC" w:rsidRPr="00697C03" w:rsidRDefault="00B04EDC" w:rsidP="00AE3697">
            <w:pPr>
              <w:jc w:val="right"/>
              <w:rPr>
                <w:rFonts w:ascii="標楷體" w:hAnsi="標楷體"/>
                <w:sz w:val="26"/>
                <w:szCs w:val="26"/>
              </w:rPr>
            </w:pPr>
            <w:r w:rsidRPr="00697C03">
              <w:rPr>
                <w:rFonts w:ascii="標楷體" w:hAnsi="標楷體"/>
                <w:sz w:val="26"/>
                <w:szCs w:val="26"/>
              </w:rPr>
              <w:t>435</w:t>
            </w:r>
          </w:p>
        </w:tc>
        <w:tc>
          <w:tcPr>
            <w:tcW w:w="992" w:type="dxa"/>
            <w:shd w:val="clear" w:color="auto" w:fill="auto"/>
            <w:vAlign w:val="center"/>
          </w:tcPr>
          <w:p w:rsidR="00B04EDC" w:rsidRPr="00697C03" w:rsidRDefault="00B04EDC" w:rsidP="00AE3697">
            <w:pPr>
              <w:jc w:val="right"/>
              <w:rPr>
                <w:rFonts w:ascii="標楷體" w:hAnsi="標楷體"/>
                <w:sz w:val="26"/>
                <w:szCs w:val="26"/>
              </w:rPr>
            </w:pPr>
            <w:r w:rsidRPr="00697C03">
              <w:rPr>
                <w:rFonts w:ascii="標楷體" w:hAnsi="標楷體" w:hint="eastAsia"/>
                <w:sz w:val="26"/>
                <w:szCs w:val="26"/>
              </w:rPr>
              <w:t>4</w:t>
            </w:r>
            <w:r w:rsidRPr="00697C03">
              <w:rPr>
                <w:rFonts w:ascii="標楷體" w:hAnsi="標楷體"/>
                <w:sz w:val="26"/>
                <w:szCs w:val="26"/>
              </w:rPr>
              <w:t>47</w:t>
            </w:r>
          </w:p>
        </w:tc>
      </w:tr>
      <w:tr w:rsidR="00697C03" w:rsidRPr="00697C03" w:rsidTr="00AE3697">
        <w:trPr>
          <w:jc w:val="center"/>
        </w:trPr>
        <w:tc>
          <w:tcPr>
            <w:tcW w:w="2893" w:type="dxa"/>
            <w:shd w:val="clear" w:color="auto" w:fill="auto"/>
            <w:vAlign w:val="center"/>
          </w:tcPr>
          <w:p w:rsidR="00B04EDC" w:rsidRPr="00697C03" w:rsidRDefault="00B04EDC" w:rsidP="00AE3697">
            <w:pPr>
              <w:jc w:val="center"/>
              <w:rPr>
                <w:rFonts w:ascii="標楷體" w:hAnsi="標楷體"/>
                <w:b/>
                <w:sz w:val="26"/>
                <w:szCs w:val="26"/>
              </w:rPr>
            </w:pPr>
            <w:r w:rsidRPr="00697C03">
              <w:rPr>
                <w:rFonts w:ascii="標楷體" w:hAnsi="標楷體" w:hint="eastAsia"/>
                <w:b/>
                <w:sz w:val="26"/>
                <w:szCs w:val="26"/>
              </w:rPr>
              <w:t>說  明</w:t>
            </w:r>
          </w:p>
        </w:tc>
        <w:tc>
          <w:tcPr>
            <w:tcW w:w="5953" w:type="dxa"/>
            <w:gridSpan w:val="6"/>
            <w:shd w:val="clear" w:color="auto" w:fill="auto"/>
          </w:tcPr>
          <w:p w:rsidR="00B04EDC" w:rsidRPr="00697C03" w:rsidRDefault="00B04EDC" w:rsidP="00AE3697">
            <w:pPr>
              <w:jc w:val="both"/>
              <w:rPr>
                <w:rFonts w:ascii="標楷體" w:hAnsi="標楷體"/>
                <w:sz w:val="26"/>
                <w:szCs w:val="26"/>
              </w:rPr>
            </w:pPr>
            <w:r w:rsidRPr="00697C03">
              <w:rPr>
                <w:rFonts w:ascii="標楷體" w:hAnsi="標楷體" w:hint="eastAsia"/>
                <w:sz w:val="26"/>
                <w:szCs w:val="26"/>
              </w:rPr>
              <w:t>國中應置人數依學輔法第10條規定含縣市立完全中學國中部專任輔導教師人數。</w:t>
            </w:r>
          </w:p>
        </w:tc>
      </w:tr>
    </w:tbl>
    <w:p w:rsidR="00B04EDC" w:rsidRPr="00697C03" w:rsidRDefault="00B04EDC" w:rsidP="00B04EDC">
      <w:pPr>
        <w:rPr>
          <w:rFonts w:ascii="標楷體" w:hAnsi="標楷體"/>
          <w:sz w:val="24"/>
          <w:szCs w:val="24"/>
        </w:rPr>
      </w:pPr>
      <w:r w:rsidRPr="00697C03">
        <w:rPr>
          <w:rFonts w:ascii="標楷體" w:hAnsi="標楷體" w:hint="eastAsia"/>
          <w:sz w:val="24"/>
          <w:szCs w:val="24"/>
        </w:rPr>
        <w:t>資料來源：教育部調卷資料。</w:t>
      </w:r>
    </w:p>
    <w:p w:rsidR="000E7056" w:rsidRPr="00697C03" w:rsidRDefault="00B04EDC" w:rsidP="000E7056">
      <w:pPr>
        <w:pStyle w:val="4"/>
      </w:pPr>
      <w:r w:rsidRPr="00697C03">
        <w:rPr>
          <w:rFonts w:hAnsi="標楷體" w:hint="eastAsia"/>
        </w:rPr>
        <w:t>惟針對108學年度及私立學校部分，依本院調取教育部108學年度專任輔導教師進用統計情形顯示，國立高級中等學校實聘469名（應聘469），私立高級中等學校實聘463名（應聘</w:t>
      </w:r>
      <w:r w:rsidRPr="00697C03">
        <w:rPr>
          <w:rFonts w:hAnsi="標楷體"/>
        </w:rPr>
        <w:t>663</w:t>
      </w:r>
      <w:r w:rsidRPr="00697C03">
        <w:rPr>
          <w:rFonts w:hAnsi="標楷體" w:hint="eastAsia"/>
        </w:rPr>
        <w:t>），地方政府公立高級中等學校實聘584名（應聘</w:t>
      </w:r>
      <w:r w:rsidRPr="00697C03">
        <w:rPr>
          <w:rFonts w:hAnsi="標楷體"/>
        </w:rPr>
        <w:t>604</w:t>
      </w:r>
      <w:r w:rsidRPr="00697C03">
        <w:rPr>
          <w:rFonts w:hAnsi="標楷體" w:hint="eastAsia"/>
        </w:rPr>
        <w:t>），共計1,516名專任輔導教師。足見，私立高中及地方主管學校仍有不足額情形。此外，於本案履勘及座談期間，新北市政府、桃園市政府之座談資料及高雄市政府履勘意見均不約而同提出針對各校輔導人員或外聘輔導員之編制及流動性，或其輔導人員之穩定性嚴重影響未升學未就業計畫之延續等之相關意見，或仍有輔導人力不足情形，諸如「因未升學未就業輔導無法律約束力，於青少年輔導方面無法有效管理，須擬定多方誘因及花費長時間與青少年及家長建立關係才能順利進入服務方案中，與輔導人員共同配合，此為計畫困境之一」及「當中輟或中離學生未到校或是失蹤、失聯時，校方對於個案的協尋力有未逮，需要更多人力的協助，以進行後續返校時的輔導工作」等語。準此，</w:t>
      </w:r>
      <w:r w:rsidRPr="00697C03">
        <w:rPr>
          <w:rFonts w:hAnsi="標楷體" w:hint="eastAsia"/>
          <w:szCs w:val="52"/>
        </w:rPr>
        <w:t>本案涉及各項制度及整體措施問題，顯非僅以學校專輔教師人力作為協尋及本案關注中離生、中輟生及雙青少年之核心成敗角色，然以本院調查中進行履勘及座談發現，地方政府及學校代表座談意見多指出，由於實務面臨各校輔導人員或外聘輔導員之編制及流動性問題，相關人員之穩定性不足已影響學校未升</w:t>
      </w:r>
      <w:r w:rsidRPr="00697C03">
        <w:rPr>
          <w:rFonts w:hAnsi="標楷體" w:hint="eastAsia"/>
          <w:szCs w:val="52"/>
        </w:rPr>
        <w:lastRenderedPageBreak/>
        <w:t>學未就業計畫之辦理及延續等意見，爰對於現況輔導人力不足，尤以</w:t>
      </w:r>
      <w:r w:rsidRPr="00697C03">
        <w:rPr>
          <w:rFonts w:hAnsi="標楷體" w:hint="eastAsia"/>
          <w:szCs w:val="32"/>
        </w:rPr>
        <w:t>私校設置督導不利情形</w:t>
      </w:r>
      <w:r w:rsidRPr="00697C03">
        <w:rPr>
          <w:rFonts w:hAnsi="標楷體" w:hint="eastAsia"/>
          <w:szCs w:val="52"/>
        </w:rPr>
        <w:t>，亟待教育部積極改善面對。</w:t>
      </w:r>
    </w:p>
    <w:p w:rsidR="00123BC1" w:rsidRPr="00697C03" w:rsidRDefault="00123BC1" w:rsidP="00123BC1">
      <w:pPr>
        <w:pStyle w:val="4"/>
        <w:rPr>
          <w:rFonts w:hAnsi="標楷體"/>
          <w:sz w:val="28"/>
        </w:rPr>
      </w:pPr>
      <w:r w:rsidRPr="00697C03">
        <w:rPr>
          <w:rFonts w:hAnsi="標楷體" w:hint="eastAsia"/>
        </w:rPr>
        <w:t>而針對上述專輔人力未達法定人數情形，業經各縣市反應非偏遠地區專輔人員未聘滿原因如下，尚待教育部後續會同各縣市政府積極妥處。茲摘錄各縣市反應之困難因素如下：</w:t>
      </w:r>
    </w:p>
    <w:p w:rsidR="00123BC1" w:rsidRPr="00697C03" w:rsidRDefault="00123BC1" w:rsidP="00123BC1">
      <w:pPr>
        <w:pStyle w:val="5"/>
      </w:pPr>
      <w:r w:rsidRPr="00697C03">
        <w:rPr>
          <w:rFonts w:hint="eastAsia"/>
        </w:rPr>
        <w:t>需每年審查班級數與專業輔導人員人力是否符合55班之規定，班級數若下降，需每年檢討，故無法聘足額。</w:t>
      </w:r>
    </w:p>
    <w:p w:rsidR="00123BC1" w:rsidRPr="00697C03" w:rsidRDefault="00123BC1" w:rsidP="00123BC1">
      <w:pPr>
        <w:pStyle w:val="5"/>
      </w:pPr>
      <w:r w:rsidRPr="00697C03">
        <w:rPr>
          <w:rFonts w:hint="eastAsia"/>
        </w:rPr>
        <w:t>已聘人員因生涯規劃離職。</w:t>
      </w:r>
    </w:p>
    <w:p w:rsidR="00123BC1" w:rsidRPr="00697C03" w:rsidRDefault="00123BC1" w:rsidP="00123BC1">
      <w:pPr>
        <w:pStyle w:val="5"/>
      </w:pPr>
      <w:r w:rsidRPr="00697C03">
        <w:rPr>
          <w:rFonts w:hint="eastAsia"/>
        </w:rPr>
        <w:t>多次招聘卻無人報名，或無適合人選擔任其職。</w:t>
      </w:r>
    </w:p>
    <w:p w:rsidR="00123BC1" w:rsidRPr="00697C03" w:rsidRDefault="00123BC1" w:rsidP="00123BC1">
      <w:pPr>
        <w:pStyle w:val="5"/>
      </w:pPr>
      <w:r w:rsidRPr="00697C03">
        <w:rPr>
          <w:rFonts w:hint="eastAsia"/>
        </w:rPr>
        <w:t>偏遠地區專輔人員未聘滿原因如下：</w:t>
      </w:r>
    </w:p>
    <w:p w:rsidR="00123BC1" w:rsidRPr="00697C03" w:rsidRDefault="00123BC1" w:rsidP="00123BC1">
      <w:pPr>
        <w:pStyle w:val="6"/>
        <w:ind w:left="2381" w:hanging="680"/>
      </w:pPr>
      <w:r w:rsidRPr="00697C03">
        <w:rPr>
          <w:rFonts w:hint="eastAsia"/>
        </w:rPr>
        <w:t>多次招聘卻無人報名，或無適合人選擔任其職。</w:t>
      </w:r>
    </w:p>
    <w:p w:rsidR="00123BC1" w:rsidRPr="00697C03" w:rsidRDefault="00123BC1" w:rsidP="00123BC1">
      <w:pPr>
        <w:pStyle w:val="6"/>
        <w:ind w:left="2381" w:hanging="680"/>
      </w:pPr>
      <w:r w:rsidRPr="00697C03">
        <w:rPr>
          <w:rFonts w:hint="eastAsia"/>
        </w:rPr>
        <w:t>部份縣市因囿於財政窘困，恐無經費支應增聘偏鄉專輔人員之費用。</w:t>
      </w:r>
    </w:p>
    <w:p w:rsidR="00123BC1" w:rsidRPr="00697C03" w:rsidRDefault="00123BC1" w:rsidP="00123BC1">
      <w:pPr>
        <w:pStyle w:val="6"/>
        <w:ind w:left="2381" w:hanging="680"/>
      </w:pPr>
      <w:r w:rsidRPr="00697C03">
        <w:rPr>
          <w:rFonts w:hint="eastAsia"/>
        </w:rPr>
        <w:t>澎湖因學生數量不多，轉介三級輔導個案量相對較少，且目前人力充足，無須增置其餘偏鄉專輔人員。</w:t>
      </w:r>
    </w:p>
    <w:p w:rsidR="00123BC1" w:rsidRPr="00697C03" w:rsidRDefault="00123BC1" w:rsidP="00123BC1">
      <w:pPr>
        <w:pStyle w:val="4"/>
      </w:pPr>
      <w:r w:rsidRPr="00697C03">
        <w:rPr>
          <w:rFonts w:hint="eastAsia"/>
        </w:rPr>
        <w:t>縣市政府意見反應為順利推動中輟生追蹤輔導工作推動規劃三級輔導機制工作，縣市端二、三級輔導係由心理師與社工師進駐校園，提供學校更完整的特殊個案服務；或家庭教育中心透過補助學校經費，以聘任鐘點心理師或社工師，提供特殊行為學生（含中輟學生）或有親職教育需求之家長與主要照顧者進行家庭教育諮商輔導課程，若經學校三級輔導後仍評估需協助時，各分區學生輔導諮商中心之心理師及社工師協助提</w:t>
      </w:r>
      <w:r w:rsidRPr="00697C03">
        <w:rPr>
          <w:rFonts w:hint="eastAsia"/>
        </w:rPr>
        <w:lastRenderedPageBreak/>
        <w:t>供專業服務與協處；亦可結合市府其他資源提供職訓、就業等服務等情。惟依據本院與縣市及學校端座談意見指出，「</w:t>
      </w:r>
      <w:r w:rsidRPr="00697C03">
        <w:rPr>
          <w:rFonts w:hint="eastAsia"/>
          <w:szCs w:val="32"/>
        </w:rPr>
        <w:t>輔導人力問題，目前中離輔導是補助型計畫，無法像特殊教育法有強大機制保護。中離學生輔導機制要點中，輔導老師員額不足時，學校可以申請辦理學生穩定就學補助計畫，如適性輔導、多元彈性課程、轉銜輔導和自我探索課程，申請課程講師、社工師、心理師、專業輔導人力等之鐘點費，然心理師鐘點費標準遠不及坊間，造成找不到心理師之困擾</w:t>
      </w:r>
      <w:r w:rsidRPr="00697C03">
        <w:rPr>
          <w:rFonts w:hint="eastAsia"/>
        </w:rPr>
        <w:t>」等情。爰此，針對補助外聘心理師部分，經詢教育部指出，該部雖於本案調查期間，業補助教育部之學生輔導諮商中心17駐點學校經費以外聘心理師及專輔人員，共同推動及協助全國國私立高中職學生之三級輔導工作。惟整體協辦全國私校輔導工作之員額及人力是否充足、補助後之實際鐘點費與業界相較落差與持續性如何，及直轄市縣市政府相關實務待協助意見之調整或溝通等情形，亟待教育部會同各縣市政府通盤檢討因應。又如地方縣市政府針對未升學位就業計畫之建議措施亦指出，「計畫輔導員務必具社工師證照，透過社工知能更能貼近個案及進行多元化且有效資源連結，並富拓展此計畫熱誠與能量。例如：本市輔導員積極拓展學校、社政、民間團體及法治單位轉介個案，並設置臉書粉絲頁、拍攝youtube 宣傳影片等」等情，針對整體專業人員之配置及規劃，教育部應併予參考。</w:t>
      </w:r>
    </w:p>
    <w:p w:rsidR="00406A77" w:rsidRPr="00697C03" w:rsidRDefault="00406A77" w:rsidP="00406A77">
      <w:pPr>
        <w:pStyle w:val="3"/>
        <w:kinsoku/>
        <w:ind w:left="1360" w:hanging="680"/>
        <w:rPr>
          <w:rFonts w:hAnsi="標楷體"/>
        </w:rPr>
      </w:pPr>
      <w:r w:rsidRPr="00697C03">
        <w:rPr>
          <w:rFonts w:hAnsi="標楷體" w:hint="eastAsia"/>
        </w:rPr>
        <w:t>綜上</w:t>
      </w:r>
      <w:r w:rsidR="00B25FBD" w:rsidRPr="00697C03">
        <w:rPr>
          <w:rFonts w:hAnsi="標楷體" w:hint="eastAsia"/>
        </w:rPr>
        <w:t>論述</w:t>
      </w:r>
      <w:r w:rsidRPr="00697C03">
        <w:rPr>
          <w:rFonts w:hAnsi="標楷體" w:hint="eastAsia"/>
        </w:rPr>
        <w:t>，針對十二年國教前九年之國民義務教育部分，依強迫入學條例等相關規定，教育部長期與縣市政府共同辦理國中小中輟生通報及輔導機制，</w:t>
      </w:r>
      <w:r w:rsidRPr="00697C03">
        <w:rPr>
          <w:rFonts w:hAnsi="標楷體" w:hint="eastAsia"/>
        </w:rPr>
        <w:lastRenderedPageBreak/>
        <w:t>因執行整體法源及分工機制明確，103至107學年度全國國民中小學中輟生之總數依序分別為4</w:t>
      </w:r>
      <w:r w:rsidRPr="00697C03">
        <w:rPr>
          <w:rFonts w:hAnsi="標楷體"/>
        </w:rPr>
        <w:t>,</w:t>
      </w:r>
      <w:r w:rsidRPr="00697C03">
        <w:rPr>
          <w:rFonts w:hAnsi="標楷體" w:hint="eastAsia"/>
        </w:rPr>
        <w:t>214、3</w:t>
      </w:r>
      <w:r w:rsidRPr="00697C03">
        <w:rPr>
          <w:rFonts w:hAnsi="標楷體"/>
        </w:rPr>
        <w:t>,</w:t>
      </w:r>
      <w:r w:rsidRPr="00697C03">
        <w:rPr>
          <w:rFonts w:hAnsi="標楷體" w:hint="eastAsia"/>
        </w:rPr>
        <w:t>934、3</w:t>
      </w:r>
      <w:r w:rsidRPr="00697C03">
        <w:rPr>
          <w:rFonts w:hAnsi="標楷體"/>
        </w:rPr>
        <w:t>,</w:t>
      </w:r>
      <w:r w:rsidRPr="00697C03">
        <w:rPr>
          <w:rFonts w:hAnsi="標楷體" w:hint="eastAsia"/>
        </w:rPr>
        <w:t>446、3</w:t>
      </w:r>
      <w:r w:rsidRPr="00697C03">
        <w:rPr>
          <w:rFonts w:hAnsi="標楷體"/>
        </w:rPr>
        <w:t>,</w:t>
      </w:r>
      <w:r w:rsidRPr="00697C03">
        <w:rPr>
          <w:rFonts w:hAnsi="標楷體" w:hint="eastAsia"/>
        </w:rPr>
        <w:t>134及3</w:t>
      </w:r>
      <w:r w:rsidRPr="00697C03">
        <w:rPr>
          <w:rFonts w:hAnsi="標楷體"/>
        </w:rPr>
        <w:t>,</w:t>
      </w:r>
      <w:r w:rsidRPr="00697C03">
        <w:rPr>
          <w:rFonts w:hAnsi="標楷體" w:hint="eastAsia"/>
        </w:rPr>
        <w:t>137人，103至107學年度自86.41%降至85.49%，雖逐漸呈下降趨勢情形，惟總復學率仍未見明顯提升；鑒於中小學階段係國民基礎教育時期，其就學穩定性與後續高級中等教育階段之中離因素息息相關，地方縣市及學校座談意見指出，中離生允應列入國中</w:t>
      </w:r>
      <w:r w:rsidR="005750A7" w:rsidRPr="00697C03">
        <w:rPr>
          <w:rFonts w:hAnsi="標楷體" w:hint="eastAsia"/>
        </w:rPr>
        <w:t>中輟等相關資訊以提供學校輔導之連結</w:t>
      </w:r>
      <w:r w:rsidRPr="00697C03">
        <w:rPr>
          <w:rFonts w:hAnsi="標楷體" w:hint="eastAsia"/>
        </w:rPr>
        <w:t>；又針對國中小中輟生資料函送鄉（鎮、市、區）強迫入學委員會，並執行強迫入學程序，如過程已逾當事人國民教育階段或年齡之處理機制及流程部分，教育部於本院調查期間已開放於「全國國民中小學中輟通報及復學系統」通報，惟後續落實執行情形及成效、「少子女化使得高中職提前招收國中中輟生以致國中生不願到校上課」，另有實務上反</w:t>
      </w:r>
      <w:r w:rsidR="002E35D8" w:rsidRPr="00697C03">
        <w:rPr>
          <w:rFonts w:hAnsi="標楷體" w:hint="eastAsia"/>
        </w:rPr>
        <w:t>映面臨「修業證書門檻過低」及「畢業證書誘因不足」等相關執行困境；</w:t>
      </w:r>
      <w:r w:rsidR="00B33349" w:rsidRPr="00697C03">
        <w:rPr>
          <w:rFonts w:hAnsi="標楷體" w:hint="eastAsia"/>
        </w:rPr>
        <w:t>及本案統計108學年度各地方政府所屬國民小學專任輔導教師應編制數995人，實際聘用963人、所屬國民中學專任輔導教師應編制數1,443人，實際聘用1,431人；教育部所轄國立高級中等學校專任輔導教師實聘469人、應聘469人，地方政府公立高級中等學校實聘584人，應聘數為604人，私立高級中等學校實聘463名，應聘數為</w:t>
      </w:r>
      <w:r w:rsidR="00B33349" w:rsidRPr="00697C03">
        <w:rPr>
          <w:rFonts w:hAnsi="標楷體"/>
        </w:rPr>
        <w:t>663</w:t>
      </w:r>
      <w:r w:rsidR="00B33349" w:rsidRPr="00697C03">
        <w:rPr>
          <w:rFonts w:hAnsi="標楷體" w:hint="eastAsia"/>
        </w:rPr>
        <w:t>人，整體而言雖已聘用1,516人名專任輔導教師，然與法定員額仍有落</w:t>
      </w:r>
      <w:r w:rsidR="00B33349" w:rsidRPr="00697C03">
        <w:rPr>
          <w:rFonts w:hAnsi="標楷體" w:hint="eastAsia"/>
          <w:szCs w:val="52"/>
        </w:rPr>
        <w:t>差</w:t>
      </w:r>
      <w:r w:rsidR="006D3168" w:rsidRPr="00697C03">
        <w:rPr>
          <w:rFonts w:hAnsi="標楷體" w:hint="eastAsia"/>
        </w:rPr>
        <w:t>，</w:t>
      </w:r>
      <w:r w:rsidRPr="00697C03">
        <w:rPr>
          <w:rFonts w:hAnsi="標楷體" w:hint="eastAsia"/>
        </w:rPr>
        <w:t>教育部長期缺乏積極檢討改善機制，顯有怠失，亟待儘速會同各縣市督導釐清改善</w:t>
      </w:r>
      <w:r w:rsidR="001167C8" w:rsidRPr="00697C03">
        <w:rPr>
          <w:rFonts w:hAnsi="標楷體" w:hint="eastAsia"/>
          <w:szCs w:val="52"/>
        </w:rPr>
        <w:t>，以期健全學生輔導工作，促進與維護學生身心健康及全人之發展。</w:t>
      </w:r>
    </w:p>
    <w:p w:rsidR="00406A77" w:rsidRPr="00697C03" w:rsidRDefault="00406A77" w:rsidP="00406A77">
      <w:pPr>
        <w:rPr>
          <w:rFonts w:ascii="標楷體" w:hAnsi="標楷體"/>
        </w:rPr>
      </w:pPr>
    </w:p>
    <w:p w:rsidR="00406A77" w:rsidRPr="00697C03" w:rsidRDefault="00680FB2" w:rsidP="00406A77">
      <w:pPr>
        <w:pStyle w:val="2"/>
        <w:kinsoku/>
        <w:overflowPunct w:val="0"/>
        <w:autoSpaceDE w:val="0"/>
        <w:autoSpaceDN w:val="0"/>
        <w:ind w:left="1021" w:hanging="681"/>
        <w:rPr>
          <w:rFonts w:hAnsi="標楷體"/>
          <w:b/>
          <w:bCs w:val="0"/>
        </w:rPr>
      </w:pPr>
      <w:bookmarkStart w:id="85" w:name="_Toc39250781"/>
      <w:bookmarkStart w:id="86" w:name="_Toc41382890"/>
      <w:r w:rsidRPr="00697C03">
        <w:rPr>
          <w:rFonts w:hAnsi="標楷體" w:hint="eastAsia"/>
          <w:b/>
        </w:rPr>
        <w:lastRenderedPageBreak/>
        <w:t>本案顯示教育部針對</w:t>
      </w:r>
      <w:r w:rsidR="004E3EBF" w:rsidRPr="00697C03">
        <w:rPr>
          <w:rFonts w:hAnsi="標楷體" w:hint="eastAsia"/>
          <w:b/>
        </w:rPr>
        <w:t>未升學未就業</w:t>
      </w:r>
      <w:r w:rsidRPr="00697C03">
        <w:rPr>
          <w:rFonts w:hAnsi="標楷體" w:hint="eastAsia"/>
          <w:b/>
        </w:rPr>
        <w:t>計畫之業務</w:t>
      </w:r>
      <w:r w:rsidR="00C23C26" w:rsidRPr="00697C03">
        <w:rPr>
          <w:rFonts w:hAnsi="標楷體" w:hint="eastAsia"/>
          <w:b/>
        </w:rPr>
        <w:t>單位</w:t>
      </w:r>
      <w:r w:rsidRPr="00697C03">
        <w:rPr>
          <w:rFonts w:hAnsi="標楷體" w:hint="eastAsia"/>
          <w:b/>
        </w:rPr>
        <w:t>整合性亟待改善，</w:t>
      </w:r>
      <w:r w:rsidR="00C23C26" w:rsidRPr="00697C03">
        <w:rPr>
          <w:rFonts w:hAnsi="標楷體" w:hint="eastAsia"/>
          <w:b/>
        </w:rPr>
        <w:t>現有行政協助模式允應併予檢討，</w:t>
      </w:r>
      <w:r w:rsidR="00D17EAF" w:rsidRPr="00697C03">
        <w:rPr>
          <w:rFonts w:hAnsi="標楷體" w:hint="eastAsia"/>
          <w:b/>
        </w:rPr>
        <w:t>「國中畢業未升學未就業青少年輔導計畫（少年On Light計畫）」於</w:t>
      </w:r>
      <w:r w:rsidR="005B323D" w:rsidRPr="00697C03">
        <w:rPr>
          <w:rFonts w:hAnsi="標楷體" w:hint="eastAsia"/>
          <w:b/>
          <w:szCs w:val="52"/>
        </w:rPr>
        <w:t>102至105年</w:t>
      </w:r>
      <w:r w:rsidR="005B323D" w:rsidRPr="00697C03">
        <w:rPr>
          <w:rFonts w:hAnsi="標楷體" w:hint="eastAsia"/>
          <w:b/>
        </w:rPr>
        <w:t>由</w:t>
      </w:r>
      <w:r w:rsidR="00406A77" w:rsidRPr="00697C03">
        <w:rPr>
          <w:rFonts w:hAnsi="標楷體" w:hint="eastAsia"/>
          <w:b/>
        </w:rPr>
        <w:t>行政院青年輔導委員</w:t>
      </w:r>
      <w:r w:rsidR="004E3EBF" w:rsidRPr="00697C03">
        <w:rPr>
          <w:rFonts w:hAnsi="標楷體" w:hint="eastAsia"/>
          <w:b/>
        </w:rPr>
        <w:t>會</w:t>
      </w:r>
      <w:r w:rsidR="004B3A50" w:rsidRPr="00697C03">
        <w:rPr>
          <w:rFonts w:hAnsi="標楷體" w:hint="eastAsia"/>
          <w:b/>
        </w:rPr>
        <w:t>辦理</w:t>
      </w:r>
      <w:r w:rsidR="00406A77" w:rsidRPr="00697C03">
        <w:rPr>
          <w:rFonts w:hAnsi="標楷體" w:hint="eastAsia"/>
          <w:b/>
        </w:rPr>
        <w:t>，102年組織改造後，</w:t>
      </w:r>
      <w:r w:rsidR="000B4307" w:rsidRPr="00697C03">
        <w:rPr>
          <w:rFonts w:hAnsi="標楷體" w:hint="eastAsia"/>
          <w:b/>
        </w:rPr>
        <w:t>該</w:t>
      </w:r>
      <w:r w:rsidR="00CD4665" w:rsidRPr="00697C03">
        <w:rPr>
          <w:rFonts w:hAnsi="標楷體" w:hint="eastAsia"/>
          <w:b/>
        </w:rPr>
        <w:t>會</w:t>
      </w:r>
      <w:r w:rsidR="000B4307" w:rsidRPr="00697C03">
        <w:rPr>
          <w:rFonts w:hAnsi="標楷體" w:hint="eastAsia"/>
          <w:b/>
        </w:rPr>
        <w:t>就</w:t>
      </w:r>
      <w:r w:rsidR="00406A77" w:rsidRPr="00697C03">
        <w:rPr>
          <w:rFonts w:hAnsi="標楷體" w:hint="eastAsia"/>
          <w:b/>
        </w:rPr>
        <w:t>原有青年就業相關業務移由勞動部主政，該項業務</w:t>
      </w:r>
      <w:r w:rsidR="00FC54B5" w:rsidRPr="00697C03">
        <w:rPr>
          <w:rFonts w:hAnsi="標楷體" w:hint="eastAsia"/>
          <w:b/>
        </w:rPr>
        <w:t>則</w:t>
      </w:r>
      <w:r w:rsidR="00406A77" w:rsidRPr="00697C03">
        <w:rPr>
          <w:rFonts w:hAnsi="標楷體" w:hint="eastAsia"/>
          <w:b/>
        </w:rPr>
        <w:t>改由教育</w:t>
      </w:r>
      <w:r w:rsidR="00406A77" w:rsidRPr="00697C03">
        <w:rPr>
          <w:rFonts w:hAnsi="標楷體" w:hint="eastAsia"/>
          <w:b/>
          <w:szCs w:val="52"/>
        </w:rPr>
        <w:t>部青年</w:t>
      </w:r>
      <w:r w:rsidR="009F0AE5" w:rsidRPr="00697C03">
        <w:rPr>
          <w:rFonts w:hAnsi="標楷體" w:hint="eastAsia"/>
          <w:b/>
          <w:szCs w:val="52"/>
        </w:rPr>
        <w:t>發展</w:t>
      </w:r>
      <w:r w:rsidR="00406A77" w:rsidRPr="00697C03">
        <w:rPr>
          <w:rFonts w:hAnsi="標楷體" w:hint="eastAsia"/>
          <w:b/>
          <w:szCs w:val="52"/>
        </w:rPr>
        <w:t>署延續政府組改前青輔</w:t>
      </w:r>
      <w:r w:rsidR="00BF193E" w:rsidRPr="00697C03">
        <w:rPr>
          <w:rFonts w:hAnsi="標楷體" w:hint="eastAsia"/>
          <w:b/>
          <w:szCs w:val="52"/>
        </w:rPr>
        <w:t>會以招標方式，由各地具有青少年輔導專業之非營利組織承辦輔導；然教育</w:t>
      </w:r>
      <w:r w:rsidR="00406A77" w:rsidRPr="00697C03">
        <w:rPr>
          <w:rFonts w:hAnsi="標楷體" w:hint="eastAsia"/>
          <w:b/>
          <w:szCs w:val="52"/>
        </w:rPr>
        <w:t>部表示</w:t>
      </w:r>
      <w:r w:rsidR="006E5835" w:rsidRPr="00697C03">
        <w:rPr>
          <w:rFonts w:hAnsi="標楷體" w:hint="eastAsia"/>
          <w:b/>
          <w:szCs w:val="52"/>
        </w:rPr>
        <w:t>該計畫</w:t>
      </w:r>
      <w:r w:rsidR="00406A77" w:rsidRPr="00697C03">
        <w:rPr>
          <w:rFonts w:hAnsi="標楷體" w:hint="eastAsia"/>
          <w:b/>
          <w:szCs w:val="52"/>
        </w:rPr>
        <w:t>於106年後</w:t>
      </w:r>
      <w:r w:rsidR="00AC4320" w:rsidRPr="00697C03">
        <w:rPr>
          <w:rFonts w:hAnsi="標楷體" w:hint="eastAsia"/>
          <w:b/>
          <w:szCs w:val="52"/>
        </w:rPr>
        <w:t>由</w:t>
      </w:r>
      <w:r w:rsidR="00406A77" w:rsidRPr="00697C03">
        <w:rPr>
          <w:rFonts w:hAnsi="標楷體" w:hint="eastAsia"/>
          <w:b/>
          <w:szCs w:val="52"/>
        </w:rPr>
        <w:t>該部改邀各地方政府教育局</w:t>
      </w:r>
      <w:r w:rsidR="0079236E" w:rsidRPr="00697C03">
        <w:rPr>
          <w:rFonts w:hAnsi="標楷體" w:hint="eastAsia"/>
          <w:b/>
          <w:szCs w:val="52"/>
        </w:rPr>
        <w:t>（</w:t>
      </w:r>
      <w:r w:rsidR="00406A77" w:rsidRPr="00697C03">
        <w:rPr>
          <w:rFonts w:hAnsi="標楷體" w:hint="eastAsia"/>
          <w:b/>
          <w:szCs w:val="52"/>
        </w:rPr>
        <w:t>處</w:t>
      </w:r>
      <w:r w:rsidR="0079236E" w:rsidRPr="00697C03">
        <w:rPr>
          <w:rFonts w:hAnsi="標楷體" w:hint="eastAsia"/>
          <w:b/>
          <w:szCs w:val="52"/>
        </w:rPr>
        <w:t>）</w:t>
      </w:r>
      <w:r w:rsidR="00406A77" w:rsidRPr="00697C03">
        <w:rPr>
          <w:rFonts w:hAnsi="標楷體" w:hint="eastAsia"/>
          <w:b/>
          <w:szCs w:val="52"/>
        </w:rPr>
        <w:t>以「行政協助」方式辦理，惟</w:t>
      </w:r>
      <w:r w:rsidR="00413BC7" w:rsidRPr="00697C03">
        <w:rPr>
          <w:rFonts w:hAnsi="標楷體" w:hint="eastAsia"/>
          <w:b/>
          <w:szCs w:val="52"/>
        </w:rPr>
        <w:t>該部</w:t>
      </w:r>
      <w:r w:rsidR="00406A77" w:rsidRPr="00697C03">
        <w:rPr>
          <w:rFonts w:hAnsi="標楷體" w:hint="eastAsia"/>
          <w:b/>
          <w:szCs w:val="52"/>
        </w:rPr>
        <w:t>正式簽文日期僅現於109年度</w:t>
      </w:r>
      <w:r w:rsidR="00413BC7" w:rsidRPr="00697C03">
        <w:rPr>
          <w:rFonts w:hAnsi="標楷體" w:hint="eastAsia"/>
          <w:b/>
          <w:szCs w:val="52"/>
        </w:rPr>
        <w:t>，相關依據尚未完備</w:t>
      </w:r>
      <w:r w:rsidR="004B294C" w:rsidRPr="00697C03">
        <w:rPr>
          <w:rFonts w:hAnsi="標楷體" w:hint="eastAsia"/>
          <w:b/>
        </w:rPr>
        <w:t>；</w:t>
      </w:r>
      <w:r w:rsidR="00406A77" w:rsidRPr="00697C03">
        <w:rPr>
          <w:rFonts w:hAnsi="標楷體" w:hint="eastAsia"/>
          <w:b/>
        </w:rPr>
        <w:t>況</w:t>
      </w:r>
      <w:r w:rsidR="00EC5305" w:rsidRPr="00697C03">
        <w:rPr>
          <w:rFonts w:hAnsi="標楷體" w:hint="eastAsia"/>
          <w:b/>
        </w:rPr>
        <w:t>該部</w:t>
      </w:r>
      <w:r w:rsidR="00406A77" w:rsidRPr="00697C03">
        <w:rPr>
          <w:rFonts w:hAnsi="標楷體" w:hint="eastAsia"/>
          <w:b/>
        </w:rPr>
        <w:t>迄未建立檢討評估機制、執行角色復未見機制輪替及長期永續規劃，又</w:t>
      </w:r>
      <w:r w:rsidR="00492F2E" w:rsidRPr="00697C03">
        <w:rPr>
          <w:rFonts w:hAnsi="標楷體" w:hint="eastAsia"/>
          <w:b/>
        </w:rPr>
        <w:t>本件如</w:t>
      </w:r>
      <w:r w:rsidR="00406A77" w:rsidRPr="00697C03">
        <w:rPr>
          <w:rFonts w:hAnsi="標楷體" w:hint="eastAsia"/>
          <w:b/>
        </w:rPr>
        <w:t>若長期以行政協助方式由地方縣市或學校</w:t>
      </w:r>
      <w:r w:rsidR="006129D4" w:rsidRPr="00697C03">
        <w:rPr>
          <w:rFonts w:hAnsi="標楷體" w:hint="eastAsia"/>
          <w:b/>
        </w:rPr>
        <w:t>協助辦理計畫內容業務，整體辦理方式及程序之相關</w:t>
      </w:r>
      <w:r w:rsidR="00F04F31" w:rsidRPr="00697C03">
        <w:rPr>
          <w:rFonts w:hAnsi="標楷體" w:hint="eastAsia"/>
          <w:b/>
        </w:rPr>
        <w:t>機制未明確</w:t>
      </w:r>
      <w:r w:rsidR="0067389C" w:rsidRPr="00697C03">
        <w:rPr>
          <w:rFonts w:hAnsi="標楷體" w:hint="eastAsia"/>
          <w:b/>
        </w:rPr>
        <w:t>，</w:t>
      </w:r>
      <w:r w:rsidR="003739E0" w:rsidRPr="00697C03">
        <w:rPr>
          <w:rFonts w:hAnsi="標楷體" w:hint="eastAsia"/>
          <w:b/>
        </w:rPr>
        <w:t>後續</w:t>
      </w:r>
      <w:r w:rsidR="0067389C" w:rsidRPr="00697C03">
        <w:rPr>
          <w:rFonts w:hAnsi="標楷體" w:hint="eastAsia"/>
          <w:b/>
        </w:rPr>
        <w:t>教育部允應盡速</w:t>
      </w:r>
      <w:r w:rsidR="00406A77" w:rsidRPr="00697C03">
        <w:rPr>
          <w:rFonts w:hAnsi="標楷體" w:hint="eastAsia"/>
          <w:b/>
        </w:rPr>
        <w:t>檢討</w:t>
      </w:r>
      <w:bookmarkEnd w:id="85"/>
      <w:r w:rsidR="006129D4" w:rsidRPr="00697C03">
        <w:rPr>
          <w:rFonts w:hAnsi="標楷體" w:hint="eastAsia"/>
          <w:b/>
        </w:rPr>
        <w:t>研議</w:t>
      </w:r>
      <w:bookmarkEnd w:id="86"/>
    </w:p>
    <w:p w:rsidR="00406A77" w:rsidRPr="00697C03" w:rsidRDefault="00406A77" w:rsidP="00406A77">
      <w:pPr>
        <w:pStyle w:val="3"/>
        <w:kinsoku/>
        <w:overflowPunct w:val="0"/>
        <w:autoSpaceDE w:val="0"/>
        <w:autoSpaceDN w:val="0"/>
        <w:ind w:left="1360" w:hanging="680"/>
        <w:rPr>
          <w:rFonts w:hAnsi="標楷體"/>
        </w:rPr>
      </w:pPr>
      <w:bookmarkStart w:id="87" w:name="_Toc30512596"/>
      <w:bookmarkStart w:id="88" w:name="_Toc30581304"/>
      <w:bookmarkStart w:id="89" w:name="_Toc32392584"/>
      <w:bookmarkStart w:id="90" w:name="_Toc32673776"/>
      <w:bookmarkStart w:id="91" w:name="_Toc32846655"/>
      <w:bookmarkStart w:id="92" w:name="_Toc32918561"/>
      <w:bookmarkStart w:id="93" w:name="_Toc33011849"/>
      <w:r w:rsidRPr="00697C03">
        <w:rPr>
          <w:rFonts w:hAnsi="標楷體" w:hint="eastAsia"/>
        </w:rPr>
        <w:t>按行政程序法第19</w:t>
      </w:r>
      <w:r w:rsidR="004B7303" w:rsidRPr="00697C03">
        <w:rPr>
          <w:rFonts w:hAnsi="標楷體" w:hint="eastAsia"/>
        </w:rPr>
        <w:t>條規定</w:t>
      </w:r>
      <w:r w:rsidR="00632B12" w:rsidRPr="00697C03">
        <w:rPr>
          <w:rFonts w:hAnsi="標楷體" w:hint="eastAsia"/>
        </w:rPr>
        <w:t>略以，</w:t>
      </w:r>
      <w:r w:rsidRPr="00697C03">
        <w:rPr>
          <w:rFonts w:hAnsi="標楷體" w:hint="eastAsia"/>
        </w:rPr>
        <w:t>行政機關為發揮共同一體之行政機能，應於其權限範圍內互相協助。行政機關執行職務時，有下列情形之一者，得向無隸屬關係之其他機關請求協助︰1、因法律上之原因，不能獨自執行職務者。2、因人員、設備不足等事實上之原因，不能獨自執行職務者。3、執行職務所必要認定之事實，不能獨自調查者。4、執行職務所必要之文書或其他資料，為被請求機關所持有者。5、由被請求機關協助執行，顯較經濟者。6、其他職務上有正當理由須請求協助者。前項請求，除緊急情形外，應以書面為之。……。另依據法務部108年4月16日法律字第10803505130號函釋略以:「『行政協助』係指平行或不相隸屬之行政機關間，在其權限範圍內，具有補充性質之互相協助，被請求機關主要係提供輔助性行為，目的在協助請求機關完</w:t>
      </w:r>
      <w:r w:rsidRPr="00697C03">
        <w:rPr>
          <w:rFonts w:hAnsi="標楷體" w:hint="eastAsia"/>
        </w:rPr>
        <w:lastRenderedPageBreak/>
        <w:t>成行政行為，並不生管轄移轉情形。」由該上開函釋可知「行政協助」僅為補充輔助性質，應具臨時性、短期性、輔助性之協助性質，請求機關仍為程序主體，而非由被請求機關「全部包辦」</w:t>
      </w:r>
      <w:r w:rsidR="00FC6504" w:rsidRPr="00697C03">
        <w:rPr>
          <w:rFonts w:hAnsi="標楷體" w:hint="eastAsia"/>
        </w:rPr>
        <w:t>為宜</w:t>
      </w:r>
      <w:r w:rsidRPr="00697C03">
        <w:rPr>
          <w:rFonts w:hAnsi="標楷體" w:hint="eastAsia"/>
        </w:rPr>
        <w:t>。</w:t>
      </w:r>
    </w:p>
    <w:p w:rsidR="00406A77" w:rsidRPr="00697C03" w:rsidRDefault="00406A77" w:rsidP="00406A77">
      <w:pPr>
        <w:pStyle w:val="3"/>
        <w:kinsoku/>
        <w:overflowPunct w:val="0"/>
        <w:autoSpaceDE w:val="0"/>
        <w:autoSpaceDN w:val="0"/>
        <w:ind w:left="1360" w:hanging="680"/>
        <w:rPr>
          <w:rFonts w:hAnsi="標楷體"/>
        </w:rPr>
      </w:pPr>
      <w:r w:rsidRPr="00697C03">
        <w:rPr>
          <w:rFonts w:hAnsi="標楷體" w:hint="eastAsia"/>
        </w:rPr>
        <w:t>教育部為邀各縣市教育局推動全國國中畢業生未升學未就業</w:t>
      </w:r>
      <w:r w:rsidR="005B60BE" w:rsidRPr="00697C03">
        <w:rPr>
          <w:rFonts w:hAnsi="標楷體" w:hint="eastAsia"/>
        </w:rPr>
        <w:t>探索或輔導</w:t>
      </w:r>
      <w:r w:rsidR="000B4307" w:rsidRPr="00697C03">
        <w:rPr>
          <w:rFonts w:hAnsi="標楷體" w:hint="eastAsia"/>
        </w:rPr>
        <w:t>機制</w:t>
      </w:r>
      <w:r w:rsidRPr="00697C03">
        <w:rPr>
          <w:rFonts w:hAnsi="標楷體" w:hint="eastAsia"/>
        </w:rPr>
        <w:t>，</w:t>
      </w:r>
      <w:r w:rsidR="00172626" w:rsidRPr="00697C03">
        <w:rPr>
          <w:rFonts w:hAnsi="標楷體" w:hint="eastAsia"/>
          <w:szCs w:val="52"/>
        </w:rPr>
        <w:t>該部指稱，</w:t>
      </w:r>
      <w:r w:rsidRPr="00697C03">
        <w:rPr>
          <w:rFonts w:hAnsi="標楷體" w:hint="eastAsia"/>
        </w:rPr>
        <w:t>自</w:t>
      </w:r>
      <w:r w:rsidRPr="00697C03">
        <w:rPr>
          <w:rFonts w:hAnsi="標楷體" w:hint="eastAsia"/>
          <w:szCs w:val="52"/>
        </w:rPr>
        <w:t>106年後因</w:t>
      </w:r>
      <w:r w:rsidRPr="00697C03">
        <w:rPr>
          <w:rFonts w:hAnsi="標楷體" w:hint="eastAsia"/>
        </w:rPr>
        <w:t>國中畢業未升學未就業青少年散居各社區，協尋及輔導轉銜具地方性，需第一線地方政府共同投入資源，爰</w:t>
      </w:r>
      <w:r w:rsidRPr="00697C03">
        <w:rPr>
          <w:rFonts w:hAnsi="標楷體" w:hint="eastAsia"/>
          <w:szCs w:val="52"/>
        </w:rPr>
        <w:t>已改邀各地方政府教育局</w:t>
      </w:r>
      <w:r w:rsidR="0079236E" w:rsidRPr="00697C03">
        <w:rPr>
          <w:rFonts w:hAnsi="標楷體" w:hint="eastAsia"/>
          <w:szCs w:val="52"/>
        </w:rPr>
        <w:t>（</w:t>
      </w:r>
      <w:r w:rsidRPr="00697C03">
        <w:rPr>
          <w:rFonts w:hAnsi="標楷體" w:hint="eastAsia"/>
          <w:szCs w:val="52"/>
        </w:rPr>
        <w:t>處</w:t>
      </w:r>
      <w:r w:rsidR="0079236E" w:rsidRPr="00697C03">
        <w:rPr>
          <w:rFonts w:hAnsi="標楷體" w:hint="eastAsia"/>
          <w:szCs w:val="52"/>
        </w:rPr>
        <w:t>）</w:t>
      </w:r>
      <w:r w:rsidRPr="00697C03">
        <w:rPr>
          <w:rFonts w:hAnsi="標楷體" w:hint="eastAsia"/>
          <w:szCs w:val="52"/>
        </w:rPr>
        <w:t>以「行政協助」方式辦理</w:t>
      </w:r>
      <w:r w:rsidR="007B6A0F" w:rsidRPr="00697C03">
        <w:rPr>
          <w:rFonts w:hAnsi="標楷體" w:hint="eastAsia"/>
        </w:rPr>
        <w:t>。摘述該部說明</w:t>
      </w:r>
      <w:r w:rsidRPr="00697C03">
        <w:rPr>
          <w:rFonts w:hAnsi="標楷體" w:hint="eastAsia"/>
        </w:rPr>
        <w:t>相關辦理依據如下：</w:t>
      </w:r>
      <w:bookmarkEnd w:id="87"/>
      <w:bookmarkEnd w:id="88"/>
      <w:bookmarkEnd w:id="89"/>
      <w:bookmarkEnd w:id="90"/>
      <w:bookmarkEnd w:id="91"/>
      <w:bookmarkEnd w:id="92"/>
      <w:bookmarkEnd w:id="93"/>
    </w:p>
    <w:p w:rsidR="00406A77" w:rsidRPr="00697C03" w:rsidRDefault="00406A77" w:rsidP="00406A77">
      <w:pPr>
        <w:pStyle w:val="4"/>
        <w:rPr>
          <w:rFonts w:hAnsi="標楷體"/>
        </w:rPr>
      </w:pPr>
      <w:r w:rsidRPr="00697C03">
        <w:rPr>
          <w:rFonts w:hAnsi="標楷體" w:hint="eastAsia"/>
        </w:rPr>
        <w:t>「未升學未就業青少年關懷扶助計畫」無適法性研究，係前行政院青年輔導委員會於97年起辦理國中畢業未升學未就業青少年職能培訓輔導計畫</w:t>
      </w:r>
      <w:r w:rsidR="0079236E" w:rsidRPr="00697C03">
        <w:rPr>
          <w:rFonts w:hAnsi="標楷體" w:hint="eastAsia"/>
        </w:rPr>
        <w:t>（</w:t>
      </w:r>
      <w:r w:rsidRPr="00697C03">
        <w:rPr>
          <w:rFonts w:hAnsi="標楷體" w:hint="eastAsia"/>
        </w:rPr>
        <w:t>少年On Light計畫</w:t>
      </w:r>
      <w:r w:rsidR="0079236E" w:rsidRPr="00697C03">
        <w:rPr>
          <w:rFonts w:hAnsi="標楷體" w:hint="eastAsia"/>
        </w:rPr>
        <w:t>）</w:t>
      </w:r>
      <w:r w:rsidRPr="00697C03">
        <w:rPr>
          <w:rFonts w:hAnsi="標楷體" w:hint="eastAsia"/>
        </w:rPr>
        <w:t>，協助其探索生涯方向，回流教育體系就學，或順利就業。</w:t>
      </w:r>
    </w:p>
    <w:p w:rsidR="00406A77" w:rsidRPr="00697C03" w:rsidRDefault="00406A77" w:rsidP="00406A77">
      <w:pPr>
        <w:pStyle w:val="4"/>
        <w:rPr>
          <w:rFonts w:hAnsi="標楷體"/>
        </w:rPr>
      </w:pPr>
      <w:r w:rsidRPr="00697C03">
        <w:rPr>
          <w:rFonts w:hAnsi="標楷體" w:hint="eastAsia"/>
        </w:rPr>
        <w:t>102年組織改造後，青輔會原有青年就業相關業務移由主責全國輔導就業單位勞動部辦理。由於國中畢業未升學未就業青少年已非在學，多數又有就業需求，惟本案仍隨組織改造續由教育部青年發展署辦理，並以教育部青年發展署公務預算3,500萬元，為有系統協助輔導計畫青少年，並介接相關勞政、社政等資源，爰自106年起透過行政協助方式與地方政府共同合作辦理。</w:t>
      </w:r>
    </w:p>
    <w:p w:rsidR="00406A77" w:rsidRPr="00697C03" w:rsidRDefault="00391C96" w:rsidP="00406A77">
      <w:pPr>
        <w:pStyle w:val="4"/>
        <w:rPr>
          <w:rFonts w:hAnsi="標楷體"/>
        </w:rPr>
      </w:pPr>
      <w:r w:rsidRPr="00697C03">
        <w:rPr>
          <w:rFonts w:hAnsi="標楷體" w:hint="eastAsia"/>
        </w:rPr>
        <w:t>對此，該</w:t>
      </w:r>
      <w:r w:rsidR="00406A77" w:rsidRPr="00697C03">
        <w:rPr>
          <w:rFonts w:hAnsi="標楷體" w:hint="eastAsia"/>
        </w:rPr>
        <w:t>部稱102至105年「少年On Light計畫」無適法性研究，係由青年署延續政府組改前青輔會以招標方式，由各地具有青少年輔導專業之非營利組織承辦輔導；106年後該部改由邀請各地方政府教育局</w:t>
      </w:r>
      <w:r w:rsidR="0079236E" w:rsidRPr="00697C03">
        <w:rPr>
          <w:rFonts w:hAnsi="標楷體" w:hint="eastAsia"/>
        </w:rPr>
        <w:t>（</w:t>
      </w:r>
      <w:r w:rsidR="00406A77" w:rsidRPr="00697C03">
        <w:rPr>
          <w:rFonts w:hAnsi="標楷體" w:hint="eastAsia"/>
        </w:rPr>
        <w:t>處</w:t>
      </w:r>
      <w:r w:rsidR="0079236E" w:rsidRPr="00697C03">
        <w:rPr>
          <w:rFonts w:hAnsi="標楷體" w:hint="eastAsia"/>
        </w:rPr>
        <w:t>）</w:t>
      </w:r>
      <w:r w:rsidR="00D004AE" w:rsidRPr="00697C03">
        <w:rPr>
          <w:rFonts w:hAnsi="標楷體" w:hint="eastAsia"/>
        </w:rPr>
        <w:t>以行政協助</w:t>
      </w:r>
      <w:r w:rsidR="00406A77" w:rsidRPr="00697C03">
        <w:rPr>
          <w:rFonts w:hAnsi="標楷體" w:hint="eastAsia"/>
        </w:rPr>
        <w:t>方式辦理。</w:t>
      </w:r>
    </w:p>
    <w:p w:rsidR="00406A77" w:rsidRPr="00697C03" w:rsidRDefault="00406A77" w:rsidP="00DC71E0">
      <w:pPr>
        <w:pStyle w:val="3"/>
        <w:kinsoku/>
        <w:ind w:left="1394" w:hanging="680"/>
        <w:rPr>
          <w:rFonts w:hAnsi="標楷體"/>
        </w:rPr>
      </w:pPr>
      <w:r w:rsidRPr="00697C03">
        <w:rPr>
          <w:rFonts w:hAnsi="標楷體" w:hint="eastAsia"/>
        </w:rPr>
        <w:t>另</w:t>
      </w:r>
      <w:r w:rsidR="00076738" w:rsidRPr="00697C03">
        <w:rPr>
          <w:rFonts w:hAnsi="標楷體" w:hint="eastAsia"/>
        </w:rPr>
        <w:t>查</w:t>
      </w:r>
      <w:r w:rsidRPr="00697C03">
        <w:rPr>
          <w:rFonts w:hAnsi="標楷體" w:hint="eastAsia"/>
        </w:rPr>
        <w:t>，教育部於本院109年3月31日約詢會後提供本計畫改以「行政協助」辦理之簽稿公文等相關</w:t>
      </w:r>
      <w:r w:rsidRPr="00697C03">
        <w:rPr>
          <w:rFonts w:hAnsi="標楷體" w:hint="eastAsia"/>
        </w:rPr>
        <w:lastRenderedPageBreak/>
        <w:t>依據，經查</w:t>
      </w:r>
      <w:r w:rsidR="005F739A" w:rsidRPr="00697C03">
        <w:rPr>
          <w:rFonts w:hAnsi="標楷體" w:hint="eastAsia"/>
        </w:rPr>
        <w:t>該件</w:t>
      </w:r>
      <w:r w:rsidRPr="00697C03">
        <w:rPr>
          <w:rFonts w:hAnsi="標楷體" w:hint="eastAsia"/>
        </w:rPr>
        <w:t>為109年1</w:t>
      </w:r>
      <w:r w:rsidR="00C10C73" w:rsidRPr="00697C03">
        <w:rPr>
          <w:rFonts w:hAnsi="標楷體" w:hint="eastAsia"/>
        </w:rPr>
        <w:t>月間教育</w:t>
      </w:r>
      <w:r w:rsidRPr="00697C03">
        <w:rPr>
          <w:rFonts w:hAnsi="標楷體" w:hint="eastAsia"/>
        </w:rPr>
        <w:t>部針對某縣市政府申請「109年未升學未就業青少年關懷扶助計畫」之簽稿並陳，</w:t>
      </w:r>
      <w:r w:rsidR="0037037C" w:rsidRPr="00697C03">
        <w:rPr>
          <w:rFonts w:hAnsi="標楷體" w:hint="eastAsia"/>
        </w:rPr>
        <w:t>摘述該文件之</w:t>
      </w:r>
      <w:r w:rsidR="00B45105" w:rsidRPr="00697C03">
        <w:rPr>
          <w:rFonts w:hAnsi="標楷體" w:hint="eastAsia"/>
        </w:rPr>
        <w:t>說明二略以：「為推動業務，本案視需要依『行政程序法』第</w:t>
      </w:r>
      <w:r w:rsidRPr="00697C03">
        <w:rPr>
          <w:rFonts w:hAnsi="標楷體" w:hint="eastAsia"/>
        </w:rPr>
        <w:t>19條、『教育部業務採行政協助辦理原則』第1條第1項規定，採行政協助方式辦理，遵循內涵為發揮行政機關共同一體之行政機能，於其權限範圍內互相協助。另依前開辦理原則第2條第1項第2款所訂，本案為『確定行政計畫』之公權力行使範圍，教育部行政計畫之擬議、公布等業務，屬行政程序法第163條規定，係指行政機關為將來一定期限內達成特定之目的或實現一定之構想，事前就達成該目的或實現該構想有關之方法、步驟或措施等所為之設計與規劃」。及</w:t>
      </w:r>
      <w:r w:rsidR="00601EB1" w:rsidRPr="00697C03">
        <w:rPr>
          <w:rFonts w:hAnsi="標楷體" w:hint="eastAsia"/>
        </w:rPr>
        <w:t>該文件之</w:t>
      </w:r>
      <w:r w:rsidRPr="00697C03">
        <w:rPr>
          <w:rFonts w:hAnsi="標楷體" w:hint="eastAsia"/>
        </w:rPr>
        <w:t>說明三略以：「為協助國中畢業未升學未就業青少年適性轉銜就學、就業或參加職訓，以奠定未來發展基礎，各縣市政府依本暑108年12月4日臺教青署輔字第1082122460號函『未升學未就業青少年關懷扶助計畫』、『109年行政協助需求書』</w:t>
      </w:r>
      <w:r w:rsidR="0079236E" w:rsidRPr="00697C03">
        <w:rPr>
          <w:rFonts w:hAnsi="標楷體" w:hint="eastAsia"/>
        </w:rPr>
        <w:t>（</w:t>
      </w:r>
      <w:r w:rsidRPr="00697C03">
        <w:rPr>
          <w:rFonts w:hAnsi="標楷體" w:hint="eastAsia"/>
        </w:rPr>
        <w:t>以下稱需求書</w:t>
      </w:r>
      <w:r w:rsidR="0079236E" w:rsidRPr="00697C03">
        <w:rPr>
          <w:rFonts w:hAnsi="標楷體" w:hint="eastAsia"/>
        </w:rPr>
        <w:t>）</w:t>
      </w:r>
      <w:r w:rsidRPr="00697C03">
        <w:rPr>
          <w:rFonts w:hAnsi="標楷體" w:hint="eastAsia"/>
        </w:rPr>
        <w:t xml:space="preserve"> 、『109年工作計畫書範本』及『109-110年行政協助協議書及其附件』辦理，申請本案行政協助。</w:t>
      </w:r>
      <w:r w:rsidRPr="00697C03">
        <w:rPr>
          <w:rFonts w:hAnsi="標楷體"/>
        </w:rPr>
        <w:t>……</w:t>
      </w:r>
      <w:r w:rsidRPr="00697C03">
        <w:rPr>
          <w:rFonts w:hAnsi="標楷體" w:hint="eastAsia"/>
        </w:rPr>
        <w:t>」等項。足徵，上述簽稿為因應109年個案縣市</w:t>
      </w:r>
      <w:r w:rsidR="0044726E" w:rsidRPr="00697C03">
        <w:rPr>
          <w:rFonts w:hAnsi="標楷體" w:hint="eastAsia"/>
        </w:rPr>
        <w:t>之</w:t>
      </w:r>
      <w:r w:rsidRPr="00697C03">
        <w:rPr>
          <w:rFonts w:hAnsi="標楷體" w:hint="eastAsia"/>
        </w:rPr>
        <w:t>申請所為，</w:t>
      </w:r>
      <w:r w:rsidRPr="00697C03">
        <w:rPr>
          <w:rFonts w:hAnsi="標楷體" w:hint="eastAsia"/>
          <w:szCs w:val="52"/>
        </w:rPr>
        <w:t>正式簽文日期僅現於109年度，況</w:t>
      </w:r>
      <w:r w:rsidR="004E58DC" w:rsidRPr="00697C03">
        <w:rPr>
          <w:rFonts w:hAnsi="標楷體" w:hint="eastAsia"/>
          <w:szCs w:val="52"/>
        </w:rPr>
        <w:t>教育部</w:t>
      </w:r>
      <w:r w:rsidR="00E90645" w:rsidRPr="00697C03">
        <w:rPr>
          <w:rFonts w:hAnsi="標楷體" w:hint="eastAsia"/>
          <w:szCs w:val="52"/>
        </w:rPr>
        <w:t>就本件計畫</w:t>
      </w:r>
      <w:r w:rsidRPr="00697C03">
        <w:rPr>
          <w:rFonts w:hAnsi="標楷體" w:hint="eastAsia"/>
          <w:szCs w:val="52"/>
        </w:rPr>
        <w:t>迄未建立檢討評估機制、執行角色復未見機制輪替及長期永續規劃，</w:t>
      </w:r>
      <w:r w:rsidR="009B3C06" w:rsidRPr="00697C03">
        <w:rPr>
          <w:rFonts w:hAnsi="標楷體" w:hint="eastAsia"/>
        </w:rPr>
        <w:t>顯難謂</w:t>
      </w:r>
      <w:r w:rsidR="00E072D8" w:rsidRPr="00697C03">
        <w:rPr>
          <w:rFonts w:hAnsi="標楷體" w:hint="eastAsia"/>
        </w:rPr>
        <w:t>為</w:t>
      </w:r>
      <w:r w:rsidRPr="00697C03">
        <w:rPr>
          <w:rFonts w:hAnsi="標楷體" w:hint="eastAsia"/>
        </w:rPr>
        <w:t>作為106年辦理依行政程序法第19條所明文規定行政協助之依據</w:t>
      </w:r>
      <w:r w:rsidR="00FB026A" w:rsidRPr="00697C03">
        <w:rPr>
          <w:rFonts w:hAnsi="標楷體" w:hint="eastAsia"/>
        </w:rPr>
        <w:t>。</w:t>
      </w:r>
      <w:r w:rsidRPr="00697C03">
        <w:rPr>
          <w:rFonts w:hAnsi="標楷體" w:hint="eastAsia"/>
        </w:rPr>
        <w:t>且如若教育部自106年迄今以此方式辦理多年，委託方式由原</w:t>
      </w:r>
      <w:r w:rsidR="003815BF" w:rsidRPr="00697C03">
        <w:rPr>
          <w:rFonts w:hAnsi="標楷體" w:hint="eastAsia"/>
        </w:rPr>
        <w:t>行政院青年輔導委員會</w:t>
      </w:r>
      <w:r w:rsidRPr="00697C03">
        <w:rPr>
          <w:rFonts w:hAnsi="標楷體" w:hint="eastAsia"/>
        </w:rPr>
        <w:t>依據政府採購法公開辦理，</w:t>
      </w:r>
      <w:r w:rsidR="00E52C99" w:rsidRPr="00697C03">
        <w:rPr>
          <w:rFonts w:hAnsi="標楷體" w:hint="eastAsia"/>
        </w:rPr>
        <w:t>如</w:t>
      </w:r>
      <w:r w:rsidR="00903C3E" w:rsidRPr="00697C03">
        <w:rPr>
          <w:rFonts w:hAnsi="標楷體" w:hint="eastAsia"/>
        </w:rPr>
        <w:t>改</w:t>
      </w:r>
      <w:r w:rsidRPr="00697C03">
        <w:rPr>
          <w:rFonts w:hAnsi="標楷體" w:hint="eastAsia"/>
        </w:rPr>
        <w:t>由地方縣市政府長期</w:t>
      </w:r>
      <w:r w:rsidR="00903C3E" w:rsidRPr="00697C03">
        <w:rPr>
          <w:rFonts w:hAnsi="標楷體" w:hint="eastAsia"/>
        </w:rPr>
        <w:t>以行政協助方式</w:t>
      </w:r>
      <w:r w:rsidRPr="00697C03">
        <w:rPr>
          <w:rFonts w:hAnsi="標楷體" w:hint="eastAsia"/>
        </w:rPr>
        <w:t>辦理</w:t>
      </w:r>
      <w:r w:rsidR="0038005A" w:rsidRPr="00697C03">
        <w:rPr>
          <w:rFonts w:hAnsi="標楷體" w:hint="eastAsia"/>
        </w:rPr>
        <w:t>國中畢業學生</w:t>
      </w:r>
      <w:r w:rsidRPr="00697C03">
        <w:rPr>
          <w:rFonts w:hAnsi="標楷體" w:hint="eastAsia"/>
        </w:rPr>
        <w:t>未升學未就業計畫之例行</w:t>
      </w:r>
      <w:r w:rsidR="0038005A" w:rsidRPr="00697C03">
        <w:rPr>
          <w:rFonts w:hAnsi="標楷體" w:hint="eastAsia"/>
        </w:rPr>
        <w:t>輔</w:t>
      </w:r>
      <w:r w:rsidR="0038005A" w:rsidRPr="00697C03">
        <w:rPr>
          <w:rFonts w:hAnsi="標楷體" w:hint="eastAsia"/>
        </w:rPr>
        <w:lastRenderedPageBreak/>
        <w:t>導或</w:t>
      </w:r>
      <w:r w:rsidR="00957DD4" w:rsidRPr="00697C03">
        <w:rPr>
          <w:rFonts w:hAnsi="標楷體" w:hint="eastAsia"/>
        </w:rPr>
        <w:t>生涯探索等相關長期</w:t>
      </w:r>
      <w:r w:rsidRPr="00697C03">
        <w:rPr>
          <w:rFonts w:hAnsi="標楷體" w:hint="eastAsia"/>
        </w:rPr>
        <w:t>業務，此是否適用行政程序法第19條第2項補充輔助性質</w:t>
      </w:r>
      <w:r w:rsidR="00F932AA" w:rsidRPr="00697C03">
        <w:rPr>
          <w:rFonts w:hAnsi="標楷體" w:hint="eastAsia"/>
        </w:rPr>
        <w:t>，不無疑義。</w:t>
      </w:r>
      <w:r w:rsidRPr="00697C03">
        <w:rPr>
          <w:rFonts w:hAnsi="標楷體" w:hint="eastAsia"/>
        </w:rPr>
        <w:t>況依教育部「業務採行政協助辦理原則」第3點規定，每年委請公私立學校輪辦之業務，應不得採用行政協助之方式辦理，</w:t>
      </w:r>
      <w:r w:rsidR="00BD4B75" w:rsidRPr="00697C03">
        <w:rPr>
          <w:rFonts w:hAnsi="標楷體" w:hint="eastAsia"/>
        </w:rPr>
        <w:t>爰整體</w:t>
      </w:r>
      <w:r w:rsidRPr="00697C03">
        <w:rPr>
          <w:rFonts w:hAnsi="標楷體" w:hint="eastAsia"/>
        </w:rPr>
        <w:t>相關適法性問題，教育部允應於針對本案上述其他調查意見所指應檢討未升學未就業青少年關懷扶助計畫之同時，盡速併予確實研議檢討所涉相關辦理方式之適法性及妥適性。</w:t>
      </w:r>
      <w:r w:rsidR="001F6F55" w:rsidRPr="00697C03">
        <w:rPr>
          <w:rFonts w:hAnsi="標楷體" w:hint="eastAsia"/>
        </w:rPr>
        <w:t>針對該計畫採行政協助之適法性問題，</w:t>
      </w:r>
      <w:r w:rsidR="00031D8E" w:rsidRPr="00697C03">
        <w:rPr>
          <w:rFonts w:hAnsi="標楷體" w:hint="eastAsia"/>
        </w:rPr>
        <w:t>此有</w:t>
      </w:r>
      <w:r w:rsidRPr="00697C03">
        <w:rPr>
          <w:rFonts w:hAnsi="標楷體" w:hint="eastAsia"/>
        </w:rPr>
        <w:t>該部主管人員於本院109年3月31日約詢</w:t>
      </w:r>
      <w:r w:rsidR="00F52431" w:rsidRPr="00697C03">
        <w:rPr>
          <w:rFonts w:hAnsi="標楷體" w:hint="eastAsia"/>
        </w:rPr>
        <w:t>稱</w:t>
      </w:r>
      <w:r w:rsidRPr="00697C03">
        <w:rPr>
          <w:rFonts w:hAnsi="標楷體" w:hint="eastAsia"/>
        </w:rPr>
        <w:t>對於</w:t>
      </w:r>
      <w:r w:rsidR="001F6F55" w:rsidRPr="00697C03">
        <w:rPr>
          <w:rFonts w:hAnsi="標楷體" w:hint="eastAsia"/>
        </w:rPr>
        <w:t>青年署委託縣市政府辦理行政協助之適法性及隸屬關係等</w:t>
      </w:r>
      <w:r w:rsidRPr="00697C03">
        <w:rPr>
          <w:rFonts w:hAnsi="標楷體" w:hint="eastAsia"/>
        </w:rPr>
        <w:t>整體事項規劃未盡清楚之處，亦</w:t>
      </w:r>
      <w:r w:rsidR="00F52431" w:rsidRPr="00697C03">
        <w:rPr>
          <w:rFonts w:hAnsi="標楷體" w:hint="eastAsia"/>
        </w:rPr>
        <w:t>認</w:t>
      </w:r>
      <w:r w:rsidRPr="00697C03">
        <w:rPr>
          <w:rFonts w:hAnsi="標楷體" w:hint="eastAsia"/>
        </w:rPr>
        <w:t>行政協助的法制部分應再檢討，以期周妥</w:t>
      </w:r>
      <w:r w:rsidR="00AB65A3" w:rsidRPr="00697C03">
        <w:rPr>
          <w:rFonts w:hAnsi="標楷體" w:hint="eastAsia"/>
        </w:rPr>
        <w:t>等語，在卷</w:t>
      </w:r>
      <w:r w:rsidR="00F52431" w:rsidRPr="00697C03">
        <w:rPr>
          <w:rFonts w:hAnsi="標楷體" w:hint="eastAsia"/>
        </w:rPr>
        <w:t>足徵</w:t>
      </w:r>
      <w:r w:rsidRPr="00697C03">
        <w:rPr>
          <w:rFonts w:hAnsi="標楷體" w:hint="eastAsia"/>
        </w:rPr>
        <w:t>。</w:t>
      </w:r>
    </w:p>
    <w:p w:rsidR="00406A77" w:rsidRPr="00697C03" w:rsidRDefault="00406A77" w:rsidP="00406A77">
      <w:pPr>
        <w:pStyle w:val="3"/>
        <w:kinsoku/>
        <w:ind w:left="1360" w:hanging="680"/>
        <w:rPr>
          <w:rFonts w:hAnsi="標楷體"/>
          <w:szCs w:val="52"/>
        </w:rPr>
      </w:pPr>
      <w:r w:rsidRPr="00697C03">
        <w:rPr>
          <w:rFonts w:hAnsi="標楷體" w:hint="eastAsia"/>
          <w:szCs w:val="52"/>
        </w:rPr>
        <w:t>綜上</w:t>
      </w:r>
      <w:r w:rsidR="00C36680" w:rsidRPr="00697C03">
        <w:rPr>
          <w:rFonts w:hAnsi="標楷體" w:hint="eastAsia"/>
          <w:szCs w:val="52"/>
        </w:rPr>
        <w:t>論結</w:t>
      </w:r>
      <w:r w:rsidRPr="00697C03">
        <w:rPr>
          <w:rFonts w:hAnsi="標楷體" w:hint="eastAsia"/>
          <w:szCs w:val="52"/>
        </w:rPr>
        <w:t>，</w:t>
      </w:r>
      <w:r w:rsidR="00A25BAF" w:rsidRPr="00697C03">
        <w:rPr>
          <w:rFonts w:hAnsi="標楷體" w:hint="eastAsia"/>
        </w:rPr>
        <w:t>本案顯示教育部針對未升學未就業計畫之業務單位整合性亟待改善，現有行政協助模式允應併予檢討，</w:t>
      </w:r>
      <w:r w:rsidRPr="00697C03">
        <w:rPr>
          <w:rFonts w:hAnsi="標楷體" w:hint="eastAsia"/>
          <w:szCs w:val="52"/>
        </w:rPr>
        <w:t>102至105年行政院青年輔導委員會為輔導國中畢業後未升學未就業青少年生涯探索，辦理「少年On Light計畫」，102</w:t>
      </w:r>
      <w:r w:rsidR="00310BA2" w:rsidRPr="00697C03">
        <w:rPr>
          <w:rFonts w:hAnsi="標楷體" w:hint="eastAsia"/>
          <w:szCs w:val="52"/>
        </w:rPr>
        <w:t>年組織改造後，該</w:t>
      </w:r>
      <w:r w:rsidRPr="00697C03">
        <w:rPr>
          <w:rFonts w:hAnsi="標楷體" w:hint="eastAsia"/>
          <w:szCs w:val="52"/>
        </w:rPr>
        <w:t>會原有青年就業相關業務移由勞動部主政，該項業務改由教育部青年署延續政府組改前青輔會以招標方式，由各地具有青少年輔導專業之非營利組織承辦輔導；然教育部表示於106年後該部改邀各地方政府教育局</w:t>
      </w:r>
      <w:r w:rsidR="0079236E" w:rsidRPr="00697C03">
        <w:rPr>
          <w:rFonts w:hAnsi="標楷體" w:hint="eastAsia"/>
          <w:szCs w:val="52"/>
        </w:rPr>
        <w:t>（</w:t>
      </w:r>
      <w:r w:rsidRPr="00697C03">
        <w:rPr>
          <w:rFonts w:hAnsi="標楷體" w:hint="eastAsia"/>
          <w:szCs w:val="52"/>
        </w:rPr>
        <w:t>處</w:t>
      </w:r>
      <w:r w:rsidR="0079236E" w:rsidRPr="00697C03">
        <w:rPr>
          <w:rFonts w:hAnsi="標楷體" w:hint="eastAsia"/>
          <w:szCs w:val="52"/>
        </w:rPr>
        <w:t>）</w:t>
      </w:r>
      <w:r w:rsidRPr="00697C03">
        <w:rPr>
          <w:rFonts w:hAnsi="標楷體" w:hint="eastAsia"/>
          <w:szCs w:val="52"/>
        </w:rPr>
        <w:t>以「行政協助」方式辦理，惟正式簽文日期僅現於109年度，</w:t>
      </w:r>
      <w:r w:rsidR="003D5C8A" w:rsidRPr="00697C03">
        <w:rPr>
          <w:rFonts w:hAnsi="標楷體" w:hint="eastAsia"/>
        </w:rPr>
        <w:t>顯難謂為作為106年辦理依行政程序法第19條所明文規定行政協助之依據。</w:t>
      </w:r>
      <w:r w:rsidRPr="00697C03">
        <w:rPr>
          <w:rFonts w:hAnsi="標楷體" w:hint="eastAsia"/>
          <w:szCs w:val="52"/>
        </w:rPr>
        <w:t>況迄未建立檢討評估機制、執行角色復未見機制輪替及長期永續規劃，又該部若長期以行政協助方式由地方縣市或學校協助辦理計畫內容業務，整體辦理方式及程序之相關</w:t>
      </w:r>
      <w:r w:rsidR="00CB69C0" w:rsidRPr="00697C03">
        <w:rPr>
          <w:rFonts w:hAnsi="標楷體" w:hint="eastAsia"/>
        </w:rPr>
        <w:t>機制未明確</w:t>
      </w:r>
      <w:r w:rsidRPr="00697C03">
        <w:rPr>
          <w:rFonts w:hAnsi="標楷體" w:hint="eastAsia"/>
          <w:szCs w:val="52"/>
        </w:rPr>
        <w:t>，該部允應盡速研議檢討</w:t>
      </w:r>
      <w:r w:rsidR="00A43A19" w:rsidRPr="00697C03">
        <w:rPr>
          <w:rFonts w:hAnsi="標楷體" w:hint="eastAsia"/>
          <w:szCs w:val="52"/>
        </w:rPr>
        <w:t>。</w:t>
      </w:r>
    </w:p>
    <w:p w:rsidR="008B555C" w:rsidRPr="007076C6" w:rsidRDefault="00EF0394">
      <w:pPr>
        <w:pStyle w:val="1"/>
        <w:ind w:left="2380" w:hanging="2380"/>
        <w:rPr>
          <w:rFonts w:hAnsi="標楷體"/>
        </w:rPr>
      </w:pPr>
      <w:bookmarkStart w:id="94" w:name="_Toc524895648"/>
      <w:bookmarkStart w:id="95" w:name="_Toc524896194"/>
      <w:bookmarkStart w:id="96" w:name="_Toc524896224"/>
      <w:bookmarkStart w:id="97" w:name="_Toc524902734"/>
      <w:bookmarkStart w:id="98" w:name="_Toc525066148"/>
      <w:bookmarkStart w:id="99" w:name="_Toc525070839"/>
      <w:bookmarkStart w:id="100" w:name="_Toc525938379"/>
      <w:bookmarkStart w:id="101" w:name="_Toc525939227"/>
      <w:bookmarkStart w:id="102" w:name="_Toc525939732"/>
      <w:bookmarkStart w:id="103" w:name="_Toc529218272"/>
      <w:r w:rsidRPr="00697C03">
        <w:rPr>
          <w:rFonts w:hAnsi="標楷體"/>
        </w:rPr>
        <w:br w:type="page"/>
      </w:r>
      <w:bookmarkStart w:id="104" w:name="_Toc529222689"/>
      <w:bookmarkStart w:id="105" w:name="_Toc529223111"/>
      <w:bookmarkStart w:id="106" w:name="_Toc529223862"/>
      <w:bookmarkStart w:id="107" w:name="_Toc529228265"/>
      <w:bookmarkStart w:id="108" w:name="_Toc2400395"/>
      <w:bookmarkStart w:id="109" w:name="_Toc4316189"/>
      <w:bookmarkStart w:id="110" w:name="_Toc4473330"/>
      <w:bookmarkStart w:id="111" w:name="_Toc69556897"/>
      <w:bookmarkStart w:id="112" w:name="_Toc69556946"/>
      <w:bookmarkStart w:id="113" w:name="_Toc69609820"/>
      <w:bookmarkStart w:id="114" w:name="_Toc70241816"/>
      <w:bookmarkStart w:id="115" w:name="_Toc70242205"/>
      <w:bookmarkStart w:id="116" w:name="_Toc41382891"/>
      <w:r w:rsidRPr="007076C6">
        <w:rPr>
          <w:rFonts w:hAnsi="標楷體" w:hint="eastAsia"/>
        </w:rPr>
        <w:lastRenderedPageBreak/>
        <w:t>處理辦法：</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BC0706" w:rsidRPr="007076C6" w:rsidRDefault="00BC0706" w:rsidP="007227F9">
      <w:pPr>
        <w:pStyle w:val="2"/>
        <w:ind w:left="1020" w:hanging="680"/>
        <w:rPr>
          <w:rFonts w:hAnsi="標楷體"/>
        </w:rPr>
      </w:pPr>
      <w:bookmarkStart w:id="117" w:name="_Toc524895649"/>
      <w:bookmarkStart w:id="118" w:name="_Toc524896195"/>
      <w:bookmarkStart w:id="119" w:name="_Toc524896225"/>
      <w:bookmarkStart w:id="120" w:name="_Toc37404418"/>
      <w:bookmarkStart w:id="121" w:name="_Toc37775465"/>
      <w:bookmarkStart w:id="122" w:name="_Toc39250784"/>
      <w:bookmarkStart w:id="123" w:name="_Toc39671727"/>
      <w:bookmarkStart w:id="124" w:name="_Toc39740711"/>
      <w:bookmarkStart w:id="125" w:name="_Toc40535878"/>
      <w:bookmarkStart w:id="126" w:name="_Toc41381331"/>
      <w:bookmarkStart w:id="127" w:name="_Toc41381483"/>
      <w:bookmarkStart w:id="128" w:name="_Toc41381909"/>
      <w:bookmarkStart w:id="129" w:name="_Toc41382892"/>
      <w:bookmarkStart w:id="130" w:name="_Toc2400397"/>
      <w:bookmarkStart w:id="131" w:name="_Toc4316191"/>
      <w:bookmarkStart w:id="132" w:name="_Toc4473332"/>
      <w:bookmarkStart w:id="133" w:name="_Toc69556901"/>
      <w:bookmarkStart w:id="134" w:name="_Toc69556950"/>
      <w:bookmarkStart w:id="135" w:name="_Toc69609824"/>
      <w:bookmarkStart w:id="136" w:name="_Toc70241822"/>
      <w:bookmarkStart w:id="137" w:name="_Toc70242211"/>
      <w:bookmarkEnd w:id="117"/>
      <w:bookmarkEnd w:id="118"/>
      <w:bookmarkEnd w:id="119"/>
      <w:r w:rsidRPr="007076C6">
        <w:rPr>
          <w:rFonts w:hAnsi="標楷體" w:hint="eastAsia"/>
        </w:rPr>
        <w:t>調查意見，函請教育部確實檢討改進見復。</w:t>
      </w:r>
      <w:bookmarkEnd w:id="120"/>
      <w:bookmarkEnd w:id="121"/>
      <w:bookmarkEnd w:id="122"/>
      <w:bookmarkEnd w:id="123"/>
      <w:bookmarkEnd w:id="124"/>
      <w:bookmarkEnd w:id="125"/>
      <w:bookmarkEnd w:id="126"/>
      <w:bookmarkEnd w:id="127"/>
      <w:bookmarkEnd w:id="128"/>
      <w:bookmarkEnd w:id="129"/>
    </w:p>
    <w:p w:rsidR="0033746D" w:rsidRPr="007076C6" w:rsidRDefault="0033746D" w:rsidP="0057455F">
      <w:pPr>
        <w:pStyle w:val="2"/>
        <w:rPr>
          <w:rFonts w:hAnsi="標楷體"/>
        </w:rPr>
      </w:pPr>
      <w:bookmarkStart w:id="138" w:name="_Toc40535880"/>
      <w:bookmarkStart w:id="139" w:name="_Toc41381333"/>
      <w:bookmarkStart w:id="140" w:name="_Toc41381485"/>
      <w:bookmarkStart w:id="141" w:name="_Toc41381911"/>
      <w:bookmarkStart w:id="142" w:name="_Toc41382894"/>
      <w:bookmarkEnd w:id="130"/>
      <w:bookmarkEnd w:id="131"/>
      <w:bookmarkEnd w:id="132"/>
      <w:bookmarkEnd w:id="133"/>
      <w:bookmarkEnd w:id="134"/>
      <w:bookmarkEnd w:id="135"/>
      <w:bookmarkEnd w:id="136"/>
      <w:bookmarkEnd w:id="137"/>
      <w:r w:rsidRPr="007076C6">
        <w:rPr>
          <w:rFonts w:hAnsi="標楷體" w:hint="eastAsia"/>
        </w:rPr>
        <w:t>調查意見上網公告（不含附件）。</w:t>
      </w:r>
      <w:bookmarkEnd w:id="138"/>
      <w:bookmarkEnd w:id="139"/>
      <w:bookmarkEnd w:id="140"/>
      <w:bookmarkEnd w:id="141"/>
      <w:bookmarkEnd w:id="142"/>
    </w:p>
    <w:p w:rsidR="00697C03" w:rsidRDefault="00697C03">
      <w:pPr>
        <w:pStyle w:val="aa"/>
        <w:kinsoku w:val="0"/>
        <w:spacing w:before="0" w:after="0"/>
        <w:ind w:leftChars="1100" w:left="3742"/>
        <w:jc w:val="both"/>
        <w:rPr>
          <w:rFonts w:hAnsi="標楷體"/>
          <w:b w:val="0"/>
          <w:bCs/>
          <w:snapToGrid/>
          <w:spacing w:val="12"/>
          <w:kern w:val="0"/>
          <w:sz w:val="40"/>
        </w:rPr>
      </w:pPr>
    </w:p>
    <w:p w:rsidR="008B555C" w:rsidRDefault="00EF0394">
      <w:pPr>
        <w:pStyle w:val="aa"/>
        <w:kinsoku w:val="0"/>
        <w:spacing w:before="0" w:after="0"/>
        <w:ind w:leftChars="1100" w:left="3742"/>
        <w:jc w:val="both"/>
        <w:rPr>
          <w:rFonts w:hAnsi="標楷體"/>
          <w:b w:val="0"/>
          <w:bCs/>
          <w:snapToGrid/>
          <w:spacing w:val="12"/>
          <w:kern w:val="0"/>
          <w:sz w:val="40"/>
        </w:rPr>
      </w:pPr>
      <w:r w:rsidRPr="007076C6">
        <w:rPr>
          <w:rFonts w:hAnsi="標楷體" w:hint="eastAsia"/>
          <w:b w:val="0"/>
          <w:bCs/>
          <w:snapToGrid/>
          <w:spacing w:val="12"/>
          <w:kern w:val="0"/>
          <w:sz w:val="40"/>
        </w:rPr>
        <w:t>調查委員：</w:t>
      </w:r>
      <w:r w:rsidR="00697C03">
        <w:rPr>
          <w:rFonts w:hAnsi="標楷體" w:hint="eastAsia"/>
          <w:b w:val="0"/>
          <w:bCs/>
          <w:snapToGrid/>
          <w:spacing w:val="12"/>
          <w:kern w:val="0"/>
          <w:sz w:val="40"/>
        </w:rPr>
        <w:t>蔡培村</w:t>
      </w:r>
    </w:p>
    <w:p w:rsidR="00697C03" w:rsidRPr="007076C6" w:rsidRDefault="00697C03" w:rsidP="00697C03">
      <w:pPr>
        <w:pStyle w:val="aa"/>
        <w:kinsoku w:val="0"/>
        <w:spacing w:before="0" w:after="0"/>
        <w:ind w:leftChars="1751" w:left="5956"/>
        <w:jc w:val="both"/>
        <w:rPr>
          <w:rFonts w:hAnsi="標楷體" w:hint="eastAsia"/>
          <w:b w:val="0"/>
          <w:bCs/>
          <w:snapToGrid/>
          <w:spacing w:val="0"/>
          <w:kern w:val="0"/>
          <w:sz w:val="40"/>
        </w:rPr>
      </w:pPr>
      <w:r>
        <w:rPr>
          <w:rFonts w:hAnsi="標楷體" w:hint="eastAsia"/>
          <w:b w:val="0"/>
          <w:bCs/>
          <w:snapToGrid/>
          <w:spacing w:val="12"/>
          <w:kern w:val="0"/>
          <w:sz w:val="40"/>
        </w:rPr>
        <w:t>楊美鈴</w:t>
      </w:r>
    </w:p>
    <w:p w:rsidR="008B555C" w:rsidRPr="007076C6" w:rsidRDefault="008B555C">
      <w:pPr>
        <w:pStyle w:val="aa"/>
        <w:kinsoku w:val="0"/>
        <w:spacing w:before="0" w:after="0"/>
        <w:ind w:leftChars="1100" w:left="3742" w:firstLineChars="500" w:firstLine="2021"/>
        <w:jc w:val="both"/>
        <w:rPr>
          <w:rFonts w:hAnsi="標楷體"/>
          <w:b w:val="0"/>
          <w:bCs/>
          <w:snapToGrid/>
          <w:spacing w:val="12"/>
          <w:kern w:val="0"/>
        </w:rPr>
      </w:pPr>
      <w:bookmarkStart w:id="143" w:name="_GoBack"/>
      <w:bookmarkEnd w:id="143"/>
    </w:p>
    <w:p w:rsidR="008B555C" w:rsidRPr="007076C6" w:rsidRDefault="008B555C">
      <w:pPr>
        <w:pStyle w:val="aa"/>
        <w:kinsoku w:val="0"/>
        <w:spacing w:before="0" w:after="0"/>
        <w:ind w:leftChars="1100" w:left="3742" w:firstLineChars="500" w:firstLine="2021"/>
        <w:jc w:val="both"/>
        <w:rPr>
          <w:rFonts w:hAnsi="標楷體"/>
          <w:b w:val="0"/>
          <w:bCs/>
          <w:snapToGrid/>
          <w:spacing w:val="12"/>
          <w:kern w:val="0"/>
        </w:rPr>
      </w:pPr>
    </w:p>
    <w:p w:rsidR="008B555C" w:rsidRPr="007076C6" w:rsidRDefault="008B555C">
      <w:pPr>
        <w:pStyle w:val="aa"/>
        <w:kinsoku w:val="0"/>
        <w:spacing w:before="0" w:after="0"/>
        <w:ind w:leftChars="1100" w:left="3742" w:firstLineChars="500" w:firstLine="2021"/>
        <w:jc w:val="both"/>
        <w:rPr>
          <w:rFonts w:hAnsi="標楷體"/>
          <w:b w:val="0"/>
          <w:bCs/>
          <w:snapToGrid/>
          <w:spacing w:val="12"/>
          <w:kern w:val="0"/>
        </w:rPr>
      </w:pPr>
    </w:p>
    <w:sectPr w:rsidR="008B555C" w:rsidRPr="007076C6">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1D7" w:rsidRDefault="001A01D7">
      <w:r>
        <w:separator/>
      </w:r>
    </w:p>
  </w:endnote>
  <w:endnote w:type="continuationSeparator" w:id="0">
    <w:p w:rsidR="001A01D7" w:rsidRDefault="001A0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華康楷書體W5(P)">
    <w:altName w:val="微軟正黑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1DE" w:rsidRDefault="00BF41D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97C03">
      <w:rPr>
        <w:rStyle w:val="ac"/>
        <w:noProof/>
        <w:sz w:val="24"/>
      </w:rPr>
      <w:t>2</w:t>
    </w:r>
    <w:r>
      <w:rPr>
        <w:rStyle w:val="ac"/>
        <w:sz w:val="24"/>
      </w:rPr>
      <w:fldChar w:fldCharType="end"/>
    </w:r>
  </w:p>
  <w:p w:rsidR="00BF41DE" w:rsidRDefault="00BF41D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1D7" w:rsidRDefault="001A01D7">
      <w:r>
        <w:separator/>
      </w:r>
    </w:p>
  </w:footnote>
  <w:footnote w:type="continuationSeparator" w:id="0">
    <w:p w:rsidR="001A01D7" w:rsidRDefault="001A01D7">
      <w:r>
        <w:continuationSeparator/>
      </w:r>
    </w:p>
  </w:footnote>
  <w:footnote w:id="1">
    <w:p w:rsidR="00BF41DE" w:rsidRDefault="00BF41DE" w:rsidP="004B5156">
      <w:pPr>
        <w:pStyle w:val="afe"/>
        <w:ind w:left="141" w:hangingChars="64" w:hanging="141"/>
        <w:jc w:val="both"/>
      </w:pPr>
      <w:r>
        <w:rPr>
          <w:rStyle w:val="aff0"/>
        </w:rPr>
        <w:footnoteRef/>
      </w:r>
      <w:r>
        <w:rPr>
          <w:rFonts w:hint="eastAsia"/>
        </w:rPr>
        <w:t xml:space="preserve"> </w:t>
      </w:r>
      <w:r w:rsidRPr="00732338">
        <w:rPr>
          <w:rFonts w:ascii="標楷體" w:eastAsia="標楷體" w:hAnsi="標楷體" w:hint="eastAsia"/>
        </w:rPr>
        <w:t>十二年國民基本教育實施期程：100年1月至103年7月，為啟動準備階段；103年8月1日起至109年7月，為全面實施階段。</w:t>
      </w:r>
    </w:p>
  </w:footnote>
  <w:footnote w:id="2">
    <w:p w:rsidR="00BF41DE" w:rsidRPr="00D12A27" w:rsidRDefault="00BF41DE" w:rsidP="00406A77">
      <w:pPr>
        <w:pStyle w:val="afe"/>
        <w:wordWrap w:val="0"/>
        <w:rPr>
          <w:lang w:eastAsia="zh-TW"/>
        </w:rPr>
      </w:pPr>
      <w:r>
        <w:rPr>
          <w:rStyle w:val="aff0"/>
        </w:rPr>
        <w:footnoteRef/>
      </w:r>
      <w:r>
        <w:t xml:space="preserve"> </w:t>
      </w:r>
      <w:r w:rsidRPr="00991195">
        <w:rPr>
          <w:rFonts w:ascii="標楷體" w:eastAsia="標楷體" w:hAnsi="標楷體" w:hint="eastAsia"/>
          <w:lang w:eastAsia="zh-TW"/>
        </w:rPr>
        <w:t>教育部</w:t>
      </w:r>
      <w:r>
        <w:rPr>
          <w:rFonts w:ascii="標楷體" w:eastAsia="標楷體" w:hAnsi="標楷體" w:hint="eastAsia"/>
          <w:lang w:eastAsia="zh-TW"/>
        </w:rPr>
        <w:t>全球資訊網。109年4月，取自</w:t>
      </w:r>
      <w:r w:rsidRPr="00991195">
        <w:rPr>
          <w:lang w:eastAsia="zh-TW"/>
        </w:rPr>
        <w:t>https://www.edu.tw/cp.aspx?n=9BB844180349DC88&amp;s=355AB0C671430C67</w:t>
      </w:r>
    </w:p>
  </w:footnote>
  <w:footnote w:id="3">
    <w:p w:rsidR="00BF41DE" w:rsidRDefault="00BF41DE" w:rsidP="00406A77">
      <w:pPr>
        <w:pStyle w:val="afe"/>
        <w:jc w:val="both"/>
        <w:rPr>
          <w:lang w:eastAsia="zh-TW"/>
        </w:rPr>
      </w:pPr>
      <w:r w:rsidRPr="00180187">
        <w:rPr>
          <w:rStyle w:val="aff0"/>
          <w:rFonts w:ascii="標楷體" w:eastAsia="標楷體" w:hAnsi="標楷體"/>
        </w:rPr>
        <w:footnoteRef/>
      </w:r>
      <w:r w:rsidRPr="00180187">
        <w:rPr>
          <w:rFonts w:ascii="標楷體" w:eastAsia="標楷體" w:hAnsi="標楷體"/>
        </w:rPr>
        <w:t xml:space="preserve"> </w:t>
      </w:r>
      <w:r w:rsidRPr="00180187">
        <w:rPr>
          <w:rFonts w:ascii="標楷體" w:eastAsia="標楷體" w:hAnsi="標楷體" w:hint="eastAsia"/>
          <w:lang w:eastAsia="zh-TW"/>
        </w:rPr>
        <w:t>原文摘述</w:t>
      </w:r>
      <w:r>
        <w:rPr>
          <w:rFonts w:hint="eastAsia"/>
          <w:lang w:eastAsia="zh-TW"/>
        </w:rPr>
        <w:t>: (</w:t>
      </w:r>
      <w:r>
        <w:t>Article 13</w:t>
      </w:r>
      <w:r>
        <w:rPr>
          <w:rFonts w:hint="eastAsia"/>
          <w:lang w:eastAsia="zh-TW"/>
        </w:rPr>
        <w:t xml:space="preserve">) </w:t>
      </w:r>
      <w:r>
        <w:rPr>
          <w:rFonts w:hint="eastAsia"/>
        </w:rPr>
        <w:t>1.The States Parties to the present Covenant recognize the right of everyone toeducation.They agree that education shall be directed to the full development of thehuman personality and the sense of its dignity, and shall strengthen the respect forhuman r</w:t>
      </w:r>
      <w:r>
        <w:t xml:space="preserve">ights and fundamental freedoms.They further agree that education shallenable all persons to participate effectively in a free society, promote understanding,tolerance and friendship among all nations and all racial, ethnic or religious groups,and further the activities of the United Nations for the maintenance of peace. </w:t>
      </w:r>
      <w:r>
        <w:rPr>
          <w:rFonts w:hint="eastAsia"/>
        </w:rPr>
        <w:t xml:space="preserve">2.The States Parties to the present Covenant recognize that, with a view toachieving the full realization of this right: (a)Primary education shall be compulsory and available free to all; (b)Secondary education in its different forms, including technical and vocationalsecondary education, shall be made generally available and accessible to all byevery appropriate means, and in particular by the progressive introduction of freeeducation; </w:t>
      </w:r>
      <w:r>
        <w:rPr>
          <w:rFonts w:hint="eastAsia"/>
        </w:rPr>
        <w:t xml:space="preserve">　　</w:t>
      </w:r>
      <w:r>
        <w:rPr>
          <w:rFonts w:hint="eastAsia"/>
        </w:rPr>
        <w:t xml:space="preserve">(c)Higher education shall be made equally accessible to all, on the basis of capacity,by every appropriate means, and in particular by the progressive introduction offree education; </w:t>
      </w:r>
      <w:r>
        <w:rPr>
          <w:rFonts w:hint="eastAsia"/>
        </w:rPr>
        <w:t xml:space="preserve">　　</w:t>
      </w:r>
      <w:r>
        <w:rPr>
          <w:rFonts w:hint="eastAsia"/>
        </w:rPr>
        <w:t>(d)Fundamental education shall be encouraged or intensified as far as possible forthose persons who have not received or completed the whole period of their primaryeducation; (e)The development of a system of schools at all levels shall be actively pursued, anadequate fellowship system shall be established, and the material conditions ofteaching staff shall be continuously improved. 3.The States Parties to the present Covenant undertake to have respect for theliberty of parents and, when applicable, legal guardians, to choose for their childrenschools, other than those established by the public authorities, which conform tosuch mini</w:t>
      </w:r>
      <w:r>
        <w:t xml:space="preserve">mum educational standards as may be laid down or approved by the Stateand to ensure the religious and moral education of their children in conformity withtheir own convictions. </w:t>
      </w:r>
      <w:r>
        <w:rPr>
          <w:rFonts w:hint="eastAsia"/>
        </w:rPr>
        <w:t>4.No part of this article shall be construed so as to interfere with the liberty ofindividuals and bodies to establish and direct educational institutions, subjectalways to the observance of the principles set forth in paragraph 1 of this article andto t</w:t>
      </w:r>
      <w:r>
        <w:t>he requirement that the education given in such institutions shall conform tosuch minimum standards as may be laid down by the State.</w:t>
      </w:r>
    </w:p>
  </w:footnote>
  <w:footnote w:id="4">
    <w:p w:rsidR="00BF41DE" w:rsidRDefault="00BF41DE">
      <w:pPr>
        <w:pStyle w:val="afe"/>
        <w:rPr>
          <w:lang w:eastAsia="zh-TW"/>
        </w:rPr>
      </w:pPr>
      <w:r>
        <w:rPr>
          <w:rStyle w:val="aff0"/>
        </w:rPr>
        <w:footnoteRef/>
      </w:r>
      <w:r>
        <w:t xml:space="preserve"> </w:t>
      </w:r>
      <w:r w:rsidRPr="00C44AAD">
        <w:rPr>
          <w:rFonts w:ascii="標楷體" w:eastAsia="標楷體" w:hAnsi="標楷體" w:hint="eastAsia"/>
        </w:rPr>
        <w:t>本案國際性質、涉外事物及人口推估資料以公元紀年，餘均以民國紀年</w:t>
      </w:r>
      <w:r>
        <w:rPr>
          <w:rFonts w:ascii="標楷體" w:eastAsia="標楷體" w:hAnsi="標楷體" w:hint="eastAsia"/>
          <w:lang w:eastAsia="zh-TW"/>
        </w:rPr>
        <w:t>。</w:t>
      </w:r>
    </w:p>
  </w:footnote>
  <w:footnote w:id="5">
    <w:p w:rsidR="00BF41DE" w:rsidRPr="002963C3" w:rsidRDefault="00BF41DE" w:rsidP="002963C3">
      <w:pPr>
        <w:pStyle w:val="afe"/>
        <w:jc w:val="both"/>
        <w:rPr>
          <w:rFonts w:ascii="標楷體" w:eastAsia="標楷體" w:hAnsi="標楷體"/>
          <w:lang w:eastAsia="zh-TW"/>
        </w:rPr>
      </w:pPr>
      <w:r w:rsidRPr="002963C3">
        <w:rPr>
          <w:rStyle w:val="aff0"/>
          <w:rFonts w:ascii="標楷體" w:eastAsia="標楷體" w:hAnsi="標楷體"/>
        </w:rPr>
        <w:footnoteRef/>
      </w:r>
      <w:r w:rsidRPr="002963C3">
        <w:rPr>
          <w:rFonts w:ascii="標楷體" w:eastAsia="標楷體" w:hAnsi="標楷體"/>
        </w:rPr>
        <w:t xml:space="preserve"> </w:t>
      </w:r>
      <w:r w:rsidRPr="002963C3">
        <w:rPr>
          <w:rFonts w:ascii="標楷體" w:eastAsia="標楷體" w:hAnsi="標楷體" w:hint="eastAsia"/>
        </w:rPr>
        <w:t>國民小學及國民中學發現學生有未經請假或不明原因未到校上課達</w:t>
      </w:r>
      <w:r w:rsidRPr="002963C3">
        <w:rPr>
          <w:rFonts w:ascii="標楷體" w:eastAsia="標楷體" w:hAnsi="標楷體" w:hint="eastAsia"/>
          <w:lang w:eastAsia="zh-TW"/>
        </w:rPr>
        <w:t>3</w:t>
      </w:r>
      <w:r w:rsidRPr="002963C3">
        <w:rPr>
          <w:rFonts w:ascii="標楷體" w:eastAsia="標楷體" w:hAnsi="標楷體" w:hint="eastAsia"/>
        </w:rPr>
        <w:t>天以上，或轉學生未向轉入學校報到者，應通報主管教育行政機關，並輔導其復學；其通報及復學輔導辦法，由教育部定之。</w:t>
      </w:r>
    </w:p>
  </w:footnote>
  <w:footnote w:id="6">
    <w:p w:rsidR="00503808" w:rsidRPr="00A33289" w:rsidRDefault="00503808" w:rsidP="00503808">
      <w:pPr>
        <w:pStyle w:val="afe"/>
      </w:pPr>
      <w:r>
        <w:rPr>
          <w:rStyle w:val="aff0"/>
        </w:rPr>
        <w:footnoteRef/>
      </w:r>
      <w:r>
        <w:t xml:space="preserve"> </w:t>
      </w:r>
      <w:r w:rsidRPr="00DE4A27">
        <w:rPr>
          <w:rFonts w:ascii="標楷體" w:eastAsia="標楷體" w:hAnsi="標楷體" w:hint="eastAsia"/>
        </w:rPr>
        <w:t>高級中等以下學校之專責單位或專責人員遇有中途輟學、長期缺課、中途離校、身心障礙、特殊境遇、文化或經濟弱勢及其他明顯有輔導需求之學生，應主動提供輔導資源。</w:t>
      </w:r>
    </w:p>
  </w:footnote>
  <w:footnote w:id="7">
    <w:p w:rsidR="004D6EDF" w:rsidRPr="00EF4B1E" w:rsidRDefault="004D6EDF" w:rsidP="00EF4B1E">
      <w:pPr>
        <w:pStyle w:val="afe"/>
        <w:jc w:val="both"/>
        <w:rPr>
          <w:lang w:val="en-US" w:eastAsia="zh-TW"/>
        </w:rPr>
      </w:pPr>
      <w:r>
        <w:rPr>
          <w:rStyle w:val="aff0"/>
        </w:rPr>
        <w:footnoteRef/>
      </w:r>
      <w:r w:rsidRPr="00BF3069">
        <w:rPr>
          <w:rFonts w:ascii="標楷體" w:eastAsia="標楷體" w:hAnsi="標楷體"/>
        </w:rPr>
        <w:t xml:space="preserve"> </w:t>
      </w:r>
      <w:r w:rsidR="00BF3069" w:rsidRPr="00BF3069">
        <w:rPr>
          <w:rFonts w:ascii="標楷體" w:eastAsia="標楷體" w:hAnsi="標楷體" w:hint="eastAsia"/>
          <w:lang w:eastAsia="zh-TW"/>
        </w:rPr>
        <w:t>監察院</w:t>
      </w:r>
      <w:r w:rsidR="005D080E" w:rsidRPr="00BF3069">
        <w:rPr>
          <w:rFonts w:ascii="標楷體" w:eastAsia="標楷體" w:hAnsi="標楷體" w:hint="eastAsia"/>
        </w:rPr>
        <w:t>108教調0030</w:t>
      </w:r>
      <w:r w:rsidR="005D080E" w:rsidRPr="00BF3069">
        <w:rPr>
          <w:rFonts w:ascii="標楷體" w:eastAsia="標楷體" w:hAnsi="標楷體" w:hint="eastAsia"/>
          <w:lang w:eastAsia="zh-TW"/>
        </w:rPr>
        <w:t>。</w:t>
      </w:r>
      <w:r w:rsidR="00EF4B1E" w:rsidRPr="00BF3069">
        <w:rPr>
          <w:rFonts w:ascii="標楷體" w:eastAsia="標楷體" w:hAnsi="標楷體" w:hint="eastAsia"/>
          <w:lang w:eastAsia="zh-TW"/>
        </w:rPr>
        <w:t>蔡培村委員、楊美鈴委員調查：政府推動新南向政策，教育部編列預算推動教</w:t>
      </w:r>
      <w:r w:rsidR="00EF4B1E" w:rsidRPr="00EF4B1E">
        <w:rPr>
          <w:rFonts w:ascii="標楷體" w:eastAsia="標楷體" w:hAnsi="標楷體" w:hint="eastAsia"/>
          <w:lang w:eastAsia="zh-TW"/>
        </w:rPr>
        <w:t>育新南向，其中產學專班，是否符合「以人為本、雙向交流、資源共享」核心目標？又產學專班傳出收取學費異常、扣留護照居留證、薪資僅達最低標準等爭議，其招生及學習機制是否周妥？高職、大學是否透過仲介招募，學生變相成為廉價移工之嫌；教育部審查及監督機制有無疏漏？該部補助計畫配套措施是否周妥？目前績效為何？</w:t>
      </w:r>
    </w:p>
  </w:footnote>
  <w:footnote w:id="8">
    <w:p w:rsidR="00816D23" w:rsidRDefault="00816D23" w:rsidP="00816D23">
      <w:pPr>
        <w:pStyle w:val="afe"/>
        <w:wordWrap w:val="0"/>
        <w:rPr>
          <w:lang w:eastAsia="zh-TW"/>
        </w:rPr>
      </w:pPr>
      <w:r>
        <w:rPr>
          <w:rStyle w:val="aff0"/>
        </w:rPr>
        <w:footnoteRef/>
      </w:r>
      <w:r>
        <w:t xml:space="preserve"> </w:t>
      </w:r>
      <w:r w:rsidRPr="00B53903">
        <w:rPr>
          <w:rFonts w:ascii="標楷體" w:eastAsia="標楷體" w:hAnsi="標楷體" w:hint="eastAsia"/>
          <w:lang w:eastAsia="zh-TW"/>
        </w:rPr>
        <w:t>衛生福利部(民108)。</w:t>
      </w:r>
      <w:r w:rsidRPr="00B53903">
        <w:rPr>
          <w:rFonts w:ascii="標楷體" w:eastAsia="標楷體" w:hAnsi="標楷體" w:hint="eastAsia"/>
          <w:b/>
        </w:rPr>
        <w:t>兒童及少年生活狀況調查報告</w:t>
      </w:r>
      <w:r w:rsidRPr="00B53903">
        <w:rPr>
          <w:rFonts w:ascii="標楷體" w:eastAsia="標楷體" w:hAnsi="標楷體" w:hint="eastAsia"/>
          <w:lang w:eastAsia="zh-TW"/>
        </w:rPr>
        <w:t>。</w:t>
      </w:r>
      <w:r>
        <w:rPr>
          <w:rFonts w:ascii="標楷體" w:eastAsia="標楷體" w:hAnsi="標楷體" w:hint="eastAsia"/>
          <w:lang w:eastAsia="zh-TW"/>
        </w:rPr>
        <w:t>109年取自，</w:t>
      </w:r>
      <w:r w:rsidRPr="00EA0ABE">
        <w:rPr>
          <w:rFonts w:ascii="標楷體" w:eastAsia="標楷體" w:hAnsi="標楷體"/>
          <w:lang w:eastAsia="zh-TW"/>
        </w:rPr>
        <w:t>https://dep.mohw.gov.tw/DOS/cp-1771-43369-113.html</w:t>
      </w:r>
    </w:p>
  </w:footnote>
  <w:footnote w:id="9">
    <w:p w:rsidR="00BF41DE" w:rsidRDefault="00BF41DE" w:rsidP="00406A77">
      <w:pPr>
        <w:pStyle w:val="afe"/>
        <w:wordWrap w:val="0"/>
        <w:rPr>
          <w:lang w:eastAsia="zh-TW"/>
        </w:rPr>
      </w:pPr>
      <w:r>
        <w:rPr>
          <w:rStyle w:val="aff0"/>
        </w:rPr>
        <w:footnoteRef/>
      </w:r>
      <w:r>
        <w:t xml:space="preserve"> </w:t>
      </w:r>
      <w:r w:rsidRPr="003F5A6C">
        <w:rPr>
          <w:rFonts w:ascii="標楷體" w:eastAsia="標楷體" w:hAnsi="標楷體" w:hint="eastAsia"/>
          <w:lang w:eastAsia="zh-TW"/>
        </w:rPr>
        <w:t>教育部(民102)。</w:t>
      </w:r>
      <w:r w:rsidRPr="003F5A6C">
        <w:rPr>
          <w:rFonts w:ascii="標楷體" w:eastAsia="標楷體" w:hAnsi="標楷體" w:hint="eastAsia"/>
          <w:b/>
          <w:lang w:eastAsia="zh-TW"/>
        </w:rPr>
        <w:t>轉型與突破</w:t>
      </w:r>
      <w:r>
        <w:rPr>
          <w:rFonts w:ascii="標楷體" w:eastAsia="標楷體" w:hAnsi="標楷體" w:hint="eastAsia"/>
          <w:b/>
          <w:lang w:eastAsia="zh-TW"/>
        </w:rPr>
        <w:t>，</w:t>
      </w:r>
      <w:r w:rsidRPr="003F5A6C">
        <w:rPr>
          <w:rFonts w:ascii="標楷體" w:eastAsia="標楷體" w:hAnsi="標楷體" w:hint="eastAsia"/>
          <w:b/>
          <w:lang w:eastAsia="zh-TW"/>
        </w:rPr>
        <w:t>教育部人才培育白皮書。</w:t>
      </w:r>
      <w:r w:rsidRPr="003F5A6C">
        <w:rPr>
          <w:rFonts w:ascii="標楷體" w:eastAsia="標楷體" w:hAnsi="標楷體" w:hint="eastAsia"/>
          <w:lang w:eastAsia="zh-TW"/>
        </w:rPr>
        <w:t>109年4月，取自</w:t>
      </w:r>
      <w:r w:rsidRPr="005C4CFF">
        <w:rPr>
          <w:rFonts w:ascii="標楷體" w:eastAsia="標楷體" w:hAnsi="標楷體" w:hint="eastAsia"/>
          <w:lang w:eastAsia="zh-TW"/>
        </w:rPr>
        <w:t>https://ws.moe.edu.tw/001/Upload/3/RelFile/6315/6919/教育部人才培育白皮書.pdf</w:t>
      </w:r>
    </w:p>
  </w:footnote>
  <w:footnote w:id="10">
    <w:p w:rsidR="00BF41DE" w:rsidRPr="00694DD4" w:rsidRDefault="00BF41DE" w:rsidP="00406A77">
      <w:pPr>
        <w:pStyle w:val="afe"/>
        <w:wordWrap w:val="0"/>
        <w:rPr>
          <w:lang w:eastAsia="zh-TW"/>
        </w:rPr>
      </w:pPr>
      <w:r>
        <w:rPr>
          <w:rStyle w:val="aff0"/>
        </w:rPr>
        <w:footnoteRef/>
      </w:r>
      <w:r>
        <w:t xml:space="preserve"> </w:t>
      </w:r>
      <w:r w:rsidRPr="00D96113">
        <w:rPr>
          <w:rFonts w:ascii="標楷體" w:eastAsia="標楷體" w:hAnsi="標楷體" w:hint="eastAsia"/>
          <w:lang w:eastAsia="zh-TW"/>
        </w:rPr>
        <w:t>教育部(108)。</w:t>
      </w:r>
      <w:r w:rsidRPr="003431C3">
        <w:rPr>
          <w:rFonts w:ascii="標楷體" w:eastAsia="標楷體" w:hAnsi="標楷體" w:hint="eastAsia"/>
          <w:b/>
        </w:rPr>
        <w:t>教育統計指標之國際比較</w:t>
      </w:r>
      <w:r w:rsidRPr="00D96113">
        <w:rPr>
          <w:rFonts w:ascii="標楷體" w:eastAsia="標楷體" w:hAnsi="標楷體" w:hint="eastAsia"/>
        </w:rPr>
        <w:t xml:space="preserve"> (2019年版)</w:t>
      </w:r>
      <w:r w:rsidRPr="00D96113">
        <w:rPr>
          <w:rFonts w:ascii="標楷體" w:eastAsia="標楷體" w:hAnsi="標楷體" w:hint="eastAsia"/>
          <w:lang w:eastAsia="zh-TW"/>
        </w:rPr>
        <w:t>。109年</w:t>
      </w:r>
      <w:r>
        <w:rPr>
          <w:rFonts w:ascii="標楷體" w:eastAsia="標楷體" w:hAnsi="標楷體" w:hint="eastAsia"/>
          <w:lang w:eastAsia="zh-TW"/>
        </w:rPr>
        <w:t>4月，取自</w:t>
      </w:r>
      <w:r w:rsidRPr="00225CE7">
        <w:rPr>
          <w:rFonts w:ascii="標楷體" w:eastAsia="標楷體" w:hAnsi="標楷體"/>
          <w:lang w:eastAsia="zh-TW"/>
        </w:rPr>
        <w:t>http://stats.moe.gov.tw/files/ebook/International_Comparison/2019/i2019_EXCEL.htm</w:t>
      </w:r>
    </w:p>
  </w:footnote>
  <w:footnote w:id="11">
    <w:p w:rsidR="00BF41DE" w:rsidRDefault="00BF41DE" w:rsidP="00406A77">
      <w:pPr>
        <w:pStyle w:val="afe"/>
        <w:rPr>
          <w:lang w:eastAsia="zh-TW"/>
        </w:rPr>
      </w:pPr>
      <w:r>
        <w:rPr>
          <w:rStyle w:val="aff0"/>
        </w:rPr>
        <w:footnoteRef/>
      </w:r>
      <w:r>
        <w:t xml:space="preserve"> </w:t>
      </w:r>
      <w:r w:rsidRPr="00F700FD">
        <w:rPr>
          <w:rFonts w:ascii="標楷體" w:eastAsia="標楷體" w:hAnsi="標楷體" w:hint="eastAsia"/>
          <w:lang w:eastAsia="zh-TW"/>
        </w:rPr>
        <w:t>高級中等學校學生淨在學率=高級中等學校 (含特教學校之高中職部) 相當學齡學生人數 / 15至17歲人口數×100％。（人</w:t>
      </w:r>
      <w:r w:rsidRPr="009953F9">
        <w:rPr>
          <w:rFonts w:ascii="標楷體" w:eastAsia="標楷體" w:hAnsi="標楷體" w:hint="eastAsia"/>
          <w:lang w:eastAsia="zh-TW"/>
        </w:rPr>
        <w:t>口數資料採每年8月底人口數計算）</w:t>
      </w:r>
    </w:p>
  </w:footnote>
  <w:footnote w:id="12">
    <w:p w:rsidR="00BF41DE" w:rsidRPr="00304D61" w:rsidRDefault="00BF41DE" w:rsidP="00406A77">
      <w:pPr>
        <w:pStyle w:val="afe"/>
        <w:jc w:val="both"/>
        <w:rPr>
          <w:lang w:eastAsia="zh-TW"/>
        </w:rPr>
      </w:pPr>
      <w:r>
        <w:rPr>
          <w:rStyle w:val="aff0"/>
        </w:rPr>
        <w:footnoteRef/>
      </w:r>
      <w:r>
        <w:t xml:space="preserve"> </w:t>
      </w:r>
      <w:r w:rsidRPr="00304D61">
        <w:rPr>
          <w:rFonts w:ascii="標楷體" w:eastAsia="標楷體" w:hAnsi="標楷體" w:hint="eastAsia"/>
        </w:rPr>
        <w:t>資料來源：http://stats.moe.gov.tw/files/brief/我國與主要國家人類發展指數(HDI)－教育領域指標之比較.pdf</w:t>
      </w:r>
    </w:p>
  </w:footnote>
  <w:footnote w:id="13">
    <w:p w:rsidR="00BF41DE" w:rsidRPr="00BA504E" w:rsidRDefault="00BF41DE" w:rsidP="00406A77">
      <w:pPr>
        <w:pStyle w:val="afe"/>
        <w:jc w:val="both"/>
        <w:rPr>
          <w:rFonts w:ascii="標楷體" w:eastAsia="標楷體" w:hAnsi="標楷體"/>
          <w:lang w:eastAsia="zh-TW"/>
        </w:rPr>
      </w:pPr>
      <w:r w:rsidRPr="00BA504E">
        <w:rPr>
          <w:rStyle w:val="aff0"/>
          <w:rFonts w:ascii="標楷體" w:eastAsia="標楷體" w:hAnsi="標楷體"/>
        </w:rPr>
        <w:footnoteRef/>
      </w:r>
      <w:r w:rsidRPr="00BA504E">
        <w:rPr>
          <w:rFonts w:ascii="標楷體" w:eastAsia="標楷體" w:hAnsi="標楷體"/>
        </w:rPr>
        <w:t xml:space="preserve"> </w:t>
      </w:r>
      <w:r w:rsidRPr="00BA504E">
        <w:rPr>
          <w:rFonts w:ascii="標楷體" w:eastAsia="標楷體" w:hAnsi="標楷體" w:hint="eastAsia"/>
        </w:rPr>
        <w:t>平均就學年數：依照聯合國教科文組織（</w:t>
      </w:r>
      <w:r w:rsidRPr="00BA504E">
        <w:rPr>
          <w:rFonts w:ascii="標楷體" w:eastAsia="標楷體" w:hAnsi="標楷體"/>
        </w:rPr>
        <w:t>UNESCO</w:t>
      </w:r>
      <w:r w:rsidRPr="00BA504E">
        <w:rPr>
          <w:rFonts w:ascii="標楷體" w:eastAsia="標楷體" w:hAnsi="標楷體" w:hint="eastAsia"/>
        </w:rPr>
        <w:t>）定義，係指「</w:t>
      </w:r>
      <w:r w:rsidRPr="00BA504E">
        <w:rPr>
          <w:rFonts w:ascii="標楷體" w:eastAsia="標楷體" w:hAnsi="標楷體"/>
        </w:rPr>
        <w:t xml:space="preserve">25 </w:t>
      </w:r>
      <w:r w:rsidRPr="00BA504E">
        <w:rPr>
          <w:rFonts w:ascii="標楷體" w:eastAsia="標楷體" w:hAnsi="標楷體" w:hint="eastAsia"/>
        </w:rPr>
        <w:t>歲以上成人實際受教育之平均年數」，強調成人人口目前受教育之實際現況，</w:t>
      </w:r>
      <w:r w:rsidRPr="00BA504E">
        <w:rPr>
          <w:rFonts w:ascii="標楷體" w:eastAsia="標楷體" w:hAnsi="標楷體"/>
        </w:rPr>
        <w:t>MYS = Σ</w:t>
      </w:r>
      <w:r w:rsidRPr="00BA504E">
        <w:rPr>
          <w:rFonts w:ascii="標楷體" w:eastAsia="標楷體" w:hAnsi="標楷體" w:hint="eastAsia"/>
        </w:rPr>
        <w:t>完成第</w:t>
      </w:r>
      <w:r w:rsidRPr="00BA504E">
        <w:rPr>
          <w:rFonts w:ascii="標楷體" w:eastAsia="標楷體" w:hAnsi="標楷體"/>
        </w:rPr>
        <w:t xml:space="preserve">i </w:t>
      </w:r>
      <w:r w:rsidRPr="00BA504E">
        <w:rPr>
          <w:rFonts w:ascii="標楷體" w:eastAsia="標楷體" w:hAnsi="標楷體" w:hint="eastAsia"/>
        </w:rPr>
        <w:t>教育等級之人口比率</w:t>
      </w:r>
      <w:r w:rsidRPr="00BA504E">
        <w:rPr>
          <w:rFonts w:ascii="標楷體" w:eastAsia="標楷體" w:hAnsi="標楷體"/>
        </w:rPr>
        <w:t xml:space="preserve"> </w:t>
      </w:r>
      <w:r w:rsidRPr="00BA504E">
        <w:rPr>
          <w:rFonts w:ascii="Segoe UI Symbol" w:eastAsia="標楷體" w:hAnsi="Segoe UI Symbol" w:cs="Segoe UI Symbol"/>
        </w:rPr>
        <w:t>☓</w:t>
      </w:r>
      <w:r w:rsidRPr="00BA504E">
        <w:rPr>
          <w:rFonts w:ascii="標楷體" w:eastAsia="標楷體" w:hAnsi="標楷體"/>
        </w:rPr>
        <w:t xml:space="preserve"> </w:t>
      </w:r>
      <w:r w:rsidRPr="00BA504E">
        <w:rPr>
          <w:rFonts w:ascii="標楷體" w:eastAsia="標楷體" w:hAnsi="標楷體" w:hint="eastAsia"/>
        </w:rPr>
        <w:t>第</w:t>
      </w:r>
      <w:r w:rsidRPr="00BA504E">
        <w:rPr>
          <w:rFonts w:ascii="標楷體" w:eastAsia="標楷體" w:hAnsi="標楷體"/>
        </w:rPr>
        <w:t xml:space="preserve">i </w:t>
      </w:r>
      <w:r w:rsidRPr="00BA504E">
        <w:rPr>
          <w:rFonts w:ascii="標楷體" w:eastAsia="標楷體" w:hAnsi="標楷體" w:hint="eastAsia"/>
        </w:rPr>
        <w:t>教育等級教育年數。</w:t>
      </w:r>
    </w:p>
  </w:footnote>
  <w:footnote w:id="14">
    <w:p w:rsidR="00BF41DE" w:rsidRDefault="00BF41DE" w:rsidP="00406A77">
      <w:pPr>
        <w:pStyle w:val="afe"/>
        <w:jc w:val="both"/>
        <w:rPr>
          <w:lang w:eastAsia="zh-TW"/>
        </w:rPr>
      </w:pPr>
      <w:r w:rsidRPr="00BA504E">
        <w:rPr>
          <w:rStyle w:val="aff0"/>
          <w:rFonts w:ascii="標楷體" w:eastAsia="標楷體" w:hAnsi="標楷體"/>
        </w:rPr>
        <w:footnoteRef/>
      </w:r>
      <w:r w:rsidR="008A1372">
        <w:rPr>
          <w:rFonts w:ascii="標楷體" w:eastAsia="標楷體" w:hAnsi="標楷體" w:hint="eastAsia"/>
          <w:lang w:eastAsia="zh-TW"/>
        </w:rPr>
        <w:t xml:space="preserve"> </w:t>
      </w:r>
      <w:r w:rsidRPr="00BA504E">
        <w:rPr>
          <w:rFonts w:ascii="標楷體" w:eastAsia="標楷體" w:hAnsi="標楷體" w:hint="eastAsia"/>
        </w:rPr>
        <w:t>預期受教育年數：按經濟合作發展組織（</w:t>
      </w:r>
      <w:r w:rsidRPr="00BA504E">
        <w:rPr>
          <w:rFonts w:ascii="標楷體" w:eastAsia="標楷體" w:hAnsi="標楷體"/>
        </w:rPr>
        <w:t>OECD</w:t>
      </w:r>
      <w:r w:rsidRPr="00BA504E">
        <w:rPr>
          <w:rFonts w:ascii="標楷體" w:eastAsia="標楷體" w:hAnsi="標楷體" w:hint="eastAsia"/>
        </w:rPr>
        <w:t>）定義，係指「滿</w:t>
      </w:r>
      <w:r w:rsidRPr="00BA504E">
        <w:rPr>
          <w:rFonts w:ascii="標楷體" w:eastAsia="標楷體" w:hAnsi="標楷體"/>
        </w:rPr>
        <w:t xml:space="preserve">5 </w:t>
      </w:r>
      <w:r w:rsidRPr="00BA504E">
        <w:rPr>
          <w:rFonts w:ascii="標楷體" w:eastAsia="標楷體" w:hAnsi="標楷體" w:hint="eastAsia"/>
        </w:rPr>
        <w:t>歲兒童迄</w:t>
      </w:r>
      <w:r w:rsidRPr="00BA504E">
        <w:rPr>
          <w:rFonts w:ascii="標楷體" w:eastAsia="標楷體" w:hAnsi="標楷體"/>
        </w:rPr>
        <w:t xml:space="preserve">39 </w:t>
      </w:r>
      <w:r w:rsidRPr="00BA504E">
        <w:rPr>
          <w:rFonts w:ascii="標楷體" w:eastAsia="標楷體" w:hAnsi="標楷體" w:hint="eastAsia"/>
        </w:rPr>
        <w:t>歲期間預期接受學校教育的年數」，呈現未來預期受教育狀態，</w:t>
      </w:r>
      <w:r w:rsidRPr="00BA504E">
        <w:rPr>
          <w:rFonts w:ascii="標楷體" w:eastAsia="標楷體" w:hAnsi="標楷體"/>
        </w:rPr>
        <w:t xml:space="preserve">EYS = 5 </w:t>
      </w:r>
      <w:r w:rsidRPr="00BA504E">
        <w:rPr>
          <w:rFonts w:ascii="標楷體" w:eastAsia="標楷體" w:hAnsi="標楷體" w:hint="eastAsia"/>
        </w:rPr>
        <w:t>至</w:t>
      </w:r>
      <w:r w:rsidRPr="00BA504E">
        <w:rPr>
          <w:rFonts w:ascii="標楷體" w:eastAsia="標楷體" w:hAnsi="標楷體"/>
        </w:rPr>
        <w:t xml:space="preserve">29 </w:t>
      </w:r>
      <w:r w:rsidRPr="00BA504E">
        <w:rPr>
          <w:rFonts w:ascii="標楷體" w:eastAsia="標楷體" w:hAnsi="標楷體" w:hint="eastAsia"/>
        </w:rPr>
        <w:t>歲各單齡淨在學率</w:t>
      </w:r>
      <w:r w:rsidRPr="00BA504E">
        <w:rPr>
          <w:rFonts w:ascii="標楷體" w:eastAsia="標楷體" w:hAnsi="標楷體"/>
        </w:rPr>
        <w:t xml:space="preserve"> + (30 </w:t>
      </w:r>
      <w:r w:rsidRPr="00BA504E">
        <w:rPr>
          <w:rFonts w:ascii="標楷體" w:eastAsia="標楷體" w:hAnsi="標楷體" w:hint="eastAsia"/>
        </w:rPr>
        <w:t>至</w:t>
      </w:r>
      <w:r w:rsidRPr="00BA504E">
        <w:rPr>
          <w:rFonts w:ascii="標楷體" w:eastAsia="標楷體" w:hAnsi="標楷體"/>
        </w:rPr>
        <w:t xml:space="preserve">34 </w:t>
      </w:r>
      <w:r w:rsidRPr="00BA504E">
        <w:rPr>
          <w:rFonts w:ascii="標楷體" w:eastAsia="標楷體" w:hAnsi="標楷體" w:hint="eastAsia"/>
        </w:rPr>
        <w:t>歲在學學生數</w:t>
      </w:r>
      <w:r w:rsidRPr="00BA504E">
        <w:rPr>
          <w:rFonts w:ascii="標楷體" w:eastAsia="標楷體" w:hAnsi="標楷體"/>
        </w:rPr>
        <w:t xml:space="preserve"> / 30 </w:t>
      </w:r>
      <w:r w:rsidRPr="00BA504E">
        <w:rPr>
          <w:rFonts w:ascii="標楷體" w:eastAsia="標楷體" w:hAnsi="標楷體" w:hint="eastAsia"/>
        </w:rPr>
        <w:t>至</w:t>
      </w:r>
      <w:r w:rsidRPr="00BA504E">
        <w:rPr>
          <w:rFonts w:ascii="標楷體" w:eastAsia="標楷體" w:hAnsi="標楷體"/>
        </w:rPr>
        <w:t xml:space="preserve">34 </w:t>
      </w:r>
      <w:r w:rsidRPr="00BA504E">
        <w:rPr>
          <w:rFonts w:ascii="標楷體" w:eastAsia="標楷體" w:hAnsi="標楷體" w:hint="eastAsia"/>
        </w:rPr>
        <w:t>歲人口數</w:t>
      </w:r>
      <w:r w:rsidRPr="00BA504E">
        <w:rPr>
          <w:rFonts w:ascii="標楷體" w:eastAsia="標楷體" w:hAnsi="標楷體"/>
        </w:rPr>
        <w:t xml:space="preserve">)*5 + (35 </w:t>
      </w:r>
      <w:r w:rsidRPr="00BA504E">
        <w:rPr>
          <w:rFonts w:ascii="標楷體" w:eastAsia="標楷體" w:hAnsi="標楷體" w:hint="eastAsia"/>
        </w:rPr>
        <w:t>至</w:t>
      </w:r>
      <w:r w:rsidRPr="00BA504E">
        <w:rPr>
          <w:rFonts w:ascii="標楷體" w:eastAsia="標楷體" w:hAnsi="標楷體"/>
        </w:rPr>
        <w:t xml:space="preserve">39 </w:t>
      </w:r>
      <w:r w:rsidRPr="00BA504E">
        <w:rPr>
          <w:rFonts w:ascii="標楷體" w:eastAsia="標楷體" w:hAnsi="標楷體" w:hint="eastAsia"/>
        </w:rPr>
        <w:t>歲在學學生數</w:t>
      </w:r>
      <w:r w:rsidRPr="00BA504E">
        <w:rPr>
          <w:rFonts w:ascii="標楷體" w:eastAsia="標楷體" w:hAnsi="標楷體"/>
        </w:rPr>
        <w:t xml:space="preserve"> / 35 </w:t>
      </w:r>
      <w:r w:rsidRPr="00BA504E">
        <w:rPr>
          <w:rFonts w:ascii="標楷體" w:eastAsia="標楷體" w:hAnsi="標楷體" w:hint="eastAsia"/>
        </w:rPr>
        <w:t>至</w:t>
      </w:r>
      <w:r w:rsidRPr="00BA504E">
        <w:rPr>
          <w:rFonts w:ascii="標楷體" w:eastAsia="標楷體" w:hAnsi="標楷體"/>
        </w:rPr>
        <w:t xml:space="preserve">39 </w:t>
      </w:r>
      <w:r w:rsidRPr="00BA504E">
        <w:rPr>
          <w:rFonts w:ascii="標楷體" w:eastAsia="標楷體" w:hAnsi="標楷體" w:hint="eastAsia"/>
        </w:rPr>
        <w:t>歲人口數</w:t>
      </w:r>
      <w:r w:rsidRPr="00BA504E">
        <w:rPr>
          <w:rFonts w:ascii="標楷體" w:eastAsia="標楷體" w:hAnsi="標楷體"/>
        </w:rPr>
        <w:t>)*5</w:t>
      </w:r>
      <w:r w:rsidRPr="00BA504E">
        <w:rPr>
          <w:rFonts w:ascii="標楷體" w:eastAsia="標楷體" w:hAnsi="標楷體" w:hint="eastAsia"/>
        </w:rPr>
        <w:t>。</w:t>
      </w:r>
    </w:p>
  </w:footnote>
  <w:footnote w:id="15">
    <w:p w:rsidR="00BF41DE" w:rsidRDefault="00BF41DE">
      <w:pPr>
        <w:pStyle w:val="afe"/>
        <w:rPr>
          <w:lang w:eastAsia="zh-TW"/>
        </w:rPr>
      </w:pPr>
      <w:r>
        <w:rPr>
          <w:rStyle w:val="aff0"/>
        </w:rPr>
        <w:footnoteRef/>
      </w:r>
      <w:r>
        <w:t xml:space="preserve"> </w:t>
      </w:r>
      <w:r w:rsidRPr="00A75E31">
        <w:rPr>
          <w:rFonts w:ascii="標楷體" w:eastAsia="標楷體" w:hAnsi="標楷體" w:hint="eastAsia"/>
        </w:rPr>
        <w:t>李雪莉</w:t>
      </w:r>
      <w:r>
        <w:rPr>
          <w:rFonts w:ascii="標楷體" w:eastAsia="標楷體" w:hAnsi="標楷體" w:hint="eastAsia"/>
        </w:rPr>
        <w:t>、</w:t>
      </w:r>
      <w:r w:rsidRPr="00A75E31">
        <w:rPr>
          <w:rFonts w:ascii="標楷體" w:eastAsia="標楷體" w:hAnsi="標楷體" w:hint="eastAsia"/>
        </w:rPr>
        <w:t>簡永達</w:t>
      </w:r>
      <w:r w:rsidRPr="00A75E31">
        <w:rPr>
          <w:rFonts w:ascii="標楷體" w:eastAsia="標楷體" w:hAnsi="標楷體" w:hint="eastAsia"/>
          <w:lang w:eastAsia="zh-TW"/>
        </w:rPr>
        <w:t>(民10</w:t>
      </w:r>
      <w:r>
        <w:rPr>
          <w:rFonts w:ascii="標楷體" w:eastAsia="標楷體" w:hAnsi="標楷體" w:hint="eastAsia"/>
          <w:lang w:eastAsia="zh-TW"/>
        </w:rPr>
        <w:t>6</w:t>
      </w:r>
      <w:r w:rsidRPr="00A75E31">
        <w:rPr>
          <w:rFonts w:ascii="標楷體" w:eastAsia="標楷體" w:hAnsi="標楷體" w:hint="eastAsia"/>
          <w:lang w:eastAsia="zh-TW"/>
        </w:rPr>
        <w:t>)。</w:t>
      </w:r>
      <w:r>
        <w:rPr>
          <w:rFonts w:ascii="標楷體" w:eastAsia="標楷體" w:hAnsi="標楷體" w:hint="eastAsia"/>
          <w:lang w:eastAsia="zh-TW"/>
        </w:rPr>
        <w:t>106年11月1日。</w:t>
      </w:r>
      <w:r w:rsidRPr="00A75E31">
        <w:rPr>
          <w:rFonts w:ascii="標楷體" w:eastAsia="標楷體" w:hAnsi="標楷體" w:hint="eastAsia"/>
          <w:b/>
        </w:rPr>
        <w:t>廢墟裡的少年</w:t>
      </w:r>
      <w:r>
        <w:rPr>
          <w:rFonts w:ascii="標楷體" w:eastAsia="標楷體" w:hAnsi="標楷體" w:hint="eastAsia"/>
          <w:b/>
          <w:lang w:eastAsia="zh-TW"/>
        </w:rPr>
        <w:t>-</w:t>
      </w:r>
      <w:r w:rsidRPr="00A75E31">
        <w:rPr>
          <w:rFonts w:ascii="標楷體" w:eastAsia="標楷體" w:hAnsi="標楷體" w:hint="eastAsia"/>
          <w:b/>
          <w:lang w:eastAsia="zh-TW"/>
        </w:rPr>
        <w:t>兩萬名被遺忘的高風險家庭孩子們</w:t>
      </w:r>
      <w:r w:rsidRPr="00A75E31">
        <w:rPr>
          <w:rFonts w:ascii="標楷體" w:eastAsia="標楷體" w:hAnsi="標楷體" w:hint="eastAsia"/>
          <w:lang w:eastAsia="zh-TW"/>
        </w:rPr>
        <w:t>。</w:t>
      </w:r>
      <w:r>
        <w:rPr>
          <w:rFonts w:ascii="標楷體" w:eastAsia="標楷體" w:hAnsi="標楷體" w:hint="eastAsia"/>
          <w:lang w:eastAsia="zh-TW"/>
        </w:rPr>
        <w:t>109年5月</w:t>
      </w:r>
    </w:p>
  </w:footnote>
  <w:footnote w:id="16">
    <w:p w:rsidR="00BF41DE" w:rsidRDefault="00BF41DE" w:rsidP="00406A77">
      <w:pPr>
        <w:pStyle w:val="afe"/>
        <w:wordWrap w:val="0"/>
        <w:rPr>
          <w:lang w:eastAsia="zh-TW"/>
        </w:rPr>
      </w:pPr>
      <w:r>
        <w:rPr>
          <w:rStyle w:val="aff0"/>
        </w:rPr>
        <w:footnoteRef/>
      </w:r>
      <w:r w:rsidRPr="001C6217">
        <w:rPr>
          <w:rFonts w:ascii="標楷體" w:eastAsia="標楷體" w:hAnsi="標楷體"/>
        </w:rPr>
        <w:t xml:space="preserve"> </w:t>
      </w:r>
      <w:r w:rsidRPr="00F918EE">
        <w:rPr>
          <w:rFonts w:ascii="標楷體" w:eastAsia="標楷體" w:hAnsi="標楷體" w:hint="eastAsia"/>
          <w:b/>
        </w:rPr>
        <w:t>高級中等學校綜覽</w:t>
      </w:r>
      <w:r>
        <w:rPr>
          <w:rFonts w:ascii="標楷體" w:eastAsia="標楷體" w:hAnsi="標楷體" w:hint="eastAsia"/>
          <w:lang w:eastAsia="zh-TW"/>
        </w:rPr>
        <w:t>。</w:t>
      </w:r>
      <w:r w:rsidRPr="00876EA7">
        <w:rPr>
          <w:rFonts w:ascii="標楷體" w:eastAsia="標楷體" w:hAnsi="標楷體" w:hint="eastAsia"/>
          <w:lang w:eastAsia="zh-TW"/>
        </w:rPr>
        <w:t>資料來源:</w:t>
      </w:r>
      <w:r>
        <w:rPr>
          <w:rFonts w:ascii="標楷體" w:eastAsia="標楷體" w:hAnsi="標楷體" w:hint="eastAsia"/>
          <w:lang w:eastAsia="zh-TW"/>
        </w:rPr>
        <w:t>教育部教育統計查詢窗口。</w:t>
      </w:r>
      <w:r w:rsidRPr="001C6217">
        <w:rPr>
          <w:rFonts w:ascii="標楷體" w:eastAsia="標楷體" w:hAnsi="標楷體"/>
        </w:rPr>
        <w:t>109</w:t>
      </w:r>
      <w:r w:rsidRPr="001C6217">
        <w:rPr>
          <w:rFonts w:ascii="標楷體" w:eastAsia="標楷體" w:hAnsi="標楷體" w:hint="eastAsia"/>
          <w:lang w:eastAsia="zh-TW"/>
        </w:rPr>
        <w:t>年4月，取自</w:t>
      </w:r>
      <w:r w:rsidRPr="00891360">
        <w:rPr>
          <w:lang w:eastAsia="zh-TW"/>
        </w:rPr>
        <w:t>http://stats.moe.gov.tw/statedu/chart.aspx?pvalue=21</w:t>
      </w:r>
    </w:p>
  </w:footnote>
  <w:footnote w:id="17">
    <w:p w:rsidR="00BF41DE" w:rsidRDefault="00BF41DE" w:rsidP="00406A77">
      <w:pPr>
        <w:pStyle w:val="afe"/>
        <w:jc w:val="both"/>
        <w:rPr>
          <w:lang w:eastAsia="zh-TW"/>
        </w:rPr>
      </w:pPr>
      <w:r>
        <w:rPr>
          <w:rStyle w:val="aff0"/>
        </w:rPr>
        <w:footnoteRef/>
      </w:r>
      <w:r>
        <w:t xml:space="preserve"> </w:t>
      </w:r>
      <w:r w:rsidRPr="00AC4ABC">
        <w:rPr>
          <w:rFonts w:ascii="標楷體" w:eastAsia="標楷體" w:hAnsi="標楷體" w:hint="eastAsia"/>
          <w:b/>
          <w:lang w:eastAsia="zh-TW"/>
        </w:rPr>
        <w:t>高級中等學校校數-依學校規模(學生數)查詢</w:t>
      </w:r>
      <w:r w:rsidRPr="00AC4ABC">
        <w:rPr>
          <w:rFonts w:ascii="標楷體" w:eastAsia="標楷體" w:hAnsi="標楷體" w:hint="eastAsia"/>
          <w:lang w:eastAsia="zh-TW"/>
        </w:rPr>
        <w:t>。</w:t>
      </w:r>
      <w:r w:rsidRPr="00876EA7">
        <w:rPr>
          <w:rFonts w:ascii="標楷體" w:eastAsia="標楷體" w:hAnsi="標楷體" w:hint="eastAsia"/>
          <w:lang w:eastAsia="zh-TW"/>
        </w:rPr>
        <w:t>資料來源:教育部統計查詢網，</w:t>
      </w:r>
      <w:r w:rsidRPr="001C6217">
        <w:rPr>
          <w:rFonts w:ascii="標楷體" w:eastAsia="標楷體" w:hAnsi="標楷體"/>
          <w:lang w:eastAsia="zh-TW"/>
        </w:rPr>
        <w:t>109</w:t>
      </w:r>
      <w:r w:rsidRPr="001C6217">
        <w:rPr>
          <w:rFonts w:ascii="標楷體" w:eastAsia="標楷體" w:hAnsi="標楷體" w:hint="eastAsia"/>
          <w:lang w:eastAsia="zh-TW"/>
        </w:rPr>
        <w:t>年4月，取自</w:t>
      </w:r>
      <w:r w:rsidRPr="00876EA7">
        <w:rPr>
          <w:lang w:eastAsia="zh-TW"/>
        </w:rPr>
        <w:t>https://stats.moe.gov.tw/result.aspx?qno=MQAwADUA0</w:t>
      </w:r>
      <w:r>
        <w:rPr>
          <w:rFonts w:hint="eastAsia"/>
          <w:lang w:eastAsia="zh-TW"/>
        </w:rPr>
        <w:t>。</w:t>
      </w:r>
      <w:r w:rsidRPr="000C718A">
        <w:rPr>
          <w:rFonts w:ascii="標楷體" w:eastAsia="標楷體" w:hAnsi="標楷體" w:hint="eastAsia"/>
          <w:lang w:eastAsia="zh-TW"/>
        </w:rPr>
        <w:t>學生數為0者不列入校數統計；不含實用技能學程、進修部(學校)及附設國中部資料</w:t>
      </w:r>
      <w:r>
        <w:rPr>
          <w:rFonts w:hint="eastAsia"/>
        </w:rPr>
        <w:t>。</w:t>
      </w:r>
    </w:p>
  </w:footnote>
  <w:footnote w:id="18">
    <w:p w:rsidR="00BF41DE" w:rsidRDefault="00BF41DE">
      <w:pPr>
        <w:pStyle w:val="afe"/>
        <w:rPr>
          <w:lang w:eastAsia="zh-TW"/>
        </w:rPr>
      </w:pPr>
      <w:r>
        <w:rPr>
          <w:rStyle w:val="aff0"/>
        </w:rPr>
        <w:footnoteRef/>
      </w:r>
      <w:r>
        <w:t xml:space="preserve"> </w:t>
      </w:r>
      <w:r w:rsidRPr="00827CF1">
        <w:rPr>
          <w:rFonts w:ascii="標楷體" w:eastAsia="標楷體" w:hAnsi="標楷體" w:hint="eastAsia"/>
          <w:lang w:eastAsia="zh-TW"/>
        </w:rPr>
        <w:t>許全守、游玉英、陳清煌(民</w:t>
      </w:r>
      <w:r>
        <w:rPr>
          <w:rFonts w:ascii="標楷體" w:eastAsia="標楷體" w:hAnsi="標楷體" w:hint="eastAsia"/>
          <w:lang w:eastAsia="zh-TW"/>
        </w:rPr>
        <w:t>104</w:t>
      </w:r>
      <w:r w:rsidRPr="00827CF1">
        <w:rPr>
          <w:rFonts w:ascii="標楷體" w:eastAsia="標楷體" w:hAnsi="標楷體" w:hint="eastAsia"/>
          <w:lang w:eastAsia="zh-TW"/>
        </w:rPr>
        <w:t>)。臺灣中等教育階段實用技能學程實施現況之探究。</w:t>
      </w:r>
      <w:r w:rsidRPr="00971BB2">
        <w:rPr>
          <w:rFonts w:ascii="標楷體" w:eastAsia="標楷體" w:hAnsi="標楷體" w:hint="eastAsia"/>
          <w:b/>
          <w:i/>
          <w:lang w:eastAsia="zh-TW"/>
        </w:rPr>
        <w:t>中等教育，67</w:t>
      </w:r>
      <w:r w:rsidRPr="00827CF1">
        <w:rPr>
          <w:rFonts w:ascii="標楷體" w:eastAsia="標楷體" w:hAnsi="標楷體" w:hint="eastAsia"/>
          <w:lang w:eastAsia="zh-TW"/>
        </w:rPr>
        <w:t>(1)，105-119。</w:t>
      </w:r>
    </w:p>
  </w:footnote>
  <w:footnote w:id="19">
    <w:p w:rsidR="00BF41DE" w:rsidRDefault="00BF41DE" w:rsidP="00406A77">
      <w:pPr>
        <w:pStyle w:val="afe"/>
        <w:rPr>
          <w:lang w:eastAsia="zh-TW"/>
        </w:rPr>
      </w:pPr>
      <w:r>
        <w:rPr>
          <w:rStyle w:val="aff0"/>
        </w:rPr>
        <w:footnoteRef/>
      </w:r>
      <w:r>
        <w:t xml:space="preserve"> </w:t>
      </w:r>
      <w:r w:rsidRPr="00126FD9">
        <w:t>BBC World Service</w:t>
      </w:r>
      <w:r>
        <w:rPr>
          <w:rFonts w:hint="eastAsia"/>
          <w:lang w:eastAsia="zh-TW"/>
        </w:rPr>
        <w:t xml:space="preserve">(2019.12.23). </w:t>
      </w:r>
      <w:r w:rsidRPr="00D03E5A">
        <w:rPr>
          <w:b/>
        </w:rPr>
        <w:t>Why so many Japanese children refuse to go to school</w:t>
      </w:r>
      <w:r w:rsidRPr="00D03E5A">
        <w:rPr>
          <w:rFonts w:hint="eastAsia"/>
          <w:b/>
          <w:lang w:eastAsia="zh-TW"/>
        </w:rPr>
        <w:t xml:space="preserve">. </w:t>
      </w:r>
      <w:r w:rsidRPr="00D03E5A">
        <w:rPr>
          <w:b/>
          <w:lang w:eastAsia="zh-TW"/>
        </w:rPr>
        <w:t>BBC World Service</w:t>
      </w:r>
      <w:r>
        <w:rPr>
          <w:rFonts w:hint="eastAsia"/>
          <w:lang w:eastAsia="zh-TW"/>
        </w:rPr>
        <w:t xml:space="preserve">. </w:t>
      </w:r>
      <w:r w:rsidRPr="00AC0B15">
        <w:rPr>
          <w:rFonts w:ascii="標楷體" w:eastAsia="標楷體" w:hAnsi="標楷體" w:hint="eastAsia"/>
          <w:lang w:eastAsia="zh-TW"/>
        </w:rPr>
        <w:t>109年4月，取自</w:t>
      </w:r>
      <w:r w:rsidRPr="00786139">
        <w:rPr>
          <w:lang w:eastAsia="zh-TW"/>
        </w:rPr>
        <w:t>https://www.bbc.com/news/world-asia-50693777</w:t>
      </w:r>
      <w:r>
        <w:rPr>
          <w:rFonts w:hint="eastAsia"/>
          <w:lang w:eastAsia="zh-TW"/>
        </w:rPr>
        <w:t>；</w:t>
      </w:r>
      <w:r w:rsidRPr="00B170C8">
        <w:rPr>
          <w:rFonts w:ascii="標楷體" w:eastAsia="標楷體" w:hAnsi="標楷體" w:hint="eastAsia"/>
          <w:lang w:eastAsia="zh-TW"/>
        </w:rPr>
        <w:t>上報(108年12月26日)。</w:t>
      </w:r>
      <w:r w:rsidRPr="00A424F0">
        <w:rPr>
          <w:rFonts w:ascii="標楷體" w:eastAsia="標楷體" w:hAnsi="標楷體" w:hint="eastAsia"/>
          <w:b/>
          <w:lang w:eastAsia="zh-TW"/>
        </w:rPr>
        <w:t>與師長同儕相處不睦或受家暴影響 日本逾16萬孩童「拒絕上學」</w:t>
      </w:r>
      <w:r>
        <w:rPr>
          <w:rFonts w:ascii="標楷體" w:eastAsia="標楷體" w:hAnsi="標楷體" w:hint="eastAsia"/>
          <w:lang w:eastAsia="zh-TW"/>
        </w:rPr>
        <w:t>。</w:t>
      </w:r>
      <w:r w:rsidRPr="00AC0B15">
        <w:rPr>
          <w:rFonts w:ascii="標楷體" w:eastAsia="標楷體" w:hAnsi="標楷體" w:hint="eastAsia"/>
          <w:lang w:eastAsia="zh-TW"/>
        </w:rPr>
        <w:t>109年4月，取自</w:t>
      </w:r>
      <w:r w:rsidRPr="002D63D8">
        <w:rPr>
          <w:lang w:eastAsia="zh-TW"/>
        </w:rPr>
        <w:t>http://m.match.net.tw/pc/news/international/20191226/5141954</w:t>
      </w:r>
    </w:p>
  </w:footnote>
  <w:footnote w:id="20">
    <w:p w:rsidR="00BF41DE" w:rsidRDefault="00BF41DE" w:rsidP="00406A77">
      <w:pPr>
        <w:pStyle w:val="afe"/>
        <w:rPr>
          <w:lang w:eastAsia="zh-TW"/>
        </w:rPr>
      </w:pPr>
      <w:r>
        <w:rPr>
          <w:rStyle w:val="aff0"/>
        </w:rPr>
        <w:footnoteRef/>
      </w:r>
      <w:r>
        <w:rPr>
          <w:rFonts w:ascii="標楷體" w:eastAsia="標楷體" w:hAnsi="標楷體" w:hint="eastAsia"/>
          <w:lang w:eastAsia="zh-TW"/>
        </w:rPr>
        <w:t xml:space="preserve"> </w:t>
      </w:r>
      <w:r w:rsidRPr="00CC1AB4">
        <w:rPr>
          <w:rFonts w:ascii="標楷體" w:eastAsia="標楷體" w:hAnsi="標楷體" w:hint="eastAsia"/>
        </w:rPr>
        <w:t>王美玲(民103)。</w:t>
      </w:r>
      <w:r w:rsidRPr="00DF0C3A">
        <w:rPr>
          <w:rFonts w:ascii="標楷體" w:eastAsia="標楷體" w:hAnsi="標楷體" w:hint="eastAsia"/>
          <w:b/>
          <w:lang w:eastAsia="zh-TW"/>
        </w:rPr>
        <w:t>日本不登校特區現況與核心理念實踐</w:t>
      </w:r>
      <w:r>
        <w:rPr>
          <w:rFonts w:ascii="標楷體" w:eastAsia="標楷體" w:hAnsi="標楷體" w:hint="eastAsia"/>
          <w:lang w:eastAsia="zh-TW"/>
        </w:rPr>
        <w:t>。</w:t>
      </w:r>
      <w:r w:rsidRPr="00DF0C3A">
        <w:rPr>
          <w:rFonts w:ascii="標楷體" w:eastAsia="標楷體" w:hAnsi="標楷體" w:hint="eastAsia"/>
          <w:i/>
          <w:lang w:eastAsia="zh-TW"/>
        </w:rPr>
        <w:t>臺灣教育社會學研究</w:t>
      </w:r>
      <w:r>
        <w:rPr>
          <w:rFonts w:ascii="標楷體" w:eastAsia="標楷體" w:hAnsi="標楷體" w:hint="eastAsia"/>
          <w:lang w:eastAsia="zh-TW"/>
        </w:rPr>
        <w:t>，14(2)，頁73-107。</w:t>
      </w:r>
    </w:p>
  </w:footnote>
  <w:footnote w:id="21">
    <w:p w:rsidR="00BF41DE" w:rsidRPr="000969C0" w:rsidRDefault="00BF41DE" w:rsidP="00406A77">
      <w:pPr>
        <w:pStyle w:val="afe"/>
        <w:jc w:val="both"/>
        <w:rPr>
          <w:lang w:val="en-US" w:eastAsia="zh-TW"/>
        </w:rPr>
      </w:pPr>
      <w:r>
        <w:rPr>
          <w:rStyle w:val="aff0"/>
        </w:rPr>
        <w:footnoteRef/>
      </w:r>
      <w:r>
        <w:t xml:space="preserve"> </w:t>
      </w:r>
      <w:r w:rsidRPr="0096003D">
        <w:rPr>
          <w:rFonts w:ascii="標楷體" w:eastAsia="標楷體" w:hAnsi="標楷體" w:hint="eastAsia"/>
        </w:rPr>
        <w:t>李雪莉</w:t>
      </w:r>
      <w:r>
        <w:rPr>
          <w:rFonts w:ascii="標楷體" w:eastAsia="標楷體" w:hAnsi="標楷體" w:hint="eastAsia"/>
          <w:lang w:eastAsia="zh-TW"/>
        </w:rPr>
        <w:t>(民108)。</w:t>
      </w:r>
      <w:r w:rsidRPr="00B87034">
        <w:rPr>
          <w:rFonts w:ascii="標楷體" w:eastAsia="標楷體" w:hAnsi="標楷體" w:hint="eastAsia"/>
          <w:b/>
        </w:rPr>
        <w:t>孩子墜落前的那張網──待修補的補救教學與中介教育</w:t>
      </w:r>
      <w:r>
        <w:rPr>
          <w:rFonts w:ascii="標楷體" w:eastAsia="標楷體" w:hAnsi="標楷體" w:hint="eastAsia"/>
          <w:lang w:eastAsia="zh-TW"/>
        </w:rPr>
        <w:t>。109年4月，取自</w:t>
      </w:r>
      <w:r w:rsidRPr="00D055FE">
        <w:rPr>
          <w:rFonts w:ascii="標楷體" w:eastAsia="標楷體" w:hAnsi="標楷體"/>
          <w:lang w:eastAsia="zh-TW"/>
        </w:rPr>
        <w:t>https://www.twreporter.org/a/high-risk-youth-positive-discrimination</w:t>
      </w:r>
    </w:p>
  </w:footnote>
  <w:footnote w:id="22">
    <w:p w:rsidR="00BF41DE" w:rsidRDefault="00BF41DE" w:rsidP="00406A77">
      <w:pPr>
        <w:pStyle w:val="afe"/>
        <w:jc w:val="both"/>
        <w:rPr>
          <w:lang w:eastAsia="zh-TW"/>
        </w:rPr>
      </w:pPr>
      <w:r>
        <w:rPr>
          <w:rStyle w:val="aff0"/>
        </w:rPr>
        <w:footnoteRef/>
      </w:r>
      <w:r>
        <w:t xml:space="preserve"> </w:t>
      </w:r>
      <w:r w:rsidRPr="00136478">
        <w:rPr>
          <w:rFonts w:ascii="標楷體" w:eastAsia="標楷體" w:hAnsi="標楷體" w:hint="eastAsia"/>
          <w:lang w:eastAsia="zh-TW"/>
        </w:rPr>
        <w:t>監察院(民</w:t>
      </w:r>
      <w:r>
        <w:rPr>
          <w:rFonts w:ascii="標楷體" w:eastAsia="標楷體" w:hAnsi="標楷體" w:hint="eastAsia"/>
          <w:lang w:eastAsia="zh-TW"/>
        </w:rPr>
        <w:t>108</w:t>
      </w:r>
      <w:r w:rsidRPr="00136478">
        <w:rPr>
          <w:rFonts w:ascii="標楷體" w:eastAsia="標楷體" w:hAnsi="標楷體" w:hint="eastAsia"/>
          <w:lang w:eastAsia="zh-TW"/>
        </w:rPr>
        <w:t>)</w:t>
      </w:r>
      <w:r>
        <w:rPr>
          <w:rFonts w:ascii="標楷體" w:eastAsia="標楷體" w:hAnsi="標楷體" w:hint="eastAsia"/>
          <w:lang w:eastAsia="zh-TW"/>
        </w:rPr>
        <w:t>。</w:t>
      </w:r>
      <w:r w:rsidRPr="00B87C2D">
        <w:rPr>
          <w:rFonts w:ascii="標楷體" w:eastAsia="標楷體" w:hAnsi="標楷體" w:hint="eastAsia"/>
          <w:b/>
          <w:lang w:eastAsia="zh-TW"/>
        </w:rPr>
        <w:t>「我國實驗教育的實施現況與未來發展」通案性案件調查研究之報告</w:t>
      </w:r>
      <w:r w:rsidRPr="00136478">
        <w:rPr>
          <w:rFonts w:ascii="標楷體" w:eastAsia="標楷體" w:hAnsi="標楷體" w:hint="eastAsia"/>
          <w:lang w:eastAsia="zh-TW"/>
        </w:rPr>
        <w:t>。</w:t>
      </w:r>
      <w:r>
        <w:rPr>
          <w:rFonts w:ascii="標楷體" w:eastAsia="標楷體" w:hAnsi="標楷體" w:hint="eastAsia"/>
          <w:lang w:eastAsia="zh-TW"/>
        </w:rPr>
        <w:t>109年4月，取自</w:t>
      </w:r>
      <w:r w:rsidRPr="00B65DA8">
        <w:t>https://www.cy.gov.tw/CyBsBoxContent.aspx?n=133&amp;s=6921</w:t>
      </w:r>
    </w:p>
  </w:footnote>
  <w:footnote w:id="23">
    <w:p w:rsidR="00BF41DE" w:rsidRDefault="00BF41DE" w:rsidP="00406A77">
      <w:pPr>
        <w:pStyle w:val="afe"/>
        <w:jc w:val="both"/>
        <w:rPr>
          <w:lang w:eastAsia="zh-TW"/>
        </w:rPr>
      </w:pPr>
      <w:r>
        <w:rPr>
          <w:rStyle w:val="aff0"/>
        </w:rPr>
        <w:footnoteRef/>
      </w:r>
      <w:r>
        <w:t xml:space="preserve"> </w:t>
      </w:r>
      <w:r w:rsidRPr="006156B6">
        <w:rPr>
          <w:rFonts w:ascii="標楷體" w:eastAsia="標楷體" w:hAnsi="標楷體" w:hint="eastAsia"/>
          <w:lang w:eastAsia="zh-TW"/>
        </w:rPr>
        <w:t>同上註。</w:t>
      </w:r>
    </w:p>
  </w:footnote>
  <w:footnote w:id="24">
    <w:p w:rsidR="00BF41DE" w:rsidRDefault="00BF41DE" w:rsidP="00406A77">
      <w:pPr>
        <w:pStyle w:val="afe"/>
        <w:ind w:left="141" w:hangingChars="64" w:hanging="141"/>
        <w:jc w:val="both"/>
      </w:pPr>
      <w:r>
        <w:rPr>
          <w:rStyle w:val="aff0"/>
        </w:rPr>
        <w:footnoteRef/>
      </w:r>
      <w:r>
        <w:rPr>
          <w:rFonts w:hint="eastAsia"/>
        </w:rPr>
        <w:t xml:space="preserve"> </w:t>
      </w:r>
      <w:r w:rsidRPr="00732338">
        <w:rPr>
          <w:rFonts w:ascii="標楷體" w:eastAsia="標楷體" w:hAnsi="標楷體" w:hint="eastAsia"/>
        </w:rPr>
        <w:t>十二年國民基本教育實施期程：100年1月至103年7月，為啟動準備階段；103年8月1日起至109年7月，為全面實施階段。</w:t>
      </w:r>
    </w:p>
  </w:footnote>
  <w:footnote w:id="25">
    <w:p w:rsidR="00BF41DE" w:rsidRPr="00120FAF" w:rsidRDefault="00BF41DE" w:rsidP="00406A77">
      <w:pPr>
        <w:pStyle w:val="afe"/>
        <w:jc w:val="both"/>
        <w:rPr>
          <w:lang w:eastAsia="zh-TW"/>
        </w:rPr>
      </w:pPr>
      <w:r>
        <w:rPr>
          <w:rStyle w:val="aff0"/>
        </w:rPr>
        <w:footnoteRef/>
      </w:r>
      <w:r>
        <w:t xml:space="preserve"> </w:t>
      </w:r>
      <w:r w:rsidRPr="004F390E">
        <w:rPr>
          <w:rFonts w:ascii="標楷體" w:eastAsia="標楷體" w:hAnsi="標楷體" w:hint="eastAsia"/>
        </w:rPr>
        <w:t>教育部（民100）</w:t>
      </w:r>
      <w:r w:rsidRPr="00732338">
        <w:rPr>
          <w:rFonts w:ascii="標楷體" w:eastAsia="標楷體" w:hAnsi="標楷體" w:hint="eastAsia"/>
        </w:rPr>
        <w:t>。</w:t>
      </w:r>
      <w:r w:rsidRPr="004F390E">
        <w:rPr>
          <w:rFonts w:ascii="標楷體" w:eastAsia="標楷體" w:hAnsi="標楷體" w:hint="eastAsia"/>
          <w:b/>
        </w:rPr>
        <w:t>十二年國民基本教育實施計畫核定版</w:t>
      </w:r>
      <w:r w:rsidRPr="00732338">
        <w:rPr>
          <w:rFonts w:ascii="標楷體" w:eastAsia="標楷體" w:hAnsi="標楷體" w:hint="eastAsia"/>
        </w:rPr>
        <w:t>。</w:t>
      </w:r>
      <w:r>
        <w:rPr>
          <w:rFonts w:ascii="標楷體" w:eastAsia="標楷體" w:hAnsi="標楷體" w:hint="eastAsia"/>
        </w:rPr>
        <w:t>109年4月，取自</w:t>
      </w:r>
      <w:r w:rsidRPr="001E254D">
        <w:t>http://12basic.tn.edu.tw/UpLoadFiles/C41B163A2A.pdf</w:t>
      </w:r>
    </w:p>
  </w:footnote>
  <w:footnote w:id="26">
    <w:p w:rsidR="00BF41DE" w:rsidRPr="00120FAF" w:rsidRDefault="00BF41DE" w:rsidP="00406A77">
      <w:pPr>
        <w:pStyle w:val="afe"/>
        <w:jc w:val="both"/>
        <w:rPr>
          <w:lang w:eastAsia="zh-TW"/>
        </w:rPr>
      </w:pPr>
      <w:r>
        <w:rPr>
          <w:rStyle w:val="aff0"/>
        </w:rPr>
        <w:footnoteRef/>
      </w:r>
      <w:r>
        <w:t xml:space="preserve"> </w:t>
      </w:r>
      <w:r w:rsidRPr="004F390E">
        <w:rPr>
          <w:rFonts w:ascii="標楷體" w:eastAsia="標楷體" w:hAnsi="標楷體" w:hint="eastAsia"/>
        </w:rPr>
        <w:t>教育部（民100）</w:t>
      </w:r>
      <w:r w:rsidRPr="00732338">
        <w:rPr>
          <w:rFonts w:ascii="標楷體" w:eastAsia="標楷體" w:hAnsi="標楷體" w:hint="eastAsia"/>
        </w:rPr>
        <w:t>。</w:t>
      </w:r>
      <w:r w:rsidRPr="004F390E">
        <w:rPr>
          <w:rFonts w:ascii="標楷體" w:eastAsia="標楷體" w:hAnsi="標楷體" w:hint="eastAsia"/>
          <w:b/>
        </w:rPr>
        <w:t>十二年國民基本教育實施計畫核定版</w:t>
      </w:r>
      <w:r w:rsidRPr="00732338">
        <w:rPr>
          <w:rFonts w:ascii="標楷體" w:eastAsia="標楷體" w:hAnsi="標楷體" w:hint="eastAsia"/>
        </w:rPr>
        <w:t>。</w:t>
      </w:r>
      <w:r>
        <w:rPr>
          <w:rFonts w:ascii="標楷體" w:eastAsia="標楷體" w:hAnsi="標楷體" w:hint="eastAsia"/>
        </w:rPr>
        <w:t>109年4月，取自</w:t>
      </w:r>
      <w:r w:rsidRPr="001E254D">
        <w:t>http://12basic.tn.edu.tw/UpLoadFiles/C41B163A2A.pdf</w:t>
      </w:r>
    </w:p>
  </w:footnote>
  <w:footnote w:id="27">
    <w:p w:rsidR="00BF41DE" w:rsidRDefault="00BF41DE" w:rsidP="00406A77">
      <w:pPr>
        <w:pStyle w:val="afe"/>
        <w:rPr>
          <w:lang w:eastAsia="zh-TW"/>
        </w:rPr>
      </w:pPr>
      <w:r>
        <w:rPr>
          <w:rStyle w:val="aff0"/>
        </w:rPr>
        <w:footnoteRef/>
      </w:r>
      <w:r>
        <w:t xml:space="preserve"> </w:t>
      </w:r>
      <w:r w:rsidRPr="00317AA5">
        <w:rPr>
          <w:rFonts w:ascii="標楷體" w:eastAsia="標楷體" w:hAnsi="標楷體" w:hint="eastAsia"/>
        </w:rPr>
        <w:t>108年11月18日臺教青署輔字第1082120470號函</w:t>
      </w:r>
      <w:r>
        <w:rPr>
          <w:rFonts w:ascii="標楷體" w:eastAsia="標楷體" w:hAnsi="標楷體" w:hint="eastAsia"/>
          <w:lang w:eastAsia="zh-TW"/>
        </w:rPr>
        <w:t>。</w:t>
      </w:r>
    </w:p>
  </w:footnote>
  <w:footnote w:id="28">
    <w:p w:rsidR="00BF41DE" w:rsidRPr="00AD0E95" w:rsidRDefault="00BF41DE" w:rsidP="00DC076F">
      <w:pPr>
        <w:pStyle w:val="afe"/>
        <w:jc w:val="both"/>
        <w:rPr>
          <w:lang w:val="en-US" w:eastAsia="zh-TW"/>
        </w:rPr>
      </w:pPr>
      <w:r>
        <w:rPr>
          <w:rStyle w:val="aff0"/>
        </w:rPr>
        <w:footnoteRef/>
      </w:r>
      <w:r w:rsidRPr="00A75E31">
        <w:rPr>
          <w:rFonts w:ascii="標楷體" w:eastAsia="標楷體" w:hAnsi="標楷體" w:hint="eastAsia"/>
        </w:rPr>
        <w:t>李雪莉</w:t>
      </w:r>
      <w:r>
        <w:rPr>
          <w:rFonts w:ascii="標楷體" w:eastAsia="標楷體" w:hAnsi="標楷體" w:hint="eastAsia"/>
        </w:rPr>
        <w:t>、</w:t>
      </w:r>
      <w:r w:rsidRPr="00A75E31">
        <w:rPr>
          <w:rFonts w:ascii="標楷體" w:eastAsia="標楷體" w:hAnsi="標楷體" w:hint="eastAsia"/>
        </w:rPr>
        <w:t>簡永達</w:t>
      </w:r>
      <w:r w:rsidRPr="00A75E31">
        <w:rPr>
          <w:rFonts w:ascii="標楷體" w:eastAsia="標楷體" w:hAnsi="標楷體" w:hint="eastAsia"/>
          <w:lang w:eastAsia="zh-TW"/>
        </w:rPr>
        <w:t>(民10</w:t>
      </w:r>
      <w:r>
        <w:rPr>
          <w:rFonts w:ascii="標楷體" w:eastAsia="標楷體" w:hAnsi="標楷體" w:hint="eastAsia"/>
          <w:lang w:eastAsia="zh-TW"/>
        </w:rPr>
        <w:t>6</w:t>
      </w:r>
      <w:r w:rsidRPr="00A75E31">
        <w:rPr>
          <w:rFonts w:ascii="標楷體" w:eastAsia="標楷體" w:hAnsi="標楷體" w:hint="eastAsia"/>
          <w:lang w:eastAsia="zh-TW"/>
        </w:rPr>
        <w:t>)。</w:t>
      </w:r>
      <w:r>
        <w:rPr>
          <w:rFonts w:ascii="標楷體" w:eastAsia="標楷體" w:hAnsi="標楷體" w:hint="eastAsia"/>
          <w:lang w:eastAsia="zh-TW"/>
        </w:rPr>
        <w:t>106年11月1日。</w:t>
      </w:r>
      <w:r w:rsidRPr="00A75E31">
        <w:rPr>
          <w:rFonts w:ascii="標楷體" w:eastAsia="標楷體" w:hAnsi="標楷體" w:hint="eastAsia"/>
          <w:b/>
        </w:rPr>
        <w:t>廢墟裡的少年</w:t>
      </w:r>
      <w:r>
        <w:rPr>
          <w:rFonts w:ascii="標楷體" w:eastAsia="標楷體" w:hAnsi="標楷體" w:hint="eastAsia"/>
          <w:b/>
          <w:lang w:eastAsia="zh-TW"/>
        </w:rPr>
        <w:t>-</w:t>
      </w:r>
      <w:r w:rsidRPr="00A75E31">
        <w:rPr>
          <w:rFonts w:ascii="標楷體" w:eastAsia="標楷體" w:hAnsi="標楷體" w:hint="eastAsia"/>
          <w:b/>
          <w:lang w:eastAsia="zh-TW"/>
        </w:rPr>
        <w:t>兩萬名被遺忘的高風險家庭孩子們</w:t>
      </w:r>
      <w:r w:rsidRPr="00A75E31">
        <w:rPr>
          <w:rFonts w:ascii="標楷體" w:eastAsia="標楷體" w:hAnsi="標楷體" w:hint="eastAsia"/>
          <w:lang w:eastAsia="zh-TW"/>
        </w:rPr>
        <w:t>。</w:t>
      </w:r>
      <w:r>
        <w:rPr>
          <w:rFonts w:ascii="標楷體" w:eastAsia="標楷體" w:hAnsi="標楷體" w:hint="eastAsia"/>
          <w:lang w:eastAsia="zh-TW"/>
        </w:rPr>
        <w:t>109年5月，取自</w:t>
      </w:r>
      <w:r w:rsidRPr="004528F4">
        <w:rPr>
          <w:rFonts w:ascii="標楷體" w:eastAsia="標楷體" w:hAnsi="標楷體"/>
          <w:lang w:eastAsia="zh-TW"/>
        </w:rPr>
        <w:t>https://www.twreporter.org/a/high-risk-youth-left-in-relic</w:t>
      </w:r>
    </w:p>
  </w:footnote>
  <w:footnote w:id="29">
    <w:p w:rsidR="006E0ED1" w:rsidRDefault="006E0ED1" w:rsidP="006E0ED1">
      <w:pPr>
        <w:pStyle w:val="afe"/>
        <w:jc w:val="both"/>
        <w:rPr>
          <w:lang w:eastAsia="zh-TW"/>
        </w:rPr>
      </w:pPr>
      <w:r>
        <w:rPr>
          <w:rStyle w:val="aff0"/>
        </w:rPr>
        <w:footnoteRef/>
      </w:r>
      <w:r w:rsidR="00B2121C">
        <w:rPr>
          <w:rFonts w:hint="eastAsia"/>
          <w:lang w:eastAsia="zh-TW"/>
        </w:rPr>
        <w:t xml:space="preserve"> </w:t>
      </w:r>
      <w:r w:rsidR="003173EC" w:rsidRPr="00AE4C59">
        <w:t>Art. 3</w:t>
      </w:r>
      <w:r w:rsidR="00245F2C">
        <w:rPr>
          <w:rFonts w:hint="eastAsia"/>
          <w:lang w:eastAsia="zh-TW"/>
        </w:rPr>
        <w:t xml:space="preserve"> </w:t>
      </w:r>
      <w:r w:rsidR="003173EC">
        <w:rPr>
          <w:rFonts w:hint="eastAsia"/>
          <w:lang w:eastAsia="zh-TW"/>
        </w:rPr>
        <w:t xml:space="preserve"> 1.</w:t>
      </w:r>
      <w:r>
        <w:t xml:space="preserve"> In all actions concerning</w:t>
      </w:r>
      <w:r>
        <w:rPr>
          <w:rFonts w:hint="eastAsia"/>
          <w:lang w:eastAsia="zh-TW"/>
        </w:rPr>
        <w:t xml:space="preserve"> </w:t>
      </w:r>
      <w:r>
        <w:t>children, whether undertaken</w:t>
      </w:r>
      <w:r>
        <w:rPr>
          <w:rFonts w:hint="eastAsia"/>
          <w:lang w:eastAsia="zh-TW"/>
        </w:rPr>
        <w:t xml:space="preserve"> </w:t>
      </w:r>
      <w:r>
        <w:t>by public or private social</w:t>
      </w:r>
      <w:r>
        <w:rPr>
          <w:rFonts w:hint="eastAsia"/>
          <w:lang w:eastAsia="zh-TW"/>
        </w:rPr>
        <w:t xml:space="preserve"> </w:t>
      </w:r>
      <w:r>
        <w:t>welfare institutions, courts</w:t>
      </w:r>
      <w:r>
        <w:rPr>
          <w:rFonts w:hint="eastAsia"/>
          <w:lang w:eastAsia="zh-TW"/>
        </w:rPr>
        <w:t xml:space="preserve"> </w:t>
      </w:r>
      <w:r>
        <w:t>of law, administrative</w:t>
      </w:r>
      <w:r>
        <w:rPr>
          <w:rFonts w:hint="eastAsia"/>
          <w:lang w:eastAsia="zh-TW"/>
        </w:rPr>
        <w:t xml:space="preserve"> </w:t>
      </w:r>
      <w:r>
        <w:t>authorities or legislative</w:t>
      </w:r>
      <w:r>
        <w:rPr>
          <w:rFonts w:hint="eastAsia"/>
          <w:lang w:eastAsia="zh-TW"/>
        </w:rPr>
        <w:t xml:space="preserve"> </w:t>
      </w:r>
      <w:r>
        <w:t>bodies, the best interests of</w:t>
      </w:r>
      <w:r>
        <w:rPr>
          <w:rFonts w:hint="eastAsia"/>
          <w:lang w:eastAsia="zh-TW"/>
        </w:rPr>
        <w:t xml:space="preserve"> </w:t>
      </w:r>
      <w:r>
        <w:t>the child shall be a primary</w:t>
      </w:r>
      <w:r>
        <w:rPr>
          <w:rFonts w:hint="eastAsia"/>
          <w:lang w:eastAsia="zh-TW"/>
        </w:rPr>
        <w:t xml:space="preserve"> </w:t>
      </w:r>
      <w:r>
        <w:t>consideration.</w:t>
      </w:r>
    </w:p>
  </w:footnote>
  <w:footnote w:id="30">
    <w:p w:rsidR="00B03761" w:rsidRPr="00B03761" w:rsidRDefault="00B03761" w:rsidP="000E76E2">
      <w:pPr>
        <w:pStyle w:val="afe"/>
        <w:jc w:val="both"/>
        <w:rPr>
          <w:lang w:eastAsia="zh-TW"/>
        </w:rPr>
      </w:pPr>
      <w:r>
        <w:rPr>
          <w:rStyle w:val="aff0"/>
        </w:rPr>
        <w:footnoteRef/>
      </w:r>
      <w:r>
        <w:t xml:space="preserve"> </w:t>
      </w:r>
      <w:r w:rsidR="00B2121C" w:rsidRPr="00AE4C59">
        <w:t>Art. 3</w:t>
      </w:r>
      <w:r w:rsidR="00B2121C">
        <w:rPr>
          <w:rFonts w:hint="eastAsia"/>
          <w:lang w:eastAsia="zh-TW"/>
        </w:rPr>
        <w:t xml:space="preserve"> </w:t>
      </w:r>
      <w:r w:rsidR="00245F2C">
        <w:rPr>
          <w:rFonts w:hint="eastAsia"/>
          <w:lang w:eastAsia="zh-TW"/>
        </w:rPr>
        <w:t xml:space="preserve"> </w:t>
      </w:r>
      <w:r w:rsidR="00B2121C">
        <w:rPr>
          <w:rFonts w:hint="eastAsia"/>
          <w:lang w:eastAsia="zh-TW"/>
        </w:rPr>
        <w:t xml:space="preserve">2. </w:t>
      </w:r>
      <w:r>
        <w:t>States Parties undertake</w:t>
      </w:r>
      <w:r w:rsidR="0019472C">
        <w:rPr>
          <w:rFonts w:hint="eastAsia"/>
          <w:lang w:eastAsia="zh-TW"/>
        </w:rPr>
        <w:t xml:space="preserve"> </w:t>
      </w:r>
      <w:r>
        <w:t>to ensure the child such</w:t>
      </w:r>
      <w:r w:rsidR="0019472C">
        <w:rPr>
          <w:rFonts w:hint="eastAsia"/>
          <w:lang w:eastAsia="zh-TW"/>
        </w:rPr>
        <w:t xml:space="preserve"> </w:t>
      </w:r>
      <w:r>
        <w:t>protection and care as is</w:t>
      </w:r>
      <w:r w:rsidR="0019472C">
        <w:rPr>
          <w:rFonts w:hint="eastAsia"/>
          <w:lang w:eastAsia="zh-TW"/>
        </w:rPr>
        <w:t xml:space="preserve"> </w:t>
      </w:r>
      <w:r>
        <w:t>necessary for his or her wellbeing,</w:t>
      </w:r>
      <w:r w:rsidR="0019472C">
        <w:rPr>
          <w:rFonts w:hint="eastAsia"/>
          <w:lang w:eastAsia="zh-TW"/>
        </w:rPr>
        <w:t xml:space="preserve"> </w:t>
      </w:r>
      <w:r>
        <w:t>taking into account</w:t>
      </w:r>
      <w:r w:rsidR="0019472C">
        <w:rPr>
          <w:rFonts w:hint="eastAsia"/>
          <w:lang w:eastAsia="zh-TW"/>
        </w:rPr>
        <w:t xml:space="preserve"> </w:t>
      </w:r>
      <w:r>
        <w:t>the rights and duties of his or</w:t>
      </w:r>
      <w:r w:rsidR="0019472C">
        <w:rPr>
          <w:rFonts w:hint="eastAsia"/>
          <w:lang w:eastAsia="zh-TW"/>
        </w:rPr>
        <w:t xml:space="preserve"> </w:t>
      </w:r>
      <w:r>
        <w:t>her parents, legal guardians,</w:t>
      </w:r>
      <w:r w:rsidR="0019472C">
        <w:rPr>
          <w:rFonts w:hint="eastAsia"/>
          <w:lang w:eastAsia="zh-TW"/>
        </w:rPr>
        <w:t xml:space="preserve"> </w:t>
      </w:r>
      <w:r>
        <w:t>or other individuals legally</w:t>
      </w:r>
      <w:r w:rsidR="0019472C">
        <w:rPr>
          <w:rFonts w:hint="eastAsia"/>
          <w:lang w:eastAsia="zh-TW"/>
        </w:rPr>
        <w:t xml:space="preserve"> </w:t>
      </w:r>
      <w:r>
        <w:t>responsible for him or her,</w:t>
      </w:r>
      <w:r w:rsidR="0019472C">
        <w:rPr>
          <w:rFonts w:hint="eastAsia"/>
          <w:lang w:eastAsia="zh-TW"/>
        </w:rPr>
        <w:t xml:space="preserve"> </w:t>
      </w:r>
      <w:r>
        <w:t>and, to this end, shall take all</w:t>
      </w:r>
      <w:r w:rsidR="0019472C">
        <w:rPr>
          <w:rFonts w:hint="eastAsia"/>
          <w:lang w:eastAsia="zh-TW"/>
        </w:rPr>
        <w:t xml:space="preserve"> </w:t>
      </w:r>
      <w:r w:rsidR="00C06848">
        <w:rPr>
          <w:lang w:eastAsia="zh-TW"/>
        </w:rPr>
        <w:t>appropriate legislative and</w:t>
      </w:r>
      <w:r w:rsidR="00C06848">
        <w:rPr>
          <w:rFonts w:hint="eastAsia"/>
          <w:lang w:eastAsia="zh-TW"/>
        </w:rPr>
        <w:t xml:space="preserve"> </w:t>
      </w:r>
      <w:r w:rsidR="00C06848">
        <w:rPr>
          <w:lang w:eastAsia="zh-TW"/>
        </w:rPr>
        <w:t>administrative measures.</w:t>
      </w:r>
    </w:p>
  </w:footnote>
  <w:footnote w:id="31">
    <w:p w:rsidR="00BF41DE" w:rsidRPr="00327767" w:rsidRDefault="00BF41DE" w:rsidP="00406A77">
      <w:pPr>
        <w:pStyle w:val="afe"/>
        <w:rPr>
          <w:rFonts w:ascii="標楷體" w:eastAsia="標楷體" w:hAnsi="標楷體"/>
          <w:lang w:eastAsia="zh-TW"/>
        </w:rPr>
      </w:pPr>
      <w:r>
        <w:rPr>
          <w:rStyle w:val="aff0"/>
        </w:rPr>
        <w:footnoteRef/>
      </w:r>
      <w:r>
        <w:t xml:space="preserve"> </w:t>
      </w:r>
      <w:r w:rsidRPr="00327767">
        <w:rPr>
          <w:rFonts w:ascii="標楷體" w:eastAsia="標楷體" w:hAnsi="標楷體" w:hint="eastAsia"/>
        </w:rPr>
        <w:t>臺教授國部字第1080065377B號</w:t>
      </w:r>
      <w:r>
        <w:rPr>
          <w:rFonts w:ascii="標楷體" w:eastAsia="標楷體" w:hAnsi="標楷體" w:hint="eastAsia"/>
          <w:lang w:eastAsia="zh-TW"/>
        </w:rPr>
        <w:t>。</w:t>
      </w:r>
    </w:p>
  </w:footnote>
  <w:footnote w:id="32">
    <w:p w:rsidR="00BF41DE" w:rsidRPr="00DA3894" w:rsidRDefault="00BF41DE" w:rsidP="00406A77">
      <w:pPr>
        <w:pStyle w:val="afe"/>
        <w:rPr>
          <w:lang w:eastAsia="zh-TW"/>
        </w:rPr>
      </w:pPr>
      <w:r w:rsidRPr="00327767">
        <w:rPr>
          <w:rStyle w:val="aff0"/>
          <w:rFonts w:ascii="標楷體" w:eastAsia="標楷體" w:hAnsi="標楷體"/>
        </w:rPr>
        <w:footnoteRef/>
      </w:r>
      <w:r w:rsidRPr="00327767">
        <w:rPr>
          <w:rFonts w:ascii="標楷體" w:eastAsia="標楷體" w:hAnsi="標楷體"/>
        </w:rPr>
        <w:t xml:space="preserve"> </w:t>
      </w:r>
      <w:r w:rsidRPr="00327767">
        <w:rPr>
          <w:rFonts w:ascii="標楷體" w:eastAsia="標楷體" w:hAnsi="標楷體" w:hint="eastAsia"/>
        </w:rPr>
        <w:t>http://stats.moe.gov.tw/files/brief/國中小學生輟學概況分析.pdf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E4A55DD"/>
    <w:multiLevelType w:val="hybridMultilevel"/>
    <w:tmpl w:val="C060D44E"/>
    <w:lvl w:ilvl="0" w:tplc="599056B4">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F17E27F0"/>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6085" w:hanging="697"/>
      </w:pPr>
      <w:rPr>
        <w:rFonts w:ascii="標楷體" w:eastAsia="標楷體" w:hint="eastAsia"/>
        <w:b w:val="0"/>
        <w:i w:val="0"/>
        <w:color w:val="000000" w:themeColor="text1"/>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color w:val="000000" w:themeColor="text1"/>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1806EFB"/>
    <w:multiLevelType w:val="hybridMultilevel"/>
    <w:tmpl w:val="66EE3BF6"/>
    <w:lvl w:ilvl="0" w:tplc="B95C80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EE729E"/>
    <w:multiLevelType w:val="hybridMultilevel"/>
    <w:tmpl w:val="C0BA1B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D1362EC"/>
    <w:multiLevelType w:val="hybridMultilevel"/>
    <w:tmpl w:val="61D6D238"/>
    <w:lvl w:ilvl="0" w:tplc="627818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AF4254"/>
    <w:multiLevelType w:val="hybridMultilevel"/>
    <w:tmpl w:val="C614A240"/>
    <w:lvl w:ilvl="0" w:tplc="CD5CF8DA">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96B0AB9"/>
    <w:multiLevelType w:val="hybridMultilevel"/>
    <w:tmpl w:val="C614A240"/>
    <w:lvl w:ilvl="0" w:tplc="CD5CF8DA">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E143F"/>
    <w:multiLevelType w:val="hybridMultilevel"/>
    <w:tmpl w:val="B0B0BDC4"/>
    <w:lvl w:ilvl="0" w:tplc="B6DA68E4">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A8543F18"/>
    <w:lvl w:ilvl="0" w:tplc="DAAC8CD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8323E7"/>
    <w:multiLevelType w:val="hybridMultilevel"/>
    <w:tmpl w:val="3EE8D5E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A5F5684"/>
    <w:multiLevelType w:val="hybridMultilevel"/>
    <w:tmpl w:val="42F2C9BA"/>
    <w:lvl w:ilvl="0" w:tplc="635E6660">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12"/>
  </w:num>
  <w:num w:numId="5">
    <w:abstractNumId w:val="9"/>
  </w:num>
  <w:num w:numId="6">
    <w:abstractNumId w:val="13"/>
  </w:num>
  <w:num w:numId="7">
    <w:abstractNumId w:val="14"/>
  </w:num>
  <w:num w:numId="8">
    <w:abstractNumId w:val="10"/>
  </w:num>
  <w:num w:numId="9">
    <w:abstractNumId w:val="6"/>
  </w:num>
  <w:num w:numId="10">
    <w:abstractNumId w:val="1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4"/>
  </w:num>
  <w:num w:numId="20">
    <w:abstractNumId w:val="1"/>
  </w:num>
  <w:num w:numId="21">
    <w:abstractNumId w:val="5"/>
  </w:num>
  <w:num w:numId="22">
    <w:abstractNumId w:val="8"/>
  </w:num>
  <w:num w:numId="23">
    <w:abstractNumId w:val="2"/>
  </w:num>
  <w:num w:numId="24">
    <w:abstractNumId w:val="2"/>
  </w:num>
  <w:num w:numId="25">
    <w:abstractNumId w:val="7"/>
  </w:num>
  <w:num w:numId="26">
    <w:abstractNumId w:val="2"/>
  </w:num>
  <w:num w:numId="27">
    <w:abstractNumId w:val="2"/>
  </w:num>
  <w:num w:numId="28">
    <w:abstractNumId w:val="2"/>
  </w:num>
  <w:num w:numId="29">
    <w:abstractNumId w:val="2"/>
  </w:num>
  <w:num w:numId="30">
    <w:abstractNumId w:val="12"/>
  </w:num>
  <w:num w:numId="31">
    <w:abstractNumId w:val="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0AD"/>
    <w:rsid w:val="00000414"/>
    <w:rsid w:val="0000213C"/>
    <w:rsid w:val="000022B1"/>
    <w:rsid w:val="00003D25"/>
    <w:rsid w:val="00004875"/>
    <w:rsid w:val="00014048"/>
    <w:rsid w:val="0001601F"/>
    <w:rsid w:val="00016292"/>
    <w:rsid w:val="00022711"/>
    <w:rsid w:val="00022FEF"/>
    <w:rsid w:val="000257B5"/>
    <w:rsid w:val="00025E35"/>
    <w:rsid w:val="00026396"/>
    <w:rsid w:val="00026E3D"/>
    <w:rsid w:val="00026FE3"/>
    <w:rsid w:val="0002798D"/>
    <w:rsid w:val="00030495"/>
    <w:rsid w:val="00031D8E"/>
    <w:rsid w:val="00034F2B"/>
    <w:rsid w:val="000362D4"/>
    <w:rsid w:val="000408C8"/>
    <w:rsid w:val="00042869"/>
    <w:rsid w:val="00043E46"/>
    <w:rsid w:val="00044387"/>
    <w:rsid w:val="00044601"/>
    <w:rsid w:val="00046701"/>
    <w:rsid w:val="00046ED0"/>
    <w:rsid w:val="000522BA"/>
    <w:rsid w:val="00054F67"/>
    <w:rsid w:val="00057D9E"/>
    <w:rsid w:val="00060C36"/>
    <w:rsid w:val="00063387"/>
    <w:rsid w:val="00065F1B"/>
    <w:rsid w:val="000668D3"/>
    <w:rsid w:val="00070586"/>
    <w:rsid w:val="00072076"/>
    <w:rsid w:val="00072110"/>
    <w:rsid w:val="00072923"/>
    <w:rsid w:val="0007356E"/>
    <w:rsid w:val="00073CBC"/>
    <w:rsid w:val="00074621"/>
    <w:rsid w:val="00076738"/>
    <w:rsid w:val="0008097B"/>
    <w:rsid w:val="00081191"/>
    <w:rsid w:val="00081B1C"/>
    <w:rsid w:val="00083C85"/>
    <w:rsid w:val="00084174"/>
    <w:rsid w:val="00084AF3"/>
    <w:rsid w:val="00085B42"/>
    <w:rsid w:val="00086688"/>
    <w:rsid w:val="000866D7"/>
    <w:rsid w:val="000872B8"/>
    <w:rsid w:val="000909B9"/>
    <w:rsid w:val="00091D1F"/>
    <w:rsid w:val="0009247F"/>
    <w:rsid w:val="0009253B"/>
    <w:rsid w:val="00092B1E"/>
    <w:rsid w:val="000936BC"/>
    <w:rsid w:val="00093B05"/>
    <w:rsid w:val="0009501C"/>
    <w:rsid w:val="0009582A"/>
    <w:rsid w:val="000963DC"/>
    <w:rsid w:val="000974D1"/>
    <w:rsid w:val="00097B85"/>
    <w:rsid w:val="000A0BF0"/>
    <w:rsid w:val="000A5D13"/>
    <w:rsid w:val="000A5E93"/>
    <w:rsid w:val="000A5F58"/>
    <w:rsid w:val="000A62AD"/>
    <w:rsid w:val="000A6507"/>
    <w:rsid w:val="000A693B"/>
    <w:rsid w:val="000A7418"/>
    <w:rsid w:val="000B0AFB"/>
    <w:rsid w:val="000B181F"/>
    <w:rsid w:val="000B211D"/>
    <w:rsid w:val="000B2D40"/>
    <w:rsid w:val="000B4307"/>
    <w:rsid w:val="000B594F"/>
    <w:rsid w:val="000B6C0D"/>
    <w:rsid w:val="000B742B"/>
    <w:rsid w:val="000C15DB"/>
    <w:rsid w:val="000C20C4"/>
    <w:rsid w:val="000C23DD"/>
    <w:rsid w:val="000C2F52"/>
    <w:rsid w:val="000C31ED"/>
    <w:rsid w:val="000C454C"/>
    <w:rsid w:val="000C4F1A"/>
    <w:rsid w:val="000C5266"/>
    <w:rsid w:val="000C636B"/>
    <w:rsid w:val="000C7A4E"/>
    <w:rsid w:val="000D057E"/>
    <w:rsid w:val="000D0ED9"/>
    <w:rsid w:val="000D36EA"/>
    <w:rsid w:val="000D3949"/>
    <w:rsid w:val="000D40BD"/>
    <w:rsid w:val="000D421C"/>
    <w:rsid w:val="000D5452"/>
    <w:rsid w:val="000D5620"/>
    <w:rsid w:val="000E206C"/>
    <w:rsid w:val="000E38BB"/>
    <w:rsid w:val="000E3A08"/>
    <w:rsid w:val="000E41D3"/>
    <w:rsid w:val="000E4524"/>
    <w:rsid w:val="000E5EDA"/>
    <w:rsid w:val="000E7056"/>
    <w:rsid w:val="000E76E2"/>
    <w:rsid w:val="000F03E3"/>
    <w:rsid w:val="001003F5"/>
    <w:rsid w:val="00100859"/>
    <w:rsid w:val="001034D1"/>
    <w:rsid w:val="00103E60"/>
    <w:rsid w:val="00105ECE"/>
    <w:rsid w:val="00106ACE"/>
    <w:rsid w:val="00107118"/>
    <w:rsid w:val="0010759F"/>
    <w:rsid w:val="00107A2E"/>
    <w:rsid w:val="00107AA0"/>
    <w:rsid w:val="00110086"/>
    <w:rsid w:val="00110B3C"/>
    <w:rsid w:val="00111BAA"/>
    <w:rsid w:val="00111EE7"/>
    <w:rsid w:val="00112771"/>
    <w:rsid w:val="00112D3F"/>
    <w:rsid w:val="0011573B"/>
    <w:rsid w:val="001167C8"/>
    <w:rsid w:val="00117EBB"/>
    <w:rsid w:val="00122758"/>
    <w:rsid w:val="00122793"/>
    <w:rsid w:val="00123BC1"/>
    <w:rsid w:val="00125507"/>
    <w:rsid w:val="001259FD"/>
    <w:rsid w:val="001268B8"/>
    <w:rsid w:val="00126F98"/>
    <w:rsid w:val="00127932"/>
    <w:rsid w:val="001300B7"/>
    <w:rsid w:val="00130595"/>
    <w:rsid w:val="00131340"/>
    <w:rsid w:val="00131611"/>
    <w:rsid w:val="001318C6"/>
    <w:rsid w:val="00131986"/>
    <w:rsid w:val="00132E88"/>
    <w:rsid w:val="00132E8A"/>
    <w:rsid w:val="00133B56"/>
    <w:rsid w:val="00135348"/>
    <w:rsid w:val="001403D9"/>
    <w:rsid w:val="001403DB"/>
    <w:rsid w:val="001415F2"/>
    <w:rsid w:val="00142D26"/>
    <w:rsid w:val="001450BE"/>
    <w:rsid w:val="001455AE"/>
    <w:rsid w:val="0014597F"/>
    <w:rsid w:val="001462EC"/>
    <w:rsid w:val="001467B9"/>
    <w:rsid w:val="00147F34"/>
    <w:rsid w:val="00151EB1"/>
    <w:rsid w:val="00152BDF"/>
    <w:rsid w:val="001531E3"/>
    <w:rsid w:val="001532B3"/>
    <w:rsid w:val="0015433B"/>
    <w:rsid w:val="00154E3C"/>
    <w:rsid w:val="00154E58"/>
    <w:rsid w:val="00155AC2"/>
    <w:rsid w:val="001571D2"/>
    <w:rsid w:val="001600B4"/>
    <w:rsid w:val="00162D39"/>
    <w:rsid w:val="00163364"/>
    <w:rsid w:val="00163440"/>
    <w:rsid w:val="001641A3"/>
    <w:rsid w:val="00170C29"/>
    <w:rsid w:val="001715C5"/>
    <w:rsid w:val="00172626"/>
    <w:rsid w:val="001738F3"/>
    <w:rsid w:val="00174F42"/>
    <w:rsid w:val="0017773A"/>
    <w:rsid w:val="00177AC3"/>
    <w:rsid w:val="001804E7"/>
    <w:rsid w:val="00180953"/>
    <w:rsid w:val="00180C58"/>
    <w:rsid w:val="00182610"/>
    <w:rsid w:val="00183A24"/>
    <w:rsid w:val="001848D9"/>
    <w:rsid w:val="001856ED"/>
    <w:rsid w:val="00185E55"/>
    <w:rsid w:val="00191A78"/>
    <w:rsid w:val="00191C27"/>
    <w:rsid w:val="0019293B"/>
    <w:rsid w:val="001940C0"/>
    <w:rsid w:val="0019472C"/>
    <w:rsid w:val="00195303"/>
    <w:rsid w:val="00197039"/>
    <w:rsid w:val="001A01D7"/>
    <w:rsid w:val="001A0788"/>
    <w:rsid w:val="001A0B33"/>
    <w:rsid w:val="001A52C0"/>
    <w:rsid w:val="001A6B5B"/>
    <w:rsid w:val="001A78CA"/>
    <w:rsid w:val="001B0066"/>
    <w:rsid w:val="001B00E8"/>
    <w:rsid w:val="001B08DA"/>
    <w:rsid w:val="001B1B58"/>
    <w:rsid w:val="001B23F2"/>
    <w:rsid w:val="001B2E1F"/>
    <w:rsid w:val="001B354A"/>
    <w:rsid w:val="001B3819"/>
    <w:rsid w:val="001B4B43"/>
    <w:rsid w:val="001C1584"/>
    <w:rsid w:val="001C24AE"/>
    <w:rsid w:val="001C50C7"/>
    <w:rsid w:val="001C6D46"/>
    <w:rsid w:val="001C7080"/>
    <w:rsid w:val="001C770D"/>
    <w:rsid w:val="001D073C"/>
    <w:rsid w:val="001D0CCE"/>
    <w:rsid w:val="001D22CC"/>
    <w:rsid w:val="001D2B09"/>
    <w:rsid w:val="001D369A"/>
    <w:rsid w:val="001D3D1F"/>
    <w:rsid w:val="001D6C09"/>
    <w:rsid w:val="001E03F1"/>
    <w:rsid w:val="001E44E2"/>
    <w:rsid w:val="001E5444"/>
    <w:rsid w:val="001E71C5"/>
    <w:rsid w:val="001F018D"/>
    <w:rsid w:val="001F100E"/>
    <w:rsid w:val="001F122A"/>
    <w:rsid w:val="001F14E6"/>
    <w:rsid w:val="001F1A6B"/>
    <w:rsid w:val="001F34B8"/>
    <w:rsid w:val="001F3A05"/>
    <w:rsid w:val="001F62E0"/>
    <w:rsid w:val="001F6F55"/>
    <w:rsid w:val="001F6FD9"/>
    <w:rsid w:val="001F78F4"/>
    <w:rsid w:val="00200EE3"/>
    <w:rsid w:val="00201DBD"/>
    <w:rsid w:val="00203D7F"/>
    <w:rsid w:val="00206A9D"/>
    <w:rsid w:val="0021068D"/>
    <w:rsid w:val="002121DF"/>
    <w:rsid w:val="00216D50"/>
    <w:rsid w:val="00217242"/>
    <w:rsid w:val="002172C9"/>
    <w:rsid w:val="002200AB"/>
    <w:rsid w:val="00220F2C"/>
    <w:rsid w:val="0022119F"/>
    <w:rsid w:val="00223F51"/>
    <w:rsid w:val="002272CC"/>
    <w:rsid w:val="0023083C"/>
    <w:rsid w:val="00236BB0"/>
    <w:rsid w:val="00236F38"/>
    <w:rsid w:val="00237087"/>
    <w:rsid w:val="002378FC"/>
    <w:rsid w:val="00240E41"/>
    <w:rsid w:val="00240FC0"/>
    <w:rsid w:val="002412DF"/>
    <w:rsid w:val="002420C2"/>
    <w:rsid w:val="00242334"/>
    <w:rsid w:val="00242D67"/>
    <w:rsid w:val="00243199"/>
    <w:rsid w:val="002446A0"/>
    <w:rsid w:val="00245F2C"/>
    <w:rsid w:val="00246670"/>
    <w:rsid w:val="00247D87"/>
    <w:rsid w:val="00250637"/>
    <w:rsid w:val="002527F4"/>
    <w:rsid w:val="002545C5"/>
    <w:rsid w:val="002547DE"/>
    <w:rsid w:val="002551EE"/>
    <w:rsid w:val="00255BC6"/>
    <w:rsid w:val="00256159"/>
    <w:rsid w:val="00256F20"/>
    <w:rsid w:val="00263A77"/>
    <w:rsid w:val="002641DC"/>
    <w:rsid w:val="00264767"/>
    <w:rsid w:val="00266C85"/>
    <w:rsid w:val="002701E4"/>
    <w:rsid w:val="00273317"/>
    <w:rsid w:val="00273DC4"/>
    <w:rsid w:val="00280327"/>
    <w:rsid w:val="0028175E"/>
    <w:rsid w:val="002830FF"/>
    <w:rsid w:val="00283D18"/>
    <w:rsid w:val="00283DA4"/>
    <w:rsid w:val="002852FE"/>
    <w:rsid w:val="00286226"/>
    <w:rsid w:val="0028658F"/>
    <w:rsid w:val="00290175"/>
    <w:rsid w:val="00290C99"/>
    <w:rsid w:val="0029212D"/>
    <w:rsid w:val="002937B2"/>
    <w:rsid w:val="002954CE"/>
    <w:rsid w:val="002963C3"/>
    <w:rsid w:val="0029762B"/>
    <w:rsid w:val="002A09FA"/>
    <w:rsid w:val="002A11FA"/>
    <w:rsid w:val="002A14CC"/>
    <w:rsid w:val="002A2089"/>
    <w:rsid w:val="002A2A60"/>
    <w:rsid w:val="002A2B45"/>
    <w:rsid w:val="002A3587"/>
    <w:rsid w:val="002A59FA"/>
    <w:rsid w:val="002A614C"/>
    <w:rsid w:val="002A764D"/>
    <w:rsid w:val="002A7DF0"/>
    <w:rsid w:val="002B490D"/>
    <w:rsid w:val="002B5CF4"/>
    <w:rsid w:val="002B7763"/>
    <w:rsid w:val="002B7D27"/>
    <w:rsid w:val="002C1D14"/>
    <w:rsid w:val="002C1E6B"/>
    <w:rsid w:val="002C1F4A"/>
    <w:rsid w:val="002C2947"/>
    <w:rsid w:val="002C4062"/>
    <w:rsid w:val="002C46C4"/>
    <w:rsid w:val="002C56C6"/>
    <w:rsid w:val="002C5D46"/>
    <w:rsid w:val="002C5FDD"/>
    <w:rsid w:val="002C661D"/>
    <w:rsid w:val="002D0DFA"/>
    <w:rsid w:val="002D21AF"/>
    <w:rsid w:val="002D2A9B"/>
    <w:rsid w:val="002D30B1"/>
    <w:rsid w:val="002D3EDA"/>
    <w:rsid w:val="002D4908"/>
    <w:rsid w:val="002D57E6"/>
    <w:rsid w:val="002D6053"/>
    <w:rsid w:val="002D7156"/>
    <w:rsid w:val="002D7F1F"/>
    <w:rsid w:val="002E09B9"/>
    <w:rsid w:val="002E0A26"/>
    <w:rsid w:val="002E1243"/>
    <w:rsid w:val="002E16BB"/>
    <w:rsid w:val="002E2557"/>
    <w:rsid w:val="002E278D"/>
    <w:rsid w:val="002E35D8"/>
    <w:rsid w:val="002E3BF4"/>
    <w:rsid w:val="002E4355"/>
    <w:rsid w:val="002F16AA"/>
    <w:rsid w:val="002F1DB0"/>
    <w:rsid w:val="002F2F1A"/>
    <w:rsid w:val="002F3ACD"/>
    <w:rsid w:val="002F464D"/>
    <w:rsid w:val="002F49F5"/>
    <w:rsid w:val="0030173A"/>
    <w:rsid w:val="00301B3E"/>
    <w:rsid w:val="00304CA8"/>
    <w:rsid w:val="00304DCB"/>
    <w:rsid w:val="00305A73"/>
    <w:rsid w:val="00310BA2"/>
    <w:rsid w:val="00311A4D"/>
    <w:rsid w:val="003128C7"/>
    <w:rsid w:val="00313EA8"/>
    <w:rsid w:val="00314969"/>
    <w:rsid w:val="00316034"/>
    <w:rsid w:val="003173EC"/>
    <w:rsid w:val="003213BF"/>
    <w:rsid w:val="003237FF"/>
    <w:rsid w:val="003247D5"/>
    <w:rsid w:val="00324841"/>
    <w:rsid w:val="0032748C"/>
    <w:rsid w:val="00327C13"/>
    <w:rsid w:val="0033161C"/>
    <w:rsid w:val="003324E1"/>
    <w:rsid w:val="00334451"/>
    <w:rsid w:val="00335C1D"/>
    <w:rsid w:val="00335C5E"/>
    <w:rsid w:val="003368FA"/>
    <w:rsid w:val="00337046"/>
    <w:rsid w:val="0033746D"/>
    <w:rsid w:val="003406BE"/>
    <w:rsid w:val="00341BEE"/>
    <w:rsid w:val="003422C0"/>
    <w:rsid w:val="00342641"/>
    <w:rsid w:val="00343EEB"/>
    <w:rsid w:val="00345238"/>
    <w:rsid w:val="003501C9"/>
    <w:rsid w:val="0035053C"/>
    <w:rsid w:val="0035299F"/>
    <w:rsid w:val="0035381C"/>
    <w:rsid w:val="003539CD"/>
    <w:rsid w:val="00353CEE"/>
    <w:rsid w:val="00354E91"/>
    <w:rsid w:val="0035560B"/>
    <w:rsid w:val="00357F40"/>
    <w:rsid w:val="00365614"/>
    <w:rsid w:val="003674FD"/>
    <w:rsid w:val="00367587"/>
    <w:rsid w:val="0037037C"/>
    <w:rsid w:val="0037182A"/>
    <w:rsid w:val="00371EBD"/>
    <w:rsid w:val="00372E55"/>
    <w:rsid w:val="00373928"/>
    <w:rsid w:val="003739E0"/>
    <w:rsid w:val="00373C6E"/>
    <w:rsid w:val="0037460E"/>
    <w:rsid w:val="0038005A"/>
    <w:rsid w:val="003815BF"/>
    <w:rsid w:val="00381896"/>
    <w:rsid w:val="00381B93"/>
    <w:rsid w:val="0038464F"/>
    <w:rsid w:val="00385167"/>
    <w:rsid w:val="003854BE"/>
    <w:rsid w:val="00386457"/>
    <w:rsid w:val="003900D0"/>
    <w:rsid w:val="00391209"/>
    <w:rsid w:val="003917EE"/>
    <w:rsid w:val="00391C96"/>
    <w:rsid w:val="003936E9"/>
    <w:rsid w:val="003A0EA1"/>
    <w:rsid w:val="003A11F3"/>
    <w:rsid w:val="003A4C2D"/>
    <w:rsid w:val="003A5288"/>
    <w:rsid w:val="003A5B62"/>
    <w:rsid w:val="003A76F8"/>
    <w:rsid w:val="003A7A8A"/>
    <w:rsid w:val="003B040F"/>
    <w:rsid w:val="003B36B9"/>
    <w:rsid w:val="003B38B1"/>
    <w:rsid w:val="003B4C1F"/>
    <w:rsid w:val="003B5D88"/>
    <w:rsid w:val="003B5F04"/>
    <w:rsid w:val="003B614A"/>
    <w:rsid w:val="003B65E5"/>
    <w:rsid w:val="003B6A9E"/>
    <w:rsid w:val="003B7F40"/>
    <w:rsid w:val="003C0144"/>
    <w:rsid w:val="003C3010"/>
    <w:rsid w:val="003C318C"/>
    <w:rsid w:val="003C5448"/>
    <w:rsid w:val="003C5B1E"/>
    <w:rsid w:val="003C7A3C"/>
    <w:rsid w:val="003D0003"/>
    <w:rsid w:val="003D0539"/>
    <w:rsid w:val="003D0644"/>
    <w:rsid w:val="003D207C"/>
    <w:rsid w:val="003D23EF"/>
    <w:rsid w:val="003D5C8A"/>
    <w:rsid w:val="003D650B"/>
    <w:rsid w:val="003E4F9B"/>
    <w:rsid w:val="003E5B3B"/>
    <w:rsid w:val="003E79C5"/>
    <w:rsid w:val="003F0859"/>
    <w:rsid w:val="003F6D31"/>
    <w:rsid w:val="003F6DEA"/>
    <w:rsid w:val="003F7F72"/>
    <w:rsid w:val="004007B3"/>
    <w:rsid w:val="004053EC"/>
    <w:rsid w:val="00406A77"/>
    <w:rsid w:val="004076ED"/>
    <w:rsid w:val="00407F9D"/>
    <w:rsid w:val="00411835"/>
    <w:rsid w:val="00412306"/>
    <w:rsid w:val="0041315F"/>
    <w:rsid w:val="00413BC7"/>
    <w:rsid w:val="00413FC0"/>
    <w:rsid w:val="0041427D"/>
    <w:rsid w:val="00414E60"/>
    <w:rsid w:val="00417418"/>
    <w:rsid w:val="00421B84"/>
    <w:rsid w:val="00422A37"/>
    <w:rsid w:val="00423554"/>
    <w:rsid w:val="00423B4C"/>
    <w:rsid w:val="00425205"/>
    <w:rsid w:val="00426F45"/>
    <w:rsid w:val="0042713B"/>
    <w:rsid w:val="00427D7B"/>
    <w:rsid w:val="00430BEA"/>
    <w:rsid w:val="00431200"/>
    <w:rsid w:val="0043212D"/>
    <w:rsid w:val="00432817"/>
    <w:rsid w:val="00434B49"/>
    <w:rsid w:val="00440AAA"/>
    <w:rsid w:val="00442BAF"/>
    <w:rsid w:val="004431C6"/>
    <w:rsid w:val="00444414"/>
    <w:rsid w:val="00446609"/>
    <w:rsid w:val="00446919"/>
    <w:rsid w:val="00446CA4"/>
    <w:rsid w:val="0044726E"/>
    <w:rsid w:val="00450EA0"/>
    <w:rsid w:val="0045101A"/>
    <w:rsid w:val="004528F4"/>
    <w:rsid w:val="00453007"/>
    <w:rsid w:val="00454A0A"/>
    <w:rsid w:val="00460227"/>
    <w:rsid w:val="004606DF"/>
    <w:rsid w:val="00460B84"/>
    <w:rsid w:val="00460E6A"/>
    <w:rsid w:val="00460EE7"/>
    <w:rsid w:val="004615E9"/>
    <w:rsid w:val="004625B9"/>
    <w:rsid w:val="00462B00"/>
    <w:rsid w:val="00463620"/>
    <w:rsid w:val="004641AB"/>
    <w:rsid w:val="00464EDE"/>
    <w:rsid w:val="00466C66"/>
    <w:rsid w:val="00467E26"/>
    <w:rsid w:val="00467EEC"/>
    <w:rsid w:val="004718B8"/>
    <w:rsid w:val="0047208F"/>
    <w:rsid w:val="004731A5"/>
    <w:rsid w:val="0047465D"/>
    <w:rsid w:val="00476019"/>
    <w:rsid w:val="00476218"/>
    <w:rsid w:val="00480A4A"/>
    <w:rsid w:val="00480E0D"/>
    <w:rsid w:val="0048276A"/>
    <w:rsid w:val="004830D7"/>
    <w:rsid w:val="0048431D"/>
    <w:rsid w:val="00484CAC"/>
    <w:rsid w:val="00484DB6"/>
    <w:rsid w:val="00484EBD"/>
    <w:rsid w:val="00486E18"/>
    <w:rsid w:val="00490009"/>
    <w:rsid w:val="00491A64"/>
    <w:rsid w:val="00492F2E"/>
    <w:rsid w:val="00492FBE"/>
    <w:rsid w:val="0049307F"/>
    <w:rsid w:val="00496DBC"/>
    <w:rsid w:val="00497266"/>
    <w:rsid w:val="00497D6E"/>
    <w:rsid w:val="004A1648"/>
    <w:rsid w:val="004A448C"/>
    <w:rsid w:val="004A4B79"/>
    <w:rsid w:val="004A5C10"/>
    <w:rsid w:val="004A7B4F"/>
    <w:rsid w:val="004A7CAE"/>
    <w:rsid w:val="004A7DB8"/>
    <w:rsid w:val="004B05B2"/>
    <w:rsid w:val="004B294C"/>
    <w:rsid w:val="004B2B48"/>
    <w:rsid w:val="004B3A50"/>
    <w:rsid w:val="004B5156"/>
    <w:rsid w:val="004B65B6"/>
    <w:rsid w:val="004B6987"/>
    <w:rsid w:val="004B7303"/>
    <w:rsid w:val="004B7571"/>
    <w:rsid w:val="004B7E40"/>
    <w:rsid w:val="004C2390"/>
    <w:rsid w:val="004C34D2"/>
    <w:rsid w:val="004C3BD6"/>
    <w:rsid w:val="004C6085"/>
    <w:rsid w:val="004C776B"/>
    <w:rsid w:val="004D00B5"/>
    <w:rsid w:val="004D1C82"/>
    <w:rsid w:val="004D4F2D"/>
    <w:rsid w:val="004D5704"/>
    <w:rsid w:val="004D6721"/>
    <w:rsid w:val="004D6A86"/>
    <w:rsid w:val="004D6D9D"/>
    <w:rsid w:val="004D6EDF"/>
    <w:rsid w:val="004D7196"/>
    <w:rsid w:val="004D7D58"/>
    <w:rsid w:val="004E00FE"/>
    <w:rsid w:val="004E1690"/>
    <w:rsid w:val="004E3970"/>
    <w:rsid w:val="004E3EBF"/>
    <w:rsid w:val="004E58DC"/>
    <w:rsid w:val="004E5C29"/>
    <w:rsid w:val="004E5ED5"/>
    <w:rsid w:val="004E69EE"/>
    <w:rsid w:val="004F1EDF"/>
    <w:rsid w:val="004F57A2"/>
    <w:rsid w:val="004F7A7A"/>
    <w:rsid w:val="004F7AD9"/>
    <w:rsid w:val="0050061D"/>
    <w:rsid w:val="00501054"/>
    <w:rsid w:val="00501351"/>
    <w:rsid w:val="0050171A"/>
    <w:rsid w:val="00501D12"/>
    <w:rsid w:val="00501E18"/>
    <w:rsid w:val="00503327"/>
    <w:rsid w:val="00503808"/>
    <w:rsid w:val="00503B04"/>
    <w:rsid w:val="005041AA"/>
    <w:rsid w:val="0050436B"/>
    <w:rsid w:val="00505C1F"/>
    <w:rsid w:val="00506D54"/>
    <w:rsid w:val="005073D5"/>
    <w:rsid w:val="00512136"/>
    <w:rsid w:val="0051288C"/>
    <w:rsid w:val="005139EC"/>
    <w:rsid w:val="0051509C"/>
    <w:rsid w:val="0052279D"/>
    <w:rsid w:val="00523CCB"/>
    <w:rsid w:val="005244ED"/>
    <w:rsid w:val="005250E7"/>
    <w:rsid w:val="0052519A"/>
    <w:rsid w:val="00526D77"/>
    <w:rsid w:val="00527B43"/>
    <w:rsid w:val="0053093C"/>
    <w:rsid w:val="00531FFB"/>
    <w:rsid w:val="00533A21"/>
    <w:rsid w:val="00535437"/>
    <w:rsid w:val="00537235"/>
    <w:rsid w:val="0054153D"/>
    <w:rsid w:val="00542734"/>
    <w:rsid w:val="00542859"/>
    <w:rsid w:val="00543922"/>
    <w:rsid w:val="005454DF"/>
    <w:rsid w:val="0054583E"/>
    <w:rsid w:val="005467C1"/>
    <w:rsid w:val="005515F8"/>
    <w:rsid w:val="00555829"/>
    <w:rsid w:val="00557E8D"/>
    <w:rsid w:val="0056098B"/>
    <w:rsid w:val="00560A9F"/>
    <w:rsid w:val="00563A42"/>
    <w:rsid w:val="00564E53"/>
    <w:rsid w:val="005659EB"/>
    <w:rsid w:val="00565D84"/>
    <w:rsid w:val="00572820"/>
    <w:rsid w:val="00573C5A"/>
    <w:rsid w:val="0057455F"/>
    <w:rsid w:val="005750A7"/>
    <w:rsid w:val="00575571"/>
    <w:rsid w:val="0057798A"/>
    <w:rsid w:val="0058071C"/>
    <w:rsid w:val="00581961"/>
    <w:rsid w:val="00582EC4"/>
    <w:rsid w:val="005837D4"/>
    <w:rsid w:val="00586755"/>
    <w:rsid w:val="005870F1"/>
    <w:rsid w:val="00587481"/>
    <w:rsid w:val="00590BB8"/>
    <w:rsid w:val="00591474"/>
    <w:rsid w:val="00591FD9"/>
    <w:rsid w:val="005920AD"/>
    <w:rsid w:val="00592CC0"/>
    <w:rsid w:val="00594F71"/>
    <w:rsid w:val="005964A0"/>
    <w:rsid w:val="00597902"/>
    <w:rsid w:val="005A0193"/>
    <w:rsid w:val="005A5B66"/>
    <w:rsid w:val="005A760D"/>
    <w:rsid w:val="005B21D2"/>
    <w:rsid w:val="005B29CD"/>
    <w:rsid w:val="005B323D"/>
    <w:rsid w:val="005B60BE"/>
    <w:rsid w:val="005B73F7"/>
    <w:rsid w:val="005B75DB"/>
    <w:rsid w:val="005B7A9F"/>
    <w:rsid w:val="005C348C"/>
    <w:rsid w:val="005C36CB"/>
    <w:rsid w:val="005C5137"/>
    <w:rsid w:val="005C6230"/>
    <w:rsid w:val="005C6991"/>
    <w:rsid w:val="005C7539"/>
    <w:rsid w:val="005C7991"/>
    <w:rsid w:val="005C7DD0"/>
    <w:rsid w:val="005D0129"/>
    <w:rsid w:val="005D080E"/>
    <w:rsid w:val="005D1DE9"/>
    <w:rsid w:val="005D1E60"/>
    <w:rsid w:val="005D5747"/>
    <w:rsid w:val="005D6750"/>
    <w:rsid w:val="005D7462"/>
    <w:rsid w:val="005E3E41"/>
    <w:rsid w:val="005E6AC2"/>
    <w:rsid w:val="005F1429"/>
    <w:rsid w:val="005F1C73"/>
    <w:rsid w:val="005F739A"/>
    <w:rsid w:val="00600DAD"/>
    <w:rsid w:val="00601288"/>
    <w:rsid w:val="00601EB1"/>
    <w:rsid w:val="0060283D"/>
    <w:rsid w:val="00602DDC"/>
    <w:rsid w:val="00602F88"/>
    <w:rsid w:val="00603219"/>
    <w:rsid w:val="006041E9"/>
    <w:rsid w:val="00604825"/>
    <w:rsid w:val="00604F1D"/>
    <w:rsid w:val="00605BA4"/>
    <w:rsid w:val="00605EBE"/>
    <w:rsid w:val="00606D9C"/>
    <w:rsid w:val="00606F25"/>
    <w:rsid w:val="0060790E"/>
    <w:rsid w:val="00607EE9"/>
    <w:rsid w:val="00611FAF"/>
    <w:rsid w:val="006129D4"/>
    <w:rsid w:val="006139D2"/>
    <w:rsid w:val="00613AED"/>
    <w:rsid w:val="00615A40"/>
    <w:rsid w:val="00616625"/>
    <w:rsid w:val="00625BDD"/>
    <w:rsid w:val="0063212D"/>
    <w:rsid w:val="00632B12"/>
    <w:rsid w:val="00632D64"/>
    <w:rsid w:val="00634581"/>
    <w:rsid w:val="00634E30"/>
    <w:rsid w:val="00635FA5"/>
    <w:rsid w:val="0063734A"/>
    <w:rsid w:val="0064086B"/>
    <w:rsid w:val="00642A20"/>
    <w:rsid w:val="00644392"/>
    <w:rsid w:val="0064661C"/>
    <w:rsid w:val="00650C72"/>
    <w:rsid w:val="00654BA8"/>
    <w:rsid w:val="00655DA5"/>
    <w:rsid w:val="00661B3A"/>
    <w:rsid w:val="0066430F"/>
    <w:rsid w:val="006673F7"/>
    <w:rsid w:val="00670B0E"/>
    <w:rsid w:val="00671D32"/>
    <w:rsid w:val="00671EB9"/>
    <w:rsid w:val="006723F0"/>
    <w:rsid w:val="0067389C"/>
    <w:rsid w:val="006738E4"/>
    <w:rsid w:val="006776D5"/>
    <w:rsid w:val="006778B8"/>
    <w:rsid w:val="00680FB2"/>
    <w:rsid w:val="00682316"/>
    <w:rsid w:val="00682AE2"/>
    <w:rsid w:val="0068337D"/>
    <w:rsid w:val="006857C7"/>
    <w:rsid w:val="00686196"/>
    <w:rsid w:val="00686CD7"/>
    <w:rsid w:val="006874FC"/>
    <w:rsid w:val="00687FAB"/>
    <w:rsid w:val="006904B8"/>
    <w:rsid w:val="00691613"/>
    <w:rsid w:val="0069283B"/>
    <w:rsid w:val="00693FBB"/>
    <w:rsid w:val="00694491"/>
    <w:rsid w:val="00695581"/>
    <w:rsid w:val="00695E36"/>
    <w:rsid w:val="00695E5D"/>
    <w:rsid w:val="00696ECF"/>
    <w:rsid w:val="00697C03"/>
    <w:rsid w:val="00697D37"/>
    <w:rsid w:val="006A12E2"/>
    <w:rsid w:val="006A324C"/>
    <w:rsid w:val="006A4912"/>
    <w:rsid w:val="006A5287"/>
    <w:rsid w:val="006A66D6"/>
    <w:rsid w:val="006B0141"/>
    <w:rsid w:val="006B2758"/>
    <w:rsid w:val="006B2955"/>
    <w:rsid w:val="006B52DB"/>
    <w:rsid w:val="006B5336"/>
    <w:rsid w:val="006B5CED"/>
    <w:rsid w:val="006C02AF"/>
    <w:rsid w:val="006C4C64"/>
    <w:rsid w:val="006C6A06"/>
    <w:rsid w:val="006C795A"/>
    <w:rsid w:val="006C7A44"/>
    <w:rsid w:val="006D0FAC"/>
    <w:rsid w:val="006D1135"/>
    <w:rsid w:val="006D17DD"/>
    <w:rsid w:val="006D185E"/>
    <w:rsid w:val="006D2058"/>
    <w:rsid w:val="006D2C30"/>
    <w:rsid w:val="006D3168"/>
    <w:rsid w:val="006D3AE9"/>
    <w:rsid w:val="006D3EE2"/>
    <w:rsid w:val="006D47AF"/>
    <w:rsid w:val="006D72C4"/>
    <w:rsid w:val="006D76BB"/>
    <w:rsid w:val="006E06B0"/>
    <w:rsid w:val="006E07E4"/>
    <w:rsid w:val="006E0ADE"/>
    <w:rsid w:val="006E0ED1"/>
    <w:rsid w:val="006E23C4"/>
    <w:rsid w:val="006E335E"/>
    <w:rsid w:val="006E434E"/>
    <w:rsid w:val="006E5183"/>
    <w:rsid w:val="006E5835"/>
    <w:rsid w:val="006E5915"/>
    <w:rsid w:val="006E5A65"/>
    <w:rsid w:val="006E7365"/>
    <w:rsid w:val="006F243C"/>
    <w:rsid w:val="006F2C31"/>
    <w:rsid w:val="006F4F07"/>
    <w:rsid w:val="006F50F9"/>
    <w:rsid w:val="006F62C8"/>
    <w:rsid w:val="006F6564"/>
    <w:rsid w:val="006F7B73"/>
    <w:rsid w:val="00703D9C"/>
    <w:rsid w:val="00703DED"/>
    <w:rsid w:val="00705934"/>
    <w:rsid w:val="00706E73"/>
    <w:rsid w:val="007076C6"/>
    <w:rsid w:val="00710BD4"/>
    <w:rsid w:val="007118A0"/>
    <w:rsid w:val="00712ADB"/>
    <w:rsid w:val="00715785"/>
    <w:rsid w:val="007168BF"/>
    <w:rsid w:val="00720035"/>
    <w:rsid w:val="007227F9"/>
    <w:rsid w:val="00723962"/>
    <w:rsid w:val="00723DEB"/>
    <w:rsid w:val="00724572"/>
    <w:rsid w:val="0072509B"/>
    <w:rsid w:val="00725F2D"/>
    <w:rsid w:val="007322EB"/>
    <w:rsid w:val="00734420"/>
    <w:rsid w:val="007345BD"/>
    <w:rsid w:val="00734A18"/>
    <w:rsid w:val="0073589E"/>
    <w:rsid w:val="00737899"/>
    <w:rsid w:val="00737C35"/>
    <w:rsid w:val="00740DCC"/>
    <w:rsid w:val="0074566A"/>
    <w:rsid w:val="0075055F"/>
    <w:rsid w:val="00751190"/>
    <w:rsid w:val="00752319"/>
    <w:rsid w:val="00752D63"/>
    <w:rsid w:val="0075721D"/>
    <w:rsid w:val="0075750C"/>
    <w:rsid w:val="007600ED"/>
    <w:rsid w:val="00761157"/>
    <w:rsid w:val="00762224"/>
    <w:rsid w:val="007634D0"/>
    <w:rsid w:val="007644AA"/>
    <w:rsid w:val="00766BE6"/>
    <w:rsid w:val="00770B37"/>
    <w:rsid w:val="00771B30"/>
    <w:rsid w:val="00771F61"/>
    <w:rsid w:val="00776009"/>
    <w:rsid w:val="00777EC7"/>
    <w:rsid w:val="00777F9C"/>
    <w:rsid w:val="0078119F"/>
    <w:rsid w:val="00781D89"/>
    <w:rsid w:val="00781DF7"/>
    <w:rsid w:val="00784CEE"/>
    <w:rsid w:val="00785331"/>
    <w:rsid w:val="00785CD5"/>
    <w:rsid w:val="007872FD"/>
    <w:rsid w:val="00790313"/>
    <w:rsid w:val="0079236E"/>
    <w:rsid w:val="007938BD"/>
    <w:rsid w:val="00794558"/>
    <w:rsid w:val="007966F8"/>
    <w:rsid w:val="00796759"/>
    <w:rsid w:val="00796BF6"/>
    <w:rsid w:val="00796CB6"/>
    <w:rsid w:val="007970CA"/>
    <w:rsid w:val="0079719D"/>
    <w:rsid w:val="007A1AD6"/>
    <w:rsid w:val="007A44C5"/>
    <w:rsid w:val="007A5882"/>
    <w:rsid w:val="007A6F99"/>
    <w:rsid w:val="007B671C"/>
    <w:rsid w:val="007B6A0F"/>
    <w:rsid w:val="007B6D8C"/>
    <w:rsid w:val="007B7415"/>
    <w:rsid w:val="007B7587"/>
    <w:rsid w:val="007C1162"/>
    <w:rsid w:val="007C1C5B"/>
    <w:rsid w:val="007C1D84"/>
    <w:rsid w:val="007C2FBF"/>
    <w:rsid w:val="007C43FA"/>
    <w:rsid w:val="007C5E23"/>
    <w:rsid w:val="007C63B5"/>
    <w:rsid w:val="007D09A1"/>
    <w:rsid w:val="007D0A21"/>
    <w:rsid w:val="007D4938"/>
    <w:rsid w:val="007D4AE5"/>
    <w:rsid w:val="007D690F"/>
    <w:rsid w:val="007D7AB6"/>
    <w:rsid w:val="007D7C09"/>
    <w:rsid w:val="007E1C05"/>
    <w:rsid w:val="007E39F4"/>
    <w:rsid w:val="007E406F"/>
    <w:rsid w:val="007E605D"/>
    <w:rsid w:val="007F1CB0"/>
    <w:rsid w:val="007F4291"/>
    <w:rsid w:val="007F513A"/>
    <w:rsid w:val="007F6153"/>
    <w:rsid w:val="007F74C4"/>
    <w:rsid w:val="00800B92"/>
    <w:rsid w:val="00800C5E"/>
    <w:rsid w:val="00801B14"/>
    <w:rsid w:val="00801EDA"/>
    <w:rsid w:val="008025A2"/>
    <w:rsid w:val="008037C6"/>
    <w:rsid w:val="008044CF"/>
    <w:rsid w:val="00807061"/>
    <w:rsid w:val="00810A54"/>
    <w:rsid w:val="00810B86"/>
    <w:rsid w:val="008127B3"/>
    <w:rsid w:val="00812D68"/>
    <w:rsid w:val="0081370C"/>
    <w:rsid w:val="00815B31"/>
    <w:rsid w:val="00816D23"/>
    <w:rsid w:val="0082086C"/>
    <w:rsid w:val="00821C4C"/>
    <w:rsid w:val="0082385C"/>
    <w:rsid w:val="00824047"/>
    <w:rsid w:val="0082616E"/>
    <w:rsid w:val="00826EC9"/>
    <w:rsid w:val="00827CF1"/>
    <w:rsid w:val="00830BA1"/>
    <w:rsid w:val="00830BF9"/>
    <w:rsid w:val="00830EED"/>
    <w:rsid w:val="00837C07"/>
    <w:rsid w:val="00840A6E"/>
    <w:rsid w:val="0084133B"/>
    <w:rsid w:val="00841C04"/>
    <w:rsid w:val="008437A4"/>
    <w:rsid w:val="00844443"/>
    <w:rsid w:val="0084533B"/>
    <w:rsid w:val="00846242"/>
    <w:rsid w:val="008464FD"/>
    <w:rsid w:val="0084712E"/>
    <w:rsid w:val="00850235"/>
    <w:rsid w:val="00851140"/>
    <w:rsid w:val="008513CE"/>
    <w:rsid w:val="00851F18"/>
    <w:rsid w:val="008521DE"/>
    <w:rsid w:val="00852E73"/>
    <w:rsid w:val="00854D9D"/>
    <w:rsid w:val="0085725F"/>
    <w:rsid w:val="0085774A"/>
    <w:rsid w:val="0085793B"/>
    <w:rsid w:val="00860594"/>
    <w:rsid w:val="00861A13"/>
    <w:rsid w:val="00861DBD"/>
    <w:rsid w:val="00862B59"/>
    <w:rsid w:val="008634EA"/>
    <w:rsid w:val="008644D8"/>
    <w:rsid w:val="00864BCE"/>
    <w:rsid w:val="00864CC8"/>
    <w:rsid w:val="00865541"/>
    <w:rsid w:val="00866C44"/>
    <w:rsid w:val="00867166"/>
    <w:rsid w:val="00871376"/>
    <w:rsid w:val="008720B8"/>
    <w:rsid w:val="00874A79"/>
    <w:rsid w:val="00875A9A"/>
    <w:rsid w:val="00876255"/>
    <w:rsid w:val="00880C81"/>
    <w:rsid w:val="008819B0"/>
    <w:rsid w:val="00882A3B"/>
    <w:rsid w:val="00882F70"/>
    <w:rsid w:val="008836F5"/>
    <w:rsid w:val="0088478A"/>
    <w:rsid w:val="00884914"/>
    <w:rsid w:val="00885284"/>
    <w:rsid w:val="00885A52"/>
    <w:rsid w:val="0088694A"/>
    <w:rsid w:val="00887084"/>
    <w:rsid w:val="0089142D"/>
    <w:rsid w:val="00892BA3"/>
    <w:rsid w:val="00893212"/>
    <w:rsid w:val="00895379"/>
    <w:rsid w:val="00895910"/>
    <w:rsid w:val="00895DE4"/>
    <w:rsid w:val="008A1372"/>
    <w:rsid w:val="008A13E2"/>
    <w:rsid w:val="008A3C27"/>
    <w:rsid w:val="008A4E20"/>
    <w:rsid w:val="008A4E36"/>
    <w:rsid w:val="008A6732"/>
    <w:rsid w:val="008A6B2F"/>
    <w:rsid w:val="008B1C6E"/>
    <w:rsid w:val="008B4EB1"/>
    <w:rsid w:val="008B555C"/>
    <w:rsid w:val="008C02E5"/>
    <w:rsid w:val="008C0673"/>
    <w:rsid w:val="008C0E76"/>
    <w:rsid w:val="008C2554"/>
    <w:rsid w:val="008C4A14"/>
    <w:rsid w:val="008C6D7F"/>
    <w:rsid w:val="008D079B"/>
    <w:rsid w:val="008D07E7"/>
    <w:rsid w:val="008D3C64"/>
    <w:rsid w:val="008D536D"/>
    <w:rsid w:val="008D7E94"/>
    <w:rsid w:val="008E69BC"/>
    <w:rsid w:val="008E71BF"/>
    <w:rsid w:val="008F0194"/>
    <w:rsid w:val="008F4B2F"/>
    <w:rsid w:val="008F4B71"/>
    <w:rsid w:val="008F513C"/>
    <w:rsid w:val="008F5D81"/>
    <w:rsid w:val="008F6F8B"/>
    <w:rsid w:val="009009AC"/>
    <w:rsid w:val="00901012"/>
    <w:rsid w:val="009015FB"/>
    <w:rsid w:val="00903C3E"/>
    <w:rsid w:val="00903E6A"/>
    <w:rsid w:val="00906F82"/>
    <w:rsid w:val="00914E77"/>
    <w:rsid w:val="0091784A"/>
    <w:rsid w:val="00917B3C"/>
    <w:rsid w:val="00920222"/>
    <w:rsid w:val="009203B9"/>
    <w:rsid w:val="00920D8C"/>
    <w:rsid w:val="00921370"/>
    <w:rsid w:val="009275FF"/>
    <w:rsid w:val="00927ABE"/>
    <w:rsid w:val="0093121B"/>
    <w:rsid w:val="0093177E"/>
    <w:rsid w:val="00931783"/>
    <w:rsid w:val="009321DF"/>
    <w:rsid w:val="00932D1F"/>
    <w:rsid w:val="0093482A"/>
    <w:rsid w:val="00935EEE"/>
    <w:rsid w:val="009405EE"/>
    <w:rsid w:val="009411B6"/>
    <w:rsid w:val="00941C63"/>
    <w:rsid w:val="00942D18"/>
    <w:rsid w:val="009435CD"/>
    <w:rsid w:val="00944F83"/>
    <w:rsid w:val="009451C6"/>
    <w:rsid w:val="00946455"/>
    <w:rsid w:val="009466ED"/>
    <w:rsid w:val="009476E9"/>
    <w:rsid w:val="00953F7E"/>
    <w:rsid w:val="0095409B"/>
    <w:rsid w:val="009557DB"/>
    <w:rsid w:val="009559BB"/>
    <w:rsid w:val="00955BEC"/>
    <w:rsid w:val="00957AF9"/>
    <w:rsid w:val="00957DD4"/>
    <w:rsid w:val="009614A0"/>
    <w:rsid w:val="00962EBA"/>
    <w:rsid w:val="00964C70"/>
    <w:rsid w:val="0096522F"/>
    <w:rsid w:val="00966E70"/>
    <w:rsid w:val="0097016C"/>
    <w:rsid w:val="0097027A"/>
    <w:rsid w:val="00971BB2"/>
    <w:rsid w:val="00974F5E"/>
    <w:rsid w:val="00976365"/>
    <w:rsid w:val="00980780"/>
    <w:rsid w:val="00985F0C"/>
    <w:rsid w:val="00986D44"/>
    <w:rsid w:val="00986FB0"/>
    <w:rsid w:val="009873E4"/>
    <w:rsid w:val="00990AEC"/>
    <w:rsid w:val="00992D64"/>
    <w:rsid w:val="009931B4"/>
    <w:rsid w:val="00994C9C"/>
    <w:rsid w:val="00994D46"/>
    <w:rsid w:val="0099644D"/>
    <w:rsid w:val="00997CD5"/>
    <w:rsid w:val="009A0852"/>
    <w:rsid w:val="009A0B89"/>
    <w:rsid w:val="009A0B9A"/>
    <w:rsid w:val="009A1320"/>
    <w:rsid w:val="009A1AD7"/>
    <w:rsid w:val="009A2B6A"/>
    <w:rsid w:val="009A3285"/>
    <w:rsid w:val="009A58FD"/>
    <w:rsid w:val="009A5AB3"/>
    <w:rsid w:val="009A7E4E"/>
    <w:rsid w:val="009B1933"/>
    <w:rsid w:val="009B1F7B"/>
    <w:rsid w:val="009B2053"/>
    <w:rsid w:val="009B28C7"/>
    <w:rsid w:val="009B369D"/>
    <w:rsid w:val="009B3C06"/>
    <w:rsid w:val="009B45B9"/>
    <w:rsid w:val="009B45F0"/>
    <w:rsid w:val="009B50AD"/>
    <w:rsid w:val="009B6268"/>
    <w:rsid w:val="009B7F9B"/>
    <w:rsid w:val="009C034B"/>
    <w:rsid w:val="009C0C83"/>
    <w:rsid w:val="009C1346"/>
    <w:rsid w:val="009C1F69"/>
    <w:rsid w:val="009C2949"/>
    <w:rsid w:val="009C30DD"/>
    <w:rsid w:val="009C3B71"/>
    <w:rsid w:val="009C4E1D"/>
    <w:rsid w:val="009C6113"/>
    <w:rsid w:val="009D13BD"/>
    <w:rsid w:val="009D1764"/>
    <w:rsid w:val="009D38D0"/>
    <w:rsid w:val="009D499C"/>
    <w:rsid w:val="009D4C62"/>
    <w:rsid w:val="009D76CC"/>
    <w:rsid w:val="009E4210"/>
    <w:rsid w:val="009E4503"/>
    <w:rsid w:val="009E5422"/>
    <w:rsid w:val="009E6934"/>
    <w:rsid w:val="009F0196"/>
    <w:rsid w:val="009F0695"/>
    <w:rsid w:val="009F0AE5"/>
    <w:rsid w:val="009F132E"/>
    <w:rsid w:val="009F1E60"/>
    <w:rsid w:val="009F3EC4"/>
    <w:rsid w:val="00A0258E"/>
    <w:rsid w:val="00A03008"/>
    <w:rsid w:val="00A03721"/>
    <w:rsid w:val="00A03BC2"/>
    <w:rsid w:val="00A04ADB"/>
    <w:rsid w:val="00A05F11"/>
    <w:rsid w:val="00A07C63"/>
    <w:rsid w:val="00A128F7"/>
    <w:rsid w:val="00A12A40"/>
    <w:rsid w:val="00A14A0B"/>
    <w:rsid w:val="00A162CF"/>
    <w:rsid w:val="00A173D7"/>
    <w:rsid w:val="00A17DC8"/>
    <w:rsid w:val="00A208C3"/>
    <w:rsid w:val="00A23C63"/>
    <w:rsid w:val="00A249D8"/>
    <w:rsid w:val="00A25BAF"/>
    <w:rsid w:val="00A265C8"/>
    <w:rsid w:val="00A2726F"/>
    <w:rsid w:val="00A30804"/>
    <w:rsid w:val="00A31982"/>
    <w:rsid w:val="00A34FB8"/>
    <w:rsid w:val="00A3617F"/>
    <w:rsid w:val="00A36D7A"/>
    <w:rsid w:val="00A43766"/>
    <w:rsid w:val="00A43A19"/>
    <w:rsid w:val="00A43E79"/>
    <w:rsid w:val="00A45644"/>
    <w:rsid w:val="00A504AE"/>
    <w:rsid w:val="00A5081F"/>
    <w:rsid w:val="00A50E05"/>
    <w:rsid w:val="00A523CF"/>
    <w:rsid w:val="00A5295C"/>
    <w:rsid w:val="00A54B28"/>
    <w:rsid w:val="00A553E9"/>
    <w:rsid w:val="00A60F2C"/>
    <w:rsid w:val="00A62F36"/>
    <w:rsid w:val="00A63C25"/>
    <w:rsid w:val="00A63C7E"/>
    <w:rsid w:val="00A64B30"/>
    <w:rsid w:val="00A64F70"/>
    <w:rsid w:val="00A67393"/>
    <w:rsid w:val="00A70BD0"/>
    <w:rsid w:val="00A713F7"/>
    <w:rsid w:val="00A721BA"/>
    <w:rsid w:val="00A72FFD"/>
    <w:rsid w:val="00A739A6"/>
    <w:rsid w:val="00A7432F"/>
    <w:rsid w:val="00A75E31"/>
    <w:rsid w:val="00A83300"/>
    <w:rsid w:val="00A84293"/>
    <w:rsid w:val="00A874D4"/>
    <w:rsid w:val="00A87C1D"/>
    <w:rsid w:val="00A90203"/>
    <w:rsid w:val="00A90D1B"/>
    <w:rsid w:val="00A9236F"/>
    <w:rsid w:val="00A929CB"/>
    <w:rsid w:val="00A949A7"/>
    <w:rsid w:val="00A94E5C"/>
    <w:rsid w:val="00A95BE5"/>
    <w:rsid w:val="00A95D00"/>
    <w:rsid w:val="00AA37C8"/>
    <w:rsid w:val="00AA3F86"/>
    <w:rsid w:val="00AA405F"/>
    <w:rsid w:val="00AA49B9"/>
    <w:rsid w:val="00AA6965"/>
    <w:rsid w:val="00AA6AD9"/>
    <w:rsid w:val="00AA7BC0"/>
    <w:rsid w:val="00AB0BF7"/>
    <w:rsid w:val="00AB17F9"/>
    <w:rsid w:val="00AB208E"/>
    <w:rsid w:val="00AB24BE"/>
    <w:rsid w:val="00AB24CE"/>
    <w:rsid w:val="00AB2FCB"/>
    <w:rsid w:val="00AB50D9"/>
    <w:rsid w:val="00AB65A3"/>
    <w:rsid w:val="00AB6B08"/>
    <w:rsid w:val="00AC1114"/>
    <w:rsid w:val="00AC1B94"/>
    <w:rsid w:val="00AC3A36"/>
    <w:rsid w:val="00AC4320"/>
    <w:rsid w:val="00AC614F"/>
    <w:rsid w:val="00AC770A"/>
    <w:rsid w:val="00AC7D9D"/>
    <w:rsid w:val="00AD00AC"/>
    <w:rsid w:val="00AD0E95"/>
    <w:rsid w:val="00AD182A"/>
    <w:rsid w:val="00AD1A40"/>
    <w:rsid w:val="00AD2807"/>
    <w:rsid w:val="00AD32C7"/>
    <w:rsid w:val="00AD4458"/>
    <w:rsid w:val="00AD55B6"/>
    <w:rsid w:val="00AD7830"/>
    <w:rsid w:val="00AE0486"/>
    <w:rsid w:val="00AE0C3F"/>
    <w:rsid w:val="00AE0EDC"/>
    <w:rsid w:val="00AE34A9"/>
    <w:rsid w:val="00AE401E"/>
    <w:rsid w:val="00AE4C59"/>
    <w:rsid w:val="00AE65C9"/>
    <w:rsid w:val="00AE7142"/>
    <w:rsid w:val="00AF05E6"/>
    <w:rsid w:val="00AF17DE"/>
    <w:rsid w:val="00AF1903"/>
    <w:rsid w:val="00AF2822"/>
    <w:rsid w:val="00AF2D78"/>
    <w:rsid w:val="00AF2D91"/>
    <w:rsid w:val="00AF6CBD"/>
    <w:rsid w:val="00B02D43"/>
    <w:rsid w:val="00B03761"/>
    <w:rsid w:val="00B04A3D"/>
    <w:rsid w:val="00B04EDC"/>
    <w:rsid w:val="00B0647B"/>
    <w:rsid w:val="00B064CA"/>
    <w:rsid w:val="00B10FE8"/>
    <w:rsid w:val="00B126D7"/>
    <w:rsid w:val="00B1334F"/>
    <w:rsid w:val="00B1594E"/>
    <w:rsid w:val="00B179E6"/>
    <w:rsid w:val="00B209AB"/>
    <w:rsid w:val="00B2121C"/>
    <w:rsid w:val="00B22CBF"/>
    <w:rsid w:val="00B24FD2"/>
    <w:rsid w:val="00B25FBD"/>
    <w:rsid w:val="00B276A9"/>
    <w:rsid w:val="00B277C9"/>
    <w:rsid w:val="00B303CF"/>
    <w:rsid w:val="00B33349"/>
    <w:rsid w:val="00B33684"/>
    <w:rsid w:val="00B33C84"/>
    <w:rsid w:val="00B33DA6"/>
    <w:rsid w:val="00B36521"/>
    <w:rsid w:val="00B37285"/>
    <w:rsid w:val="00B444AF"/>
    <w:rsid w:val="00B45105"/>
    <w:rsid w:val="00B457F2"/>
    <w:rsid w:val="00B45B1D"/>
    <w:rsid w:val="00B46F96"/>
    <w:rsid w:val="00B47419"/>
    <w:rsid w:val="00B47E57"/>
    <w:rsid w:val="00B50FC3"/>
    <w:rsid w:val="00B5130E"/>
    <w:rsid w:val="00B515FD"/>
    <w:rsid w:val="00B51AA3"/>
    <w:rsid w:val="00B51CD8"/>
    <w:rsid w:val="00B51EC4"/>
    <w:rsid w:val="00B5220F"/>
    <w:rsid w:val="00B53903"/>
    <w:rsid w:val="00B544CE"/>
    <w:rsid w:val="00B562CD"/>
    <w:rsid w:val="00B603FA"/>
    <w:rsid w:val="00B60660"/>
    <w:rsid w:val="00B61AD8"/>
    <w:rsid w:val="00B62519"/>
    <w:rsid w:val="00B6265F"/>
    <w:rsid w:val="00B652CC"/>
    <w:rsid w:val="00B659E2"/>
    <w:rsid w:val="00B661FB"/>
    <w:rsid w:val="00B67C98"/>
    <w:rsid w:val="00B67D09"/>
    <w:rsid w:val="00B7055F"/>
    <w:rsid w:val="00B7439C"/>
    <w:rsid w:val="00B74676"/>
    <w:rsid w:val="00B775C9"/>
    <w:rsid w:val="00B80474"/>
    <w:rsid w:val="00B81296"/>
    <w:rsid w:val="00B83698"/>
    <w:rsid w:val="00B84880"/>
    <w:rsid w:val="00B859E2"/>
    <w:rsid w:val="00B86A28"/>
    <w:rsid w:val="00B86FC0"/>
    <w:rsid w:val="00B933E8"/>
    <w:rsid w:val="00B93CE0"/>
    <w:rsid w:val="00B94A28"/>
    <w:rsid w:val="00B94DB5"/>
    <w:rsid w:val="00B952F3"/>
    <w:rsid w:val="00BA0291"/>
    <w:rsid w:val="00BA202F"/>
    <w:rsid w:val="00BA48A7"/>
    <w:rsid w:val="00BA537F"/>
    <w:rsid w:val="00BA7E78"/>
    <w:rsid w:val="00BA7FDC"/>
    <w:rsid w:val="00BB0D6B"/>
    <w:rsid w:val="00BB148C"/>
    <w:rsid w:val="00BB1657"/>
    <w:rsid w:val="00BB1E44"/>
    <w:rsid w:val="00BB2E2A"/>
    <w:rsid w:val="00BB37C3"/>
    <w:rsid w:val="00BB7E32"/>
    <w:rsid w:val="00BC03C9"/>
    <w:rsid w:val="00BC0706"/>
    <w:rsid w:val="00BC31B5"/>
    <w:rsid w:val="00BC4C7E"/>
    <w:rsid w:val="00BC5702"/>
    <w:rsid w:val="00BC6050"/>
    <w:rsid w:val="00BD0118"/>
    <w:rsid w:val="00BD01C3"/>
    <w:rsid w:val="00BD03A5"/>
    <w:rsid w:val="00BD1BD6"/>
    <w:rsid w:val="00BD1C5A"/>
    <w:rsid w:val="00BD2BC5"/>
    <w:rsid w:val="00BD32F4"/>
    <w:rsid w:val="00BD33D4"/>
    <w:rsid w:val="00BD39B0"/>
    <w:rsid w:val="00BD4B75"/>
    <w:rsid w:val="00BD4CA7"/>
    <w:rsid w:val="00BD6FA8"/>
    <w:rsid w:val="00BE1B76"/>
    <w:rsid w:val="00BE45AD"/>
    <w:rsid w:val="00BE5A77"/>
    <w:rsid w:val="00BE63D6"/>
    <w:rsid w:val="00BE6B84"/>
    <w:rsid w:val="00BF193E"/>
    <w:rsid w:val="00BF19F5"/>
    <w:rsid w:val="00BF1F2D"/>
    <w:rsid w:val="00BF24D3"/>
    <w:rsid w:val="00BF3069"/>
    <w:rsid w:val="00BF3BEA"/>
    <w:rsid w:val="00BF3CF1"/>
    <w:rsid w:val="00BF41DE"/>
    <w:rsid w:val="00BF4A49"/>
    <w:rsid w:val="00BF4A64"/>
    <w:rsid w:val="00BF5C04"/>
    <w:rsid w:val="00BF62BD"/>
    <w:rsid w:val="00C00448"/>
    <w:rsid w:val="00C01D8D"/>
    <w:rsid w:val="00C039C2"/>
    <w:rsid w:val="00C05F27"/>
    <w:rsid w:val="00C06848"/>
    <w:rsid w:val="00C1007F"/>
    <w:rsid w:val="00C10C73"/>
    <w:rsid w:val="00C12148"/>
    <w:rsid w:val="00C13BEA"/>
    <w:rsid w:val="00C13F46"/>
    <w:rsid w:val="00C146A2"/>
    <w:rsid w:val="00C147B1"/>
    <w:rsid w:val="00C17EFC"/>
    <w:rsid w:val="00C20040"/>
    <w:rsid w:val="00C207BF"/>
    <w:rsid w:val="00C20EF6"/>
    <w:rsid w:val="00C214C8"/>
    <w:rsid w:val="00C21F2C"/>
    <w:rsid w:val="00C223E6"/>
    <w:rsid w:val="00C23C26"/>
    <w:rsid w:val="00C2697F"/>
    <w:rsid w:val="00C27BEF"/>
    <w:rsid w:val="00C304D3"/>
    <w:rsid w:val="00C31347"/>
    <w:rsid w:val="00C3397D"/>
    <w:rsid w:val="00C35155"/>
    <w:rsid w:val="00C36680"/>
    <w:rsid w:val="00C37C59"/>
    <w:rsid w:val="00C40A69"/>
    <w:rsid w:val="00C40FD1"/>
    <w:rsid w:val="00C42C0B"/>
    <w:rsid w:val="00C436D9"/>
    <w:rsid w:val="00C4438B"/>
    <w:rsid w:val="00C44AAD"/>
    <w:rsid w:val="00C450EA"/>
    <w:rsid w:val="00C46543"/>
    <w:rsid w:val="00C46AC9"/>
    <w:rsid w:val="00C47BEC"/>
    <w:rsid w:val="00C50D09"/>
    <w:rsid w:val="00C519DE"/>
    <w:rsid w:val="00C5202B"/>
    <w:rsid w:val="00C54371"/>
    <w:rsid w:val="00C57581"/>
    <w:rsid w:val="00C60269"/>
    <w:rsid w:val="00C60529"/>
    <w:rsid w:val="00C6088D"/>
    <w:rsid w:val="00C609DF"/>
    <w:rsid w:val="00C6166C"/>
    <w:rsid w:val="00C6244E"/>
    <w:rsid w:val="00C629FF"/>
    <w:rsid w:val="00C6419A"/>
    <w:rsid w:val="00C64885"/>
    <w:rsid w:val="00C66338"/>
    <w:rsid w:val="00C66376"/>
    <w:rsid w:val="00C676EA"/>
    <w:rsid w:val="00C70BD3"/>
    <w:rsid w:val="00C71525"/>
    <w:rsid w:val="00C71DAB"/>
    <w:rsid w:val="00C72440"/>
    <w:rsid w:val="00C728E9"/>
    <w:rsid w:val="00C72E5F"/>
    <w:rsid w:val="00C73860"/>
    <w:rsid w:val="00C754D1"/>
    <w:rsid w:val="00C7726B"/>
    <w:rsid w:val="00C773CF"/>
    <w:rsid w:val="00C77726"/>
    <w:rsid w:val="00C77BDF"/>
    <w:rsid w:val="00C8009C"/>
    <w:rsid w:val="00C80188"/>
    <w:rsid w:val="00C80E7D"/>
    <w:rsid w:val="00C82A02"/>
    <w:rsid w:val="00C83821"/>
    <w:rsid w:val="00C83B03"/>
    <w:rsid w:val="00C84709"/>
    <w:rsid w:val="00C85E8B"/>
    <w:rsid w:val="00C8610F"/>
    <w:rsid w:val="00C8649E"/>
    <w:rsid w:val="00C875B0"/>
    <w:rsid w:val="00C900D4"/>
    <w:rsid w:val="00C9027A"/>
    <w:rsid w:val="00C91606"/>
    <w:rsid w:val="00C92805"/>
    <w:rsid w:val="00C93336"/>
    <w:rsid w:val="00C934DC"/>
    <w:rsid w:val="00C93864"/>
    <w:rsid w:val="00C96A95"/>
    <w:rsid w:val="00C97A1D"/>
    <w:rsid w:val="00CA1526"/>
    <w:rsid w:val="00CA2340"/>
    <w:rsid w:val="00CA2641"/>
    <w:rsid w:val="00CA371E"/>
    <w:rsid w:val="00CA3780"/>
    <w:rsid w:val="00CA53D2"/>
    <w:rsid w:val="00CA53E0"/>
    <w:rsid w:val="00CA67EF"/>
    <w:rsid w:val="00CA780E"/>
    <w:rsid w:val="00CB1727"/>
    <w:rsid w:val="00CB2FE4"/>
    <w:rsid w:val="00CB384D"/>
    <w:rsid w:val="00CB3F9A"/>
    <w:rsid w:val="00CB4CB5"/>
    <w:rsid w:val="00CB6823"/>
    <w:rsid w:val="00CB69C0"/>
    <w:rsid w:val="00CC04F2"/>
    <w:rsid w:val="00CC2FA1"/>
    <w:rsid w:val="00CC369D"/>
    <w:rsid w:val="00CC41B9"/>
    <w:rsid w:val="00CC42C4"/>
    <w:rsid w:val="00CC4478"/>
    <w:rsid w:val="00CC5400"/>
    <w:rsid w:val="00CC5F99"/>
    <w:rsid w:val="00CC7F6D"/>
    <w:rsid w:val="00CD2E19"/>
    <w:rsid w:val="00CD37FC"/>
    <w:rsid w:val="00CD4589"/>
    <w:rsid w:val="00CD4665"/>
    <w:rsid w:val="00CD47F3"/>
    <w:rsid w:val="00CE2A34"/>
    <w:rsid w:val="00CE3307"/>
    <w:rsid w:val="00CE57A1"/>
    <w:rsid w:val="00CE652E"/>
    <w:rsid w:val="00CE6986"/>
    <w:rsid w:val="00CE710A"/>
    <w:rsid w:val="00CF085F"/>
    <w:rsid w:val="00CF1277"/>
    <w:rsid w:val="00CF14F8"/>
    <w:rsid w:val="00CF2083"/>
    <w:rsid w:val="00CF4FA2"/>
    <w:rsid w:val="00CF529C"/>
    <w:rsid w:val="00D004AE"/>
    <w:rsid w:val="00D00D93"/>
    <w:rsid w:val="00D01332"/>
    <w:rsid w:val="00D03379"/>
    <w:rsid w:val="00D03B60"/>
    <w:rsid w:val="00D04207"/>
    <w:rsid w:val="00D052DE"/>
    <w:rsid w:val="00D12300"/>
    <w:rsid w:val="00D13175"/>
    <w:rsid w:val="00D1348D"/>
    <w:rsid w:val="00D1490F"/>
    <w:rsid w:val="00D15565"/>
    <w:rsid w:val="00D15A10"/>
    <w:rsid w:val="00D17EAF"/>
    <w:rsid w:val="00D20754"/>
    <w:rsid w:val="00D219DA"/>
    <w:rsid w:val="00D220FD"/>
    <w:rsid w:val="00D24DF7"/>
    <w:rsid w:val="00D25E46"/>
    <w:rsid w:val="00D26103"/>
    <w:rsid w:val="00D26537"/>
    <w:rsid w:val="00D304A3"/>
    <w:rsid w:val="00D31D9C"/>
    <w:rsid w:val="00D32D55"/>
    <w:rsid w:val="00D33A41"/>
    <w:rsid w:val="00D34533"/>
    <w:rsid w:val="00D36A65"/>
    <w:rsid w:val="00D37044"/>
    <w:rsid w:val="00D40772"/>
    <w:rsid w:val="00D40EC8"/>
    <w:rsid w:val="00D4166D"/>
    <w:rsid w:val="00D426E1"/>
    <w:rsid w:val="00D42726"/>
    <w:rsid w:val="00D4418E"/>
    <w:rsid w:val="00D4489E"/>
    <w:rsid w:val="00D469F9"/>
    <w:rsid w:val="00D46A77"/>
    <w:rsid w:val="00D47573"/>
    <w:rsid w:val="00D50E86"/>
    <w:rsid w:val="00D5250D"/>
    <w:rsid w:val="00D54106"/>
    <w:rsid w:val="00D54B12"/>
    <w:rsid w:val="00D550F9"/>
    <w:rsid w:val="00D57932"/>
    <w:rsid w:val="00D579D3"/>
    <w:rsid w:val="00D57D6E"/>
    <w:rsid w:val="00D57E86"/>
    <w:rsid w:val="00D621F5"/>
    <w:rsid w:val="00D630B8"/>
    <w:rsid w:val="00D64CBA"/>
    <w:rsid w:val="00D653E8"/>
    <w:rsid w:val="00D66462"/>
    <w:rsid w:val="00D677BA"/>
    <w:rsid w:val="00D71FC1"/>
    <w:rsid w:val="00D721ED"/>
    <w:rsid w:val="00D722D3"/>
    <w:rsid w:val="00D7234D"/>
    <w:rsid w:val="00D745A3"/>
    <w:rsid w:val="00D7465E"/>
    <w:rsid w:val="00D75590"/>
    <w:rsid w:val="00D80572"/>
    <w:rsid w:val="00D80A19"/>
    <w:rsid w:val="00D80D63"/>
    <w:rsid w:val="00D81BB1"/>
    <w:rsid w:val="00D82018"/>
    <w:rsid w:val="00D825F7"/>
    <w:rsid w:val="00D82AE4"/>
    <w:rsid w:val="00D82D0B"/>
    <w:rsid w:val="00D82D1C"/>
    <w:rsid w:val="00D85BA7"/>
    <w:rsid w:val="00D902D5"/>
    <w:rsid w:val="00D91ED5"/>
    <w:rsid w:val="00D94301"/>
    <w:rsid w:val="00D945F2"/>
    <w:rsid w:val="00D9546C"/>
    <w:rsid w:val="00D96D43"/>
    <w:rsid w:val="00DA0343"/>
    <w:rsid w:val="00DA20B3"/>
    <w:rsid w:val="00DA2AFF"/>
    <w:rsid w:val="00DA349E"/>
    <w:rsid w:val="00DA3F13"/>
    <w:rsid w:val="00DA548E"/>
    <w:rsid w:val="00DA5716"/>
    <w:rsid w:val="00DB3A0C"/>
    <w:rsid w:val="00DB46E3"/>
    <w:rsid w:val="00DB6BED"/>
    <w:rsid w:val="00DB6DD4"/>
    <w:rsid w:val="00DB6F54"/>
    <w:rsid w:val="00DB71EB"/>
    <w:rsid w:val="00DC076F"/>
    <w:rsid w:val="00DC2B52"/>
    <w:rsid w:val="00DC3D80"/>
    <w:rsid w:val="00DC46ED"/>
    <w:rsid w:val="00DC5530"/>
    <w:rsid w:val="00DC6564"/>
    <w:rsid w:val="00DC6D09"/>
    <w:rsid w:val="00DC7100"/>
    <w:rsid w:val="00DD0861"/>
    <w:rsid w:val="00DD242E"/>
    <w:rsid w:val="00DD2744"/>
    <w:rsid w:val="00DD4A01"/>
    <w:rsid w:val="00DD640E"/>
    <w:rsid w:val="00DD7800"/>
    <w:rsid w:val="00DE1221"/>
    <w:rsid w:val="00DE1C56"/>
    <w:rsid w:val="00DE2F4F"/>
    <w:rsid w:val="00DE3503"/>
    <w:rsid w:val="00DE536B"/>
    <w:rsid w:val="00DF01D9"/>
    <w:rsid w:val="00DF4311"/>
    <w:rsid w:val="00DF47ED"/>
    <w:rsid w:val="00DF5B84"/>
    <w:rsid w:val="00DF613B"/>
    <w:rsid w:val="00DF6A96"/>
    <w:rsid w:val="00DF6FD5"/>
    <w:rsid w:val="00DF7066"/>
    <w:rsid w:val="00E02F1B"/>
    <w:rsid w:val="00E03C9E"/>
    <w:rsid w:val="00E0489C"/>
    <w:rsid w:val="00E06C21"/>
    <w:rsid w:val="00E06D38"/>
    <w:rsid w:val="00E072D8"/>
    <w:rsid w:val="00E0783F"/>
    <w:rsid w:val="00E107E0"/>
    <w:rsid w:val="00E1406A"/>
    <w:rsid w:val="00E15A1E"/>
    <w:rsid w:val="00E1646E"/>
    <w:rsid w:val="00E16FE2"/>
    <w:rsid w:val="00E200F1"/>
    <w:rsid w:val="00E209E2"/>
    <w:rsid w:val="00E23E80"/>
    <w:rsid w:val="00E2521C"/>
    <w:rsid w:val="00E25391"/>
    <w:rsid w:val="00E25CE9"/>
    <w:rsid w:val="00E32E02"/>
    <w:rsid w:val="00E334B2"/>
    <w:rsid w:val="00E34430"/>
    <w:rsid w:val="00E358AC"/>
    <w:rsid w:val="00E35CDF"/>
    <w:rsid w:val="00E40236"/>
    <w:rsid w:val="00E404E2"/>
    <w:rsid w:val="00E405E2"/>
    <w:rsid w:val="00E44BD3"/>
    <w:rsid w:val="00E4676B"/>
    <w:rsid w:val="00E47FC8"/>
    <w:rsid w:val="00E52C99"/>
    <w:rsid w:val="00E52D8B"/>
    <w:rsid w:val="00E53A68"/>
    <w:rsid w:val="00E56F63"/>
    <w:rsid w:val="00E57108"/>
    <w:rsid w:val="00E60F74"/>
    <w:rsid w:val="00E6167D"/>
    <w:rsid w:val="00E624F2"/>
    <w:rsid w:val="00E628C7"/>
    <w:rsid w:val="00E6416A"/>
    <w:rsid w:val="00E65A85"/>
    <w:rsid w:val="00E65B73"/>
    <w:rsid w:val="00E665D0"/>
    <w:rsid w:val="00E73219"/>
    <w:rsid w:val="00E73C62"/>
    <w:rsid w:val="00E75D0E"/>
    <w:rsid w:val="00E7644A"/>
    <w:rsid w:val="00E770DC"/>
    <w:rsid w:val="00E817A5"/>
    <w:rsid w:val="00E823CD"/>
    <w:rsid w:val="00E830A5"/>
    <w:rsid w:val="00E832F9"/>
    <w:rsid w:val="00E83EAA"/>
    <w:rsid w:val="00E84D20"/>
    <w:rsid w:val="00E863F7"/>
    <w:rsid w:val="00E86A62"/>
    <w:rsid w:val="00E90645"/>
    <w:rsid w:val="00E91884"/>
    <w:rsid w:val="00E920AB"/>
    <w:rsid w:val="00E92ADD"/>
    <w:rsid w:val="00E9485C"/>
    <w:rsid w:val="00E95096"/>
    <w:rsid w:val="00E963CB"/>
    <w:rsid w:val="00EA0ABE"/>
    <w:rsid w:val="00EA12AA"/>
    <w:rsid w:val="00EA1611"/>
    <w:rsid w:val="00EA1632"/>
    <w:rsid w:val="00EA2139"/>
    <w:rsid w:val="00EA7A40"/>
    <w:rsid w:val="00EB0D04"/>
    <w:rsid w:val="00EB339A"/>
    <w:rsid w:val="00EB776F"/>
    <w:rsid w:val="00EC10B2"/>
    <w:rsid w:val="00EC1FE7"/>
    <w:rsid w:val="00EC3046"/>
    <w:rsid w:val="00EC3B2C"/>
    <w:rsid w:val="00EC5305"/>
    <w:rsid w:val="00EC589E"/>
    <w:rsid w:val="00EC591D"/>
    <w:rsid w:val="00EC5D9E"/>
    <w:rsid w:val="00EC70E5"/>
    <w:rsid w:val="00EC71BE"/>
    <w:rsid w:val="00EC7A5B"/>
    <w:rsid w:val="00ED1A28"/>
    <w:rsid w:val="00ED1ECB"/>
    <w:rsid w:val="00ED2529"/>
    <w:rsid w:val="00ED2E68"/>
    <w:rsid w:val="00ED365C"/>
    <w:rsid w:val="00ED52C3"/>
    <w:rsid w:val="00ED54DF"/>
    <w:rsid w:val="00EE100B"/>
    <w:rsid w:val="00EE1212"/>
    <w:rsid w:val="00EE2B3E"/>
    <w:rsid w:val="00EE323F"/>
    <w:rsid w:val="00EE43E3"/>
    <w:rsid w:val="00EE4C4C"/>
    <w:rsid w:val="00EE5A7D"/>
    <w:rsid w:val="00EF0394"/>
    <w:rsid w:val="00EF08E7"/>
    <w:rsid w:val="00EF0D7B"/>
    <w:rsid w:val="00EF0F25"/>
    <w:rsid w:val="00EF1BA1"/>
    <w:rsid w:val="00EF2133"/>
    <w:rsid w:val="00EF2E7D"/>
    <w:rsid w:val="00EF3B0D"/>
    <w:rsid w:val="00EF4B1E"/>
    <w:rsid w:val="00EF5533"/>
    <w:rsid w:val="00EF6BE6"/>
    <w:rsid w:val="00EF6D43"/>
    <w:rsid w:val="00EF6F3F"/>
    <w:rsid w:val="00EF7CDE"/>
    <w:rsid w:val="00F00FAB"/>
    <w:rsid w:val="00F012DE"/>
    <w:rsid w:val="00F01376"/>
    <w:rsid w:val="00F03ABB"/>
    <w:rsid w:val="00F04F31"/>
    <w:rsid w:val="00F053ED"/>
    <w:rsid w:val="00F06144"/>
    <w:rsid w:val="00F12F42"/>
    <w:rsid w:val="00F13466"/>
    <w:rsid w:val="00F13517"/>
    <w:rsid w:val="00F136B6"/>
    <w:rsid w:val="00F1446F"/>
    <w:rsid w:val="00F15312"/>
    <w:rsid w:val="00F156D8"/>
    <w:rsid w:val="00F205D0"/>
    <w:rsid w:val="00F22324"/>
    <w:rsid w:val="00F2311B"/>
    <w:rsid w:val="00F23B8E"/>
    <w:rsid w:val="00F23E7C"/>
    <w:rsid w:val="00F25EC2"/>
    <w:rsid w:val="00F261C9"/>
    <w:rsid w:val="00F267E9"/>
    <w:rsid w:val="00F26D21"/>
    <w:rsid w:val="00F2761A"/>
    <w:rsid w:val="00F318A1"/>
    <w:rsid w:val="00F35404"/>
    <w:rsid w:val="00F355AB"/>
    <w:rsid w:val="00F358CE"/>
    <w:rsid w:val="00F37392"/>
    <w:rsid w:val="00F40565"/>
    <w:rsid w:val="00F40816"/>
    <w:rsid w:val="00F4082A"/>
    <w:rsid w:val="00F40CED"/>
    <w:rsid w:val="00F43882"/>
    <w:rsid w:val="00F438AC"/>
    <w:rsid w:val="00F44581"/>
    <w:rsid w:val="00F4732F"/>
    <w:rsid w:val="00F47A52"/>
    <w:rsid w:val="00F5000F"/>
    <w:rsid w:val="00F51E5C"/>
    <w:rsid w:val="00F51FC3"/>
    <w:rsid w:val="00F52431"/>
    <w:rsid w:val="00F538F4"/>
    <w:rsid w:val="00F542CA"/>
    <w:rsid w:val="00F5472B"/>
    <w:rsid w:val="00F54758"/>
    <w:rsid w:val="00F55196"/>
    <w:rsid w:val="00F5584B"/>
    <w:rsid w:val="00F56C88"/>
    <w:rsid w:val="00F57A09"/>
    <w:rsid w:val="00F57D08"/>
    <w:rsid w:val="00F62840"/>
    <w:rsid w:val="00F62A8A"/>
    <w:rsid w:val="00F645EE"/>
    <w:rsid w:val="00F64A02"/>
    <w:rsid w:val="00F70C73"/>
    <w:rsid w:val="00F717BE"/>
    <w:rsid w:val="00F71A7D"/>
    <w:rsid w:val="00F723F9"/>
    <w:rsid w:val="00F72429"/>
    <w:rsid w:val="00F72D20"/>
    <w:rsid w:val="00F73EF4"/>
    <w:rsid w:val="00F741D3"/>
    <w:rsid w:val="00F76117"/>
    <w:rsid w:val="00F77F91"/>
    <w:rsid w:val="00F80E04"/>
    <w:rsid w:val="00F8296A"/>
    <w:rsid w:val="00F82B56"/>
    <w:rsid w:val="00F832D0"/>
    <w:rsid w:val="00F8382A"/>
    <w:rsid w:val="00F84D06"/>
    <w:rsid w:val="00F855FD"/>
    <w:rsid w:val="00F87087"/>
    <w:rsid w:val="00F877E6"/>
    <w:rsid w:val="00F9265E"/>
    <w:rsid w:val="00F932AA"/>
    <w:rsid w:val="00F93627"/>
    <w:rsid w:val="00F93C53"/>
    <w:rsid w:val="00F953A5"/>
    <w:rsid w:val="00F9608A"/>
    <w:rsid w:val="00F96730"/>
    <w:rsid w:val="00FA5587"/>
    <w:rsid w:val="00FA64E9"/>
    <w:rsid w:val="00FA7F13"/>
    <w:rsid w:val="00FB026A"/>
    <w:rsid w:val="00FB1411"/>
    <w:rsid w:val="00FB21A0"/>
    <w:rsid w:val="00FB5126"/>
    <w:rsid w:val="00FC112B"/>
    <w:rsid w:val="00FC15CE"/>
    <w:rsid w:val="00FC16E1"/>
    <w:rsid w:val="00FC54B5"/>
    <w:rsid w:val="00FC6504"/>
    <w:rsid w:val="00FD0C29"/>
    <w:rsid w:val="00FD0E33"/>
    <w:rsid w:val="00FD1ED7"/>
    <w:rsid w:val="00FD2BED"/>
    <w:rsid w:val="00FD6FDC"/>
    <w:rsid w:val="00FD7645"/>
    <w:rsid w:val="00FE06A3"/>
    <w:rsid w:val="00FE0D78"/>
    <w:rsid w:val="00FE15BF"/>
    <w:rsid w:val="00FE1AB0"/>
    <w:rsid w:val="00FE393A"/>
    <w:rsid w:val="00FE41FB"/>
    <w:rsid w:val="00FE42D0"/>
    <w:rsid w:val="00FE52CF"/>
    <w:rsid w:val="00FE6787"/>
    <w:rsid w:val="00FE6B99"/>
    <w:rsid w:val="00FE7020"/>
    <w:rsid w:val="00FF15D2"/>
    <w:rsid w:val="00FF19A3"/>
    <w:rsid w:val="00FF1AB2"/>
    <w:rsid w:val="00FF4D0A"/>
    <w:rsid w:val="00FF7378"/>
    <w:rsid w:val="00FF7E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8FCEB51-76A8-425C-BD47-48043355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pPr>
    <w:rPr>
      <w:rFonts w:eastAsia="標楷體"/>
      <w:kern w:val="2"/>
      <w:sz w:val="32"/>
    </w:rPr>
  </w:style>
  <w:style w:type="paragraph" w:styleId="1">
    <w:name w:val="heading 1"/>
    <w:aliases w:val="題號1,壹"/>
    <w:basedOn w:val="a6"/>
    <w:qFormat/>
    <w:pPr>
      <w:numPr>
        <w:numId w:val="1"/>
      </w:numPr>
      <w:kinsoku w:val="0"/>
      <w:jc w:val="both"/>
      <w:outlineLvl w:val="0"/>
    </w:pPr>
    <w:rPr>
      <w:rFonts w:ascii="標楷體" w:hAnsi="Arial"/>
      <w:bCs/>
      <w:kern w:val="0"/>
      <w:szCs w:val="52"/>
    </w:rPr>
  </w:style>
  <w:style w:type="paragraph" w:styleId="2">
    <w:name w:val="heading 2"/>
    <w:aliases w:val="標題110/111,節,節1"/>
    <w:basedOn w:val="a6"/>
    <w:qFormat/>
    <w:pPr>
      <w:numPr>
        <w:ilvl w:val="1"/>
        <w:numId w:val="1"/>
      </w:numPr>
      <w:kinsoku w:val="0"/>
      <w:jc w:val="both"/>
      <w:outlineLvl w:val="1"/>
    </w:pPr>
    <w:rPr>
      <w:rFonts w:ascii="標楷體" w:hAnsi="Arial"/>
      <w:bCs/>
      <w:kern w:val="0"/>
      <w:szCs w:val="48"/>
    </w:rPr>
  </w:style>
  <w:style w:type="paragraph" w:styleId="3">
    <w:name w:val="heading 3"/>
    <w:aliases w:val="(一)"/>
    <w:basedOn w:val="a6"/>
    <w:qFormat/>
    <w:pPr>
      <w:numPr>
        <w:ilvl w:val="2"/>
        <w:numId w:val="1"/>
      </w:numPr>
      <w:kinsoku w:val="0"/>
      <w:jc w:val="both"/>
      <w:outlineLvl w:val="2"/>
    </w:pPr>
    <w:rPr>
      <w:rFonts w:ascii="標楷體" w:hAnsi="Arial"/>
      <w:bCs/>
      <w:kern w:val="0"/>
      <w:szCs w:val="36"/>
    </w:rPr>
  </w:style>
  <w:style w:type="paragraph" w:styleId="4">
    <w:name w:val="heading 4"/>
    <w:aliases w:val="一,表格"/>
    <w:basedOn w:val="a6"/>
    <w:qFormat/>
    <w:pPr>
      <w:numPr>
        <w:ilvl w:val="3"/>
        <w:numId w:val="1"/>
      </w:numPr>
      <w:jc w:val="both"/>
      <w:outlineLvl w:val="3"/>
    </w:pPr>
    <w:rPr>
      <w:rFonts w:ascii="標楷體" w:hAnsi="Arial"/>
      <w:szCs w:val="36"/>
    </w:rPr>
  </w:style>
  <w:style w:type="paragraph" w:styleId="5">
    <w:name w:val="heading 5"/>
    <w:basedOn w:val="a6"/>
    <w:qFormat/>
    <w:pPr>
      <w:numPr>
        <w:ilvl w:val="4"/>
        <w:numId w:val="1"/>
      </w:numPr>
      <w:kinsoku w:val="0"/>
      <w:jc w:val="both"/>
      <w:outlineLvl w:val="4"/>
    </w:pPr>
    <w:rPr>
      <w:rFonts w:ascii="標楷體" w:hAnsi="Arial"/>
      <w:bCs/>
      <w:szCs w:val="36"/>
    </w:rPr>
  </w:style>
  <w:style w:type="paragraph" w:styleId="6">
    <w:name w:val="heading 6"/>
    <w:basedOn w:val="a6"/>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6"/>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6"/>
    <w:qFormat/>
    <w:pPr>
      <w:numPr>
        <w:ilvl w:val="7"/>
        <w:numId w:val="1"/>
      </w:numPr>
      <w:kinsoku w:val="0"/>
      <w:ind w:leftChars="700" w:left="800" w:hangingChars="100" w:hanging="100"/>
      <w:jc w:val="both"/>
      <w:outlineLvl w:val="7"/>
    </w:pPr>
    <w:rPr>
      <w:rFonts w:ascii="標楷體" w:hAnsi="Arial"/>
      <w:szCs w:val="36"/>
    </w:rPr>
  </w:style>
  <w:style w:type="paragraph" w:styleId="9">
    <w:name w:val="heading 9"/>
    <w:basedOn w:val="a6"/>
    <w:link w:val="90"/>
    <w:uiPriority w:val="9"/>
    <w:unhideWhenUsed/>
    <w:qFormat/>
    <w:rsid w:val="001455AE"/>
    <w:pPr>
      <w:overflowPunct w:val="0"/>
      <w:autoSpaceDE w:val="0"/>
      <w:autoSpaceDN w:val="0"/>
      <w:ind w:left="3403" w:hanging="851"/>
      <w:jc w:val="both"/>
      <w:outlineLvl w:val="8"/>
    </w:pPr>
    <w:rPr>
      <w:rFonts w:ascii="標楷體"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pPr>
      <w:spacing w:before="720" w:after="720"/>
      <w:ind w:left="7371"/>
    </w:pPr>
    <w:rPr>
      <w:rFonts w:ascii="標楷體"/>
      <w:b/>
      <w:snapToGrid w:val="0"/>
      <w:spacing w:val="10"/>
      <w:sz w:val="36"/>
    </w:rPr>
  </w:style>
  <w:style w:type="paragraph" w:styleId="ab">
    <w:name w:val="endnote text"/>
    <w:basedOn w:val="a6"/>
    <w:semiHidden/>
    <w:pPr>
      <w:spacing w:before="240"/>
      <w:ind w:left="1021" w:hanging="1021"/>
      <w:jc w:val="both"/>
    </w:pPr>
    <w:rPr>
      <w:rFonts w:ascii="標楷體"/>
      <w:snapToGrid w:val="0"/>
      <w:spacing w:val="10"/>
    </w:rPr>
  </w:style>
  <w:style w:type="paragraph" w:styleId="50">
    <w:name w:val="toc 5"/>
    <w:basedOn w:val="a6"/>
    <w:next w:val="a6"/>
    <w:autoRedefine/>
    <w:uiPriority w:val="39"/>
    <w:pPr>
      <w:ind w:leftChars="400" w:left="600" w:rightChars="200" w:right="200" w:hangingChars="200" w:hanging="200"/>
    </w:pPr>
    <w:rPr>
      <w:rFonts w:ascii="標楷體"/>
    </w:rPr>
  </w:style>
  <w:style w:type="character" w:styleId="ac">
    <w:name w:val="page number"/>
    <w:basedOn w:val="a7"/>
    <w:semiHidden/>
    <w:rPr>
      <w:rFonts w:ascii="標楷體" w:eastAsia="標楷體"/>
      <w:sz w:val="20"/>
    </w:rPr>
  </w:style>
  <w:style w:type="paragraph" w:styleId="60">
    <w:name w:val="toc 6"/>
    <w:basedOn w:val="a6"/>
    <w:next w:val="a6"/>
    <w:autoRedefine/>
    <w:uiPriority w:val="39"/>
    <w:pPr>
      <w:ind w:leftChars="500" w:left="500"/>
    </w:pPr>
    <w:rPr>
      <w:rFonts w:ascii="標楷體"/>
    </w:rPr>
  </w:style>
  <w:style w:type="paragraph" w:customStyle="1" w:styleId="10">
    <w:name w:val="段落樣式1"/>
    <w:basedOn w:val="a6"/>
    <w:qFormat/>
    <w:pPr>
      <w:tabs>
        <w:tab w:val="left" w:pos="567"/>
      </w:tabs>
      <w:kinsoku w:val="0"/>
      <w:ind w:leftChars="200" w:left="200" w:firstLineChars="200" w:firstLine="200"/>
      <w:jc w:val="both"/>
    </w:pPr>
    <w:rPr>
      <w:rFonts w:ascii="標楷體"/>
      <w:kern w:val="0"/>
    </w:rPr>
  </w:style>
  <w:style w:type="paragraph" w:customStyle="1" w:styleId="20">
    <w:name w:val="段落樣式2"/>
    <w:basedOn w:val="a6"/>
    <w:qFormat/>
    <w:pPr>
      <w:tabs>
        <w:tab w:val="left" w:pos="567"/>
      </w:tabs>
      <w:ind w:leftChars="300" w:left="300" w:firstLineChars="200" w:firstLine="200"/>
      <w:jc w:val="both"/>
    </w:pPr>
    <w:rPr>
      <w:rFonts w:ascii="標楷體"/>
      <w:kern w:val="0"/>
    </w:rPr>
  </w:style>
  <w:style w:type="paragraph" w:styleId="11">
    <w:name w:val="toc 1"/>
    <w:basedOn w:val="a6"/>
    <w:next w:val="a6"/>
    <w:autoRedefine/>
    <w:uiPriority w:val="39"/>
    <w:rsid w:val="00C17EFC"/>
    <w:pPr>
      <w:tabs>
        <w:tab w:val="right" w:leader="dot" w:pos="8834"/>
      </w:tabs>
      <w:kinsoku w:val="0"/>
      <w:ind w:left="1276" w:rightChars="200" w:right="680" w:hangingChars="375" w:hanging="1276"/>
      <w:jc w:val="both"/>
    </w:pPr>
    <w:rPr>
      <w:rFonts w:ascii="標楷體"/>
      <w:noProof/>
      <w:szCs w:val="32"/>
    </w:rPr>
  </w:style>
  <w:style w:type="paragraph" w:styleId="21">
    <w:name w:val="toc 2"/>
    <w:basedOn w:val="a6"/>
    <w:next w:val="a6"/>
    <w:autoRedefine/>
    <w:uiPriority w:val="39"/>
    <w:rsid w:val="00A64F70"/>
    <w:pPr>
      <w:tabs>
        <w:tab w:val="right" w:leader="dot" w:pos="8834"/>
      </w:tabs>
      <w:ind w:leftChars="100" w:left="1020" w:rightChars="200" w:right="680" w:hangingChars="200" w:hanging="680"/>
      <w:jc w:val="both"/>
    </w:pPr>
    <w:rPr>
      <w:rFonts w:ascii="標楷體"/>
      <w:noProof/>
    </w:rPr>
  </w:style>
  <w:style w:type="paragraph" w:styleId="30">
    <w:name w:val="toc 3"/>
    <w:basedOn w:val="a6"/>
    <w:next w:val="a6"/>
    <w:autoRedefine/>
    <w:uiPriority w:val="39"/>
    <w:pPr>
      <w:kinsoku w:val="0"/>
      <w:ind w:leftChars="200" w:left="400" w:rightChars="200" w:right="200" w:hangingChars="200" w:hanging="200"/>
      <w:jc w:val="both"/>
    </w:pPr>
    <w:rPr>
      <w:rFonts w:ascii="標楷體"/>
      <w:noProof/>
    </w:rPr>
  </w:style>
  <w:style w:type="paragraph" w:styleId="40">
    <w:name w:val="toc 4"/>
    <w:basedOn w:val="a6"/>
    <w:next w:val="a6"/>
    <w:autoRedefine/>
    <w:uiPriority w:val="39"/>
    <w:pPr>
      <w:kinsoku w:val="0"/>
      <w:ind w:leftChars="300" w:left="500" w:rightChars="200" w:right="200" w:hangingChars="200" w:hanging="200"/>
      <w:jc w:val="both"/>
    </w:pPr>
    <w:rPr>
      <w:rFonts w:ascii="標楷體"/>
    </w:rPr>
  </w:style>
  <w:style w:type="paragraph" w:styleId="70">
    <w:name w:val="toc 7"/>
    <w:basedOn w:val="a6"/>
    <w:next w:val="a6"/>
    <w:autoRedefine/>
    <w:uiPriority w:val="39"/>
    <w:pPr>
      <w:ind w:leftChars="600" w:left="800" w:hangingChars="200" w:hanging="200"/>
    </w:pPr>
    <w:rPr>
      <w:rFonts w:ascii="標楷體"/>
    </w:rPr>
  </w:style>
  <w:style w:type="paragraph" w:styleId="80">
    <w:name w:val="toc 8"/>
    <w:basedOn w:val="a6"/>
    <w:next w:val="a6"/>
    <w:autoRedefine/>
    <w:uiPriority w:val="39"/>
    <w:pPr>
      <w:ind w:leftChars="700" w:left="900" w:hangingChars="200" w:hanging="200"/>
    </w:pPr>
    <w:rPr>
      <w:rFonts w:ascii="標楷體"/>
    </w:rPr>
  </w:style>
  <w:style w:type="paragraph" w:styleId="91">
    <w:name w:val="toc 9"/>
    <w:basedOn w:val="a6"/>
    <w:next w:val="a6"/>
    <w:autoRedefine/>
    <w:uiPriority w:val="39"/>
    <w:pPr>
      <w:ind w:leftChars="1600" w:left="3840"/>
    </w:pPr>
  </w:style>
  <w:style w:type="paragraph" w:styleId="ad">
    <w:name w:val="header"/>
    <w:basedOn w:val="a6"/>
    <w:semiHidden/>
    <w:pPr>
      <w:tabs>
        <w:tab w:val="center" w:pos="4153"/>
        <w:tab w:val="right" w:pos="8306"/>
      </w:tabs>
      <w:snapToGrid w:val="0"/>
    </w:pPr>
    <w:rPr>
      <w:sz w:val="20"/>
    </w:rPr>
  </w:style>
  <w:style w:type="paragraph" w:customStyle="1" w:styleId="31">
    <w:name w:val="段落樣式3"/>
    <w:basedOn w:val="20"/>
    <w:qFormat/>
    <w:pPr>
      <w:ind w:leftChars="400" w:left="400"/>
    </w:pPr>
  </w:style>
  <w:style w:type="character" w:styleId="ae">
    <w:name w:val="Hyperlink"/>
    <w:basedOn w:val="a7"/>
    <w:uiPriority w:val="99"/>
    <w:rPr>
      <w:color w:val="0000FF"/>
      <w:u w:val="single"/>
    </w:rPr>
  </w:style>
  <w:style w:type="paragraph" w:customStyle="1" w:styleId="af">
    <w:name w:val="簽名日期"/>
    <w:basedOn w:val="a6"/>
    <w:pPr>
      <w:kinsoku w:val="0"/>
      <w:jc w:val="distribute"/>
    </w:pPr>
    <w:rPr>
      <w:kern w:val="0"/>
    </w:rPr>
  </w:style>
  <w:style w:type="paragraph" w:customStyle="1" w:styleId="0">
    <w:name w:val="段落樣式0"/>
    <w:basedOn w:val="20"/>
    <w:qFormat/>
    <w:pPr>
      <w:ind w:leftChars="200" w:left="200" w:firstLineChars="0" w:firstLine="0"/>
    </w:pPr>
  </w:style>
  <w:style w:type="paragraph" w:customStyle="1" w:styleId="af0">
    <w:name w:val="附件"/>
    <w:basedOn w:val="ab"/>
    <w:pPr>
      <w:kinsoku w:val="0"/>
      <w:spacing w:before="0"/>
      <w:ind w:left="1047" w:hangingChars="300" w:hanging="1047"/>
    </w:pPr>
    <w:rPr>
      <w:snapToGrid/>
      <w:spacing w:val="0"/>
      <w:kern w:val="0"/>
    </w:rPr>
  </w:style>
  <w:style w:type="paragraph" w:customStyle="1" w:styleId="41">
    <w:name w:val="段落樣式4"/>
    <w:basedOn w:val="31"/>
    <w:qFormat/>
    <w:pPr>
      <w:ind w:leftChars="500" w:left="500"/>
    </w:pPr>
  </w:style>
  <w:style w:type="paragraph" w:customStyle="1" w:styleId="51">
    <w:name w:val="段落樣式5"/>
    <w:basedOn w:val="41"/>
    <w:qFormat/>
    <w:pPr>
      <w:ind w:leftChars="600" w:left="600"/>
    </w:pPr>
  </w:style>
  <w:style w:type="paragraph" w:customStyle="1" w:styleId="61">
    <w:name w:val="段落樣式6"/>
    <w:basedOn w:val="51"/>
    <w:qFormat/>
    <w:pPr>
      <w:ind w:leftChars="700" w:left="700"/>
    </w:pPr>
  </w:style>
  <w:style w:type="paragraph" w:customStyle="1" w:styleId="71">
    <w:name w:val="段落樣式7"/>
    <w:basedOn w:val="61"/>
    <w:qFormat/>
  </w:style>
  <w:style w:type="paragraph" w:customStyle="1" w:styleId="81">
    <w:name w:val="段落樣式8"/>
    <w:basedOn w:val="71"/>
    <w:qFormat/>
    <w:pPr>
      <w:ind w:leftChars="800" w:left="800"/>
    </w:pPr>
  </w:style>
  <w:style w:type="paragraph" w:customStyle="1" w:styleId="a0">
    <w:name w:val="表樣式"/>
    <w:basedOn w:val="a6"/>
    <w:next w:val="a6"/>
    <w:pPr>
      <w:numPr>
        <w:numId w:val="2"/>
      </w:numPr>
      <w:jc w:val="both"/>
    </w:pPr>
    <w:rPr>
      <w:rFonts w:ascii="標楷體"/>
      <w:kern w:val="0"/>
    </w:rPr>
  </w:style>
  <w:style w:type="paragraph" w:styleId="af1">
    <w:name w:val="Body Text Indent"/>
    <w:basedOn w:val="a6"/>
    <w:semiHidden/>
    <w:pPr>
      <w:ind w:left="698" w:hangingChars="200" w:hanging="698"/>
    </w:pPr>
  </w:style>
  <w:style w:type="paragraph" w:customStyle="1" w:styleId="af2">
    <w:name w:val="調查報告"/>
    <w:basedOn w:val="ab"/>
    <w:pPr>
      <w:kinsoku w:val="0"/>
      <w:spacing w:before="0"/>
      <w:ind w:left="1701" w:firstLine="0"/>
    </w:pPr>
    <w:rPr>
      <w:b/>
      <w:snapToGrid/>
      <w:spacing w:val="200"/>
      <w:kern w:val="0"/>
      <w:sz w:val="36"/>
    </w:rPr>
  </w:style>
  <w:style w:type="paragraph" w:customStyle="1" w:styleId="a3">
    <w:name w:val="表標題"/>
    <w:qFormat/>
    <w:rsid w:val="00C57581"/>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
    <w:name w:val="圖樣式"/>
    <w:basedOn w:val="a6"/>
    <w:next w:val="a6"/>
    <w:pPr>
      <w:numPr>
        <w:numId w:val="3"/>
      </w:numPr>
      <w:tabs>
        <w:tab w:val="clear" w:pos="1440"/>
      </w:tabs>
      <w:ind w:left="400" w:hangingChars="400" w:hanging="400"/>
      <w:jc w:val="both"/>
    </w:pPr>
    <w:rPr>
      <w:rFonts w:ascii="標楷體"/>
    </w:rPr>
  </w:style>
  <w:style w:type="paragraph" w:styleId="af3">
    <w:name w:val="footer"/>
    <w:basedOn w:val="a6"/>
    <w:link w:val="af4"/>
    <w:uiPriority w:val="99"/>
    <w:pPr>
      <w:tabs>
        <w:tab w:val="center" w:pos="4153"/>
        <w:tab w:val="right" w:pos="8306"/>
      </w:tabs>
      <w:snapToGrid w:val="0"/>
    </w:pPr>
    <w:rPr>
      <w:sz w:val="20"/>
    </w:rPr>
  </w:style>
  <w:style w:type="paragraph" w:styleId="af5">
    <w:name w:val="table of figures"/>
    <w:basedOn w:val="a6"/>
    <w:next w:val="a6"/>
    <w:semiHidden/>
    <w:pPr>
      <w:ind w:left="400" w:hangingChars="400" w:hanging="400"/>
    </w:pPr>
  </w:style>
  <w:style w:type="table" w:styleId="af6">
    <w:name w:val="Table Grid"/>
    <w:basedOn w:val="a8"/>
    <w:uiPriority w:val="59"/>
    <w:rsid w:val="00C57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6"/>
    <w:uiPriority w:val="99"/>
    <w:unhideWhenUsed/>
    <w:rsid w:val="00766BE6"/>
    <w:pPr>
      <w:widowControl/>
      <w:spacing w:before="100" w:beforeAutospacing="1" w:after="142" w:line="288" w:lineRule="auto"/>
    </w:pPr>
    <w:rPr>
      <w:rFonts w:ascii="新細明體" w:eastAsia="新細明體" w:hAnsi="新細明體" w:cs="新細明體"/>
      <w:kern w:val="0"/>
      <w:sz w:val="24"/>
      <w:szCs w:val="24"/>
    </w:rPr>
  </w:style>
  <w:style w:type="character" w:customStyle="1" w:styleId="90">
    <w:name w:val="標題 9 字元"/>
    <w:basedOn w:val="a7"/>
    <w:link w:val="9"/>
    <w:uiPriority w:val="9"/>
    <w:rsid w:val="001455AE"/>
    <w:rPr>
      <w:rFonts w:ascii="標楷體" w:eastAsia="標楷體" w:hAnsiTheme="majorHAnsi" w:cstheme="majorBidi"/>
      <w:kern w:val="32"/>
      <w:sz w:val="32"/>
      <w:szCs w:val="36"/>
    </w:rPr>
  </w:style>
  <w:style w:type="paragraph" w:customStyle="1" w:styleId="af7">
    <w:name w:val="附表樣式"/>
    <w:basedOn w:val="a6"/>
    <w:qFormat/>
    <w:rsid w:val="001455AE"/>
    <w:pPr>
      <w:keepNext/>
      <w:overflowPunct w:val="0"/>
      <w:autoSpaceDE w:val="0"/>
      <w:autoSpaceDN w:val="0"/>
      <w:ind w:left="400" w:hangingChars="400" w:hanging="400"/>
      <w:jc w:val="both"/>
      <w:outlineLvl w:val="0"/>
    </w:pPr>
    <w:rPr>
      <w:rFonts w:ascii="標楷體"/>
      <w:kern w:val="32"/>
    </w:rPr>
  </w:style>
  <w:style w:type="paragraph" w:customStyle="1" w:styleId="14">
    <w:name w:val="表格14"/>
    <w:basedOn w:val="a6"/>
    <w:rsid w:val="001455AE"/>
    <w:pPr>
      <w:overflowPunct w:val="0"/>
      <w:autoSpaceDE w:val="0"/>
      <w:autoSpaceDN w:val="0"/>
      <w:adjustRightInd w:val="0"/>
      <w:snapToGrid w:val="0"/>
      <w:spacing w:line="360" w:lineRule="exact"/>
      <w:jc w:val="both"/>
    </w:pPr>
    <w:rPr>
      <w:rFonts w:ascii="標楷體"/>
      <w:snapToGrid w:val="0"/>
      <w:spacing w:val="-14"/>
      <w:kern w:val="0"/>
      <w:sz w:val="28"/>
    </w:rPr>
  </w:style>
  <w:style w:type="paragraph" w:customStyle="1" w:styleId="af8">
    <w:name w:val="附圖樣式"/>
    <w:basedOn w:val="a6"/>
    <w:qFormat/>
    <w:rsid w:val="001455AE"/>
    <w:pPr>
      <w:keepNext/>
      <w:overflowPunct w:val="0"/>
      <w:autoSpaceDE w:val="0"/>
      <w:autoSpaceDN w:val="0"/>
      <w:ind w:left="400" w:hangingChars="400" w:hanging="400"/>
      <w:jc w:val="both"/>
      <w:outlineLvl w:val="0"/>
    </w:pPr>
    <w:rPr>
      <w:rFonts w:ascii="標楷體"/>
      <w:kern w:val="32"/>
    </w:rPr>
  </w:style>
  <w:style w:type="paragraph" w:customStyle="1" w:styleId="140">
    <w:name w:val="表格標題14"/>
    <w:basedOn w:val="a6"/>
    <w:rsid w:val="001455AE"/>
    <w:pPr>
      <w:keepNext/>
      <w:overflowPunct w:val="0"/>
      <w:autoSpaceDE w:val="0"/>
      <w:autoSpaceDN w:val="0"/>
      <w:adjustRightInd w:val="0"/>
      <w:snapToGrid w:val="0"/>
      <w:spacing w:before="40" w:after="40" w:line="320" w:lineRule="exact"/>
      <w:jc w:val="center"/>
    </w:pPr>
    <w:rPr>
      <w:rFonts w:ascii="標楷體"/>
      <w:snapToGrid w:val="0"/>
      <w:spacing w:val="-10"/>
      <w:kern w:val="0"/>
      <w:sz w:val="28"/>
    </w:rPr>
  </w:style>
  <w:style w:type="paragraph" w:customStyle="1" w:styleId="af9">
    <w:name w:val="資料來源"/>
    <w:basedOn w:val="a6"/>
    <w:rsid w:val="001455AE"/>
    <w:pPr>
      <w:kinsoku w:val="0"/>
      <w:overflowPunct w:val="0"/>
      <w:autoSpaceDE w:val="0"/>
      <w:autoSpaceDN w:val="0"/>
      <w:adjustRightInd w:val="0"/>
      <w:snapToGrid w:val="0"/>
      <w:spacing w:before="40" w:after="240" w:line="360" w:lineRule="exact"/>
      <w:jc w:val="both"/>
    </w:pPr>
    <w:rPr>
      <w:rFonts w:ascii="標楷體"/>
      <w:spacing w:val="-10"/>
      <w:kern w:val="0"/>
      <w:sz w:val="28"/>
      <w:szCs w:val="22"/>
    </w:rPr>
  </w:style>
  <w:style w:type="paragraph" w:customStyle="1" w:styleId="a1">
    <w:name w:val="圖標題"/>
    <w:basedOn w:val="a6"/>
    <w:qFormat/>
    <w:rsid w:val="001455AE"/>
    <w:pPr>
      <w:numPr>
        <w:numId w:val="5"/>
      </w:numPr>
      <w:overflowPunct w:val="0"/>
      <w:autoSpaceDE w:val="0"/>
      <w:autoSpaceDN w:val="0"/>
      <w:adjustRightInd w:val="0"/>
      <w:snapToGrid w:val="0"/>
      <w:spacing w:before="40" w:after="240" w:line="360" w:lineRule="exact"/>
      <w:ind w:left="697" w:hanging="697"/>
      <w:jc w:val="center"/>
      <w:textAlignment w:val="baseline"/>
    </w:pPr>
    <w:rPr>
      <w:rFonts w:ascii="標楷體" w:hAnsi="華康楷書體W5(P)"/>
      <w:bCs/>
      <w:spacing w:val="-10"/>
      <w:kern w:val="28"/>
      <w:sz w:val="28"/>
      <w:szCs w:val="28"/>
    </w:rPr>
  </w:style>
  <w:style w:type="paragraph" w:customStyle="1" w:styleId="12">
    <w:name w:val="表格標題12"/>
    <w:basedOn w:val="140"/>
    <w:rsid w:val="001455AE"/>
    <w:pPr>
      <w:spacing w:line="240" w:lineRule="exact"/>
    </w:pPr>
    <w:rPr>
      <w:sz w:val="24"/>
      <w:szCs w:val="24"/>
    </w:rPr>
  </w:style>
  <w:style w:type="paragraph" w:customStyle="1" w:styleId="120">
    <w:name w:val="表格12"/>
    <w:basedOn w:val="14"/>
    <w:rsid w:val="001455AE"/>
    <w:pPr>
      <w:spacing w:line="300" w:lineRule="exact"/>
    </w:pPr>
    <w:rPr>
      <w:sz w:val="24"/>
      <w:szCs w:val="24"/>
    </w:rPr>
  </w:style>
  <w:style w:type="paragraph" w:customStyle="1" w:styleId="a4">
    <w:name w:val="附錄"/>
    <w:basedOn w:val="a6"/>
    <w:qFormat/>
    <w:rsid w:val="001455AE"/>
    <w:pPr>
      <w:keepNext/>
      <w:numPr>
        <w:numId w:val="6"/>
      </w:numPr>
      <w:overflowPunct w:val="0"/>
      <w:autoSpaceDE w:val="0"/>
      <w:autoSpaceDN w:val="0"/>
      <w:ind w:left="350" w:hangingChars="350" w:hanging="350"/>
      <w:jc w:val="both"/>
      <w:outlineLvl w:val="0"/>
    </w:pPr>
    <w:rPr>
      <w:rFonts w:ascii="標楷體"/>
      <w:kern w:val="32"/>
    </w:rPr>
  </w:style>
  <w:style w:type="paragraph" w:styleId="afa">
    <w:name w:val="List Paragraph"/>
    <w:aliases w:val="(二),標題二,標1"/>
    <w:basedOn w:val="a6"/>
    <w:link w:val="afb"/>
    <w:uiPriority w:val="34"/>
    <w:qFormat/>
    <w:rsid w:val="001455AE"/>
    <w:pPr>
      <w:overflowPunct w:val="0"/>
      <w:autoSpaceDE w:val="0"/>
      <w:autoSpaceDN w:val="0"/>
      <w:ind w:leftChars="200" w:left="480"/>
      <w:jc w:val="both"/>
    </w:pPr>
    <w:rPr>
      <w:rFonts w:ascii="標楷體"/>
    </w:rPr>
  </w:style>
  <w:style w:type="paragraph" w:styleId="afc">
    <w:name w:val="Balloon Text"/>
    <w:basedOn w:val="a6"/>
    <w:link w:val="afd"/>
    <w:uiPriority w:val="99"/>
    <w:semiHidden/>
    <w:unhideWhenUsed/>
    <w:rsid w:val="001455AE"/>
    <w:pPr>
      <w:overflowPunct w:val="0"/>
      <w:autoSpaceDE w:val="0"/>
      <w:autoSpaceDN w:val="0"/>
      <w:jc w:val="both"/>
    </w:pPr>
    <w:rPr>
      <w:rFonts w:asciiTheme="majorHAnsi" w:eastAsiaTheme="majorEastAsia" w:hAnsiTheme="majorHAnsi" w:cstheme="majorBidi"/>
      <w:sz w:val="18"/>
      <w:szCs w:val="18"/>
    </w:rPr>
  </w:style>
  <w:style w:type="character" w:customStyle="1" w:styleId="afd">
    <w:name w:val="註解方塊文字 字元"/>
    <w:basedOn w:val="a7"/>
    <w:link w:val="afc"/>
    <w:uiPriority w:val="99"/>
    <w:semiHidden/>
    <w:rsid w:val="001455AE"/>
    <w:rPr>
      <w:rFonts w:asciiTheme="majorHAnsi" w:eastAsiaTheme="majorEastAsia" w:hAnsiTheme="majorHAnsi" w:cstheme="majorBidi"/>
      <w:kern w:val="2"/>
      <w:sz w:val="18"/>
      <w:szCs w:val="18"/>
    </w:rPr>
  </w:style>
  <w:style w:type="paragraph" w:customStyle="1" w:styleId="a5">
    <w:name w:val="照片標題"/>
    <w:qFormat/>
    <w:rsid w:val="001455AE"/>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1455AE"/>
    <w:pPr>
      <w:keepNext/>
      <w:numPr>
        <w:numId w:val="8"/>
      </w:numPr>
      <w:overflowPunct w:val="0"/>
      <w:autoSpaceDE w:val="0"/>
      <w:autoSpaceDN w:val="0"/>
      <w:jc w:val="both"/>
      <w:outlineLvl w:val="0"/>
    </w:pPr>
    <w:rPr>
      <w:rFonts w:ascii="標楷體"/>
      <w:kern w:val="32"/>
    </w:rPr>
  </w:style>
  <w:style w:type="paragraph" w:customStyle="1" w:styleId="92">
    <w:name w:val="段落樣式9"/>
    <w:basedOn w:val="81"/>
    <w:qFormat/>
    <w:rsid w:val="001455AE"/>
    <w:pPr>
      <w:overflowPunct w:val="0"/>
      <w:autoSpaceDE w:val="0"/>
      <w:autoSpaceDN w:val="0"/>
      <w:ind w:leftChars="1000" w:left="1000"/>
    </w:pPr>
    <w:rPr>
      <w:kern w:val="32"/>
    </w:rPr>
  </w:style>
  <w:style w:type="character" w:customStyle="1" w:styleId="afb">
    <w:name w:val="清單段落 字元"/>
    <w:aliases w:val="(二) 字元,標題二 字元,標1 字元"/>
    <w:basedOn w:val="a7"/>
    <w:link w:val="afa"/>
    <w:uiPriority w:val="34"/>
    <w:rsid w:val="001455AE"/>
    <w:rPr>
      <w:rFonts w:ascii="標楷體" w:eastAsia="標楷體"/>
      <w:kern w:val="2"/>
      <w:sz w:val="32"/>
    </w:rPr>
  </w:style>
  <w:style w:type="paragraph" w:styleId="afe">
    <w:name w:val="footnote text"/>
    <w:basedOn w:val="a6"/>
    <w:link w:val="aff"/>
    <w:uiPriority w:val="99"/>
    <w:unhideWhenUsed/>
    <w:rsid w:val="001455AE"/>
    <w:pPr>
      <w:snapToGrid w:val="0"/>
    </w:pPr>
    <w:rPr>
      <w:rFonts w:ascii="Calibri" w:eastAsia="新細明體" w:hAnsi="Calibri"/>
      <w:sz w:val="20"/>
      <w:lang w:val="x-none" w:eastAsia="x-none"/>
    </w:rPr>
  </w:style>
  <w:style w:type="character" w:customStyle="1" w:styleId="aff">
    <w:name w:val="註腳文字 字元"/>
    <w:basedOn w:val="a7"/>
    <w:link w:val="afe"/>
    <w:uiPriority w:val="99"/>
    <w:rsid w:val="001455AE"/>
    <w:rPr>
      <w:rFonts w:ascii="Calibri" w:hAnsi="Calibri"/>
      <w:kern w:val="2"/>
      <w:lang w:val="x-none" w:eastAsia="x-none"/>
    </w:rPr>
  </w:style>
  <w:style w:type="character" w:styleId="aff0">
    <w:name w:val="footnote reference"/>
    <w:uiPriority w:val="99"/>
    <w:unhideWhenUsed/>
    <w:rsid w:val="001455AE"/>
    <w:rPr>
      <w:vertAlign w:val="superscript"/>
    </w:rPr>
  </w:style>
  <w:style w:type="paragraph" w:customStyle="1" w:styleId="Standard">
    <w:name w:val="Standard"/>
    <w:rsid w:val="001455AE"/>
    <w:pPr>
      <w:widowControl w:val="0"/>
      <w:suppressAutoHyphens/>
      <w:autoSpaceDN w:val="0"/>
      <w:textAlignment w:val="baseline"/>
    </w:pPr>
    <w:rPr>
      <w:rFonts w:ascii="Calibri" w:hAnsi="Calibri" w:cs="Tahoma"/>
      <w:kern w:val="3"/>
      <w:sz w:val="24"/>
      <w:szCs w:val="22"/>
    </w:rPr>
  </w:style>
  <w:style w:type="paragraph" w:customStyle="1" w:styleId="titile">
    <w:name w:val="titile"/>
    <w:basedOn w:val="a6"/>
    <w:rsid w:val="001455AE"/>
    <w:pPr>
      <w:topLinePunct/>
      <w:jc w:val="both"/>
    </w:pPr>
    <w:rPr>
      <w:rFonts w:ascii="標楷體" w:hAnsi="標楷體"/>
      <w:b/>
      <w:sz w:val="48"/>
      <w:szCs w:val="48"/>
    </w:rPr>
  </w:style>
  <w:style w:type="paragraph" w:styleId="aff1">
    <w:name w:val="TOC Heading"/>
    <w:basedOn w:val="1"/>
    <w:next w:val="a6"/>
    <w:uiPriority w:val="39"/>
    <w:unhideWhenUsed/>
    <w:qFormat/>
    <w:rsid w:val="001455AE"/>
    <w:pPr>
      <w:keepNext/>
      <w:keepLines/>
      <w:widowControl/>
      <w:numPr>
        <w:numId w:val="0"/>
      </w:numPr>
      <w:kinsoku/>
      <w:spacing w:before="240" w:line="259" w:lineRule="auto"/>
      <w:jc w:val="left"/>
      <w:outlineLvl w:val="9"/>
    </w:pPr>
    <w:rPr>
      <w:rFonts w:asciiTheme="majorHAnsi" w:eastAsiaTheme="majorEastAsia" w:hAnsiTheme="majorHAnsi" w:cstheme="majorBidi"/>
      <w:bCs w:val="0"/>
      <w:color w:val="2E74B5" w:themeColor="accent1" w:themeShade="BF"/>
      <w:szCs w:val="32"/>
    </w:rPr>
  </w:style>
  <w:style w:type="character" w:styleId="aff2">
    <w:name w:val="FollowedHyperlink"/>
    <w:basedOn w:val="a7"/>
    <w:uiPriority w:val="99"/>
    <w:semiHidden/>
    <w:unhideWhenUsed/>
    <w:rsid w:val="001455AE"/>
    <w:rPr>
      <w:color w:val="954F72" w:themeColor="followedHyperlink"/>
      <w:u w:val="single"/>
    </w:rPr>
  </w:style>
  <w:style w:type="character" w:customStyle="1" w:styleId="af4">
    <w:name w:val="頁尾 字元"/>
    <w:link w:val="af3"/>
    <w:uiPriority w:val="99"/>
    <w:rsid w:val="001455AE"/>
    <w:rPr>
      <w:rFonts w:eastAsia="標楷體"/>
      <w:kern w:val="2"/>
    </w:rPr>
  </w:style>
  <w:style w:type="paragraph" w:customStyle="1" w:styleId="U">
    <w:name w:val="U"/>
    <w:basedOn w:val="a6"/>
    <w:rsid w:val="00935EEE"/>
    <w:pPr>
      <w:keepNext/>
      <w:snapToGrid w:val="0"/>
      <w:ind w:rightChars="-25" w:right="-25"/>
      <w:jc w:val="right"/>
    </w:pPr>
    <w:rPr>
      <w:rFonts w:hAnsi="標楷體"/>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542063">
      <w:bodyDiv w:val="1"/>
      <w:marLeft w:val="0"/>
      <w:marRight w:val="0"/>
      <w:marTop w:val="0"/>
      <w:marBottom w:val="0"/>
      <w:divBdr>
        <w:top w:val="none" w:sz="0" w:space="0" w:color="auto"/>
        <w:left w:val="none" w:sz="0" w:space="0" w:color="auto"/>
        <w:bottom w:val="none" w:sz="0" w:space="0" w:color="auto"/>
        <w:right w:val="none" w:sz="0" w:space="0" w:color="auto"/>
      </w:divBdr>
    </w:div>
    <w:div w:id="2084836901">
      <w:bodyDiv w:val="1"/>
      <w:marLeft w:val="0"/>
      <w:marRight w:val="0"/>
      <w:marTop w:val="0"/>
      <w:marBottom w:val="0"/>
      <w:divBdr>
        <w:top w:val="none" w:sz="0" w:space="0" w:color="auto"/>
        <w:left w:val="none" w:sz="0" w:space="0" w:color="auto"/>
        <w:bottom w:val="none" w:sz="0" w:space="0" w:color="auto"/>
        <w:right w:val="none" w:sz="0" w:space="0" w:color="auto"/>
      </w:divBdr>
      <w:divsChild>
        <w:div w:id="195239484">
          <w:marLeft w:val="0"/>
          <w:marRight w:val="0"/>
          <w:marTop w:val="0"/>
          <w:marBottom w:val="0"/>
          <w:divBdr>
            <w:top w:val="none" w:sz="0" w:space="0" w:color="auto"/>
            <w:left w:val="none" w:sz="0" w:space="0" w:color="auto"/>
            <w:bottom w:val="none" w:sz="0" w:space="0" w:color="auto"/>
            <w:right w:val="none" w:sz="0" w:space="0" w:color="auto"/>
          </w:divBdr>
          <w:divsChild>
            <w:div w:id="1545946501">
              <w:marLeft w:val="0"/>
              <w:marRight w:val="0"/>
              <w:marTop w:val="0"/>
              <w:marBottom w:val="0"/>
              <w:divBdr>
                <w:top w:val="none" w:sz="0" w:space="0" w:color="auto"/>
                <w:left w:val="none" w:sz="0" w:space="0" w:color="auto"/>
                <w:bottom w:val="none" w:sz="0" w:space="0" w:color="auto"/>
                <w:right w:val="none" w:sz="0" w:space="0" w:color="auto"/>
              </w:divBdr>
              <w:divsChild>
                <w:div w:id="883324505">
                  <w:marLeft w:val="0"/>
                  <w:marRight w:val="0"/>
                  <w:marTop w:val="0"/>
                  <w:marBottom w:val="0"/>
                  <w:divBdr>
                    <w:top w:val="none" w:sz="0" w:space="0" w:color="auto"/>
                    <w:left w:val="none" w:sz="0" w:space="0" w:color="auto"/>
                    <w:bottom w:val="none" w:sz="0" w:space="0" w:color="auto"/>
                    <w:right w:val="none" w:sz="0" w:space="0" w:color="auto"/>
                  </w:divBdr>
                  <w:divsChild>
                    <w:div w:id="291403158">
                      <w:marLeft w:val="0"/>
                      <w:marRight w:val="0"/>
                      <w:marTop w:val="0"/>
                      <w:marBottom w:val="0"/>
                      <w:divBdr>
                        <w:top w:val="none" w:sz="0" w:space="0" w:color="auto"/>
                        <w:left w:val="none" w:sz="0" w:space="0" w:color="auto"/>
                        <w:bottom w:val="none" w:sz="0" w:space="0" w:color="auto"/>
                        <w:right w:val="none" w:sz="0" w:space="0" w:color="auto"/>
                      </w:divBdr>
                      <w:divsChild>
                        <w:div w:id="1573001131">
                          <w:marLeft w:val="0"/>
                          <w:marRight w:val="0"/>
                          <w:marTop w:val="0"/>
                          <w:marBottom w:val="0"/>
                          <w:divBdr>
                            <w:top w:val="none" w:sz="0" w:space="0" w:color="auto"/>
                            <w:left w:val="none" w:sz="0" w:space="0" w:color="auto"/>
                            <w:bottom w:val="none" w:sz="0" w:space="0" w:color="auto"/>
                            <w:right w:val="none" w:sz="0" w:space="0" w:color="auto"/>
                          </w:divBdr>
                          <w:divsChild>
                            <w:div w:id="700396820">
                              <w:marLeft w:val="0"/>
                              <w:marRight w:val="0"/>
                              <w:marTop w:val="0"/>
                              <w:marBottom w:val="0"/>
                              <w:divBdr>
                                <w:top w:val="none" w:sz="0" w:space="0" w:color="auto"/>
                                <w:left w:val="none" w:sz="0" w:space="0" w:color="auto"/>
                                <w:bottom w:val="none" w:sz="0" w:space="0" w:color="auto"/>
                                <w:right w:val="none" w:sz="0" w:space="0" w:color="auto"/>
                              </w:divBdr>
                              <w:divsChild>
                                <w:div w:id="1144928611">
                                  <w:marLeft w:val="0"/>
                                  <w:marRight w:val="0"/>
                                  <w:marTop w:val="0"/>
                                  <w:marBottom w:val="0"/>
                                  <w:divBdr>
                                    <w:top w:val="none" w:sz="0" w:space="0" w:color="auto"/>
                                    <w:left w:val="none" w:sz="0" w:space="0" w:color="auto"/>
                                    <w:bottom w:val="none" w:sz="0" w:space="0" w:color="auto"/>
                                    <w:right w:val="none" w:sz="0" w:space="0" w:color="auto"/>
                                  </w:divBdr>
                                  <w:divsChild>
                                    <w:div w:id="1975864090">
                                      <w:marLeft w:val="0"/>
                                      <w:marRight w:val="0"/>
                                      <w:marTop w:val="0"/>
                                      <w:marBottom w:val="0"/>
                                      <w:divBdr>
                                        <w:top w:val="none" w:sz="0" w:space="0" w:color="auto"/>
                                        <w:left w:val="none" w:sz="0" w:space="0" w:color="auto"/>
                                        <w:bottom w:val="none" w:sz="0" w:space="0" w:color="auto"/>
                                        <w:right w:val="none" w:sz="0" w:space="0" w:color="auto"/>
                                      </w:divBdr>
                                      <w:divsChild>
                                        <w:div w:id="2123987272">
                                          <w:marLeft w:val="0"/>
                                          <w:marRight w:val="0"/>
                                          <w:marTop w:val="0"/>
                                          <w:marBottom w:val="0"/>
                                          <w:divBdr>
                                            <w:top w:val="none" w:sz="0" w:space="0" w:color="auto"/>
                                            <w:left w:val="none" w:sz="0" w:space="0" w:color="auto"/>
                                            <w:bottom w:val="none" w:sz="0" w:space="0" w:color="auto"/>
                                            <w:right w:val="none" w:sz="0" w:space="0" w:color="auto"/>
                                          </w:divBdr>
                                          <w:divsChild>
                                            <w:div w:id="1978994412">
                                              <w:marLeft w:val="0"/>
                                              <w:marRight w:val="0"/>
                                              <w:marTop w:val="0"/>
                                              <w:marBottom w:val="0"/>
                                              <w:divBdr>
                                                <w:top w:val="none" w:sz="0" w:space="0" w:color="auto"/>
                                                <w:left w:val="none" w:sz="0" w:space="0" w:color="auto"/>
                                                <w:bottom w:val="none" w:sz="0" w:space="0" w:color="auto"/>
                                                <w:right w:val="none" w:sz="0" w:space="0" w:color="auto"/>
                                              </w:divBdr>
                                              <w:divsChild>
                                                <w:div w:id="1872184821">
                                                  <w:marLeft w:val="0"/>
                                                  <w:marRight w:val="0"/>
                                                  <w:marTop w:val="0"/>
                                                  <w:marBottom w:val="0"/>
                                                  <w:divBdr>
                                                    <w:top w:val="none" w:sz="0" w:space="0" w:color="auto"/>
                                                    <w:left w:val="none" w:sz="0" w:space="0" w:color="auto"/>
                                                    <w:bottom w:val="none" w:sz="0" w:space="0" w:color="auto"/>
                                                    <w:right w:val="none" w:sz="0" w:space="0" w:color="auto"/>
                                                  </w:divBdr>
                                                  <w:divsChild>
                                                    <w:div w:id="608662385">
                                                      <w:marLeft w:val="0"/>
                                                      <w:marRight w:val="0"/>
                                                      <w:marTop w:val="0"/>
                                                      <w:marBottom w:val="0"/>
                                                      <w:divBdr>
                                                        <w:top w:val="none" w:sz="0" w:space="0" w:color="auto"/>
                                                        <w:left w:val="none" w:sz="0" w:space="0" w:color="auto"/>
                                                        <w:bottom w:val="none" w:sz="0" w:space="0" w:color="auto"/>
                                                        <w:right w:val="none" w:sz="0" w:space="0" w:color="auto"/>
                                                      </w:divBdr>
                                                      <w:divsChild>
                                                        <w:div w:id="407772426">
                                                          <w:marLeft w:val="0"/>
                                                          <w:marRight w:val="0"/>
                                                          <w:marTop w:val="0"/>
                                                          <w:marBottom w:val="0"/>
                                                          <w:divBdr>
                                                            <w:top w:val="none" w:sz="0" w:space="0" w:color="auto"/>
                                                            <w:left w:val="none" w:sz="0" w:space="0" w:color="auto"/>
                                                            <w:bottom w:val="none" w:sz="0" w:space="0" w:color="auto"/>
                                                            <w:right w:val="none" w:sz="0" w:space="0" w:color="auto"/>
                                                          </w:divBdr>
                                                          <w:divsChild>
                                                            <w:div w:id="1498960916">
                                                              <w:marLeft w:val="0"/>
                                                              <w:marRight w:val="0"/>
                                                              <w:marTop w:val="0"/>
                                                              <w:marBottom w:val="0"/>
                                                              <w:divBdr>
                                                                <w:top w:val="none" w:sz="0" w:space="0" w:color="auto"/>
                                                                <w:left w:val="none" w:sz="0" w:space="0" w:color="auto"/>
                                                                <w:bottom w:val="none" w:sz="0" w:space="0" w:color="auto"/>
                                                                <w:right w:val="none" w:sz="0" w:space="0" w:color="auto"/>
                                                              </w:divBdr>
                                                              <w:divsChild>
                                                                <w:div w:id="352348119">
                                                                  <w:marLeft w:val="0"/>
                                                                  <w:marRight w:val="0"/>
                                                                  <w:marTop w:val="0"/>
                                                                  <w:marBottom w:val="0"/>
                                                                  <w:divBdr>
                                                                    <w:top w:val="none" w:sz="0" w:space="0" w:color="auto"/>
                                                                    <w:left w:val="none" w:sz="0" w:space="0" w:color="auto"/>
                                                                    <w:bottom w:val="none" w:sz="0" w:space="0" w:color="auto"/>
                                                                    <w:right w:val="none" w:sz="0" w:space="0" w:color="auto"/>
                                                                  </w:divBdr>
                                                                  <w:divsChild>
                                                                    <w:div w:id="1041393201">
                                                                      <w:marLeft w:val="0"/>
                                                                      <w:marRight w:val="0"/>
                                                                      <w:marTop w:val="0"/>
                                                                      <w:marBottom w:val="0"/>
                                                                      <w:divBdr>
                                                                        <w:top w:val="none" w:sz="0" w:space="0" w:color="auto"/>
                                                                        <w:left w:val="none" w:sz="0" w:space="0" w:color="auto"/>
                                                                        <w:bottom w:val="none" w:sz="0" w:space="0" w:color="auto"/>
                                                                        <w:right w:val="none" w:sz="0" w:space="0" w:color="auto"/>
                                                                      </w:divBdr>
                                                                      <w:divsChild>
                                                                        <w:div w:id="137308745">
                                                                          <w:marLeft w:val="0"/>
                                                                          <w:marRight w:val="0"/>
                                                                          <w:marTop w:val="0"/>
                                                                          <w:marBottom w:val="0"/>
                                                                          <w:divBdr>
                                                                            <w:top w:val="none" w:sz="0" w:space="0" w:color="auto"/>
                                                                            <w:left w:val="none" w:sz="0" w:space="0" w:color="auto"/>
                                                                            <w:bottom w:val="none" w:sz="0" w:space="0" w:color="auto"/>
                                                                            <w:right w:val="none" w:sz="0" w:space="0" w:color="auto"/>
                                                                          </w:divBdr>
                                                                          <w:divsChild>
                                                                            <w:div w:id="856309865">
                                                                              <w:marLeft w:val="0"/>
                                                                              <w:marRight w:val="0"/>
                                                                              <w:marTop w:val="0"/>
                                                                              <w:marBottom w:val="0"/>
                                                                              <w:divBdr>
                                                                                <w:top w:val="none" w:sz="0" w:space="0" w:color="auto"/>
                                                                                <w:left w:val="none" w:sz="0" w:space="0" w:color="auto"/>
                                                                                <w:bottom w:val="none" w:sz="0" w:space="0" w:color="auto"/>
                                                                                <w:right w:val="none" w:sz="0" w:space="0" w:color="auto"/>
                                                                              </w:divBdr>
                                                                              <w:divsChild>
                                                                                <w:div w:id="215437372">
                                                                                  <w:marLeft w:val="0"/>
                                                                                  <w:marRight w:val="0"/>
                                                                                  <w:marTop w:val="0"/>
                                                                                  <w:marBottom w:val="0"/>
                                                                                  <w:divBdr>
                                                                                    <w:top w:val="none" w:sz="0" w:space="0" w:color="auto"/>
                                                                                    <w:left w:val="none" w:sz="0" w:space="0" w:color="auto"/>
                                                                                    <w:bottom w:val="none" w:sz="0" w:space="0" w:color="auto"/>
                                                                                    <w:right w:val="none" w:sz="0" w:space="0" w:color="auto"/>
                                                                                  </w:divBdr>
                                                                                  <w:divsChild>
                                                                                    <w:div w:id="332991996">
                                                                                      <w:marLeft w:val="0"/>
                                                                                      <w:marRight w:val="0"/>
                                                                                      <w:marTop w:val="0"/>
                                                                                      <w:marBottom w:val="0"/>
                                                                                      <w:divBdr>
                                                                                        <w:top w:val="none" w:sz="0" w:space="0" w:color="auto"/>
                                                                                        <w:left w:val="none" w:sz="0" w:space="0" w:color="auto"/>
                                                                                        <w:bottom w:val="none" w:sz="0" w:space="0" w:color="auto"/>
                                                                                        <w:right w:val="none" w:sz="0" w:space="0" w:color="auto"/>
                                                                                      </w:divBdr>
                                                                                      <w:divsChild>
                                                                                        <w:div w:id="2070687798">
                                                                                          <w:marLeft w:val="0"/>
                                                                                          <w:marRight w:val="0"/>
                                                                                          <w:marTop w:val="0"/>
                                                                                          <w:marBottom w:val="0"/>
                                                                                          <w:divBdr>
                                                                                            <w:top w:val="none" w:sz="0" w:space="0" w:color="auto"/>
                                                                                            <w:left w:val="none" w:sz="0" w:space="0" w:color="auto"/>
                                                                                            <w:bottom w:val="none" w:sz="0" w:space="0" w:color="auto"/>
                                                                                            <w:right w:val="none" w:sz="0" w:space="0" w:color="auto"/>
                                                                                          </w:divBdr>
                                                                                          <w:divsChild>
                                                                                            <w:div w:id="600840530">
                                                                                              <w:marLeft w:val="0"/>
                                                                                              <w:marRight w:val="0"/>
                                                                                              <w:marTop w:val="0"/>
                                                                                              <w:marBottom w:val="0"/>
                                                                                              <w:divBdr>
                                                                                                <w:top w:val="none" w:sz="0" w:space="0" w:color="auto"/>
                                                                                                <w:left w:val="none" w:sz="0" w:space="0" w:color="auto"/>
                                                                                                <w:bottom w:val="none" w:sz="0" w:space="0" w:color="auto"/>
                                                                                                <w:right w:val="none" w:sz="0" w:space="0" w:color="auto"/>
                                                                                              </w:divBdr>
                                                                                              <w:divsChild>
                                                                                                <w:div w:id="332687545">
                                                                                                  <w:marLeft w:val="0"/>
                                                                                                  <w:marRight w:val="0"/>
                                                                                                  <w:marTop w:val="0"/>
                                                                                                  <w:marBottom w:val="0"/>
                                                                                                  <w:divBdr>
                                                                                                    <w:top w:val="none" w:sz="0" w:space="0" w:color="auto"/>
                                                                                                    <w:left w:val="none" w:sz="0" w:space="0" w:color="auto"/>
                                                                                                    <w:bottom w:val="none" w:sz="0" w:space="0" w:color="auto"/>
                                                                                                    <w:right w:val="none" w:sz="0" w:space="0" w:color="auto"/>
                                                                                                  </w:divBdr>
                                                                                                  <w:divsChild>
                                                                                                    <w:div w:id="814761399">
                                                                                                      <w:marLeft w:val="0"/>
                                                                                                      <w:marRight w:val="0"/>
                                                                                                      <w:marTop w:val="0"/>
                                                                                                      <w:marBottom w:val="0"/>
                                                                                                      <w:divBdr>
                                                                                                        <w:top w:val="none" w:sz="0" w:space="0" w:color="auto"/>
                                                                                                        <w:left w:val="none" w:sz="0" w:space="0" w:color="auto"/>
                                                                                                        <w:bottom w:val="none" w:sz="0" w:space="0" w:color="auto"/>
                                                                                                        <w:right w:val="none" w:sz="0" w:space="0" w:color="auto"/>
                                                                                                      </w:divBdr>
                                                                                                      <w:divsChild>
                                                                                                        <w:div w:id="2029260015">
                                                                                                          <w:marLeft w:val="0"/>
                                                                                                          <w:marRight w:val="0"/>
                                                                                                          <w:marTop w:val="0"/>
                                                                                                          <w:marBottom w:val="0"/>
                                                                                                          <w:divBdr>
                                                                                                            <w:top w:val="none" w:sz="0" w:space="0" w:color="auto"/>
                                                                                                            <w:left w:val="none" w:sz="0" w:space="0" w:color="auto"/>
                                                                                                            <w:bottom w:val="none" w:sz="0" w:space="0" w:color="auto"/>
                                                                                                            <w:right w:val="none" w:sz="0" w:space="0" w:color="auto"/>
                                                                                                          </w:divBdr>
                                                                                                          <w:divsChild>
                                                                                                            <w:div w:id="1542672346">
                                                                                                              <w:marLeft w:val="0"/>
                                                                                                              <w:marRight w:val="0"/>
                                                                                                              <w:marTop w:val="0"/>
                                                                                                              <w:marBottom w:val="0"/>
                                                                                                              <w:divBdr>
                                                                                                                <w:top w:val="none" w:sz="0" w:space="0" w:color="auto"/>
                                                                                                                <w:left w:val="none" w:sz="0" w:space="0" w:color="auto"/>
                                                                                                                <w:bottom w:val="none" w:sz="0" w:space="0" w:color="auto"/>
                                                                                                                <w:right w:val="none" w:sz="0" w:space="0" w:color="auto"/>
                                                                                                              </w:divBdr>
                                                                                                              <w:divsChild>
                                                                                                                <w:div w:id="641351413">
                                                                                                                  <w:marLeft w:val="0"/>
                                                                                                                  <w:marRight w:val="0"/>
                                                                                                                  <w:marTop w:val="0"/>
                                                                                                                  <w:marBottom w:val="0"/>
                                                                                                                  <w:divBdr>
                                                                                                                    <w:top w:val="none" w:sz="0" w:space="0" w:color="auto"/>
                                                                                                                    <w:left w:val="none" w:sz="0" w:space="0" w:color="auto"/>
                                                                                                                    <w:bottom w:val="none" w:sz="0" w:space="0" w:color="auto"/>
                                                                                                                    <w:right w:val="none" w:sz="0" w:space="0" w:color="auto"/>
                                                                                                                  </w:divBdr>
                                                                                                                  <w:divsChild>
                                                                                                                    <w:div w:id="1538082792">
                                                                                                                      <w:marLeft w:val="0"/>
                                                                                                                      <w:marRight w:val="0"/>
                                                                                                                      <w:marTop w:val="0"/>
                                                                                                                      <w:marBottom w:val="0"/>
                                                                                                                      <w:divBdr>
                                                                                                                        <w:top w:val="none" w:sz="0" w:space="0" w:color="auto"/>
                                                                                                                        <w:left w:val="none" w:sz="0" w:space="0" w:color="auto"/>
                                                                                                                        <w:bottom w:val="none" w:sz="0" w:space="0" w:color="auto"/>
                                                                                                                        <w:right w:val="none" w:sz="0" w:space="0" w:color="auto"/>
                                                                                                                      </w:divBdr>
                                                                                                                      <w:divsChild>
                                                                                                                        <w:div w:id="582953435">
                                                                                                                          <w:marLeft w:val="0"/>
                                                                                                                          <w:marRight w:val="0"/>
                                                                                                                          <w:marTop w:val="0"/>
                                                                                                                          <w:marBottom w:val="0"/>
                                                                                                                          <w:divBdr>
                                                                                                                            <w:top w:val="none" w:sz="0" w:space="0" w:color="auto"/>
                                                                                                                            <w:left w:val="none" w:sz="0" w:space="0" w:color="auto"/>
                                                                                                                            <w:bottom w:val="none" w:sz="0" w:space="0" w:color="auto"/>
                                                                                                                            <w:right w:val="none" w:sz="0" w:space="0" w:color="auto"/>
                                                                                                                          </w:divBdr>
                                                                                                                          <w:divsChild>
                                                                                                                            <w:div w:id="1627273955">
                                                                                                                              <w:marLeft w:val="0"/>
                                                                                                                              <w:marRight w:val="0"/>
                                                                                                                              <w:marTop w:val="0"/>
                                                                                                                              <w:marBottom w:val="0"/>
                                                                                                                              <w:divBdr>
                                                                                                                                <w:top w:val="none" w:sz="0" w:space="0" w:color="auto"/>
                                                                                                                                <w:left w:val="none" w:sz="0" w:space="0" w:color="auto"/>
                                                                                                                                <w:bottom w:val="none" w:sz="0" w:space="0" w:color="auto"/>
                                                                                                                                <w:right w:val="none" w:sz="0" w:space="0" w:color="auto"/>
                                                                                                                              </w:divBdr>
                                                                                                                              <w:divsChild>
                                                                                                                                <w:div w:id="88055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lai\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F110F-C4A0-4340-AFB0-09EF8B077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76</Pages>
  <Words>7618</Words>
  <Characters>43423</Characters>
  <Application>Microsoft Office Word</Application>
  <DocSecurity>0</DocSecurity>
  <Lines>361</Lines>
  <Paragraphs>101</Paragraphs>
  <ScaleCrop>false</ScaleCrop>
  <Company>cy</Company>
  <LinksUpToDate>false</LinksUpToDate>
  <CharactersWithSpaces>50940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賴媛君</dc:creator>
  <cp:keywords/>
  <dc:description/>
  <cp:lastModifiedBy>江明潔</cp:lastModifiedBy>
  <cp:revision>2</cp:revision>
  <cp:lastPrinted>2020-05-28T02:05:00Z</cp:lastPrinted>
  <dcterms:created xsi:type="dcterms:W3CDTF">2020-06-11T06:52:00Z</dcterms:created>
  <dcterms:modified xsi:type="dcterms:W3CDTF">2020-06-11T06:52:00Z</dcterms:modified>
</cp:coreProperties>
</file>