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B560F" w:rsidRDefault="00EC52D3" w:rsidP="00BD1CD7">
      <w:pPr>
        <w:pStyle w:val="af7"/>
        <w:wordWrap w:val="0"/>
        <w:rPr>
          <w:rFonts w:hAnsi="標楷體"/>
          <w:color w:val="000000" w:themeColor="text1"/>
        </w:rPr>
      </w:pPr>
      <w:r w:rsidRPr="007B560F">
        <w:rPr>
          <w:rFonts w:hAnsi="標楷體"/>
          <w:color w:val="000000" w:themeColor="text1"/>
        </w:rPr>
        <w:t>調查</w:t>
      </w:r>
      <w:r w:rsidR="00D75644" w:rsidRPr="007B560F">
        <w:rPr>
          <w:rFonts w:hAnsi="標楷體"/>
          <w:color w:val="000000" w:themeColor="text1"/>
        </w:rPr>
        <w:t>報告</w:t>
      </w:r>
    </w:p>
    <w:p w:rsidR="00E25849" w:rsidRPr="007B560F" w:rsidRDefault="00E25849" w:rsidP="00BD1CD7">
      <w:pPr>
        <w:pStyle w:val="1"/>
        <w:wordWrap w:val="0"/>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560F">
        <w:rPr>
          <w:rFonts w:hAnsi="標楷體"/>
          <w:color w:val="000000" w:themeColor="text1"/>
        </w:rPr>
        <w:t>案　　由：</w:t>
      </w:r>
      <w:bookmarkEnd w:id="0"/>
      <w:bookmarkEnd w:id="1"/>
      <w:bookmarkEnd w:id="2"/>
      <w:bookmarkEnd w:id="3"/>
      <w:bookmarkEnd w:id="4"/>
      <w:bookmarkEnd w:id="5"/>
      <w:bookmarkEnd w:id="6"/>
      <w:bookmarkEnd w:id="7"/>
      <w:bookmarkEnd w:id="8"/>
      <w:bookmarkEnd w:id="9"/>
      <w:r w:rsidR="001C0DA8" w:rsidRPr="007B560F">
        <w:rPr>
          <w:rFonts w:hAnsi="標楷體"/>
          <w:color w:val="000000" w:themeColor="text1"/>
        </w:rPr>
        <w:fldChar w:fldCharType="begin"/>
      </w:r>
      <w:r w:rsidRPr="007B560F">
        <w:rPr>
          <w:rFonts w:hAnsi="標楷體"/>
          <w:color w:val="000000" w:themeColor="text1"/>
        </w:rPr>
        <w:instrText xml:space="preserve"> MERGEFIELD 案由 </w:instrText>
      </w:r>
      <w:r w:rsidR="001C0DA8" w:rsidRPr="007B560F">
        <w:rPr>
          <w:rFonts w:hAnsi="標楷體"/>
          <w:color w:val="000000" w:themeColor="text1"/>
        </w:rPr>
        <w:fldChar w:fldCharType="separate"/>
      </w:r>
      <w:bookmarkEnd w:id="11"/>
      <w:r w:rsidR="008E77DB" w:rsidRPr="007B560F">
        <w:rPr>
          <w:rFonts w:hAnsi="標楷體"/>
          <w:noProof/>
          <w:color w:val="000000" w:themeColor="text1"/>
        </w:rPr>
        <w:t>近年食安問題廣受社會矚目，一般消費者對各項農作農藥殘餘極為關心，各地方政府農藥抽驗，農藥殘留過高之案件屢見不鮮。臺北市政府衛生局107年8月24日公布最新生鮮蔬果(含茶葉)殘留農藥抽驗結果，一共抽驗92件產品，14件不符合規定，包含百香果2件、荔枝、高山紅茶各1件檢出2種殘留農藥等，其中一件百香果殘留農藥項目高達5種。目前各地方政府農藥抽驗比例甚低，常用之農藥抽檢方法為現場快篩或送檢，常採用之快篩檢驗精度不足。地方政府負責農藥抽驗之相關人員及預算均顯不足。臺灣之各項農作之農藥殘餘檢驗比諸先進國家，如日本，明顯落後，人員訓練及配套不足以有效扼制農藥濫用。為強化中央政府及各地方政府之農藥管理機制，並確保食安及相關規定之落實，以及配套措施之完整，實有詳究之必要案。</w:t>
      </w:r>
      <w:bookmarkEnd w:id="10"/>
      <w:r w:rsidR="001C0DA8" w:rsidRPr="007B560F">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1D011D" w:rsidRPr="007B560F" w:rsidRDefault="001D011D" w:rsidP="00BD1CD7">
      <w:pPr>
        <w:pStyle w:val="1"/>
        <w:wordWrap w:val="0"/>
        <w:rPr>
          <w:rFonts w:hAnsi="標楷體"/>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902730"/>
      <w:r w:rsidRPr="007B560F">
        <w:rPr>
          <w:rFonts w:hAnsi="標楷體"/>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55594" w:rsidRPr="007B560F" w:rsidRDefault="00455594" w:rsidP="00455594">
      <w:pPr>
        <w:pStyle w:val="5"/>
        <w:numPr>
          <w:ilvl w:val="0"/>
          <w:numId w:val="0"/>
        </w:numPr>
        <w:wordWrap w:val="0"/>
        <w:ind w:left="709" w:firstLineChars="208" w:firstLine="708"/>
        <w:rPr>
          <w:rFonts w:hAnsi="標楷體"/>
          <w:color w:val="000000" w:themeColor="text1"/>
        </w:rPr>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39"/>
      <w:r w:rsidRPr="007B560F">
        <w:rPr>
          <w:rFonts w:hAnsi="標楷體" w:hint="eastAsia"/>
          <w:color w:val="000000" w:themeColor="text1"/>
        </w:rPr>
        <w:t>我國身處亞熱帶國家，對於作物農藥的使用或許難以避免，但農藥對於使用者、環境生態及國人</w:t>
      </w:r>
      <w:proofErr w:type="gramStart"/>
      <w:r w:rsidRPr="007B560F">
        <w:rPr>
          <w:rFonts w:hAnsi="標楷體" w:hint="eastAsia"/>
          <w:color w:val="000000" w:themeColor="text1"/>
        </w:rPr>
        <w:t>健康均有可能</w:t>
      </w:r>
      <w:proofErr w:type="gramEnd"/>
      <w:r w:rsidRPr="007B560F">
        <w:rPr>
          <w:rFonts w:hAnsi="標楷體" w:hint="eastAsia"/>
          <w:color w:val="000000" w:themeColor="text1"/>
        </w:rPr>
        <w:t>發生危害，因此政府自當有所管理策略。目前</w:t>
      </w:r>
      <w:r w:rsidRPr="007B560F">
        <w:rPr>
          <w:rFonts w:hAnsi="標楷體"/>
          <w:color w:val="000000" w:themeColor="text1"/>
        </w:rPr>
        <w:t>行政院農業委員會（下稱農委會）及衛生福利部（下稱</w:t>
      </w:r>
      <w:r w:rsidRPr="007B560F">
        <w:rPr>
          <w:rFonts w:hAnsi="標楷體" w:hint="eastAsia"/>
          <w:color w:val="000000" w:themeColor="text1"/>
        </w:rPr>
        <w:t>衛福部</w:t>
      </w:r>
      <w:r w:rsidRPr="007B560F">
        <w:rPr>
          <w:rFonts w:hAnsi="標楷體"/>
          <w:color w:val="000000" w:themeColor="text1"/>
        </w:rPr>
        <w:t>）</w:t>
      </w:r>
      <w:r w:rsidRPr="007B560F">
        <w:rPr>
          <w:rFonts w:hAnsi="標楷體" w:hint="eastAsia"/>
          <w:color w:val="000000" w:themeColor="text1"/>
        </w:rPr>
        <w:t>對於農藥核准、使用及殘留標準</w:t>
      </w:r>
      <w:proofErr w:type="gramStart"/>
      <w:r w:rsidRPr="007B560F">
        <w:rPr>
          <w:rFonts w:hAnsi="標楷體" w:hint="eastAsia"/>
          <w:color w:val="000000" w:themeColor="text1"/>
        </w:rPr>
        <w:t>等均有相關</w:t>
      </w:r>
      <w:proofErr w:type="gramEnd"/>
      <w:r w:rsidRPr="007B560F">
        <w:rPr>
          <w:rFonts w:hAnsi="標楷體" w:hint="eastAsia"/>
          <w:color w:val="000000" w:themeColor="text1"/>
        </w:rPr>
        <w:t>管理措施，惟蔬果農藥殘留問題仍層出不窮，究目前監測系統是否存有漏洞以及相關管理策略是否合宜等，</w:t>
      </w:r>
      <w:proofErr w:type="gramStart"/>
      <w:r w:rsidRPr="007B560F">
        <w:rPr>
          <w:rFonts w:hAnsi="標楷體" w:hint="eastAsia"/>
          <w:color w:val="000000" w:themeColor="text1"/>
        </w:rPr>
        <w:t>均有</w:t>
      </w:r>
      <w:r w:rsidRPr="007B560F">
        <w:rPr>
          <w:rFonts w:hAnsi="標楷體"/>
          <w:color w:val="000000" w:themeColor="text1"/>
        </w:rPr>
        <w:t>深入</w:t>
      </w:r>
      <w:proofErr w:type="gramEnd"/>
      <w:r w:rsidRPr="007B560F">
        <w:rPr>
          <w:rFonts w:hAnsi="標楷體"/>
          <w:color w:val="000000" w:themeColor="text1"/>
        </w:rPr>
        <w:t>瞭解必要，本院</w:t>
      </w:r>
      <w:proofErr w:type="gramStart"/>
      <w:r w:rsidRPr="007B560F">
        <w:rPr>
          <w:rFonts w:hAnsi="標楷體"/>
          <w:color w:val="000000" w:themeColor="text1"/>
        </w:rPr>
        <w:t>爰</w:t>
      </w:r>
      <w:proofErr w:type="gramEnd"/>
      <w:r w:rsidRPr="007B560F">
        <w:rPr>
          <w:rFonts w:hAnsi="標楷體"/>
          <w:color w:val="000000" w:themeColor="text1"/>
        </w:rPr>
        <w:t>立案調查。</w:t>
      </w:r>
    </w:p>
    <w:p w:rsidR="00455594" w:rsidRPr="007B560F" w:rsidRDefault="00CC067C" w:rsidP="00455594">
      <w:pPr>
        <w:pStyle w:val="5"/>
        <w:numPr>
          <w:ilvl w:val="0"/>
          <w:numId w:val="0"/>
        </w:numPr>
        <w:wordWrap w:val="0"/>
        <w:ind w:left="709" w:firstLineChars="208" w:firstLine="708"/>
        <w:rPr>
          <w:rFonts w:hAnsi="標楷體"/>
          <w:color w:val="000000" w:themeColor="text1"/>
          <w:szCs w:val="32"/>
        </w:rPr>
      </w:pPr>
      <w:r w:rsidRPr="007B560F">
        <w:rPr>
          <w:rFonts w:hAnsi="標楷體" w:hint="eastAsia"/>
          <w:color w:val="000000" w:themeColor="text1"/>
        </w:rPr>
        <w:t>案經向農委會及衛福部食品藥物管理署（下稱食藥署）調取相關卷證審閱，並於108年1月24日及4月16日召</w:t>
      </w:r>
      <w:r w:rsidRPr="007B560F">
        <w:rPr>
          <w:rFonts w:hAnsi="標楷體" w:hint="eastAsia"/>
          <w:color w:val="000000" w:themeColor="text1"/>
        </w:rPr>
        <w:lastRenderedPageBreak/>
        <w:t>開2場諮詢會議，另於108年4月16日就本案爭點，詢問農委會及</w:t>
      </w:r>
      <w:proofErr w:type="gramStart"/>
      <w:r w:rsidRPr="007B560F">
        <w:rPr>
          <w:rFonts w:hAnsi="標楷體" w:hint="eastAsia"/>
          <w:color w:val="000000" w:themeColor="text1"/>
        </w:rPr>
        <w:t>食藥署</w:t>
      </w:r>
      <w:proofErr w:type="gramEnd"/>
      <w:r w:rsidRPr="007B560F">
        <w:rPr>
          <w:rFonts w:hAnsi="標楷體" w:hint="eastAsia"/>
          <w:color w:val="000000" w:themeColor="text1"/>
        </w:rPr>
        <w:t>相關主管人員；</w:t>
      </w:r>
      <w:proofErr w:type="gramStart"/>
      <w:r w:rsidRPr="007B560F">
        <w:rPr>
          <w:rFonts w:hAnsi="標楷體" w:hint="eastAsia"/>
          <w:color w:val="000000" w:themeColor="text1"/>
        </w:rPr>
        <w:t>嗣</w:t>
      </w:r>
      <w:proofErr w:type="gramEnd"/>
      <w:r w:rsidRPr="007B560F">
        <w:rPr>
          <w:rFonts w:hAnsi="標楷體" w:hint="eastAsia"/>
          <w:color w:val="000000" w:themeColor="text1"/>
        </w:rPr>
        <w:t>為澈底全盤瞭解目前政府機關就農藥抽檢監測系統可能之漏洞，重啟調卷及諮詢等調查作為，並分別於108年10月4日及24日赴</w:t>
      </w:r>
      <w:proofErr w:type="gramStart"/>
      <w:r w:rsidRPr="007B560F">
        <w:rPr>
          <w:rFonts w:hAnsi="標楷體" w:hint="eastAsia"/>
          <w:color w:val="000000" w:themeColor="text1"/>
        </w:rPr>
        <w:t>臺</w:t>
      </w:r>
      <w:proofErr w:type="gramEnd"/>
      <w:r w:rsidRPr="007B560F">
        <w:rPr>
          <w:rFonts w:hAnsi="標楷體" w:hint="eastAsia"/>
          <w:color w:val="000000" w:themeColor="text1"/>
        </w:rPr>
        <w:t>北農產運銷股份有限公司(下稱北農公司)</w:t>
      </w:r>
      <w:r w:rsidR="00BA3156" w:rsidRPr="007B560F">
        <w:rPr>
          <w:rFonts w:hAnsi="標楷體" w:hint="eastAsia"/>
          <w:color w:val="000000" w:themeColor="text1"/>
        </w:rPr>
        <w:t>所經營之果菜批發市場及雲林縣政府履</w:t>
      </w:r>
      <w:proofErr w:type="gramStart"/>
      <w:r w:rsidR="00BA3156" w:rsidRPr="007B560F">
        <w:rPr>
          <w:rFonts w:hAnsi="標楷體" w:hint="eastAsia"/>
          <w:color w:val="000000" w:themeColor="text1"/>
        </w:rPr>
        <w:t>勘</w:t>
      </w:r>
      <w:proofErr w:type="gramEnd"/>
      <w:r w:rsidR="00BA3156" w:rsidRPr="007B560F">
        <w:rPr>
          <w:rFonts w:hAnsi="標楷體" w:hint="eastAsia"/>
          <w:color w:val="000000" w:themeColor="text1"/>
        </w:rPr>
        <w:t>，到</w:t>
      </w:r>
      <w:r w:rsidRPr="007B560F">
        <w:rPr>
          <w:rFonts w:hAnsi="標楷體" w:hint="eastAsia"/>
          <w:color w:val="000000" w:themeColor="text1"/>
        </w:rPr>
        <w:t>田間及集貨場瞭解蔬果農藥殘留抽驗機制，且為實際求證市售蔬果農藥殘留情形，赴雲林縣虎尾黃昏市場抽取11件蔬果，並請取得</w:t>
      </w:r>
      <w:proofErr w:type="gramStart"/>
      <w:r w:rsidRPr="007B560F">
        <w:rPr>
          <w:rFonts w:hAnsi="標楷體" w:hint="eastAsia"/>
          <w:color w:val="000000" w:themeColor="text1"/>
        </w:rPr>
        <w:t>食藥署</w:t>
      </w:r>
      <w:proofErr w:type="gramEnd"/>
      <w:r w:rsidRPr="007B560F">
        <w:rPr>
          <w:rFonts w:hAnsi="標楷體" w:hint="eastAsia"/>
          <w:color w:val="000000" w:themeColor="text1"/>
        </w:rPr>
        <w:t>認證之實驗室協助檢驗，再於109年2月20日詢問農委會及</w:t>
      </w:r>
      <w:proofErr w:type="gramStart"/>
      <w:r w:rsidRPr="007B560F">
        <w:rPr>
          <w:rFonts w:hAnsi="標楷體" w:hint="eastAsia"/>
          <w:color w:val="000000" w:themeColor="text1"/>
        </w:rPr>
        <w:t>食藥署</w:t>
      </w:r>
      <w:proofErr w:type="gramEnd"/>
      <w:r w:rsidRPr="007B560F">
        <w:rPr>
          <w:rFonts w:hAnsi="標楷體" w:hint="eastAsia"/>
          <w:color w:val="000000" w:themeColor="text1"/>
        </w:rPr>
        <w:t>相關主管人員，</w:t>
      </w:r>
      <w:proofErr w:type="gramStart"/>
      <w:r w:rsidRPr="007B560F">
        <w:rPr>
          <w:rFonts w:hAnsi="標楷體" w:hint="eastAsia"/>
          <w:color w:val="000000" w:themeColor="text1"/>
        </w:rPr>
        <w:t>最後</w:t>
      </w:r>
      <w:r w:rsidR="00BA3156" w:rsidRPr="007B560F">
        <w:rPr>
          <w:rFonts w:hAnsi="標楷體" w:hint="eastAsia"/>
          <w:color w:val="000000" w:themeColor="text1"/>
        </w:rPr>
        <w:t>綜整</w:t>
      </w:r>
      <w:proofErr w:type="gramEnd"/>
      <w:r w:rsidRPr="007B560F">
        <w:rPr>
          <w:rFonts w:hAnsi="標楷體" w:hint="eastAsia"/>
          <w:color w:val="000000" w:themeColor="text1"/>
        </w:rPr>
        <w:t>本案案情後，就</w:t>
      </w:r>
      <w:proofErr w:type="gramStart"/>
      <w:r w:rsidRPr="007B560F">
        <w:rPr>
          <w:rFonts w:hAnsi="標楷體" w:hint="eastAsia"/>
          <w:color w:val="000000" w:themeColor="text1"/>
        </w:rPr>
        <w:t>案關爭點</w:t>
      </w:r>
      <w:proofErr w:type="gramEnd"/>
      <w:r w:rsidRPr="007B560F">
        <w:rPr>
          <w:rFonts w:hAnsi="標楷體" w:hint="eastAsia"/>
          <w:color w:val="000000" w:themeColor="text1"/>
        </w:rPr>
        <w:t>再召開一次諮詢會議</w:t>
      </w:r>
      <w:proofErr w:type="gramStart"/>
      <w:r w:rsidR="00BA3156" w:rsidRPr="007B560F">
        <w:rPr>
          <w:rFonts w:hAnsi="標楷體" w:hint="eastAsia"/>
          <w:color w:val="000000" w:themeColor="text1"/>
        </w:rPr>
        <w:t>釐</w:t>
      </w:r>
      <w:proofErr w:type="gramEnd"/>
      <w:r w:rsidR="00BA3156" w:rsidRPr="007B560F">
        <w:rPr>
          <w:rFonts w:hAnsi="標楷體" w:hint="eastAsia"/>
          <w:color w:val="000000" w:themeColor="text1"/>
        </w:rPr>
        <w:t>清</w:t>
      </w:r>
      <w:r w:rsidRPr="007B560F">
        <w:rPr>
          <w:rFonts w:hAnsi="標楷體" w:hint="eastAsia"/>
          <w:color w:val="000000" w:themeColor="text1"/>
        </w:rPr>
        <w:t>，業</w:t>
      </w:r>
      <w:proofErr w:type="gramStart"/>
      <w:r w:rsidRPr="007B560F">
        <w:rPr>
          <w:rFonts w:hAnsi="標楷體" w:hint="eastAsia"/>
          <w:color w:val="000000" w:themeColor="text1"/>
        </w:rPr>
        <w:t>調查竣事</w:t>
      </w:r>
      <w:proofErr w:type="gramEnd"/>
      <w:r w:rsidRPr="007B560F">
        <w:rPr>
          <w:rFonts w:hAnsi="標楷體" w:hint="eastAsia"/>
          <w:color w:val="000000" w:themeColor="text1"/>
        </w:rPr>
        <w:t>，茲將調查意見陳述如下：</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BF77F1" w:rsidRPr="007B560F" w:rsidRDefault="00BF77F1" w:rsidP="00BF77F1">
      <w:pPr>
        <w:pStyle w:val="2"/>
        <w:numPr>
          <w:ilvl w:val="1"/>
          <w:numId w:val="9"/>
        </w:numPr>
        <w:rPr>
          <w:rFonts w:hAnsi="標楷體"/>
          <w:b/>
          <w:color w:val="000000" w:themeColor="text1"/>
        </w:rPr>
      </w:pPr>
      <w:r w:rsidRPr="007B560F">
        <w:rPr>
          <w:rFonts w:hAnsi="標楷體" w:hint="eastAsia"/>
          <w:b/>
          <w:color w:val="000000" w:themeColor="text1"/>
        </w:rPr>
        <w:t>農委會目前雖於田間、集貨場及果菜批發市場等產銷階段設有農藥殘留把關機制，惟部分行口商係</w:t>
      </w:r>
      <w:r w:rsidRPr="007B560F">
        <w:rPr>
          <w:rFonts w:hint="eastAsia"/>
          <w:b/>
          <w:color w:val="000000" w:themeColor="text1"/>
        </w:rPr>
        <w:t>自行或委託貨運公司赴合作產地載運蔬果後再直接銷售予下游業者，</w:t>
      </w:r>
      <w:proofErr w:type="gramStart"/>
      <w:r w:rsidRPr="007B560F">
        <w:rPr>
          <w:rFonts w:hint="eastAsia"/>
          <w:b/>
          <w:color w:val="000000" w:themeColor="text1"/>
        </w:rPr>
        <w:t>該產銷鏈</w:t>
      </w:r>
      <w:proofErr w:type="gramEnd"/>
      <w:r w:rsidRPr="007B560F">
        <w:rPr>
          <w:rFonts w:hint="eastAsia"/>
          <w:b/>
          <w:color w:val="000000" w:themeColor="text1"/>
        </w:rPr>
        <w:t>未經集貨場與果菜批發市場，且未強化其田間生產階段之抽檢，</w:t>
      </w:r>
      <w:r w:rsidRPr="007B560F">
        <w:rPr>
          <w:rFonts w:hAnsi="標楷體" w:hint="eastAsia"/>
          <w:b/>
          <w:color w:val="000000" w:themeColor="text1"/>
        </w:rPr>
        <w:t>形成管理漏洞，亟待檢討改善。</w:t>
      </w:r>
    </w:p>
    <w:p w:rsidR="00BF77F1" w:rsidRPr="007B560F" w:rsidRDefault="00BF77F1" w:rsidP="00C967CE">
      <w:pPr>
        <w:pStyle w:val="3"/>
        <w:numPr>
          <w:ilvl w:val="2"/>
          <w:numId w:val="9"/>
        </w:numPr>
        <w:rPr>
          <w:color w:val="000000" w:themeColor="text1"/>
        </w:rPr>
      </w:pPr>
      <w:r w:rsidRPr="007B560F">
        <w:rPr>
          <w:rFonts w:hint="eastAsia"/>
          <w:color w:val="000000" w:themeColor="text1"/>
        </w:rPr>
        <w:t>按農藥管理法第2條及第33條第3項分別規定：「本法所稱主管機關：在中央為行政院農業委員會；在直轄市為直轄市政府；在縣（市）為縣（市）政府」、「為維護人體安全、環境保護及生態保育，中央主管機關應訂定農藥使用、農產品農藥殘留抽驗及其他應遵行事項之辦法。」次按農藥使用及農產品農藥殘留抽驗辦法第7條第1項及第2項復規定:「為確保使用農藥安全，主管機關得派員至田間、集貨、理貨、加工、分裝或貯存等場所無償抽取農作物或農產品，並得向生產者或貨主查詢農藥使用種類或方法，以及農產品來源或進出貨交易憑證資料，任何人不得規避、妨礙或拒絕。」、「主管機關依前項</w:t>
      </w:r>
      <w:r w:rsidRPr="007B560F">
        <w:rPr>
          <w:rFonts w:hint="eastAsia"/>
          <w:color w:val="000000" w:themeColor="text1"/>
        </w:rPr>
        <w:lastRenderedPageBreak/>
        <w:t>規定向生產者或貨主查詢時，應作成紀錄，並由生產者、貨主、其代表人或指派之人員於紀錄上簽名或蓋章，無故拒絕者，主管機關應於紀錄上詳實記載該事實、執行時間及地點。」另按農產品批發市場管理辦法第4條、第6條及第7條規定，果菜批發市場應視實際需要設立</w:t>
      </w:r>
      <w:r w:rsidR="00DF7996" w:rsidRPr="007B560F">
        <w:rPr>
          <w:rFonts w:hint="eastAsia"/>
          <w:color w:val="000000" w:themeColor="text1"/>
        </w:rPr>
        <w:t>農藥殘留測定等設備。</w:t>
      </w:r>
      <w:r w:rsidRPr="007B560F">
        <w:rPr>
          <w:rFonts w:hint="eastAsia"/>
          <w:color w:val="000000" w:themeColor="text1"/>
        </w:rPr>
        <w:t>且應置農藥殘留檢驗人員，另市場對不合衛生、變質或法令禁止銷售之貨品，應拒絕交易。</w:t>
      </w:r>
      <w:proofErr w:type="gramStart"/>
      <w:r w:rsidRPr="007B560F">
        <w:rPr>
          <w:rFonts w:hint="eastAsia"/>
          <w:color w:val="000000" w:themeColor="text1"/>
        </w:rPr>
        <w:t>爰</w:t>
      </w:r>
      <w:proofErr w:type="gramEnd"/>
      <w:r w:rsidRPr="007B560F">
        <w:rPr>
          <w:rFonts w:hint="eastAsia"/>
          <w:color w:val="000000" w:themeColor="text1"/>
        </w:rPr>
        <w:t>此，農委會基於中央主管機關權責，訂定農藥殘留抽驗相關規定，辦理田間及集貨場農作物之農藥殘留抽檢；且各果菜批發市場應辦理進入拍賣市場蔬果之農藥測定，以確保食用安全。</w:t>
      </w:r>
    </w:p>
    <w:p w:rsidR="00BF77F1" w:rsidRPr="007B560F" w:rsidRDefault="00BF77F1" w:rsidP="00BF77F1">
      <w:pPr>
        <w:pStyle w:val="3"/>
        <w:numPr>
          <w:ilvl w:val="2"/>
          <w:numId w:val="9"/>
        </w:numPr>
        <w:rPr>
          <w:color w:val="000000" w:themeColor="text1"/>
        </w:rPr>
      </w:pPr>
      <w:r w:rsidRPr="007B560F">
        <w:rPr>
          <w:rFonts w:hint="eastAsia"/>
          <w:color w:val="000000" w:themeColor="text1"/>
        </w:rPr>
        <w:t>農委會</w:t>
      </w:r>
      <w:proofErr w:type="gramStart"/>
      <w:r w:rsidRPr="007B560F">
        <w:rPr>
          <w:rFonts w:hint="eastAsia"/>
          <w:color w:val="000000" w:themeColor="text1"/>
        </w:rPr>
        <w:t>農糧署</w:t>
      </w:r>
      <w:proofErr w:type="gramEnd"/>
      <w:r w:rsidRPr="007B560F">
        <w:rPr>
          <w:rFonts w:hint="eastAsia"/>
          <w:color w:val="000000" w:themeColor="text1"/>
        </w:rPr>
        <w:t>(下</w:t>
      </w:r>
      <w:proofErr w:type="gramStart"/>
      <w:r w:rsidRPr="007B560F">
        <w:rPr>
          <w:rFonts w:hint="eastAsia"/>
          <w:color w:val="000000" w:themeColor="text1"/>
        </w:rPr>
        <w:t>稱農糧署</w:t>
      </w:r>
      <w:proofErr w:type="gramEnd"/>
      <w:r w:rsidRPr="007B560F">
        <w:rPr>
          <w:rFonts w:hint="eastAsia"/>
          <w:color w:val="000000" w:themeColor="text1"/>
        </w:rPr>
        <w:t>)為把關農作物源頭安全，每年執行「農作物農藥殘留監測與管制計畫」，辦理田間及集貨場農產品之農藥殘留監測管理。查103至108年各年度抽檢數量分別為7,267、7,234、</w:t>
      </w:r>
      <w:r w:rsidRPr="007B560F">
        <w:rPr>
          <w:color w:val="000000" w:themeColor="text1"/>
        </w:rPr>
        <w:t>10,337</w:t>
      </w:r>
      <w:r w:rsidRPr="007B560F">
        <w:rPr>
          <w:rFonts w:hint="eastAsia"/>
          <w:color w:val="000000" w:themeColor="text1"/>
        </w:rPr>
        <w:t>、</w:t>
      </w:r>
      <w:r w:rsidRPr="007B560F">
        <w:rPr>
          <w:color w:val="000000" w:themeColor="text1"/>
        </w:rPr>
        <w:t>13,781</w:t>
      </w:r>
      <w:r w:rsidRPr="007B560F">
        <w:rPr>
          <w:rFonts w:hint="eastAsia"/>
          <w:color w:val="000000" w:themeColor="text1"/>
        </w:rPr>
        <w:t>、</w:t>
      </w:r>
      <w:r w:rsidRPr="007B560F">
        <w:rPr>
          <w:color w:val="000000" w:themeColor="text1"/>
        </w:rPr>
        <w:t>14,991</w:t>
      </w:r>
      <w:r w:rsidRPr="007B560F">
        <w:rPr>
          <w:rFonts w:hint="eastAsia"/>
          <w:color w:val="000000" w:themeColor="text1"/>
        </w:rPr>
        <w:t>及</w:t>
      </w:r>
      <w:r w:rsidRPr="007B560F">
        <w:rPr>
          <w:color w:val="000000" w:themeColor="text1"/>
        </w:rPr>
        <w:t>14,594</w:t>
      </w:r>
      <w:r w:rsidRPr="007B560F">
        <w:rPr>
          <w:rFonts w:hint="eastAsia"/>
          <w:color w:val="000000" w:themeColor="text1"/>
        </w:rPr>
        <w:t>件(詳如下表)，105年政府提出「食安五環」方案，因應加強查驗措施，</w:t>
      </w:r>
      <w:proofErr w:type="gramStart"/>
      <w:r w:rsidRPr="007B560F">
        <w:rPr>
          <w:rFonts w:hint="eastAsia"/>
          <w:color w:val="000000" w:themeColor="text1"/>
        </w:rPr>
        <w:t>農糧署抽檢</w:t>
      </w:r>
      <w:proofErr w:type="gramEnd"/>
      <w:r w:rsidRPr="007B560F">
        <w:rPr>
          <w:rFonts w:hint="eastAsia"/>
          <w:color w:val="000000" w:themeColor="text1"/>
        </w:rPr>
        <w:t>數量自105年起大幅增加。</w:t>
      </w:r>
    </w:p>
    <w:p w:rsidR="00BF77F1" w:rsidRPr="007B560F" w:rsidRDefault="00BF77F1" w:rsidP="00BF77F1">
      <w:pPr>
        <w:pStyle w:val="a4"/>
        <w:numPr>
          <w:ilvl w:val="0"/>
          <w:numId w:val="7"/>
        </w:numPr>
        <w:ind w:left="-142" w:firstLine="0"/>
        <w:jc w:val="center"/>
        <w:rPr>
          <w:rFonts w:hAnsi="標楷體"/>
          <w:color w:val="000000" w:themeColor="text1"/>
        </w:rPr>
      </w:pPr>
      <w:proofErr w:type="gramStart"/>
      <w:r w:rsidRPr="007B560F">
        <w:rPr>
          <w:rFonts w:hAnsi="標楷體" w:hint="eastAsia"/>
          <w:color w:val="000000" w:themeColor="text1"/>
        </w:rPr>
        <w:t>農糧署辦理</w:t>
      </w:r>
      <w:proofErr w:type="gramEnd"/>
      <w:r w:rsidRPr="007B560F">
        <w:rPr>
          <w:rFonts w:hAnsi="標楷體"/>
          <w:color w:val="000000" w:themeColor="text1"/>
        </w:rPr>
        <w:t>田間及集貨場農藥殘留檢驗</w:t>
      </w:r>
      <w:r w:rsidRPr="007B560F">
        <w:rPr>
          <w:rFonts w:hAnsi="標楷體" w:hint="eastAsia"/>
          <w:color w:val="000000" w:themeColor="text1"/>
        </w:rPr>
        <w:t>情形</w:t>
      </w:r>
    </w:p>
    <w:p w:rsidR="00BF77F1" w:rsidRPr="007B560F" w:rsidRDefault="00BF77F1" w:rsidP="00BF77F1">
      <w:pPr>
        <w:ind w:rightChars="182" w:right="619"/>
        <w:jc w:val="right"/>
        <w:rPr>
          <w:color w:val="000000" w:themeColor="text1"/>
          <w:sz w:val="24"/>
          <w:szCs w:val="24"/>
        </w:rPr>
      </w:pPr>
      <w:r w:rsidRPr="007B560F">
        <w:rPr>
          <w:rFonts w:hint="eastAsia"/>
          <w:color w:val="000000" w:themeColor="text1"/>
          <w:sz w:val="24"/>
          <w:szCs w:val="24"/>
        </w:rPr>
        <w:t>件；%</w:t>
      </w:r>
    </w:p>
    <w:tbl>
      <w:tblPr>
        <w:tblStyle w:val="afc"/>
        <w:tblW w:w="4570" w:type="pct"/>
        <w:jc w:val="center"/>
        <w:tblLook w:val="04A0" w:firstRow="1" w:lastRow="0" w:firstColumn="1" w:lastColumn="0" w:noHBand="0" w:noVBand="1"/>
      </w:tblPr>
      <w:tblGrid>
        <w:gridCol w:w="1004"/>
        <w:gridCol w:w="1260"/>
        <w:gridCol w:w="1416"/>
        <w:gridCol w:w="1510"/>
        <w:gridCol w:w="1340"/>
        <w:gridCol w:w="1544"/>
      </w:tblGrid>
      <w:tr w:rsidR="00A13031" w:rsidRPr="007B560F" w:rsidTr="00FA3421">
        <w:trPr>
          <w:trHeight w:val="410"/>
          <w:tblHeader/>
          <w:jc w:val="center"/>
        </w:trPr>
        <w:tc>
          <w:tcPr>
            <w:tcW w:w="622" w:type="pct"/>
            <w:vMerge w:val="restart"/>
            <w:vAlign w:val="center"/>
          </w:tcPr>
          <w:p w:rsidR="00BF77F1" w:rsidRPr="007B560F" w:rsidRDefault="00BF77F1" w:rsidP="00CC067C">
            <w:pPr>
              <w:spacing w:line="400" w:lineRule="exact"/>
              <w:jc w:val="center"/>
              <w:rPr>
                <w:rFonts w:hAnsi="標楷體"/>
                <w:b/>
                <w:color w:val="000000" w:themeColor="text1"/>
                <w:sz w:val="28"/>
              </w:rPr>
            </w:pPr>
            <w:r w:rsidRPr="007B560F">
              <w:rPr>
                <w:rFonts w:hAnsi="標楷體"/>
                <w:b/>
                <w:color w:val="000000" w:themeColor="text1"/>
                <w:sz w:val="28"/>
                <w:szCs w:val="24"/>
              </w:rPr>
              <w:t>年度</w:t>
            </w:r>
          </w:p>
        </w:tc>
        <w:tc>
          <w:tcPr>
            <w:tcW w:w="780" w:type="pct"/>
            <w:vMerge w:val="restart"/>
            <w:vAlign w:val="center"/>
          </w:tcPr>
          <w:p w:rsidR="00BF77F1" w:rsidRPr="007B560F" w:rsidRDefault="00BF77F1" w:rsidP="00CC067C">
            <w:pPr>
              <w:wordWrap w:val="0"/>
              <w:spacing w:line="400" w:lineRule="exact"/>
              <w:jc w:val="center"/>
              <w:rPr>
                <w:rFonts w:hAnsi="標楷體"/>
                <w:b/>
                <w:color w:val="000000" w:themeColor="text1"/>
                <w:sz w:val="28"/>
                <w:szCs w:val="24"/>
              </w:rPr>
            </w:pPr>
            <w:r w:rsidRPr="007B560F">
              <w:rPr>
                <w:rFonts w:hAnsi="標楷體" w:hint="eastAsia"/>
                <w:b/>
                <w:color w:val="000000" w:themeColor="text1"/>
                <w:sz w:val="28"/>
                <w:szCs w:val="24"/>
              </w:rPr>
              <w:t>總數</w:t>
            </w:r>
          </w:p>
        </w:tc>
        <w:tc>
          <w:tcPr>
            <w:tcW w:w="1812" w:type="pct"/>
            <w:gridSpan w:val="2"/>
            <w:vAlign w:val="center"/>
          </w:tcPr>
          <w:p w:rsidR="00BF77F1" w:rsidRPr="007B560F" w:rsidRDefault="00BF77F1" w:rsidP="00CC067C">
            <w:pPr>
              <w:wordWrap w:val="0"/>
              <w:spacing w:line="400" w:lineRule="exact"/>
              <w:jc w:val="center"/>
              <w:rPr>
                <w:rFonts w:hAnsi="標楷體"/>
                <w:b/>
                <w:color w:val="000000" w:themeColor="text1"/>
                <w:sz w:val="28"/>
                <w:szCs w:val="24"/>
              </w:rPr>
            </w:pPr>
            <w:r w:rsidRPr="007B560F">
              <w:rPr>
                <w:rFonts w:hAnsi="標楷體"/>
                <w:b/>
                <w:color w:val="000000" w:themeColor="text1"/>
                <w:sz w:val="28"/>
                <w:szCs w:val="24"/>
              </w:rPr>
              <w:t>田間</w:t>
            </w:r>
          </w:p>
        </w:tc>
        <w:tc>
          <w:tcPr>
            <w:tcW w:w="1786" w:type="pct"/>
            <w:gridSpan w:val="2"/>
            <w:vAlign w:val="center"/>
          </w:tcPr>
          <w:p w:rsidR="00BF77F1" w:rsidRPr="007B560F" w:rsidRDefault="00BF77F1" w:rsidP="00CC067C">
            <w:pPr>
              <w:wordWrap w:val="0"/>
              <w:spacing w:line="400" w:lineRule="exact"/>
              <w:jc w:val="center"/>
              <w:rPr>
                <w:rFonts w:hAnsi="標楷體"/>
                <w:b/>
                <w:color w:val="000000" w:themeColor="text1"/>
                <w:sz w:val="28"/>
                <w:szCs w:val="24"/>
              </w:rPr>
            </w:pPr>
            <w:r w:rsidRPr="007B560F">
              <w:rPr>
                <w:rFonts w:hAnsi="標楷體"/>
                <w:b/>
                <w:color w:val="000000" w:themeColor="text1"/>
                <w:sz w:val="28"/>
                <w:szCs w:val="24"/>
              </w:rPr>
              <w:t>集貨場</w:t>
            </w:r>
          </w:p>
        </w:tc>
      </w:tr>
      <w:tr w:rsidR="00A13031" w:rsidRPr="007B560F" w:rsidTr="00FA3421">
        <w:trPr>
          <w:trHeight w:val="767"/>
          <w:tblHeader/>
          <w:jc w:val="center"/>
        </w:trPr>
        <w:tc>
          <w:tcPr>
            <w:tcW w:w="622" w:type="pct"/>
            <w:vMerge/>
            <w:vAlign w:val="center"/>
          </w:tcPr>
          <w:p w:rsidR="00BF77F1" w:rsidRPr="007B560F" w:rsidRDefault="00BF77F1" w:rsidP="00CC067C">
            <w:pPr>
              <w:wordWrap w:val="0"/>
              <w:spacing w:line="400" w:lineRule="exact"/>
              <w:rPr>
                <w:rFonts w:hAnsi="標楷體"/>
                <w:b/>
                <w:color w:val="000000" w:themeColor="text1"/>
                <w:sz w:val="28"/>
              </w:rPr>
            </w:pPr>
          </w:p>
        </w:tc>
        <w:tc>
          <w:tcPr>
            <w:tcW w:w="780" w:type="pct"/>
            <w:vMerge/>
            <w:vAlign w:val="center"/>
          </w:tcPr>
          <w:p w:rsidR="00BF77F1" w:rsidRPr="007B560F" w:rsidRDefault="00BF77F1" w:rsidP="00CC067C">
            <w:pPr>
              <w:wordWrap w:val="0"/>
              <w:spacing w:line="360" w:lineRule="exact"/>
              <w:jc w:val="center"/>
              <w:rPr>
                <w:rFonts w:hAnsi="標楷體"/>
                <w:b/>
                <w:color w:val="000000" w:themeColor="text1"/>
                <w:spacing w:val="-20"/>
                <w:sz w:val="28"/>
                <w:szCs w:val="24"/>
              </w:rPr>
            </w:pPr>
          </w:p>
        </w:tc>
        <w:tc>
          <w:tcPr>
            <w:tcW w:w="877" w:type="pct"/>
            <w:vAlign w:val="center"/>
          </w:tcPr>
          <w:p w:rsidR="00BF77F1" w:rsidRPr="007B560F" w:rsidRDefault="00BF77F1" w:rsidP="00FA3421">
            <w:pPr>
              <w:wordWrap w:val="0"/>
              <w:spacing w:line="36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檢驗件數</w:t>
            </w:r>
          </w:p>
        </w:tc>
        <w:tc>
          <w:tcPr>
            <w:tcW w:w="935" w:type="pct"/>
            <w:vAlign w:val="center"/>
          </w:tcPr>
          <w:p w:rsidR="00BF77F1" w:rsidRPr="007B560F" w:rsidRDefault="00BF77F1" w:rsidP="00CC067C">
            <w:pPr>
              <w:wordWrap w:val="0"/>
              <w:spacing w:line="36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合格率(%)</w:t>
            </w:r>
          </w:p>
        </w:tc>
        <w:tc>
          <w:tcPr>
            <w:tcW w:w="830" w:type="pct"/>
            <w:vAlign w:val="center"/>
          </w:tcPr>
          <w:p w:rsidR="00BF77F1" w:rsidRPr="007B560F" w:rsidRDefault="00BF77F1" w:rsidP="00FA3421">
            <w:pPr>
              <w:wordWrap w:val="0"/>
              <w:spacing w:line="36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檢驗件數</w:t>
            </w:r>
          </w:p>
        </w:tc>
        <w:tc>
          <w:tcPr>
            <w:tcW w:w="956" w:type="pct"/>
            <w:vAlign w:val="center"/>
          </w:tcPr>
          <w:p w:rsidR="00BF77F1" w:rsidRPr="007B560F" w:rsidRDefault="00BF77F1" w:rsidP="00CC067C">
            <w:pPr>
              <w:wordWrap w:val="0"/>
              <w:spacing w:line="36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合格率(%)</w:t>
            </w:r>
          </w:p>
        </w:tc>
      </w:tr>
      <w:tr w:rsidR="00A13031" w:rsidRPr="007B560F" w:rsidTr="00FA3421">
        <w:trPr>
          <w:trHeight w:val="392"/>
          <w:jc w:val="center"/>
        </w:trPr>
        <w:tc>
          <w:tcPr>
            <w:tcW w:w="622" w:type="pct"/>
            <w:vAlign w:val="center"/>
          </w:tcPr>
          <w:p w:rsidR="00BF77F1" w:rsidRPr="007B560F" w:rsidRDefault="00BF77F1" w:rsidP="00CC067C">
            <w:pPr>
              <w:spacing w:line="400" w:lineRule="exact"/>
              <w:jc w:val="center"/>
              <w:rPr>
                <w:rFonts w:hAnsi="標楷體"/>
                <w:color w:val="000000" w:themeColor="text1"/>
                <w:sz w:val="28"/>
                <w:szCs w:val="28"/>
              </w:rPr>
            </w:pPr>
            <w:r w:rsidRPr="007B560F">
              <w:rPr>
                <w:rFonts w:hAnsi="標楷體"/>
                <w:color w:val="000000" w:themeColor="text1"/>
                <w:sz w:val="28"/>
                <w:szCs w:val="28"/>
              </w:rPr>
              <w:t>103</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7,267</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2,880</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95.7</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4,387</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96.1</w:t>
            </w:r>
          </w:p>
        </w:tc>
      </w:tr>
      <w:tr w:rsidR="00A13031" w:rsidRPr="007B560F" w:rsidTr="00FA3421">
        <w:trPr>
          <w:trHeight w:val="410"/>
          <w:jc w:val="center"/>
        </w:trPr>
        <w:tc>
          <w:tcPr>
            <w:tcW w:w="622" w:type="pct"/>
            <w:vAlign w:val="center"/>
          </w:tcPr>
          <w:p w:rsidR="00BF77F1" w:rsidRPr="007B560F" w:rsidRDefault="00BF77F1" w:rsidP="00CC067C">
            <w:pPr>
              <w:wordWrap w:val="0"/>
              <w:spacing w:line="400" w:lineRule="exact"/>
              <w:jc w:val="center"/>
              <w:rPr>
                <w:rFonts w:hAnsi="標楷體"/>
                <w:color w:val="000000" w:themeColor="text1"/>
                <w:sz w:val="28"/>
                <w:szCs w:val="28"/>
              </w:rPr>
            </w:pPr>
            <w:r w:rsidRPr="007B560F">
              <w:rPr>
                <w:rFonts w:hAnsi="標楷體"/>
                <w:color w:val="000000" w:themeColor="text1"/>
                <w:sz w:val="28"/>
                <w:szCs w:val="28"/>
              </w:rPr>
              <w:t>104</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7,234</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2,146</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96.0</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5,088</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94.2</w:t>
            </w:r>
          </w:p>
        </w:tc>
      </w:tr>
      <w:tr w:rsidR="00A13031" w:rsidRPr="007B560F" w:rsidTr="00FA3421">
        <w:trPr>
          <w:trHeight w:val="410"/>
          <w:jc w:val="center"/>
        </w:trPr>
        <w:tc>
          <w:tcPr>
            <w:tcW w:w="622" w:type="pct"/>
            <w:vAlign w:val="center"/>
          </w:tcPr>
          <w:p w:rsidR="00BF77F1" w:rsidRPr="007B560F" w:rsidRDefault="00BF77F1" w:rsidP="00CC067C">
            <w:pPr>
              <w:wordWrap w:val="0"/>
              <w:spacing w:line="400" w:lineRule="exact"/>
              <w:jc w:val="center"/>
              <w:rPr>
                <w:rFonts w:hAnsi="標楷體"/>
                <w:color w:val="000000" w:themeColor="text1"/>
                <w:sz w:val="28"/>
                <w:szCs w:val="28"/>
              </w:rPr>
            </w:pPr>
            <w:r w:rsidRPr="007B560F">
              <w:rPr>
                <w:rFonts w:hAnsi="標楷體"/>
                <w:color w:val="000000" w:themeColor="text1"/>
                <w:sz w:val="28"/>
                <w:szCs w:val="28"/>
              </w:rPr>
              <w:t>105</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10,337</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2,333</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96.3</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8,004</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95.0</w:t>
            </w:r>
          </w:p>
        </w:tc>
      </w:tr>
      <w:tr w:rsidR="00A13031" w:rsidRPr="007B560F" w:rsidTr="00FA3421">
        <w:trPr>
          <w:trHeight w:val="410"/>
          <w:jc w:val="center"/>
        </w:trPr>
        <w:tc>
          <w:tcPr>
            <w:tcW w:w="622" w:type="pct"/>
            <w:vAlign w:val="center"/>
          </w:tcPr>
          <w:p w:rsidR="00BF77F1" w:rsidRPr="007B560F" w:rsidRDefault="00BF77F1" w:rsidP="00CC067C">
            <w:pPr>
              <w:wordWrap w:val="0"/>
              <w:spacing w:line="400" w:lineRule="exact"/>
              <w:jc w:val="center"/>
              <w:rPr>
                <w:rFonts w:hAnsi="標楷體"/>
                <w:color w:val="000000" w:themeColor="text1"/>
                <w:sz w:val="28"/>
                <w:szCs w:val="28"/>
              </w:rPr>
            </w:pPr>
            <w:r w:rsidRPr="007B560F">
              <w:rPr>
                <w:rFonts w:hAnsi="標楷體"/>
                <w:color w:val="000000" w:themeColor="text1"/>
                <w:sz w:val="28"/>
                <w:szCs w:val="28"/>
              </w:rPr>
              <w:t>106</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13,781</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3,438</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97.4</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10,343</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95.5</w:t>
            </w:r>
          </w:p>
        </w:tc>
      </w:tr>
      <w:tr w:rsidR="00A13031" w:rsidRPr="007B560F" w:rsidTr="00FA3421">
        <w:trPr>
          <w:trHeight w:val="410"/>
          <w:jc w:val="center"/>
        </w:trPr>
        <w:tc>
          <w:tcPr>
            <w:tcW w:w="622" w:type="pct"/>
            <w:vAlign w:val="center"/>
          </w:tcPr>
          <w:p w:rsidR="00BF77F1" w:rsidRPr="007B560F" w:rsidRDefault="00BF77F1" w:rsidP="00CC067C">
            <w:pPr>
              <w:wordWrap w:val="0"/>
              <w:spacing w:line="400" w:lineRule="exact"/>
              <w:jc w:val="center"/>
              <w:rPr>
                <w:rFonts w:hAnsi="標楷體"/>
                <w:color w:val="000000" w:themeColor="text1"/>
                <w:sz w:val="28"/>
                <w:szCs w:val="28"/>
              </w:rPr>
            </w:pPr>
            <w:r w:rsidRPr="007B560F">
              <w:rPr>
                <w:rFonts w:hAnsi="標楷體"/>
                <w:color w:val="000000" w:themeColor="text1"/>
                <w:sz w:val="28"/>
                <w:szCs w:val="28"/>
              </w:rPr>
              <w:t>107</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14,991</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4,656</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97.7</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10,335</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94.6</w:t>
            </w:r>
          </w:p>
        </w:tc>
      </w:tr>
      <w:tr w:rsidR="00A13031" w:rsidRPr="007B560F" w:rsidTr="00FA3421">
        <w:trPr>
          <w:trHeight w:val="410"/>
          <w:jc w:val="center"/>
        </w:trPr>
        <w:tc>
          <w:tcPr>
            <w:tcW w:w="622" w:type="pct"/>
            <w:vAlign w:val="center"/>
          </w:tcPr>
          <w:p w:rsidR="00BF77F1" w:rsidRPr="007B560F" w:rsidRDefault="00BF77F1" w:rsidP="00CC067C">
            <w:pPr>
              <w:wordWrap w:val="0"/>
              <w:spacing w:line="400" w:lineRule="exact"/>
              <w:jc w:val="center"/>
              <w:rPr>
                <w:rFonts w:hAnsi="標楷體"/>
                <w:color w:val="000000" w:themeColor="text1"/>
                <w:sz w:val="28"/>
                <w:szCs w:val="28"/>
              </w:rPr>
            </w:pPr>
            <w:r w:rsidRPr="007B560F">
              <w:rPr>
                <w:rFonts w:hAnsi="標楷體"/>
                <w:color w:val="000000" w:themeColor="text1"/>
                <w:sz w:val="28"/>
                <w:szCs w:val="28"/>
              </w:rPr>
              <w:t>108</w:t>
            </w:r>
          </w:p>
        </w:tc>
        <w:tc>
          <w:tcPr>
            <w:tcW w:w="780" w:type="pct"/>
          </w:tcPr>
          <w:p w:rsidR="00BF77F1" w:rsidRPr="007B560F" w:rsidRDefault="00BF77F1" w:rsidP="00CC067C">
            <w:pPr>
              <w:jc w:val="right"/>
              <w:rPr>
                <w:color w:val="000000" w:themeColor="text1"/>
                <w:sz w:val="28"/>
                <w:szCs w:val="28"/>
              </w:rPr>
            </w:pPr>
            <w:r w:rsidRPr="007B560F">
              <w:rPr>
                <w:color w:val="000000" w:themeColor="text1"/>
                <w:sz w:val="28"/>
                <w:szCs w:val="28"/>
              </w:rPr>
              <w:t>14,594</w:t>
            </w:r>
          </w:p>
        </w:tc>
        <w:tc>
          <w:tcPr>
            <w:tcW w:w="877"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5,186</w:t>
            </w:r>
          </w:p>
        </w:tc>
        <w:tc>
          <w:tcPr>
            <w:tcW w:w="935"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98.3</w:t>
            </w:r>
          </w:p>
        </w:tc>
        <w:tc>
          <w:tcPr>
            <w:tcW w:w="830"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9,408</w:t>
            </w:r>
          </w:p>
        </w:tc>
        <w:tc>
          <w:tcPr>
            <w:tcW w:w="956" w:type="pct"/>
            <w:vAlign w:val="center"/>
          </w:tcPr>
          <w:p w:rsidR="00BF77F1" w:rsidRPr="007B560F" w:rsidRDefault="00BF77F1" w:rsidP="00CC067C">
            <w:pPr>
              <w:wordWrap w:val="0"/>
              <w:spacing w:line="400" w:lineRule="exact"/>
              <w:jc w:val="right"/>
              <w:rPr>
                <w:rFonts w:hAnsi="標楷體"/>
                <w:color w:val="000000" w:themeColor="text1"/>
                <w:sz w:val="28"/>
                <w:szCs w:val="28"/>
              </w:rPr>
            </w:pPr>
            <w:r w:rsidRPr="007B560F">
              <w:rPr>
                <w:rFonts w:hAnsi="標楷體"/>
                <w:color w:val="000000" w:themeColor="text1"/>
                <w:sz w:val="28"/>
                <w:szCs w:val="28"/>
              </w:rPr>
              <w:t> 96.4</w:t>
            </w:r>
          </w:p>
        </w:tc>
      </w:tr>
    </w:tbl>
    <w:p w:rsidR="00BF77F1" w:rsidRPr="007B560F" w:rsidRDefault="00BF77F1" w:rsidP="00BF77F1">
      <w:pPr>
        <w:pStyle w:val="3"/>
        <w:numPr>
          <w:ilvl w:val="0"/>
          <w:numId w:val="0"/>
        </w:numPr>
        <w:ind w:left="567"/>
        <w:rPr>
          <w:rFonts w:hAnsi="Times New Roman"/>
          <w:bCs w:val="0"/>
          <w:color w:val="000000" w:themeColor="text1"/>
          <w:kern w:val="2"/>
          <w:sz w:val="24"/>
          <w:szCs w:val="24"/>
        </w:rPr>
      </w:pPr>
      <w:r w:rsidRPr="007B560F">
        <w:rPr>
          <w:rFonts w:hAnsi="Times New Roman"/>
          <w:bCs w:val="0"/>
          <w:color w:val="000000" w:themeColor="text1"/>
          <w:kern w:val="2"/>
          <w:sz w:val="24"/>
          <w:szCs w:val="24"/>
        </w:rPr>
        <w:lastRenderedPageBreak/>
        <w:t>資料來源：農委會</w:t>
      </w:r>
    </w:p>
    <w:p w:rsidR="00BF77F1" w:rsidRPr="007B560F" w:rsidRDefault="00BF77F1" w:rsidP="00BF77F1">
      <w:pPr>
        <w:pStyle w:val="3"/>
        <w:numPr>
          <w:ilvl w:val="0"/>
          <w:numId w:val="0"/>
        </w:numPr>
        <w:ind w:left="1361"/>
        <w:rPr>
          <w:color w:val="000000" w:themeColor="text1"/>
        </w:rPr>
      </w:pPr>
    </w:p>
    <w:p w:rsidR="00BF77F1" w:rsidRPr="007B560F" w:rsidRDefault="00BF77F1" w:rsidP="00BF77F1">
      <w:pPr>
        <w:pStyle w:val="3"/>
        <w:numPr>
          <w:ilvl w:val="2"/>
          <w:numId w:val="9"/>
        </w:numPr>
        <w:rPr>
          <w:color w:val="000000" w:themeColor="text1"/>
        </w:rPr>
      </w:pPr>
      <w:r w:rsidRPr="007B560F">
        <w:rPr>
          <w:rFonts w:hint="eastAsia"/>
          <w:color w:val="000000" w:themeColor="text1"/>
        </w:rPr>
        <w:t>惟</w:t>
      </w:r>
      <w:proofErr w:type="gramStart"/>
      <w:r w:rsidRPr="007B560F">
        <w:rPr>
          <w:rFonts w:hint="eastAsia"/>
          <w:color w:val="000000" w:themeColor="text1"/>
        </w:rPr>
        <w:t>據農糧署</w:t>
      </w:r>
      <w:proofErr w:type="gramEnd"/>
      <w:r w:rsidRPr="007B560F">
        <w:rPr>
          <w:rFonts w:hint="eastAsia"/>
          <w:color w:val="000000" w:themeColor="text1"/>
        </w:rPr>
        <w:t>「台灣地區農產品批發市場年報」指出，107年國內蔬果經由國內果菜批發市場交易者約計46.6%，未經由果菜批發市場者約計53.4%，</w:t>
      </w:r>
      <w:proofErr w:type="gramStart"/>
      <w:r w:rsidRPr="007B560F">
        <w:rPr>
          <w:rFonts w:hint="eastAsia"/>
          <w:color w:val="000000" w:themeColor="text1"/>
        </w:rPr>
        <w:t>包括行口商</w:t>
      </w:r>
      <w:proofErr w:type="gramEnd"/>
      <w:r w:rsidRPr="007B560F">
        <w:rPr>
          <w:rFonts w:hint="eastAsia"/>
          <w:color w:val="000000" w:themeColor="text1"/>
        </w:rPr>
        <w:t>、販運商、量販店及超市、自售(消費者)、零批商、大消費戶(如國軍副食、學校午餐、</w:t>
      </w:r>
      <w:proofErr w:type="gramStart"/>
      <w:r w:rsidRPr="007B560F">
        <w:rPr>
          <w:rFonts w:hint="eastAsia"/>
          <w:color w:val="000000" w:themeColor="text1"/>
        </w:rPr>
        <w:t>團膳等</w:t>
      </w:r>
      <w:proofErr w:type="gramEnd"/>
      <w:r w:rsidRPr="007B560F">
        <w:rPr>
          <w:rFonts w:hint="eastAsia"/>
          <w:color w:val="000000" w:themeColor="text1"/>
        </w:rPr>
        <w:t>)等。</w:t>
      </w:r>
      <w:r w:rsidRPr="007B560F">
        <w:rPr>
          <w:rFonts w:hAnsi="標楷體" w:hint="eastAsia"/>
          <w:color w:val="000000" w:themeColor="text1"/>
        </w:rPr>
        <w:t>再依上開</w:t>
      </w:r>
      <w:r w:rsidRPr="007B560F">
        <w:rPr>
          <w:rFonts w:hint="eastAsia"/>
          <w:color w:val="000000" w:themeColor="text1"/>
        </w:rPr>
        <w:t>年報統計得知，107年國內批發市場「蔬菜」供應來源及比率分別為：販運商38%、農民團體37%、農民21%及進口商4%</w:t>
      </w:r>
      <w:r w:rsidR="00F02FF2" w:rsidRPr="007B560F">
        <w:rPr>
          <w:rFonts w:hint="eastAsia"/>
          <w:color w:val="000000" w:themeColor="text1"/>
        </w:rPr>
        <w:t>；</w:t>
      </w:r>
      <w:r w:rsidRPr="007B560F">
        <w:rPr>
          <w:rFonts w:hint="eastAsia"/>
          <w:color w:val="000000" w:themeColor="text1"/>
        </w:rPr>
        <w:t>「水果」則為：農民43%、販運商23%、農民團體22%及進口商12%。另農委會查復，農糧署</w:t>
      </w:r>
      <w:proofErr w:type="gramStart"/>
      <w:r w:rsidRPr="007B560F">
        <w:rPr>
          <w:rFonts w:hint="eastAsia"/>
          <w:color w:val="000000" w:themeColor="text1"/>
        </w:rPr>
        <w:t>100</w:t>
      </w:r>
      <w:proofErr w:type="gramEnd"/>
      <w:r w:rsidRPr="007B560F">
        <w:rPr>
          <w:rFonts w:hint="eastAsia"/>
          <w:color w:val="000000" w:themeColor="text1"/>
        </w:rPr>
        <w:t>年度科技計畫委託研究結果</w:t>
      </w:r>
      <w:r w:rsidRPr="007B560F">
        <w:rPr>
          <w:rStyle w:val="aff5"/>
          <w:color w:val="000000" w:themeColor="text1"/>
        </w:rPr>
        <w:footnoteReference w:id="1"/>
      </w:r>
      <w:r w:rsidRPr="007B560F">
        <w:rPr>
          <w:rFonts w:hint="eastAsia"/>
          <w:color w:val="000000" w:themeColor="text1"/>
        </w:rPr>
        <w:t>，</w:t>
      </w:r>
      <w:r w:rsidRPr="007B560F">
        <w:rPr>
          <w:rFonts w:hAnsi="標楷體" w:hint="eastAsia"/>
          <w:color w:val="000000" w:themeColor="text1"/>
        </w:rPr>
        <w:t>「</w:t>
      </w:r>
      <w:r w:rsidRPr="007B560F">
        <w:rPr>
          <w:rFonts w:hint="eastAsia"/>
          <w:color w:val="000000" w:themeColor="text1"/>
        </w:rPr>
        <w:t>蔬菜</w:t>
      </w:r>
      <w:r w:rsidRPr="007B560F">
        <w:rPr>
          <w:rFonts w:hAnsi="標楷體" w:hint="eastAsia"/>
          <w:color w:val="000000" w:themeColor="text1"/>
        </w:rPr>
        <w:t>」生產者</w:t>
      </w:r>
      <w:proofErr w:type="gramStart"/>
      <w:r w:rsidRPr="007B560F">
        <w:rPr>
          <w:rFonts w:hAnsi="標楷體" w:hint="eastAsia"/>
          <w:color w:val="000000" w:themeColor="text1"/>
        </w:rPr>
        <w:t>經由</w:t>
      </w:r>
      <w:r w:rsidRPr="007B560F">
        <w:rPr>
          <w:rFonts w:hAnsi="標楷體"/>
          <w:color w:val="000000" w:themeColor="text1"/>
        </w:rPr>
        <w:t>行口商</w:t>
      </w:r>
      <w:proofErr w:type="gramEnd"/>
      <w:r w:rsidRPr="007B560F">
        <w:rPr>
          <w:rFonts w:hAnsi="標楷體" w:hint="eastAsia"/>
          <w:color w:val="000000" w:themeColor="text1"/>
        </w:rPr>
        <w:t>販運的比率約計</w:t>
      </w:r>
      <w:r w:rsidRPr="007B560F">
        <w:rPr>
          <w:rFonts w:hAnsi="標楷體"/>
          <w:color w:val="000000" w:themeColor="text1"/>
        </w:rPr>
        <w:t>18.</w:t>
      </w:r>
      <w:r w:rsidRPr="007B560F">
        <w:rPr>
          <w:rFonts w:hAnsi="標楷體" w:hint="eastAsia"/>
          <w:color w:val="000000" w:themeColor="text1"/>
        </w:rPr>
        <w:t>19</w:t>
      </w:r>
      <w:r w:rsidRPr="007B560F">
        <w:rPr>
          <w:rFonts w:hAnsi="標楷體"/>
          <w:color w:val="000000" w:themeColor="text1"/>
        </w:rPr>
        <w:t>%</w:t>
      </w:r>
      <w:r w:rsidRPr="007B560F">
        <w:rPr>
          <w:rFonts w:hAnsi="標楷體" w:hint="eastAsia"/>
          <w:color w:val="000000" w:themeColor="text1"/>
        </w:rPr>
        <w:t>，「水果」則約為32.75%。</w:t>
      </w:r>
    </w:p>
    <w:p w:rsidR="00BF77F1" w:rsidRPr="007B560F" w:rsidRDefault="00BF77F1" w:rsidP="00BF77F1">
      <w:pPr>
        <w:pStyle w:val="3"/>
        <w:numPr>
          <w:ilvl w:val="0"/>
          <w:numId w:val="0"/>
        </w:numPr>
        <w:ind w:left="1361" w:firstLineChars="225" w:firstLine="765"/>
        <w:rPr>
          <w:color w:val="000000" w:themeColor="text1"/>
        </w:rPr>
      </w:pPr>
      <w:r w:rsidRPr="007B560F">
        <w:rPr>
          <w:rFonts w:hint="eastAsia"/>
          <w:color w:val="000000" w:themeColor="text1"/>
        </w:rPr>
        <w:t>由上可</w:t>
      </w:r>
      <w:proofErr w:type="gramStart"/>
      <w:r w:rsidRPr="007B560F">
        <w:rPr>
          <w:rFonts w:hint="eastAsia"/>
          <w:color w:val="000000" w:themeColor="text1"/>
        </w:rPr>
        <w:t>徵</w:t>
      </w:r>
      <w:proofErr w:type="gramEnd"/>
      <w:r w:rsidRPr="007B560F">
        <w:rPr>
          <w:rFonts w:hint="eastAsia"/>
          <w:color w:val="000000" w:themeColor="text1"/>
        </w:rPr>
        <w:t>，國內約有五成以上蔬果未經過果菜批發市場交易，包括</w:t>
      </w:r>
      <w:r w:rsidRPr="007B560F">
        <w:rPr>
          <w:rFonts w:hAnsi="標楷體" w:hint="eastAsia"/>
          <w:color w:val="000000" w:themeColor="text1"/>
        </w:rPr>
        <w:t>「</w:t>
      </w:r>
      <w:proofErr w:type="gramStart"/>
      <w:r w:rsidRPr="007B560F">
        <w:rPr>
          <w:rFonts w:hAnsi="標楷體" w:hint="eastAsia"/>
          <w:color w:val="000000" w:themeColor="text1"/>
        </w:rPr>
        <w:t>行口商</w:t>
      </w:r>
      <w:proofErr w:type="gramEnd"/>
      <w:r w:rsidRPr="007B560F">
        <w:rPr>
          <w:rFonts w:hAnsi="標楷體" w:hint="eastAsia"/>
          <w:color w:val="000000" w:themeColor="text1"/>
        </w:rPr>
        <w:t>」；</w:t>
      </w:r>
      <w:r w:rsidR="00A62612" w:rsidRPr="007B560F">
        <w:rPr>
          <w:rFonts w:hAnsi="標楷體" w:hint="eastAsia"/>
          <w:color w:val="000000" w:themeColor="text1"/>
        </w:rPr>
        <w:t>至於國內</w:t>
      </w:r>
      <w:proofErr w:type="gramStart"/>
      <w:r w:rsidR="00A62612" w:rsidRPr="007B560F">
        <w:rPr>
          <w:rFonts w:hAnsi="標楷體" w:hint="eastAsia"/>
          <w:color w:val="000000" w:themeColor="text1"/>
        </w:rPr>
        <w:t>蔬果行口商</w:t>
      </w:r>
      <w:proofErr w:type="gramEnd"/>
      <w:r w:rsidR="00A62612" w:rsidRPr="007B560F">
        <w:rPr>
          <w:rFonts w:hAnsi="標楷體" w:hint="eastAsia"/>
          <w:color w:val="000000" w:themeColor="text1"/>
        </w:rPr>
        <w:t>之數量，農委會並無相關統計數據，該會表示</w:t>
      </w:r>
      <w:proofErr w:type="gramStart"/>
      <w:r w:rsidR="00A62612" w:rsidRPr="007B560F">
        <w:rPr>
          <w:rFonts w:hAnsi="標楷體" w:hint="eastAsia"/>
          <w:color w:val="000000" w:themeColor="text1"/>
        </w:rPr>
        <w:t>農糧署100年</w:t>
      </w:r>
      <w:proofErr w:type="gramEnd"/>
      <w:r w:rsidR="00A62612" w:rsidRPr="007B560F">
        <w:rPr>
          <w:rFonts w:hAnsi="標楷體" w:hint="eastAsia"/>
          <w:color w:val="000000" w:themeColor="text1"/>
        </w:rPr>
        <w:t>研究科技計畫「建立國產蔬果各通路占有率分析」，曾委託研究得知：</w:t>
      </w:r>
      <w:r w:rsidR="003A3FFC" w:rsidRPr="007B560F">
        <w:rPr>
          <w:rFonts w:hint="eastAsia"/>
          <w:color w:val="000000" w:themeColor="text1"/>
        </w:rPr>
        <w:t>水果</w:t>
      </w:r>
      <w:proofErr w:type="gramStart"/>
      <w:r w:rsidR="003A3FFC" w:rsidRPr="007B560F">
        <w:rPr>
          <w:rFonts w:hint="eastAsia"/>
          <w:color w:val="000000" w:themeColor="text1"/>
        </w:rPr>
        <w:t>經由行口商</w:t>
      </w:r>
      <w:proofErr w:type="gramEnd"/>
      <w:r w:rsidR="003A3FFC" w:rsidRPr="007B560F">
        <w:rPr>
          <w:rFonts w:hint="eastAsia"/>
          <w:color w:val="000000" w:themeColor="text1"/>
        </w:rPr>
        <w:t>販運的比率為32.75%</w:t>
      </w:r>
      <w:r w:rsidRPr="007B560F">
        <w:rPr>
          <w:rFonts w:hint="eastAsia"/>
          <w:color w:val="000000" w:themeColor="text1"/>
        </w:rPr>
        <w:t>。</w:t>
      </w:r>
      <w:r w:rsidR="003A3FFC" w:rsidRPr="007B560F">
        <w:rPr>
          <w:rFonts w:hint="eastAsia"/>
          <w:color w:val="000000" w:themeColor="text1"/>
        </w:rPr>
        <w:t>顯見</w:t>
      </w:r>
      <w:r w:rsidRPr="007B560F">
        <w:rPr>
          <w:rFonts w:hint="eastAsia"/>
          <w:color w:val="000000" w:themeColor="text1"/>
        </w:rPr>
        <w:t>，國內所生產蔬果</w:t>
      </w:r>
      <w:proofErr w:type="gramStart"/>
      <w:r w:rsidRPr="007B560F">
        <w:rPr>
          <w:rFonts w:hint="eastAsia"/>
          <w:color w:val="000000" w:themeColor="text1"/>
        </w:rPr>
        <w:t>經由行口商</w:t>
      </w:r>
      <w:proofErr w:type="gramEnd"/>
      <w:r w:rsidRPr="007B560F">
        <w:rPr>
          <w:rFonts w:hint="eastAsia"/>
          <w:color w:val="000000" w:themeColor="text1"/>
        </w:rPr>
        <w:t>販運</w:t>
      </w:r>
      <w:r w:rsidR="003A3FFC" w:rsidRPr="007B560F">
        <w:rPr>
          <w:rFonts w:hint="eastAsia"/>
          <w:color w:val="000000" w:themeColor="text1"/>
        </w:rPr>
        <w:t>的比率可高達</w:t>
      </w:r>
      <w:r w:rsidRPr="007B560F">
        <w:rPr>
          <w:rFonts w:hint="eastAsia"/>
          <w:color w:val="000000" w:themeColor="text1"/>
        </w:rPr>
        <w:t>三成</w:t>
      </w:r>
      <w:r w:rsidR="00813051" w:rsidRPr="007B560F">
        <w:rPr>
          <w:rStyle w:val="aff5"/>
          <w:color w:val="000000" w:themeColor="text1"/>
        </w:rPr>
        <w:footnoteReference w:id="2"/>
      </w:r>
      <w:r w:rsidRPr="007B560F">
        <w:rPr>
          <w:rFonts w:hint="eastAsia"/>
          <w:color w:val="000000" w:themeColor="text1"/>
        </w:rPr>
        <w:t>左右。</w:t>
      </w:r>
    </w:p>
    <w:p w:rsidR="00BF77F1" w:rsidRPr="007B560F" w:rsidRDefault="00BF77F1" w:rsidP="00BF77F1">
      <w:pPr>
        <w:pStyle w:val="3"/>
        <w:numPr>
          <w:ilvl w:val="2"/>
          <w:numId w:val="9"/>
        </w:numPr>
        <w:rPr>
          <w:color w:val="000000" w:themeColor="text1"/>
        </w:rPr>
      </w:pPr>
      <w:proofErr w:type="gramStart"/>
      <w:r w:rsidRPr="007B560F">
        <w:rPr>
          <w:rFonts w:hint="eastAsia"/>
          <w:color w:val="000000" w:themeColor="text1"/>
        </w:rPr>
        <w:t>查行口</w:t>
      </w:r>
      <w:proofErr w:type="gramEnd"/>
      <w:r w:rsidRPr="007B560F">
        <w:rPr>
          <w:rFonts w:hint="eastAsia"/>
          <w:color w:val="000000" w:themeColor="text1"/>
        </w:rPr>
        <w:t>商的蔬果來源，除自拍賣市場取得外，尚包括自己到產地載貨或是委託運送。</w:t>
      </w:r>
      <w:proofErr w:type="gramStart"/>
      <w:r w:rsidRPr="007B560F">
        <w:rPr>
          <w:rFonts w:hint="eastAsia"/>
          <w:color w:val="000000" w:themeColor="text1"/>
        </w:rPr>
        <w:t>通常行口商</w:t>
      </w:r>
      <w:proofErr w:type="gramEnd"/>
      <w:r w:rsidRPr="007B560F">
        <w:rPr>
          <w:rFonts w:hint="eastAsia"/>
          <w:color w:val="000000" w:themeColor="text1"/>
        </w:rPr>
        <w:t>都有固定配合的生產者，農產品會直接從產地搬上菜車，運送</w:t>
      </w:r>
      <w:proofErr w:type="gramStart"/>
      <w:r w:rsidRPr="007B560F">
        <w:rPr>
          <w:rFonts w:hint="eastAsia"/>
          <w:color w:val="000000" w:themeColor="text1"/>
        </w:rPr>
        <w:t>至行口</w:t>
      </w:r>
      <w:proofErr w:type="gramEnd"/>
      <w:r w:rsidRPr="007B560F">
        <w:rPr>
          <w:rFonts w:hint="eastAsia"/>
          <w:color w:val="000000" w:themeColor="text1"/>
        </w:rPr>
        <w:t>商後再銷售予下游業者。因拍賣市</w:t>
      </w:r>
      <w:r w:rsidRPr="007B560F">
        <w:rPr>
          <w:rFonts w:hint="eastAsia"/>
          <w:color w:val="000000" w:themeColor="text1"/>
        </w:rPr>
        <w:lastRenderedPageBreak/>
        <w:t>場的貨品未必</w:t>
      </w:r>
      <w:proofErr w:type="gramStart"/>
      <w:r w:rsidRPr="007B560F">
        <w:rPr>
          <w:rFonts w:hint="eastAsia"/>
          <w:color w:val="000000" w:themeColor="text1"/>
        </w:rPr>
        <w:t>符合行口商</w:t>
      </w:r>
      <w:proofErr w:type="gramEnd"/>
      <w:r w:rsidRPr="007B560F">
        <w:rPr>
          <w:rFonts w:hint="eastAsia"/>
          <w:color w:val="000000" w:themeColor="text1"/>
        </w:rPr>
        <w:t>需求，故</w:t>
      </w:r>
      <w:proofErr w:type="gramStart"/>
      <w:r w:rsidRPr="007B560F">
        <w:rPr>
          <w:rFonts w:hint="eastAsia"/>
          <w:color w:val="000000" w:themeColor="text1"/>
        </w:rPr>
        <w:t>多數行口商</w:t>
      </w:r>
      <w:proofErr w:type="gramEnd"/>
      <w:r w:rsidRPr="007B560F">
        <w:rPr>
          <w:rFonts w:hint="eastAsia"/>
          <w:color w:val="000000" w:themeColor="text1"/>
        </w:rPr>
        <w:t>選擇直接到作物產地載運。</w:t>
      </w:r>
      <w:proofErr w:type="gramStart"/>
      <w:r w:rsidRPr="007B560F">
        <w:rPr>
          <w:rFonts w:hint="eastAsia"/>
          <w:color w:val="000000" w:themeColor="text1"/>
        </w:rPr>
        <w:t>惟查農委會</w:t>
      </w:r>
      <w:proofErr w:type="gramEnd"/>
      <w:r w:rsidRPr="007B560F">
        <w:rPr>
          <w:rFonts w:hint="eastAsia"/>
          <w:color w:val="000000" w:themeColor="text1"/>
        </w:rPr>
        <w:t>目前對於蔬果農藥殘留作業，僅限於田間、集貨場及果菜拍賣市場階段的抽檢，</w:t>
      </w:r>
      <w:proofErr w:type="gramStart"/>
      <w:r w:rsidRPr="007B560F">
        <w:rPr>
          <w:rFonts w:hint="eastAsia"/>
          <w:color w:val="000000" w:themeColor="text1"/>
        </w:rPr>
        <w:t>而行口商</w:t>
      </w:r>
      <w:proofErr w:type="gramEnd"/>
      <w:r w:rsidRPr="007B560F">
        <w:rPr>
          <w:rFonts w:hint="eastAsia"/>
          <w:color w:val="000000" w:themeColor="text1"/>
        </w:rPr>
        <w:t>自行或委託貨運公司赴合作產地載運的蔬果，並未經果菜市場端的抽檢把關而直接銷售予下游；農委會雖表示略</w:t>
      </w:r>
      <w:proofErr w:type="gramStart"/>
      <w:r w:rsidRPr="007B560F">
        <w:rPr>
          <w:rFonts w:hint="eastAsia"/>
          <w:color w:val="000000" w:themeColor="text1"/>
        </w:rPr>
        <w:t>以</w:t>
      </w:r>
      <w:proofErr w:type="gramEnd"/>
      <w:r w:rsidRPr="007B560F">
        <w:rPr>
          <w:rFonts w:hint="eastAsia"/>
          <w:color w:val="000000" w:themeColor="text1"/>
        </w:rPr>
        <w:t>：</w:t>
      </w:r>
      <w:proofErr w:type="gramStart"/>
      <w:r w:rsidRPr="007B560F">
        <w:rPr>
          <w:rFonts w:hint="eastAsia"/>
          <w:color w:val="000000" w:themeColor="text1"/>
        </w:rPr>
        <w:t>此產銷</w:t>
      </w:r>
      <w:proofErr w:type="gramEnd"/>
      <w:r w:rsidRPr="007B560F">
        <w:rPr>
          <w:rFonts w:hint="eastAsia"/>
          <w:color w:val="000000" w:themeColor="text1"/>
        </w:rPr>
        <w:t>體系的蔬果雖未經過果菜批發市場階段的抽檢，但在田間生產階段，屬於「農作物農藥殘留監測與管制計畫」監測範圍云云。雖如此，然農委會並無法查復</w:t>
      </w:r>
      <w:proofErr w:type="gramStart"/>
      <w:r w:rsidRPr="007B560F">
        <w:rPr>
          <w:rFonts w:hint="eastAsia"/>
          <w:color w:val="000000" w:themeColor="text1"/>
        </w:rPr>
        <w:t>針對行口商</w:t>
      </w:r>
      <w:proofErr w:type="gramEnd"/>
      <w:r w:rsidRPr="007B560F">
        <w:rPr>
          <w:rFonts w:hint="eastAsia"/>
          <w:color w:val="000000" w:themeColor="text1"/>
        </w:rPr>
        <w:t>所合作之農產品生產者，其於田間階段的之抽檢次數與結果，</w:t>
      </w:r>
      <w:proofErr w:type="gramStart"/>
      <w:r w:rsidRPr="007B560F">
        <w:rPr>
          <w:rFonts w:hint="eastAsia"/>
          <w:color w:val="000000" w:themeColor="text1"/>
        </w:rPr>
        <w:t>且農糧署</w:t>
      </w:r>
      <w:proofErr w:type="gramEnd"/>
      <w:r w:rsidRPr="007B560F">
        <w:rPr>
          <w:rFonts w:hint="eastAsia"/>
          <w:color w:val="000000" w:themeColor="text1"/>
        </w:rPr>
        <w:t>對於田間蔬果農藥殘留監測對象，偏重於具「4章1Q」</w:t>
      </w:r>
      <w:r w:rsidRPr="007B560F">
        <w:rPr>
          <w:rStyle w:val="aff5"/>
          <w:color w:val="000000" w:themeColor="text1"/>
        </w:rPr>
        <w:footnoteReference w:id="3"/>
      </w:r>
      <w:r w:rsidRPr="007B560F">
        <w:rPr>
          <w:rFonts w:hint="eastAsia"/>
          <w:color w:val="000000" w:themeColor="text1"/>
        </w:rPr>
        <w:t>的生產者(詳調查意見</w:t>
      </w:r>
      <w:proofErr w:type="gramStart"/>
      <w:r w:rsidRPr="007B560F">
        <w:rPr>
          <w:rFonts w:hint="eastAsia"/>
          <w:color w:val="000000" w:themeColor="text1"/>
        </w:rPr>
        <w:t>二所述</w:t>
      </w:r>
      <w:proofErr w:type="gramEnd"/>
      <w:r w:rsidRPr="007B560F">
        <w:rPr>
          <w:rFonts w:hint="eastAsia"/>
          <w:color w:val="000000" w:themeColor="text1"/>
        </w:rPr>
        <w:t>)，而對於已</w:t>
      </w:r>
      <w:proofErr w:type="gramStart"/>
      <w:r w:rsidRPr="007B560F">
        <w:rPr>
          <w:rFonts w:hint="eastAsia"/>
          <w:color w:val="000000" w:themeColor="text1"/>
        </w:rPr>
        <w:t>與行口商</w:t>
      </w:r>
      <w:proofErr w:type="gramEnd"/>
      <w:r w:rsidRPr="007B560F">
        <w:rPr>
          <w:rFonts w:hint="eastAsia"/>
          <w:color w:val="000000" w:themeColor="text1"/>
        </w:rPr>
        <w:t>固定合作者，因不用透過批發市場的抽檢，大多為未具安全驗證標章者。是</w:t>
      </w:r>
      <w:proofErr w:type="gramStart"/>
      <w:r w:rsidRPr="007B560F">
        <w:rPr>
          <w:rFonts w:hint="eastAsia"/>
          <w:color w:val="000000" w:themeColor="text1"/>
        </w:rPr>
        <w:t>經由行口商</w:t>
      </w:r>
      <w:proofErr w:type="gramEnd"/>
      <w:r w:rsidRPr="007B560F">
        <w:rPr>
          <w:rFonts w:hint="eastAsia"/>
          <w:color w:val="000000" w:themeColor="text1"/>
        </w:rPr>
        <w:t>自行或委託貨運公司赴合作產地載運的蔬果，顯為目前農藥殘留抽檢之管理漏洞。</w:t>
      </w:r>
    </w:p>
    <w:p w:rsidR="00BF77F1" w:rsidRPr="007B560F" w:rsidRDefault="00BF77F1" w:rsidP="00BF77F1">
      <w:pPr>
        <w:pStyle w:val="3"/>
        <w:numPr>
          <w:ilvl w:val="2"/>
          <w:numId w:val="9"/>
        </w:numPr>
        <w:rPr>
          <w:rFonts w:hAnsi="標楷體"/>
          <w:color w:val="000000" w:themeColor="text1"/>
        </w:rPr>
      </w:pPr>
      <w:r w:rsidRPr="007B560F">
        <w:rPr>
          <w:rFonts w:hAnsi="標楷體" w:hint="eastAsia"/>
          <w:color w:val="000000" w:themeColor="text1"/>
        </w:rPr>
        <w:t>農委會目前雖於田間、集貨場及果菜批發市場等產銷階段設有農藥殘留把關機制，惟部分行口商係自行或委託貨運公司赴合作產地載運蔬果後再直接銷售予下游業者，</w:t>
      </w:r>
      <w:proofErr w:type="gramStart"/>
      <w:r w:rsidRPr="007B560F">
        <w:rPr>
          <w:rFonts w:hAnsi="標楷體" w:hint="eastAsia"/>
          <w:color w:val="000000" w:themeColor="text1"/>
        </w:rPr>
        <w:t>該產銷鏈</w:t>
      </w:r>
      <w:proofErr w:type="gramEnd"/>
      <w:r w:rsidRPr="007B560F">
        <w:rPr>
          <w:rFonts w:hAnsi="標楷體" w:hint="eastAsia"/>
          <w:color w:val="000000" w:themeColor="text1"/>
        </w:rPr>
        <w:t>未經集貨場與果菜批發市場，且未強化其田間生產階段之抽檢，形成管理漏洞，亟待檢討改善。</w:t>
      </w:r>
    </w:p>
    <w:p w:rsidR="00BF77F1" w:rsidRPr="007B560F" w:rsidRDefault="00BF77F1" w:rsidP="00BF77F1">
      <w:pPr>
        <w:pStyle w:val="2"/>
        <w:numPr>
          <w:ilvl w:val="1"/>
          <w:numId w:val="9"/>
        </w:numPr>
        <w:wordWrap w:val="0"/>
        <w:rPr>
          <w:rFonts w:hAnsi="標楷體"/>
          <w:b/>
          <w:color w:val="000000" w:themeColor="text1"/>
        </w:rPr>
      </w:pPr>
      <w:r w:rsidRPr="007B560F">
        <w:rPr>
          <w:rFonts w:hAnsi="標楷體" w:hint="eastAsia"/>
          <w:b/>
          <w:color w:val="000000" w:themeColor="text1"/>
        </w:rPr>
        <w:t>農委會雖有辦理田間及集貨場蔬果農藥殘留監測，但抽檢對象偏重於已取得4章1Q安全認驗證者，抽檢結果</w:t>
      </w:r>
      <w:r w:rsidR="002205FF" w:rsidRPr="007B560F">
        <w:rPr>
          <w:rFonts w:hAnsi="標楷體" w:hint="eastAsia"/>
          <w:b/>
          <w:color w:val="000000" w:themeColor="text1"/>
        </w:rPr>
        <w:t>難免失真</w:t>
      </w:r>
      <w:r w:rsidR="003A3FFC" w:rsidRPr="007B560F">
        <w:rPr>
          <w:rFonts w:hAnsi="標楷體" w:hint="eastAsia"/>
          <w:b/>
          <w:color w:val="000000" w:themeColor="text1"/>
        </w:rPr>
        <w:t>，核有欠妥；另農委會</w:t>
      </w:r>
      <w:r w:rsidRPr="007B560F">
        <w:rPr>
          <w:rFonts w:hAnsi="標楷體" w:hint="eastAsia"/>
          <w:b/>
          <w:color w:val="000000" w:themeColor="text1"/>
        </w:rPr>
        <w:t>允宜考量加入第三</w:t>
      </w:r>
      <w:r w:rsidRPr="007B560F">
        <w:rPr>
          <w:rFonts w:hAnsi="標楷體" w:hint="eastAsia"/>
          <w:b/>
          <w:color w:val="000000" w:themeColor="text1"/>
        </w:rPr>
        <w:lastRenderedPageBreak/>
        <w:t>方檢驗機構共同辦理之可行性，以提升農藥殘留抽檢作業之公正性及客觀性。</w:t>
      </w:r>
    </w:p>
    <w:p w:rsidR="00855B3F" w:rsidRPr="007B560F" w:rsidRDefault="00BF77F1" w:rsidP="00F844A5">
      <w:pPr>
        <w:pStyle w:val="3"/>
        <w:rPr>
          <w:color w:val="000000" w:themeColor="text1"/>
          <w:spacing w:val="-2"/>
        </w:rPr>
      </w:pPr>
      <w:r w:rsidRPr="007B560F">
        <w:rPr>
          <w:rFonts w:hint="eastAsia"/>
          <w:color w:val="000000" w:themeColor="text1"/>
          <w:spacing w:val="-2"/>
        </w:rPr>
        <w:t>農委會為確保農藥使用安全，</w:t>
      </w:r>
      <w:proofErr w:type="gramStart"/>
      <w:r w:rsidRPr="007B560F">
        <w:rPr>
          <w:rFonts w:hint="eastAsia"/>
          <w:color w:val="000000" w:themeColor="text1"/>
          <w:spacing w:val="-2"/>
        </w:rPr>
        <w:t>農糧署每年</w:t>
      </w:r>
      <w:proofErr w:type="gramEnd"/>
      <w:r w:rsidRPr="007B560F">
        <w:rPr>
          <w:rFonts w:hint="eastAsia"/>
          <w:color w:val="000000" w:themeColor="text1"/>
          <w:spacing w:val="-2"/>
        </w:rPr>
        <w:t>辦理「農作物農藥殘留監測與管制計畫」，辦理田間及集貨場農產品之農藥殘留監測管理。105年起配合政府食安五環政策，農藥殘留抽驗件數</w:t>
      </w:r>
      <w:r w:rsidR="00657332" w:rsidRPr="007B560F">
        <w:rPr>
          <w:rFonts w:hint="eastAsia"/>
          <w:color w:val="000000" w:themeColor="text1"/>
          <w:spacing w:val="-2"/>
        </w:rPr>
        <w:t>大幅</w:t>
      </w:r>
      <w:r w:rsidRPr="007B560F">
        <w:rPr>
          <w:rFonts w:hint="eastAsia"/>
          <w:color w:val="000000" w:themeColor="text1"/>
          <w:spacing w:val="-2"/>
        </w:rPr>
        <w:t>提升</w:t>
      </w:r>
      <w:r w:rsidR="00657332" w:rsidRPr="007B560F">
        <w:rPr>
          <w:rFonts w:hint="eastAsia"/>
          <w:color w:val="000000" w:themeColor="text1"/>
          <w:spacing w:val="-2"/>
        </w:rPr>
        <w:t>(詳如下表)</w:t>
      </w:r>
      <w:r w:rsidRPr="007B560F">
        <w:rPr>
          <w:rFonts w:hint="eastAsia"/>
          <w:color w:val="000000" w:themeColor="text1"/>
          <w:spacing w:val="-2"/>
        </w:rPr>
        <w:t>，</w:t>
      </w:r>
      <w:r w:rsidR="00657332" w:rsidRPr="007B560F">
        <w:rPr>
          <w:rFonts w:hint="eastAsia"/>
          <w:color w:val="000000" w:themeColor="text1"/>
          <w:spacing w:val="-2"/>
        </w:rPr>
        <w:t>且</w:t>
      </w:r>
      <w:r w:rsidR="00855B3F" w:rsidRPr="007B560F">
        <w:rPr>
          <w:rFonts w:hint="eastAsia"/>
          <w:color w:val="000000" w:themeColor="text1"/>
          <w:spacing w:val="-2"/>
        </w:rPr>
        <w:t>配合地方政府教育單位主辦校園午餐聯合稽查，農業單位每年執行學校午餐蔬果食材抽檢</w:t>
      </w:r>
      <w:r w:rsidR="003E62E5" w:rsidRPr="007B560F">
        <w:rPr>
          <w:rFonts w:hint="eastAsia"/>
          <w:color w:val="000000" w:themeColor="text1"/>
          <w:spacing w:val="-2"/>
        </w:rPr>
        <w:t>由105年1</w:t>
      </w:r>
      <w:r w:rsidR="003E62E5" w:rsidRPr="007B560F">
        <w:rPr>
          <w:color w:val="000000" w:themeColor="text1"/>
          <w:spacing w:val="-2"/>
        </w:rPr>
        <w:t>,</w:t>
      </w:r>
      <w:r w:rsidR="003E62E5" w:rsidRPr="007B560F">
        <w:rPr>
          <w:rFonts w:hint="eastAsia"/>
          <w:color w:val="000000" w:themeColor="text1"/>
          <w:spacing w:val="-2"/>
        </w:rPr>
        <w:t>047件</w:t>
      </w:r>
      <w:r w:rsidR="007655B8" w:rsidRPr="007B560F">
        <w:rPr>
          <w:rFonts w:hint="eastAsia"/>
          <w:color w:val="000000" w:themeColor="text1"/>
          <w:spacing w:val="-2"/>
        </w:rPr>
        <w:t>，106年以後提升至</w:t>
      </w:r>
      <w:r w:rsidR="00855B3F" w:rsidRPr="007B560F">
        <w:rPr>
          <w:rFonts w:hint="eastAsia"/>
          <w:color w:val="000000" w:themeColor="text1"/>
          <w:spacing w:val="-2"/>
        </w:rPr>
        <w:t>3</w:t>
      </w:r>
      <w:r w:rsidR="00855B3F" w:rsidRPr="007B560F">
        <w:rPr>
          <w:color w:val="000000" w:themeColor="text1"/>
          <w:spacing w:val="-2"/>
        </w:rPr>
        <w:t>,</w:t>
      </w:r>
      <w:r w:rsidR="00855B3F" w:rsidRPr="007B560F">
        <w:rPr>
          <w:rFonts w:hint="eastAsia"/>
          <w:color w:val="000000" w:themeColor="text1"/>
          <w:spacing w:val="-2"/>
        </w:rPr>
        <w:t>000件</w:t>
      </w:r>
      <w:r w:rsidR="007655B8" w:rsidRPr="007B560F">
        <w:rPr>
          <w:rFonts w:hint="eastAsia"/>
          <w:color w:val="000000" w:themeColor="text1"/>
          <w:spacing w:val="-2"/>
        </w:rPr>
        <w:t>左右</w:t>
      </w:r>
      <w:r w:rsidR="00855B3F" w:rsidRPr="007B560F">
        <w:rPr>
          <w:rFonts w:hint="eastAsia"/>
          <w:color w:val="000000" w:themeColor="text1"/>
          <w:spacing w:val="-2"/>
        </w:rPr>
        <w:t>，</w:t>
      </w:r>
      <w:r w:rsidR="002D3149" w:rsidRPr="007B560F">
        <w:rPr>
          <w:rFonts w:hint="eastAsia"/>
          <w:color w:val="000000" w:themeColor="text1"/>
          <w:spacing w:val="-2"/>
        </w:rPr>
        <w:t>復輔導學校午餐供應者針對4章1Q蔬果食材辦理自主送驗，</w:t>
      </w:r>
      <w:r w:rsidR="00855B3F" w:rsidRPr="007B560F">
        <w:rPr>
          <w:rFonts w:hint="eastAsia"/>
          <w:color w:val="000000" w:themeColor="text1"/>
          <w:spacing w:val="-2"/>
        </w:rPr>
        <w:t>督促</w:t>
      </w:r>
      <w:proofErr w:type="gramStart"/>
      <w:r w:rsidR="00855B3F" w:rsidRPr="007B560F">
        <w:rPr>
          <w:rFonts w:hint="eastAsia"/>
          <w:color w:val="000000" w:themeColor="text1"/>
          <w:spacing w:val="-2"/>
        </w:rPr>
        <w:t>團膳及</w:t>
      </w:r>
      <w:proofErr w:type="gramEnd"/>
      <w:r w:rsidR="00855B3F" w:rsidRPr="007B560F">
        <w:rPr>
          <w:rFonts w:hint="eastAsia"/>
          <w:color w:val="000000" w:themeColor="text1"/>
          <w:spacing w:val="-2"/>
        </w:rPr>
        <w:t>食材供應商重視食材問題，確保學童飲食安全，</w:t>
      </w:r>
      <w:proofErr w:type="gramStart"/>
      <w:r w:rsidR="00855B3F" w:rsidRPr="007B560F">
        <w:rPr>
          <w:rFonts w:hint="eastAsia"/>
          <w:color w:val="000000" w:themeColor="text1"/>
          <w:spacing w:val="-2"/>
        </w:rPr>
        <w:t>應值肯認</w:t>
      </w:r>
      <w:proofErr w:type="gramEnd"/>
      <w:r w:rsidR="00855B3F" w:rsidRPr="007B560F">
        <w:rPr>
          <w:rFonts w:hint="eastAsia"/>
          <w:color w:val="000000" w:themeColor="text1"/>
          <w:spacing w:val="-2"/>
        </w:rPr>
        <w:t>。</w:t>
      </w:r>
    </w:p>
    <w:p w:rsidR="00BF77F1" w:rsidRPr="007B560F" w:rsidRDefault="004D2A33" w:rsidP="00F844A5">
      <w:pPr>
        <w:pStyle w:val="3"/>
        <w:numPr>
          <w:ilvl w:val="0"/>
          <w:numId w:val="0"/>
        </w:numPr>
        <w:ind w:left="1361" w:firstLineChars="227" w:firstLine="763"/>
        <w:rPr>
          <w:color w:val="000000" w:themeColor="text1"/>
          <w:spacing w:val="-2"/>
        </w:rPr>
      </w:pPr>
      <w:proofErr w:type="gramStart"/>
      <w:r w:rsidRPr="007B560F">
        <w:rPr>
          <w:rFonts w:hint="eastAsia"/>
          <w:color w:val="000000" w:themeColor="text1"/>
          <w:spacing w:val="-2"/>
        </w:rPr>
        <w:t>惟</w:t>
      </w:r>
      <w:proofErr w:type="gramEnd"/>
      <w:r w:rsidRPr="007B560F">
        <w:rPr>
          <w:rFonts w:hint="eastAsia"/>
          <w:color w:val="000000" w:themeColor="text1"/>
          <w:spacing w:val="-2"/>
        </w:rPr>
        <w:t>對於全體國人之食安問題，仍應同等重視</w:t>
      </w:r>
      <w:r w:rsidR="00855B3F" w:rsidRPr="007B560F">
        <w:rPr>
          <w:rFonts w:hint="eastAsia"/>
          <w:color w:val="000000" w:themeColor="text1"/>
          <w:spacing w:val="-2"/>
        </w:rPr>
        <w:t>，農委會自105年起逐年增加田間及集貨場蔬果之農藥殘留抽檢件數，</w:t>
      </w:r>
      <w:r w:rsidR="00BF77F1" w:rsidRPr="007B560F">
        <w:rPr>
          <w:rFonts w:hint="eastAsia"/>
          <w:color w:val="000000" w:themeColor="text1"/>
          <w:spacing w:val="-2"/>
        </w:rPr>
        <w:t>且考量國內蔬果約70%</w:t>
      </w:r>
      <w:proofErr w:type="gramStart"/>
      <w:r w:rsidR="00BF77F1" w:rsidRPr="007B560F">
        <w:rPr>
          <w:rFonts w:hint="eastAsia"/>
          <w:color w:val="000000" w:themeColor="text1"/>
          <w:spacing w:val="-2"/>
        </w:rPr>
        <w:t>以上透</w:t>
      </w:r>
      <w:proofErr w:type="gramEnd"/>
      <w:r w:rsidR="00BF77F1" w:rsidRPr="007B560F">
        <w:rPr>
          <w:rFonts w:hint="eastAsia"/>
          <w:color w:val="000000" w:themeColor="text1"/>
          <w:spacing w:val="-2"/>
        </w:rPr>
        <w:t>由集貨(理貨)場運銷交易，因此106年起規劃田間抽檢比率為30%，集貨場則為70%。查103至108年各年度抽檢數量分別為7,267、7,234、</w:t>
      </w:r>
      <w:r w:rsidR="00BF77F1" w:rsidRPr="007B560F">
        <w:rPr>
          <w:color w:val="000000" w:themeColor="text1"/>
          <w:spacing w:val="-2"/>
        </w:rPr>
        <w:t>10,337</w:t>
      </w:r>
      <w:r w:rsidR="00BF77F1" w:rsidRPr="007B560F">
        <w:rPr>
          <w:rFonts w:hint="eastAsia"/>
          <w:color w:val="000000" w:themeColor="text1"/>
          <w:spacing w:val="-2"/>
        </w:rPr>
        <w:t>、</w:t>
      </w:r>
      <w:r w:rsidR="00BF77F1" w:rsidRPr="007B560F">
        <w:rPr>
          <w:color w:val="000000" w:themeColor="text1"/>
          <w:spacing w:val="-2"/>
        </w:rPr>
        <w:t>13,781</w:t>
      </w:r>
      <w:r w:rsidR="00BF77F1" w:rsidRPr="007B560F">
        <w:rPr>
          <w:rFonts w:hint="eastAsia"/>
          <w:color w:val="000000" w:themeColor="text1"/>
          <w:spacing w:val="-2"/>
        </w:rPr>
        <w:t>、</w:t>
      </w:r>
      <w:r w:rsidR="00BF77F1" w:rsidRPr="007B560F">
        <w:rPr>
          <w:color w:val="000000" w:themeColor="text1"/>
          <w:spacing w:val="-2"/>
        </w:rPr>
        <w:t>14,991</w:t>
      </w:r>
      <w:r w:rsidR="00BF77F1" w:rsidRPr="007B560F">
        <w:rPr>
          <w:rFonts w:hint="eastAsia"/>
          <w:color w:val="000000" w:themeColor="text1"/>
          <w:spacing w:val="-2"/>
        </w:rPr>
        <w:t>及</w:t>
      </w:r>
      <w:r w:rsidR="00BF77F1" w:rsidRPr="007B560F">
        <w:rPr>
          <w:color w:val="000000" w:themeColor="text1"/>
          <w:spacing w:val="-2"/>
        </w:rPr>
        <w:t>14,594</w:t>
      </w:r>
      <w:r w:rsidR="00BF77F1" w:rsidRPr="007B560F">
        <w:rPr>
          <w:rFonts w:hint="eastAsia"/>
          <w:color w:val="000000" w:themeColor="text1"/>
          <w:spacing w:val="-2"/>
        </w:rPr>
        <w:t>件，其中各年度田間抽檢件數分別為</w:t>
      </w:r>
      <w:r w:rsidR="00BF77F1" w:rsidRPr="007B560F">
        <w:rPr>
          <w:color w:val="000000" w:themeColor="text1"/>
          <w:spacing w:val="-2"/>
        </w:rPr>
        <w:t>2,880</w:t>
      </w:r>
      <w:r w:rsidR="00BF77F1" w:rsidRPr="007B560F">
        <w:rPr>
          <w:rFonts w:hint="eastAsia"/>
          <w:color w:val="000000" w:themeColor="text1"/>
          <w:spacing w:val="-2"/>
        </w:rPr>
        <w:t>、</w:t>
      </w:r>
      <w:r w:rsidR="00BF77F1" w:rsidRPr="007B560F">
        <w:rPr>
          <w:color w:val="000000" w:themeColor="text1"/>
          <w:spacing w:val="-2"/>
        </w:rPr>
        <w:t>2,146</w:t>
      </w:r>
      <w:r w:rsidR="00BF77F1" w:rsidRPr="007B560F">
        <w:rPr>
          <w:rFonts w:hint="eastAsia"/>
          <w:color w:val="000000" w:themeColor="text1"/>
          <w:spacing w:val="-2"/>
        </w:rPr>
        <w:t>、</w:t>
      </w:r>
      <w:r w:rsidR="00BF77F1" w:rsidRPr="007B560F">
        <w:rPr>
          <w:color w:val="000000" w:themeColor="text1"/>
          <w:spacing w:val="-2"/>
        </w:rPr>
        <w:t>2,333</w:t>
      </w:r>
      <w:r w:rsidR="00BF77F1" w:rsidRPr="007B560F">
        <w:rPr>
          <w:rFonts w:hint="eastAsia"/>
          <w:color w:val="000000" w:themeColor="text1"/>
          <w:spacing w:val="-2"/>
        </w:rPr>
        <w:t>、</w:t>
      </w:r>
      <w:r w:rsidR="00BF77F1" w:rsidRPr="007B560F">
        <w:rPr>
          <w:color w:val="000000" w:themeColor="text1"/>
          <w:spacing w:val="-2"/>
        </w:rPr>
        <w:t>3,438</w:t>
      </w:r>
      <w:r w:rsidR="00BF77F1" w:rsidRPr="007B560F">
        <w:rPr>
          <w:rFonts w:hint="eastAsia"/>
          <w:color w:val="000000" w:themeColor="text1"/>
          <w:spacing w:val="-2"/>
        </w:rPr>
        <w:t>、</w:t>
      </w:r>
      <w:r w:rsidR="00BF77F1" w:rsidRPr="007B560F">
        <w:rPr>
          <w:color w:val="000000" w:themeColor="text1"/>
          <w:spacing w:val="-2"/>
        </w:rPr>
        <w:t>4,656</w:t>
      </w:r>
      <w:r w:rsidR="00BF77F1" w:rsidRPr="007B560F">
        <w:rPr>
          <w:rFonts w:hint="eastAsia"/>
          <w:color w:val="000000" w:themeColor="text1"/>
          <w:spacing w:val="-2"/>
        </w:rPr>
        <w:t>及</w:t>
      </w:r>
      <w:r w:rsidR="00BF77F1" w:rsidRPr="007B560F">
        <w:rPr>
          <w:color w:val="000000" w:themeColor="text1"/>
          <w:spacing w:val="-2"/>
        </w:rPr>
        <w:t>5,186</w:t>
      </w:r>
      <w:r w:rsidR="00BF77F1" w:rsidRPr="007B560F">
        <w:rPr>
          <w:rFonts w:hint="eastAsia"/>
          <w:color w:val="000000" w:themeColor="text1"/>
          <w:spacing w:val="-2"/>
        </w:rPr>
        <w:t>件，不合格件數分別為</w:t>
      </w:r>
      <w:r w:rsidR="00BF77F1" w:rsidRPr="007B560F">
        <w:rPr>
          <w:color w:val="000000" w:themeColor="text1"/>
          <w:spacing w:val="-2"/>
        </w:rPr>
        <w:t>123</w:t>
      </w:r>
      <w:r w:rsidR="00BF77F1" w:rsidRPr="007B560F">
        <w:rPr>
          <w:rFonts w:hint="eastAsia"/>
          <w:color w:val="000000" w:themeColor="text1"/>
          <w:spacing w:val="-2"/>
        </w:rPr>
        <w:t>、</w:t>
      </w:r>
      <w:r w:rsidR="00BF77F1" w:rsidRPr="007B560F">
        <w:rPr>
          <w:color w:val="000000" w:themeColor="text1"/>
          <w:spacing w:val="-2"/>
        </w:rPr>
        <w:t>86</w:t>
      </w:r>
      <w:r w:rsidR="00BF77F1" w:rsidRPr="007B560F">
        <w:rPr>
          <w:rFonts w:hint="eastAsia"/>
          <w:color w:val="000000" w:themeColor="text1"/>
          <w:spacing w:val="-2"/>
        </w:rPr>
        <w:t>、</w:t>
      </w:r>
      <w:r w:rsidR="00BF77F1" w:rsidRPr="007B560F">
        <w:rPr>
          <w:color w:val="000000" w:themeColor="text1"/>
          <w:spacing w:val="-2"/>
        </w:rPr>
        <w:t>86</w:t>
      </w:r>
      <w:r w:rsidR="00BF77F1" w:rsidRPr="007B560F">
        <w:rPr>
          <w:rFonts w:hint="eastAsia"/>
          <w:color w:val="000000" w:themeColor="text1"/>
          <w:spacing w:val="-2"/>
        </w:rPr>
        <w:t>、</w:t>
      </w:r>
      <w:r w:rsidR="00BF77F1" w:rsidRPr="007B560F">
        <w:rPr>
          <w:color w:val="000000" w:themeColor="text1"/>
          <w:spacing w:val="-2"/>
        </w:rPr>
        <w:t xml:space="preserve"> 91</w:t>
      </w:r>
      <w:r w:rsidR="00BF77F1" w:rsidRPr="007B560F">
        <w:rPr>
          <w:rFonts w:hint="eastAsia"/>
          <w:color w:val="000000" w:themeColor="text1"/>
          <w:spacing w:val="-2"/>
        </w:rPr>
        <w:t>、</w:t>
      </w:r>
      <w:r w:rsidR="00BF77F1" w:rsidRPr="007B560F">
        <w:rPr>
          <w:color w:val="000000" w:themeColor="text1"/>
          <w:spacing w:val="-2"/>
        </w:rPr>
        <w:t>105</w:t>
      </w:r>
      <w:r w:rsidR="00BF77F1" w:rsidRPr="007B560F">
        <w:rPr>
          <w:rFonts w:hint="eastAsia"/>
          <w:color w:val="000000" w:themeColor="text1"/>
          <w:spacing w:val="-2"/>
        </w:rPr>
        <w:t>及</w:t>
      </w:r>
      <w:r w:rsidR="00BF77F1" w:rsidRPr="007B560F">
        <w:rPr>
          <w:color w:val="000000" w:themeColor="text1"/>
          <w:spacing w:val="-2"/>
        </w:rPr>
        <w:t>90</w:t>
      </w:r>
      <w:r w:rsidR="00BF77F1" w:rsidRPr="007B560F">
        <w:rPr>
          <w:rFonts w:hint="eastAsia"/>
          <w:color w:val="000000" w:themeColor="text1"/>
          <w:spacing w:val="-2"/>
        </w:rPr>
        <w:t>件，合格率達95%以上；集貨場抽件數量分別計</w:t>
      </w:r>
      <w:r w:rsidR="00BF77F1" w:rsidRPr="007B560F">
        <w:rPr>
          <w:color w:val="000000" w:themeColor="text1"/>
          <w:spacing w:val="-2"/>
        </w:rPr>
        <w:t>4,387</w:t>
      </w:r>
      <w:r w:rsidR="00BF77F1" w:rsidRPr="007B560F">
        <w:rPr>
          <w:rFonts w:hint="eastAsia"/>
          <w:color w:val="000000" w:themeColor="text1"/>
          <w:spacing w:val="-2"/>
        </w:rPr>
        <w:t>、</w:t>
      </w:r>
      <w:r w:rsidR="00BF77F1" w:rsidRPr="007B560F">
        <w:rPr>
          <w:color w:val="000000" w:themeColor="text1"/>
          <w:spacing w:val="-2"/>
        </w:rPr>
        <w:t>5,088</w:t>
      </w:r>
      <w:r w:rsidR="00BF77F1" w:rsidRPr="007B560F">
        <w:rPr>
          <w:rFonts w:hint="eastAsia"/>
          <w:color w:val="000000" w:themeColor="text1"/>
          <w:spacing w:val="-2"/>
        </w:rPr>
        <w:t>、</w:t>
      </w:r>
      <w:r w:rsidR="00BF77F1" w:rsidRPr="007B560F">
        <w:rPr>
          <w:color w:val="000000" w:themeColor="text1"/>
          <w:spacing w:val="-2"/>
        </w:rPr>
        <w:t>8,004</w:t>
      </w:r>
      <w:r w:rsidR="00BF77F1" w:rsidRPr="007B560F">
        <w:rPr>
          <w:rFonts w:hint="eastAsia"/>
          <w:color w:val="000000" w:themeColor="text1"/>
          <w:spacing w:val="-2"/>
        </w:rPr>
        <w:t>、</w:t>
      </w:r>
      <w:r w:rsidR="00BF77F1" w:rsidRPr="007B560F">
        <w:rPr>
          <w:color w:val="000000" w:themeColor="text1"/>
          <w:spacing w:val="-2"/>
        </w:rPr>
        <w:t>10,343</w:t>
      </w:r>
      <w:r w:rsidR="00BF77F1" w:rsidRPr="007B560F">
        <w:rPr>
          <w:rFonts w:hint="eastAsia"/>
          <w:color w:val="000000" w:themeColor="text1"/>
          <w:spacing w:val="-2"/>
        </w:rPr>
        <w:t>、</w:t>
      </w:r>
      <w:r w:rsidR="00BF77F1" w:rsidRPr="007B560F">
        <w:rPr>
          <w:color w:val="000000" w:themeColor="text1"/>
          <w:spacing w:val="-2"/>
        </w:rPr>
        <w:t>10,335</w:t>
      </w:r>
      <w:r w:rsidR="00BF77F1" w:rsidRPr="007B560F">
        <w:rPr>
          <w:rFonts w:hint="eastAsia"/>
          <w:color w:val="000000" w:themeColor="text1"/>
          <w:spacing w:val="-2"/>
        </w:rPr>
        <w:t>、</w:t>
      </w:r>
      <w:r w:rsidR="00BF77F1" w:rsidRPr="007B560F">
        <w:rPr>
          <w:color w:val="000000" w:themeColor="text1"/>
          <w:spacing w:val="-2"/>
        </w:rPr>
        <w:t>9,408</w:t>
      </w:r>
      <w:r w:rsidR="00BF77F1" w:rsidRPr="007B560F">
        <w:rPr>
          <w:rFonts w:hint="eastAsia"/>
          <w:color w:val="000000" w:themeColor="text1"/>
          <w:spacing w:val="-2"/>
        </w:rPr>
        <w:t>件，不合格件數分別為</w:t>
      </w:r>
      <w:r w:rsidR="00BF77F1" w:rsidRPr="007B560F">
        <w:rPr>
          <w:color w:val="000000" w:themeColor="text1"/>
          <w:spacing w:val="-2"/>
        </w:rPr>
        <w:t>173</w:t>
      </w:r>
      <w:r w:rsidR="00BF77F1" w:rsidRPr="007B560F">
        <w:rPr>
          <w:rFonts w:hint="eastAsia"/>
          <w:color w:val="000000" w:themeColor="text1"/>
          <w:spacing w:val="-2"/>
        </w:rPr>
        <w:t>、</w:t>
      </w:r>
      <w:r w:rsidR="00BF77F1" w:rsidRPr="007B560F">
        <w:rPr>
          <w:color w:val="000000" w:themeColor="text1"/>
          <w:spacing w:val="-2"/>
        </w:rPr>
        <w:t>296</w:t>
      </w:r>
      <w:r w:rsidR="00BF77F1" w:rsidRPr="007B560F">
        <w:rPr>
          <w:rFonts w:hint="eastAsia"/>
          <w:color w:val="000000" w:themeColor="text1"/>
          <w:spacing w:val="-2"/>
        </w:rPr>
        <w:t>、</w:t>
      </w:r>
      <w:r w:rsidR="00BF77F1" w:rsidRPr="007B560F">
        <w:rPr>
          <w:color w:val="000000" w:themeColor="text1"/>
          <w:spacing w:val="-2"/>
        </w:rPr>
        <w:t>403</w:t>
      </w:r>
      <w:r w:rsidR="00BF77F1" w:rsidRPr="007B560F">
        <w:rPr>
          <w:rFonts w:hint="eastAsia"/>
          <w:color w:val="000000" w:themeColor="text1"/>
          <w:spacing w:val="-2"/>
        </w:rPr>
        <w:t>、</w:t>
      </w:r>
      <w:r w:rsidR="00BF77F1" w:rsidRPr="007B560F">
        <w:rPr>
          <w:color w:val="000000" w:themeColor="text1"/>
          <w:spacing w:val="-2"/>
        </w:rPr>
        <w:t>467</w:t>
      </w:r>
      <w:r w:rsidR="00BF77F1" w:rsidRPr="007B560F">
        <w:rPr>
          <w:rFonts w:hint="eastAsia"/>
          <w:color w:val="000000" w:themeColor="text1"/>
          <w:spacing w:val="-2"/>
        </w:rPr>
        <w:t>、</w:t>
      </w:r>
      <w:r w:rsidR="00BF77F1" w:rsidRPr="007B560F">
        <w:rPr>
          <w:color w:val="000000" w:themeColor="text1"/>
          <w:spacing w:val="-2"/>
        </w:rPr>
        <w:t>555</w:t>
      </w:r>
      <w:r w:rsidR="00BF77F1" w:rsidRPr="007B560F">
        <w:rPr>
          <w:rFonts w:hint="eastAsia"/>
          <w:color w:val="000000" w:themeColor="text1"/>
          <w:spacing w:val="-2"/>
        </w:rPr>
        <w:t>及</w:t>
      </w:r>
      <w:r w:rsidR="00BF77F1" w:rsidRPr="007B560F">
        <w:rPr>
          <w:color w:val="000000" w:themeColor="text1"/>
          <w:spacing w:val="-2"/>
        </w:rPr>
        <w:t>338</w:t>
      </w:r>
      <w:r w:rsidR="00BF77F1" w:rsidRPr="007B560F">
        <w:rPr>
          <w:rFonts w:hint="eastAsia"/>
          <w:color w:val="000000" w:themeColor="text1"/>
          <w:spacing w:val="-2"/>
        </w:rPr>
        <w:t>件，合格率達94%以上，詳如下表。</w:t>
      </w:r>
    </w:p>
    <w:p w:rsidR="00BF77F1" w:rsidRPr="007B560F" w:rsidRDefault="00BF77F1" w:rsidP="00BF77F1">
      <w:pPr>
        <w:pStyle w:val="a4"/>
        <w:numPr>
          <w:ilvl w:val="0"/>
          <w:numId w:val="7"/>
        </w:numPr>
        <w:ind w:left="1473"/>
        <w:rPr>
          <w:color w:val="000000" w:themeColor="text1"/>
        </w:rPr>
      </w:pPr>
      <w:r w:rsidRPr="007B560F">
        <w:rPr>
          <w:rFonts w:hint="eastAsia"/>
          <w:color w:val="000000" w:themeColor="text1"/>
        </w:rPr>
        <w:t>農作物農藥殘留監測與管制計畫抽檢結果</w:t>
      </w:r>
    </w:p>
    <w:p w:rsidR="00BF77F1" w:rsidRPr="007B560F" w:rsidRDefault="00BF77F1" w:rsidP="00BF77F1">
      <w:pPr>
        <w:spacing w:line="360" w:lineRule="exact"/>
        <w:ind w:rightChars="-150" w:right="-510"/>
        <w:jc w:val="right"/>
        <w:rPr>
          <w:color w:val="000000" w:themeColor="text1"/>
          <w:sz w:val="24"/>
          <w:szCs w:val="24"/>
        </w:rPr>
      </w:pPr>
      <w:r w:rsidRPr="007B560F">
        <w:rPr>
          <w:rFonts w:hint="eastAsia"/>
          <w:color w:val="000000" w:themeColor="text1"/>
          <w:sz w:val="24"/>
          <w:szCs w:val="24"/>
        </w:rPr>
        <w:t>單位：件；%</w:t>
      </w:r>
    </w:p>
    <w:tbl>
      <w:tblPr>
        <w:tblStyle w:val="afc"/>
        <w:tblW w:w="5603" w:type="pct"/>
        <w:tblInd w:w="-431" w:type="dxa"/>
        <w:tblLook w:val="04A0" w:firstRow="1" w:lastRow="0" w:firstColumn="1" w:lastColumn="0" w:noHBand="0" w:noVBand="1"/>
      </w:tblPr>
      <w:tblGrid>
        <w:gridCol w:w="852"/>
        <w:gridCol w:w="1131"/>
        <w:gridCol w:w="1131"/>
        <w:gridCol w:w="1131"/>
        <w:gridCol w:w="1134"/>
        <w:gridCol w:w="1130"/>
        <w:gridCol w:w="1130"/>
        <w:gridCol w:w="1130"/>
        <w:gridCol w:w="1130"/>
      </w:tblGrid>
      <w:tr w:rsidR="00A13031" w:rsidRPr="007B560F" w:rsidTr="00833453">
        <w:trPr>
          <w:trHeight w:val="232"/>
          <w:tblHeader/>
        </w:trPr>
        <w:tc>
          <w:tcPr>
            <w:tcW w:w="430" w:type="pct"/>
            <w:vMerge w:val="restart"/>
            <w:vAlign w:val="center"/>
          </w:tcPr>
          <w:p w:rsidR="00BF77F1" w:rsidRPr="007B560F" w:rsidRDefault="00BF77F1" w:rsidP="00833453">
            <w:pPr>
              <w:wordWrap w:val="0"/>
              <w:spacing w:line="320" w:lineRule="exact"/>
              <w:jc w:val="center"/>
              <w:rPr>
                <w:rFonts w:hAnsi="標楷體"/>
                <w:b/>
                <w:color w:val="000000" w:themeColor="text1"/>
                <w:sz w:val="28"/>
              </w:rPr>
            </w:pPr>
            <w:r w:rsidRPr="007B560F">
              <w:rPr>
                <w:rFonts w:hAnsi="標楷體"/>
                <w:b/>
                <w:color w:val="000000" w:themeColor="text1"/>
                <w:sz w:val="28"/>
                <w:szCs w:val="24"/>
              </w:rPr>
              <w:lastRenderedPageBreak/>
              <w:t>年度</w:t>
            </w:r>
          </w:p>
        </w:tc>
        <w:tc>
          <w:tcPr>
            <w:tcW w:w="2286" w:type="pct"/>
            <w:gridSpan w:val="4"/>
            <w:vAlign w:val="center"/>
          </w:tcPr>
          <w:p w:rsidR="00BF77F1" w:rsidRPr="007B560F" w:rsidRDefault="00BF77F1" w:rsidP="00833453">
            <w:pPr>
              <w:wordWrap w:val="0"/>
              <w:spacing w:line="320" w:lineRule="exact"/>
              <w:jc w:val="center"/>
              <w:rPr>
                <w:rFonts w:hAnsi="標楷體"/>
                <w:b/>
                <w:color w:val="000000" w:themeColor="text1"/>
                <w:sz w:val="28"/>
                <w:szCs w:val="24"/>
              </w:rPr>
            </w:pPr>
            <w:r w:rsidRPr="007B560F">
              <w:rPr>
                <w:rFonts w:hAnsi="標楷體"/>
                <w:b/>
                <w:color w:val="000000" w:themeColor="text1"/>
                <w:sz w:val="28"/>
                <w:szCs w:val="24"/>
              </w:rPr>
              <w:t>田間</w:t>
            </w:r>
          </w:p>
        </w:tc>
        <w:tc>
          <w:tcPr>
            <w:tcW w:w="2284" w:type="pct"/>
            <w:gridSpan w:val="4"/>
            <w:vAlign w:val="center"/>
          </w:tcPr>
          <w:p w:rsidR="00BF77F1" w:rsidRPr="007B560F" w:rsidRDefault="00BF77F1" w:rsidP="00833453">
            <w:pPr>
              <w:wordWrap w:val="0"/>
              <w:spacing w:line="320" w:lineRule="exact"/>
              <w:jc w:val="center"/>
              <w:rPr>
                <w:rFonts w:hAnsi="標楷體"/>
                <w:b/>
                <w:color w:val="000000" w:themeColor="text1"/>
                <w:sz w:val="28"/>
                <w:szCs w:val="24"/>
              </w:rPr>
            </w:pPr>
            <w:r w:rsidRPr="007B560F">
              <w:rPr>
                <w:rFonts w:hAnsi="標楷體"/>
                <w:b/>
                <w:color w:val="000000" w:themeColor="text1"/>
                <w:sz w:val="28"/>
                <w:szCs w:val="24"/>
              </w:rPr>
              <w:t>集貨場</w:t>
            </w:r>
          </w:p>
        </w:tc>
      </w:tr>
      <w:tr w:rsidR="00A13031" w:rsidRPr="007B560F" w:rsidTr="00833453">
        <w:trPr>
          <w:trHeight w:val="761"/>
          <w:tblHeader/>
        </w:trPr>
        <w:tc>
          <w:tcPr>
            <w:tcW w:w="430" w:type="pct"/>
            <w:vMerge/>
            <w:vAlign w:val="center"/>
          </w:tcPr>
          <w:p w:rsidR="00BF77F1" w:rsidRPr="007B560F" w:rsidRDefault="00BF77F1" w:rsidP="00833453">
            <w:pPr>
              <w:wordWrap w:val="0"/>
              <w:spacing w:line="320" w:lineRule="exact"/>
              <w:rPr>
                <w:rFonts w:hAnsi="標楷體"/>
                <w:b/>
                <w:color w:val="000000" w:themeColor="text1"/>
                <w:sz w:val="28"/>
              </w:rPr>
            </w:pP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檢驗</w:t>
            </w:r>
          </w:p>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件數</w:t>
            </w: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w:t>
            </w:r>
          </w:p>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件數</w:t>
            </w: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30"/>
                <w:sz w:val="28"/>
                <w:szCs w:val="24"/>
              </w:rPr>
            </w:pPr>
            <w:r w:rsidRPr="007B560F">
              <w:rPr>
                <w:rFonts w:hAnsi="標楷體"/>
                <w:b/>
                <w:color w:val="000000" w:themeColor="text1"/>
                <w:spacing w:val="-30"/>
                <w:sz w:val="28"/>
                <w:szCs w:val="24"/>
              </w:rPr>
              <w:t>不合格件數</w:t>
            </w:r>
          </w:p>
        </w:tc>
        <w:tc>
          <w:tcPr>
            <w:tcW w:w="572"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合格率(%)</w:t>
            </w: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檢驗</w:t>
            </w:r>
          </w:p>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件數</w:t>
            </w: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w:t>
            </w:r>
          </w:p>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件數</w:t>
            </w:r>
          </w:p>
        </w:tc>
        <w:tc>
          <w:tcPr>
            <w:tcW w:w="571"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30"/>
                <w:sz w:val="28"/>
                <w:szCs w:val="24"/>
              </w:rPr>
              <w:t>不合格件數</w:t>
            </w:r>
          </w:p>
        </w:tc>
        <w:tc>
          <w:tcPr>
            <w:tcW w:w="572" w:type="pct"/>
            <w:vAlign w:val="center"/>
          </w:tcPr>
          <w:p w:rsidR="00BF77F1" w:rsidRPr="007B560F" w:rsidRDefault="00BF77F1" w:rsidP="00833453">
            <w:pPr>
              <w:wordWrap w:val="0"/>
              <w:spacing w:line="320" w:lineRule="exact"/>
              <w:jc w:val="center"/>
              <w:rPr>
                <w:rFonts w:hAnsi="標楷體"/>
                <w:b/>
                <w:color w:val="000000" w:themeColor="text1"/>
                <w:spacing w:val="-20"/>
                <w:sz w:val="28"/>
                <w:szCs w:val="24"/>
              </w:rPr>
            </w:pPr>
            <w:r w:rsidRPr="007B560F">
              <w:rPr>
                <w:rFonts w:hAnsi="標楷體"/>
                <w:b/>
                <w:color w:val="000000" w:themeColor="text1"/>
                <w:spacing w:val="-20"/>
                <w:sz w:val="28"/>
                <w:szCs w:val="24"/>
              </w:rPr>
              <w:t>合格率(%)</w:t>
            </w:r>
          </w:p>
        </w:tc>
      </w:tr>
      <w:tr w:rsidR="00A13031" w:rsidRPr="007B560F" w:rsidTr="00833453">
        <w:trPr>
          <w:trHeight w:val="389"/>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103</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2,880</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2,757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123</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95.7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4,387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4,214</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173</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96.1</w:t>
            </w:r>
          </w:p>
        </w:tc>
      </w:tr>
      <w:tr w:rsidR="00A13031" w:rsidRPr="007B560F" w:rsidTr="00833453">
        <w:trPr>
          <w:trHeight w:val="407"/>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104</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2,146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2,060</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xml:space="preserve"> 86</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96.0</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5,088</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4,792</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296</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94.2</w:t>
            </w:r>
          </w:p>
        </w:tc>
      </w:tr>
      <w:tr w:rsidR="00A13031" w:rsidRPr="007B560F" w:rsidTr="00833453">
        <w:trPr>
          <w:trHeight w:val="407"/>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105</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2,333</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2,247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xml:space="preserve"> 86</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96.3</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8,004</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7,601</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403</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95.0</w:t>
            </w:r>
          </w:p>
        </w:tc>
      </w:tr>
      <w:tr w:rsidR="00A13031" w:rsidRPr="007B560F" w:rsidTr="00833453">
        <w:trPr>
          <w:trHeight w:val="407"/>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3,438</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3,347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xml:space="preserve"> 91</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97.4</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10,343</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9,876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467</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95.5</w:t>
            </w:r>
          </w:p>
        </w:tc>
      </w:tr>
      <w:tr w:rsidR="00A13031" w:rsidRPr="007B560F" w:rsidTr="00833453">
        <w:trPr>
          <w:trHeight w:val="407"/>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4,656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4,551</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105</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97.7</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10,335</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9,780</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555</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94.6</w:t>
            </w:r>
          </w:p>
        </w:tc>
      </w:tr>
      <w:tr w:rsidR="00A13031" w:rsidRPr="007B560F" w:rsidTr="00833453">
        <w:trPr>
          <w:trHeight w:val="407"/>
        </w:trPr>
        <w:tc>
          <w:tcPr>
            <w:tcW w:w="430" w:type="pct"/>
            <w:vAlign w:val="center"/>
          </w:tcPr>
          <w:p w:rsidR="00BF77F1" w:rsidRPr="007B560F" w:rsidRDefault="00BF77F1" w:rsidP="00833453">
            <w:pPr>
              <w:wordWrap w:val="0"/>
              <w:spacing w:line="320" w:lineRule="exact"/>
              <w:jc w:val="center"/>
              <w:rPr>
                <w:rFonts w:hAnsi="標楷體"/>
                <w:color w:val="000000" w:themeColor="text1"/>
                <w:sz w:val="28"/>
                <w:szCs w:val="28"/>
              </w:rPr>
            </w:pPr>
            <w:r w:rsidRPr="007B560F">
              <w:rPr>
                <w:rFonts w:hAnsi="標楷體"/>
                <w:color w:val="000000" w:themeColor="text1"/>
                <w:sz w:val="28"/>
                <w:szCs w:val="28"/>
              </w:rPr>
              <w:t>108</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5,186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5,096</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90</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98.3 </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9,408</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9,070 </w:t>
            </w:r>
          </w:p>
        </w:tc>
        <w:tc>
          <w:tcPr>
            <w:tcW w:w="571"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338</w:t>
            </w:r>
          </w:p>
        </w:tc>
        <w:tc>
          <w:tcPr>
            <w:tcW w:w="572" w:type="pct"/>
            <w:vAlign w:val="center"/>
          </w:tcPr>
          <w:p w:rsidR="00BF77F1" w:rsidRPr="007B560F" w:rsidRDefault="00BF77F1" w:rsidP="00833453">
            <w:pPr>
              <w:wordWrap w:val="0"/>
              <w:spacing w:line="320" w:lineRule="exact"/>
              <w:jc w:val="right"/>
              <w:rPr>
                <w:rFonts w:hAnsi="標楷體"/>
                <w:color w:val="000000" w:themeColor="text1"/>
                <w:sz w:val="28"/>
                <w:szCs w:val="28"/>
              </w:rPr>
            </w:pPr>
            <w:r w:rsidRPr="007B560F">
              <w:rPr>
                <w:rFonts w:hAnsi="標楷體"/>
                <w:color w:val="000000" w:themeColor="text1"/>
                <w:sz w:val="28"/>
                <w:szCs w:val="28"/>
              </w:rPr>
              <w:t> 96.4</w:t>
            </w:r>
          </w:p>
        </w:tc>
      </w:tr>
    </w:tbl>
    <w:p w:rsidR="00BF77F1" w:rsidRPr="007B560F" w:rsidRDefault="00BF77F1" w:rsidP="00BF77F1">
      <w:pPr>
        <w:pStyle w:val="5"/>
        <w:numPr>
          <w:ilvl w:val="0"/>
          <w:numId w:val="0"/>
        </w:numPr>
        <w:ind w:leftChars="-125" w:left="-425"/>
        <w:rPr>
          <w:rFonts w:hAnsi="標楷體"/>
          <w:color w:val="000000" w:themeColor="text1"/>
          <w:sz w:val="24"/>
          <w:szCs w:val="24"/>
        </w:rPr>
      </w:pPr>
      <w:r w:rsidRPr="007B560F">
        <w:rPr>
          <w:rFonts w:hAnsi="標楷體"/>
          <w:color w:val="000000" w:themeColor="text1"/>
          <w:sz w:val="24"/>
          <w:szCs w:val="24"/>
        </w:rPr>
        <w:t>資料來源：農委會</w:t>
      </w:r>
    </w:p>
    <w:p w:rsidR="00BF77F1" w:rsidRPr="007B560F" w:rsidRDefault="00BF77F1" w:rsidP="00BF77F1">
      <w:pPr>
        <w:pStyle w:val="5"/>
        <w:numPr>
          <w:ilvl w:val="0"/>
          <w:numId w:val="0"/>
        </w:numPr>
        <w:ind w:leftChars="-125" w:left="-425"/>
        <w:rPr>
          <w:rFonts w:hAnsi="標楷體"/>
          <w:color w:val="000000" w:themeColor="text1"/>
          <w:sz w:val="24"/>
          <w:szCs w:val="24"/>
        </w:rPr>
      </w:pPr>
    </w:p>
    <w:p w:rsidR="00BF77F1" w:rsidRPr="007B560F" w:rsidRDefault="002D3149" w:rsidP="00BF77F1">
      <w:pPr>
        <w:pStyle w:val="3"/>
        <w:numPr>
          <w:ilvl w:val="2"/>
          <w:numId w:val="9"/>
        </w:numPr>
        <w:ind w:left="1276"/>
        <w:rPr>
          <w:color w:val="000000" w:themeColor="text1"/>
        </w:rPr>
      </w:pPr>
      <w:proofErr w:type="gramStart"/>
      <w:r w:rsidRPr="007B560F">
        <w:rPr>
          <w:rFonts w:hint="eastAsia"/>
          <w:color w:val="000000" w:themeColor="text1"/>
        </w:rPr>
        <w:t>然</w:t>
      </w:r>
      <w:r w:rsidR="00BF77F1" w:rsidRPr="007B560F">
        <w:rPr>
          <w:rFonts w:hint="eastAsia"/>
          <w:color w:val="000000" w:themeColor="text1"/>
        </w:rPr>
        <w:t>查農糧署</w:t>
      </w:r>
      <w:proofErr w:type="gramEnd"/>
      <w:r w:rsidR="00BF77F1" w:rsidRPr="007B560F">
        <w:rPr>
          <w:rFonts w:hint="eastAsia"/>
          <w:color w:val="000000" w:themeColor="text1"/>
        </w:rPr>
        <w:t>對於上開田間及集貨場抽檢對象之選定，106年選擇具</w:t>
      </w:r>
      <w:r w:rsidR="00BF77F1" w:rsidRPr="007B560F">
        <w:rPr>
          <w:color w:val="000000" w:themeColor="text1"/>
        </w:rPr>
        <w:t>4</w:t>
      </w:r>
      <w:r w:rsidR="00BF77F1" w:rsidRPr="007B560F">
        <w:rPr>
          <w:rFonts w:ascii="新細明體" w:hAnsi="新細明體" w:hint="eastAsia"/>
          <w:color w:val="000000" w:themeColor="text1"/>
        </w:rPr>
        <w:t>章</w:t>
      </w:r>
      <w:r w:rsidR="00BF77F1" w:rsidRPr="007B560F">
        <w:rPr>
          <w:color w:val="000000" w:themeColor="text1"/>
        </w:rPr>
        <w:t>1Q</w:t>
      </w:r>
      <w:r w:rsidR="00BF77F1" w:rsidRPr="007B560F">
        <w:rPr>
          <w:rFonts w:hint="eastAsia"/>
          <w:color w:val="000000" w:themeColor="text1"/>
        </w:rPr>
        <w:t>者僅有237</w:t>
      </w:r>
      <w:r w:rsidR="00833453" w:rsidRPr="007B560F">
        <w:rPr>
          <w:rFonts w:hint="eastAsia"/>
          <w:color w:val="000000" w:themeColor="text1"/>
        </w:rPr>
        <w:t>件占當年總抽檢件數</w:t>
      </w:r>
      <w:r w:rsidR="00BF77F1" w:rsidRPr="007B560F">
        <w:rPr>
          <w:color w:val="000000" w:themeColor="text1"/>
        </w:rPr>
        <w:t>6.9%</w:t>
      </w:r>
      <w:r w:rsidR="00BF77F1" w:rsidRPr="007B560F">
        <w:rPr>
          <w:rFonts w:hint="eastAsia"/>
          <w:color w:val="000000" w:themeColor="text1"/>
        </w:rPr>
        <w:t>，選擇不具4</w:t>
      </w:r>
      <w:r w:rsidR="00BF77F1" w:rsidRPr="007B560F">
        <w:rPr>
          <w:rFonts w:ascii="新細明體" w:hAnsi="新細明體" w:hint="eastAsia"/>
          <w:color w:val="000000" w:themeColor="text1"/>
        </w:rPr>
        <w:t>章</w:t>
      </w:r>
      <w:r w:rsidR="00BF77F1" w:rsidRPr="007B560F">
        <w:rPr>
          <w:rFonts w:hint="eastAsia"/>
          <w:color w:val="000000" w:themeColor="text1"/>
        </w:rPr>
        <w:t>1Q者計3</w:t>
      </w:r>
      <w:r w:rsidR="00BF77F1" w:rsidRPr="007B560F">
        <w:rPr>
          <w:color w:val="000000" w:themeColor="text1"/>
        </w:rPr>
        <w:t>,</w:t>
      </w:r>
      <w:r w:rsidR="00BF77F1" w:rsidRPr="007B560F">
        <w:rPr>
          <w:rFonts w:hint="eastAsia"/>
          <w:color w:val="000000" w:themeColor="text1"/>
        </w:rPr>
        <w:t>201件，抽檢比率高達93</w:t>
      </w:r>
      <w:r w:rsidR="00BF77F1" w:rsidRPr="007B560F">
        <w:rPr>
          <w:color w:val="000000" w:themeColor="text1"/>
        </w:rPr>
        <w:t>%</w:t>
      </w:r>
      <w:r w:rsidR="00BF77F1" w:rsidRPr="007B560F">
        <w:rPr>
          <w:rFonts w:hint="eastAsia"/>
          <w:color w:val="000000" w:themeColor="text1"/>
        </w:rPr>
        <w:t>；107年選擇具</w:t>
      </w:r>
      <w:r w:rsidR="00BF77F1" w:rsidRPr="007B560F">
        <w:rPr>
          <w:color w:val="000000" w:themeColor="text1"/>
        </w:rPr>
        <w:t>4</w:t>
      </w:r>
      <w:r w:rsidR="00BF77F1" w:rsidRPr="007B560F">
        <w:rPr>
          <w:rFonts w:ascii="新細明體" w:hAnsi="新細明體" w:hint="eastAsia"/>
          <w:color w:val="000000" w:themeColor="text1"/>
        </w:rPr>
        <w:t>章</w:t>
      </w:r>
      <w:r w:rsidR="00BF77F1" w:rsidRPr="007B560F">
        <w:rPr>
          <w:color w:val="000000" w:themeColor="text1"/>
        </w:rPr>
        <w:t>1Q</w:t>
      </w:r>
      <w:r w:rsidR="00BF77F1" w:rsidRPr="007B560F">
        <w:rPr>
          <w:rFonts w:hint="eastAsia"/>
          <w:color w:val="000000" w:themeColor="text1"/>
        </w:rPr>
        <w:t>者則提升至2</w:t>
      </w:r>
      <w:r w:rsidR="00BF77F1" w:rsidRPr="007B560F">
        <w:rPr>
          <w:color w:val="000000" w:themeColor="text1"/>
        </w:rPr>
        <w:t>,</w:t>
      </w:r>
      <w:r w:rsidR="00BF77F1" w:rsidRPr="007B560F">
        <w:rPr>
          <w:rFonts w:hint="eastAsia"/>
          <w:color w:val="000000" w:themeColor="text1"/>
        </w:rPr>
        <w:t>416件，抽檢比率為51.9%，選擇不具4</w:t>
      </w:r>
      <w:r w:rsidR="00BF77F1" w:rsidRPr="007B560F">
        <w:rPr>
          <w:rFonts w:ascii="新細明體" w:hAnsi="新細明體" w:hint="eastAsia"/>
          <w:color w:val="000000" w:themeColor="text1"/>
        </w:rPr>
        <w:t>章</w:t>
      </w:r>
      <w:r w:rsidR="00BF77F1" w:rsidRPr="007B560F">
        <w:rPr>
          <w:rFonts w:hint="eastAsia"/>
          <w:color w:val="000000" w:themeColor="text1"/>
        </w:rPr>
        <w:t>1Q者計2</w:t>
      </w:r>
      <w:r w:rsidR="00BF77F1" w:rsidRPr="007B560F">
        <w:rPr>
          <w:color w:val="000000" w:themeColor="text1"/>
        </w:rPr>
        <w:t>,</w:t>
      </w:r>
      <w:r w:rsidR="00BF77F1" w:rsidRPr="007B560F">
        <w:rPr>
          <w:rFonts w:hint="eastAsia"/>
          <w:color w:val="000000" w:themeColor="text1"/>
        </w:rPr>
        <w:t>240件，比率為48.1%；108年選擇具</w:t>
      </w:r>
      <w:r w:rsidR="00BF77F1" w:rsidRPr="007B560F">
        <w:rPr>
          <w:color w:val="000000" w:themeColor="text1"/>
        </w:rPr>
        <w:t>4</w:t>
      </w:r>
      <w:r w:rsidR="00BF77F1" w:rsidRPr="007B560F">
        <w:rPr>
          <w:rFonts w:ascii="新細明體" w:hAnsi="新細明體" w:hint="eastAsia"/>
          <w:color w:val="000000" w:themeColor="text1"/>
        </w:rPr>
        <w:t>章</w:t>
      </w:r>
      <w:r w:rsidR="00BF77F1" w:rsidRPr="007B560F">
        <w:rPr>
          <w:color w:val="000000" w:themeColor="text1"/>
        </w:rPr>
        <w:t>1Q</w:t>
      </w:r>
      <w:r w:rsidR="00BF77F1" w:rsidRPr="007B560F">
        <w:rPr>
          <w:rFonts w:hint="eastAsia"/>
          <w:color w:val="000000" w:themeColor="text1"/>
        </w:rPr>
        <w:t>者有3,044件，抽檢比率提升至</w:t>
      </w:r>
      <w:r w:rsidR="00BF77F1" w:rsidRPr="007B560F">
        <w:rPr>
          <w:color w:val="000000" w:themeColor="text1"/>
        </w:rPr>
        <w:t>58.7%</w:t>
      </w:r>
      <w:r w:rsidR="00BF77F1" w:rsidRPr="007B560F">
        <w:rPr>
          <w:rFonts w:hint="eastAsia"/>
          <w:color w:val="000000" w:themeColor="text1"/>
        </w:rPr>
        <w:t>，不具4</w:t>
      </w:r>
      <w:r w:rsidR="00BF77F1" w:rsidRPr="007B560F">
        <w:rPr>
          <w:rFonts w:ascii="新細明體" w:hAnsi="新細明體" w:hint="eastAsia"/>
          <w:color w:val="000000" w:themeColor="text1"/>
        </w:rPr>
        <w:t>章</w:t>
      </w:r>
      <w:r w:rsidR="00BF77F1" w:rsidRPr="007B560F">
        <w:rPr>
          <w:rFonts w:hint="eastAsia"/>
          <w:color w:val="000000" w:themeColor="text1"/>
        </w:rPr>
        <w:t>1Q者計2</w:t>
      </w:r>
      <w:r w:rsidR="00BF77F1" w:rsidRPr="007B560F">
        <w:rPr>
          <w:color w:val="000000" w:themeColor="text1"/>
        </w:rPr>
        <w:t>,</w:t>
      </w:r>
      <w:r w:rsidR="00BF77F1" w:rsidRPr="007B560F">
        <w:rPr>
          <w:rFonts w:hint="eastAsia"/>
          <w:color w:val="000000" w:themeColor="text1"/>
        </w:rPr>
        <w:t>142件，比率為4</w:t>
      </w:r>
      <w:r w:rsidR="00BF77F1" w:rsidRPr="007B560F">
        <w:rPr>
          <w:color w:val="000000" w:themeColor="text1"/>
        </w:rPr>
        <w:t>1.3%</w:t>
      </w:r>
      <w:r w:rsidR="00BF77F1" w:rsidRPr="007B560F">
        <w:rPr>
          <w:rFonts w:hint="eastAsia"/>
          <w:color w:val="000000" w:themeColor="text1"/>
        </w:rPr>
        <w:t>，詳如下表。足見</w:t>
      </w:r>
      <w:proofErr w:type="gramStart"/>
      <w:r w:rsidR="00BF77F1" w:rsidRPr="007B560F">
        <w:rPr>
          <w:rFonts w:hint="eastAsia"/>
          <w:color w:val="000000" w:themeColor="text1"/>
        </w:rPr>
        <w:t>農糧署於</w:t>
      </w:r>
      <w:proofErr w:type="gramEnd"/>
      <w:r w:rsidR="00BF77F1" w:rsidRPr="007B560F">
        <w:rPr>
          <w:rFonts w:hint="eastAsia"/>
          <w:color w:val="000000" w:themeColor="text1"/>
        </w:rPr>
        <w:t>106年對於田間及集貨場蔬果之抽檢對象主要為未具4</w:t>
      </w:r>
      <w:r w:rsidR="00BF77F1" w:rsidRPr="007B560F">
        <w:rPr>
          <w:rFonts w:ascii="新細明體" w:hAnsi="新細明體" w:hint="eastAsia"/>
          <w:color w:val="000000" w:themeColor="text1"/>
        </w:rPr>
        <w:t>章</w:t>
      </w:r>
      <w:r w:rsidR="00BF77F1" w:rsidRPr="007B560F">
        <w:rPr>
          <w:rFonts w:hint="eastAsia"/>
          <w:color w:val="000000" w:themeColor="text1"/>
        </w:rPr>
        <w:t>1Q者，且比率高達九成以上，但自107年起抽檢對象則以具4</w:t>
      </w:r>
      <w:r w:rsidR="00BF77F1" w:rsidRPr="007B560F">
        <w:rPr>
          <w:rFonts w:ascii="新細明體" w:hAnsi="新細明體" w:hint="eastAsia"/>
          <w:color w:val="000000" w:themeColor="text1"/>
        </w:rPr>
        <w:t>章</w:t>
      </w:r>
      <w:r w:rsidR="00BF77F1" w:rsidRPr="007B560F">
        <w:rPr>
          <w:rFonts w:hint="eastAsia"/>
          <w:color w:val="000000" w:themeColor="text1"/>
        </w:rPr>
        <w:t>1Q者為主，抽檢比率超過五成，</w:t>
      </w:r>
      <w:r w:rsidR="00BF77F1" w:rsidRPr="007B560F">
        <w:rPr>
          <w:rFonts w:hint="eastAsia"/>
          <w:color w:val="000000" w:themeColor="text1"/>
          <w:spacing w:val="-6"/>
        </w:rPr>
        <w:t>且108年抽檢比率更增加至近六成。</w:t>
      </w:r>
    </w:p>
    <w:p w:rsidR="002D3149" w:rsidRPr="007B560F" w:rsidRDefault="002D3149" w:rsidP="002D3149">
      <w:pPr>
        <w:pStyle w:val="3"/>
        <w:numPr>
          <w:ilvl w:val="0"/>
          <w:numId w:val="0"/>
        </w:numPr>
        <w:ind w:left="1276"/>
        <w:rPr>
          <w:color w:val="000000" w:themeColor="text1"/>
          <w:spacing w:val="-6"/>
        </w:rPr>
      </w:pPr>
    </w:p>
    <w:p w:rsidR="002D3149" w:rsidRPr="007B560F" w:rsidRDefault="002D3149" w:rsidP="002D3149">
      <w:pPr>
        <w:pStyle w:val="3"/>
        <w:numPr>
          <w:ilvl w:val="0"/>
          <w:numId w:val="0"/>
        </w:numPr>
        <w:ind w:left="1276"/>
        <w:rPr>
          <w:color w:val="000000" w:themeColor="text1"/>
          <w:spacing w:val="-6"/>
        </w:rPr>
      </w:pPr>
    </w:p>
    <w:p w:rsidR="002D3149" w:rsidRPr="007B560F" w:rsidRDefault="002D3149" w:rsidP="002D3149">
      <w:pPr>
        <w:pStyle w:val="3"/>
        <w:numPr>
          <w:ilvl w:val="0"/>
          <w:numId w:val="0"/>
        </w:numPr>
        <w:ind w:left="1276"/>
        <w:rPr>
          <w:color w:val="000000" w:themeColor="text1"/>
          <w:spacing w:val="-6"/>
        </w:rPr>
      </w:pPr>
    </w:p>
    <w:p w:rsidR="00BF77F1" w:rsidRPr="007B560F" w:rsidRDefault="00BF77F1" w:rsidP="00BF77F1">
      <w:pPr>
        <w:pStyle w:val="a4"/>
        <w:numPr>
          <w:ilvl w:val="0"/>
          <w:numId w:val="7"/>
        </w:numPr>
        <w:ind w:left="1473"/>
        <w:rPr>
          <w:color w:val="000000" w:themeColor="text1"/>
        </w:rPr>
      </w:pPr>
      <w:r w:rsidRPr="007B560F">
        <w:rPr>
          <w:rFonts w:hint="eastAsia"/>
          <w:color w:val="000000" w:themeColor="text1"/>
        </w:rPr>
        <w:t>農作物農藥殘留監測與管制計畫之田間抽檢對象</w:t>
      </w:r>
    </w:p>
    <w:p w:rsidR="00BF77F1" w:rsidRPr="007B560F" w:rsidRDefault="00BF77F1" w:rsidP="00BF77F1">
      <w:pPr>
        <w:ind w:rightChars="-233" w:right="-793"/>
        <w:jc w:val="right"/>
        <w:rPr>
          <w:color w:val="000000" w:themeColor="text1"/>
          <w:sz w:val="24"/>
          <w:szCs w:val="24"/>
        </w:rPr>
      </w:pPr>
      <w:r w:rsidRPr="007B560F">
        <w:rPr>
          <w:rFonts w:hint="eastAsia"/>
          <w:color w:val="000000" w:themeColor="text1"/>
          <w:sz w:val="24"/>
          <w:szCs w:val="24"/>
        </w:rPr>
        <w:t>單位：件；%</w:t>
      </w:r>
    </w:p>
    <w:tbl>
      <w:tblPr>
        <w:tblStyle w:val="13"/>
        <w:tblW w:w="10645" w:type="dxa"/>
        <w:jc w:val="center"/>
        <w:tblInd w:w="0" w:type="dxa"/>
        <w:tblLayout w:type="fixed"/>
        <w:tblLook w:val="04A0" w:firstRow="1" w:lastRow="0" w:firstColumn="1" w:lastColumn="0" w:noHBand="0" w:noVBand="1"/>
      </w:tblPr>
      <w:tblGrid>
        <w:gridCol w:w="825"/>
        <w:gridCol w:w="1290"/>
        <w:gridCol w:w="1146"/>
        <w:gridCol w:w="1226"/>
        <w:gridCol w:w="1299"/>
        <w:gridCol w:w="1299"/>
        <w:gridCol w:w="1316"/>
        <w:gridCol w:w="1288"/>
        <w:gridCol w:w="956"/>
      </w:tblGrid>
      <w:tr w:rsidR="00A13031" w:rsidRPr="007B560F" w:rsidTr="008D5EF4">
        <w:trPr>
          <w:trHeight w:val="224"/>
          <w:jc w:val="center"/>
        </w:trPr>
        <w:tc>
          <w:tcPr>
            <w:tcW w:w="825" w:type="dxa"/>
            <w:vMerge w:val="restart"/>
          </w:tcPr>
          <w:p w:rsidR="00BF77F1" w:rsidRPr="007B560F" w:rsidRDefault="00BF77F1" w:rsidP="00833453">
            <w:pPr>
              <w:spacing w:line="360" w:lineRule="exact"/>
              <w:jc w:val="center"/>
              <w:rPr>
                <w:rFonts w:hAnsi="標楷體"/>
                <w:b/>
                <w:color w:val="000000" w:themeColor="text1"/>
                <w:sz w:val="28"/>
                <w:szCs w:val="28"/>
              </w:rPr>
            </w:pPr>
            <w:r w:rsidRPr="007B560F">
              <w:rPr>
                <w:rFonts w:hAnsi="標楷體" w:hint="eastAsia"/>
                <w:b/>
                <w:color w:val="000000" w:themeColor="text1"/>
                <w:sz w:val="28"/>
                <w:szCs w:val="28"/>
              </w:rPr>
              <w:t>年度</w:t>
            </w:r>
          </w:p>
        </w:tc>
        <w:tc>
          <w:tcPr>
            <w:tcW w:w="7576" w:type="dxa"/>
            <w:gridSpan w:val="6"/>
            <w:hideMark/>
          </w:tcPr>
          <w:p w:rsidR="00BF77F1" w:rsidRPr="007B560F" w:rsidRDefault="00BF77F1" w:rsidP="00833453">
            <w:pPr>
              <w:spacing w:line="360" w:lineRule="exact"/>
              <w:jc w:val="center"/>
              <w:rPr>
                <w:rFonts w:hAnsi="標楷體"/>
                <w:b/>
                <w:bCs/>
                <w:color w:val="000000" w:themeColor="text1"/>
                <w:sz w:val="28"/>
                <w:szCs w:val="28"/>
              </w:rPr>
            </w:pPr>
            <w:r w:rsidRPr="007B560F">
              <w:rPr>
                <w:rFonts w:hAnsi="標楷體" w:hint="eastAsia"/>
                <w:b/>
                <w:bCs/>
                <w:color w:val="000000" w:themeColor="text1"/>
                <w:sz w:val="28"/>
                <w:szCs w:val="28"/>
              </w:rPr>
              <w:t>4章1Q</w:t>
            </w:r>
          </w:p>
        </w:tc>
        <w:tc>
          <w:tcPr>
            <w:tcW w:w="1288" w:type="dxa"/>
            <w:vMerge w:val="restart"/>
          </w:tcPr>
          <w:p w:rsidR="00BF77F1" w:rsidRPr="007B560F" w:rsidRDefault="00BF77F1" w:rsidP="00833453">
            <w:pPr>
              <w:spacing w:line="360" w:lineRule="exact"/>
              <w:jc w:val="center"/>
              <w:rPr>
                <w:rFonts w:hAnsi="標楷體"/>
                <w:b/>
                <w:bCs/>
                <w:color w:val="000000" w:themeColor="text1"/>
                <w:sz w:val="28"/>
                <w:szCs w:val="28"/>
              </w:rPr>
            </w:pPr>
            <w:r w:rsidRPr="007B560F">
              <w:rPr>
                <w:rFonts w:hAnsi="標楷體" w:hint="eastAsia"/>
                <w:b/>
                <w:bCs/>
                <w:color w:val="000000" w:themeColor="text1"/>
                <w:sz w:val="28"/>
                <w:szCs w:val="28"/>
              </w:rPr>
              <w:t>非4章1Q</w:t>
            </w:r>
          </w:p>
        </w:tc>
        <w:tc>
          <w:tcPr>
            <w:tcW w:w="956" w:type="dxa"/>
            <w:vMerge w:val="restart"/>
          </w:tcPr>
          <w:p w:rsidR="00BF77F1" w:rsidRPr="007B560F" w:rsidRDefault="00BF77F1" w:rsidP="00833453">
            <w:pPr>
              <w:spacing w:line="360" w:lineRule="exact"/>
              <w:jc w:val="center"/>
              <w:rPr>
                <w:rFonts w:hAnsi="標楷體"/>
                <w:b/>
                <w:bCs/>
                <w:color w:val="000000" w:themeColor="text1"/>
                <w:sz w:val="28"/>
                <w:szCs w:val="28"/>
              </w:rPr>
            </w:pPr>
            <w:r w:rsidRPr="007B560F">
              <w:rPr>
                <w:rFonts w:hAnsi="標楷體" w:hint="eastAsia"/>
                <w:b/>
                <w:bCs/>
                <w:color w:val="000000" w:themeColor="text1"/>
                <w:sz w:val="28"/>
                <w:szCs w:val="28"/>
              </w:rPr>
              <w:t>總計</w:t>
            </w:r>
          </w:p>
        </w:tc>
      </w:tr>
      <w:tr w:rsidR="00A13031" w:rsidRPr="007B560F" w:rsidTr="008D5EF4">
        <w:trPr>
          <w:trHeight w:val="604"/>
          <w:jc w:val="center"/>
        </w:trPr>
        <w:tc>
          <w:tcPr>
            <w:tcW w:w="825" w:type="dxa"/>
            <w:vMerge/>
            <w:hideMark/>
          </w:tcPr>
          <w:p w:rsidR="00BF77F1" w:rsidRPr="007B560F" w:rsidRDefault="00BF77F1" w:rsidP="00833453">
            <w:pPr>
              <w:spacing w:line="360" w:lineRule="exact"/>
              <w:jc w:val="center"/>
              <w:rPr>
                <w:rFonts w:hAnsi="標楷體" w:cs="新細明體"/>
                <w:color w:val="000000" w:themeColor="text1"/>
                <w:sz w:val="28"/>
                <w:szCs w:val="28"/>
              </w:rPr>
            </w:pPr>
          </w:p>
        </w:tc>
        <w:tc>
          <w:tcPr>
            <w:tcW w:w="1290" w:type="dxa"/>
            <w:hideMark/>
          </w:tcPr>
          <w:p w:rsidR="00BF77F1" w:rsidRPr="007B560F" w:rsidRDefault="00BF77F1" w:rsidP="00833453">
            <w:pPr>
              <w:spacing w:line="360" w:lineRule="exact"/>
              <w:ind w:leftChars="-41" w:left="-139"/>
              <w:jc w:val="center"/>
              <w:rPr>
                <w:rFonts w:hAnsi="標楷體"/>
                <w:b/>
                <w:color w:val="000000" w:themeColor="text1"/>
                <w:spacing w:val="-20"/>
                <w:sz w:val="28"/>
                <w:szCs w:val="28"/>
              </w:rPr>
            </w:pPr>
            <w:r w:rsidRPr="007B560F">
              <w:rPr>
                <w:rFonts w:hAnsi="標楷體" w:hint="eastAsia"/>
                <w:b/>
                <w:color w:val="000000" w:themeColor="text1"/>
                <w:spacing w:val="-20"/>
                <w:sz w:val="28"/>
                <w:szCs w:val="28"/>
              </w:rPr>
              <w:t>生產追溯</w:t>
            </w:r>
          </w:p>
        </w:tc>
        <w:tc>
          <w:tcPr>
            <w:tcW w:w="1146" w:type="dxa"/>
            <w:hideMark/>
          </w:tcPr>
          <w:p w:rsidR="00BF77F1" w:rsidRPr="007B560F" w:rsidRDefault="00BF77F1" w:rsidP="00833453">
            <w:pPr>
              <w:spacing w:line="360" w:lineRule="exact"/>
              <w:jc w:val="center"/>
              <w:rPr>
                <w:rFonts w:hAnsi="標楷體"/>
                <w:b/>
                <w:color w:val="000000" w:themeColor="text1"/>
                <w:spacing w:val="-20"/>
                <w:sz w:val="28"/>
                <w:szCs w:val="28"/>
              </w:rPr>
            </w:pPr>
            <w:r w:rsidRPr="007B560F">
              <w:rPr>
                <w:rStyle w:val="aff9"/>
                <w:rFonts w:hAnsi="標楷體" w:hint="eastAsia"/>
                <w:color w:val="000000" w:themeColor="text1"/>
                <w:spacing w:val="-20"/>
                <w:sz w:val="28"/>
                <w:szCs w:val="28"/>
                <w:shd w:val="clear" w:color="auto" w:fill="FFFFFF"/>
              </w:rPr>
              <w:t>有機</w:t>
            </w:r>
          </w:p>
        </w:tc>
        <w:tc>
          <w:tcPr>
            <w:tcW w:w="1226" w:type="dxa"/>
            <w:hideMark/>
          </w:tcPr>
          <w:p w:rsidR="00BF77F1" w:rsidRPr="007B560F" w:rsidRDefault="00BF77F1" w:rsidP="00833453">
            <w:pPr>
              <w:spacing w:line="360" w:lineRule="exact"/>
              <w:ind w:leftChars="-29" w:left="-99" w:rightChars="-41" w:right="-139"/>
              <w:jc w:val="center"/>
              <w:rPr>
                <w:rStyle w:val="aff9"/>
                <w:rFonts w:hAnsi="標楷體"/>
                <w:color w:val="000000" w:themeColor="text1"/>
                <w:spacing w:val="-20"/>
                <w:sz w:val="28"/>
                <w:szCs w:val="28"/>
                <w:shd w:val="clear" w:color="auto" w:fill="FFFFFF"/>
              </w:rPr>
            </w:pPr>
            <w:r w:rsidRPr="007B560F">
              <w:rPr>
                <w:rStyle w:val="aff9"/>
                <w:rFonts w:hAnsi="標楷體" w:hint="eastAsia"/>
                <w:color w:val="000000" w:themeColor="text1"/>
                <w:spacing w:val="-20"/>
                <w:sz w:val="28"/>
                <w:szCs w:val="28"/>
                <w:shd w:val="clear" w:color="auto" w:fill="FFFFFF"/>
              </w:rPr>
              <w:t>產銷履歷</w:t>
            </w:r>
          </w:p>
        </w:tc>
        <w:tc>
          <w:tcPr>
            <w:tcW w:w="1299" w:type="dxa"/>
            <w:hideMark/>
          </w:tcPr>
          <w:p w:rsidR="00BF77F1" w:rsidRPr="007B560F" w:rsidRDefault="00BF77F1" w:rsidP="00833453">
            <w:pPr>
              <w:spacing w:line="360" w:lineRule="exact"/>
              <w:ind w:leftChars="-38" w:left="-14" w:hangingChars="44" w:hanging="115"/>
              <w:jc w:val="center"/>
              <w:rPr>
                <w:rStyle w:val="aff9"/>
                <w:rFonts w:hAnsi="標楷體"/>
                <w:color w:val="000000" w:themeColor="text1"/>
                <w:spacing w:val="-20"/>
                <w:sz w:val="28"/>
                <w:szCs w:val="28"/>
                <w:shd w:val="clear" w:color="auto" w:fill="FFFFFF"/>
              </w:rPr>
            </w:pPr>
            <w:r w:rsidRPr="007B560F">
              <w:rPr>
                <w:rStyle w:val="aff9"/>
                <w:rFonts w:hAnsi="標楷體" w:hint="eastAsia"/>
                <w:color w:val="000000" w:themeColor="text1"/>
                <w:spacing w:val="-20"/>
                <w:sz w:val="28"/>
                <w:szCs w:val="28"/>
                <w:shd w:val="clear" w:color="auto" w:fill="FFFFFF"/>
              </w:rPr>
              <w:t>台灣優良農產品</w:t>
            </w:r>
          </w:p>
        </w:tc>
        <w:tc>
          <w:tcPr>
            <w:tcW w:w="1299" w:type="dxa"/>
            <w:hideMark/>
          </w:tcPr>
          <w:p w:rsidR="00BF77F1" w:rsidRPr="007B560F" w:rsidRDefault="00BF77F1" w:rsidP="00833453">
            <w:pPr>
              <w:spacing w:line="360" w:lineRule="exact"/>
              <w:ind w:leftChars="-41" w:left="-19" w:hangingChars="46" w:hanging="120"/>
              <w:jc w:val="center"/>
              <w:rPr>
                <w:rStyle w:val="aff9"/>
                <w:rFonts w:hAnsi="標楷體"/>
                <w:color w:val="000000" w:themeColor="text1"/>
                <w:spacing w:val="-20"/>
                <w:sz w:val="28"/>
                <w:szCs w:val="28"/>
                <w:shd w:val="clear" w:color="auto" w:fill="FFFFFF"/>
              </w:rPr>
            </w:pPr>
            <w:r w:rsidRPr="007B560F">
              <w:rPr>
                <w:rStyle w:val="aff9"/>
                <w:rFonts w:hAnsi="標楷體" w:hint="eastAsia"/>
                <w:color w:val="000000" w:themeColor="text1"/>
                <w:spacing w:val="-20"/>
                <w:sz w:val="28"/>
                <w:szCs w:val="28"/>
                <w:shd w:val="clear" w:color="auto" w:fill="FFFFFF"/>
              </w:rPr>
              <w:t>吉園圃</w:t>
            </w:r>
          </w:p>
          <w:p w:rsidR="00BF77F1" w:rsidRPr="007B560F" w:rsidRDefault="00BF77F1" w:rsidP="00833453">
            <w:pPr>
              <w:spacing w:line="360" w:lineRule="exact"/>
              <w:ind w:leftChars="-41" w:left="-19" w:hangingChars="46" w:hanging="120"/>
              <w:jc w:val="center"/>
              <w:rPr>
                <w:rStyle w:val="aff9"/>
                <w:rFonts w:hAnsi="標楷體"/>
                <w:color w:val="000000" w:themeColor="text1"/>
                <w:spacing w:val="-20"/>
                <w:sz w:val="28"/>
                <w:szCs w:val="28"/>
                <w:shd w:val="clear" w:color="auto" w:fill="FFFFFF"/>
              </w:rPr>
            </w:pPr>
            <w:r w:rsidRPr="007B560F">
              <w:rPr>
                <w:rStyle w:val="aff9"/>
                <w:rFonts w:hAnsi="標楷體" w:hint="eastAsia"/>
                <w:color w:val="000000" w:themeColor="text1"/>
                <w:spacing w:val="-20"/>
                <w:sz w:val="28"/>
                <w:szCs w:val="28"/>
                <w:shd w:val="clear" w:color="auto" w:fill="FFFFFF"/>
              </w:rPr>
              <w:t>安全蔬果</w:t>
            </w:r>
          </w:p>
        </w:tc>
        <w:tc>
          <w:tcPr>
            <w:tcW w:w="1316" w:type="dxa"/>
            <w:hideMark/>
          </w:tcPr>
          <w:p w:rsidR="00BF77F1" w:rsidRPr="007B560F" w:rsidRDefault="00BF77F1" w:rsidP="00833453">
            <w:pPr>
              <w:spacing w:line="360" w:lineRule="exact"/>
              <w:jc w:val="center"/>
              <w:rPr>
                <w:rFonts w:hAnsi="標楷體"/>
                <w:b/>
                <w:color w:val="000000" w:themeColor="text1"/>
                <w:spacing w:val="-20"/>
                <w:sz w:val="28"/>
                <w:szCs w:val="28"/>
              </w:rPr>
            </w:pPr>
            <w:r w:rsidRPr="007B560F">
              <w:rPr>
                <w:rFonts w:hAnsi="標楷體" w:hint="eastAsia"/>
                <w:b/>
                <w:color w:val="000000" w:themeColor="text1"/>
                <w:spacing w:val="-20"/>
                <w:sz w:val="28"/>
                <w:szCs w:val="28"/>
              </w:rPr>
              <w:t>小計</w:t>
            </w:r>
          </w:p>
        </w:tc>
        <w:tc>
          <w:tcPr>
            <w:tcW w:w="1288" w:type="dxa"/>
            <w:vMerge/>
            <w:hideMark/>
          </w:tcPr>
          <w:p w:rsidR="00BF77F1" w:rsidRPr="007B560F" w:rsidRDefault="00BF77F1" w:rsidP="00833453">
            <w:pPr>
              <w:spacing w:line="360" w:lineRule="exact"/>
              <w:jc w:val="center"/>
              <w:rPr>
                <w:rFonts w:hAnsi="標楷體"/>
                <w:b/>
                <w:color w:val="000000" w:themeColor="text1"/>
                <w:sz w:val="28"/>
                <w:szCs w:val="28"/>
              </w:rPr>
            </w:pPr>
          </w:p>
        </w:tc>
        <w:tc>
          <w:tcPr>
            <w:tcW w:w="956" w:type="dxa"/>
            <w:vMerge/>
          </w:tcPr>
          <w:p w:rsidR="00BF77F1" w:rsidRPr="007B560F" w:rsidRDefault="00BF77F1" w:rsidP="00833453">
            <w:pPr>
              <w:spacing w:line="360" w:lineRule="exact"/>
              <w:jc w:val="center"/>
              <w:rPr>
                <w:rFonts w:hAnsi="標楷體"/>
                <w:color w:val="000000" w:themeColor="text1"/>
                <w:sz w:val="28"/>
                <w:szCs w:val="28"/>
              </w:rPr>
            </w:pPr>
          </w:p>
        </w:tc>
      </w:tr>
      <w:tr w:rsidR="00A13031" w:rsidRPr="007B560F" w:rsidTr="008D5EF4">
        <w:trPr>
          <w:trHeight w:val="646"/>
          <w:jc w:val="center"/>
        </w:trPr>
        <w:tc>
          <w:tcPr>
            <w:tcW w:w="825" w:type="dxa"/>
            <w:hideMark/>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lastRenderedPageBreak/>
              <w:t>106</w:t>
            </w:r>
          </w:p>
        </w:tc>
        <w:tc>
          <w:tcPr>
            <w:tcW w:w="1290"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color w:val="000000" w:themeColor="text1"/>
                <w:sz w:val="28"/>
                <w:szCs w:val="28"/>
              </w:rPr>
              <w:t>75</w:t>
            </w:r>
            <w:r w:rsidRPr="007B560F">
              <w:rPr>
                <w:rFonts w:hAnsi="標楷體" w:hint="eastAsia"/>
                <w:color w:val="000000" w:themeColor="text1"/>
                <w:sz w:val="28"/>
                <w:szCs w:val="28"/>
              </w:rPr>
              <w:t>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w:t>
            </w:r>
            <w:r w:rsidRPr="007B560F">
              <w:rPr>
                <w:rFonts w:hAnsi="標楷體"/>
                <w:color w:val="000000" w:themeColor="text1"/>
                <w:sz w:val="28"/>
                <w:szCs w:val="28"/>
              </w:rPr>
              <w:t>2.2</w:t>
            </w:r>
            <w:r w:rsidRPr="007B560F">
              <w:rPr>
                <w:rFonts w:hAnsi="標楷體" w:hint="eastAsia"/>
                <w:color w:val="000000" w:themeColor="text1"/>
                <w:sz w:val="28"/>
                <w:szCs w:val="28"/>
              </w:rPr>
              <w:t>%)</w:t>
            </w:r>
          </w:p>
        </w:tc>
        <w:tc>
          <w:tcPr>
            <w:tcW w:w="114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15件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w:t>
            </w:r>
            <w:r w:rsidRPr="007B560F">
              <w:rPr>
                <w:rFonts w:hAnsi="標楷體"/>
                <w:color w:val="000000" w:themeColor="text1"/>
                <w:sz w:val="28"/>
                <w:szCs w:val="28"/>
              </w:rPr>
              <w:t>0.4</w:t>
            </w:r>
            <w:r w:rsidRPr="007B560F">
              <w:rPr>
                <w:rFonts w:hAnsi="標楷體" w:hint="eastAsia"/>
                <w:color w:val="000000" w:themeColor="text1"/>
                <w:sz w:val="28"/>
                <w:szCs w:val="28"/>
              </w:rPr>
              <w:t>%)</w:t>
            </w:r>
          </w:p>
        </w:tc>
        <w:tc>
          <w:tcPr>
            <w:tcW w:w="122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7件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(0.2%)</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(0.1%)</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138件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(4.0%)</w:t>
            </w:r>
          </w:p>
        </w:tc>
        <w:tc>
          <w:tcPr>
            <w:tcW w:w="131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237件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(6.9%)</w:t>
            </w:r>
          </w:p>
        </w:tc>
        <w:tc>
          <w:tcPr>
            <w:tcW w:w="1288"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3,20</w:t>
            </w:r>
            <w:r w:rsidRPr="007B560F">
              <w:rPr>
                <w:rFonts w:hAnsi="標楷體"/>
                <w:color w:val="000000" w:themeColor="text1"/>
                <w:sz w:val="28"/>
                <w:szCs w:val="28"/>
              </w:rPr>
              <w:t>1</w:t>
            </w:r>
            <w:r w:rsidRPr="007B560F">
              <w:rPr>
                <w:rFonts w:hAnsi="標楷體" w:hint="eastAsia"/>
                <w:color w:val="000000" w:themeColor="text1"/>
                <w:sz w:val="28"/>
                <w:szCs w:val="28"/>
              </w:rPr>
              <w:t>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(93.1%)</w:t>
            </w:r>
          </w:p>
        </w:tc>
        <w:tc>
          <w:tcPr>
            <w:tcW w:w="95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3,4</w:t>
            </w:r>
            <w:r w:rsidRPr="007B560F">
              <w:rPr>
                <w:rFonts w:hAnsi="標楷體"/>
                <w:color w:val="000000" w:themeColor="text1"/>
                <w:sz w:val="28"/>
                <w:szCs w:val="28"/>
              </w:rPr>
              <w:t>38</w:t>
            </w:r>
          </w:p>
        </w:tc>
      </w:tr>
      <w:tr w:rsidR="00A13031" w:rsidRPr="007B560F" w:rsidTr="008D5EF4">
        <w:trPr>
          <w:trHeight w:val="646"/>
          <w:jc w:val="center"/>
        </w:trPr>
        <w:tc>
          <w:tcPr>
            <w:tcW w:w="825" w:type="dxa"/>
            <w:hideMark/>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107</w:t>
            </w:r>
          </w:p>
        </w:tc>
        <w:tc>
          <w:tcPr>
            <w:tcW w:w="1290"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w:t>
            </w:r>
            <w:r w:rsidRPr="007B560F">
              <w:rPr>
                <w:rFonts w:hAnsi="標楷體"/>
                <w:color w:val="000000" w:themeColor="text1"/>
                <w:sz w:val="28"/>
                <w:szCs w:val="28"/>
              </w:rPr>
              <w:t>,</w:t>
            </w:r>
            <w:r w:rsidRPr="007B560F">
              <w:rPr>
                <w:rFonts w:hAnsi="標楷體" w:hint="eastAsia"/>
                <w:color w:val="000000" w:themeColor="text1"/>
                <w:sz w:val="28"/>
                <w:szCs w:val="28"/>
              </w:rPr>
              <w:t>564件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(33.6%)</w:t>
            </w:r>
          </w:p>
        </w:tc>
        <w:tc>
          <w:tcPr>
            <w:tcW w:w="114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27件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(0.6%)</w:t>
            </w:r>
          </w:p>
        </w:tc>
        <w:tc>
          <w:tcPr>
            <w:tcW w:w="122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193件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(4.1%)</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632件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(13.6%)</w:t>
            </w:r>
          </w:p>
        </w:tc>
        <w:tc>
          <w:tcPr>
            <w:tcW w:w="131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2,416件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(51.9%)</w:t>
            </w:r>
          </w:p>
        </w:tc>
        <w:tc>
          <w:tcPr>
            <w:tcW w:w="1288"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2,24</w:t>
            </w:r>
            <w:r w:rsidRPr="007B560F">
              <w:rPr>
                <w:rFonts w:hAnsi="標楷體"/>
                <w:color w:val="000000" w:themeColor="text1"/>
                <w:sz w:val="28"/>
                <w:szCs w:val="28"/>
              </w:rPr>
              <w:t>0</w:t>
            </w:r>
            <w:r w:rsidRPr="007B560F">
              <w:rPr>
                <w:rFonts w:hAnsi="標楷體" w:hint="eastAsia"/>
                <w:color w:val="000000" w:themeColor="text1"/>
                <w:sz w:val="28"/>
                <w:szCs w:val="28"/>
              </w:rPr>
              <w:t>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(48.1%)</w:t>
            </w:r>
          </w:p>
        </w:tc>
        <w:tc>
          <w:tcPr>
            <w:tcW w:w="95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4,6</w:t>
            </w:r>
            <w:r w:rsidRPr="007B560F">
              <w:rPr>
                <w:rFonts w:hAnsi="標楷體"/>
                <w:color w:val="000000" w:themeColor="text1"/>
                <w:sz w:val="28"/>
                <w:szCs w:val="28"/>
              </w:rPr>
              <w:t>56</w:t>
            </w:r>
          </w:p>
        </w:tc>
      </w:tr>
      <w:tr w:rsidR="00A13031" w:rsidRPr="007B560F" w:rsidTr="008D5EF4">
        <w:trPr>
          <w:trHeight w:val="334"/>
          <w:jc w:val="center"/>
        </w:trPr>
        <w:tc>
          <w:tcPr>
            <w:tcW w:w="825" w:type="dxa"/>
            <w:hideMark/>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108</w:t>
            </w:r>
          </w:p>
        </w:tc>
        <w:tc>
          <w:tcPr>
            <w:tcW w:w="1290" w:type="dxa"/>
            <w:hideMark/>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w:t>
            </w:r>
            <w:r w:rsidRPr="007B560F">
              <w:rPr>
                <w:rFonts w:hAnsi="標楷體"/>
                <w:color w:val="000000" w:themeColor="text1"/>
                <w:sz w:val="28"/>
                <w:szCs w:val="28"/>
              </w:rPr>
              <w:t>,</w:t>
            </w:r>
            <w:r w:rsidRPr="007B560F">
              <w:rPr>
                <w:rFonts w:hAnsi="標楷體" w:hint="eastAsia"/>
                <w:color w:val="000000" w:themeColor="text1"/>
                <w:sz w:val="28"/>
                <w:szCs w:val="28"/>
              </w:rPr>
              <w:t>593件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(50.0%)</w:t>
            </w:r>
          </w:p>
        </w:tc>
        <w:tc>
          <w:tcPr>
            <w:tcW w:w="114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37件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(0.7%)</w:t>
            </w:r>
          </w:p>
        </w:tc>
        <w:tc>
          <w:tcPr>
            <w:tcW w:w="122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49件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(0.9%)</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(0%)</w:t>
            </w:r>
          </w:p>
        </w:tc>
        <w:tc>
          <w:tcPr>
            <w:tcW w:w="1299"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365件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(7.0%)</w:t>
            </w:r>
          </w:p>
        </w:tc>
        <w:tc>
          <w:tcPr>
            <w:tcW w:w="1316" w:type="dxa"/>
            <w:hideMark/>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3,044件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(58.7%)</w:t>
            </w:r>
          </w:p>
        </w:tc>
        <w:tc>
          <w:tcPr>
            <w:tcW w:w="1288"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2,142件</w:t>
            </w:r>
          </w:p>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(41.3%)</w:t>
            </w:r>
          </w:p>
        </w:tc>
        <w:tc>
          <w:tcPr>
            <w:tcW w:w="956" w:type="dxa"/>
          </w:tcPr>
          <w:p w:rsidR="00BF77F1" w:rsidRPr="007B560F" w:rsidRDefault="00BF77F1" w:rsidP="00833453">
            <w:pPr>
              <w:spacing w:line="360" w:lineRule="exact"/>
              <w:jc w:val="center"/>
              <w:rPr>
                <w:rFonts w:hAnsi="標楷體"/>
                <w:color w:val="000000" w:themeColor="text1"/>
                <w:sz w:val="28"/>
                <w:szCs w:val="28"/>
              </w:rPr>
            </w:pPr>
            <w:r w:rsidRPr="007B560F">
              <w:rPr>
                <w:rFonts w:hAnsi="標楷體" w:hint="eastAsia"/>
                <w:color w:val="000000" w:themeColor="text1"/>
                <w:sz w:val="28"/>
                <w:szCs w:val="28"/>
              </w:rPr>
              <w:t>5,186</w:t>
            </w:r>
          </w:p>
        </w:tc>
      </w:tr>
    </w:tbl>
    <w:p w:rsidR="00BF77F1" w:rsidRPr="007B560F" w:rsidRDefault="00BF77F1" w:rsidP="00BF77F1">
      <w:pPr>
        <w:pStyle w:val="3"/>
        <w:numPr>
          <w:ilvl w:val="0"/>
          <w:numId w:val="0"/>
        </w:numPr>
        <w:ind w:left="709"/>
        <w:rPr>
          <w:color w:val="000000" w:themeColor="text1"/>
          <w:sz w:val="24"/>
          <w:szCs w:val="24"/>
        </w:rPr>
      </w:pPr>
      <w:r w:rsidRPr="007B560F">
        <w:rPr>
          <w:rFonts w:hint="eastAsia"/>
          <w:color w:val="000000" w:themeColor="text1"/>
          <w:sz w:val="24"/>
          <w:szCs w:val="24"/>
        </w:rPr>
        <w:t>資料來源：農委會</w:t>
      </w:r>
    </w:p>
    <w:p w:rsidR="00BF77F1" w:rsidRPr="007B560F" w:rsidRDefault="00BF77F1" w:rsidP="00BF77F1">
      <w:pPr>
        <w:pStyle w:val="3"/>
        <w:numPr>
          <w:ilvl w:val="0"/>
          <w:numId w:val="0"/>
        </w:numPr>
        <w:ind w:left="709"/>
        <w:rPr>
          <w:color w:val="000000" w:themeColor="text1"/>
        </w:rPr>
      </w:pPr>
    </w:p>
    <w:p w:rsidR="00BF77F1" w:rsidRPr="007B560F" w:rsidRDefault="00BF77F1" w:rsidP="00BF77F1">
      <w:pPr>
        <w:pStyle w:val="3"/>
        <w:numPr>
          <w:ilvl w:val="2"/>
          <w:numId w:val="9"/>
        </w:numPr>
        <w:rPr>
          <w:color w:val="000000" w:themeColor="text1"/>
        </w:rPr>
      </w:pPr>
      <w:r w:rsidRPr="007B560F">
        <w:rPr>
          <w:rFonts w:hint="eastAsia"/>
          <w:color w:val="000000" w:themeColor="text1"/>
        </w:rPr>
        <w:t>再查關於上開田間農作物之抽檢結果，106至108年各年度具4章1Q者蔬果經抽檢後，結果為不合格之件數分別計4、37及36件，不合格率計</w:t>
      </w:r>
      <w:r w:rsidR="00A62612" w:rsidRPr="007B560F">
        <w:rPr>
          <w:rFonts w:hint="eastAsia"/>
          <w:color w:val="000000" w:themeColor="text1"/>
        </w:rPr>
        <w:t>1.7</w:t>
      </w:r>
      <w:r w:rsidRPr="007B560F">
        <w:rPr>
          <w:rFonts w:hint="eastAsia"/>
          <w:color w:val="000000" w:themeColor="text1"/>
        </w:rPr>
        <w:t>、</w:t>
      </w:r>
      <w:r w:rsidR="00A62612" w:rsidRPr="007B560F">
        <w:rPr>
          <w:rFonts w:hint="eastAsia"/>
          <w:color w:val="000000" w:themeColor="text1"/>
        </w:rPr>
        <w:t>1.5</w:t>
      </w:r>
      <w:r w:rsidRPr="007B560F">
        <w:rPr>
          <w:rFonts w:hint="eastAsia"/>
          <w:color w:val="000000" w:themeColor="text1"/>
        </w:rPr>
        <w:t>及</w:t>
      </w:r>
      <w:r w:rsidR="00A62612" w:rsidRPr="007B560F">
        <w:rPr>
          <w:rFonts w:hint="eastAsia"/>
          <w:color w:val="000000" w:themeColor="text1"/>
        </w:rPr>
        <w:t>1.2</w:t>
      </w:r>
      <w:r w:rsidRPr="007B560F">
        <w:rPr>
          <w:rFonts w:hint="eastAsia"/>
          <w:color w:val="000000" w:themeColor="text1"/>
        </w:rPr>
        <w:t>%；另各年度抽檢非具4章1Q蔬果之結果，不合格件數分別計87、68及54件，不合格率分別為2.</w:t>
      </w:r>
      <w:r w:rsidR="00A62612" w:rsidRPr="007B560F">
        <w:rPr>
          <w:rFonts w:hint="eastAsia"/>
          <w:color w:val="000000" w:themeColor="text1"/>
        </w:rPr>
        <w:t>7</w:t>
      </w:r>
      <w:r w:rsidRPr="007B560F">
        <w:rPr>
          <w:rFonts w:hint="eastAsia"/>
          <w:color w:val="000000" w:themeColor="text1"/>
        </w:rPr>
        <w:t>、</w:t>
      </w:r>
      <w:r w:rsidR="00A62612" w:rsidRPr="007B560F">
        <w:rPr>
          <w:rFonts w:hint="eastAsia"/>
          <w:color w:val="000000" w:themeColor="text1"/>
        </w:rPr>
        <w:t>3.0</w:t>
      </w:r>
      <w:r w:rsidRPr="007B560F">
        <w:rPr>
          <w:rFonts w:hint="eastAsia"/>
          <w:color w:val="000000" w:themeColor="text1"/>
        </w:rPr>
        <w:t>及</w:t>
      </w:r>
      <w:r w:rsidR="00A62612" w:rsidRPr="007B560F">
        <w:rPr>
          <w:rFonts w:hint="eastAsia"/>
          <w:color w:val="000000" w:themeColor="text1"/>
        </w:rPr>
        <w:t>2.5</w:t>
      </w:r>
      <w:r w:rsidRPr="007B560F">
        <w:rPr>
          <w:rFonts w:hint="eastAsia"/>
          <w:color w:val="000000" w:themeColor="text1"/>
        </w:rPr>
        <w:t>%，詳如下表。由上可</w:t>
      </w:r>
      <w:proofErr w:type="gramStart"/>
      <w:r w:rsidRPr="007B560F">
        <w:rPr>
          <w:rFonts w:hint="eastAsia"/>
          <w:color w:val="000000" w:themeColor="text1"/>
        </w:rPr>
        <w:t>徵</w:t>
      </w:r>
      <w:proofErr w:type="gramEnd"/>
      <w:r w:rsidRPr="007B560F">
        <w:rPr>
          <w:rFonts w:hint="eastAsia"/>
          <w:color w:val="000000" w:themeColor="text1"/>
        </w:rPr>
        <w:t>，未具4章1Q等安全認驗證之蔬果，其農藥殘留不</w:t>
      </w:r>
      <w:proofErr w:type="gramStart"/>
      <w:r w:rsidRPr="007B560F">
        <w:rPr>
          <w:rFonts w:hint="eastAsia"/>
          <w:color w:val="000000" w:themeColor="text1"/>
        </w:rPr>
        <w:t>合格率顯較</w:t>
      </w:r>
      <w:proofErr w:type="gramEnd"/>
      <w:r w:rsidRPr="007B560F">
        <w:rPr>
          <w:rFonts w:hint="eastAsia"/>
          <w:color w:val="000000" w:themeColor="text1"/>
        </w:rPr>
        <w:t>具4章1Q</w:t>
      </w:r>
      <w:proofErr w:type="gramStart"/>
      <w:r w:rsidRPr="007B560F">
        <w:rPr>
          <w:rFonts w:hint="eastAsia"/>
          <w:color w:val="000000" w:themeColor="text1"/>
        </w:rPr>
        <w:t>者高</w:t>
      </w:r>
      <w:proofErr w:type="gramEnd"/>
      <w:r w:rsidRPr="007B560F">
        <w:rPr>
          <w:rFonts w:hint="eastAsia"/>
          <w:color w:val="000000" w:themeColor="text1"/>
        </w:rPr>
        <w:t>。</w:t>
      </w:r>
    </w:p>
    <w:p w:rsidR="00BF77F1" w:rsidRPr="007B560F" w:rsidRDefault="00BF77F1" w:rsidP="00BF77F1">
      <w:pPr>
        <w:pStyle w:val="a4"/>
        <w:numPr>
          <w:ilvl w:val="0"/>
          <w:numId w:val="7"/>
        </w:numPr>
        <w:ind w:leftChars="-250" w:left="-142" w:hanging="708"/>
        <w:rPr>
          <w:color w:val="000000" w:themeColor="text1"/>
        </w:rPr>
      </w:pPr>
      <w:r w:rsidRPr="007B560F">
        <w:rPr>
          <w:rFonts w:hint="eastAsia"/>
          <w:color w:val="000000" w:themeColor="text1"/>
        </w:rPr>
        <w:t>106至108年農作物農藥殘留監測與管制計畫關於各抽檢對象之抽檢結果</w:t>
      </w:r>
    </w:p>
    <w:p w:rsidR="00BF77F1" w:rsidRPr="007B560F" w:rsidRDefault="00BF77F1" w:rsidP="00BF77F1">
      <w:pPr>
        <w:jc w:val="right"/>
        <w:rPr>
          <w:color w:val="000000" w:themeColor="text1"/>
          <w:sz w:val="24"/>
          <w:szCs w:val="24"/>
        </w:rPr>
      </w:pPr>
      <w:r w:rsidRPr="007B560F">
        <w:rPr>
          <w:rFonts w:hint="eastAsia"/>
          <w:color w:val="000000" w:themeColor="text1"/>
          <w:sz w:val="24"/>
          <w:szCs w:val="24"/>
        </w:rPr>
        <w:t>單位：件；%</w:t>
      </w:r>
    </w:p>
    <w:tbl>
      <w:tblPr>
        <w:tblStyle w:val="afc"/>
        <w:tblW w:w="9243" w:type="dxa"/>
        <w:jc w:val="center"/>
        <w:tblLook w:val="04A0" w:firstRow="1" w:lastRow="0" w:firstColumn="1" w:lastColumn="0" w:noHBand="0" w:noVBand="1"/>
      </w:tblPr>
      <w:tblGrid>
        <w:gridCol w:w="644"/>
        <w:gridCol w:w="911"/>
        <w:gridCol w:w="850"/>
        <w:gridCol w:w="835"/>
        <w:gridCol w:w="831"/>
        <w:gridCol w:w="937"/>
        <w:gridCol w:w="937"/>
        <w:gridCol w:w="953"/>
        <w:gridCol w:w="703"/>
        <w:gridCol w:w="761"/>
        <w:gridCol w:w="881"/>
      </w:tblGrid>
      <w:tr w:rsidR="00A13031" w:rsidRPr="007B560F" w:rsidTr="00A62612">
        <w:trPr>
          <w:trHeight w:val="435"/>
          <w:jc w:val="center"/>
        </w:trPr>
        <w:tc>
          <w:tcPr>
            <w:tcW w:w="644" w:type="dxa"/>
            <w:vMerge w:val="restart"/>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年度</w:t>
            </w:r>
          </w:p>
        </w:tc>
        <w:tc>
          <w:tcPr>
            <w:tcW w:w="4364" w:type="dxa"/>
            <w:gridSpan w:val="5"/>
            <w:vAlign w:val="center"/>
          </w:tcPr>
          <w:p w:rsidR="00A62612" w:rsidRPr="007B560F" w:rsidRDefault="00A62612" w:rsidP="00CC067C">
            <w:pPr>
              <w:jc w:val="center"/>
              <w:rPr>
                <w:b/>
                <w:color w:val="000000" w:themeColor="text1"/>
                <w:spacing w:val="-20"/>
                <w:sz w:val="28"/>
                <w:szCs w:val="28"/>
              </w:rPr>
            </w:pPr>
            <w:r w:rsidRPr="007B560F">
              <w:rPr>
                <w:rFonts w:hAnsi="標楷體" w:hint="eastAsia"/>
                <w:b/>
                <w:color w:val="000000" w:themeColor="text1"/>
                <w:spacing w:val="-20"/>
                <w:sz w:val="28"/>
                <w:szCs w:val="28"/>
              </w:rPr>
              <w:t>4章1Q</w:t>
            </w:r>
          </w:p>
        </w:tc>
        <w:tc>
          <w:tcPr>
            <w:tcW w:w="4235" w:type="dxa"/>
            <w:gridSpan w:val="5"/>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非</w:t>
            </w:r>
            <w:r w:rsidRPr="007B560F">
              <w:rPr>
                <w:rFonts w:hAnsi="標楷體" w:hint="eastAsia"/>
                <w:b/>
                <w:color w:val="000000" w:themeColor="text1"/>
                <w:spacing w:val="-20"/>
                <w:sz w:val="28"/>
                <w:szCs w:val="28"/>
              </w:rPr>
              <w:t>4章1Q</w:t>
            </w:r>
          </w:p>
        </w:tc>
      </w:tr>
      <w:tr w:rsidR="00A13031" w:rsidRPr="007B560F" w:rsidTr="00A62612">
        <w:trPr>
          <w:trHeight w:val="513"/>
          <w:jc w:val="center"/>
        </w:trPr>
        <w:tc>
          <w:tcPr>
            <w:tcW w:w="644" w:type="dxa"/>
            <w:vMerge/>
            <w:vAlign w:val="center"/>
          </w:tcPr>
          <w:p w:rsidR="00A62612" w:rsidRPr="007B560F" w:rsidRDefault="00A62612" w:rsidP="00CC067C">
            <w:pPr>
              <w:rPr>
                <w:color w:val="000000" w:themeColor="text1"/>
                <w:spacing w:val="-20"/>
                <w:sz w:val="28"/>
                <w:szCs w:val="28"/>
              </w:rPr>
            </w:pPr>
          </w:p>
        </w:tc>
        <w:tc>
          <w:tcPr>
            <w:tcW w:w="1761" w:type="dxa"/>
            <w:gridSpan w:val="2"/>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合格</w:t>
            </w:r>
          </w:p>
        </w:tc>
        <w:tc>
          <w:tcPr>
            <w:tcW w:w="1666" w:type="dxa"/>
            <w:gridSpan w:val="2"/>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不合格</w:t>
            </w:r>
          </w:p>
        </w:tc>
        <w:tc>
          <w:tcPr>
            <w:tcW w:w="937" w:type="dxa"/>
            <w:vMerge w:val="restart"/>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w:t>
            </w:r>
          </w:p>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小計</w:t>
            </w:r>
          </w:p>
        </w:tc>
        <w:tc>
          <w:tcPr>
            <w:tcW w:w="1890" w:type="dxa"/>
            <w:gridSpan w:val="2"/>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合格</w:t>
            </w:r>
          </w:p>
        </w:tc>
        <w:tc>
          <w:tcPr>
            <w:tcW w:w="1464" w:type="dxa"/>
            <w:gridSpan w:val="2"/>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不合格</w:t>
            </w:r>
          </w:p>
        </w:tc>
        <w:tc>
          <w:tcPr>
            <w:tcW w:w="881" w:type="dxa"/>
            <w:vMerge w:val="restart"/>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件數小計</w:t>
            </w:r>
          </w:p>
        </w:tc>
      </w:tr>
      <w:tr w:rsidR="00A13031" w:rsidRPr="007B560F" w:rsidTr="00A62612">
        <w:trPr>
          <w:trHeight w:val="389"/>
          <w:jc w:val="center"/>
        </w:trPr>
        <w:tc>
          <w:tcPr>
            <w:tcW w:w="644" w:type="dxa"/>
            <w:vMerge/>
            <w:vAlign w:val="center"/>
          </w:tcPr>
          <w:p w:rsidR="00A62612" w:rsidRPr="007B560F" w:rsidRDefault="00A62612" w:rsidP="00CC067C">
            <w:pPr>
              <w:rPr>
                <w:color w:val="000000" w:themeColor="text1"/>
                <w:spacing w:val="-20"/>
                <w:sz w:val="28"/>
                <w:szCs w:val="28"/>
              </w:rPr>
            </w:pPr>
          </w:p>
        </w:tc>
        <w:tc>
          <w:tcPr>
            <w:tcW w:w="911"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w:t>
            </w:r>
          </w:p>
        </w:tc>
        <w:tc>
          <w:tcPr>
            <w:tcW w:w="850"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比率</w:t>
            </w:r>
          </w:p>
        </w:tc>
        <w:tc>
          <w:tcPr>
            <w:tcW w:w="835"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w:t>
            </w:r>
          </w:p>
        </w:tc>
        <w:tc>
          <w:tcPr>
            <w:tcW w:w="831"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比率</w:t>
            </w:r>
          </w:p>
        </w:tc>
        <w:tc>
          <w:tcPr>
            <w:tcW w:w="937" w:type="dxa"/>
            <w:vMerge/>
            <w:vAlign w:val="center"/>
          </w:tcPr>
          <w:p w:rsidR="00A62612" w:rsidRPr="007B560F" w:rsidRDefault="00A62612" w:rsidP="00CC067C">
            <w:pPr>
              <w:jc w:val="center"/>
              <w:rPr>
                <w:b/>
                <w:color w:val="000000" w:themeColor="text1"/>
                <w:spacing w:val="-20"/>
                <w:sz w:val="28"/>
                <w:szCs w:val="28"/>
              </w:rPr>
            </w:pPr>
          </w:p>
        </w:tc>
        <w:tc>
          <w:tcPr>
            <w:tcW w:w="937"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w:t>
            </w:r>
          </w:p>
        </w:tc>
        <w:tc>
          <w:tcPr>
            <w:tcW w:w="953"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比率</w:t>
            </w:r>
          </w:p>
        </w:tc>
        <w:tc>
          <w:tcPr>
            <w:tcW w:w="703"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件數</w:t>
            </w:r>
          </w:p>
        </w:tc>
        <w:tc>
          <w:tcPr>
            <w:tcW w:w="761" w:type="dxa"/>
            <w:vAlign w:val="center"/>
          </w:tcPr>
          <w:p w:rsidR="00A62612" w:rsidRPr="007B560F" w:rsidRDefault="00A62612" w:rsidP="00CC067C">
            <w:pPr>
              <w:jc w:val="center"/>
              <w:rPr>
                <w:b/>
                <w:color w:val="000000" w:themeColor="text1"/>
                <w:spacing w:val="-20"/>
                <w:sz w:val="28"/>
                <w:szCs w:val="28"/>
              </w:rPr>
            </w:pPr>
            <w:r w:rsidRPr="007B560F">
              <w:rPr>
                <w:rFonts w:hint="eastAsia"/>
                <w:b/>
                <w:color w:val="000000" w:themeColor="text1"/>
                <w:spacing w:val="-20"/>
                <w:sz w:val="28"/>
                <w:szCs w:val="28"/>
              </w:rPr>
              <w:t>比率</w:t>
            </w:r>
          </w:p>
        </w:tc>
        <w:tc>
          <w:tcPr>
            <w:tcW w:w="881" w:type="dxa"/>
            <w:vMerge/>
            <w:vAlign w:val="center"/>
          </w:tcPr>
          <w:p w:rsidR="00A62612" w:rsidRPr="007B560F" w:rsidRDefault="00A62612" w:rsidP="00CC067C">
            <w:pPr>
              <w:jc w:val="center"/>
              <w:rPr>
                <w:color w:val="000000" w:themeColor="text1"/>
                <w:spacing w:val="-20"/>
                <w:sz w:val="28"/>
                <w:szCs w:val="28"/>
              </w:rPr>
            </w:pPr>
          </w:p>
        </w:tc>
      </w:tr>
      <w:tr w:rsidR="00A13031" w:rsidRPr="007B560F" w:rsidTr="00A62612">
        <w:trPr>
          <w:trHeight w:val="251"/>
          <w:jc w:val="center"/>
        </w:trPr>
        <w:tc>
          <w:tcPr>
            <w:tcW w:w="644" w:type="dxa"/>
            <w:vAlign w:val="center"/>
          </w:tcPr>
          <w:p w:rsidR="00A62612" w:rsidRPr="007B560F" w:rsidRDefault="00A62612" w:rsidP="00CC067C">
            <w:pPr>
              <w:rPr>
                <w:color w:val="000000" w:themeColor="text1"/>
                <w:spacing w:val="-20"/>
                <w:sz w:val="28"/>
                <w:szCs w:val="28"/>
              </w:rPr>
            </w:pPr>
            <w:r w:rsidRPr="007B560F">
              <w:rPr>
                <w:rFonts w:hint="eastAsia"/>
                <w:color w:val="000000" w:themeColor="text1"/>
                <w:spacing w:val="-20"/>
                <w:sz w:val="28"/>
                <w:szCs w:val="28"/>
              </w:rPr>
              <w:t>106</w:t>
            </w:r>
          </w:p>
        </w:tc>
        <w:tc>
          <w:tcPr>
            <w:tcW w:w="91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233</w:t>
            </w:r>
          </w:p>
        </w:tc>
        <w:tc>
          <w:tcPr>
            <w:tcW w:w="850"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98.3</w:t>
            </w:r>
          </w:p>
        </w:tc>
        <w:tc>
          <w:tcPr>
            <w:tcW w:w="835"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4</w:t>
            </w:r>
          </w:p>
        </w:tc>
        <w:tc>
          <w:tcPr>
            <w:tcW w:w="83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1.7</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237</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3,11</w:t>
            </w:r>
            <w:r w:rsidRPr="007B560F">
              <w:rPr>
                <w:rFonts w:hAnsi="標楷體"/>
                <w:color w:val="000000" w:themeColor="text1"/>
                <w:spacing w:val="-20"/>
                <w:sz w:val="28"/>
                <w:szCs w:val="28"/>
              </w:rPr>
              <w:t>4</w:t>
            </w:r>
          </w:p>
        </w:tc>
        <w:tc>
          <w:tcPr>
            <w:tcW w:w="95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97.3</w:t>
            </w:r>
          </w:p>
        </w:tc>
        <w:tc>
          <w:tcPr>
            <w:tcW w:w="70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87</w:t>
            </w:r>
          </w:p>
        </w:tc>
        <w:tc>
          <w:tcPr>
            <w:tcW w:w="76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2.7</w:t>
            </w:r>
          </w:p>
        </w:tc>
        <w:tc>
          <w:tcPr>
            <w:tcW w:w="881"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6"/>
                <w:szCs w:val="26"/>
              </w:rPr>
              <w:t>3,20</w:t>
            </w:r>
            <w:r w:rsidRPr="007B560F">
              <w:rPr>
                <w:rFonts w:hAnsi="標楷體"/>
                <w:color w:val="000000" w:themeColor="text1"/>
                <w:spacing w:val="-20"/>
                <w:sz w:val="26"/>
                <w:szCs w:val="26"/>
              </w:rPr>
              <w:t>1</w:t>
            </w:r>
          </w:p>
        </w:tc>
      </w:tr>
      <w:tr w:rsidR="00A13031" w:rsidRPr="007B560F" w:rsidTr="00A62612">
        <w:trPr>
          <w:trHeight w:val="326"/>
          <w:jc w:val="center"/>
        </w:trPr>
        <w:tc>
          <w:tcPr>
            <w:tcW w:w="644" w:type="dxa"/>
            <w:vAlign w:val="center"/>
          </w:tcPr>
          <w:p w:rsidR="00A62612" w:rsidRPr="007B560F" w:rsidRDefault="00A62612" w:rsidP="00CC067C">
            <w:pPr>
              <w:rPr>
                <w:color w:val="000000" w:themeColor="text1"/>
                <w:spacing w:val="-20"/>
                <w:sz w:val="28"/>
                <w:szCs w:val="28"/>
              </w:rPr>
            </w:pPr>
            <w:r w:rsidRPr="007B560F">
              <w:rPr>
                <w:rFonts w:hint="eastAsia"/>
                <w:color w:val="000000" w:themeColor="text1"/>
                <w:spacing w:val="-20"/>
                <w:sz w:val="28"/>
                <w:szCs w:val="28"/>
              </w:rPr>
              <w:t>107</w:t>
            </w:r>
          </w:p>
        </w:tc>
        <w:tc>
          <w:tcPr>
            <w:tcW w:w="911" w:type="dxa"/>
            <w:vAlign w:val="center"/>
          </w:tcPr>
          <w:p w:rsidR="00A62612" w:rsidRPr="007B560F" w:rsidRDefault="00A62612" w:rsidP="00CC067C">
            <w:pPr>
              <w:spacing w:line="400" w:lineRule="exact"/>
              <w:jc w:val="right"/>
              <w:rPr>
                <w:rFonts w:hAnsi="標楷體"/>
                <w:color w:val="000000" w:themeColor="text1"/>
                <w:spacing w:val="-20"/>
                <w:sz w:val="28"/>
                <w:szCs w:val="28"/>
              </w:rPr>
            </w:pPr>
            <w:r w:rsidRPr="007B560F">
              <w:rPr>
                <w:rFonts w:hAnsi="標楷體" w:hint="eastAsia"/>
                <w:color w:val="000000" w:themeColor="text1"/>
                <w:spacing w:val="-20"/>
                <w:sz w:val="28"/>
                <w:szCs w:val="28"/>
              </w:rPr>
              <w:t>2,379</w:t>
            </w:r>
          </w:p>
        </w:tc>
        <w:tc>
          <w:tcPr>
            <w:tcW w:w="850"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98.5</w:t>
            </w:r>
          </w:p>
        </w:tc>
        <w:tc>
          <w:tcPr>
            <w:tcW w:w="835"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37</w:t>
            </w:r>
          </w:p>
        </w:tc>
        <w:tc>
          <w:tcPr>
            <w:tcW w:w="83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1.5</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2,416</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2,17</w:t>
            </w:r>
            <w:r w:rsidRPr="007B560F">
              <w:rPr>
                <w:rFonts w:hAnsi="標楷體"/>
                <w:color w:val="000000" w:themeColor="text1"/>
                <w:spacing w:val="-20"/>
                <w:sz w:val="28"/>
                <w:szCs w:val="28"/>
              </w:rPr>
              <w:t>2</w:t>
            </w:r>
          </w:p>
        </w:tc>
        <w:tc>
          <w:tcPr>
            <w:tcW w:w="95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97.0</w:t>
            </w:r>
          </w:p>
        </w:tc>
        <w:tc>
          <w:tcPr>
            <w:tcW w:w="70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68</w:t>
            </w:r>
          </w:p>
        </w:tc>
        <w:tc>
          <w:tcPr>
            <w:tcW w:w="76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3.0</w:t>
            </w:r>
          </w:p>
        </w:tc>
        <w:tc>
          <w:tcPr>
            <w:tcW w:w="881"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6"/>
                <w:szCs w:val="26"/>
              </w:rPr>
              <w:t>2,24</w:t>
            </w:r>
            <w:r w:rsidRPr="007B560F">
              <w:rPr>
                <w:rFonts w:hAnsi="標楷體"/>
                <w:color w:val="000000" w:themeColor="text1"/>
                <w:spacing w:val="-20"/>
                <w:sz w:val="26"/>
                <w:szCs w:val="26"/>
              </w:rPr>
              <w:t>0</w:t>
            </w:r>
          </w:p>
        </w:tc>
      </w:tr>
      <w:tr w:rsidR="00A13031" w:rsidRPr="007B560F" w:rsidTr="00A62612">
        <w:trPr>
          <w:trHeight w:val="242"/>
          <w:jc w:val="center"/>
        </w:trPr>
        <w:tc>
          <w:tcPr>
            <w:tcW w:w="644" w:type="dxa"/>
            <w:vAlign w:val="center"/>
          </w:tcPr>
          <w:p w:rsidR="00A62612" w:rsidRPr="007B560F" w:rsidRDefault="00A62612" w:rsidP="00CC067C">
            <w:pPr>
              <w:rPr>
                <w:color w:val="000000" w:themeColor="text1"/>
                <w:spacing w:val="-20"/>
                <w:sz w:val="28"/>
                <w:szCs w:val="28"/>
              </w:rPr>
            </w:pPr>
            <w:r w:rsidRPr="007B560F">
              <w:rPr>
                <w:rFonts w:hint="eastAsia"/>
                <w:color w:val="000000" w:themeColor="text1"/>
                <w:spacing w:val="-20"/>
                <w:sz w:val="28"/>
                <w:szCs w:val="28"/>
              </w:rPr>
              <w:t>108</w:t>
            </w:r>
          </w:p>
        </w:tc>
        <w:tc>
          <w:tcPr>
            <w:tcW w:w="911"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3,008</w:t>
            </w:r>
          </w:p>
        </w:tc>
        <w:tc>
          <w:tcPr>
            <w:tcW w:w="850"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98.8</w:t>
            </w:r>
          </w:p>
        </w:tc>
        <w:tc>
          <w:tcPr>
            <w:tcW w:w="835"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36</w:t>
            </w:r>
          </w:p>
        </w:tc>
        <w:tc>
          <w:tcPr>
            <w:tcW w:w="83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1.2</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3,044</w:t>
            </w:r>
          </w:p>
        </w:tc>
        <w:tc>
          <w:tcPr>
            <w:tcW w:w="937"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8"/>
                <w:szCs w:val="28"/>
              </w:rPr>
              <w:t>2,088</w:t>
            </w:r>
          </w:p>
        </w:tc>
        <w:tc>
          <w:tcPr>
            <w:tcW w:w="95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97.5</w:t>
            </w:r>
          </w:p>
        </w:tc>
        <w:tc>
          <w:tcPr>
            <w:tcW w:w="703"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54</w:t>
            </w:r>
          </w:p>
        </w:tc>
        <w:tc>
          <w:tcPr>
            <w:tcW w:w="761" w:type="dxa"/>
            <w:vAlign w:val="center"/>
          </w:tcPr>
          <w:p w:rsidR="00A62612" w:rsidRPr="007B560F" w:rsidRDefault="00A62612" w:rsidP="00CC067C">
            <w:pPr>
              <w:jc w:val="right"/>
              <w:rPr>
                <w:color w:val="000000" w:themeColor="text1"/>
                <w:spacing w:val="-20"/>
                <w:sz w:val="28"/>
                <w:szCs w:val="28"/>
              </w:rPr>
            </w:pPr>
            <w:r w:rsidRPr="007B560F">
              <w:rPr>
                <w:rFonts w:hint="eastAsia"/>
                <w:color w:val="000000" w:themeColor="text1"/>
                <w:spacing w:val="-20"/>
                <w:sz w:val="28"/>
                <w:szCs w:val="28"/>
              </w:rPr>
              <w:t>2.5</w:t>
            </w:r>
          </w:p>
        </w:tc>
        <w:tc>
          <w:tcPr>
            <w:tcW w:w="881" w:type="dxa"/>
            <w:vAlign w:val="center"/>
          </w:tcPr>
          <w:p w:rsidR="00A62612" w:rsidRPr="007B560F" w:rsidRDefault="00A62612" w:rsidP="00CC067C">
            <w:pPr>
              <w:jc w:val="right"/>
              <w:rPr>
                <w:color w:val="000000" w:themeColor="text1"/>
                <w:spacing w:val="-20"/>
                <w:sz w:val="28"/>
                <w:szCs w:val="28"/>
              </w:rPr>
            </w:pPr>
            <w:r w:rsidRPr="007B560F">
              <w:rPr>
                <w:rFonts w:hAnsi="標楷體" w:hint="eastAsia"/>
                <w:color w:val="000000" w:themeColor="text1"/>
                <w:spacing w:val="-20"/>
                <w:sz w:val="26"/>
                <w:szCs w:val="26"/>
              </w:rPr>
              <w:t>2,142</w:t>
            </w:r>
          </w:p>
        </w:tc>
      </w:tr>
    </w:tbl>
    <w:p w:rsidR="00BF77F1" w:rsidRPr="007B560F" w:rsidRDefault="00BF77F1" w:rsidP="00BF77F1">
      <w:pPr>
        <w:pStyle w:val="4"/>
        <w:numPr>
          <w:ilvl w:val="0"/>
          <w:numId w:val="0"/>
        </w:numPr>
        <w:wordWrap w:val="0"/>
        <w:rPr>
          <w:rFonts w:hAnsi="標楷體"/>
          <w:color w:val="000000" w:themeColor="text1"/>
          <w:sz w:val="24"/>
          <w:szCs w:val="24"/>
        </w:rPr>
      </w:pPr>
      <w:r w:rsidRPr="007B560F">
        <w:rPr>
          <w:rFonts w:hAnsi="標楷體" w:hint="eastAsia"/>
          <w:color w:val="000000" w:themeColor="text1"/>
          <w:sz w:val="24"/>
          <w:szCs w:val="24"/>
        </w:rPr>
        <w:t>資料來源：</w:t>
      </w:r>
      <w:proofErr w:type="gramStart"/>
      <w:r w:rsidR="00A8488B" w:rsidRPr="007B560F">
        <w:rPr>
          <w:rFonts w:hAnsi="標楷體" w:hint="eastAsia"/>
          <w:color w:val="000000" w:themeColor="text1"/>
          <w:sz w:val="24"/>
          <w:szCs w:val="24"/>
        </w:rPr>
        <w:t>本院據</w:t>
      </w:r>
      <w:r w:rsidR="00B1493C" w:rsidRPr="007B560F">
        <w:rPr>
          <w:rFonts w:hAnsi="標楷體" w:hint="eastAsia"/>
          <w:color w:val="000000" w:themeColor="text1"/>
          <w:sz w:val="24"/>
          <w:szCs w:val="24"/>
        </w:rPr>
        <w:t>農委會</w:t>
      </w:r>
      <w:proofErr w:type="gramEnd"/>
      <w:r w:rsidR="00A8488B" w:rsidRPr="007B560F">
        <w:rPr>
          <w:rFonts w:hAnsi="標楷體" w:hint="eastAsia"/>
          <w:color w:val="000000" w:themeColor="text1"/>
          <w:sz w:val="24"/>
          <w:szCs w:val="24"/>
        </w:rPr>
        <w:t>查復</w:t>
      </w:r>
      <w:r w:rsidR="00B1493C" w:rsidRPr="007B560F">
        <w:rPr>
          <w:rFonts w:hAnsi="標楷體" w:hint="eastAsia"/>
          <w:color w:val="000000" w:themeColor="text1"/>
          <w:sz w:val="24"/>
          <w:szCs w:val="24"/>
        </w:rPr>
        <w:t>資料彙整</w:t>
      </w:r>
      <w:r w:rsidRPr="007B560F">
        <w:rPr>
          <w:rFonts w:hAnsi="標楷體" w:hint="eastAsia"/>
          <w:color w:val="000000" w:themeColor="text1"/>
          <w:sz w:val="24"/>
          <w:szCs w:val="24"/>
        </w:rPr>
        <w:t>。</w:t>
      </w:r>
    </w:p>
    <w:p w:rsidR="00BF77F1" w:rsidRPr="007B560F" w:rsidRDefault="00BF77F1" w:rsidP="00BF77F1">
      <w:pPr>
        <w:pStyle w:val="3"/>
        <w:numPr>
          <w:ilvl w:val="0"/>
          <w:numId w:val="0"/>
        </w:numPr>
        <w:ind w:left="1361"/>
        <w:rPr>
          <w:color w:val="000000" w:themeColor="text1"/>
        </w:rPr>
      </w:pPr>
    </w:p>
    <w:p w:rsidR="00064E6C" w:rsidRPr="007B560F" w:rsidRDefault="00064E6C" w:rsidP="00F844A5">
      <w:pPr>
        <w:pStyle w:val="3"/>
        <w:numPr>
          <w:ilvl w:val="2"/>
          <w:numId w:val="9"/>
        </w:numPr>
        <w:ind w:left="1276"/>
        <w:rPr>
          <w:color w:val="000000" w:themeColor="text1"/>
        </w:rPr>
      </w:pPr>
      <w:r w:rsidRPr="007B560F">
        <w:rPr>
          <w:rFonts w:hint="eastAsia"/>
          <w:color w:val="000000" w:themeColor="text1"/>
        </w:rPr>
        <w:t>由</w:t>
      </w:r>
      <w:r w:rsidR="00F61367" w:rsidRPr="007B560F">
        <w:rPr>
          <w:rFonts w:hint="eastAsia"/>
          <w:color w:val="000000" w:themeColor="text1"/>
        </w:rPr>
        <w:t>於</w:t>
      </w:r>
      <w:r w:rsidRPr="007B560F">
        <w:rPr>
          <w:rFonts w:hint="eastAsia"/>
          <w:color w:val="000000" w:themeColor="text1"/>
        </w:rPr>
        <w:t>政府</w:t>
      </w:r>
      <w:r w:rsidR="00BF77F1" w:rsidRPr="007B560F">
        <w:rPr>
          <w:rFonts w:hint="eastAsia"/>
          <w:color w:val="000000" w:themeColor="text1"/>
        </w:rPr>
        <w:t>財力及人力有限，抽檢數量自有一定限度，因此</w:t>
      </w:r>
      <w:proofErr w:type="gramStart"/>
      <w:r w:rsidR="00BF77F1" w:rsidRPr="007B560F">
        <w:rPr>
          <w:rFonts w:hint="eastAsia"/>
          <w:color w:val="000000" w:themeColor="text1"/>
        </w:rPr>
        <w:t>農糧署辦理</w:t>
      </w:r>
      <w:proofErr w:type="gramEnd"/>
      <w:r w:rsidR="00BF77F1" w:rsidRPr="007B560F">
        <w:rPr>
          <w:rFonts w:hint="eastAsia"/>
          <w:color w:val="000000" w:themeColor="text1"/>
        </w:rPr>
        <w:t>「農作物農藥殘留監測與管制計畫」應力求有效益的查核抽檢，故辦理該作業</w:t>
      </w:r>
      <w:r w:rsidR="002D3149" w:rsidRPr="007B560F">
        <w:rPr>
          <w:rFonts w:hint="eastAsia"/>
          <w:color w:val="000000" w:themeColor="text1"/>
        </w:rPr>
        <w:t>自應導入風險評估概念，應預判危害風險程度高及違規比率</w:t>
      </w:r>
      <w:r w:rsidR="002D3149" w:rsidRPr="007B560F">
        <w:rPr>
          <w:rFonts w:hint="eastAsia"/>
          <w:color w:val="000000" w:themeColor="text1"/>
        </w:rPr>
        <w:lastRenderedPageBreak/>
        <w:t>高之對象，</w:t>
      </w:r>
      <w:proofErr w:type="gramStart"/>
      <w:r w:rsidR="00BF77F1" w:rsidRPr="007B560F">
        <w:rPr>
          <w:rFonts w:hint="eastAsia"/>
          <w:color w:val="000000" w:themeColor="text1"/>
        </w:rPr>
        <w:t>將其納為</w:t>
      </w:r>
      <w:proofErr w:type="gramEnd"/>
      <w:r w:rsidR="00BF77F1" w:rsidRPr="007B560F">
        <w:rPr>
          <w:rFonts w:hint="eastAsia"/>
          <w:color w:val="000000" w:themeColor="text1"/>
        </w:rPr>
        <w:t>抽檢範圍，始可確切瞭解農藥殘留實情，並進一步促使農民正確且安全用藥</w:t>
      </w:r>
      <w:r w:rsidR="0070250A" w:rsidRPr="007B560F">
        <w:rPr>
          <w:rFonts w:hint="eastAsia"/>
          <w:color w:val="000000" w:themeColor="text1"/>
        </w:rPr>
        <w:t>。</w:t>
      </w:r>
      <w:r w:rsidRPr="007B560F">
        <w:rPr>
          <w:rFonts w:hint="eastAsia"/>
          <w:color w:val="000000" w:themeColor="text1"/>
        </w:rPr>
        <w:t>以荷蘭為例，對於蔬果農藥殘留抽檢係以產品風險高低及是否為民眾主要食用產品為基準；另法國對於就蔬果農藥殘留抽檢分為重點蔬果及一般蔬果，而關於年度抽驗品種及各行政區抽驗數量分配，首先由中央主管機關進行全國性風險評估，</w:t>
      </w:r>
      <w:proofErr w:type="gramStart"/>
      <w:r w:rsidRPr="007B560F">
        <w:rPr>
          <w:rFonts w:hint="eastAsia"/>
          <w:color w:val="000000" w:themeColor="text1"/>
        </w:rPr>
        <w:t>續經各</w:t>
      </w:r>
      <w:proofErr w:type="gramEnd"/>
      <w:r w:rsidRPr="007B560F">
        <w:rPr>
          <w:rFonts w:hint="eastAsia"/>
          <w:color w:val="000000" w:themeColor="text1"/>
        </w:rPr>
        <w:t>大區(Région)主管機關進行地區性風險評估後執行</w:t>
      </w:r>
      <w:r w:rsidR="00635B8A" w:rsidRPr="007B560F">
        <w:rPr>
          <w:rStyle w:val="aff5"/>
          <w:color w:val="000000" w:themeColor="text1"/>
        </w:rPr>
        <w:footnoteReference w:id="4"/>
      </w:r>
      <w:r w:rsidRPr="007B560F">
        <w:rPr>
          <w:rFonts w:hint="eastAsia"/>
          <w:color w:val="000000" w:themeColor="text1"/>
        </w:rPr>
        <w:t>。故</w:t>
      </w:r>
      <w:r w:rsidR="00635B8A" w:rsidRPr="007B560F">
        <w:rPr>
          <w:rFonts w:hint="eastAsia"/>
          <w:color w:val="000000" w:themeColor="text1"/>
        </w:rPr>
        <w:t>荷蘭及法國等先進國家對於農藥殘留抽檢作業，均導入風險評估機制，以提升抽檢效益。</w:t>
      </w:r>
    </w:p>
    <w:p w:rsidR="00BF77F1" w:rsidRPr="007B560F" w:rsidRDefault="00BF77F1" w:rsidP="00657332">
      <w:pPr>
        <w:pStyle w:val="3"/>
        <w:numPr>
          <w:ilvl w:val="2"/>
          <w:numId w:val="9"/>
        </w:numPr>
        <w:ind w:left="1276"/>
        <w:rPr>
          <w:color w:val="000000" w:themeColor="text1"/>
        </w:rPr>
      </w:pPr>
      <w:proofErr w:type="gramStart"/>
      <w:r w:rsidRPr="007B560F">
        <w:rPr>
          <w:rFonts w:hint="eastAsia"/>
          <w:color w:val="000000" w:themeColor="text1"/>
        </w:rPr>
        <w:t>惟</w:t>
      </w:r>
      <w:proofErr w:type="gramEnd"/>
      <w:r w:rsidR="00635B8A" w:rsidRPr="007B560F">
        <w:rPr>
          <w:rFonts w:hint="eastAsia"/>
          <w:color w:val="000000" w:themeColor="text1"/>
        </w:rPr>
        <w:t>我國</w:t>
      </w:r>
      <w:r w:rsidRPr="007B560F">
        <w:rPr>
          <w:rFonts w:hint="eastAsia"/>
          <w:color w:val="000000" w:themeColor="text1"/>
        </w:rPr>
        <w:t>農委會辦理上開農作物農藥殘留抽檢作業，卻選擇以具4</w:t>
      </w:r>
      <w:r w:rsidRPr="007B560F">
        <w:rPr>
          <w:rFonts w:ascii="新細明體" w:hAnsi="新細明體" w:hint="eastAsia"/>
          <w:color w:val="000000" w:themeColor="text1"/>
        </w:rPr>
        <w:t>章</w:t>
      </w:r>
      <w:r w:rsidRPr="007B560F">
        <w:rPr>
          <w:rFonts w:hint="eastAsia"/>
          <w:color w:val="000000" w:themeColor="text1"/>
        </w:rPr>
        <w:t>1Q等安全認驗證者為主要抽檢對象，獲該等標章者，生產者多已接受高強度的用藥教育訓練，且為求符合標章規定，其大多謹守農藥使用規定，避免其作物農藥殘留未符合標準</w:t>
      </w:r>
      <w:proofErr w:type="gramStart"/>
      <w:r w:rsidRPr="007B560F">
        <w:rPr>
          <w:rFonts w:hint="eastAsia"/>
          <w:color w:val="000000" w:themeColor="text1"/>
        </w:rPr>
        <w:t>而受裁罰</w:t>
      </w:r>
      <w:proofErr w:type="gramEnd"/>
      <w:r w:rsidRPr="007B560F">
        <w:rPr>
          <w:rFonts w:hint="eastAsia"/>
          <w:color w:val="000000" w:themeColor="text1"/>
        </w:rPr>
        <w:t>，故以此為主要抽檢對象，勢必會高估農藥殘留之實際合格率。另各地方政府辦理該抽檢作業，</w:t>
      </w:r>
      <w:proofErr w:type="gramStart"/>
      <w:r w:rsidRPr="007B560F">
        <w:rPr>
          <w:rFonts w:hint="eastAsia"/>
          <w:color w:val="000000" w:themeColor="text1"/>
        </w:rPr>
        <w:t>須親赴</w:t>
      </w:r>
      <w:proofErr w:type="gramEnd"/>
      <w:r w:rsidRPr="007B560F">
        <w:rPr>
          <w:rFonts w:hint="eastAsia"/>
          <w:color w:val="000000" w:themeColor="text1"/>
        </w:rPr>
        <w:t>蔬果田間及集貨場取樣，有時難避免人情壓力或生產者技巧性迴避，因此對於</w:t>
      </w:r>
      <w:proofErr w:type="gramStart"/>
      <w:r w:rsidRPr="007B560F">
        <w:rPr>
          <w:rFonts w:hint="eastAsia"/>
          <w:color w:val="000000" w:themeColor="text1"/>
        </w:rPr>
        <w:t>採</w:t>
      </w:r>
      <w:proofErr w:type="gramEnd"/>
      <w:r w:rsidRPr="007B560F">
        <w:rPr>
          <w:rFonts w:hint="eastAsia"/>
          <w:color w:val="000000" w:themeColor="text1"/>
        </w:rPr>
        <w:t>樣對象的選定，容有偏頗，無法確切</w:t>
      </w:r>
      <w:r w:rsidRPr="007B560F">
        <w:rPr>
          <w:color w:val="000000" w:themeColor="text1"/>
        </w:rPr>
        <w:t>反應民眾飲食風險</w:t>
      </w:r>
      <w:r w:rsidRPr="007B560F">
        <w:rPr>
          <w:rFonts w:hint="eastAsia"/>
          <w:color w:val="000000" w:themeColor="text1"/>
        </w:rPr>
        <w:t>。農</w:t>
      </w:r>
      <w:proofErr w:type="gramStart"/>
      <w:r w:rsidRPr="007B560F">
        <w:rPr>
          <w:rFonts w:hint="eastAsia"/>
          <w:color w:val="000000" w:themeColor="text1"/>
        </w:rPr>
        <w:t>糧署允</w:t>
      </w:r>
      <w:proofErr w:type="gramEnd"/>
      <w:r w:rsidRPr="007B560F">
        <w:rPr>
          <w:rFonts w:hint="eastAsia"/>
          <w:color w:val="000000" w:themeColor="text1"/>
        </w:rPr>
        <w:t>宜考量以加入第三方檢驗機構共同辦理之可行性，以利抽件作業順利推動及提升作業之公正性及客觀性。</w:t>
      </w:r>
    </w:p>
    <w:p w:rsidR="00BF77F1" w:rsidRPr="007B560F" w:rsidRDefault="00BF77F1" w:rsidP="00BF77F1">
      <w:pPr>
        <w:pStyle w:val="3"/>
        <w:numPr>
          <w:ilvl w:val="2"/>
          <w:numId w:val="9"/>
        </w:numPr>
        <w:ind w:left="1276"/>
        <w:rPr>
          <w:color w:val="000000" w:themeColor="text1"/>
        </w:rPr>
      </w:pPr>
      <w:r w:rsidRPr="007B560F">
        <w:rPr>
          <w:rFonts w:hint="eastAsia"/>
          <w:color w:val="000000" w:themeColor="text1"/>
        </w:rPr>
        <w:t>據上，農委會雖有辦理田間及集貨場蔬果農藥殘留監測，但抽檢對象偏重於已取得4章1Q安全認驗證者，抽檢結果</w:t>
      </w:r>
      <w:r w:rsidR="002205FF" w:rsidRPr="007B560F">
        <w:rPr>
          <w:rFonts w:hint="eastAsia"/>
          <w:color w:val="000000" w:themeColor="text1"/>
        </w:rPr>
        <w:t>難免失真</w:t>
      </w:r>
      <w:r w:rsidRPr="007B560F">
        <w:rPr>
          <w:rFonts w:hint="eastAsia"/>
          <w:color w:val="000000" w:themeColor="text1"/>
        </w:rPr>
        <w:t>，無法確切</w:t>
      </w:r>
      <w:r w:rsidRPr="007B560F">
        <w:rPr>
          <w:color w:val="000000" w:themeColor="text1"/>
        </w:rPr>
        <w:t>反應民眾飲食風險</w:t>
      </w:r>
      <w:r w:rsidR="003A3FFC" w:rsidRPr="007B560F">
        <w:rPr>
          <w:rFonts w:hAnsi="標楷體" w:hint="eastAsia"/>
          <w:color w:val="000000" w:themeColor="text1"/>
        </w:rPr>
        <w:t>，核有欠妥；另農委會</w:t>
      </w:r>
      <w:r w:rsidRPr="007B560F">
        <w:rPr>
          <w:rFonts w:hint="eastAsia"/>
          <w:color w:val="000000" w:themeColor="text1"/>
        </w:rPr>
        <w:t>允宜考量加入第三方檢驗機構共同辦理之可行性，以提升農藥殘留抽檢作業之公正性及客觀性。</w:t>
      </w:r>
    </w:p>
    <w:p w:rsidR="00BF77F1" w:rsidRPr="007B560F" w:rsidRDefault="00BF77F1" w:rsidP="00BF77F1">
      <w:pPr>
        <w:pStyle w:val="2"/>
        <w:numPr>
          <w:ilvl w:val="1"/>
          <w:numId w:val="9"/>
        </w:numPr>
        <w:rPr>
          <w:b/>
          <w:color w:val="000000" w:themeColor="text1"/>
        </w:rPr>
      </w:pPr>
      <w:r w:rsidRPr="007B560F">
        <w:rPr>
          <w:rFonts w:hint="eastAsia"/>
          <w:b/>
          <w:color w:val="000000" w:themeColor="text1"/>
        </w:rPr>
        <w:lastRenderedPageBreak/>
        <w:t>目前國內48處果菜批發市場除北農公司所經營的果菜批發市場外，其餘對於農產品農藥殘留抽檢仍使用「生化法」，該法所能檢出的農藥數量不及核准使用農藥數量的兩成，即有八成以上農藥無法以</w:t>
      </w:r>
      <w:proofErr w:type="gramStart"/>
      <w:r w:rsidRPr="007B560F">
        <w:rPr>
          <w:rFonts w:hint="eastAsia"/>
          <w:b/>
          <w:color w:val="000000" w:themeColor="text1"/>
        </w:rPr>
        <w:t>該法檢出</w:t>
      </w:r>
      <w:proofErr w:type="gramEnd"/>
      <w:r w:rsidRPr="007B560F">
        <w:rPr>
          <w:rFonts w:hint="eastAsia"/>
          <w:b/>
          <w:color w:val="000000" w:themeColor="text1"/>
        </w:rPr>
        <w:t>。農委會所屬既已研發得兼具快速及高準確度之「質</w:t>
      </w:r>
      <w:proofErr w:type="gramStart"/>
      <w:r w:rsidRPr="007B560F">
        <w:rPr>
          <w:rFonts w:hint="eastAsia"/>
          <w:b/>
          <w:color w:val="000000" w:themeColor="text1"/>
        </w:rPr>
        <w:t>譜快檢</w:t>
      </w:r>
      <w:proofErr w:type="gramEnd"/>
      <w:r w:rsidRPr="007B560F">
        <w:rPr>
          <w:rFonts w:hint="eastAsia"/>
          <w:b/>
          <w:color w:val="000000" w:themeColor="text1"/>
        </w:rPr>
        <w:t>法」，則</w:t>
      </w:r>
      <w:r w:rsidR="008212B8" w:rsidRPr="007B560F">
        <w:rPr>
          <w:rFonts w:hint="eastAsia"/>
          <w:b/>
          <w:color w:val="000000" w:themeColor="text1"/>
        </w:rPr>
        <w:t>宜</w:t>
      </w:r>
      <w:r w:rsidRPr="007B560F">
        <w:rPr>
          <w:rFonts w:hint="eastAsia"/>
          <w:b/>
          <w:color w:val="000000" w:themeColor="text1"/>
        </w:rPr>
        <w:t>積極擴大推廣與應用，改善果菜批發市場檢驗技術，以達先檢驗、後銷售的把關效益。</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按農產品市場交易法第14條第3項規定：「農產品批發市場人事、財務與業務之管理、市場結餘之用途與其處理、停止承銷人交易</w:t>
      </w:r>
      <w:proofErr w:type="gramStart"/>
      <w:r w:rsidRPr="007B560F">
        <w:rPr>
          <w:rFonts w:hint="eastAsia"/>
          <w:color w:val="000000" w:themeColor="text1"/>
        </w:rPr>
        <w:t>期間、</w:t>
      </w:r>
      <w:proofErr w:type="gramEnd"/>
      <w:r w:rsidRPr="007B560F">
        <w:rPr>
          <w:rFonts w:hint="eastAsia"/>
          <w:color w:val="000000" w:themeColor="text1"/>
        </w:rPr>
        <w:t>廢止承銷人許可證及其他應遵行事項之管理辦法，由中央主管機關定之。」次按農產品批發市場管理辦法第4條、第6條及第7條規定，果菜批發市場應視實際需要設立農藥殘留測定等設備，且應置農藥殘留檢驗人員，另市場對不合衛生、變質或法令禁止銷售之貨品，應拒絕交易。基此，各果菜批發市場應辦理進入該市場交易蔬果之農藥測定，以確保農藥殘留安全。</w:t>
      </w:r>
    </w:p>
    <w:p w:rsidR="00BF77F1" w:rsidRPr="007B560F" w:rsidRDefault="00BF77F1" w:rsidP="00BF77F1">
      <w:pPr>
        <w:pStyle w:val="3"/>
        <w:numPr>
          <w:ilvl w:val="2"/>
          <w:numId w:val="9"/>
        </w:numPr>
        <w:rPr>
          <w:color w:val="000000" w:themeColor="text1"/>
        </w:rPr>
      </w:pPr>
      <w:r w:rsidRPr="007B560F">
        <w:rPr>
          <w:rFonts w:hint="eastAsia"/>
          <w:color w:val="000000" w:themeColor="text1"/>
        </w:rPr>
        <w:t>查截至109年2月止，國內果菜批發市場計48處，其中有39處於市場內設有農藥殘留檢測設備，除北農公司所經營之果菜批發市場</w:t>
      </w:r>
      <w:proofErr w:type="gramStart"/>
      <w:r w:rsidRPr="007B560F">
        <w:rPr>
          <w:rFonts w:hint="eastAsia"/>
          <w:color w:val="000000" w:themeColor="text1"/>
        </w:rPr>
        <w:t>以外，其餘</w:t>
      </w:r>
      <w:proofErr w:type="gramEnd"/>
      <w:r w:rsidRPr="007B560F">
        <w:rPr>
          <w:rFonts w:hint="eastAsia"/>
          <w:color w:val="000000" w:themeColor="text1"/>
        </w:rPr>
        <w:t>38處均採用「生化法」辦理。至於未設置農藥殘留檢測設備之市場，屬季節性或規模小者，係</w:t>
      </w:r>
      <w:proofErr w:type="gramStart"/>
      <w:r w:rsidRPr="007B560F">
        <w:rPr>
          <w:rFonts w:hint="eastAsia"/>
          <w:color w:val="000000" w:themeColor="text1"/>
        </w:rPr>
        <w:t>採</w:t>
      </w:r>
      <w:proofErr w:type="gramEnd"/>
      <w:r w:rsidRPr="007B560F">
        <w:rPr>
          <w:rFonts w:hint="eastAsia"/>
          <w:color w:val="000000" w:themeColor="text1"/>
        </w:rPr>
        <w:t>委託鄰近已設生化檢驗站之農民團體代為檢驗。簡言之，國內48處果菜市場，除北農公司外，其餘47處均採用「生化法」辦理蔬果農藥殘留檢測。</w:t>
      </w:r>
    </w:p>
    <w:p w:rsidR="00BF77F1" w:rsidRPr="007B560F" w:rsidRDefault="00BF77F1" w:rsidP="00BF77F1">
      <w:pPr>
        <w:pStyle w:val="3"/>
        <w:numPr>
          <w:ilvl w:val="0"/>
          <w:numId w:val="0"/>
        </w:numPr>
        <w:ind w:left="1361" w:firstLineChars="183" w:firstLine="622"/>
        <w:rPr>
          <w:color w:val="000000" w:themeColor="text1"/>
        </w:rPr>
      </w:pPr>
      <w:r w:rsidRPr="007B560F">
        <w:rPr>
          <w:rFonts w:hint="eastAsia"/>
          <w:color w:val="000000" w:themeColor="text1"/>
        </w:rPr>
        <w:t>惟「生化法」檢測的農藥對象僅限於有機磷</w:t>
      </w:r>
      <w:r w:rsidRPr="007B560F">
        <w:rPr>
          <w:color w:val="000000" w:themeColor="text1"/>
        </w:rPr>
        <w:t>(</w:t>
      </w:r>
      <w:r w:rsidRPr="007B560F">
        <w:rPr>
          <w:rFonts w:hint="eastAsia"/>
          <w:color w:val="000000" w:themeColor="text1"/>
        </w:rPr>
        <w:t>如陶斯松、撲滅松…</w:t>
      </w:r>
      <w:proofErr w:type="gramStart"/>
      <w:r w:rsidRPr="007B560F">
        <w:rPr>
          <w:rFonts w:hint="eastAsia"/>
          <w:color w:val="000000" w:themeColor="text1"/>
        </w:rPr>
        <w:t>…</w:t>
      </w:r>
      <w:proofErr w:type="gramEnd"/>
      <w:r w:rsidRPr="007B560F">
        <w:rPr>
          <w:rFonts w:hint="eastAsia"/>
          <w:color w:val="000000" w:themeColor="text1"/>
        </w:rPr>
        <w:t>等</w:t>
      </w:r>
      <w:r w:rsidRPr="007B560F">
        <w:rPr>
          <w:color w:val="000000" w:themeColor="text1"/>
        </w:rPr>
        <w:t>)</w:t>
      </w:r>
      <w:r w:rsidRPr="007B560F">
        <w:rPr>
          <w:rFonts w:hint="eastAsia"/>
          <w:color w:val="000000" w:themeColor="text1"/>
        </w:rPr>
        <w:t>及氨基甲</w:t>
      </w:r>
      <w:proofErr w:type="gramStart"/>
      <w:r w:rsidRPr="007B560F">
        <w:rPr>
          <w:rFonts w:hint="eastAsia"/>
          <w:color w:val="000000" w:themeColor="text1"/>
        </w:rPr>
        <w:t>酸鹽劑</w:t>
      </w:r>
      <w:proofErr w:type="gramEnd"/>
      <w:r w:rsidRPr="007B560F">
        <w:rPr>
          <w:color w:val="000000" w:themeColor="text1"/>
        </w:rPr>
        <w:t>(</w:t>
      </w:r>
      <w:r w:rsidRPr="007B560F">
        <w:rPr>
          <w:rFonts w:hint="eastAsia"/>
          <w:color w:val="000000" w:themeColor="text1"/>
        </w:rPr>
        <w:t>如加保扶、</w:t>
      </w:r>
      <w:proofErr w:type="gramStart"/>
      <w:r w:rsidRPr="007B560F">
        <w:rPr>
          <w:rFonts w:hint="eastAsia"/>
          <w:color w:val="000000" w:themeColor="text1"/>
        </w:rPr>
        <w:t>納乃得</w:t>
      </w:r>
      <w:proofErr w:type="gramEnd"/>
      <w:r w:rsidRPr="007B560F">
        <w:rPr>
          <w:rFonts w:hint="eastAsia"/>
          <w:color w:val="000000" w:themeColor="text1"/>
        </w:rPr>
        <w:t>…</w:t>
      </w:r>
      <w:proofErr w:type="gramStart"/>
      <w:r w:rsidRPr="007B560F">
        <w:rPr>
          <w:rFonts w:hint="eastAsia"/>
          <w:color w:val="000000" w:themeColor="text1"/>
        </w:rPr>
        <w:t>…</w:t>
      </w:r>
      <w:proofErr w:type="gramEnd"/>
      <w:r w:rsidRPr="007B560F">
        <w:rPr>
          <w:color w:val="000000" w:themeColor="text1"/>
        </w:rPr>
        <w:t>)</w:t>
      </w:r>
      <w:r w:rsidRPr="007B560F">
        <w:rPr>
          <w:rFonts w:hint="eastAsia"/>
          <w:color w:val="000000" w:themeColor="text1"/>
        </w:rPr>
        <w:t>等共計</w:t>
      </w:r>
      <w:r w:rsidRPr="007B560F">
        <w:rPr>
          <w:color w:val="000000" w:themeColor="text1"/>
        </w:rPr>
        <w:t>68</w:t>
      </w:r>
      <w:r w:rsidRPr="007B560F">
        <w:rPr>
          <w:rFonts w:hint="eastAsia"/>
          <w:color w:val="000000" w:themeColor="text1"/>
        </w:rPr>
        <w:t>種農藥，亦即除該2類農藥外，其餘農藥無法以該法檢測出，而截至109年3月12日止，經農委會核准使用的單一有效成分農藥</w:t>
      </w:r>
      <w:r w:rsidRPr="007B560F">
        <w:rPr>
          <w:rFonts w:hint="eastAsia"/>
          <w:color w:val="000000" w:themeColor="text1"/>
        </w:rPr>
        <w:lastRenderedPageBreak/>
        <w:t>計有365種，故有高達298種農藥無法檢出，檢出率僅有18%，不及兩成。</w:t>
      </w:r>
    </w:p>
    <w:p w:rsidR="00BF77F1" w:rsidRPr="007B560F" w:rsidRDefault="00BF77F1" w:rsidP="00BF77F1">
      <w:pPr>
        <w:pStyle w:val="3"/>
        <w:numPr>
          <w:ilvl w:val="2"/>
          <w:numId w:val="9"/>
        </w:numPr>
        <w:ind w:leftChars="200"/>
        <w:rPr>
          <w:color w:val="000000" w:themeColor="text1"/>
        </w:rPr>
      </w:pPr>
      <w:r w:rsidRPr="007B560F">
        <w:rPr>
          <w:rFonts w:hint="eastAsia"/>
          <w:color w:val="000000" w:themeColor="text1"/>
        </w:rPr>
        <w:t>本院為瞭解北農公司對於蔬果農藥殘留之檢測機制，108年10月3日赴該公司履</w:t>
      </w:r>
      <w:proofErr w:type="gramStart"/>
      <w:r w:rsidRPr="007B560F">
        <w:rPr>
          <w:rFonts w:hint="eastAsia"/>
          <w:color w:val="000000" w:themeColor="text1"/>
        </w:rPr>
        <w:t>勘</w:t>
      </w:r>
      <w:proofErr w:type="gramEnd"/>
      <w:r w:rsidRPr="007B560F">
        <w:rPr>
          <w:rFonts w:hint="eastAsia"/>
          <w:color w:val="000000" w:themeColor="text1"/>
        </w:rPr>
        <w:t>，得知該公司採用農委會農業藥物毒物試驗所</w:t>
      </w:r>
      <w:r w:rsidR="00CC067C" w:rsidRPr="007B560F">
        <w:rPr>
          <w:rFonts w:hint="eastAsia"/>
          <w:color w:val="000000" w:themeColor="text1"/>
        </w:rPr>
        <w:t>(下</w:t>
      </w:r>
      <w:proofErr w:type="gramStart"/>
      <w:r w:rsidR="00CC067C" w:rsidRPr="007B560F">
        <w:rPr>
          <w:rFonts w:hint="eastAsia"/>
          <w:color w:val="000000" w:themeColor="text1"/>
        </w:rPr>
        <w:t>稱藥毒</w:t>
      </w:r>
      <w:proofErr w:type="gramEnd"/>
      <w:r w:rsidR="00CC067C" w:rsidRPr="007B560F">
        <w:rPr>
          <w:rFonts w:hint="eastAsia"/>
          <w:color w:val="000000" w:themeColor="text1"/>
        </w:rPr>
        <w:t>所)</w:t>
      </w:r>
      <w:r w:rsidRPr="007B560F">
        <w:rPr>
          <w:rFonts w:hint="eastAsia"/>
          <w:color w:val="000000" w:themeColor="text1"/>
        </w:rPr>
        <w:t>研發之「質</w:t>
      </w:r>
      <w:proofErr w:type="gramStart"/>
      <w:r w:rsidRPr="007B560F">
        <w:rPr>
          <w:rFonts w:hint="eastAsia"/>
          <w:color w:val="000000" w:themeColor="text1"/>
        </w:rPr>
        <w:t>譜快檢</w:t>
      </w:r>
      <w:proofErr w:type="gramEnd"/>
      <w:r w:rsidRPr="007B560F">
        <w:rPr>
          <w:rFonts w:hint="eastAsia"/>
          <w:color w:val="000000" w:themeColor="text1"/>
        </w:rPr>
        <w:t>法」，可檢出191種農藥，依農委會核准的369種農藥計算，檢出率超過五成，且該191種農藥是作物生產者較常使用的種類，加以檢出時間平均只需要10至15分鐘，可迅速於蔬果拍賣前得知檢驗結果，又可精確定性定量，是該法明顯較「生化法」較高精</w:t>
      </w:r>
      <w:proofErr w:type="gramStart"/>
      <w:r w:rsidRPr="007B560F">
        <w:rPr>
          <w:rFonts w:hint="eastAsia"/>
          <w:color w:val="000000" w:themeColor="text1"/>
        </w:rPr>
        <w:t>準</w:t>
      </w:r>
      <w:proofErr w:type="gramEnd"/>
      <w:r w:rsidRPr="007B560F">
        <w:rPr>
          <w:rFonts w:hint="eastAsia"/>
          <w:color w:val="000000" w:themeColor="text1"/>
        </w:rPr>
        <w:t>度與效益性。</w:t>
      </w:r>
      <w:proofErr w:type="gramStart"/>
      <w:r w:rsidRPr="007B560F">
        <w:rPr>
          <w:rFonts w:hint="eastAsia"/>
          <w:color w:val="000000" w:themeColor="text1"/>
        </w:rPr>
        <w:t>食藥署</w:t>
      </w:r>
      <w:proofErr w:type="gramEnd"/>
      <w:r w:rsidRPr="007B560F">
        <w:rPr>
          <w:rFonts w:hint="eastAsia"/>
          <w:color w:val="000000" w:themeColor="text1"/>
        </w:rPr>
        <w:t>於108年6月28日將</w:t>
      </w:r>
      <w:proofErr w:type="gramStart"/>
      <w:r w:rsidRPr="007B560F">
        <w:rPr>
          <w:rFonts w:hint="eastAsia"/>
          <w:color w:val="000000" w:themeColor="text1"/>
        </w:rPr>
        <w:t>該質譜快篩檢驗</w:t>
      </w:r>
      <w:proofErr w:type="gramEnd"/>
      <w:r w:rsidRPr="007B560F">
        <w:rPr>
          <w:rFonts w:hint="eastAsia"/>
          <w:color w:val="000000" w:themeColor="text1"/>
        </w:rPr>
        <w:t>技術，公開為我國農藥殘留建議檢驗方法「食品中殘留農藥之檢驗方法</w:t>
      </w:r>
      <w:proofErr w:type="gramStart"/>
      <w:r w:rsidRPr="007B560F">
        <w:rPr>
          <w:rFonts w:hint="eastAsia"/>
          <w:color w:val="000000" w:themeColor="text1"/>
        </w:rPr>
        <w:t>─</w:t>
      </w:r>
      <w:proofErr w:type="gramEnd"/>
      <w:r w:rsidRPr="007B560F">
        <w:rPr>
          <w:rFonts w:hint="eastAsia"/>
          <w:color w:val="000000" w:themeColor="text1"/>
        </w:rPr>
        <w:t>質譜快速篩檢技術(TFDAP0013.00)」。關於國內各拍賣市場農藥殘留檢測技術之提升問題，農委會表示略</w:t>
      </w:r>
      <w:proofErr w:type="gramStart"/>
      <w:r w:rsidRPr="007B560F">
        <w:rPr>
          <w:rFonts w:hint="eastAsia"/>
          <w:color w:val="000000" w:themeColor="text1"/>
        </w:rPr>
        <w:t>以</w:t>
      </w:r>
      <w:proofErr w:type="gramEnd"/>
      <w:r w:rsidRPr="007B560F">
        <w:rPr>
          <w:rFonts w:hint="eastAsia"/>
          <w:color w:val="000000" w:themeColor="text1"/>
        </w:rPr>
        <w:t>：因「質</w:t>
      </w:r>
      <w:proofErr w:type="gramStart"/>
      <w:r w:rsidRPr="007B560F">
        <w:rPr>
          <w:rFonts w:hint="eastAsia"/>
          <w:color w:val="000000" w:themeColor="text1"/>
        </w:rPr>
        <w:t>譜快檢</w:t>
      </w:r>
      <w:proofErr w:type="gramEnd"/>
      <w:r w:rsidRPr="007B560F">
        <w:rPr>
          <w:rFonts w:hint="eastAsia"/>
          <w:color w:val="000000" w:themeColor="text1"/>
        </w:rPr>
        <w:t>法」總設備成本約需900萬元，對果菜市場而言略有成本壓力，會</w:t>
      </w:r>
      <w:proofErr w:type="gramStart"/>
      <w:r w:rsidRPr="007B560F">
        <w:rPr>
          <w:rFonts w:hint="eastAsia"/>
          <w:color w:val="000000" w:themeColor="text1"/>
        </w:rPr>
        <w:t>研</w:t>
      </w:r>
      <w:proofErr w:type="gramEnd"/>
      <w:r w:rsidRPr="007B560F">
        <w:rPr>
          <w:rFonts w:hint="eastAsia"/>
          <w:color w:val="000000" w:themeColor="text1"/>
        </w:rPr>
        <w:t>議是否辦理補助計畫或先於北、中、南及</w:t>
      </w:r>
      <w:proofErr w:type="gramStart"/>
      <w:r w:rsidRPr="007B560F">
        <w:rPr>
          <w:rFonts w:hint="eastAsia"/>
          <w:color w:val="000000" w:themeColor="text1"/>
        </w:rPr>
        <w:t>東部選點設置</w:t>
      </w:r>
      <w:proofErr w:type="gramEnd"/>
      <w:r w:rsidRPr="007B560F">
        <w:rPr>
          <w:rFonts w:hint="eastAsia"/>
          <w:color w:val="000000" w:themeColor="text1"/>
        </w:rPr>
        <w:t>該檢驗設備等語。是農委會所屬既已研發得兼具快速及高準確度之檢驗方法，農委會宜擴大推廣與應用，尤其目前果菜市場所採用之「生化法」檢出效果不及兩成，無法有效攔截農藥殘留超標之產品。</w:t>
      </w:r>
    </w:p>
    <w:p w:rsidR="00BF77F1" w:rsidRPr="007B560F" w:rsidRDefault="00BF77F1" w:rsidP="00BF77F1">
      <w:pPr>
        <w:pStyle w:val="3"/>
        <w:numPr>
          <w:ilvl w:val="2"/>
          <w:numId w:val="9"/>
        </w:numPr>
        <w:ind w:leftChars="200"/>
        <w:rPr>
          <w:rFonts w:hAnsi="標楷體"/>
          <w:color w:val="000000" w:themeColor="text1"/>
        </w:rPr>
      </w:pPr>
      <w:r w:rsidRPr="007B560F">
        <w:rPr>
          <w:rFonts w:hAnsi="標楷體" w:hint="eastAsia"/>
          <w:color w:val="000000" w:themeColor="text1"/>
        </w:rPr>
        <w:t>承上述，目前國內48處果菜批發市場除北農公司所經營的果菜批發市場外，餘對於農產品農藥殘留抽檢仍使用</w:t>
      </w:r>
      <w:r w:rsidRPr="007B560F">
        <w:rPr>
          <w:rFonts w:hint="eastAsia"/>
          <w:color w:val="000000" w:themeColor="text1"/>
        </w:rPr>
        <w:t>「</w:t>
      </w:r>
      <w:r w:rsidRPr="007B560F">
        <w:rPr>
          <w:rFonts w:hAnsi="標楷體" w:hint="eastAsia"/>
          <w:color w:val="000000" w:themeColor="text1"/>
        </w:rPr>
        <w:t>生化法</w:t>
      </w:r>
      <w:r w:rsidRPr="007B560F">
        <w:rPr>
          <w:rFonts w:hint="eastAsia"/>
          <w:color w:val="000000" w:themeColor="text1"/>
        </w:rPr>
        <w:t>」</w:t>
      </w:r>
      <w:r w:rsidRPr="007B560F">
        <w:rPr>
          <w:rFonts w:hAnsi="標楷體" w:hint="eastAsia"/>
          <w:color w:val="000000" w:themeColor="text1"/>
        </w:rPr>
        <w:t>，該法所能檢出的農藥數量不及核准使用農藥數量的兩成，有八成以上農藥無法以</w:t>
      </w:r>
      <w:proofErr w:type="gramStart"/>
      <w:r w:rsidRPr="007B560F">
        <w:rPr>
          <w:rFonts w:hAnsi="標楷體" w:hint="eastAsia"/>
          <w:color w:val="000000" w:themeColor="text1"/>
        </w:rPr>
        <w:t>該法檢出</w:t>
      </w:r>
      <w:proofErr w:type="gramEnd"/>
      <w:r w:rsidRPr="007B560F">
        <w:rPr>
          <w:rFonts w:hAnsi="標楷體" w:hint="eastAsia"/>
          <w:color w:val="000000" w:themeColor="text1"/>
        </w:rPr>
        <w:t>。農委會所屬既已研發得</w:t>
      </w:r>
      <w:r w:rsidRPr="007B560F">
        <w:rPr>
          <w:rFonts w:hint="eastAsia"/>
          <w:color w:val="000000" w:themeColor="text1"/>
        </w:rPr>
        <w:t>兼具快速及高準確度之「質</w:t>
      </w:r>
      <w:proofErr w:type="gramStart"/>
      <w:r w:rsidRPr="007B560F">
        <w:rPr>
          <w:rFonts w:hint="eastAsia"/>
          <w:color w:val="000000" w:themeColor="text1"/>
        </w:rPr>
        <w:t>譜快檢</w:t>
      </w:r>
      <w:proofErr w:type="gramEnd"/>
      <w:r w:rsidRPr="007B560F">
        <w:rPr>
          <w:rFonts w:hint="eastAsia"/>
          <w:color w:val="000000" w:themeColor="text1"/>
        </w:rPr>
        <w:t>法」，則</w:t>
      </w:r>
      <w:r w:rsidR="008212B8" w:rsidRPr="007B560F">
        <w:rPr>
          <w:rFonts w:hint="eastAsia"/>
          <w:color w:val="000000" w:themeColor="text1"/>
        </w:rPr>
        <w:t>宜</w:t>
      </w:r>
      <w:r w:rsidRPr="007B560F">
        <w:rPr>
          <w:rFonts w:hint="eastAsia"/>
          <w:color w:val="000000" w:themeColor="text1"/>
        </w:rPr>
        <w:t>積極擴大推廣與應用，改善果菜批發市場檢驗技術，以達先檢驗、後銷售的把關效益。</w:t>
      </w:r>
    </w:p>
    <w:p w:rsidR="00BF77F1" w:rsidRPr="007B560F" w:rsidRDefault="00BF77F1" w:rsidP="00BF77F1">
      <w:pPr>
        <w:pStyle w:val="2"/>
        <w:numPr>
          <w:ilvl w:val="1"/>
          <w:numId w:val="9"/>
        </w:numPr>
        <w:rPr>
          <w:rFonts w:hAnsi="標楷體"/>
          <w:b/>
          <w:color w:val="000000" w:themeColor="text1"/>
        </w:rPr>
      </w:pPr>
      <w:r w:rsidRPr="007B560F">
        <w:rPr>
          <w:rFonts w:hAnsi="標楷體" w:hint="eastAsia"/>
          <w:b/>
          <w:color w:val="000000" w:themeColor="text1"/>
        </w:rPr>
        <w:lastRenderedPageBreak/>
        <w:t>農委會及</w:t>
      </w:r>
      <w:proofErr w:type="gramStart"/>
      <w:r w:rsidRPr="007B560F">
        <w:rPr>
          <w:rFonts w:hAnsi="標楷體" w:hint="eastAsia"/>
          <w:b/>
          <w:color w:val="000000" w:themeColor="text1"/>
        </w:rPr>
        <w:t>食藥署</w:t>
      </w:r>
      <w:r w:rsidR="008212B8" w:rsidRPr="007B560F">
        <w:rPr>
          <w:rFonts w:hAnsi="標楷體" w:hint="eastAsia"/>
          <w:b/>
          <w:color w:val="000000" w:themeColor="text1"/>
        </w:rPr>
        <w:t>允</w:t>
      </w:r>
      <w:proofErr w:type="gramEnd"/>
      <w:r w:rsidRPr="007B560F">
        <w:rPr>
          <w:rFonts w:hAnsi="標楷體" w:hint="eastAsia"/>
          <w:b/>
          <w:color w:val="000000" w:themeColor="text1"/>
        </w:rPr>
        <w:t>應加強輔導小農對於自產自銷蔬果之農藥使用與監測，以周延蔬果管理制度。</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農藥管理法第2條及第33條第3項規定分別：「本法所稱主管機關：在中央為行政院農業委員會；在直轄市為直轄市政府；在縣（市）為縣（市）政府」、「為維護人體安全、環境保護及生態保育，中央主管機關應訂定農藥使用、農產品農藥殘留抽驗及其他應遵行事項之辦法。」次按農藥使用及農產品農藥殘留抽驗辦法第7條第1項及第2項復規定:「為確保使用農藥安全，主管機關得派員至田間、集貨、理貨、加工、分裝或貯存等場所無償抽取農作物或農產品，並得向生產者或貨主查詢農藥使用種類或方法…</w:t>
      </w:r>
      <w:proofErr w:type="gramStart"/>
      <w:r w:rsidRPr="007B560F">
        <w:rPr>
          <w:rFonts w:hint="eastAsia"/>
          <w:color w:val="000000" w:themeColor="text1"/>
        </w:rPr>
        <w:t>…</w:t>
      </w:r>
      <w:proofErr w:type="gramEnd"/>
      <w:r w:rsidRPr="007B560F">
        <w:rPr>
          <w:rFonts w:hint="eastAsia"/>
          <w:color w:val="000000" w:themeColor="text1"/>
        </w:rPr>
        <w:t>」另按食品安全衛生管理法第2條：「本法所稱主管機關：在中央為衛生福利主管機關；在直轄市為直轄市政府；在縣（市）為縣（市）政府。」同法第41條及第42條：「(第1項)直轄市、縣（市）主管機關為確保食品、食品添加物、食品器具、食品容器或包裝及食品</w:t>
      </w:r>
      <w:proofErr w:type="gramStart"/>
      <w:r w:rsidRPr="007B560F">
        <w:rPr>
          <w:rFonts w:hint="eastAsia"/>
          <w:color w:val="000000" w:themeColor="text1"/>
        </w:rPr>
        <w:t>用洗潔劑</w:t>
      </w:r>
      <w:proofErr w:type="gramEnd"/>
      <w:r w:rsidRPr="007B560F">
        <w:rPr>
          <w:rFonts w:hint="eastAsia"/>
          <w:color w:val="000000" w:themeColor="text1"/>
        </w:rPr>
        <w:t>符合本法規定，得執行下列措施，業者應配合，不得規避、妨礙或拒絕：一、進入製造、加工、調配、包裝、運送、貯存、販賣場所執行現場查核及抽樣檢驗…</w:t>
      </w:r>
      <w:proofErr w:type="gramStart"/>
      <w:r w:rsidRPr="007B560F">
        <w:rPr>
          <w:rFonts w:hint="eastAsia"/>
          <w:color w:val="000000" w:themeColor="text1"/>
        </w:rPr>
        <w:t>…</w:t>
      </w:r>
      <w:proofErr w:type="gramEnd"/>
      <w:r w:rsidRPr="007B560F">
        <w:rPr>
          <w:rFonts w:hint="eastAsia"/>
          <w:color w:val="000000" w:themeColor="text1"/>
        </w:rPr>
        <w:t>。(第2項)中央主管機關於必要時，亦得為前項規定之措施。」「前條查核、檢驗與管制措施及其他應遵行事項之辦法，由中央主管機關定之。」基此，農委會及衛福部基於中央主管機關權責，分別訂有農藥殘留抽驗相關規定，且農委會及</w:t>
      </w:r>
      <w:proofErr w:type="gramStart"/>
      <w:r w:rsidRPr="007B560F">
        <w:rPr>
          <w:rFonts w:hint="eastAsia"/>
          <w:color w:val="000000" w:themeColor="text1"/>
        </w:rPr>
        <w:t>衛福部已建立</w:t>
      </w:r>
      <w:proofErr w:type="gramEnd"/>
      <w:r w:rsidRPr="007B560F">
        <w:rPr>
          <w:rFonts w:hint="eastAsia"/>
          <w:color w:val="000000" w:themeColor="text1"/>
        </w:rPr>
        <w:t>分工機制，農委會主責上市前田間及集貨場之抽檢，</w:t>
      </w:r>
      <w:proofErr w:type="gramStart"/>
      <w:r w:rsidRPr="007B560F">
        <w:rPr>
          <w:rFonts w:hint="eastAsia"/>
          <w:color w:val="000000" w:themeColor="text1"/>
        </w:rPr>
        <w:t>食藥署</w:t>
      </w:r>
      <w:proofErr w:type="gramEnd"/>
      <w:r w:rsidRPr="007B560F">
        <w:rPr>
          <w:rFonts w:hint="eastAsia"/>
          <w:color w:val="000000" w:themeColor="text1"/>
        </w:rPr>
        <w:t>則負責上市後</w:t>
      </w:r>
      <w:proofErr w:type="gramStart"/>
      <w:r w:rsidRPr="007B560F">
        <w:rPr>
          <w:rFonts w:hint="eastAsia"/>
          <w:color w:val="000000" w:themeColor="text1"/>
        </w:rPr>
        <w:t>市售端流通</w:t>
      </w:r>
      <w:proofErr w:type="gramEnd"/>
      <w:r w:rsidRPr="007B560F">
        <w:rPr>
          <w:rFonts w:hint="eastAsia"/>
          <w:color w:val="000000" w:themeColor="text1"/>
        </w:rPr>
        <w:t>販售場域之抽檢。</w:t>
      </w:r>
    </w:p>
    <w:p w:rsidR="00BF77F1" w:rsidRPr="007B560F" w:rsidRDefault="00BB37C2" w:rsidP="0060682D">
      <w:pPr>
        <w:pStyle w:val="3"/>
        <w:numPr>
          <w:ilvl w:val="2"/>
          <w:numId w:val="9"/>
        </w:numPr>
        <w:rPr>
          <w:color w:val="000000" w:themeColor="text1"/>
        </w:rPr>
      </w:pPr>
      <w:r w:rsidRPr="007B560F">
        <w:rPr>
          <w:rFonts w:hint="eastAsia"/>
          <w:color w:val="000000" w:themeColor="text1"/>
        </w:rPr>
        <w:t>查</w:t>
      </w:r>
      <w:r w:rsidR="00BF77F1" w:rsidRPr="007B560F">
        <w:rPr>
          <w:rFonts w:hint="eastAsia"/>
          <w:color w:val="000000" w:themeColor="text1"/>
        </w:rPr>
        <w:t>國內觀光風景區及傳統市場常見「小農」自產自銷蔬果，有關其農藥使用輔導及田間農藥殘留抽檢</w:t>
      </w:r>
      <w:r w:rsidR="00BF77F1" w:rsidRPr="007B560F">
        <w:rPr>
          <w:rFonts w:hint="eastAsia"/>
          <w:color w:val="000000" w:themeColor="text1"/>
        </w:rPr>
        <w:lastRenderedPageBreak/>
        <w:t>情形，農委會表示：目前對於「小農」及「小面積耕作」並無定義，且不論是否為小農，皆屬「農作物農藥殘留監測與管制計畫」田間及集貨場之抽檢監測範圍，目前並無特別針對此對象進行監測等語。</w:t>
      </w:r>
      <w:proofErr w:type="gramStart"/>
      <w:r w:rsidR="00BF77F1" w:rsidRPr="007B560F">
        <w:rPr>
          <w:rFonts w:hint="eastAsia"/>
          <w:color w:val="000000" w:themeColor="text1"/>
        </w:rPr>
        <w:t>惟</w:t>
      </w:r>
      <w:proofErr w:type="gramEnd"/>
      <w:r w:rsidR="00BF77F1" w:rsidRPr="007B560F">
        <w:rPr>
          <w:rFonts w:hint="eastAsia"/>
          <w:color w:val="000000" w:themeColor="text1"/>
        </w:rPr>
        <w:t>小農所自產自銷蔬果，並未經由集貨場出貨，自當脫離集貨場階段的農藥殘留把關，再</w:t>
      </w:r>
      <w:proofErr w:type="gramStart"/>
      <w:r w:rsidR="00BF77F1" w:rsidRPr="007B560F">
        <w:rPr>
          <w:rFonts w:hint="eastAsia"/>
          <w:color w:val="000000" w:themeColor="text1"/>
        </w:rPr>
        <w:t>且</w:t>
      </w:r>
      <w:proofErr w:type="gramEnd"/>
      <w:r w:rsidR="00BF77F1" w:rsidRPr="007B560F">
        <w:rPr>
          <w:rFonts w:hint="eastAsia"/>
          <w:color w:val="000000" w:themeColor="text1"/>
        </w:rPr>
        <w:t>，小農多屬小面積耕作，依目前農委會對於田間抽檢對象多偏重於具4張1Q者而言，實際上自無法觸及小農，此由該會無法查復關於近年小農於田間抽檢作業被抽檢到之</w:t>
      </w:r>
      <w:r w:rsidR="002205FF" w:rsidRPr="007B560F">
        <w:rPr>
          <w:rFonts w:hint="eastAsia"/>
          <w:color w:val="000000" w:themeColor="text1"/>
        </w:rPr>
        <w:t>比率與</w:t>
      </w:r>
      <w:r w:rsidR="00B31C1C" w:rsidRPr="007B560F">
        <w:rPr>
          <w:rFonts w:hint="eastAsia"/>
          <w:color w:val="000000" w:themeColor="text1"/>
        </w:rPr>
        <w:t>情</w:t>
      </w:r>
      <w:r w:rsidR="002205FF" w:rsidRPr="007B560F">
        <w:rPr>
          <w:rFonts w:hint="eastAsia"/>
          <w:color w:val="000000" w:themeColor="text1"/>
        </w:rPr>
        <w:t>形乙節，即可見一斑</w:t>
      </w:r>
      <w:r w:rsidR="00BF77F1" w:rsidRPr="007B560F">
        <w:rPr>
          <w:rFonts w:hint="eastAsia"/>
          <w:color w:val="000000" w:themeColor="text1"/>
        </w:rPr>
        <w:t>。</w:t>
      </w:r>
    </w:p>
    <w:p w:rsidR="00BF77F1" w:rsidRPr="007B560F" w:rsidRDefault="00BF77F1" w:rsidP="00BF77F1">
      <w:pPr>
        <w:pStyle w:val="3"/>
        <w:numPr>
          <w:ilvl w:val="2"/>
          <w:numId w:val="9"/>
        </w:numPr>
        <w:rPr>
          <w:color w:val="000000" w:themeColor="text1"/>
        </w:rPr>
      </w:pPr>
      <w:r w:rsidRPr="007B560F">
        <w:rPr>
          <w:rFonts w:hint="eastAsia"/>
          <w:color w:val="000000" w:themeColor="text1"/>
        </w:rPr>
        <w:t>另於市場銷售階段之抽檢，</w:t>
      </w:r>
      <w:proofErr w:type="gramStart"/>
      <w:r w:rsidRPr="007B560F">
        <w:rPr>
          <w:rFonts w:hint="eastAsia"/>
          <w:color w:val="000000" w:themeColor="text1"/>
        </w:rPr>
        <w:t>食藥署</w:t>
      </w:r>
      <w:proofErr w:type="gramEnd"/>
      <w:r w:rsidRPr="007B560F">
        <w:rPr>
          <w:rFonts w:hint="eastAsia"/>
          <w:color w:val="000000" w:themeColor="text1"/>
        </w:rPr>
        <w:t>表示：為強化上市食品之安全，每年規劃「市售農產品農藥殘留監測計畫」，抽驗範圍包含傳統市場、量販店、超市、</w:t>
      </w:r>
      <w:proofErr w:type="gramStart"/>
      <w:r w:rsidRPr="007B560F">
        <w:rPr>
          <w:rFonts w:hint="eastAsia"/>
          <w:color w:val="000000" w:themeColor="text1"/>
        </w:rPr>
        <w:t>團膳及其他等場</w:t>
      </w:r>
      <w:proofErr w:type="gramEnd"/>
      <w:r w:rsidRPr="007B560F">
        <w:rPr>
          <w:rFonts w:hint="eastAsia"/>
          <w:color w:val="000000" w:themeColor="text1"/>
        </w:rPr>
        <w:t>域，其中傳統市場即為以零售及劃分攤(鋪)位方式，</w:t>
      </w:r>
      <w:proofErr w:type="gramStart"/>
      <w:r w:rsidRPr="007B560F">
        <w:rPr>
          <w:rFonts w:hint="eastAsia"/>
          <w:color w:val="000000" w:themeColor="text1"/>
        </w:rPr>
        <w:t>提供蔬、</w:t>
      </w:r>
      <w:proofErr w:type="gramEnd"/>
      <w:r w:rsidRPr="007B560F">
        <w:rPr>
          <w:rFonts w:hint="eastAsia"/>
          <w:color w:val="000000" w:themeColor="text1"/>
        </w:rPr>
        <w:t>果、魚、肉類及其他民生用品集中零售之營業場所，包含固定/流動攤販、果菜行及零售菜攤等；抽驗地點之規劃係依生鮮超市、傳統市場及</w:t>
      </w:r>
      <w:proofErr w:type="gramStart"/>
      <w:r w:rsidRPr="007B560F">
        <w:rPr>
          <w:rFonts w:hint="eastAsia"/>
          <w:color w:val="000000" w:themeColor="text1"/>
        </w:rPr>
        <w:t>團膳與其他類</w:t>
      </w:r>
      <w:proofErr w:type="gramEnd"/>
      <w:r w:rsidRPr="007B560F">
        <w:rPr>
          <w:rFonts w:hint="eastAsia"/>
          <w:color w:val="000000" w:themeColor="text1"/>
        </w:rPr>
        <w:t>劃分類別按比例配置抽驗件數交由地方政府衛生局執行實地抽驗等語。據上，</w:t>
      </w:r>
      <w:proofErr w:type="gramStart"/>
      <w:r w:rsidRPr="007B560F">
        <w:rPr>
          <w:rFonts w:hint="eastAsia"/>
          <w:color w:val="000000" w:themeColor="text1"/>
        </w:rPr>
        <w:t>食藥署僅</w:t>
      </w:r>
      <w:proofErr w:type="gramEnd"/>
      <w:r w:rsidRPr="007B560F">
        <w:rPr>
          <w:rFonts w:hint="eastAsia"/>
          <w:color w:val="000000" w:themeColor="text1"/>
        </w:rPr>
        <w:t>回復「小農」自產自銷的產品係屬「市售農產品農藥殘留監測計畫」之範圍，惟實際</w:t>
      </w:r>
      <w:r w:rsidR="00D117DE" w:rsidRPr="007B560F">
        <w:rPr>
          <w:rFonts w:hint="eastAsia"/>
          <w:color w:val="000000" w:themeColor="text1"/>
        </w:rPr>
        <w:t>上是否曾抽檢卻無法證實，且該署亦無法提供近年對於小農之抽檢數量與</w:t>
      </w:r>
      <w:r w:rsidRPr="007B560F">
        <w:rPr>
          <w:rFonts w:hint="eastAsia"/>
          <w:color w:val="000000" w:themeColor="text1"/>
        </w:rPr>
        <w:t>結果，顯見在市場銷售端，</w:t>
      </w:r>
      <w:proofErr w:type="gramStart"/>
      <w:r w:rsidRPr="007B560F">
        <w:rPr>
          <w:rFonts w:hint="eastAsia"/>
          <w:color w:val="000000" w:themeColor="text1"/>
        </w:rPr>
        <w:t>食藥署</w:t>
      </w:r>
      <w:proofErr w:type="gramEnd"/>
      <w:r w:rsidRPr="007B560F">
        <w:rPr>
          <w:rFonts w:hint="eastAsia"/>
          <w:color w:val="000000" w:themeColor="text1"/>
        </w:rPr>
        <w:t>並未曾瞭解小農自產自銷產品之農藥殘留情形，形成風險管理之漏洞。</w:t>
      </w:r>
    </w:p>
    <w:p w:rsidR="00BF77F1" w:rsidRPr="007B560F" w:rsidRDefault="00BF77F1" w:rsidP="00BF77F1">
      <w:pPr>
        <w:pStyle w:val="3"/>
        <w:numPr>
          <w:ilvl w:val="2"/>
          <w:numId w:val="9"/>
        </w:numPr>
        <w:rPr>
          <w:rFonts w:hAnsi="標楷體"/>
          <w:b/>
          <w:color w:val="000000" w:themeColor="text1"/>
        </w:rPr>
      </w:pPr>
      <w:r w:rsidRPr="007B560F">
        <w:rPr>
          <w:rFonts w:hint="eastAsia"/>
          <w:color w:val="000000" w:themeColor="text1"/>
        </w:rPr>
        <w:t>綜上，農委會及</w:t>
      </w:r>
      <w:proofErr w:type="gramStart"/>
      <w:r w:rsidRPr="007B560F">
        <w:rPr>
          <w:rFonts w:hint="eastAsia"/>
          <w:color w:val="000000" w:themeColor="text1"/>
        </w:rPr>
        <w:t>食藥署</w:t>
      </w:r>
      <w:proofErr w:type="gramEnd"/>
      <w:r w:rsidRPr="007B560F">
        <w:rPr>
          <w:rFonts w:hint="eastAsia"/>
          <w:color w:val="000000" w:themeColor="text1"/>
        </w:rPr>
        <w:t>目前關於田間、集貨場、批發市場及各</w:t>
      </w:r>
      <w:proofErr w:type="gramStart"/>
      <w:r w:rsidRPr="007B560F">
        <w:rPr>
          <w:rFonts w:hint="eastAsia"/>
          <w:color w:val="000000" w:themeColor="text1"/>
        </w:rPr>
        <w:t>市售端販售</w:t>
      </w:r>
      <w:proofErr w:type="gramEnd"/>
      <w:r w:rsidRPr="007B560F">
        <w:rPr>
          <w:rFonts w:hint="eastAsia"/>
          <w:color w:val="000000" w:themeColor="text1"/>
        </w:rPr>
        <w:t>場域等之蔬果農藥殘留監測機制，並無法瞭解「小農」自產自銷產品之農藥殘留安全性，易形成風險管理漏洞，宜以輔導立場，強化農藥使用與監測措施，以周延蔬果管理制度。</w:t>
      </w:r>
    </w:p>
    <w:p w:rsidR="00BF77F1" w:rsidRPr="007B560F" w:rsidRDefault="00BF77F1" w:rsidP="00755C19">
      <w:pPr>
        <w:pStyle w:val="2"/>
        <w:rPr>
          <w:b/>
          <w:color w:val="000000" w:themeColor="text1"/>
          <w:szCs w:val="36"/>
        </w:rPr>
      </w:pPr>
      <w:r w:rsidRPr="007B560F">
        <w:rPr>
          <w:rFonts w:hint="eastAsia"/>
          <w:b/>
          <w:color w:val="000000" w:themeColor="text1"/>
        </w:rPr>
        <w:lastRenderedPageBreak/>
        <w:t>進口</w:t>
      </w:r>
      <w:r w:rsidR="000005D4" w:rsidRPr="007B560F">
        <w:rPr>
          <w:rFonts w:hint="eastAsia"/>
          <w:b/>
          <w:color w:val="000000" w:themeColor="text1"/>
        </w:rPr>
        <w:t>蔬果</w:t>
      </w:r>
      <w:r w:rsidR="007655B8" w:rsidRPr="007B560F">
        <w:rPr>
          <w:rFonts w:hint="eastAsia"/>
          <w:b/>
          <w:color w:val="000000" w:themeColor="text1"/>
        </w:rPr>
        <w:t>由</w:t>
      </w:r>
      <w:proofErr w:type="gramStart"/>
      <w:r w:rsidR="007655B8" w:rsidRPr="007B560F">
        <w:rPr>
          <w:rFonts w:hint="eastAsia"/>
          <w:b/>
          <w:color w:val="000000" w:themeColor="text1"/>
        </w:rPr>
        <w:t>食藥署</w:t>
      </w:r>
      <w:proofErr w:type="gramEnd"/>
      <w:r w:rsidR="007655B8" w:rsidRPr="007B560F">
        <w:rPr>
          <w:rFonts w:hint="eastAsia"/>
          <w:b/>
          <w:color w:val="000000" w:themeColor="text1"/>
        </w:rPr>
        <w:t>於海關檢驗</w:t>
      </w:r>
      <w:r w:rsidRPr="007B560F">
        <w:rPr>
          <w:rFonts w:hint="eastAsia"/>
          <w:b/>
          <w:color w:val="000000" w:themeColor="text1"/>
        </w:rPr>
        <w:t>放行後，</w:t>
      </w:r>
      <w:r w:rsidR="007655B8" w:rsidRPr="007B560F">
        <w:rPr>
          <w:rFonts w:hint="eastAsia"/>
          <w:b/>
          <w:color w:val="000000" w:themeColor="text1"/>
        </w:rPr>
        <w:t>即</w:t>
      </w:r>
      <w:r w:rsidRPr="007B560F">
        <w:rPr>
          <w:rFonts w:hint="eastAsia"/>
          <w:b/>
          <w:color w:val="000000" w:themeColor="text1"/>
        </w:rPr>
        <w:t>流向委託輸入業者、大盤商、小盤商及下游各市場</w:t>
      </w:r>
      <w:r w:rsidR="007655B8" w:rsidRPr="007B560F">
        <w:rPr>
          <w:rFonts w:hint="eastAsia"/>
          <w:b/>
          <w:color w:val="000000" w:themeColor="text1"/>
        </w:rPr>
        <w:t>…</w:t>
      </w:r>
      <w:proofErr w:type="gramStart"/>
      <w:r w:rsidR="007655B8" w:rsidRPr="007B560F">
        <w:rPr>
          <w:rFonts w:hint="eastAsia"/>
          <w:b/>
          <w:color w:val="000000" w:themeColor="text1"/>
        </w:rPr>
        <w:t>…</w:t>
      </w:r>
      <w:proofErr w:type="gramEnd"/>
      <w:r w:rsidRPr="007B560F">
        <w:rPr>
          <w:rFonts w:hint="eastAsia"/>
          <w:b/>
          <w:color w:val="000000" w:themeColor="text1"/>
        </w:rPr>
        <w:t>等</w:t>
      </w:r>
      <w:r w:rsidR="007655B8" w:rsidRPr="007B560F">
        <w:rPr>
          <w:rFonts w:hint="eastAsia"/>
          <w:b/>
          <w:color w:val="000000" w:themeColor="text1"/>
        </w:rPr>
        <w:t>，其</w:t>
      </w:r>
      <w:r w:rsidRPr="007B560F">
        <w:rPr>
          <w:rFonts w:hint="eastAsia"/>
          <w:b/>
          <w:color w:val="000000" w:themeColor="text1"/>
        </w:rPr>
        <w:t>數量</w:t>
      </w:r>
      <w:r w:rsidR="007655B8" w:rsidRPr="007B560F">
        <w:rPr>
          <w:rFonts w:hint="eastAsia"/>
          <w:b/>
          <w:color w:val="000000" w:themeColor="text1"/>
        </w:rPr>
        <w:t>及種類皆</w:t>
      </w:r>
      <w:r w:rsidRPr="007B560F">
        <w:rPr>
          <w:rFonts w:hint="eastAsia"/>
          <w:b/>
          <w:color w:val="000000" w:themeColor="text1"/>
        </w:rPr>
        <w:t>無法自產品末端向上溯源至各上游</w:t>
      </w:r>
      <w:r w:rsidR="002205FF" w:rsidRPr="007B560F">
        <w:rPr>
          <w:rFonts w:hint="eastAsia"/>
          <w:b/>
          <w:color w:val="000000" w:themeColor="text1"/>
        </w:rPr>
        <w:t>業</w:t>
      </w:r>
      <w:r w:rsidRPr="007B560F">
        <w:rPr>
          <w:rFonts w:hint="eastAsia"/>
          <w:b/>
          <w:color w:val="000000" w:themeColor="text1"/>
        </w:rPr>
        <w:t>者</w:t>
      </w:r>
      <w:r w:rsidR="003A3FFC" w:rsidRPr="007B560F">
        <w:rPr>
          <w:rFonts w:hint="eastAsia"/>
          <w:b/>
          <w:color w:val="000000" w:themeColor="text1"/>
        </w:rPr>
        <w:t>，</w:t>
      </w:r>
      <w:r w:rsidR="000005D4" w:rsidRPr="007B560F">
        <w:rPr>
          <w:rFonts w:hint="eastAsia"/>
          <w:b/>
          <w:color w:val="000000" w:themeColor="text1"/>
        </w:rPr>
        <w:t>未符食品安全衛生管理法第9條關於建立可追溯性制度</w:t>
      </w:r>
      <w:r w:rsidR="00755C19" w:rsidRPr="007B560F">
        <w:rPr>
          <w:rFonts w:hint="eastAsia"/>
          <w:b/>
          <w:color w:val="000000" w:themeColor="text1"/>
        </w:rPr>
        <w:t>以完善食品安全網</w:t>
      </w:r>
      <w:r w:rsidR="000005D4" w:rsidRPr="007B560F">
        <w:rPr>
          <w:rFonts w:hint="eastAsia"/>
          <w:b/>
          <w:color w:val="000000" w:themeColor="text1"/>
        </w:rPr>
        <w:t>之立法意旨</w:t>
      </w:r>
      <w:r w:rsidRPr="007B560F">
        <w:rPr>
          <w:rFonts w:hint="eastAsia"/>
          <w:b/>
          <w:color w:val="000000" w:themeColor="text1"/>
        </w:rPr>
        <w:t>。</w:t>
      </w:r>
      <w:proofErr w:type="gramStart"/>
      <w:r w:rsidRPr="007B560F">
        <w:rPr>
          <w:rFonts w:hint="eastAsia"/>
          <w:b/>
          <w:color w:val="000000" w:themeColor="text1"/>
        </w:rPr>
        <w:t>食藥署</w:t>
      </w:r>
      <w:proofErr w:type="gramEnd"/>
      <w:r w:rsidR="00755C19" w:rsidRPr="007B560F">
        <w:rPr>
          <w:rFonts w:hint="eastAsia"/>
          <w:b/>
          <w:color w:val="000000" w:themeColor="text1"/>
        </w:rPr>
        <w:t>目前</w:t>
      </w:r>
      <w:r w:rsidRPr="007B560F">
        <w:rPr>
          <w:rFonts w:hint="eastAsia"/>
          <w:b/>
          <w:color w:val="000000" w:themeColor="text1"/>
        </w:rPr>
        <w:t>未有相關管理制度，</w:t>
      </w:r>
      <w:proofErr w:type="gramStart"/>
      <w:r w:rsidRPr="007B560F">
        <w:rPr>
          <w:rFonts w:hint="eastAsia"/>
          <w:b/>
          <w:color w:val="000000" w:themeColor="text1"/>
        </w:rPr>
        <w:t>致當市售端</w:t>
      </w:r>
      <w:proofErr w:type="gramEnd"/>
      <w:r w:rsidRPr="007B560F">
        <w:rPr>
          <w:rFonts w:hint="eastAsia"/>
          <w:b/>
          <w:color w:val="000000" w:themeColor="text1"/>
        </w:rPr>
        <w:t>發現有農藥殘留未合規定時，難以鎖定大盤商或委託輸入業者及進口商等追回問題產品，也無法促使其留意問題產品之國外來源，</w:t>
      </w:r>
      <w:r w:rsidR="007655B8" w:rsidRPr="007B560F">
        <w:rPr>
          <w:rFonts w:hint="eastAsia"/>
          <w:b/>
          <w:color w:val="000000" w:themeColor="text1"/>
        </w:rPr>
        <w:t>更</w:t>
      </w:r>
      <w:r w:rsidRPr="007B560F">
        <w:rPr>
          <w:rFonts w:hint="eastAsia"/>
          <w:b/>
          <w:color w:val="000000" w:themeColor="text1"/>
        </w:rPr>
        <w:t>無從及時避免國外同批次或同產地來源</w:t>
      </w:r>
      <w:r w:rsidR="007655B8" w:rsidRPr="007B560F">
        <w:rPr>
          <w:rFonts w:hint="eastAsia"/>
          <w:b/>
          <w:color w:val="000000" w:themeColor="text1"/>
        </w:rPr>
        <w:t>之</w:t>
      </w:r>
      <w:r w:rsidRPr="007B560F">
        <w:rPr>
          <w:rFonts w:hint="eastAsia"/>
          <w:b/>
          <w:color w:val="000000" w:themeColor="text1"/>
        </w:rPr>
        <w:t>問題產品再次輸入我國。該署應積極</w:t>
      </w:r>
      <w:proofErr w:type="gramStart"/>
      <w:r w:rsidRPr="007B560F">
        <w:rPr>
          <w:rFonts w:hint="eastAsia"/>
          <w:b/>
          <w:color w:val="000000" w:themeColor="text1"/>
        </w:rPr>
        <w:t>研</w:t>
      </w:r>
      <w:proofErr w:type="gramEnd"/>
      <w:r w:rsidRPr="007B560F">
        <w:rPr>
          <w:rFonts w:hint="eastAsia"/>
          <w:b/>
          <w:color w:val="000000" w:themeColor="text1"/>
        </w:rPr>
        <w:t>謀改善措施，以杜絕輸入食品危害風險。</w:t>
      </w:r>
    </w:p>
    <w:p w:rsidR="00BF77F1" w:rsidRPr="007B560F" w:rsidRDefault="00BF77F1" w:rsidP="002A416F">
      <w:pPr>
        <w:pStyle w:val="3"/>
        <w:rPr>
          <w:color w:val="000000" w:themeColor="text1"/>
        </w:rPr>
      </w:pPr>
      <w:r w:rsidRPr="007B560F">
        <w:rPr>
          <w:rFonts w:hint="eastAsia"/>
          <w:color w:val="000000" w:themeColor="text1"/>
        </w:rPr>
        <w:t>按食品安全衛生管理法</w:t>
      </w:r>
      <w:r w:rsidR="002A416F" w:rsidRPr="007B560F">
        <w:rPr>
          <w:rFonts w:hint="eastAsia"/>
          <w:color w:val="000000" w:themeColor="text1"/>
        </w:rPr>
        <w:t>第3條第1款規定</w:t>
      </w:r>
      <w:r w:rsidRPr="007B560F">
        <w:rPr>
          <w:rFonts w:hint="eastAsia"/>
          <w:color w:val="000000" w:themeColor="text1"/>
        </w:rPr>
        <w:t>：</w:t>
      </w:r>
      <w:r w:rsidR="002A416F" w:rsidRPr="007B560F">
        <w:rPr>
          <w:rFonts w:hint="eastAsia"/>
          <w:color w:val="000000" w:themeColor="text1"/>
        </w:rPr>
        <w:t>「食品：</w:t>
      </w:r>
      <w:proofErr w:type="gramStart"/>
      <w:r w:rsidR="002A416F" w:rsidRPr="007B560F">
        <w:rPr>
          <w:rFonts w:hint="eastAsia"/>
          <w:color w:val="000000" w:themeColor="text1"/>
        </w:rPr>
        <w:t>指供人</w:t>
      </w:r>
      <w:proofErr w:type="gramEnd"/>
      <w:r w:rsidR="002A416F" w:rsidRPr="007B560F">
        <w:rPr>
          <w:rFonts w:hint="eastAsia"/>
          <w:color w:val="000000" w:themeColor="text1"/>
        </w:rPr>
        <w:t>飲食或咀嚼之產品及其原料。」、</w:t>
      </w:r>
      <w:r w:rsidRPr="007B560F">
        <w:rPr>
          <w:rFonts w:hint="eastAsia"/>
          <w:color w:val="000000" w:themeColor="text1"/>
        </w:rPr>
        <w:t>「輸入經中央主管機關公告之食品、基因改造食品原料、食品添加物、食品器具、食品容器或包裝及食品</w:t>
      </w:r>
      <w:proofErr w:type="gramStart"/>
      <w:r w:rsidRPr="007B560F">
        <w:rPr>
          <w:rFonts w:hint="eastAsia"/>
          <w:color w:val="000000" w:themeColor="text1"/>
        </w:rPr>
        <w:t>用洗潔劑時</w:t>
      </w:r>
      <w:proofErr w:type="gramEnd"/>
      <w:r w:rsidRPr="007B560F">
        <w:rPr>
          <w:rFonts w:hint="eastAsia"/>
          <w:color w:val="000000" w:themeColor="text1"/>
        </w:rPr>
        <w:t>，應依海關專屬貨品分類號列，向中央主管機關申請查驗並申報其產品有關資訊。」、「主管機關為追查或預防食品衛生安全事件，必要時得要求食品業者、非食品業者或其代理人提供輸入產品之相關紀錄、文件及電子檔案或資料庫，食品業者、非食品業者或其代理人不得規避、妨礙或拒絕。」同法第34條及第35條第1項復規定：「中央主管機關遇有重大食品衛生安全事件發生，或輸入產品經查驗不合格之情況嚴重時，得就相關業者、產地或產品，停止其查驗申請。」、「中央主管機關對於管控安全風險程度較高之食品，得於其輸入前，實施系統性查核。」據此，</w:t>
      </w:r>
      <w:proofErr w:type="gramStart"/>
      <w:r w:rsidRPr="007B560F">
        <w:rPr>
          <w:rFonts w:hint="eastAsia"/>
          <w:color w:val="000000" w:themeColor="text1"/>
        </w:rPr>
        <w:t>食藥署</w:t>
      </w:r>
      <w:proofErr w:type="gramEnd"/>
      <w:r w:rsidRPr="007B560F">
        <w:rPr>
          <w:rFonts w:hint="eastAsia"/>
          <w:color w:val="000000" w:themeColor="text1"/>
        </w:rPr>
        <w:t>就</w:t>
      </w:r>
      <w:r w:rsidR="00E41269" w:rsidRPr="007B560F">
        <w:rPr>
          <w:rFonts w:hint="eastAsia"/>
          <w:color w:val="000000" w:themeColor="text1"/>
        </w:rPr>
        <w:t>邊境</w:t>
      </w:r>
      <w:r w:rsidRPr="007B560F">
        <w:rPr>
          <w:rFonts w:hint="eastAsia"/>
          <w:color w:val="000000" w:themeColor="text1"/>
        </w:rPr>
        <w:t>輸入</w:t>
      </w:r>
      <w:r w:rsidR="00E41269" w:rsidRPr="007B560F">
        <w:rPr>
          <w:rFonts w:hint="eastAsia"/>
          <w:color w:val="000000" w:themeColor="text1"/>
        </w:rPr>
        <w:t>的蔬果</w:t>
      </w:r>
      <w:r w:rsidRPr="007B560F">
        <w:rPr>
          <w:rFonts w:hint="eastAsia"/>
          <w:color w:val="000000" w:themeColor="text1"/>
        </w:rPr>
        <w:t>負有查驗及安全衛生把關之權責。</w:t>
      </w:r>
    </w:p>
    <w:p w:rsidR="00BF77F1" w:rsidRPr="007B560F" w:rsidRDefault="00BF77F1" w:rsidP="00BF77F1">
      <w:pPr>
        <w:pStyle w:val="3"/>
        <w:numPr>
          <w:ilvl w:val="2"/>
          <w:numId w:val="9"/>
        </w:numPr>
        <w:rPr>
          <w:color w:val="000000" w:themeColor="text1"/>
        </w:rPr>
      </w:pPr>
      <w:r w:rsidRPr="007B560F">
        <w:rPr>
          <w:rFonts w:hint="eastAsia"/>
          <w:color w:val="000000" w:themeColor="text1"/>
        </w:rPr>
        <w:t>依</w:t>
      </w:r>
      <w:proofErr w:type="gramStart"/>
      <w:r w:rsidRPr="007B560F">
        <w:rPr>
          <w:rFonts w:hint="eastAsia"/>
          <w:color w:val="000000" w:themeColor="text1"/>
        </w:rPr>
        <w:t>農糧署</w:t>
      </w:r>
      <w:proofErr w:type="gramEnd"/>
      <w:r w:rsidRPr="007B560F">
        <w:rPr>
          <w:rFonts w:hint="eastAsia"/>
          <w:color w:val="000000" w:themeColor="text1"/>
        </w:rPr>
        <w:t>「台灣地區農產品批發市場年報」指出，107年國產及輸入「蔬菜」數量分別計286.3萬及</w:t>
      </w:r>
      <w:r w:rsidRPr="007B560F">
        <w:rPr>
          <w:rFonts w:hint="eastAsia"/>
          <w:color w:val="000000" w:themeColor="text1"/>
        </w:rPr>
        <w:lastRenderedPageBreak/>
        <w:t>40.3萬公噸，國產及輸入「水果」則分別為259.6萬及30.0萬公噸，總計當年國產及輸入蔬果計616.2萬公噸，其中國產者計545.9萬公噸、輸入者計70.3萬公噸，輸入蔬果占率約為11.4%，足見我國進口國外蔬果的比例約一成左右，詳如下表。</w:t>
      </w:r>
    </w:p>
    <w:p w:rsidR="00CC067C" w:rsidRPr="007B560F" w:rsidRDefault="00CC067C" w:rsidP="00CC067C">
      <w:pPr>
        <w:pStyle w:val="1"/>
        <w:numPr>
          <w:ilvl w:val="0"/>
          <w:numId w:val="0"/>
        </w:numPr>
        <w:ind w:left="2381" w:hanging="2381"/>
        <w:rPr>
          <w:color w:val="000000" w:themeColor="text1"/>
        </w:rPr>
      </w:pPr>
    </w:p>
    <w:p w:rsidR="00BF77F1" w:rsidRPr="007B560F" w:rsidRDefault="00BF77F1" w:rsidP="00BF77F1">
      <w:pPr>
        <w:pStyle w:val="a4"/>
        <w:numPr>
          <w:ilvl w:val="0"/>
          <w:numId w:val="7"/>
        </w:numPr>
        <w:ind w:left="1473"/>
        <w:jc w:val="center"/>
        <w:rPr>
          <w:color w:val="000000" w:themeColor="text1"/>
        </w:rPr>
      </w:pPr>
      <w:r w:rsidRPr="007B560F">
        <w:rPr>
          <w:rFonts w:hint="eastAsia"/>
          <w:color w:val="000000" w:themeColor="text1"/>
        </w:rPr>
        <w:t>107年國產及輸入</w:t>
      </w:r>
      <w:proofErr w:type="gramStart"/>
      <w:r w:rsidRPr="007B560F">
        <w:rPr>
          <w:rFonts w:hint="eastAsia"/>
          <w:color w:val="000000" w:themeColor="text1"/>
        </w:rPr>
        <w:t>蔬</w:t>
      </w:r>
      <w:proofErr w:type="gramEnd"/>
      <w:r w:rsidRPr="007B560F">
        <w:rPr>
          <w:rFonts w:hint="eastAsia"/>
          <w:color w:val="000000" w:themeColor="text1"/>
        </w:rPr>
        <w:t>水果數量</w:t>
      </w:r>
    </w:p>
    <w:p w:rsidR="00BF77F1" w:rsidRPr="007B560F" w:rsidRDefault="00BF77F1" w:rsidP="00BF77F1">
      <w:pPr>
        <w:jc w:val="right"/>
        <w:rPr>
          <w:color w:val="000000" w:themeColor="text1"/>
          <w:sz w:val="24"/>
          <w:szCs w:val="24"/>
        </w:rPr>
      </w:pPr>
      <w:r w:rsidRPr="007B560F">
        <w:rPr>
          <w:rFonts w:hint="eastAsia"/>
          <w:color w:val="000000" w:themeColor="text1"/>
          <w:sz w:val="24"/>
          <w:szCs w:val="24"/>
        </w:rPr>
        <w:t>單位：萬公噸；%</w:t>
      </w:r>
    </w:p>
    <w:tbl>
      <w:tblPr>
        <w:tblStyle w:val="afc"/>
        <w:tblW w:w="6663" w:type="dxa"/>
        <w:tblInd w:w="1696" w:type="dxa"/>
        <w:tblLook w:val="04A0" w:firstRow="1" w:lastRow="0" w:firstColumn="1" w:lastColumn="0" w:noHBand="0" w:noVBand="1"/>
      </w:tblPr>
      <w:tblGrid>
        <w:gridCol w:w="927"/>
        <w:gridCol w:w="1267"/>
        <w:gridCol w:w="1027"/>
        <w:gridCol w:w="1256"/>
        <w:gridCol w:w="817"/>
        <w:gridCol w:w="1369"/>
      </w:tblGrid>
      <w:tr w:rsidR="00A13031" w:rsidRPr="007B560F" w:rsidTr="00CC067C">
        <w:tc>
          <w:tcPr>
            <w:tcW w:w="927" w:type="dxa"/>
            <w:vMerge w:val="restart"/>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種類</w:t>
            </w:r>
          </w:p>
        </w:tc>
        <w:tc>
          <w:tcPr>
            <w:tcW w:w="2294" w:type="dxa"/>
            <w:gridSpan w:val="2"/>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國產</w:t>
            </w:r>
          </w:p>
        </w:tc>
        <w:tc>
          <w:tcPr>
            <w:tcW w:w="2073" w:type="dxa"/>
            <w:gridSpan w:val="2"/>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輸入</w:t>
            </w:r>
          </w:p>
        </w:tc>
        <w:tc>
          <w:tcPr>
            <w:tcW w:w="1369" w:type="dxa"/>
            <w:vMerge w:val="restart"/>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總計</w:t>
            </w:r>
          </w:p>
        </w:tc>
      </w:tr>
      <w:tr w:rsidR="00A13031" w:rsidRPr="007B560F" w:rsidTr="00CC067C">
        <w:tc>
          <w:tcPr>
            <w:tcW w:w="927" w:type="dxa"/>
            <w:vMerge/>
          </w:tcPr>
          <w:p w:rsidR="00BF77F1" w:rsidRPr="007B560F" w:rsidRDefault="00BF77F1" w:rsidP="00CC067C">
            <w:pPr>
              <w:pStyle w:val="3"/>
              <w:numPr>
                <w:ilvl w:val="0"/>
                <w:numId w:val="0"/>
              </w:numPr>
              <w:rPr>
                <w:color w:val="000000" w:themeColor="text1"/>
                <w:sz w:val="28"/>
                <w:szCs w:val="28"/>
              </w:rPr>
            </w:pPr>
          </w:p>
        </w:tc>
        <w:tc>
          <w:tcPr>
            <w:tcW w:w="1267" w:type="dxa"/>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數量</w:t>
            </w:r>
          </w:p>
        </w:tc>
        <w:tc>
          <w:tcPr>
            <w:tcW w:w="1027" w:type="dxa"/>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占比</w:t>
            </w:r>
          </w:p>
        </w:tc>
        <w:tc>
          <w:tcPr>
            <w:tcW w:w="1256" w:type="dxa"/>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數量</w:t>
            </w:r>
          </w:p>
        </w:tc>
        <w:tc>
          <w:tcPr>
            <w:tcW w:w="817" w:type="dxa"/>
          </w:tcPr>
          <w:p w:rsidR="00BF77F1" w:rsidRPr="007B560F" w:rsidRDefault="00BF77F1" w:rsidP="00CC067C">
            <w:pPr>
              <w:pStyle w:val="3"/>
              <w:numPr>
                <w:ilvl w:val="0"/>
                <w:numId w:val="0"/>
              </w:numPr>
              <w:jc w:val="center"/>
              <w:rPr>
                <w:b/>
                <w:color w:val="000000" w:themeColor="text1"/>
                <w:sz w:val="28"/>
                <w:szCs w:val="28"/>
              </w:rPr>
            </w:pPr>
            <w:r w:rsidRPr="007B560F">
              <w:rPr>
                <w:rFonts w:hint="eastAsia"/>
                <w:b/>
                <w:color w:val="000000" w:themeColor="text1"/>
                <w:sz w:val="28"/>
                <w:szCs w:val="28"/>
              </w:rPr>
              <w:t>占比</w:t>
            </w:r>
          </w:p>
        </w:tc>
        <w:tc>
          <w:tcPr>
            <w:tcW w:w="1369" w:type="dxa"/>
            <w:vMerge/>
          </w:tcPr>
          <w:p w:rsidR="00BF77F1" w:rsidRPr="007B560F" w:rsidRDefault="00BF77F1" w:rsidP="00CC067C">
            <w:pPr>
              <w:pStyle w:val="3"/>
              <w:numPr>
                <w:ilvl w:val="0"/>
                <w:numId w:val="0"/>
              </w:numPr>
              <w:rPr>
                <w:color w:val="000000" w:themeColor="text1"/>
                <w:sz w:val="28"/>
                <w:szCs w:val="28"/>
              </w:rPr>
            </w:pPr>
          </w:p>
        </w:tc>
      </w:tr>
      <w:tr w:rsidR="00A13031" w:rsidRPr="007B560F" w:rsidTr="00CC067C">
        <w:tc>
          <w:tcPr>
            <w:tcW w:w="927" w:type="dxa"/>
          </w:tcPr>
          <w:p w:rsidR="00BF77F1" w:rsidRPr="007B560F" w:rsidRDefault="00BF77F1" w:rsidP="00CC067C">
            <w:pPr>
              <w:pStyle w:val="3"/>
              <w:numPr>
                <w:ilvl w:val="0"/>
                <w:numId w:val="0"/>
              </w:numPr>
              <w:rPr>
                <w:color w:val="000000" w:themeColor="text1"/>
                <w:sz w:val="28"/>
                <w:szCs w:val="28"/>
              </w:rPr>
            </w:pPr>
            <w:r w:rsidRPr="007B560F">
              <w:rPr>
                <w:rFonts w:hint="eastAsia"/>
                <w:color w:val="000000" w:themeColor="text1"/>
                <w:sz w:val="28"/>
                <w:szCs w:val="28"/>
              </w:rPr>
              <w:t>蔬菜</w:t>
            </w:r>
          </w:p>
        </w:tc>
        <w:tc>
          <w:tcPr>
            <w:tcW w:w="126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286.3</w:t>
            </w:r>
          </w:p>
        </w:tc>
        <w:tc>
          <w:tcPr>
            <w:tcW w:w="102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87.7</w:t>
            </w:r>
          </w:p>
        </w:tc>
        <w:tc>
          <w:tcPr>
            <w:tcW w:w="1256"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40.3</w:t>
            </w:r>
          </w:p>
        </w:tc>
        <w:tc>
          <w:tcPr>
            <w:tcW w:w="81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12.3</w:t>
            </w:r>
          </w:p>
        </w:tc>
        <w:tc>
          <w:tcPr>
            <w:tcW w:w="1369"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326.6</w:t>
            </w:r>
          </w:p>
        </w:tc>
      </w:tr>
      <w:tr w:rsidR="00A13031" w:rsidRPr="007B560F" w:rsidTr="00CC067C">
        <w:tc>
          <w:tcPr>
            <w:tcW w:w="927" w:type="dxa"/>
          </w:tcPr>
          <w:p w:rsidR="00BF77F1" w:rsidRPr="007B560F" w:rsidRDefault="00BF77F1" w:rsidP="00CC067C">
            <w:pPr>
              <w:pStyle w:val="3"/>
              <w:numPr>
                <w:ilvl w:val="0"/>
                <w:numId w:val="0"/>
              </w:numPr>
              <w:rPr>
                <w:color w:val="000000" w:themeColor="text1"/>
                <w:sz w:val="28"/>
                <w:szCs w:val="28"/>
              </w:rPr>
            </w:pPr>
            <w:r w:rsidRPr="007B560F">
              <w:rPr>
                <w:rFonts w:hint="eastAsia"/>
                <w:color w:val="000000" w:themeColor="text1"/>
                <w:sz w:val="28"/>
                <w:szCs w:val="28"/>
              </w:rPr>
              <w:t>水果</w:t>
            </w:r>
          </w:p>
        </w:tc>
        <w:tc>
          <w:tcPr>
            <w:tcW w:w="126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259.6</w:t>
            </w:r>
          </w:p>
        </w:tc>
        <w:tc>
          <w:tcPr>
            <w:tcW w:w="102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89.6</w:t>
            </w:r>
          </w:p>
        </w:tc>
        <w:tc>
          <w:tcPr>
            <w:tcW w:w="1256"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30.0</w:t>
            </w:r>
          </w:p>
        </w:tc>
        <w:tc>
          <w:tcPr>
            <w:tcW w:w="81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10.4</w:t>
            </w:r>
          </w:p>
        </w:tc>
        <w:tc>
          <w:tcPr>
            <w:tcW w:w="1369"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289.6</w:t>
            </w:r>
          </w:p>
        </w:tc>
      </w:tr>
      <w:tr w:rsidR="00A13031" w:rsidRPr="007B560F" w:rsidTr="00CC067C">
        <w:tc>
          <w:tcPr>
            <w:tcW w:w="927" w:type="dxa"/>
          </w:tcPr>
          <w:p w:rsidR="00BF77F1" w:rsidRPr="007B560F" w:rsidRDefault="00BF77F1" w:rsidP="00CC067C">
            <w:pPr>
              <w:pStyle w:val="3"/>
              <w:numPr>
                <w:ilvl w:val="0"/>
                <w:numId w:val="0"/>
              </w:numPr>
              <w:rPr>
                <w:color w:val="000000" w:themeColor="text1"/>
                <w:sz w:val="28"/>
                <w:szCs w:val="28"/>
              </w:rPr>
            </w:pPr>
            <w:r w:rsidRPr="007B560F">
              <w:rPr>
                <w:rFonts w:hint="eastAsia"/>
                <w:color w:val="000000" w:themeColor="text1"/>
                <w:sz w:val="28"/>
                <w:szCs w:val="28"/>
              </w:rPr>
              <w:t>合計</w:t>
            </w:r>
          </w:p>
        </w:tc>
        <w:tc>
          <w:tcPr>
            <w:tcW w:w="126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545.9</w:t>
            </w:r>
          </w:p>
        </w:tc>
        <w:tc>
          <w:tcPr>
            <w:tcW w:w="102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88.6</w:t>
            </w:r>
          </w:p>
        </w:tc>
        <w:tc>
          <w:tcPr>
            <w:tcW w:w="1256"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70.3</w:t>
            </w:r>
          </w:p>
        </w:tc>
        <w:tc>
          <w:tcPr>
            <w:tcW w:w="817"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11.4</w:t>
            </w:r>
          </w:p>
        </w:tc>
        <w:tc>
          <w:tcPr>
            <w:tcW w:w="1369" w:type="dxa"/>
          </w:tcPr>
          <w:p w:rsidR="00BF77F1" w:rsidRPr="007B560F" w:rsidRDefault="00BF77F1" w:rsidP="00CC067C">
            <w:pPr>
              <w:pStyle w:val="3"/>
              <w:numPr>
                <w:ilvl w:val="0"/>
                <w:numId w:val="0"/>
              </w:numPr>
              <w:jc w:val="right"/>
              <w:rPr>
                <w:color w:val="000000" w:themeColor="text1"/>
                <w:sz w:val="28"/>
                <w:szCs w:val="28"/>
              </w:rPr>
            </w:pPr>
            <w:r w:rsidRPr="007B560F">
              <w:rPr>
                <w:rFonts w:hint="eastAsia"/>
                <w:color w:val="000000" w:themeColor="text1"/>
                <w:sz w:val="28"/>
                <w:szCs w:val="28"/>
              </w:rPr>
              <w:t>616.2</w:t>
            </w:r>
          </w:p>
        </w:tc>
      </w:tr>
    </w:tbl>
    <w:p w:rsidR="00BF77F1" w:rsidRPr="007B560F" w:rsidRDefault="00BF77F1" w:rsidP="00BF77F1">
      <w:pPr>
        <w:pStyle w:val="3"/>
        <w:numPr>
          <w:ilvl w:val="0"/>
          <w:numId w:val="0"/>
        </w:numPr>
        <w:ind w:left="1560"/>
        <w:rPr>
          <w:color w:val="000000" w:themeColor="text1"/>
          <w:sz w:val="24"/>
          <w:szCs w:val="24"/>
        </w:rPr>
      </w:pPr>
      <w:r w:rsidRPr="007B560F">
        <w:rPr>
          <w:rFonts w:hint="eastAsia"/>
          <w:color w:val="000000" w:themeColor="text1"/>
          <w:sz w:val="24"/>
          <w:szCs w:val="24"/>
        </w:rPr>
        <w:t>資料來源：107年台灣地區農產品批發市場年報</w:t>
      </w:r>
    </w:p>
    <w:p w:rsidR="00CC067C" w:rsidRPr="007B560F" w:rsidRDefault="00CC067C" w:rsidP="00BF77F1">
      <w:pPr>
        <w:pStyle w:val="3"/>
        <w:numPr>
          <w:ilvl w:val="0"/>
          <w:numId w:val="0"/>
        </w:numPr>
        <w:ind w:left="1560"/>
        <w:rPr>
          <w:color w:val="000000" w:themeColor="text1"/>
          <w:sz w:val="24"/>
          <w:szCs w:val="24"/>
        </w:rPr>
      </w:pPr>
    </w:p>
    <w:p w:rsidR="00BF77F1" w:rsidRPr="007B560F" w:rsidRDefault="00BF77F1" w:rsidP="00BF77F1">
      <w:pPr>
        <w:pStyle w:val="3"/>
        <w:numPr>
          <w:ilvl w:val="0"/>
          <w:numId w:val="0"/>
        </w:numPr>
        <w:ind w:left="1361" w:firstLineChars="183" w:firstLine="622"/>
        <w:rPr>
          <w:color w:val="000000" w:themeColor="text1"/>
        </w:rPr>
      </w:pPr>
      <w:r w:rsidRPr="007B560F">
        <w:rPr>
          <w:rFonts w:hint="eastAsia"/>
          <w:color w:val="000000" w:themeColor="text1"/>
        </w:rPr>
        <w:t>據本案諮詢專家學者指出略</w:t>
      </w:r>
      <w:proofErr w:type="gramStart"/>
      <w:r w:rsidRPr="007B560F">
        <w:rPr>
          <w:rFonts w:hint="eastAsia"/>
          <w:color w:val="000000" w:themeColor="text1"/>
        </w:rPr>
        <w:t>以</w:t>
      </w:r>
      <w:proofErr w:type="gramEnd"/>
      <w:r w:rsidRPr="007B560F">
        <w:rPr>
          <w:rFonts w:hint="eastAsia"/>
          <w:color w:val="000000" w:themeColor="text1"/>
        </w:rPr>
        <w:t>：國外蔬果自邊境輸入放行後之銷售流向，包括進入分裝或初級加工場所、委託輸入業者、大盤商…</w:t>
      </w:r>
      <w:proofErr w:type="gramStart"/>
      <w:r w:rsidRPr="007B560F">
        <w:rPr>
          <w:rFonts w:hint="eastAsia"/>
          <w:color w:val="000000" w:themeColor="text1"/>
        </w:rPr>
        <w:t>…</w:t>
      </w:r>
      <w:proofErr w:type="gramEnd"/>
      <w:r w:rsidRPr="007B560F">
        <w:rPr>
          <w:rFonts w:hint="eastAsia"/>
          <w:color w:val="000000" w:themeColor="text1"/>
        </w:rPr>
        <w:t>等，再經小盤商或直接至傳統市場、超市、</w:t>
      </w:r>
      <w:proofErr w:type="gramStart"/>
      <w:r w:rsidRPr="007B560F">
        <w:rPr>
          <w:rFonts w:hint="eastAsia"/>
          <w:color w:val="000000" w:themeColor="text1"/>
        </w:rPr>
        <w:t>團膳餐飲</w:t>
      </w:r>
      <w:proofErr w:type="gramEnd"/>
      <w:r w:rsidRPr="007B560F">
        <w:rPr>
          <w:rFonts w:hint="eastAsia"/>
          <w:color w:val="000000" w:themeColor="text1"/>
        </w:rPr>
        <w:t>及食品加工廠等，最後至消費者端(詳如下圖)。</w:t>
      </w:r>
      <w:proofErr w:type="gramStart"/>
      <w:r w:rsidRPr="007B560F">
        <w:rPr>
          <w:rFonts w:hint="eastAsia"/>
          <w:color w:val="000000" w:themeColor="text1"/>
        </w:rPr>
        <w:t>惟</w:t>
      </w:r>
      <w:proofErr w:type="gramEnd"/>
      <w:r w:rsidRPr="007B560F">
        <w:rPr>
          <w:rFonts w:hint="eastAsia"/>
          <w:color w:val="000000" w:themeColor="text1"/>
        </w:rPr>
        <w:t>蔬果各路徑流向之數量不明，且當於</w:t>
      </w:r>
      <w:proofErr w:type="gramStart"/>
      <w:r w:rsidRPr="007B560F">
        <w:rPr>
          <w:rFonts w:hint="eastAsia"/>
          <w:color w:val="000000" w:themeColor="text1"/>
        </w:rPr>
        <w:t>市售端或</w:t>
      </w:r>
      <w:proofErr w:type="gramEnd"/>
      <w:r w:rsidRPr="007B560F">
        <w:rPr>
          <w:rFonts w:hint="eastAsia"/>
          <w:color w:val="000000" w:themeColor="text1"/>
        </w:rPr>
        <w:t>餐飲業者查驗發現蔬果農藥殘留未合標準時，並無法溯源至上游，在</w:t>
      </w:r>
      <w:proofErr w:type="gramStart"/>
      <w:r w:rsidRPr="007B560F">
        <w:rPr>
          <w:rFonts w:hint="eastAsia"/>
          <w:color w:val="000000" w:themeColor="text1"/>
        </w:rPr>
        <w:t>市售端也</w:t>
      </w:r>
      <w:proofErr w:type="gramEnd"/>
      <w:r w:rsidRPr="007B560F">
        <w:rPr>
          <w:rFonts w:hint="eastAsia"/>
          <w:color w:val="000000" w:themeColor="text1"/>
        </w:rPr>
        <w:t>常發生進口蔬果</w:t>
      </w:r>
      <w:proofErr w:type="gramStart"/>
      <w:r w:rsidRPr="007B560F">
        <w:rPr>
          <w:rFonts w:hint="eastAsia"/>
          <w:color w:val="000000" w:themeColor="text1"/>
        </w:rPr>
        <w:t>混摻國產</w:t>
      </w:r>
      <w:proofErr w:type="gramEnd"/>
      <w:r w:rsidRPr="007B560F">
        <w:rPr>
          <w:rFonts w:hint="eastAsia"/>
          <w:color w:val="000000" w:themeColor="text1"/>
        </w:rPr>
        <w:t>者之情形，</w:t>
      </w:r>
      <w:proofErr w:type="gramStart"/>
      <w:r w:rsidRPr="007B560F">
        <w:rPr>
          <w:rFonts w:hint="eastAsia"/>
          <w:color w:val="000000" w:themeColor="text1"/>
        </w:rPr>
        <w:t>致當發現</w:t>
      </w:r>
      <w:proofErr w:type="gramEnd"/>
      <w:r w:rsidRPr="007B560F">
        <w:rPr>
          <w:rFonts w:hint="eastAsia"/>
          <w:color w:val="000000" w:themeColor="text1"/>
        </w:rPr>
        <w:t>有問題時，無法區分屬進口或國產，遑論追查上游來源，此均造成稽查管理上之困難等語。</w:t>
      </w:r>
    </w:p>
    <w:p w:rsidR="00BF77F1" w:rsidRPr="007B560F" w:rsidRDefault="00BF77F1" w:rsidP="00BF77F1">
      <w:pPr>
        <w:pStyle w:val="1"/>
        <w:numPr>
          <w:ilvl w:val="0"/>
          <w:numId w:val="0"/>
        </w:numPr>
        <w:ind w:left="2381" w:hanging="2381"/>
        <w:jc w:val="center"/>
        <w:rPr>
          <w:color w:val="000000" w:themeColor="text1"/>
        </w:rPr>
      </w:pPr>
      <w:r w:rsidRPr="007B560F">
        <w:rPr>
          <w:noProof/>
          <w:color w:val="000000" w:themeColor="text1"/>
        </w:rPr>
        <w:lastRenderedPageBreak/>
        <w:drawing>
          <wp:inline distT="0" distB="0" distL="0" distR="0" wp14:anchorId="3B5ADC72" wp14:editId="27C7DEB4">
            <wp:extent cx="4706151" cy="2680335"/>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8232" cy="2681520"/>
                    </a:xfrm>
                    <a:prstGeom prst="rect">
                      <a:avLst/>
                    </a:prstGeom>
                  </pic:spPr>
                </pic:pic>
              </a:graphicData>
            </a:graphic>
          </wp:inline>
        </w:drawing>
      </w:r>
    </w:p>
    <w:p w:rsidR="00BF77F1" w:rsidRPr="007B560F" w:rsidRDefault="00BF77F1" w:rsidP="00CC067C">
      <w:pPr>
        <w:pStyle w:val="a2"/>
        <w:numPr>
          <w:ilvl w:val="0"/>
          <w:numId w:val="8"/>
        </w:numPr>
        <w:spacing w:line="240" w:lineRule="exact"/>
        <w:rPr>
          <w:color w:val="000000" w:themeColor="text1"/>
        </w:rPr>
      </w:pPr>
      <w:r w:rsidRPr="007B560F">
        <w:rPr>
          <w:rFonts w:hint="eastAsia"/>
          <w:color w:val="000000" w:themeColor="text1"/>
        </w:rPr>
        <w:t>進口蔬果產品通路流向</w:t>
      </w:r>
    </w:p>
    <w:p w:rsidR="00BF77F1" w:rsidRPr="007B560F" w:rsidRDefault="00BF77F1" w:rsidP="00CC067C">
      <w:pPr>
        <w:spacing w:line="240" w:lineRule="exact"/>
        <w:jc w:val="center"/>
        <w:rPr>
          <w:color w:val="000000" w:themeColor="text1"/>
          <w:sz w:val="24"/>
          <w:szCs w:val="24"/>
        </w:rPr>
      </w:pPr>
      <w:r w:rsidRPr="007B560F">
        <w:rPr>
          <w:rFonts w:hint="eastAsia"/>
          <w:color w:val="000000" w:themeColor="text1"/>
          <w:sz w:val="24"/>
          <w:szCs w:val="24"/>
        </w:rPr>
        <w:t>資料來源：彰化縣衛生局</w:t>
      </w:r>
    </w:p>
    <w:p w:rsidR="00BF77F1" w:rsidRPr="007B560F" w:rsidRDefault="00BF77F1" w:rsidP="00BF77F1">
      <w:pPr>
        <w:pStyle w:val="3"/>
        <w:numPr>
          <w:ilvl w:val="2"/>
          <w:numId w:val="9"/>
        </w:numPr>
        <w:rPr>
          <w:color w:val="000000" w:themeColor="text1"/>
        </w:rPr>
      </w:pPr>
      <w:r w:rsidRPr="007B560F">
        <w:rPr>
          <w:rFonts w:hint="eastAsia"/>
          <w:color w:val="000000" w:themeColor="text1"/>
        </w:rPr>
        <w:t>查農委會為增進農產品品質與安全，自78年起即陸續推動優良農產品標章、產銷履歷農產品標章、吉園圃安全蔬果標章及有機農產品標章(即「4章」)，且於98年推動之「精緻農業健康卓越方案」中，以「健康農業」為該方案之3大願景之一，即透過建構作物健康管理模式，推動上開4項標章制度，建立從農場到餐桌可追溯生產供應體系，強化安全把關並</w:t>
      </w:r>
      <w:r w:rsidRPr="007B560F">
        <w:rPr>
          <w:rFonts w:hAnsi="標楷體" w:hint="eastAsia"/>
          <w:color w:val="000000" w:themeColor="text1"/>
        </w:rPr>
        <w:t>深化安全認驗證，是農委會目前對於國內農產品之品質、安全及流向追蹤追溯等，</w:t>
      </w:r>
      <w:proofErr w:type="gramStart"/>
      <w:r w:rsidRPr="007B560F">
        <w:rPr>
          <w:rFonts w:hAnsi="標楷體" w:hint="eastAsia"/>
          <w:color w:val="000000" w:themeColor="text1"/>
        </w:rPr>
        <w:t>均有良好</w:t>
      </w:r>
      <w:proofErr w:type="gramEnd"/>
      <w:r w:rsidRPr="007B560F">
        <w:rPr>
          <w:rFonts w:hAnsi="標楷體" w:hint="eastAsia"/>
          <w:color w:val="000000" w:themeColor="text1"/>
        </w:rPr>
        <w:t>管理制度。其中</w:t>
      </w:r>
      <w:r w:rsidRPr="007B560F">
        <w:rPr>
          <w:rFonts w:hint="eastAsia"/>
          <w:color w:val="000000" w:themeColor="text1"/>
        </w:rPr>
        <w:t>產銷履歷農產品制度，</w:t>
      </w:r>
      <w:proofErr w:type="gramStart"/>
      <w:r w:rsidRPr="007B560F">
        <w:rPr>
          <w:rFonts w:hint="eastAsia"/>
          <w:color w:val="000000" w:themeColor="text1"/>
        </w:rPr>
        <w:t>最</w:t>
      </w:r>
      <w:proofErr w:type="gramEnd"/>
      <w:r w:rsidRPr="007B560F">
        <w:rPr>
          <w:rFonts w:hint="eastAsia"/>
          <w:color w:val="000000" w:themeColor="text1"/>
        </w:rPr>
        <w:t>核心精神就是資訊公開可追溯，經由「產銷履歷農產品資訊網」</w:t>
      </w:r>
      <w:proofErr w:type="gramStart"/>
      <w:r w:rsidRPr="007B560F">
        <w:rPr>
          <w:rFonts w:hint="eastAsia"/>
          <w:color w:val="000000" w:themeColor="text1"/>
        </w:rPr>
        <w:t>（</w:t>
      </w:r>
      <w:proofErr w:type="gramEnd"/>
      <w:r w:rsidRPr="007B560F">
        <w:rPr>
          <w:rFonts w:hint="eastAsia"/>
          <w:color w:val="000000" w:themeColor="text1"/>
        </w:rPr>
        <w:t>http://taft.coa.gov.tw</w:t>
      </w:r>
      <w:proofErr w:type="gramStart"/>
      <w:r w:rsidRPr="007B560F">
        <w:rPr>
          <w:rFonts w:hint="eastAsia"/>
          <w:color w:val="000000" w:themeColor="text1"/>
        </w:rPr>
        <w:t>）</w:t>
      </w:r>
      <w:proofErr w:type="gramEnd"/>
      <w:r w:rsidRPr="007B560F">
        <w:rPr>
          <w:rFonts w:hint="eastAsia"/>
          <w:color w:val="000000" w:themeColor="text1"/>
        </w:rPr>
        <w:t>輸入產銷履歷農產品追溯碼或掃描QR Code，即可查詢產銷履歷農產品的生產者、驗證機構、產地、生產紀錄及包裝日期等資訊，且產銷履歷農產品可供查詢的生產資訊，係通過驗證稽核程序之有效紀錄，故生產資訊的強度與可信度超越一般農產品。故當有問題發生時，消費者及政府機關均可第一時間查得關鍵資訊。</w:t>
      </w:r>
    </w:p>
    <w:p w:rsidR="000005D4" w:rsidRPr="007B560F" w:rsidRDefault="00BF77F1" w:rsidP="00787C96">
      <w:pPr>
        <w:pStyle w:val="3"/>
        <w:numPr>
          <w:ilvl w:val="0"/>
          <w:numId w:val="0"/>
        </w:numPr>
        <w:ind w:left="1361" w:firstLineChars="225" w:firstLine="765"/>
        <w:rPr>
          <w:color w:val="000000" w:themeColor="text1"/>
        </w:rPr>
      </w:pPr>
      <w:proofErr w:type="gramStart"/>
      <w:r w:rsidRPr="007B560F">
        <w:rPr>
          <w:rFonts w:hint="eastAsia"/>
          <w:color w:val="000000" w:themeColor="text1"/>
        </w:rPr>
        <w:lastRenderedPageBreak/>
        <w:t>惟</w:t>
      </w:r>
      <w:proofErr w:type="gramEnd"/>
      <w:r w:rsidRPr="007B560F">
        <w:rPr>
          <w:rFonts w:hint="eastAsia"/>
          <w:color w:val="000000" w:themeColor="text1"/>
        </w:rPr>
        <w:t>國內約有一成左右的輸入蔬果，其</w:t>
      </w:r>
      <w:r w:rsidR="007655B8" w:rsidRPr="007B560F">
        <w:rPr>
          <w:rFonts w:hint="eastAsia"/>
          <w:color w:val="000000" w:themeColor="text1"/>
        </w:rPr>
        <w:t>由</w:t>
      </w:r>
      <w:proofErr w:type="gramStart"/>
      <w:r w:rsidR="007655B8" w:rsidRPr="007B560F">
        <w:rPr>
          <w:rFonts w:hint="eastAsia"/>
          <w:color w:val="000000" w:themeColor="text1"/>
        </w:rPr>
        <w:t>食藥署</w:t>
      </w:r>
      <w:proofErr w:type="gramEnd"/>
      <w:r w:rsidR="007655B8" w:rsidRPr="007B560F">
        <w:rPr>
          <w:rFonts w:hint="eastAsia"/>
          <w:color w:val="000000" w:themeColor="text1"/>
        </w:rPr>
        <w:t>自</w:t>
      </w:r>
      <w:r w:rsidRPr="007B560F">
        <w:rPr>
          <w:rFonts w:hint="eastAsia"/>
          <w:color w:val="000000" w:themeColor="text1"/>
        </w:rPr>
        <w:t>海關</w:t>
      </w:r>
      <w:r w:rsidR="007655B8" w:rsidRPr="007B560F">
        <w:rPr>
          <w:rFonts w:hint="eastAsia"/>
          <w:color w:val="000000" w:themeColor="text1"/>
        </w:rPr>
        <w:t>檢驗</w:t>
      </w:r>
      <w:r w:rsidRPr="007B560F">
        <w:rPr>
          <w:rFonts w:hint="eastAsia"/>
          <w:color w:val="000000" w:themeColor="text1"/>
        </w:rPr>
        <w:t>放行後，</w:t>
      </w:r>
      <w:r w:rsidR="007655B8" w:rsidRPr="007B560F">
        <w:rPr>
          <w:rFonts w:hint="eastAsia"/>
          <w:color w:val="000000" w:themeColor="text1"/>
        </w:rPr>
        <w:t>即</w:t>
      </w:r>
      <w:r w:rsidRPr="007B560F">
        <w:rPr>
          <w:rFonts w:hint="eastAsia"/>
          <w:color w:val="000000" w:themeColor="text1"/>
        </w:rPr>
        <w:t>流向委託輸入業者、大盤商…</w:t>
      </w:r>
      <w:proofErr w:type="gramStart"/>
      <w:r w:rsidRPr="007B560F">
        <w:rPr>
          <w:rFonts w:hint="eastAsia"/>
          <w:color w:val="000000" w:themeColor="text1"/>
        </w:rPr>
        <w:t>…</w:t>
      </w:r>
      <w:proofErr w:type="gramEnd"/>
      <w:r w:rsidRPr="007B560F">
        <w:rPr>
          <w:rFonts w:hint="eastAsia"/>
          <w:color w:val="000000" w:themeColor="text1"/>
        </w:rPr>
        <w:t>等</w:t>
      </w:r>
      <w:r w:rsidR="007655B8" w:rsidRPr="007B560F">
        <w:rPr>
          <w:rFonts w:hint="eastAsia"/>
          <w:color w:val="000000" w:themeColor="text1"/>
        </w:rPr>
        <w:t>，其種類及數量流向，</w:t>
      </w:r>
      <w:r w:rsidRPr="007B560F">
        <w:rPr>
          <w:rFonts w:hint="eastAsia"/>
          <w:color w:val="000000" w:themeColor="text1"/>
        </w:rPr>
        <w:t>政府目前未有相關管理制度，且當於</w:t>
      </w:r>
      <w:proofErr w:type="gramStart"/>
      <w:r w:rsidRPr="007B560F">
        <w:rPr>
          <w:rFonts w:hint="eastAsia"/>
          <w:color w:val="000000" w:themeColor="text1"/>
        </w:rPr>
        <w:t>市售端查驗</w:t>
      </w:r>
      <w:proofErr w:type="gramEnd"/>
      <w:r w:rsidRPr="007B560F">
        <w:rPr>
          <w:rFonts w:hint="eastAsia"/>
          <w:color w:val="000000" w:themeColor="text1"/>
        </w:rPr>
        <w:t>發現蔬果農藥殘留未合標準時，並無法溯源至上游業者，導致難以鎖定大盤商或委託輸入業者及進口商等，促使其留意問題產品之國外來源，自無從及時避免國外同批次或同產地來源的問題產品再次輸入我國</w:t>
      </w:r>
      <w:r w:rsidR="000005D4" w:rsidRPr="007B560F">
        <w:rPr>
          <w:rFonts w:hint="eastAsia"/>
          <w:color w:val="000000" w:themeColor="text1"/>
        </w:rPr>
        <w:t>。食品安全衛生管理法第9條</w:t>
      </w:r>
      <w:r w:rsidR="00787C96" w:rsidRPr="007B560F">
        <w:rPr>
          <w:rFonts w:hint="eastAsia"/>
          <w:color w:val="000000" w:themeColor="text1"/>
        </w:rPr>
        <w:t>於</w:t>
      </w:r>
      <w:r w:rsidR="000005D4" w:rsidRPr="007B560F">
        <w:rPr>
          <w:rFonts w:hint="eastAsia"/>
          <w:color w:val="000000" w:themeColor="text1"/>
        </w:rPr>
        <w:t>102年6月19日修正公布，增訂第9條關於建立食品可追溯性制度</w:t>
      </w:r>
      <w:r w:rsidR="00787C96" w:rsidRPr="007B560F">
        <w:rPr>
          <w:rFonts w:hint="eastAsia"/>
          <w:color w:val="000000" w:themeColor="text1"/>
        </w:rPr>
        <w:t>規定</w:t>
      </w:r>
      <w:r w:rsidR="000005D4" w:rsidRPr="007B560F">
        <w:rPr>
          <w:rFonts w:hint="eastAsia"/>
          <w:color w:val="000000" w:themeColor="text1"/>
        </w:rPr>
        <w:t>，目的在於必要時得迅速追蹤到問題食品之來源及流向，進口蔬果目前</w:t>
      </w:r>
      <w:r w:rsidR="007655B8" w:rsidRPr="007B560F">
        <w:rPr>
          <w:rFonts w:hint="eastAsia"/>
          <w:color w:val="000000" w:themeColor="text1"/>
        </w:rPr>
        <w:t>尚未經</w:t>
      </w:r>
      <w:r w:rsidR="000005D4" w:rsidRPr="007B560F">
        <w:rPr>
          <w:rFonts w:hint="eastAsia"/>
          <w:color w:val="000000" w:themeColor="text1"/>
        </w:rPr>
        <w:t>衛福部公告</w:t>
      </w:r>
      <w:r w:rsidR="007655B8" w:rsidRPr="007B560F">
        <w:rPr>
          <w:rFonts w:hint="eastAsia"/>
          <w:color w:val="000000" w:themeColor="text1"/>
        </w:rPr>
        <w:t>為</w:t>
      </w:r>
      <w:r w:rsidR="000005D4" w:rsidRPr="007B560F">
        <w:rPr>
          <w:rFonts w:hint="eastAsia"/>
          <w:color w:val="000000" w:themeColor="text1"/>
        </w:rPr>
        <w:t>應建立</w:t>
      </w:r>
      <w:r w:rsidR="00787C96" w:rsidRPr="007B560F">
        <w:rPr>
          <w:rFonts w:hint="eastAsia"/>
          <w:color w:val="000000" w:themeColor="text1"/>
        </w:rPr>
        <w:t>追蹤系統之食品類別，惟為求</w:t>
      </w:r>
      <w:r w:rsidR="000005D4" w:rsidRPr="007B560F">
        <w:rPr>
          <w:rFonts w:hint="eastAsia"/>
          <w:color w:val="000000" w:themeColor="text1"/>
        </w:rPr>
        <w:t>完善食品安全網</w:t>
      </w:r>
      <w:r w:rsidR="00787C96" w:rsidRPr="007B560F">
        <w:rPr>
          <w:rFonts w:hint="eastAsia"/>
          <w:color w:val="000000" w:themeColor="text1"/>
        </w:rPr>
        <w:t>，有待</w:t>
      </w:r>
      <w:proofErr w:type="gramStart"/>
      <w:r w:rsidR="00787C96" w:rsidRPr="007B560F">
        <w:rPr>
          <w:rFonts w:hint="eastAsia"/>
          <w:color w:val="000000" w:themeColor="text1"/>
        </w:rPr>
        <w:t>食藥署</w:t>
      </w:r>
      <w:proofErr w:type="gramEnd"/>
      <w:r w:rsidR="00787C96" w:rsidRPr="007B560F">
        <w:rPr>
          <w:rFonts w:hint="eastAsia"/>
          <w:color w:val="000000" w:themeColor="text1"/>
        </w:rPr>
        <w:t>檢討改善，以落實該規定立法意旨。</w:t>
      </w:r>
    </w:p>
    <w:p w:rsidR="00BF77F1" w:rsidRPr="007B560F" w:rsidRDefault="00787C96" w:rsidP="00BF77F1">
      <w:pPr>
        <w:pStyle w:val="3"/>
        <w:numPr>
          <w:ilvl w:val="0"/>
          <w:numId w:val="0"/>
        </w:numPr>
        <w:ind w:left="1361" w:firstLineChars="225" w:firstLine="765"/>
        <w:rPr>
          <w:color w:val="000000" w:themeColor="text1"/>
        </w:rPr>
      </w:pPr>
      <w:r w:rsidRPr="007B560F">
        <w:rPr>
          <w:rFonts w:hint="eastAsia"/>
          <w:color w:val="000000" w:themeColor="text1"/>
        </w:rPr>
        <w:t>又，</w:t>
      </w:r>
      <w:r w:rsidR="00BF77F1" w:rsidRPr="007B560F">
        <w:rPr>
          <w:rFonts w:hint="eastAsia"/>
          <w:color w:val="000000" w:themeColor="text1"/>
        </w:rPr>
        <w:t>雖然食品安全衛生管理法第30條規定，輸入食品應</w:t>
      </w:r>
      <w:proofErr w:type="gramStart"/>
      <w:r w:rsidR="00BF77F1" w:rsidRPr="007B560F">
        <w:rPr>
          <w:rFonts w:hint="eastAsia"/>
          <w:color w:val="000000" w:themeColor="text1"/>
        </w:rPr>
        <w:t>向食藥署</w:t>
      </w:r>
      <w:proofErr w:type="gramEnd"/>
      <w:r w:rsidR="00BF77F1" w:rsidRPr="007B560F">
        <w:rPr>
          <w:rFonts w:hint="eastAsia"/>
          <w:color w:val="000000" w:themeColor="text1"/>
        </w:rPr>
        <w:t>申請查驗，惟</w:t>
      </w:r>
      <w:proofErr w:type="gramStart"/>
      <w:r w:rsidR="00BF77F1" w:rsidRPr="007B560F">
        <w:rPr>
          <w:rFonts w:hint="eastAsia"/>
          <w:color w:val="000000" w:themeColor="text1"/>
        </w:rPr>
        <w:t>依食藥署</w:t>
      </w:r>
      <w:proofErr w:type="gramEnd"/>
      <w:r w:rsidR="00BF77F1" w:rsidRPr="007B560F">
        <w:rPr>
          <w:rFonts w:hint="eastAsia"/>
          <w:color w:val="000000" w:themeColor="text1"/>
        </w:rPr>
        <w:t>「食品輸入管理暨輸入查驗統計年報」得知，106至108年</w:t>
      </w:r>
      <w:proofErr w:type="gramStart"/>
      <w:r w:rsidR="00BF77F1" w:rsidRPr="007B560F">
        <w:rPr>
          <w:rFonts w:hint="eastAsia"/>
          <w:color w:val="000000" w:themeColor="text1"/>
        </w:rPr>
        <w:t>檢驗批數分別</w:t>
      </w:r>
      <w:proofErr w:type="gramEnd"/>
      <w:r w:rsidR="00BF77F1" w:rsidRPr="007B560F">
        <w:rPr>
          <w:rFonts w:hint="eastAsia"/>
          <w:color w:val="000000" w:themeColor="text1"/>
        </w:rPr>
        <w:t>計56</w:t>
      </w:r>
      <w:r w:rsidR="00BF77F1" w:rsidRPr="007B560F">
        <w:rPr>
          <w:color w:val="000000" w:themeColor="text1"/>
        </w:rPr>
        <w:t>,</w:t>
      </w:r>
      <w:r w:rsidR="00BF77F1" w:rsidRPr="007B560F">
        <w:rPr>
          <w:rFonts w:hint="eastAsia"/>
          <w:color w:val="000000" w:themeColor="text1"/>
        </w:rPr>
        <w:t>604、58</w:t>
      </w:r>
      <w:r w:rsidR="00BF77F1" w:rsidRPr="007B560F">
        <w:rPr>
          <w:color w:val="000000" w:themeColor="text1"/>
        </w:rPr>
        <w:t>,</w:t>
      </w:r>
      <w:r w:rsidR="00BF77F1" w:rsidRPr="007B560F">
        <w:rPr>
          <w:rFonts w:hint="eastAsia"/>
          <w:color w:val="000000" w:themeColor="text1"/>
        </w:rPr>
        <w:t>915及58</w:t>
      </w:r>
      <w:r w:rsidR="00BF77F1" w:rsidRPr="007B560F">
        <w:rPr>
          <w:color w:val="000000" w:themeColor="text1"/>
        </w:rPr>
        <w:t>,</w:t>
      </w:r>
      <w:r w:rsidR="00BF77F1" w:rsidRPr="007B560F">
        <w:rPr>
          <w:rFonts w:hint="eastAsia"/>
          <w:color w:val="000000" w:themeColor="text1"/>
        </w:rPr>
        <w:t>111批，僅占</w:t>
      </w:r>
      <w:proofErr w:type="gramStart"/>
      <w:r w:rsidR="00BF77F1" w:rsidRPr="007B560F">
        <w:rPr>
          <w:rFonts w:hint="eastAsia"/>
          <w:color w:val="000000" w:themeColor="text1"/>
        </w:rPr>
        <w:t>總報驗批數</w:t>
      </w:r>
      <w:proofErr w:type="gramEnd"/>
      <w:r w:rsidR="00BF77F1" w:rsidRPr="007B560F">
        <w:rPr>
          <w:rFonts w:hint="eastAsia"/>
          <w:color w:val="000000" w:themeColor="text1"/>
        </w:rPr>
        <w:t>比率約8%左右，監管程度顯屬有限。因此，</w:t>
      </w:r>
      <w:proofErr w:type="gramStart"/>
      <w:r w:rsidR="00BF77F1" w:rsidRPr="007B560F">
        <w:rPr>
          <w:rFonts w:hint="eastAsia"/>
          <w:color w:val="000000" w:themeColor="text1"/>
        </w:rPr>
        <w:t>食藥署</w:t>
      </w:r>
      <w:proofErr w:type="gramEnd"/>
      <w:r w:rsidR="00BF77F1" w:rsidRPr="007B560F">
        <w:rPr>
          <w:rFonts w:hint="eastAsia"/>
          <w:color w:val="000000" w:themeColor="text1"/>
        </w:rPr>
        <w:t>應就輸入食品邊境放行後之各流向通路、數量及溯源等問題，</w:t>
      </w:r>
      <w:proofErr w:type="gramStart"/>
      <w:r w:rsidR="00BF77F1" w:rsidRPr="007B560F">
        <w:rPr>
          <w:rFonts w:hint="eastAsia"/>
          <w:color w:val="000000" w:themeColor="text1"/>
        </w:rPr>
        <w:t>研</w:t>
      </w:r>
      <w:proofErr w:type="gramEnd"/>
      <w:r w:rsidR="00BF77F1" w:rsidRPr="007B560F">
        <w:rPr>
          <w:rFonts w:hint="eastAsia"/>
          <w:color w:val="000000" w:themeColor="text1"/>
        </w:rPr>
        <w:t>謀改善措施，以杜絕食安風險。</w:t>
      </w:r>
    </w:p>
    <w:p w:rsidR="007655B8" w:rsidRPr="007B560F" w:rsidRDefault="00BF77F1" w:rsidP="00D713D8">
      <w:pPr>
        <w:pStyle w:val="3"/>
        <w:numPr>
          <w:ilvl w:val="2"/>
          <w:numId w:val="9"/>
        </w:numPr>
        <w:rPr>
          <w:color w:val="000000" w:themeColor="text1"/>
        </w:rPr>
      </w:pPr>
      <w:r w:rsidRPr="007B560F">
        <w:rPr>
          <w:rFonts w:hint="eastAsia"/>
          <w:color w:val="000000" w:themeColor="text1"/>
        </w:rPr>
        <w:t>承前述，</w:t>
      </w:r>
      <w:r w:rsidR="007655B8" w:rsidRPr="007B560F">
        <w:rPr>
          <w:rFonts w:hint="eastAsia"/>
          <w:color w:val="000000" w:themeColor="text1"/>
        </w:rPr>
        <w:t>進口蔬果由</w:t>
      </w:r>
      <w:proofErr w:type="gramStart"/>
      <w:r w:rsidR="007655B8" w:rsidRPr="007B560F">
        <w:rPr>
          <w:rFonts w:hint="eastAsia"/>
          <w:color w:val="000000" w:themeColor="text1"/>
        </w:rPr>
        <w:t>食藥署</w:t>
      </w:r>
      <w:proofErr w:type="gramEnd"/>
      <w:r w:rsidR="007655B8" w:rsidRPr="007B560F">
        <w:rPr>
          <w:rFonts w:hint="eastAsia"/>
          <w:color w:val="000000" w:themeColor="text1"/>
        </w:rPr>
        <w:t>於海關檢驗放行後，即流向委託輸入業者、大盤商、小盤商及下游各市場…</w:t>
      </w:r>
      <w:proofErr w:type="gramStart"/>
      <w:r w:rsidR="007655B8" w:rsidRPr="007B560F">
        <w:rPr>
          <w:rFonts w:hint="eastAsia"/>
          <w:color w:val="000000" w:themeColor="text1"/>
        </w:rPr>
        <w:t>…</w:t>
      </w:r>
      <w:proofErr w:type="gramEnd"/>
      <w:r w:rsidR="007655B8" w:rsidRPr="007B560F">
        <w:rPr>
          <w:rFonts w:hint="eastAsia"/>
          <w:color w:val="000000" w:themeColor="text1"/>
        </w:rPr>
        <w:t>等，其數量及種類皆無法自產品末端向上溯源至各上游業者，未符食品安全衛生管理法第9條關於建立可追溯性制度以完善食品安全網之立法意旨。</w:t>
      </w:r>
      <w:proofErr w:type="gramStart"/>
      <w:r w:rsidR="007655B8" w:rsidRPr="007B560F">
        <w:rPr>
          <w:rFonts w:hint="eastAsia"/>
          <w:color w:val="000000" w:themeColor="text1"/>
        </w:rPr>
        <w:t>食藥署</w:t>
      </w:r>
      <w:proofErr w:type="gramEnd"/>
      <w:r w:rsidR="007655B8" w:rsidRPr="007B560F">
        <w:rPr>
          <w:rFonts w:hint="eastAsia"/>
          <w:color w:val="000000" w:themeColor="text1"/>
        </w:rPr>
        <w:t>目前未有相關管理制度，</w:t>
      </w:r>
      <w:proofErr w:type="gramStart"/>
      <w:r w:rsidR="007655B8" w:rsidRPr="007B560F">
        <w:rPr>
          <w:rFonts w:hint="eastAsia"/>
          <w:color w:val="000000" w:themeColor="text1"/>
        </w:rPr>
        <w:t>致當市售端</w:t>
      </w:r>
      <w:proofErr w:type="gramEnd"/>
      <w:r w:rsidR="007655B8" w:rsidRPr="007B560F">
        <w:rPr>
          <w:rFonts w:hint="eastAsia"/>
          <w:color w:val="000000" w:themeColor="text1"/>
        </w:rPr>
        <w:t>發現有農藥殘留未合規定時，難以鎖定大盤商或委託輸入業者及進口商等追回問題產品，也無法促使其留意問題產品之國外來源，更無從及時避免國外</w:t>
      </w:r>
      <w:r w:rsidR="007655B8" w:rsidRPr="007B560F">
        <w:rPr>
          <w:rFonts w:hint="eastAsia"/>
          <w:color w:val="000000" w:themeColor="text1"/>
        </w:rPr>
        <w:lastRenderedPageBreak/>
        <w:t>同批次或同產地來源之問題產品再次輸入我國。該署應積極</w:t>
      </w:r>
      <w:proofErr w:type="gramStart"/>
      <w:r w:rsidR="007655B8" w:rsidRPr="007B560F">
        <w:rPr>
          <w:rFonts w:hint="eastAsia"/>
          <w:color w:val="000000" w:themeColor="text1"/>
        </w:rPr>
        <w:t>研</w:t>
      </w:r>
      <w:proofErr w:type="gramEnd"/>
      <w:r w:rsidR="007655B8" w:rsidRPr="007B560F">
        <w:rPr>
          <w:rFonts w:hint="eastAsia"/>
          <w:color w:val="000000" w:themeColor="text1"/>
        </w:rPr>
        <w:t>謀改善措施，以杜絕輸入食品危害風險。</w:t>
      </w:r>
    </w:p>
    <w:p w:rsidR="00BF77F1" w:rsidRPr="007B560F" w:rsidRDefault="00BF77F1" w:rsidP="00872636">
      <w:pPr>
        <w:pStyle w:val="3"/>
        <w:numPr>
          <w:ilvl w:val="1"/>
          <w:numId w:val="9"/>
        </w:numPr>
        <w:rPr>
          <w:rFonts w:hAnsi="標楷體"/>
          <w:b/>
          <w:color w:val="000000" w:themeColor="text1"/>
        </w:rPr>
      </w:pPr>
      <w:r w:rsidRPr="007B560F">
        <w:rPr>
          <w:rFonts w:hAnsi="標楷體" w:hint="eastAsia"/>
          <w:b/>
          <w:color w:val="000000" w:themeColor="text1"/>
        </w:rPr>
        <w:t>目前</w:t>
      </w:r>
      <w:proofErr w:type="gramStart"/>
      <w:r w:rsidRPr="007B560F">
        <w:rPr>
          <w:rFonts w:hAnsi="標楷體" w:hint="eastAsia"/>
          <w:b/>
          <w:color w:val="000000" w:themeColor="text1"/>
        </w:rPr>
        <w:t>食藥署</w:t>
      </w:r>
      <w:proofErr w:type="gramEnd"/>
      <w:r w:rsidRPr="007B560F">
        <w:rPr>
          <w:rFonts w:hAnsi="標楷體" w:hint="eastAsia"/>
          <w:b/>
          <w:color w:val="000000" w:themeColor="text1"/>
        </w:rPr>
        <w:t>對於輸入食品之查驗管理制度，</w:t>
      </w:r>
      <w:r w:rsidR="007655B8" w:rsidRPr="007B560F">
        <w:rPr>
          <w:rFonts w:hAnsi="標楷體" w:hint="eastAsia"/>
          <w:b/>
          <w:color w:val="000000" w:themeColor="text1"/>
        </w:rPr>
        <w:t>難以杜絕</w:t>
      </w:r>
      <w:r w:rsidRPr="007B560F">
        <w:rPr>
          <w:rFonts w:hAnsi="標楷體" w:hint="eastAsia"/>
          <w:b/>
          <w:color w:val="000000" w:themeColor="text1"/>
        </w:rPr>
        <w:t>同一報驗義務人以變更</w:t>
      </w:r>
      <w:r w:rsidR="007655B8" w:rsidRPr="007B560F">
        <w:rPr>
          <w:rFonts w:hAnsi="標楷體" w:hint="eastAsia"/>
          <w:b/>
          <w:color w:val="000000" w:themeColor="text1"/>
        </w:rPr>
        <w:t>(</w:t>
      </w:r>
      <w:r w:rsidRPr="007B560F">
        <w:rPr>
          <w:rFonts w:hAnsi="標楷體" w:hint="eastAsia"/>
          <w:b/>
          <w:color w:val="000000" w:themeColor="text1"/>
        </w:rPr>
        <w:t>或重新申請</w:t>
      </w:r>
      <w:r w:rsidR="007655B8" w:rsidRPr="007B560F">
        <w:rPr>
          <w:rFonts w:hAnsi="標楷體" w:hint="eastAsia"/>
          <w:b/>
          <w:color w:val="000000" w:themeColor="text1"/>
        </w:rPr>
        <w:t>)</w:t>
      </w:r>
      <w:r w:rsidRPr="007B560F">
        <w:rPr>
          <w:rFonts w:hAnsi="標楷體" w:hint="eastAsia"/>
          <w:b/>
          <w:color w:val="000000" w:themeColor="text1"/>
        </w:rPr>
        <w:t>商號方式，規避加強</w:t>
      </w:r>
      <w:proofErr w:type="gramStart"/>
      <w:r w:rsidRPr="007B560F">
        <w:rPr>
          <w:rFonts w:hAnsi="標楷體" w:hint="eastAsia"/>
          <w:b/>
          <w:color w:val="000000" w:themeColor="text1"/>
        </w:rPr>
        <w:t>查驗</w:t>
      </w:r>
      <w:r w:rsidR="00D713D8" w:rsidRPr="007B560F">
        <w:rPr>
          <w:rFonts w:hAnsi="標楷體" w:hint="eastAsia"/>
          <w:b/>
          <w:color w:val="000000" w:themeColor="text1"/>
        </w:rPr>
        <w:t>及</w:t>
      </w:r>
      <w:r w:rsidRPr="007B560F">
        <w:rPr>
          <w:rFonts w:hAnsi="標楷體" w:hint="eastAsia"/>
          <w:b/>
          <w:color w:val="000000" w:themeColor="text1"/>
        </w:rPr>
        <w:t>逐批</w:t>
      </w:r>
      <w:proofErr w:type="gramEnd"/>
      <w:r w:rsidRPr="007B560F">
        <w:rPr>
          <w:rFonts w:hAnsi="標楷體" w:hint="eastAsia"/>
          <w:b/>
          <w:color w:val="000000" w:themeColor="text1"/>
        </w:rPr>
        <w:t>查驗之機會；另未將「輸入數量」納為輸入食品加強查驗</w:t>
      </w:r>
      <w:proofErr w:type="gramStart"/>
      <w:r w:rsidRPr="007B560F">
        <w:rPr>
          <w:rFonts w:hAnsi="標楷體" w:hint="eastAsia"/>
          <w:b/>
          <w:color w:val="000000" w:themeColor="text1"/>
        </w:rPr>
        <w:t>之參據</w:t>
      </w:r>
      <w:proofErr w:type="gramEnd"/>
      <w:r w:rsidRPr="007B560F">
        <w:rPr>
          <w:rFonts w:hAnsi="標楷體" w:hint="eastAsia"/>
          <w:b/>
          <w:color w:val="000000" w:themeColor="text1"/>
        </w:rPr>
        <w:t>，一旦「龐大」的輸入蔬果進入國內各銷售通路後，如發現有農藥殘留未合規定問題，其造成的風險勢必更難因應，有待</w:t>
      </w:r>
      <w:proofErr w:type="gramStart"/>
      <w:r w:rsidRPr="007B560F">
        <w:rPr>
          <w:rFonts w:hAnsi="標楷體" w:hint="eastAsia"/>
          <w:b/>
          <w:color w:val="000000" w:themeColor="text1"/>
        </w:rPr>
        <w:t>食藥署</w:t>
      </w:r>
      <w:proofErr w:type="gramEnd"/>
      <w:r w:rsidRPr="007B560F">
        <w:rPr>
          <w:rFonts w:hAnsi="標楷體" w:hint="eastAsia"/>
          <w:b/>
          <w:color w:val="000000" w:themeColor="text1"/>
        </w:rPr>
        <w:t>檢討改善。</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按食品安全衛生管理法第30條第1項及第33條第3項規定：「輸入經中央主管機關公告之食品、基因改造食品原料、食品添加物、食品器具、食品容器或包裝及食品</w:t>
      </w:r>
      <w:proofErr w:type="gramStart"/>
      <w:r w:rsidRPr="007B560F">
        <w:rPr>
          <w:rFonts w:hint="eastAsia"/>
          <w:color w:val="000000" w:themeColor="text1"/>
        </w:rPr>
        <w:t>用洗潔劑時</w:t>
      </w:r>
      <w:proofErr w:type="gramEnd"/>
      <w:r w:rsidRPr="007B560F">
        <w:rPr>
          <w:rFonts w:hint="eastAsia"/>
          <w:color w:val="000000" w:themeColor="text1"/>
        </w:rPr>
        <w:t>，應依海關專屬貨品分類號列，向中央主管機關申請查驗並申報其產品有關資訊。」、「第30條、第31條及本條第1項有關產品輸入之查驗、申報或查驗、申報之委託、優良廠商輸入查驗與申報之優惠措施、輸入產品具結先行放行之條件、應繳納保證金之審查基準、保證金之收取標準及其他應遵行事項之辦法，由中央主管機關定之。」基此，</w:t>
      </w:r>
      <w:proofErr w:type="gramStart"/>
      <w:r w:rsidRPr="007B560F">
        <w:rPr>
          <w:rFonts w:hint="eastAsia"/>
          <w:color w:val="000000" w:themeColor="text1"/>
        </w:rPr>
        <w:t>衛福部訂定</w:t>
      </w:r>
      <w:proofErr w:type="gramEnd"/>
      <w:r w:rsidRPr="007B560F">
        <w:rPr>
          <w:rFonts w:hint="eastAsia"/>
          <w:color w:val="000000" w:themeColor="text1"/>
        </w:rPr>
        <w:t>「食品及相關產品輸入查驗辦法」並授權</w:t>
      </w:r>
      <w:proofErr w:type="gramStart"/>
      <w:r w:rsidRPr="007B560F">
        <w:rPr>
          <w:rFonts w:hint="eastAsia"/>
          <w:color w:val="000000" w:themeColor="text1"/>
        </w:rPr>
        <w:t>食藥署</w:t>
      </w:r>
      <w:proofErr w:type="gramEnd"/>
      <w:r w:rsidRPr="007B560F">
        <w:rPr>
          <w:rFonts w:hint="eastAsia"/>
          <w:color w:val="000000" w:themeColor="text1"/>
        </w:rPr>
        <w:t>辦理輸入食品查驗管理。</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按依食品及相關產品輸入查驗辦法第8條至第12條，查驗方式可分為一般查驗、加強</w:t>
      </w:r>
      <w:proofErr w:type="gramStart"/>
      <w:r w:rsidRPr="007B560F">
        <w:rPr>
          <w:rFonts w:hint="eastAsia"/>
          <w:color w:val="000000" w:themeColor="text1"/>
        </w:rPr>
        <w:t>查驗及逐批</w:t>
      </w:r>
      <w:proofErr w:type="gramEnd"/>
      <w:r w:rsidRPr="007B560F">
        <w:rPr>
          <w:rFonts w:hint="eastAsia"/>
          <w:color w:val="000000" w:themeColor="text1"/>
        </w:rPr>
        <w:t>查驗，一般查驗抽檢2至10%的產品，只要同一報驗義務人、相同產地與相同產品遭檢出1項不合格，下次再輸入時，</w:t>
      </w:r>
      <w:proofErr w:type="gramStart"/>
      <w:r w:rsidRPr="007B560F">
        <w:rPr>
          <w:rFonts w:hint="eastAsia"/>
          <w:color w:val="000000" w:themeColor="text1"/>
        </w:rPr>
        <w:t>食藥署</w:t>
      </w:r>
      <w:proofErr w:type="gramEnd"/>
      <w:r w:rsidRPr="007B560F">
        <w:rPr>
          <w:rFonts w:hint="eastAsia"/>
          <w:color w:val="000000" w:themeColor="text1"/>
        </w:rPr>
        <w:t>會提高加強查驗程度，改抽檢20至50%，倘再次被查驗未合規定時，則查驗強度直接提升至100%的逐批查驗。惟當報驗義務人被查驗出違規時，可</w:t>
      </w:r>
      <w:proofErr w:type="gramStart"/>
      <w:r w:rsidRPr="007B560F">
        <w:rPr>
          <w:rFonts w:hint="eastAsia"/>
          <w:color w:val="000000" w:themeColor="text1"/>
        </w:rPr>
        <w:t>輕易</w:t>
      </w:r>
      <w:proofErr w:type="gramEnd"/>
      <w:r w:rsidRPr="007B560F">
        <w:rPr>
          <w:rFonts w:hint="eastAsia"/>
          <w:color w:val="000000" w:themeColor="text1"/>
        </w:rPr>
        <w:t>以</w:t>
      </w:r>
      <w:r w:rsidRPr="007B560F">
        <w:rPr>
          <w:rFonts w:hAnsi="標楷體" w:hint="eastAsia"/>
          <w:color w:val="000000" w:themeColor="text1"/>
        </w:rPr>
        <w:t>變更或重新申請商號方式，規避下</w:t>
      </w:r>
      <w:r w:rsidRPr="007B560F">
        <w:rPr>
          <w:rFonts w:hAnsi="標楷體" w:hint="eastAsia"/>
          <w:color w:val="000000" w:themeColor="text1"/>
        </w:rPr>
        <w:lastRenderedPageBreak/>
        <w:t>次會被加強抽檢或甚至逐批抽檢之機會，此可能形成監測漏洞，有待</w:t>
      </w:r>
      <w:proofErr w:type="gramStart"/>
      <w:r w:rsidRPr="007B560F">
        <w:rPr>
          <w:rFonts w:hAnsi="標楷體" w:hint="eastAsia"/>
          <w:color w:val="000000" w:themeColor="text1"/>
        </w:rPr>
        <w:t>食藥署</w:t>
      </w:r>
      <w:proofErr w:type="gramEnd"/>
      <w:r w:rsidRPr="007B560F">
        <w:rPr>
          <w:rFonts w:hAnsi="標楷體" w:hint="eastAsia"/>
          <w:color w:val="000000" w:themeColor="text1"/>
        </w:rPr>
        <w:t>正視並妥謀解決之道。</w:t>
      </w:r>
    </w:p>
    <w:p w:rsidR="00BF77F1" w:rsidRPr="007B560F" w:rsidRDefault="00BF77F1" w:rsidP="00BF77F1">
      <w:pPr>
        <w:pStyle w:val="3"/>
        <w:numPr>
          <w:ilvl w:val="2"/>
          <w:numId w:val="9"/>
        </w:numPr>
        <w:rPr>
          <w:color w:val="000000" w:themeColor="text1"/>
        </w:rPr>
      </w:pPr>
      <w:r w:rsidRPr="007B560F">
        <w:rPr>
          <w:rFonts w:hint="eastAsia"/>
          <w:color w:val="000000" w:themeColor="text1"/>
        </w:rPr>
        <w:t>另</w:t>
      </w:r>
      <w:proofErr w:type="gramStart"/>
      <w:r w:rsidRPr="007B560F">
        <w:rPr>
          <w:rFonts w:hint="eastAsia"/>
          <w:color w:val="000000" w:themeColor="text1"/>
        </w:rPr>
        <w:t>按食藥署</w:t>
      </w:r>
      <w:proofErr w:type="gramEnd"/>
      <w:r w:rsidRPr="007B560F">
        <w:rPr>
          <w:rFonts w:hint="eastAsia"/>
          <w:color w:val="000000" w:themeColor="text1"/>
        </w:rPr>
        <w:t>上開查驗規定，可知該署對於輸入食品查驗方式係以「違規紀錄」為是否加強查驗之原則，然輸入食品的種類繁多，包括穀物雜糧、生鮮冷藏冷凍水果及蔬菜、食用油脂、乳製品…</w:t>
      </w:r>
      <w:proofErr w:type="gramStart"/>
      <w:r w:rsidRPr="007B560F">
        <w:rPr>
          <w:rFonts w:hint="eastAsia"/>
          <w:color w:val="000000" w:themeColor="text1"/>
        </w:rPr>
        <w:t>…</w:t>
      </w:r>
      <w:proofErr w:type="gramEnd"/>
      <w:r w:rsidRPr="007B560F">
        <w:rPr>
          <w:rFonts w:hint="eastAsia"/>
          <w:color w:val="000000" w:themeColor="text1"/>
        </w:rPr>
        <w:t>等，而進口商每批輸入產品的數量差異相當大。按</w:t>
      </w:r>
      <w:proofErr w:type="gramStart"/>
      <w:r w:rsidRPr="007B560F">
        <w:rPr>
          <w:rFonts w:hint="eastAsia"/>
          <w:color w:val="000000" w:themeColor="text1"/>
        </w:rPr>
        <w:t>依食藥署</w:t>
      </w:r>
      <w:proofErr w:type="gramEnd"/>
      <w:r w:rsidRPr="007B560F">
        <w:rPr>
          <w:rFonts w:hint="eastAsia"/>
          <w:color w:val="000000" w:themeColor="text1"/>
        </w:rPr>
        <w:t>108年4月16日訂定之「輸入食品及相關產品符合免申請輸入查驗之條件與其適用之通關代碼」，輸入食品及相關產品(不含錠狀、膠囊狀食品)供個人自用，價值在1,000美元以下，且重量在6公斤以內者(係以報單單一項次之價值及數量計)得免申請查驗。因此以重量而言，進口商只要輸入超過6公斤的非自用商品即需報驗，且數量並無上限規定。惟當蔬果進口數量大，一旦進入國內各銷售通路後，如發現有農藥殘留未合規定問題，其造成之危害風險</w:t>
      </w:r>
      <w:proofErr w:type="gramStart"/>
      <w:r w:rsidRPr="007B560F">
        <w:rPr>
          <w:rFonts w:hint="eastAsia"/>
          <w:color w:val="000000" w:themeColor="text1"/>
        </w:rPr>
        <w:t>恐</w:t>
      </w:r>
      <w:proofErr w:type="gramEnd"/>
      <w:r w:rsidRPr="007B560F">
        <w:rPr>
          <w:rFonts w:hint="eastAsia"/>
          <w:color w:val="000000" w:themeColor="text1"/>
        </w:rPr>
        <w:t>難以想像。加以目前</w:t>
      </w:r>
      <w:proofErr w:type="gramStart"/>
      <w:r w:rsidRPr="007B560F">
        <w:rPr>
          <w:rFonts w:hint="eastAsia"/>
          <w:color w:val="000000" w:themeColor="text1"/>
        </w:rPr>
        <w:t>食藥署</w:t>
      </w:r>
      <w:proofErr w:type="gramEnd"/>
      <w:r w:rsidRPr="007B560F">
        <w:rPr>
          <w:rFonts w:hint="eastAsia"/>
          <w:color w:val="000000" w:themeColor="text1"/>
        </w:rPr>
        <w:t>對於輸入蔬果進入各通路數量及追蹤溯源未有管理機制，如當龐大的問題進口蔬果進入國內銷售體系，更無從追回及處理。</w:t>
      </w:r>
      <w:proofErr w:type="gramStart"/>
      <w:r w:rsidRPr="007B560F">
        <w:rPr>
          <w:rFonts w:hint="eastAsia"/>
          <w:color w:val="000000" w:themeColor="text1"/>
        </w:rPr>
        <w:t>故食藥署宜</w:t>
      </w:r>
      <w:proofErr w:type="gramEnd"/>
      <w:r w:rsidRPr="007B560F">
        <w:rPr>
          <w:rFonts w:hint="eastAsia"/>
          <w:color w:val="000000" w:themeColor="text1"/>
        </w:rPr>
        <w:t>考量將「輸入數量」納為風險管控之要件，以補強目前僅以「違規紀錄」為加強查驗原則的不足之處。</w:t>
      </w:r>
    </w:p>
    <w:p w:rsidR="00D713D8" w:rsidRPr="007B560F" w:rsidRDefault="00BF77F1" w:rsidP="00D713D8">
      <w:pPr>
        <w:pStyle w:val="3"/>
        <w:numPr>
          <w:ilvl w:val="2"/>
          <w:numId w:val="9"/>
        </w:numPr>
        <w:rPr>
          <w:rFonts w:hAnsi="標楷體"/>
          <w:color w:val="000000" w:themeColor="text1"/>
        </w:rPr>
      </w:pPr>
      <w:r w:rsidRPr="007B560F">
        <w:rPr>
          <w:rFonts w:hint="eastAsia"/>
          <w:color w:val="000000" w:themeColor="text1"/>
        </w:rPr>
        <w:t>據上，</w:t>
      </w:r>
      <w:r w:rsidR="00D713D8" w:rsidRPr="007B560F">
        <w:rPr>
          <w:rFonts w:hAnsi="標楷體" w:hint="eastAsia"/>
          <w:color w:val="000000" w:themeColor="text1"/>
        </w:rPr>
        <w:t>目前</w:t>
      </w:r>
      <w:proofErr w:type="gramStart"/>
      <w:r w:rsidR="00D713D8" w:rsidRPr="007B560F">
        <w:rPr>
          <w:rFonts w:hAnsi="標楷體" w:hint="eastAsia"/>
          <w:color w:val="000000" w:themeColor="text1"/>
        </w:rPr>
        <w:t>食藥署</w:t>
      </w:r>
      <w:proofErr w:type="gramEnd"/>
      <w:r w:rsidR="00D713D8" w:rsidRPr="007B560F">
        <w:rPr>
          <w:rFonts w:hAnsi="標楷體" w:hint="eastAsia"/>
          <w:color w:val="000000" w:themeColor="text1"/>
        </w:rPr>
        <w:t>對於輸入食品之查驗管理制度，難以杜絕同一報驗義務人以變更(或重新申請)商號方式，規避加強</w:t>
      </w:r>
      <w:proofErr w:type="gramStart"/>
      <w:r w:rsidR="00D713D8" w:rsidRPr="007B560F">
        <w:rPr>
          <w:rFonts w:hAnsi="標楷體" w:hint="eastAsia"/>
          <w:color w:val="000000" w:themeColor="text1"/>
        </w:rPr>
        <w:t>查驗及逐批</w:t>
      </w:r>
      <w:proofErr w:type="gramEnd"/>
      <w:r w:rsidR="00D713D8" w:rsidRPr="007B560F">
        <w:rPr>
          <w:rFonts w:hAnsi="標楷體" w:hint="eastAsia"/>
          <w:color w:val="000000" w:themeColor="text1"/>
        </w:rPr>
        <w:t>查驗之機會；另未將「輸入數量」納為輸入食品加強查驗</w:t>
      </w:r>
      <w:proofErr w:type="gramStart"/>
      <w:r w:rsidR="00D713D8" w:rsidRPr="007B560F">
        <w:rPr>
          <w:rFonts w:hAnsi="標楷體" w:hint="eastAsia"/>
          <w:color w:val="000000" w:themeColor="text1"/>
        </w:rPr>
        <w:t>之參據</w:t>
      </w:r>
      <w:proofErr w:type="gramEnd"/>
      <w:r w:rsidR="00D713D8" w:rsidRPr="007B560F">
        <w:rPr>
          <w:rFonts w:hAnsi="標楷體" w:hint="eastAsia"/>
          <w:color w:val="000000" w:themeColor="text1"/>
        </w:rPr>
        <w:t>，一旦「龐大」的輸入蔬果進入國內各銷售通路後，如發現有農藥殘留未合規定問題，其造成的風險勢必更難因應，有待</w:t>
      </w:r>
      <w:proofErr w:type="gramStart"/>
      <w:r w:rsidR="00D713D8" w:rsidRPr="007B560F">
        <w:rPr>
          <w:rFonts w:hAnsi="標楷體" w:hint="eastAsia"/>
          <w:color w:val="000000" w:themeColor="text1"/>
        </w:rPr>
        <w:t>食藥署</w:t>
      </w:r>
      <w:proofErr w:type="gramEnd"/>
      <w:r w:rsidR="00D713D8" w:rsidRPr="007B560F">
        <w:rPr>
          <w:rFonts w:hAnsi="標楷體" w:hint="eastAsia"/>
          <w:color w:val="000000" w:themeColor="text1"/>
        </w:rPr>
        <w:t>檢討改善。</w:t>
      </w:r>
    </w:p>
    <w:p w:rsidR="00BF77F1" w:rsidRPr="007B560F" w:rsidRDefault="00BF77F1" w:rsidP="00BF77F1">
      <w:pPr>
        <w:pStyle w:val="2"/>
        <w:numPr>
          <w:ilvl w:val="1"/>
          <w:numId w:val="9"/>
        </w:numPr>
        <w:rPr>
          <w:b/>
          <w:color w:val="000000" w:themeColor="text1"/>
        </w:rPr>
      </w:pPr>
      <w:r w:rsidRPr="007B560F">
        <w:rPr>
          <w:rFonts w:hint="eastAsia"/>
          <w:b/>
          <w:color w:val="000000" w:themeColor="text1"/>
        </w:rPr>
        <w:t>農委會對於已核准登記之農藥，應建立安全再評估機</w:t>
      </w:r>
      <w:r w:rsidRPr="007B560F">
        <w:rPr>
          <w:rFonts w:hint="eastAsia"/>
          <w:b/>
          <w:color w:val="000000" w:themeColor="text1"/>
        </w:rPr>
        <w:lastRenderedPageBreak/>
        <w:t>制，並明確訂定啟動要件，以適時因應國際安全風險建議</w:t>
      </w:r>
      <w:r w:rsidR="00D713D8" w:rsidRPr="007B560F">
        <w:rPr>
          <w:rFonts w:hint="eastAsia"/>
          <w:b/>
          <w:color w:val="000000" w:themeColor="text1"/>
        </w:rPr>
        <w:t>即時啟動之</w:t>
      </w:r>
      <w:r w:rsidRPr="007B560F">
        <w:rPr>
          <w:rFonts w:hint="eastAsia"/>
          <w:b/>
          <w:color w:val="000000" w:themeColor="text1"/>
        </w:rPr>
        <w:t>，積極保障國人健康安全。</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農藥管理法第2條及第18條第1項及第2項規定：「本法所稱主管機關：在中央為行政院農業委員會；在直轄市為直轄市政府；在縣（市）為縣（市）政府。」、「(第1項)中央主管機關得對已核准登記之農藥進行安全評估，有危害人體健康或污染環境者，應依其必要性公告限制其使用方法、範圍，或公告為禁用農藥及廢止該農藥許可證。(第2項)中央主管機關得對已核准登記之農藥之使用方法及範圍進行藥效評估，有藥效不顯著，且無前項安全疑慮者，得公告限制其部分或全部使用方法及範圍。」是農委會對於已核准登記的農藥，得重新進行安全評估，並規範後續使用規定。</w:t>
      </w:r>
    </w:p>
    <w:p w:rsidR="00BF77F1" w:rsidRPr="007B560F" w:rsidRDefault="00BF77F1" w:rsidP="00BF77F1">
      <w:pPr>
        <w:pStyle w:val="3"/>
        <w:numPr>
          <w:ilvl w:val="2"/>
          <w:numId w:val="9"/>
        </w:numPr>
        <w:rPr>
          <w:rFonts w:hAnsi="標楷體"/>
          <w:color w:val="000000" w:themeColor="text1"/>
        </w:rPr>
      </w:pPr>
      <w:r w:rsidRPr="007B560F">
        <w:rPr>
          <w:rFonts w:hint="eastAsia"/>
          <w:color w:val="000000" w:themeColor="text1"/>
        </w:rPr>
        <w:t>查國際癌症中心於西元2015年3月將除草劑「</w:t>
      </w:r>
      <w:proofErr w:type="gramStart"/>
      <w:r w:rsidRPr="007B560F">
        <w:rPr>
          <w:rFonts w:hint="eastAsia"/>
          <w:color w:val="000000" w:themeColor="text1"/>
        </w:rPr>
        <w:t>嘉磷塞</w:t>
      </w:r>
      <w:proofErr w:type="gramEnd"/>
      <w:r w:rsidRPr="007B560F">
        <w:rPr>
          <w:rFonts w:hint="eastAsia"/>
          <w:color w:val="000000" w:themeColor="text1"/>
        </w:rPr>
        <w:t>」致腫瘤潛力提升為</w:t>
      </w:r>
      <w:r w:rsidRPr="007B560F">
        <w:rPr>
          <w:rFonts w:hAnsi="標楷體" w:hint="eastAsia"/>
          <w:color w:val="000000" w:themeColor="text1"/>
        </w:rPr>
        <w:t>「很可能致癌（Group 2A）」</w:t>
      </w:r>
      <w:r w:rsidRPr="007B560F">
        <w:rPr>
          <w:rFonts w:hint="eastAsia"/>
          <w:color w:val="000000" w:themeColor="text1"/>
        </w:rPr>
        <w:t>等級，判定為極可能對人類具致腫瘤性，引發各界強烈關切，各國際機構紛紛重新啟動評估機制。我國農委會</w:t>
      </w:r>
      <w:r w:rsidRPr="007B560F">
        <w:rPr>
          <w:rFonts w:hAnsi="標楷體" w:hint="eastAsia"/>
          <w:color w:val="000000" w:themeColor="text1"/>
        </w:rPr>
        <w:t>也於107年開始啟動重新評估作業，於107年10月完成「</w:t>
      </w:r>
      <w:proofErr w:type="gramStart"/>
      <w:r w:rsidRPr="007B560F">
        <w:rPr>
          <w:rFonts w:hAnsi="標楷體" w:hint="eastAsia"/>
          <w:color w:val="000000" w:themeColor="text1"/>
        </w:rPr>
        <w:t>嘉磷塞</w:t>
      </w:r>
      <w:proofErr w:type="gramEnd"/>
      <w:r w:rsidRPr="007B560F">
        <w:rPr>
          <w:rFonts w:hAnsi="標楷體" w:hint="eastAsia"/>
          <w:color w:val="000000" w:themeColor="text1"/>
        </w:rPr>
        <w:t>」</w:t>
      </w:r>
      <w:proofErr w:type="gramStart"/>
      <w:r w:rsidRPr="007B560F">
        <w:rPr>
          <w:rFonts w:hAnsi="標楷體" w:hint="eastAsia"/>
          <w:color w:val="000000" w:themeColor="text1"/>
        </w:rPr>
        <w:t>之毒理安全</w:t>
      </w:r>
      <w:proofErr w:type="gramEnd"/>
      <w:r w:rsidRPr="007B560F">
        <w:rPr>
          <w:rFonts w:hAnsi="標楷體" w:hint="eastAsia"/>
          <w:color w:val="000000" w:themeColor="text1"/>
        </w:rPr>
        <w:t>評估報告。</w:t>
      </w:r>
      <w:proofErr w:type="gramStart"/>
      <w:r w:rsidRPr="007B560F">
        <w:rPr>
          <w:rFonts w:hAnsi="標楷體" w:hint="eastAsia"/>
          <w:color w:val="000000" w:themeColor="text1"/>
        </w:rPr>
        <w:t>惟</w:t>
      </w:r>
      <w:proofErr w:type="gramEnd"/>
      <w:r w:rsidRPr="007B560F">
        <w:rPr>
          <w:rFonts w:hAnsi="標楷體" w:hint="eastAsia"/>
          <w:color w:val="000000" w:themeColor="text1"/>
        </w:rPr>
        <w:t>關於已經核准的農藥，如有危害人體健康風險或對於環境有重大破壞疑慮時，農委會啟動再評估之機制問題，該會表示略</w:t>
      </w:r>
      <w:proofErr w:type="gramStart"/>
      <w:r w:rsidRPr="007B560F">
        <w:rPr>
          <w:rFonts w:hAnsi="標楷體" w:hint="eastAsia"/>
          <w:color w:val="000000" w:themeColor="text1"/>
        </w:rPr>
        <w:t>以</w:t>
      </w:r>
      <w:proofErr w:type="gramEnd"/>
      <w:r w:rsidRPr="007B560F">
        <w:rPr>
          <w:rFonts w:hAnsi="標楷體" w:hint="eastAsia"/>
          <w:color w:val="000000" w:themeColor="text1"/>
        </w:rPr>
        <w:t>：於已</w:t>
      </w:r>
      <w:proofErr w:type="gramStart"/>
      <w:r w:rsidRPr="007B560F">
        <w:rPr>
          <w:rFonts w:hAnsi="標楷體" w:hint="eastAsia"/>
          <w:color w:val="000000" w:themeColor="text1"/>
        </w:rPr>
        <w:t>取得藥證之</w:t>
      </w:r>
      <w:proofErr w:type="gramEnd"/>
      <w:r w:rsidRPr="007B560F">
        <w:rPr>
          <w:rFonts w:hAnsi="標楷體" w:hint="eastAsia"/>
          <w:color w:val="000000" w:themeColor="text1"/>
        </w:rPr>
        <w:t>農藥在現有使用方法下，可能會對人體(包括消費者或操作者)之健康，抑或對環境、非目標生物有潛在重大安全風險疑慮時，將依據國際資訊、駐外使館及業者所提供資料，考量國內使用情形及專家意見啟動再評估機制，並視評估結果辦理禁限用措施等語。</w:t>
      </w:r>
    </w:p>
    <w:p w:rsidR="00BF77F1" w:rsidRPr="007B560F" w:rsidRDefault="00BF77F1" w:rsidP="00BF77F1">
      <w:pPr>
        <w:pStyle w:val="3"/>
        <w:numPr>
          <w:ilvl w:val="2"/>
          <w:numId w:val="9"/>
        </w:numPr>
        <w:rPr>
          <w:color w:val="000000" w:themeColor="text1"/>
        </w:rPr>
      </w:pPr>
      <w:r w:rsidRPr="007B560F">
        <w:rPr>
          <w:rFonts w:hint="eastAsia"/>
          <w:color w:val="000000" w:themeColor="text1"/>
        </w:rPr>
        <w:t>審諸農委會上開關於將依據國際資訊、駐外使館、業者所提供資料及專家意見等，視需要啟動再評估</w:t>
      </w:r>
      <w:r w:rsidRPr="007B560F">
        <w:rPr>
          <w:rFonts w:hint="eastAsia"/>
          <w:color w:val="000000" w:themeColor="text1"/>
        </w:rPr>
        <w:lastRenderedPageBreak/>
        <w:t>機制等情，足見該會對安全再評估的要件付之闕如，且是否啟動完全取決於機關裁量，顯無法積極保障國人健康安全，</w:t>
      </w:r>
      <w:r w:rsidR="002205FF" w:rsidRPr="007B560F">
        <w:rPr>
          <w:rFonts w:hint="eastAsia"/>
          <w:color w:val="000000" w:themeColor="text1"/>
        </w:rPr>
        <w:t>欠缺</w:t>
      </w:r>
      <w:r w:rsidRPr="007B560F">
        <w:rPr>
          <w:rFonts w:hint="eastAsia"/>
          <w:color w:val="000000" w:themeColor="text1"/>
        </w:rPr>
        <w:t>中央主管機關</w:t>
      </w:r>
      <w:r w:rsidR="002205FF" w:rsidRPr="007B560F">
        <w:rPr>
          <w:rFonts w:hint="eastAsia"/>
          <w:color w:val="000000" w:themeColor="text1"/>
        </w:rPr>
        <w:t>應具備之主動作為</w:t>
      </w:r>
      <w:r w:rsidRPr="007B560F">
        <w:rPr>
          <w:rFonts w:hint="eastAsia"/>
          <w:color w:val="000000" w:themeColor="text1"/>
        </w:rPr>
        <w:t>，</w:t>
      </w:r>
      <w:r w:rsidR="002205FF" w:rsidRPr="007B560F">
        <w:rPr>
          <w:rFonts w:hint="eastAsia"/>
          <w:color w:val="000000" w:themeColor="text1"/>
        </w:rPr>
        <w:t>有待加強</w:t>
      </w:r>
      <w:r w:rsidRPr="007B560F">
        <w:rPr>
          <w:rFonts w:hint="eastAsia"/>
          <w:color w:val="000000" w:themeColor="text1"/>
        </w:rPr>
        <w:t>。是</w:t>
      </w:r>
      <w:proofErr w:type="gramStart"/>
      <w:r w:rsidRPr="007B560F">
        <w:rPr>
          <w:rFonts w:hint="eastAsia"/>
          <w:color w:val="000000" w:themeColor="text1"/>
        </w:rPr>
        <w:t>以</w:t>
      </w:r>
      <w:proofErr w:type="gramEnd"/>
      <w:r w:rsidRPr="007B560F">
        <w:rPr>
          <w:rFonts w:hint="eastAsia"/>
          <w:color w:val="000000" w:themeColor="text1"/>
        </w:rPr>
        <w:t>，農委會對於已核准登記之農藥，應建立安全再評估機制，並明確訂定啟動要件，以適時因應國際安全</w:t>
      </w:r>
      <w:r w:rsidRPr="007B560F">
        <w:rPr>
          <w:rFonts w:hAnsi="標楷體" w:hint="eastAsia"/>
          <w:color w:val="000000" w:themeColor="text1"/>
        </w:rPr>
        <w:t>風險建議</w:t>
      </w:r>
      <w:r w:rsidR="00D713D8" w:rsidRPr="007B560F">
        <w:rPr>
          <w:rFonts w:hint="eastAsia"/>
          <w:color w:val="000000" w:themeColor="text1"/>
        </w:rPr>
        <w:t>即時啟動之</w:t>
      </w:r>
      <w:r w:rsidRPr="007B560F">
        <w:rPr>
          <w:rFonts w:hAnsi="標楷體" w:hint="eastAsia"/>
          <w:color w:val="000000" w:themeColor="text1"/>
        </w:rPr>
        <w:t>，積極</w:t>
      </w:r>
      <w:r w:rsidRPr="007B560F">
        <w:rPr>
          <w:rFonts w:hint="eastAsia"/>
          <w:color w:val="000000" w:themeColor="text1"/>
        </w:rPr>
        <w:t>保障國人健康安全。</w:t>
      </w:r>
    </w:p>
    <w:p w:rsidR="00BF77F1" w:rsidRPr="007B560F" w:rsidRDefault="00BF77F1" w:rsidP="00BF77F1">
      <w:pPr>
        <w:pStyle w:val="2"/>
        <w:numPr>
          <w:ilvl w:val="1"/>
          <w:numId w:val="9"/>
        </w:numPr>
        <w:rPr>
          <w:b/>
          <w:color w:val="000000" w:themeColor="text1"/>
        </w:rPr>
      </w:pPr>
      <w:r w:rsidRPr="007B560F">
        <w:rPr>
          <w:rFonts w:hint="eastAsia"/>
          <w:b/>
          <w:color w:val="000000" w:themeColor="text1"/>
        </w:rPr>
        <w:t>農民基於使用農藥的個人習慣、防治蟲害對象的不同及混合農藥劑型之使用等因素，對同一作物往往使用多種不同農藥，致市售蔬果普遍存有多種農藥殘留，</w:t>
      </w:r>
      <w:proofErr w:type="gramStart"/>
      <w:r w:rsidRPr="007B560F">
        <w:rPr>
          <w:rFonts w:hint="eastAsia"/>
          <w:b/>
          <w:color w:val="000000" w:themeColor="text1"/>
        </w:rPr>
        <w:t>惟食藥署</w:t>
      </w:r>
      <w:proofErr w:type="gramEnd"/>
      <w:r w:rsidRPr="007B560F">
        <w:rPr>
          <w:rFonts w:hint="eastAsia"/>
          <w:b/>
          <w:color w:val="000000" w:themeColor="text1"/>
        </w:rPr>
        <w:t>「農藥殘留容許量標準」之訂定依據，僅針對「單一」個別農藥</w:t>
      </w:r>
      <w:proofErr w:type="gramStart"/>
      <w:r w:rsidRPr="007B560F">
        <w:rPr>
          <w:rFonts w:hint="eastAsia"/>
          <w:b/>
          <w:color w:val="000000" w:themeColor="text1"/>
        </w:rPr>
        <w:t>進行毒理安全</w:t>
      </w:r>
      <w:proofErr w:type="gramEnd"/>
      <w:r w:rsidRPr="007B560F">
        <w:rPr>
          <w:rFonts w:hint="eastAsia"/>
          <w:b/>
          <w:color w:val="000000" w:themeColor="text1"/>
        </w:rPr>
        <w:t>風險評估，並未將多種農藥間是否產生交互作用及對人體產生毒性等因素納入該標準訂定之參考，致消費者多暴露於</w:t>
      </w:r>
      <w:r w:rsidR="00D713D8" w:rsidRPr="007B560F">
        <w:rPr>
          <w:rFonts w:hint="eastAsia"/>
          <w:b/>
          <w:color w:val="000000" w:themeColor="text1"/>
        </w:rPr>
        <w:t>所謂</w:t>
      </w:r>
      <w:r w:rsidRPr="007B560F">
        <w:rPr>
          <w:rFonts w:hint="eastAsia"/>
          <w:b/>
          <w:color w:val="000000" w:themeColor="text1"/>
        </w:rPr>
        <w:t>「合格」蔬果之多重農藥殘留風險中，核有欠妥。</w:t>
      </w:r>
    </w:p>
    <w:p w:rsidR="00BF77F1" w:rsidRPr="007B560F" w:rsidRDefault="00BF77F1" w:rsidP="00BF77F1">
      <w:pPr>
        <w:pStyle w:val="3"/>
        <w:numPr>
          <w:ilvl w:val="2"/>
          <w:numId w:val="9"/>
        </w:numPr>
        <w:rPr>
          <w:color w:val="000000" w:themeColor="text1"/>
        </w:rPr>
      </w:pPr>
      <w:r w:rsidRPr="007B560F">
        <w:rPr>
          <w:rFonts w:hint="eastAsia"/>
          <w:color w:val="000000" w:themeColor="text1"/>
        </w:rPr>
        <w:t>按食品安全衛生管理法第2條規定：「本法所稱主管機關：在中央為衛生福利主管機關；在直轄市為直轄市政府；在縣（市）為縣（市）政府。」</w:t>
      </w:r>
      <w:proofErr w:type="gramStart"/>
      <w:r w:rsidRPr="007B560F">
        <w:rPr>
          <w:rFonts w:hint="eastAsia"/>
          <w:color w:val="000000" w:themeColor="text1"/>
        </w:rPr>
        <w:t>復按同</w:t>
      </w:r>
      <w:proofErr w:type="gramEnd"/>
      <w:r w:rsidRPr="007B560F">
        <w:rPr>
          <w:rFonts w:hint="eastAsia"/>
          <w:color w:val="000000" w:themeColor="text1"/>
        </w:rPr>
        <w:t>法第15條第2項及第17條分別規定：「前項第五款、第六款殘留農藥或動物用藥安全容許量及食品中原子塵或放射能污染安全容許量之標準，由中央主管機關會商相關機關定之。」「販賣之食品、食品</w:t>
      </w:r>
      <w:proofErr w:type="gramStart"/>
      <w:r w:rsidRPr="007B560F">
        <w:rPr>
          <w:rFonts w:hint="eastAsia"/>
          <w:color w:val="000000" w:themeColor="text1"/>
        </w:rPr>
        <w:t>用洗潔劑</w:t>
      </w:r>
      <w:proofErr w:type="gramEnd"/>
      <w:r w:rsidRPr="007B560F">
        <w:rPr>
          <w:rFonts w:hint="eastAsia"/>
          <w:color w:val="000000" w:themeColor="text1"/>
        </w:rPr>
        <w:t>及其器具、容器或包裝，應符合衛生安全及品質之標準；其標準由中央主管機關定之。」</w:t>
      </w:r>
      <w:proofErr w:type="gramStart"/>
      <w:r w:rsidRPr="007B560F">
        <w:rPr>
          <w:rFonts w:hint="eastAsia"/>
          <w:color w:val="000000" w:themeColor="text1"/>
        </w:rPr>
        <w:t>爰</w:t>
      </w:r>
      <w:proofErr w:type="gramEnd"/>
      <w:r w:rsidRPr="007B560F">
        <w:rPr>
          <w:rFonts w:hint="eastAsia"/>
          <w:color w:val="000000" w:themeColor="text1"/>
        </w:rPr>
        <w:t>此，原行政院衛生署(現衛福部)於65年2月20日公告訂定「殘留農藥安全容許量標準」，肆應行政程序法之施行，該署自97年10月21日訂定發布。</w:t>
      </w:r>
    </w:p>
    <w:p w:rsidR="007503BA" w:rsidRPr="007B560F" w:rsidRDefault="007503BA" w:rsidP="00BF77F1">
      <w:pPr>
        <w:pStyle w:val="3"/>
        <w:numPr>
          <w:ilvl w:val="2"/>
          <w:numId w:val="9"/>
        </w:numPr>
        <w:rPr>
          <w:color w:val="000000" w:themeColor="text1"/>
        </w:rPr>
      </w:pPr>
      <w:r w:rsidRPr="007B560F">
        <w:rPr>
          <w:rFonts w:hint="eastAsia"/>
          <w:color w:val="000000" w:themeColor="text1"/>
        </w:rPr>
        <w:t>依衛福部108年11月6日發布修正「農藥殘留容許量標準」，現行標準共計訂有380種農藥，依各農藥可使用範圍，共訂有7</w:t>
      </w:r>
      <w:r w:rsidRPr="007B560F">
        <w:rPr>
          <w:color w:val="000000" w:themeColor="text1"/>
        </w:rPr>
        <w:t>,</w:t>
      </w:r>
      <w:r w:rsidRPr="007B560F">
        <w:rPr>
          <w:rFonts w:hint="eastAsia"/>
          <w:color w:val="000000" w:themeColor="text1"/>
        </w:rPr>
        <w:t>244項容許量標準；</w:t>
      </w:r>
      <w:proofErr w:type="gramStart"/>
      <w:r w:rsidRPr="007B560F">
        <w:rPr>
          <w:rFonts w:hint="eastAsia"/>
          <w:color w:val="000000" w:themeColor="text1"/>
        </w:rPr>
        <w:t>食藥署</w:t>
      </w:r>
      <w:proofErr w:type="gramEnd"/>
      <w:r w:rsidRPr="007B560F">
        <w:rPr>
          <w:rFonts w:hint="eastAsia"/>
          <w:color w:val="000000" w:themeColor="text1"/>
        </w:rPr>
        <w:t>對於</w:t>
      </w:r>
      <w:r w:rsidRPr="007B560F">
        <w:rPr>
          <w:rFonts w:hint="eastAsia"/>
          <w:color w:val="000000" w:themeColor="text1"/>
        </w:rPr>
        <w:lastRenderedPageBreak/>
        <w:t>該標準之訂定依據，係針對「單一」個別農藥，評估毒性資料、農作物殘留量消退試驗資料、國內外核准登記使用方法等科學性資料，以及國人對各類農作物取食總量之累積風險等，訂定各農藥於不同作物之殘留標準。然農民於田間進行作物病蟲害防治時，基於使用農藥的個人習慣、防治蟲害對象的不同及混合農藥劑型之使用…</w:t>
      </w:r>
      <w:proofErr w:type="gramStart"/>
      <w:r w:rsidRPr="007B560F">
        <w:rPr>
          <w:rFonts w:hint="eastAsia"/>
          <w:color w:val="000000" w:themeColor="text1"/>
        </w:rPr>
        <w:t>…</w:t>
      </w:r>
      <w:proofErr w:type="gramEnd"/>
      <w:r w:rsidRPr="007B560F">
        <w:rPr>
          <w:rFonts w:hint="eastAsia"/>
          <w:color w:val="000000" w:themeColor="text1"/>
        </w:rPr>
        <w:t>等因素，對同一作物往往使用多種不同農藥，若農民疏忽各農藥之安全</w:t>
      </w:r>
      <w:proofErr w:type="gramStart"/>
      <w:r w:rsidRPr="007B560F">
        <w:rPr>
          <w:rFonts w:hint="eastAsia"/>
          <w:color w:val="000000" w:themeColor="text1"/>
        </w:rPr>
        <w:t>採</w:t>
      </w:r>
      <w:proofErr w:type="gramEnd"/>
      <w:r w:rsidRPr="007B560F">
        <w:rPr>
          <w:rFonts w:hint="eastAsia"/>
          <w:color w:val="000000" w:themeColor="text1"/>
        </w:rPr>
        <w:t>收期，或因各農藥半衰期不相同，不同農藥即可能混合殘留於蔬果中，而各種不同農藥間是否可能產生藥物交互作用，導致對人體毒性增加或其他不可預期的後果，</w:t>
      </w:r>
      <w:proofErr w:type="gramStart"/>
      <w:r w:rsidRPr="007B560F">
        <w:rPr>
          <w:rFonts w:hint="eastAsia"/>
          <w:color w:val="000000" w:themeColor="text1"/>
        </w:rPr>
        <w:t>食藥署</w:t>
      </w:r>
      <w:proofErr w:type="gramEnd"/>
      <w:r w:rsidRPr="007B560F">
        <w:rPr>
          <w:rFonts w:hint="eastAsia"/>
          <w:color w:val="000000" w:themeColor="text1"/>
        </w:rPr>
        <w:t>並未納為該標準訂定之考量。</w:t>
      </w:r>
    </w:p>
    <w:p w:rsidR="00BF77F1" w:rsidRPr="007B560F" w:rsidRDefault="00BF77F1" w:rsidP="00BF77F1">
      <w:pPr>
        <w:pStyle w:val="3"/>
        <w:numPr>
          <w:ilvl w:val="2"/>
          <w:numId w:val="9"/>
        </w:numPr>
        <w:rPr>
          <w:color w:val="000000" w:themeColor="text1"/>
        </w:rPr>
      </w:pPr>
      <w:r w:rsidRPr="007B560F">
        <w:rPr>
          <w:rFonts w:hint="eastAsia"/>
          <w:color w:val="000000" w:themeColor="text1"/>
        </w:rPr>
        <w:t>本院於108年10月24日赴雲林縣虎尾黃昏市場抽取11件蔬菜，並請符合</w:t>
      </w:r>
      <w:proofErr w:type="gramStart"/>
      <w:r w:rsidRPr="007B560F">
        <w:rPr>
          <w:rFonts w:hint="eastAsia"/>
          <w:color w:val="000000" w:themeColor="text1"/>
        </w:rPr>
        <w:t>食藥署</w:t>
      </w:r>
      <w:proofErr w:type="gramEnd"/>
      <w:r w:rsidRPr="007B560F">
        <w:rPr>
          <w:rFonts w:hint="eastAsia"/>
          <w:color w:val="000000" w:themeColor="text1"/>
        </w:rPr>
        <w:t>認證實驗室協助進行農藥殘留檢測，結果2件蔬菜未合農藥殘留標準，餘9件符合規定，但在9件「合格」蔬菜中，有7件檢出2種品項以上農藥，其中茄子產品檢出5項、芹菜及四季豆</w:t>
      </w:r>
      <w:proofErr w:type="gramStart"/>
      <w:r w:rsidRPr="007B560F">
        <w:rPr>
          <w:rFonts w:hint="eastAsia"/>
          <w:color w:val="000000" w:themeColor="text1"/>
        </w:rPr>
        <w:t>產品均檢出</w:t>
      </w:r>
      <w:proofErr w:type="gramEnd"/>
      <w:r w:rsidRPr="007B560F">
        <w:rPr>
          <w:rFonts w:hint="eastAsia"/>
          <w:color w:val="000000" w:themeColor="text1"/>
        </w:rPr>
        <w:t>7項、青江菜產品檢出高達12項農藥。再以彰化縣衛生局108年抽驗市售蔬果農藥殘留結果為例，在225件的「合格」蔬果中，有近三成的蔬果檢出殘留4項以上的農藥，殘留7項以上農藥的蔬果達13%，其中草莓產品檢出殘留農</w:t>
      </w:r>
      <w:proofErr w:type="gramStart"/>
      <w:r w:rsidRPr="007B560F">
        <w:rPr>
          <w:rFonts w:hint="eastAsia"/>
          <w:color w:val="000000" w:themeColor="text1"/>
        </w:rPr>
        <w:t>藥品項竟高達</w:t>
      </w:r>
      <w:proofErr w:type="gramEnd"/>
      <w:r w:rsidRPr="007B560F">
        <w:rPr>
          <w:rFonts w:hint="eastAsia"/>
          <w:color w:val="000000" w:themeColor="text1"/>
        </w:rPr>
        <w:t>21項。顯見市售蔬果普遍存有多種農藥殘留，而檢出之各項農藥殘留量雖都在容許量範圍內，但各項農藥間是否會產生交互作用，導致對人體毒性增加或其他不可預期的後果，卻都無法得知，是消費者多暴露於「合格」蔬果之多重農藥殘留風險。</w:t>
      </w:r>
    </w:p>
    <w:p w:rsidR="00BF77F1" w:rsidRPr="007B560F" w:rsidRDefault="00BF77F1" w:rsidP="00BF77F1">
      <w:pPr>
        <w:pStyle w:val="3"/>
        <w:numPr>
          <w:ilvl w:val="2"/>
          <w:numId w:val="9"/>
        </w:numPr>
        <w:rPr>
          <w:color w:val="000000" w:themeColor="text1"/>
        </w:rPr>
      </w:pPr>
      <w:r w:rsidRPr="007B560F">
        <w:rPr>
          <w:rFonts w:hint="eastAsia"/>
          <w:color w:val="000000" w:themeColor="text1"/>
        </w:rPr>
        <w:t>綜上，農民基於使用農藥的個人習慣、防治蟲害對</w:t>
      </w:r>
      <w:r w:rsidRPr="007B560F">
        <w:rPr>
          <w:rFonts w:hint="eastAsia"/>
          <w:color w:val="000000" w:themeColor="text1"/>
        </w:rPr>
        <w:lastRenderedPageBreak/>
        <w:t>象的不同及混合農藥劑型之使用等因素，對同一作物往往使用多種不同農藥，致市售蔬果普遍存有多種農藥殘留，</w:t>
      </w:r>
      <w:proofErr w:type="gramStart"/>
      <w:r w:rsidRPr="007B560F">
        <w:rPr>
          <w:rFonts w:hint="eastAsia"/>
          <w:color w:val="000000" w:themeColor="text1"/>
        </w:rPr>
        <w:t>惟食藥署</w:t>
      </w:r>
      <w:proofErr w:type="gramEnd"/>
      <w:r w:rsidRPr="007B560F">
        <w:rPr>
          <w:rFonts w:hint="eastAsia"/>
          <w:color w:val="000000" w:themeColor="text1"/>
        </w:rPr>
        <w:t>「農藥殘留容許量標準」之訂定依據，僅針對「單一」個別農藥</w:t>
      </w:r>
      <w:proofErr w:type="gramStart"/>
      <w:r w:rsidRPr="007B560F">
        <w:rPr>
          <w:rFonts w:hint="eastAsia"/>
          <w:color w:val="000000" w:themeColor="text1"/>
        </w:rPr>
        <w:t>進行毒理安全</w:t>
      </w:r>
      <w:proofErr w:type="gramEnd"/>
      <w:r w:rsidRPr="007B560F">
        <w:rPr>
          <w:rFonts w:hint="eastAsia"/>
          <w:color w:val="000000" w:themeColor="text1"/>
        </w:rPr>
        <w:t>風險評估，並未將多種農藥間是否產生交互作用及對人體產生毒性等因素納入該標準訂定之參考，致消費者多暴露於</w:t>
      </w:r>
      <w:r w:rsidR="00D713D8" w:rsidRPr="007B560F">
        <w:rPr>
          <w:rFonts w:hint="eastAsia"/>
          <w:color w:val="000000" w:themeColor="text1"/>
        </w:rPr>
        <w:t>所謂</w:t>
      </w:r>
      <w:r w:rsidRPr="007B560F">
        <w:rPr>
          <w:rFonts w:hint="eastAsia"/>
          <w:color w:val="000000" w:themeColor="text1"/>
        </w:rPr>
        <w:t>「合格」蔬果之多重農藥殘留風險中，核有欠妥。</w:t>
      </w:r>
    </w:p>
    <w:p w:rsidR="0085395F" w:rsidRPr="007B560F" w:rsidRDefault="0082592F" w:rsidP="0082592F">
      <w:pPr>
        <w:pStyle w:val="2"/>
        <w:rPr>
          <w:b/>
          <w:color w:val="000000" w:themeColor="text1"/>
        </w:rPr>
      </w:pPr>
      <w:r w:rsidRPr="007B560F">
        <w:rPr>
          <w:rFonts w:hint="eastAsia"/>
          <w:b/>
          <w:color w:val="000000" w:themeColor="text1"/>
        </w:rPr>
        <w:t>行政院允宜參考瑞士及日本等先進國家之經驗及機制，將涉及農藥「</w:t>
      </w:r>
      <w:proofErr w:type="gramStart"/>
      <w:r w:rsidRPr="007B560F">
        <w:rPr>
          <w:rFonts w:hint="eastAsia"/>
          <w:b/>
          <w:color w:val="000000" w:themeColor="text1"/>
        </w:rPr>
        <w:t>人體毒理</w:t>
      </w:r>
      <w:proofErr w:type="gramEnd"/>
      <w:r w:rsidRPr="007B560F">
        <w:rPr>
          <w:rFonts w:hint="eastAsia"/>
          <w:b/>
          <w:color w:val="000000" w:themeColor="text1"/>
        </w:rPr>
        <w:t>」評估</w:t>
      </w:r>
      <w:r w:rsidR="00177ADC" w:rsidRPr="007B560F">
        <w:rPr>
          <w:rFonts w:hint="eastAsia"/>
          <w:b/>
          <w:color w:val="000000" w:themeColor="text1"/>
        </w:rPr>
        <w:t>業務協調</w:t>
      </w:r>
      <w:r w:rsidRPr="007B560F">
        <w:rPr>
          <w:rFonts w:hint="eastAsia"/>
          <w:b/>
          <w:color w:val="000000" w:themeColor="text1"/>
        </w:rPr>
        <w:t>由衛福部負責，另「環境</w:t>
      </w:r>
      <w:proofErr w:type="gramStart"/>
      <w:r w:rsidRPr="007B560F">
        <w:rPr>
          <w:rFonts w:hint="eastAsia"/>
          <w:b/>
          <w:color w:val="000000" w:themeColor="text1"/>
        </w:rPr>
        <w:t>危害與流布</w:t>
      </w:r>
      <w:proofErr w:type="gramEnd"/>
      <w:r w:rsidRPr="007B560F">
        <w:rPr>
          <w:rFonts w:hint="eastAsia"/>
          <w:b/>
          <w:color w:val="000000" w:themeColor="text1"/>
        </w:rPr>
        <w:t>」由環保署負責，並宜避免全憑國際研究報告、申請業者提供（或委託研究）資料之書面審查，以提升審查公正、效益及專業性；</w:t>
      </w:r>
      <w:proofErr w:type="gramStart"/>
      <w:r w:rsidRPr="007B560F">
        <w:rPr>
          <w:rFonts w:hint="eastAsia"/>
          <w:b/>
          <w:color w:val="000000" w:themeColor="text1"/>
        </w:rPr>
        <w:t>復應瞭解</w:t>
      </w:r>
      <w:proofErr w:type="gramEnd"/>
      <w:r w:rsidRPr="007B560F">
        <w:rPr>
          <w:rFonts w:hint="eastAsia"/>
          <w:b/>
          <w:color w:val="000000" w:themeColor="text1"/>
        </w:rPr>
        <w:t>目前國內環境系統對於農藥之承載情形，建立農藥環境分布之基本資料庫，並</w:t>
      </w:r>
      <w:proofErr w:type="gramStart"/>
      <w:r w:rsidRPr="007B560F">
        <w:rPr>
          <w:rFonts w:hint="eastAsia"/>
          <w:b/>
          <w:color w:val="000000" w:themeColor="text1"/>
        </w:rPr>
        <w:t>研</w:t>
      </w:r>
      <w:proofErr w:type="gramEnd"/>
      <w:r w:rsidRPr="007B560F">
        <w:rPr>
          <w:rFonts w:hint="eastAsia"/>
          <w:b/>
          <w:color w:val="000000" w:themeColor="text1"/>
        </w:rPr>
        <w:t>析最大可能負荷能量，作為農藥登記審查及相關政策管理之依據。</w:t>
      </w:r>
    </w:p>
    <w:p w:rsidR="00BF77F1" w:rsidRPr="007B560F" w:rsidRDefault="00BF77F1" w:rsidP="00BF77F1">
      <w:pPr>
        <w:pStyle w:val="3"/>
        <w:numPr>
          <w:ilvl w:val="2"/>
          <w:numId w:val="9"/>
        </w:numPr>
        <w:rPr>
          <w:color w:val="000000" w:themeColor="text1"/>
        </w:rPr>
      </w:pPr>
      <w:r w:rsidRPr="007B560F">
        <w:rPr>
          <w:rFonts w:hint="eastAsia"/>
          <w:color w:val="000000" w:themeColor="text1"/>
        </w:rPr>
        <w:t>有關我國近10年農藥使用量，98至106年呈增加趨勢，自</w:t>
      </w:r>
      <w:r w:rsidRPr="007B560F">
        <w:rPr>
          <w:color w:val="000000" w:themeColor="text1"/>
        </w:rPr>
        <w:t>8,588</w:t>
      </w:r>
      <w:r w:rsidRPr="007B560F">
        <w:rPr>
          <w:rFonts w:hint="eastAsia"/>
          <w:color w:val="000000" w:themeColor="text1"/>
        </w:rPr>
        <w:t>提升至</w:t>
      </w:r>
      <w:r w:rsidRPr="007B560F">
        <w:rPr>
          <w:color w:val="000000" w:themeColor="text1"/>
        </w:rPr>
        <w:t>1</w:t>
      </w:r>
      <w:r w:rsidRPr="007B560F">
        <w:rPr>
          <w:rFonts w:hint="eastAsia"/>
          <w:color w:val="000000" w:themeColor="text1"/>
        </w:rPr>
        <w:t>萬</w:t>
      </w:r>
      <w:r w:rsidRPr="007B560F">
        <w:rPr>
          <w:color w:val="000000" w:themeColor="text1"/>
        </w:rPr>
        <w:t>549</w:t>
      </w:r>
      <w:r w:rsidRPr="007B560F">
        <w:rPr>
          <w:rFonts w:hint="eastAsia"/>
          <w:color w:val="000000" w:themeColor="text1"/>
        </w:rPr>
        <w:t>公噸，並以106年使用量最高，107年則減少至</w:t>
      </w:r>
      <w:r w:rsidRPr="007B560F">
        <w:rPr>
          <w:color w:val="000000" w:themeColor="text1"/>
        </w:rPr>
        <w:t>9,175</w:t>
      </w:r>
      <w:r w:rsidR="00C967CE" w:rsidRPr="007B560F">
        <w:rPr>
          <w:rFonts w:hint="eastAsia"/>
          <w:color w:val="000000" w:themeColor="text1"/>
        </w:rPr>
        <w:t>公噸</w:t>
      </w:r>
      <w:r w:rsidRPr="007B560F">
        <w:rPr>
          <w:rFonts w:hint="eastAsia"/>
          <w:color w:val="000000" w:themeColor="text1"/>
        </w:rPr>
        <w:t>，108年略增加至</w:t>
      </w:r>
      <w:r w:rsidRPr="007B560F">
        <w:rPr>
          <w:color w:val="000000" w:themeColor="text1"/>
        </w:rPr>
        <w:t>9,268</w:t>
      </w:r>
      <w:r w:rsidRPr="007B560F">
        <w:rPr>
          <w:rFonts w:hint="eastAsia"/>
          <w:color w:val="000000" w:themeColor="text1"/>
        </w:rPr>
        <w:t>公噸，其中</w:t>
      </w:r>
      <w:r w:rsidRPr="007B560F">
        <w:rPr>
          <w:color w:val="000000" w:themeColor="text1"/>
        </w:rPr>
        <w:t>製造量計6,910公噸，輸出及輸入量值分別計464公噸及2,822公噸</w:t>
      </w:r>
      <w:r w:rsidRPr="007B560F">
        <w:rPr>
          <w:rFonts w:hint="eastAsia"/>
          <w:color w:val="000000" w:themeColor="text1"/>
        </w:rPr>
        <w:t>(詳如下表)，足見近10年平均農藥使用量約為9</w:t>
      </w:r>
      <w:r w:rsidRPr="007B560F">
        <w:rPr>
          <w:color w:val="000000" w:themeColor="text1"/>
        </w:rPr>
        <w:t>,</w:t>
      </w:r>
      <w:r w:rsidRPr="007B560F">
        <w:rPr>
          <w:rFonts w:hint="eastAsia"/>
          <w:color w:val="000000" w:themeColor="text1"/>
        </w:rPr>
        <w:t>100公噸左右。</w:t>
      </w:r>
    </w:p>
    <w:p w:rsidR="00BF77F1" w:rsidRPr="007B560F" w:rsidRDefault="00BF77F1" w:rsidP="00BF77F1">
      <w:pPr>
        <w:pStyle w:val="a4"/>
        <w:numPr>
          <w:ilvl w:val="0"/>
          <w:numId w:val="7"/>
        </w:numPr>
        <w:ind w:left="1360" w:hanging="680"/>
        <w:jc w:val="center"/>
        <w:rPr>
          <w:rFonts w:hAnsi="標楷體"/>
          <w:color w:val="000000" w:themeColor="text1"/>
        </w:rPr>
      </w:pPr>
      <w:r w:rsidRPr="007B560F">
        <w:rPr>
          <w:rFonts w:hAnsi="標楷體"/>
          <w:color w:val="000000" w:themeColor="text1"/>
        </w:rPr>
        <w:t>98-108年農藥使用量統計一覽表</w:t>
      </w:r>
    </w:p>
    <w:p w:rsidR="00BF77F1" w:rsidRPr="007B560F" w:rsidRDefault="00BF77F1" w:rsidP="00BF77F1">
      <w:pPr>
        <w:pStyle w:val="afd"/>
        <w:wordWrap w:val="0"/>
        <w:spacing w:line="440" w:lineRule="exact"/>
        <w:ind w:leftChars="0" w:left="520" w:hanging="520"/>
        <w:contextualSpacing/>
        <w:jc w:val="right"/>
        <w:rPr>
          <w:rFonts w:hAnsi="標楷體"/>
          <w:color w:val="000000" w:themeColor="text1"/>
          <w:sz w:val="21"/>
          <w:szCs w:val="24"/>
        </w:rPr>
      </w:pPr>
      <w:r w:rsidRPr="007B560F">
        <w:rPr>
          <w:rFonts w:hAnsi="標楷體"/>
          <w:color w:val="000000" w:themeColor="text1"/>
          <w:sz w:val="24"/>
          <w:szCs w:val="24"/>
        </w:rPr>
        <w:t>單位：公噸</w:t>
      </w:r>
    </w:p>
    <w:tbl>
      <w:tblPr>
        <w:tblStyle w:val="afc"/>
        <w:tblW w:w="5006" w:type="pct"/>
        <w:jc w:val="center"/>
        <w:tblLook w:val="04A0" w:firstRow="1" w:lastRow="0" w:firstColumn="1" w:lastColumn="0" w:noHBand="0" w:noVBand="1"/>
      </w:tblPr>
      <w:tblGrid>
        <w:gridCol w:w="968"/>
        <w:gridCol w:w="1661"/>
        <w:gridCol w:w="1661"/>
        <w:gridCol w:w="1661"/>
        <w:gridCol w:w="2894"/>
      </w:tblGrid>
      <w:tr w:rsidR="00A13031" w:rsidRPr="007B560F" w:rsidTr="00FA3421">
        <w:trPr>
          <w:trHeight w:val="462"/>
          <w:tblHeader/>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b/>
                <w:color w:val="000000" w:themeColor="text1"/>
                <w:sz w:val="28"/>
                <w:szCs w:val="28"/>
              </w:rPr>
            </w:pPr>
            <w:r w:rsidRPr="007B560F">
              <w:rPr>
                <w:rFonts w:hAnsi="標楷體"/>
                <w:b/>
                <w:color w:val="000000" w:themeColor="text1"/>
                <w:sz w:val="28"/>
                <w:szCs w:val="28"/>
              </w:rPr>
              <w:t>年度</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center"/>
              <w:rPr>
                <w:rFonts w:hAnsi="標楷體"/>
                <w:b/>
                <w:color w:val="000000" w:themeColor="text1"/>
                <w:sz w:val="28"/>
                <w:szCs w:val="28"/>
              </w:rPr>
            </w:pPr>
            <w:r w:rsidRPr="007B560F">
              <w:rPr>
                <w:rFonts w:hAnsi="標楷體"/>
                <w:b/>
                <w:color w:val="000000" w:themeColor="text1"/>
                <w:sz w:val="28"/>
                <w:szCs w:val="28"/>
              </w:rPr>
              <w:t>輸入量(A)</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center"/>
              <w:rPr>
                <w:rFonts w:hAnsi="標楷體"/>
                <w:b/>
                <w:color w:val="000000" w:themeColor="text1"/>
                <w:sz w:val="28"/>
                <w:szCs w:val="28"/>
              </w:rPr>
            </w:pPr>
            <w:r w:rsidRPr="007B560F">
              <w:rPr>
                <w:rFonts w:hAnsi="標楷體"/>
                <w:b/>
                <w:color w:val="000000" w:themeColor="text1"/>
                <w:sz w:val="28"/>
                <w:szCs w:val="28"/>
              </w:rPr>
              <w:t>製造量(B)</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center"/>
              <w:rPr>
                <w:rFonts w:hAnsi="標楷體"/>
                <w:b/>
                <w:color w:val="000000" w:themeColor="text1"/>
                <w:sz w:val="28"/>
                <w:szCs w:val="28"/>
              </w:rPr>
            </w:pPr>
            <w:r w:rsidRPr="007B560F">
              <w:rPr>
                <w:rFonts w:hAnsi="標楷體"/>
                <w:b/>
                <w:color w:val="000000" w:themeColor="text1"/>
                <w:sz w:val="28"/>
                <w:szCs w:val="28"/>
              </w:rPr>
              <w:t>輸出量(C)</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center"/>
              <w:rPr>
                <w:rFonts w:hAnsi="標楷體"/>
                <w:b/>
                <w:color w:val="000000" w:themeColor="text1"/>
                <w:sz w:val="28"/>
                <w:szCs w:val="28"/>
              </w:rPr>
            </w:pPr>
            <w:r w:rsidRPr="007B560F">
              <w:rPr>
                <w:rFonts w:hAnsi="標楷體"/>
                <w:b/>
                <w:color w:val="000000" w:themeColor="text1"/>
                <w:sz w:val="28"/>
                <w:szCs w:val="28"/>
              </w:rPr>
              <w:t>使用量(A)+(B)-(C)</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98</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2,522</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8,140</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2,074</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8,588</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99</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2,280</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7,881</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2,310</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7,851</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100</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2,200</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7,702</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1,648</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8,254</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101</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3,164</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8,715</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2,483</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9,396</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lastRenderedPageBreak/>
              <w:t>102</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3,081</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8,764</w:t>
            </w:r>
          </w:p>
        </w:tc>
        <w:tc>
          <w:tcPr>
            <w:tcW w:w="939"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2,213</w:t>
            </w:r>
          </w:p>
        </w:tc>
        <w:tc>
          <w:tcPr>
            <w:tcW w:w="1636" w:type="pct"/>
            <w:tcBorders>
              <w:top w:val="single" w:sz="4" w:space="0" w:color="auto"/>
              <w:left w:val="single" w:sz="4" w:space="0" w:color="auto"/>
              <w:bottom w:val="single" w:sz="4" w:space="0" w:color="auto"/>
              <w:right w:val="single" w:sz="4" w:space="0" w:color="auto"/>
            </w:tcBorders>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9,632</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103</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3,043</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9,597</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4,021</w:t>
            </w:r>
          </w:p>
        </w:tc>
        <w:tc>
          <w:tcPr>
            <w:tcW w:w="1636"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8,619</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104</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3,013</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10,560</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4,278</w:t>
            </w:r>
          </w:p>
        </w:tc>
        <w:tc>
          <w:tcPr>
            <w:tcW w:w="1636"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9,295</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105</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3,243</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9,154</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2,893</w:t>
            </w:r>
          </w:p>
        </w:tc>
        <w:tc>
          <w:tcPr>
            <w:tcW w:w="1636"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9,504</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106</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3,524</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8,137</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1,112</w:t>
            </w:r>
          </w:p>
        </w:tc>
        <w:tc>
          <w:tcPr>
            <w:tcW w:w="1636"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wordWrap w:val="0"/>
              <w:spacing w:line="440" w:lineRule="exact"/>
              <w:jc w:val="right"/>
              <w:rPr>
                <w:rFonts w:hAnsi="標楷體"/>
                <w:color w:val="000000" w:themeColor="text1"/>
                <w:sz w:val="28"/>
                <w:szCs w:val="28"/>
              </w:rPr>
            </w:pPr>
            <w:r w:rsidRPr="007B560F">
              <w:rPr>
                <w:rFonts w:hAnsi="標楷體"/>
                <w:color w:val="000000" w:themeColor="text1"/>
                <w:sz w:val="28"/>
                <w:szCs w:val="28"/>
              </w:rPr>
              <w:t>10,549</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107</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2,963</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6,815</w:t>
            </w:r>
          </w:p>
        </w:tc>
        <w:tc>
          <w:tcPr>
            <w:tcW w:w="939"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603</w:t>
            </w:r>
          </w:p>
        </w:tc>
        <w:tc>
          <w:tcPr>
            <w:tcW w:w="1636" w:type="pct"/>
            <w:tcBorders>
              <w:top w:val="single" w:sz="4" w:space="0" w:color="auto"/>
              <w:left w:val="single" w:sz="4" w:space="0" w:color="auto"/>
              <w:bottom w:val="single" w:sz="4" w:space="0" w:color="auto"/>
              <w:right w:val="single" w:sz="4" w:space="0" w:color="auto"/>
            </w:tcBorders>
            <w:vAlign w:val="center"/>
            <w:hideMark/>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9,175</w:t>
            </w:r>
          </w:p>
        </w:tc>
      </w:tr>
      <w:tr w:rsidR="00A13031" w:rsidRPr="007B560F" w:rsidTr="00CC067C">
        <w:trPr>
          <w:trHeight w:val="462"/>
          <w:jc w:val="center"/>
        </w:trPr>
        <w:tc>
          <w:tcPr>
            <w:tcW w:w="547" w:type="pct"/>
            <w:tcBorders>
              <w:top w:val="single" w:sz="4" w:space="0" w:color="auto"/>
              <w:left w:val="single" w:sz="4" w:space="0" w:color="auto"/>
              <w:bottom w:val="single" w:sz="4" w:space="0" w:color="auto"/>
              <w:right w:val="single" w:sz="4" w:space="0" w:color="auto"/>
            </w:tcBorders>
            <w:vAlign w:val="center"/>
          </w:tcPr>
          <w:p w:rsidR="00BF77F1" w:rsidRPr="007B560F" w:rsidRDefault="00BF77F1" w:rsidP="00CC067C">
            <w:pPr>
              <w:spacing w:line="440" w:lineRule="exact"/>
              <w:jc w:val="center"/>
              <w:rPr>
                <w:rFonts w:hAnsi="標楷體"/>
                <w:color w:val="000000" w:themeColor="text1"/>
                <w:sz w:val="28"/>
                <w:szCs w:val="28"/>
              </w:rPr>
            </w:pPr>
            <w:r w:rsidRPr="007B560F">
              <w:rPr>
                <w:rFonts w:hAnsi="標楷體"/>
                <w:color w:val="000000" w:themeColor="text1"/>
                <w:sz w:val="28"/>
                <w:szCs w:val="28"/>
              </w:rPr>
              <w:t>108</w:t>
            </w:r>
          </w:p>
        </w:tc>
        <w:tc>
          <w:tcPr>
            <w:tcW w:w="939" w:type="pct"/>
            <w:tcBorders>
              <w:top w:val="single" w:sz="4" w:space="0" w:color="auto"/>
              <w:left w:val="single" w:sz="4" w:space="0" w:color="auto"/>
              <w:bottom w:val="single" w:sz="4" w:space="0" w:color="auto"/>
              <w:right w:val="single" w:sz="4" w:space="0" w:color="auto"/>
            </w:tcBorders>
            <w:vAlign w:val="center"/>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2,822</w:t>
            </w:r>
          </w:p>
        </w:tc>
        <w:tc>
          <w:tcPr>
            <w:tcW w:w="939" w:type="pct"/>
            <w:tcBorders>
              <w:top w:val="single" w:sz="4" w:space="0" w:color="auto"/>
              <w:left w:val="single" w:sz="4" w:space="0" w:color="auto"/>
              <w:bottom w:val="single" w:sz="4" w:space="0" w:color="auto"/>
              <w:right w:val="single" w:sz="4" w:space="0" w:color="auto"/>
            </w:tcBorders>
            <w:vAlign w:val="center"/>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6,910</w:t>
            </w:r>
          </w:p>
        </w:tc>
        <w:tc>
          <w:tcPr>
            <w:tcW w:w="939" w:type="pct"/>
            <w:tcBorders>
              <w:top w:val="single" w:sz="4" w:space="0" w:color="auto"/>
              <w:left w:val="single" w:sz="4" w:space="0" w:color="auto"/>
              <w:bottom w:val="single" w:sz="4" w:space="0" w:color="auto"/>
              <w:right w:val="single" w:sz="4" w:space="0" w:color="auto"/>
            </w:tcBorders>
            <w:vAlign w:val="center"/>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464</w:t>
            </w:r>
          </w:p>
        </w:tc>
        <w:tc>
          <w:tcPr>
            <w:tcW w:w="1636" w:type="pct"/>
            <w:tcBorders>
              <w:top w:val="single" w:sz="4" w:space="0" w:color="auto"/>
              <w:left w:val="single" w:sz="4" w:space="0" w:color="auto"/>
              <w:bottom w:val="single" w:sz="4" w:space="0" w:color="auto"/>
              <w:right w:val="single" w:sz="4" w:space="0" w:color="auto"/>
            </w:tcBorders>
            <w:vAlign w:val="center"/>
          </w:tcPr>
          <w:p w:rsidR="00BF77F1" w:rsidRPr="007B560F" w:rsidRDefault="00BF77F1" w:rsidP="00CC067C">
            <w:pPr>
              <w:spacing w:line="440" w:lineRule="exact"/>
              <w:jc w:val="right"/>
              <w:rPr>
                <w:rFonts w:hAnsi="標楷體"/>
                <w:color w:val="000000" w:themeColor="text1"/>
                <w:sz w:val="28"/>
                <w:szCs w:val="28"/>
              </w:rPr>
            </w:pPr>
            <w:r w:rsidRPr="007B560F">
              <w:rPr>
                <w:rFonts w:hAnsi="標楷體"/>
                <w:color w:val="000000" w:themeColor="text1"/>
                <w:sz w:val="28"/>
                <w:szCs w:val="28"/>
              </w:rPr>
              <w:t>9,268</w:t>
            </w:r>
          </w:p>
        </w:tc>
      </w:tr>
    </w:tbl>
    <w:p w:rsidR="00BF77F1" w:rsidRPr="007B560F" w:rsidRDefault="00BF77F1" w:rsidP="00BF77F1">
      <w:pPr>
        <w:pStyle w:val="3"/>
        <w:numPr>
          <w:ilvl w:val="0"/>
          <w:numId w:val="0"/>
        </w:numPr>
        <w:wordWrap w:val="0"/>
        <w:spacing w:line="320" w:lineRule="exact"/>
        <w:rPr>
          <w:rFonts w:hAnsi="標楷體"/>
          <w:color w:val="000000" w:themeColor="text1"/>
          <w:sz w:val="24"/>
        </w:rPr>
      </w:pPr>
      <w:r w:rsidRPr="007B560F">
        <w:rPr>
          <w:rFonts w:hAnsi="標楷體"/>
          <w:color w:val="000000" w:themeColor="text1"/>
          <w:sz w:val="24"/>
        </w:rPr>
        <w:t>資料來源：農委會。</w:t>
      </w:r>
    </w:p>
    <w:p w:rsidR="00BF77F1" w:rsidRPr="007B560F" w:rsidRDefault="00BF77F1" w:rsidP="00BF77F1">
      <w:pPr>
        <w:pStyle w:val="3"/>
        <w:numPr>
          <w:ilvl w:val="0"/>
          <w:numId w:val="0"/>
        </w:numPr>
        <w:wordWrap w:val="0"/>
        <w:spacing w:line="320" w:lineRule="exact"/>
        <w:rPr>
          <w:rFonts w:hAnsi="標楷體"/>
          <w:color w:val="000000" w:themeColor="text1"/>
          <w:sz w:val="24"/>
        </w:rPr>
      </w:pPr>
      <w:proofErr w:type="gramStart"/>
      <w:r w:rsidRPr="007B560F">
        <w:rPr>
          <w:rFonts w:hAnsi="標楷體"/>
          <w:color w:val="000000" w:themeColor="text1"/>
          <w:sz w:val="24"/>
        </w:rPr>
        <w:t>註</w:t>
      </w:r>
      <w:proofErr w:type="gramEnd"/>
      <w:r w:rsidRPr="007B560F">
        <w:rPr>
          <w:rFonts w:hAnsi="標楷體"/>
          <w:color w:val="000000" w:themeColor="text1"/>
          <w:sz w:val="24"/>
        </w:rPr>
        <w:t>：農藥使用量計算，係由當年度輸入量加上製造量，再扣除輸出量所推估而得，數值包括農民實際使用量及業者銷售流程中之庫存量。</w:t>
      </w:r>
    </w:p>
    <w:p w:rsidR="00BF77F1" w:rsidRPr="007B560F" w:rsidRDefault="00BF77F1" w:rsidP="00BF77F1">
      <w:pPr>
        <w:pStyle w:val="3"/>
        <w:numPr>
          <w:ilvl w:val="0"/>
          <w:numId w:val="0"/>
        </w:numPr>
        <w:ind w:left="1361"/>
        <w:rPr>
          <w:color w:val="000000" w:themeColor="text1"/>
        </w:rPr>
      </w:pPr>
      <w:r w:rsidRPr="007B560F">
        <w:rPr>
          <w:rFonts w:hint="eastAsia"/>
          <w:color w:val="000000" w:themeColor="text1"/>
        </w:rPr>
        <w:t xml:space="preserve"> </w:t>
      </w:r>
    </w:p>
    <w:p w:rsidR="00BF77F1" w:rsidRPr="007B560F" w:rsidRDefault="00BF77F1" w:rsidP="0085395F">
      <w:pPr>
        <w:pStyle w:val="3"/>
        <w:rPr>
          <w:color w:val="000000" w:themeColor="text1"/>
        </w:rPr>
      </w:pPr>
      <w:r w:rsidRPr="007B560F">
        <w:rPr>
          <w:rFonts w:hint="eastAsia"/>
          <w:color w:val="000000" w:themeColor="text1"/>
        </w:rPr>
        <w:t>農藥雖可保障人類獲得豐富農產品，但同時也造成了環境生態的嚴重污染與傷害，農藥施用過程中，除對於作物有最直接影響外，絕大部分農藥會進入環境系統，包括於大氣、土壤、水等環境介質中擴散</w:t>
      </w:r>
      <w:r w:rsidR="00C967CE" w:rsidRPr="007B560F">
        <w:rPr>
          <w:rFonts w:hint="eastAsia"/>
          <w:color w:val="000000" w:themeColor="text1"/>
        </w:rPr>
        <w:t>。</w:t>
      </w:r>
      <w:r w:rsidRPr="007B560F">
        <w:rPr>
          <w:rFonts w:hint="eastAsia"/>
          <w:color w:val="000000" w:themeColor="text1"/>
        </w:rPr>
        <w:t>以檳榔為例，檳榔樹外型高聳直立，農民施用農藥不易，因此只好以加壓噴槍由下而上噴灑，除少部分附著於檳榔頂端外，絕大多數</w:t>
      </w:r>
      <w:proofErr w:type="gramStart"/>
      <w:r w:rsidRPr="007B560F">
        <w:rPr>
          <w:rFonts w:hint="eastAsia"/>
          <w:color w:val="000000" w:themeColor="text1"/>
        </w:rPr>
        <w:t>散逸於空氣</w:t>
      </w:r>
      <w:proofErr w:type="gramEnd"/>
      <w:r w:rsidRPr="007B560F">
        <w:rPr>
          <w:rFonts w:hint="eastAsia"/>
          <w:color w:val="000000" w:themeColor="text1"/>
        </w:rPr>
        <w:t>中或飄落進入土壤，對於農藥施用者造成極大健康危害，</w:t>
      </w:r>
      <w:r w:rsidR="00C967CE" w:rsidRPr="007B560F">
        <w:rPr>
          <w:rFonts w:hint="eastAsia"/>
          <w:color w:val="000000" w:themeColor="text1"/>
        </w:rPr>
        <w:t>此外</w:t>
      </w:r>
      <w:r w:rsidRPr="007B560F">
        <w:rPr>
          <w:rFonts w:hint="eastAsia"/>
          <w:color w:val="000000" w:themeColor="text1"/>
        </w:rPr>
        <w:t>經大氣降水後即排入地表水體或向下</w:t>
      </w:r>
      <w:proofErr w:type="gramStart"/>
      <w:r w:rsidRPr="007B560F">
        <w:rPr>
          <w:rFonts w:hint="eastAsia"/>
          <w:color w:val="000000" w:themeColor="text1"/>
        </w:rPr>
        <w:t>淋溶進入</w:t>
      </w:r>
      <w:proofErr w:type="gramEnd"/>
      <w:r w:rsidRPr="007B560F">
        <w:rPr>
          <w:rFonts w:hint="eastAsia"/>
          <w:color w:val="000000" w:themeColor="text1"/>
        </w:rPr>
        <w:t>地下水體，除造成環境生態破壞外，亦對人體健康造成間接危害。基此，農委會修正「行政院農業委員會農藥技術</w:t>
      </w:r>
      <w:proofErr w:type="gramStart"/>
      <w:r w:rsidRPr="007B560F">
        <w:rPr>
          <w:rFonts w:hint="eastAsia"/>
          <w:color w:val="000000" w:themeColor="text1"/>
        </w:rPr>
        <w:t>諮</w:t>
      </w:r>
      <w:proofErr w:type="gramEnd"/>
      <w:r w:rsidRPr="007B560F">
        <w:rPr>
          <w:rFonts w:hint="eastAsia"/>
          <w:color w:val="000000" w:themeColor="text1"/>
        </w:rPr>
        <w:t>議委員會設置要點」，於108年10月起將原</w:t>
      </w:r>
      <w:proofErr w:type="gramStart"/>
      <w:r w:rsidRPr="007B560F">
        <w:rPr>
          <w:rFonts w:hint="eastAsia"/>
          <w:color w:val="000000" w:themeColor="text1"/>
        </w:rPr>
        <w:t>有毒理組依</w:t>
      </w:r>
      <w:proofErr w:type="gramEnd"/>
      <w:r w:rsidRPr="007B560F">
        <w:rPr>
          <w:rFonts w:hint="eastAsia"/>
          <w:color w:val="000000" w:themeColor="text1"/>
        </w:rPr>
        <w:t>不同審議項目細分為化學環境組及動物</w:t>
      </w:r>
      <w:proofErr w:type="gramStart"/>
      <w:r w:rsidRPr="007B560F">
        <w:rPr>
          <w:rFonts w:hint="eastAsia"/>
          <w:color w:val="000000" w:themeColor="text1"/>
        </w:rPr>
        <w:t>毒理組</w:t>
      </w:r>
      <w:proofErr w:type="gramEnd"/>
      <w:r w:rsidRPr="007B560F">
        <w:rPr>
          <w:rFonts w:hint="eastAsia"/>
          <w:color w:val="000000" w:themeColor="text1"/>
        </w:rPr>
        <w:t>，其中化學環境組負責有關農藥標準規格、檢驗方法、理化性與</w:t>
      </w:r>
      <w:proofErr w:type="gramStart"/>
      <w:r w:rsidRPr="007B560F">
        <w:rPr>
          <w:rFonts w:hint="eastAsia"/>
          <w:color w:val="000000" w:themeColor="text1"/>
        </w:rPr>
        <w:t>環境毒理試驗</w:t>
      </w:r>
      <w:proofErr w:type="gramEnd"/>
      <w:r w:rsidRPr="007B560F">
        <w:rPr>
          <w:rFonts w:hint="eastAsia"/>
          <w:color w:val="000000" w:themeColor="text1"/>
        </w:rPr>
        <w:t>及農藥殘留試驗等資料及安全評估之審議事項。</w:t>
      </w:r>
      <w:r w:rsidR="00D713D8" w:rsidRPr="007B560F">
        <w:rPr>
          <w:rFonts w:hAnsi="標楷體" w:hint="eastAsia"/>
          <w:color w:val="000000" w:themeColor="text1"/>
        </w:rPr>
        <w:t>有關人體健康危害之風險及環境流布之影響危害評估，皆</w:t>
      </w:r>
      <w:proofErr w:type="gramStart"/>
      <w:r w:rsidR="00D713D8" w:rsidRPr="007B560F">
        <w:rPr>
          <w:rFonts w:hAnsi="標楷體" w:hint="eastAsia"/>
          <w:color w:val="000000" w:themeColor="text1"/>
        </w:rPr>
        <w:t>由藥毒所</w:t>
      </w:r>
      <w:proofErr w:type="gramEnd"/>
      <w:r w:rsidR="00D713D8" w:rsidRPr="007B560F">
        <w:rPr>
          <w:rFonts w:hAnsi="標楷體" w:hint="eastAsia"/>
          <w:color w:val="000000" w:themeColor="text1"/>
        </w:rPr>
        <w:t>一體負責。</w:t>
      </w:r>
    </w:p>
    <w:p w:rsidR="006E5ED6" w:rsidRPr="007B560F" w:rsidRDefault="006E5ED6" w:rsidP="00136966">
      <w:pPr>
        <w:pStyle w:val="3"/>
        <w:numPr>
          <w:ilvl w:val="0"/>
          <w:numId w:val="0"/>
        </w:numPr>
        <w:wordWrap w:val="0"/>
        <w:ind w:left="1361" w:firstLineChars="225" w:firstLine="765"/>
        <w:rPr>
          <w:rFonts w:hAnsi="標楷體"/>
          <w:color w:val="000000" w:themeColor="text1"/>
        </w:rPr>
      </w:pPr>
      <w:r w:rsidRPr="007B560F">
        <w:rPr>
          <w:rFonts w:hAnsi="標楷體" w:hint="eastAsia"/>
          <w:color w:val="000000" w:themeColor="text1"/>
        </w:rPr>
        <w:lastRenderedPageBreak/>
        <w:t>但觀諸先進國家對於農藥安全審查機制，瑞士對於農藥安全審理的中央主管機關為瑞士聯邦農業局(Das Bundesamt fü</w:t>
      </w:r>
      <w:r w:rsidR="00136966" w:rsidRPr="007B560F">
        <w:rPr>
          <w:rFonts w:hAnsi="標楷體" w:hint="eastAsia"/>
          <w:color w:val="000000" w:themeColor="text1"/>
        </w:rPr>
        <w:t xml:space="preserve">r Landwirtschaft, </w:t>
      </w:r>
      <w:r w:rsidRPr="007B560F">
        <w:rPr>
          <w:rFonts w:hAnsi="標楷體" w:hint="eastAsia"/>
          <w:color w:val="000000" w:themeColor="text1"/>
        </w:rPr>
        <w:t>BLW)，而負責審理之審查小組依法由瑞士聯邦食品安全暨獸醫局(DasBundesamt für Lebensmittelsicherheit   und Veterinärwesen</w:t>
      </w:r>
      <w:r w:rsidR="00136966" w:rsidRPr="007B560F">
        <w:rPr>
          <w:rFonts w:hAnsi="標楷體" w:hint="eastAsia"/>
          <w:color w:val="000000" w:themeColor="text1"/>
        </w:rPr>
        <w:t>,</w:t>
      </w:r>
      <w:r w:rsidR="00136966" w:rsidRPr="007B560F">
        <w:rPr>
          <w:rFonts w:hAnsi="標楷體"/>
          <w:color w:val="000000" w:themeColor="text1"/>
        </w:rPr>
        <w:t xml:space="preserve"> </w:t>
      </w:r>
      <w:r w:rsidRPr="007B560F">
        <w:rPr>
          <w:rFonts w:hAnsi="標楷體" w:hint="eastAsia"/>
          <w:color w:val="000000" w:themeColor="text1"/>
        </w:rPr>
        <w:t>BLV)、瑞士聯邦農業局(Das Bundesamt für Landwirtschaft</w:t>
      </w:r>
      <w:r w:rsidR="00136966" w:rsidRPr="007B560F">
        <w:rPr>
          <w:rFonts w:hAnsi="標楷體" w:hint="eastAsia"/>
          <w:color w:val="000000" w:themeColor="text1"/>
        </w:rPr>
        <w:t>,</w:t>
      </w:r>
      <w:r w:rsidR="00136966" w:rsidRPr="007B560F">
        <w:rPr>
          <w:rFonts w:hAnsi="標楷體"/>
          <w:color w:val="000000" w:themeColor="text1"/>
        </w:rPr>
        <w:t xml:space="preserve"> </w:t>
      </w:r>
      <w:r w:rsidRPr="007B560F">
        <w:rPr>
          <w:rFonts w:hAnsi="標楷體" w:hint="eastAsia"/>
          <w:color w:val="000000" w:themeColor="text1"/>
        </w:rPr>
        <w:t>BLW)、瑞士聯邦環境局(Das Bundesamt für Umwelt</w:t>
      </w:r>
      <w:r w:rsidR="00136966" w:rsidRPr="007B560F">
        <w:rPr>
          <w:rFonts w:hAnsi="標楷體" w:hint="eastAsia"/>
          <w:color w:val="000000" w:themeColor="text1"/>
        </w:rPr>
        <w:t>,</w:t>
      </w:r>
      <w:r w:rsidR="00136966" w:rsidRPr="007B560F">
        <w:rPr>
          <w:rFonts w:hAnsi="標楷體"/>
          <w:color w:val="000000" w:themeColor="text1"/>
        </w:rPr>
        <w:t xml:space="preserve"> </w:t>
      </w:r>
      <w:r w:rsidRPr="007B560F">
        <w:rPr>
          <w:rFonts w:hAnsi="標楷體" w:hint="eastAsia"/>
          <w:color w:val="000000" w:themeColor="text1"/>
        </w:rPr>
        <w:t>BAFU)及瑞士聯邦經濟事務局(Das Staatssekretariat für Wirtschaft</w:t>
      </w:r>
      <w:r w:rsidR="00136966" w:rsidRPr="007B560F">
        <w:rPr>
          <w:rFonts w:hAnsi="標楷體" w:hint="eastAsia"/>
          <w:color w:val="000000" w:themeColor="text1"/>
        </w:rPr>
        <w:t>,</w:t>
      </w:r>
      <w:r w:rsidR="00136966" w:rsidRPr="007B560F">
        <w:rPr>
          <w:rFonts w:hAnsi="標楷體"/>
          <w:color w:val="000000" w:themeColor="text1"/>
        </w:rPr>
        <w:t xml:space="preserve"> </w:t>
      </w:r>
      <w:r w:rsidRPr="007B560F">
        <w:rPr>
          <w:rFonts w:hAnsi="標楷體" w:hint="eastAsia"/>
          <w:color w:val="000000" w:themeColor="text1"/>
        </w:rPr>
        <w:t>SECO)等4個單位共同組成，其中</w:t>
      </w:r>
      <w:r w:rsidRPr="007B560F">
        <w:rPr>
          <w:rFonts w:hAnsi="標楷體"/>
          <w:color w:val="000000" w:themeColor="text1"/>
        </w:rPr>
        <w:t>瑞士聯邦農業局(BLW)負責審理確保新農藥對瑞士境內植物以及對人、動物及環境不得產生法規明定之不可接受之副作用</w:t>
      </w:r>
      <w:r w:rsidRPr="007B560F">
        <w:rPr>
          <w:rFonts w:hAnsi="標楷體" w:hint="eastAsia"/>
          <w:color w:val="000000" w:themeColor="text1"/>
        </w:rPr>
        <w:t>，</w:t>
      </w:r>
      <w:r w:rsidRPr="007B560F">
        <w:rPr>
          <w:rFonts w:hAnsi="標楷體"/>
          <w:color w:val="000000" w:themeColor="text1"/>
        </w:rPr>
        <w:t>瑞士聯邦食品安全暨獸醫局(BLV)負責審理新農藥施用及在食物之農藥殘留不得危害人體健康</w:t>
      </w:r>
      <w:r w:rsidRPr="007B560F">
        <w:rPr>
          <w:rFonts w:hAnsi="標楷體" w:hint="eastAsia"/>
          <w:color w:val="000000" w:themeColor="text1"/>
        </w:rPr>
        <w:t>，</w:t>
      </w:r>
      <w:r w:rsidRPr="007B560F">
        <w:rPr>
          <w:rFonts w:hAnsi="標楷體"/>
          <w:color w:val="000000" w:themeColor="text1"/>
        </w:rPr>
        <w:t>瑞士聯邦環境局(BAFU)</w:t>
      </w:r>
      <w:r w:rsidRPr="007B560F">
        <w:rPr>
          <w:rFonts w:hAnsi="標楷體" w:hint="eastAsia"/>
          <w:color w:val="000000" w:themeColor="text1"/>
        </w:rPr>
        <w:t>則</w:t>
      </w:r>
      <w:r w:rsidRPr="007B560F">
        <w:rPr>
          <w:rFonts w:hAnsi="標楷體"/>
          <w:color w:val="000000" w:themeColor="text1"/>
        </w:rPr>
        <w:t>負責審理新農藥不得危害生態及環境</w:t>
      </w:r>
      <w:r w:rsidRPr="007B560F">
        <w:rPr>
          <w:rFonts w:hAnsi="標楷體" w:hint="eastAsia"/>
          <w:color w:val="000000" w:themeColor="text1"/>
        </w:rPr>
        <w:t>。</w:t>
      </w:r>
      <w:r w:rsidR="00D4452E" w:rsidRPr="007B560F">
        <w:rPr>
          <w:rFonts w:hAnsi="標楷體" w:hint="eastAsia"/>
          <w:color w:val="000000" w:themeColor="text1"/>
        </w:rPr>
        <w:t>另日本就農藥安全之審查，大都是由農林水產省及獨立行政法人農林水產消費安全技術中心(FAMIC)負責，惟涉及人體健康影響及環境影響部分，則由厚生勞動省及環境省進行評估。顯見瑞士及日本等先進國家對於農藥安全評估審查機制，係由各專責主管機關分別負責</w:t>
      </w:r>
      <w:r w:rsidR="00872636" w:rsidRPr="007B560F">
        <w:rPr>
          <w:rFonts w:hAnsi="標楷體" w:hint="eastAsia"/>
          <w:color w:val="000000" w:themeColor="text1"/>
        </w:rPr>
        <w:t>。是我國農藥安全審查機制，涉及人體安全與環境影響等專業權責，</w:t>
      </w:r>
      <w:r w:rsidR="00D4452E" w:rsidRPr="007B560F">
        <w:rPr>
          <w:rFonts w:hAnsi="標楷體" w:hint="eastAsia"/>
          <w:color w:val="000000" w:themeColor="text1"/>
        </w:rPr>
        <w:t>行政院</w:t>
      </w:r>
      <w:r w:rsidR="00872636" w:rsidRPr="007B560F">
        <w:rPr>
          <w:rFonts w:hAnsi="標楷體" w:hint="eastAsia"/>
          <w:color w:val="000000" w:themeColor="text1"/>
        </w:rPr>
        <w:t>允宜</w:t>
      </w:r>
      <w:r w:rsidR="00D4452E" w:rsidRPr="007B560F">
        <w:rPr>
          <w:rFonts w:hAnsi="標楷體" w:hint="eastAsia"/>
          <w:color w:val="000000" w:themeColor="text1"/>
        </w:rPr>
        <w:t>協調</w:t>
      </w:r>
      <w:proofErr w:type="gramStart"/>
      <w:r w:rsidR="00D4452E" w:rsidRPr="007B560F">
        <w:rPr>
          <w:rFonts w:hAnsi="標楷體" w:hint="eastAsia"/>
          <w:color w:val="000000" w:themeColor="text1"/>
        </w:rPr>
        <w:t>食藥署</w:t>
      </w:r>
      <w:proofErr w:type="gramEnd"/>
      <w:r w:rsidR="00D4452E" w:rsidRPr="007B560F">
        <w:rPr>
          <w:rFonts w:hAnsi="標楷體" w:hint="eastAsia"/>
          <w:color w:val="000000" w:themeColor="text1"/>
        </w:rPr>
        <w:t>、行政院環境保護署(下稱環保署)與農委會重新檢討權責分工，以提升審查效益及專業性</w:t>
      </w:r>
      <w:r w:rsidR="00BC6603" w:rsidRPr="007B560F">
        <w:rPr>
          <w:rFonts w:hAnsi="標楷體" w:hint="eastAsia"/>
          <w:color w:val="000000" w:themeColor="text1"/>
        </w:rPr>
        <w:t>。</w:t>
      </w:r>
    </w:p>
    <w:p w:rsidR="004C3CB7" w:rsidRPr="007B560F" w:rsidRDefault="004C3CB7" w:rsidP="007B4D38">
      <w:pPr>
        <w:pStyle w:val="3"/>
        <w:numPr>
          <w:ilvl w:val="2"/>
          <w:numId w:val="9"/>
        </w:numPr>
        <w:rPr>
          <w:color w:val="000000" w:themeColor="text1"/>
        </w:rPr>
      </w:pPr>
      <w:proofErr w:type="gramStart"/>
      <w:r w:rsidRPr="007B560F">
        <w:rPr>
          <w:rFonts w:hAnsi="標楷體" w:hint="eastAsia"/>
          <w:color w:val="000000" w:themeColor="text1"/>
        </w:rPr>
        <w:t>又藥毒</w:t>
      </w:r>
      <w:proofErr w:type="gramEnd"/>
      <w:r w:rsidRPr="007B560F">
        <w:rPr>
          <w:rFonts w:hAnsi="標楷體" w:hint="eastAsia"/>
          <w:color w:val="000000" w:themeColor="text1"/>
        </w:rPr>
        <w:t>所目前對於農藥</w:t>
      </w:r>
      <w:proofErr w:type="gramStart"/>
      <w:r w:rsidRPr="007B560F">
        <w:rPr>
          <w:rFonts w:hAnsi="標楷體" w:hint="eastAsia"/>
          <w:color w:val="000000" w:themeColor="text1"/>
        </w:rPr>
        <w:t>動物毒理及</w:t>
      </w:r>
      <w:proofErr w:type="gramEnd"/>
      <w:r w:rsidRPr="007B560F">
        <w:rPr>
          <w:rFonts w:hAnsi="標楷體" w:hint="eastAsia"/>
          <w:color w:val="000000" w:themeColor="text1"/>
        </w:rPr>
        <w:t>環境危害評估等作業，並未實際進行相關試驗，而係蒐集國際相關研究報告進行書面審查，其中甚至包括申請業者提供或委託之研究資料，其評估結果恐有失偏頗。</w:t>
      </w:r>
      <w:r w:rsidR="00BC6603" w:rsidRPr="007B560F">
        <w:rPr>
          <w:rFonts w:hint="eastAsia"/>
          <w:color w:val="000000" w:themeColor="text1"/>
        </w:rPr>
        <w:t>另</w:t>
      </w:r>
      <w:r w:rsidR="00BF77F1" w:rsidRPr="007B560F">
        <w:rPr>
          <w:rFonts w:hint="eastAsia"/>
          <w:color w:val="000000" w:themeColor="text1"/>
        </w:rPr>
        <w:t>我國環境承載農藥暴露多年，農委會雖已將「農藥</w:t>
      </w:r>
      <w:r w:rsidR="00BF77F1" w:rsidRPr="007B560F">
        <w:rPr>
          <w:rFonts w:hint="eastAsia"/>
          <w:color w:val="000000" w:themeColor="text1"/>
        </w:rPr>
        <w:lastRenderedPageBreak/>
        <w:t>技術</w:t>
      </w:r>
      <w:proofErr w:type="gramStart"/>
      <w:r w:rsidR="00BF77F1" w:rsidRPr="007B560F">
        <w:rPr>
          <w:rFonts w:hint="eastAsia"/>
          <w:color w:val="000000" w:themeColor="text1"/>
        </w:rPr>
        <w:t>諮</w:t>
      </w:r>
      <w:proofErr w:type="gramEnd"/>
      <w:r w:rsidR="00BF77F1" w:rsidRPr="007B560F">
        <w:rPr>
          <w:rFonts w:hint="eastAsia"/>
          <w:color w:val="000000" w:themeColor="text1"/>
        </w:rPr>
        <w:t>議委員會」細分獨立化學環境組，惟審議事項重點仍在於「個別」農藥之</w:t>
      </w:r>
      <w:proofErr w:type="gramStart"/>
      <w:r w:rsidR="00BF77F1" w:rsidRPr="007B560F">
        <w:rPr>
          <w:rFonts w:hint="eastAsia"/>
          <w:color w:val="000000" w:themeColor="text1"/>
        </w:rPr>
        <w:t>環境毒理試驗</w:t>
      </w:r>
      <w:proofErr w:type="gramEnd"/>
      <w:r w:rsidR="00BF77F1" w:rsidRPr="007B560F">
        <w:rPr>
          <w:rFonts w:hint="eastAsia"/>
          <w:color w:val="000000" w:themeColor="text1"/>
        </w:rPr>
        <w:t>，個別農藥雖然對於環境可能沒有明顯破壞性，但</w:t>
      </w:r>
      <w:r w:rsidR="00C967CE" w:rsidRPr="007B560F">
        <w:rPr>
          <w:rFonts w:hint="eastAsia"/>
          <w:color w:val="000000" w:themeColor="text1"/>
        </w:rPr>
        <w:t>長久以來累計的</w:t>
      </w:r>
      <w:r w:rsidR="00BF77F1" w:rsidRPr="007B560F">
        <w:rPr>
          <w:rFonts w:hint="eastAsia"/>
          <w:color w:val="000000" w:themeColor="text1"/>
        </w:rPr>
        <w:t>農藥，即可能已形成環境生態破壞及人體健康威脅</w:t>
      </w:r>
      <w:r w:rsidR="00C967CE" w:rsidRPr="007B560F">
        <w:rPr>
          <w:rFonts w:hint="eastAsia"/>
          <w:color w:val="000000" w:themeColor="text1"/>
        </w:rPr>
        <w:t>。</w:t>
      </w:r>
    </w:p>
    <w:p w:rsidR="004C3CB7" w:rsidRPr="007B560F" w:rsidRDefault="00872636" w:rsidP="0082592F">
      <w:pPr>
        <w:pStyle w:val="3"/>
        <w:rPr>
          <w:color w:val="000000" w:themeColor="text1"/>
        </w:rPr>
      </w:pPr>
      <w:r w:rsidRPr="007B560F">
        <w:rPr>
          <w:rFonts w:hint="eastAsia"/>
          <w:color w:val="000000" w:themeColor="text1"/>
        </w:rPr>
        <w:t>據上，</w:t>
      </w:r>
      <w:r w:rsidR="0082592F" w:rsidRPr="007B560F">
        <w:rPr>
          <w:rFonts w:hint="eastAsia"/>
          <w:color w:val="000000" w:themeColor="text1"/>
        </w:rPr>
        <w:t>行政院允宜參考瑞</w:t>
      </w:r>
      <w:r w:rsidR="00177ADC" w:rsidRPr="007B560F">
        <w:rPr>
          <w:rFonts w:hint="eastAsia"/>
          <w:color w:val="000000" w:themeColor="text1"/>
        </w:rPr>
        <w:t>士及日本等先進國家之經驗及機制，將涉及農藥「</w:t>
      </w:r>
      <w:proofErr w:type="gramStart"/>
      <w:r w:rsidR="00177ADC" w:rsidRPr="007B560F">
        <w:rPr>
          <w:rFonts w:hint="eastAsia"/>
          <w:color w:val="000000" w:themeColor="text1"/>
        </w:rPr>
        <w:t>人體毒理</w:t>
      </w:r>
      <w:proofErr w:type="gramEnd"/>
      <w:r w:rsidR="00177ADC" w:rsidRPr="007B560F">
        <w:rPr>
          <w:rFonts w:hint="eastAsia"/>
          <w:color w:val="000000" w:themeColor="text1"/>
        </w:rPr>
        <w:t>」評估業務協調</w:t>
      </w:r>
      <w:r w:rsidR="0082592F" w:rsidRPr="007B560F">
        <w:rPr>
          <w:rFonts w:hint="eastAsia"/>
          <w:color w:val="000000" w:themeColor="text1"/>
        </w:rPr>
        <w:t>由衛福部負責，另「環境</w:t>
      </w:r>
      <w:proofErr w:type="gramStart"/>
      <w:r w:rsidR="0082592F" w:rsidRPr="007B560F">
        <w:rPr>
          <w:rFonts w:hint="eastAsia"/>
          <w:color w:val="000000" w:themeColor="text1"/>
        </w:rPr>
        <w:t>危害與流布</w:t>
      </w:r>
      <w:proofErr w:type="gramEnd"/>
      <w:r w:rsidR="0082592F" w:rsidRPr="007B560F">
        <w:rPr>
          <w:rFonts w:hint="eastAsia"/>
          <w:color w:val="000000" w:themeColor="text1"/>
        </w:rPr>
        <w:t>」由環保署負責，並宜避免全憑國際研究報告、申請業者提供（或委託研究）資料之書面審查，以提升審查公正、效益及專業性；</w:t>
      </w:r>
      <w:proofErr w:type="gramStart"/>
      <w:r w:rsidR="0082592F" w:rsidRPr="007B560F">
        <w:rPr>
          <w:rFonts w:hint="eastAsia"/>
          <w:color w:val="000000" w:themeColor="text1"/>
        </w:rPr>
        <w:t>復應瞭解</w:t>
      </w:r>
      <w:proofErr w:type="gramEnd"/>
      <w:r w:rsidR="0082592F" w:rsidRPr="007B560F">
        <w:rPr>
          <w:rFonts w:hint="eastAsia"/>
          <w:color w:val="000000" w:themeColor="text1"/>
        </w:rPr>
        <w:t>目前國內環境系統對於農藥之承載情形，建立農藥環境分布之基本資料庫，並</w:t>
      </w:r>
      <w:proofErr w:type="gramStart"/>
      <w:r w:rsidR="0082592F" w:rsidRPr="007B560F">
        <w:rPr>
          <w:rFonts w:hint="eastAsia"/>
          <w:color w:val="000000" w:themeColor="text1"/>
        </w:rPr>
        <w:t>研</w:t>
      </w:r>
      <w:proofErr w:type="gramEnd"/>
      <w:r w:rsidR="0082592F" w:rsidRPr="007B560F">
        <w:rPr>
          <w:rFonts w:hint="eastAsia"/>
          <w:color w:val="000000" w:themeColor="text1"/>
        </w:rPr>
        <w:t>析最大可能負荷能量，作為農藥登記審查及相關政策管理之依據</w:t>
      </w:r>
      <w:r w:rsidR="004C3CB7" w:rsidRPr="007B560F">
        <w:rPr>
          <w:rFonts w:hint="eastAsia"/>
          <w:color w:val="000000" w:themeColor="text1"/>
        </w:rPr>
        <w:t>。</w:t>
      </w:r>
    </w:p>
    <w:p w:rsidR="00BF77F1" w:rsidRPr="007B560F" w:rsidRDefault="00BF77F1" w:rsidP="004C3CB7">
      <w:pPr>
        <w:pStyle w:val="3"/>
        <w:numPr>
          <w:ilvl w:val="0"/>
          <w:numId w:val="0"/>
        </w:numPr>
        <w:ind w:left="1361"/>
        <w:rPr>
          <w:color w:val="000000" w:themeColor="text1"/>
        </w:rPr>
      </w:pPr>
    </w:p>
    <w:p w:rsidR="00B368F4" w:rsidRPr="007B560F" w:rsidRDefault="00B368F4" w:rsidP="00BF77F1">
      <w:pPr>
        <w:pStyle w:val="3"/>
        <w:numPr>
          <w:ilvl w:val="2"/>
          <w:numId w:val="9"/>
        </w:numPr>
        <w:rPr>
          <w:color w:val="000000" w:themeColor="text1"/>
        </w:rPr>
      </w:pPr>
      <w:r w:rsidRPr="007B560F">
        <w:rPr>
          <w:color w:val="000000" w:themeColor="text1"/>
        </w:rPr>
        <w:br w:type="page"/>
      </w:r>
    </w:p>
    <w:p w:rsidR="00BF77F1" w:rsidRPr="007B560F" w:rsidRDefault="00BF77F1" w:rsidP="00BF77F1">
      <w:pPr>
        <w:pStyle w:val="1"/>
        <w:numPr>
          <w:ilvl w:val="0"/>
          <w:numId w:val="9"/>
        </w:numPr>
        <w:wordWrap w:val="0"/>
        <w:ind w:left="2380" w:hanging="2380"/>
        <w:rPr>
          <w:rFonts w:hAnsi="標楷體"/>
          <w:color w:val="000000" w:themeColor="text1"/>
        </w:rPr>
      </w:pPr>
      <w:r w:rsidRPr="007B560F">
        <w:rPr>
          <w:rFonts w:hAnsi="標楷體"/>
          <w:color w:val="000000" w:themeColor="text1"/>
        </w:rPr>
        <w:lastRenderedPageBreak/>
        <w:t xml:space="preserve">處理辦法： </w:t>
      </w:r>
    </w:p>
    <w:p w:rsidR="00BF77F1" w:rsidRPr="007B560F" w:rsidRDefault="00BF77F1" w:rsidP="00BF77F1">
      <w:pPr>
        <w:pStyle w:val="2"/>
        <w:numPr>
          <w:ilvl w:val="1"/>
          <w:numId w:val="9"/>
        </w:numPr>
        <w:wordWrap w:val="0"/>
        <w:rPr>
          <w:rFonts w:hAnsi="標楷體"/>
          <w:color w:val="000000" w:themeColor="text1"/>
        </w:rPr>
      </w:pPr>
      <w:bookmarkStart w:id="64" w:name="_Toc524895649"/>
      <w:bookmarkStart w:id="65" w:name="_Toc524896195"/>
      <w:bookmarkStart w:id="66" w:name="_Toc524896225"/>
      <w:bookmarkEnd w:id="64"/>
      <w:bookmarkEnd w:id="65"/>
      <w:bookmarkEnd w:id="66"/>
      <w:r w:rsidRPr="007B560F">
        <w:rPr>
          <w:rFonts w:hAnsi="標楷體"/>
          <w:color w:val="000000" w:themeColor="text1"/>
        </w:rPr>
        <w:t>調查意見</w:t>
      </w:r>
      <w:r w:rsidRPr="007B560F">
        <w:rPr>
          <w:rFonts w:hAnsi="標楷體" w:hint="eastAsia"/>
          <w:color w:val="000000" w:themeColor="text1"/>
        </w:rPr>
        <w:t>一、二、三、四及七，</w:t>
      </w:r>
      <w:r w:rsidRPr="007B560F">
        <w:rPr>
          <w:rFonts w:hAnsi="標楷體"/>
          <w:color w:val="000000" w:themeColor="text1"/>
        </w:rPr>
        <w:t>函請行政院</w:t>
      </w:r>
      <w:r w:rsidRPr="007B560F">
        <w:rPr>
          <w:rFonts w:hAnsi="標楷體" w:hint="eastAsia"/>
          <w:color w:val="000000" w:themeColor="text1"/>
        </w:rPr>
        <w:t>農業委員會</w:t>
      </w:r>
      <w:r w:rsidRPr="007B560F">
        <w:rPr>
          <w:rFonts w:hAnsi="標楷體"/>
          <w:color w:val="000000" w:themeColor="text1"/>
        </w:rPr>
        <w:t>檢討改進</w:t>
      </w:r>
      <w:proofErr w:type="gramStart"/>
      <w:r w:rsidRPr="007B560F">
        <w:rPr>
          <w:rFonts w:hAnsi="標楷體"/>
          <w:color w:val="000000" w:themeColor="text1"/>
        </w:rPr>
        <w:t>見復</w:t>
      </w:r>
      <w:r w:rsidRPr="007B560F">
        <w:rPr>
          <w:rFonts w:hAnsi="標楷體" w:hint="eastAsia"/>
          <w:color w:val="000000" w:themeColor="text1"/>
        </w:rPr>
        <w:t>。</w:t>
      </w:r>
      <w:proofErr w:type="gramEnd"/>
    </w:p>
    <w:p w:rsidR="00BF77F1" w:rsidRPr="007B560F" w:rsidRDefault="00BF77F1" w:rsidP="00BF77F1">
      <w:pPr>
        <w:pStyle w:val="2"/>
        <w:numPr>
          <w:ilvl w:val="1"/>
          <w:numId w:val="9"/>
        </w:numPr>
        <w:rPr>
          <w:color w:val="000000" w:themeColor="text1"/>
        </w:rPr>
      </w:pPr>
      <w:r w:rsidRPr="007B560F">
        <w:rPr>
          <w:rFonts w:hint="eastAsia"/>
          <w:color w:val="000000" w:themeColor="text1"/>
        </w:rPr>
        <w:t>調查意見四、五、六及八，</w:t>
      </w:r>
      <w:r w:rsidRPr="007B560F">
        <w:rPr>
          <w:color w:val="000000" w:themeColor="text1"/>
        </w:rPr>
        <w:t>函請</w:t>
      </w:r>
      <w:r w:rsidRPr="007B560F">
        <w:rPr>
          <w:rFonts w:hint="eastAsia"/>
          <w:color w:val="000000" w:themeColor="text1"/>
        </w:rPr>
        <w:t>衛生</w:t>
      </w:r>
      <w:proofErr w:type="gramStart"/>
      <w:r w:rsidRPr="007B560F">
        <w:rPr>
          <w:rFonts w:hint="eastAsia"/>
          <w:color w:val="000000" w:themeColor="text1"/>
        </w:rPr>
        <w:t>福利部督同</w:t>
      </w:r>
      <w:proofErr w:type="gramEnd"/>
      <w:r w:rsidRPr="007B560F">
        <w:rPr>
          <w:rFonts w:hint="eastAsia"/>
          <w:color w:val="000000" w:themeColor="text1"/>
        </w:rPr>
        <w:t>食品藥物管理署</w:t>
      </w:r>
      <w:r w:rsidRPr="007B560F">
        <w:rPr>
          <w:color w:val="000000" w:themeColor="text1"/>
        </w:rPr>
        <w:t>檢討改進</w:t>
      </w:r>
      <w:proofErr w:type="gramStart"/>
      <w:r w:rsidRPr="007B560F">
        <w:rPr>
          <w:color w:val="000000" w:themeColor="text1"/>
        </w:rPr>
        <w:t>見復</w:t>
      </w:r>
      <w:r w:rsidRPr="007B560F">
        <w:rPr>
          <w:rFonts w:hint="eastAsia"/>
          <w:color w:val="000000" w:themeColor="text1"/>
        </w:rPr>
        <w:t>。</w:t>
      </w:r>
      <w:proofErr w:type="gramEnd"/>
    </w:p>
    <w:p w:rsidR="00BF77F1" w:rsidRPr="007B560F" w:rsidRDefault="00BF77F1" w:rsidP="00BF77F1">
      <w:pPr>
        <w:pStyle w:val="2"/>
        <w:numPr>
          <w:ilvl w:val="1"/>
          <w:numId w:val="9"/>
        </w:numPr>
        <w:wordWrap w:val="0"/>
        <w:rPr>
          <w:rFonts w:hAnsi="標楷體"/>
          <w:color w:val="000000" w:themeColor="text1"/>
        </w:rPr>
      </w:pPr>
      <w:r w:rsidRPr="007B560F">
        <w:rPr>
          <w:rFonts w:hAnsi="標楷體" w:hint="eastAsia"/>
          <w:color w:val="000000" w:themeColor="text1"/>
        </w:rPr>
        <w:t>調查意見九，函請</w:t>
      </w:r>
      <w:proofErr w:type="gramStart"/>
      <w:r w:rsidRPr="007B560F">
        <w:rPr>
          <w:rFonts w:hAnsi="標楷體" w:hint="eastAsia"/>
          <w:color w:val="000000" w:themeColor="text1"/>
        </w:rPr>
        <w:t>行政院</w:t>
      </w:r>
      <w:r w:rsidRPr="007B560F">
        <w:rPr>
          <w:rFonts w:hAnsi="標楷體"/>
          <w:color w:val="000000" w:themeColor="text1"/>
        </w:rPr>
        <w:t>轉</w:t>
      </w:r>
      <w:r w:rsidRPr="007B560F">
        <w:rPr>
          <w:rFonts w:hAnsi="標楷體" w:hint="eastAsia"/>
          <w:color w:val="000000" w:themeColor="text1"/>
        </w:rPr>
        <w:t>促</w:t>
      </w:r>
      <w:r w:rsidRPr="007B560F">
        <w:rPr>
          <w:rFonts w:hAnsi="標楷體"/>
          <w:color w:val="000000" w:themeColor="text1"/>
        </w:rPr>
        <w:t>所屬</w:t>
      </w:r>
      <w:proofErr w:type="gramEnd"/>
      <w:r w:rsidRPr="007B560F">
        <w:rPr>
          <w:rFonts w:hAnsi="標楷體"/>
          <w:color w:val="000000" w:themeColor="text1"/>
        </w:rPr>
        <w:t>檢討改進</w:t>
      </w:r>
      <w:proofErr w:type="gramStart"/>
      <w:r w:rsidRPr="007B560F">
        <w:rPr>
          <w:rFonts w:hAnsi="標楷體"/>
          <w:color w:val="000000" w:themeColor="text1"/>
        </w:rPr>
        <w:t>見復</w:t>
      </w:r>
      <w:r w:rsidRPr="007B560F">
        <w:rPr>
          <w:rFonts w:hAnsi="標楷體" w:hint="eastAsia"/>
          <w:color w:val="000000" w:themeColor="text1"/>
        </w:rPr>
        <w:t>。</w:t>
      </w:r>
      <w:proofErr w:type="gramEnd"/>
    </w:p>
    <w:p w:rsidR="00BF77F1" w:rsidRPr="007B560F" w:rsidRDefault="00BF77F1" w:rsidP="00BF77F1">
      <w:pPr>
        <w:pStyle w:val="2"/>
        <w:numPr>
          <w:ilvl w:val="1"/>
          <w:numId w:val="9"/>
        </w:numPr>
        <w:wordWrap w:val="0"/>
        <w:rPr>
          <w:rFonts w:hAnsi="標楷體"/>
          <w:color w:val="000000" w:themeColor="text1"/>
        </w:rPr>
      </w:pPr>
      <w:r w:rsidRPr="007B560F">
        <w:rPr>
          <w:rFonts w:hAnsi="標楷體"/>
          <w:color w:val="000000" w:themeColor="text1"/>
          <w:spacing w:val="-4"/>
        </w:rPr>
        <w:t>檢</w:t>
      </w:r>
      <w:proofErr w:type="gramStart"/>
      <w:r w:rsidRPr="007B560F">
        <w:rPr>
          <w:rFonts w:hAnsi="標楷體"/>
          <w:color w:val="000000" w:themeColor="text1"/>
          <w:spacing w:val="-4"/>
        </w:rPr>
        <w:t>附派查函</w:t>
      </w:r>
      <w:proofErr w:type="gramEnd"/>
      <w:r w:rsidRPr="007B560F">
        <w:rPr>
          <w:rFonts w:hAnsi="標楷體"/>
          <w:color w:val="000000" w:themeColor="text1"/>
          <w:spacing w:val="-4"/>
        </w:rPr>
        <w:t>及相關附件，送請財政及經濟委員會處理</w:t>
      </w:r>
      <w:r w:rsidRPr="007B560F">
        <w:rPr>
          <w:rFonts w:hAnsi="標楷體" w:hint="eastAsia"/>
          <w:color w:val="000000" w:themeColor="text1"/>
          <w:spacing w:val="-4"/>
        </w:rPr>
        <w:t>、內政及族群委員會聯席會議處理。</w:t>
      </w:r>
    </w:p>
    <w:p w:rsidR="00BF77F1" w:rsidRPr="007B560F" w:rsidRDefault="00BF77F1" w:rsidP="00BF77F1">
      <w:pPr>
        <w:pStyle w:val="2"/>
        <w:numPr>
          <w:ilvl w:val="0"/>
          <w:numId w:val="0"/>
        </w:numPr>
        <w:ind w:left="1021"/>
        <w:rPr>
          <w:color w:val="000000" w:themeColor="text1"/>
        </w:rPr>
      </w:pPr>
    </w:p>
    <w:p w:rsidR="00BF77F1" w:rsidRPr="007B560F" w:rsidRDefault="00BF77F1" w:rsidP="00BF77F1">
      <w:pPr>
        <w:pStyle w:val="ab"/>
        <w:wordWrap w:val="0"/>
        <w:spacing w:beforeLines="50" w:before="228" w:afterLines="100" w:after="457"/>
        <w:ind w:leftChars="1100" w:left="3742"/>
        <w:rPr>
          <w:rFonts w:hAnsi="標楷體"/>
          <w:b w:val="0"/>
          <w:bCs/>
          <w:snapToGrid/>
          <w:color w:val="000000" w:themeColor="text1"/>
          <w:spacing w:val="12"/>
          <w:kern w:val="0"/>
          <w:sz w:val="40"/>
        </w:rPr>
      </w:pPr>
      <w:r w:rsidRPr="007B560F">
        <w:rPr>
          <w:rFonts w:hAnsi="標楷體"/>
          <w:b w:val="0"/>
          <w:bCs/>
          <w:snapToGrid/>
          <w:color w:val="000000" w:themeColor="text1"/>
          <w:spacing w:val="12"/>
          <w:kern w:val="0"/>
          <w:sz w:val="40"/>
        </w:rPr>
        <w:t>調查委員：</w:t>
      </w:r>
      <w:r w:rsidR="009B7F29" w:rsidRPr="007B560F">
        <w:rPr>
          <w:rFonts w:hAnsi="標楷體" w:hint="eastAsia"/>
          <w:b w:val="0"/>
          <w:bCs/>
          <w:snapToGrid/>
          <w:color w:val="000000" w:themeColor="text1"/>
          <w:spacing w:val="12"/>
          <w:kern w:val="0"/>
          <w:sz w:val="40"/>
        </w:rPr>
        <w:t>林盛豐</w:t>
      </w:r>
    </w:p>
    <w:p w:rsidR="009B7F29" w:rsidRPr="007B560F" w:rsidRDefault="009B7F29" w:rsidP="009B7F29">
      <w:pPr>
        <w:pStyle w:val="ab"/>
        <w:wordWrap w:val="0"/>
        <w:spacing w:beforeLines="50" w:before="228" w:afterLines="100" w:after="457"/>
        <w:ind w:leftChars="1792" w:left="6096"/>
        <w:rPr>
          <w:rFonts w:hAnsi="標楷體"/>
          <w:b w:val="0"/>
          <w:bCs/>
          <w:snapToGrid/>
          <w:color w:val="000000" w:themeColor="text1"/>
          <w:spacing w:val="12"/>
          <w:kern w:val="0"/>
          <w:sz w:val="40"/>
        </w:rPr>
      </w:pPr>
      <w:r w:rsidRPr="007B560F">
        <w:rPr>
          <w:rFonts w:hAnsi="標楷體" w:hint="eastAsia"/>
          <w:b w:val="0"/>
          <w:bCs/>
          <w:snapToGrid/>
          <w:color w:val="000000" w:themeColor="text1"/>
          <w:spacing w:val="12"/>
          <w:kern w:val="0"/>
          <w:sz w:val="40"/>
        </w:rPr>
        <w:t>楊美鈴</w:t>
      </w:r>
    </w:p>
    <w:p w:rsidR="009B7F29" w:rsidRPr="007B560F" w:rsidRDefault="009B7F29" w:rsidP="009B7F29">
      <w:pPr>
        <w:pStyle w:val="ab"/>
        <w:wordWrap w:val="0"/>
        <w:spacing w:beforeLines="50" w:before="228" w:afterLines="100" w:after="457"/>
        <w:ind w:leftChars="1792" w:left="6096"/>
        <w:rPr>
          <w:rFonts w:hAnsi="標楷體"/>
          <w:b w:val="0"/>
          <w:bCs/>
          <w:snapToGrid/>
          <w:color w:val="000000" w:themeColor="text1"/>
          <w:spacing w:val="12"/>
          <w:kern w:val="0"/>
          <w:sz w:val="40"/>
        </w:rPr>
      </w:pPr>
      <w:r w:rsidRPr="007B560F">
        <w:rPr>
          <w:rFonts w:hAnsi="標楷體" w:hint="eastAsia"/>
          <w:b w:val="0"/>
          <w:bCs/>
          <w:snapToGrid/>
          <w:color w:val="000000" w:themeColor="text1"/>
          <w:spacing w:val="12"/>
          <w:kern w:val="0"/>
          <w:sz w:val="40"/>
        </w:rPr>
        <w:t>田秋</w:t>
      </w:r>
      <w:proofErr w:type="gramStart"/>
      <w:r w:rsidRPr="007B560F">
        <w:rPr>
          <w:rFonts w:hAnsi="標楷體" w:hint="eastAsia"/>
          <w:b w:val="0"/>
          <w:bCs/>
          <w:snapToGrid/>
          <w:color w:val="000000" w:themeColor="text1"/>
          <w:spacing w:val="12"/>
          <w:kern w:val="0"/>
          <w:sz w:val="40"/>
        </w:rPr>
        <w:t>堇</w:t>
      </w:r>
      <w:proofErr w:type="gramEnd"/>
    </w:p>
    <w:p w:rsidR="009B7F29" w:rsidRPr="007B560F" w:rsidRDefault="009B7F29" w:rsidP="009B7F29">
      <w:pPr>
        <w:pStyle w:val="ab"/>
        <w:wordWrap w:val="0"/>
        <w:spacing w:beforeLines="50" w:before="228" w:afterLines="100" w:after="457"/>
        <w:ind w:leftChars="1792" w:left="6096"/>
        <w:rPr>
          <w:rFonts w:hAnsi="標楷體"/>
          <w:b w:val="0"/>
          <w:bCs/>
          <w:snapToGrid/>
          <w:color w:val="000000" w:themeColor="text1"/>
          <w:spacing w:val="12"/>
          <w:kern w:val="0"/>
          <w:sz w:val="40"/>
        </w:rPr>
      </w:pPr>
      <w:r w:rsidRPr="007B560F">
        <w:rPr>
          <w:rFonts w:hAnsi="標楷體" w:hint="eastAsia"/>
          <w:b w:val="0"/>
          <w:bCs/>
          <w:snapToGrid/>
          <w:color w:val="000000" w:themeColor="text1"/>
          <w:spacing w:val="12"/>
          <w:kern w:val="0"/>
          <w:sz w:val="40"/>
        </w:rPr>
        <w:t>楊芳婉</w:t>
      </w:r>
    </w:p>
    <w:p w:rsidR="009B7F29" w:rsidRPr="007B560F" w:rsidRDefault="009B7F29" w:rsidP="009B7F29">
      <w:pPr>
        <w:pStyle w:val="ab"/>
        <w:wordWrap w:val="0"/>
        <w:spacing w:beforeLines="50" w:before="228" w:afterLines="100" w:after="457"/>
        <w:ind w:leftChars="1792" w:left="6096"/>
        <w:rPr>
          <w:rFonts w:hAnsi="標楷體"/>
          <w:b w:val="0"/>
          <w:bCs/>
          <w:snapToGrid/>
          <w:color w:val="000000" w:themeColor="text1"/>
          <w:spacing w:val="12"/>
          <w:kern w:val="0"/>
          <w:sz w:val="40"/>
        </w:rPr>
      </w:pPr>
      <w:r w:rsidRPr="007B560F">
        <w:rPr>
          <w:rFonts w:hAnsi="標楷體" w:hint="eastAsia"/>
          <w:b w:val="0"/>
          <w:bCs/>
          <w:snapToGrid/>
          <w:color w:val="000000" w:themeColor="text1"/>
          <w:spacing w:val="12"/>
          <w:kern w:val="0"/>
          <w:sz w:val="40"/>
        </w:rPr>
        <w:t>楊芳玲</w:t>
      </w:r>
    </w:p>
    <w:p w:rsidR="00BF77F1" w:rsidRPr="007B560F" w:rsidRDefault="00BF77F1" w:rsidP="00BF77F1">
      <w:pPr>
        <w:pStyle w:val="ab"/>
        <w:wordWrap w:val="0"/>
        <w:spacing w:before="0" w:after="0"/>
        <w:ind w:leftChars="1100" w:left="3742"/>
        <w:rPr>
          <w:rFonts w:hAnsi="標楷體"/>
          <w:b w:val="0"/>
          <w:bCs/>
          <w:snapToGrid/>
          <w:color w:val="000000" w:themeColor="text1"/>
          <w:spacing w:val="0"/>
          <w:kern w:val="0"/>
          <w:sz w:val="40"/>
        </w:rPr>
      </w:pPr>
    </w:p>
    <w:p w:rsidR="00BF77F1" w:rsidRPr="007B560F" w:rsidRDefault="00BF77F1" w:rsidP="00BF77F1">
      <w:pPr>
        <w:pStyle w:val="af3"/>
        <w:wordWrap w:val="0"/>
        <w:rPr>
          <w:rFonts w:hAnsi="標楷體"/>
          <w:bCs/>
          <w:color w:val="000000" w:themeColor="text1"/>
        </w:rPr>
      </w:pPr>
      <w:r w:rsidRPr="007B560F">
        <w:rPr>
          <w:rFonts w:hAnsi="標楷體"/>
          <w:bCs/>
          <w:color w:val="000000" w:themeColor="text1"/>
        </w:rPr>
        <w:t>中  華  民  國　109　年</w:t>
      </w:r>
      <w:r w:rsidR="008212B8" w:rsidRPr="007B560F">
        <w:rPr>
          <w:rFonts w:hAnsi="標楷體" w:hint="eastAsia"/>
          <w:bCs/>
          <w:color w:val="000000" w:themeColor="text1"/>
        </w:rPr>
        <w:t xml:space="preserve"> </w:t>
      </w:r>
      <w:r w:rsidR="009B7F29" w:rsidRPr="007B560F">
        <w:rPr>
          <w:rFonts w:hAnsi="標楷體" w:hint="eastAsia"/>
          <w:bCs/>
          <w:color w:val="000000" w:themeColor="text1"/>
        </w:rPr>
        <w:t>6</w:t>
      </w:r>
      <w:r w:rsidR="008212B8" w:rsidRPr="007B560F">
        <w:rPr>
          <w:rFonts w:hAnsi="標楷體" w:hint="eastAsia"/>
          <w:bCs/>
          <w:color w:val="000000" w:themeColor="text1"/>
        </w:rPr>
        <w:t xml:space="preserve"> </w:t>
      </w:r>
      <w:r w:rsidRPr="007B560F">
        <w:rPr>
          <w:rFonts w:hAnsi="標楷體"/>
          <w:bCs/>
          <w:color w:val="000000" w:themeColor="text1"/>
        </w:rPr>
        <w:t xml:space="preserve">月　</w:t>
      </w:r>
      <w:r w:rsidR="009B7F29" w:rsidRPr="007B560F">
        <w:rPr>
          <w:rFonts w:hAnsi="標楷體" w:hint="eastAsia"/>
          <w:bCs/>
          <w:color w:val="000000" w:themeColor="text1"/>
        </w:rPr>
        <w:t>3</w:t>
      </w:r>
      <w:r w:rsidRPr="007B560F">
        <w:rPr>
          <w:rFonts w:hAnsi="標楷體"/>
          <w:bCs/>
          <w:color w:val="000000" w:themeColor="text1"/>
        </w:rPr>
        <w:t xml:space="preserve">　日</w:t>
      </w:r>
      <w:bookmarkStart w:id="67" w:name="_GoBack"/>
      <w:bookmarkEnd w:id="67"/>
    </w:p>
    <w:sectPr w:rsidR="00BF77F1" w:rsidRPr="007B560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74D" w:rsidRDefault="004D574D">
      <w:r>
        <w:separator/>
      </w:r>
    </w:p>
  </w:endnote>
  <w:endnote w:type="continuationSeparator" w:id="0">
    <w:p w:rsidR="004D574D" w:rsidRDefault="004D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38" w:rsidRDefault="007B4D3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1B53BB">
      <w:rPr>
        <w:rStyle w:val="af"/>
        <w:noProof/>
        <w:sz w:val="24"/>
      </w:rPr>
      <w:t>26</w:t>
    </w:r>
    <w:r>
      <w:rPr>
        <w:rStyle w:val="af"/>
        <w:sz w:val="24"/>
      </w:rPr>
      <w:fldChar w:fldCharType="end"/>
    </w:r>
  </w:p>
  <w:p w:rsidR="007B4D38" w:rsidRDefault="007B4D3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74D" w:rsidRDefault="004D574D">
      <w:r>
        <w:separator/>
      </w:r>
    </w:p>
  </w:footnote>
  <w:footnote w:type="continuationSeparator" w:id="0">
    <w:p w:rsidR="004D574D" w:rsidRDefault="004D574D">
      <w:r>
        <w:continuationSeparator/>
      </w:r>
    </w:p>
  </w:footnote>
  <w:footnote w:id="1">
    <w:p w:rsidR="007B4D38" w:rsidRPr="00197D8F" w:rsidRDefault="007B4D38" w:rsidP="00BF77F1">
      <w:pPr>
        <w:pStyle w:val="aff3"/>
        <w:ind w:left="210" w:hanging="181"/>
        <w:rPr>
          <w:color w:val="000000" w:themeColor="text1"/>
        </w:rPr>
      </w:pPr>
      <w:r w:rsidRPr="00197D8F">
        <w:rPr>
          <w:rStyle w:val="aff5"/>
          <w:color w:val="000000" w:themeColor="text1"/>
        </w:rPr>
        <w:footnoteRef/>
      </w:r>
      <w:r w:rsidRPr="00197D8F">
        <w:rPr>
          <w:color w:val="000000" w:themeColor="text1"/>
        </w:rPr>
        <w:t xml:space="preserve"> </w:t>
      </w:r>
      <w:r w:rsidRPr="00197D8F">
        <w:rPr>
          <w:rFonts w:hint="eastAsia"/>
          <w:color w:val="000000" w:themeColor="text1"/>
        </w:rPr>
        <w:t>農委會</w:t>
      </w:r>
      <w:proofErr w:type="gramStart"/>
      <w:r w:rsidRPr="00197D8F">
        <w:rPr>
          <w:rFonts w:hint="eastAsia"/>
          <w:color w:val="000000" w:themeColor="text1"/>
        </w:rPr>
        <w:t>100</w:t>
      </w:r>
      <w:proofErr w:type="gramEnd"/>
      <w:r w:rsidRPr="00197D8F">
        <w:rPr>
          <w:rFonts w:hint="eastAsia"/>
          <w:color w:val="000000" w:themeColor="text1"/>
        </w:rPr>
        <w:t>年度科技計畫委託國立中興大學應用經濟學系萬</w:t>
      </w:r>
      <w:proofErr w:type="gramStart"/>
      <w:r w:rsidRPr="00197D8F">
        <w:rPr>
          <w:rFonts w:hint="eastAsia"/>
          <w:color w:val="000000" w:themeColor="text1"/>
        </w:rPr>
        <w:t>鍾</w:t>
      </w:r>
      <w:proofErr w:type="gramEnd"/>
      <w:r w:rsidRPr="00197D8F">
        <w:rPr>
          <w:rFonts w:hint="eastAsia"/>
          <w:color w:val="000000" w:themeColor="text1"/>
        </w:rPr>
        <w:t>汶教授主持「建立國產蔬果各通路占有率分析資料」，研究旨在針對臺灣主要蔬果多元運銷通路推估</w:t>
      </w:r>
      <w:proofErr w:type="gramStart"/>
      <w:r w:rsidRPr="00197D8F">
        <w:rPr>
          <w:rFonts w:hint="eastAsia"/>
          <w:color w:val="000000" w:themeColor="text1"/>
        </w:rPr>
        <w:t>個</w:t>
      </w:r>
      <w:proofErr w:type="gramEnd"/>
      <w:r w:rsidRPr="00197D8F">
        <w:rPr>
          <w:rFonts w:hint="eastAsia"/>
          <w:color w:val="000000" w:themeColor="text1"/>
        </w:rPr>
        <w:t>項及整體總合占有率。</w:t>
      </w:r>
    </w:p>
  </w:footnote>
  <w:footnote w:id="2">
    <w:p w:rsidR="007B4D38" w:rsidRPr="0072561D" w:rsidRDefault="007B4D38">
      <w:pPr>
        <w:pStyle w:val="aff3"/>
        <w:rPr>
          <w:color w:val="000000" w:themeColor="text1"/>
        </w:rPr>
      </w:pPr>
      <w:r w:rsidRPr="0072561D">
        <w:rPr>
          <w:rStyle w:val="aff5"/>
          <w:color w:val="000000" w:themeColor="text1"/>
        </w:rPr>
        <w:footnoteRef/>
      </w:r>
      <w:r w:rsidRPr="0072561D">
        <w:rPr>
          <w:color w:val="000000" w:themeColor="text1"/>
        </w:rPr>
        <w:t xml:space="preserve"> </w:t>
      </w:r>
      <w:r w:rsidRPr="0072561D">
        <w:rPr>
          <w:rFonts w:hint="eastAsia"/>
          <w:color w:val="000000" w:themeColor="text1"/>
        </w:rPr>
        <w:t>有關生產蔬果</w:t>
      </w:r>
      <w:proofErr w:type="gramStart"/>
      <w:r w:rsidRPr="0072561D">
        <w:rPr>
          <w:rFonts w:hint="eastAsia"/>
          <w:color w:val="000000" w:themeColor="text1"/>
        </w:rPr>
        <w:t>經由行口商</w:t>
      </w:r>
      <w:proofErr w:type="gramEnd"/>
      <w:r w:rsidRPr="0072561D">
        <w:rPr>
          <w:rFonts w:hint="eastAsia"/>
          <w:color w:val="000000" w:themeColor="text1"/>
        </w:rPr>
        <w:t>販運的比率，農委會未確實</w:t>
      </w:r>
      <w:proofErr w:type="gramStart"/>
      <w:r w:rsidRPr="0072561D">
        <w:rPr>
          <w:rFonts w:hint="eastAsia"/>
          <w:color w:val="000000" w:themeColor="text1"/>
        </w:rPr>
        <w:t>掌握行口商</w:t>
      </w:r>
      <w:proofErr w:type="gramEnd"/>
      <w:r w:rsidRPr="0072561D">
        <w:rPr>
          <w:rFonts w:hint="eastAsia"/>
          <w:color w:val="000000" w:themeColor="text1"/>
        </w:rPr>
        <w:t>數量，</w:t>
      </w:r>
      <w:proofErr w:type="gramStart"/>
      <w:r w:rsidRPr="0072561D">
        <w:rPr>
          <w:rFonts w:hint="eastAsia"/>
          <w:color w:val="000000" w:themeColor="text1"/>
        </w:rPr>
        <w:t>爰</w:t>
      </w:r>
      <w:proofErr w:type="gramEnd"/>
      <w:r w:rsidRPr="0072561D">
        <w:rPr>
          <w:rFonts w:hint="eastAsia"/>
          <w:color w:val="000000" w:themeColor="text1"/>
        </w:rPr>
        <w:t>依該會</w:t>
      </w:r>
      <w:proofErr w:type="gramStart"/>
      <w:r w:rsidRPr="0072561D">
        <w:rPr>
          <w:rFonts w:hint="eastAsia"/>
          <w:color w:val="000000" w:themeColor="text1"/>
        </w:rPr>
        <w:t>100</w:t>
      </w:r>
      <w:proofErr w:type="gramEnd"/>
      <w:r w:rsidRPr="0072561D">
        <w:rPr>
          <w:rFonts w:hint="eastAsia"/>
          <w:color w:val="000000" w:themeColor="text1"/>
        </w:rPr>
        <w:t>年度科技計畫委託研究「建立國產蔬果各通路占有率分析資料」之研究結果推估之，其「蔬菜」生產者</w:t>
      </w:r>
      <w:proofErr w:type="gramStart"/>
      <w:r w:rsidRPr="0072561D">
        <w:rPr>
          <w:rFonts w:hint="eastAsia"/>
          <w:color w:val="000000" w:themeColor="text1"/>
        </w:rPr>
        <w:t>經由行口商</w:t>
      </w:r>
      <w:proofErr w:type="gramEnd"/>
      <w:r w:rsidRPr="0072561D">
        <w:rPr>
          <w:rFonts w:hint="eastAsia"/>
          <w:color w:val="000000" w:themeColor="text1"/>
        </w:rPr>
        <w:t>販運比率為18.19%；「水果」生產者</w:t>
      </w:r>
      <w:proofErr w:type="gramStart"/>
      <w:r w:rsidRPr="0072561D">
        <w:rPr>
          <w:rFonts w:hint="eastAsia"/>
          <w:color w:val="000000" w:themeColor="text1"/>
        </w:rPr>
        <w:t>經由行口商</w:t>
      </w:r>
      <w:proofErr w:type="gramEnd"/>
      <w:r w:rsidRPr="0072561D">
        <w:rPr>
          <w:rFonts w:hint="eastAsia"/>
          <w:color w:val="000000" w:themeColor="text1"/>
        </w:rPr>
        <w:t>販運比率為32.75%。</w:t>
      </w:r>
    </w:p>
  </w:footnote>
  <w:footnote w:id="3">
    <w:p w:rsidR="004D6BA1" w:rsidRPr="0072561D" w:rsidRDefault="007B4D38" w:rsidP="004D6BA1">
      <w:pPr>
        <w:pStyle w:val="aff3"/>
        <w:rPr>
          <w:color w:val="000000" w:themeColor="text1"/>
        </w:rPr>
      </w:pPr>
      <w:r w:rsidRPr="0072561D">
        <w:rPr>
          <w:rStyle w:val="aff5"/>
          <w:color w:val="000000" w:themeColor="text1"/>
        </w:rPr>
        <w:footnoteRef/>
      </w:r>
      <w:r w:rsidRPr="0072561D">
        <w:rPr>
          <w:color w:val="000000" w:themeColor="text1"/>
        </w:rPr>
        <w:t xml:space="preserve"> </w:t>
      </w:r>
      <w:r w:rsidRPr="0072561D">
        <w:rPr>
          <w:rFonts w:hint="eastAsia"/>
          <w:color w:val="000000" w:themeColor="text1"/>
        </w:rPr>
        <w:t>4章1Q</w:t>
      </w:r>
      <w:proofErr w:type="gramStart"/>
      <w:r w:rsidRPr="0072561D">
        <w:rPr>
          <w:rFonts w:hint="eastAsia"/>
          <w:color w:val="000000" w:themeColor="text1"/>
        </w:rPr>
        <w:t>者分指</w:t>
      </w:r>
      <w:proofErr w:type="gramEnd"/>
      <w:r w:rsidRPr="0072561D">
        <w:rPr>
          <w:rFonts w:hint="eastAsia"/>
          <w:color w:val="000000" w:themeColor="text1"/>
        </w:rPr>
        <w:t>「CAS有機農產品標章」、「CAS臺灣優良農產品標章」、「產銷履歷認證標章」、「吉園圃標章」以及「台灣農產生產溯源QR Code」</w:t>
      </w:r>
      <w:r w:rsidR="004D6BA1" w:rsidRPr="0072561D">
        <w:rPr>
          <w:rFonts w:hint="eastAsia"/>
          <w:color w:val="000000" w:themeColor="text1"/>
        </w:rPr>
        <w:t>。其中，吉園圃</w:t>
      </w:r>
      <w:proofErr w:type="gramStart"/>
      <w:r w:rsidR="004D6BA1" w:rsidRPr="0072561D">
        <w:rPr>
          <w:rFonts w:hint="eastAsia"/>
          <w:color w:val="000000" w:themeColor="text1"/>
        </w:rPr>
        <w:t>標章於108年6月15日</w:t>
      </w:r>
      <w:proofErr w:type="gramEnd"/>
      <w:r w:rsidR="004D6BA1" w:rsidRPr="0072561D">
        <w:rPr>
          <w:rFonts w:hint="eastAsia"/>
          <w:color w:val="000000" w:themeColor="text1"/>
        </w:rPr>
        <w:t>正式退場，鼓勵農友升級為產銷履歷認證標章。</w:t>
      </w:r>
    </w:p>
    <w:p w:rsidR="007B4D38" w:rsidRPr="00197D8F" w:rsidRDefault="007B4D38" w:rsidP="00BF77F1">
      <w:pPr>
        <w:pStyle w:val="aff3"/>
        <w:ind w:left="210" w:hanging="181"/>
        <w:rPr>
          <w:color w:val="000000" w:themeColor="text1"/>
        </w:rPr>
      </w:pPr>
    </w:p>
  </w:footnote>
  <w:footnote w:id="4">
    <w:p w:rsidR="007B4D38" w:rsidRPr="00197D8F" w:rsidRDefault="007B4D38">
      <w:pPr>
        <w:pStyle w:val="aff3"/>
        <w:rPr>
          <w:color w:val="000000" w:themeColor="text1"/>
        </w:rPr>
      </w:pPr>
      <w:r w:rsidRPr="00197D8F">
        <w:rPr>
          <w:rStyle w:val="aff5"/>
          <w:color w:val="000000" w:themeColor="text1"/>
        </w:rPr>
        <w:footnoteRef/>
      </w:r>
      <w:r w:rsidRPr="00197D8F">
        <w:rPr>
          <w:color w:val="000000" w:themeColor="text1"/>
        </w:rPr>
        <w:t xml:space="preserve"> </w:t>
      </w:r>
      <w:r w:rsidRPr="00197D8F">
        <w:rPr>
          <w:rFonts w:hint="eastAsia"/>
          <w:color w:val="000000" w:themeColor="text1"/>
        </w:rPr>
        <w:t>資料來源：外交部108年11月4日外國會二字第10851508960號。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78C8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0215EC"/>
    <w:multiLevelType w:val="hybridMultilevel"/>
    <w:tmpl w:val="8A845E12"/>
    <w:lvl w:ilvl="0" w:tplc="6E2028C0">
      <w:start w:val="1"/>
      <w:numFmt w:val="decimal"/>
      <w:lvlText w:val="%1."/>
      <w:lvlJc w:val="left"/>
      <w:pPr>
        <w:ind w:left="1386" w:hanging="480"/>
      </w:pPr>
      <w:rPr>
        <w:b w:val="0"/>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 w15:restartNumberingAfterBreak="0">
    <w:nsid w:val="0404416C"/>
    <w:multiLevelType w:val="hybridMultilevel"/>
    <w:tmpl w:val="8A845E12"/>
    <w:lvl w:ilvl="0" w:tplc="6E2028C0">
      <w:start w:val="1"/>
      <w:numFmt w:val="decimal"/>
      <w:lvlText w:val="%1."/>
      <w:lvlJc w:val="left"/>
      <w:pPr>
        <w:ind w:left="1386" w:hanging="480"/>
      </w:pPr>
      <w:rPr>
        <w:b w:val="0"/>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 w15:restartNumberingAfterBreak="0">
    <w:nsid w:val="07F025AE"/>
    <w:multiLevelType w:val="hybridMultilevel"/>
    <w:tmpl w:val="4FAE5832"/>
    <w:lvl w:ilvl="0" w:tplc="D30AB79C">
      <w:start w:val="1"/>
      <w:numFmt w:val="taiwaneseCountingThousand"/>
      <w:lvlText w:val="%1、"/>
      <w:lvlJc w:val="left"/>
      <w:pPr>
        <w:ind w:left="480" w:hanging="480"/>
      </w:pPr>
      <w:rPr>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C83E36"/>
    <w:multiLevelType w:val="hybridMultilevel"/>
    <w:tmpl w:val="C47EB6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943377"/>
    <w:multiLevelType w:val="hybridMultilevel"/>
    <w:tmpl w:val="D42E78DA"/>
    <w:lvl w:ilvl="0" w:tplc="E11EF2FA">
      <w:start w:val="1"/>
      <w:numFmt w:val="taiwaneseCountingThousand"/>
      <w:lvlText w:val="%1、"/>
      <w:lvlJc w:val="left"/>
      <w:pPr>
        <w:ind w:left="3883"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40E010C"/>
    <w:multiLevelType w:val="multilevel"/>
    <w:tmpl w:val="285E1C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423A73"/>
    <w:multiLevelType w:val="hybridMultilevel"/>
    <w:tmpl w:val="3CA04E0C"/>
    <w:lvl w:ilvl="0" w:tplc="C9C07C06">
      <w:start w:val="1"/>
      <w:numFmt w:val="decimal"/>
      <w:lvlText w:val="(%1)"/>
      <w:lvlJc w:val="left"/>
      <w:pPr>
        <w:ind w:left="1866" w:hanging="480"/>
      </w:pPr>
      <w:rPr>
        <w:rFonts w:hint="eastAsia"/>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234E34"/>
    <w:multiLevelType w:val="hybridMultilevel"/>
    <w:tmpl w:val="E6060C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7F6002"/>
    <w:multiLevelType w:val="hybridMultilevel"/>
    <w:tmpl w:val="CA28E7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E25C0D"/>
    <w:multiLevelType w:val="hybridMultilevel"/>
    <w:tmpl w:val="30CEC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A77D62"/>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14" w15:restartNumberingAfterBreak="0">
    <w:nsid w:val="33E17819"/>
    <w:multiLevelType w:val="hybridMultilevel"/>
    <w:tmpl w:val="6CFEABC0"/>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5" w15:restartNumberingAfterBreak="0">
    <w:nsid w:val="36B046A6"/>
    <w:multiLevelType w:val="hybridMultilevel"/>
    <w:tmpl w:val="8A845E12"/>
    <w:lvl w:ilvl="0" w:tplc="6E2028C0">
      <w:start w:val="1"/>
      <w:numFmt w:val="decimal"/>
      <w:lvlText w:val="%1."/>
      <w:lvlJc w:val="left"/>
      <w:pPr>
        <w:ind w:left="1386" w:hanging="480"/>
      </w:pPr>
      <w:rPr>
        <w:b w:val="0"/>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6" w15:restartNumberingAfterBreak="0">
    <w:nsid w:val="3C33376A"/>
    <w:multiLevelType w:val="hybridMultilevel"/>
    <w:tmpl w:val="568485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CD28C8"/>
    <w:multiLevelType w:val="hybridMultilevel"/>
    <w:tmpl w:val="6A84AB1C"/>
    <w:lvl w:ilvl="0" w:tplc="0409000F">
      <w:start w:val="1"/>
      <w:numFmt w:val="decimal"/>
      <w:lvlText w:val="%1."/>
      <w:lvlJc w:val="left"/>
      <w:pPr>
        <w:ind w:left="1224" w:hanging="480"/>
      </w:p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9" w15:restartNumberingAfterBreak="0">
    <w:nsid w:val="40C7432D"/>
    <w:multiLevelType w:val="hybridMultilevel"/>
    <w:tmpl w:val="6A84AB1C"/>
    <w:lvl w:ilvl="0" w:tplc="0409000F">
      <w:start w:val="1"/>
      <w:numFmt w:val="decimal"/>
      <w:lvlText w:val="%1."/>
      <w:lvlJc w:val="left"/>
      <w:pPr>
        <w:ind w:left="1224" w:hanging="480"/>
      </w:p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20" w15:restartNumberingAfterBreak="0">
    <w:nsid w:val="42E87C53"/>
    <w:multiLevelType w:val="hybridMultilevel"/>
    <w:tmpl w:val="C47EB6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997976"/>
    <w:multiLevelType w:val="hybridMultilevel"/>
    <w:tmpl w:val="DB9C8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B4545B"/>
    <w:multiLevelType w:val="hybridMultilevel"/>
    <w:tmpl w:val="CA28E7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547CA4BE"/>
    <w:lvl w:ilvl="0" w:tplc="B52E3EF6">
      <w:start w:val="1"/>
      <w:numFmt w:val="decimal"/>
      <w:pStyle w:val="a4"/>
      <w:lvlText w:val="表%1　"/>
      <w:lvlJc w:val="left"/>
      <w:pPr>
        <w:ind w:left="48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2AA7A10"/>
    <w:multiLevelType w:val="hybridMultilevel"/>
    <w:tmpl w:val="C47EB6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B768C7"/>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2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AE07BF"/>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30" w15:restartNumberingAfterBreak="0">
    <w:nsid w:val="6990749C"/>
    <w:multiLevelType w:val="hybridMultilevel"/>
    <w:tmpl w:val="8A845E12"/>
    <w:lvl w:ilvl="0" w:tplc="6E2028C0">
      <w:start w:val="1"/>
      <w:numFmt w:val="decimal"/>
      <w:lvlText w:val="%1."/>
      <w:lvlJc w:val="left"/>
      <w:pPr>
        <w:ind w:left="1386" w:hanging="480"/>
      </w:pPr>
      <w:rPr>
        <w:b w:val="0"/>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1" w15:restartNumberingAfterBreak="0">
    <w:nsid w:val="699C5AA3"/>
    <w:multiLevelType w:val="hybridMultilevel"/>
    <w:tmpl w:val="E05CB2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FF3FD1"/>
    <w:multiLevelType w:val="hybridMultilevel"/>
    <w:tmpl w:val="DD1AD10A"/>
    <w:lvl w:ilvl="0" w:tplc="C9C07C0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7E2D81"/>
    <w:multiLevelType w:val="hybridMultilevel"/>
    <w:tmpl w:val="6A84AB1C"/>
    <w:lvl w:ilvl="0" w:tplc="0409000F">
      <w:start w:val="1"/>
      <w:numFmt w:val="decimal"/>
      <w:lvlText w:val="%1."/>
      <w:lvlJc w:val="left"/>
      <w:pPr>
        <w:ind w:left="1224" w:hanging="480"/>
      </w:p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34" w15:restartNumberingAfterBreak="0">
    <w:nsid w:val="73DC0E6E"/>
    <w:multiLevelType w:val="hybridMultilevel"/>
    <w:tmpl w:val="77162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9959D3"/>
    <w:multiLevelType w:val="hybridMultilevel"/>
    <w:tmpl w:val="6CFEABC0"/>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6" w15:restartNumberingAfterBreak="0">
    <w:nsid w:val="790F748B"/>
    <w:multiLevelType w:val="hybridMultilevel"/>
    <w:tmpl w:val="D42E78DA"/>
    <w:lvl w:ilvl="0" w:tplc="E11EF2FA">
      <w:start w:val="1"/>
      <w:numFmt w:val="taiwaneseCountingThousand"/>
      <w:lvlText w:val="%1、"/>
      <w:lvlJc w:val="left"/>
      <w:pPr>
        <w:ind w:left="3883"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644DC0"/>
    <w:multiLevelType w:val="hybridMultilevel"/>
    <w:tmpl w:val="6CFEABC0"/>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8" w15:restartNumberingAfterBreak="0">
    <w:nsid w:val="7EE44A64"/>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num w:numId="1">
    <w:abstractNumId w:val="21"/>
  </w:num>
  <w:num w:numId="2">
    <w:abstractNumId w:val="11"/>
  </w:num>
  <w:num w:numId="3">
    <w:abstractNumId w:val="23"/>
  </w:num>
  <w:num w:numId="4">
    <w:abstractNumId w:val="18"/>
  </w:num>
  <w:num w:numId="5">
    <w:abstractNumId w:val="19"/>
  </w:num>
  <w:num w:numId="6">
    <w:abstractNumId w:val="33"/>
  </w:num>
  <w:num w:numId="7">
    <w:abstractNumId w:val="24"/>
  </w:num>
  <w:num w:numId="8">
    <w:abstractNumId w:val="17"/>
  </w:num>
  <w:num w:numId="9">
    <w:abstractNumId w:val="7"/>
  </w:num>
  <w:num w:numId="10">
    <w:abstractNumId w:val="31"/>
  </w:num>
  <w:num w:numId="11">
    <w:abstractNumId w:val="1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num>
  <w:num w:numId="16">
    <w:abstractNumId w:val="22"/>
  </w:num>
  <w:num w:numId="17">
    <w:abstractNumId w:val="9"/>
  </w:num>
  <w:num w:numId="18">
    <w:abstractNumId w:val="4"/>
  </w:num>
  <w:num w:numId="19">
    <w:abstractNumId w:val="26"/>
  </w:num>
  <w:num w:numId="20">
    <w:abstractNumId w:val="28"/>
  </w:num>
  <w:num w:numId="21">
    <w:abstractNumId w:val="17"/>
  </w:num>
  <w:num w:numId="22">
    <w:abstractNumId w:val="7"/>
  </w:num>
  <w:num w:numId="23">
    <w:abstractNumId w:val="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9"/>
  </w:num>
  <w:num w:numId="28">
    <w:abstractNumId w:val="3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0"/>
  </w:num>
  <w:num w:numId="32">
    <w:abstractNumId w:val="27"/>
  </w:num>
  <w:num w:numId="33">
    <w:abstractNumId w:val="13"/>
  </w:num>
  <w:num w:numId="34">
    <w:abstractNumId w:val="2"/>
  </w:num>
  <w:num w:numId="35">
    <w:abstractNumId w:val="15"/>
  </w:num>
  <w:num w:numId="36">
    <w:abstractNumId w:val="1"/>
  </w:num>
  <w:num w:numId="37">
    <w:abstractNumId w:val="8"/>
  </w:num>
  <w:num w:numId="38">
    <w:abstractNumId w:val="12"/>
  </w:num>
  <w:num w:numId="39">
    <w:abstractNumId w:val="20"/>
  </w:num>
  <w:num w:numId="40">
    <w:abstractNumId w:val="5"/>
  </w:num>
  <w:num w:numId="41">
    <w:abstractNumId w:val="25"/>
  </w:num>
  <w:num w:numId="42">
    <w:abstractNumId w:val="32"/>
  </w:num>
  <w:num w:numId="43">
    <w:abstractNumId w:val="10"/>
  </w:num>
  <w:num w:numId="44">
    <w:abstractNumId w:val="3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D4"/>
    <w:rsid w:val="00004B0C"/>
    <w:rsid w:val="00006961"/>
    <w:rsid w:val="000112BF"/>
    <w:rsid w:val="00012233"/>
    <w:rsid w:val="00012AED"/>
    <w:rsid w:val="00014A45"/>
    <w:rsid w:val="00017318"/>
    <w:rsid w:val="000206AD"/>
    <w:rsid w:val="000229AD"/>
    <w:rsid w:val="000246F7"/>
    <w:rsid w:val="00030830"/>
    <w:rsid w:val="0003114D"/>
    <w:rsid w:val="000326C4"/>
    <w:rsid w:val="00036D76"/>
    <w:rsid w:val="00040D6A"/>
    <w:rsid w:val="00040E54"/>
    <w:rsid w:val="00041290"/>
    <w:rsid w:val="000432C1"/>
    <w:rsid w:val="000443E1"/>
    <w:rsid w:val="00044DD0"/>
    <w:rsid w:val="00045984"/>
    <w:rsid w:val="00047128"/>
    <w:rsid w:val="0005239F"/>
    <w:rsid w:val="00052B56"/>
    <w:rsid w:val="000536EF"/>
    <w:rsid w:val="00055A9F"/>
    <w:rsid w:val="00057F32"/>
    <w:rsid w:val="00061A63"/>
    <w:rsid w:val="0006215C"/>
    <w:rsid w:val="00062A25"/>
    <w:rsid w:val="00062ABE"/>
    <w:rsid w:val="00063F0D"/>
    <w:rsid w:val="00064E6C"/>
    <w:rsid w:val="00065AF7"/>
    <w:rsid w:val="00065EFB"/>
    <w:rsid w:val="00066570"/>
    <w:rsid w:val="00072AEC"/>
    <w:rsid w:val="00072BB1"/>
    <w:rsid w:val="00073CB5"/>
    <w:rsid w:val="000740F0"/>
    <w:rsid w:val="0007425C"/>
    <w:rsid w:val="000753C2"/>
    <w:rsid w:val="00077553"/>
    <w:rsid w:val="00077E2C"/>
    <w:rsid w:val="000831A1"/>
    <w:rsid w:val="00083C68"/>
    <w:rsid w:val="000851A2"/>
    <w:rsid w:val="000860D2"/>
    <w:rsid w:val="00086459"/>
    <w:rsid w:val="00086D9A"/>
    <w:rsid w:val="000902E0"/>
    <w:rsid w:val="00091F96"/>
    <w:rsid w:val="000928D7"/>
    <w:rsid w:val="00093012"/>
    <w:rsid w:val="0009352E"/>
    <w:rsid w:val="00094CA5"/>
    <w:rsid w:val="0009512B"/>
    <w:rsid w:val="000955A3"/>
    <w:rsid w:val="00096B96"/>
    <w:rsid w:val="000A10A1"/>
    <w:rsid w:val="000A119B"/>
    <w:rsid w:val="000A2DB8"/>
    <w:rsid w:val="000A2F3F"/>
    <w:rsid w:val="000A47E7"/>
    <w:rsid w:val="000A7436"/>
    <w:rsid w:val="000B025B"/>
    <w:rsid w:val="000B036D"/>
    <w:rsid w:val="000B0B4A"/>
    <w:rsid w:val="000B1F1C"/>
    <w:rsid w:val="000B279A"/>
    <w:rsid w:val="000B4020"/>
    <w:rsid w:val="000B4A3C"/>
    <w:rsid w:val="000B61D2"/>
    <w:rsid w:val="000B70A7"/>
    <w:rsid w:val="000B70D3"/>
    <w:rsid w:val="000B72CC"/>
    <w:rsid w:val="000B73DD"/>
    <w:rsid w:val="000B74BC"/>
    <w:rsid w:val="000C1A0A"/>
    <w:rsid w:val="000C3E40"/>
    <w:rsid w:val="000C4373"/>
    <w:rsid w:val="000C495F"/>
    <w:rsid w:val="000C5849"/>
    <w:rsid w:val="000C5CED"/>
    <w:rsid w:val="000C7728"/>
    <w:rsid w:val="000C7DE3"/>
    <w:rsid w:val="000D0FDC"/>
    <w:rsid w:val="000D13FF"/>
    <w:rsid w:val="000D2603"/>
    <w:rsid w:val="000D57A7"/>
    <w:rsid w:val="000D66D9"/>
    <w:rsid w:val="000E0E5A"/>
    <w:rsid w:val="000E4723"/>
    <w:rsid w:val="000E49BB"/>
    <w:rsid w:val="000E506D"/>
    <w:rsid w:val="000E6431"/>
    <w:rsid w:val="000E6C47"/>
    <w:rsid w:val="000E71A9"/>
    <w:rsid w:val="000E73AF"/>
    <w:rsid w:val="000F21A5"/>
    <w:rsid w:val="000F2AEE"/>
    <w:rsid w:val="000F3A98"/>
    <w:rsid w:val="000F4A24"/>
    <w:rsid w:val="000F73E9"/>
    <w:rsid w:val="000F7B59"/>
    <w:rsid w:val="001002AE"/>
    <w:rsid w:val="0010041E"/>
    <w:rsid w:val="00101BCF"/>
    <w:rsid w:val="00102A69"/>
    <w:rsid w:val="00102B9F"/>
    <w:rsid w:val="0010412F"/>
    <w:rsid w:val="00104D33"/>
    <w:rsid w:val="001104B9"/>
    <w:rsid w:val="00110EE4"/>
    <w:rsid w:val="00112637"/>
    <w:rsid w:val="001129A6"/>
    <w:rsid w:val="00112ABC"/>
    <w:rsid w:val="00114D4B"/>
    <w:rsid w:val="001154C9"/>
    <w:rsid w:val="0011701A"/>
    <w:rsid w:val="0012001E"/>
    <w:rsid w:val="00120F3C"/>
    <w:rsid w:val="001217FC"/>
    <w:rsid w:val="0012596D"/>
    <w:rsid w:val="00126A55"/>
    <w:rsid w:val="00126DE9"/>
    <w:rsid w:val="00127276"/>
    <w:rsid w:val="00131F75"/>
    <w:rsid w:val="00132A57"/>
    <w:rsid w:val="00133F08"/>
    <w:rsid w:val="001345E6"/>
    <w:rsid w:val="00136966"/>
    <w:rsid w:val="001378B0"/>
    <w:rsid w:val="001379C9"/>
    <w:rsid w:val="00140D5A"/>
    <w:rsid w:val="00142177"/>
    <w:rsid w:val="00142C88"/>
    <w:rsid w:val="00142E00"/>
    <w:rsid w:val="0014328B"/>
    <w:rsid w:val="00143417"/>
    <w:rsid w:val="00144C9A"/>
    <w:rsid w:val="00145014"/>
    <w:rsid w:val="00145DB6"/>
    <w:rsid w:val="00151C0E"/>
    <w:rsid w:val="00152793"/>
    <w:rsid w:val="00153B7E"/>
    <w:rsid w:val="00154487"/>
    <w:rsid w:val="00154490"/>
    <w:rsid w:val="001545A9"/>
    <w:rsid w:val="0016055C"/>
    <w:rsid w:val="001637C7"/>
    <w:rsid w:val="0016480E"/>
    <w:rsid w:val="00164F6C"/>
    <w:rsid w:val="001656CA"/>
    <w:rsid w:val="0017195C"/>
    <w:rsid w:val="00172624"/>
    <w:rsid w:val="00174297"/>
    <w:rsid w:val="00174C6E"/>
    <w:rsid w:val="0017574D"/>
    <w:rsid w:val="00175848"/>
    <w:rsid w:val="00177ADC"/>
    <w:rsid w:val="00180E06"/>
    <w:rsid w:val="001817B3"/>
    <w:rsid w:val="00181C00"/>
    <w:rsid w:val="001824F5"/>
    <w:rsid w:val="00183014"/>
    <w:rsid w:val="0018318F"/>
    <w:rsid w:val="00183E13"/>
    <w:rsid w:val="001841E0"/>
    <w:rsid w:val="001848D4"/>
    <w:rsid w:val="00184AE9"/>
    <w:rsid w:val="0019143E"/>
    <w:rsid w:val="001917AE"/>
    <w:rsid w:val="00191918"/>
    <w:rsid w:val="00191B40"/>
    <w:rsid w:val="00195460"/>
    <w:rsid w:val="001959C2"/>
    <w:rsid w:val="00195CC4"/>
    <w:rsid w:val="00196CB9"/>
    <w:rsid w:val="00197D8F"/>
    <w:rsid w:val="001A0667"/>
    <w:rsid w:val="001A18CF"/>
    <w:rsid w:val="001A28DF"/>
    <w:rsid w:val="001A51E3"/>
    <w:rsid w:val="001A7968"/>
    <w:rsid w:val="001A7B67"/>
    <w:rsid w:val="001B2E98"/>
    <w:rsid w:val="001B3483"/>
    <w:rsid w:val="001B3C1E"/>
    <w:rsid w:val="001B4494"/>
    <w:rsid w:val="001B53BB"/>
    <w:rsid w:val="001B5B2C"/>
    <w:rsid w:val="001B7702"/>
    <w:rsid w:val="001C0D8B"/>
    <w:rsid w:val="001C0DA8"/>
    <w:rsid w:val="001C329E"/>
    <w:rsid w:val="001C37A5"/>
    <w:rsid w:val="001C3865"/>
    <w:rsid w:val="001C3D90"/>
    <w:rsid w:val="001C43B4"/>
    <w:rsid w:val="001D011D"/>
    <w:rsid w:val="001D2579"/>
    <w:rsid w:val="001D4AD7"/>
    <w:rsid w:val="001D55E8"/>
    <w:rsid w:val="001D6172"/>
    <w:rsid w:val="001E0353"/>
    <w:rsid w:val="001E0D8A"/>
    <w:rsid w:val="001E2D6E"/>
    <w:rsid w:val="001E467B"/>
    <w:rsid w:val="001E67BA"/>
    <w:rsid w:val="001E6938"/>
    <w:rsid w:val="001E74C2"/>
    <w:rsid w:val="001F1F3F"/>
    <w:rsid w:val="001F2E7F"/>
    <w:rsid w:val="001F4F82"/>
    <w:rsid w:val="001F55AD"/>
    <w:rsid w:val="001F5A20"/>
    <w:rsid w:val="001F5A48"/>
    <w:rsid w:val="001F6260"/>
    <w:rsid w:val="00200007"/>
    <w:rsid w:val="00201022"/>
    <w:rsid w:val="002030A5"/>
    <w:rsid w:val="00203131"/>
    <w:rsid w:val="0020386E"/>
    <w:rsid w:val="00203D2B"/>
    <w:rsid w:val="00204116"/>
    <w:rsid w:val="00204180"/>
    <w:rsid w:val="00204CE3"/>
    <w:rsid w:val="002119FB"/>
    <w:rsid w:val="00212E88"/>
    <w:rsid w:val="002131A7"/>
    <w:rsid w:val="002135D7"/>
    <w:rsid w:val="00213C9C"/>
    <w:rsid w:val="00213FE3"/>
    <w:rsid w:val="002141FD"/>
    <w:rsid w:val="00214A0F"/>
    <w:rsid w:val="00216581"/>
    <w:rsid w:val="00216AE6"/>
    <w:rsid w:val="00216ED7"/>
    <w:rsid w:val="002177EF"/>
    <w:rsid w:val="0022009E"/>
    <w:rsid w:val="002205FF"/>
    <w:rsid w:val="00223241"/>
    <w:rsid w:val="0022425C"/>
    <w:rsid w:val="0022435E"/>
    <w:rsid w:val="002246DE"/>
    <w:rsid w:val="0022539A"/>
    <w:rsid w:val="002278A7"/>
    <w:rsid w:val="00231B83"/>
    <w:rsid w:val="002327D9"/>
    <w:rsid w:val="00233374"/>
    <w:rsid w:val="00234846"/>
    <w:rsid w:val="002350A8"/>
    <w:rsid w:val="00236D30"/>
    <w:rsid w:val="002417A3"/>
    <w:rsid w:val="00242051"/>
    <w:rsid w:val="002429E2"/>
    <w:rsid w:val="002506CC"/>
    <w:rsid w:val="00252BC4"/>
    <w:rsid w:val="00253A73"/>
    <w:rsid w:val="00254014"/>
    <w:rsid w:val="002545FC"/>
    <w:rsid w:val="00254B39"/>
    <w:rsid w:val="002558E5"/>
    <w:rsid w:val="00257194"/>
    <w:rsid w:val="002571CB"/>
    <w:rsid w:val="00261E50"/>
    <w:rsid w:val="002641E2"/>
    <w:rsid w:val="00264861"/>
    <w:rsid w:val="0026504D"/>
    <w:rsid w:val="00266011"/>
    <w:rsid w:val="0026656E"/>
    <w:rsid w:val="00267390"/>
    <w:rsid w:val="0026740E"/>
    <w:rsid w:val="00270500"/>
    <w:rsid w:val="00273160"/>
    <w:rsid w:val="00273A2F"/>
    <w:rsid w:val="00276988"/>
    <w:rsid w:val="002778B7"/>
    <w:rsid w:val="00280986"/>
    <w:rsid w:val="002816CE"/>
    <w:rsid w:val="00281ECE"/>
    <w:rsid w:val="0028247F"/>
    <w:rsid w:val="002830B0"/>
    <w:rsid w:val="002831C7"/>
    <w:rsid w:val="002840C6"/>
    <w:rsid w:val="002855CD"/>
    <w:rsid w:val="00287584"/>
    <w:rsid w:val="0029005F"/>
    <w:rsid w:val="00291E83"/>
    <w:rsid w:val="0029371A"/>
    <w:rsid w:val="0029463D"/>
    <w:rsid w:val="00295174"/>
    <w:rsid w:val="00296172"/>
    <w:rsid w:val="002965E4"/>
    <w:rsid w:val="0029673E"/>
    <w:rsid w:val="00296824"/>
    <w:rsid w:val="00296B92"/>
    <w:rsid w:val="00297ADA"/>
    <w:rsid w:val="002A151B"/>
    <w:rsid w:val="002A1FFC"/>
    <w:rsid w:val="002A20CB"/>
    <w:rsid w:val="002A2C22"/>
    <w:rsid w:val="002A3473"/>
    <w:rsid w:val="002A416F"/>
    <w:rsid w:val="002A45E8"/>
    <w:rsid w:val="002A6E32"/>
    <w:rsid w:val="002A714E"/>
    <w:rsid w:val="002B02EB"/>
    <w:rsid w:val="002B05D5"/>
    <w:rsid w:val="002B16B5"/>
    <w:rsid w:val="002B249D"/>
    <w:rsid w:val="002B2F27"/>
    <w:rsid w:val="002B3063"/>
    <w:rsid w:val="002B4D7D"/>
    <w:rsid w:val="002B4F73"/>
    <w:rsid w:val="002B6CC9"/>
    <w:rsid w:val="002C0602"/>
    <w:rsid w:val="002C0954"/>
    <w:rsid w:val="002C1ACD"/>
    <w:rsid w:val="002C2467"/>
    <w:rsid w:val="002C281B"/>
    <w:rsid w:val="002C3718"/>
    <w:rsid w:val="002C3CFF"/>
    <w:rsid w:val="002C3DBA"/>
    <w:rsid w:val="002C462F"/>
    <w:rsid w:val="002C4EFD"/>
    <w:rsid w:val="002D3149"/>
    <w:rsid w:val="002D5735"/>
    <w:rsid w:val="002D5C16"/>
    <w:rsid w:val="002D7E2D"/>
    <w:rsid w:val="002E0898"/>
    <w:rsid w:val="002E2B04"/>
    <w:rsid w:val="002E688E"/>
    <w:rsid w:val="002E6EF8"/>
    <w:rsid w:val="002F0451"/>
    <w:rsid w:val="002F141F"/>
    <w:rsid w:val="002F2360"/>
    <w:rsid w:val="002F2476"/>
    <w:rsid w:val="002F388A"/>
    <w:rsid w:val="002F3D3E"/>
    <w:rsid w:val="002F3DFF"/>
    <w:rsid w:val="002F4A0B"/>
    <w:rsid w:val="002F5E05"/>
    <w:rsid w:val="002F729F"/>
    <w:rsid w:val="00304880"/>
    <w:rsid w:val="0030531A"/>
    <w:rsid w:val="00306581"/>
    <w:rsid w:val="003071B1"/>
    <w:rsid w:val="00307A76"/>
    <w:rsid w:val="00310542"/>
    <w:rsid w:val="0031455E"/>
    <w:rsid w:val="00315866"/>
    <w:rsid w:val="00315A16"/>
    <w:rsid w:val="003163EB"/>
    <w:rsid w:val="00317053"/>
    <w:rsid w:val="003179D4"/>
    <w:rsid w:val="0032109C"/>
    <w:rsid w:val="00322B45"/>
    <w:rsid w:val="00323809"/>
    <w:rsid w:val="00323D41"/>
    <w:rsid w:val="00325185"/>
    <w:rsid w:val="00325414"/>
    <w:rsid w:val="00325D81"/>
    <w:rsid w:val="003302F1"/>
    <w:rsid w:val="00330B78"/>
    <w:rsid w:val="00337EC2"/>
    <w:rsid w:val="0034098E"/>
    <w:rsid w:val="00343334"/>
    <w:rsid w:val="0034470E"/>
    <w:rsid w:val="0034491D"/>
    <w:rsid w:val="00345CE9"/>
    <w:rsid w:val="00346E55"/>
    <w:rsid w:val="003511A6"/>
    <w:rsid w:val="003520EE"/>
    <w:rsid w:val="00352DB0"/>
    <w:rsid w:val="00354F25"/>
    <w:rsid w:val="00355840"/>
    <w:rsid w:val="00355A59"/>
    <w:rsid w:val="003603CF"/>
    <w:rsid w:val="00360818"/>
    <w:rsid w:val="00361063"/>
    <w:rsid w:val="0037094A"/>
    <w:rsid w:val="00371ED3"/>
    <w:rsid w:val="00372035"/>
    <w:rsid w:val="00372659"/>
    <w:rsid w:val="00372FFC"/>
    <w:rsid w:val="0037728A"/>
    <w:rsid w:val="00377C78"/>
    <w:rsid w:val="00380B7D"/>
    <w:rsid w:val="00380E78"/>
    <w:rsid w:val="00381A99"/>
    <w:rsid w:val="003829C2"/>
    <w:rsid w:val="00382C3F"/>
    <w:rsid w:val="003830B2"/>
    <w:rsid w:val="00384724"/>
    <w:rsid w:val="00385E68"/>
    <w:rsid w:val="003869C6"/>
    <w:rsid w:val="00387E4E"/>
    <w:rsid w:val="00390483"/>
    <w:rsid w:val="00391957"/>
    <w:rsid w:val="003919B7"/>
    <w:rsid w:val="00391D57"/>
    <w:rsid w:val="00392292"/>
    <w:rsid w:val="00393904"/>
    <w:rsid w:val="00394A5A"/>
    <w:rsid w:val="00394F45"/>
    <w:rsid w:val="003979AD"/>
    <w:rsid w:val="003A299C"/>
    <w:rsid w:val="003A38AC"/>
    <w:rsid w:val="003A3900"/>
    <w:rsid w:val="003A3FFC"/>
    <w:rsid w:val="003A5927"/>
    <w:rsid w:val="003A7C17"/>
    <w:rsid w:val="003B1017"/>
    <w:rsid w:val="003B1244"/>
    <w:rsid w:val="003B1477"/>
    <w:rsid w:val="003B3C07"/>
    <w:rsid w:val="003B3EB7"/>
    <w:rsid w:val="003B6081"/>
    <w:rsid w:val="003B6775"/>
    <w:rsid w:val="003C32C0"/>
    <w:rsid w:val="003C3B7D"/>
    <w:rsid w:val="003C3BF5"/>
    <w:rsid w:val="003C5FE2"/>
    <w:rsid w:val="003D033B"/>
    <w:rsid w:val="003D05FB"/>
    <w:rsid w:val="003D146F"/>
    <w:rsid w:val="003D1B16"/>
    <w:rsid w:val="003D3010"/>
    <w:rsid w:val="003D45BF"/>
    <w:rsid w:val="003D4BAC"/>
    <w:rsid w:val="003D508A"/>
    <w:rsid w:val="003D537F"/>
    <w:rsid w:val="003D7B75"/>
    <w:rsid w:val="003E0208"/>
    <w:rsid w:val="003E0960"/>
    <w:rsid w:val="003E16ED"/>
    <w:rsid w:val="003E4B57"/>
    <w:rsid w:val="003E4CE6"/>
    <w:rsid w:val="003E62E5"/>
    <w:rsid w:val="003E6C9D"/>
    <w:rsid w:val="003F0E26"/>
    <w:rsid w:val="003F1B85"/>
    <w:rsid w:val="003F27E1"/>
    <w:rsid w:val="003F437A"/>
    <w:rsid w:val="003F4FAF"/>
    <w:rsid w:val="003F5C2B"/>
    <w:rsid w:val="00400054"/>
    <w:rsid w:val="00402240"/>
    <w:rsid w:val="004023E9"/>
    <w:rsid w:val="0040436E"/>
    <w:rsid w:val="00404493"/>
    <w:rsid w:val="0040454A"/>
    <w:rsid w:val="00407D9E"/>
    <w:rsid w:val="00411353"/>
    <w:rsid w:val="004139AF"/>
    <w:rsid w:val="00413F83"/>
    <w:rsid w:val="0041490C"/>
    <w:rsid w:val="00416191"/>
    <w:rsid w:val="00416721"/>
    <w:rsid w:val="00416B09"/>
    <w:rsid w:val="00416D42"/>
    <w:rsid w:val="00417565"/>
    <w:rsid w:val="00417B24"/>
    <w:rsid w:val="00421314"/>
    <w:rsid w:val="00421CB8"/>
    <w:rsid w:val="00421EF0"/>
    <w:rsid w:val="004224FA"/>
    <w:rsid w:val="00423D07"/>
    <w:rsid w:val="0042554A"/>
    <w:rsid w:val="00425F5B"/>
    <w:rsid w:val="00427936"/>
    <w:rsid w:val="0043077F"/>
    <w:rsid w:val="00432D39"/>
    <w:rsid w:val="00433269"/>
    <w:rsid w:val="00433E26"/>
    <w:rsid w:val="00433F5E"/>
    <w:rsid w:val="004364B7"/>
    <w:rsid w:val="0043791A"/>
    <w:rsid w:val="0044034F"/>
    <w:rsid w:val="00440DBC"/>
    <w:rsid w:val="004413F3"/>
    <w:rsid w:val="00442217"/>
    <w:rsid w:val="00442977"/>
    <w:rsid w:val="00442A04"/>
    <w:rsid w:val="00442CD6"/>
    <w:rsid w:val="00442D0F"/>
    <w:rsid w:val="0044346F"/>
    <w:rsid w:val="00445F31"/>
    <w:rsid w:val="00446116"/>
    <w:rsid w:val="00447AC7"/>
    <w:rsid w:val="00447ADD"/>
    <w:rsid w:val="00452A28"/>
    <w:rsid w:val="0045395E"/>
    <w:rsid w:val="00453FF6"/>
    <w:rsid w:val="00455594"/>
    <w:rsid w:val="004562E9"/>
    <w:rsid w:val="00456422"/>
    <w:rsid w:val="0045680F"/>
    <w:rsid w:val="0046151D"/>
    <w:rsid w:val="004625AB"/>
    <w:rsid w:val="00463369"/>
    <w:rsid w:val="00464A5D"/>
    <w:rsid w:val="0046520A"/>
    <w:rsid w:val="00465AE2"/>
    <w:rsid w:val="00466946"/>
    <w:rsid w:val="004671C9"/>
    <w:rsid w:val="004672AB"/>
    <w:rsid w:val="00467CEC"/>
    <w:rsid w:val="004714FE"/>
    <w:rsid w:val="00472697"/>
    <w:rsid w:val="0047270E"/>
    <w:rsid w:val="00472E2B"/>
    <w:rsid w:val="00474368"/>
    <w:rsid w:val="0047504F"/>
    <w:rsid w:val="00476ED7"/>
    <w:rsid w:val="00477BAA"/>
    <w:rsid w:val="00485BAC"/>
    <w:rsid w:val="00490D75"/>
    <w:rsid w:val="00492B57"/>
    <w:rsid w:val="00495053"/>
    <w:rsid w:val="004A1016"/>
    <w:rsid w:val="004A1F59"/>
    <w:rsid w:val="004A29BE"/>
    <w:rsid w:val="004A3225"/>
    <w:rsid w:val="004A33EE"/>
    <w:rsid w:val="004A3AA8"/>
    <w:rsid w:val="004A44CB"/>
    <w:rsid w:val="004A4CF9"/>
    <w:rsid w:val="004A7837"/>
    <w:rsid w:val="004B074C"/>
    <w:rsid w:val="004B13C7"/>
    <w:rsid w:val="004B2D2F"/>
    <w:rsid w:val="004B2E96"/>
    <w:rsid w:val="004B3BAB"/>
    <w:rsid w:val="004B6DA6"/>
    <w:rsid w:val="004B778F"/>
    <w:rsid w:val="004C0609"/>
    <w:rsid w:val="004C336A"/>
    <w:rsid w:val="004C39F1"/>
    <w:rsid w:val="004C3CB7"/>
    <w:rsid w:val="004C4757"/>
    <w:rsid w:val="004C639F"/>
    <w:rsid w:val="004D141F"/>
    <w:rsid w:val="004D1FD9"/>
    <w:rsid w:val="004D2742"/>
    <w:rsid w:val="004D2A33"/>
    <w:rsid w:val="004D33B0"/>
    <w:rsid w:val="004D574D"/>
    <w:rsid w:val="004D6310"/>
    <w:rsid w:val="004D6BA1"/>
    <w:rsid w:val="004E0062"/>
    <w:rsid w:val="004E05A1"/>
    <w:rsid w:val="004E1600"/>
    <w:rsid w:val="004E1F19"/>
    <w:rsid w:val="004E3735"/>
    <w:rsid w:val="004E73F0"/>
    <w:rsid w:val="004F472A"/>
    <w:rsid w:val="004F5E57"/>
    <w:rsid w:val="004F623F"/>
    <w:rsid w:val="004F6710"/>
    <w:rsid w:val="00500C3E"/>
    <w:rsid w:val="00500CD4"/>
    <w:rsid w:val="0050150B"/>
    <w:rsid w:val="005015BA"/>
    <w:rsid w:val="00502849"/>
    <w:rsid w:val="005035F4"/>
    <w:rsid w:val="00504334"/>
    <w:rsid w:val="0050498D"/>
    <w:rsid w:val="005104D7"/>
    <w:rsid w:val="00510B9E"/>
    <w:rsid w:val="00513ACE"/>
    <w:rsid w:val="0051442C"/>
    <w:rsid w:val="005164CB"/>
    <w:rsid w:val="005174FB"/>
    <w:rsid w:val="00517D23"/>
    <w:rsid w:val="00521203"/>
    <w:rsid w:val="005246F9"/>
    <w:rsid w:val="00530B9B"/>
    <w:rsid w:val="0053565B"/>
    <w:rsid w:val="005364CE"/>
    <w:rsid w:val="00536BC2"/>
    <w:rsid w:val="00540C28"/>
    <w:rsid w:val="00541161"/>
    <w:rsid w:val="005425E1"/>
    <w:rsid w:val="005427C5"/>
    <w:rsid w:val="00542CF6"/>
    <w:rsid w:val="00542D2B"/>
    <w:rsid w:val="00543239"/>
    <w:rsid w:val="00543B5A"/>
    <w:rsid w:val="00544BAF"/>
    <w:rsid w:val="00544C02"/>
    <w:rsid w:val="0054530B"/>
    <w:rsid w:val="00546158"/>
    <w:rsid w:val="005464CB"/>
    <w:rsid w:val="005466E6"/>
    <w:rsid w:val="00546EBF"/>
    <w:rsid w:val="00547506"/>
    <w:rsid w:val="00550A0F"/>
    <w:rsid w:val="00550F6B"/>
    <w:rsid w:val="00553C03"/>
    <w:rsid w:val="00554817"/>
    <w:rsid w:val="00560DDA"/>
    <w:rsid w:val="00561EC4"/>
    <w:rsid w:val="00563692"/>
    <w:rsid w:val="00565118"/>
    <w:rsid w:val="005708F9"/>
    <w:rsid w:val="00571679"/>
    <w:rsid w:val="00571695"/>
    <w:rsid w:val="00575D70"/>
    <w:rsid w:val="00576436"/>
    <w:rsid w:val="00576D44"/>
    <w:rsid w:val="00580304"/>
    <w:rsid w:val="0058171B"/>
    <w:rsid w:val="00582924"/>
    <w:rsid w:val="0058304E"/>
    <w:rsid w:val="005832B2"/>
    <w:rsid w:val="00584235"/>
    <w:rsid w:val="005844E7"/>
    <w:rsid w:val="0058544C"/>
    <w:rsid w:val="0058656C"/>
    <w:rsid w:val="00587613"/>
    <w:rsid w:val="00590276"/>
    <w:rsid w:val="005908B8"/>
    <w:rsid w:val="00591D50"/>
    <w:rsid w:val="00591D7E"/>
    <w:rsid w:val="0059203F"/>
    <w:rsid w:val="0059339E"/>
    <w:rsid w:val="005945D5"/>
    <w:rsid w:val="005949AE"/>
    <w:rsid w:val="0059512E"/>
    <w:rsid w:val="00597DC3"/>
    <w:rsid w:val="005A1135"/>
    <w:rsid w:val="005A17EC"/>
    <w:rsid w:val="005A411A"/>
    <w:rsid w:val="005A50A9"/>
    <w:rsid w:val="005A6DA6"/>
    <w:rsid w:val="005A6DD2"/>
    <w:rsid w:val="005A7CCA"/>
    <w:rsid w:val="005B007A"/>
    <w:rsid w:val="005B2336"/>
    <w:rsid w:val="005B23DC"/>
    <w:rsid w:val="005B4756"/>
    <w:rsid w:val="005B5A10"/>
    <w:rsid w:val="005B5B0E"/>
    <w:rsid w:val="005B790D"/>
    <w:rsid w:val="005C385D"/>
    <w:rsid w:val="005C641C"/>
    <w:rsid w:val="005C67D3"/>
    <w:rsid w:val="005D23BE"/>
    <w:rsid w:val="005D3B20"/>
    <w:rsid w:val="005D43F8"/>
    <w:rsid w:val="005D71B7"/>
    <w:rsid w:val="005E1044"/>
    <w:rsid w:val="005E1A05"/>
    <w:rsid w:val="005E1A3F"/>
    <w:rsid w:val="005E3DAD"/>
    <w:rsid w:val="005E4759"/>
    <w:rsid w:val="005E5243"/>
    <w:rsid w:val="005E5C68"/>
    <w:rsid w:val="005E65C0"/>
    <w:rsid w:val="005E7835"/>
    <w:rsid w:val="005F0390"/>
    <w:rsid w:val="005F1BC6"/>
    <w:rsid w:val="005F26CD"/>
    <w:rsid w:val="005F2CD5"/>
    <w:rsid w:val="005F47A9"/>
    <w:rsid w:val="005F69A1"/>
    <w:rsid w:val="00602926"/>
    <w:rsid w:val="00603021"/>
    <w:rsid w:val="00605A00"/>
    <w:rsid w:val="00605BD9"/>
    <w:rsid w:val="0060682D"/>
    <w:rsid w:val="006072CD"/>
    <w:rsid w:val="00610820"/>
    <w:rsid w:val="00610BAE"/>
    <w:rsid w:val="00610F83"/>
    <w:rsid w:val="006116DF"/>
    <w:rsid w:val="00612023"/>
    <w:rsid w:val="00612AD1"/>
    <w:rsid w:val="00613F19"/>
    <w:rsid w:val="00614190"/>
    <w:rsid w:val="006153DB"/>
    <w:rsid w:val="00616BEB"/>
    <w:rsid w:val="00616E63"/>
    <w:rsid w:val="00621197"/>
    <w:rsid w:val="0062129A"/>
    <w:rsid w:val="00621414"/>
    <w:rsid w:val="00622A99"/>
    <w:rsid w:val="00622E67"/>
    <w:rsid w:val="00624552"/>
    <w:rsid w:val="00625093"/>
    <w:rsid w:val="00626B57"/>
    <w:rsid w:val="00626EDC"/>
    <w:rsid w:val="00626FC8"/>
    <w:rsid w:val="006306EC"/>
    <w:rsid w:val="006316CF"/>
    <w:rsid w:val="00632731"/>
    <w:rsid w:val="00632DA6"/>
    <w:rsid w:val="0063523F"/>
    <w:rsid w:val="00635B8A"/>
    <w:rsid w:val="006409AA"/>
    <w:rsid w:val="006452D3"/>
    <w:rsid w:val="006454E1"/>
    <w:rsid w:val="006470EC"/>
    <w:rsid w:val="00647BBF"/>
    <w:rsid w:val="006503C5"/>
    <w:rsid w:val="00651D93"/>
    <w:rsid w:val="0065361C"/>
    <w:rsid w:val="00653B26"/>
    <w:rsid w:val="006542D6"/>
    <w:rsid w:val="006545CE"/>
    <w:rsid w:val="006558E2"/>
    <w:rsid w:val="0065598E"/>
    <w:rsid w:val="00655AF2"/>
    <w:rsid w:val="00655BC5"/>
    <w:rsid w:val="006568BE"/>
    <w:rsid w:val="00657332"/>
    <w:rsid w:val="0066025D"/>
    <w:rsid w:val="0066091A"/>
    <w:rsid w:val="0067053E"/>
    <w:rsid w:val="006705EA"/>
    <w:rsid w:val="00673E00"/>
    <w:rsid w:val="006749F5"/>
    <w:rsid w:val="00675B2C"/>
    <w:rsid w:val="00677175"/>
    <w:rsid w:val="006773EC"/>
    <w:rsid w:val="006778EE"/>
    <w:rsid w:val="00680504"/>
    <w:rsid w:val="00681CD9"/>
    <w:rsid w:val="00683E30"/>
    <w:rsid w:val="00684780"/>
    <w:rsid w:val="00685FFB"/>
    <w:rsid w:val="006862D0"/>
    <w:rsid w:val="00687024"/>
    <w:rsid w:val="00690492"/>
    <w:rsid w:val="00690D63"/>
    <w:rsid w:val="00690EDF"/>
    <w:rsid w:val="0069212F"/>
    <w:rsid w:val="00692669"/>
    <w:rsid w:val="006956AD"/>
    <w:rsid w:val="00695E22"/>
    <w:rsid w:val="006A2DCA"/>
    <w:rsid w:val="006A2F6D"/>
    <w:rsid w:val="006A2F83"/>
    <w:rsid w:val="006A319F"/>
    <w:rsid w:val="006A47FD"/>
    <w:rsid w:val="006A7C3E"/>
    <w:rsid w:val="006B2DFE"/>
    <w:rsid w:val="006B4242"/>
    <w:rsid w:val="006B4A12"/>
    <w:rsid w:val="006B4BA8"/>
    <w:rsid w:val="006B4EB2"/>
    <w:rsid w:val="006B6A3B"/>
    <w:rsid w:val="006B7093"/>
    <w:rsid w:val="006B7417"/>
    <w:rsid w:val="006C1162"/>
    <w:rsid w:val="006C54E4"/>
    <w:rsid w:val="006C5B2C"/>
    <w:rsid w:val="006D31F9"/>
    <w:rsid w:val="006D3691"/>
    <w:rsid w:val="006D431F"/>
    <w:rsid w:val="006D453E"/>
    <w:rsid w:val="006D586B"/>
    <w:rsid w:val="006D5A48"/>
    <w:rsid w:val="006D7961"/>
    <w:rsid w:val="006E2BD8"/>
    <w:rsid w:val="006E2D34"/>
    <w:rsid w:val="006E3E4D"/>
    <w:rsid w:val="006E4ABA"/>
    <w:rsid w:val="006E5ED6"/>
    <w:rsid w:val="006E5EF0"/>
    <w:rsid w:val="006E783C"/>
    <w:rsid w:val="006F0B1D"/>
    <w:rsid w:val="006F0F89"/>
    <w:rsid w:val="006F289A"/>
    <w:rsid w:val="006F3563"/>
    <w:rsid w:val="006F42B9"/>
    <w:rsid w:val="006F4982"/>
    <w:rsid w:val="006F4C5C"/>
    <w:rsid w:val="006F5542"/>
    <w:rsid w:val="006F6103"/>
    <w:rsid w:val="006F7FB9"/>
    <w:rsid w:val="00700336"/>
    <w:rsid w:val="007006CD"/>
    <w:rsid w:val="0070250A"/>
    <w:rsid w:val="007026DB"/>
    <w:rsid w:val="00704E00"/>
    <w:rsid w:val="007109C8"/>
    <w:rsid w:val="00711A76"/>
    <w:rsid w:val="00711BA3"/>
    <w:rsid w:val="007131E2"/>
    <w:rsid w:val="007209E7"/>
    <w:rsid w:val="0072193D"/>
    <w:rsid w:val="00721A8D"/>
    <w:rsid w:val="0072561D"/>
    <w:rsid w:val="00725809"/>
    <w:rsid w:val="00725D29"/>
    <w:rsid w:val="00726182"/>
    <w:rsid w:val="00727635"/>
    <w:rsid w:val="0072784C"/>
    <w:rsid w:val="00732329"/>
    <w:rsid w:val="00732D2A"/>
    <w:rsid w:val="007337CA"/>
    <w:rsid w:val="007344F3"/>
    <w:rsid w:val="00734CE4"/>
    <w:rsid w:val="00735123"/>
    <w:rsid w:val="00736AD7"/>
    <w:rsid w:val="00737047"/>
    <w:rsid w:val="00737D8C"/>
    <w:rsid w:val="007406D6"/>
    <w:rsid w:val="00741837"/>
    <w:rsid w:val="007453E6"/>
    <w:rsid w:val="00746E51"/>
    <w:rsid w:val="0074776E"/>
    <w:rsid w:val="007503BA"/>
    <w:rsid w:val="00750E39"/>
    <w:rsid w:val="0075342A"/>
    <w:rsid w:val="00755A91"/>
    <w:rsid w:val="00755C19"/>
    <w:rsid w:val="00761E68"/>
    <w:rsid w:val="00762552"/>
    <w:rsid w:val="007639B7"/>
    <w:rsid w:val="007650CD"/>
    <w:rsid w:val="007652A5"/>
    <w:rsid w:val="0076546F"/>
    <w:rsid w:val="007655B8"/>
    <w:rsid w:val="0076574F"/>
    <w:rsid w:val="007657F9"/>
    <w:rsid w:val="00766CDA"/>
    <w:rsid w:val="00767E0D"/>
    <w:rsid w:val="00770453"/>
    <w:rsid w:val="007721F8"/>
    <w:rsid w:val="00772512"/>
    <w:rsid w:val="00772842"/>
    <w:rsid w:val="0077309D"/>
    <w:rsid w:val="00775409"/>
    <w:rsid w:val="007761DD"/>
    <w:rsid w:val="007774EE"/>
    <w:rsid w:val="00781822"/>
    <w:rsid w:val="00782041"/>
    <w:rsid w:val="00783D82"/>
    <w:rsid w:val="00783F03"/>
    <w:rsid w:val="00783F21"/>
    <w:rsid w:val="00787159"/>
    <w:rsid w:val="0078722B"/>
    <w:rsid w:val="00787C96"/>
    <w:rsid w:val="0079043A"/>
    <w:rsid w:val="00791668"/>
    <w:rsid w:val="00791AA1"/>
    <w:rsid w:val="00794B3B"/>
    <w:rsid w:val="00794C9F"/>
    <w:rsid w:val="00795DFB"/>
    <w:rsid w:val="007A14FB"/>
    <w:rsid w:val="007A3793"/>
    <w:rsid w:val="007A49DA"/>
    <w:rsid w:val="007A5F52"/>
    <w:rsid w:val="007B452C"/>
    <w:rsid w:val="007B4D38"/>
    <w:rsid w:val="007B5047"/>
    <w:rsid w:val="007B560F"/>
    <w:rsid w:val="007B5C28"/>
    <w:rsid w:val="007B683B"/>
    <w:rsid w:val="007B6AF4"/>
    <w:rsid w:val="007B757A"/>
    <w:rsid w:val="007C119A"/>
    <w:rsid w:val="007C13A6"/>
    <w:rsid w:val="007C188A"/>
    <w:rsid w:val="007C1BA2"/>
    <w:rsid w:val="007C2B48"/>
    <w:rsid w:val="007C529A"/>
    <w:rsid w:val="007D20E9"/>
    <w:rsid w:val="007D3FCE"/>
    <w:rsid w:val="007D47E7"/>
    <w:rsid w:val="007D504A"/>
    <w:rsid w:val="007D5346"/>
    <w:rsid w:val="007D679A"/>
    <w:rsid w:val="007D7881"/>
    <w:rsid w:val="007D7E3A"/>
    <w:rsid w:val="007E0E10"/>
    <w:rsid w:val="007E11A1"/>
    <w:rsid w:val="007E37EA"/>
    <w:rsid w:val="007E4768"/>
    <w:rsid w:val="007E6395"/>
    <w:rsid w:val="007E777B"/>
    <w:rsid w:val="007F2070"/>
    <w:rsid w:val="007F3028"/>
    <w:rsid w:val="007F63C1"/>
    <w:rsid w:val="007F72A6"/>
    <w:rsid w:val="00801E87"/>
    <w:rsid w:val="0080448D"/>
    <w:rsid w:val="008053F5"/>
    <w:rsid w:val="00807AF7"/>
    <w:rsid w:val="00810198"/>
    <w:rsid w:val="00811739"/>
    <w:rsid w:val="00813051"/>
    <w:rsid w:val="00815DA8"/>
    <w:rsid w:val="008166C2"/>
    <w:rsid w:val="008171A3"/>
    <w:rsid w:val="00817B4C"/>
    <w:rsid w:val="008212B8"/>
    <w:rsid w:val="0082194D"/>
    <w:rsid w:val="00821ED7"/>
    <w:rsid w:val="008221F9"/>
    <w:rsid w:val="00822F84"/>
    <w:rsid w:val="00823B15"/>
    <w:rsid w:val="0082592F"/>
    <w:rsid w:val="00826EF5"/>
    <w:rsid w:val="00826FBB"/>
    <w:rsid w:val="00827588"/>
    <w:rsid w:val="008315F3"/>
    <w:rsid w:val="00831693"/>
    <w:rsid w:val="00833453"/>
    <w:rsid w:val="00834E41"/>
    <w:rsid w:val="00840104"/>
    <w:rsid w:val="00840C1F"/>
    <w:rsid w:val="008411C9"/>
    <w:rsid w:val="00841FC5"/>
    <w:rsid w:val="00843D0F"/>
    <w:rsid w:val="00844062"/>
    <w:rsid w:val="00844678"/>
    <w:rsid w:val="00845508"/>
    <w:rsid w:val="00845709"/>
    <w:rsid w:val="00845805"/>
    <w:rsid w:val="00846401"/>
    <w:rsid w:val="008470A9"/>
    <w:rsid w:val="00847128"/>
    <w:rsid w:val="00847494"/>
    <w:rsid w:val="0084756B"/>
    <w:rsid w:val="00850191"/>
    <w:rsid w:val="00851423"/>
    <w:rsid w:val="0085395F"/>
    <w:rsid w:val="008557C9"/>
    <w:rsid w:val="00855B3F"/>
    <w:rsid w:val="00856F16"/>
    <w:rsid w:val="008576BD"/>
    <w:rsid w:val="00860463"/>
    <w:rsid w:val="00860E5B"/>
    <w:rsid w:val="00861E0C"/>
    <w:rsid w:val="0086450A"/>
    <w:rsid w:val="0086712E"/>
    <w:rsid w:val="00871DD8"/>
    <w:rsid w:val="00872636"/>
    <w:rsid w:val="00872FAA"/>
    <w:rsid w:val="008733DA"/>
    <w:rsid w:val="0087412A"/>
    <w:rsid w:val="00876EF8"/>
    <w:rsid w:val="00877B3E"/>
    <w:rsid w:val="00881F91"/>
    <w:rsid w:val="008835A3"/>
    <w:rsid w:val="008850E4"/>
    <w:rsid w:val="00886CC6"/>
    <w:rsid w:val="008939AB"/>
    <w:rsid w:val="00895A57"/>
    <w:rsid w:val="0089693E"/>
    <w:rsid w:val="008970EB"/>
    <w:rsid w:val="008A12F5"/>
    <w:rsid w:val="008A1CFD"/>
    <w:rsid w:val="008A4D24"/>
    <w:rsid w:val="008A4EDE"/>
    <w:rsid w:val="008A5B4B"/>
    <w:rsid w:val="008B0058"/>
    <w:rsid w:val="008B1587"/>
    <w:rsid w:val="008B1779"/>
    <w:rsid w:val="008B1B01"/>
    <w:rsid w:val="008B26E6"/>
    <w:rsid w:val="008B3BCD"/>
    <w:rsid w:val="008B3C77"/>
    <w:rsid w:val="008B5F66"/>
    <w:rsid w:val="008B6145"/>
    <w:rsid w:val="008B6DF8"/>
    <w:rsid w:val="008C106C"/>
    <w:rsid w:val="008C10F1"/>
    <w:rsid w:val="008C1926"/>
    <w:rsid w:val="008C1E99"/>
    <w:rsid w:val="008C5FE8"/>
    <w:rsid w:val="008C6280"/>
    <w:rsid w:val="008D3553"/>
    <w:rsid w:val="008D3BC8"/>
    <w:rsid w:val="008D5BDA"/>
    <w:rsid w:val="008D5EF4"/>
    <w:rsid w:val="008D628D"/>
    <w:rsid w:val="008D68AC"/>
    <w:rsid w:val="008D6F8D"/>
    <w:rsid w:val="008D7097"/>
    <w:rsid w:val="008E0085"/>
    <w:rsid w:val="008E14DF"/>
    <w:rsid w:val="008E196B"/>
    <w:rsid w:val="008E19F1"/>
    <w:rsid w:val="008E2AA6"/>
    <w:rsid w:val="008E311B"/>
    <w:rsid w:val="008E35AD"/>
    <w:rsid w:val="008E430D"/>
    <w:rsid w:val="008E5866"/>
    <w:rsid w:val="008E6BD7"/>
    <w:rsid w:val="008E77DB"/>
    <w:rsid w:val="008F03AA"/>
    <w:rsid w:val="008F32BD"/>
    <w:rsid w:val="008F3EBD"/>
    <w:rsid w:val="008F4128"/>
    <w:rsid w:val="008F46E7"/>
    <w:rsid w:val="008F520C"/>
    <w:rsid w:val="008F64CA"/>
    <w:rsid w:val="008F6F0B"/>
    <w:rsid w:val="008F7E4B"/>
    <w:rsid w:val="0090108E"/>
    <w:rsid w:val="0090152F"/>
    <w:rsid w:val="00902C5C"/>
    <w:rsid w:val="00904546"/>
    <w:rsid w:val="009048C9"/>
    <w:rsid w:val="009048F6"/>
    <w:rsid w:val="00907BA7"/>
    <w:rsid w:val="0091064E"/>
    <w:rsid w:val="00910BDA"/>
    <w:rsid w:val="00911C11"/>
    <w:rsid w:val="00911FC5"/>
    <w:rsid w:val="00912011"/>
    <w:rsid w:val="009124C6"/>
    <w:rsid w:val="00912FA0"/>
    <w:rsid w:val="0091356B"/>
    <w:rsid w:val="00915112"/>
    <w:rsid w:val="0091577C"/>
    <w:rsid w:val="00915B23"/>
    <w:rsid w:val="009175B9"/>
    <w:rsid w:val="009216E0"/>
    <w:rsid w:val="00925AEF"/>
    <w:rsid w:val="00930887"/>
    <w:rsid w:val="00931A10"/>
    <w:rsid w:val="00932112"/>
    <w:rsid w:val="0093386C"/>
    <w:rsid w:val="00934047"/>
    <w:rsid w:val="00934930"/>
    <w:rsid w:val="0093712F"/>
    <w:rsid w:val="00940F2F"/>
    <w:rsid w:val="00944A6F"/>
    <w:rsid w:val="00945956"/>
    <w:rsid w:val="00945F8D"/>
    <w:rsid w:val="00946A97"/>
    <w:rsid w:val="00947967"/>
    <w:rsid w:val="009534A3"/>
    <w:rsid w:val="00953C9F"/>
    <w:rsid w:val="00954C0F"/>
    <w:rsid w:val="00955201"/>
    <w:rsid w:val="0095647F"/>
    <w:rsid w:val="009573E5"/>
    <w:rsid w:val="009578EF"/>
    <w:rsid w:val="00961F92"/>
    <w:rsid w:val="0096245B"/>
    <w:rsid w:val="00965200"/>
    <w:rsid w:val="009668B3"/>
    <w:rsid w:val="00970EE0"/>
    <w:rsid w:val="00970F43"/>
    <w:rsid w:val="00971471"/>
    <w:rsid w:val="00973F56"/>
    <w:rsid w:val="009740C8"/>
    <w:rsid w:val="00974AA5"/>
    <w:rsid w:val="00974B75"/>
    <w:rsid w:val="00974EBB"/>
    <w:rsid w:val="00975CEC"/>
    <w:rsid w:val="009779A0"/>
    <w:rsid w:val="009801C3"/>
    <w:rsid w:val="00981CCC"/>
    <w:rsid w:val="009849C2"/>
    <w:rsid w:val="00984D24"/>
    <w:rsid w:val="009858DA"/>
    <w:rsid w:val="009858EB"/>
    <w:rsid w:val="00985AEE"/>
    <w:rsid w:val="00985F76"/>
    <w:rsid w:val="009865A9"/>
    <w:rsid w:val="009869CB"/>
    <w:rsid w:val="00991C7A"/>
    <w:rsid w:val="00991F84"/>
    <w:rsid w:val="00994DB2"/>
    <w:rsid w:val="0099576B"/>
    <w:rsid w:val="009A3F47"/>
    <w:rsid w:val="009A79A7"/>
    <w:rsid w:val="009B0046"/>
    <w:rsid w:val="009B5EDD"/>
    <w:rsid w:val="009B7203"/>
    <w:rsid w:val="009B7F29"/>
    <w:rsid w:val="009C1440"/>
    <w:rsid w:val="009C1648"/>
    <w:rsid w:val="009C2107"/>
    <w:rsid w:val="009C5295"/>
    <w:rsid w:val="009C53B8"/>
    <w:rsid w:val="009C5912"/>
    <w:rsid w:val="009C5D9E"/>
    <w:rsid w:val="009C6A33"/>
    <w:rsid w:val="009C7971"/>
    <w:rsid w:val="009D0073"/>
    <w:rsid w:val="009D09ED"/>
    <w:rsid w:val="009D2C3E"/>
    <w:rsid w:val="009D4731"/>
    <w:rsid w:val="009D6997"/>
    <w:rsid w:val="009E02E0"/>
    <w:rsid w:val="009E04BB"/>
    <w:rsid w:val="009E0625"/>
    <w:rsid w:val="009E189B"/>
    <w:rsid w:val="009E2148"/>
    <w:rsid w:val="009E3034"/>
    <w:rsid w:val="009E32DE"/>
    <w:rsid w:val="009E36CB"/>
    <w:rsid w:val="009E549F"/>
    <w:rsid w:val="009E6BB0"/>
    <w:rsid w:val="009E6CFC"/>
    <w:rsid w:val="009E7F38"/>
    <w:rsid w:val="009F0263"/>
    <w:rsid w:val="009F28A8"/>
    <w:rsid w:val="009F430A"/>
    <w:rsid w:val="009F473E"/>
    <w:rsid w:val="009F5247"/>
    <w:rsid w:val="009F61DC"/>
    <w:rsid w:val="009F682A"/>
    <w:rsid w:val="00A0057E"/>
    <w:rsid w:val="00A012C7"/>
    <w:rsid w:val="00A022BE"/>
    <w:rsid w:val="00A04596"/>
    <w:rsid w:val="00A061FE"/>
    <w:rsid w:val="00A07AB1"/>
    <w:rsid w:val="00A07B4B"/>
    <w:rsid w:val="00A11D1A"/>
    <w:rsid w:val="00A13031"/>
    <w:rsid w:val="00A14550"/>
    <w:rsid w:val="00A15EFD"/>
    <w:rsid w:val="00A20C27"/>
    <w:rsid w:val="00A21006"/>
    <w:rsid w:val="00A24491"/>
    <w:rsid w:val="00A24C95"/>
    <w:rsid w:val="00A2599A"/>
    <w:rsid w:val="00A26094"/>
    <w:rsid w:val="00A2649B"/>
    <w:rsid w:val="00A273BA"/>
    <w:rsid w:val="00A27D7B"/>
    <w:rsid w:val="00A301BF"/>
    <w:rsid w:val="00A302B2"/>
    <w:rsid w:val="00A31E37"/>
    <w:rsid w:val="00A32178"/>
    <w:rsid w:val="00A32BC8"/>
    <w:rsid w:val="00A331B4"/>
    <w:rsid w:val="00A339B1"/>
    <w:rsid w:val="00A33E9D"/>
    <w:rsid w:val="00A3484E"/>
    <w:rsid w:val="00A352BE"/>
    <w:rsid w:val="00A356D3"/>
    <w:rsid w:val="00A35E22"/>
    <w:rsid w:val="00A36ADA"/>
    <w:rsid w:val="00A37C4D"/>
    <w:rsid w:val="00A41939"/>
    <w:rsid w:val="00A438D8"/>
    <w:rsid w:val="00A4402A"/>
    <w:rsid w:val="00A444E9"/>
    <w:rsid w:val="00A44AE8"/>
    <w:rsid w:val="00A4513D"/>
    <w:rsid w:val="00A45C16"/>
    <w:rsid w:val="00A473F5"/>
    <w:rsid w:val="00A51F9D"/>
    <w:rsid w:val="00A53710"/>
    <w:rsid w:val="00A53780"/>
    <w:rsid w:val="00A53F95"/>
    <w:rsid w:val="00A5416A"/>
    <w:rsid w:val="00A55699"/>
    <w:rsid w:val="00A57453"/>
    <w:rsid w:val="00A617E9"/>
    <w:rsid w:val="00A61A0E"/>
    <w:rsid w:val="00A61FB0"/>
    <w:rsid w:val="00A62612"/>
    <w:rsid w:val="00A639F4"/>
    <w:rsid w:val="00A65864"/>
    <w:rsid w:val="00A65FAE"/>
    <w:rsid w:val="00A670D9"/>
    <w:rsid w:val="00A7228F"/>
    <w:rsid w:val="00A731A0"/>
    <w:rsid w:val="00A74AD8"/>
    <w:rsid w:val="00A7674E"/>
    <w:rsid w:val="00A76ABA"/>
    <w:rsid w:val="00A777D2"/>
    <w:rsid w:val="00A81A32"/>
    <w:rsid w:val="00A835BD"/>
    <w:rsid w:val="00A8488B"/>
    <w:rsid w:val="00A84AA5"/>
    <w:rsid w:val="00A85134"/>
    <w:rsid w:val="00A87DDA"/>
    <w:rsid w:val="00A90005"/>
    <w:rsid w:val="00A906E8"/>
    <w:rsid w:val="00A9183B"/>
    <w:rsid w:val="00A948B6"/>
    <w:rsid w:val="00A95A01"/>
    <w:rsid w:val="00A97B15"/>
    <w:rsid w:val="00AA0D1A"/>
    <w:rsid w:val="00AA0EDF"/>
    <w:rsid w:val="00AA3DCA"/>
    <w:rsid w:val="00AA3DE4"/>
    <w:rsid w:val="00AA3DE6"/>
    <w:rsid w:val="00AA42D5"/>
    <w:rsid w:val="00AA433E"/>
    <w:rsid w:val="00AA43C5"/>
    <w:rsid w:val="00AA5338"/>
    <w:rsid w:val="00AA5B44"/>
    <w:rsid w:val="00AA687D"/>
    <w:rsid w:val="00AA75EB"/>
    <w:rsid w:val="00AB08AF"/>
    <w:rsid w:val="00AB29ED"/>
    <w:rsid w:val="00AB2FAB"/>
    <w:rsid w:val="00AB5C14"/>
    <w:rsid w:val="00AB6592"/>
    <w:rsid w:val="00AC089A"/>
    <w:rsid w:val="00AC1EE7"/>
    <w:rsid w:val="00AC333F"/>
    <w:rsid w:val="00AC3DC0"/>
    <w:rsid w:val="00AC585C"/>
    <w:rsid w:val="00AC70B2"/>
    <w:rsid w:val="00AC7517"/>
    <w:rsid w:val="00AC7914"/>
    <w:rsid w:val="00AC7B12"/>
    <w:rsid w:val="00AC7E45"/>
    <w:rsid w:val="00AD1874"/>
    <w:rsid w:val="00AD1925"/>
    <w:rsid w:val="00AD1AE0"/>
    <w:rsid w:val="00AD1DFD"/>
    <w:rsid w:val="00AD2199"/>
    <w:rsid w:val="00AD24E8"/>
    <w:rsid w:val="00AD483F"/>
    <w:rsid w:val="00AD7B53"/>
    <w:rsid w:val="00AE067D"/>
    <w:rsid w:val="00AE09AB"/>
    <w:rsid w:val="00AE0B46"/>
    <w:rsid w:val="00AE7E0F"/>
    <w:rsid w:val="00AF1181"/>
    <w:rsid w:val="00AF1982"/>
    <w:rsid w:val="00AF2457"/>
    <w:rsid w:val="00AF2F79"/>
    <w:rsid w:val="00AF4653"/>
    <w:rsid w:val="00AF6224"/>
    <w:rsid w:val="00AF78EE"/>
    <w:rsid w:val="00AF7DB7"/>
    <w:rsid w:val="00B00365"/>
    <w:rsid w:val="00B01D2F"/>
    <w:rsid w:val="00B052AC"/>
    <w:rsid w:val="00B05E26"/>
    <w:rsid w:val="00B06FA8"/>
    <w:rsid w:val="00B07079"/>
    <w:rsid w:val="00B07B57"/>
    <w:rsid w:val="00B10344"/>
    <w:rsid w:val="00B105D2"/>
    <w:rsid w:val="00B10D02"/>
    <w:rsid w:val="00B1480E"/>
    <w:rsid w:val="00B1493C"/>
    <w:rsid w:val="00B15848"/>
    <w:rsid w:val="00B201E2"/>
    <w:rsid w:val="00B20AF8"/>
    <w:rsid w:val="00B21E29"/>
    <w:rsid w:val="00B2389D"/>
    <w:rsid w:val="00B251FF"/>
    <w:rsid w:val="00B271D8"/>
    <w:rsid w:val="00B274BD"/>
    <w:rsid w:val="00B31C1C"/>
    <w:rsid w:val="00B357DA"/>
    <w:rsid w:val="00B368F4"/>
    <w:rsid w:val="00B372A2"/>
    <w:rsid w:val="00B400D2"/>
    <w:rsid w:val="00B401F2"/>
    <w:rsid w:val="00B41517"/>
    <w:rsid w:val="00B43FBB"/>
    <w:rsid w:val="00B4413C"/>
    <w:rsid w:val="00B443E4"/>
    <w:rsid w:val="00B456EC"/>
    <w:rsid w:val="00B46CC9"/>
    <w:rsid w:val="00B46E4F"/>
    <w:rsid w:val="00B4776E"/>
    <w:rsid w:val="00B5134D"/>
    <w:rsid w:val="00B5264B"/>
    <w:rsid w:val="00B5484D"/>
    <w:rsid w:val="00B563EA"/>
    <w:rsid w:val="00B56CDF"/>
    <w:rsid w:val="00B574EF"/>
    <w:rsid w:val="00B60E51"/>
    <w:rsid w:val="00B62DB1"/>
    <w:rsid w:val="00B63A54"/>
    <w:rsid w:val="00B67C3C"/>
    <w:rsid w:val="00B71EF5"/>
    <w:rsid w:val="00B7442B"/>
    <w:rsid w:val="00B75526"/>
    <w:rsid w:val="00B763F1"/>
    <w:rsid w:val="00B764CE"/>
    <w:rsid w:val="00B76635"/>
    <w:rsid w:val="00B77066"/>
    <w:rsid w:val="00B77947"/>
    <w:rsid w:val="00B77D18"/>
    <w:rsid w:val="00B80B7E"/>
    <w:rsid w:val="00B8313A"/>
    <w:rsid w:val="00B83CFE"/>
    <w:rsid w:val="00B8792B"/>
    <w:rsid w:val="00B91F45"/>
    <w:rsid w:val="00B93503"/>
    <w:rsid w:val="00B9728E"/>
    <w:rsid w:val="00BA2967"/>
    <w:rsid w:val="00BA3156"/>
    <w:rsid w:val="00BA31E8"/>
    <w:rsid w:val="00BA34D0"/>
    <w:rsid w:val="00BA4A44"/>
    <w:rsid w:val="00BA55E0"/>
    <w:rsid w:val="00BA6BD4"/>
    <w:rsid w:val="00BA6C7A"/>
    <w:rsid w:val="00BB17D1"/>
    <w:rsid w:val="00BB3752"/>
    <w:rsid w:val="00BB37C2"/>
    <w:rsid w:val="00BB466A"/>
    <w:rsid w:val="00BB55D5"/>
    <w:rsid w:val="00BB6688"/>
    <w:rsid w:val="00BB6BFC"/>
    <w:rsid w:val="00BB6EB3"/>
    <w:rsid w:val="00BC172D"/>
    <w:rsid w:val="00BC26D4"/>
    <w:rsid w:val="00BC6603"/>
    <w:rsid w:val="00BC7EC8"/>
    <w:rsid w:val="00BD18B4"/>
    <w:rsid w:val="00BD1CD7"/>
    <w:rsid w:val="00BD2BC6"/>
    <w:rsid w:val="00BD6520"/>
    <w:rsid w:val="00BD663C"/>
    <w:rsid w:val="00BD6FC7"/>
    <w:rsid w:val="00BD7A61"/>
    <w:rsid w:val="00BE0C80"/>
    <w:rsid w:val="00BE3F08"/>
    <w:rsid w:val="00BE4928"/>
    <w:rsid w:val="00BE4A82"/>
    <w:rsid w:val="00BE5118"/>
    <w:rsid w:val="00BE5945"/>
    <w:rsid w:val="00BF2A42"/>
    <w:rsid w:val="00BF4446"/>
    <w:rsid w:val="00BF447C"/>
    <w:rsid w:val="00BF77F1"/>
    <w:rsid w:val="00BF7FE6"/>
    <w:rsid w:val="00C0127B"/>
    <w:rsid w:val="00C03D8C"/>
    <w:rsid w:val="00C04129"/>
    <w:rsid w:val="00C055EC"/>
    <w:rsid w:val="00C1025F"/>
    <w:rsid w:val="00C10DC9"/>
    <w:rsid w:val="00C1193C"/>
    <w:rsid w:val="00C12FB3"/>
    <w:rsid w:val="00C171D3"/>
    <w:rsid w:val="00C17341"/>
    <w:rsid w:val="00C212AA"/>
    <w:rsid w:val="00C222FC"/>
    <w:rsid w:val="00C22500"/>
    <w:rsid w:val="00C229CC"/>
    <w:rsid w:val="00C23E24"/>
    <w:rsid w:val="00C24DE5"/>
    <w:rsid w:val="00C24EEF"/>
    <w:rsid w:val="00C24FF3"/>
    <w:rsid w:val="00C25CF6"/>
    <w:rsid w:val="00C26C36"/>
    <w:rsid w:val="00C3116F"/>
    <w:rsid w:val="00C32768"/>
    <w:rsid w:val="00C32F87"/>
    <w:rsid w:val="00C35DA9"/>
    <w:rsid w:val="00C37465"/>
    <w:rsid w:val="00C37E35"/>
    <w:rsid w:val="00C40395"/>
    <w:rsid w:val="00C41482"/>
    <w:rsid w:val="00C41AF6"/>
    <w:rsid w:val="00C4227C"/>
    <w:rsid w:val="00C422D4"/>
    <w:rsid w:val="00C431DF"/>
    <w:rsid w:val="00C44708"/>
    <w:rsid w:val="00C44712"/>
    <w:rsid w:val="00C456BD"/>
    <w:rsid w:val="00C459A9"/>
    <w:rsid w:val="00C460B3"/>
    <w:rsid w:val="00C50983"/>
    <w:rsid w:val="00C51CCB"/>
    <w:rsid w:val="00C51D71"/>
    <w:rsid w:val="00C53062"/>
    <w:rsid w:val="00C530BA"/>
    <w:rsid w:val="00C530DC"/>
    <w:rsid w:val="00C5350D"/>
    <w:rsid w:val="00C55CE5"/>
    <w:rsid w:val="00C55D2F"/>
    <w:rsid w:val="00C6123C"/>
    <w:rsid w:val="00C6311A"/>
    <w:rsid w:val="00C655E3"/>
    <w:rsid w:val="00C65650"/>
    <w:rsid w:val="00C67B43"/>
    <w:rsid w:val="00C7084D"/>
    <w:rsid w:val="00C710F3"/>
    <w:rsid w:val="00C713D6"/>
    <w:rsid w:val="00C71A54"/>
    <w:rsid w:val="00C7278D"/>
    <w:rsid w:val="00C7315E"/>
    <w:rsid w:val="00C75895"/>
    <w:rsid w:val="00C75A08"/>
    <w:rsid w:val="00C8048B"/>
    <w:rsid w:val="00C81E10"/>
    <w:rsid w:val="00C8218A"/>
    <w:rsid w:val="00C826C9"/>
    <w:rsid w:val="00C831AA"/>
    <w:rsid w:val="00C83B83"/>
    <w:rsid w:val="00C83C9F"/>
    <w:rsid w:val="00C8458C"/>
    <w:rsid w:val="00C854C4"/>
    <w:rsid w:val="00C92054"/>
    <w:rsid w:val="00C94840"/>
    <w:rsid w:val="00C9594F"/>
    <w:rsid w:val="00C96133"/>
    <w:rsid w:val="00C967CE"/>
    <w:rsid w:val="00C969CC"/>
    <w:rsid w:val="00CA0B85"/>
    <w:rsid w:val="00CA1D5E"/>
    <w:rsid w:val="00CA2100"/>
    <w:rsid w:val="00CA25A4"/>
    <w:rsid w:val="00CA43FC"/>
    <w:rsid w:val="00CA4EA8"/>
    <w:rsid w:val="00CA4EE3"/>
    <w:rsid w:val="00CA6A32"/>
    <w:rsid w:val="00CB027F"/>
    <w:rsid w:val="00CB1445"/>
    <w:rsid w:val="00CB1D37"/>
    <w:rsid w:val="00CB5578"/>
    <w:rsid w:val="00CB7A49"/>
    <w:rsid w:val="00CC067C"/>
    <w:rsid w:val="00CC0EBB"/>
    <w:rsid w:val="00CC3D15"/>
    <w:rsid w:val="00CC5BF5"/>
    <w:rsid w:val="00CC6297"/>
    <w:rsid w:val="00CC7690"/>
    <w:rsid w:val="00CD0485"/>
    <w:rsid w:val="00CD1986"/>
    <w:rsid w:val="00CD1C07"/>
    <w:rsid w:val="00CD1F4C"/>
    <w:rsid w:val="00CD3D2C"/>
    <w:rsid w:val="00CD45A0"/>
    <w:rsid w:val="00CD46F4"/>
    <w:rsid w:val="00CD54BF"/>
    <w:rsid w:val="00CD6A7A"/>
    <w:rsid w:val="00CE0BCC"/>
    <w:rsid w:val="00CE1339"/>
    <w:rsid w:val="00CE4D5C"/>
    <w:rsid w:val="00CE550B"/>
    <w:rsid w:val="00CE6B0C"/>
    <w:rsid w:val="00CF05DA"/>
    <w:rsid w:val="00CF07E7"/>
    <w:rsid w:val="00CF0CEC"/>
    <w:rsid w:val="00CF194A"/>
    <w:rsid w:val="00CF58EB"/>
    <w:rsid w:val="00CF5F11"/>
    <w:rsid w:val="00CF6FEC"/>
    <w:rsid w:val="00CF7BD2"/>
    <w:rsid w:val="00D0106E"/>
    <w:rsid w:val="00D0143C"/>
    <w:rsid w:val="00D03EE9"/>
    <w:rsid w:val="00D044C5"/>
    <w:rsid w:val="00D06383"/>
    <w:rsid w:val="00D071FC"/>
    <w:rsid w:val="00D10410"/>
    <w:rsid w:val="00D117DE"/>
    <w:rsid w:val="00D11A8D"/>
    <w:rsid w:val="00D149A7"/>
    <w:rsid w:val="00D15B60"/>
    <w:rsid w:val="00D20E85"/>
    <w:rsid w:val="00D21AEE"/>
    <w:rsid w:val="00D21B5C"/>
    <w:rsid w:val="00D221F8"/>
    <w:rsid w:val="00D2331A"/>
    <w:rsid w:val="00D24615"/>
    <w:rsid w:val="00D2612D"/>
    <w:rsid w:val="00D33058"/>
    <w:rsid w:val="00D37842"/>
    <w:rsid w:val="00D37B90"/>
    <w:rsid w:val="00D40079"/>
    <w:rsid w:val="00D411F1"/>
    <w:rsid w:val="00D425F8"/>
    <w:rsid w:val="00D42DC2"/>
    <w:rsid w:val="00D4302B"/>
    <w:rsid w:val="00D4452E"/>
    <w:rsid w:val="00D47FE8"/>
    <w:rsid w:val="00D52AAD"/>
    <w:rsid w:val="00D52D61"/>
    <w:rsid w:val="00D537E1"/>
    <w:rsid w:val="00D54C5A"/>
    <w:rsid w:val="00D5583D"/>
    <w:rsid w:val="00D55BB2"/>
    <w:rsid w:val="00D56E00"/>
    <w:rsid w:val="00D578A7"/>
    <w:rsid w:val="00D6091A"/>
    <w:rsid w:val="00D60B62"/>
    <w:rsid w:val="00D6215A"/>
    <w:rsid w:val="00D62E8A"/>
    <w:rsid w:val="00D6605A"/>
    <w:rsid w:val="00D6610B"/>
    <w:rsid w:val="00D668FA"/>
    <w:rsid w:val="00D6695F"/>
    <w:rsid w:val="00D66962"/>
    <w:rsid w:val="00D713D8"/>
    <w:rsid w:val="00D75644"/>
    <w:rsid w:val="00D76631"/>
    <w:rsid w:val="00D777B9"/>
    <w:rsid w:val="00D8146F"/>
    <w:rsid w:val="00D81656"/>
    <w:rsid w:val="00D8245F"/>
    <w:rsid w:val="00D83D87"/>
    <w:rsid w:val="00D847A8"/>
    <w:rsid w:val="00D849A3"/>
    <w:rsid w:val="00D84A6D"/>
    <w:rsid w:val="00D86A30"/>
    <w:rsid w:val="00D86B36"/>
    <w:rsid w:val="00D91542"/>
    <w:rsid w:val="00D93BFA"/>
    <w:rsid w:val="00D9526C"/>
    <w:rsid w:val="00D9712B"/>
    <w:rsid w:val="00D9744F"/>
    <w:rsid w:val="00D97CB4"/>
    <w:rsid w:val="00D97DD4"/>
    <w:rsid w:val="00DA1466"/>
    <w:rsid w:val="00DA2485"/>
    <w:rsid w:val="00DA315E"/>
    <w:rsid w:val="00DA5A8A"/>
    <w:rsid w:val="00DA6CD8"/>
    <w:rsid w:val="00DB1170"/>
    <w:rsid w:val="00DB2582"/>
    <w:rsid w:val="00DB26CD"/>
    <w:rsid w:val="00DB30BF"/>
    <w:rsid w:val="00DB441C"/>
    <w:rsid w:val="00DB44AF"/>
    <w:rsid w:val="00DB6860"/>
    <w:rsid w:val="00DC0C7C"/>
    <w:rsid w:val="00DC1F58"/>
    <w:rsid w:val="00DC339B"/>
    <w:rsid w:val="00DC373B"/>
    <w:rsid w:val="00DC5D40"/>
    <w:rsid w:val="00DC69A7"/>
    <w:rsid w:val="00DC70B2"/>
    <w:rsid w:val="00DD30E9"/>
    <w:rsid w:val="00DD4A05"/>
    <w:rsid w:val="00DD4F47"/>
    <w:rsid w:val="00DD5879"/>
    <w:rsid w:val="00DD61A0"/>
    <w:rsid w:val="00DD6F44"/>
    <w:rsid w:val="00DD7FBB"/>
    <w:rsid w:val="00DE07E6"/>
    <w:rsid w:val="00DE0B9F"/>
    <w:rsid w:val="00DE2A9E"/>
    <w:rsid w:val="00DE4238"/>
    <w:rsid w:val="00DE4B59"/>
    <w:rsid w:val="00DE657F"/>
    <w:rsid w:val="00DE6BB3"/>
    <w:rsid w:val="00DF1218"/>
    <w:rsid w:val="00DF1497"/>
    <w:rsid w:val="00DF35E4"/>
    <w:rsid w:val="00DF4142"/>
    <w:rsid w:val="00DF4679"/>
    <w:rsid w:val="00DF4AAB"/>
    <w:rsid w:val="00DF6462"/>
    <w:rsid w:val="00DF7996"/>
    <w:rsid w:val="00DF7CBC"/>
    <w:rsid w:val="00DF7DB4"/>
    <w:rsid w:val="00E02EAD"/>
    <w:rsid w:val="00E02FA0"/>
    <w:rsid w:val="00E036DC"/>
    <w:rsid w:val="00E03AC7"/>
    <w:rsid w:val="00E0450C"/>
    <w:rsid w:val="00E05C4A"/>
    <w:rsid w:val="00E067C3"/>
    <w:rsid w:val="00E10454"/>
    <w:rsid w:val="00E112E5"/>
    <w:rsid w:val="00E11D69"/>
    <w:rsid w:val="00E121A5"/>
    <w:rsid w:val="00E122D8"/>
    <w:rsid w:val="00E12598"/>
    <w:rsid w:val="00E12CC8"/>
    <w:rsid w:val="00E14AB1"/>
    <w:rsid w:val="00E15352"/>
    <w:rsid w:val="00E178B6"/>
    <w:rsid w:val="00E21CC7"/>
    <w:rsid w:val="00E2234F"/>
    <w:rsid w:val="00E22873"/>
    <w:rsid w:val="00E22983"/>
    <w:rsid w:val="00E22DC1"/>
    <w:rsid w:val="00E23952"/>
    <w:rsid w:val="00E24D9E"/>
    <w:rsid w:val="00E25849"/>
    <w:rsid w:val="00E301F7"/>
    <w:rsid w:val="00E3197E"/>
    <w:rsid w:val="00E319FD"/>
    <w:rsid w:val="00E32F1B"/>
    <w:rsid w:val="00E33C6F"/>
    <w:rsid w:val="00E342F8"/>
    <w:rsid w:val="00E351ED"/>
    <w:rsid w:val="00E370BF"/>
    <w:rsid w:val="00E404FB"/>
    <w:rsid w:val="00E41269"/>
    <w:rsid w:val="00E412F7"/>
    <w:rsid w:val="00E42B19"/>
    <w:rsid w:val="00E43B0B"/>
    <w:rsid w:val="00E44502"/>
    <w:rsid w:val="00E473A0"/>
    <w:rsid w:val="00E52D73"/>
    <w:rsid w:val="00E56A66"/>
    <w:rsid w:val="00E6034B"/>
    <w:rsid w:val="00E6549E"/>
    <w:rsid w:val="00E65EDE"/>
    <w:rsid w:val="00E70F81"/>
    <w:rsid w:val="00E715EC"/>
    <w:rsid w:val="00E718B0"/>
    <w:rsid w:val="00E71AD0"/>
    <w:rsid w:val="00E7209B"/>
    <w:rsid w:val="00E72AB2"/>
    <w:rsid w:val="00E73BC2"/>
    <w:rsid w:val="00E73EA8"/>
    <w:rsid w:val="00E7533E"/>
    <w:rsid w:val="00E75B61"/>
    <w:rsid w:val="00E77055"/>
    <w:rsid w:val="00E77460"/>
    <w:rsid w:val="00E776EF"/>
    <w:rsid w:val="00E77824"/>
    <w:rsid w:val="00E83ABC"/>
    <w:rsid w:val="00E844F2"/>
    <w:rsid w:val="00E8524A"/>
    <w:rsid w:val="00E85494"/>
    <w:rsid w:val="00E85EE2"/>
    <w:rsid w:val="00E8683D"/>
    <w:rsid w:val="00E907C3"/>
    <w:rsid w:val="00E90AD0"/>
    <w:rsid w:val="00E92FCB"/>
    <w:rsid w:val="00E930E2"/>
    <w:rsid w:val="00E95772"/>
    <w:rsid w:val="00E96A95"/>
    <w:rsid w:val="00EA147F"/>
    <w:rsid w:val="00EA1E59"/>
    <w:rsid w:val="00EA3190"/>
    <w:rsid w:val="00EA3AE4"/>
    <w:rsid w:val="00EA4A27"/>
    <w:rsid w:val="00EA4FA6"/>
    <w:rsid w:val="00EA6162"/>
    <w:rsid w:val="00EA6234"/>
    <w:rsid w:val="00EB062F"/>
    <w:rsid w:val="00EB1A25"/>
    <w:rsid w:val="00EB1EF6"/>
    <w:rsid w:val="00EB1FEE"/>
    <w:rsid w:val="00EB2428"/>
    <w:rsid w:val="00EB5CB7"/>
    <w:rsid w:val="00EB6CBA"/>
    <w:rsid w:val="00EC52D3"/>
    <w:rsid w:val="00EC5F5E"/>
    <w:rsid w:val="00EC5FCA"/>
    <w:rsid w:val="00EC65C3"/>
    <w:rsid w:val="00EC7363"/>
    <w:rsid w:val="00ED03AB"/>
    <w:rsid w:val="00ED1963"/>
    <w:rsid w:val="00ED1CD4"/>
    <w:rsid w:val="00ED1D2B"/>
    <w:rsid w:val="00ED236F"/>
    <w:rsid w:val="00ED5573"/>
    <w:rsid w:val="00ED64B5"/>
    <w:rsid w:val="00ED6E28"/>
    <w:rsid w:val="00EE7999"/>
    <w:rsid w:val="00EE7CCA"/>
    <w:rsid w:val="00EF5BD5"/>
    <w:rsid w:val="00F021B0"/>
    <w:rsid w:val="00F02FF2"/>
    <w:rsid w:val="00F036A2"/>
    <w:rsid w:val="00F0385A"/>
    <w:rsid w:val="00F04BF9"/>
    <w:rsid w:val="00F0500A"/>
    <w:rsid w:val="00F06E53"/>
    <w:rsid w:val="00F076BD"/>
    <w:rsid w:val="00F10ACC"/>
    <w:rsid w:val="00F124FE"/>
    <w:rsid w:val="00F13F31"/>
    <w:rsid w:val="00F15565"/>
    <w:rsid w:val="00F15A9E"/>
    <w:rsid w:val="00F16A14"/>
    <w:rsid w:val="00F16BF2"/>
    <w:rsid w:val="00F21AE5"/>
    <w:rsid w:val="00F24D59"/>
    <w:rsid w:val="00F25D1F"/>
    <w:rsid w:val="00F33667"/>
    <w:rsid w:val="00F347C0"/>
    <w:rsid w:val="00F362D7"/>
    <w:rsid w:val="00F37D7B"/>
    <w:rsid w:val="00F43BFD"/>
    <w:rsid w:val="00F45EA9"/>
    <w:rsid w:val="00F465A7"/>
    <w:rsid w:val="00F46AEA"/>
    <w:rsid w:val="00F46F65"/>
    <w:rsid w:val="00F472C0"/>
    <w:rsid w:val="00F510C0"/>
    <w:rsid w:val="00F523F1"/>
    <w:rsid w:val="00F53123"/>
    <w:rsid w:val="00F5314C"/>
    <w:rsid w:val="00F53B07"/>
    <w:rsid w:val="00F547D7"/>
    <w:rsid w:val="00F5688C"/>
    <w:rsid w:val="00F569F2"/>
    <w:rsid w:val="00F576CF"/>
    <w:rsid w:val="00F60048"/>
    <w:rsid w:val="00F60D9D"/>
    <w:rsid w:val="00F61367"/>
    <w:rsid w:val="00F635DD"/>
    <w:rsid w:val="00F64E1F"/>
    <w:rsid w:val="00F6627B"/>
    <w:rsid w:val="00F66E9C"/>
    <w:rsid w:val="00F70F67"/>
    <w:rsid w:val="00F725A9"/>
    <w:rsid w:val="00F7263E"/>
    <w:rsid w:val="00F7336E"/>
    <w:rsid w:val="00F734F2"/>
    <w:rsid w:val="00F73AD8"/>
    <w:rsid w:val="00F74C1E"/>
    <w:rsid w:val="00F75052"/>
    <w:rsid w:val="00F761C7"/>
    <w:rsid w:val="00F77A26"/>
    <w:rsid w:val="00F804D3"/>
    <w:rsid w:val="00F816CB"/>
    <w:rsid w:val="00F81CD2"/>
    <w:rsid w:val="00F81E91"/>
    <w:rsid w:val="00F82641"/>
    <w:rsid w:val="00F844A5"/>
    <w:rsid w:val="00F8706A"/>
    <w:rsid w:val="00F87284"/>
    <w:rsid w:val="00F877DA"/>
    <w:rsid w:val="00F90F18"/>
    <w:rsid w:val="00F937E4"/>
    <w:rsid w:val="00F95234"/>
    <w:rsid w:val="00F95EE7"/>
    <w:rsid w:val="00F97B54"/>
    <w:rsid w:val="00FA3421"/>
    <w:rsid w:val="00FA39E6"/>
    <w:rsid w:val="00FA4F3F"/>
    <w:rsid w:val="00FA5678"/>
    <w:rsid w:val="00FA6991"/>
    <w:rsid w:val="00FA6F67"/>
    <w:rsid w:val="00FA7BC9"/>
    <w:rsid w:val="00FA7FA2"/>
    <w:rsid w:val="00FB121E"/>
    <w:rsid w:val="00FB378E"/>
    <w:rsid w:val="00FB37F1"/>
    <w:rsid w:val="00FB400C"/>
    <w:rsid w:val="00FB47C0"/>
    <w:rsid w:val="00FB501B"/>
    <w:rsid w:val="00FB7186"/>
    <w:rsid w:val="00FB719A"/>
    <w:rsid w:val="00FB7770"/>
    <w:rsid w:val="00FC02BA"/>
    <w:rsid w:val="00FC146C"/>
    <w:rsid w:val="00FC1691"/>
    <w:rsid w:val="00FC1AD0"/>
    <w:rsid w:val="00FC48AA"/>
    <w:rsid w:val="00FC5A62"/>
    <w:rsid w:val="00FD3B91"/>
    <w:rsid w:val="00FD576B"/>
    <w:rsid w:val="00FD579E"/>
    <w:rsid w:val="00FD58C4"/>
    <w:rsid w:val="00FD6845"/>
    <w:rsid w:val="00FE0FC1"/>
    <w:rsid w:val="00FE39EB"/>
    <w:rsid w:val="00FE3C9E"/>
    <w:rsid w:val="00FE4249"/>
    <w:rsid w:val="00FE4516"/>
    <w:rsid w:val="00FE64C8"/>
    <w:rsid w:val="00FE6BA1"/>
    <w:rsid w:val="00FF4C44"/>
    <w:rsid w:val="00FF5D2F"/>
    <w:rsid w:val="00FF60D5"/>
    <w:rsid w:val="00FF6AC1"/>
    <w:rsid w:val="00FF6AD6"/>
    <w:rsid w:val="00FF7D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6B92D2-80BA-492F-A250-2CDD3C71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639B7"/>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7639B7"/>
    <w:pPr>
      <w:numPr>
        <w:numId w:val="22"/>
      </w:numPr>
      <w:outlineLvl w:val="0"/>
    </w:pPr>
    <w:rPr>
      <w:rFonts w:hAnsi="Arial"/>
      <w:bCs/>
      <w:kern w:val="32"/>
      <w:szCs w:val="52"/>
    </w:rPr>
  </w:style>
  <w:style w:type="paragraph" w:styleId="2">
    <w:name w:val="heading 2"/>
    <w:basedOn w:val="a7"/>
    <w:link w:val="20"/>
    <w:qFormat/>
    <w:rsid w:val="007639B7"/>
    <w:pPr>
      <w:numPr>
        <w:ilvl w:val="1"/>
        <w:numId w:val="22"/>
      </w:numPr>
      <w:outlineLvl w:val="1"/>
    </w:pPr>
    <w:rPr>
      <w:rFonts w:hAnsi="Arial"/>
      <w:bCs/>
      <w:kern w:val="32"/>
      <w:szCs w:val="48"/>
    </w:rPr>
  </w:style>
  <w:style w:type="paragraph" w:styleId="3">
    <w:name w:val="heading 3"/>
    <w:basedOn w:val="a7"/>
    <w:link w:val="30"/>
    <w:qFormat/>
    <w:rsid w:val="007639B7"/>
    <w:pPr>
      <w:numPr>
        <w:ilvl w:val="2"/>
        <w:numId w:val="22"/>
      </w:numPr>
      <w:outlineLvl w:val="2"/>
    </w:pPr>
    <w:rPr>
      <w:rFonts w:hAnsi="Arial"/>
      <w:bCs/>
      <w:kern w:val="32"/>
      <w:szCs w:val="36"/>
    </w:rPr>
  </w:style>
  <w:style w:type="paragraph" w:styleId="4">
    <w:name w:val="heading 4"/>
    <w:basedOn w:val="a7"/>
    <w:link w:val="40"/>
    <w:qFormat/>
    <w:rsid w:val="007639B7"/>
    <w:pPr>
      <w:numPr>
        <w:ilvl w:val="3"/>
        <w:numId w:val="22"/>
      </w:numPr>
      <w:outlineLvl w:val="3"/>
    </w:pPr>
    <w:rPr>
      <w:rFonts w:hAnsi="Arial"/>
      <w:kern w:val="32"/>
      <w:szCs w:val="36"/>
    </w:rPr>
  </w:style>
  <w:style w:type="paragraph" w:styleId="5">
    <w:name w:val="heading 5"/>
    <w:basedOn w:val="a7"/>
    <w:link w:val="50"/>
    <w:qFormat/>
    <w:rsid w:val="007639B7"/>
    <w:pPr>
      <w:numPr>
        <w:ilvl w:val="4"/>
        <w:numId w:val="22"/>
      </w:numPr>
      <w:outlineLvl w:val="4"/>
    </w:pPr>
    <w:rPr>
      <w:rFonts w:hAnsi="Arial"/>
      <w:bCs/>
      <w:kern w:val="32"/>
      <w:szCs w:val="36"/>
    </w:rPr>
  </w:style>
  <w:style w:type="paragraph" w:styleId="6">
    <w:name w:val="heading 6"/>
    <w:basedOn w:val="a7"/>
    <w:link w:val="60"/>
    <w:qFormat/>
    <w:rsid w:val="007639B7"/>
    <w:pPr>
      <w:numPr>
        <w:ilvl w:val="5"/>
        <w:numId w:val="22"/>
      </w:numPr>
      <w:tabs>
        <w:tab w:val="left" w:pos="2094"/>
      </w:tabs>
      <w:outlineLvl w:val="5"/>
    </w:pPr>
    <w:rPr>
      <w:rFonts w:hAnsi="Arial"/>
      <w:kern w:val="32"/>
      <w:szCs w:val="36"/>
    </w:rPr>
  </w:style>
  <w:style w:type="paragraph" w:styleId="7">
    <w:name w:val="heading 7"/>
    <w:basedOn w:val="a7"/>
    <w:link w:val="70"/>
    <w:qFormat/>
    <w:rsid w:val="007639B7"/>
    <w:pPr>
      <w:numPr>
        <w:ilvl w:val="6"/>
        <w:numId w:val="22"/>
      </w:numPr>
      <w:outlineLvl w:val="6"/>
    </w:pPr>
    <w:rPr>
      <w:rFonts w:hAnsi="Arial"/>
      <w:bCs/>
      <w:kern w:val="32"/>
      <w:szCs w:val="36"/>
    </w:rPr>
  </w:style>
  <w:style w:type="paragraph" w:styleId="8">
    <w:name w:val="heading 8"/>
    <w:basedOn w:val="a7"/>
    <w:link w:val="80"/>
    <w:qFormat/>
    <w:rsid w:val="007639B7"/>
    <w:pPr>
      <w:numPr>
        <w:ilvl w:val="7"/>
        <w:numId w:val="22"/>
      </w:numPr>
      <w:outlineLvl w:val="7"/>
    </w:pPr>
    <w:rPr>
      <w:rFonts w:hAnsi="Arial"/>
      <w:kern w:val="32"/>
      <w:szCs w:val="36"/>
    </w:rPr>
  </w:style>
  <w:style w:type="paragraph" w:styleId="9">
    <w:name w:val="heading 9"/>
    <w:basedOn w:val="a7"/>
    <w:link w:val="90"/>
    <w:uiPriority w:val="9"/>
    <w:unhideWhenUsed/>
    <w:qFormat/>
    <w:rsid w:val="007639B7"/>
    <w:pPr>
      <w:numPr>
        <w:ilvl w:val="8"/>
        <w:numId w:val="22"/>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7639B7"/>
    <w:pPr>
      <w:spacing w:before="720" w:after="720"/>
      <w:ind w:left="7371"/>
    </w:pPr>
    <w:rPr>
      <w:b/>
      <w:snapToGrid w:val="0"/>
      <w:spacing w:val="10"/>
      <w:sz w:val="36"/>
    </w:rPr>
  </w:style>
  <w:style w:type="paragraph" w:styleId="ad">
    <w:name w:val="endnote text"/>
    <w:basedOn w:val="a7"/>
    <w:link w:val="ae"/>
    <w:semiHidden/>
    <w:rsid w:val="007639B7"/>
    <w:pPr>
      <w:kinsoku w:val="0"/>
      <w:autoSpaceDE/>
      <w:spacing w:before="240"/>
      <w:ind w:left="1021" w:hanging="1021"/>
    </w:pPr>
    <w:rPr>
      <w:snapToGrid w:val="0"/>
      <w:spacing w:val="10"/>
    </w:rPr>
  </w:style>
  <w:style w:type="paragraph" w:styleId="51">
    <w:name w:val="toc 5"/>
    <w:basedOn w:val="a7"/>
    <w:next w:val="a7"/>
    <w:autoRedefine/>
    <w:semiHidden/>
    <w:rsid w:val="007639B7"/>
    <w:pPr>
      <w:ind w:leftChars="400" w:left="600" w:rightChars="200" w:right="200" w:hangingChars="200" w:hanging="200"/>
    </w:pPr>
  </w:style>
  <w:style w:type="character" w:styleId="af">
    <w:name w:val="page number"/>
    <w:basedOn w:val="a8"/>
    <w:semiHidden/>
    <w:rsid w:val="007639B7"/>
    <w:rPr>
      <w:rFonts w:ascii="標楷體" w:eastAsia="標楷體"/>
      <w:sz w:val="20"/>
    </w:rPr>
  </w:style>
  <w:style w:type="paragraph" w:styleId="61">
    <w:name w:val="toc 6"/>
    <w:basedOn w:val="a7"/>
    <w:next w:val="a7"/>
    <w:autoRedefine/>
    <w:semiHidden/>
    <w:rsid w:val="007639B7"/>
    <w:pPr>
      <w:ind w:leftChars="500" w:left="500"/>
    </w:pPr>
  </w:style>
  <w:style w:type="paragraph" w:customStyle="1" w:styleId="11">
    <w:name w:val="段落樣式1"/>
    <w:basedOn w:val="a7"/>
    <w:qFormat/>
    <w:rsid w:val="007639B7"/>
    <w:pPr>
      <w:tabs>
        <w:tab w:val="left" w:pos="567"/>
      </w:tabs>
      <w:ind w:leftChars="200" w:left="200" w:firstLineChars="200" w:firstLine="200"/>
    </w:pPr>
    <w:rPr>
      <w:kern w:val="32"/>
    </w:rPr>
  </w:style>
  <w:style w:type="paragraph" w:customStyle="1" w:styleId="21">
    <w:name w:val="段落樣式2"/>
    <w:basedOn w:val="a7"/>
    <w:qFormat/>
    <w:rsid w:val="007639B7"/>
    <w:pPr>
      <w:tabs>
        <w:tab w:val="left" w:pos="567"/>
      </w:tabs>
      <w:ind w:leftChars="300" w:left="300" w:firstLineChars="200" w:firstLine="200"/>
    </w:pPr>
    <w:rPr>
      <w:kern w:val="32"/>
    </w:rPr>
  </w:style>
  <w:style w:type="paragraph" w:styleId="12">
    <w:name w:val="toc 1"/>
    <w:basedOn w:val="a7"/>
    <w:next w:val="a7"/>
    <w:autoRedefine/>
    <w:uiPriority w:val="39"/>
    <w:rsid w:val="007639B7"/>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7639B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7639B7"/>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7639B7"/>
    <w:pPr>
      <w:kinsoku w:val="0"/>
      <w:ind w:leftChars="300" w:left="500" w:rightChars="200" w:right="200" w:hangingChars="200" w:hanging="200"/>
    </w:pPr>
  </w:style>
  <w:style w:type="paragraph" w:styleId="71">
    <w:name w:val="toc 7"/>
    <w:basedOn w:val="a7"/>
    <w:next w:val="a7"/>
    <w:autoRedefine/>
    <w:semiHidden/>
    <w:rsid w:val="007639B7"/>
    <w:pPr>
      <w:ind w:leftChars="600" w:left="800" w:hangingChars="200" w:hanging="200"/>
    </w:pPr>
  </w:style>
  <w:style w:type="paragraph" w:styleId="81">
    <w:name w:val="toc 8"/>
    <w:basedOn w:val="a7"/>
    <w:next w:val="a7"/>
    <w:autoRedefine/>
    <w:semiHidden/>
    <w:rsid w:val="007639B7"/>
    <w:pPr>
      <w:ind w:leftChars="700" w:left="900" w:hangingChars="200" w:hanging="200"/>
    </w:pPr>
  </w:style>
  <w:style w:type="paragraph" w:styleId="91">
    <w:name w:val="toc 9"/>
    <w:basedOn w:val="a7"/>
    <w:next w:val="a7"/>
    <w:autoRedefine/>
    <w:semiHidden/>
    <w:rsid w:val="007639B7"/>
    <w:pPr>
      <w:ind w:leftChars="1600" w:left="3840"/>
    </w:pPr>
  </w:style>
  <w:style w:type="paragraph" w:styleId="af0">
    <w:name w:val="header"/>
    <w:basedOn w:val="a7"/>
    <w:link w:val="af1"/>
    <w:semiHidden/>
    <w:rsid w:val="007639B7"/>
    <w:pPr>
      <w:tabs>
        <w:tab w:val="center" w:pos="4153"/>
        <w:tab w:val="right" w:pos="8306"/>
      </w:tabs>
      <w:snapToGrid w:val="0"/>
    </w:pPr>
    <w:rPr>
      <w:sz w:val="20"/>
    </w:rPr>
  </w:style>
  <w:style w:type="paragraph" w:customStyle="1" w:styleId="32">
    <w:name w:val="段落樣式3"/>
    <w:basedOn w:val="21"/>
    <w:qFormat/>
    <w:rsid w:val="007639B7"/>
    <w:pPr>
      <w:ind w:leftChars="400" w:left="400"/>
    </w:pPr>
  </w:style>
  <w:style w:type="character" w:styleId="af2">
    <w:name w:val="Hyperlink"/>
    <w:basedOn w:val="a8"/>
    <w:uiPriority w:val="99"/>
    <w:rsid w:val="007639B7"/>
    <w:rPr>
      <w:color w:val="0000FF"/>
      <w:u w:val="single"/>
    </w:rPr>
  </w:style>
  <w:style w:type="paragraph" w:customStyle="1" w:styleId="af3">
    <w:name w:val="簽名日期"/>
    <w:basedOn w:val="a7"/>
    <w:rsid w:val="007639B7"/>
    <w:pPr>
      <w:kinsoku w:val="0"/>
      <w:jc w:val="distribute"/>
    </w:pPr>
    <w:rPr>
      <w:kern w:val="0"/>
    </w:rPr>
  </w:style>
  <w:style w:type="paragraph" w:customStyle="1" w:styleId="0">
    <w:name w:val="段落樣式0"/>
    <w:basedOn w:val="21"/>
    <w:qFormat/>
    <w:rsid w:val="007639B7"/>
    <w:pPr>
      <w:ind w:leftChars="200" w:left="200" w:firstLineChars="0" w:firstLine="0"/>
    </w:pPr>
  </w:style>
  <w:style w:type="paragraph" w:customStyle="1" w:styleId="af4">
    <w:name w:val="附件"/>
    <w:basedOn w:val="ad"/>
    <w:rsid w:val="007639B7"/>
    <w:pPr>
      <w:spacing w:before="0"/>
      <w:ind w:left="1047" w:hangingChars="300" w:hanging="1047"/>
    </w:pPr>
    <w:rPr>
      <w:snapToGrid/>
      <w:spacing w:val="0"/>
      <w:kern w:val="0"/>
    </w:rPr>
  </w:style>
  <w:style w:type="paragraph" w:customStyle="1" w:styleId="42">
    <w:name w:val="段落樣式4"/>
    <w:basedOn w:val="32"/>
    <w:qFormat/>
    <w:rsid w:val="007639B7"/>
    <w:pPr>
      <w:ind w:leftChars="500" w:left="500"/>
    </w:pPr>
  </w:style>
  <w:style w:type="paragraph" w:customStyle="1" w:styleId="52">
    <w:name w:val="段落樣式5"/>
    <w:basedOn w:val="42"/>
    <w:qFormat/>
    <w:rsid w:val="007639B7"/>
    <w:pPr>
      <w:ind w:leftChars="600" w:left="600"/>
    </w:pPr>
  </w:style>
  <w:style w:type="paragraph" w:customStyle="1" w:styleId="62">
    <w:name w:val="段落樣式6"/>
    <w:basedOn w:val="52"/>
    <w:qFormat/>
    <w:rsid w:val="007639B7"/>
    <w:pPr>
      <w:ind w:leftChars="700" w:left="700"/>
    </w:pPr>
  </w:style>
  <w:style w:type="paragraph" w:customStyle="1" w:styleId="72">
    <w:name w:val="段落樣式7"/>
    <w:basedOn w:val="62"/>
    <w:qFormat/>
    <w:rsid w:val="007639B7"/>
    <w:pPr>
      <w:ind w:leftChars="800" w:left="800"/>
    </w:pPr>
  </w:style>
  <w:style w:type="paragraph" w:customStyle="1" w:styleId="82">
    <w:name w:val="段落樣式8"/>
    <w:basedOn w:val="72"/>
    <w:qFormat/>
    <w:rsid w:val="007639B7"/>
    <w:pPr>
      <w:ind w:leftChars="900" w:left="900"/>
    </w:pPr>
  </w:style>
  <w:style w:type="paragraph" w:customStyle="1" w:styleId="a1">
    <w:name w:val="附表樣式"/>
    <w:basedOn w:val="a7"/>
    <w:qFormat/>
    <w:rsid w:val="007639B7"/>
    <w:pPr>
      <w:keepNext/>
      <w:numPr>
        <w:numId w:val="17"/>
      </w:numPr>
      <w:tabs>
        <w:tab w:val="clear" w:pos="1440"/>
      </w:tabs>
      <w:ind w:hangingChars="400" w:hanging="400"/>
      <w:outlineLvl w:val="0"/>
    </w:pPr>
    <w:rPr>
      <w:kern w:val="32"/>
    </w:rPr>
  </w:style>
  <w:style w:type="paragraph" w:styleId="af5">
    <w:name w:val="Body Text Indent"/>
    <w:basedOn w:val="a7"/>
    <w:link w:val="af6"/>
    <w:semiHidden/>
    <w:rsid w:val="007639B7"/>
    <w:pPr>
      <w:ind w:left="698" w:hangingChars="200" w:hanging="698"/>
    </w:pPr>
  </w:style>
  <w:style w:type="paragraph" w:customStyle="1" w:styleId="af7">
    <w:name w:val="調查報告"/>
    <w:basedOn w:val="ad"/>
    <w:rsid w:val="007639B7"/>
    <w:pPr>
      <w:adjustRightInd w:val="0"/>
      <w:spacing w:before="0"/>
      <w:ind w:left="0" w:firstLine="0"/>
      <w:jc w:val="center"/>
    </w:pPr>
    <w:rPr>
      <w:b/>
      <w:snapToGrid/>
      <w:spacing w:val="200"/>
      <w:kern w:val="0"/>
      <w:sz w:val="40"/>
    </w:rPr>
  </w:style>
  <w:style w:type="paragraph" w:customStyle="1" w:styleId="14">
    <w:name w:val="表格14"/>
    <w:basedOn w:val="a7"/>
    <w:rsid w:val="007639B7"/>
    <w:pPr>
      <w:adjustRightInd w:val="0"/>
      <w:snapToGrid w:val="0"/>
      <w:spacing w:line="360" w:lineRule="exact"/>
    </w:pPr>
    <w:rPr>
      <w:snapToGrid w:val="0"/>
      <w:spacing w:val="-14"/>
      <w:kern w:val="0"/>
      <w:sz w:val="28"/>
    </w:rPr>
  </w:style>
  <w:style w:type="paragraph" w:customStyle="1" w:styleId="a0">
    <w:name w:val="附圖樣式"/>
    <w:basedOn w:val="a7"/>
    <w:qFormat/>
    <w:rsid w:val="007639B7"/>
    <w:pPr>
      <w:keepNext/>
      <w:numPr>
        <w:numId w:val="18"/>
      </w:numPr>
      <w:tabs>
        <w:tab w:val="clear" w:pos="1440"/>
      </w:tabs>
      <w:ind w:hangingChars="400" w:hanging="400"/>
      <w:outlineLvl w:val="0"/>
    </w:pPr>
    <w:rPr>
      <w:kern w:val="32"/>
    </w:rPr>
  </w:style>
  <w:style w:type="paragraph" w:styleId="af8">
    <w:name w:val="footer"/>
    <w:basedOn w:val="a7"/>
    <w:link w:val="af9"/>
    <w:semiHidden/>
    <w:rsid w:val="007639B7"/>
    <w:pPr>
      <w:tabs>
        <w:tab w:val="center" w:pos="4153"/>
        <w:tab w:val="right" w:pos="8306"/>
      </w:tabs>
      <w:snapToGrid w:val="0"/>
    </w:pPr>
    <w:rPr>
      <w:sz w:val="20"/>
    </w:rPr>
  </w:style>
  <w:style w:type="paragraph" w:styleId="afa">
    <w:name w:val="table of figures"/>
    <w:basedOn w:val="a7"/>
    <w:next w:val="a7"/>
    <w:semiHidden/>
    <w:rsid w:val="007639B7"/>
    <w:pPr>
      <w:ind w:left="400" w:hangingChars="400" w:hanging="400"/>
    </w:pPr>
  </w:style>
  <w:style w:type="paragraph" w:customStyle="1" w:styleId="140">
    <w:name w:val="表格標題14"/>
    <w:basedOn w:val="a7"/>
    <w:rsid w:val="007639B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7639B7"/>
    <w:pPr>
      <w:keepNext/>
      <w:widowControl w:val="0"/>
      <w:numPr>
        <w:numId w:val="1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7639B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7639B7"/>
    <w:pPr>
      <w:numPr>
        <w:numId w:val="2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76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7639B7"/>
    <w:pPr>
      <w:spacing w:line="240" w:lineRule="exact"/>
    </w:pPr>
    <w:rPr>
      <w:sz w:val="24"/>
      <w:szCs w:val="24"/>
    </w:rPr>
  </w:style>
  <w:style w:type="paragraph" w:customStyle="1" w:styleId="121">
    <w:name w:val="表格12"/>
    <w:basedOn w:val="14"/>
    <w:rsid w:val="007639B7"/>
    <w:pPr>
      <w:spacing w:line="300" w:lineRule="exact"/>
    </w:pPr>
    <w:rPr>
      <w:sz w:val="24"/>
      <w:szCs w:val="24"/>
    </w:rPr>
  </w:style>
  <w:style w:type="paragraph" w:customStyle="1" w:styleId="a5">
    <w:name w:val="附錄"/>
    <w:basedOn w:val="a7"/>
    <w:qFormat/>
    <w:rsid w:val="007639B7"/>
    <w:pPr>
      <w:keepNext/>
      <w:numPr>
        <w:numId w:val="19"/>
      </w:numPr>
      <w:ind w:hangingChars="350" w:hanging="350"/>
      <w:outlineLvl w:val="0"/>
    </w:pPr>
    <w:rPr>
      <w:kern w:val="32"/>
    </w:rPr>
  </w:style>
  <w:style w:type="paragraph" w:styleId="afd">
    <w:name w:val="List Paragraph"/>
    <w:aliases w:val="標題 (4),List Paragraph,List Paragraph1,卑南壹,1.1.1.1清單段落,清單段落1,列點,(二),貿易局(一),標1,Recommendation,Footnote Sam,List Paragraph (numbered (a)),Text,Noise heading,RUS List,Rec para,Dot pt,F5 List Paragraph,No Spacing1,List Paragraph Char Char Char"/>
    <w:basedOn w:val="a7"/>
    <w:link w:val="afe"/>
    <w:uiPriority w:val="34"/>
    <w:qFormat/>
    <w:rsid w:val="007639B7"/>
    <w:pPr>
      <w:ind w:leftChars="200" w:left="480"/>
    </w:pPr>
  </w:style>
  <w:style w:type="paragraph" w:styleId="aff">
    <w:name w:val="Balloon Text"/>
    <w:basedOn w:val="a7"/>
    <w:link w:val="aff0"/>
    <w:uiPriority w:val="99"/>
    <w:semiHidden/>
    <w:unhideWhenUsed/>
    <w:rsid w:val="007639B7"/>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7639B7"/>
    <w:rPr>
      <w:rFonts w:asciiTheme="majorHAnsi" w:eastAsiaTheme="majorEastAsia" w:hAnsiTheme="majorHAnsi" w:cstheme="majorBidi"/>
      <w:kern w:val="2"/>
      <w:sz w:val="18"/>
      <w:szCs w:val="18"/>
    </w:rPr>
  </w:style>
  <w:style w:type="paragraph" w:customStyle="1" w:styleId="a6">
    <w:name w:val="照片標題"/>
    <w:qFormat/>
    <w:rsid w:val="007639B7"/>
    <w:pPr>
      <w:numPr>
        <w:numId w:val="2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7639B7"/>
    <w:pPr>
      <w:keepNext/>
      <w:numPr>
        <w:numId w:val="16"/>
      </w:numPr>
      <w:ind w:hangingChars="400" w:hanging="400"/>
      <w:outlineLvl w:val="0"/>
    </w:pPr>
    <w:rPr>
      <w:kern w:val="32"/>
    </w:rPr>
  </w:style>
  <w:style w:type="character" w:customStyle="1" w:styleId="90">
    <w:name w:val="標題 9 字元"/>
    <w:basedOn w:val="a8"/>
    <w:link w:val="9"/>
    <w:uiPriority w:val="9"/>
    <w:rsid w:val="007639B7"/>
    <w:rPr>
      <w:rFonts w:ascii="標楷體" w:eastAsia="標楷體" w:hAnsiTheme="majorHAnsi" w:cstheme="majorBidi"/>
      <w:kern w:val="32"/>
      <w:sz w:val="32"/>
      <w:szCs w:val="36"/>
    </w:rPr>
  </w:style>
  <w:style w:type="paragraph" w:customStyle="1" w:styleId="92">
    <w:name w:val="段落樣式9"/>
    <w:basedOn w:val="82"/>
    <w:qFormat/>
    <w:rsid w:val="007639B7"/>
    <w:pPr>
      <w:ind w:leftChars="1000" w:left="1000"/>
    </w:pPr>
  </w:style>
  <w:style w:type="paragraph" w:styleId="aff1">
    <w:name w:val="Plain Text"/>
    <w:basedOn w:val="a7"/>
    <w:link w:val="aff2"/>
    <w:uiPriority w:val="99"/>
    <w:unhideWhenUsed/>
    <w:rsid w:val="007639B7"/>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rsid w:val="007639B7"/>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7639B7"/>
    <w:rPr>
      <w:rFonts w:ascii="標楷體" w:eastAsia="標楷體" w:hAnsi="Arial"/>
      <w:bCs/>
      <w:kern w:val="32"/>
      <w:sz w:val="32"/>
      <w:szCs w:val="48"/>
    </w:rPr>
  </w:style>
  <w:style w:type="paragraph" w:styleId="aff3">
    <w:name w:val="footnote text"/>
    <w:basedOn w:val="a7"/>
    <w:link w:val="aff4"/>
    <w:uiPriority w:val="99"/>
    <w:unhideWhenUsed/>
    <w:rsid w:val="00821ED7"/>
    <w:pPr>
      <w:snapToGrid w:val="0"/>
      <w:jc w:val="left"/>
    </w:pPr>
    <w:rPr>
      <w:sz w:val="20"/>
    </w:rPr>
  </w:style>
  <w:style w:type="character" w:customStyle="1" w:styleId="aff4">
    <w:name w:val="註腳文字 字元"/>
    <w:basedOn w:val="a8"/>
    <w:link w:val="aff3"/>
    <w:uiPriority w:val="99"/>
    <w:rsid w:val="00821ED7"/>
    <w:rPr>
      <w:rFonts w:ascii="標楷體" w:eastAsia="標楷體"/>
      <w:kern w:val="2"/>
    </w:rPr>
  </w:style>
  <w:style w:type="character" w:styleId="aff5">
    <w:name w:val="footnote reference"/>
    <w:basedOn w:val="a8"/>
    <w:uiPriority w:val="99"/>
    <w:semiHidden/>
    <w:unhideWhenUsed/>
    <w:rsid w:val="00821ED7"/>
    <w:rPr>
      <w:vertAlign w:val="superscript"/>
    </w:rPr>
  </w:style>
  <w:style w:type="paragraph" w:styleId="HTML">
    <w:name w:val="HTML Preformatted"/>
    <w:basedOn w:val="a7"/>
    <w:link w:val="HTML0"/>
    <w:uiPriority w:val="99"/>
    <w:unhideWhenUsed/>
    <w:rsid w:val="00CF07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character" w:customStyle="1" w:styleId="HTML0">
    <w:name w:val="HTML 預設格式 字元"/>
    <w:basedOn w:val="a8"/>
    <w:link w:val="HTML"/>
    <w:uiPriority w:val="99"/>
    <w:rsid w:val="00CF07E7"/>
    <w:rPr>
      <w:rFonts w:ascii="細明體" w:eastAsia="細明體" w:hAnsi="細明體"/>
      <w:sz w:val="24"/>
      <w:szCs w:val="24"/>
    </w:rPr>
  </w:style>
  <w:style w:type="paragraph" w:customStyle="1" w:styleId="Default">
    <w:name w:val="Default"/>
    <w:rsid w:val="002558E5"/>
    <w:pPr>
      <w:widowControl w:val="0"/>
      <w:autoSpaceDE w:val="0"/>
      <w:autoSpaceDN w:val="0"/>
      <w:adjustRightInd w:val="0"/>
    </w:pPr>
    <w:rPr>
      <w:rFonts w:ascii="標楷體" w:eastAsia="標楷體" w:cs="標楷體"/>
      <w:color w:val="000000"/>
      <w:sz w:val="24"/>
      <w:szCs w:val="24"/>
    </w:rPr>
  </w:style>
  <w:style w:type="paragraph" w:styleId="aff6">
    <w:name w:val="Body Text"/>
    <w:basedOn w:val="a7"/>
    <w:link w:val="aff7"/>
    <w:rsid w:val="00821ED7"/>
    <w:pPr>
      <w:overflowPunct/>
      <w:autoSpaceDE/>
      <w:autoSpaceDN/>
      <w:spacing w:after="120"/>
      <w:jc w:val="left"/>
    </w:pPr>
    <w:rPr>
      <w:rFonts w:ascii="Times New Roman" w:eastAsia="新細明體"/>
      <w:sz w:val="24"/>
      <w:szCs w:val="24"/>
    </w:rPr>
  </w:style>
  <w:style w:type="character" w:customStyle="1" w:styleId="aff7">
    <w:name w:val="本文 字元"/>
    <w:basedOn w:val="a8"/>
    <w:link w:val="aff6"/>
    <w:rsid w:val="00821ED7"/>
    <w:rPr>
      <w:kern w:val="2"/>
      <w:sz w:val="24"/>
      <w:szCs w:val="24"/>
    </w:rPr>
  </w:style>
  <w:style w:type="character" w:customStyle="1" w:styleId="af6">
    <w:name w:val="本文縮排 字元"/>
    <w:basedOn w:val="a8"/>
    <w:link w:val="af5"/>
    <w:semiHidden/>
    <w:rsid w:val="007639B7"/>
    <w:rPr>
      <w:rFonts w:ascii="標楷體" w:eastAsia="標楷體"/>
      <w:kern w:val="2"/>
      <w:sz w:val="32"/>
    </w:rPr>
  </w:style>
  <w:style w:type="paragraph" w:styleId="23">
    <w:name w:val="Body Text Indent 2"/>
    <w:basedOn w:val="a7"/>
    <w:link w:val="24"/>
    <w:uiPriority w:val="99"/>
    <w:semiHidden/>
    <w:unhideWhenUsed/>
    <w:rsid w:val="00821ED7"/>
    <w:pPr>
      <w:spacing w:after="120" w:line="480" w:lineRule="auto"/>
      <w:ind w:leftChars="200" w:left="480"/>
    </w:pPr>
  </w:style>
  <w:style w:type="character" w:customStyle="1" w:styleId="24">
    <w:name w:val="本文縮排 2 字元"/>
    <w:basedOn w:val="a8"/>
    <w:link w:val="23"/>
    <w:uiPriority w:val="99"/>
    <w:semiHidden/>
    <w:rsid w:val="00821ED7"/>
    <w:rPr>
      <w:rFonts w:ascii="標楷體" w:eastAsia="標楷體"/>
      <w:kern w:val="2"/>
      <w:sz w:val="32"/>
    </w:rPr>
  </w:style>
  <w:style w:type="character" w:customStyle="1" w:styleId="ae">
    <w:name w:val="章節附註文字 字元"/>
    <w:basedOn w:val="a8"/>
    <w:link w:val="ad"/>
    <w:semiHidden/>
    <w:rsid w:val="007639B7"/>
    <w:rPr>
      <w:rFonts w:ascii="標楷體" w:eastAsia="標楷體"/>
      <w:snapToGrid w:val="0"/>
      <w:spacing w:val="10"/>
      <w:kern w:val="2"/>
      <w:sz w:val="32"/>
    </w:rPr>
  </w:style>
  <w:style w:type="character" w:customStyle="1" w:styleId="af9">
    <w:name w:val="頁尾 字元"/>
    <w:basedOn w:val="a8"/>
    <w:link w:val="af8"/>
    <w:semiHidden/>
    <w:rsid w:val="007639B7"/>
    <w:rPr>
      <w:rFonts w:ascii="標楷體" w:eastAsia="標楷體"/>
      <w:kern w:val="2"/>
    </w:rPr>
  </w:style>
  <w:style w:type="character" w:customStyle="1" w:styleId="af1">
    <w:name w:val="頁首 字元"/>
    <w:basedOn w:val="a8"/>
    <w:link w:val="af0"/>
    <w:semiHidden/>
    <w:rsid w:val="007639B7"/>
    <w:rPr>
      <w:rFonts w:ascii="標楷體" w:eastAsia="標楷體"/>
      <w:kern w:val="2"/>
    </w:rPr>
  </w:style>
  <w:style w:type="character" w:customStyle="1" w:styleId="10">
    <w:name w:val="標題 1 字元"/>
    <w:basedOn w:val="a8"/>
    <w:link w:val="1"/>
    <w:rsid w:val="007639B7"/>
    <w:rPr>
      <w:rFonts w:ascii="標楷體" w:eastAsia="標楷體" w:hAnsi="Arial"/>
      <w:bCs/>
      <w:kern w:val="32"/>
      <w:sz w:val="32"/>
      <w:szCs w:val="52"/>
    </w:rPr>
  </w:style>
  <w:style w:type="character" w:customStyle="1" w:styleId="30">
    <w:name w:val="標題 3 字元"/>
    <w:basedOn w:val="a8"/>
    <w:link w:val="3"/>
    <w:rsid w:val="007639B7"/>
    <w:rPr>
      <w:rFonts w:ascii="標楷體" w:eastAsia="標楷體" w:hAnsi="Arial"/>
      <w:bCs/>
      <w:kern w:val="32"/>
      <w:sz w:val="32"/>
      <w:szCs w:val="36"/>
    </w:rPr>
  </w:style>
  <w:style w:type="character" w:customStyle="1" w:styleId="40">
    <w:name w:val="標題 4 字元"/>
    <w:basedOn w:val="a8"/>
    <w:link w:val="4"/>
    <w:rsid w:val="007639B7"/>
    <w:rPr>
      <w:rFonts w:ascii="標楷體" w:eastAsia="標楷體" w:hAnsi="Arial"/>
      <w:kern w:val="32"/>
      <w:sz w:val="32"/>
      <w:szCs w:val="36"/>
    </w:rPr>
  </w:style>
  <w:style w:type="character" w:customStyle="1" w:styleId="50">
    <w:name w:val="標題 5 字元"/>
    <w:basedOn w:val="a8"/>
    <w:link w:val="5"/>
    <w:rsid w:val="007639B7"/>
    <w:rPr>
      <w:rFonts w:ascii="標楷體" w:eastAsia="標楷體" w:hAnsi="Arial"/>
      <w:bCs/>
      <w:kern w:val="32"/>
      <w:sz w:val="32"/>
      <w:szCs w:val="36"/>
    </w:rPr>
  </w:style>
  <w:style w:type="character" w:customStyle="1" w:styleId="60">
    <w:name w:val="標題 6 字元"/>
    <w:basedOn w:val="a8"/>
    <w:link w:val="6"/>
    <w:rsid w:val="007639B7"/>
    <w:rPr>
      <w:rFonts w:ascii="標楷體" w:eastAsia="標楷體" w:hAnsi="Arial"/>
      <w:kern w:val="32"/>
      <w:sz w:val="32"/>
      <w:szCs w:val="36"/>
    </w:rPr>
  </w:style>
  <w:style w:type="character" w:customStyle="1" w:styleId="70">
    <w:name w:val="標題 7 字元"/>
    <w:basedOn w:val="a8"/>
    <w:link w:val="7"/>
    <w:rsid w:val="007639B7"/>
    <w:rPr>
      <w:rFonts w:ascii="標楷體" w:eastAsia="標楷體" w:hAnsi="Arial"/>
      <w:bCs/>
      <w:kern w:val="32"/>
      <w:sz w:val="32"/>
      <w:szCs w:val="36"/>
    </w:rPr>
  </w:style>
  <w:style w:type="character" w:customStyle="1" w:styleId="80">
    <w:name w:val="標題 8 字元"/>
    <w:basedOn w:val="a8"/>
    <w:link w:val="8"/>
    <w:rsid w:val="007639B7"/>
    <w:rPr>
      <w:rFonts w:ascii="標楷體" w:eastAsia="標楷體" w:hAnsi="Arial"/>
      <w:kern w:val="32"/>
      <w:sz w:val="32"/>
      <w:szCs w:val="36"/>
    </w:rPr>
  </w:style>
  <w:style w:type="character" w:customStyle="1" w:styleId="ac">
    <w:name w:val="簽名 字元"/>
    <w:basedOn w:val="a8"/>
    <w:link w:val="ab"/>
    <w:semiHidden/>
    <w:rsid w:val="007639B7"/>
    <w:rPr>
      <w:rFonts w:ascii="標楷體" w:eastAsia="標楷體"/>
      <w:b/>
      <w:snapToGrid w:val="0"/>
      <w:spacing w:val="10"/>
      <w:kern w:val="2"/>
      <w:sz w:val="36"/>
    </w:rPr>
  </w:style>
  <w:style w:type="table" w:customStyle="1" w:styleId="13">
    <w:name w:val="表格格線1"/>
    <w:basedOn w:val="a9"/>
    <w:next w:val="afc"/>
    <w:uiPriority w:val="59"/>
    <w:rsid w:val="0014328B"/>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BC172D"/>
    <w:pPr>
      <w:widowControl w:val="0"/>
      <w:suppressAutoHyphens/>
      <w:autoSpaceDN w:val="0"/>
      <w:textAlignment w:val="baseline"/>
    </w:pPr>
    <w:rPr>
      <w:rFonts w:ascii="Calibri" w:hAnsi="Calibri"/>
      <w:kern w:val="3"/>
      <w:sz w:val="24"/>
      <w:szCs w:val="22"/>
    </w:rPr>
  </w:style>
  <w:style w:type="character" w:styleId="aff8">
    <w:name w:val="FollowedHyperlink"/>
    <w:basedOn w:val="a8"/>
    <w:uiPriority w:val="99"/>
    <w:semiHidden/>
    <w:unhideWhenUsed/>
    <w:rsid w:val="00B4776E"/>
    <w:rPr>
      <w:color w:val="800080" w:themeColor="followedHyperlink"/>
      <w:u w:val="single"/>
    </w:rPr>
  </w:style>
  <w:style w:type="character" w:styleId="aff9">
    <w:name w:val="Strong"/>
    <w:basedOn w:val="a8"/>
    <w:uiPriority w:val="22"/>
    <w:qFormat/>
    <w:rsid w:val="00692669"/>
    <w:rPr>
      <w:b/>
      <w:bCs/>
    </w:rPr>
  </w:style>
  <w:style w:type="paragraph" w:styleId="Web">
    <w:name w:val="Normal (Web)"/>
    <w:basedOn w:val="a7"/>
    <w:uiPriority w:val="99"/>
    <w:semiHidden/>
    <w:unhideWhenUsed/>
    <w:rsid w:val="0045559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
    <w:name w:val="List Bullet"/>
    <w:basedOn w:val="a7"/>
    <w:uiPriority w:val="99"/>
    <w:unhideWhenUsed/>
    <w:rsid w:val="00455594"/>
    <w:pPr>
      <w:numPr>
        <w:numId w:val="23"/>
      </w:numPr>
      <w:contextualSpacing/>
    </w:pPr>
  </w:style>
  <w:style w:type="character" w:styleId="affa">
    <w:name w:val="Emphasis"/>
    <w:basedOn w:val="a8"/>
    <w:uiPriority w:val="20"/>
    <w:qFormat/>
    <w:rsid w:val="00455594"/>
    <w:rPr>
      <w:b w:val="0"/>
      <w:bCs w:val="0"/>
      <w:i w:val="0"/>
      <w:iCs w:val="0"/>
      <w:color w:val="DD4B39"/>
    </w:rPr>
  </w:style>
  <w:style w:type="character" w:customStyle="1" w:styleId="st1">
    <w:name w:val="st1"/>
    <w:basedOn w:val="a8"/>
    <w:rsid w:val="00455594"/>
  </w:style>
  <w:style w:type="paragraph" w:styleId="affb">
    <w:name w:val="Note Heading"/>
    <w:basedOn w:val="a7"/>
    <w:next w:val="a7"/>
    <w:link w:val="affc"/>
    <w:uiPriority w:val="99"/>
    <w:unhideWhenUsed/>
    <w:rsid w:val="006409AA"/>
    <w:pPr>
      <w:jc w:val="center"/>
    </w:pPr>
    <w:rPr>
      <w:kern w:val="32"/>
    </w:rPr>
  </w:style>
  <w:style w:type="character" w:customStyle="1" w:styleId="affc">
    <w:name w:val="註釋標題 字元"/>
    <w:basedOn w:val="a8"/>
    <w:link w:val="affb"/>
    <w:uiPriority w:val="99"/>
    <w:rsid w:val="006409AA"/>
    <w:rPr>
      <w:rFonts w:ascii="標楷體" w:eastAsia="標楷體"/>
      <w:kern w:val="32"/>
      <w:sz w:val="32"/>
    </w:rPr>
  </w:style>
  <w:style w:type="paragraph" w:styleId="affd">
    <w:name w:val="Closing"/>
    <w:basedOn w:val="a7"/>
    <w:link w:val="affe"/>
    <w:uiPriority w:val="99"/>
    <w:unhideWhenUsed/>
    <w:rsid w:val="006409AA"/>
    <w:pPr>
      <w:ind w:leftChars="1800" w:left="100"/>
    </w:pPr>
    <w:rPr>
      <w:kern w:val="32"/>
    </w:rPr>
  </w:style>
  <w:style w:type="character" w:customStyle="1" w:styleId="affe">
    <w:name w:val="結語 字元"/>
    <w:basedOn w:val="a8"/>
    <w:link w:val="affd"/>
    <w:uiPriority w:val="99"/>
    <w:rsid w:val="006409AA"/>
    <w:rPr>
      <w:rFonts w:ascii="標楷體" w:eastAsia="標楷體"/>
      <w:kern w:val="32"/>
      <w:sz w:val="32"/>
    </w:rPr>
  </w:style>
  <w:style w:type="character" w:customStyle="1" w:styleId="afe">
    <w:name w:val="清單段落 字元"/>
    <w:aliases w:val="標題 (4) 字元,List Paragraph 字元,List Paragraph1 字元,卑南壹 字元,1.1.1.1清單段落 字元,清單段落1 字元,列點 字元,(二) 字元,貿易局(一) 字元,標1 字元,Recommendation 字元,Footnote Sam 字元,List Paragraph (numbered (a)) 字元,Text 字元,Noise heading 字元,RUS List 字元,Rec para 字元,Dot pt 字元"/>
    <w:link w:val="afd"/>
    <w:uiPriority w:val="34"/>
    <w:locked/>
    <w:rsid w:val="00AC751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010">
      <w:bodyDiv w:val="1"/>
      <w:marLeft w:val="0"/>
      <w:marRight w:val="0"/>
      <w:marTop w:val="0"/>
      <w:marBottom w:val="0"/>
      <w:divBdr>
        <w:top w:val="none" w:sz="0" w:space="0" w:color="auto"/>
        <w:left w:val="none" w:sz="0" w:space="0" w:color="auto"/>
        <w:bottom w:val="none" w:sz="0" w:space="0" w:color="auto"/>
        <w:right w:val="none" w:sz="0" w:space="0" w:color="auto"/>
      </w:divBdr>
    </w:div>
    <w:div w:id="17506516">
      <w:bodyDiv w:val="1"/>
      <w:marLeft w:val="0"/>
      <w:marRight w:val="0"/>
      <w:marTop w:val="0"/>
      <w:marBottom w:val="0"/>
      <w:divBdr>
        <w:top w:val="none" w:sz="0" w:space="0" w:color="auto"/>
        <w:left w:val="none" w:sz="0" w:space="0" w:color="auto"/>
        <w:bottom w:val="none" w:sz="0" w:space="0" w:color="auto"/>
        <w:right w:val="none" w:sz="0" w:space="0" w:color="auto"/>
      </w:divBdr>
    </w:div>
    <w:div w:id="71241957">
      <w:bodyDiv w:val="1"/>
      <w:marLeft w:val="0"/>
      <w:marRight w:val="0"/>
      <w:marTop w:val="0"/>
      <w:marBottom w:val="0"/>
      <w:divBdr>
        <w:top w:val="none" w:sz="0" w:space="0" w:color="auto"/>
        <w:left w:val="none" w:sz="0" w:space="0" w:color="auto"/>
        <w:bottom w:val="none" w:sz="0" w:space="0" w:color="auto"/>
        <w:right w:val="none" w:sz="0" w:space="0" w:color="auto"/>
      </w:divBdr>
    </w:div>
    <w:div w:id="75905810">
      <w:bodyDiv w:val="1"/>
      <w:marLeft w:val="0"/>
      <w:marRight w:val="0"/>
      <w:marTop w:val="0"/>
      <w:marBottom w:val="0"/>
      <w:divBdr>
        <w:top w:val="none" w:sz="0" w:space="0" w:color="auto"/>
        <w:left w:val="none" w:sz="0" w:space="0" w:color="auto"/>
        <w:bottom w:val="none" w:sz="0" w:space="0" w:color="auto"/>
        <w:right w:val="none" w:sz="0" w:space="0" w:color="auto"/>
      </w:divBdr>
      <w:divsChild>
        <w:div w:id="2072073422">
          <w:marLeft w:val="547"/>
          <w:marRight w:val="0"/>
          <w:marTop w:val="0"/>
          <w:marBottom w:val="0"/>
          <w:divBdr>
            <w:top w:val="none" w:sz="0" w:space="0" w:color="auto"/>
            <w:left w:val="none" w:sz="0" w:space="0" w:color="auto"/>
            <w:bottom w:val="none" w:sz="0" w:space="0" w:color="auto"/>
            <w:right w:val="none" w:sz="0" w:space="0" w:color="auto"/>
          </w:divBdr>
        </w:div>
      </w:divsChild>
    </w:div>
    <w:div w:id="77290766">
      <w:bodyDiv w:val="1"/>
      <w:marLeft w:val="0"/>
      <w:marRight w:val="0"/>
      <w:marTop w:val="0"/>
      <w:marBottom w:val="0"/>
      <w:divBdr>
        <w:top w:val="none" w:sz="0" w:space="0" w:color="auto"/>
        <w:left w:val="none" w:sz="0" w:space="0" w:color="auto"/>
        <w:bottom w:val="none" w:sz="0" w:space="0" w:color="auto"/>
        <w:right w:val="none" w:sz="0" w:space="0" w:color="auto"/>
      </w:divBdr>
    </w:div>
    <w:div w:id="89132446">
      <w:bodyDiv w:val="1"/>
      <w:marLeft w:val="0"/>
      <w:marRight w:val="0"/>
      <w:marTop w:val="0"/>
      <w:marBottom w:val="0"/>
      <w:divBdr>
        <w:top w:val="none" w:sz="0" w:space="0" w:color="auto"/>
        <w:left w:val="none" w:sz="0" w:space="0" w:color="auto"/>
        <w:bottom w:val="none" w:sz="0" w:space="0" w:color="auto"/>
        <w:right w:val="none" w:sz="0" w:space="0" w:color="auto"/>
      </w:divBdr>
    </w:div>
    <w:div w:id="90861984">
      <w:bodyDiv w:val="1"/>
      <w:marLeft w:val="0"/>
      <w:marRight w:val="0"/>
      <w:marTop w:val="0"/>
      <w:marBottom w:val="0"/>
      <w:divBdr>
        <w:top w:val="none" w:sz="0" w:space="0" w:color="auto"/>
        <w:left w:val="none" w:sz="0" w:space="0" w:color="auto"/>
        <w:bottom w:val="none" w:sz="0" w:space="0" w:color="auto"/>
        <w:right w:val="none" w:sz="0" w:space="0" w:color="auto"/>
      </w:divBdr>
      <w:divsChild>
        <w:div w:id="864292445">
          <w:marLeft w:val="547"/>
          <w:marRight w:val="0"/>
          <w:marTop w:val="0"/>
          <w:marBottom w:val="0"/>
          <w:divBdr>
            <w:top w:val="none" w:sz="0" w:space="0" w:color="auto"/>
            <w:left w:val="none" w:sz="0" w:space="0" w:color="auto"/>
            <w:bottom w:val="none" w:sz="0" w:space="0" w:color="auto"/>
            <w:right w:val="none" w:sz="0" w:space="0" w:color="auto"/>
          </w:divBdr>
        </w:div>
        <w:div w:id="907959983">
          <w:marLeft w:val="547"/>
          <w:marRight w:val="0"/>
          <w:marTop w:val="0"/>
          <w:marBottom w:val="0"/>
          <w:divBdr>
            <w:top w:val="none" w:sz="0" w:space="0" w:color="auto"/>
            <w:left w:val="none" w:sz="0" w:space="0" w:color="auto"/>
            <w:bottom w:val="none" w:sz="0" w:space="0" w:color="auto"/>
            <w:right w:val="none" w:sz="0" w:space="0" w:color="auto"/>
          </w:divBdr>
        </w:div>
      </w:divsChild>
    </w:div>
    <w:div w:id="91322830">
      <w:bodyDiv w:val="1"/>
      <w:marLeft w:val="0"/>
      <w:marRight w:val="0"/>
      <w:marTop w:val="0"/>
      <w:marBottom w:val="0"/>
      <w:divBdr>
        <w:top w:val="none" w:sz="0" w:space="0" w:color="auto"/>
        <w:left w:val="none" w:sz="0" w:space="0" w:color="auto"/>
        <w:bottom w:val="none" w:sz="0" w:space="0" w:color="auto"/>
        <w:right w:val="none" w:sz="0" w:space="0" w:color="auto"/>
      </w:divBdr>
      <w:divsChild>
        <w:div w:id="1954053666">
          <w:marLeft w:val="547"/>
          <w:marRight w:val="0"/>
          <w:marTop w:val="0"/>
          <w:marBottom w:val="0"/>
          <w:divBdr>
            <w:top w:val="none" w:sz="0" w:space="0" w:color="auto"/>
            <w:left w:val="none" w:sz="0" w:space="0" w:color="auto"/>
            <w:bottom w:val="none" w:sz="0" w:space="0" w:color="auto"/>
            <w:right w:val="none" w:sz="0" w:space="0" w:color="auto"/>
          </w:divBdr>
        </w:div>
      </w:divsChild>
    </w:div>
    <w:div w:id="95368826">
      <w:bodyDiv w:val="1"/>
      <w:marLeft w:val="0"/>
      <w:marRight w:val="0"/>
      <w:marTop w:val="0"/>
      <w:marBottom w:val="0"/>
      <w:divBdr>
        <w:top w:val="none" w:sz="0" w:space="0" w:color="auto"/>
        <w:left w:val="none" w:sz="0" w:space="0" w:color="auto"/>
        <w:bottom w:val="none" w:sz="0" w:space="0" w:color="auto"/>
        <w:right w:val="none" w:sz="0" w:space="0" w:color="auto"/>
      </w:divBdr>
    </w:div>
    <w:div w:id="123351841">
      <w:bodyDiv w:val="1"/>
      <w:marLeft w:val="0"/>
      <w:marRight w:val="0"/>
      <w:marTop w:val="0"/>
      <w:marBottom w:val="0"/>
      <w:divBdr>
        <w:top w:val="none" w:sz="0" w:space="0" w:color="auto"/>
        <w:left w:val="none" w:sz="0" w:space="0" w:color="auto"/>
        <w:bottom w:val="none" w:sz="0" w:space="0" w:color="auto"/>
        <w:right w:val="none" w:sz="0" w:space="0" w:color="auto"/>
      </w:divBdr>
      <w:divsChild>
        <w:div w:id="1278944739">
          <w:marLeft w:val="547"/>
          <w:marRight w:val="0"/>
          <w:marTop w:val="0"/>
          <w:marBottom w:val="0"/>
          <w:divBdr>
            <w:top w:val="none" w:sz="0" w:space="0" w:color="auto"/>
            <w:left w:val="none" w:sz="0" w:space="0" w:color="auto"/>
            <w:bottom w:val="none" w:sz="0" w:space="0" w:color="auto"/>
            <w:right w:val="none" w:sz="0" w:space="0" w:color="auto"/>
          </w:divBdr>
        </w:div>
      </w:divsChild>
    </w:div>
    <w:div w:id="191579848">
      <w:bodyDiv w:val="1"/>
      <w:marLeft w:val="0"/>
      <w:marRight w:val="0"/>
      <w:marTop w:val="0"/>
      <w:marBottom w:val="0"/>
      <w:divBdr>
        <w:top w:val="none" w:sz="0" w:space="0" w:color="auto"/>
        <w:left w:val="none" w:sz="0" w:space="0" w:color="auto"/>
        <w:bottom w:val="none" w:sz="0" w:space="0" w:color="auto"/>
        <w:right w:val="none" w:sz="0" w:space="0" w:color="auto"/>
      </w:divBdr>
    </w:div>
    <w:div w:id="229311850">
      <w:bodyDiv w:val="1"/>
      <w:marLeft w:val="0"/>
      <w:marRight w:val="0"/>
      <w:marTop w:val="0"/>
      <w:marBottom w:val="0"/>
      <w:divBdr>
        <w:top w:val="none" w:sz="0" w:space="0" w:color="auto"/>
        <w:left w:val="none" w:sz="0" w:space="0" w:color="auto"/>
        <w:bottom w:val="none" w:sz="0" w:space="0" w:color="auto"/>
        <w:right w:val="none" w:sz="0" w:space="0" w:color="auto"/>
      </w:divBdr>
      <w:divsChild>
        <w:div w:id="999235446">
          <w:marLeft w:val="547"/>
          <w:marRight w:val="0"/>
          <w:marTop w:val="0"/>
          <w:marBottom w:val="0"/>
          <w:divBdr>
            <w:top w:val="none" w:sz="0" w:space="0" w:color="auto"/>
            <w:left w:val="none" w:sz="0" w:space="0" w:color="auto"/>
            <w:bottom w:val="none" w:sz="0" w:space="0" w:color="auto"/>
            <w:right w:val="none" w:sz="0" w:space="0" w:color="auto"/>
          </w:divBdr>
        </w:div>
      </w:divsChild>
    </w:div>
    <w:div w:id="272979677">
      <w:bodyDiv w:val="1"/>
      <w:marLeft w:val="0"/>
      <w:marRight w:val="0"/>
      <w:marTop w:val="0"/>
      <w:marBottom w:val="0"/>
      <w:divBdr>
        <w:top w:val="none" w:sz="0" w:space="0" w:color="auto"/>
        <w:left w:val="none" w:sz="0" w:space="0" w:color="auto"/>
        <w:bottom w:val="none" w:sz="0" w:space="0" w:color="auto"/>
        <w:right w:val="none" w:sz="0" w:space="0" w:color="auto"/>
      </w:divBdr>
    </w:div>
    <w:div w:id="289014208">
      <w:bodyDiv w:val="1"/>
      <w:marLeft w:val="0"/>
      <w:marRight w:val="0"/>
      <w:marTop w:val="0"/>
      <w:marBottom w:val="0"/>
      <w:divBdr>
        <w:top w:val="none" w:sz="0" w:space="0" w:color="auto"/>
        <w:left w:val="none" w:sz="0" w:space="0" w:color="auto"/>
        <w:bottom w:val="none" w:sz="0" w:space="0" w:color="auto"/>
        <w:right w:val="none" w:sz="0" w:space="0" w:color="auto"/>
      </w:divBdr>
    </w:div>
    <w:div w:id="295307061">
      <w:bodyDiv w:val="1"/>
      <w:marLeft w:val="0"/>
      <w:marRight w:val="0"/>
      <w:marTop w:val="0"/>
      <w:marBottom w:val="0"/>
      <w:divBdr>
        <w:top w:val="none" w:sz="0" w:space="0" w:color="auto"/>
        <w:left w:val="none" w:sz="0" w:space="0" w:color="auto"/>
        <w:bottom w:val="none" w:sz="0" w:space="0" w:color="auto"/>
        <w:right w:val="none" w:sz="0" w:space="0" w:color="auto"/>
      </w:divBdr>
    </w:div>
    <w:div w:id="308216268">
      <w:bodyDiv w:val="1"/>
      <w:marLeft w:val="0"/>
      <w:marRight w:val="0"/>
      <w:marTop w:val="0"/>
      <w:marBottom w:val="0"/>
      <w:divBdr>
        <w:top w:val="none" w:sz="0" w:space="0" w:color="auto"/>
        <w:left w:val="none" w:sz="0" w:space="0" w:color="auto"/>
        <w:bottom w:val="none" w:sz="0" w:space="0" w:color="auto"/>
        <w:right w:val="none" w:sz="0" w:space="0" w:color="auto"/>
      </w:divBdr>
    </w:div>
    <w:div w:id="313679945">
      <w:bodyDiv w:val="1"/>
      <w:marLeft w:val="0"/>
      <w:marRight w:val="0"/>
      <w:marTop w:val="0"/>
      <w:marBottom w:val="0"/>
      <w:divBdr>
        <w:top w:val="none" w:sz="0" w:space="0" w:color="auto"/>
        <w:left w:val="none" w:sz="0" w:space="0" w:color="auto"/>
        <w:bottom w:val="none" w:sz="0" w:space="0" w:color="auto"/>
        <w:right w:val="none" w:sz="0" w:space="0" w:color="auto"/>
      </w:divBdr>
    </w:div>
    <w:div w:id="313991109">
      <w:bodyDiv w:val="1"/>
      <w:marLeft w:val="0"/>
      <w:marRight w:val="0"/>
      <w:marTop w:val="0"/>
      <w:marBottom w:val="0"/>
      <w:divBdr>
        <w:top w:val="none" w:sz="0" w:space="0" w:color="auto"/>
        <w:left w:val="none" w:sz="0" w:space="0" w:color="auto"/>
        <w:bottom w:val="none" w:sz="0" w:space="0" w:color="auto"/>
        <w:right w:val="none" w:sz="0" w:space="0" w:color="auto"/>
      </w:divBdr>
      <w:divsChild>
        <w:div w:id="470755805">
          <w:marLeft w:val="547"/>
          <w:marRight w:val="0"/>
          <w:marTop w:val="0"/>
          <w:marBottom w:val="0"/>
          <w:divBdr>
            <w:top w:val="none" w:sz="0" w:space="0" w:color="auto"/>
            <w:left w:val="none" w:sz="0" w:space="0" w:color="auto"/>
            <w:bottom w:val="none" w:sz="0" w:space="0" w:color="auto"/>
            <w:right w:val="none" w:sz="0" w:space="0" w:color="auto"/>
          </w:divBdr>
        </w:div>
        <w:div w:id="1016662234">
          <w:marLeft w:val="547"/>
          <w:marRight w:val="0"/>
          <w:marTop w:val="0"/>
          <w:marBottom w:val="0"/>
          <w:divBdr>
            <w:top w:val="none" w:sz="0" w:space="0" w:color="auto"/>
            <w:left w:val="none" w:sz="0" w:space="0" w:color="auto"/>
            <w:bottom w:val="none" w:sz="0" w:space="0" w:color="auto"/>
            <w:right w:val="none" w:sz="0" w:space="0" w:color="auto"/>
          </w:divBdr>
        </w:div>
      </w:divsChild>
    </w:div>
    <w:div w:id="324018707">
      <w:bodyDiv w:val="1"/>
      <w:marLeft w:val="0"/>
      <w:marRight w:val="0"/>
      <w:marTop w:val="0"/>
      <w:marBottom w:val="0"/>
      <w:divBdr>
        <w:top w:val="none" w:sz="0" w:space="0" w:color="auto"/>
        <w:left w:val="none" w:sz="0" w:space="0" w:color="auto"/>
        <w:bottom w:val="none" w:sz="0" w:space="0" w:color="auto"/>
        <w:right w:val="none" w:sz="0" w:space="0" w:color="auto"/>
      </w:divBdr>
    </w:div>
    <w:div w:id="332807340">
      <w:bodyDiv w:val="1"/>
      <w:marLeft w:val="0"/>
      <w:marRight w:val="0"/>
      <w:marTop w:val="0"/>
      <w:marBottom w:val="0"/>
      <w:divBdr>
        <w:top w:val="none" w:sz="0" w:space="0" w:color="auto"/>
        <w:left w:val="none" w:sz="0" w:space="0" w:color="auto"/>
        <w:bottom w:val="none" w:sz="0" w:space="0" w:color="auto"/>
        <w:right w:val="none" w:sz="0" w:space="0" w:color="auto"/>
      </w:divBdr>
    </w:div>
    <w:div w:id="351611257">
      <w:bodyDiv w:val="1"/>
      <w:marLeft w:val="0"/>
      <w:marRight w:val="0"/>
      <w:marTop w:val="0"/>
      <w:marBottom w:val="0"/>
      <w:divBdr>
        <w:top w:val="none" w:sz="0" w:space="0" w:color="auto"/>
        <w:left w:val="none" w:sz="0" w:space="0" w:color="auto"/>
        <w:bottom w:val="none" w:sz="0" w:space="0" w:color="auto"/>
        <w:right w:val="none" w:sz="0" w:space="0" w:color="auto"/>
      </w:divBdr>
    </w:div>
    <w:div w:id="379322789">
      <w:bodyDiv w:val="1"/>
      <w:marLeft w:val="0"/>
      <w:marRight w:val="0"/>
      <w:marTop w:val="0"/>
      <w:marBottom w:val="0"/>
      <w:divBdr>
        <w:top w:val="none" w:sz="0" w:space="0" w:color="auto"/>
        <w:left w:val="none" w:sz="0" w:space="0" w:color="auto"/>
        <w:bottom w:val="none" w:sz="0" w:space="0" w:color="auto"/>
        <w:right w:val="none" w:sz="0" w:space="0" w:color="auto"/>
      </w:divBdr>
      <w:divsChild>
        <w:div w:id="972059617">
          <w:marLeft w:val="547"/>
          <w:marRight w:val="0"/>
          <w:marTop w:val="154"/>
          <w:marBottom w:val="0"/>
          <w:divBdr>
            <w:top w:val="none" w:sz="0" w:space="0" w:color="auto"/>
            <w:left w:val="none" w:sz="0" w:space="0" w:color="auto"/>
            <w:bottom w:val="none" w:sz="0" w:space="0" w:color="auto"/>
            <w:right w:val="none" w:sz="0" w:space="0" w:color="auto"/>
          </w:divBdr>
        </w:div>
      </w:divsChild>
    </w:div>
    <w:div w:id="388265431">
      <w:bodyDiv w:val="1"/>
      <w:marLeft w:val="0"/>
      <w:marRight w:val="0"/>
      <w:marTop w:val="0"/>
      <w:marBottom w:val="0"/>
      <w:divBdr>
        <w:top w:val="none" w:sz="0" w:space="0" w:color="auto"/>
        <w:left w:val="none" w:sz="0" w:space="0" w:color="auto"/>
        <w:bottom w:val="none" w:sz="0" w:space="0" w:color="auto"/>
        <w:right w:val="none" w:sz="0" w:space="0" w:color="auto"/>
      </w:divBdr>
    </w:div>
    <w:div w:id="401368032">
      <w:bodyDiv w:val="1"/>
      <w:marLeft w:val="0"/>
      <w:marRight w:val="0"/>
      <w:marTop w:val="0"/>
      <w:marBottom w:val="0"/>
      <w:divBdr>
        <w:top w:val="none" w:sz="0" w:space="0" w:color="auto"/>
        <w:left w:val="none" w:sz="0" w:space="0" w:color="auto"/>
        <w:bottom w:val="none" w:sz="0" w:space="0" w:color="auto"/>
        <w:right w:val="none" w:sz="0" w:space="0" w:color="auto"/>
      </w:divBdr>
      <w:divsChild>
        <w:div w:id="1382513730">
          <w:marLeft w:val="547"/>
          <w:marRight w:val="0"/>
          <w:marTop w:val="154"/>
          <w:marBottom w:val="0"/>
          <w:divBdr>
            <w:top w:val="none" w:sz="0" w:space="0" w:color="auto"/>
            <w:left w:val="none" w:sz="0" w:space="0" w:color="auto"/>
            <w:bottom w:val="none" w:sz="0" w:space="0" w:color="auto"/>
            <w:right w:val="none" w:sz="0" w:space="0" w:color="auto"/>
          </w:divBdr>
        </w:div>
      </w:divsChild>
    </w:div>
    <w:div w:id="407970831">
      <w:bodyDiv w:val="1"/>
      <w:marLeft w:val="0"/>
      <w:marRight w:val="0"/>
      <w:marTop w:val="0"/>
      <w:marBottom w:val="0"/>
      <w:divBdr>
        <w:top w:val="none" w:sz="0" w:space="0" w:color="auto"/>
        <w:left w:val="none" w:sz="0" w:space="0" w:color="auto"/>
        <w:bottom w:val="none" w:sz="0" w:space="0" w:color="auto"/>
        <w:right w:val="none" w:sz="0" w:space="0" w:color="auto"/>
      </w:divBdr>
    </w:div>
    <w:div w:id="419836157">
      <w:bodyDiv w:val="1"/>
      <w:marLeft w:val="0"/>
      <w:marRight w:val="0"/>
      <w:marTop w:val="0"/>
      <w:marBottom w:val="0"/>
      <w:divBdr>
        <w:top w:val="none" w:sz="0" w:space="0" w:color="auto"/>
        <w:left w:val="none" w:sz="0" w:space="0" w:color="auto"/>
        <w:bottom w:val="none" w:sz="0" w:space="0" w:color="auto"/>
        <w:right w:val="none" w:sz="0" w:space="0" w:color="auto"/>
      </w:divBdr>
      <w:divsChild>
        <w:div w:id="59834679">
          <w:marLeft w:val="547"/>
          <w:marRight w:val="0"/>
          <w:marTop w:val="0"/>
          <w:marBottom w:val="0"/>
          <w:divBdr>
            <w:top w:val="none" w:sz="0" w:space="0" w:color="auto"/>
            <w:left w:val="none" w:sz="0" w:space="0" w:color="auto"/>
            <w:bottom w:val="none" w:sz="0" w:space="0" w:color="auto"/>
            <w:right w:val="none" w:sz="0" w:space="0" w:color="auto"/>
          </w:divBdr>
        </w:div>
      </w:divsChild>
    </w:div>
    <w:div w:id="420151967">
      <w:bodyDiv w:val="1"/>
      <w:marLeft w:val="0"/>
      <w:marRight w:val="0"/>
      <w:marTop w:val="0"/>
      <w:marBottom w:val="0"/>
      <w:divBdr>
        <w:top w:val="none" w:sz="0" w:space="0" w:color="auto"/>
        <w:left w:val="none" w:sz="0" w:space="0" w:color="auto"/>
        <w:bottom w:val="none" w:sz="0" w:space="0" w:color="auto"/>
        <w:right w:val="none" w:sz="0" w:space="0" w:color="auto"/>
      </w:divBdr>
    </w:div>
    <w:div w:id="424352091">
      <w:bodyDiv w:val="1"/>
      <w:marLeft w:val="0"/>
      <w:marRight w:val="0"/>
      <w:marTop w:val="0"/>
      <w:marBottom w:val="0"/>
      <w:divBdr>
        <w:top w:val="none" w:sz="0" w:space="0" w:color="auto"/>
        <w:left w:val="none" w:sz="0" w:space="0" w:color="auto"/>
        <w:bottom w:val="none" w:sz="0" w:space="0" w:color="auto"/>
        <w:right w:val="none" w:sz="0" w:space="0" w:color="auto"/>
      </w:divBdr>
    </w:div>
    <w:div w:id="450563017">
      <w:bodyDiv w:val="1"/>
      <w:marLeft w:val="0"/>
      <w:marRight w:val="0"/>
      <w:marTop w:val="0"/>
      <w:marBottom w:val="0"/>
      <w:divBdr>
        <w:top w:val="none" w:sz="0" w:space="0" w:color="auto"/>
        <w:left w:val="none" w:sz="0" w:space="0" w:color="auto"/>
        <w:bottom w:val="none" w:sz="0" w:space="0" w:color="auto"/>
        <w:right w:val="none" w:sz="0" w:space="0" w:color="auto"/>
      </w:divBdr>
    </w:div>
    <w:div w:id="452015875">
      <w:bodyDiv w:val="1"/>
      <w:marLeft w:val="0"/>
      <w:marRight w:val="0"/>
      <w:marTop w:val="0"/>
      <w:marBottom w:val="0"/>
      <w:divBdr>
        <w:top w:val="none" w:sz="0" w:space="0" w:color="auto"/>
        <w:left w:val="none" w:sz="0" w:space="0" w:color="auto"/>
        <w:bottom w:val="none" w:sz="0" w:space="0" w:color="auto"/>
        <w:right w:val="none" w:sz="0" w:space="0" w:color="auto"/>
      </w:divBdr>
    </w:div>
    <w:div w:id="535894286">
      <w:bodyDiv w:val="1"/>
      <w:marLeft w:val="0"/>
      <w:marRight w:val="0"/>
      <w:marTop w:val="0"/>
      <w:marBottom w:val="0"/>
      <w:divBdr>
        <w:top w:val="none" w:sz="0" w:space="0" w:color="auto"/>
        <w:left w:val="none" w:sz="0" w:space="0" w:color="auto"/>
        <w:bottom w:val="none" w:sz="0" w:space="0" w:color="auto"/>
        <w:right w:val="none" w:sz="0" w:space="0" w:color="auto"/>
      </w:divBdr>
      <w:divsChild>
        <w:div w:id="1151867146">
          <w:marLeft w:val="547"/>
          <w:marRight w:val="0"/>
          <w:marTop w:val="0"/>
          <w:marBottom w:val="0"/>
          <w:divBdr>
            <w:top w:val="none" w:sz="0" w:space="0" w:color="auto"/>
            <w:left w:val="none" w:sz="0" w:space="0" w:color="auto"/>
            <w:bottom w:val="none" w:sz="0" w:space="0" w:color="auto"/>
            <w:right w:val="none" w:sz="0" w:space="0" w:color="auto"/>
          </w:divBdr>
        </w:div>
      </w:divsChild>
    </w:div>
    <w:div w:id="540241850">
      <w:bodyDiv w:val="1"/>
      <w:marLeft w:val="0"/>
      <w:marRight w:val="0"/>
      <w:marTop w:val="0"/>
      <w:marBottom w:val="0"/>
      <w:divBdr>
        <w:top w:val="none" w:sz="0" w:space="0" w:color="auto"/>
        <w:left w:val="none" w:sz="0" w:space="0" w:color="auto"/>
        <w:bottom w:val="none" w:sz="0" w:space="0" w:color="auto"/>
        <w:right w:val="none" w:sz="0" w:space="0" w:color="auto"/>
      </w:divBdr>
    </w:div>
    <w:div w:id="561798156">
      <w:bodyDiv w:val="1"/>
      <w:marLeft w:val="0"/>
      <w:marRight w:val="0"/>
      <w:marTop w:val="0"/>
      <w:marBottom w:val="0"/>
      <w:divBdr>
        <w:top w:val="none" w:sz="0" w:space="0" w:color="auto"/>
        <w:left w:val="none" w:sz="0" w:space="0" w:color="auto"/>
        <w:bottom w:val="none" w:sz="0" w:space="0" w:color="auto"/>
        <w:right w:val="none" w:sz="0" w:space="0" w:color="auto"/>
      </w:divBdr>
    </w:div>
    <w:div w:id="567111978">
      <w:bodyDiv w:val="1"/>
      <w:marLeft w:val="0"/>
      <w:marRight w:val="0"/>
      <w:marTop w:val="0"/>
      <w:marBottom w:val="0"/>
      <w:divBdr>
        <w:top w:val="none" w:sz="0" w:space="0" w:color="auto"/>
        <w:left w:val="none" w:sz="0" w:space="0" w:color="auto"/>
        <w:bottom w:val="none" w:sz="0" w:space="0" w:color="auto"/>
        <w:right w:val="none" w:sz="0" w:space="0" w:color="auto"/>
      </w:divBdr>
      <w:divsChild>
        <w:div w:id="642345949">
          <w:marLeft w:val="547"/>
          <w:marRight w:val="0"/>
          <w:marTop w:val="0"/>
          <w:marBottom w:val="0"/>
          <w:divBdr>
            <w:top w:val="none" w:sz="0" w:space="0" w:color="auto"/>
            <w:left w:val="none" w:sz="0" w:space="0" w:color="auto"/>
            <w:bottom w:val="none" w:sz="0" w:space="0" w:color="auto"/>
            <w:right w:val="none" w:sz="0" w:space="0" w:color="auto"/>
          </w:divBdr>
        </w:div>
      </w:divsChild>
    </w:div>
    <w:div w:id="570193289">
      <w:bodyDiv w:val="1"/>
      <w:marLeft w:val="0"/>
      <w:marRight w:val="0"/>
      <w:marTop w:val="0"/>
      <w:marBottom w:val="0"/>
      <w:divBdr>
        <w:top w:val="none" w:sz="0" w:space="0" w:color="auto"/>
        <w:left w:val="none" w:sz="0" w:space="0" w:color="auto"/>
        <w:bottom w:val="none" w:sz="0" w:space="0" w:color="auto"/>
        <w:right w:val="none" w:sz="0" w:space="0" w:color="auto"/>
      </w:divBdr>
      <w:divsChild>
        <w:div w:id="705521091">
          <w:marLeft w:val="547"/>
          <w:marRight w:val="0"/>
          <w:marTop w:val="0"/>
          <w:marBottom w:val="0"/>
          <w:divBdr>
            <w:top w:val="none" w:sz="0" w:space="0" w:color="auto"/>
            <w:left w:val="none" w:sz="0" w:space="0" w:color="auto"/>
            <w:bottom w:val="none" w:sz="0" w:space="0" w:color="auto"/>
            <w:right w:val="none" w:sz="0" w:space="0" w:color="auto"/>
          </w:divBdr>
        </w:div>
      </w:divsChild>
    </w:div>
    <w:div w:id="592128543">
      <w:bodyDiv w:val="1"/>
      <w:marLeft w:val="0"/>
      <w:marRight w:val="0"/>
      <w:marTop w:val="0"/>
      <w:marBottom w:val="0"/>
      <w:divBdr>
        <w:top w:val="none" w:sz="0" w:space="0" w:color="auto"/>
        <w:left w:val="none" w:sz="0" w:space="0" w:color="auto"/>
        <w:bottom w:val="none" w:sz="0" w:space="0" w:color="auto"/>
        <w:right w:val="none" w:sz="0" w:space="0" w:color="auto"/>
      </w:divBdr>
    </w:div>
    <w:div w:id="606012701">
      <w:bodyDiv w:val="1"/>
      <w:marLeft w:val="0"/>
      <w:marRight w:val="0"/>
      <w:marTop w:val="0"/>
      <w:marBottom w:val="0"/>
      <w:divBdr>
        <w:top w:val="none" w:sz="0" w:space="0" w:color="auto"/>
        <w:left w:val="none" w:sz="0" w:space="0" w:color="auto"/>
        <w:bottom w:val="none" w:sz="0" w:space="0" w:color="auto"/>
        <w:right w:val="none" w:sz="0" w:space="0" w:color="auto"/>
      </w:divBdr>
      <w:divsChild>
        <w:div w:id="324823739">
          <w:marLeft w:val="547"/>
          <w:marRight w:val="0"/>
          <w:marTop w:val="134"/>
          <w:marBottom w:val="0"/>
          <w:divBdr>
            <w:top w:val="none" w:sz="0" w:space="0" w:color="auto"/>
            <w:left w:val="none" w:sz="0" w:space="0" w:color="auto"/>
            <w:bottom w:val="none" w:sz="0" w:space="0" w:color="auto"/>
            <w:right w:val="none" w:sz="0" w:space="0" w:color="auto"/>
          </w:divBdr>
        </w:div>
      </w:divsChild>
    </w:div>
    <w:div w:id="701517782">
      <w:bodyDiv w:val="1"/>
      <w:marLeft w:val="0"/>
      <w:marRight w:val="0"/>
      <w:marTop w:val="0"/>
      <w:marBottom w:val="0"/>
      <w:divBdr>
        <w:top w:val="none" w:sz="0" w:space="0" w:color="auto"/>
        <w:left w:val="none" w:sz="0" w:space="0" w:color="auto"/>
        <w:bottom w:val="none" w:sz="0" w:space="0" w:color="auto"/>
        <w:right w:val="none" w:sz="0" w:space="0" w:color="auto"/>
      </w:divBdr>
    </w:div>
    <w:div w:id="730466353">
      <w:bodyDiv w:val="1"/>
      <w:marLeft w:val="0"/>
      <w:marRight w:val="0"/>
      <w:marTop w:val="0"/>
      <w:marBottom w:val="0"/>
      <w:divBdr>
        <w:top w:val="none" w:sz="0" w:space="0" w:color="auto"/>
        <w:left w:val="none" w:sz="0" w:space="0" w:color="auto"/>
        <w:bottom w:val="none" w:sz="0" w:space="0" w:color="auto"/>
        <w:right w:val="none" w:sz="0" w:space="0" w:color="auto"/>
      </w:divBdr>
      <w:divsChild>
        <w:div w:id="174153671">
          <w:marLeft w:val="547"/>
          <w:marRight w:val="0"/>
          <w:marTop w:val="144"/>
          <w:marBottom w:val="0"/>
          <w:divBdr>
            <w:top w:val="none" w:sz="0" w:space="0" w:color="auto"/>
            <w:left w:val="none" w:sz="0" w:space="0" w:color="auto"/>
            <w:bottom w:val="none" w:sz="0" w:space="0" w:color="auto"/>
            <w:right w:val="none" w:sz="0" w:space="0" w:color="auto"/>
          </w:divBdr>
        </w:div>
        <w:div w:id="596332605">
          <w:marLeft w:val="1166"/>
          <w:marRight w:val="0"/>
          <w:marTop w:val="125"/>
          <w:marBottom w:val="0"/>
          <w:divBdr>
            <w:top w:val="none" w:sz="0" w:space="0" w:color="auto"/>
            <w:left w:val="none" w:sz="0" w:space="0" w:color="auto"/>
            <w:bottom w:val="none" w:sz="0" w:space="0" w:color="auto"/>
            <w:right w:val="none" w:sz="0" w:space="0" w:color="auto"/>
          </w:divBdr>
        </w:div>
        <w:div w:id="958074900">
          <w:marLeft w:val="547"/>
          <w:marRight w:val="0"/>
          <w:marTop w:val="144"/>
          <w:marBottom w:val="0"/>
          <w:divBdr>
            <w:top w:val="none" w:sz="0" w:space="0" w:color="auto"/>
            <w:left w:val="none" w:sz="0" w:space="0" w:color="auto"/>
            <w:bottom w:val="none" w:sz="0" w:space="0" w:color="auto"/>
            <w:right w:val="none" w:sz="0" w:space="0" w:color="auto"/>
          </w:divBdr>
        </w:div>
        <w:div w:id="1196312954">
          <w:marLeft w:val="547"/>
          <w:marRight w:val="0"/>
          <w:marTop w:val="144"/>
          <w:marBottom w:val="0"/>
          <w:divBdr>
            <w:top w:val="none" w:sz="0" w:space="0" w:color="auto"/>
            <w:left w:val="none" w:sz="0" w:space="0" w:color="auto"/>
            <w:bottom w:val="none" w:sz="0" w:space="0" w:color="auto"/>
            <w:right w:val="none" w:sz="0" w:space="0" w:color="auto"/>
          </w:divBdr>
        </w:div>
        <w:div w:id="298002801">
          <w:marLeft w:val="1166"/>
          <w:marRight w:val="0"/>
          <w:marTop w:val="134"/>
          <w:marBottom w:val="0"/>
          <w:divBdr>
            <w:top w:val="none" w:sz="0" w:space="0" w:color="auto"/>
            <w:left w:val="none" w:sz="0" w:space="0" w:color="auto"/>
            <w:bottom w:val="none" w:sz="0" w:space="0" w:color="auto"/>
            <w:right w:val="none" w:sz="0" w:space="0" w:color="auto"/>
          </w:divBdr>
        </w:div>
        <w:div w:id="620110131">
          <w:marLeft w:val="547"/>
          <w:marRight w:val="0"/>
          <w:marTop w:val="144"/>
          <w:marBottom w:val="0"/>
          <w:divBdr>
            <w:top w:val="none" w:sz="0" w:space="0" w:color="auto"/>
            <w:left w:val="none" w:sz="0" w:space="0" w:color="auto"/>
            <w:bottom w:val="none" w:sz="0" w:space="0" w:color="auto"/>
            <w:right w:val="none" w:sz="0" w:space="0" w:color="auto"/>
          </w:divBdr>
        </w:div>
      </w:divsChild>
    </w:div>
    <w:div w:id="743183450">
      <w:bodyDiv w:val="1"/>
      <w:marLeft w:val="0"/>
      <w:marRight w:val="0"/>
      <w:marTop w:val="0"/>
      <w:marBottom w:val="0"/>
      <w:divBdr>
        <w:top w:val="none" w:sz="0" w:space="0" w:color="auto"/>
        <w:left w:val="none" w:sz="0" w:space="0" w:color="auto"/>
        <w:bottom w:val="none" w:sz="0" w:space="0" w:color="auto"/>
        <w:right w:val="none" w:sz="0" w:space="0" w:color="auto"/>
      </w:divBdr>
    </w:div>
    <w:div w:id="772558016">
      <w:bodyDiv w:val="1"/>
      <w:marLeft w:val="0"/>
      <w:marRight w:val="0"/>
      <w:marTop w:val="0"/>
      <w:marBottom w:val="0"/>
      <w:divBdr>
        <w:top w:val="none" w:sz="0" w:space="0" w:color="auto"/>
        <w:left w:val="none" w:sz="0" w:space="0" w:color="auto"/>
        <w:bottom w:val="none" w:sz="0" w:space="0" w:color="auto"/>
        <w:right w:val="none" w:sz="0" w:space="0" w:color="auto"/>
      </w:divBdr>
    </w:div>
    <w:div w:id="796948408">
      <w:bodyDiv w:val="1"/>
      <w:marLeft w:val="0"/>
      <w:marRight w:val="0"/>
      <w:marTop w:val="0"/>
      <w:marBottom w:val="0"/>
      <w:divBdr>
        <w:top w:val="none" w:sz="0" w:space="0" w:color="auto"/>
        <w:left w:val="none" w:sz="0" w:space="0" w:color="auto"/>
        <w:bottom w:val="none" w:sz="0" w:space="0" w:color="auto"/>
        <w:right w:val="none" w:sz="0" w:space="0" w:color="auto"/>
      </w:divBdr>
      <w:divsChild>
        <w:div w:id="752044352">
          <w:marLeft w:val="547"/>
          <w:marRight w:val="0"/>
          <w:marTop w:val="0"/>
          <w:marBottom w:val="0"/>
          <w:divBdr>
            <w:top w:val="none" w:sz="0" w:space="0" w:color="auto"/>
            <w:left w:val="none" w:sz="0" w:space="0" w:color="auto"/>
            <w:bottom w:val="none" w:sz="0" w:space="0" w:color="auto"/>
            <w:right w:val="none" w:sz="0" w:space="0" w:color="auto"/>
          </w:divBdr>
        </w:div>
      </w:divsChild>
    </w:div>
    <w:div w:id="81595022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311507">
      <w:bodyDiv w:val="1"/>
      <w:marLeft w:val="0"/>
      <w:marRight w:val="0"/>
      <w:marTop w:val="0"/>
      <w:marBottom w:val="0"/>
      <w:divBdr>
        <w:top w:val="none" w:sz="0" w:space="0" w:color="auto"/>
        <w:left w:val="none" w:sz="0" w:space="0" w:color="auto"/>
        <w:bottom w:val="none" w:sz="0" w:space="0" w:color="auto"/>
        <w:right w:val="none" w:sz="0" w:space="0" w:color="auto"/>
      </w:divBdr>
    </w:div>
    <w:div w:id="862475640">
      <w:bodyDiv w:val="1"/>
      <w:marLeft w:val="0"/>
      <w:marRight w:val="0"/>
      <w:marTop w:val="0"/>
      <w:marBottom w:val="0"/>
      <w:divBdr>
        <w:top w:val="none" w:sz="0" w:space="0" w:color="auto"/>
        <w:left w:val="none" w:sz="0" w:space="0" w:color="auto"/>
        <w:bottom w:val="none" w:sz="0" w:space="0" w:color="auto"/>
        <w:right w:val="none" w:sz="0" w:space="0" w:color="auto"/>
      </w:divBdr>
    </w:div>
    <w:div w:id="869954802">
      <w:bodyDiv w:val="1"/>
      <w:marLeft w:val="0"/>
      <w:marRight w:val="0"/>
      <w:marTop w:val="0"/>
      <w:marBottom w:val="0"/>
      <w:divBdr>
        <w:top w:val="none" w:sz="0" w:space="0" w:color="auto"/>
        <w:left w:val="none" w:sz="0" w:space="0" w:color="auto"/>
        <w:bottom w:val="none" w:sz="0" w:space="0" w:color="auto"/>
        <w:right w:val="none" w:sz="0" w:space="0" w:color="auto"/>
      </w:divBdr>
    </w:div>
    <w:div w:id="924656940">
      <w:bodyDiv w:val="1"/>
      <w:marLeft w:val="0"/>
      <w:marRight w:val="0"/>
      <w:marTop w:val="0"/>
      <w:marBottom w:val="0"/>
      <w:divBdr>
        <w:top w:val="none" w:sz="0" w:space="0" w:color="auto"/>
        <w:left w:val="none" w:sz="0" w:space="0" w:color="auto"/>
        <w:bottom w:val="none" w:sz="0" w:space="0" w:color="auto"/>
        <w:right w:val="none" w:sz="0" w:space="0" w:color="auto"/>
      </w:divBdr>
    </w:div>
    <w:div w:id="974144712">
      <w:bodyDiv w:val="1"/>
      <w:marLeft w:val="0"/>
      <w:marRight w:val="0"/>
      <w:marTop w:val="0"/>
      <w:marBottom w:val="0"/>
      <w:divBdr>
        <w:top w:val="none" w:sz="0" w:space="0" w:color="auto"/>
        <w:left w:val="none" w:sz="0" w:space="0" w:color="auto"/>
        <w:bottom w:val="none" w:sz="0" w:space="0" w:color="auto"/>
        <w:right w:val="none" w:sz="0" w:space="0" w:color="auto"/>
      </w:divBdr>
    </w:div>
    <w:div w:id="1013847764">
      <w:bodyDiv w:val="1"/>
      <w:marLeft w:val="0"/>
      <w:marRight w:val="0"/>
      <w:marTop w:val="0"/>
      <w:marBottom w:val="0"/>
      <w:divBdr>
        <w:top w:val="none" w:sz="0" w:space="0" w:color="auto"/>
        <w:left w:val="none" w:sz="0" w:space="0" w:color="auto"/>
        <w:bottom w:val="none" w:sz="0" w:space="0" w:color="auto"/>
        <w:right w:val="none" w:sz="0" w:space="0" w:color="auto"/>
      </w:divBdr>
    </w:div>
    <w:div w:id="1022128455">
      <w:bodyDiv w:val="1"/>
      <w:marLeft w:val="0"/>
      <w:marRight w:val="0"/>
      <w:marTop w:val="0"/>
      <w:marBottom w:val="0"/>
      <w:divBdr>
        <w:top w:val="none" w:sz="0" w:space="0" w:color="auto"/>
        <w:left w:val="none" w:sz="0" w:space="0" w:color="auto"/>
        <w:bottom w:val="none" w:sz="0" w:space="0" w:color="auto"/>
        <w:right w:val="none" w:sz="0" w:space="0" w:color="auto"/>
      </w:divBdr>
    </w:div>
    <w:div w:id="1029648483">
      <w:bodyDiv w:val="1"/>
      <w:marLeft w:val="0"/>
      <w:marRight w:val="0"/>
      <w:marTop w:val="0"/>
      <w:marBottom w:val="0"/>
      <w:divBdr>
        <w:top w:val="none" w:sz="0" w:space="0" w:color="auto"/>
        <w:left w:val="none" w:sz="0" w:space="0" w:color="auto"/>
        <w:bottom w:val="none" w:sz="0" w:space="0" w:color="auto"/>
        <w:right w:val="none" w:sz="0" w:space="0" w:color="auto"/>
      </w:divBdr>
      <w:divsChild>
        <w:div w:id="117572967">
          <w:marLeft w:val="432"/>
          <w:marRight w:val="0"/>
          <w:marTop w:val="0"/>
          <w:marBottom w:val="0"/>
          <w:divBdr>
            <w:top w:val="none" w:sz="0" w:space="0" w:color="auto"/>
            <w:left w:val="none" w:sz="0" w:space="0" w:color="auto"/>
            <w:bottom w:val="none" w:sz="0" w:space="0" w:color="auto"/>
            <w:right w:val="none" w:sz="0" w:space="0" w:color="auto"/>
          </w:divBdr>
        </w:div>
        <w:div w:id="1887831152">
          <w:marLeft w:val="432"/>
          <w:marRight w:val="0"/>
          <w:marTop w:val="0"/>
          <w:marBottom w:val="0"/>
          <w:divBdr>
            <w:top w:val="none" w:sz="0" w:space="0" w:color="auto"/>
            <w:left w:val="none" w:sz="0" w:space="0" w:color="auto"/>
            <w:bottom w:val="none" w:sz="0" w:space="0" w:color="auto"/>
            <w:right w:val="none" w:sz="0" w:space="0" w:color="auto"/>
          </w:divBdr>
        </w:div>
      </w:divsChild>
    </w:div>
    <w:div w:id="1030380613">
      <w:bodyDiv w:val="1"/>
      <w:marLeft w:val="0"/>
      <w:marRight w:val="0"/>
      <w:marTop w:val="0"/>
      <w:marBottom w:val="0"/>
      <w:divBdr>
        <w:top w:val="none" w:sz="0" w:space="0" w:color="auto"/>
        <w:left w:val="none" w:sz="0" w:space="0" w:color="auto"/>
        <w:bottom w:val="none" w:sz="0" w:space="0" w:color="auto"/>
        <w:right w:val="none" w:sz="0" w:space="0" w:color="auto"/>
      </w:divBdr>
      <w:divsChild>
        <w:div w:id="1735661371">
          <w:marLeft w:val="547"/>
          <w:marRight w:val="0"/>
          <w:marTop w:val="154"/>
          <w:marBottom w:val="0"/>
          <w:divBdr>
            <w:top w:val="none" w:sz="0" w:space="0" w:color="auto"/>
            <w:left w:val="none" w:sz="0" w:space="0" w:color="auto"/>
            <w:bottom w:val="none" w:sz="0" w:space="0" w:color="auto"/>
            <w:right w:val="none" w:sz="0" w:space="0" w:color="auto"/>
          </w:divBdr>
        </w:div>
      </w:divsChild>
    </w:div>
    <w:div w:id="1079055986">
      <w:bodyDiv w:val="1"/>
      <w:marLeft w:val="0"/>
      <w:marRight w:val="0"/>
      <w:marTop w:val="0"/>
      <w:marBottom w:val="0"/>
      <w:divBdr>
        <w:top w:val="none" w:sz="0" w:space="0" w:color="auto"/>
        <w:left w:val="none" w:sz="0" w:space="0" w:color="auto"/>
        <w:bottom w:val="none" w:sz="0" w:space="0" w:color="auto"/>
        <w:right w:val="none" w:sz="0" w:space="0" w:color="auto"/>
      </w:divBdr>
    </w:div>
    <w:div w:id="1116674100">
      <w:bodyDiv w:val="1"/>
      <w:marLeft w:val="0"/>
      <w:marRight w:val="0"/>
      <w:marTop w:val="0"/>
      <w:marBottom w:val="0"/>
      <w:divBdr>
        <w:top w:val="none" w:sz="0" w:space="0" w:color="auto"/>
        <w:left w:val="none" w:sz="0" w:space="0" w:color="auto"/>
        <w:bottom w:val="none" w:sz="0" w:space="0" w:color="auto"/>
        <w:right w:val="none" w:sz="0" w:space="0" w:color="auto"/>
      </w:divBdr>
    </w:div>
    <w:div w:id="1124888098">
      <w:bodyDiv w:val="1"/>
      <w:marLeft w:val="0"/>
      <w:marRight w:val="0"/>
      <w:marTop w:val="0"/>
      <w:marBottom w:val="0"/>
      <w:divBdr>
        <w:top w:val="none" w:sz="0" w:space="0" w:color="auto"/>
        <w:left w:val="none" w:sz="0" w:space="0" w:color="auto"/>
        <w:bottom w:val="none" w:sz="0" w:space="0" w:color="auto"/>
        <w:right w:val="none" w:sz="0" w:space="0" w:color="auto"/>
      </w:divBdr>
    </w:div>
    <w:div w:id="1164319672">
      <w:bodyDiv w:val="1"/>
      <w:marLeft w:val="0"/>
      <w:marRight w:val="0"/>
      <w:marTop w:val="0"/>
      <w:marBottom w:val="0"/>
      <w:divBdr>
        <w:top w:val="none" w:sz="0" w:space="0" w:color="auto"/>
        <w:left w:val="none" w:sz="0" w:space="0" w:color="auto"/>
        <w:bottom w:val="none" w:sz="0" w:space="0" w:color="auto"/>
        <w:right w:val="none" w:sz="0" w:space="0" w:color="auto"/>
      </w:divBdr>
    </w:div>
    <w:div w:id="1164977153">
      <w:bodyDiv w:val="1"/>
      <w:marLeft w:val="0"/>
      <w:marRight w:val="0"/>
      <w:marTop w:val="0"/>
      <w:marBottom w:val="0"/>
      <w:divBdr>
        <w:top w:val="none" w:sz="0" w:space="0" w:color="auto"/>
        <w:left w:val="none" w:sz="0" w:space="0" w:color="auto"/>
        <w:bottom w:val="none" w:sz="0" w:space="0" w:color="auto"/>
        <w:right w:val="none" w:sz="0" w:space="0" w:color="auto"/>
      </w:divBdr>
    </w:div>
    <w:div w:id="1241403073">
      <w:bodyDiv w:val="1"/>
      <w:marLeft w:val="0"/>
      <w:marRight w:val="0"/>
      <w:marTop w:val="0"/>
      <w:marBottom w:val="0"/>
      <w:divBdr>
        <w:top w:val="none" w:sz="0" w:space="0" w:color="auto"/>
        <w:left w:val="none" w:sz="0" w:space="0" w:color="auto"/>
        <w:bottom w:val="none" w:sz="0" w:space="0" w:color="auto"/>
        <w:right w:val="none" w:sz="0" w:space="0" w:color="auto"/>
      </w:divBdr>
    </w:div>
    <w:div w:id="1253592178">
      <w:bodyDiv w:val="1"/>
      <w:marLeft w:val="0"/>
      <w:marRight w:val="0"/>
      <w:marTop w:val="0"/>
      <w:marBottom w:val="0"/>
      <w:divBdr>
        <w:top w:val="none" w:sz="0" w:space="0" w:color="auto"/>
        <w:left w:val="none" w:sz="0" w:space="0" w:color="auto"/>
        <w:bottom w:val="none" w:sz="0" w:space="0" w:color="auto"/>
        <w:right w:val="none" w:sz="0" w:space="0" w:color="auto"/>
      </w:divBdr>
      <w:divsChild>
        <w:div w:id="457141795">
          <w:marLeft w:val="0"/>
          <w:marRight w:val="0"/>
          <w:marTop w:val="0"/>
          <w:marBottom w:val="0"/>
          <w:divBdr>
            <w:top w:val="none" w:sz="0" w:space="0" w:color="auto"/>
            <w:left w:val="none" w:sz="0" w:space="0" w:color="auto"/>
            <w:bottom w:val="none" w:sz="0" w:space="0" w:color="auto"/>
            <w:right w:val="none" w:sz="0" w:space="0" w:color="auto"/>
          </w:divBdr>
          <w:divsChild>
            <w:div w:id="1137452534">
              <w:marLeft w:val="0"/>
              <w:marRight w:val="240"/>
              <w:marTop w:val="0"/>
              <w:marBottom w:val="0"/>
              <w:divBdr>
                <w:top w:val="none" w:sz="0" w:space="0" w:color="auto"/>
                <w:left w:val="none" w:sz="0" w:space="0" w:color="auto"/>
                <w:bottom w:val="none" w:sz="0" w:space="0" w:color="auto"/>
                <w:right w:val="none" w:sz="0" w:space="0" w:color="auto"/>
              </w:divBdr>
            </w:div>
            <w:div w:id="1896236831">
              <w:marLeft w:val="0"/>
              <w:marRight w:val="0"/>
              <w:marTop w:val="0"/>
              <w:marBottom w:val="0"/>
              <w:divBdr>
                <w:top w:val="none" w:sz="0" w:space="0" w:color="auto"/>
                <w:left w:val="none" w:sz="0" w:space="0" w:color="auto"/>
                <w:bottom w:val="none" w:sz="0" w:space="0" w:color="auto"/>
                <w:right w:val="none" w:sz="0" w:space="0" w:color="auto"/>
              </w:divBdr>
            </w:div>
          </w:divsChild>
        </w:div>
        <w:div w:id="265357791">
          <w:marLeft w:val="0"/>
          <w:marRight w:val="0"/>
          <w:marTop w:val="0"/>
          <w:marBottom w:val="0"/>
          <w:divBdr>
            <w:top w:val="none" w:sz="0" w:space="0" w:color="auto"/>
            <w:left w:val="none" w:sz="0" w:space="0" w:color="auto"/>
            <w:bottom w:val="none" w:sz="0" w:space="0" w:color="auto"/>
            <w:right w:val="none" w:sz="0" w:space="0" w:color="auto"/>
          </w:divBdr>
          <w:divsChild>
            <w:div w:id="1283027136">
              <w:marLeft w:val="0"/>
              <w:marRight w:val="240"/>
              <w:marTop w:val="0"/>
              <w:marBottom w:val="0"/>
              <w:divBdr>
                <w:top w:val="none" w:sz="0" w:space="0" w:color="auto"/>
                <w:left w:val="none" w:sz="0" w:space="0" w:color="auto"/>
                <w:bottom w:val="none" w:sz="0" w:space="0" w:color="auto"/>
                <w:right w:val="none" w:sz="0" w:space="0" w:color="auto"/>
              </w:divBdr>
            </w:div>
            <w:div w:id="8024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431">
      <w:bodyDiv w:val="1"/>
      <w:marLeft w:val="0"/>
      <w:marRight w:val="0"/>
      <w:marTop w:val="0"/>
      <w:marBottom w:val="0"/>
      <w:divBdr>
        <w:top w:val="none" w:sz="0" w:space="0" w:color="auto"/>
        <w:left w:val="none" w:sz="0" w:space="0" w:color="auto"/>
        <w:bottom w:val="none" w:sz="0" w:space="0" w:color="auto"/>
        <w:right w:val="none" w:sz="0" w:space="0" w:color="auto"/>
      </w:divBdr>
    </w:div>
    <w:div w:id="1328442638">
      <w:bodyDiv w:val="1"/>
      <w:marLeft w:val="0"/>
      <w:marRight w:val="0"/>
      <w:marTop w:val="0"/>
      <w:marBottom w:val="0"/>
      <w:divBdr>
        <w:top w:val="none" w:sz="0" w:space="0" w:color="auto"/>
        <w:left w:val="none" w:sz="0" w:space="0" w:color="auto"/>
        <w:bottom w:val="none" w:sz="0" w:space="0" w:color="auto"/>
        <w:right w:val="none" w:sz="0" w:space="0" w:color="auto"/>
      </w:divBdr>
      <w:divsChild>
        <w:div w:id="91977982">
          <w:marLeft w:val="547"/>
          <w:marRight w:val="0"/>
          <w:marTop w:val="0"/>
          <w:marBottom w:val="0"/>
          <w:divBdr>
            <w:top w:val="none" w:sz="0" w:space="0" w:color="auto"/>
            <w:left w:val="none" w:sz="0" w:space="0" w:color="auto"/>
            <w:bottom w:val="none" w:sz="0" w:space="0" w:color="auto"/>
            <w:right w:val="none" w:sz="0" w:space="0" w:color="auto"/>
          </w:divBdr>
        </w:div>
      </w:divsChild>
    </w:div>
    <w:div w:id="1358577738">
      <w:bodyDiv w:val="1"/>
      <w:marLeft w:val="0"/>
      <w:marRight w:val="0"/>
      <w:marTop w:val="0"/>
      <w:marBottom w:val="0"/>
      <w:divBdr>
        <w:top w:val="none" w:sz="0" w:space="0" w:color="auto"/>
        <w:left w:val="none" w:sz="0" w:space="0" w:color="auto"/>
        <w:bottom w:val="none" w:sz="0" w:space="0" w:color="auto"/>
        <w:right w:val="none" w:sz="0" w:space="0" w:color="auto"/>
      </w:divBdr>
    </w:div>
    <w:div w:id="1388333007">
      <w:bodyDiv w:val="1"/>
      <w:marLeft w:val="0"/>
      <w:marRight w:val="0"/>
      <w:marTop w:val="0"/>
      <w:marBottom w:val="0"/>
      <w:divBdr>
        <w:top w:val="none" w:sz="0" w:space="0" w:color="auto"/>
        <w:left w:val="none" w:sz="0" w:space="0" w:color="auto"/>
        <w:bottom w:val="none" w:sz="0" w:space="0" w:color="auto"/>
        <w:right w:val="none" w:sz="0" w:space="0" w:color="auto"/>
      </w:divBdr>
    </w:div>
    <w:div w:id="1411581899">
      <w:bodyDiv w:val="1"/>
      <w:marLeft w:val="0"/>
      <w:marRight w:val="0"/>
      <w:marTop w:val="0"/>
      <w:marBottom w:val="0"/>
      <w:divBdr>
        <w:top w:val="none" w:sz="0" w:space="0" w:color="auto"/>
        <w:left w:val="none" w:sz="0" w:space="0" w:color="auto"/>
        <w:bottom w:val="none" w:sz="0" w:space="0" w:color="auto"/>
        <w:right w:val="none" w:sz="0" w:space="0" w:color="auto"/>
      </w:divBdr>
      <w:divsChild>
        <w:div w:id="1505783101">
          <w:marLeft w:val="547"/>
          <w:marRight w:val="0"/>
          <w:marTop w:val="0"/>
          <w:marBottom w:val="0"/>
          <w:divBdr>
            <w:top w:val="none" w:sz="0" w:space="0" w:color="auto"/>
            <w:left w:val="none" w:sz="0" w:space="0" w:color="auto"/>
            <w:bottom w:val="none" w:sz="0" w:space="0" w:color="auto"/>
            <w:right w:val="none" w:sz="0" w:space="0" w:color="auto"/>
          </w:divBdr>
        </w:div>
      </w:divsChild>
    </w:div>
    <w:div w:id="1437673278">
      <w:bodyDiv w:val="1"/>
      <w:marLeft w:val="0"/>
      <w:marRight w:val="0"/>
      <w:marTop w:val="0"/>
      <w:marBottom w:val="0"/>
      <w:divBdr>
        <w:top w:val="none" w:sz="0" w:space="0" w:color="auto"/>
        <w:left w:val="none" w:sz="0" w:space="0" w:color="auto"/>
        <w:bottom w:val="none" w:sz="0" w:space="0" w:color="auto"/>
        <w:right w:val="none" w:sz="0" w:space="0" w:color="auto"/>
      </w:divBdr>
    </w:div>
    <w:div w:id="1476288972">
      <w:bodyDiv w:val="1"/>
      <w:marLeft w:val="0"/>
      <w:marRight w:val="0"/>
      <w:marTop w:val="0"/>
      <w:marBottom w:val="0"/>
      <w:divBdr>
        <w:top w:val="none" w:sz="0" w:space="0" w:color="auto"/>
        <w:left w:val="none" w:sz="0" w:space="0" w:color="auto"/>
        <w:bottom w:val="none" w:sz="0" w:space="0" w:color="auto"/>
        <w:right w:val="none" w:sz="0" w:space="0" w:color="auto"/>
      </w:divBdr>
    </w:div>
    <w:div w:id="1495410985">
      <w:bodyDiv w:val="1"/>
      <w:marLeft w:val="0"/>
      <w:marRight w:val="0"/>
      <w:marTop w:val="0"/>
      <w:marBottom w:val="0"/>
      <w:divBdr>
        <w:top w:val="none" w:sz="0" w:space="0" w:color="auto"/>
        <w:left w:val="none" w:sz="0" w:space="0" w:color="auto"/>
        <w:bottom w:val="none" w:sz="0" w:space="0" w:color="auto"/>
        <w:right w:val="none" w:sz="0" w:space="0" w:color="auto"/>
      </w:divBdr>
    </w:div>
    <w:div w:id="1533684917">
      <w:bodyDiv w:val="1"/>
      <w:marLeft w:val="0"/>
      <w:marRight w:val="0"/>
      <w:marTop w:val="0"/>
      <w:marBottom w:val="0"/>
      <w:divBdr>
        <w:top w:val="none" w:sz="0" w:space="0" w:color="auto"/>
        <w:left w:val="none" w:sz="0" w:space="0" w:color="auto"/>
        <w:bottom w:val="none" w:sz="0" w:space="0" w:color="auto"/>
        <w:right w:val="none" w:sz="0" w:space="0" w:color="auto"/>
      </w:divBdr>
    </w:div>
    <w:div w:id="1547449980">
      <w:bodyDiv w:val="1"/>
      <w:marLeft w:val="0"/>
      <w:marRight w:val="0"/>
      <w:marTop w:val="0"/>
      <w:marBottom w:val="0"/>
      <w:divBdr>
        <w:top w:val="none" w:sz="0" w:space="0" w:color="auto"/>
        <w:left w:val="none" w:sz="0" w:space="0" w:color="auto"/>
        <w:bottom w:val="none" w:sz="0" w:space="0" w:color="auto"/>
        <w:right w:val="none" w:sz="0" w:space="0" w:color="auto"/>
      </w:divBdr>
    </w:div>
    <w:div w:id="1554124591">
      <w:bodyDiv w:val="1"/>
      <w:marLeft w:val="0"/>
      <w:marRight w:val="0"/>
      <w:marTop w:val="0"/>
      <w:marBottom w:val="0"/>
      <w:divBdr>
        <w:top w:val="none" w:sz="0" w:space="0" w:color="auto"/>
        <w:left w:val="none" w:sz="0" w:space="0" w:color="auto"/>
        <w:bottom w:val="none" w:sz="0" w:space="0" w:color="auto"/>
        <w:right w:val="none" w:sz="0" w:space="0" w:color="auto"/>
      </w:divBdr>
    </w:div>
    <w:div w:id="1563712164">
      <w:bodyDiv w:val="1"/>
      <w:marLeft w:val="0"/>
      <w:marRight w:val="0"/>
      <w:marTop w:val="0"/>
      <w:marBottom w:val="0"/>
      <w:divBdr>
        <w:top w:val="none" w:sz="0" w:space="0" w:color="auto"/>
        <w:left w:val="none" w:sz="0" w:space="0" w:color="auto"/>
        <w:bottom w:val="none" w:sz="0" w:space="0" w:color="auto"/>
        <w:right w:val="none" w:sz="0" w:space="0" w:color="auto"/>
      </w:divBdr>
    </w:div>
    <w:div w:id="1632707269">
      <w:bodyDiv w:val="1"/>
      <w:marLeft w:val="0"/>
      <w:marRight w:val="0"/>
      <w:marTop w:val="0"/>
      <w:marBottom w:val="0"/>
      <w:divBdr>
        <w:top w:val="none" w:sz="0" w:space="0" w:color="auto"/>
        <w:left w:val="none" w:sz="0" w:space="0" w:color="auto"/>
        <w:bottom w:val="none" w:sz="0" w:space="0" w:color="auto"/>
        <w:right w:val="none" w:sz="0" w:space="0" w:color="auto"/>
      </w:divBdr>
      <w:divsChild>
        <w:div w:id="1525359714">
          <w:marLeft w:val="547"/>
          <w:marRight w:val="0"/>
          <w:marTop w:val="0"/>
          <w:marBottom w:val="0"/>
          <w:divBdr>
            <w:top w:val="none" w:sz="0" w:space="0" w:color="auto"/>
            <w:left w:val="none" w:sz="0" w:space="0" w:color="auto"/>
            <w:bottom w:val="none" w:sz="0" w:space="0" w:color="auto"/>
            <w:right w:val="none" w:sz="0" w:space="0" w:color="auto"/>
          </w:divBdr>
        </w:div>
      </w:divsChild>
    </w:div>
    <w:div w:id="1637182951">
      <w:bodyDiv w:val="1"/>
      <w:marLeft w:val="0"/>
      <w:marRight w:val="0"/>
      <w:marTop w:val="0"/>
      <w:marBottom w:val="0"/>
      <w:divBdr>
        <w:top w:val="none" w:sz="0" w:space="0" w:color="auto"/>
        <w:left w:val="none" w:sz="0" w:space="0" w:color="auto"/>
        <w:bottom w:val="none" w:sz="0" w:space="0" w:color="auto"/>
        <w:right w:val="none" w:sz="0" w:space="0" w:color="auto"/>
      </w:divBdr>
    </w:div>
    <w:div w:id="1653290619">
      <w:bodyDiv w:val="1"/>
      <w:marLeft w:val="0"/>
      <w:marRight w:val="0"/>
      <w:marTop w:val="0"/>
      <w:marBottom w:val="0"/>
      <w:divBdr>
        <w:top w:val="none" w:sz="0" w:space="0" w:color="auto"/>
        <w:left w:val="none" w:sz="0" w:space="0" w:color="auto"/>
        <w:bottom w:val="none" w:sz="0" w:space="0" w:color="auto"/>
        <w:right w:val="none" w:sz="0" w:space="0" w:color="auto"/>
      </w:divBdr>
    </w:div>
    <w:div w:id="1653291403">
      <w:bodyDiv w:val="1"/>
      <w:marLeft w:val="0"/>
      <w:marRight w:val="0"/>
      <w:marTop w:val="0"/>
      <w:marBottom w:val="0"/>
      <w:divBdr>
        <w:top w:val="none" w:sz="0" w:space="0" w:color="auto"/>
        <w:left w:val="none" w:sz="0" w:space="0" w:color="auto"/>
        <w:bottom w:val="none" w:sz="0" w:space="0" w:color="auto"/>
        <w:right w:val="none" w:sz="0" w:space="0" w:color="auto"/>
      </w:divBdr>
    </w:div>
    <w:div w:id="1653484632">
      <w:bodyDiv w:val="1"/>
      <w:marLeft w:val="0"/>
      <w:marRight w:val="0"/>
      <w:marTop w:val="0"/>
      <w:marBottom w:val="0"/>
      <w:divBdr>
        <w:top w:val="none" w:sz="0" w:space="0" w:color="auto"/>
        <w:left w:val="none" w:sz="0" w:space="0" w:color="auto"/>
        <w:bottom w:val="none" w:sz="0" w:space="0" w:color="auto"/>
        <w:right w:val="none" w:sz="0" w:space="0" w:color="auto"/>
      </w:divBdr>
    </w:div>
    <w:div w:id="1680161147">
      <w:bodyDiv w:val="1"/>
      <w:marLeft w:val="0"/>
      <w:marRight w:val="0"/>
      <w:marTop w:val="0"/>
      <w:marBottom w:val="0"/>
      <w:divBdr>
        <w:top w:val="none" w:sz="0" w:space="0" w:color="auto"/>
        <w:left w:val="none" w:sz="0" w:space="0" w:color="auto"/>
        <w:bottom w:val="none" w:sz="0" w:space="0" w:color="auto"/>
        <w:right w:val="none" w:sz="0" w:space="0" w:color="auto"/>
      </w:divBdr>
    </w:div>
    <w:div w:id="1688554192">
      <w:bodyDiv w:val="1"/>
      <w:marLeft w:val="0"/>
      <w:marRight w:val="0"/>
      <w:marTop w:val="0"/>
      <w:marBottom w:val="0"/>
      <w:divBdr>
        <w:top w:val="none" w:sz="0" w:space="0" w:color="auto"/>
        <w:left w:val="none" w:sz="0" w:space="0" w:color="auto"/>
        <w:bottom w:val="none" w:sz="0" w:space="0" w:color="auto"/>
        <w:right w:val="none" w:sz="0" w:space="0" w:color="auto"/>
      </w:divBdr>
    </w:div>
    <w:div w:id="1739088377">
      <w:bodyDiv w:val="1"/>
      <w:marLeft w:val="0"/>
      <w:marRight w:val="0"/>
      <w:marTop w:val="0"/>
      <w:marBottom w:val="0"/>
      <w:divBdr>
        <w:top w:val="none" w:sz="0" w:space="0" w:color="auto"/>
        <w:left w:val="none" w:sz="0" w:space="0" w:color="auto"/>
        <w:bottom w:val="none" w:sz="0" w:space="0" w:color="auto"/>
        <w:right w:val="none" w:sz="0" w:space="0" w:color="auto"/>
      </w:divBdr>
    </w:div>
    <w:div w:id="1742092665">
      <w:bodyDiv w:val="1"/>
      <w:marLeft w:val="0"/>
      <w:marRight w:val="0"/>
      <w:marTop w:val="0"/>
      <w:marBottom w:val="0"/>
      <w:divBdr>
        <w:top w:val="none" w:sz="0" w:space="0" w:color="auto"/>
        <w:left w:val="none" w:sz="0" w:space="0" w:color="auto"/>
        <w:bottom w:val="none" w:sz="0" w:space="0" w:color="auto"/>
        <w:right w:val="none" w:sz="0" w:space="0" w:color="auto"/>
      </w:divBdr>
    </w:div>
    <w:div w:id="1810857098">
      <w:bodyDiv w:val="1"/>
      <w:marLeft w:val="0"/>
      <w:marRight w:val="0"/>
      <w:marTop w:val="0"/>
      <w:marBottom w:val="0"/>
      <w:divBdr>
        <w:top w:val="none" w:sz="0" w:space="0" w:color="auto"/>
        <w:left w:val="none" w:sz="0" w:space="0" w:color="auto"/>
        <w:bottom w:val="none" w:sz="0" w:space="0" w:color="auto"/>
        <w:right w:val="none" w:sz="0" w:space="0" w:color="auto"/>
      </w:divBdr>
    </w:div>
    <w:div w:id="1819421022">
      <w:bodyDiv w:val="1"/>
      <w:marLeft w:val="0"/>
      <w:marRight w:val="0"/>
      <w:marTop w:val="0"/>
      <w:marBottom w:val="0"/>
      <w:divBdr>
        <w:top w:val="none" w:sz="0" w:space="0" w:color="auto"/>
        <w:left w:val="none" w:sz="0" w:space="0" w:color="auto"/>
        <w:bottom w:val="none" w:sz="0" w:space="0" w:color="auto"/>
        <w:right w:val="none" w:sz="0" w:space="0" w:color="auto"/>
      </w:divBdr>
    </w:div>
    <w:div w:id="1823504704">
      <w:bodyDiv w:val="1"/>
      <w:marLeft w:val="0"/>
      <w:marRight w:val="0"/>
      <w:marTop w:val="0"/>
      <w:marBottom w:val="0"/>
      <w:divBdr>
        <w:top w:val="none" w:sz="0" w:space="0" w:color="auto"/>
        <w:left w:val="none" w:sz="0" w:space="0" w:color="auto"/>
        <w:bottom w:val="none" w:sz="0" w:space="0" w:color="auto"/>
        <w:right w:val="none" w:sz="0" w:space="0" w:color="auto"/>
      </w:divBdr>
    </w:div>
    <w:div w:id="1828324183">
      <w:bodyDiv w:val="1"/>
      <w:marLeft w:val="0"/>
      <w:marRight w:val="0"/>
      <w:marTop w:val="0"/>
      <w:marBottom w:val="0"/>
      <w:divBdr>
        <w:top w:val="none" w:sz="0" w:space="0" w:color="auto"/>
        <w:left w:val="none" w:sz="0" w:space="0" w:color="auto"/>
        <w:bottom w:val="none" w:sz="0" w:space="0" w:color="auto"/>
        <w:right w:val="none" w:sz="0" w:space="0" w:color="auto"/>
      </w:divBdr>
    </w:div>
    <w:div w:id="1880900469">
      <w:bodyDiv w:val="1"/>
      <w:marLeft w:val="0"/>
      <w:marRight w:val="0"/>
      <w:marTop w:val="0"/>
      <w:marBottom w:val="0"/>
      <w:divBdr>
        <w:top w:val="none" w:sz="0" w:space="0" w:color="auto"/>
        <w:left w:val="none" w:sz="0" w:space="0" w:color="auto"/>
        <w:bottom w:val="none" w:sz="0" w:space="0" w:color="auto"/>
        <w:right w:val="none" w:sz="0" w:space="0" w:color="auto"/>
      </w:divBdr>
    </w:div>
    <w:div w:id="1893535643">
      <w:bodyDiv w:val="1"/>
      <w:marLeft w:val="0"/>
      <w:marRight w:val="0"/>
      <w:marTop w:val="0"/>
      <w:marBottom w:val="0"/>
      <w:divBdr>
        <w:top w:val="none" w:sz="0" w:space="0" w:color="auto"/>
        <w:left w:val="none" w:sz="0" w:space="0" w:color="auto"/>
        <w:bottom w:val="none" w:sz="0" w:space="0" w:color="auto"/>
        <w:right w:val="none" w:sz="0" w:space="0" w:color="auto"/>
      </w:divBdr>
    </w:div>
    <w:div w:id="1899366074">
      <w:bodyDiv w:val="1"/>
      <w:marLeft w:val="0"/>
      <w:marRight w:val="0"/>
      <w:marTop w:val="0"/>
      <w:marBottom w:val="0"/>
      <w:divBdr>
        <w:top w:val="none" w:sz="0" w:space="0" w:color="auto"/>
        <w:left w:val="none" w:sz="0" w:space="0" w:color="auto"/>
        <w:bottom w:val="none" w:sz="0" w:space="0" w:color="auto"/>
        <w:right w:val="none" w:sz="0" w:space="0" w:color="auto"/>
      </w:divBdr>
    </w:div>
    <w:div w:id="1902979228">
      <w:bodyDiv w:val="1"/>
      <w:marLeft w:val="0"/>
      <w:marRight w:val="0"/>
      <w:marTop w:val="0"/>
      <w:marBottom w:val="0"/>
      <w:divBdr>
        <w:top w:val="none" w:sz="0" w:space="0" w:color="auto"/>
        <w:left w:val="none" w:sz="0" w:space="0" w:color="auto"/>
        <w:bottom w:val="none" w:sz="0" w:space="0" w:color="auto"/>
        <w:right w:val="none" w:sz="0" w:space="0" w:color="auto"/>
      </w:divBdr>
    </w:div>
    <w:div w:id="1931114974">
      <w:bodyDiv w:val="1"/>
      <w:marLeft w:val="0"/>
      <w:marRight w:val="0"/>
      <w:marTop w:val="0"/>
      <w:marBottom w:val="0"/>
      <w:divBdr>
        <w:top w:val="none" w:sz="0" w:space="0" w:color="auto"/>
        <w:left w:val="none" w:sz="0" w:space="0" w:color="auto"/>
        <w:bottom w:val="none" w:sz="0" w:space="0" w:color="auto"/>
        <w:right w:val="none" w:sz="0" w:space="0" w:color="auto"/>
      </w:divBdr>
    </w:div>
    <w:div w:id="1952515905">
      <w:bodyDiv w:val="1"/>
      <w:marLeft w:val="0"/>
      <w:marRight w:val="0"/>
      <w:marTop w:val="0"/>
      <w:marBottom w:val="0"/>
      <w:divBdr>
        <w:top w:val="none" w:sz="0" w:space="0" w:color="auto"/>
        <w:left w:val="none" w:sz="0" w:space="0" w:color="auto"/>
        <w:bottom w:val="none" w:sz="0" w:space="0" w:color="auto"/>
        <w:right w:val="none" w:sz="0" w:space="0" w:color="auto"/>
      </w:divBdr>
    </w:div>
    <w:div w:id="1963732115">
      <w:bodyDiv w:val="1"/>
      <w:marLeft w:val="0"/>
      <w:marRight w:val="0"/>
      <w:marTop w:val="0"/>
      <w:marBottom w:val="0"/>
      <w:divBdr>
        <w:top w:val="none" w:sz="0" w:space="0" w:color="auto"/>
        <w:left w:val="none" w:sz="0" w:space="0" w:color="auto"/>
        <w:bottom w:val="none" w:sz="0" w:space="0" w:color="auto"/>
        <w:right w:val="none" w:sz="0" w:space="0" w:color="auto"/>
      </w:divBdr>
      <w:divsChild>
        <w:div w:id="528102320">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98EE-721A-464E-9976-050D6A82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27</Pages>
  <Words>2492</Words>
  <Characters>14208</Characters>
  <Application>Microsoft Office Word</Application>
  <DocSecurity>0</DocSecurity>
  <Lines>118</Lines>
  <Paragraphs>33</Paragraphs>
  <ScaleCrop>false</ScaleCrop>
  <Company>cy</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2020-06-04T09:19:00Z</cp:lastPrinted>
  <dcterms:created xsi:type="dcterms:W3CDTF">2020-06-08T08:42:00Z</dcterms:created>
  <dcterms:modified xsi:type="dcterms:W3CDTF">2020-06-08T08:44:00Z</dcterms:modified>
</cp:coreProperties>
</file>