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D75644" w:rsidP="00F37D7B">
      <w:pPr>
        <w:pStyle w:val="af2"/>
      </w:pPr>
      <w:r w:rsidRPr="004D141F">
        <w:rPr>
          <w:rFonts w:hint="eastAsia"/>
        </w:rPr>
        <w:t>調查報告</w:t>
      </w:r>
    </w:p>
    <w:p w:rsidR="00E25849" w:rsidRPr="008C69F9" w:rsidRDefault="00E25849" w:rsidP="004E05A1">
      <w:pPr>
        <w:pStyle w:val="1"/>
        <w:ind w:left="2380" w:hanging="2380"/>
        <w:rPr>
          <w:b/>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C69F9">
        <w:rPr>
          <w:rFonts w:hint="eastAsia"/>
          <w:b/>
        </w:rPr>
        <w:t>案　　由：</w:t>
      </w:r>
      <w:bookmarkEnd w:id="0"/>
      <w:bookmarkEnd w:id="1"/>
      <w:bookmarkEnd w:id="2"/>
      <w:bookmarkEnd w:id="3"/>
      <w:bookmarkEnd w:id="4"/>
      <w:bookmarkEnd w:id="5"/>
      <w:bookmarkEnd w:id="6"/>
      <w:bookmarkEnd w:id="7"/>
      <w:bookmarkEnd w:id="8"/>
      <w:bookmarkEnd w:id="9"/>
      <w:r w:rsidR="003672B5" w:rsidRPr="008C69F9">
        <w:t>因地球暖化，全球氣候型態日趨極端，日前臺南、高雄、屏東等地，因熱帶性低氣壓，形成致災型之豪大雨。中央及地方政府多年來投入大量預算治水，但仍難以對應日趨嚴峻之氣候型態，是否就規劃、工程、防災作為，緊急應變等方面，有所違失？是否引進進步之防救災規劃理念？實有詳究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8C69F9" w:rsidRDefault="00291CEC"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C69F9">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5C6D9D" w:rsidP="00A639F4">
      <w:pPr>
        <w:pStyle w:val="10"/>
        <w:ind w:left="680" w:firstLine="680"/>
      </w:pPr>
      <w:bookmarkStart w:id="49" w:name="_Toc524902730"/>
      <w:r w:rsidRPr="005C6D9D">
        <w:t>因地球暖化，全球氣候型態日趨極端，</w:t>
      </w:r>
      <w:r w:rsidR="003F3D43">
        <w:rPr>
          <w:rFonts w:hint="eastAsia"/>
        </w:rPr>
        <w:t>民國</w:t>
      </w:r>
      <w:r w:rsidR="003F3D43">
        <w:rPr>
          <w:rFonts w:hAnsi="標楷體" w:hint="eastAsia"/>
        </w:rPr>
        <w:t>（</w:t>
      </w:r>
      <w:r w:rsidR="003F3D43" w:rsidRPr="00F7150A">
        <w:rPr>
          <w:rFonts w:hAnsi="標楷體" w:hint="eastAsia"/>
        </w:rPr>
        <w:t>下同）</w:t>
      </w:r>
      <w:r w:rsidRPr="00F7150A">
        <w:rPr>
          <w:rFonts w:hint="eastAsia"/>
        </w:rPr>
        <w:t>107年8月下旬</w:t>
      </w:r>
      <w:r w:rsidRPr="00F7150A">
        <w:t>臺南、高雄、屏東等地，因熱帶性低氣壓，形成致災型之豪大雨。中央及地方政府多年來投入大量預算治水，但仍難以對應日趨嚴峻之氣候型態，是否就規劃、工程、防災作為，緊急應變等方面，有所違失？是否引進進步之防救災規劃理念？實有詳究之必要案。</w:t>
      </w:r>
      <w:r w:rsidRPr="00F7150A">
        <w:rPr>
          <w:rFonts w:hint="eastAsia"/>
        </w:rPr>
        <w:t>經</w:t>
      </w:r>
      <w:r w:rsidR="003F3D43" w:rsidRPr="00F7150A">
        <w:rPr>
          <w:rFonts w:hint="eastAsia"/>
        </w:rPr>
        <w:t>本院調閱經濟部水利署</w:t>
      </w:r>
      <w:r w:rsidR="003F3D43" w:rsidRPr="00F7150A">
        <w:rPr>
          <w:rFonts w:hAnsi="標楷體" w:hint="eastAsia"/>
        </w:rPr>
        <w:t>（下稱水利署）</w:t>
      </w:r>
      <w:r w:rsidR="003F3D43" w:rsidRPr="00F7150A">
        <w:rPr>
          <w:rFonts w:hint="eastAsia"/>
        </w:rPr>
        <w:t>、內政部營建署</w:t>
      </w:r>
      <w:r w:rsidR="003F3D43" w:rsidRPr="00F7150A">
        <w:rPr>
          <w:rFonts w:hAnsi="標楷體" w:hint="eastAsia"/>
        </w:rPr>
        <w:t>（下稱營建署）、臺南市政府、高雄市</w:t>
      </w:r>
      <w:r w:rsidR="003F3D43" w:rsidRPr="003F3D43">
        <w:rPr>
          <w:rFonts w:hAnsi="標楷體" w:hint="eastAsia"/>
        </w:rPr>
        <w:t>政府、屏東縣政府</w:t>
      </w:r>
      <w:r w:rsidR="003F3D43" w:rsidRPr="003F3D43">
        <w:rPr>
          <w:rFonts w:hint="eastAsia"/>
        </w:rPr>
        <w:t>相關卷證資料，</w:t>
      </w:r>
      <w:r w:rsidR="003F3D43">
        <w:rPr>
          <w:rFonts w:hint="eastAsia"/>
        </w:rPr>
        <w:t>108年4月30日參與</w:t>
      </w:r>
      <w:r w:rsidR="00553EB9">
        <w:rPr>
          <w:rFonts w:hint="eastAsia"/>
        </w:rPr>
        <w:t>經濟部主辦</w:t>
      </w:r>
      <w:r w:rsidR="003F3D43">
        <w:rPr>
          <w:rFonts w:hAnsi="標楷體" w:hint="eastAsia"/>
        </w:rPr>
        <w:t>「韌性臺灣</w:t>
      </w:r>
      <w:r w:rsidR="003F3D43">
        <w:rPr>
          <w:rFonts w:hAnsi="標楷體"/>
        </w:rPr>
        <w:t>–</w:t>
      </w:r>
      <w:r w:rsidR="003F3D43">
        <w:rPr>
          <w:rFonts w:hAnsi="標楷體" w:hint="eastAsia"/>
        </w:rPr>
        <w:t>全國治水會議」</w:t>
      </w:r>
      <w:r w:rsidR="002302CC">
        <w:rPr>
          <w:rFonts w:hAnsi="標楷體" w:hint="eastAsia"/>
        </w:rPr>
        <w:t>，108年9月23日詢問水利署賴建信署長</w:t>
      </w:r>
      <w:r w:rsidR="003F3D43" w:rsidRPr="003F3D43">
        <w:rPr>
          <w:rFonts w:hint="eastAsia"/>
        </w:rPr>
        <w:t>及相關人員，</w:t>
      </w:r>
      <w:r w:rsidR="002302CC">
        <w:rPr>
          <w:rFonts w:hint="eastAsia"/>
        </w:rPr>
        <w:t>108年11月15日水利署補充</w:t>
      </w:r>
      <w:r w:rsidR="002302CC">
        <w:rPr>
          <w:rFonts w:hAnsi="標楷體" w:hint="eastAsia"/>
        </w:rPr>
        <w:t>「</w:t>
      </w:r>
      <w:r w:rsidR="002302CC" w:rsidRPr="002302CC">
        <w:rPr>
          <w:rFonts w:hAnsi="標楷體" w:hint="eastAsia"/>
        </w:rPr>
        <w:t>極端</w:t>
      </w:r>
      <w:r w:rsidR="002302CC">
        <w:rPr>
          <w:rFonts w:hAnsi="標楷體" w:hint="eastAsia"/>
        </w:rPr>
        <w:t>氣候的威脅及因應策略報告」及「韌性水城市評估</w:t>
      </w:r>
      <w:r w:rsidR="002302CC" w:rsidRPr="002302CC">
        <w:rPr>
          <w:rFonts w:hAnsi="標楷體"/>
        </w:rPr>
        <w:t>–</w:t>
      </w:r>
      <w:r w:rsidR="002302CC">
        <w:rPr>
          <w:rFonts w:hAnsi="標楷體" w:hint="eastAsia"/>
        </w:rPr>
        <w:t>地方政府首長參考手冊」等資料到院，</w:t>
      </w:r>
      <w:r w:rsidR="003F3D43" w:rsidRPr="003F3D43">
        <w:rPr>
          <w:rFonts w:hint="eastAsia"/>
        </w:rPr>
        <w:t>已調查竣事，茲臚列調查意見如下：</w:t>
      </w:r>
      <w:r w:rsidR="002302CC">
        <w:t xml:space="preserve"> </w:t>
      </w:r>
    </w:p>
    <w:p w:rsidR="007C3B2A" w:rsidRPr="007C3B2A" w:rsidRDefault="007C3B2A" w:rsidP="007C3B2A">
      <w:pPr>
        <w:pStyle w:val="2"/>
        <w:rPr>
          <w:b/>
        </w:rPr>
      </w:pPr>
      <w:bookmarkStart w:id="50" w:name="_Toc421794873"/>
      <w:bookmarkStart w:id="51" w:name="_Toc422834158"/>
      <w:r w:rsidRPr="007C3B2A">
        <w:rPr>
          <w:rFonts w:hint="eastAsia"/>
          <w:b/>
        </w:rPr>
        <w:t>受氣候變遷影響，降雨強度動輒超過河川、區域排水、雨水下水道之保護標準，</w:t>
      </w:r>
      <w:r w:rsidR="003F64FA">
        <w:rPr>
          <w:rFonts w:hint="eastAsia"/>
          <w:b/>
        </w:rPr>
        <w:t>傳統防洪工程手段</w:t>
      </w:r>
      <w:r w:rsidRPr="007C3B2A">
        <w:rPr>
          <w:rFonts w:hint="eastAsia"/>
          <w:b/>
        </w:rPr>
        <w:t>不足以因應，應落實逕流分擔與出流管制政策，於都市地區、農業地區、工業區等進行大面積</w:t>
      </w:r>
      <w:r w:rsidR="00441AAE">
        <w:rPr>
          <w:rFonts w:hint="eastAsia"/>
          <w:b/>
        </w:rPr>
        <w:t>滯</w:t>
      </w:r>
      <w:r w:rsidRPr="007C3B2A">
        <w:rPr>
          <w:rFonts w:hint="eastAsia"/>
          <w:b/>
        </w:rPr>
        <w:t>洪的可能性檢討並進行整體規劃；又國土計畫刻正全面展開，各直轄市、</w:t>
      </w:r>
      <w:r w:rsidRPr="007C3B2A">
        <w:rPr>
          <w:rFonts w:hint="eastAsia"/>
          <w:b/>
        </w:rPr>
        <w:lastRenderedPageBreak/>
        <w:t>縣市應優先訂定水利部門計畫並納入國土計畫，將相關治水需求納入綜合規劃；另災害不會因為工程而消失，易淹水地區防洪作業應配合土地使用推動在地滯洪，以增加蓄水空間及入滲面積，並調查易淹水地區公有農場、埤塘漁塭，加以保育，做為災害緩衝區，給予滯洪補償。</w:t>
      </w:r>
    </w:p>
    <w:p w:rsidR="00924059" w:rsidRDefault="00BD21F8" w:rsidP="00BD21F8">
      <w:pPr>
        <w:pStyle w:val="3"/>
      </w:pPr>
      <w:r>
        <w:rPr>
          <w:rFonts w:hint="eastAsia"/>
        </w:rPr>
        <w:t>107年8月23日熱帶低氣壓豪大雨，降雨集中於臺灣南部地區，其中臺南市淹水面積為9</w:t>
      </w:r>
      <w:r>
        <w:t>,</w:t>
      </w:r>
      <w:r>
        <w:rPr>
          <w:rFonts w:hint="eastAsia"/>
        </w:rPr>
        <w:t>997公頃，淹水時間約0.3~4.3日；高雄市淹水面積為667公頃</w:t>
      </w:r>
      <w:r w:rsidRPr="00BD21F8">
        <w:rPr>
          <w:rFonts w:hAnsi="標楷體" w:hint="eastAsia"/>
        </w:rPr>
        <w:t>，淹水時間約0.</w:t>
      </w:r>
      <w:r>
        <w:rPr>
          <w:rFonts w:hAnsi="標楷體" w:hint="eastAsia"/>
        </w:rPr>
        <w:t>2</w:t>
      </w:r>
      <w:r w:rsidRPr="00BD21F8">
        <w:rPr>
          <w:rFonts w:hAnsi="標楷體" w:hint="eastAsia"/>
        </w:rPr>
        <w:t>~</w:t>
      </w:r>
      <w:r>
        <w:rPr>
          <w:rFonts w:hAnsi="標楷體" w:hint="eastAsia"/>
        </w:rPr>
        <w:t>0.9</w:t>
      </w:r>
      <w:r w:rsidRPr="00BD21F8">
        <w:rPr>
          <w:rFonts w:hAnsi="標楷體" w:hint="eastAsia"/>
        </w:rPr>
        <w:t>日</w:t>
      </w:r>
      <w:r>
        <w:rPr>
          <w:rFonts w:hAnsi="標楷體" w:hint="eastAsia"/>
        </w:rPr>
        <w:t>；屏東縣</w:t>
      </w:r>
      <w:r w:rsidRPr="00BD21F8">
        <w:rPr>
          <w:rFonts w:hAnsi="標楷體" w:hint="eastAsia"/>
        </w:rPr>
        <w:t>淹水面積</w:t>
      </w:r>
      <w:r>
        <w:rPr>
          <w:rFonts w:hAnsi="標楷體" w:hint="eastAsia"/>
        </w:rPr>
        <w:t>約0.5公頃，僅零星積淹後即快速退水。據水利署表示，本次淹水主要原因為降雨量</w:t>
      </w:r>
      <w:r w:rsidR="001D343A">
        <w:rPr>
          <w:rFonts w:hAnsi="標楷體" w:hint="eastAsia"/>
        </w:rPr>
        <w:t>超過雨水下水道及區域排水設計標準、大潮增加退水困難。</w:t>
      </w:r>
    </w:p>
    <w:p w:rsidR="00924059" w:rsidRPr="003F64FA" w:rsidRDefault="003F64FA" w:rsidP="00550862">
      <w:pPr>
        <w:pStyle w:val="3"/>
      </w:pPr>
      <w:r w:rsidRPr="003F64FA">
        <w:rPr>
          <w:rFonts w:hint="eastAsia"/>
        </w:rPr>
        <w:t>面對超過保護標準之極</w:t>
      </w:r>
      <w:r w:rsidR="00D333DD">
        <w:rPr>
          <w:rFonts w:hint="eastAsia"/>
        </w:rPr>
        <w:t>端</w:t>
      </w:r>
      <w:r w:rsidRPr="003F64FA">
        <w:rPr>
          <w:rFonts w:hint="eastAsia"/>
        </w:rPr>
        <w:t>降雨事件</w:t>
      </w:r>
      <w:r>
        <w:rPr>
          <w:rFonts w:hint="eastAsia"/>
        </w:rPr>
        <w:t>，</w:t>
      </w:r>
      <w:r w:rsidRPr="003F64FA">
        <w:rPr>
          <w:rFonts w:hint="eastAsia"/>
        </w:rPr>
        <w:t>以傳統防洪工程手段已不足以因應，爰此，水利署提出以土地分擔水道負擔之逕流分擔及出流管制政策，水利法新增「逕流分擔與出流管制」專章</w:t>
      </w:r>
      <w:r>
        <w:rPr>
          <w:rFonts w:hint="eastAsia"/>
        </w:rPr>
        <w:t>業</w:t>
      </w:r>
      <w:r w:rsidRPr="003F64FA">
        <w:rPr>
          <w:rFonts w:hint="eastAsia"/>
        </w:rPr>
        <w:t>於107年6月20日公布，並自108年2月1日施行。</w:t>
      </w:r>
      <w:r w:rsidR="00441AAE" w:rsidRPr="00441AAE">
        <w:rPr>
          <w:rFonts w:hint="eastAsia"/>
        </w:rPr>
        <w:t>逕流分擔是由公務部門負責辦理，各目的事業主管機關依照逕流分擔計畫，於公共設施(如學校操場、公園綠地、停車場等)設置逕流分擔措施，一方面不妨礙原本設施功能，</w:t>
      </w:r>
      <w:r w:rsidR="00441AAE">
        <w:rPr>
          <w:rFonts w:hint="eastAsia"/>
        </w:rPr>
        <w:t>另</w:t>
      </w:r>
      <w:r w:rsidR="00441AAE" w:rsidRPr="00441AAE">
        <w:rPr>
          <w:rFonts w:hint="eastAsia"/>
        </w:rPr>
        <w:t>一方面可於洪水期間發揮滯洪功用，減少住宅或工廠等積淹水風險及損失，</w:t>
      </w:r>
      <w:r w:rsidR="00441AAE" w:rsidRPr="00441AAE">
        <w:rPr>
          <w:rFonts w:hAnsi="標楷體" w:hint="eastAsia"/>
        </w:rPr>
        <w:t>同時可配合國土計畫，協助縣市政府整合風險管理、環境敏感地區、水資源管理、國土復育等面向所需之系統性空間，納入水利部門空間發展計畫，以利完成縣市國土計畫</w:t>
      </w:r>
      <w:r w:rsidR="00441AAE">
        <w:rPr>
          <w:rFonts w:hAnsi="標楷體" w:hint="eastAsia"/>
        </w:rPr>
        <w:t>；</w:t>
      </w:r>
      <w:r w:rsidR="00441AAE" w:rsidRPr="00441AAE">
        <w:rPr>
          <w:rFonts w:hAnsi="標楷體" w:hint="eastAsia"/>
        </w:rPr>
        <w:t>出流管制</w:t>
      </w:r>
      <w:r w:rsidR="00441AAE">
        <w:rPr>
          <w:rFonts w:hAnsi="標楷體" w:hint="eastAsia"/>
        </w:rPr>
        <w:t>則係針對</w:t>
      </w:r>
      <w:r w:rsidR="00441AAE" w:rsidRPr="00441AAE">
        <w:rPr>
          <w:rFonts w:hAnsi="標楷體" w:hint="eastAsia"/>
        </w:rPr>
        <w:t>山坡地以外之土地開發利用，面積達2公頃以上，義務人應提送出流管制計畫書，由土地開發者於基地範圍內設置滯洪池及低衝擊開發等設施，另規定建築物應提升透水、保水及滯洪</w:t>
      </w:r>
      <w:r w:rsidR="00441AAE" w:rsidRPr="00441AAE">
        <w:rPr>
          <w:rFonts w:hAnsi="標楷體" w:hint="eastAsia"/>
        </w:rPr>
        <w:lastRenderedPageBreak/>
        <w:t>能力，削減土地開發利用所增加逕流，以免都市化增加淹水風險。</w:t>
      </w:r>
      <w:r w:rsidR="00550862">
        <w:rPr>
          <w:rFonts w:hAnsi="標楷體" w:hint="eastAsia"/>
        </w:rPr>
        <w:t>各公私部門允</w:t>
      </w:r>
      <w:r w:rsidR="00550862" w:rsidRPr="00550862">
        <w:rPr>
          <w:rFonts w:hAnsi="標楷體" w:hint="eastAsia"/>
        </w:rPr>
        <w:t>應落實</w:t>
      </w:r>
      <w:r w:rsidR="00550862">
        <w:rPr>
          <w:rFonts w:hAnsi="標楷體" w:hint="eastAsia"/>
        </w:rPr>
        <w:t>辦理</w:t>
      </w:r>
      <w:r w:rsidR="00550862" w:rsidRPr="00550862">
        <w:rPr>
          <w:rFonts w:hAnsi="標楷體" w:hint="eastAsia"/>
        </w:rPr>
        <w:t>逕流分擔與出流管制</w:t>
      </w:r>
      <w:r w:rsidR="00550862">
        <w:rPr>
          <w:rFonts w:hAnsi="標楷體" w:hint="eastAsia"/>
        </w:rPr>
        <w:t>作業</w:t>
      </w:r>
      <w:r w:rsidR="00550862" w:rsidRPr="00550862">
        <w:rPr>
          <w:rFonts w:hAnsi="標楷體" w:hint="eastAsia"/>
        </w:rPr>
        <w:t>，於都市地區、農業地區、工業區等進行大面積滯洪的可能性檢討並進行整體規劃</w:t>
      </w:r>
      <w:r w:rsidR="00550862">
        <w:rPr>
          <w:rFonts w:hAnsi="標楷體" w:hint="eastAsia"/>
        </w:rPr>
        <w:t>。</w:t>
      </w:r>
    </w:p>
    <w:p w:rsidR="00924059" w:rsidRPr="00211A74" w:rsidRDefault="00211A74" w:rsidP="00736AD6">
      <w:pPr>
        <w:pStyle w:val="3"/>
      </w:pPr>
      <w:r w:rsidRPr="00211A74">
        <w:rPr>
          <w:rFonts w:hint="eastAsia"/>
        </w:rPr>
        <w:t>國土計畫法業於105年1月6日公布，並自105年5月1日施行，該法第1條規定：</w:t>
      </w:r>
      <w:r w:rsidRPr="00E85CD5">
        <w:rPr>
          <w:rFonts w:hint="eastAsia"/>
        </w:rPr>
        <w:t>「</w:t>
      </w:r>
      <w:r w:rsidR="00E85CD5" w:rsidRPr="00E85CD5">
        <w:rPr>
          <w:rFonts w:hint="eastAsia"/>
        </w:rPr>
        <w:t>為因應氣候變遷，確保國土安全，保育自然環境與人文資產，促進資源與產業合理配置，強化國土整合管理機制，並復育環境敏感與國土破壞地區，追求國家永續發展，特制定本法。</w:t>
      </w:r>
      <w:r w:rsidRPr="00E85CD5">
        <w:rPr>
          <w:rFonts w:hint="eastAsia"/>
        </w:rPr>
        <w:t>」第2條規定：「</w:t>
      </w:r>
      <w:r w:rsidR="00E85CD5" w:rsidRPr="00E85CD5">
        <w:rPr>
          <w:rFonts w:hint="eastAsia"/>
        </w:rPr>
        <w:t>本法所稱主管機關：在中央為內政部；在直轄市為直轄市政府；在縣（市）為縣（市）政府。</w:t>
      </w:r>
      <w:r w:rsidRPr="00E85CD5">
        <w:rPr>
          <w:rFonts w:hint="eastAsia"/>
        </w:rPr>
        <w:t>」</w:t>
      </w:r>
      <w:r w:rsidR="0058712A" w:rsidRPr="0058712A">
        <w:rPr>
          <w:rFonts w:hint="eastAsia"/>
        </w:rPr>
        <w:t>國土計畫刻正全面展開，各直轄市、縣市應優先訂定水利部門計畫並納入國土計畫，將相關治水需求納入綜合規劃。</w:t>
      </w:r>
      <w:r w:rsidR="00251F5A">
        <w:rPr>
          <w:rFonts w:hint="eastAsia"/>
        </w:rPr>
        <w:t>據</w:t>
      </w:r>
      <w:r w:rsidR="00F669FA" w:rsidRPr="00736AD6">
        <w:rPr>
          <w:rFonts w:hint="eastAsia"/>
        </w:rPr>
        <w:t>中華經濟研究院</w:t>
      </w:r>
      <w:r w:rsidR="00553EB9" w:rsidRPr="00736AD6">
        <w:rPr>
          <w:rFonts w:hAnsi="標楷體" w:hint="eastAsia"/>
        </w:rPr>
        <w:t>李永展</w:t>
      </w:r>
      <w:r w:rsidR="00F669FA" w:rsidRPr="00736AD6">
        <w:rPr>
          <w:rFonts w:hAnsi="標楷體" w:hint="eastAsia"/>
        </w:rPr>
        <w:t>研究員於全國治水會議表示，</w:t>
      </w:r>
      <w:r w:rsidR="00251F5A" w:rsidRPr="00736AD6">
        <w:rPr>
          <w:rFonts w:hAnsi="標楷體" w:hint="eastAsia"/>
        </w:rPr>
        <w:t>縣市國土計畫應由</w:t>
      </w:r>
      <w:r w:rsidR="00736AD6" w:rsidRPr="00736AD6">
        <w:rPr>
          <w:rFonts w:hAnsi="標楷體" w:hint="eastAsia"/>
        </w:rPr>
        <w:t>縣市水利主管機關研提治水部門計畫，協助土地使用主管機關研擬韌性的縣市國土計畫時，納入水資源治理、環境敏感、國土復育促進地區的綜合規劃；而跨縣市的流域治理便應從縣市合作的角度來構思，由水利署透過流域特定區域計畫等手段來結合治水部門計畫及國土計畫，並將韌性的政策思維及策略手段納入全國國土計畫之通盤檢討。</w:t>
      </w:r>
    </w:p>
    <w:p w:rsidR="00924059" w:rsidRPr="00843A39" w:rsidRDefault="00843A39" w:rsidP="0005320E">
      <w:pPr>
        <w:pStyle w:val="3"/>
      </w:pPr>
      <w:r w:rsidRPr="00843A39">
        <w:rPr>
          <w:rFonts w:hint="eastAsia"/>
        </w:rPr>
        <w:t>淹水災害不會因為治水工程而消失，易淹水地區防洪作業應配合土地使用推動在地滯洪，以增加蓄水空間及入滲面積。</w:t>
      </w:r>
      <w:r w:rsidR="00D333DD">
        <w:rPr>
          <w:rFonts w:hint="eastAsia"/>
        </w:rPr>
        <w:t>據</w:t>
      </w:r>
      <w:r>
        <w:rPr>
          <w:rFonts w:hint="eastAsia"/>
        </w:rPr>
        <w:t>臺南社區大學臺江分校執行長吳茂成</w:t>
      </w:r>
      <w:r w:rsidRPr="00843A39">
        <w:rPr>
          <w:rFonts w:hAnsi="標楷體" w:hint="eastAsia"/>
        </w:rPr>
        <w:t>於全國治水會議表示，易淹水地區應朝上中游分洪、滯洪，下游還地於河</w:t>
      </w:r>
      <w:r w:rsidR="00D333DD">
        <w:rPr>
          <w:rFonts w:hAnsi="標楷體" w:hint="eastAsia"/>
        </w:rPr>
        <w:t>，</w:t>
      </w:r>
      <w:r w:rsidRPr="00843A39">
        <w:rPr>
          <w:rFonts w:hAnsi="標楷體" w:hint="eastAsia"/>
        </w:rPr>
        <w:t>道路採透水鋪面等原則規劃設計，調查易淹水地區公有農場、</w:t>
      </w:r>
      <w:r w:rsidR="005003D2" w:rsidRPr="005003D2">
        <w:rPr>
          <w:rFonts w:hAnsi="標楷體" w:hint="eastAsia"/>
        </w:rPr>
        <w:t>埤塘漁塭，加以保育，做為災害緩衝區，給予滯洪補償，水災發生後，應</w:t>
      </w:r>
      <w:r w:rsidR="005003D2">
        <w:rPr>
          <w:rFonts w:hAnsi="標楷體" w:hint="eastAsia"/>
        </w:rPr>
        <w:t>澈</w:t>
      </w:r>
      <w:r w:rsidR="005003D2" w:rsidRPr="005003D2">
        <w:rPr>
          <w:rFonts w:hAnsi="標楷體" w:hint="eastAsia"/>
        </w:rPr>
        <w:t>底調查造成水災的相關成因及居</w:t>
      </w:r>
      <w:r w:rsidR="005003D2" w:rsidRPr="005003D2">
        <w:rPr>
          <w:rFonts w:hAnsi="標楷體" w:hint="eastAsia"/>
        </w:rPr>
        <w:lastRenderedPageBreak/>
        <w:t>民生活經驗，</w:t>
      </w:r>
      <w:r w:rsidR="005003D2">
        <w:rPr>
          <w:rFonts w:hint="eastAsia"/>
          <w:szCs w:val="32"/>
        </w:rPr>
        <w:t>公私進行對話討論，檢討流域治理計畫是否流於「築堤與抽</w:t>
      </w:r>
      <w:r w:rsidR="0005320E" w:rsidRPr="0005320E">
        <w:rPr>
          <w:rFonts w:hint="eastAsia"/>
          <w:szCs w:val="32"/>
        </w:rPr>
        <w:t>水」、或是歸因於逢大雨、大潮的單一因素，</w:t>
      </w:r>
      <w:r w:rsidR="001509E4">
        <w:rPr>
          <w:rFonts w:hint="eastAsia"/>
          <w:szCs w:val="32"/>
        </w:rPr>
        <w:t>澈</w:t>
      </w:r>
      <w:r w:rsidR="0005320E" w:rsidRPr="0005320E">
        <w:rPr>
          <w:rFonts w:hint="eastAsia"/>
          <w:szCs w:val="32"/>
        </w:rPr>
        <w:t>底檢討水利、都計、交通、產業、環保等政策，找出社區村落因應災難的靭性設計可能策略。</w:t>
      </w:r>
    </w:p>
    <w:p w:rsidR="0007088F" w:rsidRDefault="0007088F" w:rsidP="0005320E">
      <w:pPr>
        <w:pStyle w:val="3"/>
      </w:pPr>
      <w:r>
        <w:rPr>
          <w:rFonts w:hint="eastAsia"/>
        </w:rPr>
        <w:t>綜上</w:t>
      </w:r>
      <w:r>
        <w:rPr>
          <w:rFonts w:hAnsi="標楷體" w:hint="eastAsia"/>
        </w:rPr>
        <w:t>，</w:t>
      </w:r>
      <w:r w:rsidR="0005320E" w:rsidRPr="0005320E">
        <w:rPr>
          <w:rFonts w:hAnsi="標楷體" w:hint="eastAsia"/>
        </w:rPr>
        <w:t>受氣候變遷影響，降雨強度動輒超過保護標準，傳統防洪工程手段不足以因應，應落實逕流分擔與出流管制政策；又國土計畫刻正全面展開，各直轄市、縣市應優先訂定水利部門計畫並納入國土計畫，將相關治水需求納入綜合規劃；另易淹水地區防洪作業應配合土地使用推動在地滯洪，並調查公有農場、埤塘漁塭，加以保育，做為災害緩衝區，給予滯洪補償。</w:t>
      </w:r>
    </w:p>
    <w:p w:rsidR="002302CC" w:rsidRDefault="007C3B2A" w:rsidP="007C3B2A">
      <w:pPr>
        <w:pStyle w:val="2"/>
        <w:rPr>
          <w:b/>
        </w:rPr>
      </w:pPr>
      <w:r w:rsidRPr="007C3B2A">
        <w:rPr>
          <w:rFonts w:hint="eastAsia"/>
          <w:b/>
        </w:rPr>
        <w:t>107年</w:t>
      </w:r>
      <w:r w:rsidR="00D333DD">
        <w:rPr>
          <w:rFonts w:hint="eastAsia"/>
          <w:b/>
        </w:rPr>
        <w:t>8月下旬</w:t>
      </w:r>
      <w:r w:rsidRPr="007C3B2A">
        <w:rPr>
          <w:rFonts w:hint="eastAsia"/>
          <w:b/>
        </w:rPr>
        <w:t>熱帶低氣壓短延時強降雨，造成南部縣市嚴重淹水，臺南市部分地區淹水時間長達4天，應儘速研擬「加速退水」因應措施，期淹水時間能大幅縮減，水患受災居民能儘快恢復正常作息；另各縣市政府所擬訂「水災危險潛勢地區保全計畫」，目前僅就保全對象及警戒範圍擬訂應變暨疏散撤離措施，允應納入營運持續計畫（BCP）精神，以強化因應作為。</w:t>
      </w:r>
    </w:p>
    <w:p w:rsidR="00CA12EE" w:rsidRDefault="00D333DD" w:rsidP="00893357">
      <w:pPr>
        <w:pStyle w:val="3"/>
      </w:pPr>
      <w:r>
        <w:rPr>
          <w:rFonts w:hint="eastAsia"/>
        </w:rPr>
        <w:t>查</w:t>
      </w:r>
      <w:r w:rsidR="00A93EF4" w:rsidRPr="00A93EF4">
        <w:rPr>
          <w:rFonts w:hint="eastAsia"/>
        </w:rPr>
        <w:t>107年</w:t>
      </w:r>
      <w:r>
        <w:rPr>
          <w:rFonts w:hint="eastAsia"/>
        </w:rPr>
        <w:t>8月下旬</w:t>
      </w:r>
      <w:r w:rsidR="00A93EF4" w:rsidRPr="00A93EF4">
        <w:rPr>
          <w:rFonts w:hint="eastAsia"/>
        </w:rPr>
        <w:t>熱帶低氣壓短延時強降雨，造成南部縣市嚴重淹水，臺南市部分地區淹水時間長達4天</w:t>
      </w:r>
      <w:r w:rsidR="00A93EF4">
        <w:rPr>
          <w:rFonts w:hint="eastAsia"/>
        </w:rPr>
        <w:t>。據</w:t>
      </w:r>
      <w:r w:rsidR="00667575">
        <w:rPr>
          <w:rFonts w:hint="eastAsia"/>
        </w:rPr>
        <w:t>水利署「</w:t>
      </w:r>
      <w:r w:rsidR="00667575" w:rsidRPr="00667575">
        <w:rPr>
          <w:rFonts w:hint="eastAsia"/>
        </w:rPr>
        <w:t>107年0823熱帶低氣壓</w:t>
      </w:r>
      <w:r w:rsidR="00667575">
        <w:rPr>
          <w:rFonts w:hint="eastAsia"/>
        </w:rPr>
        <w:t>豪雨淹水檢討報告」內容，交通大學土木工程學系</w:t>
      </w:r>
      <w:r w:rsidR="00893357" w:rsidRPr="00893357">
        <w:rPr>
          <w:rFonts w:hint="eastAsia"/>
        </w:rPr>
        <w:t>教授</w:t>
      </w:r>
      <w:r w:rsidR="00667575">
        <w:rPr>
          <w:rFonts w:hint="eastAsia"/>
        </w:rPr>
        <w:t>楊錦釧</w:t>
      </w:r>
      <w:r w:rsidR="00E138FC">
        <w:rPr>
          <w:rFonts w:hint="eastAsia"/>
        </w:rPr>
        <w:t>於</w:t>
      </w:r>
      <w:r w:rsidR="008649DA">
        <w:rPr>
          <w:rFonts w:hint="eastAsia"/>
        </w:rPr>
        <w:t>該署</w:t>
      </w:r>
      <w:r w:rsidR="00E138FC">
        <w:rPr>
          <w:rFonts w:hint="eastAsia"/>
        </w:rPr>
        <w:t>諮詢會議</w:t>
      </w:r>
      <w:r w:rsidR="00667575">
        <w:rPr>
          <w:rFonts w:hint="eastAsia"/>
        </w:rPr>
        <w:t>表示：</w:t>
      </w:r>
      <w:r w:rsidR="00667575" w:rsidRPr="00203D12">
        <w:rPr>
          <w:rFonts w:hint="eastAsia"/>
        </w:rPr>
        <w:t>「</w:t>
      </w:r>
      <w:r w:rsidR="00103395" w:rsidRPr="00203D12">
        <w:rPr>
          <w:rFonts w:hint="eastAsia"/>
        </w:rPr>
        <w:t>淹水是在預料之中</w:t>
      </w:r>
      <w:r w:rsidR="00103395" w:rsidRPr="00203D12">
        <w:rPr>
          <w:rFonts w:hAnsi="標楷體" w:hint="eastAsia"/>
        </w:rPr>
        <w:t>，</w:t>
      </w:r>
      <w:r w:rsidR="00103395" w:rsidRPr="00203D12">
        <w:rPr>
          <w:rFonts w:hint="eastAsia"/>
        </w:rPr>
        <w:t>但無法在短時間內排除內水溢淹的現象</w:t>
      </w:r>
      <w:r w:rsidR="00103395" w:rsidRPr="00203D12">
        <w:rPr>
          <w:rFonts w:hAnsi="標楷體" w:hint="eastAsia"/>
        </w:rPr>
        <w:t>，</w:t>
      </w:r>
      <w:r w:rsidR="00103395" w:rsidRPr="00203D12">
        <w:rPr>
          <w:rFonts w:hint="eastAsia"/>
        </w:rPr>
        <w:t>應為本次水患最值得關注的議題</w:t>
      </w:r>
      <w:r w:rsidR="00103395" w:rsidRPr="00203D12">
        <w:rPr>
          <w:rFonts w:hAnsi="標楷體" w:hint="eastAsia"/>
        </w:rPr>
        <w:t>，</w:t>
      </w:r>
      <w:r w:rsidR="00103395" w:rsidRPr="00203D12">
        <w:rPr>
          <w:rFonts w:hint="eastAsia"/>
        </w:rPr>
        <w:t>建議應從大區域做系統性的規劃檢討</w:t>
      </w:r>
      <w:r w:rsidR="00103395" w:rsidRPr="00203D12">
        <w:rPr>
          <w:rFonts w:hAnsi="標楷體" w:hint="eastAsia"/>
        </w:rPr>
        <w:t>，建議未來的治理規劃應有超越標準淹水時的加速退水因應措施的檢討規劃。</w:t>
      </w:r>
      <w:r w:rsidR="00667575" w:rsidRPr="00203D12">
        <w:rPr>
          <w:rFonts w:hint="eastAsia"/>
        </w:rPr>
        <w:t>」</w:t>
      </w:r>
      <w:r w:rsidR="00667575">
        <w:rPr>
          <w:rFonts w:hint="eastAsia"/>
        </w:rPr>
        <w:t>另</w:t>
      </w:r>
      <w:r w:rsidR="008D5D2F">
        <w:rPr>
          <w:rFonts w:hint="eastAsia"/>
        </w:rPr>
        <w:t>水利署前副署長吳憲雄指出：</w:t>
      </w:r>
      <w:r w:rsidR="008D5D2F" w:rsidRPr="008649DA">
        <w:rPr>
          <w:rFonts w:hint="eastAsia"/>
        </w:rPr>
        <w:t>「</w:t>
      </w:r>
      <w:r w:rsidR="00103395" w:rsidRPr="008649DA">
        <w:rPr>
          <w:rFonts w:hint="eastAsia"/>
        </w:rPr>
        <w:t>本報告</w:t>
      </w:r>
      <w:r w:rsidR="00203D12" w:rsidRPr="008649DA">
        <w:rPr>
          <w:rFonts w:hint="eastAsia"/>
        </w:rPr>
        <w:t>將本次</w:t>
      </w:r>
      <w:r>
        <w:rPr>
          <w:rFonts w:hint="eastAsia"/>
        </w:rPr>
        <w:t>0</w:t>
      </w:r>
      <w:r w:rsidR="00DA5892" w:rsidRPr="008649DA">
        <w:rPr>
          <w:rFonts w:hint="eastAsia"/>
        </w:rPr>
        <w:t>823豪雨積潦災害全</w:t>
      </w:r>
      <w:r w:rsidR="00DA5892" w:rsidRPr="008649DA">
        <w:rPr>
          <w:rFonts w:hint="eastAsia"/>
        </w:rPr>
        <w:lastRenderedPageBreak/>
        <w:t>歸責於降雨量超過保護標準及潮位阻擋內水排放</w:t>
      </w:r>
      <w:r w:rsidR="00DA5892" w:rsidRPr="008649DA">
        <w:rPr>
          <w:rFonts w:hAnsi="標楷體" w:hint="eastAsia"/>
        </w:rPr>
        <w:t>，</w:t>
      </w:r>
      <w:r w:rsidR="00DA5892" w:rsidRPr="008649DA">
        <w:rPr>
          <w:rFonts w:hint="eastAsia"/>
        </w:rPr>
        <w:t>似難獲得上級</w:t>
      </w:r>
      <w:r w:rsidR="00DA5892" w:rsidRPr="008649DA">
        <w:rPr>
          <w:rFonts w:hAnsi="標楷體" w:hint="eastAsia"/>
        </w:rPr>
        <w:t>、</w:t>
      </w:r>
      <w:r w:rsidR="00DA5892" w:rsidRPr="008649DA">
        <w:rPr>
          <w:rFonts w:hint="eastAsia"/>
        </w:rPr>
        <w:t>專業人士及社會輿論之認同</w:t>
      </w:r>
      <w:r w:rsidR="00DA5892" w:rsidRPr="008649DA">
        <w:rPr>
          <w:rFonts w:hAnsi="標楷體" w:hint="eastAsia"/>
        </w:rPr>
        <w:t>。</w:t>
      </w:r>
      <w:r w:rsidR="00DA5892" w:rsidRPr="008649DA">
        <w:rPr>
          <w:rFonts w:hint="eastAsia"/>
        </w:rPr>
        <w:t>降雨量超過保護標準</w:t>
      </w:r>
      <w:r w:rsidR="00DA5892" w:rsidRPr="008649DA">
        <w:rPr>
          <w:rFonts w:hAnsi="標楷體" w:hint="eastAsia"/>
        </w:rPr>
        <w:t>，</w:t>
      </w:r>
      <w:r w:rsidR="00DA5892" w:rsidRPr="008649DA">
        <w:rPr>
          <w:rFonts w:hint="eastAsia"/>
        </w:rPr>
        <w:t>如河防設施良善</w:t>
      </w:r>
      <w:r w:rsidR="00DA5892" w:rsidRPr="008649DA">
        <w:rPr>
          <w:rFonts w:hAnsi="標楷體" w:hint="eastAsia"/>
        </w:rPr>
        <w:t>，</w:t>
      </w:r>
      <w:r w:rsidR="00DA5892" w:rsidRPr="008649DA">
        <w:rPr>
          <w:rFonts w:hint="eastAsia"/>
        </w:rPr>
        <w:t>則應僅積潦一段時間</w:t>
      </w:r>
      <w:r w:rsidR="00DA5892" w:rsidRPr="008649DA">
        <w:rPr>
          <w:rFonts w:hAnsi="標楷體" w:hint="eastAsia"/>
        </w:rPr>
        <w:t>，</w:t>
      </w:r>
      <w:r w:rsidR="00DA5892" w:rsidRPr="008649DA">
        <w:rPr>
          <w:rFonts w:hint="eastAsia"/>
        </w:rPr>
        <w:t>不應有</w:t>
      </w:r>
      <w:r w:rsidR="008649DA" w:rsidRPr="008649DA">
        <w:rPr>
          <w:rFonts w:hint="eastAsia"/>
        </w:rPr>
        <w:t>長時間之積水</w:t>
      </w:r>
      <w:r w:rsidR="008649DA" w:rsidRPr="008649DA">
        <w:rPr>
          <w:rFonts w:hAnsi="標楷體" w:hint="eastAsia"/>
        </w:rPr>
        <w:t>，</w:t>
      </w:r>
      <w:r w:rsidR="008649DA" w:rsidRPr="008649DA">
        <w:rPr>
          <w:rFonts w:hint="eastAsia"/>
        </w:rPr>
        <w:t>如為潮位阻擋內水排放</w:t>
      </w:r>
      <w:r w:rsidR="008649DA" w:rsidRPr="008649DA">
        <w:rPr>
          <w:rFonts w:hAnsi="標楷體" w:hint="eastAsia"/>
        </w:rPr>
        <w:t>，</w:t>
      </w:r>
      <w:r w:rsidR="008649DA" w:rsidRPr="008649DA">
        <w:rPr>
          <w:rFonts w:hint="eastAsia"/>
        </w:rPr>
        <w:t>而潮汐有週期性</w:t>
      </w:r>
      <w:r w:rsidR="008649DA" w:rsidRPr="008649DA">
        <w:rPr>
          <w:rFonts w:hAnsi="標楷體" w:hint="eastAsia"/>
        </w:rPr>
        <w:t>，</w:t>
      </w:r>
      <w:r w:rsidR="008649DA" w:rsidRPr="008649DA">
        <w:rPr>
          <w:rFonts w:hint="eastAsia"/>
        </w:rPr>
        <w:t>退潮至低潮位時應可排放積水</w:t>
      </w:r>
      <w:r w:rsidR="008649DA" w:rsidRPr="008649DA">
        <w:rPr>
          <w:rFonts w:hAnsi="標楷體" w:hint="eastAsia"/>
        </w:rPr>
        <w:t>，</w:t>
      </w:r>
      <w:r w:rsidR="008649DA" w:rsidRPr="008649DA">
        <w:rPr>
          <w:rFonts w:hint="eastAsia"/>
        </w:rPr>
        <w:t>時間不應超過12小時</w:t>
      </w:r>
      <w:r w:rsidR="008649DA" w:rsidRPr="008649DA">
        <w:rPr>
          <w:rFonts w:hAnsi="標楷體" w:hint="eastAsia"/>
        </w:rPr>
        <w:t>。</w:t>
      </w:r>
      <w:r w:rsidR="008D5D2F" w:rsidRPr="008649DA">
        <w:rPr>
          <w:rFonts w:hint="eastAsia"/>
        </w:rPr>
        <w:t>」</w:t>
      </w:r>
      <w:r w:rsidR="008D5D2F">
        <w:rPr>
          <w:rFonts w:hint="eastAsia"/>
        </w:rPr>
        <w:t>由上顯見，本次</w:t>
      </w:r>
      <w:r w:rsidR="008D5D2F" w:rsidRPr="008D5D2F">
        <w:rPr>
          <w:rFonts w:hAnsi="標楷體" w:hint="eastAsia"/>
        </w:rPr>
        <w:t>強降雨</w:t>
      </w:r>
      <w:r w:rsidR="008D5D2F">
        <w:rPr>
          <w:rFonts w:hAnsi="標楷體" w:hint="eastAsia"/>
        </w:rPr>
        <w:t>卻造成</w:t>
      </w:r>
      <w:r w:rsidR="008D5D2F" w:rsidRPr="008D5D2F">
        <w:rPr>
          <w:rFonts w:hAnsi="標楷體" w:hint="eastAsia"/>
        </w:rPr>
        <w:t>臺南市部分地區淹水時間長達4天</w:t>
      </w:r>
      <w:r w:rsidR="00E138FC">
        <w:rPr>
          <w:rFonts w:hAnsi="標楷體" w:hint="eastAsia"/>
        </w:rPr>
        <w:t>，</w:t>
      </w:r>
      <w:r w:rsidR="00103395">
        <w:rPr>
          <w:rFonts w:hAnsi="標楷體" w:hint="eastAsia"/>
        </w:rPr>
        <w:t>前揭</w:t>
      </w:r>
      <w:r w:rsidR="00E138FC">
        <w:rPr>
          <w:rFonts w:hAnsi="標楷體" w:hint="eastAsia"/>
        </w:rPr>
        <w:t>專家學者</w:t>
      </w:r>
      <w:r w:rsidR="00103395">
        <w:rPr>
          <w:rFonts w:hAnsi="標楷體" w:hint="eastAsia"/>
        </w:rPr>
        <w:t>均</w:t>
      </w:r>
      <w:r w:rsidR="00E138FC">
        <w:rPr>
          <w:rFonts w:hAnsi="標楷體" w:hint="eastAsia"/>
        </w:rPr>
        <w:t>認為</w:t>
      </w:r>
      <w:r w:rsidR="003B65D2">
        <w:rPr>
          <w:rFonts w:hAnsi="標楷體" w:hint="eastAsia"/>
        </w:rPr>
        <w:t>頗值關注</w:t>
      </w:r>
      <w:r w:rsidR="00F83AB2">
        <w:rPr>
          <w:rFonts w:hAnsi="標楷體" w:hint="eastAsia"/>
        </w:rPr>
        <w:t>檢討</w:t>
      </w:r>
      <w:r w:rsidR="008D5D2F">
        <w:rPr>
          <w:rFonts w:hAnsi="標楷體" w:hint="eastAsia"/>
        </w:rPr>
        <w:t>，允</w:t>
      </w:r>
      <w:r w:rsidR="008D5D2F" w:rsidRPr="008D5D2F">
        <w:rPr>
          <w:rFonts w:hAnsi="標楷體" w:hint="eastAsia"/>
        </w:rPr>
        <w:t>應儘速研擬加速退水因應措施</w:t>
      </w:r>
      <w:r w:rsidR="008D5D2F">
        <w:rPr>
          <w:rFonts w:hAnsi="標楷體" w:hint="eastAsia"/>
        </w:rPr>
        <w:t>。</w:t>
      </w:r>
    </w:p>
    <w:p w:rsidR="00CA12EE" w:rsidRPr="0018364D" w:rsidRDefault="00D333DD" w:rsidP="00131FBF">
      <w:pPr>
        <w:pStyle w:val="3"/>
      </w:pPr>
      <w:r>
        <w:rPr>
          <w:rFonts w:hint="eastAsia"/>
        </w:rPr>
        <w:t>另</w:t>
      </w:r>
      <w:r w:rsidR="001D37A6" w:rsidRPr="001D37A6">
        <w:rPr>
          <w:rFonts w:hint="eastAsia"/>
        </w:rPr>
        <w:t>查</w:t>
      </w:r>
      <w:r>
        <w:rPr>
          <w:rFonts w:hAnsi="標楷體" w:hint="eastAsia"/>
        </w:rPr>
        <w:t>，</w:t>
      </w:r>
      <w:r w:rsidR="0087136D" w:rsidRPr="0018364D">
        <w:rPr>
          <w:rFonts w:hint="eastAsia"/>
        </w:rPr>
        <w:t>各地方政府</w:t>
      </w:r>
      <w:r w:rsidR="00131FBF" w:rsidRPr="0018364D">
        <w:rPr>
          <w:rFonts w:hint="eastAsia"/>
        </w:rPr>
        <w:t>依據災害防救法，皆有擬訂「水災危險潛勢地區保全計畫」，惟保全計畫目前僅針對所轄區域內較易受颱風、大豪雨危害之水災危險潛勢地區，就其保全對象及警戒範圍擬訂各項應變暨疏散撤離措施，面向上恐有所不足。而營運持續計畫(Business Continuity Plan，簡稱BCP)，結合預防和復原控制之措施及程序，將災害和管理缺失造成的營運中斷情形降低到可接受的程度，在國際間已有多個國家及其企業採用。據水利署表示，</w:t>
      </w:r>
      <w:r w:rsidR="00131FBF" w:rsidRPr="0018364D">
        <w:rPr>
          <w:rFonts w:hAnsi="標楷體" w:hint="eastAsia"/>
        </w:rPr>
        <w:t>為協助各地方政府於研擬水災保全計畫時能更符合營運持續計畫之精神，考量治理工程及構造物維護管理措施，亦屬可降低淹水災害威脅之一環，該署刻正研擬將其精神納入水災保全計畫，整合減災、整備、應變及復原等4個階段之相關因應作為，後續可透過督導考核機制落實執行，並持續滾動檢討，將使水災保全計畫更臻完善，更能有效因應水患。</w:t>
      </w:r>
    </w:p>
    <w:p w:rsidR="00CA12EE" w:rsidRDefault="00EF5E4A" w:rsidP="00CA12EE">
      <w:pPr>
        <w:pStyle w:val="3"/>
      </w:pPr>
      <w:r>
        <w:rPr>
          <w:rFonts w:hint="eastAsia"/>
        </w:rPr>
        <w:t>綜上</w:t>
      </w:r>
      <w:r>
        <w:rPr>
          <w:rFonts w:hAnsi="標楷體" w:hint="eastAsia"/>
        </w:rPr>
        <w:t>，</w:t>
      </w:r>
      <w:r w:rsidR="0018364D" w:rsidRPr="0018364D">
        <w:rPr>
          <w:rFonts w:hAnsi="標楷體" w:hint="eastAsia"/>
        </w:rPr>
        <w:t>107年</w:t>
      </w:r>
      <w:r w:rsidR="00CE079B">
        <w:rPr>
          <w:rFonts w:hAnsi="標楷體" w:hint="eastAsia"/>
        </w:rPr>
        <w:t>8月下旬</w:t>
      </w:r>
      <w:r w:rsidR="0018364D" w:rsidRPr="0018364D">
        <w:rPr>
          <w:rFonts w:hAnsi="標楷體" w:hint="eastAsia"/>
        </w:rPr>
        <w:t>熱帶低氣壓短延時強降雨，造成臺南市部分地區淹水時間長達4天，應儘速研擬「加速退水」因應措施，期水患受災居民能儘快恢復正常作息；另各縣市政府所擬訂「水災危險潛勢地區保全計畫」，目前僅就保全對象及警戒範圍擬</w:t>
      </w:r>
      <w:r w:rsidR="0018364D" w:rsidRPr="0018364D">
        <w:rPr>
          <w:rFonts w:hAnsi="標楷體" w:hint="eastAsia"/>
        </w:rPr>
        <w:lastRenderedPageBreak/>
        <w:t>訂應變暨疏散撤離措施，允應納入營運持續計畫（BCP）精神，以強化因應作為。</w:t>
      </w:r>
    </w:p>
    <w:p w:rsidR="00CA12EE" w:rsidRDefault="007C3B2A" w:rsidP="007C3B2A">
      <w:pPr>
        <w:pStyle w:val="2"/>
        <w:rPr>
          <w:b/>
        </w:rPr>
      </w:pPr>
      <w:r w:rsidRPr="007C3B2A">
        <w:rPr>
          <w:rFonts w:hint="eastAsia"/>
          <w:b/>
        </w:rPr>
        <w:t>面對極端降雨應改變思維，由不淹水轉化為不怕水淹，水利機關應建立淹水村落的水患及環境治理經驗知識庫，讓社會理解淹水無法完全避免，需要有一定程度的淹水容受力；另中央應支援地方並強化綜合治理相關科研應用及人才培育工作，加強業務職能與權責整合，建立開放式流域治理資訊平台，讓社區民眾、學校與民間社團組織參與學習。</w:t>
      </w:r>
    </w:p>
    <w:p w:rsidR="00CA12EE" w:rsidRDefault="00CE0867" w:rsidP="00850740">
      <w:pPr>
        <w:pStyle w:val="3"/>
      </w:pPr>
      <w:r w:rsidRPr="00CE0867">
        <w:rPr>
          <w:rFonts w:hint="eastAsia"/>
        </w:rPr>
        <w:t>氣候變遷所造成極端降雨情境下，超過設計保護標準之淹水已無法避免，治水思維必須由「不淹水」轉變成「不怕水淹」。</w:t>
      </w:r>
      <w:r w:rsidR="00850740">
        <w:rPr>
          <w:rFonts w:hint="eastAsia"/>
        </w:rPr>
        <w:t>因此</w:t>
      </w:r>
      <w:r w:rsidR="00850740">
        <w:rPr>
          <w:rFonts w:hAnsi="標楷體" w:hint="eastAsia"/>
        </w:rPr>
        <w:t>，</w:t>
      </w:r>
      <w:r w:rsidR="00850740" w:rsidRPr="00850740">
        <w:rPr>
          <w:rFonts w:hAnsi="標楷體" w:hint="eastAsia"/>
        </w:rPr>
        <w:t>在面對不同降雨規模，需採取不同策略因應，除持續依治水計畫辦理工程措施，再搭配非工程措施，讓保護對象於受災時能減少受害程度，災後能更快恢復正常狀態，並從災害中學習經驗，以此策略進行調適，提高面對淹水時之容受力及回復力</w:t>
      </w:r>
      <w:r w:rsidR="00850740">
        <w:rPr>
          <w:rFonts w:hAnsi="標楷體" w:hint="eastAsia"/>
        </w:rPr>
        <w:t>。</w:t>
      </w:r>
    </w:p>
    <w:p w:rsidR="00CA12EE" w:rsidRDefault="000F7CFB" w:rsidP="000F7CFB">
      <w:pPr>
        <w:pStyle w:val="3"/>
      </w:pPr>
      <w:r w:rsidRPr="000F7CFB">
        <w:rPr>
          <w:rFonts w:hint="eastAsia"/>
        </w:rPr>
        <w:t>水利機關應建立淹水村落的水患及環境治理經驗知識庫，讓社會理解淹水無法完全避免，需要有一定程度的淹水容受力</w:t>
      </w:r>
      <w:r>
        <w:rPr>
          <w:rFonts w:hint="eastAsia"/>
        </w:rPr>
        <w:t>。據</w:t>
      </w:r>
      <w:r w:rsidRPr="000F7CFB">
        <w:rPr>
          <w:rFonts w:hint="eastAsia"/>
        </w:rPr>
        <w:t>臺南社區大學臺江分校執行長吳茂成於全國治水會議表示，水災調查及分析，切勿流於匆促，應以建構村落在地水患及環境治理經驗知識庫為目標，勿流於全</w:t>
      </w:r>
      <w:r>
        <w:rPr>
          <w:rFonts w:hint="eastAsia"/>
        </w:rPr>
        <w:t>臺</w:t>
      </w:r>
      <w:r w:rsidRPr="000F7CFB">
        <w:rPr>
          <w:rFonts w:hint="eastAsia"/>
        </w:rPr>
        <w:t>前十大累積雨量的新聞化議題導向，偏於數字化推論的淹水面積描述，應確實</w:t>
      </w:r>
      <w:r w:rsidRPr="000F7CFB">
        <w:rPr>
          <w:rFonts w:hAnsi="標楷體" w:hint="eastAsia"/>
        </w:rPr>
        <w:t>調查淹水村落及上游的雨量、水位、淹水深度及受災情形等動態資料，進而與在地居民及流域社群，共同檢討該流域的治理計畫及治理工程的成效，提出應修正之處，才能化水患經驗為知識，真實面對問題，共同設計靭性社區。</w:t>
      </w:r>
    </w:p>
    <w:p w:rsidR="00CA12EE" w:rsidRDefault="00DC1BD1" w:rsidP="00CE079B">
      <w:pPr>
        <w:pStyle w:val="3"/>
      </w:pPr>
      <w:r w:rsidRPr="00DC1BD1">
        <w:rPr>
          <w:rFonts w:hint="eastAsia"/>
        </w:rPr>
        <w:t>另中央應支援地方並強化綜合治理相關科研應用及</w:t>
      </w:r>
      <w:r w:rsidRPr="00DC1BD1">
        <w:rPr>
          <w:rFonts w:hint="eastAsia"/>
        </w:rPr>
        <w:lastRenderedPageBreak/>
        <w:t>人才培育工作，加強業務職能與權責整合，建立開放式流域治理資訊平台，讓社區民眾、學校與民間社團組織參與學習。</w:t>
      </w:r>
      <w:r w:rsidR="009B6561" w:rsidRPr="009B6561">
        <w:rPr>
          <w:rFonts w:hint="eastAsia"/>
        </w:rPr>
        <w:t>據銘傳大學都市規劃與防災學系教授陳亮全於全國治水會議表示，中央政府應支援地方政府（直轄市、縣市政府），提供綜合流域治理必要之技術協助，以及協助流域間或行政轄區間之協調工作</w:t>
      </w:r>
      <w:r w:rsidR="00D60336">
        <w:rPr>
          <w:rFonts w:hAnsi="標楷體" w:hint="eastAsia"/>
        </w:rPr>
        <w:t>；</w:t>
      </w:r>
      <w:r w:rsidR="009B6561" w:rsidRPr="009B6561">
        <w:rPr>
          <w:rFonts w:hint="eastAsia"/>
        </w:rPr>
        <w:t>研訂各主要流域之</w:t>
      </w:r>
      <w:r w:rsidR="00CE079B" w:rsidRPr="00CE079B">
        <w:rPr>
          <w:rFonts w:hint="eastAsia"/>
        </w:rPr>
        <w:t>逕</w:t>
      </w:r>
      <w:r w:rsidR="009B6561" w:rsidRPr="009B6561">
        <w:rPr>
          <w:rFonts w:hint="eastAsia"/>
        </w:rPr>
        <w:t>流分擔、</w:t>
      </w:r>
      <w:r w:rsidR="00CE079B" w:rsidRPr="00CE079B">
        <w:rPr>
          <w:rFonts w:hint="eastAsia"/>
        </w:rPr>
        <w:t>出</w:t>
      </w:r>
      <w:r w:rsidR="009B6561" w:rsidRPr="009B6561">
        <w:rPr>
          <w:rFonts w:hint="eastAsia"/>
        </w:rPr>
        <w:t>流管制標準</w:t>
      </w:r>
      <w:r w:rsidR="00D60336">
        <w:rPr>
          <w:rFonts w:hAnsi="標楷體" w:hint="eastAsia"/>
        </w:rPr>
        <w:t>，提供地方政府研擬、訂</w:t>
      </w:r>
      <w:r w:rsidR="00D210CE">
        <w:rPr>
          <w:rFonts w:hAnsi="標楷體" w:hint="eastAsia"/>
        </w:rPr>
        <w:t>定</w:t>
      </w:r>
      <w:r w:rsidR="00D60336">
        <w:rPr>
          <w:rFonts w:hAnsi="標楷體" w:hint="eastAsia"/>
        </w:rPr>
        <w:t>綜合流域治理計畫之參據；強化綜合流域治理相關科研與技術（含工程與非工程）之開發、應用，及人才培育工作，以為引領、提升全國，尤其是直轄市、縣市政府</w:t>
      </w:r>
      <w:r w:rsidR="00D60336" w:rsidRPr="00D60336">
        <w:rPr>
          <w:rFonts w:hAnsi="標楷體" w:hint="eastAsia"/>
        </w:rPr>
        <w:t>綜合流域治理</w:t>
      </w:r>
      <w:r w:rsidR="00D60336">
        <w:rPr>
          <w:rFonts w:hAnsi="標楷體" w:hint="eastAsia"/>
        </w:rPr>
        <w:t>能量之有力後盾；</w:t>
      </w:r>
      <w:r w:rsidR="00410FB5" w:rsidRPr="00410FB5">
        <w:rPr>
          <w:rFonts w:hAnsi="標楷體" w:hint="eastAsia"/>
        </w:rPr>
        <w:t>直轄市、縣市政府</w:t>
      </w:r>
      <w:r w:rsidR="00410FB5">
        <w:rPr>
          <w:rFonts w:hAnsi="標楷體" w:hint="eastAsia"/>
        </w:rPr>
        <w:t>應建立流域治理相關資訊之開放平台（網頁），提供</w:t>
      </w:r>
      <w:r w:rsidR="00BC3EA2">
        <w:rPr>
          <w:rFonts w:hAnsi="標楷體" w:hint="eastAsia"/>
        </w:rPr>
        <w:t>民眾或民間團體了解</w:t>
      </w:r>
      <w:r w:rsidR="00CE079B">
        <w:rPr>
          <w:rFonts w:hAnsi="標楷體" w:hint="eastAsia"/>
        </w:rPr>
        <w:t>，</w:t>
      </w:r>
      <w:r w:rsidR="00BC3EA2">
        <w:rPr>
          <w:rFonts w:hAnsi="標楷體" w:hint="eastAsia"/>
        </w:rPr>
        <w:t>使用其相關資訊。</w:t>
      </w:r>
    </w:p>
    <w:p w:rsidR="00CA12EE" w:rsidRPr="00083D1B" w:rsidRDefault="00DC1BD1" w:rsidP="00DC1BD1">
      <w:pPr>
        <w:pStyle w:val="3"/>
      </w:pPr>
      <w:r>
        <w:rPr>
          <w:rFonts w:hint="eastAsia"/>
        </w:rPr>
        <w:t>綜上</w:t>
      </w:r>
      <w:r>
        <w:rPr>
          <w:rFonts w:hAnsi="標楷體" w:hint="eastAsia"/>
        </w:rPr>
        <w:t>，</w:t>
      </w:r>
      <w:r w:rsidR="00083D1B" w:rsidRPr="00083D1B">
        <w:rPr>
          <w:rFonts w:hAnsi="標楷體" w:hint="eastAsia"/>
        </w:rPr>
        <w:t>面對極端降雨應改變思維，由不淹水轉化為不怕水淹，水利機關應建立淹水村落的水患及環境治理經驗知識庫，讓社會理解淹水無法完全避免，需要有一定程度的淹水容受力；另中央應支援地方並強化綜合治理相關科研應用及人才培育工作，加強業務職能與權責整合，建立開放式流域治理資訊平台，讓社區民眾、學校與民間社團組織參與學習。</w:t>
      </w:r>
    </w:p>
    <w:p w:rsidR="00CA12EE" w:rsidRDefault="00F22251" w:rsidP="00F22251">
      <w:pPr>
        <w:pStyle w:val="2"/>
        <w:rPr>
          <w:b/>
        </w:rPr>
      </w:pPr>
      <w:r w:rsidRPr="00F22251">
        <w:rPr>
          <w:rFonts w:hint="eastAsia"/>
          <w:b/>
        </w:rPr>
        <w:t>面對極端氣候，應強化天氣與豪雨預報及預警的精確度，持續投入氣象科技研發，以精進致災性預報能力；另應運用智慧創新科技，提升防救災及預警能量，包括：建置水災風險地圖進行風險管理、建置抽水機智慧調度決策支援系統、提升預警系統效能、結合社區志工及企業區域聯防、結合民間體系建置防救災物資資料庫等，期精進防救災整備工作。</w:t>
      </w:r>
    </w:p>
    <w:p w:rsidR="00CA12EE" w:rsidRDefault="001D37A6" w:rsidP="00AF5C5E">
      <w:pPr>
        <w:pStyle w:val="3"/>
      </w:pPr>
      <w:r w:rsidRPr="001D37A6">
        <w:rPr>
          <w:rFonts w:hint="eastAsia"/>
        </w:rPr>
        <w:t>據世界經濟論壇107年全球風險調查，極端氣候及天然災害是風險最高及衝擊最大的重要議題，氣候變</w:t>
      </w:r>
      <w:r w:rsidRPr="001D37A6">
        <w:rPr>
          <w:rFonts w:hint="eastAsia"/>
        </w:rPr>
        <w:lastRenderedPageBreak/>
        <w:t>遷及其不確定性是國家發展的重大挑戰。</w:t>
      </w:r>
      <w:r w:rsidR="00CE079B">
        <w:rPr>
          <w:rFonts w:hint="eastAsia"/>
        </w:rPr>
        <w:t>另</w:t>
      </w:r>
      <w:r w:rsidR="00944879">
        <w:rPr>
          <w:rFonts w:hint="eastAsia"/>
        </w:rPr>
        <w:t>據</w:t>
      </w:r>
      <w:r w:rsidR="00971EBD">
        <w:rPr>
          <w:rFonts w:hint="eastAsia"/>
        </w:rPr>
        <w:t>水利署「極端氣候的威脅及因應策略報告」指出，</w:t>
      </w:r>
      <w:r w:rsidR="00AF5C5E" w:rsidRPr="00AF5C5E">
        <w:rPr>
          <w:rFonts w:hint="eastAsia"/>
        </w:rPr>
        <w:t>颱風降雨是臺灣水災發生的主要原因，因此準確的定量降雨預報可以提供防災重要的參考</w:t>
      </w:r>
      <w:r w:rsidR="00AF5C5E">
        <w:rPr>
          <w:rFonts w:hint="eastAsia"/>
        </w:rPr>
        <w:t>；</w:t>
      </w:r>
      <w:r w:rsidR="00AF5C5E" w:rsidRPr="00AF5C5E">
        <w:rPr>
          <w:rFonts w:hint="eastAsia"/>
        </w:rPr>
        <w:t>近幾年來在行政院國</w:t>
      </w:r>
      <w:r w:rsidR="00AF5C5E">
        <w:rPr>
          <w:rFonts w:hint="eastAsia"/>
        </w:rPr>
        <w:t>家</w:t>
      </w:r>
      <w:r w:rsidR="00AF5C5E" w:rsidRPr="00AF5C5E">
        <w:rPr>
          <w:rFonts w:hint="eastAsia"/>
        </w:rPr>
        <w:t>科</w:t>
      </w:r>
      <w:r w:rsidR="00AF5C5E">
        <w:rPr>
          <w:rFonts w:hint="eastAsia"/>
        </w:rPr>
        <w:t>學委員會（現改制為科技部）</w:t>
      </w:r>
      <w:r w:rsidR="00AF5C5E" w:rsidRPr="00AF5C5E">
        <w:rPr>
          <w:rFonts w:hint="eastAsia"/>
        </w:rPr>
        <w:t>、交通部中央氣象局、經濟部水利署及</w:t>
      </w:r>
      <w:r w:rsidR="00AF5C5E">
        <w:rPr>
          <w:rFonts w:hint="eastAsia"/>
        </w:rPr>
        <w:t>行政院</w:t>
      </w:r>
      <w:r w:rsidR="00AF5C5E" w:rsidRPr="00AF5C5E">
        <w:rPr>
          <w:rFonts w:hint="eastAsia"/>
        </w:rPr>
        <w:t>農</w:t>
      </w:r>
      <w:r w:rsidR="00AF5C5E">
        <w:rPr>
          <w:rFonts w:hint="eastAsia"/>
        </w:rPr>
        <w:t>業</w:t>
      </w:r>
      <w:r w:rsidR="00AF5C5E" w:rsidRPr="00AF5C5E">
        <w:rPr>
          <w:rFonts w:hint="eastAsia"/>
        </w:rPr>
        <w:t>委</w:t>
      </w:r>
      <w:r w:rsidR="00AF5C5E">
        <w:rPr>
          <w:rFonts w:hint="eastAsia"/>
        </w:rPr>
        <w:t>員</w:t>
      </w:r>
      <w:r w:rsidR="00AF5C5E" w:rsidRPr="00AF5C5E">
        <w:rPr>
          <w:rFonts w:hint="eastAsia"/>
        </w:rPr>
        <w:t>會水</w:t>
      </w:r>
      <w:r w:rsidR="00AF5C5E">
        <w:rPr>
          <w:rFonts w:hint="eastAsia"/>
        </w:rPr>
        <w:t>土</w:t>
      </w:r>
      <w:r w:rsidR="00AF5C5E" w:rsidRPr="00AF5C5E">
        <w:rPr>
          <w:rFonts w:hint="eastAsia"/>
        </w:rPr>
        <w:t>保</w:t>
      </w:r>
      <w:r w:rsidR="00AF5C5E">
        <w:rPr>
          <w:rFonts w:hint="eastAsia"/>
        </w:rPr>
        <w:t>持</w:t>
      </w:r>
      <w:r w:rsidR="00AF5C5E" w:rsidRPr="00AF5C5E">
        <w:rPr>
          <w:rFonts w:hint="eastAsia"/>
        </w:rPr>
        <w:t>局等單位積極推動下，颱風的動力理論與路徑預報、洪水預報及坡地災害預警等研究已有良好的基礎</w:t>
      </w:r>
      <w:r w:rsidR="00AF5C5E">
        <w:rPr>
          <w:rFonts w:hint="eastAsia"/>
        </w:rPr>
        <w:t>，</w:t>
      </w:r>
      <w:r w:rsidR="00AF5C5E" w:rsidRPr="00AF5C5E">
        <w:rPr>
          <w:rFonts w:hint="eastAsia"/>
        </w:rPr>
        <w:t>但是對於路徑及定量降雨和預報的準確度，則仍無法完全達到防救災工作的需求</w:t>
      </w:r>
      <w:r w:rsidR="00AF5C5E">
        <w:rPr>
          <w:rFonts w:hint="eastAsia"/>
        </w:rPr>
        <w:t>，且</w:t>
      </w:r>
      <w:r w:rsidR="00AF5C5E" w:rsidRPr="00AF5C5E">
        <w:rPr>
          <w:rFonts w:hAnsi="標楷體" w:hint="eastAsia"/>
        </w:rPr>
        <w:t>由於臺灣多樣的地形使目前定量降雨預報的困難，連帶的降低了洪水預報與警報的可信度</w:t>
      </w:r>
      <w:r w:rsidR="00AF5C5E">
        <w:rPr>
          <w:rFonts w:hAnsi="標楷體" w:hint="eastAsia"/>
        </w:rPr>
        <w:t>，</w:t>
      </w:r>
      <w:r w:rsidR="00AF5C5E" w:rsidRPr="00AF5C5E">
        <w:rPr>
          <w:rFonts w:hAnsi="標楷體" w:hint="eastAsia"/>
        </w:rPr>
        <w:t>若能提</w:t>
      </w:r>
      <w:r w:rsidR="00CE079B">
        <w:rPr>
          <w:rFonts w:hAnsi="標楷體" w:hint="eastAsia"/>
        </w:rPr>
        <w:t>升</w:t>
      </w:r>
      <w:r w:rsidR="00AF5C5E" w:rsidRPr="00AF5C5E">
        <w:rPr>
          <w:rFonts w:hAnsi="標楷體" w:hint="eastAsia"/>
        </w:rPr>
        <w:t>降雨觀測及預報精度，才可以準確預測中、下游河川洪峰時間及市區可能淹水範圍，作為地方政府</w:t>
      </w:r>
      <w:r w:rsidR="00EC0F04">
        <w:rPr>
          <w:rFonts w:hAnsi="標楷體" w:hint="eastAsia"/>
        </w:rPr>
        <w:t>發布</w:t>
      </w:r>
      <w:r w:rsidR="00AF5C5E" w:rsidRPr="00AF5C5E">
        <w:rPr>
          <w:rFonts w:hAnsi="標楷體" w:hint="eastAsia"/>
        </w:rPr>
        <w:t>人員疏散及相關災害應變措施之依據，才能滿足區域性防救災作業之需求，並有效地執行避災作業。</w:t>
      </w:r>
      <w:r w:rsidR="00BC21AD">
        <w:rPr>
          <w:rFonts w:hAnsi="標楷體" w:hint="eastAsia"/>
        </w:rPr>
        <w:t>因此，政府仍應該持續投入更多資源，</w:t>
      </w:r>
      <w:r w:rsidR="003C3FCF">
        <w:rPr>
          <w:rFonts w:hAnsi="標楷體" w:hint="eastAsia"/>
        </w:rPr>
        <w:t>建置氣象預報軟硬體，硬體如雷達站，軟體如預測模型等科技研發，</w:t>
      </w:r>
      <w:r w:rsidR="006E7517">
        <w:rPr>
          <w:rFonts w:hAnsi="標楷體" w:hint="eastAsia"/>
        </w:rPr>
        <w:t>且對於數值模型的開發應用也應儘早建置強化，提升預報的速度與精確度。</w:t>
      </w:r>
    </w:p>
    <w:p w:rsidR="00CA12EE" w:rsidRDefault="00E11C8C" w:rsidP="00A9493A">
      <w:pPr>
        <w:pStyle w:val="3"/>
      </w:pPr>
      <w:r>
        <w:rPr>
          <w:rFonts w:hint="eastAsia"/>
        </w:rPr>
        <w:t>面對極端氣候</w:t>
      </w:r>
      <w:r>
        <w:rPr>
          <w:rFonts w:hAnsi="標楷體" w:hint="eastAsia"/>
        </w:rPr>
        <w:t>，</w:t>
      </w:r>
      <w:r w:rsidR="00A9493A">
        <w:rPr>
          <w:rFonts w:hint="eastAsia"/>
        </w:rPr>
        <w:t>除前述</w:t>
      </w:r>
      <w:r w:rsidR="00A9493A" w:rsidRPr="00A9493A">
        <w:rPr>
          <w:rFonts w:hint="eastAsia"/>
        </w:rPr>
        <w:t>應</w:t>
      </w:r>
      <w:r w:rsidR="00A9493A">
        <w:rPr>
          <w:rFonts w:hint="eastAsia"/>
        </w:rPr>
        <w:t>積極</w:t>
      </w:r>
      <w:r w:rsidR="00A9493A" w:rsidRPr="00A9493A">
        <w:rPr>
          <w:rFonts w:hint="eastAsia"/>
        </w:rPr>
        <w:t>強化天氣與豪雨預報及預警的精確度</w:t>
      </w:r>
      <w:r>
        <w:rPr>
          <w:rFonts w:hint="eastAsia"/>
        </w:rPr>
        <w:t>之</w:t>
      </w:r>
      <w:r w:rsidR="00A9493A">
        <w:rPr>
          <w:rFonts w:hint="eastAsia"/>
        </w:rPr>
        <w:t>外</w:t>
      </w:r>
      <w:r w:rsidR="00A9493A">
        <w:rPr>
          <w:rFonts w:hAnsi="標楷體" w:hint="eastAsia"/>
        </w:rPr>
        <w:t>，</w:t>
      </w:r>
      <w:r w:rsidR="00A9493A" w:rsidRPr="00A9493A">
        <w:rPr>
          <w:rFonts w:hint="eastAsia"/>
        </w:rPr>
        <w:t>另應運用智慧創新科技，提升防救災及預警能量，</w:t>
      </w:r>
      <w:r w:rsidR="00CE079B">
        <w:rPr>
          <w:rFonts w:hint="eastAsia"/>
        </w:rPr>
        <w:t>茲分述如下</w:t>
      </w:r>
      <w:r w:rsidR="00A9493A" w:rsidRPr="00A9493A">
        <w:rPr>
          <w:rFonts w:hint="eastAsia"/>
        </w:rPr>
        <w:t>：</w:t>
      </w:r>
    </w:p>
    <w:p w:rsidR="00A9493A" w:rsidRDefault="00A9493A" w:rsidP="00BD7E08">
      <w:pPr>
        <w:pStyle w:val="4"/>
      </w:pPr>
      <w:r w:rsidRPr="00A9493A">
        <w:rPr>
          <w:rFonts w:hint="eastAsia"/>
        </w:rPr>
        <w:t>建置水災風險地圖進行風險管理</w:t>
      </w:r>
      <w:r>
        <w:rPr>
          <w:rFonts w:hAnsi="標楷體" w:hint="eastAsia"/>
        </w:rPr>
        <w:t>：</w:t>
      </w:r>
      <w:r w:rsidR="00D01D1C">
        <w:rPr>
          <w:rFonts w:hAnsi="標楷體" w:hint="eastAsia"/>
        </w:rPr>
        <w:t>風險地圖可作為天然災害治理及管理之重要參考，而準確的風險地圖係立基於準確的淹水潛勢圖。</w:t>
      </w:r>
      <w:r w:rsidR="00BD7E08" w:rsidRPr="00BD7E08">
        <w:rPr>
          <w:rFonts w:hAnsi="標楷體" w:hint="eastAsia"/>
        </w:rPr>
        <w:t>現階段經濟部已繪製全</w:t>
      </w:r>
      <w:r w:rsidR="00CE079B">
        <w:rPr>
          <w:rFonts w:hAnsi="標楷體" w:hint="eastAsia"/>
        </w:rPr>
        <w:t>臺</w:t>
      </w:r>
      <w:r w:rsidR="00BD7E08" w:rsidRPr="00BD7E08">
        <w:rPr>
          <w:rFonts w:hAnsi="標楷體" w:hint="eastAsia"/>
        </w:rPr>
        <w:t>第三代淹水潛勢圖，採高解析度數值高程，利用模式建置各種水路(如縣市管河川與排水系統、大型魚塭與灌溉排水系統水道、都會區下水道系統等)及構造物(如滯洪池、水閘</w:t>
      </w:r>
      <w:r w:rsidR="00BD7E08" w:rsidRPr="00BD7E08">
        <w:rPr>
          <w:rFonts w:hAnsi="標楷體" w:hint="eastAsia"/>
        </w:rPr>
        <w:lastRenderedPageBreak/>
        <w:t>門、抽水站、河海堤防及橋梁等)進行模擬，成果主要為淹水深度與淹水範圍</w:t>
      </w:r>
      <w:r w:rsidR="00157F18">
        <w:rPr>
          <w:rFonts w:hAnsi="標楷體" w:hint="eastAsia"/>
        </w:rPr>
        <w:t>，</w:t>
      </w:r>
      <w:r w:rsidR="00BD7E08" w:rsidRPr="00BD7E08">
        <w:rPr>
          <w:rFonts w:hAnsi="標楷體" w:hint="eastAsia"/>
        </w:rPr>
        <w:t>未來</w:t>
      </w:r>
      <w:r w:rsidR="00BD7E08">
        <w:rPr>
          <w:rFonts w:hAnsi="標楷體" w:hint="eastAsia"/>
        </w:rPr>
        <w:t>應</w:t>
      </w:r>
      <w:r w:rsidR="00BD7E08" w:rsidRPr="00BD7E08">
        <w:rPr>
          <w:rFonts w:hAnsi="標楷體" w:hint="eastAsia"/>
        </w:rPr>
        <w:t>透過分析淹水區域之災害曝露量、脆弱度與受災風險等資訊，據以建置水災風險地圖，進行風險管理。</w:t>
      </w:r>
    </w:p>
    <w:p w:rsidR="00A9493A" w:rsidRPr="00E376FB" w:rsidRDefault="00A9493A" w:rsidP="006F38FF">
      <w:pPr>
        <w:pStyle w:val="4"/>
      </w:pPr>
      <w:r w:rsidRPr="00A9493A">
        <w:rPr>
          <w:rFonts w:hint="eastAsia"/>
        </w:rPr>
        <w:t>建置抽水機智慧調度決策支援系統</w:t>
      </w:r>
      <w:r>
        <w:rPr>
          <w:rFonts w:hAnsi="標楷體" w:hint="eastAsia"/>
        </w:rPr>
        <w:t>：</w:t>
      </w:r>
      <w:r w:rsidR="006F38FF" w:rsidRPr="006F38FF">
        <w:rPr>
          <w:rFonts w:hAnsi="標楷體" w:hint="eastAsia"/>
        </w:rPr>
        <w:t>目前水利署所轄10個河川局及12</w:t>
      </w:r>
      <w:r w:rsidR="006F38FF">
        <w:rPr>
          <w:rFonts w:hAnsi="標楷體" w:hint="eastAsia"/>
        </w:rPr>
        <w:t>個</w:t>
      </w:r>
      <w:r w:rsidR="006F38FF" w:rsidRPr="006F38FF">
        <w:rPr>
          <w:rFonts w:hAnsi="標楷體" w:hint="eastAsia"/>
        </w:rPr>
        <w:t>縣市裝有GPS車載機即時監控系統，即時掌握移動式抽水機支援調度現況，但因抽水機數量龐大，目前仍以人工判讀抽水機位置後才能進行調度作業，效率較低，面對大災害時常捉襟見肘，</w:t>
      </w:r>
      <w:r w:rsidR="006F38FF">
        <w:rPr>
          <w:rFonts w:hAnsi="標楷體" w:hint="eastAsia"/>
        </w:rPr>
        <w:t>允應儘速</w:t>
      </w:r>
      <w:r w:rsidR="006F38FF" w:rsidRPr="006F38FF">
        <w:rPr>
          <w:rFonts w:hAnsi="標楷體" w:hint="eastAsia"/>
        </w:rPr>
        <w:t>建置抽水機智慧調度決策支援系統以提升抽水機</w:t>
      </w:r>
      <w:r w:rsidR="006F38FF">
        <w:rPr>
          <w:rFonts w:hAnsi="標楷體" w:hint="eastAsia"/>
        </w:rPr>
        <w:t>之</w:t>
      </w:r>
      <w:r w:rsidR="006F38FF" w:rsidRPr="006F38FF">
        <w:rPr>
          <w:rFonts w:hAnsi="標楷體" w:hint="eastAsia"/>
        </w:rPr>
        <w:t>調度效能。</w:t>
      </w:r>
    </w:p>
    <w:p w:rsidR="00E376FB" w:rsidRPr="00F32636" w:rsidRDefault="00E376FB" w:rsidP="00E376FB">
      <w:pPr>
        <w:pStyle w:val="4"/>
      </w:pPr>
      <w:r w:rsidRPr="00E376FB">
        <w:rPr>
          <w:rFonts w:hint="eastAsia"/>
        </w:rPr>
        <w:t>提升預警系統效能</w:t>
      </w:r>
      <w:r>
        <w:rPr>
          <w:rFonts w:hAnsi="標楷體" w:hint="eastAsia"/>
        </w:rPr>
        <w:t>：</w:t>
      </w:r>
    </w:p>
    <w:p w:rsidR="00F32636" w:rsidRPr="00F32636" w:rsidRDefault="00F32636" w:rsidP="00F32636">
      <w:pPr>
        <w:pStyle w:val="5"/>
      </w:pPr>
      <w:r w:rsidRPr="00F32636">
        <w:rPr>
          <w:rFonts w:hint="eastAsia"/>
        </w:rPr>
        <w:t>提升土石流警戒預報及防災監測能力</w:t>
      </w:r>
      <w:r>
        <w:rPr>
          <w:rFonts w:hAnsi="標楷體" w:hint="eastAsia"/>
        </w:rPr>
        <w:t>：</w:t>
      </w:r>
      <w:r w:rsidR="00F36A3C">
        <w:rPr>
          <w:rFonts w:hAnsi="標楷體" w:hint="eastAsia"/>
        </w:rPr>
        <w:t>行政院農業委員會</w:t>
      </w:r>
      <w:r w:rsidRPr="00F32636">
        <w:rPr>
          <w:rFonts w:hAnsi="標楷體" w:hint="eastAsia"/>
        </w:rPr>
        <w:t>水土保持局</w:t>
      </w:r>
      <w:r>
        <w:rPr>
          <w:rFonts w:hAnsi="標楷體" w:hint="eastAsia"/>
        </w:rPr>
        <w:t>應</w:t>
      </w:r>
      <w:r w:rsidRPr="00F32636">
        <w:rPr>
          <w:rFonts w:hAnsi="標楷體" w:hint="eastAsia"/>
        </w:rPr>
        <w:t>協助地方政府落實土石流防災整備工作</w:t>
      </w:r>
      <w:r>
        <w:rPr>
          <w:rFonts w:hAnsi="標楷體" w:hint="eastAsia"/>
        </w:rPr>
        <w:t>，</w:t>
      </w:r>
      <w:r w:rsidRPr="00F32636">
        <w:rPr>
          <w:rFonts w:hAnsi="標楷體" w:hint="eastAsia"/>
        </w:rPr>
        <w:t>持續更新保全對象清冊及土石流疏散避難計畫，並推廣宣導土石流防災資訊，提升土石流警戒預報精度</w:t>
      </w:r>
      <w:r>
        <w:rPr>
          <w:rFonts w:hAnsi="標楷體" w:hint="eastAsia"/>
        </w:rPr>
        <w:t>，</w:t>
      </w:r>
      <w:r w:rsidRPr="00F32636">
        <w:rPr>
          <w:rFonts w:hAnsi="標楷體" w:hint="eastAsia"/>
        </w:rPr>
        <w:t>精進土石流防災監測</w:t>
      </w:r>
      <w:r>
        <w:rPr>
          <w:rFonts w:hAnsi="標楷體" w:hint="eastAsia"/>
        </w:rPr>
        <w:t>工作。</w:t>
      </w:r>
    </w:p>
    <w:p w:rsidR="00F32636" w:rsidRPr="00084049" w:rsidRDefault="00F32636" w:rsidP="00F32636">
      <w:pPr>
        <w:pStyle w:val="5"/>
      </w:pPr>
      <w:r w:rsidRPr="00F32636">
        <w:rPr>
          <w:rFonts w:hint="eastAsia"/>
        </w:rPr>
        <w:t>加強都市水情預警系統</w:t>
      </w:r>
      <w:r>
        <w:rPr>
          <w:rFonts w:hAnsi="標楷體" w:hint="eastAsia"/>
        </w:rPr>
        <w:t>：</w:t>
      </w:r>
      <w:r w:rsidR="00A91087">
        <w:rPr>
          <w:rFonts w:hAnsi="標楷體" w:hint="eastAsia"/>
        </w:rPr>
        <w:t>營建署應儘速建立</w:t>
      </w:r>
      <w:r w:rsidR="00A91087" w:rsidRPr="00A91087">
        <w:rPr>
          <w:rFonts w:hAnsi="標楷體" w:hint="eastAsia"/>
        </w:rPr>
        <w:t>都市計畫區雨水下水道基本數值圖資，利用新一代的數值模擬，推測雨水下水道在超量降雨下更細微的溢淹情形，演算對道路兩側建築物的威脅，推估各都市計畫區不同降雨級距的淹水潛勢，供作淹水改善，移動式抽水機預佈及低漥區民眾架設擋水閘門時機的參考。</w:t>
      </w:r>
    </w:p>
    <w:p w:rsidR="00084049" w:rsidRPr="00084049" w:rsidRDefault="00084049" w:rsidP="00F32636">
      <w:pPr>
        <w:pStyle w:val="5"/>
      </w:pPr>
      <w:r w:rsidRPr="00084049">
        <w:rPr>
          <w:rFonts w:hint="eastAsia"/>
        </w:rPr>
        <w:t>精進公路防災預警機制</w:t>
      </w:r>
      <w:r>
        <w:rPr>
          <w:rFonts w:hAnsi="標楷體" w:hint="eastAsia"/>
        </w:rPr>
        <w:t>：</w:t>
      </w:r>
      <w:r w:rsidRPr="00084049">
        <w:rPr>
          <w:rFonts w:hAnsi="標楷體" w:hint="eastAsia"/>
        </w:rPr>
        <w:t>交通部為提升交通系統韌性，持續精進</w:t>
      </w:r>
      <w:r>
        <w:rPr>
          <w:rFonts w:hAnsi="標楷體" w:hint="eastAsia"/>
        </w:rPr>
        <w:t>公路防災預警機制</w:t>
      </w:r>
      <w:r w:rsidRPr="00084049">
        <w:rPr>
          <w:rFonts w:hAnsi="標楷體" w:hint="eastAsia"/>
        </w:rPr>
        <w:t>，以颱風事件採預判、部署、預警及應變逐步推動防災應變作為，輔以決策支援及各種通告管道等作業，爭取更多預警、應變時間，達到使用路人</w:t>
      </w:r>
      <w:r w:rsidRPr="00084049">
        <w:rPr>
          <w:rFonts w:hAnsi="標楷體" w:hint="eastAsia"/>
        </w:rPr>
        <w:lastRenderedPageBreak/>
        <w:t>遠離災害，降低災亡之風險，以維持劇烈天候下防災零傷亡的目標。</w:t>
      </w:r>
    </w:p>
    <w:p w:rsidR="00084049" w:rsidRDefault="00084049" w:rsidP="00F32636">
      <w:pPr>
        <w:pStyle w:val="5"/>
      </w:pPr>
      <w:r w:rsidRPr="00084049">
        <w:rPr>
          <w:rFonts w:hint="eastAsia"/>
        </w:rPr>
        <w:t>推動智慧水利防災</w:t>
      </w:r>
      <w:r>
        <w:rPr>
          <w:rFonts w:hAnsi="標楷體" w:hint="eastAsia"/>
        </w:rPr>
        <w:t>：</w:t>
      </w:r>
      <w:r w:rsidR="00295F46" w:rsidRPr="00295F46">
        <w:rPr>
          <w:rFonts w:hAnsi="標楷體" w:hint="eastAsia"/>
        </w:rPr>
        <w:t>為能提高防災應變效率，水利署</w:t>
      </w:r>
      <w:r w:rsidR="00295F46">
        <w:rPr>
          <w:rFonts w:hAnsi="標楷體" w:hint="eastAsia"/>
        </w:rPr>
        <w:t>應</w:t>
      </w:r>
      <w:r w:rsidR="00295F46" w:rsidRPr="00295F46">
        <w:rPr>
          <w:rFonts w:hAnsi="標楷體" w:hint="eastAsia"/>
        </w:rPr>
        <w:t>利用現有的創新科技進行智慧水利防災，透過「監控、預警、通報及應變」等四大步驟互相搭配整合，提高防災工作的效率，以強化現有的防災體系。</w:t>
      </w:r>
    </w:p>
    <w:p w:rsidR="003E5A4B" w:rsidRPr="0022366F" w:rsidRDefault="003E5A4B" w:rsidP="003E5A4B">
      <w:pPr>
        <w:pStyle w:val="4"/>
      </w:pPr>
      <w:r w:rsidRPr="003E5A4B">
        <w:rPr>
          <w:rFonts w:hint="eastAsia"/>
        </w:rPr>
        <w:t>結合社區志工及企業區域聯防</w:t>
      </w:r>
      <w:r>
        <w:rPr>
          <w:rFonts w:hAnsi="標楷體" w:hint="eastAsia"/>
        </w:rPr>
        <w:t>：</w:t>
      </w:r>
      <w:r w:rsidR="00295F46" w:rsidRPr="00295F46">
        <w:rPr>
          <w:rFonts w:hAnsi="標楷體" w:hint="eastAsia"/>
        </w:rPr>
        <w:t>截至107年</w:t>
      </w:r>
      <w:r w:rsidR="00295F46">
        <w:rPr>
          <w:rFonts w:hAnsi="標楷體" w:hint="eastAsia"/>
        </w:rPr>
        <w:t>，</w:t>
      </w:r>
      <w:r w:rsidR="00295F46" w:rsidRPr="00295F46">
        <w:rPr>
          <w:rFonts w:hAnsi="標楷體" w:hint="eastAsia"/>
        </w:rPr>
        <w:t>經濟部</w:t>
      </w:r>
      <w:r w:rsidR="00295F46" w:rsidRPr="00295F46">
        <w:rPr>
          <w:rFonts w:hAnsi="標楷體"/>
        </w:rPr>
        <w:t>已於</w:t>
      </w:r>
      <w:r w:rsidR="00295F46" w:rsidRPr="00295F46">
        <w:rPr>
          <w:rFonts w:hAnsi="標楷體" w:hint="eastAsia"/>
        </w:rPr>
        <w:t>全</w:t>
      </w:r>
      <w:r w:rsidR="00CE079B">
        <w:rPr>
          <w:rFonts w:hAnsi="標楷體" w:hint="eastAsia"/>
        </w:rPr>
        <w:t>臺</w:t>
      </w:r>
      <w:r w:rsidR="00295F46" w:rsidRPr="00295F46">
        <w:rPr>
          <w:rFonts w:hAnsi="標楷體"/>
        </w:rPr>
        <w:t>推動成立</w:t>
      </w:r>
      <w:r w:rsidR="00295F46" w:rsidRPr="00295F46">
        <w:rPr>
          <w:rFonts w:hAnsi="標楷體" w:hint="eastAsia"/>
        </w:rPr>
        <w:t>466</w:t>
      </w:r>
      <w:r w:rsidR="00295F46" w:rsidRPr="00295F46">
        <w:rPr>
          <w:rFonts w:hAnsi="標楷體"/>
        </w:rPr>
        <w:t>處水患自主防災社區，落實離災優於防災、防災優於救災之防災觀念，透過社區及早進行防災準備工作及防汛</w:t>
      </w:r>
      <w:r w:rsidR="00295F46" w:rsidRPr="00295F46">
        <w:rPr>
          <w:rFonts w:hAnsi="標楷體" w:hint="eastAsia"/>
        </w:rPr>
        <w:t>護水</w:t>
      </w:r>
      <w:r w:rsidR="00295F46" w:rsidRPr="00295F46">
        <w:rPr>
          <w:rFonts w:hAnsi="標楷體"/>
        </w:rPr>
        <w:t>志工在多次災害中快速水情災情通報，</w:t>
      </w:r>
      <w:r w:rsidR="00295F46" w:rsidRPr="00295F46">
        <w:rPr>
          <w:rFonts w:hAnsi="標楷體" w:hint="eastAsia"/>
        </w:rPr>
        <w:t>後續</w:t>
      </w:r>
      <w:r w:rsidR="00295F46">
        <w:rPr>
          <w:rFonts w:hAnsi="標楷體" w:hint="eastAsia"/>
        </w:rPr>
        <w:t>應</w:t>
      </w:r>
      <w:r w:rsidR="00295F46" w:rsidRPr="00295F46">
        <w:rPr>
          <w:rFonts w:hAnsi="標楷體" w:hint="eastAsia"/>
        </w:rPr>
        <w:t>結合社區、志工及企業</w:t>
      </w:r>
      <w:r w:rsidR="00295F46">
        <w:rPr>
          <w:rFonts w:hAnsi="標楷體" w:hint="eastAsia"/>
        </w:rPr>
        <w:t>團體朝區域聯防方式推動，落實</w:t>
      </w:r>
      <w:r w:rsidR="00295F46" w:rsidRPr="00295F46">
        <w:rPr>
          <w:rFonts w:hAnsi="標楷體" w:hint="eastAsia"/>
        </w:rPr>
        <w:t>全民防災工作</w:t>
      </w:r>
      <w:r w:rsidR="00CE079B">
        <w:rPr>
          <w:rFonts w:hAnsi="標楷體" w:hint="eastAsia"/>
        </w:rPr>
        <w:t>。</w:t>
      </w:r>
    </w:p>
    <w:p w:rsidR="0022366F" w:rsidRDefault="0022366F" w:rsidP="0022366F">
      <w:pPr>
        <w:pStyle w:val="4"/>
      </w:pPr>
      <w:r w:rsidRPr="0022366F">
        <w:rPr>
          <w:rFonts w:hint="eastAsia"/>
        </w:rPr>
        <w:t>結合民間體系建置防救災物資資料庫</w:t>
      </w:r>
      <w:r>
        <w:rPr>
          <w:rFonts w:hAnsi="標楷體" w:hint="eastAsia"/>
        </w:rPr>
        <w:t>：</w:t>
      </w:r>
      <w:r w:rsidR="007473D0" w:rsidRPr="007473D0">
        <w:rPr>
          <w:rFonts w:hAnsi="標楷體" w:hint="eastAsia"/>
        </w:rPr>
        <w:t>本次0823熱帶低</w:t>
      </w:r>
      <w:r w:rsidR="007473D0">
        <w:rPr>
          <w:rFonts w:hAnsi="標楷體" w:hint="eastAsia"/>
        </w:rPr>
        <w:t>氣</w:t>
      </w:r>
      <w:r w:rsidR="007473D0" w:rsidRPr="007473D0">
        <w:rPr>
          <w:rFonts w:hAnsi="標楷體" w:hint="eastAsia"/>
        </w:rPr>
        <w:t>壓，造成南部地區淹水災情，雖各縣市政府皆</w:t>
      </w:r>
      <w:r w:rsidR="00CE079B">
        <w:rPr>
          <w:rFonts w:hAnsi="標楷體" w:hint="eastAsia"/>
        </w:rPr>
        <w:t>有</w:t>
      </w:r>
      <w:r w:rsidR="007473D0" w:rsidRPr="007473D0">
        <w:rPr>
          <w:rFonts w:hAnsi="標楷體" w:hint="eastAsia"/>
        </w:rPr>
        <w:t>配置抽水機</w:t>
      </w:r>
      <w:r w:rsidR="00CE079B">
        <w:rPr>
          <w:rFonts w:hAnsi="標楷體" w:hint="eastAsia"/>
        </w:rPr>
        <w:t>，</w:t>
      </w:r>
      <w:r w:rsidR="007473D0" w:rsidRPr="007473D0">
        <w:rPr>
          <w:rFonts w:hAnsi="標楷體" w:hint="eastAsia"/>
        </w:rPr>
        <w:t>水利署各河川局也支援抽水機的調度，但因受災範圍較廣，政府救災資源有限，同時支應多處受災地區，恐造成僧多粥少的情況</w:t>
      </w:r>
      <w:r w:rsidR="00CE079B">
        <w:rPr>
          <w:rFonts w:hAnsi="標楷體" w:hint="eastAsia"/>
        </w:rPr>
        <w:t>。</w:t>
      </w:r>
      <w:r w:rsidR="007473D0" w:rsidRPr="007473D0">
        <w:rPr>
          <w:rFonts w:hAnsi="標楷體" w:hint="eastAsia"/>
        </w:rPr>
        <w:t>水利署</w:t>
      </w:r>
      <w:r w:rsidR="007473D0">
        <w:rPr>
          <w:rFonts w:hAnsi="標楷體" w:hint="eastAsia"/>
        </w:rPr>
        <w:t>應</w:t>
      </w:r>
      <w:r w:rsidR="007473D0" w:rsidRPr="007473D0">
        <w:rPr>
          <w:rFonts w:hAnsi="標楷體" w:hint="eastAsia"/>
        </w:rPr>
        <w:t>持續推動企業參與，並和民間救災、救助單位合作，透過整合式的規劃，針對民間救災管理，清楚掌握民間及企業團體可協助之內容，</w:t>
      </w:r>
      <w:r w:rsidRPr="007473D0">
        <w:rPr>
          <w:rFonts w:hAnsi="標楷體" w:hint="eastAsia"/>
        </w:rPr>
        <w:t>建置防救災物資資料庫</w:t>
      </w:r>
      <w:r w:rsidR="007473D0" w:rsidRPr="007473D0">
        <w:rPr>
          <w:rFonts w:hAnsi="標楷體" w:hint="eastAsia"/>
        </w:rPr>
        <w:t>。</w:t>
      </w:r>
    </w:p>
    <w:p w:rsidR="00CA12EE" w:rsidRPr="00E84F71" w:rsidRDefault="0022366F" w:rsidP="00CA12EE">
      <w:pPr>
        <w:pStyle w:val="3"/>
      </w:pPr>
      <w:r w:rsidRPr="00E84F71">
        <w:rPr>
          <w:rFonts w:hint="eastAsia"/>
        </w:rPr>
        <w:t>綜上</w:t>
      </w:r>
      <w:r w:rsidRPr="00E84F71">
        <w:rPr>
          <w:rFonts w:hAnsi="標楷體" w:hint="eastAsia"/>
        </w:rPr>
        <w:t>：</w:t>
      </w:r>
      <w:r w:rsidR="00E84F71" w:rsidRPr="00E84F71">
        <w:rPr>
          <w:rFonts w:hAnsi="標楷體" w:hint="eastAsia"/>
        </w:rPr>
        <w:t>面對極端氣候，應強化天氣與豪雨預報及預警的精確度，持續投入氣象科技研發，以精進致災性預報能力；另應運用智慧創新科技，提升防救災及預警能量，期精進防救災整備工作。</w:t>
      </w:r>
    </w:p>
    <w:p w:rsidR="00CA12EE" w:rsidRDefault="00F22251" w:rsidP="00F22251">
      <w:pPr>
        <w:pStyle w:val="2"/>
        <w:rPr>
          <w:b/>
        </w:rPr>
      </w:pPr>
      <w:r w:rsidRPr="00F22251">
        <w:rPr>
          <w:rFonts w:hint="eastAsia"/>
          <w:b/>
        </w:rPr>
        <w:t>水利署於「107年0823熱帶低氣壓豪雨淹水檢討報告」提出建構韌性城市5大策略，復於「108年韌性臺灣全國治水會議」提出4大論點及12項共識結論，並提出韌</w:t>
      </w:r>
      <w:r w:rsidRPr="00F22251">
        <w:rPr>
          <w:rFonts w:hint="eastAsia"/>
          <w:b/>
        </w:rPr>
        <w:lastRenderedPageBreak/>
        <w:t>性水城市評估手冊供地方政府首長參考，另針對通案、規劃、用地取得、設計施工及維護管理等階段於執行時所遭遇困難計有12項，以上權責機關牽涉眾多中央部會及各縣市政府，單獨以水利署之力無法克服，後續如何事權統一並有效督導，如何推動前揭策略、落實共識結論並解決相關執行困難，行政院允宜妥適處理，期早日完成韌性臺灣之建構。</w:t>
      </w:r>
    </w:p>
    <w:p w:rsidR="00CA12EE" w:rsidRPr="00E81CDF" w:rsidRDefault="00E81CDF" w:rsidP="00E81CDF">
      <w:pPr>
        <w:pStyle w:val="3"/>
      </w:pPr>
      <w:r w:rsidRPr="00E81CDF">
        <w:rPr>
          <w:rFonts w:hAnsi="標楷體" w:hint="eastAsia"/>
        </w:rPr>
        <w:t>107年8月下旬臺南、高雄、屏東等地，因熱帶性低氣壓，形成致災型之豪大雨</w:t>
      </w:r>
      <w:r>
        <w:rPr>
          <w:rFonts w:hAnsi="標楷體" w:hint="eastAsia"/>
        </w:rPr>
        <w:t>，嗣後</w:t>
      </w:r>
      <w:r w:rsidR="00FC252F">
        <w:rPr>
          <w:rFonts w:hint="eastAsia"/>
        </w:rPr>
        <w:t>水利署</w:t>
      </w:r>
      <w:r w:rsidR="006A2C7A">
        <w:rPr>
          <w:rFonts w:hint="eastAsia"/>
        </w:rPr>
        <w:t>於107年11月</w:t>
      </w:r>
      <w:r w:rsidR="00FC252F">
        <w:rPr>
          <w:rFonts w:hint="eastAsia"/>
        </w:rPr>
        <w:t>「107年0823熱帶低氣壓豪雨淹水檢討報告」</w:t>
      </w:r>
      <w:r>
        <w:rPr>
          <w:rFonts w:hint="eastAsia"/>
        </w:rPr>
        <w:t>針對</w:t>
      </w:r>
      <w:r w:rsidR="00AC4859">
        <w:rPr>
          <w:rFonts w:hint="eastAsia"/>
        </w:rPr>
        <w:t>天氣</w:t>
      </w:r>
      <w:r>
        <w:rPr>
          <w:rFonts w:hint="eastAsia"/>
        </w:rPr>
        <w:t>預報</w:t>
      </w:r>
      <w:r>
        <w:rPr>
          <w:rFonts w:hAnsi="標楷體" w:hint="eastAsia"/>
        </w:rPr>
        <w:t>、</w:t>
      </w:r>
      <w:r>
        <w:rPr>
          <w:rFonts w:hint="eastAsia"/>
        </w:rPr>
        <w:t>基礎設施</w:t>
      </w:r>
      <w:r w:rsidR="00AC4859">
        <w:rPr>
          <w:rFonts w:hAnsi="標楷體" w:hint="eastAsia"/>
        </w:rPr>
        <w:t>、</w:t>
      </w:r>
      <w:r w:rsidR="00AC4859">
        <w:rPr>
          <w:rFonts w:hint="eastAsia"/>
        </w:rPr>
        <w:t>經濟</w:t>
      </w:r>
      <w:r w:rsidR="00AC4859">
        <w:rPr>
          <w:rFonts w:hAnsi="標楷體" w:hint="eastAsia"/>
        </w:rPr>
        <w:t>、</w:t>
      </w:r>
      <w:r w:rsidR="00AC4859">
        <w:rPr>
          <w:rFonts w:hint="eastAsia"/>
        </w:rPr>
        <w:t>組織及社會等面向</w:t>
      </w:r>
      <w:r w:rsidR="00AC4859">
        <w:rPr>
          <w:rFonts w:hAnsi="標楷體" w:hint="eastAsia"/>
        </w:rPr>
        <w:t>，</w:t>
      </w:r>
      <w:r w:rsidR="00FC252F">
        <w:rPr>
          <w:rFonts w:hint="eastAsia"/>
        </w:rPr>
        <w:t>提出建構韌性城市</w:t>
      </w:r>
      <w:r w:rsidR="00FC252F" w:rsidRPr="00FC252F">
        <w:rPr>
          <w:rFonts w:hint="eastAsia"/>
        </w:rPr>
        <w:t>5大策略</w:t>
      </w:r>
      <w:r w:rsidR="00AE3D1A">
        <w:rPr>
          <w:rFonts w:hint="eastAsia"/>
        </w:rPr>
        <w:t>，</w:t>
      </w:r>
      <w:r w:rsidR="003C5959">
        <w:rPr>
          <w:rFonts w:hint="eastAsia"/>
        </w:rPr>
        <w:t>其因應對策及</w:t>
      </w:r>
      <w:r w:rsidR="00AC4859">
        <w:rPr>
          <w:rFonts w:hint="eastAsia"/>
        </w:rPr>
        <w:t>權責機關</w:t>
      </w:r>
      <w:r w:rsidR="00AE3D1A">
        <w:rPr>
          <w:rFonts w:hint="eastAsia"/>
        </w:rPr>
        <w:t>如下表</w:t>
      </w:r>
      <w:r w:rsidR="00AC4859">
        <w:rPr>
          <w:rFonts w:hint="eastAsia"/>
        </w:rPr>
        <w:t>所示</w:t>
      </w:r>
      <w:r w:rsidR="00AE3D1A">
        <w:rPr>
          <w:rFonts w:hint="eastAsia"/>
        </w:rPr>
        <w:t>：</w:t>
      </w:r>
    </w:p>
    <w:tbl>
      <w:tblPr>
        <w:tblStyle w:val="1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17"/>
        <w:gridCol w:w="3362"/>
        <w:gridCol w:w="3735"/>
      </w:tblGrid>
      <w:tr w:rsidR="0054321F" w:rsidRPr="0054321F" w:rsidTr="008B477C">
        <w:trPr>
          <w:trHeight w:val="587"/>
          <w:jc w:val="center"/>
        </w:trPr>
        <w:tc>
          <w:tcPr>
            <w:tcW w:w="1784" w:type="dxa"/>
            <w:vMerge w:val="restart"/>
            <w:vAlign w:val="center"/>
          </w:tcPr>
          <w:p w:rsidR="0054321F" w:rsidRPr="0054321F" w:rsidRDefault="0054321F" w:rsidP="0054321F">
            <w:pPr>
              <w:overflowPunct/>
              <w:autoSpaceDE/>
              <w:autoSpaceDN/>
              <w:jc w:val="center"/>
              <w:rPr>
                <w:rFonts w:hAnsi="標楷體"/>
                <w:sz w:val="28"/>
                <w:szCs w:val="28"/>
              </w:rPr>
            </w:pPr>
            <w:r w:rsidRPr="0054321F">
              <w:rPr>
                <w:rFonts w:hAnsi="標楷體" w:hint="eastAsia"/>
                <w:sz w:val="28"/>
                <w:szCs w:val="28"/>
              </w:rPr>
              <w:t>策略</w:t>
            </w:r>
          </w:p>
        </w:tc>
        <w:tc>
          <w:tcPr>
            <w:tcW w:w="3544" w:type="dxa"/>
            <w:vMerge w:val="restart"/>
            <w:vAlign w:val="center"/>
          </w:tcPr>
          <w:p w:rsidR="0054321F" w:rsidRPr="0054321F" w:rsidRDefault="00FA3993" w:rsidP="0054321F">
            <w:pPr>
              <w:overflowPunct/>
              <w:autoSpaceDE/>
              <w:autoSpaceDN/>
              <w:jc w:val="center"/>
              <w:rPr>
                <w:rFonts w:hAnsi="標楷體"/>
                <w:sz w:val="28"/>
                <w:szCs w:val="28"/>
              </w:rPr>
            </w:pPr>
            <w:r>
              <w:rPr>
                <w:rFonts w:hAnsi="標楷體" w:hint="eastAsia"/>
                <w:sz w:val="28"/>
                <w:szCs w:val="28"/>
              </w:rPr>
              <w:t>因應</w:t>
            </w:r>
            <w:r w:rsidR="0054321F" w:rsidRPr="0054321F">
              <w:rPr>
                <w:rFonts w:hAnsi="標楷體" w:hint="eastAsia"/>
                <w:sz w:val="28"/>
                <w:szCs w:val="28"/>
              </w:rPr>
              <w:t>對策</w:t>
            </w:r>
          </w:p>
        </w:tc>
        <w:tc>
          <w:tcPr>
            <w:tcW w:w="3907" w:type="dxa"/>
            <w:vMerge w:val="restart"/>
            <w:vAlign w:val="center"/>
          </w:tcPr>
          <w:p w:rsidR="0054321F" w:rsidRPr="0054321F" w:rsidRDefault="0054321F" w:rsidP="0054321F">
            <w:pPr>
              <w:overflowPunct/>
              <w:autoSpaceDE/>
              <w:autoSpaceDN/>
              <w:jc w:val="center"/>
              <w:rPr>
                <w:rFonts w:hAnsi="標楷體"/>
                <w:sz w:val="28"/>
                <w:szCs w:val="28"/>
              </w:rPr>
            </w:pPr>
            <w:r w:rsidRPr="00A557B0">
              <w:rPr>
                <w:rFonts w:hAnsi="標楷體" w:hint="eastAsia"/>
                <w:sz w:val="28"/>
                <w:szCs w:val="28"/>
              </w:rPr>
              <w:t>權責機關</w:t>
            </w:r>
          </w:p>
        </w:tc>
      </w:tr>
      <w:tr w:rsidR="0054321F" w:rsidRPr="0054321F" w:rsidTr="008B477C">
        <w:trPr>
          <w:trHeight w:val="657"/>
          <w:jc w:val="center"/>
        </w:trPr>
        <w:tc>
          <w:tcPr>
            <w:tcW w:w="1784" w:type="dxa"/>
            <w:vMerge/>
            <w:vAlign w:val="center"/>
          </w:tcPr>
          <w:p w:rsidR="0054321F" w:rsidRPr="0054321F" w:rsidRDefault="0054321F" w:rsidP="0054321F">
            <w:pPr>
              <w:overflowPunct/>
              <w:autoSpaceDE/>
              <w:autoSpaceDN/>
              <w:jc w:val="center"/>
              <w:rPr>
                <w:rFonts w:hAnsi="標楷體"/>
                <w:b/>
                <w:sz w:val="24"/>
              </w:rPr>
            </w:pPr>
          </w:p>
        </w:tc>
        <w:tc>
          <w:tcPr>
            <w:tcW w:w="3544" w:type="dxa"/>
            <w:vMerge/>
            <w:vAlign w:val="center"/>
          </w:tcPr>
          <w:p w:rsidR="0054321F" w:rsidRPr="0054321F" w:rsidRDefault="0054321F" w:rsidP="0054321F">
            <w:pPr>
              <w:overflowPunct/>
              <w:autoSpaceDE/>
              <w:autoSpaceDN/>
              <w:jc w:val="center"/>
              <w:rPr>
                <w:rFonts w:hAnsi="標楷體"/>
                <w:b/>
                <w:sz w:val="24"/>
              </w:rPr>
            </w:pPr>
          </w:p>
        </w:tc>
        <w:tc>
          <w:tcPr>
            <w:tcW w:w="3907" w:type="dxa"/>
            <w:vMerge/>
            <w:vAlign w:val="center"/>
          </w:tcPr>
          <w:p w:rsidR="0054321F" w:rsidRPr="0054321F" w:rsidRDefault="0054321F" w:rsidP="0054321F">
            <w:pPr>
              <w:overflowPunct/>
              <w:autoSpaceDE/>
              <w:autoSpaceDN/>
              <w:jc w:val="center"/>
              <w:rPr>
                <w:rFonts w:hAnsi="標楷體"/>
                <w:b/>
                <w:sz w:val="24"/>
              </w:rPr>
            </w:pPr>
          </w:p>
        </w:tc>
      </w:tr>
      <w:tr w:rsidR="0054321F" w:rsidRPr="0054321F" w:rsidTr="008B477C">
        <w:trPr>
          <w:jc w:val="center"/>
        </w:trPr>
        <w:tc>
          <w:tcPr>
            <w:tcW w:w="1784" w:type="dxa"/>
            <w:vAlign w:val="center"/>
          </w:tcPr>
          <w:p w:rsidR="0054321F" w:rsidRPr="0054321F" w:rsidRDefault="003C5959" w:rsidP="0054321F">
            <w:pPr>
              <w:overflowPunct/>
              <w:autoSpaceDE/>
              <w:autoSpaceDN/>
              <w:rPr>
                <w:rFonts w:hAnsi="標楷體"/>
                <w:sz w:val="24"/>
              </w:rPr>
            </w:pPr>
            <w:r>
              <w:rPr>
                <w:rFonts w:ascii="Times New Roman" w:hint="eastAsia"/>
                <w:kern w:val="0"/>
                <w:sz w:val="24"/>
              </w:rPr>
              <w:t>預報韌性</w:t>
            </w:r>
            <w:r>
              <w:rPr>
                <w:rFonts w:ascii="Times New Roman"/>
                <w:kern w:val="0"/>
                <w:sz w:val="24"/>
              </w:rPr>
              <w:t>–</w:t>
            </w:r>
            <w:r w:rsidR="0054321F" w:rsidRPr="0054321F">
              <w:rPr>
                <w:rFonts w:ascii="Times New Roman" w:hint="eastAsia"/>
                <w:kern w:val="0"/>
                <w:sz w:val="24"/>
              </w:rPr>
              <w:t>強化天氣及豪雨預報及預警的精準度</w:t>
            </w: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精進致災性天氣預報能力</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交通部(氣象局)、科技部(NCDR)、經濟部(水利署水文技術組)</w:t>
            </w:r>
          </w:p>
        </w:tc>
      </w:tr>
      <w:tr w:rsidR="0054321F" w:rsidRPr="0054321F" w:rsidTr="008B477C">
        <w:trPr>
          <w:jc w:val="center"/>
        </w:trPr>
        <w:tc>
          <w:tcPr>
            <w:tcW w:w="1784" w:type="dxa"/>
            <w:vMerge w:val="restart"/>
            <w:vAlign w:val="center"/>
          </w:tcPr>
          <w:p w:rsidR="0054321F" w:rsidRPr="0054321F" w:rsidRDefault="003C5959" w:rsidP="0054321F">
            <w:pPr>
              <w:overflowPunct/>
              <w:autoSpaceDE/>
              <w:autoSpaceDN/>
              <w:rPr>
                <w:rFonts w:hAnsi="標楷體"/>
                <w:sz w:val="24"/>
              </w:rPr>
            </w:pPr>
            <w:r w:rsidRPr="003C5959">
              <w:rPr>
                <w:rFonts w:ascii="Times New Roman" w:hint="eastAsia"/>
                <w:kern w:val="0"/>
                <w:sz w:val="24"/>
              </w:rPr>
              <w:t>基礎設施韌性–</w:t>
            </w:r>
            <w:r w:rsidR="0054321F" w:rsidRPr="0054321F">
              <w:rPr>
                <w:rFonts w:ascii="Times New Roman" w:hint="eastAsia"/>
                <w:kern w:val="0"/>
                <w:sz w:val="24"/>
              </w:rPr>
              <w:t>因應氣候變遷滾動檢討工程效益，持續完成相關水利建設</w:t>
            </w: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加速辦理水利基礎建設</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經濟部、內政部、農委會、交通部</w:t>
            </w:r>
          </w:p>
        </w:tc>
      </w:tr>
      <w:tr w:rsidR="0054321F" w:rsidRPr="0054321F" w:rsidTr="008B477C">
        <w:trPr>
          <w:trHeight w:val="699"/>
          <w:jc w:val="center"/>
        </w:trPr>
        <w:tc>
          <w:tcPr>
            <w:tcW w:w="1784" w:type="dxa"/>
            <w:vMerge/>
            <w:vAlign w:val="center"/>
          </w:tcPr>
          <w:p w:rsidR="0054321F" w:rsidRPr="0054321F" w:rsidRDefault="0054321F" w:rsidP="0054321F">
            <w:pPr>
              <w:overflowPunct/>
              <w:autoSpaceDE/>
              <w:autoSpaceDN/>
              <w:rPr>
                <w:rFonts w:ascii="Times New Roman"/>
                <w:kern w:val="0"/>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加強集水區水土保育</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農委會、經濟部</w:t>
            </w:r>
          </w:p>
        </w:tc>
      </w:tr>
      <w:tr w:rsidR="0054321F" w:rsidRPr="0054321F" w:rsidTr="008B477C">
        <w:trPr>
          <w:trHeight w:val="284"/>
          <w:jc w:val="center"/>
        </w:trPr>
        <w:tc>
          <w:tcPr>
            <w:tcW w:w="1784" w:type="dxa"/>
            <w:vMerge/>
            <w:vAlign w:val="center"/>
          </w:tcPr>
          <w:p w:rsidR="0054321F" w:rsidRPr="0054321F" w:rsidRDefault="0054321F" w:rsidP="0054321F">
            <w:pPr>
              <w:overflowPunct/>
              <w:autoSpaceDE/>
              <w:autoSpaceDN/>
              <w:rPr>
                <w:rFonts w:ascii="Times New Roman"/>
                <w:kern w:val="0"/>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改善農田排水、養殖區供排水、灌溉渠道及埤塘滯蓄洪</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農委會</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hAnsi="標楷體"/>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強化聚落保護措施</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經濟部、農委會、內政部、交通部</w:t>
            </w:r>
          </w:p>
        </w:tc>
      </w:tr>
      <w:tr w:rsidR="0054321F" w:rsidRPr="0054321F" w:rsidTr="008B477C">
        <w:trPr>
          <w:jc w:val="center"/>
        </w:trPr>
        <w:tc>
          <w:tcPr>
            <w:tcW w:w="1784" w:type="dxa"/>
            <w:vMerge w:val="restart"/>
            <w:vAlign w:val="center"/>
          </w:tcPr>
          <w:p w:rsidR="0054321F" w:rsidRPr="0054321F" w:rsidRDefault="003C5959" w:rsidP="0054321F">
            <w:pPr>
              <w:overflowPunct/>
              <w:autoSpaceDE/>
              <w:autoSpaceDN/>
              <w:rPr>
                <w:rFonts w:hAnsi="標楷體"/>
                <w:sz w:val="24"/>
              </w:rPr>
            </w:pPr>
            <w:r w:rsidRPr="003C5959">
              <w:rPr>
                <w:rFonts w:ascii="Times New Roman" w:hint="eastAsia"/>
                <w:kern w:val="0"/>
                <w:sz w:val="24"/>
              </w:rPr>
              <w:t>經濟韌性–</w:t>
            </w:r>
            <w:r w:rsidR="0054321F" w:rsidRPr="0054321F">
              <w:rPr>
                <w:rFonts w:ascii="Times New Roman" w:hint="eastAsia"/>
                <w:kern w:val="0"/>
                <w:sz w:val="24"/>
              </w:rPr>
              <w:t>提高國土韌性讓台灣永續發展</w:t>
            </w: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國土規劃與整體環境整合</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內政部、直轄市及縣市政府、經濟部</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ascii="Times New Roman"/>
                <w:kern w:val="0"/>
                <w:sz w:val="24"/>
              </w:rPr>
            </w:pPr>
          </w:p>
        </w:tc>
        <w:tc>
          <w:tcPr>
            <w:tcW w:w="3544" w:type="dxa"/>
            <w:vAlign w:val="center"/>
          </w:tcPr>
          <w:p w:rsidR="0054321F" w:rsidRPr="0054321F" w:rsidRDefault="0054321F" w:rsidP="0054321F">
            <w:pPr>
              <w:tabs>
                <w:tab w:val="num" w:pos="720"/>
              </w:tabs>
              <w:overflowPunct/>
              <w:autoSpaceDE/>
              <w:autoSpaceDN/>
              <w:rPr>
                <w:rFonts w:hAnsi="標楷體"/>
                <w:sz w:val="24"/>
              </w:rPr>
            </w:pPr>
            <w:r w:rsidRPr="0054321F">
              <w:rPr>
                <w:rFonts w:hAnsi="標楷體" w:hint="eastAsia"/>
                <w:sz w:val="24"/>
              </w:rPr>
              <w:t>推動都市總合治水</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內政部、經濟部</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hAnsi="標楷體"/>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提升建築物防洪韌性</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內政部、直轄市及縣市政府、經濟部</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hAnsi="標楷體"/>
                <w:sz w:val="24"/>
              </w:rPr>
            </w:pPr>
          </w:p>
        </w:tc>
        <w:tc>
          <w:tcPr>
            <w:tcW w:w="3544" w:type="dxa"/>
            <w:vAlign w:val="center"/>
          </w:tcPr>
          <w:p w:rsidR="0054321F" w:rsidRPr="0054321F" w:rsidRDefault="0054321F" w:rsidP="0054321F">
            <w:pPr>
              <w:tabs>
                <w:tab w:val="num" w:pos="720"/>
              </w:tabs>
              <w:overflowPunct/>
              <w:autoSpaceDE/>
              <w:autoSpaceDN/>
              <w:rPr>
                <w:rFonts w:hAnsi="標楷體"/>
                <w:sz w:val="24"/>
              </w:rPr>
            </w:pPr>
            <w:r w:rsidRPr="0054321F">
              <w:rPr>
                <w:rFonts w:hAnsi="標楷體" w:hint="eastAsia"/>
                <w:sz w:val="24"/>
              </w:rPr>
              <w:t>增加蓄洪空間提升蓄水透水保水能力</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教育部、農委會、內政部、交通部、直轄市及縣市政府</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hAnsi="標楷體"/>
                <w:sz w:val="24"/>
              </w:rPr>
            </w:pPr>
          </w:p>
        </w:tc>
        <w:tc>
          <w:tcPr>
            <w:tcW w:w="3544" w:type="dxa"/>
            <w:vAlign w:val="center"/>
          </w:tcPr>
          <w:p w:rsidR="0054321F" w:rsidRPr="0054321F" w:rsidRDefault="0054321F" w:rsidP="0054321F">
            <w:pPr>
              <w:tabs>
                <w:tab w:val="num" w:pos="720"/>
              </w:tabs>
              <w:overflowPunct/>
              <w:autoSpaceDE/>
              <w:autoSpaceDN/>
              <w:rPr>
                <w:rFonts w:hAnsi="標楷體"/>
                <w:sz w:val="24"/>
              </w:rPr>
            </w:pPr>
            <w:r w:rsidRPr="0054321F">
              <w:rPr>
                <w:rFonts w:hAnsi="標楷體" w:hint="eastAsia"/>
                <w:sz w:val="24"/>
              </w:rPr>
              <w:t>鼓勵農田魚塭在地滯洪予以淹水補貼</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hAnsi="標楷體"/>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持續推動地層下陷防治措施</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經濟部、農委會、內政部</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hAnsi="標楷體"/>
                <w:sz w:val="24"/>
              </w:rPr>
            </w:pPr>
          </w:p>
        </w:tc>
        <w:tc>
          <w:tcPr>
            <w:tcW w:w="3544" w:type="dxa"/>
            <w:vAlign w:val="center"/>
          </w:tcPr>
          <w:p w:rsidR="0054321F" w:rsidRPr="0054321F" w:rsidRDefault="0054321F" w:rsidP="0054321F">
            <w:pPr>
              <w:tabs>
                <w:tab w:val="num" w:pos="720"/>
              </w:tabs>
              <w:overflowPunct/>
              <w:autoSpaceDE/>
              <w:autoSpaceDN/>
              <w:rPr>
                <w:rFonts w:hAnsi="標楷體"/>
                <w:sz w:val="24"/>
              </w:rPr>
            </w:pPr>
            <w:r w:rsidRPr="0054321F">
              <w:rPr>
                <w:rFonts w:hAnsi="標楷體" w:hint="eastAsia"/>
                <w:sz w:val="24"/>
              </w:rPr>
              <w:t>規劃推動洪災保險及持續推動農作物天然災害保險</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經濟部、金管會</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hAnsi="標楷體"/>
                <w:sz w:val="24"/>
              </w:rPr>
            </w:pPr>
          </w:p>
        </w:tc>
        <w:tc>
          <w:tcPr>
            <w:tcW w:w="3544" w:type="dxa"/>
            <w:vAlign w:val="center"/>
          </w:tcPr>
          <w:p w:rsidR="0054321F" w:rsidRPr="0054321F" w:rsidRDefault="0054321F" w:rsidP="0054321F">
            <w:pPr>
              <w:tabs>
                <w:tab w:val="num" w:pos="720"/>
              </w:tabs>
              <w:overflowPunct/>
              <w:autoSpaceDE/>
              <w:autoSpaceDN/>
              <w:rPr>
                <w:rFonts w:hAnsi="標楷體"/>
                <w:sz w:val="24"/>
              </w:rPr>
            </w:pPr>
            <w:r w:rsidRPr="0054321F">
              <w:rPr>
                <w:rFonts w:hAnsi="標楷體" w:hint="eastAsia"/>
                <w:sz w:val="24"/>
              </w:rPr>
              <w:t>推動逕流分擔與出流管制</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經濟部、農委會、內政部、交通部、教育部</w:t>
            </w:r>
          </w:p>
        </w:tc>
      </w:tr>
      <w:tr w:rsidR="0054321F" w:rsidRPr="0054321F" w:rsidTr="008B477C">
        <w:trPr>
          <w:jc w:val="center"/>
        </w:trPr>
        <w:tc>
          <w:tcPr>
            <w:tcW w:w="1784" w:type="dxa"/>
            <w:vMerge/>
            <w:vAlign w:val="center"/>
          </w:tcPr>
          <w:p w:rsidR="0054321F" w:rsidRPr="0054321F" w:rsidRDefault="0054321F" w:rsidP="0054321F">
            <w:pPr>
              <w:overflowPunct/>
              <w:autoSpaceDE/>
              <w:autoSpaceDN/>
              <w:rPr>
                <w:rFonts w:hAnsi="標楷體"/>
                <w:sz w:val="24"/>
              </w:rPr>
            </w:pPr>
          </w:p>
        </w:tc>
        <w:tc>
          <w:tcPr>
            <w:tcW w:w="3544" w:type="dxa"/>
            <w:vAlign w:val="center"/>
          </w:tcPr>
          <w:p w:rsidR="0054321F" w:rsidRPr="0054321F" w:rsidRDefault="0054321F" w:rsidP="0054321F">
            <w:pPr>
              <w:tabs>
                <w:tab w:val="num" w:pos="720"/>
              </w:tabs>
              <w:overflowPunct/>
              <w:autoSpaceDE/>
              <w:autoSpaceDN/>
              <w:rPr>
                <w:rFonts w:hAnsi="標楷體"/>
                <w:sz w:val="24"/>
              </w:rPr>
            </w:pPr>
            <w:r w:rsidRPr="0054321F">
              <w:rPr>
                <w:rFonts w:hAnsi="標楷體" w:hint="eastAsia"/>
                <w:sz w:val="24"/>
              </w:rPr>
              <w:t>加強民眾防救災教育及宣導</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經濟部、內政部、農委會、教育部</w:t>
            </w:r>
          </w:p>
        </w:tc>
      </w:tr>
      <w:tr w:rsidR="0054321F" w:rsidRPr="0054321F" w:rsidTr="008B477C">
        <w:trPr>
          <w:jc w:val="center"/>
        </w:trPr>
        <w:tc>
          <w:tcPr>
            <w:tcW w:w="1784" w:type="dxa"/>
            <w:vMerge w:val="restart"/>
            <w:vAlign w:val="center"/>
          </w:tcPr>
          <w:p w:rsidR="0054321F" w:rsidRPr="0054321F" w:rsidRDefault="003C5959" w:rsidP="0054321F">
            <w:pPr>
              <w:overflowPunct/>
              <w:autoSpaceDE/>
              <w:autoSpaceDN/>
              <w:rPr>
                <w:rFonts w:hAnsi="標楷體"/>
                <w:sz w:val="24"/>
              </w:rPr>
            </w:pPr>
            <w:r w:rsidRPr="003C5959">
              <w:rPr>
                <w:rFonts w:ascii="Times New Roman" w:hint="eastAsia"/>
                <w:kern w:val="0"/>
                <w:sz w:val="24"/>
              </w:rPr>
              <w:t>組織韌性–</w:t>
            </w:r>
            <w:r w:rsidR="0054321F" w:rsidRPr="0054321F">
              <w:rPr>
                <w:rFonts w:ascii="Times New Roman" w:hint="eastAsia"/>
                <w:kern w:val="0"/>
                <w:sz w:val="24"/>
              </w:rPr>
              <w:t>健全調整防災體系</w:t>
            </w:r>
          </w:p>
        </w:tc>
        <w:tc>
          <w:tcPr>
            <w:tcW w:w="3544" w:type="dxa"/>
            <w:tcBorders>
              <w:bottom w:val="single" w:sz="4" w:space="0" w:color="auto"/>
            </w:tcBorders>
            <w:vAlign w:val="center"/>
          </w:tcPr>
          <w:p w:rsidR="0054321F" w:rsidRPr="0054321F" w:rsidRDefault="0054321F" w:rsidP="0054321F">
            <w:pPr>
              <w:tabs>
                <w:tab w:val="num" w:pos="720"/>
              </w:tabs>
              <w:overflowPunct/>
              <w:autoSpaceDE/>
              <w:autoSpaceDN/>
              <w:rPr>
                <w:rFonts w:hAnsi="標楷體"/>
                <w:sz w:val="24"/>
              </w:rPr>
            </w:pPr>
            <w:r w:rsidRPr="0054321F">
              <w:rPr>
                <w:rFonts w:hAnsi="標楷體" w:hint="eastAsia"/>
                <w:sz w:val="24"/>
              </w:rPr>
              <w:t>強化機構橫向聯繫機制</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內政部、經濟部、農委會、交通部、國防部、災</w:t>
            </w:r>
            <w:r w:rsidR="003C5959">
              <w:rPr>
                <w:rFonts w:hAnsi="標楷體" w:hint="eastAsia"/>
                <w:sz w:val="24"/>
              </w:rPr>
              <w:t>害</w:t>
            </w:r>
            <w:r w:rsidRPr="0054321F">
              <w:rPr>
                <w:rFonts w:hAnsi="標楷體" w:hint="eastAsia"/>
                <w:sz w:val="24"/>
              </w:rPr>
              <w:t>防</w:t>
            </w:r>
            <w:r w:rsidR="003C5959">
              <w:rPr>
                <w:rFonts w:hAnsi="標楷體" w:hint="eastAsia"/>
                <w:sz w:val="24"/>
              </w:rPr>
              <w:t>救</w:t>
            </w:r>
            <w:r w:rsidRPr="0054321F">
              <w:rPr>
                <w:rFonts w:hAnsi="標楷體" w:hint="eastAsia"/>
                <w:sz w:val="24"/>
              </w:rPr>
              <w:t>辦</w:t>
            </w:r>
            <w:r w:rsidR="003C5959">
              <w:rPr>
                <w:rFonts w:hAnsi="標楷體" w:hint="eastAsia"/>
                <w:sz w:val="24"/>
              </w:rPr>
              <w:t>公室</w:t>
            </w:r>
          </w:p>
        </w:tc>
      </w:tr>
      <w:tr w:rsidR="0054321F" w:rsidRPr="0054321F" w:rsidTr="008B477C">
        <w:trPr>
          <w:jc w:val="center"/>
        </w:trPr>
        <w:tc>
          <w:tcPr>
            <w:tcW w:w="1784" w:type="dxa"/>
            <w:vMerge/>
            <w:tcBorders>
              <w:bottom w:val="single" w:sz="4" w:space="0" w:color="auto"/>
            </w:tcBorders>
            <w:vAlign w:val="center"/>
          </w:tcPr>
          <w:p w:rsidR="0054321F" w:rsidRPr="0054321F" w:rsidRDefault="0054321F" w:rsidP="0054321F">
            <w:pPr>
              <w:overflowPunct/>
              <w:autoSpaceDE/>
              <w:autoSpaceDN/>
              <w:rPr>
                <w:rFonts w:ascii="Times New Roman"/>
                <w:kern w:val="0"/>
                <w:sz w:val="24"/>
              </w:rPr>
            </w:pPr>
          </w:p>
        </w:tc>
        <w:tc>
          <w:tcPr>
            <w:tcW w:w="3544" w:type="dxa"/>
            <w:tcBorders>
              <w:bottom w:val="single" w:sz="4" w:space="0" w:color="auto"/>
            </w:tcBorders>
            <w:vAlign w:val="center"/>
          </w:tcPr>
          <w:p w:rsidR="0054321F" w:rsidRPr="0054321F" w:rsidRDefault="0054321F" w:rsidP="0054321F">
            <w:pPr>
              <w:overflowPunct/>
              <w:autoSpaceDE/>
              <w:autoSpaceDN/>
              <w:rPr>
                <w:rFonts w:hAnsi="標楷體"/>
                <w:sz w:val="24"/>
              </w:rPr>
            </w:pPr>
            <w:r w:rsidRPr="0054321F">
              <w:rPr>
                <w:rFonts w:hAnsi="標楷體" w:hint="eastAsia"/>
                <w:sz w:val="24"/>
              </w:rPr>
              <w:t>防災應變快速開設且彈性運用</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經濟部、農委會、內政部、交通部、國防部</w:t>
            </w:r>
          </w:p>
        </w:tc>
      </w:tr>
      <w:tr w:rsidR="0054321F" w:rsidRPr="0054321F" w:rsidTr="008B477C">
        <w:trPr>
          <w:jc w:val="center"/>
        </w:trPr>
        <w:tc>
          <w:tcPr>
            <w:tcW w:w="1784" w:type="dxa"/>
            <w:vMerge w:val="restart"/>
            <w:vAlign w:val="center"/>
          </w:tcPr>
          <w:p w:rsidR="0054321F" w:rsidRPr="0054321F" w:rsidRDefault="003C5959" w:rsidP="0054321F">
            <w:pPr>
              <w:overflowPunct/>
              <w:autoSpaceDE/>
              <w:autoSpaceDN/>
              <w:rPr>
                <w:rFonts w:hAnsi="標楷體"/>
                <w:sz w:val="24"/>
              </w:rPr>
            </w:pPr>
            <w:r w:rsidRPr="003C5959">
              <w:rPr>
                <w:rFonts w:ascii="Times New Roman" w:hint="eastAsia"/>
                <w:kern w:val="0"/>
                <w:sz w:val="24"/>
              </w:rPr>
              <w:t>社會韌性–</w:t>
            </w:r>
            <w:r w:rsidR="0054321F" w:rsidRPr="0054321F">
              <w:rPr>
                <w:rFonts w:ascii="Times New Roman" w:hint="eastAsia"/>
                <w:kern w:val="0"/>
                <w:sz w:val="24"/>
              </w:rPr>
              <w:t>運用智慧創新科技，整備防救災及預警能量</w:t>
            </w: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建立水災風險管理</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經濟部、農委會、內政部、科技部(NCDR)</w:t>
            </w:r>
          </w:p>
        </w:tc>
      </w:tr>
      <w:tr w:rsidR="0054321F" w:rsidRPr="0054321F" w:rsidTr="008B477C">
        <w:trPr>
          <w:jc w:val="center"/>
        </w:trPr>
        <w:tc>
          <w:tcPr>
            <w:tcW w:w="1784" w:type="dxa"/>
            <w:vMerge/>
          </w:tcPr>
          <w:p w:rsidR="0054321F" w:rsidRPr="0054321F" w:rsidRDefault="0054321F" w:rsidP="0054321F">
            <w:pPr>
              <w:overflowPunct/>
              <w:autoSpaceDE/>
              <w:autoSpaceDN/>
              <w:jc w:val="center"/>
              <w:rPr>
                <w:rFonts w:hAnsi="標楷體"/>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建置抽水機智慧調度決策支援系統</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經濟部、內政部、國防部、直轄市及縣市政府</w:t>
            </w:r>
          </w:p>
        </w:tc>
      </w:tr>
      <w:tr w:rsidR="0054321F" w:rsidRPr="0054321F" w:rsidTr="008B477C">
        <w:trPr>
          <w:jc w:val="center"/>
        </w:trPr>
        <w:tc>
          <w:tcPr>
            <w:tcW w:w="1784" w:type="dxa"/>
            <w:vMerge/>
          </w:tcPr>
          <w:p w:rsidR="0054321F" w:rsidRPr="0054321F" w:rsidRDefault="0054321F" w:rsidP="0054321F">
            <w:pPr>
              <w:overflowPunct/>
              <w:autoSpaceDE/>
              <w:autoSpaceDN/>
              <w:jc w:val="center"/>
              <w:rPr>
                <w:rFonts w:hAnsi="標楷體"/>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提升預警系統效能</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經濟部、農委會、內政部、交通部</w:t>
            </w:r>
          </w:p>
        </w:tc>
      </w:tr>
      <w:tr w:rsidR="0054321F" w:rsidRPr="0054321F" w:rsidTr="008B477C">
        <w:trPr>
          <w:jc w:val="center"/>
        </w:trPr>
        <w:tc>
          <w:tcPr>
            <w:tcW w:w="1784" w:type="dxa"/>
            <w:vMerge/>
          </w:tcPr>
          <w:p w:rsidR="0054321F" w:rsidRPr="0054321F" w:rsidRDefault="0054321F" w:rsidP="0054321F">
            <w:pPr>
              <w:overflowPunct/>
              <w:autoSpaceDE/>
              <w:autoSpaceDN/>
              <w:jc w:val="center"/>
              <w:rPr>
                <w:rFonts w:hAnsi="標楷體"/>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結合社區、志工及企業區域聯防</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經濟部、農委會內政部、教育部</w:t>
            </w:r>
          </w:p>
        </w:tc>
      </w:tr>
      <w:tr w:rsidR="0054321F" w:rsidRPr="0054321F" w:rsidTr="008B477C">
        <w:trPr>
          <w:jc w:val="center"/>
        </w:trPr>
        <w:tc>
          <w:tcPr>
            <w:tcW w:w="1784" w:type="dxa"/>
            <w:vMerge/>
          </w:tcPr>
          <w:p w:rsidR="0054321F" w:rsidRPr="0054321F" w:rsidRDefault="0054321F" w:rsidP="0054321F">
            <w:pPr>
              <w:overflowPunct/>
              <w:autoSpaceDE/>
              <w:autoSpaceDN/>
              <w:jc w:val="center"/>
              <w:rPr>
                <w:rFonts w:hAnsi="標楷體"/>
                <w:sz w:val="24"/>
              </w:rPr>
            </w:pPr>
          </w:p>
        </w:tc>
        <w:tc>
          <w:tcPr>
            <w:tcW w:w="3544"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結合民間體系建置防救災物資資料庫</w:t>
            </w:r>
          </w:p>
        </w:tc>
        <w:tc>
          <w:tcPr>
            <w:tcW w:w="3907" w:type="dxa"/>
            <w:vAlign w:val="center"/>
          </w:tcPr>
          <w:p w:rsidR="0054321F" w:rsidRPr="0054321F" w:rsidRDefault="0054321F" w:rsidP="0054321F">
            <w:pPr>
              <w:overflowPunct/>
              <w:autoSpaceDE/>
              <w:autoSpaceDN/>
              <w:rPr>
                <w:rFonts w:hAnsi="標楷體"/>
                <w:sz w:val="24"/>
              </w:rPr>
            </w:pPr>
            <w:r w:rsidRPr="0054321F">
              <w:rPr>
                <w:rFonts w:hAnsi="標楷體" w:hint="eastAsia"/>
                <w:sz w:val="24"/>
              </w:rPr>
              <w:t>經濟部、農委會、內政部、國防部、直轄市及縣市政府</w:t>
            </w:r>
          </w:p>
        </w:tc>
      </w:tr>
    </w:tbl>
    <w:p w:rsidR="00AC4859" w:rsidRDefault="00AC4859" w:rsidP="00E81CDF">
      <w:pPr>
        <w:pStyle w:val="3"/>
        <w:numPr>
          <w:ilvl w:val="0"/>
          <w:numId w:val="0"/>
        </w:numPr>
        <w:ind w:left="1361"/>
      </w:pPr>
    </w:p>
    <w:p w:rsidR="00CA12EE" w:rsidRPr="002F78CF" w:rsidRDefault="00C34BEC" w:rsidP="00DE2511">
      <w:pPr>
        <w:pStyle w:val="3"/>
      </w:pPr>
      <w:r>
        <w:rPr>
          <w:rFonts w:hint="eastAsia"/>
        </w:rPr>
        <w:t>次查，</w:t>
      </w:r>
      <w:r w:rsidR="002F78CF">
        <w:rPr>
          <w:rFonts w:hint="eastAsia"/>
        </w:rPr>
        <w:t>水利署</w:t>
      </w:r>
      <w:r w:rsidR="002F78CF" w:rsidRPr="002F78CF">
        <w:rPr>
          <w:rFonts w:hint="eastAsia"/>
        </w:rPr>
        <w:t>於</w:t>
      </w:r>
      <w:r w:rsidR="00DE2511" w:rsidRPr="00DE2511">
        <w:rPr>
          <w:rFonts w:hAnsi="標楷體" w:hint="eastAsia"/>
        </w:rPr>
        <w:t>108年4月30日</w:t>
      </w:r>
      <w:r w:rsidR="002F78CF" w:rsidRPr="002F78CF">
        <w:rPr>
          <w:rFonts w:hint="eastAsia"/>
        </w:rPr>
        <w:t>「108年韌性臺灣全國治水會議」提出4大論點及12項共識結論</w:t>
      </w:r>
      <w:r w:rsidR="002F78CF">
        <w:rPr>
          <w:rFonts w:hint="eastAsia"/>
        </w:rPr>
        <w:t>，分述如下：</w:t>
      </w:r>
    </w:p>
    <w:p w:rsidR="002F78CF" w:rsidRDefault="002F78CF" w:rsidP="002F78CF">
      <w:pPr>
        <w:pStyle w:val="4"/>
      </w:pPr>
      <w:r w:rsidRPr="002F78CF">
        <w:rPr>
          <w:rFonts w:hint="eastAsia"/>
        </w:rPr>
        <w:t>國土計畫梳理水土空間秩序</w:t>
      </w:r>
      <w:r>
        <w:rPr>
          <w:rFonts w:hAnsi="標楷體" w:hint="eastAsia"/>
        </w:rPr>
        <w:t>：</w:t>
      </w:r>
    </w:p>
    <w:p w:rsidR="002F78CF" w:rsidRPr="00073BB3" w:rsidRDefault="009209BC" w:rsidP="009209BC">
      <w:pPr>
        <w:pStyle w:val="5"/>
        <w:rPr>
          <w:color w:val="000000" w:themeColor="text1"/>
        </w:rPr>
      </w:pPr>
      <w:r w:rsidRPr="009209BC">
        <w:rPr>
          <w:rFonts w:hint="eastAsia"/>
        </w:rPr>
        <w:t>基於永續發展、加強國土、水資源保育及用水</w:t>
      </w:r>
      <w:r w:rsidRPr="00073BB3">
        <w:rPr>
          <w:rFonts w:hint="eastAsia"/>
          <w:color w:val="000000" w:themeColor="text1"/>
        </w:rPr>
        <w:t>安全管理，在全國國土計畫整體架構下，各直轄市、縣市應優先訂定水利部門計畫納入縣市國土計畫，將相關治水需求具體納入綜合規劃。</w:t>
      </w:r>
    </w:p>
    <w:p w:rsidR="002F78CF" w:rsidRDefault="009209BC" w:rsidP="009209BC">
      <w:pPr>
        <w:pStyle w:val="5"/>
      </w:pPr>
      <w:r w:rsidRPr="00073BB3">
        <w:rPr>
          <w:rFonts w:hint="eastAsia"/>
          <w:color w:val="000000" w:themeColor="text1"/>
        </w:rPr>
        <w:t>國土計畫框架下的土地開發、使用與管理，應有完整配套及銜接，各級水利機關應針對流域上中下游進行整體規劃，並協助土地使用主管機關將風險管理、環境敏感地區、水資源管理、</w:t>
      </w:r>
      <w:r w:rsidRPr="009209BC">
        <w:rPr>
          <w:rFonts w:hint="eastAsia"/>
        </w:rPr>
        <w:lastRenderedPageBreak/>
        <w:t>國土復育等綜合規劃理念，納入縣市國土計畫中落實。</w:t>
      </w:r>
    </w:p>
    <w:p w:rsidR="002F78CF" w:rsidRDefault="00FE0305" w:rsidP="00FE0305">
      <w:pPr>
        <w:pStyle w:val="5"/>
      </w:pPr>
      <w:r w:rsidRPr="00FE0305">
        <w:rPr>
          <w:rFonts w:hint="eastAsia"/>
        </w:rPr>
        <w:t>跨縣市的流域治理，應從中央及縣市間的合作角度來構思，由水利署透過流域特定區域計畫，建構具效率的經營管理機制，整合縣市間水利部門計畫及國土計畫。</w:t>
      </w:r>
    </w:p>
    <w:p w:rsidR="002F78CF" w:rsidRDefault="00FE0305" w:rsidP="00FE0305">
      <w:pPr>
        <w:pStyle w:val="4"/>
      </w:pPr>
      <w:r w:rsidRPr="00FE0305">
        <w:rPr>
          <w:rFonts w:hint="eastAsia"/>
        </w:rPr>
        <w:t>綜效治理在地行動</w:t>
      </w:r>
      <w:r>
        <w:rPr>
          <w:rFonts w:hAnsi="標楷體" w:hint="eastAsia"/>
        </w:rPr>
        <w:t>：</w:t>
      </w:r>
    </w:p>
    <w:p w:rsidR="00FE0305" w:rsidRDefault="00FE0305" w:rsidP="00FE0305">
      <w:pPr>
        <w:pStyle w:val="5"/>
      </w:pPr>
      <w:r w:rsidRPr="00FE0305">
        <w:rPr>
          <w:rFonts w:hint="eastAsia"/>
        </w:rPr>
        <w:t>面對極端降雨應改變思維，由不淹水轉化為不怕水淹、與水共生，這不是單一方法或單一水利單位可以完成，必須結合政府、企業、民間團體及民眾一起努力方可達成。</w:t>
      </w:r>
    </w:p>
    <w:p w:rsidR="00FE0305" w:rsidRDefault="00FE0305" w:rsidP="00FE0305">
      <w:pPr>
        <w:pStyle w:val="5"/>
      </w:pPr>
      <w:r w:rsidRPr="00FE0305">
        <w:rPr>
          <w:rFonts w:hint="eastAsia"/>
        </w:rPr>
        <w:t>治水方案自規劃、設計、維護與管理，應有系統性專業考量與完整配套，同時需要地方參與，透過流域學習，整合地方知識，提高治水方案可行性。並透過中介團體強化政策溝通機制，將在地經驗轉為知識，建立長期防災意識與行為，強化社區防洪韌性。</w:t>
      </w:r>
    </w:p>
    <w:p w:rsidR="00FE0305" w:rsidRDefault="00FE0305" w:rsidP="00FE0305">
      <w:pPr>
        <w:pStyle w:val="5"/>
      </w:pPr>
      <w:r w:rsidRPr="00FE0305">
        <w:rPr>
          <w:rFonts w:hint="eastAsia"/>
        </w:rPr>
        <w:t>災害不會因工程消失，易淹水地區防洪應配合土地使用推動在地滯洪，以增加蓄水空間及入滲面積；自主防災依「在地經驗、專業輔導、政策規劃」原則，由下而上討論、設計、行動，中央協助整合、地方執行，以有具體防災計畫的示範社區或模範社區表揚的方式，擴大影響層面。</w:t>
      </w:r>
    </w:p>
    <w:p w:rsidR="002F78CF" w:rsidRPr="00FE0305" w:rsidRDefault="00FE0305" w:rsidP="00FE0305">
      <w:pPr>
        <w:pStyle w:val="4"/>
      </w:pPr>
      <w:r w:rsidRPr="00FE0305">
        <w:rPr>
          <w:rFonts w:hint="eastAsia"/>
        </w:rPr>
        <w:t>承洪韌性共建典範移轉</w:t>
      </w:r>
      <w:r>
        <w:rPr>
          <w:rFonts w:hAnsi="標楷體" w:hint="eastAsia"/>
        </w:rPr>
        <w:t>：</w:t>
      </w:r>
    </w:p>
    <w:p w:rsidR="00FE0305" w:rsidRDefault="00FE0305" w:rsidP="00FE0305">
      <w:pPr>
        <w:pStyle w:val="5"/>
      </w:pPr>
      <w:r w:rsidRPr="00FE0305">
        <w:rPr>
          <w:rFonts w:hint="eastAsia"/>
        </w:rPr>
        <w:t>承洪韌性是一項「社會工程」，受全球氣候變遷影響，超出工程保護標準之大規模淹水事件是無法避免的。因此，社會必須培養對淹水的容受力，包括環境與心理上的容受力，改造建築、開放空間與基礎設施，打造不怕水淹的城鄉環</w:t>
      </w:r>
      <w:r w:rsidRPr="00FE0305">
        <w:rPr>
          <w:rFonts w:hint="eastAsia"/>
        </w:rPr>
        <w:lastRenderedPageBreak/>
        <w:t>境，與洪水共生。</w:t>
      </w:r>
    </w:p>
    <w:p w:rsidR="00FE0305" w:rsidRDefault="00FE0305" w:rsidP="00FE0305">
      <w:pPr>
        <w:pStyle w:val="5"/>
      </w:pPr>
      <w:r w:rsidRPr="00FE0305">
        <w:rPr>
          <w:rFonts w:hint="eastAsia"/>
        </w:rPr>
        <w:t>都市地區應積極推動綜合治水、海綿城市之理念，非都市地區推動流域治理及上游源頭管制，</w:t>
      </w:r>
      <w:r w:rsidRPr="00073BB3">
        <w:rPr>
          <w:rFonts w:hint="eastAsia"/>
          <w:color w:val="000000" w:themeColor="text1"/>
        </w:rPr>
        <w:t>兩區域皆應落實逕流分擔與出流管制政策，透</w:t>
      </w:r>
      <w:r w:rsidRPr="00FE0305">
        <w:rPr>
          <w:rFonts w:hint="eastAsia"/>
        </w:rPr>
        <w:t>過開發基地、公共設施、建築物設置透水、保水、滯洪等設施，提高都市與國土防洪韌性；更應依照韌性的觀念，因地制宜漸進檢討調整防洪保護標準。</w:t>
      </w:r>
    </w:p>
    <w:p w:rsidR="00FE0305" w:rsidRDefault="00FE0305" w:rsidP="00FE0305">
      <w:pPr>
        <w:pStyle w:val="5"/>
      </w:pPr>
      <w:r w:rsidRPr="00073BB3">
        <w:rPr>
          <w:rFonts w:hint="eastAsia"/>
          <w:color w:val="000000" w:themeColor="text1"/>
        </w:rPr>
        <w:t>政府應更為重視氣象預報的重要性，強化相關</w:t>
      </w:r>
      <w:r w:rsidRPr="00FE0305">
        <w:rPr>
          <w:rFonts w:hint="eastAsia"/>
        </w:rPr>
        <w:t>軟硬體的投資，提供更早更精確的雨量預報，運用資訊通信技術(ICT科技)，強化災中通訊能力，確保訊息傳遞暢通，並導入創新工具與技術，以建立周全的防災處置應變對策與撤離措施，建構有效的預警機制。</w:t>
      </w:r>
    </w:p>
    <w:p w:rsidR="002F78CF" w:rsidRDefault="00FE0305" w:rsidP="00FE0305">
      <w:pPr>
        <w:pStyle w:val="4"/>
      </w:pPr>
      <w:r w:rsidRPr="00FE0305">
        <w:rPr>
          <w:rFonts w:hint="eastAsia"/>
        </w:rPr>
        <w:t>面對氣候變遷需要有高度整合有效的機制</w:t>
      </w:r>
      <w:r>
        <w:rPr>
          <w:rFonts w:hAnsi="標楷體" w:hint="eastAsia"/>
        </w:rPr>
        <w:t>：</w:t>
      </w:r>
    </w:p>
    <w:p w:rsidR="00FE0305" w:rsidRDefault="00FE0305" w:rsidP="00FE0305">
      <w:pPr>
        <w:pStyle w:val="5"/>
      </w:pPr>
      <w:r w:rsidRPr="00FE0305">
        <w:rPr>
          <w:rFonts w:hint="eastAsia"/>
        </w:rPr>
        <w:t>無論流域綜合治理或是韌性城市規劃，均涉及多機關的整合，為推動治理，無論中央或是地方，皆需要有高度整合有效機制與組織，將水土林的流域業務統一事權整合，做更有效的溝通協調。</w:t>
      </w:r>
    </w:p>
    <w:p w:rsidR="00FE0305" w:rsidRDefault="00FE0305" w:rsidP="00FE0305">
      <w:pPr>
        <w:pStyle w:val="5"/>
      </w:pPr>
      <w:r w:rsidRPr="00FE0305">
        <w:rPr>
          <w:rFonts w:hint="eastAsia"/>
        </w:rPr>
        <w:t>配合河川流域綜合治理，從地方到中央，建立整合性組織，以充分掌握及反應流域內自然與社經環境條件、民間聲量，讓計畫能因地制宜，並有效推動落實，以達成建構韌性國土、安居永續的重大目標與社會期待。</w:t>
      </w:r>
    </w:p>
    <w:p w:rsidR="00FE0305" w:rsidRDefault="00FE0305" w:rsidP="00FE0305">
      <w:pPr>
        <w:pStyle w:val="5"/>
      </w:pPr>
      <w:r w:rsidRPr="00FE0305">
        <w:rPr>
          <w:rFonts w:hint="eastAsia"/>
        </w:rPr>
        <w:t>中央支援地方並強化綜合治理相關科研應用及人才培育工作，加強業務職能與權責整合，建立開放式流域治理資訊平台，讓社區民眾、學校與民間社團組織參與「與水共生」學習。</w:t>
      </w:r>
    </w:p>
    <w:p w:rsidR="00CA12EE" w:rsidRDefault="005B6375" w:rsidP="00CE079B">
      <w:pPr>
        <w:pStyle w:val="3"/>
      </w:pPr>
      <w:r>
        <w:rPr>
          <w:rFonts w:hint="eastAsia"/>
        </w:rPr>
        <w:t>復查</w:t>
      </w:r>
      <w:r w:rsidR="00C34BEC">
        <w:rPr>
          <w:rFonts w:hint="eastAsia"/>
        </w:rPr>
        <w:t>，</w:t>
      </w:r>
      <w:r w:rsidR="00CE079B">
        <w:rPr>
          <w:rFonts w:hAnsi="標楷體" w:hint="eastAsia"/>
        </w:rPr>
        <w:t>「</w:t>
      </w:r>
      <w:r w:rsidR="00CE079B" w:rsidRPr="00CE079B">
        <w:rPr>
          <w:rFonts w:hAnsi="標楷體" w:hint="eastAsia"/>
        </w:rPr>
        <w:t>城市水韌性</w:t>
      </w:r>
      <w:r w:rsidR="00CE079B">
        <w:rPr>
          <w:rFonts w:hAnsi="標楷體" w:hint="eastAsia"/>
        </w:rPr>
        <w:t>」</w:t>
      </w:r>
      <w:r w:rsidR="00FE0305" w:rsidRPr="00FE0305">
        <w:rPr>
          <w:rFonts w:hint="eastAsia"/>
        </w:rPr>
        <w:t>推動與規劃需要</w:t>
      </w:r>
      <w:r w:rsidR="00FE0305">
        <w:rPr>
          <w:rFonts w:hint="eastAsia"/>
        </w:rPr>
        <w:t>地方政府</w:t>
      </w:r>
      <w:r w:rsidR="00FE0305" w:rsidRPr="00FE0305">
        <w:rPr>
          <w:rFonts w:hint="eastAsia"/>
        </w:rPr>
        <w:t>共同</w:t>
      </w:r>
      <w:r w:rsidR="00FE0305" w:rsidRPr="00FE0305">
        <w:rPr>
          <w:rFonts w:hint="eastAsia"/>
        </w:rPr>
        <w:lastRenderedPageBreak/>
        <w:t>來參與，尤其城市領導人的重視，及整合各局處與所有利益相關人共同努力把「城市水韌性」納入城市的發展計畫與各項施政作為中，以因應更頻繁極端氣候帶來的災害衝擊；</w:t>
      </w:r>
      <w:r>
        <w:rPr>
          <w:rFonts w:hint="eastAsia"/>
        </w:rPr>
        <w:t>水利署並提出</w:t>
      </w:r>
      <w:r w:rsidRPr="005B6375">
        <w:rPr>
          <w:rFonts w:hAnsi="標楷體" w:hint="eastAsia"/>
        </w:rPr>
        <w:t>韌性水城市評估手冊</w:t>
      </w:r>
      <w:r>
        <w:rPr>
          <w:rFonts w:hint="eastAsia"/>
        </w:rPr>
        <w:t>，</w:t>
      </w:r>
      <w:r w:rsidR="00FE0305" w:rsidRPr="00FE0305">
        <w:rPr>
          <w:rFonts w:hint="eastAsia"/>
        </w:rPr>
        <w:t>地方首長</w:t>
      </w:r>
      <w:r w:rsidR="00EF4C60">
        <w:rPr>
          <w:rFonts w:hint="eastAsia"/>
        </w:rPr>
        <w:t>應</w:t>
      </w:r>
      <w:r w:rsidR="00FE0305" w:rsidRPr="00FE0305">
        <w:rPr>
          <w:rFonts w:hint="eastAsia"/>
        </w:rPr>
        <w:t>儘速進行「城市水韌性評估」，並檢討城市發展策略以提升高風險地區水韌性能力。</w:t>
      </w:r>
    </w:p>
    <w:p w:rsidR="005B6375" w:rsidRPr="001C47AA" w:rsidRDefault="005B6375" w:rsidP="001C47AA">
      <w:pPr>
        <w:pStyle w:val="3"/>
      </w:pPr>
      <w:r>
        <w:rPr>
          <w:rFonts w:hint="eastAsia"/>
        </w:rPr>
        <w:t>另查，</w:t>
      </w:r>
      <w:r w:rsidR="00073BB3">
        <w:rPr>
          <w:rFonts w:hint="eastAsia"/>
        </w:rPr>
        <w:t>水利署</w:t>
      </w:r>
      <w:r w:rsidR="006A2C7A">
        <w:rPr>
          <w:rFonts w:hint="eastAsia"/>
        </w:rPr>
        <w:t>於</w:t>
      </w:r>
      <w:r w:rsidR="00073BB3">
        <w:rPr>
          <w:rFonts w:hint="eastAsia"/>
        </w:rPr>
        <w:t>108年10月「</w:t>
      </w:r>
      <w:r w:rsidR="006A2C7A">
        <w:rPr>
          <w:rFonts w:hint="eastAsia"/>
        </w:rPr>
        <w:t>極端氣候的威脅及因應策略報告</w:t>
      </w:r>
      <w:r w:rsidR="00073BB3">
        <w:rPr>
          <w:rFonts w:hint="eastAsia"/>
        </w:rPr>
        <w:t>」</w:t>
      </w:r>
      <w:r w:rsidR="006A2C7A">
        <w:rPr>
          <w:rFonts w:hint="eastAsia"/>
        </w:rPr>
        <w:t>指出，</w:t>
      </w:r>
      <w:r w:rsidR="00F51D58">
        <w:rPr>
          <w:rFonts w:hint="eastAsia"/>
        </w:rPr>
        <w:t>該</w:t>
      </w:r>
      <w:r w:rsidR="006A2C7A">
        <w:rPr>
          <w:rFonts w:hint="eastAsia"/>
        </w:rPr>
        <w:t>署雖盡力協調</w:t>
      </w:r>
      <w:r w:rsidR="00F51D58">
        <w:rPr>
          <w:rFonts w:hint="eastAsia"/>
        </w:rPr>
        <w:t>中央</w:t>
      </w:r>
      <w:r w:rsidR="006A2C7A">
        <w:rPr>
          <w:rFonts w:hint="eastAsia"/>
        </w:rPr>
        <w:t>各部會及地方政府治水工作推動，</w:t>
      </w:r>
      <w:r w:rsidR="00D54FB5">
        <w:rPr>
          <w:rFonts w:hint="eastAsia"/>
        </w:rPr>
        <w:t>但礙於層級較低與法規限制，仍有</w:t>
      </w:r>
      <w:r w:rsidR="001C47AA">
        <w:rPr>
          <w:rFonts w:hint="eastAsia"/>
        </w:rPr>
        <w:t>其</w:t>
      </w:r>
      <w:r w:rsidR="00D54FB5">
        <w:rPr>
          <w:rFonts w:hint="eastAsia"/>
        </w:rPr>
        <w:t>侷限</w:t>
      </w:r>
      <w:r w:rsidR="001C47AA">
        <w:rPr>
          <w:rFonts w:hint="eastAsia"/>
        </w:rPr>
        <w:t>及窒礙</w:t>
      </w:r>
      <w:r w:rsidR="00D54FB5">
        <w:rPr>
          <w:rFonts w:hint="eastAsia"/>
        </w:rPr>
        <w:t>，</w:t>
      </w:r>
      <w:r w:rsidR="00F51D58">
        <w:rPr>
          <w:rFonts w:hint="eastAsia"/>
        </w:rPr>
        <w:t>面對氣候變遷威脅及社會要求，水患防治已無法單靠該署努力即能達成，建議加強跨部會合作，</w:t>
      </w:r>
      <w:r w:rsidR="001C47AA">
        <w:rPr>
          <w:rFonts w:hint="eastAsia"/>
        </w:rPr>
        <w:t>成立跨部會推動組織或未來成立統籌相關單位的部會組織，以有效整合水土林流域的防治減災工作。該署針對通案</w:t>
      </w:r>
      <w:r w:rsidR="001C47AA" w:rsidRPr="001C47AA">
        <w:rPr>
          <w:rFonts w:hAnsi="標楷體" w:hint="eastAsia"/>
        </w:rPr>
        <w:t>、規劃、用地取得、設計施工及維護管理等各階段於執行時</w:t>
      </w:r>
      <w:r w:rsidR="001C47AA">
        <w:rPr>
          <w:rFonts w:hAnsi="標楷體" w:hint="eastAsia"/>
        </w:rPr>
        <w:t>所</w:t>
      </w:r>
      <w:r w:rsidR="001C47AA" w:rsidRPr="001C47AA">
        <w:rPr>
          <w:rFonts w:hAnsi="標楷體" w:hint="eastAsia"/>
        </w:rPr>
        <w:t>遭遇之困難，初步研擬解決方案，</w:t>
      </w:r>
      <w:r w:rsidR="00EF4C60">
        <w:rPr>
          <w:rFonts w:hAnsi="標楷體" w:hint="eastAsia"/>
        </w:rPr>
        <w:t>涉</w:t>
      </w:r>
      <w:r w:rsidR="0081572D">
        <w:rPr>
          <w:rFonts w:hAnsi="標楷體" w:hint="eastAsia"/>
        </w:rPr>
        <w:t>及</w:t>
      </w:r>
      <w:r w:rsidR="001C47AA">
        <w:rPr>
          <w:rFonts w:hAnsi="標楷體" w:hint="eastAsia"/>
        </w:rPr>
        <w:t>權責機關如下表所示：</w:t>
      </w:r>
    </w:p>
    <w:tbl>
      <w:tblPr>
        <w:tblStyle w:val="23"/>
        <w:tblW w:w="9464" w:type="dxa"/>
        <w:tblLook w:val="04A0" w:firstRow="1" w:lastRow="0" w:firstColumn="1" w:lastColumn="0" w:noHBand="0" w:noVBand="1"/>
      </w:tblPr>
      <w:tblGrid>
        <w:gridCol w:w="586"/>
        <w:gridCol w:w="522"/>
        <w:gridCol w:w="3253"/>
        <w:gridCol w:w="3685"/>
        <w:gridCol w:w="1418"/>
      </w:tblGrid>
      <w:tr w:rsidR="00A557B0" w:rsidRPr="00A557B0" w:rsidTr="008B477C">
        <w:tc>
          <w:tcPr>
            <w:tcW w:w="586" w:type="dxa"/>
          </w:tcPr>
          <w:p w:rsidR="00A557B0" w:rsidRPr="00A557B0" w:rsidRDefault="00A557B0" w:rsidP="00A557B0">
            <w:pPr>
              <w:overflowPunct/>
              <w:autoSpaceDE/>
              <w:autoSpaceDN/>
              <w:spacing w:line="0" w:lineRule="atLeast"/>
              <w:jc w:val="center"/>
              <w:rPr>
                <w:rFonts w:ascii="Times New Roman"/>
                <w:sz w:val="28"/>
                <w:szCs w:val="28"/>
              </w:rPr>
            </w:pPr>
            <w:r w:rsidRPr="00A557B0">
              <w:rPr>
                <w:rFonts w:ascii="Times New Roman" w:hint="eastAsia"/>
                <w:sz w:val="28"/>
                <w:szCs w:val="28"/>
              </w:rPr>
              <w:t>階段</w:t>
            </w:r>
          </w:p>
        </w:tc>
        <w:tc>
          <w:tcPr>
            <w:tcW w:w="522" w:type="dxa"/>
            <w:vAlign w:val="center"/>
          </w:tcPr>
          <w:p w:rsidR="00A557B0" w:rsidRPr="00A557B0" w:rsidRDefault="00A557B0" w:rsidP="00A557B0">
            <w:pPr>
              <w:overflowPunct/>
              <w:autoSpaceDE/>
              <w:autoSpaceDN/>
              <w:spacing w:line="0" w:lineRule="atLeast"/>
              <w:jc w:val="center"/>
              <w:rPr>
                <w:rFonts w:ascii="Times New Roman"/>
                <w:sz w:val="28"/>
                <w:szCs w:val="28"/>
              </w:rPr>
            </w:pPr>
            <w:r w:rsidRPr="00A557B0">
              <w:rPr>
                <w:rFonts w:ascii="Times New Roman" w:hint="eastAsia"/>
                <w:sz w:val="28"/>
                <w:szCs w:val="28"/>
              </w:rPr>
              <w:t>項次</w:t>
            </w:r>
          </w:p>
        </w:tc>
        <w:tc>
          <w:tcPr>
            <w:tcW w:w="3253" w:type="dxa"/>
            <w:vAlign w:val="center"/>
          </w:tcPr>
          <w:p w:rsidR="00A557B0" w:rsidRPr="00A557B0" w:rsidRDefault="00A557B0" w:rsidP="00A557B0">
            <w:pPr>
              <w:overflowPunct/>
              <w:autoSpaceDE/>
              <w:autoSpaceDN/>
              <w:spacing w:line="0" w:lineRule="atLeast"/>
              <w:jc w:val="center"/>
              <w:rPr>
                <w:rFonts w:ascii="Times New Roman"/>
                <w:sz w:val="28"/>
                <w:szCs w:val="28"/>
              </w:rPr>
            </w:pPr>
            <w:r w:rsidRPr="00A557B0">
              <w:rPr>
                <w:rFonts w:ascii="Times New Roman" w:hint="eastAsia"/>
                <w:sz w:val="28"/>
                <w:szCs w:val="28"/>
              </w:rPr>
              <w:t>遭遇困難</w:t>
            </w:r>
          </w:p>
        </w:tc>
        <w:tc>
          <w:tcPr>
            <w:tcW w:w="3685" w:type="dxa"/>
            <w:vAlign w:val="center"/>
          </w:tcPr>
          <w:p w:rsidR="00A557B0" w:rsidRPr="00A557B0" w:rsidRDefault="00A557B0" w:rsidP="00A557B0">
            <w:pPr>
              <w:overflowPunct/>
              <w:autoSpaceDE/>
              <w:autoSpaceDN/>
              <w:spacing w:line="0" w:lineRule="atLeast"/>
              <w:jc w:val="center"/>
              <w:rPr>
                <w:rFonts w:ascii="Times New Roman"/>
                <w:sz w:val="28"/>
                <w:szCs w:val="28"/>
              </w:rPr>
            </w:pPr>
            <w:r w:rsidRPr="00A557B0">
              <w:rPr>
                <w:rFonts w:ascii="Times New Roman" w:hint="eastAsia"/>
                <w:sz w:val="28"/>
                <w:szCs w:val="28"/>
              </w:rPr>
              <w:t>解決方案</w:t>
            </w:r>
          </w:p>
        </w:tc>
        <w:tc>
          <w:tcPr>
            <w:tcW w:w="1418" w:type="dxa"/>
            <w:vAlign w:val="center"/>
          </w:tcPr>
          <w:p w:rsidR="00A557B0" w:rsidRPr="00A557B0" w:rsidRDefault="00A557B0" w:rsidP="00A557B0">
            <w:pPr>
              <w:overflowPunct/>
              <w:autoSpaceDE/>
              <w:autoSpaceDN/>
              <w:spacing w:line="0" w:lineRule="atLeast"/>
              <w:jc w:val="center"/>
              <w:rPr>
                <w:rFonts w:ascii="Times New Roman"/>
                <w:sz w:val="28"/>
                <w:szCs w:val="28"/>
              </w:rPr>
            </w:pPr>
            <w:r w:rsidRPr="00A557B0">
              <w:rPr>
                <w:rFonts w:ascii="Times New Roman" w:hint="eastAsia"/>
                <w:sz w:val="28"/>
                <w:szCs w:val="28"/>
              </w:rPr>
              <w:t>權責</w:t>
            </w:r>
          </w:p>
          <w:p w:rsidR="00A557B0" w:rsidRPr="00A557B0" w:rsidRDefault="00A557B0" w:rsidP="00A557B0">
            <w:pPr>
              <w:overflowPunct/>
              <w:autoSpaceDE/>
              <w:autoSpaceDN/>
              <w:spacing w:line="0" w:lineRule="atLeast"/>
              <w:jc w:val="center"/>
              <w:rPr>
                <w:rFonts w:ascii="Times New Roman"/>
                <w:sz w:val="28"/>
                <w:szCs w:val="28"/>
              </w:rPr>
            </w:pPr>
            <w:r w:rsidRPr="00A557B0">
              <w:rPr>
                <w:rFonts w:ascii="Times New Roman" w:hint="eastAsia"/>
                <w:sz w:val="28"/>
                <w:szCs w:val="28"/>
              </w:rPr>
              <w:t>機關</w:t>
            </w:r>
          </w:p>
        </w:tc>
      </w:tr>
      <w:tr w:rsidR="00A557B0" w:rsidRPr="00A557B0" w:rsidTr="008B477C">
        <w:tc>
          <w:tcPr>
            <w:tcW w:w="586" w:type="dxa"/>
            <w:vMerge w:val="restart"/>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通案</w:t>
            </w: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1</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執行率的要求致無法妥善規劃、設計及施工。</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修正現行績效管考方式，不要以執行率為唯一績效條件，應以妥善設計及施工品質為優先，以確保品質。</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p>
        </w:tc>
      </w:tr>
      <w:tr w:rsidR="00A557B0" w:rsidRPr="00A557B0" w:rsidTr="008B477C">
        <w:tc>
          <w:tcPr>
            <w:tcW w:w="586" w:type="dxa"/>
            <w:vMerge/>
            <w:vAlign w:val="center"/>
          </w:tcPr>
          <w:p w:rsidR="00A557B0" w:rsidRPr="00A557B0" w:rsidRDefault="00A557B0" w:rsidP="00A557B0">
            <w:pPr>
              <w:overflowPunct/>
              <w:autoSpaceDE/>
              <w:autoSpaceDN/>
              <w:spacing w:line="0" w:lineRule="atLeast"/>
              <w:jc w:val="center"/>
              <w:rPr>
                <w:rFonts w:ascii="Times New Roman"/>
                <w:sz w:val="24"/>
              </w:rPr>
            </w:pP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2</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人力不足</w:t>
            </w:r>
            <w:r w:rsidRPr="00A557B0">
              <w:rPr>
                <w:rFonts w:ascii="Times New Roman"/>
                <w:sz w:val="24"/>
              </w:rPr>
              <w:t>(</w:t>
            </w:r>
            <w:r w:rsidRPr="00A557B0">
              <w:rPr>
                <w:rFonts w:ascii="Times New Roman" w:hint="eastAsia"/>
                <w:sz w:val="24"/>
              </w:rPr>
              <w:t>經濟部水利署及地方政府</w:t>
            </w:r>
            <w:r w:rsidRPr="00A557B0">
              <w:rPr>
                <w:rFonts w:ascii="Times New Roman"/>
                <w:sz w:val="24"/>
              </w:rPr>
              <w:t>)</w:t>
            </w:r>
            <w:r w:rsidRPr="00A557B0">
              <w:rPr>
                <w:rFonts w:ascii="Times New Roman" w:hint="eastAsia"/>
                <w:sz w:val="24"/>
              </w:rPr>
              <w:t>。</w:t>
            </w:r>
          </w:p>
        </w:tc>
        <w:tc>
          <w:tcPr>
            <w:tcW w:w="3685" w:type="dxa"/>
          </w:tcPr>
          <w:p w:rsidR="00A557B0" w:rsidRPr="00A557B0" w:rsidRDefault="00A557B0" w:rsidP="00A557B0">
            <w:pPr>
              <w:numPr>
                <w:ilvl w:val="0"/>
                <w:numId w:val="35"/>
              </w:numPr>
              <w:overflowPunct/>
              <w:autoSpaceDE/>
              <w:autoSpaceDN/>
              <w:spacing w:line="0" w:lineRule="atLeast"/>
              <w:ind w:left="227" w:hanging="227"/>
              <w:jc w:val="left"/>
              <w:rPr>
                <w:rFonts w:ascii="Times New Roman"/>
                <w:sz w:val="24"/>
              </w:rPr>
            </w:pPr>
            <w:r w:rsidRPr="00A557B0">
              <w:rPr>
                <w:rFonts w:ascii="Times New Roman" w:hint="eastAsia"/>
                <w:sz w:val="24"/>
              </w:rPr>
              <w:t>短期可由水利署調度各地河川局支援，地方政府可考量合併發包減少行政流程，及跨科別支援人力。</w:t>
            </w:r>
          </w:p>
          <w:p w:rsidR="00A557B0" w:rsidRPr="00A557B0" w:rsidRDefault="00A557B0" w:rsidP="00A557B0">
            <w:pPr>
              <w:numPr>
                <w:ilvl w:val="0"/>
                <w:numId w:val="35"/>
              </w:numPr>
              <w:overflowPunct/>
              <w:autoSpaceDE/>
              <w:autoSpaceDN/>
              <w:spacing w:line="0" w:lineRule="atLeast"/>
              <w:ind w:left="227" w:hanging="227"/>
              <w:jc w:val="left"/>
              <w:rPr>
                <w:rFonts w:ascii="Times New Roman"/>
                <w:sz w:val="24"/>
              </w:rPr>
            </w:pPr>
            <w:r w:rsidRPr="00A557B0">
              <w:rPr>
                <w:rFonts w:ascii="Times New Roman" w:hint="eastAsia"/>
                <w:sz w:val="24"/>
              </w:rPr>
              <w:t>長期應設法增加水利專業人力。</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行政院人事行政總處、經濟部水利署、各縣市政府</w:t>
            </w:r>
          </w:p>
        </w:tc>
      </w:tr>
      <w:tr w:rsidR="00A557B0" w:rsidRPr="00A557B0" w:rsidTr="008B477C">
        <w:tc>
          <w:tcPr>
            <w:tcW w:w="586" w:type="dxa"/>
            <w:vMerge/>
            <w:vAlign w:val="center"/>
          </w:tcPr>
          <w:p w:rsidR="00A557B0" w:rsidRPr="00A557B0" w:rsidRDefault="00A557B0" w:rsidP="00A557B0">
            <w:pPr>
              <w:overflowPunct/>
              <w:autoSpaceDE/>
              <w:autoSpaceDN/>
              <w:spacing w:line="0" w:lineRule="atLeast"/>
              <w:jc w:val="center"/>
              <w:rPr>
                <w:rFonts w:ascii="Times New Roman"/>
                <w:sz w:val="24"/>
              </w:rPr>
            </w:pP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3</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各縣市政府水災防救程序尚待精進。</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水利署將研擬水災保全計畫納入</w:t>
            </w:r>
            <w:r w:rsidRPr="00A557B0">
              <w:rPr>
                <w:rFonts w:ascii="Times New Roman" w:hint="eastAsia"/>
                <w:sz w:val="24"/>
              </w:rPr>
              <w:t>BCP</w:t>
            </w:r>
            <w:r w:rsidRPr="00A557B0">
              <w:rPr>
                <w:rFonts w:ascii="Times New Roman" w:hint="eastAsia"/>
                <w:sz w:val="24"/>
              </w:rPr>
              <w:t>精進構想，由各縣市政府落實辦理。</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內政部消防署、各縣市政府</w:t>
            </w:r>
          </w:p>
        </w:tc>
      </w:tr>
      <w:tr w:rsidR="00A557B0" w:rsidRPr="00A557B0" w:rsidTr="008B477C">
        <w:tc>
          <w:tcPr>
            <w:tcW w:w="586" w:type="dxa"/>
            <w:vMerge/>
            <w:vAlign w:val="center"/>
          </w:tcPr>
          <w:p w:rsidR="00A557B0" w:rsidRPr="00A557B0" w:rsidRDefault="00A557B0" w:rsidP="00A557B0">
            <w:pPr>
              <w:overflowPunct/>
              <w:autoSpaceDE/>
              <w:autoSpaceDN/>
              <w:spacing w:line="0" w:lineRule="atLeast"/>
              <w:jc w:val="center"/>
              <w:rPr>
                <w:rFonts w:ascii="Times New Roman"/>
                <w:sz w:val="24"/>
              </w:rPr>
            </w:pP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4</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營建署僅治理都市計畫區內雨水下水道及道路側</w:t>
            </w:r>
            <w:r w:rsidRPr="00A557B0">
              <w:rPr>
                <w:rFonts w:ascii="Times New Roman" w:hint="eastAsia"/>
                <w:sz w:val="24"/>
              </w:rPr>
              <w:lastRenderedPageBreak/>
              <w:t>溝，農委會僅處理灌區內農田排水，漁業署僅處理公告之養殖漁業生產區或魚塭集中區內排水，造成部分區域改善無對應中央部會。</w:t>
            </w:r>
          </w:p>
        </w:tc>
        <w:tc>
          <w:tcPr>
            <w:tcW w:w="3685" w:type="dxa"/>
          </w:tcPr>
          <w:p w:rsidR="00A557B0" w:rsidRPr="00A557B0" w:rsidRDefault="00A557B0" w:rsidP="00A557B0">
            <w:pPr>
              <w:numPr>
                <w:ilvl w:val="0"/>
                <w:numId w:val="35"/>
              </w:numPr>
              <w:overflowPunct/>
              <w:autoSpaceDE/>
              <w:autoSpaceDN/>
              <w:spacing w:line="0" w:lineRule="atLeast"/>
              <w:ind w:left="227" w:hanging="227"/>
              <w:jc w:val="left"/>
              <w:rPr>
                <w:rFonts w:ascii="Times New Roman"/>
                <w:sz w:val="24"/>
              </w:rPr>
            </w:pPr>
            <w:r w:rsidRPr="00A557B0">
              <w:rPr>
                <w:rFonts w:ascii="Times New Roman" w:hint="eastAsia"/>
                <w:sz w:val="24"/>
              </w:rPr>
              <w:lastRenderedPageBreak/>
              <w:t>請營建署強化都市計畫區內、外雨水下水道及道路側</w:t>
            </w:r>
            <w:r w:rsidRPr="00A557B0">
              <w:rPr>
                <w:rFonts w:ascii="Times New Roman" w:hint="eastAsia"/>
                <w:sz w:val="24"/>
              </w:rPr>
              <w:lastRenderedPageBreak/>
              <w:t>溝銜接。</w:t>
            </w:r>
          </w:p>
          <w:p w:rsidR="00A557B0" w:rsidRPr="00A557B0" w:rsidRDefault="00A557B0" w:rsidP="00A557B0">
            <w:pPr>
              <w:numPr>
                <w:ilvl w:val="0"/>
                <w:numId w:val="35"/>
              </w:numPr>
              <w:overflowPunct/>
              <w:autoSpaceDE/>
              <w:autoSpaceDN/>
              <w:spacing w:line="0" w:lineRule="atLeast"/>
              <w:ind w:left="227" w:hanging="227"/>
              <w:jc w:val="left"/>
              <w:rPr>
                <w:rFonts w:ascii="Times New Roman"/>
                <w:sz w:val="24"/>
              </w:rPr>
            </w:pPr>
            <w:r w:rsidRPr="00A557B0">
              <w:rPr>
                <w:rFonts w:ascii="Times New Roman" w:hint="eastAsia"/>
                <w:sz w:val="24"/>
              </w:rPr>
              <w:t>請農委會針對灌區外農田排水進行治理。</w:t>
            </w:r>
          </w:p>
          <w:p w:rsidR="00A557B0" w:rsidRPr="00A557B0" w:rsidRDefault="00A557B0" w:rsidP="00A557B0">
            <w:pPr>
              <w:numPr>
                <w:ilvl w:val="0"/>
                <w:numId w:val="35"/>
              </w:numPr>
              <w:overflowPunct/>
              <w:autoSpaceDE/>
              <w:autoSpaceDN/>
              <w:spacing w:line="0" w:lineRule="atLeast"/>
              <w:ind w:left="227" w:hanging="227"/>
              <w:jc w:val="left"/>
              <w:rPr>
                <w:rFonts w:ascii="Times New Roman"/>
                <w:sz w:val="24"/>
              </w:rPr>
            </w:pPr>
            <w:r w:rsidRPr="00A557B0">
              <w:rPr>
                <w:rFonts w:ascii="Times New Roman" w:hint="eastAsia"/>
                <w:sz w:val="24"/>
              </w:rPr>
              <w:t>請農委會針對公告之養殖漁業生產區或魚塭集中區內以外之排水進行治理。</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lastRenderedPageBreak/>
              <w:t>內政部營建署、行</w:t>
            </w:r>
            <w:r w:rsidRPr="00A557B0">
              <w:rPr>
                <w:rFonts w:ascii="Times New Roman" w:hint="eastAsia"/>
                <w:sz w:val="24"/>
              </w:rPr>
              <w:lastRenderedPageBreak/>
              <w:t>政院農業委員會、各縣市政府</w:t>
            </w:r>
          </w:p>
        </w:tc>
      </w:tr>
      <w:tr w:rsidR="00A557B0" w:rsidRPr="00A557B0" w:rsidTr="008B477C">
        <w:tc>
          <w:tcPr>
            <w:tcW w:w="586" w:type="dxa"/>
            <w:vMerge w:val="restart"/>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lastRenderedPageBreak/>
              <w:t>規劃</w:t>
            </w: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1</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在地滯洪之補償機制需提供穩定長久之財源，避免隨單一計畫結束導致無經費支應。</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由農田、水利或防災單位籌措穩定財源。</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行政院農業委員會、經濟部水利署</w:t>
            </w:r>
          </w:p>
        </w:tc>
      </w:tr>
      <w:tr w:rsidR="00A557B0" w:rsidRPr="00A557B0" w:rsidTr="008B477C">
        <w:tc>
          <w:tcPr>
            <w:tcW w:w="586" w:type="dxa"/>
            <w:vMerge/>
            <w:vAlign w:val="center"/>
          </w:tcPr>
          <w:p w:rsidR="00A557B0" w:rsidRPr="00A557B0" w:rsidRDefault="00A557B0" w:rsidP="00A557B0">
            <w:pPr>
              <w:overflowPunct/>
              <w:autoSpaceDE/>
              <w:autoSpaceDN/>
              <w:spacing w:line="0" w:lineRule="atLeast"/>
              <w:jc w:val="center"/>
              <w:rPr>
                <w:rFonts w:ascii="Times New Roman"/>
                <w:sz w:val="24"/>
              </w:rPr>
            </w:pP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2</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土地使用遭遇農地及住宅工廠混合，造成灌排兩用情形，權責釐清困難。</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請農業委員會推動整體及系統性之農業區相關排水改善</w:t>
            </w:r>
            <w:r w:rsidRPr="00A557B0">
              <w:rPr>
                <w:rFonts w:ascii="Times New Roman"/>
                <w:sz w:val="24"/>
              </w:rPr>
              <w:t>(</w:t>
            </w:r>
            <w:r w:rsidRPr="00A557B0">
              <w:rPr>
                <w:rFonts w:ascii="Times New Roman" w:hint="eastAsia"/>
                <w:sz w:val="24"/>
              </w:rPr>
              <w:t>含非灌區及住工農混合區</w:t>
            </w:r>
            <w:r w:rsidRPr="00A557B0">
              <w:rPr>
                <w:rFonts w:ascii="Times New Roman"/>
                <w:sz w:val="24"/>
              </w:rPr>
              <w:t>)</w:t>
            </w:r>
            <w:r w:rsidRPr="00A557B0">
              <w:rPr>
                <w:rFonts w:ascii="Times New Roman" w:hint="eastAsia"/>
                <w:sz w:val="24"/>
              </w:rPr>
              <w:t>，並優先進行輔導工廠登記之農地排水改善。</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行政院農業委員會</w:t>
            </w:r>
          </w:p>
        </w:tc>
      </w:tr>
      <w:tr w:rsidR="00A557B0" w:rsidRPr="00A557B0" w:rsidTr="008B477C">
        <w:tc>
          <w:tcPr>
            <w:tcW w:w="586" w:type="dxa"/>
            <w:vMerge w:val="restart"/>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用地取得</w:t>
            </w: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1</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滯洪池用地欲徵收農地，但農民擔憂喪失原有農保身分，拒絕提供土地，致工程難以推動。</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請內政部及農業委員會開放農地容許使用項目，以利推動在地滯洪等農地多目標使用，減少徵收農地。</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行政院農業委員會、內政部</w:t>
            </w:r>
          </w:p>
        </w:tc>
      </w:tr>
      <w:tr w:rsidR="00A557B0" w:rsidRPr="00A557B0" w:rsidTr="008B477C">
        <w:tc>
          <w:tcPr>
            <w:tcW w:w="586" w:type="dxa"/>
            <w:vMerge/>
            <w:vAlign w:val="center"/>
          </w:tcPr>
          <w:p w:rsidR="00A557B0" w:rsidRPr="00A557B0" w:rsidRDefault="00A557B0" w:rsidP="00A557B0">
            <w:pPr>
              <w:overflowPunct/>
              <w:autoSpaceDE/>
              <w:autoSpaceDN/>
              <w:spacing w:line="0" w:lineRule="atLeast"/>
              <w:jc w:val="center"/>
              <w:rPr>
                <w:rFonts w:ascii="Times New Roman"/>
                <w:sz w:val="24"/>
              </w:rPr>
            </w:pP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2</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用地取得時間長，影響治水時效，且費用高排擠預算。</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請縣市政府增設專責單位及人員，以加速辦理用地取得。</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內政部、各縣市政府</w:t>
            </w:r>
          </w:p>
        </w:tc>
      </w:tr>
      <w:tr w:rsidR="00A557B0" w:rsidRPr="00A557B0" w:rsidTr="008B477C">
        <w:tc>
          <w:tcPr>
            <w:tcW w:w="586" w:type="dxa"/>
            <w:vMerge/>
            <w:vAlign w:val="center"/>
          </w:tcPr>
          <w:p w:rsidR="00A557B0" w:rsidRPr="00A557B0" w:rsidRDefault="00A557B0" w:rsidP="00A557B0">
            <w:pPr>
              <w:overflowPunct/>
              <w:autoSpaceDE/>
              <w:autoSpaceDN/>
              <w:spacing w:line="0" w:lineRule="atLeast"/>
              <w:jc w:val="center"/>
              <w:rPr>
                <w:rFonts w:ascii="Times New Roman"/>
                <w:sz w:val="24"/>
              </w:rPr>
            </w:pP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3</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新增雷達站如雲林降雨雷達因站房工程遭遇民眾抗爭而停工，尚待努力克服。</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請中央氣象局加強溝通，排除問題，加速相關雷達站之佈設。</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交通部中央氣象局</w:t>
            </w:r>
          </w:p>
        </w:tc>
      </w:tr>
      <w:tr w:rsidR="00A557B0" w:rsidRPr="00A557B0" w:rsidTr="008B477C">
        <w:tc>
          <w:tcPr>
            <w:tcW w:w="586" w:type="dxa"/>
            <w:vMerge w:val="restart"/>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設計施工</w:t>
            </w: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1</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地方規劃設計能力不足，常有過度設計狀況。</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除強化核列預算時單價審議外，將原要求</w:t>
            </w:r>
            <w:r w:rsidRPr="00A557B0">
              <w:rPr>
                <w:rFonts w:ascii="Times New Roman"/>
                <w:sz w:val="24"/>
              </w:rPr>
              <w:t>1</w:t>
            </w:r>
            <w:r w:rsidRPr="00A557B0">
              <w:rPr>
                <w:rFonts w:ascii="Times New Roman" w:hint="eastAsia"/>
                <w:sz w:val="24"/>
              </w:rPr>
              <w:t>億元以上工程設計送河川局審查規定，考慮調降為</w:t>
            </w:r>
            <w:r w:rsidR="00246D7E">
              <w:rPr>
                <w:rFonts w:ascii="Times New Roman" w:hint="eastAsia"/>
                <w:sz w:val="24"/>
              </w:rPr>
              <w:t>新臺幣</w:t>
            </w:r>
            <w:r w:rsidRPr="00A557B0">
              <w:rPr>
                <w:rFonts w:ascii="Times New Roman"/>
                <w:sz w:val="24"/>
              </w:rPr>
              <w:t>5000</w:t>
            </w:r>
            <w:r w:rsidRPr="00A557B0">
              <w:rPr>
                <w:rFonts w:ascii="Times New Roman" w:hint="eastAsia"/>
                <w:sz w:val="24"/>
              </w:rPr>
              <w:t>萬元以上即需送審。</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經濟部水利署、行政院農業委員會、內政部營建署、各縣市政府</w:t>
            </w:r>
          </w:p>
        </w:tc>
      </w:tr>
      <w:tr w:rsidR="00A557B0" w:rsidRPr="00A557B0" w:rsidTr="008B477C">
        <w:tc>
          <w:tcPr>
            <w:tcW w:w="586" w:type="dxa"/>
            <w:vMerge/>
            <w:vAlign w:val="center"/>
          </w:tcPr>
          <w:p w:rsidR="00A557B0" w:rsidRPr="00A557B0" w:rsidRDefault="00A557B0" w:rsidP="00A557B0">
            <w:pPr>
              <w:overflowPunct/>
              <w:autoSpaceDE/>
              <w:autoSpaceDN/>
              <w:spacing w:line="0" w:lineRule="atLeast"/>
              <w:jc w:val="center"/>
              <w:rPr>
                <w:rFonts w:ascii="Times New Roman"/>
                <w:sz w:val="24"/>
              </w:rPr>
            </w:pP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2</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工程開工後，開挖整地發現埋有垃圾廢棄物，雖有提報環保局，但因未知傾倒者，難以處罰。</w:t>
            </w:r>
          </w:p>
        </w:tc>
        <w:tc>
          <w:tcPr>
            <w:tcW w:w="3685" w:type="dxa"/>
          </w:tcPr>
          <w:p w:rsidR="00A557B0" w:rsidRPr="00A557B0" w:rsidRDefault="00A557B0" w:rsidP="00246D7E">
            <w:pPr>
              <w:overflowPunct/>
              <w:autoSpaceDE/>
              <w:autoSpaceDN/>
              <w:spacing w:line="0" w:lineRule="atLeast"/>
              <w:jc w:val="left"/>
              <w:rPr>
                <w:rFonts w:ascii="Times New Roman"/>
                <w:sz w:val="24"/>
              </w:rPr>
            </w:pPr>
            <w:r w:rsidRPr="00A557B0">
              <w:rPr>
                <w:rFonts w:ascii="Times New Roman" w:hint="eastAsia"/>
                <w:sz w:val="24"/>
              </w:rPr>
              <w:t>請環保署比照</w:t>
            </w:r>
            <w:r w:rsidR="00246D7E">
              <w:rPr>
                <w:rFonts w:ascii="Times New Roman" w:hint="eastAsia"/>
                <w:sz w:val="24"/>
              </w:rPr>
              <w:t>臺</w:t>
            </w:r>
            <w:r w:rsidRPr="00A557B0">
              <w:rPr>
                <w:rFonts w:ascii="Times New Roman" w:hint="eastAsia"/>
                <w:sz w:val="24"/>
              </w:rPr>
              <w:t>灣省環保處時期，編列相關預算加速行水區垃圾清運。</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行政院環境保護署</w:t>
            </w:r>
          </w:p>
        </w:tc>
      </w:tr>
      <w:tr w:rsidR="00A557B0" w:rsidRPr="00A557B0" w:rsidTr="008B477C">
        <w:tc>
          <w:tcPr>
            <w:tcW w:w="586"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維護管理</w:t>
            </w:r>
          </w:p>
        </w:tc>
        <w:tc>
          <w:tcPr>
            <w:tcW w:w="522" w:type="dxa"/>
            <w:vAlign w:val="center"/>
          </w:tcPr>
          <w:p w:rsidR="00A557B0" w:rsidRPr="00A557B0" w:rsidRDefault="00A557B0" w:rsidP="00A557B0">
            <w:pPr>
              <w:overflowPunct/>
              <w:autoSpaceDE/>
              <w:autoSpaceDN/>
              <w:spacing w:line="0" w:lineRule="atLeast"/>
              <w:jc w:val="center"/>
              <w:rPr>
                <w:rFonts w:ascii="Times New Roman"/>
                <w:sz w:val="24"/>
              </w:rPr>
            </w:pPr>
            <w:r w:rsidRPr="00A557B0">
              <w:rPr>
                <w:rFonts w:ascii="Times New Roman" w:hint="eastAsia"/>
                <w:sz w:val="24"/>
              </w:rPr>
              <w:t>1</w:t>
            </w:r>
          </w:p>
        </w:tc>
        <w:tc>
          <w:tcPr>
            <w:tcW w:w="3253"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水患自主防災社區之維運工作屬地方政府權責，仍需持續編列預算維運。</w:t>
            </w:r>
          </w:p>
        </w:tc>
        <w:tc>
          <w:tcPr>
            <w:tcW w:w="3685" w:type="dxa"/>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請縣市政府積極編列預算維運，並建立水患自主防災社區優先順序，在有限經費下，由風險較高之地區優先推動。</w:t>
            </w:r>
          </w:p>
        </w:tc>
        <w:tc>
          <w:tcPr>
            <w:tcW w:w="1418" w:type="dxa"/>
            <w:vAlign w:val="center"/>
          </w:tcPr>
          <w:p w:rsidR="00A557B0" w:rsidRPr="00A557B0" w:rsidRDefault="00A557B0" w:rsidP="00A557B0">
            <w:pPr>
              <w:overflowPunct/>
              <w:autoSpaceDE/>
              <w:autoSpaceDN/>
              <w:spacing w:line="0" w:lineRule="atLeast"/>
              <w:jc w:val="left"/>
              <w:rPr>
                <w:rFonts w:ascii="Times New Roman"/>
                <w:sz w:val="24"/>
              </w:rPr>
            </w:pPr>
            <w:r w:rsidRPr="00A557B0">
              <w:rPr>
                <w:rFonts w:ascii="Times New Roman" w:hint="eastAsia"/>
                <w:sz w:val="24"/>
              </w:rPr>
              <w:t>各縣市政府</w:t>
            </w:r>
          </w:p>
        </w:tc>
      </w:tr>
    </w:tbl>
    <w:p w:rsidR="001C47AA" w:rsidRDefault="001C47AA" w:rsidP="001C47AA">
      <w:pPr>
        <w:pStyle w:val="3"/>
        <w:numPr>
          <w:ilvl w:val="0"/>
          <w:numId w:val="0"/>
        </w:numPr>
        <w:ind w:left="1361"/>
        <w:rPr>
          <w:rFonts w:hAnsi="標楷體"/>
        </w:rPr>
      </w:pPr>
    </w:p>
    <w:p w:rsidR="00CA12EE" w:rsidRPr="00F267F1" w:rsidRDefault="00F267F1" w:rsidP="00CA12EE">
      <w:pPr>
        <w:pStyle w:val="3"/>
      </w:pPr>
      <w:r w:rsidRPr="00F267F1">
        <w:rPr>
          <w:rFonts w:hint="eastAsia"/>
        </w:rPr>
        <w:lastRenderedPageBreak/>
        <w:t>揆諸前揭</w:t>
      </w:r>
      <w:r w:rsidR="006E17BA">
        <w:rPr>
          <w:rFonts w:hint="eastAsia"/>
        </w:rPr>
        <w:t>建構</w:t>
      </w:r>
      <w:r w:rsidRPr="00F267F1">
        <w:rPr>
          <w:rFonts w:hint="eastAsia"/>
        </w:rPr>
        <w:t>韌性城市5大策略</w:t>
      </w:r>
      <w:r w:rsidRPr="00F267F1">
        <w:rPr>
          <w:rFonts w:hAnsi="標楷體" w:hint="eastAsia"/>
        </w:rPr>
        <w:t>、全國治水會議4大論點及12項共識結論及</w:t>
      </w:r>
      <w:r w:rsidR="006E17BA">
        <w:rPr>
          <w:rFonts w:hAnsi="標楷體" w:hint="eastAsia"/>
        </w:rPr>
        <w:t>各階段</w:t>
      </w:r>
      <w:r w:rsidRPr="00F267F1">
        <w:rPr>
          <w:rFonts w:hAnsi="標楷體" w:hint="eastAsia"/>
        </w:rPr>
        <w:t>執行時所遭遇困難</w:t>
      </w:r>
      <w:r w:rsidR="006E17BA">
        <w:rPr>
          <w:rFonts w:hAnsi="標楷體" w:hint="eastAsia"/>
        </w:rPr>
        <w:t>計12項</w:t>
      </w:r>
      <w:r w:rsidRPr="00F267F1">
        <w:rPr>
          <w:rFonts w:hAnsi="標楷體" w:hint="eastAsia"/>
        </w:rPr>
        <w:t>，</w:t>
      </w:r>
      <w:r w:rsidR="006E17BA">
        <w:rPr>
          <w:rFonts w:hAnsi="標楷體" w:hint="eastAsia"/>
        </w:rPr>
        <w:t>其</w:t>
      </w:r>
      <w:r w:rsidRPr="00F267F1">
        <w:rPr>
          <w:rFonts w:hAnsi="標楷體" w:hint="eastAsia"/>
        </w:rPr>
        <w:t>權責機關牽涉眾多中央部會及各縣市政府，單獨以水利署之力無法克服，後續如何事權統一並有效督導，如何推動前揭策略、落實共識結論並解決相關執行困難，</w:t>
      </w:r>
      <w:r w:rsidR="00FC252F">
        <w:rPr>
          <w:rFonts w:hAnsi="標楷體" w:hint="eastAsia"/>
        </w:rPr>
        <w:t>允</w:t>
      </w:r>
      <w:r w:rsidRPr="00F267F1">
        <w:rPr>
          <w:rFonts w:hAnsi="標楷體" w:hint="eastAsia"/>
        </w:rPr>
        <w:t>應審慎</w:t>
      </w:r>
      <w:r w:rsidR="006E17BA">
        <w:rPr>
          <w:rFonts w:hAnsi="標楷體" w:hint="eastAsia"/>
        </w:rPr>
        <w:t>考量</w:t>
      </w:r>
      <w:r w:rsidRPr="00F267F1">
        <w:rPr>
          <w:rFonts w:hAnsi="標楷體" w:hint="eastAsia"/>
        </w:rPr>
        <w:t>。</w:t>
      </w:r>
    </w:p>
    <w:p w:rsidR="00F267F1" w:rsidRPr="00FA3993" w:rsidRDefault="00F267F1" w:rsidP="00CA12EE">
      <w:pPr>
        <w:pStyle w:val="3"/>
      </w:pPr>
      <w:r w:rsidRPr="00FA3993">
        <w:rPr>
          <w:rFonts w:hAnsi="標楷體" w:hint="eastAsia"/>
        </w:rPr>
        <w:t>綜上，</w:t>
      </w:r>
      <w:r w:rsidR="00A675BC" w:rsidRPr="00FA3993">
        <w:rPr>
          <w:rFonts w:hAnsi="標楷體" w:hint="eastAsia"/>
        </w:rPr>
        <w:t>水利署於「107年0823熱帶低氣壓豪雨淹水檢討報告」提出建構韌性城市5大策略，復於「108年韌性臺灣全國治水會議」提出4大論點及12項共識結論，並提出韌性水城市評估手冊供地方政府首長參考，另針對通案、規劃、用地取得、設計施工及維護管理等階段於執行時所遭遇困難計有12項，以上權責機關牽涉眾多中央部會及各縣市政府，單獨以水利署之力無法克服，後續如何事權統一並有效督導，行政院允宜妥適處理，期早日完成韌性臺灣之建構。</w:t>
      </w:r>
    </w:p>
    <w:bookmarkEnd w:id="50"/>
    <w:bookmarkEnd w:id="51"/>
    <w:p w:rsidR="003A5927" w:rsidRDefault="003A5927" w:rsidP="00DE4238">
      <w:pPr>
        <w:pStyle w:val="31"/>
        <w:ind w:left="1361" w:firstLine="680"/>
      </w:pPr>
    </w:p>
    <w:p w:rsidR="00E25849" w:rsidRPr="008C69F9" w:rsidRDefault="00E25849" w:rsidP="004E05A1">
      <w:pPr>
        <w:pStyle w:val="1"/>
        <w:ind w:left="2380" w:hanging="2380"/>
        <w:rPr>
          <w:b/>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8C69F9">
        <w:rPr>
          <w:rFonts w:hint="eastAsia"/>
          <w:b/>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FA3993" w:rsidRPr="008C69F9">
        <w:rPr>
          <w:b/>
        </w:rPr>
        <w:t xml:space="preserve"> </w:t>
      </w:r>
    </w:p>
    <w:p w:rsidR="00DE104A" w:rsidRDefault="00DE104A">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Pr>
          <w:rFonts w:hint="eastAsia"/>
        </w:rPr>
        <w:t>抄調查意見，函請行政院妥處見復。</w:t>
      </w:r>
      <w:bookmarkEnd w:id="79"/>
      <w:bookmarkEnd w:id="80"/>
      <w:bookmarkEnd w:id="81"/>
      <w:bookmarkEnd w:id="82"/>
      <w:bookmarkEnd w:id="83"/>
      <w:bookmarkEnd w:id="84"/>
      <w:bookmarkEnd w:id="85"/>
      <w:bookmarkEnd w:id="86"/>
      <w:bookmarkEnd w:id="87"/>
      <w:bookmarkEnd w:id="88"/>
      <w:bookmarkEnd w:id="89"/>
      <w:bookmarkEnd w:id="90"/>
      <w:bookmarkEnd w:id="91"/>
    </w:p>
    <w:p w:rsidR="00E25849" w:rsidRDefault="00DE104A">
      <w:pPr>
        <w:pStyle w:val="2"/>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Pr>
          <w:rFonts w:hint="eastAsia"/>
          <w:color w:val="000000"/>
        </w:rPr>
        <w:t>調查報告之案由、調查意見及處理辦法上網公布。</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DE104A">
        <w:rPr>
          <w:rFonts w:hint="eastAsia"/>
          <w:b w:val="0"/>
          <w:bCs/>
          <w:snapToGrid/>
          <w:spacing w:val="12"/>
          <w:kern w:val="0"/>
          <w:sz w:val="40"/>
        </w:rPr>
        <w:t>林盛豐</w:t>
      </w:r>
    </w:p>
    <w:p w:rsidR="00770453" w:rsidRDefault="00770453" w:rsidP="00770453">
      <w:pPr>
        <w:pStyle w:val="aa"/>
        <w:spacing w:before="0" w:after="0"/>
        <w:ind w:leftChars="1100" w:left="3742"/>
        <w:rPr>
          <w:rFonts w:ascii="Times New Roman"/>
          <w:b w:val="0"/>
          <w:bCs/>
          <w:snapToGrid/>
          <w:spacing w:val="0"/>
          <w:kern w:val="0"/>
          <w:sz w:val="40"/>
        </w:rPr>
      </w:pPr>
    </w:p>
    <w:p w:rsidR="00FA3993" w:rsidRDefault="00FA399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FA3993">
        <w:rPr>
          <w:rFonts w:hAnsi="標楷體" w:hint="eastAsia"/>
          <w:bCs/>
        </w:rPr>
        <w:t>9</w:t>
      </w:r>
      <w:r>
        <w:rPr>
          <w:rFonts w:hAnsi="標楷體" w:hint="eastAsia"/>
          <w:bCs/>
        </w:rPr>
        <w:t xml:space="preserve">　年　</w:t>
      </w:r>
      <w:r w:rsidR="00DE104A">
        <w:rPr>
          <w:rFonts w:hAnsi="標楷體" w:hint="eastAsia"/>
          <w:bCs/>
        </w:rPr>
        <w:t>3</w:t>
      </w:r>
      <w:r>
        <w:rPr>
          <w:rFonts w:hAnsi="標楷體" w:hint="eastAsia"/>
          <w:bCs/>
        </w:rPr>
        <w:t xml:space="preserve">　月　</w:t>
      </w:r>
      <w:r w:rsidR="00DE104A">
        <w:rPr>
          <w:rFonts w:hAnsi="標楷體" w:hint="eastAsia"/>
          <w:bCs/>
        </w:rPr>
        <w:t>4</w:t>
      </w:r>
      <w:r>
        <w:rPr>
          <w:rFonts w:hAnsi="標楷體" w:hint="eastAsia"/>
          <w:bCs/>
        </w:rPr>
        <w:t xml:space="preserve">　日</w:t>
      </w:r>
    </w:p>
    <w:p w:rsidR="00416721" w:rsidRDefault="00416721" w:rsidP="00A07B4B">
      <w:pPr>
        <w:pStyle w:val="af0"/>
        <w:kinsoku/>
        <w:autoSpaceDE w:val="0"/>
        <w:spacing w:beforeLines="50" w:before="228"/>
        <w:ind w:left="1020" w:hanging="1020"/>
        <w:rPr>
          <w:bCs/>
        </w:rPr>
      </w:pPr>
    </w:p>
    <w:p w:rsidR="00416721" w:rsidRDefault="00416721">
      <w:pPr>
        <w:widowControl/>
        <w:overflowPunct/>
        <w:autoSpaceDE/>
        <w:autoSpaceDN/>
        <w:jc w:val="left"/>
        <w:rPr>
          <w:bCs/>
          <w:kern w:val="0"/>
        </w:rPr>
      </w:pPr>
      <w:bookmarkStart w:id="116" w:name="_GoBack"/>
      <w:bookmarkEnd w:id="116"/>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E60" w:rsidRDefault="00564E60">
      <w:r>
        <w:separator/>
      </w:r>
    </w:p>
  </w:endnote>
  <w:endnote w:type="continuationSeparator" w:id="0">
    <w:p w:rsidR="00564E60" w:rsidRDefault="0056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04" w:rsidRDefault="00EC0F0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7150A">
      <w:rPr>
        <w:rStyle w:val="ac"/>
        <w:noProof/>
        <w:sz w:val="24"/>
      </w:rPr>
      <w:t>10</w:t>
    </w:r>
    <w:r>
      <w:rPr>
        <w:rStyle w:val="ac"/>
        <w:sz w:val="24"/>
      </w:rPr>
      <w:fldChar w:fldCharType="end"/>
    </w:r>
  </w:p>
  <w:p w:rsidR="00EC0F04" w:rsidRDefault="00EC0F0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E60" w:rsidRDefault="00564E60">
      <w:r>
        <w:separator/>
      </w:r>
    </w:p>
  </w:footnote>
  <w:footnote w:type="continuationSeparator" w:id="0">
    <w:p w:rsidR="00564E60" w:rsidRDefault="00564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4BE6055C"/>
    <w:lvl w:ilvl="0" w:tplc="1C125340">
      <w:start w:val="1"/>
      <w:numFmt w:val="taiwaneseCountingThousand"/>
      <w:pStyle w:val="a"/>
      <w:lvlText w:val="附圖%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BE003B1"/>
    <w:multiLevelType w:val="hybridMultilevel"/>
    <w:tmpl w:val="74D0DADC"/>
    <w:lvl w:ilvl="0" w:tplc="AE2AFA90">
      <w:start w:val="1"/>
      <w:numFmt w:val="bullet"/>
      <w:lvlText w:val="•"/>
      <w:lvlJc w:val="left"/>
      <w:pPr>
        <w:ind w:left="480" w:hanging="480"/>
      </w:pPr>
      <w:rPr>
        <w:rFonts w:ascii="Arial" w:hAnsi="Arial"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03557BB"/>
    <w:multiLevelType w:val="hybridMultilevel"/>
    <w:tmpl w:val="D23A9244"/>
    <w:lvl w:ilvl="0" w:tplc="B44A1E4C">
      <w:start w:val="1"/>
      <w:numFmt w:val="bullet"/>
      <w:lvlText w:val="•"/>
      <w:lvlJc w:val="left"/>
      <w:pPr>
        <w:tabs>
          <w:tab w:val="num" w:pos="720"/>
        </w:tabs>
        <w:ind w:left="720" w:hanging="360"/>
      </w:pPr>
      <w:rPr>
        <w:rFonts w:ascii="Arial" w:hAnsi="Arial" w:hint="default"/>
      </w:rPr>
    </w:lvl>
    <w:lvl w:ilvl="1" w:tplc="B0229672" w:tentative="1">
      <w:start w:val="1"/>
      <w:numFmt w:val="bullet"/>
      <w:lvlText w:val="•"/>
      <w:lvlJc w:val="left"/>
      <w:pPr>
        <w:tabs>
          <w:tab w:val="num" w:pos="1440"/>
        </w:tabs>
        <w:ind w:left="1440" w:hanging="360"/>
      </w:pPr>
      <w:rPr>
        <w:rFonts w:ascii="Arial" w:hAnsi="Arial" w:hint="default"/>
      </w:rPr>
    </w:lvl>
    <w:lvl w:ilvl="2" w:tplc="2C6EFAF6" w:tentative="1">
      <w:start w:val="1"/>
      <w:numFmt w:val="bullet"/>
      <w:lvlText w:val="•"/>
      <w:lvlJc w:val="left"/>
      <w:pPr>
        <w:tabs>
          <w:tab w:val="num" w:pos="2160"/>
        </w:tabs>
        <w:ind w:left="2160" w:hanging="360"/>
      </w:pPr>
      <w:rPr>
        <w:rFonts w:ascii="Arial" w:hAnsi="Arial" w:hint="default"/>
      </w:rPr>
    </w:lvl>
    <w:lvl w:ilvl="3" w:tplc="4016037E" w:tentative="1">
      <w:start w:val="1"/>
      <w:numFmt w:val="bullet"/>
      <w:lvlText w:val="•"/>
      <w:lvlJc w:val="left"/>
      <w:pPr>
        <w:tabs>
          <w:tab w:val="num" w:pos="2880"/>
        </w:tabs>
        <w:ind w:left="2880" w:hanging="360"/>
      </w:pPr>
      <w:rPr>
        <w:rFonts w:ascii="Arial" w:hAnsi="Arial" w:hint="default"/>
      </w:rPr>
    </w:lvl>
    <w:lvl w:ilvl="4" w:tplc="3DFC6CC4" w:tentative="1">
      <w:start w:val="1"/>
      <w:numFmt w:val="bullet"/>
      <w:lvlText w:val="•"/>
      <w:lvlJc w:val="left"/>
      <w:pPr>
        <w:tabs>
          <w:tab w:val="num" w:pos="3600"/>
        </w:tabs>
        <w:ind w:left="3600" w:hanging="360"/>
      </w:pPr>
      <w:rPr>
        <w:rFonts w:ascii="Arial" w:hAnsi="Arial" w:hint="default"/>
      </w:rPr>
    </w:lvl>
    <w:lvl w:ilvl="5" w:tplc="F7528DBC" w:tentative="1">
      <w:start w:val="1"/>
      <w:numFmt w:val="bullet"/>
      <w:lvlText w:val="•"/>
      <w:lvlJc w:val="left"/>
      <w:pPr>
        <w:tabs>
          <w:tab w:val="num" w:pos="4320"/>
        </w:tabs>
        <w:ind w:left="4320" w:hanging="360"/>
      </w:pPr>
      <w:rPr>
        <w:rFonts w:ascii="Arial" w:hAnsi="Arial" w:hint="default"/>
      </w:rPr>
    </w:lvl>
    <w:lvl w:ilvl="6" w:tplc="EC68D19E" w:tentative="1">
      <w:start w:val="1"/>
      <w:numFmt w:val="bullet"/>
      <w:lvlText w:val="•"/>
      <w:lvlJc w:val="left"/>
      <w:pPr>
        <w:tabs>
          <w:tab w:val="num" w:pos="5040"/>
        </w:tabs>
        <w:ind w:left="5040" w:hanging="360"/>
      </w:pPr>
      <w:rPr>
        <w:rFonts w:ascii="Arial" w:hAnsi="Arial" w:hint="default"/>
      </w:rPr>
    </w:lvl>
    <w:lvl w:ilvl="7" w:tplc="12604E1A" w:tentative="1">
      <w:start w:val="1"/>
      <w:numFmt w:val="bullet"/>
      <w:lvlText w:val="•"/>
      <w:lvlJc w:val="left"/>
      <w:pPr>
        <w:tabs>
          <w:tab w:val="num" w:pos="5760"/>
        </w:tabs>
        <w:ind w:left="5760" w:hanging="360"/>
      </w:pPr>
      <w:rPr>
        <w:rFonts w:ascii="Arial" w:hAnsi="Arial" w:hint="default"/>
      </w:rPr>
    </w:lvl>
    <w:lvl w:ilvl="8" w:tplc="9BC0AE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7"/>
  </w:num>
  <w:num w:numId="36">
    <w:abstractNumId w:val="8"/>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B63"/>
    <w:rsid w:val="00006961"/>
    <w:rsid w:val="00010854"/>
    <w:rsid w:val="000112BF"/>
    <w:rsid w:val="00012233"/>
    <w:rsid w:val="00012F9C"/>
    <w:rsid w:val="00017318"/>
    <w:rsid w:val="000229AD"/>
    <w:rsid w:val="000246F7"/>
    <w:rsid w:val="0002570F"/>
    <w:rsid w:val="0003114D"/>
    <w:rsid w:val="00036D76"/>
    <w:rsid w:val="000372D2"/>
    <w:rsid w:val="00040EEE"/>
    <w:rsid w:val="00042ED4"/>
    <w:rsid w:val="00044FBB"/>
    <w:rsid w:val="0005096B"/>
    <w:rsid w:val="0005320E"/>
    <w:rsid w:val="00057F32"/>
    <w:rsid w:val="00062A25"/>
    <w:rsid w:val="0007088F"/>
    <w:rsid w:val="00072C7C"/>
    <w:rsid w:val="00073BB3"/>
    <w:rsid w:val="00073CB5"/>
    <w:rsid w:val="0007425C"/>
    <w:rsid w:val="00077553"/>
    <w:rsid w:val="00083D1B"/>
    <w:rsid w:val="00084049"/>
    <w:rsid w:val="000851A2"/>
    <w:rsid w:val="000912DE"/>
    <w:rsid w:val="0009352E"/>
    <w:rsid w:val="00096B96"/>
    <w:rsid w:val="00097BA2"/>
    <w:rsid w:val="000A2F3F"/>
    <w:rsid w:val="000B0B4A"/>
    <w:rsid w:val="000B279A"/>
    <w:rsid w:val="000B61D2"/>
    <w:rsid w:val="000B70A7"/>
    <w:rsid w:val="000B73DD"/>
    <w:rsid w:val="000C495F"/>
    <w:rsid w:val="000C616C"/>
    <w:rsid w:val="000D2325"/>
    <w:rsid w:val="000D66D9"/>
    <w:rsid w:val="000D6B71"/>
    <w:rsid w:val="000E6431"/>
    <w:rsid w:val="000E777B"/>
    <w:rsid w:val="000F21A5"/>
    <w:rsid w:val="000F7CFB"/>
    <w:rsid w:val="00102B9F"/>
    <w:rsid w:val="00103395"/>
    <w:rsid w:val="00112637"/>
    <w:rsid w:val="00112ABC"/>
    <w:rsid w:val="00114039"/>
    <w:rsid w:val="0012001E"/>
    <w:rsid w:val="00120A7B"/>
    <w:rsid w:val="001252A0"/>
    <w:rsid w:val="00126A55"/>
    <w:rsid w:val="00131FBF"/>
    <w:rsid w:val="00133F08"/>
    <w:rsid w:val="001345E6"/>
    <w:rsid w:val="001378B0"/>
    <w:rsid w:val="00142E00"/>
    <w:rsid w:val="001509E4"/>
    <w:rsid w:val="00152793"/>
    <w:rsid w:val="00153B7E"/>
    <w:rsid w:val="001545A9"/>
    <w:rsid w:val="00157F18"/>
    <w:rsid w:val="001637C7"/>
    <w:rsid w:val="0016480E"/>
    <w:rsid w:val="001653E2"/>
    <w:rsid w:val="00174297"/>
    <w:rsid w:val="00180E06"/>
    <w:rsid w:val="001817B3"/>
    <w:rsid w:val="00183014"/>
    <w:rsid w:val="0018364D"/>
    <w:rsid w:val="00186D3B"/>
    <w:rsid w:val="001940FE"/>
    <w:rsid w:val="001959C2"/>
    <w:rsid w:val="001A2E21"/>
    <w:rsid w:val="001A333E"/>
    <w:rsid w:val="001A51E3"/>
    <w:rsid w:val="001A7968"/>
    <w:rsid w:val="001B2E98"/>
    <w:rsid w:val="001B3483"/>
    <w:rsid w:val="001B3C1E"/>
    <w:rsid w:val="001B4494"/>
    <w:rsid w:val="001C0D8B"/>
    <w:rsid w:val="001C0DA8"/>
    <w:rsid w:val="001C323E"/>
    <w:rsid w:val="001C47AA"/>
    <w:rsid w:val="001D343A"/>
    <w:rsid w:val="001D37A6"/>
    <w:rsid w:val="001D4AD7"/>
    <w:rsid w:val="001D78BB"/>
    <w:rsid w:val="001E099E"/>
    <w:rsid w:val="001E0D8A"/>
    <w:rsid w:val="001E67BA"/>
    <w:rsid w:val="001E74C2"/>
    <w:rsid w:val="001F4EBD"/>
    <w:rsid w:val="001F4F82"/>
    <w:rsid w:val="001F5A48"/>
    <w:rsid w:val="001F6260"/>
    <w:rsid w:val="00200007"/>
    <w:rsid w:val="002030A5"/>
    <w:rsid w:val="00203131"/>
    <w:rsid w:val="00203D12"/>
    <w:rsid w:val="00211A74"/>
    <w:rsid w:val="00212E88"/>
    <w:rsid w:val="00213C9C"/>
    <w:rsid w:val="0022009E"/>
    <w:rsid w:val="00223241"/>
    <w:rsid w:val="0022366F"/>
    <w:rsid w:val="0022425C"/>
    <w:rsid w:val="002246DE"/>
    <w:rsid w:val="00227145"/>
    <w:rsid w:val="002302CC"/>
    <w:rsid w:val="002429E2"/>
    <w:rsid w:val="00246D7E"/>
    <w:rsid w:val="00251F5A"/>
    <w:rsid w:val="00252BC4"/>
    <w:rsid w:val="0025338D"/>
    <w:rsid w:val="00254014"/>
    <w:rsid w:val="00254B39"/>
    <w:rsid w:val="00255ADD"/>
    <w:rsid w:val="0026504D"/>
    <w:rsid w:val="00273A2F"/>
    <w:rsid w:val="00280900"/>
    <w:rsid w:val="00280986"/>
    <w:rsid w:val="00281ECE"/>
    <w:rsid w:val="00282667"/>
    <w:rsid w:val="002831C7"/>
    <w:rsid w:val="002840C6"/>
    <w:rsid w:val="00291CEC"/>
    <w:rsid w:val="00295174"/>
    <w:rsid w:val="00295F46"/>
    <w:rsid w:val="00296172"/>
    <w:rsid w:val="00296B92"/>
    <w:rsid w:val="002A2C22"/>
    <w:rsid w:val="002B02EB"/>
    <w:rsid w:val="002C0602"/>
    <w:rsid w:val="002D5C16"/>
    <w:rsid w:val="002E5780"/>
    <w:rsid w:val="002F2476"/>
    <w:rsid w:val="002F3DFF"/>
    <w:rsid w:val="002F5E05"/>
    <w:rsid w:val="002F78CF"/>
    <w:rsid w:val="00307A76"/>
    <w:rsid w:val="0031455E"/>
    <w:rsid w:val="00315A16"/>
    <w:rsid w:val="00316EBE"/>
    <w:rsid w:val="00316EC5"/>
    <w:rsid w:val="00317053"/>
    <w:rsid w:val="0032109C"/>
    <w:rsid w:val="00322B45"/>
    <w:rsid w:val="00323809"/>
    <w:rsid w:val="00323D41"/>
    <w:rsid w:val="00325414"/>
    <w:rsid w:val="003302F1"/>
    <w:rsid w:val="0034470E"/>
    <w:rsid w:val="00352DB0"/>
    <w:rsid w:val="0035508F"/>
    <w:rsid w:val="00361063"/>
    <w:rsid w:val="00365C79"/>
    <w:rsid w:val="00365ED9"/>
    <w:rsid w:val="003672B5"/>
    <w:rsid w:val="00367D2B"/>
    <w:rsid w:val="0037094A"/>
    <w:rsid w:val="00371ED3"/>
    <w:rsid w:val="00372659"/>
    <w:rsid w:val="00372FFC"/>
    <w:rsid w:val="0037728A"/>
    <w:rsid w:val="00380B7D"/>
    <w:rsid w:val="00381A99"/>
    <w:rsid w:val="003829C2"/>
    <w:rsid w:val="003830B2"/>
    <w:rsid w:val="0038383B"/>
    <w:rsid w:val="00384724"/>
    <w:rsid w:val="00390D0C"/>
    <w:rsid w:val="003919B7"/>
    <w:rsid w:val="00391D57"/>
    <w:rsid w:val="00392292"/>
    <w:rsid w:val="00394F45"/>
    <w:rsid w:val="003A5927"/>
    <w:rsid w:val="003B1017"/>
    <w:rsid w:val="003B1833"/>
    <w:rsid w:val="003B2F8A"/>
    <w:rsid w:val="003B3C07"/>
    <w:rsid w:val="003B6081"/>
    <w:rsid w:val="003B65D2"/>
    <w:rsid w:val="003B6775"/>
    <w:rsid w:val="003C3FCF"/>
    <w:rsid w:val="003C5959"/>
    <w:rsid w:val="003C5FE2"/>
    <w:rsid w:val="003D05FB"/>
    <w:rsid w:val="003D1B16"/>
    <w:rsid w:val="003D45BF"/>
    <w:rsid w:val="003D508A"/>
    <w:rsid w:val="003D537F"/>
    <w:rsid w:val="003D7B75"/>
    <w:rsid w:val="003E0208"/>
    <w:rsid w:val="003E4B57"/>
    <w:rsid w:val="003E5A4B"/>
    <w:rsid w:val="003F0A21"/>
    <w:rsid w:val="003F27E1"/>
    <w:rsid w:val="003F3D43"/>
    <w:rsid w:val="003F437A"/>
    <w:rsid w:val="003F5C2B"/>
    <w:rsid w:val="003F5D31"/>
    <w:rsid w:val="003F64FA"/>
    <w:rsid w:val="00402240"/>
    <w:rsid w:val="004023E9"/>
    <w:rsid w:val="00403E18"/>
    <w:rsid w:val="0040454A"/>
    <w:rsid w:val="00410FB5"/>
    <w:rsid w:val="00413F83"/>
    <w:rsid w:val="0041490C"/>
    <w:rsid w:val="00416191"/>
    <w:rsid w:val="00416721"/>
    <w:rsid w:val="004169AE"/>
    <w:rsid w:val="00421EF0"/>
    <w:rsid w:val="004224FA"/>
    <w:rsid w:val="00423D07"/>
    <w:rsid w:val="00427936"/>
    <w:rsid w:val="00441AAE"/>
    <w:rsid w:val="0044346F"/>
    <w:rsid w:val="0045108B"/>
    <w:rsid w:val="00453FF6"/>
    <w:rsid w:val="00454AF9"/>
    <w:rsid w:val="00456085"/>
    <w:rsid w:val="0046520A"/>
    <w:rsid w:val="004672AB"/>
    <w:rsid w:val="004714FE"/>
    <w:rsid w:val="00476002"/>
    <w:rsid w:val="0047636C"/>
    <w:rsid w:val="00477BAA"/>
    <w:rsid w:val="00495053"/>
    <w:rsid w:val="004952B9"/>
    <w:rsid w:val="004A1F59"/>
    <w:rsid w:val="004A29BE"/>
    <w:rsid w:val="004A3225"/>
    <w:rsid w:val="004A33EE"/>
    <w:rsid w:val="004A3AA8"/>
    <w:rsid w:val="004B13C7"/>
    <w:rsid w:val="004B38B2"/>
    <w:rsid w:val="004B778F"/>
    <w:rsid w:val="004C0609"/>
    <w:rsid w:val="004C639F"/>
    <w:rsid w:val="004D141F"/>
    <w:rsid w:val="004D2742"/>
    <w:rsid w:val="004D6310"/>
    <w:rsid w:val="004E0062"/>
    <w:rsid w:val="004E05A1"/>
    <w:rsid w:val="004F472A"/>
    <w:rsid w:val="004F5E57"/>
    <w:rsid w:val="004F6710"/>
    <w:rsid w:val="005003D2"/>
    <w:rsid w:val="00500C3E"/>
    <w:rsid w:val="00502849"/>
    <w:rsid w:val="00503E7B"/>
    <w:rsid w:val="00504334"/>
    <w:rsid w:val="0050498D"/>
    <w:rsid w:val="005104D7"/>
    <w:rsid w:val="00510B9E"/>
    <w:rsid w:val="00536BC2"/>
    <w:rsid w:val="0054014D"/>
    <w:rsid w:val="00542304"/>
    <w:rsid w:val="005425E1"/>
    <w:rsid w:val="005427C5"/>
    <w:rsid w:val="00542CF6"/>
    <w:rsid w:val="0054321F"/>
    <w:rsid w:val="00550862"/>
    <w:rsid w:val="00553541"/>
    <w:rsid w:val="00553C03"/>
    <w:rsid w:val="00553EB9"/>
    <w:rsid w:val="00560DDA"/>
    <w:rsid w:val="00561D2C"/>
    <w:rsid w:val="00563692"/>
    <w:rsid w:val="00564E60"/>
    <w:rsid w:val="00565652"/>
    <w:rsid w:val="00571679"/>
    <w:rsid w:val="00580309"/>
    <w:rsid w:val="00584235"/>
    <w:rsid w:val="005844E7"/>
    <w:rsid w:val="005857E8"/>
    <w:rsid w:val="0058712A"/>
    <w:rsid w:val="005908B8"/>
    <w:rsid w:val="0059512E"/>
    <w:rsid w:val="005A078E"/>
    <w:rsid w:val="005A6DD2"/>
    <w:rsid w:val="005A7D94"/>
    <w:rsid w:val="005B6375"/>
    <w:rsid w:val="005C385D"/>
    <w:rsid w:val="005C6D9D"/>
    <w:rsid w:val="005D3B20"/>
    <w:rsid w:val="005D71B7"/>
    <w:rsid w:val="005E4759"/>
    <w:rsid w:val="005E5C68"/>
    <w:rsid w:val="005E65C0"/>
    <w:rsid w:val="005F0390"/>
    <w:rsid w:val="005F3224"/>
    <w:rsid w:val="006000DF"/>
    <w:rsid w:val="00603ADC"/>
    <w:rsid w:val="00604C55"/>
    <w:rsid w:val="006072CD"/>
    <w:rsid w:val="00612023"/>
    <w:rsid w:val="006134B3"/>
    <w:rsid w:val="00614190"/>
    <w:rsid w:val="00622A99"/>
    <w:rsid w:val="00622E67"/>
    <w:rsid w:val="006268A1"/>
    <w:rsid w:val="00626B57"/>
    <w:rsid w:val="00626EDC"/>
    <w:rsid w:val="00640BFD"/>
    <w:rsid w:val="00641250"/>
    <w:rsid w:val="006452D3"/>
    <w:rsid w:val="006470EC"/>
    <w:rsid w:val="006542D6"/>
    <w:rsid w:val="0065598E"/>
    <w:rsid w:val="00655AF2"/>
    <w:rsid w:val="00655BC5"/>
    <w:rsid w:val="0065607E"/>
    <w:rsid w:val="006568BE"/>
    <w:rsid w:val="0066025D"/>
    <w:rsid w:val="0066091A"/>
    <w:rsid w:val="00662A6F"/>
    <w:rsid w:val="00666B0B"/>
    <w:rsid w:val="00667575"/>
    <w:rsid w:val="006773EC"/>
    <w:rsid w:val="00680504"/>
    <w:rsid w:val="00681CD9"/>
    <w:rsid w:val="00683E30"/>
    <w:rsid w:val="00687024"/>
    <w:rsid w:val="006874F8"/>
    <w:rsid w:val="00695E22"/>
    <w:rsid w:val="006A2C7A"/>
    <w:rsid w:val="006B127A"/>
    <w:rsid w:val="006B685B"/>
    <w:rsid w:val="006B7093"/>
    <w:rsid w:val="006B7417"/>
    <w:rsid w:val="006D31F9"/>
    <w:rsid w:val="006D3691"/>
    <w:rsid w:val="006E17BA"/>
    <w:rsid w:val="006E27B5"/>
    <w:rsid w:val="006E5EF0"/>
    <w:rsid w:val="006E7517"/>
    <w:rsid w:val="006F3563"/>
    <w:rsid w:val="006F38FF"/>
    <w:rsid w:val="006F42B9"/>
    <w:rsid w:val="006F4584"/>
    <w:rsid w:val="006F6103"/>
    <w:rsid w:val="006F6A08"/>
    <w:rsid w:val="00704E00"/>
    <w:rsid w:val="007209E7"/>
    <w:rsid w:val="00721994"/>
    <w:rsid w:val="00721E39"/>
    <w:rsid w:val="007223BD"/>
    <w:rsid w:val="00726182"/>
    <w:rsid w:val="00727635"/>
    <w:rsid w:val="007305C4"/>
    <w:rsid w:val="00732329"/>
    <w:rsid w:val="007337CA"/>
    <w:rsid w:val="00734CE4"/>
    <w:rsid w:val="00735123"/>
    <w:rsid w:val="00736AD6"/>
    <w:rsid w:val="00741837"/>
    <w:rsid w:val="007453E6"/>
    <w:rsid w:val="007473D0"/>
    <w:rsid w:val="00765A51"/>
    <w:rsid w:val="00770453"/>
    <w:rsid w:val="0077309D"/>
    <w:rsid w:val="007774EE"/>
    <w:rsid w:val="00781822"/>
    <w:rsid w:val="00783F21"/>
    <w:rsid w:val="00784662"/>
    <w:rsid w:val="00787159"/>
    <w:rsid w:val="0079043A"/>
    <w:rsid w:val="00791668"/>
    <w:rsid w:val="00791AA1"/>
    <w:rsid w:val="007973D4"/>
    <w:rsid w:val="007A3793"/>
    <w:rsid w:val="007C1BA2"/>
    <w:rsid w:val="007C2B48"/>
    <w:rsid w:val="007C3B2A"/>
    <w:rsid w:val="007D20E9"/>
    <w:rsid w:val="007D645E"/>
    <w:rsid w:val="007D7881"/>
    <w:rsid w:val="007D7E3A"/>
    <w:rsid w:val="007E0E10"/>
    <w:rsid w:val="007E4768"/>
    <w:rsid w:val="007E4EDF"/>
    <w:rsid w:val="007E777B"/>
    <w:rsid w:val="007F2070"/>
    <w:rsid w:val="007F63C1"/>
    <w:rsid w:val="008053F5"/>
    <w:rsid w:val="00807AF7"/>
    <w:rsid w:val="00810198"/>
    <w:rsid w:val="0081572D"/>
    <w:rsid w:val="00815DA8"/>
    <w:rsid w:val="00817579"/>
    <w:rsid w:val="0082194D"/>
    <w:rsid w:val="008221F9"/>
    <w:rsid w:val="00826EF5"/>
    <w:rsid w:val="00826F5A"/>
    <w:rsid w:val="00831693"/>
    <w:rsid w:val="00834286"/>
    <w:rsid w:val="00834B66"/>
    <w:rsid w:val="00840104"/>
    <w:rsid w:val="00840C1F"/>
    <w:rsid w:val="008411C9"/>
    <w:rsid w:val="00841FC5"/>
    <w:rsid w:val="00843A39"/>
    <w:rsid w:val="00843D0F"/>
    <w:rsid w:val="00845709"/>
    <w:rsid w:val="00850740"/>
    <w:rsid w:val="008576BD"/>
    <w:rsid w:val="00860022"/>
    <w:rsid w:val="00860463"/>
    <w:rsid w:val="008649DA"/>
    <w:rsid w:val="00866928"/>
    <w:rsid w:val="00867FB4"/>
    <w:rsid w:val="0087000F"/>
    <w:rsid w:val="0087136D"/>
    <w:rsid w:val="008733DA"/>
    <w:rsid w:val="0087369B"/>
    <w:rsid w:val="008850E4"/>
    <w:rsid w:val="00893357"/>
    <w:rsid w:val="008939AB"/>
    <w:rsid w:val="008968F7"/>
    <w:rsid w:val="008A12F5"/>
    <w:rsid w:val="008A1991"/>
    <w:rsid w:val="008A58F5"/>
    <w:rsid w:val="008A5C3C"/>
    <w:rsid w:val="008B07D6"/>
    <w:rsid w:val="008B1587"/>
    <w:rsid w:val="008B18FF"/>
    <w:rsid w:val="008B1B01"/>
    <w:rsid w:val="008B2A1B"/>
    <w:rsid w:val="008B3BCD"/>
    <w:rsid w:val="008B477C"/>
    <w:rsid w:val="008B6DF8"/>
    <w:rsid w:val="008C106C"/>
    <w:rsid w:val="008C10F1"/>
    <w:rsid w:val="008C1926"/>
    <w:rsid w:val="008C1E99"/>
    <w:rsid w:val="008C69F9"/>
    <w:rsid w:val="008C6CB7"/>
    <w:rsid w:val="008C732B"/>
    <w:rsid w:val="008D5D2F"/>
    <w:rsid w:val="008E0085"/>
    <w:rsid w:val="008E2AA6"/>
    <w:rsid w:val="008E311B"/>
    <w:rsid w:val="008E5112"/>
    <w:rsid w:val="008F2B3E"/>
    <w:rsid w:val="008F46E7"/>
    <w:rsid w:val="008F64CA"/>
    <w:rsid w:val="008F6F0B"/>
    <w:rsid w:val="008F7E4B"/>
    <w:rsid w:val="00907BA7"/>
    <w:rsid w:val="0091064E"/>
    <w:rsid w:val="00911FC5"/>
    <w:rsid w:val="00913276"/>
    <w:rsid w:val="00917ED1"/>
    <w:rsid w:val="009209BC"/>
    <w:rsid w:val="00924059"/>
    <w:rsid w:val="009274A9"/>
    <w:rsid w:val="00931A10"/>
    <w:rsid w:val="00942BE0"/>
    <w:rsid w:val="00944879"/>
    <w:rsid w:val="00947967"/>
    <w:rsid w:val="00954E53"/>
    <w:rsid w:val="00955201"/>
    <w:rsid w:val="0095772D"/>
    <w:rsid w:val="00965200"/>
    <w:rsid w:val="009668B3"/>
    <w:rsid w:val="00971471"/>
    <w:rsid w:val="00971EBD"/>
    <w:rsid w:val="009849C2"/>
    <w:rsid w:val="00984D24"/>
    <w:rsid w:val="009858EB"/>
    <w:rsid w:val="009A3F47"/>
    <w:rsid w:val="009A5170"/>
    <w:rsid w:val="009A608C"/>
    <w:rsid w:val="009A73D5"/>
    <w:rsid w:val="009B0046"/>
    <w:rsid w:val="009B6561"/>
    <w:rsid w:val="009C1440"/>
    <w:rsid w:val="009C1E2C"/>
    <w:rsid w:val="009C2107"/>
    <w:rsid w:val="009C2259"/>
    <w:rsid w:val="009C352B"/>
    <w:rsid w:val="009C5D9E"/>
    <w:rsid w:val="009D2C3E"/>
    <w:rsid w:val="009D4746"/>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573"/>
    <w:rsid w:val="00A377F0"/>
    <w:rsid w:val="00A37C4D"/>
    <w:rsid w:val="00A438D8"/>
    <w:rsid w:val="00A473F5"/>
    <w:rsid w:val="00A51F9D"/>
    <w:rsid w:val="00A5416A"/>
    <w:rsid w:val="00A557B0"/>
    <w:rsid w:val="00A639F4"/>
    <w:rsid w:val="00A64C38"/>
    <w:rsid w:val="00A65864"/>
    <w:rsid w:val="00A65FAE"/>
    <w:rsid w:val="00A675BC"/>
    <w:rsid w:val="00A81A32"/>
    <w:rsid w:val="00A835BD"/>
    <w:rsid w:val="00A856E6"/>
    <w:rsid w:val="00A91087"/>
    <w:rsid w:val="00A93EF4"/>
    <w:rsid w:val="00A9493A"/>
    <w:rsid w:val="00A97B15"/>
    <w:rsid w:val="00AA42D5"/>
    <w:rsid w:val="00AA5C37"/>
    <w:rsid w:val="00AA6C2C"/>
    <w:rsid w:val="00AB2FAB"/>
    <w:rsid w:val="00AB5C14"/>
    <w:rsid w:val="00AC1EE7"/>
    <w:rsid w:val="00AC333F"/>
    <w:rsid w:val="00AC4859"/>
    <w:rsid w:val="00AC585C"/>
    <w:rsid w:val="00AD1925"/>
    <w:rsid w:val="00AD28AC"/>
    <w:rsid w:val="00AE067D"/>
    <w:rsid w:val="00AE3D1A"/>
    <w:rsid w:val="00AE62D3"/>
    <w:rsid w:val="00AF1181"/>
    <w:rsid w:val="00AF2F79"/>
    <w:rsid w:val="00AF4653"/>
    <w:rsid w:val="00AF5C5E"/>
    <w:rsid w:val="00AF601D"/>
    <w:rsid w:val="00AF7DB7"/>
    <w:rsid w:val="00B04C9A"/>
    <w:rsid w:val="00B07692"/>
    <w:rsid w:val="00B10D02"/>
    <w:rsid w:val="00B13541"/>
    <w:rsid w:val="00B201E2"/>
    <w:rsid w:val="00B23FF2"/>
    <w:rsid w:val="00B443E4"/>
    <w:rsid w:val="00B44BB0"/>
    <w:rsid w:val="00B46363"/>
    <w:rsid w:val="00B5484D"/>
    <w:rsid w:val="00B55510"/>
    <w:rsid w:val="00B563EA"/>
    <w:rsid w:val="00B56CDF"/>
    <w:rsid w:val="00B60E51"/>
    <w:rsid w:val="00B63A54"/>
    <w:rsid w:val="00B77451"/>
    <w:rsid w:val="00B77D18"/>
    <w:rsid w:val="00B80837"/>
    <w:rsid w:val="00B8313A"/>
    <w:rsid w:val="00B87523"/>
    <w:rsid w:val="00B93503"/>
    <w:rsid w:val="00BA31E8"/>
    <w:rsid w:val="00BA55E0"/>
    <w:rsid w:val="00BA6BD4"/>
    <w:rsid w:val="00BA6C7A"/>
    <w:rsid w:val="00BB17D1"/>
    <w:rsid w:val="00BB3752"/>
    <w:rsid w:val="00BB6688"/>
    <w:rsid w:val="00BC21AD"/>
    <w:rsid w:val="00BC2329"/>
    <w:rsid w:val="00BC26D4"/>
    <w:rsid w:val="00BC3EA2"/>
    <w:rsid w:val="00BC6241"/>
    <w:rsid w:val="00BD160D"/>
    <w:rsid w:val="00BD21F8"/>
    <w:rsid w:val="00BD7E08"/>
    <w:rsid w:val="00BE0C80"/>
    <w:rsid w:val="00BF2A42"/>
    <w:rsid w:val="00BF469E"/>
    <w:rsid w:val="00C03D8C"/>
    <w:rsid w:val="00C055EC"/>
    <w:rsid w:val="00C10D77"/>
    <w:rsid w:val="00C10DC9"/>
    <w:rsid w:val="00C12FB3"/>
    <w:rsid w:val="00C17341"/>
    <w:rsid w:val="00C22500"/>
    <w:rsid w:val="00C24EEF"/>
    <w:rsid w:val="00C25CF6"/>
    <w:rsid w:val="00C26C36"/>
    <w:rsid w:val="00C32768"/>
    <w:rsid w:val="00C34A74"/>
    <w:rsid w:val="00C34BEC"/>
    <w:rsid w:val="00C431DF"/>
    <w:rsid w:val="00C456BD"/>
    <w:rsid w:val="00C460B3"/>
    <w:rsid w:val="00C530DC"/>
    <w:rsid w:val="00C5350D"/>
    <w:rsid w:val="00C60125"/>
    <w:rsid w:val="00C6123C"/>
    <w:rsid w:val="00C6311A"/>
    <w:rsid w:val="00C7084D"/>
    <w:rsid w:val="00C72A8B"/>
    <w:rsid w:val="00C7315E"/>
    <w:rsid w:val="00C75895"/>
    <w:rsid w:val="00C83C9F"/>
    <w:rsid w:val="00C84FD5"/>
    <w:rsid w:val="00C91AA4"/>
    <w:rsid w:val="00C94840"/>
    <w:rsid w:val="00CA12EE"/>
    <w:rsid w:val="00CA4EE3"/>
    <w:rsid w:val="00CB027F"/>
    <w:rsid w:val="00CB65A4"/>
    <w:rsid w:val="00CC0EBB"/>
    <w:rsid w:val="00CC6297"/>
    <w:rsid w:val="00CC7690"/>
    <w:rsid w:val="00CD1986"/>
    <w:rsid w:val="00CD3C29"/>
    <w:rsid w:val="00CD54BF"/>
    <w:rsid w:val="00CE079B"/>
    <w:rsid w:val="00CE0867"/>
    <w:rsid w:val="00CE4D5C"/>
    <w:rsid w:val="00CF05DA"/>
    <w:rsid w:val="00CF2731"/>
    <w:rsid w:val="00CF58EB"/>
    <w:rsid w:val="00CF6FEC"/>
    <w:rsid w:val="00D0106E"/>
    <w:rsid w:val="00D01D1C"/>
    <w:rsid w:val="00D06383"/>
    <w:rsid w:val="00D102F3"/>
    <w:rsid w:val="00D115CD"/>
    <w:rsid w:val="00D16461"/>
    <w:rsid w:val="00D179FC"/>
    <w:rsid w:val="00D204B0"/>
    <w:rsid w:val="00D20E85"/>
    <w:rsid w:val="00D210CE"/>
    <w:rsid w:val="00D21BAE"/>
    <w:rsid w:val="00D24615"/>
    <w:rsid w:val="00D333DD"/>
    <w:rsid w:val="00D37842"/>
    <w:rsid w:val="00D40995"/>
    <w:rsid w:val="00D42DC2"/>
    <w:rsid w:val="00D4302B"/>
    <w:rsid w:val="00D44F16"/>
    <w:rsid w:val="00D45258"/>
    <w:rsid w:val="00D5292A"/>
    <w:rsid w:val="00D537E1"/>
    <w:rsid w:val="00D54FB5"/>
    <w:rsid w:val="00D55BB2"/>
    <w:rsid w:val="00D57585"/>
    <w:rsid w:val="00D60336"/>
    <w:rsid w:val="00D6091A"/>
    <w:rsid w:val="00D6605A"/>
    <w:rsid w:val="00D6695F"/>
    <w:rsid w:val="00D75644"/>
    <w:rsid w:val="00D81656"/>
    <w:rsid w:val="00D83D87"/>
    <w:rsid w:val="00D84A6D"/>
    <w:rsid w:val="00D86A30"/>
    <w:rsid w:val="00D97CB4"/>
    <w:rsid w:val="00D97DD4"/>
    <w:rsid w:val="00DA5892"/>
    <w:rsid w:val="00DA5A8A"/>
    <w:rsid w:val="00DB1170"/>
    <w:rsid w:val="00DB26CD"/>
    <w:rsid w:val="00DB441C"/>
    <w:rsid w:val="00DB44AF"/>
    <w:rsid w:val="00DC1BD1"/>
    <w:rsid w:val="00DC1F58"/>
    <w:rsid w:val="00DC339B"/>
    <w:rsid w:val="00DC5D40"/>
    <w:rsid w:val="00DC69A7"/>
    <w:rsid w:val="00DD30E9"/>
    <w:rsid w:val="00DD4F47"/>
    <w:rsid w:val="00DD7FBB"/>
    <w:rsid w:val="00DE0B9F"/>
    <w:rsid w:val="00DE104A"/>
    <w:rsid w:val="00DE2511"/>
    <w:rsid w:val="00DE2A9E"/>
    <w:rsid w:val="00DE4238"/>
    <w:rsid w:val="00DE657F"/>
    <w:rsid w:val="00DF1218"/>
    <w:rsid w:val="00DF6462"/>
    <w:rsid w:val="00E0018B"/>
    <w:rsid w:val="00E02FA0"/>
    <w:rsid w:val="00E036DC"/>
    <w:rsid w:val="00E10454"/>
    <w:rsid w:val="00E112E5"/>
    <w:rsid w:val="00E11C8C"/>
    <w:rsid w:val="00E122D8"/>
    <w:rsid w:val="00E12CC8"/>
    <w:rsid w:val="00E138FC"/>
    <w:rsid w:val="00E15352"/>
    <w:rsid w:val="00E21CC7"/>
    <w:rsid w:val="00E22AE9"/>
    <w:rsid w:val="00E24D9E"/>
    <w:rsid w:val="00E25849"/>
    <w:rsid w:val="00E3197E"/>
    <w:rsid w:val="00E342F8"/>
    <w:rsid w:val="00E351ED"/>
    <w:rsid w:val="00E376FB"/>
    <w:rsid w:val="00E419C0"/>
    <w:rsid w:val="00E42B19"/>
    <w:rsid w:val="00E579AB"/>
    <w:rsid w:val="00E6034B"/>
    <w:rsid w:val="00E6549E"/>
    <w:rsid w:val="00E65EDE"/>
    <w:rsid w:val="00E70F81"/>
    <w:rsid w:val="00E7348C"/>
    <w:rsid w:val="00E77055"/>
    <w:rsid w:val="00E77460"/>
    <w:rsid w:val="00E81CDF"/>
    <w:rsid w:val="00E83ABC"/>
    <w:rsid w:val="00E844F2"/>
    <w:rsid w:val="00E84F71"/>
    <w:rsid w:val="00E85CD5"/>
    <w:rsid w:val="00E90AD0"/>
    <w:rsid w:val="00E92FCB"/>
    <w:rsid w:val="00EA0278"/>
    <w:rsid w:val="00EA147F"/>
    <w:rsid w:val="00EA1932"/>
    <w:rsid w:val="00EA4A27"/>
    <w:rsid w:val="00EA4FA6"/>
    <w:rsid w:val="00EB1A25"/>
    <w:rsid w:val="00EC0F04"/>
    <w:rsid w:val="00EC7363"/>
    <w:rsid w:val="00ED03AB"/>
    <w:rsid w:val="00ED1963"/>
    <w:rsid w:val="00ED1CD4"/>
    <w:rsid w:val="00ED1D2B"/>
    <w:rsid w:val="00ED64B5"/>
    <w:rsid w:val="00EE0C90"/>
    <w:rsid w:val="00EE6175"/>
    <w:rsid w:val="00EE7CCA"/>
    <w:rsid w:val="00EF07CB"/>
    <w:rsid w:val="00EF4C60"/>
    <w:rsid w:val="00EF5E4A"/>
    <w:rsid w:val="00F0050B"/>
    <w:rsid w:val="00F06E53"/>
    <w:rsid w:val="00F141C2"/>
    <w:rsid w:val="00F141FC"/>
    <w:rsid w:val="00F16A14"/>
    <w:rsid w:val="00F22251"/>
    <w:rsid w:val="00F267F1"/>
    <w:rsid w:val="00F32636"/>
    <w:rsid w:val="00F329E6"/>
    <w:rsid w:val="00F33A16"/>
    <w:rsid w:val="00F362D7"/>
    <w:rsid w:val="00F36A3C"/>
    <w:rsid w:val="00F37D7B"/>
    <w:rsid w:val="00F51D58"/>
    <w:rsid w:val="00F5314C"/>
    <w:rsid w:val="00F5688C"/>
    <w:rsid w:val="00F60048"/>
    <w:rsid w:val="00F635DD"/>
    <w:rsid w:val="00F63F18"/>
    <w:rsid w:val="00F6627B"/>
    <w:rsid w:val="00F669FA"/>
    <w:rsid w:val="00F7150A"/>
    <w:rsid w:val="00F7336E"/>
    <w:rsid w:val="00F734F2"/>
    <w:rsid w:val="00F75052"/>
    <w:rsid w:val="00F804D3"/>
    <w:rsid w:val="00F80DEA"/>
    <w:rsid w:val="00F816CB"/>
    <w:rsid w:val="00F81CD2"/>
    <w:rsid w:val="00F82641"/>
    <w:rsid w:val="00F832E7"/>
    <w:rsid w:val="00F83AB2"/>
    <w:rsid w:val="00F90F18"/>
    <w:rsid w:val="00F937E4"/>
    <w:rsid w:val="00F95EE7"/>
    <w:rsid w:val="00FA1506"/>
    <w:rsid w:val="00FA3993"/>
    <w:rsid w:val="00FA39E6"/>
    <w:rsid w:val="00FA59B6"/>
    <w:rsid w:val="00FA7BC9"/>
    <w:rsid w:val="00FB075A"/>
    <w:rsid w:val="00FB378E"/>
    <w:rsid w:val="00FB37F1"/>
    <w:rsid w:val="00FB47C0"/>
    <w:rsid w:val="00FB501B"/>
    <w:rsid w:val="00FB719A"/>
    <w:rsid w:val="00FB7770"/>
    <w:rsid w:val="00FC252F"/>
    <w:rsid w:val="00FC3A45"/>
    <w:rsid w:val="00FC7CC7"/>
    <w:rsid w:val="00FD3B91"/>
    <w:rsid w:val="00FD576B"/>
    <w:rsid w:val="00FD579E"/>
    <w:rsid w:val="00FD6845"/>
    <w:rsid w:val="00FE0305"/>
    <w:rsid w:val="00FE4516"/>
    <w:rsid w:val="00FE5260"/>
    <w:rsid w:val="00FE64C8"/>
    <w:rsid w:val="00FE66D1"/>
    <w:rsid w:val="00FF57AE"/>
    <w:rsid w:val="00FF7D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E4C03"/>
  <w15:docId w15:val="{C3A7EBFF-5215-4D19-A9DB-406B5BA3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03ADC"/>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59"/>
    <w:rsid w:val="0054321F"/>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A557B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437793">
      <w:bodyDiv w:val="1"/>
      <w:marLeft w:val="0"/>
      <w:marRight w:val="0"/>
      <w:marTop w:val="0"/>
      <w:marBottom w:val="0"/>
      <w:divBdr>
        <w:top w:val="none" w:sz="0" w:space="0" w:color="auto"/>
        <w:left w:val="none" w:sz="0" w:space="0" w:color="auto"/>
        <w:bottom w:val="none" w:sz="0" w:space="0" w:color="auto"/>
        <w:right w:val="none" w:sz="0" w:space="0" w:color="auto"/>
      </w:divBdr>
      <w:divsChild>
        <w:div w:id="29120917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67656-2E59-43F4-9613-5882F4E5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5112</Words>
  <Characters>5676</Characters>
  <Application>Microsoft Office Word</Application>
  <DocSecurity>0</DocSecurity>
  <Lines>298</Lines>
  <Paragraphs>156</Paragraphs>
  <ScaleCrop>false</ScaleCrop>
  <Company>cy</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2020-02-15T01:41:00Z</cp:lastPrinted>
  <dcterms:created xsi:type="dcterms:W3CDTF">2020-03-04T07:34:00Z</dcterms:created>
  <dcterms:modified xsi:type="dcterms:W3CDTF">2020-03-04T07:34:00Z</dcterms:modified>
</cp:coreProperties>
</file>