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E0723" w:rsidRDefault="000D6907" w:rsidP="00F37D7B">
      <w:pPr>
        <w:pStyle w:val="af3"/>
        <w:rPr>
          <w:rFonts w:ascii="Times New Roman"/>
          <w:color w:val="000000" w:themeColor="text1"/>
        </w:rPr>
      </w:pPr>
      <w:r>
        <w:rPr>
          <w:rFonts w:ascii="Times New Roman" w:hint="eastAsia"/>
          <w:color w:val="000000" w:themeColor="text1"/>
        </w:rPr>
        <w:t>調查</w:t>
      </w:r>
      <w:r w:rsidR="00D75644" w:rsidRPr="000E0723">
        <w:rPr>
          <w:rFonts w:ascii="Times New Roman"/>
          <w:color w:val="000000" w:themeColor="text1"/>
        </w:rPr>
        <w:t>報告</w:t>
      </w:r>
    </w:p>
    <w:p w:rsidR="00E25849" w:rsidRPr="000E0723"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E0723">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3F7B26">
        <w:rPr>
          <w:rFonts w:hAnsi="標楷體"/>
          <w:color w:val="000000" w:themeColor="text1"/>
          <w:szCs w:val="32"/>
        </w:rPr>
        <w:fldChar w:fldCharType="begin"/>
      </w:r>
      <w:r w:rsidRPr="003F7B26">
        <w:rPr>
          <w:rFonts w:hAnsi="標楷體"/>
          <w:color w:val="000000" w:themeColor="text1"/>
          <w:szCs w:val="32"/>
        </w:rPr>
        <w:instrText xml:space="preserve"> MERGEFIELD 案由 </w:instrText>
      </w:r>
      <w:r w:rsidR="001C0DA8" w:rsidRPr="003F7B26">
        <w:rPr>
          <w:rFonts w:hAnsi="標楷體"/>
          <w:color w:val="000000" w:themeColor="text1"/>
          <w:szCs w:val="32"/>
        </w:rPr>
        <w:fldChar w:fldCharType="separate"/>
      </w:r>
      <w:bookmarkEnd w:id="11"/>
      <w:r w:rsidR="003F7B26" w:rsidRPr="003F7B26">
        <w:rPr>
          <w:rFonts w:hAnsi="標楷體"/>
          <w:szCs w:val="32"/>
        </w:rPr>
        <w:t>據訴，被告於95年間涉強盜等案，臺南市政府警察局第二分局偵辦時，僅以單一相片提供證人指認，又指認前未由指認人先陳述犯嫌特徵，且指認過程僅使被告一人穿戴囚服戒具等疑似暗示誘導情事。本案雖經檢察官起訴、最高法院判決定讞</w:t>
      </w:r>
      <w:r w:rsidR="008F192E">
        <w:rPr>
          <w:rFonts w:hAnsi="標楷體" w:hint="eastAsia"/>
          <w:szCs w:val="32"/>
        </w:rPr>
        <w:t>(</w:t>
      </w:r>
      <w:r w:rsidR="003F7B26" w:rsidRPr="003F7B26">
        <w:rPr>
          <w:rFonts w:hAnsi="標楷體"/>
          <w:szCs w:val="32"/>
        </w:rPr>
        <w:t>96年度台上字第3757號、98年度台上字第104號</w:t>
      </w:r>
      <w:r w:rsidR="008F192E">
        <w:rPr>
          <w:rFonts w:hAnsi="標楷體" w:hint="eastAsia"/>
          <w:szCs w:val="32"/>
        </w:rPr>
        <w:t>)</w:t>
      </w:r>
      <w:r w:rsidR="003F7B26" w:rsidRPr="003F7B26">
        <w:rPr>
          <w:rFonts w:hAnsi="標楷體"/>
          <w:szCs w:val="32"/>
        </w:rPr>
        <w:t>，惟指認程序疑有重大明顯瑕疵。究本案實情為何？有無人員涉違法失職，致人民權利遭受侵害？有調查釐清之必要案</w:t>
      </w:r>
      <w:r w:rsidR="00D40637" w:rsidRPr="003F7B26">
        <w:rPr>
          <w:rFonts w:hAnsi="標楷體" w:hint="eastAsia"/>
          <w:color w:val="000000" w:themeColor="text1"/>
          <w:szCs w:val="32"/>
        </w:rPr>
        <w:t>。</w:t>
      </w:r>
      <w:bookmarkEnd w:id="10"/>
      <w:r w:rsidR="001C0DA8" w:rsidRPr="003F7B26">
        <w:rPr>
          <w:rFonts w:hAnsi="標楷體"/>
          <w:color w:val="000000" w:themeColor="text1"/>
          <w:szCs w:val="32"/>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1041" w:rsidRDefault="009E343D" w:rsidP="005D407D">
      <w:pPr>
        <w:pStyle w:val="1"/>
      </w:pPr>
      <w:bookmarkStart w:id="25" w:name="_Toc525070834"/>
      <w:bookmarkStart w:id="26" w:name="_Toc525938374"/>
      <w:bookmarkStart w:id="27" w:name="_Toc525939222"/>
      <w:bookmarkStart w:id="28" w:name="_Toc525939727"/>
      <w:bookmarkStart w:id="29" w:name="_Toc525066144"/>
      <w:bookmarkStart w:id="30" w:name="_Toc524892372"/>
      <w:r>
        <w:rPr>
          <w:rFonts w:hint="eastAsia"/>
        </w:rPr>
        <w:t>調查意見：</w:t>
      </w:r>
    </w:p>
    <w:p w:rsidR="00352159" w:rsidRDefault="00352159" w:rsidP="00DC1041">
      <w:pPr>
        <w:pStyle w:val="10"/>
        <w:ind w:left="680" w:firstLine="680"/>
        <w:rPr>
          <w:rFonts w:ascii="新細明體" w:eastAsia="新細明體" w:hAnsi="新細明體"/>
          <w:noProof/>
          <w:color w:val="000000" w:themeColor="text1"/>
        </w:rPr>
      </w:pPr>
      <w:r w:rsidRPr="003F7B26">
        <w:rPr>
          <w:rFonts w:hAnsi="標楷體"/>
          <w:szCs w:val="32"/>
        </w:rPr>
        <w:t>據訴，被告</w:t>
      </w:r>
      <w:r>
        <w:rPr>
          <w:rFonts w:hAnsi="標楷體" w:hint="eastAsia"/>
          <w:szCs w:val="32"/>
        </w:rPr>
        <w:t>(即陳訴人)</w:t>
      </w:r>
      <w:r w:rsidRPr="003F7B26">
        <w:rPr>
          <w:rFonts w:hAnsi="標楷體"/>
          <w:szCs w:val="32"/>
        </w:rPr>
        <w:t>於</w:t>
      </w:r>
      <w:r>
        <w:rPr>
          <w:rFonts w:hAnsi="標楷體" w:hint="eastAsia"/>
          <w:szCs w:val="32"/>
        </w:rPr>
        <w:t>民國(下同)</w:t>
      </w:r>
      <w:r w:rsidRPr="003F7B26">
        <w:rPr>
          <w:rFonts w:hAnsi="標楷體"/>
          <w:szCs w:val="32"/>
        </w:rPr>
        <w:t>95年間涉強盜等案，臺南市政府警察局</w:t>
      </w:r>
      <w:r>
        <w:rPr>
          <w:rFonts w:hAnsi="標楷體" w:hint="eastAsia"/>
          <w:szCs w:val="32"/>
        </w:rPr>
        <w:t>(下稱臺南市警局)</w:t>
      </w:r>
      <w:r w:rsidRPr="003F7B26">
        <w:rPr>
          <w:rFonts w:hAnsi="標楷體"/>
          <w:szCs w:val="32"/>
        </w:rPr>
        <w:t>第二分局</w:t>
      </w:r>
      <w:r>
        <w:rPr>
          <w:rFonts w:hAnsi="標楷體" w:hint="eastAsia"/>
          <w:szCs w:val="32"/>
        </w:rPr>
        <w:t>(下稱第二分局)</w:t>
      </w:r>
      <w:r w:rsidRPr="003F7B26">
        <w:rPr>
          <w:rFonts w:hAnsi="標楷體"/>
          <w:szCs w:val="32"/>
        </w:rPr>
        <w:t>偵辦時，僅以單一相片提供證人指認，又指認前未由指認人先陳述犯嫌特徵，且指認過程僅使被告一人穿戴囚服戒具等疑似暗示誘導情事。本案雖經檢察官起訴、最高法院判決定讞</w:t>
      </w:r>
      <w:r>
        <w:rPr>
          <w:rFonts w:hAnsi="標楷體" w:hint="eastAsia"/>
          <w:szCs w:val="32"/>
        </w:rPr>
        <w:t>(</w:t>
      </w:r>
      <w:r w:rsidRPr="003F7B26">
        <w:rPr>
          <w:rFonts w:hAnsi="標楷體"/>
          <w:szCs w:val="32"/>
        </w:rPr>
        <w:t>96年度台上字第3757號、98年度台上字第104號</w:t>
      </w:r>
      <w:r>
        <w:rPr>
          <w:rFonts w:hAnsi="標楷體" w:hint="eastAsia"/>
          <w:szCs w:val="32"/>
        </w:rPr>
        <w:t>)</w:t>
      </w:r>
      <w:r w:rsidRPr="003F7B26">
        <w:rPr>
          <w:rFonts w:hAnsi="標楷體"/>
          <w:szCs w:val="32"/>
        </w:rPr>
        <w:t>，惟指認程序疑有重大明顯瑕疵。究本案實情為何</w:t>
      </w:r>
      <w:r>
        <w:rPr>
          <w:rFonts w:hAnsi="標楷體" w:hint="eastAsia"/>
          <w:szCs w:val="32"/>
        </w:rPr>
        <w:t>及</w:t>
      </w:r>
      <w:r w:rsidRPr="003F7B26">
        <w:rPr>
          <w:rFonts w:hAnsi="標楷體"/>
          <w:szCs w:val="32"/>
        </w:rPr>
        <w:t>有無人員涉違法失職致人民權利遭受侵害有調查釐清之必要</w:t>
      </w:r>
      <w:r w:rsidRPr="0095206B">
        <w:rPr>
          <w:rFonts w:ascii="Times New Roman" w:hint="eastAsia"/>
          <w:noProof/>
          <w:color w:val="000000" w:themeColor="text1"/>
        </w:rPr>
        <w:t>，爰立案調查</w:t>
      </w:r>
      <w:r w:rsidRPr="0095206B">
        <w:rPr>
          <w:rFonts w:ascii="新細明體" w:eastAsia="新細明體" w:hAnsi="新細明體" w:hint="eastAsia"/>
          <w:noProof/>
          <w:color w:val="000000" w:themeColor="text1"/>
        </w:rPr>
        <w:t>。</w:t>
      </w:r>
    </w:p>
    <w:p w:rsidR="004755F2" w:rsidRDefault="004755F2" w:rsidP="00DC1041">
      <w:pPr>
        <w:pStyle w:val="10"/>
        <w:ind w:left="680" w:firstLine="680"/>
        <w:rPr>
          <w:rFonts w:hAnsi="標楷體"/>
          <w:szCs w:val="32"/>
        </w:rPr>
      </w:pPr>
      <w:r w:rsidRPr="004755F2">
        <w:rPr>
          <w:rFonts w:hAnsi="標楷體" w:hint="eastAsia"/>
          <w:szCs w:val="32"/>
        </w:rPr>
        <w:t>為利於瞭解陳訴人所涉案件及該案件偵審結果，爰以大事記呈現如下：</w:t>
      </w:r>
    </w:p>
    <w:tbl>
      <w:tblPr>
        <w:tblStyle w:val="af7"/>
        <w:tblW w:w="8526" w:type="dxa"/>
        <w:tblInd w:w="534" w:type="dxa"/>
        <w:tblLayout w:type="fixed"/>
        <w:tblLook w:val="04A0" w:firstRow="1" w:lastRow="0" w:firstColumn="1" w:lastColumn="0" w:noHBand="0" w:noVBand="1"/>
      </w:tblPr>
      <w:tblGrid>
        <w:gridCol w:w="1701"/>
        <w:gridCol w:w="6825"/>
      </w:tblGrid>
      <w:tr w:rsidR="00980899" w:rsidRPr="001058A3" w:rsidTr="00980899">
        <w:trPr>
          <w:tblHeader/>
        </w:trPr>
        <w:tc>
          <w:tcPr>
            <w:tcW w:w="1701" w:type="dxa"/>
            <w:shd w:val="clear" w:color="auto" w:fill="D9D9D9" w:themeFill="background1" w:themeFillShade="D9"/>
          </w:tcPr>
          <w:p w:rsidR="00980899" w:rsidRPr="00980899" w:rsidRDefault="00980899" w:rsidP="00980899">
            <w:pPr>
              <w:pStyle w:val="2"/>
              <w:numPr>
                <w:ilvl w:val="0"/>
                <w:numId w:val="0"/>
              </w:numPr>
              <w:jc w:val="distribute"/>
              <w:rPr>
                <w:sz w:val="30"/>
                <w:szCs w:val="30"/>
              </w:rPr>
            </w:pPr>
            <w:r w:rsidRPr="00980899">
              <w:rPr>
                <w:rFonts w:hint="eastAsia"/>
                <w:sz w:val="30"/>
                <w:szCs w:val="30"/>
              </w:rPr>
              <w:t>日期</w:t>
            </w:r>
          </w:p>
        </w:tc>
        <w:tc>
          <w:tcPr>
            <w:tcW w:w="6825" w:type="dxa"/>
            <w:shd w:val="clear" w:color="auto" w:fill="D9D9D9" w:themeFill="background1" w:themeFillShade="D9"/>
          </w:tcPr>
          <w:p w:rsidR="00980899" w:rsidRPr="00980899" w:rsidRDefault="00980899" w:rsidP="00980899">
            <w:pPr>
              <w:pStyle w:val="2"/>
              <w:numPr>
                <w:ilvl w:val="0"/>
                <w:numId w:val="0"/>
              </w:numPr>
              <w:jc w:val="distribute"/>
              <w:rPr>
                <w:sz w:val="30"/>
                <w:szCs w:val="30"/>
              </w:rPr>
            </w:pPr>
            <w:r w:rsidRPr="00980899">
              <w:rPr>
                <w:rFonts w:hint="eastAsia"/>
                <w:sz w:val="30"/>
                <w:szCs w:val="30"/>
              </w:rPr>
              <w:t>事件</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w:t>
            </w:r>
            <w:r w:rsidRPr="00980899">
              <w:rPr>
                <w:sz w:val="30"/>
                <w:szCs w:val="30"/>
              </w:rPr>
              <w:t>5</w:t>
            </w:r>
            <w:r w:rsidRPr="00980899">
              <w:rPr>
                <w:rFonts w:hint="eastAsia"/>
                <w:sz w:val="30"/>
                <w:szCs w:val="30"/>
              </w:rPr>
              <w:t>/</w:t>
            </w:r>
            <w:r w:rsidRPr="00980899">
              <w:rPr>
                <w:sz w:val="30"/>
                <w:szCs w:val="30"/>
              </w:rPr>
              <w:t>01</w:t>
            </w:r>
            <w:r w:rsidRPr="00980899">
              <w:rPr>
                <w:rFonts w:hint="eastAsia"/>
                <w:sz w:val="30"/>
                <w:szCs w:val="30"/>
              </w:rPr>
              <w:t>/</w:t>
            </w:r>
            <w:r w:rsidRPr="00980899">
              <w:rPr>
                <w:sz w:val="30"/>
                <w:szCs w:val="30"/>
              </w:rPr>
              <w:t>03</w:t>
            </w:r>
          </w:p>
        </w:tc>
        <w:tc>
          <w:tcPr>
            <w:tcW w:w="6825" w:type="dxa"/>
          </w:tcPr>
          <w:p w:rsidR="00980899" w:rsidRPr="00980899" w:rsidRDefault="00980899" w:rsidP="00980899">
            <w:pPr>
              <w:pStyle w:val="2"/>
              <w:numPr>
                <w:ilvl w:val="0"/>
                <w:numId w:val="0"/>
              </w:numPr>
              <w:rPr>
                <w:color w:val="000000" w:themeColor="text1"/>
                <w:sz w:val="30"/>
                <w:szCs w:val="30"/>
              </w:rPr>
            </w:pPr>
            <w:r w:rsidRPr="00980899">
              <w:rPr>
                <w:rFonts w:hint="eastAsia"/>
                <w:sz w:val="30"/>
                <w:szCs w:val="30"/>
              </w:rPr>
              <w:t>陳訴人於當日14時10分許涉嫌於臺南市北區成功路504巷侵入郭姓被害人住宅竊取其皮包後逃逸，於當日15時30分許在中西區友愛街349號(太子大飯店</w:t>
            </w:r>
            <w:r w:rsidRPr="00980899">
              <w:rPr>
                <w:sz w:val="30"/>
                <w:szCs w:val="30"/>
              </w:rPr>
              <w:t>坐落位置)</w:t>
            </w:r>
            <w:r w:rsidRPr="00980899">
              <w:rPr>
                <w:rFonts w:hint="eastAsia"/>
                <w:sz w:val="30"/>
                <w:szCs w:val="30"/>
              </w:rPr>
              <w:t>前為第二分局員警攔檢盤查，發現其持有被害人失竊之行動電話。經詢據</w:t>
            </w:r>
            <w:r w:rsidRPr="00980899">
              <w:rPr>
                <w:rFonts w:hint="eastAsia"/>
                <w:sz w:val="30"/>
                <w:szCs w:val="30"/>
              </w:rPr>
              <w:lastRenderedPageBreak/>
              <w:t>陳訴人坦承犯行不諱，供稱係一時貪念而竊取皮包，並將皮包內手機、現金新臺幣(下同)900元據為己用，涉犯竊盜罪嫌。</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lastRenderedPageBreak/>
              <w:t xml:space="preserve"> 95/01/27</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被害人王姓女大學生(下稱王女)於當日0時30分許在臺南市中西區郡緯街被不明男子搶走現金900元，於當日12時5分至第二分局長樂派出所報案</w:t>
            </w:r>
            <w:r w:rsidRPr="00980899">
              <w:rPr>
                <w:rFonts w:ascii="新細明體" w:eastAsia="新細明體" w:hAnsi="新細明體" w:hint="eastAsia"/>
                <w:color w:val="000000" w:themeColor="text1"/>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95/01/29</w:t>
            </w:r>
          </w:p>
        </w:tc>
        <w:tc>
          <w:tcPr>
            <w:tcW w:w="6825" w:type="dxa"/>
          </w:tcPr>
          <w:p w:rsidR="00980899" w:rsidRPr="00980899" w:rsidRDefault="00980899" w:rsidP="00980899">
            <w:pPr>
              <w:pStyle w:val="2"/>
              <w:numPr>
                <w:ilvl w:val="0"/>
                <w:numId w:val="0"/>
              </w:numPr>
              <w:rPr>
                <w:color w:val="000000" w:themeColor="text1"/>
                <w:sz w:val="30"/>
                <w:szCs w:val="30"/>
              </w:rPr>
            </w:pPr>
            <w:r w:rsidRPr="00980899">
              <w:rPr>
                <w:rFonts w:hint="eastAsia"/>
                <w:sz w:val="30"/>
                <w:szCs w:val="30"/>
              </w:rPr>
              <w:t>被害人徐姓女子(下稱徐女)於當日17時許在臺南市中西區成功路401號(臺南蔡虱目魚店)用餐</w:t>
            </w:r>
            <w:r w:rsidRPr="00980899">
              <w:rPr>
                <w:rFonts w:hAnsi="標楷體" w:hint="eastAsia"/>
                <w:sz w:val="30"/>
                <w:szCs w:val="30"/>
              </w:rPr>
              <w:t>，</w:t>
            </w:r>
            <w:r w:rsidRPr="00980899">
              <w:rPr>
                <w:rFonts w:hint="eastAsia"/>
                <w:sz w:val="30"/>
                <w:szCs w:val="30"/>
              </w:rPr>
              <w:t>於入店內拿調味料時將皮包交付其未成年女兒保管，聽其女兒說有一名年約30歲的男子已經躲在附近看我們很久</w:t>
            </w:r>
            <w:r w:rsidRPr="00980899">
              <w:rPr>
                <w:rFonts w:hAnsi="標楷體" w:hint="eastAsia"/>
                <w:sz w:val="30"/>
                <w:szCs w:val="30"/>
              </w:rPr>
              <w:t>，</w:t>
            </w:r>
            <w:r w:rsidRPr="00980899">
              <w:rPr>
                <w:rFonts w:hint="eastAsia"/>
                <w:sz w:val="30"/>
                <w:szCs w:val="30"/>
              </w:rPr>
              <w:t>趁大人不在搶走放在其女兒座位後方的皮包騎機車逃逸，於當日18時10分至第二分局長樂派出所報案</w:t>
            </w:r>
            <w:r w:rsidRPr="00980899">
              <w:rPr>
                <w:rFonts w:ascii="新細明體" w:eastAsia="新細明體" w:hAnsi="新細明體" w:hint="eastAsia"/>
                <w:color w:val="000000" w:themeColor="text1"/>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95/02/07</w:t>
            </w:r>
          </w:p>
          <w:p w:rsidR="00980899" w:rsidRPr="00980899" w:rsidRDefault="00980899" w:rsidP="00980899">
            <w:pPr>
              <w:pStyle w:val="2"/>
              <w:numPr>
                <w:ilvl w:val="0"/>
                <w:numId w:val="0"/>
              </w:numPr>
              <w:rPr>
                <w:sz w:val="30"/>
                <w:szCs w:val="30"/>
              </w:rPr>
            </w:pPr>
            <w:r w:rsidRPr="00980899">
              <w:rPr>
                <w:rFonts w:hint="eastAsia"/>
                <w:sz w:val="30"/>
                <w:szCs w:val="30"/>
              </w:rPr>
              <w:t xml:space="preserve"> </w:t>
            </w:r>
          </w:p>
        </w:tc>
        <w:tc>
          <w:tcPr>
            <w:tcW w:w="6825" w:type="dxa"/>
          </w:tcPr>
          <w:p w:rsidR="00980899" w:rsidRPr="00980899" w:rsidRDefault="00980899" w:rsidP="00980899">
            <w:pPr>
              <w:pStyle w:val="2"/>
              <w:numPr>
                <w:ilvl w:val="0"/>
                <w:numId w:val="0"/>
              </w:numPr>
              <w:rPr>
                <w:color w:val="000000" w:themeColor="text1"/>
                <w:sz w:val="30"/>
                <w:szCs w:val="30"/>
              </w:rPr>
            </w:pPr>
            <w:r w:rsidRPr="00980899">
              <w:rPr>
                <w:rFonts w:hint="eastAsia"/>
                <w:sz w:val="30"/>
                <w:szCs w:val="30"/>
              </w:rPr>
              <w:t>陳訴人於當日18時30分許</w:t>
            </w:r>
            <w:r w:rsidRPr="00980899">
              <w:rPr>
                <w:rFonts w:hAnsi="標楷體" w:hint="eastAsia"/>
                <w:sz w:val="30"/>
                <w:szCs w:val="30"/>
              </w:rPr>
              <w:t>，</w:t>
            </w:r>
            <w:r w:rsidRPr="00980899">
              <w:rPr>
                <w:rFonts w:hint="eastAsia"/>
                <w:sz w:val="30"/>
                <w:szCs w:val="30"/>
              </w:rPr>
              <w:t>涉嫌於臺南市南區灣裡路282巷侵入林姓被害人住宅後在客廳翻找財物</w:t>
            </w:r>
            <w:r w:rsidRPr="00980899">
              <w:rPr>
                <w:rFonts w:hAnsi="標楷體" w:hint="eastAsia"/>
                <w:sz w:val="30"/>
                <w:szCs w:val="30"/>
              </w:rPr>
              <w:t>，</w:t>
            </w:r>
            <w:r w:rsidRPr="00980899">
              <w:rPr>
                <w:rFonts w:hint="eastAsia"/>
                <w:sz w:val="30"/>
                <w:szCs w:val="30"/>
              </w:rPr>
              <w:t>為鄰居發現報警</w:t>
            </w:r>
            <w:r w:rsidRPr="00980899">
              <w:rPr>
                <w:rFonts w:hAnsi="標楷體" w:hint="eastAsia"/>
                <w:sz w:val="30"/>
                <w:szCs w:val="30"/>
              </w:rPr>
              <w:t>，經臺南市警局</w:t>
            </w:r>
            <w:r w:rsidRPr="00980899">
              <w:rPr>
                <w:rFonts w:hint="eastAsia"/>
                <w:sz w:val="30"/>
                <w:szCs w:val="30"/>
              </w:rPr>
              <w:t>第六分局(下稱第六分局)灣裡派出所員警抵達後當場查獲逮捕。經詢據陳訴人否認上開犯行，辯稱係為找朋友卻找錯地方，惟證人指證歷歷，陳訴人因涉犯竊盜未遂罪嫌移由第六分局偵查隊續辦。</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95/02/08</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第六分局偵查隊將陳訴人所涉竊盜未遂案移送臺灣臺南地方檢察署(下稱臺南地檢署)偵辦。</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95/02/08</w:t>
            </w:r>
          </w:p>
          <w:p w:rsidR="00980899" w:rsidRPr="00980899" w:rsidRDefault="00980899" w:rsidP="00980899">
            <w:pPr>
              <w:pStyle w:val="2"/>
              <w:numPr>
                <w:ilvl w:val="0"/>
                <w:numId w:val="0"/>
              </w:numPr>
              <w:rPr>
                <w:sz w:val="30"/>
                <w:szCs w:val="30"/>
              </w:rPr>
            </w:pPr>
            <w:r w:rsidRPr="00980899">
              <w:rPr>
                <w:rFonts w:hint="eastAsia"/>
                <w:sz w:val="30"/>
                <w:szCs w:val="30"/>
              </w:rPr>
              <w:t xml:space="preserve"> 15:57</w:t>
            </w:r>
          </w:p>
        </w:tc>
        <w:tc>
          <w:tcPr>
            <w:tcW w:w="6825" w:type="dxa"/>
          </w:tcPr>
          <w:p w:rsidR="00980899" w:rsidRPr="00980899" w:rsidRDefault="00980899" w:rsidP="00980899">
            <w:pPr>
              <w:pStyle w:val="2"/>
              <w:numPr>
                <w:ilvl w:val="0"/>
                <w:numId w:val="0"/>
              </w:numPr>
              <w:rPr>
                <w:color w:val="000000" w:themeColor="text1"/>
                <w:sz w:val="30"/>
                <w:szCs w:val="30"/>
              </w:rPr>
            </w:pPr>
            <w:r w:rsidRPr="00980899">
              <w:rPr>
                <w:rFonts w:hint="eastAsia"/>
                <w:sz w:val="30"/>
                <w:szCs w:val="30"/>
              </w:rPr>
              <w:t>第二分局偵查隊通知王女前來指認當天搶奪其財物之嫌犯</w:t>
            </w:r>
            <w:r w:rsidRPr="00980899">
              <w:rPr>
                <w:rFonts w:hAnsi="標楷體" w:hint="eastAsia"/>
                <w:sz w:val="30"/>
                <w:szCs w:val="30"/>
              </w:rPr>
              <w:t>，警方提供陳訴人個人之前科照片供王女指認，其表示是此人無誤</w:t>
            </w:r>
            <w:r w:rsidRPr="00980899">
              <w:rPr>
                <w:rFonts w:ascii="新細明體" w:eastAsia="新細明體" w:hAnsi="新細明體" w:hint="eastAsia"/>
                <w:color w:val="000000" w:themeColor="text1"/>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95/02/09</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陳訴人因95年2月7日所涉竊盜未遂案遭羈押於臺南看守所。</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95/02/10</w:t>
            </w:r>
          </w:p>
          <w:p w:rsidR="00980899" w:rsidRPr="00980899" w:rsidRDefault="00980899" w:rsidP="00980899">
            <w:pPr>
              <w:pStyle w:val="2"/>
              <w:numPr>
                <w:ilvl w:val="0"/>
                <w:numId w:val="0"/>
              </w:numPr>
              <w:rPr>
                <w:sz w:val="30"/>
                <w:szCs w:val="30"/>
              </w:rPr>
            </w:pPr>
            <w:r w:rsidRPr="00980899">
              <w:rPr>
                <w:rFonts w:hint="eastAsia"/>
                <w:sz w:val="30"/>
                <w:szCs w:val="30"/>
              </w:rPr>
              <w:t xml:space="preserve"> 14:50</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第二分局偵查隊派員至陳訴人位於原臺南縣仁德鄉的住處搜索發現被害人所陳述嫌犯當時穿著之黑色高領風衣夾克及米黃色長褲並予以扣押</w:t>
            </w:r>
            <w:r w:rsidRPr="00980899">
              <w:rPr>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95/02/10</w:t>
            </w:r>
          </w:p>
          <w:p w:rsidR="00980899" w:rsidRPr="00980899" w:rsidRDefault="00980899" w:rsidP="00980899">
            <w:pPr>
              <w:pStyle w:val="2"/>
              <w:numPr>
                <w:ilvl w:val="0"/>
                <w:numId w:val="0"/>
              </w:numPr>
              <w:rPr>
                <w:sz w:val="30"/>
                <w:szCs w:val="30"/>
              </w:rPr>
            </w:pPr>
            <w:r w:rsidRPr="00980899">
              <w:rPr>
                <w:rFonts w:hint="eastAsia"/>
                <w:sz w:val="30"/>
                <w:szCs w:val="30"/>
              </w:rPr>
              <w:lastRenderedPageBreak/>
              <w:t xml:space="preserve"> 16:24</w:t>
            </w:r>
          </w:p>
        </w:tc>
        <w:tc>
          <w:tcPr>
            <w:tcW w:w="6825" w:type="dxa"/>
          </w:tcPr>
          <w:p w:rsidR="00980899" w:rsidRPr="00980899" w:rsidRDefault="00980899" w:rsidP="00980899">
            <w:pPr>
              <w:pStyle w:val="2"/>
              <w:numPr>
                <w:ilvl w:val="0"/>
                <w:numId w:val="0"/>
              </w:numPr>
              <w:rPr>
                <w:color w:val="000000" w:themeColor="text1"/>
                <w:sz w:val="30"/>
                <w:szCs w:val="30"/>
              </w:rPr>
            </w:pPr>
            <w:r w:rsidRPr="00980899">
              <w:rPr>
                <w:rFonts w:hint="eastAsia"/>
                <w:sz w:val="30"/>
                <w:szCs w:val="30"/>
              </w:rPr>
              <w:lastRenderedPageBreak/>
              <w:t>第二分局偵查隊至臺南看守所借提被羈押之陳</w:t>
            </w:r>
            <w:r w:rsidRPr="00980899">
              <w:rPr>
                <w:rFonts w:hint="eastAsia"/>
                <w:sz w:val="30"/>
                <w:szCs w:val="30"/>
              </w:rPr>
              <w:lastRenderedPageBreak/>
              <w:t>訴人</w:t>
            </w:r>
            <w:r w:rsidRPr="00980899">
              <w:rPr>
                <w:rFonts w:hAnsi="標楷體" w:hint="eastAsia"/>
                <w:sz w:val="30"/>
                <w:szCs w:val="30"/>
              </w:rPr>
              <w:t>，</w:t>
            </w:r>
            <w:r w:rsidRPr="00980899">
              <w:rPr>
                <w:rFonts w:hint="eastAsia"/>
                <w:sz w:val="30"/>
                <w:szCs w:val="30"/>
              </w:rPr>
              <w:t>安排6人(其中1人為陳訴人</w:t>
            </w:r>
            <w:r w:rsidRPr="00980899">
              <w:rPr>
                <w:rFonts w:hAnsi="標楷體" w:hint="eastAsia"/>
                <w:sz w:val="30"/>
                <w:szCs w:val="30"/>
              </w:rPr>
              <w:t>，</w:t>
            </w:r>
            <w:r w:rsidRPr="00980899">
              <w:rPr>
                <w:rFonts w:hint="eastAsia"/>
                <w:sz w:val="30"/>
                <w:szCs w:val="30"/>
              </w:rPr>
              <w:t>其餘5人為警務人員)排成一列供王女指認2次</w:t>
            </w:r>
            <w:r w:rsidRPr="00980899">
              <w:rPr>
                <w:rFonts w:hAnsi="標楷體" w:hint="eastAsia"/>
                <w:sz w:val="30"/>
                <w:szCs w:val="30"/>
              </w:rPr>
              <w:t>，皆確認陳訴人為嫌犯無誤</w:t>
            </w:r>
            <w:r w:rsidRPr="00980899">
              <w:rPr>
                <w:rFonts w:ascii="新細明體" w:eastAsia="新細明體" w:hAnsi="新細明體" w:hint="eastAsia"/>
                <w:color w:val="000000" w:themeColor="text1"/>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lastRenderedPageBreak/>
              <w:t xml:space="preserve"> 95/02/10</w:t>
            </w:r>
          </w:p>
          <w:p w:rsidR="00980899" w:rsidRPr="00980899" w:rsidRDefault="00980899" w:rsidP="00980899">
            <w:pPr>
              <w:pStyle w:val="2"/>
              <w:numPr>
                <w:ilvl w:val="0"/>
                <w:numId w:val="0"/>
              </w:numPr>
              <w:rPr>
                <w:sz w:val="30"/>
                <w:szCs w:val="30"/>
              </w:rPr>
            </w:pPr>
            <w:r w:rsidRPr="00980899">
              <w:rPr>
                <w:rFonts w:hint="eastAsia"/>
                <w:sz w:val="30"/>
                <w:szCs w:val="30"/>
              </w:rPr>
              <w:t xml:space="preserve"> 16:36</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第二分局偵查隊詢問陳訴人並製作調查筆錄</w:t>
            </w:r>
            <w:r w:rsidRPr="00980899">
              <w:rPr>
                <w:rFonts w:hAnsi="標楷體" w:hint="eastAsia"/>
                <w:sz w:val="30"/>
                <w:szCs w:val="30"/>
              </w:rPr>
              <w:t>，</w:t>
            </w:r>
            <w:r w:rsidRPr="00980899">
              <w:rPr>
                <w:rFonts w:hint="eastAsia"/>
                <w:sz w:val="30"/>
                <w:szCs w:val="30"/>
              </w:rPr>
              <w:t>其否認於95年1月27日0時30分強盜王女財物</w:t>
            </w:r>
            <w:r w:rsidRPr="00980899">
              <w:rPr>
                <w:rFonts w:hAnsi="標楷體" w:hint="eastAsia"/>
                <w:sz w:val="30"/>
                <w:szCs w:val="30"/>
              </w:rPr>
              <w:t>，表示當時在家裡睡覺</w:t>
            </w:r>
            <w:r w:rsidRPr="00980899">
              <w:rPr>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95/02/10</w:t>
            </w:r>
          </w:p>
          <w:p w:rsidR="00980899" w:rsidRPr="00980899" w:rsidRDefault="00980899" w:rsidP="00980899">
            <w:pPr>
              <w:pStyle w:val="2"/>
              <w:numPr>
                <w:ilvl w:val="0"/>
                <w:numId w:val="0"/>
              </w:numPr>
              <w:rPr>
                <w:sz w:val="30"/>
                <w:szCs w:val="30"/>
              </w:rPr>
            </w:pPr>
            <w:r w:rsidRPr="00980899">
              <w:rPr>
                <w:rFonts w:hint="eastAsia"/>
                <w:sz w:val="30"/>
                <w:szCs w:val="30"/>
              </w:rPr>
              <w:t xml:space="preserve"> 19:03</w:t>
            </w:r>
          </w:p>
        </w:tc>
        <w:tc>
          <w:tcPr>
            <w:tcW w:w="6825" w:type="dxa"/>
          </w:tcPr>
          <w:p w:rsidR="00980899" w:rsidRPr="00980899" w:rsidRDefault="00980899" w:rsidP="00980899">
            <w:pPr>
              <w:pStyle w:val="2"/>
              <w:numPr>
                <w:ilvl w:val="0"/>
                <w:numId w:val="0"/>
              </w:numPr>
              <w:rPr>
                <w:color w:val="000000" w:themeColor="text1"/>
                <w:sz w:val="30"/>
                <w:szCs w:val="30"/>
              </w:rPr>
            </w:pPr>
            <w:r w:rsidRPr="00980899">
              <w:rPr>
                <w:rFonts w:hint="eastAsia"/>
                <w:sz w:val="30"/>
                <w:szCs w:val="30"/>
              </w:rPr>
              <w:t>第二分局偵查隊安排6人(其中1人為陳訴人</w:t>
            </w:r>
            <w:r w:rsidRPr="00980899">
              <w:rPr>
                <w:rFonts w:hAnsi="標楷體" w:hint="eastAsia"/>
                <w:sz w:val="30"/>
                <w:szCs w:val="30"/>
              </w:rPr>
              <w:t>，</w:t>
            </w:r>
            <w:r w:rsidRPr="00980899">
              <w:rPr>
                <w:rFonts w:hint="eastAsia"/>
                <w:sz w:val="30"/>
                <w:szCs w:val="30"/>
              </w:rPr>
              <w:t>其餘5人為警務人員)排成一列供徐女的小女兒莊姓妹妹指認2次</w:t>
            </w:r>
            <w:r w:rsidRPr="00980899">
              <w:rPr>
                <w:rFonts w:hAnsi="標楷體" w:hint="eastAsia"/>
                <w:sz w:val="30"/>
                <w:szCs w:val="30"/>
              </w:rPr>
              <w:t>，皆確認陳訴人為嫌犯無誤</w:t>
            </w:r>
            <w:r w:rsidRPr="00980899">
              <w:rPr>
                <w:rFonts w:ascii="新細明體" w:eastAsia="新細明體" w:hAnsi="新細明體" w:hint="eastAsia"/>
                <w:color w:val="000000" w:themeColor="text1"/>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95/02/10</w:t>
            </w:r>
          </w:p>
          <w:p w:rsidR="00980899" w:rsidRPr="00980899" w:rsidRDefault="00980899" w:rsidP="00980899">
            <w:pPr>
              <w:pStyle w:val="2"/>
              <w:numPr>
                <w:ilvl w:val="0"/>
                <w:numId w:val="0"/>
              </w:numPr>
              <w:rPr>
                <w:sz w:val="30"/>
                <w:szCs w:val="30"/>
              </w:rPr>
            </w:pPr>
            <w:r w:rsidRPr="00980899">
              <w:rPr>
                <w:rFonts w:hint="eastAsia"/>
                <w:sz w:val="30"/>
                <w:szCs w:val="30"/>
              </w:rPr>
              <w:t xml:space="preserve"> 19:10</w:t>
            </w:r>
          </w:p>
        </w:tc>
        <w:tc>
          <w:tcPr>
            <w:tcW w:w="6825" w:type="dxa"/>
          </w:tcPr>
          <w:p w:rsidR="00980899" w:rsidRPr="00980899" w:rsidRDefault="00980899" w:rsidP="00980899">
            <w:pPr>
              <w:pStyle w:val="2"/>
              <w:numPr>
                <w:ilvl w:val="0"/>
                <w:numId w:val="0"/>
              </w:numPr>
              <w:rPr>
                <w:color w:val="000000" w:themeColor="text1"/>
                <w:sz w:val="30"/>
                <w:szCs w:val="30"/>
              </w:rPr>
            </w:pPr>
            <w:r w:rsidRPr="00980899">
              <w:rPr>
                <w:rFonts w:hint="eastAsia"/>
                <w:sz w:val="30"/>
                <w:szCs w:val="30"/>
              </w:rPr>
              <w:t>第二分局偵查隊安排6人(其中1人為陳訴人</w:t>
            </w:r>
            <w:r w:rsidRPr="00980899">
              <w:rPr>
                <w:rFonts w:hAnsi="標楷體" w:hint="eastAsia"/>
                <w:sz w:val="30"/>
                <w:szCs w:val="30"/>
              </w:rPr>
              <w:t>，</w:t>
            </w:r>
            <w:r w:rsidRPr="00980899">
              <w:rPr>
                <w:rFonts w:hint="eastAsia"/>
                <w:sz w:val="30"/>
                <w:szCs w:val="30"/>
              </w:rPr>
              <w:t>其餘5人為警務人員)排成一列供徐女的大女兒莊姓姊姊指認2次</w:t>
            </w:r>
            <w:r w:rsidRPr="00980899">
              <w:rPr>
                <w:rFonts w:hAnsi="標楷體" w:hint="eastAsia"/>
                <w:sz w:val="30"/>
                <w:szCs w:val="30"/>
              </w:rPr>
              <w:t>，皆確認陳訴人為嫌犯無誤</w:t>
            </w:r>
            <w:r w:rsidRPr="00980899">
              <w:rPr>
                <w:rFonts w:ascii="新細明體" w:eastAsia="新細明體" w:hAnsi="新細明體" w:hint="eastAsia"/>
                <w:color w:val="000000" w:themeColor="text1"/>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95/02/10</w:t>
            </w:r>
          </w:p>
          <w:p w:rsidR="00980899" w:rsidRPr="00980899" w:rsidRDefault="00980899" w:rsidP="00980899">
            <w:pPr>
              <w:pStyle w:val="2"/>
              <w:numPr>
                <w:ilvl w:val="0"/>
                <w:numId w:val="0"/>
              </w:numPr>
              <w:rPr>
                <w:sz w:val="30"/>
                <w:szCs w:val="30"/>
              </w:rPr>
            </w:pPr>
            <w:r w:rsidRPr="00980899">
              <w:rPr>
                <w:rFonts w:hint="eastAsia"/>
                <w:sz w:val="30"/>
                <w:szCs w:val="30"/>
              </w:rPr>
              <w:t xml:space="preserve"> 20:10</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第二分局偵查隊詢問陳訴人是否於95年1月29日17時許搶奪徐女交付其女兒莊姓姊妹保管之皮包</w:t>
            </w:r>
            <w:r w:rsidRPr="00980899">
              <w:rPr>
                <w:rFonts w:hAnsi="標楷體" w:hint="eastAsia"/>
                <w:sz w:val="30"/>
                <w:szCs w:val="30"/>
              </w:rPr>
              <w:t>，其表示不是他犯的案</w:t>
            </w:r>
            <w:r w:rsidRPr="00980899">
              <w:rPr>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95/03/15</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第二分局將陳訴人所涉強盜及搶奪2案移送臺南地檢署偵辦。</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95/04/04</w:t>
            </w:r>
          </w:p>
          <w:p w:rsidR="00980899" w:rsidRPr="00980899" w:rsidRDefault="00980899" w:rsidP="00980899">
            <w:pPr>
              <w:pStyle w:val="2"/>
              <w:numPr>
                <w:ilvl w:val="0"/>
                <w:numId w:val="0"/>
              </w:numPr>
              <w:rPr>
                <w:sz w:val="30"/>
                <w:szCs w:val="30"/>
              </w:rPr>
            </w:pPr>
            <w:r w:rsidRPr="00980899">
              <w:rPr>
                <w:rFonts w:hint="eastAsia"/>
                <w:sz w:val="30"/>
                <w:szCs w:val="30"/>
              </w:rPr>
              <w:t xml:space="preserve"> 10:25</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臺南地檢署檢察官訊問陳訴人，其表示被害人王女及徐女2案都不是其所為，認為是警方誤導被害人指訴，且卷內監視器翻拍照片內的機車</w:t>
            </w:r>
            <w:r w:rsidRPr="00980899">
              <w:rPr>
                <w:rFonts w:hAnsi="標楷體" w:hint="eastAsia"/>
                <w:sz w:val="30"/>
                <w:szCs w:val="30"/>
              </w:rPr>
              <w:t>，</w:t>
            </w:r>
            <w:r w:rsidRPr="00980899">
              <w:rPr>
                <w:rFonts w:hint="eastAsia"/>
                <w:sz w:val="30"/>
                <w:szCs w:val="30"/>
              </w:rPr>
              <w:t>根本看不出是其所為</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95/04/04</w:t>
            </w:r>
          </w:p>
          <w:p w:rsidR="00980899" w:rsidRPr="00980899" w:rsidRDefault="00980899" w:rsidP="00980899">
            <w:pPr>
              <w:pStyle w:val="2"/>
              <w:numPr>
                <w:ilvl w:val="0"/>
                <w:numId w:val="0"/>
              </w:numPr>
              <w:rPr>
                <w:sz w:val="30"/>
                <w:szCs w:val="30"/>
              </w:rPr>
            </w:pPr>
            <w:r w:rsidRPr="00980899">
              <w:rPr>
                <w:rFonts w:hint="eastAsia"/>
                <w:sz w:val="30"/>
                <w:szCs w:val="30"/>
              </w:rPr>
              <w:t xml:space="preserve"> 15:33</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臺南地檢署檢察官傳訊莊姓姊妹作證，經帶至該署指認室指認</w:t>
            </w:r>
            <w:r w:rsidRPr="00980899">
              <w:rPr>
                <w:rFonts w:hAnsi="標楷體" w:hint="eastAsia"/>
                <w:sz w:val="30"/>
                <w:szCs w:val="30"/>
              </w:rPr>
              <w:t>，</w:t>
            </w:r>
            <w:r w:rsidRPr="00980899">
              <w:rPr>
                <w:rFonts w:hint="eastAsia"/>
                <w:sz w:val="30"/>
                <w:szCs w:val="30"/>
              </w:rPr>
              <w:t>皆表示陳訴人為搶奪皮包之人</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95/04/14</w:t>
            </w:r>
          </w:p>
          <w:p w:rsidR="00980899" w:rsidRPr="00980899" w:rsidRDefault="00980899" w:rsidP="00980899">
            <w:pPr>
              <w:pStyle w:val="2"/>
              <w:numPr>
                <w:ilvl w:val="0"/>
                <w:numId w:val="0"/>
              </w:numPr>
              <w:rPr>
                <w:sz w:val="30"/>
                <w:szCs w:val="30"/>
              </w:rPr>
            </w:pPr>
            <w:r w:rsidRPr="00980899">
              <w:rPr>
                <w:rFonts w:hint="eastAsia"/>
                <w:sz w:val="30"/>
                <w:szCs w:val="30"/>
              </w:rPr>
              <w:t xml:space="preserve"> 14:24</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臺南地檢署檢察官傳訊王女作證，經帶至該署指認室指認</w:t>
            </w:r>
            <w:r w:rsidRPr="00980899">
              <w:rPr>
                <w:rFonts w:hAnsi="標楷體" w:hint="eastAsia"/>
                <w:sz w:val="30"/>
                <w:szCs w:val="30"/>
              </w:rPr>
              <w:t>，</w:t>
            </w:r>
            <w:r w:rsidRPr="00980899">
              <w:rPr>
                <w:rFonts w:hint="eastAsia"/>
                <w:sz w:val="30"/>
                <w:szCs w:val="30"/>
              </w:rPr>
              <w:t>表示陳訴人為強盜其900元財物之人。檢察官訊問陳訴人是否認罪，其表示絕對沒有，從卷內證據根本無法證明其犯下強盜犯行</w:t>
            </w:r>
            <w:r w:rsidR="00397C73">
              <w:rPr>
                <w:rFonts w:hAnsi="標楷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95/05/18</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臺南地檢署檢察官認為陳訴人涉犯刑法第325條第1項之普通搶奪罪及第330條第1項之強盜罪</w:t>
            </w:r>
            <w:r w:rsidRPr="00980899">
              <w:rPr>
                <w:rFonts w:hAnsi="標楷體" w:hint="eastAsia"/>
                <w:sz w:val="30"/>
                <w:szCs w:val="30"/>
              </w:rPr>
              <w:t>，對其</w:t>
            </w:r>
            <w:r w:rsidRPr="00980899">
              <w:rPr>
                <w:rFonts w:hint="eastAsia"/>
                <w:sz w:val="30"/>
                <w:szCs w:val="30"/>
              </w:rPr>
              <w:t>提起公訴</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96/02/09</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臺灣臺南地方法院(下稱臺南地院)95年度訴字第948號刑事判決主文：陳訴人犯攜帶凶器強盜罪</w:t>
            </w:r>
            <w:r w:rsidRPr="00980899">
              <w:rPr>
                <w:rFonts w:hAnsi="標楷體" w:hint="eastAsia"/>
                <w:sz w:val="30"/>
                <w:szCs w:val="30"/>
              </w:rPr>
              <w:t>，累犯，處有期徒刑10年；又犯搶奪罪，累犯，</w:t>
            </w:r>
            <w:r w:rsidRPr="00980899">
              <w:rPr>
                <w:rFonts w:hAnsi="標楷體" w:hint="eastAsia"/>
                <w:sz w:val="30"/>
                <w:szCs w:val="30"/>
              </w:rPr>
              <w:lastRenderedPageBreak/>
              <w:t>處有期徒刑1年6月，應執行有期徒刑11年4月</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lastRenderedPageBreak/>
              <w:t xml:space="preserve"> 96/05/17</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臺灣高等法院臺南分院(下稱臺南高分院)96年度上訴字第391號刑事判決主文：原判決撤銷</w:t>
            </w:r>
            <w:r w:rsidRPr="00980899">
              <w:rPr>
                <w:rFonts w:hAnsi="標楷體" w:hint="eastAsia"/>
                <w:sz w:val="30"/>
                <w:szCs w:val="30"/>
              </w:rPr>
              <w:t>；</w:t>
            </w:r>
            <w:r w:rsidRPr="00980899">
              <w:rPr>
                <w:rFonts w:hint="eastAsia"/>
                <w:sz w:val="30"/>
                <w:szCs w:val="30"/>
              </w:rPr>
              <w:t>陳訴人犯強盜罪</w:t>
            </w:r>
            <w:r w:rsidRPr="00980899">
              <w:rPr>
                <w:rFonts w:hAnsi="標楷體" w:hint="eastAsia"/>
                <w:sz w:val="30"/>
                <w:szCs w:val="30"/>
              </w:rPr>
              <w:t>，累犯，處有期徒刑6年；又成年人故意對兒童犯搶奪罪，累犯，處有期徒刑1年6月，應執行有期徒刑7年</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96/07/11</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最高法院96年度台上字第3757號刑事判決主文：原判決關於強盜部分撤銷</w:t>
            </w:r>
            <w:r w:rsidRPr="00980899">
              <w:rPr>
                <w:rFonts w:hAnsi="標楷體" w:hint="eastAsia"/>
                <w:sz w:val="30"/>
                <w:szCs w:val="30"/>
              </w:rPr>
              <w:t>，</w:t>
            </w:r>
            <w:r w:rsidRPr="00980899">
              <w:rPr>
                <w:rFonts w:hint="eastAsia"/>
                <w:sz w:val="30"/>
                <w:szCs w:val="30"/>
              </w:rPr>
              <w:t>發回臺南高分院</w:t>
            </w:r>
            <w:r w:rsidRPr="00980899">
              <w:rPr>
                <w:rFonts w:hAnsi="標楷體" w:hint="eastAsia"/>
                <w:sz w:val="30"/>
                <w:szCs w:val="30"/>
              </w:rPr>
              <w:t>；</w:t>
            </w:r>
            <w:r w:rsidRPr="00980899">
              <w:rPr>
                <w:rFonts w:hint="eastAsia"/>
                <w:sz w:val="30"/>
                <w:szCs w:val="30"/>
              </w:rPr>
              <w:t>其他上訴駁回(指</w:t>
            </w:r>
            <w:r w:rsidRPr="00980899">
              <w:rPr>
                <w:rFonts w:hAnsi="標楷體" w:hint="eastAsia"/>
                <w:sz w:val="30"/>
                <w:szCs w:val="30"/>
              </w:rPr>
              <w:t>搶奪罪部分)</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96/10/23</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臺南高分院96年度上更(一)字第307號刑事判決主文：上訴(指不服臺南地院95年度訴字第948號判決)駁回</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97/01/17</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最高法院97年度台上字第261號刑事判決主文：原判決撤銷(指強盜罪部分)</w:t>
            </w:r>
            <w:r w:rsidRPr="00980899">
              <w:rPr>
                <w:rFonts w:hAnsi="標楷體" w:hint="eastAsia"/>
                <w:sz w:val="30"/>
                <w:szCs w:val="30"/>
              </w:rPr>
              <w:t>，</w:t>
            </w:r>
            <w:r w:rsidRPr="00980899">
              <w:rPr>
                <w:rFonts w:hint="eastAsia"/>
                <w:sz w:val="30"/>
                <w:szCs w:val="30"/>
              </w:rPr>
              <w:t>發回臺南高分院</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97/04/24</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臺南高分院97年度上更(二)字第63號刑事判決主文：原判決關於強盜部分撤銷</w:t>
            </w:r>
            <w:r w:rsidRPr="00980899">
              <w:rPr>
                <w:rFonts w:ascii="新細明體" w:eastAsia="新細明體" w:hAnsi="新細明體" w:hint="eastAsia"/>
                <w:sz w:val="30"/>
                <w:szCs w:val="30"/>
              </w:rPr>
              <w:t>；</w:t>
            </w:r>
            <w:r w:rsidRPr="00980899">
              <w:rPr>
                <w:rFonts w:hint="eastAsia"/>
                <w:sz w:val="30"/>
                <w:szCs w:val="30"/>
              </w:rPr>
              <w:t>陳訴人被訴強盜部分無罪</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97/08/22</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最高法院97年度台上字第4047號刑事判決主文：原判決撤銷(指強盜罪部分)</w:t>
            </w:r>
            <w:r w:rsidRPr="00980899">
              <w:rPr>
                <w:rFonts w:hAnsi="標楷體" w:hint="eastAsia"/>
                <w:sz w:val="30"/>
                <w:szCs w:val="30"/>
              </w:rPr>
              <w:t>，</w:t>
            </w:r>
            <w:r w:rsidRPr="00980899">
              <w:rPr>
                <w:rFonts w:hint="eastAsia"/>
                <w:sz w:val="30"/>
                <w:szCs w:val="30"/>
              </w:rPr>
              <w:t>發回臺南高分院</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97/09/25</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臺南高分院97年度重上更(三)字第291號刑事判決主文：上訴(指不服臺南地院95年度訴字第948號判決)駁回</w:t>
            </w:r>
            <w:r w:rsidRPr="00980899">
              <w:rPr>
                <w:rFonts w:ascii="新細明體" w:eastAsia="新細明體" w:hAnsi="新細明體" w:hint="eastAsia"/>
                <w:sz w:val="30"/>
                <w:szCs w:val="30"/>
              </w:rPr>
              <w:t>。</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 xml:space="preserve"> 98/01/09</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最高法院98年度台上字第104號刑事判決主文：上訴(指不服臺南高分院97年度重上更(三)字第291號判決)駁回</w:t>
            </w:r>
            <w:r w:rsidRPr="00980899">
              <w:rPr>
                <w:rFonts w:ascii="新細明體" w:eastAsia="新細明體" w:hAnsi="新細明體" w:hint="eastAsia"/>
                <w:sz w:val="30"/>
                <w:szCs w:val="30"/>
              </w:rPr>
              <w:t>。</w:t>
            </w:r>
            <w:r w:rsidRPr="00980899">
              <w:rPr>
                <w:rFonts w:hAnsi="標楷體" w:hint="eastAsia"/>
                <w:sz w:val="30"/>
                <w:szCs w:val="30"/>
              </w:rPr>
              <w:t>【至此強盜罪部分三審定讞】</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107/04/18</w:t>
            </w:r>
          </w:p>
        </w:tc>
        <w:tc>
          <w:tcPr>
            <w:tcW w:w="6825" w:type="dxa"/>
          </w:tcPr>
          <w:p w:rsidR="00980899" w:rsidRPr="00980899" w:rsidRDefault="00980899" w:rsidP="00980899">
            <w:pPr>
              <w:pStyle w:val="2"/>
              <w:numPr>
                <w:ilvl w:val="0"/>
                <w:numId w:val="0"/>
              </w:numPr>
              <w:rPr>
                <w:rFonts w:hAnsi="標楷體"/>
                <w:color w:val="000000" w:themeColor="text1"/>
                <w:sz w:val="30"/>
                <w:szCs w:val="30"/>
              </w:rPr>
            </w:pPr>
            <w:r w:rsidRPr="00980899">
              <w:rPr>
                <w:rFonts w:hint="eastAsia"/>
                <w:sz w:val="30"/>
                <w:szCs w:val="30"/>
              </w:rPr>
              <w:t>臺南高分院107年度聲再字第27號刑事裁定主文：再審及調查證據之聲請均駁回。</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107/12/27</w:t>
            </w:r>
          </w:p>
        </w:tc>
        <w:tc>
          <w:tcPr>
            <w:tcW w:w="6825" w:type="dxa"/>
          </w:tcPr>
          <w:p w:rsidR="00980899" w:rsidRPr="00980899" w:rsidRDefault="00980899" w:rsidP="00980899">
            <w:pPr>
              <w:pStyle w:val="2"/>
              <w:numPr>
                <w:ilvl w:val="0"/>
                <w:numId w:val="0"/>
              </w:numPr>
              <w:rPr>
                <w:rFonts w:hAnsi="標楷體"/>
                <w:color w:val="000000" w:themeColor="text1"/>
                <w:sz w:val="30"/>
                <w:szCs w:val="30"/>
              </w:rPr>
            </w:pPr>
            <w:r w:rsidRPr="00980899">
              <w:rPr>
                <w:rFonts w:hint="eastAsia"/>
                <w:sz w:val="30"/>
                <w:szCs w:val="30"/>
              </w:rPr>
              <w:t>最高法院107年度台抗字第467號刑事裁定主文：抗告駁回。</w:t>
            </w:r>
          </w:p>
        </w:tc>
      </w:tr>
      <w:tr w:rsidR="00980899" w:rsidRPr="001058A3" w:rsidTr="00980899">
        <w:tc>
          <w:tcPr>
            <w:tcW w:w="1701" w:type="dxa"/>
          </w:tcPr>
          <w:p w:rsidR="00980899" w:rsidRPr="00980899" w:rsidRDefault="00980899" w:rsidP="00980899">
            <w:pPr>
              <w:pStyle w:val="2"/>
              <w:numPr>
                <w:ilvl w:val="0"/>
                <w:numId w:val="0"/>
              </w:numPr>
              <w:rPr>
                <w:sz w:val="30"/>
                <w:szCs w:val="30"/>
              </w:rPr>
            </w:pPr>
            <w:r w:rsidRPr="00980899">
              <w:rPr>
                <w:rFonts w:hint="eastAsia"/>
                <w:sz w:val="30"/>
                <w:szCs w:val="30"/>
              </w:rPr>
              <w:t>108/10/07</w:t>
            </w:r>
          </w:p>
        </w:tc>
        <w:tc>
          <w:tcPr>
            <w:tcW w:w="6825" w:type="dxa"/>
          </w:tcPr>
          <w:p w:rsidR="00980899" w:rsidRPr="00980899" w:rsidRDefault="00980899" w:rsidP="00980899">
            <w:pPr>
              <w:pStyle w:val="2"/>
              <w:numPr>
                <w:ilvl w:val="0"/>
                <w:numId w:val="0"/>
              </w:numPr>
              <w:rPr>
                <w:sz w:val="30"/>
                <w:szCs w:val="30"/>
              </w:rPr>
            </w:pPr>
            <w:r w:rsidRPr="00980899">
              <w:rPr>
                <w:rFonts w:hint="eastAsia"/>
                <w:sz w:val="30"/>
                <w:szCs w:val="30"/>
              </w:rPr>
              <w:t>陳訴人委任社團法人臺灣冤獄平反協會向本院陳訴</w:t>
            </w:r>
            <w:r w:rsidRPr="00980899">
              <w:rPr>
                <w:rFonts w:hAnsi="標楷體" w:hint="eastAsia"/>
                <w:sz w:val="30"/>
                <w:szCs w:val="30"/>
              </w:rPr>
              <w:t>，</w:t>
            </w:r>
            <w:r w:rsidRPr="00980899">
              <w:rPr>
                <w:rFonts w:hint="eastAsia"/>
                <w:sz w:val="30"/>
                <w:szCs w:val="30"/>
              </w:rPr>
              <w:t>其因竊盜案件被查獲</w:t>
            </w:r>
            <w:r w:rsidRPr="00980899">
              <w:rPr>
                <w:rFonts w:hAnsi="標楷體" w:hint="eastAsia"/>
                <w:sz w:val="30"/>
                <w:szCs w:val="30"/>
              </w:rPr>
              <w:t>，</w:t>
            </w:r>
            <w:r w:rsidRPr="00980899">
              <w:rPr>
                <w:rFonts w:hint="eastAsia"/>
                <w:sz w:val="30"/>
                <w:szCs w:val="30"/>
              </w:rPr>
              <w:t>惟遭不當指認為他案嫌犯</w:t>
            </w:r>
            <w:r w:rsidRPr="00980899">
              <w:rPr>
                <w:rFonts w:hAnsi="標楷體" w:hint="eastAsia"/>
                <w:sz w:val="30"/>
                <w:szCs w:val="30"/>
              </w:rPr>
              <w:t>，</w:t>
            </w:r>
            <w:r w:rsidRPr="00980899">
              <w:rPr>
                <w:rFonts w:hint="eastAsia"/>
                <w:sz w:val="30"/>
                <w:szCs w:val="30"/>
              </w:rPr>
              <w:t>第二分局辦理指認過程涉有違失</w:t>
            </w:r>
            <w:r w:rsidRPr="00980899">
              <w:rPr>
                <w:rFonts w:ascii="新細明體" w:eastAsia="新細明體" w:hAnsi="新細明體" w:hint="eastAsia"/>
                <w:sz w:val="30"/>
                <w:szCs w:val="30"/>
              </w:rPr>
              <w:t>。</w:t>
            </w:r>
          </w:p>
        </w:tc>
      </w:tr>
    </w:tbl>
    <w:p w:rsidR="0088042C" w:rsidRDefault="00352159" w:rsidP="004755F2">
      <w:pPr>
        <w:pStyle w:val="10"/>
        <w:spacing w:before="240"/>
        <w:ind w:left="680" w:firstLine="680"/>
        <w:rPr>
          <w:rFonts w:ascii="新細明體" w:eastAsia="新細明體" w:hAnsi="新細明體"/>
          <w:noProof/>
          <w:color w:val="000000" w:themeColor="text1"/>
        </w:rPr>
      </w:pPr>
      <w:r w:rsidRPr="00515D9E">
        <w:rPr>
          <w:rFonts w:ascii="Times New Roman" w:hint="eastAsia"/>
          <w:noProof/>
          <w:color w:val="000000" w:themeColor="text1"/>
        </w:rPr>
        <w:lastRenderedPageBreak/>
        <w:t>調查委員先於</w:t>
      </w:r>
      <w:r w:rsidRPr="00515D9E">
        <w:rPr>
          <w:rFonts w:hAnsi="標楷體" w:hint="eastAsia"/>
          <w:szCs w:val="32"/>
        </w:rPr>
        <w:t>108年10月21日親赴第二分局，實地瞭解陳訴人所涉案件相關檔案之保存情形及當時承辦或參與之警務人員是否尚有在職者；</w:t>
      </w:r>
      <w:r>
        <w:rPr>
          <w:rFonts w:hAnsi="標楷體" w:hint="eastAsia"/>
          <w:szCs w:val="32"/>
        </w:rPr>
        <w:t>嗣</w:t>
      </w:r>
      <w:r w:rsidRPr="00515D9E">
        <w:rPr>
          <w:rFonts w:hAnsi="標楷體" w:hint="eastAsia"/>
          <w:szCs w:val="32"/>
        </w:rPr>
        <w:t>於108年12月13日親至澎湖監獄與服刑中之陳訴人當面訪談</w:t>
      </w:r>
      <w:r>
        <w:rPr>
          <w:rFonts w:hAnsi="標楷體" w:hint="eastAsia"/>
          <w:szCs w:val="32"/>
        </w:rPr>
        <w:t>；</w:t>
      </w:r>
      <w:r>
        <w:rPr>
          <w:rFonts w:hAnsi="標楷體" w:hint="eastAsia"/>
          <w:color w:val="000000" w:themeColor="text1"/>
        </w:rPr>
        <w:t>又</w:t>
      </w:r>
      <w:r w:rsidRPr="0095206B">
        <w:rPr>
          <w:rFonts w:hAnsi="標楷體" w:hint="eastAsia"/>
          <w:bCs/>
          <w:noProof/>
          <w:color w:val="000000" w:themeColor="text1"/>
          <w:szCs w:val="52"/>
        </w:rPr>
        <w:t>於10</w:t>
      </w:r>
      <w:r>
        <w:rPr>
          <w:rFonts w:hAnsi="標楷體" w:hint="eastAsia"/>
          <w:bCs/>
          <w:noProof/>
          <w:color w:val="000000" w:themeColor="text1"/>
          <w:szCs w:val="52"/>
        </w:rPr>
        <w:t>9</w:t>
      </w:r>
      <w:r w:rsidRPr="0095206B">
        <w:rPr>
          <w:rFonts w:hAnsi="標楷體" w:hint="eastAsia"/>
          <w:bCs/>
          <w:noProof/>
          <w:color w:val="000000" w:themeColor="text1"/>
          <w:szCs w:val="52"/>
        </w:rPr>
        <w:t>年</w:t>
      </w:r>
      <w:r>
        <w:rPr>
          <w:rFonts w:hAnsi="標楷體" w:hint="eastAsia"/>
          <w:bCs/>
          <w:noProof/>
          <w:color w:val="000000" w:themeColor="text1"/>
          <w:szCs w:val="52"/>
        </w:rPr>
        <w:t>1</w:t>
      </w:r>
      <w:r w:rsidRPr="0095206B">
        <w:rPr>
          <w:rFonts w:hAnsi="標楷體" w:hint="eastAsia"/>
          <w:bCs/>
          <w:noProof/>
          <w:color w:val="000000" w:themeColor="text1"/>
          <w:szCs w:val="52"/>
        </w:rPr>
        <w:t>月</w:t>
      </w:r>
      <w:r>
        <w:rPr>
          <w:rFonts w:hAnsi="標楷體" w:hint="eastAsia"/>
          <w:bCs/>
          <w:noProof/>
          <w:color w:val="000000" w:themeColor="text1"/>
          <w:szCs w:val="52"/>
        </w:rPr>
        <w:t>13</w:t>
      </w:r>
      <w:r w:rsidRPr="0095206B">
        <w:rPr>
          <w:rFonts w:hAnsi="標楷體" w:hint="eastAsia"/>
          <w:bCs/>
          <w:noProof/>
          <w:color w:val="000000" w:themeColor="text1"/>
          <w:szCs w:val="52"/>
        </w:rPr>
        <w:t>日詢問</w:t>
      </w:r>
      <w:r>
        <w:rPr>
          <w:rFonts w:hAnsi="標楷體" w:hint="eastAsia"/>
          <w:bCs/>
          <w:noProof/>
          <w:color w:val="000000" w:themeColor="text1"/>
          <w:szCs w:val="52"/>
        </w:rPr>
        <w:t>目前服務於臺南市警局刑事警察大隊偵四隊之陳分隊長(其在當時曾列隊於被指認對象中)</w:t>
      </w:r>
      <w:r>
        <w:rPr>
          <w:rFonts w:ascii="新細明體" w:eastAsia="新細明體" w:hAnsi="新細明體" w:hint="eastAsia"/>
          <w:bCs/>
          <w:noProof/>
          <w:color w:val="000000" w:themeColor="text1"/>
          <w:szCs w:val="52"/>
        </w:rPr>
        <w:t>。</w:t>
      </w:r>
      <w:r w:rsidRPr="00515D9E">
        <w:rPr>
          <w:rFonts w:hAnsi="標楷體" w:hint="eastAsia"/>
          <w:szCs w:val="32"/>
        </w:rPr>
        <w:t>另為瞭解陳訴人所涉案件是否在同一時期有以類似交通工具(黑色VINO輕型機車)犯案者，請臺南市警局清查94年10月至95年6</w:t>
      </w:r>
      <w:r w:rsidRPr="00515D9E">
        <w:rPr>
          <w:rFonts w:ascii="Times New Roman" w:hint="eastAsia"/>
          <w:noProof/>
          <w:color w:val="000000" w:themeColor="text1"/>
        </w:rPr>
        <w:t>月間該局轄區受理重大刑案通報資料，</w:t>
      </w:r>
      <w:r w:rsidRPr="0095206B">
        <w:rPr>
          <w:rFonts w:ascii="Times New Roman" w:hint="eastAsia"/>
          <w:bCs/>
          <w:noProof/>
          <w:color w:val="000000" w:themeColor="text1"/>
          <w:szCs w:val="52"/>
        </w:rPr>
        <w:t>案</w:t>
      </w:r>
      <w:r w:rsidRPr="0095206B">
        <w:rPr>
          <w:rFonts w:ascii="Times New Roman"/>
          <w:color w:val="000000" w:themeColor="text1"/>
        </w:rPr>
        <w:t>經</w:t>
      </w:r>
      <w:r>
        <w:rPr>
          <w:rFonts w:ascii="Times New Roman" w:hint="eastAsia"/>
          <w:color w:val="000000" w:themeColor="text1"/>
        </w:rPr>
        <w:t>臺南市警局</w:t>
      </w:r>
      <w:r w:rsidRPr="0095206B">
        <w:rPr>
          <w:rStyle w:val="aff"/>
          <w:rFonts w:hAnsi="標楷體"/>
          <w:color w:val="000000" w:themeColor="text1"/>
        </w:rPr>
        <w:footnoteReference w:id="1"/>
      </w:r>
      <w:r>
        <w:rPr>
          <w:rFonts w:ascii="Times New Roman" w:hint="eastAsia"/>
          <w:color w:val="000000" w:themeColor="text1"/>
        </w:rPr>
        <w:t>於</w:t>
      </w:r>
      <w:r w:rsidRPr="009F6E65">
        <w:rPr>
          <w:rFonts w:hAnsi="標楷體" w:hint="eastAsia"/>
          <w:szCs w:val="32"/>
        </w:rPr>
        <w:t>109年2月26日</w:t>
      </w:r>
      <w:r>
        <w:rPr>
          <w:rFonts w:ascii="Times New Roman" w:hint="eastAsia"/>
          <w:color w:val="000000" w:themeColor="text1"/>
        </w:rPr>
        <w:t>函送相關</w:t>
      </w:r>
      <w:r w:rsidRPr="0095206B">
        <w:rPr>
          <w:rFonts w:ascii="Times New Roman"/>
          <w:color w:val="000000" w:themeColor="text1"/>
        </w:rPr>
        <w:t>資料</w:t>
      </w:r>
      <w:r>
        <w:rPr>
          <w:rFonts w:hAnsi="標楷體" w:hint="eastAsia"/>
          <w:color w:val="000000" w:themeColor="text1"/>
        </w:rPr>
        <w:t>。</w:t>
      </w:r>
      <w:r w:rsidR="005D407D">
        <w:rPr>
          <w:rFonts w:hint="eastAsia"/>
        </w:rPr>
        <w:t>業已調查竣事，</w:t>
      </w:r>
      <w:r w:rsidR="005D407D" w:rsidRPr="00A8414F">
        <w:rPr>
          <w:rFonts w:hint="eastAsia"/>
        </w:rPr>
        <w:t>茲臚列調查意見如下：</w:t>
      </w:r>
    </w:p>
    <w:p w:rsidR="00533B63" w:rsidRPr="00533B63" w:rsidRDefault="00352159" w:rsidP="002C16AF">
      <w:pPr>
        <w:pStyle w:val="2"/>
      </w:pPr>
      <w:r w:rsidRPr="009636D5">
        <w:rPr>
          <w:rFonts w:hAnsi="標楷體" w:hint="eastAsia"/>
          <w:b/>
        </w:rPr>
        <w:t>依內政部警政署</w:t>
      </w:r>
      <w:r w:rsidRPr="009636D5">
        <w:rPr>
          <w:rFonts w:hAnsi="標楷體"/>
          <w:b/>
        </w:rPr>
        <w:t>90</w:t>
      </w:r>
      <w:r w:rsidRPr="009636D5">
        <w:rPr>
          <w:rFonts w:hAnsi="標楷體" w:hint="eastAsia"/>
          <w:b/>
        </w:rPr>
        <w:t>年</w:t>
      </w:r>
      <w:r w:rsidRPr="009636D5">
        <w:rPr>
          <w:rFonts w:hAnsi="標楷體"/>
          <w:b/>
        </w:rPr>
        <w:t>8</w:t>
      </w:r>
      <w:r w:rsidRPr="009636D5">
        <w:rPr>
          <w:rFonts w:hAnsi="標楷體" w:hint="eastAsia"/>
          <w:b/>
        </w:rPr>
        <w:t>月</w:t>
      </w:r>
      <w:r w:rsidRPr="009636D5">
        <w:rPr>
          <w:rFonts w:hAnsi="標楷體"/>
          <w:b/>
        </w:rPr>
        <w:t>20</w:t>
      </w:r>
      <w:r w:rsidRPr="009636D5">
        <w:rPr>
          <w:rFonts w:hAnsi="標楷體" w:hint="eastAsia"/>
          <w:b/>
        </w:rPr>
        <w:t>日頒</w:t>
      </w:r>
      <w:r w:rsidR="008B5843">
        <w:rPr>
          <w:rFonts w:hAnsi="標楷體" w:hint="eastAsia"/>
          <w:b/>
        </w:rPr>
        <w:t>布</w:t>
      </w:r>
      <w:r w:rsidRPr="009636D5">
        <w:rPr>
          <w:rFonts w:hAnsi="標楷體" w:hint="eastAsia"/>
          <w:b/>
        </w:rPr>
        <w:t>之「警察機關實施指認犯罪嫌疑人程序要領」，及該程序要領於92年8月12日修正列於「警察偵查犯罪規範」第92條，</w:t>
      </w:r>
      <w:r w:rsidR="00D22A2C">
        <w:rPr>
          <w:rFonts w:hAnsi="標楷體" w:hint="eastAsia"/>
          <w:b/>
        </w:rPr>
        <w:t>明</w:t>
      </w:r>
      <w:r w:rsidR="00D22A2C" w:rsidRPr="009636D5">
        <w:rPr>
          <w:rFonts w:hAnsi="標楷體" w:hint="eastAsia"/>
          <w:b/>
        </w:rPr>
        <w:t>定</w:t>
      </w:r>
      <w:r w:rsidRPr="009636D5">
        <w:rPr>
          <w:rFonts w:hAnsi="標楷體" w:hint="eastAsia"/>
          <w:b/>
        </w:rPr>
        <w:t>如需實施被害人、檢舉人或目擊證人指認犯罪嫌疑人</w:t>
      </w:r>
      <w:r w:rsidR="00D22A2C">
        <w:rPr>
          <w:rFonts w:hAnsi="標楷體" w:hint="eastAsia"/>
          <w:b/>
        </w:rPr>
        <w:t>之應遵行事項</w:t>
      </w:r>
      <w:r w:rsidRPr="009636D5">
        <w:rPr>
          <w:rFonts w:hAnsi="標楷體" w:hint="eastAsia"/>
          <w:b/>
        </w:rPr>
        <w:t>。</w:t>
      </w:r>
      <w:r w:rsidR="00C0261E" w:rsidRPr="009636D5">
        <w:rPr>
          <w:rFonts w:hAnsi="標楷體" w:hint="eastAsia"/>
          <w:b/>
        </w:rPr>
        <w:t>臺南市警局</w:t>
      </w:r>
      <w:r w:rsidR="004755F2" w:rsidRPr="009636D5">
        <w:rPr>
          <w:rFonts w:hAnsi="標楷體" w:hint="eastAsia"/>
          <w:b/>
        </w:rPr>
        <w:t>第二分局偵查隊在安排強盜案及搶奪案被害人</w:t>
      </w:r>
      <w:r w:rsidR="00C0261E" w:rsidRPr="009636D5">
        <w:rPr>
          <w:rFonts w:hAnsi="標楷體" w:hint="eastAsia"/>
          <w:b/>
        </w:rPr>
        <w:t>指認陳訴人時</w:t>
      </w:r>
      <w:r w:rsidR="00533B63">
        <w:rPr>
          <w:rFonts w:hAnsi="標楷體" w:hint="eastAsia"/>
          <w:b/>
        </w:rPr>
        <w:t>，</w:t>
      </w:r>
      <w:r w:rsidR="00C0261E">
        <w:rPr>
          <w:rFonts w:hAnsi="標楷體" w:hint="eastAsia"/>
          <w:b/>
        </w:rPr>
        <w:t>除強盜案部分</w:t>
      </w:r>
      <w:r w:rsidR="00263E51">
        <w:rPr>
          <w:rFonts w:hAnsi="標楷體" w:hint="eastAsia"/>
          <w:b/>
        </w:rPr>
        <w:t>另</w:t>
      </w:r>
      <w:r w:rsidR="00C0261E">
        <w:rPr>
          <w:rFonts w:hAnsi="標楷體" w:hint="eastAsia"/>
          <w:b/>
        </w:rPr>
        <w:t>有</w:t>
      </w:r>
      <w:r w:rsidR="00DD4D3D">
        <w:rPr>
          <w:rFonts w:hAnsi="標楷體" w:hint="eastAsia"/>
          <w:b/>
        </w:rPr>
        <w:t>「</w:t>
      </w:r>
      <w:r w:rsidR="00C0261E">
        <w:rPr>
          <w:rFonts w:hAnsi="標楷體" w:hint="eastAsia"/>
          <w:b/>
        </w:rPr>
        <w:t>僅提供陳訴人1人前科照片供王女指認</w:t>
      </w:r>
      <w:r w:rsidR="00DD4D3D">
        <w:rPr>
          <w:rFonts w:hAnsi="標楷體" w:hint="eastAsia"/>
          <w:b/>
        </w:rPr>
        <w:t>」</w:t>
      </w:r>
      <w:r w:rsidR="00C0261E">
        <w:rPr>
          <w:rFonts w:hAnsi="標楷體" w:hint="eastAsia"/>
          <w:b/>
        </w:rPr>
        <w:t>之瑕疵外，2案皆有</w:t>
      </w:r>
      <w:r w:rsidR="00DD4D3D">
        <w:rPr>
          <w:rFonts w:hAnsi="標楷體" w:hint="eastAsia"/>
          <w:b/>
        </w:rPr>
        <w:t>「</w:t>
      </w:r>
      <w:r w:rsidR="00C0261E">
        <w:rPr>
          <w:rFonts w:hAnsi="標楷體" w:hint="eastAsia"/>
          <w:b/>
        </w:rPr>
        <w:t>被指認人外型上有重大差異、</w:t>
      </w:r>
      <w:r w:rsidR="00DD4D3D">
        <w:rPr>
          <w:rFonts w:hAnsi="標楷體" w:hint="eastAsia"/>
          <w:b/>
        </w:rPr>
        <w:t>被指認之6人中僅有陳訴人1人著囚服戴手銬可能產生</w:t>
      </w:r>
      <w:r w:rsidR="00DD4D3D" w:rsidRPr="009636D5">
        <w:rPr>
          <w:rFonts w:hAnsi="標楷體" w:hint="eastAsia"/>
          <w:b/>
        </w:rPr>
        <w:t>暗示或誘導作用、未告知犯罪嫌疑人並不一定存在於被指認人之中」等指認瑕疵，違反上開指認規定</w:t>
      </w:r>
      <w:r w:rsidR="00263E51">
        <w:rPr>
          <w:rFonts w:hAnsi="標楷體" w:hint="eastAsia"/>
          <w:b/>
        </w:rPr>
        <w:t>，</w:t>
      </w:r>
      <w:r w:rsidR="00052664" w:rsidRPr="009636D5">
        <w:rPr>
          <w:rFonts w:hAnsi="標楷體" w:hint="eastAsia"/>
          <w:b/>
        </w:rPr>
        <w:t>臺南市警局</w:t>
      </w:r>
      <w:r w:rsidR="00222265">
        <w:rPr>
          <w:rFonts w:hAnsi="標楷體" w:cs="HiddenHorzOCR" w:hint="eastAsia"/>
          <w:b/>
          <w:kern w:val="0"/>
          <w:szCs w:val="32"/>
        </w:rPr>
        <w:t>第二分局應檢討改進</w:t>
      </w:r>
      <w:r w:rsidR="00222265">
        <w:rPr>
          <w:rFonts w:ascii="新細明體" w:eastAsia="新細明體" w:hAnsi="新細明體" w:cs="HiddenHorzOCR" w:hint="eastAsia"/>
          <w:b/>
          <w:kern w:val="0"/>
          <w:szCs w:val="32"/>
        </w:rPr>
        <w:t>。</w:t>
      </w:r>
    </w:p>
    <w:p w:rsidR="00C7589C" w:rsidRPr="008D169D" w:rsidRDefault="00676B0F" w:rsidP="00CE3387">
      <w:pPr>
        <w:pStyle w:val="3"/>
        <w:rPr>
          <w:b/>
        </w:rPr>
      </w:pPr>
      <w:r>
        <w:rPr>
          <w:rFonts w:hAnsi="標楷體" w:hint="eastAsia"/>
          <w:b/>
          <w:szCs w:val="48"/>
        </w:rPr>
        <w:t>依規定</w:t>
      </w:r>
      <w:r w:rsidR="009636D5" w:rsidRPr="009636D5">
        <w:rPr>
          <w:rFonts w:hAnsi="標楷體" w:hint="eastAsia"/>
          <w:b/>
          <w:szCs w:val="48"/>
        </w:rPr>
        <w:t>指認</w:t>
      </w:r>
      <w:r w:rsidR="00D42E1F" w:rsidRPr="009636D5">
        <w:rPr>
          <w:rFonts w:hAnsi="標楷體" w:hint="eastAsia"/>
          <w:b/>
          <w:szCs w:val="48"/>
        </w:rPr>
        <w:t>犯罪嫌疑人</w:t>
      </w:r>
      <w:r w:rsidR="009636D5" w:rsidRPr="009636D5">
        <w:rPr>
          <w:rFonts w:hAnsi="標楷體" w:hint="eastAsia"/>
          <w:b/>
          <w:szCs w:val="48"/>
        </w:rPr>
        <w:t>前應由指認人先陳述嫌疑人特徵，不得有任何可能暗示</w:t>
      </w:r>
      <w:r w:rsidR="00D42E1F">
        <w:rPr>
          <w:rFonts w:hAnsi="標楷體" w:hint="eastAsia"/>
          <w:b/>
          <w:szCs w:val="48"/>
        </w:rPr>
        <w:t>或</w:t>
      </w:r>
      <w:r w:rsidR="009636D5" w:rsidRPr="009636D5">
        <w:rPr>
          <w:rFonts w:hAnsi="標楷體" w:hint="eastAsia"/>
          <w:b/>
          <w:szCs w:val="48"/>
        </w:rPr>
        <w:t>誘導之安排出現，必須告訴指認人，犯罪嫌疑人並不一定存在於被指認人之中；應為非一對一之成列指認；被指認之人在外形上不得有重大差異；不得以單一相片提供指</w:t>
      </w:r>
      <w:r w:rsidR="009636D5" w:rsidRPr="009636D5">
        <w:rPr>
          <w:rFonts w:hAnsi="標楷體" w:hint="eastAsia"/>
          <w:b/>
          <w:szCs w:val="48"/>
        </w:rPr>
        <w:lastRenderedPageBreak/>
        <w:t>認</w:t>
      </w:r>
      <w:r w:rsidR="00D22A2C">
        <w:rPr>
          <w:rFonts w:hAnsi="標楷體" w:hint="eastAsia"/>
          <w:b/>
          <w:szCs w:val="48"/>
        </w:rPr>
        <w:t>等</w:t>
      </w:r>
      <w:r w:rsidR="00C7589C" w:rsidRPr="008D169D">
        <w:rPr>
          <w:rFonts w:hAnsi="標楷體" w:hint="eastAsia"/>
          <w:b/>
        </w:rPr>
        <w:t>：</w:t>
      </w:r>
    </w:p>
    <w:p w:rsidR="00A16E8C" w:rsidRDefault="00A16E8C" w:rsidP="00407ECE">
      <w:pPr>
        <w:pStyle w:val="4"/>
        <w:rPr>
          <w:rFonts w:hAnsi="標楷體"/>
        </w:rPr>
      </w:pPr>
      <w:r w:rsidRPr="00FF471F">
        <w:rPr>
          <w:rFonts w:hAnsi="標楷體" w:cs="HiddenHorzOCR" w:hint="eastAsia"/>
          <w:kern w:val="0"/>
        </w:rPr>
        <w:t>最高法院96年度台上字第404號</w:t>
      </w:r>
      <w:r>
        <w:rPr>
          <w:rFonts w:hAnsi="標楷體" w:cs="HiddenHorzOCR" w:hint="eastAsia"/>
          <w:kern w:val="0"/>
        </w:rPr>
        <w:t>判決指出，</w:t>
      </w:r>
      <w:r w:rsidRPr="00FF471F">
        <w:rPr>
          <w:rFonts w:hAnsi="標楷體" w:cs="HiddenHorzOCR" w:hint="eastAsia"/>
          <w:kern w:val="0"/>
        </w:rPr>
        <w:t>我國現行刑事訴訟法中，並未有關於指認程序之規定，目前司法警察</w:t>
      </w:r>
      <w:r>
        <w:rPr>
          <w:rFonts w:hAnsi="標楷體" w:cs="HiddenHorzOCR" w:hint="eastAsia"/>
          <w:kern w:val="0"/>
        </w:rPr>
        <w:t>(</w:t>
      </w:r>
      <w:r w:rsidRPr="00FF471F">
        <w:rPr>
          <w:rFonts w:hAnsi="標楷體" w:cs="HiddenHorzOCR" w:hint="eastAsia"/>
          <w:kern w:val="0"/>
        </w:rPr>
        <w:t>官</w:t>
      </w:r>
      <w:r>
        <w:rPr>
          <w:rFonts w:hAnsi="標楷體" w:cs="HiddenHorzOCR" w:hint="eastAsia"/>
          <w:kern w:val="0"/>
        </w:rPr>
        <w:t>)</w:t>
      </w:r>
      <w:r w:rsidRPr="00FF471F">
        <w:rPr>
          <w:rFonts w:hAnsi="標楷體" w:cs="HiddenHorzOCR" w:hint="eastAsia"/>
          <w:kern w:val="0"/>
        </w:rPr>
        <w:t>調查犯罪所為之指認，係依內政部警政署所發布之「警察機關實施指認犯罪嫌疑人程序要領」</w:t>
      </w:r>
      <w:r>
        <w:rPr>
          <w:rFonts w:hAnsi="標楷體" w:cs="HiddenHorzOCR" w:hint="eastAsia"/>
          <w:kern w:val="0"/>
        </w:rPr>
        <w:t>(</w:t>
      </w:r>
      <w:r w:rsidRPr="00FF471F">
        <w:rPr>
          <w:rFonts w:hAnsi="標楷體" w:cs="HiddenHorzOCR" w:hint="eastAsia"/>
          <w:kern w:val="0"/>
        </w:rPr>
        <w:t>於</w:t>
      </w:r>
      <w:r>
        <w:rPr>
          <w:rFonts w:hAnsi="標楷體" w:cs="HiddenHorzOCR" w:hint="eastAsia"/>
          <w:kern w:val="0"/>
        </w:rPr>
        <w:t>90</w:t>
      </w:r>
      <w:r w:rsidRPr="00FF471F">
        <w:rPr>
          <w:rFonts w:hAnsi="標楷體" w:cs="HiddenHorzOCR" w:hint="eastAsia"/>
          <w:kern w:val="0"/>
        </w:rPr>
        <w:t>年</w:t>
      </w:r>
      <w:r>
        <w:rPr>
          <w:rFonts w:hAnsi="標楷體" w:cs="HiddenHorzOCR" w:hint="eastAsia"/>
          <w:kern w:val="0"/>
        </w:rPr>
        <w:t>8</w:t>
      </w:r>
      <w:r w:rsidRPr="00FF471F">
        <w:rPr>
          <w:rFonts w:hAnsi="標楷體" w:cs="HiddenHorzOCR" w:hint="eastAsia"/>
          <w:kern w:val="0"/>
        </w:rPr>
        <w:t>月</w:t>
      </w:r>
      <w:r>
        <w:rPr>
          <w:rFonts w:hAnsi="標楷體" w:cs="HiddenHorzOCR" w:hint="eastAsia"/>
          <w:kern w:val="0"/>
        </w:rPr>
        <w:t>20</w:t>
      </w:r>
      <w:r w:rsidRPr="00FF471F">
        <w:rPr>
          <w:rFonts w:hAnsi="標楷體" w:cs="HiddenHorzOCR" w:hint="eastAsia"/>
          <w:kern w:val="0"/>
        </w:rPr>
        <w:t>日發布，</w:t>
      </w:r>
      <w:r>
        <w:rPr>
          <w:rFonts w:hAnsi="標楷體" w:cs="HiddenHorzOCR" w:hint="eastAsia"/>
          <w:kern w:val="0"/>
        </w:rPr>
        <w:t>92</w:t>
      </w:r>
      <w:r w:rsidRPr="00FF471F">
        <w:rPr>
          <w:rFonts w:hAnsi="標楷體" w:cs="HiddenHorzOCR" w:hint="eastAsia"/>
          <w:kern w:val="0"/>
        </w:rPr>
        <w:t>年</w:t>
      </w:r>
      <w:r>
        <w:rPr>
          <w:rFonts w:hAnsi="標楷體" w:cs="HiddenHorzOCR" w:hint="eastAsia"/>
          <w:kern w:val="0"/>
        </w:rPr>
        <w:t>8</w:t>
      </w:r>
      <w:r w:rsidRPr="00FF471F">
        <w:rPr>
          <w:rFonts w:hAnsi="標楷體" w:cs="HiddenHorzOCR" w:hint="eastAsia"/>
          <w:kern w:val="0"/>
        </w:rPr>
        <w:t>月</w:t>
      </w:r>
      <w:r>
        <w:rPr>
          <w:rFonts w:hAnsi="標楷體" w:cs="HiddenHorzOCR" w:hint="eastAsia"/>
          <w:kern w:val="0"/>
        </w:rPr>
        <w:t>12</w:t>
      </w:r>
      <w:r w:rsidRPr="00FF471F">
        <w:rPr>
          <w:rFonts w:hAnsi="標楷體" w:cs="HiddenHorzOCR" w:hint="eastAsia"/>
          <w:kern w:val="0"/>
        </w:rPr>
        <w:t>日修正列於「警察偵查犯罪規範」第</w:t>
      </w:r>
      <w:r>
        <w:rPr>
          <w:rFonts w:hAnsi="標楷體" w:cs="HiddenHorzOCR" w:hint="eastAsia"/>
          <w:kern w:val="0"/>
        </w:rPr>
        <w:t>92</w:t>
      </w:r>
      <w:r w:rsidRPr="00FF471F">
        <w:rPr>
          <w:rFonts w:hAnsi="標楷體" w:cs="HiddenHorzOCR" w:hint="eastAsia"/>
          <w:kern w:val="0"/>
        </w:rPr>
        <w:t>條</w:t>
      </w:r>
      <w:r>
        <w:rPr>
          <w:rFonts w:hAnsi="標楷體" w:cs="HiddenHorzOCR" w:hint="eastAsia"/>
          <w:kern w:val="0"/>
        </w:rPr>
        <w:t>)</w:t>
      </w:r>
      <w:r w:rsidRPr="00FF471F">
        <w:rPr>
          <w:rFonts w:hAnsi="標楷體" w:cs="HiddenHorzOCR" w:hint="eastAsia"/>
          <w:kern w:val="0"/>
        </w:rPr>
        <w:t>，規定如需實施被害人、檢舉人或目擊證人指認犯罪嫌疑人，應依下列要領為之：「一、指認前應由指認人先陳述嫌疑人特徵。二、指認前不得有任何可能暗示、誘導之安排出現。三、指認前必須告訴指認人，犯罪嫌疑人並不一定存在於被指認人之中。四、實施指認，應於偵訊室或適當處所為之。五、應為非一對一之成列指認</w:t>
      </w:r>
      <w:r>
        <w:rPr>
          <w:rFonts w:hAnsi="標楷體" w:cs="HiddenHorzOCR" w:hint="eastAsia"/>
          <w:kern w:val="0"/>
        </w:rPr>
        <w:t>(</w:t>
      </w:r>
      <w:r w:rsidRPr="00FF471F">
        <w:rPr>
          <w:rFonts w:hAnsi="標楷體" w:cs="HiddenHorzOCR" w:hint="eastAsia"/>
          <w:kern w:val="0"/>
        </w:rPr>
        <w:t>選擇式指認</w:t>
      </w:r>
      <w:r>
        <w:rPr>
          <w:rFonts w:hAnsi="標楷體" w:cs="HiddenHorzOCR" w:hint="eastAsia"/>
          <w:kern w:val="0"/>
        </w:rPr>
        <w:t>)</w:t>
      </w:r>
      <w:r w:rsidRPr="00FF471F">
        <w:rPr>
          <w:rFonts w:hAnsi="標楷體" w:cs="HiddenHorzOCR" w:hint="eastAsia"/>
          <w:kern w:val="0"/>
        </w:rPr>
        <w:t>。六、被指認之人在外形上不得有重大差異。七、實施指認應拍攝被指認人照片，並製作紀錄存證</w:t>
      </w:r>
      <w:r>
        <w:rPr>
          <w:rFonts w:hAnsi="標楷體" w:cs="HiddenHorzOCR" w:hint="eastAsia"/>
          <w:kern w:val="0"/>
        </w:rPr>
        <w:t>(</w:t>
      </w:r>
      <w:r w:rsidRPr="00FF471F">
        <w:rPr>
          <w:rFonts w:hAnsi="標楷體" w:cs="HiddenHorzOCR" w:hint="eastAsia"/>
          <w:kern w:val="0"/>
        </w:rPr>
        <w:t>紀錄表格式如附件</w:t>
      </w:r>
      <w:r>
        <w:rPr>
          <w:rFonts w:hAnsi="標楷體" w:cs="HiddenHorzOCR" w:hint="eastAsia"/>
          <w:kern w:val="0"/>
        </w:rPr>
        <w:t>)</w:t>
      </w:r>
      <w:r w:rsidRPr="00FF471F">
        <w:rPr>
          <w:rFonts w:hAnsi="標楷體" w:cs="HiddenHorzOCR" w:hint="eastAsia"/>
          <w:kern w:val="0"/>
        </w:rPr>
        <w:t>。八、實施照片指認，不得以單一相片提供指認，並避免提供老舊照片指認。」</w:t>
      </w:r>
      <w:r w:rsidR="00052664">
        <w:rPr>
          <w:rStyle w:val="aff"/>
          <w:rFonts w:hAnsi="標楷體" w:cs="HiddenHorzOCR"/>
          <w:kern w:val="0"/>
        </w:rPr>
        <w:footnoteReference w:id="2"/>
      </w:r>
      <w:r w:rsidRPr="00FF471F">
        <w:rPr>
          <w:rFonts w:hAnsi="標楷體" w:cs="HiddenHorzOCR" w:hint="eastAsia"/>
          <w:kern w:val="0"/>
        </w:rPr>
        <w:t>又法務部於</w:t>
      </w:r>
      <w:r>
        <w:rPr>
          <w:rFonts w:hAnsi="標楷體" w:cs="HiddenHorzOCR" w:hint="eastAsia"/>
          <w:kern w:val="0"/>
        </w:rPr>
        <w:t>93</w:t>
      </w:r>
      <w:r w:rsidRPr="00FF471F">
        <w:rPr>
          <w:rFonts w:hAnsi="標楷體" w:cs="HiddenHorzOCR" w:hint="eastAsia"/>
          <w:kern w:val="0"/>
        </w:rPr>
        <w:t>年</w:t>
      </w:r>
      <w:r>
        <w:rPr>
          <w:rFonts w:hAnsi="標楷體" w:cs="HiddenHorzOCR" w:hint="eastAsia"/>
          <w:kern w:val="0"/>
        </w:rPr>
        <w:t>6</w:t>
      </w:r>
      <w:r w:rsidRPr="00FF471F">
        <w:rPr>
          <w:rFonts w:hAnsi="標楷體" w:cs="HiddenHorzOCR" w:hint="eastAsia"/>
          <w:kern w:val="0"/>
        </w:rPr>
        <w:t>月</w:t>
      </w:r>
      <w:r>
        <w:rPr>
          <w:rFonts w:hAnsi="標楷體" w:cs="HiddenHorzOCR" w:hint="eastAsia"/>
          <w:kern w:val="0"/>
        </w:rPr>
        <w:t>23</w:t>
      </w:r>
      <w:r w:rsidRPr="00FF471F">
        <w:rPr>
          <w:rFonts w:hAnsi="標楷體" w:cs="HiddenHorzOCR" w:hint="eastAsia"/>
          <w:kern w:val="0"/>
        </w:rPr>
        <w:t>日修正發布之「檢察機關辦理刑事訴訟案件應行注意事項」，其第</w:t>
      </w:r>
      <w:r>
        <w:rPr>
          <w:rFonts w:hAnsi="標楷體" w:cs="HiddenHorzOCR" w:hint="eastAsia"/>
          <w:kern w:val="0"/>
        </w:rPr>
        <w:t>99</w:t>
      </w:r>
      <w:r w:rsidRPr="00FF471F">
        <w:rPr>
          <w:rFonts w:hAnsi="標楷體" w:cs="HiddenHorzOCR" w:hint="eastAsia"/>
          <w:kern w:val="0"/>
        </w:rPr>
        <w:t>點</w:t>
      </w:r>
      <w:r w:rsidR="00D22A2C">
        <w:rPr>
          <w:rStyle w:val="aff"/>
          <w:rFonts w:hAnsi="標楷體" w:cs="HiddenHorzOCR"/>
          <w:kern w:val="0"/>
        </w:rPr>
        <w:footnoteReference w:id="3"/>
      </w:r>
      <w:r w:rsidRPr="00FF471F">
        <w:rPr>
          <w:rFonts w:hAnsi="標楷體" w:cs="HiddenHorzOCR" w:hint="eastAsia"/>
          <w:kern w:val="0"/>
        </w:rPr>
        <w:t>亦有指認犯罪嫌疑人方式之相同</w:t>
      </w:r>
      <w:r w:rsidRPr="00FF471F">
        <w:rPr>
          <w:rFonts w:hAnsi="標楷體" w:cs="HiddenHorzOCR" w:hint="eastAsia"/>
          <w:kern w:val="0"/>
        </w:rPr>
        <w:lastRenderedPageBreak/>
        <w:t>規定，資為偵查中為指認之準據，俾使指認之程序正當化，袪除指認過程可能發生之誤導情事，提高案發之初所為指認之正確性，避免發生指認錯誤，造成錯判冤獄。上揭指認規則，係參酌先進法治國家實務運作之規範，旨在導正長期以來調</w:t>
      </w:r>
      <w:r>
        <w:rPr>
          <w:rFonts w:hAnsi="標楷體" w:cs="HiddenHorzOCR" w:hint="eastAsia"/>
          <w:kern w:val="0"/>
        </w:rPr>
        <w:t>(</w:t>
      </w:r>
      <w:r w:rsidRPr="00FF471F">
        <w:rPr>
          <w:rFonts w:hAnsi="標楷體" w:cs="HiddenHorzOCR" w:hint="eastAsia"/>
          <w:kern w:val="0"/>
        </w:rPr>
        <w:t>偵</w:t>
      </w:r>
      <w:r>
        <w:rPr>
          <w:rFonts w:hAnsi="標楷體" w:cs="HiddenHorzOCR" w:hint="eastAsia"/>
          <w:kern w:val="0"/>
        </w:rPr>
        <w:t>)</w:t>
      </w:r>
      <w:r w:rsidRPr="00FF471F">
        <w:rPr>
          <w:rFonts w:hAnsi="標楷體" w:cs="HiddenHorzOCR" w:hint="eastAsia"/>
          <w:kern w:val="0"/>
        </w:rPr>
        <w:t>查實務有關犯罪嫌疑人之指認程序草率，應認屬於保障犯罪嫌疑人之正當程序，具有補充法律規定不足之效果；且為內政部警政署及法務部依其行政監督權之行使所發布之命令，作為所屬機關人員於執行指認犯罪嫌疑人職務之依據，自有其拘束下級機關及屬官之效力，應認屬於具有法拘束力之法定正當程序。</w:t>
      </w:r>
    </w:p>
    <w:p w:rsidR="00C7589C" w:rsidRPr="00676B0F" w:rsidRDefault="00C60A3B" w:rsidP="00407ECE">
      <w:pPr>
        <w:pStyle w:val="4"/>
        <w:rPr>
          <w:rFonts w:hAnsi="標楷體"/>
        </w:rPr>
      </w:pPr>
      <w:r w:rsidRPr="00C60A3B">
        <w:rPr>
          <w:rFonts w:hAnsi="標楷體" w:cs="HiddenHorzOCR" w:hint="eastAsia"/>
          <w:kern w:val="0"/>
        </w:rPr>
        <w:t>前述「</w:t>
      </w:r>
      <w:r w:rsidRPr="00C60A3B">
        <w:rPr>
          <w:rFonts w:hAnsi="標楷體" w:cs="HiddenHorzOCR"/>
          <w:kern w:val="0"/>
        </w:rPr>
        <w:t>警察機關實施指認犯罪嫌疑人程序要領</w:t>
      </w:r>
      <w:r w:rsidRPr="00C60A3B">
        <w:rPr>
          <w:rFonts w:hAnsi="標楷體" w:cs="HiddenHorzOCR" w:hint="eastAsia"/>
          <w:kern w:val="0"/>
        </w:rPr>
        <w:t>」於</w:t>
      </w:r>
      <w:r w:rsidRPr="00C60A3B">
        <w:rPr>
          <w:rFonts w:hAnsi="標楷體" w:cs="HiddenHorzOCR"/>
          <w:kern w:val="0"/>
        </w:rPr>
        <w:t>106年1月26日</w:t>
      </w:r>
      <w:r w:rsidRPr="00C60A3B">
        <w:rPr>
          <w:rFonts w:hAnsi="標楷體" w:cs="HiddenHorzOCR" w:hint="eastAsia"/>
          <w:kern w:val="0"/>
        </w:rPr>
        <w:t>經</w:t>
      </w:r>
      <w:r w:rsidRPr="00C60A3B">
        <w:rPr>
          <w:rFonts w:hAnsi="標楷體" w:cs="HiddenHorzOCR"/>
          <w:kern w:val="0"/>
        </w:rPr>
        <w:t>內政部警政署修正發布名稱</w:t>
      </w:r>
      <w:r>
        <w:rPr>
          <w:rFonts w:hAnsi="標楷體" w:cs="HiddenHorzOCR" w:hint="eastAsia"/>
          <w:kern w:val="0"/>
        </w:rPr>
        <w:t>為「</w:t>
      </w:r>
      <w:r w:rsidRPr="00C60A3B">
        <w:rPr>
          <w:rFonts w:hAnsi="標楷體" w:cs="HiddenHorzOCR"/>
          <w:kern w:val="0"/>
        </w:rPr>
        <w:t>警察機關實施指認犯罪嫌疑人注意事</w:t>
      </w:r>
      <w:r>
        <w:rPr>
          <w:rFonts w:hAnsi="標楷體" w:cs="HiddenHorzOCR" w:hint="eastAsia"/>
          <w:kern w:val="0"/>
        </w:rPr>
        <w:t>項」</w:t>
      </w:r>
      <w:r w:rsidRPr="00C60A3B">
        <w:rPr>
          <w:rFonts w:hAnsi="標楷體" w:cs="HiddenHorzOCR"/>
          <w:kern w:val="0"/>
        </w:rPr>
        <w:t>及全文10點</w:t>
      </w:r>
      <w:r>
        <w:rPr>
          <w:rFonts w:hAnsi="標楷體" w:cs="HiddenHorzOCR" w:hint="eastAsia"/>
          <w:kern w:val="0"/>
        </w:rPr>
        <w:t>，嗣於107年8月10日修正，茲列述重要之指認規定：</w:t>
      </w:r>
    </w:p>
    <w:p w:rsidR="00B351DB" w:rsidRPr="00C60A3B" w:rsidRDefault="00C60A3B" w:rsidP="006344C0">
      <w:pPr>
        <w:pStyle w:val="5"/>
      </w:pPr>
      <w:r w:rsidRPr="00C60A3B">
        <w:rPr>
          <w:rFonts w:hint="eastAsia"/>
        </w:rPr>
        <w:t>實施指認，</w:t>
      </w:r>
      <w:r>
        <w:rPr>
          <w:rFonts w:hint="eastAsia"/>
        </w:rPr>
        <w:t>原則上</w:t>
      </w:r>
      <w:r w:rsidRPr="00C60A3B">
        <w:rPr>
          <w:rFonts w:hint="eastAsia"/>
        </w:rPr>
        <w:t>應指派非案件偵辦人員辦理。指認</w:t>
      </w:r>
      <w:r>
        <w:rPr>
          <w:rFonts w:hint="eastAsia"/>
        </w:rPr>
        <w:t>原則上</w:t>
      </w:r>
      <w:r w:rsidRPr="00C60A3B">
        <w:rPr>
          <w:rFonts w:hint="eastAsia"/>
        </w:rPr>
        <w:t>應於設置單面鏡之偵詢室或適當處所進行，並全程連續錄音及錄影。</w:t>
      </w:r>
      <w:r>
        <w:rPr>
          <w:rFonts w:hint="eastAsia"/>
        </w:rPr>
        <w:t>(第2點)</w:t>
      </w:r>
    </w:p>
    <w:p w:rsidR="00C60A3B" w:rsidRPr="00C60A3B" w:rsidRDefault="00C60A3B" w:rsidP="006344C0">
      <w:pPr>
        <w:pStyle w:val="5"/>
      </w:pPr>
      <w:r w:rsidRPr="00C60A3B">
        <w:rPr>
          <w:rFonts w:hint="eastAsia"/>
        </w:rPr>
        <w:t>指認前應由指認人先就犯罪嫌疑人特徵進行陳述，並詢問指認人與犯罪嫌疑人之關係及雙方實際接觸之時間地點，以確認指認人對於犯罪嫌疑人之知覺記憶為客觀可信。</w:t>
      </w:r>
      <w:r>
        <w:rPr>
          <w:rFonts w:hint="eastAsia"/>
        </w:rPr>
        <w:t>(第3點)</w:t>
      </w:r>
    </w:p>
    <w:p w:rsidR="00C60A3B" w:rsidRPr="003027C7" w:rsidRDefault="00C60A3B" w:rsidP="006344C0">
      <w:pPr>
        <w:pStyle w:val="5"/>
      </w:pPr>
      <w:r w:rsidRPr="00C60A3B">
        <w:rPr>
          <w:rFonts w:hint="eastAsia"/>
        </w:rPr>
        <w:t>指認前不得向指認人提供任何具暗示或誘導性之指示或資訊，並應告知指認人，犯罪嫌疑人</w:t>
      </w:r>
      <w:r w:rsidRPr="00C60A3B">
        <w:rPr>
          <w:rFonts w:hint="eastAsia"/>
        </w:rPr>
        <w:lastRenderedPageBreak/>
        <w:t>未必存在於被指認人之中。</w:t>
      </w:r>
      <w:r w:rsidR="003027C7">
        <w:rPr>
          <w:rFonts w:hint="eastAsia"/>
        </w:rPr>
        <w:t>(第4點)</w:t>
      </w:r>
    </w:p>
    <w:p w:rsidR="003027C7" w:rsidRPr="009F64F6" w:rsidRDefault="009F64F6" w:rsidP="006344C0">
      <w:pPr>
        <w:pStyle w:val="5"/>
      </w:pPr>
      <w:r w:rsidRPr="003027C7">
        <w:rPr>
          <w:rFonts w:hint="eastAsia"/>
        </w:rPr>
        <w:t>實施指認，應依指認人描述之犯罪嫌疑人特徵，安排</w:t>
      </w:r>
      <w:r>
        <w:rPr>
          <w:rFonts w:hint="eastAsia"/>
        </w:rPr>
        <w:t>6</w:t>
      </w:r>
      <w:r w:rsidRPr="003027C7">
        <w:rPr>
          <w:rFonts w:hint="eastAsia"/>
        </w:rPr>
        <w:t>名以上於外型無重大差異之被指認人，供指認人進行真人選擇式列隊指認。但犯罪嫌疑人係社會知名人士、與指認人互為熟識、曾與指認人長期近距離接觸或為經當場或持續追緝而逮捕之現行犯或準現行犯者，得以單一指認方式為之。</w:t>
      </w:r>
      <w:r>
        <w:rPr>
          <w:rFonts w:hint="eastAsia"/>
        </w:rPr>
        <w:t>(第5點)</w:t>
      </w:r>
    </w:p>
    <w:p w:rsidR="009F64F6" w:rsidRPr="009F64F6" w:rsidRDefault="009F64F6" w:rsidP="006344C0">
      <w:pPr>
        <w:pStyle w:val="5"/>
      </w:pPr>
      <w:r w:rsidRPr="009F64F6">
        <w:rPr>
          <w:rFonts w:hint="eastAsia"/>
        </w:rPr>
        <w:t>實施真人指認時，應使被指認人以不同之角度接受指認，並逐一拍攝被指認人照片。</w:t>
      </w:r>
      <w:r>
        <w:rPr>
          <w:rFonts w:hint="eastAsia"/>
        </w:rPr>
        <w:t>(第6點)</w:t>
      </w:r>
    </w:p>
    <w:p w:rsidR="009F64F6" w:rsidRPr="009F64F6" w:rsidRDefault="009F64F6" w:rsidP="006344C0">
      <w:pPr>
        <w:pStyle w:val="5"/>
      </w:pPr>
      <w:r w:rsidRPr="009F64F6">
        <w:rPr>
          <w:rFonts w:hint="eastAsia"/>
        </w:rPr>
        <w:t>實施照片指認時，不得以單一照片提供指認，並應以較新且較清晰之照片為之，避免使用時間久遠、規格差異過大或具有暗示效果之照片。實施監視錄影畫面指認或其他資料指認時，應參考前項要旨為之。</w:t>
      </w:r>
      <w:r>
        <w:rPr>
          <w:rFonts w:hint="eastAsia"/>
        </w:rPr>
        <w:t>(第7點)</w:t>
      </w:r>
    </w:p>
    <w:p w:rsidR="009F64F6" w:rsidRPr="009F64F6" w:rsidRDefault="009F64F6" w:rsidP="006344C0">
      <w:pPr>
        <w:pStyle w:val="5"/>
      </w:pPr>
      <w:r>
        <w:rPr>
          <w:rFonts w:hint="eastAsia"/>
        </w:rPr>
        <w:t>2</w:t>
      </w:r>
      <w:r w:rsidRPr="009F64F6">
        <w:rPr>
          <w:rFonts w:hint="eastAsia"/>
        </w:rPr>
        <w:t>名以上指認人就同一犯罪嫌疑人進行指認時，應予區隔，並先後為之。</w:t>
      </w:r>
      <w:r>
        <w:rPr>
          <w:rFonts w:hint="eastAsia"/>
        </w:rPr>
        <w:t>(第8點)</w:t>
      </w:r>
    </w:p>
    <w:p w:rsidR="00FE368E" w:rsidRDefault="009F64F6" w:rsidP="0023634C">
      <w:pPr>
        <w:pStyle w:val="3"/>
      </w:pPr>
      <w:r>
        <w:rPr>
          <w:rFonts w:hAnsi="標楷體" w:cs="HiddenHorzOCR" w:hint="eastAsia"/>
          <w:b/>
          <w:kern w:val="0"/>
          <w:szCs w:val="32"/>
        </w:rPr>
        <w:t>陳訴人主張</w:t>
      </w:r>
      <w:r w:rsidRPr="00E94D65">
        <w:rPr>
          <w:rFonts w:hAnsi="標楷體" w:cs="HiddenHorzOCR" w:hint="eastAsia"/>
          <w:b/>
          <w:kern w:val="0"/>
          <w:szCs w:val="32"/>
        </w:rPr>
        <w:t>本案</w:t>
      </w:r>
      <w:r w:rsidR="002B4BDB">
        <w:rPr>
          <w:rFonts w:hAnsi="標楷體" w:cs="HiddenHorzOCR" w:hint="eastAsia"/>
          <w:b/>
          <w:kern w:val="0"/>
          <w:szCs w:val="32"/>
        </w:rPr>
        <w:t>警察</w:t>
      </w:r>
      <w:r w:rsidRPr="00E94D65">
        <w:rPr>
          <w:rFonts w:hAnsi="標楷體" w:cs="MS Mincho" w:hint="eastAsia"/>
          <w:b/>
          <w:kern w:val="0"/>
          <w:szCs w:val="32"/>
        </w:rPr>
        <w:t>機關</w:t>
      </w:r>
      <w:r w:rsidR="009F4A1F">
        <w:rPr>
          <w:rFonts w:hAnsi="標楷體" w:cs="MS Mincho" w:hint="eastAsia"/>
          <w:b/>
          <w:kern w:val="0"/>
          <w:szCs w:val="32"/>
        </w:rPr>
        <w:t>有</w:t>
      </w:r>
      <w:r w:rsidRPr="00E94D65">
        <w:rPr>
          <w:rFonts w:hAnsi="標楷體" w:cs="MS Mincho" w:hint="eastAsia"/>
          <w:b/>
          <w:kern w:val="0"/>
          <w:szCs w:val="32"/>
        </w:rPr>
        <w:t>瑕疵不法之處</w:t>
      </w:r>
      <w:r w:rsidRPr="00E94D65">
        <w:rPr>
          <w:rFonts w:hAnsi="標楷體" w:cs="HiddenHorzOCR" w:hint="eastAsia"/>
          <w:b/>
          <w:kern w:val="0"/>
          <w:szCs w:val="32"/>
        </w:rPr>
        <w:t>：</w:t>
      </w:r>
    </w:p>
    <w:p w:rsidR="009F4A1F" w:rsidRDefault="009F4A1F" w:rsidP="009F4A1F">
      <w:pPr>
        <w:pStyle w:val="4"/>
      </w:pPr>
      <w:r w:rsidRPr="00C21CFC">
        <w:rPr>
          <w:rFonts w:hint="eastAsia"/>
        </w:rPr>
        <w:t>本案</w:t>
      </w:r>
      <w:r>
        <w:rPr>
          <w:rFonts w:hint="eastAsia"/>
        </w:rPr>
        <w:t>第</w:t>
      </w:r>
      <w:r w:rsidRPr="00C21CFC">
        <w:rPr>
          <w:rFonts w:hint="eastAsia"/>
        </w:rPr>
        <w:t>二分局草率辦理本</w:t>
      </w:r>
      <w:r>
        <w:rPr>
          <w:rFonts w:hint="eastAsia"/>
        </w:rPr>
        <w:t>案</w:t>
      </w:r>
      <w:r w:rsidRPr="00C21CFC">
        <w:rPr>
          <w:rFonts w:hint="eastAsia"/>
        </w:rPr>
        <w:t>指認程序，造成證人記憶之</w:t>
      </w:r>
      <w:r w:rsidR="00012FED">
        <w:rPr>
          <w:rFonts w:hint="eastAsia"/>
        </w:rPr>
        <w:t>污</w:t>
      </w:r>
      <w:r>
        <w:rPr>
          <w:rFonts w:hint="eastAsia"/>
        </w:rPr>
        <w:t>染：</w:t>
      </w:r>
    </w:p>
    <w:p w:rsidR="009F4A1F" w:rsidRPr="00731361" w:rsidRDefault="009F4A1F" w:rsidP="006344C0">
      <w:pPr>
        <w:pStyle w:val="5"/>
      </w:pPr>
      <w:r>
        <w:rPr>
          <w:rFonts w:hint="eastAsia"/>
        </w:rPr>
        <w:t>搶奪</w:t>
      </w:r>
      <w:r w:rsidRPr="00C21CFC">
        <w:rPr>
          <w:rFonts w:hint="eastAsia"/>
        </w:rPr>
        <w:t>罪部分，本案</w:t>
      </w:r>
      <w:r>
        <w:rPr>
          <w:rFonts w:hint="eastAsia"/>
        </w:rPr>
        <w:t>第</w:t>
      </w:r>
      <w:r w:rsidRPr="00C21CFC">
        <w:rPr>
          <w:rFonts w:hint="eastAsia"/>
        </w:rPr>
        <w:t>二分局安排陳訴人於身著囚</w:t>
      </w:r>
      <w:r>
        <w:rPr>
          <w:rFonts w:hint="eastAsia"/>
        </w:rPr>
        <w:t>服</w:t>
      </w:r>
      <w:r w:rsidRPr="00C21CFC">
        <w:rPr>
          <w:rFonts w:hint="eastAsia"/>
        </w:rPr>
        <w:t>、戴手</w:t>
      </w:r>
      <w:r w:rsidRPr="00C21CFC">
        <w:rPr>
          <w:rFonts w:cs="細明體" w:hint="eastAsia"/>
        </w:rPr>
        <w:t>銬腳</w:t>
      </w:r>
      <w:r>
        <w:rPr>
          <w:rFonts w:cs="細明體" w:hint="eastAsia"/>
        </w:rPr>
        <w:t>鐐戒</w:t>
      </w:r>
      <w:r w:rsidRPr="00C21CFC">
        <w:rPr>
          <w:rFonts w:cs="MS Mincho" w:hint="eastAsia"/>
        </w:rPr>
        <w:t>具之情況，接受被害人莊</w:t>
      </w:r>
      <w:r>
        <w:rPr>
          <w:rFonts w:hint="eastAsia"/>
        </w:rPr>
        <w:t>姓姊妹</w:t>
      </w:r>
      <w:r w:rsidRPr="00C21CFC">
        <w:rPr>
          <w:rFonts w:hint="eastAsia"/>
        </w:rPr>
        <w:t>列隊指認，該指認程序明顯違法不當</w:t>
      </w:r>
      <w:r>
        <w:rPr>
          <w:rFonts w:hint="eastAsia"/>
        </w:rPr>
        <w:t>：</w:t>
      </w:r>
    </w:p>
    <w:p w:rsidR="009F4A1F" w:rsidRPr="00E94D65" w:rsidRDefault="009F4A1F" w:rsidP="009F4A1F">
      <w:pPr>
        <w:pStyle w:val="6"/>
      </w:pPr>
      <w:r w:rsidRPr="00C21CFC">
        <w:rPr>
          <w:rFonts w:hint="eastAsia"/>
        </w:rPr>
        <w:t>經</w:t>
      </w:r>
      <w:r w:rsidRPr="00C21CFC">
        <w:rPr>
          <w:rFonts w:cs="細明體" w:hint="eastAsia"/>
        </w:rPr>
        <w:t>查</w:t>
      </w:r>
      <w:r w:rsidRPr="00C21CFC">
        <w:rPr>
          <w:rFonts w:cs="MS Mincho" w:hint="eastAsia"/>
        </w:rPr>
        <w:t>，未成年被害人莊</w:t>
      </w:r>
      <w:r>
        <w:rPr>
          <w:rFonts w:cs="MS Mincho" w:hint="eastAsia"/>
        </w:rPr>
        <w:t>姓妹妹</w:t>
      </w:r>
      <w:r w:rsidRPr="00C21CFC">
        <w:rPr>
          <w:rFonts w:hint="eastAsia"/>
        </w:rPr>
        <w:t>於</w:t>
      </w:r>
      <w:r w:rsidRPr="00C21CFC">
        <w:t>95</w:t>
      </w:r>
      <w:r w:rsidRPr="00C21CFC">
        <w:rPr>
          <w:rFonts w:hint="eastAsia"/>
        </w:rPr>
        <w:t>年</w:t>
      </w:r>
      <w:r>
        <w:t>2</w:t>
      </w:r>
      <w:r w:rsidRPr="00C21CFC">
        <w:rPr>
          <w:rFonts w:hint="eastAsia"/>
        </w:rPr>
        <w:t>月</w:t>
      </w:r>
      <w:r w:rsidRPr="00C21CFC">
        <w:t>10</w:t>
      </w:r>
      <w:r w:rsidRPr="00C21CFC">
        <w:rPr>
          <w:rFonts w:hint="eastAsia"/>
        </w:rPr>
        <w:t>日於警局第一次</w:t>
      </w:r>
      <w:r>
        <w:rPr>
          <w:rFonts w:hint="eastAsia"/>
        </w:rPr>
        <w:t>指</w:t>
      </w:r>
      <w:r w:rsidRPr="00C21CFC">
        <w:rPr>
          <w:rFonts w:hint="eastAsia"/>
        </w:rPr>
        <w:t>認陳訴人，警方未令莊</w:t>
      </w:r>
      <w:r>
        <w:rPr>
          <w:rFonts w:hint="eastAsia"/>
        </w:rPr>
        <w:t>姓妹妹</w:t>
      </w:r>
      <w:r w:rsidRPr="00C21CFC">
        <w:rPr>
          <w:rFonts w:hint="eastAsia"/>
        </w:rPr>
        <w:t>先陳述歹徒的特徵、當日所穿之衣物及騎乘之機車下，即安排</w:t>
      </w:r>
      <w:r>
        <w:rPr>
          <w:rFonts w:hint="eastAsia"/>
        </w:rPr>
        <w:t>陳訴人</w:t>
      </w:r>
      <w:r w:rsidRPr="00C21CFC">
        <w:rPr>
          <w:rFonts w:hint="eastAsia"/>
        </w:rPr>
        <w:t>身著囚服、並戴著手</w:t>
      </w:r>
      <w:r w:rsidRPr="00C21CFC">
        <w:rPr>
          <w:rFonts w:cs="細明體" w:hint="eastAsia"/>
        </w:rPr>
        <w:t>銬</w:t>
      </w:r>
      <w:r w:rsidRPr="00C21CFC">
        <w:rPr>
          <w:rFonts w:cs="MS Mincho" w:hint="eastAsia"/>
        </w:rPr>
        <w:t>、</w:t>
      </w:r>
      <w:r w:rsidRPr="00C21CFC">
        <w:rPr>
          <w:rFonts w:cs="細明體" w:hint="eastAsia"/>
        </w:rPr>
        <w:t>腳</w:t>
      </w:r>
      <w:r>
        <w:rPr>
          <w:rFonts w:cs="細明體" w:hint="eastAsia"/>
        </w:rPr>
        <w:t>鐐</w:t>
      </w:r>
      <w:r w:rsidRPr="00C21CFC">
        <w:rPr>
          <w:rFonts w:cs="MS Mincho" w:hint="eastAsia"/>
        </w:rPr>
        <w:t>之</w:t>
      </w:r>
      <w:r>
        <w:rPr>
          <w:rFonts w:cs="MS Mincho" w:hint="eastAsia"/>
        </w:rPr>
        <w:t>戒</w:t>
      </w:r>
      <w:r w:rsidRPr="00C21CFC">
        <w:rPr>
          <w:rFonts w:cs="MS Mincho" w:hint="eastAsia"/>
        </w:rPr>
        <w:t>具與</w:t>
      </w:r>
      <w:r w:rsidRPr="00C21CFC">
        <w:rPr>
          <w:rFonts w:hint="eastAsia"/>
        </w:rPr>
        <w:t>其他充數之人進行列隊指認，該指認明顯違法。</w:t>
      </w:r>
    </w:p>
    <w:p w:rsidR="009F4A1F" w:rsidRPr="00E94D65" w:rsidRDefault="009F4A1F" w:rsidP="009F4A1F">
      <w:pPr>
        <w:pStyle w:val="6"/>
      </w:pPr>
      <w:r w:rsidRPr="00C21CFC">
        <w:rPr>
          <w:rFonts w:hint="eastAsia"/>
        </w:rPr>
        <w:t>未成年被害人莊</w:t>
      </w:r>
      <w:r>
        <w:rPr>
          <w:rFonts w:hint="eastAsia"/>
        </w:rPr>
        <w:t>姓姊姊</w:t>
      </w:r>
      <w:r w:rsidRPr="00C21CFC">
        <w:rPr>
          <w:rFonts w:hint="eastAsia"/>
        </w:rPr>
        <w:t>亦於</w:t>
      </w:r>
      <w:r w:rsidRPr="00C21CFC">
        <w:t>95</w:t>
      </w:r>
      <w:r w:rsidRPr="00C21CFC">
        <w:rPr>
          <w:rFonts w:hint="eastAsia"/>
        </w:rPr>
        <w:t>年</w:t>
      </w:r>
      <w:r w:rsidRPr="00C21CFC">
        <w:t>2</w:t>
      </w:r>
      <w:r w:rsidRPr="00C21CFC">
        <w:rPr>
          <w:rFonts w:hint="eastAsia"/>
        </w:rPr>
        <w:t>月</w:t>
      </w:r>
      <w:r w:rsidRPr="00C21CFC">
        <w:t>10</w:t>
      </w:r>
      <w:r w:rsidRPr="00C21CFC">
        <w:rPr>
          <w:rFonts w:hint="eastAsia"/>
        </w:rPr>
        <w:t>日於</w:t>
      </w:r>
      <w:r w:rsidRPr="00C21CFC">
        <w:rPr>
          <w:rFonts w:hint="eastAsia"/>
        </w:rPr>
        <w:lastRenderedPageBreak/>
        <w:t>警局製作筆錄，依據該次訊問光碟逐字稿可知，莊</w:t>
      </w:r>
      <w:r>
        <w:rPr>
          <w:rFonts w:hint="eastAsia"/>
        </w:rPr>
        <w:t>姓姊姊</w:t>
      </w:r>
      <w:r w:rsidRPr="00C21CFC">
        <w:rPr>
          <w:rFonts w:hint="eastAsia"/>
        </w:rPr>
        <w:t>已陳述該名行搶之行為人之特徵</w:t>
      </w:r>
      <w:r>
        <w:rPr>
          <w:rFonts w:hint="eastAsia"/>
        </w:rPr>
        <w:t>：「</w:t>
      </w:r>
      <w:r w:rsidRPr="00C21CFC">
        <w:rPr>
          <w:rFonts w:hint="eastAsia"/>
        </w:rPr>
        <w:t>差不多</w:t>
      </w:r>
      <w:r w:rsidRPr="00C21CFC">
        <w:t>30</w:t>
      </w:r>
      <w:r w:rsidRPr="00C21CFC">
        <w:rPr>
          <w:rFonts w:hint="eastAsia"/>
        </w:rPr>
        <w:t>幾</w:t>
      </w:r>
      <w:r w:rsidRPr="00C21CFC">
        <w:rPr>
          <w:rFonts w:cs="細明體" w:hint="eastAsia"/>
        </w:rPr>
        <w:t>歲</w:t>
      </w:r>
      <w:r w:rsidRPr="00C21CFC">
        <w:rPr>
          <w:rFonts w:cs="MS Mincho" w:hint="eastAsia"/>
        </w:rPr>
        <w:t>」、</w:t>
      </w:r>
      <w:r w:rsidRPr="00C21CFC">
        <w:rPr>
          <w:rFonts w:hint="eastAsia"/>
        </w:rPr>
        <w:t>「短頭髮」、「頭髮前面一</w:t>
      </w:r>
      <w:r>
        <w:rPr>
          <w:rFonts w:hint="eastAsia"/>
        </w:rPr>
        <w:t>撮</w:t>
      </w:r>
      <w:r w:rsidRPr="00C21CFC">
        <w:rPr>
          <w:rFonts w:hint="eastAsia"/>
        </w:rPr>
        <w:t>白白的」、「眉毛比較粗」、「矮矮壯壯的」等特徵，</w:t>
      </w:r>
      <w:r>
        <w:rPr>
          <w:rFonts w:hint="eastAsia"/>
        </w:rPr>
        <w:t>惟第</w:t>
      </w:r>
      <w:r w:rsidRPr="00C21CFC">
        <w:rPr>
          <w:rFonts w:hint="eastAsia"/>
        </w:rPr>
        <w:t>二分局安排陳訴人之外其他充數之人全無該證人陳述之特徵，反是</w:t>
      </w:r>
      <w:r>
        <w:rPr>
          <w:rFonts w:hint="eastAsia"/>
        </w:rPr>
        <w:t>陳訴人</w:t>
      </w:r>
      <w:r w:rsidRPr="00C21CFC">
        <w:rPr>
          <w:rFonts w:hint="eastAsia"/>
        </w:rPr>
        <w:t>身著囚服、並戴著手</w:t>
      </w:r>
      <w:r w:rsidRPr="00C21CFC">
        <w:rPr>
          <w:rFonts w:cs="細明體" w:hint="eastAsia"/>
        </w:rPr>
        <w:t>銬</w:t>
      </w:r>
      <w:r w:rsidRPr="00C21CFC">
        <w:rPr>
          <w:rFonts w:cs="MS Mincho" w:hint="eastAsia"/>
        </w:rPr>
        <w:t>、</w:t>
      </w:r>
      <w:r w:rsidRPr="00C21CFC">
        <w:rPr>
          <w:rFonts w:cs="細明體" w:hint="eastAsia"/>
        </w:rPr>
        <w:t>腳</w:t>
      </w:r>
      <w:r>
        <w:rPr>
          <w:rFonts w:hint="eastAsia"/>
        </w:rPr>
        <w:t>鐐</w:t>
      </w:r>
      <w:r w:rsidRPr="00C21CFC">
        <w:rPr>
          <w:rFonts w:hint="eastAsia"/>
        </w:rPr>
        <w:t>之</w:t>
      </w:r>
      <w:r>
        <w:rPr>
          <w:rFonts w:hint="eastAsia"/>
        </w:rPr>
        <w:t>戒具</w:t>
      </w:r>
      <w:r w:rsidRPr="00C21CFC">
        <w:rPr>
          <w:rFonts w:hint="eastAsia"/>
        </w:rPr>
        <w:t>。</w:t>
      </w:r>
    </w:p>
    <w:p w:rsidR="009F4A1F" w:rsidRPr="00731361" w:rsidRDefault="009F4A1F" w:rsidP="009F4A1F">
      <w:pPr>
        <w:pStyle w:val="6"/>
      </w:pPr>
      <w:r w:rsidRPr="00C21CFC">
        <w:rPr>
          <w:rFonts w:hint="eastAsia"/>
        </w:rPr>
        <w:t>依當日錄影畫面，莊</w:t>
      </w:r>
      <w:r>
        <w:rPr>
          <w:rFonts w:hint="eastAsia"/>
        </w:rPr>
        <w:t>姓姊妹分別</w:t>
      </w:r>
      <w:r w:rsidRPr="00C21CFC">
        <w:rPr>
          <w:rFonts w:hint="eastAsia"/>
        </w:rPr>
        <w:t>站在指認室之單面鏡外，全程觀看施用手</w:t>
      </w:r>
      <w:r w:rsidRPr="00C21CFC">
        <w:rPr>
          <w:rFonts w:cs="細明體" w:hint="eastAsia"/>
        </w:rPr>
        <w:t>銬</w:t>
      </w:r>
      <w:r w:rsidRPr="00C21CFC">
        <w:rPr>
          <w:rFonts w:cs="MS Mincho" w:hint="eastAsia"/>
        </w:rPr>
        <w:t>、</w:t>
      </w:r>
      <w:r w:rsidRPr="00C21CFC">
        <w:rPr>
          <w:rFonts w:cs="細明體" w:hint="eastAsia"/>
        </w:rPr>
        <w:t>腳</w:t>
      </w:r>
      <w:r>
        <w:rPr>
          <w:rFonts w:cs="細明體" w:hint="eastAsia"/>
        </w:rPr>
        <w:t>鐐</w:t>
      </w:r>
      <w:r w:rsidRPr="00C21CFC">
        <w:rPr>
          <w:rFonts w:cs="MS Mincho" w:hint="eastAsia"/>
        </w:rPr>
        <w:t>的陳訴人被</w:t>
      </w:r>
      <w:r w:rsidRPr="00C21CFC">
        <w:rPr>
          <w:rFonts w:hint="eastAsia"/>
        </w:rPr>
        <w:t>警方安排於其他警員中供</w:t>
      </w:r>
      <w:r>
        <w:rPr>
          <w:rFonts w:hint="eastAsia"/>
        </w:rPr>
        <w:t>指</w:t>
      </w:r>
      <w:r w:rsidRPr="00C21CFC">
        <w:rPr>
          <w:rFonts w:hint="eastAsia"/>
        </w:rPr>
        <w:t>認，甚至於其後更換排列順序作第二次列隊指認時，亦在被害人面前更換，其間更有警員對陳訴人大聲斥責等情，</w:t>
      </w:r>
      <w:r w:rsidRPr="00C21CFC">
        <w:t xml:space="preserve"> </w:t>
      </w:r>
      <w:r w:rsidRPr="00C21CFC">
        <w:rPr>
          <w:rFonts w:hint="eastAsia"/>
        </w:rPr>
        <w:t>至為草率，其目的並非讓莊</w:t>
      </w:r>
      <w:r>
        <w:rPr>
          <w:rFonts w:hint="eastAsia"/>
        </w:rPr>
        <w:t>姓姊妹</w:t>
      </w:r>
      <w:r w:rsidRPr="00C21CFC">
        <w:rPr>
          <w:rFonts w:hint="eastAsia"/>
        </w:rPr>
        <w:t>辨明歹徒為何人，僅</w:t>
      </w:r>
      <w:r>
        <w:rPr>
          <w:rFonts w:hint="eastAsia"/>
        </w:rPr>
        <w:t>係</w:t>
      </w:r>
      <w:r w:rsidRPr="00C21CFC">
        <w:rPr>
          <w:rFonts w:hint="eastAsia"/>
        </w:rPr>
        <w:t>為製造有罪證據交差而已，毫無可信性可言。依</w:t>
      </w:r>
      <w:r>
        <w:rPr>
          <w:rFonts w:hint="eastAsia"/>
        </w:rPr>
        <w:t>當</w:t>
      </w:r>
      <w:r w:rsidRPr="00C21CFC">
        <w:rPr>
          <w:rFonts w:hint="eastAsia"/>
        </w:rPr>
        <w:t>時適用之</w:t>
      </w:r>
      <w:r w:rsidRPr="00C21CFC">
        <w:rPr>
          <w:rFonts w:cs="細明體" w:hint="eastAsia"/>
        </w:rPr>
        <w:t>內</w:t>
      </w:r>
      <w:r w:rsidRPr="00C21CFC">
        <w:rPr>
          <w:rFonts w:cs="MS Mincho" w:hint="eastAsia"/>
        </w:rPr>
        <w:t>政部警政署</w:t>
      </w:r>
      <w:r w:rsidRPr="00C21CFC">
        <w:t>90</w:t>
      </w:r>
      <w:r w:rsidRPr="00C21CFC">
        <w:rPr>
          <w:rFonts w:hint="eastAsia"/>
        </w:rPr>
        <w:t>年</w:t>
      </w:r>
      <w:r w:rsidRPr="00C21CFC">
        <w:t>8</w:t>
      </w:r>
      <w:r w:rsidRPr="00C21CFC">
        <w:rPr>
          <w:rFonts w:hint="eastAsia"/>
        </w:rPr>
        <w:t>月</w:t>
      </w:r>
      <w:r w:rsidRPr="00C21CFC">
        <w:t>20</w:t>
      </w:r>
      <w:r w:rsidRPr="00C21CFC">
        <w:rPr>
          <w:rFonts w:hint="eastAsia"/>
        </w:rPr>
        <w:t>日頒佈「警察機關實施指認犯罪嫌疑人程序要領」之規定，本次</w:t>
      </w:r>
      <w:r>
        <w:rPr>
          <w:rFonts w:hint="eastAsia"/>
        </w:rPr>
        <w:t>指</w:t>
      </w:r>
      <w:r w:rsidRPr="00C21CFC">
        <w:rPr>
          <w:rFonts w:hint="eastAsia"/>
        </w:rPr>
        <w:t>認至少有</w:t>
      </w:r>
      <w:r>
        <w:rPr>
          <w:rFonts w:hint="eastAsia"/>
        </w:rPr>
        <w:sym w:font="Wingdings 2" w:char="F06A"/>
      </w:r>
      <w:r w:rsidRPr="00C21CFC">
        <w:rPr>
          <w:rFonts w:hint="eastAsia"/>
        </w:rPr>
        <w:t>指認前未由指認人先陳述犯罪嫌疑人特徵</w:t>
      </w:r>
      <w:r>
        <w:rPr>
          <w:rFonts w:hint="eastAsia"/>
        </w:rPr>
        <w:t>；</w:t>
      </w:r>
      <w:r>
        <w:rPr>
          <w:rFonts w:hint="eastAsia"/>
        </w:rPr>
        <w:sym w:font="Wingdings 2" w:char="F06B"/>
      </w:r>
      <w:r w:rsidRPr="00C21CFC">
        <w:rPr>
          <w:rFonts w:hint="eastAsia"/>
        </w:rPr>
        <w:t>被指認人外型上有重大差異</w:t>
      </w:r>
      <w:r>
        <w:rPr>
          <w:rFonts w:hint="eastAsia"/>
        </w:rPr>
        <w:t>；</w:t>
      </w:r>
      <w:r>
        <w:rPr>
          <w:rFonts w:hint="eastAsia"/>
        </w:rPr>
        <w:sym w:font="Wingdings 2" w:char="F06C"/>
      </w:r>
      <w:r w:rsidRPr="00C21CFC">
        <w:rPr>
          <w:rFonts w:hint="eastAsia"/>
        </w:rPr>
        <w:t>僅有陳訴人一人著囚服、手</w:t>
      </w:r>
      <w:r w:rsidRPr="00C21CFC">
        <w:rPr>
          <w:rFonts w:cs="細明體" w:hint="eastAsia"/>
        </w:rPr>
        <w:t>銬</w:t>
      </w:r>
      <w:r w:rsidRPr="00C21CFC">
        <w:rPr>
          <w:rFonts w:cs="MS Mincho" w:hint="eastAsia"/>
        </w:rPr>
        <w:t>、</w:t>
      </w:r>
      <w:r w:rsidRPr="00C21CFC">
        <w:rPr>
          <w:rFonts w:cs="細明體" w:hint="eastAsia"/>
        </w:rPr>
        <w:t>腳</w:t>
      </w:r>
      <w:r>
        <w:rPr>
          <w:rFonts w:cs="MS Mincho" w:hint="eastAsia"/>
        </w:rPr>
        <w:t>鐐</w:t>
      </w:r>
      <w:r w:rsidRPr="00C21CFC">
        <w:rPr>
          <w:rFonts w:cs="MS Mincho" w:hint="eastAsia"/>
        </w:rPr>
        <w:t>情狀下，</w:t>
      </w:r>
      <w:r w:rsidRPr="00C21CFC">
        <w:rPr>
          <w:rFonts w:hint="eastAsia"/>
        </w:rPr>
        <w:t>顯屬</w:t>
      </w:r>
      <w:r>
        <w:rPr>
          <w:rFonts w:hint="eastAsia"/>
        </w:rPr>
        <w:t>暗</w:t>
      </w:r>
      <w:r w:rsidRPr="00C21CFC">
        <w:rPr>
          <w:rFonts w:hint="eastAsia"/>
        </w:rPr>
        <w:t>示、誘導之安排</w:t>
      </w:r>
      <w:r>
        <w:rPr>
          <w:rFonts w:hint="eastAsia"/>
        </w:rPr>
        <w:t>；</w:t>
      </w:r>
      <w:r>
        <w:rPr>
          <w:rFonts w:hint="eastAsia"/>
        </w:rPr>
        <w:sym w:font="Wingdings 2" w:char="F06D"/>
      </w:r>
      <w:r w:rsidRPr="00C21CFC">
        <w:rPr>
          <w:rFonts w:hint="eastAsia"/>
        </w:rPr>
        <w:t>未告知犯罪嫌疑人並不一定存於被指認人之中</w:t>
      </w:r>
      <w:r>
        <w:rPr>
          <w:rFonts w:hint="eastAsia"/>
        </w:rPr>
        <w:t>等</w:t>
      </w:r>
      <w:r w:rsidRPr="00C21CFC">
        <w:rPr>
          <w:rFonts w:hint="eastAsia"/>
        </w:rPr>
        <w:t>瑕疵，不符該</w:t>
      </w:r>
      <w:r>
        <w:rPr>
          <w:rFonts w:hint="eastAsia"/>
        </w:rPr>
        <w:t>程序</w:t>
      </w:r>
      <w:r w:rsidRPr="00C21CFC">
        <w:rPr>
          <w:rFonts w:hint="eastAsia"/>
        </w:rPr>
        <w:t>要領</w:t>
      </w:r>
      <w:r>
        <w:rPr>
          <w:rFonts w:ascii="新細明體" w:eastAsia="新細明體" w:hAnsi="新細明體" w:hint="eastAsia"/>
        </w:rPr>
        <w:t>。</w:t>
      </w:r>
    </w:p>
    <w:p w:rsidR="009F4A1F" w:rsidRPr="00FB454F" w:rsidRDefault="009F4A1F" w:rsidP="006344C0">
      <w:pPr>
        <w:pStyle w:val="5"/>
      </w:pPr>
      <w:r>
        <w:rPr>
          <w:rFonts w:hint="eastAsia"/>
        </w:rPr>
        <w:t>強盜</w:t>
      </w:r>
      <w:r w:rsidRPr="00C21CFC">
        <w:rPr>
          <w:rFonts w:hint="eastAsia"/>
        </w:rPr>
        <w:t>罪部分，</w:t>
      </w:r>
      <w:r>
        <w:rPr>
          <w:rFonts w:hint="eastAsia"/>
        </w:rPr>
        <w:t>第</w:t>
      </w:r>
      <w:r w:rsidRPr="00C21CFC">
        <w:rPr>
          <w:rFonts w:hint="eastAsia"/>
        </w:rPr>
        <w:t>二分局先提供陳訴人單一照片供證人王</w:t>
      </w:r>
      <w:r>
        <w:rPr>
          <w:rFonts w:hint="eastAsia"/>
        </w:rPr>
        <w:t>女</w:t>
      </w:r>
      <w:r w:rsidRPr="00C21CFC">
        <w:rPr>
          <w:rFonts w:hint="eastAsia"/>
        </w:rPr>
        <w:t>指認，再安排陳訴人於身著囚服、施用手</w:t>
      </w:r>
      <w:r w:rsidRPr="00C21CFC">
        <w:rPr>
          <w:rFonts w:cs="細明體" w:hint="eastAsia"/>
        </w:rPr>
        <w:t>銬</w:t>
      </w:r>
      <w:r w:rsidRPr="00C21CFC">
        <w:rPr>
          <w:rFonts w:cs="MS Mincho" w:hint="eastAsia"/>
        </w:rPr>
        <w:t>、</w:t>
      </w:r>
      <w:r w:rsidRPr="00C21CFC">
        <w:rPr>
          <w:rFonts w:cs="細明體" w:hint="eastAsia"/>
        </w:rPr>
        <w:t>腳</w:t>
      </w:r>
      <w:r>
        <w:rPr>
          <w:rFonts w:cs="細明體" w:hint="eastAsia"/>
        </w:rPr>
        <w:t>鐐</w:t>
      </w:r>
      <w:r w:rsidRPr="00C21CFC">
        <w:rPr>
          <w:rFonts w:hint="eastAsia"/>
        </w:rPr>
        <w:t>戒具之情況接受列隊指認，該指認程序亦有明顯違法不當</w:t>
      </w:r>
      <w:r>
        <w:rPr>
          <w:rFonts w:hint="eastAsia"/>
        </w:rPr>
        <w:t>：</w:t>
      </w:r>
    </w:p>
    <w:p w:rsidR="009F4A1F" w:rsidRPr="00FB454F" w:rsidRDefault="009F4A1F" w:rsidP="009F4A1F">
      <w:pPr>
        <w:pStyle w:val="6"/>
      </w:pPr>
      <w:r>
        <w:rPr>
          <w:rFonts w:hint="eastAsia"/>
        </w:rPr>
        <w:t>第</w:t>
      </w:r>
      <w:r w:rsidRPr="00C21CFC">
        <w:rPr>
          <w:rFonts w:hint="eastAsia"/>
        </w:rPr>
        <w:t>二分局於</w:t>
      </w:r>
      <w:r w:rsidRPr="00C21CFC">
        <w:t>95</w:t>
      </w:r>
      <w:r w:rsidRPr="00C21CFC">
        <w:rPr>
          <w:rFonts w:hint="eastAsia"/>
        </w:rPr>
        <w:t>年</w:t>
      </w:r>
      <w:r w:rsidRPr="00C21CFC">
        <w:t>2</w:t>
      </w:r>
      <w:r w:rsidRPr="00C21CFC">
        <w:rPr>
          <w:rFonts w:hint="eastAsia"/>
        </w:rPr>
        <w:t>月</w:t>
      </w:r>
      <w:r w:rsidRPr="00C21CFC">
        <w:t>8</w:t>
      </w:r>
      <w:r w:rsidRPr="00C21CFC">
        <w:rPr>
          <w:rFonts w:hint="eastAsia"/>
        </w:rPr>
        <w:t>日</w:t>
      </w:r>
      <w:r>
        <w:rPr>
          <w:rFonts w:hint="eastAsia"/>
        </w:rPr>
        <w:t>通知</w:t>
      </w:r>
      <w:r w:rsidRPr="00C21CFC">
        <w:rPr>
          <w:rFonts w:hint="eastAsia"/>
        </w:rPr>
        <w:t>證人王</w:t>
      </w:r>
      <w:r>
        <w:rPr>
          <w:rFonts w:hint="eastAsia"/>
        </w:rPr>
        <w:t>女指</w:t>
      </w:r>
      <w:r w:rsidRPr="00C21CFC">
        <w:rPr>
          <w:rFonts w:hint="eastAsia"/>
        </w:rPr>
        <w:t>認，</w:t>
      </w:r>
      <w:r>
        <w:rPr>
          <w:rFonts w:hint="eastAsia"/>
        </w:rPr>
        <w:t>係</w:t>
      </w:r>
      <w:r w:rsidRPr="00C21CFC">
        <w:rPr>
          <w:rFonts w:hint="eastAsia"/>
        </w:rPr>
        <w:t>於王</w:t>
      </w:r>
      <w:r>
        <w:rPr>
          <w:rFonts w:hint="eastAsia"/>
        </w:rPr>
        <w:t>女</w:t>
      </w:r>
      <w:r w:rsidRPr="00C21CFC">
        <w:rPr>
          <w:rFonts w:hint="eastAsia"/>
        </w:rPr>
        <w:t>尚未陳述嫌疑人的特徵下，即提示載有陳訴人年籍、姓名、身高之資料照</w:t>
      </w:r>
      <w:r w:rsidRPr="00C21CFC">
        <w:rPr>
          <w:rFonts w:hint="eastAsia"/>
        </w:rPr>
        <w:lastRenderedPageBreak/>
        <w:t>及</w:t>
      </w:r>
      <w:r>
        <w:rPr>
          <w:rFonts w:hint="eastAsia"/>
        </w:rPr>
        <w:t>陳訴</w:t>
      </w:r>
      <w:r w:rsidRPr="00C21CFC">
        <w:rPr>
          <w:rFonts w:hint="eastAsia"/>
        </w:rPr>
        <w:t>人於前</w:t>
      </w:r>
      <w:r>
        <w:rPr>
          <w:rFonts w:hint="eastAsia"/>
        </w:rPr>
        <w:t>案</w:t>
      </w:r>
      <w:r w:rsidRPr="00C21CFC">
        <w:rPr>
          <w:rFonts w:hint="eastAsia"/>
        </w:rPr>
        <w:t>留存之語音檔，供王</w:t>
      </w:r>
      <w:r>
        <w:rPr>
          <w:rFonts w:hint="eastAsia"/>
        </w:rPr>
        <w:t>女為「是非式之單一指</w:t>
      </w:r>
      <w:r w:rsidRPr="00C21CFC">
        <w:rPr>
          <w:rFonts w:hint="eastAsia"/>
        </w:rPr>
        <w:t>認</w:t>
      </w:r>
      <w:r>
        <w:rPr>
          <w:rFonts w:hint="eastAsia"/>
        </w:rPr>
        <w:t>」，</w:t>
      </w:r>
      <w:r w:rsidRPr="00C21CFC">
        <w:rPr>
          <w:rFonts w:hint="eastAsia"/>
        </w:rPr>
        <w:t>此</w:t>
      </w:r>
      <w:r>
        <w:rPr>
          <w:rFonts w:hint="eastAsia"/>
        </w:rPr>
        <w:t>指</w:t>
      </w:r>
      <w:r w:rsidRPr="00C21CFC">
        <w:rPr>
          <w:rFonts w:hint="eastAsia"/>
        </w:rPr>
        <w:t>認過程</w:t>
      </w:r>
      <w:r>
        <w:rPr>
          <w:rFonts w:hint="eastAsia"/>
        </w:rPr>
        <w:t>完全不符指</w:t>
      </w:r>
      <w:r w:rsidRPr="00C21CFC">
        <w:rPr>
          <w:rFonts w:hint="eastAsia"/>
        </w:rPr>
        <w:t>認相關規範，已嚴重</w:t>
      </w:r>
      <w:r w:rsidR="00012FED">
        <w:rPr>
          <w:rFonts w:hint="eastAsia"/>
        </w:rPr>
        <w:t>污</w:t>
      </w:r>
      <w:r w:rsidRPr="00C21CFC">
        <w:rPr>
          <w:rFonts w:hint="eastAsia"/>
        </w:rPr>
        <w:t>染王</w:t>
      </w:r>
      <w:r>
        <w:rPr>
          <w:rFonts w:hint="eastAsia"/>
        </w:rPr>
        <w:t>女</w:t>
      </w:r>
      <w:r w:rsidRPr="00C21CFC">
        <w:rPr>
          <w:rFonts w:hint="eastAsia"/>
        </w:rPr>
        <w:t>之記憶</w:t>
      </w:r>
      <w:r>
        <w:rPr>
          <w:rFonts w:ascii="新細明體" w:eastAsia="新細明體" w:hAnsi="新細明體" w:hint="eastAsia"/>
        </w:rPr>
        <w:t>。</w:t>
      </w:r>
    </w:p>
    <w:p w:rsidR="009F4A1F" w:rsidRPr="00FB454F" w:rsidRDefault="009F4A1F" w:rsidP="009F4A1F">
      <w:pPr>
        <w:pStyle w:val="6"/>
      </w:pPr>
      <w:r>
        <w:rPr>
          <w:rFonts w:hint="eastAsia"/>
        </w:rPr>
        <w:t>嗣</w:t>
      </w:r>
      <w:r w:rsidRPr="00C21CFC">
        <w:rPr>
          <w:rFonts w:hint="eastAsia"/>
        </w:rPr>
        <w:t>於</w:t>
      </w:r>
      <w:r w:rsidRPr="00C21CFC">
        <w:t>95</w:t>
      </w:r>
      <w:r w:rsidRPr="00C21CFC">
        <w:rPr>
          <w:rFonts w:hint="eastAsia"/>
        </w:rPr>
        <w:t>年</w:t>
      </w:r>
      <w:r w:rsidRPr="00C21CFC">
        <w:t>2</w:t>
      </w:r>
      <w:r w:rsidRPr="00C21CFC">
        <w:rPr>
          <w:rFonts w:hint="eastAsia"/>
        </w:rPr>
        <w:t>月</w:t>
      </w:r>
      <w:r w:rsidRPr="00C21CFC">
        <w:t>10</w:t>
      </w:r>
      <w:r w:rsidRPr="00C21CFC">
        <w:rPr>
          <w:rFonts w:hint="eastAsia"/>
        </w:rPr>
        <w:t>日，</w:t>
      </w:r>
      <w:r>
        <w:rPr>
          <w:rFonts w:hint="eastAsia"/>
        </w:rPr>
        <w:t>第</w:t>
      </w:r>
      <w:r w:rsidRPr="00C21CFC">
        <w:rPr>
          <w:rFonts w:hint="eastAsia"/>
        </w:rPr>
        <w:t>二分局</w:t>
      </w:r>
      <w:r>
        <w:rPr>
          <w:rFonts w:hint="eastAsia"/>
        </w:rPr>
        <w:t>通知</w:t>
      </w:r>
      <w:r w:rsidRPr="00C21CFC">
        <w:rPr>
          <w:rFonts w:hint="eastAsia"/>
        </w:rPr>
        <w:t>王</w:t>
      </w:r>
      <w:r>
        <w:rPr>
          <w:rFonts w:hint="eastAsia"/>
        </w:rPr>
        <w:t>女</w:t>
      </w:r>
      <w:r w:rsidRPr="00C21CFC">
        <w:rPr>
          <w:rFonts w:hint="eastAsia"/>
        </w:rPr>
        <w:t>第二次</w:t>
      </w:r>
      <w:r>
        <w:rPr>
          <w:rFonts w:hint="eastAsia"/>
        </w:rPr>
        <w:t>指</w:t>
      </w:r>
      <w:r w:rsidRPr="00C21CFC">
        <w:rPr>
          <w:rFonts w:hint="eastAsia"/>
        </w:rPr>
        <w:t>認，雖當日筆錄記載為列隊指認，但警方於未令王</w:t>
      </w:r>
      <w:r>
        <w:rPr>
          <w:rFonts w:hint="eastAsia"/>
        </w:rPr>
        <w:t>女</w:t>
      </w:r>
      <w:r w:rsidRPr="00C21CFC">
        <w:rPr>
          <w:rFonts w:hint="eastAsia"/>
        </w:rPr>
        <w:t>陳述歹徒的特徵時，即安排其他充數之人，列隊隊伍中只有陳訴人一人穿囚服、戴手</w:t>
      </w:r>
      <w:r>
        <w:rPr>
          <w:rFonts w:hint="eastAsia"/>
        </w:rPr>
        <w:t>銬</w:t>
      </w:r>
      <w:r w:rsidRPr="00C21CFC">
        <w:rPr>
          <w:rFonts w:hint="eastAsia"/>
        </w:rPr>
        <w:t>，王</w:t>
      </w:r>
      <w:r>
        <w:rPr>
          <w:rFonts w:hint="eastAsia"/>
        </w:rPr>
        <w:t>女</w:t>
      </w:r>
      <w:r w:rsidRPr="00C21CFC">
        <w:rPr>
          <w:rFonts w:hint="eastAsia"/>
        </w:rPr>
        <w:t>站在指認室之單面鏡外，全程觀看帶著手</w:t>
      </w:r>
      <w:r w:rsidRPr="00C21CFC">
        <w:rPr>
          <w:rFonts w:cs="細明體" w:hint="eastAsia"/>
        </w:rPr>
        <w:t>銬</w:t>
      </w:r>
      <w:r w:rsidRPr="00C21CFC">
        <w:rPr>
          <w:rFonts w:cs="MS Mincho" w:hint="eastAsia"/>
        </w:rPr>
        <w:t>、</w:t>
      </w:r>
      <w:r w:rsidRPr="00C21CFC">
        <w:rPr>
          <w:rFonts w:cs="細明體" w:hint="eastAsia"/>
        </w:rPr>
        <w:t>腳</w:t>
      </w:r>
      <w:r>
        <w:rPr>
          <w:rFonts w:cs="細明體" w:hint="eastAsia"/>
        </w:rPr>
        <w:t>鐐</w:t>
      </w:r>
      <w:r w:rsidRPr="00C21CFC">
        <w:rPr>
          <w:rFonts w:cs="MS Mincho" w:hint="eastAsia"/>
        </w:rPr>
        <w:t>的陳訴人從椅</w:t>
      </w:r>
      <w:r w:rsidRPr="00C21CFC">
        <w:rPr>
          <w:rFonts w:hint="eastAsia"/>
        </w:rPr>
        <w:t>上被警方拉起，安排於其他警員中供</w:t>
      </w:r>
      <w:r>
        <w:rPr>
          <w:rFonts w:hint="eastAsia"/>
        </w:rPr>
        <w:t>指</w:t>
      </w:r>
      <w:r w:rsidRPr="00C21CFC">
        <w:rPr>
          <w:rFonts w:hint="eastAsia"/>
        </w:rPr>
        <w:t>認，甚至於其後更換排列順序作第二次列隊指認時，亦在王</w:t>
      </w:r>
      <w:r>
        <w:rPr>
          <w:rFonts w:hint="eastAsia"/>
        </w:rPr>
        <w:t>女</w:t>
      </w:r>
      <w:r w:rsidRPr="00C21CFC">
        <w:rPr>
          <w:rFonts w:hint="eastAsia"/>
        </w:rPr>
        <w:t>面前更換，更有警員發現陳訴人戴著手</w:t>
      </w:r>
      <w:r w:rsidRPr="00C21CFC">
        <w:rPr>
          <w:rFonts w:cs="細明體" w:hint="eastAsia"/>
        </w:rPr>
        <w:t>銬說</w:t>
      </w:r>
      <w:r w:rsidRPr="00C21CFC">
        <w:rPr>
          <w:rFonts w:cs="MS Mincho" w:hint="eastAsia"/>
        </w:rPr>
        <w:t>出</w:t>
      </w:r>
      <w:r>
        <w:rPr>
          <w:rFonts w:cs="MS Mincho" w:hint="eastAsia"/>
        </w:rPr>
        <w:t>：</w:t>
      </w:r>
      <w:r>
        <w:rPr>
          <w:rFonts w:hint="eastAsia"/>
        </w:rPr>
        <w:t>「</w:t>
      </w:r>
      <w:r w:rsidRPr="00C21CFC">
        <w:rPr>
          <w:rFonts w:hint="eastAsia"/>
        </w:rPr>
        <w:t>手</w:t>
      </w:r>
      <w:r>
        <w:rPr>
          <w:rFonts w:hint="eastAsia"/>
        </w:rPr>
        <w:t>銬</w:t>
      </w:r>
      <w:r w:rsidRPr="00C21CFC">
        <w:rPr>
          <w:rFonts w:hint="eastAsia"/>
        </w:rPr>
        <w:t>給他拔起來，謀按呢傷</w:t>
      </w:r>
      <w:r w:rsidR="00B15E5A">
        <w:rPr>
          <w:rFonts w:hint="eastAsia"/>
        </w:rPr>
        <w:t>憨</w:t>
      </w:r>
      <w:r w:rsidRPr="00C21CFC">
        <w:rPr>
          <w:rFonts w:hint="eastAsia"/>
        </w:rPr>
        <w:t>啦</w:t>
      </w:r>
      <w:r w:rsidRPr="00C21CFC">
        <w:t>(</w:t>
      </w:r>
      <w:r w:rsidRPr="00C21CFC">
        <w:rPr>
          <w:rFonts w:hint="eastAsia"/>
        </w:rPr>
        <w:t>台語，譯</w:t>
      </w:r>
      <w:r>
        <w:rPr>
          <w:rFonts w:hint="eastAsia"/>
        </w:rPr>
        <w:t>：</w:t>
      </w:r>
      <w:r w:rsidRPr="00C21CFC">
        <w:rPr>
          <w:rFonts w:hint="eastAsia"/>
        </w:rPr>
        <w:t>不然這樣太離譜了</w:t>
      </w:r>
      <w:r w:rsidRPr="00C21CFC">
        <w:t>)</w:t>
      </w:r>
      <w:r>
        <w:rPr>
          <w:rFonts w:hint="eastAsia"/>
        </w:rPr>
        <w:t>」</w:t>
      </w:r>
      <w:r w:rsidRPr="00C21CFC">
        <w:rPr>
          <w:rFonts w:hint="eastAsia"/>
        </w:rPr>
        <w:t>等語，並拉下陳訴人</w:t>
      </w:r>
      <w:r>
        <w:rPr>
          <w:rFonts w:hint="eastAsia"/>
        </w:rPr>
        <w:t>袖</w:t>
      </w:r>
      <w:r w:rsidRPr="00C21CFC">
        <w:rPr>
          <w:rFonts w:hint="eastAsia"/>
        </w:rPr>
        <w:t>口遮掩手</w:t>
      </w:r>
      <w:r w:rsidRPr="00C21CFC">
        <w:rPr>
          <w:rFonts w:cs="細明體" w:hint="eastAsia"/>
        </w:rPr>
        <w:t>銬</w:t>
      </w:r>
      <w:r w:rsidRPr="00C21CFC">
        <w:rPr>
          <w:rFonts w:hint="eastAsia"/>
        </w:rPr>
        <w:t>。</w:t>
      </w:r>
    </w:p>
    <w:p w:rsidR="009F4A1F" w:rsidRPr="00C63B77" w:rsidRDefault="009F4A1F" w:rsidP="009F4A1F">
      <w:pPr>
        <w:pStyle w:val="6"/>
      </w:pPr>
      <w:r>
        <w:rPr>
          <w:rFonts w:hint="eastAsia"/>
        </w:rPr>
        <w:t>第</w:t>
      </w:r>
      <w:r w:rsidRPr="00C21CFC">
        <w:rPr>
          <w:rFonts w:hint="eastAsia"/>
        </w:rPr>
        <w:t>二分局先後</w:t>
      </w:r>
      <w:r>
        <w:rPr>
          <w:rFonts w:hint="eastAsia"/>
        </w:rPr>
        <w:t>2</w:t>
      </w:r>
      <w:r w:rsidRPr="00C21CFC">
        <w:rPr>
          <w:rFonts w:hint="eastAsia"/>
        </w:rPr>
        <w:t>次辨理證人王</w:t>
      </w:r>
      <w:r>
        <w:rPr>
          <w:rFonts w:hint="eastAsia"/>
        </w:rPr>
        <w:t>女</w:t>
      </w:r>
      <w:r w:rsidRPr="00C21CFC">
        <w:rPr>
          <w:rFonts w:hint="eastAsia"/>
        </w:rPr>
        <w:t>之</w:t>
      </w:r>
      <w:r>
        <w:rPr>
          <w:rFonts w:hint="eastAsia"/>
        </w:rPr>
        <w:t>指</w:t>
      </w:r>
      <w:r w:rsidRPr="00C21CFC">
        <w:rPr>
          <w:rFonts w:hint="eastAsia"/>
        </w:rPr>
        <w:t>認有</w:t>
      </w:r>
      <w:r>
        <w:rPr>
          <w:rFonts w:hint="eastAsia"/>
        </w:rPr>
        <w:sym w:font="Wingdings 2" w:char="F06A"/>
      </w:r>
      <w:r w:rsidRPr="00C21CFC">
        <w:rPr>
          <w:rFonts w:hint="eastAsia"/>
        </w:rPr>
        <w:t>不法進行單一相</w:t>
      </w:r>
      <w:r>
        <w:rPr>
          <w:rFonts w:hint="eastAsia"/>
        </w:rPr>
        <w:t>片</w:t>
      </w:r>
      <w:r w:rsidRPr="00C21CFC">
        <w:rPr>
          <w:rFonts w:hint="eastAsia"/>
        </w:rPr>
        <w:t>指認</w:t>
      </w:r>
      <w:r>
        <w:rPr>
          <w:rFonts w:hint="eastAsia"/>
        </w:rPr>
        <w:t>；</w:t>
      </w:r>
      <w:r>
        <w:rPr>
          <w:rFonts w:hint="eastAsia"/>
        </w:rPr>
        <w:sym w:font="Wingdings 2" w:char="F06B"/>
      </w:r>
      <w:r w:rsidRPr="00C21CFC">
        <w:rPr>
          <w:rFonts w:hint="eastAsia"/>
        </w:rPr>
        <w:t>指認前未由指認人先陳述犯罪嫌疑人特徵</w:t>
      </w:r>
      <w:r>
        <w:rPr>
          <w:rFonts w:hint="eastAsia"/>
        </w:rPr>
        <w:t>；</w:t>
      </w:r>
      <w:r>
        <w:rPr>
          <w:rFonts w:hint="eastAsia"/>
        </w:rPr>
        <w:sym w:font="Wingdings 2" w:char="F06C"/>
      </w:r>
      <w:r w:rsidRPr="00C21CFC">
        <w:rPr>
          <w:rFonts w:hint="eastAsia"/>
        </w:rPr>
        <w:t>被指認人外型上有重大差異</w:t>
      </w:r>
      <w:r>
        <w:rPr>
          <w:rFonts w:hint="eastAsia"/>
        </w:rPr>
        <w:t>；</w:t>
      </w:r>
      <w:r>
        <w:rPr>
          <w:rFonts w:hint="eastAsia"/>
        </w:rPr>
        <w:sym w:font="Wingdings 2" w:char="F06D"/>
      </w:r>
      <w:r w:rsidRPr="00C21CFC">
        <w:rPr>
          <w:rFonts w:hint="eastAsia"/>
        </w:rPr>
        <w:t>僅有陳訴人一人著囚服、手</w:t>
      </w:r>
      <w:r w:rsidRPr="00C21CFC">
        <w:rPr>
          <w:rFonts w:cs="細明體" w:hint="eastAsia"/>
        </w:rPr>
        <w:t>銬</w:t>
      </w:r>
      <w:r w:rsidRPr="00C21CFC">
        <w:rPr>
          <w:rFonts w:cs="MS Mincho" w:hint="eastAsia"/>
        </w:rPr>
        <w:t>、</w:t>
      </w:r>
      <w:r w:rsidRPr="00C21CFC">
        <w:rPr>
          <w:rFonts w:cs="細明體" w:hint="eastAsia"/>
        </w:rPr>
        <w:t>腳</w:t>
      </w:r>
      <w:r>
        <w:rPr>
          <w:rFonts w:cs="MS Mincho" w:hint="eastAsia"/>
        </w:rPr>
        <w:t>鐐情狀下，顯屬暗</w:t>
      </w:r>
      <w:r w:rsidRPr="00C21CFC">
        <w:rPr>
          <w:rFonts w:hint="eastAsia"/>
        </w:rPr>
        <w:t>示、誘導之安排</w:t>
      </w:r>
      <w:r>
        <w:rPr>
          <w:rFonts w:ascii="新細明體" w:eastAsia="新細明體" w:hAnsi="新細明體" w:hint="eastAsia"/>
        </w:rPr>
        <w:t>；</w:t>
      </w:r>
      <w:r>
        <w:rPr>
          <w:rFonts w:hint="eastAsia"/>
        </w:rPr>
        <w:sym w:font="Wingdings 2" w:char="F06E"/>
      </w:r>
      <w:r w:rsidRPr="00C21CFC">
        <w:rPr>
          <w:rFonts w:hint="eastAsia"/>
        </w:rPr>
        <w:t>未告知犯罪嫌疑人並不一定存於被指認人之中</w:t>
      </w:r>
      <w:r>
        <w:rPr>
          <w:rFonts w:hint="eastAsia"/>
        </w:rPr>
        <w:t>；</w:t>
      </w:r>
      <w:r>
        <w:rPr>
          <w:rFonts w:hint="eastAsia"/>
        </w:rPr>
        <w:sym w:font="Wingdings 2" w:char="F06F"/>
      </w:r>
      <w:r w:rsidRPr="00C21CFC">
        <w:rPr>
          <w:rFonts w:hint="eastAsia"/>
        </w:rPr>
        <w:t>未依照紀錄表格式製作記錄存證</w:t>
      </w:r>
      <w:r>
        <w:rPr>
          <w:rFonts w:hint="eastAsia"/>
        </w:rPr>
        <w:t>等情形，</w:t>
      </w:r>
      <w:r w:rsidRPr="00C21CFC">
        <w:rPr>
          <w:rFonts w:hint="eastAsia"/>
        </w:rPr>
        <w:t>明顯未依「警察機關實施</w:t>
      </w:r>
      <w:r>
        <w:rPr>
          <w:rFonts w:hint="eastAsia"/>
        </w:rPr>
        <w:t>指</w:t>
      </w:r>
      <w:r w:rsidRPr="00C21CFC">
        <w:rPr>
          <w:rFonts w:hint="eastAsia"/>
        </w:rPr>
        <w:t>認犯罪嫌疑人程序要領」辦理，該指認程序有重大明顯之瑕疵。</w:t>
      </w:r>
    </w:p>
    <w:p w:rsidR="00561875" w:rsidRDefault="00561875" w:rsidP="00561875">
      <w:pPr>
        <w:pStyle w:val="4"/>
      </w:pPr>
      <w:r w:rsidRPr="00C21CFC">
        <w:rPr>
          <w:rFonts w:hint="eastAsia"/>
        </w:rPr>
        <w:t>經</w:t>
      </w:r>
      <w:r w:rsidRPr="00C21CFC">
        <w:rPr>
          <w:rFonts w:cs="細明體" w:hint="eastAsia"/>
        </w:rPr>
        <w:t>查</w:t>
      </w:r>
      <w:r w:rsidRPr="00C21CFC">
        <w:rPr>
          <w:rFonts w:cs="MS Mincho" w:hint="eastAsia"/>
        </w:rPr>
        <w:t>二</w:t>
      </w:r>
      <w:r>
        <w:rPr>
          <w:rFonts w:cs="MS Mincho" w:hint="eastAsia"/>
        </w:rPr>
        <w:t>案，</w:t>
      </w:r>
      <w:r w:rsidRPr="00C21CFC">
        <w:rPr>
          <w:rFonts w:cs="MS Mincho" w:hint="eastAsia"/>
        </w:rPr>
        <w:t>一為搶奪，一為強盜，類型已有不同，</w:t>
      </w:r>
      <w:r w:rsidRPr="00C21CFC">
        <w:rPr>
          <w:rFonts w:hint="eastAsia"/>
        </w:rPr>
        <w:t>且被害人第一時間所描述之嫌疑人特徵亦有差異，二案是否為同一嫌疑人所為已有可疑，然經</w:t>
      </w:r>
      <w:r>
        <w:rPr>
          <w:rFonts w:hint="eastAsia"/>
        </w:rPr>
        <w:t>第</w:t>
      </w:r>
      <w:r w:rsidRPr="00C21CFC">
        <w:rPr>
          <w:rFonts w:hint="eastAsia"/>
        </w:rPr>
        <w:t>二分局以瑕</w:t>
      </w:r>
      <w:r>
        <w:rPr>
          <w:rFonts w:hint="eastAsia"/>
        </w:rPr>
        <w:t>疵</w:t>
      </w:r>
      <w:r w:rsidRPr="00C21CFC">
        <w:rPr>
          <w:rFonts w:hint="eastAsia"/>
        </w:rPr>
        <w:t>指認程序使被害人為指認後，相關人等之陳述即有轉折，而趨向陳訴人，顯受該</w:t>
      </w:r>
      <w:r w:rsidRPr="00C21CFC">
        <w:rPr>
          <w:rFonts w:hint="eastAsia"/>
        </w:rPr>
        <w:lastRenderedPageBreak/>
        <w:t>指認瑕疵所</w:t>
      </w:r>
      <w:r w:rsidRPr="00C21CFC">
        <w:rPr>
          <w:rFonts w:cs="細明體" w:hint="eastAsia"/>
        </w:rPr>
        <w:t>污</w:t>
      </w:r>
      <w:r w:rsidRPr="00C21CFC">
        <w:rPr>
          <w:rFonts w:cs="MS Mincho" w:hint="eastAsia"/>
        </w:rPr>
        <w:t>染</w:t>
      </w:r>
      <w:r>
        <w:rPr>
          <w:rFonts w:hint="eastAsia"/>
        </w:rPr>
        <w:t>：</w:t>
      </w:r>
    </w:p>
    <w:p w:rsidR="00561875" w:rsidRPr="001F7D2E" w:rsidRDefault="00561875" w:rsidP="006344C0">
      <w:pPr>
        <w:pStyle w:val="5"/>
      </w:pPr>
      <w:r w:rsidRPr="00C21CFC">
        <w:rPr>
          <w:rFonts w:hint="eastAsia"/>
        </w:rPr>
        <w:t>經</w:t>
      </w:r>
      <w:r w:rsidRPr="00C21CFC">
        <w:rPr>
          <w:rFonts w:cs="細明體" w:hint="eastAsia"/>
        </w:rPr>
        <w:t>查</w:t>
      </w:r>
      <w:r w:rsidRPr="00C21CFC">
        <w:rPr>
          <w:rFonts w:cs="MS Mincho" w:hint="eastAsia"/>
        </w:rPr>
        <w:t>，</w:t>
      </w:r>
      <w:r>
        <w:rPr>
          <w:rFonts w:cs="MS Mincho" w:hint="eastAsia"/>
        </w:rPr>
        <w:t>強盜</w:t>
      </w:r>
      <w:r w:rsidRPr="00C21CFC">
        <w:rPr>
          <w:rFonts w:cs="MS Mincho" w:hint="eastAsia"/>
        </w:rPr>
        <w:t>案發</w:t>
      </w:r>
      <w:r>
        <w:rPr>
          <w:rFonts w:cs="MS Mincho" w:hint="eastAsia"/>
        </w:rPr>
        <w:t>生</w:t>
      </w:r>
      <w:r w:rsidRPr="00C21CFC">
        <w:rPr>
          <w:rFonts w:cs="MS Mincho" w:hint="eastAsia"/>
        </w:rPr>
        <w:t>於</w:t>
      </w:r>
      <w:r w:rsidRPr="00C21CFC">
        <w:t>95</w:t>
      </w:r>
      <w:r w:rsidRPr="00C21CFC">
        <w:rPr>
          <w:rFonts w:hint="eastAsia"/>
        </w:rPr>
        <w:t>年</w:t>
      </w:r>
      <w:r w:rsidRPr="00C21CFC">
        <w:t>1</w:t>
      </w:r>
      <w:r w:rsidRPr="00C21CFC">
        <w:rPr>
          <w:rFonts w:hint="eastAsia"/>
        </w:rPr>
        <w:t>月</w:t>
      </w:r>
      <w:r w:rsidRPr="00C21CFC">
        <w:t>27</w:t>
      </w:r>
      <w:r w:rsidRPr="00C21CFC">
        <w:rPr>
          <w:rFonts w:hint="eastAsia"/>
        </w:rPr>
        <w:t>日</w:t>
      </w:r>
      <w:r w:rsidRPr="00C21CFC">
        <w:t>0</w:t>
      </w:r>
      <w:r w:rsidRPr="00C21CFC">
        <w:rPr>
          <w:rFonts w:hint="eastAsia"/>
        </w:rPr>
        <w:t>時</w:t>
      </w:r>
      <w:r w:rsidRPr="00C21CFC">
        <w:t>30</w:t>
      </w:r>
      <w:r w:rsidRPr="00C21CFC">
        <w:rPr>
          <w:rFonts w:hint="eastAsia"/>
        </w:rPr>
        <w:t>分許，被害人王</w:t>
      </w:r>
      <w:r>
        <w:rPr>
          <w:rFonts w:hint="eastAsia"/>
        </w:rPr>
        <w:t>女</w:t>
      </w:r>
      <w:r w:rsidRPr="00C21CFC">
        <w:rPr>
          <w:rFonts w:hint="eastAsia"/>
        </w:rPr>
        <w:t>於</w:t>
      </w:r>
      <w:r>
        <w:rPr>
          <w:rFonts w:hint="eastAsia"/>
        </w:rPr>
        <w:t>當</w:t>
      </w:r>
      <w:r w:rsidRPr="00C21CFC">
        <w:rPr>
          <w:rFonts w:hint="eastAsia"/>
        </w:rPr>
        <w:t>日報案警詢稱歹徒身高</w:t>
      </w:r>
      <w:r w:rsidRPr="00C21CFC">
        <w:t>16</w:t>
      </w:r>
      <w:r>
        <w:rPr>
          <w:rFonts w:hint="eastAsia"/>
        </w:rPr>
        <w:t>5</w:t>
      </w:r>
      <w:r w:rsidRPr="00C21CFC">
        <w:rPr>
          <w:rFonts w:hint="eastAsia"/>
        </w:rPr>
        <w:t>公分、中等身材，穿著深色外套、深色長褲</w:t>
      </w:r>
      <w:r>
        <w:rPr>
          <w:rFonts w:hint="eastAsia"/>
        </w:rPr>
        <w:t>；搶奪</w:t>
      </w:r>
      <w:r w:rsidRPr="00C21CFC">
        <w:rPr>
          <w:rFonts w:hint="eastAsia"/>
        </w:rPr>
        <w:t>案發</w:t>
      </w:r>
      <w:r>
        <w:rPr>
          <w:rFonts w:hint="eastAsia"/>
        </w:rPr>
        <w:t>生</w:t>
      </w:r>
      <w:r w:rsidRPr="00C21CFC">
        <w:rPr>
          <w:rFonts w:hint="eastAsia"/>
        </w:rPr>
        <w:t>於</w:t>
      </w:r>
      <w:r w:rsidRPr="00C21CFC">
        <w:t>95</w:t>
      </w:r>
      <w:r w:rsidRPr="00C21CFC">
        <w:rPr>
          <w:rFonts w:hint="eastAsia"/>
        </w:rPr>
        <w:t>年</w:t>
      </w:r>
      <w:r w:rsidRPr="00C21CFC">
        <w:t>1</w:t>
      </w:r>
      <w:r w:rsidRPr="00C21CFC">
        <w:rPr>
          <w:rFonts w:hint="eastAsia"/>
        </w:rPr>
        <w:t>月</w:t>
      </w:r>
      <w:r w:rsidRPr="00C21CFC">
        <w:t>29</w:t>
      </w:r>
      <w:r w:rsidRPr="00C21CFC">
        <w:rPr>
          <w:rFonts w:hint="eastAsia"/>
        </w:rPr>
        <w:t>日</w:t>
      </w:r>
      <w:r w:rsidRPr="00C21CFC">
        <w:t>17</w:t>
      </w:r>
      <w:r w:rsidRPr="00C21CFC">
        <w:rPr>
          <w:rFonts w:hint="eastAsia"/>
        </w:rPr>
        <w:t>日</w:t>
      </w:r>
      <w:r>
        <w:rPr>
          <w:rFonts w:hint="eastAsia"/>
        </w:rPr>
        <w:t>時</w:t>
      </w:r>
      <w:r w:rsidRPr="00C21CFC">
        <w:rPr>
          <w:rFonts w:hint="eastAsia"/>
        </w:rPr>
        <w:t>許，被害人徐</w:t>
      </w:r>
      <w:r>
        <w:rPr>
          <w:rFonts w:hint="eastAsia"/>
        </w:rPr>
        <w:t>女</w:t>
      </w:r>
      <w:r w:rsidRPr="00C21CFC">
        <w:t>(</w:t>
      </w:r>
      <w:r w:rsidRPr="00C21CFC">
        <w:rPr>
          <w:rFonts w:hint="eastAsia"/>
        </w:rPr>
        <w:t>莊</w:t>
      </w:r>
      <w:r>
        <w:rPr>
          <w:rFonts w:hint="eastAsia"/>
        </w:rPr>
        <w:t>姓姊妹</w:t>
      </w:r>
      <w:r w:rsidRPr="00C21CFC">
        <w:rPr>
          <w:rFonts w:hint="eastAsia"/>
        </w:rPr>
        <w:t>之母</w:t>
      </w:r>
      <w:r w:rsidRPr="00C21CFC">
        <w:t>)</w:t>
      </w:r>
      <w:r>
        <w:rPr>
          <w:rFonts w:hint="eastAsia"/>
        </w:rPr>
        <w:t>當</w:t>
      </w:r>
      <w:r w:rsidRPr="00C21CFC">
        <w:rPr>
          <w:rFonts w:hint="eastAsia"/>
        </w:rPr>
        <w:t>日報案警詢稱歹徒身高約</w:t>
      </w:r>
      <w:r w:rsidRPr="00C21CFC">
        <w:t>170</w:t>
      </w:r>
      <w:r w:rsidRPr="00C21CFC">
        <w:rPr>
          <w:rFonts w:hint="eastAsia"/>
        </w:rPr>
        <w:t>公分、體重</w:t>
      </w:r>
      <w:r w:rsidRPr="00C21CFC">
        <w:t>50</w:t>
      </w:r>
      <w:r w:rsidRPr="00C21CFC">
        <w:rPr>
          <w:rFonts w:hint="eastAsia"/>
        </w:rPr>
        <w:t>公斤，並稱歹徒穿著上衣咖啡色、長褲咖啡色。二者描述之身高、體型顯然不同，犯罪工具亦有差異，</w:t>
      </w:r>
      <w:r w:rsidRPr="00C21CFC">
        <w:t xml:space="preserve"> </w:t>
      </w:r>
      <w:r>
        <w:rPr>
          <w:rFonts w:hint="eastAsia"/>
        </w:rPr>
        <w:t>二案</w:t>
      </w:r>
      <w:r w:rsidRPr="00C21CFC">
        <w:rPr>
          <w:rFonts w:hint="eastAsia"/>
        </w:rPr>
        <w:t>是否為同一嫌疑人所為已有可疑。而陳訴人身高為</w:t>
      </w:r>
      <w:r w:rsidRPr="00C21CFC">
        <w:t>177</w:t>
      </w:r>
      <w:r w:rsidRPr="00C21CFC">
        <w:rPr>
          <w:rFonts w:hint="eastAsia"/>
        </w:rPr>
        <w:t>公分，體重超過</w:t>
      </w:r>
      <w:r>
        <w:rPr>
          <w:rFonts w:hint="eastAsia"/>
        </w:rPr>
        <w:t>80</w:t>
      </w:r>
      <w:r w:rsidRPr="00C21CFC">
        <w:rPr>
          <w:rFonts w:hint="eastAsia"/>
        </w:rPr>
        <w:t>公斤，身材壯碩</w:t>
      </w:r>
      <w:r>
        <w:rPr>
          <w:rFonts w:hint="eastAsia"/>
        </w:rPr>
        <w:t>，</w:t>
      </w:r>
      <w:r w:rsidRPr="00C21CFC">
        <w:rPr>
          <w:rFonts w:hint="eastAsia"/>
        </w:rPr>
        <w:t>與二人所描述之身型顯有不同。</w:t>
      </w:r>
    </w:p>
    <w:p w:rsidR="00561875" w:rsidRPr="00731361" w:rsidRDefault="00561875" w:rsidP="006344C0">
      <w:pPr>
        <w:pStyle w:val="5"/>
      </w:pPr>
      <w:r w:rsidRPr="00C21CFC">
        <w:rPr>
          <w:rFonts w:hint="eastAsia"/>
        </w:rPr>
        <w:t>惟被害人分別於</w:t>
      </w:r>
      <w:r w:rsidRPr="00C21CFC">
        <w:t>95</w:t>
      </w:r>
      <w:r w:rsidRPr="00C21CFC">
        <w:rPr>
          <w:rFonts w:hint="eastAsia"/>
        </w:rPr>
        <w:t>年</w:t>
      </w:r>
      <w:r w:rsidRPr="00C21CFC">
        <w:t>2</w:t>
      </w:r>
      <w:r w:rsidRPr="00C21CFC">
        <w:rPr>
          <w:rFonts w:hint="eastAsia"/>
        </w:rPr>
        <w:t>月</w:t>
      </w:r>
      <w:r w:rsidRPr="00C21CFC">
        <w:t>8</w:t>
      </w:r>
      <w:r w:rsidRPr="00C21CFC">
        <w:rPr>
          <w:rFonts w:hint="eastAsia"/>
        </w:rPr>
        <w:t>日、</w:t>
      </w:r>
      <w:r w:rsidRPr="00C21CFC">
        <w:t>95</w:t>
      </w:r>
      <w:r w:rsidRPr="00C21CFC">
        <w:rPr>
          <w:rFonts w:hint="eastAsia"/>
        </w:rPr>
        <w:t>年</w:t>
      </w:r>
      <w:r w:rsidRPr="00C21CFC">
        <w:t>2</w:t>
      </w:r>
      <w:r w:rsidRPr="00C21CFC">
        <w:rPr>
          <w:rFonts w:hint="eastAsia"/>
        </w:rPr>
        <w:t>月</w:t>
      </w:r>
      <w:r w:rsidRPr="00C21CFC">
        <w:t>10</w:t>
      </w:r>
      <w:r w:rsidRPr="00C21CFC">
        <w:rPr>
          <w:rFonts w:hint="eastAsia"/>
        </w:rPr>
        <w:t>日經</w:t>
      </w:r>
      <w:r>
        <w:rPr>
          <w:rFonts w:hint="eastAsia"/>
        </w:rPr>
        <w:t>第</w:t>
      </w:r>
      <w:r w:rsidRPr="00C21CFC">
        <w:rPr>
          <w:rFonts w:hint="eastAsia"/>
        </w:rPr>
        <w:t>二分局高度誘導</w:t>
      </w:r>
      <w:r>
        <w:rPr>
          <w:rFonts w:hint="eastAsia"/>
        </w:rPr>
        <w:t>暗</w:t>
      </w:r>
      <w:r w:rsidRPr="00C21CFC">
        <w:rPr>
          <w:rFonts w:hint="eastAsia"/>
        </w:rPr>
        <w:t>示之</w:t>
      </w:r>
      <w:r>
        <w:rPr>
          <w:rFonts w:hint="eastAsia"/>
        </w:rPr>
        <w:t>指</w:t>
      </w:r>
      <w:r w:rsidRPr="00C21CFC">
        <w:rPr>
          <w:rFonts w:hint="eastAsia"/>
        </w:rPr>
        <w:t>認程序，並</w:t>
      </w:r>
      <w:r>
        <w:rPr>
          <w:rFonts w:hint="eastAsia"/>
        </w:rPr>
        <w:t>指</w:t>
      </w:r>
      <w:r w:rsidRPr="00C21CFC">
        <w:rPr>
          <w:rFonts w:hint="eastAsia"/>
        </w:rPr>
        <w:t>認陳訴人為涉案人後，王</w:t>
      </w:r>
      <w:r>
        <w:rPr>
          <w:rFonts w:hint="eastAsia"/>
        </w:rPr>
        <w:t>女</w:t>
      </w:r>
      <w:r w:rsidRPr="00C21CFC">
        <w:rPr>
          <w:rFonts w:hint="eastAsia"/>
        </w:rPr>
        <w:t>於一審審理時，即稱歹徒身高</w:t>
      </w:r>
      <w:r w:rsidRPr="00C21CFC">
        <w:t>170</w:t>
      </w:r>
      <w:r w:rsidRPr="00C21CFC">
        <w:rPr>
          <w:rFonts w:hint="eastAsia"/>
        </w:rPr>
        <w:t>公分到</w:t>
      </w:r>
      <w:r w:rsidRPr="00C21CFC">
        <w:t>180</w:t>
      </w:r>
      <w:r w:rsidRPr="00C21CFC">
        <w:rPr>
          <w:rFonts w:hint="eastAsia"/>
        </w:rPr>
        <w:t>公分、至少</w:t>
      </w:r>
      <w:r w:rsidRPr="00C21CFC">
        <w:t>175</w:t>
      </w:r>
      <w:r w:rsidRPr="00C21CFC">
        <w:rPr>
          <w:rFonts w:hint="eastAsia"/>
        </w:rPr>
        <w:t>公分以上、約</w:t>
      </w:r>
      <w:r w:rsidRPr="00C21CFC">
        <w:t>179</w:t>
      </w:r>
      <w:r w:rsidRPr="00C21CFC">
        <w:rPr>
          <w:rFonts w:hint="eastAsia"/>
        </w:rPr>
        <w:t>公分云云，莊</w:t>
      </w:r>
      <w:r>
        <w:rPr>
          <w:rFonts w:hint="eastAsia"/>
        </w:rPr>
        <w:t>姓姊姊</w:t>
      </w:r>
      <w:r w:rsidRPr="00C21CFC">
        <w:rPr>
          <w:rFonts w:hint="eastAsia"/>
        </w:rPr>
        <w:t>於一審逕</w:t>
      </w:r>
      <w:r>
        <w:rPr>
          <w:rFonts w:hint="eastAsia"/>
        </w:rPr>
        <w:t>稱歹徒身高與陳訴人一樣，顯已受警方瑕疵指</w:t>
      </w:r>
      <w:r w:rsidRPr="00C21CFC">
        <w:rPr>
          <w:rFonts w:hint="eastAsia"/>
        </w:rPr>
        <w:t>認而影響其</w:t>
      </w:r>
      <w:r>
        <w:rPr>
          <w:rFonts w:hint="eastAsia"/>
        </w:rPr>
        <w:t>記</w:t>
      </w:r>
      <w:r w:rsidRPr="00C21CFC">
        <w:rPr>
          <w:rFonts w:hint="eastAsia"/>
        </w:rPr>
        <w:t>憶。</w:t>
      </w:r>
    </w:p>
    <w:p w:rsidR="00561875" w:rsidRPr="001F7D2E" w:rsidRDefault="00561875" w:rsidP="00561875">
      <w:pPr>
        <w:pStyle w:val="4"/>
        <w:rPr>
          <w:rFonts w:cs="新細明體"/>
        </w:rPr>
      </w:pPr>
      <w:r w:rsidRPr="00C21CFC">
        <w:rPr>
          <w:rFonts w:hint="eastAsia"/>
        </w:rPr>
        <w:t>指認瑕疵乃造成冤案之一大主因</w:t>
      </w:r>
      <w:r>
        <w:rPr>
          <w:rFonts w:hint="eastAsia"/>
        </w:rPr>
        <w:t>：</w:t>
      </w:r>
    </w:p>
    <w:p w:rsidR="00561875" w:rsidRPr="001F7D2E" w:rsidRDefault="00561875" w:rsidP="006344C0">
      <w:pPr>
        <w:pStyle w:val="5"/>
      </w:pPr>
      <w:r w:rsidRPr="00C21CFC">
        <w:rPr>
          <w:rFonts w:hint="eastAsia"/>
        </w:rPr>
        <w:t>依據國外冤案之統計數據，</w:t>
      </w:r>
      <w:r>
        <w:rPr>
          <w:rFonts w:hint="eastAsia"/>
        </w:rPr>
        <w:t>「指認錯誤」是造成誤判的</w:t>
      </w:r>
      <w:r w:rsidRPr="00C21CFC">
        <w:rPr>
          <w:rFonts w:hint="eastAsia"/>
        </w:rPr>
        <w:t>最大原因。而關於「</w:t>
      </w:r>
      <w:r>
        <w:rPr>
          <w:rFonts w:hint="eastAsia"/>
        </w:rPr>
        <w:t>指</w:t>
      </w:r>
      <w:r w:rsidRPr="00C21CFC">
        <w:rPr>
          <w:rFonts w:hint="eastAsia"/>
        </w:rPr>
        <w:t>認錯誤」之成因，文獻上多有討論，有學者引用國外心理學之研究發現，人的記憶是可以塑造並加以操控，警察只拿一張照片或只以一個嫌犯請證人</w:t>
      </w:r>
      <w:r>
        <w:rPr>
          <w:rFonts w:hint="eastAsia"/>
        </w:rPr>
        <w:t>指</w:t>
      </w:r>
      <w:r w:rsidRPr="00C21CFC">
        <w:rPr>
          <w:rFonts w:hint="eastAsia"/>
        </w:rPr>
        <w:t>認，在此種「單一指認」的情況下，證人沒有可以比較的對象，也就比較容易出錯</w:t>
      </w:r>
      <w:r>
        <w:rPr>
          <w:rFonts w:hint="eastAsia"/>
        </w:rPr>
        <w:t>；</w:t>
      </w:r>
      <w:r w:rsidRPr="00C21CFC">
        <w:rPr>
          <w:rFonts w:hint="eastAsia"/>
        </w:rPr>
        <w:t>再者，由於</w:t>
      </w:r>
      <w:r>
        <w:rPr>
          <w:rFonts w:hint="eastAsia"/>
        </w:rPr>
        <w:t>指</w:t>
      </w:r>
      <w:r w:rsidRPr="00C21CFC">
        <w:rPr>
          <w:rFonts w:hint="eastAsia"/>
        </w:rPr>
        <w:t>認對象只有一個人，當證人記憶不清而妄加猜測時，被指認人被證人指認的機率將是</w:t>
      </w:r>
      <w:r w:rsidRPr="00C21CFC">
        <w:t>100%</w:t>
      </w:r>
      <w:r>
        <w:rPr>
          <w:rFonts w:hint="eastAsia"/>
        </w:rPr>
        <w:t>，</w:t>
      </w:r>
      <w:r w:rsidRPr="00C21CFC">
        <w:rPr>
          <w:rFonts w:hint="eastAsia"/>
        </w:rPr>
        <w:t>因此單一指認如今被普遍認為是不可靠</w:t>
      </w:r>
      <w:r w:rsidRPr="00C21CFC">
        <w:rPr>
          <w:rFonts w:hint="eastAsia"/>
        </w:rPr>
        <w:lastRenderedPageBreak/>
        <w:t>的指認方式。</w:t>
      </w:r>
    </w:p>
    <w:p w:rsidR="00561875" w:rsidRPr="001F7D2E" w:rsidRDefault="00561875" w:rsidP="006344C0">
      <w:pPr>
        <w:pStyle w:val="5"/>
      </w:pPr>
      <w:r w:rsidRPr="00C21CFC">
        <w:rPr>
          <w:rFonts w:hint="eastAsia"/>
        </w:rPr>
        <w:t>此外，心理學家認為「多次</w:t>
      </w:r>
      <w:r>
        <w:rPr>
          <w:rFonts w:hint="eastAsia"/>
        </w:rPr>
        <w:t>指</w:t>
      </w:r>
      <w:r w:rsidRPr="00C21CFC">
        <w:rPr>
          <w:rFonts w:hint="eastAsia"/>
        </w:rPr>
        <w:t>認」也會造成錯誤記憶以及指認人錯誤的自信心</w:t>
      </w:r>
      <w:r>
        <w:rPr>
          <w:rFonts w:hint="eastAsia"/>
        </w:rPr>
        <w:t>，因為</w:t>
      </w:r>
      <w:r w:rsidRPr="00C21CFC">
        <w:rPr>
          <w:rFonts w:hint="eastAsia"/>
        </w:rPr>
        <w:t>在多次</w:t>
      </w:r>
      <w:r>
        <w:rPr>
          <w:rFonts w:hint="eastAsia"/>
        </w:rPr>
        <w:t>指</w:t>
      </w:r>
      <w:r w:rsidRPr="00C21CFC">
        <w:rPr>
          <w:rFonts w:hint="eastAsia"/>
        </w:rPr>
        <w:t>認之情形，</w:t>
      </w:r>
      <w:r>
        <w:rPr>
          <w:rFonts w:hint="eastAsia"/>
        </w:rPr>
        <w:t>指</w:t>
      </w:r>
      <w:r w:rsidRPr="00C21CFC">
        <w:rPr>
          <w:rFonts w:hint="eastAsia"/>
        </w:rPr>
        <w:t>認人為使自己的先前之</w:t>
      </w:r>
      <w:r>
        <w:rPr>
          <w:rFonts w:hint="eastAsia"/>
        </w:rPr>
        <w:t>指</w:t>
      </w:r>
      <w:r w:rsidRPr="00C21CFC">
        <w:rPr>
          <w:rFonts w:hint="eastAsia"/>
        </w:rPr>
        <w:t>認合理化，自然對於後</w:t>
      </w:r>
      <w:r>
        <w:rPr>
          <w:rFonts w:hint="eastAsia"/>
        </w:rPr>
        <w:t>續之指認</w:t>
      </w:r>
      <w:r w:rsidRPr="00C21CFC">
        <w:rPr>
          <w:rFonts w:hint="eastAsia"/>
        </w:rPr>
        <w:t>充滿信心，</w:t>
      </w:r>
      <w:r w:rsidRPr="00C21CFC">
        <w:t xml:space="preserve"> </w:t>
      </w:r>
      <w:r w:rsidRPr="00C21CFC">
        <w:rPr>
          <w:rFonts w:hint="eastAsia"/>
        </w:rPr>
        <w:t>此種現象心理學家稱之為「承諾效應」。</w:t>
      </w:r>
    </w:p>
    <w:p w:rsidR="00561875" w:rsidRPr="003173E9" w:rsidRDefault="00561875" w:rsidP="006344C0">
      <w:pPr>
        <w:pStyle w:val="5"/>
      </w:pPr>
      <w:r w:rsidRPr="00C21CFC">
        <w:rPr>
          <w:rFonts w:hint="eastAsia"/>
        </w:rPr>
        <w:t>本案警詢時之</w:t>
      </w:r>
      <w:r>
        <w:rPr>
          <w:rFonts w:hint="eastAsia"/>
        </w:rPr>
        <w:t>指</w:t>
      </w:r>
      <w:r w:rsidRPr="00C21CFC">
        <w:rPr>
          <w:rFonts w:hint="eastAsia"/>
        </w:rPr>
        <w:t>認不論是單一照片</w:t>
      </w:r>
      <w:r>
        <w:rPr>
          <w:rFonts w:hint="eastAsia"/>
        </w:rPr>
        <w:t>指</w:t>
      </w:r>
      <w:r w:rsidRPr="00C21CFC">
        <w:rPr>
          <w:rFonts w:hint="eastAsia"/>
        </w:rPr>
        <w:t>認或是其強烈誘導性之列隊指認，都極可能造成錯誤</w:t>
      </w:r>
      <w:r>
        <w:rPr>
          <w:rFonts w:hint="eastAsia"/>
        </w:rPr>
        <w:t>指</w:t>
      </w:r>
      <w:r w:rsidRPr="00C21CFC">
        <w:rPr>
          <w:rFonts w:hint="eastAsia"/>
        </w:rPr>
        <w:t>認，且由證人王</w:t>
      </w:r>
      <w:r>
        <w:rPr>
          <w:rFonts w:hint="eastAsia"/>
        </w:rPr>
        <w:t>女</w:t>
      </w:r>
      <w:r w:rsidRPr="00C21CFC">
        <w:rPr>
          <w:rFonts w:hint="eastAsia"/>
        </w:rPr>
        <w:t>、莊</w:t>
      </w:r>
      <w:r>
        <w:rPr>
          <w:rFonts w:hint="eastAsia"/>
        </w:rPr>
        <w:t>姓姊妹</w:t>
      </w:r>
      <w:r w:rsidRPr="00C21CFC">
        <w:rPr>
          <w:rFonts w:hint="eastAsia"/>
        </w:rPr>
        <w:t>前後不一的陳述以觀，在看到</w:t>
      </w:r>
      <w:r>
        <w:rPr>
          <w:rFonts w:hint="eastAsia"/>
        </w:rPr>
        <w:t>陳訴人</w:t>
      </w:r>
      <w:r w:rsidRPr="00C21CFC">
        <w:rPr>
          <w:rFonts w:hint="eastAsia"/>
        </w:rPr>
        <w:t>後，證人有記憶改變或修改證言的情形，</w:t>
      </w:r>
      <w:r>
        <w:rPr>
          <w:rFonts w:hint="eastAsia"/>
        </w:rPr>
        <w:t>惟</w:t>
      </w:r>
      <w:r w:rsidRPr="00C21CFC">
        <w:rPr>
          <w:rFonts w:hint="eastAsia"/>
        </w:rPr>
        <w:t>法院於捨棄警詢筆錄後，仍執證人偵訊筆錄及審判筆錄定罪，未</w:t>
      </w:r>
      <w:r w:rsidRPr="00C21CFC">
        <w:rPr>
          <w:rFonts w:cs="細明體" w:hint="eastAsia"/>
        </w:rPr>
        <w:t>說</w:t>
      </w:r>
      <w:r w:rsidRPr="00C21CFC">
        <w:rPr>
          <w:rFonts w:cs="MS Mincho" w:hint="eastAsia"/>
        </w:rPr>
        <w:t>明何以警詢時誘</w:t>
      </w:r>
      <w:r w:rsidRPr="00C21CFC">
        <w:rPr>
          <w:rFonts w:hint="eastAsia"/>
        </w:rPr>
        <w:t>導指認所</w:t>
      </w:r>
      <w:r w:rsidRPr="00C21CFC">
        <w:rPr>
          <w:rFonts w:cs="細明體" w:hint="eastAsia"/>
        </w:rPr>
        <w:t>產</w:t>
      </w:r>
      <w:r w:rsidRPr="00C21CFC">
        <w:rPr>
          <w:rFonts w:cs="MS Mincho" w:hint="eastAsia"/>
        </w:rPr>
        <w:t>生之錯誤何以不會延續至偵</w:t>
      </w:r>
      <w:r w:rsidRPr="00C21CFC">
        <w:rPr>
          <w:rFonts w:cs="細明體" w:hint="eastAsia"/>
        </w:rPr>
        <w:t>查</w:t>
      </w:r>
      <w:r w:rsidRPr="00C21CFC">
        <w:rPr>
          <w:rFonts w:cs="MS Mincho" w:hint="eastAsia"/>
        </w:rPr>
        <w:t>及審判，與現代</w:t>
      </w:r>
      <w:r w:rsidRPr="00C21CFC">
        <w:rPr>
          <w:rFonts w:hint="eastAsia"/>
        </w:rPr>
        <w:t>心理學研究或社會科學研究相</w:t>
      </w:r>
      <w:r>
        <w:rPr>
          <w:rFonts w:hint="eastAsia"/>
        </w:rPr>
        <w:t>悖</w:t>
      </w:r>
      <w:r w:rsidRPr="00C21CFC">
        <w:rPr>
          <w:rFonts w:hint="eastAsia"/>
        </w:rPr>
        <w:t>，造成本件冤案。</w:t>
      </w:r>
    </w:p>
    <w:p w:rsidR="002B7082" w:rsidRDefault="007F3D5B" w:rsidP="00D12528">
      <w:pPr>
        <w:pStyle w:val="3"/>
      </w:pPr>
      <w:r>
        <w:rPr>
          <w:rFonts w:hAnsi="標楷體" w:hint="eastAsia"/>
          <w:b/>
        </w:rPr>
        <w:t>經查</w:t>
      </w:r>
      <w:r w:rsidRPr="009636D5">
        <w:rPr>
          <w:rFonts w:hAnsi="標楷體" w:hint="eastAsia"/>
          <w:b/>
        </w:rPr>
        <w:t>第二分局偵查隊在安排強盜案被害人王女及搶奪案未成年被害人莊姓姊妹指認陳訴人時</w:t>
      </w:r>
      <w:r>
        <w:rPr>
          <w:rFonts w:hAnsi="標楷體" w:hint="eastAsia"/>
          <w:b/>
        </w:rPr>
        <w:t>，除強盜案部分另有「僅提供陳訴人1人前科照片供王女指認」之瑕疵外，2案皆有「被指認人外型上有重大差異、被指認之6人中僅有陳訴人1人著囚服戴手銬可能產生</w:t>
      </w:r>
      <w:r w:rsidRPr="009636D5">
        <w:rPr>
          <w:rFonts w:hAnsi="標楷體" w:hint="eastAsia"/>
          <w:b/>
        </w:rPr>
        <w:t>暗示或誘導作用、未告知犯罪嫌疑人並不一定存在於被指認人之中」等指認瑕疵</w:t>
      </w:r>
      <w:r w:rsidR="00D12528" w:rsidRPr="00CC6B9C">
        <w:rPr>
          <w:rFonts w:hint="eastAsia"/>
          <w:b/>
        </w:rPr>
        <w:t>：</w:t>
      </w:r>
    </w:p>
    <w:p w:rsidR="004E758D" w:rsidRDefault="007F3D5B" w:rsidP="00407ECE">
      <w:pPr>
        <w:pStyle w:val="4"/>
      </w:pPr>
      <w:r>
        <w:rPr>
          <w:rFonts w:hint="eastAsia"/>
        </w:rPr>
        <w:t>就強盜案被害人王女指認</w:t>
      </w:r>
      <w:r w:rsidR="00974A10">
        <w:rPr>
          <w:rFonts w:hint="eastAsia"/>
        </w:rPr>
        <w:t>陳訴人部分</w:t>
      </w:r>
      <w:r w:rsidR="004E758D">
        <w:rPr>
          <w:rFonts w:hint="eastAsia"/>
        </w:rPr>
        <w:t>：</w:t>
      </w:r>
    </w:p>
    <w:p w:rsidR="004E758D" w:rsidRPr="00D15071" w:rsidRDefault="00974A10" w:rsidP="006344C0">
      <w:pPr>
        <w:pStyle w:val="5"/>
      </w:pPr>
      <w:r w:rsidRPr="001058A3">
        <w:rPr>
          <w:rFonts w:hint="eastAsia"/>
        </w:rPr>
        <w:t>第二分局偵查隊</w:t>
      </w:r>
      <w:r>
        <w:rPr>
          <w:rFonts w:hint="eastAsia"/>
        </w:rPr>
        <w:t>於95年2月8日15時57分</w:t>
      </w:r>
      <w:r w:rsidRPr="001058A3">
        <w:rPr>
          <w:rFonts w:hint="eastAsia"/>
        </w:rPr>
        <w:t>通知王女前來</w:t>
      </w:r>
      <w:r w:rsidR="00442F89">
        <w:rPr>
          <w:rFonts w:hint="eastAsia"/>
        </w:rPr>
        <w:t>以照片</w:t>
      </w:r>
      <w:r w:rsidRPr="001058A3">
        <w:rPr>
          <w:rFonts w:hint="eastAsia"/>
        </w:rPr>
        <w:t>指認當天</w:t>
      </w:r>
      <w:r w:rsidR="008F3C94">
        <w:rPr>
          <w:rFonts w:hint="eastAsia"/>
        </w:rPr>
        <w:t>強盜</w:t>
      </w:r>
      <w:r w:rsidRPr="001058A3">
        <w:rPr>
          <w:rFonts w:hint="eastAsia"/>
        </w:rPr>
        <w:t>其財物之嫌犯，</w:t>
      </w:r>
      <w:r>
        <w:rPr>
          <w:rFonts w:hint="eastAsia"/>
        </w:rPr>
        <w:t>據第2次調查筆錄記載，(問：</w:t>
      </w:r>
      <w:r w:rsidR="00B61108">
        <w:rPr>
          <w:rFonts w:hint="eastAsia"/>
        </w:rPr>
        <w:t>妳</w:t>
      </w:r>
      <w:r>
        <w:rPr>
          <w:rFonts w:hint="eastAsia"/>
        </w:rPr>
        <w:t>今(8)日因何事至本分局製作第2次警詢筆錄？)因為</w:t>
      </w:r>
      <w:r w:rsidRPr="001058A3">
        <w:rPr>
          <w:rFonts w:hint="eastAsia"/>
        </w:rPr>
        <w:t>警方</w:t>
      </w:r>
      <w:r>
        <w:rPr>
          <w:rFonts w:hint="eastAsia"/>
        </w:rPr>
        <w:t>通知我，要我前來指認我在當天被人搶奪之嫌疑犯。(問：警方提供陳訴人之照片供</w:t>
      </w:r>
      <w:r w:rsidR="00B61108">
        <w:rPr>
          <w:rFonts w:hint="eastAsia"/>
        </w:rPr>
        <w:t>妳</w:t>
      </w:r>
      <w:r>
        <w:rPr>
          <w:rFonts w:hint="eastAsia"/>
        </w:rPr>
        <w:t>指認是否為當天尾隨妳搶奪財物之嫌犯？)正</w:t>
      </w:r>
      <w:r w:rsidRPr="001058A3">
        <w:rPr>
          <w:rFonts w:hint="eastAsia"/>
        </w:rPr>
        <w:t>是此人</w:t>
      </w:r>
      <w:r w:rsidRPr="001058A3">
        <w:rPr>
          <w:rFonts w:hint="eastAsia"/>
        </w:rPr>
        <w:lastRenderedPageBreak/>
        <w:t>無誤</w:t>
      </w:r>
      <w:r w:rsidRPr="001058A3">
        <w:rPr>
          <w:rFonts w:ascii="新細明體" w:eastAsia="新細明體" w:hAnsi="新細明體" w:hint="eastAsia"/>
          <w:color w:val="000000" w:themeColor="text1"/>
        </w:rPr>
        <w:t>。</w:t>
      </w:r>
      <w:r w:rsidRPr="00974A10">
        <w:rPr>
          <w:rFonts w:hint="eastAsia"/>
        </w:rPr>
        <w:t>從上開筆錄記載</w:t>
      </w:r>
      <w:r w:rsidR="00951C75">
        <w:rPr>
          <w:rFonts w:hint="eastAsia"/>
        </w:rPr>
        <w:t>及所附指認照片</w:t>
      </w:r>
      <w:r w:rsidRPr="00974A10">
        <w:rPr>
          <w:rFonts w:hint="eastAsia"/>
        </w:rPr>
        <w:t>可證，</w:t>
      </w:r>
      <w:r w:rsidRPr="001058A3">
        <w:rPr>
          <w:rFonts w:hint="eastAsia"/>
        </w:rPr>
        <w:t>警方</w:t>
      </w:r>
      <w:r>
        <w:rPr>
          <w:rFonts w:hint="eastAsia"/>
        </w:rPr>
        <w:t>僅</w:t>
      </w:r>
      <w:r w:rsidRPr="001058A3">
        <w:rPr>
          <w:rFonts w:hint="eastAsia"/>
        </w:rPr>
        <w:t>提供陳訴人個人</w:t>
      </w:r>
      <w:r w:rsidR="00951C75">
        <w:rPr>
          <w:rFonts w:hint="eastAsia"/>
        </w:rPr>
        <w:t>2年前</w:t>
      </w:r>
      <w:r w:rsidRPr="001058A3">
        <w:rPr>
          <w:rFonts w:hint="eastAsia"/>
        </w:rPr>
        <w:t>之</w:t>
      </w:r>
      <w:r>
        <w:rPr>
          <w:rFonts w:hint="eastAsia"/>
        </w:rPr>
        <w:t>前科</w:t>
      </w:r>
      <w:r w:rsidRPr="001058A3">
        <w:rPr>
          <w:rFonts w:hint="eastAsia"/>
        </w:rPr>
        <w:t>照片供王女指認，</w:t>
      </w:r>
      <w:r>
        <w:rPr>
          <w:rFonts w:hint="eastAsia"/>
        </w:rPr>
        <w:t>違反上開「</w:t>
      </w:r>
      <w:r w:rsidRPr="00974A10">
        <w:rPr>
          <w:rFonts w:hint="eastAsia"/>
        </w:rPr>
        <w:t>不得以單一相片提供指認」之規定。</w:t>
      </w:r>
    </w:p>
    <w:p w:rsidR="00D15071" w:rsidRPr="004E758D" w:rsidRDefault="00D15071" w:rsidP="001501D5">
      <w:pPr>
        <w:pStyle w:val="5"/>
        <w:numPr>
          <w:ilvl w:val="0"/>
          <w:numId w:val="0"/>
        </w:numPr>
        <w:ind w:left="2268"/>
        <w:jc w:val="center"/>
      </w:pPr>
      <w:r>
        <w:rPr>
          <w:noProof/>
        </w:rPr>
        <w:drawing>
          <wp:inline distT="0" distB="0" distL="0" distR="0" wp14:anchorId="4EA5F8FC" wp14:editId="1DB8AC4E">
            <wp:extent cx="3256280" cy="2422699"/>
            <wp:effectExtent l="0" t="0" r="127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86122" cy="2444902"/>
                    </a:xfrm>
                    <a:prstGeom prst="rect">
                      <a:avLst/>
                    </a:prstGeom>
                  </pic:spPr>
                </pic:pic>
              </a:graphicData>
            </a:graphic>
          </wp:inline>
        </w:drawing>
      </w:r>
    </w:p>
    <w:p w:rsidR="00D12528" w:rsidRPr="00442F89" w:rsidRDefault="00442F89" w:rsidP="006344C0">
      <w:pPr>
        <w:pStyle w:val="5"/>
      </w:pPr>
      <w:r w:rsidRPr="001058A3">
        <w:rPr>
          <w:rFonts w:hint="eastAsia"/>
        </w:rPr>
        <w:t>第二分局偵查隊</w:t>
      </w:r>
      <w:r>
        <w:rPr>
          <w:rFonts w:hint="eastAsia"/>
        </w:rPr>
        <w:t>於95年2月10日16時24分</w:t>
      </w:r>
      <w:r w:rsidRPr="001058A3">
        <w:rPr>
          <w:rFonts w:hint="eastAsia"/>
        </w:rPr>
        <w:t>通知王女前來</w:t>
      </w:r>
      <w:r>
        <w:rPr>
          <w:rFonts w:hint="eastAsia"/>
        </w:rPr>
        <w:t>當面</w:t>
      </w:r>
      <w:r w:rsidRPr="001058A3">
        <w:rPr>
          <w:rFonts w:hint="eastAsia"/>
        </w:rPr>
        <w:t>指認當天搶奪其財物之嫌犯，</w:t>
      </w:r>
      <w:r>
        <w:rPr>
          <w:rFonts w:hint="eastAsia"/>
        </w:rPr>
        <w:t>據第3次調查筆錄記載，(問：</w:t>
      </w:r>
      <w:r w:rsidR="00B61108">
        <w:rPr>
          <w:rFonts w:hint="eastAsia"/>
        </w:rPr>
        <w:t>妳</w:t>
      </w:r>
      <w:r>
        <w:rPr>
          <w:rFonts w:hint="eastAsia"/>
        </w:rPr>
        <w:t>今(10)日因何事至本分局製作第3次警詢筆錄？)因為</w:t>
      </w:r>
      <w:r w:rsidRPr="001058A3">
        <w:rPr>
          <w:rFonts w:hint="eastAsia"/>
        </w:rPr>
        <w:t>警方</w:t>
      </w:r>
      <w:r>
        <w:rPr>
          <w:rFonts w:hint="eastAsia"/>
        </w:rPr>
        <w:t>通知我，要我前來當面指認我在當天被人搶奪之嫌疑犯。(問：警方現場提供1至6號排列相關人等，讓妳第1次當面指認為幾號搶奪嫌犯(詳如現場照片、影帶)？)是第2號嫌犯無誤</w:t>
      </w:r>
      <w:r w:rsidR="004E758D">
        <w:rPr>
          <w:rFonts w:ascii="新細明體" w:eastAsia="新細明體" w:hAnsi="新細明體" w:hint="eastAsia"/>
        </w:rPr>
        <w:t>。</w:t>
      </w:r>
      <w:r>
        <w:rPr>
          <w:rFonts w:hint="eastAsia"/>
        </w:rPr>
        <w:t>(問：警方現場提供1至6號排列相關人等，讓妳第2次當面指認為幾號搶奪嫌犯(詳如現場照片、影帶)？)是第4號嫌犯無誤</w:t>
      </w:r>
      <w:r>
        <w:rPr>
          <w:rFonts w:ascii="新細明體" w:eastAsia="新細明體" w:hAnsi="新細明體" w:hint="eastAsia"/>
        </w:rPr>
        <w:t>。</w:t>
      </w:r>
      <w:r w:rsidR="002D19AB">
        <w:rPr>
          <w:rFonts w:hint="eastAsia"/>
        </w:rPr>
        <w:t>但警方未告知犯罪嫌疑人不一定存在被指認人之中</w:t>
      </w:r>
      <w:r w:rsidR="002D19AB">
        <w:rPr>
          <w:rFonts w:ascii="新細明體" w:eastAsia="新細明體" w:hAnsi="新細明體" w:hint="eastAsia"/>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gridCol w:w="222"/>
      </w:tblGrid>
      <w:tr w:rsidR="008249CF" w:rsidTr="008249CF">
        <w:tc>
          <w:tcPr>
            <w:tcW w:w="4450" w:type="dxa"/>
          </w:tcPr>
          <w:p w:rsidR="00D15071" w:rsidRDefault="00BA296F" w:rsidP="006344C0">
            <w:pPr>
              <w:pStyle w:val="5"/>
              <w:numPr>
                <w:ilvl w:val="0"/>
                <w:numId w:val="0"/>
              </w:numPr>
            </w:pPr>
            <w:r>
              <w:rPr>
                <w:noProof/>
              </w:rPr>
              <w:lastRenderedPageBreak/>
              <w:drawing>
                <wp:inline distT="0" distB="0" distL="0" distR="0" wp14:anchorId="3F44D972" wp14:editId="66C66839">
                  <wp:extent cx="5615940" cy="3766820"/>
                  <wp:effectExtent l="0" t="0" r="381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766820"/>
                          </a:xfrm>
                          <a:prstGeom prst="rect">
                            <a:avLst/>
                          </a:prstGeom>
                        </pic:spPr>
                      </pic:pic>
                    </a:graphicData>
                  </a:graphic>
                </wp:inline>
              </w:drawing>
            </w:r>
          </w:p>
        </w:tc>
        <w:tc>
          <w:tcPr>
            <w:tcW w:w="4450" w:type="dxa"/>
          </w:tcPr>
          <w:p w:rsidR="00D15071" w:rsidRDefault="00D15071" w:rsidP="006344C0">
            <w:pPr>
              <w:pStyle w:val="5"/>
              <w:numPr>
                <w:ilvl w:val="0"/>
                <w:numId w:val="0"/>
              </w:numPr>
            </w:pPr>
          </w:p>
        </w:tc>
      </w:tr>
      <w:tr w:rsidR="008249CF" w:rsidTr="008249CF">
        <w:tc>
          <w:tcPr>
            <w:tcW w:w="4450" w:type="dxa"/>
          </w:tcPr>
          <w:p w:rsidR="00D15071" w:rsidRDefault="00D15071" w:rsidP="006344C0">
            <w:pPr>
              <w:pStyle w:val="5"/>
              <w:numPr>
                <w:ilvl w:val="0"/>
                <w:numId w:val="0"/>
              </w:numPr>
            </w:pPr>
          </w:p>
        </w:tc>
        <w:tc>
          <w:tcPr>
            <w:tcW w:w="4450" w:type="dxa"/>
          </w:tcPr>
          <w:p w:rsidR="00D15071" w:rsidRDefault="00D15071" w:rsidP="006344C0">
            <w:pPr>
              <w:pStyle w:val="5"/>
              <w:numPr>
                <w:ilvl w:val="0"/>
                <w:numId w:val="0"/>
              </w:numPr>
            </w:pPr>
          </w:p>
        </w:tc>
      </w:tr>
    </w:tbl>
    <w:p w:rsidR="00D12528" w:rsidRDefault="00951C75" w:rsidP="006344C0">
      <w:pPr>
        <w:pStyle w:val="5"/>
      </w:pPr>
      <w:r w:rsidRPr="00951C75">
        <w:rPr>
          <w:rFonts w:hAnsi="標楷體" w:hint="eastAsia"/>
          <w:color w:val="000000" w:themeColor="text1"/>
        </w:rPr>
        <w:t>本院</w:t>
      </w:r>
      <w:r w:rsidRPr="00951C75">
        <w:rPr>
          <w:rFonts w:hAnsi="標楷體" w:hint="eastAsia"/>
          <w:noProof/>
          <w:color w:val="000000" w:themeColor="text1"/>
          <w:szCs w:val="52"/>
        </w:rPr>
        <w:t>詢問目前服務於臺南市警局刑事警察大隊偵四隊之陳分隊長</w:t>
      </w:r>
      <w:r>
        <w:rPr>
          <w:rFonts w:hAnsi="標楷體" w:hint="eastAsia"/>
          <w:noProof/>
          <w:color w:val="000000" w:themeColor="text1"/>
          <w:szCs w:val="52"/>
        </w:rPr>
        <w:t>，其當時有在被指認對象之中，本院</w:t>
      </w:r>
      <w:r w:rsidR="00234860">
        <w:rPr>
          <w:rFonts w:hAnsi="標楷體" w:hint="eastAsia"/>
          <w:noProof/>
          <w:color w:val="000000" w:themeColor="text1"/>
          <w:szCs w:val="52"/>
        </w:rPr>
        <w:t>勘驗</w:t>
      </w:r>
      <w:r>
        <w:rPr>
          <w:rFonts w:hAnsi="標楷體" w:hint="eastAsia"/>
          <w:szCs w:val="48"/>
        </w:rPr>
        <w:t>95年2月10日的王女指認影像檔請陳分隊長協助確認除陳訴人外之5人</w:t>
      </w:r>
      <w:r w:rsidR="004E758D" w:rsidRPr="009C3409">
        <w:rPr>
          <w:rFonts w:hint="eastAsia"/>
        </w:rPr>
        <w:t>。</w:t>
      </w:r>
      <w:r>
        <w:rPr>
          <w:rFonts w:hint="eastAsia"/>
        </w:rPr>
        <w:t>其表示</w:t>
      </w:r>
      <w:r>
        <w:rPr>
          <w:rFonts w:hint="eastAsia"/>
          <w:szCs w:val="48"/>
        </w:rPr>
        <w:t>指認畫面中6人除陳訴人外</w:t>
      </w:r>
      <w:r w:rsidRPr="00537CD8">
        <w:rPr>
          <w:rFonts w:hint="eastAsia"/>
          <w:szCs w:val="48"/>
        </w:rPr>
        <w:t>，</w:t>
      </w:r>
      <w:r>
        <w:rPr>
          <w:rFonts w:hint="eastAsia"/>
          <w:szCs w:val="48"/>
        </w:rPr>
        <w:t>其餘5人皆為第二分局的員警</w:t>
      </w:r>
      <w:r w:rsidRPr="00D94554">
        <w:rPr>
          <w:rFonts w:hint="eastAsia"/>
        </w:rPr>
        <w:t>，</w:t>
      </w:r>
      <w:r>
        <w:rPr>
          <w:rFonts w:hint="eastAsia"/>
        </w:rPr>
        <w:t>拿1號牌的是陳偵查佐(現在還在職，印象中是擔任小隊長)</w:t>
      </w:r>
      <w:r w:rsidRPr="00D94554">
        <w:rPr>
          <w:rFonts w:hint="eastAsia"/>
        </w:rPr>
        <w:t>，</w:t>
      </w:r>
      <w:r>
        <w:rPr>
          <w:rFonts w:hint="eastAsia"/>
        </w:rPr>
        <w:t>拿2號牌的是陳訴人，拿3號牌的是朱偵查佐(已經退休)</w:t>
      </w:r>
      <w:r w:rsidRPr="00D94554">
        <w:rPr>
          <w:rFonts w:hint="eastAsia"/>
        </w:rPr>
        <w:t>，</w:t>
      </w:r>
      <w:r>
        <w:rPr>
          <w:rFonts w:hint="eastAsia"/>
        </w:rPr>
        <w:t>拿4號牌的是我，拿5號牌的是賴偵查佐(已經退休)</w:t>
      </w:r>
      <w:r w:rsidRPr="00D94554">
        <w:rPr>
          <w:rFonts w:hint="eastAsia"/>
        </w:rPr>
        <w:t>，</w:t>
      </w:r>
      <w:r>
        <w:rPr>
          <w:rFonts w:hint="eastAsia"/>
        </w:rPr>
        <w:t>拿6號牌的是派出所蔣姓</w:t>
      </w:r>
      <w:r w:rsidR="00B61108">
        <w:rPr>
          <w:rFonts w:hint="eastAsia"/>
        </w:rPr>
        <w:t>員</w:t>
      </w:r>
      <w:r>
        <w:rPr>
          <w:rFonts w:hint="eastAsia"/>
        </w:rPr>
        <w:t>警(應該還在職，在派出所當巡佐)</w:t>
      </w:r>
      <w:r w:rsidRPr="00386E5F">
        <w:rPr>
          <w:rFonts w:hint="eastAsia"/>
        </w:rPr>
        <w:t>。</w:t>
      </w:r>
    </w:p>
    <w:p w:rsidR="00951C75" w:rsidRPr="00DF472B" w:rsidRDefault="00BA296F" w:rsidP="00ED3638">
      <w:pPr>
        <w:pStyle w:val="5"/>
        <w:numPr>
          <w:ilvl w:val="0"/>
          <w:numId w:val="0"/>
        </w:numPr>
        <w:ind w:left="1191"/>
        <w:jc w:val="right"/>
      </w:pPr>
      <w:r>
        <w:rPr>
          <w:noProof/>
        </w:rPr>
        <w:lastRenderedPageBreak/>
        <w:drawing>
          <wp:inline distT="0" distB="0" distL="0" distR="0" wp14:anchorId="11ED7DDC" wp14:editId="6D1D6700">
            <wp:extent cx="4411980" cy="2494406"/>
            <wp:effectExtent l="0" t="0" r="7620" b="1270"/>
            <wp:docPr id="234" name="圖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4634" cy="2518521"/>
                    </a:xfrm>
                    <a:prstGeom prst="rect">
                      <a:avLst/>
                    </a:prstGeom>
                  </pic:spPr>
                </pic:pic>
              </a:graphicData>
            </a:graphic>
          </wp:inline>
        </w:drawing>
      </w:r>
    </w:p>
    <w:p w:rsidR="0055259B" w:rsidRPr="00D97E4B" w:rsidRDefault="00951C75" w:rsidP="006344C0">
      <w:pPr>
        <w:pStyle w:val="5"/>
      </w:pPr>
      <w:r>
        <w:rPr>
          <w:rFonts w:hint="eastAsia"/>
        </w:rPr>
        <w:t>(00:51)</w:t>
      </w:r>
      <w:r w:rsidR="00BA296F" w:rsidRPr="00BA296F">
        <w:rPr>
          <w:noProof/>
        </w:rPr>
        <w:t xml:space="preserve"> </w:t>
      </w:r>
      <w:r>
        <w:rPr>
          <w:rFonts w:hint="eastAsia"/>
        </w:rPr>
        <w:t>5號賴偵查佐說「手銬給他拔起來</w:t>
      </w:r>
      <w:r w:rsidRPr="00F96603">
        <w:rPr>
          <w:rFonts w:hint="eastAsia"/>
        </w:rPr>
        <w:t>，</w:t>
      </w:r>
      <w:r>
        <w:rPr>
          <w:rFonts w:hint="eastAsia"/>
        </w:rPr>
        <w:t>謀安呢傷憨啦(台語，指這樣太離譜了)</w:t>
      </w:r>
      <w:r w:rsidRPr="00F96603">
        <w:rPr>
          <w:rFonts w:hint="eastAsia"/>
        </w:rPr>
        <w:t>。</w:t>
      </w:r>
      <w:r>
        <w:rPr>
          <w:rFonts w:hint="eastAsia"/>
        </w:rPr>
        <w:t>」(00:59)畫面中3號朱偵查佐嘗試將陳訴人的袖子拉下來，(01:04)畫面中外面制服員警進入指認室協助將袖子拉下遮掩手銬。陳分隊長表示對這段過程沒有印象。(01:25)王女在指認室外準備指認，應該也有看到遮手銬這段過程。(01:42)王女指認2號為嫌疑犯。</w:t>
      </w:r>
    </w:p>
    <w:tbl>
      <w:tblPr>
        <w:tblStyle w:val="af7"/>
        <w:tblW w:w="0" w:type="auto"/>
        <w:tblLook w:val="04A0" w:firstRow="1" w:lastRow="0" w:firstColumn="1" w:lastColumn="0" w:noHBand="0" w:noVBand="1"/>
      </w:tblPr>
      <w:tblGrid>
        <w:gridCol w:w="4536"/>
        <w:gridCol w:w="4476"/>
      </w:tblGrid>
      <w:tr w:rsidR="00D97E4B" w:rsidTr="00D97E4B">
        <w:tc>
          <w:tcPr>
            <w:tcW w:w="4536" w:type="dxa"/>
          </w:tcPr>
          <w:p w:rsidR="00D97E4B" w:rsidRDefault="003F3F15" w:rsidP="006344C0">
            <w:pPr>
              <w:pStyle w:val="5"/>
              <w:numPr>
                <w:ilvl w:val="0"/>
                <w:numId w:val="0"/>
              </w:numPr>
            </w:pPr>
            <w:r>
              <w:rPr>
                <w:noProof/>
              </w:rPr>
              <mc:AlternateContent>
                <mc:Choice Requires="wps">
                  <w:drawing>
                    <wp:anchor distT="0" distB="0" distL="114300" distR="114300" simplePos="0" relativeHeight="251649024" behindDoc="0" locked="0" layoutInCell="1" allowOverlap="1">
                      <wp:simplePos x="0" y="0"/>
                      <wp:positionH relativeFrom="column">
                        <wp:posOffset>1271905</wp:posOffset>
                      </wp:positionH>
                      <wp:positionV relativeFrom="paragraph">
                        <wp:posOffset>213360</wp:posOffset>
                      </wp:positionV>
                      <wp:extent cx="236220" cy="106680"/>
                      <wp:effectExtent l="0" t="0" r="11430" b="26670"/>
                      <wp:wrapNone/>
                      <wp:docPr id="242" name="矩形 242"/>
                      <wp:cNvGraphicFramePr/>
                      <a:graphic xmlns:a="http://schemas.openxmlformats.org/drawingml/2006/main">
                        <a:graphicData uri="http://schemas.microsoft.com/office/word/2010/wordprocessingShape">
                          <wps:wsp>
                            <wps:cNvSpPr/>
                            <wps:spPr>
                              <a:xfrm>
                                <a:off x="0" y="0"/>
                                <a:ext cx="236220" cy="1066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382D8" id="矩形 242" o:spid="_x0000_s1026" style="position:absolute;margin-left:100.15pt;margin-top:16.8pt;width:18.6pt;height: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rjfAIAAC0FAAAOAAAAZHJzL2Uyb0RvYy54bWysVM1uEzEQviPxDpbvdH9IQ4myqaJWRUhV&#10;W9Ginl2vnV1he4ztZBNeBqk3HoLHQbwGY+9mW0q5IHLYeDz/33zj+fFWK7IRzrdgKloc5JQIw6Fu&#10;zaqiH2/OXh1R4gMzNVNgREV3wtPjxcsX887ORAkNqFo4gkGMn3W2ok0IdpZlnjdCM38AVhhUSnCa&#10;BRTdKqsd6zC6VlmZ59OsA1dbB1x4j7envZIuUnwpBQ+XUnoRiKoo1hbS16XvXfxmizmbrRyzTcuH&#10;Mtg/VKFZazDpGOqUBUbWrv0jlG65Aw8yHHDQGUjZcpF6wG6K/Ek31w2zIvWC4Hg7wuT/X1h+sbly&#10;pK0rWk5KSgzTOKSfX7/9+H5P4g3i01k/Q7Nre+UGyeMxNruVTsd/bINsE6a7EVOxDYTjZfl6WpaI&#10;PEdVkU+nRwnz7MHZOh/eCdAkHirqcGQJSbY59wETouneBIVYTJ8+ncJOiViBMh+ExDZiwuSdCCRO&#10;lCMbhqOvPxX9dcNq0V8d5viL/WGC0TpJKViMKlulxrhDgEjM3+P2IQbb6CYS70bH/G8F9Y6jdcoI&#10;JoyOujXgnnNWoRgKl739HpgejojMHdQ7HKyDnvHe8rMW8T1nPlwxhxTHkeDahkv8SAVdRWE4UdKA&#10;+/LcfbRH5qGWkg5XpqL+85o5QYl6b5CTb4vJJO5YEiaHb+LY3WPN3WONWesTwNEU+EBYno7RPqj9&#10;UTrQt7jdy5gVVcxwzF1RHtxeOAn9KuP7wMVymcxwrywL5+ba8hg8ohr5c7O9Zc4OJAvIzgvYrxeb&#10;PeFabxs9DSzXAWSbiPiA64A37mQizPB+xKV/LCerh1du8QsAAP//AwBQSwMEFAAGAAgAAAAhAAC0&#10;axDeAAAACQEAAA8AAABkcnMvZG93bnJldi54bWxMj8FOwzAMQO9I/ENkJG4sod3KVupOCAnECYmx&#10;Hbh5TdYWGqdrsq78PeEER8tPz8/FerKdGM3gW8cItzMFwnDldMs1wvb96WYJwgdiTZ1jg/BtPKzL&#10;y4uCcu3O/GbGTahFlLDPCaEJoc+l9FVjLPmZ6w3H3cENlkIch1rqgc5RbjuZKJVJSy3HCw315rEx&#10;1dfmZBFWn3z4ULvnY7K147x/OdLrrs0Qr6+mh3sQwUzhD4bf/JgOZWzauxNrLzqEaE8jipCmGYgI&#10;JOndAsQeYaHmIMtC/v+g/AEAAP//AwBQSwECLQAUAAYACAAAACEAtoM4kv4AAADhAQAAEwAAAAAA&#10;AAAAAAAAAAAAAAAAW0NvbnRlbnRfVHlwZXNdLnhtbFBLAQItABQABgAIAAAAIQA4/SH/1gAAAJQB&#10;AAALAAAAAAAAAAAAAAAAAC8BAABfcmVscy8ucmVsc1BLAQItABQABgAIAAAAIQCQC8rjfAIAAC0F&#10;AAAOAAAAAAAAAAAAAAAAAC4CAABkcnMvZTJvRG9jLnhtbFBLAQItABQABgAIAAAAIQAAtGsQ3gAA&#10;AAkBAAAPAAAAAAAAAAAAAAAAANYEAABkcnMvZG93bnJldi54bWxQSwUGAAAAAAQABADzAAAA4QUA&#10;AAAA&#10;" fillcolor="black [3200]" strokecolor="black [1600]" strokeweight="2pt"/>
                  </w:pict>
                </mc:Fallback>
              </mc:AlternateContent>
            </w:r>
            <w:r w:rsidR="00BA296F">
              <w:rPr>
                <w:noProof/>
              </w:rPr>
              <mc:AlternateContent>
                <mc:Choice Requires="wps">
                  <w:drawing>
                    <wp:anchor distT="0" distB="0" distL="114300" distR="114300" simplePos="0" relativeHeight="251643904" behindDoc="0" locked="0" layoutInCell="1" allowOverlap="1" wp14:anchorId="55490C1E" wp14:editId="6E62C12C">
                      <wp:simplePos x="0" y="0"/>
                      <wp:positionH relativeFrom="column">
                        <wp:posOffset>639445</wp:posOffset>
                      </wp:positionH>
                      <wp:positionV relativeFrom="paragraph">
                        <wp:posOffset>312420</wp:posOffset>
                      </wp:positionV>
                      <wp:extent cx="228600" cy="99060"/>
                      <wp:effectExtent l="0" t="0" r="19050" b="15240"/>
                      <wp:wrapNone/>
                      <wp:docPr id="241" name="矩形 241"/>
                      <wp:cNvGraphicFramePr/>
                      <a:graphic xmlns:a="http://schemas.openxmlformats.org/drawingml/2006/main">
                        <a:graphicData uri="http://schemas.microsoft.com/office/word/2010/wordprocessingShape">
                          <wps:wsp>
                            <wps:cNvSpPr/>
                            <wps:spPr>
                              <a:xfrm flipV="1">
                                <a:off x="0" y="0"/>
                                <a:ext cx="228600" cy="9906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9C21C" id="矩形 241" o:spid="_x0000_s1026" style="position:absolute;margin-left:50.35pt;margin-top:24.6pt;width:18pt;height:7.8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HBigIAACsFAAAOAAAAZHJzL2Uyb0RvYy54bWysVM1uEzEQviPxDpbvdJMoLTTqpopaFSFV&#10;baUWep567exKXtvYTjbhZZC48RA8DuI1+Ozd9JcDQuzBmvGM5+ebb/boeNNqtpY+NNaUfLw34kwa&#10;YavGLEv+8ebszTvOQiRTkbZGlnwrAz+ev3511LmZnNja6kp6hiAmzDpX8jpGNyuKIGrZUtizThoY&#10;lfUtRah+WVSeOkRvdTEZjQ6KzvrKeStkCLg97Y18nuMrJUW8VCrIyHTJUVvMp8/nXTqL+RHNlp5c&#10;3YihDPqHKlpqDJLehzqlSGzlmxeh2kZ4G6yKe8K2hVWqETL3gG7Go2fdXNfkZO4F4AR3D1P4f2HF&#10;xfrKs6Yq+WQ65sxQiyH9+vr9549vLN0An86FGdyu3ZUftAAxNbtRvmVKN+4TRp/bR0Nsk9Hd3qMr&#10;N5EJXE4m7w5GmIGA6fBwdJDBL/ooKZrzIb6XtmVJKLnH7HJMWp+HiMxw3bkk92B1U501WmdlG060&#10;Z2vCmMGOynY3SMuZphBhQC35S+0gzJOn2rAOxe1Pc20EDipNeCpaB1SCWXJGeglyi+hzPU9eh79M&#10;nIusqZJ9jfupnF01OcTLwlKzpxTq/kXOOrzQJoWTmd4DNmlI/ViSdGerLcbqbc/34MRZg2jnQOOK&#10;PAiOMWBp4yUOpS36t4PEWW39lz/dJ3/wDlbOOiwMsPm8Ii8B8gcDRh6Op9O0YVmZ7r+dQPGPLXeP&#10;LWbVnlgMC5xDdVlM/lHvROVte4vdXqSsMJERyN1PYVBOYr/I+DsIuVhkN2yVo3hurp3YcTLheLO5&#10;Je8GZkVQ48LulotmzwjW+yaEjV2solVNZt8DrhhVUrCReWjD3yOt/GM9ez384+a/AQAA//8DAFBL&#10;AwQUAAYACAAAACEAJVQnBt4AAAAJAQAADwAAAGRycy9kb3ducmV2LnhtbEyPwUrDQBCG74LvsIzg&#10;RezGWmIbsylFEIQexCj0uslOs8Hd2ZDdtunbOz3Z4z/z8c835XryThxxjH0gBU+zDARSG0xPnYKf&#10;7/fHJYiYNBntAqGCM0ZYV7c3pS5MONEXHuvUCS6hWGgFNqWhkDK2Fr2OszAg8W4fRq8Tx7GTZtQn&#10;LvdOzrMsl173xBesHvDNYvtbH7wCV++3TXPOV7uAm4dd2trPD7JK3d9Nm1cQCaf0D8NFn9WhYqcm&#10;HMhE4Thn2QujCharOYgL8JzzoFGQL5Ygq1Jef1D9AQAA//8DAFBLAQItABQABgAIAAAAIQC2gziS&#10;/gAAAOEBAAATAAAAAAAAAAAAAAAAAAAAAABbQ29udGVudF9UeXBlc10ueG1sUEsBAi0AFAAGAAgA&#10;AAAhADj9If/WAAAAlAEAAAsAAAAAAAAAAAAAAAAALwEAAF9yZWxzLy5yZWxzUEsBAi0AFAAGAAgA&#10;AAAhAKqUocGKAgAAKwUAAA4AAAAAAAAAAAAAAAAALgIAAGRycy9lMm9Eb2MueG1sUEsBAi0AFAAG&#10;AAgAAAAhACVUJwbeAAAACQEAAA8AAAAAAAAAAAAAAAAA5AQAAGRycy9kb3ducmV2LnhtbFBLBQYA&#10;AAAABAAEAPMAAADvBQAAAAA=&#10;" fillcolor="windowText" strokeweight="2pt"/>
                  </w:pict>
                </mc:Fallback>
              </mc:AlternateContent>
            </w:r>
            <w:r w:rsidR="00BA296F">
              <w:rPr>
                <w:noProof/>
              </w:rPr>
              <mc:AlternateContent>
                <mc:Choice Requires="wps">
                  <w:drawing>
                    <wp:anchor distT="0" distB="0" distL="114300" distR="114300" simplePos="0" relativeHeight="251632640" behindDoc="0" locked="0" layoutInCell="1" allowOverlap="1" wp14:anchorId="55490C1E" wp14:editId="6E62C12C">
                      <wp:simplePos x="0" y="0"/>
                      <wp:positionH relativeFrom="column">
                        <wp:posOffset>1779905</wp:posOffset>
                      </wp:positionH>
                      <wp:positionV relativeFrom="paragraph">
                        <wp:posOffset>187325</wp:posOffset>
                      </wp:positionV>
                      <wp:extent cx="251460" cy="99060"/>
                      <wp:effectExtent l="0" t="0" r="15240" b="15240"/>
                      <wp:wrapNone/>
                      <wp:docPr id="240" name="矩形 240"/>
                      <wp:cNvGraphicFramePr/>
                      <a:graphic xmlns:a="http://schemas.openxmlformats.org/drawingml/2006/main">
                        <a:graphicData uri="http://schemas.microsoft.com/office/word/2010/wordprocessingShape">
                          <wps:wsp>
                            <wps:cNvSpPr/>
                            <wps:spPr>
                              <a:xfrm>
                                <a:off x="0" y="0"/>
                                <a:ext cx="251460" cy="9906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91CD88" id="矩形 240" o:spid="_x0000_s1026" style="position:absolute;margin-left:140.15pt;margin-top:14.75pt;width:19.8pt;height:7.8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tO8gQIAACEFAAAOAAAAZHJzL2Uyb0RvYy54bWysVM1uEzEQviPxDpbvdJMoLTTqpopaFSFV&#10;baUW9Tz1erMr+Q/bySa8DBI3HoLHQbwGn72bpi0cEGIP3hnP/zczPjndaMXW0ofWmpKPD0acSSNs&#10;1ZplyT/eXbx5x1mIZCpS1siSb2Xgp/PXr046N5MT21hVSc/gxIRZ50rexOhmRRFEIzWFA+ukgbC2&#10;XlME65dF5amDd62KyWh0VHTWV85bIUPA7Xkv5PPsv66liNd1HWRkquTILebT5/MhncX8hGZLT65p&#10;xZAG/UMWmlqDoI+uzikSW/n2N1e6Fd4GW8cDYXVh67oVMteAasajF9XcNuRkrgXgBPcIU/h/bsXV&#10;+saztir5ZAp8DGk06eeXbz++f2XpBvh0Lsygdutu/MAFkKnYTe11+qMMtsmYbh8xlZvIBC4nh+Pp&#10;ETwLiI6PRyDhpNjbOh/ie2k1S0TJPTqWgaT1ZYi96k4lhQpWtdVFq1RmtuFMebYmNBczUdnuDmE5&#10;UxQiBMglf0PEZ6bKsC4lNx2l3AiTVyuCqdAOWASz5IzUEiMtos/5PLMOfxk4J9lQJfscD1M6u2yy&#10;iwzFM9ep2HMKTW+RRYOFMsmdzEM9YJNa0zcjUQ+22qKZ3vZTHpy4aOHtEmjckMdYo1SsarzGUSuL&#10;+u1AcdZY//lP90kf0wYpZx3WBNh8WpGXAPmDwRwej6dpbmJmpodvJ2D8U8nDU4lZ6TOLZo3xKDiR&#10;yaQf1Y6svdX32OhFigoRGYHYfRcG5iz264s3QcjFIqthlxzFS3PrRHKecEo43m3uybthsiJG48ru&#10;VopmLwas102Wxi5W0dZtnr49rmhVYrCHuWnDm5EW/SmftfYv2/wXAAAA//8DAFBLAwQUAAYACAAA&#10;ACEAOypaweAAAAAJAQAADwAAAGRycy9kb3ducmV2LnhtbEyPQU7DMBBF90jcwRokNqh10jZVEuJU&#10;DYIDEBBi6cZDkmKPo9htQk+PWZXdjObpz/vFbjaanXF0vSUB8TIChtRY1VMr4P3tZZECc16SktoS&#10;CvhBB7vy9qaQubITveK59i0LIeRyKaDzfsg5d02HRrqlHZDC7cuORvqwji1Xo5xCuNF8FUVbbmRP&#10;4UMnB3zqsPmuT0bAg74cj9UzVumGfyYfdbbHSzUJcX837x+BeZz9FYY//aAOZXA62BMpx7SAVRqt&#10;AxqGLAEWgHWcZcAOAjZJDLws+P8G5S8AAAD//wMAUEsBAi0AFAAGAAgAAAAhALaDOJL+AAAA4QEA&#10;ABMAAAAAAAAAAAAAAAAAAAAAAFtDb250ZW50X1R5cGVzXS54bWxQSwECLQAUAAYACAAAACEAOP0h&#10;/9YAAACUAQAACwAAAAAAAAAAAAAAAAAvAQAAX3JlbHMvLnJlbHNQSwECLQAUAAYACAAAACEArK7T&#10;vIECAAAhBQAADgAAAAAAAAAAAAAAAAAuAgAAZHJzL2Uyb0RvYy54bWxQSwECLQAUAAYACAAAACEA&#10;OypaweAAAAAJAQAADwAAAAAAAAAAAAAAAADbBAAAZHJzL2Rvd25yZXYueG1sUEsFBgAAAAAEAAQA&#10;8wAAAOgFAAAAAA==&#10;" fillcolor="windowText" strokeweight="2pt"/>
                  </w:pict>
                </mc:Fallback>
              </mc:AlternateContent>
            </w:r>
            <w:r w:rsidR="00BA296F">
              <w:rPr>
                <w:noProof/>
              </w:rPr>
              <mc:AlternateContent>
                <mc:Choice Requires="wps">
                  <w:drawing>
                    <wp:anchor distT="0" distB="0" distL="114300" distR="114300" simplePos="0" relativeHeight="251615232" behindDoc="0" locked="0" layoutInCell="1" allowOverlap="1">
                      <wp:simplePos x="0" y="0"/>
                      <wp:positionH relativeFrom="column">
                        <wp:posOffset>2422525</wp:posOffset>
                      </wp:positionH>
                      <wp:positionV relativeFrom="paragraph">
                        <wp:posOffset>259080</wp:posOffset>
                      </wp:positionV>
                      <wp:extent cx="251460" cy="99060"/>
                      <wp:effectExtent l="0" t="0" r="15240" b="15240"/>
                      <wp:wrapNone/>
                      <wp:docPr id="238" name="矩形 238"/>
                      <wp:cNvGraphicFramePr/>
                      <a:graphic xmlns:a="http://schemas.openxmlformats.org/drawingml/2006/main">
                        <a:graphicData uri="http://schemas.microsoft.com/office/word/2010/wordprocessingShape">
                          <wps:wsp>
                            <wps:cNvSpPr/>
                            <wps:spPr>
                              <a:xfrm>
                                <a:off x="0" y="0"/>
                                <a:ext cx="251460" cy="990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6D4B85" id="矩形 238" o:spid="_x0000_s1026" style="position:absolute;margin-left:190.75pt;margin-top:20.4pt;width:19.8pt;height:7.8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P8dfAIAACwFAAAOAAAAZHJzL2Uyb0RvYy54bWysVMFu1DAQvSPxD5bvNMmyLXTVbLVqVYRU&#10;tSta1LPr2E2E4zFj72aXn0HqjY/gcxC/wdjJpqWUCyIHZ+yZeZ55M+Oj401r2Fqhb8CWvNjLOVNW&#10;QtXYu5J/vD579ZYzH4SthAGrSr5Vnh/PX7446txMTaAGUylkBGL9rHMlr0Nwsyzzslat8HvglCWl&#10;BmxFoC3eZRWKjtBbk03y/CDrACuHIJX3dHraK/k84WutZLjU2qvATMkptpBWTOttXLP5kZjdoXB1&#10;I4cwxD9E0YrG0qUj1KkIgq2w+QOqbSSCBx32JLQZaN1IlXKgbIr8STZXtXAq5ULkeDfS5P8frLxY&#10;L5E1Vcknr6lUVrRUpJ9fv/34fs/iCfHTOT8jsyu3xGHnSYzJbjS28U9psE3idDtyqjaBSTqc7BfT&#10;A2JekurwMCeRQLIHX4c+vFPQsiiUHKliiUixPvehN92ZkF+Mpb89SWFrVAzA2A9KUxbxvuSd+ked&#10;GGRrQZWvPhX9cS0q1R/t5/QNsYzWKbIEFlF1Y8yIOwDEvvwdt49xsI1uKrXd6Jj/LaDecbRON4IN&#10;o2PbWMDnnE0ohsB1b78jpqcjMnML1ZbqitA3vHfyrCF+z4UPS4HU4VQRmtpwSYs20JUcBomzGvDL&#10;c+fRnhqPtJx1NDEl959XAhVn5r2lljwsptM4Ymkz3X8zoQ0+1tw+1thVewJUmoLeByeTGO2D2Yka&#10;ob2h4V7EW0klrKS7Sy4D7jYnoZ9keh6kWiySGY2VE+HcXjkZwSOrsX+uNzcC3dBkgZrzAnbTJWZP&#10;eq23jZ4WFqsAukmN+MDrwDeNZGqY4fmIM/94n6weHrn5LwAAAP//AwBQSwMEFAAGAAgAAAAhACs5&#10;GJHfAAAACQEAAA8AAABkcnMvZG93bnJldi54bWxMj8FOwzAQRO9I/IO1SNyonZBGJcSpEBKIExKl&#10;PXDbxm4SiNdp7Kbh71lOcFzt08ybcj27Xkx2DJ0nDclCgbBUe9NRo2H7/nSzAhEiksHek9XwbQOs&#10;q8uLEgvjz/Rmp01sBIdQKFBDG+NQSBnq1joMCz9Y4t/Bjw4jn2MjzYhnDne9TJXKpcOOuKHFwT62&#10;tv7anJyGu086fKjd8zHduikbXo74uutyra+v5od7ENHO8Q+GX31Wh4qd9v5EJohew+0qWTKqIVM8&#10;gYEsTRIQew3LPANZlfL/guoHAAD//wMAUEsBAi0AFAAGAAgAAAAhALaDOJL+AAAA4QEAABMAAAAA&#10;AAAAAAAAAAAAAAAAAFtDb250ZW50X1R5cGVzXS54bWxQSwECLQAUAAYACAAAACEAOP0h/9YAAACU&#10;AQAACwAAAAAAAAAAAAAAAAAvAQAAX3JlbHMvLnJlbHNQSwECLQAUAAYACAAAACEAuNj/HXwCAAAs&#10;BQAADgAAAAAAAAAAAAAAAAAuAgAAZHJzL2Uyb0RvYy54bWxQSwECLQAUAAYACAAAACEAKzkYkd8A&#10;AAAJAQAADwAAAAAAAAAAAAAAAADWBAAAZHJzL2Rvd25yZXYueG1sUEsFBgAAAAAEAAQA8wAAAOIF&#10;AAAAAA==&#10;" fillcolor="black [3200]" strokecolor="black [1600]" strokeweight="2pt"/>
                  </w:pict>
                </mc:Fallback>
              </mc:AlternateContent>
            </w:r>
            <w:r w:rsidR="00BA296F">
              <w:rPr>
                <w:noProof/>
              </w:rPr>
              <mc:AlternateContent>
                <mc:Choice Requires="wps">
                  <w:drawing>
                    <wp:anchor distT="0" distB="0" distL="114300" distR="114300" simplePos="0" relativeHeight="251612160" behindDoc="0" locked="0" layoutInCell="1" allowOverlap="1">
                      <wp:simplePos x="0" y="0"/>
                      <wp:positionH relativeFrom="column">
                        <wp:posOffset>60325</wp:posOffset>
                      </wp:positionH>
                      <wp:positionV relativeFrom="paragraph">
                        <wp:posOffset>281940</wp:posOffset>
                      </wp:positionV>
                      <wp:extent cx="259080" cy="68580"/>
                      <wp:effectExtent l="0" t="0" r="26670" b="26670"/>
                      <wp:wrapNone/>
                      <wp:docPr id="235" name="矩形 235"/>
                      <wp:cNvGraphicFramePr/>
                      <a:graphic xmlns:a="http://schemas.openxmlformats.org/drawingml/2006/main">
                        <a:graphicData uri="http://schemas.microsoft.com/office/word/2010/wordprocessingShape">
                          <wps:wsp>
                            <wps:cNvSpPr/>
                            <wps:spPr>
                              <a:xfrm>
                                <a:off x="0" y="0"/>
                                <a:ext cx="259080" cy="685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53D05" id="矩形 235" o:spid="_x0000_s1026" style="position:absolute;margin-left:4.75pt;margin-top:22.2pt;width:20.4pt;height:5.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VTfAIAACwFAAAOAAAAZHJzL2Uyb0RvYy54bWysVMFuEzEQvSPxD5bvZDchKWnUTRW1KkKq&#10;2ooW9ex67e4Kr8eMnWzCzyBx4yP4HMRvMPZutqWUCyKHzdgz8zzz/MZHx9vGsI1CX4Mt+HiUc6as&#10;hLK29wX/cHP2as6ZD8KWwoBVBd8pz4+XL18ctW6hJlCBKRUyArF+0bqCVyG4RZZ5WalG+BE4Zcmp&#10;ARsRaIn3WYmiJfTGZJM8P8hawNIhSOU97Z52Tr5M+ForGS619iowU3CqLaQvpu9d/GbLI7G4R+Gq&#10;WvZliH+oohG1pUMHqFMRBFtj/QdUU0sEDzqMJDQZaF1LlXqgbsb5k26uK+FU6oXI8W6gyf8/WHmx&#10;uUJWlwWfvJ5xZkVDl/Tzy7cf37+yuEP8tM4vKOzaXWG/8mTGZrcam/hPbbBt4nQ3cKq2gUnanMwO&#10;8zkxL8l1MJ+RSSDZQ65DH94qaFg0Co50Y4lIsTn3oQvdh1BerKU7PVlhZ1QswNj3SlMX8byUnfSj&#10;TgyyjaCbLz+Ou+1KlKrbmuX062sZolNlCSyi6tqYAbcHiLr8HbersY+NaSrJbkjM/1ZQlzhEpxPB&#10;hiGxqS3gc8kmjPvCdRe/J6ajIzJzB+WO7hWhE7x38qwmfs+FD1cCSeF0IzS14ZI+2kBbcOgtzirA&#10;z8/tx3gSHnk5a2liCu4/rQUqzsw7S5I8HE+nccTSYjp7M6EFPvbcPfbYdXMCdDVjeh+cTGaMD2Zv&#10;aoTmloZ7FU8ll7CSzi64DLhfnIRukul5kGq1SmE0Vk6Ec3vtZASPrEb93GxvBbpeZIHEeQH76RKL&#10;J1rrYmOmhdU6gK6TEB947fmmkUyC6Z+POPOP1ynq4ZFb/gIAAP//AwBQSwMEFAAGAAgAAAAhAKE0&#10;KtzcAAAABgEAAA8AAABkcnMvZG93bnJldi54bWxMjkFPg0AQhe8m/ofNmHizuyI0iiyNMdF4MrG2&#10;B29TmALKzlJ2S/HfO570NHl5L998xWp2vZpoDJ1nC9cLA4q48nXHjYXN+9PVLagQkWvsPZOFbwqw&#10;Ks/PCsxrf+I3mtaxUQLhkKOFNsYh1zpULTkMCz8QS7f3o8MocWx0PeJJ4K7XiTFL7bBj+dDiQI8t&#10;VV/ro7Nw98n7D7N9PiQbN6XDywFft93S2suL+eEeVKQ5/o3hV1/UoRSnnT9yHVQvjEyGFtI0BSV1&#10;Zm5A7eRmCeiy0P/1yx8AAAD//wMAUEsBAi0AFAAGAAgAAAAhALaDOJL+AAAA4QEAABMAAAAAAAAA&#10;AAAAAAAAAAAAAFtDb250ZW50X1R5cGVzXS54bWxQSwECLQAUAAYACAAAACEAOP0h/9YAAACUAQAA&#10;CwAAAAAAAAAAAAAAAAAvAQAAX3JlbHMvLnJlbHNQSwECLQAUAAYACAAAACEAw7glU3wCAAAsBQAA&#10;DgAAAAAAAAAAAAAAAAAuAgAAZHJzL2Uyb0RvYy54bWxQSwECLQAUAAYACAAAACEAoTQq3NwAAAAG&#10;AQAADwAAAAAAAAAAAAAAAADWBAAAZHJzL2Rvd25yZXYueG1sUEsFBgAAAAAEAAQA8wAAAN8FAAAA&#10;AA==&#10;" fillcolor="black [3200]" strokecolor="black [1600]" strokeweight="2pt"/>
                  </w:pict>
                </mc:Fallback>
              </mc:AlternateContent>
            </w:r>
            <w:r w:rsidR="00D97E4B">
              <w:rPr>
                <w:noProof/>
              </w:rPr>
              <w:drawing>
                <wp:inline distT="0" distB="0" distL="0" distR="0" wp14:anchorId="66D18351" wp14:editId="0EA798C4">
                  <wp:extent cx="2722880" cy="1729154"/>
                  <wp:effectExtent l="0" t="0" r="1270" b="4445"/>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50942" cy="1746975"/>
                          </a:xfrm>
                          <a:prstGeom prst="rect">
                            <a:avLst/>
                          </a:prstGeom>
                        </pic:spPr>
                      </pic:pic>
                    </a:graphicData>
                  </a:graphic>
                </wp:inline>
              </w:drawing>
            </w:r>
          </w:p>
        </w:tc>
        <w:tc>
          <w:tcPr>
            <w:tcW w:w="4476" w:type="dxa"/>
          </w:tcPr>
          <w:p w:rsidR="00D97E4B" w:rsidRDefault="003F3F15" w:rsidP="006344C0">
            <w:pPr>
              <w:pStyle w:val="5"/>
              <w:numPr>
                <w:ilvl w:val="0"/>
                <w:numId w:val="0"/>
              </w:numPr>
            </w:pPr>
            <w:r>
              <w:rPr>
                <w:noProof/>
              </w:rPr>
              <mc:AlternateContent>
                <mc:Choice Requires="wps">
                  <w:drawing>
                    <wp:anchor distT="0" distB="0" distL="114300" distR="114300" simplePos="0" relativeHeight="251700224" behindDoc="0" locked="0" layoutInCell="1" allowOverlap="1" wp14:anchorId="03BDDAA9" wp14:editId="257A34C0">
                      <wp:simplePos x="0" y="0"/>
                      <wp:positionH relativeFrom="column">
                        <wp:posOffset>2544445</wp:posOffset>
                      </wp:positionH>
                      <wp:positionV relativeFrom="paragraph">
                        <wp:posOffset>411480</wp:posOffset>
                      </wp:positionV>
                      <wp:extent cx="152400" cy="99060"/>
                      <wp:effectExtent l="0" t="0" r="19050" b="15240"/>
                      <wp:wrapNone/>
                      <wp:docPr id="247" name="矩形 247"/>
                      <wp:cNvGraphicFramePr/>
                      <a:graphic xmlns:a="http://schemas.openxmlformats.org/drawingml/2006/main">
                        <a:graphicData uri="http://schemas.microsoft.com/office/word/2010/wordprocessingShape">
                          <wps:wsp>
                            <wps:cNvSpPr/>
                            <wps:spPr>
                              <a:xfrm>
                                <a:off x="0" y="0"/>
                                <a:ext cx="152400" cy="9906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8708C" id="矩形 247" o:spid="_x0000_s1026" style="position:absolute;margin-left:200.35pt;margin-top:32.4pt;width:12pt;height: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5isgwIAACEFAAAOAAAAZHJzL2Uyb0RvYy54bWysVM1qGzEQvhf6DkL3Zm1jJ43xOpiElEJI&#10;Ak7JeaLVehe0kirJXrsvU+itD9HHKX2NftKuEyfpoZTuQTuj+f9mRrOzbaPYRjpfG53z4dGAM6mF&#10;KWq9yvmnu8t37znzgXRBymiZ8530/Gz+9s2stVM5MpVRhXQMTrSftjbnVQh2mmVeVLIhf2Ss1BCW&#10;xjUUwLpVVjhq4b1R2WgwOM5a4wrrjJDe4/aiE/J58l+WUoSbsvQyMJVz5BbS6dL5EM9sPqPpypGt&#10;atGnQf+QRUO1RtBHVxcUiK1d/cpVUwtnvCnDkTBNZsqyFjLVgGqGgxfVLCuyMtUCcLx9hMn/P7fi&#10;enPrWF3kfDQ+4UxTgyb9+vr9549vLN4An9b6KdSW9tb1nAcZi92Wrol/lMG2CdPdI6ZyG5jA5XAy&#10;Gg+AvIDo9HRwnCDPnmyt8+GDNA2LRM4dOpaApM2VD4gH1b1KDOWNqovLWqnE7Py5cmxDaC5mojDt&#10;HcJypsgHCJBL+mIRcPPMVGnWouZJlxth8kpFMBWNBRZerzgjtcJIi+BSPs+s/V8GTklWVMgux0lM&#10;Z59NcvE6sVjsBfmqs0hRewulozuZhrrHJrama0akHkyxQzOd6abcW3FZw9sV0Lglh7FGG7Cq4QZH&#10;qQzqNz3FWWXclz/dR31MG6SctVgTYPN5TU4C5I8ac3g6HI/jXiVmPDkZgXGHkodDiV435wbNGuJR&#10;sCKRUT+oPVk609xjoxcxKkSkBWJ3XeiZ89CtL94EIReLpIZdshSu9NKK6DziFHG8296Ts/1kBYzG&#10;tdmvFE1fDFinGy21WayDKes0fU+4olWRwR6mpvVvRlz0Qz5pPb1s898AAAD//wMAUEsDBBQABgAI&#10;AAAAIQD/8jF/3gAAAAkBAAAPAAAAZHJzL2Rvd25yZXYueG1sTI/LTsMwEEX3SPyDNUhsUGtTmRJC&#10;nKpB8AEEhLp04yFJ8SOK3Sb06xlWsJyZozvnFpvZWXbCMfbBK7hdCmDom2B63yp4f3tZZMBi0t5o&#10;Gzwq+MYIm/LyotC5CZN/xVOdWkYhPuZaQZfSkHMemw6djsswoKfbZxidTjSOLTejnijcWb4SYs2d&#10;7j196PSATx02X/XRKbix58OhesYqk3x391E/bPFcTUpdX83bR2AJ5/QHw68+qUNJTvtw9CYyq0AK&#10;cU+ogrWkCgTIlaTFXkEmJPCy4P8blD8AAAD//wMAUEsBAi0AFAAGAAgAAAAhALaDOJL+AAAA4QEA&#10;ABMAAAAAAAAAAAAAAAAAAAAAAFtDb250ZW50X1R5cGVzXS54bWxQSwECLQAUAAYACAAAACEAOP0h&#10;/9YAAACUAQAACwAAAAAAAAAAAAAAAAAvAQAAX3JlbHMvLnJlbHNQSwECLQAUAAYACAAAACEAbN+Y&#10;rIMCAAAhBQAADgAAAAAAAAAAAAAAAAAuAgAAZHJzL2Uyb0RvYy54bWxQSwECLQAUAAYACAAAACEA&#10;//Ixf94AAAAJAQAADwAAAAAAAAAAAAAAAADdBAAAZHJzL2Rvd25yZXYueG1sUEsFBgAAAAAEAAQA&#10;8wAAAOgFAAAAAA==&#10;" fillcolor="windowText" strokeweight="2pt"/>
                  </w:pict>
                </mc:Fallback>
              </mc:AlternateContent>
            </w:r>
            <w:r>
              <w:rPr>
                <w:noProof/>
              </w:rPr>
              <mc:AlternateContent>
                <mc:Choice Requires="wps">
                  <w:drawing>
                    <wp:anchor distT="0" distB="0" distL="114300" distR="114300" simplePos="0" relativeHeight="251691008" behindDoc="0" locked="0" layoutInCell="1" allowOverlap="1" wp14:anchorId="03BDDAA9" wp14:editId="257A34C0">
                      <wp:simplePos x="0" y="0"/>
                      <wp:positionH relativeFrom="column">
                        <wp:posOffset>1779905</wp:posOffset>
                      </wp:positionH>
                      <wp:positionV relativeFrom="paragraph">
                        <wp:posOffset>438785</wp:posOffset>
                      </wp:positionV>
                      <wp:extent cx="236220" cy="106680"/>
                      <wp:effectExtent l="0" t="0" r="11430" b="26670"/>
                      <wp:wrapNone/>
                      <wp:docPr id="246" name="矩形 246"/>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02879" id="矩形 246" o:spid="_x0000_s1026" style="position:absolute;margin-left:140.15pt;margin-top:34.55pt;width:18.6pt;height: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qEhQIAACIFAAAOAAAAZHJzL2Uyb0RvYy54bWysVM1uEzEQviPxDpbvdJOQhhJ1U0WtipCq&#10;NlKLep54vdmVvLaxnWzCyyBx4yF4HMRr8Nm7adOWA0LswTvj+f9mxqdn20axjXS+Njrnw6MBZ1IL&#10;U9R6lfNPd5dvTjjzgXRBymiZ8530/Gz2+tVpa6dyZCqjCukYnGg/bW3OqxDsNMu8qGRD/shYqSEs&#10;jWsogHWrrHDUwnujstFgMMla4wrrjJDe4/aiE/JZ8l+WUoSbsvQyMJVz5BbS6dK5jGc2O6XpypGt&#10;atGnQf+QRUO1RtAHVxcUiK1d/cJVUwtnvCnDkTBNZsqyFjLVgGqGg2fV3FZkZaoF4Hj7AJP/f27F&#10;9WbhWF3kfDSecKapQZN+ff3+88c3Fm+AT2v9FGq3duF6zoOMxW5L18Q/ymDbhOnuAVO5DUzgcvR2&#10;MhoBeQHRcDCZnCTMs0dj63z4IE3DIpFzh5YlJGlz5QMCQnWvEmN5o+rislYqMTt/rhzbELqLoShM&#10;e4e4nCnyAQIkk75YBdw8MVWatcjueDyIyRFGr1QEU9FYgOH1ijNSK8y0CC7l88Ta/2XglGRFhexy&#10;PI7p7LNJLl4mFou9IF91Filqb6F0dCfTVPfYxN503YjU0hQ7dNOZbsy9FZc1vF0BjQU5zDVKxa6G&#10;GxylMqjf9BRnlXFf/nQf9TFukHLWYk+Azec1OQmQP2oM4vvheBwXKzHj43ex1+5QsjyU6HVzbtCs&#10;IV4FKxIZ9YPak6UzzT1Weh6jQkRaIHbXhZ45D93+4lEQcj5PalgmS+FK31oRnUecIo5323tytp+s&#10;gNG4NvudoumzAet0o6U283UwZZ2m7xFXtCoyWMTUtP7RiJt+yCetx6dt9hsAAP//AwBQSwMEFAAG&#10;AAgAAAAhAMbEwDfgAAAACQEAAA8AAABkcnMvZG93bnJldi54bWxMj91Og0AQhe9NfIfNmHhj7EIr&#10;FZChKUYfQDTGyy07AnV/CLst2Kfv9kovJ+fLOd8Um1krdqTR9dYgxIsIGJnGyt60CB/vr/cpMOeF&#10;kUJZQwi/5GBTXl8VIpd2Mm90rH3LQolxuUDovB9yzl3TkRZuYQcyIfu2oxY+nGPL5SimUK4VX0bR&#10;mmvRm7DQiYGeO2p+6oNGuFOn/b56oSp94F/JZ51t6VRNiLc38/YJmKfZ/8Fw0Q/qUAannT0Y6ZhC&#10;WKbRKqAI6ywGFoBV/JgA2yGkSQa8LPj/D8ozAAAA//8DAFBLAQItABQABgAIAAAAIQC2gziS/gAA&#10;AOEBAAATAAAAAAAAAAAAAAAAAAAAAABbQ29udGVudF9UeXBlc10ueG1sUEsBAi0AFAAGAAgAAAAh&#10;ADj9If/WAAAAlAEAAAsAAAAAAAAAAAAAAAAALwEAAF9yZWxzLy5yZWxzUEsBAi0AFAAGAAgAAAAh&#10;AKgFmoSFAgAAIgUAAA4AAAAAAAAAAAAAAAAALgIAAGRycy9lMm9Eb2MueG1sUEsBAi0AFAAGAAgA&#10;AAAhAMbEwDfgAAAACQEAAA8AAAAAAAAAAAAAAAAA3wQAAGRycy9kb3ducmV2LnhtbFBLBQYAAAAA&#10;BAAEAPMAAADsBQAAAAA=&#10;" fillcolor="windowText" strokeweight="2pt"/>
                  </w:pict>
                </mc:Fallback>
              </mc:AlternateContent>
            </w:r>
            <w:r>
              <w:rPr>
                <w:noProof/>
              </w:rPr>
              <mc:AlternateContent>
                <mc:Choice Requires="wps">
                  <w:drawing>
                    <wp:anchor distT="0" distB="0" distL="114300" distR="114300" simplePos="0" relativeHeight="251681792" behindDoc="0" locked="0" layoutInCell="1" allowOverlap="1" wp14:anchorId="03BDDAA9" wp14:editId="257A34C0">
                      <wp:simplePos x="0" y="0"/>
                      <wp:positionH relativeFrom="column">
                        <wp:posOffset>690245</wp:posOffset>
                      </wp:positionH>
                      <wp:positionV relativeFrom="paragraph">
                        <wp:posOffset>339725</wp:posOffset>
                      </wp:positionV>
                      <wp:extent cx="236220" cy="106680"/>
                      <wp:effectExtent l="0" t="0" r="11430" b="26670"/>
                      <wp:wrapNone/>
                      <wp:docPr id="245" name="矩形 245"/>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D8F25" id="矩形 245" o:spid="_x0000_s1026" style="position:absolute;margin-left:54.35pt;margin-top:26.75pt;width:18.6pt;height: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wXihQIAACIFAAAOAAAAZHJzL2Uyb0RvYy54bWysVM1uEzEQviPxDpbvdJOQhBJlU0WtipCq&#10;tlKLep54vdmVvLaxnWzCyyBx4yF4HMRr8Nm76S8HhNiDd8bz/82M5ye7RrGtdL42OufDowFnUgtT&#10;1Hqd80+352+OOfOBdEHKaJnzvfT8ZPH61by1MzkylVGFdAxOtJ+1NudVCHaWZV5UsiF/ZKzUEJbG&#10;NRTAunVWOGrhvVHZaDCYZq1xhXVGSO9xe9YJ+SL5L0spwlVZehmYyjlyC+l06VzFM1vMabZ2ZKta&#10;9GnQP2TRUK0R9N7VGQViG1e/cNXUwhlvynAkTJOZsqyFTDWgmuHgWTU3FVmZagE43t7D5P+fW3G5&#10;vXasLnI+Gk8409SgSb++fv/54xuLN8CntX4GtRt77XrOg4zF7krXxD/KYLuE6f4eU7kLTOBy9HY6&#10;GgF5AdFwMJ0eJ8yzB2PrfPggTcMikXOHliUkaXvhAwJC9aASY3mj6uK8Vioxe3+qHNsSuouhKEx7&#10;i7icKfIBAiSTvlgF3DwxVZq1yG4yHsTkCKNXKoKpaCzA8HrNGak1ZloEl/J5Yu3/MnBKsqJCdjlO&#10;YjqHbJKLl4nFYs/IV51FitpbKB3dyTTVPTaxN103IrUyxR7ddKYbc2/FeQ1vF0DjmhzmGqViV8MV&#10;jlIZ1G96irPKuC9/uo/6GDdIOWuxJ8Dm84acBMgfNQbx/XA8jouVmPHkXey1eyxZPZboTXNq0Kwh&#10;XgUrEhn1gzqQpTPNHVZ6GaNCRFogdteFnjkN3f7iURByuUxqWCZL4ULfWBGdR5wijre7O3K2n6yA&#10;0bg0h52i2bMB63SjpTbLTTBlnabvAVe0KjJYxNS0/tGIm/6YT1oPT9viNwAAAP//AwBQSwMEFAAG&#10;AAgAAAAhAPgapvXeAAAACQEAAA8AAABkcnMvZG93bnJldi54bWxMj0FOwzAQRfdI3MEaJDaI2tCG&#10;piFO1SB6AAJCLN14SFLscRS7Tejp665g+TVP/7/J15M17IiD7xxJeJgJYEi10x01Ej7et/cpMB8U&#10;aWUcoYRf9LAurq9ylWk30hseq9CwWEI+UxLaEPqMc1+3aJWfuR4p3r7dYFWIcWi4HtQYy63hj0I8&#10;cas6igut6vGlxfqnOlgJd+a035evWKYL/pV8VqsNnspRytubafMMLOAU/mC46Ed1KKLTzh1Ie2Zi&#10;FukyohKSeQLsAiySFbCdhKWYAy9y/v+D4gwAAP//AwBQSwECLQAUAAYACAAAACEAtoM4kv4AAADh&#10;AQAAEwAAAAAAAAAAAAAAAAAAAAAAW0NvbnRlbnRfVHlwZXNdLnhtbFBLAQItABQABgAIAAAAIQA4&#10;/SH/1gAAAJQBAAALAAAAAAAAAAAAAAAAAC8BAABfcmVscy8ucmVsc1BLAQItABQABgAIAAAAIQB0&#10;awXihQIAACIFAAAOAAAAAAAAAAAAAAAAAC4CAABkcnMvZTJvRG9jLnhtbFBLAQItABQABgAIAAAA&#10;IQD4Gqb13gAAAAkBAAAPAAAAAAAAAAAAAAAAAN8EAABkcnMvZG93bnJldi54bWxQSwUGAAAAAAQA&#10;BADzAAAA6gUAAAAA&#10;" fillcolor="windowText" strokeweight="2pt"/>
                  </w:pict>
                </mc:Fallback>
              </mc:AlternateContent>
            </w:r>
            <w:r>
              <w:rPr>
                <w:noProof/>
              </w:rPr>
              <mc:AlternateContent>
                <mc:Choice Requires="wps">
                  <w:drawing>
                    <wp:anchor distT="0" distB="0" distL="114300" distR="114300" simplePos="0" relativeHeight="251672576" behindDoc="0" locked="0" layoutInCell="1" allowOverlap="1" wp14:anchorId="03BDDAA9" wp14:editId="257A34C0">
                      <wp:simplePos x="0" y="0"/>
                      <wp:positionH relativeFrom="column">
                        <wp:posOffset>1116965</wp:posOffset>
                      </wp:positionH>
                      <wp:positionV relativeFrom="paragraph">
                        <wp:posOffset>324485</wp:posOffset>
                      </wp:positionV>
                      <wp:extent cx="236220" cy="106680"/>
                      <wp:effectExtent l="0" t="0" r="11430" b="26670"/>
                      <wp:wrapNone/>
                      <wp:docPr id="244" name="矩形 244"/>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C4A7E" id="矩形 244" o:spid="_x0000_s1026" style="position:absolute;margin-left:87.95pt;margin-top:25.55pt;width:18.6pt;height: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DAhQIAACIFAAAOAAAAZHJzL2Uyb0RvYy54bWysVM1uEzEQviPxDpbvdJOQhhJ1U0WtipCq&#10;NlKLep54vdmVvLaxnWzCyyBx4yF4HMRr8Nm7adOWA0LswTvj+f9mxqdn20axjXS+Njrnw6MBZ1IL&#10;U9R6lfNPd5dvTjjzgXRBymiZ8530/Gz2+tVpa6dyZCqjCukYnGg/bW3OqxDsNMu8qGRD/shYqSEs&#10;jWsogHWrrHDUwnujstFgMMla4wrrjJDe4/aiE/JZ8l+WUoSbsvQyMJVz5BbS6dK5jGc2O6XpypGt&#10;atGnQf+QRUO1RtAHVxcUiK1d/cJVUwtnvCnDkTBNZsqyFjLVgGqGg2fV3FZkZaoF4Hj7AJP/f27F&#10;9WbhWF3kfDQec6apQZN+ff3+88c3Fm+AT2v9FGq3duF6zoOMxW5L18Q/ymDbhOnuAVO5DUzgcvR2&#10;MhoBeQHRcDCZnCTMs0dj63z4IE3DIpFzh5YlJGlz5QMCQnWvEmN5o+rislYqMTt/rhzbELqLoShM&#10;e4e4nCnyAQIkk75YBdw8MVWatcjueDyIyRFGr1QEU9FYgOH1ijNSK8y0CC7l88Ta/2XglGRFhexy&#10;PI7p7LNJLl4mFou9IF91Filqb6F0dCfTVPfYxN503YjU0hQ7dNOZbsy9FZc1vF0BjQU5zDVKxa6G&#10;GxylMqjf9BRnlXFf/nQf9TFukHLWYk+Azec1OQmQP2oM4vvheBwXKzHj43ex1+5QsjyU6HVzbtCs&#10;IV4FKxIZ9YPak6UzzT1Weh6jQkRaIHbXhZ45D93+4lEQcj5PalgmS+FK31oRnUecIo5323tytp+s&#10;gNG4NvudoumzAet0o6U283UwZZ2m7xFXtCoyWMTUtP7RiJt+yCetx6dt9hsAAP//AwBQSwMEFAAG&#10;AAgAAAAhAP1QbC3eAAAACQEAAA8AAABkcnMvZG93bnJldi54bWxMj8FOg0AQhu8mvsNmTLwYu1Cl&#10;LcjSFKMPIBrjccuOQGVnCbst2Kd3POlt/syXf77Jt7PtxQlH3zlSEC8iEEi1Mx01Ct5en283IHzQ&#10;ZHTvCBV8o4dtcXmR68y4iV7wVIVGcAn5TCtoQxgyKX3dotV+4QYk3n260erAcWykGfXE5baXyyha&#10;Sas74gutHvCxxfqrOloFN/35cCifsNzcy4/kvUp3eC4npa6v5t0DiIBz+IPhV5/VoWCnvTuS8aLn&#10;vE5SRhUkcQyCgWV8x8NewWqdgixy+f+D4gcAAP//AwBQSwECLQAUAAYACAAAACEAtoM4kv4AAADh&#10;AQAAEwAAAAAAAAAAAAAAAAAAAAAAW0NvbnRlbnRfVHlwZXNdLnhtbFBLAQItABQABgAIAAAAIQA4&#10;/SH/1gAAAJQBAAALAAAAAAAAAAAAAAAAAC8BAABfcmVscy8ucmVsc1BLAQItABQABgAIAAAAIQDA&#10;TnDAhQIAACIFAAAOAAAAAAAAAAAAAAAAAC4CAABkcnMvZTJvRG9jLnhtbFBLAQItABQABgAIAAAA&#10;IQD9UGwt3gAAAAkBAAAPAAAAAAAAAAAAAAAAAN8EAABkcnMvZG93bnJldi54bWxQSwUGAAAAAAQA&#10;BADzAAAA6gUAAAAA&#10;" fillcolor="windowText" strokeweight="2pt"/>
                  </w:pict>
                </mc:Fallback>
              </mc:AlternateContent>
            </w:r>
            <w:r>
              <w:rPr>
                <w:noProof/>
              </w:rPr>
              <mc:AlternateContent>
                <mc:Choice Requires="wps">
                  <w:drawing>
                    <wp:anchor distT="0" distB="0" distL="114300" distR="114300" simplePos="0" relativeHeight="251661312" behindDoc="0" locked="0" layoutInCell="1" allowOverlap="1" wp14:anchorId="03BDDAA9" wp14:editId="257A34C0">
                      <wp:simplePos x="0" y="0"/>
                      <wp:positionH relativeFrom="column">
                        <wp:posOffset>133985</wp:posOffset>
                      </wp:positionH>
                      <wp:positionV relativeFrom="paragraph">
                        <wp:posOffset>408305</wp:posOffset>
                      </wp:positionV>
                      <wp:extent cx="236220" cy="106680"/>
                      <wp:effectExtent l="0" t="0" r="11430" b="26670"/>
                      <wp:wrapNone/>
                      <wp:docPr id="243" name="矩形 243"/>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973A7" id="矩形 243" o:spid="_x0000_s1026" style="position:absolute;margin-left:10.55pt;margin-top:32.15pt;width:18.6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svhQIAACIFAAAOAAAAZHJzL2Uyb0RvYy54bWysVEtu2zAQ3RfoHQjuG9mO46aG5cBIkKJA&#10;kARIiqwnFGUJoEiWpC27lynQXQ+R4xS9Rh8p2fl1URTVgprh/N/McHayaRRbS+dro3M+PBhwJrUw&#10;Ra2XOf98e/7umDMfSBekjJY530rPT+Zv38xaO5UjUxlVSMfgRPtpa3NehWCnWeZFJRvyB8ZKDWFp&#10;XEMBrFtmhaMW3huVjQaDSdYaV1hnhPQet2edkM+T/7KUIlyVpZeBqZwjt5BOl877eGbzGU2XjmxV&#10;iz4N+ocsGqo1gu5dnVEgtnL1K1dNLZzxpgwHwjSZKctayFQDqhkOXlRzU5GVqRaA4+0eJv//3IrL&#10;9bVjdZHz0fiQM00NmvTr24+fD99ZvAE+rfVTqN3Ya9dzHmQsdlO6Jv5RBtskTLd7TOUmMIHL0eFk&#10;NALyAqLhYDI5Tphnj8bW+fBRmoZFIucOLUtI0vrCBwSE6k4lxvJG1cV5rVRitv5UObYmdBdDUZj2&#10;FnE5U+QDBEgmfbEKuHlmqjRrkd3ReBCTI4xeqQimorEAw+slZ6SWmGkRXMrnmbX/y8ApyYoK2eV4&#10;FNPZZZNcvE4sFntGvuosUtTeQunoTqap7rGJvem6Eal7U2zRTWe6MfdWnNfwdgE0rslhrlEqdjVc&#10;4SiVQf2mpzirjPv6p/uoj3GDlLMWewJsvqzISYD8SWMQPwzH47hYiRkfvY+9dk8l908letWcGjRr&#10;iFfBikRG/aB2ZOlMc4eVXsSoEJEWiN11oWdOQ7e/eBSEXCySGpbJUrjQN1ZE5xGniOPt5o6c7Scr&#10;YDQuzW6naPpiwDrdaKnNYhVMWafpe8QVrYoMFjE1rX804qY/5ZPW49M2/w0AAP//AwBQSwMEFAAG&#10;AAgAAAAhAGvPX7zcAAAABwEAAA8AAABkcnMvZG93bnJldi54bWxMjsFOwzAQRO9I/IO1SFwQdVLa&#10;KoQ4VYPgAwgIcXTjJUmx11HsNqFfz3KC02hnRrOv2M7OihOOofekIF0kIJAab3pqFby9Pt9mIELU&#10;ZLT1hAq+McC2vLwodG78RC94qmMreIRCrhV0MQ65lKHp0Omw8AMSZ59+dDryObbSjHricWflMkk2&#10;0ume+EOnB3zssPmqj07BjT0fDtUTVtlKfqzf6/sdnqtJqeurefcAIuIc/8rwi8/oUDLT3h/JBGEV&#10;LNOUmwo2qzsQnK8z1r2CjH1ZFvI/f/kDAAD//wMAUEsBAi0AFAAGAAgAAAAhALaDOJL+AAAA4QEA&#10;ABMAAAAAAAAAAAAAAAAAAAAAAFtDb250ZW50X1R5cGVzXS54bWxQSwECLQAUAAYACAAAACEAOP0h&#10;/9YAAACUAQAACwAAAAAAAAAAAAAAAAAvAQAAX3JlbHMvLnJlbHNQSwECLQAUAAYACAAAACEAzLY7&#10;L4UCAAAiBQAADgAAAAAAAAAAAAAAAAAuAgAAZHJzL2Uyb0RvYy54bWxQSwECLQAUAAYACAAAACEA&#10;a89fvNwAAAAHAQAADwAAAAAAAAAAAAAAAADfBAAAZHJzL2Rvd25yZXYueG1sUEsFBgAAAAAEAAQA&#10;8wAAAOgFAAAAAA==&#10;" fillcolor="windowText" strokeweight="2pt"/>
                  </w:pict>
                </mc:Fallback>
              </mc:AlternateContent>
            </w:r>
            <w:r w:rsidR="00D97E4B">
              <w:rPr>
                <w:noProof/>
              </w:rPr>
              <w:drawing>
                <wp:inline distT="0" distB="0" distL="0" distR="0" wp14:anchorId="5E8D7400" wp14:editId="73A80986">
                  <wp:extent cx="2694940" cy="1740877"/>
                  <wp:effectExtent l="0" t="0" r="0" b="0"/>
                  <wp:docPr id="199" name="圖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13223" cy="1752687"/>
                          </a:xfrm>
                          <a:prstGeom prst="rect">
                            <a:avLst/>
                          </a:prstGeom>
                        </pic:spPr>
                      </pic:pic>
                    </a:graphicData>
                  </a:graphic>
                </wp:inline>
              </w:drawing>
            </w:r>
          </w:p>
        </w:tc>
      </w:tr>
      <w:tr w:rsidR="00D97E4B" w:rsidTr="00D97E4B">
        <w:tc>
          <w:tcPr>
            <w:tcW w:w="4536" w:type="dxa"/>
          </w:tcPr>
          <w:p w:rsidR="00D97E4B" w:rsidRDefault="003F3F15" w:rsidP="006344C0">
            <w:pPr>
              <w:pStyle w:val="5"/>
              <w:numPr>
                <w:ilvl w:val="0"/>
                <w:numId w:val="0"/>
              </w:numPr>
            </w:pPr>
            <w:r>
              <w:rPr>
                <w:noProof/>
              </w:rPr>
              <mc:AlternateContent>
                <mc:Choice Requires="wps">
                  <w:drawing>
                    <wp:anchor distT="0" distB="0" distL="114300" distR="114300" simplePos="0" relativeHeight="251718656" behindDoc="0" locked="0" layoutInCell="1" allowOverlap="1" wp14:anchorId="159C1203" wp14:editId="1F6BCA7E">
                      <wp:simplePos x="0" y="0"/>
                      <wp:positionH relativeFrom="column">
                        <wp:posOffset>2549525</wp:posOffset>
                      </wp:positionH>
                      <wp:positionV relativeFrom="paragraph">
                        <wp:posOffset>444500</wp:posOffset>
                      </wp:positionV>
                      <wp:extent cx="152400" cy="99060"/>
                      <wp:effectExtent l="0" t="0" r="19050" b="15240"/>
                      <wp:wrapNone/>
                      <wp:docPr id="253" name="矩形 253"/>
                      <wp:cNvGraphicFramePr/>
                      <a:graphic xmlns:a="http://schemas.openxmlformats.org/drawingml/2006/main">
                        <a:graphicData uri="http://schemas.microsoft.com/office/word/2010/wordprocessingShape">
                          <wps:wsp>
                            <wps:cNvSpPr/>
                            <wps:spPr>
                              <a:xfrm>
                                <a:off x="0" y="0"/>
                                <a:ext cx="152400" cy="9906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E9310" id="矩形 253" o:spid="_x0000_s1026" style="position:absolute;margin-left:200.75pt;margin-top:35pt;width:12pt;height:7.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CJggIAACEFAAAOAAAAZHJzL2Uyb0RvYy54bWysVM1uEzEQviPxDpbvdJOQFBplU0WtipCq&#10;tlKLep56vdmVvLaxnWzCyyBx4yF4HMRr8Nm7SfrDASH24J3x/H8z49npplFsLZ2vjc758GjAmdTC&#10;FLVe5vzT3cWb95z5QLogZbTM+VZ6fjp//WrW2qkcmcqoQjoGJ9pPW5vzKgQ7zTIvKtmQPzJWaghL&#10;4xoKYN0yKxy18N6obDQYHGetcYV1RkjvcXveCfk8+S9LKcJ1WXoZmMo5cgvpdOl8iGc2n9F06chW&#10;tejToH/IoqFaI+je1TkFYitXv3DV1MIZb8pwJEyTmbKshUw1oJrh4Fk1txVZmWoBON7uYfL/z624&#10;Wt84Vhc5H03ecqapQZN+ff3+88c3Fm+AT2v9FGq39sb1nAcZi92Urol/lME2CdPtHlO5CUzgcjgZ&#10;jQdAXkB0cjI4TpBnB1vrfPggTcMikXOHjiUgaX3pA+JBdacSQ3mj6uKiVioxW3+mHFsTmouZKEx7&#10;h7CcKfIBAuSSvlgE3DwxVZq1seYuN8LklYpgKhoLLLxeckZqiZEWwaV8nlj7vwyckqyokF2Ok5jO&#10;Lpvk4mVisdhz8lVnkaL2FkpHdzINdY9NbE3XjEg9mGKLZjrTTbm34qKGt0ugcUMOY402YFXDNY5S&#10;GdRveoqzyrgvf7qP+pg2SDlrsSbA5vOKnATIHzXm8GQ4Hse9Ssx48m4Exj2WPDyW6FVzZtCsIR4F&#10;KxIZ9YPakaUzzT02ehGjQkRaIHbXhZ45C9364k0QcrFIatglS+FS31oRnUecIo53m3tytp+sgNG4&#10;MruVoumzAet0o6U2i1UwZZ2m74ArWhUZ7GFqWv9mxEV/zCetw8s2/w0AAP//AwBQSwMEFAAGAAgA&#10;AAAhAHWtH5jfAAAACQEAAA8AAABkcnMvZG93bnJldi54bWxMj8tOwzAQRfdI/IM1SGwQtVslJYQ4&#10;VYPgAxoQYunGQ5LiRxS7TejXd1jBcmaO7pxbbGZr2AnH0HsnYbkQwNA1XveulfD+9nqfAQtROa2M&#10;dyjhBwNsyuurQuXaT26Hpzq2jEJcyJWELsYh5zw0HVoVFn5AR7cvP1oVaRxbrkc1Ubg1fCXEmlvV&#10;O/rQqQGfO2y+66OVcGfOh0P1glWW8M/0o37c4rmapLy9mbdPwCLO8Q+GX31Sh5Kc9v7odGBGQiKW&#10;KaESHgR1IiBZpbTYS8jSNfCy4P8blBcAAAD//wMAUEsBAi0AFAAGAAgAAAAhALaDOJL+AAAA4QEA&#10;ABMAAAAAAAAAAAAAAAAAAAAAAFtDb250ZW50X1R5cGVzXS54bWxQSwECLQAUAAYACAAAACEAOP0h&#10;/9YAAACUAQAACwAAAAAAAAAAAAAAAAAvAQAAX3JlbHMvLnJlbHNQSwECLQAUAAYACAAAACEAQcpQ&#10;iYICAAAhBQAADgAAAAAAAAAAAAAAAAAuAgAAZHJzL2Uyb0RvYy54bWxQSwECLQAUAAYACAAAACEA&#10;da0fmN8AAAAJAQAADwAAAAAAAAAAAAAAAADcBAAAZHJzL2Rvd25yZXYueG1sUEsFBgAAAAAEAAQA&#10;8wAAAOgFAAAAAA==&#10;" fillcolor="windowText" strokeweight="2pt"/>
                  </w:pict>
                </mc:Fallback>
              </mc:AlternateContent>
            </w:r>
            <w:r>
              <w:rPr>
                <w:noProof/>
              </w:rPr>
              <mc:AlternateContent>
                <mc:Choice Requires="wps">
                  <w:drawing>
                    <wp:anchor distT="0" distB="0" distL="114300" distR="114300" simplePos="0" relativeHeight="251715584" behindDoc="0" locked="0" layoutInCell="1" allowOverlap="1" wp14:anchorId="03BDDAA9" wp14:editId="257A34C0">
                      <wp:simplePos x="0" y="0"/>
                      <wp:positionH relativeFrom="column">
                        <wp:posOffset>682625</wp:posOffset>
                      </wp:positionH>
                      <wp:positionV relativeFrom="paragraph">
                        <wp:posOffset>360680</wp:posOffset>
                      </wp:positionV>
                      <wp:extent cx="236220" cy="106680"/>
                      <wp:effectExtent l="0" t="0" r="11430" b="26670"/>
                      <wp:wrapNone/>
                      <wp:docPr id="252" name="矩形 252"/>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6FB29" id="矩形 252" o:spid="_x0000_s1026" style="position:absolute;margin-left:53.75pt;margin-top:28.4pt;width:18.6pt;height: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DBhAIAACIFAAAOAAAAZHJzL2Uyb0RvYy54bWysVEtu2zAQ3RfoHQjuG9mq46ZG5MBIkKJA&#10;kBhIiqwnFGUJoEiWpC27lynQXQ/R4xS9Rh8pOd8uiqJaUDOc/5sZHp9sW8U20vnG6IKPD0acSS1M&#10;2ehVwT/dnL854swH0iUpo2XBd9Lzk/nrV8edncnc1EaV0jE40X7W2YLXIdhZlnlRy5b8gbFSQ1gZ&#10;11IA61ZZ6aiD91Zl+Wg0zTrjSuuMkN7j9qwX8nnyX1VShKuq8jIwVXDkFtLp0nkXz2x+TLOVI1s3&#10;YkiD/iGLlhqNoPeuzigQW7vmhau2Ec54U4UDYdrMVFUjZKoB1YxHz6q5rsnKVAvA8fYeJv//3IrL&#10;zdKxpix4fphzpqlFk359/f7zxzcWb4BPZ/0Matd26QbOg4zFbivXxj/KYNuE6e4eU7kNTOAyfzvN&#10;cyAvIBqPptOjhHn2YGydDx+kaVkkCu7QsoQkbS58QECo7lViLG9UU543SiVm50+VYxtCdzEUpelu&#10;EJczRT5AgGTSF6uAmyemSrMuFj0ZxeQIo1cpgqloLcDwesUZqRVmWgSX8nli7f8ycEqyplL2OR7G&#10;dPbZJBcvE4vFnpGve4sUdbBQOrqTaaoHbGJv+m5E6s6UO3TTmX7MvRXnDbxdAI0lOcw1SsWuhisc&#10;lTKo3wwUZ7VxX/50H/UxbpBy1mFPgM3nNTkJkD9qDOL78WQSFysxk8N3sdfuseTusUSv21ODZo3x&#10;KliRyKgf1J6snGlvsdKLGBUi0gKx+y4MzGno9xePgpCLRVLDMlkKF/raiug84hRxvNnekrPDZAWM&#10;xqXZ7xTNng1YrxsttVmsg6maNH0PuKJVkcEipqYNj0bc9Md80np42ua/AQAA//8DAFBLAwQUAAYA&#10;CAAAACEAUSR+vN4AAAAJAQAADwAAAGRycy9kb3ducmV2LnhtbEyPy07DMBBF90j8gzVIbFDrAHmU&#10;EKdqEHxAA6pYuvGQpNjjKHab0K/HXcHyao7unFusZ6PZCUfXWxJwv4yAITVW9dQK+Hh/W6yAOS9J&#10;SW0JBfygg3V5fVXIXNmJtniqfctCCblcCui8H3LOXdOhkW5pB6Rw+7KjkT7EseVqlFMoN5o/RFHK&#10;jewpfOjkgC8dNt/10Qi40+fDoXrFahXzz2RXP23wXE1C3N7Mm2dgHmf/B8NFP6hDGZz29kjKMR1y&#10;lCUBFZCkYcIFiOMM2F5A9pgCLwv+f0H5CwAA//8DAFBLAQItABQABgAIAAAAIQC2gziS/gAAAOEB&#10;AAATAAAAAAAAAAAAAAAAAAAAAABbQ29udGVudF9UeXBlc10ueG1sUEsBAi0AFAAGAAgAAAAhADj9&#10;If/WAAAAlAEAAAsAAAAAAAAAAAAAAAAALwEAAF9yZWxzLy5yZWxzUEsBAi0AFAAGAAgAAAAhAMiR&#10;YMGEAgAAIgUAAA4AAAAAAAAAAAAAAAAALgIAAGRycy9lMm9Eb2MueG1sUEsBAi0AFAAGAAgAAAAh&#10;AFEkfrzeAAAACQEAAA8AAAAAAAAAAAAAAAAA3gQAAGRycy9kb3ducmV2LnhtbFBLBQYAAAAABAAE&#10;APMAAADpBQAAAAA=&#10;" fillcolor="windowText" strokeweight="2pt"/>
                  </w:pict>
                </mc:Fallback>
              </mc:AlternateContent>
            </w:r>
            <w:r>
              <w:rPr>
                <w:noProof/>
              </w:rPr>
              <mc:AlternateContent>
                <mc:Choice Requires="wps">
                  <w:drawing>
                    <wp:anchor distT="0" distB="0" distL="114300" distR="114300" simplePos="0" relativeHeight="251712512" behindDoc="0" locked="0" layoutInCell="1" allowOverlap="1" wp14:anchorId="03BDDAA9" wp14:editId="257A34C0">
                      <wp:simplePos x="0" y="0"/>
                      <wp:positionH relativeFrom="column">
                        <wp:posOffset>73025</wp:posOffset>
                      </wp:positionH>
                      <wp:positionV relativeFrom="paragraph">
                        <wp:posOffset>474980</wp:posOffset>
                      </wp:positionV>
                      <wp:extent cx="236220" cy="106680"/>
                      <wp:effectExtent l="0" t="0" r="11430" b="26670"/>
                      <wp:wrapNone/>
                      <wp:docPr id="251" name="矩形 251"/>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FFCE6" id="矩形 251" o:spid="_x0000_s1026" style="position:absolute;margin-left:5.75pt;margin-top:37.4pt;width:18.6pt;height:8.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AIAACIFAAAOAAAAZHJzL2Uyb0RvYy54bWysVE1uEzEU3iNxB8t7OklIQ4k6qaJWRUhV&#10;G6lFXb94PJmRPLaxnUzCZZDYcQiOg7gGnz2TNm1ZIEQWjp/f//e+N6dn20axjXS+Njrnw6MBZ1IL&#10;U9R6lfNPd5dvTjjzgXRBymiZ8530/Gz2+tVpa6dyZCqjCukYgmg/bW3OqxDsNMu8qGRD/shYqaEs&#10;jWsoQHSrrHDUInqjstFgMMla4wrrjJDe4/WiU/JZil+WUoSbsvQyMJVz1BbS6dK5jGc2O6XpypGt&#10;atGXQf9QRUO1RtKHUBcUiK1d/SJUUwtnvCnDkTBNZsqyFjL1gG6Gg2fd3FZkZeoF4Hj7AJP/f2HF&#10;9WbhWF3kfHQ85ExTgyH9+vr9549vLL4An9b6Kcxu7cL1ksc1NrstXRP/0QbbJkx3D5jKbWACj6O3&#10;k9EIyAuohoPJ5CRhnj06W+fDB2kaFi85dxhZQpI2Vz4gIUz3JjGXN6ouLmulkrDz58qxDWG6IEVh&#10;2jvk5UyRD1CgmPSLXSDME1elWRubHg9icQTqlYrgKhoLMLxecUZqBU6L4FI9T7z9XyZORVZUyK7G&#10;41jOvpoU4mVhsdkL8lXnkbL2HkrHcDKxuscmzqabRrwtTbHDNJ3paO6tuKwR7QpoLMiB12gVuxpu&#10;cJTKoH/T3zirjPvyp/doD7pBy1mLPQE2n9fkJED+qEHE98PxOC5WEsbH7+Ks3aFmeajR6+bcYFig&#10;GqpL12gf1P5aOtPcY6XnMStUpAVyd1PohfPQ7S8+CkLO58kMy2QpXOlbK2LwiFPE8W57T872zAqg&#10;xrXZ7xRNnxGss42e2szXwZR1Yt8jrhhVFLCIaWj9RyNu+qGcrB4/bbPfAAAA//8DAFBLAwQUAAYA&#10;CAAAACEA5F5uUt0AAAAHAQAADwAAAGRycy9kb3ducmV2LnhtbEyPQU+DQBSE7yb+h80z8WLsgqEt&#10;RZamGP0BojEet+wTqOxbwm4L9tf7PNXjZCYz3+Tb2fbihKPvHCmIFxEIpNqZjhoF728v9ykIHzQZ&#10;3TtCBT/oYVtcX+U6M26iVzxVoRFcQj7TCtoQhkxKX7dotV+4AYm9LzdaHViOjTSjnrjc9vIhilbS&#10;6o54odUDPrVYf1dHq+CuPx8O5TOWaSI/lx/VZofnclLq9mbePYIIOIdLGP7wGR0KZtq7Ixkvetbx&#10;kpMK1gk/YD9J1yD2CjbxCmSRy//8xS8AAAD//wMAUEsBAi0AFAAGAAgAAAAhALaDOJL+AAAA4QEA&#10;ABMAAAAAAAAAAAAAAAAAAAAAAFtDb250ZW50X1R5cGVzXS54bWxQSwECLQAUAAYACAAAACEAOP0h&#10;/9YAAACUAQAACwAAAAAAAAAAAAAAAAAvAQAAX3JlbHMvLnJlbHNQSwECLQAUAAYACAAAACEAFP//&#10;p4QCAAAiBQAADgAAAAAAAAAAAAAAAAAuAgAAZHJzL2Uyb0RvYy54bWxQSwECLQAUAAYACAAAACEA&#10;5F5uUt0AAAAHAQAADwAAAAAAAAAAAAAAAADeBAAAZHJzL2Rvd25yZXYueG1sUEsFBgAAAAAEAAQA&#10;8wAAAOgFAAAAAA==&#10;" fillcolor="windowText" strokeweight="2pt"/>
                  </w:pict>
                </mc:Fallback>
              </mc:AlternateContent>
            </w:r>
            <w:r>
              <w:rPr>
                <w:noProof/>
              </w:rPr>
              <mc:AlternateContent>
                <mc:Choice Requires="wps">
                  <w:drawing>
                    <wp:anchor distT="0" distB="0" distL="114300" distR="114300" simplePos="0" relativeHeight="251709440" behindDoc="0" locked="0" layoutInCell="1" allowOverlap="1" wp14:anchorId="03BDDAA9" wp14:editId="257A34C0">
                      <wp:simplePos x="0" y="0"/>
                      <wp:positionH relativeFrom="column">
                        <wp:posOffset>1795145</wp:posOffset>
                      </wp:positionH>
                      <wp:positionV relativeFrom="paragraph">
                        <wp:posOffset>436880</wp:posOffset>
                      </wp:positionV>
                      <wp:extent cx="236220" cy="106680"/>
                      <wp:effectExtent l="0" t="0" r="11430" b="26670"/>
                      <wp:wrapNone/>
                      <wp:docPr id="250" name="矩形 250"/>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CF9BE" id="矩形 250" o:spid="_x0000_s1026" style="position:absolute;margin-left:141.35pt;margin-top:34.4pt;width:18.6pt;height:8.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oqFhQIAACIFAAAOAAAAZHJzL2Uyb0RvYy54bWysVMFu2zAMvQ/YPwi6r06yNOuCOkXQosOA&#10;og3QDj0zshwbkCVNUuJkPzNgt33EPmfYb+xJdtq03WEYloMimuQj+Ujq9GzbKLaRztdG53x4NOBM&#10;amGKWq9y/unu8s0JZz6QLkgZLXO+k56fzV6/Om3tVI5MZVQhHQOI9tPW5rwKwU6zzItKNuSPjJUa&#10;ytK4hgJEt8oKRy3QG5WNBoNJ1hpXWGeE9B5fLzolnyX8spQi3JSll4GpnCO3kE6XzmU8s9kpTVeO&#10;bFWLPg36hywaqjWCPkBdUCC2dvULqKYWznhThiNhmsyUZS1kqgHVDAfPqrmtyMpUC8jx9oEm//9g&#10;xfVm4Vhd5Hx0DH40NWjSr6/ff/74xuIX8NNaP4XZrV24XvK4xmK3pWviP8pg28Tp7oFTuQ1M4OPo&#10;7WQ0ArKAajiYTE4SZvbobJ0PH6RpWLzk3KFliUnaXPmAgDDdm8RY3qi6uKyVSsLOnyvHNoTuYigK&#10;094hLmeKfIACyaRfrAIwT1yVZm0sejyIyRFGr1QEV9FYkOH1ijNSK8y0CC7l88Tb/2XglGRFhexy&#10;PI7p7LNJEC8Ti8VekK86jxS191A6wsk01T03sTddN+JtaYoduulMN+beissaaFdgY0EOc41Ssavh&#10;BkepDOo3/Y2zyrgvf/oe7TFu0HLWYk/Azec1OQmSP2oM4vvheAzYkITx8bvYa3eoWR5q9Lo5N2jW&#10;EK+CFeka7YPaX0tnmnus9DxGhYq0QOyuC71wHrr9xaMg5HyezLBMlsKVvrUigkeeIo9323tytp+s&#10;gNG4NvudoumzAetso6c283UwZZ2m75FXtCoKWMTUtP7RiJt+KCerx6dt9hsAAP//AwBQSwMEFAAG&#10;AAgAAAAhAJTMUo7fAAAACQEAAA8AAABkcnMvZG93bnJldi54bWxMj0FOwzAQRfdI3MEaJDaodRpo&#10;cEKcqkFwgAZUsXTjIUmJ7Sh2m9DTM6xgOZqn/9/PN7Pp2RlH3zkrYbWMgKGtne5sI+H97XUhgPmg&#10;rFa9syjhGz1siuurXGXaTXaH5yo0jEKsz5SENoQh49zXLRrll25AS79PNxoV6Bwbrkc1UbjpeRxF&#10;CTeqs9TQqgGfW6y/qpORcNdfjsfyBUvxwD/W+yrd4qWcpLy9mbdPwALO4Q+GX31Sh4KcDu5ktWe9&#10;hFjEj4RKSARNIOB+labADhLEOgFe5Pz/guIHAAD//wMAUEsBAi0AFAAGAAgAAAAhALaDOJL+AAAA&#10;4QEAABMAAAAAAAAAAAAAAAAAAAAAAFtDb250ZW50X1R5cGVzXS54bWxQSwECLQAUAAYACAAAACEA&#10;OP0h/9YAAACUAQAACwAAAAAAAAAAAAAAAAAvAQAAX3JlbHMvLnJlbHNQSwECLQAUAAYACAAAACEA&#10;oNqKhYUCAAAiBQAADgAAAAAAAAAAAAAAAAAuAgAAZHJzL2Uyb0RvYy54bWxQSwECLQAUAAYACAAA&#10;ACEAlMxSjt8AAAAJAQAADwAAAAAAAAAAAAAAAADfBAAAZHJzL2Rvd25yZXYueG1sUEsFBgAAAAAE&#10;AAQA8wAAAOsFAAAAAA==&#10;" fillcolor="windowText" strokeweight="2pt"/>
                  </w:pict>
                </mc:Fallback>
              </mc:AlternateContent>
            </w:r>
            <w:r w:rsidR="00D97E4B">
              <w:rPr>
                <w:noProof/>
              </w:rPr>
              <w:drawing>
                <wp:inline distT="0" distB="0" distL="0" distR="0" wp14:anchorId="2580C82D" wp14:editId="588C1DB8">
                  <wp:extent cx="2724136" cy="1764323"/>
                  <wp:effectExtent l="0" t="0" r="635" b="7620"/>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30682" cy="1768563"/>
                          </a:xfrm>
                          <a:prstGeom prst="rect">
                            <a:avLst/>
                          </a:prstGeom>
                        </pic:spPr>
                      </pic:pic>
                    </a:graphicData>
                  </a:graphic>
                </wp:inline>
              </w:drawing>
            </w:r>
          </w:p>
        </w:tc>
        <w:tc>
          <w:tcPr>
            <w:tcW w:w="4476" w:type="dxa"/>
          </w:tcPr>
          <w:p w:rsidR="00D97E4B" w:rsidRDefault="003F3F15" w:rsidP="006344C0">
            <w:pPr>
              <w:pStyle w:val="5"/>
              <w:numPr>
                <w:ilvl w:val="0"/>
                <w:numId w:val="0"/>
              </w:numPr>
            </w:pPr>
            <w:r>
              <w:rPr>
                <w:noProof/>
              </w:rPr>
              <mc:AlternateContent>
                <mc:Choice Requires="wps">
                  <w:drawing>
                    <wp:anchor distT="0" distB="0" distL="114300" distR="114300" simplePos="0" relativeHeight="251706368" behindDoc="0" locked="0" layoutInCell="1" allowOverlap="1" wp14:anchorId="03BDDAA9" wp14:editId="257A34C0">
                      <wp:simplePos x="0" y="0"/>
                      <wp:positionH relativeFrom="column">
                        <wp:posOffset>949325</wp:posOffset>
                      </wp:positionH>
                      <wp:positionV relativeFrom="paragraph">
                        <wp:posOffset>452120</wp:posOffset>
                      </wp:positionV>
                      <wp:extent cx="236220" cy="106680"/>
                      <wp:effectExtent l="0" t="0" r="11430" b="26670"/>
                      <wp:wrapNone/>
                      <wp:docPr id="249" name="矩形 249"/>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38CC4" id="矩形 249" o:spid="_x0000_s1026" style="position:absolute;margin-left:74.75pt;margin-top:35.6pt;width:18.6pt;height: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gmjhQIAACIFAAAOAAAAZHJzL2Uyb0RvYy54bWysVEtu2zAQ3RfoHQjuG9mu4yaG5cBIkKJA&#10;kARIiqwnFGUJoEiWpC27lynQXQ+R4xS9Rh8p2fl1URTVgprh/N/McHayaRRbS+dro3M+PBhwJrUw&#10;Ra2XOf98e/7uiDMfSBekjJY530rPT+Zv38xaO5UjUxlVSMfgRPtpa3NehWCnWeZFJRvyB8ZKDWFp&#10;XEMBrFtmhaMW3huVjQaDSdYaV1hnhPQet2edkM+T/7KUIlyVpZeBqZwjt5BOl877eGbzGU2XjmxV&#10;iz4N+ocsGqo1gu5dnVEgtnL1K1dNLZzxpgwHwjSZKctayFQDqhkOXlRzU5GVqRaA4+0eJv//3IrL&#10;9bVjdZHz0fiYM00NmvTr24+fD99ZvAE+rfVTqN3Ya9dzHmQsdlO6Jv5RBtskTLd7TOUmMIHL0fvJ&#10;aATkBUTDwWRylDDPHo2t8+GjNA2LRM4dWpaQpPWFDwgI1Z1KjOWNqovzWqnEbP2pcmxN6C6GojDt&#10;LeJypsgHCJBM+mIVcPPMVGnWIrvD8SAmRxi9UhFMRWMBhtdLzkgtMdMiuJTPM2v/l4FTkhUVssvx&#10;MKazyya5eJ1YLPaMfNVZpKi9hdLRnUxT3WMTe9N1I1L3ptiim850Y+6tOK/h7QJoXJPDXKNU7Gq4&#10;wlEqg/pNT3FWGff1T/dRH+MGKWct9gTYfFmRkwD5k8YgHg/H47hYiRkffoi9dk8l908letWcGjRr&#10;iFfBikRG/aB2ZOlMc4eVXsSoEJEWiN11oWdOQ7e/eBSEXCySGpbJUrjQN1ZE5xGniOPt5o6c7Scr&#10;YDQuzW6naPpiwDrdaKnNYhVMWafpe8QVrYoMFjE1rX804qY/5ZPW49M2/w0AAP//AwBQSwMEFAAG&#10;AAgAAAAhAMIoWZffAAAACQEAAA8AAABkcnMvZG93bnJldi54bWxMj8tOwzAQRfdI/IM1SGxQ67Tq&#10;ww1xqgbBBxAQ6tKNhyTFHkex24R+Pe6qLK/m6N4z2Xa0hp2x960jCbNpAgypcrqlWsLnx9tEAPNB&#10;kVbGEUr4RQ/b/P4uU6l2A73juQw1iyXkUyWhCaFLOfdVg1b5qeuQ4u3b9VaFGPua614NsdwaPk+S&#10;FbeqpbjQqA5fGqx+ypOV8GQux2PxioVY8P3yq9zs8FIMUj4+jLtnYAHHcIPhqh/VIY9OB3ci7ZmJ&#10;ebFZRlTCejYHdgXEag3sIEGIBHie8f8f5H8AAAD//wMAUEsBAi0AFAAGAAgAAAAhALaDOJL+AAAA&#10;4QEAABMAAAAAAAAAAAAAAAAAAAAAAFtDb250ZW50X1R5cGVzXS54bWxQSwECLQAUAAYACAAAACEA&#10;OP0h/9YAAACUAQAACwAAAAAAAAAAAAAAAAAvAQAAX3JlbHMvLnJlbHNQSwECLQAUAAYACAAAACEA&#10;RdYJo4UCAAAiBQAADgAAAAAAAAAAAAAAAAAuAgAAZHJzL2Uyb0RvYy54bWxQSwECLQAUAAYACAAA&#10;ACEAwihZl98AAAAJAQAADwAAAAAAAAAAAAAAAADfBAAAZHJzL2Rvd25yZXYueG1sUEsFBgAAAAAE&#10;AAQA8wAAAOsFAAAAAA==&#10;" fillcolor="windowText" strokeweight="2pt"/>
                  </w:pict>
                </mc:Fallback>
              </mc:AlternateContent>
            </w:r>
            <w:r>
              <w:rPr>
                <w:noProof/>
              </w:rPr>
              <mc:AlternateContent>
                <mc:Choice Requires="wps">
                  <w:drawing>
                    <wp:anchor distT="0" distB="0" distL="114300" distR="114300" simplePos="0" relativeHeight="251703296" behindDoc="0" locked="0" layoutInCell="1" allowOverlap="1" wp14:anchorId="03BDDAA9" wp14:editId="257A34C0">
                      <wp:simplePos x="0" y="0"/>
                      <wp:positionH relativeFrom="column">
                        <wp:posOffset>1657985</wp:posOffset>
                      </wp:positionH>
                      <wp:positionV relativeFrom="paragraph">
                        <wp:posOffset>429260</wp:posOffset>
                      </wp:positionV>
                      <wp:extent cx="236220" cy="106680"/>
                      <wp:effectExtent l="0" t="0" r="11430" b="26670"/>
                      <wp:wrapNone/>
                      <wp:docPr id="248" name="矩形 248"/>
                      <wp:cNvGraphicFramePr/>
                      <a:graphic xmlns:a="http://schemas.openxmlformats.org/drawingml/2006/main">
                        <a:graphicData uri="http://schemas.microsoft.com/office/word/2010/wordprocessingShape">
                          <wps:wsp>
                            <wps:cNvSpPr/>
                            <wps:spPr>
                              <a:xfrm>
                                <a:off x="0" y="0"/>
                                <a:ext cx="23622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D684C" id="矩形 248" o:spid="_x0000_s1026" style="position:absolute;margin-left:130.55pt;margin-top:33.8pt;width:18.6pt;height:8.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3yBhQIAACIFAAAOAAAAZHJzL2Uyb0RvYy54bWysVM1uEzEQviPxDpbvdJOQhhJ1U0WtipCq&#10;NlKLep54vdmVvLaxnWzCyyBx4yF4HMRr8Nm7adOWA0LswTvj+f9mxqdn20axjXS+Njrnw6MBZ1IL&#10;U9R6lfNPd5dvTjjzgXRBymiZ8530/Gz2+tVpa6dyZCqjCukYnGg/bW3OqxDsNMu8qGRD/shYqSEs&#10;jWsogHWrrHDUwnujstFgMMla4wrrjJDe4/aiE/JZ8l+WUoSbsvQyMJVz5BbS6dK5jGc2O6XpypGt&#10;atGnQf+QRUO1RtAHVxcUiK1d/cJVUwtnvCnDkTBNZsqyFjLVgGqGg2fV3FZkZaoF4Hj7AJP/f27F&#10;9WbhWF3kfDRGqzQ1aNKvr99//vjG4g3waa2fQu3WLlzPeZCx2G3pmvhHGWybMN09YCq3gQlcjt5O&#10;RiMgLyAaDiaTk4R59mhsnQ8fpGlYJHLu0LKEJG2ufEBAqO5VYixvVF1c1kolZufPlWMbQncxFIVp&#10;7xCXM0U+QIBk0hergJsnpkqzFtkdjwcxOcLolYpgKhoLMLxecUZqhZkWwaV8nlj7vwyckqyokF2O&#10;xzGdfTbJxcvEYrEX5KvOIkXtLZSO7mSa6h6b2JuuG5FammKHbjrTjbm34rKGtyugsSCHuUap2NVw&#10;g6NUBvWbnuKsMu7Ln+6jPsYNUs5a7Amw+bwmJwHyR41BfD8cj+NiJWZ8/C722h1KlocSvW7ODZo1&#10;xKtgRSKjflB7snSmucdKz2NUiEgLxO660DPnodtfPApCzudJDctkKVzpWyui84hTxPFue0/O9pMV&#10;MBrXZr9TNH02YJ1utNRmvg6mrNP0PeKKVkUGi5ia1j8acdMP+aT1+LTNfgMAAP//AwBQSwMEFAAG&#10;AAgAAAAhAAcotxLfAAAACQEAAA8AAABkcnMvZG93bnJldi54bWxMj8FOhDAURfcm/kPzTNwYp4CI&#10;DFImg9EPGDTGZYc+gbF9JbQz4Hy9daXLl3ty73nlZjGanXBygyUB8SoChtRaNVAn4O315TYH5rwk&#10;JbUlFPCNDjbV5UUpC2Vn2uGp8R0LJeQKKaD3fiw4d22PRrqVHZFC9mknI304p46rSc6h3GieRFHG&#10;jRwoLPRyxKce26/maATc6PPhUD9jnaf84/69WW/xXM9CXF8t20dgHhf/B8OvflCHKjjt7ZGUY1pA&#10;ksVxQAVkDxmwACTr/A7YXkCepsCrkv//oPoBAAD//wMAUEsBAi0AFAAGAAgAAAAhALaDOJL+AAAA&#10;4QEAABMAAAAAAAAAAAAAAAAAAAAAAFtDb250ZW50X1R5cGVzXS54bWxQSwECLQAUAAYACAAAACEA&#10;OP0h/9YAAACUAQAACwAAAAAAAAAAAAAAAAAvAQAAX3JlbHMvLnJlbHNQSwECLQAUAAYACAAAACEA&#10;8fN8gYUCAAAiBQAADgAAAAAAAAAAAAAAAAAuAgAAZHJzL2Uyb0RvYy54bWxQSwECLQAUAAYACAAA&#10;ACEAByi3Et8AAAAJAQAADwAAAAAAAAAAAAAAAADfBAAAZHJzL2Rvd25yZXYueG1sUEsFBgAAAAAE&#10;AAQA8wAAAOsFAAAAAA==&#10;" fillcolor="windowText" strokeweight="2pt"/>
                  </w:pict>
                </mc:Fallback>
              </mc:AlternateContent>
            </w:r>
            <w:r w:rsidR="00D97E4B">
              <w:rPr>
                <w:noProof/>
              </w:rPr>
              <w:drawing>
                <wp:inline distT="0" distB="0" distL="0" distR="0" wp14:anchorId="5D7FDF43" wp14:editId="0DA50827">
                  <wp:extent cx="2701290" cy="1776046"/>
                  <wp:effectExtent l="0" t="0" r="3810" b="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06571" cy="1779518"/>
                          </a:xfrm>
                          <a:prstGeom prst="rect">
                            <a:avLst/>
                          </a:prstGeom>
                        </pic:spPr>
                      </pic:pic>
                    </a:graphicData>
                  </a:graphic>
                </wp:inline>
              </w:drawing>
            </w:r>
          </w:p>
        </w:tc>
      </w:tr>
      <w:tr w:rsidR="00D97E4B" w:rsidTr="00D97E4B">
        <w:tc>
          <w:tcPr>
            <w:tcW w:w="4536" w:type="dxa"/>
          </w:tcPr>
          <w:p w:rsidR="00D97E4B" w:rsidRDefault="00D97E4B" w:rsidP="006344C0">
            <w:pPr>
              <w:pStyle w:val="5"/>
              <w:numPr>
                <w:ilvl w:val="0"/>
                <w:numId w:val="0"/>
              </w:numPr>
            </w:pPr>
            <w:r>
              <w:rPr>
                <w:noProof/>
              </w:rPr>
              <w:lastRenderedPageBreak/>
              <w:drawing>
                <wp:inline distT="0" distB="0" distL="0" distR="0" wp14:anchorId="4D1588B7" wp14:editId="4E2AB79C">
                  <wp:extent cx="2737339" cy="1889125"/>
                  <wp:effectExtent l="0" t="0" r="6350" b="0"/>
                  <wp:docPr id="202" name="圖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8171" cy="1889699"/>
                          </a:xfrm>
                          <a:prstGeom prst="rect">
                            <a:avLst/>
                          </a:prstGeom>
                        </pic:spPr>
                      </pic:pic>
                    </a:graphicData>
                  </a:graphic>
                </wp:inline>
              </w:drawing>
            </w:r>
          </w:p>
        </w:tc>
        <w:tc>
          <w:tcPr>
            <w:tcW w:w="4476" w:type="dxa"/>
          </w:tcPr>
          <w:p w:rsidR="00D97E4B" w:rsidRDefault="00D97E4B" w:rsidP="006344C0">
            <w:pPr>
              <w:pStyle w:val="5"/>
              <w:numPr>
                <w:ilvl w:val="0"/>
                <w:numId w:val="0"/>
              </w:numPr>
            </w:pPr>
            <w:r>
              <w:rPr>
                <w:noProof/>
              </w:rPr>
              <w:drawing>
                <wp:inline distT="0" distB="0" distL="0" distR="0" wp14:anchorId="7227F751" wp14:editId="0247C18F">
                  <wp:extent cx="2697040" cy="1893277"/>
                  <wp:effectExtent l="0" t="0" r="8255" b="0"/>
                  <wp:docPr id="203"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01093" cy="1896122"/>
                          </a:xfrm>
                          <a:prstGeom prst="rect">
                            <a:avLst/>
                          </a:prstGeom>
                        </pic:spPr>
                      </pic:pic>
                    </a:graphicData>
                  </a:graphic>
                </wp:inline>
              </w:drawing>
            </w:r>
          </w:p>
        </w:tc>
      </w:tr>
    </w:tbl>
    <w:p w:rsidR="006E6545" w:rsidRPr="00234860" w:rsidRDefault="00234860" w:rsidP="006344C0">
      <w:pPr>
        <w:pStyle w:val="5"/>
      </w:pPr>
      <w:r>
        <w:rPr>
          <w:rFonts w:hint="eastAsia"/>
          <w:szCs w:val="48"/>
        </w:rPr>
        <w:t>(02:22)6人調換位置，</w:t>
      </w:r>
      <w:r>
        <w:rPr>
          <w:rFonts w:hint="eastAsia"/>
        </w:rPr>
        <w:t>拿1號牌的是朱偵查佐</w:t>
      </w:r>
      <w:r w:rsidRPr="00D94554">
        <w:rPr>
          <w:rFonts w:hint="eastAsia"/>
        </w:rPr>
        <w:t>，</w:t>
      </w:r>
      <w:r>
        <w:rPr>
          <w:rFonts w:hint="eastAsia"/>
        </w:rPr>
        <w:t>拿2號牌的是陳偵查佐</w:t>
      </w:r>
      <w:r w:rsidRPr="00D94554">
        <w:rPr>
          <w:rFonts w:hint="eastAsia"/>
        </w:rPr>
        <w:t>，</w:t>
      </w:r>
      <w:r>
        <w:rPr>
          <w:rFonts w:hint="eastAsia"/>
        </w:rPr>
        <w:t>拿3號牌的是我，拿4號牌的是陳訴人，拿5號牌的是派出所蔣姓</w:t>
      </w:r>
      <w:r w:rsidR="00B61108">
        <w:rPr>
          <w:rFonts w:hint="eastAsia"/>
        </w:rPr>
        <w:t>員</w:t>
      </w:r>
      <w:r>
        <w:rPr>
          <w:rFonts w:hint="eastAsia"/>
        </w:rPr>
        <w:t>警</w:t>
      </w:r>
      <w:r w:rsidRPr="00D94554">
        <w:rPr>
          <w:rFonts w:hint="eastAsia"/>
        </w:rPr>
        <w:t>，</w:t>
      </w:r>
      <w:r>
        <w:rPr>
          <w:rFonts w:hint="eastAsia"/>
        </w:rPr>
        <w:t>拿6號牌的是賴偵查佐。(02:32)</w:t>
      </w:r>
      <w:r>
        <w:rPr>
          <w:rFonts w:hint="eastAsia"/>
          <w:szCs w:val="48"/>
        </w:rPr>
        <w:t>王女指認4號為嫌疑犯。</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620"/>
      </w:tblGrid>
      <w:tr w:rsidR="00684819" w:rsidTr="00234860">
        <w:tc>
          <w:tcPr>
            <w:tcW w:w="4399" w:type="dxa"/>
          </w:tcPr>
          <w:p w:rsidR="00234860" w:rsidRDefault="00234860" w:rsidP="006344C0">
            <w:pPr>
              <w:pStyle w:val="5"/>
              <w:numPr>
                <w:ilvl w:val="0"/>
                <w:numId w:val="0"/>
              </w:numPr>
            </w:pPr>
            <w:r>
              <w:rPr>
                <w:noProof/>
              </w:rPr>
              <w:drawing>
                <wp:inline distT="0" distB="0" distL="0" distR="0" wp14:anchorId="4A433B07" wp14:editId="103C5F47">
                  <wp:extent cx="2737338" cy="1758462"/>
                  <wp:effectExtent l="0" t="0" r="6350" b="0"/>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37432" cy="1758522"/>
                          </a:xfrm>
                          <a:prstGeom prst="rect">
                            <a:avLst/>
                          </a:prstGeom>
                        </pic:spPr>
                      </pic:pic>
                    </a:graphicData>
                  </a:graphic>
                </wp:inline>
              </w:drawing>
            </w:r>
          </w:p>
        </w:tc>
        <w:tc>
          <w:tcPr>
            <w:tcW w:w="4661" w:type="dxa"/>
          </w:tcPr>
          <w:p w:rsidR="00234860" w:rsidRDefault="00684819" w:rsidP="006344C0">
            <w:pPr>
              <w:pStyle w:val="5"/>
              <w:numPr>
                <w:ilvl w:val="0"/>
                <w:numId w:val="0"/>
              </w:numPr>
            </w:pPr>
            <w:r>
              <w:rPr>
                <w:noProof/>
              </w:rPr>
              <w:drawing>
                <wp:inline distT="0" distB="0" distL="0" distR="0" wp14:anchorId="641A0EDC" wp14:editId="0402317D">
                  <wp:extent cx="2860675" cy="1741554"/>
                  <wp:effectExtent l="0" t="0" r="0" b="0"/>
                  <wp:docPr id="228" name="圖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82283" cy="1754709"/>
                          </a:xfrm>
                          <a:prstGeom prst="rect">
                            <a:avLst/>
                          </a:prstGeom>
                        </pic:spPr>
                      </pic:pic>
                    </a:graphicData>
                  </a:graphic>
                </wp:inline>
              </w:drawing>
            </w:r>
          </w:p>
        </w:tc>
      </w:tr>
    </w:tbl>
    <w:p w:rsidR="006E6545" w:rsidRPr="00462120" w:rsidRDefault="00234860" w:rsidP="006344C0">
      <w:pPr>
        <w:pStyle w:val="5"/>
      </w:pPr>
      <w:r>
        <w:rPr>
          <w:rFonts w:hint="eastAsia"/>
        </w:rPr>
        <w:t>綜合上述指認畫面可知</w:t>
      </w:r>
      <w:r w:rsidR="006E6545" w:rsidRPr="00D709AF">
        <w:rPr>
          <w:rFonts w:hint="eastAsia"/>
        </w:rPr>
        <w:t>，</w:t>
      </w:r>
      <w:r>
        <w:rPr>
          <w:rFonts w:hint="eastAsia"/>
        </w:rPr>
        <w:t>除陳偵查佐及蔣姓</w:t>
      </w:r>
      <w:r w:rsidR="00B61108">
        <w:rPr>
          <w:rFonts w:hint="eastAsia"/>
        </w:rPr>
        <w:t>員</w:t>
      </w:r>
      <w:r>
        <w:rPr>
          <w:rFonts w:hint="eastAsia"/>
        </w:rPr>
        <w:t>警年紀與陳訴人較為接近外</w:t>
      </w:r>
      <w:r w:rsidR="006E6545" w:rsidRPr="00D709AF">
        <w:rPr>
          <w:rFonts w:cs="MS Mincho" w:hint="eastAsia"/>
        </w:rPr>
        <w:t>，</w:t>
      </w:r>
      <w:r>
        <w:rPr>
          <w:rFonts w:cs="MS Mincho" w:hint="eastAsia"/>
        </w:rPr>
        <w:t>其餘3人年紀及外型相去甚遠</w:t>
      </w:r>
      <w:r w:rsidR="006E6545" w:rsidRPr="00D709AF">
        <w:rPr>
          <w:rFonts w:hint="eastAsia"/>
        </w:rPr>
        <w:t>，</w:t>
      </w:r>
      <w:r w:rsidR="00FF6AF1">
        <w:rPr>
          <w:rFonts w:hint="eastAsia"/>
        </w:rPr>
        <w:t>與「被指認人在外型上不得有重大差異」之指認規定相悖。另僅有陳訴人1人著囚服、戴手銬，是有可能對指認者產生暗示或誘導之作用，與「指認前不得有任何可能暗示、誘導之安排出現」之指認規定有違。</w:t>
      </w:r>
      <w:r w:rsidR="002D19AB">
        <w:rPr>
          <w:rFonts w:hint="eastAsia"/>
        </w:rPr>
        <w:t>又請王女指認犯罪嫌疑人前未特別告知其不一定在被指認的行列中，與「指認前必須告訴指認人，犯罪嫌疑人並不一定存在於被指認人之中」之指認規定不符。</w:t>
      </w:r>
      <w:r w:rsidR="00FF6AF1">
        <w:rPr>
          <w:rFonts w:hint="eastAsia"/>
        </w:rPr>
        <w:t>陳分隊長表示為何</w:t>
      </w:r>
      <w:r w:rsidR="00FF6AF1">
        <w:rPr>
          <w:rFonts w:hint="eastAsia"/>
          <w:szCs w:val="48"/>
        </w:rPr>
        <w:t>沒有考慮要找與陳訴人身形外觀近似的同仁進</w:t>
      </w:r>
      <w:r w:rsidR="00FF6AF1">
        <w:rPr>
          <w:rFonts w:hint="eastAsia"/>
          <w:szCs w:val="48"/>
        </w:rPr>
        <w:lastRenderedPageBreak/>
        <w:t>來，因為隊長說有空的人就進去</w:t>
      </w:r>
      <w:r w:rsidR="00FF6AF1">
        <w:rPr>
          <w:rFonts w:ascii="新細明體" w:eastAsia="新細明體" w:hAnsi="新細明體" w:hint="eastAsia"/>
          <w:szCs w:val="48"/>
        </w:rPr>
        <w:t>。</w:t>
      </w:r>
      <w:r w:rsidR="00FF6AF1">
        <w:rPr>
          <w:rFonts w:hint="eastAsia"/>
        </w:rPr>
        <w:t>為何要讓陳訴人帶手銬指認，因他是借提人犯</w:t>
      </w:r>
      <w:r w:rsidR="00FF6AF1" w:rsidRPr="00D94554">
        <w:rPr>
          <w:rFonts w:hint="eastAsia"/>
        </w:rPr>
        <w:t>，</w:t>
      </w:r>
      <w:r w:rsidR="00FF6AF1">
        <w:rPr>
          <w:rFonts w:hint="eastAsia"/>
        </w:rPr>
        <w:t>所以手銬不能去除</w:t>
      </w:r>
      <w:r w:rsidR="00FF6AF1" w:rsidRPr="00D94554">
        <w:rPr>
          <w:rFonts w:hint="eastAsia"/>
        </w:rPr>
        <w:t>，</w:t>
      </w:r>
      <w:r w:rsidR="00FF6AF1">
        <w:rPr>
          <w:rFonts w:hint="eastAsia"/>
        </w:rPr>
        <w:t>也怕他自殘及脫逃</w:t>
      </w:r>
      <w:r w:rsidR="00FF6AF1" w:rsidRPr="00386E5F">
        <w:rPr>
          <w:rFonts w:hint="eastAsia"/>
        </w:rPr>
        <w:t>。</w:t>
      </w:r>
    </w:p>
    <w:p w:rsidR="00462120" w:rsidRPr="006E6545" w:rsidRDefault="00462120" w:rsidP="006344C0">
      <w:pPr>
        <w:pStyle w:val="5"/>
      </w:pPr>
      <w:r>
        <w:rPr>
          <w:rFonts w:hint="eastAsia"/>
        </w:rPr>
        <w:t>至於陳訴人所稱有「指認前未由指認人先陳述犯罪嫌疑人特徵」之瑕疵</w:t>
      </w:r>
      <w:r w:rsidR="00D97E4B">
        <w:rPr>
          <w:rFonts w:hint="eastAsia"/>
        </w:rPr>
        <w:t>容有誤解</w:t>
      </w:r>
      <w:r>
        <w:rPr>
          <w:rFonts w:hint="eastAsia"/>
        </w:rPr>
        <w:t>，經查王女於95年1月27日凌晨被強盜財物後，於當日12時5分至第二分局長樂派出所報案，據第1次調查筆錄已記載歹徒特徵為一名男子，身高約165公分、中等身材、髮型為短髮</w:t>
      </w:r>
      <w:r w:rsidR="002D19AB">
        <w:rPr>
          <w:rFonts w:hint="eastAsia"/>
        </w:rPr>
        <w:t>等語</w:t>
      </w:r>
      <w:r>
        <w:rPr>
          <w:rFonts w:hint="eastAsia"/>
        </w:rPr>
        <w:t>，</w:t>
      </w:r>
      <w:r w:rsidR="00D97E4B">
        <w:rPr>
          <w:rFonts w:hint="eastAsia"/>
        </w:rPr>
        <w:t>顯見</w:t>
      </w:r>
      <w:r>
        <w:rPr>
          <w:rFonts w:hint="eastAsia"/>
        </w:rPr>
        <w:t>95年2月8日進行照片指認及2月10日進行當面指認前已有陳述犯罪嫌疑人之特徵。</w:t>
      </w:r>
    </w:p>
    <w:p w:rsidR="006E6545" w:rsidRDefault="00FF6AF1" w:rsidP="00407ECE">
      <w:pPr>
        <w:pStyle w:val="4"/>
      </w:pPr>
      <w:r>
        <w:rPr>
          <w:rFonts w:hint="eastAsia"/>
        </w:rPr>
        <w:t>就搶奪案被害人</w:t>
      </w:r>
      <w:r w:rsidR="00D97E4B">
        <w:rPr>
          <w:rFonts w:hint="eastAsia"/>
        </w:rPr>
        <w:t>莊姓姊妹</w:t>
      </w:r>
      <w:r>
        <w:rPr>
          <w:rFonts w:hint="eastAsia"/>
        </w:rPr>
        <w:t>指認陳訴人部分：</w:t>
      </w:r>
    </w:p>
    <w:p w:rsidR="00D97E4B" w:rsidRPr="00D97E4B" w:rsidRDefault="00D97E4B" w:rsidP="006344C0">
      <w:pPr>
        <w:pStyle w:val="5"/>
      </w:pPr>
      <w:r>
        <w:rPr>
          <w:rFonts w:hint="eastAsia"/>
        </w:rPr>
        <w:t>莊姓妹妹指認部分</w:t>
      </w:r>
      <w:r>
        <w:rPr>
          <w:rFonts w:hAnsi="標楷體" w:hint="eastAsia"/>
        </w:rPr>
        <w:t>：</w:t>
      </w:r>
    </w:p>
    <w:p w:rsidR="00D97E4B" w:rsidRDefault="00D97E4B" w:rsidP="00A47859">
      <w:pPr>
        <w:pStyle w:val="6"/>
        <w:tabs>
          <w:tab w:val="clear" w:pos="2094"/>
        </w:tabs>
      </w:pPr>
      <w:r w:rsidRPr="00D97E4B">
        <w:rPr>
          <w:rFonts w:hint="eastAsia"/>
        </w:rPr>
        <w:t>第二分局偵查隊於95年2月10日1</w:t>
      </w:r>
      <w:r>
        <w:rPr>
          <w:rFonts w:hint="eastAsia"/>
        </w:rPr>
        <w:t>9</w:t>
      </w:r>
      <w:r w:rsidRPr="00D97E4B">
        <w:rPr>
          <w:rFonts w:hint="eastAsia"/>
        </w:rPr>
        <w:t>時</w:t>
      </w:r>
      <w:r>
        <w:rPr>
          <w:rFonts w:hint="eastAsia"/>
        </w:rPr>
        <w:t>3</w:t>
      </w:r>
      <w:r w:rsidRPr="00D97E4B">
        <w:rPr>
          <w:rFonts w:hint="eastAsia"/>
        </w:rPr>
        <w:t>分通知</w:t>
      </w:r>
      <w:r>
        <w:rPr>
          <w:rFonts w:hint="eastAsia"/>
        </w:rPr>
        <w:t>莊姓妹妹</w:t>
      </w:r>
      <w:r w:rsidRPr="00D97E4B">
        <w:rPr>
          <w:rFonts w:hint="eastAsia"/>
        </w:rPr>
        <w:t>前來指認當天搶奪其</w:t>
      </w:r>
      <w:r w:rsidR="0036015D">
        <w:rPr>
          <w:rFonts w:hint="eastAsia"/>
        </w:rPr>
        <w:t>母親</w:t>
      </w:r>
      <w:r w:rsidRPr="00D97E4B">
        <w:rPr>
          <w:rFonts w:hint="eastAsia"/>
        </w:rPr>
        <w:t>財物之嫌犯，</w:t>
      </w:r>
      <w:r w:rsidR="0036015D" w:rsidRPr="00D97E4B">
        <w:rPr>
          <w:rFonts w:hint="eastAsia"/>
        </w:rPr>
        <w:t>警方</w:t>
      </w:r>
      <w:r w:rsidR="0036015D">
        <w:rPr>
          <w:rFonts w:hint="eastAsia"/>
        </w:rPr>
        <w:t>提示第1張照片問</w:t>
      </w:r>
      <w:r w:rsidRPr="00D97E4B">
        <w:rPr>
          <w:rFonts w:hint="eastAsia"/>
        </w:rPr>
        <w:t>1至6號</w:t>
      </w:r>
      <w:r w:rsidR="0036015D">
        <w:rPr>
          <w:rFonts w:hint="eastAsia"/>
        </w:rPr>
        <w:t>之人幾號是</w:t>
      </w:r>
      <w:r w:rsidRPr="00D97E4B">
        <w:rPr>
          <w:rFonts w:hint="eastAsia"/>
        </w:rPr>
        <w:t>搶奪嫌犯</w:t>
      </w:r>
      <w:r w:rsidR="0036015D">
        <w:rPr>
          <w:rFonts w:hAnsi="標楷體" w:hint="eastAsia"/>
        </w:rPr>
        <w:t>，</w:t>
      </w:r>
      <w:r w:rsidR="0036015D">
        <w:rPr>
          <w:rFonts w:hint="eastAsia"/>
        </w:rPr>
        <w:t>莊姓妹妹答</w:t>
      </w:r>
      <w:r w:rsidRPr="00D97E4B">
        <w:rPr>
          <w:rFonts w:hint="eastAsia"/>
        </w:rPr>
        <w:t>是</w:t>
      </w:r>
      <w:r w:rsidR="008F3C94">
        <w:rPr>
          <w:rFonts w:hint="eastAsia"/>
        </w:rPr>
        <w:t>3</w:t>
      </w:r>
      <w:r w:rsidR="0036015D">
        <w:rPr>
          <w:rFonts w:hint="eastAsia"/>
        </w:rPr>
        <w:t>號</w:t>
      </w:r>
      <w:r w:rsidRPr="00D97E4B">
        <w:rPr>
          <w:rFonts w:hint="eastAsia"/>
        </w:rPr>
        <w:t>。</w:t>
      </w:r>
      <w:r w:rsidR="0036015D" w:rsidRPr="00D97E4B">
        <w:rPr>
          <w:rFonts w:hint="eastAsia"/>
        </w:rPr>
        <w:t>警方</w:t>
      </w:r>
      <w:r w:rsidR="0036015D">
        <w:rPr>
          <w:rFonts w:hint="eastAsia"/>
        </w:rPr>
        <w:t>提示第2張照片</w:t>
      </w:r>
      <w:r w:rsidR="0036015D" w:rsidRPr="00D97E4B">
        <w:rPr>
          <w:rFonts w:hint="eastAsia"/>
        </w:rPr>
        <w:t>問</w:t>
      </w:r>
      <w:r w:rsidR="0036015D">
        <w:rPr>
          <w:rFonts w:hint="eastAsia"/>
        </w:rPr>
        <w:t>幾號是</w:t>
      </w:r>
      <w:r w:rsidR="0036015D" w:rsidRPr="00D97E4B">
        <w:rPr>
          <w:rFonts w:hint="eastAsia"/>
        </w:rPr>
        <w:t>搶奪嫌犯</w:t>
      </w:r>
      <w:r w:rsidR="0036015D">
        <w:rPr>
          <w:rFonts w:hAnsi="標楷體" w:hint="eastAsia"/>
        </w:rPr>
        <w:t>，</w:t>
      </w:r>
      <w:r w:rsidR="0036015D">
        <w:rPr>
          <w:rFonts w:hint="eastAsia"/>
        </w:rPr>
        <w:t>莊姓妹妹答</w:t>
      </w:r>
      <w:r w:rsidR="0036015D" w:rsidRPr="00D97E4B">
        <w:rPr>
          <w:rFonts w:hint="eastAsia"/>
        </w:rPr>
        <w:t>是</w:t>
      </w:r>
      <w:r w:rsidR="0036015D">
        <w:rPr>
          <w:rFonts w:hint="eastAsia"/>
        </w:rPr>
        <w:t>2號</w:t>
      </w:r>
      <w:r w:rsidRPr="00D97E4B">
        <w:rPr>
          <w:rFonts w:hint="eastAsia"/>
        </w:rPr>
        <w:t>。</w:t>
      </w:r>
      <w:r w:rsidR="00354A9A">
        <w:rPr>
          <w:rFonts w:hint="eastAsia"/>
        </w:rPr>
        <w:t>但警方未告知犯罪嫌疑人不一定存在被指認人之中</w:t>
      </w:r>
      <w:r w:rsidR="00354A9A">
        <w:rPr>
          <w:rFonts w:ascii="新細明體" w:eastAsia="新細明體" w:hAnsi="新細明體" w:hint="eastAsia"/>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491"/>
      </w:tblGrid>
      <w:tr w:rsidR="008F3C94" w:rsidTr="00B61108">
        <w:tc>
          <w:tcPr>
            <w:tcW w:w="4494" w:type="dxa"/>
          </w:tcPr>
          <w:p w:rsidR="008F3C94" w:rsidRDefault="008F3C94" w:rsidP="008F3C94">
            <w:pPr>
              <w:pStyle w:val="6"/>
              <w:numPr>
                <w:ilvl w:val="0"/>
                <w:numId w:val="0"/>
              </w:numPr>
              <w:tabs>
                <w:tab w:val="clear" w:pos="2094"/>
              </w:tabs>
            </w:pPr>
            <w:r>
              <w:rPr>
                <w:noProof/>
              </w:rPr>
              <w:drawing>
                <wp:inline distT="0" distB="0" distL="0" distR="0" wp14:anchorId="7A55E8CF" wp14:editId="4CD13E31">
                  <wp:extent cx="2713617" cy="1688123"/>
                  <wp:effectExtent l="0" t="0" r="0" b="7620"/>
                  <wp:docPr id="209" name="圖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52136" cy="1712085"/>
                          </a:xfrm>
                          <a:prstGeom prst="rect">
                            <a:avLst/>
                          </a:prstGeom>
                        </pic:spPr>
                      </pic:pic>
                    </a:graphicData>
                  </a:graphic>
                </wp:inline>
              </w:drawing>
            </w:r>
          </w:p>
        </w:tc>
        <w:tc>
          <w:tcPr>
            <w:tcW w:w="4459" w:type="dxa"/>
          </w:tcPr>
          <w:p w:rsidR="008F3C94" w:rsidRDefault="008F3C94" w:rsidP="008F3C94">
            <w:pPr>
              <w:pStyle w:val="6"/>
              <w:numPr>
                <w:ilvl w:val="0"/>
                <w:numId w:val="0"/>
              </w:numPr>
              <w:tabs>
                <w:tab w:val="clear" w:pos="2094"/>
              </w:tabs>
            </w:pPr>
            <w:r>
              <w:rPr>
                <w:noProof/>
              </w:rPr>
              <w:drawing>
                <wp:inline distT="0" distB="0" distL="0" distR="0" wp14:anchorId="124BB459" wp14:editId="7D5265F0">
                  <wp:extent cx="2694607" cy="1688123"/>
                  <wp:effectExtent l="0" t="0" r="0" b="7620"/>
                  <wp:docPr id="210" name="圖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26226" cy="1707931"/>
                          </a:xfrm>
                          <a:prstGeom prst="rect">
                            <a:avLst/>
                          </a:prstGeom>
                        </pic:spPr>
                      </pic:pic>
                    </a:graphicData>
                  </a:graphic>
                </wp:inline>
              </w:drawing>
            </w:r>
          </w:p>
        </w:tc>
      </w:tr>
      <w:tr w:rsidR="00B61108" w:rsidTr="00B611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9" w:type="dxa"/>
            <w:tcBorders>
              <w:top w:val="nil"/>
              <w:left w:val="nil"/>
              <w:bottom w:val="nil"/>
              <w:right w:val="nil"/>
            </w:tcBorders>
          </w:tcPr>
          <w:p w:rsidR="00B61108" w:rsidRDefault="00B61108" w:rsidP="00B61108">
            <w:pPr>
              <w:pStyle w:val="6"/>
              <w:numPr>
                <w:ilvl w:val="0"/>
                <w:numId w:val="0"/>
              </w:numPr>
              <w:spacing w:before="240"/>
              <w:rPr>
                <w:rFonts w:hAnsi="標楷體"/>
                <w:color w:val="000000" w:themeColor="text1"/>
              </w:rPr>
            </w:pPr>
            <w:r>
              <w:rPr>
                <w:noProof/>
              </w:rPr>
              <w:lastRenderedPageBreak/>
              <w:drawing>
                <wp:inline distT="0" distB="0" distL="0" distR="0" wp14:anchorId="63A4EF92" wp14:editId="2B73700A">
                  <wp:extent cx="2699336" cy="1711960"/>
                  <wp:effectExtent l="0" t="0" r="6350" b="2540"/>
                  <wp:docPr id="220" name="圖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05118" cy="1715627"/>
                          </a:xfrm>
                          <a:prstGeom prst="rect">
                            <a:avLst/>
                          </a:prstGeom>
                        </pic:spPr>
                      </pic:pic>
                    </a:graphicData>
                  </a:graphic>
                </wp:inline>
              </w:drawing>
            </w:r>
          </w:p>
        </w:tc>
        <w:tc>
          <w:tcPr>
            <w:tcW w:w="4491" w:type="dxa"/>
            <w:tcBorders>
              <w:top w:val="nil"/>
              <w:left w:val="nil"/>
              <w:bottom w:val="nil"/>
              <w:right w:val="nil"/>
            </w:tcBorders>
          </w:tcPr>
          <w:p w:rsidR="00B61108" w:rsidRDefault="00B61108" w:rsidP="00B61108">
            <w:pPr>
              <w:pStyle w:val="6"/>
              <w:numPr>
                <w:ilvl w:val="0"/>
                <w:numId w:val="0"/>
              </w:numPr>
              <w:spacing w:before="240"/>
              <w:rPr>
                <w:rFonts w:hAnsi="標楷體"/>
                <w:color w:val="000000" w:themeColor="text1"/>
              </w:rPr>
            </w:pPr>
            <w:r>
              <w:rPr>
                <w:noProof/>
              </w:rPr>
              <w:drawing>
                <wp:inline distT="0" distB="0" distL="0" distR="0" wp14:anchorId="56668251" wp14:editId="12778AB7">
                  <wp:extent cx="2654300" cy="1704340"/>
                  <wp:effectExtent l="0" t="0" r="0" b="0"/>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64107" cy="1710637"/>
                          </a:xfrm>
                          <a:prstGeom prst="rect">
                            <a:avLst/>
                          </a:prstGeom>
                        </pic:spPr>
                      </pic:pic>
                    </a:graphicData>
                  </a:graphic>
                </wp:inline>
              </w:drawing>
            </w:r>
          </w:p>
        </w:tc>
      </w:tr>
    </w:tbl>
    <w:p w:rsidR="008F3C94" w:rsidRPr="00371034" w:rsidRDefault="008F3C94" w:rsidP="003B0F26">
      <w:pPr>
        <w:pStyle w:val="6"/>
        <w:spacing w:before="240"/>
      </w:pPr>
      <w:r>
        <w:rPr>
          <w:rFonts w:hAnsi="標楷體" w:hint="eastAsia"/>
          <w:bCs/>
          <w:noProof/>
          <w:color w:val="000000" w:themeColor="text1"/>
          <w:szCs w:val="52"/>
        </w:rPr>
        <w:t>本院勘驗</w:t>
      </w:r>
      <w:r>
        <w:rPr>
          <w:rFonts w:hAnsi="標楷體" w:hint="eastAsia"/>
          <w:szCs w:val="48"/>
        </w:rPr>
        <w:t>95年2月10日的莊姓姊妹指認影像檔請陳分隊長協助確認除陳訴人外之5人</w:t>
      </w:r>
      <w:r w:rsidR="00B61108">
        <w:rPr>
          <w:rFonts w:hAnsi="標楷體" w:hint="eastAsia"/>
        </w:rPr>
        <w:t>，</w:t>
      </w:r>
      <w:r w:rsidR="00371034">
        <w:rPr>
          <w:rFonts w:hint="eastAsia"/>
        </w:rPr>
        <w:t>陳分隊長表示指認畫面中6人除陳訴人外</w:t>
      </w:r>
      <w:r w:rsidR="00371034" w:rsidRPr="00537CD8">
        <w:rPr>
          <w:rFonts w:hint="eastAsia"/>
        </w:rPr>
        <w:t>，</w:t>
      </w:r>
      <w:r w:rsidR="00371034">
        <w:rPr>
          <w:rFonts w:hint="eastAsia"/>
        </w:rPr>
        <w:t>其餘5人皆為第二分局的員警</w:t>
      </w:r>
      <w:r w:rsidR="00371034">
        <w:rPr>
          <w:rFonts w:hAnsi="標楷體" w:hint="eastAsia"/>
        </w:rPr>
        <w:t>，</w:t>
      </w:r>
      <w:r w:rsidR="00371034">
        <w:rPr>
          <w:rFonts w:hAnsi="標楷體" w:hint="eastAsia"/>
          <w:szCs w:val="32"/>
        </w:rPr>
        <w:t>影像畫面中拿1號牌的是陳訴人，拿2號牌的是洪偵查佐(已經退休)</w:t>
      </w:r>
      <w:r w:rsidR="00371034" w:rsidRPr="00D94554">
        <w:rPr>
          <w:rFonts w:hAnsi="標楷體" w:hint="eastAsia"/>
          <w:szCs w:val="32"/>
        </w:rPr>
        <w:t>，</w:t>
      </w:r>
      <w:r w:rsidR="00371034">
        <w:rPr>
          <w:rFonts w:hAnsi="標楷體" w:hint="eastAsia"/>
          <w:szCs w:val="32"/>
        </w:rPr>
        <w:t>拿3號牌的是胡小隊長(已經退休)</w:t>
      </w:r>
      <w:r w:rsidR="00371034" w:rsidRPr="00D94554">
        <w:rPr>
          <w:rFonts w:hAnsi="標楷體" w:hint="eastAsia"/>
          <w:szCs w:val="32"/>
        </w:rPr>
        <w:t>，</w:t>
      </w:r>
      <w:r w:rsidR="00371034">
        <w:rPr>
          <w:rFonts w:hAnsi="標楷體" w:hint="eastAsia"/>
          <w:szCs w:val="32"/>
        </w:rPr>
        <w:t>拿4號牌的是賴偵查佐(已經退休)</w:t>
      </w:r>
      <w:r w:rsidR="00371034" w:rsidRPr="00D94554">
        <w:rPr>
          <w:rFonts w:hAnsi="標楷體" w:hint="eastAsia"/>
          <w:szCs w:val="32"/>
        </w:rPr>
        <w:t>，</w:t>
      </w:r>
      <w:r w:rsidR="00371034">
        <w:rPr>
          <w:rFonts w:hAnsi="標楷體" w:hint="eastAsia"/>
          <w:szCs w:val="32"/>
        </w:rPr>
        <w:t>拿5號牌的是郭偵查佐(已離職)，拿6號牌的是我</w:t>
      </w:r>
      <w:r w:rsidR="00371034">
        <w:rPr>
          <w:rFonts w:ascii="新細明體" w:eastAsia="新細明體" w:hAnsi="新細明體" w:hint="eastAsia"/>
          <w:szCs w:val="32"/>
        </w:rPr>
        <w:t>。</w:t>
      </w:r>
    </w:p>
    <w:p w:rsidR="00371034" w:rsidRDefault="00371034" w:rsidP="001501D5">
      <w:pPr>
        <w:pStyle w:val="6"/>
        <w:numPr>
          <w:ilvl w:val="0"/>
          <w:numId w:val="0"/>
        </w:numPr>
        <w:tabs>
          <w:tab w:val="clear" w:pos="2094"/>
        </w:tabs>
        <w:ind w:left="2268"/>
        <w:jc w:val="center"/>
      </w:pPr>
      <w:r>
        <w:rPr>
          <w:noProof/>
        </w:rPr>
        <w:drawing>
          <wp:inline distT="0" distB="0" distL="0" distR="0" wp14:anchorId="4FF2735F" wp14:editId="2340DB68">
            <wp:extent cx="3350610" cy="2011680"/>
            <wp:effectExtent l="0" t="0" r="2540" b="7620"/>
            <wp:docPr id="211" name="圖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397143" cy="2039618"/>
                    </a:xfrm>
                    <a:prstGeom prst="rect">
                      <a:avLst/>
                    </a:prstGeom>
                  </pic:spPr>
                </pic:pic>
              </a:graphicData>
            </a:graphic>
          </wp:inline>
        </w:drawing>
      </w:r>
    </w:p>
    <w:p w:rsidR="00371034" w:rsidRDefault="00C008A8" w:rsidP="00A47859">
      <w:pPr>
        <w:pStyle w:val="6"/>
        <w:tabs>
          <w:tab w:val="clear" w:pos="2094"/>
        </w:tabs>
      </w:pPr>
      <w:r>
        <w:rPr>
          <w:rFonts w:hint="eastAsia"/>
        </w:rPr>
        <w:t>(01:19)隊長進來讓1、2號位置對調，其餘4人未調動，指認者為莊姓妹妹，(01:37)指認嫌犯為2號</w:t>
      </w:r>
      <w:r w:rsidRPr="00386E5F">
        <w:rPr>
          <w:rFonts w:hint="eastAsia"/>
        </w:rPr>
        <w:t>。</w:t>
      </w:r>
      <w:r>
        <w:rPr>
          <w:rFonts w:hint="eastAsia"/>
        </w:rPr>
        <w:t>(01:52)後來再調整位置，我到1號位置，拿2號牌的是洪偵查佐</w:t>
      </w:r>
      <w:r w:rsidRPr="00D94554">
        <w:rPr>
          <w:rFonts w:hint="eastAsia"/>
        </w:rPr>
        <w:t>，</w:t>
      </w:r>
      <w:r>
        <w:rPr>
          <w:rFonts w:hint="eastAsia"/>
        </w:rPr>
        <w:t>拿3號牌的是陳訴人，拿4號牌的是賴偵查佐</w:t>
      </w:r>
      <w:r w:rsidRPr="00D94554">
        <w:rPr>
          <w:rFonts w:hint="eastAsia"/>
        </w:rPr>
        <w:t>，</w:t>
      </w:r>
      <w:r>
        <w:rPr>
          <w:rFonts w:hint="eastAsia"/>
        </w:rPr>
        <w:t>拿5號牌的是郭偵查佐</w:t>
      </w:r>
      <w:r w:rsidRPr="00D94554">
        <w:rPr>
          <w:rFonts w:hint="eastAsia"/>
        </w:rPr>
        <w:t>，</w:t>
      </w:r>
      <w:r>
        <w:rPr>
          <w:rFonts w:hint="eastAsia"/>
        </w:rPr>
        <w:t>拿6號牌的是胡小隊長，(2:17)莊姓妹妹指認3號為嫌疑犯。</w:t>
      </w:r>
    </w:p>
    <w:tbl>
      <w:tblPr>
        <w:tblStyle w:val="af7"/>
        <w:tblW w:w="0" w:type="auto"/>
        <w:jc w:val="right"/>
        <w:tblLook w:val="04A0" w:firstRow="1" w:lastRow="0" w:firstColumn="1" w:lastColumn="0" w:noHBand="0" w:noVBand="1"/>
      </w:tblPr>
      <w:tblGrid>
        <w:gridCol w:w="4590"/>
        <w:gridCol w:w="4470"/>
      </w:tblGrid>
      <w:tr w:rsidR="00C008A8" w:rsidTr="00ED3638">
        <w:trPr>
          <w:trHeight w:val="2920"/>
          <w:jc w:val="right"/>
        </w:trPr>
        <w:tc>
          <w:tcPr>
            <w:tcW w:w="4590" w:type="dxa"/>
            <w:tcBorders>
              <w:top w:val="nil"/>
              <w:left w:val="nil"/>
              <w:bottom w:val="nil"/>
              <w:right w:val="nil"/>
            </w:tcBorders>
          </w:tcPr>
          <w:p w:rsidR="00C008A8" w:rsidRDefault="00ED3638" w:rsidP="00ED3638">
            <w:pPr>
              <w:pStyle w:val="5"/>
              <w:numPr>
                <w:ilvl w:val="0"/>
                <w:numId w:val="0"/>
              </w:numPr>
            </w:pPr>
            <w:r>
              <w:rPr>
                <w:noProof/>
              </w:rPr>
              <w:lastRenderedPageBreak/>
              <w:drawing>
                <wp:inline distT="0" distB="0" distL="0" distR="0" wp14:anchorId="3ADB1A3A" wp14:editId="0289E83C">
                  <wp:extent cx="2774950" cy="1735951"/>
                  <wp:effectExtent l="0" t="0" r="6350" b="0"/>
                  <wp:docPr id="212" name="圖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796357" cy="1749343"/>
                          </a:xfrm>
                          <a:prstGeom prst="rect">
                            <a:avLst/>
                          </a:prstGeom>
                        </pic:spPr>
                      </pic:pic>
                    </a:graphicData>
                  </a:graphic>
                </wp:inline>
              </w:drawing>
            </w:r>
          </w:p>
        </w:tc>
        <w:tc>
          <w:tcPr>
            <w:tcW w:w="4470" w:type="dxa"/>
            <w:tcBorders>
              <w:top w:val="nil"/>
              <w:left w:val="nil"/>
              <w:bottom w:val="nil"/>
              <w:right w:val="nil"/>
            </w:tcBorders>
          </w:tcPr>
          <w:p w:rsidR="00C008A8" w:rsidRDefault="00ED3638" w:rsidP="00ED3638">
            <w:pPr>
              <w:pStyle w:val="5"/>
              <w:numPr>
                <w:ilvl w:val="0"/>
                <w:numId w:val="0"/>
              </w:numPr>
              <w:jc w:val="right"/>
            </w:pPr>
            <w:r>
              <w:rPr>
                <w:noProof/>
              </w:rPr>
              <w:drawing>
                <wp:inline distT="0" distB="0" distL="0" distR="0" wp14:anchorId="34142364" wp14:editId="039E7472">
                  <wp:extent cx="2703196" cy="1720215"/>
                  <wp:effectExtent l="0" t="0" r="1905" b="0"/>
                  <wp:docPr id="213" name="圖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714735" cy="1727558"/>
                          </a:xfrm>
                          <a:prstGeom prst="rect">
                            <a:avLst/>
                          </a:prstGeom>
                        </pic:spPr>
                      </pic:pic>
                    </a:graphicData>
                  </a:graphic>
                </wp:inline>
              </w:drawing>
            </w:r>
          </w:p>
        </w:tc>
      </w:tr>
      <w:tr w:rsidR="00C008A8" w:rsidTr="00ED3638">
        <w:trPr>
          <w:trHeight w:val="2920"/>
          <w:jc w:val="right"/>
        </w:trPr>
        <w:tc>
          <w:tcPr>
            <w:tcW w:w="4590" w:type="dxa"/>
            <w:tcBorders>
              <w:top w:val="nil"/>
              <w:left w:val="nil"/>
              <w:bottom w:val="nil"/>
              <w:right w:val="nil"/>
            </w:tcBorders>
          </w:tcPr>
          <w:p w:rsidR="00C008A8" w:rsidRDefault="00ED3638" w:rsidP="006344C0">
            <w:pPr>
              <w:pStyle w:val="5"/>
              <w:numPr>
                <w:ilvl w:val="0"/>
                <w:numId w:val="0"/>
              </w:numPr>
            </w:pPr>
            <w:r>
              <w:rPr>
                <w:noProof/>
              </w:rPr>
              <w:drawing>
                <wp:inline distT="0" distB="0" distL="0" distR="0" wp14:anchorId="4566081C" wp14:editId="7651E2D9">
                  <wp:extent cx="2774950" cy="1657985"/>
                  <wp:effectExtent l="0" t="0" r="6350" b="0"/>
                  <wp:docPr id="214" name="圖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3983"/>
                          <a:stretch/>
                        </pic:blipFill>
                        <pic:spPr bwMode="auto">
                          <a:xfrm>
                            <a:off x="0" y="0"/>
                            <a:ext cx="2780744" cy="1661447"/>
                          </a:xfrm>
                          <a:prstGeom prst="rect">
                            <a:avLst/>
                          </a:prstGeom>
                          <a:ln>
                            <a:noFill/>
                          </a:ln>
                          <a:extLst>
                            <a:ext uri="{53640926-AAD7-44D8-BBD7-CCE9431645EC}">
                              <a14:shadowObscured xmlns:a14="http://schemas.microsoft.com/office/drawing/2010/main"/>
                            </a:ext>
                          </a:extLst>
                        </pic:spPr>
                      </pic:pic>
                    </a:graphicData>
                  </a:graphic>
                </wp:inline>
              </w:drawing>
            </w:r>
          </w:p>
        </w:tc>
        <w:tc>
          <w:tcPr>
            <w:tcW w:w="4470" w:type="dxa"/>
            <w:tcBorders>
              <w:top w:val="nil"/>
              <w:left w:val="nil"/>
              <w:bottom w:val="nil"/>
              <w:right w:val="nil"/>
            </w:tcBorders>
          </w:tcPr>
          <w:p w:rsidR="00ED3638" w:rsidRDefault="00ED3638" w:rsidP="006344C0">
            <w:pPr>
              <w:pStyle w:val="5"/>
              <w:numPr>
                <w:ilvl w:val="0"/>
                <w:numId w:val="0"/>
              </w:numPr>
            </w:pPr>
            <w:r>
              <w:rPr>
                <w:noProof/>
              </w:rPr>
              <w:drawing>
                <wp:inline distT="0" distB="0" distL="0" distR="0" wp14:anchorId="1C274166" wp14:editId="29049736">
                  <wp:extent cx="2696164" cy="1657985"/>
                  <wp:effectExtent l="0" t="0" r="9525" b="0"/>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8611"/>
                          <a:stretch/>
                        </pic:blipFill>
                        <pic:spPr bwMode="auto">
                          <a:xfrm>
                            <a:off x="0" y="0"/>
                            <a:ext cx="2714023" cy="1668967"/>
                          </a:xfrm>
                          <a:prstGeom prst="rect">
                            <a:avLst/>
                          </a:prstGeom>
                          <a:ln>
                            <a:noFill/>
                          </a:ln>
                          <a:extLst>
                            <a:ext uri="{53640926-AAD7-44D8-BBD7-CCE9431645EC}">
                              <a14:shadowObscured xmlns:a14="http://schemas.microsoft.com/office/drawing/2010/main"/>
                            </a:ext>
                          </a:extLst>
                        </pic:spPr>
                      </pic:pic>
                    </a:graphicData>
                  </a:graphic>
                </wp:inline>
              </w:drawing>
            </w:r>
          </w:p>
        </w:tc>
      </w:tr>
      <w:tr w:rsidR="00ED3638" w:rsidTr="00ED3638">
        <w:trPr>
          <w:trHeight w:val="2920"/>
          <w:jc w:val="right"/>
        </w:trPr>
        <w:tc>
          <w:tcPr>
            <w:tcW w:w="4590" w:type="dxa"/>
            <w:tcBorders>
              <w:top w:val="nil"/>
              <w:left w:val="nil"/>
              <w:bottom w:val="nil"/>
              <w:right w:val="nil"/>
            </w:tcBorders>
          </w:tcPr>
          <w:p w:rsidR="00ED3638" w:rsidRDefault="00ED3638" w:rsidP="006344C0">
            <w:pPr>
              <w:pStyle w:val="5"/>
              <w:numPr>
                <w:ilvl w:val="0"/>
                <w:numId w:val="0"/>
              </w:numPr>
              <w:rPr>
                <w:noProof/>
              </w:rPr>
            </w:pPr>
            <w:r>
              <w:rPr>
                <w:noProof/>
              </w:rPr>
              <w:drawing>
                <wp:inline distT="0" distB="0" distL="0" distR="0" wp14:anchorId="683B4FAA" wp14:editId="466C21CC">
                  <wp:extent cx="2774950" cy="1701583"/>
                  <wp:effectExtent l="0" t="0" r="6350"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3968"/>
                          <a:stretch/>
                        </pic:blipFill>
                        <pic:spPr bwMode="auto">
                          <a:xfrm>
                            <a:off x="0" y="0"/>
                            <a:ext cx="2779313" cy="1704259"/>
                          </a:xfrm>
                          <a:prstGeom prst="rect">
                            <a:avLst/>
                          </a:prstGeom>
                          <a:ln>
                            <a:noFill/>
                          </a:ln>
                          <a:extLst>
                            <a:ext uri="{53640926-AAD7-44D8-BBD7-CCE9431645EC}">
                              <a14:shadowObscured xmlns:a14="http://schemas.microsoft.com/office/drawing/2010/main"/>
                            </a:ext>
                          </a:extLst>
                        </pic:spPr>
                      </pic:pic>
                    </a:graphicData>
                  </a:graphic>
                </wp:inline>
              </w:drawing>
            </w:r>
          </w:p>
        </w:tc>
        <w:tc>
          <w:tcPr>
            <w:tcW w:w="4470" w:type="dxa"/>
            <w:tcBorders>
              <w:top w:val="nil"/>
              <w:left w:val="nil"/>
              <w:bottom w:val="nil"/>
              <w:right w:val="nil"/>
            </w:tcBorders>
          </w:tcPr>
          <w:p w:rsidR="00ED3638" w:rsidRDefault="00ED3638" w:rsidP="006344C0">
            <w:pPr>
              <w:pStyle w:val="5"/>
              <w:numPr>
                <w:ilvl w:val="0"/>
                <w:numId w:val="0"/>
              </w:numPr>
              <w:rPr>
                <w:noProof/>
              </w:rPr>
            </w:pPr>
            <w:r>
              <w:rPr>
                <w:noProof/>
              </w:rPr>
              <w:drawing>
                <wp:inline distT="0" distB="0" distL="0" distR="0" wp14:anchorId="380137C2" wp14:editId="21C4E66B">
                  <wp:extent cx="2673350" cy="1693305"/>
                  <wp:effectExtent l="0" t="0" r="0" b="2540"/>
                  <wp:docPr id="217" name="圖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8982"/>
                          <a:stretch/>
                        </pic:blipFill>
                        <pic:spPr bwMode="auto">
                          <a:xfrm>
                            <a:off x="0" y="0"/>
                            <a:ext cx="2680685" cy="1697951"/>
                          </a:xfrm>
                          <a:prstGeom prst="rect">
                            <a:avLst/>
                          </a:prstGeom>
                          <a:ln>
                            <a:noFill/>
                          </a:ln>
                          <a:extLst>
                            <a:ext uri="{53640926-AAD7-44D8-BBD7-CCE9431645EC}">
                              <a14:shadowObscured xmlns:a14="http://schemas.microsoft.com/office/drawing/2010/main"/>
                            </a:ext>
                          </a:extLst>
                        </pic:spPr>
                      </pic:pic>
                    </a:graphicData>
                  </a:graphic>
                </wp:inline>
              </w:drawing>
            </w:r>
          </w:p>
        </w:tc>
      </w:tr>
    </w:tbl>
    <w:p w:rsidR="00C008A8" w:rsidRPr="00EB0F86" w:rsidRDefault="00C008A8" w:rsidP="006344C0">
      <w:pPr>
        <w:pStyle w:val="5"/>
      </w:pPr>
      <w:r>
        <w:rPr>
          <w:rFonts w:hint="eastAsia"/>
        </w:rPr>
        <w:t>莊姓姊姊指認部分</w:t>
      </w:r>
      <w:r>
        <w:rPr>
          <w:rFonts w:hAnsi="標楷體" w:hint="eastAsia"/>
        </w:rPr>
        <w:t>：</w:t>
      </w:r>
    </w:p>
    <w:p w:rsidR="00EB0F86" w:rsidRPr="00F9532D" w:rsidRDefault="00EB0F86" w:rsidP="00A47859">
      <w:pPr>
        <w:pStyle w:val="6"/>
        <w:tabs>
          <w:tab w:val="clear" w:pos="2094"/>
        </w:tabs>
      </w:pPr>
      <w:r w:rsidRPr="00D97E4B">
        <w:rPr>
          <w:rFonts w:hint="eastAsia"/>
        </w:rPr>
        <w:t>第二分局偵查隊於95年2月10日1</w:t>
      </w:r>
      <w:r>
        <w:rPr>
          <w:rFonts w:hint="eastAsia"/>
        </w:rPr>
        <w:t>9</w:t>
      </w:r>
      <w:r w:rsidRPr="00D97E4B">
        <w:rPr>
          <w:rFonts w:hint="eastAsia"/>
        </w:rPr>
        <w:t>時</w:t>
      </w:r>
      <w:r w:rsidR="00F9532D">
        <w:rPr>
          <w:rFonts w:hint="eastAsia"/>
        </w:rPr>
        <w:t>10</w:t>
      </w:r>
      <w:r w:rsidRPr="00D97E4B">
        <w:rPr>
          <w:rFonts w:hint="eastAsia"/>
        </w:rPr>
        <w:t>分通知</w:t>
      </w:r>
      <w:r>
        <w:rPr>
          <w:rFonts w:hint="eastAsia"/>
        </w:rPr>
        <w:t>莊姓</w:t>
      </w:r>
      <w:r w:rsidR="00F9532D">
        <w:rPr>
          <w:rFonts w:hint="eastAsia"/>
        </w:rPr>
        <w:t>姊姊</w:t>
      </w:r>
      <w:r w:rsidRPr="00D97E4B">
        <w:rPr>
          <w:rFonts w:hint="eastAsia"/>
        </w:rPr>
        <w:t>前來指認當天搶奪其</w:t>
      </w:r>
      <w:r w:rsidR="00A47859">
        <w:rPr>
          <w:rFonts w:hint="eastAsia"/>
        </w:rPr>
        <w:t>母親</w:t>
      </w:r>
      <w:r w:rsidRPr="00D97E4B">
        <w:rPr>
          <w:rFonts w:hint="eastAsia"/>
        </w:rPr>
        <w:t>財物之嫌犯，據第</w:t>
      </w:r>
      <w:r>
        <w:rPr>
          <w:rFonts w:hint="eastAsia"/>
        </w:rPr>
        <w:t>1</w:t>
      </w:r>
      <w:r w:rsidRPr="00D97E4B">
        <w:rPr>
          <w:rFonts w:hint="eastAsia"/>
        </w:rPr>
        <w:t>次調查筆錄記載，(問：你今(10)日因何事</w:t>
      </w:r>
      <w:r w:rsidR="00F9532D">
        <w:rPr>
          <w:rFonts w:hint="eastAsia"/>
        </w:rPr>
        <w:t>由妳媽媽徐女陪同</w:t>
      </w:r>
      <w:r w:rsidRPr="00D97E4B">
        <w:rPr>
          <w:rFonts w:hint="eastAsia"/>
        </w:rPr>
        <w:t>至本</w:t>
      </w:r>
      <w:r w:rsidR="00F9532D">
        <w:rPr>
          <w:rFonts w:hint="eastAsia"/>
        </w:rPr>
        <w:t>隊接受</w:t>
      </w:r>
      <w:r w:rsidRPr="00D97E4B">
        <w:rPr>
          <w:rFonts w:hint="eastAsia"/>
        </w:rPr>
        <w:t>警</w:t>
      </w:r>
      <w:r w:rsidR="00F9532D">
        <w:rPr>
          <w:rFonts w:hint="eastAsia"/>
        </w:rPr>
        <w:t>方製作</w:t>
      </w:r>
      <w:r w:rsidRPr="00D97E4B">
        <w:rPr>
          <w:rFonts w:hint="eastAsia"/>
        </w:rPr>
        <w:t>詢</w:t>
      </w:r>
      <w:r w:rsidR="00F9532D">
        <w:rPr>
          <w:rFonts w:hint="eastAsia"/>
        </w:rPr>
        <w:t>問</w:t>
      </w:r>
      <w:r w:rsidRPr="00D97E4B">
        <w:rPr>
          <w:rFonts w:hint="eastAsia"/>
        </w:rPr>
        <w:t>筆錄？)</w:t>
      </w:r>
      <w:r w:rsidR="00F9532D">
        <w:rPr>
          <w:rFonts w:hint="eastAsia"/>
        </w:rPr>
        <w:t>我媽媽徐女正方形黃黑色格子的皮包在95年1月29日下午17時左右</w:t>
      </w:r>
      <w:r w:rsidR="00F9532D">
        <w:rPr>
          <w:rFonts w:hAnsi="標楷體" w:hint="eastAsia"/>
        </w:rPr>
        <w:t>，</w:t>
      </w:r>
      <w:r w:rsidR="00F9532D">
        <w:rPr>
          <w:rFonts w:hint="eastAsia"/>
        </w:rPr>
        <w:t>在</w:t>
      </w:r>
      <w:r w:rsidR="00F9532D">
        <w:rPr>
          <w:rFonts w:hAnsi="標楷體" w:hint="eastAsia"/>
        </w:rPr>
        <w:t>「臺南蔡虱目魚」店門前騎樓地(成功路401號)被一個壞人搶走，我當時在場也有看到那個歹徒，所以由媽媽陪我來做筆錄。</w:t>
      </w:r>
      <w:r w:rsidR="00A47859" w:rsidRPr="00D97E4B">
        <w:rPr>
          <w:rFonts w:hint="eastAsia"/>
        </w:rPr>
        <w:t>警方</w:t>
      </w:r>
      <w:r w:rsidR="00A47859">
        <w:rPr>
          <w:rFonts w:hint="eastAsia"/>
        </w:rPr>
        <w:t>提</w:t>
      </w:r>
      <w:r w:rsidR="00A47859">
        <w:rPr>
          <w:rFonts w:hint="eastAsia"/>
        </w:rPr>
        <w:lastRenderedPageBreak/>
        <w:t>示第1張照片問</w:t>
      </w:r>
      <w:r w:rsidR="00A47859" w:rsidRPr="00D97E4B">
        <w:rPr>
          <w:rFonts w:hint="eastAsia"/>
        </w:rPr>
        <w:t>1至6號</w:t>
      </w:r>
      <w:r w:rsidR="00A47859">
        <w:rPr>
          <w:rFonts w:hint="eastAsia"/>
        </w:rPr>
        <w:t>之人幾號是</w:t>
      </w:r>
      <w:r w:rsidR="00A47859" w:rsidRPr="00D97E4B">
        <w:rPr>
          <w:rFonts w:hint="eastAsia"/>
        </w:rPr>
        <w:t>搶奪嫌犯</w:t>
      </w:r>
      <w:r w:rsidR="00A47859">
        <w:rPr>
          <w:rFonts w:hAnsi="標楷體" w:hint="eastAsia"/>
        </w:rPr>
        <w:t>，</w:t>
      </w:r>
      <w:r w:rsidR="00A47859">
        <w:rPr>
          <w:rFonts w:hint="eastAsia"/>
        </w:rPr>
        <w:t>莊姓姊姊答</w:t>
      </w:r>
      <w:r w:rsidR="00A47859" w:rsidRPr="00D97E4B">
        <w:rPr>
          <w:rFonts w:hint="eastAsia"/>
        </w:rPr>
        <w:t>是</w:t>
      </w:r>
      <w:r w:rsidR="00A47859">
        <w:rPr>
          <w:rFonts w:hint="eastAsia"/>
        </w:rPr>
        <w:t>1號</w:t>
      </w:r>
      <w:r w:rsidR="00A47859" w:rsidRPr="00D97E4B">
        <w:rPr>
          <w:rFonts w:hint="eastAsia"/>
        </w:rPr>
        <w:t>。警方</w:t>
      </w:r>
      <w:r w:rsidR="00A47859">
        <w:rPr>
          <w:rFonts w:hint="eastAsia"/>
        </w:rPr>
        <w:t>提示第2張照片</w:t>
      </w:r>
      <w:r w:rsidR="00A47859" w:rsidRPr="00D97E4B">
        <w:rPr>
          <w:rFonts w:hint="eastAsia"/>
        </w:rPr>
        <w:t>問</w:t>
      </w:r>
      <w:r w:rsidR="00A47859">
        <w:rPr>
          <w:rFonts w:hint="eastAsia"/>
        </w:rPr>
        <w:t>幾號是</w:t>
      </w:r>
      <w:r w:rsidR="00A47859" w:rsidRPr="00D97E4B">
        <w:rPr>
          <w:rFonts w:hint="eastAsia"/>
        </w:rPr>
        <w:t>搶奪嫌犯</w:t>
      </w:r>
      <w:r w:rsidR="00A47859">
        <w:rPr>
          <w:rFonts w:hAnsi="標楷體" w:hint="eastAsia"/>
        </w:rPr>
        <w:t>，</w:t>
      </w:r>
      <w:r w:rsidR="00A47859">
        <w:rPr>
          <w:rFonts w:hint="eastAsia"/>
        </w:rPr>
        <w:t>莊姓姊姊答</w:t>
      </w:r>
      <w:r w:rsidR="00A47859" w:rsidRPr="00D97E4B">
        <w:rPr>
          <w:rFonts w:hint="eastAsia"/>
        </w:rPr>
        <w:t>是</w:t>
      </w:r>
      <w:r w:rsidR="00A47859">
        <w:rPr>
          <w:rFonts w:hint="eastAsia"/>
        </w:rPr>
        <w:t>5號</w:t>
      </w:r>
      <w:r w:rsidR="00A47859" w:rsidRPr="00D97E4B">
        <w:rPr>
          <w:rFonts w:hint="eastAsia"/>
        </w:rPr>
        <w:t>。</w:t>
      </w:r>
      <w:r w:rsidR="003B0F26">
        <w:rPr>
          <w:rFonts w:hint="eastAsia"/>
        </w:rPr>
        <w:t>但警方未告知犯罪嫌疑人不一定存在被指認人之中</w:t>
      </w:r>
      <w:r w:rsidR="003B0F26">
        <w:rPr>
          <w:rFonts w:ascii="新細明體" w:eastAsia="新細明體" w:hAnsi="新細明體" w:hint="eastAsia"/>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450"/>
      </w:tblGrid>
      <w:tr w:rsidR="0034022E" w:rsidTr="0034022E">
        <w:tc>
          <w:tcPr>
            <w:tcW w:w="4450" w:type="dxa"/>
          </w:tcPr>
          <w:p w:rsidR="0034022E" w:rsidRDefault="0034022E" w:rsidP="00ED3638">
            <w:pPr>
              <w:pStyle w:val="6"/>
              <w:numPr>
                <w:ilvl w:val="0"/>
                <w:numId w:val="0"/>
              </w:numPr>
              <w:tabs>
                <w:tab w:val="clear" w:pos="2094"/>
              </w:tabs>
              <w:jc w:val="right"/>
            </w:pPr>
            <w:r>
              <w:rPr>
                <w:noProof/>
              </w:rPr>
              <w:drawing>
                <wp:inline distT="0" distB="0" distL="0" distR="0" wp14:anchorId="2F797FDB" wp14:editId="632AB884">
                  <wp:extent cx="2719754" cy="1577080"/>
                  <wp:effectExtent l="0" t="0" r="4445" b="444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720764" cy="1577665"/>
                          </a:xfrm>
                          <a:prstGeom prst="rect">
                            <a:avLst/>
                          </a:prstGeom>
                        </pic:spPr>
                      </pic:pic>
                    </a:graphicData>
                  </a:graphic>
                </wp:inline>
              </w:drawing>
            </w:r>
          </w:p>
        </w:tc>
        <w:tc>
          <w:tcPr>
            <w:tcW w:w="4450" w:type="dxa"/>
          </w:tcPr>
          <w:p w:rsidR="0034022E" w:rsidRDefault="0034022E" w:rsidP="00ED3638">
            <w:pPr>
              <w:pStyle w:val="6"/>
              <w:numPr>
                <w:ilvl w:val="0"/>
                <w:numId w:val="0"/>
              </w:numPr>
              <w:tabs>
                <w:tab w:val="clear" w:pos="2094"/>
              </w:tabs>
              <w:jc w:val="center"/>
            </w:pPr>
            <w:r>
              <w:rPr>
                <w:noProof/>
              </w:rPr>
              <w:drawing>
                <wp:inline distT="0" distB="0" distL="0" distR="0" wp14:anchorId="78F5967D" wp14:editId="009B20E4">
                  <wp:extent cx="2597150" cy="1564640"/>
                  <wp:effectExtent l="0" t="0" r="0" b="0"/>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597997" cy="1565150"/>
                          </a:xfrm>
                          <a:prstGeom prst="rect">
                            <a:avLst/>
                          </a:prstGeom>
                        </pic:spPr>
                      </pic:pic>
                    </a:graphicData>
                  </a:graphic>
                </wp:inline>
              </w:drawing>
            </w:r>
          </w:p>
        </w:tc>
      </w:tr>
      <w:tr w:rsidR="0034022E" w:rsidTr="0034022E">
        <w:tc>
          <w:tcPr>
            <w:tcW w:w="4450" w:type="dxa"/>
          </w:tcPr>
          <w:p w:rsidR="0034022E" w:rsidRDefault="0034022E" w:rsidP="00ED3638">
            <w:pPr>
              <w:pStyle w:val="6"/>
              <w:numPr>
                <w:ilvl w:val="0"/>
                <w:numId w:val="0"/>
              </w:numPr>
              <w:tabs>
                <w:tab w:val="clear" w:pos="2094"/>
              </w:tabs>
              <w:spacing w:before="240"/>
              <w:jc w:val="right"/>
            </w:pPr>
            <w:r>
              <w:rPr>
                <w:noProof/>
              </w:rPr>
              <w:drawing>
                <wp:inline distT="0" distB="0" distL="0" distR="0" wp14:anchorId="470AFF85" wp14:editId="0BF978DF">
                  <wp:extent cx="2719754" cy="1517466"/>
                  <wp:effectExtent l="0" t="0" r="4445" b="6985"/>
                  <wp:docPr id="206" name="圖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t="9760"/>
                          <a:stretch/>
                        </pic:blipFill>
                        <pic:spPr bwMode="auto">
                          <a:xfrm>
                            <a:off x="0" y="0"/>
                            <a:ext cx="2723662" cy="1519646"/>
                          </a:xfrm>
                          <a:prstGeom prst="rect">
                            <a:avLst/>
                          </a:prstGeom>
                          <a:ln>
                            <a:noFill/>
                          </a:ln>
                          <a:extLst>
                            <a:ext uri="{53640926-AAD7-44D8-BBD7-CCE9431645EC}">
                              <a14:shadowObscured xmlns:a14="http://schemas.microsoft.com/office/drawing/2010/main"/>
                            </a:ext>
                          </a:extLst>
                        </pic:spPr>
                      </pic:pic>
                    </a:graphicData>
                  </a:graphic>
                </wp:inline>
              </w:drawing>
            </w:r>
          </w:p>
        </w:tc>
        <w:tc>
          <w:tcPr>
            <w:tcW w:w="4450" w:type="dxa"/>
          </w:tcPr>
          <w:p w:rsidR="0034022E" w:rsidRDefault="0034022E" w:rsidP="00ED3638">
            <w:pPr>
              <w:pStyle w:val="6"/>
              <w:numPr>
                <w:ilvl w:val="0"/>
                <w:numId w:val="0"/>
              </w:numPr>
              <w:tabs>
                <w:tab w:val="clear" w:pos="2094"/>
              </w:tabs>
              <w:spacing w:before="240"/>
              <w:jc w:val="right"/>
            </w:pPr>
            <w:r>
              <w:rPr>
                <w:noProof/>
              </w:rPr>
              <w:drawing>
                <wp:inline distT="0" distB="0" distL="0" distR="0" wp14:anchorId="7C9EB788" wp14:editId="6FF3E945">
                  <wp:extent cx="2630249" cy="1518138"/>
                  <wp:effectExtent l="0" t="0" r="0" b="6350"/>
                  <wp:docPr id="218" name="圖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631830" cy="1519051"/>
                          </a:xfrm>
                          <a:prstGeom prst="rect">
                            <a:avLst/>
                          </a:prstGeom>
                        </pic:spPr>
                      </pic:pic>
                    </a:graphicData>
                  </a:graphic>
                </wp:inline>
              </w:drawing>
            </w:r>
          </w:p>
        </w:tc>
      </w:tr>
    </w:tbl>
    <w:p w:rsidR="00F9532D" w:rsidRPr="0047370B" w:rsidRDefault="0047370B" w:rsidP="003B0F26">
      <w:pPr>
        <w:pStyle w:val="6"/>
        <w:tabs>
          <w:tab w:val="clear" w:pos="2094"/>
        </w:tabs>
        <w:spacing w:before="240"/>
      </w:pPr>
      <w:r w:rsidRPr="00951C75">
        <w:rPr>
          <w:rFonts w:hAnsi="標楷體" w:hint="eastAsia"/>
          <w:color w:val="000000" w:themeColor="text1"/>
        </w:rPr>
        <w:t>本院</w:t>
      </w:r>
      <w:r>
        <w:rPr>
          <w:rFonts w:hAnsi="標楷體" w:hint="eastAsia"/>
          <w:bCs/>
          <w:noProof/>
          <w:color w:val="000000" w:themeColor="text1"/>
          <w:szCs w:val="52"/>
        </w:rPr>
        <w:t>勘驗</w:t>
      </w:r>
      <w:r>
        <w:rPr>
          <w:rFonts w:hAnsi="標楷體" w:hint="eastAsia"/>
          <w:szCs w:val="48"/>
        </w:rPr>
        <w:t>95年2月10日的莊姓姊妹指認影像檔，</w:t>
      </w:r>
      <w:r>
        <w:rPr>
          <w:rFonts w:hAnsi="標楷體" w:hint="eastAsia"/>
          <w:szCs w:val="32"/>
        </w:rPr>
        <w:t>(01:10)莊姓姊姊指認嫌犯為1號</w:t>
      </w:r>
      <w:r w:rsidR="00C6523F">
        <w:rPr>
          <w:rStyle w:val="aff"/>
          <w:rFonts w:hAnsi="標楷體"/>
          <w:szCs w:val="32"/>
        </w:rPr>
        <w:footnoteReference w:id="4"/>
      </w:r>
      <w:r w:rsidRPr="00386E5F">
        <w:rPr>
          <w:rFonts w:hAnsi="標楷體" w:hint="eastAsia"/>
          <w:szCs w:val="32"/>
        </w:rPr>
        <w:t>。</w:t>
      </w:r>
    </w:p>
    <w:p w:rsidR="0047370B" w:rsidRDefault="0047370B" w:rsidP="0047370B">
      <w:pPr>
        <w:pStyle w:val="6"/>
        <w:numPr>
          <w:ilvl w:val="0"/>
          <w:numId w:val="0"/>
        </w:numPr>
        <w:tabs>
          <w:tab w:val="clear" w:pos="2094"/>
        </w:tabs>
        <w:ind w:left="1531"/>
        <w:jc w:val="right"/>
      </w:pPr>
      <w:r>
        <w:rPr>
          <w:noProof/>
        </w:rPr>
        <w:drawing>
          <wp:inline distT="0" distB="0" distL="0" distR="0" wp14:anchorId="31D1BA89" wp14:editId="55EDF27C">
            <wp:extent cx="4345328" cy="2461260"/>
            <wp:effectExtent l="0" t="0" r="0" b="0"/>
            <wp:docPr id="219" name="圖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17120"/>
                    <a:stretch/>
                  </pic:blipFill>
                  <pic:spPr bwMode="auto">
                    <a:xfrm>
                      <a:off x="0" y="0"/>
                      <a:ext cx="4376213" cy="2478754"/>
                    </a:xfrm>
                    <a:prstGeom prst="rect">
                      <a:avLst/>
                    </a:prstGeom>
                    <a:ln>
                      <a:noFill/>
                    </a:ln>
                    <a:extLst>
                      <a:ext uri="{53640926-AAD7-44D8-BBD7-CCE9431645EC}">
                        <a14:shadowObscured xmlns:a14="http://schemas.microsoft.com/office/drawing/2010/main"/>
                      </a:ext>
                    </a:extLst>
                  </pic:spPr>
                </pic:pic>
              </a:graphicData>
            </a:graphic>
          </wp:inline>
        </w:drawing>
      </w:r>
    </w:p>
    <w:p w:rsidR="003B0F26" w:rsidRPr="00493C09" w:rsidRDefault="00BF0B96" w:rsidP="00962B87">
      <w:pPr>
        <w:pStyle w:val="5"/>
        <w:spacing w:before="240"/>
      </w:pPr>
      <w:r>
        <w:rPr>
          <w:rFonts w:hint="eastAsia"/>
        </w:rPr>
        <w:lastRenderedPageBreak/>
        <w:t>綜合上述莊姓姊妹指認畫面可知</w:t>
      </w:r>
      <w:r w:rsidRPr="00D709AF">
        <w:rPr>
          <w:rFonts w:hint="eastAsia"/>
        </w:rPr>
        <w:t>，</w:t>
      </w:r>
      <w:r>
        <w:rPr>
          <w:rFonts w:hint="eastAsia"/>
        </w:rPr>
        <w:t>陳訴人以外之5</w:t>
      </w:r>
      <w:r>
        <w:rPr>
          <w:rFonts w:cs="MS Mincho" w:hint="eastAsia"/>
        </w:rPr>
        <w:t>人年紀及外型</w:t>
      </w:r>
      <w:r w:rsidR="00493C09">
        <w:rPr>
          <w:rFonts w:cs="MS Mincho" w:hint="eastAsia"/>
        </w:rPr>
        <w:t>與陳訴人</w:t>
      </w:r>
      <w:r>
        <w:rPr>
          <w:rFonts w:cs="MS Mincho" w:hint="eastAsia"/>
        </w:rPr>
        <w:t>相去甚遠</w:t>
      </w:r>
      <w:r w:rsidRPr="00D709AF">
        <w:rPr>
          <w:rFonts w:hint="eastAsia"/>
        </w:rPr>
        <w:t>，</w:t>
      </w:r>
      <w:r>
        <w:rPr>
          <w:rFonts w:hint="eastAsia"/>
        </w:rPr>
        <w:t>與「被指認人在外型上不得有重大差異」之指認規定相悖。另僅有陳訴人1人著囚服、戴手銬，是有可能對指認者產生暗示或誘導之作用，與「指認前不得有任何可能暗示、誘導之安排出現」之指認規定有違。</w:t>
      </w:r>
      <w:r w:rsidR="00493C09">
        <w:rPr>
          <w:rFonts w:hint="eastAsia"/>
        </w:rPr>
        <w:t>又請莊姓姊妹指認犯罪嫌疑人前未特別告知其不一定在被指認的行列中，與「指認前必須告訴指認人，犯罪嫌疑人並不一定存在於被指認人之中」之指認規定不符。</w:t>
      </w:r>
    </w:p>
    <w:p w:rsidR="00493C09" w:rsidRPr="00D77626" w:rsidRDefault="005C4816" w:rsidP="006344C0">
      <w:pPr>
        <w:pStyle w:val="5"/>
      </w:pPr>
      <w:r>
        <w:rPr>
          <w:rFonts w:hint="eastAsia"/>
        </w:rPr>
        <w:t>至於陳訴人所稱有「指認前未由指認人先陳述犯罪嫌疑人特徵」之瑕疵容有誤解，經查徐女於95年1月29日17時許被搶奪皮包後，於當日18時10分至第二分局長樂派出所報案，據第1次調查筆錄已記載「聽我女兒說當時有一名年約30歲左右的男子</w:t>
      </w:r>
      <w:r w:rsidR="00D96B29">
        <w:rPr>
          <w:rFonts w:hint="eastAsia"/>
        </w:rPr>
        <w:t>已經躲在附近看我們很久，趁我們大人不在現場時搶走我放在我女兒座位後方的皮包後逃逸，</w:t>
      </w:r>
      <w:r w:rsidR="002D19AB">
        <w:rPr>
          <w:rFonts w:hint="eastAsia"/>
        </w:rPr>
        <w:t>歹徒</w:t>
      </w:r>
      <w:r w:rsidR="00D96B29">
        <w:rPr>
          <w:rFonts w:hint="eastAsia"/>
        </w:rPr>
        <w:t>特徵為身高約170公分、體重約50公斤、髮型為短髮</w:t>
      </w:r>
      <w:r>
        <w:rPr>
          <w:rFonts w:hint="eastAsia"/>
        </w:rPr>
        <w:t>」</w:t>
      </w:r>
      <w:r w:rsidR="00D96B29">
        <w:rPr>
          <w:rFonts w:hint="eastAsia"/>
        </w:rPr>
        <w:t>等語</w:t>
      </w:r>
      <w:r>
        <w:rPr>
          <w:rFonts w:hint="eastAsia"/>
        </w:rPr>
        <w:t>，顯見95年2月</w:t>
      </w:r>
      <w:r w:rsidR="00D96B29">
        <w:rPr>
          <w:rFonts w:hint="eastAsia"/>
        </w:rPr>
        <w:t>10</w:t>
      </w:r>
      <w:r>
        <w:rPr>
          <w:rFonts w:hint="eastAsia"/>
        </w:rPr>
        <w:t>日</w:t>
      </w:r>
      <w:r w:rsidR="00D96B29">
        <w:rPr>
          <w:rFonts w:hint="eastAsia"/>
        </w:rPr>
        <w:t>莊姓姊妹</w:t>
      </w:r>
      <w:r>
        <w:rPr>
          <w:rFonts w:hint="eastAsia"/>
        </w:rPr>
        <w:t>進行照片指認及當面指認前已有</w:t>
      </w:r>
      <w:r w:rsidR="00D96B29">
        <w:rPr>
          <w:rFonts w:hint="eastAsia"/>
        </w:rPr>
        <w:t>告知其母親有關</w:t>
      </w:r>
      <w:r>
        <w:rPr>
          <w:rFonts w:hint="eastAsia"/>
        </w:rPr>
        <w:t>犯罪嫌疑人之特徵</w:t>
      </w:r>
      <w:r w:rsidR="00D96B29">
        <w:rPr>
          <w:rFonts w:hint="eastAsia"/>
        </w:rPr>
        <w:t>並經由其母親報案時陳述</w:t>
      </w:r>
      <w:r>
        <w:rPr>
          <w:rFonts w:hint="eastAsia"/>
        </w:rPr>
        <w:t>。</w:t>
      </w:r>
      <w:r w:rsidR="00D96B29">
        <w:rPr>
          <w:rFonts w:hint="eastAsia"/>
        </w:rPr>
        <w:t>另據陳訴人所提供莊姓姊姊95年2月10警詢錄音譯文，</w:t>
      </w:r>
      <w:r w:rsidR="00D77626">
        <w:rPr>
          <w:rFonts w:hint="eastAsia"/>
        </w:rPr>
        <w:t>(</w:t>
      </w:r>
      <w:r w:rsidR="00D96B29">
        <w:rPr>
          <w:rFonts w:hint="eastAsia"/>
        </w:rPr>
        <w:t>22:19-23:10</w:t>
      </w:r>
      <w:r w:rsidR="00D77626">
        <w:rPr>
          <w:rFonts w:hint="eastAsia"/>
        </w:rPr>
        <w:t>)</w:t>
      </w:r>
      <w:r w:rsidR="00D96B29">
        <w:rPr>
          <w:rFonts w:hint="eastAsia"/>
        </w:rPr>
        <w:t>警方請莊姓姊姊把看到歹徒的樣子描述一下，其答年約30幾歲，留短頭髮，頭髮前面有一撮白白的，</w:t>
      </w:r>
      <w:r w:rsidR="00D77626">
        <w:rPr>
          <w:rFonts w:hint="eastAsia"/>
        </w:rPr>
        <w:t>眉毛比較粗，長得壯壯的，身高沒辦法確定等語，(29:51-32:42)警方拿兩組照片請莊姓姊姊先後各指認嫌犯1次，亦顯見在指認前有先由指認人陳述犯罪嫌</w:t>
      </w:r>
      <w:r w:rsidR="00D77626">
        <w:rPr>
          <w:rFonts w:hint="eastAsia"/>
        </w:rPr>
        <w:lastRenderedPageBreak/>
        <w:t>疑人之特徵</w:t>
      </w:r>
      <w:r w:rsidR="00D77626">
        <w:rPr>
          <w:rFonts w:ascii="新細明體" w:eastAsia="新細明體" w:hAnsi="新細明體" w:hint="eastAsia"/>
        </w:rPr>
        <w:t>。</w:t>
      </w:r>
    </w:p>
    <w:p w:rsidR="00D77626" w:rsidRPr="00D77626" w:rsidRDefault="00D77626" w:rsidP="00D77626">
      <w:pPr>
        <w:pStyle w:val="4"/>
      </w:pPr>
      <w:r>
        <w:rPr>
          <w:rFonts w:hAnsi="標楷體" w:hint="eastAsia"/>
          <w:bCs/>
          <w:szCs w:val="48"/>
        </w:rPr>
        <w:t>陳分隊長於本院詢問時表示，以其從事刑事偵查工作多年經驗來看，指認應找與嫌疑犯身型外觀相似的人較妥，</w:t>
      </w:r>
      <w:r>
        <w:rPr>
          <w:rFonts w:hAnsi="標楷體" w:hint="eastAsia"/>
          <w:szCs w:val="32"/>
        </w:rPr>
        <w:t>如果陳訴人必須用手銬</w:t>
      </w:r>
      <w:r w:rsidRPr="00D94554">
        <w:rPr>
          <w:rFonts w:hAnsi="標楷體" w:hint="eastAsia"/>
          <w:szCs w:val="32"/>
        </w:rPr>
        <w:t>，</w:t>
      </w:r>
      <w:r>
        <w:rPr>
          <w:rFonts w:hAnsi="標楷體" w:hint="eastAsia"/>
          <w:szCs w:val="32"/>
        </w:rPr>
        <w:t>其他協助指認者也應該一併用手銬</w:t>
      </w:r>
      <w:r w:rsidRPr="00386E5F">
        <w:rPr>
          <w:rFonts w:hAnsi="標楷體" w:hint="eastAsia"/>
          <w:szCs w:val="32"/>
        </w:rPr>
        <w:t>。</w:t>
      </w:r>
      <w:r>
        <w:rPr>
          <w:rFonts w:hAnsi="標楷體" w:hint="eastAsia"/>
          <w:szCs w:val="32"/>
        </w:rPr>
        <w:t>要等警方準備好以後</w:t>
      </w:r>
      <w:r w:rsidRPr="00D94554">
        <w:rPr>
          <w:rFonts w:hAnsi="標楷體" w:hint="eastAsia"/>
          <w:szCs w:val="32"/>
        </w:rPr>
        <w:t>，</w:t>
      </w:r>
      <w:r>
        <w:rPr>
          <w:rFonts w:hAnsi="標楷體" w:hint="eastAsia"/>
          <w:szCs w:val="32"/>
        </w:rPr>
        <w:t>再請被害人來指認</w:t>
      </w:r>
      <w:r w:rsidRPr="00D94554">
        <w:rPr>
          <w:rFonts w:hAnsi="標楷體" w:hint="eastAsia"/>
          <w:szCs w:val="32"/>
        </w:rPr>
        <w:t>，</w:t>
      </w:r>
      <w:r>
        <w:rPr>
          <w:rFonts w:hAnsi="標楷體" w:hint="eastAsia"/>
          <w:szCs w:val="32"/>
        </w:rPr>
        <w:t>不要讓他看到調換位置過程較合理，已具體指出本案第二分局在95年間進行指認程序有不夠周妥之處</w:t>
      </w:r>
      <w:r>
        <w:rPr>
          <w:rFonts w:ascii="新細明體" w:eastAsia="新細明體" w:hAnsi="新細明體" w:hint="eastAsia"/>
          <w:szCs w:val="32"/>
        </w:rPr>
        <w:t>。</w:t>
      </w:r>
    </w:p>
    <w:p w:rsidR="006E6545" w:rsidRPr="006E6545" w:rsidRDefault="006E6545" w:rsidP="006E6545">
      <w:pPr>
        <w:pStyle w:val="3"/>
      </w:pPr>
      <w:r w:rsidRPr="006E6545">
        <w:rPr>
          <w:rFonts w:hint="eastAsia"/>
        </w:rPr>
        <w:t>綜上</w:t>
      </w:r>
      <w:r w:rsidRPr="006E6545">
        <w:rPr>
          <w:rFonts w:hAnsi="標楷體" w:hint="eastAsia"/>
        </w:rPr>
        <w:t>，</w:t>
      </w:r>
      <w:r w:rsidR="0084544B" w:rsidRPr="0084544B">
        <w:rPr>
          <w:rFonts w:hAnsi="標楷體" w:hint="eastAsia"/>
        </w:rPr>
        <w:t>依內政部警政署</w:t>
      </w:r>
      <w:r w:rsidR="0084544B" w:rsidRPr="0084544B">
        <w:rPr>
          <w:rFonts w:hAnsi="標楷體"/>
        </w:rPr>
        <w:t>90</w:t>
      </w:r>
      <w:r w:rsidR="0084544B" w:rsidRPr="0084544B">
        <w:rPr>
          <w:rFonts w:hAnsi="標楷體" w:hint="eastAsia"/>
        </w:rPr>
        <w:t>年</w:t>
      </w:r>
      <w:r w:rsidR="0084544B" w:rsidRPr="0084544B">
        <w:rPr>
          <w:rFonts w:hAnsi="標楷體"/>
        </w:rPr>
        <w:t>8</w:t>
      </w:r>
      <w:r w:rsidR="0084544B" w:rsidRPr="0084544B">
        <w:rPr>
          <w:rFonts w:hAnsi="標楷體" w:hint="eastAsia"/>
        </w:rPr>
        <w:t>月</w:t>
      </w:r>
      <w:r w:rsidR="0084544B" w:rsidRPr="0084544B">
        <w:rPr>
          <w:rFonts w:hAnsi="標楷體"/>
        </w:rPr>
        <w:t>20</w:t>
      </w:r>
      <w:r w:rsidR="0084544B" w:rsidRPr="0084544B">
        <w:rPr>
          <w:rFonts w:hAnsi="標楷體" w:hint="eastAsia"/>
        </w:rPr>
        <w:t>日頒佈之「警察機關實施指認犯罪嫌疑人程序要領」，及該程序要領於92年8月12日修正列於「警察偵查犯罪規範」第92條，明定如需實施被害人、檢舉人或目擊證人指認犯罪嫌疑人之應遵行事項。臺南市警局第二分局偵查隊在安排強盜案及搶奪案被害人指認陳訴人時，除強盜案部分另有「僅提供陳訴人1人前科照片供王女指認」之瑕疵外，2案皆有「被指認人外型上有重大差異、被指認之6人中僅有陳訴人1人著囚服戴手銬可能產生暗示或誘導作用、未告知犯罪嫌疑人並不一定存在於被指認人之中」等指認瑕疵，違反上開指認規定，臺南市警局</w:t>
      </w:r>
      <w:r w:rsidR="0084544B" w:rsidRPr="0084544B">
        <w:rPr>
          <w:rFonts w:hAnsi="標楷體" w:cs="HiddenHorzOCR" w:hint="eastAsia"/>
          <w:kern w:val="0"/>
          <w:szCs w:val="32"/>
        </w:rPr>
        <w:t>第二分局應檢討改進</w:t>
      </w:r>
      <w:r w:rsidR="0084544B" w:rsidRPr="0084544B">
        <w:rPr>
          <w:rFonts w:ascii="新細明體" w:eastAsia="新細明體" w:hAnsi="新細明體" w:cs="HiddenHorzOCR" w:hint="eastAsia"/>
          <w:kern w:val="0"/>
          <w:szCs w:val="32"/>
        </w:rPr>
        <w:t>。</w:t>
      </w:r>
    </w:p>
    <w:p w:rsidR="00E86FE5" w:rsidRPr="002C3413" w:rsidRDefault="0004447E" w:rsidP="002C16AF">
      <w:pPr>
        <w:pStyle w:val="2"/>
        <w:rPr>
          <w:b/>
        </w:rPr>
      </w:pPr>
      <w:r>
        <w:rPr>
          <w:rFonts w:hAnsi="標楷體" w:hint="eastAsia"/>
          <w:b/>
        </w:rPr>
        <w:t>陳訴人所涉2案</w:t>
      </w:r>
      <w:r w:rsidR="00DC0357">
        <w:rPr>
          <w:rFonts w:hAnsi="標楷體" w:hint="eastAsia"/>
          <w:b/>
        </w:rPr>
        <w:t>，</w:t>
      </w:r>
      <w:r w:rsidR="00DC0357">
        <w:rPr>
          <w:rFonts w:hint="eastAsia"/>
          <w:b/>
        </w:rPr>
        <w:t>臺南地院</w:t>
      </w:r>
      <w:r w:rsidR="00182330">
        <w:rPr>
          <w:rFonts w:hint="eastAsia"/>
          <w:b/>
        </w:rPr>
        <w:t>一審</w:t>
      </w:r>
      <w:r w:rsidR="00B242E7">
        <w:rPr>
          <w:rFonts w:hint="eastAsia"/>
          <w:b/>
        </w:rPr>
        <w:t>及臺南高分院</w:t>
      </w:r>
      <w:r w:rsidR="00182330">
        <w:rPr>
          <w:rFonts w:hint="eastAsia"/>
          <w:b/>
        </w:rPr>
        <w:t>二審</w:t>
      </w:r>
      <w:r w:rsidR="00B242E7">
        <w:rPr>
          <w:rFonts w:hint="eastAsia"/>
          <w:b/>
        </w:rPr>
        <w:t>判決在程序事項皆認為</w:t>
      </w:r>
      <w:r w:rsidR="00B242E7">
        <w:rPr>
          <w:rFonts w:hAnsi="標楷體" w:hint="eastAsia"/>
          <w:b/>
        </w:rPr>
        <w:t>「</w:t>
      </w:r>
      <w:r w:rsidR="00B242E7" w:rsidRPr="00B242E7">
        <w:rPr>
          <w:rFonts w:hint="eastAsia"/>
          <w:b/>
        </w:rPr>
        <w:t>起訴書既未以被害人警詢中之證述內容為證據方法，雖證人指認被告之過程確未依程序要領辦理，從而被害人3人之警詢筆錄原本即非本案認定事實之依據</w:t>
      </w:r>
      <w:r w:rsidR="00B242E7">
        <w:rPr>
          <w:rFonts w:hAnsi="標楷體" w:hint="eastAsia"/>
          <w:b/>
        </w:rPr>
        <w:t>」，嗣經最高法院判決</w:t>
      </w:r>
      <w:r w:rsidR="008923A1">
        <w:rPr>
          <w:rFonts w:hAnsi="標楷體" w:hint="eastAsia"/>
          <w:b/>
        </w:rPr>
        <w:t>駁回搶奪案上訴而定讞，</w:t>
      </w:r>
      <w:r w:rsidR="0044249C">
        <w:rPr>
          <w:rFonts w:hint="eastAsia"/>
          <w:b/>
        </w:rPr>
        <w:t>強盜案部分</w:t>
      </w:r>
      <w:r w:rsidR="008923A1">
        <w:rPr>
          <w:rFonts w:hint="eastAsia"/>
          <w:b/>
        </w:rPr>
        <w:t>撤銷發回更審</w:t>
      </w:r>
      <w:r w:rsidR="008923A1">
        <w:rPr>
          <w:rFonts w:hAnsi="標楷體" w:hint="eastAsia"/>
          <w:b/>
        </w:rPr>
        <w:t>。臺南高分院更一審判決駁回強盜</w:t>
      </w:r>
      <w:r>
        <w:rPr>
          <w:rFonts w:hAnsi="標楷體" w:hint="eastAsia"/>
          <w:b/>
        </w:rPr>
        <w:t>案</w:t>
      </w:r>
      <w:r w:rsidR="008923A1">
        <w:rPr>
          <w:rFonts w:hAnsi="標楷體" w:hint="eastAsia"/>
          <w:b/>
        </w:rPr>
        <w:t>之上訴，惟</w:t>
      </w:r>
      <w:r w:rsidR="00EF7CEE">
        <w:rPr>
          <w:rFonts w:hAnsi="標楷體" w:hint="eastAsia"/>
          <w:b/>
        </w:rPr>
        <w:t>最高法院第2次判決</w:t>
      </w:r>
      <w:r w:rsidR="0069477A">
        <w:rPr>
          <w:rFonts w:hAnsi="標楷體" w:hint="eastAsia"/>
          <w:b/>
        </w:rPr>
        <w:t>以</w:t>
      </w:r>
      <w:r w:rsidR="008923A1">
        <w:rPr>
          <w:rFonts w:hAnsi="標楷體" w:hint="eastAsia"/>
          <w:b/>
        </w:rPr>
        <w:t>更一審</w:t>
      </w:r>
      <w:r w:rsidR="0069477A">
        <w:rPr>
          <w:rFonts w:hAnsi="標楷體" w:hint="eastAsia"/>
          <w:b/>
        </w:rPr>
        <w:t>判決</w:t>
      </w:r>
      <w:r w:rsidR="008923A1">
        <w:rPr>
          <w:rFonts w:hAnsi="標楷體" w:hint="eastAsia"/>
          <w:b/>
        </w:rPr>
        <w:t>「</w:t>
      </w:r>
      <w:r w:rsidR="0069477A">
        <w:rPr>
          <w:rFonts w:hAnsi="標楷體" w:hint="eastAsia"/>
          <w:b/>
        </w:rPr>
        <w:t>徒以被害人於偵審中所為單一指認</w:t>
      </w:r>
      <w:r w:rsidR="006C160E">
        <w:rPr>
          <w:rFonts w:hAnsi="標楷體" w:hint="eastAsia"/>
          <w:b/>
        </w:rPr>
        <w:t>陳</w:t>
      </w:r>
      <w:r w:rsidR="0069477A">
        <w:rPr>
          <w:rFonts w:hAnsi="標楷體" w:hint="eastAsia"/>
          <w:b/>
        </w:rPr>
        <w:t>訴人</w:t>
      </w:r>
      <w:r w:rsidR="008923A1">
        <w:rPr>
          <w:rFonts w:hAnsi="標楷體" w:hint="eastAsia"/>
          <w:b/>
        </w:rPr>
        <w:t>」</w:t>
      </w:r>
      <w:r w:rsidR="0069477A">
        <w:rPr>
          <w:rFonts w:hAnsi="標楷體" w:hint="eastAsia"/>
          <w:b/>
        </w:rPr>
        <w:t>為</w:t>
      </w:r>
      <w:r w:rsidR="006C160E">
        <w:rPr>
          <w:rFonts w:hAnsi="標楷體" w:hint="eastAsia"/>
          <w:b/>
        </w:rPr>
        <w:t>撤銷</w:t>
      </w:r>
      <w:r w:rsidR="0069477A">
        <w:rPr>
          <w:rFonts w:hAnsi="標楷體" w:hint="eastAsia"/>
          <w:b/>
        </w:rPr>
        <w:t>理由之一</w:t>
      </w:r>
      <w:r w:rsidR="008923A1">
        <w:rPr>
          <w:rFonts w:hAnsi="標楷體" w:hint="eastAsia"/>
          <w:b/>
        </w:rPr>
        <w:t>發回更審</w:t>
      </w:r>
      <w:r w:rsidR="006C160E">
        <w:rPr>
          <w:rFonts w:hAnsi="標楷體" w:hint="eastAsia"/>
          <w:b/>
        </w:rPr>
        <w:t>，臺南高分院更</w:t>
      </w:r>
      <w:r w:rsidR="00DC0357">
        <w:rPr>
          <w:rFonts w:hAnsi="標楷體" w:hint="eastAsia"/>
          <w:b/>
        </w:rPr>
        <w:t>二</w:t>
      </w:r>
      <w:r w:rsidR="008923A1">
        <w:rPr>
          <w:rFonts w:hAnsi="標楷體" w:hint="eastAsia"/>
          <w:b/>
        </w:rPr>
        <w:lastRenderedPageBreak/>
        <w:t>審判決</w:t>
      </w:r>
      <w:r w:rsidR="006C160E">
        <w:rPr>
          <w:rFonts w:hAnsi="標楷體" w:hint="eastAsia"/>
          <w:b/>
        </w:rPr>
        <w:t>以</w:t>
      </w:r>
      <w:r w:rsidR="008923A1">
        <w:rPr>
          <w:rFonts w:hAnsi="標楷體" w:hint="eastAsia"/>
          <w:b/>
        </w:rPr>
        <w:t>「</w:t>
      </w:r>
      <w:r w:rsidR="006C160E">
        <w:rPr>
          <w:rFonts w:hAnsi="標楷體" w:hint="eastAsia"/>
          <w:b/>
        </w:rPr>
        <w:t>指認瑕疵</w:t>
      </w:r>
      <w:r w:rsidR="008923A1">
        <w:rPr>
          <w:rFonts w:hAnsi="標楷體" w:hint="eastAsia"/>
          <w:b/>
        </w:rPr>
        <w:t>」</w:t>
      </w:r>
      <w:r w:rsidR="006C160E">
        <w:rPr>
          <w:rFonts w:hAnsi="標楷體" w:hint="eastAsia"/>
          <w:b/>
        </w:rPr>
        <w:t>列為改判無罪理由之一</w:t>
      </w:r>
      <w:r w:rsidR="00DC0357">
        <w:rPr>
          <w:rFonts w:hAnsi="標楷體" w:hint="eastAsia"/>
          <w:b/>
        </w:rPr>
        <w:t>；</w:t>
      </w:r>
      <w:r w:rsidR="006C160E">
        <w:rPr>
          <w:rFonts w:hAnsi="標楷體" w:hint="eastAsia"/>
          <w:b/>
        </w:rPr>
        <w:t>惟最高法院第3次判決又以「</w:t>
      </w:r>
      <w:r w:rsidR="006C160E" w:rsidRPr="00A36A85">
        <w:rPr>
          <w:rFonts w:hAnsi="標楷體" w:cs="新細明體" w:hint="eastAsia"/>
          <w:b/>
          <w:kern w:val="0"/>
          <w:szCs w:val="32"/>
        </w:rPr>
        <w:t>證人之指認程序與相關要領規範不盡相符時，尚難謂係違反法律位階之法定程序</w:t>
      </w:r>
      <w:r w:rsidR="006C160E">
        <w:rPr>
          <w:rFonts w:hAnsi="標楷體" w:hint="eastAsia"/>
          <w:b/>
        </w:rPr>
        <w:t>」</w:t>
      </w:r>
      <w:r w:rsidR="00182330">
        <w:rPr>
          <w:rFonts w:hAnsi="標楷體" w:hint="eastAsia"/>
          <w:b/>
        </w:rPr>
        <w:t>為撤銷理由之一發回更審</w:t>
      </w:r>
      <w:r w:rsidR="006C160E">
        <w:rPr>
          <w:rFonts w:hAnsi="標楷體" w:hint="eastAsia"/>
          <w:b/>
        </w:rPr>
        <w:t>，臺南高分院更</w:t>
      </w:r>
      <w:r w:rsidR="00DC0357">
        <w:rPr>
          <w:rFonts w:hAnsi="標楷體" w:hint="eastAsia"/>
          <w:b/>
        </w:rPr>
        <w:t>三</w:t>
      </w:r>
      <w:r w:rsidR="006C160E">
        <w:rPr>
          <w:rFonts w:hAnsi="標楷體" w:hint="eastAsia"/>
          <w:b/>
        </w:rPr>
        <w:t>審</w:t>
      </w:r>
      <w:r w:rsidR="008923A1">
        <w:rPr>
          <w:rFonts w:hAnsi="標楷體" w:hint="eastAsia"/>
          <w:b/>
        </w:rPr>
        <w:t>判決</w:t>
      </w:r>
      <w:r w:rsidR="006C160E">
        <w:rPr>
          <w:rFonts w:hAnsi="標楷體" w:hint="eastAsia"/>
          <w:b/>
        </w:rPr>
        <w:t>以</w:t>
      </w:r>
      <w:r w:rsidR="00DC0357">
        <w:rPr>
          <w:rFonts w:hAnsi="標楷體" w:hint="eastAsia"/>
          <w:b/>
        </w:rPr>
        <w:t>「</w:t>
      </w:r>
      <w:r w:rsidR="00DC0357" w:rsidRPr="00DC0357">
        <w:rPr>
          <w:rFonts w:hAnsi="標楷體" w:cs="新細明體" w:hint="eastAsia"/>
          <w:b/>
          <w:kern w:val="0"/>
          <w:szCs w:val="32"/>
        </w:rPr>
        <w:t>非單以證人之指認為被告論罪之唯一依據時，不得僅因證人之指認程序與相關要領規範或其他學者個人之見解未盡相符，遽認其指認有瑕疵</w:t>
      </w:r>
      <w:r w:rsidR="00DC0357">
        <w:rPr>
          <w:rFonts w:hAnsi="標楷體" w:cs="新細明體" w:hint="eastAsia"/>
          <w:kern w:val="0"/>
          <w:szCs w:val="32"/>
        </w:rPr>
        <w:t>」</w:t>
      </w:r>
      <w:r w:rsidR="006C160E">
        <w:rPr>
          <w:rFonts w:hAnsi="標楷體" w:hint="eastAsia"/>
          <w:b/>
        </w:rPr>
        <w:t>列為</w:t>
      </w:r>
      <w:r w:rsidR="00DC0357">
        <w:rPr>
          <w:rFonts w:hAnsi="標楷體" w:hint="eastAsia"/>
          <w:b/>
        </w:rPr>
        <w:t>駁回上訴</w:t>
      </w:r>
      <w:r w:rsidR="006C160E">
        <w:rPr>
          <w:rFonts w:hAnsi="標楷體" w:hint="eastAsia"/>
          <w:b/>
        </w:rPr>
        <w:t>理由之一，</w:t>
      </w:r>
      <w:r w:rsidR="00DC0357">
        <w:rPr>
          <w:rFonts w:hAnsi="標楷體" w:hint="eastAsia"/>
          <w:b/>
        </w:rPr>
        <w:t>嗣經</w:t>
      </w:r>
      <w:r w:rsidR="00EF7CEE">
        <w:rPr>
          <w:rFonts w:hint="eastAsia"/>
          <w:b/>
        </w:rPr>
        <w:t>最高法院98年度台上字第104號判決</w:t>
      </w:r>
      <w:r w:rsidR="00DC0357">
        <w:rPr>
          <w:rFonts w:hint="eastAsia"/>
          <w:b/>
        </w:rPr>
        <w:t>駁回上訴</w:t>
      </w:r>
      <w:r w:rsidR="00DC0357">
        <w:rPr>
          <w:rFonts w:hAnsi="標楷體" w:hint="eastAsia"/>
          <w:b/>
        </w:rPr>
        <w:t>，至此強盜案三審定讞</w:t>
      </w:r>
      <w:r w:rsidR="002D3BBE">
        <w:rPr>
          <w:rFonts w:hAnsi="標楷體" w:hint="eastAsia"/>
          <w:b/>
        </w:rPr>
        <w:t>。</w:t>
      </w:r>
      <w:r w:rsidR="0079306A">
        <w:rPr>
          <w:rFonts w:hint="eastAsia"/>
          <w:b/>
        </w:rPr>
        <w:t>第二分局之指認程序雖有調查意見一所列不符指認要領之情事</w:t>
      </w:r>
      <w:r w:rsidR="0079306A" w:rsidRPr="002C3413">
        <w:rPr>
          <w:rFonts w:hint="eastAsia"/>
          <w:b/>
        </w:rPr>
        <w:t>，</w:t>
      </w:r>
      <w:r w:rsidR="0079306A">
        <w:rPr>
          <w:rFonts w:hint="eastAsia"/>
          <w:b/>
        </w:rPr>
        <w:t>惟是否足以影響後續審判結果之合法性</w:t>
      </w:r>
      <w:r w:rsidR="0079306A" w:rsidRPr="002C3413">
        <w:rPr>
          <w:rFonts w:hint="eastAsia"/>
          <w:b/>
        </w:rPr>
        <w:t>，</w:t>
      </w:r>
      <w:r w:rsidR="0079306A">
        <w:rPr>
          <w:rFonts w:hint="eastAsia"/>
          <w:b/>
        </w:rPr>
        <w:t>在臺南高分院與最高法院發回更審間來回拉扯</w:t>
      </w:r>
      <w:r w:rsidR="0079306A">
        <w:rPr>
          <w:rFonts w:hAnsi="標楷體" w:hint="eastAsia"/>
          <w:b/>
        </w:rPr>
        <w:t>。</w:t>
      </w:r>
      <w:r w:rsidR="002D3BBE">
        <w:rPr>
          <w:rFonts w:hAnsi="標楷體" w:hint="eastAsia"/>
          <w:b/>
        </w:rPr>
        <w:t>究竟</w:t>
      </w:r>
      <w:r w:rsidR="002D3BBE" w:rsidRPr="00DC0357">
        <w:rPr>
          <w:rFonts w:hAnsi="標楷體" w:cs="新細明體" w:hint="eastAsia"/>
          <w:b/>
          <w:kern w:val="0"/>
          <w:szCs w:val="32"/>
        </w:rPr>
        <w:t>證人之指認程序與相關要領規範</w:t>
      </w:r>
      <w:r w:rsidR="002D3BBE">
        <w:rPr>
          <w:rFonts w:hAnsi="標楷體" w:cs="新細明體" w:hint="eastAsia"/>
          <w:b/>
          <w:kern w:val="0"/>
          <w:szCs w:val="32"/>
        </w:rPr>
        <w:t>違背時是否即影響判決效力</w:t>
      </w:r>
      <w:r w:rsidR="004B4194">
        <w:rPr>
          <w:rFonts w:hAnsi="標楷體" w:hint="eastAsia"/>
          <w:b/>
        </w:rPr>
        <w:t>，</w:t>
      </w:r>
      <w:r w:rsidR="002D3BBE">
        <w:rPr>
          <w:rFonts w:hAnsi="標楷體" w:hint="eastAsia"/>
          <w:b/>
        </w:rPr>
        <w:t>最高法院判決間常有不同論述</w:t>
      </w:r>
      <w:r w:rsidR="00BE1FB3" w:rsidRPr="00BE1FB3">
        <w:rPr>
          <w:rFonts w:hAnsi="標楷體" w:cs="TT23o00" w:hint="eastAsia"/>
          <w:b/>
          <w:kern w:val="0"/>
          <w:szCs w:val="32"/>
        </w:rPr>
        <w:t>，</w:t>
      </w:r>
      <w:r w:rsidR="002D3BBE">
        <w:rPr>
          <w:rFonts w:hAnsi="標楷體" w:cs="TT23o00" w:hint="eastAsia"/>
          <w:b/>
          <w:kern w:val="0"/>
          <w:szCs w:val="32"/>
        </w:rPr>
        <w:t>宜由最高法院</w:t>
      </w:r>
      <w:r w:rsidR="00392563">
        <w:rPr>
          <w:rFonts w:hAnsi="標楷體" w:cs="TT23o00" w:hint="eastAsia"/>
          <w:b/>
          <w:kern w:val="0"/>
          <w:szCs w:val="32"/>
        </w:rPr>
        <w:t>召開大法庭</w:t>
      </w:r>
      <w:r w:rsidR="002D3BBE">
        <w:rPr>
          <w:rFonts w:hAnsi="標楷體" w:cs="TT23o00" w:hint="eastAsia"/>
          <w:b/>
          <w:kern w:val="0"/>
          <w:szCs w:val="32"/>
        </w:rPr>
        <w:t>統一</w:t>
      </w:r>
      <w:r w:rsidR="0084544B">
        <w:rPr>
          <w:rFonts w:hAnsi="標楷體" w:cs="TT23o00" w:hint="eastAsia"/>
          <w:b/>
          <w:kern w:val="0"/>
          <w:szCs w:val="32"/>
        </w:rPr>
        <w:t>法律</w:t>
      </w:r>
      <w:r w:rsidR="002D3BBE">
        <w:rPr>
          <w:rFonts w:hAnsi="標楷體" w:cs="TT23o00" w:hint="eastAsia"/>
          <w:b/>
          <w:kern w:val="0"/>
          <w:szCs w:val="32"/>
        </w:rPr>
        <w:t>見解</w:t>
      </w:r>
      <w:r w:rsidR="00BE1FB3" w:rsidRPr="00BE1FB3">
        <w:rPr>
          <w:rFonts w:ascii="新細明體" w:eastAsia="新細明體" w:hAnsi="新細明體" w:cs="HiddenHorzOCR" w:hint="eastAsia"/>
          <w:b/>
          <w:kern w:val="0"/>
          <w:szCs w:val="32"/>
        </w:rPr>
        <w:t>。</w:t>
      </w:r>
      <w:r w:rsidR="00392563" w:rsidRPr="002C048B">
        <w:rPr>
          <w:rFonts w:hAnsi="標楷體" w:hint="eastAsia"/>
          <w:b/>
        </w:rPr>
        <w:t>另</w:t>
      </w:r>
      <w:r w:rsidR="002C048B" w:rsidRPr="002C048B">
        <w:rPr>
          <w:rFonts w:hAnsi="標楷體" w:hint="eastAsia"/>
          <w:b/>
        </w:rPr>
        <w:t>2案被害人之指認錄影於審理中皆未被調查，為刑事訴訟法第379條第10款所規定判決當然違背法令之情形，最高檢察署檢察總長宜依同法第441條規定向最高法院提起非常上訴。</w:t>
      </w:r>
    </w:p>
    <w:p w:rsidR="00BE1FB3" w:rsidRPr="00BE1FB3" w:rsidRDefault="002D3BBE" w:rsidP="00F04793">
      <w:pPr>
        <w:pStyle w:val="3"/>
      </w:pPr>
      <w:r>
        <w:rPr>
          <w:rFonts w:hint="eastAsia"/>
          <w:b/>
        </w:rPr>
        <w:t>臺南地院判決(95年度訴字第948號)及臺南高分院判決(96年度上訴字第391號)在程序事項皆認為</w:t>
      </w:r>
      <w:r>
        <w:rPr>
          <w:rFonts w:hAnsi="標楷體" w:hint="eastAsia"/>
          <w:b/>
        </w:rPr>
        <w:t>「</w:t>
      </w:r>
      <w:r w:rsidRPr="00B242E7">
        <w:rPr>
          <w:rFonts w:hint="eastAsia"/>
          <w:b/>
        </w:rPr>
        <w:t>起訴書既未以被害人警詢中之證述內容為證據方法，雖證人指認被告之過程確未依程序要領辦理，從而被害人3人之警詢筆錄原本即非本案認定事實之依據</w:t>
      </w:r>
      <w:r>
        <w:rPr>
          <w:rFonts w:hAnsi="標楷體" w:hint="eastAsia"/>
          <w:b/>
        </w:rPr>
        <w:t>」，嗣經最高法院判決(96年度台上字第3757號)駁回搶奪案上訴而定讞</w:t>
      </w:r>
      <w:r w:rsidR="0004447E">
        <w:rPr>
          <w:rFonts w:hAnsi="標楷體" w:hint="eastAsia"/>
          <w:b/>
        </w:rPr>
        <w:t>，</w:t>
      </w:r>
      <w:r w:rsidR="0004447E">
        <w:rPr>
          <w:rFonts w:hint="eastAsia"/>
          <w:b/>
        </w:rPr>
        <w:t>強盜案部分撤銷發回更審</w:t>
      </w:r>
      <w:r w:rsidR="00BE1FB3">
        <w:rPr>
          <w:rFonts w:hAnsi="標楷體" w:hint="eastAsia"/>
          <w:b/>
        </w:rPr>
        <w:t>：</w:t>
      </w:r>
    </w:p>
    <w:p w:rsidR="00BE1FB3" w:rsidRPr="0004447E" w:rsidRDefault="0004447E" w:rsidP="00407ECE">
      <w:pPr>
        <w:pStyle w:val="4"/>
      </w:pPr>
      <w:r w:rsidRPr="0004447E">
        <w:rPr>
          <w:rFonts w:hAnsi="標楷體" w:cs="新細明體" w:hint="eastAsia"/>
          <w:kern w:val="0"/>
          <w:szCs w:val="32"/>
        </w:rPr>
        <w:t>臺南地院96年2月9日95年度訴字第948號判決</w:t>
      </w:r>
      <w:r w:rsidRPr="0004447E">
        <w:rPr>
          <w:rFonts w:hAnsi="標楷體" w:hint="eastAsia"/>
        </w:rPr>
        <w:t>：</w:t>
      </w:r>
    </w:p>
    <w:p w:rsidR="005812B3" w:rsidRPr="005812B3" w:rsidRDefault="0004447E" w:rsidP="006344C0">
      <w:pPr>
        <w:pStyle w:val="5"/>
      </w:pPr>
      <w:r>
        <w:rPr>
          <w:rFonts w:hint="eastAsia"/>
        </w:rPr>
        <w:t>主文</w:t>
      </w:r>
      <w:r w:rsidRPr="00CC7671">
        <w:t>：</w:t>
      </w:r>
      <w:r>
        <w:rPr>
          <w:rFonts w:hint="eastAsia"/>
        </w:rPr>
        <w:t>陳訴人</w:t>
      </w:r>
      <w:r w:rsidRPr="00375020">
        <w:rPr>
          <w:rFonts w:hint="eastAsia"/>
        </w:rPr>
        <w:t>犯攜帶兇器強盜罪，累犯，處有期徒刑</w:t>
      </w:r>
      <w:r>
        <w:rPr>
          <w:rFonts w:hint="eastAsia"/>
        </w:rPr>
        <w:t>10</w:t>
      </w:r>
      <w:r w:rsidRPr="00375020">
        <w:rPr>
          <w:rFonts w:hint="eastAsia"/>
        </w:rPr>
        <w:t>年；又犯搶奪罪，累犯，處有期徒刑</w:t>
      </w:r>
      <w:r>
        <w:rPr>
          <w:rFonts w:hint="eastAsia"/>
        </w:rPr>
        <w:t>1</w:t>
      </w:r>
      <w:r w:rsidRPr="00375020">
        <w:rPr>
          <w:rFonts w:hint="eastAsia"/>
        </w:rPr>
        <w:t>年</w:t>
      </w:r>
      <w:r>
        <w:rPr>
          <w:rFonts w:hint="eastAsia"/>
        </w:rPr>
        <w:t>6</w:t>
      </w:r>
      <w:r w:rsidRPr="00375020">
        <w:rPr>
          <w:rFonts w:hint="eastAsia"/>
        </w:rPr>
        <w:t>月。應執行有期徒刑</w:t>
      </w:r>
      <w:r>
        <w:rPr>
          <w:rFonts w:hint="eastAsia"/>
        </w:rPr>
        <w:t>11</w:t>
      </w:r>
      <w:r w:rsidRPr="00375020">
        <w:rPr>
          <w:rFonts w:hint="eastAsia"/>
        </w:rPr>
        <w:t>年</w:t>
      </w:r>
      <w:r>
        <w:rPr>
          <w:rFonts w:hint="eastAsia"/>
        </w:rPr>
        <w:t>4</w:t>
      </w:r>
      <w:r w:rsidRPr="00375020">
        <w:rPr>
          <w:rFonts w:hint="eastAsia"/>
        </w:rPr>
        <w:t>月。</w:t>
      </w:r>
    </w:p>
    <w:p w:rsidR="005812B3" w:rsidRPr="005812B3" w:rsidRDefault="0004447E" w:rsidP="006344C0">
      <w:pPr>
        <w:pStyle w:val="5"/>
      </w:pPr>
      <w:r>
        <w:rPr>
          <w:rFonts w:hint="eastAsia"/>
        </w:rPr>
        <w:lastRenderedPageBreak/>
        <w:t>理由有關程序事項：陳訴人之</w:t>
      </w:r>
      <w:r w:rsidRPr="00375020">
        <w:rPr>
          <w:rFonts w:hint="eastAsia"/>
        </w:rPr>
        <w:t>辯護人雖另</w:t>
      </w:r>
      <w:r w:rsidRPr="0004447E">
        <w:rPr>
          <w:rFonts w:hint="eastAsia"/>
        </w:rPr>
        <w:t>以證人王女、莊姓姊妹於警詢指認被告之程序業已違反內政部警政署所頒「警察機關實施指認犯罪嫌疑人程序要領」，而認被害人之指訴有受誤導之虞，惟起訴書既未以被害人警詢中之證述內容為本案之證據方法，雖警察機關令證人王女、莊姓姊妹指認被告之過程確未依內政部警政署所頒「警察機關實施指認犯罪嫌疑人程序要領」辦理，從而，被害人王女、莊姓姊妹3人之警詢筆錄原本即非本案認定事實之依據</w:t>
      </w:r>
      <w:r w:rsidR="005812B3">
        <w:rPr>
          <w:rFonts w:hint="eastAsia"/>
        </w:rPr>
        <w:t>。</w:t>
      </w:r>
    </w:p>
    <w:p w:rsidR="005812B3" w:rsidRPr="005812B3" w:rsidRDefault="0004447E" w:rsidP="006344C0">
      <w:pPr>
        <w:pStyle w:val="5"/>
      </w:pPr>
      <w:r>
        <w:rPr>
          <w:rFonts w:hint="eastAsia"/>
        </w:rPr>
        <w:t>理由有關實體事項：</w:t>
      </w:r>
    </w:p>
    <w:p w:rsidR="009C748B" w:rsidRPr="008C1D0F" w:rsidRDefault="009C748B" w:rsidP="009C748B">
      <w:pPr>
        <w:pStyle w:val="6"/>
      </w:pPr>
      <w:r>
        <w:rPr>
          <w:rFonts w:hint="eastAsia"/>
        </w:rPr>
        <w:t>強盜罪部分：</w:t>
      </w:r>
      <w:r w:rsidRPr="00375020">
        <w:rPr>
          <w:rFonts w:hint="eastAsia"/>
        </w:rPr>
        <w:t>證人</w:t>
      </w:r>
      <w:r>
        <w:rPr>
          <w:rFonts w:hint="eastAsia"/>
        </w:rPr>
        <w:t>王女</w:t>
      </w:r>
      <w:r w:rsidRPr="00375020">
        <w:rPr>
          <w:rFonts w:hint="eastAsia"/>
        </w:rPr>
        <w:t>分別於檢察官偵查時及</w:t>
      </w:r>
      <w:r>
        <w:rPr>
          <w:rFonts w:hint="eastAsia"/>
        </w:rPr>
        <w:t>該</w:t>
      </w:r>
      <w:r w:rsidRPr="00375020">
        <w:rPr>
          <w:rFonts w:hint="eastAsia"/>
        </w:rPr>
        <w:t>院審理結稱</w:t>
      </w:r>
      <w:r>
        <w:rPr>
          <w:rFonts w:hint="eastAsia"/>
        </w:rPr>
        <w:t>，</w:t>
      </w:r>
      <w:r w:rsidRPr="00375020">
        <w:rPr>
          <w:rFonts w:hint="eastAsia"/>
        </w:rPr>
        <w:t>案發時其騎機車回到租屋處，停好車尚未開門進入，被告即持一把具藍色柄小刀架在其脖子，隨以台語要其交出身上財物，其拿出900元予被告，被告拿錢就走了，當天被告駕駛VINO黑色機車、頭戴半罩式安全帽、面戴口罩，記得被告眼神、聲音及體型等語，並當庭指認被告就是當天持刀強盜之人等語。次查，經警調閱距95年1月17日凌晨0時59分許</w:t>
      </w:r>
      <w:r>
        <w:rPr>
          <w:rFonts w:hint="eastAsia"/>
        </w:rPr>
        <w:t>王女</w:t>
      </w:r>
      <w:r w:rsidRPr="00375020">
        <w:rPr>
          <w:rFonts w:hint="eastAsia"/>
        </w:rPr>
        <w:t>租屋處附近，郡緯街監視器畫面中確有一輛黑色輕型機車停放於該處，亦有監視器翻拍照片1紙可稽。再者，經警持</w:t>
      </w:r>
      <w:r>
        <w:rPr>
          <w:rFonts w:hint="eastAsia"/>
        </w:rPr>
        <w:t>該</w:t>
      </w:r>
      <w:r w:rsidRPr="00375020">
        <w:rPr>
          <w:rFonts w:hint="eastAsia"/>
        </w:rPr>
        <w:t>院法官核發之搜索票扣得被告所有之黑色高領風衣夾克、米黃色長褲各一件，有扣案物品清單一紙在卷可資佐證，均與證人</w:t>
      </w:r>
      <w:r>
        <w:rPr>
          <w:rFonts w:hint="eastAsia"/>
        </w:rPr>
        <w:t>王女</w:t>
      </w:r>
      <w:r w:rsidRPr="00375020">
        <w:rPr>
          <w:rFonts w:hint="eastAsia"/>
        </w:rPr>
        <w:t>指訴之特徵相符。</w:t>
      </w:r>
      <w:r>
        <w:rPr>
          <w:rFonts w:hint="eastAsia"/>
        </w:rPr>
        <w:t>該</w:t>
      </w:r>
      <w:r w:rsidRPr="00375020">
        <w:rPr>
          <w:rFonts w:hint="eastAsia"/>
        </w:rPr>
        <w:t>院審酌證人</w:t>
      </w:r>
      <w:r>
        <w:rPr>
          <w:rFonts w:hint="eastAsia"/>
        </w:rPr>
        <w:t>王女</w:t>
      </w:r>
      <w:r w:rsidRPr="00375020">
        <w:rPr>
          <w:rFonts w:hint="eastAsia"/>
        </w:rPr>
        <w:t>當庭指認被告，並指出被告強盜當日所著衣物與警察扣得衣物特徵相符，足認證人</w:t>
      </w:r>
      <w:r>
        <w:rPr>
          <w:rFonts w:hint="eastAsia"/>
        </w:rPr>
        <w:lastRenderedPageBreak/>
        <w:t>王女</w:t>
      </w:r>
      <w:r w:rsidRPr="00375020">
        <w:rPr>
          <w:rFonts w:hint="eastAsia"/>
        </w:rPr>
        <w:t>之證述內容可資採信，從而，此部分之事實要可認定。</w:t>
      </w:r>
    </w:p>
    <w:p w:rsidR="009C748B" w:rsidRPr="002D28C2" w:rsidRDefault="009C748B" w:rsidP="009C748B">
      <w:pPr>
        <w:pStyle w:val="6"/>
      </w:pPr>
      <w:r>
        <w:rPr>
          <w:rFonts w:hint="eastAsia"/>
        </w:rPr>
        <w:t>搶奪罪部分：</w:t>
      </w:r>
      <w:r w:rsidRPr="00375020">
        <w:rPr>
          <w:rFonts w:hint="eastAsia"/>
        </w:rPr>
        <w:t>證人莊</w:t>
      </w:r>
      <w:r>
        <w:rPr>
          <w:rFonts w:hint="eastAsia"/>
        </w:rPr>
        <w:t>姓妹妹</w:t>
      </w:r>
      <w:r w:rsidRPr="00375020">
        <w:rPr>
          <w:rFonts w:hint="eastAsia"/>
        </w:rPr>
        <w:t>於檢察官偵查中及</w:t>
      </w:r>
      <w:r>
        <w:rPr>
          <w:rFonts w:hint="eastAsia"/>
        </w:rPr>
        <w:t>該</w:t>
      </w:r>
      <w:r w:rsidRPr="00375020">
        <w:rPr>
          <w:rFonts w:hint="eastAsia"/>
        </w:rPr>
        <w:t>院審理時證稱</w:t>
      </w:r>
      <w:r w:rsidR="00D90A2E">
        <w:rPr>
          <w:rFonts w:hAnsi="標楷體" w:hint="eastAsia"/>
        </w:rPr>
        <w:t>，</w:t>
      </w:r>
      <w:r w:rsidRPr="00375020">
        <w:rPr>
          <w:rFonts w:hint="eastAsia"/>
        </w:rPr>
        <w:t>當時被告在店外觀察很久，等到其母親</w:t>
      </w:r>
      <w:r>
        <w:rPr>
          <w:rFonts w:hint="eastAsia"/>
        </w:rPr>
        <w:t>(徐女)</w:t>
      </w:r>
      <w:r w:rsidRPr="00375020">
        <w:rPr>
          <w:rFonts w:hint="eastAsia"/>
        </w:rPr>
        <w:t>離開座位，被告就進來搶皮包並打了其手一下，就搶走皮包，可以確認就是當庭被告本人，當時被告頭戴安全帽、戴口罩，穿著米黃色長褲及黑色外衣，因為被告頭部與搶皮包的人頭部一樣，所以可以確認等語；證人莊</w:t>
      </w:r>
      <w:r>
        <w:rPr>
          <w:rFonts w:hint="eastAsia"/>
        </w:rPr>
        <w:t>姓姊姊</w:t>
      </w:r>
      <w:r w:rsidRPr="00375020">
        <w:rPr>
          <w:rFonts w:hint="eastAsia"/>
        </w:rPr>
        <w:t>則證稱：他</w:t>
      </w:r>
      <w:r>
        <w:rPr>
          <w:rFonts w:hint="eastAsia"/>
        </w:rPr>
        <w:t>(</w:t>
      </w:r>
      <w:r w:rsidRPr="00375020">
        <w:rPr>
          <w:rFonts w:hint="eastAsia"/>
        </w:rPr>
        <w:t>指搶奪皮包之人</w:t>
      </w:r>
      <w:r>
        <w:rPr>
          <w:rFonts w:hint="eastAsia"/>
        </w:rPr>
        <w:t>)</w:t>
      </w:r>
      <w:r w:rsidRPr="00375020">
        <w:rPr>
          <w:rFonts w:hint="eastAsia"/>
        </w:rPr>
        <w:t>的頭髮白白的，有看到他的眼睛，當時其與妹妹一起拿母親的皮包，他在店外已經觀察很久，等到母親離開座位時，他就進來搶皮包，並打了</w:t>
      </w:r>
      <w:r>
        <w:rPr>
          <w:rFonts w:hint="eastAsia"/>
        </w:rPr>
        <w:t>妹妹</w:t>
      </w:r>
      <w:r w:rsidRPr="00375020">
        <w:rPr>
          <w:rFonts w:hint="eastAsia"/>
        </w:rPr>
        <w:t>手一下，就搶走皮包等語。此外，復有經警持</w:t>
      </w:r>
      <w:r>
        <w:rPr>
          <w:rFonts w:hint="eastAsia"/>
        </w:rPr>
        <w:t>該</w:t>
      </w:r>
      <w:r w:rsidRPr="00375020">
        <w:rPr>
          <w:rFonts w:hint="eastAsia"/>
        </w:rPr>
        <w:t>院法官核發之搜索票所扣得被告所有之黑色高領風衣夾克、米黃色長褲各一件，有扣案物品清單一紙在卷可資佐證，亦與證人莊</w:t>
      </w:r>
      <w:r>
        <w:rPr>
          <w:rFonts w:hint="eastAsia"/>
        </w:rPr>
        <w:t>姓姊妹</w:t>
      </w:r>
      <w:r w:rsidRPr="00375020">
        <w:rPr>
          <w:rFonts w:hint="eastAsia"/>
        </w:rPr>
        <w:t>證述內容相符。證人莊</w:t>
      </w:r>
      <w:r>
        <w:rPr>
          <w:rFonts w:hint="eastAsia"/>
        </w:rPr>
        <w:t>姓姊妹2</w:t>
      </w:r>
      <w:r w:rsidRPr="00375020">
        <w:rPr>
          <w:rFonts w:hint="eastAsia"/>
        </w:rPr>
        <w:t>人雖均僅十歲許，但於</w:t>
      </w:r>
      <w:r>
        <w:rPr>
          <w:rFonts w:hint="eastAsia"/>
        </w:rPr>
        <w:t>該</w:t>
      </w:r>
      <w:r w:rsidRPr="00375020">
        <w:rPr>
          <w:rFonts w:hint="eastAsia"/>
        </w:rPr>
        <w:t>院接受交互詰問時，態度從容鎮靜，語調清晰，陳述流暢，指證明確，毫無畏懼之色，顯然已有相當程度之識別能力，況渠</w:t>
      </w:r>
      <w:r>
        <w:rPr>
          <w:rFonts w:hint="eastAsia"/>
        </w:rPr>
        <w:t>2</w:t>
      </w:r>
      <w:r w:rsidRPr="00375020">
        <w:rPr>
          <w:rFonts w:hint="eastAsia"/>
        </w:rPr>
        <w:t>人證述內容互核相符，並均明確指出當日搶奪皮包之人所著衣物特徵，且核與扣案被告所有之衣物特徵相符，</w:t>
      </w:r>
      <w:r>
        <w:rPr>
          <w:rFonts w:hint="eastAsia"/>
        </w:rPr>
        <w:t>2</w:t>
      </w:r>
      <w:r w:rsidRPr="00375020">
        <w:rPr>
          <w:rFonts w:hint="eastAsia"/>
        </w:rPr>
        <w:t>人均當面與被告接觸，並無誤認之虞，堪認</w:t>
      </w:r>
      <w:r>
        <w:rPr>
          <w:rFonts w:hint="eastAsia"/>
        </w:rPr>
        <w:t>2</w:t>
      </w:r>
      <w:r w:rsidRPr="00375020">
        <w:rPr>
          <w:rFonts w:hint="eastAsia"/>
        </w:rPr>
        <w:t>人之證述內容確係出於真實，要可採為認定事實之基礎，並且均具有相當強度之證明力。從而，此部分之事實要可認定。</w:t>
      </w:r>
    </w:p>
    <w:p w:rsidR="009C748B" w:rsidRPr="002D28C2" w:rsidRDefault="009C748B" w:rsidP="009C748B">
      <w:pPr>
        <w:pStyle w:val="6"/>
      </w:pPr>
      <w:r w:rsidRPr="00375020">
        <w:rPr>
          <w:rFonts w:hint="eastAsia"/>
        </w:rPr>
        <w:t>被告及辯護意旨雖一再辯稱其並未持刀強</w:t>
      </w:r>
      <w:r w:rsidRPr="00375020">
        <w:rPr>
          <w:rFonts w:hint="eastAsia"/>
        </w:rPr>
        <w:lastRenderedPageBreak/>
        <w:t>盜及搶奪，證人</w:t>
      </w:r>
      <w:r>
        <w:rPr>
          <w:rFonts w:hint="eastAsia"/>
        </w:rPr>
        <w:t>王女</w:t>
      </w:r>
      <w:r w:rsidRPr="00375020">
        <w:rPr>
          <w:rFonts w:hint="eastAsia"/>
        </w:rPr>
        <w:t>及莊</w:t>
      </w:r>
      <w:r>
        <w:rPr>
          <w:rFonts w:hint="eastAsia"/>
        </w:rPr>
        <w:t>姓姊妹</w:t>
      </w:r>
      <w:r w:rsidRPr="00375020">
        <w:rPr>
          <w:rFonts w:hint="eastAsia"/>
        </w:rPr>
        <w:t>應係誤認，當初警員對其有先入為主之觀念，證人恐受警員誤導云云。惟查：</w:t>
      </w:r>
    </w:p>
    <w:p w:rsidR="009C748B" w:rsidRPr="002D28C2" w:rsidRDefault="009C748B" w:rsidP="009C748B">
      <w:pPr>
        <w:pStyle w:val="7"/>
      </w:pPr>
      <w:r w:rsidRPr="00375020">
        <w:rPr>
          <w:rFonts w:hint="eastAsia"/>
        </w:rPr>
        <w:t>證人即查獲本案之第二分局</w:t>
      </w:r>
      <w:r>
        <w:rPr>
          <w:rFonts w:hint="eastAsia"/>
        </w:rPr>
        <w:t>朱</w:t>
      </w:r>
      <w:r w:rsidRPr="00375020">
        <w:rPr>
          <w:rFonts w:hint="eastAsia"/>
        </w:rPr>
        <w:t>偵查</w:t>
      </w:r>
      <w:r>
        <w:rPr>
          <w:rFonts w:hint="eastAsia"/>
        </w:rPr>
        <w:t>佐</w:t>
      </w:r>
      <w:r w:rsidRPr="00375020">
        <w:rPr>
          <w:rFonts w:hint="eastAsia"/>
        </w:rPr>
        <w:t>於</w:t>
      </w:r>
      <w:r>
        <w:rPr>
          <w:rFonts w:hint="eastAsia"/>
        </w:rPr>
        <w:t>該</w:t>
      </w:r>
      <w:r w:rsidRPr="00375020">
        <w:rPr>
          <w:rFonts w:hint="eastAsia"/>
        </w:rPr>
        <w:t>院審理時證稱：其自94年9月18日起即擔任第二分局偵查</w:t>
      </w:r>
      <w:r>
        <w:rPr>
          <w:rFonts w:hint="eastAsia"/>
        </w:rPr>
        <w:t>佐</w:t>
      </w:r>
      <w:r w:rsidRPr="00375020">
        <w:rPr>
          <w:rFonts w:hint="eastAsia"/>
        </w:rPr>
        <w:t>，平常會依照盤查過程，自行就犯罪嫌疑人所駕駛機車之款式、廠牌建檔，</w:t>
      </w:r>
      <w:r>
        <w:rPr>
          <w:rFonts w:hint="eastAsia"/>
        </w:rPr>
        <w:t>2</w:t>
      </w:r>
      <w:r w:rsidRPr="00375020">
        <w:rPr>
          <w:rFonts w:hint="eastAsia"/>
        </w:rPr>
        <w:t>案</w:t>
      </w:r>
      <w:r>
        <w:rPr>
          <w:rFonts w:hint="eastAsia"/>
        </w:rPr>
        <w:t>(</w:t>
      </w:r>
      <w:r w:rsidRPr="00375020">
        <w:rPr>
          <w:rFonts w:hint="eastAsia"/>
        </w:rPr>
        <w:t>指本案強盜及搶奪</w:t>
      </w:r>
      <w:r>
        <w:rPr>
          <w:rFonts w:hint="eastAsia"/>
        </w:rPr>
        <w:t>)</w:t>
      </w:r>
      <w:r w:rsidRPr="00375020">
        <w:rPr>
          <w:rFonts w:hint="eastAsia"/>
        </w:rPr>
        <w:t>均發生在其刑事責任區，其受理報案後，即調閱95年1月27日凌晨0時30分於臺南市</w:t>
      </w:r>
      <w:r>
        <w:rPr>
          <w:rFonts w:hint="eastAsia"/>
        </w:rPr>
        <w:t>郡緯</w:t>
      </w:r>
      <w:r w:rsidRPr="00375020">
        <w:rPr>
          <w:rFonts w:hint="eastAsia"/>
        </w:rPr>
        <w:t>街監視器錄影帶，檢視後發現監視器畫面犯罪嫌疑人所駕駛之機車廠牌、款式，騎乘機車之模樣，均與其於95年1月3日查獲被告涉嫌竊盜時所駕駛之姿態、機車廠牌、款式相同，而認定被告有可能涉嫌，因此決定借訊被告等語，並提出95年1月3日查獲被告另涉竊盜案件之照片一紙，及第二分局95年1月3日南市警二刑偵字第0954200214號刑事案件報告書影本一紙在卷可稽，足認證人即</w:t>
      </w:r>
      <w:r>
        <w:rPr>
          <w:rFonts w:hint="eastAsia"/>
        </w:rPr>
        <w:t>朱</w:t>
      </w:r>
      <w:r w:rsidRPr="00375020">
        <w:rPr>
          <w:rFonts w:hint="eastAsia"/>
        </w:rPr>
        <w:t>偵查</w:t>
      </w:r>
      <w:r>
        <w:rPr>
          <w:rFonts w:hint="eastAsia"/>
        </w:rPr>
        <w:t>佐</w:t>
      </w:r>
      <w:r w:rsidRPr="00375020">
        <w:rPr>
          <w:rFonts w:hint="eastAsia"/>
        </w:rPr>
        <w:t>以其長期注意刑事責任區之治安情況，職務上將盤查之紀錄建檔，調閱犯罪地點監視器錄影帶，發現犯罪嫌疑人所使用之機車特徵與其日前查獲被告另犯竊盜罪時所使用機車特徵諸多相符，始針對被告展開調查，進而查獲本案，應可認定。</w:t>
      </w:r>
    </w:p>
    <w:p w:rsidR="009C748B" w:rsidRPr="0082703C" w:rsidRDefault="009C748B" w:rsidP="009C748B">
      <w:pPr>
        <w:pStyle w:val="7"/>
      </w:pPr>
      <w:r w:rsidRPr="00375020">
        <w:rPr>
          <w:rFonts w:hint="eastAsia"/>
        </w:rPr>
        <w:t>次查，本案均因犯罪嫌疑人頭戴半罩式安全帽，並戴口罩，致證人均無法完整視得被告面貌，惟證人</w:t>
      </w:r>
      <w:r>
        <w:rPr>
          <w:rFonts w:hint="eastAsia"/>
        </w:rPr>
        <w:t>王女</w:t>
      </w:r>
      <w:r w:rsidRPr="00375020">
        <w:rPr>
          <w:rFonts w:hint="eastAsia"/>
        </w:rPr>
        <w:t>就被告強盜當日所著衣物，駕駛之機車款式、廠牌，騎車姿</w:t>
      </w:r>
      <w:r w:rsidRPr="00375020">
        <w:rPr>
          <w:rFonts w:hint="eastAsia"/>
        </w:rPr>
        <w:lastRenderedPageBreak/>
        <w:t>勢、談吐語氣等特徵，及證人</w:t>
      </w:r>
      <w:r w:rsidRPr="008D45F5">
        <w:rPr>
          <w:rFonts w:hint="eastAsia"/>
        </w:rPr>
        <w:t>莊</w:t>
      </w:r>
      <w:r>
        <w:rPr>
          <w:rFonts w:hint="eastAsia"/>
        </w:rPr>
        <w:t>姓姊妹</w:t>
      </w:r>
      <w:r w:rsidRPr="00375020">
        <w:rPr>
          <w:rFonts w:hint="eastAsia"/>
        </w:rPr>
        <w:t>則就被告當日衣著、眼神、頭部形狀等特徵，證稱綦詳，且均與被告實際駕駛機車特徵、衣著特徵相符，更均當庭指認行搶之人是被告無誤。從而，</w:t>
      </w:r>
      <w:r>
        <w:rPr>
          <w:rFonts w:hint="eastAsia"/>
        </w:rPr>
        <w:t>該</w:t>
      </w:r>
      <w:r w:rsidRPr="00375020">
        <w:rPr>
          <w:rFonts w:hint="eastAsia"/>
        </w:rPr>
        <w:t>院認為證人</w:t>
      </w:r>
      <w:r>
        <w:rPr>
          <w:rFonts w:hint="eastAsia"/>
        </w:rPr>
        <w:t>3</w:t>
      </w:r>
      <w:r w:rsidRPr="00375020">
        <w:rPr>
          <w:rFonts w:hint="eastAsia"/>
        </w:rPr>
        <w:t>人並無誤認被告，要可認定。</w:t>
      </w:r>
    </w:p>
    <w:p w:rsidR="005812B3" w:rsidRPr="009C748B" w:rsidRDefault="009C748B" w:rsidP="009C748B">
      <w:pPr>
        <w:pStyle w:val="4"/>
      </w:pPr>
      <w:r w:rsidRPr="009C748B">
        <w:rPr>
          <w:rFonts w:hAnsi="標楷體" w:cs="新細明體" w:hint="eastAsia"/>
          <w:kern w:val="0"/>
          <w:szCs w:val="32"/>
        </w:rPr>
        <w:t>臺南高分院96年5月17日96年度上訴字第391號判決：</w:t>
      </w:r>
    </w:p>
    <w:p w:rsidR="001F4CA0" w:rsidRDefault="009C748B" w:rsidP="006344C0">
      <w:pPr>
        <w:pStyle w:val="5"/>
      </w:pPr>
      <w:r>
        <w:rPr>
          <w:rFonts w:hint="eastAsia"/>
        </w:rPr>
        <w:t>主文：</w:t>
      </w:r>
      <w:r w:rsidRPr="00575B69">
        <w:rPr>
          <w:rFonts w:hint="eastAsia"/>
        </w:rPr>
        <w:t>原判決撤銷。</w:t>
      </w:r>
      <w:r>
        <w:rPr>
          <w:rFonts w:hint="eastAsia"/>
        </w:rPr>
        <w:t>陳訴人</w:t>
      </w:r>
      <w:r w:rsidRPr="00575B69">
        <w:rPr>
          <w:rFonts w:hint="eastAsia"/>
        </w:rPr>
        <w:t>犯強盜罪，累犯，處有期徒刑</w:t>
      </w:r>
      <w:r>
        <w:rPr>
          <w:rFonts w:hint="eastAsia"/>
        </w:rPr>
        <w:t>6</w:t>
      </w:r>
      <w:r w:rsidRPr="00575B69">
        <w:rPr>
          <w:rFonts w:hint="eastAsia"/>
        </w:rPr>
        <w:t>年；又成年人故意對兒童犯搶奪罪，累犯，處有期徒刑</w:t>
      </w:r>
      <w:r>
        <w:rPr>
          <w:rFonts w:hint="eastAsia"/>
        </w:rPr>
        <w:t>1</w:t>
      </w:r>
      <w:r w:rsidRPr="00575B69">
        <w:rPr>
          <w:rFonts w:hint="eastAsia"/>
        </w:rPr>
        <w:t>年</w:t>
      </w:r>
      <w:r>
        <w:rPr>
          <w:rFonts w:hint="eastAsia"/>
        </w:rPr>
        <w:t>6</w:t>
      </w:r>
      <w:r w:rsidRPr="00575B69">
        <w:rPr>
          <w:rFonts w:hint="eastAsia"/>
        </w:rPr>
        <w:t>月。應執行有期徒刑</w:t>
      </w:r>
      <w:r>
        <w:rPr>
          <w:rFonts w:hint="eastAsia"/>
        </w:rPr>
        <w:t>7</w:t>
      </w:r>
      <w:r w:rsidRPr="00575B69">
        <w:rPr>
          <w:rFonts w:hint="eastAsia"/>
        </w:rPr>
        <w:t>年</w:t>
      </w:r>
      <w:r>
        <w:rPr>
          <w:rFonts w:ascii="新細明體" w:eastAsia="新細明體" w:hAnsi="新細明體" w:hint="eastAsia"/>
        </w:rPr>
        <w:t>。</w:t>
      </w:r>
    </w:p>
    <w:p w:rsidR="001F4CA0" w:rsidRDefault="009C748B" w:rsidP="006344C0">
      <w:pPr>
        <w:pStyle w:val="5"/>
      </w:pPr>
      <w:r>
        <w:rPr>
          <w:rFonts w:hint="eastAsia"/>
        </w:rPr>
        <w:t>理由有關程序方面：</w:t>
      </w:r>
      <w:r w:rsidRPr="00BA766A">
        <w:rPr>
          <w:rFonts w:hint="eastAsia"/>
        </w:rPr>
        <w:t>論述同臺南地院上開判決</w:t>
      </w:r>
      <w:r>
        <w:rPr>
          <w:rFonts w:ascii="新細明體" w:eastAsia="新細明體" w:hAnsi="新細明體" w:hint="eastAsia"/>
        </w:rPr>
        <w:t>。</w:t>
      </w:r>
    </w:p>
    <w:p w:rsidR="00BA766A" w:rsidRPr="00BA766A" w:rsidRDefault="00BA766A" w:rsidP="006344C0">
      <w:pPr>
        <w:pStyle w:val="5"/>
      </w:pPr>
      <w:r>
        <w:rPr>
          <w:rFonts w:hint="eastAsia"/>
        </w:rPr>
        <w:t>理由有關實體方面：</w:t>
      </w:r>
    </w:p>
    <w:p w:rsidR="005812B3" w:rsidRDefault="00BA766A" w:rsidP="00BA766A">
      <w:pPr>
        <w:pStyle w:val="6"/>
      </w:pPr>
      <w:r>
        <w:rPr>
          <w:rFonts w:hint="eastAsia"/>
        </w:rPr>
        <w:t>唯一與臺南地院上開判決不同之處在於「</w:t>
      </w:r>
      <w:r w:rsidRPr="00575B69">
        <w:rPr>
          <w:rFonts w:hint="eastAsia"/>
        </w:rPr>
        <w:t>至證人</w:t>
      </w:r>
      <w:r>
        <w:rPr>
          <w:rFonts w:hint="eastAsia"/>
        </w:rPr>
        <w:t>王女</w:t>
      </w:r>
      <w:r w:rsidRPr="00575B69">
        <w:rPr>
          <w:rFonts w:hint="eastAsia"/>
        </w:rPr>
        <w:t>於偵審中所證被告曾拿一把藍色柄之小刀抵住伊頸部要求交出金錢等語。然按：證人於案發後當天中午至警局報案並未指證歹徒有持刀抵住頸部情事，且經警持搜索票至被告住處搜索，並未發現有</w:t>
      </w:r>
      <w:r>
        <w:rPr>
          <w:rFonts w:hint="eastAsia"/>
        </w:rPr>
        <w:t>該藍色柄之小刀，是此部分被告是否持刀乙情即值可疑，以當時為凌晨0</w:t>
      </w:r>
      <w:r w:rsidRPr="00575B69">
        <w:rPr>
          <w:rFonts w:hint="eastAsia"/>
        </w:rPr>
        <w:t>時</w:t>
      </w:r>
      <w:r>
        <w:rPr>
          <w:rFonts w:hint="eastAsia"/>
        </w:rPr>
        <w:t>30</w:t>
      </w:r>
      <w:r w:rsidRPr="00575B69">
        <w:rPr>
          <w:rFonts w:hint="eastAsia"/>
        </w:rPr>
        <w:t>分許，應屬深夜，光線自屬黑暗不良，而於被告持刀抵住頸部之情況下，一般女子在害怕恐懼中，僅能感到有物體抵住頸部，自無再詳看係何物之理，且據</w:t>
      </w:r>
      <w:r>
        <w:rPr>
          <w:rFonts w:hint="eastAsia"/>
        </w:rPr>
        <w:t>王女</w:t>
      </w:r>
      <w:r w:rsidRPr="00575B69">
        <w:rPr>
          <w:rFonts w:hint="eastAsia"/>
        </w:rPr>
        <w:t>稱係小刀，則更是難以縮頸朝下目視，此外，復查無任何關於該藍色柄小刀之相關事證，依罪疑惟輕原則，本件證人所述被告持藍色柄小刀部分自無法認定，應僅能認定被告係以不明器物架在</w:t>
      </w:r>
      <w:r>
        <w:rPr>
          <w:rFonts w:hint="eastAsia"/>
        </w:rPr>
        <w:t>王女</w:t>
      </w:r>
      <w:r w:rsidRPr="00575B69">
        <w:rPr>
          <w:rFonts w:hint="eastAsia"/>
        </w:rPr>
        <w:t>之頸部，尚</w:t>
      </w:r>
      <w:r w:rsidRPr="00575B69">
        <w:rPr>
          <w:rFonts w:hint="eastAsia"/>
        </w:rPr>
        <w:lastRenderedPageBreak/>
        <w:t>難認被告係</w:t>
      </w:r>
      <w:r>
        <w:rPr>
          <w:rFonts w:hint="eastAsia"/>
        </w:rPr>
        <w:t>『</w:t>
      </w:r>
      <w:r w:rsidRPr="00575B69">
        <w:rPr>
          <w:rFonts w:hint="eastAsia"/>
        </w:rPr>
        <w:t>持兇器</w:t>
      </w:r>
      <w:r>
        <w:rPr>
          <w:rFonts w:hint="eastAsia"/>
        </w:rPr>
        <w:t>』</w:t>
      </w:r>
      <w:r w:rsidRPr="00575B69">
        <w:rPr>
          <w:rFonts w:hint="eastAsia"/>
        </w:rPr>
        <w:t>強盜</w:t>
      </w:r>
      <w:r>
        <w:rPr>
          <w:rFonts w:hint="eastAsia"/>
        </w:rPr>
        <w:t>」</w:t>
      </w:r>
      <w:r w:rsidRPr="00575B69">
        <w:rPr>
          <w:rFonts w:hint="eastAsia"/>
        </w:rPr>
        <w:t>。</w:t>
      </w:r>
    </w:p>
    <w:p w:rsidR="00BA766A" w:rsidRPr="00BA766A" w:rsidRDefault="00BA766A" w:rsidP="00BA766A">
      <w:pPr>
        <w:pStyle w:val="6"/>
      </w:pPr>
      <w:r w:rsidRPr="00575B69">
        <w:rPr>
          <w:rFonts w:hAnsi="標楷體" w:cs="新細明體" w:hint="eastAsia"/>
          <w:kern w:val="0"/>
          <w:szCs w:val="32"/>
        </w:rPr>
        <w:t>原審因認被告罪行明確，依法論科，固非無見，然按</w:t>
      </w:r>
      <w:r>
        <w:rPr>
          <w:rFonts w:hAnsi="標楷體" w:cs="新細明體" w:hint="eastAsia"/>
          <w:kern w:val="0"/>
          <w:szCs w:val="32"/>
        </w:rPr>
        <w:sym w:font="Wingdings 2" w:char="F06A"/>
      </w:r>
      <w:r w:rsidRPr="00575B69">
        <w:rPr>
          <w:rFonts w:hAnsi="標楷體" w:cs="新細明體" w:hint="eastAsia"/>
          <w:kern w:val="0"/>
          <w:szCs w:val="32"/>
        </w:rPr>
        <w:t>強盜部分原審認被告所犯之強盜罪具有刑法第</w:t>
      </w:r>
      <w:r>
        <w:rPr>
          <w:rFonts w:hAnsi="標楷體" w:cs="新細明體" w:hint="eastAsia"/>
          <w:kern w:val="0"/>
          <w:szCs w:val="32"/>
        </w:rPr>
        <w:t>321</w:t>
      </w:r>
      <w:r w:rsidRPr="00575B69">
        <w:rPr>
          <w:rFonts w:hAnsi="標楷體" w:cs="新細明體" w:hint="eastAsia"/>
          <w:kern w:val="0"/>
          <w:szCs w:val="32"/>
        </w:rPr>
        <w:t>條第</w:t>
      </w:r>
      <w:r>
        <w:rPr>
          <w:rFonts w:hAnsi="標楷體" w:cs="新細明體" w:hint="eastAsia"/>
          <w:kern w:val="0"/>
          <w:szCs w:val="32"/>
        </w:rPr>
        <w:t>1</w:t>
      </w:r>
      <w:r w:rsidRPr="00575B69">
        <w:rPr>
          <w:rFonts w:hAnsi="標楷體" w:cs="新細明體" w:hint="eastAsia"/>
          <w:kern w:val="0"/>
          <w:szCs w:val="32"/>
        </w:rPr>
        <w:t>項第</w:t>
      </w:r>
      <w:r>
        <w:rPr>
          <w:rFonts w:hAnsi="標楷體" w:cs="新細明體" w:hint="eastAsia"/>
          <w:kern w:val="0"/>
          <w:szCs w:val="32"/>
        </w:rPr>
        <w:t>3</w:t>
      </w:r>
      <w:r w:rsidRPr="00575B69">
        <w:rPr>
          <w:rFonts w:hAnsi="標楷體" w:cs="新細明體" w:hint="eastAsia"/>
          <w:kern w:val="0"/>
          <w:szCs w:val="32"/>
        </w:rPr>
        <w:t>款之加重情形，而依刑法第</w:t>
      </w:r>
      <w:r>
        <w:rPr>
          <w:rFonts w:hAnsi="標楷體" w:cs="新細明體" w:hint="eastAsia"/>
          <w:kern w:val="0"/>
          <w:szCs w:val="32"/>
        </w:rPr>
        <w:t>330</w:t>
      </w:r>
      <w:r w:rsidRPr="00575B69">
        <w:rPr>
          <w:rFonts w:hAnsi="標楷體" w:cs="新細明體" w:hint="eastAsia"/>
          <w:kern w:val="0"/>
          <w:szCs w:val="32"/>
        </w:rPr>
        <w:t>條第</w:t>
      </w:r>
      <w:r>
        <w:rPr>
          <w:rFonts w:hAnsi="標楷體" w:cs="新細明體" w:hint="eastAsia"/>
          <w:kern w:val="0"/>
          <w:szCs w:val="32"/>
        </w:rPr>
        <w:t>1</w:t>
      </w:r>
      <w:r w:rsidRPr="00575B69">
        <w:rPr>
          <w:rFonts w:hAnsi="標楷體" w:cs="新細明體" w:hint="eastAsia"/>
          <w:kern w:val="0"/>
          <w:szCs w:val="32"/>
        </w:rPr>
        <w:t>項之加重強盜罪論處，尚有未妥，理由如前所述。</w:t>
      </w:r>
      <w:r>
        <w:rPr>
          <w:rFonts w:hAnsi="標楷體" w:cs="新細明體" w:hint="eastAsia"/>
          <w:kern w:val="0"/>
          <w:szCs w:val="32"/>
        </w:rPr>
        <w:sym w:font="Wingdings 2" w:char="F06B"/>
      </w:r>
      <w:r w:rsidRPr="00575B69">
        <w:rPr>
          <w:rFonts w:hAnsi="標楷體" w:cs="新細明體" w:hint="eastAsia"/>
          <w:kern w:val="0"/>
          <w:szCs w:val="32"/>
        </w:rPr>
        <w:t>兒童及少年福利法第</w:t>
      </w:r>
      <w:r>
        <w:rPr>
          <w:rFonts w:hAnsi="標楷體" w:cs="新細明體" w:hint="eastAsia"/>
          <w:kern w:val="0"/>
          <w:szCs w:val="32"/>
        </w:rPr>
        <w:t>70</w:t>
      </w:r>
      <w:r w:rsidRPr="00575B69">
        <w:rPr>
          <w:rFonts w:hAnsi="標楷體" w:cs="新細明體" w:hint="eastAsia"/>
          <w:kern w:val="0"/>
          <w:szCs w:val="32"/>
        </w:rPr>
        <w:t>條第</w:t>
      </w:r>
      <w:r>
        <w:rPr>
          <w:rFonts w:hAnsi="標楷體" w:cs="新細明體" w:hint="eastAsia"/>
          <w:kern w:val="0"/>
          <w:szCs w:val="32"/>
        </w:rPr>
        <w:t>1</w:t>
      </w:r>
      <w:r w:rsidRPr="00575B69">
        <w:rPr>
          <w:rFonts w:hAnsi="標楷體" w:cs="新細明體" w:hint="eastAsia"/>
          <w:kern w:val="0"/>
          <w:szCs w:val="32"/>
        </w:rPr>
        <w:t>項規定之加重，性質上得區分為刑法總則之加重</w:t>
      </w:r>
      <w:r>
        <w:rPr>
          <w:rFonts w:hAnsi="標楷體" w:cs="新細明體" w:hint="eastAsia"/>
          <w:kern w:val="0"/>
          <w:szCs w:val="32"/>
        </w:rPr>
        <w:t>(</w:t>
      </w:r>
      <w:r w:rsidRPr="00575B69">
        <w:rPr>
          <w:rFonts w:hAnsi="標楷體" w:cs="新細明體" w:hint="eastAsia"/>
          <w:kern w:val="0"/>
          <w:szCs w:val="32"/>
        </w:rPr>
        <w:t>例如成年人利用兒童及少年犯罪之類型</w:t>
      </w:r>
      <w:r>
        <w:rPr>
          <w:rFonts w:hAnsi="標楷體" w:cs="新細明體" w:hint="eastAsia"/>
          <w:kern w:val="0"/>
          <w:szCs w:val="32"/>
        </w:rPr>
        <w:t>)</w:t>
      </w:r>
      <w:r w:rsidRPr="00575B69">
        <w:rPr>
          <w:rFonts w:hAnsi="標楷體" w:cs="新細明體" w:hint="eastAsia"/>
          <w:kern w:val="0"/>
          <w:szCs w:val="32"/>
        </w:rPr>
        <w:t>與刑法分則之加重</w:t>
      </w:r>
      <w:r>
        <w:rPr>
          <w:rFonts w:hAnsi="標楷體" w:cs="新細明體" w:hint="eastAsia"/>
          <w:kern w:val="0"/>
          <w:szCs w:val="32"/>
        </w:rPr>
        <w:t>(</w:t>
      </w:r>
      <w:r w:rsidRPr="00575B69">
        <w:rPr>
          <w:rFonts w:hAnsi="標楷體" w:cs="新細明體" w:hint="eastAsia"/>
          <w:kern w:val="0"/>
          <w:szCs w:val="32"/>
        </w:rPr>
        <w:t>例如故意對兒童或少年犯罪之類型</w:t>
      </w:r>
      <w:r>
        <w:rPr>
          <w:rFonts w:hAnsi="標楷體" w:cs="新細明體" w:hint="eastAsia"/>
          <w:kern w:val="0"/>
          <w:szCs w:val="32"/>
        </w:rPr>
        <w:t>)</w:t>
      </w:r>
      <w:r w:rsidRPr="00575B69">
        <w:rPr>
          <w:rFonts w:hAnsi="標楷體" w:cs="新細明體" w:hint="eastAsia"/>
          <w:kern w:val="0"/>
          <w:szCs w:val="32"/>
        </w:rPr>
        <w:t>。而刑法分則之加重，係就犯罪類型變更之個別犯罪行為予以加重，成為另一獨立之罪名。既為另一獨立罪名，則主文欄應論以成年人對兒童犯搶奪罪，原判決主文未予論及，亦有未洽。被告上訴否認犯罪，雖無理由，但原</w:t>
      </w:r>
      <w:r>
        <w:rPr>
          <w:rFonts w:hAnsi="標楷體" w:cs="新細明體" w:hint="eastAsia"/>
          <w:kern w:val="0"/>
          <w:szCs w:val="32"/>
        </w:rPr>
        <w:t>審判決既有上述之瑕疵，自無可維持，應由該</w:t>
      </w:r>
      <w:r w:rsidRPr="00575B69">
        <w:rPr>
          <w:rFonts w:hAnsi="標楷體" w:cs="新細明體" w:hint="eastAsia"/>
          <w:kern w:val="0"/>
          <w:szCs w:val="32"/>
        </w:rPr>
        <w:t>院將原判決撤銷改判。</w:t>
      </w:r>
    </w:p>
    <w:p w:rsidR="00BA766A" w:rsidRPr="00BA766A" w:rsidRDefault="00BA766A" w:rsidP="00BA766A">
      <w:pPr>
        <w:pStyle w:val="4"/>
      </w:pPr>
      <w:r w:rsidRPr="00BA766A">
        <w:rPr>
          <w:rFonts w:hAnsi="標楷體" w:cs="新細明體" w:hint="eastAsia"/>
          <w:kern w:val="0"/>
          <w:szCs w:val="32"/>
        </w:rPr>
        <w:t>最高法院96年7月12日96年度台上字第3757號判決：</w:t>
      </w:r>
    </w:p>
    <w:p w:rsidR="00BA766A" w:rsidRPr="00BA766A" w:rsidRDefault="00BA766A" w:rsidP="006344C0">
      <w:pPr>
        <w:pStyle w:val="5"/>
      </w:pPr>
      <w:r>
        <w:rPr>
          <w:rFonts w:hint="eastAsia"/>
        </w:rPr>
        <w:t>主文：</w:t>
      </w:r>
      <w:r w:rsidRPr="006C04DC">
        <w:rPr>
          <w:rFonts w:hint="eastAsia"/>
        </w:rPr>
        <w:t>原判決關於強盜部分撤銷，發回</w:t>
      </w:r>
      <w:r>
        <w:rPr>
          <w:rFonts w:hint="eastAsia"/>
        </w:rPr>
        <w:t>臺</w:t>
      </w:r>
      <w:r w:rsidRPr="006C04DC">
        <w:rPr>
          <w:rFonts w:hint="eastAsia"/>
        </w:rPr>
        <w:t>南</w:t>
      </w:r>
      <w:r>
        <w:rPr>
          <w:rFonts w:hint="eastAsia"/>
        </w:rPr>
        <w:t>高</w:t>
      </w:r>
      <w:r w:rsidRPr="006C04DC">
        <w:rPr>
          <w:rFonts w:hint="eastAsia"/>
        </w:rPr>
        <w:t>分院。</w:t>
      </w:r>
      <w:r>
        <w:rPr>
          <w:rFonts w:hint="eastAsia"/>
        </w:rPr>
        <w:t>其他上訴駁回</w:t>
      </w:r>
      <w:r>
        <w:rPr>
          <w:rFonts w:ascii="新細明體" w:eastAsia="新細明體" w:hAnsi="新細明體" w:hint="eastAsia"/>
        </w:rPr>
        <w:t>。</w:t>
      </w:r>
    </w:p>
    <w:p w:rsidR="00BA766A" w:rsidRPr="0059055B" w:rsidRDefault="00BA766A" w:rsidP="006344C0">
      <w:pPr>
        <w:pStyle w:val="5"/>
      </w:pPr>
      <w:r>
        <w:rPr>
          <w:rFonts w:hint="eastAsia"/>
        </w:rPr>
        <w:t>理由有關發回(即強盜)部分：</w:t>
      </w:r>
      <w:r w:rsidR="00684819" w:rsidRPr="0059055B">
        <w:t xml:space="preserve"> </w:t>
      </w:r>
    </w:p>
    <w:p w:rsidR="00BA766A" w:rsidRPr="006B0982" w:rsidRDefault="00BA766A" w:rsidP="00BA766A">
      <w:pPr>
        <w:pStyle w:val="6"/>
      </w:pPr>
      <w:r w:rsidRPr="006C04DC">
        <w:rPr>
          <w:rFonts w:hint="eastAsia"/>
        </w:rPr>
        <w:t>原判決事實認定上訴人係於</w:t>
      </w:r>
      <w:r>
        <w:rPr>
          <w:rFonts w:hint="eastAsia"/>
        </w:rPr>
        <w:t>95</w:t>
      </w:r>
      <w:r w:rsidRPr="006C04DC">
        <w:rPr>
          <w:rFonts w:hint="eastAsia"/>
        </w:rPr>
        <w:t>年</w:t>
      </w:r>
      <w:r>
        <w:rPr>
          <w:rFonts w:hint="eastAsia"/>
        </w:rPr>
        <w:t>1</w:t>
      </w:r>
      <w:r w:rsidRPr="006C04DC">
        <w:rPr>
          <w:rFonts w:hint="eastAsia"/>
        </w:rPr>
        <w:t>月</w:t>
      </w:r>
      <w:r>
        <w:rPr>
          <w:rFonts w:hint="eastAsia"/>
        </w:rPr>
        <w:t>27</w:t>
      </w:r>
      <w:r w:rsidRPr="006C04DC">
        <w:rPr>
          <w:rFonts w:hint="eastAsia"/>
        </w:rPr>
        <w:t>日上午</w:t>
      </w:r>
      <w:r>
        <w:rPr>
          <w:rFonts w:hint="eastAsia"/>
        </w:rPr>
        <w:t>0</w:t>
      </w:r>
      <w:r w:rsidRPr="006C04DC">
        <w:rPr>
          <w:rFonts w:hint="eastAsia"/>
        </w:rPr>
        <w:t>時</w:t>
      </w:r>
      <w:r>
        <w:rPr>
          <w:rFonts w:hint="eastAsia"/>
        </w:rPr>
        <w:t>30</w:t>
      </w:r>
      <w:r w:rsidRPr="006C04DC">
        <w:rPr>
          <w:rFonts w:hint="eastAsia"/>
        </w:rPr>
        <w:t>分許，駕駛上開輕型機車，在王</w:t>
      </w:r>
      <w:r>
        <w:rPr>
          <w:rFonts w:hint="eastAsia"/>
        </w:rPr>
        <w:t>女</w:t>
      </w:r>
      <w:r w:rsidRPr="006C04DC">
        <w:rPr>
          <w:rFonts w:hint="eastAsia"/>
        </w:rPr>
        <w:t>住處前，持不明器物強盜王女財物得手後，即駕車逃逸等情，其理由內除依憑王女於偵查及第一審審理時之指訴外，並以警方調閱</w:t>
      </w:r>
      <w:r>
        <w:rPr>
          <w:rFonts w:hint="eastAsia"/>
        </w:rPr>
        <w:t>95</w:t>
      </w:r>
      <w:r w:rsidRPr="006C04DC">
        <w:rPr>
          <w:rFonts w:hint="eastAsia"/>
        </w:rPr>
        <w:t>年</w:t>
      </w:r>
      <w:r>
        <w:rPr>
          <w:rFonts w:hint="eastAsia"/>
        </w:rPr>
        <w:t>1</w:t>
      </w:r>
      <w:r w:rsidRPr="006C04DC">
        <w:rPr>
          <w:rFonts w:hint="eastAsia"/>
        </w:rPr>
        <w:t>月</w:t>
      </w:r>
      <w:r>
        <w:rPr>
          <w:rFonts w:hint="eastAsia"/>
        </w:rPr>
        <w:t>27</w:t>
      </w:r>
      <w:r w:rsidRPr="006C04DC">
        <w:rPr>
          <w:rFonts w:hint="eastAsia"/>
        </w:rPr>
        <w:t>日上午</w:t>
      </w:r>
      <w:r>
        <w:rPr>
          <w:rFonts w:hint="eastAsia"/>
        </w:rPr>
        <w:t>0</w:t>
      </w:r>
      <w:r w:rsidRPr="006C04DC">
        <w:rPr>
          <w:rFonts w:hint="eastAsia"/>
        </w:rPr>
        <w:t>時</w:t>
      </w:r>
      <w:r>
        <w:rPr>
          <w:rFonts w:hint="eastAsia"/>
        </w:rPr>
        <w:t>59</w:t>
      </w:r>
      <w:r w:rsidRPr="006C04DC">
        <w:rPr>
          <w:rFonts w:hint="eastAsia"/>
        </w:rPr>
        <w:t>分許在王女租屋處附近，郡緯街監視器畫面中確有一輛黑色輕型機車停放於該處，有監視器翻拍照片一紙可</w:t>
      </w:r>
      <w:r w:rsidRPr="006C04DC">
        <w:rPr>
          <w:rFonts w:hint="eastAsia"/>
        </w:rPr>
        <w:lastRenderedPageBreak/>
        <w:t>稽，資為認定上訴人確有本件強盜犯行之主要論據。然上訴人既已於案發當日上午</w:t>
      </w:r>
      <w:r>
        <w:rPr>
          <w:rFonts w:hint="eastAsia"/>
        </w:rPr>
        <w:t>0</w:t>
      </w:r>
      <w:r w:rsidRPr="006C04DC">
        <w:rPr>
          <w:rFonts w:hint="eastAsia"/>
        </w:rPr>
        <w:t>時</w:t>
      </w:r>
      <w:r>
        <w:rPr>
          <w:rFonts w:hint="eastAsia"/>
        </w:rPr>
        <w:t>30</w:t>
      </w:r>
      <w:r w:rsidRPr="006C04DC">
        <w:rPr>
          <w:rFonts w:hint="eastAsia"/>
        </w:rPr>
        <w:t>分許，強盜王女財物得手，並隨即駕駛該 VINO輕型機車逃逸，則該機車何以於案發約</w:t>
      </w:r>
      <w:r>
        <w:rPr>
          <w:rFonts w:hint="eastAsia"/>
        </w:rPr>
        <w:t>30</w:t>
      </w:r>
      <w:r w:rsidRPr="006C04DC">
        <w:rPr>
          <w:rFonts w:hint="eastAsia"/>
        </w:rPr>
        <w:t>分鐘後之同日上午</w:t>
      </w:r>
      <w:r>
        <w:rPr>
          <w:rFonts w:hint="eastAsia"/>
        </w:rPr>
        <w:t>0</w:t>
      </w:r>
      <w:r w:rsidRPr="006C04DC">
        <w:rPr>
          <w:rFonts w:hint="eastAsia"/>
        </w:rPr>
        <w:t>時</w:t>
      </w:r>
      <w:r>
        <w:rPr>
          <w:rFonts w:hint="eastAsia"/>
        </w:rPr>
        <w:t>59</w:t>
      </w:r>
      <w:r w:rsidRPr="006C04DC">
        <w:rPr>
          <w:rFonts w:hint="eastAsia"/>
        </w:rPr>
        <w:t>分許，仍在該處出現，而被王女住處附近郡緯街之監視器拍下？況依該卷附監視器翻拍照片顯示，該機車影像頗為模糊，似無從辨識其車牌號碼，如何得認其即係上訴人涉犯本件強盜所使用交通工具？亦不無疑問。是該監視器所翻拍之機車照片，尚難認與上訴人被訴本件強盜罪間有何關聯性，乃原判決執為上訴人本件強盜罪論據之一，其採證即難認為適法。且原判決事實所認定案發時間，與該監視器顯示之拍攝時間，既不相符，則原判決引為科刑判決論據，亦有證據上理由矛盾之違誤。</w:t>
      </w:r>
    </w:p>
    <w:p w:rsidR="00BA766A" w:rsidRPr="0059055B" w:rsidRDefault="00BA766A" w:rsidP="00BA766A">
      <w:pPr>
        <w:pStyle w:val="6"/>
      </w:pPr>
      <w:r w:rsidRPr="006C04DC">
        <w:rPr>
          <w:rFonts w:hint="eastAsia"/>
        </w:rPr>
        <w:t>被害人王</w:t>
      </w:r>
      <w:r>
        <w:rPr>
          <w:rFonts w:hint="eastAsia"/>
        </w:rPr>
        <w:t>女</w:t>
      </w:r>
      <w:r w:rsidRPr="006C04DC">
        <w:rPr>
          <w:rFonts w:hint="eastAsia"/>
        </w:rPr>
        <w:t>於第二次警詢供稱伊被強盜時，歹徒與伊面對面，且持刀抵住伊脖子，伊因害怕如不交出財物，會遭殺害，故從皮包內拿錢出來等語，渠嗣於偵查中結證更指稱上訴人係持一把有「藍色手柄」之小刀架在伊脖子上，要伊拿錢出來，迨第一審審理時亦為相同意旨之供證。以其當時係直接面對強盜歹徒，因恐遭對方殺害，而交出財物，嗣既能指認其形貌，又已注意及所持器物之手柄顏色，則對所持強盜之工具是否為「刀器」之類，衡情當無不識之理，是王女於警詢及偵審中多次指稱上訴人係持刀強盜，似非不能採信。原判決徒以王女於第一次警詢時未指稱遭歹徒持刀抵住頸部，且嗣於上訴</w:t>
      </w:r>
      <w:r w:rsidRPr="006C04DC">
        <w:rPr>
          <w:rFonts w:hint="eastAsia"/>
        </w:rPr>
        <w:lastRenderedPageBreak/>
        <w:t>人住處未查獲所指「藍色手柄」小刀，乃不採王女此部分指訴，尚嫌速斷。</w:t>
      </w:r>
    </w:p>
    <w:p w:rsidR="00BA766A" w:rsidRPr="0059055B" w:rsidRDefault="00BA766A" w:rsidP="006344C0">
      <w:pPr>
        <w:pStyle w:val="5"/>
      </w:pPr>
      <w:r>
        <w:rPr>
          <w:rFonts w:hint="eastAsia"/>
        </w:rPr>
        <w:t>理由有關</w:t>
      </w:r>
      <w:r w:rsidRPr="006C04DC">
        <w:rPr>
          <w:rFonts w:hint="eastAsia"/>
        </w:rPr>
        <w:t>駁回</w:t>
      </w:r>
      <w:r>
        <w:rPr>
          <w:rFonts w:hint="eastAsia"/>
        </w:rPr>
        <w:t>(</w:t>
      </w:r>
      <w:r w:rsidRPr="006C04DC">
        <w:rPr>
          <w:rFonts w:hint="eastAsia"/>
        </w:rPr>
        <w:t>即搶奪</w:t>
      </w:r>
      <w:r>
        <w:rPr>
          <w:rFonts w:hint="eastAsia"/>
        </w:rPr>
        <w:t>)</w:t>
      </w:r>
      <w:r w:rsidRPr="006C04DC">
        <w:rPr>
          <w:rFonts w:hint="eastAsia"/>
        </w:rPr>
        <w:t>部分：本件上訴人就原審論處其刑法第</w:t>
      </w:r>
      <w:r>
        <w:rPr>
          <w:rFonts w:hint="eastAsia"/>
        </w:rPr>
        <w:t>325</w:t>
      </w:r>
      <w:r w:rsidRPr="006C04DC">
        <w:rPr>
          <w:rFonts w:hint="eastAsia"/>
        </w:rPr>
        <w:t>條第</w:t>
      </w:r>
      <w:r>
        <w:rPr>
          <w:rFonts w:hint="eastAsia"/>
        </w:rPr>
        <w:t>1</w:t>
      </w:r>
      <w:r w:rsidRPr="006C04DC">
        <w:rPr>
          <w:rFonts w:hint="eastAsia"/>
        </w:rPr>
        <w:t>項搶奪罪刑部分，聲明不服，於</w:t>
      </w:r>
      <w:r>
        <w:rPr>
          <w:rFonts w:hint="eastAsia"/>
        </w:rPr>
        <w:t>96</w:t>
      </w:r>
      <w:r w:rsidRPr="006C04DC">
        <w:rPr>
          <w:rFonts w:hint="eastAsia"/>
        </w:rPr>
        <w:t>年</w:t>
      </w:r>
      <w:r>
        <w:rPr>
          <w:rFonts w:hint="eastAsia"/>
        </w:rPr>
        <w:t>5</w:t>
      </w:r>
      <w:r w:rsidRPr="006C04DC">
        <w:rPr>
          <w:rFonts w:hint="eastAsia"/>
        </w:rPr>
        <w:t>月</w:t>
      </w:r>
      <w:r>
        <w:rPr>
          <w:rFonts w:hint="eastAsia"/>
        </w:rPr>
        <w:t>31</w:t>
      </w:r>
      <w:r w:rsidRPr="006C04DC">
        <w:rPr>
          <w:rFonts w:hint="eastAsia"/>
        </w:rPr>
        <w:t>日提起上訴，然對搶奪部分並未敘述理由，事後所補提之上訴理由狀，俱屬強盜部分之上訴理由，對搶奪部分，無隻字片語敘及。迄今逾期已久，於</w:t>
      </w:r>
      <w:r>
        <w:rPr>
          <w:rFonts w:hint="eastAsia"/>
        </w:rPr>
        <w:t>該</w:t>
      </w:r>
      <w:r w:rsidRPr="006C04DC">
        <w:rPr>
          <w:rFonts w:hint="eastAsia"/>
        </w:rPr>
        <w:t>院未判決前仍未提出。依上開規定，此部分上訴自非合法，應予駁回</w:t>
      </w:r>
      <w:r>
        <w:rPr>
          <w:rStyle w:val="aff"/>
          <w:rFonts w:hAnsi="標楷體" w:cs="新細明體"/>
          <w:kern w:val="0"/>
          <w:szCs w:val="32"/>
        </w:rPr>
        <w:footnoteReference w:id="5"/>
      </w:r>
      <w:r w:rsidRPr="006C04DC">
        <w:rPr>
          <w:rFonts w:hint="eastAsia"/>
        </w:rPr>
        <w:t>。</w:t>
      </w:r>
    </w:p>
    <w:p w:rsidR="001F4CA0" w:rsidRPr="001F4CA0" w:rsidRDefault="00182330" w:rsidP="00F04793">
      <w:pPr>
        <w:pStyle w:val="3"/>
      </w:pPr>
      <w:r>
        <w:rPr>
          <w:rFonts w:hint="eastAsia"/>
          <w:b/>
        </w:rPr>
        <w:t>強盜案部分撤銷發回更審</w:t>
      </w:r>
      <w:r w:rsidR="00BA766A">
        <w:rPr>
          <w:rFonts w:hint="eastAsia"/>
          <w:b/>
        </w:rPr>
        <w:t>後</w:t>
      </w:r>
      <w:r w:rsidR="00BA766A">
        <w:rPr>
          <w:rFonts w:hAnsi="標楷體" w:hint="eastAsia"/>
          <w:b/>
        </w:rPr>
        <w:t>，</w:t>
      </w:r>
      <w:r>
        <w:rPr>
          <w:rFonts w:hAnsi="標楷體" w:hint="eastAsia"/>
          <w:b/>
        </w:rPr>
        <w:t>臺南高分院更一審判決(96年度上更(一)字第307號)駁回強盜罪之上訴，惟最高法院第2次判決(97年度台上字第261號)以更一審判決「徒以被害人於偵審中所為單一指認陳訴人」為撤銷理由之一發回更審，臺南高分院更二審判決(97年度上更(二)字第63號)以「指認瑕疵」列為改判無罪理由之一；惟最高法院第3次判決(97年度台上字第4047號)又以「</w:t>
      </w:r>
      <w:r w:rsidRPr="00A36A85">
        <w:rPr>
          <w:rFonts w:hAnsi="標楷體" w:cs="新細明體" w:hint="eastAsia"/>
          <w:b/>
          <w:kern w:val="0"/>
          <w:szCs w:val="32"/>
        </w:rPr>
        <w:t>證人之指認程序與相關要領規範不盡相符時，尚難謂係違反法律位階之法定程序</w:t>
      </w:r>
      <w:r>
        <w:rPr>
          <w:rFonts w:hAnsi="標楷體" w:hint="eastAsia"/>
          <w:b/>
        </w:rPr>
        <w:t>」為由撤銷更二審之無罪判決發回更審，臺南高分院更三審判決(97年度重上更(三)字第291號)以「</w:t>
      </w:r>
      <w:r w:rsidRPr="00DC0357">
        <w:rPr>
          <w:rFonts w:hAnsi="標楷體" w:cs="新細明體" w:hint="eastAsia"/>
          <w:b/>
          <w:kern w:val="0"/>
          <w:szCs w:val="32"/>
        </w:rPr>
        <w:t>非單以證人之指認為被告論罪之唯一依據時，不得僅因證人之指認程序與相關要領規範或其他學者個人之見解未盡相符，遽認其指認有瑕疵</w:t>
      </w:r>
      <w:r>
        <w:rPr>
          <w:rFonts w:hAnsi="標楷體" w:cs="新細明體" w:hint="eastAsia"/>
          <w:kern w:val="0"/>
          <w:szCs w:val="32"/>
        </w:rPr>
        <w:t>」</w:t>
      </w:r>
      <w:r>
        <w:rPr>
          <w:rFonts w:hAnsi="標楷體" w:hint="eastAsia"/>
          <w:b/>
        </w:rPr>
        <w:t>列為駁回上訴理由之一，嗣經</w:t>
      </w:r>
      <w:r>
        <w:rPr>
          <w:rFonts w:hint="eastAsia"/>
          <w:b/>
        </w:rPr>
        <w:t>最高法院98年度台上字第104號判決駁回上訴</w:t>
      </w:r>
      <w:r>
        <w:rPr>
          <w:rFonts w:hAnsi="標楷體" w:hint="eastAsia"/>
          <w:b/>
        </w:rPr>
        <w:t>，至此強盜案三審定讞</w:t>
      </w:r>
      <w:r w:rsidR="001F4CA0">
        <w:rPr>
          <w:rFonts w:hAnsi="標楷體" w:hint="eastAsia"/>
          <w:b/>
        </w:rPr>
        <w:t>：</w:t>
      </w:r>
    </w:p>
    <w:p w:rsidR="001F4CA0" w:rsidRDefault="00BA766A" w:rsidP="00407ECE">
      <w:pPr>
        <w:pStyle w:val="4"/>
      </w:pPr>
      <w:r w:rsidRPr="00BA766A">
        <w:rPr>
          <w:rFonts w:hAnsi="標楷體" w:cs="新細明體" w:hint="eastAsia"/>
          <w:kern w:val="0"/>
          <w:szCs w:val="32"/>
        </w:rPr>
        <w:t>臺南高分院96年10月23日96年度上更(一)字第</w:t>
      </w:r>
      <w:r w:rsidRPr="00BA766A">
        <w:rPr>
          <w:rFonts w:hAnsi="標楷體" w:cs="新細明體" w:hint="eastAsia"/>
          <w:kern w:val="0"/>
          <w:szCs w:val="32"/>
        </w:rPr>
        <w:lastRenderedPageBreak/>
        <w:t>307號</w:t>
      </w:r>
      <w:r>
        <w:rPr>
          <w:rFonts w:hAnsi="標楷體" w:cs="新細明體" w:hint="eastAsia"/>
          <w:kern w:val="0"/>
          <w:szCs w:val="32"/>
        </w:rPr>
        <w:t>(更一審)</w:t>
      </w:r>
      <w:r w:rsidRPr="00BA766A">
        <w:rPr>
          <w:rFonts w:hAnsi="標楷體" w:cs="新細明體" w:hint="eastAsia"/>
          <w:kern w:val="0"/>
          <w:szCs w:val="32"/>
        </w:rPr>
        <w:t>判決</w:t>
      </w:r>
      <w:r w:rsidRPr="00BA766A">
        <w:rPr>
          <w:rFonts w:hint="eastAsia"/>
        </w:rPr>
        <w:t>：</w:t>
      </w:r>
    </w:p>
    <w:p w:rsidR="001F4CA0" w:rsidRPr="001F4CA0" w:rsidRDefault="00BA766A" w:rsidP="006344C0">
      <w:pPr>
        <w:pStyle w:val="5"/>
      </w:pPr>
      <w:r>
        <w:rPr>
          <w:rFonts w:hint="eastAsia"/>
        </w:rPr>
        <w:t>主文</w:t>
      </w:r>
      <w:r>
        <w:rPr>
          <w:rFonts w:hAnsi="標楷體" w:hint="eastAsia"/>
        </w:rPr>
        <w:t>：</w:t>
      </w:r>
      <w:r>
        <w:rPr>
          <w:rFonts w:hint="eastAsia"/>
        </w:rPr>
        <w:t>上訴駁回(強盜罪部分)</w:t>
      </w:r>
      <w:r w:rsidR="001F4CA0">
        <w:rPr>
          <w:rFonts w:ascii="新細明體" w:eastAsia="新細明體" w:hAnsi="新細明體" w:hint="eastAsia"/>
          <w:szCs w:val="32"/>
        </w:rPr>
        <w:t>。</w:t>
      </w:r>
    </w:p>
    <w:p w:rsidR="001F4CA0" w:rsidRPr="001F4CA0" w:rsidRDefault="00CA6CF4" w:rsidP="006344C0">
      <w:pPr>
        <w:pStyle w:val="5"/>
      </w:pPr>
      <w:r>
        <w:rPr>
          <w:rFonts w:hint="eastAsia"/>
        </w:rPr>
        <w:t>理由有關程序方面：</w:t>
      </w:r>
      <w:r w:rsidRPr="004868BD">
        <w:rPr>
          <w:rFonts w:hint="eastAsia"/>
        </w:rPr>
        <w:t>本件上訴人即被告就被訴涉犯搶奪罪部分，經</w:t>
      </w:r>
      <w:r>
        <w:rPr>
          <w:rFonts w:hint="eastAsia"/>
        </w:rPr>
        <w:t>該</w:t>
      </w:r>
      <w:r w:rsidRPr="004868BD">
        <w:rPr>
          <w:rFonts w:hint="eastAsia"/>
        </w:rPr>
        <w:t>院上訴審依刑法第325條第1項搶奪罪論處有期徒刑1年6月，經被告於96年5月31日提起上訴，嗣因未敘述上訴理由，經最高法院以上訴不合法，駁回上訴確定在案</w:t>
      </w:r>
      <w:r w:rsidRPr="00524044">
        <w:rPr>
          <w:rFonts w:hint="eastAsia"/>
        </w:rPr>
        <w:t>。</w:t>
      </w:r>
      <w:r>
        <w:rPr>
          <w:rFonts w:hint="eastAsia"/>
        </w:rPr>
        <w:t>其餘論述同該院96年上訴字第391號判決(略)</w:t>
      </w:r>
      <w:r>
        <w:rPr>
          <w:rFonts w:ascii="新細明體" w:eastAsia="新細明體" w:hAnsi="新細明體" w:hint="eastAsia"/>
        </w:rPr>
        <w:t>。</w:t>
      </w:r>
    </w:p>
    <w:p w:rsidR="00CA6CF4" w:rsidRPr="002165C1" w:rsidRDefault="00CA6CF4" w:rsidP="006344C0">
      <w:pPr>
        <w:pStyle w:val="5"/>
      </w:pPr>
      <w:r w:rsidRPr="004868BD">
        <w:rPr>
          <w:rFonts w:hint="eastAsia"/>
        </w:rPr>
        <w:t>認定犯罪事實所憑之證據及理由</w:t>
      </w:r>
      <w:r>
        <w:rPr>
          <w:rFonts w:hint="eastAsia"/>
        </w:rPr>
        <w:t>(以下僅列出與前審判決不同之處)：</w:t>
      </w:r>
    </w:p>
    <w:p w:rsidR="00CA6CF4" w:rsidRPr="002165C1" w:rsidRDefault="00CA6CF4" w:rsidP="00CA6CF4">
      <w:pPr>
        <w:pStyle w:val="6"/>
      </w:pPr>
      <w:r w:rsidRPr="004868BD">
        <w:rPr>
          <w:rFonts w:hint="eastAsia"/>
        </w:rPr>
        <w:t>審酌證人</w:t>
      </w:r>
      <w:r>
        <w:rPr>
          <w:rFonts w:hint="eastAsia"/>
        </w:rPr>
        <w:t>王女</w:t>
      </w:r>
      <w:r w:rsidRPr="004868BD">
        <w:rPr>
          <w:rFonts w:hint="eastAsia"/>
        </w:rPr>
        <w:t>於偵查及原審均能毫無遲疑指認被告，並指出被告強盜當日所著衣物與警察扣得衣物特徵相符，且</w:t>
      </w:r>
      <w:r>
        <w:rPr>
          <w:rFonts w:hint="eastAsia"/>
        </w:rPr>
        <w:t>王女</w:t>
      </w:r>
      <w:r w:rsidRPr="004868BD">
        <w:rPr>
          <w:rFonts w:hint="eastAsia"/>
        </w:rPr>
        <w:t>亦據原審以證人身分令其具結在卷，衡情豈會為此區區9百元，即甘冒被訴誣告、偽證等罪責，而構詞誣陷，因此證人上開指認應無錯誤，從而，足認證人</w:t>
      </w:r>
      <w:r>
        <w:rPr>
          <w:rFonts w:hint="eastAsia"/>
        </w:rPr>
        <w:t>王女</w:t>
      </w:r>
      <w:r w:rsidRPr="004868BD">
        <w:rPr>
          <w:rFonts w:hint="eastAsia"/>
        </w:rPr>
        <w:t>之證述內容可資採信，此部分之事實要可認定。</w:t>
      </w:r>
    </w:p>
    <w:p w:rsidR="00CA6CF4" w:rsidRPr="002165C1" w:rsidRDefault="00CA6CF4" w:rsidP="00CA6CF4">
      <w:pPr>
        <w:pStyle w:val="6"/>
      </w:pPr>
      <w:r w:rsidRPr="004868BD">
        <w:rPr>
          <w:rFonts w:hint="eastAsia"/>
        </w:rPr>
        <w:t>至證人</w:t>
      </w:r>
      <w:r>
        <w:rPr>
          <w:rFonts w:hint="eastAsia"/>
        </w:rPr>
        <w:t>王女</w:t>
      </w:r>
      <w:r w:rsidRPr="004868BD">
        <w:rPr>
          <w:rFonts w:hint="eastAsia"/>
        </w:rPr>
        <w:t>於警方第一次詢問時之陳述情節中並未提及被告有持刀，且就被告之身材為中等身材之敘述，與被害人</w:t>
      </w:r>
      <w:r>
        <w:rPr>
          <w:rFonts w:hint="eastAsia"/>
        </w:rPr>
        <w:t>王女</w:t>
      </w:r>
      <w:r w:rsidRPr="004868BD">
        <w:rPr>
          <w:rFonts w:hint="eastAsia"/>
        </w:rPr>
        <w:t>於第二次警詢供稱伊被強盜時，歹徒與伊面對面，且持刀抵住伊脖子，伊因害怕如不交出財物，會遭殺害，故從皮包內拿錢出來等語，嗣於偵查中結證指稱上訴人係持一把有「藍色手柄」之小刀架在伊脖子上，要伊拿錢出來，迨第一審審理時亦為相同意旨之供證，前後有別，惟查，關於被害人遭人搶走財物此一情節，以其當時係直接面對強盜歹徒，因恐</w:t>
      </w:r>
      <w:r w:rsidRPr="004868BD">
        <w:rPr>
          <w:rFonts w:hint="eastAsia"/>
        </w:rPr>
        <w:lastRenderedPageBreak/>
        <w:t>遭對方殺害，而交出財物，嗣既能指認其形貌，又已注意及所持器物之手柄顏色，則對所持強盜之工具是否為「刀器」之類，衡情當無不識之理，是證人</w:t>
      </w:r>
      <w:r>
        <w:rPr>
          <w:rFonts w:hint="eastAsia"/>
        </w:rPr>
        <w:t>王女</w:t>
      </w:r>
      <w:r w:rsidRPr="004868BD">
        <w:rPr>
          <w:rFonts w:hint="eastAsia"/>
        </w:rPr>
        <w:t>於偵審中既已多次指稱上訴人係持刀強盜，從而此部</w:t>
      </w:r>
      <w:r>
        <w:rPr>
          <w:rFonts w:hint="eastAsia"/>
        </w:rPr>
        <w:t>分</w:t>
      </w:r>
      <w:r w:rsidRPr="004868BD">
        <w:rPr>
          <w:rFonts w:hint="eastAsia"/>
        </w:rPr>
        <w:t>之情節縱令前後供述不一，係因記憶不清所致，然不影響本案犯罪之認定，又關於被告之身材部</w:t>
      </w:r>
      <w:r>
        <w:rPr>
          <w:rFonts w:hint="eastAsia"/>
        </w:rPr>
        <w:t>分</w:t>
      </w:r>
      <w:r w:rsidRPr="004868BD">
        <w:rPr>
          <w:rFonts w:hint="eastAsia"/>
        </w:rPr>
        <w:t>，告訴人就此部分，於原審審理時已另證稱因為不知被告有無彎腰，無法判斷身高等語，自不能因前揭部分不符，即將證人之證述予以不採，從而此部</w:t>
      </w:r>
      <w:r>
        <w:rPr>
          <w:rFonts w:hint="eastAsia"/>
        </w:rPr>
        <w:t>分</w:t>
      </w:r>
      <w:r w:rsidRPr="004868BD">
        <w:rPr>
          <w:rFonts w:hint="eastAsia"/>
        </w:rPr>
        <w:t>亦無從據為有利被告之憑據。</w:t>
      </w:r>
    </w:p>
    <w:p w:rsidR="00CA6CF4" w:rsidRPr="00524044" w:rsidRDefault="00CA6CF4" w:rsidP="00CA6CF4">
      <w:pPr>
        <w:pStyle w:val="6"/>
      </w:pPr>
      <w:r>
        <w:rPr>
          <w:rFonts w:hint="eastAsia"/>
        </w:rPr>
        <w:t>被告雖於該</w:t>
      </w:r>
      <w:r w:rsidRPr="004868BD">
        <w:rPr>
          <w:rFonts w:hint="eastAsia"/>
        </w:rPr>
        <w:t>院審理時，仍請求傳訊證人</w:t>
      </w:r>
      <w:r>
        <w:rPr>
          <w:rFonts w:hint="eastAsia"/>
        </w:rPr>
        <w:t>王女</w:t>
      </w:r>
      <w:r w:rsidRPr="004868BD">
        <w:rPr>
          <w:rFonts w:hint="eastAsia"/>
        </w:rPr>
        <w:t>，然關於當時之情節，業據</w:t>
      </w:r>
      <w:r>
        <w:rPr>
          <w:rFonts w:hint="eastAsia"/>
        </w:rPr>
        <w:t>王女</w:t>
      </w:r>
      <w:r w:rsidRPr="004868BD">
        <w:rPr>
          <w:rFonts w:hint="eastAsia"/>
        </w:rPr>
        <w:t>於原審審理時證述綦詳，已如前述，</w:t>
      </w:r>
      <w:r>
        <w:rPr>
          <w:rFonts w:hint="eastAsia"/>
        </w:rPr>
        <w:t>該</w:t>
      </w:r>
      <w:r w:rsidRPr="004868BD">
        <w:rPr>
          <w:rFonts w:hint="eastAsia"/>
        </w:rPr>
        <w:t>院認強盜犯行事證明確，無傳喚該證人之必要，至聲請傳訊證人陳</w:t>
      </w:r>
      <w:r>
        <w:rPr>
          <w:rFonts w:hint="eastAsia"/>
        </w:rPr>
        <w:t>姓同居人</w:t>
      </w:r>
      <w:r w:rsidRPr="004868BD">
        <w:rPr>
          <w:rFonts w:hint="eastAsia"/>
        </w:rPr>
        <w:t>部</w:t>
      </w:r>
      <w:r>
        <w:rPr>
          <w:rFonts w:hint="eastAsia"/>
        </w:rPr>
        <w:t>分</w:t>
      </w:r>
      <w:r w:rsidRPr="004868BD">
        <w:rPr>
          <w:rFonts w:hint="eastAsia"/>
        </w:rPr>
        <w:t>，則係證明案發當日凌晨被告係在</w:t>
      </w:r>
      <w:r>
        <w:rPr>
          <w:rFonts w:hint="eastAsia"/>
        </w:rPr>
        <w:t>臺</w:t>
      </w:r>
      <w:r w:rsidRPr="004868BD">
        <w:rPr>
          <w:rFonts w:hint="eastAsia"/>
        </w:rPr>
        <w:t>南縣仁德鄉家中一節，惟查關於本案強盜情節業經證人</w:t>
      </w:r>
      <w:r>
        <w:rPr>
          <w:rFonts w:hint="eastAsia"/>
        </w:rPr>
        <w:t>王女</w:t>
      </w:r>
      <w:r w:rsidRPr="004868BD">
        <w:rPr>
          <w:rFonts w:hint="eastAsia"/>
        </w:rPr>
        <w:t>證述明確，且被告於歷次法院審理均未敘明有此證人，亦未敘明為何直至</w:t>
      </w:r>
      <w:r>
        <w:rPr>
          <w:rFonts w:hint="eastAsia"/>
        </w:rPr>
        <w:t>該</w:t>
      </w:r>
      <w:r w:rsidRPr="004868BD">
        <w:rPr>
          <w:rFonts w:hint="eastAsia"/>
        </w:rPr>
        <w:t>院審理時始行傳訊之原因，從而</w:t>
      </w:r>
      <w:r>
        <w:rPr>
          <w:rFonts w:hint="eastAsia"/>
        </w:rPr>
        <w:t>該</w:t>
      </w:r>
      <w:r w:rsidRPr="004868BD">
        <w:rPr>
          <w:rFonts w:hint="eastAsia"/>
        </w:rPr>
        <w:t>院認無傳喚之必要，爰未傳喚前揭證人，另被告聲請測謊一節，關於測謊鑑定形式上縱已符合測謊基本要件，而具有證據能力，亦僅能供為審判上之參酌，且其證明力如何，法院仍有自由判斷之權限，</w:t>
      </w:r>
      <w:r>
        <w:rPr>
          <w:rFonts w:hint="eastAsia"/>
        </w:rPr>
        <w:t>該</w:t>
      </w:r>
      <w:r w:rsidRPr="004868BD">
        <w:rPr>
          <w:rFonts w:hint="eastAsia"/>
        </w:rPr>
        <w:t>院審酌上揭證據已足認定本案犯罪事實，認無送測謊鑑定之必要</w:t>
      </w:r>
      <w:r>
        <w:rPr>
          <w:rFonts w:ascii="新細明體" w:eastAsia="新細明體" w:hAnsi="新細明體" w:hint="eastAsia"/>
        </w:rPr>
        <w:t>。</w:t>
      </w:r>
    </w:p>
    <w:p w:rsidR="001F4CA0" w:rsidRDefault="00CA6CF4" w:rsidP="00407ECE">
      <w:pPr>
        <w:pStyle w:val="4"/>
      </w:pPr>
      <w:r w:rsidRPr="00CA6CF4">
        <w:rPr>
          <w:rFonts w:hAnsi="標楷體" w:cs="新細明體" w:hint="eastAsia"/>
          <w:kern w:val="0"/>
          <w:szCs w:val="32"/>
        </w:rPr>
        <w:t>最高法院97年1月17日97年度台上字第261號</w:t>
      </w:r>
      <w:r>
        <w:rPr>
          <w:rFonts w:hAnsi="標楷體" w:cs="新細明體" w:hint="eastAsia"/>
          <w:kern w:val="0"/>
          <w:szCs w:val="32"/>
        </w:rPr>
        <w:t>(第2次)</w:t>
      </w:r>
      <w:r w:rsidRPr="00CA6CF4">
        <w:rPr>
          <w:rFonts w:hAnsi="標楷體" w:cs="新細明體" w:hint="eastAsia"/>
          <w:kern w:val="0"/>
          <w:szCs w:val="32"/>
        </w:rPr>
        <w:t>判決</w:t>
      </w:r>
      <w:r w:rsidR="001F4CA0" w:rsidRPr="001F4CA0">
        <w:rPr>
          <w:rFonts w:hint="eastAsia"/>
        </w:rPr>
        <w:t>：</w:t>
      </w:r>
    </w:p>
    <w:p w:rsidR="001F4CA0" w:rsidRPr="001F4CA0" w:rsidRDefault="00CA6CF4" w:rsidP="006344C0">
      <w:pPr>
        <w:pStyle w:val="5"/>
      </w:pPr>
      <w:r>
        <w:rPr>
          <w:rFonts w:hint="eastAsia"/>
        </w:rPr>
        <w:lastRenderedPageBreak/>
        <w:t>主文：</w:t>
      </w:r>
      <w:r w:rsidRPr="00FC5B97">
        <w:rPr>
          <w:rFonts w:hint="eastAsia"/>
        </w:rPr>
        <w:t>原判決</w:t>
      </w:r>
      <w:r>
        <w:rPr>
          <w:rFonts w:hint="eastAsia"/>
        </w:rPr>
        <w:t>(指臺南高分院第二審更審判決)</w:t>
      </w:r>
      <w:r w:rsidRPr="00FC5B97">
        <w:rPr>
          <w:rFonts w:hint="eastAsia"/>
        </w:rPr>
        <w:t>撤銷，發回</w:t>
      </w:r>
      <w:r>
        <w:rPr>
          <w:rFonts w:hint="eastAsia"/>
        </w:rPr>
        <w:t>臺</w:t>
      </w:r>
      <w:r w:rsidRPr="00FC5B97">
        <w:rPr>
          <w:rFonts w:hint="eastAsia"/>
        </w:rPr>
        <w:t>南</w:t>
      </w:r>
      <w:r>
        <w:rPr>
          <w:rFonts w:hint="eastAsia"/>
        </w:rPr>
        <w:t>高</w:t>
      </w:r>
      <w:r w:rsidRPr="00FC5B97">
        <w:rPr>
          <w:rFonts w:hint="eastAsia"/>
        </w:rPr>
        <w:t>分院</w:t>
      </w:r>
      <w:r w:rsidRPr="0061154D">
        <w:rPr>
          <w:rFonts w:hint="eastAsia"/>
        </w:rPr>
        <w:t>。</w:t>
      </w:r>
    </w:p>
    <w:p w:rsidR="001F4CA0" w:rsidRPr="0064330B" w:rsidRDefault="00CA6CF4" w:rsidP="006344C0">
      <w:pPr>
        <w:pStyle w:val="5"/>
      </w:pPr>
      <w:r>
        <w:rPr>
          <w:rFonts w:hint="eastAsia"/>
        </w:rPr>
        <w:t>理由</w:t>
      </w:r>
      <w:r>
        <w:rPr>
          <w:rFonts w:hAnsi="標楷體" w:hint="eastAsia"/>
        </w:rPr>
        <w:t>：</w:t>
      </w:r>
    </w:p>
    <w:p w:rsidR="00CA6CF4" w:rsidRPr="00287F5E" w:rsidRDefault="00CA6CF4" w:rsidP="00CA6CF4">
      <w:pPr>
        <w:pStyle w:val="6"/>
      </w:pPr>
      <w:r w:rsidRPr="00FC5B97">
        <w:rPr>
          <w:rFonts w:hint="eastAsia"/>
        </w:rPr>
        <w:t>我國現行刑事訴訟法，雖無關於指認犯罪嫌疑人程序之規定，然因指認結果恆對指認人造成新的知覺記憶，因此初次指認，仍須採取適當方式，以確保指認之正確性。尤其指認人對原本並不認識之犯罪嫌疑人所為容貌特徵等之記憶，僅止於犯罪發生初時匆促見面觀察而產生，印象不易深刻，故於</w:t>
      </w:r>
      <w:r w:rsidRPr="00CA6CF4">
        <w:rPr>
          <w:rFonts w:hint="eastAsia"/>
          <w:b/>
        </w:rPr>
        <w:t>實施此種指認，自應避免來自調查、偵查人員不當暗示或誘導介入之影響</w:t>
      </w:r>
      <w:r w:rsidRPr="00FC5B97">
        <w:rPr>
          <w:rFonts w:hint="eastAsia"/>
        </w:rPr>
        <w:t>。依內政部警政署發布之「警察機關實施指認犯罪嫌疑人程序要領」</w:t>
      </w:r>
      <w:r>
        <w:rPr>
          <w:rFonts w:hint="eastAsia"/>
        </w:rPr>
        <w:t>(</w:t>
      </w:r>
      <w:r w:rsidRPr="00FC5B97">
        <w:rPr>
          <w:rFonts w:hint="eastAsia"/>
        </w:rPr>
        <w:t>於90年8月20日訂定發布，92年11月21日修正發布</w:t>
      </w:r>
      <w:r>
        <w:rPr>
          <w:rFonts w:hint="eastAsia"/>
        </w:rPr>
        <w:t>)</w:t>
      </w:r>
      <w:r w:rsidRPr="00FC5B97">
        <w:rPr>
          <w:rFonts w:hint="eastAsia"/>
        </w:rPr>
        <w:t>，明定司法警察、司法警察官於調查犯罪嫌疑人所為之指認，應遵守「於指認前應由指認人先陳述嫌疑人的特徵，不得有任何可能暗示、誘導之安排出現；必須告訴指認人，犯罪嫌疑人並不一定存在於被指認人之中；應採取選擇式之真人列隊指認，而非一對一、是非式的單一指認；其供選擇指認之數人在外形上不得有重大的差異；實施照片指認，不得以單一相片提供指認，並避免提供老舊照片指認」等程序事項。法務部於93年6月23日修正發布之「檢察機關辦理刑事訴訟案件應行注意事項」，其第99點「對於指認犯罪嫌疑人之方式」，亦有相類似之規範，資為偵查中認有必要為指認時之參考。</w:t>
      </w:r>
      <w:r w:rsidRPr="00E66CF8">
        <w:rPr>
          <w:rFonts w:hint="eastAsia"/>
          <w:b/>
        </w:rPr>
        <w:t>凡此指認程序之規範要領，旨在袪除指認過程可能發生之誤導情事，提高指認之正確</w:t>
      </w:r>
      <w:r w:rsidRPr="00E66CF8">
        <w:rPr>
          <w:rFonts w:hint="eastAsia"/>
          <w:b/>
        </w:rPr>
        <w:lastRenderedPageBreak/>
        <w:t>性，以防止指認錯誤發生，影響偵查或判決結果之正確性。是法院如採取未依上開指認程序之規範要領所實施之指認為證據者，自宜於判決內說明如何具有確切證據，足認指認人於案發時所處之環境，確能對犯罪行為人觀察明白、認知犯罪行為人行為之內容，該事後依憑個人之知覺及記憶所為之指認為客觀可信之得心證理由及所憑證據，以臻翔實</w:t>
      </w:r>
      <w:r w:rsidRPr="00FC5B97">
        <w:rPr>
          <w:rFonts w:hint="eastAsia"/>
        </w:rPr>
        <w:t>。本件原判決既以警察機關令被害人指認上訴人之過程</w:t>
      </w:r>
      <w:r w:rsidRPr="00CA6CF4">
        <w:rPr>
          <w:rFonts w:hint="eastAsia"/>
          <w:b/>
        </w:rPr>
        <w:t>確未依前揭「警察機關實施指認犯罪嫌疑人程序要領」辦理</w:t>
      </w:r>
      <w:r w:rsidRPr="00FC5B97">
        <w:rPr>
          <w:rFonts w:hint="eastAsia"/>
        </w:rPr>
        <w:t>，因而不採被害人於警局之指認為證據。則被害人對於原本並不認識之上訴人之印象，究係存在於警局指認程序之前，或係受警局逕行提示上訴人照片之暗示始形成？此與檢察官嗣後以特定之上訴人一人供被害人所為之指認，是否非來自於被害人先前有受污染之虞之知覺記憶，仍具備可信賴性保障之判斷攸關。</w:t>
      </w:r>
      <w:r w:rsidRPr="00CA6CF4">
        <w:rPr>
          <w:rFonts w:hint="eastAsia"/>
          <w:b/>
        </w:rPr>
        <w:t>原判決就此未為必要之論斷與說明，徒以被害人於偵審中所為單一指認上訴人即係強盜之人為據，遽行判決，自難以昭折服</w:t>
      </w:r>
      <w:r w:rsidRPr="00FC5B97">
        <w:rPr>
          <w:rFonts w:hint="eastAsia"/>
        </w:rPr>
        <w:t>，併嫌判決理由欠備。</w:t>
      </w:r>
    </w:p>
    <w:p w:rsidR="00CA6CF4" w:rsidRPr="00776090" w:rsidRDefault="00CA6CF4" w:rsidP="00CA6CF4">
      <w:pPr>
        <w:pStyle w:val="6"/>
      </w:pPr>
      <w:r w:rsidRPr="00FC5B97">
        <w:rPr>
          <w:rFonts w:hint="eastAsia"/>
        </w:rPr>
        <w:t>被害人就被害經過所為之陳述，其目的在於使被告受刑事訴追處罰，與被告處於絕對相反之立場，其陳述或不免渲染、誇大。被害人縱立於證人地位具結而為陳述，其供述證據之證明力仍較與被告無利害關係之一般證人之陳述為薄弱。從而，被害人就被害經過之陳述，除須無瑕疵可指，且須就其他方面調查又與事實相符，亦即仍應調查其他必要</w:t>
      </w:r>
      <w:r w:rsidRPr="00FC5B97">
        <w:rPr>
          <w:rFonts w:hint="eastAsia"/>
        </w:rPr>
        <w:lastRenderedPageBreak/>
        <w:t>之補強證據以擔保其陳述確有相當之真實性，而為通常一般人均不致有所懷疑者，始得採為論罪科刑之依據，非謂被害人已踐行人證之調查程序，即得恝置其他補強證據不論，逕以其陳述作為有罪判決之唯一證據。此之補強證據，必須與被害人供述被害經過有關連性者，始足與焉。原判決認定上訴人上開強盜犯行，係以證人</w:t>
      </w:r>
      <w:r>
        <w:rPr>
          <w:rFonts w:hint="eastAsia"/>
        </w:rPr>
        <w:t>王女(</w:t>
      </w:r>
      <w:r w:rsidRPr="00FC5B97">
        <w:rPr>
          <w:rFonts w:hint="eastAsia"/>
        </w:rPr>
        <w:t>被害人</w:t>
      </w:r>
      <w:r>
        <w:rPr>
          <w:rFonts w:hint="eastAsia"/>
        </w:rPr>
        <w:t>)</w:t>
      </w:r>
      <w:r w:rsidRPr="00FC5B97">
        <w:rPr>
          <w:rFonts w:hint="eastAsia"/>
        </w:rPr>
        <w:t>、朱</w:t>
      </w:r>
      <w:r>
        <w:rPr>
          <w:rFonts w:hint="eastAsia"/>
        </w:rPr>
        <w:t>偵查佐(</w:t>
      </w:r>
      <w:r w:rsidRPr="00FC5B97">
        <w:rPr>
          <w:rFonts w:hint="eastAsia"/>
        </w:rPr>
        <w:t>司法警察</w:t>
      </w:r>
      <w:r>
        <w:rPr>
          <w:rFonts w:hint="eastAsia"/>
        </w:rPr>
        <w:t>)</w:t>
      </w:r>
      <w:r w:rsidRPr="00FC5B97">
        <w:rPr>
          <w:rFonts w:hint="eastAsia"/>
        </w:rPr>
        <w:t>之證詞，及扣案之黑色夾克、米黃色長褲各一件為論據。然稽之案內資料，被害人於警局初詢並未供述強盜歹徒有持刀，已與其嗣後所稱持刀之說詞不盡相符；又被害人於第一次警詢時明確供稱歹徒穿著為「深色外套、深色長褲」，其所謂「深色長褲」與扣案之米黃色長褲，得否謂為相同？證人朱</w:t>
      </w:r>
      <w:r>
        <w:rPr>
          <w:rFonts w:hint="eastAsia"/>
        </w:rPr>
        <w:t>偵查佐</w:t>
      </w:r>
      <w:r w:rsidRPr="00FC5B97">
        <w:rPr>
          <w:rFonts w:hint="eastAsia"/>
        </w:rPr>
        <w:t>所證檢視之</w:t>
      </w:r>
      <w:r>
        <w:rPr>
          <w:rFonts w:hint="eastAsia"/>
        </w:rPr>
        <w:t>臺</w:t>
      </w:r>
      <w:r w:rsidRPr="00FC5B97">
        <w:rPr>
          <w:rFonts w:hint="eastAsia"/>
        </w:rPr>
        <w:t>南市</w:t>
      </w:r>
      <w:r>
        <w:rPr>
          <w:rFonts w:hint="eastAsia"/>
        </w:rPr>
        <w:t>郡緯</w:t>
      </w:r>
      <w:r w:rsidRPr="00FC5B97">
        <w:rPr>
          <w:rFonts w:hint="eastAsia"/>
        </w:rPr>
        <w:t>街監視器畫面，其攝錄時間為</w:t>
      </w:r>
      <w:r>
        <w:rPr>
          <w:rFonts w:hint="eastAsia"/>
        </w:rPr>
        <w:t>95</w:t>
      </w:r>
      <w:r w:rsidRPr="00FC5B97">
        <w:rPr>
          <w:rFonts w:hint="eastAsia"/>
        </w:rPr>
        <w:t>年</w:t>
      </w:r>
      <w:r>
        <w:rPr>
          <w:rFonts w:hint="eastAsia"/>
        </w:rPr>
        <w:t>1</w:t>
      </w:r>
      <w:r w:rsidRPr="00FC5B97">
        <w:rPr>
          <w:rFonts w:hint="eastAsia"/>
        </w:rPr>
        <w:t>月</w:t>
      </w:r>
      <w:r>
        <w:rPr>
          <w:rFonts w:hint="eastAsia"/>
        </w:rPr>
        <w:t>27</w:t>
      </w:r>
      <w:r w:rsidRPr="00FC5B97">
        <w:rPr>
          <w:rFonts w:hint="eastAsia"/>
        </w:rPr>
        <w:t>日</w:t>
      </w:r>
      <w:r>
        <w:rPr>
          <w:rFonts w:hint="eastAsia"/>
        </w:rPr>
        <w:t>0</w:t>
      </w:r>
      <w:r w:rsidRPr="00FC5B97">
        <w:rPr>
          <w:rFonts w:hint="eastAsia"/>
        </w:rPr>
        <w:t>時</w:t>
      </w:r>
      <w:r>
        <w:rPr>
          <w:rFonts w:hint="eastAsia"/>
        </w:rPr>
        <w:t>59</w:t>
      </w:r>
      <w:r w:rsidRPr="00FC5B97">
        <w:rPr>
          <w:rFonts w:hint="eastAsia"/>
        </w:rPr>
        <w:t>分</w:t>
      </w:r>
      <w:r>
        <w:rPr>
          <w:rFonts w:hint="eastAsia"/>
        </w:rPr>
        <w:t>42</w:t>
      </w:r>
      <w:r w:rsidRPr="00FC5B97">
        <w:rPr>
          <w:rFonts w:hint="eastAsia"/>
        </w:rPr>
        <w:t>秒，然本件案發時間係同日</w:t>
      </w:r>
      <w:r>
        <w:rPr>
          <w:rFonts w:hint="eastAsia"/>
        </w:rPr>
        <w:t>0</w:t>
      </w:r>
      <w:r w:rsidRPr="00FC5B97">
        <w:rPr>
          <w:rFonts w:hint="eastAsia"/>
        </w:rPr>
        <w:t>時</w:t>
      </w:r>
      <w:r>
        <w:rPr>
          <w:rFonts w:hint="eastAsia"/>
        </w:rPr>
        <w:t>30</w:t>
      </w:r>
      <w:r w:rsidRPr="00FC5B97">
        <w:rPr>
          <w:rFonts w:hint="eastAsia"/>
        </w:rPr>
        <w:t>分許，如依原判決之認定，上訴人於強盜得手後既已逃離現場，何以又在案發後</w:t>
      </w:r>
      <w:r>
        <w:rPr>
          <w:rFonts w:hint="eastAsia"/>
        </w:rPr>
        <w:t>30</w:t>
      </w:r>
      <w:r w:rsidRPr="00FC5B97">
        <w:rPr>
          <w:rFonts w:hint="eastAsia"/>
        </w:rPr>
        <w:t>分仍出現於附近，兩者之間有何關連性？原審勘驗該監視器光碟片結果，既認無法看清楚車牌號碼，又如何得認該騎士即係上訴人？均非無疑。凡此，不惟與判斷被害人陳述之憑信性攸關，更與上訴人有無被訴之加重強盜犯行，以及上開其他證據與被害人供述被害之經過有無關連性而得作為補強證據之判斷，至有關係。為發現真實，自具調查必要性，且非不能調查。乃原審對於上開諸多疑點俱未調查審認，根究明白，遽行判決，已難謂</w:t>
      </w:r>
      <w:r w:rsidRPr="00FC5B97">
        <w:rPr>
          <w:rFonts w:hint="eastAsia"/>
        </w:rPr>
        <w:lastRenderedPageBreak/>
        <w:t>無調查職責未盡之違法。且未進一步調查有無其他必要之補強證據，以察被害人此部分指述是否與事實相符，徒以被害人於偵審中均具結陳述為由，遽為上訴人論罪之依據，自欠允洽，其採證亦屬違法。</w:t>
      </w:r>
    </w:p>
    <w:p w:rsidR="00CA6CF4" w:rsidRDefault="00CA6CF4" w:rsidP="00CA6CF4">
      <w:pPr>
        <w:pStyle w:val="6"/>
      </w:pPr>
      <w:r w:rsidRPr="00FC5B97">
        <w:rPr>
          <w:rFonts w:hint="eastAsia"/>
        </w:rPr>
        <w:t>證人係指在他人之訴訟案件中，陳述自己所見所聞具體事實之第三人，為證據之一種，具有不可替代之性質。刑事訴訟法第</w:t>
      </w:r>
      <w:r>
        <w:rPr>
          <w:rFonts w:hint="eastAsia"/>
        </w:rPr>
        <w:t>176</w:t>
      </w:r>
      <w:r w:rsidRPr="00FC5B97">
        <w:rPr>
          <w:rFonts w:hint="eastAsia"/>
        </w:rPr>
        <w:t>條之</w:t>
      </w:r>
      <w:r>
        <w:rPr>
          <w:rFonts w:hint="eastAsia"/>
        </w:rPr>
        <w:t>1</w:t>
      </w:r>
      <w:r w:rsidRPr="00FC5B97">
        <w:rPr>
          <w:rFonts w:hint="eastAsia"/>
        </w:rPr>
        <w:t>規定：「除法律另有規定外，不論何人，於他人之案件，有為證人之義務。」俾能發見事實真相。又證人究應於何時傳喚，事實審法院得依具體個案審酌判斷，刑事訴訟法並無證人傳喚時間限制之規定。證人之證言是否足以證明待證事實，即證言是否具有實質證據力，應以其是否具有憑信性為前提，而與證人於何一時間作證陳述，應無關連。當事人聲請調查之證據，有無調查之必要，雖屬法院自由裁量權行使之範疇，惟何種情形始認為不必要，應依刑事訴訟法第</w:t>
      </w:r>
      <w:r>
        <w:rPr>
          <w:rFonts w:hint="eastAsia"/>
        </w:rPr>
        <w:t>163</w:t>
      </w:r>
      <w:r w:rsidRPr="00FC5B97">
        <w:rPr>
          <w:rFonts w:hint="eastAsia"/>
        </w:rPr>
        <w:t>條之</w:t>
      </w:r>
      <w:r>
        <w:rPr>
          <w:rFonts w:hint="eastAsia"/>
        </w:rPr>
        <w:t>2</w:t>
      </w:r>
      <w:r w:rsidRPr="00FC5B97">
        <w:rPr>
          <w:rFonts w:hint="eastAsia"/>
        </w:rPr>
        <w:t>第</w:t>
      </w:r>
      <w:r>
        <w:rPr>
          <w:rFonts w:hint="eastAsia"/>
        </w:rPr>
        <w:t>2</w:t>
      </w:r>
      <w:r w:rsidRPr="00FC5B97">
        <w:rPr>
          <w:rFonts w:hint="eastAsia"/>
        </w:rPr>
        <w:t>項之規定為斷。上訴人於原審具狀表明待證事項，聲請傳喚其陳</w:t>
      </w:r>
      <w:r>
        <w:rPr>
          <w:rFonts w:hint="eastAsia"/>
        </w:rPr>
        <w:t>姓</w:t>
      </w:r>
      <w:r w:rsidRPr="00FC5B97">
        <w:rPr>
          <w:rFonts w:hint="eastAsia"/>
        </w:rPr>
        <w:t>同居人為證。原判決竟以上訴人於歷審均未敘明有此證人，亦未敘明為何直至原審始行傳訊之原因，因認無傳喚之必要等由，其自由判斷之職權運用，殊難謂為符合論理上之法則，併有判決理由不備之違法。</w:t>
      </w:r>
    </w:p>
    <w:p w:rsidR="0064330B" w:rsidRPr="0064330B" w:rsidRDefault="00CA6CF4" w:rsidP="00407ECE">
      <w:pPr>
        <w:pStyle w:val="4"/>
      </w:pPr>
      <w:r w:rsidRPr="00CA6CF4">
        <w:rPr>
          <w:rFonts w:hAnsi="標楷體" w:cs="新細明體" w:hint="eastAsia"/>
          <w:color w:val="000000"/>
          <w:kern w:val="0"/>
          <w:szCs w:val="32"/>
        </w:rPr>
        <w:t>臺南高分院97年4月24日</w:t>
      </w:r>
      <w:r w:rsidRPr="00CA6CF4">
        <w:rPr>
          <w:rFonts w:hAnsi="標楷體" w:cs="新細明體"/>
          <w:color w:val="000000"/>
          <w:kern w:val="0"/>
          <w:szCs w:val="32"/>
        </w:rPr>
        <w:t>97</w:t>
      </w:r>
      <w:r w:rsidRPr="00CA6CF4">
        <w:rPr>
          <w:rFonts w:hAnsi="標楷體" w:cs="新細明體" w:hint="eastAsia"/>
          <w:color w:val="000000"/>
          <w:kern w:val="0"/>
          <w:szCs w:val="32"/>
        </w:rPr>
        <w:t>年度上更(二)字第</w:t>
      </w:r>
      <w:r w:rsidRPr="00CA6CF4">
        <w:rPr>
          <w:rFonts w:hAnsi="標楷體" w:cs="新細明體"/>
          <w:color w:val="000000"/>
          <w:kern w:val="0"/>
          <w:szCs w:val="32"/>
        </w:rPr>
        <w:t>63</w:t>
      </w:r>
      <w:r w:rsidRPr="00CA6CF4">
        <w:rPr>
          <w:rFonts w:hAnsi="標楷體" w:cs="新細明體" w:hint="eastAsia"/>
          <w:color w:val="000000"/>
          <w:kern w:val="0"/>
          <w:szCs w:val="32"/>
        </w:rPr>
        <w:t>號</w:t>
      </w:r>
      <w:r>
        <w:rPr>
          <w:rFonts w:hAnsi="標楷體" w:cs="新細明體" w:hint="eastAsia"/>
          <w:color w:val="000000"/>
          <w:kern w:val="0"/>
          <w:szCs w:val="32"/>
        </w:rPr>
        <w:t>(更二審)</w:t>
      </w:r>
      <w:r w:rsidRPr="00CA6CF4">
        <w:rPr>
          <w:rFonts w:hAnsi="標楷體" w:cs="新細明體" w:hint="eastAsia"/>
          <w:color w:val="000000"/>
          <w:kern w:val="0"/>
          <w:szCs w:val="32"/>
        </w:rPr>
        <w:t>判決</w:t>
      </w:r>
      <w:r w:rsidR="0064330B" w:rsidRPr="0064330B">
        <w:rPr>
          <w:rFonts w:hAnsi="標楷體" w:hint="eastAsia"/>
        </w:rPr>
        <w:t>：</w:t>
      </w:r>
    </w:p>
    <w:p w:rsidR="0064330B" w:rsidRPr="0064330B" w:rsidRDefault="00CA6CF4" w:rsidP="006344C0">
      <w:pPr>
        <w:pStyle w:val="5"/>
      </w:pPr>
      <w:r>
        <w:rPr>
          <w:rFonts w:hint="eastAsia"/>
        </w:rPr>
        <w:t>主文：</w:t>
      </w:r>
      <w:r w:rsidRPr="00135AB4">
        <w:rPr>
          <w:rFonts w:hint="eastAsia"/>
        </w:rPr>
        <w:t>原判決關於強盜部分撤銷</w:t>
      </w:r>
      <w:r>
        <w:rPr>
          <w:rFonts w:hint="eastAsia"/>
        </w:rPr>
        <w:t>。陳訴人</w:t>
      </w:r>
      <w:r w:rsidRPr="00135AB4">
        <w:rPr>
          <w:rFonts w:hint="eastAsia"/>
        </w:rPr>
        <w:t>被訴</w:t>
      </w:r>
      <w:r w:rsidRPr="007271A9">
        <w:rPr>
          <w:rFonts w:hint="eastAsia"/>
          <w:b/>
        </w:rPr>
        <w:t>強盜部分無罪</w:t>
      </w:r>
      <w:r>
        <w:rPr>
          <w:rFonts w:hint="eastAsia"/>
        </w:rPr>
        <w:t>。</w:t>
      </w:r>
    </w:p>
    <w:p w:rsidR="0064330B" w:rsidRPr="0064330B" w:rsidRDefault="00CA6CF4" w:rsidP="006344C0">
      <w:pPr>
        <w:pStyle w:val="5"/>
      </w:pPr>
      <w:r>
        <w:rPr>
          <w:rFonts w:hint="eastAsia"/>
        </w:rPr>
        <w:lastRenderedPageBreak/>
        <w:t>理由：</w:t>
      </w:r>
    </w:p>
    <w:p w:rsidR="00A36013" w:rsidRPr="00776090" w:rsidRDefault="00A36013" w:rsidP="00A36013">
      <w:pPr>
        <w:pStyle w:val="6"/>
      </w:pPr>
      <w:r w:rsidRPr="00135AB4">
        <w:rPr>
          <w:rFonts w:hint="eastAsia"/>
        </w:rPr>
        <w:t>證人王</w:t>
      </w:r>
      <w:r>
        <w:rPr>
          <w:rFonts w:hint="eastAsia"/>
        </w:rPr>
        <w:t>女</w:t>
      </w:r>
      <w:r w:rsidRPr="00135AB4">
        <w:rPr>
          <w:rFonts w:hint="eastAsia"/>
        </w:rPr>
        <w:t>偵訊結證稱：伊於</w:t>
      </w:r>
      <w:r w:rsidRPr="00135AB4">
        <w:t>95</w:t>
      </w:r>
      <w:r w:rsidRPr="00135AB4">
        <w:rPr>
          <w:rFonts w:hint="eastAsia"/>
        </w:rPr>
        <w:t>年</w:t>
      </w:r>
      <w:r w:rsidRPr="00135AB4">
        <w:t>1</w:t>
      </w:r>
      <w:r w:rsidRPr="00135AB4">
        <w:rPr>
          <w:rFonts w:hint="eastAsia"/>
        </w:rPr>
        <w:t>月</w:t>
      </w:r>
      <w:r w:rsidRPr="00135AB4">
        <w:t>27</w:t>
      </w:r>
      <w:r w:rsidRPr="00135AB4">
        <w:rPr>
          <w:rFonts w:hint="eastAsia"/>
        </w:rPr>
        <w:t>日</w:t>
      </w:r>
      <w:r>
        <w:rPr>
          <w:rFonts w:hint="eastAsia"/>
        </w:rPr>
        <w:t>0</w:t>
      </w:r>
      <w:r w:rsidRPr="00135AB4">
        <w:rPr>
          <w:rFonts w:hint="eastAsia"/>
        </w:rPr>
        <w:t>時</w:t>
      </w:r>
      <w:r w:rsidRPr="00135AB4">
        <w:t>30</w:t>
      </w:r>
      <w:r w:rsidRPr="00135AB4">
        <w:rPr>
          <w:rFonts w:hint="eastAsia"/>
        </w:rPr>
        <w:t>分許，騎機車回到臺南市中西區郡緯街住處前，被告突然過來，持一把藍色手柄小刀架在伊脖子上，以臺語說把身上的錢拿出來，伊告訴被告其是學生，身上沒有錢，被告說把錢拿出來就是，伊拿出身上的</w:t>
      </w:r>
      <w:r w:rsidRPr="00135AB4">
        <w:t>9</w:t>
      </w:r>
      <w:r w:rsidRPr="00135AB4">
        <w:rPr>
          <w:rFonts w:hint="eastAsia"/>
        </w:rPr>
        <w:t>百元，被告就將錢拿走。當時被告駕</w:t>
      </w:r>
      <w:r>
        <w:rPr>
          <w:rFonts w:hint="eastAsia"/>
        </w:rPr>
        <w:t>駛</w:t>
      </w:r>
      <w:r w:rsidRPr="00135AB4">
        <w:rPr>
          <w:rFonts w:cs="SimSun"/>
        </w:rPr>
        <w:t>VINO</w:t>
      </w:r>
      <w:r w:rsidRPr="00135AB4">
        <w:rPr>
          <w:rFonts w:hint="eastAsia"/>
        </w:rPr>
        <w:t>黑色機車，但沒有記下車牌；被告著黑色夾克、半罩式安全帽，又帶口罩，可以看到他的眼神及體型等語。又於原審證稱：伊於</w:t>
      </w:r>
      <w:r w:rsidRPr="00135AB4">
        <w:t>95</w:t>
      </w:r>
      <w:r w:rsidRPr="00135AB4">
        <w:rPr>
          <w:rFonts w:hint="eastAsia"/>
        </w:rPr>
        <w:t>年</w:t>
      </w:r>
      <w:r w:rsidRPr="00135AB4">
        <w:t>1</w:t>
      </w:r>
      <w:r w:rsidRPr="00135AB4">
        <w:rPr>
          <w:rFonts w:hint="eastAsia"/>
        </w:rPr>
        <w:t>月</w:t>
      </w:r>
      <w:r w:rsidRPr="00135AB4">
        <w:t>27</w:t>
      </w:r>
      <w:r>
        <w:rPr>
          <w:rFonts w:hint="eastAsia"/>
        </w:rPr>
        <w:t>日0</w:t>
      </w:r>
      <w:r w:rsidRPr="00135AB4">
        <w:rPr>
          <w:rFonts w:hint="eastAsia"/>
        </w:rPr>
        <w:t>時</w:t>
      </w:r>
      <w:r w:rsidRPr="00135AB4">
        <w:t>30</w:t>
      </w:r>
      <w:r w:rsidRPr="00135AB4">
        <w:rPr>
          <w:rFonts w:hint="eastAsia"/>
        </w:rPr>
        <w:t>分許，在臺南市中西區郡緯街住</w:t>
      </w:r>
      <w:r>
        <w:rPr>
          <w:rFonts w:hint="eastAsia"/>
        </w:rPr>
        <w:t>處</w:t>
      </w:r>
      <w:r w:rsidRPr="00135AB4">
        <w:rPr>
          <w:rFonts w:hint="eastAsia"/>
        </w:rPr>
        <w:t>前被人強盜</w:t>
      </w:r>
      <w:r w:rsidRPr="00135AB4">
        <w:t>9</w:t>
      </w:r>
      <w:r w:rsidRPr="00135AB4">
        <w:rPr>
          <w:rFonts w:hint="eastAsia"/>
        </w:rPr>
        <w:t>百元，伊與歹徒面對面，歹徒身高約</w:t>
      </w:r>
      <w:r w:rsidRPr="00135AB4">
        <w:t>170</w:t>
      </w:r>
      <w:r w:rsidRPr="00135AB4">
        <w:rPr>
          <w:rFonts w:hint="eastAsia"/>
        </w:rPr>
        <w:t>至</w:t>
      </w:r>
      <w:r w:rsidRPr="00135AB4">
        <w:t>180</w:t>
      </w:r>
      <w:r w:rsidRPr="00135AB4">
        <w:rPr>
          <w:rFonts w:hint="eastAsia"/>
        </w:rPr>
        <w:t>公分，著深色上衣，戴口罩，安全帽為沒有鏡片半罩</w:t>
      </w:r>
      <w:r>
        <w:rPr>
          <w:rFonts w:hint="eastAsia"/>
        </w:rPr>
        <w:t>，</w:t>
      </w:r>
      <w:r w:rsidRPr="00135AB4">
        <w:rPr>
          <w:rFonts w:hint="eastAsia"/>
        </w:rPr>
        <w:t>騎類似</w:t>
      </w:r>
      <w:r w:rsidRPr="00135AB4">
        <w:rPr>
          <w:rFonts w:cs="SimSun"/>
        </w:rPr>
        <w:t>VINO</w:t>
      </w:r>
      <w:r w:rsidRPr="00135AB4">
        <w:rPr>
          <w:rFonts w:hint="eastAsia"/>
        </w:rPr>
        <w:t>型機車，不知是山葉或三陽牌等詞。又原審當庭要被告站立，由證人王</w:t>
      </w:r>
      <w:r>
        <w:rPr>
          <w:rFonts w:hint="eastAsia"/>
        </w:rPr>
        <w:t>女</w:t>
      </w:r>
      <w:r w:rsidRPr="00135AB4">
        <w:rPr>
          <w:rFonts w:hint="eastAsia"/>
        </w:rPr>
        <w:t>指出被告身高，惟證</w:t>
      </w:r>
      <w:r>
        <w:rPr>
          <w:rFonts w:hint="eastAsia"/>
        </w:rPr>
        <w:t>人王女</w:t>
      </w:r>
      <w:r w:rsidRPr="00135AB4">
        <w:rPr>
          <w:rFonts w:hint="eastAsia"/>
        </w:rPr>
        <w:t>陳稱：現場伊無法說出身高，因為當時伊坐在機車上，不知道他有無彎腰，無法判斷身高等情。依證人王</w:t>
      </w:r>
      <w:r>
        <w:rPr>
          <w:rFonts w:hint="eastAsia"/>
        </w:rPr>
        <w:t>女</w:t>
      </w:r>
      <w:r w:rsidRPr="00135AB4">
        <w:rPr>
          <w:rFonts w:hint="eastAsia"/>
        </w:rPr>
        <w:t>之證述，其被強盜時，並未見強盜者之全部面貌，就體型之身高，只憑主觀認知之陳述，對強盜者所使用之交通工具，僅知類以</w:t>
      </w:r>
      <w:r w:rsidRPr="00135AB4">
        <w:rPr>
          <w:rFonts w:cs="SimSun"/>
        </w:rPr>
        <w:t>VINO</w:t>
      </w:r>
      <w:r w:rsidRPr="00135AB4">
        <w:rPr>
          <w:rFonts w:hint="eastAsia"/>
        </w:rPr>
        <w:t>黑色之類型機車，亦不知車牌號碼而得為確切指認，尚不得為被告強盜行為之不利之證明。</w:t>
      </w:r>
    </w:p>
    <w:p w:rsidR="00A36013" w:rsidRPr="00C45823" w:rsidRDefault="00A36013" w:rsidP="00A36013">
      <w:pPr>
        <w:pStyle w:val="6"/>
      </w:pPr>
      <w:r w:rsidRPr="00135AB4">
        <w:rPr>
          <w:rFonts w:hint="eastAsia"/>
        </w:rPr>
        <w:t>證人王</w:t>
      </w:r>
      <w:r>
        <w:rPr>
          <w:rFonts w:hint="eastAsia"/>
        </w:rPr>
        <w:t>女</w:t>
      </w:r>
      <w:r w:rsidRPr="00135AB4">
        <w:rPr>
          <w:rFonts w:hint="eastAsia"/>
        </w:rPr>
        <w:t>固於警詢時指認強盜者係被告，有指認照片可參。惟</w:t>
      </w:r>
      <w:r w:rsidRPr="00B16C62">
        <w:rPr>
          <w:rFonts w:hint="eastAsia"/>
          <w:b/>
        </w:rPr>
        <w:t>現行刑事訴訟法並無關於指認犯罪嫌疑人及被告程序之規定，如何經由被害人、檢舉人或目擊證人以正確指認犯罪嫌疑人，自應依個案之具體情形為適當之</w:t>
      </w:r>
      <w:r w:rsidRPr="00B16C62">
        <w:rPr>
          <w:rFonts w:hint="eastAsia"/>
          <w:b/>
        </w:rPr>
        <w:lastRenderedPageBreak/>
        <w:t>處理。依法務部及内政部警政署於90年5月、8月頒布之「法務部對於指認犯罪嫌疑人程序要點」、「人犯指認作業要點」及「警察機關實施指認犯罪嫌疑人程序要領」中之規定，於偵查過程中指認犯罪嫌疑人，係採取「選擇式」列隊指認，而非一對一「是非式的單一指認」；供選擇指認之數人在外形上不得有重大的差異；實施照片指認，不得以單一相片提供指認，並避免提供老舊照片指認；指認前應由指認人先陳述嫌疑人的特徵、不得對指認人進行誘導或暗示等程序，固可提高指認的正確度，以預防指認錯誤之發生。然指認之程序，固須注重人權之保障，亦需兼顧真實之發現，確保社會正義實現之基本目的。法院就偵查過程中所實施之第一次指認(禁止重覆指認)，應綜合指認人於案發時所處之環境，是否足資認定其確能對犯罪嫌疑人觀察明白、認知犯罪行為人行為之内容，該事後依憑個人之知覺及記憶所為之指認是否客觀可信，而非出於不當之暗示等事項，為事後審查。</w:t>
      </w:r>
      <w:r w:rsidRPr="00135AB4">
        <w:rPr>
          <w:rFonts w:hint="eastAsia"/>
        </w:rPr>
        <w:t>查證人王</w:t>
      </w:r>
      <w:r>
        <w:rPr>
          <w:rFonts w:hint="eastAsia"/>
        </w:rPr>
        <w:t>女</w:t>
      </w:r>
      <w:r w:rsidRPr="00135AB4">
        <w:rPr>
          <w:rFonts w:hint="eastAsia"/>
        </w:rPr>
        <w:t>偵訊經檢察官提示警卷照片詢以何以能確定被告係強盜犯行之人時證稱：因為我可以看到他</w:t>
      </w:r>
      <w:r>
        <w:rPr>
          <w:rFonts w:hint="eastAsia"/>
        </w:rPr>
        <w:t>(</w:t>
      </w:r>
      <w:r w:rsidRPr="00135AB4">
        <w:rPr>
          <w:rFonts w:hint="eastAsia"/>
        </w:rPr>
        <w:t>指</w:t>
      </w:r>
      <w:r>
        <w:rPr>
          <w:rFonts w:hint="eastAsia"/>
        </w:rPr>
        <w:t>強</w:t>
      </w:r>
      <w:r w:rsidRPr="00135AB4">
        <w:rPr>
          <w:rFonts w:hint="eastAsia"/>
        </w:rPr>
        <w:t>盜者</w:t>
      </w:r>
      <w:r>
        <w:rPr>
          <w:rFonts w:hint="eastAsia"/>
        </w:rPr>
        <w:t>)</w:t>
      </w:r>
      <w:r w:rsidRPr="00135AB4">
        <w:rPr>
          <w:rFonts w:hint="eastAsia"/>
        </w:rPr>
        <w:t>眼神及體型，在警局中警察有放他</w:t>
      </w:r>
      <w:r>
        <w:rPr>
          <w:rFonts w:hint="eastAsia"/>
        </w:rPr>
        <w:t>(</w:t>
      </w:r>
      <w:r w:rsidRPr="00135AB4">
        <w:rPr>
          <w:rFonts w:hint="eastAsia"/>
        </w:rPr>
        <w:t>指被告</w:t>
      </w:r>
      <w:r>
        <w:rPr>
          <w:rFonts w:hint="eastAsia"/>
        </w:rPr>
        <w:t>)</w:t>
      </w:r>
      <w:r w:rsidRPr="00135AB4">
        <w:rPr>
          <w:rFonts w:hint="eastAsia"/>
        </w:rPr>
        <w:t>之前的刑案所錄製的錄音帶，我可以確認是他</w:t>
      </w:r>
      <w:r>
        <w:rPr>
          <w:rFonts w:hint="eastAsia"/>
        </w:rPr>
        <w:t>(</w:t>
      </w:r>
      <w:r w:rsidRPr="00135AB4">
        <w:rPr>
          <w:rFonts w:hint="eastAsia"/>
        </w:rPr>
        <w:t>指被告</w:t>
      </w:r>
      <w:r>
        <w:rPr>
          <w:rFonts w:hint="eastAsia"/>
        </w:rPr>
        <w:t>)</w:t>
      </w:r>
      <w:r w:rsidRPr="00135AB4">
        <w:rPr>
          <w:rFonts w:hint="eastAsia"/>
        </w:rPr>
        <w:t>等語；原審證稱：伊警詢之指認是聽他</w:t>
      </w:r>
      <w:r>
        <w:rPr>
          <w:rFonts w:hint="eastAsia"/>
        </w:rPr>
        <w:t>(</w:t>
      </w:r>
      <w:r w:rsidRPr="00135AB4">
        <w:rPr>
          <w:rFonts w:hint="eastAsia"/>
        </w:rPr>
        <w:t>指被告</w:t>
      </w:r>
      <w:r>
        <w:rPr>
          <w:rFonts w:hint="eastAsia"/>
        </w:rPr>
        <w:t>)</w:t>
      </w:r>
      <w:r w:rsidRPr="00135AB4">
        <w:rPr>
          <w:rFonts w:hint="eastAsia"/>
        </w:rPr>
        <w:t>講話聲、車子還有衣服。第二次警詢時所為之指認，警局先提供很多照片，聽到很多個聲音，但沒有告知歹徒可能不在其中之一；第三次警詢時所為</w:t>
      </w:r>
      <w:r w:rsidRPr="00135AB4">
        <w:rPr>
          <w:rFonts w:hint="eastAsia"/>
        </w:rPr>
        <w:lastRenderedPageBreak/>
        <w:t>之指認，也沒有告知歹徒可能不在其中之一，且除被告以外沒有人穿囚服，被告當時手上拿有手套、上腳鍊等情。則本件</w:t>
      </w:r>
      <w:r w:rsidRPr="00B16C62">
        <w:rPr>
          <w:rFonts w:hint="eastAsia"/>
          <w:b/>
        </w:rPr>
        <w:t>證人王女在警局所為之指認，係警員先行提供被告他案之筆錄錄音供證人王女聽聞，指認人並非以案發時強盜者所處發音環境，憑個人之知覺及記憶所為客觀指認；又被告一人身著囚服帶著戒具供指認，已有犯罪行為人之暗示，復未告知歹徒可能不在其中，指認人經誘導、暗示而受污染知覺記憶，信賴度極低，該指認即有瑕疵</w:t>
      </w:r>
      <w:r w:rsidRPr="00135AB4">
        <w:rPr>
          <w:rFonts w:hint="eastAsia"/>
        </w:rPr>
        <w:t>，能否對犯罪嫌疑人觀察明白，已非無疑。再參以前述證人王</w:t>
      </w:r>
      <w:r>
        <w:rPr>
          <w:rFonts w:hint="eastAsia"/>
        </w:rPr>
        <w:t>女</w:t>
      </w:r>
      <w:r w:rsidRPr="00135AB4">
        <w:rPr>
          <w:rFonts w:hint="eastAsia"/>
        </w:rPr>
        <w:t>被強盜時，並未見強盜者之全部面貌，上揭指認，自難憑採。</w:t>
      </w:r>
    </w:p>
    <w:p w:rsidR="00A36013" w:rsidRPr="00C45823" w:rsidRDefault="00A36013" w:rsidP="00A36013">
      <w:pPr>
        <w:pStyle w:val="6"/>
      </w:pPr>
      <w:r w:rsidRPr="00135AB4">
        <w:rPr>
          <w:rFonts w:hint="eastAsia"/>
        </w:rPr>
        <w:t>公訴人復以：於</w:t>
      </w:r>
      <w:r w:rsidRPr="00135AB4">
        <w:t>95</w:t>
      </w:r>
      <w:r w:rsidRPr="00135AB4">
        <w:rPr>
          <w:rFonts w:hint="eastAsia"/>
        </w:rPr>
        <w:t>年</w:t>
      </w:r>
      <w:r w:rsidRPr="00135AB4">
        <w:t>1</w:t>
      </w:r>
      <w:r w:rsidRPr="00135AB4">
        <w:rPr>
          <w:rFonts w:hint="eastAsia"/>
        </w:rPr>
        <w:t>月</w:t>
      </w:r>
      <w:r w:rsidRPr="00135AB4">
        <w:t>27</w:t>
      </w:r>
      <w:r w:rsidRPr="00135AB4">
        <w:rPr>
          <w:rFonts w:hint="eastAsia"/>
        </w:rPr>
        <w:t>日</w:t>
      </w:r>
      <w:r>
        <w:rPr>
          <w:rFonts w:hint="eastAsia"/>
        </w:rPr>
        <w:t>0</w:t>
      </w:r>
      <w:r w:rsidRPr="00135AB4">
        <w:rPr>
          <w:rFonts w:hint="eastAsia"/>
        </w:rPr>
        <w:t>時</w:t>
      </w:r>
      <w:r w:rsidRPr="00135AB4">
        <w:t>59</w:t>
      </w:r>
      <w:r w:rsidRPr="00135AB4">
        <w:rPr>
          <w:rFonts w:hint="eastAsia"/>
        </w:rPr>
        <w:t>分</w:t>
      </w:r>
      <w:r w:rsidRPr="00135AB4">
        <w:t>42</w:t>
      </w:r>
      <w:r w:rsidRPr="00135AB4">
        <w:rPr>
          <w:rFonts w:hint="eastAsia"/>
        </w:rPr>
        <w:t>秒，有一部類似</w:t>
      </w:r>
      <w:r w:rsidRPr="00135AB4">
        <w:rPr>
          <w:rFonts w:cs="SimSun"/>
        </w:rPr>
        <w:t>VIN</w:t>
      </w:r>
      <w:r w:rsidRPr="00135AB4">
        <w:t>0</w:t>
      </w:r>
      <w:r w:rsidRPr="00135AB4">
        <w:rPr>
          <w:rFonts w:hint="eastAsia"/>
        </w:rPr>
        <w:t>黑色機車在海安路、郡緯街向東經過。而被告亦供認其有一部</w:t>
      </w:r>
      <w:r>
        <w:rPr>
          <w:rFonts w:hint="eastAsia"/>
        </w:rPr>
        <w:t>相</w:t>
      </w:r>
      <w:r w:rsidRPr="00135AB4">
        <w:rPr>
          <w:rFonts w:hint="eastAsia"/>
        </w:rPr>
        <w:t>類型機車，且係其使用，而認被告有為本件強盜犯行。惟查，證人朱</w:t>
      </w:r>
      <w:r>
        <w:rPr>
          <w:rFonts w:hint="eastAsia"/>
        </w:rPr>
        <w:t>偵查佐</w:t>
      </w:r>
      <w:r w:rsidRPr="00135AB4">
        <w:rPr>
          <w:rFonts w:hint="eastAsia"/>
        </w:rPr>
        <w:t>證稱：伊任職第二分局偵查</w:t>
      </w:r>
      <w:r>
        <w:rPr>
          <w:rFonts w:hint="eastAsia"/>
        </w:rPr>
        <w:t>佐</w:t>
      </w:r>
      <w:r w:rsidRPr="00135AB4">
        <w:rPr>
          <w:rFonts w:hint="eastAsia"/>
        </w:rPr>
        <w:t>，承辦本件強盜案，因為之前被告涉有竊盜案，所以知道被告騎的機車，調閱錄影帶，依錄影帶所示機車型式、廠牌、該人體型而借提被告調查等語。而</w:t>
      </w:r>
      <w:r>
        <w:rPr>
          <w:rFonts w:hint="eastAsia"/>
        </w:rPr>
        <w:t>該</w:t>
      </w:r>
      <w:r w:rsidRPr="00135AB4">
        <w:rPr>
          <w:rFonts w:hint="eastAsia"/>
        </w:rPr>
        <w:t>院勘驗該監視器所拍攝照片之錄影帶，結果：於</w:t>
      </w:r>
      <w:r w:rsidRPr="00135AB4">
        <w:t>95</w:t>
      </w:r>
      <w:r w:rsidRPr="00135AB4">
        <w:rPr>
          <w:rFonts w:hint="eastAsia"/>
        </w:rPr>
        <w:t>年</w:t>
      </w:r>
      <w:r w:rsidRPr="00135AB4">
        <w:t>1</w:t>
      </w:r>
      <w:r w:rsidRPr="00135AB4">
        <w:rPr>
          <w:rFonts w:hint="eastAsia"/>
        </w:rPr>
        <w:t>月</w:t>
      </w:r>
      <w:r w:rsidRPr="00135AB4">
        <w:t>27</w:t>
      </w:r>
      <w:r w:rsidRPr="00135AB4">
        <w:rPr>
          <w:rFonts w:hint="eastAsia"/>
        </w:rPr>
        <w:t>日</w:t>
      </w:r>
      <w:r>
        <w:rPr>
          <w:rFonts w:hint="eastAsia"/>
        </w:rPr>
        <w:t>0</w:t>
      </w:r>
      <w:r w:rsidRPr="00135AB4">
        <w:rPr>
          <w:rFonts w:hint="eastAsia"/>
        </w:rPr>
        <w:t>時</w:t>
      </w:r>
      <w:r w:rsidRPr="00135AB4">
        <w:t>59</w:t>
      </w:r>
      <w:r w:rsidRPr="00135AB4">
        <w:rPr>
          <w:rFonts w:hint="eastAsia"/>
        </w:rPr>
        <w:t>分許，監視器</w:t>
      </w:r>
      <w:r>
        <w:rPr>
          <w:rFonts w:hint="eastAsia"/>
        </w:rPr>
        <w:t>畫</w:t>
      </w:r>
      <w:r w:rsidRPr="00135AB4">
        <w:rPr>
          <w:rFonts w:hint="eastAsia"/>
        </w:rPr>
        <w:t>面無法看清機車車牌號碼，監視器直接照向機車停放側面及去時之正面，有勘驗筆錄可稽。則證人朱</w:t>
      </w:r>
      <w:r>
        <w:rPr>
          <w:rFonts w:hint="eastAsia"/>
        </w:rPr>
        <w:t>偵查佐</w:t>
      </w:r>
      <w:r w:rsidRPr="00135AB4">
        <w:rPr>
          <w:rFonts w:hint="eastAsia"/>
        </w:rPr>
        <w:t>之證述及該監視器晝面及前揭拍攝照片，並無法證明係被告於</w:t>
      </w:r>
      <w:r w:rsidRPr="00135AB4">
        <w:t>95</w:t>
      </w:r>
      <w:r w:rsidRPr="00135AB4">
        <w:rPr>
          <w:rFonts w:hint="eastAsia"/>
        </w:rPr>
        <w:t>年</w:t>
      </w:r>
      <w:r w:rsidRPr="00135AB4">
        <w:t>1</w:t>
      </w:r>
      <w:r w:rsidRPr="00135AB4">
        <w:rPr>
          <w:rFonts w:hint="eastAsia"/>
        </w:rPr>
        <w:t>月</w:t>
      </w:r>
      <w:r w:rsidRPr="00135AB4">
        <w:t>27</w:t>
      </w:r>
      <w:r>
        <w:rPr>
          <w:rFonts w:hint="eastAsia"/>
        </w:rPr>
        <w:t>日0</w:t>
      </w:r>
      <w:r w:rsidRPr="00135AB4">
        <w:rPr>
          <w:rFonts w:hint="eastAsia"/>
        </w:rPr>
        <w:t>時</w:t>
      </w:r>
      <w:r w:rsidRPr="00135AB4">
        <w:t>59</w:t>
      </w:r>
      <w:r w:rsidRPr="00135AB4">
        <w:rPr>
          <w:rFonts w:hint="eastAsia"/>
        </w:rPr>
        <w:t>分</w:t>
      </w:r>
      <w:r w:rsidRPr="00135AB4">
        <w:t>42</w:t>
      </w:r>
      <w:r w:rsidRPr="00135AB4">
        <w:rPr>
          <w:rFonts w:hint="eastAsia"/>
        </w:rPr>
        <w:t>秒，騎其所有機</w:t>
      </w:r>
      <w:r>
        <w:rPr>
          <w:rFonts w:hint="eastAsia"/>
        </w:rPr>
        <w:t>車</w:t>
      </w:r>
      <w:r w:rsidRPr="00135AB4">
        <w:rPr>
          <w:rFonts w:hint="eastAsia"/>
        </w:rPr>
        <w:t>，在海安路、郡緯</w:t>
      </w:r>
      <w:r w:rsidRPr="00135AB4">
        <w:rPr>
          <w:rFonts w:hint="eastAsia"/>
        </w:rPr>
        <w:lastRenderedPageBreak/>
        <w:t>街向東經過。又王</w:t>
      </w:r>
      <w:r>
        <w:rPr>
          <w:rFonts w:hint="eastAsia"/>
        </w:rPr>
        <w:t>女</w:t>
      </w:r>
      <w:r w:rsidRPr="00135AB4">
        <w:rPr>
          <w:rFonts w:hint="eastAsia"/>
        </w:rPr>
        <w:t>係於</w:t>
      </w:r>
      <w:r w:rsidRPr="00135AB4">
        <w:t>95</w:t>
      </w:r>
      <w:r w:rsidRPr="00135AB4">
        <w:rPr>
          <w:rFonts w:hint="eastAsia"/>
        </w:rPr>
        <w:t>年</w:t>
      </w:r>
      <w:r w:rsidRPr="00135AB4">
        <w:t>1</w:t>
      </w:r>
      <w:r w:rsidRPr="00135AB4">
        <w:rPr>
          <w:rFonts w:hint="eastAsia"/>
        </w:rPr>
        <w:t>月</w:t>
      </w:r>
      <w:r w:rsidRPr="00135AB4">
        <w:t>27</w:t>
      </w:r>
      <w:r w:rsidRPr="00135AB4">
        <w:rPr>
          <w:rFonts w:hint="eastAsia"/>
        </w:rPr>
        <w:t>日</w:t>
      </w:r>
      <w:r>
        <w:rPr>
          <w:rFonts w:hint="eastAsia"/>
        </w:rPr>
        <w:t>0</w:t>
      </w:r>
      <w:r w:rsidRPr="00135AB4">
        <w:rPr>
          <w:rFonts w:hint="eastAsia"/>
        </w:rPr>
        <w:t>時</w:t>
      </w:r>
      <w:r w:rsidRPr="00135AB4">
        <w:t>30</w:t>
      </w:r>
      <w:r w:rsidRPr="00135AB4">
        <w:rPr>
          <w:rFonts w:hint="eastAsia"/>
        </w:rPr>
        <w:t>分許遭強盜，照片上類似</w:t>
      </w:r>
      <w:r w:rsidRPr="00135AB4">
        <w:rPr>
          <w:rFonts w:cs="SimSun"/>
        </w:rPr>
        <w:t>VINO</w:t>
      </w:r>
      <w:r w:rsidRPr="00135AB4">
        <w:rPr>
          <w:rFonts w:hint="eastAsia"/>
        </w:rPr>
        <w:t>黑色機車係於</w:t>
      </w:r>
      <w:r w:rsidRPr="00135AB4">
        <w:t>95</w:t>
      </w:r>
      <w:r w:rsidRPr="00135AB4">
        <w:rPr>
          <w:rFonts w:hint="eastAsia"/>
        </w:rPr>
        <w:t>年</w:t>
      </w:r>
      <w:r w:rsidRPr="00135AB4">
        <w:t>1</w:t>
      </w:r>
      <w:r w:rsidRPr="00135AB4">
        <w:rPr>
          <w:rFonts w:hint="eastAsia"/>
        </w:rPr>
        <w:t>月</w:t>
      </w:r>
      <w:r w:rsidRPr="00135AB4">
        <w:t>27</w:t>
      </w:r>
      <w:r>
        <w:rPr>
          <w:rFonts w:hint="eastAsia"/>
        </w:rPr>
        <w:t>日0</w:t>
      </w:r>
      <w:r w:rsidRPr="00135AB4">
        <w:rPr>
          <w:rFonts w:hint="eastAsia"/>
        </w:rPr>
        <w:t>時</w:t>
      </w:r>
      <w:r w:rsidRPr="00135AB4">
        <w:t>59</w:t>
      </w:r>
      <w:r w:rsidRPr="00135AB4">
        <w:rPr>
          <w:rFonts w:hint="eastAsia"/>
        </w:rPr>
        <w:t>分</w:t>
      </w:r>
      <w:r w:rsidRPr="00135AB4">
        <w:t>4</w:t>
      </w:r>
      <w:r>
        <w:rPr>
          <w:rFonts w:hint="eastAsia"/>
        </w:rPr>
        <w:t>2</w:t>
      </w:r>
      <w:r w:rsidRPr="00135AB4">
        <w:rPr>
          <w:rFonts w:hint="eastAsia"/>
        </w:rPr>
        <w:t>秒經過，距案發時間有</w:t>
      </w:r>
      <w:r w:rsidRPr="00135AB4">
        <w:t>29</w:t>
      </w:r>
      <w:r w:rsidRPr="00135AB4">
        <w:rPr>
          <w:rFonts w:hint="eastAsia"/>
        </w:rPr>
        <w:t>分鐘之久，且公訴人起訴認強盜者強盜財物得手後即逃逸，則前揭照片上騎乘機車經過之人是否即係強盜之人，亦難遽認。再，類似</w:t>
      </w:r>
      <w:r w:rsidRPr="00135AB4">
        <w:rPr>
          <w:rFonts w:cs="SimSun"/>
        </w:rPr>
        <w:t>VINO</w:t>
      </w:r>
      <w:r w:rsidRPr="00135AB4">
        <w:rPr>
          <w:rFonts w:hint="eastAsia"/>
        </w:rPr>
        <w:t>型機車，車廠生產後，非僅單一，此為眾所周知之事，亦難以被告使用機車類似被害人王</w:t>
      </w:r>
      <w:r>
        <w:rPr>
          <w:rFonts w:hint="eastAsia"/>
        </w:rPr>
        <w:t>女</w:t>
      </w:r>
      <w:r w:rsidRPr="00135AB4">
        <w:rPr>
          <w:rFonts w:hint="eastAsia"/>
        </w:rPr>
        <w:t>證述強盜者使用</w:t>
      </w:r>
      <w:r w:rsidRPr="00135AB4">
        <w:rPr>
          <w:rFonts w:cs="SimSun"/>
        </w:rPr>
        <w:t>VIN</w:t>
      </w:r>
      <w:r w:rsidRPr="00135AB4">
        <w:t>0</w:t>
      </w:r>
      <w:r>
        <w:rPr>
          <w:rFonts w:hint="eastAsia"/>
        </w:rPr>
        <w:t>黑色機車，</w:t>
      </w:r>
      <w:r w:rsidRPr="00135AB4">
        <w:rPr>
          <w:rFonts w:hint="eastAsia"/>
        </w:rPr>
        <w:t>而推論被告為本件強盜犯行。</w:t>
      </w:r>
    </w:p>
    <w:p w:rsidR="00A36013" w:rsidRPr="00C45823" w:rsidRDefault="00A36013" w:rsidP="00A36013">
      <w:pPr>
        <w:pStyle w:val="6"/>
      </w:pPr>
      <w:r w:rsidRPr="00135AB4">
        <w:rPr>
          <w:rFonts w:hint="eastAsia"/>
        </w:rPr>
        <w:t>再第二分局雖於</w:t>
      </w:r>
      <w:r w:rsidRPr="00135AB4">
        <w:t>95</w:t>
      </w:r>
      <w:r w:rsidRPr="00135AB4">
        <w:rPr>
          <w:rFonts w:hint="eastAsia"/>
        </w:rPr>
        <w:t>年</w:t>
      </w:r>
      <w:r w:rsidRPr="00135AB4">
        <w:t>2</w:t>
      </w:r>
      <w:r w:rsidRPr="00135AB4">
        <w:rPr>
          <w:rFonts w:hint="eastAsia"/>
        </w:rPr>
        <w:t>月</w:t>
      </w:r>
      <w:r w:rsidRPr="00135AB4">
        <w:t>10</w:t>
      </w:r>
      <w:r w:rsidRPr="00135AB4">
        <w:rPr>
          <w:rFonts w:hint="eastAsia"/>
        </w:rPr>
        <w:t>日前往被告</w:t>
      </w:r>
      <w:r>
        <w:rPr>
          <w:rFonts w:hint="eastAsia"/>
        </w:rPr>
        <w:t>原</w:t>
      </w:r>
      <w:r w:rsidRPr="00135AB4">
        <w:rPr>
          <w:rFonts w:hint="eastAsia"/>
        </w:rPr>
        <w:t>臺南縣仁德鄉住處搜索，查獲被告有高領風衣夾克，而認與證人王</w:t>
      </w:r>
      <w:r>
        <w:rPr>
          <w:rFonts w:hint="eastAsia"/>
        </w:rPr>
        <w:t>女</w:t>
      </w:r>
      <w:r w:rsidRPr="00135AB4">
        <w:rPr>
          <w:rFonts w:hint="eastAsia"/>
        </w:rPr>
        <w:t>證述強盜者強盜時著黑色夾克相符。查衣服顏色固有數</w:t>
      </w:r>
      <w:r>
        <w:rPr>
          <w:rFonts w:hint="eastAsia"/>
        </w:rPr>
        <w:t>種</w:t>
      </w:r>
      <w:r w:rsidRPr="00135AB4">
        <w:rPr>
          <w:rFonts w:hint="eastAsia"/>
        </w:rPr>
        <w:t>，</w:t>
      </w:r>
      <w:r>
        <w:rPr>
          <w:rFonts w:hint="eastAsia"/>
        </w:rPr>
        <w:t>惟相同</w:t>
      </w:r>
      <w:r w:rsidRPr="00135AB4">
        <w:rPr>
          <w:rFonts w:hint="eastAsia"/>
        </w:rPr>
        <w:t>或類似顏色者比比皆是，被告經搜索時並</w:t>
      </w:r>
      <w:r>
        <w:rPr>
          <w:rFonts w:hint="eastAsia"/>
        </w:rPr>
        <w:t>未</w:t>
      </w:r>
      <w:r w:rsidRPr="00135AB4">
        <w:rPr>
          <w:rFonts w:hint="eastAsia"/>
        </w:rPr>
        <w:t>查獲被陳述使</w:t>
      </w:r>
      <w:r>
        <w:rPr>
          <w:rFonts w:hint="eastAsia"/>
        </w:rPr>
        <w:t>用</w:t>
      </w:r>
      <w:r w:rsidRPr="00135AB4">
        <w:rPr>
          <w:rFonts w:hint="eastAsia"/>
        </w:rPr>
        <w:t>之刀械，而被告穿著之外套顏色系列有黑色、灰色、土黃色、白色等，有搜索筆錄及照片可參，自難僅以被告擁有黑色系類之高領風衣夾克，遽認犯行。</w:t>
      </w:r>
    </w:p>
    <w:p w:rsidR="00A36013" w:rsidRPr="00776090" w:rsidRDefault="00A36013" w:rsidP="00A36013">
      <w:pPr>
        <w:pStyle w:val="6"/>
      </w:pPr>
      <w:r w:rsidRPr="00135AB4">
        <w:rPr>
          <w:rFonts w:hint="eastAsia"/>
        </w:rPr>
        <w:t>另被告在被判罪確定之前，應被推定為無罪及被告並無自證無罪之義務，均為刑事訴訟之基本原則，被告否認犯罪所持之辯解，縱無可取，仍不得因此資以為反證某犯罪之論據。本件被告前受有罪判決，抗辯其於案發時係在家裡並未外出，聲請法院傳訊證人陳</w:t>
      </w:r>
      <w:r>
        <w:rPr>
          <w:rFonts w:hint="eastAsia"/>
        </w:rPr>
        <w:t>姓同居人</w:t>
      </w:r>
      <w:r w:rsidRPr="00135AB4">
        <w:rPr>
          <w:rFonts w:hint="eastAsia"/>
        </w:rPr>
        <w:t>。</w:t>
      </w:r>
      <w:r>
        <w:rPr>
          <w:rFonts w:hint="eastAsia"/>
        </w:rPr>
        <w:t>該</w:t>
      </w:r>
      <w:r w:rsidRPr="00135AB4">
        <w:rPr>
          <w:rFonts w:hint="eastAsia"/>
        </w:rPr>
        <w:t>院依發回意旨於</w:t>
      </w:r>
      <w:r w:rsidRPr="00135AB4">
        <w:t>97</w:t>
      </w:r>
      <w:r w:rsidRPr="00135AB4">
        <w:rPr>
          <w:rFonts w:hint="eastAsia"/>
        </w:rPr>
        <w:t>年</w:t>
      </w:r>
      <w:r w:rsidRPr="00135AB4">
        <w:t>4</w:t>
      </w:r>
      <w:r w:rsidRPr="00135AB4">
        <w:rPr>
          <w:rFonts w:hint="eastAsia"/>
        </w:rPr>
        <w:t>月</w:t>
      </w:r>
      <w:r w:rsidRPr="00135AB4">
        <w:t>10</w:t>
      </w:r>
      <w:r w:rsidRPr="00135AB4">
        <w:rPr>
          <w:rFonts w:hint="eastAsia"/>
        </w:rPr>
        <w:t>日訊問陳</w:t>
      </w:r>
      <w:r>
        <w:rPr>
          <w:rFonts w:hint="eastAsia"/>
        </w:rPr>
        <w:t>姓同居人</w:t>
      </w:r>
      <w:r w:rsidRPr="00135AB4">
        <w:rPr>
          <w:rFonts w:hint="eastAsia"/>
        </w:rPr>
        <w:t>證稱：伊與被告原是同居關係，被告案發時在家睡覺，然對本件案發時間為何，竟稱不清楚云云。所證固有瑕疵，惟因被告無自證無罪之義務，此部分自無再</w:t>
      </w:r>
      <w:r w:rsidRPr="00135AB4">
        <w:rPr>
          <w:rFonts w:hint="eastAsia"/>
        </w:rPr>
        <w:lastRenderedPageBreak/>
        <w:t>行細究必要</w:t>
      </w:r>
      <w:r>
        <w:rPr>
          <w:rFonts w:ascii="新細明體" w:eastAsia="新細明體" w:hAnsi="新細明體" w:hint="eastAsia"/>
        </w:rPr>
        <w:t>。</w:t>
      </w:r>
    </w:p>
    <w:p w:rsidR="004A2632" w:rsidRPr="002707B1" w:rsidRDefault="00B16C62" w:rsidP="00B16C62">
      <w:pPr>
        <w:pStyle w:val="4"/>
      </w:pPr>
      <w:r w:rsidRPr="00B16C62">
        <w:rPr>
          <w:rFonts w:hAnsi="標楷體" w:cs="新細明體" w:hint="eastAsia"/>
          <w:kern w:val="0"/>
          <w:szCs w:val="32"/>
        </w:rPr>
        <w:t>最高法院97年8月22日97年度台上字第4047號(第3次)判決</w:t>
      </w:r>
      <w:r>
        <w:rPr>
          <w:rFonts w:hAnsi="標楷體" w:hint="eastAsia"/>
        </w:rPr>
        <w:t>：</w:t>
      </w:r>
    </w:p>
    <w:p w:rsidR="00B16C62" w:rsidRDefault="00B16C62" w:rsidP="006344C0">
      <w:pPr>
        <w:pStyle w:val="5"/>
      </w:pPr>
      <w:r>
        <w:rPr>
          <w:rFonts w:hint="eastAsia"/>
        </w:rPr>
        <w:t>主文：</w:t>
      </w:r>
      <w:r w:rsidRPr="00FF3DBC">
        <w:rPr>
          <w:rFonts w:hint="eastAsia"/>
        </w:rPr>
        <w:t>原判決</w:t>
      </w:r>
      <w:r>
        <w:rPr>
          <w:rFonts w:hint="eastAsia"/>
        </w:rPr>
        <w:t>(指臺</w:t>
      </w:r>
      <w:r w:rsidRPr="00FF3DBC">
        <w:rPr>
          <w:rFonts w:hint="eastAsia"/>
        </w:rPr>
        <w:t>南</w:t>
      </w:r>
      <w:r>
        <w:rPr>
          <w:rFonts w:hint="eastAsia"/>
        </w:rPr>
        <w:t>高</w:t>
      </w:r>
      <w:r w:rsidRPr="00FF3DBC">
        <w:rPr>
          <w:rFonts w:hint="eastAsia"/>
        </w:rPr>
        <w:t>分院</w:t>
      </w:r>
      <w:r>
        <w:rPr>
          <w:rFonts w:hint="eastAsia"/>
        </w:rPr>
        <w:t>97</w:t>
      </w:r>
      <w:r w:rsidRPr="00FF3DBC">
        <w:rPr>
          <w:rFonts w:hint="eastAsia"/>
        </w:rPr>
        <w:t>年度上更(二)字第</w:t>
      </w:r>
      <w:r>
        <w:rPr>
          <w:rFonts w:hint="eastAsia"/>
        </w:rPr>
        <w:t>63</w:t>
      </w:r>
      <w:r w:rsidRPr="00FF3DBC">
        <w:rPr>
          <w:rFonts w:hint="eastAsia"/>
        </w:rPr>
        <w:t>號</w:t>
      </w:r>
      <w:r>
        <w:rPr>
          <w:rFonts w:hint="eastAsia"/>
        </w:rPr>
        <w:t>)</w:t>
      </w:r>
      <w:r w:rsidRPr="00FF3DBC">
        <w:rPr>
          <w:rFonts w:hint="eastAsia"/>
        </w:rPr>
        <w:t>撤銷，發回</w:t>
      </w:r>
      <w:r>
        <w:rPr>
          <w:rFonts w:hint="eastAsia"/>
        </w:rPr>
        <w:t>臺</w:t>
      </w:r>
      <w:r w:rsidRPr="00FF3DBC">
        <w:rPr>
          <w:rFonts w:hint="eastAsia"/>
        </w:rPr>
        <w:t>南</w:t>
      </w:r>
      <w:r>
        <w:rPr>
          <w:rFonts w:hint="eastAsia"/>
        </w:rPr>
        <w:t>高</w:t>
      </w:r>
      <w:r w:rsidRPr="00FF3DBC">
        <w:rPr>
          <w:rFonts w:hint="eastAsia"/>
        </w:rPr>
        <w:t>分院</w:t>
      </w:r>
      <w:r w:rsidRPr="00A65E07">
        <w:rPr>
          <w:rFonts w:hint="eastAsia"/>
        </w:rPr>
        <w:t>。</w:t>
      </w:r>
    </w:p>
    <w:p w:rsidR="002707B1" w:rsidRDefault="00B16C62" w:rsidP="006344C0">
      <w:pPr>
        <w:pStyle w:val="5"/>
      </w:pPr>
      <w:r>
        <w:rPr>
          <w:rFonts w:hint="eastAsia"/>
        </w:rPr>
        <w:t>理由</w:t>
      </w:r>
      <w:r>
        <w:rPr>
          <w:rFonts w:hAnsi="標楷體" w:hint="eastAsia"/>
        </w:rPr>
        <w:t>：</w:t>
      </w:r>
    </w:p>
    <w:p w:rsidR="00B16C62" w:rsidRDefault="00B16C62" w:rsidP="00B16C62">
      <w:pPr>
        <w:pStyle w:val="6"/>
      </w:pPr>
      <w:r w:rsidRPr="00FF3DBC">
        <w:rPr>
          <w:rFonts w:hint="eastAsia"/>
        </w:rPr>
        <w:t>未經參與審理之法官參與判決者，其判決當然違背法令，刑事訴訟法第</w:t>
      </w:r>
      <w:r>
        <w:rPr>
          <w:rFonts w:hint="eastAsia"/>
        </w:rPr>
        <w:t>379</w:t>
      </w:r>
      <w:r w:rsidRPr="00FF3DBC">
        <w:rPr>
          <w:rFonts w:hint="eastAsia"/>
        </w:rPr>
        <w:t>條第</w:t>
      </w:r>
      <w:r>
        <w:rPr>
          <w:rFonts w:hint="eastAsia"/>
        </w:rPr>
        <w:t>13</w:t>
      </w:r>
      <w:r w:rsidRPr="00FF3DBC">
        <w:rPr>
          <w:rFonts w:hint="eastAsia"/>
        </w:rPr>
        <w:t>款定有明文。又審判期日之訴訟程序，專以筆錄為證，同法第</w:t>
      </w:r>
      <w:r>
        <w:rPr>
          <w:rFonts w:hint="eastAsia"/>
        </w:rPr>
        <w:t>47</w:t>
      </w:r>
      <w:r w:rsidRPr="00FF3DBC">
        <w:rPr>
          <w:rFonts w:hint="eastAsia"/>
        </w:rPr>
        <w:t>條亦規定甚明。本件原審審理時，參與審理之法官為審判長葉法官，郭法官、洪</w:t>
      </w:r>
      <w:r>
        <w:rPr>
          <w:rFonts w:hint="eastAsia"/>
        </w:rPr>
        <w:t>法官</w:t>
      </w:r>
      <w:r w:rsidRPr="00FF3DBC">
        <w:rPr>
          <w:rFonts w:hint="eastAsia"/>
        </w:rPr>
        <w:t>，有原審</w:t>
      </w:r>
      <w:r>
        <w:rPr>
          <w:rFonts w:hint="eastAsia"/>
        </w:rPr>
        <w:t>97</w:t>
      </w:r>
      <w:r w:rsidRPr="00FF3DBC">
        <w:rPr>
          <w:rFonts w:hint="eastAsia"/>
        </w:rPr>
        <w:t>年</w:t>
      </w:r>
      <w:r>
        <w:rPr>
          <w:rFonts w:hint="eastAsia"/>
        </w:rPr>
        <w:t>4</w:t>
      </w:r>
      <w:r w:rsidRPr="00FF3DBC">
        <w:rPr>
          <w:rFonts w:hint="eastAsia"/>
        </w:rPr>
        <w:t>月</w:t>
      </w:r>
      <w:r>
        <w:rPr>
          <w:rFonts w:hint="eastAsia"/>
        </w:rPr>
        <w:t>10</w:t>
      </w:r>
      <w:r w:rsidRPr="00FF3DBC">
        <w:rPr>
          <w:rFonts w:hint="eastAsia"/>
        </w:rPr>
        <w:t>日之審判筆錄在卷可按，嗣於</w:t>
      </w:r>
      <w:r>
        <w:rPr>
          <w:rFonts w:hint="eastAsia"/>
        </w:rPr>
        <w:t>97</w:t>
      </w:r>
      <w:r w:rsidRPr="00FF3DBC">
        <w:rPr>
          <w:rFonts w:hint="eastAsia"/>
        </w:rPr>
        <w:t>年</w:t>
      </w:r>
      <w:r>
        <w:rPr>
          <w:rFonts w:hint="eastAsia"/>
        </w:rPr>
        <w:t>5</w:t>
      </w:r>
      <w:r w:rsidRPr="00FF3DBC">
        <w:rPr>
          <w:rFonts w:hint="eastAsia"/>
        </w:rPr>
        <w:t>月</w:t>
      </w:r>
      <w:r>
        <w:rPr>
          <w:rFonts w:hint="eastAsia"/>
        </w:rPr>
        <w:t>1</w:t>
      </w:r>
      <w:r w:rsidRPr="00FF3DBC">
        <w:rPr>
          <w:rFonts w:hint="eastAsia"/>
        </w:rPr>
        <w:t>日製作之判決正本，就參與審理之法官仍為同一之記載，惟原審嗣於</w:t>
      </w:r>
      <w:r>
        <w:rPr>
          <w:rFonts w:hint="eastAsia"/>
        </w:rPr>
        <w:t>97</w:t>
      </w:r>
      <w:r w:rsidRPr="00FF3DBC">
        <w:rPr>
          <w:rFonts w:hint="eastAsia"/>
        </w:rPr>
        <w:t>年</w:t>
      </w:r>
      <w:r>
        <w:rPr>
          <w:rFonts w:hint="eastAsia"/>
        </w:rPr>
        <w:t>6</w:t>
      </w:r>
      <w:r w:rsidRPr="00FF3DBC">
        <w:rPr>
          <w:rFonts w:hint="eastAsia"/>
        </w:rPr>
        <w:t>月</w:t>
      </w:r>
      <w:r>
        <w:rPr>
          <w:rFonts w:hint="eastAsia"/>
        </w:rPr>
        <w:t>4</w:t>
      </w:r>
      <w:r w:rsidRPr="00FF3DBC">
        <w:rPr>
          <w:rFonts w:hint="eastAsia"/>
        </w:rPr>
        <w:t>日裁定將參與判決之法官郭</w:t>
      </w:r>
      <w:r>
        <w:rPr>
          <w:rFonts w:hint="eastAsia"/>
        </w:rPr>
        <w:t>法官</w:t>
      </w:r>
      <w:r w:rsidRPr="00FF3DBC">
        <w:rPr>
          <w:rFonts w:hint="eastAsia"/>
        </w:rPr>
        <w:t>更正為吳</w:t>
      </w:r>
      <w:r>
        <w:rPr>
          <w:rFonts w:hint="eastAsia"/>
        </w:rPr>
        <w:t>法官</w:t>
      </w:r>
      <w:r w:rsidRPr="00FF3DBC">
        <w:rPr>
          <w:rFonts w:hint="eastAsia"/>
        </w:rPr>
        <w:t>，亦有卷附判決正本及更正裁定可考，顯以未經參與審理之法官參與判決，其判決當然違背法令。</w:t>
      </w:r>
    </w:p>
    <w:p w:rsidR="00B16C62" w:rsidRDefault="00B16C62" w:rsidP="00B16C62">
      <w:pPr>
        <w:pStyle w:val="6"/>
      </w:pPr>
      <w:r w:rsidRPr="00FF3DBC">
        <w:rPr>
          <w:rFonts w:hint="eastAsia"/>
        </w:rPr>
        <w:t>刑事實務上之對人指認，乃犯罪後，經由被害人、共犯或目擊之第三人，指證並確認犯罪嫌疑人之證據方法。</w:t>
      </w:r>
      <w:r w:rsidRPr="00B16C62">
        <w:rPr>
          <w:rFonts w:hint="eastAsia"/>
          <w:b/>
        </w:rPr>
        <w:t>現行刑事訴訟法並無關於指認程序之規定，如何由證人正確指認犯罪嫌疑人，自應依個案之具體情形為適當之處理，</w:t>
      </w:r>
      <w:r w:rsidRPr="00ED188D">
        <w:rPr>
          <w:rFonts w:hint="eastAsia"/>
          <w:b/>
        </w:rPr>
        <w:t>法務部及司法警察主管機關對於指認程序所訂頒之相關要領規範，或學者發表之指認原則，無非提供辦案人員參考之資料，故證人之指認程序與相關要領規範不盡相符時，尚難謂係違反法律位階之「法定程序」，遑論學者個人發表之指認原則</w:t>
      </w:r>
      <w:r w:rsidRPr="00FF3DBC">
        <w:rPr>
          <w:rFonts w:hint="eastAsia"/>
        </w:rPr>
        <w:t>。況指認之程序，固須注重人權之保障，亦需兼顧</w:t>
      </w:r>
      <w:r w:rsidRPr="00FF3DBC">
        <w:rPr>
          <w:rFonts w:hint="eastAsia"/>
        </w:rPr>
        <w:lastRenderedPageBreak/>
        <w:t>真實之發現，確保社會正義實現之基本目的。</w:t>
      </w:r>
      <w:r w:rsidRPr="00B16C62">
        <w:rPr>
          <w:rFonts w:hint="eastAsia"/>
          <w:b/>
        </w:rPr>
        <w:t>如證人於審判中，已依人證之調查程序，陳述其出於親身經歷之見聞所為指認，並依法踐行詰問之程序後，綜合證人於案發時停留之時間及所處之環境，足資認定其確能對被告觀察明白，認知被告行為之內容，該事後依憑個人之知覺及記憶所為之指認客觀可信，並非出於不當之暗示，亦未違悖通常一般日常生活經驗之定則或論理法則，又非單以證人之指認為被告論罪之唯一依據時，自不得僅因證人之指認程序與相關要領規範或其他學者個人之見解未盡相符，遽認其指認有瑕疵</w:t>
      </w:r>
      <w:r w:rsidRPr="00FF3DBC">
        <w:rPr>
          <w:rFonts w:hint="eastAsia"/>
        </w:rPr>
        <w:t>；苟證人於警詢或偵查中所為之指認陳述，與審判中不符時，亦應審酌其先前之供述，是否符合刑事訴訟法第</w:t>
      </w:r>
      <w:r>
        <w:rPr>
          <w:rFonts w:hint="eastAsia"/>
        </w:rPr>
        <w:t>159</w:t>
      </w:r>
      <w:r w:rsidRPr="00FF3DBC">
        <w:rPr>
          <w:rFonts w:hint="eastAsia"/>
        </w:rPr>
        <w:t>條之</w:t>
      </w:r>
      <w:r>
        <w:rPr>
          <w:rFonts w:hint="eastAsia"/>
        </w:rPr>
        <w:t>2</w:t>
      </w:r>
      <w:r w:rsidRPr="00FF3DBC">
        <w:rPr>
          <w:rFonts w:hint="eastAsia"/>
        </w:rPr>
        <w:t>、之</w:t>
      </w:r>
      <w:r>
        <w:rPr>
          <w:rFonts w:hint="eastAsia"/>
        </w:rPr>
        <w:t>3</w:t>
      </w:r>
      <w:r w:rsidRPr="00FF3DBC">
        <w:rPr>
          <w:rFonts w:hint="eastAsia"/>
        </w:rPr>
        <w:t>或之</w:t>
      </w:r>
      <w:r>
        <w:rPr>
          <w:rFonts w:hint="eastAsia"/>
        </w:rPr>
        <w:t>5</w:t>
      </w:r>
      <w:r w:rsidRPr="00FF3DBC">
        <w:rPr>
          <w:rFonts w:hint="eastAsia"/>
        </w:rPr>
        <w:t>所規定得為證據之情形，以定其取捨，方符採證法則。原判決雖說明：「本件證人王</w:t>
      </w:r>
      <w:r>
        <w:rPr>
          <w:rFonts w:hint="eastAsia"/>
        </w:rPr>
        <w:t>女</w:t>
      </w:r>
      <w:r w:rsidRPr="00FF3DBC">
        <w:rPr>
          <w:rFonts w:hint="eastAsia"/>
        </w:rPr>
        <w:t>警局所為之指認，係警員先行提供被告他案之筆錄錄音供證人王</w:t>
      </w:r>
      <w:r>
        <w:rPr>
          <w:rFonts w:hint="eastAsia"/>
        </w:rPr>
        <w:t>女</w:t>
      </w:r>
      <w:r w:rsidRPr="00FF3DBC">
        <w:rPr>
          <w:rFonts w:hint="eastAsia"/>
        </w:rPr>
        <w:t>聽聞，指認人並非以案發時強盜者所處發音環境，憑個人之知覺及記憶所為客觀指認；又被告一人身著囚服帶著戒具供指認，已有犯罪行為人之暗示，復未告知歹徒可能不在其中，指認人經誘導、暗示而受污染知覺記憶，信賴度極低，該指認即有瑕疵，能否對犯罪嫌疑人觀察明白，已非無疑。再參以前述證人王</w:t>
      </w:r>
      <w:r>
        <w:rPr>
          <w:rFonts w:hint="eastAsia"/>
        </w:rPr>
        <w:t>女</w:t>
      </w:r>
      <w:r w:rsidRPr="00FF3DBC">
        <w:rPr>
          <w:rFonts w:hint="eastAsia"/>
        </w:rPr>
        <w:t>被強盜時，並未見強盜者之全部面貌，上揭指認，自難憑採。」等旨，認定被害人之指認尚有瑕疵，不足採為被告不利之證據。惟</w:t>
      </w:r>
      <w:r w:rsidRPr="007271A9">
        <w:rPr>
          <w:rFonts w:hint="eastAsia"/>
          <w:b/>
        </w:rPr>
        <w:t>被害人王女於第一次警詢時即已</w:t>
      </w:r>
      <w:r w:rsidRPr="007271A9">
        <w:rPr>
          <w:rFonts w:hint="eastAsia"/>
          <w:b/>
        </w:rPr>
        <w:lastRenderedPageBreak/>
        <w:t>指認對其強盜之人係中等身材、短髮、著深色外套、操台語，騎乘深色輕型機車(山葉牌VINO系列)、深色半罩式安全帽等情</w:t>
      </w:r>
      <w:r w:rsidRPr="00FF3DBC">
        <w:rPr>
          <w:rFonts w:hint="eastAsia"/>
        </w:rPr>
        <w:t>，雖其於檢察官偵查時曾證以：「因為我還可以看到他</w:t>
      </w:r>
      <w:r>
        <w:rPr>
          <w:rFonts w:hint="eastAsia"/>
        </w:rPr>
        <w:t>(</w:t>
      </w:r>
      <w:r w:rsidRPr="00FF3DBC">
        <w:rPr>
          <w:rFonts w:hint="eastAsia"/>
        </w:rPr>
        <w:t>指強盜者</w:t>
      </w:r>
      <w:r>
        <w:rPr>
          <w:rFonts w:hint="eastAsia"/>
        </w:rPr>
        <w:t>)</w:t>
      </w:r>
      <w:r w:rsidRPr="00FF3DBC">
        <w:rPr>
          <w:rFonts w:hint="eastAsia"/>
        </w:rPr>
        <w:t>的眼神及體型，在警局中警察有放他</w:t>
      </w:r>
      <w:r>
        <w:rPr>
          <w:rFonts w:hint="eastAsia"/>
        </w:rPr>
        <w:t>(</w:t>
      </w:r>
      <w:r w:rsidRPr="00FF3DBC">
        <w:rPr>
          <w:rFonts w:hint="eastAsia"/>
        </w:rPr>
        <w:t>指被告</w:t>
      </w:r>
      <w:r>
        <w:rPr>
          <w:rFonts w:hint="eastAsia"/>
        </w:rPr>
        <w:t>)</w:t>
      </w:r>
      <w:r w:rsidRPr="00FF3DBC">
        <w:rPr>
          <w:rFonts w:hint="eastAsia"/>
        </w:rPr>
        <w:t>之前的刑案所錄製的錄音帶，我可以確認就是他」云云。然其於第一審法院證稱：於第二次警詢指認時，警局提供很多照片，聽到很多個聲音，且不悉囚服型式等情。則被害人於第二次警詢時，警方究竟係單獨播放被告之前案錄音帶或同時播放多個不同聲音，令其辨認？其於警方播放錄音帶之前，是否即已確信被告之聲音？再被害人如不悉囚服之型式，其指認被告之照片及被告本人時，有無因被告穿著囚服而影響其指認？均有疑義，非無研求之餘地，此既攸關被害人或被告之供述，究以何者為真實之判斷，即有根究明白之必要，</w:t>
      </w:r>
      <w:r w:rsidRPr="00B16C62">
        <w:rPr>
          <w:rFonts w:hint="eastAsia"/>
          <w:b/>
        </w:rPr>
        <w:t>原審未詳查慎酌，資為判斷之依據，僅執被害人之指認程序尚有瑕疵一端，遽為有利被告之判決，亦有證據調查未盡之違法</w:t>
      </w:r>
      <w:r w:rsidRPr="00FF3DBC">
        <w:rPr>
          <w:rFonts w:hint="eastAsia"/>
        </w:rPr>
        <w:t>。</w:t>
      </w:r>
    </w:p>
    <w:p w:rsidR="00B16C62" w:rsidRPr="00B16C62" w:rsidRDefault="00B16C62" w:rsidP="00B16C62">
      <w:pPr>
        <w:pStyle w:val="4"/>
      </w:pPr>
      <w:r w:rsidRPr="00B16C62">
        <w:rPr>
          <w:rFonts w:hAnsi="標楷體" w:cs="新細明體" w:hint="eastAsia"/>
          <w:kern w:val="0"/>
          <w:szCs w:val="32"/>
        </w:rPr>
        <w:t>臺南高分院97年9月5日97年度重上更(三)字第291號</w:t>
      </w:r>
      <w:r>
        <w:rPr>
          <w:rFonts w:hAnsi="標楷體" w:cs="新細明體" w:hint="eastAsia"/>
          <w:kern w:val="0"/>
          <w:szCs w:val="32"/>
        </w:rPr>
        <w:t>(更三審)</w:t>
      </w:r>
      <w:r w:rsidRPr="00B16C62">
        <w:rPr>
          <w:rFonts w:hAnsi="標楷體" w:cs="新細明體" w:hint="eastAsia"/>
          <w:kern w:val="0"/>
          <w:szCs w:val="32"/>
        </w:rPr>
        <w:t>判決</w:t>
      </w:r>
      <w:r>
        <w:rPr>
          <w:rFonts w:hAnsi="標楷體" w:cs="新細明體" w:hint="eastAsia"/>
          <w:kern w:val="0"/>
          <w:szCs w:val="32"/>
        </w:rPr>
        <w:t>：</w:t>
      </w:r>
    </w:p>
    <w:p w:rsidR="00B16C62" w:rsidRPr="00B16C62" w:rsidRDefault="00B16C62" w:rsidP="006344C0">
      <w:pPr>
        <w:pStyle w:val="5"/>
      </w:pPr>
      <w:r>
        <w:rPr>
          <w:rFonts w:hint="eastAsia"/>
        </w:rPr>
        <w:t>主文</w:t>
      </w:r>
      <w:r>
        <w:rPr>
          <w:rFonts w:hAnsi="標楷體" w:hint="eastAsia"/>
        </w:rPr>
        <w:t>：</w:t>
      </w:r>
      <w:r>
        <w:rPr>
          <w:rFonts w:hint="eastAsia"/>
        </w:rPr>
        <w:t>上訴駁回</w:t>
      </w:r>
      <w:r>
        <w:rPr>
          <w:rFonts w:ascii="新細明體" w:eastAsia="新細明體" w:hAnsi="新細明體" w:hint="eastAsia"/>
        </w:rPr>
        <w:t>。</w:t>
      </w:r>
    </w:p>
    <w:p w:rsidR="00B16C62" w:rsidRPr="00B16C62" w:rsidRDefault="00B16C62" w:rsidP="006344C0">
      <w:pPr>
        <w:pStyle w:val="5"/>
      </w:pPr>
      <w:r>
        <w:rPr>
          <w:rFonts w:hint="eastAsia"/>
        </w:rPr>
        <w:t>理由有關程序方面：</w:t>
      </w:r>
      <w:r w:rsidRPr="002556E8">
        <w:rPr>
          <w:rFonts w:hint="eastAsia"/>
        </w:rPr>
        <w:t>辯護人雖另以證人</w:t>
      </w:r>
      <w:r>
        <w:rPr>
          <w:rFonts w:hint="eastAsia"/>
        </w:rPr>
        <w:t>王女</w:t>
      </w:r>
      <w:r w:rsidRPr="002556E8">
        <w:rPr>
          <w:rFonts w:hint="eastAsia"/>
        </w:rPr>
        <w:t>於警詢指認被告之程序業已違反內政部警政署所頒「警察機關實施指認犯罪嫌疑人程序要領」，而認被害人之指訴有受誤導之虞，惟刑事實務上之對人指認，乃犯罪後，經由被害人、共犯或目擊之第三人，指證並確認犯罪嫌</w:t>
      </w:r>
      <w:r w:rsidRPr="002556E8">
        <w:rPr>
          <w:rFonts w:hint="eastAsia"/>
        </w:rPr>
        <w:lastRenderedPageBreak/>
        <w:t>疑人之證據方法。現行刑事訴訟法並無關於指認程序之規定，如何由證人正確指認犯罪嫌疑人，自應依個案之具體情形為適當之處理，</w:t>
      </w:r>
      <w:r w:rsidRPr="00A36A85">
        <w:rPr>
          <w:rFonts w:hint="eastAsia"/>
          <w:b/>
        </w:rPr>
        <w:t>法務部及司法警察主管機關對於指認程序所訂頒之相關要領規範，或學者發表之指認原則，無非提供辦案人員參考之資料，故證人之指認程序與相關要領規範不盡相符時，尚難謂係違反法律位階之「法定程序」，遑論學者個人發表之指認原則</w:t>
      </w:r>
      <w:r w:rsidRPr="002556E8">
        <w:rPr>
          <w:rFonts w:hint="eastAsia"/>
        </w:rPr>
        <w:t>。況指認之程序，固須注重人權之保障，亦需兼顧真實之發現，確保社會正義實現之基本目的。</w:t>
      </w:r>
      <w:r w:rsidRPr="00B16C62">
        <w:rPr>
          <w:rFonts w:hint="eastAsia"/>
          <w:b/>
        </w:rPr>
        <w:t>如證人於審判中，已依人證之調查程序，陳述其出於親身經歷之見聞所為指認，並依法踐行詰問之程序後，綜合證人於案發時停留之時間及所處之環境，足資認定其確能對被告觀察明白，認知被告行為之內容，該事後依憑個人之知覺及記憶所為之指認客觀可信，並非出於不當之暗示，亦未違悖通常一般日常生活經驗之定則或論理法則，又非單以證人之指認為被告論罪之唯一依據時，自不得僅因證人之指認程序與相關要領規範或其他學者個人之見解未盡相符，遽認其指認有瑕疵</w:t>
      </w:r>
      <w:r w:rsidRPr="002556E8">
        <w:rPr>
          <w:rFonts w:hint="eastAsia"/>
        </w:rPr>
        <w:t>；被害人</w:t>
      </w:r>
      <w:r>
        <w:rPr>
          <w:rFonts w:hint="eastAsia"/>
        </w:rPr>
        <w:t>王女</w:t>
      </w:r>
      <w:r w:rsidRPr="002556E8">
        <w:rPr>
          <w:rFonts w:hint="eastAsia"/>
        </w:rPr>
        <w:t>於警訊時之指認，出於親身經歷之見聞所為指認，且於5張照片中，指認其中一人即被告為對其強盜之人，並於原審時踐行詰問之程序，其指認程序並無瑕疵，自有證據能力。</w:t>
      </w:r>
    </w:p>
    <w:p w:rsidR="00B16C62" w:rsidRPr="00B16C62" w:rsidRDefault="00B16C62" w:rsidP="006344C0">
      <w:pPr>
        <w:pStyle w:val="5"/>
      </w:pPr>
      <w:r>
        <w:rPr>
          <w:rFonts w:hint="eastAsia"/>
        </w:rPr>
        <w:t>理由有關實體部分</w:t>
      </w:r>
      <w:r>
        <w:rPr>
          <w:rFonts w:hAnsi="標楷體" w:hint="eastAsia"/>
        </w:rPr>
        <w:t>：</w:t>
      </w:r>
    </w:p>
    <w:p w:rsidR="00B16C62" w:rsidRPr="009148B8" w:rsidRDefault="00B16C62" w:rsidP="00B16C62">
      <w:pPr>
        <w:pStyle w:val="6"/>
      </w:pPr>
      <w:r w:rsidRPr="002556E8">
        <w:rPr>
          <w:rFonts w:hint="eastAsia"/>
        </w:rPr>
        <w:t>被告確於上開、地，身著米黃色長褲、黑色高領風衣夾克駕駛VINO廠牌輕型機車，持兇器短刀抵住</w:t>
      </w:r>
      <w:r>
        <w:rPr>
          <w:rFonts w:hint="eastAsia"/>
        </w:rPr>
        <w:t>王女</w:t>
      </w:r>
      <w:r w:rsidRPr="002556E8">
        <w:rPr>
          <w:rFonts w:hint="eastAsia"/>
        </w:rPr>
        <w:t>頸部之強暴方式，致使</w:t>
      </w:r>
      <w:r>
        <w:rPr>
          <w:rFonts w:hint="eastAsia"/>
        </w:rPr>
        <w:t>王女</w:t>
      </w:r>
      <w:r w:rsidRPr="002556E8">
        <w:rPr>
          <w:rFonts w:hint="eastAsia"/>
        </w:rPr>
        <w:lastRenderedPageBreak/>
        <w:t>不能抗拒而交出身上財物</w:t>
      </w:r>
      <w:r>
        <w:rPr>
          <w:rFonts w:hint="eastAsia"/>
        </w:rPr>
        <w:t>9</w:t>
      </w:r>
      <w:r w:rsidRPr="002556E8">
        <w:rPr>
          <w:rFonts w:hint="eastAsia"/>
        </w:rPr>
        <w:t>百元之事實，業據</w:t>
      </w:r>
      <w:r>
        <w:rPr>
          <w:rFonts w:hint="eastAsia"/>
        </w:rPr>
        <w:t>王女</w:t>
      </w:r>
      <w:r w:rsidRPr="002556E8">
        <w:rPr>
          <w:rFonts w:hint="eastAsia"/>
        </w:rPr>
        <w:t>於偵查中結證供稱：「我當時騎著機車回到臺南市</w:t>
      </w:r>
      <w:r>
        <w:rPr>
          <w:rFonts w:hint="eastAsia"/>
        </w:rPr>
        <w:t>郡緯</w:t>
      </w:r>
      <w:r w:rsidRPr="002556E8">
        <w:rPr>
          <w:rFonts w:hint="eastAsia"/>
        </w:rPr>
        <w:t>街住處前，我停車尚未開門進去時，被告突然過來持著1把藍色手柄的小刀架在我的脖子，以台語告訴我說將我身上的錢拿出來，我告訴他我是學生，身上沒有錢，被告說把錢拿出來就是，我拿出身上僅存的</w:t>
      </w:r>
      <w:r>
        <w:rPr>
          <w:rFonts w:hint="eastAsia"/>
        </w:rPr>
        <w:t>9</w:t>
      </w:r>
      <w:r w:rsidRPr="002556E8">
        <w:rPr>
          <w:rFonts w:hint="eastAsia"/>
        </w:rPr>
        <w:t>百元給他，被告拿了就走了」、「當天被告駕駛VINO黑色機車，著黑色夾克，頭戴半罩式安全帽又戴口罩」、「我可以確定卷內口卡內的被告為上開犯行之人，我有指認該人」、「因為我還可以看他的眼神及體型，在警局中警察有放他之前的刑案所錄製的發音帶，我可以確認就是他」，且檢察官將被告提解出來安排在該署地下室指認室令</w:t>
      </w:r>
      <w:r>
        <w:rPr>
          <w:rFonts w:hint="eastAsia"/>
        </w:rPr>
        <w:t>王女</w:t>
      </w:r>
      <w:r w:rsidRPr="002556E8">
        <w:rPr>
          <w:rFonts w:hint="eastAsia"/>
        </w:rPr>
        <w:t>指認，</w:t>
      </w:r>
      <w:r>
        <w:rPr>
          <w:rFonts w:hint="eastAsia"/>
        </w:rPr>
        <w:t>王女</w:t>
      </w:r>
      <w:r w:rsidRPr="002556E8">
        <w:rPr>
          <w:rFonts w:hint="eastAsia"/>
        </w:rPr>
        <w:t>亦明確係被告無誤。於原審審理時亦具結證稱：「當天有與被告面對面，他穿深色上衣戴半罩安全帽，身高</w:t>
      </w:r>
      <w:r>
        <w:rPr>
          <w:rFonts w:hint="eastAsia"/>
        </w:rPr>
        <w:t>約</w:t>
      </w:r>
      <w:r w:rsidRPr="002556E8">
        <w:rPr>
          <w:rFonts w:hint="eastAsia"/>
        </w:rPr>
        <w:t>170公分至180公分」、「聽他的聲音、車子、衣服，我可確認就是被告」、「指認照片時，警察並未告訴我歹徒是那一個」、「警訊時有聽很多個聲音」、「被告確有拿刀子，刀刃沒有很長，刀柄是藍色」。又警員持原審法官核發之搜索票至被告住處搜索，所查扣之黑色高領風衣夾克、米黃色長褲為被告所有，且其有黑色VINO廠牌輕型機車及黑色安全帽等情，亦據被告供承在卷，再被告之身高為177公分左右，有臺南看守所函送之照片可按，其穿著、機車、身高等特徵與</w:t>
      </w:r>
      <w:r>
        <w:rPr>
          <w:rFonts w:hint="eastAsia"/>
        </w:rPr>
        <w:t>王女</w:t>
      </w:r>
      <w:r w:rsidRPr="002556E8">
        <w:rPr>
          <w:rFonts w:hint="eastAsia"/>
        </w:rPr>
        <w:t>之指訴情節均相符，足證</w:t>
      </w:r>
      <w:r>
        <w:rPr>
          <w:rFonts w:hint="eastAsia"/>
        </w:rPr>
        <w:t>王女</w:t>
      </w:r>
      <w:r w:rsidRPr="002556E8">
        <w:rPr>
          <w:rFonts w:hint="eastAsia"/>
        </w:rPr>
        <w:t>之指訴應可採信。</w:t>
      </w:r>
    </w:p>
    <w:p w:rsidR="00B16C62" w:rsidRPr="009148B8" w:rsidRDefault="00B16C62" w:rsidP="00B16C62">
      <w:pPr>
        <w:pStyle w:val="6"/>
      </w:pPr>
      <w:r w:rsidRPr="002556E8">
        <w:rPr>
          <w:rFonts w:hint="eastAsia"/>
        </w:rPr>
        <w:lastRenderedPageBreak/>
        <w:t>證人即查獲本案之第二分局朱偵查</w:t>
      </w:r>
      <w:r>
        <w:rPr>
          <w:rFonts w:hint="eastAsia"/>
        </w:rPr>
        <w:t>佐</w:t>
      </w:r>
      <w:r w:rsidRPr="002556E8">
        <w:rPr>
          <w:rFonts w:hint="eastAsia"/>
        </w:rPr>
        <w:t>於原審審理時到庭證稱：其自94年9月18日起即擔任第二分局偵查</w:t>
      </w:r>
      <w:r>
        <w:rPr>
          <w:rFonts w:hint="eastAsia"/>
        </w:rPr>
        <w:t>佐</w:t>
      </w:r>
      <w:r w:rsidRPr="002556E8">
        <w:rPr>
          <w:rFonts w:hint="eastAsia"/>
        </w:rPr>
        <w:t>，平常會依照盤查過程，自行就犯罪嫌疑人所駕駛機車之款式、廠牌建檔，本案強盜及經判決確定之搶奪案，均發生在其刑事責任區，其受理報案後，即調閱95年1月27日凌晨於臺南市</w:t>
      </w:r>
      <w:r>
        <w:rPr>
          <w:rFonts w:hint="eastAsia"/>
        </w:rPr>
        <w:t>郡緯</w:t>
      </w:r>
      <w:r w:rsidRPr="002556E8">
        <w:rPr>
          <w:rFonts w:hint="eastAsia"/>
        </w:rPr>
        <w:t>街監視器錄影帶，檢視後發現監視器畫面犯罪嫌疑人所駕駛之機車廠牌、款式，騎乘機車之模樣，均與其於95年1月3日查獲被告涉嫌竊盜時所駕駛之姿態、機車廠牌、款式相同，而認定被告有可能涉嫌，因此決定訪查被告等語，並提出95年1月3日查獲被告另涉竊盜案件之照片1紙及臺南市警察局第</w:t>
      </w:r>
      <w:r>
        <w:rPr>
          <w:rFonts w:hint="eastAsia"/>
        </w:rPr>
        <w:t>二</w:t>
      </w:r>
      <w:r w:rsidRPr="002556E8">
        <w:rPr>
          <w:rFonts w:hint="eastAsia"/>
        </w:rPr>
        <w:t>分局95年1月3日南市警二刑偵字第0954200214號刑事案件報告書影本在卷可稽，足認證人即朱偵查</w:t>
      </w:r>
      <w:r>
        <w:rPr>
          <w:rFonts w:hint="eastAsia"/>
        </w:rPr>
        <w:t>佐</w:t>
      </w:r>
      <w:r w:rsidRPr="002556E8">
        <w:rPr>
          <w:rFonts w:hint="eastAsia"/>
        </w:rPr>
        <w:t>以其長期注意刑事責任區之治安情況，職務上將盤查之紀錄建檔，調閱犯罪地點監視器錄影帶，發現犯罪嫌疑人所使用之機車特徵與其日前查獲被告另犯竊盜罪時所使用機車特徵諸多相符，始針對被告展開調查，進而查獲本案，</w:t>
      </w:r>
      <w:r w:rsidRPr="009148B8">
        <w:rPr>
          <w:rFonts w:hint="eastAsia"/>
          <w:b/>
        </w:rPr>
        <w:t>並無預設之場</w:t>
      </w:r>
      <w:r w:rsidRPr="002556E8">
        <w:rPr>
          <w:rFonts w:hint="eastAsia"/>
        </w:rPr>
        <w:t>，應可認定。</w:t>
      </w:r>
    </w:p>
    <w:p w:rsidR="00B16C62" w:rsidRPr="00A36A85" w:rsidRDefault="00B16C62" w:rsidP="00B16C62">
      <w:pPr>
        <w:pStyle w:val="6"/>
      </w:pPr>
      <w:r w:rsidRPr="002556E8">
        <w:rPr>
          <w:rFonts w:hint="eastAsia"/>
        </w:rPr>
        <w:t>本案因犯罪嫌疑人頭戴半罩式安全帽，並戴口罩，致證人均無法完整全視被告面貌，惟證人</w:t>
      </w:r>
      <w:r>
        <w:rPr>
          <w:rFonts w:hint="eastAsia"/>
        </w:rPr>
        <w:t>王女</w:t>
      </w:r>
      <w:r w:rsidRPr="002556E8">
        <w:rPr>
          <w:rFonts w:hint="eastAsia"/>
        </w:rPr>
        <w:t>就被告強盜當日所著衣物，駕駛之機車款式、廠牌，騎車姿勢、談吐語氣等特徵皆能證稱綦詳，均與被告實際駕駛機車特徵、衣著特徵相符，已如前述，被告亦自承其有黑色VINO廠牌輕型機車，均自行使用，未曾借予他人，且證人亦當庭明確指認行搶</w:t>
      </w:r>
      <w:r w:rsidRPr="002556E8">
        <w:rPr>
          <w:rFonts w:hint="eastAsia"/>
        </w:rPr>
        <w:lastRenderedPageBreak/>
        <w:t>之人係被告無誤。從而，</w:t>
      </w:r>
      <w:r>
        <w:rPr>
          <w:rFonts w:hint="eastAsia"/>
        </w:rPr>
        <w:t>該</w:t>
      </w:r>
      <w:r w:rsidRPr="002556E8">
        <w:rPr>
          <w:rFonts w:hint="eastAsia"/>
        </w:rPr>
        <w:t>院認為證人並無誤認被告，要可認定。</w:t>
      </w:r>
    </w:p>
    <w:p w:rsidR="00B16C62" w:rsidRPr="00A36A85" w:rsidRDefault="00B16C62" w:rsidP="00B16C62">
      <w:pPr>
        <w:pStyle w:val="6"/>
      </w:pPr>
      <w:r w:rsidRPr="002556E8">
        <w:rPr>
          <w:rFonts w:hint="eastAsia"/>
        </w:rPr>
        <w:t>至證人</w:t>
      </w:r>
      <w:r>
        <w:rPr>
          <w:rFonts w:hint="eastAsia"/>
        </w:rPr>
        <w:t>王女</w:t>
      </w:r>
      <w:r w:rsidRPr="002556E8">
        <w:rPr>
          <w:rFonts w:hint="eastAsia"/>
        </w:rPr>
        <w:t>於警方第1次訊問時之陳述情節中並未提及被告有持刀，且就被告之身材為中等身材之敘述，與被害人</w:t>
      </w:r>
      <w:r>
        <w:rPr>
          <w:rFonts w:hint="eastAsia"/>
        </w:rPr>
        <w:t>王女</w:t>
      </w:r>
      <w:r w:rsidRPr="002556E8">
        <w:rPr>
          <w:rFonts w:hint="eastAsia"/>
        </w:rPr>
        <w:t>於第2次警訊供稱伊被強盜時，歹徒與伊面對面，且持刀抵住伊脖子，伊因害怕如不交出財物，會遭殺害，故從皮包內拿錢出來等語，嗣於偵查中結證指稱上訴人係持一把有「藍色手柄」之小刀架在伊脖子上，要伊拿錢出來，迨第一審審理時亦為相同意旨之供證，前後有別，但關於被害人遭人搶走財物此一情節，以其當時係直接面對強盜歹徒，因恐遭對方殺害，而交出財物，嗣既能指認其形貌，又已注意及所持器物之手柄顏色，則對所持強盜之工具是否為「刀器」之類，衡情當無不識之理，是證人</w:t>
      </w:r>
      <w:r>
        <w:rPr>
          <w:rFonts w:hint="eastAsia"/>
        </w:rPr>
        <w:t>王女</w:t>
      </w:r>
      <w:r w:rsidRPr="002556E8">
        <w:rPr>
          <w:rFonts w:hint="eastAsia"/>
        </w:rPr>
        <w:t>於偵審中既已多次指稱上訴人係持刀強盜，從而此部</w:t>
      </w:r>
      <w:r>
        <w:rPr>
          <w:rFonts w:hint="eastAsia"/>
        </w:rPr>
        <w:t>分</w:t>
      </w:r>
      <w:r w:rsidRPr="002556E8">
        <w:rPr>
          <w:rFonts w:hint="eastAsia"/>
        </w:rPr>
        <w:t>之情節縱令前後供述不一，</w:t>
      </w:r>
      <w:r w:rsidRPr="00A36A85">
        <w:rPr>
          <w:rFonts w:hint="eastAsia"/>
          <w:b/>
        </w:rPr>
        <w:t>係因記憶不清所致，然不影響本案犯罪之認定</w:t>
      </w:r>
      <w:r w:rsidRPr="002556E8">
        <w:rPr>
          <w:rFonts w:hint="eastAsia"/>
        </w:rPr>
        <w:t>，又關於被告之身材部</w:t>
      </w:r>
      <w:r>
        <w:rPr>
          <w:rFonts w:hint="eastAsia"/>
        </w:rPr>
        <w:t>分</w:t>
      </w:r>
      <w:r w:rsidRPr="002556E8">
        <w:rPr>
          <w:rFonts w:hint="eastAsia"/>
        </w:rPr>
        <w:t>，告訴人就此部分，於原審審理時已另證稱因為不知被告有無彎腰，無法判斷身高等語，自不能因前揭部分不符，即將證人之證述予以不採，況</w:t>
      </w:r>
      <w:r>
        <w:rPr>
          <w:rFonts w:hint="eastAsia"/>
        </w:rPr>
        <w:t>王女</w:t>
      </w:r>
      <w:r w:rsidRPr="002556E8">
        <w:rPr>
          <w:rFonts w:hint="eastAsia"/>
        </w:rPr>
        <w:t>之警訊筆錄，檢察官及</w:t>
      </w:r>
      <w:r>
        <w:rPr>
          <w:rFonts w:hint="eastAsia"/>
        </w:rPr>
        <w:t>該</w:t>
      </w:r>
      <w:r w:rsidRPr="002556E8">
        <w:rPr>
          <w:rFonts w:hint="eastAsia"/>
        </w:rPr>
        <w:t>院均未採為本案證據，而其偵查及原審筆錄，均經具結，並經詰問，自以偵、審之筆錄為可採。</w:t>
      </w:r>
    </w:p>
    <w:p w:rsidR="00B16C62" w:rsidRDefault="00B16C62" w:rsidP="00B16C62">
      <w:pPr>
        <w:pStyle w:val="6"/>
      </w:pPr>
      <w:r w:rsidRPr="002556E8">
        <w:rPr>
          <w:rFonts w:hint="eastAsia"/>
        </w:rPr>
        <w:t>被告請求傳訊之證人即其陳</w:t>
      </w:r>
      <w:r>
        <w:rPr>
          <w:rFonts w:hint="eastAsia"/>
        </w:rPr>
        <w:t>姓</w:t>
      </w:r>
      <w:r w:rsidRPr="002556E8">
        <w:rPr>
          <w:rFonts w:hint="eastAsia"/>
        </w:rPr>
        <w:t>同居人雖結證供稱：其自95年3月間與被告同居，95年1月26日晚上被告並未外出云云，惟此重要關</w:t>
      </w:r>
      <w:r w:rsidRPr="002556E8">
        <w:rPr>
          <w:rFonts w:hint="eastAsia"/>
        </w:rPr>
        <w:lastRenderedPageBreak/>
        <w:t>係之證人，被告於案發之初均未主張傳訊，且本案發生時間為95年1月26日深夜，</w:t>
      </w:r>
      <w:r w:rsidRPr="00A36A85">
        <w:rPr>
          <w:rFonts w:hint="eastAsia"/>
          <w:b/>
        </w:rPr>
        <w:t>陳姓證人則於97年4月10日始到庭作證，時隔2年餘，竟能清楚記得被告當日並未外出，顯已悖常情</w:t>
      </w:r>
      <w:r w:rsidRPr="002556E8">
        <w:rPr>
          <w:rFonts w:hint="eastAsia"/>
        </w:rPr>
        <w:t>，況查關於本案強盜情節業經證人</w:t>
      </w:r>
      <w:r>
        <w:rPr>
          <w:rFonts w:hint="eastAsia"/>
        </w:rPr>
        <w:t>王女</w:t>
      </w:r>
      <w:r w:rsidRPr="002556E8">
        <w:rPr>
          <w:rFonts w:hint="eastAsia"/>
        </w:rPr>
        <w:t>證述明確，其證言殊不足取</w:t>
      </w:r>
      <w:r>
        <w:rPr>
          <w:rFonts w:ascii="新細明體" w:eastAsia="新細明體" w:hAnsi="新細明體" w:hint="eastAsia"/>
        </w:rPr>
        <w:t>。</w:t>
      </w:r>
    </w:p>
    <w:p w:rsidR="00B16C62" w:rsidRPr="00204A67" w:rsidRDefault="00204A67" w:rsidP="00204A67">
      <w:pPr>
        <w:pStyle w:val="4"/>
      </w:pPr>
      <w:r w:rsidRPr="00204A67">
        <w:rPr>
          <w:rFonts w:hAnsi="標楷體" w:cs="新細明體" w:hint="eastAsia"/>
          <w:kern w:val="0"/>
          <w:szCs w:val="32"/>
        </w:rPr>
        <w:t>最高法院98年1月9日9</w:t>
      </w:r>
      <w:r w:rsidRPr="00204A67">
        <w:rPr>
          <w:rFonts w:hAnsi="標楷體" w:cs="新細明體"/>
          <w:kern w:val="0"/>
          <w:szCs w:val="32"/>
        </w:rPr>
        <w:t>8</w:t>
      </w:r>
      <w:r w:rsidRPr="00204A67">
        <w:rPr>
          <w:rFonts w:hAnsi="標楷體" w:cs="新細明體" w:hint="eastAsia"/>
          <w:kern w:val="0"/>
          <w:szCs w:val="32"/>
        </w:rPr>
        <w:t>年度台上字第1</w:t>
      </w:r>
      <w:r w:rsidRPr="00204A67">
        <w:rPr>
          <w:rFonts w:hAnsi="標楷體" w:cs="新細明體"/>
          <w:kern w:val="0"/>
          <w:szCs w:val="32"/>
        </w:rPr>
        <w:t>04</w:t>
      </w:r>
      <w:r w:rsidRPr="00204A67">
        <w:rPr>
          <w:rFonts w:hAnsi="標楷體" w:cs="新細明體" w:hint="eastAsia"/>
          <w:kern w:val="0"/>
          <w:szCs w:val="32"/>
        </w:rPr>
        <w:t>號</w:t>
      </w:r>
      <w:r>
        <w:rPr>
          <w:rFonts w:hAnsi="標楷體" w:cs="新細明體" w:hint="eastAsia"/>
          <w:kern w:val="0"/>
          <w:szCs w:val="32"/>
        </w:rPr>
        <w:t>(第4次)</w:t>
      </w:r>
      <w:r w:rsidRPr="00204A67">
        <w:rPr>
          <w:rFonts w:hAnsi="標楷體" w:cs="新細明體" w:hint="eastAsia"/>
          <w:kern w:val="0"/>
          <w:szCs w:val="32"/>
        </w:rPr>
        <w:t>判決</w:t>
      </w:r>
      <w:r>
        <w:rPr>
          <w:rFonts w:hAnsi="標楷體" w:cs="新細明體" w:hint="eastAsia"/>
          <w:kern w:val="0"/>
          <w:szCs w:val="32"/>
        </w:rPr>
        <w:t>：</w:t>
      </w:r>
    </w:p>
    <w:p w:rsidR="00204A67" w:rsidRDefault="00204A67" w:rsidP="006344C0">
      <w:pPr>
        <w:pStyle w:val="5"/>
      </w:pPr>
      <w:r>
        <w:rPr>
          <w:rFonts w:hint="eastAsia"/>
        </w:rPr>
        <w:t>主文</w:t>
      </w:r>
      <w:r>
        <w:rPr>
          <w:rFonts w:hAnsi="標楷體" w:hint="eastAsia"/>
        </w:rPr>
        <w:t>：</w:t>
      </w:r>
      <w:r>
        <w:rPr>
          <w:rFonts w:hint="eastAsia"/>
        </w:rPr>
        <w:t>上訴駁回</w:t>
      </w:r>
      <w:r w:rsidRPr="0061154D">
        <w:rPr>
          <w:rFonts w:hint="eastAsia"/>
        </w:rPr>
        <w:t>。</w:t>
      </w:r>
    </w:p>
    <w:p w:rsidR="00204A67" w:rsidRPr="00204A67" w:rsidRDefault="00204A67" w:rsidP="006344C0">
      <w:pPr>
        <w:pStyle w:val="5"/>
      </w:pPr>
      <w:r>
        <w:rPr>
          <w:rFonts w:hint="eastAsia"/>
        </w:rPr>
        <w:t>上訴意旨</w:t>
      </w:r>
      <w:r>
        <w:rPr>
          <w:rFonts w:hAnsi="標楷體" w:hint="eastAsia"/>
        </w:rPr>
        <w:t>：</w:t>
      </w:r>
    </w:p>
    <w:p w:rsidR="00204A67" w:rsidRPr="00090747" w:rsidRDefault="00204A67" w:rsidP="00204A67">
      <w:pPr>
        <w:pStyle w:val="6"/>
      </w:pPr>
      <w:r w:rsidRPr="009076E7">
        <w:rPr>
          <w:rFonts w:hint="eastAsia"/>
        </w:rPr>
        <w:t>被害人報案時，明確指出行搶者著深色衣、褲，而警方於</w:t>
      </w:r>
      <w:r>
        <w:rPr>
          <w:rFonts w:hint="eastAsia"/>
        </w:rPr>
        <w:t>95</w:t>
      </w:r>
      <w:r w:rsidRPr="009076E7">
        <w:rPr>
          <w:rFonts w:hint="eastAsia"/>
        </w:rPr>
        <w:t>年</w:t>
      </w:r>
      <w:r>
        <w:rPr>
          <w:rFonts w:hint="eastAsia"/>
        </w:rPr>
        <w:t>2</w:t>
      </w:r>
      <w:r w:rsidRPr="009076E7">
        <w:rPr>
          <w:rFonts w:hint="eastAsia"/>
        </w:rPr>
        <w:t>月</w:t>
      </w:r>
      <w:r>
        <w:rPr>
          <w:rFonts w:hint="eastAsia"/>
        </w:rPr>
        <w:t>10</w:t>
      </w:r>
      <w:r w:rsidRPr="009076E7">
        <w:rPr>
          <w:rFonts w:hint="eastAsia"/>
        </w:rPr>
        <w:t>日下午，前往上訴人家中搜索，僅找到數件上衣及一件米黃色長褲，與被害人所稱之深色長褲差異甚多；且被害人於第一審審理時亦表示當時天色昏暗，只能看到歹徒背影，確定上衣顏色，不能確認褲子顏色，原判決未審酌該證詞之前後矛盾，悉予採信，自有違經驗法則及論理法則。</w:t>
      </w:r>
    </w:p>
    <w:p w:rsidR="00204A67" w:rsidRPr="00090747" w:rsidRDefault="00204A67" w:rsidP="00204A67">
      <w:pPr>
        <w:pStyle w:val="6"/>
      </w:pPr>
      <w:r w:rsidRPr="009076E7">
        <w:rPr>
          <w:rFonts w:hint="eastAsia"/>
        </w:rPr>
        <w:t>原判決以朱</w:t>
      </w:r>
      <w:r>
        <w:rPr>
          <w:rFonts w:hint="eastAsia"/>
        </w:rPr>
        <w:t>偵查佐</w:t>
      </w:r>
      <w:r w:rsidRPr="009076E7">
        <w:rPr>
          <w:rFonts w:hint="eastAsia"/>
        </w:rPr>
        <w:t>之證詞，及警方調閱案發現場之路口監視器為證據。然該監視器之錄影帶，經由最高法院數次發回更審，皆認定監視器畫面中之人與上訴人並無關聯，且更一、二審勘驗上開錄影帶，均認無法看清楚機車車牌，及畫面中人物長相，況警方案發後，何以不調閱</w:t>
      </w:r>
      <w:r>
        <w:rPr>
          <w:rFonts w:hint="eastAsia"/>
        </w:rPr>
        <w:t>95</w:t>
      </w:r>
      <w:r w:rsidRPr="009076E7">
        <w:rPr>
          <w:rFonts w:hint="eastAsia"/>
        </w:rPr>
        <w:t>年</w:t>
      </w:r>
      <w:r>
        <w:rPr>
          <w:rFonts w:hint="eastAsia"/>
        </w:rPr>
        <w:t>1</w:t>
      </w:r>
      <w:r w:rsidRPr="009076E7">
        <w:rPr>
          <w:rFonts w:hint="eastAsia"/>
        </w:rPr>
        <w:t>月</w:t>
      </w:r>
      <w:r>
        <w:rPr>
          <w:rFonts w:hint="eastAsia"/>
        </w:rPr>
        <w:t>27</w:t>
      </w:r>
      <w:r w:rsidRPr="009076E7">
        <w:rPr>
          <w:rFonts w:hint="eastAsia"/>
        </w:rPr>
        <w:t>日</w:t>
      </w:r>
      <w:r>
        <w:rPr>
          <w:rFonts w:hint="eastAsia"/>
        </w:rPr>
        <w:t>0</w:t>
      </w:r>
      <w:r w:rsidRPr="009076E7">
        <w:rPr>
          <w:rFonts w:hint="eastAsia"/>
        </w:rPr>
        <w:t>時</w:t>
      </w:r>
      <w:r>
        <w:rPr>
          <w:rFonts w:hint="eastAsia"/>
        </w:rPr>
        <w:t>59</w:t>
      </w:r>
      <w:r w:rsidRPr="009076E7">
        <w:rPr>
          <w:rFonts w:hint="eastAsia"/>
        </w:rPr>
        <w:t>分之影帶？其用意何在？原判決亦未詳加審酌，是原判決有證據未查及有違證據法則之違法。</w:t>
      </w:r>
    </w:p>
    <w:p w:rsidR="00204A67" w:rsidRPr="00090747" w:rsidRDefault="00204A67" w:rsidP="00204A67">
      <w:pPr>
        <w:pStyle w:val="6"/>
      </w:pPr>
      <w:r w:rsidRPr="009076E7">
        <w:rPr>
          <w:rFonts w:hint="eastAsia"/>
        </w:rPr>
        <w:t>原判決認定上訴人涉犯本件強盜犯行，僅以被害人之證述為唯一依據，然被害人對於持</w:t>
      </w:r>
      <w:r w:rsidRPr="009076E7">
        <w:rPr>
          <w:rFonts w:hint="eastAsia"/>
        </w:rPr>
        <w:lastRenderedPageBreak/>
        <w:t>刀之重要情節，都能因記憶不清而疏忽，原判決以之為不利上訴人之唯一論據，自嫌判決違背法令。</w:t>
      </w:r>
    </w:p>
    <w:p w:rsidR="00204A67" w:rsidRPr="00AE622D" w:rsidRDefault="00204A67" w:rsidP="00204A67">
      <w:pPr>
        <w:pStyle w:val="6"/>
      </w:pPr>
      <w:r w:rsidRPr="009076E7">
        <w:rPr>
          <w:rFonts w:hint="eastAsia"/>
        </w:rPr>
        <w:t>本件</w:t>
      </w:r>
      <w:r w:rsidRPr="00204A67">
        <w:rPr>
          <w:rFonts w:hint="eastAsia"/>
          <w:b/>
        </w:rPr>
        <w:t>於被害人指認前，警方已先提供上訴人之照片供被害人參閱，則如何能期待被害人能以最初被害之印象做出正確指認</w:t>
      </w:r>
      <w:r w:rsidRPr="009076E7">
        <w:rPr>
          <w:rFonts w:hint="eastAsia"/>
        </w:rPr>
        <w:t>？再被害人於警方指認之對象固不僅一人，惟</w:t>
      </w:r>
      <w:r w:rsidRPr="00204A67">
        <w:rPr>
          <w:rFonts w:hint="eastAsia"/>
          <w:b/>
        </w:rPr>
        <w:t>僅有上訴人穿著囚衣，戴著手銬腳鐐，又如何期待被害人於指認時不受影響</w:t>
      </w:r>
      <w:r w:rsidRPr="009076E7">
        <w:rPr>
          <w:rFonts w:hint="eastAsia"/>
        </w:rPr>
        <w:t>？是該最初之指認程序已因受誤導，其正確性令人懷疑，</w:t>
      </w:r>
      <w:r w:rsidRPr="00204A67">
        <w:rPr>
          <w:rFonts w:hint="eastAsia"/>
          <w:b/>
        </w:rPr>
        <w:t>縱後來被害人再經具結，並有相同之陳述，但已難期其正確性不會受到初始之誤導之污染</w:t>
      </w:r>
      <w:r w:rsidRPr="009076E7">
        <w:rPr>
          <w:rFonts w:hint="eastAsia"/>
        </w:rPr>
        <w:t>。況被害人一再因警方辦案及本件偵、審之進度而調整，甚而更改部分說法，則其</w:t>
      </w:r>
      <w:r w:rsidRPr="00204A67">
        <w:rPr>
          <w:rFonts w:hint="eastAsia"/>
          <w:b/>
        </w:rPr>
        <w:t>指認上訴人，非惟前後陳述不一，亦與事實不符</w:t>
      </w:r>
      <w:r w:rsidRPr="009076E7">
        <w:rPr>
          <w:rFonts w:hint="eastAsia"/>
        </w:rPr>
        <w:t>，原判決顯有判決理由不當之違法等語。</w:t>
      </w:r>
    </w:p>
    <w:p w:rsidR="00204A67" w:rsidRDefault="00204A67" w:rsidP="006344C0">
      <w:pPr>
        <w:pStyle w:val="5"/>
      </w:pPr>
      <w:r>
        <w:rPr>
          <w:rFonts w:hint="eastAsia"/>
        </w:rPr>
        <w:t>理由</w:t>
      </w:r>
      <w:r>
        <w:rPr>
          <w:rFonts w:hAnsi="標楷體" w:hint="eastAsia"/>
        </w:rPr>
        <w:t>：</w:t>
      </w:r>
    </w:p>
    <w:p w:rsidR="0079306A" w:rsidRPr="00AE622D" w:rsidRDefault="0079306A" w:rsidP="0079306A">
      <w:pPr>
        <w:pStyle w:val="6"/>
      </w:pPr>
      <w:r w:rsidRPr="009076E7">
        <w:rPr>
          <w:rFonts w:hint="eastAsia"/>
        </w:rPr>
        <w:t>證據之取捨及證據證明力之判斷，及事實有無之認定，係事實審法院之職權，茍其取捨判斷與認定，並不違背論理法則及經驗法則，即不容任意指為違法。又證人之陳述部分前後不符，或相互間有所歧異時，究竟何者為可採，法院仍得本其自由心證予以斟酌，非謂一有不符或矛盾，即應認其全部均為不可採信。本件被害人所為之先後證述，</w:t>
      </w:r>
      <w:r w:rsidRPr="00AE622D">
        <w:rPr>
          <w:rFonts w:hint="eastAsia"/>
          <w:b/>
        </w:rPr>
        <w:t>雖稍有不一，惟其不利於上訴人之供述部分非無佐證可參，仍不影響其就主要事實之證述所具憑信性</w:t>
      </w:r>
      <w:r w:rsidRPr="009076E7">
        <w:rPr>
          <w:rFonts w:hint="eastAsia"/>
        </w:rPr>
        <w:t>，而可資為不利於上訴人之認定，原判決已就相關事證詳加調查論列，復</w:t>
      </w:r>
      <w:r w:rsidRPr="009076E7">
        <w:rPr>
          <w:rFonts w:hint="eastAsia"/>
        </w:rPr>
        <w:lastRenderedPageBreak/>
        <w:t>綜合上訴人之供述、被害人之證言及指認、朱</w:t>
      </w:r>
      <w:r>
        <w:rPr>
          <w:rFonts w:hint="eastAsia"/>
        </w:rPr>
        <w:t>偵查佐</w:t>
      </w:r>
      <w:r w:rsidRPr="009076E7">
        <w:rPr>
          <w:rFonts w:hint="eastAsia"/>
        </w:rPr>
        <w:t>之證詞，參互斟酌判斷，資為不利於上訴人之認定，併已說明：被害人於偵、審之證述，均經具結及詰問，應為信實可取之取捨判斷而得心證之理由，並無判決理由不備及採證違反法則之違法情形。上訴意旨無非就原審採證認事之職權行使，專憑己見，泛言指摘，再為事實上之爭執，並非依據卷內訴訟資料而為之具體指摘，自非適法之第三審上訴理由。</w:t>
      </w:r>
    </w:p>
    <w:p w:rsidR="0079306A" w:rsidRPr="00AE622D" w:rsidRDefault="0079306A" w:rsidP="0079306A">
      <w:pPr>
        <w:pStyle w:val="6"/>
      </w:pPr>
      <w:r w:rsidRPr="009076E7">
        <w:rPr>
          <w:rFonts w:hint="eastAsia"/>
        </w:rPr>
        <w:t>刑事訴訟法所稱依法應於審判期日調查之證據，係指與待證事實有重要關係，在客觀上顯有調查必要性之證據而言，故其範圍並非漫無限制，必其證據與判斷待證事實之有無，具有關聯性，得據以推翻原判決所確認之事實，而為不同之認定，若僅枝節性問題，或所證明之事項已臻明確，當事人聲請調查之證據，均欠缺其調查之必要性，原審未依職權或聲請為無益之調查，皆無違法之可言。原判決既認依憑上開證據，上訴人應負之罪責，已臻明確，自認警方於案發後，</w:t>
      </w:r>
      <w:r w:rsidRPr="00AE622D">
        <w:rPr>
          <w:rFonts w:hint="eastAsia"/>
          <w:b/>
        </w:rPr>
        <w:t>是否調閱95年1月27日</w:t>
      </w:r>
      <w:r>
        <w:rPr>
          <w:rFonts w:hint="eastAsia"/>
          <w:b/>
        </w:rPr>
        <w:t>0</w:t>
      </w:r>
      <w:r w:rsidRPr="00AE622D">
        <w:rPr>
          <w:rFonts w:hint="eastAsia"/>
          <w:b/>
        </w:rPr>
        <w:t>時59分之錄影帶，均與上訴人有無本件犯行，並無必要關聯性，無為無益調查之必要</w:t>
      </w:r>
      <w:r w:rsidRPr="009076E7">
        <w:rPr>
          <w:rFonts w:hint="eastAsia"/>
        </w:rPr>
        <w:t>，仍與法律規定應於審判期日調查之證據而未予調查之違法情形，不相適合。上訴人自不得執此指摘，資為合法之第三審上訴理由。</w:t>
      </w:r>
    </w:p>
    <w:p w:rsidR="0079306A" w:rsidRPr="00AE622D" w:rsidRDefault="0079306A" w:rsidP="0079306A">
      <w:pPr>
        <w:pStyle w:val="6"/>
      </w:pPr>
      <w:r w:rsidRPr="009076E7">
        <w:rPr>
          <w:rFonts w:hint="eastAsia"/>
        </w:rPr>
        <w:t>原判決係以被害人於偵、審時之證述，資為不利上訴人之論據，亦</w:t>
      </w:r>
      <w:r w:rsidRPr="0079306A">
        <w:rPr>
          <w:rFonts w:hint="eastAsia"/>
          <w:b/>
        </w:rPr>
        <w:t>非以被害人之指訴，資為不利上訴人認定之唯一證據，且依卷內</w:t>
      </w:r>
      <w:r w:rsidRPr="0079306A">
        <w:rPr>
          <w:rFonts w:hint="eastAsia"/>
          <w:b/>
        </w:rPr>
        <w:lastRenderedPageBreak/>
        <w:t>資料，</w:t>
      </w:r>
      <w:r w:rsidRPr="009076E7">
        <w:rPr>
          <w:rFonts w:hint="eastAsia"/>
        </w:rPr>
        <w:t>又</w:t>
      </w:r>
      <w:r w:rsidRPr="00AE622D">
        <w:rPr>
          <w:rFonts w:hint="eastAsia"/>
          <w:b/>
        </w:rPr>
        <w:t>別無證據足資證明被害人所為之證述有虛偽不實而故為誣指之客觀情形</w:t>
      </w:r>
      <w:r w:rsidRPr="009076E7">
        <w:rPr>
          <w:rFonts w:hint="eastAsia"/>
        </w:rPr>
        <w:t>。上訴意旨妄指違法，自非依據卷內訴訟資料執為指摘之正當第三審上訴理由。</w:t>
      </w:r>
    </w:p>
    <w:p w:rsidR="0079306A" w:rsidRPr="00AE622D" w:rsidRDefault="0079306A" w:rsidP="0079306A">
      <w:pPr>
        <w:pStyle w:val="6"/>
      </w:pPr>
      <w:r w:rsidRPr="009076E7">
        <w:rPr>
          <w:rFonts w:hint="eastAsia"/>
        </w:rPr>
        <w:t>其餘上訴意旨，則置原判決之明白論斷於不顧，或仍持原判決已說明理由而捨棄不採之陳詞辯解，再為事實上之爭執，或就屬於事實審法院採證認事職權之行使，或就不影響於判決本旨之枝節事項，全憑己見，任意指摘，難謂已符合首揭法定上訴第三審之要件。其上訴違背法律上之程式，應予駁回。</w:t>
      </w:r>
    </w:p>
    <w:p w:rsidR="002707B1" w:rsidRPr="002707B1" w:rsidRDefault="0079306A" w:rsidP="00E86FE5">
      <w:pPr>
        <w:pStyle w:val="3"/>
      </w:pPr>
      <w:r>
        <w:rPr>
          <w:rFonts w:hint="eastAsia"/>
          <w:b/>
        </w:rPr>
        <w:t>第二分局之指認程序雖有調查意見一所列不符指認要領之情事</w:t>
      </w:r>
      <w:r w:rsidRPr="002C3413">
        <w:rPr>
          <w:rFonts w:hint="eastAsia"/>
          <w:b/>
        </w:rPr>
        <w:t>，</w:t>
      </w:r>
      <w:r>
        <w:rPr>
          <w:rFonts w:hint="eastAsia"/>
          <w:b/>
        </w:rPr>
        <w:t>惟是否足以影響後續審判結果之合法性</w:t>
      </w:r>
      <w:r w:rsidRPr="002C3413">
        <w:rPr>
          <w:rFonts w:hint="eastAsia"/>
          <w:b/>
        </w:rPr>
        <w:t>，</w:t>
      </w:r>
      <w:r>
        <w:rPr>
          <w:rFonts w:hint="eastAsia"/>
          <w:b/>
        </w:rPr>
        <w:t>在臺南高分院與最高法院發回更審間來回拉扯</w:t>
      </w:r>
      <w:r>
        <w:rPr>
          <w:rFonts w:hAnsi="標楷體" w:hint="eastAsia"/>
          <w:b/>
        </w:rPr>
        <w:t>。究竟</w:t>
      </w:r>
      <w:r w:rsidRPr="00DC0357">
        <w:rPr>
          <w:rFonts w:hAnsi="標楷體" w:cs="新細明體" w:hint="eastAsia"/>
          <w:b/>
          <w:kern w:val="0"/>
          <w:szCs w:val="32"/>
        </w:rPr>
        <w:t>證人之指認程序與相關要領規範</w:t>
      </w:r>
      <w:r>
        <w:rPr>
          <w:rFonts w:hAnsi="標楷體" w:cs="新細明體" w:hint="eastAsia"/>
          <w:b/>
          <w:kern w:val="0"/>
          <w:szCs w:val="32"/>
        </w:rPr>
        <w:t>違背時是否即影響判決效力</w:t>
      </w:r>
      <w:r>
        <w:rPr>
          <w:rFonts w:hAnsi="標楷體" w:hint="eastAsia"/>
          <w:b/>
        </w:rPr>
        <w:t>，最高法院判決間常有不同論述</w:t>
      </w:r>
      <w:r w:rsidRPr="00BE1FB3">
        <w:rPr>
          <w:rFonts w:hAnsi="標楷體" w:cs="TT23o00" w:hint="eastAsia"/>
          <w:b/>
          <w:kern w:val="0"/>
          <w:szCs w:val="32"/>
        </w:rPr>
        <w:t>，</w:t>
      </w:r>
      <w:r>
        <w:rPr>
          <w:rFonts w:hAnsi="標楷體" w:cs="TT23o00" w:hint="eastAsia"/>
          <w:b/>
          <w:kern w:val="0"/>
          <w:szCs w:val="32"/>
        </w:rPr>
        <w:t>宜由最高法院</w:t>
      </w:r>
      <w:r w:rsidR="002C048B">
        <w:rPr>
          <w:rFonts w:hAnsi="標楷體" w:cs="TT23o00" w:hint="eastAsia"/>
          <w:b/>
          <w:kern w:val="0"/>
          <w:szCs w:val="32"/>
        </w:rPr>
        <w:t>召開大法庭</w:t>
      </w:r>
      <w:r>
        <w:rPr>
          <w:rFonts w:hAnsi="標楷體" w:cs="TT23o00" w:hint="eastAsia"/>
          <w:b/>
          <w:kern w:val="0"/>
          <w:szCs w:val="32"/>
        </w:rPr>
        <w:t>統一</w:t>
      </w:r>
      <w:r w:rsidR="002C048B">
        <w:rPr>
          <w:rFonts w:hAnsi="標楷體" w:cs="TT23o00" w:hint="eastAsia"/>
          <w:b/>
          <w:kern w:val="0"/>
          <w:szCs w:val="32"/>
        </w:rPr>
        <w:t>法律</w:t>
      </w:r>
      <w:r>
        <w:rPr>
          <w:rFonts w:hAnsi="標楷體" w:cs="TT23o00" w:hint="eastAsia"/>
          <w:b/>
          <w:kern w:val="0"/>
          <w:szCs w:val="32"/>
        </w:rPr>
        <w:t>見解</w:t>
      </w:r>
      <w:r w:rsidR="002707B1">
        <w:rPr>
          <w:rFonts w:hAnsi="標楷體" w:hint="eastAsia"/>
          <w:b/>
        </w:rPr>
        <w:t>：</w:t>
      </w:r>
    </w:p>
    <w:p w:rsidR="00407ECE" w:rsidRPr="0079306A" w:rsidRDefault="0079306A" w:rsidP="00407ECE">
      <w:pPr>
        <w:pStyle w:val="4"/>
      </w:pPr>
      <w:r w:rsidRPr="0079306A">
        <w:rPr>
          <w:rFonts w:hint="eastAsia"/>
        </w:rPr>
        <w:t>第二分局之指認程序雖有調查意見一所列不符指認要領之情事，惟是否足以影響後續審判結果之合法性，在臺南高分院與最高法院發回更審間來回拉扯</w:t>
      </w:r>
      <w:r w:rsidRPr="0079306A">
        <w:rPr>
          <w:rFonts w:hAnsi="標楷體" w:hint="eastAsia"/>
        </w:rPr>
        <w:t>，</w:t>
      </w:r>
      <w:r w:rsidRPr="0079306A">
        <w:rPr>
          <w:rFonts w:hint="eastAsia"/>
        </w:rPr>
        <w:t>業如上開(二)所述</w:t>
      </w:r>
      <w:r w:rsidRPr="0079306A">
        <w:rPr>
          <w:rFonts w:hAnsi="標楷體" w:hint="eastAsia"/>
        </w:rPr>
        <w:t>。</w:t>
      </w:r>
    </w:p>
    <w:p w:rsidR="002707B1" w:rsidRPr="0079306A" w:rsidRDefault="0079306A" w:rsidP="00407ECE">
      <w:pPr>
        <w:pStyle w:val="4"/>
      </w:pPr>
      <w:r w:rsidRPr="0079306A">
        <w:rPr>
          <w:rFonts w:hAnsi="標楷體" w:cs="新細明體" w:hint="eastAsia"/>
          <w:kern w:val="0"/>
          <w:szCs w:val="32"/>
        </w:rPr>
        <w:t>證人之指認程序與相關要領規範違背時是否即影響判決效力</w:t>
      </w:r>
      <w:r w:rsidRPr="0079306A">
        <w:rPr>
          <w:rFonts w:hAnsi="標楷體" w:hint="eastAsia"/>
        </w:rPr>
        <w:t>，最高法院判決間常有不同論述</w:t>
      </w:r>
      <w:r w:rsidR="00407ECE" w:rsidRPr="0079306A">
        <w:rPr>
          <w:rFonts w:hint="eastAsia"/>
        </w:rPr>
        <w:t>：</w:t>
      </w:r>
    </w:p>
    <w:p w:rsidR="00407ECE" w:rsidRDefault="0079306A" w:rsidP="006344C0">
      <w:pPr>
        <w:pStyle w:val="5"/>
      </w:pPr>
      <w:r w:rsidRPr="007271A9">
        <w:rPr>
          <w:rFonts w:hint="eastAsia"/>
        </w:rPr>
        <w:t>認為會影響判決效力</w:t>
      </w:r>
      <w:r w:rsidR="00027A1A" w:rsidRPr="007271A9">
        <w:rPr>
          <w:rFonts w:hint="eastAsia"/>
        </w:rPr>
        <w:t>而撤銷發回更審</w:t>
      </w:r>
      <w:r w:rsidRPr="007271A9">
        <w:rPr>
          <w:rFonts w:hint="eastAsia"/>
        </w:rPr>
        <w:t>者</w:t>
      </w:r>
      <w:r w:rsidR="00027A1A" w:rsidRPr="007271A9">
        <w:rPr>
          <w:rFonts w:hint="eastAsia"/>
        </w:rPr>
        <w:t>舉數例如下</w:t>
      </w:r>
      <w:r w:rsidR="00407ECE">
        <w:rPr>
          <w:rFonts w:hint="eastAsia"/>
        </w:rPr>
        <w:t>：</w:t>
      </w:r>
    </w:p>
    <w:p w:rsidR="0079306A" w:rsidRPr="000075F3" w:rsidRDefault="00ED692A" w:rsidP="000075F3">
      <w:pPr>
        <w:pStyle w:val="6"/>
      </w:pPr>
      <w:r w:rsidRPr="00FF471F">
        <w:rPr>
          <w:rFonts w:hint="eastAsia"/>
        </w:rPr>
        <w:t>96年度台上字第404號</w:t>
      </w:r>
      <w:r>
        <w:rPr>
          <w:rFonts w:hint="eastAsia"/>
        </w:rPr>
        <w:t>判決：</w:t>
      </w:r>
      <w:r w:rsidRPr="00FF471F">
        <w:rPr>
          <w:rFonts w:hint="eastAsia"/>
        </w:rPr>
        <w:t>上揭指認規則，係參酌先進法治國家實務運作之規範，旨在導正長期以來調</w:t>
      </w:r>
      <w:r>
        <w:rPr>
          <w:rFonts w:hint="eastAsia"/>
        </w:rPr>
        <w:t>(</w:t>
      </w:r>
      <w:r w:rsidRPr="00FF471F">
        <w:rPr>
          <w:rFonts w:hint="eastAsia"/>
        </w:rPr>
        <w:t>偵</w:t>
      </w:r>
      <w:r>
        <w:rPr>
          <w:rFonts w:hint="eastAsia"/>
        </w:rPr>
        <w:t>)</w:t>
      </w:r>
      <w:r w:rsidRPr="00FF471F">
        <w:rPr>
          <w:rFonts w:hint="eastAsia"/>
        </w:rPr>
        <w:t>查實務有關犯罪嫌疑人之指認程序草率，應認屬於保障犯罪嫌疑人之正當程序，具有補充法律規定不足之</w:t>
      </w:r>
      <w:r w:rsidRPr="00FF471F">
        <w:rPr>
          <w:rFonts w:hint="eastAsia"/>
        </w:rPr>
        <w:lastRenderedPageBreak/>
        <w:t>效果；且為內政部警政署及法務部依其行政監督權之行使所發布之命令，作為所屬機關人員於執行指認犯罪嫌疑人職務之依據，</w:t>
      </w:r>
      <w:r w:rsidRPr="00027A1A">
        <w:rPr>
          <w:rFonts w:hint="eastAsia"/>
          <w:b/>
        </w:rPr>
        <w:t>自有其拘束下級機關及屬官之效力，應認屬於具有法拘束力之法定正當程序。如有違反，即屬實施刑事訴訟程序之公務員違背法定程序</w:t>
      </w:r>
      <w:r w:rsidRPr="00ED692A">
        <w:rPr>
          <w:rFonts w:hint="eastAsia"/>
        </w:rPr>
        <w:t>。</w:t>
      </w:r>
      <w:r w:rsidR="000075F3" w:rsidRPr="000075F3">
        <w:rPr>
          <w:rFonts w:hint="eastAsia"/>
          <w:szCs w:val="20"/>
        </w:rPr>
        <w:t>……原判決採用</w:t>
      </w:r>
      <w:r w:rsidR="000075F3">
        <w:rPr>
          <w:rFonts w:hint="eastAsia"/>
          <w:szCs w:val="20"/>
        </w:rPr>
        <w:t>被害人</w:t>
      </w:r>
      <w:r w:rsidR="000075F3" w:rsidRPr="000075F3">
        <w:rPr>
          <w:rFonts w:hint="eastAsia"/>
          <w:szCs w:val="20"/>
        </w:rPr>
        <w:t>之指認作為上訴人犯罪之主要證據，但</w:t>
      </w:r>
      <w:r w:rsidR="000075F3" w:rsidRPr="007271A9">
        <w:rPr>
          <w:rFonts w:hint="eastAsia"/>
          <w:b/>
          <w:szCs w:val="20"/>
        </w:rPr>
        <w:t>對於司法警察上開違背指認規則法定程序所取得之證據，並未說明何以得採為證據之理由，尚屬理由欠備</w:t>
      </w:r>
      <w:r w:rsidR="000075F3" w:rsidRPr="000075F3">
        <w:rPr>
          <w:rFonts w:hint="eastAsia"/>
          <w:szCs w:val="20"/>
        </w:rPr>
        <w:t>。</w:t>
      </w:r>
    </w:p>
    <w:p w:rsidR="000075F3" w:rsidRPr="00027A1A" w:rsidRDefault="000075F3" w:rsidP="000075F3">
      <w:pPr>
        <w:pStyle w:val="6"/>
      </w:pPr>
      <w:r>
        <w:rPr>
          <w:rFonts w:hint="eastAsia"/>
        </w:rPr>
        <w:t>本案所涉</w:t>
      </w:r>
      <w:r w:rsidR="00ED692A" w:rsidRPr="000075F3">
        <w:rPr>
          <w:rFonts w:hint="eastAsia"/>
        </w:rPr>
        <w:t>9</w:t>
      </w:r>
      <w:r>
        <w:rPr>
          <w:rFonts w:hint="eastAsia"/>
        </w:rPr>
        <w:t>7</w:t>
      </w:r>
      <w:r w:rsidR="00ED692A" w:rsidRPr="000075F3">
        <w:rPr>
          <w:rFonts w:hint="eastAsia"/>
        </w:rPr>
        <w:t>年度台上字第</w:t>
      </w:r>
      <w:r>
        <w:rPr>
          <w:rFonts w:hint="eastAsia"/>
        </w:rPr>
        <w:t>261</w:t>
      </w:r>
      <w:r w:rsidR="00ED692A" w:rsidRPr="000075F3">
        <w:rPr>
          <w:rFonts w:hint="eastAsia"/>
        </w:rPr>
        <w:t>號判決：</w:t>
      </w:r>
      <w:r w:rsidRPr="000075F3">
        <w:rPr>
          <w:rFonts w:hAnsi="標楷體" w:cs="新細明體" w:hint="eastAsia"/>
          <w:kern w:val="0"/>
          <w:szCs w:val="32"/>
        </w:rPr>
        <w:t>法院如採取未依上開指認程序之規範要領所實施之指認為證據者，自宜於判決內說明如何具有確切證據，足認指認人於案發時所處之環境，確能對犯罪行為人觀察明白、認知犯罪行為人行為之內容，該事後依憑個人之知覺及記憶所為之指認為客觀可信之得心證理由及所憑證據，以臻翔實。</w:t>
      </w:r>
      <w:r w:rsidRPr="00FC5B97">
        <w:rPr>
          <w:rFonts w:hAnsi="標楷體" w:cs="新細明體" w:hint="eastAsia"/>
          <w:kern w:val="0"/>
          <w:szCs w:val="32"/>
        </w:rPr>
        <w:t>本件</w:t>
      </w:r>
      <w:r w:rsidRPr="004D2085">
        <w:rPr>
          <w:rFonts w:hAnsi="標楷體" w:cs="新細明體" w:hint="eastAsia"/>
          <w:b/>
          <w:kern w:val="0"/>
          <w:szCs w:val="32"/>
        </w:rPr>
        <w:t>原判決既以警察機關令被害人指認上訴人之過程確未依前揭「警察機關實施指認犯罪嫌疑人程序要領」辦理，因而不採被害人於警局之指認為證據。</w:t>
      </w:r>
      <w:r w:rsidRPr="004D2085">
        <w:rPr>
          <w:rFonts w:hAnsi="標楷體" w:cs="新細明體" w:hint="eastAsia"/>
          <w:kern w:val="0"/>
          <w:szCs w:val="32"/>
        </w:rPr>
        <w:t>則被害人對於原本並不認識之上訴人之印象，究係存在於警局指認程序之前，或係受警局逕行提示上訴人照片之暗示始形成？此與檢察官嗣後以特定之上訴人一人供被害人所為之指認，是否非來自於被害人先前有受污染之虞之知覺記憶，仍具備可信賴性保障之判斷攸關。</w:t>
      </w:r>
      <w:r w:rsidRPr="000075F3">
        <w:rPr>
          <w:rFonts w:hAnsi="標楷體" w:cs="新細明體" w:hint="eastAsia"/>
          <w:b/>
          <w:kern w:val="0"/>
          <w:szCs w:val="32"/>
        </w:rPr>
        <w:t>原判決就此未為必要之論斷與說明，徒以被害人於偵審中所為單一</w:t>
      </w:r>
      <w:r w:rsidRPr="000075F3">
        <w:rPr>
          <w:rFonts w:hAnsi="標楷體" w:cs="新細明體" w:hint="eastAsia"/>
          <w:b/>
          <w:kern w:val="0"/>
          <w:szCs w:val="32"/>
        </w:rPr>
        <w:lastRenderedPageBreak/>
        <w:t>指認上訴人即係強盜之人為據，遽行判決，自難以昭折服</w:t>
      </w:r>
      <w:r w:rsidRPr="00FC5B97">
        <w:rPr>
          <w:rFonts w:hAnsi="標楷體" w:cs="新細明體" w:hint="eastAsia"/>
          <w:kern w:val="0"/>
          <w:szCs w:val="32"/>
        </w:rPr>
        <w:t>，併嫌判決理由欠備。</w:t>
      </w:r>
    </w:p>
    <w:p w:rsidR="00027A1A" w:rsidRPr="00027A1A" w:rsidRDefault="00027A1A" w:rsidP="000075F3">
      <w:pPr>
        <w:pStyle w:val="6"/>
        <w:rPr>
          <w:rFonts w:hAnsi="標楷體" w:cs="新細明體"/>
          <w:bCs/>
          <w:kern w:val="0"/>
          <w:szCs w:val="32"/>
        </w:rPr>
      </w:pPr>
      <w:r w:rsidRPr="00027A1A">
        <w:rPr>
          <w:rFonts w:hAnsi="標楷體" w:cs="新細明體"/>
          <w:bCs/>
          <w:kern w:val="0"/>
          <w:szCs w:val="32"/>
        </w:rPr>
        <w:t>99年台上字第4087號判決</w:t>
      </w:r>
      <w:r w:rsidRPr="00027A1A">
        <w:rPr>
          <w:rFonts w:hAnsi="標楷體" w:cs="新細明體" w:hint="eastAsia"/>
          <w:bCs/>
          <w:kern w:val="0"/>
          <w:szCs w:val="32"/>
        </w:rPr>
        <w:t>：上開「警察機關實施指認犯罪嫌疑人程序要領」係上級機關(警政署)依其職權，就業務處理方式所為之一般、抽象性之規範(行政程序法第159條參照)，其</w:t>
      </w:r>
      <w:r w:rsidRPr="007271A9">
        <w:rPr>
          <w:rFonts w:hAnsi="標楷體" w:cs="新細明體" w:hint="eastAsia"/>
          <w:b/>
          <w:bCs/>
          <w:kern w:val="0"/>
          <w:szCs w:val="32"/>
        </w:rPr>
        <w:t>下級機關或屬官，自應受其拘束</w:t>
      </w:r>
      <w:r w:rsidRPr="00027A1A">
        <w:rPr>
          <w:rFonts w:hAnsi="標楷體" w:cs="新細明體" w:hint="eastAsia"/>
          <w:bCs/>
          <w:kern w:val="0"/>
          <w:szCs w:val="32"/>
        </w:rPr>
        <w:t>；且正確指認與否，攸關上訴人等是否犯罪，於上訴人之利益重大，自應究明、釐清。</w:t>
      </w:r>
      <w:r w:rsidRPr="00027A1A">
        <w:rPr>
          <w:rFonts w:hAnsi="標楷體" w:cs="新細明體" w:hint="eastAsia"/>
          <w:b/>
          <w:bCs/>
          <w:kern w:val="0"/>
          <w:szCs w:val="32"/>
        </w:rPr>
        <w:t>原判決以上開程序要領僅係供警方實施指認之參考，並不具拘束性質；警方未依該要領實施指認，亦難遽指等同警方暗示云云，即有違誤</w:t>
      </w:r>
      <w:r w:rsidRPr="00027A1A">
        <w:rPr>
          <w:rFonts w:hAnsi="標楷體" w:cs="新細明體" w:hint="eastAsia"/>
          <w:bCs/>
          <w:kern w:val="0"/>
          <w:szCs w:val="32"/>
        </w:rPr>
        <w:t>。以上或係上訴人等上訴指摘所及或係</w:t>
      </w:r>
      <w:r>
        <w:rPr>
          <w:rFonts w:hAnsi="標楷體" w:cs="新細明體" w:hint="eastAsia"/>
          <w:bCs/>
          <w:kern w:val="0"/>
          <w:szCs w:val="32"/>
        </w:rPr>
        <w:t>該</w:t>
      </w:r>
      <w:r w:rsidRPr="00027A1A">
        <w:rPr>
          <w:rFonts w:hAnsi="標楷體" w:cs="新細明體" w:hint="eastAsia"/>
          <w:bCs/>
          <w:kern w:val="0"/>
          <w:szCs w:val="32"/>
        </w:rPr>
        <w:t>院得依職權調查之事項，應認原判決仍有撤銷發回更審之原因。</w:t>
      </w:r>
    </w:p>
    <w:p w:rsidR="00027A1A" w:rsidRPr="00CE0A1F" w:rsidRDefault="00027A1A" w:rsidP="000075F3">
      <w:pPr>
        <w:pStyle w:val="6"/>
      </w:pPr>
      <w:r w:rsidRPr="00027A1A">
        <w:rPr>
          <w:rFonts w:hAnsi="標楷體" w:cs="新細明體"/>
          <w:bCs/>
          <w:kern w:val="0"/>
          <w:szCs w:val="32"/>
        </w:rPr>
        <w:t>102年台上字第1539號判決</w:t>
      </w:r>
      <w:r w:rsidRPr="00027A1A">
        <w:rPr>
          <w:rFonts w:hAnsi="標楷體" w:cs="新細明體" w:hint="eastAsia"/>
          <w:bCs/>
          <w:kern w:val="0"/>
          <w:szCs w:val="32"/>
        </w:rPr>
        <w:t>：</w:t>
      </w:r>
      <w:r w:rsidRPr="00CE0A1F">
        <w:rPr>
          <w:rFonts w:hAnsi="標楷體" w:cs="新細明體" w:hint="eastAsia"/>
          <w:bCs/>
          <w:kern w:val="0"/>
          <w:szCs w:val="32"/>
        </w:rPr>
        <w:t>凡此指認程序之規範要領，旨在袪除指認過程可能發生之誤導情事，提高指認之正確性，以防止指認錯誤發生，影響偵查或判決結果之正確性。是</w:t>
      </w:r>
      <w:r w:rsidRPr="00027A1A">
        <w:rPr>
          <w:rFonts w:hAnsi="標楷體" w:cs="新細明體" w:hint="eastAsia"/>
          <w:b/>
          <w:bCs/>
          <w:kern w:val="0"/>
          <w:szCs w:val="32"/>
        </w:rPr>
        <w:t>法院如採取未依上開指認程序之規範要領所實施之指認為事後審查判斷者，必須於判決內說明如何具有確切之證據，足認指認人於案發時所處之環境，確能對犯罪行為人觀察明白、認知犯罪行為人行為之內容，該事後依憑個人之知覺及記憶所為之指認為客觀可信，並非出於不當之暗示等各情之得心證理由，否則即有判決理由不備之違法</w:t>
      </w:r>
      <w:r w:rsidRPr="00CE0A1F">
        <w:rPr>
          <w:rFonts w:hAnsi="標楷體" w:cs="新細明體" w:hint="eastAsia"/>
          <w:bCs/>
          <w:kern w:val="0"/>
          <w:szCs w:val="32"/>
        </w:rPr>
        <w:t>。</w:t>
      </w:r>
      <w:r>
        <w:rPr>
          <w:rFonts w:hAnsi="標楷體" w:cs="新細明體" w:hint="eastAsia"/>
          <w:kern w:val="0"/>
          <w:szCs w:val="32"/>
        </w:rPr>
        <w:t>……</w:t>
      </w:r>
      <w:r w:rsidRPr="00476F3C">
        <w:rPr>
          <w:rFonts w:hAnsi="標楷體" w:cs="新細明體" w:hint="eastAsia"/>
          <w:color w:val="000000"/>
          <w:kern w:val="0"/>
          <w:szCs w:val="32"/>
        </w:rPr>
        <w:t>警員似已先提供單一之上訴人口卡片供Ａ女指認，嗣後始補行混合數張其他嫌疑人之照片再供指認，其指認過程難謂無違</w:t>
      </w:r>
      <w:r w:rsidRPr="00476F3C">
        <w:rPr>
          <w:rFonts w:hAnsi="標楷體" w:cs="新細明體" w:hint="eastAsia"/>
          <w:color w:val="000000"/>
          <w:kern w:val="0"/>
          <w:szCs w:val="32"/>
        </w:rPr>
        <w:lastRenderedPageBreak/>
        <w:t>上開指認規則；再者，Ａ女就其記憶中之犯嫌容貌先後比對「口卡片」及「犯罪嫌疑人紀錄表」之上訴人照片，兩者間有如何臉型、髮型、胖瘦等容貌特徵之相同點而得以明確指認二者均為本案強制猥褻犯行之加害人，原判決就此未予調查釐清，並為必要之論斷與說明，自難昭折服，併嫌理由欠備。</w:t>
      </w:r>
    </w:p>
    <w:p w:rsidR="00407ECE" w:rsidRPr="00407ECE" w:rsidRDefault="0079306A" w:rsidP="006344C0">
      <w:pPr>
        <w:pStyle w:val="5"/>
      </w:pPr>
      <w:r w:rsidRPr="007271A9">
        <w:rPr>
          <w:rFonts w:hint="eastAsia"/>
        </w:rPr>
        <w:t>認為不當然會影響判決效力者</w:t>
      </w:r>
      <w:r w:rsidR="00ED692A" w:rsidRPr="007271A9">
        <w:rPr>
          <w:rFonts w:hint="eastAsia"/>
        </w:rPr>
        <w:t>舉數例如下</w:t>
      </w:r>
      <w:r w:rsidR="00407ECE">
        <w:rPr>
          <w:rFonts w:hAnsi="標楷體" w:hint="eastAsia"/>
        </w:rPr>
        <w:t>：</w:t>
      </w:r>
    </w:p>
    <w:p w:rsidR="00407ECE" w:rsidRPr="006F4A85" w:rsidRDefault="006F4A85" w:rsidP="00407ECE">
      <w:pPr>
        <w:pStyle w:val="6"/>
        <w:rPr>
          <w:rFonts w:hAnsi="標楷體"/>
        </w:rPr>
      </w:pPr>
      <w:r w:rsidRPr="006F4A85">
        <w:rPr>
          <w:rFonts w:hAnsi="標楷體"/>
        </w:rPr>
        <w:t>95年台上字第3026號判決</w:t>
      </w:r>
      <w:r w:rsidRPr="006F4A85">
        <w:rPr>
          <w:rFonts w:hint="eastAsia"/>
        </w:rPr>
        <w:t>：</w:t>
      </w:r>
      <w:r w:rsidRPr="006F4A85">
        <w:rPr>
          <w:rFonts w:hAnsi="標楷體"/>
        </w:rPr>
        <w:t>按現行刑事訴訟法並無關於指認犯罪嫌疑人、被告</w:t>
      </w:r>
      <w:r>
        <w:rPr>
          <w:rFonts w:hAnsi="標楷體" w:hint="eastAsia"/>
        </w:rPr>
        <w:t>(</w:t>
      </w:r>
      <w:r w:rsidRPr="006F4A85">
        <w:rPr>
          <w:rFonts w:hAnsi="標楷體"/>
        </w:rPr>
        <w:t>下以犯罪嫌疑人稱之</w:t>
      </w:r>
      <w:r>
        <w:rPr>
          <w:rFonts w:hAnsi="標楷體" w:hint="eastAsia"/>
        </w:rPr>
        <w:t>)</w:t>
      </w:r>
      <w:r w:rsidRPr="006F4A85">
        <w:rPr>
          <w:rFonts w:hAnsi="標楷體"/>
        </w:rPr>
        <w:t>程序之規定，如何經由被害人、檢舉人或目擊證人以正確指認犯罪嫌疑人，自應依個案之具體情形為適當之處理。依法務部及內政部警政署於</w:t>
      </w:r>
      <w:r>
        <w:rPr>
          <w:rFonts w:hAnsi="標楷體" w:hint="eastAsia"/>
        </w:rPr>
        <w:t>90</w:t>
      </w:r>
      <w:r w:rsidRPr="006F4A85">
        <w:rPr>
          <w:rFonts w:hAnsi="標楷體"/>
        </w:rPr>
        <w:t>年</w:t>
      </w:r>
      <w:r>
        <w:rPr>
          <w:rFonts w:hAnsi="標楷體" w:hint="eastAsia"/>
        </w:rPr>
        <w:t>5</w:t>
      </w:r>
      <w:r w:rsidRPr="006F4A85">
        <w:rPr>
          <w:rFonts w:hAnsi="標楷體"/>
        </w:rPr>
        <w:t>月、</w:t>
      </w:r>
      <w:r>
        <w:rPr>
          <w:rFonts w:hAnsi="標楷體" w:hint="eastAsia"/>
        </w:rPr>
        <w:t>8</w:t>
      </w:r>
      <w:r w:rsidRPr="006F4A85">
        <w:rPr>
          <w:rFonts w:hAnsi="標楷體"/>
        </w:rPr>
        <w:t>月頒布之「法務部對於指認犯罪嫌疑人程序要點」、「人犯指認作業要點」及「警察機關實施指認犯罪嫌疑人程序要領」中之規定，於偵查過程中指認犯罪嫌疑人，係採取「選擇式」列隊指認，而非一對一「是非式的單一指認」；供選擇指認之數人在外形上不得有重大的差異；實施照片指認，不得以單一相片提供指認，並避免提供老舊照片指認；指認前應由指認人先陳述嫌疑人的特徵、不得對指認人進行誘導或暗示等程序，固可提高指認的正確度，以預防指認錯誤之發生。然指認之程序，固須注重人權之保障，亦需兼顧真實之發現，確保社會正義實現之基本目的。法院就偵查過程中所實施之第一次指認</w:t>
      </w:r>
      <w:r>
        <w:rPr>
          <w:rFonts w:hAnsi="標楷體" w:hint="eastAsia"/>
        </w:rPr>
        <w:t>(</w:t>
      </w:r>
      <w:r w:rsidRPr="006F4A85">
        <w:rPr>
          <w:rFonts w:hAnsi="標楷體"/>
        </w:rPr>
        <w:t>禁止重覆指認</w:t>
      </w:r>
      <w:r>
        <w:rPr>
          <w:rFonts w:hAnsi="標楷體" w:hint="eastAsia"/>
        </w:rPr>
        <w:t>)</w:t>
      </w:r>
      <w:r w:rsidRPr="006F4A85">
        <w:rPr>
          <w:rFonts w:hAnsi="標楷體"/>
        </w:rPr>
        <w:t>，應綜合指認人於案發時所處之環境，是否足資認定其確能對犯罪嫌疑人觀</w:t>
      </w:r>
      <w:r w:rsidRPr="006F4A85">
        <w:rPr>
          <w:rFonts w:hAnsi="標楷體"/>
        </w:rPr>
        <w:lastRenderedPageBreak/>
        <w:t>察明白、認知犯罪行為人行為之內容，該事後依憑個人之知覺及記憶所為之指認是否客觀可信，而非出於不當之暗示等事項，為事後審查，並說明其認定指認有無證據能力之理由。</w:t>
      </w:r>
      <w:r w:rsidRPr="006F4A85">
        <w:rPr>
          <w:rFonts w:hAnsi="標楷體"/>
          <w:b/>
        </w:rPr>
        <w:t>倘指認過程中所可能形成之記憶污染、誤導判斷，均已排除，且其目擊指認亦未違背通常一般日常生活經驗之定則或論理法則，指認人於審判中，並已依人證之調查程序，陳述其出於親身經歷之見聞所為指認，並依法踐行詰問之程序，而非單以指認人之指認為論罪之唯一依據，自不得僅因指認人之指認程序與上開不具法拘束力之要點</w:t>
      </w:r>
      <w:r w:rsidRPr="006F4A85">
        <w:rPr>
          <w:rFonts w:hAnsi="標楷體" w:hint="eastAsia"/>
          <w:b/>
        </w:rPr>
        <w:t>(</w:t>
      </w:r>
      <w:r w:rsidRPr="006F4A85">
        <w:rPr>
          <w:rFonts w:hAnsi="標楷體"/>
          <w:b/>
        </w:rPr>
        <w:t>領</w:t>
      </w:r>
      <w:r w:rsidRPr="006F4A85">
        <w:rPr>
          <w:rFonts w:hAnsi="標楷體" w:hint="eastAsia"/>
          <w:b/>
        </w:rPr>
        <w:t>)</w:t>
      </w:r>
      <w:r w:rsidRPr="006F4A85">
        <w:rPr>
          <w:rFonts w:hAnsi="標楷體"/>
          <w:b/>
        </w:rPr>
        <w:t>規範未盡相符，遽認其無證據能力</w:t>
      </w:r>
      <w:r w:rsidR="00407ECE">
        <w:rPr>
          <w:rFonts w:hAnsi="標楷體" w:hint="eastAsia"/>
        </w:rPr>
        <w:t>。</w:t>
      </w:r>
    </w:p>
    <w:p w:rsidR="00407ECE" w:rsidRPr="00407ECE" w:rsidRDefault="00364CB2" w:rsidP="00407ECE">
      <w:pPr>
        <w:pStyle w:val="6"/>
      </w:pPr>
      <w:r w:rsidRPr="00364CB2">
        <w:rPr>
          <w:rFonts w:hAnsi="標楷體" w:cs="新細明體" w:hint="eastAsia"/>
          <w:kern w:val="0"/>
          <w:szCs w:val="32"/>
        </w:rPr>
        <w:t>本案所涉之97年度台上字第4047號</w:t>
      </w:r>
      <w:r w:rsidRPr="00364CB2">
        <w:rPr>
          <w:rFonts w:hAnsi="標楷體" w:cs="新細明體"/>
          <w:kern w:val="0"/>
          <w:szCs w:val="32"/>
        </w:rPr>
        <w:t>判決</w:t>
      </w:r>
      <w:r w:rsidRPr="00364CB2">
        <w:rPr>
          <w:rFonts w:ascii="新細明體" w:eastAsia="新細明體" w:hAnsi="新細明體" w:hint="eastAsia"/>
        </w:rPr>
        <w:t>：</w:t>
      </w:r>
      <w:r w:rsidRPr="00ED188D">
        <w:rPr>
          <w:rFonts w:hAnsi="標楷體" w:cs="新細明體" w:hint="eastAsia"/>
          <w:b/>
          <w:kern w:val="0"/>
          <w:szCs w:val="32"/>
        </w:rPr>
        <w:t>法務部及司法警察主管機關對於指認程序所訂頒之相關要領規範，或學者發表之指認原則，無非提供辦案人員參考之資料，故證人之指認程序與相關要領規範不盡相符時，尚難謂係違反法律位階之「法定程序」，遑論學者個人發表之指認原則</w:t>
      </w:r>
      <w:r w:rsidRPr="00FF3DBC">
        <w:rPr>
          <w:rFonts w:hAnsi="標楷體" w:cs="新細明體" w:hint="eastAsia"/>
          <w:kern w:val="0"/>
          <w:szCs w:val="32"/>
        </w:rPr>
        <w:t>。</w:t>
      </w:r>
      <w:r>
        <w:rPr>
          <w:rFonts w:hAnsi="標楷體" w:cs="新細明體" w:hint="eastAsia"/>
          <w:kern w:val="0"/>
          <w:szCs w:val="32"/>
        </w:rPr>
        <w:t>……</w:t>
      </w:r>
      <w:r w:rsidRPr="00FF3DBC">
        <w:rPr>
          <w:rFonts w:hAnsi="標楷體" w:cs="新細明體" w:hint="eastAsia"/>
          <w:kern w:val="0"/>
          <w:szCs w:val="32"/>
        </w:rPr>
        <w:t>綜合證人於案發時停留之時間及所處之環境，足資認定其確能對被告觀察明白，認知被告行為之內容，該事後依憑個人之知覺及記憶所為之指認客觀可信，</w:t>
      </w:r>
      <w:r w:rsidRPr="007271A9">
        <w:rPr>
          <w:rFonts w:hAnsi="標楷體" w:cs="新細明體" w:hint="eastAsia"/>
          <w:b/>
          <w:kern w:val="0"/>
          <w:szCs w:val="32"/>
        </w:rPr>
        <w:t>並非出於不當之暗示，亦未違悖通常一般日常生活經驗之定則或論理法則，又非單以證人之指認為被告論罪之唯一依據時，自不得僅因證人之指認程序與相關要領規範或其他學者個人之見解未盡相符，遽認其指認有瑕疵</w:t>
      </w:r>
      <w:r w:rsidR="002F055E" w:rsidRPr="00FF3DBC">
        <w:rPr>
          <w:rFonts w:hAnsi="標楷體" w:cs="新細明體" w:hint="eastAsia"/>
          <w:kern w:val="0"/>
          <w:szCs w:val="32"/>
        </w:rPr>
        <w:t>；苟證人於警詢或偵查中所為之指認陳述，與審判中不符時，亦</w:t>
      </w:r>
      <w:r w:rsidR="002F055E" w:rsidRPr="00FF3DBC">
        <w:rPr>
          <w:rFonts w:hAnsi="標楷體" w:cs="新細明體" w:hint="eastAsia"/>
          <w:kern w:val="0"/>
          <w:szCs w:val="32"/>
        </w:rPr>
        <w:lastRenderedPageBreak/>
        <w:t>應審酌其先前之供述，是否符合刑事訴訟法第</w:t>
      </w:r>
      <w:r w:rsidR="002F055E">
        <w:rPr>
          <w:rFonts w:hAnsi="標楷體" w:cs="新細明體" w:hint="eastAsia"/>
          <w:kern w:val="0"/>
          <w:szCs w:val="32"/>
        </w:rPr>
        <w:t>159</w:t>
      </w:r>
      <w:r w:rsidR="002F055E" w:rsidRPr="00FF3DBC">
        <w:rPr>
          <w:rFonts w:hAnsi="標楷體" w:cs="新細明體" w:hint="eastAsia"/>
          <w:kern w:val="0"/>
          <w:szCs w:val="32"/>
        </w:rPr>
        <w:t>條之</w:t>
      </w:r>
      <w:r w:rsidR="002F055E">
        <w:rPr>
          <w:rFonts w:hAnsi="標楷體" w:cs="新細明體" w:hint="eastAsia"/>
          <w:kern w:val="0"/>
          <w:szCs w:val="32"/>
        </w:rPr>
        <w:t>2</w:t>
      </w:r>
      <w:r w:rsidR="002F055E" w:rsidRPr="00FF3DBC">
        <w:rPr>
          <w:rFonts w:hAnsi="標楷體" w:cs="新細明體" w:hint="eastAsia"/>
          <w:kern w:val="0"/>
          <w:szCs w:val="32"/>
        </w:rPr>
        <w:t>、之</w:t>
      </w:r>
      <w:r w:rsidR="002F055E">
        <w:rPr>
          <w:rFonts w:hAnsi="標楷體" w:cs="新細明體" w:hint="eastAsia"/>
          <w:kern w:val="0"/>
          <w:szCs w:val="32"/>
        </w:rPr>
        <w:t>3</w:t>
      </w:r>
      <w:r w:rsidR="002F055E" w:rsidRPr="00FF3DBC">
        <w:rPr>
          <w:rFonts w:hAnsi="標楷體" w:cs="新細明體" w:hint="eastAsia"/>
          <w:kern w:val="0"/>
          <w:szCs w:val="32"/>
        </w:rPr>
        <w:t>或之</w:t>
      </w:r>
      <w:r w:rsidR="002F055E">
        <w:rPr>
          <w:rFonts w:hAnsi="標楷體" w:cs="新細明體" w:hint="eastAsia"/>
          <w:kern w:val="0"/>
          <w:szCs w:val="32"/>
        </w:rPr>
        <w:t>5</w:t>
      </w:r>
      <w:r w:rsidR="002F055E" w:rsidRPr="00FF3DBC">
        <w:rPr>
          <w:rFonts w:hAnsi="標楷體" w:cs="新細明體" w:hint="eastAsia"/>
          <w:kern w:val="0"/>
          <w:szCs w:val="32"/>
        </w:rPr>
        <w:t>所規定得為證據之情形，以定其取捨，方符採證法則。</w:t>
      </w:r>
      <w:r>
        <w:rPr>
          <w:rFonts w:hAnsi="標楷體" w:cs="新細明體" w:hint="eastAsia"/>
          <w:kern w:val="0"/>
          <w:szCs w:val="32"/>
        </w:rPr>
        <w:t>……</w:t>
      </w:r>
      <w:r w:rsidRPr="00FF3DBC">
        <w:rPr>
          <w:rFonts w:hAnsi="標楷體" w:cs="新細明體" w:hint="eastAsia"/>
          <w:kern w:val="0"/>
          <w:szCs w:val="32"/>
        </w:rPr>
        <w:t>此既攸關被害人或被告之供述，究以何者為真實之判斷，即有根究明白之必要，原審未詳查慎酌，資為判斷之依據，</w:t>
      </w:r>
      <w:r w:rsidRPr="00364CB2">
        <w:rPr>
          <w:rFonts w:hAnsi="標楷體" w:cs="新細明體" w:hint="eastAsia"/>
          <w:b/>
          <w:kern w:val="0"/>
          <w:szCs w:val="32"/>
        </w:rPr>
        <w:t>僅執被害人之指認程序尚有瑕疵一端，遽為有利被告之判決</w:t>
      </w:r>
      <w:r w:rsidRPr="00FF3DBC">
        <w:rPr>
          <w:rFonts w:hAnsi="標楷體" w:cs="新細明體" w:hint="eastAsia"/>
          <w:kern w:val="0"/>
          <w:szCs w:val="32"/>
        </w:rPr>
        <w:t>，亦有證據調查未盡之違法。</w:t>
      </w:r>
    </w:p>
    <w:p w:rsidR="00407ECE" w:rsidRDefault="002C660A" w:rsidP="00407ECE">
      <w:pPr>
        <w:pStyle w:val="6"/>
      </w:pPr>
      <w:r w:rsidRPr="002C660A">
        <w:t>99年台上字第2651號判決</w:t>
      </w:r>
      <w:r w:rsidRPr="002C660A">
        <w:rPr>
          <w:rFonts w:hint="eastAsia"/>
        </w:rPr>
        <w:t>：</w:t>
      </w:r>
      <w:r w:rsidRPr="002C660A">
        <w:t>刑事實務上之對人指認，乃於案發後，經由證人</w:t>
      </w:r>
      <w:r>
        <w:rPr>
          <w:rFonts w:hint="eastAsia"/>
        </w:rPr>
        <w:t>(</w:t>
      </w:r>
      <w:r w:rsidRPr="002C660A">
        <w:t>包括被害人、共犯或目擊之第三人等</w:t>
      </w:r>
      <w:r>
        <w:rPr>
          <w:rFonts w:hint="eastAsia"/>
        </w:rPr>
        <w:t>)</w:t>
      </w:r>
      <w:r w:rsidRPr="002C660A">
        <w:t>指證並確認犯罪行為人之證據方法。刑事訴訟法並無關於指認程序之規定，如何由證人正確指認犯罪行為人，自應依個案之具體情形為適當之處理。指認之程序，固須注重人權之保障，亦需兼顧真實之發現，以確保社會正義實現之基本目的。就審判中之指認言，審判中之指認乃屬證人在審判中之供述證據，均依人證之法定程序為之，並無違反傳聞法則之問題，而透過交互詰問之調查程序，該供述證據之可信性和真實性已受嚴格檢驗，且</w:t>
      </w:r>
      <w:r w:rsidRPr="00364CB2">
        <w:rPr>
          <w:b/>
        </w:rPr>
        <w:t>案件已進入審判階段，已非偵查中之初次指認亦無誤導偵查方向及侵害被指認人之權益可言，故審判中並無禁止單一指認之必要</w:t>
      </w:r>
      <w:r w:rsidRPr="002C660A">
        <w:t>。如證人於審判中陳述其出於親身經歷之見聞所為指認，並依法踐行詰問之程序後，</w:t>
      </w:r>
      <w:r w:rsidRPr="00364CB2">
        <w:rPr>
          <w:b/>
        </w:rPr>
        <w:t>綜合證人於案發時停留之時間及所處之環境等各項情況，足資認定其確能對被告觀察明白，認知被告行為之內容，該事後依憑個人之知覺及記憶所為之指認客觀可信，並非出於不</w:t>
      </w:r>
      <w:r w:rsidRPr="00364CB2">
        <w:rPr>
          <w:b/>
        </w:rPr>
        <w:lastRenderedPageBreak/>
        <w:t>當之暗示，亦未違背一般日常生活經驗之定則或論理法則，又非單以證人之指認為被告論罪之唯一依據，即非不得採為判決之基礎</w:t>
      </w:r>
      <w:r w:rsidR="00407ECE">
        <w:rPr>
          <w:rFonts w:hint="eastAsia"/>
        </w:rPr>
        <w:t>。</w:t>
      </w:r>
    </w:p>
    <w:p w:rsidR="008F2980" w:rsidRPr="00ED692A" w:rsidRDefault="008F2980" w:rsidP="00ED692A">
      <w:pPr>
        <w:pStyle w:val="6"/>
      </w:pPr>
      <w:r>
        <w:t>10</w:t>
      </w:r>
      <w:r>
        <w:rPr>
          <w:rFonts w:hint="eastAsia"/>
        </w:rPr>
        <w:t>8</w:t>
      </w:r>
      <w:r w:rsidRPr="00ED692A">
        <w:t>年台上字第</w:t>
      </w:r>
      <w:r>
        <w:rPr>
          <w:rFonts w:hint="eastAsia"/>
        </w:rPr>
        <w:t>176</w:t>
      </w:r>
      <w:r w:rsidRPr="00ED692A">
        <w:t>號判決</w:t>
      </w:r>
      <w:r w:rsidRPr="00ED692A">
        <w:rPr>
          <w:rFonts w:hint="eastAsia"/>
        </w:rPr>
        <w:t>：</w:t>
      </w:r>
      <w:r w:rsidRPr="00476F3C">
        <w:rPr>
          <w:rFonts w:hAnsi="標楷體" w:cs="新細明體" w:hint="eastAsia"/>
          <w:bCs/>
          <w:kern w:val="0"/>
          <w:szCs w:val="32"/>
        </w:rPr>
        <w:t>至於法務部及司法警察主管機關對指認程序所訂頒之</w:t>
      </w:r>
      <w:r w:rsidRPr="00476F3C">
        <w:rPr>
          <w:rFonts w:hint="eastAsia"/>
          <w:b/>
        </w:rPr>
        <w:t>相關要領、規範，旨在促使辦案人員注意，非屬法律位階，尚不得僅因指認程序與相關要領或規範未盡相符，遽認其指認程序違法</w:t>
      </w:r>
      <w:r w:rsidRPr="00476F3C">
        <w:rPr>
          <w:rFonts w:hAnsi="標楷體" w:cs="新細明體" w:hint="eastAsia"/>
          <w:bCs/>
          <w:kern w:val="0"/>
          <w:szCs w:val="32"/>
        </w:rPr>
        <w:t>。</w:t>
      </w:r>
    </w:p>
    <w:p w:rsidR="007B6073" w:rsidRDefault="007B6073" w:rsidP="00E86FE5">
      <w:pPr>
        <w:pStyle w:val="3"/>
        <w:rPr>
          <w:rFonts w:hAnsi="標楷體"/>
          <w:b/>
          <w:szCs w:val="48"/>
        </w:rPr>
      </w:pPr>
      <w:r>
        <w:rPr>
          <w:rFonts w:hAnsi="標楷體" w:hint="eastAsia"/>
          <w:b/>
          <w:szCs w:val="48"/>
        </w:rPr>
        <w:t>籲請檢察總長提起非常上訴：</w:t>
      </w:r>
    </w:p>
    <w:p w:rsidR="007B6073" w:rsidRDefault="002C048B" w:rsidP="007B6073">
      <w:pPr>
        <w:pStyle w:val="4"/>
      </w:pPr>
      <w:r w:rsidRPr="007B6073">
        <w:rPr>
          <w:rFonts w:hint="eastAsia"/>
        </w:rPr>
        <w:t>按刑事訴訟法第379條第10款規定：「有左列情形之一者，其判決當然違背法令︰十、依本法應於審判期日調查之證據而未予調查者。」</w:t>
      </w:r>
      <w:r w:rsidR="007B6073" w:rsidRPr="007B6073">
        <w:rPr>
          <w:rFonts w:hint="eastAsia"/>
        </w:rPr>
        <w:t>同法第441條規定：「判決確定後，發見該案件之審判係違背法令者，最高檢察署檢察總長得向最高法院提起非常上訴。」</w:t>
      </w:r>
    </w:p>
    <w:p w:rsidR="008D3751" w:rsidRPr="007B6073" w:rsidRDefault="0084544B" w:rsidP="007B6073">
      <w:pPr>
        <w:pStyle w:val="4"/>
      </w:pPr>
      <w:r>
        <w:rPr>
          <w:rFonts w:hAnsi="標楷體" w:cs="HiddenHorzOCR" w:hint="eastAsia"/>
          <w:kern w:val="0"/>
          <w:szCs w:val="32"/>
        </w:rPr>
        <w:t>據</w:t>
      </w:r>
      <w:r w:rsidR="007B6073">
        <w:rPr>
          <w:rFonts w:hAnsi="標楷體" w:cs="HiddenHorzOCR" w:hint="eastAsia"/>
          <w:kern w:val="0"/>
          <w:szCs w:val="32"/>
        </w:rPr>
        <w:t>陳訴人</w:t>
      </w:r>
      <w:r>
        <w:rPr>
          <w:rFonts w:hAnsi="標楷體" w:cs="HiddenHorzOCR" w:hint="eastAsia"/>
          <w:kern w:val="0"/>
          <w:szCs w:val="32"/>
        </w:rPr>
        <w:t>表示</w:t>
      </w:r>
      <w:r w:rsidR="007B6073" w:rsidRPr="00C21CFC">
        <w:rPr>
          <w:rFonts w:hAnsi="標楷體" w:cs="HiddenHorzOCR" w:hint="eastAsia"/>
          <w:kern w:val="0"/>
          <w:szCs w:val="32"/>
        </w:rPr>
        <w:t>對於強盜、搶奪始終陳訴有冤，捲入此案始於員警離譜、瑕疵之列隊指認，然歷經多次審理，法院、檢察署均未曾播放</w:t>
      </w:r>
      <w:r w:rsidR="007B6073" w:rsidRPr="002C048B">
        <w:rPr>
          <w:rFonts w:hint="eastAsia"/>
        </w:rPr>
        <w:t>指認錄影</w:t>
      </w:r>
      <w:r w:rsidR="00962B87">
        <w:rPr>
          <w:rFonts w:hint="eastAsia"/>
        </w:rPr>
        <w:t>之</w:t>
      </w:r>
      <w:r w:rsidR="007B6073" w:rsidRPr="002C048B">
        <w:rPr>
          <w:rFonts w:hint="eastAsia"/>
        </w:rPr>
        <w:t>重要證據</w:t>
      </w:r>
      <w:r w:rsidR="007B6073" w:rsidRPr="00C21CFC">
        <w:rPr>
          <w:rFonts w:hAnsi="標楷體" w:cs="HiddenHorzOCR" w:hint="eastAsia"/>
          <w:kern w:val="0"/>
          <w:szCs w:val="32"/>
        </w:rPr>
        <w:t>資料</w:t>
      </w:r>
      <w:r>
        <w:rPr>
          <w:rFonts w:hAnsi="標楷體" w:cs="HiddenHorzOCR" w:hint="eastAsia"/>
          <w:kern w:val="0"/>
          <w:szCs w:val="32"/>
        </w:rPr>
        <w:t>加以調查</w:t>
      </w:r>
      <w:r w:rsidR="002C048B" w:rsidRPr="002C048B">
        <w:rPr>
          <w:rFonts w:hint="eastAsia"/>
        </w:rPr>
        <w:t>，</w:t>
      </w:r>
      <w:r w:rsidR="007B6073">
        <w:rPr>
          <w:rFonts w:hint="eastAsia"/>
        </w:rPr>
        <w:t>顯屬</w:t>
      </w:r>
      <w:r w:rsidR="002C048B" w:rsidRPr="002C048B">
        <w:rPr>
          <w:rFonts w:hint="eastAsia"/>
        </w:rPr>
        <w:t>刑事訴訟法第379條第10款所規定判決當然違背法令之情形，最高檢察署檢察總長宜依同法第441條規定向最高法院提起非常上訴</w:t>
      </w:r>
      <w:r w:rsidR="007B6073">
        <w:rPr>
          <w:rFonts w:hint="eastAsia"/>
        </w:rPr>
        <w:t>。</w:t>
      </w:r>
    </w:p>
    <w:p w:rsidR="002C048B" w:rsidRPr="0084544B" w:rsidRDefault="002C048B" w:rsidP="00E86FE5">
      <w:pPr>
        <w:pStyle w:val="3"/>
      </w:pPr>
      <w:r w:rsidRPr="0084544B">
        <w:rPr>
          <w:rFonts w:hAnsi="標楷體" w:hint="eastAsia"/>
        </w:rPr>
        <w:t>綜上，</w:t>
      </w:r>
      <w:r w:rsidR="0084544B" w:rsidRPr="0084544B">
        <w:rPr>
          <w:rFonts w:hAnsi="標楷體" w:hint="eastAsia"/>
        </w:rPr>
        <w:t>陳訴人所涉2案，</w:t>
      </w:r>
      <w:r w:rsidR="0084544B" w:rsidRPr="0084544B">
        <w:rPr>
          <w:rFonts w:hint="eastAsia"/>
        </w:rPr>
        <w:t>臺南地院一審及臺南高分院二審判決在程序事項皆認為</w:t>
      </w:r>
      <w:r w:rsidR="0084544B" w:rsidRPr="0084544B">
        <w:rPr>
          <w:rFonts w:hAnsi="標楷體" w:hint="eastAsia"/>
        </w:rPr>
        <w:t>「</w:t>
      </w:r>
      <w:r w:rsidR="0084544B" w:rsidRPr="0084544B">
        <w:rPr>
          <w:rFonts w:hint="eastAsia"/>
        </w:rPr>
        <w:t>起訴書既未以被害人警詢中之證述內容為證據方法，雖證人指認被告之過程確未依程序要領辦理，從而被害人3人之警詢筆錄原本即非本案認定事實之依據</w:t>
      </w:r>
      <w:r w:rsidR="0084544B" w:rsidRPr="0084544B">
        <w:rPr>
          <w:rFonts w:hAnsi="標楷體" w:hint="eastAsia"/>
        </w:rPr>
        <w:t>」，嗣經最高法院判決駁回搶奪案上訴而定讞，</w:t>
      </w:r>
      <w:r w:rsidR="0084544B" w:rsidRPr="0084544B">
        <w:rPr>
          <w:rFonts w:hint="eastAsia"/>
        </w:rPr>
        <w:t>強盜案部分撤銷發回更審</w:t>
      </w:r>
      <w:r w:rsidR="0084544B" w:rsidRPr="0084544B">
        <w:rPr>
          <w:rFonts w:hAnsi="標楷體" w:hint="eastAsia"/>
        </w:rPr>
        <w:t>。臺南高分院更一審判決駁回強盜案之上</w:t>
      </w:r>
      <w:r w:rsidR="0084544B" w:rsidRPr="0084544B">
        <w:rPr>
          <w:rFonts w:hAnsi="標楷體" w:hint="eastAsia"/>
        </w:rPr>
        <w:lastRenderedPageBreak/>
        <w:t>訴，惟最高法院第2次判決以更一審判決「徒以被害人於偵審中所為單一指認陳訴人」為撤銷理由之一發回更審，臺南高分院更二審判決以「指認瑕疵」列為改判無罪理由之一；惟最高法院第3次判決又以「</w:t>
      </w:r>
      <w:r w:rsidR="0084544B" w:rsidRPr="0084544B">
        <w:rPr>
          <w:rFonts w:hAnsi="標楷體" w:cs="新細明體" w:hint="eastAsia"/>
          <w:kern w:val="0"/>
          <w:szCs w:val="32"/>
        </w:rPr>
        <w:t>證人之指認程序與相關要領規範不盡相符時，尚難謂係違反法律位階之法定程序</w:t>
      </w:r>
      <w:r w:rsidR="0084544B" w:rsidRPr="0084544B">
        <w:rPr>
          <w:rFonts w:hAnsi="標楷體" w:hint="eastAsia"/>
        </w:rPr>
        <w:t>」為撤銷理由之一發回更審，臺南高分院更三審判決以「</w:t>
      </w:r>
      <w:r w:rsidR="0084544B" w:rsidRPr="0084544B">
        <w:rPr>
          <w:rFonts w:hAnsi="標楷體" w:cs="新細明體" w:hint="eastAsia"/>
          <w:kern w:val="0"/>
          <w:szCs w:val="32"/>
        </w:rPr>
        <w:t>非單以證人之指認為被告論罪之唯一依據時，不得僅因證人之指認程序與相關要領規範或其他學者個人之見解未盡相符，遽認其指認有瑕疵」</w:t>
      </w:r>
      <w:r w:rsidR="0084544B" w:rsidRPr="0084544B">
        <w:rPr>
          <w:rFonts w:hAnsi="標楷體" w:hint="eastAsia"/>
        </w:rPr>
        <w:t>列為駁回上訴理由之一，嗣經</w:t>
      </w:r>
      <w:r w:rsidR="0084544B" w:rsidRPr="0084544B">
        <w:rPr>
          <w:rFonts w:hint="eastAsia"/>
        </w:rPr>
        <w:t>最高法院98年度台上字第104號判決駁回上訴</w:t>
      </w:r>
      <w:r w:rsidR="0084544B" w:rsidRPr="0084544B">
        <w:rPr>
          <w:rFonts w:hAnsi="標楷體" w:hint="eastAsia"/>
        </w:rPr>
        <w:t>，至此強盜案三審定讞。</w:t>
      </w:r>
      <w:r w:rsidR="0084544B" w:rsidRPr="0084544B">
        <w:rPr>
          <w:rFonts w:hint="eastAsia"/>
        </w:rPr>
        <w:t>第二分局之指認程序雖有調查意見一所列不符指認要領之情事，惟是否足以影響後續審判結果之合法性，在臺南高分院與最高法院發回更審間來回拉扯</w:t>
      </w:r>
      <w:r w:rsidR="0084544B" w:rsidRPr="0084544B">
        <w:rPr>
          <w:rFonts w:hAnsi="標楷體" w:hint="eastAsia"/>
        </w:rPr>
        <w:t>。究竟</w:t>
      </w:r>
      <w:r w:rsidR="0084544B" w:rsidRPr="0084544B">
        <w:rPr>
          <w:rFonts w:hAnsi="標楷體" w:cs="新細明體" w:hint="eastAsia"/>
          <w:kern w:val="0"/>
          <w:szCs w:val="32"/>
        </w:rPr>
        <w:t>證人之指認程序與相關要領規範違背時是否即影響判決效力</w:t>
      </w:r>
      <w:r w:rsidR="0084544B" w:rsidRPr="0084544B">
        <w:rPr>
          <w:rFonts w:hAnsi="標楷體" w:hint="eastAsia"/>
        </w:rPr>
        <w:t>，最高法院判決間常有不同論述</w:t>
      </w:r>
      <w:r w:rsidR="0084544B" w:rsidRPr="0084544B">
        <w:rPr>
          <w:rFonts w:hAnsi="標楷體" w:cs="TT23o00" w:hint="eastAsia"/>
          <w:kern w:val="0"/>
          <w:szCs w:val="32"/>
        </w:rPr>
        <w:t>，宜由最高法院召開大法庭統一法律見解</w:t>
      </w:r>
      <w:r w:rsidR="0084544B" w:rsidRPr="0084544B">
        <w:rPr>
          <w:rFonts w:ascii="新細明體" w:eastAsia="新細明體" w:hAnsi="新細明體" w:cs="HiddenHorzOCR" w:hint="eastAsia"/>
          <w:kern w:val="0"/>
          <w:szCs w:val="32"/>
        </w:rPr>
        <w:t>。</w:t>
      </w:r>
      <w:r w:rsidR="0084544B" w:rsidRPr="0084544B">
        <w:rPr>
          <w:rFonts w:hAnsi="標楷體" w:hint="eastAsia"/>
        </w:rPr>
        <w:t>另2案被害人之指認錄影於審理中皆未被調查，為刑事訴訟法第379條第10款所規定判決當然違背法令之情形，最高檢察署檢察總長宜依同法第441條規定向最高法院提起非常上訴。</w:t>
      </w:r>
    </w:p>
    <w:p w:rsidR="0008711E" w:rsidRDefault="0008711E">
      <w:pPr>
        <w:widowControl/>
        <w:overflowPunct/>
        <w:autoSpaceDE/>
        <w:autoSpaceDN/>
        <w:jc w:val="left"/>
        <w:rPr>
          <w:rFonts w:hAnsi="Arial"/>
          <w:bCs/>
          <w:kern w:val="32"/>
          <w:szCs w:val="52"/>
        </w:rPr>
      </w:pPr>
      <w:r>
        <w:br w:type="page"/>
      </w:r>
    </w:p>
    <w:p w:rsidR="009E343D" w:rsidRDefault="009E343D" w:rsidP="009E343D">
      <w:pPr>
        <w:pStyle w:val="1"/>
      </w:pPr>
      <w:r>
        <w:rPr>
          <w:rFonts w:hint="eastAsia"/>
        </w:rPr>
        <w:lastRenderedPageBreak/>
        <w:t>處理辦法：</w:t>
      </w:r>
    </w:p>
    <w:p w:rsidR="000C4451" w:rsidRDefault="000C4451" w:rsidP="002C16AF">
      <w:pPr>
        <w:pStyle w:val="2"/>
      </w:pPr>
      <w:bookmarkStart w:id="31" w:name="_Toc70241818"/>
      <w:bookmarkStart w:id="32" w:name="_Toc70242207"/>
      <w:bookmarkStart w:id="33" w:name="_Toc524902735"/>
      <w:bookmarkStart w:id="34" w:name="_Toc525066149"/>
      <w:bookmarkStart w:id="35" w:name="_Toc525070840"/>
      <w:bookmarkStart w:id="36" w:name="_Toc525938380"/>
      <w:bookmarkStart w:id="37" w:name="_Toc525939228"/>
      <w:bookmarkStart w:id="38" w:name="_Toc525939733"/>
      <w:bookmarkStart w:id="39" w:name="_Toc529218273"/>
      <w:bookmarkStart w:id="40" w:name="_Toc529222690"/>
      <w:bookmarkStart w:id="41" w:name="_Toc529223112"/>
      <w:bookmarkStart w:id="42" w:name="_Toc529223863"/>
      <w:bookmarkStart w:id="43" w:name="_Toc529228266"/>
      <w:bookmarkStart w:id="44" w:name="_Toc69556899"/>
      <w:bookmarkStart w:id="45" w:name="_Toc69556948"/>
      <w:bookmarkStart w:id="46" w:name="_Toc69609822"/>
      <w:bookmarkStart w:id="47" w:name="_Toc2400397"/>
      <w:bookmarkStart w:id="48" w:name="_Toc4316191"/>
      <w:bookmarkStart w:id="49" w:name="_Toc4473332"/>
      <w:bookmarkStart w:id="50" w:name="_Toc69556901"/>
      <w:bookmarkStart w:id="51" w:name="_Toc69556950"/>
      <w:bookmarkStart w:id="52" w:name="_Toc69609824"/>
      <w:bookmarkStart w:id="53" w:name="_Toc70241822"/>
      <w:bookmarkStart w:id="54" w:name="_Toc70242211"/>
      <w:bookmarkStart w:id="55" w:name="_Toc421794881"/>
      <w:bookmarkStart w:id="56" w:name="_Toc421795447"/>
      <w:bookmarkStart w:id="57" w:name="_Toc421796028"/>
      <w:bookmarkStart w:id="58" w:name="_Toc422728963"/>
      <w:bookmarkStart w:id="59" w:name="_Toc422834166"/>
      <w:r>
        <w:rPr>
          <w:rFonts w:hint="eastAsia"/>
        </w:rPr>
        <w:t>調查意見</w:t>
      </w:r>
      <w:r w:rsidR="00A6275D">
        <w:rPr>
          <w:rFonts w:hint="eastAsia"/>
        </w:rPr>
        <w:t>一</w:t>
      </w:r>
      <w:r>
        <w:rPr>
          <w:rFonts w:hint="eastAsia"/>
        </w:rPr>
        <w:t>，</w:t>
      </w:r>
      <w:r w:rsidR="007A2360">
        <w:rPr>
          <w:rFonts w:hint="eastAsia"/>
        </w:rPr>
        <w:t>函請</w:t>
      </w:r>
      <w:r w:rsidR="0008711E">
        <w:rPr>
          <w:rFonts w:hint="eastAsia"/>
        </w:rPr>
        <w:t>臺南市政府警察局轉</w:t>
      </w:r>
      <w:r w:rsidR="00F657FE">
        <w:rPr>
          <w:rFonts w:hint="eastAsia"/>
        </w:rPr>
        <w:t>請第二分局檢討改進</w:t>
      </w:r>
      <w:r w:rsidR="007A2360">
        <w:rPr>
          <w:rFonts w:hint="eastAsia"/>
        </w:rPr>
        <w:t>見復</w:t>
      </w:r>
      <w:r>
        <w:rPr>
          <w:rFonts w:hint="eastAsia"/>
        </w:rPr>
        <w:t>。</w:t>
      </w:r>
      <w:bookmarkEnd w:id="31"/>
      <w:bookmarkEnd w:id="32"/>
    </w:p>
    <w:p w:rsidR="00A6275D" w:rsidRDefault="00A6275D" w:rsidP="002C16AF">
      <w:pPr>
        <w:pStyle w:val="2"/>
      </w:pPr>
      <w:r>
        <w:rPr>
          <w:rFonts w:hint="eastAsia"/>
        </w:rPr>
        <w:t>調查意見</w:t>
      </w:r>
      <w:r w:rsidR="00F657FE">
        <w:rPr>
          <w:rFonts w:hint="eastAsia"/>
        </w:rPr>
        <w:t>二</w:t>
      </w:r>
      <w:r>
        <w:rPr>
          <w:rFonts w:hint="eastAsia"/>
        </w:rPr>
        <w:t>，函請</w:t>
      </w:r>
      <w:r w:rsidR="00F657FE">
        <w:rPr>
          <w:rFonts w:hint="eastAsia"/>
        </w:rPr>
        <w:t>最高法院</w:t>
      </w:r>
      <w:r w:rsidR="0084544B">
        <w:rPr>
          <w:rFonts w:hint="eastAsia"/>
        </w:rPr>
        <w:t>召開大法庭統一法律見解</w:t>
      </w:r>
      <w:r w:rsidR="0084544B">
        <w:rPr>
          <w:rFonts w:hAnsi="標楷體" w:hint="eastAsia"/>
        </w:rPr>
        <w:t>，</w:t>
      </w:r>
      <w:r w:rsidR="0084544B">
        <w:rPr>
          <w:rFonts w:hint="eastAsia"/>
        </w:rPr>
        <w:t>並函請最高檢察署檢察總長提起非常上訴</w:t>
      </w:r>
      <w:r>
        <w:rPr>
          <w:rFonts w:hint="eastAsia"/>
        </w:rPr>
        <w:t>。</w:t>
      </w:r>
    </w:p>
    <w:p w:rsidR="000C4451" w:rsidRDefault="000C4451" w:rsidP="002C16AF">
      <w:pPr>
        <w:pStyle w:val="2"/>
      </w:pPr>
      <w:bookmarkStart w:id="60" w:name="_Toc70241819"/>
      <w:bookmarkStart w:id="61" w:name="_Toc70242208"/>
      <w:r>
        <w:rPr>
          <w:rFonts w:hint="eastAsia"/>
        </w:rPr>
        <w:t>調查意見</w:t>
      </w:r>
      <w:r w:rsidR="009029E7">
        <w:rPr>
          <w:rFonts w:hint="eastAsia"/>
        </w:rPr>
        <w:t>一至</w:t>
      </w:r>
      <w:r w:rsidR="0084544B">
        <w:rPr>
          <w:rFonts w:hint="eastAsia"/>
        </w:rPr>
        <w:t>二</w:t>
      </w:r>
      <w:r>
        <w:rPr>
          <w:rFonts w:hint="eastAsia"/>
        </w:rPr>
        <w:t>，函復本案陳訴人。</w:t>
      </w:r>
      <w:bookmarkEnd w:id="60"/>
      <w:bookmarkEnd w:id="61"/>
    </w:p>
    <w:p w:rsidR="00926590" w:rsidRDefault="00A7497D" w:rsidP="002C16AF">
      <w:pPr>
        <w:pStyle w:val="2"/>
      </w:pPr>
      <w:r>
        <w:rPr>
          <w:rFonts w:hint="eastAsia"/>
        </w:rPr>
        <w:t>調查事實及調查意見皆於本院官方網站公布</w:t>
      </w:r>
      <w:r>
        <w:rPr>
          <w:rFonts w:hAnsi="標楷體" w:hint="eastAsia"/>
        </w:rPr>
        <w:t>。</w:t>
      </w:r>
    </w:p>
    <w:bookmarkEnd w:id="33"/>
    <w:bookmarkEnd w:id="34"/>
    <w:bookmarkEnd w:id="35"/>
    <w:bookmarkEnd w:id="36"/>
    <w:bookmarkEnd w:id="37"/>
    <w:bookmarkEnd w:id="38"/>
    <w:bookmarkEnd w:id="39"/>
    <w:bookmarkEnd w:id="40"/>
    <w:bookmarkEnd w:id="41"/>
    <w:bookmarkEnd w:id="42"/>
    <w:bookmarkEnd w:id="43"/>
    <w:bookmarkEnd w:id="44"/>
    <w:bookmarkEnd w:id="45"/>
    <w:bookmarkEnd w:id="46"/>
    <w:p w:rsidR="00CB6027" w:rsidRPr="005F4B18" w:rsidRDefault="000C4451" w:rsidP="002C16AF">
      <w:pPr>
        <w:pStyle w:val="2"/>
      </w:pPr>
      <w:r>
        <w:rPr>
          <w:rFonts w:hint="eastAsia"/>
        </w:rPr>
        <w:t>檢附派查函及相關附件，送請</w:t>
      </w:r>
      <w:r w:rsidR="0084544B">
        <w:rPr>
          <w:rFonts w:hint="eastAsia"/>
        </w:rPr>
        <w:t>司法及獄政委員會暨</w:t>
      </w:r>
      <w:r w:rsidR="00F657FE">
        <w:rPr>
          <w:rFonts w:hint="eastAsia"/>
        </w:rPr>
        <w:t>內政</w:t>
      </w:r>
      <w:r w:rsidR="00A6275D">
        <w:rPr>
          <w:rFonts w:hint="eastAsia"/>
        </w:rPr>
        <w:t>及</w:t>
      </w:r>
      <w:r w:rsidR="00F657FE">
        <w:rPr>
          <w:rFonts w:hint="eastAsia"/>
        </w:rPr>
        <w:t>族</w:t>
      </w:r>
      <w:r w:rsidR="00D7134D">
        <w:rPr>
          <w:rFonts w:hint="eastAsia"/>
        </w:rPr>
        <w:t>群</w:t>
      </w:r>
      <w:r w:rsidR="00F657FE">
        <w:rPr>
          <w:rFonts w:hint="eastAsia"/>
        </w:rPr>
        <w:t>委</w:t>
      </w:r>
      <w:r w:rsidR="00A6275D">
        <w:rPr>
          <w:rFonts w:hint="eastAsia"/>
        </w:rPr>
        <w:t>員會</w:t>
      </w:r>
      <w:r w:rsidR="00FE33D9">
        <w:rPr>
          <w:rFonts w:hint="eastAsia"/>
        </w:rPr>
        <w:t>聯席</w:t>
      </w:r>
      <w:r w:rsidR="00FE33D9" w:rsidRPr="000B5FF3">
        <w:rPr>
          <w:rFonts w:hint="eastAsia"/>
        </w:rPr>
        <w:t>會議處理</w:t>
      </w:r>
      <w:r w:rsidR="00CB6027" w:rsidRPr="005F4B18">
        <w:rPr>
          <w:rFonts w:hint="eastAsia"/>
        </w:rPr>
        <w:t>。</w:t>
      </w:r>
      <w:bookmarkEnd w:id="47"/>
      <w:bookmarkEnd w:id="48"/>
      <w:bookmarkEnd w:id="49"/>
      <w:bookmarkEnd w:id="50"/>
      <w:bookmarkEnd w:id="51"/>
      <w:bookmarkEnd w:id="52"/>
      <w:bookmarkEnd w:id="53"/>
      <w:bookmarkEnd w:id="54"/>
      <w:bookmarkEnd w:id="55"/>
      <w:bookmarkEnd w:id="56"/>
      <w:bookmarkEnd w:id="57"/>
      <w:bookmarkEnd w:id="58"/>
      <w:bookmarkEnd w:id="59"/>
    </w:p>
    <w:p w:rsidR="00CB6027" w:rsidRPr="005F4B18" w:rsidRDefault="00CB6027" w:rsidP="00CB6027">
      <w:pPr>
        <w:pStyle w:val="ab"/>
        <w:spacing w:beforeLines="150" w:before="685" w:after="0"/>
        <w:ind w:leftChars="1100" w:left="3742"/>
        <w:rPr>
          <w:rFonts w:ascii="Times New Roman"/>
          <w:b w:val="0"/>
          <w:bCs/>
          <w:snapToGrid/>
          <w:spacing w:val="0"/>
          <w:kern w:val="0"/>
          <w:sz w:val="40"/>
        </w:rPr>
      </w:pPr>
      <w:r w:rsidRPr="005F4B18">
        <w:rPr>
          <w:rFonts w:hint="eastAsia"/>
          <w:b w:val="0"/>
          <w:bCs/>
          <w:snapToGrid/>
          <w:spacing w:val="12"/>
          <w:kern w:val="0"/>
          <w:sz w:val="40"/>
        </w:rPr>
        <w:t>調查委員：</w:t>
      </w:r>
      <w:r w:rsidR="003F3F15" w:rsidRPr="003F3F15">
        <w:rPr>
          <w:rFonts w:hint="eastAsia"/>
          <w:bCs/>
          <w:snapToGrid/>
          <w:spacing w:val="12"/>
          <w:kern w:val="0"/>
          <w:sz w:val="40"/>
        </w:rPr>
        <w:t>高</w:t>
      </w:r>
      <w:bookmarkStart w:id="62" w:name="_GoBack"/>
      <w:bookmarkEnd w:id="62"/>
      <w:r w:rsidR="003F3F15" w:rsidRPr="003F3F15">
        <w:rPr>
          <w:rFonts w:hint="eastAsia"/>
          <w:bCs/>
          <w:snapToGrid/>
          <w:spacing w:val="12"/>
          <w:kern w:val="0"/>
          <w:sz w:val="40"/>
        </w:rPr>
        <w:t>涌誠</w:t>
      </w:r>
    </w:p>
    <w:p w:rsidR="00CB6027" w:rsidRPr="005F4B18" w:rsidRDefault="00CB6027" w:rsidP="00CB6027">
      <w:pPr>
        <w:pStyle w:val="ab"/>
        <w:spacing w:before="0" w:after="0"/>
        <w:ind w:leftChars="1100" w:left="3742" w:firstLineChars="500" w:firstLine="2021"/>
        <w:rPr>
          <w:b w:val="0"/>
          <w:bCs/>
          <w:snapToGrid/>
          <w:spacing w:val="12"/>
          <w:kern w:val="0"/>
        </w:rPr>
      </w:pPr>
    </w:p>
    <w:p w:rsidR="00CB6027" w:rsidRPr="005F4B18" w:rsidRDefault="00CB6027" w:rsidP="00CB6027">
      <w:pPr>
        <w:pStyle w:val="ab"/>
        <w:spacing w:before="0" w:after="0"/>
        <w:ind w:leftChars="1100" w:left="3742" w:firstLineChars="500" w:firstLine="2021"/>
        <w:rPr>
          <w:b w:val="0"/>
          <w:bCs/>
          <w:snapToGrid/>
          <w:spacing w:val="12"/>
          <w:kern w:val="0"/>
        </w:rPr>
      </w:pPr>
    </w:p>
    <w:bookmarkEnd w:id="25"/>
    <w:bookmarkEnd w:id="26"/>
    <w:bookmarkEnd w:id="27"/>
    <w:bookmarkEnd w:id="28"/>
    <w:bookmarkEnd w:id="29"/>
    <w:bookmarkEnd w:id="30"/>
    <w:sectPr w:rsidR="00CB6027" w:rsidRPr="005F4B18" w:rsidSect="00931A10">
      <w:footerReference w:type="default" r:id="rId3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96F" w:rsidRDefault="00BA296F">
      <w:r>
        <w:separator/>
      </w:r>
    </w:p>
  </w:endnote>
  <w:endnote w:type="continuationSeparator" w:id="0">
    <w:p w:rsidR="00BA296F" w:rsidRDefault="00BA2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T23o00">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96F" w:rsidRPr="00223427" w:rsidRDefault="00BA296F">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3F3F15">
      <w:rPr>
        <w:rStyle w:val="ad"/>
        <w:rFonts w:ascii="Times New Roman"/>
        <w:noProof/>
        <w:sz w:val="24"/>
      </w:rPr>
      <w:t>53</w:t>
    </w:r>
    <w:r w:rsidRPr="00223427">
      <w:rPr>
        <w:rStyle w:val="ad"/>
        <w:rFonts w:ascii="Times New Roman"/>
        <w:sz w:val="24"/>
      </w:rPr>
      <w:fldChar w:fldCharType="end"/>
    </w:r>
  </w:p>
  <w:p w:rsidR="00BA296F" w:rsidRDefault="00BA296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96F" w:rsidRDefault="00BA296F">
      <w:r>
        <w:separator/>
      </w:r>
    </w:p>
  </w:footnote>
  <w:footnote w:type="continuationSeparator" w:id="0">
    <w:p w:rsidR="00BA296F" w:rsidRDefault="00BA296F">
      <w:r>
        <w:continuationSeparator/>
      </w:r>
    </w:p>
  </w:footnote>
  <w:footnote w:id="1">
    <w:p w:rsidR="00BA296F" w:rsidRPr="00EF4347" w:rsidRDefault="00BA296F" w:rsidP="00352159">
      <w:pPr>
        <w:pStyle w:val="afd"/>
        <w:ind w:left="284" w:hangingChars="129" w:hanging="284"/>
      </w:pPr>
      <w:r>
        <w:rPr>
          <w:rFonts w:hint="eastAsia"/>
        </w:rPr>
        <w:t xml:space="preserve"> </w:t>
      </w:r>
      <w:r>
        <w:rPr>
          <w:rStyle w:val="aff"/>
        </w:rPr>
        <w:footnoteRef/>
      </w:r>
      <w:r>
        <w:t xml:space="preserve"> </w:t>
      </w:r>
      <w:r>
        <w:rPr>
          <w:rFonts w:asciiTheme="minorEastAsia" w:eastAsiaTheme="minorEastAsia" w:hAnsiTheme="minorEastAsia" w:hint="eastAsia"/>
        </w:rPr>
        <w:t>臺南市警局</w:t>
      </w:r>
      <w:r w:rsidRPr="004B0EA6">
        <w:rPr>
          <w:rFonts w:asciiTheme="minorEastAsia" w:eastAsiaTheme="minorEastAsia" w:hAnsiTheme="minorEastAsia" w:hint="eastAsia"/>
        </w:rPr>
        <w:t>10</w:t>
      </w:r>
      <w:r>
        <w:rPr>
          <w:rFonts w:asciiTheme="minorEastAsia" w:eastAsiaTheme="minorEastAsia" w:hAnsiTheme="minorEastAsia" w:hint="eastAsia"/>
        </w:rPr>
        <w:t>9</w:t>
      </w:r>
      <w:r w:rsidRPr="004B0EA6">
        <w:rPr>
          <w:rFonts w:asciiTheme="minorEastAsia" w:eastAsiaTheme="minorEastAsia" w:hAnsiTheme="minorEastAsia" w:hint="eastAsia"/>
        </w:rPr>
        <w:t>年</w:t>
      </w:r>
      <w:r>
        <w:rPr>
          <w:rFonts w:asciiTheme="minorEastAsia" w:eastAsiaTheme="minorEastAsia" w:hAnsiTheme="minorEastAsia" w:hint="eastAsia"/>
        </w:rPr>
        <w:t>2</w:t>
      </w:r>
      <w:r w:rsidRPr="004B0EA6">
        <w:rPr>
          <w:rFonts w:asciiTheme="minorEastAsia" w:eastAsiaTheme="minorEastAsia" w:hAnsiTheme="minorEastAsia" w:hint="eastAsia"/>
        </w:rPr>
        <w:t>月</w:t>
      </w:r>
      <w:r>
        <w:rPr>
          <w:rFonts w:asciiTheme="minorEastAsia" w:eastAsiaTheme="minorEastAsia" w:hAnsiTheme="minorEastAsia" w:hint="eastAsia"/>
        </w:rPr>
        <w:t>26</w:t>
      </w:r>
      <w:r w:rsidRPr="004B0EA6">
        <w:rPr>
          <w:rFonts w:asciiTheme="minorEastAsia" w:eastAsiaTheme="minorEastAsia" w:hAnsiTheme="minorEastAsia" w:hint="eastAsia"/>
        </w:rPr>
        <w:t>日</w:t>
      </w:r>
      <w:r>
        <w:rPr>
          <w:rFonts w:asciiTheme="minorEastAsia" w:eastAsiaTheme="minorEastAsia" w:hAnsiTheme="minorEastAsia" w:hint="eastAsia"/>
        </w:rPr>
        <w:t>南市警刑偵</w:t>
      </w:r>
      <w:r w:rsidRPr="004B0EA6">
        <w:rPr>
          <w:rFonts w:asciiTheme="minorEastAsia" w:eastAsiaTheme="minorEastAsia" w:hAnsiTheme="minorEastAsia" w:hint="eastAsia"/>
        </w:rPr>
        <w:t>字第10</w:t>
      </w:r>
      <w:r>
        <w:rPr>
          <w:rFonts w:asciiTheme="minorEastAsia" w:eastAsiaTheme="minorEastAsia" w:hAnsiTheme="minorEastAsia" w:hint="eastAsia"/>
        </w:rPr>
        <w:t>90093465</w:t>
      </w:r>
      <w:r w:rsidRPr="004B0EA6">
        <w:rPr>
          <w:rFonts w:asciiTheme="minorEastAsia" w:eastAsiaTheme="minorEastAsia" w:hAnsiTheme="minorEastAsia" w:hint="eastAsia"/>
        </w:rPr>
        <w:t>號函。</w:t>
      </w:r>
    </w:p>
  </w:footnote>
  <w:footnote w:id="2">
    <w:p w:rsidR="00BA296F" w:rsidRPr="00A16E8C" w:rsidRDefault="00BA296F" w:rsidP="00052664">
      <w:pPr>
        <w:pStyle w:val="afd"/>
        <w:ind w:left="181" w:hangingChars="82" w:hanging="181"/>
      </w:pPr>
      <w:r>
        <w:rPr>
          <w:rStyle w:val="aff"/>
        </w:rPr>
        <w:footnoteRef/>
      </w:r>
      <w:r>
        <w:t xml:space="preserve"> </w:t>
      </w:r>
      <w:r>
        <w:rPr>
          <w:rFonts w:hAnsi="標楷體" w:cs="HiddenHorzOCR" w:hint="eastAsia"/>
          <w:kern w:val="0"/>
        </w:rPr>
        <w:t>「</w:t>
      </w:r>
      <w:r w:rsidRPr="00FB454F">
        <w:rPr>
          <w:rFonts w:asciiTheme="minorEastAsia" w:eastAsiaTheme="minorEastAsia" w:hAnsiTheme="minorEastAsia" w:cs="HiddenHorzOCR" w:hint="eastAsia"/>
          <w:kern w:val="0"/>
        </w:rPr>
        <w:t>警察機關實施指認犯罪嫌疑人程序要領</w:t>
      </w:r>
      <w:r>
        <w:rPr>
          <w:rFonts w:hAnsi="標楷體" w:cs="HiddenHorzOCR" w:hint="eastAsia"/>
          <w:kern w:val="0"/>
        </w:rPr>
        <w:t>」</w:t>
      </w:r>
      <w:r>
        <w:rPr>
          <w:rFonts w:asciiTheme="minorEastAsia" w:eastAsiaTheme="minorEastAsia" w:hAnsiTheme="minorEastAsia" w:cs="HiddenHorzOCR" w:hint="eastAsia"/>
          <w:kern w:val="0"/>
        </w:rPr>
        <w:t>規定</w:t>
      </w:r>
      <w:r w:rsidRPr="006D1D50">
        <w:rPr>
          <w:rFonts w:asciiTheme="minorEastAsia" w:eastAsiaTheme="minorEastAsia" w:hAnsiTheme="minorEastAsia" w:cs="HiddenHorzOCR" w:hint="eastAsia"/>
          <w:kern w:val="0"/>
        </w:rPr>
        <w:t>，偵</w:t>
      </w:r>
      <w:r w:rsidRPr="006D1D50">
        <w:rPr>
          <w:rFonts w:asciiTheme="minorEastAsia" w:eastAsiaTheme="minorEastAsia" w:hAnsiTheme="minorEastAsia" w:cs="細明體" w:hint="eastAsia"/>
          <w:kern w:val="0"/>
        </w:rPr>
        <w:t>查</w:t>
      </w:r>
      <w:r w:rsidRPr="006D1D50">
        <w:rPr>
          <w:rFonts w:asciiTheme="minorEastAsia" w:eastAsiaTheme="minorEastAsia" w:hAnsiTheme="minorEastAsia" w:cs="MS Mincho" w:hint="eastAsia"/>
          <w:kern w:val="0"/>
        </w:rPr>
        <w:t>人</w:t>
      </w:r>
      <w:r w:rsidRPr="006D1D50">
        <w:rPr>
          <w:rFonts w:asciiTheme="minorEastAsia" w:eastAsiaTheme="minorEastAsia" w:hAnsiTheme="minorEastAsia" w:cs="HiddenHorzOCR" w:hint="eastAsia"/>
          <w:kern w:val="0"/>
        </w:rPr>
        <w:t>員應審慎勘察刑案現場，詳細採取指紋、體液、痕跡等證物，以指證犯罪嫌疑人，如需實施被害人、檢舉人或目擊證人指認犯罪嫌疑人，應依下列要領為之</w:t>
      </w:r>
      <w:r>
        <w:rPr>
          <w:rFonts w:asciiTheme="minorEastAsia" w:hAnsiTheme="minorEastAsia" w:cs="HiddenHorzOCR" w:hint="eastAsia"/>
          <w:kern w:val="0"/>
        </w:rPr>
        <w:t>：</w:t>
      </w:r>
      <w:r>
        <w:rPr>
          <w:rFonts w:hAnsi="標楷體" w:cs="HiddenHorzOCR" w:hint="eastAsia"/>
          <w:kern w:val="0"/>
        </w:rPr>
        <w:t>「</w:t>
      </w:r>
      <w:r w:rsidRPr="006D1D50">
        <w:rPr>
          <w:rFonts w:asciiTheme="minorEastAsia" w:eastAsiaTheme="minorEastAsia" w:hAnsiTheme="minorEastAsia" w:cs="HiddenHorzOCR" w:hint="eastAsia"/>
          <w:kern w:val="0"/>
        </w:rPr>
        <w:t>一、應為非一對一之成列指認</w:t>
      </w:r>
      <w:r w:rsidRPr="006D1D50">
        <w:rPr>
          <w:rFonts w:asciiTheme="minorEastAsia" w:eastAsiaTheme="minorEastAsia" w:hAnsiTheme="minorEastAsia" w:cs="HiddenHorzOCR"/>
          <w:kern w:val="0"/>
        </w:rPr>
        <w:t>(</w:t>
      </w:r>
      <w:r w:rsidRPr="006D1D50">
        <w:rPr>
          <w:rFonts w:asciiTheme="minorEastAsia" w:eastAsiaTheme="minorEastAsia" w:hAnsiTheme="minorEastAsia" w:cs="HiddenHorzOCR" w:hint="eastAsia"/>
          <w:kern w:val="0"/>
        </w:rPr>
        <w:t>選擇式指認</w:t>
      </w:r>
      <w:r w:rsidRPr="006D1D50">
        <w:rPr>
          <w:rFonts w:asciiTheme="minorEastAsia" w:eastAsiaTheme="minorEastAsia" w:hAnsiTheme="minorEastAsia" w:cs="HiddenHorzOCR"/>
          <w:kern w:val="0"/>
        </w:rPr>
        <w:t>)</w:t>
      </w:r>
      <w:r w:rsidRPr="006D1D50">
        <w:rPr>
          <w:rFonts w:asciiTheme="minorEastAsia" w:eastAsiaTheme="minorEastAsia" w:hAnsiTheme="minorEastAsia" w:cs="HiddenHorzOCR" w:hint="eastAsia"/>
          <w:kern w:val="0"/>
        </w:rPr>
        <w:t>。二、指認前應由指認人先陳述犯罪嫌疑人特徵。三、被指認之人在外形上不得有重大差異。四、指認前不得有任何可能暗示、誘導之安排出現。五、指認前必須告訴指認人，犯罪嫌疑人並不一定存在於被指認人之中。六、實施指認，應於偵訊室或適當處所為之。七、實施指認應拍攝被指認人照片，並製作紀錄存證。八、實施照片指認，不得以單一相片提供指認，並避免提供老舊過時照片指認。</w:t>
      </w:r>
      <w:r w:rsidRPr="002E7B8F">
        <w:rPr>
          <w:rFonts w:asciiTheme="minorEastAsia" w:eastAsiaTheme="minorEastAsia" w:hAnsiTheme="minorEastAsia" w:cs="HiddenHorzOCR" w:hint="eastAsia"/>
          <w:kern w:val="0"/>
        </w:rPr>
        <w:t>」</w:t>
      </w:r>
      <w:r>
        <w:rPr>
          <w:rFonts w:asciiTheme="minorEastAsia" w:eastAsiaTheme="minorEastAsia" w:hAnsiTheme="minorEastAsia" w:cs="HiddenHorzOCR" w:hint="eastAsia"/>
          <w:kern w:val="0"/>
        </w:rPr>
        <w:t>該</w:t>
      </w:r>
      <w:r w:rsidRPr="002E7B8F">
        <w:rPr>
          <w:rFonts w:asciiTheme="minorEastAsia" w:eastAsiaTheme="minorEastAsia" w:hAnsiTheme="minorEastAsia" w:cs="HiddenHorzOCR" w:hint="eastAsia"/>
          <w:kern w:val="0"/>
        </w:rPr>
        <w:t>程序要領於</w:t>
      </w:r>
      <w:r>
        <w:rPr>
          <w:rFonts w:asciiTheme="minorEastAsia" w:eastAsiaTheme="minorEastAsia" w:hAnsiTheme="minorEastAsia" w:cs="HiddenHorzOCR" w:hint="eastAsia"/>
          <w:kern w:val="0"/>
        </w:rPr>
        <w:t>92</w:t>
      </w:r>
      <w:r w:rsidRPr="002E7B8F">
        <w:rPr>
          <w:rFonts w:asciiTheme="minorEastAsia" w:eastAsiaTheme="minorEastAsia" w:hAnsiTheme="minorEastAsia" w:cs="HiddenHorzOCR" w:hint="eastAsia"/>
          <w:kern w:val="0"/>
        </w:rPr>
        <w:t>年</w:t>
      </w:r>
      <w:r>
        <w:rPr>
          <w:rFonts w:asciiTheme="minorEastAsia" w:eastAsiaTheme="minorEastAsia" w:hAnsiTheme="minorEastAsia" w:cs="HiddenHorzOCR" w:hint="eastAsia"/>
          <w:kern w:val="0"/>
        </w:rPr>
        <w:t>8</w:t>
      </w:r>
      <w:r w:rsidRPr="002E7B8F">
        <w:rPr>
          <w:rFonts w:asciiTheme="minorEastAsia" w:eastAsiaTheme="minorEastAsia" w:hAnsiTheme="minorEastAsia" w:cs="HiddenHorzOCR" w:hint="eastAsia"/>
          <w:kern w:val="0"/>
        </w:rPr>
        <w:t>月</w:t>
      </w:r>
      <w:r>
        <w:rPr>
          <w:rFonts w:asciiTheme="minorEastAsia" w:eastAsiaTheme="minorEastAsia" w:hAnsiTheme="minorEastAsia" w:cs="HiddenHorzOCR" w:hint="eastAsia"/>
          <w:kern w:val="0"/>
        </w:rPr>
        <w:t>12</w:t>
      </w:r>
      <w:r w:rsidRPr="002E7B8F">
        <w:rPr>
          <w:rFonts w:asciiTheme="minorEastAsia" w:eastAsiaTheme="minorEastAsia" w:hAnsiTheme="minorEastAsia" w:cs="HiddenHorzOCR" w:hint="eastAsia"/>
          <w:kern w:val="0"/>
        </w:rPr>
        <w:t>日修正列於「警察偵查犯罪規範」第</w:t>
      </w:r>
      <w:r>
        <w:rPr>
          <w:rFonts w:asciiTheme="minorEastAsia" w:eastAsiaTheme="minorEastAsia" w:hAnsiTheme="minorEastAsia" w:cs="HiddenHorzOCR" w:hint="eastAsia"/>
          <w:kern w:val="0"/>
        </w:rPr>
        <w:t>92</w:t>
      </w:r>
      <w:r w:rsidRPr="002E7B8F">
        <w:rPr>
          <w:rFonts w:asciiTheme="minorEastAsia" w:eastAsiaTheme="minorEastAsia" w:hAnsiTheme="minorEastAsia" w:cs="HiddenHorzOCR" w:hint="eastAsia"/>
          <w:kern w:val="0"/>
        </w:rPr>
        <w:t>條，</w:t>
      </w:r>
      <w:r>
        <w:rPr>
          <w:rFonts w:asciiTheme="minorEastAsia" w:eastAsiaTheme="minorEastAsia" w:hAnsiTheme="minorEastAsia" w:cs="HiddenHorzOCR" w:hint="eastAsia"/>
          <w:kern w:val="0"/>
        </w:rPr>
        <w:t>內容同上述最高法院</w:t>
      </w:r>
      <w:r w:rsidRPr="00D42E1F">
        <w:rPr>
          <w:rFonts w:asciiTheme="minorEastAsia" w:eastAsiaTheme="minorEastAsia" w:hAnsiTheme="minorEastAsia" w:cs="HiddenHorzOCR" w:hint="eastAsia"/>
          <w:kern w:val="0"/>
        </w:rPr>
        <w:t>96年度台上字第404號判決所載之8點指認要領</w:t>
      </w:r>
      <w:r>
        <w:rPr>
          <w:rFonts w:hAnsi="標楷體" w:cs="HiddenHorzOCR" w:hint="eastAsia"/>
          <w:kern w:val="0"/>
        </w:rPr>
        <w:t>。</w:t>
      </w:r>
    </w:p>
  </w:footnote>
  <w:footnote w:id="3">
    <w:p w:rsidR="00BA296F" w:rsidRDefault="00BA296F" w:rsidP="00D22A2C">
      <w:pPr>
        <w:pStyle w:val="afd"/>
        <w:ind w:left="181" w:hangingChars="82" w:hanging="181"/>
      </w:pPr>
      <w:r>
        <w:rPr>
          <w:rStyle w:val="aff"/>
        </w:rPr>
        <w:footnoteRef/>
      </w:r>
      <w:r>
        <w:rPr>
          <w:rFonts w:asciiTheme="minorEastAsia" w:eastAsiaTheme="minorEastAsia" w:hAnsiTheme="minorEastAsia" w:cs="HiddenHorzOCR" w:hint="eastAsia"/>
          <w:kern w:val="0"/>
        </w:rPr>
        <w:t xml:space="preserve"> 法務部</w:t>
      </w:r>
      <w:r w:rsidRPr="00052664">
        <w:rPr>
          <w:rFonts w:asciiTheme="minorEastAsia" w:eastAsiaTheme="minorEastAsia" w:hAnsiTheme="minorEastAsia" w:cs="HiddenHorzOCR" w:hint="eastAsia"/>
          <w:kern w:val="0"/>
        </w:rPr>
        <w:t>93年6月23日修正發布之「檢察機關辦理刑事訴訟案件應行注意事項」第99點</w:t>
      </w:r>
      <w:r>
        <w:rPr>
          <w:rFonts w:asciiTheme="minorEastAsia" w:eastAsiaTheme="minorEastAsia" w:hAnsiTheme="minorEastAsia" w:cs="HiddenHorzOCR" w:hint="eastAsia"/>
          <w:kern w:val="0"/>
        </w:rPr>
        <w:t>規定：「</w:t>
      </w:r>
      <w:r w:rsidRPr="00263E51">
        <w:rPr>
          <w:rFonts w:asciiTheme="minorEastAsia" w:eastAsiaTheme="minorEastAsia" w:hAnsiTheme="minorEastAsia" w:cs="HiddenHorzOCR" w:hint="eastAsia"/>
          <w:kern w:val="0"/>
        </w:rPr>
        <w:t>檢察官對於有必要指認犯罪嫌疑人或被告之案件，為期勿枉勿縱，應審慎為之，確實依照本法之規定，實施全程錄音及必要時全程錄影，並依案情之需要，以各檢察署所設置單面指認玻璃及雙向視訊系統，實地操作使用。</w:t>
      </w:r>
      <w:r>
        <w:rPr>
          <w:rFonts w:asciiTheme="minorEastAsia" w:eastAsiaTheme="minorEastAsia" w:hAnsiTheme="minorEastAsia" w:cs="HiddenHorzOCR" w:hint="eastAsia"/>
          <w:kern w:val="0"/>
        </w:rPr>
        <w:t>」</w:t>
      </w:r>
      <w:r w:rsidRPr="00263E51">
        <w:rPr>
          <w:rFonts w:asciiTheme="minorEastAsia" w:eastAsiaTheme="minorEastAsia" w:hAnsiTheme="minorEastAsia" w:cs="HiddenHorzOCR" w:hint="eastAsia"/>
          <w:kern w:val="0"/>
        </w:rPr>
        <w:t>(第1項</w:t>
      </w:r>
      <w:r>
        <w:rPr>
          <w:rFonts w:asciiTheme="minorEastAsia" w:eastAsiaTheme="minorEastAsia" w:hAnsiTheme="minorEastAsia" w:cs="HiddenHorzOCR" w:hint="eastAsia"/>
          <w:kern w:val="0"/>
        </w:rPr>
        <w:t>)「</w:t>
      </w:r>
      <w:r w:rsidRPr="00263E51">
        <w:rPr>
          <w:rFonts w:asciiTheme="minorEastAsia" w:eastAsiaTheme="minorEastAsia" w:hAnsiTheme="minorEastAsia" w:cs="HiddenHorzOCR" w:hint="eastAsia"/>
          <w:kern w:val="0"/>
        </w:rPr>
        <w:t>指認前應由指認人先陳述犯罪嫌疑人之特徵，於有數人可供指認時，對於可供選擇指認之人，其外型不得有重大之差異。指認前必須告知指認人，真正之犯罪嫌疑人並不一定存在於被指認人之中，且不得有任何可能誘導之安排出現。</w:t>
      </w:r>
      <w:r>
        <w:rPr>
          <w:rFonts w:asciiTheme="minorEastAsia" w:eastAsiaTheme="minorEastAsia" w:hAnsiTheme="minorEastAsia" w:cs="HiddenHorzOCR" w:hint="eastAsia"/>
          <w:kern w:val="0"/>
        </w:rPr>
        <w:t>」</w:t>
      </w:r>
      <w:r w:rsidRPr="00263E51">
        <w:rPr>
          <w:rFonts w:asciiTheme="minorEastAsia" w:eastAsiaTheme="minorEastAsia" w:hAnsiTheme="minorEastAsia" w:cs="HiddenHorzOCR" w:hint="eastAsia"/>
          <w:kern w:val="0"/>
        </w:rPr>
        <w:t>(第2項</w:t>
      </w:r>
      <w:r>
        <w:rPr>
          <w:rFonts w:asciiTheme="minorEastAsia" w:eastAsiaTheme="minorEastAsia" w:hAnsiTheme="minorEastAsia" w:cs="HiddenHorzOCR" w:hint="eastAsia"/>
          <w:kern w:val="0"/>
        </w:rPr>
        <w:t>)「</w:t>
      </w:r>
      <w:r w:rsidRPr="00263E51">
        <w:rPr>
          <w:rFonts w:asciiTheme="minorEastAsia" w:eastAsiaTheme="minorEastAsia" w:hAnsiTheme="minorEastAsia" w:cs="HiddenHorzOCR" w:hint="eastAsia"/>
          <w:kern w:val="0"/>
        </w:rPr>
        <w:t>檢察官行訊問或檢察事務官行詢問並製作指認之供述筆錄時，應要求證人將目擊經過、現場視線及犯罪嫌疑人之容貌、外型、衣著或其他明顯特徵等查證結果予以詳述，命書記官一併附記於筆錄內，以便與指認之結果進行核對查考。</w:t>
      </w:r>
      <w:r>
        <w:rPr>
          <w:rFonts w:asciiTheme="minorEastAsia" w:eastAsiaTheme="minorEastAsia" w:hAnsiTheme="minorEastAsia" w:cs="HiddenHorzOCR" w:hint="eastAsia"/>
          <w:kern w:val="0"/>
        </w:rPr>
        <w:t>」</w:t>
      </w:r>
      <w:r w:rsidRPr="00263E51">
        <w:rPr>
          <w:rFonts w:asciiTheme="minorEastAsia" w:eastAsiaTheme="minorEastAsia" w:hAnsiTheme="minorEastAsia" w:cs="HiddenHorzOCR" w:hint="eastAsia"/>
          <w:kern w:val="0"/>
        </w:rPr>
        <w:t>(第3項)</w:t>
      </w:r>
    </w:p>
  </w:footnote>
  <w:footnote w:id="4">
    <w:p w:rsidR="00BA296F" w:rsidRDefault="00BA296F" w:rsidP="003B0F26">
      <w:pPr>
        <w:pStyle w:val="afd"/>
        <w:ind w:left="181" w:hangingChars="82" w:hanging="181"/>
      </w:pPr>
      <w:r>
        <w:rPr>
          <w:rStyle w:val="aff"/>
        </w:rPr>
        <w:footnoteRef/>
      </w:r>
      <w:r>
        <w:t xml:space="preserve"> </w:t>
      </w:r>
      <w:r w:rsidRPr="003B0F26">
        <w:rPr>
          <w:rFonts w:asciiTheme="minorEastAsia" w:eastAsiaTheme="minorEastAsia" w:hAnsiTheme="minorEastAsia" w:hint="eastAsia"/>
        </w:rPr>
        <w:t>至於莊姓姊姊第2次指認持5號牌為嫌犯之影像段落</w:t>
      </w:r>
      <w:r>
        <w:rPr>
          <w:rFonts w:asciiTheme="minorEastAsia" w:eastAsiaTheme="minorEastAsia" w:hAnsiTheme="minorEastAsia" w:hint="eastAsia"/>
        </w:rPr>
        <w:t>於</w:t>
      </w:r>
      <w:r w:rsidRPr="003B0F26">
        <w:rPr>
          <w:rFonts w:asciiTheme="minorEastAsia" w:eastAsiaTheme="minorEastAsia" w:hAnsiTheme="minorEastAsia" w:hint="eastAsia"/>
        </w:rPr>
        <w:t>勘驗時</w:t>
      </w:r>
      <w:r>
        <w:rPr>
          <w:rFonts w:asciiTheme="minorEastAsia" w:eastAsiaTheme="minorEastAsia" w:hAnsiTheme="minorEastAsia" w:hint="eastAsia"/>
        </w:rPr>
        <w:t>因光碟因素</w:t>
      </w:r>
      <w:r w:rsidRPr="003B0F26">
        <w:rPr>
          <w:rFonts w:asciiTheme="minorEastAsia" w:eastAsiaTheme="minorEastAsia" w:hAnsiTheme="minorEastAsia" w:hint="eastAsia"/>
        </w:rPr>
        <w:t>未見，</w:t>
      </w:r>
      <w:r>
        <w:rPr>
          <w:rFonts w:asciiTheme="minorEastAsia" w:eastAsiaTheme="minorEastAsia" w:hAnsiTheme="minorEastAsia" w:hint="eastAsia"/>
        </w:rPr>
        <w:t>雖</w:t>
      </w:r>
      <w:r w:rsidRPr="003B0F26">
        <w:rPr>
          <w:rFonts w:asciiTheme="minorEastAsia" w:eastAsiaTheme="minorEastAsia" w:hAnsiTheme="minorEastAsia" w:hint="eastAsia"/>
        </w:rPr>
        <w:t>無法擷圖</w:t>
      </w:r>
      <w:r>
        <w:rPr>
          <w:rFonts w:asciiTheme="minorEastAsia" w:eastAsiaTheme="minorEastAsia" w:hAnsiTheme="minorEastAsia" w:hint="eastAsia"/>
        </w:rPr>
        <w:t>佐證</w:t>
      </w:r>
      <w:r w:rsidRPr="003B0F26">
        <w:rPr>
          <w:rFonts w:asciiTheme="minorEastAsia" w:eastAsiaTheme="minorEastAsia" w:hAnsiTheme="minorEastAsia" w:hint="eastAsia"/>
        </w:rPr>
        <w:t>，</w:t>
      </w:r>
      <w:r>
        <w:rPr>
          <w:rFonts w:asciiTheme="minorEastAsia" w:eastAsiaTheme="minorEastAsia" w:hAnsiTheme="minorEastAsia" w:hint="eastAsia"/>
        </w:rPr>
        <w:t>但</w:t>
      </w:r>
      <w:r w:rsidRPr="003B0F26">
        <w:rPr>
          <w:rFonts w:asciiTheme="minorEastAsia" w:eastAsiaTheme="minorEastAsia" w:hAnsiTheme="minorEastAsia" w:hint="eastAsia"/>
        </w:rPr>
        <w:t>有上開指認照片為憑，堪信為真實。</w:t>
      </w:r>
    </w:p>
  </w:footnote>
  <w:footnote w:id="5">
    <w:p w:rsidR="00BA296F" w:rsidRPr="00C27CDE" w:rsidRDefault="00BA296F" w:rsidP="00BA766A">
      <w:pPr>
        <w:pStyle w:val="afd"/>
      </w:pPr>
      <w:r>
        <w:rPr>
          <w:rStyle w:val="aff"/>
        </w:rPr>
        <w:footnoteRef/>
      </w:r>
      <w:r>
        <w:t xml:space="preserve"> </w:t>
      </w:r>
      <w:r w:rsidRPr="00C27CDE">
        <w:rPr>
          <w:rFonts w:asciiTheme="minorEastAsia" w:eastAsiaTheme="minorEastAsia" w:hAnsiTheme="minorEastAsia" w:hint="eastAsia"/>
        </w:rPr>
        <w:t>換言之，陳訴人所涉搶奪罪部分已三審定讞。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7617A8"/>
    <w:multiLevelType w:val="hybridMultilevel"/>
    <w:tmpl w:val="76BA1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31A74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977" w:hanging="85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83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C3D68BB"/>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7D556F"/>
    <w:multiLevelType w:val="hybridMultilevel"/>
    <w:tmpl w:val="76BA1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315FD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4E177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1D37E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0E413C"/>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DD0574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3C7F18"/>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DA6BE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47153F"/>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907A3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8279DD"/>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5820D0"/>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13"/>
  </w:num>
  <w:num w:numId="5">
    <w:abstractNumId w:val="10"/>
  </w:num>
  <w:num w:numId="6">
    <w:abstractNumId w:val="15"/>
  </w:num>
  <w:num w:numId="7">
    <w:abstractNumId w:val="3"/>
  </w:num>
  <w:num w:numId="8">
    <w:abstractNumId w:val="16"/>
  </w:num>
  <w:num w:numId="9">
    <w:abstractNumId w:val="12"/>
  </w:num>
  <w:num w:numId="10">
    <w:abstractNumId w:val="0"/>
  </w:num>
  <w:num w:numId="11">
    <w:abstractNumId w:val="9"/>
  </w:num>
  <w:num w:numId="12">
    <w:abstractNumId w:val="6"/>
  </w:num>
  <w:num w:numId="13">
    <w:abstractNumId w:val="8"/>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0"/>
  </w:num>
  <w:num w:numId="23">
    <w:abstractNumId w:val="18"/>
  </w:num>
  <w:num w:numId="24">
    <w:abstractNumId w:val="3"/>
  </w:num>
  <w:num w:numId="25">
    <w:abstractNumId w:val="3"/>
  </w:num>
  <w:num w:numId="26">
    <w:abstractNumId w:val="3"/>
  </w:num>
  <w:num w:numId="27">
    <w:abstractNumId w:val="3"/>
  </w:num>
  <w:num w:numId="28">
    <w:abstractNumId w:val="3"/>
  </w:num>
  <w:num w:numId="29">
    <w:abstractNumId w:val="3"/>
  </w:num>
  <w:num w:numId="30">
    <w:abstractNumId w:val="22"/>
  </w:num>
  <w:num w:numId="31">
    <w:abstractNumId w:val="21"/>
  </w:num>
  <w:num w:numId="32">
    <w:abstractNumId w:val="7"/>
  </w:num>
  <w:num w:numId="33">
    <w:abstractNumId w:val="14"/>
  </w:num>
  <w:num w:numId="34">
    <w:abstractNumId w:val="5"/>
  </w:num>
  <w:num w:numId="35">
    <w:abstractNumId w:val="17"/>
  </w:num>
  <w:num w:numId="36">
    <w:abstractNumId w:val="1"/>
  </w:num>
  <w:num w:numId="37">
    <w:abstractNumId w:val="3"/>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7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3142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4DF"/>
    <w:rsid w:val="00003C4C"/>
    <w:rsid w:val="00005BEF"/>
    <w:rsid w:val="00006961"/>
    <w:rsid w:val="000075F3"/>
    <w:rsid w:val="00010874"/>
    <w:rsid w:val="00010E97"/>
    <w:rsid w:val="000112BF"/>
    <w:rsid w:val="000119E0"/>
    <w:rsid w:val="00011F07"/>
    <w:rsid w:val="000120EC"/>
    <w:rsid w:val="00012233"/>
    <w:rsid w:val="00012236"/>
    <w:rsid w:val="00012FED"/>
    <w:rsid w:val="000150E0"/>
    <w:rsid w:val="00015A6B"/>
    <w:rsid w:val="00015B40"/>
    <w:rsid w:val="00015C6E"/>
    <w:rsid w:val="00016F13"/>
    <w:rsid w:val="00017318"/>
    <w:rsid w:val="00017E4F"/>
    <w:rsid w:val="0002182A"/>
    <w:rsid w:val="00022382"/>
    <w:rsid w:val="0002288D"/>
    <w:rsid w:val="00022958"/>
    <w:rsid w:val="00022F77"/>
    <w:rsid w:val="0002369F"/>
    <w:rsid w:val="000246A9"/>
    <w:rsid w:val="000246F7"/>
    <w:rsid w:val="00025150"/>
    <w:rsid w:val="000254C0"/>
    <w:rsid w:val="00025ABD"/>
    <w:rsid w:val="00027065"/>
    <w:rsid w:val="00027079"/>
    <w:rsid w:val="00027A1A"/>
    <w:rsid w:val="0003114D"/>
    <w:rsid w:val="00031CE6"/>
    <w:rsid w:val="00032338"/>
    <w:rsid w:val="000324C8"/>
    <w:rsid w:val="00032BF8"/>
    <w:rsid w:val="00033CC4"/>
    <w:rsid w:val="0003650C"/>
    <w:rsid w:val="00036972"/>
    <w:rsid w:val="00036D76"/>
    <w:rsid w:val="00040710"/>
    <w:rsid w:val="00040CE9"/>
    <w:rsid w:val="000411DE"/>
    <w:rsid w:val="00042AED"/>
    <w:rsid w:val="0004349D"/>
    <w:rsid w:val="00043F0C"/>
    <w:rsid w:val="0004447E"/>
    <w:rsid w:val="00045252"/>
    <w:rsid w:val="0004573E"/>
    <w:rsid w:val="00045A9F"/>
    <w:rsid w:val="0004704F"/>
    <w:rsid w:val="00047572"/>
    <w:rsid w:val="000476CA"/>
    <w:rsid w:val="00047897"/>
    <w:rsid w:val="00050230"/>
    <w:rsid w:val="00051339"/>
    <w:rsid w:val="000522B7"/>
    <w:rsid w:val="00052664"/>
    <w:rsid w:val="0005269C"/>
    <w:rsid w:val="00052C0F"/>
    <w:rsid w:val="00053C06"/>
    <w:rsid w:val="00054521"/>
    <w:rsid w:val="00054721"/>
    <w:rsid w:val="00054B03"/>
    <w:rsid w:val="00055FD6"/>
    <w:rsid w:val="00057593"/>
    <w:rsid w:val="00057E9E"/>
    <w:rsid w:val="00057F32"/>
    <w:rsid w:val="0006018B"/>
    <w:rsid w:val="00061004"/>
    <w:rsid w:val="00061A92"/>
    <w:rsid w:val="0006296A"/>
    <w:rsid w:val="00062A25"/>
    <w:rsid w:val="00066152"/>
    <w:rsid w:val="000702A6"/>
    <w:rsid w:val="000715BC"/>
    <w:rsid w:val="000717AF"/>
    <w:rsid w:val="000730B8"/>
    <w:rsid w:val="00073B3B"/>
    <w:rsid w:val="00073CB5"/>
    <w:rsid w:val="000741DD"/>
    <w:rsid w:val="0007425C"/>
    <w:rsid w:val="00074317"/>
    <w:rsid w:val="00075A50"/>
    <w:rsid w:val="000763E5"/>
    <w:rsid w:val="00076B58"/>
    <w:rsid w:val="00077283"/>
    <w:rsid w:val="00077553"/>
    <w:rsid w:val="0007763F"/>
    <w:rsid w:val="00077CD5"/>
    <w:rsid w:val="00080601"/>
    <w:rsid w:val="0008065C"/>
    <w:rsid w:val="00080EC4"/>
    <w:rsid w:val="000811F3"/>
    <w:rsid w:val="0008132A"/>
    <w:rsid w:val="000818B3"/>
    <w:rsid w:val="000824F7"/>
    <w:rsid w:val="00083594"/>
    <w:rsid w:val="00084CBA"/>
    <w:rsid w:val="000851A2"/>
    <w:rsid w:val="0008711E"/>
    <w:rsid w:val="000873FA"/>
    <w:rsid w:val="000900E8"/>
    <w:rsid w:val="00090747"/>
    <w:rsid w:val="00090F9A"/>
    <w:rsid w:val="00092CD6"/>
    <w:rsid w:val="00093165"/>
    <w:rsid w:val="0009352E"/>
    <w:rsid w:val="000947EA"/>
    <w:rsid w:val="0009505B"/>
    <w:rsid w:val="000951D6"/>
    <w:rsid w:val="00095CA8"/>
    <w:rsid w:val="00096572"/>
    <w:rsid w:val="00096B96"/>
    <w:rsid w:val="00096E10"/>
    <w:rsid w:val="00097792"/>
    <w:rsid w:val="000A0154"/>
    <w:rsid w:val="000A07B9"/>
    <w:rsid w:val="000A1148"/>
    <w:rsid w:val="000A1AE7"/>
    <w:rsid w:val="000A2F3F"/>
    <w:rsid w:val="000A312C"/>
    <w:rsid w:val="000A74A9"/>
    <w:rsid w:val="000B0B4A"/>
    <w:rsid w:val="000B17B2"/>
    <w:rsid w:val="000B229E"/>
    <w:rsid w:val="000B279A"/>
    <w:rsid w:val="000B2ADC"/>
    <w:rsid w:val="000B2C68"/>
    <w:rsid w:val="000B37A3"/>
    <w:rsid w:val="000B3AAD"/>
    <w:rsid w:val="000B3C75"/>
    <w:rsid w:val="000B4131"/>
    <w:rsid w:val="000B61D2"/>
    <w:rsid w:val="000B6F6A"/>
    <w:rsid w:val="000B70A7"/>
    <w:rsid w:val="000B739D"/>
    <w:rsid w:val="000B73DD"/>
    <w:rsid w:val="000C215D"/>
    <w:rsid w:val="000C237B"/>
    <w:rsid w:val="000C26D7"/>
    <w:rsid w:val="000C3534"/>
    <w:rsid w:val="000C4451"/>
    <w:rsid w:val="000C495F"/>
    <w:rsid w:val="000C49C5"/>
    <w:rsid w:val="000D1411"/>
    <w:rsid w:val="000D398A"/>
    <w:rsid w:val="000D43D6"/>
    <w:rsid w:val="000D6907"/>
    <w:rsid w:val="000E0723"/>
    <w:rsid w:val="000E2C92"/>
    <w:rsid w:val="000E315F"/>
    <w:rsid w:val="000E3E8D"/>
    <w:rsid w:val="000E5274"/>
    <w:rsid w:val="000E52F0"/>
    <w:rsid w:val="000E5AA9"/>
    <w:rsid w:val="000E609E"/>
    <w:rsid w:val="000E6431"/>
    <w:rsid w:val="000E7215"/>
    <w:rsid w:val="000F1218"/>
    <w:rsid w:val="000F131A"/>
    <w:rsid w:val="000F1807"/>
    <w:rsid w:val="000F18CE"/>
    <w:rsid w:val="000F21A5"/>
    <w:rsid w:val="000F4032"/>
    <w:rsid w:val="000F4DDD"/>
    <w:rsid w:val="000F6488"/>
    <w:rsid w:val="000F6561"/>
    <w:rsid w:val="000F6E9A"/>
    <w:rsid w:val="000F6ECC"/>
    <w:rsid w:val="00100F77"/>
    <w:rsid w:val="0010109C"/>
    <w:rsid w:val="001015D6"/>
    <w:rsid w:val="00102B9F"/>
    <w:rsid w:val="00102F47"/>
    <w:rsid w:val="00104003"/>
    <w:rsid w:val="001058A3"/>
    <w:rsid w:val="00105FB1"/>
    <w:rsid w:val="001106AC"/>
    <w:rsid w:val="001121C4"/>
    <w:rsid w:val="0011259F"/>
    <w:rsid w:val="00112637"/>
    <w:rsid w:val="00112ABC"/>
    <w:rsid w:val="0011455B"/>
    <w:rsid w:val="00114B8E"/>
    <w:rsid w:val="00117454"/>
    <w:rsid w:val="001178B8"/>
    <w:rsid w:val="0012001E"/>
    <w:rsid w:val="0012034E"/>
    <w:rsid w:val="001216EF"/>
    <w:rsid w:val="001217C3"/>
    <w:rsid w:val="00122B9F"/>
    <w:rsid w:val="00122C56"/>
    <w:rsid w:val="00123543"/>
    <w:rsid w:val="00123590"/>
    <w:rsid w:val="00123BD8"/>
    <w:rsid w:val="00123C71"/>
    <w:rsid w:val="001259A7"/>
    <w:rsid w:val="00126A4D"/>
    <w:rsid w:val="00126A55"/>
    <w:rsid w:val="00127136"/>
    <w:rsid w:val="00130F8D"/>
    <w:rsid w:val="001313C5"/>
    <w:rsid w:val="00131829"/>
    <w:rsid w:val="00132CDE"/>
    <w:rsid w:val="00133993"/>
    <w:rsid w:val="00133A5C"/>
    <w:rsid w:val="00133AE6"/>
    <w:rsid w:val="00133F08"/>
    <w:rsid w:val="001345E6"/>
    <w:rsid w:val="00134B71"/>
    <w:rsid w:val="0013693C"/>
    <w:rsid w:val="00136DD1"/>
    <w:rsid w:val="00137366"/>
    <w:rsid w:val="001378B0"/>
    <w:rsid w:val="00141426"/>
    <w:rsid w:val="00141E29"/>
    <w:rsid w:val="00142E00"/>
    <w:rsid w:val="001434A0"/>
    <w:rsid w:val="00143F09"/>
    <w:rsid w:val="00145E04"/>
    <w:rsid w:val="00146443"/>
    <w:rsid w:val="00146FE2"/>
    <w:rsid w:val="001501D5"/>
    <w:rsid w:val="00151A98"/>
    <w:rsid w:val="00152793"/>
    <w:rsid w:val="00152EC5"/>
    <w:rsid w:val="001533BD"/>
    <w:rsid w:val="00153675"/>
    <w:rsid w:val="00153960"/>
    <w:rsid w:val="00153B7E"/>
    <w:rsid w:val="00153BCC"/>
    <w:rsid w:val="00154497"/>
    <w:rsid w:val="001545A9"/>
    <w:rsid w:val="00155C11"/>
    <w:rsid w:val="00155C6A"/>
    <w:rsid w:val="001573FA"/>
    <w:rsid w:val="00157802"/>
    <w:rsid w:val="001603F0"/>
    <w:rsid w:val="001604F0"/>
    <w:rsid w:val="001611B9"/>
    <w:rsid w:val="001618F6"/>
    <w:rsid w:val="001637C7"/>
    <w:rsid w:val="00163ACE"/>
    <w:rsid w:val="0016480E"/>
    <w:rsid w:val="001666CA"/>
    <w:rsid w:val="00166ACC"/>
    <w:rsid w:val="00166DC9"/>
    <w:rsid w:val="00167029"/>
    <w:rsid w:val="0017077A"/>
    <w:rsid w:val="00170E2B"/>
    <w:rsid w:val="001724A1"/>
    <w:rsid w:val="0017256F"/>
    <w:rsid w:val="00172C23"/>
    <w:rsid w:val="00173597"/>
    <w:rsid w:val="00173CC6"/>
    <w:rsid w:val="00173CDF"/>
    <w:rsid w:val="00174297"/>
    <w:rsid w:val="00174C24"/>
    <w:rsid w:val="0017538F"/>
    <w:rsid w:val="001776E2"/>
    <w:rsid w:val="001800FB"/>
    <w:rsid w:val="00180CDE"/>
    <w:rsid w:val="00180E06"/>
    <w:rsid w:val="001817B3"/>
    <w:rsid w:val="00182330"/>
    <w:rsid w:val="00183014"/>
    <w:rsid w:val="0018327F"/>
    <w:rsid w:val="00184B24"/>
    <w:rsid w:val="00184CCD"/>
    <w:rsid w:val="001860F3"/>
    <w:rsid w:val="001879E9"/>
    <w:rsid w:val="00187AA3"/>
    <w:rsid w:val="0019009E"/>
    <w:rsid w:val="00191D1E"/>
    <w:rsid w:val="001924A6"/>
    <w:rsid w:val="00195265"/>
    <w:rsid w:val="001957D4"/>
    <w:rsid w:val="001959C2"/>
    <w:rsid w:val="00197925"/>
    <w:rsid w:val="001A0E5F"/>
    <w:rsid w:val="001A2329"/>
    <w:rsid w:val="001A2814"/>
    <w:rsid w:val="001A2ADC"/>
    <w:rsid w:val="001A2E3A"/>
    <w:rsid w:val="001A34EE"/>
    <w:rsid w:val="001A3EF1"/>
    <w:rsid w:val="001A44FF"/>
    <w:rsid w:val="001A4BD2"/>
    <w:rsid w:val="001A51E3"/>
    <w:rsid w:val="001A7968"/>
    <w:rsid w:val="001B0DF9"/>
    <w:rsid w:val="001B107D"/>
    <w:rsid w:val="001B1897"/>
    <w:rsid w:val="001B1CDC"/>
    <w:rsid w:val="001B2E98"/>
    <w:rsid w:val="001B3483"/>
    <w:rsid w:val="001B3C1E"/>
    <w:rsid w:val="001B4494"/>
    <w:rsid w:val="001B46DA"/>
    <w:rsid w:val="001B486C"/>
    <w:rsid w:val="001B6AA4"/>
    <w:rsid w:val="001C0B02"/>
    <w:rsid w:val="001C0BDF"/>
    <w:rsid w:val="001C0D8B"/>
    <w:rsid w:val="001C0DA8"/>
    <w:rsid w:val="001C3442"/>
    <w:rsid w:val="001C5ED0"/>
    <w:rsid w:val="001C5F7C"/>
    <w:rsid w:val="001C6C3D"/>
    <w:rsid w:val="001C73B2"/>
    <w:rsid w:val="001C7A03"/>
    <w:rsid w:val="001D1639"/>
    <w:rsid w:val="001D17F4"/>
    <w:rsid w:val="001D2303"/>
    <w:rsid w:val="001D4945"/>
    <w:rsid w:val="001D4AD7"/>
    <w:rsid w:val="001D55B5"/>
    <w:rsid w:val="001D5834"/>
    <w:rsid w:val="001D62CF"/>
    <w:rsid w:val="001D70D4"/>
    <w:rsid w:val="001D713B"/>
    <w:rsid w:val="001D75B9"/>
    <w:rsid w:val="001E02BC"/>
    <w:rsid w:val="001E0910"/>
    <w:rsid w:val="001E0D8A"/>
    <w:rsid w:val="001E0FEA"/>
    <w:rsid w:val="001E111F"/>
    <w:rsid w:val="001E2810"/>
    <w:rsid w:val="001E28C1"/>
    <w:rsid w:val="001E408C"/>
    <w:rsid w:val="001E4566"/>
    <w:rsid w:val="001E464D"/>
    <w:rsid w:val="001E49CE"/>
    <w:rsid w:val="001E5046"/>
    <w:rsid w:val="001E53F5"/>
    <w:rsid w:val="001E592C"/>
    <w:rsid w:val="001E6419"/>
    <w:rsid w:val="001E67BA"/>
    <w:rsid w:val="001E74C2"/>
    <w:rsid w:val="001F12D9"/>
    <w:rsid w:val="001F1ABA"/>
    <w:rsid w:val="001F20A5"/>
    <w:rsid w:val="001F2B66"/>
    <w:rsid w:val="001F2EBA"/>
    <w:rsid w:val="001F477C"/>
    <w:rsid w:val="001F4CA0"/>
    <w:rsid w:val="001F4F82"/>
    <w:rsid w:val="001F5A48"/>
    <w:rsid w:val="001F613F"/>
    <w:rsid w:val="001F6260"/>
    <w:rsid w:val="001F703A"/>
    <w:rsid w:val="001F7D2E"/>
    <w:rsid w:val="00200007"/>
    <w:rsid w:val="0020046F"/>
    <w:rsid w:val="00202591"/>
    <w:rsid w:val="00202F6C"/>
    <w:rsid w:val="002030A5"/>
    <w:rsid w:val="00203131"/>
    <w:rsid w:val="00203836"/>
    <w:rsid w:val="002041FE"/>
    <w:rsid w:val="00204A67"/>
    <w:rsid w:val="00205892"/>
    <w:rsid w:val="002065A7"/>
    <w:rsid w:val="002068F6"/>
    <w:rsid w:val="00210433"/>
    <w:rsid w:val="0021121E"/>
    <w:rsid w:val="00211888"/>
    <w:rsid w:val="00211CE9"/>
    <w:rsid w:val="0021283D"/>
    <w:rsid w:val="00212E88"/>
    <w:rsid w:val="00213876"/>
    <w:rsid w:val="00213C9C"/>
    <w:rsid w:val="00213D69"/>
    <w:rsid w:val="00214C7B"/>
    <w:rsid w:val="00215583"/>
    <w:rsid w:val="002158A3"/>
    <w:rsid w:val="00215BA9"/>
    <w:rsid w:val="00216108"/>
    <w:rsid w:val="002165C1"/>
    <w:rsid w:val="00217601"/>
    <w:rsid w:val="00217ECA"/>
    <w:rsid w:val="0022009E"/>
    <w:rsid w:val="00221DDB"/>
    <w:rsid w:val="00222265"/>
    <w:rsid w:val="00223241"/>
    <w:rsid w:val="00223427"/>
    <w:rsid w:val="002237BC"/>
    <w:rsid w:val="002239D3"/>
    <w:rsid w:val="0022425C"/>
    <w:rsid w:val="002246DE"/>
    <w:rsid w:val="002246ED"/>
    <w:rsid w:val="00224DF9"/>
    <w:rsid w:val="00225B68"/>
    <w:rsid w:val="00226457"/>
    <w:rsid w:val="00226635"/>
    <w:rsid w:val="002275FE"/>
    <w:rsid w:val="00231355"/>
    <w:rsid w:val="00232FCF"/>
    <w:rsid w:val="00234860"/>
    <w:rsid w:val="0023634C"/>
    <w:rsid w:val="0023640D"/>
    <w:rsid w:val="00236C0E"/>
    <w:rsid w:val="002377DC"/>
    <w:rsid w:val="00237DC6"/>
    <w:rsid w:val="00241A8B"/>
    <w:rsid w:val="002427B4"/>
    <w:rsid w:val="0024282B"/>
    <w:rsid w:val="0024287A"/>
    <w:rsid w:val="00243135"/>
    <w:rsid w:val="00243722"/>
    <w:rsid w:val="00244C2F"/>
    <w:rsid w:val="002458E3"/>
    <w:rsid w:val="00245920"/>
    <w:rsid w:val="00245B18"/>
    <w:rsid w:val="00247379"/>
    <w:rsid w:val="00247CD3"/>
    <w:rsid w:val="00247D65"/>
    <w:rsid w:val="002500AB"/>
    <w:rsid w:val="00250ABF"/>
    <w:rsid w:val="0025119A"/>
    <w:rsid w:val="00252BC4"/>
    <w:rsid w:val="00254014"/>
    <w:rsid w:val="00254594"/>
    <w:rsid w:val="00254B39"/>
    <w:rsid w:val="00255749"/>
    <w:rsid w:val="0025788C"/>
    <w:rsid w:val="00257B80"/>
    <w:rsid w:val="00257DF1"/>
    <w:rsid w:val="00257FC4"/>
    <w:rsid w:val="00260878"/>
    <w:rsid w:val="00260AE4"/>
    <w:rsid w:val="00261F88"/>
    <w:rsid w:val="00261FC1"/>
    <w:rsid w:val="00263E28"/>
    <w:rsid w:val="00263E51"/>
    <w:rsid w:val="0026504D"/>
    <w:rsid w:val="0026525C"/>
    <w:rsid w:val="00265A6B"/>
    <w:rsid w:val="00266B0F"/>
    <w:rsid w:val="00267831"/>
    <w:rsid w:val="002707B1"/>
    <w:rsid w:val="00271475"/>
    <w:rsid w:val="0027211C"/>
    <w:rsid w:val="0027263A"/>
    <w:rsid w:val="002727C4"/>
    <w:rsid w:val="00273A2F"/>
    <w:rsid w:val="002744C6"/>
    <w:rsid w:val="00274EC7"/>
    <w:rsid w:val="00275F91"/>
    <w:rsid w:val="00277604"/>
    <w:rsid w:val="002777E1"/>
    <w:rsid w:val="00280779"/>
    <w:rsid w:val="00280986"/>
    <w:rsid w:val="00281178"/>
    <w:rsid w:val="00281A94"/>
    <w:rsid w:val="00281ECE"/>
    <w:rsid w:val="00282D6C"/>
    <w:rsid w:val="002831C7"/>
    <w:rsid w:val="00283AEA"/>
    <w:rsid w:val="002840C6"/>
    <w:rsid w:val="0028416F"/>
    <w:rsid w:val="00284FBD"/>
    <w:rsid w:val="00285023"/>
    <w:rsid w:val="00285E3B"/>
    <w:rsid w:val="00287DFF"/>
    <w:rsid w:val="00287F5E"/>
    <w:rsid w:val="002902BC"/>
    <w:rsid w:val="00291C4F"/>
    <w:rsid w:val="002932CF"/>
    <w:rsid w:val="00294020"/>
    <w:rsid w:val="00294392"/>
    <w:rsid w:val="00294E74"/>
    <w:rsid w:val="00294E7A"/>
    <w:rsid w:val="00295174"/>
    <w:rsid w:val="00296172"/>
    <w:rsid w:val="00296B92"/>
    <w:rsid w:val="00296F48"/>
    <w:rsid w:val="002A0286"/>
    <w:rsid w:val="002A179A"/>
    <w:rsid w:val="002A2C22"/>
    <w:rsid w:val="002A4B7F"/>
    <w:rsid w:val="002A67B7"/>
    <w:rsid w:val="002A72F6"/>
    <w:rsid w:val="002B02EB"/>
    <w:rsid w:val="002B2BA4"/>
    <w:rsid w:val="002B4BDB"/>
    <w:rsid w:val="002B6D9C"/>
    <w:rsid w:val="002B6FC1"/>
    <w:rsid w:val="002B7082"/>
    <w:rsid w:val="002B7CA8"/>
    <w:rsid w:val="002C01F8"/>
    <w:rsid w:val="002C048B"/>
    <w:rsid w:val="002C0602"/>
    <w:rsid w:val="002C16AF"/>
    <w:rsid w:val="002C1EE5"/>
    <w:rsid w:val="002C2761"/>
    <w:rsid w:val="002C2A85"/>
    <w:rsid w:val="002C3413"/>
    <w:rsid w:val="002C4259"/>
    <w:rsid w:val="002C42DB"/>
    <w:rsid w:val="002C481D"/>
    <w:rsid w:val="002C49E7"/>
    <w:rsid w:val="002C4DB1"/>
    <w:rsid w:val="002C513F"/>
    <w:rsid w:val="002C5E9C"/>
    <w:rsid w:val="002C6232"/>
    <w:rsid w:val="002C660A"/>
    <w:rsid w:val="002C6806"/>
    <w:rsid w:val="002C78E6"/>
    <w:rsid w:val="002D0470"/>
    <w:rsid w:val="002D1997"/>
    <w:rsid w:val="002D19AB"/>
    <w:rsid w:val="002D28C2"/>
    <w:rsid w:val="002D2D9E"/>
    <w:rsid w:val="002D2F5D"/>
    <w:rsid w:val="002D3BBE"/>
    <w:rsid w:val="002D3C34"/>
    <w:rsid w:val="002D5C16"/>
    <w:rsid w:val="002D7AEF"/>
    <w:rsid w:val="002E03F2"/>
    <w:rsid w:val="002E05A6"/>
    <w:rsid w:val="002E1C5A"/>
    <w:rsid w:val="002E1D27"/>
    <w:rsid w:val="002E1EFF"/>
    <w:rsid w:val="002E3BB3"/>
    <w:rsid w:val="002E3F6A"/>
    <w:rsid w:val="002E40F5"/>
    <w:rsid w:val="002E60D4"/>
    <w:rsid w:val="002E7B8F"/>
    <w:rsid w:val="002F055E"/>
    <w:rsid w:val="002F138A"/>
    <w:rsid w:val="002F2476"/>
    <w:rsid w:val="002F24D3"/>
    <w:rsid w:val="002F3DFF"/>
    <w:rsid w:val="002F3F7F"/>
    <w:rsid w:val="002F3FAB"/>
    <w:rsid w:val="002F4EBE"/>
    <w:rsid w:val="002F5E05"/>
    <w:rsid w:val="002F758F"/>
    <w:rsid w:val="002F7CA8"/>
    <w:rsid w:val="003005D2"/>
    <w:rsid w:val="00300E9B"/>
    <w:rsid w:val="0030126C"/>
    <w:rsid w:val="003027C7"/>
    <w:rsid w:val="0030339C"/>
    <w:rsid w:val="00303A14"/>
    <w:rsid w:val="003043AE"/>
    <w:rsid w:val="003057B4"/>
    <w:rsid w:val="00306E0F"/>
    <w:rsid w:val="00307A76"/>
    <w:rsid w:val="00307F4A"/>
    <w:rsid w:val="00310F5A"/>
    <w:rsid w:val="00311BA6"/>
    <w:rsid w:val="00311EB8"/>
    <w:rsid w:val="00312FEB"/>
    <w:rsid w:val="003147DD"/>
    <w:rsid w:val="00314C79"/>
    <w:rsid w:val="00315A16"/>
    <w:rsid w:val="003164B5"/>
    <w:rsid w:val="00317053"/>
    <w:rsid w:val="003173E9"/>
    <w:rsid w:val="0031761F"/>
    <w:rsid w:val="00317B5F"/>
    <w:rsid w:val="00317B7C"/>
    <w:rsid w:val="003200A1"/>
    <w:rsid w:val="00320115"/>
    <w:rsid w:val="003201F0"/>
    <w:rsid w:val="0032109C"/>
    <w:rsid w:val="00321ABF"/>
    <w:rsid w:val="003222F3"/>
    <w:rsid w:val="00322B45"/>
    <w:rsid w:val="00322E67"/>
    <w:rsid w:val="00322FAC"/>
    <w:rsid w:val="003230BD"/>
    <w:rsid w:val="0032314A"/>
    <w:rsid w:val="00323575"/>
    <w:rsid w:val="00323809"/>
    <w:rsid w:val="00323CE1"/>
    <w:rsid w:val="00323D41"/>
    <w:rsid w:val="00323ED5"/>
    <w:rsid w:val="003240F6"/>
    <w:rsid w:val="00325414"/>
    <w:rsid w:val="0032691D"/>
    <w:rsid w:val="00327EA1"/>
    <w:rsid w:val="003302F1"/>
    <w:rsid w:val="0033062A"/>
    <w:rsid w:val="00331848"/>
    <w:rsid w:val="00331C0D"/>
    <w:rsid w:val="00333E22"/>
    <w:rsid w:val="00337648"/>
    <w:rsid w:val="00340081"/>
    <w:rsid w:val="0034022E"/>
    <w:rsid w:val="003446B4"/>
    <w:rsid w:val="0034470E"/>
    <w:rsid w:val="00344911"/>
    <w:rsid w:val="003461D5"/>
    <w:rsid w:val="0034636E"/>
    <w:rsid w:val="00350CF7"/>
    <w:rsid w:val="00352159"/>
    <w:rsid w:val="00352DB0"/>
    <w:rsid w:val="00352EF8"/>
    <w:rsid w:val="003535AD"/>
    <w:rsid w:val="00354A9A"/>
    <w:rsid w:val="0035516D"/>
    <w:rsid w:val="0035524C"/>
    <w:rsid w:val="00360122"/>
    <w:rsid w:val="0036015D"/>
    <w:rsid w:val="0036085E"/>
    <w:rsid w:val="00361063"/>
    <w:rsid w:val="00361632"/>
    <w:rsid w:val="00361BAC"/>
    <w:rsid w:val="00364CB2"/>
    <w:rsid w:val="0036559F"/>
    <w:rsid w:val="00365CF9"/>
    <w:rsid w:val="003663D7"/>
    <w:rsid w:val="00366657"/>
    <w:rsid w:val="00366CFF"/>
    <w:rsid w:val="0036749C"/>
    <w:rsid w:val="0037094A"/>
    <w:rsid w:val="00371034"/>
    <w:rsid w:val="00371ED3"/>
    <w:rsid w:val="00372A55"/>
    <w:rsid w:val="00372FFC"/>
    <w:rsid w:val="003736FC"/>
    <w:rsid w:val="0037728A"/>
    <w:rsid w:val="003804AA"/>
    <w:rsid w:val="00380B7D"/>
    <w:rsid w:val="00381121"/>
    <w:rsid w:val="00381A99"/>
    <w:rsid w:val="003829C2"/>
    <w:rsid w:val="003830B2"/>
    <w:rsid w:val="003831B3"/>
    <w:rsid w:val="0038325B"/>
    <w:rsid w:val="00383B7D"/>
    <w:rsid w:val="00383BD7"/>
    <w:rsid w:val="00384724"/>
    <w:rsid w:val="00385DA1"/>
    <w:rsid w:val="00386814"/>
    <w:rsid w:val="00386830"/>
    <w:rsid w:val="00387D74"/>
    <w:rsid w:val="00387FF3"/>
    <w:rsid w:val="0039064E"/>
    <w:rsid w:val="00391514"/>
    <w:rsid w:val="003919B7"/>
    <w:rsid w:val="00391D57"/>
    <w:rsid w:val="00391D78"/>
    <w:rsid w:val="00392292"/>
    <w:rsid w:val="00392563"/>
    <w:rsid w:val="00392AEE"/>
    <w:rsid w:val="0039460D"/>
    <w:rsid w:val="0039468B"/>
    <w:rsid w:val="003947ED"/>
    <w:rsid w:val="00394F45"/>
    <w:rsid w:val="003954D9"/>
    <w:rsid w:val="00395DD6"/>
    <w:rsid w:val="00397C73"/>
    <w:rsid w:val="003A0EE8"/>
    <w:rsid w:val="003A25BC"/>
    <w:rsid w:val="003A2688"/>
    <w:rsid w:val="003A36D7"/>
    <w:rsid w:val="003A3A41"/>
    <w:rsid w:val="003A52B6"/>
    <w:rsid w:val="003A5333"/>
    <w:rsid w:val="003A5927"/>
    <w:rsid w:val="003A623B"/>
    <w:rsid w:val="003A7D4C"/>
    <w:rsid w:val="003B0594"/>
    <w:rsid w:val="003B0922"/>
    <w:rsid w:val="003B0F26"/>
    <w:rsid w:val="003B1017"/>
    <w:rsid w:val="003B19A8"/>
    <w:rsid w:val="003B1EED"/>
    <w:rsid w:val="003B2C2A"/>
    <w:rsid w:val="003B3C07"/>
    <w:rsid w:val="003B4B76"/>
    <w:rsid w:val="003B6081"/>
    <w:rsid w:val="003B6775"/>
    <w:rsid w:val="003B6A9D"/>
    <w:rsid w:val="003B73AE"/>
    <w:rsid w:val="003C17DB"/>
    <w:rsid w:val="003C1A84"/>
    <w:rsid w:val="003C3338"/>
    <w:rsid w:val="003C355E"/>
    <w:rsid w:val="003C3B79"/>
    <w:rsid w:val="003C5940"/>
    <w:rsid w:val="003C5FE2"/>
    <w:rsid w:val="003C6C16"/>
    <w:rsid w:val="003D05FB"/>
    <w:rsid w:val="003D063A"/>
    <w:rsid w:val="003D07D3"/>
    <w:rsid w:val="003D173E"/>
    <w:rsid w:val="003D1B16"/>
    <w:rsid w:val="003D1B91"/>
    <w:rsid w:val="003D295D"/>
    <w:rsid w:val="003D2B89"/>
    <w:rsid w:val="003D38F7"/>
    <w:rsid w:val="003D45BF"/>
    <w:rsid w:val="003D508A"/>
    <w:rsid w:val="003D537F"/>
    <w:rsid w:val="003D67D4"/>
    <w:rsid w:val="003D694D"/>
    <w:rsid w:val="003D6AC4"/>
    <w:rsid w:val="003D7B75"/>
    <w:rsid w:val="003E0208"/>
    <w:rsid w:val="003E08A4"/>
    <w:rsid w:val="003E2E1A"/>
    <w:rsid w:val="003E42F2"/>
    <w:rsid w:val="003E4B57"/>
    <w:rsid w:val="003E5D4D"/>
    <w:rsid w:val="003E6813"/>
    <w:rsid w:val="003E6AD2"/>
    <w:rsid w:val="003E7693"/>
    <w:rsid w:val="003F0240"/>
    <w:rsid w:val="003F239C"/>
    <w:rsid w:val="003F27E1"/>
    <w:rsid w:val="003F376A"/>
    <w:rsid w:val="003F3F15"/>
    <w:rsid w:val="003F437A"/>
    <w:rsid w:val="003F553D"/>
    <w:rsid w:val="003F5C2B"/>
    <w:rsid w:val="003F771E"/>
    <w:rsid w:val="003F7B26"/>
    <w:rsid w:val="00400E43"/>
    <w:rsid w:val="00402240"/>
    <w:rsid w:val="004023E9"/>
    <w:rsid w:val="004027C1"/>
    <w:rsid w:val="00402D4B"/>
    <w:rsid w:val="0040454A"/>
    <w:rsid w:val="00404753"/>
    <w:rsid w:val="004048D8"/>
    <w:rsid w:val="004058AF"/>
    <w:rsid w:val="00405F2F"/>
    <w:rsid w:val="004060FC"/>
    <w:rsid w:val="00406423"/>
    <w:rsid w:val="004069C9"/>
    <w:rsid w:val="00407ECE"/>
    <w:rsid w:val="004116E2"/>
    <w:rsid w:val="004121CA"/>
    <w:rsid w:val="00412DA9"/>
    <w:rsid w:val="004134AE"/>
    <w:rsid w:val="00413ACD"/>
    <w:rsid w:val="00413B4D"/>
    <w:rsid w:val="00413F83"/>
    <w:rsid w:val="0041463A"/>
    <w:rsid w:val="0041490C"/>
    <w:rsid w:val="00414A54"/>
    <w:rsid w:val="0041579F"/>
    <w:rsid w:val="00415A61"/>
    <w:rsid w:val="00415F99"/>
    <w:rsid w:val="00416191"/>
    <w:rsid w:val="00416721"/>
    <w:rsid w:val="004203DC"/>
    <w:rsid w:val="0042117E"/>
    <w:rsid w:val="00421EF0"/>
    <w:rsid w:val="004224FA"/>
    <w:rsid w:val="00422AF7"/>
    <w:rsid w:val="00423D07"/>
    <w:rsid w:val="00424096"/>
    <w:rsid w:val="00424F22"/>
    <w:rsid w:val="004272E1"/>
    <w:rsid w:val="00427805"/>
    <w:rsid w:val="00427936"/>
    <w:rsid w:val="0043000C"/>
    <w:rsid w:val="00430988"/>
    <w:rsid w:val="00433C8F"/>
    <w:rsid w:val="00434064"/>
    <w:rsid w:val="00434460"/>
    <w:rsid w:val="00434CD3"/>
    <w:rsid w:val="004356CD"/>
    <w:rsid w:val="00435EF8"/>
    <w:rsid w:val="0044161E"/>
    <w:rsid w:val="0044249C"/>
    <w:rsid w:val="00442A47"/>
    <w:rsid w:val="00442F89"/>
    <w:rsid w:val="0044346F"/>
    <w:rsid w:val="00444E1E"/>
    <w:rsid w:val="00445216"/>
    <w:rsid w:val="00445DEE"/>
    <w:rsid w:val="00446265"/>
    <w:rsid w:val="00446380"/>
    <w:rsid w:val="0044673C"/>
    <w:rsid w:val="00446AA6"/>
    <w:rsid w:val="00446C91"/>
    <w:rsid w:val="00447245"/>
    <w:rsid w:val="00447353"/>
    <w:rsid w:val="00451AD1"/>
    <w:rsid w:val="0045349E"/>
    <w:rsid w:val="00453FB6"/>
    <w:rsid w:val="00453FF6"/>
    <w:rsid w:val="00454F42"/>
    <w:rsid w:val="004560C6"/>
    <w:rsid w:val="00456878"/>
    <w:rsid w:val="004572F5"/>
    <w:rsid w:val="00462120"/>
    <w:rsid w:val="00463F53"/>
    <w:rsid w:val="0046431E"/>
    <w:rsid w:val="00464D06"/>
    <w:rsid w:val="00464D4E"/>
    <w:rsid w:val="0046520A"/>
    <w:rsid w:val="00466486"/>
    <w:rsid w:val="00466AEA"/>
    <w:rsid w:val="004672AB"/>
    <w:rsid w:val="00470DA8"/>
    <w:rsid w:val="00471289"/>
    <w:rsid w:val="004714FE"/>
    <w:rsid w:val="0047208D"/>
    <w:rsid w:val="0047210C"/>
    <w:rsid w:val="0047370B"/>
    <w:rsid w:val="004742B4"/>
    <w:rsid w:val="004755F2"/>
    <w:rsid w:val="004758BE"/>
    <w:rsid w:val="00477BAA"/>
    <w:rsid w:val="004807B8"/>
    <w:rsid w:val="00481144"/>
    <w:rsid w:val="004833B5"/>
    <w:rsid w:val="004833BA"/>
    <w:rsid w:val="00483EA3"/>
    <w:rsid w:val="00484E98"/>
    <w:rsid w:val="0048588E"/>
    <w:rsid w:val="004859F5"/>
    <w:rsid w:val="00491C2A"/>
    <w:rsid w:val="00493A71"/>
    <w:rsid w:val="00493C09"/>
    <w:rsid w:val="0049449D"/>
    <w:rsid w:val="0049461D"/>
    <w:rsid w:val="00495053"/>
    <w:rsid w:val="004A0D0A"/>
    <w:rsid w:val="004A12D6"/>
    <w:rsid w:val="004A1CD9"/>
    <w:rsid w:val="004A1F59"/>
    <w:rsid w:val="004A2632"/>
    <w:rsid w:val="004A29BE"/>
    <w:rsid w:val="004A2B8C"/>
    <w:rsid w:val="004A3032"/>
    <w:rsid w:val="004A3225"/>
    <w:rsid w:val="004A33EE"/>
    <w:rsid w:val="004A3AA8"/>
    <w:rsid w:val="004A41B8"/>
    <w:rsid w:val="004A5804"/>
    <w:rsid w:val="004A6803"/>
    <w:rsid w:val="004A6C17"/>
    <w:rsid w:val="004A775D"/>
    <w:rsid w:val="004B0EA6"/>
    <w:rsid w:val="004B13C7"/>
    <w:rsid w:val="004B1663"/>
    <w:rsid w:val="004B4194"/>
    <w:rsid w:val="004B6A13"/>
    <w:rsid w:val="004B7745"/>
    <w:rsid w:val="004B778F"/>
    <w:rsid w:val="004C0609"/>
    <w:rsid w:val="004C0FB1"/>
    <w:rsid w:val="004C3332"/>
    <w:rsid w:val="004C5412"/>
    <w:rsid w:val="004C5FA1"/>
    <w:rsid w:val="004C7627"/>
    <w:rsid w:val="004D141F"/>
    <w:rsid w:val="004D1ABE"/>
    <w:rsid w:val="004D2085"/>
    <w:rsid w:val="004D2742"/>
    <w:rsid w:val="004D2C3E"/>
    <w:rsid w:val="004D3C8A"/>
    <w:rsid w:val="004D56C4"/>
    <w:rsid w:val="004D6122"/>
    <w:rsid w:val="004D6310"/>
    <w:rsid w:val="004E0062"/>
    <w:rsid w:val="004E05A1"/>
    <w:rsid w:val="004E0E63"/>
    <w:rsid w:val="004E1BAF"/>
    <w:rsid w:val="004E4DD4"/>
    <w:rsid w:val="004E51C7"/>
    <w:rsid w:val="004E5D10"/>
    <w:rsid w:val="004E5F1A"/>
    <w:rsid w:val="004E758D"/>
    <w:rsid w:val="004F169A"/>
    <w:rsid w:val="004F1B94"/>
    <w:rsid w:val="004F1C85"/>
    <w:rsid w:val="004F242E"/>
    <w:rsid w:val="004F3FB6"/>
    <w:rsid w:val="004F472A"/>
    <w:rsid w:val="004F49E2"/>
    <w:rsid w:val="004F51D9"/>
    <w:rsid w:val="004F541D"/>
    <w:rsid w:val="004F5E57"/>
    <w:rsid w:val="004F6710"/>
    <w:rsid w:val="004F6E1F"/>
    <w:rsid w:val="00500961"/>
    <w:rsid w:val="00500C3E"/>
    <w:rsid w:val="005013DB"/>
    <w:rsid w:val="00501C50"/>
    <w:rsid w:val="005021C9"/>
    <w:rsid w:val="00502849"/>
    <w:rsid w:val="0050423B"/>
    <w:rsid w:val="00504334"/>
    <w:rsid w:val="00504463"/>
    <w:rsid w:val="0050498D"/>
    <w:rsid w:val="00506170"/>
    <w:rsid w:val="00507770"/>
    <w:rsid w:val="005104D7"/>
    <w:rsid w:val="0051061F"/>
    <w:rsid w:val="00510B9E"/>
    <w:rsid w:val="00510F20"/>
    <w:rsid w:val="0051128A"/>
    <w:rsid w:val="00511903"/>
    <w:rsid w:val="00512FC6"/>
    <w:rsid w:val="00513BC1"/>
    <w:rsid w:val="00513CA9"/>
    <w:rsid w:val="00513EC5"/>
    <w:rsid w:val="0051496D"/>
    <w:rsid w:val="00514FA4"/>
    <w:rsid w:val="005154AF"/>
    <w:rsid w:val="00515D9E"/>
    <w:rsid w:val="00516328"/>
    <w:rsid w:val="005174A1"/>
    <w:rsid w:val="00517C49"/>
    <w:rsid w:val="00520AEF"/>
    <w:rsid w:val="00520C33"/>
    <w:rsid w:val="00521A87"/>
    <w:rsid w:val="00522CE0"/>
    <w:rsid w:val="00524044"/>
    <w:rsid w:val="0052549B"/>
    <w:rsid w:val="005269E8"/>
    <w:rsid w:val="00526B46"/>
    <w:rsid w:val="0052794B"/>
    <w:rsid w:val="0053168D"/>
    <w:rsid w:val="00531B37"/>
    <w:rsid w:val="00531E9C"/>
    <w:rsid w:val="00532353"/>
    <w:rsid w:val="0053251C"/>
    <w:rsid w:val="005329A3"/>
    <w:rsid w:val="0053306D"/>
    <w:rsid w:val="00533B63"/>
    <w:rsid w:val="005341A7"/>
    <w:rsid w:val="00534494"/>
    <w:rsid w:val="00534716"/>
    <w:rsid w:val="00535AD8"/>
    <w:rsid w:val="00535B36"/>
    <w:rsid w:val="00536BC2"/>
    <w:rsid w:val="0053708B"/>
    <w:rsid w:val="00540AF6"/>
    <w:rsid w:val="00541B84"/>
    <w:rsid w:val="005425E1"/>
    <w:rsid w:val="005427C5"/>
    <w:rsid w:val="00542CF6"/>
    <w:rsid w:val="00543CE7"/>
    <w:rsid w:val="00544D6D"/>
    <w:rsid w:val="00544E5B"/>
    <w:rsid w:val="0054606B"/>
    <w:rsid w:val="00546DC8"/>
    <w:rsid w:val="00546F1C"/>
    <w:rsid w:val="00547685"/>
    <w:rsid w:val="00550622"/>
    <w:rsid w:val="0055091A"/>
    <w:rsid w:val="005518EE"/>
    <w:rsid w:val="00551AD7"/>
    <w:rsid w:val="0055259B"/>
    <w:rsid w:val="0055260F"/>
    <w:rsid w:val="00552654"/>
    <w:rsid w:val="005528BD"/>
    <w:rsid w:val="005531BF"/>
    <w:rsid w:val="00553C03"/>
    <w:rsid w:val="00555C08"/>
    <w:rsid w:val="005604D9"/>
    <w:rsid w:val="005605BA"/>
    <w:rsid w:val="00561875"/>
    <w:rsid w:val="00562473"/>
    <w:rsid w:val="00562BC1"/>
    <w:rsid w:val="00563692"/>
    <w:rsid w:val="00563D24"/>
    <w:rsid w:val="00564067"/>
    <w:rsid w:val="00564A16"/>
    <w:rsid w:val="00564D01"/>
    <w:rsid w:val="00565B6E"/>
    <w:rsid w:val="005664CD"/>
    <w:rsid w:val="005670D5"/>
    <w:rsid w:val="00571679"/>
    <w:rsid w:val="00573ECE"/>
    <w:rsid w:val="0057422D"/>
    <w:rsid w:val="0057741B"/>
    <w:rsid w:val="005775EE"/>
    <w:rsid w:val="00577918"/>
    <w:rsid w:val="00580212"/>
    <w:rsid w:val="005802C8"/>
    <w:rsid w:val="005812B3"/>
    <w:rsid w:val="0058151C"/>
    <w:rsid w:val="0058420B"/>
    <w:rsid w:val="005844E7"/>
    <w:rsid w:val="00584B2A"/>
    <w:rsid w:val="0058521F"/>
    <w:rsid w:val="005858E5"/>
    <w:rsid w:val="00586653"/>
    <w:rsid w:val="00587753"/>
    <w:rsid w:val="0059055B"/>
    <w:rsid w:val="005908B8"/>
    <w:rsid w:val="0059134E"/>
    <w:rsid w:val="00593BBC"/>
    <w:rsid w:val="00593E5A"/>
    <w:rsid w:val="00594004"/>
    <w:rsid w:val="00594B96"/>
    <w:rsid w:val="0059512E"/>
    <w:rsid w:val="0059565C"/>
    <w:rsid w:val="005960F2"/>
    <w:rsid w:val="0059697D"/>
    <w:rsid w:val="005A37A0"/>
    <w:rsid w:val="005A44E8"/>
    <w:rsid w:val="005A4786"/>
    <w:rsid w:val="005A589D"/>
    <w:rsid w:val="005A58F3"/>
    <w:rsid w:val="005A6402"/>
    <w:rsid w:val="005A66AC"/>
    <w:rsid w:val="005A6DD2"/>
    <w:rsid w:val="005B0834"/>
    <w:rsid w:val="005B1E90"/>
    <w:rsid w:val="005B3AED"/>
    <w:rsid w:val="005B78B9"/>
    <w:rsid w:val="005C04D9"/>
    <w:rsid w:val="005C06AD"/>
    <w:rsid w:val="005C1FDC"/>
    <w:rsid w:val="005C2264"/>
    <w:rsid w:val="005C29E0"/>
    <w:rsid w:val="005C2E66"/>
    <w:rsid w:val="005C385D"/>
    <w:rsid w:val="005C446D"/>
    <w:rsid w:val="005C4735"/>
    <w:rsid w:val="005C4816"/>
    <w:rsid w:val="005C5912"/>
    <w:rsid w:val="005C778D"/>
    <w:rsid w:val="005D1D28"/>
    <w:rsid w:val="005D2A23"/>
    <w:rsid w:val="005D3B20"/>
    <w:rsid w:val="005D407D"/>
    <w:rsid w:val="005D5428"/>
    <w:rsid w:val="005D5553"/>
    <w:rsid w:val="005E027F"/>
    <w:rsid w:val="005E0875"/>
    <w:rsid w:val="005E237F"/>
    <w:rsid w:val="005E4759"/>
    <w:rsid w:val="005E5286"/>
    <w:rsid w:val="005E5420"/>
    <w:rsid w:val="005E5BA6"/>
    <w:rsid w:val="005E5C68"/>
    <w:rsid w:val="005E65C0"/>
    <w:rsid w:val="005E6DA0"/>
    <w:rsid w:val="005F0390"/>
    <w:rsid w:val="005F0477"/>
    <w:rsid w:val="005F11C2"/>
    <w:rsid w:val="005F138C"/>
    <w:rsid w:val="005F20C5"/>
    <w:rsid w:val="005F2C20"/>
    <w:rsid w:val="005F2CF0"/>
    <w:rsid w:val="005F4223"/>
    <w:rsid w:val="005F4388"/>
    <w:rsid w:val="005F4807"/>
    <w:rsid w:val="005F5B7A"/>
    <w:rsid w:val="005F6088"/>
    <w:rsid w:val="005F60B3"/>
    <w:rsid w:val="005F61F0"/>
    <w:rsid w:val="005F6721"/>
    <w:rsid w:val="00600495"/>
    <w:rsid w:val="00600766"/>
    <w:rsid w:val="006013B0"/>
    <w:rsid w:val="00601593"/>
    <w:rsid w:val="00603C68"/>
    <w:rsid w:val="00604531"/>
    <w:rsid w:val="0060598D"/>
    <w:rsid w:val="00605E97"/>
    <w:rsid w:val="006072CD"/>
    <w:rsid w:val="006074A7"/>
    <w:rsid w:val="00607800"/>
    <w:rsid w:val="00607E42"/>
    <w:rsid w:val="00610DAC"/>
    <w:rsid w:val="006112FA"/>
    <w:rsid w:val="00612023"/>
    <w:rsid w:val="00613380"/>
    <w:rsid w:val="00614190"/>
    <w:rsid w:val="0061622D"/>
    <w:rsid w:val="00616B58"/>
    <w:rsid w:val="00620A9D"/>
    <w:rsid w:val="006214EB"/>
    <w:rsid w:val="00621BF0"/>
    <w:rsid w:val="006220F6"/>
    <w:rsid w:val="00622A99"/>
    <w:rsid w:val="00622E67"/>
    <w:rsid w:val="00623614"/>
    <w:rsid w:val="0062432F"/>
    <w:rsid w:val="00626EDC"/>
    <w:rsid w:val="006273A9"/>
    <w:rsid w:val="00627587"/>
    <w:rsid w:val="00631806"/>
    <w:rsid w:val="00632C9F"/>
    <w:rsid w:val="006332E9"/>
    <w:rsid w:val="00633F85"/>
    <w:rsid w:val="006344C0"/>
    <w:rsid w:val="006355CD"/>
    <w:rsid w:val="0063781F"/>
    <w:rsid w:val="00637D16"/>
    <w:rsid w:val="00637E26"/>
    <w:rsid w:val="0064094F"/>
    <w:rsid w:val="00642DD9"/>
    <w:rsid w:val="0064330B"/>
    <w:rsid w:val="00643312"/>
    <w:rsid w:val="00643B9E"/>
    <w:rsid w:val="00644D2B"/>
    <w:rsid w:val="00644E02"/>
    <w:rsid w:val="00644FA4"/>
    <w:rsid w:val="006465FC"/>
    <w:rsid w:val="00646E41"/>
    <w:rsid w:val="006470EC"/>
    <w:rsid w:val="006471C1"/>
    <w:rsid w:val="00650405"/>
    <w:rsid w:val="00650D0B"/>
    <w:rsid w:val="00652155"/>
    <w:rsid w:val="00652664"/>
    <w:rsid w:val="00652F4F"/>
    <w:rsid w:val="00653046"/>
    <w:rsid w:val="006535BF"/>
    <w:rsid w:val="00653A51"/>
    <w:rsid w:val="006542D6"/>
    <w:rsid w:val="0065450F"/>
    <w:rsid w:val="006546E7"/>
    <w:rsid w:val="00654C6F"/>
    <w:rsid w:val="00654DF4"/>
    <w:rsid w:val="00655865"/>
    <w:rsid w:val="0065598E"/>
    <w:rsid w:val="00655AF2"/>
    <w:rsid w:val="00655BC5"/>
    <w:rsid w:val="00656398"/>
    <w:rsid w:val="006568BE"/>
    <w:rsid w:val="00657D5D"/>
    <w:rsid w:val="0066025D"/>
    <w:rsid w:val="0066091A"/>
    <w:rsid w:val="00660A35"/>
    <w:rsid w:val="00661F71"/>
    <w:rsid w:val="00662739"/>
    <w:rsid w:val="00662FF8"/>
    <w:rsid w:val="00664ED4"/>
    <w:rsid w:val="00666121"/>
    <w:rsid w:val="006665EA"/>
    <w:rsid w:val="00667C8A"/>
    <w:rsid w:val="006713DE"/>
    <w:rsid w:val="00672DA3"/>
    <w:rsid w:val="006750AC"/>
    <w:rsid w:val="0067524A"/>
    <w:rsid w:val="00675C3B"/>
    <w:rsid w:val="00676B0F"/>
    <w:rsid w:val="006773EC"/>
    <w:rsid w:val="00680285"/>
    <w:rsid w:val="00680504"/>
    <w:rsid w:val="00681CD9"/>
    <w:rsid w:val="00682501"/>
    <w:rsid w:val="0068250F"/>
    <w:rsid w:val="006835CA"/>
    <w:rsid w:val="00683677"/>
    <w:rsid w:val="00683E30"/>
    <w:rsid w:val="00684819"/>
    <w:rsid w:val="00684D81"/>
    <w:rsid w:val="00686280"/>
    <w:rsid w:val="00687024"/>
    <w:rsid w:val="00687427"/>
    <w:rsid w:val="0068755A"/>
    <w:rsid w:val="00687F78"/>
    <w:rsid w:val="00692165"/>
    <w:rsid w:val="006928A2"/>
    <w:rsid w:val="006932F2"/>
    <w:rsid w:val="00693C63"/>
    <w:rsid w:val="0069477A"/>
    <w:rsid w:val="00695665"/>
    <w:rsid w:val="00695E22"/>
    <w:rsid w:val="00697F52"/>
    <w:rsid w:val="006A0442"/>
    <w:rsid w:val="006A0823"/>
    <w:rsid w:val="006A0F9D"/>
    <w:rsid w:val="006A20A6"/>
    <w:rsid w:val="006A27E1"/>
    <w:rsid w:val="006A3A61"/>
    <w:rsid w:val="006A4E5C"/>
    <w:rsid w:val="006A5108"/>
    <w:rsid w:val="006A77D1"/>
    <w:rsid w:val="006A7F5B"/>
    <w:rsid w:val="006B0254"/>
    <w:rsid w:val="006B0833"/>
    <w:rsid w:val="006B0982"/>
    <w:rsid w:val="006B1077"/>
    <w:rsid w:val="006B3AF4"/>
    <w:rsid w:val="006B5221"/>
    <w:rsid w:val="006B58AF"/>
    <w:rsid w:val="006B607E"/>
    <w:rsid w:val="006B7093"/>
    <w:rsid w:val="006B7114"/>
    <w:rsid w:val="006B7417"/>
    <w:rsid w:val="006B7514"/>
    <w:rsid w:val="006C0979"/>
    <w:rsid w:val="006C13F7"/>
    <w:rsid w:val="006C160E"/>
    <w:rsid w:val="006C1C01"/>
    <w:rsid w:val="006C1E39"/>
    <w:rsid w:val="006C234B"/>
    <w:rsid w:val="006C2969"/>
    <w:rsid w:val="006C3AFF"/>
    <w:rsid w:val="006C4CD1"/>
    <w:rsid w:val="006C50BC"/>
    <w:rsid w:val="006C5BC1"/>
    <w:rsid w:val="006C5C27"/>
    <w:rsid w:val="006C680C"/>
    <w:rsid w:val="006C72FD"/>
    <w:rsid w:val="006D057C"/>
    <w:rsid w:val="006D3691"/>
    <w:rsid w:val="006D3BEF"/>
    <w:rsid w:val="006D4423"/>
    <w:rsid w:val="006D742C"/>
    <w:rsid w:val="006E000F"/>
    <w:rsid w:val="006E017E"/>
    <w:rsid w:val="006E117B"/>
    <w:rsid w:val="006E4DA1"/>
    <w:rsid w:val="006E5EF0"/>
    <w:rsid w:val="006E6326"/>
    <w:rsid w:val="006E6545"/>
    <w:rsid w:val="006E6A08"/>
    <w:rsid w:val="006E6D3E"/>
    <w:rsid w:val="006E7021"/>
    <w:rsid w:val="006E73C0"/>
    <w:rsid w:val="006F090A"/>
    <w:rsid w:val="006F2E21"/>
    <w:rsid w:val="006F3563"/>
    <w:rsid w:val="006F3A70"/>
    <w:rsid w:val="006F406F"/>
    <w:rsid w:val="006F42B9"/>
    <w:rsid w:val="006F49D7"/>
    <w:rsid w:val="006F4A85"/>
    <w:rsid w:val="006F6103"/>
    <w:rsid w:val="006F6626"/>
    <w:rsid w:val="006F753E"/>
    <w:rsid w:val="006F7772"/>
    <w:rsid w:val="007015D8"/>
    <w:rsid w:val="00702303"/>
    <w:rsid w:val="0070287A"/>
    <w:rsid w:val="007038A9"/>
    <w:rsid w:val="00703EB8"/>
    <w:rsid w:val="00704821"/>
    <w:rsid w:val="00704DDE"/>
    <w:rsid w:val="00704E00"/>
    <w:rsid w:val="007104F2"/>
    <w:rsid w:val="007113F2"/>
    <w:rsid w:val="00711639"/>
    <w:rsid w:val="00711B13"/>
    <w:rsid w:val="007121FD"/>
    <w:rsid w:val="00712ECB"/>
    <w:rsid w:val="007137D1"/>
    <w:rsid w:val="00714749"/>
    <w:rsid w:val="00716AF5"/>
    <w:rsid w:val="00717926"/>
    <w:rsid w:val="00720231"/>
    <w:rsid w:val="007209E7"/>
    <w:rsid w:val="007214B1"/>
    <w:rsid w:val="0072257B"/>
    <w:rsid w:val="0072276A"/>
    <w:rsid w:val="007242E9"/>
    <w:rsid w:val="007243BF"/>
    <w:rsid w:val="00725823"/>
    <w:rsid w:val="007260C8"/>
    <w:rsid w:val="00726182"/>
    <w:rsid w:val="007271A9"/>
    <w:rsid w:val="00727635"/>
    <w:rsid w:val="00730209"/>
    <w:rsid w:val="00731361"/>
    <w:rsid w:val="00731F1E"/>
    <w:rsid w:val="00732329"/>
    <w:rsid w:val="00732936"/>
    <w:rsid w:val="007337CA"/>
    <w:rsid w:val="00734CE4"/>
    <w:rsid w:val="00735123"/>
    <w:rsid w:val="00735129"/>
    <w:rsid w:val="007400FB"/>
    <w:rsid w:val="00740495"/>
    <w:rsid w:val="00740BFD"/>
    <w:rsid w:val="007410A6"/>
    <w:rsid w:val="00741801"/>
    <w:rsid w:val="00741837"/>
    <w:rsid w:val="007423E9"/>
    <w:rsid w:val="00742D8D"/>
    <w:rsid w:val="007434F9"/>
    <w:rsid w:val="00743E0E"/>
    <w:rsid w:val="00744892"/>
    <w:rsid w:val="007453E6"/>
    <w:rsid w:val="007456C4"/>
    <w:rsid w:val="00745795"/>
    <w:rsid w:val="00745E46"/>
    <w:rsid w:val="00745F7E"/>
    <w:rsid w:val="00745F8B"/>
    <w:rsid w:val="00746489"/>
    <w:rsid w:val="00746E71"/>
    <w:rsid w:val="007503A9"/>
    <w:rsid w:val="00750925"/>
    <w:rsid w:val="00750AA9"/>
    <w:rsid w:val="0075148E"/>
    <w:rsid w:val="007516DD"/>
    <w:rsid w:val="007526D2"/>
    <w:rsid w:val="007539AB"/>
    <w:rsid w:val="00754692"/>
    <w:rsid w:val="00760546"/>
    <w:rsid w:val="00761306"/>
    <w:rsid w:val="00761E53"/>
    <w:rsid w:val="007622F5"/>
    <w:rsid w:val="0076337A"/>
    <w:rsid w:val="00764B1B"/>
    <w:rsid w:val="00765954"/>
    <w:rsid w:val="00766C2D"/>
    <w:rsid w:val="00767CEE"/>
    <w:rsid w:val="0077309D"/>
    <w:rsid w:val="007734CD"/>
    <w:rsid w:val="00773A29"/>
    <w:rsid w:val="0077494B"/>
    <w:rsid w:val="0077544B"/>
    <w:rsid w:val="0077556A"/>
    <w:rsid w:val="00776090"/>
    <w:rsid w:val="0077611B"/>
    <w:rsid w:val="0077738B"/>
    <w:rsid w:val="007774EE"/>
    <w:rsid w:val="00777670"/>
    <w:rsid w:val="00781666"/>
    <w:rsid w:val="00781822"/>
    <w:rsid w:val="0078273C"/>
    <w:rsid w:val="0078316E"/>
    <w:rsid w:val="00783E3E"/>
    <w:rsid w:val="00783F21"/>
    <w:rsid w:val="00784176"/>
    <w:rsid w:val="00784938"/>
    <w:rsid w:val="00785C9E"/>
    <w:rsid w:val="00785D4D"/>
    <w:rsid w:val="00786DCB"/>
    <w:rsid w:val="00787159"/>
    <w:rsid w:val="007874A0"/>
    <w:rsid w:val="007878C0"/>
    <w:rsid w:val="00787B53"/>
    <w:rsid w:val="0079043A"/>
    <w:rsid w:val="0079043D"/>
    <w:rsid w:val="00790B63"/>
    <w:rsid w:val="00791668"/>
    <w:rsid w:val="00791AA1"/>
    <w:rsid w:val="007921CE"/>
    <w:rsid w:val="0079306A"/>
    <w:rsid w:val="00796640"/>
    <w:rsid w:val="007969CE"/>
    <w:rsid w:val="007970A9"/>
    <w:rsid w:val="0079798B"/>
    <w:rsid w:val="007A093B"/>
    <w:rsid w:val="007A15A7"/>
    <w:rsid w:val="007A1873"/>
    <w:rsid w:val="007A2360"/>
    <w:rsid w:val="007A279A"/>
    <w:rsid w:val="007A2925"/>
    <w:rsid w:val="007A376A"/>
    <w:rsid w:val="007A3793"/>
    <w:rsid w:val="007A4092"/>
    <w:rsid w:val="007A541B"/>
    <w:rsid w:val="007A6BE0"/>
    <w:rsid w:val="007B0DD2"/>
    <w:rsid w:val="007B2203"/>
    <w:rsid w:val="007B251E"/>
    <w:rsid w:val="007B3282"/>
    <w:rsid w:val="007B3F50"/>
    <w:rsid w:val="007B6073"/>
    <w:rsid w:val="007B7830"/>
    <w:rsid w:val="007B7CC4"/>
    <w:rsid w:val="007C070D"/>
    <w:rsid w:val="007C1708"/>
    <w:rsid w:val="007C1BA2"/>
    <w:rsid w:val="007C27B7"/>
    <w:rsid w:val="007C297D"/>
    <w:rsid w:val="007C2B48"/>
    <w:rsid w:val="007C5097"/>
    <w:rsid w:val="007C516E"/>
    <w:rsid w:val="007C6E9B"/>
    <w:rsid w:val="007D20E9"/>
    <w:rsid w:val="007D2CD1"/>
    <w:rsid w:val="007D2EF6"/>
    <w:rsid w:val="007D55EE"/>
    <w:rsid w:val="007D5FE1"/>
    <w:rsid w:val="007D6464"/>
    <w:rsid w:val="007D7881"/>
    <w:rsid w:val="007D7E3A"/>
    <w:rsid w:val="007D7E9E"/>
    <w:rsid w:val="007E0E10"/>
    <w:rsid w:val="007E27DC"/>
    <w:rsid w:val="007E3FF9"/>
    <w:rsid w:val="007E4768"/>
    <w:rsid w:val="007E4B76"/>
    <w:rsid w:val="007E6ACB"/>
    <w:rsid w:val="007E6FCF"/>
    <w:rsid w:val="007E7082"/>
    <w:rsid w:val="007E777B"/>
    <w:rsid w:val="007F203A"/>
    <w:rsid w:val="007F2070"/>
    <w:rsid w:val="007F3D5B"/>
    <w:rsid w:val="007F4465"/>
    <w:rsid w:val="007F592E"/>
    <w:rsid w:val="007F652F"/>
    <w:rsid w:val="007F6AA6"/>
    <w:rsid w:val="007F6F90"/>
    <w:rsid w:val="007F7168"/>
    <w:rsid w:val="007F7990"/>
    <w:rsid w:val="007F7EBB"/>
    <w:rsid w:val="0080350B"/>
    <w:rsid w:val="0080480E"/>
    <w:rsid w:val="008053F5"/>
    <w:rsid w:val="00807AF7"/>
    <w:rsid w:val="00810198"/>
    <w:rsid w:val="008129E3"/>
    <w:rsid w:val="00812CC9"/>
    <w:rsid w:val="00814C3C"/>
    <w:rsid w:val="00815DA8"/>
    <w:rsid w:val="00816D15"/>
    <w:rsid w:val="00816EDC"/>
    <w:rsid w:val="008203C6"/>
    <w:rsid w:val="00820894"/>
    <w:rsid w:val="0082194D"/>
    <w:rsid w:val="00821B9D"/>
    <w:rsid w:val="008221B1"/>
    <w:rsid w:val="008221F9"/>
    <w:rsid w:val="00823471"/>
    <w:rsid w:val="00823D3E"/>
    <w:rsid w:val="00823E65"/>
    <w:rsid w:val="00824732"/>
    <w:rsid w:val="008249CF"/>
    <w:rsid w:val="00826092"/>
    <w:rsid w:val="00826127"/>
    <w:rsid w:val="00826E4E"/>
    <w:rsid w:val="00826EF5"/>
    <w:rsid w:val="0082703C"/>
    <w:rsid w:val="00827488"/>
    <w:rsid w:val="00830437"/>
    <w:rsid w:val="00831693"/>
    <w:rsid w:val="00832225"/>
    <w:rsid w:val="00832D1B"/>
    <w:rsid w:val="00833360"/>
    <w:rsid w:val="0083394D"/>
    <w:rsid w:val="00835355"/>
    <w:rsid w:val="00840104"/>
    <w:rsid w:val="00840383"/>
    <w:rsid w:val="0084046F"/>
    <w:rsid w:val="00840C1F"/>
    <w:rsid w:val="008411C3"/>
    <w:rsid w:val="008418C7"/>
    <w:rsid w:val="00841FC5"/>
    <w:rsid w:val="00842269"/>
    <w:rsid w:val="00842A26"/>
    <w:rsid w:val="0084544B"/>
    <w:rsid w:val="00845709"/>
    <w:rsid w:val="00845BD8"/>
    <w:rsid w:val="0085092C"/>
    <w:rsid w:val="0085119E"/>
    <w:rsid w:val="00851DED"/>
    <w:rsid w:val="00855475"/>
    <w:rsid w:val="00855E4E"/>
    <w:rsid w:val="00856D46"/>
    <w:rsid w:val="008576BD"/>
    <w:rsid w:val="00860463"/>
    <w:rsid w:val="00860B74"/>
    <w:rsid w:val="00860E93"/>
    <w:rsid w:val="00862529"/>
    <w:rsid w:val="00862E62"/>
    <w:rsid w:val="00862F36"/>
    <w:rsid w:val="008632EA"/>
    <w:rsid w:val="00863728"/>
    <w:rsid w:val="00863860"/>
    <w:rsid w:val="00863F43"/>
    <w:rsid w:val="00865DC5"/>
    <w:rsid w:val="00870840"/>
    <w:rsid w:val="00870CC3"/>
    <w:rsid w:val="00871EDF"/>
    <w:rsid w:val="0087271C"/>
    <w:rsid w:val="008731E9"/>
    <w:rsid w:val="008733DA"/>
    <w:rsid w:val="00873C1E"/>
    <w:rsid w:val="00874466"/>
    <w:rsid w:val="008758DD"/>
    <w:rsid w:val="00876006"/>
    <w:rsid w:val="008766A7"/>
    <w:rsid w:val="0087700E"/>
    <w:rsid w:val="008773EF"/>
    <w:rsid w:val="00880418"/>
    <w:rsid w:val="0088042C"/>
    <w:rsid w:val="00880B4F"/>
    <w:rsid w:val="00881183"/>
    <w:rsid w:val="00881459"/>
    <w:rsid w:val="008820B5"/>
    <w:rsid w:val="0088231C"/>
    <w:rsid w:val="008850E4"/>
    <w:rsid w:val="00885D30"/>
    <w:rsid w:val="00885D8B"/>
    <w:rsid w:val="00885E18"/>
    <w:rsid w:val="008877C9"/>
    <w:rsid w:val="00887A23"/>
    <w:rsid w:val="00890698"/>
    <w:rsid w:val="00890901"/>
    <w:rsid w:val="00891B44"/>
    <w:rsid w:val="008923A1"/>
    <w:rsid w:val="008928A2"/>
    <w:rsid w:val="008928FD"/>
    <w:rsid w:val="008939AB"/>
    <w:rsid w:val="008942C7"/>
    <w:rsid w:val="008944E0"/>
    <w:rsid w:val="00894F3C"/>
    <w:rsid w:val="00895080"/>
    <w:rsid w:val="008A12F5"/>
    <w:rsid w:val="008A2354"/>
    <w:rsid w:val="008A3047"/>
    <w:rsid w:val="008A4343"/>
    <w:rsid w:val="008A45F6"/>
    <w:rsid w:val="008A53AE"/>
    <w:rsid w:val="008A5C7E"/>
    <w:rsid w:val="008A72F0"/>
    <w:rsid w:val="008B09EB"/>
    <w:rsid w:val="008B0E4D"/>
    <w:rsid w:val="008B1093"/>
    <w:rsid w:val="008B1587"/>
    <w:rsid w:val="008B1B01"/>
    <w:rsid w:val="008B1B7C"/>
    <w:rsid w:val="008B37E3"/>
    <w:rsid w:val="008B3BCD"/>
    <w:rsid w:val="008B5126"/>
    <w:rsid w:val="008B5843"/>
    <w:rsid w:val="008B5F0E"/>
    <w:rsid w:val="008B6A9A"/>
    <w:rsid w:val="008B6C2C"/>
    <w:rsid w:val="008B6DF8"/>
    <w:rsid w:val="008C0A84"/>
    <w:rsid w:val="008C106C"/>
    <w:rsid w:val="008C10F1"/>
    <w:rsid w:val="008C14B3"/>
    <w:rsid w:val="008C1926"/>
    <w:rsid w:val="008C1D0F"/>
    <w:rsid w:val="008C1E99"/>
    <w:rsid w:val="008C4274"/>
    <w:rsid w:val="008C4376"/>
    <w:rsid w:val="008C5263"/>
    <w:rsid w:val="008C539C"/>
    <w:rsid w:val="008C5AE9"/>
    <w:rsid w:val="008C6560"/>
    <w:rsid w:val="008D169D"/>
    <w:rsid w:val="008D2FA8"/>
    <w:rsid w:val="008D369C"/>
    <w:rsid w:val="008D3751"/>
    <w:rsid w:val="008D4465"/>
    <w:rsid w:val="008D6E1A"/>
    <w:rsid w:val="008D6E78"/>
    <w:rsid w:val="008E0085"/>
    <w:rsid w:val="008E0645"/>
    <w:rsid w:val="008E06F3"/>
    <w:rsid w:val="008E0A23"/>
    <w:rsid w:val="008E0BF8"/>
    <w:rsid w:val="008E1983"/>
    <w:rsid w:val="008E2AA6"/>
    <w:rsid w:val="008E2AE1"/>
    <w:rsid w:val="008E311B"/>
    <w:rsid w:val="008E5288"/>
    <w:rsid w:val="008E5D16"/>
    <w:rsid w:val="008F122E"/>
    <w:rsid w:val="008F192E"/>
    <w:rsid w:val="008F290B"/>
    <w:rsid w:val="008F2980"/>
    <w:rsid w:val="008F299D"/>
    <w:rsid w:val="008F3C94"/>
    <w:rsid w:val="008F46E7"/>
    <w:rsid w:val="008F5C09"/>
    <w:rsid w:val="008F6F0B"/>
    <w:rsid w:val="008F78E1"/>
    <w:rsid w:val="00900386"/>
    <w:rsid w:val="00900948"/>
    <w:rsid w:val="00900EA8"/>
    <w:rsid w:val="009029E7"/>
    <w:rsid w:val="00903717"/>
    <w:rsid w:val="00903E4E"/>
    <w:rsid w:val="009043A0"/>
    <w:rsid w:val="00904A4F"/>
    <w:rsid w:val="00907BA7"/>
    <w:rsid w:val="0091064E"/>
    <w:rsid w:val="00910DEC"/>
    <w:rsid w:val="00911FC5"/>
    <w:rsid w:val="0091276F"/>
    <w:rsid w:val="00913ADE"/>
    <w:rsid w:val="00913EDA"/>
    <w:rsid w:val="009148B8"/>
    <w:rsid w:val="00915108"/>
    <w:rsid w:val="00915350"/>
    <w:rsid w:val="00915F17"/>
    <w:rsid w:val="0092097B"/>
    <w:rsid w:val="009211D3"/>
    <w:rsid w:val="00922FF3"/>
    <w:rsid w:val="009233A9"/>
    <w:rsid w:val="00923BCF"/>
    <w:rsid w:val="00923DB3"/>
    <w:rsid w:val="009244E3"/>
    <w:rsid w:val="009257B7"/>
    <w:rsid w:val="009261B4"/>
    <w:rsid w:val="00926590"/>
    <w:rsid w:val="00927696"/>
    <w:rsid w:val="00930802"/>
    <w:rsid w:val="00930936"/>
    <w:rsid w:val="00931287"/>
    <w:rsid w:val="009317BD"/>
    <w:rsid w:val="00931A10"/>
    <w:rsid w:val="00931D50"/>
    <w:rsid w:val="009327CD"/>
    <w:rsid w:val="00936EA6"/>
    <w:rsid w:val="00936FD7"/>
    <w:rsid w:val="00937F49"/>
    <w:rsid w:val="00940159"/>
    <w:rsid w:val="00940532"/>
    <w:rsid w:val="00941887"/>
    <w:rsid w:val="00941F29"/>
    <w:rsid w:val="0094413C"/>
    <w:rsid w:val="00947967"/>
    <w:rsid w:val="00950778"/>
    <w:rsid w:val="009509B4"/>
    <w:rsid w:val="00950F87"/>
    <w:rsid w:val="00951C75"/>
    <w:rsid w:val="0095206B"/>
    <w:rsid w:val="0095365B"/>
    <w:rsid w:val="0095434F"/>
    <w:rsid w:val="00954605"/>
    <w:rsid w:val="00954C48"/>
    <w:rsid w:val="00955201"/>
    <w:rsid w:val="0095700A"/>
    <w:rsid w:val="0095784B"/>
    <w:rsid w:val="00957D64"/>
    <w:rsid w:val="00960084"/>
    <w:rsid w:val="00962B87"/>
    <w:rsid w:val="009636D5"/>
    <w:rsid w:val="009641F5"/>
    <w:rsid w:val="00964626"/>
    <w:rsid w:val="00965200"/>
    <w:rsid w:val="00965DAB"/>
    <w:rsid w:val="009668B3"/>
    <w:rsid w:val="00966BE3"/>
    <w:rsid w:val="00967840"/>
    <w:rsid w:val="00970841"/>
    <w:rsid w:val="00971169"/>
    <w:rsid w:val="00971309"/>
    <w:rsid w:val="00971471"/>
    <w:rsid w:val="0097224F"/>
    <w:rsid w:val="0097279A"/>
    <w:rsid w:val="0097297E"/>
    <w:rsid w:val="009738C7"/>
    <w:rsid w:val="009743BC"/>
    <w:rsid w:val="009743CA"/>
    <w:rsid w:val="00974970"/>
    <w:rsid w:val="00974A10"/>
    <w:rsid w:val="0097571D"/>
    <w:rsid w:val="009757C4"/>
    <w:rsid w:val="00975BA9"/>
    <w:rsid w:val="00975EE7"/>
    <w:rsid w:val="00976452"/>
    <w:rsid w:val="00980899"/>
    <w:rsid w:val="00981406"/>
    <w:rsid w:val="00981FA0"/>
    <w:rsid w:val="00982D9F"/>
    <w:rsid w:val="00982FC0"/>
    <w:rsid w:val="009843A1"/>
    <w:rsid w:val="00984542"/>
    <w:rsid w:val="009849C2"/>
    <w:rsid w:val="00984D24"/>
    <w:rsid w:val="00984F77"/>
    <w:rsid w:val="00984F7C"/>
    <w:rsid w:val="009853BD"/>
    <w:rsid w:val="009858EB"/>
    <w:rsid w:val="0098596A"/>
    <w:rsid w:val="00986CF5"/>
    <w:rsid w:val="009871D9"/>
    <w:rsid w:val="00987D07"/>
    <w:rsid w:val="009908D0"/>
    <w:rsid w:val="0099143B"/>
    <w:rsid w:val="00994B12"/>
    <w:rsid w:val="00994F43"/>
    <w:rsid w:val="00996B86"/>
    <w:rsid w:val="009971A2"/>
    <w:rsid w:val="00997C5B"/>
    <w:rsid w:val="00997DF1"/>
    <w:rsid w:val="009A0136"/>
    <w:rsid w:val="009A0876"/>
    <w:rsid w:val="009A1331"/>
    <w:rsid w:val="009A1F71"/>
    <w:rsid w:val="009A2AAA"/>
    <w:rsid w:val="009A2BC9"/>
    <w:rsid w:val="009A3F47"/>
    <w:rsid w:val="009A6185"/>
    <w:rsid w:val="009A6818"/>
    <w:rsid w:val="009B0046"/>
    <w:rsid w:val="009B0345"/>
    <w:rsid w:val="009B215C"/>
    <w:rsid w:val="009B26AD"/>
    <w:rsid w:val="009B2971"/>
    <w:rsid w:val="009B3EB4"/>
    <w:rsid w:val="009B4BA5"/>
    <w:rsid w:val="009B4C7E"/>
    <w:rsid w:val="009B6572"/>
    <w:rsid w:val="009B6B68"/>
    <w:rsid w:val="009B7635"/>
    <w:rsid w:val="009B7FED"/>
    <w:rsid w:val="009C0DC6"/>
    <w:rsid w:val="009C1440"/>
    <w:rsid w:val="009C2107"/>
    <w:rsid w:val="009C3409"/>
    <w:rsid w:val="009C451F"/>
    <w:rsid w:val="009C526C"/>
    <w:rsid w:val="009C5A8D"/>
    <w:rsid w:val="009C5D9E"/>
    <w:rsid w:val="009C7039"/>
    <w:rsid w:val="009C748B"/>
    <w:rsid w:val="009D0965"/>
    <w:rsid w:val="009D2C3E"/>
    <w:rsid w:val="009D3687"/>
    <w:rsid w:val="009D4378"/>
    <w:rsid w:val="009D442D"/>
    <w:rsid w:val="009D4CCE"/>
    <w:rsid w:val="009D6291"/>
    <w:rsid w:val="009D7780"/>
    <w:rsid w:val="009E0625"/>
    <w:rsid w:val="009E0817"/>
    <w:rsid w:val="009E1F62"/>
    <w:rsid w:val="009E3034"/>
    <w:rsid w:val="009E343D"/>
    <w:rsid w:val="009E4C5B"/>
    <w:rsid w:val="009E4F56"/>
    <w:rsid w:val="009E51E9"/>
    <w:rsid w:val="009E549F"/>
    <w:rsid w:val="009E620E"/>
    <w:rsid w:val="009E7447"/>
    <w:rsid w:val="009F0A92"/>
    <w:rsid w:val="009F2627"/>
    <w:rsid w:val="009F28A8"/>
    <w:rsid w:val="009F2F35"/>
    <w:rsid w:val="009F473E"/>
    <w:rsid w:val="009F4A1F"/>
    <w:rsid w:val="009F577F"/>
    <w:rsid w:val="009F57F6"/>
    <w:rsid w:val="009F5ED5"/>
    <w:rsid w:val="009F60E4"/>
    <w:rsid w:val="009F64F6"/>
    <w:rsid w:val="009F682A"/>
    <w:rsid w:val="009F6C4F"/>
    <w:rsid w:val="009F6E65"/>
    <w:rsid w:val="00A00521"/>
    <w:rsid w:val="00A022BE"/>
    <w:rsid w:val="00A02A61"/>
    <w:rsid w:val="00A030E1"/>
    <w:rsid w:val="00A031C2"/>
    <w:rsid w:val="00A0363F"/>
    <w:rsid w:val="00A043B7"/>
    <w:rsid w:val="00A051B0"/>
    <w:rsid w:val="00A07A00"/>
    <w:rsid w:val="00A07B4B"/>
    <w:rsid w:val="00A10124"/>
    <w:rsid w:val="00A16E8C"/>
    <w:rsid w:val="00A17050"/>
    <w:rsid w:val="00A176D1"/>
    <w:rsid w:val="00A21C6E"/>
    <w:rsid w:val="00A22429"/>
    <w:rsid w:val="00A238C0"/>
    <w:rsid w:val="00A238FF"/>
    <w:rsid w:val="00A24C95"/>
    <w:rsid w:val="00A25296"/>
    <w:rsid w:val="00A25761"/>
    <w:rsid w:val="00A2599A"/>
    <w:rsid w:val="00A26094"/>
    <w:rsid w:val="00A263F1"/>
    <w:rsid w:val="00A264BF"/>
    <w:rsid w:val="00A26A09"/>
    <w:rsid w:val="00A27CDB"/>
    <w:rsid w:val="00A27EE9"/>
    <w:rsid w:val="00A301BF"/>
    <w:rsid w:val="00A302B2"/>
    <w:rsid w:val="00A3209C"/>
    <w:rsid w:val="00A3224E"/>
    <w:rsid w:val="00A32366"/>
    <w:rsid w:val="00A328C0"/>
    <w:rsid w:val="00A32E97"/>
    <w:rsid w:val="00A331B4"/>
    <w:rsid w:val="00A3484E"/>
    <w:rsid w:val="00A34A99"/>
    <w:rsid w:val="00A34ED2"/>
    <w:rsid w:val="00A356D3"/>
    <w:rsid w:val="00A36013"/>
    <w:rsid w:val="00A36A85"/>
    <w:rsid w:val="00A36ADA"/>
    <w:rsid w:val="00A3746B"/>
    <w:rsid w:val="00A377AB"/>
    <w:rsid w:val="00A41EDD"/>
    <w:rsid w:val="00A426F5"/>
    <w:rsid w:val="00A4281F"/>
    <w:rsid w:val="00A438D8"/>
    <w:rsid w:val="00A43AC3"/>
    <w:rsid w:val="00A44DDC"/>
    <w:rsid w:val="00A4525F"/>
    <w:rsid w:val="00A464F4"/>
    <w:rsid w:val="00A46EC6"/>
    <w:rsid w:val="00A473F5"/>
    <w:rsid w:val="00A474B4"/>
    <w:rsid w:val="00A47859"/>
    <w:rsid w:val="00A47965"/>
    <w:rsid w:val="00A5053A"/>
    <w:rsid w:val="00A513B1"/>
    <w:rsid w:val="00A51A49"/>
    <w:rsid w:val="00A51F9D"/>
    <w:rsid w:val="00A527B2"/>
    <w:rsid w:val="00A52815"/>
    <w:rsid w:val="00A5416A"/>
    <w:rsid w:val="00A547A6"/>
    <w:rsid w:val="00A54B88"/>
    <w:rsid w:val="00A54D71"/>
    <w:rsid w:val="00A55FAA"/>
    <w:rsid w:val="00A6068C"/>
    <w:rsid w:val="00A60DED"/>
    <w:rsid w:val="00A620F9"/>
    <w:rsid w:val="00A6275D"/>
    <w:rsid w:val="00A63430"/>
    <w:rsid w:val="00A63643"/>
    <w:rsid w:val="00A639F4"/>
    <w:rsid w:val="00A63A39"/>
    <w:rsid w:val="00A65092"/>
    <w:rsid w:val="00A655D6"/>
    <w:rsid w:val="00A65957"/>
    <w:rsid w:val="00A65E07"/>
    <w:rsid w:val="00A65F09"/>
    <w:rsid w:val="00A67FAE"/>
    <w:rsid w:val="00A73A9A"/>
    <w:rsid w:val="00A73B64"/>
    <w:rsid w:val="00A744C7"/>
    <w:rsid w:val="00A74792"/>
    <w:rsid w:val="00A7489B"/>
    <w:rsid w:val="00A7497D"/>
    <w:rsid w:val="00A75B3D"/>
    <w:rsid w:val="00A76DE9"/>
    <w:rsid w:val="00A7768A"/>
    <w:rsid w:val="00A808F4"/>
    <w:rsid w:val="00A80A6B"/>
    <w:rsid w:val="00A80DC5"/>
    <w:rsid w:val="00A81A32"/>
    <w:rsid w:val="00A826AA"/>
    <w:rsid w:val="00A829D1"/>
    <w:rsid w:val="00A82A29"/>
    <w:rsid w:val="00A82B2D"/>
    <w:rsid w:val="00A835BD"/>
    <w:rsid w:val="00A83874"/>
    <w:rsid w:val="00A841A5"/>
    <w:rsid w:val="00A856D9"/>
    <w:rsid w:val="00A8602D"/>
    <w:rsid w:val="00A86540"/>
    <w:rsid w:val="00A866A8"/>
    <w:rsid w:val="00A873A6"/>
    <w:rsid w:val="00A92A55"/>
    <w:rsid w:val="00A92EF4"/>
    <w:rsid w:val="00A93CAC"/>
    <w:rsid w:val="00A9537A"/>
    <w:rsid w:val="00A9673E"/>
    <w:rsid w:val="00A96D77"/>
    <w:rsid w:val="00A97B15"/>
    <w:rsid w:val="00AA08B7"/>
    <w:rsid w:val="00AA0E8E"/>
    <w:rsid w:val="00AA1F4E"/>
    <w:rsid w:val="00AA289C"/>
    <w:rsid w:val="00AA330F"/>
    <w:rsid w:val="00AA34AC"/>
    <w:rsid w:val="00AA4244"/>
    <w:rsid w:val="00AA42D5"/>
    <w:rsid w:val="00AA4853"/>
    <w:rsid w:val="00AA4C74"/>
    <w:rsid w:val="00AA5142"/>
    <w:rsid w:val="00AA6198"/>
    <w:rsid w:val="00AA6265"/>
    <w:rsid w:val="00AA69DB"/>
    <w:rsid w:val="00AA6A68"/>
    <w:rsid w:val="00AA7307"/>
    <w:rsid w:val="00AB1B9A"/>
    <w:rsid w:val="00AB21DB"/>
    <w:rsid w:val="00AB273D"/>
    <w:rsid w:val="00AB2FAB"/>
    <w:rsid w:val="00AB5C14"/>
    <w:rsid w:val="00AB7601"/>
    <w:rsid w:val="00AB77EB"/>
    <w:rsid w:val="00AC03D0"/>
    <w:rsid w:val="00AC1EE7"/>
    <w:rsid w:val="00AC24EA"/>
    <w:rsid w:val="00AC266F"/>
    <w:rsid w:val="00AC333F"/>
    <w:rsid w:val="00AC3C73"/>
    <w:rsid w:val="00AC4212"/>
    <w:rsid w:val="00AC585C"/>
    <w:rsid w:val="00AC6630"/>
    <w:rsid w:val="00AC696A"/>
    <w:rsid w:val="00AC7E60"/>
    <w:rsid w:val="00AD125B"/>
    <w:rsid w:val="00AD1925"/>
    <w:rsid w:val="00AD2272"/>
    <w:rsid w:val="00AD2433"/>
    <w:rsid w:val="00AD25A2"/>
    <w:rsid w:val="00AD3E85"/>
    <w:rsid w:val="00AD4BA5"/>
    <w:rsid w:val="00AD4FB8"/>
    <w:rsid w:val="00AD6ABD"/>
    <w:rsid w:val="00AD7FF2"/>
    <w:rsid w:val="00AE067D"/>
    <w:rsid w:val="00AE0CE7"/>
    <w:rsid w:val="00AE0F57"/>
    <w:rsid w:val="00AE1514"/>
    <w:rsid w:val="00AE16AF"/>
    <w:rsid w:val="00AE28E1"/>
    <w:rsid w:val="00AE2904"/>
    <w:rsid w:val="00AE2A5D"/>
    <w:rsid w:val="00AE3C87"/>
    <w:rsid w:val="00AE3D44"/>
    <w:rsid w:val="00AE4256"/>
    <w:rsid w:val="00AE46F0"/>
    <w:rsid w:val="00AE622D"/>
    <w:rsid w:val="00AE74CA"/>
    <w:rsid w:val="00AF0A02"/>
    <w:rsid w:val="00AF1181"/>
    <w:rsid w:val="00AF246B"/>
    <w:rsid w:val="00AF24DD"/>
    <w:rsid w:val="00AF292B"/>
    <w:rsid w:val="00AF2F79"/>
    <w:rsid w:val="00AF3EFB"/>
    <w:rsid w:val="00AF4398"/>
    <w:rsid w:val="00AF43CB"/>
    <w:rsid w:val="00AF4653"/>
    <w:rsid w:val="00AF4D46"/>
    <w:rsid w:val="00AF4E2A"/>
    <w:rsid w:val="00AF618A"/>
    <w:rsid w:val="00AF72AB"/>
    <w:rsid w:val="00AF751F"/>
    <w:rsid w:val="00AF7987"/>
    <w:rsid w:val="00AF7DB7"/>
    <w:rsid w:val="00B0042F"/>
    <w:rsid w:val="00B00922"/>
    <w:rsid w:val="00B00FF9"/>
    <w:rsid w:val="00B0138F"/>
    <w:rsid w:val="00B01DB9"/>
    <w:rsid w:val="00B0282E"/>
    <w:rsid w:val="00B02DC9"/>
    <w:rsid w:val="00B0307A"/>
    <w:rsid w:val="00B041CA"/>
    <w:rsid w:val="00B043F5"/>
    <w:rsid w:val="00B04EC9"/>
    <w:rsid w:val="00B05196"/>
    <w:rsid w:val="00B0580B"/>
    <w:rsid w:val="00B05C9A"/>
    <w:rsid w:val="00B07915"/>
    <w:rsid w:val="00B07D26"/>
    <w:rsid w:val="00B107C1"/>
    <w:rsid w:val="00B10D02"/>
    <w:rsid w:val="00B13239"/>
    <w:rsid w:val="00B14C35"/>
    <w:rsid w:val="00B15D62"/>
    <w:rsid w:val="00B15E5A"/>
    <w:rsid w:val="00B16C62"/>
    <w:rsid w:val="00B1737B"/>
    <w:rsid w:val="00B17CD3"/>
    <w:rsid w:val="00B201E2"/>
    <w:rsid w:val="00B2083B"/>
    <w:rsid w:val="00B21D2F"/>
    <w:rsid w:val="00B222CD"/>
    <w:rsid w:val="00B242E7"/>
    <w:rsid w:val="00B257AC"/>
    <w:rsid w:val="00B25859"/>
    <w:rsid w:val="00B25CC7"/>
    <w:rsid w:val="00B26FB7"/>
    <w:rsid w:val="00B307A6"/>
    <w:rsid w:val="00B30805"/>
    <w:rsid w:val="00B31A82"/>
    <w:rsid w:val="00B332CF"/>
    <w:rsid w:val="00B349C9"/>
    <w:rsid w:val="00B351DB"/>
    <w:rsid w:val="00B35691"/>
    <w:rsid w:val="00B372F6"/>
    <w:rsid w:val="00B37F34"/>
    <w:rsid w:val="00B40793"/>
    <w:rsid w:val="00B41D74"/>
    <w:rsid w:val="00B443C0"/>
    <w:rsid w:val="00B443E4"/>
    <w:rsid w:val="00B45DF8"/>
    <w:rsid w:val="00B47932"/>
    <w:rsid w:val="00B50C84"/>
    <w:rsid w:val="00B513E4"/>
    <w:rsid w:val="00B51E7B"/>
    <w:rsid w:val="00B5277D"/>
    <w:rsid w:val="00B53B03"/>
    <w:rsid w:val="00B53EB5"/>
    <w:rsid w:val="00B5484D"/>
    <w:rsid w:val="00B563EA"/>
    <w:rsid w:val="00B56CDF"/>
    <w:rsid w:val="00B60364"/>
    <w:rsid w:val="00B60E51"/>
    <w:rsid w:val="00B61108"/>
    <w:rsid w:val="00B625E1"/>
    <w:rsid w:val="00B63A54"/>
    <w:rsid w:val="00B6589A"/>
    <w:rsid w:val="00B65E12"/>
    <w:rsid w:val="00B66850"/>
    <w:rsid w:val="00B66B62"/>
    <w:rsid w:val="00B66C06"/>
    <w:rsid w:val="00B70A6A"/>
    <w:rsid w:val="00B70F63"/>
    <w:rsid w:val="00B71C79"/>
    <w:rsid w:val="00B7359C"/>
    <w:rsid w:val="00B759BB"/>
    <w:rsid w:val="00B75D2E"/>
    <w:rsid w:val="00B77D18"/>
    <w:rsid w:val="00B77FA0"/>
    <w:rsid w:val="00B80132"/>
    <w:rsid w:val="00B8313A"/>
    <w:rsid w:val="00B87EAC"/>
    <w:rsid w:val="00B90A19"/>
    <w:rsid w:val="00B93503"/>
    <w:rsid w:val="00B93960"/>
    <w:rsid w:val="00B94D86"/>
    <w:rsid w:val="00B95C12"/>
    <w:rsid w:val="00B96146"/>
    <w:rsid w:val="00B96197"/>
    <w:rsid w:val="00B965F8"/>
    <w:rsid w:val="00B9727A"/>
    <w:rsid w:val="00BA07A5"/>
    <w:rsid w:val="00BA2196"/>
    <w:rsid w:val="00BA296F"/>
    <w:rsid w:val="00BA31E8"/>
    <w:rsid w:val="00BA3E82"/>
    <w:rsid w:val="00BA3F0F"/>
    <w:rsid w:val="00BA4B3E"/>
    <w:rsid w:val="00BA55E0"/>
    <w:rsid w:val="00BA5C97"/>
    <w:rsid w:val="00BA6BD4"/>
    <w:rsid w:val="00BA6C7A"/>
    <w:rsid w:val="00BA7057"/>
    <w:rsid w:val="00BA766A"/>
    <w:rsid w:val="00BB0019"/>
    <w:rsid w:val="00BB03C5"/>
    <w:rsid w:val="00BB0829"/>
    <w:rsid w:val="00BB17D1"/>
    <w:rsid w:val="00BB19B7"/>
    <w:rsid w:val="00BB2BD5"/>
    <w:rsid w:val="00BB3752"/>
    <w:rsid w:val="00BB47C7"/>
    <w:rsid w:val="00BB48E4"/>
    <w:rsid w:val="00BB4ADB"/>
    <w:rsid w:val="00BB5425"/>
    <w:rsid w:val="00BB6688"/>
    <w:rsid w:val="00BB7BC4"/>
    <w:rsid w:val="00BC04E3"/>
    <w:rsid w:val="00BC0593"/>
    <w:rsid w:val="00BC0F74"/>
    <w:rsid w:val="00BC26D4"/>
    <w:rsid w:val="00BC3335"/>
    <w:rsid w:val="00BC467D"/>
    <w:rsid w:val="00BC4876"/>
    <w:rsid w:val="00BC5E1D"/>
    <w:rsid w:val="00BC70D3"/>
    <w:rsid w:val="00BC79EB"/>
    <w:rsid w:val="00BD0C44"/>
    <w:rsid w:val="00BD14E0"/>
    <w:rsid w:val="00BD18F7"/>
    <w:rsid w:val="00BD2672"/>
    <w:rsid w:val="00BD2E76"/>
    <w:rsid w:val="00BD2F0E"/>
    <w:rsid w:val="00BD37CF"/>
    <w:rsid w:val="00BD4893"/>
    <w:rsid w:val="00BD54B8"/>
    <w:rsid w:val="00BD678E"/>
    <w:rsid w:val="00BD68A4"/>
    <w:rsid w:val="00BD6A17"/>
    <w:rsid w:val="00BD6BF9"/>
    <w:rsid w:val="00BE0C80"/>
    <w:rsid w:val="00BE17D4"/>
    <w:rsid w:val="00BE1FB3"/>
    <w:rsid w:val="00BE2F89"/>
    <w:rsid w:val="00BE3871"/>
    <w:rsid w:val="00BE4B26"/>
    <w:rsid w:val="00BE54DF"/>
    <w:rsid w:val="00BE5984"/>
    <w:rsid w:val="00BE6673"/>
    <w:rsid w:val="00BF009B"/>
    <w:rsid w:val="00BF03F5"/>
    <w:rsid w:val="00BF0B96"/>
    <w:rsid w:val="00BF0CB9"/>
    <w:rsid w:val="00BF23DE"/>
    <w:rsid w:val="00BF2A42"/>
    <w:rsid w:val="00BF308C"/>
    <w:rsid w:val="00BF5FC3"/>
    <w:rsid w:val="00BF6387"/>
    <w:rsid w:val="00BF6FAE"/>
    <w:rsid w:val="00C008A8"/>
    <w:rsid w:val="00C00B25"/>
    <w:rsid w:val="00C00EEF"/>
    <w:rsid w:val="00C01CB4"/>
    <w:rsid w:val="00C022B1"/>
    <w:rsid w:val="00C0261E"/>
    <w:rsid w:val="00C03D8C"/>
    <w:rsid w:val="00C0546A"/>
    <w:rsid w:val="00C055EC"/>
    <w:rsid w:val="00C0580F"/>
    <w:rsid w:val="00C05C99"/>
    <w:rsid w:val="00C05DB8"/>
    <w:rsid w:val="00C05E3A"/>
    <w:rsid w:val="00C06F56"/>
    <w:rsid w:val="00C07FBD"/>
    <w:rsid w:val="00C104D4"/>
    <w:rsid w:val="00C10DC9"/>
    <w:rsid w:val="00C11273"/>
    <w:rsid w:val="00C118EA"/>
    <w:rsid w:val="00C11ED5"/>
    <w:rsid w:val="00C12AEA"/>
    <w:rsid w:val="00C12FB3"/>
    <w:rsid w:val="00C146B4"/>
    <w:rsid w:val="00C150A7"/>
    <w:rsid w:val="00C16F56"/>
    <w:rsid w:val="00C17334"/>
    <w:rsid w:val="00C17341"/>
    <w:rsid w:val="00C1757E"/>
    <w:rsid w:val="00C17B77"/>
    <w:rsid w:val="00C215D7"/>
    <w:rsid w:val="00C21D98"/>
    <w:rsid w:val="00C226C3"/>
    <w:rsid w:val="00C22868"/>
    <w:rsid w:val="00C2288C"/>
    <w:rsid w:val="00C238BA"/>
    <w:rsid w:val="00C23CC1"/>
    <w:rsid w:val="00C23DB2"/>
    <w:rsid w:val="00C24B7A"/>
    <w:rsid w:val="00C24EEF"/>
    <w:rsid w:val="00C24F70"/>
    <w:rsid w:val="00C25437"/>
    <w:rsid w:val="00C25C0C"/>
    <w:rsid w:val="00C25CF6"/>
    <w:rsid w:val="00C25E8B"/>
    <w:rsid w:val="00C26C36"/>
    <w:rsid w:val="00C2755C"/>
    <w:rsid w:val="00C27CDE"/>
    <w:rsid w:val="00C30D88"/>
    <w:rsid w:val="00C31834"/>
    <w:rsid w:val="00C31D48"/>
    <w:rsid w:val="00C32768"/>
    <w:rsid w:val="00C32FF4"/>
    <w:rsid w:val="00C34D08"/>
    <w:rsid w:val="00C36395"/>
    <w:rsid w:val="00C3661B"/>
    <w:rsid w:val="00C36942"/>
    <w:rsid w:val="00C3724B"/>
    <w:rsid w:val="00C3799F"/>
    <w:rsid w:val="00C403FC"/>
    <w:rsid w:val="00C40712"/>
    <w:rsid w:val="00C412C1"/>
    <w:rsid w:val="00C42A5E"/>
    <w:rsid w:val="00C431DF"/>
    <w:rsid w:val="00C4321B"/>
    <w:rsid w:val="00C453AE"/>
    <w:rsid w:val="00C456BD"/>
    <w:rsid w:val="00C45823"/>
    <w:rsid w:val="00C46086"/>
    <w:rsid w:val="00C505A3"/>
    <w:rsid w:val="00C50C21"/>
    <w:rsid w:val="00C530DC"/>
    <w:rsid w:val="00C534B0"/>
    <w:rsid w:val="00C5350D"/>
    <w:rsid w:val="00C53B47"/>
    <w:rsid w:val="00C5417B"/>
    <w:rsid w:val="00C55F9F"/>
    <w:rsid w:val="00C568AD"/>
    <w:rsid w:val="00C6069A"/>
    <w:rsid w:val="00C60A3B"/>
    <w:rsid w:val="00C6123C"/>
    <w:rsid w:val="00C615AE"/>
    <w:rsid w:val="00C6311A"/>
    <w:rsid w:val="00C63B77"/>
    <w:rsid w:val="00C64341"/>
    <w:rsid w:val="00C6523F"/>
    <w:rsid w:val="00C654A3"/>
    <w:rsid w:val="00C666C5"/>
    <w:rsid w:val="00C7084D"/>
    <w:rsid w:val="00C70A2A"/>
    <w:rsid w:val="00C70AA0"/>
    <w:rsid w:val="00C715AF"/>
    <w:rsid w:val="00C720C1"/>
    <w:rsid w:val="00C7315E"/>
    <w:rsid w:val="00C73A13"/>
    <w:rsid w:val="00C75895"/>
    <w:rsid w:val="00C7589C"/>
    <w:rsid w:val="00C763EB"/>
    <w:rsid w:val="00C7652A"/>
    <w:rsid w:val="00C80348"/>
    <w:rsid w:val="00C80635"/>
    <w:rsid w:val="00C80BBC"/>
    <w:rsid w:val="00C80CA4"/>
    <w:rsid w:val="00C816D8"/>
    <w:rsid w:val="00C81BE0"/>
    <w:rsid w:val="00C83C9F"/>
    <w:rsid w:val="00C870E5"/>
    <w:rsid w:val="00C94840"/>
    <w:rsid w:val="00C94CB8"/>
    <w:rsid w:val="00C94F19"/>
    <w:rsid w:val="00C95866"/>
    <w:rsid w:val="00C962F1"/>
    <w:rsid w:val="00C96A26"/>
    <w:rsid w:val="00C97524"/>
    <w:rsid w:val="00CA03F5"/>
    <w:rsid w:val="00CA07F6"/>
    <w:rsid w:val="00CA37A5"/>
    <w:rsid w:val="00CA4EE3"/>
    <w:rsid w:val="00CA5C44"/>
    <w:rsid w:val="00CA5C62"/>
    <w:rsid w:val="00CA607E"/>
    <w:rsid w:val="00CA680C"/>
    <w:rsid w:val="00CA6A79"/>
    <w:rsid w:val="00CA6CF4"/>
    <w:rsid w:val="00CA771E"/>
    <w:rsid w:val="00CA7757"/>
    <w:rsid w:val="00CA78AA"/>
    <w:rsid w:val="00CA7B31"/>
    <w:rsid w:val="00CB027F"/>
    <w:rsid w:val="00CB0912"/>
    <w:rsid w:val="00CB0CDE"/>
    <w:rsid w:val="00CB12A9"/>
    <w:rsid w:val="00CB4580"/>
    <w:rsid w:val="00CB5AD1"/>
    <w:rsid w:val="00CB6027"/>
    <w:rsid w:val="00CB6045"/>
    <w:rsid w:val="00CB6AD6"/>
    <w:rsid w:val="00CB6FA5"/>
    <w:rsid w:val="00CB73CB"/>
    <w:rsid w:val="00CC0EBB"/>
    <w:rsid w:val="00CC0EE8"/>
    <w:rsid w:val="00CC1FFD"/>
    <w:rsid w:val="00CC27F7"/>
    <w:rsid w:val="00CC31F9"/>
    <w:rsid w:val="00CC3D5E"/>
    <w:rsid w:val="00CC6297"/>
    <w:rsid w:val="00CC7671"/>
    <w:rsid w:val="00CC7690"/>
    <w:rsid w:val="00CD0437"/>
    <w:rsid w:val="00CD0F3B"/>
    <w:rsid w:val="00CD169E"/>
    <w:rsid w:val="00CD1986"/>
    <w:rsid w:val="00CD1D36"/>
    <w:rsid w:val="00CD1D42"/>
    <w:rsid w:val="00CD3199"/>
    <w:rsid w:val="00CD54BF"/>
    <w:rsid w:val="00CD653E"/>
    <w:rsid w:val="00CD6AFC"/>
    <w:rsid w:val="00CE01E9"/>
    <w:rsid w:val="00CE0A1F"/>
    <w:rsid w:val="00CE12B2"/>
    <w:rsid w:val="00CE1F4F"/>
    <w:rsid w:val="00CE235F"/>
    <w:rsid w:val="00CE3387"/>
    <w:rsid w:val="00CE3EF2"/>
    <w:rsid w:val="00CE4D5C"/>
    <w:rsid w:val="00CE5663"/>
    <w:rsid w:val="00CE5B65"/>
    <w:rsid w:val="00CE5F8D"/>
    <w:rsid w:val="00CE7379"/>
    <w:rsid w:val="00CE7B10"/>
    <w:rsid w:val="00CF05DA"/>
    <w:rsid w:val="00CF0BF0"/>
    <w:rsid w:val="00CF12A6"/>
    <w:rsid w:val="00CF1DCA"/>
    <w:rsid w:val="00CF3433"/>
    <w:rsid w:val="00CF3DFA"/>
    <w:rsid w:val="00CF46A2"/>
    <w:rsid w:val="00CF5430"/>
    <w:rsid w:val="00CF58EB"/>
    <w:rsid w:val="00CF626E"/>
    <w:rsid w:val="00CF6455"/>
    <w:rsid w:val="00CF6C7B"/>
    <w:rsid w:val="00CF6FEC"/>
    <w:rsid w:val="00D0042C"/>
    <w:rsid w:val="00D0106E"/>
    <w:rsid w:val="00D0232B"/>
    <w:rsid w:val="00D0427D"/>
    <w:rsid w:val="00D057F7"/>
    <w:rsid w:val="00D06383"/>
    <w:rsid w:val="00D066EE"/>
    <w:rsid w:val="00D06758"/>
    <w:rsid w:val="00D06C70"/>
    <w:rsid w:val="00D0716F"/>
    <w:rsid w:val="00D07EE1"/>
    <w:rsid w:val="00D101A7"/>
    <w:rsid w:val="00D11974"/>
    <w:rsid w:val="00D12528"/>
    <w:rsid w:val="00D13236"/>
    <w:rsid w:val="00D14737"/>
    <w:rsid w:val="00D14D85"/>
    <w:rsid w:val="00D15071"/>
    <w:rsid w:val="00D15C5B"/>
    <w:rsid w:val="00D1622A"/>
    <w:rsid w:val="00D1648F"/>
    <w:rsid w:val="00D1770A"/>
    <w:rsid w:val="00D1788D"/>
    <w:rsid w:val="00D20285"/>
    <w:rsid w:val="00D20301"/>
    <w:rsid w:val="00D20E85"/>
    <w:rsid w:val="00D2134D"/>
    <w:rsid w:val="00D223F1"/>
    <w:rsid w:val="00D22A2C"/>
    <w:rsid w:val="00D22B16"/>
    <w:rsid w:val="00D24088"/>
    <w:rsid w:val="00D24615"/>
    <w:rsid w:val="00D24FEA"/>
    <w:rsid w:val="00D251FE"/>
    <w:rsid w:val="00D25DEE"/>
    <w:rsid w:val="00D2708E"/>
    <w:rsid w:val="00D27218"/>
    <w:rsid w:val="00D27461"/>
    <w:rsid w:val="00D27845"/>
    <w:rsid w:val="00D30548"/>
    <w:rsid w:val="00D30E20"/>
    <w:rsid w:val="00D32213"/>
    <w:rsid w:val="00D32DB4"/>
    <w:rsid w:val="00D345A8"/>
    <w:rsid w:val="00D351AF"/>
    <w:rsid w:val="00D37842"/>
    <w:rsid w:val="00D37CAE"/>
    <w:rsid w:val="00D37DF4"/>
    <w:rsid w:val="00D40637"/>
    <w:rsid w:val="00D409EE"/>
    <w:rsid w:val="00D40D95"/>
    <w:rsid w:val="00D42DC2"/>
    <w:rsid w:val="00D42E1F"/>
    <w:rsid w:val="00D4302B"/>
    <w:rsid w:val="00D43F68"/>
    <w:rsid w:val="00D4488D"/>
    <w:rsid w:val="00D4679A"/>
    <w:rsid w:val="00D47649"/>
    <w:rsid w:val="00D5009D"/>
    <w:rsid w:val="00D526AD"/>
    <w:rsid w:val="00D537E1"/>
    <w:rsid w:val="00D549CB"/>
    <w:rsid w:val="00D551B5"/>
    <w:rsid w:val="00D55BB2"/>
    <w:rsid w:val="00D56D39"/>
    <w:rsid w:val="00D57403"/>
    <w:rsid w:val="00D577DE"/>
    <w:rsid w:val="00D57CE2"/>
    <w:rsid w:val="00D6091A"/>
    <w:rsid w:val="00D61F47"/>
    <w:rsid w:val="00D621CF"/>
    <w:rsid w:val="00D62272"/>
    <w:rsid w:val="00D63273"/>
    <w:rsid w:val="00D654F9"/>
    <w:rsid w:val="00D6605A"/>
    <w:rsid w:val="00D663D7"/>
    <w:rsid w:val="00D6695F"/>
    <w:rsid w:val="00D67442"/>
    <w:rsid w:val="00D67876"/>
    <w:rsid w:val="00D67BFD"/>
    <w:rsid w:val="00D70422"/>
    <w:rsid w:val="00D70B88"/>
    <w:rsid w:val="00D70BCF"/>
    <w:rsid w:val="00D70D62"/>
    <w:rsid w:val="00D7134D"/>
    <w:rsid w:val="00D72337"/>
    <w:rsid w:val="00D726DB"/>
    <w:rsid w:val="00D7415C"/>
    <w:rsid w:val="00D7538E"/>
    <w:rsid w:val="00D75644"/>
    <w:rsid w:val="00D7709B"/>
    <w:rsid w:val="00D77626"/>
    <w:rsid w:val="00D7795A"/>
    <w:rsid w:val="00D77AC0"/>
    <w:rsid w:val="00D80958"/>
    <w:rsid w:val="00D81656"/>
    <w:rsid w:val="00D81B40"/>
    <w:rsid w:val="00D82832"/>
    <w:rsid w:val="00D83D87"/>
    <w:rsid w:val="00D83F4A"/>
    <w:rsid w:val="00D8453F"/>
    <w:rsid w:val="00D84A6D"/>
    <w:rsid w:val="00D85A12"/>
    <w:rsid w:val="00D86A30"/>
    <w:rsid w:val="00D87FD5"/>
    <w:rsid w:val="00D90847"/>
    <w:rsid w:val="00D90A2E"/>
    <w:rsid w:val="00D90B52"/>
    <w:rsid w:val="00D91119"/>
    <w:rsid w:val="00D914F5"/>
    <w:rsid w:val="00D92432"/>
    <w:rsid w:val="00D92DBA"/>
    <w:rsid w:val="00D95071"/>
    <w:rsid w:val="00D95BA5"/>
    <w:rsid w:val="00D96B29"/>
    <w:rsid w:val="00D97CB4"/>
    <w:rsid w:val="00D97DD4"/>
    <w:rsid w:val="00D97E4B"/>
    <w:rsid w:val="00DA0CDA"/>
    <w:rsid w:val="00DA0FDD"/>
    <w:rsid w:val="00DA139E"/>
    <w:rsid w:val="00DA230B"/>
    <w:rsid w:val="00DA5A8A"/>
    <w:rsid w:val="00DA6399"/>
    <w:rsid w:val="00DB012D"/>
    <w:rsid w:val="00DB1170"/>
    <w:rsid w:val="00DB26CD"/>
    <w:rsid w:val="00DB346F"/>
    <w:rsid w:val="00DB441C"/>
    <w:rsid w:val="00DB44AF"/>
    <w:rsid w:val="00DB6517"/>
    <w:rsid w:val="00DB6EBE"/>
    <w:rsid w:val="00DB7740"/>
    <w:rsid w:val="00DC011B"/>
    <w:rsid w:val="00DC01B3"/>
    <w:rsid w:val="00DC0357"/>
    <w:rsid w:val="00DC1041"/>
    <w:rsid w:val="00DC1B71"/>
    <w:rsid w:val="00DC1F58"/>
    <w:rsid w:val="00DC2D39"/>
    <w:rsid w:val="00DC2E66"/>
    <w:rsid w:val="00DC339B"/>
    <w:rsid w:val="00DC4E62"/>
    <w:rsid w:val="00DC5D40"/>
    <w:rsid w:val="00DC69A7"/>
    <w:rsid w:val="00DC6E95"/>
    <w:rsid w:val="00DC74F8"/>
    <w:rsid w:val="00DC75BF"/>
    <w:rsid w:val="00DD043D"/>
    <w:rsid w:val="00DD0DBD"/>
    <w:rsid w:val="00DD2011"/>
    <w:rsid w:val="00DD24B7"/>
    <w:rsid w:val="00DD30E9"/>
    <w:rsid w:val="00DD454C"/>
    <w:rsid w:val="00DD4D3D"/>
    <w:rsid w:val="00DD4F47"/>
    <w:rsid w:val="00DD525C"/>
    <w:rsid w:val="00DD64FB"/>
    <w:rsid w:val="00DD7FBB"/>
    <w:rsid w:val="00DE0B9F"/>
    <w:rsid w:val="00DE0EF3"/>
    <w:rsid w:val="00DE13BD"/>
    <w:rsid w:val="00DE14DE"/>
    <w:rsid w:val="00DE2267"/>
    <w:rsid w:val="00DE2A9E"/>
    <w:rsid w:val="00DE4238"/>
    <w:rsid w:val="00DE45BC"/>
    <w:rsid w:val="00DE4877"/>
    <w:rsid w:val="00DE621F"/>
    <w:rsid w:val="00DE657F"/>
    <w:rsid w:val="00DE67C8"/>
    <w:rsid w:val="00DE6957"/>
    <w:rsid w:val="00DE7AF3"/>
    <w:rsid w:val="00DF0C7E"/>
    <w:rsid w:val="00DF0CB7"/>
    <w:rsid w:val="00DF0D95"/>
    <w:rsid w:val="00DF0E7B"/>
    <w:rsid w:val="00DF1218"/>
    <w:rsid w:val="00DF1A84"/>
    <w:rsid w:val="00DF1C5E"/>
    <w:rsid w:val="00DF3D22"/>
    <w:rsid w:val="00DF4119"/>
    <w:rsid w:val="00DF4798"/>
    <w:rsid w:val="00DF5219"/>
    <w:rsid w:val="00DF5C57"/>
    <w:rsid w:val="00DF641C"/>
    <w:rsid w:val="00DF6462"/>
    <w:rsid w:val="00DF67B2"/>
    <w:rsid w:val="00DF79F0"/>
    <w:rsid w:val="00E0009F"/>
    <w:rsid w:val="00E00A2D"/>
    <w:rsid w:val="00E014E3"/>
    <w:rsid w:val="00E02D92"/>
    <w:rsid w:val="00E02FA0"/>
    <w:rsid w:val="00E036DC"/>
    <w:rsid w:val="00E06581"/>
    <w:rsid w:val="00E07A21"/>
    <w:rsid w:val="00E07DCE"/>
    <w:rsid w:val="00E10454"/>
    <w:rsid w:val="00E112E5"/>
    <w:rsid w:val="00E12015"/>
    <w:rsid w:val="00E122D8"/>
    <w:rsid w:val="00E12562"/>
    <w:rsid w:val="00E12CC8"/>
    <w:rsid w:val="00E14B94"/>
    <w:rsid w:val="00E15352"/>
    <w:rsid w:val="00E15F66"/>
    <w:rsid w:val="00E16864"/>
    <w:rsid w:val="00E16E49"/>
    <w:rsid w:val="00E17536"/>
    <w:rsid w:val="00E21CC7"/>
    <w:rsid w:val="00E22DF9"/>
    <w:rsid w:val="00E233E7"/>
    <w:rsid w:val="00E24504"/>
    <w:rsid w:val="00E24D9E"/>
    <w:rsid w:val="00E257F0"/>
    <w:rsid w:val="00E25849"/>
    <w:rsid w:val="00E27230"/>
    <w:rsid w:val="00E30AF6"/>
    <w:rsid w:val="00E31505"/>
    <w:rsid w:val="00E3197E"/>
    <w:rsid w:val="00E31E22"/>
    <w:rsid w:val="00E3219B"/>
    <w:rsid w:val="00E3230F"/>
    <w:rsid w:val="00E325D2"/>
    <w:rsid w:val="00E32F08"/>
    <w:rsid w:val="00E33040"/>
    <w:rsid w:val="00E3342C"/>
    <w:rsid w:val="00E33797"/>
    <w:rsid w:val="00E33CE9"/>
    <w:rsid w:val="00E342F8"/>
    <w:rsid w:val="00E35013"/>
    <w:rsid w:val="00E3505C"/>
    <w:rsid w:val="00E351ED"/>
    <w:rsid w:val="00E352B3"/>
    <w:rsid w:val="00E36DBE"/>
    <w:rsid w:val="00E37B44"/>
    <w:rsid w:val="00E37C08"/>
    <w:rsid w:val="00E4044D"/>
    <w:rsid w:val="00E40526"/>
    <w:rsid w:val="00E41DF0"/>
    <w:rsid w:val="00E4269D"/>
    <w:rsid w:val="00E42AAB"/>
    <w:rsid w:val="00E4368C"/>
    <w:rsid w:val="00E439EB"/>
    <w:rsid w:val="00E43A63"/>
    <w:rsid w:val="00E440D9"/>
    <w:rsid w:val="00E4531A"/>
    <w:rsid w:val="00E45AB9"/>
    <w:rsid w:val="00E465AD"/>
    <w:rsid w:val="00E465CA"/>
    <w:rsid w:val="00E46A11"/>
    <w:rsid w:val="00E47054"/>
    <w:rsid w:val="00E47236"/>
    <w:rsid w:val="00E504E0"/>
    <w:rsid w:val="00E50AF9"/>
    <w:rsid w:val="00E50C92"/>
    <w:rsid w:val="00E50CD3"/>
    <w:rsid w:val="00E51B0D"/>
    <w:rsid w:val="00E53EDA"/>
    <w:rsid w:val="00E5406C"/>
    <w:rsid w:val="00E544F0"/>
    <w:rsid w:val="00E56873"/>
    <w:rsid w:val="00E57B86"/>
    <w:rsid w:val="00E6034B"/>
    <w:rsid w:val="00E61CA1"/>
    <w:rsid w:val="00E650AF"/>
    <w:rsid w:val="00E6549E"/>
    <w:rsid w:val="00E65BA9"/>
    <w:rsid w:val="00E65EDE"/>
    <w:rsid w:val="00E664A9"/>
    <w:rsid w:val="00E66B52"/>
    <w:rsid w:val="00E66CF8"/>
    <w:rsid w:val="00E66D03"/>
    <w:rsid w:val="00E66D94"/>
    <w:rsid w:val="00E70AC3"/>
    <w:rsid w:val="00E70F81"/>
    <w:rsid w:val="00E7110F"/>
    <w:rsid w:val="00E71A87"/>
    <w:rsid w:val="00E72223"/>
    <w:rsid w:val="00E72D2C"/>
    <w:rsid w:val="00E73945"/>
    <w:rsid w:val="00E76039"/>
    <w:rsid w:val="00E77055"/>
    <w:rsid w:val="00E7734B"/>
    <w:rsid w:val="00E77460"/>
    <w:rsid w:val="00E80F67"/>
    <w:rsid w:val="00E815B1"/>
    <w:rsid w:val="00E821B3"/>
    <w:rsid w:val="00E826E2"/>
    <w:rsid w:val="00E8292A"/>
    <w:rsid w:val="00E835F4"/>
    <w:rsid w:val="00E83ABC"/>
    <w:rsid w:val="00E841E3"/>
    <w:rsid w:val="00E84323"/>
    <w:rsid w:val="00E844F2"/>
    <w:rsid w:val="00E86FE5"/>
    <w:rsid w:val="00E87823"/>
    <w:rsid w:val="00E901B1"/>
    <w:rsid w:val="00E901CE"/>
    <w:rsid w:val="00E902DF"/>
    <w:rsid w:val="00E90AD0"/>
    <w:rsid w:val="00E9111D"/>
    <w:rsid w:val="00E9195C"/>
    <w:rsid w:val="00E920E3"/>
    <w:rsid w:val="00E923E9"/>
    <w:rsid w:val="00E92671"/>
    <w:rsid w:val="00E92FCB"/>
    <w:rsid w:val="00E93D2D"/>
    <w:rsid w:val="00E93EF8"/>
    <w:rsid w:val="00E94D65"/>
    <w:rsid w:val="00E953D9"/>
    <w:rsid w:val="00E95691"/>
    <w:rsid w:val="00E95847"/>
    <w:rsid w:val="00E95C52"/>
    <w:rsid w:val="00E96AE8"/>
    <w:rsid w:val="00EA02CC"/>
    <w:rsid w:val="00EA0446"/>
    <w:rsid w:val="00EA0772"/>
    <w:rsid w:val="00EA124C"/>
    <w:rsid w:val="00EA147F"/>
    <w:rsid w:val="00EA2199"/>
    <w:rsid w:val="00EA2DD1"/>
    <w:rsid w:val="00EA3E9B"/>
    <w:rsid w:val="00EA49CF"/>
    <w:rsid w:val="00EA4A27"/>
    <w:rsid w:val="00EA4E01"/>
    <w:rsid w:val="00EA4FA6"/>
    <w:rsid w:val="00EA54F8"/>
    <w:rsid w:val="00EA5A45"/>
    <w:rsid w:val="00EA5E3F"/>
    <w:rsid w:val="00EA6220"/>
    <w:rsid w:val="00EA719D"/>
    <w:rsid w:val="00EA7802"/>
    <w:rsid w:val="00EB0148"/>
    <w:rsid w:val="00EB0F86"/>
    <w:rsid w:val="00EB1893"/>
    <w:rsid w:val="00EB1A25"/>
    <w:rsid w:val="00EB373D"/>
    <w:rsid w:val="00EB436A"/>
    <w:rsid w:val="00EB473D"/>
    <w:rsid w:val="00EB4BC2"/>
    <w:rsid w:val="00EB5A5F"/>
    <w:rsid w:val="00EB6879"/>
    <w:rsid w:val="00EB6F19"/>
    <w:rsid w:val="00EB7902"/>
    <w:rsid w:val="00EC01C8"/>
    <w:rsid w:val="00EC134C"/>
    <w:rsid w:val="00EC218C"/>
    <w:rsid w:val="00EC242E"/>
    <w:rsid w:val="00EC26D1"/>
    <w:rsid w:val="00EC3751"/>
    <w:rsid w:val="00EC6839"/>
    <w:rsid w:val="00EC7363"/>
    <w:rsid w:val="00ED03AB"/>
    <w:rsid w:val="00ED0B04"/>
    <w:rsid w:val="00ED188D"/>
    <w:rsid w:val="00ED1963"/>
    <w:rsid w:val="00ED1CD4"/>
    <w:rsid w:val="00ED1D2B"/>
    <w:rsid w:val="00ED242D"/>
    <w:rsid w:val="00ED2DDC"/>
    <w:rsid w:val="00ED3638"/>
    <w:rsid w:val="00ED46BD"/>
    <w:rsid w:val="00ED4985"/>
    <w:rsid w:val="00ED5B4A"/>
    <w:rsid w:val="00ED64B5"/>
    <w:rsid w:val="00ED692A"/>
    <w:rsid w:val="00ED6D03"/>
    <w:rsid w:val="00ED7A6E"/>
    <w:rsid w:val="00EE053F"/>
    <w:rsid w:val="00EE0D38"/>
    <w:rsid w:val="00EE1DD8"/>
    <w:rsid w:val="00EE22A9"/>
    <w:rsid w:val="00EE4957"/>
    <w:rsid w:val="00EE582E"/>
    <w:rsid w:val="00EE6D76"/>
    <w:rsid w:val="00EE7CCA"/>
    <w:rsid w:val="00EF02F1"/>
    <w:rsid w:val="00EF035F"/>
    <w:rsid w:val="00EF0566"/>
    <w:rsid w:val="00EF141A"/>
    <w:rsid w:val="00EF244C"/>
    <w:rsid w:val="00EF3DC8"/>
    <w:rsid w:val="00EF4347"/>
    <w:rsid w:val="00EF4DCB"/>
    <w:rsid w:val="00EF5542"/>
    <w:rsid w:val="00EF6CB7"/>
    <w:rsid w:val="00EF7B9E"/>
    <w:rsid w:val="00EF7CEE"/>
    <w:rsid w:val="00F0035D"/>
    <w:rsid w:val="00F02634"/>
    <w:rsid w:val="00F04778"/>
    <w:rsid w:val="00F04793"/>
    <w:rsid w:val="00F07163"/>
    <w:rsid w:val="00F113E9"/>
    <w:rsid w:val="00F116D7"/>
    <w:rsid w:val="00F12035"/>
    <w:rsid w:val="00F12AF4"/>
    <w:rsid w:val="00F12F33"/>
    <w:rsid w:val="00F13BF0"/>
    <w:rsid w:val="00F13C12"/>
    <w:rsid w:val="00F13DBB"/>
    <w:rsid w:val="00F144F0"/>
    <w:rsid w:val="00F1511B"/>
    <w:rsid w:val="00F151F7"/>
    <w:rsid w:val="00F1556F"/>
    <w:rsid w:val="00F15CFA"/>
    <w:rsid w:val="00F1624F"/>
    <w:rsid w:val="00F1655B"/>
    <w:rsid w:val="00F16A14"/>
    <w:rsid w:val="00F178B1"/>
    <w:rsid w:val="00F17C1D"/>
    <w:rsid w:val="00F21791"/>
    <w:rsid w:val="00F229A1"/>
    <w:rsid w:val="00F22F5C"/>
    <w:rsid w:val="00F244C9"/>
    <w:rsid w:val="00F246DF"/>
    <w:rsid w:val="00F2470C"/>
    <w:rsid w:val="00F24FDB"/>
    <w:rsid w:val="00F25988"/>
    <w:rsid w:val="00F30B40"/>
    <w:rsid w:val="00F32291"/>
    <w:rsid w:val="00F32524"/>
    <w:rsid w:val="00F33506"/>
    <w:rsid w:val="00F362D7"/>
    <w:rsid w:val="00F3650F"/>
    <w:rsid w:val="00F368DC"/>
    <w:rsid w:val="00F37685"/>
    <w:rsid w:val="00F37D7B"/>
    <w:rsid w:val="00F406DF"/>
    <w:rsid w:val="00F414CD"/>
    <w:rsid w:val="00F41DAF"/>
    <w:rsid w:val="00F42FC5"/>
    <w:rsid w:val="00F4328F"/>
    <w:rsid w:val="00F437B0"/>
    <w:rsid w:val="00F47380"/>
    <w:rsid w:val="00F475B8"/>
    <w:rsid w:val="00F50DEC"/>
    <w:rsid w:val="00F522E8"/>
    <w:rsid w:val="00F523ED"/>
    <w:rsid w:val="00F524E8"/>
    <w:rsid w:val="00F52B41"/>
    <w:rsid w:val="00F5314C"/>
    <w:rsid w:val="00F532D1"/>
    <w:rsid w:val="00F5498D"/>
    <w:rsid w:val="00F54F3C"/>
    <w:rsid w:val="00F553F2"/>
    <w:rsid w:val="00F5547E"/>
    <w:rsid w:val="00F566DF"/>
    <w:rsid w:val="00F5688C"/>
    <w:rsid w:val="00F5715E"/>
    <w:rsid w:val="00F60048"/>
    <w:rsid w:val="00F60D65"/>
    <w:rsid w:val="00F6303C"/>
    <w:rsid w:val="00F635DD"/>
    <w:rsid w:val="00F6504A"/>
    <w:rsid w:val="00F65513"/>
    <w:rsid w:val="00F657FE"/>
    <w:rsid w:val="00F6627B"/>
    <w:rsid w:val="00F6640B"/>
    <w:rsid w:val="00F667A3"/>
    <w:rsid w:val="00F674C6"/>
    <w:rsid w:val="00F67E02"/>
    <w:rsid w:val="00F7336E"/>
    <w:rsid w:val="00F734F2"/>
    <w:rsid w:val="00F7382E"/>
    <w:rsid w:val="00F75052"/>
    <w:rsid w:val="00F7528B"/>
    <w:rsid w:val="00F7728E"/>
    <w:rsid w:val="00F804D3"/>
    <w:rsid w:val="00F816CB"/>
    <w:rsid w:val="00F81CD2"/>
    <w:rsid w:val="00F82641"/>
    <w:rsid w:val="00F8303E"/>
    <w:rsid w:val="00F839AA"/>
    <w:rsid w:val="00F84922"/>
    <w:rsid w:val="00F85B39"/>
    <w:rsid w:val="00F86CF2"/>
    <w:rsid w:val="00F8721B"/>
    <w:rsid w:val="00F90AB8"/>
    <w:rsid w:val="00F90CDE"/>
    <w:rsid w:val="00F90F18"/>
    <w:rsid w:val="00F9137D"/>
    <w:rsid w:val="00F923CC"/>
    <w:rsid w:val="00F92E6C"/>
    <w:rsid w:val="00F937E4"/>
    <w:rsid w:val="00F94840"/>
    <w:rsid w:val="00F9532D"/>
    <w:rsid w:val="00F95B05"/>
    <w:rsid w:val="00F95EE7"/>
    <w:rsid w:val="00F9609A"/>
    <w:rsid w:val="00F96570"/>
    <w:rsid w:val="00F96DCD"/>
    <w:rsid w:val="00FA04B0"/>
    <w:rsid w:val="00FA1385"/>
    <w:rsid w:val="00FA219A"/>
    <w:rsid w:val="00FA39E6"/>
    <w:rsid w:val="00FA3BCE"/>
    <w:rsid w:val="00FA40FC"/>
    <w:rsid w:val="00FA41DC"/>
    <w:rsid w:val="00FA4785"/>
    <w:rsid w:val="00FA5079"/>
    <w:rsid w:val="00FA6578"/>
    <w:rsid w:val="00FA69AA"/>
    <w:rsid w:val="00FA7BC9"/>
    <w:rsid w:val="00FB0D96"/>
    <w:rsid w:val="00FB2E47"/>
    <w:rsid w:val="00FB2FF2"/>
    <w:rsid w:val="00FB3113"/>
    <w:rsid w:val="00FB33DB"/>
    <w:rsid w:val="00FB378E"/>
    <w:rsid w:val="00FB37F1"/>
    <w:rsid w:val="00FB392D"/>
    <w:rsid w:val="00FB454F"/>
    <w:rsid w:val="00FB47C0"/>
    <w:rsid w:val="00FB4B8E"/>
    <w:rsid w:val="00FB501B"/>
    <w:rsid w:val="00FB51D7"/>
    <w:rsid w:val="00FB66A8"/>
    <w:rsid w:val="00FB6E67"/>
    <w:rsid w:val="00FB7770"/>
    <w:rsid w:val="00FB7E33"/>
    <w:rsid w:val="00FC008E"/>
    <w:rsid w:val="00FC20D1"/>
    <w:rsid w:val="00FC2273"/>
    <w:rsid w:val="00FC23B7"/>
    <w:rsid w:val="00FC4947"/>
    <w:rsid w:val="00FC5667"/>
    <w:rsid w:val="00FC57D0"/>
    <w:rsid w:val="00FC728F"/>
    <w:rsid w:val="00FC7E32"/>
    <w:rsid w:val="00FD0857"/>
    <w:rsid w:val="00FD09AC"/>
    <w:rsid w:val="00FD2719"/>
    <w:rsid w:val="00FD3032"/>
    <w:rsid w:val="00FD3286"/>
    <w:rsid w:val="00FD3418"/>
    <w:rsid w:val="00FD3719"/>
    <w:rsid w:val="00FD3B91"/>
    <w:rsid w:val="00FD576B"/>
    <w:rsid w:val="00FD579E"/>
    <w:rsid w:val="00FD5E54"/>
    <w:rsid w:val="00FD6845"/>
    <w:rsid w:val="00FD7383"/>
    <w:rsid w:val="00FD739C"/>
    <w:rsid w:val="00FD78E3"/>
    <w:rsid w:val="00FE1122"/>
    <w:rsid w:val="00FE1AE2"/>
    <w:rsid w:val="00FE224D"/>
    <w:rsid w:val="00FE33D9"/>
    <w:rsid w:val="00FE3472"/>
    <w:rsid w:val="00FE348C"/>
    <w:rsid w:val="00FE368E"/>
    <w:rsid w:val="00FE3696"/>
    <w:rsid w:val="00FE4312"/>
    <w:rsid w:val="00FE4516"/>
    <w:rsid w:val="00FE52A5"/>
    <w:rsid w:val="00FE60DE"/>
    <w:rsid w:val="00FE64C8"/>
    <w:rsid w:val="00FE6D3B"/>
    <w:rsid w:val="00FF021A"/>
    <w:rsid w:val="00FF12CA"/>
    <w:rsid w:val="00FF1AA4"/>
    <w:rsid w:val="00FF2086"/>
    <w:rsid w:val="00FF239E"/>
    <w:rsid w:val="00FF24C0"/>
    <w:rsid w:val="00FF2FF7"/>
    <w:rsid w:val="00FF4451"/>
    <w:rsid w:val="00FF471F"/>
    <w:rsid w:val="00FF4C8A"/>
    <w:rsid w:val="00FF633E"/>
    <w:rsid w:val="00FF6AF1"/>
    <w:rsid w:val="00FF7D16"/>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5:docId w15:val="{CD789999-EE54-4C08-997B-D51583F0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713DE"/>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
    <w:basedOn w:val="a7"/>
    <w:qFormat/>
    <w:rsid w:val="009C5A8D"/>
    <w:pPr>
      <w:numPr>
        <w:ilvl w:val="1"/>
        <w:numId w:val="7"/>
      </w:numPr>
      <w:ind w:left="1022" w:hanging="700"/>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07ECE"/>
    <w:pPr>
      <w:numPr>
        <w:ilvl w:val="3"/>
        <w:numId w:val="7"/>
      </w:numPr>
      <w:ind w:left="1701" w:hanging="525"/>
      <w:outlineLvl w:val="3"/>
    </w:pPr>
    <w:rPr>
      <w:rFonts w:hAnsi="Arial"/>
      <w:kern w:val="32"/>
      <w:szCs w:val="36"/>
    </w:rPr>
  </w:style>
  <w:style w:type="paragraph" w:styleId="5">
    <w:name w:val="heading 5"/>
    <w:basedOn w:val="a7"/>
    <w:link w:val="50"/>
    <w:qFormat/>
    <w:rsid w:val="006344C0"/>
    <w:pPr>
      <w:numPr>
        <w:ilvl w:val="4"/>
        <w:numId w:val="7"/>
      </w:numPr>
      <w:ind w:left="2044" w:hanging="854"/>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ind w:left="2722"/>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10"/>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407ECE"/>
    <w:rPr>
      <w:rFonts w:ascii="標楷體" w:eastAsia="標楷體" w:hAnsi="Arial"/>
      <w:kern w:val="32"/>
      <w:sz w:val="32"/>
      <w:szCs w:val="36"/>
    </w:rPr>
  </w:style>
  <w:style w:type="character" w:customStyle="1" w:styleId="50">
    <w:name w:val="標題 5 字元"/>
    <w:basedOn w:val="a8"/>
    <w:link w:val="5"/>
    <w:rsid w:val="006344C0"/>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character" w:styleId="aff1">
    <w:name w:val="Placeholder Text"/>
    <w:basedOn w:val="a8"/>
    <w:uiPriority w:val="99"/>
    <w:semiHidden/>
    <w:rsid w:val="00F5715E"/>
    <w:rPr>
      <w:color w:val="808080"/>
    </w:rPr>
  </w:style>
  <w:style w:type="paragraph" w:styleId="HTML">
    <w:name w:val="HTML Preformatted"/>
    <w:basedOn w:val="a7"/>
    <w:link w:val="HTML0"/>
    <w:uiPriority w:val="99"/>
    <w:unhideWhenUsed/>
    <w:rsid w:val="00A16E8C"/>
    <w:rPr>
      <w:rFonts w:ascii="Courier New" w:hAnsi="Courier New" w:cs="Courier New"/>
      <w:sz w:val="20"/>
    </w:rPr>
  </w:style>
  <w:style w:type="character" w:customStyle="1" w:styleId="HTML0">
    <w:name w:val="HTML 預設格式 字元"/>
    <w:basedOn w:val="a8"/>
    <w:link w:val="HTML"/>
    <w:uiPriority w:val="99"/>
    <w:rsid w:val="00A16E8C"/>
    <w:rPr>
      <w:rFonts w:ascii="Courier New" w:eastAsia="標楷體" w:hAnsi="Courier New" w:cs="Courier New"/>
      <w:kern w:val="2"/>
    </w:rPr>
  </w:style>
  <w:style w:type="character" w:styleId="aff2">
    <w:name w:val="Strong"/>
    <w:basedOn w:val="a8"/>
    <w:uiPriority w:val="22"/>
    <w:qFormat/>
    <w:rsid w:val="006F4A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53450">
      <w:bodyDiv w:val="1"/>
      <w:marLeft w:val="0"/>
      <w:marRight w:val="0"/>
      <w:marTop w:val="0"/>
      <w:marBottom w:val="0"/>
      <w:divBdr>
        <w:top w:val="none" w:sz="0" w:space="0" w:color="auto"/>
        <w:left w:val="none" w:sz="0" w:space="0" w:color="auto"/>
        <w:bottom w:val="none" w:sz="0" w:space="0" w:color="auto"/>
        <w:right w:val="none" w:sz="0" w:space="0" w:color="auto"/>
      </w:divBdr>
    </w:div>
    <w:div w:id="150677082">
      <w:bodyDiv w:val="1"/>
      <w:marLeft w:val="0"/>
      <w:marRight w:val="0"/>
      <w:marTop w:val="0"/>
      <w:marBottom w:val="0"/>
      <w:divBdr>
        <w:top w:val="none" w:sz="0" w:space="0" w:color="auto"/>
        <w:left w:val="none" w:sz="0" w:space="0" w:color="auto"/>
        <w:bottom w:val="none" w:sz="0" w:space="0" w:color="auto"/>
        <w:right w:val="none" w:sz="0" w:space="0" w:color="auto"/>
      </w:divBdr>
    </w:div>
    <w:div w:id="162360446">
      <w:bodyDiv w:val="1"/>
      <w:marLeft w:val="0"/>
      <w:marRight w:val="0"/>
      <w:marTop w:val="0"/>
      <w:marBottom w:val="0"/>
      <w:divBdr>
        <w:top w:val="none" w:sz="0" w:space="0" w:color="auto"/>
        <w:left w:val="none" w:sz="0" w:space="0" w:color="auto"/>
        <w:bottom w:val="none" w:sz="0" w:space="0" w:color="auto"/>
        <w:right w:val="none" w:sz="0" w:space="0" w:color="auto"/>
      </w:divBdr>
    </w:div>
    <w:div w:id="254092715">
      <w:bodyDiv w:val="1"/>
      <w:marLeft w:val="0"/>
      <w:marRight w:val="0"/>
      <w:marTop w:val="0"/>
      <w:marBottom w:val="0"/>
      <w:divBdr>
        <w:top w:val="none" w:sz="0" w:space="0" w:color="auto"/>
        <w:left w:val="none" w:sz="0" w:space="0" w:color="auto"/>
        <w:bottom w:val="none" w:sz="0" w:space="0" w:color="auto"/>
        <w:right w:val="none" w:sz="0" w:space="0" w:color="auto"/>
      </w:divBdr>
    </w:div>
    <w:div w:id="403336620">
      <w:bodyDiv w:val="1"/>
      <w:marLeft w:val="0"/>
      <w:marRight w:val="0"/>
      <w:marTop w:val="0"/>
      <w:marBottom w:val="0"/>
      <w:divBdr>
        <w:top w:val="none" w:sz="0" w:space="0" w:color="auto"/>
        <w:left w:val="none" w:sz="0" w:space="0" w:color="auto"/>
        <w:bottom w:val="none" w:sz="0" w:space="0" w:color="auto"/>
        <w:right w:val="none" w:sz="0" w:space="0" w:color="auto"/>
      </w:divBdr>
    </w:div>
    <w:div w:id="444085786">
      <w:bodyDiv w:val="1"/>
      <w:marLeft w:val="0"/>
      <w:marRight w:val="0"/>
      <w:marTop w:val="0"/>
      <w:marBottom w:val="0"/>
      <w:divBdr>
        <w:top w:val="none" w:sz="0" w:space="0" w:color="auto"/>
        <w:left w:val="none" w:sz="0" w:space="0" w:color="auto"/>
        <w:bottom w:val="none" w:sz="0" w:space="0" w:color="auto"/>
        <w:right w:val="none" w:sz="0" w:space="0" w:color="auto"/>
      </w:divBdr>
    </w:div>
    <w:div w:id="482234149">
      <w:bodyDiv w:val="1"/>
      <w:marLeft w:val="0"/>
      <w:marRight w:val="0"/>
      <w:marTop w:val="0"/>
      <w:marBottom w:val="0"/>
      <w:divBdr>
        <w:top w:val="none" w:sz="0" w:space="0" w:color="auto"/>
        <w:left w:val="none" w:sz="0" w:space="0" w:color="auto"/>
        <w:bottom w:val="none" w:sz="0" w:space="0" w:color="auto"/>
        <w:right w:val="none" w:sz="0" w:space="0" w:color="auto"/>
      </w:divBdr>
    </w:div>
    <w:div w:id="489058383">
      <w:bodyDiv w:val="1"/>
      <w:marLeft w:val="0"/>
      <w:marRight w:val="0"/>
      <w:marTop w:val="0"/>
      <w:marBottom w:val="0"/>
      <w:divBdr>
        <w:top w:val="none" w:sz="0" w:space="0" w:color="auto"/>
        <w:left w:val="none" w:sz="0" w:space="0" w:color="auto"/>
        <w:bottom w:val="none" w:sz="0" w:space="0" w:color="auto"/>
        <w:right w:val="none" w:sz="0" w:space="0" w:color="auto"/>
      </w:divBdr>
    </w:div>
    <w:div w:id="62026480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0313451">
      <w:bodyDiv w:val="1"/>
      <w:marLeft w:val="0"/>
      <w:marRight w:val="0"/>
      <w:marTop w:val="0"/>
      <w:marBottom w:val="0"/>
      <w:divBdr>
        <w:top w:val="none" w:sz="0" w:space="0" w:color="auto"/>
        <w:left w:val="none" w:sz="0" w:space="0" w:color="auto"/>
        <w:bottom w:val="none" w:sz="0" w:space="0" w:color="auto"/>
        <w:right w:val="none" w:sz="0" w:space="0" w:color="auto"/>
      </w:divBdr>
    </w:div>
    <w:div w:id="897860454">
      <w:bodyDiv w:val="1"/>
      <w:marLeft w:val="0"/>
      <w:marRight w:val="0"/>
      <w:marTop w:val="0"/>
      <w:marBottom w:val="0"/>
      <w:divBdr>
        <w:top w:val="none" w:sz="0" w:space="0" w:color="auto"/>
        <w:left w:val="none" w:sz="0" w:space="0" w:color="auto"/>
        <w:bottom w:val="none" w:sz="0" w:space="0" w:color="auto"/>
        <w:right w:val="none" w:sz="0" w:space="0" w:color="auto"/>
      </w:divBdr>
    </w:div>
    <w:div w:id="913317212">
      <w:bodyDiv w:val="1"/>
      <w:marLeft w:val="0"/>
      <w:marRight w:val="0"/>
      <w:marTop w:val="0"/>
      <w:marBottom w:val="0"/>
      <w:divBdr>
        <w:top w:val="none" w:sz="0" w:space="0" w:color="auto"/>
        <w:left w:val="none" w:sz="0" w:space="0" w:color="auto"/>
        <w:bottom w:val="none" w:sz="0" w:space="0" w:color="auto"/>
        <w:right w:val="none" w:sz="0" w:space="0" w:color="auto"/>
      </w:divBdr>
    </w:div>
    <w:div w:id="1043674709">
      <w:bodyDiv w:val="1"/>
      <w:marLeft w:val="0"/>
      <w:marRight w:val="0"/>
      <w:marTop w:val="0"/>
      <w:marBottom w:val="0"/>
      <w:divBdr>
        <w:top w:val="none" w:sz="0" w:space="0" w:color="auto"/>
        <w:left w:val="none" w:sz="0" w:space="0" w:color="auto"/>
        <w:bottom w:val="none" w:sz="0" w:space="0" w:color="auto"/>
        <w:right w:val="none" w:sz="0" w:space="0" w:color="auto"/>
      </w:divBdr>
    </w:div>
    <w:div w:id="1049956410">
      <w:bodyDiv w:val="1"/>
      <w:marLeft w:val="0"/>
      <w:marRight w:val="0"/>
      <w:marTop w:val="0"/>
      <w:marBottom w:val="0"/>
      <w:divBdr>
        <w:top w:val="none" w:sz="0" w:space="0" w:color="auto"/>
        <w:left w:val="none" w:sz="0" w:space="0" w:color="auto"/>
        <w:bottom w:val="none" w:sz="0" w:space="0" w:color="auto"/>
        <w:right w:val="none" w:sz="0" w:space="0" w:color="auto"/>
      </w:divBdr>
    </w:div>
    <w:div w:id="1175650982">
      <w:bodyDiv w:val="1"/>
      <w:marLeft w:val="0"/>
      <w:marRight w:val="0"/>
      <w:marTop w:val="0"/>
      <w:marBottom w:val="0"/>
      <w:divBdr>
        <w:top w:val="none" w:sz="0" w:space="0" w:color="auto"/>
        <w:left w:val="none" w:sz="0" w:space="0" w:color="auto"/>
        <w:bottom w:val="none" w:sz="0" w:space="0" w:color="auto"/>
        <w:right w:val="none" w:sz="0" w:space="0" w:color="auto"/>
      </w:divBdr>
    </w:div>
    <w:div w:id="1176307008">
      <w:bodyDiv w:val="1"/>
      <w:marLeft w:val="0"/>
      <w:marRight w:val="0"/>
      <w:marTop w:val="0"/>
      <w:marBottom w:val="0"/>
      <w:divBdr>
        <w:top w:val="none" w:sz="0" w:space="0" w:color="auto"/>
        <w:left w:val="none" w:sz="0" w:space="0" w:color="auto"/>
        <w:bottom w:val="none" w:sz="0" w:space="0" w:color="auto"/>
        <w:right w:val="none" w:sz="0" w:space="0" w:color="auto"/>
      </w:divBdr>
    </w:div>
    <w:div w:id="1249848304">
      <w:bodyDiv w:val="1"/>
      <w:marLeft w:val="0"/>
      <w:marRight w:val="0"/>
      <w:marTop w:val="0"/>
      <w:marBottom w:val="0"/>
      <w:divBdr>
        <w:top w:val="none" w:sz="0" w:space="0" w:color="auto"/>
        <w:left w:val="none" w:sz="0" w:space="0" w:color="auto"/>
        <w:bottom w:val="none" w:sz="0" w:space="0" w:color="auto"/>
        <w:right w:val="none" w:sz="0" w:space="0" w:color="auto"/>
      </w:divBdr>
    </w:div>
    <w:div w:id="1284070269">
      <w:bodyDiv w:val="1"/>
      <w:marLeft w:val="0"/>
      <w:marRight w:val="0"/>
      <w:marTop w:val="0"/>
      <w:marBottom w:val="0"/>
      <w:divBdr>
        <w:top w:val="none" w:sz="0" w:space="0" w:color="auto"/>
        <w:left w:val="none" w:sz="0" w:space="0" w:color="auto"/>
        <w:bottom w:val="none" w:sz="0" w:space="0" w:color="auto"/>
        <w:right w:val="none" w:sz="0" w:space="0" w:color="auto"/>
      </w:divBdr>
    </w:div>
    <w:div w:id="1319920498">
      <w:bodyDiv w:val="1"/>
      <w:marLeft w:val="0"/>
      <w:marRight w:val="0"/>
      <w:marTop w:val="0"/>
      <w:marBottom w:val="0"/>
      <w:divBdr>
        <w:top w:val="none" w:sz="0" w:space="0" w:color="auto"/>
        <w:left w:val="none" w:sz="0" w:space="0" w:color="auto"/>
        <w:bottom w:val="none" w:sz="0" w:space="0" w:color="auto"/>
        <w:right w:val="none" w:sz="0" w:space="0" w:color="auto"/>
      </w:divBdr>
      <w:divsChild>
        <w:div w:id="870648898">
          <w:marLeft w:val="0"/>
          <w:marRight w:val="0"/>
          <w:marTop w:val="0"/>
          <w:marBottom w:val="0"/>
          <w:divBdr>
            <w:top w:val="none" w:sz="0" w:space="0" w:color="auto"/>
            <w:left w:val="none" w:sz="0" w:space="0" w:color="auto"/>
            <w:bottom w:val="none" w:sz="0" w:space="0" w:color="auto"/>
            <w:right w:val="none" w:sz="0" w:space="0" w:color="auto"/>
          </w:divBdr>
        </w:div>
      </w:divsChild>
    </w:div>
    <w:div w:id="1390150121">
      <w:bodyDiv w:val="1"/>
      <w:marLeft w:val="0"/>
      <w:marRight w:val="0"/>
      <w:marTop w:val="0"/>
      <w:marBottom w:val="0"/>
      <w:divBdr>
        <w:top w:val="none" w:sz="0" w:space="0" w:color="auto"/>
        <w:left w:val="none" w:sz="0" w:space="0" w:color="auto"/>
        <w:bottom w:val="none" w:sz="0" w:space="0" w:color="auto"/>
        <w:right w:val="none" w:sz="0" w:space="0" w:color="auto"/>
      </w:divBdr>
    </w:div>
    <w:div w:id="1442191431">
      <w:bodyDiv w:val="1"/>
      <w:marLeft w:val="0"/>
      <w:marRight w:val="0"/>
      <w:marTop w:val="0"/>
      <w:marBottom w:val="0"/>
      <w:divBdr>
        <w:top w:val="none" w:sz="0" w:space="0" w:color="auto"/>
        <w:left w:val="none" w:sz="0" w:space="0" w:color="auto"/>
        <w:bottom w:val="none" w:sz="0" w:space="0" w:color="auto"/>
        <w:right w:val="none" w:sz="0" w:space="0" w:color="auto"/>
      </w:divBdr>
    </w:div>
    <w:div w:id="1469782473">
      <w:bodyDiv w:val="1"/>
      <w:marLeft w:val="0"/>
      <w:marRight w:val="0"/>
      <w:marTop w:val="0"/>
      <w:marBottom w:val="0"/>
      <w:divBdr>
        <w:top w:val="none" w:sz="0" w:space="0" w:color="auto"/>
        <w:left w:val="none" w:sz="0" w:space="0" w:color="auto"/>
        <w:bottom w:val="none" w:sz="0" w:space="0" w:color="auto"/>
        <w:right w:val="none" w:sz="0" w:space="0" w:color="auto"/>
      </w:divBdr>
    </w:div>
    <w:div w:id="1592667066">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8893989">
      <w:bodyDiv w:val="1"/>
      <w:marLeft w:val="0"/>
      <w:marRight w:val="0"/>
      <w:marTop w:val="0"/>
      <w:marBottom w:val="0"/>
      <w:divBdr>
        <w:top w:val="none" w:sz="0" w:space="0" w:color="auto"/>
        <w:left w:val="none" w:sz="0" w:space="0" w:color="auto"/>
        <w:bottom w:val="none" w:sz="0" w:space="0" w:color="auto"/>
        <w:right w:val="none" w:sz="0" w:space="0" w:color="auto"/>
      </w:divBdr>
    </w:div>
    <w:div w:id="1748456910">
      <w:bodyDiv w:val="1"/>
      <w:marLeft w:val="0"/>
      <w:marRight w:val="0"/>
      <w:marTop w:val="0"/>
      <w:marBottom w:val="0"/>
      <w:divBdr>
        <w:top w:val="none" w:sz="0" w:space="0" w:color="auto"/>
        <w:left w:val="none" w:sz="0" w:space="0" w:color="auto"/>
        <w:bottom w:val="none" w:sz="0" w:space="0" w:color="auto"/>
        <w:right w:val="none" w:sz="0" w:space="0" w:color="auto"/>
      </w:divBdr>
    </w:div>
    <w:div w:id="1939751282">
      <w:bodyDiv w:val="1"/>
      <w:marLeft w:val="0"/>
      <w:marRight w:val="0"/>
      <w:marTop w:val="0"/>
      <w:marBottom w:val="0"/>
      <w:divBdr>
        <w:top w:val="none" w:sz="0" w:space="0" w:color="auto"/>
        <w:left w:val="none" w:sz="0" w:space="0" w:color="auto"/>
        <w:bottom w:val="none" w:sz="0" w:space="0" w:color="auto"/>
        <w:right w:val="none" w:sz="0" w:space="0" w:color="auto"/>
      </w:divBdr>
    </w:div>
    <w:div w:id="2033922292">
      <w:bodyDiv w:val="1"/>
      <w:marLeft w:val="0"/>
      <w:marRight w:val="0"/>
      <w:marTop w:val="0"/>
      <w:marBottom w:val="0"/>
      <w:divBdr>
        <w:top w:val="none" w:sz="0" w:space="0" w:color="auto"/>
        <w:left w:val="none" w:sz="0" w:space="0" w:color="auto"/>
        <w:bottom w:val="none" w:sz="0" w:space="0" w:color="auto"/>
        <w:right w:val="none" w:sz="0" w:space="0" w:color="auto"/>
      </w:divBdr>
    </w:div>
    <w:div w:id="204348200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0A586-8103-4D28-998A-B34026926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59</Pages>
  <Words>4656</Words>
  <Characters>26543</Characters>
  <Application>Microsoft Office Word</Application>
  <DocSecurity>0</DocSecurity>
  <Lines>221</Lines>
  <Paragraphs>62</Paragraphs>
  <ScaleCrop>false</ScaleCrop>
  <Company>cy</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劉建成</cp:lastModifiedBy>
  <cp:revision>3</cp:revision>
  <cp:lastPrinted>2020-04-29T03:24:00Z</cp:lastPrinted>
  <dcterms:created xsi:type="dcterms:W3CDTF">2020-05-14T09:22:00Z</dcterms:created>
  <dcterms:modified xsi:type="dcterms:W3CDTF">2020-05-14T09:36:00Z</dcterms:modified>
</cp:coreProperties>
</file>