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2A" w:rsidRPr="00A34D65" w:rsidRDefault="00D75644" w:rsidP="00E0651E">
      <w:pPr>
        <w:pStyle w:val="af2"/>
        <w:rPr>
          <w:rFonts w:hAnsi="標楷體"/>
        </w:rPr>
      </w:pPr>
      <w:r w:rsidRPr="00A34D65">
        <w:rPr>
          <w:rFonts w:hAnsi="標楷體" w:hint="eastAsia"/>
        </w:rPr>
        <w:t>調查報告</w:t>
      </w:r>
    </w:p>
    <w:p w:rsidR="00B77714" w:rsidRDefault="00E25849" w:rsidP="000E108A">
      <w:pPr>
        <w:pStyle w:val="1"/>
        <w:ind w:left="2211" w:hanging="221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7771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153C" w:rsidRPr="00B77714">
        <w:rPr>
          <w:rFonts w:hAnsi="標楷體"/>
        </w:rPr>
        <w:t>據訴(一)臺灣桃園地方法院審理100年度醫字第</w:t>
      </w:r>
      <w:r w:rsidR="00A34D65" w:rsidRPr="00B77714">
        <w:rPr>
          <w:rFonts w:hAnsi="標楷體" w:hint="eastAsia"/>
        </w:rPr>
        <w:t>○</w:t>
      </w:r>
      <w:r w:rsidR="0037153C" w:rsidRPr="00B77714">
        <w:rPr>
          <w:rFonts w:hAnsi="標楷體"/>
        </w:rPr>
        <w:t>號，渠等與</w:t>
      </w:r>
      <w:r w:rsidR="00A34D65" w:rsidRPr="00B77714">
        <w:rPr>
          <w:rFonts w:hAnsi="標楷體"/>
        </w:rPr>
        <w:t>○○</w:t>
      </w:r>
      <w:r w:rsidR="0037153C" w:rsidRPr="00B77714">
        <w:rPr>
          <w:rFonts w:hAnsi="標楷體"/>
        </w:rPr>
        <w:t>醫療財團法人</w:t>
      </w:r>
      <w:r w:rsidR="00A34D65" w:rsidRPr="00B77714">
        <w:rPr>
          <w:rFonts w:hAnsi="標楷體"/>
        </w:rPr>
        <w:t>○○</w:t>
      </w:r>
      <w:r w:rsidR="0037153C" w:rsidRPr="00B77714">
        <w:rPr>
          <w:rFonts w:hAnsi="標楷體"/>
        </w:rPr>
        <w:t>紀念醫院間請求損害賠償事件，就有利渠之證詞、衛生福利部醫事審議委員會鑑定報告涉有瑕疵等事證，未予斟酌，率為不利判決，經提起上訴，詎臺灣高等法院逕以102年度</w:t>
      </w:r>
      <w:r w:rsidR="00A34D65" w:rsidRPr="00B77714">
        <w:rPr>
          <w:rFonts w:hAnsi="標楷體"/>
        </w:rPr>
        <w:t>醫上字第○號</w:t>
      </w:r>
      <w:r w:rsidR="0037153C" w:rsidRPr="00B77714">
        <w:rPr>
          <w:rFonts w:hAnsi="標楷體"/>
        </w:rPr>
        <w:t>判決駁回；(二)臺灣桃園地方檢察署偵辦渠告訴</w:t>
      </w:r>
      <w:r w:rsidR="00A34D65" w:rsidRPr="00B77714">
        <w:rPr>
          <w:rFonts w:hAnsi="標楷體"/>
        </w:rPr>
        <w:t>李○○</w:t>
      </w:r>
      <w:r w:rsidR="0037153C" w:rsidRPr="00B77714">
        <w:rPr>
          <w:rFonts w:hAnsi="標楷體"/>
        </w:rPr>
        <w:t>、</w:t>
      </w:r>
      <w:r w:rsidR="00A34D65" w:rsidRPr="00B77714">
        <w:rPr>
          <w:rFonts w:hAnsi="標楷體"/>
        </w:rPr>
        <w:t>蘇○○</w:t>
      </w:r>
      <w:r w:rsidR="0037153C" w:rsidRPr="00B77714">
        <w:rPr>
          <w:rFonts w:hAnsi="標楷體"/>
        </w:rPr>
        <w:t>刑事案件(105年度他字第</w:t>
      </w:r>
      <w:r w:rsidR="00A34D65" w:rsidRPr="00B77714">
        <w:rPr>
          <w:rFonts w:hAnsi="標楷體"/>
        </w:rPr>
        <w:t>○</w:t>
      </w:r>
      <w:r w:rsidR="0037153C" w:rsidRPr="00B77714">
        <w:rPr>
          <w:rFonts w:hAnsi="標楷體"/>
        </w:rPr>
        <w:t>號等)，就鑑定報告及渠主張事證，未詳加比對，且未提供渠到庭詢問被告之機會，逕採信被告陳述，率為不起訴處分，涉有違失等情案</w:t>
      </w:r>
      <w:r w:rsidR="0037153C" w:rsidRPr="00B77714">
        <w:rPr>
          <w:rFonts w:hAnsi="標楷體" w:hint="eastAsia"/>
        </w:rPr>
        <w:t>。</w:t>
      </w:r>
      <w:r w:rsidR="0037153C" w:rsidRPr="00B77714">
        <w:rPr>
          <w:rFonts w:hAnsi="標楷體"/>
        </w:rPr>
        <w:t xml:space="preserve"> </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B77714" w:rsidRDefault="00A60E7A" w:rsidP="000E108A">
      <w:pPr>
        <w:pStyle w:val="1"/>
        <w:ind w:left="2211" w:hanging="2211"/>
        <w:rPr>
          <w:rFonts w:hAnsi="標楷體"/>
        </w:rPr>
      </w:pPr>
      <w:r w:rsidRPr="00B77714">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34D65" w:rsidRDefault="009B587F" w:rsidP="00A639F4">
      <w:pPr>
        <w:pStyle w:val="10"/>
        <w:ind w:left="680" w:firstLine="680"/>
        <w:rPr>
          <w:rFonts w:hAnsi="標楷體"/>
        </w:rPr>
      </w:pPr>
      <w:bookmarkStart w:id="49" w:name="_Toc524902730"/>
      <w:r w:rsidRPr="00A34D65">
        <w:rPr>
          <w:rFonts w:hAnsi="標楷體" w:hint="eastAsia"/>
        </w:rPr>
        <w:t>據訴，</w:t>
      </w:r>
      <w:r w:rsidRPr="00A34D65">
        <w:rPr>
          <w:rFonts w:hAnsi="標楷體"/>
        </w:rPr>
        <w:t>臺灣桃園地方法院</w:t>
      </w:r>
      <w:r w:rsidRPr="00A34D65">
        <w:rPr>
          <w:rFonts w:hAnsi="標楷體" w:hint="eastAsia"/>
        </w:rPr>
        <w:t>（下稱桃園地方法院）</w:t>
      </w:r>
      <w:r w:rsidRPr="00A34D65">
        <w:rPr>
          <w:rFonts w:hAnsi="標楷體"/>
        </w:rPr>
        <w:t>審理100年度</w:t>
      </w:r>
      <w:r w:rsidR="00A34D65" w:rsidRPr="00A34D65">
        <w:rPr>
          <w:rFonts w:hAnsi="標楷體"/>
        </w:rPr>
        <w:t>醫字第○號</w:t>
      </w:r>
      <w:r w:rsidRPr="00A34D65">
        <w:rPr>
          <w:rFonts w:hAnsi="標楷體"/>
        </w:rPr>
        <w:t>，渠等與</w:t>
      </w:r>
      <w:r w:rsidR="00A34D65">
        <w:rPr>
          <w:rFonts w:hAnsi="標楷體"/>
        </w:rPr>
        <w:t>○○</w:t>
      </w:r>
      <w:r w:rsidRPr="00A34D65">
        <w:rPr>
          <w:rFonts w:hAnsi="標楷體"/>
        </w:rPr>
        <w:t>醫療財團法人</w:t>
      </w:r>
      <w:r w:rsidR="00A34D65">
        <w:rPr>
          <w:rFonts w:hAnsi="標楷體"/>
        </w:rPr>
        <w:t>○○</w:t>
      </w:r>
      <w:r w:rsidRPr="00A34D65">
        <w:rPr>
          <w:rFonts w:hAnsi="標楷體"/>
        </w:rPr>
        <w:t>紀念醫院</w:t>
      </w:r>
      <w:r w:rsidRPr="00A34D65">
        <w:rPr>
          <w:rFonts w:hAnsi="標楷體" w:hint="eastAsia"/>
        </w:rPr>
        <w:t>（下稱</w:t>
      </w:r>
      <w:r w:rsidR="00A34D65">
        <w:rPr>
          <w:rFonts w:hAnsi="標楷體" w:hint="eastAsia"/>
        </w:rPr>
        <w:t>○○</w:t>
      </w:r>
      <w:r w:rsidRPr="00A34D65">
        <w:rPr>
          <w:rFonts w:hAnsi="標楷體" w:hint="eastAsia"/>
        </w:rPr>
        <w:t>醫院）</w:t>
      </w:r>
      <w:r w:rsidRPr="00A34D65">
        <w:rPr>
          <w:rFonts w:hAnsi="標楷體"/>
        </w:rPr>
        <w:t>間請求損害賠償事件，就有利渠之證詞、衛生福利部醫事審議委員會</w:t>
      </w:r>
      <w:r w:rsidRPr="00A34D65">
        <w:rPr>
          <w:rFonts w:hAnsi="標楷體" w:hint="eastAsia"/>
        </w:rPr>
        <w:t>(下稱醫審會)</w:t>
      </w:r>
      <w:r w:rsidRPr="00A34D65">
        <w:rPr>
          <w:rFonts w:hAnsi="標楷體"/>
        </w:rPr>
        <w:t>鑑定報告涉有瑕疵等事證，未予斟酌，率為不利判決，經提起上訴，詎臺灣高等法院(下稱高等法院)逕以102年度</w:t>
      </w:r>
      <w:r w:rsidR="00A34D65" w:rsidRPr="00A34D65">
        <w:rPr>
          <w:rFonts w:hAnsi="標楷體"/>
        </w:rPr>
        <w:t>醫上字第○號</w:t>
      </w:r>
      <w:r w:rsidRPr="00A34D65">
        <w:rPr>
          <w:rFonts w:hAnsi="標楷體"/>
        </w:rPr>
        <w:t>判決駁回；臺灣桃園地方檢察署</w:t>
      </w:r>
      <w:r w:rsidRPr="00A34D65">
        <w:rPr>
          <w:rFonts w:hAnsi="標楷體" w:hint="eastAsia"/>
        </w:rPr>
        <w:t>（下稱桃園地檢署）</w:t>
      </w:r>
      <w:r w:rsidR="00A34D65">
        <w:rPr>
          <w:rFonts w:hAnsi="標楷體"/>
        </w:rPr>
        <w:t>偵辦渠告訴李</w:t>
      </w:r>
      <w:r w:rsidR="00A34D65" w:rsidRPr="00A34D65">
        <w:rPr>
          <w:rFonts w:hAnsi="標楷體"/>
        </w:rPr>
        <w:t>○○</w:t>
      </w:r>
      <w:r w:rsidR="00A34D65">
        <w:rPr>
          <w:rFonts w:hAnsi="標楷體"/>
        </w:rPr>
        <w:t>、蘇</w:t>
      </w:r>
      <w:r w:rsidR="00A34D65" w:rsidRPr="00A34D65">
        <w:rPr>
          <w:rFonts w:hAnsi="標楷體"/>
        </w:rPr>
        <w:t>○○</w:t>
      </w:r>
      <w:r w:rsidRPr="00A34D65">
        <w:rPr>
          <w:rFonts w:hAnsi="標楷體"/>
        </w:rPr>
        <w:t>刑事案件(105年度他</w:t>
      </w:r>
      <w:r w:rsidR="00A34D65">
        <w:rPr>
          <w:rFonts w:hAnsi="標楷體"/>
        </w:rPr>
        <w:t>字第○號</w:t>
      </w:r>
      <w:r w:rsidRPr="00A34D65">
        <w:rPr>
          <w:rFonts w:hAnsi="標楷體"/>
        </w:rPr>
        <w:t>等)，就鑑定報告及渠主張事證，未詳加比對，且未提供渠到庭詢問被告之機會，逕採信被告陳述，率為不起訴處分，涉有違失等情案</w:t>
      </w:r>
      <w:r w:rsidRPr="00A34D65">
        <w:rPr>
          <w:rFonts w:hAnsi="標楷體" w:hint="eastAsia"/>
        </w:rPr>
        <w:t>，經調閱桃園地方法院、桃園地檢署、衛生福利部、法務部、司法院等機關卷證資料，並於民國(下同)109年1月20日訪談陳訴人、109年4月23日詢問衛生福利部，茲臚列調查意見如下</w:t>
      </w:r>
      <w:r w:rsidR="00FB501B" w:rsidRPr="00A34D65">
        <w:rPr>
          <w:rFonts w:hAnsi="標楷體" w:hint="eastAsia"/>
        </w:rPr>
        <w:t>：</w:t>
      </w:r>
    </w:p>
    <w:p w:rsidR="00073CB5" w:rsidRPr="00A34D65" w:rsidRDefault="00A00572" w:rsidP="00A00572">
      <w:pPr>
        <w:pStyle w:val="2"/>
        <w:rPr>
          <w:rFonts w:hAnsi="標楷體"/>
          <w:b/>
        </w:rPr>
      </w:pPr>
      <w:bookmarkStart w:id="50" w:name="_Toc421794873"/>
      <w:bookmarkStart w:id="51" w:name="_Toc422834158"/>
      <w:r w:rsidRPr="00A34D65">
        <w:rPr>
          <w:rFonts w:hAnsi="標楷體" w:hint="eastAsia"/>
          <w:b/>
        </w:rPr>
        <w:t>陳訴人指摘桃園地方法院、高等法院審理陳訴人請求</w:t>
      </w:r>
      <w:r w:rsidR="00A34D65">
        <w:rPr>
          <w:rFonts w:hAnsi="標楷體" w:hint="eastAsia"/>
          <w:b/>
        </w:rPr>
        <w:lastRenderedPageBreak/>
        <w:t>○○</w:t>
      </w:r>
      <w:r w:rsidRPr="00A34D65">
        <w:rPr>
          <w:rFonts w:hAnsi="標楷體" w:hint="eastAsia"/>
          <w:b/>
        </w:rPr>
        <w:t>醫院損害賠償事件，法官未審酌醫審會之鑑定報告、未為全案鑑定而涉有瑕疵，即率為不利於陳訴人之判決等節，因法官證據取捨與當事人希冀不同，致事實認定異於當事人主張，不得謂判決違背法令。又證據證明力如何或如何調查事實，事實審法院有斟酌權，法院對證據的取捨有自由判斷的權限，若已斟酌辯論意旨及調查證據結果，而未違背論理法則或經驗法則，自不得指為違法，依憲法第80條審判獨立原則，本院尊重承審法官就該案件之認定。又陳訴人不服桃園地方法院</w:t>
      </w:r>
      <w:r w:rsidRPr="00A34D65">
        <w:rPr>
          <w:rFonts w:hAnsi="標楷體"/>
          <w:b/>
        </w:rPr>
        <w:t>100年度</w:t>
      </w:r>
      <w:r w:rsidR="00A34D65" w:rsidRPr="00A34D65">
        <w:rPr>
          <w:rFonts w:hAnsi="標楷體"/>
          <w:b/>
        </w:rPr>
        <w:t>醫字第○號</w:t>
      </w:r>
      <w:r w:rsidRPr="00A34D65">
        <w:rPr>
          <w:rFonts w:hAnsi="標楷體" w:hint="eastAsia"/>
          <w:b/>
        </w:rPr>
        <w:t>判決，提起上訴，經高等法院以102年度</w:t>
      </w:r>
      <w:r w:rsidR="00A34D65" w:rsidRPr="00A34D65">
        <w:rPr>
          <w:rFonts w:hAnsi="標楷體" w:hint="eastAsia"/>
          <w:b/>
        </w:rPr>
        <w:t>醫上字第○號</w:t>
      </w:r>
      <w:r w:rsidRPr="00A34D65">
        <w:rPr>
          <w:rFonts w:hAnsi="標楷體" w:hint="eastAsia"/>
          <w:b/>
        </w:rPr>
        <w:t>判決駁回上訴，復經最高法院以105年度台上</w:t>
      </w:r>
      <w:r w:rsidR="00A34D65">
        <w:rPr>
          <w:rFonts w:hAnsi="標楷體" w:hint="eastAsia"/>
          <w:b/>
        </w:rPr>
        <w:t>字第○號</w:t>
      </w:r>
      <w:r w:rsidRPr="00A34D65">
        <w:rPr>
          <w:rFonts w:hAnsi="標楷體" w:hint="eastAsia"/>
          <w:b/>
        </w:rPr>
        <w:t>裁定駁回上訴，亦認桃園地方法院承審法官審理該案並無違失之處。本院已調閱相關卷證，對於陳訴人之質疑，承審法官業已敘明於判決理由中而依法審判，查無積極證據認有違背法令之虞。另陳訴人請求</w:t>
      </w:r>
      <w:r w:rsidR="00A34D65">
        <w:rPr>
          <w:rFonts w:hAnsi="標楷體" w:hint="eastAsia"/>
          <w:b/>
        </w:rPr>
        <w:t>李○○</w:t>
      </w:r>
      <w:r w:rsidRPr="00A34D65">
        <w:rPr>
          <w:rFonts w:hAnsi="標楷體" w:hint="eastAsia"/>
          <w:b/>
        </w:rPr>
        <w:t>、</w:t>
      </w:r>
      <w:r w:rsidR="00A34D65">
        <w:rPr>
          <w:rFonts w:hAnsi="標楷體" w:hint="eastAsia"/>
          <w:b/>
        </w:rPr>
        <w:t>蘇○○</w:t>
      </w:r>
      <w:r w:rsidRPr="00A34D65">
        <w:rPr>
          <w:rFonts w:hAnsi="標楷體" w:hint="eastAsia"/>
          <w:b/>
        </w:rPr>
        <w:t>醫師損害賠償事件，歷經桃園地方法院、高等法院審理，均以陳訴人起訴已逾民法第197條第1項所定2年消滅時效駁回在案，本院當予尊重。惟本院仍期許法官基於經驗法則、論理法則及同理心，對於如何斟酌其證據力之強弱及取捨之意見，詳加說明，避免產生民怨</w:t>
      </w:r>
      <w:bookmarkEnd w:id="50"/>
      <w:bookmarkEnd w:id="51"/>
      <w:r w:rsidRPr="00A34D65">
        <w:rPr>
          <w:rFonts w:hAnsi="標楷體" w:hint="eastAsia"/>
          <w:b/>
        </w:rPr>
        <w:t>。</w:t>
      </w:r>
    </w:p>
    <w:p w:rsidR="00A00572" w:rsidRPr="00A34D65" w:rsidRDefault="00A00572" w:rsidP="00A00572">
      <w:pPr>
        <w:pStyle w:val="3"/>
        <w:numPr>
          <w:ilvl w:val="2"/>
          <w:numId w:val="1"/>
        </w:numPr>
        <w:rPr>
          <w:rFonts w:hAnsi="標楷體"/>
        </w:rPr>
      </w:pPr>
      <w:r w:rsidRPr="00A34D65">
        <w:rPr>
          <w:rFonts w:hAnsi="標楷體" w:hint="eastAsia"/>
        </w:rPr>
        <w:t>陳訴人母親因左足背傷口久未癒合，於</w:t>
      </w:r>
      <w:r w:rsidR="00A34D65">
        <w:rPr>
          <w:rFonts w:hAnsi="標楷體" w:hint="eastAsia"/>
        </w:rPr>
        <w:t>○○</w:t>
      </w:r>
      <w:r w:rsidRPr="00A34D65">
        <w:rPr>
          <w:rFonts w:hAnsi="標楷體" w:hint="eastAsia"/>
        </w:rPr>
        <w:t>醫院接受左下肢股淺動脈支架植入手術，</w:t>
      </w:r>
      <w:r w:rsidRPr="00A34D65">
        <w:rPr>
          <w:rFonts w:hAnsi="標楷體"/>
        </w:rPr>
        <w:t>99</w:t>
      </w:r>
      <w:r w:rsidRPr="00A34D65">
        <w:rPr>
          <w:rFonts w:hAnsi="標楷體" w:hint="eastAsia"/>
        </w:rPr>
        <w:t>年3月9日入院，99年3月10日手術，99年3月13日死亡。100年間陳訴人主張</w:t>
      </w:r>
      <w:r w:rsidR="00A34D65">
        <w:rPr>
          <w:rFonts w:hAnsi="標楷體" w:hint="eastAsia"/>
        </w:rPr>
        <w:t>○○</w:t>
      </w:r>
      <w:r w:rsidRPr="00A34D65">
        <w:rPr>
          <w:rFonts w:hAnsi="標楷體" w:hint="eastAsia"/>
        </w:rPr>
        <w:t>醫院所屬醫師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有醫療疏失，訴請</w:t>
      </w:r>
      <w:r w:rsidR="00A34D65">
        <w:rPr>
          <w:rFonts w:hAnsi="標楷體" w:hint="eastAsia"/>
        </w:rPr>
        <w:t>○○</w:t>
      </w:r>
      <w:r w:rsidRPr="00A34D65">
        <w:rPr>
          <w:rFonts w:hAnsi="標楷體" w:hint="eastAsia"/>
        </w:rPr>
        <w:t>醫院應負損害賠償之責。桃園地方法院100年度</w:t>
      </w:r>
      <w:r w:rsidR="00A34D65" w:rsidRPr="00A34D65">
        <w:rPr>
          <w:rFonts w:hAnsi="標楷體" w:hint="eastAsia"/>
        </w:rPr>
        <w:t>醫字第○號</w:t>
      </w:r>
      <w:r w:rsidRPr="00A34D65">
        <w:rPr>
          <w:rFonts w:hAnsi="標楷體" w:hint="eastAsia"/>
        </w:rPr>
        <w:t>判決，認定其主張並不可採，而裁判其敗訴，經高等法院102年度</w:t>
      </w:r>
      <w:r w:rsidR="00A34D65" w:rsidRPr="00A34D65">
        <w:rPr>
          <w:rFonts w:hAnsi="標楷體" w:hint="eastAsia"/>
        </w:rPr>
        <w:t>醫上字第○號</w:t>
      </w:r>
      <w:r w:rsidRPr="00A34D65">
        <w:rPr>
          <w:rFonts w:hAnsi="標楷體" w:hint="eastAsia"/>
        </w:rPr>
        <w:t>判決：陳訴人之母至醫院門診檢查下肢傷口久不癒合應係血管阻塞，如情況嚴重，會建議血管氣</w:t>
      </w:r>
      <w:r w:rsidRPr="00A34D65">
        <w:rPr>
          <w:rFonts w:hAnsi="標楷體" w:hint="eastAsia"/>
        </w:rPr>
        <w:lastRenderedPageBreak/>
        <w:t>球擴張術或放置血管支架，並已告知相關風險，有主治醫師</w:t>
      </w:r>
      <w:r w:rsidR="00A34D65">
        <w:rPr>
          <w:rFonts w:hAnsi="標楷體" w:hint="eastAsia"/>
        </w:rPr>
        <w:t>李○○</w:t>
      </w:r>
      <w:r w:rsidRPr="00A34D65">
        <w:rPr>
          <w:rFonts w:hAnsi="標楷體" w:hint="eastAsia"/>
        </w:rPr>
        <w:t>證述、病患之護理紀錄單及記錄護士證述，足認進行手術前，業經李醫師告知手術相關風險及注意事項，病患並同意禁食以利進行手術，且簽立手術同意書為據。嗣最高法院以105年度台上</w:t>
      </w:r>
      <w:r w:rsidR="00A34D65">
        <w:rPr>
          <w:rFonts w:hAnsi="標楷體" w:hint="eastAsia"/>
        </w:rPr>
        <w:t>字第○號</w:t>
      </w:r>
      <w:r w:rsidRPr="00A34D65">
        <w:rPr>
          <w:rFonts w:hAnsi="標楷體" w:hint="eastAsia"/>
        </w:rPr>
        <w:t>裁定駁回確定、高等法院105年度醫再字</w:t>
      </w:r>
      <w:r w:rsidR="00A34D65">
        <w:rPr>
          <w:rFonts w:hAnsi="標楷體" w:hint="eastAsia"/>
        </w:rPr>
        <w:t>第○號</w:t>
      </w:r>
      <w:r w:rsidRPr="00A34D65">
        <w:rPr>
          <w:rFonts w:hAnsi="標楷體" w:hint="eastAsia"/>
        </w:rPr>
        <w:t>再審之訴駁回。</w:t>
      </w:r>
      <w:r w:rsidRPr="00A34D65">
        <w:rPr>
          <w:rFonts w:hAnsi="標楷體" w:cs="新細明體" w:hint="eastAsia"/>
          <w:kern w:val="0"/>
          <w:szCs w:val="32"/>
          <w:lang w:val="x-none"/>
        </w:rPr>
        <w:t>陳訴人於</w:t>
      </w:r>
      <w:r w:rsidRPr="00A34D65">
        <w:rPr>
          <w:rFonts w:hAnsi="標楷體" w:cs="新細明體"/>
          <w:kern w:val="0"/>
          <w:szCs w:val="32"/>
          <w:lang w:val="x-none"/>
        </w:rPr>
        <w:t>106</w:t>
      </w:r>
      <w:r w:rsidRPr="00A34D65">
        <w:rPr>
          <w:rFonts w:hAnsi="標楷體" w:cs="新細明體" w:hint="eastAsia"/>
          <w:kern w:val="0"/>
          <w:szCs w:val="32"/>
          <w:lang w:val="x-none"/>
        </w:rPr>
        <w:t>年以同一事實原因以</w:t>
      </w:r>
      <w:r w:rsidR="00A34D65">
        <w:rPr>
          <w:rFonts w:hAnsi="標楷體" w:cs="新細明體" w:hint="eastAsia"/>
          <w:kern w:val="0"/>
          <w:szCs w:val="32"/>
          <w:lang w:val="x-none"/>
        </w:rPr>
        <w:t>李○○</w:t>
      </w:r>
      <w:r w:rsidRPr="00A34D65">
        <w:rPr>
          <w:rFonts w:hAnsi="標楷體" w:cs="新細明體" w:hint="eastAsia"/>
          <w:kern w:val="0"/>
          <w:szCs w:val="32"/>
          <w:lang w:val="x-none"/>
        </w:rPr>
        <w:t>、</w:t>
      </w:r>
      <w:r w:rsidR="00A34D65">
        <w:rPr>
          <w:rFonts w:hAnsi="標楷體" w:cs="新細明體" w:hint="eastAsia"/>
          <w:kern w:val="0"/>
          <w:szCs w:val="32"/>
          <w:lang w:val="x-none"/>
        </w:rPr>
        <w:t>蘇○○</w:t>
      </w:r>
      <w:r w:rsidRPr="00A34D65">
        <w:rPr>
          <w:rFonts w:hAnsi="標楷體" w:cs="新細明體" w:hint="eastAsia"/>
          <w:kern w:val="0"/>
          <w:szCs w:val="32"/>
          <w:lang w:val="x-none"/>
        </w:rPr>
        <w:t>為被告，提起損害賠償之訴，桃園地方法院106年度醫</w:t>
      </w:r>
      <w:r w:rsidR="00A34D65">
        <w:rPr>
          <w:rFonts w:hAnsi="標楷體" w:cs="新細明體" w:hint="eastAsia"/>
          <w:kern w:val="0"/>
          <w:szCs w:val="32"/>
          <w:lang w:val="x-none"/>
        </w:rPr>
        <w:t>第○號</w:t>
      </w:r>
      <w:r w:rsidRPr="00A34D65">
        <w:rPr>
          <w:rFonts w:hAnsi="標楷體" w:cs="新細明體" w:hint="eastAsia"/>
          <w:kern w:val="0"/>
          <w:szCs w:val="32"/>
          <w:lang w:val="x-none"/>
        </w:rPr>
        <w:t>判決、高等法院</w:t>
      </w:r>
      <w:r w:rsidRPr="00A34D65">
        <w:rPr>
          <w:rFonts w:hAnsi="標楷體" w:cs="新細明體"/>
          <w:kern w:val="0"/>
          <w:szCs w:val="32"/>
          <w:lang w:val="x-none"/>
        </w:rPr>
        <w:t>107</w:t>
      </w:r>
      <w:r w:rsidRPr="00A34D65">
        <w:rPr>
          <w:rFonts w:hAnsi="標楷體" w:cs="新細明體" w:hint="eastAsia"/>
          <w:kern w:val="0"/>
          <w:szCs w:val="32"/>
          <w:lang w:val="x-none"/>
        </w:rPr>
        <w:t>年度醫上字</w:t>
      </w:r>
      <w:r w:rsidR="00A34D65">
        <w:rPr>
          <w:rFonts w:hAnsi="標楷體" w:cs="新細明體" w:hint="eastAsia"/>
          <w:kern w:val="0"/>
          <w:szCs w:val="32"/>
          <w:lang w:val="x-none"/>
        </w:rPr>
        <w:t>第○號</w:t>
      </w:r>
      <w:r w:rsidRPr="00A34D65">
        <w:rPr>
          <w:rFonts w:hAnsi="標楷體" w:cs="新細明體" w:hint="eastAsia"/>
          <w:kern w:val="0"/>
          <w:szCs w:val="32"/>
          <w:lang w:val="x-none"/>
        </w:rPr>
        <w:t>判決，</w:t>
      </w:r>
      <w:r w:rsidRPr="00A34D65">
        <w:rPr>
          <w:rFonts w:hAnsi="標楷體" w:hint="eastAsia"/>
        </w:rPr>
        <w:t>均以陳訴人起訴已逾民法第197條第1項規定之2年時效期間判決駁回。</w:t>
      </w:r>
    </w:p>
    <w:p w:rsidR="00A00572" w:rsidRPr="00A34D65" w:rsidRDefault="00A00572" w:rsidP="00A00572">
      <w:pPr>
        <w:pStyle w:val="3"/>
        <w:numPr>
          <w:ilvl w:val="2"/>
          <w:numId w:val="1"/>
        </w:numPr>
        <w:rPr>
          <w:rFonts w:hAnsi="標楷體"/>
        </w:rPr>
      </w:pPr>
      <w:r w:rsidRPr="00A34D65">
        <w:rPr>
          <w:rFonts w:hAnsi="標楷體" w:hint="eastAsia"/>
        </w:rPr>
        <w:t>陳訴人指稱：「陳訴人母親未有高血壓、糖尿病等疾病，電腦斷層血管攝影報告顯示左足背之足背動脈沒有阻塞，醫師施以不必要手術，又未告知手術相關風險，又手術後投以過量抗凝血劑藥Heparin，導致陳訴人母親內出血死亡」、「桃園地方法院100年度</w:t>
      </w:r>
      <w:r w:rsidR="00A34D65" w:rsidRPr="00A34D65">
        <w:rPr>
          <w:rFonts w:hAnsi="標楷體" w:hint="eastAsia"/>
        </w:rPr>
        <w:t>醫字第○號</w:t>
      </w:r>
      <w:r w:rsidRPr="00A34D65">
        <w:rPr>
          <w:rFonts w:hAnsi="標楷體" w:hint="eastAsia"/>
        </w:rPr>
        <w:t>及高等法院102年度</w:t>
      </w:r>
      <w:r w:rsidR="00A34D65" w:rsidRPr="00A34D65">
        <w:rPr>
          <w:rFonts w:hAnsi="標楷體" w:hint="eastAsia"/>
        </w:rPr>
        <w:t>醫上字第○號</w:t>
      </w:r>
      <w:r w:rsidRPr="00A34D65">
        <w:rPr>
          <w:rFonts w:hAnsi="標楷體" w:hint="eastAsia"/>
        </w:rPr>
        <w:t>，未採酌電腦斷層掃描血管攝影報告，陳訴人母親足背動脈完全暢通，左前脛動脈沒有阻塞，亦未說明捨棄不用之理由，法官只聽信被告</w:t>
      </w:r>
      <w:r w:rsidR="00A34D65">
        <w:rPr>
          <w:rFonts w:hAnsi="標楷體" w:hint="eastAsia"/>
        </w:rPr>
        <w:t>○○</w:t>
      </w:r>
      <w:r w:rsidRPr="00A34D65">
        <w:rPr>
          <w:rFonts w:hAnsi="標楷體" w:hint="eastAsia"/>
        </w:rPr>
        <w:t>醫院及證人</w:t>
      </w:r>
      <w:r w:rsidR="00A34D65">
        <w:rPr>
          <w:rFonts w:hAnsi="標楷體" w:hint="eastAsia"/>
        </w:rPr>
        <w:t>李○○</w:t>
      </w:r>
      <w:r w:rsidRPr="00A34D65">
        <w:rPr>
          <w:rFonts w:hAnsi="標楷體" w:hint="eastAsia"/>
        </w:rPr>
        <w:t>和</w:t>
      </w:r>
      <w:r w:rsidR="00A34D65">
        <w:rPr>
          <w:rFonts w:hAnsi="標楷體" w:hint="eastAsia"/>
        </w:rPr>
        <w:t>蘇○○</w:t>
      </w:r>
      <w:r w:rsidR="00035782" w:rsidRPr="00A34D65">
        <w:rPr>
          <w:rFonts w:hAnsi="標楷體" w:hint="eastAsia"/>
        </w:rPr>
        <w:t>兩位醫生片面之詞及採取被告桃園</w:t>
      </w:r>
      <w:r w:rsidR="00A34D65">
        <w:rPr>
          <w:rFonts w:hAnsi="標楷體" w:hint="eastAsia"/>
        </w:rPr>
        <w:t>○○</w:t>
      </w:r>
      <w:r w:rsidR="00035782" w:rsidRPr="00A34D65">
        <w:rPr>
          <w:rFonts w:hAnsi="標楷體" w:hint="eastAsia"/>
        </w:rPr>
        <w:t>醫院及證人兩位醫生所提供之紀</w:t>
      </w:r>
      <w:r w:rsidRPr="00A34D65">
        <w:rPr>
          <w:rFonts w:hAnsi="標楷體" w:hint="eastAsia"/>
        </w:rPr>
        <w:t>錄，又認定沒有完整的鑑定資料及沒有全盤鑑定且有重大瑕疵的醫審會鑑定報告，率為不利判決」、「對母親死亡的許多訴訟爭點，不但沒有調查，更未實質說明理由及認定</w:t>
      </w:r>
      <w:r w:rsidR="00A34D65">
        <w:rPr>
          <w:rFonts w:hAnsi="標楷體" w:hint="eastAsia"/>
        </w:rPr>
        <w:t>李○○</w:t>
      </w:r>
      <w:r w:rsidRPr="00A34D65">
        <w:rPr>
          <w:rFonts w:hAnsi="標楷體" w:hint="eastAsia"/>
        </w:rPr>
        <w:t>手寫添加之内容為風險告知義務，該段文字為手寫，一般理性之人更會認為是事後添加」、「桃園地方法院100年度</w:t>
      </w:r>
      <w:r w:rsidR="00A34D65" w:rsidRPr="00A34D65">
        <w:rPr>
          <w:rFonts w:hAnsi="標楷體" w:hint="eastAsia"/>
        </w:rPr>
        <w:t>醫字第○號</w:t>
      </w:r>
      <w:r w:rsidRPr="00A34D65">
        <w:rPr>
          <w:rFonts w:hAnsi="標楷體" w:hint="eastAsia"/>
        </w:rPr>
        <w:t>、桃園地方法院106年度</w:t>
      </w:r>
      <w:r w:rsidR="00A34D65" w:rsidRPr="00A34D65">
        <w:rPr>
          <w:rFonts w:hAnsi="標楷體" w:hint="eastAsia"/>
        </w:rPr>
        <w:t>醫字第○號</w:t>
      </w:r>
      <w:r w:rsidRPr="00A34D65">
        <w:rPr>
          <w:rFonts w:hAnsi="標楷體" w:hint="eastAsia"/>
        </w:rPr>
        <w:t>、高等法院102年度</w:t>
      </w:r>
      <w:r w:rsidR="00A34D65" w:rsidRPr="00A34D65">
        <w:rPr>
          <w:rFonts w:hAnsi="標楷體" w:hint="eastAsia"/>
        </w:rPr>
        <w:t>醫</w:t>
      </w:r>
      <w:r w:rsidR="00A34D65" w:rsidRPr="00A34D65">
        <w:rPr>
          <w:rFonts w:hAnsi="標楷體" w:hint="eastAsia"/>
        </w:rPr>
        <w:lastRenderedPageBreak/>
        <w:t>上字第○號</w:t>
      </w:r>
      <w:r w:rsidRPr="00A34D65">
        <w:rPr>
          <w:rFonts w:hAnsi="標楷體" w:hint="eastAsia"/>
        </w:rPr>
        <w:t>、高等法院105年度醫再字</w:t>
      </w:r>
      <w:r w:rsidR="00A34D65">
        <w:rPr>
          <w:rFonts w:hAnsi="標楷體" w:hint="eastAsia"/>
        </w:rPr>
        <w:t>第○號</w:t>
      </w:r>
      <w:r w:rsidRPr="00A34D65">
        <w:rPr>
          <w:rFonts w:hAnsi="標楷體" w:hint="eastAsia"/>
        </w:rPr>
        <w:t>、高等法院107年度醫上字</w:t>
      </w:r>
      <w:r w:rsidR="00A34D65">
        <w:rPr>
          <w:rFonts w:hAnsi="標楷體" w:hint="eastAsia"/>
        </w:rPr>
        <w:t>第○號</w:t>
      </w:r>
      <w:r w:rsidRPr="00A34D65">
        <w:rPr>
          <w:rFonts w:hAnsi="標楷體" w:hint="eastAsia"/>
        </w:rPr>
        <w:t>涉有違失」、「桃園地方法院106年度</w:t>
      </w:r>
      <w:r w:rsidR="00A34D65" w:rsidRPr="00A34D65">
        <w:rPr>
          <w:rFonts w:hAnsi="標楷體" w:hint="eastAsia"/>
        </w:rPr>
        <w:t>醫字第○號</w:t>
      </w:r>
      <w:r w:rsidRPr="00A34D65">
        <w:rPr>
          <w:rFonts w:hAnsi="標楷體" w:hint="eastAsia"/>
        </w:rPr>
        <w:t>及高等法院107年度醫上字</w:t>
      </w:r>
      <w:r w:rsidR="00A34D65">
        <w:rPr>
          <w:rFonts w:hAnsi="標楷體" w:hint="eastAsia"/>
        </w:rPr>
        <w:t>第○號</w:t>
      </w:r>
      <w:r w:rsidRPr="00A34D65">
        <w:rPr>
          <w:rFonts w:hAnsi="標楷體" w:hint="eastAsia"/>
        </w:rPr>
        <w:t>，就母親被被告</w:t>
      </w:r>
      <w:r w:rsidR="00A34D65">
        <w:rPr>
          <w:rFonts w:hAnsi="標楷體" w:hint="eastAsia"/>
        </w:rPr>
        <w:t>李○○</w:t>
      </w:r>
      <w:r w:rsidRPr="00A34D65">
        <w:rPr>
          <w:rFonts w:hAnsi="標楷體" w:hint="eastAsia"/>
        </w:rPr>
        <w:t>及</w:t>
      </w:r>
      <w:r w:rsidR="00A34D65">
        <w:rPr>
          <w:rFonts w:hAnsi="標楷體" w:hint="eastAsia"/>
        </w:rPr>
        <w:t>蘇○○</w:t>
      </w:r>
      <w:r w:rsidRPr="00A34D65">
        <w:rPr>
          <w:rFonts w:hAnsi="標楷體" w:hint="eastAsia"/>
        </w:rPr>
        <w:t>誤診為周邊動脈阻塞性疾病（</w:t>
      </w:r>
      <w:r w:rsidRPr="00A34D65">
        <w:rPr>
          <w:rFonts w:hAnsi="標楷體"/>
        </w:rPr>
        <w:t>PAOD)</w:t>
      </w:r>
      <w:r w:rsidRPr="00A34D65">
        <w:rPr>
          <w:rFonts w:hAnsi="標楷體" w:hint="eastAsia"/>
        </w:rPr>
        <w:t>，而於短短的</w:t>
      </w:r>
      <w:r w:rsidRPr="00A34D65">
        <w:rPr>
          <w:rFonts w:hAnsi="標楷體"/>
        </w:rPr>
        <w:t>4</w:t>
      </w:r>
      <w:r w:rsidRPr="00A34D65">
        <w:rPr>
          <w:rFonts w:hAnsi="標楷體" w:hint="eastAsia"/>
        </w:rPr>
        <w:t>天内即死亡的侵權行為時效起點之認定，與著名之RCA公害事件，法院已有闡釋RCA案例，兩相比較，天差地別」等節。</w:t>
      </w:r>
    </w:p>
    <w:p w:rsidR="00A00572" w:rsidRPr="00A34D65" w:rsidRDefault="00A00572" w:rsidP="00A00572">
      <w:pPr>
        <w:pStyle w:val="3"/>
        <w:numPr>
          <w:ilvl w:val="2"/>
          <w:numId w:val="1"/>
        </w:numPr>
        <w:rPr>
          <w:rFonts w:hAnsi="標楷體"/>
        </w:rPr>
      </w:pPr>
      <w:r w:rsidRPr="00A34D65">
        <w:rPr>
          <w:rFonts w:hAnsi="標楷體" w:hint="eastAsia"/>
        </w:rPr>
        <w:t>經查，陳訴人母親經</w:t>
      </w:r>
      <w:r w:rsidR="00A34D65">
        <w:rPr>
          <w:rFonts w:hAnsi="標楷體" w:hint="eastAsia"/>
        </w:rPr>
        <w:t>○○</w:t>
      </w:r>
      <w:r w:rsidRPr="00A34D65">
        <w:rPr>
          <w:rFonts w:hAnsi="標楷體" w:hint="eastAsia"/>
        </w:rPr>
        <w:t>醫院所屬醫師於99年3月10日進行左下肢股淺動脈支架植入手術，99年3月13日死亡，並無相關法醫解剖報告可資釐清真正死亡原因，又醫審會、</w:t>
      </w:r>
      <w:r w:rsidRPr="00A34D65">
        <w:rPr>
          <w:rFonts w:hAnsi="標楷體" w:hint="eastAsia"/>
          <w:szCs w:val="32"/>
        </w:rPr>
        <w:t>臺北榮民總醫院及</w:t>
      </w:r>
      <w:r w:rsidRPr="00A34D65">
        <w:rPr>
          <w:rFonts w:hAnsi="標楷體" w:hint="eastAsia"/>
        </w:rPr>
        <w:t>財團法人私立高雄醫學大學附設中和紀念醫院</w:t>
      </w:r>
      <w:r w:rsidRPr="00A34D65">
        <w:rPr>
          <w:rFonts w:hAnsi="標楷體" w:hint="eastAsia"/>
          <w:szCs w:val="32"/>
        </w:rPr>
        <w:t>認定，</w:t>
      </w:r>
      <w:r w:rsidR="00A34D65">
        <w:rPr>
          <w:rFonts w:hAnsi="標楷體" w:hint="eastAsia"/>
          <w:szCs w:val="32"/>
        </w:rPr>
        <w:t>○○</w:t>
      </w:r>
      <w:r w:rsidRPr="00A34D65">
        <w:rPr>
          <w:rFonts w:hAnsi="標楷體" w:hint="eastAsia"/>
        </w:rPr>
        <w:t>醫院</w:t>
      </w:r>
      <w:r w:rsidRPr="00A34D65">
        <w:rPr>
          <w:rFonts w:hAnsi="標楷體" w:cs="細明體" w:hint="eastAsia"/>
        </w:rPr>
        <w:t>選</w:t>
      </w:r>
      <w:r w:rsidRPr="00A34D65">
        <w:rPr>
          <w:rFonts w:hAnsi="標楷體" w:hint="eastAsia"/>
        </w:rPr>
        <w:t>擇股淺動脈支架置放手術符合醫療常規，且</w:t>
      </w:r>
      <w:r w:rsidRPr="00A34D65">
        <w:rPr>
          <w:rFonts w:hAnsi="標楷體" w:cs="新細明體" w:hint="eastAsia"/>
          <w:kern w:val="0"/>
          <w:szCs w:val="32"/>
          <w:lang w:val="x-none"/>
        </w:rPr>
        <w:t>支架置放初期給予Heparin抗凝血劑，可預防支架內血栓，符合醫療常規</w:t>
      </w:r>
      <w:r w:rsidRPr="00A34D65">
        <w:rPr>
          <w:rStyle w:val="afe"/>
          <w:rFonts w:hAnsi="標楷體" w:cs="新細明體"/>
          <w:kern w:val="0"/>
          <w:szCs w:val="32"/>
          <w:lang w:val="x-none"/>
        </w:rPr>
        <w:footnoteReference w:id="1"/>
      </w:r>
      <w:r w:rsidRPr="00A34D65">
        <w:rPr>
          <w:rFonts w:hAnsi="標楷體" w:cs="新細明體" w:hint="eastAsia"/>
          <w:kern w:val="0"/>
          <w:szCs w:val="32"/>
          <w:lang w:val="x-none"/>
        </w:rPr>
        <w:t>。</w:t>
      </w:r>
      <w:r w:rsidRPr="00A34D65">
        <w:rPr>
          <w:rFonts w:hAnsi="標楷體" w:hint="eastAsia"/>
        </w:rPr>
        <w:t>桃園地方法院100年度</w:t>
      </w:r>
      <w:r w:rsidR="00A34D65" w:rsidRPr="00A34D65">
        <w:rPr>
          <w:rFonts w:hAnsi="標楷體" w:hint="eastAsia"/>
        </w:rPr>
        <w:t>醫字第○號</w:t>
      </w:r>
      <w:r w:rsidRPr="00A34D65">
        <w:rPr>
          <w:rFonts w:hAnsi="標楷體" w:hint="eastAsia"/>
        </w:rPr>
        <w:t>判決，法官本於職權調查證據後，認定</w:t>
      </w:r>
      <w:r w:rsidR="00A34D65">
        <w:rPr>
          <w:rFonts w:hAnsi="標楷體" w:hint="eastAsia"/>
        </w:rPr>
        <w:t>○○</w:t>
      </w:r>
      <w:r w:rsidRPr="00A34D65">
        <w:rPr>
          <w:rFonts w:hAnsi="標楷體" w:hint="eastAsia"/>
        </w:rPr>
        <w:t>醫院所屬醫師已盡風險告知之義務，醫師對病患進行之手術具有必要性，相關醫療處置符合醫療常規，且無於短時間内多次、密集、連續投予超劑量之抗凝血劑導致病患出血致死之結果，陳訴人母親死亡結果與醫師應盡之告知義務及投予抗凝血劑之行為間，尚難認定具有因果關係。又司法院基於不干預個案之立場，尊重法院見解</w:t>
      </w:r>
      <w:r w:rsidR="00E278B1" w:rsidRPr="00A34D65">
        <w:rPr>
          <w:rStyle w:val="afe"/>
          <w:rFonts w:hAnsi="標楷體"/>
        </w:rPr>
        <w:footnoteReference w:id="2"/>
      </w:r>
      <w:r w:rsidRPr="00A34D65">
        <w:rPr>
          <w:rFonts w:hAnsi="標楷體" w:hint="eastAsia"/>
        </w:rPr>
        <w:t>。另依據</w:t>
      </w:r>
      <w:r w:rsidRPr="00A34D65">
        <w:rPr>
          <w:rFonts w:hAnsi="標楷體" w:cs="新細明體" w:hint="eastAsia"/>
          <w:kern w:val="0"/>
          <w:szCs w:val="32"/>
          <w:lang w:val="x-none"/>
        </w:rPr>
        <w:t>高等法院108年6月24日函復司法院意旨，</w:t>
      </w:r>
      <w:r w:rsidRPr="00A34D65">
        <w:rPr>
          <w:rFonts w:hAnsi="標楷體" w:hint="eastAsia"/>
        </w:rPr>
        <w:t>陳訴人之母至醫院門診檢查下肢傷口久不癒合應係血管阻塞，如情況嚴重，建</w:t>
      </w:r>
      <w:r w:rsidRPr="00A34D65">
        <w:rPr>
          <w:rFonts w:hAnsi="標楷體" w:hint="eastAsia"/>
        </w:rPr>
        <w:lastRenderedPageBreak/>
        <w:t>議血管氣球擴張術或放置血管支架，並已告知相關風險，有主治醫師</w:t>
      </w:r>
      <w:r w:rsidR="00A34D65">
        <w:rPr>
          <w:rFonts w:hAnsi="標楷體" w:hint="eastAsia"/>
        </w:rPr>
        <w:t>李○○</w:t>
      </w:r>
      <w:r w:rsidRPr="00A34D65">
        <w:rPr>
          <w:rFonts w:hAnsi="標楷體" w:hint="eastAsia"/>
        </w:rPr>
        <w:t>證述、病患之護理紀錄單及記錄護士證述，足認進行手術前，業經李醫師告知手術相關風險及注意事項，病患並同意禁食以利進行手術，且簽立手術同意書為據。嗣最高法院以105年度台上</w:t>
      </w:r>
      <w:r w:rsidR="00A34D65">
        <w:rPr>
          <w:rFonts w:hAnsi="標楷體" w:hint="eastAsia"/>
        </w:rPr>
        <w:t>字第○號</w:t>
      </w:r>
      <w:r w:rsidRPr="00A34D65">
        <w:rPr>
          <w:rFonts w:hAnsi="標楷體" w:hint="eastAsia"/>
        </w:rPr>
        <w:t>裁定駁回確定，高等法院102年度</w:t>
      </w:r>
      <w:r w:rsidR="00A34D65" w:rsidRPr="00A34D65">
        <w:rPr>
          <w:rFonts w:hAnsi="標楷體" w:hint="eastAsia"/>
        </w:rPr>
        <w:t>醫上字第○號</w:t>
      </w:r>
      <w:r w:rsidRPr="00A34D65">
        <w:rPr>
          <w:rFonts w:hAnsi="標楷體" w:hint="eastAsia"/>
        </w:rPr>
        <w:t>判決認事用法並無違誤。</w:t>
      </w:r>
    </w:p>
    <w:p w:rsidR="00A00572" w:rsidRPr="00A34D65" w:rsidRDefault="00A00572" w:rsidP="00A00572">
      <w:pPr>
        <w:pStyle w:val="3"/>
        <w:numPr>
          <w:ilvl w:val="2"/>
          <w:numId w:val="1"/>
        </w:numPr>
        <w:rPr>
          <w:rFonts w:hAnsi="標楷體"/>
        </w:rPr>
      </w:pPr>
      <w:r w:rsidRPr="00A34D65">
        <w:rPr>
          <w:rFonts w:hAnsi="標楷體" w:cs="新細明體" w:hint="eastAsia"/>
          <w:kern w:val="0"/>
          <w:szCs w:val="32"/>
          <w:lang w:val="x-none"/>
        </w:rPr>
        <w:t>至陳訴人所述應比照最高法院</w:t>
      </w:r>
      <w:r w:rsidRPr="00A34D65">
        <w:rPr>
          <w:rFonts w:hAnsi="標楷體" w:cs="新細明體"/>
          <w:kern w:val="0"/>
          <w:szCs w:val="32"/>
          <w:lang w:val="x-none"/>
        </w:rPr>
        <w:t>107</w:t>
      </w:r>
      <w:r w:rsidRPr="00A34D65">
        <w:rPr>
          <w:rFonts w:hAnsi="標楷體" w:cs="新細明體" w:hint="eastAsia"/>
          <w:kern w:val="0"/>
          <w:szCs w:val="32"/>
          <w:lang w:val="x-none"/>
        </w:rPr>
        <w:t>年度台上字第</w:t>
      </w:r>
      <w:r w:rsidRPr="00A34D65">
        <w:rPr>
          <w:rFonts w:hAnsi="標楷體" w:cs="新細明體"/>
          <w:kern w:val="0"/>
          <w:szCs w:val="32"/>
          <w:lang w:val="x-none"/>
        </w:rPr>
        <w:t>267</w:t>
      </w:r>
      <w:r w:rsidRPr="00A34D65">
        <w:rPr>
          <w:rFonts w:hAnsi="標楷體" w:cs="新細明體" w:hint="eastAsia"/>
          <w:kern w:val="0"/>
          <w:szCs w:val="32"/>
          <w:lang w:val="x-none"/>
        </w:rPr>
        <w:t>號判決所揭示「舉證之難度非個別勞工所能負擔，自難合理期待</w:t>
      </w:r>
      <w:r w:rsidRPr="00A34D65">
        <w:rPr>
          <w:rFonts w:hAnsi="標楷體" w:cs="細明體"/>
          <w:kern w:val="0"/>
          <w:szCs w:val="32"/>
          <w:lang w:val="x-none"/>
        </w:rPr>
        <w:t>RCA</w:t>
      </w:r>
      <w:r w:rsidRPr="00A34D65">
        <w:rPr>
          <w:rFonts w:hAnsi="標楷體" w:cs="新細明體" w:hint="eastAsia"/>
          <w:kern w:val="0"/>
          <w:szCs w:val="32"/>
          <w:lang w:val="x-none"/>
        </w:rPr>
        <w:t>員工及時行使權</w:t>
      </w:r>
      <w:r w:rsidR="00CF26A9">
        <w:rPr>
          <w:rFonts w:hAnsi="標楷體" w:cs="新細明體" w:hint="eastAsia"/>
          <w:kern w:val="0"/>
          <w:szCs w:val="32"/>
          <w:lang w:val="x-none"/>
        </w:rPr>
        <w:t>利</w:t>
      </w:r>
      <w:bookmarkStart w:id="52" w:name="_GoBack"/>
      <w:bookmarkEnd w:id="52"/>
      <w:r w:rsidRPr="00A34D65">
        <w:rPr>
          <w:rFonts w:hAnsi="標楷體" w:cs="新細明體" w:hint="eastAsia"/>
          <w:kern w:val="0"/>
          <w:szCs w:val="32"/>
          <w:lang w:val="x-none"/>
        </w:rPr>
        <w:t>，即難謂其可得行使權利而不行使，不應將之評價為權利上睡眠之人」之意旨。惟查陳訴人既於前案曾行使侵權行為損害賠償請求權，且經法院為實體判決，自與前述最高法院所揭示情形不同，非可比附援引</w:t>
      </w:r>
      <w:r w:rsidRPr="00A34D65">
        <w:rPr>
          <w:rStyle w:val="afe"/>
          <w:rFonts w:hAnsi="標楷體" w:cs="新細明體"/>
          <w:kern w:val="0"/>
          <w:szCs w:val="32"/>
          <w:lang w:val="x-none"/>
        </w:rPr>
        <w:footnoteReference w:id="3"/>
      </w:r>
      <w:r w:rsidRPr="00A34D65">
        <w:rPr>
          <w:rFonts w:hAnsi="標楷體" w:cs="新細明體" w:hint="eastAsia"/>
          <w:kern w:val="0"/>
          <w:szCs w:val="32"/>
          <w:lang w:val="x-none"/>
        </w:rPr>
        <w:t>。</w:t>
      </w:r>
    </w:p>
    <w:p w:rsidR="00073CB5" w:rsidRPr="00A34D65" w:rsidRDefault="00A00572" w:rsidP="00A00572">
      <w:pPr>
        <w:pStyle w:val="3"/>
        <w:rPr>
          <w:rFonts w:hAnsi="標楷體"/>
        </w:rPr>
      </w:pPr>
      <w:r w:rsidRPr="00A34D65">
        <w:rPr>
          <w:rFonts w:hAnsi="標楷體" w:hint="eastAsia"/>
        </w:rPr>
        <w:t>綜上，陳訴人指摘桃園地方法院、高等法院審理陳訴人請求</w:t>
      </w:r>
      <w:r w:rsidR="00A34D65">
        <w:rPr>
          <w:rFonts w:hAnsi="標楷體" w:hint="eastAsia"/>
        </w:rPr>
        <w:t>○○</w:t>
      </w:r>
      <w:r w:rsidRPr="00A34D65">
        <w:rPr>
          <w:rFonts w:hAnsi="標楷體" w:hint="eastAsia"/>
        </w:rPr>
        <w:t>醫院損害賠償事件，法官未審酌醫審會之鑑定報告、未為全案鑑定而涉有瑕疵，即率為不利於陳訴人之判決等節，因法官證據取捨與當事人希冀不同，致事實認定異於當事人主張，不得謂判決違背法令。又證據證明力如何或如何調查事實，事實審法院有斟酌權，法院對證據的取捨有自由判斷的權限，若已斟酌辯論意旨及調查證據結果，而未違背論理法則或經驗法則，自不得指為違法，依憲法第80條審判獨立原則，本院尊重承審法官就該案件之認定。又陳訴人不服桃園地方法院</w:t>
      </w:r>
      <w:r w:rsidRPr="00A34D65">
        <w:rPr>
          <w:rFonts w:hAnsi="標楷體"/>
        </w:rPr>
        <w:t>100年度</w:t>
      </w:r>
      <w:r w:rsidR="00A34D65" w:rsidRPr="00A34D65">
        <w:rPr>
          <w:rFonts w:hAnsi="標楷體"/>
        </w:rPr>
        <w:t>醫字第○號</w:t>
      </w:r>
      <w:r w:rsidRPr="00A34D65">
        <w:rPr>
          <w:rFonts w:hAnsi="標楷體" w:hint="eastAsia"/>
        </w:rPr>
        <w:t>判決，提起上訴，經高等法院以102年度</w:t>
      </w:r>
      <w:r w:rsidR="00A34D65" w:rsidRPr="00A34D65">
        <w:rPr>
          <w:rFonts w:hAnsi="標楷體" w:hint="eastAsia"/>
        </w:rPr>
        <w:t>醫上字第○號</w:t>
      </w:r>
      <w:r w:rsidRPr="00A34D65">
        <w:rPr>
          <w:rFonts w:hAnsi="標楷體" w:hint="eastAsia"/>
        </w:rPr>
        <w:t>判決駁回上訴，復經最高法院以105年度台上</w:t>
      </w:r>
      <w:r w:rsidR="00A34D65">
        <w:rPr>
          <w:rFonts w:hAnsi="標楷體" w:hint="eastAsia"/>
        </w:rPr>
        <w:t>字第○號</w:t>
      </w:r>
      <w:r w:rsidRPr="00A34D65">
        <w:rPr>
          <w:rFonts w:hAnsi="標楷體" w:hint="eastAsia"/>
        </w:rPr>
        <w:t>裁定駁回上訴，亦認桃</w:t>
      </w:r>
      <w:r w:rsidRPr="00A34D65">
        <w:rPr>
          <w:rFonts w:hAnsi="標楷體" w:hint="eastAsia"/>
        </w:rPr>
        <w:lastRenderedPageBreak/>
        <w:t>園地方法院承審法官審理該案並無違失之處。本院已調閱相關卷證，對於陳訴人之質疑，承審法官業已敘明於判決理由中而依法審判，查無積極證據認有違背法令之虞。另陳訴人請求</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醫師損害賠償事件，歷經桃園地方法院、高等法院審理，均以陳訴人起訴已逾民法第197條第1項所定2年消滅時效駁回在案，本院當予尊重。惟本院仍期許法官基於經驗法則、論理法則及同理心，對於如何斟酌其證據力之強弱及取捨之意見，詳加說明，避免產生民怨。</w:t>
      </w:r>
    </w:p>
    <w:p w:rsidR="00A00572" w:rsidRPr="00A34D65" w:rsidRDefault="00A00572" w:rsidP="00A00572">
      <w:pPr>
        <w:pStyle w:val="2"/>
        <w:rPr>
          <w:rFonts w:hAnsi="標楷體"/>
        </w:rPr>
      </w:pPr>
      <w:r w:rsidRPr="00A34D65">
        <w:rPr>
          <w:rFonts w:hAnsi="標楷體" w:hint="eastAsia"/>
          <w:b/>
        </w:rPr>
        <w:t>陳訴人告訴醫師</w:t>
      </w:r>
      <w:r w:rsidR="00A34D65">
        <w:rPr>
          <w:rFonts w:hAnsi="標楷體" w:hint="eastAsia"/>
          <w:b/>
        </w:rPr>
        <w:t>李○○</w:t>
      </w:r>
      <w:r w:rsidRPr="00A34D65">
        <w:rPr>
          <w:rFonts w:hAnsi="標楷體" w:hint="eastAsia"/>
          <w:b/>
        </w:rPr>
        <w:t>、</w:t>
      </w:r>
      <w:r w:rsidR="00A34D65">
        <w:rPr>
          <w:rFonts w:hAnsi="標楷體" w:hint="eastAsia"/>
          <w:b/>
        </w:rPr>
        <w:t>蘇○○</w:t>
      </w:r>
      <w:r w:rsidRPr="00A34D65">
        <w:rPr>
          <w:rFonts w:hAnsi="標楷體" w:hint="eastAsia"/>
          <w:b/>
        </w:rPr>
        <w:t>業務過失致死案，</w:t>
      </w:r>
      <w:r w:rsidRPr="00A34D65">
        <w:rPr>
          <w:rFonts w:hAnsi="標楷體" w:hint="eastAsia"/>
          <w:b/>
          <w:szCs w:val="32"/>
        </w:rPr>
        <w:t>經桃園地檢署105年度他</w:t>
      </w:r>
      <w:r w:rsidR="00A34D65">
        <w:rPr>
          <w:rFonts w:hAnsi="標楷體" w:hint="eastAsia"/>
          <w:b/>
          <w:szCs w:val="32"/>
        </w:rPr>
        <w:t>字第○號</w:t>
      </w:r>
      <w:r w:rsidRPr="00A34D65">
        <w:rPr>
          <w:rFonts w:hAnsi="標楷體" w:hint="eastAsia"/>
          <w:b/>
          <w:szCs w:val="32"/>
        </w:rPr>
        <w:t>、106年度偵字第</w:t>
      </w:r>
      <w:r w:rsidR="00E44301">
        <w:rPr>
          <w:rFonts w:hAnsi="標楷體" w:hint="eastAsia"/>
          <w:b/>
          <w:szCs w:val="32"/>
        </w:rPr>
        <w:t>○</w:t>
      </w:r>
      <w:r w:rsidRPr="00A34D65">
        <w:rPr>
          <w:rFonts w:hAnsi="標楷體" w:hint="eastAsia"/>
          <w:b/>
          <w:szCs w:val="32"/>
        </w:rPr>
        <w:t>號不起訴處分及</w:t>
      </w:r>
      <w:r w:rsidRPr="00A34D65">
        <w:rPr>
          <w:rFonts w:hAnsi="標楷體" w:hint="eastAsia"/>
          <w:b/>
        </w:rPr>
        <w:t>高檢署107年度上聲議字第</w:t>
      </w:r>
      <w:r w:rsidR="00E44301">
        <w:rPr>
          <w:rFonts w:hAnsi="標楷體" w:hint="eastAsia"/>
          <w:b/>
        </w:rPr>
        <w:t>○</w:t>
      </w:r>
      <w:r w:rsidRPr="00A34D65">
        <w:rPr>
          <w:rFonts w:hAnsi="標楷體" w:hint="eastAsia"/>
          <w:b/>
        </w:rPr>
        <w:t>號處分書駁回</w:t>
      </w:r>
      <w:r w:rsidRPr="00A34D65">
        <w:rPr>
          <w:rFonts w:hAnsi="標楷體" w:hint="eastAsia"/>
          <w:b/>
          <w:szCs w:val="32"/>
        </w:rPr>
        <w:t>，</w:t>
      </w:r>
      <w:r w:rsidRPr="00A34D65">
        <w:rPr>
          <w:rFonts w:hAnsi="標楷體" w:hint="eastAsia"/>
          <w:b/>
        </w:rPr>
        <w:t>檢察官偵辦案件，並未有發現鑑定報告涉有瑕疵竟視而不見，或有對陳訴人主張事證未詳加斟酌比對且逕偏信被告陳述率為不起訴處分等違失，並無積極證據認有違背法令之虞。惟仍期許檢察官基於論理法則及同理心，針對當事人指摘爭點詳加敘述理由，避免民眾誤解。</w:t>
      </w:r>
    </w:p>
    <w:p w:rsidR="00A00572" w:rsidRPr="00A34D65" w:rsidRDefault="00A00572" w:rsidP="00A00572">
      <w:pPr>
        <w:pStyle w:val="3"/>
        <w:rPr>
          <w:rFonts w:hAnsi="標楷體"/>
        </w:rPr>
      </w:pPr>
      <w:r w:rsidRPr="00A34D65">
        <w:rPr>
          <w:rFonts w:hAnsi="標楷體" w:hint="eastAsia"/>
        </w:rPr>
        <w:t>陳訴人母親因左足背傷口久未癒合，於</w:t>
      </w:r>
      <w:r w:rsidR="00A34D65">
        <w:rPr>
          <w:rFonts w:hAnsi="標楷體" w:hint="eastAsia"/>
        </w:rPr>
        <w:t>○○</w:t>
      </w:r>
      <w:r w:rsidRPr="00A34D65">
        <w:rPr>
          <w:rFonts w:hAnsi="標楷體" w:hint="eastAsia"/>
        </w:rPr>
        <w:t>醫院接受左下肢股淺動脈支架植入手術，</w:t>
      </w:r>
      <w:r w:rsidRPr="00A34D65">
        <w:rPr>
          <w:rFonts w:hAnsi="標楷體"/>
        </w:rPr>
        <w:t>99</w:t>
      </w:r>
      <w:r w:rsidRPr="00A34D65">
        <w:rPr>
          <w:rFonts w:hAnsi="標楷體" w:hint="eastAsia"/>
        </w:rPr>
        <w:t>年3月9日入院，99年3月10日手術，99年3月13日死亡。陳訴人向桃園地檢署告訴</w:t>
      </w:r>
      <w:r w:rsidR="00A34D65">
        <w:rPr>
          <w:rFonts w:hAnsi="標楷體" w:hint="eastAsia"/>
        </w:rPr>
        <w:t>○○</w:t>
      </w:r>
      <w:r w:rsidRPr="00A34D65">
        <w:rPr>
          <w:rFonts w:hAnsi="標楷體" w:hint="eastAsia"/>
        </w:rPr>
        <w:t>醫院所屬醫師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業務過失致死，經桃園地檢署105年度他</w:t>
      </w:r>
      <w:r w:rsidR="00A34D65">
        <w:rPr>
          <w:rFonts w:hAnsi="標楷體" w:hint="eastAsia"/>
        </w:rPr>
        <w:t>字第○號</w:t>
      </w:r>
      <w:r w:rsidRPr="00A34D65">
        <w:rPr>
          <w:rFonts w:hAnsi="標楷體" w:hint="eastAsia"/>
        </w:rPr>
        <w:t>、106年度偵字第</w:t>
      </w:r>
      <w:r w:rsidR="00E44301">
        <w:rPr>
          <w:rFonts w:hAnsi="標楷體" w:hint="eastAsia"/>
        </w:rPr>
        <w:t>○</w:t>
      </w:r>
      <w:r w:rsidRPr="00A34D65">
        <w:rPr>
          <w:rFonts w:hAnsi="標楷體" w:hint="eastAsia"/>
        </w:rPr>
        <w:t>號不起訴處分及高檢署107年度上聲議字第</w:t>
      </w:r>
      <w:r w:rsidR="00E44301">
        <w:rPr>
          <w:rFonts w:hAnsi="標楷體" w:hint="eastAsia"/>
        </w:rPr>
        <w:t>○</w:t>
      </w:r>
      <w:r w:rsidRPr="00A34D65">
        <w:rPr>
          <w:rFonts w:hAnsi="標楷體" w:hint="eastAsia"/>
        </w:rPr>
        <w:t>號駁回再議處分。</w:t>
      </w:r>
    </w:p>
    <w:p w:rsidR="00A00572" w:rsidRPr="00A34D65" w:rsidRDefault="00A00572" w:rsidP="00A00572">
      <w:pPr>
        <w:pStyle w:val="3"/>
        <w:rPr>
          <w:rFonts w:hAnsi="標楷體"/>
        </w:rPr>
      </w:pPr>
      <w:r w:rsidRPr="00A34D65">
        <w:rPr>
          <w:rFonts w:hAnsi="標楷體" w:hint="eastAsia"/>
        </w:rPr>
        <w:t>陳訴人指稱:「檢察官未參酌文獻而為過失之判斷。檢察官已違背醫理及文獻所述之醫學經驗法則，更有論理之錯誤」、「桃園地檢署105年度他</w:t>
      </w:r>
      <w:r w:rsidR="00A34D65">
        <w:rPr>
          <w:rFonts w:hAnsi="標楷體" w:hint="eastAsia"/>
        </w:rPr>
        <w:t>字第○號</w:t>
      </w:r>
      <w:r w:rsidRPr="00A34D65">
        <w:rPr>
          <w:rFonts w:hAnsi="標楷體" w:hint="eastAsia"/>
        </w:rPr>
        <w:t>及106年度偵字第</w:t>
      </w:r>
      <w:r w:rsidR="00E44301">
        <w:rPr>
          <w:rFonts w:hAnsi="標楷體" w:hint="eastAsia"/>
        </w:rPr>
        <w:t>○</w:t>
      </w:r>
      <w:r w:rsidRPr="00A34D65">
        <w:rPr>
          <w:rFonts w:hAnsi="標楷體" w:hint="eastAsia"/>
        </w:rPr>
        <w:t>號，高檢署107年度上聲議字第</w:t>
      </w:r>
      <w:r w:rsidR="00E44301">
        <w:rPr>
          <w:rFonts w:hAnsi="標楷體" w:hint="eastAsia"/>
        </w:rPr>
        <w:lastRenderedPageBreak/>
        <w:t>○</w:t>
      </w:r>
      <w:r w:rsidRPr="00A34D65">
        <w:rPr>
          <w:rFonts w:hAnsi="標楷體" w:hint="eastAsia"/>
        </w:rPr>
        <w:t>號，採納醫審會鑑定報告及法醫研究所鑑定資料，未查證鑑定資料的真實性，只聽信被告</w:t>
      </w:r>
      <w:r w:rsidR="00A34D65">
        <w:rPr>
          <w:rFonts w:hAnsi="標楷體" w:hint="eastAsia"/>
        </w:rPr>
        <w:t>李○○</w:t>
      </w:r>
      <w:r w:rsidRPr="00A34D65">
        <w:rPr>
          <w:rFonts w:hAnsi="標楷體" w:hint="eastAsia"/>
        </w:rPr>
        <w:t>及</w:t>
      </w:r>
      <w:r w:rsidR="00A34D65">
        <w:rPr>
          <w:rFonts w:hAnsi="標楷體" w:hint="eastAsia"/>
        </w:rPr>
        <w:t>蘇○○</w:t>
      </w:r>
      <w:r w:rsidRPr="00A34D65">
        <w:rPr>
          <w:rFonts w:hAnsi="標楷體" w:hint="eastAsia"/>
        </w:rPr>
        <w:t>的詢問筆錄，檢察官沒有讓陳訴人和兩位被告當面</w:t>
      </w:r>
      <w:r w:rsidR="00035782" w:rsidRPr="00A34D65">
        <w:rPr>
          <w:rFonts w:hAnsi="標楷體" w:hint="eastAsia"/>
        </w:rPr>
        <w:t>對質，沒有將陳訴人所提供的護理紀</w:t>
      </w:r>
      <w:r w:rsidRPr="00A34D65">
        <w:rPr>
          <w:rFonts w:hAnsi="標楷體" w:hint="eastAsia"/>
        </w:rPr>
        <w:t>錄單、各項檢查報告(含電腦斷層血管攝影)</w:t>
      </w:r>
      <w:r w:rsidR="00035782" w:rsidRPr="00A34D65">
        <w:rPr>
          <w:rFonts w:hAnsi="標楷體" w:hint="eastAsia"/>
        </w:rPr>
        <w:t>、病程紀</w:t>
      </w:r>
      <w:r w:rsidRPr="00A34D65">
        <w:rPr>
          <w:rFonts w:hAnsi="標楷體" w:hint="eastAsia"/>
        </w:rPr>
        <w:t>錄影本及諸多醫學文獻等事證實質偵查比對，對被告</w:t>
      </w:r>
      <w:r w:rsidR="00A34D65">
        <w:rPr>
          <w:rFonts w:hAnsi="標楷體" w:hint="eastAsia"/>
        </w:rPr>
        <w:t>李○○</w:t>
      </w:r>
      <w:r w:rsidRPr="00A34D65">
        <w:rPr>
          <w:rFonts w:hAnsi="標楷體" w:hint="eastAsia"/>
        </w:rPr>
        <w:t>及</w:t>
      </w:r>
      <w:r w:rsidR="00A34D65">
        <w:rPr>
          <w:rFonts w:hAnsi="標楷體" w:hint="eastAsia"/>
        </w:rPr>
        <w:t>蘇○○</w:t>
      </w:r>
      <w:r w:rsidRPr="00A34D65">
        <w:rPr>
          <w:rFonts w:hAnsi="標楷體" w:hint="eastAsia"/>
        </w:rPr>
        <w:t>率為不起訴處分」、「桃園地檢署105年度他</w:t>
      </w:r>
      <w:r w:rsidR="00A34D65">
        <w:rPr>
          <w:rFonts w:hAnsi="標楷體" w:hint="eastAsia"/>
        </w:rPr>
        <w:t>字第○號</w:t>
      </w:r>
      <w:r w:rsidRPr="00A34D65">
        <w:rPr>
          <w:rFonts w:hAnsi="標楷體" w:hint="eastAsia"/>
        </w:rPr>
        <w:t>、桃園地檢署106年度偵字第</w:t>
      </w:r>
      <w:r w:rsidR="00E44301">
        <w:rPr>
          <w:rFonts w:hAnsi="標楷體" w:hint="eastAsia"/>
        </w:rPr>
        <w:t>○</w:t>
      </w:r>
      <w:r w:rsidRPr="00A34D65">
        <w:rPr>
          <w:rFonts w:hAnsi="標楷體" w:hint="eastAsia"/>
        </w:rPr>
        <w:t>號及高等法院檢察署107年度上聲議字第</w:t>
      </w:r>
      <w:r w:rsidR="00E44301">
        <w:rPr>
          <w:rFonts w:hAnsi="標楷體" w:hint="eastAsia"/>
        </w:rPr>
        <w:t>○</w:t>
      </w:r>
      <w:r w:rsidRPr="00A34D65">
        <w:rPr>
          <w:rFonts w:hAnsi="標楷體" w:hint="eastAsia"/>
        </w:rPr>
        <w:t>號涉有違失」等節。</w:t>
      </w:r>
    </w:p>
    <w:p w:rsidR="00A00572" w:rsidRPr="00A34D65" w:rsidRDefault="00A00572" w:rsidP="00A00572">
      <w:pPr>
        <w:pStyle w:val="3"/>
        <w:rPr>
          <w:rFonts w:hAnsi="標楷體"/>
        </w:rPr>
      </w:pPr>
      <w:r w:rsidRPr="00A34D65">
        <w:rPr>
          <w:rFonts w:hAnsi="標楷體" w:hint="eastAsia"/>
        </w:rPr>
        <w:t>經查，陳訴人母親經</w:t>
      </w:r>
      <w:r w:rsidR="00A34D65">
        <w:rPr>
          <w:rFonts w:hAnsi="標楷體" w:hint="eastAsia"/>
        </w:rPr>
        <w:t>○○</w:t>
      </w:r>
      <w:r w:rsidRPr="00A34D65">
        <w:rPr>
          <w:rFonts w:hAnsi="標楷體" w:hint="eastAsia"/>
        </w:rPr>
        <w:t>醫院所屬醫師於99年3月10日進行左下肢股淺動脈支架植入手術，99年3月13日死亡，並無法醫解剖報告可資釐清真正死亡原因，又醫審會、</w:t>
      </w:r>
      <w:r w:rsidRPr="00A34D65">
        <w:rPr>
          <w:rFonts w:hAnsi="標楷體" w:hint="eastAsia"/>
          <w:szCs w:val="32"/>
        </w:rPr>
        <w:t>臺北榮民總醫院及</w:t>
      </w:r>
      <w:r w:rsidRPr="00A34D65">
        <w:rPr>
          <w:rFonts w:hAnsi="標楷體" w:hint="eastAsia"/>
        </w:rPr>
        <w:t>財團法人私立高雄醫學大學附設中和紀念醫院</w:t>
      </w:r>
      <w:r w:rsidRPr="00A34D65">
        <w:rPr>
          <w:rFonts w:hAnsi="標楷體" w:hint="eastAsia"/>
          <w:szCs w:val="32"/>
        </w:rPr>
        <w:t>認定，</w:t>
      </w:r>
      <w:r w:rsidR="00A34D65">
        <w:rPr>
          <w:rFonts w:hAnsi="標楷體" w:hint="eastAsia"/>
          <w:szCs w:val="32"/>
        </w:rPr>
        <w:t>○○</w:t>
      </w:r>
      <w:r w:rsidRPr="00A34D65">
        <w:rPr>
          <w:rFonts w:hAnsi="標楷體" w:hint="eastAsia"/>
        </w:rPr>
        <w:t>醫院</w:t>
      </w:r>
      <w:r w:rsidRPr="00A34D65">
        <w:rPr>
          <w:rFonts w:hAnsi="標楷體" w:cs="細明體" w:hint="eastAsia"/>
        </w:rPr>
        <w:t>選</w:t>
      </w:r>
      <w:r w:rsidRPr="00A34D65">
        <w:rPr>
          <w:rFonts w:hAnsi="標楷體" w:hint="eastAsia"/>
        </w:rPr>
        <w:t>擇股淺動脈支架置放手術符合醫療常規，且</w:t>
      </w:r>
      <w:r w:rsidRPr="00A34D65">
        <w:rPr>
          <w:rFonts w:hAnsi="標楷體" w:cs="新細明體" w:hint="eastAsia"/>
          <w:kern w:val="0"/>
          <w:szCs w:val="32"/>
          <w:lang w:val="x-none"/>
        </w:rPr>
        <w:t>支架置放初期給予Heparin抗凝血劑，可預防支架內血栓，符合醫療常規</w:t>
      </w:r>
      <w:r w:rsidRPr="00A34D65">
        <w:rPr>
          <w:rStyle w:val="afe"/>
          <w:rFonts w:hAnsi="標楷體" w:cs="新細明體"/>
          <w:kern w:val="0"/>
          <w:szCs w:val="32"/>
          <w:lang w:val="x-none"/>
        </w:rPr>
        <w:footnoteReference w:id="4"/>
      </w:r>
      <w:r w:rsidRPr="00A34D65">
        <w:rPr>
          <w:rFonts w:hAnsi="標楷體" w:cs="新細明體" w:hint="eastAsia"/>
          <w:kern w:val="0"/>
          <w:szCs w:val="32"/>
          <w:lang w:val="x-none"/>
        </w:rPr>
        <w:t>。另</w:t>
      </w:r>
      <w:r w:rsidRPr="00A34D65">
        <w:rPr>
          <w:rFonts w:hAnsi="標楷體" w:hint="eastAsia"/>
        </w:rPr>
        <w:t>法務部108年7月16日函復本院意見，經交據高檢署以108年7月9日檢紀玄108調174字第1080000790號函，經調閱桃園地檢署105年度他</w:t>
      </w:r>
      <w:r w:rsidR="00A34D65">
        <w:rPr>
          <w:rFonts w:hAnsi="標楷體" w:hint="eastAsia"/>
        </w:rPr>
        <w:t>字第○號</w:t>
      </w:r>
      <w:r w:rsidRPr="00A34D65">
        <w:rPr>
          <w:rFonts w:hAnsi="標楷體" w:hint="eastAsia"/>
        </w:rPr>
        <w:t>、106年度偵字第</w:t>
      </w:r>
      <w:r w:rsidR="00E44301">
        <w:rPr>
          <w:rFonts w:hAnsi="標楷體" w:hint="eastAsia"/>
        </w:rPr>
        <w:t>○</w:t>
      </w:r>
      <w:r w:rsidRPr="00A34D65">
        <w:rPr>
          <w:rFonts w:hAnsi="標楷體" w:hint="eastAsia"/>
        </w:rPr>
        <w:t>號等案卷，檢察官於偵辦該案件時，對於陳訴人之意見已予以尊重，並無未提供陳訴人到庭詢問被告之機會即採信被告陳訴。</w:t>
      </w:r>
    </w:p>
    <w:p w:rsidR="00A00572" w:rsidRPr="00A34D65" w:rsidRDefault="00A00572" w:rsidP="00A00572">
      <w:pPr>
        <w:pStyle w:val="3"/>
        <w:rPr>
          <w:rFonts w:hAnsi="標楷體"/>
        </w:rPr>
      </w:pPr>
      <w:r w:rsidRPr="00A34D65">
        <w:rPr>
          <w:rFonts w:hAnsi="標楷體" w:hint="eastAsia"/>
        </w:rPr>
        <w:t>桃園地檢署檢察官於106年度偵字第</w:t>
      </w:r>
      <w:r w:rsidR="00E44301">
        <w:rPr>
          <w:rFonts w:hAnsi="標楷體" w:hint="eastAsia"/>
        </w:rPr>
        <w:t>○</w:t>
      </w:r>
      <w:r w:rsidRPr="00A34D65">
        <w:rPr>
          <w:rFonts w:hAnsi="標楷體" w:hint="eastAsia"/>
        </w:rPr>
        <w:t>號不起訴處分書中，對於陳訴人所提出，認為被告涉有業務過失致死罪嫌之主張，業已就醫審會、法醫研究所鑑定意見詳為</w:t>
      </w:r>
      <w:r w:rsidR="00E44301">
        <w:rPr>
          <w:rFonts w:hAnsi="標楷體" w:hint="eastAsia"/>
        </w:rPr>
        <w:t>斟酌論述，亦有與臺北榮民總醫院函文</w:t>
      </w:r>
      <w:r w:rsidR="00E44301">
        <w:rPr>
          <w:rFonts w:hAnsi="標楷體" w:hint="eastAsia"/>
        </w:rPr>
        <w:lastRenderedPageBreak/>
        <w:t>意見互相對照參酌，於綜據卷證資</w:t>
      </w:r>
      <w:r w:rsidRPr="00A34D65">
        <w:rPr>
          <w:rFonts w:hAnsi="標楷體" w:hint="eastAsia"/>
        </w:rPr>
        <w:t>料後，認被告所採醫療行為符合醫療常規，尚難遽認被告涉有業務過失致死罪，乃依法為不起訴處分，此觀該案不起訴處分書之記載自明。嗣陳訴人不服而聲請再議，經高檢署以107年度上聲議字第</w:t>
      </w:r>
      <w:r w:rsidR="00E44301">
        <w:rPr>
          <w:rFonts w:hAnsi="標楷體" w:hint="eastAsia"/>
        </w:rPr>
        <w:t>○</w:t>
      </w:r>
      <w:r w:rsidRPr="00A34D65">
        <w:rPr>
          <w:rFonts w:hAnsi="標楷體" w:hint="eastAsia"/>
        </w:rPr>
        <w:t>號處分書駁回，其中亦記載陳訴人主張，而綜合醫審會、法醫研究所鑑定及臺北榮民總醫院意見，認無積極證據足證明</w:t>
      </w:r>
      <w:r w:rsidR="00A34D65">
        <w:rPr>
          <w:rFonts w:hAnsi="標楷體" w:hint="eastAsia"/>
        </w:rPr>
        <w:t>○○</w:t>
      </w:r>
      <w:r w:rsidRPr="00A34D65">
        <w:rPr>
          <w:rFonts w:hAnsi="標楷體" w:hint="eastAsia"/>
        </w:rPr>
        <w:t>醫院所屬醫師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有何醫療疏失致陳訴人之母發生死亡結果。</w:t>
      </w:r>
    </w:p>
    <w:p w:rsidR="00A00572" w:rsidRPr="00A34D65" w:rsidRDefault="00A00572" w:rsidP="00A00572">
      <w:pPr>
        <w:pStyle w:val="3"/>
        <w:rPr>
          <w:rFonts w:hAnsi="標楷體"/>
        </w:rPr>
      </w:pPr>
      <w:r w:rsidRPr="00A34D65">
        <w:rPr>
          <w:rFonts w:hAnsi="標楷體" w:hint="eastAsia"/>
        </w:rPr>
        <w:t>陳訴人向桃園地方法院聲請交付審判，桃園地方法院以107年度聲判字</w:t>
      </w:r>
      <w:r w:rsidR="00D4124B">
        <w:rPr>
          <w:rFonts w:hAnsi="標楷體" w:hint="eastAsia"/>
        </w:rPr>
        <w:t>第○號</w:t>
      </w:r>
      <w:r w:rsidRPr="00A34D65">
        <w:rPr>
          <w:rFonts w:hAnsi="標楷體" w:hint="eastAsia"/>
        </w:rPr>
        <w:t>案件審理，亦認依卷存事證，尚無從認定</w:t>
      </w:r>
      <w:r w:rsidR="00A34D65">
        <w:rPr>
          <w:rFonts w:hAnsi="標楷體" w:hint="eastAsia"/>
        </w:rPr>
        <w:t>○○</w:t>
      </w:r>
      <w:r w:rsidRPr="00A34D65">
        <w:rPr>
          <w:rFonts w:hAnsi="標楷體" w:hint="eastAsia"/>
        </w:rPr>
        <w:t>醫院所屬醫師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對陳訴人母親施用抗凝血劑之行為，與其死亡之結果有何因果關係；亦無從認定</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醫師對陳訴人母親術後相關症狀所採取醫療行為有何過失，應認其等犯罪嫌疑不足，是原不起訴及駁回再議處分並無不當。</w:t>
      </w:r>
    </w:p>
    <w:p w:rsidR="00A00572" w:rsidRPr="00A34D65" w:rsidRDefault="00A00572" w:rsidP="00A00572">
      <w:pPr>
        <w:pStyle w:val="3"/>
        <w:rPr>
          <w:rFonts w:hAnsi="標楷體"/>
        </w:rPr>
      </w:pPr>
      <w:r w:rsidRPr="00A34D65">
        <w:rPr>
          <w:rFonts w:hAnsi="標楷體" w:hint="eastAsia"/>
        </w:rPr>
        <w:t>綜上，陳訴人告訴醫師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業務過失致死案，</w:t>
      </w:r>
      <w:r w:rsidRPr="00A34D65">
        <w:rPr>
          <w:rFonts w:hAnsi="標楷體" w:hint="eastAsia"/>
          <w:szCs w:val="32"/>
        </w:rPr>
        <w:t>經桃園地檢署105年度他</w:t>
      </w:r>
      <w:r w:rsidR="00A34D65">
        <w:rPr>
          <w:rFonts w:hAnsi="標楷體" w:hint="eastAsia"/>
          <w:szCs w:val="32"/>
        </w:rPr>
        <w:t>字第○號</w:t>
      </w:r>
      <w:r w:rsidRPr="00A34D65">
        <w:rPr>
          <w:rFonts w:hAnsi="標楷體" w:hint="eastAsia"/>
          <w:szCs w:val="32"/>
        </w:rPr>
        <w:t>、106年度偵字第</w:t>
      </w:r>
      <w:r w:rsidR="00E44301">
        <w:rPr>
          <w:rFonts w:hAnsi="標楷體" w:hint="eastAsia"/>
          <w:szCs w:val="32"/>
        </w:rPr>
        <w:t>○</w:t>
      </w:r>
      <w:r w:rsidRPr="00A34D65">
        <w:rPr>
          <w:rFonts w:hAnsi="標楷體" w:hint="eastAsia"/>
          <w:szCs w:val="32"/>
        </w:rPr>
        <w:t>號不起訴處分及</w:t>
      </w:r>
      <w:r w:rsidRPr="00A34D65">
        <w:rPr>
          <w:rFonts w:hAnsi="標楷體" w:hint="eastAsia"/>
        </w:rPr>
        <w:t>高檢署107年度上聲議字第</w:t>
      </w:r>
      <w:r w:rsidR="00E44301">
        <w:rPr>
          <w:rFonts w:hAnsi="標楷體" w:hint="eastAsia"/>
        </w:rPr>
        <w:t>○</w:t>
      </w:r>
      <w:r w:rsidRPr="00A34D65">
        <w:rPr>
          <w:rFonts w:hAnsi="標楷體" w:hint="eastAsia"/>
        </w:rPr>
        <w:t>號處分書駁回</w:t>
      </w:r>
      <w:r w:rsidRPr="00A34D65">
        <w:rPr>
          <w:rFonts w:hAnsi="標楷體" w:hint="eastAsia"/>
          <w:szCs w:val="32"/>
        </w:rPr>
        <w:t>，</w:t>
      </w:r>
      <w:r w:rsidRPr="00A34D65">
        <w:rPr>
          <w:rFonts w:hAnsi="標楷體" w:hint="eastAsia"/>
        </w:rPr>
        <w:t>檢察官偵辦案件，並未有發現鑑定報告涉有瑕疵竟視而不見，或有對陳訴人主張事證未詳加斟酌比對且逕偏信被告陳述率為不起訴處分等違失，並無積極證據認有違背法令之虞。惟仍期許檢察官基於論理法則及同理心，針對當事人指摘爭點詳加敘述理由，避免民眾誤解。</w:t>
      </w:r>
    </w:p>
    <w:p w:rsidR="00A00572" w:rsidRPr="00A34D65" w:rsidRDefault="00A00572" w:rsidP="00A00572">
      <w:pPr>
        <w:pStyle w:val="2"/>
        <w:rPr>
          <w:rFonts w:hAnsi="標楷體"/>
        </w:rPr>
      </w:pPr>
      <w:r w:rsidRPr="00A34D65">
        <w:rPr>
          <w:rFonts w:hAnsi="標楷體" w:hint="eastAsia"/>
          <w:b/>
        </w:rPr>
        <w:t>基於病患主體性尊重，醫師必須對病人之病情、治療方式、可能風險與替代治療方式等內容加以說明，協助病患於充分了解自身病情的情況下做出治療方式等的醫療決定，透過溝通賦予病人衡量自身風險之能</w:t>
      </w:r>
      <w:r w:rsidRPr="00A34D65">
        <w:rPr>
          <w:rFonts w:hAnsi="標楷體" w:hint="eastAsia"/>
          <w:b/>
        </w:rPr>
        <w:lastRenderedPageBreak/>
        <w:t>力，亦有助於病人生命身體之維護。基於醫病關係，病患對於醫師產生特殊信賴，醫院在合理期待與信賴之基礎上對病患負有一定之誠實信賴保護義務。依據醫療法63條規定，醫師有告知說明義務，且醫師必須實質履行告知說明義務，非具有手術同意書即足，醫師有無違反告知說明義務，對於醫療責任帶來影響，鑑於數位科技日趨發達，數位保存方式成本不高，且司法實務上已採行錄音、錄影等數位方式留存相關證據，醫療實務是否考慮以錄音、錄影等數位方式留存證據，固不因個案改變政策，惟為消彌醫療紛爭，證明醫師已確實踐行告知說明義務，仍請主管機關召集醫病雙方團體共同討論研究。</w:t>
      </w:r>
    </w:p>
    <w:p w:rsidR="00A00572" w:rsidRPr="00A34D65" w:rsidRDefault="00A00572" w:rsidP="00A00572">
      <w:pPr>
        <w:pStyle w:val="3"/>
        <w:rPr>
          <w:rFonts w:hAnsi="標楷體"/>
        </w:rPr>
      </w:pPr>
      <w:r w:rsidRPr="00A34D65">
        <w:rPr>
          <w:rFonts w:hAnsi="標楷體" w:hint="eastAsia"/>
        </w:rPr>
        <w:t>陳訴人母親因左足背傷口久未癒合，於</w:t>
      </w:r>
      <w:r w:rsidR="00A34D65">
        <w:rPr>
          <w:rFonts w:hAnsi="標楷體" w:hint="eastAsia"/>
        </w:rPr>
        <w:t>○○</w:t>
      </w:r>
      <w:r w:rsidRPr="00A34D65">
        <w:rPr>
          <w:rFonts w:hAnsi="標楷體" w:hint="eastAsia"/>
        </w:rPr>
        <w:t>醫院接受左下肢股淺動脈支架植入手術，</w:t>
      </w:r>
      <w:r w:rsidRPr="00A34D65">
        <w:rPr>
          <w:rFonts w:hAnsi="標楷體"/>
        </w:rPr>
        <w:t>99</w:t>
      </w:r>
      <w:r w:rsidRPr="00A34D65">
        <w:rPr>
          <w:rFonts w:hAnsi="標楷體" w:hint="eastAsia"/>
        </w:rPr>
        <w:t>年3月9日入院，99年3月10日手術，99年3月13日死亡。100年間陳訴人主張</w:t>
      </w:r>
      <w:r w:rsidR="00A34D65">
        <w:rPr>
          <w:rFonts w:hAnsi="標楷體" w:hint="eastAsia"/>
        </w:rPr>
        <w:t>○○</w:t>
      </w:r>
      <w:r w:rsidRPr="00A34D65">
        <w:rPr>
          <w:rFonts w:hAnsi="標楷體" w:hint="eastAsia"/>
        </w:rPr>
        <w:t>醫院所屬醫師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有醫療疏失，訴請</w:t>
      </w:r>
      <w:r w:rsidR="00A34D65">
        <w:rPr>
          <w:rFonts w:hAnsi="標楷體" w:hint="eastAsia"/>
        </w:rPr>
        <w:t>○○</w:t>
      </w:r>
      <w:r w:rsidRPr="00A34D65">
        <w:rPr>
          <w:rFonts w:hAnsi="標楷體" w:hint="eastAsia"/>
        </w:rPr>
        <w:t>醫院應負損害賠償之責。桃園地方法院100年度</w:t>
      </w:r>
      <w:r w:rsidR="00A34D65" w:rsidRPr="00A34D65">
        <w:rPr>
          <w:rFonts w:hAnsi="標楷體" w:hint="eastAsia"/>
        </w:rPr>
        <w:t>醫字第○號</w:t>
      </w:r>
      <w:r w:rsidRPr="00A34D65">
        <w:rPr>
          <w:rFonts w:hAnsi="標楷體" w:hint="eastAsia"/>
        </w:rPr>
        <w:t>判決，認定其主張並不可採，而裁判其敗訴，經高等法院102年度</w:t>
      </w:r>
      <w:r w:rsidR="00A34D65" w:rsidRPr="00A34D65">
        <w:rPr>
          <w:rFonts w:hAnsi="標楷體" w:hint="eastAsia"/>
        </w:rPr>
        <w:t>醫上字第○號</w:t>
      </w:r>
      <w:r w:rsidRPr="00A34D65">
        <w:rPr>
          <w:rFonts w:hAnsi="標楷體" w:hint="eastAsia"/>
        </w:rPr>
        <w:t>判決：陳訴人之母至醫院門診檢查下肢傷口久不癒合應係血管阻塞，如情況嚴重，會建議血管氣球擴張術或放置血管支架，並已告知相關風險，有主治醫師</w:t>
      </w:r>
      <w:r w:rsidR="00A34D65">
        <w:rPr>
          <w:rFonts w:hAnsi="標楷體" w:hint="eastAsia"/>
        </w:rPr>
        <w:t>李○○</w:t>
      </w:r>
      <w:r w:rsidRPr="00A34D65">
        <w:rPr>
          <w:rFonts w:hAnsi="標楷體" w:hint="eastAsia"/>
        </w:rPr>
        <w:t>證述、病患之護理紀錄單及記錄護士證述，足認進行手術前，業經李醫師告知手術相關風險及注意事項，病患並同意禁食以利進行手術，且簽立手術同意書為據。嗣最高法院以105年度台上</w:t>
      </w:r>
      <w:r w:rsidR="00A34D65">
        <w:rPr>
          <w:rFonts w:hAnsi="標楷體" w:hint="eastAsia"/>
        </w:rPr>
        <w:t>字第○號</w:t>
      </w:r>
      <w:r w:rsidRPr="00A34D65">
        <w:rPr>
          <w:rFonts w:hAnsi="標楷體" w:hint="eastAsia"/>
        </w:rPr>
        <w:t>裁定駁回確定、高等法院105年度醫再字</w:t>
      </w:r>
      <w:r w:rsidR="00A34D65">
        <w:rPr>
          <w:rFonts w:hAnsi="標楷體" w:hint="eastAsia"/>
        </w:rPr>
        <w:t>第○號</w:t>
      </w:r>
      <w:r w:rsidRPr="00A34D65">
        <w:rPr>
          <w:rFonts w:hAnsi="標楷體" w:hint="eastAsia"/>
        </w:rPr>
        <w:t>再審之訴駁回。</w:t>
      </w:r>
      <w:r w:rsidRPr="00A34D65">
        <w:rPr>
          <w:rFonts w:hAnsi="標楷體" w:cs="新細明體" w:hint="eastAsia"/>
          <w:kern w:val="0"/>
          <w:szCs w:val="32"/>
          <w:lang w:val="x-none"/>
        </w:rPr>
        <w:t>陳訴人於</w:t>
      </w:r>
      <w:r w:rsidRPr="00A34D65">
        <w:rPr>
          <w:rFonts w:hAnsi="標楷體" w:cs="新細明體"/>
          <w:kern w:val="0"/>
          <w:szCs w:val="32"/>
          <w:lang w:val="x-none"/>
        </w:rPr>
        <w:t>106</w:t>
      </w:r>
      <w:r w:rsidRPr="00A34D65">
        <w:rPr>
          <w:rFonts w:hAnsi="標楷體" w:cs="新細明體" w:hint="eastAsia"/>
          <w:kern w:val="0"/>
          <w:szCs w:val="32"/>
          <w:lang w:val="x-none"/>
        </w:rPr>
        <w:t>年以同一事實原因以</w:t>
      </w:r>
      <w:r w:rsidR="00A34D65">
        <w:rPr>
          <w:rFonts w:hAnsi="標楷體" w:cs="新細明體" w:hint="eastAsia"/>
          <w:kern w:val="0"/>
          <w:szCs w:val="32"/>
          <w:lang w:val="x-none"/>
        </w:rPr>
        <w:t>李○○</w:t>
      </w:r>
      <w:r w:rsidRPr="00A34D65">
        <w:rPr>
          <w:rFonts w:hAnsi="標楷體" w:cs="新細明體" w:hint="eastAsia"/>
          <w:kern w:val="0"/>
          <w:szCs w:val="32"/>
          <w:lang w:val="x-none"/>
        </w:rPr>
        <w:t>、</w:t>
      </w:r>
      <w:r w:rsidR="00A34D65">
        <w:rPr>
          <w:rFonts w:hAnsi="標楷體" w:cs="新細明體" w:hint="eastAsia"/>
          <w:kern w:val="0"/>
          <w:szCs w:val="32"/>
          <w:lang w:val="x-none"/>
        </w:rPr>
        <w:t>蘇○○</w:t>
      </w:r>
      <w:r w:rsidRPr="00A34D65">
        <w:rPr>
          <w:rFonts w:hAnsi="標楷體" w:cs="新細明體" w:hint="eastAsia"/>
          <w:kern w:val="0"/>
          <w:szCs w:val="32"/>
          <w:lang w:val="x-none"/>
        </w:rPr>
        <w:t>為被告，提起損害賠償之訴，桃園地方法院106年度醫</w:t>
      </w:r>
      <w:r w:rsidR="00A34D65">
        <w:rPr>
          <w:rFonts w:hAnsi="標楷體" w:cs="新細明體" w:hint="eastAsia"/>
          <w:kern w:val="0"/>
          <w:szCs w:val="32"/>
          <w:lang w:val="x-none"/>
        </w:rPr>
        <w:t>第○號</w:t>
      </w:r>
      <w:r w:rsidRPr="00A34D65">
        <w:rPr>
          <w:rFonts w:hAnsi="標楷體" w:cs="新細明體" w:hint="eastAsia"/>
          <w:kern w:val="0"/>
          <w:szCs w:val="32"/>
          <w:lang w:val="x-none"/>
        </w:rPr>
        <w:t>判決、高等法</w:t>
      </w:r>
      <w:r w:rsidRPr="00A34D65">
        <w:rPr>
          <w:rFonts w:hAnsi="標楷體" w:cs="新細明體" w:hint="eastAsia"/>
          <w:kern w:val="0"/>
          <w:szCs w:val="32"/>
          <w:lang w:val="x-none"/>
        </w:rPr>
        <w:lastRenderedPageBreak/>
        <w:t>院</w:t>
      </w:r>
      <w:r w:rsidRPr="00A34D65">
        <w:rPr>
          <w:rFonts w:hAnsi="標楷體" w:cs="新細明體"/>
          <w:kern w:val="0"/>
          <w:szCs w:val="32"/>
          <w:lang w:val="x-none"/>
        </w:rPr>
        <w:t>107</w:t>
      </w:r>
      <w:r w:rsidRPr="00A34D65">
        <w:rPr>
          <w:rFonts w:hAnsi="標楷體" w:cs="新細明體" w:hint="eastAsia"/>
          <w:kern w:val="0"/>
          <w:szCs w:val="32"/>
          <w:lang w:val="x-none"/>
        </w:rPr>
        <w:t>年度醫上字</w:t>
      </w:r>
      <w:r w:rsidR="00A34D65">
        <w:rPr>
          <w:rFonts w:hAnsi="標楷體" w:cs="新細明體" w:hint="eastAsia"/>
          <w:kern w:val="0"/>
          <w:szCs w:val="32"/>
          <w:lang w:val="x-none"/>
        </w:rPr>
        <w:t>第○號</w:t>
      </w:r>
      <w:r w:rsidRPr="00A34D65">
        <w:rPr>
          <w:rFonts w:hAnsi="標楷體" w:cs="新細明體" w:hint="eastAsia"/>
          <w:kern w:val="0"/>
          <w:szCs w:val="32"/>
          <w:lang w:val="x-none"/>
        </w:rPr>
        <w:t>判決，</w:t>
      </w:r>
      <w:r w:rsidRPr="00A34D65">
        <w:rPr>
          <w:rFonts w:hAnsi="標楷體" w:hint="eastAsia"/>
        </w:rPr>
        <w:t>均以陳訴人起訴已逾民法第197條第1項規定之2年時效期間判決駁回。另陳訴人向桃園地檢署告訴</w:t>
      </w:r>
      <w:r w:rsidR="00A34D65">
        <w:rPr>
          <w:rFonts w:hAnsi="標楷體" w:hint="eastAsia"/>
        </w:rPr>
        <w:t>○○</w:t>
      </w:r>
      <w:r w:rsidRPr="00A34D65">
        <w:rPr>
          <w:rFonts w:hAnsi="標楷體" w:hint="eastAsia"/>
        </w:rPr>
        <w:t>醫院所屬醫師</w:t>
      </w:r>
      <w:r w:rsidR="00A34D65">
        <w:rPr>
          <w:rFonts w:hAnsi="標楷體" w:hint="eastAsia"/>
        </w:rPr>
        <w:t>李○○</w:t>
      </w:r>
      <w:r w:rsidRPr="00A34D65">
        <w:rPr>
          <w:rFonts w:hAnsi="標楷體" w:hint="eastAsia"/>
        </w:rPr>
        <w:t>、</w:t>
      </w:r>
      <w:r w:rsidR="00A34D65">
        <w:rPr>
          <w:rFonts w:hAnsi="標楷體" w:hint="eastAsia"/>
        </w:rPr>
        <w:t>蘇○○</w:t>
      </w:r>
      <w:r w:rsidRPr="00A34D65">
        <w:rPr>
          <w:rFonts w:hAnsi="標楷體" w:hint="eastAsia"/>
        </w:rPr>
        <w:t>業務過失致死，經桃園地檢署105年度他</w:t>
      </w:r>
      <w:r w:rsidR="00A34D65">
        <w:rPr>
          <w:rFonts w:hAnsi="標楷體" w:hint="eastAsia"/>
        </w:rPr>
        <w:t>字第○號</w:t>
      </w:r>
      <w:r w:rsidRPr="00A34D65">
        <w:rPr>
          <w:rFonts w:hAnsi="標楷體" w:hint="eastAsia"/>
        </w:rPr>
        <w:t>、106年度偵字第</w:t>
      </w:r>
      <w:r w:rsidR="00E44301">
        <w:rPr>
          <w:rFonts w:hAnsi="標楷體" w:hint="eastAsia"/>
        </w:rPr>
        <w:t>○</w:t>
      </w:r>
      <w:r w:rsidRPr="00A34D65">
        <w:rPr>
          <w:rFonts w:hAnsi="標楷體" w:hint="eastAsia"/>
        </w:rPr>
        <w:t>號不起訴處分及高檢署107年度上聲議字第</w:t>
      </w:r>
      <w:r w:rsidR="00E44301">
        <w:rPr>
          <w:rFonts w:hAnsi="標楷體" w:hint="eastAsia"/>
        </w:rPr>
        <w:t>○</w:t>
      </w:r>
      <w:r w:rsidRPr="00A34D65">
        <w:rPr>
          <w:rFonts w:hAnsi="標楷體" w:hint="eastAsia"/>
        </w:rPr>
        <w:t>號駁回再議處分。</w:t>
      </w:r>
    </w:p>
    <w:p w:rsidR="00A00572" w:rsidRPr="00A34D65" w:rsidRDefault="00A00572" w:rsidP="00A00572">
      <w:pPr>
        <w:pStyle w:val="3"/>
        <w:rPr>
          <w:rFonts w:hAnsi="標楷體"/>
        </w:rPr>
      </w:pPr>
      <w:r w:rsidRPr="00A34D65">
        <w:rPr>
          <w:rFonts w:hAnsi="標楷體" w:hint="eastAsia"/>
        </w:rPr>
        <w:t>陳訴人指稱：「手術前，醫師</w:t>
      </w:r>
      <w:r w:rsidR="00A34D65">
        <w:rPr>
          <w:rFonts w:hAnsi="標楷體" w:hint="eastAsia"/>
        </w:rPr>
        <w:t>李○○</w:t>
      </w:r>
      <w:r w:rsidRPr="00A34D65">
        <w:rPr>
          <w:rFonts w:hAnsi="標楷體" w:hint="eastAsia"/>
        </w:rPr>
        <w:t>並未說明必須進行系爭手術之必要性，</w:t>
      </w:r>
      <w:r w:rsidR="00A34D65">
        <w:rPr>
          <w:rFonts w:hAnsi="標楷體" w:hint="eastAsia"/>
        </w:rPr>
        <w:t>李○○</w:t>
      </w:r>
      <w:r w:rsidRPr="00A34D65">
        <w:rPr>
          <w:rFonts w:hAnsi="標楷體" w:hint="eastAsia"/>
        </w:rPr>
        <w:t>及</w:t>
      </w:r>
      <w:r w:rsidR="00A34D65">
        <w:rPr>
          <w:rFonts w:hAnsi="標楷體" w:hint="eastAsia"/>
        </w:rPr>
        <w:t>蘇○○</w:t>
      </w:r>
      <w:r w:rsidRPr="00A34D65">
        <w:rPr>
          <w:rFonts w:hAnsi="標楷體" w:hint="eastAsia"/>
        </w:rPr>
        <w:t>沒有向陳訴人母親及陳訴人說明手術風險、併發症及替代療法」、「醫師</w:t>
      </w:r>
      <w:r w:rsidR="00A34D65">
        <w:rPr>
          <w:rFonts w:hAnsi="標楷體" w:hint="eastAsia"/>
        </w:rPr>
        <w:t>李○○</w:t>
      </w:r>
      <w:r w:rsidRPr="00A34D65">
        <w:rPr>
          <w:rFonts w:hAnsi="標楷體" w:hint="eastAsia"/>
        </w:rPr>
        <w:t>根本就沒有向病患及家屬説明系爭手術的併發症。</w:t>
      </w:r>
      <w:r w:rsidR="00A34D65">
        <w:rPr>
          <w:rFonts w:hAnsi="標楷體" w:hint="eastAsia"/>
        </w:rPr>
        <w:t>李○○</w:t>
      </w:r>
      <w:r w:rsidRPr="00A34D65">
        <w:rPr>
          <w:rFonts w:hAnsi="標楷體" w:hint="eastAsia"/>
        </w:rPr>
        <w:t>竟然於陳訴人母親死亡後，為逃</w:t>
      </w:r>
      <w:r w:rsidR="00173161" w:rsidRPr="00A34D65">
        <w:rPr>
          <w:rFonts w:hAnsi="標楷體" w:hint="eastAsia"/>
        </w:rPr>
        <w:t>避民事訴訟及刑事</w:t>
      </w:r>
      <w:r w:rsidR="009C3B83" w:rsidRPr="00A34D65">
        <w:rPr>
          <w:rFonts w:hAnsi="標楷體" w:hint="eastAsia"/>
        </w:rPr>
        <w:t>責任</w:t>
      </w:r>
      <w:r w:rsidR="00173161" w:rsidRPr="00A34D65">
        <w:rPr>
          <w:rFonts w:hAnsi="標楷體" w:hint="eastAsia"/>
        </w:rPr>
        <w:t>，掩飾其未告知後同意的義務，以手寫添加這些併</w:t>
      </w:r>
      <w:r w:rsidRPr="00A34D65">
        <w:rPr>
          <w:rFonts w:hAnsi="標楷體" w:hint="eastAsia"/>
        </w:rPr>
        <w:t>發症的英文名稱」等節。</w:t>
      </w:r>
    </w:p>
    <w:p w:rsidR="00A00572" w:rsidRPr="00A34D65" w:rsidRDefault="00A00572" w:rsidP="00A00572">
      <w:pPr>
        <w:pStyle w:val="3"/>
        <w:rPr>
          <w:rFonts w:hAnsi="標楷體"/>
        </w:rPr>
      </w:pPr>
      <w:r w:rsidRPr="00A34D65">
        <w:rPr>
          <w:rFonts w:hAnsi="標楷體" w:hint="eastAsia"/>
        </w:rPr>
        <w:t>醫師告知義務及醫囑記載</w:t>
      </w:r>
      <w:r w:rsidRPr="00A34D65">
        <w:rPr>
          <w:rStyle w:val="afe"/>
          <w:rFonts w:hAnsi="標楷體"/>
        </w:rPr>
        <w:footnoteReference w:id="5"/>
      </w:r>
      <w:r w:rsidRPr="00A34D65">
        <w:rPr>
          <w:rFonts w:hAnsi="標楷體" w:hint="eastAsia"/>
        </w:rPr>
        <w:t>：</w:t>
      </w:r>
    </w:p>
    <w:p w:rsidR="00A00572" w:rsidRPr="00A34D65" w:rsidRDefault="00A00572" w:rsidP="00A00572">
      <w:pPr>
        <w:pStyle w:val="4"/>
        <w:rPr>
          <w:rFonts w:hAnsi="標楷體"/>
        </w:rPr>
      </w:pPr>
      <w:r w:rsidRPr="00A34D65">
        <w:rPr>
          <w:rFonts w:hAnsi="標楷體" w:hint="eastAsia"/>
        </w:rPr>
        <w:t>醫療基於自主原則，於醫療法第</w:t>
      </w:r>
      <w:r w:rsidRPr="00A34D65">
        <w:rPr>
          <w:rFonts w:hAnsi="標楷體"/>
        </w:rPr>
        <w:t>81</w:t>
      </w:r>
      <w:r w:rsidRPr="00A34D65">
        <w:rPr>
          <w:rFonts w:hAnsi="標楷體" w:hint="eastAsia"/>
        </w:rPr>
        <w:t>條規定，醫療機構對病人之病情、治療方針、處置、用藥等具說明義務。又手術及侵入性之檢查或治療，具立即性風險高，更需正視病患自主性之判斷，以維護病人醫療自主權，爰醫療法第</w:t>
      </w:r>
      <w:r w:rsidRPr="00A34D65">
        <w:rPr>
          <w:rFonts w:hAnsi="標楷體"/>
        </w:rPr>
        <w:t>63</w:t>
      </w:r>
      <w:r w:rsidRPr="00A34D65">
        <w:rPr>
          <w:rFonts w:hAnsi="標楷體" w:hint="eastAsia"/>
        </w:rPr>
        <w:t>條規定</w:t>
      </w:r>
      <w:r w:rsidRPr="00D4124B">
        <w:rPr>
          <w:rStyle w:val="afe"/>
          <w:rFonts w:hAnsi="標楷體"/>
        </w:rPr>
        <w:footnoteReference w:id="6"/>
      </w:r>
      <w:r w:rsidRPr="00A34D65">
        <w:rPr>
          <w:rFonts w:hAnsi="標楷體" w:hint="eastAsia"/>
        </w:rPr>
        <w:t>，醫療機構實施手術，應向病人或其法定代理人、配偶、親屬或關係人說明手術原因、手術成功率或可能發生之併發症及危險，並經其同意，簽具手術同意書及麻醉同意書，始得為之。手術同意書格式，由中央主管機關定之，違反者以同法第</w:t>
      </w:r>
      <w:r w:rsidRPr="00A34D65">
        <w:rPr>
          <w:rFonts w:hAnsi="標楷體"/>
        </w:rPr>
        <w:t>103</w:t>
      </w:r>
      <w:r w:rsidRPr="00A34D65">
        <w:rPr>
          <w:rFonts w:hAnsi="標楷體" w:hint="eastAsia"/>
        </w:rPr>
        <w:t>條規定論處。</w:t>
      </w:r>
    </w:p>
    <w:p w:rsidR="00A00572" w:rsidRPr="00A34D65" w:rsidRDefault="00A00572" w:rsidP="00A00572">
      <w:pPr>
        <w:pStyle w:val="4"/>
        <w:rPr>
          <w:rFonts w:hAnsi="標楷體"/>
        </w:rPr>
      </w:pPr>
      <w:r w:rsidRPr="00A34D65">
        <w:rPr>
          <w:rFonts w:hAnsi="標楷體" w:hint="eastAsia"/>
        </w:rPr>
        <w:t>衛生福利部依據前揭法律授權訂定，並於</w:t>
      </w:r>
      <w:r w:rsidRPr="00A34D65">
        <w:rPr>
          <w:rFonts w:hAnsi="標楷體"/>
        </w:rPr>
        <w:t>106</w:t>
      </w:r>
      <w:r w:rsidRPr="00A34D65">
        <w:rPr>
          <w:rFonts w:hAnsi="標楷體" w:hint="eastAsia"/>
        </w:rPr>
        <w:t>年</w:t>
      </w:r>
      <w:r w:rsidRPr="00A34D65">
        <w:rPr>
          <w:rFonts w:hAnsi="標楷體"/>
        </w:rPr>
        <w:lastRenderedPageBreak/>
        <w:t>11</w:t>
      </w:r>
      <w:r w:rsidRPr="00A34D65">
        <w:rPr>
          <w:rFonts w:hAnsi="標楷體" w:hint="eastAsia"/>
        </w:rPr>
        <w:t>月</w:t>
      </w:r>
      <w:r w:rsidRPr="00A34D65">
        <w:rPr>
          <w:rFonts w:hAnsi="標楷體"/>
        </w:rPr>
        <w:t>2</w:t>
      </w:r>
      <w:r w:rsidRPr="00A34D65">
        <w:rPr>
          <w:rFonts w:hAnsi="標楷體" w:hint="eastAsia"/>
        </w:rPr>
        <w:t>日以衛部醫字第</w:t>
      </w:r>
      <w:r w:rsidRPr="00A34D65">
        <w:rPr>
          <w:rFonts w:hAnsi="標楷體"/>
        </w:rPr>
        <w:t>1061665692</w:t>
      </w:r>
      <w:r w:rsidRPr="00A34D65">
        <w:rPr>
          <w:rFonts w:hAnsi="標楷體" w:hint="eastAsia"/>
        </w:rPr>
        <w:t>號公告修正手術同意書格式及內容，項目內容包含以病人所能瞭解之方式，解釋手術相關資訊之醫師聲明及醫師已向病人解釋，病人已瞭解施行手術的必要性、風險相關資訊之病人聲明，說明同意書簽具完整後，一份由醫療機構連同病歷保存，一份交由病人收執。</w:t>
      </w:r>
    </w:p>
    <w:p w:rsidR="00A00572" w:rsidRPr="00A34D65" w:rsidRDefault="00A00572" w:rsidP="00A00572">
      <w:pPr>
        <w:pStyle w:val="4"/>
        <w:rPr>
          <w:rFonts w:hAnsi="標楷體"/>
        </w:rPr>
      </w:pPr>
      <w:r w:rsidRPr="00A34D65">
        <w:rPr>
          <w:rFonts w:hAnsi="標楷體" w:hint="eastAsia"/>
        </w:rPr>
        <w:t>依據前開公告手術同意書格式，以條列式要求醫師必須以病人所能瞭解之方式說明手術之原因、手術之風險、成功率及手術併發症及可能處理方式。並於病人聲明處加註：「醫師已向我解釋，我已經瞭解施行這個手術的必要性、步驟、風險、成功率之相關資訊；若拿到的是沒有醫師聲明之空白同意書，請勿先在上面簽名同意」之用語，以提醒告知病人有權知道手術相關訊息。</w:t>
      </w:r>
    </w:p>
    <w:p w:rsidR="00A00572" w:rsidRPr="00A34D65" w:rsidRDefault="00A00572" w:rsidP="00A00572">
      <w:pPr>
        <w:pStyle w:val="3"/>
        <w:rPr>
          <w:rFonts w:hAnsi="標楷體"/>
        </w:rPr>
      </w:pPr>
      <w:r w:rsidRPr="00A34D65">
        <w:rPr>
          <w:rFonts w:hAnsi="標楷體" w:hint="eastAsia"/>
        </w:rPr>
        <w:t>鑑於數位科技日趨發達，數位保存方式成本不高，醫師告知義務是否可用數位保存方式，促進醫療行為科技化一節，經衛生福利部表示</w:t>
      </w:r>
      <w:r w:rsidRPr="00A34D65">
        <w:rPr>
          <w:rStyle w:val="afe"/>
          <w:rFonts w:hAnsi="標楷體" w:cs="標楷體"/>
          <w:kern w:val="0"/>
          <w:szCs w:val="24"/>
          <w:lang w:val="x-none"/>
        </w:rPr>
        <w:footnoteReference w:id="7"/>
      </w:r>
      <w:r w:rsidRPr="00A34D65">
        <w:rPr>
          <w:rFonts w:hAnsi="標楷體" w:hint="eastAsia"/>
        </w:rPr>
        <w:t>：</w:t>
      </w:r>
    </w:p>
    <w:p w:rsidR="00A00572" w:rsidRPr="00A34D65" w:rsidRDefault="00A00572" w:rsidP="00A00572">
      <w:pPr>
        <w:pStyle w:val="4"/>
        <w:rPr>
          <w:rFonts w:hAnsi="標楷體"/>
        </w:rPr>
      </w:pPr>
      <w:r w:rsidRPr="00A34D65">
        <w:rPr>
          <w:rFonts w:hAnsi="標楷體" w:hint="eastAsia"/>
        </w:rPr>
        <w:t>按病歷、醫療資訊屬於特種個人資料，查衛生福利部為規範醫療機構之醫事人員於執行醫療業務時，應注意維護病人隱私，減少程序疑慮，以保障醫病雙方權益，訂定「醫療機構醫療隱私維護規範」，於該規範要求醫事人員於執行醫療業務時，與病人作病情說明、溝通、執行觸診或徵詢病人同意之過程中，均應考量到當時之環境並應注意個人隱私之保護；病人就診時，於診療過程，醫病雙方如需錄音或錄影，應先徵得對方之同意。</w:t>
      </w:r>
    </w:p>
    <w:p w:rsidR="00A00572" w:rsidRPr="00A34D65" w:rsidRDefault="00A00572" w:rsidP="00A00572">
      <w:pPr>
        <w:pStyle w:val="4"/>
        <w:rPr>
          <w:rFonts w:hAnsi="標楷體"/>
        </w:rPr>
      </w:pPr>
      <w:r w:rsidRPr="00A34D65">
        <w:rPr>
          <w:rFonts w:hAnsi="標楷體" w:hint="eastAsia"/>
        </w:rPr>
        <w:lastRenderedPageBreak/>
        <w:t>若以法令強制規定錄音及錄影，對醫護人員而言，除增加壓力外，易導致防衛性醫療，醫病關係更為緊張；對病人而言，害怕個人隱私被洩漏，感覺不自在致不願意告知較私密之症狀，有害於醫療品質。</w:t>
      </w:r>
    </w:p>
    <w:p w:rsidR="00874DD7" w:rsidRPr="00A34D65" w:rsidRDefault="00874DD7" w:rsidP="00A00572">
      <w:pPr>
        <w:pStyle w:val="3"/>
        <w:rPr>
          <w:rFonts w:hAnsi="標楷體"/>
        </w:rPr>
      </w:pPr>
      <w:r w:rsidRPr="00A34D65">
        <w:rPr>
          <w:rFonts w:hAnsi="標楷體" w:hint="eastAsia"/>
        </w:rPr>
        <w:t>惟查，醫療法第63條之實施手術說明義務與第81條之診治告知義務，與病人之隱私無涉，係為保障病人權利之規定，病人應無不同意之理，退步言之，縱有病人自願放棄數位保存之權利，亦可尊重其自主權，對醫事人員而言，並無窒礙難行之慮。至於是否會造成醫病關係緊張，易導致防衛性醫療，亦非當然之理，且可有例外排除之設計，主管機關為醫事人員預設立場，誠非妥適，不如深入調查研究甚或試辦，再觀其後續，以精緻化病人自主權之保障。</w:t>
      </w:r>
    </w:p>
    <w:p w:rsidR="00A00572" w:rsidRPr="00A34D65" w:rsidRDefault="00A00572" w:rsidP="00A00572">
      <w:pPr>
        <w:pStyle w:val="3"/>
        <w:rPr>
          <w:rFonts w:hAnsi="標楷體"/>
        </w:rPr>
      </w:pPr>
      <w:r w:rsidRPr="00A34D65">
        <w:rPr>
          <w:rFonts w:hAnsi="標楷體" w:hint="eastAsia"/>
        </w:rPr>
        <w:t>綜上，基於病患主體性尊重，醫師必須對病人之病情、治療方式、可能風險與替代治療方式等內容加以說明，協助病患於充分了解自身病情的情況下做出治療方式等的醫療決定，透過溝通賦予病人衡量自身風險之能力，亦有助於病人生命身體之維護。基於醫病關係，病患對於醫師產生特殊信賴，醫院亦因此在合理期待與信賴之基礎上對病患負有一定之誠實信賴保護義務。依據醫療法63條規定，醫師有告知說明義務，且醫師必須實質履行告知說明義務，非具有手術同意書即足，醫師有無違反告知說明義務，對於醫療責任帶來影響，鑑於數位科技日趨發達，數位保存方式成本不高，且司法實務上已採行錄音、錄影等數位方式留存相關證據，醫療實務是否考慮以錄音、錄影等數位方式留存證據，固不因個案改變政策，惟為消彌醫療紛爭，證明醫</w:t>
      </w:r>
      <w:r w:rsidRPr="00A34D65">
        <w:rPr>
          <w:rFonts w:hAnsi="標楷體" w:hint="eastAsia"/>
        </w:rPr>
        <w:lastRenderedPageBreak/>
        <w:t>師已確實踐行告知說明義務，仍請主管機關召集醫病雙方團體共同討論研究。</w:t>
      </w:r>
    </w:p>
    <w:p w:rsidR="00E25849" w:rsidRPr="00A34D65" w:rsidRDefault="00E25849" w:rsidP="004E05A1">
      <w:pPr>
        <w:pStyle w:val="1"/>
        <w:ind w:left="2380" w:hanging="2380"/>
        <w:rPr>
          <w:rFonts w:hAnsi="標楷體"/>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r w:rsidRPr="00A34D65">
        <w:rPr>
          <w:rFonts w:hAnsi="標楷體"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37153C" w:rsidRPr="00A34D65">
        <w:rPr>
          <w:rFonts w:hAnsi="標楷體"/>
        </w:rPr>
        <w:t xml:space="preserve"> </w:t>
      </w:r>
    </w:p>
    <w:p w:rsidR="00A00572" w:rsidRPr="00A34D65" w:rsidRDefault="00A00572" w:rsidP="00A00572">
      <w:pPr>
        <w:pStyle w:val="2"/>
        <w:rPr>
          <w:rFonts w:hAnsi="標楷體"/>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A34D65">
        <w:rPr>
          <w:rFonts w:hAnsi="標楷體" w:hint="eastAsia"/>
        </w:rPr>
        <w:t>調查意見，函復陳訴人。</w:t>
      </w:r>
    </w:p>
    <w:p w:rsidR="00A00572" w:rsidRPr="00A34D65" w:rsidRDefault="00A00572" w:rsidP="00A00572">
      <w:pPr>
        <w:pStyle w:val="2"/>
        <w:rPr>
          <w:rFonts w:hAnsi="標楷體"/>
        </w:rPr>
      </w:pPr>
      <w:r w:rsidRPr="00A34D65">
        <w:rPr>
          <w:rFonts w:hAnsi="標楷體" w:hint="eastAsia"/>
        </w:rPr>
        <w:t>調查意見一，函請臺灣桃園地方法院及臺灣高等法院參考見復。</w:t>
      </w:r>
    </w:p>
    <w:p w:rsidR="00A00572" w:rsidRPr="00A34D65" w:rsidRDefault="00A00572" w:rsidP="00A00572">
      <w:pPr>
        <w:pStyle w:val="2"/>
        <w:rPr>
          <w:rFonts w:hAnsi="標楷體"/>
        </w:rPr>
      </w:pPr>
      <w:r w:rsidRPr="00A34D65">
        <w:rPr>
          <w:rFonts w:hAnsi="標楷體" w:hint="eastAsia"/>
        </w:rPr>
        <w:t>調查意見二，函請臺灣桃園地方檢察署及臺灣高等檢察署參考見復。</w:t>
      </w:r>
    </w:p>
    <w:p w:rsidR="00A00572" w:rsidRPr="00A34D65" w:rsidRDefault="00A00572" w:rsidP="00A00572">
      <w:pPr>
        <w:pStyle w:val="2"/>
        <w:rPr>
          <w:rFonts w:hAnsi="標楷體"/>
        </w:rPr>
      </w:pPr>
      <w:r w:rsidRPr="00A34D65">
        <w:rPr>
          <w:rFonts w:hAnsi="標楷體" w:hint="eastAsia"/>
        </w:rPr>
        <w:t>調查意見三，函請衛生福利部檢討處理見復。</w:t>
      </w:r>
    </w:p>
    <w:p w:rsidR="002D0126" w:rsidRPr="00A34D65" w:rsidRDefault="00A00572" w:rsidP="00A00572">
      <w:pPr>
        <w:pStyle w:val="2"/>
        <w:rPr>
          <w:rFonts w:hAnsi="標楷體"/>
        </w:rPr>
      </w:pPr>
      <w:r w:rsidRPr="00A34D65">
        <w:rPr>
          <w:rFonts w:hAnsi="標楷體" w:hint="eastAsia"/>
        </w:rPr>
        <w:t>檢附派查函及相關附件，送請司法及獄政</w:t>
      </w:r>
      <w:r w:rsidR="00EF29B8" w:rsidRPr="00A34D65">
        <w:rPr>
          <w:rFonts w:hAnsi="標楷體" w:hint="eastAsia"/>
        </w:rPr>
        <w:t>、內政及族群</w:t>
      </w:r>
      <w:r w:rsidRPr="00A34D65">
        <w:rPr>
          <w:rFonts w:hAnsi="標楷體" w:hint="eastAsia"/>
        </w:rPr>
        <w:t>委員會</w:t>
      </w:r>
      <w:r w:rsidR="00E0651E" w:rsidRPr="00A34D65">
        <w:rPr>
          <w:rFonts w:hAnsi="標楷體" w:hint="eastAsia"/>
        </w:rPr>
        <w:t>聯席會議</w:t>
      </w:r>
      <w:r w:rsidRPr="00A34D65">
        <w:rPr>
          <w:rFonts w:hAnsi="標楷體" w:hint="eastAsia"/>
        </w:rPr>
        <w:t>處理</w:t>
      </w: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2D0126" w:rsidRPr="00A34D65">
        <w:rPr>
          <w:rFonts w:hAnsi="標楷體" w:hint="eastAsia"/>
        </w:rPr>
        <w:t>。</w:t>
      </w:r>
    </w:p>
    <w:bookmarkEnd w:id="106"/>
    <w:bookmarkEnd w:id="107"/>
    <w:bookmarkEnd w:id="108"/>
    <w:bookmarkEnd w:id="109"/>
    <w:bookmarkEnd w:id="110"/>
    <w:bookmarkEnd w:id="111"/>
    <w:bookmarkEnd w:id="112"/>
    <w:bookmarkEnd w:id="113"/>
    <w:bookmarkEnd w:id="114"/>
    <w:bookmarkEnd w:id="115"/>
    <w:bookmarkEnd w:id="116"/>
    <w:bookmarkEnd w:id="117"/>
    <w:bookmarkEnd w:id="118"/>
    <w:p w:rsidR="00E25849" w:rsidRPr="00A34D65" w:rsidRDefault="00E25849" w:rsidP="00A00572">
      <w:pPr>
        <w:pStyle w:val="2"/>
        <w:numPr>
          <w:ilvl w:val="0"/>
          <w:numId w:val="0"/>
        </w:numPr>
        <w:ind w:left="1021"/>
        <w:rPr>
          <w:rFonts w:hAnsi="標楷體"/>
        </w:rPr>
      </w:pPr>
    </w:p>
    <w:p w:rsidR="00770453" w:rsidRPr="00A34D65" w:rsidRDefault="00770453" w:rsidP="00770453">
      <w:pPr>
        <w:pStyle w:val="aa"/>
        <w:spacing w:beforeLines="50" w:before="228" w:afterLines="100" w:after="457"/>
        <w:ind w:leftChars="1100" w:left="3742"/>
        <w:rPr>
          <w:rFonts w:hAnsi="標楷體"/>
          <w:b w:val="0"/>
          <w:bCs/>
          <w:snapToGrid/>
          <w:spacing w:val="12"/>
          <w:kern w:val="0"/>
          <w:sz w:val="40"/>
        </w:rPr>
      </w:pPr>
    </w:p>
    <w:p w:rsidR="00E25849" w:rsidRPr="00A34D65" w:rsidRDefault="00E25849" w:rsidP="00770453">
      <w:pPr>
        <w:pStyle w:val="aa"/>
        <w:spacing w:beforeLines="50" w:before="228" w:afterLines="100" w:after="457"/>
        <w:ind w:leftChars="1100" w:left="3742"/>
        <w:rPr>
          <w:rFonts w:hAnsi="標楷體"/>
          <w:b w:val="0"/>
          <w:bCs/>
          <w:snapToGrid/>
          <w:spacing w:val="12"/>
          <w:kern w:val="0"/>
          <w:sz w:val="40"/>
        </w:rPr>
      </w:pPr>
      <w:r w:rsidRPr="00A34D65">
        <w:rPr>
          <w:rFonts w:hAnsi="標楷體" w:hint="eastAsia"/>
          <w:b w:val="0"/>
          <w:bCs/>
          <w:snapToGrid/>
          <w:spacing w:val="12"/>
          <w:kern w:val="0"/>
          <w:sz w:val="40"/>
        </w:rPr>
        <w:t>調查委員：</w:t>
      </w:r>
      <w:r w:rsidR="00E0651E" w:rsidRPr="00A34D65">
        <w:rPr>
          <w:rFonts w:hAnsi="標楷體" w:hint="eastAsia"/>
          <w:b w:val="0"/>
          <w:bCs/>
          <w:snapToGrid/>
          <w:spacing w:val="12"/>
          <w:kern w:val="0"/>
          <w:sz w:val="40"/>
        </w:rPr>
        <w:t>高涌誠</w:t>
      </w:r>
    </w:p>
    <w:p w:rsidR="00770453" w:rsidRPr="00A34D65" w:rsidRDefault="00770453" w:rsidP="00770453">
      <w:pPr>
        <w:pStyle w:val="aa"/>
        <w:spacing w:before="0" w:after="0"/>
        <w:ind w:leftChars="1100" w:left="3742"/>
        <w:rPr>
          <w:rFonts w:hAnsi="標楷體"/>
          <w:b w:val="0"/>
          <w:bCs/>
          <w:snapToGrid/>
          <w:spacing w:val="0"/>
          <w:kern w:val="0"/>
          <w:sz w:val="40"/>
        </w:rPr>
      </w:pPr>
    </w:p>
    <w:p w:rsidR="002D0126" w:rsidRPr="00A34D65" w:rsidRDefault="002D0126" w:rsidP="00770453">
      <w:pPr>
        <w:pStyle w:val="aa"/>
        <w:spacing w:before="0" w:after="0"/>
        <w:ind w:leftChars="1100" w:left="3742"/>
        <w:rPr>
          <w:rFonts w:hAnsi="標楷體"/>
          <w:b w:val="0"/>
          <w:bCs/>
          <w:snapToGrid/>
          <w:spacing w:val="0"/>
          <w:kern w:val="0"/>
          <w:sz w:val="40"/>
        </w:rPr>
      </w:pPr>
    </w:p>
    <w:p w:rsidR="002D0126" w:rsidRPr="00A34D65" w:rsidRDefault="002D0126" w:rsidP="00770453">
      <w:pPr>
        <w:pStyle w:val="aa"/>
        <w:spacing w:before="0" w:after="0"/>
        <w:ind w:leftChars="1100" w:left="3742"/>
        <w:rPr>
          <w:rFonts w:hAnsi="標楷體"/>
          <w:b w:val="0"/>
          <w:bCs/>
          <w:snapToGrid/>
          <w:spacing w:val="0"/>
          <w:kern w:val="0"/>
          <w:sz w:val="40"/>
        </w:rPr>
      </w:pPr>
    </w:p>
    <w:p w:rsidR="002D0126" w:rsidRPr="00A34D65" w:rsidRDefault="002D0126" w:rsidP="00770453">
      <w:pPr>
        <w:pStyle w:val="aa"/>
        <w:spacing w:before="0" w:after="0"/>
        <w:ind w:leftChars="1100" w:left="3742"/>
        <w:rPr>
          <w:rFonts w:hAnsi="標楷體"/>
          <w:b w:val="0"/>
          <w:bCs/>
          <w:snapToGrid/>
          <w:spacing w:val="0"/>
          <w:kern w:val="0"/>
          <w:sz w:val="40"/>
        </w:rPr>
      </w:pPr>
    </w:p>
    <w:p w:rsidR="00E25849" w:rsidRPr="00A34D65" w:rsidRDefault="00E25849">
      <w:pPr>
        <w:pStyle w:val="af"/>
        <w:rPr>
          <w:rFonts w:hAnsi="標楷體"/>
          <w:bCs/>
        </w:rPr>
      </w:pPr>
      <w:r w:rsidRPr="00A34D65">
        <w:rPr>
          <w:rFonts w:hAnsi="標楷體" w:hint="eastAsia"/>
          <w:bCs/>
        </w:rPr>
        <w:t>中</w:t>
      </w:r>
      <w:r w:rsidR="00B5484D" w:rsidRPr="00A34D65">
        <w:rPr>
          <w:rFonts w:hAnsi="標楷體" w:hint="eastAsia"/>
          <w:bCs/>
        </w:rPr>
        <w:t xml:space="preserve">  </w:t>
      </w:r>
      <w:r w:rsidRPr="00A34D65">
        <w:rPr>
          <w:rFonts w:hAnsi="標楷體" w:hint="eastAsia"/>
          <w:bCs/>
        </w:rPr>
        <w:t>華</w:t>
      </w:r>
      <w:r w:rsidR="00B5484D" w:rsidRPr="00A34D65">
        <w:rPr>
          <w:rFonts w:hAnsi="標楷體" w:hint="eastAsia"/>
          <w:bCs/>
        </w:rPr>
        <w:t xml:space="preserve">  </w:t>
      </w:r>
      <w:r w:rsidRPr="00A34D65">
        <w:rPr>
          <w:rFonts w:hAnsi="標楷體" w:hint="eastAsia"/>
          <w:bCs/>
        </w:rPr>
        <w:t>民</w:t>
      </w:r>
      <w:r w:rsidR="00B5484D" w:rsidRPr="00A34D65">
        <w:rPr>
          <w:rFonts w:hAnsi="標楷體" w:hint="eastAsia"/>
          <w:bCs/>
        </w:rPr>
        <w:t xml:space="preserve">  </w:t>
      </w:r>
      <w:r w:rsidRPr="00A34D65">
        <w:rPr>
          <w:rFonts w:hAnsi="標楷體" w:hint="eastAsia"/>
          <w:bCs/>
        </w:rPr>
        <w:t xml:space="preserve">國　</w:t>
      </w:r>
      <w:r w:rsidR="001E74C2" w:rsidRPr="00A34D65">
        <w:rPr>
          <w:rFonts w:hAnsi="標楷體" w:hint="eastAsia"/>
          <w:bCs/>
        </w:rPr>
        <w:t>10</w:t>
      </w:r>
      <w:r w:rsidR="002D0126" w:rsidRPr="00A34D65">
        <w:rPr>
          <w:rFonts w:hAnsi="標楷體" w:hint="eastAsia"/>
          <w:bCs/>
        </w:rPr>
        <w:t>9</w:t>
      </w:r>
      <w:r w:rsidRPr="00A34D65">
        <w:rPr>
          <w:rFonts w:hAnsi="標楷體" w:hint="eastAsia"/>
          <w:bCs/>
        </w:rPr>
        <w:t xml:space="preserve">　年　</w:t>
      </w:r>
      <w:r w:rsidR="00A07B4B" w:rsidRPr="00A34D65">
        <w:rPr>
          <w:rFonts w:hAnsi="標楷體" w:hint="eastAsia"/>
          <w:bCs/>
        </w:rPr>
        <w:t xml:space="preserve"> </w:t>
      </w:r>
      <w:r w:rsidR="002D0126" w:rsidRPr="00A34D65">
        <w:rPr>
          <w:rFonts w:hAnsi="標楷體" w:hint="eastAsia"/>
          <w:bCs/>
        </w:rPr>
        <w:t>5</w:t>
      </w:r>
      <w:r w:rsidRPr="00A34D65">
        <w:rPr>
          <w:rFonts w:hAnsi="標楷體" w:hint="eastAsia"/>
          <w:bCs/>
        </w:rPr>
        <w:t xml:space="preserve">　月　</w:t>
      </w:r>
      <w:r w:rsidR="0093086E">
        <w:rPr>
          <w:rFonts w:hAnsi="標楷體" w:hint="eastAsia"/>
          <w:bCs/>
        </w:rPr>
        <w:t>13</w:t>
      </w:r>
      <w:r w:rsidRPr="00A34D65">
        <w:rPr>
          <w:rFonts w:hAnsi="標楷體" w:hint="eastAsia"/>
          <w:bCs/>
        </w:rPr>
        <w:t xml:space="preserve">　　日</w:t>
      </w:r>
    </w:p>
    <w:p w:rsidR="00416721" w:rsidRPr="00A34D65" w:rsidRDefault="00416721">
      <w:pPr>
        <w:widowControl/>
        <w:overflowPunct/>
        <w:autoSpaceDE/>
        <w:autoSpaceDN/>
        <w:jc w:val="left"/>
        <w:rPr>
          <w:rFonts w:hAnsi="標楷體"/>
          <w:bCs/>
          <w:kern w:val="0"/>
        </w:rPr>
      </w:pPr>
    </w:p>
    <w:sectPr w:rsidR="00416721" w:rsidRPr="00A34D6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FF" w:rsidRDefault="00E923FF">
      <w:r>
        <w:separator/>
      </w:r>
    </w:p>
  </w:endnote>
  <w:endnote w:type="continuationSeparator" w:id="0">
    <w:p w:rsidR="00E923FF" w:rsidRDefault="00E9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F26A9">
      <w:rPr>
        <w:rStyle w:val="ac"/>
        <w:noProof/>
        <w:sz w:val="24"/>
      </w:rPr>
      <w:t>5</w:t>
    </w:r>
    <w:r>
      <w:rPr>
        <w:rStyle w:val="ac"/>
        <w:sz w:val="24"/>
      </w:rPr>
      <w:fldChar w:fldCharType="end"/>
    </w:r>
  </w:p>
  <w:p w:rsidR="00840C1F" w:rsidRDefault="00840C1F" w:rsidP="00541B7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FF" w:rsidRDefault="00E923FF">
      <w:r>
        <w:separator/>
      </w:r>
    </w:p>
  </w:footnote>
  <w:footnote w:type="continuationSeparator" w:id="0">
    <w:p w:rsidR="00E923FF" w:rsidRDefault="00E923FF">
      <w:r>
        <w:continuationSeparator/>
      </w:r>
    </w:p>
  </w:footnote>
  <w:footnote w:id="1">
    <w:p w:rsidR="00A00572" w:rsidRPr="00831335" w:rsidRDefault="00A00572" w:rsidP="00A00572">
      <w:pPr>
        <w:pStyle w:val="afc"/>
      </w:pPr>
      <w:r>
        <w:rPr>
          <w:rStyle w:val="afe"/>
        </w:rPr>
        <w:footnoteRef/>
      </w:r>
      <w:r>
        <w:t xml:space="preserve"> </w:t>
      </w:r>
      <w:r w:rsidR="00E278B1" w:rsidRPr="00A511C8">
        <w:rPr>
          <w:rFonts w:hint="eastAsia"/>
        </w:rPr>
        <w:t>司法院</w:t>
      </w:r>
      <w:r w:rsidR="00E278B1" w:rsidRPr="00A511C8">
        <w:t>108</w:t>
      </w:r>
      <w:r w:rsidR="00E278B1" w:rsidRPr="00A511C8">
        <w:rPr>
          <w:rFonts w:hint="eastAsia"/>
        </w:rPr>
        <w:t>年</w:t>
      </w:r>
      <w:r w:rsidR="00E278B1" w:rsidRPr="00A511C8">
        <w:t>5</w:t>
      </w:r>
      <w:r w:rsidR="00E278B1" w:rsidRPr="00A511C8">
        <w:rPr>
          <w:rFonts w:hint="eastAsia"/>
        </w:rPr>
        <w:t>月</w:t>
      </w:r>
      <w:r w:rsidR="00E278B1" w:rsidRPr="00A511C8">
        <w:t>23</w:t>
      </w:r>
      <w:r w:rsidR="00E278B1" w:rsidRPr="00A511C8">
        <w:rPr>
          <w:rFonts w:hint="eastAsia"/>
        </w:rPr>
        <w:t>日、108年</w:t>
      </w:r>
      <w:r w:rsidR="00E278B1" w:rsidRPr="00A511C8">
        <w:t>7</w:t>
      </w:r>
      <w:r w:rsidR="00E278B1" w:rsidRPr="00A511C8">
        <w:rPr>
          <w:rFonts w:hint="eastAsia"/>
        </w:rPr>
        <w:t>月</w:t>
      </w:r>
      <w:r w:rsidR="00E278B1" w:rsidRPr="00A511C8">
        <w:t>15</w:t>
      </w:r>
      <w:r w:rsidR="00E278B1" w:rsidRPr="00A511C8">
        <w:rPr>
          <w:rFonts w:hint="eastAsia"/>
        </w:rPr>
        <w:t>日函復本院意見</w:t>
      </w:r>
      <w:r w:rsidR="00E278B1">
        <w:rPr>
          <w:rFonts w:hAnsi="標楷體" w:hint="eastAsia"/>
        </w:rPr>
        <w:t>：</w:t>
      </w:r>
      <w:r w:rsidR="00E278B1" w:rsidRPr="00A511C8">
        <w:rPr>
          <w:rFonts w:hint="eastAsia"/>
        </w:rPr>
        <w:t>高等法院</w:t>
      </w:r>
      <w:r w:rsidR="00E278B1">
        <w:rPr>
          <w:rFonts w:hint="eastAsia"/>
        </w:rPr>
        <w:t>以108</w:t>
      </w:r>
      <w:r w:rsidR="00E278B1" w:rsidRPr="00A511C8">
        <w:rPr>
          <w:rFonts w:hint="eastAsia"/>
        </w:rPr>
        <w:t>年</w:t>
      </w:r>
      <w:r w:rsidR="00E278B1" w:rsidRPr="00A511C8">
        <w:t>6</w:t>
      </w:r>
      <w:r w:rsidR="00E278B1" w:rsidRPr="00A511C8">
        <w:rPr>
          <w:rFonts w:hint="eastAsia"/>
        </w:rPr>
        <w:t>月</w:t>
      </w:r>
      <w:r w:rsidR="00E278B1" w:rsidRPr="00A511C8">
        <w:t>24</w:t>
      </w:r>
      <w:r w:rsidR="00E278B1" w:rsidRPr="00A511C8">
        <w:rPr>
          <w:rFonts w:hint="eastAsia"/>
        </w:rPr>
        <w:t>日院彥文簡字第</w:t>
      </w:r>
      <w:r w:rsidR="00E278B1" w:rsidRPr="00A511C8">
        <w:t>1080003976</w:t>
      </w:r>
      <w:r w:rsidR="00E278B1" w:rsidRPr="00A511C8">
        <w:rPr>
          <w:rFonts w:hint="eastAsia"/>
        </w:rPr>
        <w:t>號函等詳細說明，司法院基於不干預個案之立場，當予尊重</w:t>
      </w:r>
      <w:r w:rsidR="00E278B1">
        <w:rPr>
          <w:rFonts w:hint="eastAsia"/>
        </w:rPr>
        <w:t>。</w:t>
      </w:r>
      <w:r w:rsidRPr="000A78A7">
        <w:rPr>
          <w:rFonts w:hAnsi="標楷體" w:cs="新細明體" w:hint="eastAsia"/>
          <w:kern w:val="0"/>
          <w:lang w:val="x-none"/>
        </w:rPr>
        <w:t>高等法院108年</w:t>
      </w:r>
      <w:r w:rsidRPr="000A78A7">
        <w:rPr>
          <w:rFonts w:hAnsi="標楷體" w:cs="新細明體"/>
          <w:kern w:val="0"/>
          <w:lang w:val="x-none"/>
        </w:rPr>
        <w:t>6</w:t>
      </w:r>
      <w:r w:rsidRPr="000A78A7">
        <w:rPr>
          <w:rFonts w:hAnsi="標楷體" w:cs="新細明體" w:hint="eastAsia"/>
          <w:kern w:val="0"/>
          <w:lang w:val="x-none"/>
        </w:rPr>
        <w:t>月</w:t>
      </w:r>
      <w:r w:rsidRPr="000A78A7">
        <w:rPr>
          <w:rFonts w:hAnsi="標楷體" w:cs="新細明體"/>
          <w:kern w:val="0"/>
          <w:lang w:val="x-none"/>
        </w:rPr>
        <w:t>24</w:t>
      </w:r>
      <w:r w:rsidR="00E278B1">
        <w:rPr>
          <w:rFonts w:hAnsi="標楷體" w:cs="新細明體" w:hint="eastAsia"/>
          <w:kern w:val="0"/>
          <w:lang w:val="x-none"/>
        </w:rPr>
        <w:t>日函敘明</w:t>
      </w:r>
      <w:r w:rsidR="00E278B1" w:rsidRPr="00A511C8">
        <w:rPr>
          <w:rFonts w:hint="eastAsia"/>
        </w:rPr>
        <w:t>醫審會</w:t>
      </w:r>
      <w:r w:rsidR="00E278B1">
        <w:rPr>
          <w:rFonts w:hint="eastAsia"/>
        </w:rPr>
        <w:t>等</w:t>
      </w:r>
      <w:r w:rsidR="00E278B1" w:rsidRPr="00A511C8">
        <w:rPr>
          <w:rFonts w:hint="eastAsia"/>
        </w:rPr>
        <w:t>相關單位</w:t>
      </w:r>
      <w:r w:rsidR="00E278B1">
        <w:rPr>
          <w:rFonts w:hint="eastAsia"/>
        </w:rPr>
        <w:t>之</w:t>
      </w:r>
      <w:r w:rsidR="00E278B1" w:rsidRPr="00A511C8">
        <w:rPr>
          <w:rFonts w:hint="eastAsia"/>
        </w:rPr>
        <w:t>認定</w:t>
      </w:r>
      <w:r w:rsidRPr="000A78A7">
        <w:rPr>
          <w:rFonts w:hAnsi="標楷體" w:cs="新細明體" w:hint="eastAsia"/>
          <w:kern w:val="0"/>
          <w:lang w:val="x-none"/>
        </w:rPr>
        <w:t>。</w:t>
      </w:r>
      <w:r w:rsidR="00F02AC1">
        <w:rPr>
          <w:rFonts w:hint="eastAsia"/>
        </w:rPr>
        <w:t>(本院收文號:1080703411、1080704739)。</w:t>
      </w:r>
    </w:p>
  </w:footnote>
  <w:footnote w:id="2">
    <w:p w:rsidR="00E278B1" w:rsidRPr="00E278B1" w:rsidRDefault="00E278B1" w:rsidP="00F02AC1">
      <w:pPr>
        <w:pStyle w:val="afc"/>
        <w:wordWrap w:val="0"/>
      </w:pPr>
      <w:r>
        <w:rPr>
          <w:rStyle w:val="afe"/>
        </w:rPr>
        <w:footnoteRef/>
      </w:r>
      <w:r>
        <w:t xml:space="preserve"> </w:t>
      </w:r>
      <w:r w:rsidRPr="00A511C8">
        <w:rPr>
          <w:rFonts w:hint="eastAsia"/>
        </w:rPr>
        <w:t>司法院</w:t>
      </w:r>
      <w:r w:rsidRPr="00A511C8">
        <w:t>108</w:t>
      </w:r>
      <w:r w:rsidRPr="00A511C8">
        <w:rPr>
          <w:rFonts w:hint="eastAsia"/>
        </w:rPr>
        <w:t>年</w:t>
      </w:r>
      <w:r w:rsidRPr="00A511C8">
        <w:t>5</w:t>
      </w:r>
      <w:r w:rsidRPr="00A511C8">
        <w:rPr>
          <w:rFonts w:hint="eastAsia"/>
        </w:rPr>
        <w:t>月</w:t>
      </w:r>
      <w:r w:rsidRPr="00A511C8">
        <w:t>23</w:t>
      </w:r>
      <w:r w:rsidRPr="00A511C8">
        <w:rPr>
          <w:rFonts w:hint="eastAsia"/>
        </w:rPr>
        <w:t>日、108年</w:t>
      </w:r>
      <w:r w:rsidRPr="00A511C8">
        <w:t>7</w:t>
      </w:r>
      <w:r w:rsidRPr="00A511C8">
        <w:rPr>
          <w:rFonts w:hint="eastAsia"/>
        </w:rPr>
        <w:t>月</w:t>
      </w:r>
      <w:r w:rsidRPr="00A511C8">
        <w:t>15</w:t>
      </w:r>
      <w:r w:rsidRPr="00A511C8">
        <w:rPr>
          <w:rFonts w:hint="eastAsia"/>
        </w:rPr>
        <w:t>日函復本院意見</w:t>
      </w:r>
      <w:r w:rsidR="00FE133F">
        <w:rPr>
          <w:rFonts w:hint="eastAsia"/>
        </w:rPr>
        <w:t>(收文號:</w:t>
      </w:r>
      <w:r w:rsidR="00F02AC1">
        <w:rPr>
          <w:rFonts w:hint="eastAsia"/>
        </w:rPr>
        <w:t>1080703411、</w:t>
      </w:r>
      <w:r w:rsidR="00FE133F">
        <w:rPr>
          <w:rFonts w:hint="eastAsia"/>
        </w:rPr>
        <w:t>1080704739)</w:t>
      </w:r>
      <w:r>
        <w:rPr>
          <w:rFonts w:hint="eastAsia"/>
        </w:rPr>
        <w:t>。</w:t>
      </w:r>
    </w:p>
  </w:footnote>
  <w:footnote w:id="3">
    <w:p w:rsidR="00A00572" w:rsidRPr="000A78A7" w:rsidRDefault="00A00572" w:rsidP="00A00572">
      <w:pPr>
        <w:pStyle w:val="afc"/>
      </w:pPr>
      <w:r w:rsidRPr="000A78A7">
        <w:rPr>
          <w:rStyle w:val="afe"/>
        </w:rPr>
        <w:footnoteRef/>
      </w:r>
      <w:r w:rsidRPr="000A78A7">
        <w:t xml:space="preserve"> </w:t>
      </w:r>
      <w:r w:rsidRPr="000A78A7">
        <w:rPr>
          <w:rFonts w:hAnsi="標楷體" w:cs="新細明體" w:hint="eastAsia"/>
          <w:kern w:val="0"/>
          <w:lang w:val="x-none"/>
        </w:rPr>
        <w:t>司法院</w:t>
      </w:r>
      <w:r w:rsidRPr="000A78A7">
        <w:rPr>
          <w:rFonts w:hAnsi="標楷體" w:cs="新細明體"/>
          <w:kern w:val="0"/>
          <w:lang w:val="x-none"/>
        </w:rPr>
        <w:t>108</w:t>
      </w:r>
      <w:r w:rsidRPr="000A78A7">
        <w:rPr>
          <w:rFonts w:hAnsi="標楷體" w:cs="新細明體" w:hint="eastAsia"/>
          <w:kern w:val="0"/>
          <w:lang w:val="x-none"/>
        </w:rPr>
        <w:t>年</w:t>
      </w:r>
      <w:r w:rsidRPr="000A78A7">
        <w:rPr>
          <w:rFonts w:hAnsi="標楷體" w:cs="新細明體"/>
          <w:kern w:val="0"/>
          <w:lang w:val="x-none"/>
        </w:rPr>
        <w:t>5</w:t>
      </w:r>
      <w:r w:rsidRPr="000A78A7">
        <w:rPr>
          <w:rFonts w:hAnsi="標楷體" w:cs="新細明體" w:hint="eastAsia"/>
          <w:kern w:val="0"/>
          <w:lang w:val="x-none"/>
        </w:rPr>
        <w:t>月</w:t>
      </w:r>
      <w:r w:rsidRPr="000A78A7">
        <w:rPr>
          <w:rFonts w:hAnsi="標楷體" w:cs="新細明體"/>
          <w:kern w:val="0"/>
          <w:lang w:val="x-none"/>
        </w:rPr>
        <w:t>23</w:t>
      </w:r>
      <w:r w:rsidRPr="000A78A7">
        <w:rPr>
          <w:rFonts w:hAnsi="標楷體" w:cs="新細明體" w:hint="eastAsia"/>
          <w:kern w:val="0"/>
          <w:lang w:val="x-none"/>
        </w:rPr>
        <w:t>日、</w:t>
      </w:r>
      <w:r w:rsidR="00483D44">
        <w:rPr>
          <w:rFonts w:hAnsi="標楷體" w:cs="新細明體" w:hint="eastAsia"/>
          <w:kern w:val="0"/>
          <w:lang w:val="x-none"/>
        </w:rPr>
        <w:t>108年</w:t>
      </w:r>
      <w:r w:rsidRPr="000A78A7">
        <w:rPr>
          <w:rFonts w:hAnsi="標楷體" w:cs="新細明體"/>
          <w:kern w:val="0"/>
          <w:lang w:val="x-none"/>
        </w:rPr>
        <w:t>7</w:t>
      </w:r>
      <w:r w:rsidRPr="000A78A7">
        <w:rPr>
          <w:rFonts w:hAnsi="標楷體" w:cs="新細明體" w:hint="eastAsia"/>
          <w:kern w:val="0"/>
          <w:lang w:val="x-none"/>
        </w:rPr>
        <w:t>月</w:t>
      </w:r>
      <w:r w:rsidRPr="000A78A7">
        <w:rPr>
          <w:rFonts w:hAnsi="標楷體" w:cs="新細明體"/>
          <w:kern w:val="0"/>
          <w:lang w:val="x-none"/>
        </w:rPr>
        <w:t>15</w:t>
      </w:r>
      <w:r w:rsidRPr="000A78A7">
        <w:rPr>
          <w:rFonts w:hAnsi="標楷體" w:cs="新細明體" w:hint="eastAsia"/>
          <w:kern w:val="0"/>
          <w:lang w:val="x-none"/>
        </w:rPr>
        <w:t>日函復本院意見</w:t>
      </w:r>
      <w:r w:rsidR="00483D44">
        <w:rPr>
          <w:rFonts w:hint="eastAsia"/>
        </w:rPr>
        <w:t>(收文號:1080703411、1080704739)</w:t>
      </w:r>
      <w:r w:rsidRPr="000A78A7">
        <w:rPr>
          <w:rFonts w:hAnsi="標楷體" w:cs="新細明體" w:hint="eastAsia"/>
          <w:kern w:val="0"/>
          <w:lang w:val="x-none"/>
        </w:rPr>
        <w:t>。</w:t>
      </w:r>
    </w:p>
  </w:footnote>
  <w:footnote w:id="4">
    <w:p w:rsidR="00A00572" w:rsidRPr="000A78A7" w:rsidRDefault="00A00572" w:rsidP="00A00572">
      <w:pPr>
        <w:overflowPunct/>
        <w:adjustRightInd w:val="0"/>
        <w:snapToGrid w:val="0"/>
        <w:jc w:val="left"/>
        <w:rPr>
          <w:rFonts w:ascii="新細明體" w:eastAsia="新細明體" w:hAnsi="新細明體" w:cs="新細明體"/>
          <w:color w:val="000000"/>
          <w:kern w:val="0"/>
          <w:sz w:val="20"/>
          <w:lang w:val="x-none"/>
        </w:rPr>
      </w:pPr>
      <w:r w:rsidRPr="000A78A7">
        <w:rPr>
          <w:rStyle w:val="afe"/>
          <w:sz w:val="20"/>
        </w:rPr>
        <w:footnoteRef/>
      </w:r>
      <w:r w:rsidRPr="000A78A7">
        <w:rPr>
          <w:rFonts w:hAnsi="標楷體" w:cs="新細明體" w:hint="eastAsia"/>
          <w:kern w:val="0"/>
          <w:sz w:val="20"/>
          <w:lang w:val="x-none"/>
        </w:rPr>
        <w:t>高等法院108年</w:t>
      </w:r>
      <w:r w:rsidRPr="000A78A7">
        <w:rPr>
          <w:rFonts w:hAnsi="標楷體" w:cs="新細明體"/>
          <w:kern w:val="0"/>
          <w:sz w:val="20"/>
          <w:lang w:val="x-none"/>
        </w:rPr>
        <w:t>6</w:t>
      </w:r>
      <w:r w:rsidRPr="000A78A7">
        <w:rPr>
          <w:rFonts w:hAnsi="標楷體" w:cs="新細明體" w:hint="eastAsia"/>
          <w:kern w:val="0"/>
          <w:sz w:val="20"/>
          <w:lang w:val="x-none"/>
        </w:rPr>
        <w:t>月</w:t>
      </w:r>
      <w:r w:rsidRPr="000A78A7">
        <w:rPr>
          <w:rFonts w:hAnsi="標楷體" w:cs="新細明體"/>
          <w:kern w:val="0"/>
          <w:sz w:val="20"/>
          <w:lang w:val="x-none"/>
        </w:rPr>
        <w:t>24</w:t>
      </w:r>
      <w:r w:rsidRPr="000A78A7">
        <w:rPr>
          <w:rFonts w:hAnsi="標楷體" w:cs="新細明體" w:hint="eastAsia"/>
          <w:kern w:val="0"/>
          <w:sz w:val="20"/>
          <w:lang w:val="x-none"/>
        </w:rPr>
        <w:t>日院彥文簡字第</w:t>
      </w:r>
      <w:r w:rsidRPr="000A78A7">
        <w:rPr>
          <w:rFonts w:hAnsi="標楷體" w:cs="新細明體"/>
          <w:kern w:val="0"/>
          <w:sz w:val="20"/>
          <w:lang w:val="x-none"/>
        </w:rPr>
        <w:t>1080003976</w:t>
      </w:r>
      <w:r w:rsidRPr="000A78A7">
        <w:rPr>
          <w:rFonts w:hAnsi="標楷體" w:cs="新細明體" w:hint="eastAsia"/>
          <w:kern w:val="0"/>
          <w:sz w:val="20"/>
          <w:lang w:val="x-none"/>
        </w:rPr>
        <w:t>號函復司法院說明。</w:t>
      </w:r>
    </w:p>
  </w:footnote>
  <w:footnote w:id="5">
    <w:p w:rsidR="00A00572" w:rsidRPr="000A78A7" w:rsidRDefault="00A00572" w:rsidP="00A00572">
      <w:pPr>
        <w:pStyle w:val="afc"/>
        <w:spacing w:line="220" w:lineRule="exact"/>
      </w:pPr>
      <w:r w:rsidRPr="000A78A7">
        <w:rPr>
          <w:rStyle w:val="afe"/>
        </w:rPr>
        <w:footnoteRef/>
      </w:r>
      <w:r w:rsidRPr="000A78A7">
        <w:t xml:space="preserve"> </w:t>
      </w:r>
      <w:r w:rsidRPr="000A78A7">
        <w:rPr>
          <w:rFonts w:hint="eastAsia"/>
        </w:rPr>
        <w:t>資料來源</w:t>
      </w:r>
      <w:r w:rsidRPr="000A78A7">
        <w:rPr>
          <w:rFonts w:hAnsi="標楷體" w:hint="eastAsia"/>
        </w:rPr>
        <w:t>：</w:t>
      </w:r>
      <w:r w:rsidRPr="000A78A7">
        <w:rPr>
          <w:rFonts w:hint="eastAsia"/>
        </w:rPr>
        <w:t>109年4月23日本院詢問衛生福利部之書面說明資料。</w:t>
      </w:r>
    </w:p>
  </w:footnote>
  <w:footnote w:id="6">
    <w:p w:rsidR="00A00572" w:rsidRPr="000A78A7" w:rsidRDefault="00A00572" w:rsidP="00A00572">
      <w:pPr>
        <w:pStyle w:val="afc"/>
        <w:spacing w:line="220" w:lineRule="exact"/>
      </w:pPr>
      <w:r w:rsidRPr="000A78A7">
        <w:rPr>
          <w:rStyle w:val="afe"/>
        </w:rPr>
        <w:footnoteRef/>
      </w:r>
      <w:r w:rsidRPr="000A78A7">
        <w:t xml:space="preserve"> </w:t>
      </w:r>
      <w:r w:rsidRPr="000A78A7">
        <w:rPr>
          <w:rFonts w:hint="eastAsia"/>
        </w:rPr>
        <w:t>醫療法第63條第1項規定:</w:t>
      </w:r>
      <w:r w:rsidRPr="000A78A7">
        <w:rPr>
          <w:rFonts w:hAnsi="標楷體" w:hint="eastAsia"/>
        </w:rPr>
        <w:t>「</w:t>
      </w:r>
      <w:r w:rsidRPr="000A78A7">
        <w:rPr>
          <w:rFonts w:hint="eastAsia"/>
        </w:rPr>
        <w:t>醫療機構實施手術，應向病人或其法定代理人、配偶、親屬或關係人說明手術原因、手術成功率或可能發生之併發症及危險，並經其同意，簽具手術同意書及麻醉同意書，始得為之。但情況緊急者，不在此限。</w:t>
      </w:r>
      <w:r w:rsidRPr="000A78A7">
        <w:rPr>
          <w:rFonts w:hAnsi="標楷體" w:hint="eastAsia"/>
        </w:rPr>
        <w:t>」</w:t>
      </w:r>
    </w:p>
  </w:footnote>
  <w:footnote w:id="7">
    <w:p w:rsidR="00A00572" w:rsidRPr="000A78A7" w:rsidRDefault="00A00572" w:rsidP="00A00572">
      <w:pPr>
        <w:pStyle w:val="afc"/>
        <w:spacing w:line="220" w:lineRule="exact"/>
      </w:pPr>
      <w:r w:rsidRPr="000A78A7">
        <w:rPr>
          <w:rStyle w:val="afe"/>
        </w:rPr>
        <w:footnoteRef/>
      </w:r>
      <w:r w:rsidRPr="000A78A7">
        <w:t xml:space="preserve"> </w:t>
      </w:r>
      <w:r w:rsidRPr="000A78A7">
        <w:rPr>
          <w:rFonts w:hint="eastAsia"/>
        </w:rPr>
        <w:t>資料來源</w:t>
      </w:r>
      <w:r w:rsidRPr="000A78A7">
        <w:rPr>
          <w:rFonts w:hAnsi="標楷體" w:hint="eastAsia"/>
        </w:rPr>
        <w:t>：</w:t>
      </w:r>
      <w:r w:rsidRPr="000A78A7">
        <w:rPr>
          <w:rFonts w:hint="eastAsia"/>
        </w:rPr>
        <w:t>109年4月23日本院詢問衛生福利部之書面說明資料。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924D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5782"/>
    <w:rsid w:val="00036D76"/>
    <w:rsid w:val="00057F32"/>
    <w:rsid w:val="00062A25"/>
    <w:rsid w:val="00073CB5"/>
    <w:rsid w:val="0007425C"/>
    <w:rsid w:val="00077553"/>
    <w:rsid w:val="000851A2"/>
    <w:rsid w:val="0009352E"/>
    <w:rsid w:val="00096B96"/>
    <w:rsid w:val="000A2F3F"/>
    <w:rsid w:val="000B041A"/>
    <w:rsid w:val="000B0B4A"/>
    <w:rsid w:val="000B279A"/>
    <w:rsid w:val="000B61D2"/>
    <w:rsid w:val="000B70A7"/>
    <w:rsid w:val="000B73DD"/>
    <w:rsid w:val="000C495F"/>
    <w:rsid w:val="000D66D9"/>
    <w:rsid w:val="000E6431"/>
    <w:rsid w:val="000F21A5"/>
    <w:rsid w:val="00102B9F"/>
    <w:rsid w:val="00102CD6"/>
    <w:rsid w:val="00112637"/>
    <w:rsid w:val="00112ABC"/>
    <w:rsid w:val="0012001E"/>
    <w:rsid w:val="00126A55"/>
    <w:rsid w:val="00133F08"/>
    <w:rsid w:val="001345E6"/>
    <w:rsid w:val="001378B0"/>
    <w:rsid w:val="00142E00"/>
    <w:rsid w:val="00152793"/>
    <w:rsid w:val="00153B7E"/>
    <w:rsid w:val="001545A9"/>
    <w:rsid w:val="001637C7"/>
    <w:rsid w:val="0016480E"/>
    <w:rsid w:val="00173161"/>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0126"/>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7094A"/>
    <w:rsid w:val="0037153C"/>
    <w:rsid w:val="00371ED3"/>
    <w:rsid w:val="00372659"/>
    <w:rsid w:val="00372FFC"/>
    <w:rsid w:val="0037728A"/>
    <w:rsid w:val="00380B7D"/>
    <w:rsid w:val="00381A99"/>
    <w:rsid w:val="003829C2"/>
    <w:rsid w:val="003830B2"/>
    <w:rsid w:val="00384724"/>
    <w:rsid w:val="003848B3"/>
    <w:rsid w:val="003919B7"/>
    <w:rsid w:val="00391D57"/>
    <w:rsid w:val="00392292"/>
    <w:rsid w:val="00394F45"/>
    <w:rsid w:val="003A005C"/>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25E0"/>
    <w:rsid w:val="00423D07"/>
    <w:rsid w:val="00427936"/>
    <w:rsid w:val="0044346F"/>
    <w:rsid w:val="00453FF6"/>
    <w:rsid w:val="0046520A"/>
    <w:rsid w:val="004672AB"/>
    <w:rsid w:val="004714FE"/>
    <w:rsid w:val="00477BAA"/>
    <w:rsid w:val="00483D44"/>
    <w:rsid w:val="00495053"/>
    <w:rsid w:val="004A1F59"/>
    <w:rsid w:val="004A286C"/>
    <w:rsid w:val="004A29BE"/>
    <w:rsid w:val="004A3225"/>
    <w:rsid w:val="004A33EE"/>
    <w:rsid w:val="004A3AA8"/>
    <w:rsid w:val="004B13C7"/>
    <w:rsid w:val="004B778F"/>
    <w:rsid w:val="004C0609"/>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36BC2"/>
    <w:rsid w:val="00541B7A"/>
    <w:rsid w:val="005425E1"/>
    <w:rsid w:val="005427C5"/>
    <w:rsid w:val="00542CF6"/>
    <w:rsid w:val="00553C03"/>
    <w:rsid w:val="00560DDA"/>
    <w:rsid w:val="00563692"/>
    <w:rsid w:val="00571679"/>
    <w:rsid w:val="00584235"/>
    <w:rsid w:val="005844E7"/>
    <w:rsid w:val="005908B8"/>
    <w:rsid w:val="0059512E"/>
    <w:rsid w:val="005A6DD2"/>
    <w:rsid w:val="005C385D"/>
    <w:rsid w:val="005D3B20"/>
    <w:rsid w:val="005D71B7"/>
    <w:rsid w:val="005E1632"/>
    <w:rsid w:val="005E4759"/>
    <w:rsid w:val="005E5C68"/>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0CD3"/>
    <w:rsid w:val="006D31F9"/>
    <w:rsid w:val="006D3691"/>
    <w:rsid w:val="006E5EF0"/>
    <w:rsid w:val="006F3563"/>
    <w:rsid w:val="006F42B9"/>
    <w:rsid w:val="006F6103"/>
    <w:rsid w:val="00704E00"/>
    <w:rsid w:val="00707010"/>
    <w:rsid w:val="007209E7"/>
    <w:rsid w:val="00726182"/>
    <w:rsid w:val="00727635"/>
    <w:rsid w:val="00732329"/>
    <w:rsid w:val="007337CA"/>
    <w:rsid w:val="00734CE4"/>
    <w:rsid w:val="00735123"/>
    <w:rsid w:val="00741837"/>
    <w:rsid w:val="007453E6"/>
    <w:rsid w:val="00764482"/>
    <w:rsid w:val="00770453"/>
    <w:rsid w:val="0077309D"/>
    <w:rsid w:val="007774EE"/>
    <w:rsid w:val="00781822"/>
    <w:rsid w:val="00783F21"/>
    <w:rsid w:val="00787159"/>
    <w:rsid w:val="0079043A"/>
    <w:rsid w:val="00791668"/>
    <w:rsid w:val="00791AA1"/>
    <w:rsid w:val="007A3793"/>
    <w:rsid w:val="007C1BA2"/>
    <w:rsid w:val="007C2B48"/>
    <w:rsid w:val="007D20E9"/>
    <w:rsid w:val="007D4FFE"/>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76BD"/>
    <w:rsid w:val="00860463"/>
    <w:rsid w:val="008733DA"/>
    <w:rsid w:val="00874DD7"/>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3086E"/>
    <w:rsid w:val="00931A10"/>
    <w:rsid w:val="00947967"/>
    <w:rsid w:val="00955201"/>
    <w:rsid w:val="00965200"/>
    <w:rsid w:val="009668B3"/>
    <w:rsid w:val="00971471"/>
    <w:rsid w:val="009849C2"/>
    <w:rsid w:val="00984D24"/>
    <w:rsid w:val="009858EB"/>
    <w:rsid w:val="009A3F47"/>
    <w:rsid w:val="009B0046"/>
    <w:rsid w:val="009B587F"/>
    <w:rsid w:val="009C1440"/>
    <w:rsid w:val="009C2107"/>
    <w:rsid w:val="009C3B83"/>
    <w:rsid w:val="009C5D9E"/>
    <w:rsid w:val="009D2C3E"/>
    <w:rsid w:val="009E0625"/>
    <w:rsid w:val="009E3034"/>
    <w:rsid w:val="009E549F"/>
    <w:rsid w:val="009F28A8"/>
    <w:rsid w:val="009F473E"/>
    <w:rsid w:val="009F5247"/>
    <w:rsid w:val="009F5CA8"/>
    <w:rsid w:val="009F682A"/>
    <w:rsid w:val="00A00572"/>
    <w:rsid w:val="00A022BE"/>
    <w:rsid w:val="00A07B4B"/>
    <w:rsid w:val="00A24C95"/>
    <w:rsid w:val="00A2599A"/>
    <w:rsid w:val="00A26094"/>
    <w:rsid w:val="00A301BF"/>
    <w:rsid w:val="00A302B2"/>
    <w:rsid w:val="00A331B4"/>
    <w:rsid w:val="00A3484E"/>
    <w:rsid w:val="00A34D65"/>
    <w:rsid w:val="00A356D3"/>
    <w:rsid w:val="00A36ADA"/>
    <w:rsid w:val="00A37C4D"/>
    <w:rsid w:val="00A438D8"/>
    <w:rsid w:val="00A473F5"/>
    <w:rsid w:val="00A511C8"/>
    <w:rsid w:val="00A51F9D"/>
    <w:rsid w:val="00A5416A"/>
    <w:rsid w:val="00A60E7A"/>
    <w:rsid w:val="00A639F4"/>
    <w:rsid w:val="00A65864"/>
    <w:rsid w:val="00A65FAE"/>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443E4"/>
    <w:rsid w:val="00B5484D"/>
    <w:rsid w:val="00B563EA"/>
    <w:rsid w:val="00B56CDF"/>
    <w:rsid w:val="00B60E51"/>
    <w:rsid w:val="00B63A54"/>
    <w:rsid w:val="00B67F22"/>
    <w:rsid w:val="00B77714"/>
    <w:rsid w:val="00B77D18"/>
    <w:rsid w:val="00B8313A"/>
    <w:rsid w:val="00B93503"/>
    <w:rsid w:val="00BA31E8"/>
    <w:rsid w:val="00BA55E0"/>
    <w:rsid w:val="00BA6BD4"/>
    <w:rsid w:val="00BA6C7A"/>
    <w:rsid w:val="00BB17D1"/>
    <w:rsid w:val="00BB3752"/>
    <w:rsid w:val="00BB6688"/>
    <w:rsid w:val="00BC26D4"/>
    <w:rsid w:val="00BC5FE0"/>
    <w:rsid w:val="00BE0C80"/>
    <w:rsid w:val="00BF2A42"/>
    <w:rsid w:val="00C03D8C"/>
    <w:rsid w:val="00C055EC"/>
    <w:rsid w:val="00C10DC9"/>
    <w:rsid w:val="00C12FB3"/>
    <w:rsid w:val="00C17341"/>
    <w:rsid w:val="00C22500"/>
    <w:rsid w:val="00C23D34"/>
    <w:rsid w:val="00C24EEF"/>
    <w:rsid w:val="00C25CF6"/>
    <w:rsid w:val="00C26C36"/>
    <w:rsid w:val="00C32768"/>
    <w:rsid w:val="00C431DF"/>
    <w:rsid w:val="00C456BD"/>
    <w:rsid w:val="00C460B3"/>
    <w:rsid w:val="00C530DC"/>
    <w:rsid w:val="00C5350D"/>
    <w:rsid w:val="00C6123C"/>
    <w:rsid w:val="00C6311A"/>
    <w:rsid w:val="00C7084D"/>
    <w:rsid w:val="00C7315E"/>
    <w:rsid w:val="00C75895"/>
    <w:rsid w:val="00C83C9F"/>
    <w:rsid w:val="00C9013A"/>
    <w:rsid w:val="00C94840"/>
    <w:rsid w:val="00CA4EE3"/>
    <w:rsid w:val="00CB027F"/>
    <w:rsid w:val="00CC0EBB"/>
    <w:rsid w:val="00CC6297"/>
    <w:rsid w:val="00CC7690"/>
    <w:rsid w:val="00CD1986"/>
    <w:rsid w:val="00CD54BF"/>
    <w:rsid w:val="00CE4D5C"/>
    <w:rsid w:val="00CF05DA"/>
    <w:rsid w:val="00CF26A9"/>
    <w:rsid w:val="00CF58EB"/>
    <w:rsid w:val="00CF6FEC"/>
    <w:rsid w:val="00D0106E"/>
    <w:rsid w:val="00D06383"/>
    <w:rsid w:val="00D20E85"/>
    <w:rsid w:val="00D24615"/>
    <w:rsid w:val="00D37842"/>
    <w:rsid w:val="00D4124B"/>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34D"/>
    <w:rsid w:val="00DB26CD"/>
    <w:rsid w:val="00DB441C"/>
    <w:rsid w:val="00DB44AF"/>
    <w:rsid w:val="00DC1F58"/>
    <w:rsid w:val="00DC339B"/>
    <w:rsid w:val="00DC5D40"/>
    <w:rsid w:val="00DC69A7"/>
    <w:rsid w:val="00DD30E9"/>
    <w:rsid w:val="00DD4F47"/>
    <w:rsid w:val="00DD7FBB"/>
    <w:rsid w:val="00DE05EA"/>
    <w:rsid w:val="00DE0B9F"/>
    <w:rsid w:val="00DE2A9E"/>
    <w:rsid w:val="00DE4238"/>
    <w:rsid w:val="00DE657F"/>
    <w:rsid w:val="00DF1218"/>
    <w:rsid w:val="00DF6462"/>
    <w:rsid w:val="00E02FA0"/>
    <w:rsid w:val="00E036DC"/>
    <w:rsid w:val="00E0651E"/>
    <w:rsid w:val="00E10454"/>
    <w:rsid w:val="00E112E5"/>
    <w:rsid w:val="00E122D8"/>
    <w:rsid w:val="00E12CC8"/>
    <w:rsid w:val="00E15352"/>
    <w:rsid w:val="00E21CC7"/>
    <w:rsid w:val="00E24D9E"/>
    <w:rsid w:val="00E25849"/>
    <w:rsid w:val="00E278B1"/>
    <w:rsid w:val="00E3197E"/>
    <w:rsid w:val="00E342F8"/>
    <w:rsid w:val="00E351ED"/>
    <w:rsid w:val="00E42B19"/>
    <w:rsid w:val="00E44301"/>
    <w:rsid w:val="00E6034B"/>
    <w:rsid w:val="00E6549E"/>
    <w:rsid w:val="00E65EDE"/>
    <w:rsid w:val="00E70F81"/>
    <w:rsid w:val="00E77055"/>
    <w:rsid w:val="00E77460"/>
    <w:rsid w:val="00E83ABC"/>
    <w:rsid w:val="00E844F2"/>
    <w:rsid w:val="00E90AD0"/>
    <w:rsid w:val="00E923FF"/>
    <w:rsid w:val="00E92FCB"/>
    <w:rsid w:val="00EA147F"/>
    <w:rsid w:val="00EA4A27"/>
    <w:rsid w:val="00EA4FA6"/>
    <w:rsid w:val="00EB1A25"/>
    <w:rsid w:val="00EC7363"/>
    <w:rsid w:val="00ED03AB"/>
    <w:rsid w:val="00ED1963"/>
    <w:rsid w:val="00ED1CD4"/>
    <w:rsid w:val="00ED1D2B"/>
    <w:rsid w:val="00ED64B5"/>
    <w:rsid w:val="00EE7CCA"/>
    <w:rsid w:val="00EF29B8"/>
    <w:rsid w:val="00EF4645"/>
    <w:rsid w:val="00F02AC1"/>
    <w:rsid w:val="00F06E53"/>
    <w:rsid w:val="00F16A14"/>
    <w:rsid w:val="00F362D7"/>
    <w:rsid w:val="00F37D7B"/>
    <w:rsid w:val="00F5314C"/>
    <w:rsid w:val="00F5688C"/>
    <w:rsid w:val="00F60048"/>
    <w:rsid w:val="00F635DD"/>
    <w:rsid w:val="00F6627B"/>
    <w:rsid w:val="00F71665"/>
    <w:rsid w:val="00F722B0"/>
    <w:rsid w:val="00F7336E"/>
    <w:rsid w:val="00F734F2"/>
    <w:rsid w:val="00F75052"/>
    <w:rsid w:val="00F804D3"/>
    <w:rsid w:val="00F816CB"/>
    <w:rsid w:val="00F81CD2"/>
    <w:rsid w:val="00F82641"/>
    <w:rsid w:val="00F90F18"/>
    <w:rsid w:val="00F937E4"/>
    <w:rsid w:val="00F95EE7"/>
    <w:rsid w:val="00FA3123"/>
    <w:rsid w:val="00FA39E6"/>
    <w:rsid w:val="00FA7BC9"/>
    <w:rsid w:val="00FB378E"/>
    <w:rsid w:val="00FB37F1"/>
    <w:rsid w:val="00FB47C0"/>
    <w:rsid w:val="00FB501B"/>
    <w:rsid w:val="00FB719A"/>
    <w:rsid w:val="00FB7770"/>
    <w:rsid w:val="00FD3B91"/>
    <w:rsid w:val="00FD576B"/>
    <w:rsid w:val="00FD579E"/>
    <w:rsid w:val="00FD6845"/>
    <w:rsid w:val="00FE133F"/>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F8F4C0-CDF1-413B-8DEF-2C321743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37153C"/>
    <w:rPr>
      <w:rFonts w:ascii="標楷體" w:eastAsia="標楷體" w:hAnsi="Arial"/>
      <w:bCs/>
      <w:kern w:val="32"/>
      <w:sz w:val="32"/>
      <w:szCs w:val="36"/>
    </w:rPr>
  </w:style>
  <w:style w:type="character" w:customStyle="1" w:styleId="40">
    <w:name w:val="標題 4 字元"/>
    <w:basedOn w:val="a7"/>
    <w:link w:val="4"/>
    <w:rsid w:val="0037153C"/>
    <w:rPr>
      <w:rFonts w:ascii="標楷體" w:eastAsia="標楷體" w:hAnsi="Arial"/>
      <w:kern w:val="32"/>
      <w:sz w:val="32"/>
      <w:szCs w:val="36"/>
    </w:rPr>
  </w:style>
  <w:style w:type="paragraph" w:styleId="afc">
    <w:name w:val="footnote text"/>
    <w:basedOn w:val="a6"/>
    <w:link w:val="afd"/>
    <w:uiPriority w:val="99"/>
    <w:semiHidden/>
    <w:unhideWhenUsed/>
    <w:rsid w:val="00A00572"/>
    <w:pPr>
      <w:snapToGrid w:val="0"/>
      <w:jc w:val="left"/>
    </w:pPr>
    <w:rPr>
      <w:sz w:val="20"/>
    </w:rPr>
  </w:style>
  <w:style w:type="character" w:customStyle="1" w:styleId="afd">
    <w:name w:val="註腳文字 字元"/>
    <w:basedOn w:val="a7"/>
    <w:link w:val="afc"/>
    <w:uiPriority w:val="99"/>
    <w:semiHidden/>
    <w:rsid w:val="00A00572"/>
    <w:rPr>
      <w:rFonts w:ascii="標楷體" w:eastAsia="標楷體"/>
      <w:kern w:val="2"/>
    </w:rPr>
  </w:style>
  <w:style w:type="character" w:styleId="afe">
    <w:name w:val="footnote reference"/>
    <w:basedOn w:val="a7"/>
    <w:uiPriority w:val="99"/>
    <w:semiHidden/>
    <w:unhideWhenUsed/>
    <w:rsid w:val="00A00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2671-8BB9-4BE8-B180-108182DF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13</Pages>
  <Words>1153</Words>
  <Characters>6575</Characters>
  <Application>Microsoft Office Word</Application>
  <DocSecurity>0</DocSecurity>
  <Lines>54</Lines>
  <Paragraphs>15</Paragraphs>
  <ScaleCrop>false</ScaleCrop>
  <Company>cy</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3</cp:revision>
  <cp:lastPrinted>2020-05-06T03:13:00Z</cp:lastPrinted>
  <dcterms:created xsi:type="dcterms:W3CDTF">2020-05-15T01:26:00Z</dcterms:created>
  <dcterms:modified xsi:type="dcterms:W3CDTF">2020-05-15T08:47:00Z</dcterms:modified>
</cp:coreProperties>
</file>