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92D09" w:rsidRDefault="0025106C" w:rsidP="00F37D7B">
      <w:pPr>
        <w:pStyle w:val="af2"/>
        <w:rPr>
          <w:color w:val="000000" w:themeColor="text1"/>
        </w:rPr>
      </w:pPr>
      <w:bookmarkStart w:id="0" w:name="_GoBack"/>
      <w:bookmarkEnd w:id="0"/>
      <w:r w:rsidRPr="00492D09">
        <w:rPr>
          <w:rFonts w:hint="eastAsia"/>
          <w:color w:val="000000" w:themeColor="text1"/>
        </w:rPr>
        <w:t>糾正案文</w:t>
      </w:r>
    </w:p>
    <w:p w:rsidR="00E25849" w:rsidRPr="00492D09" w:rsidRDefault="0025106C" w:rsidP="00CC689B">
      <w:pPr>
        <w:pStyle w:val="1"/>
        <w:rPr>
          <w:color w:val="000000" w:themeColor="text1"/>
        </w:rPr>
      </w:pPr>
      <w:r w:rsidRPr="00492D09">
        <w:rPr>
          <w:rFonts w:hint="eastAsia"/>
          <w:color w:val="000000" w:themeColor="text1"/>
        </w:rPr>
        <w:t>被糾正機關：</w:t>
      </w:r>
      <w:r w:rsidR="009E42E6">
        <w:rPr>
          <w:rFonts w:hint="eastAsia"/>
          <w:color w:val="000000" w:themeColor="text1"/>
        </w:rPr>
        <w:t>法務部</w:t>
      </w:r>
      <w:r w:rsidR="009E42E6" w:rsidRPr="00492D09">
        <w:rPr>
          <w:color w:val="000000" w:themeColor="text1"/>
        </w:rPr>
        <w:t xml:space="preserve"> </w:t>
      </w:r>
    </w:p>
    <w:p w:rsidR="00E25849" w:rsidRPr="00492D09" w:rsidRDefault="0025106C" w:rsidP="00205799">
      <w:pPr>
        <w:pStyle w:val="1"/>
      </w:pPr>
      <w:r w:rsidRPr="00492D09">
        <w:rPr>
          <w:rFonts w:hint="eastAsia"/>
        </w:rPr>
        <w:t>案　　　由：</w:t>
      </w:r>
      <w:r w:rsidR="009C5B99">
        <w:rPr>
          <w:rFonts w:hint="eastAsia"/>
        </w:rPr>
        <w:t>民國</w:t>
      </w:r>
      <w:r w:rsidR="00205799" w:rsidRPr="00062C03">
        <w:rPr>
          <w:rFonts w:hint="eastAsia"/>
        </w:rPr>
        <w:t>108年1月1</w:t>
      </w:r>
      <w:r w:rsidR="00205799" w:rsidRPr="00062C03">
        <w:t>0</w:t>
      </w:r>
      <w:r w:rsidR="00205799" w:rsidRPr="00062C03">
        <w:rPr>
          <w:rFonts w:hint="eastAsia"/>
        </w:rPr>
        <w:t>日</w:t>
      </w:r>
      <w:r w:rsidR="00205799">
        <w:rPr>
          <w:rFonts w:hint="eastAsia"/>
        </w:rPr>
        <w:t>，</w:t>
      </w:r>
      <w:r w:rsidR="00205799" w:rsidRPr="00205799">
        <w:rPr>
          <w:rFonts w:hint="eastAsia"/>
        </w:rPr>
        <w:t>潘姓性侵假釋付保護管束之人</w:t>
      </w:r>
      <w:r w:rsidR="00205799">
        <w:rPr>
          <w:rFonts w:hint="eastAsia"/>
        </w:rPr>
        <w:t>徒手</w:t>
      </w:r>
      <w:r w:rsidR="00205799" w:rsidRPr="00205799">
        <w:rPr>
          <w:rFonts w:hint="eastAsia"/>
        </w:rPr>
        <w:t>破壞電子腳鐐並逃逸</w:t>
      </w:r>
      <w:r w:rsidR="009C5B99">
        <w:rPr>
          <w:rFonts w:hint="eastAsia"/>
        </w:rPr>
        <w:t>，翌日經員警查獲</w:t>
      </w:r>
      <w:r w:rsidR="00205799" w:rsidRPr="00205799">
        <w:rPr>
          <w:rFonts w:hint="eastAsia"/>
        </w:rPr>
        <w:t>，</w:t>
      </w:r>
      <w:r w:rsidR="009C5B99">
        <w:rPr>
          <w:rFonts w:hint="eastAsia"/>
        </w:rPr>
        <w:t>然</w:t>
      </w:r>
      <w:r w:rsidR="00205799" w:rsidRPr="00205799">
        <w:rPr>
          <w:rFonts w:hint="eastAsia"/>
        </w:rPr>
        <w:t>在檢察官進行偵查程序命其示範時，再度以徒手方式拔開電子腳鐐</w:t>
      </w:r>
      <w:r w:rsidR="00205799">
        <w:rPr>
          <w:rFonts w:hint="eastAsia"/>
        </w:rPr>
        <w:t>，</w:t>
      </w:r>
      <w:r w:rsidR="00205799" w:rsidRPr="00205799">
        <w:rPr>
          <w:rFonts w:hint="eastAsia"/>
          <w:color w:val="000000" w:themeColor="text1"/>
        </w:rPr>
        <w:t>法務部</w:t>
      </w:r>
      <w:r w:rsidR="00205799">
        <w:rPr>
          <w:rFonts w:hint="eastAsia"/>
          <w:color w:val="000000" w:themeColor="text1"/>
        </w:rPr>
        <w:t>對於潘員能</w:t>
      </w:r>
      <w:r w:rsidR="00205799" w:rsidRPr="00205799">
        <w:rPr>
          <w:rFonts w:hint="eastAsia"/>
          <w:color w:val="000000" w:themeColor="text1"/>
        </w:rPr>
        <w:t>兩次</w:t>
      </w:r>
      <w:r w:rsidR="00205799">
        <w:rPr>
          <w:rFonts w:hint="eastAsia"/>
          <w:color w:val="000000" w:themeColor="text1"/>
        </w:rPr>
        <w:t>徒手破壞</w:t>
      </w:r>
      <w:r w:rsidR="00205799" w:rsidRPr="00205799">
        <w:rPr>
          <w:rFonts w:hint="eastAsia"/>
          <w:color w:val="000000" w:themeColor="text1"/>
        </w:rPr>
        <w:t>狀況，</w:t>
      </w:r>
      <w:r w:rsidR="009C5B99">
        <w:rPr>
          <w:rFonts w:hint="eastAsia"/>
          <w:color w:val="000000" w:themeColor="text1"/>
        </w:rPr>
        <w:t>竟</w:t>
      </w:r>
      <w:r w:rsidR="00205799" w:rsidRPr="00205799">
        <w:rPr>
          <w:rFonts w:hint="eastAsia"/>
          <w:color w:val="000000" w:themeColor="text1"/>
        </w:rPr>
        <w:t>未</w:t>
      </w:r>
      <w:r w:rsidR="00205799">
        <w:rPr>
          <w:rFonts w:hint="eastAsia"/>
          <w:color w:val="000000" w:themeColor="text1"/>
        </w:rPr>
        <w:t>能</w:t>
      </w:r>
      <w:r w:rsidR="00205799" w:rsidRPr="00205799">
        <w:rPr>
          <w:rFonts w:hint="eastAsia"/>
          <w:color w:val="000000" w:themeColor="text1"/>
        </w:rPr>
        <w:t>充分掌握</w:t>
      </w:r>
      <w:r w:rsidR="00205799" w:rsidRPr="00205799">
        <w:rPr>
          <w:rFonts w:hint="eastAsia"/>
        </w:rPr>
        <w:t>，顯見該電子腳鐐實無法達到社會防衛目的</w:t>
      </w:r>
      <w:r w:rsidR="00214FF9">
        <w:rPr>
          <w:rFonts w:hint="eastAsia"/>
        </w:rPr>
        <w:t>，</w:t>
      </w:r>
      <w:r w:rsidR="00214FF9" w:rsidRPr="00492D09">
        <w:rPr>
          <w:rFonts w:hint="eastAsia"/>
          <w:color w:val="000000" w:themeColor="text1"/>
        </w:rPr>
        <w:t>核有違失</w:t>
      </w:r>
      <w:r w:rsidR="008B4841" w:rsidRPr="00492D09">
        <w:rPr>
          <w:rFonts w:hAnsi="標楷體" w:hint="eastAsia"/>
        </w:rPr>
        <w:t>，</w:t>
      </w:r>
      <w:r w:rsidR="008B4841" w:rsidRPr="00492D09">
        <w:rPr>
          <w:rFonts w:hint="eastAsia"/>
        </w:rPr>
        <w:t>爰依法提案糾正</w:t>
      </w:r>
      <w:r w:rsidRPr="00492D09">
        <w:rPr>
          <w:rFonts w:hint="eastAsia"/>
        </w:rPr>
        <w:t>。</w:t>
      </w:r>
    </w:p>
    <w:p w:rsidR="00E25849" w:rsidRPr="00492D09"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492D09">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9407E" w:rsidRPr="00062C03" w:rsidRDefault="00C9407E" w:rsidP="00C9407E">
      <w:pPr>
        <w:pStyle w:val="10"/>
        <w:ind w:left="680" w:firstLine="6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062C03">
        <w:rPr>
          <w:rFonts w:hint="eastAsia"/>
          <w:color w:val="000000" w:themeColor="text1"/>
        </w:rPr>
        <w:t>據悉，民國（下同）108年1月1</w:t>
      </w:r>
      <w:r w:rsidRPr="00062C03">
        <w:rPr>
          <w:color w:val="000000" w:themeColor="text1"/>
        </w:rPr>
        <w:t>0</w:t>
      </w:r>
      <w:r w:rsidRPr="00062C03">
        <w:rPr>
          <w:rFonts w:hint="eastAsia"/>
          <w:color w:val="000000" w:themeColor="text1"/>
        </w:rPr>
        <w:t>日，因違反刑法第227條第3項與未成年人性交罪，遭</w:t>
      </w:r>
      <w:r w:rsidRPr="00062C03">
        <w:rPr>
          <w:rFonts w:hAnsi="標楷體" w:cs="標楷體" w:hint="eastAsia"/>
          <w:color w:val="000000" w:themeColor="text1"/>
        </w:rPr>
        <w:t>臺灣新北地方法院</w:t>
      </w:r>
      <w:r w:rsidRPr="00062C03">
        <w:rPr>
          <w:color w:val="000000" w:themeColor="text1"/>
        </w:rPr>
        <w:t>(</w:t>
      </w:r>
      <w:r w:rsidRPr="00062C03">
        <w:rPr>
          <w:rFonts w:hint="eastAsia"/>
          <w:color w:val="000000" w:themeColor="text1"/>
        </w:rPr>
        <w:t>下稱新北地院</w:t>
      </w:r>
      <w:r w:rsidRPr="00062C03">
        <w:rPr>
          <w:color w:val="000000" w:themeColor="text1"/>
        </w:rPr>
        <w:t>)</w:t>
      </w:r>
      <w:r w:rsidRPr="00062C03">
        <w:rPr>
          <w:rFonts w:hint="eastAsia"/>
          <w:color w:val="000000" w:themeColor="text1"/>
        </w:rPr>
        <w:t>判刑6月有期徒刑</w:t>
      </w:r>
      <w:r w:rsidRPr="00062C03">
        <w:rPr>
          <w:rStyle w:val="afc"/>
          <w:color w:val="000000" w:themeColor="text1"/>
        </w:rPr>
        <w:footnoteReference w:id="1"/>
      </w:r>
      <w:r w:rsidRPr="00062C03">
        <w:rPr>
          <w:rFonts w:hint="eastAsia"/>
          <w:color w:val="000000" w:themeColor="text1"/>
        </w:rPr>
        <w:t>之性侵假釋犯潘</w:t>
      </w:r>
      <w:r w:rsidR="00027052">
        <w:rPr>
          <w:rFonts w:hint="eastAsia"/>
          <w:color w:val="000000" w:themeColor="text1"/>
        </w:rPr>
        <w:t>○○</w:t>
      </w:r>
      <w:r w:rsidRPr="00062C03">
        <w:rPr>
          <w:rFonts w:hint="eastAsia"/>
          <w:color w:val="000000" w:themeColor="text1"/>
        </w:rPr>
        <w:t>（下稱潘員或潘姓性侵假釋付保護管束之人），在</w:t>
      </w:r>
      <w:r w:rsidRPr="00062C03">
        <w:rPr>
          <w:rFonts w:hAnsi="標楷體" w:cs="標楷體" w:hint="eastAsia"/>
          <w:color w:val="000000" w:themeColor="text1"/>
        </w:rPr>
        <w:t>臺灣</w:t>
      </w:r>
      <w:r w:rsidRPr="00062C03">
        <w:rPr>
          <w:rFonts w:hint="eastAsia"/>
          <w:color w:val="000000" w:themeColor="text1"/>
        </w:rPr>
        <w:t>臺東地方檢察署（下稱臺東地檢署）執行保護管束期間，破壞科技監控設備（俗稱電子腳鐐）後逃逸。後經員警追查發現，其竊取他人機車北上至宜蘭網友家過夜，翌（11）日緝捕歸案（下稱本案）。</w:t>
      </w:r>
    </w:p>
    <w:p w:rsidR="00C9407E" w:rsidRPr="00062C03" w:rsidRDefault="00C9407E" w:rsidP="00C9407E">
      <w:pPr>
        <w:pStyle w:val="10"/>
        <w:ind w:left="680" w:firstLine="680"/>
        <w:rPr>
          <w:color w:val="000000" w:themeColor="text1"/>
        </w:rPr>
      </w:pPr>
      <w:r w:rsidRPr="00062C03">
        <w:rPr>
          <w:rFonts w:hint="eastAsia"/>
          <w:color w:val="000000" w:themeColor="text1"/>
        </w:rPr>
        <w:t>因本院前曾以106司調0027號立案調查，做成調查報告（下稱前案），就因案遭判無期徒刑性侵害假釋犯蕭</w:t>
      </w:r>
      <w:r w:rsidR="00027052">
        <w:rPr>
          <w:rFonts w:hint="eastAsia"/>
          <w:color w:val="000000" w:themeColor="text1"/>
        </w:rPr>
        <w:t>○○</w:t>
      </w:r>
      <w:r w:rsidRPr="00062C03">
        <w:rPr>
          <w:rFonts w:hint="eastAsia"/>
          <w:color w:val="000000" w:themeColor="text1"/>
        </w:rPr>
        <w:t>在澎湖執行保護管束期間，因多次違反檢察官處遇命令，經臺灣澎湖地方檢察署（下稱澎湖地檢署）檢察官報請撤銷假釋，蕭員於106年5月10日破壞電子腳鐐，惟檢警人員未能及時緝獲，致其從澎湖搭國內客船至嘉義縣布袋港後不知去向，澎湖地檢署嗣於翌（11）日發布通緝等情，提出調查意見，並促請法務部檢討改善。兩</w:t>
      </w:r>
      <w:r w:rsidRPr="00062C03">
        <w:rPr>
          <w:rFonts w:hint="eastAsia"/>
          <w:color w:val="000000" w:themeColor="text1"/>
        </w:rPr>
        <w:lastRenderedPageBreak/>
        <w:t>案時隔不遠，情節相同，逃逸者均為性侵犯，且所破壞者均為電子腳鐐，但兩案發生後，檢察機關之追緝作法不同，究法務部有無基於前案之經驗，在發布通緝、撤銷假釋之法規面檢討改進並使本案之追緝作為較前案快速，同時又不違反人權公約及法律？又電子腳鐐一再被配戴者破壞，法務部有無精進作為等？因此立案調查。</w:t>
      </w:r>
    </w:p>
    <w:p w:rsidR="00B83C6B" w:rsidRPr="00492D09" w:rsidRDefault="00C9407E" w:rsidP="00C9407E">
      <w:pPr>
        <w:pStyle w:val="10"/>
        <w:ind w:left="680" w:firstLine="680"/>
        <w:rPr>
          <w:rFonts w:hAnsi="標楷體"/>
          <w:color w:val="000000" w:themeColor="text1"/>
          <w:spacing w:val="-6"/>
        </w:rPr>
      </w:pPr>
      <w:r w:rsidRPr="00062C03">
        <w:rPr>
          <w:rFonts w:hint="eastAsia"/>
          <w:color w:val="000000" w:themeColor="text1"/>
        </w:rPr>
        <w:t>案經本院向法務部、衛生福利部調閱相關卷證，並於109年2月25日詢問法務部次長張斗輝、保護司副司長林嚞慧、</w:t>
      </w:r>
      <w:r w:rsidRPr="00062C03">
        <w:rPr>
          <w:rFonts w:hAnsi="標楷體" w:hint="eastAsia"/>
          <w:color w:val="000000" w:themeColor="text1"/>
        </w:rPr>
        <w:t>檢察司主任檢察官鄧巧羚、調辦事科長潘連坤、調部辦事觀護人王怡雯，及臺灣高等檢察署調署辦事觀護人曹又云等機關代表</w:t>
      </w:r>
      <w:r w:rsidR="00CC689B" w:rsidRPr="00492D09">
        <w:rPr>
          <w:rFonts w:hint="eastAsia"/>
          <w:color w:val="000000" w:themeColor="text1"/>
        </w:rPr>
        <w:t>，</w:t>
      </w:r>
      <w:r>
        <w:rPr>
          <w:rFonts w:hint="eastAsia"/>
          <w:color w:val="000000" w:themeColor="text1"/>
        </w:rPr>
        <w:t>經調查</w:t>
      </w:r>
      <w:r w:rsidR="007666F5" w:rsidRPr="00492D09">
        <w:rPr>
          <w:rFonts w:hint="eastAsia"/>
          <w:bCs/>
          <w:color w:val="000000" w:themeColor="text1"/>
        </w:rPr>
        <w:t>確有</w:t>
      </w:r>
      <w:r w:rsidR="00CC689B" w:rsidRPr="00492D09">
        <w:rPr>
          <w:rFonts w:hint="eastAsia"/>
          <w:bCs/>
          <w:color w:val="000000" w:themeColor="text1"/>
        </w:rPr>
        <w:t>嚴重</w:t>
      </w:r>
      <w:r w:rsidR="007666F5" w:rsidRPr="00492D09">
        <w:rPr>
          <w:rFonts w:hint="eastAsia"/>
          <w:bCs/>
          <w:color w:val="000000" w:themeColor="text1"/>
        </w:rPr>
        <w:t>違失，應予糾正促其注意改善</w:t>
      </w:r>
      <w:r w:rsidR="00EE62A2" w:rsidRPr="00492D09">
        <w:rPr>
          <w:rFonts w:hint="eastAsia"/>
          <w:bCs/>
          <w:color w:val="000000" w:themeColor="text1"/>
        </w:rPr>
        <w:t>，</w:t>
      </w:r>
      <w:r w:rsidR="007666F5" w:rsidRPr="00492D09">
        <w:rPr>
          <w:rFonts w:hint="eastAsia"/>
          <w:bCs/>
          <w:color w:val="000000" w:themeColor="text1"/>
        </w:rPr>
        <w:t>茲臚列事實與理由如下</w:t>
      </w:r>
      <w:r w:rsidR="00B83C6B" w:rsidRPr="00492D09">
        <w:rPr>
          <w:rFonts w:hAnsi="標楷體" w:hint="eastAsia"/>
          <w:color w:val="000000" w:themeColor="text1"/>
          <w:spacing w:val="-6"/>
        </w:rPr>
        <w:t>：</w:t>
      </w:r>
    </w:p>
    <w:p w:rsidR="00C9407E" w:rsidRPr="00062C03" w:rsidRDefault="00C9407E" w:rsidP="00340875">
      <w:pPr>
        <w:pStyle w:val="2"/>
        <w:numPr>
          <w:ilvl w:val="0"/>
          <w:numId w:val="0"/>
        </w:numPr>
        <w:ind w:left="709"/>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062C03">
        <w:rPr>
          <w:rFonts w:hint="eastAsia"/>
        </w:rPr>
        <w:t>對性侵害犯罪之加害人，依性侵害犯罪防治法第20條第3項第7款，於假釋付保護管束期間，施加電子腳鐐之科技設備監控，係為管控其再犯風險，而監控其行蹤，具有社會防衛目的。然本案潘姓性侵假釋付保護管束之人破壞電子腳鐐之方式，竟可徒手將電子腳鐐破壞並逃逸，且在檢察官進行偵查程序命其示範時，再度以徒手方式拔開電子腳鐐，顯見該電子腳鐐實無法達到社會防衛目的。況且，依109年1月15日修正刑事訴訟第116條之2規定，未來電子腳鐐將作為「防逃機制」一環，法務部允應就本案破壞手法進行檢討，使依政府採購相關規定採購之電子腳鐐，具備物之通常效用或契約預定效用，至少須具有穩固性。</w:t>
      </w:r>
    </w:p>
    <w:p w:rsidR="00C9407E" w:rsidRPr="00062C03" w:rsidRDefault="00C9407E" w:rsidP="00C9407E">
      <w:pPr>
        <w:pStyle w:val="3"/>
        <w:numPr>
          <w:ilvl w:val="2"/>
          <w:numId w:val="26"/>
        </w:numPr>
        <w:rPr>
          <w:color w:val="000000" w:themeColor="text1"/>
        </w:rPr>
      </w:pPr>
      <w:r w:rsidRPr="00062C03">
        <w:rPr>
          <w:rFonts w:hint="eastAsia"/>
          <w:color w:val="000000" w:themeColor="text1"/>
        </w:rPr>
        <w:t>對於犯罪之法律效果，我國係採刑罰及保安處分之雙軌制裁體系，而保安處分係為預防犯罪，保護社會安寧，對有危險性犯人所為保全或矯治之刑事觀護處遇措施</w:t>
      </w:r>
      <w:r w:rsidRPr="00062C03">
        <w:rPr>
          <w:rStyle w:val="afc"/>
          <w:color w:val="000000" w:themeColor="text1"/>
        </w:rPr>
        <w:footnoteReference w:id="2"/>
      </w:r>
      <w:r w:rsidRPr="00062C03">
        <w:rPr>
          <w:rFonts w:hint="eastAsia"/>
          <w:color w:val="000000" w:themeColor="text1"/>
        </w:rPr>
        <w:t>，依個別犯罪人之「教育需要性」或「矯</w:t>
      </w:r>
      <w:r w:rsidRPr="00062C03">
        <w:rPr>
          <w:rFonts w:hint="eastAsia"/>
          <w:color w:val="000000" w:themeColor="text1"/>
        </w:rPr>
        <w:lastRenderedPageBreak/>
        <w:t>治必要性」，透過刑罰以外處遇措施予以排除，預防再犯，並使其再社會化</w:t>
      </w:r>
      <w:r w:rsidRPr="00062C03">
        <w:rPr>
          <w:rStyle w:val="afc"/>
          <w:color w:val="000000" w:themeColor="text1"/>
        </w:rPr>
        <w:footnoteReference w:id="3"/>
      </w:r>
      <w:r w:rsidRPr="00062C03">
        <w:rPr>
          <w:rFonts w:hint="eastAsia"/>
          <w:color w:val="000000" w:themeColor="text1"/>
        </w:rPr>
        <w:t>。而基於性侵害犯罪加害人之犯罪類型特殊，再犯率高且治療成效不易顯現，先進國家經多年研究肯認對性侵害加害人執行身心治療及輔導教育之必要性，且有鑑於其犯罪類型之特異性行為（善於欺騙、隱瞞、否認），均主張除了應於監獄中進行嚴謹之身心矯治及治療外，加害人在出獄回到社區後，更須持續進行監控與治療，才能有效且根本地達到再犯預防之效果。1</w:t>
      </w:r>
      <w:r w:rsidRPr="00062C03">
        <w:rPr>
          <w:color w:val="000000" w:themeColor="text1"/>
        </w:rPr>
        <w:t>01</w:t>
      </w:r>
      <w:r w:rsidRPr="00062C03">
        <w:rPr>
          <w:rFonts w:hint="eastAsia"/>
          <w:color w:val="000000" w:themeColor="text1"/>
        </w:rPr>
        <w:t>年1月1日修正施行之性侵害犯罪防治法，於第20條第3項第7款中增加得報請檢察官、軍事檢察官許可，對性侵害加害人付保護管束者，實施科技設備監控。現行我國對於性侵害加害人之觀護處遇（保安處分），重視避免其再犯之社會防衛面向，對其日常行蹤進行全方位監控。</w:t>
      </w:r>
    </w:p>
    <w:p w:rsidR="00C9407E" w:rsidRPr="00062C03" w:rsidRDefault="00C9407E" w:rsidP="00C9407E">
      <w:pPr>
        <w:pStyle w:val="3"/>
        <w:numPr>
          <w:ilvl w:val="2"/>
          <w:numId w:val="1"/>
        </w:numPr>
        <w:rPr>
          <w:color w:val="000000" w:themeColor="text1"/>
        </w:rPr>
      </w:pPr>
      <w:r w:rsidRPr="00062C03">
        <w:rPr>
          <w:rFonts w:hint="eastAsia"/>
          <w:color w:val="000000" w:themeColor="text1"/>
        </w:rPr>
        <w:t>依</w:t>
      </w:r>
      <w:r>
        <w:rPr>
          <w:rFonts w:hint="eastAsia"/>
          <w:color w:val="000000" w:themeColor="text1"/>
        </w:rPr>
        <w:t>本案</w:t>
      </w:r>
      <w:r w:rsidRPr="00062C03">
        <w:rPr>
          <w:rFonts w:hint="eastAsia"/>
          <w:color w:val="000000" w:themeColor="text1"/>
        </w:rPr>
        <w:t>108年1月11、14日檢察官訊問筆錄記載略以：「（問：你如何拔掉腳鐐？）答：下午4點多，我在花蓮的○○剛過平交道的轉角處，用手插到接環跟衛星定位機器中間，用蠻力拔開，就打開了。」、「（問：你如何把電子腳鐐打開的？）答：我第一次用徒手打開，之前没有拉開過。（諭知今日準備另一個新的電子腳鐐給你拉拉看，請當庭試著打開電子腳鐐。並請法警當庭拍照。）（問：這個電子腳鐐戴起來的感覺跟前的感覺是一樣的嗎？）答：之前的感覺比較鬆。之前的那個會扣的比較鬆。（問：這個電子腳鐐在你腳的縫隙跟之前的比較？）答：之前是比較寬一點。之前的電子腳鐐，手還可以伸進去。</w:t>
      </w:r>
      <w:r w:rsidRPr="00062C03">
        <w:rPr>
          <w:rFonts w:hint="eastAsia"/>
          <w:color w:val="000000" w:themeColor="text1"/>
        </w:rPr>
        <w:lastRenderedPageBreak/>
        <w:t>（問：你搖搖看，鎖上去的地方鬆緊度是如何？）答：沒有什麼感覺。（問：你當時是徒手拔，你如何拔電子腳鐐？）答：一隻手抓住電子腳</w:t>
      </w:r>
      <w:r w:rsidR="009F1555">
        <w:rPr>
          <w:rFonts w:hint="eastAsia"/>
          <w:color w:val="000000" w:themeColor="text1"/>
        </w:rPr>
        <w:t>鐐</w:t>
      </w:r>
      <w:r w:rsidRPr="00062C03">
        <w:rPr>
          <w:rFonts w:hint="eastAsia"/>
          <w:color w:val="000000" w:themeColor="text1"/>
        </w:rPr>
        <w:t>的位置，另一手抓住腳踝扣環的地方。當時有二隻手指頭，中指、無名指可以伸進去，最上面的指節。（諭知被告當庭拔電子腳鐐，被告當庭把電子腳鐐拔開。）（問：當時花多少時間拔？）答：我忘了，但是有出力二、三次才拔出來。」等語，可知本案潘姓性侵付保護管束人破壞電子腳鐐之方式，係徒手以蠻力破壞，殊難想像電子腳鐐竟可如此輕易遭到破壞。法務部保護司副司長林嚞慧於本院詢問會議時稱：「潘員這麼容易扯開，但我們有請男性觀護人去嘗試拉，拉不開。目前我們讓人先戴VR才進行電子腳鐐穿戴，避免他發現怎麼戴上。」潘連坤科長亦表示：「本案潘員怎麼徒手打開，我都想去監獄訪談他。」等語，足見法務部就潘員以徒手方式就能破壞電子腳鐐兩次之狀況，並未充分掌握，如何能針對本案破壞方式，提升電子腳鐐堅固及耐用性，以達社會防衛功能？法務部過去為減少受監控人破壞設備逃逸之情形，業督導臺高檢署於105年12月完成性侵害加害人行蹤（定位）科技設備監控功能提升案，並提升設備堅固性，將第三代隨身發訊器設備所採用偏柔軟舒適的錶帶材質，改為硬式（PC）設計，並於錶帶內埋設2mm線徑之鋼索，具有防剪、防水、防干擾、防靜電破壞、耐撞及耐摔之品質與安全設計，並通過相關檢驗測試。未來在110年將採購新品，則就本案潘員破壞情形，法務部應積極檢討，使依政府採購法相關規定採購之電子腳鐐，具備物之通常效用或契約預定效用，至少須具有穩固性。</w:t>
      </w:r>
    </w:p>
    <w:p w:rsidR="00F57699" w:rsidRPr="00492D09" w:rsidRDefault="00C9407E" w:rsidP="00C9407E">
      <w:pPr>
        <w:pStyle w:val="3"/>
        <w:rPr>
          <w:b/>
        </w:rPr>
      </w:pPr>
      <w:r w:rsidRPr="00062C03">
        <w:rPr>
          <w:rFonts w:hint="eastAsia"/>
        </w:rPr>
        <w:lastRenderedPageBreak/>
        <w:t>尤其，刑事訴訟法第116條之2第1項第4款規定：「法院許可停止羈押時，經審酌人權保障及公共利益之均衡維護，認有必要者，得定相當期間，命被告應遵守下列事項：……四、接受適當之科技設備監控。」修法新增對於停止羈押之被告施以科技監控設備（電子腳鐐），係為防止被告在偵查或審判中逃匿規避刑責，穿戴電子腳鐐可保全對被告進行追訴、審判程序。換言之，防逃機制所新增之科技監控設備，與前述對性侵付保護管束之人施戴電子腳鐐，為相同設備，均得作為對於配戴電子腳鐐對象之監控措施，以掌握其日常生活行蹤。從而作為防逃機制之一環，對於停止羈押被告施用電子腳鐐時，應格外重視該電子腳鐐之堅固及耐用性。目前，法務部與司法院刻正協商討論依刑事訴訟法第116條之2第</w:t>
      </w:r>
      <w:r w:rsidRPr="00062C03">
        <w:t>5</w:t>
      </w:r>
      <w:r w:rsidRPr="00062C03">
        <w:rPr>
          <w:rFonts w:hint="eastAsia"/>
        </w:rPr>
        <w:t>項規定訂定科技設備監控之執行辦法，允請重視本案發生以徒手蠻力即可破壞之情事，作為借鏡。</w:t>
      </w:r>
    </w:p>
    <w:p w:rsidR="00A93FEF" w:rsidRPr="00492D09" w:rsidRDefault="00A93FEF" w:rsidP="00A00A22">
      <w:pPr>
        <w:pStyle w:val="10"/>
        <w:ind w:leftChars="0" w:left="0" w:firstLineChars="0" w:firstLine="0"/>
        <w:rPr>
          <w:color w:val="000000" w:themeColor="text1"/>
        </w:rPr>
      </w:pPr>
      <w:bookmarkStart w:id="52" w:name="_Toc524902730"/>
      <w:bookmarkEnd w:id="42"/>
      <w:bookmarkEnd w:id="43"/>
      <w:bookmarkEnd w:id="44"/>
      <w:bookmarkEnd w:id="45"/>
      <w:bookmarkEnd w:id="46"/>
      <w:bookmarkEnd w:id="47"/>
      <w:bookmarkEnd w:id="48"/>
      <w:bookmarkEnd w:id="49"/>
      <w:bookmarkEnd w:id="50"/>
      <w:bookmarkEnd w:id="51"/>
      <w:r>
        <w:rPr>
          <w:rFonts w:hint="eastAsia"/>
          <w:color w:val="000000" w:themeColor="text1"/>
        </w:rPr>
        <w:t xml:space="preserve">    </w:t>
      </w:r>
      <w:r w:rsidRPr="00492D09">
        <w:rPr>
          <w:rFonts w:hint="eastAsia"/>
          <w:color w:val="000000" w:themeColor="text1"/>
        </w:rPr>
        <w:t>綜上所述，</w:t>
      </w:r>
      <w:r w:rsidRPr="00062C03">
        <w:rPr>
          <w:rFonts w:hint="eastAsia"/>
        </w:rPr>
        <w:t>108年1月1</w:t>
      </w:r>
      <w:r w:rsidRPr="00062C03">
        <w:t>0</w:t>
      </w:r>
      <w:r w:rsidRPr="00062C03">
        <w:rPr>
          <w:rFonts w:hint="eastAsia"/>
        </w:rPr>
        <w:t>日</w:t>
      </w:r>
      <w:r>
        <w:rPr>
          <w:rFonts w:hint="eastAsia"/>
        </w:rPr>
        <w:t>，</w:t>
      </w:r>
      <w:r w:rsidRPr="00205799">
        <w:rPr>
          <w:rFonts w:hint="eastAsia"/>
        </w:rPr>
        <w:t>潘姓性侵假釋付保護管束之人</w:t>
      </w:r>
      <w:r>
        <w:rPr>
          <w:rFonts w:hint="eastAsia"/>
        </w:rPr>
        <w:t>徒手</w:t>
      </w:r>
      <w:r w:rsidRPr="00205799">
        <w:rPr>
          <w:rFonts w:hint="eastAsia"/>
        </w:rPr>
        <w:t>破壞電子腳鐐並逃逸</w:t>
      </w:r>
      <w:r>
        <w:rPr>
          <w:rFonts w:hint="eastAsia"/>
        </w:rPr>
        <w:t>，翌日經員警查獲</w:t>
      </w:r>
      <w:r w:rsidRPr="00205799">
        <w:rPr>
          <w:rFonts w:hint="eastAsia"/>
        </w:rPr>
        <w:t>，</w:t>
      </w:r>
      <w:r>
        <w:rPr>
          <w:rFonts w:hint="eastAsia"/>
        </w:rPr>
        <w:t>然</w:t>
      </w:r>
      <w:r w:rsidRPr="00205799">
        <w:rPr>
          <w:rFonts w:hint="eastAsia"/>
        </w:rPr>
        <w:t>在檢察官進行偵查程序命其示範時，再度以徒手方式拔開電子腳鐐</w:t>
      </w:r>
      <w:r>
        <w:rPr>
          <w:rFonts w:hint="eastAsia"/>
        </w:rPr>
        <w:t>，</w:t>
      </w:r>
      <w:r w:rsidRPr="00205799">
        <w:rPr>
          <w:rFonts w:hint="eastAsia"/>
          <w:color w:val="000000" w:themeColor="text1"/>
        </w:rPr>
        <w:t>法務部</w:t>
      </w:r>
      <w:r>
        <w:rPr>
          <w:rFonts w:hint="eastAsia"/>
          <w:color w:val="000000" w:themeColor="text1"/>
        </w:rPr>
        <w:t>對於潘員能</w:t>
      </w:r>
      <w:r w:rsidRPr="00205799">
        <w:rPr>
          <w:rFonts w:hint="eastAsia"/>
          <w:color w:val="000000" w:themeColor="text1"/>
        </w:rPr>
        <w:t>兩次</w:t>
      </w:r>
      <w:r>
        <w:rPr>
          <w:rFonts w:hint="eastAsia"/>
          <w:color w:val="000000" w:themeColor="text1"/>
        </w:rPr>
        <w:t>徒手破壞</w:t>
      </w:r>
      <w:r w:rsidRPr="00205799">
        <w:rPr>
          <w:rFonts w:hint="eastAsia"/>
          <w:color w:val="000000" w:themeColor="text1"/>
        </w:rPr>
        <w:t>狀況，</w:t>
      </w:r>
      <w:r>
        <w:rPr>
          <w:rFonts w:hint="eastAsia"/>
          <w:color w:val="000000" w:themeColor="text1"/>
        </w:rPr>
        <w:t>竟</w:t>
      </w:r>
      <w:r w:rsidRPr="00205799">
        <w:rPr>
          <w:rFonts w:hint="eastAsia"/>
          <w:color w:val="000000" w:themeColor="text1"/>
        </w:rPr>
        <w:t>未</w:t>
      </w:r>
      <w:r>
        <w:rPr>
          <w:rFonts w:hint="eastAsia"/>
          <w:color w:val="000000" w:themeColor="text1"/>
        </w:rPr>
        <w:t>能</w:t>
      </w:r>
      <w:r w:rsidRPr="00205799">
        <w:rPr>
          <w:rFonts w:hint="eastAsia"/>
          <w:color w:val="000000" w:themeColor="text1"/>
        </w:rPr>
        <w:t>充分掌握</w:t>
      </w:r>
      <w:r w:rsidRPr="00205799">
        <w:rPr>
          <w:rFonts w:hint="eastAsia"/>
        </w:rPr>
        <w:t>，顯見該電子腳鐐實無法達到社會防衛目的</w:t>
      </w:r>
      <w:r w:rsidRPr="00492D09">
        <w:rPr>
          <w:rFonts w:hAnsi="標楷體" w:hint="eastAsia"/>
          <w:color w:val="000000" w:themeColor="text1"/>
        </w:rPr>
        <w:t>，</w:t>
      </w:r>
      <w:r w:rsidRPr="00492D09">
        <w:rPr>
          <w:rFonts w:hint="eastAsia"/>
          <w:color w:val="000000" w:themeColor="text1"/>
        </w:rPr>
        <w:t>核有違失，爰依</w:t>
      </w:r>
      <w:r w:rsidRPr="00492D09">
        <w:rPr>
          <w:rFonts w:hint="eastAsia"/>
          <w:bCs/>
          <w:color w:val="000000" w:themeColor="text1"/>
        </w:rPr>
        <w:t>憲法第97條第1項及</w:t>
      </w:r>
      <w:r w:rsidRPr="00492D09">
        <w:rPr>
          <w:rFonts w:hint="eastAsia"/>
          <w:color w:val="000000" w:themeColor="text1"/>
        </w:rPr>
        <w:t>監察法第24條之規定提案糾正，移送</w:t>
      </w:r>
      <w:r>
        <w:rPr>
          <w:rFonts w:hint="eastAsia"/>
          <w:color w:val="000000" w:themeColor="text1"/>
        </w:rPr>
        <w:t>法務部</w:t>
      </w:r>
      <w:r w:rsidRPr="00492D09">
        <w:rPr>
          <w:rFonts w:hint="eastAsia"/>
          <w:color w:val="000000" w:themeColor="text1"/>
        </w:rPr>
        <w:t>確實檢討改善見復。</w:t>
      </w:r>
    </w:p>
    <w:p w:rsidR="00A93FEF" w:rsidRDefault="00A93FEF" w:rsidP="00A93FEF">
      <w:pPr>
        <w:pStyle w:val="aa"/>
        <w:spacing w:beforeLines="150" w:before="685" w:after="0"/>
        <w:ind w:leftChars="1100" w:left="3742"/>
        <w:rPr>
          <w:b w:val="0"/>
          <w:bCs/>
          <w:snapToGrid/>
          <w:color w:val="000000" w:themeColor="text1"/>
          <w:spacing w:val="12"/>
          <w:kern w:val="0"/>
          <w:sz w:val="40"/>
        </w:rPr>
      </w:pPr>
      <w:bookmarkStart w:id="53" w:name="_Toc524895649"/>
      <w:bookmarkStart w:id="54" w:name="_Toc524896195"/>
      <w:bookmarkStart w:id="55" w:name="_Toc524896225"/>
      <w:bookmarkEnd w:id="53"/>
      <w:bookmarkEnd w:id="54"/>
      <w:bookmarkEnd w:id="55"/>
      <w:r w:rsidRPr="00492D09">
        <w:rPr>
          <w:rFonts w:hint="eastAsia"/>
          <w:b w:val="0"/>
          <w:bCs/>
          <w:snapToGrid/>
          <w:color w:val="000000" w:themeColor="text1"/>
          <w:spacing w:val="12"/>
          <w:kern w:val="0"/>
          <w:sz w:val="40"/>
        </w:rPr>
        <w:t>提案委員：</w:t>
      </w:r>
      <w:r w:rsidR="00027052">
        <w:rPr>
          <w:rFonts w:hint="eastAsia"/>
          <w:b w:val="0"/>
          <w:bCs/>
          <w:snapToGrid/>
          <w:color w:val="000000" w:themeColor="text1"/>
          <w:spacing w:val="12"/>
          <w:kern w:val="0"/>
          <w:sz w:val="40"/>
        </w:rPr>
        <w:t>林雅鋒</w:t>
      </w:r>
    </w:p>
    <w:p w:rsidR="00A93FEF" w:rsidRDefault="00A93FEF" w:rsidP="00133AA2">
      <w:pPr>
        <w:pStyle w:val="af"/>
        <w:rPr>
          <w:rFonts w:hAnsi="標楷體"/>
          <w:bCs/>
          <w:color w:val="000000" w:themeColor="text1"/>
        </w:rPr>
      </w:pPr>
    </w:p>
    <w:p w:rsidR="00451E78" w:rsidRPr="00492D09" w:rsidRDefault="00A93FEF" w:rsidP="00133AA2">
      <w:pPr>
        <w:pStyle w:val="af"/>
        <w:rPr>
          <w:rFonts w:hAnsi="標楷體"/>
          <w:bCs/>
          <w:color w:val="000000" w:themeColor="text1"/>
        </w:rPr>
      </w:pPr>
      <w:r w:rsidRPr="00492D09">
        <w:rPr>
          <w:rFonts w:hAnsi="標楷體" w:hint="eastAsia"/>
          <w:bCs/>
          <w:color w:val="000000" w:themeColor="text1"/>
        </w:rPr>
        <w:t>中  華  民  國　10</w:t>
      </w:r>
      <w:r w:rsidRPr="00492D09">
        <w:rPr>
          <w:rFonts w:hAnsi="標楷體"/>
          <w:bCs/>
          <w:color w:val="000000" w:themeColor="text1"/>
        </w:rPr>
        <w:t>9</w:t>
      </w:r>
      <w:r w:rsidRPr="00492D09">
        <w:rPr>
          <w:rFonts w:hAnsi="標楷體" w:hint="eastAsia"/>
          <w:bCs/>
          <w:color w:val="000000" w:themeColor="text1"/>
        </w:rPr>
        <w:t xml:space="preserve">　年</w:t>
      </w:r>
      <w:r w:rsidR="00027052">
        <w:rPr>
          <w:rFonts w:hAnsi="標楷體" w:hint="eastAsia"/>
          <w:bCs/>
          <w:color w:val="000000" w:themeColor="text1"/>
        </w:rPr>
        <w:t xml:space="preserve"> </w:t>
      </w:r>
      <w:r w:rsidR="00027052">
        <w:rPr>
          <w:rFonts w:hAnsi="標楷體"/>
          <w:bCs/>
          <w:color w:val="000000" w:themeColor="text1"/>
        </w:rPr>
        <w:t>5</w:t>
      </w:r>
      <w:r w:rsidR="00027052">
        <w:rPr>
          <w:rFonts w:hAnsi="標楷體" w:hint="eastAsia"/>
          <w:bCs/>
          <w:color w:val="000000" w:themeColor="text1"/>
        </w:rPr>
        <w:t xml:space="preserve"> </w:t>
      </w:r>
      <w:r w:rsidRPr="00492D09">
        <w:rPr>
          <w:rFonts w:hAnsi="標楷體" w:hint="eastAsia"/>
          <w:bCs/>
          <w:color w:val="000000" w:themeColor="text1"/>
        </w:rPr>
        <w:t xml:space="preserve">月　</w:t>
      </w:r>
      <w:r w:rsidR="00027052">
        <w:rPr>
          <w:rFonts w:hAnsi="標楷體" w:hint="eastAsia"/>
          <w:bCs/>
          <w:color w:val="000000" w:themeColor="text1"/>
        </w:rPr>
        <w:t>13</w:t>
      </w:r>
      <w:r w:rsidRPr="00492D09">
        <w:rPr>
          <w:rFonts w:hAnsi="標楷體" w:hint="eastAsia"/>
          <w:bCs/>
          <w:color w:val="000000" w:themeColor="text1"/>
        </w:rPr>
        <w:t xml:space="preserve">　日</w:t>
      </w:r>
      <w:bookmarkEnd w:id="52"/>
    </w:p>
    <w:sectPr w:rsidR="00451E78" w:rsidRPr="00492D09"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B0" w:rsidRDefault="00027FB0">
      <w:r>
        <w:separator/>
      </w:r>
    </w:p>
  </w:endnote>
  <w:endnote w:type="continuationSeparator" w:id="0">
    <w:p w:rsidR="00027FB0" w:rsidRDefault="0002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73360">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B0" w:rsidRDefault="00027FB0">
      <w:r>
        <w:separator/>
      </w:r>
    </w:p>
  </w:footnote>
  <w:footnote w:type="continuationSeparator" w:id="0">
    <w:p w:rsidR="00027FB0" w:rsidRDefault="00027FB0">
      <w:r>
        <w:continuationSeparator/>
      </w:r>
    </w:p>
  </w:footnote>
  <w:footnote w:id="1">
    <w:p w:rsidR="00C9407E" w:rsidRPr="00E37C04" w:rsidRDefault="00C9407E" w:rsidP="00C9407E">
      <w:pPr>
        <w:pStyle w:val="afa"/>
        <w:jc w:val="both"/>
      </w:pPr>
      <w:r>
        <w:rPr>
          <w:rStyle w:val="afc"/>
        </w:rPr>
        <w:footnoteRef/>
      </w:r>
      <w:r>
        <w:rPr>
          <w:rFonts w:hint="eastAsia"/>
        </w:rPr>
        <w:t xml:space="preserve"> 為新北地院105年度原侵訴字第3號判決，有期徒刑6月。</w:t>
      </w:r>
    </w:p>
  </w:footnote>
  <w:footnote w:id="2">
    <w:p w:rsidR="00C9407E" w:rsidRPr="00956A0D" w:rsidRDefault="00C9407E" w:rsidP="00C9407E">
      <w:pPr>
        <w:pStyle w:val="afa"/>
        <w:jc w:val="both"/>
      </w:pPr>
      <w:r>
        <w:rPr>
          <w:rStyle w:val="afc"/>
        </w:rPr>
        <w:footnoteRef/>
      </w:r>
      <w:r>
        <w:t xml:space="preserve"> </w:t>
      </w:r>
      <w:r w:rsidRPr="00EE5527">
        <w:rPr>
          <w:rFonts w:hint="eastAsia"/>
        </w:rPr>
        <w:t>林鈺雄，新刑法總則，自版，2009年9月，頁28。</w:t>
      </w:r>
    </w:p>
  </w:footnote>
  <w:footnote w:id="3">
    <w:p w:rsidR="00C9407E" w:rsidRPr="00956A0D" w:rsidRDefault="00C9407E" w:rsidP="00C9407E">
      <w:pPr>
        <w:pStyle w:val="afa"/>
        <w:jc w:val="both"/>
      </w:pPr>
      <w:r>
        <w:rPr>
          <w:rStyle w:val="afc"/>
        </w:rPr>
        <w:footnoteRef/>
      </w:r>
      <w:r>
        <w:t xml:space="preserve"> </w:t>
      </w:r>
      <w:r w:rsidRPr="00EE5527">
        <w:rPr>
          <w:rFonts w:hint="eastAsia"/>
        </w:rPr>
        <w:t>吳忻穎</w:t>
      </w:r>
      <w:r>
        <w:rPr>
          <w:rFonts w:hint="eastAsia"/>
        </w:rPr>
        <w:t>、</w:t>
      </w:r>
      <w:r w:rsidRPr="00EE5527">
        <w:rPr>
          <w:rFonts w:hint="eastAsia"/>
        </w:rPr>
        <w:t>林晉佑</w:t>
      </w:r>
      <w:r>
        <w:rPr>
          <w:rFonts w:hint="eastAsia"/>
        </w:rPr>
        <w:t>，責任能力調查與監護處分執行現況之探討，</w:t>
      </w:r>
      <w:r w:rsidRPr="00EE5527">
        <w:rPr>
          <w:rFonts w:hint="eastAsia"/>
        </w:rPr>
        <w:t>矯政期刊第9卷第1期</w:t>
      </w:r>
      <w:r>
        <w:rPr>
          <w:rFonts w:hint="eastAsia"/>
        </w:rPr>
        <w:t>，109年1月，頁75。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7052"/>
    <w:rsid w:val="00027FB0"/>
    <w:rsid w:val="0003114D"/>
    <w:rsid w:val="00036D76"/>
    <w:rsid w:val="00050778"/>
    <w:rsid w:val="000512D1"/>
    <w:rsid w:val="00057F32"/>
    <w:rsid w:val="00057F34"/>
    <w:rsid w:val="00062A25"/>
    <w:rsid w:val="00073CB5"/>
    <w:rsid w:val="0007425C"/>
    <w:rsid w:val="00077553"/>
    <w:rsid w:val="00080040"/>
    <w:rsid w:val="00080BEF"/>
    <w:rsid w:val="000851A2"/>
    <w:rsid w:val="0009352E"/>
    <w:rsid w:val="00096B96"/>
    <w:rsid w:val="00097136"/>
    <w:rsid w:val="000A2F3F"/>
    <w:rsid w:val="000B0B4A"/>
    <w:rsid w:val="000B279A"/>
    <w:rsid w:val="000B61D2"/>
    <w:rsid w:val="000B70A7"/>
    <w:rsid w:val="000C1D05"/>
    <w:rsid w:val="000C495F"/>
    <w:rsid w:val="000C7D58"/>
    <w:rsid w:val="000E6431"/>
    <w:rsid w:val="000F0D35"/>
    <w:rsid w:val="000F21A5"/>
    <w:rsid w:val="00102B9F"/>
    <w:rsid w:val="00112637"/>
    <w:rsid w:val="0012001E"/>
    <w:rsid w:val="00126A55"/>
    <w:rsid w:val="00127416"/>
    <w:rsid w:val="00131B71"/>
    <w:rsid w:val="00133AA2"/>
    <w:rsid w:val="00133F08"/>
    <w:rsid w:val="001345E6"/>
    <w:rsid w:val="001378B0"/>
    <w:rsid w:val="00142E00"/>
    <w:rsid w:val="00152793"/>
    <w:rsid w:val="00152C54"/>
    <w:rsid w:val="001545A9"/>
    <w:rsid w:val="00161161"/>
    <w:rsid w:val="001637C7"/>
    <w:rsid w:val="0016480E"/>
    <w:rsid w:val="00174297"/>
    <w:rsid w:val="001817B3"/>
    <w:rsid w:val="00183014"/>
    <w:rsid w:val="001959C2"/>
    <w:rsid w:val="001A7968"/>
    <w:rsid w:val="001B3483"/>
    <w:rsid w:val="001B3C1E"/>
    <w:rsid w:val="001B4494"/>
    <w:rsid w:val="001B48EB"/>
    <w:rsid w:val="001C0D8B"/>
    <w:rsid w:val="001C0DA8"/>
    <w:rsid w:val="001C1CD6"/>
    <w:rsid w:val="001E0D8A"/>
    <w:rsid w:val="001E67BA"/>
    <w:rsid w:val="001E74C2"/>
    <w:rsid w:val="001F5A48"/>
    <w:rsid w:val="001F6260"/>
    <w:rsid w:val="001F709B"/>
    <w:rsid w:val="001F7D74"/>
    <w:rsid w:val="00200007"/>
    <w:rsid w:val="002030A5"/>
    <w:rsid w:val="00203131"/>
    <w:rsid w:val="0020349F"/>
    <w:rsid w:val="00205799"/>
    <w:rsid w:val="00212E88"/>
    <w:rsid w:val="00213C9C"/>
    <w:rsid w:val="00214FF9"/>
    <w:rsid w:val="0022009E"/>
    <w:rsid w:val="002217D6"/>
    <w:rsid w:val="0022425C"/>
    <w:rsid w:val="002246DE"/>
    <w:rsid w:val="002379A7"/>
    <w:rsid w:val="002421B5"/>
    <w:rsid w:val="00243EB7"/>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20F8"/>
    <w:rsid w:val="002D5C16"/>
    <w:rsid w:val="002E53B4"/>
    <w:rsid w:val="002F3DFF"/>
    <w:rsid w:val="002F5E05"/>
    <w:rsid w:val="00317053"/>
    <w:rsid w:val="0032109C"/>
    <w:rsid w:val="00322B45"/>
    <w:rsid w:val="00323809"/>
    <w:rsid w:val="00323D41"/>
    <w:rsid w:val="00325414"/>
    <w:rsid w:val="003302F1"/>
    <w:rsid w:val="00340875"/>
    <w:rsid w:val="0034470E"/>
    <w:rsid w:val="00352DB0"/>
    <w:rsid w:val="00354134"/>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3257"/>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7638"/>
    <w:rsid w:val="00451E78"/>
    <w:rsid w:val="0046520A"/>
    <w:rsid w:val="004672AB"/>
    <w:rsid w:val="004714FE"/>
    <w:rsid w:val="00481D90"/>
    <w:rsid w:val="00485CDE"/>
    <w:rsid w:val="004863ED"/>
    <w:rsid w:val="00490932"/>
    <w:rsid w:val="00492D09"/>
    <w:rsid w:val="00492F2A"/>
    <w:rsid w:val="00495053"/>
    <w:rsid w:val="004A1F59"/>
    <w:rsid w:val="004A29BE"/>
    <w:rsid w:val="004A3225"/>
    <w:rsid w:val="004A33EE"/>
    <w:rsid w:val="004A3AA8"/>
    <w:rsid w:val="004B13C7"/>
    <w:rsid w:val="004B778F"/>
    <w:rsid w:val="004C5DD4"/>
    <w:rsid w:val="004D141F"/>
    <w:rsid w:val="004D3A62"/>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6F44"/>
    <w:rsid w:val="005A6DD2"/>
    <w:rsid w:val="005C385D"/>
    <w:rsid w:val="005C54F4"/>
    <w:rsid w:val="005D3B20"/>
    <w:rsid w:val="005E5C68"/>
    <w:rsid w:val="005E65C0"/>
    <w:rsid w:val="005F0390"/>
    <w:rsid w:val="005F0E2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07473"/>
    <w:rsid w:val="007209E7"/>
    <w:rsid w:val="00724C30"/>
    <w:rsid w:val="00726182"/>
    <w:rsid w:val="00732329"/>
    <w:rsid w:val="007337CA"/>
    <w:rsid w:val="00734CE4"/>
    <w:rsid w:val="00735123"/>
    <w:rsid w:val="00741837"/>
    <w:rsid w:val="007453E6"/>
    <w:rsid w:val="00751A9E"/>
    <w:rsid w:val="0075243E"/>
    <w:rsid w:val="007666F5"/>
    <w:rsid w:val="0077309D"/>
    <w:rsid w:val="00774994"/>
    <w:rsid w:val="007774EE"/>
    <w:rsid w:val="00781822"/>
    <w:rsid w:val="00783F21"/>
    <w:rsid w:val="00787159"/>
    <w:rsid w:val="00791668"/>
    <w:rsid w:val="00791AA1"/>
    <w:rsid w:val="007A3793"/>
    <w:rsid w:val="007A7281"/>
    <w:rsid w:val="007B6A63"/>
    <w:rsid w:val="007C1BA2"/>
    <w:rsid w:val="007C642C"/>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5C72"/>
    <w:rsid w:val="008576BD"/>
    <w:rsid w:val="00860463"/>
    <w:rsid w:val="00873360"/>
    <w:rsid w:val="008733DA"/>
    <w:rsid w:val="008850E4"/>
    <w:rsid w:val="008A12F5"/>
    <w:rsid w:val="008A288A"/>
    <w:rsid w:val="008B1587"/>
    <w:rsid w:val="008B1B01"/>
    <w:rsid w:val="008B3BCD"/>
    <w:rsid w:val="008B4841"/>
    <w:rsid w:val="008B6DF8"/>
    <w:rsid w:val="008C106C"/>
    <w:rsid w:val="008C10F1"/>
    <w:rsid w:val="008C1E99"/>
    <w:rsid w:val="008E0085"/>
    <w:rsid w:val="008E105E"/>
    <w:rsid w:val="008E2AA6"/>
    <w:rsid w:val="008E311B"/>
    <w:rsid w:val="008F2992"/>
    <w:rsid w:val="008F46E7"/>
    <w:rsid w:val="008F6F0B"/>
    <w:rsid w:val="00907BA7"/>
    <w:rsid w:val="0091064E"/>
    <w:rsid w:val="00911FC5"/>
    <w:rsid w:val="00931A10"/>
    <w:rsid w:val="00947967"/>
    <w:rsid w:val="00960870"/>
    <w:rsid w:val="00965200"/>
    <w:rsid w:val="009668B3"/>
    <w:rsid w:val="00971471"/>
    <w:rsid w:val="009849C2"/>
    <w:rsid w:val="00984D24"/>
    <w:rsid w:val="009858EB"/>
    <w:rsid w:val="00997873"/>
    <w:rsid w:val="009B0046"/>
    <w:rsid w:val="009C1440"/>
    <w:rsid w:val="009C2107"/>
    <w:rsid w:val="009C5B99"/>
    <w:rsid w:val="009C5D9E"/>
    <w:rsid w:val="009D2C3E"/>
    <w:rsid w:val="009D5905"/>
    <w:rsid w:val="009D60AF"/>
    <w:rsid w:val="009E0625"/>
    <w:rsid w:val="009E3034"/>
    <w:rsid w:val="009E42E6"/>
    <w:rsid w:val="009E549F"/>
    <w:rsid w:val="009F1555"/>
    <w:rsid w:val="009F28A8"/>
    <w:rsid w:val="009F473E"/>
    <w:rsid w:val="009F682A"/>
    <w:rsid w:val="00A00A22"/>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738C7"/>
    <w:rsid w:val="00A81A32"/>
    <w:rsid w:val="00A835BD"/>
    <w:rsid w:val="00A93FEF"/>
    <w:rsid w:val="00A95707"/>
    <w:rsid w:val="00A97B15"/>
    <w:rsid w:val="00AA42D5"/>
    <w:rsid w:val="00AB0DE1"/>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4795"/>
    <w:rsid w:val="00BB6688"/>
    <w:rsid w:val="00BC26D4"/>
    <w:rsid w:val="00BC64F2"/>
    <w:rsid w:val="00BD280E"/>
    <w:rsid w:val="00BD4303"/>
    <w:rsid w:val="00BD7D5D"/>
    <w:rsid w:val="00BF2A42"/>
    <w:rsid w:val="00C03D8C"/>
    <w:rsid w:val="00C055EC"/>
    <w:rsid w:val="00C10DC9"/>
    <w:rsid w:val="00C12FB3"/>
    <w:rsid w:val="00C17341"/>
    <w:rsid w:val="00C24EEF"/>
    <w:rsid w:val="00C25CF6"/>
    <w:rsid w:val="00C26C36"/>
    <w:rsid w:val="00C32768"/>
    <w:rsid w:val="00C37153"/>
    <w:rsid w:val="00C431DF"/>
    <w:rsid w:val="00C456BD"/>
    <w:rsid w:val="00C530DC"/>
    <w:rsid w:val="00C5350D"/>
    <w:rsid w:val="00C6123C"/>
    <w:rsid w:val="00C7084D"/>
    <w:rsid w:val="00C7315E"/>
    <w:rsid w:val="00C75895"/>
    <w:rsid w:val="00C83C9F"/>
    <w:rsid w:val="00C86866"/>
    <w:rsid w:val="00C9407E"/>
    <w:rsid w:val="00C94840"/>
    <w:rsid w:val="00CA6AC8"/>
    <w:rsid w:val="00CA78D2"/>
    <w:rsid w:val="00CB027F"/>
    <w:rsid w:val="00CC6297"/>
    <w:rsid w:val="00CC689B"/>
    <w:rsid w:val="00CC7690"/>
    <w:rsid w:val="00CD1986"/>
    <w:rsid w:val="00CE4D5C"/>
    <w:rsid w:val="00CF05DA"/>
    <w:rsid w:val="00CF58EB"/>
    <w:rsid w:val="00D0106E"/>
    <w:rsid w:val="00D06383"/>
    <w:rsid w:val="00D1021B"/>
    <w:rsid w:val="00D125C5"/>
    <w:rsid w:val="00D20597"/>
    <w:rsid w:val="00D20E85"/>
    <w:rsid w:val="00D24615"/>
    <w:rsid w:val="00D27557"/>
    <w:rsid w:val="00D37842"/>
    <w:rsid w:val="00D42DC2"/>
    <w:rsid w:val="00D537E1"/>
    <w:rsid w:val="00D55BB2"/>
    <w:rsid w:val="00D6091A"/>
    <w:rsid w:val="00D6695F"/>
    <w:rsid w:val="00D75644"/>
    <w:rsid w:val="00D81656"/>
    <w:rsid w:val="00D8213A"/>
    <w:rsid w:val="00D83D87"/>
    <w:rsid w:val="00D86A30"/>
    <w:rsid w:val="00D97CB4"/>
    <w:rsid w:val="00D97DD4"/>
    <w:rsid w:val="00DA5A8A"/>
    <w:rsid w:val="00DB26CD"/>
    <w:rsid w:val="00DB3135"/>
    <w:rsid w:val="00DB441C"/>
    <w:rsid w:val="00DB44AF"/>
    <w:rsid w:val="00DC1F58"/>
    <w:rsid w:val="00DC201A"/>
    <w:rsid w:val="00DC339B"/>
    <w:rsid w:val="00DC5D40"/>
    <w:rsid w:val="00DD30E9"/>
    <w:rsid w:val="00DD4F47"/>
    <w:rsid w:val="00DD7FBB"/>
    <w:rsid w:val="00DE0B9F"/>
    <w:rsid w:val="00DE4238"/>
    <w:rsid w:val="00DE42B9"/>
    <w:rsid w:val="00DE657F"/>
    <w:rsid w:val="00DF1218"/>
    <w:rsid w:val="00DF6462"/>
    <w:rsid w:val="00E02FA0"/>
    <w:rsid w:val="00E036DC"/>
    <w:rsid w:val="00E049DE"/>
    <w:rsid w:val="00E10454"/>
    <w:rsid w:val="00E112E5"/>
    <w:rsid w:val="00E21CC7"/>
    <w:rsid w:val="00E24D9E"/>
    <w:rsid w:val="00E25849"/>
    <w:rsid w:val="00E30BEA"/>
    <w:rsid w:val="00E3197E"/>
    <w:rsid w:val="00E342F8"/>
    <w:rsid w:val="00E351ED"/>
    <w:rsid w:val="00E42C90"/>
    <w:rsid w:val="00E6034B"/>
    <w:rsid w:val="00E6549E"/>
    <w:rsid w:val="00E65EDE"/>
    <w:rsid w:val="00E70F81"/>
    <w:rsid w:val="00E77055"/>
    <w:rsid w:val="00E77460"/>
    <w:rsid w:val="00E83ABC"/>
    <w:rsid w:val="00E844F2"/>
    <w:rsid w:val="00E92FCB"/>
    <w:rsid w:val="00EA147F"/>
    <w:rsid w:val="00EC3611"/>
    <w:rsid w:val="00ED03AB"/>
    <w:rsid w:val="00ED0CAC"/>
    <w:rsid w:val="00ED1CD4"/>
    <w:rsid w:val="00ED1D2B"/>
    <w:rsid w:val="00ED5A8D"/>
    <w:rsid w:val="00ED64B5"/>
    <w:rsid w:val="00EE62A2"/>
    <w:rsid w:val="00EE7CCA"/>
    <w:rsid w:val="00F16A14"/>
    <w:rsid w:val="00F231DC"/>
    <w:rsid w:val="00F362D7"/>
    <w:rsid w:val="00F365CB"/>
    <w:rsid w:val="00F37D7B"/>
    <w:rsid w:val="00F45479"/>
    <w:rsid w:val="00F5314C"/>
    <w:rsid w:val="00F57699"/>
    <w:rsid w:val="00F635DD"/>
    <w:rsid w:val="00F6627B"/>
    <w:rsid w:val="00F71B68"/>
    <w:rsid w:val="00F734F2"/>
    <w:rsid w:val="00F75052"/>
    <w:rsid w:val="00F804D3"/>
    <w:rsid w:val="00F81CD2"/>
    <w:rsid w:val="00F82641"/>
    <w:rsid w:val="00F90F18"/>
    <w:rsid w:val="00F937E4"/>
    <w:rsid w:val="00F95EE7"/>
    <w:rsid w:val="00FA39E6"/>
    <w:rsid w:val="00FA5249"/>
    <w:rsid w:val="00FA7BC9"/>
    <w:rsid w:val="00FB378E"/>
    <w:rsid w:val="00FB37F1"/>
    <w:rsid w:val="00FB47C0"/>
    <w:rsid w:val="00FB501B"/>
    <w:rsid w:val="00FB7770"/>
    <w:rsid w:val="00FC5349"/>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51E975-1656-4DCE-9733-D3FAF1D3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C689B"/>
    <w:pPr>
      <w:snapToGrid w:val="0"/>
      <w:jc w:val="left"/>
    </w:pPr>
    <w:rPr>
      <w:sz w:val="20"/>
    </w:rPr>
  </w:style>
  <w:style w:type="character" w:customStyle="1" w:styleId="afb">
    <w:name w:val="註腳文字 字元"/>
    <w:basedOn w:val="a7"/>
    <w:link w:val="afa"/>
    <w:uiPriority w:val="99"/>
    <w:semiHidden/>
    <w:rsid w:val="00CC689B"/>
    <w:rPr>
      <w:rFonts w:ascii="標楷體" w:eastAsia="標楷體"/>
      <w:kern w:val="2"/>
    </w:rPr>
  </w:style>
  <w:style w:type="character" w:styleId="afc">
    <w:name w:val="footnote reference"/>
    <w:basedOn w:val="a7"/>
    <w:uiPriority w:val="99"/>
    <w:semiHidden/>
    <w:unhideWhenUsed/>
    <w:rsid w:val="00CC689B"/>
    <w:rPr>
      <w:vertAlign w:val="superscript"/>
    </w:rPr>
  </w:style>
  <w:style w:type="character" w:customStyle="1" w:styleId="30">
    <w:name w:val="標題 3 字元"/>
    <w:basedOn w:val="a7"/>
    <w:link w:val="3"/>
    <w:rsid w:val="00CC689B"/>
    <w:rPr>
      <w:rFonts w:ascii="標楷體" w:eastAsia="標楷體" w:hAnsi="Arial"/>
      <w:bCs/>
      <w:kern w:val="32"/>
      <w:sz w:val="32"/>
      <w:szCs w:val="36"/>
    </w:rPr>
  </w:style>
  <w:style w:type="character" w:customStyle="1" w:styleId="40">
    <w:name w:val="標題 4 字元"/>
    <w:basedOn w:val="a7"/>
    <w:link w:val="4"/>
    <w:rsid w:val="00CC689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1E369-F65A-4DD2-89DA-F0896752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5</Pages>
  <Words>452</Words>
  <Characters>2580</Characters>
  <Application>Microsoft Office Word</Application>
  <DocSecurity>0</DocSecurity>
  <Lines>21</Lines>
  <Paragraphs>6</Paragraphs>
  <ScaleCrop>false</ScaleCrop>
  <Company>cy</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黃介宏</dc:creator>
  <cp:lastModifiedBy>賴淑玲</cp:lastModifiedBy>
  <cp:revision>2</cp:revision>
  <cp:lastPrinted>2020-05-08T04:28:00Z</cp:lastPrinted>
  <dcterms:created xsi:type="dcterms:W3CDTF">2020-05-15T01:06:00Z</dcterms:created>
  <dcterms:modified xsi:type="dcterms:W3CDTF">2020-05-15T01:06:00Z</dcterms:modified>
</cp:coreProperties>
</file>