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75644" w:rsidRPr="00062C03" w:rsidRDefault="00D75644" w:rsidP="00F37D7B">
      <w:pPr>
        <w:pStyle w:val="af2"/>
        <w:rPr>
          <w:color w:val="000000" w:themeColor="text1"/>
        </w:rPr>
      </w:pPr>
      <w:bookmarkStart w:id="0" w:name="_GoBack"/>
      <w:bookmarkEnd w:id="0"/>
      <w:r w:rsidRPr="00062C03">
        <w:rPr>
          <w:rFonts w:hint="eastAsia"/>
          <w:color w:val="000000" w:themeColor="text1"/>
        </w:rPr>
        <w:t>調查報告</w:t>
      </w:r>
    </w:p>
    <w:p w:rsidR="00E25849" w:rsidRDefault="00E25849" w:rsidP="00297B90">
      <w:pPr>
        <w:pStyle w:val="1"/>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62C03">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2E598A" w:rsidRPr="00062C03">
        <w:rPr>
          <w:color w:val="000000" w:themeColor="text1"/>
        </w:rPr>
        <w:t xml:space="preserve"> </w:t>
      </w:r>
      <w:r w:rsidR="00297B90" w:rsidRPr="00062C03">
        <w:rPr>
          <w:rFonts w:hint="eastAsia"/>
          <w:color w:val="000000" w:themeColor="text1"/>
        </w:rPr>
        <w:t>有關臺灣臺東地方檢察署潘姓性侵假釋付保護管束人，破壞科技監控設備（電子腳鐐）逃逸等情案。</w:t>
      </w:r>
    </w:p>
    <w:p w:rsidR="00E25849" w:rsidRPr="00062C03" w:rsidRDefault="00690601" w:rsidP="00E17EC4">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62C03">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91A44" w:rsidRPr="00062C03" w:rsidRDefault="00F91A44" w:rsidP="00F91A44">
      <w:pPr>
        <w:pStyle w:val="10"/>
        <w:ind w:left="680" w:firstLine="680"/>
        <w:rPr>
          <w:color w:val="000000" w:themeColor="text1"/>
        </w:rPr>
      </w:pPr>
      <w:bookmarkStart w:id="50" w:name="_Toc524902730"/>
      <w:r w:rsidRPr="00062C03">
        <w:rPr>
          <w:rFonts w:hint="eastAsia"/>
          <w:color w:val="000000" w:themeColor="text1"/>
        </w:rPr>
        <w:t>據悉，民國（下同）108年1月1</w:t>
      </w:r>
      <w:r w:rsidRPr="00062C03">
        <w:rPr>
          <w:color w:val="000000" w:themeColor="text1"/>
        </w:rPr>
        <w:t>0</w:t>
      </w:r>
      <w:r w:rsidRPr="00062C03">
        <w:rPr>
          <w:rFonts w:hint="eastAsia"/>
          <w:color w:val="000000" w:themeColor="text1"/>
        </w:rPr>
        <w:t>日，因違反刑法第227條第3項與未成年人性交罪，遭</w:t>
      </w:r>
      <w:r w:rsidRPr="00062C03">
        <w:rPr>
          <w:rFonts w:hAnsi="標楷體" w:cs="標楷體" w:hint="eastAsia"/>
          <w:color w:val="000000" w:themeColor="text1"/>
        </w:rPr>
        <w:t>臺灣新北地方法院</w:t>
      </w:r>
      <w:r w:rsidRPr="00062C03">
        <w:rPr>
          <w:color w:val="000000" w:themeColor="text1"/>
        </w:rPr>
        <w:t>(</w:t>
      </w:r>
      <w:r w:rsidRPr="00062C03">
        <w:rPr>
          <w:rFonts w:hint="eastAsia"/>
          <w:color w:val="000000" w:themeColor="text1"/>
        </w:rPr>
        <w:t>下稱新北地院</w:t>
      </w:r>
      <w:r w:rsidRPr="00062C03">
        <w:rPr>
          <w:color w:val="000000" w:themeColor="text1"/>
        </w:rPr>
        <w:t>)</w:t>
      </w:r>
      <w:r w:rsidRPr="00062C03">
        <w:rPr>
          <w:rFonts w:hint="eastAsia"/>
          <w:color w:val="000000" w:themeColor="text1"/>
        </w:rPr>
        <w:t>判刑6月有期徒刑</w:t>
      </w:r>
      <w:r w:rsidRPr="00062C03">
        <w:rPr>
          <w:rStyle w:val="afe"/>
          <w:color w:val="000000" w:themeColor="text1"/>
        </w:rPr>
        <w:footnoteReference w:id="1"/>
      </w:r>
      <w:r w:rsidRPr="00062C03">
        <w:rPr>
          <w:rFonts w:hint="eastAsia"/>
          <w:color w:val="000000" w:themeColor="text1"/>
        </w:rPr>
        <w:t>之性侵假釋犯潘</w:t>
      </w:r>
      <w:r w:rsidR="00CC6CDE">
        <w:rPr>
          <w:rFonts w:hint="eastAsia"/>
          <w:color w:val="000000" w:themeColor="text1"/>
        </w:rPr>
        <w:t>○○</w:t>
      </w:r>
      <w:r w:rsidRPr="00062C03">
        <w:rPr>
          <w:rFonts w:hint="eastAsia"/>
          <w:color w:val="000000" w:themeColor="text1"/>
        </w:rPr>
        <w:t>（下稱潘員或潘姓性侵假釋付保護管束之人），在</w:t>
      </w:r>
      <w:r w:rsidRPr="00062C03">
        <w:rPr>
          <w:rFonts w:hAnsi="標楷體" w:cs="標楷體" w:hint="eastAsia"/>
          <w:color w:val="000000" w:themeColor="text1"/>
        </w:rPr>
        <w:t>臺灣</w:t>
      </w:r>
      <w:r w:rsidRPr="00062C03">
        <w:rPr>
          <w:rFonts w:hint="eastAsia"/>
          <w:color w:val="000000" w:themeColor="text1"/>
        </w:rPr>
        <w:t>臺東地方檢察署（下稱臺東地檢署）執行保護管束期間，破壞科技監控設備（俗稱電子腳鐐）後逃逸。後經員警追查發現，其竊取他人機車北上至宜蘭網友家過夜，翌（11）日緝捕歸案（下稱本案）。</w:t>
      </w:r>
    </w:p>
    <w:p w:rsidR="00F91A44" w:rsidRPr="00062C03" w:rsidRDefault="00F91A44" w:rsidP="00F91A44">
      <w:pPr>
        <w:pStyle w:val="10"/>
        <w:ind w:left="680" w:firstLine="680"/>
        <w:rPr>
          <w:color w:val="000000" w:themeColor="text1"/>
        </w:rPr>
      </w:pPr>
      <w:r w:rsidRPr="00062C03">
        <w:rPr>
          <w:rFonts w:hint="eastAsia"/>
          <w:color w:val="000000" w:themeColor="text1"/>
        </w:rPr>
        <w:t>因本院前曾以106司調0027號立案調查，做成調查報告（下稱前案），就因案遭判無期徒刑性侵害假釋犯蕭</w:t>
      </w:r>
      <w:r w:rsidR="003B29C9">
        <w:rPr>
          <w:rFonts w:hint="eastAsia"/>
          <w:color w:val="000000" w:themeColor="text1"/>
        </w:rPr>
        <w:t>○○</w:t>
      </w:r>
      <w:r w:rsidRPr="00062C03">
        <w:rPr>
          <w:rFonts w:hint="eastAsia"/>
          <w:color w:val="000000" w:themeColor="text1"/>
        </w:rPr>
        <w:t>在澎湖執行保護管束期間，因多次違反檢察官處遇命令，經臺灣澎湖地方檢察署（下稱澎湖地檢署）檢察官報請撤銷假釋，蕭員於106年5月10日破壞電子腳鐐，惟檢警人員未能及時緝獲，致其從澎湖搭國內客船至嘉義縣布袋港後不知去向，澎湖地檢署嗣於翌（11）日發布通緝等情，提出調查意見，並促請法務部檢討改善。兩案時隔不遠，情節相同，逃逸者均為性侵犯，且所破壞者均為電子腳鐐，但兩案發生後，檢察機關之追緝作法不同，究法務部有無基於前案之經驗，在發布通緝、撤銷假釋之法規面檢討改進並使本案之追緝作為較前案快速，同時又不違反人權公約及法律？又電子腳鐐一再被配戴者破壞，法務部有無精進作為等？因此立案調查。</w:t>
      </w:r>
    </w:p>
    <w:p w:rsidR="007F7CE4" w:rsidRPr="00062C03" w:rsidRDefault="007F7CE4" w:rsidP="0090165F">
      <w:pPr>
        <w:pStyle w:val="10"/>
        <w:ind w:left="680" w:firstLine="680"/>
        <w:rPr>
          <w:color w:val="000000" w:themeColor="text1"/>
        </w:rPr>
      </w:pPr>
      <w:r w:rsidRPr="00062C03">
        <w:rPr>
          <w:rFonts w:hint="eastAsia"/>
          <w:color w:val="000000" w:themeColor="text1"/>
        </w:rPr>
        <w:lastRenderedPageBreak/>
        <w:t>案經本院向法務部、衛生福利部調閱相關卷證，並於109年2月25日詢問法務部次長張斗輝、保護司副司長林嚞慧</w:t>
      </w:r>
      <w:r w:rsidR="00C472A0" w:rsidRPr="00062C03">
        <w:rPr>
          <w:rFonts w:hint="eastAsia"/>
          <w:color w:val="000000" w:themeColor="text1"/>
        </w:rPr>
        <w:t>、</w:t>
      </w:r>
      <w:r w:rsidRPr="00062C03">
        <w:rPr>
          <w:rFonts w:hAnsi="標楷體" w:hint="eastAsia"/>
          <w:color w:val="000000" w:themeColor="text1"/>
        </w:rPr>
        <w:t>檢察司主任檢察官鄧巧羚、調辦事科長潘連坤、調部辦事觀護人王怡雯，及臺灣高等檢察署調署辦事觀護人曹又云等機關代表，</w:t>
      </w:r>
      <w:r w:rsidRPr="00062C03">
        <w:rPr>
          <w:rFonts w:hint="eastAsia"/>
          <w:color w:val="000000" w:themeColor="text1"/>
        </w:rPr>
        <w:t>已調查</w:t>
      </w:r>
      <w:r w:rsidRPr="00062C03">
        <w:rPr>
          <w:rFonts w:hAnsi="標楷體" w:hint="eastAsia"/>
          <w:color w:val="000000" w:themeColor="text1"/>
        </w:rPr>
        <w:t>完畢</w:t>
      </w:r>
      <w:r w:rsidRPr="00062C03">
        <w:rPr>
          <w:rFonts w:hint="eastAsia"/>
          <w:color w:val="000000" w:themeColor="text1"/>
        </w:rPr>
        <w:t>，茲臚列調查意見如下：</w:t>
      </w:r>
    </w:p>
    <w:p w:rsidR="00E25F1A" w:rsidRPr="00062C03" w:rsidRDefault="00E25F1A" w:rsidP="00050D05">
      <w:pPr>
        <w:pStyle w:val="2"/>
        <w:numPr>
          <w:ilvl w:val="1"/>
          <w:numId w:val="36"/>
        </w:numPr>
        <w:rPr>
          <w:b/>
          <w:color w:val="000000" w:themeColor="text1"/>
        </w:rPr>
      </w:pPr>
      <w:r w:rsidRPr="00062C03">
        <w:rPr>
          <w:rFonts w:hint="eastAsia"/>
          <w:b/>
          <w:color w:val="000000" w:themeColor="text1"/>
        </w:rPr>
        <w:t>對性侵害犯罪之加害人，依性侵害犯罪防治法第20條第3項第7款，於假釋付保護管束期間，施加電子腳鐐之科技設備監控，係為管控其再犯風險</w:t>
      </w:r>
      <w:r w:rsidR="008D1C9D" w:rsidRPr="00062C03">
        <w:rPr>
          <w:rFonts w:hint="eastAsia"/>
          <w:b/>
          <w:color w:val="000000" w:themeColor="text1"/>
        </w:rPr>
        <w:t>，而監控其行蹤</w:t>
      </w:r>
      <w:r w:rsidRPr="00062C03">
        <w:rPr>
          <w:rFonts w:hint="eastAsia"/>
          <w:b/>
          <w:color w:val="000000" w:themeColor="text1"/>
        </w:rPr>
        <w:t>，具有社會防衛目的。然本案潘姓性侵假釋付保護管束之人破壞電子腳鐐之方式，竟可</w:t>
      </w:r>
      <w:r w:rsidR="005E0316" w:rsidRPr="00062C03">
        <w:rPr>
          <w:rFonts w:hint="eastAsia"/>
          <w:b/>
          <w:color w:val="000000" w:themeColor="text1"/>
        </w:rPr>
        <w:t>徒</w:t>
      </w:r>
      <w:r w:rsidRPr="00062C03">
        <w:rPr>
          <w:rFonts w:hint="eastAsia"/>
          <w:b/>
          <w:color w:val="000000" w:themeColor="text1"/>
        </w:rPr>
        <w:t>手將電子腳鐐破壞</w:t>
      </w:r>
      <w:r w:rsidR="00493618" w:rsidRPr="00062C03">
        <w:rPr>
          <w:rFonts w:hint="eastAsia"/>
          <w:b/>
          <w:color w:val="000000" w:themeColor="text1"/>
        </w:rPr>
        <w:t>並逃逸，且在檢察官進行偵查程序命其示範時，再度以徒手方式拔開電子腳鐐，顯見該電子腳鐐實</w:t>
      </w:r>
      <w:r w:rsidRPr="00062C03">
        <w:rPr>
          <w:rFonts w:hint="eastAsia"/>
          <w:b/>
          <w:color w:val="000000" w:themeColor="text1"/>
        </w:rPr>
        <w:t>無法達到社會防衛目的。況且，依109年1月15日修正刑事訴訟第116條之2規定，未來電子腳鐐將作為「防逃機制」一環，法務部允應</w:t>
      </w:r>
      <w:r w:rsidR="00040A60" w:rsidRPr="00062C03">
        <w:rPr>
          <w:rFonts w:hint="eastAsia"/>
          <w:b/>
          <w:color w:val="000000" w:themeColor="text1"/>
        </w:rPr>
        <w:t>就</w:t>
      </w:r>
      <w:r w:rsidRPr="00062C03">
        <w:rPr>
          <w:rFonts w:hint="eastAsia"/>
          <w:b/>
          <w:color w:val="000000" w:themeColor="text1"/>
        </w:rPr>
        <w:t>本案破壞手法</w:t>
      </w:r>
      <w:r w:rsidR="00040A60" w:rsidRPr="00062C03">
        <w:rPr>
          <w:rFonts w:hint="eastAsia"/>
          <w:b/>
          <w:color w:val="000000" w:themeColor="text1"/>
        </w:rPr>
        <w:t>進行檢討</w:t>
      </w:r>
      <w:r w:rsidRPr="00062C03">
        <w:rPr>
          <w:rFonts w:hint="eastAsia"/>
          <w:b/>
          <w:color w:val="000000" w:themeColor="text1"/>
        </w:rPr>
        <w:t>，</w:t>
      </w:r>
      <w:r w:rsidR="00493618" w:rsidRPr="00062C03">
        <w:rPr>
          <w:rFonts w:hint="eastAsia"/>
          <w:b/>
          <w:color w:val="000000" w:themeColor="text1"/>
        </w:rPr>
        <w:t>使依政府採購</w:t>
      </w:r>
      <w:r w:rsidR="00D04DD9" w:rsidRPr="00062C03">
        <w:rPr>
          <w:rFonts w:hint="eastAsia"/>
          <w:b/>
          <w:color w:val="000000" w:themeColor="text1"/>
        </w:rPr>
        <w:t>相關</w:t>
      </w:r>
      <w:r w:rsidR="00493618" w:rsidRPr="00062C03">
        <w:rPr>
          <w:rFonts w:hint="eastAsia"/>
          <w:b/>
          <w:color w:val="000000" w:themeColor="text1"/>
        </w:rPr>
        <w:t>規定採購之</w:t>
      </w:r>
      <w:r w:rsidRPr="00062C03">
        <w:rPr>
          <w:rFonts w:hint="eastAsia"/>
          <w:b/>
          <w:color w:val="000000" w:themeColor="text1"/>
        </w:rPr>
        <w:t>電子腳鐐</w:t>
      </w:r>
      <w:r w:rsidR="00493618" w:rsidRPr="00062C03">
        <w:rPr>
          <w:rFonts w:hint="eastAsia"/>
          <w:b/>
          <w:color w:val="000000" w:themeColor="text1"/>
        </w:rPr>
        <w:t>，</w:t>
      </w:r>
      <w:r w:rsidR="00D50558" w:rsidRPr="00062C03">
        <w:rPr>
          <w:rFonts w:hint="eastAsia"/>
          <w:b/>
          <w:color w:val="000000" w:themeColor="text1"/>
        </w:rPr>
        <w:t>具備物</w:t>
      </w:r>
      <w:r w:rsidR="00493618" w:rsidRPr="00062C03">
        <w:rPr>
          <w:rFonts w:hint="eastAsia"/>
          <w:b/>
          <w:color w:val="000000" w:themeColor="text1"/>
        </w:rPr>
        <w:t>之通常效用</w:t>
      </w:r>
      <w:r w:rsidR="00D50558" w:rsidRPr="00062C03">
        <w:rPr>
          <w:rFonts w:hint="eastAsia"/>
          <w:b/>
          <w:color w:val="000000" w:themeColor="text1"/>
        </w:rPr>
        <w:t>或契約預定效用</w:t>
      </w:r>
      <w:r w:rsidR="00493618" w:rsidRPr="00062C03">
        <w:rPr>
          <w:rFonts w:hint="eastAsia"/>
          <w:b/>
          <w:color w:val="000000" w:themeColor="text1"/>
        </w:rPr>
        <w:t>，</w:t>
      </w:r>
      <w:r w:rsidR="00D50558" w:rsidRPr="00062C03">
        <w:rPr>
          <w:rFonts w:hint="eastAsia"/>
          <w:b/>
          <w:color w:val="000000" w:themeColor="text1"/>
        </w:rPr>
        <w:t>至少</w:t>
      </w:r>
      <w:r w:rsidR="005B4C84" w:rsidRPr="00062C03">
        <w:rPr>
          <w:rFonts w:hint="eastAsia"/>
          <w:b/>
          <w:color w:val="000000" w:themeColor="text1"/>
        </w:rPr>
        <w:t>須</w:t>
      </w:r>
      <w:r w:rsidR="00D50558" w:rsidRPr="00062C03">
        <w:rPr>
          <w:rFonts w:hint="eastAsia"/>
          <w:b/>
          <w:color w:val="000000" w:themeColor="text1"/>
        </w:rPr>
        <w:t>具有</w:t>
      </w:r>
      <w:r w:rsidRPr="00062C03">
        <w:rPr>
          <w:rFonts w:hint="eastAsia"/>
          <w:b/>
          <w:color w:val="000000" w:themeColor="text1"/>
        </w:rPr>
        <w:t>穩固性。</w:t>
      </w:r>
    </w:p>
    <w:p w:rsidR="00E25F1A" w:rsidRPr="00062C03" w:rsidRDefault="00956A0D" w:rsidP="00A81C0E">
      <w:pPr>
        <w:pStyle w:val="3"/>
        <w:numPr>
          <w:ilvl w:val="2"/>
          <w:numId w:val="36"/>
        </w:numPr>
        <w:rPr>
          <w:color w:val="000000" w:themeColor="text1"/>
        </w:rPr>
      </w:pPr>
      <w:r w:rsidRPr="00062C03">
        <w:rPr>
          <w:rFonts w:hint="eastAsia"/>
          <w:color w:val="000000" w:themeColor="text1"/>
        </w:rPr>
        <w:t>對於犯罪之法律效果，我國係採刑罰及保安處分之雙軌制裁體系，而保安處分係為預防犯罪，保護社會安寧，對有危險性犯人所為保全或矯治之刑事觀護處遇措施</w:t>
      </w:r>
      <w:r w:rsidRPr="00062C03">
        <w:rPr>
          <w:rStyle w:val="afe"/>
          <w:color w:val="000000" w:themeColor="text1"/>
        </w:rPr>
        <w:footnoteReference w:id="2"/>
      </w:r>
      <w:r w:rsidRPr="00062C03">
        <w:rPr>
          <w:rFonts w:hint="eastAsia"/>
          <w:color w:val="000000" w:themeColor="text1"/>
        </w:rPr>
        <w:t>，依個別犯罪人之「教育需要性」或「矯治必要性」，透過刑罰</w:t>
      </w:r>
      <w:r w:rsidR="003C1185" w:rsidRPr="00062C03">
        <w:rPr>
          <w:rFonts w:hint="eastAsia"/>
          <w:color w:val="000000" w:themeColor="text1"/>
        </w:rPr>
        <w:t>以外處遇</w:t>
      </w:r>
      <w:r w:rsidRPr="00062C03">
        <w:rPr>
          <w:rFonts w:hint="eastAsia"/>
          <w:color w:val="000000" w:themeColor="text1"/>
        </w:rPr>
        <w:t>措施予以排除，預防再犯，並使其再社會化</w:t>
      </w:r>
      <w:r w:rsidRPr="00062C03">
        <w:rPr>
          <w:rStyle w:val="afe"/>
          <w:color w:val="000000" w:themeColor="text1"/>
        </w:rPr>
        <w:footnoteReference w:id="3"/>
      </w:r>
      <w:r w:rsidRPr="00062C03">
        <w:rPr>
          <w:rFonts w:hint="eastAsia"/>
          <w:color w:val="000000" w:themeColor="text1"/>
        </w:rPr>
        <w:t>。而</w:t>
      </w:r>
      <w:r w:rsidR="00E25F1A" w:rsidRPr="00062C03">
        <w:rPr>
          <w:rFonts w:hint="eastAsia"/>
          <w:color w:val="000000" w:themeColor="text1"/>
        </w:rPr>
        <w:t>基於性侵害犯罪加害人之犯罪類型特殊，再犯率高且治療成效不易顯現，先進國家經多年研究肯認對性侵害加害人執行身心治療及輔導教育之必要性，且有鑑於其犯罪類</w:t>
      </w:r>
      <w:r w:rsidR="00E25F1A" w:rsidRPr="00062C03">
        <w:rPr>
          <w:rFonts w:hint="eastAsia"/>
          <w:color w:val="000000" w:themeColor="text1"/>
        </w:rPr>
        <w:lastRenderedPageBreak/>
        <w:t>型之特異性行為（善於欺騙、隱瞞、否認），均主張除了應於監獄中進行嚴謹之身心矯治及治療外，加害人在出獄回到社區後，更須持續進行監控與治療，才能有效且根本地達到再犯預防之效果。1</w:t>
      </w:r>
      <w:r w:rsidR="00E25F1A" w:rsidRPr="00062C03">
        <w:rPr>
          <w:color w:val="000000" w:themeColor="text1"/>
        </w:rPr>
        <w:t>01</w:t>
      </w:r>
      <w:r w:rsidR="00E25F1A" w:rsidRPr="00062C03">
        <w:rPr>
          <w:rFonts w:hint="eastAsia"/>
          <w:color w:val="000000" w:themeColor="text1"/>
        </w:rPr>
        <w:t>年1月1日修正施行之性侵害犯罪防治法，於第20條第3項第7款中增加得報請檢察官、軍事檢察官許可，對性侵害加害人付保護管束者，實施科技設備監控。現行我國對於性侵害加害人之觀護處遇</w:t>
      </w:r>
      <w:r w:rsidR="000E6780" w:rsidRPr="00062C03">
        <w:rPr>
          <w:rFonts w:hint="eastAsia"/>
          <w:color w:val="000000" w:themeColor="text1"/>
        </w:rPr>
        <w:t>（保安處分）</w:t>
      </w:r>
      <w:r w:rsidR="00E25F1A" w:rsidRPr="00062C03">
        <w:rPr>
          <w:rFonts w:hint="eastAsia"/>
          <w:color w:val="000000" w:themeColor="text1"/>
        </w:rPr>
        <w:t>，重視避免其再犯之社會防衛面向</w:t>
      </w:r>
      <w:r w:rsidR="008D1C9D" w:rsidRPr="00062C03">
        <w:rPr>
          <w:rFonts w:hint="eastAsia"/>
          <w:color w:val="000000" w:themeColor="text1"/>
        </w:rPr>
        <w:t>，對其日常行蹤進行全方位監控</w:t>
      </w:r>
      <w:r w:rsidR="00E25F1A" w:rsidRPr="00062C03">
        <w:rPr>
          <w:rFonts w:hint="eastAsia"/>
          <w:color w:val="000000" w:themeColor="text1"/>
        </w:rPr>
        <w:t>。</w:t>
      </w:r>
    </w:p>
    <w:p w:rsidR="00E25F1A" w:rsidRPr="00062C03" w:rsidRDefault="00E25F1A" w:rsidP="009B1315">
      <w:pPr>
        <w:pStyle w:val="3"/>
        <w:rPr>
          <w:color w:val="000000" w:themeColor="text1"/>
        </w:rPr>
      </w:pPr>
      <w:r w:rsidRPr="00062C03">
        <w:rPr>
          <w:rFonts w:hint="eastAsia"/>
          <w:color w:val="000000" w:themeColor="text1"/>
        </w:rPr>
        <w:t>依108年1月11、14日檢察官訊問筆錄記載略以：「（問：你如何拔掉腳鐐？）答：下午4點多，我在花蓮的○○剛過平交道的轉角處，用手插到接環跟衛星定位機器中間，用蠻力拔開，就打開了。」、「（問：你如何把電子腳鐐打開的？）答：我第一次用徒手打開，之前没有拉開過。（諭知今日準備另一個新的電子腳鐐給你拉拉看，請當庭試著打開電子腳鐐。並請法警當庭拍照。）（問：這個電子腳鐐戴起來的感覺跟前的感覺是一樣的嗎？）答：之前的感覺比較鬆。之前的那個會扣的比較鬆。（問：這個電子腳鐐在你腳的縫</w:t>
      </w:r>
      <w:r w:rsidR="00D50558" w:rsidRPr="00062C03">
        <w:rPr>
          <w:rFonts w:hint="eastAsia"/>
          <w:color w:val="000000" w:themeColor="text1"/>
        </w:rPr>
        <w:t>隙</w:t>
      </w:r>
      <w:r w:rsidRPr="00062C03">
        <w:rPr>
          <w:rFonts w:hint="eastAsia"/>
          <w:color w:val="000000" w:themeColor="text1"/>
        </w:rPr>
        <w:t>跟之前的比較？）答：之前是比較寬一點。之前的電子腳鐐，手還可以伸進去。（問：你搖搖看，鎖上去的地方鬆緊度是如何？）答：沒有什麼感覺。（問：你當時是徒手拔，你如何拔電子腳鐐？）答：一隻手抓住電子腳</w:t>
      </w:r>
      <w:r w:rsidR="00F2048E">
        <w:rPr>
          <w:rFonts w:hint="eastAsia"/>
          <w:color w:val="000000" w:themeColor="text1"/>
        </w:rPr>
        <w:t>鐐</w:t>
      </w:r>
      <w:r w:rsidRPr="00062C03">
        <w:rPr>
          <w:rFonts w:hint="eastAsia"/>
          <w:color w:val="000000" w:themeColor="text1"/>
        </w:rPr>
        <w:t>的位置，另一手抓住腳踝扣環的地方。當時有二隻手指頭，中指、無名指可以伸進去，最上面的指節。（諭知被告當庭拔電子腳鐐，被告當庭把電子腳鐐拔開。）（問：當時花多少時間拔？）答：我忘了，但是有出力二、三次才拔出來。」等</w:t>
      </w:r>
      <w:r w:rsidRPr="00062C03">
        <w:rPr>
          <w:rFonts w:hint="eastAsia"/>
          <w:color w:val="000000" w:themeColor="text1"/>
        </w:rPr>
        <w:lastRenderedPageBreak/>
        <w:t>語，可知本案潘姓性侵付保護管束人破壞電子腳鐐之方式，係徒手以蠻力破壞，殊難想像電子腳鐐竟可如此輕易遭到破壞。法務部保護司副司長林嚞慧於本院詢問會議時稱：「潘員這麼容易扯開，但我們有請男性觀護人去嘗試拉，拉不開。目前我們讓人先戴VR才進行電子腳鐐穿戴，避免他發現怎麼戴上。」潘連坤科長亦表示：「本案潘員怎麼徒手打開，我都想去監獄訪談他。」等語，</w:t>
      </w:r>
      <w:r w:rsidR="00917F94" w:rsidRPr="00062C03">
        <w:rPr>
          <w:rFonts w:hint="eastAsia"/>
          <w:color w:val="000000" w:themeColor="text1"/>
        </w:rPr>
        <w:t>足見法務部</w:t>
      </w:r>
      <w:r w:rsidRPr="00062C03">
        <w:rPr>
          <w:rFonts w:hint="eastAsia"/>
          <w:color w:val="000000" w:themeColor="text1"/>
        </w:rPr>
        <w:t>就潘員</w:t>
      </w:r>
      <w:r w:rsidR="00917F94" w:rsidRPr="00062C03">
        <w:rPr>
          <w:rFonts w:hint="eastAsia"/>
          <w:color w:val="000000" w:themeColor="text1"/>
        </w:rPr>
        <w:t>以</w:t>
      </w:r>
      <w:r w:rsidRPr="00062C03">
        <w:rPr>
          <w:rFonts w:hint="eastAsia"/>
          <w:color w:val="000000" w:themeColor="text1"/>
        </w:rPr>
        <w:t>徒手</w:t>
      </w:r>
      <w:r w:rsidR="00917F94" w:rsidRPr="00062C03">
        <w:rPr>
          <w:rFonts w:hint="eastAsia"/>
          <w:color w:val="000000" w:themeColor="text1"/>
        </w:rPr>
        <w:t>方式</w:t>
      </w:r>
      <w:r w:rsidRPr="00062C03">
        <w:rPr>
          <w:rFonts w:hint="eastAsia"/>
          <w:color w:val="000000" w:themeColor="text1"/>
        </w:rPr>
        <w:t>就能破壞電子腳鐐</w:t>
      </w:r>
      <w:r w:rsidR="00917F94" w:rsidRPr="00062C03">
        <w:rPr>
          <w:rFonts w:hint="eastAsia"/>
          <w:color w:val="000000" w:themeColor="text1"/>
        </w:rPr>
        <w:t>兩次之狀況</w:t>
      </w:r>
      <w:r w:rsidRPr="00062C03">
        <w:rPr>
          <w:rFonts w:hint="eastAsia"/>
          <w:color w:val="000000" w:themeColor="text1"/>
        </w:rPr>
        <w:t>，</w:t>
      </w:r>
      <w:r w:rsidR="00917F94" w:rsidRPr="00062C03">
        <w:rPr>
          <w:rFonts w:hint="eastAsia"/>
          <w:color w:val="000000" w:themeColor="text1"/>
        </w:rPr>
        <w:t>並</w:t>
      </w:r>
      <w:r w:rsidRPr="00062C03">
        <w:rPr>
          <w:rFonts w:hint="eastAsia"/>
          <w:color w:val="000000" w:themeColor="text1"/>
        </w:rPr>
        <w:t>未充分掌握，如何</w:t>
      </w:r>
      <w:r w:rsidR="00917F94" w:rsidRPr="00062C03">
        <w:rPr>
          <w:rFonts w:hint="eastAsia"/>
          <w:color w:val="000000" w:themeColor="text1"/>
        </w:rPr>
        <w:t>能</w:t>
      </w:r>
      <w:r w:rsidRPr="00062C03">
        <w:rPr>
          <w:rFonts w:hint="eastAsia"/>
          <w:color w:val="000000" w:themeColor="text1"/>
        </w:rPr>
        <w:t>針對本案破壞方式，提升電子腳鐐堅固及耐用性，以達社會防衛功能</w:t>
      </w:r>
      <w:r w:rsidR="00C40973" w:rsidRPr="00062C03">
        <w:rPr>
          <w:rFonts w:hint="eastAsia"/>
          <w:color w:val="000000" w:themeColor="text1"/>
        </w:rPr>
        <w:t>？</w:t>
      </w:r>
      <w:r w:rsidR="009B1315" w:rsidRPr="00062C03">
        <w:rPr>
          <w:rFonts w:hint="eastAsia"/>
          <w:color w:val="000000" w:themeColor="text1"/>
        </w:rPr>
        <w:t>法務部過去為減少受監控人破壞設備逃逸之情形，業督導臺高檢署於105年12月完成性侵害加害人行蹤（定位）科技設備監控功能提升案，並提升設備堅固性，將第三代隨身發訊器設備所採用偏柔軟舒適的錶帶材質，改為硬式（PC）設計，並於錶帶內埋設2mm線徑之鋼索，具有防剪、防水、防干擾、防靜電破壞、耐撞及耐摔之品質與安全設計，並通過相關檢驗測試。未來在110年將採購新品，則就本案潘員破壞情形，法務部應積極檢討，使依政府採購</w:t>
      </w:r>
      <w:r w:rsidR="00D04DD9" w:rsidRPr="00062C03">
        <w:rPr>
          <w:rFonts w:hint="eastAsia"/>
          <w:color w:val="000000" w:themeColor="text1"/>
        </w:rPr>
        <w:t>法相關</w:t>
      </w:r>
      <w:r w:rsidR="009B1315" w:rsidRPr="00062C03">
        <w:rPr>
          <w:rFonts w:hint="eastAsia"/>
          <w:color w:val="000000" w:themeColor="text1"/>
        </w:rPr>
        <w:t>規定採購之電子腳鐐，具備物之通常效用或契約預定效用，至少</w:t>
      </w:r>
      <w:r w:rsidR="00C65CF0" w:rsidRPr="00062C03">
        <w:rPr>
          <w:rFonts w:hint="eastAsia"/>
          <w:color w:val="000000" w:themeColor="text1"/>
        </w:rPr>
        <w:t>須</w:t>
      </w:r>
      <w:r w:rsidR="009B1315" w:rsidRPr="00062C03">
        <w:rPr>
          <w:rFonts w:hint="eastAsia"/>
          <w:color w:val="000000" w:themeColor="text1"/>
        </w:rPr>
        <w:t>具有穩固性。</w:t>
      </w:r>
    </w:p>
    <w:p w:rsidR="00E25F1A" w:rsidRPr="00062C03" w:rsidRDefault="00E25F1A" w:rsidP="00E25F1A">
      <w:pPr>
        <w:pStyle w:val="3"/>
        <w:numPr>
          <w:ilvl w:val="2"/>
          <w:numId w:val="1"/>
        </w:numPr>
        <w:rPr>
          <w:color w:val="000000" w:themeColor="text1"/>
        </w:rPr>
      </w:pPr>
      <w:r w:rsidRPr="00062C03">
        <w:rPr>
          <w:rFonts w:hint="eastAsia"/>
          <w:color w:val="000000" w:themeColor="text1"/>
        </w:rPr>
        <w:t>尤其，刑事訴訟法第116條之2第1項第4款規定：「法院許可停止羈押時，經審酌人權保障及公共利益之均衡維護，認有必要者，得定相當期間，命被告應遵守下列事項：……四、接受適當之科技設備監控。」修法新增對於停止羈押之被告施以科技監控設備（電子腳鐐），係為防止被告在偵查或審判中逃匿規避刑責，</w:t>
      </w:r>
      <w:r w:rsidR="008D1C9D" w:rsidRPr="00062C03">
        <w:rPr>
          <w:rFonts w:hint="eastAsia"/>
          <w:color w:val="000000" w:themeColor="text1"/>
        </w:rPr>
        <w:t>穿戴電子腳鐐可</w:t>
      </w:r>
      <w:r w:rsidRPr="00062C03">
        <w:rPr>
          <w:rFonts w:hint="eastAsia"/>
          <w:color w:val="000000" w:themeColor="text1"/>
        </w:rPr>
        <w:t>保全對被告進行追訴、審判</w:t>
      </w:r>
      <w:r w:rsidR="008D1C9D" w:rsidRPr="00062C03">
        <w:rPr>
          <w:rFonts w:hint="eastAsia"/>
          <w:color w:val="000000" w:themeColor="text1"/>
        </w:rPr>
        <w:t>程序</w:t>
      </w:r>
      <w:r w:rsidR="009B1315" w:rsidRPr="00062C03">
        <w:rPr>
          <w:rFonts w:hint="eastAsia"/>
          <w:color w:val="000000" w:themeColor="text1"/>
        </w:rPr>
        <w:t>。換言之，防逃機制所新增之科技監</w:t>
      </w:r>
      <w:r w:rsidR="009B1315" w:rsidRPr="00062C03">
        <w:rPr>
          <w:rFonts w:hint="eastAsia"/>
          <w:color w:val="000000" w:themeColor="text1"/>
        </w:rPr>
        <w:lastRenderedPageBreak/>
        <w:t>控設備，</w:t>
      </w:r>
      <w:r w:rsidRPr="00062C03">
        <w:rPr>
          <w:rFonts w:hint="eastAsia"/>
          <w:color w:val="000000" w:themeColor="text1"/>
        </w:rPr>
        <w:t>與前述對性侵付保護管束之人施戴電子腳鐐，</w:t>
      </w:r>
      <w:r w:rsidR="009B1315" w:rsidRPr="00062C03">
        <w:rPr>
          <w:rFonts w:hint="eastAsia"/>
          <w:color w:val="000000" w:themeColor="text1"/>
        </w:rPr>
        <w:t>為相同設備</w:t>
      </w:r>
      <w:r w:rsidRPr="00062C03">
        <w:rPr>
          <w:rFonts w:hint="eastAsia"/>
          <w:color w:val="000000" w:themeColor="text1"/>
        </w:rPr>
        <w:t>，</w:t>
      </w:r>
      <w:r w:rsidR="009B1315" w:rsidRPr="00062C03">
        <w:rPr>
          <w:rFonts w:hint="eastAsia"/>
          <w:color w:val="000000" w:themeColor="text1"/>
        </w:rPr>
        <w:t>均得</w:t>
      </w:r>
      <w:r w:rsidRPr="00062C03">
        <w:rPr>
          <w:rFonts w:hint="eastAsia"/>
          <w:color w:val="000000" w:themeColor="text1"/>
        </w:rPr>
        <w:t>作為對</w:t>
      </w:r>
      <w:r w:rsidR="008D1C9D" w:rsidRPr="00062C03">
        <w:rPr>
          <w:rFonts w:hint="eastAsia"/>
          <w:color w:val="000000" w:themeColor="text1"/>
        </w:rPr>
        <w:t>於</w:t>
      </w:r>
      <w:r w:rsidRPr="00062C03">
        <w:rPr>
          <w:rFonts w:hint="eastAsia"/>
          <w:color w:val="000000" w:themeColor="text1"/>
        </w:rPr>
        <w:t>配戴電子腳鐐對象之監控措施，</w:t>
      </w:r>
      <w:r w:rsidR="005E0316" w:rsidRPr="00062C03">
        <w:rPr>
          <w:rFonts w:hint="eastAsia"/>
          <w:color w:val="000000" w:themeColor="text1"/>
        </w:rPr>
        <w:t>以</w:t>
      </w:r>
      <w:r w:rsidR="008D1C9D" w:rsidRPr="00062C03">
        <w:rPr>
          <w:rFonts w:hint="eastAsia"/>
          <w:color w:val="000000" w:themeColor="text1"/>
        </w:rPr>
        <w:t>掌握其日常生活行蹤</w:t>
      </w:r>
      <w:r w:rsidR="009B1315" w:rsidRPr="00062C03">
        <w:rPr>
          <w:rFonts w:hint="eastAsia"/>
          <w:color w:val="000000" w:themeColor="text1"/>
        </w:rPr>
        <w:t>。</w:t>
      </w:r>
      <w:r w:rsidRPr="00062C03">
        <w:rPr>
          <w:rFonts w:hint="eastAsia"/>
          <w:color w:val="000000" w:themeColor="text1"/>
        </w:rPr>
        <w:t>從而作為防逃機制之一環，對於停止羈押被告施用電子腳鐐時，應格外重視</w:t>
      </w:r>
      <w:r w:rsidR="005E0316" w:rsidRPr="00062C03">
        <w:rPr>
          <w:rFonts w:hint="eastAsia"/>
          <w:color w:val="000000" w:themeColor="text1"/>
        </w:rPr>
        <w:t>該</w:t>
      </w:r>
      <w:r w:rsidRPr="00062C03">
        <w:rPr>
          <w:rFonts w:hint="eastAsia"/>
          <w:color w:val="000000" w:themeColor="text1"/>
        </w:rPr>
        <w:t>電子腳鐐</w:t>
      </w:r>
      <w:r w:rsidR="005E0316" w:rsidRPr="00062C03">
        <w:rPr>
          <w:rFonts w:hint="eastAsia"/>
          <w:color w:val="000000" w:themeColor="text1"/>
        </w:rPr>
        <w:t>之</w:t>
      </w:r>
      <w:r w:rsidRPr="00062C03">
        <w:rPr>
          <w:rFonts w:hint="eastAsia"/>
          <w:color w:val="000000" w:themeColor="text1"/>
        </w:rPr>
        <w:t>堅固及耐用性。目前，法務部與司法院刻正協商討論依刑事訴訟法第116條之2第</w:t>
      </w:r>
      <w:r w:rsidRPr="00062C03">
        <w:rPr>
          <w:color w:val="000000" w:themeColor="text1"/>
        </w:rPr>
        <w:t>5</w:t>
      </w:r>
      <w:r w:rsidRPr="00062C03">
        <w:rPr>
          <w:rFonts w:hint="eastAsia"/>
          <w:color w:val="000000" w:themeColor="text1"/>
        </w:rPr>
        <w:t>項</w:t>
      </w:r>
      <w:r w:rsidR="005E0316" w:rsidRPr="00062C03">
        <w:rPr>
          <w:rFonts w:hint="eastAsia"/>
          <w:color w:val="000000" w:themeColor="text1"/>
        </w:rPr>
        <w:t>規定</w:t>
      </w:r>
      <w:r w:rsidRPr="00062C03">
        <w:rPr>
          <w:rFonts w:hint="eastAsia"/>
          <w:color w:val="000000" w:themeColor="text1"/>
        </w:rPr>
        <w:t>訂定科技設備監控之執行辦法，允請重視本案發生以徒手蠻力即可破壞之情事，作為借鏡。</w:t>
      </w:r>
    </w:p>
    <w:p w:rsidR="00E25F1A" w:rsidRPr="00011A53" w:rsidRDefault="00E25F1A" w:rsidP="00011A53">
      <w:pPr>
        <w:pStyle w:val="3"/>
        <w:numPr>
          <w:ilvl w:val="2"/>
          <w:numId w:val="36"/>
        </w:numPr>
        <w:rPr>
          <w:color w:val="000000" w:themeColor="text1"/>
        </w:rPr>
      </w:pPr>
      <w:r w:rsidRPr="00011A53">
        <w:rPr>
          <w:rFonts w:hint="eastAsia"/>
          <w:color w:val="000000" w:themeColor="text1"/>
        </w:rPr>
        <w:t>綜上，</w:t>
      </w:r>
      <w:r w:rsidR="00011A53" w:rsidRPr="00011A53">
        <w:rPr>
          <w:rFonts w:hint="eastAsia"/>
          <w:color w:val="000000" w:themeColor="text1"/>
        </w:rPr>
        <w:t>對性侵害犯罪之加害人，依性侵害犯罪防治法第20條第3項第7款，於假釋付保護管束期間，施加電子腳鐐之科技設備監控，係為管控其再犯風險，而監控其行蹤，具有社會防衛目的。然本案潘姓性侵假釋付保護管束之人破壞電子腳鐐之方式，竟可徒手將電子腳鐐破壞並逃逸，且在檢察官進行偵查程序命其示範時，再度以徒手方式拔開電子腳鐐，顯見該電子腳鐐實無法達到社會防衛目的。況且，依109年1月15日修正刑事訴訟第116條之2規定，未來電子腳鐐將作為「防逃機制」一環，法務部允應就本案破壞手法進行檢討，使依政府採購相關規定採購之電子腳鐐，具備物之通常效用或契約預定效用，至少須具有穩固性</w:t>
      </w:r>
      <w:r w:rsidR="005E0316" w:rsidRPr="00011A53">
        <w:rPr>
          <w:rFonts w:hint="eastAsia"/>
          <w:color w:val="000000" w:themeColor="text1"/>
        </w:rPr>
        <w:t>。</w:t>
      </w:r>
    </w:p>
    <w:p w:rsidR="007F7CE4" w:rsidRPr="00062C03" w:rsidRDefault="007F7CE4" w:rsidP="00050D05">
      <w:pPr>
        <w:pStyle w:val="2"/>
        <w:numPr>
          <w:ilvl w:val="1"/>
          <w:numId w:val="36"/>
        </w:numPr>
        <w:rPr>
          <w:b/>
          <w:color w:val="000000" w:themeColor="text1"/>
        </w:rPr>
      </w:pPr>
      <w:r w:rsidRPr="00062C03">
        <w:rPr>
          <w:rFonts w:hint="eastAsia"/>
          <w:b/>
          <w:color w:val="000000" w:themeColor="text1"/>
        </w:rPr>
        <w:t>拘提或逮捕均為限制人身自由之干預手段，目的在於保全對被告刑罰權實現，依憲法第8條、司法院釋字第392號解釋，及公民與政治權利</w:t>
      </w:r>
      <w:r w:rsidR="00D81AF7">
        <w:rPr>
          <w:rFonts w:hint="eastAsia"/>
          <w:b/>
          <w:color w:val="000000" w:themeColor="text1"/>
        </w:rPr>
        <w:t>國際</w:t>
      </w:r>
      <w:r w:rsidRPr="00062C03">
        <w:rPr>
          <w:rFonts w:hint="eastAsia"/>
          <w:b/>
          <w:color w:val="000000" w:themeColor="text1"/>
        </w:rPr>
        <w:t>公約（下稱公政公約）第9條規定，拘捕過程須遵守正當法律程序，且檢察及警察機關不得流於恣意</w:t>
      </w:r>
      <w:r w:rsidR="00CD4ED7" w:rsidRPr="00062C03">
        <w:rPr>
          <w:rFonts w:hint="eastAsia"/>
          <w:b/>
          <w:color w:val="000000" w:themeColor="text1"/>
        </w:rPr>
        <w:t>。</w:t>
      </w:r>
      <w:r w:rsidRPr="00062C03">
        <w:rPr>
          <w:rFonts w:hint="eastAsia"/>
          <w:b/>
          <w:color w:val="000000" w:themeColor="text1"/>
        </w:rPr>
        <w:t>通緝為具「廣泛囑託」拘提類型，自</w:t>
      </w:r>
      <w:r w:rsidR="00DA0572" w:rsidRPr="00062C03">
        <w:rPr>
          <w:rFonts w:hint="eastAsia"/>
          <w:b/>
          <w:color w:val="000000" w:themeColor="text1"/>
        </w:rPr>
        <w:t>應</w:t>
      </w:r>
      <w:r w:rsidRPr="00062C03">
        <w:rPr>
          <w:rFonts w:hint="eastAsia"/>
          <w:b/>
          <w:color w:val="000000" w:themeColor="text1"/>
        </w:rPr>
        <w:t>遵守上開規定。</w:t>
      </w:r>
      <w:r w:rsidR="00C21D83" w:rsidRPr="00062C03">
        <w:rPr>
          <w:rFonts w:hint="eastAsia"/>
          <w:b/>
          <w:color w:val="000000" w:themeColor="text1"/>
        </w:rPr>
        <w:t>對於</w:t>
      </w:r>
      <w:r w:rsidRPr="00062C03">
        <w:rPr>
          <w:rFonts w:hint="eastAsia"/>
          <w:b/>
          <w:color w:val="000000" w:themeColor="text1"/>
        </w:rPr>
        <w:t>性侵假釋付保護管束之人，於假釋期間破壞電子腳鐐者，除得依涉嫌刑法第138條</w:t>
      </w:r>
      <w:r w:rsidR="00DC0A67" w:rsidRPr="00DC0A67">
        <w:rPr>
          <w:rFonts w:hint="eastAsia"/>
          <w:b/>
          <w:color w:val="000000" w:themeColor="text1"/>
        </w:rPr>
        <w:t>損壞公務員職務上掌管之物品罪</w:t>
      </w:r>
      <w:r w:rsidRPr="00062C03">
        <w:rPr>
          <w:rFonts w:hint="eastAsia"/>
          <w:b/>
          <w:color w:val="000000" w:themeColor="text1"/>
        </w:rPr>
        <w:t>進</w:t>
      </w:r>
      <w:r w:rsidRPr="00062C03">
        <w:rPr>
          <w:rFonts w:hint="eastAsia"/>
          <w:b/>
          <w:color w:val="000000" w:themeColor="text1"/>
        </w:rPr>
        <w:lastRenderedPageBreak/>
        <w:t>行偵查程序外，尚得依保安處分執行法第74條之3第2項規定，因其違反保護管束應遵守事項，而撤銷假釋，執行殘刑。如其破壞電子腳鐐而逃匿時，</w:t>
      </w:r>
      <w:r w:rsidR="00CC5B94" w:rsidRPr="00062C03">
        <w:rPr>
          <w:rFonts w:hint="eastAsia"/>
          <w:b/>
          <w:color w:val="000000" w:themeColor="text1"/>
        </w:rPr>
        <w:t>應</w:t>
      </w:r>
      <w:r w:rsidRPr="00062C03">
        <w:rPr>
          <w:rFonts w:hint="eastAsia"/>
          <w:b/>
          <w:color w:val="000000" w:themeColor="text1"/>
        </w:rPr>
        <w:t>以何者為事由發布通緝，根據本案及前案調查結果彙整，實務</w:t>
      </w:r>
      <w:r w:rsidR="00F775FE" w:rsidRPr="00062C03">
        <w:rPr>
          <w:rFonts w:hint="eastAsia"/>
          <w:b/>
          <w:color w:val="000000" w:themeColor="text1"/>
        </w:rPr>
        <w:t>或理論上</w:t>
      </w:r>
      <w:r w:rsidRPr="00062C03">
        <w:rPr>
          <w:rFonts w:hint="eastAsia"/>
          <w:b/>
          <w:color w:val="000000" w:themeColor="text1"/>
        </w:rPr>
        <w:t>可能出現4種作法，各有所本。</w:t>
      </w:r>
      <w:r w:rsidR="00F775FE" w:rsidRPr="00062C03">
        <w:rPr>
          <w:rFonts w:hint="eastAsia"/>
          <w:b/>
          <w:color w:val="000000" w:themeColor="text1"/>
        </w:rPr>
        <w:t>其中</w:t>
      </w:r>
      <w:r w:rsidRPr="00062C03">
        <w:rPr>
          <w:rFonts w:hint="eastAsia"/>
          <w:b/>
          <w:color w:val="000000" w:themeColor="text1"/>
        </w:rPr>
        <w:t>以破壞電子腳鐐違反刑法第138條為原因案件，於符合刑事訴訟法第84條規定時，發布通緝</w:t>
      </w:r>
      <w:r w:rsidR="00F775FE" w:rsidRPr="00062C03">
        <w:rPr>
          <w:rFonts w:hint="eastAsia"/>
          <w:b/>
          <w:color w:val="000000" w:themeColor="text1"/>
        </w:rPr>
        <w:t>，為最迅速</w:t>
      </w:r>
      <w:r w:rsidRPr="00062C03">
        <w:rPr>
          <w:rFonts w:hint="eastAsia"/>
          <w:b/>
          <w:color w:val="000000" w:themeColor="text1"/>
        </w:rPr>
        <w:t>；惟為維繫通緝效力，</w:t>
      </w:r>
      <w:r w:rsidR="00F775FE" w:rsidRPr="00062C03">
        <w:rPr>
          <w:rFonts w:hint="eastAsia"/>
          <w:b/>
          <w:color w:val="000000" w:themeColor="text1"/>
        </w:rPr>
        <w:t>如</w:t>
      </w:r>
      <w:r w:rsidR="009014F4" w:rsidRPr="00062C03">
        <w:rPr>
          <w:rFonts w:hint="eastAsia"/>
          <w:b/>
          <w:color w:val="000000" w:themeColor="text1"/>
        </w:rPr>
        <w:t>另</w:t>
      </w:r>
      <w:r w:rsidRPr="00062C03">
        <w:rPr>
          <w:rFonts w:hint="eastAsia"/>
          <w:b/>
          <w:color w:val="000000" w:themeColor="text1"/>
        </w:rPr>
        <w:t>以</w:t>
      </w:r>
      <w:r w:rsidRPr="00062C03">
        <w:rPr>
          <w:rFonts w:hAnsi="標楷體" w:hint="eastAsia"/>
          <w:b/>
          <w:color w:val="000000" w:themeColor="text1"/>
        </w:rPr>
        <w:t>撤銷假釋執行原妨害性自主罪章之殘刑執行為原因案件，於符合刑事訴訟法第469條規定時，</w:t>
      </w:r>
      <w:r w:rsidR="00F775FE" w:rsidRPr="00062C03">
        <w:rPr>
          <w:rFonts w:hAnsi="標楷體" w:hint="eastAsia"/>
          <w:b/>
          <w:color w:val="000000" w:themeColor="text1"/>
        </w:rPr>
        <w:t>亦</w:t>
      </w:r>
      <w:r w:rsidRPr="00062C03">
        <w:rPr>
          <w:rFonts w:hAnsi="標楷體" w:hint="eastAsia"/>
          <w:b/>
          <w:color w:val="000000" w:themeColor="text1"/>
        </w:rPr>
        <w:t>發布通緝</w:t>
      </w:r>
      <w:r w:rsidR="00F775FE" w:rsidRPr="00062C03">
        <w:rPr>
          <w:rFonts w:hAnsi="標楷體" w:hint="eastAsia"/>
          <w:b/>
          <w:color w:val="000000" w:themeColor="text1"/>
        </w:rPr>
        <w:t>，即</w:t>
      </w:r>
      <w:r w:rsidRPr="00062C03">
        <w:rPr>
          <w:rFonts w:hAnsi="標楷體" w:hint="eastAsia"/>
          <w:b/>
          <w:color w:val="000000" w:themeColor="text1"/>
        </w:rPr>
        <w:t>依</w:t>
      </w:r>
      <w:r w:rsidR="00F775FE" w:rsidRPr="00062C03">
        <w:rPr>
          <w:rFonts w:hAnsi="標楷體" w:hint="eastAsia"/>
          <w:b/>
          <w:color w:val="000000" w:themeColor="text1"/>
        </w:rPr>
        <w:t>「</w:t>
      </w:r>
      <w:r w:rsidRPr="00062C03">
        <w:rPr>
          <w:rFonts w:hAnsi="標楷體" w:hint="eastAsia"/>
          <w:b/>
          <w:color w:val="000000" w:themeColor="text1"/>
        </w:rPr>
        <w:t>檢察機關辦理通緝案件應行注意事項</w:t>
      </w:r>
      <w:r w:rsidR="00F775FE" w:rsidRPr="00062C03">
        <w:rPr>
          <w:rFonts w:hAnsi="標楷體" w:hint="eastAsia"/>
          <w:b/>
          <w:color w:val="000000" w:themeColor="text1"/>
        </w:rPr>
        <w:t>」</w:t>
      </w:r>
      <w:r w:rsidRPr="00062C03">
        <w:rPr>
          <w:rFonts w:hAnsi="標楷體" w:hint="eastAsia"/>
          <w:b/>
          <w:color w:val="000000" w:themeColor="text1"/>
        </w:rPr>
        <w:t>第9點規定，</w:t>
      </w:r>
      <w:r w:rsidR="00F775FE" w:rsidRPr="00062C03">
        <w:rPr>
          <w:rFonts w:hAnsi="標楷體" w:hint="eastAsia"/>
          <w:b/>
          <w:color w:val="000000" w:themeColor="text1"/>
        </w:rPr>
        <w:t>採兩種方式，</w:t>
      </w:r>
      <w:r w:rsidRPr="00062C03">
        <w:rPr>
          <w:rFonts w:hAnsi="標楷體" w:hint="eastAsia"/>
          <w:b/>
          <w:color w:val="000000" w:themeColor="text1"/>
        </w:rPr>
        <w:t>分別通緝，</w:t>
      </w:r>
      <w:r w:rsidR="00F775FE" w:rsidRPr="00062C03">
        <w:rPr>
          <w:rFonts w:hAnsi="標楷體" w:hint="eastAsia"/>
          <w:b/>
          <w:color w:val="000000" w:themeColor="text1"/>
        </w:rPr>
        <w:t>最</w:t>
      </w:r>
      <w:r w:rsidR="009014F4" w:rsidRPr="00062C03">
        <w:rPr>
          <w:rFonts w:hAnsi="標楷體" w:hint="eastAsia"/>
          <w:b/>
          <w:color w:val="000000" w:themeColor="text1"/>
        </w:rPr>
        <w:t>能</w:t>
      </w:r>
      <w:r w:rsidRPr="00062C03">
        <w:rPr>
          <w:rFonts w:hAnsi="標楷體" w:hint="eastAsia"/>
          <w:b/>
          <w:color w:val="000000" w:themeColor="text1"/>
        </w:rPr>
        <w:t>符合實務需求考量，亦可落實正當法律程序要求。</w:t>
      </w:r>
    </w:p>
    <w:p w:rsidR="007F7CE4" w:rsidRPr="00062C03" w:rsidRDefault="007F7CE4" w:rsidP="00322445">
      <w:pPr>
        <w:pStyle w:val="3"/>
        <w:rPr>
          <w:color w:val="000000" w:themeColor="text1"/>
        </w:rPr>
      </w:pPr>
      <w:r w:rsidRPr="00062C03">
        <w:rPr>
          <w:rFonts w:hint="eastAsia"/>
          <w:color w:val="000000" w:themeColor="text1"/>
        </w:rPr>
        <w:t>拘提、逮捕、通緝均為刑事訴訟法上對人之強制處分，屬干預人民憲法所保障人身自由之公法行為，應遵守憲法及公政公約等相關規定，落實正當法律程序，且不得流於恣意：</w:t>
      </w:r>
    </w:p>
    <w:p w:rsidR="007F7CE4" w:rsidRPr="00062C03" w:rsidRDefault="007F7CE4" w:rsidP="001A3CF6">
      <w:pPr>
        <w:pStyle w:val="4"/>
        <w:rPr>
          <w:color w:val="000000" w:themeColor="text1"/>
        </w:rPr>
      </w:pPr>
      <w:r w:rsidRPr="00062C03">
        <w:rPr>
          <w:rFonts w:hint="eastAsia"/>
          <w:color w:val="000000" w:themeColor="text1"/>
        </w:rPr>
        <w:t>按憲法第8條第1項規定「人民身體之自由應予保障。除現行犯之逮捕由法律另定外，非經司法或警察機關依法定程序，不得逮捕拘禁。非由法院依法定程序，不得審問處罰。非依法定程序之逮捕、拘禁、審問、處罰，得拒絕之。」憲法第8條所稱逮捕拘禁，刑式用語雖與刑事訴訟法上不一致，但實質上包括拘提、逮捕、羈押等拘束人身自由之處分</w:t>
      </w:r>
      <w:bookmarkStart w:id="51" w:name="_Ref35357088"/>
      <w:r w:rsidRPr="00062C03">
        <w:rPr>
          <w:rStyle w:val="afe"/>
          <w:color w:val="000000" w:themeColor="text1"/>
        </w:rPr>
        <w:footnoteReference w:id="4"/>
      </w:r>
      <w:bookmarkEnd w:id="51"/>
      <w:r w:rsidRPr="00062C03">
        <w:rPr>
          <w:rFonts w:hint="eastAsia"/>
          <w:color w:val="000000" w:themeColor="text1"/>
        </w:rPr>
        <w:t>。而通緝係由法院或檢察官以公告周知方式，通知檢察或司法警察機關</w:t>
      </w:r>
      <w:r w:rsidR="002D33E5" w:rsidRPr="00062C03">
        <w:rPr>
          <w:rStyle w:val="afe"/>
          <w:color w:val="000000" w:themeColor="text1"/>
        </w:rPr>
        <w:footnoteReference w:id="5"/>
      </w:r>
      <w:r w:rsidRPr="00062C03">
        <w:rPr>
          <w:rFonts w:hint="eastAsia"/>
          <w:color w:val="000000" w:themeColor="text1"/>
        </w:rPr>
        <w:t>，對於逃亡或藏匿被告，一體協同拘捕之強制處分，學理上</w:t>
      </w:r>
      <w:r w:rsidRPr="00062C03">
        <w:rPr>
          <w:rFonts w:hint="eastAsia"/>
          <w:color w:val="000000" w:themeColor="text1"/>
        </w:rPr>
        <w:lastRenderedPageBreak/>
        <w:t>認為其有別於個別、特定之囑託拘提，而屬廣泛之囑託，乃拘提之一種</w:t>
      </w:r>
      <w:r w:rsidRPr="00062C03">
        <w:rPr>
          <w:rStyle w:val="afe"/>
          <w:color w:val="000000" w:themeColor="text1"/>
        </w:rPr>
        <w:footnoteReference w:id="6"/>
      </w:r>
      <w:r w:rsidRPr="00062C03">
        <w:rPr>
          <w:rFonts w:hint="eastAsia"/>
          <w:color w:val="000000" w:themeColor="text1"/>
        </w:rPr>
        <w:t>。從而，無論是刑事訴訟法之拘提、逮捕、羈押或通緝，均須符合憲法第8條規定。</w:t>
      </w:r>
    </w:p>
    <w:p w:rsidR="007F7CE4" w:rsidRPr="00062C03" w:rsidRDefault="007F7CE4" w:rsidP="001A3CF6">
      <w:pPr>
        <w:pStyle w:val="4"/>
        <w:rPr>
          <w:color w:val="000000" w:themeColor="text1"/>
        </w:rPr>
      </w:pPr>
      <w:r w:rsidRPr="00062C03">
        <w:rPr>
          <w:rFonts w:hint="eastAsia"/>
          <w:color w:val="000000" w:themeColor="text1"/>
        </w:rPr>
        <w:t>復按司法院釋字第392號解釋文：「憲法第8條第1項所規定之『司法機關』，自非僅指同法第77條規定之司法機關而言，而係包括檢察機關在內之廣義司法機關。</w:t>
      </w:r>
      <w:r w:rsidRPr="00062C03">
        <w:rPr>
          <w:rStyle w:val="afe"/>
          <w:color w:val="000000" w:themeColor="text1"/>
        </w:rPr>
        <w:footnoteReference w:id="7"/>
      </w:r>
      <w:r w:rsidRPr="00062C03">
        <w:rPr>
          <w:rFonts w:hint="eastAsia"/>
          <w:color w:val="000000" w:themeColor="text1"/>
        </w:rPr>
        <w:t>」故無論是檢察機關或司法警察機關，於逮捕拘禁時，均須遵守正當法律程序。</w:t>
      </w:r>
    </w:p>
    <w:p w:rsidR="007F7CE4" w:rsidRPr="00062C03" w:rsidRDefault="007F7CE4" w:rsidP="001A3CF6">
      <w:pPr>
        <w:pStyle w:val="4"/>
        <w:rPr>
          <w:color w:val="000000" w:themeColor="text1"/>
        </w:rPr>
      </w:pPr>
      <w:r w:rsidRPr="00062C03">
        <w:rPr>
          <w:rFonts w:hint="eastAsia"/>
          <w:color w:val="000000" w:themeColor="text1"/>
        </w:rPr>
        <w:t>另依公政公約第9條第1項規定：「人人有權享有身體自由及人身安全。任何人不得恣意</w:t>
      </w:r>
      <w:r w:rsidRPr="00062C03">
        <w:rPr>
          <w:rStyle w:val="afe"/>
          <w:color w:val="000000" w:themeColor="text1"/>
        </w:rPr>
        <w:footnoteReference w:id="8"/>
      </w:r>
      <w:r w:rsidRPr="00062C03">
        <w:rPr>
          <w:rFonts w:hint="eastAsia"/>
          <w:color w:val="000000" w:themeColor="text1"/>
        </w:rPr>
        <w:t>予以逮捕或拘禁。非依法定理由及程序，不得剝奪任何人之自由。」及第35號一般性意見，為保障人身自由，不僅禁止非法逮捕、拘禁，亦禁止當權機關恣意逮捕、拘禁</w:t>
      </w:r>
      <w:r w:rsidRPr="00062C03">
        <w:rPr>
          <w:rStyle w:val="afe"/>
          <w:color w:val="000000" w:themeColor="text1"/>
        </w:rPr>
        <w:footnoteReference w:id="9"/>
      </w:r>
      <w:r w:rsidRPr="00062C03">
        <w:rPr>
          <w:rFonts w:hint="eastAsia"/>
          <w:color w:val="000000" w:themeColor="text1"/>
        </w:rPr>
        <w:t>。亦即拘捕過程須遵守比例原則</w:t>
      </w:r>
      <w:r w:rsidRPr="00062C03">
        <w:rPr>
          <w:rStyle w:val="afe"/>
          <w:color w:val="000000" w:themeColor="text1"/>
        </w:rPr>
        <w:footnoteReference w:id="10"/>
      </w:r>
      <w:r w:rsidRPr="00062C03">
        <w:rPr>
          <w:rFonts w:hint="eastAsia"/>
          <w:color w:val="000000" w:themeColor="text1"/>
        </w:rPr>
        <w:t>。</w:t>
      </w:r>
    </w:p>
    <w:p w:rsidR="007F7CE4" w:rsidRPr="00062C03" w:rsidRDefault="007F7CE4" w:rsidP="004D4B57">
      <w:pPr>
        <w:pStyle w:val="3"/>
        <w:rPr>
          <w:color w:val="000000" w:themeColor="text1"/>
        </w:rPr>
      </w:pPr>
      <w:r w:rsidRPr="00062C03">
        <w:rPr>
          <w:rFonts w:hint="eastAsia"/>
          <w:color w:val="000000" w:themeColor="text1"/>
        </w:rPr>
        <w:t>性侵假釋付保護管束之人於假釋期間，故意破壞電子腳鐐逃匿無蹤者，除就破壞行為條得依涉嫌刑法</w:t>
      </w:r>
      <w:r w:rsidRPr="00062C03">
        <w:rPr>
          <w:rFonts w:hint="eastAsia"/>
          <w:color w:val="000000" w:themeColor="text1"/>
        </w:rPr>
        <w:lastRenderedPageBreak/>
        <w:t>第138條</w:t>
      </w:r>
      <w:r w:rsidR="00DC0A67">
        <w:rPr>
          <w:rFonts w:hint="eastAsia"/>
          <w:color w:val="000000" w:themeColor="text1"/>
        </w:rPr>
        <w:t>損壞公務員職務上掌管之物品罪</w:t>
      </w:r>
      <w:r w:rsidRPr="00062C03">
        <w:rPr>
          <w:rFonts w:hint="eastAsia"/>
          <w:color w:val="000000" w:themeColor="text1"/>
        </w:rPr>
        <w:t>進行偵查程序外，尚得因其違反保護管束應遵守事項，依保安處分執行法第74條之2、之3規定，經典獄長報請撤銷假釋，回監執行殘刑，兩程序併行不悖：</w:t>
      </w:r>
    </w:p>
    <w:p w:rsidR="007F7CE4" w:rsidRPr="00062C03" w:rsidRDefault="007F7CE4" w:rsidP="001A3CF6">
      <w:pPr>
        <w:pStyle w:val="4"/>
        <w:rPr>
          <w:color w:val="000000" w:themeColor="text1"/>
        </w:rPr>
      </w:pPr>
      <w:r w:rsidRPr="00062C03">
        <w:rPr>
          <w:rFonts w:hint="eastAsia"/>
          <w:color w:val="000000" w:themeColor="text1"/>
        </w:rPr>
        <w:t>依性侵害犯罪防治法第20條第3項</w:t>
      </w:r>
      <w:r w:rsidRPr="00062C03">
        <w:rPr>
          <w:rStyle w:val="afe"/>
          <w:color w:val="000000" w:themeColor="text1"/>
        </w:rPr>
        <w:footnoteReference w:id="11"/>
      </w:r>
      <w:r w:rsidRPr="00062C03">
        <w:rPr>
          <w:rFonts w:hint="eastAsia"/>
          <w:color w:val="000000" w:themeColor="text1"/>
        </w:rPr>
        <w:t>規定，對於性侵害犯罪之加害人，觀護人得於其假釋付保護管束期間，要求其接受必要處遇命令，持續進行監控與治療，以求有效且根本地達到再犯預防之效果。其中對於基本權干預甚深之處遇，諸如：指定居所、宵禁、實施測謊、穿戴科技監控設備及禁止接近特定場所或對象等，均須經檢察官許可，檢察官亦得依同條項第10款規定，為其他必要之處遇命令，諸如：禁止瀏覽色情網站等。當其違反上開處遇命令時，依保安處分執行法第66條</w:t>
      </w:r>
      <w:r w:rsidRPr="00062C03">
        <w:rPr>
          <w:rStyle w:val="afe"/>
          <w:color w:val="000000" w:themeColor="text1"/>
        </w:rPr>
        <w:footnoteReference w:id="12"/>
      </w:r>
      <w:r w:rsidRPr="00062C03">
        <w:rPr>
          <w:rFonts w:hint="eastAsia"/>
          <w:color w:val="000000" w:themeColor="text1"/>
        </w:rPr>
        <w:t>規定，觀護人得進行告誡，情節重大時，得依保安處分執行法第74條之2</w:t>
      </w:r>
      <w:r w:rsidRPr="00062C03">
        <w:rPr>
          <w:rStyle w:val="afe"/>
          <w:color w:val="000000" w:themeColor="text1"/>
        </w:rPr>
        <w:footnoteReference w:id="13"/>
      </w:r>
      <w:r w:rsidRPr="00062C03">
        <w:rPr>
          <w:rFonts w:hint="eastAsia"/>
          <w:color w:val="000000" w:themeColor="text1"/>
        </w:rPr>
        <w:t>、之3</w:t>
      </w:r>
      <w:r w:rsidRPr="00062C03">
        <w:rPr>
          <w:rStyle w:val="afe"/>
          <w:color w:val="000000" w:themeColor="text1"/>
        </w:rPr>
        <w:footnoteReference w:id="14"/>
      </w:r>
      <w:r w:rsidRPr="00062C03">
        <w:rPr>
          <w:rFonts w:hint="eastAsia"/>
          <w:color w:val="000000" w:themeColor="text1"/>
        </w:rPr>
        <w:t>第2項規定，經典獄長報請撤銷假釋，回監執行殘刑。實</w:t>
      </w:r>
      <w:r w:rsidRPr="00062C03">
        <w:rPr>
          <w:rFonts w:hint="eastAsia"/>
          <w:color w:val="000000" w:themeColor="text1"/>
        </w:rPr>
        <w:lastRenderedPageBreak/>
        <w:t>務上，對於性侵假釋付保護管束之人所需遵守命令，觀護人會告知，並要求其於「妨害性自主與性騷擾保護管束案件須知」之書面上簽名。</w:t>
      </w:r>
    </w:p>
    <w:p w:rsidR="007F7CE4" w:rsidRPr="00062C03" w:rsidRDefault="007F7CE4" w:rsidP="001A3CF6">
      <w:pPr>
        <w:pStyle w:val="4"/>
        <w:rPr>
          <w:color w:val="000000" w:themeColor="text1"/>
        </w:rPr>
      </w:pPr>
      <w:r w:rsidRPr="00062C03">
        <w:rPr>
          <w:rFonts w:hint="eastAsia"/>
          <w:color w:val="000000" w:themeColor="text1"/>
        </w:rPr>
        <w:t>當假釋之性侵犯有再犯之中、高風險時，觀護人報請檢察官許可後，可要求其穿戴電子腳鐐，並提供「科技監控設備須知」等書面告知使用方式，及破壞電子腳鐐時將受告誡，情節重大時，得撤銷假釋。且由於電子腳鐐屬於公務員職務上掌管物品，亦會告知如蓄意破壞，另涉犯刑法第138條</w:t>
      </w:r>
      <w:r w:rsidR="00DC0A67">
        <w:rPr>
          <w:rFonts w:hint="eastAsia"/>
          <w:color w:val="000000" w:themeColor="text1"/>
        </w:rPr>
        <w:t>損壞公務員職務上掌管之物品罪</w:t>
      </w:r>
      <w:r w:rsidRPr="00062C03">
        <w:rPr>
          <w:rFonts w:hint="eastAsia"/>
          <w:color w:val="000000" w:themeColor="text1"/>
        </w:rPr>
        <w:t>，將遭檢察官另案起訴</w:t>
      </w:r>
      <w:r w:rsidRPr="00062C03">
        <w:rPr>
          <w:rStyle w:val="afe"/>
          <w:color w:val="000000" w:themeColor="text1"/>
        </w:rPr>
        <w:footnoteReference w:id="15"/>
      </w:r>
      <w:r w:rsidRPr="00062C03">
        <w:rPr>
          <w:rFonts w:hint="eastAsia"/>
          <w:color w:val="000000" w:themeColor="text1"/>
        </w:rPr>
        <w:t>。</w:t>
      </w:r>
    </w:p>
    <w:p w:rsidR="007F7CE4" w:rsidRPr="00062C03" w:rsidRDefault="007F7CE4" w:rsidP="001A3CF6">
      <w:pPr>
        <w:pStyle w:val="4"/>
        <w:rPr>
          <w:color w:val="000000" w:themeColor="text1"/>
        </w:rPr>
      </w:pPr>
      <w:r w:rsidRPr="00062C03">
        <w:rPr>
          <w:rFonts w:hint="eastAsia"/>
          <w:color w:val="000000" w:themeColor="text1"/>
        </w:rPr>
        <w:t>是以性侵假釋付保護管束之人，故意破壞電子腳鐐時，除於保安處分執行程序，決定是否撤銷假釋外，亦得以其違反刑法第138條規定，檢察官啟動偵查程序，兩程序併行不悖。</w:t>
      </w:r>
    </w:p>
    <w:p w:rsidR="007F7CE4" w:rsidRPr="00062C03" w:rsidRDefault="007F7CE4" w:rsidP="0083358A">
      <w:pPr>
        <w:pStyle w:val="3"/>
        <w:rPr>
          <w:color w:val="000000" w:themeColor="text1"/>
        </w:rPr>
      </w:pPr>
      <w:r w:rsidRPr="00062C03">
        <w:rPr>
          <w:rFonts w:hint="eastAsia"/>
          <w:color w:val="000000" w:themeColor="text1"/>
        </w:rPr>
        <w:t>為使有再犯風險之性侵假釋付保護管束人，及早回監，法務部採行「撤銷假釋無縫銜接機制」，於緝獲時得迅</w:t>
      </w:r>
      <w:r w:rsidR="00E42426" w:rsidRPr="00062C03">
        <w:rPr>
          <w:rFonts w:hint="eastAsia"/>
          <w:color w:val="000000" w:themeColor="text1"/>
        </w:rPr>
        <w:t>速</w:t>
      </w:r>
      <w:r w:rsidRPr="00062C03">
        <w:rPr>
          <w:rFonts w:hint="eastAsia"/>
          <w:color w:val="000000" w:themeColor="text1"/>
        </w:rPr>
        <w:t>辦理入監手續：</w:t>
      </w:r>
    </w:p>
    <w:p w:rsidR="007F7CE4" w:rsidRPr="00062C03" w:rsidRDefault="007F7CE4" w:rsidP="001A3CF6">
      <w:pPr>
        <w:pStyle w:val="4"/>
        <w:rPr>
          <w:color w:val="000000" w:themeColor="text1"/>
        </w:rPr>
      </w:pPr>
      <w:r w:rsidRPr="00062C03">
        <w:rPr>
          <w:rFonts w:hint="eastAsia"/>
          <w:color w:val="000000" w:themeColor="text1"/>
        </w:rPr>
        <w:t>性侵假釋付保護管束之人破壞電子腳鐐而逃匿，非監禁式處遇無法控制其再犯風險時，為迅</w:t>
      </w:r>
      <w:r w:rsidR="00E42426" w:rsidRPr="00062C03">
        <w:rPr>
          <w:rFonts w:hint="eastAsia"/>
          <w:color w:val="000000" w:themeColor="text1"/>
        </w:rPr>
        <w:t>速</w:t>
      </w:r>
      <w:r w:rsidRPr="00062C03">
        <w:rPr>
          <w:rFonts w:hint="eastAsia"/>
          <w:color w:val="000000" w:themeColor="text1"/>
        </w:rPr>
        <w:t>辦理撤銷假釋流程，法務部目前係依「法務部所屬檢察、矯正機關強化監控與輔導性侵害及性騷擾案件付保護管束行動方案」，採行「撤銷假釋無縫銜接機制」。</w:t>
      </w:r>
    </w:p>
    <w:p w:rsidR="007F7CE4" w:rsidRPr="00062C03" w:rsidRDefault="007F7CE4" w:rsidP="003200AD">
      <w:pPr>
        <w:pStyle w:val="4"/>
        <w:rPr>
          <w:color w:val="000000" w:themeColor="text1"/>
        </w:rPr>
      </w:pPr>
      <w:r w:rsidRPr="00062C03">
        <w:rPr>
          <w:rFonts w:hint="eastAsia"/>
          <w:color w:val="000000" w:themeColor="text1"/>
        </w:rPr>
        <w:t>由於撤銷假釋流程，須由原執行監獄典獄長向法務部矯正署聲請，經矯正署核復，程序始完備，如無特殊機制，依循公務體制遞轉公文，勢必延宕時程，縱使員警逮獲逃匿之性侵假釋付保護管</w:t>
      </w:r>
      <w:r w:rsidRPr="00062C03">
        <w:rPr>
          <w:rFonts w:hint="eastAsia"/>
          <w:color w:val="000000" w:themeColor="text1"/>
        </w:rPr>
        <w:lastRenderedPageBreak/>
        <w:t>束之人，因假釋流程尚未完備，仍無法執行入監手續。至於以</w:t>
      </w:r>
      <w:r w:rsidR="00CC432A" w:rsidRPr="00062C03">
        <w:rPr>
          <w:rFonts w:hint="eastAsia"/>
          <w:color w:val="000000" w:themeColor="text1"/>
        </w:rPr>
        <w:t>其</w:t>
      </w:r>
      <w:r w:rsidRPr="00062C03">
        <w:rPr>
          <w:rFonts w:hint="eastAsia"/>
          <w:color w:val="000000" w:themeColor="text1"/>
        </w:rPr>
        <w:t>違反刑法第138條由檢察官聲請羈押，縱使法院以被告可能逃亡為由予以羈押，亦與其再犯風險無法排除</w:t>
      </w:r>
      <w:r w:rsidR="00CC432A" w:rsidRPr="00062C03">
        <w:rPr>
          <w:rFonts w:hint="eastAsia"/>
          <w:color w:val="000000" w:themeColor="text1"/>
        </w:rPr>
        <w:t>，</w:t>
      </w:r>
      <w:r w:rsidRPr="00062C03">
        <w:rPr>
          <w:rFonts w:hint="eastAsia"/>
          <w:color w:val="000000" w:themeColor="text1"/>
        </w:rPr>
        <w:t>須採監禁處遇之原初目的不符，因此，</w:t>
      </w:r>
      <w:r w:rsidR="008A7251" w:rsidRPr="00062C03">
        <w:rPr>
          <w:rFonts w:hint="eastAsia"/>
          <w:color w:val="000000" w:themeColor="text1"/>
        </w:rPr>
        <w:t>仍須</w:t>
      </w:r>
      <w:r w:rsidRPr="00062C03">
        <w:rPr>
          <w:rFonts w:hint="eastAsia"/>
          <w:color w:val="000000" w:themeColor="text1"/>
        </w:rPr>
        <w:t>透過前述「撤銷假釋無縫銜接機制」，迅</w:t>
      </w:r>
      <w:r w:rsidR="00E42426" w:rsidRPr="00062C03">
        <w:rPr>
          <w:rFonts w:hint="eastAsia"/>
          <w:color w:val="000000" w:themeColor="text1"/>
        </w:rPr>
        <w:t>速</w:t>
      </w:r>
      <w:r w:rsidRPr="00062C03">
        <w:rPr>
          <w:rFonts w:hint="eastAsia"/>
          <w:color w:val="000000" w:themeColor="text1"/>
        </w:rPr>
        <w:t>辦理撤銷假釋。</w:t>
      </w:r>
    </w:p>
    <w:p w:rsidR="007F7CE4" w:rsidRPr="00062C03" w:rsidRDefault="007F7CE4" w:rsidP="001A3CF6">
      <w:pPr>
        <w:pStyle w:val="4"/>
        <w:rPr>
          <w:color w:val="000000" w:themeColor="text1"/>
        </w:rPr>
      </w:pPr>
      <w:r w:rsidRPr="00062C03">
        <w:rPr>
          <w:rFonts w:hint="eastAsia"/>
          <w:color w:val="000000" w:themeColor="text1"/>
        </w:rPr>
        <w:t>另根據法務部查復，為符合司法院釋字第681號解釋</w:t>
      </w:r>
      <w:r w:rsidRPr="00062C03">
        <w:rPr>
          <w:rStyle w:val="afe"/>
          <w:color w:val="000000" w:themeColor="text1"/>
        </w:rPr>
        <w:footnoteReference w:id="16"/>
      </w:r>
      <w:r w:rsidRPr="00062C03">
        <w:rPr>
          <w:rFonts w:hint="eastAsia"/>
          <w:color w:val="000000" w:themeColor="text1"/>
        </w:rPr>
        <w:t>意旨，於檢察官通知監獄典獄長報請撤銷假釋前，檢察官得通知受假釋人陳述意見；撤銷假釋後，檢察官依刑事訴訟法第484條</w:t>
      </w:r>
      <w:r w:rsidRPr="00062C03">
        <w:rPr>
          <w:rStyle w:val="afe"/>
          <w:color w:val="000000" w:themeColor="text1"/>
        </w:rPr>
        <w:footnoteReference w:id="17"/>
      </w:r>
      <w:r w:rsidRPr="00062C03">
        <w:rPr>
          <w:rFonts w:hint="eastAsia"/>
          <w:color w:val="000000" w:themeColor="text1"/>
        </w:rPr>
        <w:t>規定傳喚、拘提受處分人，並簽發指揮執行書指揮監獄執行其殘刑前，得諭知其向法院聲明異議。</w:t>
      </w:r>
    </w:p>
    <w:p w:rsidR="007F7CE4" w:rsidRPr="00062C03" w:rsidRDefault="007F7CE4" w:rsidP="00DA5095">
      <w:pPr>
        <w:pStyle w:val="3"/>
        <w:rPr>
          <w:color w:val="000000" w:themeColor="text1"/>
        </w:rPr>
      </w:pPr>
      <w:r w:rsidRPr="00062C03">
        <w:rPr>
          <w:rFonts w:hint="eastAsia"/>
          <w:color w:val="000000" w:themeColor="text1"/>
        </w:rPr>
        <w:t>性侵假釋付保護管束之人破壞電子腳鐐而逃匿無蹤時，</w:t>
      </w:r>
      <w:r w:rsidR="00561CA3" w:rsidRPr="00062C03">
        <w:rPr>
          <w:rFonts w:hint="eastAsia"/>
          <w:color w:val="000000" w:themeColor="text1"/>
        </w:rPr>
        <w:t>究竟</w:t>
      </w:r>
      <w:r w:rsidR="008844E9" w:rsidRPr="00062C03">
        <w:rPr>
          <w:rFonts w:hint="eastAsia"/>
          <w:color w:val="000000" w:themeColor="text1"/>
        </w:rPr>
        <w:t>應</w:t>
      </w:r>
      <w:r w:rsidRPr="00062C03">
        <w:rPr>
          <w:rFonts w:hint="eastAsia"/>
          <w:color w:val="000000" w:themeColor="text1"/>
        </w:rPr>
        <w:t>以何種為事由發布通緝，根據本案及前案調查結果彙整，實務</w:t>
      </w:r>
      <w:r w:rsidR="008844E9" w:rsidRPr="00062C03">
        <w:rPr>
          <w:rFonts w:hint="eastAsia"/>
          <w:color w:val="000000" w:themeColor="text1"/>
        </w:rPr>
        <w:t>或理論上</w:t>
      </w:r>
      <w:r w:rsidRPr="00062C03">
        <w:rPr>
          <w:rFonts w:hint="eastAsia"/>
          <w:color w:val="000000" w:themeColor="text1"/>
        </w:rPr>
        <w:t>可能出現4種作法：</w:t>
      </w:r>
    </w:p>
    <w:p w:rsidR="007F7CE4" w:rsidRPr="00062C03" w:rsidRDefault="007F7CE4" w:rsidP="001A3CF6">
      <w:pPr>
        <w:pStyle w:val="4"/>
        <w:rPr>
          <w:color w:val="000000" w:themeColor="text1"/>
        </w:rPr>
      </w:pPr>
      <w:r w:rsidRPr="00062C03">
        <w:rPr>
          <w:rFonts w:hint="eastAsia"/>
          <w:color w:val="000000" w:themeColor="text1"/>
        </w:rPr>
        <w:t>第1種方式：因另案判決確定，依刑事訴訟法第469條，拘提未著發布通緝，此為前案澎湖地檢署作法。</w:t>
      </w:r>
    </w:p>
    <w:p w:rsidR="007F7CE4" w:rsidRPr="00062C03" w:rsidRDefault="007F7CE4" w:rsidP="001A3CF6">
      <w:pPr>
        <w:pStyle w:val="4"/>
        <w:rPr>
          <w:color w:val="000000" w:themeColor="text1"/>
        </w:rPr>
      </w:pPr>
      <w:r w:rsidRPr="00062C03">
        <w:rPr>
          <w:rFonts w:hint="eastAsia"/>
          <w:color w:val="000000" w:themeColor="text1"/>
        </w:rPr>
        <w:t>第2種方式：因破壞電子腳鐐涉嫌刑法第138條之罪，依刑事訴訟法第</w:t>
      </w:r>
      <w:r w:rsidR="005B774B">
        <w:rPr>
          <w:color w:val="000000" w:themeColor="text1"/>
        </w:rPr>
        <w:t>84</w:t>
      </w:r>
      <w:r w:rsidRPr="00062C03">
        <w:rPr>
          <w:rFonts w:hint="eastAsia"/>
          <w:color w:val="000000" w:themeColor="text1"/>
        </w:rPr>
        <w:t>條，拘提未著發布通緝，此為本案臺東地檢署作法。</w:t>
      </w:r>
    </w:p>
    <w:p w:rsidR="007F7CE4" w:rsidRPr="00062C03" w:rsidRDefault="007F7CE4" w:rsidP="001A3CF6">
      <w:pPr>
        <w:pStyle w:val="4"/>
        <w:rPr>
          <w:color w:val="000000" w:themeColor="text1"/>
        </w:rPr>
      </w:pPr>
      <w:r w:rsidRPr="00062C03">
        <w:rPr>
          <w:rFonts w:hint="eastAsia"/>
          <w:color w:val="000000" w:themeColor="text1"/>
        </w:rPr>
        <w:t>第3種方式：報請矯正署核准撤銷假釋後，因執行殘刑未到，依刑事訴訟法第</w:t>
      </w:r>
      <w:r w:rsidRPr="00062C03">
        <w:rPr>
          <w:color w:val="000000" w:themeColor="text1"/>
        </w:rPr>
        <w:t>469</w:t>
      </w:r>
      <w:r w:rsidRPr="00062C03">
        <w:rPr>
          <w:rFonts w:hint="eastAsia"/>
          <w:color w:val="000000" w:themeColor="text1"/>
        </w:rPr>
        <w:t>條發布通緝，此為法務部於前案中約詢時另外提及作法。</w:t>
      </w:r>
    </w:p>
    <w:p w:rsidR="007F7CE4" w:rsidRPr="00062C03" w:rsidRDefault="007F7CE4" w:rsidP="001A3CF6">
      <w:pPr>
        <w:pStyle w:val="4"/>
        <w:rPr>
          <w:color w:val="000000" w:themeColor="text1"/>
        </w:rPr>
      </w:pPr>
      <w:r w:rsidRPr="00062C03">
        <w:rPr>
          <w:rFonts w:hint="eastAsia"/>
          <w:color w:val="000000" w:themeColor="text1"/>
        </w:rPr>
        <w:t>第4種方式：開放保護管束案件通緝，此為前案</w:t>
      </w:r>
      <w:r w:rsidRPr="00062C03">
        <w:rPr>
          <w:rFonts w:hint="eastAsia"/>
          <w:color w:val="000000" w:themeColor="text1"/>
        </w:rPr>
        <w:lastRenderedPageBreak/>
        <w:t>中，澎湖地檢署</w:t>
      </w:r>
      <w:r w:rsidR="00F7769C" w:rsidRPr="00062C03">
        <w:rPr>
          <w:rFonts w:hint="eastAsia"/>
          <w:color w:val="000000" w:themeColor="text1"/>
        </w:rPr>
        <w:t>於前案調查期間時，向本院提出之</w:t>
      </w:r>
      <w:r w:rsidRPr="00062C03">
        <w:rPr>
          <w:rFonts w:hint="eastAsia"/>
          <w:color w:val="000000" w:themeColor="text1"/>
        </w:rPr>
        <w:t>建議作法。</w:t>
      </w:r>
    </w:p>
    <w:p w:rsidR="007F7CE4" w:rsidRPr="00062C03" w:rsidRDefault="007F7CE4" w:rsidP="001A3CF6">
      <w:pPr>
        <w:pStyle w:val="4"/>
        <w:rPr>
          <w:color w:val="000000" w:themeColor="text1"/>
        </w:rPr>
      </w:pPr>
      <w:r w:rsidRPr="00062C03">
        <w:rPr>
          <w:rFonts w:hint="eastAsia"/>
          <w:color w:val="000000" w:themeColor="text1"/>
        </w:rPr>
        <w:t>上開4種方式優劣，簡要分析於下：</w:t>
      </w:r>
    </w:p>
    <w:p w:rsidR="007F7CE4" w:rsidRPr="00062C03" w:rsidRDefault="007F7CE4" w:rsidP="001A3CF6">
      <w:pPr>
        <w:pStyle w:val="5"/>
        <w:rPr>
          <w:color w:val="000000" w:themeColor="text1"/>
        </w:rPr>
      </w:pPr>
      <w:r w:rsidRPr="00062C03">
        <w:rPr>
          <w:rFonts w:hint="eastAsia"/>
          <w:color w:val="000000" w:themeColor="text1"/>
        </w:rPr>
        <w:t>針對第1種方式，當性侵假釋付保護管束之人無涉另案確定判決時，或另案主刑為罰金時，</w:t>
      </w:r>
      <w:r w:rsidR="001263F7" w:rsidRPr="00062C03">
        <w:rPr>
          <w:rFonts w:hint="eastAsia"/>
          <w:color w:val="000000" w:themeColor="text1"/>
        </w:rPr>
        <w:t>不得</w:t>
      </w:r>
      <w:r w:rsidRPr="00062C03">
        <w:rPr>
          <w:rFonts w:hint="eastAsia"/>
          <w:color w:val="000000" w:themeColor="text1"/>
        </w:rPr>
        <w:t>依刑事訴訟法第469條</w:t>
      </w:r>
      <w:r w:rsidR="001263F7" w:rsidRPr="00062C03">
        <w:rPr>
          <w:rFonts w:hint="eastAsia"/>
          <w:color w:val="000000" w:themeColor="text1"/>
        </w:rPr>
        <w:t>規定</w:t>
      </w:r>
      <w:r w:rsidRPr="00062C03">
        <w:rPr>
          <w:rFonts w:hint="eastAsia"/>
          <w:color w:val="000000" w:themeColor="text1"/>
        </w:rPr>
        <w:t>拘提、通緝，</w:t>
      </w:r>
      <w:r w:rsidR="00212F93" w:rsidRPr="00062C03">
        <w:rPr>
          <w:rFonts w:hint="eastAsia"/>
          <w:color w:val="000000" w:themeColor="text1"/>
        </w:rPr>
        <w:t>故</w:t>
      </w:r>
      <w:r w:rsidRPr="00062C03">
        <w:rPr>
          <w:rFonts w:hint="eastAsia"/>
          <w:color w:val="000000" w:themeColor="text1"/>
        </w:rPr>
        <w:t>無法成為通例。</w:t>
      </w:r>
    </w:p>
    <w:p w:rsidR="007F7CE4" w:rsidRPr="00062C03" w:rsidRDefault="007F7CE4" w:rsidP="001A3CF6">
      <w:pPr>
        <w:pStyle w:val="5"/>
        <w:rPr>
          <w:color w:val="000000" w:themeColor="text1"/>
        </w:rPr>
      </w:pPr>
      <w:r w:rsidRPr="00062C03">
        <w:rPr>
          <w:rFonts w:hint="eastAsia"/>
          <w:color w:val="000000" w:themeColor="text1"/>
        </w:rPr>
        <w:t>至於第4種方式，雖保安處分執行法第29條</w:t>
      </w:r>
      <w:r w:rsidRPr="00062C03">
        <w:rPr>
          <w:rStyle w:val="afe"/>
          <w:color w:val="000000" w:themeColor="text1"/>
        </w:rPr>
        <w:footnoteReference w:id="18"/>
      </w:r>
      <w:r w:rsidRPr="00062C03">
        <w:rPr>
          <w:rFonts w:hint="eastAsia"/>
          <w:color w:val="000000" w:themeColor="text1"/>
        </w:rPr>
        <w:t>規定保安處分執行程序中受處分人逃亡，得拘提、通緝之，</w:t>
      </w:r>
      <w:r w:rsidR="00212F93" w:rsidRPr="00062C03">
        <w:rPr>
          <w:rFonts w:hint="eastAsia"/>
          <w:color w:val="000000" w:themeColor="text1"/>
        </w:rPr>
        <w:t>惟</w:t>
      </w:r>
      <w:r w:rsidRPr="00062C03">
        <w:rPr>
          <w:rFonts w:hint="eastAsia"/>
          <w:color w:val="000000" w:themeColor="text1"/>
        </w:rPr>
        <w:t>經法務部查復</w:t>
      </w:r>
      <w:r w:rsidRPr="00062C03">
        <w:rPr>
          <w:rStyle w:val="afe"/>
          <w:rFonts w:hAnsi="標楷體" w:cs="新細明體"/>
          <w:color w:val="000000" w:themeColor="text1"/>
        </w:rPr>
        <w:footnoteReference w:id="19"/>
      </w:r>
      <w:r w:rsidRPr="00062C03">
        <w:rPr>
          <w:rFonts w:hint="eastAsia"/>
          <w:color w:val="000000" w:themeColor="text1"/>
        </w:rPr>
        <w:t>，除認為無法適用該條規定外</w:t>
      </w:r>
      <w:r w:rsidRPr="00062C03">
        <w:rPr>
          <w:rFonts w:hAnsi="標楷體" w:cs="新細明體" w:hint="eastAsia"/>
          <w:color w:val="000000" w:themeColor="text1"/>
        </w:rPr>
        <w:t>，亦認為開放此種方式並無實益，且</w:t>
      </w:r>
      <w:r w:rsidRPr="00062C03">
        <w:rPr>
          <w:rFonts w:hint="eastAsia"/>
          <w:color w:val="000000" w:themeColor="text1"/>
        </w:rPr>
        <w:t>不可行：</w:t>
      </w:r>
    </w:p>
    <w:p w:rsidR="007F7CE4" w:rsidRPr="00062C03" w:rsidRDefault="007F7CE4" w:rsidP="008C0D14">
      <w:pPr>
        <w:pStyle w:val="6"/>
        <w:rPr>
          <w:color w:val="000000" w:themeColor="text1"/>
        </w:rPr>
      </w:pPr>
      <w:r w:rsidRPr="00062C03">
        <w:rPr>
          <w:rFonts w:hint="eastAsia"/>
          <w:color w:val="000000" w:themeColor="text1"/>
        </w:rPr>
        <w:t>不適用保安處分執行法第29條：</w:t>
      </w:r>
    </w:p>
    <w:p w:rsidR="007F7CE4" w:rsidRPr="00062C03" w:rsidRDefault="007F7CE4" w:rsidP="008C0D14">
      <w:pPr>
        <w:pStyle w:val="62"/>
        <w:ind w:left="2381" w:firstLine="680"/>
        <w:rPr>
          <w:color w:val="000000" w:themeColor="text1"/>
        </w:rPr>
      </w:pPr>
      <w:r w:rsidRPr="00062C03">
        <w:rPr>
          <w:rFonts w:hint="eastAsia"/>
          <w:color w:val="000000" w:themeColor="text1"/>
        </w:rPr>
        <w:t>查保安處分執行法第一章通則之規定，探究其立法意旨及各條規範内容，都係針對機構內（即有固定保安處分處所）之保安處分相關執行規定，保護管束屬於機構外之社區處遇，本質與機構内保安處分不同，故保安處分執行法第29條規定受處分人於執行中逃亡者，應立即報告檢察官拘提或通緝，此乃基於拘提到案或緝獲後，可送回原執行保安處分處所繼續執行。然假釋付保護管束人如依該條規定拘提到案或緝獲後，若無再犯他案偵查或核准撤銷假釋執行殘刑，則並無拘束其身體自由之理由，即不能聲請羈押或逕送交監所執行，至多僅能繼續命其執行保護管束，因此該條雖規定在保安處分執行法</w:t>
      </w:r>
      <w:r w:rsidRPr="00062C03">
        <w:rPr>
          <w:rFonts w:hint="eastAsia"/>
          <w:color w:val="000000" w:themeColor="text1"/>
        </w:rPr>
        <w:lastRenderedPageBreak/>
        <w:t>之通則中，解釋上對於違反保護管束之受處分人，仍無逕行適用之餘地。</w:t>
      </w:r>
    </w:p>
    <w:p w:rsidR="007F7CE4" w:rsidRPr="00062C03" w:rsidRDefault="007F7CE4" w:rsidP="008C0D14">
      <w:pPr>
        <w:pStyle w:val="6"/>
        <w:rPr>
          <w:color w:val="000000" w:themeColor="text1"/>
        </w:rPr>
      </w:pPr>
      <w:r w:rsidRPr="00062C03">
        <w:rPr>
          <w:rFonts w:hint="eastAsia"/>
          <w:color w:val="000000" w:themeColor="text1"/>
        </w:rPr>
        <w:t>法律效果分析：</w:t>
      </w:r>
    </w:p>
    <w:p w:rsidR="007F7CE4" w:rsidRPr="00062C03" w:rsidRDefault="007F7CE4" w:rsidP="008C0D14">
      <w:pPr>
        <w:pStyle w:val="7"/>
        <w:rPr>
          <w:color w:val="000000" w:themeColor="text1"/>
        </w:rPr>
      </w:pPr>
      <w:r w:rsidRPr="00062C03">
        <w:rPr>
          <w:rFonts w:hint="eastAsia"/>
          <w:color w:val="000000" w:themeColor="text1"/>
        </w:rPr>
        <w:t xml:space="preserve">依據保安處分執行法第74條之3之規定，受保護管束人違反應遵守事項情節重大者，檢察官得聲請撤銷保護管束或緩刑之宣告。又破壞科技設備監控屬重大違規事件，觀護人即依法報請撤銷假釋或由檢察官向法院聲請撤銷緩刑之宣告，因其破壞科技監控設備，恐有逃亡、藏匿之虞，於假釋或緩刑撤銷後，儘速發監執行為宜。 </w:t>
      </w:r>
    </w:p>
    <w:p w:rsidR="007F7CE4" w:rsidRPr="00062C03" w:rsidRDefault="007F7CE4" w:rsidP="00F7185F">
      <w:pPr>
        <w:pStyle w:val="7"/>
        <w:rPr>
          <w:color w:val="000000" w:themeColor="text1"/>
        </w:rPr>
      </w:pPr>
      <w:r w:rsidRPr="00062C03">
        <w:rPr>
          <w:rFonts w:hint="eastAsia"/>
          <w:color w:val="000000" w:themeColor="text1"/>
        </w:rPr>
        <w:t>以刑法第221條強制性交最重本刑10年為例，一般性侵害案件受刑人平均約執行其本刑之8成，所餘2成刑期假釋付保護管束，亦即保護管束期間約2年。</w:t>
      </w:r>
      <w:r w:rsidR="00212F93" w:rsidRPr="00062C03">
        <w:rPr>
          <w:rFonts w:hint="eastAsia"/>
          <w:color w:val="000000" w:themeColor="text1"/>
        </w:rPr>
        <w:t>如</w:t>
      </w:r>
      <w:r w:rsidRPr="00062C03">
        <w:rPr>
          <w:rFonts w:hint="eastAsia"/>
          <w:color w:val="000000" w:themeColor="text1"/>
        </w:rPr>
        <w:t>開放保護管束案件可以通緝</w:t>
      </w:r>
      <w:r w:rsidR="00F7185F" w:rsidRPr="00062C03">
        <w:rPr>
          <w:rFonts w:hint="eastAsia"/>
          <w:color w:val="000000" w:themeColor="text1"/>
        </w:rPr>
        <w:t>性侵假釋付保護管束之人</w:t>
      </w:r>
      <w:r w:rsidRPr="00062C03">
        <w:rPr>
          <w:rFonts w:hint="eastAsia"/>
          <w:color w:val="000000" w:themeColor="text1"/>
        </w:rPr>
        <w:t>，</w:t>
      </w:r>
      <w:r w:rsidR="00212F93" w:rsidRPr="00062C03">
        <w:rPr>
          <w:rFonts w:hint="eastAsia"/>
          <w:color w:val="000000" w:themeColor="text1"/>
        </w:rPr>
        <w:t>將</w:t>
      </w:r>
      <w:r w:rsidRPr="00062C03">
        <w:rPr>
          <w:rFonts w:hint="eastAsia"/>
          <w:color w:val="000000" w:themeColor="text1"/>
        </w:rPr>
        <w:t>涉</w:t>
      </w:r>
      <w:r w:rsidR="00212F93" w:rsidRPr="00062C03">
        <w:rPr>
          <w:rFonts w:hint="eastAsia"/>
          <w:color w:val="000000" w:themeColor="text1"/>
        </w:rPr>
        <w:t>及</w:t>
      </w:r>
      <w:r w:rsidRPr="00062C03">
        <w:rPr>
          <w:rFonts w:hint="eastAsia"/>
          <w:color w:val="000000" w:themeColor="text1"/>
        </w:rPr>
        <w:t>拘束人身自由</w:t>
      </w:r>
      <w:r w:rsidR="00212F93" w:rsidRPr="00062C03">
        <w:rPr>
          <w:rFonts w:hint="eastAsia"/>
          <w:color w:val="000000" w:themeColor="text1"/>
        </w:rPr>
        <w:t>的人權議題</w:t>
      </w:r>
      <w:r w:rsidRPr="00062C03">
        <w:rPr>
          <w:rFonts w:hint="eastAsia"/>
          <w:color w:val="000000" w:themeColor="text1"/>
        </w:rPr>
        <w:t>，不宜擴張解釋</w:t>
      </w:r>
      <w:r w:rsidR="00F7185F" w:rsidRPr="00062C03">
        <w:rPr>
          <w:rFonts w:hint="eastAsia"/>
          <w:color w:val="000000" w:themeColor="text1"/>
        </w:rPr>
        <w:t>保安處分執行法第29條規定</w:t>
      </w:r>
      <w:r w:rsidRPr="00062C03">
        <w:rPr>
          <w:rFonts w:hint="eastAsia"/>
          <w:color w:val="000000" w:themeColor="text1"/>
        </w:rPr>
        <w:t>。另依刑法76條及第79條之有關緩刑及假釋之效力，規定緩刑期滿未經撤銷者，其刑之宣告失其效力，假釋期滿未經撤銷者，未執行之刑，以已執行論。若以保護管束期間為通緝期間，</w:t>
      </w:r>
      <w:r w:rsidR="001603C2" w:rsidRPr="00062C03">
        <w:rPr>
          <w:rFonts w:hint="eastAsia"/>
          <w:color w:val="000000" w:themeColor="text1"/>
        </w:rPr>
        <w:t>當</w:t>
      </w:r>
      <w:r w:rsidRPr="00062C03">
        <w:rPr>
          <w:rFonts w:hint="eastAsia"/>
          <w:color w:val="000000" w:themeColor="text1"/>
        </w:rPr>
        <w:t>保護管束期</w:t>
      </w:r>
      <w:r w:rsidR="001603C2" w:rsidRPr="00062C03">
        <w:rPr>
          <w:rFonts w:hint="eastAsia"/>
          <w:color w:val="000000" w:themeColor="text1"/>
        </w:rPr>
        <w:t>間屆</w:t>
      </w:r>
      <w:r w:rsidRPr="00062C03">
        <w:rPr>
          <w:rFonts w:hint="eastAsia"/>
          <w:color w:val="000000" w:themeColor="text1"/>
        </w:rPr>
        <w:t>滿</w:t>
      </w:r>
      <w:r w:rsidR="001603C2" w:rsidRPr="00062C03">
        <w:rPr>
          <w:rFonts w:hint="eastAsia"/>
          <w:color w:val="000000" w:themeColor="text1"/>
        </w:rPr>
        <w:t>後</w:t>
      </w:r>
      <w:r w:rsidRPr="00062C03">
        <w:rPr>
          <w:rFonts w:hint="eastAsia"/>
          <w:color w:val="000000" w:themeColor="text1"/>
        </w:rPr>
        <w:t xml:space="preserve">，其通緝恐失所附麗。 </w:t>
      </w:r>
    </w:p>
    <w:p w:rsidR="007F7CE4" w:rsidRPr="00062C03" w:rsidRDefault="007F7CE4" w:rsidP="0039720C">
      <w:pPr>
        <w:pStyle w:val="7"/>
        <w:rPr>
          <w:color w:val="000000" w:themeColor="text1"/>
        </w:rPr>
      </w:pPr>
      <w:r w:rsidRPr="00062C03">
        <w:rPr>
          <w:rFonts w:hint="eastAsia"/>
          <w:color w:val="000000" w:themeColor="text1"/>
        </w:rPr>
        <w:t>就犯罪案件偵查或刑罰執行發布通緝期間為例，破壞科技監控設備同時涉犯刑法第138條(</w:t>
      </w:r>
      <w:r w:rsidR="0039720C" w:rsidRPr="00062C03">
        <w:rPr>
          <w:rFonts w:hint="eastAsia"/>
          <w:color w:val="000000" w:themeColor="text1"/>
        </w:rPr>
        <w:t>損壞公務員職務上掌管之物品罪</w:t>
      </w:r>
      <w:r w:rsidR="00746EAF" w:rsidRPr="00062C03">
        <w:rPr>
          <w:rStyle w:val="afe"/>
          <w:color w:val="000000" w:themeColor="text1"/>
        </w:rPr>
        <w:footnoteReference w:id="20"/>
      </w:r>
      <w:r w:rsidRPr="00062C03">
        <w:rPr>
          <w:rFonts w:hint="eastAsia"/>
          <w:color w:val="000000" w:themeColor="text1"/>
        </w:rPr>
        <w:t>)，最重本刑為5年以下，其追訴權時</w:t>
      </w:r>
      <w:r w:rsidRPr="00062C03">
        <w:rPr>
          <w:rFonts w:hint="eastAsia"/>
          <w:color w:val="000000" w:themeColor="text1"/>
        </w:rPr>
        <w:lastRenderedPageBreak/>
        <w:t>效為20年，偵查中通緝案件追訴權時效進行期間可達20至25年；</w:t>
      </w:r>
      <w:r w:rsidR="0039720C" w:rsidRPr="00062C03">
        <w:rPr>
          <w:rFonts w:hint="eastAsia"/>
          <w:color w:val="000000" w:themeColor="text1"/>
        </w:rPr>
        <w:t>但</w:t>
      </w:r>
      <w:r w:rsidRPr="00062C03">
        <w:rPr>
          <w:rFonts w:hint="eastAsia"/>
          <w:color w:val="000000" w:themeColor="text1"/>
        </w:rPr>
        <w:t>以刑法第221條強制性交最重本刑10年為例，行刑權時效可達40年，通緝案件之行刑權時效進行期間可達40至50年</w:t>
      </w:r>
      <w:r w:rsidR="00212F93" w:rsidRPr="00062C03">
        <w:rPr>
          <w:rFonts w:hint="eastAsia"/>
          <w:color w:val="000000" w:themeColor="text1"/>
        </w:rPr>
        <w:t>。</w:t>
      </w:r>
      <w:r w:rsidRPr="00062C03">
        <w:rPr>
          <w:rFonts w:hint="eastAsia"/>
          <w:color w:val="000000" w:themeColor="text1"/>
        </w:rPr>
        <w:t>相較於</w:t>
      </w:r>
      <w:r w:rsidR="0039720C" w:rsidRPr="00062C03">
        <w:rPr>
          <w:rFonts w:hint="eastAsia"/>
          <w:color w:val="000000" w:themeColor="text1"/>
        </w:rPr>
        <w:t>《2》</w:t>
      </w:r>
      <w:r w:rsidR="00212F93" w:rsidRPr="00062C03">
        <w:rPr>
          <w:rFonts w:hint="eastAsia"/>
          <w:color w:val="000000" w:themeColor="text1"/>
        </w:rPr>
        <w:t>如考慮開放</w:t>
      </w:r>
      <w:r w:rsidRPr="00062C03">
        <w:rPr>
          <w:rFonts w:hint="eastAsia"/>
          <w:color w:val="000000" w:themeColor="text1"/>
        </w:rPr>
        <w:t>保護管束案件開放通緝，</w:t>
      </w:r>
      <w:r w:rsidR="0039720C" w:rsidRPr="00062C03">
        <w:rPr>
          <w:rFonts w:hint="eastAsia"/>
          <w:color w:val="000000" w:themeColor="text1"/>
        </w:rPr>
        <w:t>本節《3》</w:t>
      </w:r>
      <w:r w:rsidR="00212F93" w:rsidRPr="00062C03">
        <w:rPr>
          <w:rFonts w:hint="eastAsia"/>
          <w:color w:val="000000" w:themeColor="text1"/>
        </w:rPr>
        <w:t>將</w:t>
      </w:r>
      <w:r w:rsidRPr="00062C03">
        <w:rPr>
          <w:rFonts w:hint="eastAsia"/>
          <w:color w:val="000000" w:themeColor="text1"/>
        </w:rPr>
        <w:t>更具有達到通緝之目的及通緝效果之安定性。是以，以受保護管束人涉犯</w:t>
      </w:r>
      <w:r w:rsidR="0039720C" w:rsidRPr="00062C03">
        <w:rPr>
          <w:rFonts w:hint="eastAsia"/>
          <w:color w:val="000000" w:themeColor="text1"/>
        </w:rPr>
        <w:t>刑法第138條之</w:t>
      </w:r>
      <w:r w:rsidRPr="00062C03">
        <w:rPr>
          <w:rFonts w:hint="eastAsia"/>
          <w:color w:val="000000" w:themeColor="text1"/>
        </w:rPr>
        <w:t xml:space="preserve">刑事案件或撤銷假釋執行殘刑時，有逃亡、藏匿之事實，再依法發布通緝為宜。 </w:t>
      </w:r>
    </w:p>
    <w:p w:rsidR="007F7CE4" w:rsidRPr="00062C03" w:rsidRDefault="007F7CE4" w:rsidP="008C0D14">
      <w:pPr>
        <w:pStyle w:val="6"/>
        <w:rPr>
          <w:color w:val="000000" w:themeColor="text1"/>
        </w:rPr>
      </w:pPr>
      <w:r w:rsidRPr="00062C03">
        <w:rPr>
          <w:rFonts w:hint="eastAsia"/>
          <w:color w:val="000000" w:themeColor="text1"/>
        </w:rPr>
        <w:t>實務運作效益評估：</w:t>
      </w:r>
    </w:p>
    <w:p w:rsidR="007F7CE4" w:rsidRPr="00062C03" w:rsidRDefault="007F7CE4" w:rsidP="008C0D14">
      <w:pPr>
        <w:pStyle w:val="7"/>
        <w:rPr>
          <w:color w:val="000000" w:themeColor="text1"/>
        </w:rPr>
      </w:pPr>
      <w:r w:rsidRPr="00062C03">
        <w:rPr>
          <w:rFonts w:hint="eastAsia"/>
          <w:color w:val="000000" w:themeColor="text1"/>
        </w:rPr>
        <w:t>如</w:t>
      </w:r>
      <w:r w:rsidR="00212F93" w:rsidRPr="00062C03">
        <w:rPr>
          <w:rFonts w:hint="eastAsia"/>
          <w:color w:val="000000" w:themeColor="text1"/>
        </w:rPr>
        <w:t>考慮</w:t>
      </w:r>
      <w:r w:rsidRPr="00062C03">
        <w:rPr>
          <w:rFonts w:hint="eastAsia"/>
          <w:color w:val="000000" w:themeColor="text1"/>
        </w:rPr>
        <w:t xml:space="preserve">開放保護管束案件可以通緝： </w:t>
      </w:r>
    </w:p>
    <w:p w:rsidR="007F7CE4" w:rsidRPr="00062C03" w:rsidRDefault="007F7CE4" w:rsidP="008C0D14">
      <w:pPr>
        <w:pStyle w:val="8"/>
        <w:rPr>
          <w:color w:val="000000" w:themeColor="text1"/>
        </w:rPr>
      </w:pPr>
      <w:r w:rsidRPr="00062C03">
        <w:rPr>
          <w:rFonts w:hint="eastAsia"/>
          <w:color w:val="000000" w:themeColor="text1"/>
        </w:rPr>
        <w:t>性侵害犯罪受保護管束人經觀護人查證有破壞科技監控設備之行為，簽報檢察官發布通緝，因受監控人無另案偵查或尚未撤銷假釋/撤銷緩刑宣告之本刑，於緝獲到案後，不能拘束其人身自由，僅能命其報到後依法繼續執行其保護管束，因其尚未撤銷假釋不能逕送監執行，實無通緝實益。</w:t>
      </w:r>
    </w:p>
    <w:p w:rsidR="007F7CE4" w:rsidRPr="00062C03" w:rsidRDefault="007F7CE4" w:rsidP="008C0D14">
      <w:pPr>
        <w:pStyle w:val="8"/>
        <w:rPr>
          <w:color w:val="000000" w:themeColor="text1"/>
        </w:rPr>
      </w:pPr>
      <w:r w:rsidRPr="00062C03">
        <w:rPr>
          <w:rFonts w:hint="eastAsia"/>
          <w:color w:val="000000" w:themeColor="text1"/>
        </w:rPr>
        <w:t>受保護管束人發布通緝後，直至緝獲到案期間，保護管束案件無法執行，然觀護人明知受保護管束人有重大違規事項，應依法報請撤銷其假釋或由檢察官向法院聲請撤銷緩刑宣告以為適當，</w:t>
      </w:r>
      <w:r w:rsidR="0017485E" w:rsidRPr="00062C03">
        <w:rPr>
          <w:rFonts w:hint="eastAsia"/>
          <w:color w:val="000000" w:themeColor="text1"/>
        </w:rPr>
        <w:t>但</w:t>
      </w:r>
      <w:r w:rsidRPr="00062C03">
        <w:rPr>
          <w:rFonts w:hint="eastAsia"/>
          <w:color w:val="000000" w:themeColor="text1"/>
        </w:rPr>
        <w:t>為避免通緝案件失所附麗，僅能暫緩報</w:t>
      </w:r>
      <w:r w:rsidRPr="00062C03">
        <w:rPr>
          <w:rFonts w:hint="eastAsia"/>
          <w:color w:val="000000" w:themeColor="text1"/>
        </w:rPr>
        <w:lastRenderedPageBreak/>
        <w:t xml:space="preserve">請撤銷其假釋或緩刑付保護管束，實無益於觀護人之法定職責及案件執行。 </w:t>
      </w:r>
    </w:p>
    <w:p w:rsidR="007F7CE4" w:rsidRPr="00062C03" w:rsidRDefault="0017485E" w:rsidP="008C0D14">
      <w:pPr>
        <w:pStyle w:val="7"/>
        <w:rPr>
          <w:color w:val="000000" w:themeColor="text1"/>
        </w:rPr>
      </w:pPr>
      <w:r w:rsidRPr="00062C03">
        <w:rPr>
          <w:rFonts w:hint="eastAsia"/>
          <w:color w:val="000000" w:themeColor="text1"/>
        </w:rPr>
        <w:t>如考慮</w:t>
      </w:r>
      <w:r w:rsidR="007F7CE4" w:rsidRPr="00062C03">
        <w:rPr>
          <w:rFonts w:hint="eastAsia"/>
          <w:color w:val="000000" w:themeColor="text1"/>
        </w:rPr>
        <w:t>不開放保護管束案件可以通緝：性侵害犯罪受保護管束人經觀護人查證有破壞科技監控設備之行為，觀護人應報告檢察官。破壞科技監控設備涉犯刑法第138條</w:t>
      </w:r>
      <w:r w:rsidR="00F44EF2" w:rsidRPr="00062C03">
        <w:rPr>
          <w:rFonts w:hint="eastAsia"/>
          <w:color w:val="000000" w:themeColor="text1"/>
        </w:rPr>
        <w:t>損壞公務員職務上掌管之物品罪</w:t>
      </w:r>
      <w:r w:rsidR="007F7CE4" w:rsidRPr="00062C03">
        <w:rPr>
          <w:rFonts w:hint="eastAsia"/>
          <w:color w:val="000000" w:themeColor="text1"/>
        </w:rPr>
        <w:t>，檢察官於知悉科技監控設備遭到破壞後，得依據刑事訴訟法第228條第1項規定：檢察官因告訴、告發、自首或其他情事知有犯罪嫌疑者，即應開始偵查，即檢察官得依刑事訴訟法相關規定進行傳喚、拘提或通緝。此時觀護人應辦理報請撤銷假釋或由檢察官向法院聲請撤銷緩刑之宣告事宜，並於撤銷假釋後，啟動受保護管束人無縫銜接入監之程序。</w:t>
      </w:r>
    </w:p>
    <w:p w:rsidR="007F7CE4" w:rsidRPr="00062C03" w:rsidRDefault="007F7CE4" w:rsidP="001A3CF6">
      <w:pPr>
        <w:pStyle w:val="5"/>
        <w:rPr>
          <w:color w:val="000000" w:themeColor="text1"/>
        </w:rPr>
      </w:pPr>
      <w:r w:rsidRPr="00062C03">
        <w:rPr>
          <w:rFonts w:hint="eastAsia"/>
          <w:color w:val="000000" w:themeColor="text1"/>
        </w:rPr>
        <w:t>第2種方式固屬正辦，但誠如前述《3》說明</w:t>
      </w:r>
      <w:r w:rsidR="007B391E" w:rsidRPr="00062C03">
        <w:rPr>
          <w:rFonts w:hint="eastAsia"/>
          <w:color w:val="000000" w:themeColor="text1"/>
        </w:rPr>
        <w:t>，</w:t>
      </w:r>
      <w:r w:rsidRPr="00062C03">
        <w:rPr>
          <w:rFonts w:hint="eastAsia"/>
          <w:color w:val="000000" w:themeColor="text1"/>
        </w:rPr>
        <w:t>因性侵假釋付保護管束之人違反刑法第138條之罪，其追訴權時效，通常短於原本性侵害犯罪之行刑權時效，當該性侵假釋付保護管束之人始終無法緝獲時，如僅以第2種方式發布通緝，當其案件已罹於追訴權時效時，學理上認為</w:t>
      </w:r>
      <w:r w:rsidRPr="00062C03">
        <w:rPr>
          <w:rStyle w:val="afe"/>
          <w:color w:val="000000" w:themeColor="text1"/>
          <w:szCs w:val="32"/>
        </w:rPr>
        <w:footnoteReference w:id="21"/>
      </w:r>
      <w:r w:rsidRPr="00062C03">
        <w:rPr>
          <w:rFonts w:hint="eastAsia"/>
          <w:color w:val="000000" w:themeColor="text1"/>
        </w:rPr>
        <w:t>係屬刑事訴訟法第87條第3項</w:t>
      </w:r>
      <w:r w:rsidRPr="00062C03">
        <w:rPr>
          <w:rStyle w:val="afe"/>
          <w:color w:val="000000" w:themeColor="text1"/>
          <w:szCs w:val="32"/>
        </w:rPr>
        <w:footnoteReference w:id="22"/>
      </w:r>
      <w:r w:rsidRPr="00062C03">
        <w:rPr>
          <w:rFonts w:hint="eastAsia"/>
          <w:color w:val="000000" w:themeColor="text1"/>
        </w:rPr>
        <w:t>規定之「顯無必要」，應撤銷通緝。相對地，第3種方式亦屬正辦，但由於報請假釋流程相當繁瑣，縱使有前述「無縫撤銷機制」，根據本案及前案之實務運作</w:t>
      </w:r>
      <w:r w:rsidR="00FD366E" w:rsidRPr="00062C03">
        <w:rPr>
          <w:rFonts w:hint="eastAsia"/>
          <w:color w:val="000000" w:themeColor="text1"/>
        </w:rPr>
        <w:t>實證結果</w:t>
      </w:r>
      <w:r w:rsidRPr="00062C03">
        <w:rPr>
          <w:rFonts w:hint="eastAsia"/>
          <w:color w:val="000000" w:themeColor="text1"/>
        </w:rPr>
        <w:t>，仍須1天作業時間，無法</w:t>
      </w:r>
      <w:r w:rsidR="00FD366E" w:rsidRPr="00062C03">
        <w:rPr>
          <w:rFonts w:hint="eastAsia"/>
          <w:color w:val="000000" w:themeColor="text1"/>
        </w:rPr>
        <w:t>迅速</w:t>
      </w:r>
      <w:r w:rsidRPr="00062C03">
        <w:rPr>
          <w:rFonts w:hint="eastAsia"/>
          <w:color w:val="000000" w:themeColor="text1"/>
        </w:rPr>
        <w:t>透過發布通緝，及時請檢察或司法警察機關協助。</w:t>
      </w:r>
    </w:p>
    <w:p w:rsidR="007F7CE4" w:rsidRPr="00062C03" w:rsidRDefault="006D085C" w:rsidP="00963943">
      <w:pPr>
        <w:pStyle w:val="5"/>
        <w:numPr>
          <w:ilvl w:val="0"/>
          <w:numId w:val="0"/>
        </w:numPr>
        <w:ind w:left="1985"/>
        <w:rPr>
          <w:color w:val="000000" w:themeColor="text1"/>
        </w:rPr>
      </w:pPr>
      <w:r w:rsidRPr="00062C03">
        <w:rPr>
          <w:rFonts w:hint="eastAsia"/>
          <w:color w:val="000000" w:themeColor="text1"/>
        </w:rPr>
        <w:lastRenderedPageBreak/>
        <w:t>因此</w:t>
      </w:r>
      <w:r w:rsidR="007B391E" w:rsidRPr="00062C03">
        <w:rPr>
          <w:rFonts w:hint="eastAsia"/>
          <w:color w:val="000000" w:themeColor="text1"/>
        </w:rPr>
        <w:t>本院初步認為，</w:t>
      </w:r>
      <w:r w:rsidR="001263F7" w:rsidRPr="00062C03">
        <w:rPr>
          <w:rFonts w:hint="eastAsia"/>
          <w:color w:val="000000" w:themeColor="text1"/>
        </w:rPr>
        <w:t>如</w:t>
      </w:r>
      <w:r w:rsidRPr="00062C03">
        <w:rPr>
          <w:rFonts w:hint="eastAsia"/>
          <w:color w:val="000000" w:themeColor="text1"/>
        </w:rPr>
        <w:t>以</w:t>
      </w:r>
      <w:r w:rsidR="007F7CE4" w:rsidRPr="00062C03">
        <w:rPr>
          <w:rFonts w:hint="eastAsia"/>
          <w:color w:val="000000" w:themeColor="text1"/>
        </w:rPr>
        <w:t>第2種與第3種方式分別發布通緝，除可</w:t>
      </w:r>
      <w:r w:rsidR="00FD366E" w:rsidRPr="00062C03">
        <w:rPr>
          <w:rFonts w:hint="eastAsia"/>
          <w:color w:val="000000" w:themeColor="text1"/>
        </w:rPr>
        <w:t>迅速</w:t>
      </w:r>
      <w:r w:rsidR="007F7CE4" w:rsidRPr="00062C03">
        <w:rPr>
          <w:rFonts w:hint="eastAsia"/>
          <w:color w:val="000000" w:themeColor="text1"/>
        </w:rPr>
        <w:t>發布通緝外，亦可維繫較長之通緝效力，至於緝獲時，可一併處理兩案之撤銷通緝</w:t>
      </w:r>
      <w:r w:rsidR="007B391E" w:rsidRPr="00062C03">
        <w:rPr>
          <w:rFonts w:hint="eastAsia"/>
          <w:color w:val="000000" w:themeColor="text1"/>
        </w:rPr>
        <w:t>。法務部代表於本案詢問會議時，亦</w:t>
      </w:r>
      <w:r w:rsidR="00FD366E" w:rsidRPr="00062C03">
        <w:rPr>
          <w:rFonts w:hint="eastAsia"/>
          <w:color w:val="000000" w:themeColor="text1"/>
        </w:rPr>
        <w:t>表示此結論妥適可行</w:t>
      </w:r>
      <w:r w:rsidR="007F7CE4" w:rsidRPr="00062C03">
        <w:rPr>
          <w:rFonts w:hint="eastAsia"/>
          <w:color w:val="000000" w:themeColor="text1"/>
        </w:rPr>
        <w:t>。又</w:t>
      </w:r>
      <w:r w:rsidR="007B391E" w:rsidRPr="00062C03">
        <w:rPr>
          <w:rFonts w:hint="eastAsia"/>
          <w:color w:val="000000" w:themeColor="text1"/>
        </w:rPr>
        <w:t>「</w:t>
      </w:r>
      <w:r w:rsidR="007F7CE4" w:rsidRPr="00062C03">
        <w:rPr>
          <w:rFonts w:hint="eastAsia"/>
          <w:color w:val="000000" w:themeColor="text1"/>
        </w:rPr>
        <w:t>拘提未著</w:t>
      </w:r>
      <w:r w:rsidR="007B391E" w:rsidRPr="00062C03">
        <w:rPr>
          <w:rFonts w:hint="eastAsia"/>
          <w:color w:val="000000" w:themeColor="text1"/>
        </w:rPr>
        <w:t>」</w:t>
      </w:r>
      <w:r w:rsidR="007F7CE4" w:rsidRPr="00062C03">
        <w:rPr>
          <w:rFonts w:hint="eastAsia"/>
          <w:color w:val="000000" w:themeColor="text1"/>
        </w:rPr>
        <w:t>僅為實務上通緝「逃亡或藏匿」之認定方式，</w:t>
      </w:r>
      <w:r w:rsidR="00FD366E" w:rsidRPr="00062C03">
        <w:rPr>
          <w:rFonts w:hint="eastAsia"/>
          <w:color w:val="000000" w:themeColor="text1"/>
        </w:rPr>
        <w:t>實務上</w:t>
      </w:r>
      <w:r w:rsidR="007F7CE4" w:rsidRPr="00062C03">
        <w:rPr>
          <w:rFonts w:hint="eastAsia"/>
          <w:color w:val="000000" w:themeColor="text1"/>
        </w:rPr>
        <w:t>通緝前未必須均先經拘提</w:t>
      </w:r>
      <w:r w:rsidR="00FD366E" w:rsidRPr="00062C03">
        <w:rPr>
          <w:rFonts w:hint="eastAsia"/>
          <w:color w:val="000000" w:themeColor="text1"/>
        </w:rPr>
        <w:t>程序</w:t>
      </w:r>
      <w:r w:rsidR="007F7CE4" w:rsidRPr="00062C03">
        <w:rPr>
          <w:rFonts w:hint="eastAsia"/>
          <w:color w:val="000000" w:themeColor="text1"/>
        </w:rPr>
        <w:t>，例如在另案辦理通緝已</w:t>
      </w:r>
      <w:r w:rsidR="001263F7" w:rsidRPr="00062C03">
        <w:rPr>
          <w:rFonts w:hint="eastAsia"/>
          <w:color w:val="000000" w:themeColor="text1"/>
        </w:rPr>
        <w:t>有</w:t>
      </w:r>
      <w:r w:rsidR="007F7CE4" w:rsidRPr="00062C03">
        <w:rPr>
          <w:rFonts w:hint="eastAsia"/>
          <w:color w:val="000000" w:themeColor="text1"/>
        </w:rPr>
        <w:t>拘提未著</w:t>
      </w:r>
      <w:r w:rsidR="001263F7" w:rsidRPr="00062C03">
        <w:rPr>
          <w:rFonts w:hint="eastAsia"/>
          <w:color w:val="000000" w:themeColor="text1"/>
        </w:rPr>
        <w:t>情形</w:t>
      </w:r>
      <w:r w:rsidR="007F7CE4" w:rsidRPr="00062C03">
        <w:rPr>
          <w:rFonts w:hint="eastAsia"/>
          <w:color w:val="000000" w:themeColor="text1"/>
        </w:rPr>
        <w:t>時，</w:t>
      </w:r>
      <w:r w:rsidR="00FD366E" w:rsidRPr="00062C03">
        <w:rPr>
          <w:rFonts w:hint="eastAsia"/>
          <w:color w:val="000000" w:themeColor="text1"/>
        </w:rPr>
        <w:t>如被告再犯案時，</w:t>
      </w:r>
      <w:r w:rsidR="007F7CE4" w:rsidRPr="00062C03">
        <w:rPr>
          <w:rFonts w:hint="eastAsia"/>
          <w:color w:val="000000" w:themeColor="text1"/>
        </w:rPr>
        <w:t>未經拘提亦得為通緝。</w:t>
      </w:r>
    </w:p>
    <w:p w:rsidR="007F7CE4" w:rsidRPr="00062C03" w:rsidRDefault="007F7CE4" w:rsidP="001A3CF6">
      <w:pPr>
        <w:pStyle w:val="4"/>
        <w:rPr>
          <w:color w:val="000000" w:themeColor="text1"/>
        </w:rPr>
      </w:pPr>
      <w:r w:rsidRPr="00062C03">
        <w:rPr>
          <w:rFonts w:hint="eastAsia"/>
          <w:color w:val="000000" w:themeColor="text1"/>
        </w:rPr>
        <w:t>綜合考量通緝效力維繫及為使通緝即時發布，宜以破壞電子腳鐐違反刑法第138條為原因案件，於符合刑事訴訟法第84條規定時，發布通緝；另</w:t>
      </w:r>
      <w:r w:rsidR="007B391E" w:rsidRPr="00062C03">
        <w:rPr>
          <w:rFonts w:hint="eastAsia"/>
          <w:color w:val="000000" w:themeColor="text1"/>
        </w:rPr>
        <w:t>外，亦</w:t>
      </w:r>
      <w:r w:rsidRPr="00062C03">
        <w:rPr>
          <w:rFonts w:hint="eastAsia"/>
          <w:color w:val="000000" w:themeColor="text1"/>
        </w:rPr>
        <w:t>宜以撤銷假釋執行原妨害性自主罪章之殘刑執行為原因案件，於符合刑事訴訟法第469條規定時，發布通緝；兩者依「檢察機關辦理通緝案件應行注意事項」第9點</w:t>
      </w:r>
      <w:r w:rsidRPr="00062C03">
        <w:rPr>
          <w:rStyle w:val="afe"/>
          <w:rFonts w:hAnsi="標楷體"/>
          <w:color w:val="000000" w:themeColor="text1"/>
        </w:rPr>
        <w:footnoteReference w:id="23"/>
      </w:r>
      <w:r w:rsidRPr="00062C03">
        <w:rPr>
          <w:rFonts w:hint="eastAsia"/>
          <w:color w:val="000000" w:themeColor="text1"/>
        </w:rPr>
        <w:t>規定，分別通緝。如此不僅符合實務上需要，也分別有其遵守法定程序，符合前述憲法第8條、公政公約第9條第1項等規定，落實干預人身自由時之正當法律程序</w:t>
      </w:r>
      <w:r w:rsidRPr="00062C03">
        <w:rPr>
          <w:rStyle w:val="afe"/>
          <w:color w:val="000000" w:themeColor="text1"/>
        </w:rPr>
        <w:footnoteReference w:id="24"/>
      </w:r>
      <w:r w:rsidRPr="00062C03">
        <w:rPr>
          <w:rFonts w:hint="eastAsia"/>
          <w:color w:val="000000" w:themeColor="text1"/>
        </w:rPr>
        <w:t>。</w:t>
      </w:r>
    </w:p>
    <w:p w:rsidR="007F7CE4" w:rsidRPr="00062C03" w:rsidRDefault="007F7CE4" w:rsidP="00194479">
      <w:pPr>
        <w:pStyle w:val="3"/>
        <w:rPr>
          <w:color w:val="000000" w:themeColor="text1"/>
        </w:rPr>
      </w:pPr>
      <w:r w:rsidRPr="00062C03">
        <w:rPr>
          <w:rFonts w:hint="eastAsia"/>
          <w:color w:val="000000" w:themeColor="text1"/>
        </w:rPr>
        <w:t>綜上，</w:t>
      </w:r>
      <w:r w:rsidR="00194479" w:rsidRPr="00062C03">
        <w:rPr>
          <w:rFonts w:hint="eastAsia"/>
          <w:color w:val="000000" w:themeColor="text1"/>
        </w:rPr>
        <w:t>拘提或逮捕均為限制人身自由之干預手段，目的在於保全對被告刑罰權實現，依憲法第8條、司法院釋字第392號解釋，及公政公約第9條規定，拘捕過程須遵守正當法律程序，且檢察及警察機關不得流於恣意。通緝為具「廣泛囑託」拘提類型，自應遵守上開規定。對於性侵假釋付保護管束之</w:t>
      </w:r>
      <w:r w:rsidR="00194479" w:rsidRPr="00062C03">
        <w:rPr>
          <w:rFonts w:hint="eastAsia"/>
          <w:color w:val="000000" w:themeColor="text1"/>
        </w:rPr>
        <w:lastRenderedPageBreak/>
        <w:t>人，於假釋期間破壞電子腳鐐者，除得依涉嫌刑法第138條</w:t>
      </w:r>
      <w:r w:rsidR="00DC0A67">
        <w:rPr>
          <w:rFonts w:hint="eastAsia"/>
          <w:color w:val="000000" w:themeColor="text1"/>
        </w:rPr>
        <w:t>損壞公務員職務上掌管之物品罪</w:t>
      </w:r>
      <w:r w:rsidR="00194479" w:rsidRPr="00062C03">
        <w:rPr>
          <w:rFonts w:hint="eastAsia"/>
          <w:color w:val="000000" w:themeColor="text1"/>
        </w:rPr>
        <w:t>進行偵查程序外，尚得依保安處分執行法第74條之3第2項規定，因其違反保護管束應遵守事項，而撤銷假釋，執行殘刑。如其破壞電子腳鐐而逃匿時，應以何者為事由發布通緝，根據本案及前案調查結果彙整，實務或理論上可能出現4種作法，各有所本。其中以破壞電子腳鐐違反刑法第138條為原因案件，於符合刑事訴訟法第84條規定時，發布通緝，為最迅速；惟為維繫通緝效力，如另以</w:t>
      </w:r>
      <w:r w:rsidR="00194479" w:rsidRPr="00062C03">
        <w:rPr>
          <w:rFonts w:hAnsi="標楷體" w:hint="eastAsia"/>
          <w:color w:val="000000" w:themeColor="text1"/>
        </w:rPr>
        <w:t>撤銷假釋執行原妨害性自主罪章之殘刑執行為原因案件，於符合刑事訴訟法第469條規定時，亦發布通緝，即依「檢察機關辦理通緝案件應行注意事項」第9點規定，採兩種方式，分別通緝，最能符合實務需求考量，亦可落實正當法律程序要求。</w:t>
      </w:r>
    </w:p>
    <w:p w:rsidR="007F7CE4" w:rsidRPr="00062C03" w:rsidRDefault="007F7CE4" w:rsidP="00050D05">
      <w:pPr>
        <w:pStyle w:val="2"/>
        <w:numPr>
          <w:ilvl w:val="1"/>
          <w:numId w:val="36"/>
        </w:numPr>
        <w:rPr>
          <w:b/>
          <w:color w:val="000000" w:themeColor="text1"/>
        </w:rPr>
      </w:pPr>
      <w:r w:rsidRPr="00062C03">
        <w:rPr>
          <w:rFonts w:hint="eastAsia"/>
          <w:b/>
          <w:color w:val="000000" w:themeColor="text1"/>
        </w:rPr>
        <w:t>本案對潘姓性侵假釋付保護管束之人以違反刑法第138條為通緝事由，同日發布通緝，相較於</w:t>
      </w:r>
      <w:r w:rsidRPr="00062C03">
        <w:rPr>
          <w:rFonts w:hAnsi="標楷體" w:hint="eastAsia"/>
          <w:b/>
          <w:color w:val="000000" w:themeColor="text1"/>
        </w:rPr>
        <w:t>前案以蕭姓</w:t>
      </w:r>
      <w:r w:rsidRPr="00062C03">
        <w:rPr>
          <w:rFonts w:hint="eastAsia"/>
          <w:b/>
          <w:color w:val="000000" w:themeColor="text1"/>
        </w:rPr>
        <w:t>性侵假釋付保護管束之人，另犯竊盜罪判決確定為事由發布通緝，於破壞電子腳鐐後隔日始發布通緝，較為迅速。雖兩案均於破壞電子腳鐐翌日即緝獲犯嫌，但依前案作法，如無另外刑事判決確定案件，恐將落入性侵假釋付保護管束之人逃匿無法通緝之</w:t>
      </w:r>
      <w:r w:rsidR="004E1628" w:rsidRPr="00062C03">
        <w:rPr>
          <w:rFonts w:hint="eastAsia"/>
          <w:b/>
          <w:color w:val="000000" w:themeColor="text1"/>
        </w:rPr>
        <w:t>疑慮，至於前案澎湖地檢署因而提出開放保護管束案件</w:t>
      </w:r>
      <w:r w:rsidR="0048122E" w:rsidRPr="00062C03">
        <w:rPr>
          <w:rFonts w:hint="eastAsia"/>
          <w:b/>
          <w:color w:val="000000" w:themeColor="text1"/>
        </w:rPr>
        <w:t>中亦可對逃逸者通緝之建議作法</w:t>
      </w:r>
      <w:r w:rsidR="004E1628" w:rsidRPr="00062C03">
        <w:rPr>
          <w:rFonts w:hint="eastAsia"/>
          <w:b/>
          <w:color w:val="000000" w:themeColor="text1"/>
        </w:rPr>
        <w:t>，亦屬不可行，已</w:t>
      </w:r>
      <w:r w:rsidRPr="00062C03">
        <w:rPr>
          <w:rFonts w:hint="eastAsia"/>
          <w:b/>
          <w:color w:val="000000" w:themeColor="text1"/>
        </w:rPr>
        <w:t>如前述。因此，就兩案歧異作法，允請法務部研議分析其優劣，作為其他檢察官辦案參考。</w:t>
      </w:r>
    </w:p>
    <w:p w:rsidR="007F7CE4" w:rsidRPr="00062C03" w:rsidRDefault="007F7CE4" w:rsidP="002B0FB9">
      <w:pPr>
        <w:pStyle w:val="3"/>
        <w:rPr>
          <w:color w:val="000000" w:themeColor="text1"/>
        </w:rPr>
      </w:pPr>
      <w:r w:rsidRPr="00062C03">
        <w:rPr>
          <w:rFonts w:hint="eastAsia"/>
          <w:color w:val="000000" w:themeColor="text1"/>
        </w:rPr>
        <w:t>本案潘員於108年1月10日16時破壞科技監控設備後，臺東地檢署檢警追緝過程：</w:t>
      </w:r>
    </w:p>
    <w:p w:rsidR="007F7CE4" w:rsidRPr="00062C03" w:rsidRDefault="007F7CE4" w:rsidP="001D6222">
      <w:pPr>
        <w:pStyle w:val="32"/>
        <w:ind w:left="1361" w:firstLine="680"/>
        <w:rPr>
          <w:color w:val="000000" w:themeColor="text1"/>
        </w:rPr>
      </w:pPr>
      <w:r w:rsidRPr="00062C03">
        <w:rPr>
          <w:rFonts w:hint="eastAsia"/>
          <w:color w:val="000000" w:themeColor="text1"/>
        </w:rPr>
        <w:t>臺東地檢署觀護人接獲異常之監控訊號後，立即進行判讀及查證，認潘員設備異常，立即以電話</w:t>
      </w:r>
      <w:r w:rsidRPr="00062C03">
        <w:rPr>
          <w:rFonts w:hint="eastAsia"/>
          <w:color w:val="000000" w:themeColor="text1"/>
        </w:rPr>
        <w:lastRenderedPageBreak/>
        <w:t>與相關單位及人員聯繫，並緊急處理，過程摘要如下：</w:t>
      </w:r>
    </w:p>
    <w:p w:rsidR="005E2909" w:rsidRPr="00062C03" w:rsidRDefault="005E2909" w:rsidP="005E2909">
      <w:pPr>
        <w:pStyle w:val="a3"/>
        <w:ind w:left="1280" w:firstLine="640"/>
        <w:rPr>
          <w:color w:val="000000" w:themeColor="text1"/>
        </w:rPr>
      </w:pPr>
      <w:r w:rsidRPr="00062C03">
        <w:rPr>
          <w:rFonts w:hint="eastAsia"/>
          <w:color w:val="000000" w:themeColor="text1"/>
        </w:rPr>
        <w:t>本案發生後臺東地檢署處置作為</w:t>
      </w:r>
    </w:p>
    <w:tbl>
      <w:tblPr>
        <w:tblStyle w:val="af6"/>
        <w:tblW w:w="0" w:type="auto"/>
        <w:tblLook w:val="04A0" w:firstRow="1" w:lastRow="0" w:firstColumn="1" w:lastColumn="0" w:noHBand="0" w:noVBand="1"/>
      </w:tblPr>
      <w:tblGrid>
        <w:gridCol w:w="1413"/>
        <w:gridCol w:w="7421"/>
      </w:tblGrid>
      <w:tr w:rsidR="007F7CE4" w:rsidRPr="00062C03" w:rsidTr="006D6637">
        <w:tc>
          <w:tcPr>
            <w:tcW w:w="1413" w:type="dxa"/>
          </w:tcPr>
          <w:p w:rsidR="007F7CE4" w:rsidRPr="00062C03" w:rsidRDefault="007F7CE4" w:rsidP="006D6637">
            <w:pPr>
              <w:jc w:val="distribute"/>
              <w:rPr>
                <w:color w:val="000000" w:themeColor="text1"/>
              </w:rPr>
            </w:pPr>
            <w:r w:rsidRPr="00062C03">
              <w:rPr>
                <w:rFonts w:hint="eastAsia"/>
                <w:color w:val="000000" w:themeColor="text1"/>
              </w:rPr>
              <w:t>處理</w:t>
            </w:r>
          </w:p>
          <w:p w:rsidR="007F7CE4" w:rsidRPr="00062C03" w:rsidRDefault="007F7CE4" w:rsidP="006D6637">
            <w:pPr>
              <w:jc w:val="distribute"/>
              <w:rPr>
                <w:color w:val="000000" w:themeColor="text1"/>
              </w:rPr>
            </w:pPr>
            <w:r w:rsidRPr="00062C03">
              <w:rPr>
                <w:rFonts w:hint="eastAsia"/>
                <w:color w:val="000000" w:themeColor="text1"/>
              </w:rPr>
              <w:t>時間</w:t>
            </w:r>
          </w:p>
        </w:tc>
        <w:tc>
          <w:tcPr>
            <w:tcW w:w="7421" w:type="dxa"/>
            <w:vAlign w:val="center"/>
          </w:tcPr>
          <w:p w:rsidR="007F7CE4" w:rsidRPr="00062C03" w:rsidRDefault="007F7CE4" w:rsidP="006D6637">
            <w:pPr>
              <w:rPr>
                <w:color w:val="000000" w:themeColor="text1"/>
              </w:rPr>
            </w:pPr>
            <w:r w:rsidRPr="00062C03">
              <w:rPr>
                <w:rFonts w:hint="eastAsia"/>
                <w:color w:val="000000" w:themeColor="text1"/>
              </w:rPr>
              <w:t>應變作為</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16:00</w:t>
            </w:r>
          </w:p>
        </w:tc>
        <w:tc>
          <w:tcPr>
            <w:tcW w:w="7421" w:type="dxa"/>
          </w:tcPr>
          <w:p w:rsidR="007F7CE4" w:rsidRPr="00062C03" w:rsidRDefault="007F7CE4" w:rsidP="00795F1A">
            <w:pPr>
              <w:rPr>
                <w:color w:val="000000" w:themeColor="text1"/>
              </w:rPr>
            </w:pPr>
            <w:r w:rsidRPr="00062C03">
              <w:rPr>
                <w:rFonts w:hint="eastAsia"/>
                <w:color w:val="000000" w:themeColor="text1"/>
              </w:rPr>
              <w:t>臺東地檢署科技設備監控值班觀護人（下稱值班觀護人）接獲潘員錶帶異常之簡訊通報，立即查看潘員位置位於花蓮縣</w:t>
            </w:r>
            <w:r w:rsidR="00622B89">
              <w:rPr>
                <w:rFonts w:hint="eastAsia"/>
                <w:color w:val="000000" w:themeColor="text1"/>
              </w:rPr>
              <w:t>○○</w:t>
            </w:r>
            <w:r w:rsidRPr="00062C03">
              <w:rPr>
                <w:rFonts w:hint="eastAsia"/>
                <w:color w:val="000000" w:themeColor="text1"/>
              </w:rPr>
              <w:t>鄉</w:t>
            </w:r>
            <w:r w:rsidR="003B29C9">
              <w:rPr>
                <w:rFonts w:hint="eastAsia"/>
                <w:color w:val="000000" w:themeColor="text1"/>
              </w:rPr>
              <w:t>○○</w:t>
            </w:r>
            <w:r w:rsidRPr="00062C03">
              <w:rPr>
                <w:rFonts w:hint="eastAsia"/>
                <w:color w:val="000000" w:themeColor="text1"/>
              </w:rPr>
              <w:t>火車站附近，值班觀護人撥打潘員手機數次，皆轉接語音信箱無人接聽。</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16:03</w:t>
            </w:r>
          </w:p>
        </w:tc>
        <w:tc>
          <w:tcPr>
            <w:tcW w:w="7421" w:type="dxa"/>
          </w:tcPr>
          <w:p w:rsidR="007F7CE4" w:rsidRPr="00062C03" w:rsidRDefault="007F7CE4" w:rsidP="00795F1A">
            <w:pPr>
              <w:rPr>
                <w:color w:val="000000" w:themeColor="text1"/>
              </w:rPr>
            </w:pPr>
            <w:r w:rsidRPr="00062C03">
              <w:rPr>
                <w:rFonts w:hint="eastAsia"/>
                <w:color w:val="000000" w:themeColor="text1"/>
              </w:rPr>
              <w:t>科技設備監控值班室（下稱值班室）亦去電臺東地檢署值班觀護人告知錶帶異常，亦無法與個案取得聯繫等情，請值班觀護人繼續協助聯繫，值班觀護人持續撥打潘員手機。</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16:10</w:t>
            </w:r>
          </w:p>
        </w:tc>
        <w:tc>
          <w:tcPr>
            <w:tcW w:w="7421" w:type="dxa"/>
          </w:tcPr>
          <w:p w:rsidR="007F7CE4" w:rsidRPr="00062C03" w:rsidRDefault="007F7CE4" w:rsidP="00795F1A">
            <w:pPr>
              <w:rPr>
                <w:color w:val="000000" w:themeColor="text1"/>
              </w:rPr>
            </w:pPr>
            <w:r w:rsidRPr="00062C03">
              <w:rPr>
                <w:rFonts w:hint="eastAsia"/>
                <w:color w:val="000000" w:themeColor="text1"/>
              </w:rPr>
              <w:t>潘員所屬觀護人查知潘員曾自陳於花蓮碾米廠打工，遂由值班觀護人於16:12撥打碾米廠電話，未能查知潘員相關資訊與行蹤。</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16:13</w:t>
            </w:r>
          </w:p>
        </w:tc>
        <w:tc>
          <w:tcPr>
            <w:tcW w:w="7421" w:type="dxa"/>
          </w:tcPr>
          <w:p w:rsidR="007F7CE4" w:rsidRPr="00062C03" w:rsidRDefault="007F7CE4" w:rsidP="00795F1A">
            <w:pPr>
              <w:rPr>
                <w:color w:val="000000" w:themeColor="text1"/>
              </w:rPr>
            </w:pPr>
            <w:r w:rsidRPr="00062C03">
              <w:rPr>
                <w:rFonts w:hint="eastAsia"/>
                <w:color w:val="000000" w:themeColor="text1"/>
              </w:rPr>
              <w:t>值班室致電告知個案目前位於花蓮縣警察局</w:t>
            </w:r>
            <w:r w:rsidR="003B29C9">
              <w:rPr>
                <w:rFonts w:hint="eastAsia"/>
                <w:color w:val="000000" w:themeColor="text1"/>
              </w:rPr>
              <w:t>○○</w:t>
            </w:r>
            <w:r w:rsidRPr="00062C03">
              <w:rPr>
                <w:rFonts w:hint="eastAsia"/>
                <w:color w:val="000000" w:themeColor="text1"/>
              </w:rPr>
              <w:t>分局</w:t>
            </w:r>
            <w:r w:rsidR="003B29C9">
              <w:rPr>
                <w:rFonts w:hint="eastAsia"/>
                <w:color w:val="000000" w:themeColor="text1"/>
              </w:rPr>
              <w:t>○○</w:t>
            </w:r>
            <w:r w:rsidRPr="00062C03">
              <w:rPr>
                <w:rFonts w:hint="eastAsia"/>
                <w:color w:val="000000" w:themeColor="text1"/>
              </w:rPr>
              <w:t>派出所及</w:t>
            </w:r>
            <w:r w:rsidR="003B29C9">
              <w:rPr>
                <w:rFonts w:hint="eastAsia"/>
                <w:color w:val="000000" w:themeColor="text1"/>
              </w:rPr>
              <w:t>○○</w:t>
            </w:r>
            <w:r w:rsidRPr="00062C03">
              <w:rPr>
                <w:rFonts w:hint="eastAsia"/>
                <w:color w:val="000000" w:themeColor="text1"/>
              </w:rPr>
              <w:t>火車站附近，觀護人表示將與該管警局聯繫，值班室並向觀護人詢問潘員報到狀況，是否有破壞科技監控設備之動機。</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16:19</w:t>
            </w:r>
          </w:p>
        </w:tc>
        <w:tc>
          <w:tcPr>
            <w:tcW w:w="7421" w:type="dxa"/>
          </w:tcPr>
          <w:p w:rsidR="007F7CE4" w:rsidRPr="00062C03" w:rsidRDefault="007F7CE4" w:rsidP="00795F1A">
            <w:pPr>
              <w:rPr>
                <w:color w:val="000000" w:themeColor="text1"/>
              </w:rPr>
            </w:pPr>
            <w:r w:rsidRPr="00062C03">
              <w:rPr>
                <w:rFonts w:hint="eastAsia"/>
                <w:color w:val="000000" w:themeColor="text1"/>
              </w:rPr>
              <w:t>觀護人致電花蓮縣警察局</w:t>
            </w:r>
            <w:r w:rsidR="003B29C9">
              <w:rPr>
                <w:rFonts w:hint="eastAsia"/>
                <w:color w:val="000000" w:themeColor="text1"/>
              </w:rPr>
              <w:t>○○</w:t>
            </w:r>
            <w:r w:rsidRPr="00062C03">
              <w:rPr>
                <w:rFonts w:hint="eastAsia"/>
                <w:color w:val="000000" w:themeColor="text1"/>
              </w:rPr>
              <w:t>分局</w:t>
            </w:r>
            <w:r w:rsidR="003B29C9">
              <w:rPr>
                <w:rFonts w:hint="eastAsia"/>
                <w:color w:val="000000" w:themeColor="text1"/>
              </w:rPr>
              <w:t>○○</w:t>
            </w:r>
            <w:r w:rsidRPr="00062C03">
              <w:rPr>
                <w:rFonts w:hint="eastAsia"/>
                <w:color w:val="000000" w:themeColor="text1"/>
              </w:rPr>
              <w:t>派出所，告知值班警員事件現況，並告知潘員之基本資料及大致外貌，請警員至GPS定位點協尋潘員，同時持續撥打潘員手機。</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16:48</w:t>
            </w:r>
          </w:p>
        </w:tc>
        <w:tc>
          <w:tcPr>
            <w:tcW w:w="7421" w:type="dxa"/>
          </w:tcPr>
          <w:p w:rsidR="007F7CE4" w:rsidRPr="00062C03" w:rsidRDefault="007F7CE4" w:rsidP="00795F1A">
            <w:pPr>
              <w:rPr>
                <w:color w:val="000000" w:themeColor="text1"/>
              </w:rPr>
            </w:pPr>
            <w:r w:rsidRPr="00062C03">
              <w:rPr>
                <w:rFonts w:hint="eastAsia"/>
                <w:color w:val="000000" w:themeColor="text1"/>
              </w:rPr>
              <w:t>觀護人再次致電</w:t>
            </w:r>
            <w:r w:rsidR="003B29C9">
              <w:rPr>
                <w:rFonts w:hint="eastAsia"/>
                <w:color w:val="000000" w:themeColor="text1"/>
              </w:rPr>
              <w:t>○○</w:t>
            </w:r>
            <w:r w:rsidRPr="00062C03">
              <w:rPr>
                <w:rFonts w:hint="eastAsia"/>
                <w:color w:val="000000" w:themeColor="text1"/>
              </w:rPr>
              <w:t>派出所，詢問現場狀況，並取得前往巡邏員警之聯絡手機。</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16:50</w:t>
            </w:r>
          </w:p>
        </w:tc>
        <w:tc>
          <w:tcPr>
            <w:tcW w:w="7421" w:type="dxa"/>
          </w:tcPr>
          <w:p w:rsidR="007F7CE4" w:rsidRPr="00062C03" w:rsidRDefault="007F7CE4" w:rsidP="00795F1A">
            <w:pPr>
              <w:rPr>
                <w:color w:val="000000" w:themeColor="text1"/>
              </w:rPr>
            </w:pPr>
            <w:r w:rsidRPr="00062C03">
              <w:rPr>
                <w:rFonts w:hint="eastAsia"/>
                <w:color w:val="000000" w:themeColor="text1"/>
              </w:rPr>
              <w:t>觀護人去電值班室，值班室再次回報設備GPS定位點後，觀護人再度致電</w:t>
            </w:r>
            <w:r w:rsidR="003B29C9">
              <w:rPr>
                <w:rFonts w:hint="eastAsia"/>
                <w:color w:val="000000" w:themeColor="text1"/>
              </w:rPr>
              <w:t>○○</w:t>
            </w:r>
            <w:r w:rsidRPr="00062C03">
              <w:rPr>
                <w:rFonts w:hint="eastAsia"/>
                <w:color w:val="000000" w:themeColor="text1"/>
              </w:rPr>
              <w:t>派出所告知衛星定位位置點在</w:t>
            </w:r>
            <w:r w:rsidR="003B29C9">
              <w:rPr>
                <w:rFonts w:hint="eastAsia"/>
                <w:color w:val="000000" w:themeColor="text1"/>
              </w:rPr>
              <w:t>○○</w:t>
            </w:r>
            <w:r w:rsidRPr="00062C03">
              <w:rPr>
                <w:rFonts w:hint="eastAsia"/>
                <w:color w:val="000000" w:themeColor="text1"/>
              </w:rPr>
              <w:t>派出所轄區內的</w:t>
            </w:r>
            <w:r w:rsidR="003B29C9">
              <w:rPr>
                <w:rFonts w:hint="eastAsia"/>
                <w:color w:val="000000" w:themeColor="text1"/>
              </w:rPr>
              <w:t>○○</w:t>
            </w:r>
            <w:r w:rsidRPr="00062C03">
              <w:rPr>
                <w:rFonts w:hint="eastAsia"/>
                <w:color w:val="000000" w:themeColor="text1"/>
              </w:rPr>
              <w:t>路</w:t>
            </w:r>
            <w:r w:rsidR="003B29C9">
              <w:rPr>
                <w:rFonts w:hint="eastAsia"/>
                <w:color w:val="000000" w:themeColor="text1"/>
              </w:rPr>
              <w:t>○巷</w:t>
            </w:r>
            <w:r w:rsidRPr="00062C03">
              <w:rPr>
                <w:rFonts w:hint="eastAsia"/>
                <w:color w:val="000000" w:themeColor="text1"/>
              </w:rPr>
              <w:t>、</w:t>
            </w:r>
            <w:r w:rsidR="003B29C9">
              <w:rPr>
                <w:rFonts w:hint="eastAsia"/>
                <w:color w:val="000000" w:themeColor="text1"/>
              </w:rPr>
              <w:t>○○</w:t>
            </w:r>
            <w:r w:rsidRPr="00062C03">
              <w:rPr>
                <w:rFonts w:hint="eastAsia"/>
                <w:color w:val="000000" w:themeColor="text1"/>
              </w:rPr>
              <w:t>街5號附近，同時請值班室將設備聲響開至最大，並請員警循著「嗶」聲尋找，經警員於附近方圓1</w:t>
            </w:r>
            <w:r w:rsidRPr="00062C03">
              <w:rPr>
                <w:rFonts w:hint="eastAsia"/>
                <w:color w:val="000000" w:themeColor="text1"/>
              </w:rPr>
              <w:lastRenderedPageBreak/>
              <w:t>公里內搜尋，未發現潘員及設備。</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lastRenderedPageBreak/>
              <w:t>17:08</w:t>
            </w:r>
          </w:p>
        </w:tc>
        <w:tc>
          <w:tcPr>
            <w:tcW w:w="7421" w:type="dxa"/>
          </w:tcPr>
          <w:p w:rsidR="007F7CE4" w:rsidRPr="00062C03" w:rsidRDefault="007F7CE4" w:rsidP="00795F1A">
            <w:pPr>
              <w:rPr>
                <w:color w:val="000000" w:themeColor="text1"/>
              </w:rPr>
            </w:pPr>
            <w:r w:rsidRPr="00062C03">
              <w:rPr>
                <w:rFonts w:hint="eastAsia"/>
                <w:color w:val="000000" w:themeColor="text1"/>
              </w:rPr>
              <w:t>該署持續致電巡邏員警手機，並於等待警員回報期間，持續撥打潘員手機。</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17:23</w:t>
            </w:r>
          </w:p>
        </w:tc>
        <w:tc>
          <w:tcPr>
            <w:tcW w:w="7421" w:type="dxa"/>
          </w:tcPr>
          <w:p w:rsidR="007F7CE4" w:rsidRPr="00062C03" w:rsidRDefault="007F7CE4" w:rsidP="00795F1A">
            <w:pPr>
              <w:rPr>
                <w:color w:val="000000" w:themeColor="text1"/>
              </w:rPr>
            </w:pPr>
            <w:r w:rsidRPr="00062C03">
              <w:rPr>
                <w:rFonts w:hint="eastAsia"/>
                <w:color w:val="000000" w:themeColor="text1"/>
              </w:rPr>
              <w:t>該署觀護人再次致電巡邏員警手機了解狀況，再度向警員描述地點、個案資料，員警表示尚在尋找中。</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17:25</w:t>
            </w:r>
          </w:p>
        </w:tc>
        <w:tc>
          <w:tcPr>
            <w:tcW w:w="7421" w:type="dxa"/>
          </w:tcPr>
          <w:p w:rsidR="007F7CE4" w:rsidRPr="00062C03" w:rsidRDefault="007F7CE4" w:rsidP="00795F1A">
            <w:pPr>
              <w:rPr>
                <w:color w:val="000000" w:themeColor="text1"/>
              </w:rPr>
            </w:pPr>
            <w:r w:rsidRPr="00062C03">
              <w:rPr>
                <w:rFonts w:hint="eastAsia"/>
                <w:color w:val="000000" w:themeColor="text1"/>
              </w:rPr>
              <w:t>該署執行檢察官電請花蓮警網協助搜尋。</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17:55</w:t>
            </w:r>
          </w:p>
        </w:tc>
        <w:tc>
          <w:tcPr>
            <w:tcW w:w="7421" w:type="dxa"/>
          </w:tcPr>
          <w:p w:rsidR="007F7CE4" w:rsidRPr="00062C03" w:rsidRDefault="007F7CE4" w:rsidP="00795F1A">
            <w:pPr>
              <w:rPr>
                <w:color w:val="000000" w:themeColor="text1"/>
              </w:rPr>
            </w:pPr>
            <w:r w:rsidRPr="00062C03">
              <w:rPr>
                <w:rFonts w:hint="eastAsia"/>
                <w:color w:val="000000" w:themeColor="text1"/>
              </w:rPr>
              <w:t>該署觀護人致電負責輔導潘員之家庭暴力防治官、戶籍地管區派出所(</w:t>
            </w:r>
            <w:r w:rsidR="003B29C9">
              <w:rPr>
                <w:rFonts w:hint="eastAsia"/>
                <w:color w:val="000000" w:themeColor="text1"/>
              </w:rPr>
              <w:t>○○</w:t>
            </w:r>
            <w:r w:rsidRPr="00062C03">
              <w:rPr>
                <w:rFonts w:hint="eastAsia"/>
                <w:color w:val="000000" w:themeColor="text1"/>
              </w:rPr>
              <w:t>派出所)告知事件現況，並請家庭暴力防治官及管區警員協助聯繫及留意。</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18:21</w:t>
            </w:r>
          </w:p>
        </w:tc>
        <w:tc>
          <w:tcPr>
            <w:tcW w:w="7421" w:type="dxa"/>
          </w:tcPr>
          <w:p w:rsidR="007F7CE4" w:rsidRPr="00062C03" w:rsidRDefault="007F7CE4" w:rsidP="00795F1A">
            <w:pPr>
              <w:rPr>
                <w:color w:val="000000" w:themeColor="text1"/>
              </w:rPr>
            </w:pPr>
            <w:r w:rsidRPr="00062C03">
              <w:rPr>
                <w:rFonts w:hint="eastAsia"/>
                <w:color w:val="000000" w:themeColor="text1"/>
              </w:rPr>
              <w:t>尋獲科技監控設備(尋獲地點位於花蓮縣</w:t>
            </w:r>
            <w:r w:rsidR="00C55561">
              <w:rPr>
                <w:rFonts w:hint="eastAsia"/>
                <w:color w:val="000000" w:themeColor="text1"/>
              </w:rPr>
              <w:t>○○</w:t>
            </w:r>
            <w:r w:rsidRPr="00062C03">
              <w:rPr>
                <w:rFonts w:hint="eastAsia"/>
                <w:color w:val="000000" w:themeColor="text1"/>
              </w:rPr>
              <w:t>鄉</w:t>
            </w:r>
            <w:r w:rsidR="003B29C9">
              <w:rPr>
                <w:rFonts w:hint="eastAsia"/>
                <w:color w:val="000000" w:themeColor="text1"/>
              </w:rPr>
              <w:t>○○</w:t>
            </w:r>
            <w:r w:rsidRPr="00062C03">
              <w:rPr>
                <w:rFonts w:hint="eastAsia"/>
                <w:color w:val="000000" w:themeColor="text1"/>
              </w:rPr>
              <w:t>村</w:t>
            </w:r>
            <w:r w:rsidR="003B29C9">
              <w:rPr>
                <w:rFonts w:hint="eastAsia"/>
                <w:color w:val="000000" w:themeColor="text1"/>
              </w:rPr>
              <w:t>○○</w:t>
            </w:r>
            <w:r w:rsidRPr="00062C03">
              <w:rPr>
                <w:rFonts w:hint="eastAsia"/>
                <w:color w:val="000000" w:themeColor="text1"/>
              </w:rPr>
              <w:t>路</w:t>
            </w:r>
            <w:r w:rsidR="003B29C9">
              <w:rPr>
                <w:rFonts w:hint="eastAsia"/>
                <w:color w:val="000000" w:themeColor="text1"/>
              </w:rPr>
              <w:t>○</w:t>
            </w:r>
            <w:r w:rsidRPr="00062C03">
              <w:rPr>
                <w:rFonts w:hint="eastAsia"/>
                <w:color w:val="000000" w:themeColor="text1"/>
              </w:rPr>
              <w:t>巷道路旁草叢，但未發現潘員）。</w:t>
            </w:r>
          </w:p>
        </w:tc>
      </w:tr>
      <w:tr w:rsidR="007F7CE4" w:rsidRPr="00062C03" w:rsidTr="00795F1A">
        <w:tc>
          <w:tcPr>
            <w:tcW w:w="1413" w:type="dxa"/>
          </w:tcPr>
          <w:p w:rsidR="007F7CE4" w:rsidRPr="00062C03" w:rsidRDefault="007F7CE4" w:rsidP="00795F1A">
            <w:pPr>
              <w:rPr>
                <w:color w:val="000000" w:themeColor="text1"/>
              </w:rPr>
            </w:pPr>
            <w:r w:rsidRPr="00062C03">
              <w:rPr>
                <w:color w:val="000000" w:themeColor="text1"/>
              </w:rPr>
              <w:t>18:30</w:t>
            </w:r>
          </w:p>
        </w:tc>
        <w:tc>
          <w:tcPr>
            <w:tcW w:w="7421" w:type="dxa"/>
          </w:tcPr>
          <w:p w:rsidR="007F7CE4" w:rsidRPr="00062C03" w:rsidRDefault="003B29C9" w:rsidP="00795F1A">
            <w:pPr>
              <w:rPr>
                <w:color w:val="000000" w:themeColor="text1"/>
              </w:rPr>
            </w:pPr>
            <w:r>
              <w:rPr>
                <w:rFonts w:hint="eastAsia"/>
                <w:color w:val="000000" w:themeColor="text1"/>
              </w:rPr>
              <w:t>○○</w:t>
            </w:r>
            <w:r w:rsidR="007F7CE4" w:rsidRPr="00062C03">
              <w:rPr>
                <w:rFonts w:hint="eastAsia"/>
                <w:color w:val="000000" w:themeColor="text1"/>
              </w:rPr>
              <w:t>派出所警員向該署回報已找到遭破壞棄置之設備。18:34該署告知值班室設備已遭破壞且棄置。</w:t>
            </w:r>
          </w:p>
        </w:tc>
      </w:tr>
    </w:tbl>
    <w:p w:rsidR="007F7CE4" w:rsidRPr="00062C03" w:rsidRDefault="007F7CE4" w:rsidP="004E1628">
      <w:pPr>
        <w:spacing w:line="200" w:lineRule="exact"/>
        <w:rPr>
          <w:color w:val="000000" w:themeColor="text1"/>
          <w:sz w:val="24"/>
        </w:rPr>
      </w:pPr>
      <w:r w:rsidRPr="00062C03">
        <w:rPr>
          <w:rFonts w:hint="eastAsia"/>
          <w:color w:val="000000" w:themeColor="text1"/>
          <w:sz w:val="20"/>
        </w:rPr>
        <w:t>資料來源：法務部提供</w:t>
      </w:r>
      <w:r w:rsidRPr="00062C03">
        <w:rPr>
          <w:rFonts w:hint="eastAsia"/>
          <w:color w:val="000000" w:themeColor="text1"/>
          <w:sz w:val="24"/>
        </w:rPr>
        <w:t>。</w:t>
      </w:r>
    </w:p>
    <w:p w:rsidR="00F92E2C" w:rsidRPr="00062C03" w:rsidRDefault="00F92E2C" w:rsidP="004E1628">
      <w:pPr>
        <w:spacing w:line="200" w:lineRule="exact"/>
        <w:rPr>
          <w:color w:val="000000" w:themeColor="text1"/>
          <w:sz w:val="24"/>
        </w:rPr>
      </w:pPr>
    </w:p>
    <w:p w:rsidR="007F7CE4" w:rsidRPr="00062C03" w:rsidRDefault="007F7CE4" w:rsidP="00784CE9">
      <w:pPr>
        <w:pStyle w:val="3"/>
        <w:rPr>
          <w:color w:val="000000" w:themeColor="text1"/>
        </w:rPr>
      </w:pPr>
      <w:r w:rsidRPr="00062C03">
        <w:rPr>
          <w:rFonts w:hint="eastAsia"/>
          <w:color w:val="000000" w:themeColor="text1"/>
        </w:rPr>
        <w:t>潘姓性侵假釋付保護管束人破壞科技監控設備（電子腳鐐）逃逸後，檢警追緝經過：</w:t>
      </w:r>
    </w:p>
    <w:p w:rsidR="007F7CE4" w:rsidRPr="00062C03" w:rsidRDefault="007F7CE4" w:rsidP="008903C0">
      <w:pPr>
        <w:pStyle w:val="4"/>
        <w:rPr>
          <w:color w:val="000000" w:themeColor="text1"/>
        </w:rPr>
      </w:pPr>
      <w:r w:rsidRPr="00062C03">
        <w:rPr>
          <w:rFonts w:hint="eastAsia"/>
          <w:color w:val="000000" w:themeColor="text1"/>
        </w:rPr>
        <w:t>現行科技監控設備之隨身發訊器係採</w:t>
      </w:r>
      <w:r w:rsidRPr="00062C03">
        <w:rPr>
          <w:color w:val="000000" w:themeColor="text1"/>
        </w:rPr>
        <w:t>GNSS(GPS/Glonass)</w:t>
      </w:r>
      <w:r w:rsidRPr="00062C03">
        <w:rPr>
          <w:rFonts w:hint="eastAsia"/>
          <w:color w:val="000000" w:themeColor="text1"/>
        </w:rPr>
        <w:t>模組，搭配</w:t>
      </w:r>
      <w:r w:rsidRPr="00062C03">
        <w:rPr>
          <w:color w:val="000000" w:themeColor="text1"/>
        </w:rPr>
        <w:t>GPS</w:t>
      </w:r>
      <w:r w:rsidRPr="00062C03">
        <w:rPr>
          <w:rFonts w:hint="eastAsia"/>
          <w:color w:val="000000" w:themeColor="text1"/>
        </w:rPr>
        <w:t>及</w:t>
      </w:r>
      <w:r w:rsidRPr="00062C03">
        <w:rPr>
          <w:color w:val="000000" w:themeColor="text1"/>
        </w:rPr>
        <w:t>Glonass</w:t>
      </w:r>
      <w:r w:rsidRPr="00062C03">
        <w:rPr>
          <w:rFonts w:hint="eastAsia"/>
          <w:color w:val="000000" w:themeColor="text1"/>
        </w:rPr>
        <w:t>定位能力，具有</w:t>
      </w:r>
      <w:r w:rsidRPr="00062C03">
        <w:rPr>
          <w:color w:val="000000" w:themeColor="text1"/>
        </w:rPr>
        <w:t>A-GPS</w:t>
      </w:r>
      <w:r w:rsidRPr="00062C03">
        <w:rPr>
          <w:rFonts w:hint="eastAsia"/>
          <w:color w:val="000000" w:themeColor="text1"/>
        </w:rPr>
        <w:t>辅助定位技術，搭配</w:t>
      </w:r>
      <w:r w:rsidRPr="00062C03">
        <w:rPr>
          <w:color w:val="000000" w:themeColor="text1"/>
        </w:rPr>
        <w:t>D-GNSS</w:t>
      </w:r>
      <w:r w:rsidRPr="00062C03">
        <w:rPr>
          <w:rFonts w:hint="eastAsia"/>
          <w:color w:val="000000" w:themeColor="text1"/>
        </w:rPr>
        <w:t>校準資訊，定位精準範圍為</w:t>
      </w:r>
      <w:r w:rsidRPr="00062C03">
        <w:rPr>
          <w:color w:val="000000" w:themeColor="text1"/>
        </w:rPr>
        <w:t>8</w:t>
      </w:r>
      <w:r w:rsidRPr="00062C03">
        <w:rPr>
          <w:rFonts w:hint="eastAsia"/>
          <w:color w:val="000000" w:themeColor="text1"/>
        </w:rPr>
        <w:t>公尺內。經查該設備於上述期間内之軌跡資料（系統案號</w:t>
      </w:r>
      <w:r w:rsidRPr="00062C03">
        <w:rPr>
          <w:color w:val="000000" w:themeColor="text1"/>
        </w:rPr>
        <w:t>GMS3112)</w:t>
      </w:r>
      <w:r w:rsidRPr="00062C03">
        <w:rPr>
          <w:rFonts w:hint="eastAsia"/>
          <w:color w:val="000000" w:themeColor="text1"/>
        </w:rPr>
        <w:t>，其</w:t>
      </w:r>
      <w:r w:rsidRPr="00062C03">
        <w:rPr>
          <w:color w:val="000000" w:themeColor="text1"/>
        </w:rPr>
        <w:t>GPS</w:t>
      </w:r>
      <w:r w:rsidRPr="00062C03">
        <w:rPr>
          <w:rFonts w:hint="eastAsia"/>
          <w:color w:val="000000" w:themeColor="text1"/>
        </w:rPr>
        <w:t>定位係於</w:t>
      </w:r>
      <w:r w:rsidR="003B29C9">
        <w:rPr>
          <w:rFonts w:hint="eastAsia"/>
          <w:color w:val="000000" w:themeColor="text1"/>
        </w:rPr>
        <w:t>○○</w:t>
      </w:r>
      <w:r w:rsidRPr="00062C03">
        <w:rPr>
          <w:rFonts w:hint="eastAsia"/>
          <w:color w:val="000000" w:themeColor="text1"/>
        </w:rPr>
        <w:t>街</w:t>
      </w:r>
      <w:r w:rsidR="003B29C9">
        <w:rPr>
          <w:rFonts w:hint="eastAsia"/>
          <w:color w:val="000000" w:themeColor="text1"/>
        </w:rPr>
        <w:t>○</w:t>
      </w:r>
      <w:r w:rsidR="003B29C9">
        <w:rPr>
          <w:color w:val="000000" w:themeColor="text1"/>
        </w:rPr>
        <w:t>巷</w:t>
      </w:r>
      <w:r w:rsidRPr="00062C03">
        <w:rPr>
          <w:rFonts w:hint="eastAsia"/>
          <w:color w:val="000000" w:themeColor="text1"/>
        </w:rPr>
        <w:t>某處，每分鐘回傳之軌跡點速度為</w:t>
      </w:r>
      <w:r w:rsidRPr="00062C03">
        <w:rPr>
          <w:color w:val="000000" w:themeColor="text1"/>
        </w:rPr>
        <w:t>0</w:t>
      </w:r>
      <w:r w:rsidRPr="00062C03">
        <w:rPr>
          <w:rFonts w:hint="eastAsia"/>
          <w:color w:val="000000" w:themeColor="text1"/>
        </w:rPr>
        <w:t>至3km/h。為確認其狀態，該署委請工程師進行設備靜止狀態測試（系統案號GMS9905)，每分鐘回傳之軌跡點速度為0至2km/h，其時速變動係因GPS定位飄移所致，故判斷訊號應屬靜止狀態。故在16時50分至18時21分之間，該GPS訊號屬靜止狀態。</w:t>
      </w:r>
    </w:p>
    <w:p w:rsidR="007F7CE4" w:rsidRPr="00062C03" w:rsidRDefault="007F7CE4" w:rsidP="008903C0">
      <w:pPr>
        <w:pStyle w:val="4"/>
        <w:rPr>
          <w:color w:val="000000" w:themeColor="text1"/>
        </w:rPr>
      </w:pPr>
      <w:r w:rsidRPr="00062C03">
        <w:rPr>
          <w:rFonts w:hint="eastAsia"/>
          <w:color w:val="000000" w:themeColor="text1"/>
        </w:rPr>
        <w:lastRenderedPageBreak/>
        <w:t>惟查，目前警察機關使用之手機或隨身設備，未與科技設備監控統介接，故本案巡邏員警之相關設備，無法同步接收本系統GPS定位資訊，若受監控人若有重大違規或破壞科技監控設備等情事，檢察機關得透過</w:t>
      </w:r>
      <w:r w:rsidR="009312E4" w:rsidRPr="00062C03">
        <w:rPr>
          <w:rFonts w:hint="eastAsia"/>
          <w:color w:val="000000" w:themeColor="text1"/>
        </w:rPr>
        <w:t>電話聯繫員警</w:t>
      </w:r>
      <w:r w:rsidRPr="00062C03">
        <w:rPr>
          <w:rFonts w:hint="eastAsia"/>
          <w:color w:val="000000" w:themeColor="text1"/>
        </w:rPr>
        <w:t>，告知設備GPS定位資訊，以協助搜尋可能範圍。</w:t>
      </w:r>
    </w:p>
    <w:p w:rsidR="007F7CE4" w:rsidRPr="00062C03" w:rsidRDefault="007F7CE4" w:rsidP="001A3CF6">
      <w:pPr>
        <w:pStyle w:val="4"/>
        <w:rPr>
          <w:color w:val="000000" w:themeColor="text1"/>
        </w:rPr>
      </w:pPr>
      <w:r w:rsidRPr="00062C03">
        <w:rPr>
          <w:rFonts w:hint="eastAsia"/>
          <w:color w:val="000000" w:themeColor="text1"/>
        </w:rPr>
        <w:t>本案於發現遭破壞電子腳鐐後，臺東地檢署於同日發布拘提及通緝經過：</w:t>
      </w:r>
    </w:p>
    <w:p w:rsidR="007F7CE4" w:rsidRPr="00062C03" w:rsidRDefault="007F7CE4" w:rsidP="001A3CF6">
      <w:pPr>
        <w:pStyle w:val="5"/>
        <w:rPr>
          <w:color w:val="000000" w:themeColor="text1"/>
        </w:rPr>
      </w:pPr>
      <w:r w:rsidRPr="00062C03">
        <w:rPr>
          <w:rFonts w:hint="eastAsia"/>
          <w:color w:val="000000" w:themeColor="text1"/>
        </w:rPr>
        <w:t>臺東地檢署於108年1月10日（案發日）核發拘票，拘提案由為妨害公務，依據為刑事訴訟法第76條第2款</w:t>
      </w:r>
      <w:r w:rsidRPr="00062C03">
        <w:rPr>
          <w:rStyle w:val="afe"/>
          <w:color w:val="000000" w:themeColor="text1"/>
        </w:rPr>
        <w:footnoteReference w:id="25"/>
      </w:r>
      <w:r w:rsidRPr="00062C03">
        <w:rPr>
          <w:rFonts w:hint="eastAsia"/>
          <w:color w:val="000000" w:themeColor="text1"/>
        </w:rPr>
        <w:t>，偵查佐陳明村員警於報告書記載：「經按址拘提，被拘提人已不在處所，不知去向，無法拘提到案（前往拘提時間：108年1月10日21時0分）」</w:t>
      </w:r>
      <w:r w:rsidRPr="00062C03">
        <w:rPr>
          <w:color w:val="000000" w:themeColor="text1"/>
        </w:rPr>
        <w:tab/>
      </w:r>
      <w:r w:rsidRPr="00062C03">
        <w:rPr>
          <w:rFonts w:hint="eastAsia"/>
          <w:color w:val="000000" w:themeColor="text1"/>
        </w:rPr>
        <w:t>。</w:t>
      </w:r>
    </w:p>
    <w:p w:rsidR="007F7CE4" w:rsidRPr="00062C03" w:rsidRDefault="007F7CE4" w:rsidP="001A3CF6">
      <w:pPr>
        <w:pStyle w:val="5"/>
        <w:rPr>
          <w:color w:val="000000" w:themeColor="text1"/>
        </w:rPr>
      </w:pPr>
      <w:r w:rsidRPr="00062C03">
        <w:rPr>
          <w:rFonts w:hint="eastAsia"/>
          <w:color w:val="000000" w:themeColor="text1"/>
        </w:rPr>
        <w:t>另於同日發布通緝，通緝事實略以：「被告</w:t>
      </w:r>
      <w:r w:rsidR="001E6336" w:rsidRPr="00062C03">
        <w:rPr>
          <w:rFonts w:hint="eastAsia"/>
          <w:color w:val="000000" w:themeColor="text1"/>
        </w:rPr>
        <w:t>潘員</w:t>
      </w:r>
      <w:r w:rsidRPr="00062C03">
        <w:rPr>
          <w:rFonts w:hint="eastAsia"/>
          <w:color w:val="000000" w:themeColor="text1"/>
        </w:rPr>
        <w:t>前因妨害性自主等案件，經新北</w:t>
      </w:r>
      <w:r w:rsidR="00944243" w:rsidRPr="00062C03">
        <w:rPr>
          <w:rFonts w:hint="eastAsia"/>
          <w:color w:val="000000" w:themeColor="text1"/>
        </w:rPr>
        <w:t>地院</w:t>
      </w:r>
      <w:r w:rsidRPr="00062C03">
        <w:rPr>
          <w:rFonts w:hint="eastAsia"/>
          <w:color w:val="000000" w:themeColor="text1"/>
        </w:rPr>
        <w:t>裁定應執行有期徒刑2年1月確定，於107年6月26日假釋付保護管束，並施以電子腳鐐監控，詎料被告108年1月10日下午某時許，竟基於毀壞公務員職務上掌管物品之犯意，以不詳方式破壞電子腳鐐後逃逸無蹤，因認被告涉犯刑法第138條之毀壞公務員職務上掌管之物品罪嫌，本件被告因破壞電子腳鐐，有事實足認有逃亡之虞，復經拘提無著，顯已逃匿，爰依刑事訴訟法第84條之規定通緝。」</w:t>
      </w:r>
    </w:p>
    <w:p w:rsidR="007F7CE4" w:rsidRPr="00062C03" w:rsidRDefault="007F7CE4" w:rsidP="00784CE9">
      <w:pPr>
        <w:pStyle w:val="3"/>
        <w:rPr>
          <w:color w:val="000000" w:themeColor="text1"/>
          <w:sz w:val="24"/>
        </w:rPr>
      </w:pPr>
      <w:r w:rsidRPr="00062C03">
        <w:rPr>
          <w:rFonts w:hint="eastAsia"/>
          <w:color w:val="000000" w:themeColor="text1"/>
        </w:rPr>
        <w:t>於108年1月11日11點50分許於宜蘭縣內逮捕潘</w:t>
      </w:r>
      <w:r w:rsidR="004E1628" w:rsidRPr="00062C03">
        <w:rPr>
          <w:rFonts w:hint="eastAsia"/>
          <w:color w:val="000000" w:themeColor="text1"/>
        </w:rPr>
        <w:t>員</w:t>
      </w:r>
      <w:r w:rsidRPr="00062C03">
        <w:rPr>
          <w:rFonts w:hint="eastAsia"/>
          <w:color w:val="000000" w:themeColor="text1"/>
        </w:rPr>
        <w:t>歸案後，同日由矯正署核准撤銷潘員之假釋，同日23時20分送該部矯正署臺東監獄執行撤銷假釋之殘</w:t>
      </w:r>
      <w:r w:rsidRPr="00062C03">
        <w:rPr>
          <w:rFonts w:hint="eastAsia"/>
          <w:color w:val="000000" w:themeColor="text1"/>
        </w:rPr>
        <w:lastRenderedPageBreak/>
        <w:t>刑。</w:t>
      </w:r>
    </w:p>
    <w:p w:rsidR="007F7CE4" w:rsidRPr="00062C03" w:rsidRDefault="007F7CE4" w:rsidP="00784CE9">
      <w:pPr>
        <w:pStyle w:val="3"/>
        <w:rPr>
          <w:color w:val="000000" w:themeColor="text1"/>
        </w:rPr>
      </w:pPr>
      <w:r w:rsidRPr="00062C03">
        <w:rPr>
          <w:rFonts w:hint="eastAsia"/>
          <w:color w:val="000000" w:themeColor="text1"/>
        </w:rPr>
        <w:t>另就潘員於假釋付保護管束期間，竟意圖為自己不法所有，基於竊盜犯意，於108年1月10日15時許，在臺東縣○○鄉○○村○○路</w:t>
      </w:r>
      <w:r w:rsidR="00CB4AF9" w:rsidRPr="00062C03">
        <w:rPr>
          <w:rFonts w:hint="eastAsia"/>
          <w:color w:val="000000" w:themeColor="text1"/>
        </w:rPr>
        <w:t>○○</w:t>
      </w:r>
      <w:r w:rsidRPr="00062C03">
        <w:rPr>
          <w:rFonts w:hint="eastAsia"/>
          <w:color w:val="000000" w:themeColor="text1"/>
        </w:rPr>
        <w:t>號之宮廟，見桌上有朱靜妏之機車鑰匙無人看管，遂竊取鑰匙後，以該鑰匙發動朱靜妏所有而停放於該宮廟車牌號碼○○○-0000號普通重型機車（已發還），旋即騎離而竊取之。</w:t>
      </w:r>
      <w:r w:rsidR="001E6336" w:rsidRPr="00062C03">
        <w:rPr>
          <w:rFonts w:hint="eastAsia"/>
          <w:color w:val="000000" w:themeColor="text1"/>
        </w:rPr>
        <w:t>潘員</w:t>
      </w:r>
      <w:r w:rsidRPr="00062C03">
        <w:rPr>
          <w:rFonts w:hint="eastAsia"/>
          <w:color w:val="000000" w:themeColor="text1"/>
        </w:rPr>
        <w:t>竊取該普通重型機車後，一路往北向騎乘至花蓮縣</w:t>
      </w:r>
      <w:r w:rsidR="003B29C9">
        <w:rPr>
          <w:rFonts w:hint="eastAsia"/>
          <w:color w:val="000000" w:themeColor="text1"/>
        </w:rPr>
        <w:t>○○</w:t>
      </w:r>
      <w:r w:rsidRPr="00062C03">
        <w:rPr>
          <w:rFonts w:hint="eastAsia"/>
          <w:color w:val="000000" w:themeColor="text1"/>
        </w:rPr>
        <w:t>鎮之</w:t>
      </w:r>
      <w:r w:rsidR="003B29C9">
        <w:rPr>
          <w:rFonts w:hint="eastAsia"/>
          <w:color w:val="000000" w:themeColor="text1"/>
        </w:rPr>
        <w:t>○○</w:t>
      </w:r>
      <w:r w:rsidRPr="00062C03">
        <w:rPr>
          <w:rFonts w:hint="eastAsia"/>
          <w:color w:val="000000" w:themeColor="text1"/>
        </w:rPr>
        <w:t>火車站附近某處，為避免遭電子腳鐐追蹤定位，其明知前揭電子腳鐐係屬公務員職務上所掌管之物，仍另行基於毀損公物之犯意，竟於同日16時至18時間某時，在</w:t>
      </w:r>
      <w:r w:rsidR="003B29C9">
        <w:rPr>
          <w:rFonts w:hint="eastAsia"/>
          <w:color w:val="000000" w:themeColor="text1"/>
        </w:rPr>
        <w:t>○○</w:t>
      </w:r>
      <w:r w:rsidRPr="00062C03">
        <w:rPr>
          <w:rFonts w:hint="eastAsia"/>
          <w:color w:val="000000" w:themeColor="text1"/>
        </w:rPr>
        <w:t>火車站附近破壞電子腳鐐而將之拆卸下，致該電子腳鐐不堪使用等犯罪事實。經臺灣臺東地方法院108年度東原簡字第65號判決有罪，認定</w:t>
      </w:r>
      <w:r w:rsidR="001E6336" w:rsidRPr="00062C03">
        <w:rPr>
          <w:rFonts w:hint="eastAsia"/>
          <w:color w:val="000000" w:themeColor="text1"/>
        </w:rPr>
        <w:t>潘員</w:t>
      </w:r>
      <w:r w:rsidRPr="00062C03">
        <w:rPr>
          <w:rFonts w:hint="eastAsia"/>
          <w:color w:val="000000" w:themeColor="text1"/>
        </w:rPr>
        <w:t>犯竊盜罪，累犯，處有期徒刑肆月，如易科罰金，以新臺幣壹仟元折算壹日；又犯損壞公務員職務上掌管之物品罪，累犯，處有期徒刑參月，如易科罰金，以新臺幣壹仟元折算壹日。應執行有期徒刑伍月，如易科罰金，以新臺幣壹仟元折算壹日。</w:t>
      </w:r>
    </w:p>
    <w:p w:rsidR="007F7CE4" w:rsidRPr="00062C03" w:rsidRDefault="007F7CE4" w:rsidP="00AA2408">
      <w:pPr>
        <w:pStyle w:val="3"/>
        <w:rPr>
          <w:color w:val="000000" w:themeColor="text1"/>
        </w:rPr>
      </w:pPr>
      <w:r w:rsidRPr="00062C03">
        <w:rPr>
          <w:rFonts w:hint="eastAsia"/>
          <w:color w:val="000000" w:themeColor="text1"/>
        </w:rPr>
        <w:t>本院依法務部查復，綜整前案及本案情形，比較如下表所示：</w:t>
      </w:r>
    </w:p>
    <w:p w:rsidR="00F92E2C" w:rsidRPr="00062C03" w:rsidRDefault="00F92E2C" w:rsidP="00F92E2C">
      <w:pPr>
        <w:pStyle w:val="a3"/>
        <w:jc w:val="center"/>
      </w:pPr>
      <w:r w:rsidRPr="00062C03">
        <w:rPr>
          <w:rFonts w:hint="eastAsia"/>
          <w:color w:val="000000" w:themeColor="text1"/>
        </w:rPr>
        <w:t>前案及本案比較表</w:t>
      </w:r>
    </w:p>
    <w:tbl>
      <w:tblPr>
        <w:tblStyle w:val="af6"/>
        <w:tblW w:w="0" w:type="auto"/>
        <w:tblLook w:val="04A0" w:firstRow="1" w:lastRow="0" w:firstColumn="1" w:lastColumn="0" w:noHBand="0" w:noVBand="1"/>
      </w:tblPr>
      <w:tblGrid>
        <w:gridCol w:w="2944"/>
        <w:gridCol w:w="2945"/>
        <w:gridCol w:w="2945"/>
      </w:tblGrid>
      <w:tr w:rsidR="007F7CE4" w:rsidRPr="00062C03" w:rsidTr="00795F1A">
        <w:tc>
          <w:tcPr>
            <w:tcW w:w="2944" w:type="dxa"/>
          </w:tcPr>
          <w:p w:rsidR="007F7CE4" w:rsidRPr="00062C03" w:rsidRDefault="007F7CE4" w:rsidP="00795F1A">
            <w:pPr>
              <w:rPr>
                <w:color w:val="000000" w:themeColor="text1"/>
              </w:rPr>
            </w:pPr>
          </w:p>
        </w:tc>
        <w:tc>
          <w:tcPr>
            <w:tcW w:w="2945" w:type="dxa"/>
          </w:tcPr>
          <w:p w:rsidR="007F7CE4" w:rsidRPr="00062C03" w:rsidRDefault="007F7CE4" w:rsidP="00795F1A">
            <w:pPr>
              <w:rPr>
                <w:color w:val="000000" w:themeColor="text1"/>
              </w:rPr>
            </w:pPr>
            <w:r w:rsidRPr="00062C03">
              <w:rPr>
                <w:rFonts w:hint="eastAsia"/>
                <w:color w:val="000000" w:themeColor="text1"/>
              </w:rPr>
              <w:t>潘員破壞電子腳鐐案（本案）</w:t>
            </w:r>
          </w:p>
        </w:tc>
        <w:tc>
          <w:tcPr>
            <w:tcW w:w="2945" w:type="dxa"/>
          </w:tcPr>
          <w:p w:rsidR="007F7CE4" w:rsidRPr="00062C03" w:rsidRDefault="007F7CE4" w:rsidP="00795F1A">
            <w:pPr>
              <w:rPr>
                <w:color w:val="000000" w:themeColor="text1"/>
              </w:rPr>
            </w:pPr>
            <w:r w:rsidRPr="00062C03">
              <w:rPr>
                <w:rFonts w:hint="eastAsia"/>
                <w:color w:val="000000" w:themeColor="text1"/>
              </w:rPr>
              <w:t>蕭員破壞電子腳鐐案（前案）</w:t>
            </w:r>
          </w:p>
        </w:tc>
      </w:tr>
      <w:tr w:rsidR="007F7CE4" w:rsidRPr="00062C03" w:rsidTr="00795F1A">
        <w:tc>
          <w:tcPr>
            <w:tcW w:w="2944" w:type="dxa"/>
          </w:tcPr>
          <w:p w:rsidR="007F7CE4" w:rsidRPr="00062C03" w:rsidRDefault="007F7CE4" w:rsidP="00795F1A">
            <w:pPr>
              <w:rPr>
                <w:color w:val="000000" w:themeColor="text1"/>
              </w:rPr>
            </w:pPr>
            <w:r w:rsidRPr="00062C03">
              <w:rPr>
                <w:rFonts w:hint="eastAsia"/>
                <w:color w:val="000000" w:themeColor="text1"/>
              </w:rPr>
              <w:t>破壞方式</w:t>
            </w:r>
          </w:p>
        </w:tc>
        <w:tc>
          <w:tcPr>
            <w:tcW w:w="2945" w:type="dxa"/>
          </w:tcPr>
          <w:p w:rsidR="007F7CE4" w:rsidRPr="00062C03" w:rsidRDefault="007F7CE4" w:rsidP="00795F1A">
            <w:pPr>
              <w:rPr>
                <w:color w:val="000000" w:themeColor="text1"/>
              </w:rPr>
            </w:pPr>
            <w:r w:rsidRPr="00062C03">
              <w:rPr>
                <w:rFonts w:hint="eastAsia"/>
                <w:color w:val="000000" w:themeColor="text1"/>
              </w:rPr>
              <w:t>徒手強力拉開</w:t>
            </w:r>
          </w:p>
        </w:tc>
        <w:tc>
          <w:tcPr>
            <w:tcW w:w="2945" w:type="dxa"/>
          </w:tcPr>
          <w:p w:rsidR="007F7CE4" w:rsidRPr="00062C03" w:rsidRDefault="007F7CE4" w:rsidP="00795F1A">
            <w:pPr>
              <w:rPr>
                <w:color w:val="000000" w:themeColor="text1"/>
              </w:rPr>
            </w:pPr>
            <w:r w:rsidRPr="00062C03">
              <w:rPr>
                <w:rFonts w:hint="eastAsia"/>
                <w:color w:val="000000" w:themeColor="text1"/>
              </w:rPr>
              <w:t>使用砂輪機</w:t>
            </w:r>
          </w:p>
        </w:tc>
      </w:tr>
      <w:tr w:rsidR="007F7CE4" w:rsidRPr="00062C03" w:rsidTr="00795F1A">
        <w:tc>
          <w:tcPr>
            <w:tcW w:w="2944" w:type="dxa"/>
          </w:tcPr>
          <w:p w:rsidR="007F7CE4" w:rsidRPr="00062C03" w:rsidRDefault="007F7CE4" w:rsidP="00795F1A">
            <w:pPr>
              <w:rPr>
                <w:color w:val="000000" w:themeColor="text1"/>
              </w:rPr>
            </w:pPr>
            <w:r w:rsidRPr="00062C03">
              <w:rPr>
                <w:rFonts w:hint="eastAsia"/>
                <w:color w:val="000000" w:themeColor="text1"/>
              </w:rPr>
              <w:t>訊號異常至尋獲電子腳鐐所需時間</w:t>
            </w:r>
          </w:p>
        </w:tc>
        <w:tc>
          <w:tcPr>
            <w:tcW w:w="2945" w:type="dxa"/>
          </w:tcPr>
          <w:p w:rsidR="007F7CE4" w:rsidRPr="00062C03" w:rsidRDefault="007F7CE4" w:rsidP="00795F1A">
            <w:pPr>
              <w:rPr>
                <w:color w:val="000000" w:themeColor="text1"/>
              </w:rPr>
            </w:pPr>
            <w:r w:rsidRPr="00062C03">
              <w:rPr>
                <w:rFonts w:hint="eastAsia"/>
                <w:color w:val="000000" w:themeColor="text1"/>
              </w:rPr>
              <w:t>108年1月10日16時至18時21分，歷時2時21分。</w:t>
            </w:r>
          </w:p>
        </w:tc>
        <w:tc>
          <w:tcPr>
            <w:tcW w:w="2945" w:type="dxa"/>
          </w:tcPr>
          <w:p w:rsidR="007F7CE4" w:rsidRPr="00062C03" w:rsidRDefault="007F7CE4" w:rsidP="00795F1A">
            <w:pPr>
              <w:rPr>
                <w:color w:val="000000" w:themeColor="text1"/>
              </w:rPr>
            </w:pPr>
            <w:r w:rsidRPr="00062C03">
              <w:rPr>
                <w:rFonts w:hint="eastAsia"/>
                <w:color w:val="000000" w:themeColor="text1"/>
              </w:rPr>
              <w:t>106年5月10日15時50至17時35分，歷時1時45分。</w:t>
            </w:r>
          </w:p>
        </w:tc>
      </w:tr>
      <w:tr w:rsidR="007F7CE4" w:rsidRPr="00062C03" w:rsidTr="00795F1A">
        <w:tc>
          <w:tcPr>
            <w:tcW w:w="2944" w:type="dxa"/>
          </w:tcPr>
          <w:p w:rsidR="007F7CE4" w:rsidRPr="00062C03" w:rsidRDefault="007F7CE4" w:rsidP="00795F1A">
            <w:pPr>
              <w:rPr>
                <w:color w:val="000000" w:themeColor="text1"/>
              </w:rPr>
            </w:pPr>
            <w:r w:rsidRPr="00062C03">
              <w:rPr>
                <w:rFonts w:hint="eastAsia"/>
                <w:color w:val="000000" w:themeColor="text1"/>
              </w:rPr>
              <w:t>發布通緝之原因案</w:t>
            </w:r>
            <w:r w:rsidRPr="00062C03">
              <w:rPr>
                <w:rFonts w:hint="eastAsia"/>
                <w:color w:val="000000" w:themeColor="text1"/>
              </w:rPr>
              <w:lastRenderedPageBreak/>
              <w:t>件</w:t>
            </w:r>
          </w:p>
        </w:tc>
        <w:tc>
          <w:tcPr>
            <w:tcW w:w="2945" w:type="dxa"/>
          </w:tcPr>
          <w:p w:rsidR="007F7CE4" w:rsidRPr="00062C03" w:rsidRDefault="007F7CE4" w:rsidP="00795F1A">
            <w:pPr>
              <w:rPr>
                <w:color w:val="000000" w:themeColor="text1"/>
              </w:rPr>
            </w:pPr>
            <w:r w:rsidRPr="00062C03">
              <w:rPr>
                <w:rFonts w:hint="eastAsia"/>
                <w:color w:val="000000" w:themeColor="text1"/>
              </w:rPr>
              <w:lastRenderedPageBreak/>
              <w:t>破壞電子腳鐐涉嫌</w:t>
            </w:r>
            <w:r w:rsidRPr="00062C03">
              <w:rPr>
                <w:rFonts w:hint="eastAsia"/>
                <w:color w:val="000000" w:themeColor="text1"/>
              </w:rPr>
              <w:lastRenderedPageBreak/>
              <w:t>刑法第138條</w:t>
            </w:r>
          </w:p>
        </w:tc>
        <w:tc>
          <w:tcPr>
            <w:tcW w:w="2945" w:type="dxa"/>
          </w:tcPr>
          <w:p w:rsidR="007F7CE4" w:rsidRPr="00062C03" w:rsidRDefault="007F7CE4" w:rsidP="00795F1A">
            <w:pPr>
              <w:rPr>
                <w:color w:val="000000" w:themeColor="text1"/>
              </w:rPr>
            </w:pPr>
            <w:r w:rsidRPr="00062C03">
              <w:rPr>
                <w:rFonts w:hint="eastAsia"/>
                <w:color w:val="000000" w:themeColor="text1"/>
              </w:rPr>
              <w:lastRenderedPageBreak/>
              <w:t>另案竊盜罪判決確</w:t>
            </w:r>
            <w:r w:rsidRPr="00062C03">
              <w:rPr>
                <w:rFonts w:hint="eastAsia"/>
                <w:color w:val="000000" w:themeColor="text1"/>
              </w:rPr>
              <w:lastRenderedPageBreak/>
              <w:t>定</w:t>
            </w:r>
          </w:p>
        </w:tc>
      </w:tr>
      <w:tr w:rsidR="007F7CE4" w:rsidRPr="00062C03" w:rsidTr="00795F1A">
        <w:tc>
          <w:tcPr>
            <w:tcW w:w="2944" w:type="dxa"/>
          </w:tcPr>
          <w:p w:rsidR="007F7CE4" w:rsidRPr="00062C03" w:rsidRDefault="007F7CE4" w:rsidP="00795F1A">
            <w:pPr>
              <w:rPr>
                <w:color w:val="000000" w:themeColor="text1"/>
              </w:rPr>
            </w:pPr>
            <w:r w:rsidRPr="00062C03">
              <w:rPr>
                <w:rFonts w:hint="eastAsia"/>
                <w:color w:val="000000" w:themeColor="text1"/>
              </w:rPr>
              <w:lastRenderedPageBreak/>
              <w:t>發布通緝日期</w:t>
            </w:r>
          </w:p>
        </w:tc>
        <w:tc>
          <w:tcPr>
            <w:tcW w:w="2945" w:type="dxa"/>
          </w:tcPr>
          <w:p w:rsidR="007F7CE4" w:rsidRPr="00062C03" w:rsidRDefault="007F7CE4" w:rsidP="00795F1A">
            <w:pPr>
              <w:rPr>
                <w:color w:val="000000" w:themeColor="text1"/>
              </w:rPr>
            </w:pPr>
            <w:r w:rsidRPr="00062C03">
              <w:rPr>
                <w:rFonts w:hint="eastAsia"/>
                <w:color w:val="000000" w:themeColor="text1"/>
              </w:rPr>
              <w:t>108年1月10日</w:t>
            </w:r>
          </w:p>
        </w:tc>
        <w:tc>
          <w:tcPr>
            <w:tcW w:w="2945" w:type="dxa"/>
          </w:tcPr>
          <w:p w:rsidR="007F7CE4" w:rsidRPr="00062C03" w:rsidRDefault="007F7CE4" w:rsidP="00795F1A">
            <w:pPr>
              <w:rPr>
                <w:color w:val="000000" w:themeColor="text1"/>
              </w:rPr>
            </w:pPr>
            <w:r w:rsidRPr="00062C03">
              <w:rPr>
                <w:rFonts w:hint="eastAsia"/>
                <w:color w:val="000000" w:themeColor="text1"/>
              </w:rPr>
              <w:t>106年5月1</w:t>
            </w:r>
            <w:r w:rsidRPr="00062C03">
              <w:rPr>
                <w:color w:val="000000" w:themeColor="text1"/>
              </w:rPr>
              <w:t>1</w:t>
            </w:r>
            <w:r w:rsidRPr="00062C03">
              <w:rPr>
                <w:rFonts w:hint="eastAsia"/>
                <w:color w:val="000000" w:themeColor="text1"/>
              </w:rPr>
              <w:t>日</w:t>
            </w:r>
          </w:p>
        </w:tc>
      </w:tr>
      <w:tr w:rsidR="007F7CE4" w:rsidRPr="00062C03" w:rsidTr="00795F1A">
        <w:tc>
          <w:tcPr>
            <w:tcW w:w="2944" w:type="dxa"/>
          </w:tcPr>
          <w:p w:rsidR="007F7CE4" w:rsidRPr="00062C03" w:rsidRDefault="007F7CE4" w:rsidP="00795F1A">
            <w:pPr>
              <w:rPr>
                <w:color w:val="000000" w:themeColor="text1"/>
              </w:rPr>
            </w:pPr>
            <w:r w:rsidRPr="00062C03">
              <w:rPr>
                <w:rFonts w:hint="eastAsia"/>
                <w:color w:val="000000" w:themeColor="text1"/>
              </w:rPr>
              <w:t>撤銷假釋理由</w:t>
            </w:r>
          </w:p>
        </w:tc>
        <w:tc>
          <w:tcPr>
            <w:tcW w:w="2945" w:type="dxa"/>
          </w:tcPr>
          <w:p w:rsidR="007F7CE4" w:rsidRPr="00062C03" w:rsidRDefault="007F7CE4" w:rsidP="00795F1A">
            <w:pPr>
              <w:rPr>
                <w:color w:val="000000" w:themeColor="text1"/>
              </w:rPr>
            </w:pPr>
            <w:r w:rsidRPr="00062C03">
              <w:rPr>
                <w:rFonts w:hint="eastAsia"/>
                <w:color w:val="000000" w:themeColor="text1"/>
              </w:rPr>
              <w:t>違反保安處分執行法第</w:t>
            </w:r>
            <w:r w:rsidRPr="00062C03">
              <w:rPr>
                <w:color w:val="000000" w:themeColor="text1"/>
              </w:rPr>
              <w:t>74</w:t>
            </w:r>
            <w:r w:rsidRPr="00062C03">
              <w:rPr>
                <w:rFonts w:hint="eastAsia"/>
                <w:color w:val="000000" w:themeColor="text1"/>
              </w:rPr>
              <w:t>條之</w:t>
            </w:r>
            <w:r w:rsidRPr="00062C03">
              <w:rPr>
                <w:color w:val="000000" w:themeColor="text1"/>
              </w:rPr>
              <w:t>2</w:t>
            </w:r>
            <w:r w:rsidRPr="00062C03">
              <w:rPr>
                <w:rFonts w:hint="eastAsia"/>
                <w:color w:val="000000" w:themeColor="text1"/>
              </w:rPr>
              <w:t>第</w:t>
            </w:r>
            <w:r w:rsidRPr="00062C03">
              <w:rPr>
                <w:color w:val="000000" w:themeColor="text1"/>
              </w:rPr>
              <w:t>1</w:t>
            </w:r>
            <w:r w:rsidRPr="00062C03">
              <w:rPr>
                <w:rFonts w:hint="eastAsia"/>
                <w:color w:val="000000" w:themeColor="text1"/>
              </w:rPr>
              <w:t>款、第</w:t>
            </w:r>
            <w:r w:rsidRPr="00062C03">
              <w:rPr>
                <w:color w:val="000000" w:themeColor="text1"/>
              </w:rPr>
              <w:t>2</w:t>
            </w:r>
            <w:r w:rsidRPr="00062C03">
              <w:rPr>
                <w:rFonts w:hint="eastAsia"/>
                <w:color w:val="000000" w:themeColor="text1"/>
              </w:rPr>
              <w:t>款、第</w:t>
            </w:r>
            <w:r w:rsidRPr="00062C03">
              <w:rPr>
                <w:color w:val="000000" w:themeColor="text1"/>
              </w:rPr>
              <w:t>4</w:t>
            </w:r>
            <w:r w:rsidRPr="00062C03">
              <w:rPr>
                <w:rFonts w:hint="eastAsia"/>
                <w:color w:val="000000" w:themeColor="text1"/>
              </w:rPr>
              <w:t>款及第</w:t>
            </w:r>
            <w:r w:rsidRPr="00062C03">
              <w:rPr>
                <w:color w:val="000000" w:themeColor="text1"/>
              </w:rPr>
              <w:t>5</w:t>
            </w:r>
            <w:r w:rsidRPr="00062C03">
              <w:rPr>
                <w:rFonts w:hint="eastAsia"/>
                <w:color w:val="000000" w:themeColor="text1"/>
              </w:rPr>
              <w:t>款之規定情節重大，於108年1月11</w:t>
            </w:r>
            <w:r w:rsidR="00196370" w:rsidRPr="00062C03">
              <w:rPr>
                <w:rFonts w:hint="eastAsia"/>
                <w:color w:val="000000" w:themeColor="text1"/>
              </w:rPr>
              <w:t>日准予撤銷其假釋</w:t>
            </w:r>
          </w:p>
        </w:tc>
        <w:tc>
          <w:tcPr>
            <w:tcW w:w="2945" w:type="dxa"/>
          </w:tcPr>
          <w:p w:rsidR="007F7CE4" w:rsidRPr="00062C03" w:rsidRDefault="007F7CE4" w:rsidP="00795F1A">
            <w:pPr>
              <w:rPr>
                <w:color w:val="000000" w:themeColor="text1"/>
              </w:rPr>
            </w:pPr>
            <w:r w:rsidRPr="00062C03">
              <w:rPr>
                <w:rFonts w:hint="eastAsia"/>
                <w:color w:val="000000" w:themeColor="text1"/>
              </w:rPr>
              <w:t>違反保安處分執行法第74條之2第1款、第2款及第5款之規定情節重大，於10</w:t>
            </w:r>
            <w:r w:rsidRPr="00062C03">
              <w:rPr>
                <w:color w:val="000000" w:themeColor="text1"/>
              </w:rPr>
              <w:t>6</w:t>
            </w:r>
            <w:r w:rsidRPr="00062C03">
              <w:rPr>
                <w:rFonts w:hint="eastAsia"/>
                <w:color w:val="000000" w:themeColor="text1"/>
              </w:rPr>
              <w:t>年5月11</w:t>
            </w:r>
            <w:r w:rsidR="00196370" w:rsidRPr="00062C03">
              <w:rPr>
                <w:rFonts w:hint="eastAsia"/>
                <w:color w:val="000000" w:themeColor="text1"/>
              </w:rPr>
              <w:t>日准予撤銷其假釋</w:t>
            </w:r>
          </w:p>
        </w:tc>
      </w:tr>
    </w:tbl>
    <w:p w:rsidR="007F7CE4" w:rsidRPr="00062C03" w:rsidRDefault="007F7CE4" w:rsidP="003F582B">
      <w:pPr>
        <w:rPr>
          <w:color w:val="000000" w:themeColor="text1"/>
          <w:sz w:val="20"/>
        </w:rPr>
      </w:pPr>
      <w:r w:rsidRPr="00062C03">
        <w:rPr>
          <w:rFonts w:hint="eastAsia"/>
          <w:color w:val="000000" w:themeColor="text1"/>
          <w:sz w:val="20"/>
        </w:rPr>
        <w:t>資料來源：依法務部查復資料彙整。</w:t>
      </w:r>
    </w:p>
    <w:p w:rsidR="007F7CE4" w:rsidRPr="00062C03" w:rsidRDefault="007F7CE4" w:rsidP="003F582B">
      <w:pPr>
        <w:rPr>
          <w:color w:val="000000" w:themeColor="text1"/>
          <w:sz w:val="20"/>
        </w:rPr>
      </w:pPr>
    </w:p>
    <w:p w:rsidR="007F7CE4" w:rsidRPr="00062C03" w:rsidRDefault="007F7CE4" w:rsidP="00466E7F">
      <w:pPr>
        <w:pStyle w:val="3"/>
        <w:rPr>
          <w:color w:val="000000" w:themeColor="text1"/>
        </w:rPr>
      </w:pPr>
      <w:r w:rsidRPr="00062C03">
        <w:rPr>
          <w:rFonts w:hint="eastAsia"/>
          <w:color w:val="000000" w:themeColor="text1"/>
        </w:rPr>
        <w:t>本案對潘姓性侵假釋付保護管束之人以違反刑法第138條為通緝事由，同日發布通緝，相較於前案以蕭姓性侵假釋付保護管束之人，另犯竊盜罪判決確定為事由發布通緝，於破壞電子腳鐐後隔日始發布通緝，較為迅速。雖兩案均於破壞電子腳鐐翌日即緝獲犯嫌，但依前案作法，如無另外刑事判決確定案件，恐將落入性侵假釋付保護管束之人逃匿無法通緝之疑慮，至於前案澎湖地檢署因而提出開放保護管束案件</w:t>
      </w:r>
      <w:r w:rsidR="00466E7F" w:rsidRPr="00062C03">
        <w:rPr>
          <w:rFonts w:hint="eastAsia"/>
          <w:color w:val="000000" w:themeColor="text1"/>
        </w:rPr>
        <w:t>中亦可對逃逸者通緝之建議作法</w:t>
      </w:r>
      <w:r w:rsidRPr="00062C03">
        <w:rPr>
          <w:rFonts w:hint="eastAsia"/>
          <w:color w:val="000000" w:themeColor="text1"/>
        </w:rPr>
        <w:t>，亦屬不可行，誠如前述調查意見一。因此，就兩案歧異作法，允請法務部研議分析其優劣，作為其他檢察官辦案參考。</w:t>
      </w:r>
    </w:p>
    <w:p w:rsidR="007F7CE4" w:rsidRPr="00062C03" w:rsidRDefault="007F7CE4" w:rsidP="002944BC">
      <w:pPr>
        <w:pStyle w:val="2"/>
        <w:numPr>
          <w:ilvl w:val="1"/>
          <w:numId w:val="36"/>
        </w:numPr>
        <w:rPr>
          <w:b/>
          <w:color w:val="000000" w:themeColor="text1"/>
        </w:rPr>
      </w:pPr>
      <w:r w:rsidRPr="00062C03">
        <w:rPr>
          <w:rFonts w:hint="eastAsia"/>
          <w:b/>
          <w:color w:val="000000" w:themeColor="text1"/>
        </w:rPr>
        <w:t>本案潘員曾以工作場域無法接受訊號，影響工作，甚至萌生回監執行想法，顯見電子腳鐐配戴除管控再犯風險外，亦擴張對其日常生活產生額外限制，倘施加電子腳鐐之最終目的，仍在於透過撤銷假釋之司法強制力，協助加害人去除犯罪傾向，令其再社會化，則</w:t>
      </w:r>
      <w:r w:rsidR="005C32EE" w:rsidRPr="00062C03">
        <w:rPr>
          <w:rFonts w:hint="eastAsia"/>
          <w:b/>
          <w:color w:val="000000" w:themeColor="text1"/>
        </w:rPr>
        <w:t>同理穿戴電子腳鐐者日常生活上影響</w:t>
      </w:r>
      <w:r w:rsidR="00B9506F" w:rsidRPr="00062C03">
        <w:rPr>
          <w:rFonts w:hint="eastAsia"/>
          <w:b/>
          <w:color w:val="000000" w:themeColor="text1"/>
        </w:rPr>
        <w:t>、</w:t>
      </w:r>
      <w:r w:rsidRPr="00062C03">
        <w:rPr>
          <w:rFonts w:hint="eastAsia"/>
          <w:b/>
          <w:color w:val="000000" w:themeColor="text1"/>
        </w:rPr>
        <w:t>瞭解各破壞電子腳鐐原因，於觀護處遇過程中，改善觀護人與性侵</w:t>
      </w:r>
      <w:r w:rsidRPr="00062C03">
        <w:rPr>
          <w:rFonts w:hint="eastAsia"/>
          <w:b/>
          <w:color w:val="000000" w:themeColor="text1"/>
        </w:rPr>
        <w:lastRenderedPageBreak/>
        <w:t>假釋付保護管束之人間互動或管控模式，方可達成復歸社會之目的，亦請法務部一併檢討改進。</w:t>
      </w:r>
    </w:p>
    <w:p w:rsidR="007F7CE4" w:rsidRPr="00062C03" w:rsidRDefault="007F7CE4" w:rsidP="00AE3C4D">
      <w:pPr>
        <w:pStyle w:val="3"/>
        <w:rPr>
          <w:color w:val="000000" w:themeColor="text1"/>
        </w:rPr>
      </w:pPr>
      <w:r w:rsidRPr="00062C03">
        <w:rPr>
          <w:rFonts w:hint="eastAsia"/>
          <w:color w:val="000000" w:themeColor="text1"/>
        </w:rPr>
        <w:t>現代刑事司法體系</w:t>
      </w:r>
      <w:r w:rsidR="00A049A8" w:rsidRPr="00062C03">
        <w:rPr>
          <w:rFonts w:hint="eastAsia"/>
          <w:color w:val="000000" w:themeColor="text1"/>
        </w:rPr>
        <w:t>之</w:t>
      </w:r>
      <w:r w:rsidRPr="00062C03">
        <w:rPr>
          <w:rFonts w:hint="eastAsia"/>
          <w:color w:val="000000" w:themeColor="text1"/>
        </w:rPr>
        <w:t>觀護制度，</w:t>
      </w:r>
      <w:r w:rsidR="00A049A8" w:rsidRPr="00062C03">
        <w:rPr>
          <w:rFonts w:hint="eastAsia"/>
          <w:color w:val="000000" w:themeColor="text1"/>
        </w:rPr>
        <w:t>屬於對刑事罪犯</w:t>
      </w:r>
      <w:r w:rsidRPr="00062C03">
        <w:rPr>
          <w:rFonts w:hint="eastAsia"/>
          <w:color w:val="000000" w:themeColor="text1"/>
        </w:rPr>
        <w:t>暫緩宣告與暫緩執行的試驗措施，</w:t>
      </w:r>
      <w:r w:rsidR="001345C8" w:rsidRPr="00062C03">
        <w:rPr>
          <w:rFonts w:hint="eastAsia"/>
          <w:color w:val="000000" w:themeColor="text1"/>
        </w:rPr>
        <w:t>用來</w:t>
      </w:r>
      <w:r w:rsidRPr="00062C03">
        <w:rPr>
          <w:rFonts w:hint="eastAsia"/>
          <w:color w:val="000000" w:themeColor="text1"/>
        </w:rPr>
        <w:t>處遇可期</w:t>
      </w:r>
      <w:r w:rsidR="001345C8" w:rsidRPr="00062C03">
        <w:rPr>
          <w:rFonts w:hint="eastAsia"/>
          <w:color w:val="000000" w:themeColor="text1"/>
        </w:rPr>
        <w:t>其</w:t>
      </w:r>
      <w:r w:rsidRPr="00062C03">
        <w:rPr>
          <w:rFonts w:hint="eastAsia"/>
          <w:color w:val="000000" w:themeColor="text1"/>
        </w:rPr>
        <w:t>改善，並經慎重選擇之受觀護者，將其附條件地置於自由社會中，接受觀護人之監督、輔導與協助，使其改悔向上</w:t>
      </w:r>
      <w:r w:rsidRPr="00062C03">
        <w:rPr>
          <w:rStyle w:val="afe"/>
          <w:color w:val="000000" w:themeColor="text1"/>
        </w:rPr>
        <w:footnoteReference w:id="26"/>
      </w:r>
      <w:r w:rsidRPr="00062C03">
        <w:rPr>
          <w:rFonts w:hint="eastAsia"/>
          <w:color w:val="000000" w:themeColor="text1"/>
        </w:rPr>
        <w:t>。透過觀護人的行為監督與生活輔導之工作手段，促進犯罪人重新適應陌生的社會生活，建立正向人際關係，重拾穩定的生活模式，以預防其再犯為目的</w:t>
      </w:r>
      <w:r w:rsidRPr="00062C03">
        <w:rPr>
          <w:rStyle w:val="afe"/>
          <w:color w:val="000000" w:themeColor="text1"/>
        </w:rPr>
        <w:footnoteReference w:id="27"/>
      </w:r>
      <w:r w:rsidRPr="00062C03">
        <w:rPr>
          <w:rFonts w:hint="eastAsia"/>
          <w:color w:val="000000" w:themeColor="text1"/>
        </w:rPr>
        <w:t>。</w:t>
      </w:r>
    </w:p>
    <w:p w:rsidR="00C87F07" w:rsidRPr="00062C03" w:rsidRDefault="00BD0F2D" w:rsidP="003200AD">
      <w:pPr>
        <w:pStyle w:val="3"/>
        <w:rPr>
          <w:color w:val="000000" w:themeColor="text1"/>
        </w:rPr>
      </w:pPr>
      <w:r w:rsidRPr="00062C03">
        <w:rPr>
          <w:rFonts w:hint="eastAsia"/>
          <w:color w:val="000000" w:themeColor="text1"/>
        </w:rPr>
        <w:t>基於</w:t>
      </w:r>
      <w:r w:rsidR="007F7CE4" w:rsidRPr="00062C03">
        <w:rPr>
          <w:rFonts w:hint="eastAsia"/>
          <w:color w:val="000000" w:themeColor="text1"/>
        </w:rPr>
        <w:t>性侵害犯罪加害人之犯罪類型特殊，</w:t>
      </w:r>
      <w:r w:rsidRPr="00062C03">
        <w:rPr>
          <w:rFonts w:hint="eastAsia"/>
          <w:color w:val="000000" w:themeColor="text1"/>
        </w:rPr>
        <w:t>為防範其再犯風險，對於性侵假釋付保護管束之人施加電子腳鐐，仍應注意</w:t>
      </w:r>
      <w:r w:rsidR="001345C8" w:rsidRPr="00062C03">
        <w:rPr>
          <w:rFonts w:hint="eastAsia"/>
          <w:color w:val="000000" w:themeColor="text1"/>
        </w:rPr>
        <w:t>觀護之目的在於協助受觀護者</w:t>
      </w:r>
      <w:r w:rsidRPr="00062C03">
        <w:rPr>
          <w:rFonts w:hint="eastAsia"/>
          <w:color w:val="000000" w:themeColor="text1"/>
        </w:rPr>
        <w:t>復歸社會，促使</w:t>
      </w:r>
      <w:r w:rsidR="001345C8" w:rsidRPr="00062C03">
        <w:rPr>
          <w:rFonts w:hint="eastAsia"/>
          <w:color w:val="000000" w:themeColor="text1"/>
        </w:rPr>
        <w:t>其</w:t>
      </w:r>
      <w:r w:rsidRPr="00062C03">
        <w:rPr>
          <w:rFonts w:hint="eastAsia"/>
          <w:color w:val="000000" w:themeColor="text1"/>
        </w:rPr>
        <w:t>再社會化。</w:t>
      </w:r>
      <w:r w:rsidR="007F7CE4" w:rsidRPr="00062C03">
        <w:rPr>
          <w:rFonts w:hint="eastAsia"/>
          <w:color w:val="000000" w:themeColor="text1"/>
        </w:rPr>
        <w:t>現行我國對於性侵害加害人之觀護處遇</w:t>
      </w:r>
      <w:r w:rsidR="000E6780" w:rsidRPr="00062C03">
        <w:rPr>
          <w:rFonts w:hint="eastAsia"/>
          <w:color w:val="000000" w:themeColor="text1"/>
        </w:rPr>
        <w:t>（保安處分）</w:t>
      </w:r>
      <w:r w:rsidR="007F7CE4" w:rsidRPr="00062C03">
        <w:rPr>
          <w:rFonts w:hint="eastAsia"/>
          <w:color w:val="000000" w:themeColor="text1"/>
        </w:rPr>
        <w:t>，重視避免其再犯之社會防衛面向，</w:t>
      </w:r>
      <w:r w:rsidR="001345C8" w:rsidRPr="00062C03">
        <w:rPr>
          <w:rFonts w:hint="eastAsia"/>
          <w:color w:val="000000" w:themeColor="text1"/>
        </w:rPr>
        <w:t>但</w:t>
      </w:r>
      <w:r w:rsidR="00A049A8" w:rsidRPr="00062C03">
        <w:rPr>
          <w:rFonts w:hint="eastAsia"/>
          <w:color w:val="000000" w:themeColor="text1"/>
        </w:rPr>
        <w:t>未能彰顯</w:t>
      </w:r>
      <w:r w:rsidR="001345C8" w:rsidRPr="00062C03">
        <w:rPr>
          <w:rFonts w:hint="eastAsia"/>
          <w:color w:val="000000" w:themeColor="text1"/>
        </w:rPr>
        <w:t>協助其</w:t>
      </w:r>
      <w:r w:rsidR="007F7CE4" w:rsidRPr="00062C03">
        <w:rPr>
          <w:rFonts w:hint="eastAsia"/>
          <w:color w:val="000000" w:themeColor="text1"/>
        </w:rPr>
        <w:t>早日復歸社會之觀護本質，因此，學者透過比較法觀點認為：「德國針對電子監控之刑事政策之重點在於『監管』，不但要達到電子上之『監控』也要達到『管理』之輔導。相較於我國之電子監控制度僅強調受刑人之『監控』而無進一步之管理輔導。此外，德國實施電子監控須得到受刑人之同意並共同協商相關之執行計畫，如此方能達到刑事執行『再社會化』之目的。</w:t>
      </w:r>
      <w:r w:rsidR="007F7CE4" w:rsidRPr="00062C03">
        <w:rPr>
          <w:rStyle w:val="afe"/>
          <w:color w:val="000000" w:themeColor="text1"/>
        </w:rPr>
        <w:footnoteReference w:id="28"/>
      </w:r>
      <w:r w:rsidR="007F7CE4" w:rsidRPr="00062C03">
        <w:rPr>
          <w:rFonts w:hint="eastAsia"/>
          <w:color w:val="000000" w:themeColor="text1"/>
        </w:rPr>
        <w:t>」也有研究指出：「觀護人應扮演幫助、指導者的角色，而非是以監獄官員的思維來管理配戴者，因為過於制式硬化的管理措施，只會引起配戴</w:t>
      </w:r>
      <w:r w:rsidR="007F7CE4" w:rsidRPr="00062C03">
        <w:rPr>
          <w:rFonts w:hint="eastAsia"/>
          <w:color w:val="000000" w:themeColor="text1"/>
        </w:rPr>
        <w:lastRenderedPageBreak/>
        <w:t>者的反感，連帶造成方案失效，而最初電子監控的設想是針對犯罪者給予正向回饋以利復歸社會，電子監控若能以正增強的方式去執行，將能大幅度地維護社會治安……</w:t>
      </w:r>
      <w:r w:rsidR="007F7CE4" w:rsidRPr="00062C03">
        <w:rPr>
          <w:rStyle w:val="afe"/>
          <w:color w:val="000000" w:themeColor="text1"/>
        </w:rPr>
        <w:footnoteReference w:id="29"/>
      </w:r>
      <w:r w:rsidR="007F7CE4" w:rsidRPr="00062C03">
        <w:rPr>
          <w:rFonts w:hint="eastAsia"/>
          <w:color w:val="000000" w:themeColor="text1"/>
        </w:rPr>
        <w:t>」</w:t>
      </w:r>
      <w:r w:rsidR="001345C8" w:rsidRPr="00062C03">
        <w:rPr>
          <w:rFonts w:hint="eastAsia"/>
          <w:color w:val="000000" w:themeColor="text1"/>
        </w:rPr>
        <w:t>等語，</w:t>
      </w:r>
      <w:r w:rsidR="007F7CE4" w:rsidRPr="00062C03">
        <w:rPr>
          <w:rFonts w:hint="eastAsia"/>
          <w:color w:val="000000" w:themeColor="text1"/>
        </w:rPr>
        <w:t>臺灣高等檢察署</w:t>
      </w:r>
      <w:r w:rsidR="007F7CE4" w:rsidRPr="00062C03">
        <w:rPr>
          <w:rFonts w:hAnsi="標楷體" w:hint="eastAsia"/>
          <w:color w:val="000000" w:themeColor="text1"/>
        </w:rPr>
        <w:t>調署辦事觀護人曹又云</w:t>
      </w:r>
      <w:r w:rsidR="00167518" w:rsidRPr="00062C03">
        <w:rPr>
          <w:rFonts w:hAnsi="標楷體" w:hint="eastAsia"/>
          <w:color w:val="000000" w:themeColor="text1"/>
        </w:rPr>
        <w:t>於本院詢問會議時</w:t>
      </w:r>
      <w:r w:rsidR="001345C8" w:rsidRPr="00062C03">
        <w:rPr>
          <w:rFonts w:hAnsi="標楷體" w:hint="eastAsia"/>
          <w:color w:val="000000" w:themeColor="text1"/>
        </w:rPr>
        <w:t>亦</w:t>
      </w:r>
      <w:r w:rsidR="007F7CE4" w:rsidRPr="00062C03">
        <w:rPr>
          <w:rFonts w:hint="eastAsia"/>
          <w:color w:val="000000" w:themeColor="text1"/>
        </w:rPr>
        <w:t>表示：「</w:t>
      </w:r>
      <w:r w:rsidR="007F7CE4" w:rsidRPr="00062C03">
        <w:rPr>
          <w:rFonts w:hAnsi="標楷體" w:hint="eastAsia"/>
          <w:color w:val="000000" w:themeColor="text1"/>
        </w:rPr>
        <w:t>受監控人也要考量配戴舒適，以利其復歸社會</w:t>
      </w:r>
      <w:r w:rsidR="007F7CE4" w:rsidRPr="00062C03">
        <w:rPr>
          <w:rFonts w:hint="eastAsia"/>
          <w:color w:val="000000" w:themeColor="text1"/>
        </w:rPr>
        <w:t>」等語。</w:t>
      </w:r>
    </w:p>
    <w:p w:rsidR="007F7CE4" w:rsidRPr="00062C03" w:rsidRDefault="007F7CE4" w:rsidP="003200AD">
      <w:pPr>
        <w:pStyle w:val="3"/>
        <w:rPr>
          <w:color w:val="000000" w:themeColor="text1"/>
        </w:rPr>
      </w:pPr>
      <w:r w:rsidRPr="00062C03">
        <w:rPr>
          <w:rFonts w:hint="eastAsia"/>
          <w:color w:val="000000" w:themeColor="text1"/>
        </w:rPr>
        <w:t>然查，</w:t>
      </w:r>
      <w:r w:rsidR="001345C8" w:rsidRPr="00062C03">
        <w:rPr>
          <w:rFonts w:hint="eastAsia"/>
          <w:color w:val="000000" w:themeColor="text1"/>
        </w:rPr>
        <w:t>依法務部檢送本院之107年6月28日「臺東地檢署觀護輔導紀要」，當日</w:t>
      </w:r>
      <w:r w:rsidR="00C87F07" w:rsidRPr="00062C03">
        <w:rPr>
          <w:rFonts w:hint="eastAsia"/>
          <w:color w:val="000000" w:themeColor="text1"/>
        </w:rPr>
        <w:t>臺東地檢署觀護人偕同科技公司至潘員家中安裝電子腳鐐時，潘員表示欲與叔叔至綠島工作，因穿</w:t>
      </w:r>
      <w:r w:rsidR="009B5E2E" w:rsidRPr="00062C03">
        <w:rPr>
          <w:rFonts w:hint="eastAsia"/>
          <w:color w:val="000000" w:themeColor="text1"/>
        </w:rPr>
        <w:t>戴</w:t>
      </w:r>
      <w:r w:rsidR="00C87F07" w:rsidRPr="00062C03">
        <w:rPr>
          <w:rFonts w:hint="eastAsia"/>
          <w:color w:val="000000" w:themeColor="text1"/>
        </w:rPr>
        <w:t>電子腳鐐而無法前往；其母（具護理及社工知能）見觀護人</w:t>
      </w:r>
      <w:r w:rsidR="00155A17" w:rsidRPr="00062C03">
        <w:rPr>
          <w:rFonts w:hint="eastAsia"/>
          <w:color w:val="000000" w:themeColor="text1"/>
        </w:rPr>
        <w:t>情緒</w:t>
      </w:r>
      <w:r w:rsidR="00C87F07" w:rsidRPr="00062C03">
        <w:rPr>
          <w:rFonts w:hint="eastAsia"/>
          <w:color w:val="000000" w:themeColor="text1"/>
        </w:rPr>
        <w:t>便緊繃</w:t>
      </w:r>
      <w:r w:rsidR="00155A17" w:rsidRPr="00062C03">
        <w:rPr>
          <w:rFonts w:hint="eastAsia"/>
          <w:color w:val="000000" w:themeColor="text1"/>
        </w:rPr>
        <w:t>地</w:t>
      </w:r>
      <w:r w:rsidR="00C87F07" w:rsidRPr="00062C03">
        <w:rPr>
          <w:rFonts w:hint="eastAsia"/>
          <w:color w:val="000000" w:themeColor="text1"/>
        </w:rPr>
        <w:t>表示，潘員要被監控、留在臺東及向管區報告，不如直接再犯案進去關就好</w:t>
      </w:r>
      <w:r w:rsidR="00155A17" w:rsidRPr="00062C03">
        <w:rPr>
          <w:rFonts w:hint="eastAsia"/>
          <w:color w:val="000000" w:themeColor="text1"/>
        </w:rPr>
        <w:t>等語</w:t>
      </w:r>
      <w:r w:rsidR="00C87F07" w:rsidRPr="00062C03">
        <w:rPr>
          <w:rFonts w:hint="eastAsia"/>
          <w:color w:val="000000" w:themeColor="text1"/>
        </w:rPr>
        <w:t>，</w:t>
      </w:r>
      <w:r w:rsidR="00155A17" w:rsidRPr="00062C03">
        <w:rPr>
          <w:rFonts w:hint="eastAsia"/>
          <w:color w:val="000000" w:themeColor="text1"/>
        </w:rPr>
        <w:t>顯對潘員被監控</w:t>
      </w:r>
      <w:r w:rsidR="00C87F07" w:rsidRPr="00062C03">
        <w:rPr>
          <w:rFonts w:hint="eastAsia"/>
          <w:color w:val="000000" w:themeColor="text1"/>
        </w:rPr>
        <w:t>頗有不滿，經觀護人說明後，情緒平緩才接受。又</w:t>
      </w:r>
      <w:r w:rsidRPr="00062C03">
        <w:rPr>
          <w:rFonts w:hint="eastAsia"/>
          <w:color w:val="000000" w:themeColor="text1"/>
        </w:rPr>
        <w:t>108年1月11檢察官訊問</w:t>
      </w:r>
      <w:r w:rsidR="00C87F07" w:rsidRPr="00062C03">
        <w:rPr>
          <w:rFonts w:hint="eastAsia"/>
          <w:color w:val="000000" w:themeColor="text1"/>
        </w:rPr>
        <w:t>潘員</w:t>
      </w:r>
      <w:r w:rsidRPr="00062C03">
        <w:rPr>
          <w:rFonts w:hint="eastAsia"/>
          <w:color w:val="000000" w:themeColor="text1"/>
        </w:rPr>
        <w:t>筆錄記載略以：「（問：你107年12月26日假釋期間報到</w:t>
      </w:r>
      <w:r w:rsidR="00155A17" w:rsidRPr="00062C03">
        <w:rPr>
          <w:rFonts w:hint="eastAsia"/>
          <w:color w:val="000000" w:themeColor="text1"/>
        </w:rPr>
        <w:t>，</w:t>
      </w:r>
      <w:r w:rsidRPr="00062C03">
        <w:rPr>
          <w:rFonts w:hint="eastAsia"/>
          <w:color w:val="000000" w:themeColor="text1"/>
        </w:rPr>
        <w:t>檢察官是否諭知過應遵守宵禁，為何隔沒幾天又再犯？）答：我知道。我有問觀護人說我不要掛腳鐐，可不可以進去執行。因為我曾經因為身上有掛電子腳鐐，腳鐐聲響被發現，影響我的工作。我寧願進去執行，執行完出來不要電子腳鐐。（問：工作收入？）答：我前陣子還有在民宿，我民宿做了</w:t>
      </w:r>
      <w:r w:rsidR="00167518" w:rsidRPr="00062C03">
        <w:rPr>
          <w:rFonts w:hint="eastAsia"/>
          <w:color w:val="000000" w:themeColor="text1"/>
        </w:rPr>
        <w:t>1</w:t>
      </w:r>
      <w:r w:rsidRPr="00062C03">
        <w:rPr>
          <w:rFonts w:hint="eastAsia"/>
          <w:color w:val="000000" w:themeColor="text1"/>
        </w:rPr>
        <w:t>個禮拜，但是民宿都忙比較晚，因為沒有辦法他的工作時間，我在12月20幾號時，老闆○○○就把我辭退了。後來我就沒有工作了。現在沒有收入，都靠媽媽當社工的收入，爸爸離婚。（問：這之前有無比較長工作？）答：我之前在牛排店工作，因為牛排店的後場有一部分沒有訊號，腳鐐會發出警示聲，加上9月17日</w:t>
      </w:r>
      <w:r w:rsidRPr="00062C03">
        <w:rPr>
          <w:rFonts w:hint="eastAsia"/>
          <w:color w:val="000000" w:themeColor="text1"/>
        </w:rPr>
        <w:lastRenderedPageBreak/>
        <w:t>出車禍，所以老闆就把我辭退了。」等語，顯見穿戴電子腳鐐</w:t>
      </w:r>
      <w:r w:rsidR="002873DE" w:rsidRPr="00062C03">
        <w:rPr>
          <w:rFonts w:hint="eastAsia"/>
          <w:color w:val="000000" w:themeColor="text1"/>
        </w:rPr>
        <w:t>，</w:t>
      </w:r>
      <w:r w:rsidRPr="00062C03">
        <w:rPr>
          <w:rFonts w:hint="eastAsia"/>
          <w:color w:val="000000" w:themeColor="text1"/>
        </w:rPr>
        <w:t>已對潘員</w:t>
      </w:r>
      <w:r w:rsidR="009014F4" w:rsidRPr="00062C03">
        <w:rPr>
          <w:rFonts w:hint="eastAsia"/>
          <w:color w:val="000000" w:themeColor="text1"/>
        </w:rPr>
        <w:t>造成</w:t>
      </w:r>
      <w:r w:rsidRPr="00062C03">
        <w:rPr>
          <w:rFonts w:hint="eastAsia"/>
          <w:color w:val="000000" w:themeColor="text1"/>
        </w:rPr>
        <w:t>生活上不便，</w:t>
      </w:r>
      <w:r w:rsidR="00167518" w:rsidRPr="00062C03">
        <w:rPr>
          <w:rFonts w:hint="eastAsia"/>
          <w:color w:val="000000" w:themeColor="text1"/>
        </w:rPr>
        <w:t>甚至</w:t>
      </w:r>
      <w:r w:rsidRPr="00062C03">
        <w:rPr>
          <w:rFonts w:hint="eastAsia"/>
          <w:color w:val="000000" w:themeColor="text1"/>
        </w:rPr>
        <w:t>萌生回監繼續執行</w:t>
      </w:r>
      <w:r w:rsidR="00155A17" w:rsidRPr="00062C03">
        <w:rPr>
          <w:rFonts w:hint="eastAsia"/>
          <w:color w:val="000000" w:themeColor="text1"/>
        </w:rPr>
        <w:t>之</w:t>
      </w:r>
      <w:r w:rsidRPr="00062C03">
        <w:rPr>
          <w:rFonts w:hint="eastAsia"/>
          <w:color w:val="000000" w:themeColor="text1"/>
        </w:rPr>
        <w:t>想法，</w:t>
      </w:r>
      <w:r w:rsidR="00155A17" w:rsidRPr="00062C03">
        <w:rPr>
          <w:rFonts w:hint="eastAsia"/>
          <w:color w:val="000000" w:themeColor="text1"/>
        </w:rPr>
        <w:t>如此結果，</w:t>
      </w:r>
      <w:r w:rsidRPr="00062C03">
        <w:rPr>
          <w:rFonts w:hint="eastAsia"/>
          <w:color w:val="000000" w:themeColor="text1"/>
        </w:rPr>
        <w:t>實與假釋</w:t>
      </w:r>
      <w:r w:rsidR="005F52C9" w:rsidRPr="00062C03">
        <w:rPr>
          <w:rFonts w:hint="eastAsia"/>
          <w:color w:val="000000" w:themeColor="text1"/>
        </w:rPr>
        <w:t>付保護管束之</w:t>
      </w:r>
      <w:r w:rsidRPr="00062C03">
        <w:rPr>
          <w:rFonts w:hint="eastAsia"/>
          <w:color w:val="000000" w:themeColor="text1"/>
        </w:rPr>
        <w:t>觀護處遇本質相違。亦有研究指出：「</w:t>
      </w:r>
      <w:r w:rsidRPr="00062C03">
        <w:rPr>
          <w:rFonts w:hint="eastAsia"/>
          <w:color w:val="000000" w:themeColor="text1"/>
          <w:szCs w:val="32"/>
        </w:rPr>
        <w:t>配戴者在出獄後多從事體力的工作，就目前監控機器的體積在一定程度上會影響他們的活動，甚至要身著長褲衣物遮蔽監控設備，深怕被工作上的同事發現，或者是當在室內工作時就會造成訊號受到障蔽，必須定時到戶外重新定位的情況發生，表示室內工作的類型就暫不適合配戴者，而這很明顯是扼殺配戴者不能從事白領階級的工作，有明確的工作歧視。</w:t>
      </w:r>
      <w:r w:rsidRPr="00062C03">
        <w:rPr>
          <w:rFonts w:hint="eastAsia"/>
          <w:color w:val="000000" w:themeColor="text1"/>
        </w:rPr>
        <w:t>」等語</w:t>
      </w:r>
      <w:r w:rsidR="005C32EE" w:rsidRPr="00062C03">
        <w:rPr>
          <w:rStyle w:val="afe"/>
          <w:color w:val="000000" w:themeColor="text1"/>
          <w:szCs w:val="32"/>
        </w:rPr>
        <w:footnoteReference w:id="30"/>
      </w:r>
      <w:r w:rsidR="005C32EE" w:rsidRPr="00062C03">
        <w:rPr>
          <w:rFonts w:hint="eastAsia"/>
          <w:color w:val="000000" w:themeColor="text1"/>
        </w:rPr>
        <w:t>。故</w:t>
      </w:r>
      <w:r w:rsidR="00167518" w:rsidRPr="00062C03">
        <w:rPr>
          <w:rFonts w:hint="eastAsia"/>
          <w:color w:val="000000" w:themeColor="text1"/>
        </w:rPr>
        <w:t>對於</w:t>
      </w:r>
      <w:r w:rsidRPr="00062C03">
        <w:rPr>
          <w:rFonts w:hint="eastAsia"/>
          <w:color w:val="000000" w:themeColor="text1"/>
        </w:rPr>
        <w:t>性侵假釋</w:t>
      </w:r>
      <w:r w:rsidR="00167518" w:rsidRPr="00062C03">
        <w:rPr>
          <w:rFonts w:hint="eastAsia"/>
          <w:color w:val="000000" w:themeColor="text1"/>
        </w:rPr>
        <w:t>付</w:t>
      </w:r>
      <w:r w:rsidRPr="00062C03">
        <w:rPr>
          <w:rFonts w:hint="eastAsia"/>
          <w:color w:val="000000" w:themeColor="text1"/>
        </w:rPr>
        <w:t>保護管束之人</w:t>
      </w:r>
      <w:r w:rsidR="00167518" w:rsidRPr="00062C03">
        <w:rPr>
          <w:rFonts w:hint="eastAsia"/>
          <w:color w:val="000000" w:themeColor="text1"/>
        </w:rPr>
        <w:t>要求其</w:t>
      </w:r>
      <w:r w:rsidRPr="00062C03">
        <w:rPr>
          <w:rFonts w:hint="eastAsia"/>
          <w:color w:val="000000" w:themeColor="text1"/>
        </w:rPr>
        <w:t>穿戴電子腳鐐，</w:t>
      </w:r>
      <w:r w:rsidR="00167518" w:rsidRPr="00062C03">
        <w:rPr>
          <w:rFonts w:hint="eastAsia"/>
          <w:color w:val="000000" w:themeColor="text1"/>
        </w:rPr>
        <w:t>如何</w:t>
      </w:r>
      <w:r w:rsidRPr="00062C03">
        <w:rPr>
          <w:rFonts w:hint="eastAsia"/>
          <w:color w:val="000000" w:themeColor="text1"/>
        </w:rPr>
        <w:t>於預防再犯之外，兼顧其再社會化之工作需求，應非僅止於配戴舒適性而已，在觀護處遇過程中，</w:t>
      </w:r>
      <w:r w:rsidR="00167518" w:rsidRPr="00062C03">
        <w:rPr>
          <w:rFonts w:hint="eastAsia"/>
          <w:color w:val="000000" w:themeColor="text1"/>
        </w:rPr>
        <w:t>應</w:t>
      </w:r>
      <w:r w:rsidRPr="00062C03">
        <w:rPr>
          <w:rFonts w:hint="eastAsia"/>
          <w:color w:val="000000" w:themeColor="text1"/>
        </w:rPr>
        <w:t>提升穿戴者正增強能量，協助其復歸社會，法務部</w:t>
      </w:r>
      <w:r w:rsidR="00167518" w:rsidRPr="00062C03">
        <w:rPr>
          <w:rFonts w:hint="eastAsia"/>
          <w:color w:val="000000" w:themeColor="text1"/>
        </w:rPr>
        <w:t>除</w:t>
      </w:r>
      <w:r w:rsidRPr="00062C03">
        <w:rPr>
          <w:rFonts w:hint="eastAsia"/>
          <w:color w:val="000000" w:themeColor="text1"/>
        </w:rPr>
        <w:t>考量預防再犯之社會防衛觀點之外，允應一併重視</w:t>
      </w:r>
      <w:r w:rsidR="00167518" w:rsidRPr="00062C03">
        <w:rPr>
          <w:rFonts w:hint="eastAsia"/>
          <w:color w:val="000000" w:themeColor="text1"/>
        </w:rPr>
        <w:t>如何協助性侵假釋付保護管束之人</w:t>
      </w:r>
      <w:r w:rsidR="00C87F07" w:rsidRPr="00062C03">
        <w:rPr>
          <w:rFonts w:hint="eastAsia"/>
          <w:color w:val="000000" w:themeColor="text1"/>
        </w:rPr>
        <w:t>再</w:t>
      </w:r>
      <w:r w:rsidR="00167518" w:rsidRPr="00062C03">
        <w:rPr>
          <w:rFonts w:hint="eastAsia"/>
          <w:color w:val="000000" w:themeColor="text1"/>
        </w:rPr>
        <w:t>社會</w:t>
      </w:r>
      <w:r w:rsidR="00C87F07" w:rsidRPr="00062C03">
        <w:rPr>
          <w:rFonts w:hint="eastAsia"/>
          <w:color w:val="000000" w:themeColor="text1"/>
        </w:rPr>
        <w:t>化需求</w:t>
      </w:r>
      <w:r w:rsidRPr="00062C03">
        <w:rPr>
          <w:rFonts w:hint="eastAsia"/>
          <w:color w:val="000000" w:themeColor="text1"/>
        </w:rPr>
        <w:t>。</w:t>
      </w:r>
    </w:p>
    <w:p w:rsidR="00B9506F" w:rsidRPr="00062C03" w:rsidRDefault="007F7CE4" w:rsidP="00F5556B">
      <w:pPr>
        <w:pStyle w:val="3"/>
        <w:rPr>
          <w:color w:val="000000" w:themeColor="text1"/>
        </w:rPr>
      </w:pPr>
      <w:r w:rsidRPr="00062C03">
        <w:rPr>
          <w:rFonts w:hint="eastAsia"/>
          <w:color w:val="000000" w:themeColor="text1"/>
        </w:rPr>
        <w:t>綜上，</w:t>
      </w:r>
      <w:r w:rsidR="00F5556B" w:rsidRPr="00062C03">
        <w:rPr>
          <w:rFonts w:hint="eastAsia"/>
          <w:color w:val="000000" w:themeColor="text1"/>
        </w:rPr>
        <w:t>本案潘員曾以工作場域無法接受訊號，影響工作，甚至萌生回監執行想法，顯見電子腳鐐配戴除管控再犯風險外，亦擴張對其日常生活產生額外限制，倘施加電子腳鐐之最終目的，仍在於透過撤銷假釋之司法強制力，協助加害人去除犯罪傾向，令其再社會化，則</w:t>
      </w:r>
      <w:r w:rsidR="005C32EE" w:rsidRPr="00062C03">
        <w:rPr>
          <w:rFonts w:hint="eastAsia"/>
          <w:color w:val="000000" w:themeColor="text1"/>
        </w:rPr>
        <w:t>同理穿戴電子腳鐐者日常生活上影響、</w:t>
      </w:r>
      <w:r w:rsidR="00F5556B" w:rsidRPr="00062C03">
        <w:rPr>
          <w:rFonts w:hint="eastAsia"/>
          <w:color w:val="000000" w:themeColor="text1"/>
        </w:rPr>
        <w:t>瞭解各破壞電子腳鐐原因，於觀護處遇過程中，改善觀護人與性侵假釋付保護管束之人間互動或管控模式，方可達成復歸社會之目的，亦請法務部一併檢討改進</w:t>
      </w:r>
      <w:r w:rsidR="00B9506F" w:rsidRPr="00062C03">
        <w:rPr>
          <w:rFonts w:hint="eastAsia"/>
          <w:color w:val="000000" w:themeColor="text1"/>
        </w:rPr>
        <w:t>。</w:t>
      </w:r>
    </w:p>
    <w:p w:rsidR="004366DE" w:rsidRPr="008A740F" w:rsidRDefault="008A740F" w:rsidP="000669E9">
      <w:pPr>
        <w:pStyle w:val="2"/>
        <w:rPr>
          <w:b/>
        </w:rPr>
      </w:pPr>
      <w:r w:rsidRPr="008A740F">
        <w:rPr>
          <w:rFonts w:hint="eastAsia"/>
          <w:b/>
        </w:rPr>
        <w:lastRenderedPageBreak/>
        <w:t>性侵假釋付保護管束之人配戴電子腳鐐，屬保安處分，不應過度侵犯基本人權，除須有法律明文規定外，應受比例原則拘束。潘員違反刑法第227條第3項案件屬性侵害犯罪，遭新北地院以105年度原侵訴字第3號判決有期徒刑6月，惟因與其他竊盜案件併合處罰，定應執行刑，故其於假釋後配戴電子腳鐐期間為107年6月27日至108年4月11日，高達9個月又15天，期間未屬合理，法務部雖認為依性侵害犯罪防治法第20條第3項第7款及性侵害犯罪付保護管束加害人科技設備監控實施辦法第6條第3項規定，</w:t>
      </w:r>
      <w:r w:rsidR="00142DA0">
        <w:rPr>
          <w:rFonts w:hint="eastAsia"/>
          <w:b/>
        </w:rPr>
        <w:t>電子腳鐐是否繼續配戴，</w:t>
      </w:r>
      <w:r w:rsidRPr="008A740F">
        <w:rPr>
          <w:rFonts w:hint="eastAsia"/>
          <w:b/>
        </w:rPr>
        <w:t>得每3個月評估1次，但本案僅審酌潘員處遇配合度不佳而繼續執行，無法依該辦法審酌配戴之合理期間，有違比例原則，恐過度侵犯基本人權，核有怠失。</w:t>
      </w:r>
    </w:p>
    <w:p w:rsidR="004366DE" w:rsidRPr="00062C03" w:rsidRDefault="004366DE" w:rsidP="00963943">
      <w:pPr>
        <w:pStyle w:val="3"/>
        <w:rPr>
          <w:color w:val="000000" w:themeColor="text1"/>
        </w:rPr>
      </w:pPr>
      <w:r w:rsidRPr="00062C03">
        <w:rPr>
          <w:rFonts w:hint="eastAsia"/>
          <w:color w:val="000000" w:themeColor="text1"/>
        </w:rPr>
        <w:t>依臺東地檢署107年執護監字第21號檢察官執行科技監控命令書所載，潘員配戴電子腳鐐期間為107年6月27日至108年4月11日，期間之計算依法務部查復略以</w:t>
      </w:r>
      <w:r w:rsidRPr="00062C03">
        <w:rPr>
          <w:rStyle w:val="afe"/>
          <w:color w:val="000000" w:themeColor="text1"/>
        </w:rPr>
        <w:footnoteReference w:id="31"/>
      </w:r>
      <w:r w:rsidRPr="00062C03">
        <w:rPr>
          <w:rFonts w:hint="eastAsia"/>
          <w:color w:val="000000" w:themeColor="text1"/>
        </w:rPr>
        <w:t>：</w:t>
      </w:r>
    </w:p>
    <w:p w:rsidR="004366DE" w:rsidRPr="00062C03" w:rsidRDefault="004366DE" w:rsidP="00963943">
      <w:pPr>
        <w:pStyle w:val="4"/>
        <w:rPr>
          <w:color w:val="000000" w:themeColor="text1"/>
        </w:rPr>
      </w:pPr>
      <w:r w:rsidRPr="00062C03">
        <w:rPr>
          <w:rFonts w:hint="eastAsia"/>
          <w:color w:val="000000" w:themeColor="text1"/>
        </w:rPr>
        <w:t>潘員除犯妨害性自主案件外，另犯13件竊盜案件，合併應執行有期徒刑3年11月，該員於104年7月19日入監執行，嗣於107年4月12日獲准假釋，未執行殘刑為11月24日，潘員假釋後接續執行另案竊盜、妨害自由案件拘役共76日(原95日，羈押折抵19日)，故潘員於107年6月26日拘役執行完畢出監，假釋付保護管束期間順延自107年6月26日起至108年6月19日止。</w:t>
      </w:r>
    </w:p>
    <w:p w:rsidR="004366DE" w:rsidRDefault="004366DE" w:rsidP="00963943">
      <w:pPr>
        <w:pStyle w:val="4"/>
        <w:rPr>
          <w:color w:val="000000" w:themeColor="text1"/>
        </w:rPr>
      </w:pPr>
      <w:r w:rsidRPr="00062C03">
        <w:rPr>
          <w:rFonts w:hint="eastAsia"/>
          <w:color w:val="000000" w:themeColor="text1"/>
        </w:rPr>
        <w:t>依據「性侵害犯罪防治法第20條第3項第7款及性侵害犯罪付保護管束加害人科技設備監控實施</w:t>
      </w:r>
      <w:r w:rsidRPr="00062C03">
        <w:rPr>
          <w:rFonts w:hint="eastAsia"/>
          <w:color w:val="000000" w:themeColor="text1"/>
        </w:rPr>
        <w:lastRenderedPageBreak/>
        <w:t>辦法」第6條第2項</w:t>
      </w:r>
      <w:r w:rsidRPr="00062C03">
        <w:rPr>
          <w:rStyle w:val="afe"/>
          <w:color w:val="000000" w:themeColor="text1"/>
        </w:rPr>
        <w:footnoteReference w:id="32"/>
      </w:r>
      <w:r w:rsidRPr="00062C03">
        <w:rPr>
          <w:rFonts w:hint="eastAsia"/>
          <w:color w:val="000000" w:themeColor="text1"/>
        </w:rPr>
        <w:t>規定，潘員實施科技設備監控期間自檢察官許可之日（107年6月27日）起算，本件臺灣臺東地方檢察署檢察官執行科技監控命令書開立時，因潘員還未出監，無法依據假釋證明書核算保護管束期滿日，故先以本部矯正署所屬高雄監獄假釋出獄人交付保護管束名冊所登載縮短刑期後刑期終結日（108年4月11日）為實施科技設備監控期滿日。</w:t>
      </w:r>
    </w:p>
    <w:p w:rsidR="00B20114" w:rsidRPr="00B20114" w:rsidRDefault="00B20114" w:rsidP="00645BB4">
      <w:pPr>
        <w:pStyle w:val="3"/>
        <w:rPr>
          <w:color w:val="000000" w:themeColor="text1"/>
        </w:rPr>
      </w:pPr>
      <w:r>
        <w:rPr>
          <w:rFonts w:hint="eastAsia"/>
        </w:rPr>
        <w:t>另依法務部查復，</w:t>
      </w:r>
      <w:r w:rsidRPr="00B20114">
        <w:rPr>
          <w:rFonts w:hint="eastAsia"/>
        </w:rPr>
        <w:t>依據科技設備監控辦法第6條第3項規定，實施科技設備監控期間每</w:t>
      </w:r>
      <w:r w:rsidR="003E30D7">
        <w:rPr>
          <w:rFonts w:hint="eastAsia"/>
        </w:rPr>
        <w:t>3</w:t>
      </w:r>
      <w:r w:rsidRPr="00B20114">
        <w:rPr>
          <w:rFonts w:hint="eastAsia"/>
        </w:rPr>
        <w:t>月須評估</w:t>
      </w:r>
      <w:r w:rsidR="003E30D7">
        <w:rPr>
          <w:rFonts w:hint="eastAsia"/>
        </w:rPr>
        <w:t>1</w:t>
      </w:r>
      <w:r w:rsidRPr="00B20114">
        <w:rPr>
          <w:rFonts w:hint="eastAsia"/>
        </w:rPr>
        <w:t>次，若符合本辦法第14條第1項之規定，得報請檢察官、軍事檢察官許可停止執行。</w:t>
      </w:r>
      <w:r w:rsidRPr="00B20114">
        <w:rPr>
          <w:rFonts w:hint="eastAsia"/>
          <w:color w:val="000000" w:themeColor="text1"/>
        </w:rPr>
        <w:t>潘員於實施科技設備監控期間，依上開規定每</w:t>
      </w:r>
      <w:r w:rsidR="003E30D7">
        <w:rPr>
          <w:rFonts w:hint="eastAsia"/>
          <w:color w:val="000000" w:themeColor="text1"/>
        </w:rPr>
        <w:t>3</w:t>
      </w:r>
      <w:r w:rsidRPr="00B20114">
        <w:rPr>
          <w:rFonts w:hint="eastAsia"/>
          <w:color w:val="000000" w:themeColor="text1"/>
        </w:rPr>
        <w:t>月於臺東地檢署召開之性侵害及性騷擾案件受保護管束人社區監督輔導會議提案討論之，惟本案於執行期間至撤銷假釋前，潘員多次違反規定、未能配合身心治療輔導教育課程等，經社區監督輔導會議決議不予停止執行。</w:t>
      </w:r>
    </w:p>
    <w:p w:rsidR="004366DE" w:rsidRPr="00062C03" w:rsidRDefault="004366DE" w:rsidP="004366DE">
      <w:pPr>
        <w:pStyle w:val="3"/>
        <w:rPr>
          <w:color w:val="000000" w:themeColor="text1"/>
        </w:rPr>
      </w:pPr>
      <w:r w:rsidRPr="00062C03">
        <w:rPr>
          <w:rFonts w:hint="eastAsia"/>
          <w:color w:val="000000" w:themeColor="text1"/>
        </w:rPr>
        <w:t>按假釋付保護管束期間所有處遇，具有保安處分性質，雖有社會安全防衛作用，若不加節制，極易遭濫用，</w:t>
      </w:r>
      <w:r w:rsidR="00B066D1" w:rsidRPr="00062C03">
        <w:rPr>
          <w:rFonts w:hint="eastAsia"/>
          <w:color w:val="000000" w:themeColor="text1"/>
        </w:rPr>
        <w:t>對於</w:t>
      </w:r>
      <w:r w:rsidR="0038125A" w:rsidRPr="00062C03">
        <w:rPr>
          <w:rFonts w:hint="eastAsia"/>
          <w:color w:val="000000" w:themeColor="text1"/>
        </w:rPr>
        <w:t>電子腳鐐監控對象產生日常生活限制，並有標籤化疑慮</w:t>
      </w:r>
      <w:r w:rsidR="00B066D1" w:rsidRPr="00062C03">
        <w:rPr>
          <w:rStyle w:val="afe"/>
          <w:color w:val="000000" w:themeColor="text1"/>
        </w:rPr>
        <w:footnoteReference w:id="33"/>
      </w:r>
      <w:r w:rsidR="00B066D1" w:rsidRPr="00062C03">
        <w:rPr>
          <w:rFonts w:hint="eastAsia"/>
          <w:color w:val="000000" w:themeColor="text1"/>
        </w:rPr>
        <w:t>，限制個人隱私權及人格發展自</w:t>
      </w:r>
      <w:r w:rsidR="00B066D1" w:rsidRPr="00062C03">
        <w:rPr>
          <w:rFonts w:hint="eastAsia"/>
          <w:color w:val="000000" w:themeColor="text1"/>
        </w:rPr>
        <w:lastRenderedPageBreak/>
        <w:t>由</w:t>
      </w:r>
      <w:r w:rsidR="00B066D1" w:rsidRPr="00062C03">
        <w:rPr>
          <w:rStyle w:val="afe"/>
          <w:color w:val="000000" w:themeColor="text1"/>
        </w:rPr>
        <w:footnoteReference w:id="34"/>
      </w:r>
      <w:r w:rsidR="00B066D1" w:rsidRPr="00062C03">
        <w:rPr>
          <w:rFonts w:hint="eastAsia"/>
          <w:color w:val="000000" w:themeColor="text1"/>
        </w:rPr>
        <w:t>，故除須有法律明文規定外</w:t>
      </w:r>
      <w:r w:rsidR="0038125A" w:rsidRPr="00062C03">
        <w:rPr>
          <w:rFonts w:hint="eastAsia"/>
          <w:color w:val="000000" w:themeColor="text1"/>
        </w:rPr>
        <w:t>，為避免</w:t>
      </w:r>
      <w:r w:rsidRPr="00062C03">
        <w:rPr>
          <w:rFonts w:hint="eastAsia"/>
          <w:color w:val="000000" w:themeColor="text1"/>
        </w:rPr>
        <w:t>過度侵犯基本人權，</w:t>
      </w:r>
      <w:r w:rsidR="00457577" w:rsidRPr="00062C03">
        <w:rPr>
          <w:rFonts w:hint="eastAsia"/>
          <w:color w:val="000000" w:themeColor="text1"/>
        </w:rPr>
        <w:t>也</w:t>
      </w:r>
      <w:r w:rsidRPr="00062C03">
        <w:rPr>
          <w:rFonts w:hint="eastAsia"/>
          <w:color w:val="000000" w:themeColor="text1"/>
        </w:rPr>
        <w:t>須符合比例原則限制</w:t>
      </w:r>
      <w:r w:rsidRPr="00062C03">
        <w:rPr>
          <w:rStyle w:val="afe"/>
          <w:color w:val="000000" w:themeColor="text1"/>
        </w:rPr>
        <w:footnoteReference w:id="35"/>
      </w:r>
      <w:r w:rsidR="0038125A" w:rsidRPr="00062C03">
        <w:rPr>
          <w:rFonts w:hint="eastAsia"/>
          <w:color w:val="000000" w:themeColor="text1"/>
        </w:rPr>
        <w:t>，</w:t>
      </w:r>
      <w:r w:rsidRPr="00062C03">
        <w:rPr>
          <w:rFonts w:hint="eastAsia"/>
          <w:color w:val="000000" w:themeColor="text1"/>
        </w:rPr>
        <w:t>對性侵假釋付保護管束之人之電子監控期間不宜過長</w:t>
      </w:r>
      <w:r w:rsidRPr="00062C03">
        <w:rPr>
          <w:rStyle w:val="afe"/>
          <w:color w:val="000000" w:themeColor="text1"/>
        </w:rPr>
        <w:footnoteReference w:id="36"/>
      </w:r>
      <w:r w:rsidRPr="00062C03">
        <w:rPr>
          <w:rFonts w:hint="eastAsia"/>
          <w:color w:val="000000" w:themeColor="text1"/>
        </w:rPr>
        <w:t>。</w:t>
      </w:r>
    </w:p>
    <w:p w:rsidR="004366DE" w:rsidRPr="00AE0D9C" w:rsidRDefault="004366DE" w:rsidP="004366DE">
      <w:pPr>
        <w:pStyle w:val="3"/>
        <w:rPr>
          <w:color w:val="000000" w:themeColor="text1"/>
        </w:rPr>
      </w:pPr>
      <w:r w:rsidRPr="00062C03">
        <w:rPr>
          <w:rFonts w:hint="eastAsia"/>
          <w:color w:val="000000" w:themeColor="text1"/>
        </w:rPr>
        <w:t>然審視本案潘員所犯者，僅刑法第227條第3項部分屬性侵害犯罪，經新北地院以105年度原侵訴字第3號判決有期徒刑6月，屬於性侵害犯罪防治法第20條第1項規定之加害人，依同條第3項第7款得於假釋付保護管束時穿戴電子腳鐐。惟因潘員另犯13件竊盜案，合併計算後其假釋期間</w:t>
      </w:r>
      <w:r w:rsidRPr="00062C03">
        <w:rPr>
          <w:rFonts w:hAnsi="標楷體" w:hint="eastAsia"/>
          <w:color w:val="000000" w:themeColor="text1"/>
          <w:szCs w:val="28"/>
        </w:rPr>
        <w:t>為11月24日</w:t>
      </w:r>
      <w:r w:rsidRPr="00062C03">
        <w:rPr>
          <w:rFonts w:hint="eastAsia"/>
          <w:color w:val="000000" w:themeColor="text1"/>
        </w:rPr>
        <w:t>，配戴電子腳鐐期間為107年6月27日至108年4月11日，達9</w:t>
      </w:r>
      <w:r w:rsidR="00D35C49">
        <w:rPr>
          <w:rFonts w:hint="eastAsia"/>
          <w:color w:val="000000" w:themeColor="text1"/>
        </w:rPr>
        <w:t>個</w:t>
      </w:r>
      <w:r w:rsidRPr="00062C03">
        <w:rPr>
          <w:rFonts w:hint="eastAsia"/>
          <w:color w:val="000000" w:themeColor="text1"/>
        </w:rPr>
        <w:t>月</w:t>
      </w:r>
      <w:r w:rsidR="00D35C49">
        <w:rPr>
          <w:rFonts w:hint="eastAsia"/>
          <w:color w:val="000000" w:themeColor="text1"/>
        </w:rPr>
        <w:t>又15天</w:t>
      </w:r>
      <w:r w:rsidRPr="00062C03">
        <w:rPr>
          <w:rFonts w:hint="eastAsia"/>
          <w:color w:val="000000" w:themeColor="text1"/>
        </w:rPr>
        <w:t>，</w:t>
      </w:r>
      <w:r w:rsidR="00315B25">
        <w:rPr>
          <w:rFonts w:hint="eastAsia"/>
          <w:color w:val="000000" w:themeColor="text1"/>
        </w:rPr>
        <w:t>雖因均</w:t>
      </w:r>
      <w:r w:rsidRPr="00062C03">
        <w:rPr>
          <w:rFonts w:hint="eastAsia"/>
          <w:color w:val="000000" w:themeColor="text1"/>
        </w:rPr>
        <w:t>在107年6月26日至108年6月19日之假釋期間內，形式上</w:t>
      </w:r>
      <w:r w:rsidR="00315B25">
        <w:rPr>
          <w:rFonts w:hint="eastAsia"/>
          <w:color w:val="000000" w:themeColor="text1"/>
        </w:rPr>
        <w:t>符合</w:t>
      </w:r>
      <w:r w:rsidRPr="00062C03">
        <w:rPr>
          <w:rFonts w:hint="eastAsia"/>
          <w:color w:val="000000" w:themeColor="text1"/>
        </w:rPr>
        <w:t>性侵害犯罪防治法第20條對性侵害犯罪人</w:t>
      </w:r>
      <w:r w:rsidR="00315B25">
        <w:rPr>
          <w:rFonts w:hint="eastAsia"/>
          <w:color w:val="000000" w:themeColor="text1"/>
        </w:rPr>
        <w:t>得</w:t>
      </w:r>
      <w:r w:rsidRPr="00062C03">
        <w:rPr>
          <w:rFonts w:hint="eastAsia"/>
          <w:color w:val="000000" w:themeColor="text1"/>
        </w:rPr>
        <w:t>施加電子腳鐐，須在假釋付保護管束期間內之規定，但相較於其性侵害犯罪刑期僅6月，形同超過6月之配戴電子腳鐐期間，屬於具有竊盜罪未執行殘刑所換算之假釋期間內，則本案配戴電子腳鐐期間不盡合理，恐有違比例原則。</w:t>
      </w:r>
      <w:r w:rsidR="00AE0D9C">
        <w:rPr>
          <w:rFonts w:hint="eastAsia"/>
          <w:color w:val="000000" w:themeColor="text1"/>
        </w:rPr>
        <w:t>而依</w:t>
      </w:r>
      <w:r w:rsidR="00AE0D9C" w:rsidRPr="00AE0D9C">
        <w:rPr>
          <w:rFonts w:hint="eastAsia"/>
        </w:rPr>
        <w:t>性侵害犯罪付保護管束加害人科技設備監控實施辦法第6條第3項規定，電子腳鐐是否繼續配戴，得每3個月評估1次，但本案僅審酌潘員處遇配合度不佳而繼續執行，無法依該辦法審酌配戴之合理期間</w:t>
      </w:r>
      <w:r w:rsidR="00AE0D9C">
        <w:rPr>
          <w:rFonts w:hint="eastAsia"/>
        </w:rPr>
        <w:t>。</w:t>
      </w:r>
    </w:p>
    <w:p w:rsidR="00C94A56" w:rsidRPr="00062C03" w:rsidRDefault="004366DE" w:rsidP="004366DE">
      <w:pPr>
        <w:pStyle w:val="3"/>
        <w:rPr>
          <w:color w:val="000000" w:themeColor="text1"/>
        </w:rPr>
      </w:pPr>
      <w:r w:rsidRPr="00062C03">
        <w:rPr>
          <w:rFonts w:hint="eastAsia"/>
          <w:color w:val="000000" w:themeColor="text1"/>
        </w:rPr>
        <w:t>詳言之，最高法院103年度第1次刑事庭會議決議之「審查意見二」略以：「不屬數罪併罰而併合（分別）執行之各罪所處徒刑，本質上係各得獨立執行之數個徒刑，並非如同數罪併罰僅有一個應執行刑</w:t>
      </w:r>
      <w:r w:rsidRPr="00062C03">
        <w:rPr>
          <w:rFonts w:hint="eastAsia"/>
          <w:color w:val="000000" w:themeColor="text1"/>
        </w:rPr>
        <w:lastRenderedPageBreak/>
        <w:t>而無從分割，此觀諸數罪併罰之執行，無論係已合併定執行刑之判決或另由檢察官聲請定應執行刑之裁定，其執行指揮書均為單一；而</w:t>
      </w:r>
      <w:r w:rsidRPr="00062C03">
        <w:rPr>
          <w:rFonts w:hint="eastAsia"/>
          <w:b/>
          <w:color w:val="000000" w:themeColor="text1"/>
        </w:rPr>
        <w:t>合併執行則有二以上之裁判，分別有二以上之執行指揮書，衹是註明接續執行而已，兩者迥然有別者自明</w:t>
      </w:r>
      <w:r w:rsidRPr="00062C03">
        <w:rPr>
          <w:rFonts w:hint="eastAsia"/>
          <w:color w:val="000000" w:themeColor="text1"/>
        </w:rPr>
        <w:t>。且</w:t>
      </w:r>
      <w:r w:rsidRPr="00062C03">
        <w:rPr>
          <w:rFonts w:hint="eastAsia"/>
          <w:b/>
          <w:color w:val="000000" w:themeColor="text1"/>
        </w:rPr>
        <w:t>立法說明（按</w:t>
      </w:r>
      <w:r w:rsidR="00F70199" w:rsidRPr="00062C03">
        <w:rPr>
          <w:rFonts w:hint="eastAsia"/>
          <w:b/>
          <w:color w:val="000000" w:themeColor="text1"/>
        </w:rPr>
        <w:t>：</w:t>
      </w:r>
      <w:r w:rsidRPr="00062C03">
        <w:rPr>
          <w:rFonts w:hint="eastAsia"/>
          <w:b/>
          <w:color w:val="000000" w:themeColor="text1"/>
        </w:rPr>
        <w:t>指刑法第79條之1）揭示係採取各刑分別執行，合併計算假釋有關期間之原則，上述合併計算假釋所須最低應執行之期間及假釋期間之規定，可認為係立法者考量受刑人之利益而特別規定放寬於通常情形所適用之假釋條件而已，亦非必然數個徒刑分別執行即無從先後執行完畢（於併合執行各罪所處徒刑而未經假釋之情形，係先後執行完畢，並無不同看法）</w:t>
      </w:r>
      <w:r w:rsidRPr="00062C03">
        <w:rPr>
          <w:rFonts w:hint="eastAsia"/>
          <w:color w:val="000000" w:themeColor="text1"/>
        </w:rPr>
        <w:t>；又於假釋前已執行之期間，究係執行甲、乙罪所處徒刑之刑期，有檢察官執行指揮書之記載可按，尚非不能區分，並不當然影響其中一罪所處徒刑已先行執行完畢。」本決議雖在處理累犯「受徒刑之執行完畢」</w:t>
      </w:r>
      <w:r w:rsidR="000F2F2C" w:rsidRPr="00062C03">
        <w:rPr>
          <w:rFonts w:hint="eastAsia"/>
          <w:color w:val="000000" w:themeColor="text1"/>
        </w:rPr>
        <w:t>之</w:t>
      </w:r>
      <w:r w:rsidRPr="00062C03">
        <w:rPr>
          <w:rFonts w:hint="eastAsia"/>
          <w:color w:val="000000" w:themeColor="text1"/>
        </w:rPr>
        <w:t>要件爭議</w:t>
      </w:r>
      <w:r w:rsidR="004F6D08" w:rsidRPr="00062C03">
        <w:rPr>
          <w:rStyle w:val="afe"/>
          <w:color w:val="000000" w:themeColor="text1"/>
        </w:rPr>
        <w:footnoteReference w:id="37"/>
      </w:r>
      <w:r w:rsidRPr="00062C03">
        <w:rPr>
          <w:rFonts w:hint="eastAsia"/>
          <w:color w:val="000000" w:themeColor="text1"/>
        </w:rPr>
        <w:t>，惟自</w:t>
      </w:r>
      <w:r w:rsidR="00C94A56" w:rsidRPr="00062C03">
        <w:rPr>
          <w:rFonts w:hint="eastAsia"/>
          <w:color w:val="000000" w:themeColor="text1"/>
        </w:rPr>
        <w:t>上開</w:t>
      </w:r>
      <w:r w:rsidRPr="00062C03">
        <w:rPr>
          <w:rFonts w:hint="eastAsia"/>
          <w:color w:val="000000" w:themeColor="text1"/>
        </w:rPr>
        <w:t>審查意見</w:t>
      </w:r>
      <w:r w:rsidR="000F2F2C" w:rsidRPr="00062C03">
        <w:rPr>
          <w:rFonts w:hint="eastAsia"/>
          <w:color w:val="000000" w:themeColor="text1"/>
        </w:rPr>
        <w:t>應</w:t>
      </w:r>
      <w:r w:rsidRPr="00062C03">
        <w:rPr>
          <w:rFonts w:hint="eastAsia"/>
          <w:color w:val="000000" w:themeColor="text1"/>
        </w:rPr>
        <w:t>不難看出</w:t>
      </w:r>
      <w:r w:rsidR="000F2F2C" w:rsidRPr="00062C03">
        <w:rPr>
          <w:rFonts w:hint="eastAsia"/>
          <w:color w:val="000000" w:themeColor="text1"/>
        </w:rPr>
        <w:t>，</w:t>
      </w:r>
      <w:r w:rsidRPr="00062C03">
        <w:rPr>
          <w:rFonts w:hint="eastAsia"/>
          <w:color w:val="000000" w:themeColor="text1"/>
        </w:rPr>
        <w:t>於</w:t>
      </w:r>
      <w:r w:rsidR="000F2F2C" w:rsidRPr="00062C03">
        <w:rPr>
          <w:rFonts w:hint="eastAsia"/>
          <w:color w:val="000000" w:themeColor="text1"/>
        </w:rPr>
        <w:t>兩執行</w:t>
      </w:r>
      <w:r w:rsidRPr="00062C03">
        <w:rPr>
          <w:rFonts w:hint="eastAsia"/>
          <w:color w:val="000000" w:themeColor="text1"/>
        </w:rPr>
        <w:t>合併執行</w:t>
      </w:r>
      <w:r w:rsidR="000F2F2C" w:rsidRPr="00062C03">
        <w:rPr>
          <w:rFonts w:hint="eastAsia"/>
          <w:color w:val="000000" w:themeColor="text1"/>
        </w:rPr>
        <w:t>計</w:t>
      </w:r>
      <w:r w:rsidR="000F2F2C" w:rsidRPr="00062C03">
        <w:rPr>
          <w:rFonts w:hint="eastAsia"/>
          <w:color w:val="000000" w:themeColor="text1"/>
        </w:rPr>
        <w:lastRenderedPageBreak/>
        <w:t>算假釋期間</w:t>
      </w:r>
      <w:r w:rsidRPr="00062C03">
        <w:rPr>
          <w:rFonts w:hint="eastAsia"/>
          <w:color w:val="000000" w:themeColor="text1"/>
        </w:rPr>
        <w:t>情形，在假釋期間，仍有前罪已執行完畢概念，則當前罪為性侵害犯罪，而與後罪之非性侵害犯罪接續執行，</w:t>
      </w:r>
      <w:r w:rsidR="000F2F2C" w:rsidRPr="00062C03">
        <w:rPr>
          <w:rFonts w:hint="eastAsia"/>
          <w:color w:val="000000" w:themeColor="text1"/>
        </w:rPr>
        <w:t>而核予假釋時前罪之</w:t>
      </w:r>
      <w:r w:rsidRPr="00062C03">
        <w:rPr>
          <w:rFonts w:hint="eastAsia"/>
          <w:color w:val="000000" w:themeColor="text1"/>
        </w:rPr>
        <w:t>性侵害犯罪</w:t>
      </w:r>
      <w:r w:rsidR="000F2F2C" w:rsidRPr="00062C03">
        <w:rPr>
          <w:rFonts w:hint="eastAsia"/>
          <w:color w:val="000000" w:themeColor="text1"/>
        </w:rPr>
        <w:t>已</w:t>
      </w:r>
      <w:r w:rsidRPr="00062C03">
        <w:rPr>
          <w:rFonts w:hint="eastAsia"/>
          <w:color w:val="000000" w:themeColor="text1"/>
        </w:rPr>
        <w:t>執行完畢，似不能認為仍可依性侵害犯罪防治法第20條，使之穿戴電子腳鐐</w:t>
      </w:r>
      <w:r w:rsidR="007235F6" w:rsidRPr="00062C03">
        <w:rPr>
          <w:rFonts w:hint="eastAsia"/>
          <w:color w:val="000000" w:themeColor="text1"/>
        </w:rPr>
        <w:t>（請參圖</w:t>
      </w:r>
      <w:r w:rsidR="004E00AA" w:rsidRPr="00062C03">
        <w:rPr>
          <w:rFonts w:hint="eastAsia"/>
          <w:color w:val="000000" w:themeColor="text1"/>
        </w:rPr>
        <w:t>1</w:t>
      </w:r>
      <w:r w:rsidR="007235F6" w:rsidRPr="00062C03">
        <w:rPr>
          <w:rFonts w:hint="eastAsia"/>
          <w:color w:val="000000" w:themeColor="text1"/>
        </w:rPr>
        <w:t>）</w:t>
      </w:r>
      <w:r w:rsidRPr="00062C03">
        <w:rPr>
          <w:rFonts w:hint="eastAsia"/>
          <w:color w:val="000000" w:themeColor="text1"/>
        </w:rPr>
        <w:t>。</w:t>
      </w:r>
    </w:p>
    <w:p w:rsidR="002241FD" w:rsidRPr="00062C03" w:rsidRDefault="004F6D08" w:rsidP="002241FD">
      <w:pPr>
        <w:rPr>
          <w:color w:val="000000" w:themeColor="text1"/>
        </w:rPr>
      </w:pPr>
      <w:r w:rsidRPr="00062C03">
        <w:rPr>
          <w:noProof/>
          <w:color w:val="000000" w:themeColor="text1"/>
        </w:rPr>
        <mc:AlternateContent>
          <mc:Choice Requires="wpc">
            <w:drawing>
              <wp:inline distT="0" distB="0" distL="0" distR="0">
                <wp:extent cx="5493359" cy="4286707"/>
                <wp:effectExtent l="0" t="0" r="0" b="0"/>
                <wp:docPr id="2"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329183" y="972919"/>
                            <a:ext cx="1440000" cy="180000"/>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1792222" y="972919"/>
                            <a:ext cx="1916582" cy="1800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314553" y="2304286"/>
                            <a:ext cx="3445459" cy="204828"/>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文字方塊 6"/>
                        <wps:cNvSpPr txBox="1"/>
                        <wps:spPr>
                          <a:xfrm>
                            <a:off x="285291" y="226772"/>
                            <a:ext cx="1397205" cy="6071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E4E19" w:rsidRPr="004F6D08" w:rsidRDefault="001E4E19" w:rsidP="00FF0F71">
                              <w:pPr>
                                <w:spacing w:line="400" w:lineRule="exact"/>
                                <w:jc w:val="center"/>
                                <w:rPr>
                                  <w:sz w:val="28"/>
                                  <w:szCs w:val="28"/>
                                </w:rPr>
                              </w:pPr>
                              <w:r>
                                <w:rPr>
                                  <w:rFonts w:hint="eastAsia"/>
                                  <w:sz w:val="28"/>
                                  <w:szCs w:val="28"/>
                                </w:rPr>
                                <w:t>前</w:t>
                              </w:r>
                              <w:r w:rsidRPr="004F6D08">
                                <w:rPr>
                                  <w:sz w:val="28"/>
                                  <w:szCs w:val="28"/>
                                </w:rPr>
                                <w:t>罪</w:t>
                              </w:r>
                            </w:p>
                            <w:p w:rsidR="001E4E19" w:rsidRPr="004F6D08" w:rsidRDefault="001E4E19" w:rsidP="007F26D8">
                              <w:pPr>
                                <w:spacing w:line="400" w:lineRule="exact"/>
                                <w:rPr>
                                  <w:sz w:val="28"/>
                                  <w:szCs w:val="28"/>
                                </w:rPr>
                              </w:pPr>
                              <w:r w:rsidRPr="004F6D08">
                                <w:rPr>
                                  <w:rFonts w:hint="eastAsia"/>
                                  <w:sz w:val="28"/>
                                  <w:szCs w:val="28"/>
                                </w:rPr>
                                <w:t>妨害性自主罪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字方塊 7"/>
                        <wps:cNvSpPr txBox="1"/>
                        <wps:spPr>
                          <a:xfrm>
                            <a:off x="1997049" y="241403"/>
                            <a:ext cx="1602029" cy="60716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E4E19" w:rsidRPr="004F6D08" w:rsidRDefault="001E4E19" w:rsidP="00FF0F71">
                              <w:pPr>
                                <w:spacing w:line="400" w:lineRule="exact"/>
                                <w:jc w:val="center"/>
                                <w:rPr>
                                  <w:sz w:val="28"/>
                                  <w:szCs w:val="28"/>
                                </w:rPr>
                              </w:pPr>
                              <w:r>
                                <w:rPr>
                                  <w:rFonts w:hint="eastAsia"/>
                                  <w:sz w:val="28"/>
                                  <w:szCs w:val="28"/>
                                </w:rPr>
                                <w:t>後</w:t>
                              </w:r>
                              <w:r w:rsidRPr="004F6D08">
                                <w:rPr>
                                  <w:sz w:val="28"/>
                                  <w:szCs w:val="28"/>
                                </w:rPr>
                                <w:t>罪</w:t>
                              </w:r>
                            </w:p>
                            <w:p w:rsidR="001E4E19" w:rsidRPr="004F6D08" w:rsidRDefault="001E4E19" w:rsidP="00FF0F71">
                              <w:pPr>
                                <w:spacing w:line="400" w:lineRule="exact"/>
                                <w:jc w:val="center"/>
                                <w:rPr>
                                  <w:sz w:val="28"/>
                                  <w:szCs w:val="28"/>
                                </w:rPr>
                              </w:pPr>
                              <w:r>
                                <w:rPr>
                                  <w:rFonts w:hint="eastAsia"/>
                                  <w:sz w:val="28"/>
                                  <w:szCs w:val="28"/>
                                </w:rPr>
                                <w:t>非</w:t>
                              </w:r>
                              <w:r w:rsidRPr="004F6D08">
                                <w:rPr>
                                  <w:rFonts w:hint="eastAsia"/>
                                  <w:sz w:val="28"/>
                                  <w:szCs w:val="28"/>
                                </w:rPr>
                                <w:t>妨害性自主罪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接點 8"/>
                        <wps:cNvCnPr/>
                        <wps:spPr>
                          <a:xfrm>
                            <a:off x="2192681" y="2070330"/>
                            <a:ext cx="0" cy="580390"/>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9" name="文字方塊 9"/>
                        <wps:cNvSpPr txBox="1"/>
                        <wps:spPr>
                          <a:xfrm>
                            <a:off x="1916370" y="1411811"/>
                            <a:ext cx="653415" cy="666115"/>
                          </a:xfrm>
                          <a:prstGeom prst="rect">
                            <a:avLst/>
                          </a:prstGeom>
                          <a:solidFill>
                            <a:schemeClr val="lt1"/>
                          </a:solidFill>
                          <a:ln w="38100">
                            <a:solidFill>
                              <a:prstClr val="black"/>
                            </a:solidFill>
                          </a:ln>
                        </wps:spPr>
                        <wps:txbx>
                          <w:txbxContent>
                            <w:p w:rsidR="001E4E19" w:rsidRDefault="001E4E19">
                              <w:r>
                                <w:rPr>
                                  <w:rFonts w:hint="eastAsia"/>
                                </w:rPr>
                                <w:t>准予</w:t>
                              </w:r>
                            </w:p>
                            <w:p w:rsidR="001E4E19" w:rsidRDefault="001E4E19">
                              <w:r>
                                <w:rPr>
                                  <w:rFonts w:hint="eastAsia"/>
                                </w:rPr>
                                <w:t>假釋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直線單箭頭接點 10"/>
                        <wps:cNvCnPr/>
                        <wps:spPr>
                          <a:xfrm>
                            <a:off x="2326233" y="2604212"/>
                            <a:ext cx="1419149"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2" name="文字方塊 12"/>
                        <wps:cNvSpPr txBox="1"/>
                        <wps:spPr>
                          <a:xfrm>
                            <a:off x="2311274" y="2741821"/>
                            <a:ext cx="2889504" cy="1508311"/>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rsidR="001E4E19" w:rsidRDefault="001E4E19" w:rsidP="00D356EB">
                              <w:pPr>
                                <w:spacing w:line="400" w:lineRule="exact"/>
                              </w:pPr>
                              <w:r>
                                <w:rPr>
                                  <w:rFonts w:hint="eastAsia"/>
                                </w:rPr>
                                <w:t>假釋期間，概念上</w:t>
                              </w:r>
                              <w:r>
                                <w:t>前罪已執行完畢，似不應依性侵害犯罪防治法第20條</w:t>
                              </w:r>
                              <w:r>
                                <w:rPr>
                                  <w:rFonts w:hint="eastAsia"/>
                                </w:rPr>
                                <w:t>對該</w:t>
                              </w:r>
                              <w:r>
                                <w:t>假釋付保護管束之人</w:t>
                              </w:r>
                              <w:r>
                                <w:rPr>
                                  <w:rFonts w:hint="eastAsia"/>
                                </w:rPr>
                                <w:t>要求穿戴</w:t>
                              </w:r>
                              <w:r>
                                <w:t>電子腳鐐</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文字方塊 13"/>
                        <wps:cNvSpPr txBox="1"/>
                        <wps:spPr>
                          <a:xfrm>
                            <a:off x="3855109" y="877823"/>
                            <a:ext cx="1068019" cy="365761"/>
                          </a:xfrm>
                          <a:prstGeom prst="rect">
                            <a:avLst/>
                          </a:prstGeom>
                          <a:solidFill>
                            <a:schemeClr val="lt1"/>
                          </a:solidFill>
                          <a:ln w="6350">
                            <a:solidFill>
                              <a:prstClr val="black"/>
                            </a:solidFill>
                          </a:ln>
                        </wps:spPr>
                        <wps:txbx>
                          <w:txbxContent>
                            <w:p w:rsidR="001E4E19" w:rsidRPr="00E63707" w:rsidRDefault="001E4E19" w:rsidP="00E63707">
                              <w:pPr>
                                <w:jc w:val="center"/>
                                <w:rPr>
                                  <w:sz w:val="24"/>
                                </w:rPr>
                              </w:pPr>
                              <w:r w:rsidRPr="00E63707">
                                <w:rPr>
                                  <w:sz w:val="24"/>
                                </w:rPr>
                                <w:t>接續執行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字方塊 17"/>
                        <wps:cNvSpPr txBox="1"/>
                        <wps:spPr>
                          <a:xfrm>
                            <a:off x="3855109" y="1770280"/>
                            <a:ext cx="1068019" cy="724204"/>
                          </a:xfrm>
                          <a:prstGeom prst="rect">
                            <a:avLst/>
                          </a:prstGeom>
                          <a:solidFill>
                            <a:schemeClr val="lt1"/>
                          </a:solidFill>
                          <a:ln w="6350">
                            <a:solidFill>
                              <a:prstClr val="black"/>
                            </a:solidFill>
                          </a:ln>
                        </wps:spPr>
                        <wps:txbx>
                          <w:txbxContent>
                            <w:p w:rsidR="001E4E19" w:rsidRPr="00E63707" w:rsidRDefault="001E4E19" w:rsidP="00E63707">
                              <w:pPr>
                                <w:spacing w:line="320" w:lineRule="exact"/>
                                <w:rPr>
                                  <w:sz w:val="24"/>
                                </w:rPr>
                              </w:pPr>
                              <w:r w:rsidRPr="00E63707">
                                <w:rPr>
                                  <w:sz w:val="24"/>
                                </w:rPr>
                                <w:t>刑法第79條</w:t>
                              </w:r>
                              <w:r w:rsidRPr="00E63707">
                                <w:rPr>
                                  <w:rFonts w:hint="eastAsia"/>
                                  <w:sz w:val="24"/>
                                </w:rPr>
                                <w:t>之</w:t>
                              </w:r>
                              <w:r w:rsidRPr="00E63707">
                                <w:rPr>
                                  <w:sz w:val="24"/>
                                </w:rPr>
                                <w:t>1合併計算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畫布 2" o:spid="_x0000_s1026" editas="canvas" style="width:432.55pt;height:337.55pt;mso-position-horizontal-relative:char;mso-position-vertical-relative:line" coordsize="54927,4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27;height:42862;visibility:visible;mso-wrap-style:square">
                  <v:fill o:detectmouseclick="t"/>
                  <v:path o:connecttype="none"/>
                </v:shape>
                <v:rect id="矩形 3" o:spid="_x0000_s1028" style="position:absolute;left:3291;top:9729;width:14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" fillcolor="#4f81bd [3204]" strokecolor="#243f60 [1604]" strokeweight="2pt">
                  <v:fill r:id="rId9" o:title="" color2="white [3212]" type="pattern"/>
                </v:rect>
                <v:rect id="矩形 4" o:spid="_x0000_s1029" style="position:absolute;left:17922;top:9729;width:1916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" fillcolor="#c0504d [3205]" strokecolor="#622423 [1605]" strokeweight="2pt"/>
                <v:rect id="矩形 5" o:spid="_x0000_s1030" style="position:absolute;left:3145;top:23042;width:34455;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" fillcolor="#f79646 [3209]" strokecolor="#974706 [1609]" strokeweight="2pt"/>
                <v:shapetype id="_x0000_t202" coordsize="21600,21600" o:spt="202" path="m,l,21600r21600,l21600,xe">
                  <v:stroke joinstyle="miter"/>
                  <v:path gradientshapeok="t" o:connecttype="rect"/>
                </v:shapetype>
                <v:shape id="文字方塊 6" o:spid="_x0000_s1031" type="#_x0000_t202" style="position:absolute;left:2852;top:2267;width:13972;height:6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" fillcolor="white [3201]" strokecolor="#4f81bd [3204]" strokeweight="2pt">
                  <v:textbox>
                    <w:txbxContent>
                      <w:p w:rsidR="001E4E19" w:rsidRPr="004F6D08" w:rsidRDefault="001E4E19" w:rsidP="00FF0F71">
                        <w:pPr>
                          <w:spacing w:line="400" w:lineRule="exact"/>
                          <w:jc w:val="center"/>
                          <w:rPr>
                            <w:sz w:val="28"/>
                            <w:szCs w:val="28"/>
                          </w:rPr>
                        </w:pPr>
                        <w:r>
                          <w:rPr>
                            <w:rFonts w:hint="eastAsia"/>
                            <w:sz w:val="28"/>
                            <w:szCs w:val="28"/>
                          </w:rPr>
                          <w:t>前</w:t>
                        </w:r>
                        <w:r w:rsidRPr="004F6D08">
                          <w:rPr>
                            <w:sz w:val="28"/>
                            <w:szCs w:val="28"/>
                          </w:rPr>
                          <w:t>罪</w:t>
                        </w:r>
                      </w:p>
                      <w:p w:rsidR="001E4E19" w:rsidRPr="004F6D08" w:rsidRDefault="001E4E19" w:rsidP="007F26D8">
                        <w:pPr>
                          <w:spacing w:line="400" w:lineRule="exact"/>
                          <w:rPr>
                            <w:sz w:val="28"/>
                            <w:szCs w:val="28"/>
                          </w:rPr>
                        </w:pPr>
                        <w:r w:rsidRPr="004F6D08">
                          <w:rPr>
                            <w:rFonts w:hint="eastAsia"/>
                            <w:sz w:val="28"/>
                            <w:szCs w:val="28"/>
                          </w:rPr>
                          <w:t>妨害性自主罪</w:t>
                        </w:r>
                      </w:p>
                    </w:txbxContent>
                  </v:textbox>
                </v:shape>
                <v:shape id="文字方塊 7" o:spid="_x0000_s1032" type="#_x0000_t202" style="position:absolute;left:19970;top:2414;width:16020;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" fillcolor="white [3201]" strokecolor="#c0504d [3205]" strokeweight="2pt">
                  <v:textbox>
                    <w:txbxContent>
                      <w:p w:rsidR="001E4E19" w:rsidRPr="004F6D08" w:rsidRDefault="001E4E19" w:rsidP="00FF0F71">
                        <w:pPr>
                          <w:spacing w:line="400" w:lineRule="exact"/>
                          <w:jc w:val="center"/>
                          <w:rPr>
                            <w:sz w:val="28"/>
                            <w:szCs w:val="28"/>
                          </w:rPr>
                        </w:pPr>
                        <w:r>
                          <w:rPr>
                            <w:rFonts w:hint="eastAsia"/>
                            <w:sz w:val="28"/>
                            <w:szCs w:val="28"/>
                          </w:rPr>
                          <w:t>後</w:t>
                        </w:r>
                        <w:r w:rsidRPr="004F6D08">
                          <w:rPr>
                            <w:sz w:val="28"/>
                            <w:szCs w:val="28"/>
                          </w:rPr>
                          <w:t>罪</w:t>
                        </w:r>
                      </w:p>
                      <w:p w:rsidR="001E4E19" w:rsidRPr="004F6D08" w:rsidRDefault="001E4E19" w:rsidP="00FF0F71">
                        <w:pPr>
                          <w:spacing w:line="400" w:lineRule="exact"/>
                          <w:jc w:val="center"/>
                          <w:rPr>
                            <w:sz w:val="28"/>
                            <w:szCs w:val="28"/>
                          </w:rPr>
                        </w:pPr>
                        <w:r>
                          <w:rPr>
                            <w:rFonts w:hint="eastAsia"/>
                            <w:sz w:val="28"/>
                            <w:szCs w:val="28"/>
                          </w:rPr>
                          <w:t>非</w:t>
                        </w:r>
                        <w:r w:rsidRPr="004F6D08">
                          <w:rPr>
                            <w:rFonts w:hint="eastAsia"/>
                            <w:sz w:val="28"/>
                            <w:szCs w:val="28"/>
                          </w:rPr>
                          <w:t>妨害性自主罪</w:t>
                        </w:r>
                      </w:p>
                    </w:txbxContent>
                  </v:textbox>
                </v:shape>
                <v:line id="直線接點 8" o:spid="_x0000_s1033" style="position:absolute;visibility:visible;mso-wrap-style:square" from="21926,20703" to="21926,2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" strokecolor="black [3040]" strokeweight="4.5pt"/>
                <v:shape id="文字方塊 9" o:spid="_x0000_s1034" type="#_x0000_t202" style="position:absolute;left:19163;top:14118;width:6534;height:66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" fillcolor="white [3201]" strokeweight="3pt">
                  <v:textbox>
                    <w:txbxContent>
                      <w:p w:rsidR="001E4E19" w:rsidRDefault="001E4E19">
                        <w:r>
                          <w:rPr>
                            <w:rFonts w:hint="eastAsia"/>
                          </w:rPr>
                          <w:t>准予</w:t>
                        </w:r>
                      </w:p>
                      <w:p w:rsidR="001E4E19" w:rsidRDefault="001E4E19">
                        <w:r>
                          <w:rPr>
                            <w:rFonts w:hint="eastAsia"/>
                          </w:rPr>
                          <w:t>假釋</w:t>
                        </w:r>
                      </w:p>
                    </w:txbxContent>
                  </v:textbox>
                </v:shape>
                <v:shapetype id="_x0000_t32" coordsize="21600,21600" o:spt="32" o:oned="t" path="m,l21600,21600e" filled="f">
                  <v:path arrowok="t" fillok="f" o:connecttype="none"/>
                  <o:lock v:ext="edit" shapetype="t"/>
                </v:shapetype>
                <v:shape id="直線單箭頭接點 10" o:spid="_x0000_s1035" type="#_x0000_t32" style="position:absolute;left:23262;top:26042;width:1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" strokecolor="#4579b8 [3044]" strokeweight="2.25pt">
                  <v:stroke endarrow="block"/>
                </v:shape>
                <v:shape id="文字方塊 12" o:spid="_x0000_s1036" type="#_x0000_t202" style="position:absolute;left:23112;top:27418;width:28895;height:1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" fillcolor="white [3201]" strokecolor="#4bacc6 [3208]" strokeweight="1.5pt">
                  <v:textbox>
                    <w:txbxContent>
                      <w:p w:rsidR="001E4E19" w:rsidRDefault="001E4E19" w:rsidP="00D356EB">
                        <w:pPr>
                          <w:spacing w:line="400" w:lineRule="exact"/>
                        </w:pPr>
                        <w:r>
                          <w:rPr>
                            <w:rFonts w:hint="eastAsia"/>
                          </w:rPr>
                          <w:t>假釋</w:t>
                        </w:r>
                        <w:proofErr w:type="gramStart"/>
                        <w:r>
                          <w:rPr>
                            <w:rFonts w:hint="eastAsia"/>
                          </w:rPr>
                          <w:t>期間，</w:t>
                        </w:r>
                        <w:proofErr w:type="gramEnd"/>
                        <w:r>
                          <w:rPr>
                            <w:rFonts w:hint="eastAsia"/>
                          </w:rPr>
                          <w:t>概念上</w:t>
                        </w:r>
                        <w:r>
                          <w:t>前罪已執行完畢，似不應依性侵害犯罪防治法第20條</w:t>
                        </w:r>
                        <w:r>
                          <w:rPr>
                            <w:rFonts w:hint="eastAsia"/>
                          </w:rPr>
                          <w:t>對該</w:t>
                        </w:r>
                        <w:r>
                          <w:t>假釋付保護管束之人</w:t>
                        </w:r>
                        <w:r>
                          <w:rPr>
                            <w:rFonts w:hint="eastAsia"/>
                          </w:rPr>
                          <w:t>要求穿戴</w:t>
                        </w:r>
                        <w:r>
                          <w:t>電子腳鐐</w:t>
                        </w:r>
                        <w:r>
                          <w:rPr>
                            <w:rFonts w:hint="eastAsia"/>
                          </w:rPr>
                          <w:t>*</w:t>
                        </w:r>
                      </w:p>
                    </w:txbxContent>
                  </v:textbox>
                </v:shape>
                <v:shape id="文字方塊 13" o:spid="_x0000_s1037" type="#_x0000_t202" style="position:absolute;left:38551;top:8778;width:10680;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1E4E19" w:rsidRPr="00E63707" w:rsidRDefault="001E4E19" w:rsidP="00E63707">
                        <w:pPr>
                          <w:jc w:val="center"/>
                          <w:rPr>
                            <w:sz w:val="24"/>
                          </w:rPr>
                        </w:pPr>
                        <w:r w:rsidRPr="00E63707">
                          <w:rPr>
                            <w:sz w:val="24"/>
                          </w:rPr>
                          <w:t>接續執行</w:t>
                        </w:r>
                      </w:p>
                    </w:txbxContent>
                  </v:textbox>
                </v:shape>
                <v:shape id="文字方塊 17" o:spid="_x0000_s1038" type="#_x0000_t202" style="position:absolute;left:38551;top:17702;width:10680;height:7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1E4E19" w:rsidRPr="00E63707" w:rsidRDefault="001E4E19" w:rsidP="00E63707">
                        <w:pPr>
                          <w:spacing w:line="320" w:lineRule="exact"/>
                          <w:rPr>
                            <w:sz w:val="24"/>
                          </w:rPr>
                        </w:pPr>
                        <w:r w:rsidRPr="00E63707">
                          <w:rPr>
                            <w:sz w:val="24"/>
                          </w:rPr>
                          <w:t>刑法第79條</w:t>
                        </w:r>
                        <w:r w:rsidRPr="00E63707">
                          <w:rPr>
                            <w:rFonts w:hint="eastAsia"/>
                            <w:sz w:val="24"/>
                          </w:rPr>
                          <w:t>之</w:t>
                        </w:r>
                        <w:r w:rsidRPr="00E63707">
                          <w:rPr>
                            <w:sz w:val="24"/>
                          </w:rPr>
                          <w:t>1合併計算</w:t>
                        </w:r>
                      </w:p>
                    </w:txbxContent>
                  </v:textbox>
                </v:shape>
                <w10:anchorlock/>
              </v:group>
            </w:pict>
          </mc:Fallback>
        </mc:AlternateContent>
      </w:r>
    </w:p>
    <w:p w:rsidR="003E2C4A" w:rsidRPr="00062C03" w:rsidRDefault="003E2C4A" w:rsidP="003E2C4A">
      <w:pPr>
        <w:pStyle w:val="a1"/>
        <w:rPr>
          <w:color w:val="000000" w:themeColor="text1"/>
        </w:rPr>
      </w:pPr>
      <w:r w:rsidRPr="00062C03">
        <w:rPr>
          <w:rFonts w:hint="eastAsia"/>
          <w:color w:val="000000" w:themeColor="text1"/>
        </w:rPr>
        <w:t>示意圖A</w:t>
      </w:r>
    </w:p>
    <w:p w:rsidR="00491B9E" w:rsidRPr="00062C03" w:rsidRDefault="00491B9E" w:rsidP="00491B9E">
      <w:pPr>
        <w:spacing w:line="320" w:lineRule="exact"/>
        <w:rPr>
          <w:color w:val="000000" w:themeColor="text1"/>
          <w:sz w:val="24"/>
          <w:szCs w:val="24"/>
        </w:rPr>
      </w:pPr>
      <w:r w:rsidRPr="00062C03">
        <w:rPr>
          <w:rFonts w:hint="eastAsia"/>
          <w:color w:val="000000" w:themeColor="text1"/>
          <w:sz w:val="24"/>
          <w:szCs w:val="24"/>
        </w:rPr>
        <w:t>*註：若依最高法院104年度第7次刑事庭會議決議意旨，因前罪已執行期滿，不應適用第79條之1規定</w:t>
      </w:r>
      <w:r w:rsidR="001068C8" w:rsidRPr="00062C03">
        <w:rPr>
          <w:rFonts w:hint="eastAsia"/>
          <w:color w:val="000000" w:themeColor="text1"/>
          <w:sz w:val="24"/>
          <w:szCs w:val="24"/>
        </w:rPr>
        <w:t>，僅就後罪認定其假釋期間</w:t>
      </w:r>
      <w:r w:rsidRPr="00062C03">
        <w:rPr>
          <w:rFonts w:hint="eastAsia"/>
          <w:color w:val="000000" w:themeColor="text1"/>
          <w:sz w:val="24"/>
          <w:szCs w:val="24"/>
        </w:rPr>
        <w:t>。</w:t>
      </w:r>
      <w:r w:rsidR="00F02286" w:rsidRPr="00062C03">
        <w:rPr>
          <w:rFonts w:hint="eastAsia"/>
          <w:color w:val="000000" w:themeColor="text1"/>
          <w:sz w:val="24"/>
          <w:szCs w:val="24"/>
        </w:rPr>
        <w:t>若依此見解，則不生</w:t>
      </w:r>
      <w:r w:rsidR="00F02286" w:rsidRPr="00062C03">
        <w:rPr>
          <w:color w:val="000000" w:themeColor="text1"/>
          <w:sz w:val="24"/>
          <w:szCs w:val="24"/>
        </w:rPr>
        <w:t>依性侵害犯罪防治法第20條</w:t>
      </w:r>
      <w:r w:rsidR="00F02286" w:rsidRPr="00062C03">
        <w:rPr>
          <w:rFonts w:hint="eastAsia"/>
          <w:color w:val="000000" w:themeColor="text1"/>
          <w:sz w:val="24"/>
          <w:szCs w:val="24"/>
        </w:rPr>
        <w:t>對該</w:t>
      </w:r>
      <w:r w:rsidR="00F02286" w:rsidRPr="00062C03">
        <w:rPr>
          <w:color w:val="000000" w:themeColor="text1"/>
          <w:sz w:val="24"/>
          <w:szCs w:val="24"/>
        </w:rPr>
        <w:t>假釋付保護管束之人</w:t>
      </w:r>
      <w:r w:rsidR="00F02286" w:rsidRPr="00062C03">
        <w:rPr>
          <w:rFonts w:hint="eastAsia"/>
          <w:color w:val="000000" w:themeColor="text1"/>
          <w:sz w:val="24"/>
          <w:szCs w:val="24"/>
        </w:rPr>
        <w:t>要求穿戴</w:t>
      </w:r>
      <w:r w:rsidR="00F02286" w:rsidRPr="00062C03">
        <w:rPr>
          <w:color w:val="000000" w:themeColor="text1"/>
          <w:sz w:val="24"/>
          <w:szCs w:val="24"/>
        </w:rPr>
        <w:t>電子腳鐐</w:t>
      </w:r>
      <w:r w:rsidR="00F02286" w:rsidRPr="00062C03">
        <w:rPr>
          <w:rFonts w:hint="eastAsia"/>
          <w:color w:val="000000" w:themeColor="text1"/>
          <w:sz w:val="24"/>
          <w:szCs w:val="24"/>
        </w:rPr>
        <w:t>之問題。</w:t>
      </w:r>
    </w:p>
    <w:p w:rsidR="00491B9E" w:rsidRPr="00062C03" w:rsidRDefault="00491B9E" w:rsidP="00491B9E">
      <w:pPr>
        <w:spacing w:line="320" w:lineRule="exact"/>
        <w:rPr>
          <w:color w:val="000000" w:themeColor="text1"/>
          <w:sz w:val="24"/>
          <w:szCs w:val="24"/>
        </w:rPr>
      </w:pPr>
    </w:p>
    <w:p w:rsidR="00AF55F7" w:rsidRPr="00062C03" w:rsidRDefault="004366DE" w:rsidP="004366DE">
      <w:pPr>
        <w:pStyle w:val="3"/>
        <w:rPr>
          <w:color w:val="000000" w:themeColor="text1"/>
        </w:rPr>
      </w:pPr>
      <w:r w:rsidRPr="00062C03">
        <w:rPr>
          <w:rFonts w:hint="eastAsia"/>
          <w:color w:val="000000" w:themeColor="text1"/>
        </w:rPr>
        <w:t>就本案而言，依法務部查復之「法務部</w:t>
      </w:r>
      <w:r w:rsidRPr="00062C03">
        <w:rPr>
          <w:rFonts w:hAnsi="標楷體" w:hint="eastAsia"/>
          <w:color w:val="000000" w:themeColor="text1"/>
          <w:szCs w:val="28"/>
        </w:rPr>
        <w:t>矯正署所屬高雄監獄假釋出獄人交付保護管束名冊</w:t>
      </w:r>
      <w:r w:rsidRPr="00062C03">
        <w:rPr>
          <w:rFonts w:hint="eastAsia"/>
          <w:color w:val="000000" w:themeColor="text1"/>
        </w:rPr>
        <w:t>」可知，潘員共有兩筆指揮執行書，前者為8件竊盜罪，後者為與未成年人性交罪1件及5件竊盜罪</w:t>
      </w:r>
      <w:r w:rsidR="00AF55F7" w:rsidRPr="00062C03">
        <w:rPr>
          <w:rFonts w:hint="eastAsia"/>
          <w:color w:val="000000" w:themeColor="text1"/>
        </w:rPr>
        <w:t>，兩者接續執行</w:t>
      </w:r>
      <w:r w:rsidRPr="00062C03">
        <w:rPr>
          <w:rFonts w:hint="eastAsia"/>
          <w:color w:val="000000" w:themeColor="text1"/>
        </w:rPr>
        <w:t>，後者依「高雄地檢署106年執助崴字第229號檢</w:t>
      </w:r>
      <w:r w:rsidRPr="00062C03">
        <w:rPr>
          <w:rFonts w:hint="eastAsia"/>
          <w:color w:val="000000" w:themeColor="text1"/>
        </w:rPr>
        <w:lastRenderedPageBreak/>
        <w:t>察官執行指揮書」刑期起算日為106年5月19日（註：後</w:t>
      </w:r>
      <w:r w:rsidR="00315B25">
        <w:rPr>
          <w:rFonts w:hint="eastAsia"/>
          <w:color w:val="000000" w:themeColor="text1"/>
        </w:rPr>
        <w:t>者</w:t>
      </w:r>
      <w:r w:rsidRPr="00062C03">
        <w:rPr>
          <w:rFonts w:hint="eastAsia"/>
          <w:color w:val="000000" w:themeColor="text1"/>
        </w:rPr>
        <w:t>應執行有期徒刑2年1月，執行期滿日原為108年6月18日，因縮刑等緣由，故於108年4月11日屆滿），故潘員於107年6月26日拘役執行完畢出監後，前</w:t>
      </w:r>
      <w:r w:rsidR="00315B25">
        <w:rPr>
          <w:rFonts w:hint="eastAsia"/>
          <w:color w:val="000000" w:themeColor="text1"/>
        </w:rPr>
        <w:t>者</w:t>
      </w:r>
      <w:r w:rsidRPr="00062C03">
        <w:rPr>
          <w:rFonts w:hint="eastAsia"/>
          <w:color w:val="000000" w:themeColor="text1"/>
        </w:rPr>
        <w:t>已執行完畢，假釋期間即為後</w:t>
      </w:r>
      <w:r w:rsidR="00315B25">
        <w:rPr>
          <w:rFonts w:hint="eastAsia"/>
          <w:color w:val="000000" w:themeColor="text1"/>
        </w:rPr>
        <w:t>者</w:t>
      </w:r>
      <w:r w:rsidR="00C76BBD">
        <w:rPr>
          <w:rFonts w:hint="eastAsia"/>
          <w:color w:val="000000" w:themeColor="text1"/>
        </w:rPr>
        <w:t>與</w:t>
      </w:r>
      <w:r w:rsidRPr="00062C03">
        <w:rPr>
          <w:rFonts w:hint="eastAsia"/>
          <w:color w:val="000000" w:themeColor="text1"/>
        </w:rPr>
        <w:t>未成年人性交罪1件及5件竊盜罪之未執行殘刑，該6罪屬於數罪</w:t>
      </w:r>
      <w:r w:rsidR="00C94A56" w:rsidRPr="00062C03">
        <w:rPr>
          <w:rFonts w:hint="eastAsia"/>
          <w:color w:val="000000" w:themeColor="text1"/>
        </w:rPr>
        <w:t>併罰</w:t>
      </w:r>
      <w:r w:rsidRPr="00062C03">
        <w:rPr>
          <w:rFonts w:hint="eastAsia"/>
          <w:color w:val="000000" w:themeColor="text1"/>
        </w:rPr>
        <w:t>，僅有一個應執行刑而無從分割先後順序</w:t>
      </w:r>
      <w:r w:rsidR="004E00AA" w:rsidRPr="00062C03">
        <w:rPr>
          <w:rFonts w:hint="eastAsia"/>
          <w:color w:val="000000" w:themeColor="text1"/>
        </w:rPr>
        <w:t>（請參圖2），因此可依性侵害犯罪防治法第20條，使之穿戴電子腳鐐</w:t>
      </w:r>
      <w:r w:rsidR="00AF55F7" w:rsidRPr="00062C03">
        <w:rPr>
          <w:rFonts w:hint="eastAsia"/>
          <w:color w:val="000000" w:themeColor="text1"/>
        </w:rPr>
        <w:t>。</w:t>
      </w:r>
    </w:p>
    <w:p w:rsidR="00AF55F7" w:rsidRPr="00062C03" w:rsidRDefault="00AF55F7" w:rsidP="00AF55F7">
      <w:pPr>
        <w:rPr>
          <w:color w:val="000000" w:themeColor="text1"/>
        </w:rPr>
      </w:pPr>
      <w:r w:rsidRPr="00062C03">
        <w:rPr>
          <w:noProof/>
          <w:color w:val="000000" w:themeColor="text1"/>
        </w:rPr>
        <mc:AlternateContent>
          <mc:Choice Requires="wpc">
            <w:drawing>
              <wp:inline distT="0" distB="0" distL="0" distR="0" wp14:anchorId="04B9D4B4" wp14:editId="68219DAF">
                <wp:extent cx="5492750" cy="5221224"/>
                <wp:effectExtent l="0" t="0" r="12700" b="0"/>
                <wp:docPr id="29" name="畫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矩形 18"/>
                        <wps:cNvSpPr/>
                        <wps:spPr>
                          <a:xfrm>
                            <a:off x="329183" y="972919"/>
                            <a:ext cx="1440000" cy="180000"/>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1792022" y="972768"/>
                            <a:ext cx="2629087" cy="171587"/>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376261" y="3100586"/>
                            <a:ext cx="4012859" cy="204828"/>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文字方塊 21"/>
                        <wps:cNvSpPr txBox="1"/>
                        <wps:spPr>
                          <a:xfrm>
                            <a:off x="329179" y="235895"/>
                            <a:ext cx="1397205" cy="60716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E4E19" w:rsidRPr="004F6D08" w:rsidRDefault="001E4E19" w:rsidP="00AF55F7">
                              <w:pPr>
                                <w:spacing w:line="400" w:lineRule="exact"/>
                                <w:jc w:val="center"/>
                                <w:rPr>
                                  <w:sz w:val="28"/>
                                  <w:szCs w:val="28"/>
                                </w:rPr>
                              </w:pPr>
                              <w:r>
                                <w:rPr>
                                  <w:rFonts w:hint="eastAsia"/>
                                  <w:sz w:val="28"/>
                                  <w:szCs w:val="28"/>
                                </w:rPr>
                                <w:t>前者</w:t>
                              </w:r>
                            </w:p>
                            <w:p w:rsidR="001E4E19" w:rsidRPr="004F6D08" w:rsidRDefault="001E4E19" w:rsidP="00AF55F7">
                              <w:pPr>
                                <w:spacing w:line="400" w:lineRule="exact"/>
                                <w:jc w:val="center"/>
                                <w:rPr>
                                  <w:sz w:val="28"/>
                                  <w:szCs w:val="28"/>
                                </w:rPr>
                              </w:pPr>
                              <w:r>
                                <w:rPr>
                                  <w:rFonts w:hint="eastAsia"/>
                                  <w:sz w:val="28"/>
                                  <w:szCs w:val="28"/>
                                </w:rPr>
                                <w:t>竊盜8</w:t>
                              </w:r>
                              <w:r w:rsidRPr="004F6D08">
                                <w:rPr>
                                  <w:rFonts w:hint="eastAsia"/>
                                  <w:sz w:val="28"/>
                                  <w:szCs w:val="28"/>
                                </w:rPr>
                                <w:t>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文字方塊 22"/>
                        <wps:cNvSpPr txBox="1"/>
                        <wps:spPr>
                          <a:xfrm>
                            <a:off x="1781734" y="228663"/>
                            <a:ext cx="2639376" cy="60716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E4E19" w:rsidRPr="004F6D08" w:rsidRDefault="001E4E19" w:rsidP="00AF55F7">
                              <w:pPr>
                                <w:spacing w:line="400" w:lineRule="exact"/>
                                <w:jc w:val="center"/>
                                <w:rPr>
                                  <w:sz w:val="28"/>
                                  <w:szCs w:val="28"/>
                                </w:rPr>
                              </w:pPr>
                              <w:r>
                                <w:rPr>
                                  <w:rFonts w:hint="eastAsia"/>
                                  <w:sz w:val="28"/>
                                  <w:szCs w:val="28"/>
                                </w:rPr>
                                <w:t>後者</w:t>
                              </w:r>
                            </w:p>
                            <w:p w:rsidR="001E4E19" w:rsidRPr="004F6D08" w:rsidRDefault="001E4E19" w:rsidP="00AF55F7">
                              <w:pPr>
                                <w:spacing w:line="400" w:lineRule="exact"/>
                                <w:jc w:val="center"/>
                                <w:rPr>
                                  <w:sz w:val="28"/>
                                  <w:szCs w:val="28"/>
                                </w:rPr>
                              </w:pPr>
                              <w:r>
                                <w:rPr>
                                  <w:rFonts w:hint="eastAsia"/>
                                  <w:sz w:val="28"/>
                                  <w:szCs w:val="28"/>
                                </w:rPr>
                                <w:t>1</w:t>
                              </w:r>
                              <w:r>
                                <w:rPr>
                                  <w:sz w:val="28"/>
                                  <w:szCs w:val="28"/>
                                </w:rPr>
                                <w:t>與未成年人性交</w:t>
                              </w:r>
                              <w:r w:rsidRPr="004F6D08">
                                <w:rPr>
                                  <w:rFonts w:hint="eastAsia"/>
                                  <w:sz w:val="28"/>
                                  <w:szCs w:val="28"/>
                                </w:rPr>
                                <w:t>罪</w:t>
                              </w:r>
                              <w:r>
                                <w:rPr>
                                  <w:rFonts w:hint="eastAsia"/>
                                  <w:sz w:val="28"/>
                                  <w:szCs w:val="28"/>
                                </w:rPr>
                                <w:t>+</w:t>
                              </w:r>
                              <w:r>
                                <w:rPr>
                                  <w:sz w:val="28"/>
                                  <w:szCs w:val="28"/>
                                </w:rPr>
                                <w:t>竊盜5罪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直線接點 23"/>
                        <wps:cNvCnPr/>
                        <wps:spPr>
                          <a:xfrm>
                            <a:off x="2080485" y="2866923"/>
                            <a:ext cx="0" cy="5803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 name="文字方塊 24"/>
                        <wps:cNvSpPr txBox="1"/>
                        <wps:spPr>
                          <a:xfrm>
                            <a:off x="1781734" y="2466813"/>
                            <a:ext cx="628015" cy="400111"/>
                          </a:xfrm>
                          <a:prstGeom prst="rect">
                            <a:avLst/>
                          </a:prstGeom>
                          <a:solidFill>
                            <a:schemeClr val="lt1"/>
                          </a:solidFill>
                          <a:ln w="12700">
                            <a:solidFill>
                              <a:prstClr val="black"/>
                            </a:solidFill>
                          </a:ln>
                        </wps:spPr>
                        <wps:txbx>
                          <w:txbxContent>
                            <w:p w:rsidR="001E4E19" w:rsidRDefault="001E4E19" w:rsidP="00AF55F7">
                              <w:r>
                                <w:rPr>
                                  <w:rFonts w:hint="eastAsia"/>
                                </w:rPr>
                                <w:t>假釋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直線單箭頭接點 25"/>
                        <wps:cNvCnPr/>
                        <wps:spPr>
                          <a:xfrm>
                            <a:off x="2816263" y="3378365"/>
                            <a:ext cx="1419149"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6" name="文字方塊 26"/>
                        <wps:cNvSpPr txBox="1"/>
                        <wps:spPr>
                          <a:xfrm>
                            <a:off x="3147106" y="3544216"/>
                            <a:ext cx="2345643" cy="1654148"/>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rsidR="001E4E19" w:rsidRDefault="001E4E19" w:rsidP="00D356EB">
                              <w:pPr>
                                <w:spacing w:line="400" w:lineRule="exact"/>
                              </w:pPr>
                              <w:r>
                                <w:rPr>
                                  <w:rFonts w:hint="eastAsia"/>
                                </w:rPr>
                                <w:t>含與未成年人性交罪</w:t>
                              </w:r>
                              <w:r>
                                <w:t>之後</w:t>
                              </w:r>
                              <w:r>
                                <w:rPr>
                                  <w:rFonts w:hint="eastAsia"/>
                                </w:rPr>
                                <w:t>者</w:t>
                              </w:r>
                              <w:r>
                                <w:t>尚未執行完畢，仍可依性侵害犯罪防治法第20條</w:t>
                              </w:r>
                              <w:r>
                                <w:rPr>
                                  <w:rFonts w:hint="eastAsia"/>
                                </w:rPr>
                                <w:t>對該</w:t>
                              </w:r>
                              <w:r>
                                <w:t>假釋付保護管束之人</w:t>
                              </w:r>
                              <w:r>
                                <w:rPr>
                                  <w:rFonts w:hint="eastAsia"/>
                                </w:rPr>
                                <w:t>要求穿戴</w:t>
                              </w:r>
                              <w:r>
                                <w:t>電子腳鐐</w:t>
                              </w:r>
                            </w:p>
                            <w:p w:rsidR="001E4E19" w:rsidRPr="00D356EB" w:rsidRDefault="001E4E19" w:rsidP="00D356EB">
                              <w:pPr>
                                <w:spacing w:line="4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字方塊 27"/>
                        <wps:cNvSpPr txBox="1"/>
                        <wps:spPr>
                          <a:xfrm>
                            <a:off x="4530852" y="877780"/>
                            <a:ext cx="880330" cy="365761"/>
                          </a:xfrm>
                          <a:prstGeom prst="rect">
                            <a:avLst/>
                          </a:prstGeom>
                          <a:solidFill>
                            <a:schemeClr val="lt1"/>
                          </a:solidFill>
                          <a:ln w="6350">
                            <a:solidFill>
                              <a:prstClr val="black"/>
                            </a:solidFill>
                          </a:ln>
                        </wps:spPr>
                        <wps:txbx>
                          <w:txbxContent>
                            <w:p w:rsidR="001E4E19" w:rsidRPr="00E63707" w:rsidRDefault="001E4E19" w:rsidP="00AF55F7">
                              <w:pPr>
                                <w:jc w:val="center"/>
                                <w:rPr>
                                  <w:sz w:val="24"/>
                                </w:rPr>
                              </w:pPr>
                              <w:r w:rsidRPr="00E63707">
                                <w:rPr>
                                  <w:sz w:val="24"/>
                                </w:rPr>
                                <w:t>接續執行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矩形 30"/>
                        <wps:cNvSpPr/>
                        <wps:spPr>
                          <a:xfrm>
                            <a:off x="319760" y="1226636"/>
                            <a:ext cx="1043425" cy="360000"/>
                          </a:xfrm>
                          <a:prstGeom prst="rect">
                            <a:avLst/>
                          </a:prstGeom>
                        </wps:spPr>
                        <wps:style>
                          <a:lnRef idx="2">
                            <a:schemeClr val="accent1"/>
                          </a:lnRef>
                          <a:fillRef idx="1">
                            <a:schemeClr val="lt1"/>
                          </a:fillRef>
                          <a:effectRef idx="0">
                            <a:schemeClr val="accent1"/>
                          </a:effectRef>
                          <a:fontRef idx="minor">
                            <a:schemeClr val="dk1"/>
                          </a:fontRef>
                        </wps:style>
                        <wps:txbx>
                          <w:txbxContent>
                            <w:p w:rsidR="001E4E19" w:rsidRPr="00164B8B" w:rsidRDefault="001E4E19" w:rsidP="00DD329A">
                              <w:pPr>
                                <w:spacing w:line="400" w:lineRule="exact"/>
                                <w:jc w:val="center"/>
                                <w:rPr>
                                  <w:sz w:val="28"/>
                                  <w:szCs w:val="28"/>
                                </w:rPr>
                              </w:pPr>
                              <w:r w:rsidRPr="00164B8B">
                                <w:rPr>
                                  <w:rFonts w:hint="eastAsia"/>
                                  <w:sz w:val="28"/>
                                  <w:szCs w:val="28"/>
                                </w:rPr>
                                <w:t>刑期1年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文字方塊 31"/>
                        <wps:cNvSpPr txBox="1"/>
                        <wps:spPr>
                          <a:xfrm>
                            <a:off x="2720762" y="1233856"/>
                            <a:ext cx="1220302" cy="3600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E4E19" w:rsidRDefault="001E4E19" w:rsidP="00DD329A">
                              <w:pPr>
                                <w:jc w:val="center"/>
                              </w:pPr>
                              <w:r w:rsidRPr="00164B8B">
                                <w:rPr>
                                  <w:rFonts w:hint="eastAsia"/>
                                  <w:sz w:val="28"/>
                                  <w:szCs w:val="28"/>
                                </w:rPr>
                                <w:t>刑期2年1</w:t>
                              </w:r>
                              <w:r>
                                <w:rPr>
                                  <w:rFonts w:hint="eastAsia"/>
                                </w:rPr>
                                <w:t>月</w:t>
                              </w:r>
                            </w:p>
                            <w:p w:rsidR="001E4E19" w:rsidRDefault="001E4E19" w:rsidP="00DD329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字方塊 32"/>
                        <wps:cNvSpPr txBox="1"/>
                        <wps:spPr>
                          <a:xfrm>
                            <a:off x="1447333" y="1323783"/>
                            <a:ext cx="863912" cy="302930"/>
                          </a:xfrm>
                          <a:prstGeom prst="rect">
                            <a:avLst/>
                          </a:prstGeom>
                          <a:noFill/>
                          <a:ln w="6350">
                            <a:noFill/>
                          </a:ln>
                        </wps:spPr>
                        <wps:txbx>
                          <w:txbxContent>
                            <w:p w:rsidR="001E4E19" w:rsidRPr="000F0B18" w:rsidRDefault="001E4E19">
                              <w:pPr>
                                <w:rPr>
                                  <w:b/>
                                  <w:sz w:val="22"/>
                                </w:rPr>
                              </w:pPr>
                              <w:r w:rsidRPr="000F0B18">
                                <w:rPr>
                                  <w:rFonts w:hint="eastAsia"/>
                                  <w:b/>
                                  <w:sz w:val="22"/>
                                </w:rPr>
                                <w:t>106</w:t>
                              </w:r>
                              <w:r w:rsidRPr="000F0B18">
                                <w:rPr>
                                  <w:b/>
                                  <w:sz w:val="22"/>
                                </w:rPr>
                                <w:t>.</w:t>
                              </w:r>
                              <w:r w:rsidRPr="000F0B18">
                                <w:rPr>
                                  <w:rFonts w:hint="eastAsia"/>
                                  <w:b/>
                                  <w:sz w:val="22"/>
                                </w:rPr>
                                <w:t>5</w:t>
                              </w:r>
                              <w:r>
                                <w:rPr>
                                  <w:b/>
                                  <w:sz w:val="22"/>
                                </w:rPr>
                                <w:t>.</w:t>
                              </w:r>
                              <w:r w:rsidRPr="000F0B18">
                                <w:rPr>
                                  <w:rFonts w:hint="eastAsia"/>
                                  <w:b/>
                                  <w:sz w:val="22"/>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直線單箭頭接點 33"/>
                        <wps:cNvCnPr/>
                        <wps:spPr>
                          <a:xfrm>
                            <a:off x="1794114" y="1146720"/>
                            <a:ext cx="0" cy="24414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4" name="直線接點 34"/>
                        <wps:cNvCnPr/>
                        <wps:spPr>
                          <a:xfrm>
                            <a:off x="2731223" y="2866922"/>
                            <a:ext cx="0" cy="5803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文字方塊 35"/>
                        <wps:cNvSpPr txBox="1"/>
                        <wps:spPr>
                          <a:xfrm>
                            <a:off x="2432472" y="2465414"/>
                            <a:ext cx="628015" cy="400050"/>
                          </a:xfrm>
                          <a:prstGeom prst="rect">
                            <a:avLst/>
                          </a:prstGeom>
                          <a:solidFill>
                            <a:schemeClr val="lt1"/>
                          </a:solidFill>
                          <a:ln w="12700">
                            <a:solidFill>
                              <a:prstClr val="black"/>
                            </a:solidFill>
                          </a:ln>
                        </wps:spPr>
                        <wps:txbx>
                          <w:txbxContent>
                            <w:p w:rsidR="001E4E19" w:rsidRDefault="001E4E19" w:rsidP="00AF55F7">
                              <w:r>
                                <w:t>出監</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文字方塊 36"/>
                        <wps:cNvSpPr txBox="1"/>
                        <wps:spPr>
                          <a:xfrm>
                            <a:off x="2384173" y="3500391"/>
                            <a:ext cx="863912" cy="302930"/>
                          </a:xfrm>
                          <a:prstGeom prst="rect">
                            <a:avLst/>
                          </a:prstGeom>
                          <a:noFill/>
                          <a:ln w="6350">
                            <a:noFill/>
                          </a:ln>
                        </wps:spPr>
                        <wps:txbx>
                          <w:txbxContent>
                            <w:p w:rsidR="001E4E19" w:rsidRPr="000F0B18" w:rsidRDefault="001E4E19">
                              <w:pPr>
                                <w:rPr>
                                  <w:b/>
                                  <w:sz w:val="22"/>
                                </w:rPr>
                              </w:pPr>
                              <w:r w:rsidRPr="000F0B18">
                                <w:rPr>
                                  <w:rFonts w:hint="eastAsia"/>
                                  <w:b/>
                                  <w:sz w:val="22"/>
                                </w:rPr>
                                <w:t>10</w:t>
                              </w:r>
                              <w:r>
                                <w:rPr>
                                  <w:b/>
                                  <w:sz w:val="22"/>
                                </w:rPr>
                                <w:t>7</w:t>
                              </w:r>
                              <w:r w:rsidRPr="000F0B18">
                                <w:rPr>
                                  <w:b/>
                                  <w:sz w:val="22"/>
                                </w:rPr>
                                <w:t>.</w:t>
                              </w:r>
                              <w:r>
                                <w:rPr>
                                  <w:b/>
                                  <w:sz w:val="22"/>
                                </w:rPr>
                                <w:t>6.26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直線單箭頭接點 37"/>
                        <wps:cNvCnPr/>
                        <wps:spPr>
                          <a:xfrm>
                            <a:off x="2730954" y="3323328"/>
                            <a:ext cx="0" cy="24414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8" name="文字方塊 38"/>
                        <wps:cNvSpPr txBox="1"/>
                        <wps:spPr>
                          <a:xfrm>
                            <a:off x="1023175" y="3684167"/>
                            <a:ext cx="1225127" cy="354481"/>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1E4E19" w:rsidRPr="00551947" w:rsidRDefault="001E4E19">
                              <w:pPr>
                                <w:rPr>
                                  <w:sz w:val="24"/>
                                  <w:szCs w:val="24"/>
                                </w:rPr>
                              </w:pPr>
                              <w:r w:rsidRPr="00551947">
                                <w:rPr>
                                  <w:rFonts w:hint="eastAsia"/>
                                  <w:sz w:val="24"/>
                                  <w:szCs w:val="24"/>
                                </w:rPr>
                                <w:t>執行拘役76天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向下箭號 40"/>
                        <wps:cNvSpPr/>
                        <wps:spPr>
                          <a:xfrm rot="1945849">
                            <a:off x="2165389" y="3393939"/>
                            <a:ext cx="196344" cy="230002"/>
                          </a:xfrm>
                          <a:prstGeom prst="downArrow">
                            <a:avLst>
                              <a:gd name="adj1" fmla="val 50000"/>
                              <a:gd name="adj2" fmla="val 7113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B9D4B4" id="畫布 29" o:spid="_x0000_s1039" editas="canvas" style="width:432.5pt;height:411.1pt;mso-position-horizontal-relative:char;mso-position-vertical-relative:line" coordsize="54927,5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">
                <v:shape id="_x0000_s1040" type="#_x0000_t75" style="position:absolute;width:54927;height:52209;visibility:visible;mso-wrap-style:square">
                  <v:fill o:detectmouseclick="t"/>
                  <v:path o:connecttype="none"/>
                </v:shape>
                <v:rect id="矩形 18" o:spid="_x0000_s1041" style="position:absolute;left:3291;top:9729;width:14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" fillcolor="#4f81bd [3204]" strokecolor="#243f60 [1604]" strokeweight="2pt">
                  <v:fill r:id="rId9" o:title="" color2="white [3212]" type="pattern"/>
                </v:rect>
                <v:rect id="矩形 19" o:spid="_x0000_s1042" style="position:absolute;left:17920;top:9727;width:26291;height: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" fillcolor="#c0504d [3205]" strokecolor="#622423 [1605]" strokeweight="2pt"/>
                <v:rect id="矩形 20" o:spid="_x0000_s1043" style="position:absolute;left:3762;top:31005;width:40129;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" fillcolor="#f79646 [3209]" strokecolor="#974706 [1609]" strokeweight="2pt"/>
                <v:shape id="文字方塊 21" o:spid="_x0000_s1044" type="#_x0000_t202" style="position:absolute;left:3291;top:2358;width:13972;height:6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" fillcolor="white [3201]" strokecolor="#4f81bd [3204]" strokeweight="2pt">
                  <v:textbox>
                    <w:txbxContent>
                      <w:p w:rsidR="001E4E19" w:rsidRPr="004F6D08" w:rsidRDefault="001E4E19" w:rsidP="00AF55F7">
                        <w:pPr>
                          <w:spacing w:line="400" w:lineRule="exact"/>
                          <w:jc w:val="center"/>
                          <w:rPr>
                            <w:sz w:val="28"/>
                            <w:szCs w:val="28"/>
                          </w:rPr>
                        </w:pPr>
                        <w:r>
                          <w:rPr>
                            <w:rFonts w:hint="eastAsia"/>
                            <w:sz w:val="28"/>
                            <w:szCs w:val="28"/>
                          </w:rPr>
                          <w:t>前者</w:t>
                        </w:r>
                      </w:p>
                      <w:p w:rsidR="001E4E19" w:rsidRPr="004F6D08" w:rsidRDefault="001E4E19" w:rsidP="00AF55F7">
                        <w:pPr>
                          <w:spacing w:line="400" w:lineRule="exact"/>
                          <w:jc w:val="center"/>
                          <w:rPr>
                            <w:sz w:val="28"/>
                            <w:szCs w:val="28"/>
                          </w:rPr>
                        </w:pPr>
                        <w:r>
                          <w:rPr>
                            <w:rFonts w:hint="eastAsia"/>
                            <w:sz w:val="28"/>
                            <w:szCs w:val="28"/>
                          </w:rPr>
                          <w:t>竊盜8</w:t>
                        </w:r>
                        <w:r w:rsidRPr="004F6D08">
                          <w:rPr>
                            <w:rFonts w:hint="eastAsia"/>
                            <w:sz w:val="28"/>
                            <w:szCs w:val="28"/>
                          </w:rPr>
                          <w:t>罪</w:t>
                        </w:r>
                      </w:p>
                    </w:txbxContent>
                  </v:textbox>
                </v:shape>
                <v:shape id="文字方塊 22" o:spid="_x0000_s1045" type="#_x0000_t202" style="position:absolute;left:17817;top:2286;width:26394;height:6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" fillcolor="white [3201]" strokecolor="#c0504d [3205]" strokeweight="2pt">
                  <v:textbox>
                    <w:txbxContent>
                      <w:p w:rsidR="001E4E19" w:rsidRPr="004F6D08" w:rsidRDefault="001E4E19" w:rsidP="00AF55F7">
                        <w:pPr>
                          <w:spacing w:line="400" w:lineRule="exact"/>
                          <w:jc w:val="center"/>
                          <w:rPr>
                            <w:sz w:val="28"/>
                            <w:szCs w:val="28"/>
                          </w:rPr>
                        </w:pPr>
                        <w:r>
                          <w:rPr>
                            <w:rFonts w:hint="eastAsia"/>
                            <w:sz w:val="28"/>
                            <w:szCs w:val="28"/>
                          </w:rPr>
                          <w:t>後者</w:t>
                        </w:r>
                      </w:p>
                      <w:p w:rsidR="001E4E19" w:rsidRPr="004F6D08" w:rsidRDefault="001E4E19" w:rsidP="00AF55F7">
                        <w:pPr>
                          <w:spacing w:line="400" w:lineRule="exact"/>
                          <w:jc w:val="center"/>
                          <w:rPr>
                            <w:sz w:val="28"/>
                            <w:szCs w:val="28"/>
                          </w:rPr>
                        </w:pPr>
                        <w:r>
                          <w:rPr>
                            <w:rFonts w:hint="eastAsia"/>
                            <w:sz w:val="28"/>
                            <w:szCs w:val="28"/>
                          </w:rPr>
                          <w:t>1</w:t>
                        </w:r>
                        <w:r>
                          <w:rPr>
                            <w:sz w:val="28"/>
                            <w:szCs w:val="28"/>
                          </w:rPr>
                          <w:t>與未成年人性交</w:t>
                        </w:r>
                        <w:r w:rsidRPr="004F6D08">
                          <w:rPr>
                            <w:rFonts w:hint="eastAsia"/>
                            <w:sz w:val="28"/>
                            <w:szCs w:val="28"/>
                          </w:rPr>
                          <w:t>罪</w:t>
                        </w:r>
                        <w:r>
                          <w:rPr>
                            <w:rFonts w:hint="eastAsia"/>
                            <w:sz w:val="28"/>
                            <w:szCs w:val="28"/>
                          </w:rPr>
                          <w:t>+</w:t>
                        </w:r>
                        <w:r>
                          <w:rPr>
                            <w:sz w:val="28"/>
                            <w:szCs w:val="28"/>
                          </w:rPr>
                          <w:t>竊盜5罪</w:t>
                        </w:r>
                      </w:p>
                    </w:txbxContent>
                  </v:textbox>
                </v:shape>
                <v:line id="直線接點 23" o:spid="_x0000_s1046" style="position:absolute;visibility:visible;mso-wrap-style:square" from="20804,28669" to="2080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" strokecolor="black [3040]" strokeweight="1.5pt"/>
                <v:shape id="文字方塊 24" o:spid="_x0000_s1047" type="#_x0000_t202" style="position:absolute;left:17817;top:24668;width:6280;height:4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" fillcolor="white [3201]" strokeweight="1pt">
                  <v:textbox>
                    <w:txbxContent>
                      <w:p w:rsidR="001E4E19" w:rsidRDefault="001E4E19" w:rsidP="00AF55F7">
                        <w:r>
                          <w:rPr>
                            <w:rFonts w:hint="eastAsia"/>
                          </w:rPr>
                          <w:t>假釋</w:t>
                        </w:r>
                      </w:p>
                    </w:txbxContent>
                  </v:textbox>
                </v:shape>
                <v:shape id="直線單箭頭接點 25" o:spid="_x0000_s1048" type="#_x0000_t32" style="position:absolute;left:28162;top:33783;width:14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" strokecolor="#4579b8 [3044]" strokeweight="2.25pt">
                  <v:stroke endarrow="block"/>
                </v:shape>
                <v:shape id="文字方塊 26" o:spid="_x0000_s1049" type="#_x0000_t202" style="position:absolute;left:31471;top:35442;width:23456;height:16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" fillcolor="white [3201]" strokecolor="#4bacc6 [3208]" strokeweight="1.5pt">
                  <v:textbox>
                    <w:txbxContent>
                      <w:p w:rsidR="001E4E19" w:rsidRDefault="001E4E19" w:rsidP="00D356EB">
                        <w:pPr>
                          <w:spacing w:line="400" w:lineRule="exact"/>
                        </w:pPr>
                        <w:r>
                          <w:rPr>
                            <w:rFonts w:hint="eastAsia"/>
                          </w:rPr>
                          <w:t>含與未成年人性交罪</w:t>
                        </w:r>
                        <w:r>
                          <w:t>之後</w:t>
                        </w:r>
                        <w:r>
                          <w:rPr>
                            <w:rFonts w:hint="eastAsia"/>
                          </w:rPr>
                          <w:t>者</w:t>
                        </w:r>
                        <w:r>
                          <w:t>尚未執行完畢，仍可依性侵害犯罪防治法第20條</w:t>
                        </w:r>
                        <w:r>
                          <w:rPr>
                            <w:rFonts w:hint="eastAsia"/>
                          </w:rPr>
                          <w:t>對該</w:t>
                        </w:r>
                        <w:r>
                          <w:t>假釋付保護管束之人</w:t>
                        </w:r>
                        <w:r>
                          <w:rPr>
                            <w:rFonts w:hint="eastAsia"/>
                          </w:rPr>
                          <w:t>要求穿戴</w:t>
                        </w:r>
                        <w:r>
                          <w:t>電子腳鐐</w:t>
                        </w:r>
                      </w:p>
                      <w:p w:rsidR="001E4E19" w:rsidRPr="00D356EB" w:rsidRDefault="001E4E19" w:rsidP="00D356EB">
                        <w:pPr>
                          <w:spacing w:line="400" w:lineRule="exact"/>
                        </w:pPr>
                      </w:p>
                    </w:txbxContent>
                  </v:textbox>
                </v:shape>
                <v:shape id="文字方塊 27" o:spid="_x0000_s1050" type="#_x0000_t202" style="position:absolute;left:45308;top:8777;width:880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rsidR="001E4E19" w:rsidRPr="00E63707" w:rsidRDefault="001E4E19" w:rsidP="00AF55F7">
                        <w:pPr>
                          <w:jc w:val="center"/>
                          <w:rPr>
                            <w:sz w:val="24"/>
                          </w:rPr>
                        </w:pPr>
                        <w:r w:rsidRPr="00E63707">
                          <w:rPr>
                            <w:sz w:val="24"/>
                          </w:rPr>
                          <w:t>接續執行</w:t>
                        </w:r>
                      </w:p>
                    </w:txbxContent>
                  </v:textbox>
                </v:shape>
                <v:rect id="矩形 30" o:spid="_x0000_s1051" style="position:absolute;left:3197;top:12266;width:1043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" fillcolor="white [3201]" strokecolor="#4f81bd [3204]" strokeweight="2pt">
                  <v:textbox>
                    <w:txbxContent>
                      <w:p w:rsidR="001E4E19" w:rsidRPr="00164B8B" w:rsidRDefault="001E4E19" w:rsidP="00DD329A">
                        <w:pPr>
                          <w:spacing w:line="400" w:lineRule="exact"/>
                          <w:jc w:val="center"/>
                          <w:rPr>
                            <w:sz w:val="28"/>
                            <w:szCs w:val="28"/>
                          </w:rPr>
                        </w:pPr>
                        <w:r w:rsidRPr="00164B8B">
                          <w:rPr>
                            <w:rFonts w:hint="eastAsia"/>
                            <w:sz w:val="28"/>
                            <w:szCs w:val="28"/>
                          </w:rPr>
                          <w:t>刑期1年</w:t>
                        </w:r>
                      </w:p>
                    </w:txbxContent>
                  </v:textbox>
                </v:rect>
                <v:shape id="文字方塊 31" o:spid="_x0000_s1052" type="#_x0000_t202" style="position:absolute;left:27207;top:12338;width:1220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" fillcolor="white [3201]" strokecolor="#c0504d [3205]" strokeweight="2pt">
                  <v:textbox>
                    <w:txbxContent>
                      <w:p w:rsidR="001E4E19" w:rsidRDefault="001E4E19" w:rsidP="00DD329A">
                        <w:pPr>
                          <w:jc w:val="center"/>
                        </w:pPr>
                        <w:r w:rsidRPr="00164B8B">
                          <w:rPr>
                            <w:rFonts w:hint="eastAsia"/>
                            <w:sz w:val="28"/>
                            <w:szCs w:val="28"/>
                          </w:rPr>
                          <w:t>刑期2年1</w:t>
                        </w:r>
                        <w:r>
                          <w:rPr>
                            <w:rFonts w:hint="eastAsia"/>
                          </w:rPr>
                          <w:t>月</w:t>
                        </w:r>
                      </w:p>
                      <w:p w:rsidR="001E4E19" w:rsidRDefault="001E4E19" w:rsidP="00DD329A">
                        <w:pPr>
                          <w:jc w:val="center"/>
                        </w:pPr>
                      </w:p>
                    </w:txbxContent>
                  </v:textbox>
                </v:shape>
                <v:shape id="文字方塊 32" o:spid="_x0000_s1053" type="#_x0000_t202" style="position:absolute;left:14473;top:13237;width:8639;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1E4E19" w:rsidRPr="000F0B18" w:rsidRDefault="001E4E19">
                        <w:pPr>
                          <w:rPr>
                            <w:b/>
                            <w:sz w:val="22"/>
                          </w:rPr>
                        </w:pPr>
                        <w:r w:rsidRPr="000F0B18">
                          <w:rPr>
                            <w:rFonts w:hint="eastAsia"/>
                            <w:b/>
                            <w:sz w:val="22"/>
                          </w:rPr>
                          <w:t>106</w:t>
                        </w:r>
                        <w:r w:rsidRPr="000F0B18">
                          <w:rPr>
                            <w:b/>
                            <w:sz w:val="22"/>
                          </w:rPr>
                          <w:t>.</w:t>
                        </w:r>
                        <w:r w:rsidRPr="000F0B18">
                          <w:rPr>
                            <w:rFonts w:hint="eastAsia"/>
                            <w:b/>
                            <w:sz w:val="22"/>
                          </w:rPr>
                          <w:t>5</w:t>
                        </w:r>
                        <w:r>
                          <w:rPr>
                            <w:b/>
                            <w:sz w:val="22"/>
                          </w:rPr>
                          <w:t>.</w:t>
                        </w:r>
                        <w:r w:rsidRPr="000F0B18">
                          <w:rPr>
                            <w:rFonts w:hint="eastAsia"/>
                            <w:b/>
                            <w:sz w:val="22"/>
                          </w:rPr>
                          <w:t>19</w:t>
                        </w:r>
                      </w:p>
                    </w:txbxContent>
                  </v:textbox>
                </v:shape>
                <v:shape id="直線單箭頭接點 33" o:spid="_x0000_s1054" type="#_x0000_t32" style="position:absolute;left:17941;top:11467;width:0;height:2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" strokecolor="black [3040]" strokeweight="2.25pt">
                  <v:stroke endarrow="block"/>
                </v:shape>
                <v:line id="直線接點 34" o:spid="_x0000_s1055" style="position:absolute;visibility:visible;mso-wrap-style:square" from="27312,28669" to="27312,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" strokecolor="black [3040]" strokeweight="1.5pt"/>
                <v:shape id="文字方塊 35" o:spid="_x0000_s1056" type="#_x0000_t202" style="position:absolute;left:24324;top:24654;width:6280;height:4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" fillcolor="white [3201]" strokeweight="1pt">
                  <v:textbox>
                    <w:txbxContent>
                      <w:p w:rsidR="001E4E19" w:rsidRDefault="001E4E19" w:rsidP="00AF55F7">
                        <w:r>
                          <w:t>出監</w:t>
                        </w:r>
                      </w:p>
                    </w:txbxContent>
                  </v:textbox>
                </v:shape>
                <v:shape id="文字方塊 36" o:spid="_x0000_s1057" type="#_x0000_t202" style="position:absolute;left:23841;top:35003;width:8639;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1E4E19" w:rsidRPr="000F0B18" w:rsidRDefault="001E4E19">
                        <w:pPr>
                          <w:rPr>
                            <w:b/>
                            <w:sz w:val="22"/>
                          </w:rPr>
                        </w:pPr>
                        <w:r w:rsidRPr="000F0B18">
                          <w:rPr>
                            <w:rFonts w:hint="eastAsia"/>
                            <w:b/>
                            <w:sz w:val="22"/>
                          </w:rPr>
                          <w:t>10</w:t>
                        </w:r>
                        <w:r>
                          <w:rPr>
                            <w:b/>
                            <w:sz w:val="22"/>
                          </w:rPr>
                          <w:t>7</w:t>
                        </w:r>
                        <w:r w:rsidRPr="000F0B18">
                          <w:rPr>
                            <w:b/>
                            <w:sz w:val="22"/>
                          </w:rPr>
                          <w:t>.</w:t>
                        </w:r>
                        <w:r>
                          <w:rPr>
                            <w:b/>
                            <w:sz w:val="22"/>
                          </w:rPr>
                          <w:t>6.26</w:t>
                        </w:r>
                      </w:p>
                    </w:txbxContent>
                  </v:textbox>
                </v:shape>
                <v:shape id="直線單箭頭接點 37" o:spid="_x0000_s1058" type="#_x0000_t32" style="position:absolute;left:27309;top:33233;width:0;height:2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" strokecolor="black [3040]" strokeweight="2.25pt">
                  <v:stroke endarrow="block"/>
                </v:shape>
                <v:shape id="文字方塊 38" o:spid="_x0000_s1059" type="#_x0000_t202" style="position:absolute;left:10231;top:36841;width:12252;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" fillcolor="#4f81bd [3204]" strokecolor="#243f60 [1604]" strokeweight="2pt">
                  <v:textbox>
                    <w:txbxContent>
                      <w:p w:rsidR="001E4E19" w:rsidRPr="00551947" w:rsidRDefault="001E4E19">
                        <w:pPr>
                          <w:rPr>
                            <w:sz w:val="24"/>
                            <w:szCs w:val="24"/>
                          </w:rPr>
                        </w:pPr>
                        <w:r w:rsidRPr="00551947">
                          <w:rPr>
                            <w:rFonts w:hint="eastAsia"/>
                            <w:sz w:val="24"/>
                            <w:szCs w:val="24"/>
                          </w:rPr>
                          <w:t>執行拘役76天</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40" o:spid="_x0000_s1060" type="#_x0000_t67" style="position:absolute;left:21653;top:33939;width:1964;height:2300;rotation:21253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" adj="8484" fillcolor="#4f81bd [3204]" strokecolor="#243f60 [1604]" strokeweight="2pt"/>
                <w10:anchorlock/>
              </v:group>
            </w:pict>
          </mc:Fallback>
        </mc:AlternateContent>
      </w:r>
    </w:p>
    <w:p w:rsidR="004E00AA" w:rsidRDefault="004E00AA" w:rsidP="004E00AA">
      <w:pPr>
        <w:pStyle w:val="a1"/>
        <w:rPr>
          <w:color w:val="000000" w:themeColor="text1"/>
        </w:rPr>
      </w:pPr>
      <w:r w:rsidRPr="00062C03">
        <w:rPr>
          <w:rFonts w:hint="eastAsia"/>
          <w:color w:val="000000" w:themeColor="text1"/>
        </w:rPr>
        <w:t>示意圖A</w:t>
      </w:r>
    </w:p>
    <w:p w:rsidR="007E5CE1" w:rsidRDefault="00767EEE" w:rsidP="000655D9">
      <w:pPr>
        <w:pStyle w:val="3"/>
        <w:rPr>
          <w:color w:val="000000" w:themeColor="text1"/>
        </w:rPr>
      </w:pPr>
      <w:r>
        <w:rPr>
          <w:rFonts w:hint="eastAsia"/>
          <w:color w:val="000000" w:themeColor="text1"/>
        </w:rPr>
        <w:t>查</w:t>
      </w:r>
      <w:r w:rsidR="004366DE" w:rsidRPr="00062C03">
        <w:rPr>
          <w:rFonts w:hint="eastAsia"/>
          <w:color w:val="000000" w:themeColor="text1"/>
        </w:rPr>
        <w:t>新北地院105聲字第5674號裁定</w:t>
      </w:r>
      <w:r w:rsidR="000655D9" w:rsidRPr="00062C03">
        <w:rPr>
          <w:rFonts w:hint="eastAsia"/>
          <w:color w:val="000000" w:themeColor="text1"/>
        </w:rPr>
        <w:t>略以：「其中受刑</w:t>
      </w:r>
      <w:r w:rsidR="000655D9" w:rsidRPr="00062C03">
        <w:rPr>
          <w:rFonts w:hint="eastAsia"/>
          <w:color w:val="000000" w:themeColor="text1"/>
        </w:rPr>
        <w:lastRenderedPageBreak/>
        <w:t>人犯如附表</w:t>
      </w:r>
      <w:r>
        <w:rPr>
          <w:rFonts w:hint="eastAsia"/>
          <w:color w:val="000000" w:themeColor="text1"/>
        </w:rPr>
        <w:t>（詳見下表）</w:t>
      </w:r>
      <w:r w:rsidR="000655D9" w:rsidRPr="00062C03">
        <w:rPr>
          <w:rFonts w:hint="eastAsia"/>
          <w:color w:val="000000" w:themeColor="text1"/>
        </w:rPr>
        <w:t>編號1至5所示為得易科罰金之罪，與如附表編號6所示為不得易科罰金之罪，依刑法第50條</w:t>
      </w:r>
      <w:r w:rsidR="003A4DFF" w:rsidRPr="00062C03">
        <w:rPr>
          <w:rStyle w:val="afe"/>
          <w:color w:val="000000" w:themeColor="text1"/>
        </w:rPr>
        <w:footnoteReference w:id="38"/>
      </w:r>
      <w:r w:rsidR="000655D9" w:rsidRPr="00062C03">
        <w:rPr>
          <w:rFonts w:hint="eastAsia"/>
          <w:color w:val="000000" w:themeColor="text1"/>
        </w:rPr>
        <w:t>第1項但書之規定固不得併合處罰，然查</w:t>
      </w:r>
      <w:r w:rsidR="000655D9" w:rsidRPr="00631578">
        <w:rPr>
          <w:rFonts w:hint="eastAsia"/>
          <w:b/>
          <w:color w:val="000000" w:themeColor="text1"/>
        </w:rPr>
        <w:t>聲請人</w:t>
      </w:r>
      <w:r w:rsidR="00631578" w:rsidRPr="00631578">
        <w:rPr>
          <w:rFonts w:hint="eastAsia"/>
          <w:b/>
          <w:color w:val="000000" w:themeColor="text1"/>
        </w:rPr>
        <w:t>（即檢察官）</w:t>
      </w:r>
      <w:r w:rsidR="000655D9" w:rsidRPr="00631578">
        <w:rPr>
          <w:rFonts w:hint="eastAsia"/>
          <w:b/>
          <w:color w:val="000000" w:themeColor="text1"/>
        </w:rPr>
        <w:t>之聲請既係應受刑人之請求而提出</w:t>
      </w:r>
      <w:r w:rsidR="000655D9" w:rsidRPr="00062C03">
        <w:rPr>
          <w:rFonts w:hint="eastAsia"/>
          <w:color w:val="000000" w:themeColor="text1"/>
        </w:rPr>
        <w:t>，有定刑聲請切結書1份附卷可稽，是依刑法第50條第2項之規定，聲請人以本院為上開案件之最後事實審理法院，就如附表所示各罪聲請定其應執行之刑，本院審核認聲請為正當，應定其應執行之刑。」</w:t>
      </w:r>
      <w:r>
        <w:rPr>
          <w:rFonts w:hint="eastAsia"/>
          <w:color w:val="000000" w:themeColor="text1"/>
        </w:rPr>
        <w:t>等語，</w:t>
      </w:r>
      <w:r w:rsidR="000655D9" w:rsidRPr="00062C03">
        <w:rPr>
          <w:rFonts w:hint="eastAsia"/>
          <w:color w:val="000000" w:themeColor="text1"/>
        </w:rPr>
        <w:t>可知</w:t>
      </w:r>
      <w:r>
        <w:rPr>
          <w:rFonts w:hint="eastAsia"/>
          <w:color w:val="000000" w:themeColor="text1"/>
        </w:rPr>
        <w:t>本案</w:t>
      </w:r>
      <w:r w:rsidR="004366DE" w:rsidRPr="00062C03">
        <w:rPr>
          <w:rFonts w:hint="eastAsia"/>
          <w:color w:val="000000" w:themeColor="text1"/>
        </w:rPr>
        <w:t>係因潘員依第50條第2項聲請而發生由法院併合處罰、定應執行刑情形</w:t>
      </w:r>
      <w:r w:rsidR="007E5CE1">
        <w:rPr>
          <w:rFonts w:hint="eastAsia"/>
          <w:color w:val="000000" w:themeColor="text1"/>
        </w:rPr>
        <w:t>。</w:t>
      </w:r>
    </w:p>
    <w:p w:rsidR="00593434" w:rsidRPr="00062C03" w:rsidRDefault="007E5CE1" w:rsidP="000655D9">
      <w:pPr>
        <w:pStyle w:val="3"/>
        <w:rPr>
          <w:color w:val="000000" w:themeColor="text1"/>
        </w:rPr>
      </w:pPr>
      <w:r>
        <w:rPr>
          <w:rFonts w:hint="eastAsia"/>
          <w:color w:val="000000" w:themeColor="text1"/>
        </w:rPr>
        <w:t>惟查，</w:t>
      </w:r>
      <w:r w:rsidR="004366DE" w:rsidRPr="00062C03">
        <w:rPr>
          <w:rFonts w:hint="eastAsia"/>
          <w:color w:val="000000" w:themeColor="text1"/>
        </w:rPr>
        <w:t>倘潘員知悉其聲請會導致假釋時</w:t>
      </w:r>
      <w:r w:rsidR="00F70199" w:rsidRPr="00062C03">
        <w:rPr>
          <w:rFonts w:hint="eastAsia"/>
          <w:color w:val="000000" w:themeColor="text1"/>
        </w:rPr>
        <w:t>穿</w:t>
      </w:r>
      <w:r w:rsidR="004366DE" w:rsidRPr="00062C03">
        <w:rPr>
          <w:rFonts w:hint="eastAsia"/>
          <w:color w:val="000000" w:themeColor="text1"/>
        </w:rPr>
        <w:t>戴電子腳鐐期間延長，而不聲請法院併合處罰，則各案仍各具不同指揮執行書，可以判斷執行先後，</w:t>
      </w:r>
      <w:r w:rsidR="0070449C" w:rsidRPr="00062C03">
        <w:rPr>
          <w:rFonts w:hint="eastAsia"/>
          <w:color w:val="000000" w:themeColor="text1"/>
        </w:rPr>
        <w:t>而</w:t>
      </w:r>
      <w:r w:rsidR="00FC3D2E" w:rsidRPr="00062C03">
        <w:rPr>
          <w:rFonts w:hint="eastAsia"/>
          <w:color w:val="000000" w:themeColor="text1"/>
        </w:rPr>
        <w:t>確認</w:t>
      </w:r>
      <w:r w:rsidR="004366DE" w:rsidRPr="00062C03">
        <w:rPr>
          <w:rFonts w:hint="eastAsia"/>
          <w:color w:val="000000" w:themeColor="text1"/>
        </w:rPr>
        <w:t>假釋時未成年人性交罪之刑期是否已執行完畢，</w:t>
      </w:r>
      <w:r w:rsidR="00FC3D2E" w:rsidRPr="00062C03">
        <w:rPr>
          <w:rFonts w:hint="eastAsia"/>
          <w:color w:val="000000" w:themeColor="text1"/>
        </w:rPr>
        <w:t>若已執行完畢，則假釋時即不得依性侵害犯罪防治法第20條規定</w:t>
      </w:r>
      <w:r w:rsidR="00767EEE">
        <w:rPr>
          <w:rFonts w:hint="eastAsia"/>
          <w:color w:val="000000" w:themeColor="text1"/>
        </w:rPr>
        <w:t>。本院初步</w:t>
      </w:r>
      <w:r>
        <w:rPr>
          <w:rFonts w:hint="eastAsia"/>
          <w:color w:val="000000" w:themeColor="text1"/>
        </w:rPr>
        <w:t>研究</w:t>
      </w:r>
      <w:r w:rsidR="00767EEE">
        <w:rPr>
          <w:rFonts w:hint="eastAsia"/>
          <w:color w:val="000000" w:themeColor="text1"/>
        </w:rPr>
        <w:t>認為，</w:t>
      </w:r>
      <w:r w:rsidR="0070449C" w:rsidRPr="00062C03">
        <w:rPr>
          <w:rFonts w:hint="eastAsia"/>
          <w:color w:val="000000" w:themeColor="text1"/>
        </w:rPr>
        <w:t>僅</w:t>
      </w:r>
      <w:r w:rsidR="004366DE" w:rsidRPr="00062C03">
        <w:rPr>
          <w:rFonts w:hint="eastAsia"/>
          <w:color w:val="000000" w:themeColor="text1"/>
        </w:rPr>
        <w:t>就與未成年人性交</w:t>
      </w:r>
      <w:r w:rsidR="00767EEE">
        <w:rPr>
          <w:rFonts w:hint="eastAsia"/>
          <w:color w:val="000000" w:themeColor="text1"/>
        </w:rPr>
        <w:t>等性侵害犯罪</w:t>
      </w:r>
      <w:r w:rsidR="004366DE" w:rsidRPr="00062C03">
        <w:rPr>
          <w:rFonts w:hint="eastAsia"/>
          <w:color w:val="000000" w:themeColor="text1"/>
        </w:rPr>
        <w:t>未</w:t>
      </w:r>
      <w:r w:rsidR="00593434" w:rsidRPr="00062C03">
        <w:rPr>
          <w:rFonts w:hint="eastAsia"/>
          <w:color w:val="000000" w:themeColor="text1"/>
        </w:rPr>
        <w:t>執行殘刑而准予假釋</w:t>
      </w:r>
      <w:r w:rsidR="00767EEE">
        <w:rPr>
          <w:rFonts w:hint="eastAsia"/>
          <w:color w:val="000000" w:themeColor="text1"/>
        </w:rPr>
        <w:t>之付保護管束期間</w:t>
      </w:r>
      <w:r w:rsidR="00593434" w:rsidRPr="00062C03">
        <w:rPr>
          <w:rFonts w:hint="eastAsia"/>
          <w:color w:val="000000" w:themeColor="text1"/>
        </w:rPr>
        <w:t>，配戴電子腳鐐</w:t>
      </w:r>
      <w:r w:rsidR="00767EEE">
        <w:rPr>
          <w:rFonts w:hint="eastAsia"/>
          <w:color w:val="000000" w:themeColor="text1"/>
        </w:rPr>
        <w:t>，</w:t>
      </w:r>
      <w:r w:rsidR="00593434" w:rsidRPr="00062C03">
        <w:rPr>
          <w:rFonts w:hint="eastAsia"/>
          <w:color w:val="000000" w:themeColor="text1"/>
        </w:rPr>
        <w:t>方屬合理期限。否則在僅為</w:t>
      </w:r>
      <w:r w:rsidR="004366DE" w:rsidRPr="00062C03">
        <w:rPr>
          <w:rFonts w:hint="eastAsia"/>
          <w:color w:val="000000" w:themeColor="text1"/>
        </w:rPr>
        <w:t>性侵害犯罪</w:t>
      </w:r>
      <w:r w:rsidR="00593434" w:rsidRPr="00062C03">
        <w:rPr>
          <w:rFonts w:hint="eastAsia"/>
          <w:color w:val="000000" w:themeColor="text1"/>
        </w:rPr>
        <w:t>之</w:t>
      </w:r>
      <w:r w:rsidR="004366DE" w:rsidRPr="00062C03">
        <w:rPr>
          <w:rFonts w:hint="eastAsia"/>
          <w:color w:val="000000" w:themeColor="text1"/>
        </w:rPr>
        <w:t>單純一罪</w:t>
      </w:r>
      <w:r w:rsidR="00F70199" w:rsidRPr="00062C03">
        <w:rPr>
          <w:rFonts w:hint="eastAsia"/>
          <w:color w:val="000000" w:themeColor="text1"/>
        </w:rPr>
        <w:t>情形</w:t>
      </w:r>
      <w:r w:rsidR="004366DE" w:rsidRPr="00062C03">
        <w:rPr>
          <w:rFonts w:hint="eastAsia"/>
          <w:color w:val="000000" w:themeColor="text1"/>
        </w:rPr>
        <w:t>，</w:t>
      </w:r>
      <w:r w:rsidR="00593434" w:rsidRPr="00062C03">
        <w:rPr>
          <w:rFonts w:hint="eastAsia"/>
          <w:color w:val="000000" w:themeColor="text1"/>
        </w:rPr>
        <w:t>與</w:t>
      </w:r>
      <w:r w:rsidR="004366DE" w:rsidRPr="00062C03">
        <w:rPr>
          <w:rFonts w:hint="eastAsia"/>
          <w:color w:val="000000" w:themeColor="text1"/>
        </w:rPr>
        <w:t>同樣罪質之性侵害犯罪</w:t>
      </w:r>
      <w:r w:rsidR="00593434" w:rsidRPr="00062C03">
        <w:rPr>
          <w:rFonts w:hint="eastAsia"/>
          <w:color w:val="000000" w:themeColor="text1"/>
        </w:rPr>
        <w:t>和</w:t>
      </w:r>
      <w:r w:rsidR="004366DE" w:rsidRPr="00062C03">
        <w:rPr>
          <w:rFonts w:hint="eastAsia"/>
          <w:color w:val="000000" w:themeColor="text1"/>
        </w:rPr>
        <w:t>其他案件數罪</w:t>
      </w:r>
      <w:r w:rsidR="00C94A56" w:rsidRPr="00062C03">
        <w:rPr>
          <w:rFonts w:hint="eastAsia"/>
          <w:color w:val="000000" w:themeColor="text1"/>
        </w:rPr>
        <w:t>併罰</w:t>
      </w:r>
      <w:r w:rsidR="00593434" w:rsidRPr="00062C03">
        <w:rPr>
          <w:rFonts w:hint="eastAsia"/>
          <w:color w:val="000000" w:themeColor="text1"/>
        </w:rPr>
        <w:t>情形</w:t>
      </w:r>
      <w:r w:rsidR="004366DE" w:rsidRPr="00062C03">
        <w:rPr>
          <w:rFonts w:hint="eastAsia"/>
          <w:color w:val="000000" w:themeColor="text1"/>
        </w:rPr>
        <w:t>，</w:t>
      </w:r>
      <w:r w:rsidR="00593434" w:rsidRPr="00062C03">
        <w:rPr>
          <w:rFonts w:hint="eastAsia"/>
          <w:color w:val="000000" w:themeColor="text1"/>
        </w:rPr>
        <w:t>兩者相互</w:t>
      </w:r>
      <w:r w:rsidR="004366DE" w:rsidRPr="00062C03">
        <w:rPr>
          <w:rFonts w:hint="eastAsia"/>
          <w:color w:val="000000" w:themeColor="text1"/>
        </w:rPr>
        <w:t>比較，後者計算假釋期間配戴電子腳鐐期間將較前者長，</w:t>
      </w:r>
      <w:r w:rsidR="0070449C" w:rsidRPr="00062C03">
        <w:rPr>
          <w:rFonts w:hint="eastAsia"/>
          <w:color w:val="000000" w:themeColor="text1"/>
        </w:rPr>
        <w:t>顯</w:t>
      </w:r>
      <w:r w:rsidR="004366DE" w:rsidRPr="00062C03">
        <w:rPr>
          <w:rFonts w:hint="eastAsia"/>
          <w:color w:val="000000" w:themeColor="text1"/>
        </w:rPr>
        <w:t>與刑法第79條之1第1項規定之立法目的採「分別執行，合併計算」，以維護受刑人利益不符</w:t>
      </w:r>
      <w:r w:rsidR="00852097" w:rsidRPr="00062C03">
        <w:rPr>
          <w:rFonts w:hint="eastAsia"/>
          <w:color w:val="000000" w:themeColor="text1"/>
        </w:rPr>
        <w:t>，反而</w:t>
      </w:r>
      <w:r w:rsidR="00767EEE">
        <w:rPr>
          <w:rFonts w:hint="eastAsia"/>
          <w:color w:val="000000" w:themeColor="text1"/>
        </w:rPr>
        <w:t>因適用本條結果，</w:t>
      </w:r>
      <w:r w:rsidR="00852097" w:rsidRPr="00062C03">
        <w:rPr>
          <w:rFonts w:hint="eastAsia"/>
          <w:color w:val="000000" w:themeColor="text1"/>
        </w:rPr>
        <w:t>使受刑人受更為不利保安處分</w:t>
      </w:r>
      <w:r w:rsidR="004366DE" w:rsidRPr="00062C03">
        <w:rPr>
          <w:rFonts w:hint="eastAsia"/>
          <w:color w:val="000000" w:themeColor="text1"/>
        </w:rPr>
        <w:t>。</w:t>
      </w:r>
    </w:p>
    <w:p w:rsidR="00060549" w:rsidRPr="00062C03" w:rsidRDefault="00060549" w:rsidP="00060549">
      <w:pPr>
        <w:pStyle w:val="a3"/>
        <w:jc w:val="center"/>
        <w:rPr>
          <w:color w:val="000000" w:themeColor="text1"/>
        </w:rPr>
      </w:pPr>
      <w:r w:rsidRPr="00062C03">
        <w:rPr>
          <w:rFonts w:hint="eastAsia"/>
          <w:color w:val="000000" w:themeColor="text1"/>
        </w:rPr>
        <w:lastRenderedPageBreak/>
        <w:t>新北地院105年度聲字第5674號裁定附表</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690"/>
        <w:gridCol w:w="2470"/>
        <w:gridCol w:w="2470"/>
        <w:gridCol w:w="2485"/>
      </w:tblGrid>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rFonts w:hint="eastAsia"/>
                <w:color w:val="000000" w:themeColor="text1"/>
                <w:sz w:val="28"/>
                <w:szCs w:val="28"/>
              </w:rPr>
              <w:t>編</w:t>
            </w:r>
            <w:r w:rsidRPr="00062C03">
              <w:rPr>
                <w:color w:val="000000" w:themeColor="text1"/>
                <w:sz w:val="28"/>
                <w:szCs w:val="28"/>
              </w:rPr>
              <w:t>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2</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3</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罪名</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竊盜</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竊盜</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竊盜</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原宣告刑</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有期徒刑4月，如易科罰金，以新臺幣1,000元折算1日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有期徒刑3月，如易科罰金，以新臺幣1,000元折算1日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有期徒刑6月，如易科罰金，以新臺幣1,000元折算1日</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犯罪日期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104年3月17日17時30分至22時許</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104年6月16日18時</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104年6月4日18時50分許</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偵查（自訴）機關年度案號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臺東地檢104年度毒偵字第1423號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高雄地檢104年度偵字第17708號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臺東地檢104年度偵緝字第146號</w:t>
            </w:r>
          </w:p>
        </w:tc>
      </w:tr>
      <w:tr w:rsidR="00C65CF0" w:rsidRPr="00062C03" w:rsidTr="001E4E19">
        <w:trPr>
          <w:tblCellSpacing w:w="15" w:type="dxa"/>
        </w:trPr>
        <w:tc>
          <w:tcPr>
            <w:tcW w:w="0" w:type="auto"/>
            <w:vMerge w:val="restart"/>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最後事實審</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臺灣高雄地方法院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r>
      <w:tr w:rsidR="00C65CF0" w:rsidRPr="00062C03" w:rsidTr="001E4E19">
        <w:trPr>
          <w:tblCellSpacing w:w="15" w:type="dxa"/>
        </w:trPr>
        <w:tc>
          <w:tcPr>
            <w:tcW w:w="0" w:type="auto"/>
            <w:vMerge/>
            <w:shd w:val="clear" w:color="auto" w:fill="auto"/>
            <w:vAlign w:val="bottom"/>
            <w:hideMark/>
          </w:tcPr>
          <w:p w:rsidR="00060549" w:rsidRPr="00062C03" w:rsidRDefault="00060549" w:rsidP="001E4E19">
            <w:pPr>
              <w:rPr>
                <w:color w:val="000000" w:themeColor="text1"/>
                <w:sz w:val="28"/>
                <w:szCs w:val="28"/>
              </w:rPr>
            </w:pP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案號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104年度原東簡字第37號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104年度原簡字第22號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105年度原易字第122號</w:t>
            </w:r>
          </w:p>
        </w:tc>
      </w:tr>
      <w:tr w:rsidR="00C65CF0" w:rsidRPr="00062C03" w:rsidTr="001E4E19">
        <w:trPr>
          <w:tblCellSpacing w:w="15" w:type="dxa"/>
        </w:trPr>
        <w:tc>
          <w:tcPr>
            <w:tcW w:w="0" w:type="auto"/>
            <w:vMerge/>
            <w:shd w:val="clear" w:color="auto" w:fill="auto"/>
            <w:vAlign w:val="bottom"/>
            <w:hideMark/>
          </w:tcPr>
          <w:p w:rsidR="00060549" w:rsidRPr="00062C03" w:rsidRDefault="00060549" w:rsidP="001E4E19">
            <w:pPr>
              <w:rPr>
                <w:color w:val="000000" w:themeColor="text1"/>
                <w:sz w:val="28"/>
                <w:szCs w:val="28"/>
              </w:rPr>
            </w:pP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判決日期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104年8月17日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104年8月21日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105年3月4日</w:t>
            </w:r>
          </w:p>
        </w:tc>
      </w:tr>
      <w:tr w:rsidR="00C65CF0" w:rsidRPr="00062C03" w:rsidTr="001E4E19">
        <w:trPr>
          <w:tblCellSpacing w:w="15" w:type="dxa"/>
        </w:trPr>
        <w:tc>
          <w:tcPr>
            <w:tcW w:w="0" w:type="auto"/>
            <w:vMerge w:val="restart"/>
            <w:shd w:val="clear" w:color="auto" w:fill="auto"/>
            <w:hideMark/>
          </w:tcPr>
          <w:p w:rsidR="00060549" w:rsidRPr="00062C03" w:rsidRDefault="00060549" w:rsidP="001E4E19">
            <w:pPr>
              <w:jc w:val="distribute"/>
              <w:rPr>
                <w:color w:val="000000" w:themeColor="text1"/>
                <w:sz w:val="28"/>
                <w:szCs w:val="28"/>
              </w:rPr>
            </w:pPr>
            <w:r w:rsidRPr="00062C03">
              <w:rPr>
                <w:color w:val="000000" w:themeColor="text1"/>
                <w:sz w:val="28"/>
                <w:szCs w:val="28"/>
              </w:rPr>
              <w:t>確定判決</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臺灣高雄地方法院</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r>
      <w:tr w:rsidR="00C65CF0" w:rsidRPr="00062C03" w:rsidTr="001E4E19">
        <w:trPr>
          <w:tblCellSpacing w:w="15" w:type="dxa"/>
        </w:trPr>
        <w:tc>
          <w:tcPr>
            <w:tcW w:w="0" w:type="auto"/>
            <w:vMerge/>
            <w:shd w:val="clear" w:color="auto" w:fill="auto"/>
            <w:vAlign w:val="bottom"/>
            <w:hideMark/>
          </w:tcPr>
          <w:p w:rsidR="00060549" w:rsidRPr="00062C03" w:rsidRDefault="00060549" w:rsidP="001E4E19">
            <w:pPr>
              <w:rPr>
                <w:color w:val="000000" w:themeColor="text1"/>
                <w:sz w:val="28"/>
                <w:szCs w:val="28"/>
              </w:rPr>
            </w:pP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案號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104年度原東簡第37號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104年度原簡字第22號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104年度原易字第122號</w:t>
            </w:r>
          </w:p>
        </w:tc>
      </w:tr>
      <w:tr w:rsidR="00C65CF0" w:rsidRPr="00062C03" w:rsidTr="001E4E19">
        <w:trPr>
          <w:tblCellSpacing w:w="15" w:type="dxa"/>
        </w:trPr>
        <w:tc>
          <w:tcPr>
            <w:tcW w:w="0" w:type="auto"/>
            <w:vMerge/>
            <w:shd w:val="clear" w:color="auto" w:fill="auto"/>
            <w:vAlign w:val="bottom"/>
            <w:hideMark/>
          </w:tcPr>
          <w:p w:rsidR="00060549" w:rsidRPr="00062C03" w:rsidRDefault="00060549" w:rsidP="001E4E19">
            <w:pPr>
              <w:rPr>
                <w:color w:val="000000" w:themeColor="text1"/>
                <w:sz w:val="28"/>
                <w:szCs w:val="28"/>
              </w:rPr>
            </w:pP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確定日期</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104年9月21日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104年9月22日</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105年3月28日</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是否為得易科罰金之案件</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w:t>
            </w:r>
          </w:p>
        </w:tc>
        <w:tc>
          <w:tcPr>
            <w:tcW w:w="0" w:type="auto"/>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w:t>
            </w:r>
          </w:p>
        </w:tc>
      </w:tr>
      <w:tr w:rsidR="00C65CF0" w:rsidRPr="00062C03" w:rsidTr="001E4E19">
        <w:trPr>
          <w:tblCellSpacing w:w="15" w:type="dxa"/>
        </w:trPr>
        <w:tc>
          <w:tcPr>
            <w:tcW w:w="0" w:type="auto"/>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備註</w:t>
            </w:r>
          </w:p>
        </w:tc>
        <w:tc>
          <w:tcPr>
            <w:tcW w:w="0" w:type="auto"/>
            <w:gridSpan w:val="3"/>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編號1至4經臺灣臺東地方法院105年度聲字第215號裁定定應執行有期徒刑1年5月確定。</w:t>
            </w:r>
          </w:p>
        </w:tc>
      </w:tr>
    </w:tbl>
    <w:p w:rsidR="00060549" w:rsidRPr="00062C03" w:rsidRDefault="00060549" w:rsidP="00060549">
      <w:pPr>
        <w:rPr>
          <w:color w:val="000000" w:themeColor="text1"/>
        </w:rPr>
      </w:pPr>
    </w:p>
    <w:p w:rsidR="00060549" w:rsidRPr="00062C03" w:rsidRDefault="00060549" w:rsidP="00060549">
      <w:pPr>
        <w:rPr>
          <w:color w:val="000000" w:themeColor="text1"/>
        </w:rPr>
      </w:pPr>
    </w:p>
    <w:p w:rsidR="00060549" w:rsidRPr="00062C03" w:rsidRDefault="00060549" w:rsidP="00060549">
      <w:pPr>
        <w:rPr>
          <w:color w:val="000000" w:themeColor="text1"/>
        </w:rPr>
      </w:pPr>
    </w:p>
    <w:p w:rsidR="00060549" w:rsidRPr="00062C03" w:rsidRDefault="00060549" w:rsidP="00060549">
      <w:pPr>
        <w:rPr>
          <w:color w:val="000000" w:themeColor="text1"/>
        </w:rPr>
      </w:pPr>
    </w:p>
    <w:p w:rsidR="00060549" w:rsidRPr="00062C03" w:rsidRDefault="00060549" w:rsidP="00060549">
      <w:pPr>
        <w:rPr>
          <w:color w:val="000000" w:themeColor="text1"/>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2"/>
        <w:gridCol w:w="698"/>
        <w:gridCol w:w="2388"/>
        <w:gridCol w:w="2435"/>
        <w:gridCol w:w="2456"/>
      </w:tblGrid>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編號</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4</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5</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6</w:t>
            </w:r>
          </w:p>
          <w:p w:rsidR="00060549" w:rsidRPr="00062C03" w:rsidRDefault="00060549" w:rsidP="001E4E19">
            <w:pPr>
              <w:rPr>
                <w:color w:val="000000" w:themeColor="text1"/>
                <w:sz w:val="28"/>
                <w:szCs w:val="28"/>
              </w:rPr>
            </w:pP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罪名</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竊盜</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竊盜</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對未成年人性交</w:t>
            </w:r>
          </w:p>
          <w:p w:rsidR="00060549" w:rsidRPr="00062C03" w:rsidRDefault="00060549" w:rsidP="001E4E19">
            <w:pPr>
              <w:rPr>
                <w:color w:val="000000" w:themeColor="text1"/>
                <w:sz w:val="28"/>
                <w:szCs w:val="28"/>
              </w:rPr>
            </w:pP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lastRenderedPageBreak/>
              <w:t>原宣告刑</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有期徒刑6月，如易科罰金，以新臺幣1,000元折算1日</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有期徒刑4月，如易科罰金，以新臺幣1,000元折算1日</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有期徒刑6月</w:t>
            </w:r>
          </w:p>
          <w:p w:rsidR="00060549" w:rsidRPr="00062C03" w:rsidRDefault="00060549" w:rsidP="001E4E19">
            <w:pPr>
              <w:rPr>
                <w:color w:val="000000" w:themeColor="text1"/>
                <w:sz w:val="28"/>
                <w:szCs w:val="28"/>
              </w:rPr>
            </w:pPr>
          </w:p>
          <w:p w:rsidR="00060549" w:rsidRPr="00062C03" w:rsidRDefault="00060549" w:rsidP="001E4E19">
            <w:pPr>
              <w:rPr>
                <w:color w:val="000000" w:themeColor="text1"/>
                <w:sz w:val="28"/>
                <w:szCs w:val="28"/>
              </w:rPr>
            </w:pPr>
          </w:p>
          <w:p w:rsidR="00060549" w:rsidRPr="00062C03" w:rsidRDefault="00060549" w:rsidP="001E4E19">
            <w:pPr>
              <w:rPr>
                <w:color w:val="000000" w:themeColor="text1"/>
                <w:sz w:val="28"/>
                <w:szCs w:val="28"/>
              </w:rPr>
            </w:pP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犯罪日期</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104年6月4日19時11分許</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104年4月22日9時13分前某時</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104年7月6日17</w:t>
            </w:r>
          </w:p>
          <w:p w:rsidR="00060549" w:rsidRPr="00062C03" w:rsidRDefault="00060549" w:rsidP="001E4E19">
            <w:pPr>
              <w:rPr>
                <w:color w:val="000000" w:themeColor="text1"/>
                <w:sz w:val="28"/>
                <w:szCs w:val="28"/>
              </w:rPr>
            </w:pPr>
            <w:r w:rsidRPr="00062C03">
              <w:rPr>
                <w:color w:val="000000" w:themeColor="text1"/>
                <w:sz w:val="28"/>
                <w:szCs w:val="28"/>
              </w:rPr>
              <w:t>時許</w:t>
            </w: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偵查（自訴）機關年度案號</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臺東地檢104年度偵緝字第146號</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桃園地檢104年度偵字第13605號</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新北地檢105年度</w:t>
            </w:r>
          </w:p>
          <w:p w:rsidR="00060549" w:rsidRPr="00062C03" w:rsidRDefault="00060549" w:rsidP="001E4E19">
            <w:pPr>
              <w:rPr>
                <w:color w:val="000000" w:themeColor="text1"/>
                <w:sz w:val="28"/>
                <w:szCs w:val="28"/>
              </w:rPr>
            </w:pPr>
            <w:r w:rsidRPr="00062C03">
              <w:rPr>
                <w:color w:val="000000" w:themeColor="text1"/>
                <w:sz w:val="28"/>
                <w:szCs w:val="28"/>
              </w:rPr>
              <w:t>偵字第13044號</w:t>
            </w:r>
          </w:p>
        </w:tc>
      </w:tr>
      <w:tr w:rsidR="00C65CF0" w:rsidRPr="00062C03" w:rsidTr="001E4E19">
        <w:trPr>
          <w:tblCellSpacing w:w="15" w:type="dxa"/>
        </w:trPr>
        <w:tc>
          <w:tcPr>
            <w:tcW w:w="817" w:type="dxa"/>
            <w:vMerge w:val="restart"/>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最後事實審</w:t>
            </w:r>
          </w:p>
        </w:tc>
        <w:tc>
          <w:tcPr>
            <w:tcW w:w="668" w:type="dxa"/>
            <w:shd w:val="clear" w:color="auto" w:fill="auto"/>
          </w:tcPr>
          <w:p w:rsidR="00060549" w:rsidRPr="00062C03" w:rsidRDefault="00060549" w:rsidP="001E4E19">
            <w:pPr>
              <w:jc w:val="center"/>
              <w:rPr>
                <w:color w:val="000000" w:themeColor="text1"/>
                <w:sz w:val="28"/>
                <w:szCs w:val="28"/>
              </w:rPr>
            </w:pPr>
            <w:r w:rsidRPr="00062C03">
              <w:rPr>
                <w:color w:val="000000" w:themeColor="text1"/>
                <w:sz w:val="28"/>
                <w:szCs w:val="28"/>
              </w:rPr>
              <w:t>法院</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臺灣桃園地方法院</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臺灣新北地方法院</w:t>
            </w:r>
          </w:p>
        </w:tc>
      </w:tr>
      <w:tr w:rsidR="00C65CF0" w:rsidRPr="00062C03" w:rsidTr="001E4E19">
        <w:trPr>
          <w:tblCellSpacing w:w="15" w:type="dxa"/>
        </w:trPr>
        <w:tc>
          <w:tcPr>
            <w:tcW w:w="817" w:type="dxa"/>
            <w:vMerge/>
            <w:shd w:val="clear" w:color="auto" w:fill="auto"/>
            <w:vAlign w:val="bottom"/>
            <w:hideMark/>
          </w:tcPr>
          <w:p w:rsidR="00060549" w:rsidRPr="00062C03" w:rsidRDefault="00060549" w:rsidP="001E4E19">
            <w:pPr>
              <w:rPr>
                <w:color w:val="000000" w:themeColor="text1"/>
                <w:sz w:val="28"/>
                <w:szCs w:val="28"/>
              </w:rPr>
            </w:pPr>
          </w:p>
        </w:tc>
        <w:tc>
          <w:tcPr>
            <w:tcW w:w="668" w:type="dxa"/>
            <w:shd w:val="clear" w:color="auto" w:fill="auto"/>
          </w:tcPr>
          <w:p w:rsidR="00060549" w:rsidRPr="00062C03" w:rsidRDefault="00060549" w:rsidP="001E4E19">
            <w:pPr>
              <w:jc w:val="center"/>
              <w:rPr>
                <w:color w:val="000000" w:themeColor="text1"/>
                <w:sz w:val="28"/>
                <w:szCs w:val="28"/>
              </w:rPr>
            </w:pPr>
            <w:r w:rsidRPr="00062C03">
              <w:rPr>
                <w:color w:val="000000" w:themeColor="text1"/>
                <w:sz w:val="28"/>
                <w:szCs w:val="28"/>
              </w:rPr>
              <w:t>案號</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104年度原易字第122號</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104年度原壢簡字</w:t>
            </w:r>
          </w:p>
          <w:p w:rsidR="00060549" w:rsidRPr="00062C03" w:rsidRDefault="00060549" w:rsidP="001E4E19">
            <w:pPr>
              <w:rPr>
                <w:color w:val="000000" w:themeColor="text1"/>
                <w:sz w:val="28"/>
                <w:szCs w:val="28"/>
              </w:rPr>
            </w:pPr>
            <w:r w:rsidRPr="00062C03">
              <w:rPr>
                <w:color w:val="000000" w:themeColor="text1"/>
                <w:sz w:val="28"/>
                <w:szCs w:val="28"/>
              </w:rPr>
              <w:t>第73號</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105年度原侵訴字</w:t>
            </w:r>
          </w:p>
          <w:p w:rsidR="00060549" w:rsidRPr="00062C03" w:rsidRDefault="00060549" w:rsidP="001E4E19">
            <w:pPr>
              <w:rPr>
                <w:color w:val="000000" w:themeColor="text1"/>
                <w:sz w:val="28"/>
                <w:szCs w:val="28"/>
              </w:rPr>
            </w:pPr>
            <w:r w:rsidRPr="00062C03">
              <w:rPr>
                <w:color w:val="000000" w:themeColor="text1"/>
                <w:sz w:val="28"/>
                <w:szCs w:val="28"/>
              </w:rPr>
              <w:t>第3號</w:t>
            </w:r>
          </w:p>
        </w:tc>
      </w:tr>
      <w:tr w:rsidR="00C65CF0" w:rsidRPr="00062C03" w:rsidTr="001E4E19">
        <w:trPr>
          <w:tblCellSpacing w:w="15" w:type="dxa"/>
        </w:trPr>
        <w:tc>
          <w:tcPr>
            <w:tcW w:w="817" w:type="dxa"/>
            <w:vMerge/>
            <w:shd w:val="clear" w:color="auto" w:fill="auto"/>
            <w:vAlign w:val="bottom"/>
            <w:hideMark/>
          </w:tcPr>
          <w:p w:rsidR="00060549" w:rsidRPr="00062C03" w:rsidRDefault="00060549" w:rsidP="001E4E19">
            <w:pPr>
              <w:rPr>
                <w:color w:val="000000" w:themeColor="text1"/>
                <w:sz w:val="28"/>
                <w:szCs w:val="28"/>
              </w:rPr>
            </w:pPr>
          </w:p>
        </w:tc>
        <w:tc>
          <w:tcPr>
            <w:tcW w:w="668" w:type="dxa"/>
            <w:shd w:val="clear" w:color="auto" w:fill="auto"/>
          </w:tcPr>
          <w:p w:rsidR="00060549" w:rsidRPr="00062C03" w:rsidRDefault="00060549" w:rsidP="001E4E19">
            <w:pPr>
              <w:jc w:val="center"/>
              <w:rPr>
                <w:color w:val="000000" w:themeColor="text1"/>
                <w:sz w:val="28"/>
                <w:szCs w:val="28"/>
              </w:rPr>
            </w:pPr>
            <w:r w:rsidRPr="00062C03">
              <w:rPr>
                <w:color w:val="000000" w:themeColor="text1"/>
                <w:sz w:val="28"/>
                <w:szCs w:val="28"/>
              </w:rPr>
              <w:t>判決日期</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105年3月4日</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105年6月14日</w:t>
            </w:r>
          </w:p>
          <w:p w:rsidR="00060549" w:rsidRPr="00062C03" w:rsidRDefault="00060549" w:rsidP="001E4E19">
            <w:pPr>
              <w:rPr>
                <w:color w:val="000000" w:themeColor="text1"/>
                <w:sz w:val="28"/>
                <w:szCs w:val="28"/>
              </w:rPr>
            </w:pP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105年10月12日</w:t>
            </w:r>
          </w:p>
          <w:p w:rsidR="00060549" w:rsidRPr="00062C03" w:rsidRDefault="00060549" w:rsidP="001E4E19">
            <w:pPr>
              <w:rPr>
                <w:color w:val="000000" w:themeColor="text1"/>
                <w:sz w:val="28"/>
                <w:szCs w:val="28"/>
              </w:rPr>
            </w:pPr>
          </w:p>
        </w:tc>
      </w:tr>
      <w:tr w:rsidR="00C65CF0" w:rsidRPr="00062C03" w:rsidTr="001E4E19">
        <w:trPr>
          <w:tblCellSpacing w:w="15" w:type="dxa"/>
        </w:trPr>
        <w:tc>
          <w:tcPr>
            <w:tcW w:w="817" w:type="dxa"/>
            <w:vMerge w:val="restart"/>
            <w:shd w:val="clear" w:color="auto" w:fill="auto"/>
            <w:hideMark/>
          </w:tcPr>
          <w:p w:rsidR="00060549" w:rsidRPr="00062C03" w:rsidRDefault="00060549" w:rsidP="001E4E19">
            <w:pPr>
              <w:jc w:val="distribute"/>
              <w:rPr>
                <w:color w:val="000000" w:themeColor="text1"/>
                <w:sz w:val="28"/>
                <w:szCs w:val="28"/>
              </w:rPr>
            </w:pPr>
            <w:r w:rsidRPr="00062C03">
              <w:rPr>
                <w:color w:val="000000" w:themeColor="text1"/>
                <w:sz w:val="28"/>
                <w:szCs w:val="28"/>
              </w:rPr>
              <w:t>確定判決</w:t>
            </w:r>
          </w:p>
        </w:tc>
        <w:tc>
          <w:tcPr>
            <w:tcW w:w="66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法院</w:t>
            </w:r>
          </w:p>
        </w:tc>
        <w:tc>
          <w:tcPr>
            <w:tcW w:w="235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臺灣臺東地方法院</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臺灣桃園地方法院</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臺灣新北地方法院</w:t>
            </w:r>
          </w:p>
        </w:tc>
      </w:tr>
      <w:tr w:rsidR="00C65CF0" w:rsidRPr="00062C03" w:rsidTr="001E4E19">
        <w:trPr>
          <w:tblCellSpacing w:w="15" w:type="dxa"/>
        </w:trPr>
        <w:tc>
          <w:tcPr>
            <w:tcW w:w="817" w:type="dxa"/>
            <w:vMerge/>
            <w:shd w:val="clear" w:color="auto" w:fill="auto"/>
            <w:vAlign w:val="bottom"/>
            <w:hideMark/>
          </w:tcPr>
          <w:p w:rsidR="00060549" w:rsidRPr="00062C03" w:rsidRDefault="00060549" w:rsidP="001E4E19">
            <w:pPr>
              <w:rPr>
                <w:color w:val="000000" w:themeColor="text1"/>
                <w:sz w:val="28"/>
                <w:szCs w:val="28"/>
              </w:rPr>
            </w:pPr>
          </w:p>
        </w:tc>
        <w:tc>
          <w:tcPr>
            <w:tcW w:w="66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案號</w:t>
            </w:r>
          </w:p>
        </w:tc>
        <w:tc>
          <w:tcPr>
            <w:tcW w:w="235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104年度原易字第122號</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104年度原壢簡字</w:t>
            </w:r>
          </w:p>
          <w:p w:rsidR="00060549" w:rsidRPr="00062C03" w:rsidRDefault="00060549" w:rsidP="001E4E19">
            <w:pPr>
              <w:rPr>
                <w:color w:val="000000" w:themeColor="text1"/>
                <w:sz w:val="28"/>
                <w:szCs w:val="28"/>
              </w:rPr>
            </w:pPr>
            <w:r w:rsidRPr="00062C03">
              <w:rPr>
                <w:color w:val="000000" w:themeColor="text1"/>
                <w:sz w:val="28"/>
                <w:szCs w:val="28"/>
              </w:rPr>
              <w:t>第73號</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105年度原侵訴字</w:t>
            </w:r>
          </w:p>
          <w:p w:rsidR="00060549" w:rsidRPr="00062C03" w:rsidRDefault="00060549" w:rsidP="001E4E19">
            <w:pPr>
              <w:rPr>
                <w:color w:val="000000" w:themeColor="text1"/>
                <w:sz w:val="28"/>
                <w:szCs w:val="28"/>
              </w:rPr>
            </w:pPr>
            <w:r w:rsidRPr="00062C03">
              <w:rPr>
                <w:color w:val="000000" w:themeColor="text1"/>
                <w:sz w:val="28"/>
                <w:szCs w:val="28"/>
              </w:rPr>
              <w:t>第3號</w:t>
            </w:r>
          </w:p>
        </w:tc>
      </w:tr>
      <w:tr w:rsidR="00C65CF0" w:rsidRPr="00062C03" w:rsidTr="001E4E19">
        <w:trPr>
          <w:tblCellSpacing w:w="15" w:type="dxa"/>
        </w:trPr>
        <w:tc>
          <w:tcPr>
            <w:tcW w:w="817" w:type="dxa"/>
            <w:vMerge/>
            <w:shd w:val="clear" w:color="auto" w:fill="auto"/>
            <w:vAlign w:val="bottom"/>
            <w:hideMark/>
          </w:tcPr>
          <w:p w:rsidR="00060549" w:rsidRPr="00062C03" w:rsidRDefault="00060549" w:rsidP="001E4E19">
            <w:pPr>
              <w:rPr>
                <w:color w:val="000000" w:themeColor="text1"/>
                <w:sz w:val="28"/>
                <w:szCs w:val="28"/>
              </w:rPr>
            </w:pPr>
          </w:p>
        </w:tc>
        <w:tc>
          <w:tcPr>
            <w:tcW w:w="66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確定日期</w:t>
            </w:r>
          </w:p>
        </w:tc>
        <w:tc>
          <w:tcPr>
            <w:tcW w:w="2358" w:type="dxa"/>
            <w:shd w:val="clear" w:color="auto" w:fill="auto"/>
          </w:tcPr>
          <w:p w:rsidR="00060549" w:rsidRPr="00062C03" w:rsidRDefault="00060549" w:rsidP="001E4E19">
            <w:pPr>
              <w:rPr>
                <w:color w:val="000000" w:themeColor="text1"/>
                <w:sz w:val="28"/>
                <w:szCs w:val="28"/>
              </w:rPr>
            </w:pPr>
            <w:r w:rsidRPr="00062C03">
              <w:rPr>
                <w:color w:val="000000" w:themeColor="text1"/>
                <w:sz w:val="28"/>
                <w:szCs w:val="28"/>
              </w:rPr>
              <w:t>105年3月28日</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105年7月11日</w:t>
            </w:r>
          </w:p>
          <w:p w:rsidR="00060549" w:rsidRPr="00062C03" w:rsidRDefault="00060549" w:rsidP="001E4E19">
            <w:pPr>
              <w:rPr>
                <w:color w:val="000000" w:themeColor="text1"/>
                <w:sz w:val="28"/>
                <w:szCs w:val="28"/>
              </w:rPr>
            </w:pP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105年11月8日</w:t>
            </w:r>
          </w:p>
          <w:p w:rsidR="00060549" w:rsidRPr="00062C03" w:rsidRDefault="00060549" w:rsidP="001E4E19">
            <w:pPr>
              <w:rPr>
                <w:color w:val="000000" w:themeColor="text1"/>
                <w:sz w:val="28"/>
                <w:szCs w:val="28"/>
              </w:rPr>
            </w:pP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是否為得易科罰金之案件</w:t>
            </w:r>
          </w:p>
        </w:tc>
        <w:tc>
          <w:tcPr>
            <w:tcW w:w="2358"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w:t>
            </w:r>
          </w:p>
        </w:tc>
        <w:tc>
          <w:tcPr>
            <w:tcW w:w="2405"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是</w:t>
            </w:r>
          </w:p>
        </w:tc>
        <w:tc>
          <w:tcPr>
            <w:tcW w:w="2411" w:type="dxa"/>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否</w:t>
            </w:r>
          </w:p>
          <w:p w:rsidR="00060549" w:rsidRPr="00062C03" w:rsidRDefault="00060549" w:rsidP="001E4E19">
            <w:pPr>
              <w:rPr>
                <w:color w:val="000000" w:themeColor="text1"/>
                <w:sz w:val="28"/>
                <w:szCs w:val="28"/>
              </w:rPr>
            </w:pPr>
          </w:p>
          <w:p w:rsidR="00060549" w:rsidRPr="00062C03" w:rsidRDefault="00060549" w:rsidP="001E4E19">
            <w:pPr>
              <w:rPr>
                <w:color w:val="000000" w:themeColor="text1"/>
                <w:sz w:val="28"/>
                <w:szCs w:val="28"/>
              </w:rPr>
            </w:pPr>
          </w:p>
        </w:tc>
      </w:tr>
      <w:tr w:rsidR="00C65CF0" w:rsidRPr="00062C03" w:rsidTr="001E4E19">
        <w:trPr>
          <w:tblCellSpacing w:w="15" w:type="dxa"/>
        </w:trPr>
        <w:tc>
          <w:tcPr>
            <w:tcW w:w="1515" w:type="dxa"/>
            <w:gridSpan w:val="2"/>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備註</w:t>
            </w:r>
          </w:p>
        </w:tc>
        <w:tc>
          <w:tcPr>
            <w:tcW w:w="7234" w:type="dxa"/>
            <w:gridSpan w:val="3"/>
            <w:shd w:val="clear" w:color="auto" w:fill="auto"/>
            <w:hideMark/>
          </w:tcPr>
          <w:p w:rsidR="00060549" w:rsidRPr="00062C03" w:rsidRDefault="00060549" w:rsidP="001E4E19">
            <w:pPr>
              <w:rPr>
                <w:color w:val="000000" w:themeColor="text1"/>
                <w:sz w:val="28"/>
                <w:szCs w:val="28"/>
              </w:rPr>
            </w:pPr>
            <w:r w:rsidRPr="00062C03">
              <w:rPr>
                <w:color w:val="000000" w:themeColor="text1"/>
                <w:sz w:val="28"/>
                <w:szCs w:val="28"/>
              </w:rPr>
              <w:t>編號1-4應執行有期徒刑1年5月</w:t>
            </w:r>
            <w:r w:rsidRPr="00062C03">
              <w:rPr>
                <w:color w:val="000000" w:themeColor="text1"/>
                <w:sz w:val="28"/>
                <w:szCs w:val="28"/>
              </w:rPr>
              <w:t> </w:t>
            </w:r>
          </w:p>
        </w:tc>
      </w:tr>
    </w:tbl>
    <w:p w:rsidR="00060549" w:rsidRPr="00062C03" w:rsidRDefault="00060549" w:rsidP="00060549">
      <w:pPr>
        <w:rPr>
          <w:color w:val="000000" w:themeColor="text1"/>
        </w:rPr>
      </w:pPr>
    </w:p>
    <w:p w:rsidR="00593434" w:rsidRDefault="00593434" w:rsidP="00593434">
      <w:pPr>
        <w:rPr>
          <w:color w:val="000000" w:themeColor="text1"/>
        </w:rPr>
      </w:pPr>
    </w:p>
    <w:p w:rsidR="00D2179F" w:rsidRDefault="00D2179F" w:rsidP="00593434">
      <w:pPr>
        <w:rPr>
          <w:color w:val="000000" w:themeColor="text1"/>
        </w:rPr>
      </w:pPr>
    </w:p>
    <w:p w:rsidR="00D2179F" w:rsidRDefault="00D2179F" w:rsidP="00593434">
      <w:pPr>
        <w:rPr>
          <w:color w:val="000000" w:themeColor="text1"/>
        </w:rPr>
      </w:pPr>
    </w:p>
    <w:p w:rsidR="00D2179F" w:rsidRDefault="00D2179F" w:rsidP="00593434">
      <w:pPr>
        <w:rPr>
          <w:color w:val="000000" w:themeColor="text1"/>
        </w:rPr>
      </w:pPr>
    </w:p>
    <w:p w:rsidR="007E5CE1" w:rsidRPr="007E5CE1" w:rsidRDefault="005424E6" w:rsidP="001E4E19">
      <w:pPr>
        <w:pStyle w:val="3"/>
        <w:rPr>
          <w:color w:val="000000" w:themeColor="text1"/>
        </w:rPr>
      </w:pPr>
      <w:r w:rsidRPr="007E5CE1">
        <w:rPr>
          <w:rFonts w:hint="eastAsia"/>
          <w:color w:val="000000" w:themeColor="text1"/>
        </w:rPr>
        <w:t>含性侵害犯罪之數罪併罰，定其應執行刑時，確實無法區分執行先後，因此</w:t>
      </w:r>
      <w:r w:rsidR="002526AD" w:rsidRPr="007E5CE1">
        <w:rPr>
          <w:rFonts w:hint="eastAsia"/>
          <w:color w:val="000000" w:themeColor="text1"/>
        </w:rPr>
        <w:t>核准</w:t>
      </w:r>
      <w:r w:rsidRPr="007E5CE1">
        <w:rPr>
          <w:rFonts w:hint="eastAsia"/>
          <w:color w:val="000000" w:themeColor="text1"/>
        </w:rPr>
        <w:t>假釋</w:t>
      </w:r>
      <w:r w:rsidR="002526AD" w:rsidRPr="007E5CE1">
        <w:rPr>
          <w:rFonts w:hint="eastAsia"/>
          <w:color w:val="000000" w:themeColor="text1"/>
        </w:rPr>
        <w:t>時</w:t>
      </w:r>
      <w:r w:rsidRPr="007E5CE1">
        <w:rPr>
          <w:rFonts w:hint="eastAsia"/>
          <w:color w:val="000000" w:themeColor="text1"/>
        </w:rPr>
        <w:t>實無法判斷性</w:t>
      </w:r>
      <w:r w:rsidRPr="007E5CE1">
        <w:rPr>
          <w:rFonts w:hint="eastAsia"/>
          <w:color w:val="000000" w:themeColor="text1"/>
        </w:rPr>
        <w:lastRenderedPageBreak/>
        <w:t>侵害犯罪是否已執行完畢，則於假釋付保護管束期間，得要求配戴電子腳鐐，應不得逾越性侵害犯罪之主文宣告刑，否則逾越部分即係附著於其他非性侵害犯罪，即非合理期間。以此觀之，縱使</w:t>
      </w:r>
      <w:r w:rsidR="004366DE" w:rsidRPr="007E5CE1">
        <w:rPr>
          <w:rFonts w:hint="eastAsia"/>
          <w:color w:val="000000" w:themeColor="text1"/>
        </w:rPr>
        <w:t>本案</w:t>
      </w:r>
      <w:r w:rsidR="002D381C" w:rsidRPr="007E5CE1">
        <w:rPr>
          <w:rFonts w:hint="eastAsia"/>
          <w:color w:val="000000" w:themeColor="text1"/>
        </w:rPr>
        <w:t>因潘員聲請</w:t>
      </w:r>
      <w:r w:rsidR="004366DE" w:rsidRPr="007E5CE1">
        <w:rPr>
          <w:rFonts w:hint="eastAsia"/>
          <w:color w:val="000000" w:themeColor="text1"/>
        </w:rPr>
        <w:t>實際發生</w:t>
      </w:r>
      <w:r w:rsidR="002D381C" w:rsidRPr="007E5CE1">
        <w:rPr>
          <w:rFonts w:hint="eastAsia"/>
          <w:color w:val="000000" w:themeColor="text1"/>
        </w:rPr>
        <w:t>併合處罰之</w:t>
      </w:r>
      <w:r w:rsidR="004366DE" w:rsidRPr="007E5CE1">
        <w:rPr>
          <w:rFonts w:hint="eastAsia"/>
          <w:color w:val="000000" w:themeColor="text1"/>
        </w:rPr>
        <w:t>6罪無法判斷執行先後順序情形，其假釋期間配戴電</w:t>
      </w:r>
      <w:r w:rsidRPr="007E5CE1">
        <w:rPr>
          <w:rFonts w:hint="eastAsia"/>
          <w:color w:val="000000" w:themeColor="text1"/>
        </w:rPr>
        <w:t>子腳鐐仍不應</w:t>
      </w:r>
      <w:r w:rsidR="004366DE" w:rsidRPr="007E5CE1">
        <w:rPr>
          <w:rFonts w:hint="eastAsia"/>
          <w:color w:val="000000" w:themeColor="text1"/>
        </w:rPr>
        <w:t>逾越與未成年人性交罪之6月</w:t>
      </w:r>
      <w:r w:rsidRPr="007E5CE1">
        <w:rPr>
          <w:rFonts w:hint="eastAsia"/>
          <w:color w:val="000000" w:themeColor="text1"/>
        </w:rPr>
        <w:t>宣告</w:t>
      </w:r>
      <w:r w:rsidR="004366DE" w:rsidRPr="007E5CE1">
        <w:rPr>
          <w:rFonts w:hint="eastAsia"/>
          <w:color w:val="000000" w:themeColor="text1"/>
        </w:rPr>
        <w:t>刑期，否則在概念上，逾6個月之配戴期間，必然附著於其他竊盜罪，結論並不合理，恐有違比例原則。</w:t>
      </w:r>
      <w:r w:rsidR="007E5CE1" w:rsidRPr="007E5CE1">
        <w:rPr>
          <w:rFonts w:hint="eastAsia"/>
          <w:color w:val="000000" w:themeColor="text1"/>
        </w:rPr>
        <w:t>如依本院初步研究結論，107年6月26日潘員出監後，僅須配戴6個月之電子腳鐐，</w:t>
      </w:r>
      <w:r w:rsidR="007E5CE1">
        <w:rPr>
          <w:rFonts w:hint="eastAsia"/>
          <w:color w:val="000000" w:themeColor="text1"/>
        </w:rPr>
        <w:t>即</w:t>
      </w:r>
      <w:r w:rsidR="007E5CE1" w:rsidRPr="007E5CE1">
        <w:rPr>
          <w:rFonts w:hint="eastAsia"/>
          <w:color w:val="000000" w:themeColor="text1"/>
        </w:rPr>
        <w:t>至10</w:t>
      </w:r>
      <w:r w:rsidR="007E5CE1">
        <w:rPr>
          <w:color w:val="000000" w:themeColor="text1"/>
        </w:rPr>
        <w:t>7</w:t>
      </w:r>
      <w:r w:rsidR="007E5CE1">
        <w:rPr>
          <w:rFonts w:hint="eastAsia"/>
          <w:color w:val="000000" w:themeColor="text1"/>
        </w:rPr>
        <w:t>年12月26日止，則本案不至於發生潘員於108年1月10日破壞電子腳鐐情事，除可減少後續追緝所耗費司法成本外，亦可維繫協助性侵假釋付保護管束之人復歸社會之觀護處遇目的。</w:t>
      </w:r>
    </w:p>
    <w:p w:rsidR="003E30D7" w:rsidRPr="000669E9" w:rsidRDefault="00B5594B" w:rsidP="00D0603E">
      <w:pPr>
        <w:pStyle w:val="3"/>
      </w:pPr>
      <w:r w:rsidRPr="00142DA0">
        <w:rPr>
          <w:rFonts w:hint="eastAsia"/>
          <w:color w:val="000000" w:themeColor="text1"/>
        </w:rPr>
        <w:t>綜上，</w:t>
      </w:r>
      <w:r w:rsidR="00142DA0" w:rsidRPr="00142DA0">
        <w:rPr>
          <w:rFonts w:hint="eastAsia"/>
        </w:rPr>
        <w:t>性侵假釋付保護管束之人配戴電子腳鐐，屬保安處分，不應過度侵犯基本人權，除須有法律明文規定外，應受比例原則拘束。潘員違反刑法第227條第3項案件屬性侵害犯罪，遭新北地院以105年度原侵訴字第3號判決有期徒刑6月，惟因與其他竊盜案件併合處罰，定應執行刑，故其於假釋後配戴電子腳鐐期間為107年6月27日至108年4月11日，高達9個月又15天，期間未屬合理，法務部雖認為依性侵害犯罪防治法第20條第3項第7款及性侵害犯罪付保護管束加害人科技設備監控實施辦法第6條第3項規定，電子腳鐐是否繼續配戴，得每3個月評估1次，但本案僅審酌潘員處遇配合度不佳而繼續執行，無法依該辦法審酌配戴之合理期間，有違比例原則，恐過度侵犯基本人權，核有怠失。</w:t>
      </w:r>
    </w:p>
    <w:p w:rsidR="00E25849" w:rsidRPr="00062C03" w:rsidRDefault="007F7CE4"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062C03">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062C03">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263252" w:rsidRPr="00062C03">
        <w:rPr>
          <w:color w:val="000000" w:themeColor="text1"/>
        </w:rPr>
        <w:t xml:space="preserve"> </w:t>
      </w:r>
    </w:p>
    <w:p w:rsidR="0053764C" w:rsidRPr="00062C03" w:rsidRDefault="00FB7770" w:rsidP="0053764C">
      <w:pPr>
        <w:pStyle w:val="2"/>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062C03">
        <w:rPr>
          <w:rFonts w:hint="eastAsia"/>
          <w:color w:val="000000" w:themeColor="text1"/>
        </w:rPr>
        <w:t>調查意</w:t>
      </w:r>
      <w:r w:rsidR="00263252" w:rsidRPr="00062C03">
        <w:rPr>
          <w:rFonts w:hint="eastAsia"/>
          <w:color w:val="000000" w:themeColor="text1"/>
        </w:rPr>
        <w:t>見</w:t>
      </w:r>
      <w:r w:rsidR="0053764C" w:rsidRPr="00062C03">
        <w:rPr>
          <w:rFonts w:hint="eastAsia"/>
          <w:color w:val="000000" w:themeColor="text1"/>
        </w:rPr>
        <w:t>一</w:t>
      </w:r>
      <w:r w:rsidRPr="00062C03">
        <w:rPr>
          <w:rFonts w:hint="eastAsia"/>
          <w:color w:val="000000" w:themeColor="text1"/>
        </w:rPr>
        <w:t>，</w:t>
      </w:r>
      <w:r w:rsidR="0053764C" w:rsidRPr="00062C03">
        <w:rPr>
          <w:rFonts w:hint="eastAsia"/>
          <w:color w:val="000000" w:themeColor="text1"/>
        </w:rPr>
        <w:t>提案糾正法務部。</w:t>
      </w:r>
    </w:p>
    <w:p w:rsidR="00FB7770" w:rsidRPr="00062C03" w:rsidRDefault="00313A11" w:rsidP="0053764C">
      <w:pPr>
        <w:pStyle w:val="2"/>
        <w:rPr>
          <w:color w:val="000000" w:themeColor="text1"/>
        </w:rPr>
      </w:pPr>
      <w:r>
        <w:rPr>
          <w:rFonts w:hint="eastAsia"/>
          <w:color w:val="000000" w:themeColor="text1"/>
        </w:rPr>
        <w:t>調查意見二至五</w:t>
      </w:r>
      <w:r w:rsidR="00BC0D23" w:rsidRPr="00062C03">
        <w:rPr>
          <w:rFonts w:hint="eastAsia"/>
          <w:color w:val="000000" w:themeColor="text1"/>
        </w:rPr>
        <w:t>，</w:t>
      </w:r>
      <w:r w:rsidR="00263252" w:rsidRPr="00062C03">
        <w:rPr>
          <w:rFonts w:hint="eastAsia"/>
          <w:color w:val="000000" w:themeColor="text1"/>
        </w:rPr>
        <w:t>函請法務部確實檢討改進見復</w:t>
      </w:r>
      <w:r w:rsidR="00FB7770" w:rsidRPr="00062C03">
        <w:rPr>
          <w:rFonts w:hAnsi="標楷體" w:hint="eastAsia"/>
          <w:color w:val="000000" w:themeColor="text1"/>
        </w:rPr>
        <w:t>。</w:t>
      </w:r>
      <w:bookmarkEnd w:id="79"/>
      <w:bookmarkEnd w:id="80"/>
      <w:bookmarkEnd w:id="81"/>
      <w:bookmarkEnd w:id="82"/>
      <w:bookmarkEnd w:id="83"/>
      <w:bookmarkEnd w:id="84"/>
      <w:bookmarkEnd w:id="85"/>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rsidR="00770453" w:rsidRPr="00062C03"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062C03" w:rsidRDefault="00E25849" w:rsidP="00770453">
      <w:pPr>
        <w:pStyle w:val="aa"/>
        <w:spacing w:beforeLines="50" w:before="228" w:afterLines="100" w:after="457"/>
        <w:ind w:leftChars="1100" w:left="3742"/>
        <w:rPr>
          <w:b w:val="0"/>
          <w:bCs/>
          <w:snapToGrid/>
          <w:color w:val="000000" w:themeColor="text1"/>
          <w:spacing w:val="12"/>
          <w:kern w:val="0"/>
          <w:sz w:val="40"/>
        </w:rPr>
      </w:pPr>
      <w:r w:rsidRPr="00062C03">
        <w:rPr>
          <w:rFonts w:hint="eastAsia"/>
          <w:b w:val="0"/>
          <w:bCs/>
          <w:snapToGrid/>
          <w:color w:val="000000" w:themeColor="text1"/>
          <w:spacing w:val="12"/>
          <w:kern w:val="0"/>
          <w:sz w:val="40"/>
        </w:rPr>
        <w:t>調查委員：</w:t>
      </w:r>
      <w:r w:rsidR="00D503ED">
        <w:rPr>
          <w:rFonts w:hint="eastAsia"/>
          <w:b w:val="0"/>
          <w:bCs/>
          <w:snapToGrid/>
          <w:color w:val="000000" w:themeColor="text1"/>
          <w:spacing w:val="12"/>
          <w:kern w:val="0"/>
          <w:sz w:val="40"/>
        </w:rPr>
        <w:t>林雅鋒</w:t>
      </w:r>
    </w:p>
    <w:p w:rsidR="00770453" w:rsidRPr="00062C03"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062C03" w:rsidRDefault="00E25849">
      <w:pPr>
        <w:pStyle w:val="af"/>
        <w:rPr>
          <w:rFonts w:hAnsi="標楷體"/>
          <w:bCs/>
          <w:color w:val="000000" w:themeColor="text1"/>
        </w:rPr>
      </w:pPr>
      <w:r w:rsidRPr="00062C03">
        <w:rPr>
          <w:rFonts w:hAnsi="標楷體" w:hint="eastAsia"/>
          <w:bCs/>
          <w:color w:val="000000" w:themeColor="text1"/>
        </w:rPr>
        <w:t>中</w:t>
      </w:r>
      <w:r w:rsidR="00B5484D" w:rsidRPr="00062C03">
        <w:rPr>
          <w:rFonts w:hAnsi="標楷體" w:hint="eastAsia"/>
          <w:bCs/>
          <w:color w:val="000000" w:themeColor="text1"/>
        </w:rPr>
        <w:t xml:space="preserve">  </w:t>
      </w:r>
      <w:r w:rsidRPr="00062C03">
        <w:rPr>
          <w:rFonts w:hAnsi="標楷體" w:hint="eastAsia"/>
          <w:bCs/>
          <w:color w:val="000000" w:themeColor="text1"/>
        </w:rPr>
        <w:t>華</w:t>
      </w:r>
      <w:r w:rsidR="00B5484D" w:rsidRPr="00062C03">
        <w:rPr>
          <w:rFonts w:hAnsi="標楷體" w:hint="eastAsia"/>
          <w:bCs/>
          <w:color w:val="000000" w:themeColor="text1"/>
        </w:rPr>
        <w:t xml:space="preserve">  </w:t>
      </w:r>
      <w:r w:rsidRPr="00062C03">
        <w:rPr>
          <w:rFonts w:hAnsi="標楷體" w:hint="eastAsia"/>
          <w:bCs/>
          <w:color w:val="000000" w:themeColor="text1"/>
        </w:rPr>
        <w:t>民</w:t>
      </w:r>
      <w:r w:rsidR="00B5484D" w:rsidRPr="00062C03">
        <w:rPr>
          <w:rFonts w:hAnsi="標楷體" w:hint="eastAsia"/>
          <w:bCs/>
          <w:color w:val="000000" w:themeColor="text1"/>
        </w:rPr>
        <w:t xml:space="preserve">  </w:t>
      </w:r>
      <w:r w:rsidRPr="00062C03">
        <w:rPr>
          <w:rFonts w:hAnsi="標楷體" w:hint="eastAsia"/>
          <w:bCs/>
          <w:color w:val="000000" w:themeColor="text1"/>
        </w:rPr>
        <w:t xml:space="preserve">國　</w:t>
      </w:r>
      <w:r w:rsidR="001E74C2" w:rsidRPr="00062C03">
        <w:rPr>
          <w:rFonts w:hAnsi="標楷體" w:hint="eastAsia"/>
          <w:bCs/>
          <w:color w:val="000000" w:themeColor="text1"/>
        </w:rPr>
        <w:t>10</w:t>
      </w:r>
      <w:r w:rsidR="00263252" w:rsidRPr="00062C03">
        <w:rPr>
          <w:rFonts w:hAnsi="標楷體"/>
          <w:bCs/>
          <w:color w:val="000000" w:themeColor="text1"/>
        </w:rPr>
        <w:t>9</w:t>
      </w:r>
      <w:r w:rsidRPr="00062C03">
        <w:rPr>
          <w:rFonts w:hAnsi="標楷體" w:hint="eastAsia"/>
          <w:bCs/>
          <w:color w:val="000000" w:themeColor="text1"/>
        </w:rPr>
        <w:t xml:space="preserve">　年　</w:t>
      </w:r>
      <w:r w:rsidR="00D503ED">
        <w:rPr>
          <w:rFonts w:hAnsi="標楷體"/>
          <w:bCs/>
          <w:color w:val="000000" w:themeColor="text1"/>
        </w:rPr>
        <w:t>5</w:t>
      </w:r>
      <w:r w:rsidRPr="00062C03">
        <w:rPr>
          <w:rFonts w:hAnsi="標楷體" w:hint="eastAsia"/>
          <w:bCs/>
          <w:color w:val="000000" w:themeColor="text1"/>
        </w:rPr>
        <w:t xml:space="preserve">　月　</w:t>
      </w:r>
      <w:r w:rsidR="00D503ED">
        <w:rPr>
          <w:rFonts w:hAnsi="標楷體" w:hint="eastAsia"/>
          <w:bCs/>
          <w:color w:val="000000" w:themeColor="text1"/>
        </w:rPr>
        <w:t>13</w:t>
      </w:r>
      <w:r w:rsidRPr="00062C03">
        <w:rPr>
          <w:rFonts w:hAnsi="標楷體" w:hint="eastAsia"/>
          <w:bCs/>
          <w:color w:val="000000" w:themeColor="text1"/>
        </w:rPr>
        <w:t xml:space="preserve">　日</w:t>
      </w:r>
    </w:p>
    <w:p w:rsidR="00B77D18" w:rsidRPr="00C65CF0" w:rsidRDefault="00B77D18" w:rsidP="00D742DB">
      <w:pPr>
        <w:widowControl/>
        <w:overflowPunct/>
        <w:autoSpaceDE/>
        <w:autoSpaceDN/>
        <w:jc w:val="left"/>
        <w:rPr>
          <w:color w:val="000000" w:themeColor="text1"/>
          <w:szCs w:val="32"/>
        </w:rPr>
      </w:pPr>
    </w:p>
    <w:sectPr w:rsidR="00B77D18" w:rsidRPr="00C65CF0" w:rsidSect="00342A9F">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71" w:rsidRDefault="00F06271">
      <w:r>
        <w:separator/>
      </w:r>
    </w:p>
  </w:endnote>
  <w:endnote w:type="continuationSeparator" w:id="0">
    <w:p w:rsidR="00F06271" w:rsidRDefault="00F0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19" w:rsidRDefault="001E4E1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16662">
      <w:rPr>
        <w:rStyle w:val="ac"/>
        <w:noProof/>
        <w:sz w:val="24"/>
      </w:rPr>
      <w:t>1</w:t>
    </w:r>
    <w:r>
      <w:rPr>
        <w:rStyle w:val="ac"/>
        <w:sz w:val="24"/>
      </w:rPr>
      <w:fldChar w:fldCharType="end"/>
    </w:r>
  </w:p>
  <w:p w:rsidR="001E4E19" w:rsidRDefault="001E4E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71" w:rsidRDefault="00F06271">
      <w:r>
        <w:separator/>
      </w:r>
    </w:p>
  </w:footnote>
  <w:footnote w:type="continuationSeparator" w:id="0">
    <w:p w:rsidR="00F06271" w:rsidRDefault="00F06271">
      <w:r>
        <w:continuationSeparator/>
      </w:r>
    </w:p>
  </w:footnote>
  <w:footnote w:id="1">
    <w:p w:rsidR="001E4E19" w:rsidRPr="00E37C04" w:rsidRDefault="001E4E19" w:rsidP="00F91A44">
      <w:pPr>
        <w:pStyle w:val="afc"/>
        <w:jc w:val="both"/>
      </w:pPr>
      <w:r>
        <w:rPr>
          <w:rStyle w:val="afe"/>
        </w:rPr>
        <w:footnoteRef/>
      </w:r>
      <w:r>
        <w:rPr>
          <w:rFonts w:hint="eastAsia"/>
        </w:rPr>
        <w:t xml:space="preserve"> 新北地院105年度原侵訴字第3號判決。</w:t>
      </w:r>
    </w:p>
  </w:footnote>
  <w:footnote w:id="2">
    <w:p w:rsidR="001E4E19" w:rsidRPr="00956A0D" w:rsidRDefault="001E4E19" w:rsidP="00210819">
      <w:pPr>
        <w:pStyle w:val="afc"/>
        <w:jc w:val="both"/>
      </w:pPr>
      <w:r>
        <w:rPr>
          <w:rStyle w:val="afe"/>
        </w:rPr>
        <w:footnoteRef/>
      </w:r>
      <w:r>
        <w:t xml:space="preserve"> </w:t>
      </w:r>
      <w:r w:rsidRPr="00EE5527">
        <w:rPr>
          <w:rFonts w:hint="eastAsia"/>
        </w:rPr>
        <w:t>林鈺雄，新刑法總則，自版，2009年9月，頁28。</w:t>
      </w:r>
    </w:p>
  </w:footnote>
  <w:footnote w:id="3">
    <w:p w:rsidR="001E4E19" w:rsidRPr="00956A0D" w:rsidRDefault="001E4E19" w:rsidP="00210819">
      <w:pPr>
        <w:pStyle w:val="afc"/>
        <w:jc w:val="both"/>
      </w:pPr>
      <w:r>
        <w:rPr>
          <w:rStyle w:val="afe"/>
        </w:rPr>
        <w:footnoteRef/>
      </w:r>
      <w:r>
        <w:t xml:space="preserve"> </w:t>
      </w:r>
      <w:r w:rsidRPr="00EE5527">
        <w:rPr>
          <w:rFonts w:hint="eastAsia"/>
        </w:rPr>
        <w:t>吳忻穎</w:t>
      </w:r>
      <w:r>
        <w:rPr>
          <w:rFonts w:hint="eastAsia"/>
        </w:rPr>
        <w:t>、</w:t>
      </w:r>
      <w:r w:rsidRPr="00EE5527">
        <w:rPr>
          <w:rFonts w:hint="eastAsia"/>
        </w:rPr>
        <w:t>林晉佑</w:t>
      </w:r>
      <w:r>
        <w:rPr>
          <w:rFonts w:hint="eastAsia"/>
        </w:rPr>
        <w:t>，責任能力調查與監護處分執行現況之探討，</w:t>
      </w:r>
      <w:r w:rsidRPr="00EE5527">
        <w:rPr>
          <w:rFonts w:hint="eastAsia"/>
        </w:rPr>
        <w:t>矯政期刊第9卷第1期</w:t>
      </w:r>
      <w:r>
        <w:rPr>
          <w:rFonts w:hint="eastAsia"/>
        </w:rPr>
        <w:t>，109年1月，頁75。</w:t>
      </w:r>
    </w:p>
  </w:footnote>
  <w:footnote w:id="4">
    <w:p w:rsidR="001E4E19" w:rsidRDefault="001E4E19" w:rsidP="00210819">
      <w:pPr>
        <w:pStyle w:val="afc"/>
        <w:jc w:val="both"/>
      </w:pPr>
      <w:r>
        <w:rPr>
          <w:rStyle w:val="afe"/>
        </w:rPr>
        <w:footnoteRef/>
      </w:r>
      <w:r>
        <w:t xml:space="preserve"> </w:t>
      </w:r>
      <w:r>
        <w:rPr>
          <w:rFonts w:hint="eastAsia"/>
        </w:rPr>
        <w:t>林鈺雄，刑事訴訟法上冊，自版，2002年，頁278。</w:t>
      </w:r>
    </w:p>
  </w:footnote>
  <w:footnote w:id="5">
    <w:p w:rsidR="001E4E19" w:rsidRPr="002D33E5" w:rsidRDefault="001E4E19" w:rsidP="00210819">
      <w:pPr>
        <w:pStyle w:val="afc"/>
        <w:jc w:val="both"/>
      </w:pPr>
      <w:r>
        <w:rPr>
          <w:rStyle w:val="afe"/>
        </w:rPr>
        <w:footnoteRef/>
      </w:r>
      <w:r>
        <w:t xml:space="preserve"> </w:t>
      </w:r>
      <w:r>
        <w:rPr>
          <w:rFonts w:hint="eastAsia"/>
        </w:rPr>
        <w:t>刑事訴訟法第86條：「通緝，應以通緝書通知附近或各處檢察官、司法警察機關；遇有必要時，並得登載報紙或以其他方法公告之。」</w:t>
      </w:r>
    </w:p>
  </w:footnote>
  <w:footnote w:id="6">
    <w:p w:rsidR="001E4E19" w:rsidRDefault="001E4E19" w:rsidP="00210819">
      <w:pPr>
        <w:pStyle w:val="afc"/>
        <w:jc w:val="both"/>
      </w:pPr>
      <w:r>
        <w:rPr>
          <w:rStyle w:val="afe"/>
        </w:rPr>
        <w:footnoteRef/>
      </w:r>
      <w:r>
        <w:t xml:space="preserve"> </w:t>
      </w:r>
      <w:r>
        <w:rPr>
          <w:rFonts w:hint="eastAsia"/>
        </w:rPr>
        <w:t>林俊益，刑事訴訟法概論（上），新學林，2008年，頁225。</w:t>
      </w:r>
    </w:p>
  </w:footnote>
  <w:footnote w:id="7">
    <w:p w:rsidR="001E4E19" w:rsidRDefault="001E4E19" w:rsidP="00210819">
      <w:pPr>
        <w:pStyle w:val="afc"/>
        <w:jc w:val="both"/>
      </w:pPr>
      <w:r>
        <w:rPr>
          <w:rStyle w:val="afe"/>
        </w:rPr>
        <w:footnoteRef/>
      </w:r>
      <w:r>
        <w:t xml:space="preserve"> </w:t>
      </w:r>
      <w:r>
        <w:rPr>
          <w:rFonts w:hint="eastAsia"/>
        </w:rPr>
        <w:t>本號解釋理由書略以：「</w:t>
      </w:r>
      <w:r w:rsidRPr="00383157">
        <w:rPr>
          <w:rFonts w:hint="eastAsia"/>
        </w:rPr>
        <w:t>憲法於此</w:t>
      </w:r>
      <w:r>
        <w:rPr>
          <w:rFonts w:hint="eastAsia"/>
        </w:rPr>
        <w:t>（第8條第1項）</w:t>
      </w:r>
      <w:r w:rsidRPr="00383157">
        <w:rPr>
          <w:rFonts w:hint="eastAsia"/>
        </w:rPr>
        <w:t>復明定：</w:t>
      </w:r>
      <w:r>
        <w:rPr>
          <w:rFonts w:hint="eastAsia"/>
        </w:rPr>
        <w:t>『</w:t>
      </w:r>
      <w:r w:rsidRPr="00383157">
        <w:rPr>
          <w:rFonts w:hint="eastAsia"/>
        </w:rPr>
        <w:t>……非經司法或警察機關依法定程序不得逮捕拘禁……</w:t>
      </w:r>
      <w:r>
        <w:rPr>
          <w:rFonts w:hint="eastAsia"/>
        </w:rPr>
        <w:t>』</w:t>
      </w:r>
      <w:r w:rsidRPr="00383157">
        <w:rPr>
          <w:rFonts w:hint="eastAsia"/>
        </w:rPr>
        <w:t>，是此之所謂司法機關，就其功能予以觀察，自係指包括檢察機關在內之廣義司法機關之意；何況其將司法（警察）機關與法院並舉，先後予以規定，則此之司法機關應非指憲法第</w:t>
      </w:r>
      <w:r>
        <w:rPr>
          <w:rFonts w:hint="eastAsia"/>
        </w:rPr>
        <w:t>7</w:t>
      </w:r>
      <w:r>
        <w:t>7</w:t>
      </w:r>
      <w:r w:rsidRPr="00383157">
        <w:rPr>
          <w:rFonts w:hint="eastAsia"/>
        </w:rPr>
        <w:t>條之司法機關而言，亦即非僅指狹義之法院，理至明顯；且刑事司法程序，其在偵查階段係由警察與檢察官為之，後者既負責調度指揮前者，其關於公訴權之行使復由檢察官所擔任，是憲法前開規定之併列司法與警察機關之逮捕拘禁程序，其當然係包括檢察機關在內，應毋庸疑。</w:t>
      </w:r>
      <w:r>
        <w:rPr>
          <w:rFonts w:hint="eastAsia"/>
        </w:rPr>
        <w:t>」</w:t>
      </w:r>
    </w:p>
  </w:footnote>
  <w:footnote w:id="8">
    <w:p w:rsidR="001E4E19" w:rsidRPr="000B75C3" w:rsidRDefault="001E4E19" w:rsidP="00210819">
      <w:pPr>
        <w:pStyle w:val="afc"/>
        <w:jc w:val="both"/>
      </w:pPr>
      <w:r>
        <w:rPr>
          <w:rStyle w:val="afe"/>
        </w:rPr>
        <w:footnoteRef/>
      </w:r>
      <w:r>
        <w:t xml:space="preserve"> </w:t>
      </w:r>
      <w:r>
        <w:rPr>
          <w:rFonts w:hint="eastAsia"/>
        </w:rPr>
        <w:t>原文為「</w:t>
      </w:r>
      <w:r w:rsidRPr="000B75C3">
        <w:t>arbitrary</w:t>
      </w:r>
      <w:r>
        <w:rPr>
          <w:rFonts w:hint="eastAsia"/>
        </w:rPr>
        <w:t>」，有翻譯為「無理」、「任意」，惟為符合行政法上習慣用語，本文譯為「恣意」。</w:t>
      </w:r>
    </w:p>
  </w:footnote>
  <w:footnote w:id="9">
    <w:p w:rsidR="001E4E19" w:rsidRDefault="001E4E19" w:rsidP="00210819">
      <w:pPr>
        <w:pStyle w:val="afc"/>
        <w:jc w:val="both"/>
      </w:pPr>
      <w:r>
        <w:rPr>
          <w:rStyle w:val="afe"/>
        </w:rPr>
        <w:footnoteRef/>
      </w:r>
      <w:r>
        <w:t xml:space="preserve"> </w:t>
      </w:r>
      <w:r>
        <w:rPr>
          <w:rFonts w:hint="eastAsia"/>
        </w:rPr>
        <w:t>第35號一般性意見第11段：「</w:t>
      </w:r>
      <w:r w:rsidRPr="000B75C3">
        <w:rPr>
          <w:rFonts w:hint="eastAsia"/>
        </w:rPr>
        <w:t>第</w:t>
      </w:r>
      <w:r>
        <w:rPr>
          <w:rFonts w:hint="eastAsia"/>
        </w:rPr>
        <w:t>1</w:t>
      </w:r>
      <w:r w:rsidRPr="000B75C3">
        <w:rPr>
          <w:rFonts w:hint="eastAsia"/>
        </w:rPr>
        <w:t>項第</w:t>
      </w:r>
      <w:r>
        <w:rPr>
          <w:rFonts w:hint="eastAsia"/>
        </w:rPr>
        <w:t>2</w:t>
      </w:r>
      <w:r w:rsidRPr="000B75C3">
        <w:rPr>
          <w:rFonts w:hint="eastAsia"/>
        </w:rPr>
        <w:t>句禁止</w:t>
      </w:r>
      <w:r>
        <w:rPr>
          <w:rFonts w:hint="eastAsia"/>
        </w:rPr>
        <w:t>恣意逮捕或拘禁，而第3</w:t>
      </w:r>
      <w:r w:rsidRPr="000B75C3">
        <w:rPr>
          <w:rFonts w:hint="eastAsia"/>
        </w:rPr>
        <w:t>句禁止非法剝奪自由，即剝奪自由不是依照法律所確定的根據及程序。兩項禁止重疊，因為逮捕或拘禁可能違反適用的法律，但不是</w:t>
      </w:r>
      <w:r>
        <w:rPr>
          <w:rFonts w:hint="eastAsia"/>
        </w:rPr>
        <w:t>恣</w:t>
      </w:r>
      <w:r w:rsidRPr="000B75C3">
        <w:rPr>
          <w:rFonts w:hint="eastAsia"/>
        </w:rPr>
        <w:t>意的；或者，法律上允許，但卻是</w:t>
      </w:r>
      <w:r>
        <w:rPr>
          <w:rFonts w:hint="eastAsia"/>
        </w:rPr>
        <w:t>恣</w:t>
      </w:r>
      <w:r w:rsidRPr="000B75C3">
        <w:rPr>
          <w:rFonts w:hint="eastAsia"/>
        </w:rPr>
        <w:t>意的；或既是</w:t>
      </w:r>
      <w:r>
        <w:rPr>
          <w:rFonts w:hint="eastAsia"/>
        </w:rPr>
        <w:t>恣</w:t>
      </w:r>
      <w:r w:rsidRPr="000B75C3">
        <w:rPr>
          <w:rFonts w:hint="eastAsia"/>
        </w:rPr>
        <w:t>意又是違法。沒有任何法律依據的逮捕或拘禁也是</w:t>
      </w:r>
      <w:r>
        <w:rPr>
          <w:rFonts w:hint="eastAsia"/>
        </w:rPr>
        <w:t>恣</w:t>
      </w:r>
      <w:r w:rsidRPr="000B75C3">
        <w:rPr>
          <w:rFonts w:hint="eastAsia"/>
        </w:rPr>
        <w:t>意的。</w:t>
      </w:r>
      <w:r>
        <w:rPr>
          <w:rFonts w:hint="eastAsia"/>
        </w:rPr>
        <w:t>……」第12段：「逮捕或拘禁可能是依國內法授權的，但仍可能屬於任意。『恣意』這一概念不能與『違法』劃等號，必須給予更廣泛的解釋，使其包括不適當、不正當、缺乏可預見性及正當法律程序，以及合理性、必要性及比例原則等要素。例如，根據刑事指控實行的還押拘禁，在任何情況下都必須是合理的、有必要的。……」</w:t>
      </w:r>
    </w:p>
  </w:footnote>
  <w:footnote w:id="10">
    <w:p w:rsidR="001E4E19" w:rsidRDefault="001E4E19" w:rsidP="00210819">
      <w:pPr>
        <w:pStyle w:val="afc"/>
        <w:jc w:val="both"/>
      </w:pPr>
      <w:r>
        <w:rPr>
          <w:rStyle w:val="afe"/>
        </w:rPr>
        <w:footnoteRef/>
      </w:r>
      <w:r>
        <w:t xml:space="preserve"> </w:t>
      </w:r>
      <w:r>
        <w:rPr>
          <w:rFonts w:hint="eastAsia"/>
        </w:rPr>
        <w:t>同註</w:t>
      </w:r>
      <w:r>
        <w:fldChar w:fldCharType="begin"/>
      </w:r>
      <w:r>
        <w:instrText xml:space="preserve"> </w:instrText>
      </w:r>
      <w:r>
        <w:rPr>
          <w:rFonts w:hint="eastAsia"/>
        </w:rPr>
        <w:instrText>NOTEREF _Ref35357088 \h</w:instrText>
      </w:r>
      <w:r>
        <w:instrText xml:space="preserve">  \* MERGEFORMAT </w:instrText>
      </w:r>
      <w:r>
        <w:fldChar w:fldCharType="separate"/>
      </w:r>
      <w:r w:rsidR="00516662">
        <w:t>4</w:t>
      </w:r>
      <w:r>
        <w:fldChar w:fldCharType="end"/>
      </w:r>
      <w:r>
        <w:t>.</w:t>
      </w:r>
      <w:r>
        <w:rPr>
          <w:rFonts w:hint="eastAsia"/>
        </w:rPr>
        <w:t>。</w:t>
      </w:r>
    </w:p>
  </w:footnote>
  <w:footnote w:id="11">
    <w:p w:rsidR="001E4E19" w:rsidRDefault="001E4E19" w:rsidP="00210819">
      <w:pPr>
        <w:pStyle w:val="afc"/>
        <w:jc w:val="both"/>
      </w:pPr>
      <w:r>
        <w:rPr>
          <w:rStyle w:val="afe"/>
        </w:rPr>
        <w:footnoteRef/>
      </w:r>
      <w:r>
        <w:t xml:space="preserve"> </w:t>
      </w:r>
      <w:r>
        <w:rPr>
          <w:rFonts w:hint="eastAsia"/>
        </w:rPr>
        <w:t>性侵害犯罪防治法第20條第3項：「</w:t>
      </w:r>
      <w:r w:rsidRPr="00776A15">
        <w:rPr>
          <w:rFonts w:hint="eastAsia"/>
        </w:rPr>
        <w:t>觀護人對於付保護管束之加害人，得採取下列一款或數款之處遇方式</w:t>
      </w:r>
      <w:r>
        <w:rPr>
          <w:rFonts w:hint="eastAsia"/>
        </w:rPr>
        <w:t>：一、實施約談、訪視，並得進行團體活動或問卷等輔助行為。二、有事實足認其有再犯罪之虞或需加強輔導及管束者，得密集實施約談、訪視；必要時，並得請警察機關派員定期或不定期查訪之。三、有事實可疑為施用毒品時，得命其接受採驗尿液。四、無一定之居住處所，或其居住處所不利保護管束之執行者，得報請檢察官、軍事檢察官許可，命其居住於指定之處所。五、有於特定時間犯罪之習性，或有事實足認其有再犯罪之虞時，得報請檢察官、軍事檢察官，命於監控時段內，未經許可，不得外出。六、得報請檢察官、軍事檢察官許可，對其實施測謊。七、得報請檢察官、軍事檢察官許可，對其實施科技設備監控。八、有固定犯罪模式，或有事實足認其有再犯罪之虞時，得報請檢察官、軍事檢察官許可，禁止其接近特定場所或對象。九、轉介適當機構或團體。十、其他必要處遇。」</w:t>
      </w:r>
    </w:p>
  </w:footnote>
  <w:footnote w:id="12">
    <w:p w:rsidR="001E4E19" w:rsidRDefault="001E4E19" w:rsidP="00210819">
      <w:pPr>
        <w:pStyle w:val="afc"/>
        <w:jc w:val="both"/>
      </w:pPr>
      <w:r>
        <w:rPr>
          <w:rStyle w:val="afe"/>
        </w:rPr>
        <w:footnoteRef/>
      </w:r>
      <w:r>
        <w:t xml:space="preserve"> </w:t>
      </w:r>
      <w:r>
        <w:rPr>
          <w:rFonts w:hint="eastAsia"/>
        </w:rPr>
        <w:t>保安處分執行法第66條：「</w:t>
      </w:r>
      <w:r w:rsidRPr="00F234C7">
        <w:rPr>
          <w:rFonts w:hint="eastAsia"/>
        </w:rPr>
        <w:t>執行保護管束者，對於受保護管束人，得指定其遵守一定之事項；受保護管束人不遵守時，得予以告誡，或報請指揮執行之檢察官為適當之處理；必要時，得限制其自由。</w:t>
      </w:r>
      <w:r>
        <w:rPr>
          <w:rFonts w:hint="eastAsia"/>
        </w:rPr>
        <w:t>」</w:t>
      </w:r>
    </w:p>
  </w:footnote>
  <w:footnote w:id="13">
    <w:p w:rsidR="001E4E19" w:rsidRDefault="001E4E19" w:rsidP="00210819">
      <w:pPr>
        <w:pStyle w:val="afc"/>
        <w:jc w:val="both"/>
      </w:pPr>
      <w:r>
        <w:rPr>
          <w:rStyle w:val="afe"/>
        </w:rPr>
        <w:footnoteRef/>
      </w:r>
      <w:r>
        <w:t xml:space="preserve"> </w:t>
      </w:r>
      <w:r>
        <w:rPr>
          <w:rFonts w:hint="eastAsia"/>
        </w:rPr>
        <w:t>保安處分執行法第74條之2：「</w:t>
      </w:r>
      <w:r w:rsidRPr="00DD38A3">
        <w:rPr>
          <w:rFonts w:hint="eastAsia"/>
        </w:rPr>
        <w:t>受保護管束人在保護管束期間內，應遵守左列事項：一、保持善良品行，不得與素行不良之人往還。二、服從檢察官及執行保護管束者之命令。三、不得對被害人、告訴人或告發人尋釁。四、對於身體健康、生活情況及工作環境等，每月至少向執行保護管束者報告一次。五、非經執行保護管束者許可，不得離開受保護管束地；離開在十日以上時，應經檢察官核准。</w:t>
      </w:r>
      <w:r>
        <w:rPr>
          <w:rFonts w:hint="eastAsia"/>
        </w:rPr>
        <w:t>」</w:t>
      </w:r>
    </w:p>
  </w:footnote>
  <w:footnote w:id="14">
    <w:p w:rsidR="001E4E19" w:rsidRDefault="001E4E19" w:rsidP="00210819">
      <w:pPr>
        <w:pStyle w:val="afc"/>
        <w:jc w:val="both"/>
      </w:pPr>
      <w:r>
        <w:rPr>
          <w:rStyle w:val="afe"/>
        </w:rPr>
        <w:footnoteRef/>
      </w:r>
      <w:r>
        <w:t xml:space="preserve"> </w:t>
      </w:r>
      <w:r>
        <w:rPr>
          <w:rFonts w:hint="eastAsia"/>
        </w:rPr>
        <w:t>保安處分執行法第74條之3：「（第1項）</w:t>
      </w:r>
      <w:r w:rsidRPr="00DD38A3">
        <w:rPr>
          <w:rFonts w:hint="eastAsia"/>
        </w:rPr>
        <w:t>受保護管束人違反前條各款情形之一，情節重大者，檢察官得聲請撤銷保護管束或緩刑之宣告。</w:t>
      </w:r>
      <w:r>
        <w:rPr>
          <w:rFonts w:hint="eastAsia"/>
        </w:rPr>
        <w:t>（第2項）</w:t>
      </w:r>
      <w:r w:rsidRPr="00DD38A3">
        <w:rPr>
          <w:rFonts w:hint="eastAsia"/>
        </w:rPr>
        <w:t>假釋中付保護管束者，如有前項情形時，典獄長得報請撤銷假釋。</w:t>
      </w:r>
      <w:r>
        <w:rPr>
          <w:rFonts w:hint="eastAsia"/>
        </w:rPr>
        <w:t>」</w:t>
      </w:r>
    </w:p>
  </w:footnote>
  <w:footnote w:id="15">
    <w:p w:rsidR="001E4E19" w:rsidRDefault="001E4E19" w:rsidP="00210819">
      <w:pPr>
        <w:pStyle w:val="afc"/>
        <w:jc w:val="both"/>
      </w:pPr>
      <w:r>
        <w:rPr>
          <w:rStyle w:val="afe"/>
        </w:rPr>
        <w:footnoteRef/>
      </w:r>
      <w:r>
        <w:t xml:space="preserve"> </w:t>
      </w:r>
      <w:r>
        <w:rPr>
          <w:rFonts w:hint="eastAsia"/>
        </w:rPr>
        <w:t>至於如僅因過失而破壞電子腳鐐，亦告知將依民法第184條負損害賠償責任。</w:t>
      </w:r>
    </w:p>
  </w:footnote>
  <w:footnote w:id="16">
    <w:p w:rsidR="001E4E19" w:rsidRDefault="001E4E19" w:rsidP="00210819">
      <w:pPr>
        <w:pStyle w:val="afc"/>
        <w:jc w:val="both"/>
      </w:pPr>
      <w:r>
        <w:rPr>
          <w:rStyle w:val="afe"/>
        </w:rPr>
        <w:footnoteRef/>
      </w:r>
      <w:r>
        <w:t xml:space="preserve"> </w:t>
      </w:r>
      <w:r>
        <w:rPr>
          <w:rFonts w:hint="eastAsia"/>
        </w:rPr>
        <w:t>司法院釋字第681號解釋：「</w:t>
      </w:r>
      <w:r w:rsidRPr="00C07AF9">
        <w:rPr>
          <w:rFonts w:hint="eastAsia"/>
        </w:rPr>
        <w:t>惟受假釋人之假釋處分經撤銷者，依上開規定向法院聲明異議，須俟檢察官指揮執行殘餘刑期後，始得向法院提起救濟，對受假釋人訴訟權之保障尚非周全，相關機關應儘速予以檢討改進，俾使不服主管機關撤銷假釋之受假釋人，於入監執行殘餘刑期前，得適時向法院請求救濟。</w:t>
      </w:r>
      <w:r>
        <w:rPr>
          <w:rFonts w:hint="eastAsia"/>
        </w:rPr>
        <w:t>」</w:t>
      </w:r>
    </w:p>
  </w:footnote>
  <w:footnote w:id="17">
    <w:p w:rsidR="001E4E19" w:rsidRDefault="001E4E19" w:rsidP="00210819">
      <w:pPr>
        <w:pStyle w:val="afc"/>
        <w:jc w:val="both"/>
      </w:pPr>
      <w:r>
        <w:rPr>
          <w:rStyle w:val="afe"/>
        </w:rPr>
        <w:footnoteRef/>
      </w:r>
      <w:r>
        <w:t xml:space="preserve"> </w:t>
      </w:r>
      <w:r>
        <w:rPr>
          <w:rFonts w:hint="eastAsia"/>
        </w:rPr>
        <w:t>刑事訴訟法第484條：「受刑人或其法定代理人或配偶以檢察官執行之指揮為不當者，得向諭知該裁判之法院聲明異議。」</w:t>
      </w:r>
    </w:p>
  </w:footnote>
  <w:footnote w:id="18">
    <w:p w:rsidR="001E4E19" w:rsidRPr="008C0D14" w:rsidRDefault="001E4E19" w:rsidP="00210819">
      <w:pPr>
        <w:pStyle w:val="afc"/>
        <w:jc w:val="both"/>
      </w:pPr>
      <w:r>
        <w:rPr>
          <w:rStyle w:val="afe"/>
        </w:rPr>
        <w:footnoteRef/>
      </w:r>
      <w:r>
        <w:t xml:space="preserve"> </w:t>
      </w:r>
      <w:r w:rsidRPr="008C0D14">
        <w:rPr>
          <w:rFonts w:hint="eastAsia"/>
        </w:rPr>
        <w:t>受處分人於執行中死亡或執行完畢時，應報告指揮執行法院之檢察官；其於執行中逃亡者，應立即報告檢察官拘提或通緝之。</w:t>
      </w:r>
    </w:p>
  </w:footnote>
  <w:footnote w:id="19">
    <w:p w:rsidR="001E4E19" w:rsidRDefault="001E4E19" w:rsidP="00210819">
      <w:pPr>
        <w:pStyle w:val="afc"/>
        <w:jc w:val="both"/>
      </w:pPr>
      <w:r>
        <w:rPr>
          <w:rStyle w:val="afe"/>
        </w:rPr>
        <w:footnoteRef/>
      </w:r>
      <w:r>
        <w:t xml:space="preserve"> </w:t>
      </w:r>
      <w:r w:rsidRPr="00E07C4D">
        <w:rPr>
          <w:rFonts w:hint="eastAsia"/>
        </w:rPr>
        <w:t>法務部107年12月28日法保字第10705515930號函。</w:t>
      </w:r>
    </w:p>
  </w:footnote>
  <w:footnote w:id="20">
    <w:p w:rsidR="001E4E19" w:rsidRPr="00746EAF" w:rsidRDefault="001E4E19" w:rsidP="00210819">
      <w:pPr>
        <w:pStyle w:val="afc"/>
        <w:jc w:val="both"/>
      </w:pPr>
      <w:r>
        <w:rPr>
          <w:rStyle w:val="afe"/>
        </w:rPr>
        <w:footnoteRef/>
      </w:r>
      <w:r>
        <w:t xml:space="preserve"> </w:t>
      </w:r>
      <w:r w:rsidRPr="005255E8">
        <w:rPr>
          <w:rFonts w:hint="eastAsia"/>
        </w:rPr>
        <w:t>刑法第138條</w:t>
      </w:r>
      <w:r>
        <w:rPr>
          <w:rFonts w:hint="eastAsia"/>
        </w:rPr>
        <w:t>：「</w:t>
      </w:r>
      <w:r w:rsidRPr="00746EAF">
        <w:rPr>
          <w:rFonts w:hint="eastAsia"/>
        </w:rPr>
        <w:t>毀棄、損壞或隱匿公務員職務上掌管或委託第三人掌管之文書、圖畫、物品，或致令不堪用者，處五年以下有期徒刑。</w:t>
      </w:r>
      <w:r>
        <w:rPr>
          <w:rFonts w:hint="eastAsia"/>
        </w:rPr>
        <w:t>」有關性侵假釋付保護管束之人所配戴電子腳鐐，是否仍屬公務員職務上掌管物品，或屬委託</w:t>
      </w:r>
      <w:r w:rsidRPr="00746EAF">
        <w:rPr>
          <w:rFonts w:hint="eastAsia"/>
        </w:rPr>
        <w:t>第三人掌管之</w:t>
      </w:r>
      <w:r>
        <w:rPr>
          <w:rFonts w:hint="eastAsia"/>
        </w:rPr>
        <w:t>物品，似有爭議。目前實務上多數判決均未就此申論，均以</w:t>
      </w:r>
      <w:r w:rsidRPr="00746EAF">
        <w:rPr>
          <w:rFonts w:hint="eastAsia"/>
        </w:rPr>
        <w:t>損壞公務員職務上掌管之物品罪</w:t>
      </w:r>
      <w:r>
        <w:rPr>
          <w:rFonts w:hint="eastAsia"/>
        </w:rPr>
        <w:t>論罪科刑。</w:t>
      </w:r>
    </w:p>
  </w:footnote>
  <w:footnote w:id="21">
    <w:p w:rsidR="001E4E19" w:rsidRPr="00DF4EBE" w:rsidRDefault="001E4E19" w:rsidP="00210819">
      <w:pPr>
        <w:pStyle w:val="afc"/>
        <w:jc w:val="both"/>
      </w:pPr>
      <w:r>
        <w:rPr>
          <w:rStyle w:val="afe"/>
        </w:rPr>
        <w:footnoteRef/>
      </w:r>
      <w:r>
        <w:t xml:space="preserve"> </w:t>
      </w:r>
      <w:r>
        <w:rPr>
          <w:rFonts w:hint="eastAsia"/>
        </w:rPr>
        <w:t>林俊益，刑事訴訟法概論（上），新學林，2008年，頁227。</w:t>
      </w:r>
    </w:p>
  </w:footnote>
  <w:footnote w:id="22">
    <w:p w:rsidR="001E4E19" w:rsidRDefault="001E4E19" w:rsidP="00210819">
      <w:pPr>
        <w:pStyle w:val="afc"/>
        <w:jc w:val="both"/>
      </w:pPr>
      <w:r>
        <w:rPr>
          <w:rStyle w:val="afe"/>
        </w:rPr>
        <w:footnoteRef/>
      </w:r>
      <w:r>
        <w:t xml:space="preserve"> </w:t>
      </w:r>
      <w:r w:rsidRPr="00CA7039">
        <w:rPr>
          <w:rFonts w:hint="eastAsia"/>
        </w:rPr>
        <w:t>刑事訴訟法第87條第3項：</w:t>
      </w:r>
      <w:r>
        <w:rPr>
          <w:rFonts w:hint="eastAsia"/>
        </w:rPr>
        <w:t>「</w:t>
      </w:r>
      <w:r w:rsidRPr="000B2C74">
        <w:rPr>
          <w:rFonts w:hint="eastAsia"/>
        </w:rPr>
        <w:t>通緝於其原因消滅或</w:t>
      </w:r>
      <w:r w:rsidRPr="000B2C74">
        <w:rPr>
          <w:rFonts w:hint="eastAsia"/>
          <w:b/>
        </w:rPr>
        <w:t>已顯無必要時</w:t>
      </w:r>
      <w:r w:rsidRPr="000B2C74">
        <w:rPr>
          <w:rFonts w:hint="eastAsia"/>
        </w:rPr>
        <w:t>，應即撤銷。</w:t>
      </w:r>
      <w:r>
        <w:rPr>
          <w:rFonts w:hint="eastAsia"/>
        </w:rPr>
        <w:t>」</w:t>
      </w:r>
    </w:p>
  </w:footnote>
  <w:footnote w:id="23">
    <w:p w:rsidR="001E4E19" w:rsidRDefault="001E4E19" w:rsidP="00210819">
      <w:pPr>
        <w:pStyle w:val="afc"/>
        <w:jc w:val="both"/>
      </w:pPr>
      <w:r>
        <w:rPr>
          <w:rStyle w:val="afe"/>
        </w:rPr>
        <w:footnoteRef/>
      </w:r>
      <w:r>
        <w:t xml:space="preserve"> </w:t>
      </w:r>
      <w:r>
        <w:rPr>
          <w:rFonts w:hint="eastAsia"/>
        </w:rPr>
        <w:t>「檢察機關辦理通緝案件應行注意事項」第9點：「同一檢察署就同一被告或受刑人已為二案以上通緝時，依下列規定處理之。</w:t>
      </w:r>
      <w:r w:rsidRPr="007E18EC">
        <w:rPr>
          <w:rFonts w:hint="eastAsia"/>
          <w:b/>
        </w:rPr>
        <w:t>但偵查及執行案件應分別通緝之</w:t>
      </w:r>
      <w:r>
        <w:rPr>
          <w:rFonts w:hint="eastAsia"/>
        </w:rPr>
        <w:t>……」</w:t>
      </w:r>
    </w:p>
  </w:footnote>
  <w:footnote w:id="24">
    <w:p w:rsidR="001E4E19" w:rsidRPr="00524D89" w:rsidRDefault="001E4E19" w:rsidP="00210819">
      <w:pPr>
        <w:pStyle w:val="afc"/>
        <w:jc w:val="both"/>
        <w:rPr>
          <w:lang w:val="x-none"/>
        </w:rPr>
      </w:pPr>
      <w:r>
        <w:rPr>
          <w:rStyle w:val="afe"/>
        </w:rPr>
        <w:footnoteRef/>
      </w:r>
      <w:r>
        <w:t xml:space="preserve"> </w:t>
      </w:r>
      <w:r>
        <w:rPr>
          <w:rFonts w:hint="eastAsia"/>
        </w:rPr>
        <w:t>至於實務上若尚未發布通緝前，即查獲破壞電子腳鐐之性侵假釋付保護管束之人，依</w:t>
      </w:r>
      <w:r w:rsidRPr="00524D89">
        <w:rPr>
          <w:rFonts w:hint="eastAsia"/>
        </w:rPr>
        <w:t>107年4月16日法檢字第10704509380號</w:t>
      </w:r>
      <w:r>
        <w:rPr>
          <w:rFonts w:hint="eastAsia"/>
        </w:rPr>
        <w:t>決議之旨，尚不得</w:t>
      </w:r>
      <w:r w:rsidRPr="00524D89">
        <w:rPr>
          <w:rFonts w:hint="eastAsia"/>
        </w:rPr>
        <w:t>依現行犯規定逕行逮捕</w:t>
      </w:r>
      <w:r>
        <w:rPr>
          <w:rFonts w:hint="eastAsia"/>
        </w:rPr>
        <w:t>。此際，本院初步認為，或可考量依保安處分執行法第66條於符合比例原則時，限制其人身自由，以等待假釋撤銷程序完成。</w:t>
      </w:r>
    </w:p>
  </w:footnote>
  <w:footnote w:id="25">
    <w:p w:rsidR="001E4E19" w:rsidRDefault="001E4E19" w:rsidP="00210819">
      <w:pPr>
        <w:pStyle w:val="afc"/>
        <w:ind w:right="680"/>
        <w:jc w:val="both"/>
      </w:pPr>
      <w:r>
        <w:rPr>
          <w:rStyle w:val="afe"/>
        </w:rPr>
        <w:footnoteRef/>
      </w:r>
      <w:r>
        <w:t xml:space="preserve"> </w:t>
      </w:r>
      <w:r>
        <w:rPr>
          <w:rFonts w:hint="eastAsia"/>
        </w:rPr>
        <w:t>刑事訴訟法第76條第2款：「</w:t>
      </w:r>
      <w:r w:rsidRPr="008E78A3">
        <w:rPr>
          <w:rFonts w:hint="eastAsia"/>
        </w:rPr>
        <w:t>被告犯罪嫌疑重大，而有左列情形之一者，得不經傳喚逕行拘提：</w:t>
      </w:r>
      <w:r>
        <w:rPr>
          <w:rFonts w:hint="eastAsia"/>
        </w:rPr>
        <w:t>……</w:t>
      </w:r>
      <w:r w:rsidRPr="008E78A3">
        <w:rPr>
          <w:rFonts w:hint="eastAsia"/>
        </w:rPr>
        <w:t>二、逃亡或有事實足認為有逃亡之虞者。</w:t>
      </w:r>
      <w:r>
        <w:rPr>
          <w:rFonts w:hint="eastAsia"/>
        </w:rPr>
        <w:t>」</w:t>
      </w:r>
    </w:p>
  </w:footnote>
  <w:footnote w:id="26">
    <w:p w:rsidR="001E4E19" w:rsidRDefault="001E4E19" w:rsidP="00210819">
      <w:pPr>
        <w:pStyle w:val="afc"/>
        <w:jc w:val="both"/>
      </w:pPr>
      <w:r>
        <w:rPr>
          <w:rStyle w:val="afe"/>
        </w:rPr>
        <w:footnoteRef/>
      </w:r>
      <w:r>
        <w:t xml:space="preserve"> </w:t>
      </w:r>
      <w:r w:rsidRPr="00AE3C4D">
        <w:rPr>
          <w:rFonts w:hint="eastAsia"/>
        </w:rPr>
        <w:t>陳英明</w:t>
      </w:r>
      <w:r>
        <w:rPr>
          <w:rFonts w:hint="eastAsia"/>
        </w:rPr>
        <w:t>，</w:t>
      </w:r>
      <w:r w:rsidRPr="00AE3C4D">
        <w:rPr>
          <w:rFonts w:hint="eastAsia"/>
        </w:rPr>
        <w:t>觀護一元化雛思</w:t>
      </w:r>
      <w:r>
        <w:rPr>
          <w:rFonts w:hint="eastAsia"/>
        </w:rPr>
        <w:t>，網址：</w:t>
      </w:r>
      <w:hyperlink r:id="rId1" w:history="1">
        <w:r w:rsidRPr="002204CA">
          <w:rPr>
            <w:rStyle w:val="ae"/>
          </w:rPr>
          <w:t>http://www.pbaroc.org.tw/link6.asp?p=2-2</w:t>
        </w:r>
      </w:hyperlink>
      <w:r>
        <w:rPr>
          <w:rFonts w:hint="eastAsia"/>
        </w:rPr>
        <w:t>。</w:t>
      </w:r>
    </w:p>
  </w:footnote>
  <w:footnote w:id="27">
    <w:p w:rsidR="001E4E19" w:rsidRDefault="001E4E19" w:rsidP="00210819">
      <w:pPr>
        <w:pStyle w:val="afc"/>
        <w:jc w:val="both"/>
      </w:pPr>
      <w:r>
        <w:rPr>
          <w:rStyle w:val="afe"/>
        </w:rPr>
        <w:footnoteRef/>
      </w:r>
      <w:r>
        <w:t xml:space="preserve"> </w:t>
      </w:r>
      <w:r w:rsidRPr="00AE3C4D">
        <w:rPr>
          <w:rFonts w:hint="eastAsia"/>
        </w:rPr>
        <w:t>林順昌</w:t>
      </w:r>
      <w:r>
        <w:rPr>
          <w:rFonts w:hint="eastAsia"/>
        </w:rPr>
        <w:t>，</w:t>
      </w:r>
      <w:r w:rsidRPr="00AE3C4D">
        <w:rPr>
          <w:rFonts w:hint="eastAsia"/>
        </w:rPr>
        <w:t>觀護法論</w:t>
      </w:r>
      <w:r>
        <w:rPr>
          <w:rFonts w:hint="eastAsia"/>
        </w:rPr>
        <w:t>：</w:t>
      </w:r>
      <w:r w:rsidRPr="00AE3C4D">
        <w:rPr>
          <w:rFonts w:hint="eastAsia"/>
        </w:rPr>
        <w:t>社會復歸與社會防衛之間的拔河</w:t>
      </w:r>
      <w:r>
        <w:rPr>
          <w:rFonts w:hint="eastAsia"/>
        </w:rPr>
        <w:t>。轉引自</w:t>
      </w:r>
      <w:r w:rsidRPr="00AE3C4D">
        <w:rPr>
          <w:rFonts w:hint="eastAsia"/>
        </w:rPr>
        <w:t>賴亮樺</w:t>
      </w:r>
      <w:r>
        <w:rPr>
          <w:rFonts w:hint="eastAsia"/>
        </w:rPr>
        <w:t>，電子監控的排除、恐懼和自我懲罰之研究-以性犯罪為例，</w:t>
      </w:r>
      <w:r w:rsidRPr="00AE3C4D">
        <w:rPr>
          <w:rFonts w:hint="eastAsia"/>
        </w:rPr>
        <w:t>國立中正大學犯罪防治研究所碩士論文</w:t>
      </w:r>
      <w:r>
        <w:rPr>
          <w:rFonts w:hint="eastAsia"/>
        </w:rPr>
        <w:t>，頁50。</w:t>
      </w:r>
    </w:p>
  </w:footnote>
  <w:footnote w:id="28">
    <w:p w:rsidR="001E4E19" w:rsidRDefault="001E4E19" w:rsidP="00210819">
      <w:pPr>
        <w:pStyle w:val="afc"/>
        <w:jc w:val="both"/>
      </w:pPr>
      <w:r>
        <w:rPr>
          <w:rStyle w:val="afe"/>
        </w:rPr>
        <w:footnoteRef/>
      </w:r>
      <w:r>
        <w:t xml:space="preserve"> </w:t>
      </w:r>
      <w:r w:rsidRPr="0047403E">
        <w:rPr>
          <w:rFonts w:hint="eastAsia"/>
        </w:rPr>
        <w:t>馬躍中</w:t>
      </w:r>
      <w:r>
        <w:rPr>
          <w:rFonts w:hint="eastAsia"/>
        </w:rPr>
        <w:t>，電子監控作為抗制犯罪之手段：德國法的思考，頁243-244。</w:t>
      </w:r>
    </w:p>
  </w:footnote>
  <w:footnote w:id="29">
    <w:p w:rsidR="001E4E19" w:rsidRDefault="001E4E19" w:rsidP="00210819">
      <w:pPr>
        <w:pStyle w:val="afc"/>
        <w:jc w:val="both"/>
      </w:pPr>
      <w:r>
        <w:rPr>
          <w:rStyle w:val="afe"/>
        </w:rPr>
        <w:footnoteRef/>
      </w:r>
      <w:r>
        <w:t xml:space="preserve"> </w:t>
      </w:r>
      <w:r w:rsidRPr="00AE3C4D">
        <w:rPr>
          <w:rFonts w:hint="eastAsia"/>
        </w:rPr>
        <w:t>賴亮樺</w:t>
      </w:r>
      <w:r>
        <w:rPr>
          <w:rFonts w:hint="eastAsia"/>
        </w:rPr>
        <w:t>，電子監控的排除、恐懼和自我懲罰之研究-以性犯罪為例，</w:t>
      </w:r>
      <w:r w:rsidRPr="00AE3C4D">
        <w:rPr>
          <w:rFonts w:hint="eastAsia"/>
        </w:rPr>
        <w:t>國立中正大學犯罪防治研究所碩士論文</w:t>
      </w:r>
      <w:r>
        <w:rPr>
          <w:rFonts w:hint="eastAsia"/>
        </w:rPr>
        <w:t>，頁93-94。</w:t>
      </w:r>
    </w:p>
  </w:footnote>
  <w:footnote w:id="30">
    <w:p w:rsidR="001E4E19" w:rsidRDefault="001E4E19" w:rsidP="005C32EE">
      <w:pPr>
        <w:pStyle w:val="afc"/>
        <w:jc w:val="both"/>
      </w:pPr>
      <w:r>
        <w:rPr>
          <w:rStyle w:val="afe"/>
        </w:rPr>
        <w:footnoteRef/>
      </w:r>
      <w:r>
        <w:t xml:space="preserve"> </w:t>
      </w:r>
      <w:r w:rsidRPr="002B0A1F">
        <w:rPr>
          <w:rFonts w:hint="eastAsia"/>
        </w:rPr>
        <w:t>賴亮樺，電子監控的排除、恐懼和自我懲罰之研究-以性犯罪為例，國立中正大學犯罪防治研究所碩士論文，頁</w:t>
      </w:r>
      <w:r>
        <w:rPr>
          <w:rFonts w:hint="eastAsia"/>
        </w:rPr>
        <w:t>90。</w:t>
      </w:r>
    </w:p>
  </w:footnote>
  <w:footnote w:id="31">
    <w:p w:rsidR="001E4E19" w:rsidRDefault="001E4E19" w:rsidP="004366DE">
      <w:pPr>
        <w:pStyle w:val="afc"/>
        <w:jc w:val="both"/>
      </w:pPr>
      <w:r>
        <w:rPr>
          <w:rStyle w:val="afe"/>
        </w:rPr>
        <w:footnoteRef/>
      </w:r>
      <w:r>
        <w:t xml:space="preserve"> </w:t>
      </w:r>
      <w:r>
        <w:rPr>
          <w:rFonts w:hint="eastAsia"/>
        </w:rPr>
        <w:t>法務部</w:t>
      </w:r>
      <w:r w:rsidRPr="00ED1E15">
        <w:rPr>
          <w:rFonts w:hint="eastAsia"/>
        </w:rPr>
        <w:t>109年5月5日法保字第10900555740號</w:t>
      </w:r>
      <w:r>
        <w:rPr>
          <w:rFonts w:hint="eastAsia"/>
        </w:rPr>
        <w:t>。</w:t>
      </w:r>
    </w:p>
  </w:footnote>
  <w:footnote w:id="32">
    <w:p w:rsidR="001E4E19" w:rsidRPr="00E17EC4" w:rsidRDefault="001E4E19" w:rsidP="004366DE">
      <w:pPr>
        <w:pStyle w:val="afc"/>
      </w:pPr>
      <w:r>
        <w:rPr>
          <w:rStyle w:val="afe"/>
        </w:rPr>
        <w:footnoteRef/>
      </w:r>
      <w:r>
        <w:t xml:space="preserve"> </w:t>
      </w:r>
      <w:r>
        <w:rPr>
          <w:rFonts w:hint="eastAsia"/>
        </w:rPr>
        <w:t>「</w:t>
      </w:r>
      <w:r w:rsidRPr="00E17EC4">
        <w:rPr>
          <w:rFonts w:hint="eastAsia"/>
        </w:rPr>
        <w:t>性侵害犯罪防治法第20條第3項第7款及性侵害犯罪付保護管束加害人科技設備監控實施辦法</w:t>
      </w:r>
      <w:r>
        <w:rPr>
          <w:rFonts w:hint="eastAsia"/>
        </w:rPr>
        <w:t>」第6條：「（第1項）</w:t>
      </w:r>
      <w:r w:rsidRPr="00E17EC4">
        <w:rPr>
          <w:rFonts w:hint="eastAsia"/>
        </w:rPr>
        <w:t>觀護人經綜合性侵害犯罪付保護管束加害人之前科紀錄、保護管束執行情形、警察機關查訪意見、矯正機關、家庭暴力及性侵害防治中心（以下簡稱防治中心）鑑定、評估、治療等相關資料，認有施以科技設備監控必要者，得報請檢察官、軍事檢察官許可實施之。</w:t>
      </w:r>
      <w:r>
        <w:rPr>
          <w:rFonts w:hint="eastAsia"/>
        </w:rPr>
        <w:t>（第2項）</w:t>
      </w:r>
      <w:r w:rsidRPr="00E17EC4">
        <w:rPr>
          <w:rFonts w:hint="eastAsia"/>
        </w:rPr>
        <w:t>前項監控期間自檢察官許可之日起算，至受監控人保護管束期滿日為止。</w:t>
      </w:r>
      <w:r>
        <w:rPr>
          <w:rFonts w:hint="eastAsia"/>
        </w:rPr>
        <w:t>（第3項）</w:t>
      </w:r>
      <w:r w:rsidRPr="00E17EC4">
        <w:rPr>
          <w:rFonts w:hint="eastAsia"/>
        </w:rPr>
        <w:t>惟每三月須評估一次，若符合本辦法第十四條第一項之規定，得報請檢察官、軍事檢察官許可停止執行。</w:t>
      </w:r>
      <w:r>
        <w:rPr>
          <w:rFonts w:hint="eastAsia"/>
        </w:rPr>
        <w:t>」</w:t>
      </w:r>
    </w:p>
  </w:footnote>
  <w:footnote w:id="33">
    <w:p w:rsidR="001E4E19" w:rsidRDefault="001E4E19">
      <w:pPr>
        <w:pStyle w:val="afc"/>
      </w:pPr>
      <w:r>
        <w:rPr>
          <w:rStyle w:val="afe"/>
        </w:rPr>
        <w:footnoteRef/>
      </w:r>
      <w:r>
        <w:rPr>
          <w:rFonts w:hint="eastAsia"/>
        </w:rPr>
        <w:t xml:space="preserve"> </w:t>
      </w:r>
      <w:r w:rsidRPr="0047403E">
        <w:rPr>
          <w:rFonts w:hint="eastAsia"/>
        </w:rPr>
        <w:t>馬躍中</w:t>
      </w:r>
      <w:r>
        <w:rPr>
          <w:rFonts w:hint="eastAsia"/>
        </w:rPr>
        <w:t>，電子監控作為抗制犯罪之手段：德國法的思考，頁240-242。馬教授指出：「</w:t>
      </w:r>
      <w:r w:rsidRPr="00457577">
        <w:rPr>
          <w:rFonts w:hint="eastAsia"/>
        </w:rPr>
        <w:t>大多數試行電子監控之受測者僅讓自己的好友及家人得知。受測者大多害怕讓自己的雇主知悉，因而對其工作產生不良之影響。另外在小城市或小村莊之受測者，甚至害怕自己的鄰居得知有配帶電子監控裝置</w:t>
      </w:r>
      <w:r>
        <w:rPr>
          <w:rFonts w:hint="eastAsia"/>
        </w:rPr>
        <w:t>。」而有標籤化疑慮。</w:t>
      </w:r>
    </w:p>
  </w:footnote>
  <w:footnote w:id="34">
    <w:p w:rsidR="001E4E19" w:rsidRPr="00B066D1" w:rsidRDefault="001E4E19">
      <w:pPr>
        <w:pStyle w:val="afc"/>
      </w:pPr>
      <w:r>
        <w:rPr>
          <w:rStyle w:val="afe"/>
        </w:rPr>
        <w:footnoteRef/>
      </w:r>
      <w:r>
        <w:t xml:space="preserve"> </w:t>
      </w:r>
      <w:r>
        <w:rPr>
          <w:rFonts w:hint="eastAsia"/>
        </w:rPr>
        <w:t>隱私權屬基本人權受憲法保障，參見司法院釋字第756、631號解釋。</w:t>
      </w:r>
    </w:p>
  </w:footnote>
  <w:footnote w:id="35">
    <w:p w:rsidR="001E4E19" w:rsidRDefault="001E4E19" w:rsidP="004366DE">
      <w:pPr>
        <w:pStyle w:val="afc"/>
        <w:jc w:val="both"/>
      </w:pPr>
      <w:r>
        <w:rPr>
          <w:rStyle w:val="afe"/>
        </w:rPr>
        <w:footnoteRef/>
      </w:r>
      <w:r>
        <w:t xml:space="preserve"> </w:t>
      </w:r>
      <w:r w:rsidRPr="00224A8F">
        <w:rPr>
          <w:rFonts w:hint="eastAsia"/>
        </w:rPr>
        <w:t>林鈺雄</w:t>
      </w:r>
      <w:r>
        <w:rPr>
          <w:rFonts w:hint="eastAsia"/>
        </w:rPr>
        <w:t>，新刑法總則，自版，2009年9月，頁28-30。</w:t>
      </w:r>
    </w:p>
  </w:footnote>
  <w:footnote w:id="36">
    <w:p w:rsidR="001E4E19" w:rsidRDefault="001E4E19" w:rsidP="004366DE">
      <w:pPr>
        <w:pStyle w:val="afc"/>
        <w:jc w:val="both"/>
      </w:pPr>
      <w:r>
        <w:rPr>
          <w:rStyle w:val="afe"/>
        </w:rPr>
        <w:footnoteRef/>
      </w:r>
      <w:r>
        <w:t xml:space="preserve"> </w:t>
      </w:r>
      <w:r w:rsidRPr="00224A8F">
        <w:rPr>
          <w:rFonts w:hint="eastAsia"/>
        </w:rPr>
        <w:t>柯鴻章；許華孚</w:t>
      </w:r>
      <w:r>
        <w:rPr>
          <w:rFonts w:hint="eastAsia"/>
        </w:rPr>
        <w:t>，</w:t>
      </w:r>
      <w:r w:rsidRPr="00224A8F">
        <w:rPr>
          <w:rFonts w:hint="eastAsia"/>
        </w:rPr>
        <w:t>電子監控的刑事政策比較</w:t>
      </w:r>
      <w:r>
        <w:rPr>
          <w:rFonts w:hint="eastAsia"/>
        </w:rPr>
        <w:t>，</w:t>
      </w:r>
      <w:r w:rsidRPr="00224A8F">
        <w:rPr>
          <w:rFonts w:hint="eastAsia"/>
        </w:rPr>
        <w:t>刑事法雜誌</w:t>
      </w:r>
      <w:r>
        <w:rPr>
          <w:rFonts w:hint="eastAsia"/>
        </w:rPr>
        <w:t>，</w:t>
      </w:r>
      <w:r w:rsidRPr="00224A8F">
        <w:rPr>
          <w:rFonts w:hint="eastAsia"/>
        </w:rPr>
        <w:t>54卷4期</w:t>
      </w:r>
      <w:r>
        <w:rPr>
          <w:rFonts w:hint="eastAsia"/>
        </w:rPr>
        <w:t>，頁93-144。轉引自</w:t>
      </w:r>
      <w:r w:rsidRPr="00AE3C4D">
        <w:rPr>
          <w:rFonts w:hint="eastAsia"/>
        </w:rPr>
        <w:t>賴亮樺</w:t>
      </w:r>
      <w:r>
        <w:rPr>
          <w:rFonts w:hint="eastAsia"/>
        </w:rPr>
        <w:t>，電子監控的排除、恐懼和自我懲罰之研究-以性犯罪為例，</w:t>
      </w:r>
      <w:r w:rsidRPr="00AE3C4D">
        <w:rPr>
          <w:rFonts w:hint="eastAsia"/>
        </w:rPr>
        <w:t>國立中正大學犯罪防治研究所碩士論文</w:t>
      </w:r>
      <w:r>
        <w:rPr>
          <w:rFonts w:hint="eastAsia"/>
        </w:rPr>
        <w:t>，頁35。</w:t>
      </w:r>
    </w:p>
  </w:footnote>
  <w:footnote w:id="37">
    <w:p w:rsidR="001E4E19" w:rsidRDefault="001E4E19" w:rsidP="005A2340">
      <w:pPr>
        <w:pStyle w:val="afc"/>
      </w:pPr>
      <w:r>
        <w:rPr>
          <w:rStyle w:val="afe"/>
        </w:rPr>
        <w:footnoteRef/>
      </w:r>
      <w:r>
        <w:t xml:space="preserve"> </w:t>
      </w:r>
      <w:r w:rsidRPr="005A2340">
        <w:rPr>
          <w:rFonts w:hint="eastAsia"/>
        </w:rPr>
        <w:t>最高法院103年度第1次刑事庭會議</w:t>
      </w:r>
      <w:r>
        <w:rPr>
          <w:rFonts w:hint="eastAsia"/>
        </w:rPr>
        <w:t>決議：最高法院八十八年七月二十日八十八年度第四次刑事庭會議決議本則決議不合時宜，改採原提案之肯定說。</w:t>
      </w:r>
    </w:p>
    <w:p w:rsidR="001E4E19" w:rsidRDefault="001E4E19" w:rsidP="005A2340">
      <w:pPr>
        <w:pStyle w:val="afc"/>
      </w:pPr>
      <w:r>
        <w:rPr>
          <w:rFonts w:hint="eastAsia"/>
        </w:rPr>
        <w:t>肯定說：（一）二以上徒刑之執行</w:t>
      </w:r>
      <w:r w:rsidRPr="005A2340">
        <w:rPr>
          <w:rFonts w:hint="eastAsia"/>
          <w:strike/>
        </w:rPr>
        <w:t>，除數罪併罰，在所裁定之執行刑尚未全部執行完畢以前，各罪之宣告刑均不發生執行完畢之問題外（四十七年度台抗字第二號判例），似宜</w:t>
      </w:r>
      <w:r w:rsidRPr="00665591">
        <w:rPr>
          <w:rFonts w:hint="eastAsia"/>
          <w:b/>
          <w:u w:val="single"/>
        </w:rPr>
        <w:t>應（按：依據最高法院104年度第7次刑事庭會議決議修正）</w:t>
      </w:r>
      <w:r>
        <w:rPr>
          <w:rFonts w:hint="eastAsia"/>
        </w:rPr>
        <w:t>以核准開始假釋之時間為基準，限於原各得獨立執行之刑，均尚未執行期滿，始有依刑法七十九條之一第一、二項規定，合併計算其最低應執行期間，同時合併計算其假釋後殘餘刑期之必要。倘假釋時，其中甲罪徒刑已執行期滿，則假釋之範圍應僅限於尚殘餘刑期之乙罪徒刑，其效力不及於甲罪徒刑。縱監獄將已執行期滿之甲罪徒刑與尚在執行之乙罪徒刑合併計算其假釋最低執行期間，亦不影響甲罪業已執行完畢之效力。（二）裁判確定後犯數罪，受二以上徒刑之執行，（非屬合併處罰範圍）者，其假釋有關期間如何計算，有兩種不同見解：其一為就各刑分別執行，分別假釋，另一則為依分別執行，合併計算之原則，合併計算假釋有關之期間。為貫徹監獄行刑理論及假釋制度之趣旨，並維護受刑人之利益，自以後者為可取，固為刑法第七十九條之一增訂之立法意旨（錄自立法院公報八十三卷第一四六、一四七頁「刑法假釋規定條文對照表」修正說明（一））。惟上開放寬假釋應具備「最低執行期間」條件之權宜規定，應與累犯之規定，分別觀察與適用。併執行之徒刑，本係得各別獨立執行之刑，對同法第四十七條累犯之規定，尚不得以前開規定另作例外之解釋，倘其中甲罪徒刑已執行期滿，縱因合併計算最低應執行期間而在乙罪徒刑執行中假釋者，於距甲罪徒刑期滿後之假釋期間再犯罪，即與累犯之構成要件相符，仍應以累犯論（本院八十七年度台非字第二十五號、第三七一號、第四一四號判決）。</w:t>
      </w:r>
    </w:p>
  </w:footnote>
  <w:footnote w:id="38">
    <w:p w:rsidR="001E4E19" w:rsidRDefault="001E4E19">
      <w:pPr>
        <w:pStyle w:val="afc"/>
      </w:pPr>
      <w:r>
        <w:rPr>
          <w:rStyle w:val="afe"/>
        </w:rPr>
        <w:footnoteRef/>
      </w:r>
      <w:r>
        <w:t xml:space="preserve"> </w:t>
      </w:r>
      <w:r>
        <w:rPr>
          <w:rFonts w:hint="eastAsia"/>
        </w:rPr>
        <w:t>刑法第50條：「（第1項）</w:t>
      </w:r>
      <w:r w:rsidRPr="003A4DFF">
        <w:rPr>
          <w:rFonts w:hint="eastAsia"/>
        </w:rPr>
        <w:t>裁判確定前犯數罪者，併合處罰之。但有下列情形之一者，不在此限：一、得易科罰金之罪與不得易科罰金之罪。二、得易科罰金之罪與不得易服社會勞動之罪。三、得易服社會勞動之罪與不得易科罰金之罪。四、得易服社會勞動之罪與不得易服社會勞動之罪。</w:t>
      </w:r>
      <w:r>
        <w:rPr>
          <w:rFonts w:hint="eastAsia"/>
        </w:rPr>
        <w:t>（第2項）</w:t>
      </w:r>
      <w:r w:rsidRPr="003A4DFF">
        <w:rPr>
          <w:rFonts w:hint="eastAsia"/>
        </w:rPr>
        <w:t>前項但書情形，受刑人請求檢察官聲請定應執行刑者，依第五十一條規定定之。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0A295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A2904D9"/>
    <w:multiLevelType w:val="hybridMultilevel"/>
    <w:tmpl w:val="D7A214B0"/>
    <w:lvl w:ilvl="0" w:tplc="F31C1AA6">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A266AA60"/>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AEE"/>
    <w:rsid w:val="00002043"/>
    <w:rsid w:val="00006961"/>
    <w:rsid w:val="000112BF"/>
    <w:rsid w:val="00011A53"/>
    <w:rsid w:val="00012233"/>
    <w:rsid w:val="00015F00"/>
    <w:rsid w:val="0001633F"/>
    <w:rsid w:val="00017318"/>
    <w:rsid w:val="000229AD"/>
    <w:rsid w:val="00023ABF"/>
    <w:rsid w:val="000246F7"/>
    <w:rsid w:val="00026274"/>
    <w:rsid w:val="000266D3"/>
    <w:rsid w:val="0003114D"/>
    <w:rsid w:val="000325F8"/>
    <w:rsid w:val="00036D76"/>
    <w:rsid w:val="000400EA"/>
    <w:rsid w:val="00040366"/>
    <w:rsid w:val="00040A60"/>
    <w:rsid w:val="00040F8B"/>
    <w:rsid w:val="00044ADB"/>
    <w:rsid w:val="000452E3"/>
    <w:rsid w:val="00045F99"/>
    <w:rsid w:val="000501E5"/>
    <w:rsid w:val="0005036A"/>
    <w:rsid w:val="00050D05"/>
    <w:rsid w:val="00057F32"/>
    <w:rsid w:val="00060549"/>
    <w:rsid w:val="00062A25"/>
    <w:rsid w:val="00062C03"/>
    <w:rsid w:val="0006386F"/>
    <w:rsid w:val="000643CC"/>
    <w:rsid w:val="000655D9"/>
    <w:rsid w:val="000669E9"/>
    <w:rsid w:val="00066FEA"/>
    <w:rsid w:val="00073CB5"/>
    <w:rsid w:val="0007425C"/>
    <w:rsid w:val="00074E8E"/>
    <w:rsid w:val="00077553"/>
    <w:rsid w:val="00081B5F"/>
    <w:rsid w:val="000851A2"/>
    <w:rsid w:val="00091E34"/>
    <w:rsid w:val="0009352E"/>
    <w:rsid w:val="00093B32"/>
    <w:rsid w:val="00095C77"/>
    <w:rsid w:val="00096B96"/>
    <w:rsid w:val="000A1F71"/>
    <w:rsid w:val="000A2050"/>
    <w:rsid w:val="000A2F3F"/>
    <w:rsid w:val="000A56EB"/>
    <w:rsid w:val="000B0B4A"/>
    <w:rsid w:val="000B17E0"/>
    <w:rsid w:val="000B279A"/>
    <w:rsid w:val="000B61D2"/>
    <w:rsid w:val="000B70A7"/>
    <w:rsid w:val="000B7122"/>
    <w:rsid w:val="000B73DD"/>
    <w:rsid w:val="000B75C3"/>
    <w:rsid w:val="000C0489"/>
    <w:rsid w:val="000C495F"/>
    <w:rsid w:val="000D052C"/>
    <w:rsid w:val="000D1D18"/>
    <w:rsid w:val="000D39DE"/>
    <w:rsid w:val="000D58E1"/>
    <w:rsid w:val="000D5D82"/>
    <w:rsid w:val="000D66D9"/>
    <w:rsid w:val="000E3257"/>
    <w:rsid w:val="000E41BA"/>
    <w:rsid w:val="000E5668"/>
    <w:rsid w:val="000E6431"/>
    <w:rsid w:val="000E6780"/>
    <w:rsid w:val="000F0B18"/>
    <w:rsid w:val="000F21A5"/>
    <w:rsid w:val="000F29D6"/>
    <w:rsid w:val="000F2F2C"/>
    <w:rsid w:val="000F3484"/>
    <w:rsid w:val="000F3E23"/>
    <w:rsid w:val="000F3EBE"/>
    <w:rsid w:val="00102B19"/>
    <w:rsid w:val="00102B9F"/>
    <w:rsid w:val="001068C8"/>
    <w:rsid w:val="00107B8D"/>
    <w:rsid w:val="00112516"/>
    <w:rsid w:val="00112637"/>
    <w:rsid w:val="00112ABC"/>
    <w:rsid w:val="00117EAD"/>
    <w:rsid w:val="0012001E"/>
    <w:rsid w:val="00120FE3"/>
    <w:rsid w:val="00125A76"/>
    <w:rsid w:val="00125ED9"/>
    <w:rsid w:val="001263F7"/>
    <w:rsid w:val="00126816"/>
    <w:rsid w:val="00126A55"/>
    <w:rsid w:val="00133F08"/>
    <w:rsid w:val="001344F1"/>
    <w:rsid w:val="001345C8"/>
    <w:rsid w:val="001345E6"/>
    <w:rsid w:val="001378B0"/>
    <w:rsid w:val="001402A0"/>
    <w:rsid w:val="001404EA"/>
    <w:rsid w:val="00142DA0"/>
    <w:rsid w:val="00142E00"/>
    <w:rsid w:val="0014451C"/>
    <w:rsid w:val="0014643D"/>
    <w:rsid w:val="00146E0F"/>
    <w:rsid w:val="00151EEC"/>
    <w:rsid w:val="00152793"/>
    <w:rsid w:val="001527A0"/>
    <w:rsid w:val="00153B7E"/>
    <w:rsid w:val="001545A9"/>
    <w:rsid w:val="00154658"/>
    <w:rsid w:val="00155378"/>
    <w:rsid w:val="00155A17"/>
    <w:rsid w:val="0015727D"/>
    <w:rsid w:val="001603C2"/>
    <w:rsid w:val="0016165C"/>
    <w:rsid w:val="001637C7"/>
    <w:rsid w:val="00163AC6"/>
    <w:rsid w:val="00163D38"/>
    <w:rsid w:val="0016480E"/>
    <w:rsid w:val="00164B8B"/>
    <w:rsid w:val="0016611E"/>
    <w:rsid w:val="00167518"/>
    <w:rsid w:val="00167AD1"/>
    <w:rsid w:val="00173141"/>
    <w:rsid w:val="00173C8A"/>
    <w:rsid w:val="00174297"/>
    <w:rsid w:val="0017485E"/>
    <w:rsid w:val="00180E06"/>
    <w:rsid w:val="001817B3"/>
    <w:rsid w:val="00183014"/>
    <w:rsid w:val="001830BF"/>
    <w:rsid w:val="00186306"/>
    <w:rsid w:val="00186A5F"/>
    <w:rsid w:val="0019027F"/>
    <w:rsid w:val="00191FE5"/>
    <w:rsid w:val="00193A65"/>
    <w:rsid w:val="00194479"/>
    <w:rsid w:val="001959C2"/>
    <w:rsid w:val="00195BA6"/>
    <w:rsid w:val="00196370"/>
    <w:rsid w:val="00196E48"/>
    <w:rsid w:val="001A315B"/>
    <w:rsid w:val="001A39F5"/>
    <w:rsid w:val="001A3CF6"/>
    <w:rsid w:val="001A3F83"/>
    <w:rsid w:val="001A519E"/>
    <w:rsid w:val="001A51E3"/>
    <w:rsid w:val="001A6890"/>
    <w:rsid w:val="001A7968"/>
    <w:rsid w:val="001B0A86"/>
    <w:rsid w:val="001B2E98"/>
    <w:rsid w:val="001B3483"/>
    <w:rsid w:val="001B3C1E"/>
    <w:rsid w:val="001B3E3B"/>
    <w:rsid w:val="001B4494"/>
    <w:rsid w:val="001B4A4D"/>
    <w:rsid w:val="001B50C5"/>
    <w:rsid w:val="001C06AD"/>
    <w:rsid w:val="001C0D8B"/>
    <w:rsid w:val="001C0DA8"/>
    <w:rsid w:val="001C55A6"/>
    <w:rsid w:val="001C55D2"/>
    <w:rsid w:val="001C55DA"/>
    <w:rsid w:val="001C6B97"/>
    <w:rsid w:val="001D0F35"/>
    <w:rsid w:val="001D4AD7"/>
    <w:rsid w:val="001D6222"/>
    <w:rsid w:val="001E044C"/>
    <w:rsid w:val="001E0D8A"/>
    <w:rsid w:val="001E3303"/>
    <w:rsid w:val="001E4E19"/>
    <w:rsid w:val="001E6336"/>
    <w:rsid w:val="001E67BA"/>
    <w:rsid w:val="001E6EEC"/>
    <w:rsid w:val="001E74C2"/>
    <w:rsid w:val="001F4F82"/>
    <w:rsid w:val="001F5045"/>
    <w:rsid w:val="001F5A48"/>
    <w:rsid w:val="001F6260"/>
    <w:rsid w:val="001F671A"/>
    <w:rsid w:val="001F781F"/>
    <w:rsid w:val="001F7C7E"/>
    <w:rsid w:val="001F7D13"/>
    <w:rsid w:val="00200007"/>
    <w:rsid w:val="0020279A"/>
    <w:rsid w:val="002030A5"/>
    <w:rsid w:val="00203131"/>
    <w:rsid w:val="00206310"/>
    <w:rsid w:val="002070A0"/>
    <w:rsid w:val="00210819"/>
    <w:rsid w:val="00212E88"/>
    <w:rsid w:val="00212F93"/>
    <w:rsid w:val="00213C9C"/>
    <w:rsid w:val="002154A0"/>
    <w:rsid w:val="002173F0"/>
    <w:rsid w:val="0022009E"/>
    <w:rsid w:val="00223241"/>
    <w:rsid w:val="0022351D"/>
    <w:rsid w:val="002241FD"/>
    <w:rsid w:val="0022425C"/>
    <w:rsid w:val="002246DE"/>
    <w:rsid w:val="00224A8F"/>
    <w:rsid w:val="00227197"/>
    <w:rsid w:val="0022727D"/>
    <w:rsid w:val="00233BEC"/>
    <w:rsid w:val="00237EAC"/>
    <w:rsid w:val="002414B9"/>
    <w:rsid w:val="002429E2"/>
    <w:rsid w:val="00243333"/>
    <w:rsid w:val="00243F80"/>
    <w:rsid w:val="002441C7"/>
    <w:rsid w:val="002448A3"/>
    <w:rsid w:val="002526AD"/>
    <w:rsid w:val="00252BC4"/>
    <w:rsid w:val="00254014"/>
    <w:rsid w:val="002540ED"/>
    <w:rsid w:val="0025424A"/>
    <w:rsid w:val="00254B39"/>
    <w:rsid w:val="002613BF"/>
    <w:rsid w:val="00263252"/>
    <w:rsid w:val="0026504D"/>
    <w:rsid w:val="00266ECD"/>
    <w:rsid w:val="00266F85"/>
    <w:rsid w:val="00273A2F"/>
    <w:rsid w:val="00274771"/>
    <w:rsid w:val="0027532B"/>
    <w:rsid w:val="0027596A"/>
    <w:rsid w:val="00277DDC"/>
    <w:rsid w:val="00280986"/>
    <w:rsid w:val="00281ECE"/>
    <w:rsid w:val="0028269B"/>
    <w:rsid w:val="002831C7"/>
    <w:rsid w:val="002840C6"/>
    <w:rsid w:val="00286250"/>
    <w:rsid w:val="002873DE"/>
    <w:rsid w:val="00287DAA"/>
    <w:rsid w:val="00294384"/>
    <w:rsid w:val="002944BC"/>
    <w:rsid w:val="00295174"/>
    <w:rsid w:val="00296172"/>
    <w:rsid w:val="00296B92"/>
    <w:rsid w:val="00297B90"/>
    <w:rsid w:val="002A2C22"/>
    <w:rsid w:val="002A41AE"/>
    <w:rsid w:val="002A58C9"/>
    <w:rsid w:val="002B02EB"/>
    <w:rsid w:val="002B0A1F"/>
    <w:rsid w:val="002B0FB9"/>
    <w:rsid w:val="002B4B95"/>
    <w:rsid w:val="002B5CD5"/>
    <w:rsid w:val="002B5E25"/>
    <w:rsid w:val="002C0602"/>
    <w:rsid w:val="002C13C6"/>
    <w:rsid w:val="002C2D8E"/>
    <w:rsid w:val="002C2F7F"/>
    <w:rsid w:val="002C35B6"/>
    <w:rsid w:val="002D19F3"/>
    <w:rsid w:val="002D2E91"/>
    <w:rsid w:val="002D33E5"/>
    <w:rsid w:val="002D381C"/>
    <w:rsid w:val="002D559D"/>
    <w:rsid w:val="002D5C16"/>
    <w:rsid w:val="002D7D99"/>
    <w:rsid w:val="002E29C9"/>
    <w:rsid w:val="002E598A"/>
    <w:rsid w:val="002E75E8"/>
    <w:rsid w:val="002F2476"/>
    <w:rsid w:val="002F3DFF"/>
    <w:rsid w:val="002F45D9"/>
    <w:rsid w:val="002F52F1"/>
    <w:rsid w:val="002F5DEB"/>
    <w:rsid w:val="002F5E05"/>
    <w:rsid w:val="002F5ECC"/>
    <w:rsid w:val="002F6F54"/>
    <w:rsid w:val="0030516B"/>
    <w:rsid w:val="003053E4"/>
    <w:rsid w:val="00307A76"/>
    <w:rsid w:val="0031087C"/>
    <w:rsid w:val="00311AAC"/>
    <w:rsid w:val="00313A11"/>
    <w:rsid w:val="0031455E"/>
    <w:rsid w:val="00315A16"/>
    <w:rsid w:val="00315B25"/>
    <w:rsid w:val="00317053"/>
    <w:rsid w:val="003200AD"/>
    <w:rsid w:val="0032109C"/>
    <w:rsid w:val="00322445"/>
    <w:rsid w:val="00322B45"/>
    <w:rsid w:val="00323809"/>
    <w:rsid w:val="00323D41"/>
    <w:rsid w:val="0032405D"/>
    <w:rsid w:val="0032408C"/>
    <w:rsid w:val="00325414"/>
    <w:rsid w:val="003302F1"/>
    <w:rsid w:val="00330E25"/>
    <w:rsid w:val="0033321F"/>
    <w:rsid w:val="00334E94"/>
    <w:rsid w:val="00342A9F"/>
    <w:rsid w:val="0034470E"/>
    <w:rsid w:val="00346A48"/>
    <w:rsid w:val="00351938"/>
    <w:rsid w:val="00352DB0"/>
    <w:rsid w:val="003535AF"/>
    <w:rsid w:val="00353D0A"/>
    <w:rsid w:val="00353D68"/>
    <w:rsid w:val="00354D27"/>
    <w:rsid w:val="0035550C"/>
    <w:rsid w:val="00357780"/>
    <w:rsid w:val="00361063"/>
    <w:rsid w:val="0036445C"/>
    <w:rsid w:val="0036551F"/>
    <w:rsid w:val="0036701E"/>
    <w:rsid w:val="0037087B"/>
    <w:rsid w:val="0037094A"/>
    <w:rsid w:val="00371ED3"/>
    <w:rsid w:val="00372659"/>
    <w:rsid w:val="00372FFC"/>
    <w:rsid w:val="0037728A"/>
    <w:rsid w:val="00380B7D"/>
    <w:rsid w:val="003810FB"/>
    <w:rsid w:val="0038125A"/>
    <w:rsid w:val="00381A99"/>
    <w:rsid w:val="003829C2"/>
    <w:rsid w:val="003830B2"/>
    <w:rsid w:val="00383157"/>
    <w:rsid w:val="003833AE"/>
    <w:rsid w:val="00384724"/>
    <w:rsid w:val="00387451"/>
    <w:rsid w:val="003919B7"/>
    <w:rsid w:val="00391D57"/>
    <w:rsid w:val="00392292"/>
    <w:rsid w:val="003924D0"/>
    <w:rsid w:val="00394F45"/>
    <w:rsid w:val="0039720C"/>
    <w:rsid w:val="00397E86"/>
    <w:rsid w:val="003A4DFF"/>
    <w:rsid w:val="003A5464"/>
    <w:rsid w:val="003A5927"/>
    <w:rsid w:val="003B1017"/>
    <w:rsid w:val="003B10F4"/>
    <w:rsid w:val="003B29C9"/>
    <w:rsid w:val="003B3881"/>
    <w:rsid w:val="003B3C07"/>
    <w:rsid w:val="003B6081"/>
    <w:rsid w:val="003B6775"/>
    <w:rsid w:val="003B7217"/>
    <w:rsid w:val="003C1185"/>
    <w:rsid w:val="003C2D6F"/>
    <w:rsid w:val="003C3BF1"/>
    <w:rsid w:val="003C5FE2"/>
    <w:rsid w:val="003D05FB"/>
    <w:rsid w:val="003D1B16"/>
    <w:rsid w:val="003D41B9"/>
    <w:rsid w:val="003D45BF"/>
    <w:rsid w:val="003D473B"/>
    <w:rsid w:val="003D4E18"/>
    <w:rsid w:val="003D508A"/>
    <w:rsid w:val="003D537F"/>
    <w:rsid w:val="003D53AB"/>
    <w:rsid w:val="003D614D"/>
    <w:rsid w:val="003D6C7E"/>
    <w:rsid w:val="003D7B75"/>
    <w:rsid w:val="003E0208"/>
    <w:rsid w:val="003E08C4"/>
    <w:rsid w:val="003E1396"/>
    <w:rsid w:val="003E2C4A"/>
    <w:rsid w:val="003E30D7"/>
    <w:rsid w:val="003E3F67"/>
    <w:rsid w:val="003E4B57"/>
    <w:rsid w:val="003E59E0"/>
    <w:rsid w:val="003E61D0"/>
    <w:rsid w:val="003E694D"/>
    <w:rsid w:val="003E7BBC"/>
    <w:rsid w:val="003E7F59"/>
    <w:rsid w:val="003F27E1"/>
    <w:rsid w:val="003F437A"/>
    <w:rsid w:val="003F582B"/>
    <w:rsid w:val="003F5C2B"/>
    <w:rsid w:val="003F733F"/>
    <w:rsid w:val="00402240"/>
    <w:rsid w:val="004023E9"/>
    <w:rsid w:val="0040454A"/>
    <w:rsid w:val="0041101D"/>
    <w:rsid w:val="00411513"/>
    <w:rsid w:val="00413F83"/>
    <w:rsid w:val="0041490C"/>
    <w:rsid w:val="004151D2"/>
    <w:rsid w:val="00416191"/>
    <w:rsid w:val="004161FB"/>
    <w:rsid w:val="00416721"/>
    <w:rsid w:val="00421EF0"/>
    <w:rsid w:val="004224FA"/>
    <w:rsid w:val="00422B44"/>
    <w:rsid w:val="00423D07"/>
    <w:rsid w:val="00426195"/>
    <w:rsid w:val="00426BB6"/>
    <w:rsid w:val="00426D94"/>
    <w:rsid w:val="00427936"/>
    <w:rsid w:val="00430CF8"/>
    <w:rsid w:val="00435711"/>
    <w:rsid w:val="00435ECC"/>
    <w:rsid w:val="004366DE"/>
    <w:rsid w:val="00443349"/>
    <w:rsid w:val="0044346F"/>
    <w:rsid w:val="004436D1"/>
    <w:rsid w:val="00450828"/>
    <w:rsid w:val="00453FF6"/>
    <w:rsid w:val="0045512B"/>
    <w:rsid w:val="00455EB4"/>
    <w:rsid w:val="00457577"/>
    <w:rsid w:val="00461BED"/>
    <w:rsid w:val="004641F7"/>
    <w:rsid w:val="0046520A"/>
    <w:rsid w:val="00466E7F"/>
    <w:rsid w:val="004672AB"/>
    <w:rsid w:val="004714FE"/>
    <w:rsid w:val="004738EE"/>
    <w:rsid w:val="0047403E"/>
    <w:rsid w:val="00474153"/>
    <w:rsid w:val="0047624F"/>
    <w:rsid w:val="00477BAA"/>
    <w:rsid w:val="0048122E"/>
    <w:rsid w:val="00481C13"/>
    <w:rsid w:val="00483DB6"/>
    <w:rsid w:val="00484EE0"/>
    <w:rsid w:val="004860DE"/>
    <w:rsid w:val="00491AF4"/>
    <w:rsid w:val="00491B9E"/>
    <w:rsid w:val="00491D9F"/>
    <w:rsid w:val="00492E78"/>
    <w:rsid w:val="00493119"/>
    <w:rsid w:val="00493618"/>
    <w:rsid w:val="00495053"/>
    <w:rsid w:val="004A1F59"/>
    <w:rsid w:val="004A219E"/>
    <w:rsid w:val="004A28A9"/>
    <w:rsid w:val="004A29BE"/>
    <w:rsid w:val="004A3225"/>
    <w:rsid w:val="004A33EE"/>
    <w:rsid w:val="004A3AA8"/>
    <w:rsid w:val="004A5BEA"/>
    <w:rsid w:val="004A6BFB"/>
    <w:rsid w:val="004B13C7"/>
    <w:rsid w:val="004B286E"/>
    <w:rsid w:val="004B3CC4"/>
    <w:rsid w:val="004B778F"/>
    <w:rsid w:val="004B7C2C"/>
    <w:rsid w:val="004C0609"/>
    <w:rsid w:val="004C14F1"/>
    <w:rsid w:val="004C639F"/>
    <w:rsid w:val="004D005B"/>
    <w:rsid w:val="004D141F"/>
    <w:rsid w:val="004D20AA"/>
    <w:rsid w:val="004D2742"/>
    <w:rsid w:val="004D2FF2"/>
    <w:rsid w:val="004D49BA"/>
    <w:rsid w:val="004D4A36"/>
    <w:rsid w:val="004D4B57"/>
    <w:rsid w:val="004D56E0"/>
    <w:rsid w:val="004D6310"/>
    <w:rsid w:val="004E0062"/>
    <w:rsid w:val="004E00AA"/>
    <w:rsid w:val="004E05A1"/>
    <w:rsid w:val="004E1628"/>
    <w:rsid w:val="004E47E2"/>
    <w:rsid w:val="004E5A17"/>
    <w:rsid w:val="004F1A4D"/>
    <w:rsid w:val="004F472A"/>
    <w:rsid w:val="004F5E57"/>
    <w:rsid w:val="004F6710"/>
    <w:rsid w:val="004F6D08"/>
    <w:rsid w:val="00500C3E"/>
    <w:rsid w:val="00502849"/>
    <w:rsid w:val="00504334"/>
    <w:rsid w:val="0050498D"/>
    <w:rsid w:val="00505B8E"/>
    <w:rsid w:val="00505EBE"/>
    <w:rsid w:val="00507BF2"/>
    <w:rsid w:val="005104D7"/>
    <w:rsid w:val="00510B9E"/>
    <w:rsid w:val="005158C6"/>
    <w:rsid w:val="005163C0"/>
    <w:rsid w:val="00516662"/>
    <w:rsid w:val="00517E0F"/>
    <w:rsid w:val="005217F7"/>
    <w:rsid w:val="00522AF5"/>
    <w:rsid w:val="0052409F"/>
    <w:rsid w:val="00524D89"/>
    <w:rsid w:val="005255E8"/>
    <w:rsid w:val="005346AA"/>
    <w:rsid w:val="0053557B"/>
    <w:rsid w:val="00536BC2"/>
    <w:rsid w:val="0053764C"/>
    <w:rsid w:val="005424E6"/>
    <w:rsid w:val="005425E1"/>
    <w:rsid w:val="005427C5"/>
    <w:rsid w:val="00542CF6"/>
    <w:rsid w:val="00543554"/>
    <w:rsid w:val="005466EE"/>
    <w:rsid w:val="00551947"/>
    <w:rsid w:val="00552DF6"/>
    <w:rsid w:val="00552F32"/>
    <w:rsid w:val="00553C03"/>
    <w:rsid w:val="00554337"/>
    <w:rsid w:val="00554E9C"/>
    <w:rsid w:val="005558A0"/>
    <w:rsid w:val="00556091"/>
    <w:rsid w:val="005607A3"/>
    <w:rsid w:val="00560DDA"/>
    <w:rsid w:val="00561CA3"/>
    <w:rsid w:val="005627F5"/>
    <w:rsid w:val="00563692"/>
    <w:rsid w:val="005642AC"/>
    <w:rsid w:val="00565C73"/>
    <w:rsid w:val="00565D77"/>
    <w:rsid w:val="00566846"/>
    <w:rsid w:val="0056714F"/>
    <w:rsid w:val="00571679"/>
    <w:rsid w:val="00575402"/>
    <w:rsid w:val="0057598C"/>
    <w:rsid w:val="00575D8B"/>
    <w:rsid w:val="00584235"/>
    <w:rsid w:val="005844E7"/>
    <w:rsid w:val="00584C99"/>
    <w:rsid w:val="00584D76"/>
    <w:rsid w:val="0058608B"/>
    <w:rsid w:val="00587193"/>
    <w:rsid w:val="005908B8"/>
    <w:rsid w:val="00590F63"/>
    <w:rsid w:val="00593434"/>
    <w:rsid w:val="0059512E"/>
    <w:rsid w:val="00596646"/>
    <w:rsid w:val="00596D2D"/>
    <w:rsid w:val="00597200"/>
    <w:rsid w:val="005A09CC"/>
    <w:rsid w:val="005A2340"/>
    <w:rsid w:val="005A261E"/>
    <w:rsid w:val="005A6DD2"/>
    <w:rsid w:val="005B206A"/>
    <w:rsid w:val="005B399B"/>
    <w:rsid w:val="005B3AEE"/>
    <w:rsid w:val="005B4448"/>
    <w:rsid w:val="005B4C84"/>
    <w:rsid w:val="005B5927"/>
    <w:rsid w:val="005B774B"/>
    <w:rsid w:val="005C1636"/>
    <w:rsid w:val="005C1DDD"/>
    <w:rsid w:val="005C32EE"/>
    <w:rsid w:val="005C369A"/>
    <w:rsid w:val="005C385D"/>
    <w:rsid w:val="005C3EBE"/>
    <w:rsid w:val="005C3F5B"/>
    <w:rsid w:val="005C60A9"/>
    <w:rsid w:val="005D3B20"/>
    <w:rsid w:val="005D562A"/>
    <w:rsid w:val="005D61B4"/>
    <w:rsid w:val="005D71B7"/>
    <w:rsid w:val="005D7786"/>
    <w:rsid w:val="005E0316"/>
    <w:rsid w:val="005E08CD"/>
    <w:rsid w:val="005E2909"/>
    <w:rsid w:val="005E2EDD"/>
    <w:rsid w:val="005E42E9"/>
    <w:rsid w:val="005E4759"/>
    <w:rsid w:val="005E4B3B"/>
    <w:rsid w:val="005E58C6"/>
    <w:rsid w:val="005E5C68"/>
    <w:rsid w:val="005E65C0"/>
    <w:rsid w:val="005F0390"/>
    <w:rsid w:val="005F3B2D"/>
    <w:rsid w:val="005F3DA4"/>
    <w:rsid w:val="005F514D"/>
    <w:rsid w:val="005F52C9"/>
    <w:rsid w:val="00603EA4"/>
    <w:rsid w:val="00605DCC"/>
    <w:rsid w:val="006072CD"/>
    <w:rsid w:val="00612023"/>
    <w:rsid w:val="0061285A"/>
    <w:rsid w:val="00614190"/>
    <w:rsid w:val="006142BF"/>
    <w:rsid w:val="006154EA"/>
    <w:rsid w:val="006157A7"/>
    <w:rsid w:val="00622A99"/>
    <w:rsid w:val="00622B89"/>
    <w:rsid w:val="00622E25"/>
    <w:rsid w:val="00622E67"/>
    <w:rsid w:val="006263C2"/>
    <w:rsid w:val="006263CF"/>
    <w:rsid w:val="00626AA3"/>
    <w:rsid w:val="00626B57"/>
    <w:rsid w:val="00626EDC"/>
    <w:rsid w:val="00627253"/>
    <w:rsid w:val="00627D48"/>
    <w:rsid w:val="00631578"/>
    <w:rsid w:val="00631C3D"/>
    <w:rsid w:val="006438A9"/>
    <w:rsid w:val="00644925"/>
    <w:rsid w:val="006452D3"/>
    <w:rsid w:val="006470EC"/>
    <w:rsid w:val="00650FF4"/>
    <w:rsid w:val="006542D6"/>
    <w:rsid w:val="0065598E"/>
    <w:rsid w:val="00655AF2"/>
    <w:rsid w:val="00655BC5"/>
    <w:rsid w:val="006568BE"/>
    <w:rsid w:val="0066025D"/>
    <w:rsid w:val="0066091A"/>
    <w:rsid w:val="00661F6B"/>
    <w:rsid w:val="00662025"/>
    <w:rsid w:val="00662593"/>
    <w:rsid w:val="00663657"/>
    <w:rsid w:val="00665591"/>
    <w:rsid w:val="00671442"/>
    <w:rsid w:val="00671EC0"/>
    <w:rsid w:val="006747AB"/>
    <w:rsid w:val="006773EC"/>
    <w:rsid w:val="00680504"/>
    <w:rsid w:val="00680669"/>
    <w:rsid w:val="006813CB"/>
    <w:rsid w:val="00681C9A"/>
    <w:rsid w:val="00681CD9"/>
    <w:rsid w:val="006837F7"/>
    <w:rsid w:val="00683E30"/>
    <w:rsid w:val="00685781"/>
    <w:rsid w:val="006857DD"/>
    <w:rsid w:val="00687024"/>
    <w:rsid w:val="00690601"/>
    <w:rsid w:val="00691400"/>
    <w:rsid w:val="006919DA"/>
    <w:rsid w:val="0069275A"/>
    <w:rsid w:val="00693ADF"/>
    <w:rsid w:val="00695E22"/>
    <w:rsid w:val="00697861"/>
    <w:rsid w:val="006A20B9"/>
    <w:rsid w:val="006A5668"/>
    <w:rsid w:val="006B2E0B"/>
    <w:rsid w:val="006B7093"/>
    <w:rsid w:val="006B7417"/>
    <w:rsid w:val="006C0101"/>
    <w:rsid w:val="006C0D79"/>
    <w:rsid w:val="006C39CA"/>
    <w:rsid w:val="006C4204"/>
    <w:rsid w:val="006C5487"/>
    <w:rsid w:val="006C685C"/>
    <w:rsid w:val="006C7DFC"/>
    <w:rsid w:val="006D085C"/>
    <w:rsid w:val="006D285F"/>
    <w:rsid w:val="006D31F9"/>
    <w:rsid w:val="006D3691"/>
    <w:rsid w:val="006D537C"/>
    <w:rsid w:val="006D6637"/>
    <w:rsid w:val="006E1941"/>
    <w:rsid w:val="006E269D"/>
    <w:rsid w:val="006E31B2"/>
    <w:rsid w:val="006E5EF0"/>
    <w:rsid w:val="006E67D3"/>
    <w:rsid w:val="006E739F"/>
    <w:rsid w:val="006F3563"/>
    <w:rsid w:val="006F3D3E"/>
    <w:rsid w:val="006F42B9"/>
    <w:rsid w:val="006F60BD"/>
    <w:rsid w:val="006F6103"/>
    <w:rsid w:val="0070449C"/>
    <w:rsid w:val="00704E00"/>
    <w:rsid w:val="0070671B"/>
    <w:rsid w:val="0071168A"/>
    <w:rsid w:val="00717DA6"/>
    <w:rsid w:val="007209E7"/>
    <w:rsid w:val="007235F6"/>
    <w:rsid w:val="00723E44"/>
    <w:rsid w:val="00726182"/>
    <w:rsid w:val="007275FA"/>
    <w:rsid w:val="00727635"/>
    <w:rsid w:val="00730587"/>
    <w:rsid w:val="00732329"/>
    <w:rsid w:val="00732755"/>
    <w:rsid w:val="007337CA"/>
    <w:rsid w:val="00734CE4"/>
    <w:rsid w:val="00735123"/>
    <w:rsid w:val="00735FEB"/>
    <w:rsid w:val="00741837"/>
    <w:rsid w:val="0074418D"/>
    <w:rsid w:val="007453E6"/>
    <w:rsid w:val="00746EAF"/>
    <w:rsid w:val="007508F1"/>
    <w:rsid w:val="007603B8"/>
    <w:rsid w:val="007606E8"/>
    <w:rsid w:val="007606EE"/>
    <w:rsid w:val="007619F5"/>
    <w:rsid w:val="007623DC"/>
    <w:rsid w:val="00762453"/>
    <w:rsid w:val="007633AB"/>
    <w:rsid w:val="00767EEE"/>
    <w:rsid w:val="00770453"/>
    <w:rsid w:val="0077309D"/>
    <w:rsid w:val="0077310E"/>
    <w:rsid w:val="00774297"/>
    <w:rsid w:val="00774470"/>
    <w:rsid w:val="007768CC"/>
    <w:rsid w:val="00776A15"/>
    <w:rsid w:val="007774EE"/>
    <w:rsid w:val="00777B43"/>
    <w:rsid w:val="00780831"/>
    <w:rsid w:val="00780F2E"/>
    <w:rsid w:val="00781822"/>
    <w:rsid w:val="00782107"/>
    <w:rsid w:val="00783E7C"/>
    <w:rsid w:val="00783F21"/>
    <w:rsid w:val="007842AE"/>
    <w:rsid w:val="00784CE9"/>
    <w:rsid w:val="00785196"/>
    <w:rsid w:val="00786E66"/>
    <w:rsid w:val="00787159"/>
    <w:rsid w:val="0079043A"/>
    <w:rsid w:val="00790498"/>
    <w:rsid w:val="0079093C"/>
    <w:rsid w:val="00791668"/>
    <w:rsid w:val="00791AA1"/>
    <w:rsid w:val="00795501"/>
    <w:rsid w:val="00795F1A"/>
    <w:rsid w:val="007A0CA8"/>
    <w:rsid w:val="007A21E2"/>
    <w:rsid w:val="007A289E"/>
    <w:rsid w:val="007A3793"/>
    <w:rsid w:val="007A419C"/>
    <w:rsid w:val="007A5763"/>
    <w:rsid w:val="007A62E8"/>
    <w:rsid w:val="007B19F4"/>
    <w:rsid w:val="007B391E"/>
    <w:rsid w:val="007B41A0"/>
    <w:rsid w:val="007B4CAD"/>
    <w:rsid w:val="007B6F94"/>
    <w:rsid w:val="007B7447"/>
    <w:rsid w:val="007B757B"/>
    <w:rsid w:val="007C1BA2"/>
    <w:rsid w:val="007C2B48"/>
    <w:rsid w:val="007C2D7E"/>
    <w:rsid w:val="007C3ED6"/>
    <w:rsid w:val="007C3F51"/>
    <w:rsid w:val="007C43B5"/>
    <w:rsid w:val="007C7822"/>
    <w:rsid w:val="007C7C43"/>
    <w:rsid w:val="007D20E9"/>
    <w:rsid w:val="007D7881"/>
    <w:rsid w:val="007D7CF6"/>
    <w:rsid w:val="007D7E3A"/>
    <w:rsid w:val="007E0D3E"/>
    <w:rsid w:val="007E0E10"/>
    <w:rsid w:val="007E4262"/>
    <w:rsid w:val="007E4768"/>
    <w:rsid w:val="007E5CE1"/>
    <w:rsid w:val="007E777B"/>
    <w:rsid w:val="007F001C"/>
    <w:rsid w:val="007F1E7F"/>
    <w:rsid w:val="007F2070"/>
    <w:rsid w:val="007F2374"/>
    <w:rsid w:val="007F26D8"/>
    <w:rsid w:val="007F6366"/>
    <w:rsid w:val="007F63C1"/>
    <w:rsid w:val="007F7B3F"/>
    <w:rsid w:val="007F7CE4"/>
    <w:rsid w:val="0080198C"/>
    <w:rsid w:val="008053F5"/>
    <w:rsid w:val="00807AF7"/>
    <w:rsid w:val="00810198"/>
    <w:rsid w:val="00815B3F"/>
    <w:rsid w:val="00815DA8"/>
    <w:rsid w:val="00816F9F"/>
    <w:rsid w:val="008177E7"/>
    <w:rsid w:val="008202F2"/>
    <w:rsid w:val="008208E5"/>
    <w:rsid w:val="0082194D"/>
    <w:rsid w:val="00821E92"/>
    <w:rsid w:val="008221F9"/>
    <w:rsid w:val="00822845"/>
    <w:rsid w:val="00826EF5"/>
    <w:rsid w:val="008276F7"/>
    <w:rsid w:val="008307AF"/>
    <w:rsid w:val="0083101E"/>
    <w:rsid w:val="00831693"/>
    <w:rsid w:val="00832185"/>
    <w:rsid w:val="0083358A"/>
    <w:rsid w:val="008343FC"/>
    <w:rsid w:val="00835699"/>
    <w:rsid w:val="0083726D"/>
    <w:rsid w:val="00840104"/>
    <w:rsid w:val="00840C1F"/>
    <w:rsid w:val="008411C9"/>
    <w:rsid w:val="00841933"/>
    <w:rsid w:val="00841FC5"/>
    <w:rsid w:val="0084265A"/>
    <w:rsid w:val="00843D0F"/>
    <w:rsid w:val="00844C8D"/>
    <w:rsid w:val="00845709"/>
    <w:rsid w:val="008467D2"/>
    <w:rsid w:val="00850027"/>
    <w:rsid w:val="00852097"/>
    <w:rsid w:val="008537A9"/>
    <w:rsid w:val="008576BD"/>
    <w:rsid w:val="00860463"/>
    <w:rsid w:val="00860E60"/>
    <w:rsid w:val="008733DA"/>
    <w:rsid w:val="00873C37"/>
    <w:rsid w:val="008756C9"/>
    <w:rsid w:val="00875E04"/>
    <w:rsid w:val="00876D43"/>
    <w:rsid w:val="00876EE0"/>
    <w:rsid w:val="008831C6"/>
    <w:rsid w:val="008844E9"/>
    <w:rsid w:val="00885045"/>
    <w:rsid w:val="008850E4"/>
    <w:rsid w:val="008903C0"/>
    <w:rsid w:val="0089291A"/>
    <w:rsid w:val="008939AB"/>
    <w:rsid w:val="00895979"/>
    <w:rsid w:val="008963AD"/>
    <w:rsid w:val="00896E6E"/>
    <w:rsid w:val="008A12F5"/>
    <w:rsid w:val="008A5FD8"/>
    <w:rsid w:val="008A7251"/>
    <w:rsid w:val="008A740F"/>
    <w:rsid w:val="008A7C32"/>
    <w:rsid w:val="008B040E"/>
    <w:rsid w:val="008B1587"/>
    <w:rsid w:val="008B15AB"/>
    <w:rsid w:val="008B18F4"/>
    <w:rsid w:val="008B1B01"/>
    <w:rsid w:val="008B2858"/>
    <w:rsid w:val="008B3BCD"/>
    <w:rsid w:val="008B3F36"/>
    <w:rsid w:val="008B446F"/>
    <w:rsid w:val="008B6DF8"/>
    <w:rsid w:val="008C013F"/>
    <w:rsid w:val="008C0C73"/>
    <w:rsid w:val="008C0D14"/>
    <w:rsid w:val="008C106C"/>
    <w:rsid w:val="008C10F1"/>
    <w:rsid w:val="008C1926"/>
    <w:rsid w:val="008C1E99"/>
    <w:rsid w:val="008C4AC6"/>
    <w:rsid w:val="008C74A8"/>
    <w:rsid w:val="008C74F8"/>
    <w:rsid w:val="008D13B9"/>
    <w:rsid w:val="008D1C9D"/>
    <w:rsid w:val="008D2275"/>
    <w:rsid w:val="008D305A"/>
    <w:rsid w:val="008D457B"/>
    <w:rsid w:val="008D78D6"/>
    <w:rsid w:val="008E0085"/>
    <w:rsid w:val="008E2AA6"/>
    <w:rsid w:val="008E311B"/>
    <w:rsid w:val="008E4129"/>
    <w:rsid w:val="008E5972"/>
    <w:rsid w:val="008E68F7"/>
    <w:rsid w:val="008E78A3"/>
    <w:rsid w:val="008F46E7"/>
    <w:rsid w:val="008F64CA"/>
    <w:rsid w:val="008F6F0B"/>
    <w:rsid w:val="008F7687"/>
    <w:rsid w:val="008F7E4B"/>
    <w:rsid w:val="009005B6"/>
    <w:rsid w:val="009014F4"/>
    <w:rsid w:val="0090165F"/>
    <w:rsid w:val="00905E1E"/>
    <w:rsid w:val="00907A2F"/>
    <w:rsid w:val="00907BA7"/>
    <w:rsid w:val="0091064E"/>
    <w:rsid w:val="00911747"/>
    <w:rsid w:val="00911FC5"/>
    <w:rsid w:val="00917F94"/>
    <w:rsid w:val="009262DD"/>
    <w:rsid w:val="00927056"/>
    <w:rsid w:val="009270BD"/>
    <w:rsid w:val="009312E4"/>
    <w:rsid w:val="0093136D"/>
    <w:rsid w:val="00931A10"/>
    <w:rsid w:val="00931EB5"/>
    <w:rsid w:val="00932BE5"/>
    <w:rsid w:val="009354A8"/>
    <w:rsid w:val="00944243"/>
    <w:rsid w:val="00947967"/>
    <w:rsid w:val="00950EA1"/>
    <w:rsid w:val="00951C58"/>
    <w:rsid w:val="00955201"/>
    <w:rsid w:val="00955416"/>
    <w:rsid w:val="009560FF"/>
    <w:rsid w:val="009567EF"/>
    <w:rsid w:val="00956A0D"/>
    <w:rsid w:val="00957B4F"/>
    <w:rsid w:val="00957F47"/>
    <w:rsid w:val="00961B8C"/>
    <w:rsid w:val="00963943"/>
    <w:rsid w:val="0096444D"/>
    <w:rsid w:val="00965200"/>
    <w:rsid w:val="009668B3"/>
    <w:rsid w:val="00971471"/>
    <w:rsid w:val="00971A01"/>
    <w:rsid w:val="00974A18"/>
    <w:rsid w:val="00976584"/>
    <w:rsid w:val="00977236"/>
    <w:rsid w:val="009849C2"/>
    <w:rsid w:val="00984B64"/>
    <w:rsid w:val="00984D24"/>
    <w:rsid w:val="009858EB"/>
    <w:rsid w:val="009923F3"/>
    <w:rsid w:val="009950E9"/>
    <w:rsid w:val="00997379"/>
    <w:rsid w:val="00997597"/>
    <w:rsid w:val="009A3F47"/>
    <w:rsid w:val="009A7AB3"/>
    <w:rsid w:val="009B0046"/>
    <w:rsid w:val="009B1315"/>
    <w:rsid w:val="009B33FA"/>
    <w:rsid w:val="009B47DB"/>
    <w:rsid w:val="009B5E2E"/>
    <w:rsid w:val="009B76C8"/>
    <w:rsid w:val="009C096C"/>
    <w:rsid w:val="009C1440"/>
    <w:rsid w:val="009C1F78"/>
    <w:rsid w:val="009C2107"/>
    <w:rsid w:val="009C339B"/>
    <w:rsid w:val="009C4083"/>
    <w:rsid w:val="009C48AF"/>
    <w:rsid w:val="009C5D9E"/>
    <w:rsid w:val="009C7364"/>
    <w:rsid w:val="009D2BD4"/>
    <w:rsid w:val="009D2C3E"/>
    <w:rsid w:val="009D389F"/>
    <w:rsid w:val="009D5FE9"/>
    <w:rsid w:val="009E0625"/>
    <w:rsid w:val="009E3034"/>
    <w:rsid w:val="009E4968"/>
    <w:rsid w:val="009E549F"/>
    <w:rsid w:val="009E6C39"/>
    <w:rsid w:val="009F28A8"/>
    <w:rsid w:val="009F473E"/>
    <w:rsid w:val="009F5247"/>
    <w:rsid w:val="009F62F8"/>
    <w:rsid w:val="009F682A"/>
    <w:rsid w:val="00A022BE"/>
    <w:rsid w:val="00A047BB"/>
    <w:rsid w:val="00A049A8"/>
    <w:rsid w:val="00A04FFB"/>
    <w:rsid w:val="00A06E26"/>
    <w:rsid w:val="00A0720C"/>
    <w:rsid w:val="00A07B4B"/>
    <w:rsid w:val="00A10068"/>
    <w:rsid w:val="00A106B0"/>
    <w:rsid w:val="00A1206C"/>
    <w:rsid w:val="00A24C95"/>
    <w:rsid w:val="00A2599A"/>
    <w:rsid w:val="00A26094"/>
    <w:rsid w:val="00A301BF"/>
    <w:rsid w:val="00A302B2"/>
    <w:rsid w:val="00A312B6"/>
    <w:rsid w:val="00A331B4"/>
    <w:rsid w:val="00A3484E"/>
    <w:rsid w:val="00A356D3"/>
    <w:rsid w:val="00A360D0"/>
    <w:rsid w:val="00A36ADA"/>
    <w:rsid w:val="00A37C4D"/>
    <w:rsid w:val="00A438D8"/>
    <w:rsid w:val="00A45028"/>
    <w:rsid w:val="00A473F5"/>
    <w:rsid w:val="00A51F9D"/>
    <w:rsid w:val="00A54159"/>
    <w:rsid w:val="00A5416A"/>
    <w:rsid w:val="00A56F4D"/>
    <w:rsid w:val="00A571CA"/>
    <w:rsid w:val="00A61DD1"/>
    <w:rsid w:val="00A639F4"/>
    <w:rsid w:val="00A65864"/>
    <w:rsid w:val="00A65FAE"/>
    <w:rsid w:val="00A66B55"/>
    <w:rsid w:val="00A700F7"/>
    <w:rsid w:val="00A80290"/>
    <w:rsid w:val="00A810D8"/>
    <w:rsid w:val="00A81A32"/>
    <w:rsid w:val="00A81C0E"/>
    <w:rsid w:val="00A835BD"/>
    <w:rsid w:val="00A939C1"/>
    <w:rsid w:val="00A94BE0"/>
    <w:rsid w:val="00A962CC"/>
    <w:rsid w:val="00A97B15"/>
    <w:rsid w:val="00AA03E4"/>
    <w:rsid w:val="00AA15F9"/>
    <w:rsid w:val="00AA2408"/>
    <w:rsid w:val="00AA2655"/>
    <w:rsid w:val="00AA42D5"/>
    <w:rsid w:val="00AA51B7"/>
    <w:rsid w:val="00AA6CF9"/>
    <w:rsid w:val="00AB11EB"/>
    <w:rsid w:val="00AB1B16"/>
    <w:rsid w:val="00AB2FAB"/>
    <w:rsid w:val="00AB5C14"/>
    <w:rsid w:val="00AB6F62"/>
    <w:rsid w:val="00AB7A84"/>
    <w:rsid w:val="00AC0B70"/>
    <w:rsid w:val="00AC1EE7"/>
    <w:rsid w:val="00AC333F"/>
    <w:rsid w:val="00AC585C"/>
    <w:rsid w:val="00AC5A6F"/>
    <w:rsid w:val="00AD0FEC"/>
    <w:rsid w:val="00AD1272"/>
    <w:rsid w:val="00AD1925"/>
    <w:rsid w:val="00AD206F"/>
    <w:rsid w:val="00AD2EE6"/>
    <w:rsid w:val="00AD76D6"/>
    <w:rsid w:val="00AE0038"/>
    <w:rsid w:val="00AE067D"/>
    <w:rsid w:val="00AE0D9C"/>
    <w:rsid w:val="00AE1CFE"/>
    <w:rsid w:val="00AE1D3E"/>
    <w:rsid w:val="00AE3C4D"/>
    <w:rsid w:val="00AE40E9"/>
    <w:rsid w:val="00AE4B66"/>
    <w:rsid w:val="00AE55F1"/>
    <w:rsid w:val="00AF1181"/>
    <w:rsid w:val="00AF2379"/>
    <w:rsid w:val="00AF2F79"/>
    <w:rsid w:val="00AF3CB8"/>
    <w:rsid w:val="00AF4412"/>
    <w:rsid w:val="00AF4653"/>
    <w:rsid w:val="00AF55F7"/>
    <w:rsid w:val="00AF58D7"/>
    <w:rsid w:val="00AF5EAD"/>
    <w:rsid w:val="00AF7DB7"/>
    <w:rsid w:val="00B002A1"/>
    <w:rsid w:val="00B00FC7"/>
    <w:rsid w:val="00B037D7"/>
    <w:rsid w:val="00B066D1"/>
    <w:rsid w:val="00B0708C"/>
    <w:rsid w:val="00B079AD"/>
    <w:rsid w:val="00B10D02"/>
    <w:rsid w:val="00B20114"/>
    <w:rsid w:val="00B201E2"/>
    <w:rsid w:val="00B227E0"/>
    <w:rsid w:val="00B23C47"/>
    <w:rsid w:val="00B26B50"/>
    <w:rsid w:val="00B26D64"/>
    <w:rsid w:val="00B31550"/>
    <w:rsid w:val="00B320B2"/>
    <w:rsid w:val="00B32D54"/>
    <w:rsid w:val="00B336DD"/>
    <w:rsid w:val="00B41A61"/>
    <w:rsid w:val="00B443E4"/>
    <w:rsid w:val="00B4467F"/>
    <w:rsid w:val="00B4536A"/>
    <w:rsid w:val="00B513F8"/>
    <w:rsid w:val="00B5484D"/>
    <w:rsid w:val="00B556BA"/>
    <w:rsid w:val="00B5594B"/>
    <w:rsid w:val="00B563EA"/>
    <w:rsid w:val="00B56CDF"/>
    <w:rsid w:val="00B56FB1"/>
    <w:rsid w:val="00B575D5"/>
    <w:rsid w:val="00B603C1"/>
    <w:rsid w:val="00B60E51"/>
    <w:rsid w:val="00B61119"/>
    <w:rsid w:val="00B63A54"/>
    <w:rsid w:val="00B63F06"/>
    <w:rsid w:val="00B65E27"/>
    <w:rsid w:val="00B6760A"/>
    <w:rsid w:val="00B71133"/>
    <w:rsid w:val="00B7296F"/>
    <w:rsid w:val="00B77D18"/>
    <w:rsid w:val="00B80F2F"/>
    <w:rsid w:val="00B81419"/>
    <w:rsid w:val="00B8281B"/>
    <w:rsid w:val="00B8313A"/>
    <w:rsid w:val="00B8696C"/>
    <w:rsid w:val="00B87CEB"/>
    <w:rsid w:val="00B92DC5"/>
    <w:rsid w:val="00B93503"/>
    <w:rsid w:val="00B9506F"/>
    <w:rsid w:val="00BA13B8"/>
    <w:rsid w:val="00BA199B"/>
    <w:rsid w:val="00BA2D3E"/>
    <w:rsid w:val="00BA31E8"/>
    <w:rsid w:val="00BA322B"/>
    <w:rsid w:val="00BA55E0"/>
    <w:rsid w:val="00BA6BD4"/>
    <w:rsid w:val="00BA6C7A"/>
    <w:rsid w:val="00BA7C2C"/>
    <w:rsid w:val="00BB0BC3"/>
    <w:rsid w:val="00BB17D1"/>
    <w:rsid w:val="00BB1A86"/>
    <w:rsid w:val="00BB2171"/>
    <w:rsid w:val="00BB3752"/>
    <w:rsid w:val="00BB3AEF"/>
    <w:rsid w:val="00BB6688"/>
    <w:rsid w:val="00BC0D23"/>
    <w:rsid w:val="00BC16C5"/>
    <w:rsid w:val="00BC26D4"/>
    <w:rsid w:val="00BC35B4"/>
    <w:rsid w:val="00BC420E"/>
    <w:rsid w:val="00BC4446"/>
    <w:rsid w:val="00BD055C"/>
    <w:rsid w:val="00BD0F2D"/>
    <w:rsid w:val="00BD78E6"/>
    <w:rsid w:val="00BD7ACB"/>
    <w:rsid w:val="00BE0C80"/>
    <w:rsid w:val="00BE2D65"/>
    <w:rsid w:val="00BE361C"/>
    <w:rsid w:val="00BF2A42"/>
    <w:rsid w:val="00BF3771"/>
    <w:rsid w:val="00C022A9"/>
    <w:rsid w:val="00C03D8C"/>
    <w:rsid w:val="00C04D6E"/>
    <w:rsid w:val="00C055EC"/>
    <w:rsid w:val="00C0711D"/>
    <w:rsid w:val="00C07AF9"/>
    <w:rsid w:val="00C10DC9"/>
    <w:rsid w:val="00C11FF5"/>
    <w:rsid w:val="00C12173"/>
    <w:rsid w:val="00C12FB3"/>
    <w:rsid w:val="00C13AB5"/>
    <w:rsid w:val="00C152BF"/>
    <w:rsid w:val="00C16273"/>
    <w:rsid w:val="00C17341"/>
    <w:rsid w:val="00C21D83"/>
    <w:rsid w:val="00C2204D"/>
    <w:rsid w:val="00C224A5"/>
    <w:rsid w:val="00C22500"/>
    <w:rsid w:val="00C24EEF"/>
    <w:rsid w:val="00C25CF6"/>
    <w:rsid w:val="00C26C36"/>
    <w:rsid w:val="00C2787C"/>
    <w:rsid w:val="00C32768"/>
    <w:rsid w:val="00C35EF2"/>
    <w:rsid w:val="00C35F44"/>
    <w:rsid w:val="00C40969"/>
    <w:rsid w:val="00C40973"/>
    <w:rsid w:val="00C41671"/>
    <w:rsid w:val="00C422C0"/>
    <w:rsid w:val="00C431DF"/>
    <w:rsid w:val="00C435A8"/>
    <w:rsid w:val="00C43FD2"/>
    <w:rsid w:val="00C456BD"/>
    <w:rsid w:val="00C460B3"/>
    <w:rsid w:val="00C472A0"/>
    <w:rsid w:val="00C530DC"/>
    <w:rsid w:val="00C5350D"/>
    <w:rsid w:val="00C55561"/>
    <w:rsid w:val="00C55B66"/>
    <w:rsid w:val="00C55E42"/>
    <w:rsid w:val="00C60F21"/>
    <w:rsid w:val="00C61238"/>
    <w:rsid w:val="00C6123C"/>
    <w:rsid w:val="00C6311A"/>
    <w:rsid w:val="00C635A5"/>
    <w:rsid w:val="00C65717"/>
    <w:rsid w:val="00C65918"/>
    <w:rsid w:val="00C65CF0"/>
    <w:rsid w:val="00C65F1A"/>
    <w:rsid w:val="00C66494"/>
    <w:rsid w:val="00C666F8"/>
    <w:rsid w:val="00C66A73"/>
    <w:rsid w:val="00C7084D"/>
    <w:rsid w:val="00C720A3"/>
    <w:rsid w:val="00C72B71"/>
    <w:rsid w:val="00C7315E"/>
    <w:rsid w:val="00C75895"/>
    <w:rsid w:val="00C76BBD"/>
    <w:rsid w:val="00C83C9F"/>
    <w:rsid w:val="00C87F07"/>
    <w:rsid w:val="00C9379B"/>
    <w:rsid w:val="00C94840"/>
    <w:rsid w:val="00C94A56"/>
    <w:rsid w:val="00C956EB"/>
    <w:rsid w:val="00CA0A6E"/>
    <w:rsid w:val="00CA4CA0"/>
    <w:rsid w:val="00CA4CED"/>
    <w:rsid w:val="00CA4EE3"/>
    <w:rsid w:val="00CA54C3"/>
    <w:rsid w:val="00CA5703"/>
    <w:rsid w:val="00CA69EC"/>
    <w:rsid w:val="00CA7039"/>
    <w:rsid w:val="00CB027F"/>
    <w:rsid w:val="00CB25E9"/>
    <w:rsid w:val="00CB32F8"/>
    <w:rsid w:val="00CB4AF9"/>
    <w:rsid w:val="00CB5243"/>
    <w:rsid w:val="00CB7D86"/>
    <w:rsid w:val="00CC0EBB"/>
    <w:rsid w:val="00CC432A"/>
    <w:rsid w:val="00CC5B94"/>
    <w:rsid w:val="00CC6297"/>
    <w:rsid w:val="00CC6CDE"/>
    <w:rsid w:val="00CC7690"/>
    <w:rsid w:val="00CD0AA6"/>
    <w:rsid w:val="00CD1986"/>
    <w:rsid w:val="00CD40E6"/>
    <w:rsid w:val="00CD4ED7"/>
    <w:rsid w:val="00CD54BF"/>
    <w:rsid w:val="00CD59C0"/>
    <w:rsid w:val="00CD7BDD"/>
    <w:rsid w:val="00CE4D5C"/>
    <w:rsid w:val="00CF05DA"/>
    <w:rsid w:val="00CF293F"/>
    <w:rsid w:val="00CF58EB"/>
    <w:rsid w:val="00CF69F0"/>
    <w:rsid w:val="00CF6FEC"/>
    <w:rsid w:val="00D0106E"/>
    <w:rsid w:val="00D02C71"/>
    <w:rsid w:val="00D04DD9"/>
    <w:rsid w:val="00D06383"/>
    <w:rsid w:val="00D11B4F"/>
    <w:rsid w:val="00D16D9B"/>
    <w:rsid w:val="00D20E85"/>
    <w:rsid w:val="00D21148"/>
    <w:rsid w:val="00D2179F"/>
    <w:rsid w:val="00D24615"/>
    <w:rsid w:val="00D2609A"/>
    <w:rsid w:val="00D31AF6"/>
    <w:rsid w:val="00D3358B"/>
    <w:rsid w:val="00D356EB"/>
    <w:rsid w:val="00D35C49"/>
    <w:rsid w:val="00D37842"/>
    <w:rsid w:val="00D41A4E"/>
    <w:rsid w:val="00D42DC2"/>
    <w:rsid w:val="00D4302B"/>
    <w:rsid w:val="00D455F4"/>
    <w:rsid w:val="00D4571D"/>
    <w:rsid w:val="00D503ED"/>
    <w:rsid w:val="00D50558"/>
    <w:rsid w:val="00D50958"/>
    <w:rsid w:val="00D537E1"/>
    <w:rsid w:val="00D55BB2"/>
    <w:rsid w:val="00D6091A"/>
    <w:rsid w:val="00D6605A"/>
    <w:rsid w:val="00D6695F"/>
    <w:rsid w:val="00D67E96"/>
    <w:rsid w:val="00D71016"/>
    <w:rsid w:val="00D71F66"/>
    <w:rsid w:val="00D742DB"/>
    <w:rsid w:val="00D749C3"/>
    <w:rsid w:val="00D75644"/>
    <w:rsid w:val="00D765A1"/>
    <w:rsid w:val="00D813C8"/>
    <w:rsid w:val="00D81656"/>
    <w:rsid w:val="00D81AF7"/>
    <w:rsid w:val="00D838E3"/>
    <w:rsid w:val="00D83D87"/>
    <w:rsid w:val="00D8474B"/>
    <w:rsid w:val="00D84A6D"/>
    <w:rsid w:val="00D84F69"/>
    <w:rsid w:val="00D86698"/>
    <w:rsid w:val="00D86A30"/>
    <w:rsid w:val="00D87F56"/>
    <w:rsid w:val="00D94E71"/>
    <w:rsid w:val="00D97CB4"/>
    <w:rsid w:val="00D97DD4"/>
    <w:rsid w:val="00DA0572"/>
    <w:rsid w:val="00DA09F0"/>
    <w:rsid w:val="00DA5095"/>
    <w:rsid w:val="00DA5360"/>
    <w:rsid w:val="00DA5A8A"/>
    <w:rsid w:val="00DB1170"/>
    <w:rsid w:val="00DB1637"/>
    <w:rsid w:val="00DB26CD"/>
    <w:rsid w:val="00DB2D2F"/>
    <w:rsid w:val="00DB31D6"/>
    <w:rsid w:val="00DB441C"/>
    <w:rsid w:val="00DB44AF"/>
    <w:rsid w:val="00DB4836"/>
    <w:rsid w:val="00DC0A67"/>
    <w:rsid w:val="00DC1F58"/>
    <w:rsid w:val="00DC339B"/>
    <w:rsid w:val="00DC3401"/>
    <w:rsid w:val="00DC4D01"/>
    <w:rsid w:val="00DC5D40"/>
    <w:rsid w:val="00DC69A7"/>
    <w:rsid w:val="00DC73A7"/>
    <w:rsid w:val="00DD28DF"/>
    <w:rsid w:val="00DD30E9"/>
    <w:rsid w:val="00DD329A"/>
    <w:rsid w:val="00DD38A3"/>
    <w:rsid w:val="00DD4F47"/>
    <w:rsid w:val="00DD53A2"/>
    <w:rsid w:val="00DD5C6B"/>
    <w:rsid w:val="00DD7FBB"/>
    <w:rsid w:val="00DE0B9F"/>
    <w:rsid w:val="00DE2A9E"/>
    <w:rsid w:val="00DE3C5F"/>
    <w:rsid w:val="00DE4238"/>
    <w:rsid w:val="00DE54D1"/>
    <w:rsid w:val="00DE657F"/>
    <w:rsid w:val="00DF11CD"/>
    <w:rsid w:val="00DF1218"/>
    <w:rsid w:val="00DF6462"/>
    <w:rsid w:val="00E01525"/>
    <w:rsid w:val="00E01D85"/>
    <w:rsid w:val="00E02FA0"/>
    <w:rsid w:val="00E036DC"/>
    <w:rsid w:val="00E047D4"/>
    <w:rsid w:val="00E063F9"/>
    <w:rsid w:val="00E10454"/>
    <w:rsid w:val="00E112E5"/>
    <w:rsid w:val="00E122D8"/>
    <w:rsid w:val="00E12CC8"/>
    <w:rsid w:val="00E15352"/>
    <w:rsid w:val="00E15AA2"/>
    <w:rsid w:val="00E17EC4"/>
    <w:rsid w:val="00E21CC7"/>
    <w:rsid w:val="00E23618"/>
    <w:rsid w:val="00E24D9E"/>
    <w:rsid w:val="00E25849"/>
    <w:rsid w:val="00E259BB"/>
    <w:rsid w:val="00E25F1A"/>
    <w:rsid w:val="00E3089E"/>
    <w:rsid w:val="00E3197E"/>
    <w:rsid w:val="00E32FD6"/>
    <w:rsid w:val="00E342F8"/>
    <w:rsid w:val="00E351ED"/>
    <w:rsid w:val="00E3652E"/>
    <w:rsid w:val="00E37270"/>
    <w:rsid w:val="00E37C04"/>
    <w:rsid w:val="00E40497"/>
    <w:rsid w:val="00E41D13"/>
    <w:rsid w:val="00E42426"/>
    <w:rsid w:val="00E42B19"/>
    <w:rsid w:val="00E431CA"/>
    <w:rsid w:val="00E4614B"/>
    <w:rsid w:val="00E51189"/>
    <w:rsid w:val="00E52B9E"/>
    <w:rsid w:val="00E55542"/>
    <w:rsid w:val="00E5569E"/>
    <w:rsid w:val="00E56469"/>
    <w:rsid w:val="00E6034B"/>
    <w:rsid w:val="00E60E39"/>
    <w:rsid w:val="00E61445"/>
    <w:rsid w:val="00E6267E"/>
    <w:rsid w:val="00E63707"/>
    <w:rsid w:val="00E6549E"/>
    <w:rsid w:val="00E65EDE"/>
    <w:rsid w:val="00E70AAE"/>
    <w:rsid w:val="00E70BBC"/>
    <w:rsid w:val="00E70F81"/>
    <w:rsid w:val="00E77055"/>
    <w:rsid w:val="00E77460"/>
    <w:rsid w:val="00E80694"/>
    <w:rsid w:val="00E819E3"/>
    <w:rsid w:val="00E828DC"/>
    <w:rsid w:val="00E83ABC"/>
    <w:rsid w:val="00E83E23"/>
    <w:rsid w:val="00E84110"/>
    <w:rsid w:val="00E844F2"/>
    <w:rsid w:val="00E865A8"/>
    <w:rsid w:val="00E8758A"/>
    <w:rsid w:val="00E90AD0"/>
    <w:rsid w:val="00E90DE6"/>
    <w:rsid w:val="00E92FCB"/>
    <w:rsid w:val="00EA147F"/>
    <w:rsid w:val="00EA150C"/>
    <w:rsid w:val="00EA1EAB"/>
    <w:rsid w:val="00EA2490"/>
    <w:rsid w:val="00EA4A27"/>
    <w:rsid w:val="00EA4FA6"/>
    <w:rsid w:val="00EA5292"/>
    <w:rsid w:val="00EB0774"/>
    <w:rsid w:val="00EB0A3A"/>
    <w:rsid w:val="00EB1A25"/>
    <w:rsid w:val="00EB246E"/>
    <w:rsid w:val="00EB3E79"/>
    <w:rsid w:val="00EB40E1"/>
    <w:rsid w:val="00EC0570"/>
    <w:rsid w:val="00EC23C1"/>
    <w:rsid w:val="00EC3CAA"/>
    <w:rsid w:val="00EC7363"/>
    <w:rsid w:val="00ED03AB"/>
    <w:rsid w:val="00ED0DEB"/>
    <w:rsid w:val="00ED1963"/>
    <w:rsid w:val="00ED1CD4"/>
    <w:rsid w:val="00ED1D2B"/>
    <w:rsid w:val="00ED1E15"/>
    <w:rsid w:val="00ED64B5"/>
    <w:rsid w:val="00ED7940"/>
    <w:rsid w:val="00ED7E72"/>
    <w:rsid w:val="00EE1A6A"/>
    <w:rsid w:val="00EE4826"/>
    <w:rsid w:val="00EE5527"/>
    <w:rsid w:val="00EE650D"/>
    <w:rsid w:val="00EE7A98"/>
    <w:rsid w:val="00EE7CCA"/>
    <w:rsid w:val="00EF3E0A"/>
    <w:rsid w:val="00EF3EEA"/>
    <w:rsid w:val="00EF7D22"/>
    <w:rsid w:val="00F02286"/>
    <w:rsid w:val="00F05113"/>
    <w:rsid w:val="00F06271"/>
    <w:rsid w:val="00F06E53"/>
    <w:rsid w:val="00F1401B"/>
    <w:rsid w:val="00F168E4"/>
    <w:rsid w:val="00F16A14"/>
    <w:rsid w:val="00F2048E"/>
    <w:rsid w:val="00F234C7"/>
    <w:rsid w:val="00F24AFB"/>
    <w:rsid w:val="00F2603B"/>
    <w:rsid w:val="00F362D7"/>
    <w:rsid w:val="00F37D7B"/>
    <w:rsid w:val="00F404F9"/>
    <w:rsid w:val="00F41E18"/>
    <w:rsid w:val="00F44EF2"/>
    <w:rsid w:val="00F47C7A"/>
    <w:rsid w:val="00F52BC5"/>
    <w:rsid w:val="00F5314C"/>
    <w:rsid w:val="00F5556B"/>
    <w:rsid w:val="00F5688C"/>
    <w:rsid w:val="00F57DA4"/>
    <w:rsid w:val="00F60048"/>
    <w:rsid w:val="00F60DBE"/>
    <w:rsid w:val="00F622B7"/>
    <w:rsid w:val="00F635DD"/>
    <w:rsid w:val="00F65F74"/>
    <w:rsid w:val="00F6627B"/>
    <w:rsid w:val="00F67B68"/>
    <w:rsid w:val="00F70199"/>
    <w:rsid w:val="00F7185F"/>
    <w:rsid w:val="00F7336E"/>
    <w:rsid w:val="00F734F2"/>
    <w:rsid w:val="00F7423A"/>
    <w:rsid w:val="00F75052"/>
    <w:rsid w:val="00F76143"/>
    <w:rsid w:val="00F76388"/>
    <w:rsid w:val="00F775FE"/>
    <w:rsid w:val="00F7769C"/>
    <w:rsid w:val="00F804D3"/>
    <w:rsid w:val="00F816CB"/>
    <w:rsid w:val="00F81CD2"/>
    <w:rsid w:val="00F82641"/>
    <w:rsid w:val="00F83F80"/>
    <w:rsid w:val="00F86796"/>
    <w:rsid w:val="00F86C23"/>
    <w:rsid w:val="00F90F18"/>
    <w:rsid w:val="00F91A44"/>
    <w:rsid w:val="00F920D2"/>
    <w:rsid w:val="00F92DD1"/>
    <w:rsid w:val="00F92E2C"/>
    <w:rsid w:val="00F931FB"/>
    <w:rsid w:val="00F937E4"/>
    <w:rsid w:val="00F95EE7"/>
    <w:rsid w:val="00F96C71"/>
    <w:rsid w:val="00FA0804"/>
    <w:rsid w:val="00FA1F20"/>
    <w:rsid w:val="00FA39E6"/>
    <w:rsid w:val="00FA3BA0"/>
    <w:rsid w:val="00FA3BC3"/>
    <w:rsid w:val="00FA48D6"/>
    <w:rsid w:val="00FA5C48"/>
    <w:rsid w:val="00FA5FDB"/>
    <w:rsid w:val="00FA699C"/>
    <w:rsid w:val="00FA6B3B"/>
    <w:rsid w:val="00FA7BC9"/>
    <w:rsid w:val="00FB378E"/>
    <w:rsid w:val="00FB37F1"/>
    <w:rsid w:val="00FB47C0"/>
    <w:rsid w:val="00FB501B"/>
    <w:rsid w:val="00FB631A"/>
    <w:rsid w:val="00FB719A"/>
    <w:rsid w:val="00FB7258"/>
    <w:rsid w:val="00FB7770"/>
    <w:rsid w:val="00FB7AB0"/>
    <w:rsid w:val="00FC1A2B"/>
    <w:rsid w:val="00FC1F16"/>
    <w:rsid w:val="00FC3D2E"/>
    <w:rsid w:val="00FC413D"/>
    <w:rsid w:val="00FC46F9"/>
    <w:rsid w:val="00FC5D35"/>
    <w:rsid w:val="00FC711C"/>
    <w:rsid w:val="00FC7E87"/>
    <w:rsid w:val="00FD020F"/>
    <w:rsid w:val="00FD0376"/>
    <w:rsid w:val="00FD1FD2"/>
    <w:rsid w:val="00FD366E"/>
    <w:rsid w:val="00FD3B91"/>
    <w:rsid w:val="00FD3D1C"/>
    <w:rsid w:val="00FD576B"/>
    <w:rsid w:val="00FD579E"/>
    <w:rsid w:val="00FD5C76"/>
    <w:rsid w:val="00FD6845"/>
    <w:rsid w:val="00FE08D7"/>
    <w:rsid w:val="00FE2B6D"/>
    <w:rsid w:val="00FE2E66"/>
    <w:rsid w:val="00FE3A94"/>
    <w:rsid w:val="00FE4516"/>
    <w:rsid w:val="00FE4CA4"/>
    <w:rsid w:val="00FE4CD8"/>
    <w:rsid w:val="00FE561B"/>
    <w:rsid w:val="00FE64C8"/>
    <w:rsid w:val="00FE7424"/>
    <w:rsid w:val="00FE7475"/>
    <w:rsid w:val="00FF0F71"/>
    <w:rsid w:val="00FF2A0C"/>
    <w:rsid w:val="00FF5B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7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0FB9"/>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1A3CF6"/>
    <w:pPr>
      <w:numPr>
        <w:ilvl w:val="3"/>
        <w:numId w:val="25"/>
      </w:numPr>
      <w:outlineLvl w:val="3"/>
    </w:pPr>
    <w:rPr>
      <w:rFonts w:hAnsi="Arial"/>
      <w:kern w:val="32"/>
      <w:szCs w:val="36"/>
    </w:rPr>
  </w:style>
  <w:style w:type="paragraph" w:styleId="5">
    <w:name w:val="heading 5"/>
    <w:basedOn w:val="a6"/>
    <w:link w:val="50"/>
    <w:qFormat/>
    <w:rsid w:val="001A3CF6"/>
    <w:pPr>
      <w:numPr>
        <w:ilvl w:val="4"/>
        <w:numId w:val="25"/>
      </w:numPr>
      <w:ind w:left="1985"/>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16273"/>
    <w:pPr>
      <w:snapToGrid w:val="0"/>
      <w:jc w:val="left"/>
    </w:pPr>
    <w:rPr>
      <w:sz w:val="20"/>
    </w:rPr>
  </w:style>
  <w:style w:type="character" w:customStyle="1" w:styleId="afd">
    <w:name w:val="註腳文字 字元"/>
    <w:basedOn w:val="a7"/>
    <w:link w:val="afc"/>
    <w:uiPriority w:val="99"/>
    <w:semiHidden/>
    <w:rsid w:val="00C16273"/>
    <w:rPr>
      <w:rFonts w:ascii="標楷體" w:eastAsia="標楷體"/>
      <w:kern w:val="2"/>
    </w:rPr>
  </w:style>
  <w:style w:type="character" w:styleId="afe">
    <w:name w:val="footnote reference"/>
    <w:basedOn w:val="a7"/>
    <w:uiPriority w:val="99"/>
    <w:semiHidden/>
    <w:unhideWhenUsed/>
    <w:rsid w:val="00C16273"/>
    <w:rPr>
      <w:vertAlign w:val="superscript"/>
    </w:rPr>
  </w:style>
  <w:style w:type="character" w:customStyle="1" w:styleId="30">
    <w:name w:val="標題 3 字元"/>
    <w:basedOn w:val="a7"/>
    <w:link w:val="3"/>
    <w:rsid w:val="00DC4D01"/>
    <w:rPr>
      <w:rFonts w:ascii="標楷體" w:eastAsia="標楷體" w:hAnsi="Arial"/>
      <w:bCs/>
      <w:kern w:val="32"/>
      <w:sz w:val="32"/>
      <w:szCs w:val="36"/>
    </w:rPr>
  </w:style>
  <w:style w:type="character" w:customStyle="1" w:styleId="40">
    <w:name w:val="標題 4 字元"/>
    <w:basedOn w:val="a7"/>
    <w:link w:val="4"/>
    <w:rsid w:val="001A3CF6"/>
    <w:rPr>
      <w:rFonts w:ascii="標楷體" w:eastAsia="標楷體" w:hAnsi="Arial"/>
      <w:kern w:val="32"/>
      <w:sz w:val="32"/>
      <w:szCs w:val="36"/>
    </w:rPr>
  </w:style>
  <w:style w:type="character" w:styleId="aff">
    <w:name w:val="line number"/>
    <w:basedOn w:val="a7"/>
    <w:uiPriority w:val="99"/>
    <w:semiHidden/>
    <w:unhideWhenUsed/>
    <w:rsid w:val="007C3ED6"/>
  </w:style>
  <w:style w:type="paragraph" w:styleId="HTML">
    <w:name w:val="HTML Preformatted"/>
    <w:basedOn w:val="a6"/>
    <w:link w:val="HTML0"/>
    <w:uiPriority w:val="99"/>
    <w:unhideWhenUsed/>
    <w:rsid w:val="00383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33AE"/>
    <w:rPr>
      <w:rFonts w:ascii="細明體" w:eastAsia="細明體" w:hAnsi="細明體" w:cs="細明體"/>
      <w:sz w:val="24"/>
      <w:szCs w:val="24"/>
    </w:rPr>
  </w:style>
  <w:style w:type="character" w:customStyle="1" w:styleId="50">
    <w:name w:val="標題 5 字元"/>
    <w:basedOn w:val="a7"/>
    <w:link w:val="5"/>
    <w:rsid w:val="001A3CF6"/>
    <w:rPr>
      <w:rFonts w:ascii="標楷體" w:eastAsia="標楷體" w:hAnsi="Arial"/>
      <w:bCs/>
      <w:kern w:val="32"/>
      <w:sz w:val="32"/>
      <w:szCs w:val="36"/>
    </w:rPr>
  </w:style>
  <w:style w:type="character" w:customStyle="1" w:styleId="60">
    <w:name w:val="標題 6 字元"/>
    <w:basedOn w:val="a7"/>
    <w:link w:val="6"/>
    <w:rsid w:val="008D2275"/>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B0FB9"/>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1A3CF6"/>
    <w:pPr>
      <w:numPr>
        <w:ilvl w:val="3"/>
        <w:numId w:val="25"/>
      </w:numPr>
      <w:outlineLvl w:val="3"/>
    </w:pPr>
    <w:rPr>
      <w:rFonts w:hAnsi="Arial"/>
      <w:kern w:val="32"/>
      <w:szCs w:val="36"/>
    </w:rPr>
  </w:style>
  <w:style w:type="paragraph" w:styleId="5">
    <w:name w:val="heading 5"/>
    <w:basedOn w:val="a6"/>
    <w:link w:val="50"/>
    <w:qFormat/>
    <w:rsid w:val="001A3CF6"/>
    <w:pPr>
      <w:numPr>
        <w:ilvl w:val="4"/>
        <w:numId w:val="25"/>
      </w:numPr>
      <w:ind w:left="1985"/>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16273"/>
    <w:pPr>
      <w:snapToGrid w:val="0"/>
      <w:jc w:val="left"/>
    </w:pPr>
    <w:rPr>
      <w:sz w:val="20"/>
    </w:rPr>
  </w:style>
  <w:style w:type="character" w:customStyle="1" w:styleId="afd">
    <w:name w:val="註腳文字 字元"/>
    <w:basedOn w:val="a7"/>
    <w:link w:val="afc"/>
    <w:uiPriority w:val="99"/>
    <w:semiHidden/>
    <w:rsid w:val="00C16273"/>
    <w:rPr>
      <w:rFonts w:ascii="標楷體" w:eastAsia="標楷體"/>
      <w:kern w:val="2"/>
    </w:rPr>
  </w:style>
  <w:style w:type="character" w:styleId="afe">
    <w:name w:val="footnote reference"/>
    <w:basedOn w:val="a7"/>
    <w:uiPriority w:val="99"/>
    <w:semiHidden/>
    <w:unhideWhenUsed/>
    <w:rsid w:val="00C16273"/>
    <w:rPr>
      <w:vertAlign w:val="superscript"/>
    </w:rPr>
  </w:style>
  <w:style w:type="character" w:customStyle="1" w:styleId="30">
    <w:name w:val="標題 3 字元"/>
    <w:basedOn w:val="a7"/>
    <w:link w:val="3"/>
    <w:rsid w:val="00DC4D01"/>
    <w:rPr>
      <w:rFonts w:ascii="標楷體" w:eastAsia="標楷體" w:hAnsi="Arial"/>
      <w:bCs/>
      <w:kern w:val="32"/>
      <w:sz w:val="32"/>
      <w:szCs w:val="36"/>
    </w:rPr>
  </w:style>
  <w:style w:type="character" w:customStyle="1" w:styleId="40">
    <w:name w:val="標題 4 字元"/>
    <w:basedOn w:val="a7"/>
    <w:link w:val="4"/>
    <w:rsid w:val="001A3CF6"/>
    <w:rPr>
      <w:rFonts w:ascii="標楷體" w:eastAsia="標楷體" w:hAnsi="Arial"/>
      <w:kern w:val="32"/>
      <w:sz w:val="32"/>
      <w:szCs w:val="36"/>
    </w:rPr>
  </w:style>
  <w:style w:type="character" w:styleId="aff">
    <w:name w:val="line number"/>
    <w:basedOn w:val="a7"/>
    <w:uiPriority w:val="99"/>
    <w:semiHidden/>
    <w:unhideWhenUsed/>
    <w:rsid w:val="007C3ED6"/>
  </w:style>
  <w:style w:type="paragraph" w:styleId="HTML">
    <w:name w:val="HTML Preformatted"/>
    <w:basedOn w:val="a6"/>
    <w:link w:val="HTML0"/>
    <w:uiPriority w:val="99"/>
    <w:unhideWhenUsed/>
    <w:rsid w:val="00383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33AE"/>
    <w:rPr>
      <w:rFonts w:ascii="細明體" w:eastAsia="細明體" w:hAnsi="細明體" w:cs="細明體"/>
      <w:sz w:val="24"/>
      <w:szCs w:val="24"/>
    </w:rPr>
  </w:style>
  <w:style w:type="character" w:customStyle="1" w:styleId="50">
    <w:name w:val="標題 5 字元"/>
    <w:basedOn w:val="a7"/>
    <w:link w:val="5"/>
    <w:rsid w:val="001A3CF6"/>
    <w:rPr>
      <w:rFonts w:ascii="標楷體" w:eastAsia="標楷體" w:hAnsi="Arial"/>
      <w:bCs/>
      <w:kern w:val="32"/>
      <w:sz w:val="32"/>
      <w:szCs w:val="36"/>
    </w:rPr>
  </w:style>
  <w:style w:type="character" w:customStyle="1" w:styleId="60">
    <w:name w:val="標題 6 字元"/>
    <w:basedOn w:val="a7"/>
    <w:link w:val="6"/>
    <w:rsid w:val="008D227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54144">
      <w:bodyDiv w:val="1"/>
      <w:marLeft w:val="0"/>
      <w:marRight w:val="0"/>
      <w:marTop w:val="0"/>
      <w:marBottom w:val="0"/>
      <w:divBdr>
        <w:top w:val="none" w:sz="0" w:space="0" w:color="auto"/>
        <w:left w:val="none" w:sz="0" w:space="0" w:color="auto"/>
        <w:bottom w:val="none" w:sz="0" w:space="0" w:color="auto"/>
        <w:right w:val="none" w:sz="0" w:space="0" w:color="auto"/>
      </w:divBdr>
    </w:div>
    <w:div w:id="427312069">
      <w:bodyDiv w:val="1"/>
      <w:marLeft w:val="0"/>
      <w:marRight w:val="0"/>
      <w:marTop w:val="0"/>
      <w:marBottom w:val="0"/>
      <w:divBdr>
        <w:top w:val="none" w:sz="0" w:space="0" w:color="auto"/>
        <w:left w:val="none" w:sz="0" w:space="0" w:color="auto"/>
        <w:bottom w:val="none" w:sz="0" w:space="0" w:color="auto"/>
        <w:right w:val="none" w:sz="0" w:space="0" w:color="auto"/>
      </w:divBdr>
    </w:div>
    <w:div w:id="48628432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460403">
      <w:bodyDiv w:val="1"/>
      <w:marLeft w:val="0"/>
      <w:marRight w:val="0"/>
      <w:marTop w:val="0"/>
      <w:marBottom w:val="0"/>
      <w:divBdr>
        <w:top w:val="none" w:sz="0" w:space="0" w:color="auto"/>
        <w:left w:val="none" w:sz="0" w:space="0" w:color="auto"/>
        <w:bottom w:val="none" w:sz="0" w:space="0" w:color="auto"/>
        <w:right w:val="none" w:sz="0" w:space="0" w:color="auto"/>
      </w:divBdr>
    </w:div>
    <w:div w:id="1160464031">
      <w:bodyDiv w:val="1"/>
      <w:marLeft w:val="0"/>
      <w:marRight w:val="0"/>
      <w:marTop w:val="0"/>
      <w:marBottom w:val="0"/>
      <w:divBdr>
        <w:top w:val="none" w:sz="0" w:space="0" w:color="auto"/>
        <w:left w:val="none" w:sz="0" w:space="0" w:color="auto"/>
        <w:bottom w:val="none" w:sz="0" w:space="0" w:color="auto"/>
        <w:right w:val="none" w:sz="0" w:space="0" w:color="auto"/>
      </w:divBdr>
    </w:div>
    <w:div w:id="1305961643">
      <w:bodyDiv w:val="1"/>
      <w:marLeft w:val="0"/>
      <w:marRight w:val="0"/>
      <w:marTop w:val="0"/>
      <w:marBottom w:val="0"/>
      <w:divBdr>
        <w:top w:val="none" w:sz="0" w:space="0" w:color="auto"/>
        <w:left w:val="none" w:sz="0" w:space="0" w:color="auto"/>
        <w:bottom w:val="none" w:sz="0" w:space="0" w:color="auto"/>
        <w:right w:val="none" w:sz="0" w:space="0" w:color="auto"/>
      </w:divBdr>
    </w:div>
    <w:div w:id="1388993977">
      <w:bodyDiv w:val="1"/>
      <w:marLeft w:val="0"/>
      <w:marRight w:val="0"/>
      <w:marTop w:val="0"/>
      <w:marBottom w:val="0"/>
      <w:divBdr>
        <w:top w:val="none" w:sz="0" w:space="0" w:color="auto"/>
        <w:left w:val="none" w:sz="0" w:space="0" w:color="auto"/>
        <w:bottom w:val="none" w:sz="0" w:space="0" w:color="auto"/>
        <w:right w:val="none" w:sz="0" w:space="0" w:color="auto"/>
      </w:divBdr>
    </w:div>
    <w:div w:id="1544370741">
      <w:bodyDiv w:val="1"/>
      <w:marLeft w:val="0"/>
      <w:marRight w:val="0"/>
      <w:marTop w:val="0"/>
      <w:marBottom w:val="0"/>
      <w:divBdr>
        <w:top w:val="none" w:sz="0" w:space="0" w:color="auto"/>
        <w:left w:val="none" w:sz="0" w:space="0" w:color="auto"/>
        <w:bottom w:val="none" w:sz="0" w:space="0" w:color="auto"/>
        <w:right w:val="none" w:sz="0" w:space="0" w:color="auto"/>
      </w:divBdr>
    </w:div>
    <w:div w:id="1572958689">
      <w:bodyDiv w:val="1"/>
      <w:marLeft w:val="0"/>
      <w:marRight w:val="0"/>
      <w:marTop w:val="0"/>
      <w:marBottom w:val="0"/>
      <w:divBdr>
        <w:top w:val="none" w:sz="0" w:space="0" w:color="auto"/>
        <w:left w:val="none" w:sz="0" w:space="0" w:color="auto"/>
        <w:bottom w:val="none" w:sz="0" w:space="0" w:color="auto"/>
        <w:right w:val="none" w:sz="0" w:space="0" w:color="auto"/>
      </w:divBdr>
    </w:div>
    <w:div w:id="1730108237">
      <w:bodyDiv w:val="1"/>
      <w:marLeft w:val="0"/>
      <w:marRight w:val="0"/>
      <w:marTop w:val="0"/>
      <w:marBottom w:val="0"/>
      <w:divBdr>
        <w:top w:val="none" w:sz="0" w:space="0" w:color="auto"/>
        <w:left w:val="none" w:sz="0" w:space="0" w:color="auto"/>
        <w:bottom w:val="none" w:sz="0" w:space="0" w:color="auto"/>
        <w:right w:val="none" w:sz="0" w:space="0" w:color="auto"/>
      </w:divBdr>
    </w:div>
    <w:div w:id="19308438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pbaroc.org.tw/link6.asp?p=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8EB2-B1ED-4C40-9FC8-7B68F30C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Pages>
  <Words>2764</Words>
  <Characters>15759</Characters>
  <Application>Microsoft Office Word</Application>
  <DocSecurity>0</DocSecurity>
  <Lines>131</Lines>
  <Paragraphs>36</Paragraphs>
  <ScaleCrop>false</ScaleCrop>
  <Company>cy</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wctsai</cp:lastModifiedBy>
  <cp:revision>4</cp:revision>
  <cp:lastPrinted>2021-05-27T10:01:00Z</cp:lastPrinted>
  <dcterms:created xsi:type="dcterms:W3CDTF">2020-05-15T01:56:00Z</dcterms:created>
  <dcterms:modified xsi:type="dcterms:W3CDTF">2021-05-27T10:01:00Z</dcterms:modified>
</cp:coreProperties>
</file>