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0B31F" w14:textId="77777777" w:rsidR="00D75644" w:rsidRPr="00E616E6" w:rsidRDefault="00D75644" w:rsidP="00F37D7B">
      <w:pPr>
        <w:pStyle w:val="af2"/>
        <w:rPr>
          <w:color w:val="000000" w:themeColor="text1"/>
        </w:rPr>
      </w:pPr>
      <w:r w:rsidRPr="00E616E6">
        <w:rPr>
          <w:rFonts w:hint="eastAsia"/>
          <w:color w:val="000000" w:themeColor="text1"/>
        </w:rPr>
        <w:t>調查報告</w:t>
      </w:r>
    </w:p>
    <w:p w14:paraId="6E3E99EC" w14:textId="0CF54459" w:rsidR="00E25849" w:rsidRPr="00E616E6"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616E6">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3E3E46" w:rsidRPr="00E616E6">
        <w:rPr>
          <w:rFonts w:hint="eastAsia"/>
          <w:color w:val="000000" w:themeColor="text1"/>
        </w:rPr>
        <w:t>據訴，盧</w:t>
      </w:r>
      <w:proofErr w:type="gramEnd"/>
      <w:r w:rsidR="003E3E46" w:rsidRPr="00E616E6">
        <w:rPr>
          <w:rFonts w:hint="eastAsia"/>
          <w:color w:val="000000" w:themeColor="text1"/>
        </w:rPr>
        <w:t>姓</w:t>
      </w:r>
      <w:proofErr w:type="gramStart"/>
      <w:r w:rsidR="003E3E46" w:rsidRPr="00E616E6">
        <w:rPr>
          <w:rFonts w:hint="eastAsia"/>
          <w:color w:val="000000" w:themeColor="text1"/>
        </w:rPr>
        <w:t>被告遭控擄人勒贖</w:t>
      </w:r>
      <w:proofErr w:type="gramEnd"/>
      <w:r w:rsidR="003E3E46" w:rsidRPr="00E616E6">
        <w:rPr>
          <w:rFonts w:hint="eastAsia"/>
          <w:color w:val="000000" w:themeColor="text1"/>
        </w:rPr>
        <w:t>被判處死刑確定，直至死刑執行前仍持續申冤，請</w:t>
      </w:r>
      <w:proofErr w:type="gramStart"/>
      <w:r w:rsidR="003E3E46" w:rsidRPr="00E616E6">
        <w:rPr>
          <w:rFonts w:hint="eastAsia"/>
          <w:color w:val="000000" w:themeColor="text1"/>
        </w:rPr>
        <w:t>本院再請</w:t>
      </w:r>
      <w:proofErr w:type="gramEnd"/>
      <w:r w:rsidR="003B58D0" w:rsidRPr="00E616E6">
        <w:rPr>
          <w:rFonts w:hint="eastAsia"/>
          <w:color w:val="000000" w:themeColor="text1"/>
        </w:rPr>
        <w:t>內</w:t>
      </w:r>
      <w:r w:rsidR="003E3E46" w:rsidRPr="00E616E6">
        <w:rPr>
          <w:rFonts w:hint="eastAsia"/>
          <w:color w:val="000000" w:themeColor="text1"/>
        </w:rPr>
        <w:t>政部警政署刑事警察局比對分析本案採擷之指紋，及向該局調</w:t>
      </w:r>
      <w:proofErr w:type="gramStart"/>
      <w:r w:rsidR="003E3E46" w:rsidRPr="00E616E6">
        <w:rPr>
          <w:rFonts w:hint="eastAsia"/>
          <w:color w:val="000000" w:themeColor="text1"/>
        </w:rPr>
        <w:t>取測謊全</w:t>
      </w:r>
      <w:proofErr w:type="gramEnd"/>
      <w:r w:rsidR="003E3E46" w:rsidRPr="00E616E6">
        <w:rPr>
          <w:rFonts w:hint="eastAsia"/>
          <w:color w:val="000000" w:themeColor="text1"/>
        </w:rPr>
        <w:t>卷資料與鑑定人之學經歷，再予調查</w:t>
      </w:r>
      <w:proofErr w:type="gramStart"/>
      <w:r w:rsidR="003E3E46" w:rsidRPr="00E616E6">
        <w:rPr>
          <w:rFonts w:hint="eastAsia"/>
          <w:color w:val="000000" w:themeColor="text1"/>
        </w:rPr>
        <w:t>釐</w:t>
      </w:r>
      <w:proofErr w:type="gramEnd"/>
      <w:r w:rsidR="003E3E46" w:rsidRPr="00E616E6">
        <w:rPr>
          <w:rFonts w:hint="eastAsia"/>
          <w:color w:val="000000" w:themeColor="text1"/>
        </w:rPr>
        <w:t>清，以免冤</w:t>
      </w:r>
      <w:proofErr w:type="gramStart"/>
      <w:r w:rsidR="003E3E46" w:rsidRPr="00E616E6">
        <w:rPr>
          <w:rFonts w:hint="eastAsia"/>
          <w:color w:val="000000" w:themeColor="text1"/>
        </w:rPr>
        <w:t>抑等情案</w:t>
      </w:r>
      <w:proofErr w:type="gramEnd"/>
      <w:r w:rsidR="003E3E46" w:rsidRPr="00E616E6">
        <w:rPr>
          <w:rFonts w:hint="eastAsia"/>
          <w:color w:val="000000" w:themeColor="text1"/>
        </w:rPr>
        <w:t>。</w:t>
      </w:r>
      <w:r w:rsidR="003E3E46" w:rsidRPr="00E616E6">
        <w:rPr>
          <w:color w:val="000000" w:themeColor="text1"/>
        </w:rPr>
        <w:t xml:space="preserve"> </w:t>
      </w:r>
    </w:p>
    <w:p w14:paraId="7E200E79" w14:textId="3DA5E4A1" w:rsidR="00E25849" w:rsidRPr="00E616E6" w:rsidRDefault="00873FF6"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E616E6">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5CE0E48A" w14:textId="22E16437" w:rsidR="00AF74F7" w:rsidRPr="00E616E6" w:rsidRDefault="00592832" w:rsidP="00A639F4">
      <w:pPr>
        <w:pStyle w:val="10"/>
        <w:ind w:left="680" w:firstLine="680"/>
        <w:rPr>
          <w:color w:val="000000" w:themeColor="text1"/>
        </w:rPr>
      </w:pPr>
      <w:bookmarkStart w:id="49" w:name="_Toc524902730"/>
      <w:r w:rsidRPr="00E616E6">
        <w:rPr>
          <w:rFonts w:hint="eastAsia"/>
          <w:color w:val="000000" w:themeColor="text1"/>
        </w:rPr>
        <w:t>盧正因涉犯擄人勒贖及殺人罪</w:t>
      </w:r>
      <w:r w:rsidRPr="00E616E6">
        <w:rPr>
          <w:rFonts w:ascii="新細明體" w:eastAsia="新細明體" w:hAnsi="新細明體" w:hint="eastAsia"/>
          <w:color w:val="000000" w:themeColor="text1"/>
        </w:rPr>
        <w:t>（</w:t>
      </w:r>
      <w:r w:rsidRPr="00E616E6">
        <w:rPr>
          <w:rFonts w:hint="eastAsia"/>
          <w:color w:val="000000" w:themeColor="text1"/>
        </w:rPr>
        <w:t>下稱盧正案</w:t>
      </w:r>
      <w:r w:rsidRPr="00E616E6">
        <w:rPr>
          <w:rFonts w:hAnsi="標楷體" w:hint="eastAsia"/>
          <w:color w:val="000000" w:themeColor="text1"/>
        </w:rPr>
        <w:t>）</w:t>
      </w:r>
      <w:r w:rsidRPr="00E616E6">
        <w:rPr>
          <w:rFonts w:hint="eastAsia"/>
          <w:color w:val="000000" w:themeColor="text1"/>
        </w:rPr>
        <w:t>，前經臺灣</w:t>
      </w:r>
      <w:proofErr w:type="gramStart"/>
      <w:r w:rsidRPr="00E616E6">
        <w:rPr>
          <w:rFonts w:hint="eastAsia"/>
          <w:color w:val="000000" w:themeColor="text1"/>
        </w:rPr>
        <w:t>臺</w:t>
      </w:r>
      <w:proofErr w:type="gramEnd"/>
      <w:r w:rsidRPr="00E616E6">
        <w:rPr>
          <w:rFonts w:hint="eastAsia"/>
          <w:color w:val="000000" w:themeColor="text1"/>
        </w:rPr>
        <w:t>南地方檢察署</w:t>
      </w:r>
      <w:r w:rsidR="006533D8" w:rsidRPr="00E616E6">
        <w:rPr>
          <w:rFonts w:hint="eastAsia"/>
          <w:color w:val="000000" w:themeColor="text1"/>
        </w:rPr>
        <w:t>(下稱</w:t>
      </w:r>
      <w:proofErr w:type="gramStart"/>
      <w:r w:rsidR="00677486" w:rsidRPr="00E616E6">
        <w:rPr>
          <w:rFonts w:hint="eastAsia"/>
          <w:color w:val="000000" w:themeColor="text1"/>
        </w:rPr>
        <w:t>臺</w:t>
      </w:r>
      <w:proofErr w:type="gramEnd"/>
      <w:r w:rsidR="00677486" w:rsidRPr="00E616E6">
        <w:rPr>
          <w:rFonts w:hint="eastAsia"/>
          <w:color w:val="000000" w:themeColor="text1"/>
        </w:rPr>
        <w:t>南</w:t>
      </w:r>
      <w:r w:rsidR="006533D8" w:rsidRPr="00E616E6">
        <w:rPr>
          <w:rFonts w:hint="eastAsia"/>
          <w:color w:val="000000" w:themeColor="text1"/>
        </w:rPr>
        <w:t>地檢署)</w:t>
      </w:r>
      <w:r w:rsidRPr="00E616E6">
        <w:rPr>
          <w:rFonts w:hint="eastAsia"/>
          <w:color w:val="000000" w:themeColor="text1"/>
        </w:rPr>
        <w:t>檢察官偵查起訴，一、二審法院均判</w:t>
      </w:r>
      <w:r w:rsidR="006533D8" w:rsidRPr="00E616E6">
        <w:rPr>
          <w:rFonts w:hint="eastAsia"/>
          <w:color w:val="000000" w:themeColor="text1"/>
        </w:rPr>
        <w:t>處</w:t>
      </w:r>
      <w:r w:rsidRPr="00E616E6">
        <w:rPr>
          <w:rFonts w:hint="eastAsia"/>
          <w:color w:val="000000" w:themeColor="text1"/>
        </w:rPr>
        <w:t>死刑，案經最高法院以89年度台上字第3822號判決駁回其上訴</w:t>
      </w:r>
      <w:r w:rsidR="006533D8" w:rsidRPr="00E616E6">
        <w:rPr>
          <w:rFonts w:hint="eastAsia"/>
          <w:color w:val="000000" w:themeColor="text1"/>
        </w:rPr>
        <w:t>已</w:t>
      </w:r>
      <w:r w:rsidRPr="00E616E6">
        <w:rPr>
          <w:rFonts w:hint="eastAsia"/>
          <w:color w:val="000000" w:themeColor="text1"/>
        </w:rPr>
        <w:t>確定，於民國（下同）89年9月7日下午8時執行槍決</w:t>
      </w:r>
      <w:r w:rsidRPr="00E616E6">
        <w:rPr>
          <w:rFonts w:hAnsi="標楷體" w:hint="eastAsia"/>
          <w:color w:val="000000" w:themeColor="text1"/>
        </w:rPr>
        <w:t>。據盧正家屬與社團法人</w:t>
      </w:r>
      <w:r w:rsidRPr="00E616E6">
        <w:rPr>
          <w:rFonts w:hint="eastAsia"/>
          <w:color w:val="000000" w:themeColor="text1"/>
        </w:rPr>
        <w:t>台灣冤獄平反協會陳訴</w:t>
      </w:r>
      <w:r w:rsidRPr="00E616E6">
        <w:rPr>
          <w:rFonts w:ascii="新細明體" w:eastAsia="新細明體" w:hAnsi="新細明體" w:hint="eastAsia"/>
          <w:color w:val="000000" w:themeColor="text1"/>
        </w:rPr>
        <w:t>：</w:t>
      </w:r>
      <w:r w:rsidRPr="00E616E6">
        <w:rPr>
          <w:rFonts w:hint="eastAsia"/>
          <w:color w:val="000000" w:themeColor="text1"/>
        </w:rPr>
        <w:t>希</w:t>
      </w:r>
      <w:r w:rsidR="00D91CB5" w:rsidRPr="00E616E6">
        <w:rPr>
          <w:rFonts w:hAnsi="標楷體" w:hint="eastAsia"/>
          <w:color w:val="000000" w:themeColor="text1"/>
        </w:rPr>
        <w:t>以現今資料庫重新比對分析該案採擷之指紋，及深入調查</w:t>
      </w:r>
      <w:proofErr w:type="gramStart"/>
      <w:r w:rsidRPr="00E616E6">
        <w:rPr>
          <w:rFonts w:hAnsi="標楷體" w:hint="eastAsia"/>
          <w:color w:val="000000" w:themeColor="text1"/>
        </w:rPr>
        <w:t>測謊全卷</w:t>
      </w:r>
      <w:proofErr w:type="gramEnd"/>
      <w:r w:rsidRPr="00E616E6">
        <w:rPr>
          <w:rFonts w:hAnsi="標楷體" w:hint="eastAsia"/>
          <w:color w:val="000000" w:themeColor="text1"/>
        </w:rPr>
        <w:t>資料與鑑定人學經歷，以免冤</w:t>
      </w:r>
      <w:proofErr w:type="gramStart"/>
      <w:r w:rsidRPr="00E616E6">
        <w:rPr>
          <w:rFonts w:hAnsi="標楷體" w:hint="eastAsia"/>
          <w:color w:val="000000" w:themeColor="text1"/>
        </w:rPr>
        <w:t>抑等情</w:t>
      </w:r>
      <w:proofErr w:type="gramEnd"/>
      <w:r w:rsidR="00D91CB5" w:rsidRPr="00E616E6">
        <w:rPr>
          <w:rFonts w:hAnsi="標楷體" w:hint="eastAsia"/>
          <w:color w:val="000000" w:themeColor="text1"/>
        </w:rPr>
        <w:t>。案經本院向</w:t>
      </w:r>
      <w:proofErr w:type="gramStart"/>
      <w:r w:rsidR="006533D8" w:rsidRPr="00E616E6">
        <w:rPr>
          <w:rFonts w:hAnsi="標楷體" w:hint="eastAsia"/>
          <w:color w:val="000000" w:themeColor="text1"/>
        </w:rPr>
        <w:t>臺</w:t>
      </w:r>
      <w:proofErr w:type="gramEnd"/>
      <w:r w:rsidR="006533D8" w:rsidRPr="00E616E6">
        <w:rPr>
          <w:rFonts w:hAnsi="標楷體" w:hint="eastAsia"/>
          <w:color w:val="000000" w:themeColor="text1"/>
        </w:rPr>
        <w:t>南地檢署</w:t>
      </w:r>
      <w:r w:rsidR="00D91CB5" w:rsidRPr="00E616E6">
        <w:rPr>
          <w:rFonts w:hAnsi="標楷體" w:hint="eastAsia"/>
          <w:color w:val="000000" w:themeColor="text1"/>
        </w:rPr>
        <w:t>、內政部警政署刑事警察局</w:t>
      </w:r>
      <w:r w:rsidR="00D91CB5" w:rsidRPr="00E616E6">
        <w:rPr>
          <w:rFonts w:ascii="新細明體" w:eastAsia="新細明體" w:hAnsi="新細明體" w:hint="eastAsia"/>
          <w:color w:val="000000" w:themeColor="text1"/>
        </w:rPr>
        <w:t>（</w:t>
      </w:r>
      <w:r w:rsidR="00D91CB5" w:rsidRPr="00E616E6">
        <w:rPr>
          <w:rFonts w:hAnsi="標楷體" w:hint="eastAsia"/>
          <w:color w:val="000000" w:themeColor="text1"/>
        </w:rPr>
        <w:t>下稱警政署</w:t>
      </w:r>
      <w:r w:rsidR="00D91CB5" w:rsidRPr="00E616E6">
        <w:rPr>
          <w:rFonts w:ascii="新細明體" w:eastAsia="新細明體" w:hAnsi="新細明體" w:hint="eastAsia"/>
          <w:color w:val="000000" w:themeColor="text1"/>
        </w:rPr>
        <w:t>、</w:t>
      </w:r>
      <w:r w:rsidR="00D91CB5" w:rsidRPr="00E616E6">
        <w:rPr>
          <w:rFonts w:hAnsi="標楷體" w:hint="eastAsia"/>
          <w:color w:val="000000" w:themeColor="text1"/>
        </w:rPr>
        <w:t>刑事局）等機關調卷，並於109年4月17日詢問法務部檢察司司長林錦村、</w:t>
      </w:r>
      <w:proofErr w:type="gramStart"/>
      <w:r w:rsidR="00D91CB5" w:rsidRPr="00E616E6">
        <w:rPr>
          <w:rFonts w:hAnsi="標楷體" w:hint="eastAsia"/>
          <w:color w:val="000000" w:themeColor="text1"/>
        </w:rPr>
        <w:t>臺</w:t>
      </w:r>
      <w:proofErr w:type="gramEnd"/>
      <w:r w:rsidR="00D91CB5" w:rsidRPr="00E616E6">
        <w:rPr>
          <w:rFonts w:hAnsi="標楷體" w:hint="eastAsia"/>
          <w:color w:val="000000" w:themeColor="text1"/>
        </w:rPr>
        <w:t>南地檢署檢察長葉淑文、警政署副署長蔡蒼柏、刑事局副局長朱宗泰偕同該局生物科、</w:t>
      </w:r>
      <w:proofErr w:type="gramStart"/>
      <w:r w:rsidR="00D91CB5" w:rsidRPr="00E616E6">
        <w:rPr>
          <w:rFonts w:hAnsi="標楷體" w:hint="eastAsia"/>
          <w:color w:val="000000" w:themeColor="text1"/>
        </w:rPr>
        <w:t>鑑</w:t>
      </w:r>
      <w:proofErr w:type="gramEnd"/>
      <w:r w:rsidR="00D91CB5" w:rsidRPr="00E616E6">
        <w:rPr>
          <w:rFonts w:hAnsi="標楷體" w:hint="eastAsia"/>
          <w:color w:val="000000" w:themeColor="text1"/>
        </w:rPr>
        <w:t>識科、指紋科、偵查科科長、</w:t>
      </w:r>
      <w:proofErr w:type="gramStart"/>
      <w:r w:rsidR="00D91CB5" w:rsidRPr="00E616E6">
        <w:rPr>
          <w:rFonts w:hAnsi="標楷體" w:hint="eastAsia"/>
          <w:color w:val="000000" w:themeColor="text1"/>
        </w:rPr>
        <w:t>臺</w:t>
      </w:r>
      <w:proofErr w:type="gramEnd"/>
      <w:r w:rsidR="00D91CB5" w:rsidRPr="00E616E6">
        <w:rPr>
          <w:rFonts w:hAnsi="標楷體" w:hint="eastAsia"/>
          <w:color w:val="000000" w:themeColor="text1"/>
        </w:rPr>
        <w:t>南市政府警察局（下稱</w:t>
      </w:r>
      <w:proofErr w:type="gramStart"/>
      <w:r w:rsidR="0052736C" w:rsidRPr="00E616E6">
        <w:rPr>
          <w:rFonts w:hAnsi="標楷體" w:hint="eastAsia"/>
          <w:color w:val="000000" w:themeColor="text1"/>
        </w:rPr>
        <w:t>臺</w:t>
      </w:r>
      <w:proofErr w:type="gramEnd"/>
      <w:r w:rsidR="0052736C" w:rsidRPr="00E616E6">
        <w:rPr>
          <w:rFonts w:hAnsi="標楷體" w:hint="eastAsia"/>
          <w:color w:val="000000" w:themeColor="text1"/>
        </w:rPr>
        <w:t>南市警察局</w:t>
      </w:r>
      <w:r w:rsidR="00D91CB5" w:rsidRPr="00E616E6">
        <w:rPr>
          <w:rFonts w:hAnsi="標楷體" w:hint="eastAsia"/>
          <w:color w:val="000000" w:themeColor="text1"/>
        </w:rPr>
        <w:t>）刑事</w:t>
      </w:r>
      <w:proofErr w:type="gramStart"/>
      <w:r w:rsidR="00D91CB5" w:rsidRPr="00E616E6">
        <w:rPr>
          <w:rFonts w:hAnsi="標楷體" w:hint="eastAsia"/>
          <w:color w:val="000000" w:themeColor="text1"/>
        </w:rPr>
        <w:t>鑑</w:t>
      </w:r>
      <w:proofErr w:type="gramEnd"/>
      <w:r w:rsidR="00D91CB5" w:rsidRPr="00E616E6">
        <w:rPr>
          <w:rFonts w:hAnsi="標楷體" w:hint="eastAsia"/>
          <w:color w:val="000000" w:themeColor="text1"/>
        </w:rPr>
        <w:t>識中心主任林中興、</w:t>
      </w:r>
      <w:proofErr w:type="gramStart"/>
      <w:r w:rsidR="0052736C" w:rsidRPr="00E616E6">
        <w:rPr>
          <w:rFonts w:hAnsi="標楷體" w:hint="eastAsia"/>
          <w:color w:val="000000" w:themeColor="text1"/>
        </w:rPr>
        <w:t>臺</w:t>
      </w:r>
      <w:proofErr w:type="gramEnd"/>
      <w:r w:rsidR="0052736C" w:rsidRPr="00E616E6">
        <w:rPr>
          <w:rFonts w:hAnsi="標楷體" w:hint="eastAsia"/>
          <w:color w:val="000000" w:themeColor="text1"/>
        </w:rPr>
        <w:t>南市警察局</w:t>
      </w:r>
      <w:r w:rsidR="00D91CB5" w:rsidRPr="00E616E6">
        <w:rPr>
          <w:rFonts w:hAnsi="標楷體" w:hint="eastAsia"/>
          <w:color w:val="000000" w:themeColor="text1"/>
        </w:rPr>
        <w:t>第五分局偵查隊隊長林雲豪等機關人員，已調查完畢</w:t>
      </w:r>
      <w:r w:rsidR="00AF74F7" w:rsidRPr="00E616E6">
        <w:rPr>
          <w:rFonts w:hint="eastAsia"/>
          <w:color w:val="000000" w:themeColor="text1"/>
        </w:rPr>
        <w:t>，調查意見如下：</w:t>
      </w:r>
    </w:p>
    <w:p w14:paraId="3AAC7958" w14:textId="2BB39A7E" w:rsidR="00AF74F7" w:rsidRPr="00E616E6" w:rsidRDefault="00592832" w:rsidP="009161CC">
      <w:pPr>
        <w:pStyle w:val="2"/>
        <w:rPr>
          <w:rFonts w:hAnsi="標楷體"/>
          <w:b/>
          <w:bCs w:val="0"/>
          <w:color w:val="000000" w:themeColor="text1"/>
        </w:rPr>
      </w:pPr>
      <w:bookmarkStart w:id="50" w:name="_Toc421794873"/>
      <w:bookmarkStart w:id="51" w:name="_Toc422834158"/>
      <w:r w:rsidRPr="00E616E6">
        <w:rPr>
          <w:rFonts w:hAnsi="標楷體" w:hint="eastAsia"/>
          <w:b/>
          <w:bCs w:val="0"/>
          <w:color w:val="000000" w:themeColor="text1"/>
        </w:rPr>
        <w:t>盧正</w:t>
      </w:r>
      <w:r w:rsidR="00AF74F7" w:rsidRPr="00E616E6">
        <w:rPr>
          <w:rFonts w:hAnsi="標楷體" w:hint="eastAsia"/>
          <w:b/>
          <w:bCs w:val="0"/>
          <w:color w:val="000000" w:themeColor="text1"/>
        </w:rPr>
        <w:t>案，</w:t>
      </w:r>
      <w:proofErr w:type="gramStart"/>
      <w:r w:rsidR="00AF74F7" w:rsidRPr="00E616E6">
        <w:rPr>
          <w:rFonts w:hAnsi="標楷體" w:hint="eastAsia"/>
          <w:b/>
          <w:bCs w:val="0"/>
          <w:color w:val="000000" w:themeColor="text1"/>
        </w:rPr>
        <w:t>刑事局檔存</w:t>
      </w:r>
      <w:proofErr w:type="gramEnd"/>
      <w:r w:rsidR="00AF74F7" w:rsidRPr="00E616E6">
        <w:rPr>
          <w:rFonts w:hAnsi="標楷體" w:hint="eastAsia"/>
          <w:b/>
          <w:bCs w:val="0"/>
          <w:color w:val="000000" w:themeColor="text1"/>
        </w:rPr>
        <w:t>資料留有</w:t>
      </w:r>
      <w:proofErr w:type="gramStart"/>
      <w:r w:rsidR="0052736C" w:rsidRPr="00E616E6">
        <w:rPr>
          <w:rFonts w:hAnsi="標楷體" w:hint="eastAsia"/>
          <w:b/>
          <w:bCs w:val="0"/>
          <w:color w:val="000000" w:themeColor="text1"/>
        </w:rPr>
        <w:t>臺</w:t>
      </w:r>
      <w:proofErr w:type="gramEnd"/>
      <w:r w:rsidR="0052736C" w:rsidRPr="00E616E6">
        <w:rPr>
          <w:rFonts w:hAnsi="標楷體" w:hint="eastAsia"/>
          <w:b/>
          <w:bCs w:val="0"/>
          <w:color w:val="000000" w:themeColor="text1"/>
        </w:rPr>
        <w:t>南市警察局</w:t>
      </w:r>
      <w:r w:rsidR="00AF74F7" w:rsidRPr="00E616E6">
        <w:rPr>
          <w:rFonts w:hAnsi="標楷體" w:hint="eastAsia"/>
          <w:b/>
          <w:bCs w:val="0"/>
          <w:color w:val="000000" w:themeColor="text1"/>
        </w:rPr>
        <w:t>送驗的5枚指紋照片，其中3</w:t>
      </w:r>
      <w:r w:rsidR="007953E4" w:rsidRPr="00E616E6">
        <w:rPr>
          <w:rFonts w:hAnsi="標楷體" w:hint="eastAsia"/>
          <w:b/>
          <w:bCs w:val="0"/>
          <w:color w:val="000000" w:themeColor="text1"/>
        </w:rPr>
        <w:t>枚為被害人</w:t>
      </w:r>
      <w:r w:rsidR="00AF74F7" w:rsidRPr="00E616E6">
        <w:rPr>
          <w:rFonts w:hAnsi="標楷體" w:hint="eastAsia"/>
          <w:b/>
          <w:bCs w:val="0"/>
          <w:color w:val="000000" w:themeColor="text1"/>
        </w:rPr>
        <w:t>指紋，</w:t>
      </w:r>
      <w:r w:rsidR="00AF74F7" w:rsidRPr="00E616E6">
        <w:rPr>
          <w:rFonts w:hAnsi="標楷體"/>
          <w:b/>
          <w:bCs w:val="0"/>
          <w:color w:val="000000" w:themeColor="text1"/>
          <w:lang w:val="ja-JP"/>
        </w:rPr>
        <w:t>另</w:t>
      </w:r>
      <w:proofErr w:type="gramStart"/>
      <w:r w:rsidR="00AF74F7" w:rsidRPr="00E616E6">
        <w:rPr>
          <w:rFonts w:hAnsi="標楷體"/>
          <w:b/>
          <w:bCs w:val="0"/>
          <w:color w:val="000000" w:themeColor="text1"/>
          <w:lang w:val="ja-JP"/>
        </w:rPr>
        <w:t>採</w:t>
      </w:r>
      <w:proofErr w:type="gramEnd"/>
      <w:r w:rsidR="00AF74F7" w:rsidRPr="00E616E6">
        <w:rPr>
          <w:rFonts w:hAnsi="標楷體"/>
          <w:b/>
          <w:bCs w:val="0"/>
          <w:color w:val="000000" w:themeColor="text1"/>
          <w:lang w:val="ja-JP"/>
        </w:rPr>
        <w:t>自安全帽護罩上指紋及電話筒上指紋各1枚，</w:t>
      </w:r>
      <w:r w:rsidR="00AF74F7" w:rsidRPr="00E616E6">
        <w:rPr>
          <w:rFonts w:hAnsi="標楷體" w:hint="eastAsia"/>
          <w:b/>
          <w:bCs w:val="0"/>
          <w:color w:val="000000" w:themeColor="text1"/>
          <w:lang w:val="ja-JP"/>
        </w:rPr>
        <w:t>案</w:t>
      </w:r>
      <w:r w:rsidR="00AF74F7" w:rsidRPr="00E616E6">
        <w:rPr>
          <w:rFonts w:hAnsi="標楷體"/>
          <w:b/>
          <w:bCs w:val="0"/>
          <w:color w:val="000000" w:themeColor="text1"/>
          <w:lang w:val="ja-JP"/>
        </w:rPr>
        <w:t>經</w:t>
      </w:r>
      <w:r w:rsidR="00AF74F7" w:rsidRPr="00E616E6">
        <w:rPr>
          <w:rFonts w:hAnsi="標楷體" w:hint="eastAsia"/>
          <w:b/>
          <w:bCs w:val="0"/>
          <w:color w:val="000000" w:themeColor="text1"/>
          <w:lang w:val="ja-JP"/>
        </w:rPr>
        <w:t>該局</w:t>
      </w:r>
      <w:r w:rsidR="00AF74F7" w:rsidRPr="00E616E6">
        <w:rPr>
          <w:rFonts w:hAnsi="標楷體"/>
          <w:b/>
          <w:bCs w:val="0"/>
          <w:color w:val="000000" w:themeColor="text1"/>
          <w:lang w:val="ja-JP"/>
        </w:rPr>
        <w:t>再次輸入資料庫比對，</w:t>
      </w:r>
      <w:r w:rsidR="00AF74F7" w:rsidRPr="00E616E6">
        <w:rPr>
          <w:rFonts w:hAnsi="標楷體" w:hint="eastAsia"/>
          <w:b/>
          <w:bCs w:val="0"/>
          <w:color w:val="000000" w:themeColor="text1"/>
          <w:lang w:val="ja-JP"/>
        </w:rPr>
        <w:t>均尚</w:t>
      </w:r>
      <w:r w:rsidR="00AF74F7" w:rsidRPr="00E616E6">
        <w:rPr>
          <w:rFonts w:hAnsi="標楷體"/>
          <w:b/>
          <w:bCs w:val="0"/>
          <w:color w:val="000000" w:themeColor="text1"/>
          <w:lang w:val="ja-JP"/>
        </w:rPr>
        <w:t>未發現相符者</w:t>
      </w:r>
      <w:r w:rsidR="00AF74F7" w:rsidRPr="00E616E6">
        <w:rPr>
          <w:rFonts w:hAnsi="標楷體" w:hint="eastAsia"/>
          <w:b/>
          <w:bCs w:val="0"/>
          <w:color w:val="000000" w:themeColor="text1"/>
          <w:lang w:val="ja-JP"/>
        </w:rPr>
        <w:t>，然後續仍有與新建</w:t>
      </w:r>
      <w:proofErr w:type="gramStart"/>
      <w:r w:rsidR="00AF74F7" w:rsidRPr="00E616E6">
        <w:rPr>
          <w:rFonts w:hAnsi="標楷體" w:hint="eastAsia"/>
          <w:b/>
          <w:bCs w:val="0"/>
          <w:color w:val="000000" w:themeColor="text1"/>
          <w:lang w:val="ja-JP"/>
        </w:rPr>
        <w:t>檔</w:t>
      </w:r>
      <w:proofErr w:type="gramEnd"/>
      <w:r w:rsidR="00AF74F7" w:rsidRPr="00E616E6">
        <w:rPr>
          <w:rFonts w:hAnsi="標楷體" w:hint="eastAsia"/>
          <w:b/>
          <w:bCs w:val="0"/>
          <w:color w:val="000000" w:themeColor="text1"/>
          <w:lang w:val="ja-JP"/>
        </w:rPr>
        <w:t>指紋資料進行比對之可能。經查，各警察局採取現場指紋係以照片方式記錄保存，並無特定保存年限，</w:t>
      </w:r>
      <w:r w:rsidR="00AF74F7" w:rsidRPr="00E616E6">
        <w:rPr>
          <w:rFonts w:hAnsi="標楷體" w:hint="eastAsia"/>
          <w:b/>
          <w:bCs w:val="0"/>
          <w:color w:val="000000" w:themeColor="text1"/>
          <w:lang w:val="ja-JP"/>
        </w:rPr>
        <w:lastRenderedPageBreak/>
        <w:t>而留存刑事局指紋照片則隨歸檔公文定保存年限，普通刑案鑑定案卷保存2</w:t>
      </w:r>
      <w:r w:rsidR="00AF74F7" w:rsidRPr="00E616E6">
        <w:rPr>
          <w:rFonts w:hAnsi="標楷體"/>
          <w:b/>
          <w:bCs w:val="0"/>
          <w:color w:val="000000" w:themeColor="text1"/>
          <w:lang w:val="ja-JP"/>
        </w:rPr>
        <w:t>0年</w:t>
      </w:r>
      <w:r w:rsidR="00AF74F7" w:rsidRPr="00E616E6">
        <w:rPr>
          <w:rFonts w:hAnsi="標楷體" w:hint="eastAsia"/>
          <w:b/>
          <w:bCs w:val="0"/>
          <w:color w:val="000000" w:themeColor="text1"/>
          <w:lang w:val="ja-JP"/>
        </w:rPr>
        <w:t>、重大刑案鑑定案卷保存3</w:t>
      </w:r>
      <w:r w:rsidR="00AF74F7" w:rsidRPr="00E616E6">
        <w:rPr>
          <w:rFonts w:hAnsi="標楷體"/>
          <w:b/>
          <w:bCs w:val="0"/>
          <w:color w:val="000000" w:themeColor="text1"/>
          <w:lang w:val="ja-JP"/>
        </w:rPr>
        <w:t>0年</w:t>
      </w:r>
      <w:r w:rsidR="00AF74F7" w:rsidRPr="00E616E6">
        <w:rPr>
          <w:rFonts w:hAnsi="標楷體" w:hint="eastAsia"/>
          <w:b/>
          <w:bCs w:val="0"/>
          <w:color w:val="000000" w:themeColor="text1"/>
          <w:lang w:val="ja-JP"/>
        </w:rPr>
        <w:t>，惟依檔案法規定，判處死刑案卷應永久保存，內政部允應督促所屬會商法務部與國家發展委員會檔案管理局，</w:t>
      </w:r>
      <w:proofErr w:type="gramStart"/>
      <w:r w:rsidR="00AF74F7" w:rsidRPr="00E616E6">
        <w:rPr>
          <w:rFonts w:hAnsi="標楷體" w:hint="eastAsia"/>
          <w:b/>
          <w:bCs w:val="0"/>
          <w:color w:val="000000" w:themeColor="text1"/>
          <w:lang w:val="ja-JP"/>
        </w:rPr>
        <w:t>研</w:t>
      </w:r>
      <w:proofErr w:type="gramEnd"/>
      <w:r w:rsidR="00AF74F7" w:rsidRPr="00E616E6">
        <w:rPr>
          <w:rFonts w:hAnsi="標楷體" w:hint="eastAsia"/>
          <w:b/>
          <w:bCs w:val="0"/>
          <w:color w:val="000000" w:themeColor="text1"/>
          <w:lang w:val="ja-JP"/>
        </w:rPr>
        <w:t>議現行指紋照片</w:t>
      </w:r>
      <w:r w:rsidR="007953E4" w:rsidRPr="00E616E6">
        <w:rPr>
          <w:rFonts w:hAnsi="標楷體" w:hint="eastAsia"/>
          <w:b/>
          <w:bCs w:val="0"/>
          <w:color w:val="000000" w:themeColor="text1"/>
          <w:lang w:val="ja-JP"/>
        </w:rPr>
        <w:t>之</w:t>
      </w:r>
      <w:r w:rsidR="00AF74F7" w:rsidRPr="00E616E6">
        <w:rPr>
          <w:rFonts w:hAnsi="標楷體" w:hint="eastAsia"/>
          <w:b/>
          <w:bCs w:val="0"/>
          <w:color w:val="000000" w:themeColor="text1"/>
          <w:lang w:val="ja-JP"/>
        </w:rPr>
        <w:t>保存年限問題，</w:t>
      </w:r>
      <w:proofErr w:type="gramStart"/>
      <w:r w:rsidR="00AF74F7" w:rsidRPr="00E616E6">
        <w:rPr>
          <w:rFonts w:hAnsi="標楷體" w:hint="eastAsia"/>
          <w:b/>
          <w:bCs w:val="0"/>
          <w:color w:val="000000" w:themeColor="text1"/>
          <w:lang w:val="ja-JP"/>
        </w:rPr>
        <w:t>俾</w:t>
      </w:r>
      <w:proofErr w:type="gramEnd"/>
      <w:r w:rsidR="00AF74F7" w:rsidRPr="00E616E6">
        <w:rPr>
          <w:rFonts w:hAnsi="標楷體" w:hint="eastAsia"/>
          <w:b/>
          <w:bCs w:val="0"/>
          <w:color w:val="000000" w:themeColor="text1"/>
          <w:lang w:val="ja-JP"/>
        </w:rPr>
        <w:t>符合檔案法規定意旨。</w:t>
      </w:r>
    </w:p>
    <w:p w14:paraId="05B7FE70" w14:textId="2B568FC4" w:rsidR="00AF74F7" w:rsidRPr="00E616E6" w:rsidRDefault="00AF74F7" w:rsidP="008135C9">
      <w:pPr>
        <w:pStyle w:val="3"/>
        <w:rPr>
          <w:rFonts w:hAnsi="標楷體"/>
          <w:color w:val="000000" w:themeColor="text1"/>
        </w:rPr>
      </w:pPr>
      <w:r w:rsidRPr="00E616E6">
        <w:rPr>
          <w:rFonts w:hint="eastAsia"/>
          <w:bCs w:val="0"/>
          <w:color w:val="000000" w:themeColor="text1"/>
          <w:lang w:val="ja-JP"/>
        </w:rPr>
        <w:t>國家發展委員會檔案管理局</w:t>
      </w:r>
      <w:r w:rsidRPr="00E616E6">
        <w:rPr>
          <w:rFonts w:hAnsi="標楷體" w:hint="eastAsia"/>
          <w:bCs w:val="0"/>
          <w:color w:val="000000" w:themeColor="text1"/>
          <w:lang w:val="ja-JP"/>
        </w:rPr>
        <w:t>（</w:t>
      </w:r>
      <w:r w:rsidRPr="00E616E6">
        <w:rPr>
          <w:rFonts w:hint="eastAsia"/>
          <w:bCs w:val="0"/>
          <w:color w:val="000000" w:themeColor="text1"/>
          <w:lang w:val="ja-JP"/>
        </w:rPr>
        <w:t>下稱檔案管理局</w:t>
      </w:r>
      <w:r w:rsidRPr="00E616E6">
        <w:rPr>
          <w:rFonts w:hAnsi="標楷體" w:hint="eastAsia"/>
          <w:bCs w:val="0"/>
          <w:color w:val="000000" w:themeColor="text1"/>
          <w:lang w:val="ja-JP"/>
        </w:rPr>
        <w:t>）</w:t>
      </w:r>
      <w:r w:rsidRPr="00E616E6">
        <w:rPr>
          <w:rFonts w:hint="eastAsia"/>
          <w:bCs w:val="0"/>
          <w:color w:val="000000" w:themeColor="text1"/>
        </w:rPr>
        <w:t>依檔案法第1</w:t>
      </w:r>
      <w:r w:rsidRPr="00E616E6">
        <w:rPr>
          <w:bCs w:val="0"/>
          <w:color w:val="000000" w:themeColor="text1"/>
        </w:rPr>
        <w:t>2</w:t>
      </w:r>
      <w:r w:rsidRPr="00E616E6">
        <w:rPr>
          <w:rFonts w:hint="eastAsia"/>
          <w:bCs w:val="0"/>
          <w:color w:val="000000" w:themeColor="text1"/>
        </w:rPr>
        <w:t>條第4項規定訂定之</w:t>
      </w:r>
      <w:r w:rsidRPr="00E616E6">
        <w:rPr>
          <w:rFonts w:hAnsi="標楷體" w:hint="eastAsia"/>
          <w:color w:val="000000" w:themeColor="text1"/>
        </w:rPr>
        <w:t>「</w:t>
      </w:r>
      <w:r w:rsidRPr="00E616E6">
        <w:rPr>
          <w:rFonts w:hint="eastAsia"/>
          <w:color w:val="000000" w:themeColor="text1"/>
        </w:rPr>
        <w:t>機關檔案保存年限及銷毀辦法</w:t>
      </w:r>
      <w:r w:rsidRPr="00E616E6">
        <w:rPr>
          <w:rFonts w:hAnsi="標楷體" w:hint="eastAsia"/>
          <w:color w:val="000000" w:themeColor="text1"/>
        </w:rPr>
        <w:t>」</w:t>
      </w:r>
      <w:r w:rsidRPr="00E616E6">
        <w:rPr>
          <w:rFonts w:hint="eastAsia"/>
          <w:color w:val="000000" w:themeColor="text1"/>
        </w:rPr>
        <w:t>第3條第7款</w:t>
      </w:r>
      <w:r w:rsidRPr="00E616E6">
        <w:rPr>
          <w:color w:val="000000" w:themeColor="text1"/>
        </w:rPr>
        <w:t>規定</w:t>
      </w:r>
      <w:r w:rsidRPr="00E616E6">
        <w:rPr>
          <w:rFonts w:hint="eastAsia"/>
          <w:color w:val="000000" w:themeColor="text1"/>
        </w:rPr>
        <w:t>：「下列檔案之保存年限，應列為永久保存：…</w:t>
      </w:r>
      <w:proofErr w:type="gramStart"/>
      <w:r w:rsidRPr="00E616E6">
        <w:rPr>
          <w:rFonts w:hint="eastAsia"/>
          <w:color w:val="000000" w:themeColor="text1"/>
        </w:rPr>
        <w:t>…</w:t>
      </w:r>
      <w:proofErr w:type="gramEnd"/>
      <w:r w:rsidRPr="00E616E6">
        <w:rPr>
          <w:rFonts w:hint="eastAsia"/>
          <w:color w:val="000000" w:themeColor="text1"/>
        </w:rPr>
        <w:t>七</w:t>
      </w:r>
      <w:r w:rsidRPr="00E616E6">
        <w:rPr>
          <w:rFonts w:hAnsi="標楷體" w:hint="eastAsia"/>
          <w:color w:val="000000" w:themeColor="text1"/>
        </w:rPr>
        <w:t>、對國家、機關、社會大眾或個人權益之維護具有重大影響者。」檔案管理局依據上開辦法訂頒之「</w:t>
      </w:r>
      <w:r w:rsidRPr="00E616E6">
        <w:rPr>
          <w:rFonts w:hAnsi="標楷體"/>
          <w:color w:val="000000" w:themeColor="text1"/>
        </w:rPr>
        <w:t>檢察類檔案保存年限基準表</w:t>
      </w:r>
      <w:r w:rsidR="008776E6" w:rsidRPr="00E616E6">
        <w:rPr>
          <w:rFonts w:hAnsi="標楷體" w:hint="eastAsia"/>
          <w:color w:val="000000" w:themeColor="text1"/>
        </w:rPr>
        <w:t>」</w:t>
      </w:r>
      <w:r w:rsidRPr="00E616E6">
        <w:rPr>
          <w:rFonts w:hAnsi="標楷體" w:hint="eastAsia"/>
          <w:color w:val="000000" w:themeColor="text1"/>
        </w:rPr>
        <w:t>明定「</w:t>
      </w:r>
      <w:r w:rsidRPr="00E616E6">
        <w:rPr>
          <w:rFonts w:hAnsi="標楷體"/>
          <w:color w:val="000000" w:themeColor="text1"/>
        </w:rPr>
        <w:t>處死刑</w:t>
      </w:r>
      <w:r w:rsidRPr="00E616E6">
        <w:rPr>
          <w:rFonts w:hAnsi="標楷體" w:hint="eastAsia"/>
          <w:color w:val="000000" w:themeColor="text1"/>
        </w:rPr>
        <w:t>案卷、處</w:t>
      </w:r>
      <w:r w:rsidRPr="00E616E6">
        <w:rPr>
          <w:rFonts w:hAnsi="標楷體"/>
          <w:color w:val="000000" w:themeColor="text1"/>
        </w:rPr>
        <w:t>無期徒刑案卷</w:t>
      </w:r>
      <w:r w:rsidRPr="00E616E6">
        <w:rPr>
          <w:rFonts w:hAnsi="標楷體" w:hint="eastAsia"/>
          <w:color w:val="000000" w:themeColor="text1"/>
        </w:rPr>
        <w:t>」，機關應永久保存。</w:t>
      </w:r>
    </w:p>
    <w:p w14:paraId="7EA8BD84" w14:textId="2DC10ED0" w:rsidR="00AF74F7" w:rsidRPr="00E616E6" w:rsidRDefault="00AF74F7" w:rsidP="008135C9">
      <w:pPr>
        <w:pStyle w:val="3"/>
        <w:rPr>
          <w:rFonts w:hAnsi="標楷體"/>
          <w:bCs w:val="0"/>
          <w:color w:val="000000" w:themeColor="text1"/>
        </w:rPr>
      </w:pPr>
      <w:r w:rsidRPr="00E616E6">
        <w:rPr>
          <w:rFonts w:hAnsi="標楷體" w:hint="eastAsia"/>
          <w:bCs w:val="0"/>
          <w:color w:val="000000" w:themeColor="text1"/>
        </w:rPr>
        <w:t>經查，</w:t>
      </w:r>
      <w:r w:rsidR="00A14FE0" w:rsidRPr="00E616E6">
        <w:rPr>
          <w:rFonts w:hAnsi="標楷體" w:hint="eastAsia"/>
          <w:bCs w:val="0"/>
          <w:color w:val="000000" w:themeColor="text1"/>
        </w:rPr>
        <w:t>盧正案</w:t>
      </w:r>
      <w:proofErr w:type="gramStart"/>
      <w:r w:rsidR="0052736C" w:rsidRPr="00E616E6">
        <w:rPr>
          <w:rFonts w:hAnsi="標楷體" w:hint="eastAsia"/>
          <w:bCs w:val="0"/>
          <w:color w:val="000000" w:themeColor="text1"/>
        </w:rPr>
        <w:t>臺</w:t>
      </w:r>
      <w:proofErr w:type="gramEnd"/>
      <w:r w:rsidR="0052736C" w:rsidRPr="00E616E6">
        <w:rPr>
          <w:rFonts w:hAnsi="標楷體" w:hint="eastAsia"/>
          <w:bCs w:val="0"/>
          <w:color w:val="000000" w:themeColor="text1"/>
        </w:rPr>
        <w:t>南市警察局</w:t>
      </w:r>
      <w:r w:rsidRPr="00E616E6">
        <w:rPr>
          <w:rFonts w:hAnsi="標楷體" w:hint="eastAsia"/>
          <w:bCs w:val="0"/>
          <w:color w:val="000000" w:themeColor="text1"/>
        </w:rPr>
        <w:t>曾就「死者安全帽護罩上」、「歹徒使用之公用電話上」、「綑綁死者膠帶上」</w:t>
      </w:r>
      <w:proofErr w:type="gramStart"/>
      <w:r w:rsidRPr="00E616E6">
        <w:rPr>
          <w:rFonts w:hAnsi="標楷體" w:hint="eastAsia"/>
          <w:bCs w:val="0"/>
          <w:color w:val="000000" w:themeColor="text1"/>
        </w:rPr>
        <w:t>採</w:t>
      </w:r>
      <w:proofErr w:type="gramEnd"/>
      <w:r w:rsidRPr="00E616E6">
        <w:rPr>
          <w:rFonts w:hAnsi="標楷體" w:hint="eastAsia"/>
          <w:bCs w:val="0"/>
          <w:color w:val="000000" w:themeColor="text1"/>
        </w:rPr>
        <w:t>得的指紋，送請刑事局</w:t>
      </w:r>
      <w:proofErr w:type="gramStart"/>
      <w:r w:rsidRPr="00E616E6">
        <w:rPr>
          <w:rFonts w:hAnsi="標楷體" w:hint="eastAsia"/>
          <w:bCs w:val="0"/>
          <w:color w:val="000000" w:themeColor="text1"/>
        </w:rPr>
        <w:t>鑑</w:t>
      </w:r>
      <w:proofErr w:type="gramEnd"/>
      <w:r w:rsidRPr="00E616E6">
        <w:rPr>
          <w:rFonts w:hAnsi="標楷體" w:hint="eastAsia"/>
          <w:bCs w:val="0"/>
          <w:color w:val="000000" w:themeColor="text1"/>
        </w:rPr>
        <w:t>驗，刑事局87年1月2日</w:t>
      </w:r>
      <w:proofErr w:type="gramStart"/>
      <w:r w:rsidRPr="00E616E6">
        <w:rPr>
          <w:rFonts w:hAnsi="標楷體" w:hint="eastAsia"/>
          <w:bCs w:val="0"/>
          <w:color w:val="000000" w:themeColor="text1"/>
        </w:rPr>
        <w:t>鑑</w:t>
      </w:r>
      <w:proofErr w:type="gramEnd"/>
      <w:r w:rsidRPr="00E616E6">
        <w:rPr>
          <w:rFonts w:hAnsi="標楷體" w:hint="eastAsia"/>
          <w:bCs w:val="0"/>
          <w:color w:val="000000" w:themeColor="text1"/>
        </w:rPr>
        <w:t>驗結果，膠帶上發現3枚指紋（</w:t>
      </w:r>
      <w:proofErr w:type="gramStart"/>
      <w:r w:rsidR="0052736C" w:rsidRPr="00E616E6">
        <w:rPr>
          <w:rFonts w:hAnsi="標楷體" w:hint="eastAsia"/>
          <w:bCs w:val="0"/>
          <w:color w:val="000000" w:themeColor="text1"/>
        </w:rPr>
        <w:t>臺</w:t>
      </w:r>
      <w:proofErr w:type="gramEnd"/>
      <w:r w:rsidR="0052736C" w:rsidRPr="00E616E6">
        <w:rPr>
          <w:rFonts w:hAnsi="標楷體" w:hint="eastAsia"/>
          <w:bCs w:val="0"/>
          <w:color w:val="000000" w:themeColor="text1"/>
        </w:rPr>
        <w:t>南市警察局</w:t>
      </w:r>
      <w:r w:rsidRPr="00E616E6">
        <w:rPr>
          <w:rFonts w:hAnsi="標楷體" w:hint="eastAsia"/>
          <w:bCs w:val="0"/>
          <w:color w:val="000000" w:themeColor="text1"/>
        </w:rPr>
        <w:t>送請</w:t>
      </w:r>
      <w:proofErr w:type="gramStart"/>
      <w:r w:rsidRPr="00E616E6">
        <w:rPr>
          <w:rFonts w:hAnsi="標楷體" w:hint="eastAsia"/>
          <w:bCs w:val="0"/>
          <w:color w:val="000000" w:themeColor="text1"/>
        </w:rPr>
        <w:t>鑑</w:t>
      </w:r>
      <w:proofErr w:type="gramEnd"/>
      <w:r w:rsidRPr="00E616E6">
        <w:rPr>
          <w:rFonts w:hAnsi="標楷體" w:hint="eastAsia"/>
          <w:bCs w:val="0"/>
          <w:color w:val="000000" w:themeColor="text1"/>
        </w:rPr>
        <w:t>驗公文稱</w:t>
      </w:r>
      <w:proofErr w:type="gramStart"/>
      <w:r w:rsidRPr="00E616E6">
        <w:rPr>
          <w:rFonts w:hAnsi="標楷體" w:hint="eastAsia"/>
          <w:bCs w:val="0"/>
          <w:color w:val="000000" w:themeColor="text1"/>
        </w:rPr>
        <w:t>採</w:t>
      </w:r>
      <w:proofErr w:type="gramEnd"/>
      <w:r w:rsidRPr="00E616E6">
        <w:rPr>
          <w:rFonts w:hAnsi="標楷體" w:hint="eastAsia"/>
          <w:bCs w:val="0"/>
          <w:color w:val="000000" w:themeColor="text1"/>
        </w:rPr>
        <w:t>得指紋2枚，刑事局</w:t>
      </w:r>
      <w:proofErr w:type="gramStart"/>
      <w:r w:rsidRPr="00E616E6">
        <w:rPr>
          <w:rFonts w:hAnsi="標楷體" w:hint="eastAsia"/>
          <w:bCs w:val="0"/>
          <w:color w:val="000000" w:themeColor="text1"/>
        </w:rPr>
        <w:t>鑑</w:t>
      </w:r>
      <w:proofErr w:type="gramEnd"/>
      <w:r w:rsidRPr="00E616E6">
        <w:rPr>
          <w:rFonts w:hAnsi="標楷體" w:hint="eastAsia"/>
          <w:bCs w:val="0"/>
          <w:color w:val="000000" w:themeColor="text1"/>
        </w:rPr>
        <w:t>驗結果發現3枚），</w:t>
      </w:r>
      <w:proofErr w:type="gramStart"/>
      <w:r w:rsidRPr="00E616E6">
        <w:rPr>
          <w:rFonts w:hAnsi="標楷體" w:hint="eastAsia"/>
          <w:bCs w:val="0"/>
          <w:color w:val="000000" w:themeColor="text1"/>
        </w:rPr>
        <w:t>均為被害人</w:t>
      </w:r>
      <w:proofErr w:type="gramEnd"/>
      <w:r w:rsidRPr="00E616E6">
        <w:rPr>
          <w:rFonts w:hAnsi="標楷體" w:hint="eastAsia"/>
          <w:bCs w:val="0"/>
          <w:color w:val="000000" w:themeColor="text1"/>
        </w:rPr>
        <w:t>指紋，安全帽護罩上與公用電話上各</w:t>
      </w:r>
      <w:proofErr w:type="gramStart"/>
      <w:r w:rsidRPr="00E616E6">
        <w:rPr>
          <w:rFonts w:hAnsi="標楷體" w:hint="eastAsia"/>
          <w:bCs w:val="0"/>
          <w:color w:val="000000" w:themeColor="text1"/>
        </w:rPr>
        <w:t>採</w:t>
      </w:r>
      <w:proofErr w:type="gramEnd"/>
      <w:r w:rsidRPr="00E616E6">
        <w:rPr>
          <w:rFonts w:hAnsi="標楷體" w:hint="eastAsia"/>
          <w:bCs w:val="0"/>
          <w:color w:val="000000" w:themeColor="text1"/>
        </w:rPr>
        <w:t>得1枚指紋，比對</w:t>
      </w:r>
      <w:proofErr w:type="gramStart"/>
      <w:r w:rsidRPr="00E616E6">
        <w:rPr>
          <w:rFonts w:hAnsi="標楷體" w:hint="eastAsia"/>
          <w:bCs w:val="0"/>
          <w:color w:val="000000" w:themeColor="text1"/>
        </w:rPr>
        <w:t>結果均未發現</w:t>
      </w:r>
      <w:proofErr w:type="gramEnd"/>
      <w:r w:rsidRPr="00E616E6">
        <w:rPr>
          <w:rFonts w:hAnsi="標楷體" w:hint="eastAsia"/>
          <w:bCs w:val="0"/>
          <w:color w:val="000000" w:themeColor="text1"/>
        </w:rPr>
        <w:t>相符者。本院原擬就上開採得指紋之證物，請刑事局再行鑑定比對，然經</w:t>
      </w:r>
      <w:proofErr w:type="gramStart"/>
      <w:r w:rsidRPr="00E616E6">
        <w:rPr>
          <w:rFonts w:hAnsi="標楷體" w:hint="eastAsia"/>
          <w:bCs w:val="0"/>
          <w:color w:val="000000" w:themeColor="text1"/>
        </w:rPr>
        <w:t>臺</w:t>
      </w:r>
      <w:proofErr w:type="gramEnd"/>
      <w:r w:rsidRPr="00E616E6">
        <w:rPr>
          <w:rFonts w:hAnsi="標楷體" w:hint="eastAsia"/>
          <w:bCs w:val="0"/>
          <w:color w:val="000000" w:themeColor="text1"/>
        </w:rPr>
        <w:t>南地檢署</w:t>
      </w:r>
      <w:proofErr w:type="gramStart"/>
      <w:r w:rsidRPr="00E616E6">
        <w:rPr>
          <w:rFonts w:hAnsi="標楷體" w:hint="eastAsia"/>
          <w:bCs w:val="0"/>
          <w:color w:val="000000" w:themeColor="text1"/>
        </w:rPr>
        <w:t>函復本院</w:t>
      </w:r>
      <w:proofErr w:type="gramEnd"/>
      <w:r w:rsidRPr="00E616E6">
        <w:rPr>
          <w:rFonts w:hAnsi="標楷體" w:hint="eastAsia"/>
          <w:bCs w:val="0"/>
          <w:color w:val="000000" w:themeColor="text1"/>
        </w:rPr>
        <w:t>，上開證物已銷</w:t>
      </w:r>
      <w:proofErr w:type="gramStart"/>
      <w:r w:rsidRPr="00E616E6">
        <w:rPr>
          <w:rFonts w:hAnsi="標楷體" w:hint="eastAsia"/>
          <w:bCs w:val="0"/>
          <w:color w:val="000000" w:themeColor="text1"/>
        </w:rPr>
        <w:t>燬</w:t>
      </w:r>
      <w:proofErr w:type="gramEnd"/>
      <w:r w:rsidRPr="00E616E6">
        <w:rPr>
          <w:rFonts w:hAnsi="標楷體" w:hint="eastAsia"/>
          <w:bCs w:val="0"/>
          <w:color w:val="000000" w:themeColor="text1"/>
        </w:rPr>
        <w:t>，案經本院請刑事</w:t>
      </w:r>
      <w:proofErr w:type="gramStart"/>
      <w:r w:rsidRPr="00E616E6">
        <w:rPr>
          <w:rFonts w:hAnsi="標楷體" w:hint="eastAsia"/>
          <w:bCs w:val="0"/>
          <w:color w:val="000000" w:themeColor="text1"/>
        </w:rPr>
        <w:t>局就檔存</w:t>
      </w:r>
      <w:proofErr w:type="gramEnd"/>
      <w:r w:rsidRPr="00E616E6">
        <w:rPr>
          <w:rFonts w:hAnsi="標楷體" w:hint="eastAsia"/>
          <w:bCs w:val="0"/>
          <w:color w:val="000000" w:themeColor="text1"/>
        </w:rPr>
        <w:t>資料留有</w:t>
      </w:r>
      <w:proofErr w:type="gramStart"/>
      <w:r w:rsidR="0052736C" w:rsidRPr="00E616E6">
        <w:rPr>
          <w:rFonts w:hAnsi="標楷體" w:hint="eastAsia"/>
          <w:bCs w:val="0"/>
          <w:color w:val="000000" w:themeColor="text1"/>
        </w:rPr>
        <w:t>臺</w:t>
      </w:r>
      <w:proofErr w:type="gramEnd"/>
      <w:r w:rsidR="0052736C" w:rsidRPr="00E616E6">
        <w:rPr>
          <w:rFonts w:hAnsi="標楷體" w:hint="eastAsia"/>
          <w:bCs w:val="0"/>
          <w:color w:val="000000" w:themeColor="text1"/>
        </w:rPr>
        <w:t>南市警察局</w:t>
      </w:r>
      <w:r w:rsidRPr="00E616E6">
        <w:rPr>
          <w:rFonts w:hAnsi="標楷體" w:hint="eastAsia"/>
          <w:bCs w:val="0"/>
          <w:color w:val="000000" w:themeColor="text1"/>
        </w:rPr>
        <w:t>送驗的5枚指紋照片，以現今資料庫再行比對結果，</w:t>
      </w:r>
      <w:proofErr w:type="gramStart"/>
      <w:r w:rsidRPr="00E616E6">
        <w:rPr>
          <w:rFonts w:hAnsi="標楷體"/>
          <w:bCs w:val="0"/>
          <w:color w:val="000000" w:themeColor="text1"/>
          <w:lang w:val="ja-JP"/>
        </w:rPr>
        <w:t>採</w:t>
      </w:r>
      <w:proofErr w:type="gramEnd"/>
      <w:r w:rsidRPr="00E616E6">
        <w:rPr>
          <w:rFonts w:hAnsi="標楷體"/>
          <w:bCs w:val="0"/>
          <w:color w:val="000000" w:themeColor="text1"/>
          <w:lang w:val="ja-JP"/>
        </w:rPr>
        <w:t>自安全帽護罩上及電話筒上</w:t>
      </w:r>
      <w:r w:rsidRPr="00E616E6">
        <w:rPr>
          <w:rFonts w:hAnsi="標楷體" w:hint="eastAsia"/>
          <w:bCs w:val="0"/>
          <w:color w:val="000000" w:themeColor="text1"/>
          <w:lang w:val="ja-JP"/>
        </w:rPr>
        <w:t>的</w:t>
      </w:r>
      <w:r w:rsidRPr="00E616E6">
        <w:rPr>
          <w:rFonts w:hAnsi="標楷體"/>
          <w:bCs w:val="0"/>
          <w:color w:val="000000" w:themeColor="text1"/>
          <w:lang w:val="ja-JP"/>
        </w:rPr>
        <w:t>指紋，</w:t>
      </w:r>
      <w:r w:rsidRPr="00E616E6">
        <w:rPr>
          <w:rFonts w:hAnsi="標楷體" w:hint="eastAsia"/>
          <w:bCs w:val="0"/>
          <w:color w:val="000000" w:themeColor="text1"/>
          <w:lang w:val="ja-JP"/>
        </w:rPr>
        <w:t>仍</w:t>
      </w:r>
      <w:r w:rsidRPr="00E616E6">
        <w:rPr>
          <w:rFonts w:hAnsi="標楷體"/>
          <w:bCs w:val="0"/>
          <w:color w:val="000000" w:themeColor="text1"/>
          <w:lang w:val="ja-JP"/>
        </w:rPr>
        <w:t>未發現相符者</w:t>
      </w:r>
      <w:r w:rsidR="00CC22A5" w:rsidRPr="00E616E6">
        <w:rPr>
          <w:rFonts w:hAnsi="標楷體" w:hint="eastAsia"/>
          <w:bCs w:val="0"/>
          <w:color w:val="000000" w:themeColor="text1"/>
          <w:lang w:val="ja-JP"/>
        </w:rPr>
        <w:t>；</w:t>
      </w:r>
      <w:r w:rsidRPr="00E616E6">
        <w:rPr>
          <w:rFonts w:hAnsi="標楷體" w:hint="eastAsia"/>
          <w:bCs w:val="0"/>
          <w:color w:val="000000" w:themeColor="text1"/>
          <w:lang w:val="ja-JP"/>
        </w:rPr>
        <w:t>而未能發現相符者的原因，</w:t>
      </w:r>
      <w:proofErr w:type="gramStart"/>
      <w:r w:rsidRPr="00E616E6">
        <w:rPr>
          <w:rFonts w:hAnsi="標楷體" w:hint="eastAsia"/>
          <w:bCs w:val="0"/>
          <w:color w:val="000000" w:themeColor="text1"/>
          <w:lang w:val="ja-JP"/>
        </w:rPr>
        <w:t>詢</w:t>
      </w:r>
      <w:proofErr w:type="gramEnd"/>
      <w:r w:rsidRPr="00E616E6">
        <w:rPr>
          <w:rFonts w:hAnsi="標楷體" w:hint="eastAsia"/>
          <w:bCs w:val="0"/>
          <w:color w:val="000000" w:themeColor="text1"/>
          <w:lang w:val="ja-JP"/>
        </w:rPr>
        <w:t>據刑事局表示，</w:t>
      </w:r>
      <w:r w:rsidRPr="00E616E6">
        <w:rPr>
          <w:rFonts w:hAnsi="標楷體" w:hint="eastAsia"/>
          <w:bCs w:val="0"/>
          <w:color w:val="000000" w:themeColor="text1"/>
        </w:rPr>
        <w:t>除受限該案現場遺留之指紋品質欠佳外，指紋資料庫蒐集範圍尚未包含全民指紋檔案。</w:t>
      </w:r>
      <w:r w:rsidRPr="00E616E6">
        <w:rPr>
          <w:rFonts w:hAnsi="標楷體" w:hint="eastAsia"/>
          <w:bCs w:val="0"/>
          <w:color w:val="000000" w:themeColor="text1"/>
          <w:lang w:val="ja-JP"/>
        </w:rPr>
        <w:t>是</w:t>
      </w:r>
      <w:proofErr w:type="gramStart"/>
      <w:r w:rsidRPr="00E616E6">
        <w:rPr>
          <w:rFonts w:hAnsi="標楷體" w:hint="eastAsia"/>
          <w:bCs w:val="0"/>
          <w:color w:val="000000" w:themeColor="text1"/>
          <w:lang w:val="ja-JP"/>
        </w:rPr>
        <w:t>以</w:t>
      </w:r>
      <w:proofErr w:type="gramEnd"/>
      <w:r w:rsidRPr="00E616E6">
        <w:rPr>
          <w:rFonts w:hAnsi="標楷體" w:hint="eastAsia"/>
          <w:bCs w:val="0"/>
          <w:color w:val="000000" w:themeColor="text1"/>
          <w:lang w:val="ja-JP"/>
        </w:rPr>
        <w:t>，倘該案指紋</w:t>
      </w:r>
      <w:proofErr w:type="gramStart"/>
      <w:r w:rsidRPr="00E616E6">
        <w:rPr>
          <w:rFonts w:hAnsi="標楷體" w:hint="eastAsia"/>
          <w:bCs w:val="0"/>
          <w:color w:val="000000" w:themeColor="text1"/>
          <w:lang w:val="ja-JP"/>
        </w:rPr>
        <w:t>照片倘善保存</w:t>
      </w:r>
      <w:proofErr w:type="gramEnd"/>
      <w:r w:rsidRPr="00E616E6">
        <w:rPr>
          <w:rFonts w:hAnsi="標楷體" w:hint="eastAsia"/>
          <w:bCs w:val="0"/>
          <w:color w:val="000000" w:themeColor="text1"/>
          <w:lang w:val="ja-JP"/>
        </w:rPr>
        <w:t>，後續仍有與新建檔的指紋資料</w:t>
      </w:r>
      <w:r w:rsidRPr="00E616E6">
        <w:rPr>
          <w:rFonts w:hAnsi="標楷體" w:hint="eastAsia"/>
          <w:bCs w:val="0"/>
          <w:color w:val="000000" w:themeColor="text1"/>
          <w:lang w:val="ja-JP"/>
        </w:rPr>
        <w:lastRenderedPageBreak/>
        <w:t>進行比對之可能。</w:t>
      </w:r>
    </w:p>
    <w:p w14:paraId="2A7B5EF3" w14:textId="6263E488" w:rsidR="00AF74F7" w:rsidRPr="00E616E6" w:rsidRDefault="00E40E07" w:rsidP="008135C9">
      <w:pPr>
        <w:pStyle w:val="3"/>
        <w:rPr>
          <w:rFonts w:hAnsi="標楷體"/>
          <w:color w:val="000000" w:themeColor="text1"/>
        </w:rPr>
      </w:pPr>
      <w:proofErr w:type="gramStart"/>
      <w:r w:rsidRPr="00E616E6">
        <w:rPr>
          <w:rFonts w:hAnsi="標楷體" w:hint="eastAsia"/>
          <w:color w:val="000000" w:themeColor="text1"/>
        </w:rPr>
        <w:t>惟</w:t>
      </w:r>
      <w:proofErr w:type="gramEnd"/>
      <w:r w:rsidR="00AF74F7" w:rsidRPr="00E616E6">
        <w:rPr>
          <w:rFonts w:hAnsi="標楷體" w:hint="eastAsia"/>
          <w:color w:val="000000" w:themeColor="text1"/>
        </w:rPr>
        <w:t>警政署於本院詢問表示：現今各警察局採取現場指紋通常是以照相方式記錄保存，並無特定保存年限，送請刑事局鑑定時，檢附指紋照片1式2張，其中1張進行指紋鑑定後，附卷歸檔，另1張隨鑑定書檢還送</w:t>
      </w:r>
      <w:proofErr w:type="gramStart"/>
      <w:r w:rsidR="00AF74F7" w:rsidRPr="00E616E6">
        <w:rPr>
          <w:rFonts w:hAnsi="標楷體" w:hint="eastAsia"/>
          <w:color w:val="000000" w:themeColor="text1"/>
        </w:rPr>
        <w:t>鑑</w:t>
      </w:r>
      <w:proofErr w:type="gramEnd"/>
      <w:r w:rsidR="00AF74F7" w:rsidRPr="00E616E6">
        <w:rPr>
          <w:rFonts w:hAnsi="標楷體" w:hint="eastAsia"/>
          <w:color w:val="000000" w:themeColor="text1"/>
        </w:rPr>
        <w:t>機關，留存刑事局指紋照片因隨公文歸檔，保存年限與公文保存年限相同，普通刑案鑑定案保存年限20年、重大刑案鑑定案保存年限30年等語。</w:t>
      </w:r>
      <w:r w:rsidRPr="00E616E6">
        <w:rPr>
          <w:rFonts w:hAnsi="標楷體" w:hint="eastAsia"/>
          <w:color w:val="000000" w:themeColor="text1"/>
        </w:rPr>
        <w:t>經核</w:t>
      </w:r>
      <w:r w:rsidR="00AF74F7" w:rsidRPr="00E616E6">
        <w:rPr>
          <w:rFonts w:hAnsi="標楷體" w:hint="eastAsia"/>
          <w:color w:val="000000" w:themeColor="text1"/>
        </w:rPr>
        <w:t>，刑事局對於指紋照片資料之保存年限，與</w:t>
      </w:r>
      <w:r w:rsidR="00AF74F7" w:rsidRPr="00E616E6">
        <w:rPr>
          <w:rFonts w:hAnsi="標楷體" w:hint="eastAsia"/>
          <w:bCs w:val="0"/>
          <w:color w:val="000000" w:themeColor="text1"/>
          <w:lang w:val="ja-JP"/>
        </w:rPr>
        <w:t>檔案法有關判處死刑、無期徒刑案卷應永久保存之規定，有所不同，警政主管機關內政部允應會商法務部與檔案管理局，</w:t>
      </w:r>
      <w:proofErr w:type="gramStart"/>
      <w:r w:rsidR="00AF74F7" w:rsidRPr="00E616E6">
        <w:rPr>
          <w:rFonts w:hAnsi="標楷體" w:hint="eastAsia"/>
          <w:bCs w:val="0"/>
          <w:color w:val="000000" w:themeColor="text1"/>
          <w:lang w:val="ja-JP"/>
        </w:rPr>
        <w:t>研</w:t>
      </w:r>
      <w:proofErr w:type="gramEnd"/>
      <w:r w:rsidR="00AF74F7" w:rsidRPr="00E616E6">
        <w:rPr>
          <w:rFonts w:hAnsi="標楷體" w:hint="eastAsia"/>
          <w:bCs w:val="0"/>
          <w:color w:val="000000" w:themeColor="text1"/>
          <w:lang w:val="ja-JP"/>
        </w:rPr>
        <w:t>議現行指紋照片保存年限問題，</w:t>
      </w:r>
      <w:proofErr w:type="gramStart"/>
      <w:r w:rsidR="00AF74F7" w:rsidRPr="00E616E6">
        <w:rPr>
          <w:rFonts w:hAnsi="標楷體" w:hint="eastAsia"/>
          <w:bCs w:val="0"/>
          <w:color w:val="000000" w:themeColor="text1"/>
          <w:lang w:val="ja-JP"/>
        </w:rPr>
        <w:t>俾</w:t>
      </w:r>
      <w:proofErr w:type="gramEnd"/>
      <w:r w:rsidR="00AF74F7" w:rsidRPr="00E616E6">
        <w:rPr>
          <w:rFonts w:hAnsi="標楷體" w:hint="eastAsia"/>
          <w:bCs w:val="0"/>
          <w:color w:val="000000" w:themeColor="text1"/>
          <w:lang w:val="ja-JP"/>
        </w:rPr>
        <w:t>符合檔案法規定意旨。</w:t>
      </w:r>
    </w:p>
    <w:p w14:paraId="59F65CA1" w14:textId="2295F636" w:rsidR="00AF74F7" w:rsidRPr="00E616E6" w:rsidRDefault="00092056" w:rsidP="009D7AA7">
      <w:pPr>
        <w:pStyle w:val="2"/>
        <w:rPr>
          <w:b/>
          <w:bCs w:val="0"/>
          <w:color w:val="000000" w:themeColor="text1"/>
        </w:rPr>
      </w:pPr>
      <w:r w:rsidRPr="00E616E6">
        <w:rPr>
          <w:rFonts w:hint="eastAsia"/>
          <w:b/>
          <w:bCs w:val="0"/>
          <w:color w:val="000000" w:themeColor="text1"/>
        </w:rPr>
        <w:t>刑案證物的</w:t>
      </w:r>
      <w:r w:rsidR="00AF74F7" w:rsidRPr="00E616E6">
        <w:rPr>
          <w:rFonts w:hint="eastAsia"/>
          <w:b/>
          <w:bCs w:val="0"/>
          <w:color w:val="000000" w:themeColor="text1"/>
        </w:rPr>
        <w:t>保存情形，</w:t>
      </w:r>
      <w:proofErr w:type="gramStart"/>
      <w:r w:rsidR="00AF74F7" w:rsidRPr="00E616E6">
        <w:rPr>
          <w:rFonts w:hint="eastAsia"/>
          <w:b/>
          <w:bCs w:val="0"/>
          <w:color w:val="000000" w:themeColor="text1"/>
        </w:rPr>
        <w:t>攸</w:t>
      </w:r>
      <w:proofErr w:type="gramEnd"/>
      <w:r w:rsidR="00AF74F7" w:rsidRPr="00E616E6">
        <w:rPr>
          <w:rFonts w:hint="eastAsia"/>
          <w:b/>
          <w:bCs w:val="0"/>
          <w:color w:val="000000" w:themeColor="text1"/>
        </w:rPr>
        <w:t>關受判決人及其家屬於有罪判決確定後，</w:t>
      </w:r>
      <w:proofErr w:type="gramStart"/>
      <w:r w:rsidR="00AF74F7" w:rsidRPr="00E616E6">
        <w:rPr>
          <w:rFonts w:hint="eastAsia"/>
          <w:b/>
          <w:bCs w:val="0"/>
          <w:color w:val="000000" w:themeColor="text1"/>
        </w:rPr>
        <w:t>得否聲請</w:t>
      </w:r>
      <w:proofErr w:type="gramEnd"/>
      <w:r w:rsidR="00AF74F7" w:rsidRPr="00E616E6">
        <w:rPr>
          <w:rFonts w:hint="eastAsia"/>
          <w:b/>
          <w:bCs w:val="0"/>
          <w:color w:val="000000" w:themeColor="text1"/>
        </w:rPr>
        <w:t>重新鑑定DNA，以發現新事實或新證據，又依檔案法規定</w:t>
      </w:r>
      <w:r w:rsidR="00AF74F7" w:rsidRPr="00E616E6">
        <w:rPr>
          <w:rFonts w:hAnsi="標楷體" w:hint="eastAsia"/>
          <w:b/>
          <w:bCs w:val="0"/>
          <w:color w:val="000000" w:themeColor="text1"/>
        </w:rPr>
        <w:t>，</w:t>
      </w:r>
      <w:r w:rsidR="00AF74F7" w:rsidRPr="00E616E6">
        <w:rPr>
          <w:rFonts w:hint="eastAsia"/>
          <w:b/>
          <w:bCs w:val="0"/>
          <w:color w:val="000000" w:themeColor="text1"/>
        </w:rPr>
        <w:t>判處死刑</w:t>
      </w:r>
      <w:r w:rsidR="00AF74F7" w:rsidRPr="00E616E6">
        <w:rPr>
          <w:rFonts w:hAnsi="標楷體" w:hint="eastAsia"/>
          <w:b/>
          <w:bCs w:val="0"/>
          <w:color w:val="000000" w:themeColor="text1"/>
        </w:rPr>
        <w:t>、</w:t>
      </w:r>
      <w:r w:rsidR="00AF74F7" w:rsidRPr="00E616E6">
        <w:rPr>
          <w:rFonts w:hint="eastAsia"/>
          <w:b/>
          <w:bCs w:val="0"/>
          <w:color w:val="000000" w:themeColor="text1"/>
        </w:rPr>
        <w:t>無期徒刑等重罪案卷應永久保存，</w:t>
      </w:r>
      <w:proofErr w:type="gramStart"/>
      <w:r w:rsidR="00AF74F7" w:rsidRPr="00E616E6">
        <w:rPr>
          <w:rFonts w:hint="eastAsia"/>
          <w:b/>
          <w:bCs w:val="0"/>
          <w:color w:val="000000" w:themeColor="text1"/>
        </w:rPr>
        <w:t>惟查</w:t>
      </w:r>
      <w:proofErr w:type="gramEnd"/>
      <w:r w:rsidR="00AF74F7" w:rsidRPr="00E616E6">
        <w:rPr>
          <w:rFonts w:hint="eastAsia"/>
          <w:b/>
          <w:bCs w:val="0"/>
          <w:color w:val="000000" w:themeColor="text1"/>
        </w:rPr>
        <w:t>，各地檢署於判決確定後，對於帶有DNA證物之保管，卻以判決主文有無</w:t>
      </w:r>
      <w:proofErr w:type="gramStart"/>
      <w:r w:rsidR="00AF74F7" w:rsidRPr="00E616E6">
        <w:rPr>
          <w:rFonts w:hint="eastAsia"/>
          <w:b/>
          <w:bCs w:val="0"/>
          <w:color w:val="000000" w:themeColor="text1"/>
        </w:rPr>
        <w:t>諭</w:t>
      </w:r>
      <w:proofErr w:type="gramEnd"/>
      <w:r w:rsidR="00AF74F7" w:rsidRPr="00E616E6">
        <w:rPr>
          <w:rFonts w:hint="eastAsia"/>
          <w:b/>
          <w:bCs w:val="0"/>
          <w:color w:val="000000" w:themeColor="text1"/>
        </w:rPr>
        <w:t>知沒收扣押物，依刑事訴訟法第475條第2項規定及檢察機關辦理扣押物沒收物應行注意事項</w:t>
      </w:r>
      <w:r w:rsidR="00AF74F7" w:rsidRPr="00E616E6">
        <w:rPr>
          <w:rFonts w:hAnsi="標楷體" w:hint="eastAsia"/>
          <w:b/>
          <w:bCs w:val="0"/>
          <w:color w:val="000000" w:themeColor="text1"/>
        </w:rPr>
        <w:t>，由</w:t>
      </w:r>
      <w:r w:rsidR="00AF74F7" w:rsidRPr="00E616E6">
        <w:rPr>
          <w:rFonts w:hint="eastAsia"/>
          <w:b/>
          <w:bCs w:val="0"/>
          <w:color w:val="000000" w:themeColor="text1"/>
        </w:rPr>
        <w:t>扣押物有無「經濟上之價值」予以廢棄</w:t>
      </w:r>
      <w:r w:rsidR="00AF74F7" w:rsidRPr="00E616E6">
        <w:rPr>
          <w:rFonts w:hAnsi="標楷體" w:hint="eastAsia"/>
          <w:b/>
          <w:bCs w:val="0"/>
          <w:color w:val="000000" w:themeColor="text1"/>
        </w:rPr>
        <w:t>、</w:t>
      </w:r>
      <w:r w:rsidR="00AF74F7" w:rsidRPr="00E616E6">
        <w:rPr>
          <w:rFonts w:hint="eastAsia"/>
          <w:b/>
          <w:bCs w:val="0"/>
          <w:color w:val="000000" w:themeColor="text1"/>
        </w:rPr>
        <w:t>銷</w:t>
      </w:r>
      <w:proofErr w:type="gramStart"/>
      <w:r w:rsidR="00AF74F7" w:rsidRPr="00E616E6">
        <w:rPr>
          <w:rFonts w:hint="eastAsia"/>
          <w:b/>
          <w:bCs w:val="0"/>
          <w:color w:val="000000" w:themeColor="text1"/>
        </w:rPr>
        <w:t>燬</w:t>
      </w:r>
      <w:proofErr w:type="gramEnd"/>
      <w:r w:rsidR="00AF74F7" w:rsidRPr="00E616E6">
        <w:rPr>
          <w:rFonts w:hint="eastAsia"/>
          <w:b/>
          <w:bCs w:val="0"/>
          <w:color w:val="000000" w:themeColor="text1"/>
        </w:rPr>
        <w:t>，顯與刑事案件確定後去氧核醣核酸鑑定條例及檔案法為保障人權之相關規定立法意旨，有所未合，宜請法務部從「證據上之價值」審慎思考，通盤檢討判決確定後刑案證物保管問題，周延法制</w:t>
      </w:r>
      <w:r w:rsidR="00AF74F7" w:rsidRPr="00E616E6">
        <w:rPr>
          <w:rFonts w:hAnsi="標楷體" w:hint="eastAsia"/>
          <w:b/>
          <w:bCs w:val="0"/>
          <w:color w:val="000000" w:themeColor="text1"/>
        </w:rPr>
        <w:t>，</w:t>
      </w:r>
      <w:r w:rsidR="00990940" w:rsidRPr="00E616E6">
        <w:rPr>
          <w:rFonts w:hint="eastAsia"/>
          <w:b/>
          <w:bCs w:val="0"/>
          <w:color w:val="000000" w:themeColor="text1"/>
        </w:rPr>
        <w:t>並督促所屬</w:t>
      </w:r>
      <w:r w:rsidR="00AF74F7" w:rsidRPr="00E616E6">
        <w:rPr>
          <w:rFonts w:hint="eastAsia"/>
          <w:b/>
          <w:bCs w:val="0"/>
          <w:color w:val="000000" w:themeColor="text1"/>
        </w:rPr>
        <w:t>妥善保存。</w:t>
      </w:r>
    </w:p>
    <w:p w14:paraId="5B4C69D9" w14:textId="20D0C356" w:rsidR="00AF74F7" w:rsidRPr="00E616E6" w:rsidRDefault="00AF74F7" w:rsidP="00C80B87">
      <w:pPr>
        <w:pStyle w:val="3"/>
        <w:rPr>
          <w:color w:val="000000" w:themeColor="text1"/>
        </w:rPr>
      </w:pPr>
      <w:r w:rsidRPr="00E616E6">
        <w:rPr>
          <w:rFonts w:hint="eastAsia"/>
          <w:color w:val="000000" w:themeColor="text1"/>
        </w:rPr>
        <w:t>按</w:t>
      </w:r>
      <w:r w:rsidR="006533D8" w:rsidRPr="00E616E6">
        <w:rPr>
          <w:rFonts w:hint="eastAsia"/>
          <w:color w:val="000000" w:themeColor="text1"/>
        </w:rPr>
        <w:t>「</w:t>
      </w:r>
      <w:r w:rsidRPr="00E616E6">
        <w:rPr>
          <w:rFonts w:hint="eastAsia"/>
          <w:color w:val="000000" w:themeColor="text1"/>
        </w:rPr>
        <w:t>刑事案件確定後去氧核醣核酸鑑定條例</w:t>
      </w:r>
      <w:r w:rsidR="006533D8" w:rsidRPr="00E616E6">
        <w:rPr>
          <w:rFonts w:hint="eastAsia"/>
          <w:color w:val="000000" w:themeColor="text1"/>
        </w:rPr>
        <w:t>」</w:t>
      </w:r>
      <w:r w:rsidRPr="00E616E6">
        <w:rPr>
          <w:rFonts w:hAnsi="標楷體" w:hint="eastAsia"/>
          <w:color w:val="000000" w:themeColor="text1"/>
        </w:rPr>
        <w:t>（下稱DNA鑑定條例）</w:t>
      </w:r>
      <w:r w:rsidRPr="00E616E6">
        <w:rPr>
          <w:rFonts w:hint="eastAsia"/>
          <w:color w:val="000000" w:themeColor="text1"/>
        </w:rPr>
        <w:t>第1條至第4條規定，為維護刑事審判之正確，避免無辜之人受有冤抑，保障人權，維護正義，有罪判決確定後，合理相信就本案相關聯之證物或檢體進行DNA鑑定結果，可作為刑事訴訟法</w:t>
      </w:r>
      <w:r w:rsidRPr="00E616E6">
        <w:rPr>
          <w:rFonts w:hint="eastAsia"/>
          <w:color w:val="000000" w:themeColor="text1"/>
        </w:rPr>
        <w:lastRenderedPageBreak/>
        <w:t>第420條第1項第6款之新事實或新證據者，受判決人、受判決人之法定代理人或配偶、受判決人已死亡者，其配偶、直系血親、三親等內之旁系血親、二親等內之姻親或家長、家屬，得聲請原審法院就該證物或檢體進行DNA</w:t>
      </w:r>
      <w:r w:rsidR="00A2252A" w:rsidRPr="00E616E6">
        <w:rPr>
          <w:rFonts w:hint="eastAsia"/>
          <w:color w:val="000000" w:themeColor="text1"/>
        </w:rPr>
        <w:t>鑑定。另查</w:t>
      </w:r>
      <w:r w:rsidRPr="00E616E6">
        <w:rPr>
          <w:rFonts w:hint="eastAsia"/>
          <w:color w:val="000000" w:themeColor="text1"/>
        </w:rPr>
        <w:t>檔案管理局依「機關檔案保存年限及銷毀辦法」訂頒之「檢察類檔案保存年限基準表」，</w:t>
      </w:r>
      <w:r w:rsidR="00A2252A" w:rsidRPr="00E616E6">
        <w:rPr>
          <w:rFonts w:hint="eastAsia"/>
          <w:color w:val="000000" w:themeColor="text1"/>
        </w:rPr>
        <w:t>係</w:t>
      </w:r>
      <w:r w:rsidRPr="00E616E6">
        <w:rPr>
          <w:rFonts w:hint="eastAsia"/>
          <w:color w:val="000000" w:themeColor="text1"/>
        </w:rPr>
        <w:t>將有罪判決案件，依刑度區分案卷保存年限，「處死刑、處無期徒刑案卷，永久保存」、「處十年以上有期徒刑案卷，保存15年」、「處三年以上十年未滿有期徒刑案卷，保存10年」、「</w:t>
      </w:r>
      <w:r w:rsidRPr="00E616E6">
        <w:rPr>
          <w:color w:val="000000" w:themeColor="text1"/>
        </w:rPr>
        <w:t>處三年未滿有期徒刑案卷</w:t>
      </w:r>
      <w:r w:rsidRPr="00E616E6">
        <w:rPr>
          <w:rFonts w:hAnsi="標楷體" w:hint="eastAsia"/>
          <w:color w:val="000000" w:themeColor="text1"/>
        </w:rPr>
        <w:t>，保存</w:t>
      </w:r>
      <w:r w:rsidRPr="00E616E6">
        <w:rPr>
          <w:rFonts w:hAnsi="標楷體"/>
          <w:color w:val="000000" w:themeColor="text1"/>
        </w:rPr>
        <w:t>5</w:t>
      </w:r>
      <w:r w:rsidRPr="00E616E6">
        <w:rPr>
          <w:rFonts w:hAnsi="標楷體" w:hint="eastAsia"/>
          <w:color w:val="000000" w:themeColor="text1"/>
        </w:rPr>
        <w:t>年」、「</w:t>
      </w:r>
      <w:r w:rsidRPr="00E616E6">
        <w:rPr>
          <w:rFonts w:hAnsi="標楷體"/>
          <w:color w:val="000000" w:themeColor="text1"/>
        </w:rPr>
        <w:t>處拘役、罰金案卷</w:t>
      </w:r>
      <w:r w:rsidRPr="00E616E6">
        <w:rPr>
          <w:rFonts w:hAnsi="標楷體" w:hint="eastAsia"/>
          <w:color w:val="000000" w:themeColor="text1"/>
        </w:rPr>
        <w:t>，保存3年」。鑑定方法日新月異，帶有DNA</w:t>
      </w:r>
      <w:r w:rsidRPr="00E616E6">
        <w:rPr>
          <w:rFonts w:hint="eastAsia"/>
          <w:color w:val="000000" w:themeColor="text1"/>
        </w:rPr>
        <w:t>之證物及檢體，於判決確定後</w:t>
      </w:r>
      <w:r w:rsidRPr="00E616E6">
        <w:rPr>
          <w:rFonts w:hAnsi="標楷體" w:hint="eastAsia"/>
          <w:color w:val="000000" w:themeColor="text1"/>
        </w:rPr>
        <w:t>，</w:t>
      </w:r>
      <w:r w:rsidRPr="00E616E6">
        <w:rPr>
          <w:rFonts w:hint="eastAsia"/>
          <w:color w:val="000000" w:themeColor="text1"/>
        </w:rPr>
        <w:t>仍有協助司法</w:t>
      </w:r>
      <w:proofErr w:type="gramStart"/>
      <w:r w:rsidRPr="00E616E6">
        <w:rPr>
          <w:rFonts w:hint="eastAsia"/>
          <w:color w:val="000000" w:themeColor="text1"/>
        </w:rPr>
        <w:t>釐</w:t>
      </w:r>
      <w:proofErr w:type="gramEnd"/>
      <w:r w:rsidRPr="00E616E6">
        <w:rPr>
          <w:rFonts w:hint="eastAsia"/>
          <w:color w:val="000000" w:themeColor="text1"/>
        </w:rPr>
        <w:t>清真相的重要證據價值</w:t>
      </w:r>
      <w:r w:rsidRPr="00E616E6">
        <w:rPr>
          <w:rFonts w:hAnsi="標楷體" w:hint="eastAsia"/>
          <w:color w:val="000000" w:themeColor="text1"/>
        </w:rPr>
        <w:t>，判處死刑、無期徒刑等重罪案件，</w:t>
      </w:r>
      <w:proofErr w:type="gramStart"/>
      <w:r w:rsidRPr="00E616E6">
        <w:rPr>
          <w:rFonts w:hAnsi="標楷體" w:hint="eastAsia"/>
          <w:color w:val="000000" w:themeColor="text1"/>
        </w:rPr>
        <w:t>尤易引發</w:t>
      </w:r>
      <w:proofErr w:type="gramEnd"/>
      <w:r w:rsidRPr="00E616E6">
        <w:rPr>
          <w:rFonts w:hAnsi="標楷體" w:hint="eastAsia"/>
          <w:color w:val="000000" w:themeColor="text1"/>
        </w:rPr>
        <w:t>冤抑爭議，為保障人權，職司證物保管之</w:t>
      </w:r>
      <w:r w:rsidR="00A2252A" w:rsidRPr="00E616E6">
        <w:rPr>
          <w:rFonts w:hAnsi="標楷體" w:hint="eastAsia"/>
          <w:color w:val="000000" w:themeColor="text1"/>
        </w:rPr>
        <w:t>相關</w:t>
      </w:r>
      <w:r w:rsidRPr="00E616E6">
        <w:rPr>
          <w:rFonts w:hAnsi="標楷體" w:hint="eastAsia"/>
          <w:color w:val="000000" w:themeColor="text1"/>
        </w:rPr>
        <w:t>機關，</w:t>
      </w:r>
      <w:r w:rsidRPr="00E616E6">
        <w:rPr>
          <w:rFonts w:hint="eastAsia"/>
          <w:color w:val="000000" w:themeColor="text1"/>
        </w:rPr>
        <w:t>理應</w:t>
      </w:r>
      <w:r w:rsidRPr="00E616E6">
        <w:rPr>
          <w:rFonts w:hAnsi="標楷體" w:hint="eastAsia"/>
          <w:color w:val="000000" w:themeColor="text1"/>
        </w:rPr>
        <w:t>盡早周延判決確定後刑案證物保管法制，並確實</w:t>
      </w:r>
      <w:r w:rsidRPr="00E616E6">
        <w:rPr>
          <w:rFonts w:hint="eastAsia"/>
          <w:color w:val="000000" w:themeColor="text1"/>
        </w:rPr>
        <w:t>妥善保存</w:t>
      </w:r>
      <w:r w:rsidRPr="00E616E6">
        <w:rPr>
          <w:rFonts w:hAnsi="標楷體" w:hint="eastAsia"/>
          <w:color w:val="000000" w:themeColor="text1"/>
        </w:rPr>
        <w:t>。</w:t>
      </w:r>
    </w:p>
    <w:p w14:paraId="1D85901D" w14:textId="306271C4" w:rsidR="00AF74F7" w:rsidRPr="00E616E6" w:rsidRDefault="00AF74F7" w:rsidP="00F83871">
      <w:pPr>
        <w:pStyle w:val="3"/>
        <w:rPr>
          <w:color w:val="000000" w:themeColor="text1"/>
        </w:rPr>
      </w:pPr>
      <w:r w:rsidRPr="00E616E6">
        <w:rPr>
          <w:rFonts w:hint="eastAsia"/>
          <w:color w:val="000000" w:themeColor="text1"/>
        </w:rPr>
        <w:t>經查，盧正案經警方扣押，可能帶有DNA之證物，計有「疑似用來勒死被害人頸部之鞋帶</w:t>
      </w:r>
      <w:r w:rsidRPr="00E616E6">
        <w:rPr>
          <w:color w:val="000000" w:themeColor="text1"/>
        </w:rPr>
        <w:t>2</w:t>
      </w:r>
      <w:r w:rsidRPr="00E616E6">
        <w:rPr>
          <w:rFonts w:hint="eastAsia"/>
          <w:color w:val="000000" w:themeColor="text1"/>
        </w:rPr>
        <w:t>條」、「綑綁被害人臉部及身體之膠帶</w:t>
      </w:r>
      <w:r w:rsidRPr="00E616E6">
        <w:rPr>
          <w:rFonts w:hAnsi="標楷體" w:hint="eastAsia"/>
          <w:color w:val="000000" w:themeColor="text1"/>
        </w:rPr>
        <w:t>（</w:t>
      </w:r>
      <w:r w:rsidRPr="00E616E6">
        <w:rPr>
          <w:rFonts w:hint="eastAsia"/>
          <w:color w:val="000000" w:themeColor="text1"/>
        </w:rPr>
        <w:t>黏貼於黑膠片計4片</w:t>
      </w:r>
      <w:r w:rsidRPr="00E616E6">
        <w:rPr>
          <w:rFonts w:hAnsi="標楷體" w:hint="eastAsia"/>
          <w:color w:val="000000" w:themeColor="text1"/>
        </w:rPr>
        <w:t>）</w:t>
      </w:r>
      <w:r w:rsidRPr="00E616E6">
        <w:rPr>
          <w:rFonts w:hint="eastAsia"/>
          <w:color w:val="000000" w:themeColor="text1"/>
        </w:rPr>
        <w:t>」、「現場煙蒂4根、</w:t>
      </w:r>
      <w:proofErr w:type="gramStart"/>
      <w:r w:rsidRPr="00E616E6">
        <w:rPr>
          <w:rFonts w:hint="eastAsia"/>
          <w:color w:val="000000" w:themeColor="text1"/>
        </w:rPr>
        <w:t>詹</w:t>
      </w:r>
      <w:proofErr w:type="gramEnd"/>
      <w:r w:rsidR="000A0B3C" w:rsidRPr="00E616E6">
        <w:rPr>
          <w:rFonts w:hint="eastAsia"/>
          <w:color w:val="000000" w:themeColor="text1"/>
        </w:rPr>
        <w:t>○○</w:t>
      </w:r>
      <w:r w:rsidRPr="00E616E6">
        <w:rPr>
          <w:rFonts w:hint="eastAsia"/>
          <w:color w:val="000000" w:themeColor="text1"/>
        </w:rPr>
        <w:t>手部毛髮、</w:t>
      </w:r>
      <w:proofErr w:type="gramStart"/>
      <w:r w:rsidRPr="00E616E6">
        <w:rPr>
          <w:rFonts w:hint="eastAsia"/>
          <w:color w:val="000000" w:themeColor="text1"/>
        </w:rPr>
        <w:t>詹</w:t>
      </w:r>
      <w:proofErr w:type="gramEnd"/>
      <w:r w:rsidR="000A0B3C" w:rsidRPr="00E616E6">
        <w:rPr>
          <w:rFonts w:hint="eastAsia"/>
          <w:color w:val="000000" w:themeColor="text1"/>
        </w:rPr>
        <w:t>○○</w:t>
      </w:r>
      <w:r w:rsidRPr="00E616E6">
        <w:rPr>
          <w:rFonts w:hint="eastAsia"/>
          <w:color w:val="000000" w:themeColor="text1"/>
        </w:rPr>
        <w:t>白色毛線上衣毛髮、</w:t>
      </w:r>
      <w:proofErr w:type="gramStart"/>
      <w:r w:rsidRPr="00E616E6">
        <w:rPr>
          <w:rFonts w:hint="eastAsia"/>
          <w:color w:val="000000" w:themeColor="text1"/>
        </w:rPr>
        <w:t>詹</w:t>
      </w:r>
      <w:r w:rsidR="000A0B3C" w:rsidRPr="00E616E6">
        <w:rPr>
          <w:rFonts w:hint="eastAsia"/>
          <w:color w:val="000000" w:themeColor="text1"/>
        </w:rPr>
        <w:t>○○</w:t>
      </w:r>
      <w:r w:rsidRPr="00E616E6">
        <w:rPr>
          <w:rFonts w:hint="eastAsia"/>
          <w:color w:val="000000" w:themeColor="text1"/>
        </w:rPr>
        <w:t>陰</w:t>
      </w:r>
      <w:proofErr w:type="gramEnd"/>
      <w:r w:rsidRPr="00E616E6">
        <w:rPr>
          <w:rFonts w:hint="eastAsia"/>
          <w:color w:val="000000" w:themeColor="text1"/>
        </w:rPr>
        <w:t>毛、</w:t>
      </w:r>
      <w:proofErr w:type="gramStart"/>
      <w:r w:rsidRPr="00E616E6">
        <w:rPr>
          <w:rFonts w:hint="eastAsia"/>
          <w:color w:val="000000" w:themeColor="text1"/>
        </w:rPr>
        <w:t>詹</w:t>
      </w:r>
      <w:proofErr w:type="gramEnd"/>
      <w:r w:rsidR="000A0B3C" w:rsidRPr="00E616E6">
        <w:rPr>
          <w:rFonts w:hint="eastAsia"/>
          <w:color w:val="000000" w:themeColor="text1"/>
        </w:rPr>
        <w:t>○○</w:t>
      </w:r>
      <w:r w:rsidRPr="00E616E6">
        <w:rPr>
          <w:rFonts w:hint="eastAsia"/>
          <w:color w:val="000000" w:themeColor="text1"/>
        </w:rPr>
        <w:t>頭髮、</w:t>
      </w:r>
      <w:proofErr w:type="gramStart"/>
      <w:r w:rsidRPr="00E616E6">
        <w:rPr>
          <w:rFonts w:hint="eastAsia"/>
          <w:color w:val="000000" w:themeColor="text1"/>
        </w:rPr>
        <w:t>詹</w:t>
      </w:r>
      <w:proofErr w:type="gramEnd"/>
      <w:r w:rsidR="000A0B3C" w:rsidRPr="00E616E6">
        <w:rPr>
          <w:rFonts w:hint="eastAsia"/>
          <w:color w:val="000000" w:themeColor="text1"/>
        </w:rPr>
        <w:t>○○</w:t>
      </w:r>
      <w:r w:rsidRPr="00E616E6">
        <w:rPr>
          <w:rFonts w:hint="eastAsia"/>
          <w:color w:val="000000" w:themeColor="text1"/>
        </w:rPr>
        <w:t>左手指甲、</w:t>
      </w:r>
      <w:proofErr w:type="gramStart"/>
      <w:r w:rsidRPr="00E616E6">
        <w:rPr>
          <w:rFonts w:hint="eastAsia"/>
          <w:color w:val="000000" w:themeColor="text1"/>
        </w:rPr>
        <w:t>詹</w:t>
      </w:r>
      <w:proofErr w:type="gramEnd"/>
      <w:r w:rsidR="000A0B3C" w:rsidRPr="00E616E6">
        <w:rPr>
          <w:rFonts w:hint="eastAsia"/>
          <w:color w:val="000000" w:themeColor="text1"/>
        </w:rPr>
        <w:t>○○</w:t>
      </w:r>
      <w:r w:rsidRPr="00E616E6">
        <w:rPr>
          <w:rFonts w:hint="eastAsia"/>
          <w:color w:val="000000" w:themeColor="text1"/>
        </w:rPr>
        <w:t>右手指甲、</w:t>
      </w:r>
      <w:proofErr w:type="gramStart"/>
      <w:r w:rsidRPr="00E616E6">
        <w:rPr>
          <w:rFonts w:hint="eastAsia"/>
          <w:color w:val="000000" w:themeColor="text1"/>
        </w:rPr>
        <w:t>詹</w:t>
      </w:r>
      <w:proofErr w:type="gramEnd"/>
      <w:r w:rsidR="000A0B3C" w:rsidRPr="00E616E6">
        <w:rPr>
          <w:rFonts w:hint="eastAsia"/>
          <w:color w:val="000000" w:themeColor="text1"/>
        </w:rPr>
        <w:t>○○</w:t>
      </w:r>
      <w:r w:rsidRPr="00E616E6">
        <w:rPr>
          <w:rFonts w:hint="eastAsia"/>
          <w:color w:val="000000" w:themeColor="text1"/>
        </w:rPr>
        <w:t>陰道</w:t>
      </w:r>
      <w:proofErr w:type="gramStart"/>
      <w:r w:rsidRPr="00E616E6">
        <w:rPr>
          <w:rFonts w:hint="eastAsia"/>
          <w:color w:val="000000" w:themeColor="text1"/>
        </w:rPr>
        <w:t>棉棒、詹</w:t>
      </w:r>
      <w:proofErr w:type="gramEnd"/>
      <w:r w:rsidR="000A0B3C" w:rsidRPr="00E616E6">
        <w:rPr>
          <w:rFonts w:hint="eastAsia"/>
          <w:color w:val="000000" w:themeColor="text1"/>
        </w:rPr>
        <w:t>○○</w:t>
      </w:r>
      <w:r w:rsidRPr="00E616E6">
        <w:rPr>
          <w:rFonts w:hint="eastAsia"/>
          <w:color w:val="000000" w:themeColor="text1"/>
        </w:rPr>
        <w:t>血液」等。受判決人盧正之胞姐</w:t>
      </w:r>
      <w:proofErr w:type="gramStart"/>
      <w:r w:rsidRPr="00E616E6">
        <w:rPr>
          <w:rFonts w:hint="eastAsia"/>
          <w:color w:val="000000" w:themeColor="text1"/>
        </w:rPr>
        <w:t>盧</w:t>
      </w:r>
      <w:proofErr w:type="gramEnd"/>
      <w:r w:rsidR="000A0B3C" w:rsidRPr="00E616E6">
        <w:rPr>
          <w:rFonts w:hint="eastAsia"/>
          <w:color w:val="000000" w:themeColor="text1"/>
        </w:rPr>
        <w:t>○</w:t>
      </w:r>
      <w:r w:rsidRPr="00E616E6">
        <w:rPr>
          <w:rFonts w:hint="eastAsia"/>
          <w:color w:val="000000" w:themeColor="text1"/>
        </w:rPr>
        <w:t>為發現真相以還受判決人盧正之清白，</w:t>
      </w:r>
      <w:proofErr w:type="gramStart"/>
      <w:r w:rsidRPr="00E616E6">
        <w:rPr>
          <w:rFonts w:hint="eastAsia"/>
          <w:color w:val="000000" w:themeColor="text1"/>
        </w:rPr>
        <w:t>欲聲請</w:t>
      </w:r>
      <w:proofErr w:type="gramEnd"/>
      <w:r w:rsidRPr="00E616E6">
        <w:rPr>
          <w:rFonts w:hint="eastAsia"/>
          <w:color w:val="000000" w:themeColor="text1"/>
        </w:rPr>
        <w:t>再審，依DNA鑑定條例第2條規定，於108年間向臺灣高等法院臺南分院聲請將盧正案相關證物送請刑事警察局或法務部調查局，依最新之DNA鑑定方法進行鑑定，並將鑑定結果送交DNA資料庫主管機關內政部進行比對，以確認該檢體之來源，</w:t>
      </w:r>
      <w:proofErr w:type="gramStart"/>
      <w:r w:rsidRPr="00E616E6">
        <w:rPr>
          <w:rFonts w:hint="eastAsia"/>
          <w:color w:val="000000" w:themeColor="text1"/>
        </w:rPr>
        <w:t>嗣</w:t>
      </w:r>
      <w:proofErr w:type="gramEnd"/>
      <w:r w:rsidRPr="00E616E6">
        <w:rPr>
          <w:rFonts w:hint="eastAsia"/>
          <w:color w:val="000000" w:themeColor="text1"/>
        </w:rPr>
        <w:t>經臺灣高等法院臺南分院函</w:t>
      </w:r>
      <w:proofErr w:type="gramStart"/>
      <w:r w:rsidRPr="00E616E6">
        <w:rPr>
          <w:rFonts w:hint="eastAsia"/>
          <w:color w:val="000000" w:themeColor="text1"/>
        </w:rPr>
        <w:lastRenderedPageBreak/>
        <w:t>詢</w:t>
      </w:r>
      <w:proofErr w:type="gramEnd"/>
      <w:r w:rsidRPr="00E616E6">
        <w:rPr>
          <w:rFonts w:hint="eastAsia"/>
          <w:color w:val="000000" w:themeColor="text1"/>
        </w:rPr>
        <w:t>前開證物保管機關，經刑事局及</w:t>
      </w:r>
      <w:proofErr w:type="gramStart"/>
      <w:r w:rsidR="0052736C" w:rsidRPr="00E616E6">
        <w:rPr>
          <w:rFonts w:hint="eastAsia"/>
          <w:color w:val="000000" w:themeColor="text1"/>
        </w:rPr>
        <w:t>臺</w:t>
      </w:r>
      <w:proofErr w:type="gramEnd"/>
      <w:r w:rsidR="0052736C" w:rsidRPr="00E616E6">
        <w:rPr>
          <w:rFonts w:hint="eastAsia"/>
          <w:color w:val="000000" w:themeColor="text1"/>
        </w:rPr>
        <w:t>南市警察局</w:t>
      </w:r>
      <w:r w:rsidRPr="00E616E6">
        <w:rPr>
          <w:rFonts w:hint="eastAsia"/>
          <w:color w:val="000000" w:themeColor="text1"/>
        </w:rPr>
        <w:t>查復略</w:t>
      </w:r>
      <w:proofErr w:type="gramStart"/>
      <w:r w:rsidRPr="00E616E6">
        <w:rPr>
          <w:rFonts w:hint="eastAsia"/>
          <w:color w:val="000000" w:themeColor="text1"/>
        </w:rPr>
        <w:t>以</w:t>
      </w:r>
      <w:proofErr w:type="gramEnd"/>
      <w:r w:rsidRPr="00E616E6">
        <w:rPr>
          <w:rFonts w:hint="eastAsia"/>
          <w:color w:val="000000" w:themeColor="text1"/>
        </w:rPr>
        <w:t>：1.「該案</w:t>
      </w:r>
      <w:proofErr w:type="gramStart"/>
      <w:r w:rsidRPr="00E616E6">
        <w:rPr>
          <w:rFonts w:hint="eastAsia"/>
          <w:color w:val="000000" w:themeColor="text1"/>
        </w:rPr>
        <w:t>證物之驗後處理均為檢</w:t>
      </w:r>
      <w:proofErr w:type="gramEnd"/>
      <w:r w:rsidRPr="00E616E6">
        <w:rPr>
          <w:rFonts w:hint="eastAsia"/>
          <w:color w:val="000000" w:themeColor="text1"/>
        </w:rPr>
        <w:t>還原送檢單位</w:t>
      </w:r>
      <w:proofErr w:type="gramStart"/>
      <w:r w:rsidRPr="00E616E6">
        <w:rPr>
          <w:rFonts w:hint="eastAsia"/>
          <w:color w:val="000000" w:themeColor="text1"/>
        </w:rPr>
        <w:t>臺</w:t>
      </w:r>
      <w:proofErr w:type="gramEnd"/>
      <w:r w:rsidRPr="00E616E6">
        <w:rPr>
          <w:rFonts w:hint="eastAsia"/>
          <w:color w:val="000000" w:themeColor="text1"/>
        </w:rPr>
        <w:t>南市警察局刑警隊，故本局並無留存該案相關證物」 、2.「經查檔存原</w:t>
      </w:r>
      <w:proofErr w:type="gramStart"/>
      <w:r w:rsidR="0052736C" w:rsidRPr="00E616E6">
        <w:rPr>
          <w:rFonts w:hint="eastAsia"/>
          <w:color w:val="000000" w:themeColor="text1"/>
        </w:rPr>
        <w:t>臺</w:t>
      </w:r>
      <w:proofErr w:type="gramEnd"/>
      <w:r w:rsidR="0052736C" w:rsidRPr="00E616E6">
        <w:rPr>
          <w:rFonts w:hint="eastAsia"/>
          <w:color w:val="000000" w:themeColor="text1"/>
        </w:rPr>
        <w:t>南市警察局</w:t>
      </w:r>
      <w:r w:rsidRPr="00E616E6">
        <w:rPr>
          <w:rFonts w:hint="eastAsia"/>
          <w:color w:val="000000" w:themeColor="text1"/>
        </w:rPr>
        <w:t>刑案現場</w:t>
      </w:r>
      <w:proofErr w:type="gramStart"/>
      <w:r w:rsidRPr="00E616E6">
        <w:rPr>
          <w:rFonts w:hint="eastAsia"/>
          <w:color w:val="000000" w:themeColor="text1"/>
        </w:rPr>
        <w:t>跡</w:t>
      </w:r>
      <w:proofErr w:type="gramEnd"/>
      <w:r w:rsidRPr="00E616E6">
        <w:rPr>
          <w:rFonts w:hint="eastAsia"/>
          <w:color w:val="000000" w:themeColor="text1"/>
        </w:rPr>
        <w:t>證物處理管制</w:t>
      </w:r>
      <w:proofErr w:type="gramStart"/>
      <w:r w:rsidRPr="00E616E6">
        <w:rPr>
          <w:rFonts w:hint="eastAsia"/>
          <w:color w:val="000000" w:themeColor="text1"/>
        </w:rPr>
        <w:t>簿</w:t>
      </w:r>
      <w:proofErr w:type="gramEnd"/>
      <w:r w:rsidRPr="00E616E6">
        <w:rPr>
          <w:rFonts w:hint="eastAsia"/>
          <w:color w:val="000000" w:themeColor="text1"/>
        </w:rPr>
        <w:t>資料，該案送驗證物檢體證物已於87年1月22日由</w:t>
      </w:r>
      <w:proofErr w:type="gramStart"/>
      <w:r w:rsidR="0052736C" w:rsidRPr="00E616E6">
        <w:rPr>
          <w:rFonts w:hint="eastAsia"/>
          <w:color w:val="000000" w:themeColor="text1"/>
        </w:rPr>
        <w:t>臺</w:t>
      </w:r>
      <w:proofErr w:type="gramEnd"/>
      <w:r w:rsidR="0052736C" w:rsidRPr="00E616E6">
        <w:rPr>
          <w:rFonts w:hint="eastAsia"/>
          <w:color w:val="000000" w:themeColor="text1"/>
        </w:rPr>
        <w:t>南市警察局</w:t>
      </w:r>
      <w:r w:rsidRPr="00E616E6">
        <w:rPr>
          <w:rFonts w:hint="eastAsia"/>
          <w:color w:val="000000" w:themeColor="text1"/>
        </w:rPr>
        <w:t>第五分局刑事組偵查員林正斌簽收領回在案」 、3.「查87年1月22日由承辦人偵查員林正斌簽收領回檢體證物，經</w:t>
      </w:r>
      <w:proofErr w:type="gramStart"/>
      <w:r w:rsidRPr="00E616E6">
        <w:rPr>
          <w:rFonts w:hint="eastAsia"/>
          <w:color w:val="000000" w:themeColor="text1"/>
        </w:rPr>
        <w:t>詢</w:t>
      </w:r>
      <w:proofErr w:type="gramEnd"/>
      <w:r w:rsidRPr="00E616E6">
        <w:rPr>
          <w:rFonts w:hint="eastAsia"/>
          <w:color w:val="000000" w:themeColor="text1"/>
        </w:rPr>
        <w:t>該案件承辦人稱該證物領回，放置</w:t>
      </w:r>
      <w:proofErr w:type="gramStart"/>
      <w:r w:rsidRPr="00E616E6">
        <w:rPr>
          <w:rFonts w:hint="eastAsia"/>
          <w:color w:val="000000" w:themeColor="text1"/>
        </w:rPr>
        <w:t>臺</w:t>
      </w:r>
      <w:proofErr w:type="gramEnd"/>
      <w:r w:rsidRPr="00E616E6">
        <w:rPr>
          <w:rFonts w:hint="eastAsia"/>
          <w:color w:val="000000" w:themeColor="text1"/>
        </w:rPr>
        <w:t>南市警察局第五分局刑事組</w:t>
      </w:r>
      <w:proofErr w:type="gramStart"/>
      <w:r w:rsidRPr="00E616E6">
        <w:rPr>
          <w:rFonts w:hint="eastAsia"/>
          <w:color w:val="000000" w:themeColor="text1"/>
        </w:rPr>
        <w:t>（</w:t>
      </w:r>
      <w:proofErr w:type="gramEnd"/>
      <w:r w:rsidRPr="00E616E6">
        <w:rPr>
          <w:rFonts w:hint="eastAsia"/>
          <w:color w:val="000000" w:themeColor="text1"/>
        </w:rPr>
        <w:t>舊址：</w:t>
      </w:r>
      <w:proofErr w:type="gramStart"/>
      <w:r w:rsidRPr="00E616E6">
        <w:rPr>
          <w:rFonts w:hint="eastAsia"/>
          <w:color w:val="000000" w:themeColor="text1"/>
        </w:rPr>
        <w:t>臺</w:t>
      </w:r>
      <w:proofErr w:type="gramEnd"/>
      <w:r w:rsidRPr="00E616E6">
        <w:rPr>
          <w:rFonts w:hint="eastAsia"/>
          <w:color w:val="000000" w:themeColor="text1"/>
        </w:rPr>
        <w:t>南市北區北門路2段3號</w:t>
      </w:r>
      <w:proofErr w:type="gramStart"/>
      <w:r w:rsidRPr="00E616E6">
        <w:rPr>
          <w:rFonts w:hint="eastAsia"/>
          <w:color w:val="000000" w:themeColor="text1"/>
        </w:rPr>
        <w:t>）</w:t>
      </w:r>
      <w:proofErr w:type="gramEnd"/>
      <w:r w:rsidRPr="00E616E6">
        <w:rPr>
          <w:rFonts w:hint="eastAsia"/>
          <w:color w:val="000000" w:themeColor="text1"/>
        </w:rPr>
        <w:t>保存，後因90年6月臺南市警察局第五分局</w:t>
      </w:r>
      <w:proofErr w:type="gramStart"/>
      <w:r w:rsidRPr="00E616E6">
        <w:rPr>
          <w:rFonts w:hint="eastAsia"/>
          <w:color w:val="000000" w:themeColor="text1"/>
        </w:rPr>
        <w:t>（</w:t>
      </w:r>
      <w:proofErr w:type="gramEnd"/>
      <w:r w:rsidRPr="00E616E6">
        <w:rPr>
          <w:rFonts w:hint="eastAsia"/>
          <w:color w:val="000000" w:themeColor="text1"/>
        </w:rPr>
        <w:t>新址：</w:t>
      </w:r>
      <w:proofErr w:type="gramStart"/>
      <w:r w:rsidRPr="00E616E6">
        <w:rPr>
          <w:rFonts w:hint="eastAsia"/>
          <w:color w:val="000000" w:themeColor="text1"/>
        </w:rPr>
        <w:t>臺</w:t>
      </w:r>
      <w:proofErr w:type="gramEnd"/>
      <w:r w:rsidRPr="00E616E6">
        <w:rPr>
          <w:rFonts w:hint="eastAsia"/>
          <w:color w:val="000000" w:themeColor="text1"/>
        </w:rPr>
        <w:t>南市本區文賢路650號</w:t>
      </w:r>
      <w:proofErr w:type="gramStart"/>
      <w:r w:rsidRPr="00E616E6">
        <w:rPr>
          <w:rFonts w:hint="eastAsia"/>
          <w:color w:val="000000" w:themeColor="text1"/>
        </w:rPr>
        <w:t>）</w:t>
      </w:r>
      <w:proofErr w:type="gramEnd"/>
      <w:r w:rsidRPr="00E616E6">
        <w:rPr>
          <w:rFonts w:hint="eastAsia"/>
          <w:color w:val="000000" w:themeColor="text1"/>
        </w:rPr>
        <w:t>新廳舍落成適逢廳舍搬遷，迄今達21年</w:t>
      </w:r>
      <w:proofErr w:type="gramStart"/>
      <w:r w:rsidRPr="00E616E6">
        <w:rPr>
          <w:rFonts w:hint="eastAsia"/>
          <w:color w:val="000000" w:themeColor="text1"/>
        </w:rPr>
        <w:t>之久故已</w:t>
      </w:r>
      <w:proofErr w:type="gramEnd"/>
      <w:r w:rsidRPr="00E616E6">
        <w:rPr>
          <w:rFonts w:hint="eastAsia"/>
          <w:color w:val="000000" w:themeColor="text1"/>
        </w:rPr>
        <w:t>無保存，再查本分局證物室證物清冊亦無將該案檢體證物登記在列」、4.「經清查本局保存DNA檢體之冷凍庫，未發現該案證物之DNA，應為該等</w:t>
      </w:r>
      <w:proofErr w:type="gramStart"/>
      <w:r w:rsidRPr="00E616E6">
        <w:rPr>
          <w:rFonts w:hint="eastAsia"/>
          <w:color w:val="000000" w:themeColor="text1"/>
        </w:rPr>
        <w:t>檢體均未檢</w:t>
      </w:r>
      <w:proofErr w:type="gramEnd"/>
      <w:r w:rsidRPr="00E616E6">
        <w:rPr>
          <w:rFonts w:hint="eastAsia"/>
          <w:color w:val="000000" w:themeColor="text1"/>
        </w:rPr>
        <w:t>出體染色體或Y染色體DNA型別，而未予保留，故本局無留存該案之證物或DNA檢體」，故經臺灣高等法院臺南分院以</w:t>
      </w:r>
      <w:proofErr w:type="gramStart"/>
      <w:r w:rsidRPr="00E616E6">
        <w:rPr>
          <w:rFonts w:hint="eastAsia"/>
          <w:color w:val="000000" w:themeColor="text1"/>
        </w:rPr>
        <w:t>尚難認上開</w:t>
      </w:r>
      <w:proofErr w:type="gramEnd"/>
      <w:r w:rsidRPr="00E616E6">
        <w:rPr>
          <w:rFonts w:hint="eastAsia"/>
          <w:color w:val="000000" w:themeColor="text1"/>
        </w:rPr>
        <w:t>檢體現仍存在，且由政府機關保管中為由，於108年12月27日駁回DNA鑑定及比對資料庫之聲請。</w:t>
      </w:r>
    </w:p>
    <w:p w14:paraId="27F659B1" w14:textId="77777777" w:rsidR="00AF74F7" w:rsidRPr="00E616E6" w:rsidRDefault="00AF74F7" w:rsidP="00F83871">
      <w:pPr>
        <w:pStyle w:val="3"/>
        <w:rPr>
          <w:color w:val="000000" w:themeColor="text1"/>
        </w:rPr>
      </w:pPr>
      <w:r w:rsidRPr="00E616E6">
        <w:rPr>
          <w:rFonts w:hint="eastAsia"/>
          <w:color w:val="000000" w:themeColor="text1"/>
        </w:rPr>
        <w:t>另經本院深入調查</w:t>
      </w:r>
      <w:r w:rsidRPr="00E616E6">
        <w:rPr>
          <w:rFonts w:hAnsi="標楷體" w:hint="eastAsia"/>
          <w:color w:val="000000" w:themeColor="text1"/>
        </w:rPr>
        <w:t>，</w:t>
      </w:r>
      <w:r w:rsidRPr="00E616E6">
        <w:rPr>
          <w:rFonts w:hint="eastAsia"/>
          <w:color w:val="000000" w:themeColor="text1"/>
        </w:rPr>
        <w:t>盧正案扣案之鞋帶及膠帶</w:t>
      </w:r>
      <w:r w:rsidRPr="00E616E6">
        <w:rPr>
          <w:rFonts w:hAnsi="標楷體" w:hint="eastAsia"/>
          <w:color w:val="000000" w:themeColor="text1"/>
        </w:rPr>
        <w:t>，</w:t>
      </w:r>
      <w:r w:rsidRPr="00E616E6">
        <w:rPr>
          <w:rFonts w:hint="eastAsia"/>
          <w:color w:val="000000" w:themeColor="text1"/>
        </w:rPr>
        <w:t>曾經警方移送</w:t>
      </w:r>
      <w:proofErr w:type="gramStart"/>
      <w:r w:rsidRPr="00E616E6">
        <w:rPr>
          <w:rFonts w:hint="eastAsia"/>
          <w:color w:val="000000" w:themeColor="text1"/>
        </w:rPr>
        <w:t>臺</w:t>
      </w:r>
      <w:proofErr w:type="gramEnd"/>
      <w:r w:rsidRPr="00E616E6">
        <w:rPr>
          <w:rFonts w:hint="eastAsia"/>
          <w:color w:val="000000" w:themeColor="text1"/>
        </w:rPr>
        <w:t>南地檢署入贓物庫</w:t>
      </w:r>
      <w:r w:rsidRPr="00E616E6">
        <w:rPr>
          <w:rStyle w:val="afe"/>
          <w:color w:val="000000" w:themeColor="text1"/>
        </w:rPr>
        <w:footnoteReference w:id="1"/>
      </w:r>
      <w:r w:rsidRPr="00E616E6">
        <w:rPr>
          <w:rFonts w:hAnsi="標楷體" w:hint="eastAsia"/>
          <w:color w:val="000000" w:themeColor="text1"/>
        </w:rPr>
        <w:t>，該案於89年6月29日判決確定後，該署檢察官即於91年5月10日以扣押物品處分命令：鞋帶2條沒收、膠帶（黏貼於黑色塑膠板上計4片）廢棄</w:t>
      </w:r>
      <w:r w:rsidRPr="00E616E6">
        <w:rPr>
          <w:rFonts w:hAnsi="標楷體"/>
          <w:color w:val="000000" w:themeColor="text1"/>
          <w:vertAlign w:val="superscript"/>
        </w:rPr>
        <w:footnoteReference w:id="2"/>
      </w:r>
      <w:r w:rsidRPr="00E616E6">
        <w:rPr>
          <w:rFonts w:hAnsi="標楷體" w:hint="eastAsia"/>
          <w:color w:val="000000" w:themeColor="text1"/>
        </w:rPr>
        <w:t>。</w:t>
      </w:r>
    </w:p>
    <w:p w14:paraId="30DB94C6" w14:textId="77777777" w:rsidR="00AF74F7" w:rsidRPr="00E616E6" w:rsidRDefault="00AF74F7" w:rsidP="00C80B87">
      <w:pPr>
        <w:pStyle w:val="3"/>
        <w:rPr>
          <w:color w:val="000000" w:themeColor="text1"/>
        </w:rPr>
      </w:pPr>
      <w:r w:rsidRPr="00E616E6">
        <w:rPr>
          <w:rFonts w:hint="eastAsia"/>
          <w:color w:val="000000" w:themeColor="text1"/>
        </w:rPr>
        <w:t>有關盧正案扣案證物未隨偵查卷宗永久保存之疑義</w:t>
      </w:r>
      <w:r w:rsidRPr="00E616E6">
        <w:rPr>
          <w:rFonts w:hAnsi="標楷體" w:hint="eastAsia"/>
          <w:color w:val="000000" w:themeColor="text1"/>
        </w:rPr>
        <w:t>，經本院詢問</w:t>
      </w:r>
      <w:proofErr w:type="gramStart"/>
      <w:r w:rsidRPr="00E616E6">
        <w:rPr>
          <w:rFonts w:hint="eastAsia"/>
          <w:color w:val="000000" w:themeColor="text1"/>
        </w:rPr>
        <w:t>臺</w:t>
      </w:r>
      <w:proofErr w:type="gramEnd"/>
      <w:r w:rsidRPr="00E616E6">
        <w:rPr>
          <w:rFonts w:hint="eastAsia"/>
          <w:color w:val="000000" w:themeColor="text1"/>
        </w:rPr>
        <w:t>南地檢署與法務部</w:t>
      </w:r>
      <w:r w:rsidRPr="00E616E6">
        <w:rPr>
          <w:rFonts w:hAnsi="標楷體" w:hint="eastAsia"/>
          <w:color w:val="000000" w:themeColor="text1"/>
        </w:rPr>
        <w:t>，</w:t>
      </w:r>
      <w:r w:rsidRPr="00E616E6">
        <w:rPr>
          <w:rFonts w:hint="eastAsia"/>
          <w:color w:val="000000" w:themeColor="text1"/>
        </w:rPr>
        <w:t>該等機關於</w:t>
      </w:r>
      <w:r w:rsidRPr="00E616E6">
        <w:rPr>
          <w:rFonts w:hint="eastAsia"/>
          <w:color w:val="000000" w:themeColor="text1"/>
        </w:rPr>
        <w:lastRenderedPageBreak/>
        <w:t>本院詢問時均稱</w:t>
      </w:r>
      <w:r w:rsidRPr="00E616E6">
        <w:rPr>
          <w:rFonts w:hAnsi="標楷體" w:hint="eastAsia"/>
          <w:color w:val="000000" w:themeColor="text1"/>
        </w:rPr>
        <w:t>：</w:t>
      </w:r>
    </w:p>
    <w:p w14:paraId="72E72F9E" w14:textId="77777777" w:rsidR="00AF74F7" w:rsidRPr="00E616E6" w:rsidRDefault="00AF74F7" w:rsidP="00B51219">
      <w:pPr>
        <w:pStyle w:val="4"/>
        <w:rPr>
          <w:color w:val="000000" w:themeColor="text1"/>
        </w:rPr>
      </w:pPr>
      <w:r w:rsidRPr="00E616E6">
        <w:rPr>
          <w:rFonts w:hint="eastAsia"/>
          <w:color w:val="000000" w:themeColor="text1"/>
        </w:rPr>
        <w:t>沒收物，由檢察官處分之；扣押物為無價值</w:t>
      </w:r>
      <w:proofErr w:type="gramStart"/>
      <w:r w:rsidRPr="00E616E6">
        <w:rPr>
          <w:rFonts w:hint="eastAsia"/>
          <w:color w:val="000000" w:themeColor="text1"/>
        </w:rPr>
        <w:t>之物得廢棄</w:t>
      </w:r>
      <w:proofErr w:type="gramEnd"/>
      <w:r w:rsidRPr="00E616E6">
        <w:rPr>
          <w:rFonts w:hint="eastAsia"/>
          <w:color w:val="000000" w:themeColor="text1"/>
        </w:rPr>
        <w:t>之。刑事訴訟法第472條、第475條第2項前段分別定有明文。次按刑事案件扣押物、沒收物之保管、處理，除刑事訴訟法及其他法令另有規定外，依本注意事項行之；沒收物應於判決</w:t>
      </w:r>
      <w:proofErr w:type="gramStart"/>
      <w:r w:rsidRPr="00E616E6">
        <w:rPr>
          <w:rFonts w:hint="eastAsia"/>
          <w:color w:val="000000" w:themeColor="text1"/>
        </w:rPr>
        <w:t>確定後迅予</w:t>
      </w:r>
      <w:proofErr w:type="gramEnd"/>
      <w:r w:rsidRPr="00E616E6">
        <w:rPr>
          <w:rFonts w:hint="eastAsia"/>
          <w:color w:val="000000" w:themeColor="text1"/>
        </w:rPr>
        <w:t>處理。但拍賣或銷</w:t>
      </w:r>
      <w:proofErr w:type="gramStart"/>
      <w:r w:rsidRPr="00E616E6">
        <w:rPr>
          <w:rFonts w:hint="eastAsia"/>
          <w:color w:val="000000" w:themeColor="text1"/>
        </w:rPr>
        <w:t>燬</w:t>
      </w:r>
      <w:proofErr w:type="gramEnd"/>
      <w:r w:rsidRPr="00E616E6">
        <w:rPr>
          <w:rFonts w:hint="eastAsia"/>
          <w:color w:val="000000" w:themeColor="text1"/>
        </w:rPr>
        <w:t>者，得定期處理；扣押物、沒收物未經處理完畢，該案卷宗不得歸檔。檢察機關辦理扣押物沒收物應行注意事項第1點、第5點、第16點亦分別訂有明文。</w:t>
      </w:r>
    </w:p>
    <w:p w14:paraId="2A1AA960" w14:textId="0D208746" w:rsidR="00AF74F7" w:rsidRPr="00E616E6" w:rsidRDefault="00AF74F7" w:rsidP="00B51219">
      <w:pPr>
        <w:pStyle w:val="4"/>
        <w:rPr>
          <w:color w:val="000000" w:themeColor="text1"/>
        </w:rPr>
      </w:pPr>
      <w:r w:rsidRPr="00E616E6">
        <w:rPr>
          <w:rFonts w:hint="eastAsia"/>
          <w:color w:val="000000" w:themeColor="text1"/>
        </w:rPr>
        <w:t>盧正案確定判決主文</w:t>
      </w:r>
      <w:proofErr w:type="gramStart"/>
      <w:r w:rsidRPr="00E616E6">
        <w:rPr>
          <w:rFonts w:hint="eastAsia"/>
          <w:color w:val="000000" w:themeColor="text1"/>
        </w:rPr>
        <w:t>併諭</w:t>
      </w:r>
      <w:proofErr w:type="gramEnd"/>
      <w:r w:rsidRPr="00E616E6">
        <w:rPr>
          <w:rFonts w:hint="eastAsia"/>
          <w:color w:val="000000" w:themeColor="text1"/>
        </w:rPr>
        <w:t>知「扣案之鞋帶2條均沒收」，故執行檢察官依刑事訴訟法第472條規定以命令處分沒收物「</w:t>
      </w:r>
      <w:r w:rsidR="00197F58" w:rsidRPr="00E616E6">
        <w:rPr>
          <w:rFonts w:hint="eastAsia"/>
          <w:color w:val="000000" w:themeColor="text1"/>
        </w:rPr>
        <w:t>鞋</w:t>
      </w:r>
      <w:r w:rsidRPr="00E616E6">
        <w:rPr>
          <w:rFonts w:hint="eastAsia"/>
          <w:color w:val="000000" w:themeColor="text1"/>
        </w:rPr>
        <w:t>帶」，而扣案之「膠帶」則無甚價值，依刑事訴訟法第475條第2項規定命令廢棄之，於法尚無不合。</w:t>
      </w:r>
    </w:p>
    <w:p w14:paraId="5BE08DC8" w14:textId="4AED90C1" w:rsidR="00AF74F7" w:rsidRPr="00E616E6" w:rsidRDefault="00AF74F7" w:rsidP="00B51219">
      <w:pPr>
        <w:pStyle w:val="4"/>
        <w:rPr>
          <w:color w:val="000000" w:themeColor="text1"/>
        </w:rPr>
      </w:pPr>
      <w:r w:rsidRPr="00E616E6">
        <w:rPr>
          <w:rFonts w:hint="eastAsia"/>
          <w:color w:val="000000" w:themeColor="text1"/>
        </w:rPr>
        <w:t>扣押物是否屬於檔案法等相關規定所規範之「檔案」，似非可一概而論，應視扣押物有否納入機關管理程序辦理歸檔而論</w:t>
      </w:r>
      <w:r w:rsidR="00CC22A5" w:rsidRPr="00E616E6">
        <w:rPr>
          <w:rFonts w:hint="eastAsia"/>
          <w:color w:val="000000" w:themeColor="text1"/>
        </w:rPr>
        <w:t>；</w:t>
      </w:r>
      <w:r w:rsidRPr="00E616E6">
        <w:rPr>
          <w:rFonts w:hint="eastAsia"/>
          <w:color w:val="000000" w:themeColor="text1"/>
        </w:rPr>
        <w:t>而刑事訴訟法及檢察機關辦理扣押物沒收物應行注意事項既有明文規定應將沒收物、扣押物處理完畢後，該案卷宗始得歸檔，並未區分案件刑度而有所不同，應認</w:t>
      </w:r>
      <w:proofErr w:type="gramStart"/>
      <w:r w:rsidRPr="00E616E6">
        <w:rPr>
          <w:rFonts w:hint="eastAsia"/>
          <w:color w:val="000000" w:themeColor="text1"/>
        </w:rPr>
        <w:t>盧</w:t>
      </w:r>
      <w:proofErr w:type="gramEnd"/>
      <w:r w:rsidRPr="00E616E6">
        <w:rPr>
          <w:rFonts w:hint="eastAsia"/>
          <w:color w:val="000000" w:themeColor="text1"/>
        </w:rPr>
        <w:t>證案扣押物並非檔案法所指應歸檔管理且永久保存之「檔案」</w:t>
      </w:r>
      <w:r w:rsidR="006533D8" w:rsidRPr="00E616E6">
        <w:rPr>
          <w:rFonts w:hint="eastAsia"/>
          <w:color w:val="000000" w:themeColor="text1"/>
        </w:rPr>
        <w:t>等語</w:t>
      </w:r>
      <w:r w:rsidRPr="00E616E6">
        <w:rPr>
          <w:rFonts w:hint="eastAsia"/>
          <w:color w:val="000000" w:themeColor="text1"/>
        </w:rPr>
        <w:t>。</w:t>
      </w:r>
    </w:p>
    <w:p w14:paraId="50AC1D8D" w14:textId="26DC869E" w:rsidR="00AF74F7" w:rsidRPr="00E616E6" w:rsidRDefault="00AF74F7" w:rsidP="009D7AA7">
      <w:pPr>
        <w:pStyle w:val="3"/>
        <w:rPr>
          <w:color w:val="000000" w:themeColor="text1"/>
        </w:rPr>
      </w:pPr>
      <w:r w:rsidRPr="00E616E6">
        <w:rPr>
          <w:rFonts w:hint="eastAsia"/>
          <w:color w:val="000000" w:themeColor="text1"/>
        </w:rPr>
        <w:t>經核</w:t>
      </w:r>
      <w:r w:rsidRPr="00E616E6">
        <w:rPr>
          <w:rFonts w:hAnsi="標楷體" w:hint="eastAsia"/>
          <w:color w:val="000000" w:themeColor="text1"/>
        </w:rPr>
        <w:t>，</w:t>
      </w:r>
      <w:proofErr w:type="gramStart"/>
      <w:r w:rsidRPr="00E616E6">
        <w:rPr>
          <w:rFonts w:hAnsi="標楷體" w:hint="eastAsia"/>
          <w:color w:val="000000" w:themeColor="text1"/>
        </w:rPr>
        <w:t>臺</w:t>
      </w:r>
      <w:proofErr w:type="gramEnd"/>
      <w:r w:rsidRPr="00E616E6">
        <w:rPr>
          <w:rFonts w:hAnsi="標楷體" w:hint="eastAsia"/>
          <w:color w:val="000000" w:themeColor="text1"/>
        </w:rPr>
        <w:t>南地檢署與法務部以機關內部</w:t>
      </w:r>
      <w:r w:rsidR="006533D8" w:rsidRPr="00E616E6">
        <w:rPr>
          <w:rFonts w:hAnsi="標楷體" w:hint="eastAsia"/>
          <w:color w:val="000000" w:themeColor="text1"/>
        </w:rPr>
        <w:t>已完成</w:t>
      </w:r>
      <w:r w:rsidRPr="00E616E6">
        <w:rPr>
          <w:rFonts w:hAnsi="標楷體" w:hint="eastAsia"/>
          <w:color w:val="000000" w:themeColor="text1"/>
        </w:rPr>
        <w:t>歸檔</w:t>
      </w:r>
      <w:r w:rsidR="006533D8" w:rsidRPr="00E616E6">
        <w:rPr>
          <w:rFonts w:hAnsi="標楷體" w:hint="eastAsia"/>
          <w:color w:val="000000" w:themeColor="text1"/>
        </w:rPr>
        <w:t>為由</w:t>
      </w:r>
      <w:r w:rsidRPr="00E616E6">
        <w:rPr>
          <w:rFonts w:hAnsi="標楷體" w:hint="eastAsia"/>
          <w:color w:val="000000" w:themeColor="text1"/>
        </w:rPr>
        <w:t>，解讀刑案證物於判決確定後，並無檔案法依判決刑度區分保存年限之適用，尚乏堅強合理之論據</w:t>
      </w:r>
      <w:r w:rsidR="00CC22A5" w:rsidRPr="00E616E6">
        <w:rPr>
          <w:rFonts w:hAnsi="標楷體" w:hint="eastAsia"/>
          <w:color w:val="000000" w:themeColor="text1"/>
        </w:rPr>
        <w:t>；</w:t>
      </w:r>
      <w:r w:rsidRPr="00E616E6">
        <w:rPr>
          <w:rFonts w:hAnsi="標楷體" w:hint="eastAsia"/>
          <w:color w:val="000000" w:themeColor="text1"/>
        </w:rPr>
        <w:t>又各地檢署</w:t>
      </w:r>
      <w:proofErr w:type="gramStart"/>
      <w:r w:rsidRPr="00E616E6">
        <w:rPr>
          <w:rFonts w:hAnsi="標楷體" w:hint="eastAsia"/>
          <w:color w:val="000000" w:themeColor="text1"/>
        </w:rPr>
        <w:t>逕</w:t>
      </w:r>
      <w:proofErr w:type="gramEnd"/>
      <w:r w:rsidRPr="00E616E6">
        <w:rPr>
          <w:rFonts w:hAnsi="標楷體" w:hint="eastAsia"/>
          <w:bCs w:val="0"/>
          <w:color w:val="000000" w:themeColor="text1"/>
        </w:rPr>
        <w:t>依判決主文有無</w:t>
      </w:r>
      <w:proofErr w:type="gramStart"/>
      <w:r w:rsidRPr="00E616E6">
        <w:rPr>
          <w:rFonts w:hAnsi="標楷體" w:hint="eastAsia"/>
          <w:bCs w:val="0"/>
          <w:color w:val="000000" w:themeColor="text1"/>
        </w:rPr>
        <w:t>諭</w:t>
      </w:r>
      <w:proofErr w:type="gramEnd"/>
      <w:r w:rsidRPr="00E616E6">
        <w:rPr>
          <w:rFonts w:hAnsi="標楷體" w:hint="eastAsia"/>
          <w:bCs w:val="0"/>
          <w:color w:val="000000" w:themeColor="text1"/>
        </w:rPr>
        <w:t>知沒收扣押物，依刑事訴訟法第475條第2項規定及檢察機關辦理扣押物沒收物應行注意事項，由扣押物有無「經濟上價值」之觀點，予以廢棄、銷</w:t>
      </w:r>
      <w:proofErr w:type="gramStart"/>
      <w:r w:rsidRPr="00E616E6">
        <w:rPr>
          <w:rFonts w:hAnsi="標楷體" w:hint="eastAsia"/>
          <w:bCs w:val="0"/>
          <w:color w:val="000000" w:themeColor="text1"/>
        </w:rPr>
        <w:t>燬</w:t>
      </w:r>
      <w:proofErr w:type="gramEnd"/>
      <w:r w:rsidRPr="00E616E6">
        <w:rPr>
          <w:rFonts w:hAnsi="標楷體" w:hint="eastAsia"/>
          <w:bCs w:val="0"/>
          <w:color w:val="000000" w:themeColor="text1"/>
        </w:rPr>
        <w:t>，顯與DNA鑑定</w:t>
      </w:r>
      <w:r w:rsidRPr="00E616E6">
        <w:rPr>
          <w:rFonts w:hAnsi="標楷體" w:hint="eastAsia"/>
          <w:bCs w:val="0"/>
          <w:color w:val="000000" w:themeColor="text1"/>
        </w:rPr>
        <w:lastRenderedPageBreak/>
        <w:t>條例以及檔案法為保障人權之相關規定立法意旨，有所未合，宜請法務部從「證據上之價值」審慎思考，斟酌證物性質、保存可行性與管理資源，通盤檢討判決確定後刑案證物保管問題，周延法制，並督促所屬確實妥善保存。</w:t>
      </w:r>
    </w:p>
    <w:p w14:paraId="75F699A3" w14:textId="460693A9" w:rsidR="00AF74F7" w:rsidRPr="00E616E6" w:rsidRDefault="00AF74F7" w:rsidP="001F597C">
      <w:pPr>
        <w:pStyle w:val="2"/>
        <w:rPr>
          <w:rFonts w:hAnsi="標楷體"/>
          <w:b/>
          <w:bCs w:val="0"/>
          <w:color w:val="000000" w:themeColor="text1"/>
        </w:rPr>
      </w:pPr>
      <w:r w:rsidRPr="00E616E6">
        <w:rPr>
          <w:rFonts w:hAnsi="標楷體" w:hint="eastAsia"/>
          <w:b/>
          <w:bCs w:val="0"/>
          <w:color w:val="000000" w:themeColor="text1"/>
        </w:rPr>
        <w:t>刑案證物送請鑑定DNA之「檢體或樣本及</w:t>
      </w:r>
      <w:proofErr w:type="gramStart"/>
      <w:r w:rsidRPr="00E616E6">
        <w:rPr>
          <w:rFonts w:hAnsi="標楷體" w:hint="eastAsia"/>
          <w:b/>
          <w:bCs w:val="0"/>
          <w:color w:val="000000" w:themeColor="text1"/>
        </w:rPr>
        <w:t>鑑</w:t>
      </w:r>
      <w:proofErr w:type="gramEnd"/>
      <w:r w:rsidRPr="00E616E6">
        <w:rPr>
          <w:rFonts w:hAnsi="標楷體" w:hint="eastAsia"/>
          <w:b/>
          <w:bCs w:val="0"/>
          <w:color w:val="000000" w:themeColor="text1"/>
        </w:rPr>
        <w:t>驗資料」</w:t>
      </w:r>
      <w:r w:rsidRPr="00E616E6">
        <w:rPr>
          <w:rFonts w:ascii="新細明體" w:eastAsia="新細明體" w:hAnsi="新細明體" w:hint="eastAsia"/>
          <w:b/>
          <w:bCs w:val="0"/>
          <w:color w:val="000000" w:themeColor="text1"/>
        </w:rPr>
        <w:t>，</w:t>
      </w:r>
      <w:r w:rsidRPr="00E616E6">
        <w:rPr>
          <w:rFonts w:hAnsi="標楷體" w:hint="eastAsia"/>
          <w:b/>
          <w:bCs w:val="0"/>
          <w:color w:val="000000" w:themeColor="text1"/>
        </w:rPr>
        <w:t>其保存情形亦</w:t>
      </w:r>
      <w:proofErr w:type="gramStart"/>
      <w:r w:rsidRPr="00E616E6">
        <w:rPr>
          <w:rFonts w:hAnsi="標楷體" w:hint="eastAsia"/>
          <w:b/>
          <w:bCs w:val="0"/>
          <w:color w:val="000000" w:themeColor="text1"/>
        </w:rPr>
        <w:t>攸</w:t>
      </w:r>
      <w:proofErr w:type="gramEnd"/>
      <w:r w:rsidRPr="00E616E6">
        <w:rPr>
          <w:rFonts w:hAnsi="標楷體" w:hint="eastAsia"/>
          <w:b/>
          <w:bCs w:val="0"/>
          <w:color w:val="000000" w:themeColor="text1"/>
        </w:rPr>
        <w:t>關受判決人及其家屬能否於有罪判決確定後，聲請重新鑑定DNA，以發現新事實或新證據，</w:t>
      </w:r>
      <w:proofErr w:type="gramStart"/>
      <w:r w:rsidRPr="00E616E6">
        <w:rPr>
          <w:rFonts w:hAnsi="標楷體" w:hint="eastAsia"/>
          <w:b/>
          <w:bCs w:val="0"/>
          <w:color w:val="000000" w:themeColor="text1"/>
        </w:rPr>
        <w:t>惟查</w:t>
      </w:r>
      <w:proofErr w:type="gramEnd"/>
      <w:r w:rsidRPr="00E616E6">
        <w:rPr>
          <w:rFonts w:hAnsi="標楷體" w:hint="eastAsia"/>
          <w:b/>
          <w:bCs w:val="0"/>
          <w:color w:val="000000" w:themeColor="text1"/>
        </w:rPr>
        <w:t>，法務部法醫研究所、調查局與刑事局等鑑定機關各自訂定之「保存年限」並不相同，且與檔案法規</w:t>
      </w:r>
      <w:r w:rsidR="00B0531C" w:rsidRPr="00E616E6">
        <w:rPr>
          <w:rFonts w:hAnsi="標楷體" w:hint="eastAsia"/>
          <w:b/>
          <w:bCs w:val="0"/>
          <w:color w:val="000000" w:themeColor="text1"/>
        </w:rPr>
        <w:t>定</w:t>
      </w:r>
      <w:r w:rsidRPr="00E616E6">
        <w:rPr>
          <w:rFonts w:hAnsi="標楷體" w:hint="eastAsia"/>
          <w:b/>
          <w:bCs w:val="0"/>
          <w:color w:val="000000" w:themeColor="text1"/>
        </w:rPr>
        <w:t>有別，為避免人權保障，因案而異，以及滋生檔案管理是否落實依法行政之爭議，宜請法務部會商內政部、檔案管理局，本於行政一體，檢討</w:t>
      </w:r>
      <w:proofErr w:type="gramStart"/>
      <w:r w:rsidRPr="00E616E6">
        <w:rPr>
          <w:rFonts w:hAnsi="標楷體" w:hint="eastAsia"/>
          <w:b/>
          <w:bCs w:val="0"/>
          <w:color w:val="000000" w:themeColor="text1"/>
        </w:rPr>
        <w:t>研</w:t>
      </w:r>
      <w:proofErr w:type="gramEnd"/>
      <w:r w:rsidRPr="00E616E6">
        <w:rPr>
          <w:rFonts w:hAnsi="標楷體" w:hint="eastAsia"/>
          <w:b/>
          <w:bCs w:val="0"/>
          <w:color w:val="000000" w:themeColor="text1"/>
        </w:rPr>
        <w:t>議「</w:t>
      </w:r>
      <w:proofErr w:type="spellStart"/>
      <w:r w:rsidRPr="00E616E6">
        <w:rPr>
          <w:rFonts w:hAnsi="標楷體" w:hint="eastAsia"/>
          <w:b/>
          <w:bCs w:val="0"/>
          <w:color w:val="000000" w:themeColor="text1"/>
        </w:rPr>
        <w:t>DNA</w:t>
      </w:r>
      <w:proofErr w:type="spellEnd"/>
      <w:r w:rsidRPr="00E616E6">
        <w:rPr>
          <w:rFonts w:hAnsi="標楷體" w:hint="eastAsia"/>
          <w:b/>
          <w:bCs w:val="0"/>
          <w:color w:val="000000" w:themeColor="text1"/>
        </w:rPr>
        <w:t>檢體或樣本及</w:t>
      </w:r>
      <w:proofErr w:type="gramStart"/>
      <w:r w:rsidRPr="00E616E6">
        <w:rPr>
          <w:rFonts w:hAnsi="標楷體" w:hint="eastAsia"/>
          <w:b/>
          <w:bCs w:val="0"/>
          <w:color w:val="000000" w:themeColor="text1"/>
        </w:rPr>
        <w:t>鑑</w:t>
      </w:r>
      <w:proofErr w:type="gramEnd"/>
      <w:r w:rsidRPr="00E616E6">
        <w:rPr>
          <w:rFonts w:hAnsi="標楷體" w:hint="eastAsia"/>
          <w:b/>
          <w:bCs w:val="0"/>
          <w:color w:val="000000" w:themeColor="text1"/>
        </w:rPr>
        <w:t>驗資料」之保存年限應否整合修正、統一規範。</w:t>
      </w:r>
    </w:p>
    <w:p w14:paraId="1071063E" w14:textId="5FBA47EB" w:rsidR="00AF74F7" w:rsidRPr="00E616E6" w:rsidRDefault="00AF74F7" w:rsidP="002446A4">
      <w:pPr>
        <w:pStyle w:val="3"/>
        <w:rPr>
          <w:color w:val="000000" w:themeColor="text1"/>
        </w:rPr>
      </w:pPr>
      <w:r w:rsidRPr="00E616E6">
        <w:rPr>
          <w:rFonts w:hint="eastAsia"/>
          <w:color w:val="000000" w:themeColor="text1"/>
        </w:rPr>
        <w:t>依DNA鑑定條例第2條規定，</w:t>
      </w:r>
      <w:r w:rsidR="003C68C7" w:rsidRPr="00E616E6">
        <w:rPr>
          <w:rFonts w:hint="eastAsia"/>
          <w:color w:val="000000" w:themeColor="text1"/>
        </w:rPr>
        <w:t>刑事案件</w:t>
      </w:r>
      <w:r w:rsidRPr="00E616E6">
        <w:rPr>
          <w:rFonts w:hint="eastAsia"/>
          <w:color w:val="000000" w:themeColor="text1"/>
        </w:rPr>
        <w:t>判決確定後</w:t>
      </w:r>
      <w:r w:rsidRPr="00E616E6">
        <w:rPr>
          <w:rFonts w:hAnsi="標楷體" w:hint="eastAsia"/>
          <w:color w:val="000000" w:themeColor="text1"/>
        </w:rPr>
        <w:t>，仍可聲請就政府機關保管之</w:t>
      </w:r>
      <w:r w:rsidRPr="00E616E6">
        <w:rPr>
          <w:rFonts w:hint="eastAsia"/>
          <w:color w:val="000000" w:themeColor="text1"/>
        </w:rPr>
        <w:t>證物或檢體進行DNA鑑定</w:t>
      </w:r>
      <w:r w:rsidR="00CC22A5" w:rsidRPr="00E616E6">
        <w:rPr>
          <w:rFonts w:hint="eastAsia"/>
          <w:color w:val="000000" w:themeColor="text1"/>
        </w:rPr>
        <w:t>；</w:t>
      </w:r>
      <w:r w:rsidRPr="00E616E6">
        <w:rPr>
          <w:rFonts w:hAnsi="標楷體" w:hint="eastAsia"/>
          <w:color w:val="000000" w:themeColor="text1"/>
        </w:rPr>
        <w:t>又依「機關檔案保存年限及銷毀辦法」第3條第7款及「檢察類檔案保存年限基準表」規定，判</w:t>
      </w:r>
      <w:r w:rsidRPr="00E616E6">
        <w:rPr>
          <w:rFonts w:hint="eastAsia"/>
          <w:color w:val="000000" w:themeColor="text1"/>
        </w:rPr>
        <w:t>處死刑、無期徒刑案卷，應永久保存</w:t>
      </w:r>
      <w:r w:rsidRPr="00E616E6">
        <w:rPr>
          <w:rFonts w:hAnsi="標楷體" w:hint="eastAsia"/>
          <w:color w:val="000000" w:themeColor="text1"/>
        </w:rPr>
        <w:t>，</w:t>
      </w:r>
      <w:r w:rsidRPr="00E616E6">
        <w:rPr>
          <w:rFonts w:hint="eastAsia"/>
          <w:color w:val="000000" w:themeColor="text1"/>
        </w:rPr>
        <w:t>已如前述。</w:t>
      </w:r>
      <w:r w:rsidRPr="00E616E6">
        <w:rPr>
          <w:rFonts w:hint="eastAsia"/>
          <w:bCs w:val="0"/>
          <w:color w:val="000000" w:themeColor="text1"/>
        </w:rPr>
        <w:t>刑案證物送請鑑定DNA之「檢體或樣本及</w:t>
      </w:r>
      <w:proofErr w:type="gramStart"/>
      <w:r w:rsidRPr="00E616E6">
        <w:rPr>
          <w:rFonts w:hint="eastAsia"/>
          <w:bCs w:val="0"/>
          <w:color w:val="000000" w:themeColor="text1"/>
        </w:rPr>
        <w:t>鑑</w:t>
      </w:r>
      <w:proofErr w:type="gramEnd"/>
      <w:r w:rsidRPr="00E616E6">
        <w:rPr>
          <w:rFonts w:hint="eastAsia"/>
          <w:bCs w:val="0"/>
          <w:color w:val="000000" w:themeColor="text1"/>
        </w:rPr>
        <w:t>驗資料」</w:t>
      </w:r>
      <w:r w:rsidR="003C68C7" w:rsidRPr="00E616E6">
        <w:rPr>
          <w:rFonts w:hAnsi="標楷體" w:hint="eastAsia"/>
          <w:bCs w:val="0"/>
          <w:color w:val="000000" w:themeColor="text1"/>
        </w:rPr>
        <w:t>，</w:t>
      </w:r>
      <w:r w:rsidRPr="00E616E6">
        <w:rPr>
          <w:rFonts w:hint="eastAsia"/>
          <w:bCs w:val="0"/>
          <w:color w:val="000000" w:themeColor="text1"/>
        </w:rPr>
        <w:t>自應妥善保存</w:t>
      </w:r>
      <w:r w:rsidRPr="00E616E6">
        <w:rPr>
          <w:rFonts w:hAnsi="標楷體" w:hint="eastAsia"/>
          <w:bCs w:val="0"/>
          <w:color w:val="000000" w:themeColor="text1"/>
        </w:rPr>
        <w:t>。</w:t>
      </w:r>
    </w:p>
    <w:p w14:paraId="5B092E19" w14:textId="79142683" w:rsidR="00AF74F7" w:rsidRPr="00E616E6" w:rsidRDefault="00A44291" w:rsidP="002446A4">
      <w:pPr>
        <w:pStyle w:val="3"/>
        <w:rPr>
          <w:color w:val="000000" w:themeColor="text1"/>
        </w:rPr>
      </w:pPr>
      <w:proofErr w:type="gramStart"/>
      <w:r w:rsidRPr="00E616E6">
        <w:rPr>
          <w:rFonts w:hAnsi="標楷體" w:hint="eastAsia"/>
          <w:color w:val="000000" w:themeColor="text1"/>
        </w:rPr>
        <w:t>惟</w:t>
      </w:r>
      <w:r w:rsidR="006533D8" w:rsidRPr="00E616E6">
        <w:rPr>
          <w:rFonts w:hAnsi="標楷體" w:hint="eastAsia"/>
          <w:color w:val="000000" w:themeColor="text1"/>
        </w:rPr>
        <w:t>查</w:t>
      </w:r>
      <w:proofErr w:type="gramEnd"/>
      <w:r w:rsidR="006533D8" w:rsidRPr="00E616E6">
        <w:rPr>
          <w:rFonts w:hAnsi="標楷體" w:hint="eastAsia"/>
          <w:color w:val="000000" w:themeColor="text1"/>
        </w:rPr>
        <w:t>，</w:t>
      </w:r>
      <w:r w:rsidR="00AF74F7" w:rsidRPr="00E616E6">
        <w:rPr>
          <w:rFonts w:hAnsi="標楷體" w:hint="eastAsia"/>
          <w:color w:val="000000" w:themeColor="text1"/>
        </w:rPr>
        <w:t>內政部於88年2月3日制定公布之「去氧核醣核酸</w:t>
      </w:r>
      <w:proofErr w:type="gramStart"/>
      <w:r w:rsidR="00AF74F7" w:rsidRPr="00E616E6">
        <w:rPr>
          <w:rFonts w:hAnsi="標楷體" w:hint="eastAsia"/>
          <w:color w:val="000000" w:themeColor="text1"/>
        </w:rPr>
        <w:t>採</w:t>
      </w:r>
      <w:proofErr w:type="gramEnd"/>
      <w:r w:rsidR="00AF74F7" w:rsidRPr="00E616E6">
        <w:rPr>
          <w:rFonts w:hAnsi="標楷體" w:hint="eastAsia"/>
          <w:color w:val="000000" w:themeColor="text1"/>
        </w:rPr>
        <w:t>樣條例」（下稱DNA</w:t>
      </w:r>
      <w:proofErr w:type="gramStart"/>
      <w:r w:rsidR="00AF74F7" w:rsidRPr="00E616E6">
        <w:rPr>
          <w:rFonts w:hAnsi="標楷體" w:hint="eastAsia"/>
          <w:color w:val="000000" w:themeColor="text1"/>
        </w:rPr>
        <w:t>採</w:t>
      </w:r>
      <w:proofErr w:type="gramEnd"/>
      <w:r w:rsidR="00AF74F7" w:rsidRPr="00E616E6">
        <w:rPr>
          <w:rFonts w:hAnsi="標楷體" w:hint="eastAsia"/>
          <w:color w:val="000000" w:themeColor="text1"/>
        </w:rPr>
        <w:t>樣條例）第12條第1項規定：「依本條例</w:t>
      </w:r>
      <w:proofErr w:type="gramStart"/>
      <w:r w:rsidR="00AF74F7" w:rsidRPr="00E616E6">
        <w:rPr>
          <w:rFonts w:hAnsi="標楷體" w:hint="eastAsia"/>
          <w:color w:val="000000" w:themeColor="text1"/>
        </w:rPr>
        <w:t>採</w:t>
      </w:r>
      <w:proofErr w:type="gramEnd"/>
      <w:r w:rsidR="00AF74F7" w:rsidRPr="00E616E6">
        <w:rPr>
          <w:rFonts w:hAnsi="標楷體" w:hint="eastAsia"/>
          <w:color w:val="000000" w:themeColor="text1"/>
        </w:rPr>
        <w:t>樣、儲存之去氧核醣核酸樣本、紀錄，前者至少應保存十年，後者至少應保存至被</w:t>
      </w:r>
      <w:proofErr w:type="gramStart"/>
      <w:r w:rsidR="00AF74F7" w:rsidRPr="00E616E6">
        <w:rPr>
          <w:rFonts w:hAnsi="標楷體" w:hint="eastAsia"/>
          <w:color w:val="000000" w:themeColor="text1"/>
        </w:rPr>
        <w:t>採樣人</w:t>
      </w:r>
      <w:proofErr w:type="gramEnd"/>
      <w:r w:rsidR="00AF74F7" w:rsidRPr="00E616E6">
        <w:rPr>
          <w:rFonts w:hAnsi="標楷體" w:hint="eastAsia"/>
          <w:color w:val="000000" w:themeColor="text1"/>
        </w:rPr>
        <w:t>死亡後十年。」</w:t>
      </w:r>
      <w:r w:rsidRPr="00E616E6">
        <w:rPr>
          <w:rFonts w:hAnsi="標楷體" w:hint="eastAsia"/>
          <w:color w:val="000000" w:themeColor="text1"/>
        </w:rPr>
        <w:t>另警政署與刑事局於本院詢問時所</w:t>
      </w:r>
      <w:r w:rsidR="00AF74F7" w:rsidRPr="00E616E6">
        <w:rPr>
          <w:rFonts w:hAnsi="標楷體" w:hint="eastAsia"/>
          <w:color w:val="000000" w:themeColor="text1"/>
        </w:rPr>
        <w:t>提書面說明稱：刑事</w:t>
      </w:r>
      <w:r w:rsidR="00AF74F7" w:rsidRPr="00E616E6">
        <w:rPr>
          <w:rFonts w:hAnsi="標楷體"/>
          <w:color w:val="000000" w:themeColor="text1"/>
        </w:rPr>
        <w:t>局於</w:t>
      </w:r>
      <w:r w:rsidR="00AF74F7" w:rsidRPr="00E616E6">
        <w:rPr>
          <w:rFonts w:hAnsi="標楷體" w:hint="eastAsia"/>
          <w:color w:val="000000" w:themeColor="text1"/>
        </w:rPr>
        <w:t>DNA鑑</w:t>
      </w:r>
      <w:r w:rsidR="00AF74F7" w:rsidRPr="00E616E6">
        <w:rPr>
          <w:rFonts w:hAnsi="標楷體"/>
          <w:color w:val="000000" w:themeColor="text1"/>
        </w:rPr>
        <w:t>定完成後，</w:t>
      </w:r>
      <w:r w:rsidR="00AF74F7" w:rsidRPr="00E616E6">
        <w:rPr>
          <w:rFonts w:hAnsi="標楷體" w:hint="eastAsia"/>
          <w:color w:val="000000" w:themeColor="text1"/>
        </w:rPr>
        <w:t>相</w:t>
      </w:r>
      <w:r w:rsidR="00AF74F7" w:rsidRPr="00E616E6">
        <w:rPr>
          <w:rFonts w:hAnsi="標楷體"/>
          <w:color w:val="000000" w:themeColor="text1"/>
        </w:rPr>
        <w:t>關電子紀錄</w:t>
      </w:r>
      <w:r w:rsidR="00AF74F7" w:rsidRPr="00E616E6">
        <w:rPr>
          <w:rFonts w:hAnsi="標楷體" w:hint="eastAsia"/>
          <w:color w:val="000000" w:themeColor="text1"/>
        </w:rPr>
        <w:t>會</w:t>
      </w:r>
      <w:r w:rsidR="00AF74F7" w:rsidRPr="00E616E6">
        <w:rPr>
          <w:rFonts w:hAnsi="標楷體"/>
          <w:color w:val="000000" w:themeColor="text1"/>
        </w:rPr>
        <w:t>留存於資訊系統，</w:t>
      </w:r>
      <w:r w:rsidR="00AF74F7" w:rsidRPr="00E616E6">
        <w:rPr>
          <w:rFonts w:hAnsi="標楷體" w:hint="eastAsia"/>
          <w:color w:val="000000" w:themeColor="text1"/>
        </w:rPr>
        <w:t>鑑</w:t>
      </w:r>
      <w:r w:rsidR="00AF74F7" w:rsidRPr="00E616E6">
        <w:rPr>
          <w:rFonts w:hAnsi="標楷體"/>
          <w:color w:val="000000" w:themeColor="text1"/>
        </w:rPr>
        <w:t>定書稿及送驗</w:t>
      </w:r>
      <w:r w:rsidR="00AF74F7" w:rsidRPr="00E616E6">
        <w:rPr>
          <w:rFonts w:hAnsi="標楷體" w:hint="eastAsia"/>
          <w:color w:val="000000" w:themeColor="text1"/>
        </w:rPr>
        <w:t>紀</w:t>
      </w:r>
      <w:r w:rsidR="00AF74F7" w:rsidRPr="00E616E6">
        <w:rPr>
          <w:rFonts w:hAnsi="標楷體"/>
          <w:color w:val="000000" w:themeColor="text1"/>
        </w:rPr>
        <w:t>錄表則依法保存</w:t>
      </w:r>
      <w:r w:rsidR="00AF74F7" w:rsidRPr="00E616E6">
        <w:rPr>
          <w:rFonts w:hAnsi="標楷體" w:hint="eastAsia"/>
          <w:color w:val="000000" w:themeColor="text1"/>
        </w:rPr>
        <w:t>20至30年。</w:t>
      </w:r>
      <w:r w:rsidRPr="00E616E6">
        <w:rPr>
          <w:rFonts w:hint="eastAsia"/>
          <w:color w:val="000000" w:themeColor="text1"/>
        </w:rPr>
        <w:t>而</w:t>
      </w:r>
      <w:r w:rsidR="00AF74F7" w:rsidRPr="00E616E6">
        <w:rPr>
          <w:rFonts w:hint="eastAsia"/>
          <w:color w:val="000000" w:themeColor="text1"/>
        </w:rPr>
        <w:t>法務部於本院詢問時所</w:t>
      </w:r>
      <w:r w:rsidR="00AF74F7" w:rsidRPr="00E616E6">
        <w:rPr>
          <w:rFonts w:hint="eastAsia"/>
          <w:color w:val="000000" w:themeColor="text1"/>
        </w:rPr>
        <w:lastRenderedPageBreak/>
        <w:t>提書面說明</w:t>
      </w:r>
      <w:r w:rsidR="00AF74F7" w:rsidRPr="00E616E6">
        <w:rPr>
          <w:rFonts w:hAnsi="標楷體" w:hint="eastAsia"/>
          <w:color w:val="000000" w:themeColor="text1"/>
        </w:rPr>
        <w:t>：</w:t>
      </w:r>
      <w:r w:rsidR="00AF74F7" w:rsidRPr="00E616E6">
        <w:rPr>
          <w:rFonts w:hint="eastAsia"/>
          <w:color w:val="000000" w:themeColor="text1"/>
        </w:rPr>
        <w:t>該部法醫研究所之鑑定案卷保存年限30年；調查局DNA</w:t>
      </w:r>
      <w:proofErr w:type="gramStart"/>
      <w:r w:rsidR="00AF74F7" w:rsidRPr="00E616E6">
        <w:rPr>
          <w:rFonts w:hint="eastAsia"/>
          <w:color w:val="000000" w:themeColor="text1"/>
        </w:rPr>
        <w:t>鑑</w:t>
      </w:r>
      <w:proofErr w:type="gramEnd"/>
      <w:r w:rsidR="00AF74F7" w:rsidRPr="00E616E6">
        <w:rPr>
          <w:rFonts w:hint="eastAsia"/>
          <w:color w:val="000000" w:themeColor="text1"/>
        </w:rPr>
        <w:t>識實驗室鑑定案卷</w:t>
      </w:r>
      <w:r w:rsidR="00AF74F7" w:rsidRPr="00E616E6">
        <w:rPr>
          <w:rFonts w:ascii="新細明體" w:eastAsia="新細明體" w:hAnsi="新細明體" w:hint="eastAsia"/>
          <w:color w:val="000000" w:themeColor="text1"/>
        </w:rPr>
        <w:t>，</w:t>
      </w:r>
      <w:r w:rsidR="00AF74F7" w:rsidRPr="00E616E6">
        <w:rPr>
          <w:rFonts w:hint="eastAsia"/>
          <w:color w:val="000000" w:themeColor="text1"/>
        </w:rPr>
        <w:t>依</w:t>
      </w:r>
      <w:proofErr w:type="gramStart"/>
      <w:r w:rsidR="00AF74F7" w:rsidRPr="00E616E6">
        <w:rPr>
          <w:rFonts w:hint="eastAsia"/>
          <w:color w:val="000000" w:themeColor="text1"/>
        </w:rPr>
        <w:t>鑑</w:t>
      </w:r>
      <w:proofErr w:type="gramEnd"/>
      <w:r w:rsidR="00AF74F7" w:rsidRPr="00E616E6">
        <w:rPr>
          <w:rFonts w:hint="eastAsia"/>
          <w:color w:val="000000" w:themeColor="text1"/>
        </w:rPr>
        <w:t>識科學類「特殊」、「重要」及「一般檢驗」之分類，檔案分別「永久保存」、「保存20年」及「保存10年」。</w:t>
      </w:r>
    </w:p>
    <w:p w14:paraId="0A3A4A0E" w14:textId="1E714AE9" w:rsidR="00AF74F7" w:rsidRPr="00E616E6" w:rsidRDefault="00AF74F7" w:rsidP="001F597C">
      <w:pPr>
        <w:pStyle w:val="3"/>
        <w:rPr>
          <w:color w:val="000000" w:themeColor="text1"/>
        </w:rPr>
      </w:pPr>
      <w:r w:rsidRPr="00E616E6">
        <w:rPr>
          <w:rFonts w:hint="eastAsia"/>
          <w:color w:val="000000" w:themeColor="text1"/>
        </w:rPr>
        <w:t>依上開規定，</w:t>
      </w:r>
      <w:r w:rsidR="00A44291" w:rsidRPr="00E616E6">
        <w:rPr>
          <w:rFonts w:hint="eastAsia"/>
          <w:color w:val="000000" w:themeColor="text1"/>
        </w:rPr>
        <w:t>因</w:t>
      </w:r>
      <w:r w:rsidRPr="00E616E6">
        <w:rPr>
          <w:rFonts w:hint="eastAsia"/>
          <w:color w:val="000000" w:themeColor="text1"/>
        </w:rPr>
        <w:t>內政部</w:t>
      </w:r>
      <w:r w:rsidR="00A44291" w:rsidRPr="00E616E6">
        <w:rPr>
          <w:rFonts w:hint="eastAsia"/>
          <w:color w:val="000000" w:themeColor="text1"/>
        </w:rPr>
        <w:t>與</w:t>
      </w:r>
      <w:r w:rsidRPr="00E616E6">
        <w:rPr>
          <w:rFonts w:hint="eastAsia"/>
          <w:color w:val="000000" w:themeColor="text1"/>
        </w:rPr>
        <w:t>法務部所屬鑑定機關，對於鑑定檔案訂定之保存年限並不相同，具體個案中，生物</w:t>
      </w:r>
      <w:proofErr w:type="gramStart"/>
      <w:r w:rsidRPr="00E616E6">
        <w:rPr>
          <w:rFonts w:hint="eastAsia"/>
          <w:color w:val="000000" w:themeColor="text1"/>
        </w:rPr>
        <w:t>跡</w:t>
      </w:r>
      <w:proofErr w:type="gramEnd"/>
      <w:r w:rsidRPr="00E616E6">
        <w:rPr>
          <w:rFonts w:hint="eastAsia"/>
          <w:color w:val="000000" w:themeColor="text1"/>
        </w:rPr>
        <w:t>證物之檢體或樣本及鑑定檔案之保存年限</w:t>
      </w:r>
      <w:r w:rsidRPr="00E616E6">
        <w:rPr>
          <w:rFonts w:hAnsi="標楷體" w:hint="eastAsia"/>
          <w:color w:val="000000" w:themeColor="text1"/>
        </w:rPr>
        <w:t>，</w:t>
      </w:r>
      <w:r w:rsidR="00A44291" w:rsidRPr="00E616E6">
        <w:rPr>
          <w:rFonts w:hint="eastAsia"/>
          <w:color w:val="000000" w:themeColor="text1"/>
        </w:rPr>
        <w:t>可能</w:t>
      </w:r>
      <w:r w:rsidRPr="00E616E6">
        <w:rPr>
          <w:rFonts w:hint="eastAsia"/>
          <w:color w:val="000000" w:themeColor="text1"/>
        </w:rPr>
        <w:t>因</w:t>
      </w:r>
      <w:r w:rsidRPr="00E616E6">
        <w:rPr>
          <w:rFonts w:hAnsi="標楷體" w:hint="eastAsia"/>
          <w:color w:val="000000" w:themeColor="text1"/>
        </w:rPr>
        <w:t>偵辦檢察官</w:t>
      </w:r>
      <w:r w:rsidRPr="00E616E6">
        <w:rPr>
          <w:rFonts w:hint="eastAsia"/>
          <w:color w:val="000000" w:themeColor="text1"/>
        </w:rPr>
        <w:t>囑託何機關鑑定DNA</w:t>
      </w:r>
      <w:r w:rsidRPr="00E616E6">
        <w:rPr>
          <w:rFonts w:hAnsi="標楷體" w:hint="eastAsia"/>
          <w:color w:val="000000" w:themeColor="text1"/>
        </w:rPr>
        <w:t>，</w:t>
      </w:r>
      <w:r w:rsidRPr="00E616E6">
        <w:rPr>
          <w:rFonts w:hint="eastAsia"/>
          <w:bCs w:val="0"/>
          <w:color w:val="000000" w:themeColor="text1"/>
        </w:rPr>
        <w:t>而</w:t>
      </w:r>
      <w:r w:rsidRPr="00E616E6">
        <w:rPr>
          <w:rFonts w:hint="eastAsia"/>
          <w:color w:val="000000" w:themeColor="text1"/>
        </w:rPr>
        <w:t>有所不同，</w:t>
      </w:r>
      <w:r w:rsidR="00A44291" w:rsidRPr="00E616E6">
        <w:rPr>
          <w:rFonts w:hint="eastAsia"/>
          <w:color w:val="000000" w:themeColor="text1"/>
        </w:rPr>
        <w:t>此</w:t>
      </w:r>
      <w:r w:rsidRPr="00E616E6">
        <w:rPr>
          <w:rFonts w:hint="eastAsia"/>
          <w:color w:val="000000" w:themeColor="text1"/>
        </w:rPr>
        <w:t>對受判決人而言</w:t>
      </w:r>
      <w:r w:rsidRPr="00E616E6">
        <w:rPr>
          <w:rFonts w:hAnsi="標楷體" w:hint="eastAsia"/>
          <w:color w:val="000000" w:themeColor="text1"/>
        </w:rPr>
        <w:t>，</w:t>
      </w:r>
      <w:r w:rsidRPr="00E616E6">
        <w:rPr>
          <w:rFonts w:hint="eastAsia"/>
          <w:color w:val="000000" w:themeColor="text1"/>
        </w:rPr>
        <w:t>判決確定後尋求重新鑑定DNA及比對資料庫的機會</w:t>
      </w:r>
      <w:r w:rsidRPr="00E616E6">
        <w:rPr>
          <w:rFonts w:hAnsi="標楷體" w:hint="eastAsia"/>
          <w:color w:val="000000" w:themeColor="text1"/>
        </w:rPr>
        <w:t>，</w:t>
      </w:r>
      <w:r w:rsidR="00A44291" w:rsidRPr="00E616E6">
        <w:rPr>
          <w:rFonts w:hAnsi="標楷體" w:hint="eastAsia"/>
          <w:color w:val="000000" w:themeColor="text1"/>
        </w:rPr>
        <w:t>恐</w:t>
      </w:r>
      <w:r w:rsidRPr="00E616E6">
        <w:rPr>
          <w:rFonts w:hint="eastAsia"/>
          <w:color w:val="000000" w:themeColor="text1"/>
        </w:rPr>
        <w:t>因案而異</w:t>
      </w:r>
      <w:r w:rsidR="00A44291" w:rsidRPr="00E616E6">
        <w:rPr>
          <w:rFonts w:hAnsi="標楷體" w:hint="eastAsia"/>
          <w:color w:val="000000" w:themeColor="text1"/>
        </w:rPr>
        <w:t>；</w:t>
      </w:r>
      <w:proofErr w:type="gramStart"/>
      <w:r w:rsidR="00A44291" w:rsidRPr="00E616E6">
        <w:rPr>
          <w:rFonts w:hAnsi="標楷體" w:hint="eastAsia"/>
          <w:color w:val="000000" w:themeColor="text1"/>
        </w:rPr>
        <w:t>此外</w:t>
      </w:r>
      <w:r w:rsidR="00A44291" w:rsidRPr="00E616E6">
        <w:rPr>
          <w:rFonts w:ascii="新細明體" w:eastAsia="新細明體" w:hAnsi="新細明體" w:hint="eastAsia"/>
          <w:color w:val="000000" w:themeColor="text1"/>
        </w:rPr>
        <w:t>，</w:t>
      </w:r>
      <w:proofErr w:type="gramEnd"/>
      <w:r w:rsidRPr="00E616E6">
        <w:rPr>
          <w:rFonts w:hAnsi="標楷體" w:hint="eastAsia"/>
          <w:color w:val="000000" w:themeColor="text1"/>
        </w:rPr>
        <w:t>上開鑑定機關對於鑑定檔案所訂之保存年限，是否合於檔案法</w:t>
      </w:r>
      <w:r w:rsidR="006533D8" w:rsidRPr="00E616E6">
        <w:rPr>
          <w:rFonts w:hAnsi="標楷體" w:hint="eastAsia"/>
          <w:color w:val="000000" w:themeColor="text1"/>
        </w:rPr>
        <w:t>有關</w:t>
      </w:r>
      <w:r w:rsidRPr="00E616E6">
        <w:rPr>
          <w:rFonts w:hAnsi="標楷體" w:hint="eastAsia"/>
          <w:color w:val="000000" w:themeColor="text1"/>
        </w:rPr>
        <w:t>判處死刑、無期徒刑重罪案卷之保存年限規定意旨，亦有疑義</w:t>
      </w:r>
      <w:r w:rsidR="00A44291" w:rsidRPr="00E616E6">
        <w:rPr>
          <w:rFonts w:hAnsi="標楷體" w:hint="eastAsia"/>
          <w:color w:val="000000" w:themeColor="text1"/>
        </w:rPr>
        <w:t>。</w:t>
      </w:r>
      <w:r w:rsidR="00A44291" w:rsidRPr="00E616E6">
        <w:rPr>
          <w:rFonts w:hAnsi="標楷體" w:hint="eastAsia"/>
          <w:bCs w:val="0"/>
          <w:color w:val="000000" w:themeColor="text1"/>
        </w:rPr>
        <w:t>為避免人權保障</w:t>
      </w:r>
      <w:r w:rsidR="00470DB2" w:rsidRPr="00E616E6">
        <w:rPr>
          <w:rFonts w:hAnsi="標楷體" w:hint="eastAsia"/>
          <w:bCs w:val="0"/>
          <w:color w:val="000000" w:themeColor="text1"/>
        </w:rPr>
        <w:t>因案而異，以及滋生檔案管理是否落實依法行政之爭議，宜請法務部會商內政部、檔案管理局，本於行政一體，檢討</w:t>
      </w:r>
      <w:proofErr w:type="gramStart"/>
      <w:r w:rsidR="00470DB2" w:rsidRPr="00E616E6">
        <w:rPr>
          <w:rFonts w:hAnsi="標楷體" w:hint="eastAsia"/>
          <w:bCs w:val="0"/>
          <w:color w:val="000000" w:themeColor="text1"/>
        </w:rPr>
        <w:t>研</w:t>
      </w:r>
      <w:proofErr w:type="gramEnd"/>
      <w:r w:rsidR="00470DB2" w:rsidRPr="00E616E6">
        <w:rPr>
          <w:rFonts w:hAnsi="標楷體" w:hint="eastAsia"/>
          <w:bCs w:val="0"/>
          <w:color w:val="000000" w:themeColor="text1"/>
        </w:rPr>
        <w:t>議「DNA檢體或樣本及</w:t>
      </w:r>
      <w:proofErr w:type="gramStart"/>
      <w:r w:rsidR="00470DB2" w:rsidRPr="00E616E6">
        <w:rPr>
          <w:rFonts w:hAnsi="標楷體" w:hint="eastAsia"/>
          <w:bCs w:val="0"/>
          <w:color w:val="000000" w:themeColor="text1"/>
        </w:rPr>
        <w:t>鑑</w:t>
      </w:r>
      <w:proofErr w:type="gramEnd"/>
      <w:r w:rsidR="00470DB2" w:rsidRPr="00E616E6">
        <w:rPr>
          <w:rFonts w:hAnsi="標楷體" w:hint="eastAsia"/>
          <w:bCs w:val="0"/>
          <w:color w:val="000000" w:themeColor="text1"/>
        </w:rPr>
        <w:t>驗資料」之保存年限應否整合修正、統一規範</w:t>
      </w:r>
      <w:r w:rsidRPr="00E616E6">
        <w:rPr>
          <w:rFonts w:hint="eastAsia"/>
          <w:color w:val="000000" w:themeColor="text1"/>
        </w:rPr>
        <w:t>。</w:t>
      </w:r>
    </w:p>
    <w:p w14:paraId="7937ADCF" w14:textId="671C1345" w:rsidR="00AF74F7" w:rsidRPr="00E616E6" w:rsidRDefault="00AF74F7" w:rsidP="00990A79">
      <w:pPr>
        <w:pStyle w:val="2"/>
        <w:rPr>
          <w:rFonts w:hAnsi="標楷體"/>
          <w:b/>
          <w:bCs w:val="0"/>
          <w:color w:val="000000" w:themeColor="text1"/>
        </w:rPr>
      </w:pPr>
      <w:proofErr w:type="gramStart"/>
      <w:r w:rsidRPr="00E616E6">
        <w:rPr>
          <w:rFonts w:hAnsi="標楷體" w:hint="eastAsia"/>
          <w:b/>
          <w:bCs w:val="0"/>
          <w:color w:val="000000" w:themeColor="text1"/>
        </w:rPr>
        <w:t>測謊於學說</w:t>
      </w:r>
      <w:proofErr w:type="gramEnd"/>
      <w:r w:rsidRPr="00E616E6">
        <w:rPr>
          <w:rFonts w:hAnsi="標楷體" w:hint="eastAsia"/>
          <w:b/>
          <w:bCs w:val="0"/>
          <w:color w:val="000000" w:themeColor="text1"/>
        </w:rPr>
        <w:t>及實務上均存在重大爭議，測謊過程資料理應併入偵查卷宗保存，以擔保測謊作業無重大瑕疵</w:t>
      </w:r>
      <w:proofErr w:type="gramStart"/>
      <w:r w:rsidRPr="00E616E6">
        <w:rPr>
          <w:rFonts w:hAnsi="標楷體" w:hint="eastAsia"/>
          <w:b/>
          <w:bCs w:val="0"/>
          <w:color w:val="000000" w:themeColor="text1"/>
        </w:rPr>
        <w:t>可指及測</w:t>
      </w:r>
      <w:proofErr w:type="gramEnd"/>
      <w:r w:rsidRPr="00E616E6">
        <w:rPr>
          <w:rFonts w:hAnsi="標楷體" w:hint="eastAsia"/>
          <w:b/>
          <w:bCs w:val="0"/>
          <w:color w:val="000000" w:themeColor="text1"/>
        </w:rPr>
        <w:t>謊結果公正客觀</w:t>
      </w:r>
      <w:r w:rsidR="00CC22A5" w:rsidRPr="00E616E6">
        <w:rPr>
          <w:rFonts w:hAnsi="標楷體" w:hint="eastAsia"/>
          <w:b/>
          <w:bCs w:val="0"/>
          <w:color w:val="000000" w:themeColor="text1"/>
        </w:rPr>
        <w:t>。</w:t>
      </w:r>
      <w:r w:rsidRPr="00E616E6">
        <w:rPr>
          <w:rFonts w:hAnsi="標楷體" w:hint="eastAsia"/>
          <w:b/>
          <w:bCs w:val="0"/>
          <w:color w:val="000000" w:themeColor="text1"/>
        </w:rPr>
        <w:t>盧正案偵查卷內僅一紙「</w:t>
      </w:r>
      <w:proofErr w:type="gramStart"/>
      <w:r w:rsidRPr="00E616E6">
        <w:rPr>
          <w:rFonts w:hAnsi="標楷體" w:hint="eastAsia"/>
          <w:b/>
          <w:bCs w:val="0"/>
          <w:color w:val="000000" w:themeColor="text1"/>
        </w:rPr>
        <w:t>鑑</w:t>
      </w:r>
      <w:proofErr w:type="gramEnd"/>
      <w:r w:rsidRPr="00E616E6">
        <w:rPr>
          <w:rFonts w:hAnsi="標楷體" w:hint="eastAsia"/>
          <w:b/>
          <w:bCs w:val="0"/>
          <w:color w:val="000000" w:themeColor="text1"/>
        </w:rPr>
        <w:t>驗通知書」，重要測謊資料未併入偵查卷內以供查考，有關應</w:t>
      </w:r>
      <w:proofErr w:type="gramStart"/>
      <w:r w:rsidRPr="00E616E6">
        <w:rPr>
          <w:rFonts w:hAnsi="標楷體" w:hint="eastAsia"/>
          <w:b/>
          <w:bCs w:val="0"/>
          <w:color w:val="000000" w:themeColor="text1"/>
        </w:rPr>
        <w:t>附隨測謊</w:t>
      </w:r>
      <w:proofErr w:type="gramEnd"/>
      <w:r w:rsidRPr="00E616E6">
        <w:rPr>
          <w:rFonts w:hAnsi="標楷體" w:hint="eastAsia"/>
          <w:b/>
          <w:bCs w:val="0"/>
          <w:color w:val="000000" w:themeColor="text1"/>
        </w:rPr>
        <w:t>報告書檢送檢察機關之資料範圍，性侵害案件以法規命令明定，其他案件僅臺灣高等檢察署以行政規則自律</w:t>
      </w:r>
      <w:r w:rsidRPr="00E616E6">
        <w:rPr>
          <w:rFonts w:ascii="新細明體" w:eastAsia="新細明體" w:hAnsi="新細明體" w:hint="eastAsia"/>
          <w:b/>
          <w:bCs w:val="0"/>
          <w:color w:val="000000" w:themeColor="text1"/>
        </w:rPr>
        <w:t>，</w:t>
      </w:r>
      <w:r w:rsidRPr="00E616E6">
        <w:rPr>
          <w:rFonts w:hAnsi="標楷體" w:hint="eastAsia"/>
          <w:b/>
          <w:bCs w:val="0"/>
          <w:color w:val="000000" w:themeColor="text1"/>
        </w:rPr>
        <w:t>且各測謊</w:t>
      </w:r>
      <w:proofErr w:type="gramStart"/>
      <w:r w:rsidRPr="00E616E6">
        <w:rPr>
          <w:rFonts w:hAnsi="標楷體" w:hint="eastAsia"/>
          <w:b/>
          <w:bCs w:val="0"/>
          <w:color w:val="000000" w:themeColor="text1"/>
        </w:rPr>
        <w:t>機關間尚無</w:t>
      </w:r>
      <w:proofErr w:type="gramEnd"/>
      <w:r w:rsidRPr="00E616E6">
        <w:rPr>
          <w:rFonts w:hAnsi="標楷體" w:hint="eastAsia"/>
          <w:b/>
          <w:bCs w:val="0"/>
          <w:color w:val="000000" w:themeColor="text1"/>
        </w:rPr>
        <w:t>明確、一致規範，宜請法務部會商內政部、國防部所屬測謊機關，檢討</w:t>
      </w:r>
      <w:proofErr w:type="gramStart"/>
      <w:r w:rsidRPr="00E616E6">
        <w:rPr>
          <w:rFonts w:hAnsi="標楷體" w:hint="eastAsia"/>
          <w:b/>
          <w:bCs w:val="0"/>
          <w:color w:val="000000" w:themeColor="text1"/>
        </w:rPr>
        <w:t>研</w:t>
      </w:r>
      <w:proofErr w:type="gramEnd"/>
      <w:r w:rsidRPr="00E616E6">
        <w:rPr>
          <w:rFonts w:hAnsi="標楷體" w:hint="eastAsia"/>
          <w:b/>
          <w:bCs w:val="0"/>
          <w:color w:val="000000" w:themeColor="text1"/>
        </w:rPr>
        <w:t>議立法政策如何</w:t>
      </w:r>
      <w:r w:rsidR="00B67C2C" w:rsidRPr="00E616E6">
        <w:rPr>
          <w:rFonts w:hAnsi="標楷體" w:hint="eastAsia"/>
          <w:b/>
          <w:bCs w:val="0"/>
          <w:color w:val="000000" w:themeColor="text1"/>
        </w:rPr>
        <w:t>為</w:t>
      </w:r>
      <w:r w:rsidRPr="00E616E6">
        <w:rPr>
          <w:rFonts w:hAnsi="標楷體" w:hint="eastAsia"/>
          <w:b/>
          <w:bCs w:val="0"/>
          <w:color w:val="000000" w:themeColor="text1"/>
        </w:rPr>
        <w:t>宜，</w:t>
      </w:r>
      <w:r w:rsidR="00181892" w:rsidRPr="00E616E6">
        <w:rPr>
          <w:rFonts w:hAnsi="標楷體" w:hint="eastAsia"/>
          <w:b/>
          <w:bCs w:val="0"/>
          <w:color w:val="000000" w:themeColor="text1"/>
        </w:rPr>
        <w:t>以</w:t>
      </w:r>
      <w:r w:rsidRPr="00E616E6">
        <w:rPr>
          <w:rFonts w:hAnsi="標楷體" w:hint="eastAsia"/>
          <w:b/>
          <w:bCs w:val="0"/>
          <w:color w:val="000000" w:themeColor="text1"/>
        </w:rPr>
        <w:t>確保依法行政</w:t>
      </w:r>
      <w:r w:rsidRPr="00E616E6">
        <w:rPr>
          <w:rFonts w:ascii="新細明體" w:eastAsia="新細明體" w:hAnsi="新細明體" w:hint="eastAsia"/>
          <w:b/>
          <w:bCs w:val="0"/>
          <w:color w:val="000000" w:themeColor="text1"/>
        </w:rPr>
        <w:t>，</w:t>
      </w:r>
      <w:r w:rsidRPr="00E616E6">
        <w:rPr>
          <w:rFonts w:hAnsi="標楷體" w:hint="eastAsia"/>
          <w:b/>
          <w:bCs w:val="0"/>
          <w:color w:val="000000" w:themeColor="text1"/>
        </w:rPr>
        <w:t>並持續</w:t>
      </w:r>
      <w:proofErr w:type="gramStart"/>
      <w:r w:rsidRPr="00E616E6">
        <w:rPr>
          <w:rFonts w:hAnsi="標楷體" w:hint="eastAsia"/>
          <w:b/>
          <w:bCs w:val="0"/>
          <w:color w:val="000000" w:themeColor="text1"/>
        </w:rPr>
        <w:t>精進測謊</w:t>
      </w:r>
      <w:proofErr w:type="gramEnd"/>
      <w:r w:rsidRPr="00E616E6">
        <w:rPr>
          <w:rFonts w:hAnsi="標楷體" w:hint="eastAsia"/>
          <w:b/>
          <w:bCs w:val="0"/>
          <w:color w:val="000000" w:themeColor="text1"/>
        </w:rPr>
        <w:t>品質。</w:t>
      </w:r>
    </w:p>
    <w:p w14:paraId="6813DD47" w14:textId="38E450DC" w:rsidR="00AF74F7" w:rsidRPr="00E616E6" w:rsidRDefault="00AF74F7" w:rsidP="00FC0B26">
      <w:pPr>
        <w:pStyle w:val="3"/>
        <w:rPr>
          <w:color w:val="000000" w:themeColor="text1"/>
        </w:rPr>
      </w:pPr>
      <w:r w:rsidRPr="00E616E6">
        <w:rPr>
          <w:rFonts w:hint="eastAsia"/>
          <w:b/>
          <w:color w:val="000000" w:themeColor="text1"/>
        </w:rPr>
        <w:t>測謊鑑定報告本質上為傳聞證據</w:t>
      </w:r>
      <w:r w:rsidRPr="00E616E6">
        <w:rPr>
          <w:rFonts w:hAnsi="標楷體" w:hint="eastAsia"/>
          <w:b/>
          <w:color w:val="000000" w:themeColor="text1"/>
        </w:rPr>
        <w:t>，須完整敘述鑑定之經過及結果，始構成傳聞之例外</w:t>
      </w:r>
      <w:r w:rsidR="00CC22A5" w:rsidRPr="00E616E6">
        <w:rPr>
          <w:rFonts w:hAnsi="標楷體" w:hint="eastAsia"/>
          <w:b/>
          <w:color w:val="000000" w:themeColor="text1"/>
        </w:rPr>
        <w:t>；</w:t>
      </w:r>
      <w:r w:rsidRPr="00E616E6">
        <w:rPr>
          <w:rFonts w:hAnsi="標楷體" w:hint="eastAsia"/>
          <w:b/>
          <w:color w:val="000000" w:themeColor="text1"/>
        </w:rPr>
        <w:t>又依司法實務見解，</w:t>
      </w:r>
      <w:r w:rsidRPr="00E616E6">
        <w:rPr>
          <w:rFonts w:hint="eastAsia"/>
          <w:b/>
          <w:color w:val="000000" w:themeColor="text1"/>
        </w:rPr>
        <w:t>形式上符合五大測謊基本程式要件</w:t>
      </w:r>
      <w:r w:rsidRPr="00E616E6">
        <w:rPr>
          <w:rFonts w:hAnsi="標楷體" w:hint="eastAsia"/>
          <w:b/>
          <w:color w:val="000000" w:themeColor="text1"/>
        </w:rPr>
        <w:t>，</w:t>
      </w:r>
      <w:r w:rsidRPr="00E616E6">
        <w:rPr>
          <w:rFonts w:hint="eastAsia"/>
          <w:b/>
          <w:color w:val="000000" w:themeColor="text1"/>
        </w:rPr>
        <w:t>始具有</w:t>
      </w:r>
      <w:r w:rsidRPr="00E616E6">
        <w:rPr>
          <w:rFonts w:hint="eastAsia"/>
          <w:b/>
          <w:color w:val="000000" w:themeColor="text1"/>
        </w:rPr>
        <w:lastRenderedPageBreak/>
        <w:t>證據能力</w:t>
      </w:r>
      <w:r w:rsidR="00CC22A5" w:rsidRPr="00E616E6">
        <w:rPr>
          <w:rFonts w:hint="eastAsia"/>
          <w:b/>
          <w:color w:val="000000" w:themeColor="text1"/>
        </w:rPr>
        <w:t>；</w:t>
      </w:r>
      <w:r w:rsidRPr="00E616E6">
        <w:rPr>
          <w:rFonts w:hAnsi="標楷體" w:hint="eastAsia"/>
          <w:b/>
          <w:color w:val="000000" w:themeColor="text1"/>
        </w:rPr>
        <w:t>故</w:t>
      </w:r>
      <w:r w:rsidRPr="00E616E6">
        <w:rPr>
          <w:rFonts w:hint="eastAsia"/>
          <w:b/>
          <w:color w:val="000000" w:themeColor="text1"/>
        </w:rPr>
        <w:t>檢察官</w:t>
      </w:r>
      <w:r w:rsidR="00586DD2" w:rsidRPr="00E616E6">
        <w:rPr>
          <w:rFonts w:hint="eastAsia"/>
          <w:b/>
          <w:color w:val="000000" w:themeColor="text1"/>
        </w:rPr>
        <w:t>仍</w:t>
      </w:r>
      <w:r w:rsidRPr="00E616E6">
        <w:rPr>
          <w:rFonts w:hint="eastAsia"/>
          <w:b/>
          <w:color w:val="000000" w:themeColor="text1"/>
        </w:rPr>
        <w:t>應詳加審查</w:t>
      </w:r>
      <w:r w:rsidRPr="00E616E6">
        <w:rPr>
          <w:rFonts w:hAnsi="標楷體" w:hint="eastAsia"/>
          <w:b/>
          <w:color w:val="000000" w:themeColor="text1"/>
        </w:rPr>
        <w:t>實施鑑定之人具有鑑定專業資格，其實施之鑑定經過確已</w:t>
      </w:r>
      <w:proofErr w:type="gramStart"/>
      <w:r w:rsidRPr="00E616E6">
        <w:rPr>
          <w:rFonts w:hAnsi="標楷體" w:hint="eastAsia"/>
          <w:b/>
          <w:color w:val="000000" w:themeColor="text1"/>
        </w:rPr>
        <w:t>踐行</w:t>
      </w:r>
      <w:proofErr w:type="gramEnd"/>
      <w:r w:rsidRPr="00E616E6">
        <w:rPr>
          <w:rFonts w:hAnsi="標楷體" w:hint="eastAsia"/>
          <w:b/>
          <w:color w:val="000000" w:themeColor="text1"/>
        </w:rPr>
        <w:t>測謊標準作業程序，始得</w:t>
      </w:r>
      <w:proofErr w:type="gramStart"/>
      <w:r w:rsidRPr="00E616E6">
        <w:rPr>
          <w:rFonts w:hAnsi="標楷體" w:hint="eastAsia"/>
          <w:b/>
          <w:color w:val="000000" w:themeColor="text1"/>
        </w:rPr>
        <w:t>採</w:t>
      </w:r>
      <w:proofErr w:type="gramEnd"/>
      <w:r w:rsidRPr="00E616E6">
        <w:rPr>
          <w:rFonts w:hAnsi="標楷體" w:hint="eastAsia"/>
          <w:b/>
          <w:color w:val="000000" w:themeColor="text1"/>
        </w:rPr>
        <w:t>為認定犯罪事實之證據：</w:t>
      </w:r>
    </w:p>
    <w:p w14:paraId="5D1CC907" w14:textId="77777777" w:rsidR="00AF74F7" w:rsidRPr="00E616E6" w:rsidRDefault="00AF74F7" w:rsidP="000724E4">
      <w:pPr>
        <w:pStyle w:val="4"/>
        <w:rPr>
          <w:color w:val="000000" w:themeColor="text1"/>
        </w:rPr>
      </w:pPr>
      <w:r w:rsidRPr="00E616E6">
        <w:rPr>
          <w:rFonts w:hint="eastAsia"/>
          <w:color w:val="000000" w:themeColor="text1"/>
        </w:rPr>
        <w:t>測謊鑑定，係鑑定人利用科學方法，探知被告內心真實情形，由鑑定人員將其判斷載於鑑定書，本質上為鑑定人所為之供述證據</w:t>
      </w:r>
      <w:r w:rsidRPr="00E616E6">
        <w:rPr>
          <w:rFonts w:hAnsi="標楷體" w:hint="eastAsia"/>
          <w:color w:val="000000" w:themeColor="text1"/>
        </w:rPr>
        <w:t>，</w:t>
      </w:r>
      <w:r w:rsidRPr="00E616E6">
        <w:rPr>
          <w:rFonts w:hint="eastAsia"/>
          <w:color w:val="000000" w:themeColor="text1"/>
        </w:rPr>
        <w:t>因涉及人格權議題，學說與實務上</w:t>
      </w:r>
      <w:r w:rsidRPr="00E616E6">
        <w:rPr>
          <w:rFonts w:hAnsi="標楷體" w:hint="eastAsia"/>
          <w:color w:val="000000" w:themeColor="text1"/>
        </w:rPr>
        <w:t>，對於測謊結果是否具有證據能力，</w:t>
      </w:r>
      <w:proofErr w:type="gramStart"/>
      <w:r w:rsidRPr="00E616E6">
        <w:rPr>
          <w:rFonts w:hAnsi="標楷體" w:hint="eastAsia"/>
          <w:color w:val="000000" w:themeColor="text1"/>
        </w:rPr>
        <w:t>均</w:t>
      </w:r>
      <w:r w:rsidRPr="00E616E6">
        <w:rPr>
          <w:rFonts w:hint="eastAsia"/>
          <w:color w:val="000000" w:themeColor="text1"/>
        </w:rPr>
        <w:t>有爭議</w:t>
      </w:r>
      <w:proofErr w:type="gramEnd"/>
      <w:r w:rsidRPr="00E616E6">
        <w:rPr>
          <w:rFonts w:hint="eastAsia"/>
          <w:color w:val="000000" w:themeColor="text1"/>
        </w:rPr>
        <w:t>，檢察機關自當嚴格審視測謊過程有無瑕疵，避免誤導偵查方向，甚污染法官心證。</w:t>
      </w:r>
    </w:p>
    <w:p w14:paraId="34590263" w14:textId="6C868433" w:rsidR="00AF74F7" w:rsidRPr="00E616E6" w:rsidRDefault="00AF74F7" w:rsidP="000724E4">
      <w:pPr>
        <w:pStyle w:val="4"/>
        <w:rPr>
          <w:color w:val="000000" w:themeColor="text1"/>
        </w:rPr>
      </w:pPr>
      <w:r w:rsidRPr="00E616E6">
        <w:rPr>
          <w:rFonts w:hint="eastAsia"/>
          <w:color w:val="000000" w:themeColor="text1"/>
        </w:rPr>
        <w:t>按被告以外之人於審判外之言詞或書面陳述，除法律有規定者外，不得作為證據，刑事訴訟法第159條第1項定有明文。測謊鑑定之鑑定書既屬鑑定人於審判外之書面陳述，本質上即屬傳聞證據。依刑事訴訟法第206條第1項規定，鑑定應包括「鑑定之經過及其結果」。測謊鑑定報告須符合刑事訴訟法第206條第1項</w:t>
      </w:r>
      <w:r w:rsidR="006533D8" w:rsidRPr="00E616E6">
        <w:rPr>
          <w:rFonts w:hint="eastAsia"/>
          <w:color w:val="000000" w:themeColor="text1"/>
        </w:rPr>
        <w:t>，</w:t>
      </w:r>
      <w:r w:rsidRPr="00E616E6">
        <w:rPr>
          <w:rFonts w:hint="eastAsia"/>
          <w:color w:val="000000" w:themeColor="text1"/>
        </w:rPr>
        <w:t>包括「鑑定之經過及其結果」之法定要件，方屬同法第159條第1項「法律有規定者」之傳聞例外，而具有證據能力。</w:t>
      </w:r>
    </w:p>
    <w:p w14:paraId="55BD5892" w14:textId="3804F86E" w:rsidR="00AF74F7" w:rsidRPr="00E616E6" w:rsidRDefault="00AF74F7" w:rsidP="000724E4">
      <w:pPr>
        <w:pStyle w:val="4"/>
        <w:rPr>
          <w:color w:val="000000" w:themeColor="text1"/>
        </w:rPr>
      </w:pPr>
      <w:r w:rsidRPr="00E616E6">
        <w:rPr>
          <w:rFonts w:hint="eastAsia"/>
          <w:color w:val="000000" w:themeColor="text1"/>
        </w:rPr>
        <w:t>測謊結果得否作為認定犯罪事實之依據</w:t>
      </w:r>
      <w:r w:rsidR="00651808" w:rsidRPr="00E616E6">
        <w:rPr>
          <w:rFonts w:ascii="新細明體" w:eastAsia="新細明體" w:hAnsi="新細明體" w:hint="eastAsia"/>
          <w:color w:val="000000" w:themeColor="text1"/>
        </w:rPr>
        <w:t>，</w:t>
      </w:r>
      <w:r w:rsidR="00651808" w:rsidRPr="00E616E6">
        <w:rPr>
          <w:rFonts w:hint="eastAsia"/>
          <w:color w:val="000000" w:themeColor="text1"/>
        </w:rPr>
        <w:t>亦即有無證據能力</w:t>
      </w:r>
      <w:r w:rsidRPr="00E616E6">
        <w:rPr>
          <w:rFonts w:hint="eastAsia"/>
          <w:color w:val="000000" w:themeColor="text1"/>
        </w:rPr>
        <w:t>，我國刑事訴訟法並無明文</w:t>
      </w:r>
      <w:r w:rsidR="00CC22A5" w:rsidRPr="00E616E6">
        <w:rPr>
          <w:rFonts w:hint="eastAsia"/>
          <w:color w:val="000000" w:themeColor="text1"/>
        </w:rPr>
        <w:t>；</w:t>
      </w:r>
      <w:proofErr w:type="gramStart"/>
      <w:r w:rsidRPr="00E616E6">
        <w:rPr>
          <w:rFonts w:hint="eastAsia"/>
          <w:color w:val="000000" w:themeColor="text1"/>
        </w:rPr>
        <w:t>惟</w:t>
      </w:r>
      <w:proofErr w:type="gramEnd"/>
      <w:r w:rsidRPr="00E616E6">
        <w:rPr>
          <w:rFonts w:hint="eastAsia"/>
          <w:color w:val="000000" w:themeColor="text1"/>
        </w:rPr>
        <w:t>目前司法實務認為，測謊機關之鑑定報告，形式上若符合測謊基本程式要件，包括：（一）經</w:t>
      </w:r>
      <w:proofErr w:type="gramStart"/>
      <w:r w:rsidRPr="00E616E6">
        <w:rPr>
          <w:rFonts w:hint="eastAsia"/>
          <w:color w:val="000000" w:themeColor="text1"/>
        </w:rPr>
        <w:t>受測人同意</w:t>
      </w:r>
      <w:proofErr w:type="gramEnd"/>
      <w:r w:rsidRPr="00E616E6">
        <w:rPr>
          <w:rFonts w:hint="eastAsia"/>
          <w:color w:val="000000" w:themeColor="text1"/>
        </w:rPr>
        <w:t>配合，並已告知得拒絕受測，以減輕受測者不必要之壓力、（二）</w:t>
      </w:r>
      <w:proofErr w:type="gramStart"/>
      <w:r w:rsidRPr="00E616E6">
        <w:rPr>
          <w:rFonts w:hint="eastAsia"/>
          <w:color w:val="000000" w:themeColor="text1"/>
        </w:rPr>
        <w:t>測謊員須</w:t>
      </w:r>
      <w:proofErr w:type="gramEnd"/>
      <w:r w:rsidRPr="00E616E6">
        <w:rPr>
          <w:rFonts w:hint="eastAsia"/>
          <w:color w:val="000000" w:themeColor="text1"/>
        </w:rPr>
        <w:t>經良好之專業訓練與相當之經驗、（三）測謊儀器品質良好且運作正常、（四）</w:t>
      </w:r>
      <w:proofErr w:type="gramStart"/>
      <w:r w:rsidRPr="00E616E6">
        <w:rPr>
          <w:rFonts w:hint="eastAsia"/>
          <w:color w:val="000000" w:themeColor="text1"/>
        </w:rPr>
        <w:t>受測人身心</w:t>
      </w:r>
      <w:proofErr w:type="gramEnd"/>
      <w:r w:rsidRPr="00E616E6">
        <w:rPr>
          <w:rFonts w:hint="eastAsia"/>
          <w:color w:val="000000" w:themeColor="text1"/>
        </w:rPr>
        <w:t>及意識狀態正常、（五）測謊環境良好，無不當之外力干擾等要件，於符合上開要件時，即賦予證據能力。且受測者否認犯罪之供述呈現不實之情緒波動反應，不得</w:t>
      </w:r>
      <w:proofErr w:type="gramStart"/>
      <w:r w:rsidRPr="00E616E6">
        <w:rPr>
          <w:rFonts w:hint="eastAsia"/>
          <w:color w:val="000000" w:themeColor="text1"/>
        </w:rPr>
        <w:t>採</w:t>
      </w:r>
      <w:proofErr w:type="gramEnd"/>
      <w:r w:rsidRPr="00E616E6">
        <w:rPr>
          <w:rFonts w:hint="eastAsia"/>
          <w:color w:val="000000" w:themeColor="text1"/>
        </w:rPr>
        <w:t>為有</w:t>
      </w:r>
      <w:r w:rsidRPr="00E616E6">
        <w:rPr>
          <w:rFonts w:hint="eastAsia"/>
          <w:color w:val="000000" w:themeColor="text1"/>
        </w:rPr>
        <w:lastRenderedPageBreak/>
        <w:t>罪判決之唯一證據</w:t>
      </w:r>
      <w:r w:rsidR="00CC22A5" w:rsidRPr="00E616E6">
        <w:rPr>
          <w:rFonts w:hint="eastAsia"/>
          <w:color w:val="000000" w:themeColor="text1"/>
        </w:rPr>
        <w:t>。</w:t>
      </w:r>
      <w:r w:rsidRPr="00E616E6">
        <w:rPr>
          <w:rFonts w:hint="eastAsia"/>
          <w:color w:val="000000" w:themeColor="text1"/>
        </w:rPr>
        <w:t>若受測者否認犯罪之供述並無不實之情緒波動反應，又無其他積極證據證明其被訴之犯罪事實，自得</w:t>
      </w:r>
      <w:proofErr w:type="gramStart"/>
      <w:r w:rsidRPr="00E616E6">
        <w:rPr>
          <w:rFonts w:hint="eastAsia"/>
          <w:color w:val="000000" w:themeColor="text1"/>
        </w:rPr>
        <w:t>採</w:t>
      </w:r>
      <w:proofErr w:type="gramEnd"/>
      <w:r w:rsidRPr="00E616E6">
        <w:rPr>
          <w:rFonts w:hint="eastAsia"/>
          <w:color w:val="000000" w:themeColor="text1"/>
        </w:rPr>
        <w:t>為有利於受測者之認定（參照最高法院92年度台上字第2282號、94年度台上字第7135號、98年度台上字第2345號判決）。</w:t>
      </w:r>
    </w:p>
    <w:p w14:paraId="5BFBB340" w14:textId="4AD19C34" w:rsidR="00AF74F7" w:rsidRPr="00E616E6" w:rsidRDefault="00AF74F7" w:rsidP="000724E4">
      <w:pPr>
        <w:pStyle w:val="4"/>
        <w:rPr>
          <w:rFonts w:hAnsi="標楷體"/>
          <w:color w:val="000000" w:themeColor="text1"/>
        </w:rPr>
      </w:pPr>
      <w:r w:rsidRPr="00E616E6">
        <w:rPr>
          <w:rFonts w:hint="eastAsia"/>
          <w:color w:val="000000" w:themeColor="text1"/>
        </w:rPr>
        <w:t>另法務部於本院詢問時表示</w:t>
      </w:r>
      <w:r w:rsidRPr="00E616E6">
        <w:rPr>
          <w:rFonts w:ascii="新細明體" w:eastAsia="新細明體" w:hAnsi="新細明體" w:hint="eastAsia"/>
          <w:color w:val="000000" w:themeColor="text1"/>
        </w:rPr>
        <w:t>：</w:t>
      </w:r>
      <w:r w:rsidRPr="00E616E6">
        <w:rPr>
          <w:rFonts w:hint="eastAsia"/>
          <w:color w:val="000000" w:themeColor="text1"/>
        </w:rPr>
        <w:t>按刑事訴訟法第2條第1項規定</w:t>
      </w:r>
      <w:r w:rsidRPr="00E616E6">
        <w:rPr>
          <w:rFonts w:hAnsi="標楷體" w:hint="eastAsia"/>
          <w:color w:val="000000" w:themeColor="text1"/>
        </w:rPr>
        <w:t>，</w:t>
      </w:r>
      <w:r w:rsidRPr="00E616E6">
        <w:rPr>
          <w:rFonts w:hint="eastAsia"/>
          <w:color w:val="000000" w:themeColor="text1"/>
        </w:rPr>
        <w:t>檢察官對於被告有利及不利之事項，</w:t>
      </w:r>
      <w:proofErr w:type="gramStart"/>
      <w:r w:rsidRPr="00E616E6">
        <w:rPr>
          <w:rFonts w:hint="eastAsia"/>
          <w:color w:val="000000" w:themeColor="text1"/>
        </w:rPr>
        <w:t>均須一律</w:t>
      </w:r>
      <w:proofErr w:type="gramEnd"/>
      <w:r w:rsidRPr="00E616E6">
        <w:rPr>
          <w:rFonts w:hint="eastAsia"/>
          <w:color w:val="000000" w:themeColor="text1"/>
        </w:rPr>
        <w:t>注意</w:t>
      </w:r>
      <w:r w:rsidR="00CC22A5" w:rsidRPr="00E616E6">
        <w:rPr>
          <w:rFonts w:hint="eastAsia"/>
          <w:color w:val="000000" w:themeColor="text1"/>
        </w:rPr>
        <w:t>；</w:t>
      </w:r>
      <w:proofErr w:type="gramStart"/>
      <w:r w:rsidRPr="00E616E6">
        <w:rPr>
          <w:rFonts w:hint="eastAsia"/>
          <w:color w:val="000000" w:themeColor="text1"/>
        </w:rPr>
        <w:t>復按犯罪</w:t>
      </w:r>
      <w:proofErr w:type="gramEnd"/>
      <w:r w:rsidRPr="00E616E6">
        <w:rPr>
          <w:rFonts w:hint="eastAsia"/>
          <w:color w:val="000000" w:themeColor="text1"/>
        </w:rPr>
        <w:t>事實應依證據認定之，無證據不得認定犯罪事實，同法第154條第2項亦</w:t>
      </w:r>
      <w:r w:rsidRPr="00E616E6">
        <w:rPr>
          <w:rFonts w:hAnsi="標楷體" w:hint="eastAsia"/>
          <w:color w:val="000000" w:themeColor="text1"/>
        </w:rPr>
        <w:t>有明文</w:t>
      </w:r>
      <w:r w:rsidR="00CC22A5" w:rsidRPr="00E616E6">
        <w:rPr>
          <w:rFonts w:hAnsi="標楷體" w:hint="eastAsia"/>
          <w:color w:val="000000" w:themeColor="text1"/>
        </w:rPr>
        <w:t>；</w:t>
      </w:r>
      <w:r w:rsidRPr="00E616E6">
        <w:rPr>
          <w:rFonts w:hAnsi="標楷體" w:hint="eastAsia"/>
          <w:color w:val="000000" w:themeColor="text1"/>
        </w:rPr>
        <w:t>是檢察官於收受測謊鑑定報告後，應仍詳加審查實施鑑定之人具有鑑定專業資格，其實施之鑑定經過確已</w:t>
      </w:r>
      <w:proofErr w:type="gramStart"/>
      <w:r w:rsidRPr="00E616E6">
        <w:rPr>
          <w:rFonts w:hAnsi="標楷體" w:hint="eastAsia"/>
          <w:color w:val="000000" w:themeColor="text1"/>
        </w:rPr>
        <w:t>踐行</w:t>
      </w:r>
      <w:proofErr w:type="gramEnd"/>
      <w:r w:rsidRPr="00E616E6">
        <w:rPr>
          <w:rFonts w:hAnsi="標楷體" w:hint="eastAsia"/>
          <w:color w:val="000000" w:themeColor="text1"/>
        </w:rPr>
        <w:t>測謊標準作業程序，始得</w:t>
      </w:r>
      <w:proofErr w:type="gramStart"/>
      <w:r w:rsidRPr="00E616E6">
        <w:rPr>
          <w:rFonts w:hAnsi="標楷體" w:hint="eastAsia"/>
          <w:color w:val="000000" w:themeColor="text1"/>
        </w:rPr>
        <w:t>採</w:t>
      </w:r>
      <w:proofErr w:type="gramEnd"/>
      <w:r w:rsidRPr="00E616E6">
        <w:rPr>
          <w:rFonts w:hAnsi="標楷體" w:hint="eastAsia"/>
          <w:color w:val="000000" w:themeColor="text1"/>
        </w:rPr>
        <w:t>為認定犯罪事實之證據。</w:t>
      </w:r>
    </w:p>
    <w:p w14:paraId="621892C3" w14:textId="1957E5A1" w:rsidR="00AF74F7" w:rsidRPr="00E616E6" w:rsidRDefault="00AF74F7" w:rsidP="008B6B7B">
      <w:pPr>
        <w:pStyle w:val="3"/>
        <w:rPr>
          <w:color w:val="000000" w:themeColor="text1"/>
        </w:rPr>
      </w:pPr>
      <w:r w:rsidRPr="00E616E6">
        <w:rPr>
          <w:rFonts w:hint="eastAsia"/>
          <w:b/>
          <w:color w:val="000000" w:themeColor="text1"/>
        </w:rPr>
        <w:t>盧正案偵查</w:t>
      </w:r>
      <w:proofErr w:type="gramStart"/>
      <w:r w:rsidRPr="00E616E6">
        <w:rPr>
          <w:rFonts w:hint="eastAsia"/>
          <w:b/>
          <w:color w:val="000000" w:themeColor="text1"/>
        </w:rPr>
        <w:t>卷內測謊</w:t>
      </w:r>
      <w:proofErr w:type="gramEnd"/>
      <w:r w:rsidRPr="00E616E6">
        <w:rPr>
          <w:rFonts w:hint="eastAsia"/>
          <w:b/>
          <w:color w:val="000000" w:themeColor="text1"/>
        </w:rPr>
        <w:t>資料僅一紙「</w:t>
      </w:r>
      <w:proofErr w:type="gramStart"/>
      <w:r w:rsidRPr="00E616E6">
        <w:rPr>
          <w:rFonts w:hint="eastAsia"/>
          <w:b/>
          <w:color w:val="000000" w:themeColor="text1"/>
        </w:rPr>
        <w:t>鑑</w:t>
      </w:r>
      <w:proofErr w:type="gramEnd"/>
      <w:r w:rsidRPr="00E616E6">
        <w:rPr>
          <w:rFonts w:hint="eastAsia"/>
          <w:b/>
          <w:color w:val="000000" w:themeColor="text1"/>
        </w:rPr>
        <w:t>驗通知書」，測謊鑑定機關亦未留存測謊同意書及</w:t>
      </w:r>
      <w:r w:rsidR="004F089B" w:rsidRPr="00E616E6">
        <w:rPr>
          <w:rFonts w:hint="eastAsia"/>
          <w:b/>
          <w:color w:val="000000" w:themeColor="text1"/>
        </w:rPr>
        <w:t>測謊圖譜</w:t>
      </w:r>
      <w:r w:rsidRPr="00E616E6">
        <w:rPr>
          <w:rFonts w:hint="eastAsia"/>
          <w:b/>
          <w:color w:val="000000" w:themeColor="text1"/>
        </w:rPr>
        <w:t>等資料以供查考</w:t>
      </w:r>
      <w:r w:rsidRPr="00E616E6">
        <w:rPr>
          <w:rFonts w:ascii="新細明體" w:eastAsia="新細明體" w:hAnsi="新細明體" w:hint="eastAsia"/>
          <w:b/>
          <w:color w:val="000000" w:themeColor="text1"/>
        </w:rPr>
        <w:t>：</w:t>
      </w:r>
    </w:p>
    <w:p w14:paraId="63C32DFC" w14:textId="304D47A7" w:rsidR="00AF74F7" w:rsidRPr="00E616E6" w:rsidRDefault="00AF74F7" w:rsidP="00BE0C87">
      <w:pPr>
        <w:pStyle w:val="4"/>
        <w:rPr>
          <w:rFonts w:hAnsi="標楷體"/>
          <w:color w:val="000000" w:themeColor="text1"/>
        </w:rPr>
      </w:pPr>
      <w:r w:rsidRPr="00E616E6">
        <w:rPr>
          <w:rFonts w:hAnsi="標楷體" w:hint="eastAsia"/>
          <w:color w:val="000000" w:themeColor="text1"/>
        </w:rPr>
        <w:t>經查，盧正案係由偵辦檢察官囑託臺灣省政府警政廳刑事警察大隊（88年7月精簡，整</w:t>
      </w:r>
      <w:proofErr w:type="gramStart"/>
      <w:r w:rsidRPr="00E616E6">
        <w:rPr>
          <w:rFonts w:hAnsi="標楷體" w:hint="eastAsia"/>
          <w:color w:val="000000" w:themeColor="text1"/>
        </w:rPr>
        <w:t>併</w:t>
      </w:r>
      <w:proofErr w:type="gramEnd"/>
      <w:r w:rsidRPr="00E616E6">
        <w:rPr>
          <w:rFonts w:hAnsi="標楷體" w:hint="eastAsia"/>
          <w:color w:val="000000" w:themeColor="text1"/>
        </w:rPr>
        <w:t>於刑事局）派員協助</w:t>
      </w:r>
      <w:proofErr w:type="gramStart"/>
      <w:r w:rsidR="0052736C" w:rsidRPr="00E616E6">
        <w:rPr>
          <w:rFonts w:hAnsi="標楷體" w:hint="eastAsia"/>
          <w:color w:val="000000" w:themeColor="text1"/>
        </w:rPr>
        <w:t>臺</w:t>
      </w:r>
      <w:proofErr w:type="gramEnd"/>
      <w:r w:rsidR="0052736C" w:rsidRPr="00E616E6">
        <w:rPr>
          <w:rFonts w:hAnsi="標楷體" w:hint="eastAsia"/>
          <w:color w:val="000000" w:themeColor="text1"/>
        </w:rPr>
        <w:t>南市警察局</w:t>
      </w:r>
      <w:r w:rsidRPr="00E616E6">
        <w:rPr>
          <w:rFonts w:hAnsi="標楷體" w:hint="eastAsia"/>
          <w:color w:val="000000" w:themeColor="text1"/>
        </w:rPr>
        <w:t>第五分局，於87年3月19日至該分局進行測謊，偵查</w:t>
      </w:r>
      <w:proofErr w:type="gramStart"/>
      <w:r w:rsidRPr="00E616E6">
        <w:rPr>
          <w:rFonts w:hAnsi="標楷體" w:hint="eastAsia"/>
          <w:color w:val="000000" w:themeColor="text1"/>
        </w:rPr>
        <w:t>卷內測謊</w:t>
      </w:r>
      <w:proofErr w:type="gramEnd"/>
      <w:r w:rsidRPr="00E616E6">
        <w:rPr>
          <w:rFonts w:hAnsi="標楷體" w:hint="eastAsia"/>
          <w:color w:val="000000" w:themeColor="text1"/>
        </w:rPr>
        <w:t>資料僅一紙「</w:t>
      </w:r>
      <w:proofErr w:type="gramStart"/>
      <w:r w:rsidRPr="00E616E6">
        <w:rPr>
          <w:rFonts w:hAnsi="標楷體" w:hint="eastAsia"/>
          <w:color w:val="000000" w:themeColor="text1"/>
        </w:rPr>
        <w:t>鑑</w:t>
      </w:r>
      <w:proofErr w:type="gramEnd"/>
      <w:r w:rsidRPr="00E616E6">
        <w:rPr>
          <w:rFonts w:hAnsi="標楷體" w:hint="eastAsia"/>
          <w:color w:val="000000" w:themeColor="text1"/>
        </w:rPr>
        <w:t>驗通知書」，盧正是否同意測謊、</w:t>
      </w:r>
      <w:proofErr w:type="gramStart"/>
      <w:r w:rsidRPr="00E616E6">
        <w:rPr>
          <w:rFonts w:hAnsi="標楷體" w:hint="eastAsia"/>
          <w:color w:val="000000" w:themeColor="text1"/>
        </w:rPr>
        <w:t>測前晤談</w:t>
      </w:r>
      <w:proofErr w:type="gramEnd"/>
      <w:r w:rsidRPr="00E616E6">
        <w:rPr>
          <w:rFonts w:hAnsi="標楷體" w:hint="eastAsia"/>
          <w:color w:val="000000" w:themeColor="text1"/>
        </w:rPr>
        <w:t>及測後晤談內容如何、</w:t>
      </w:r>
      <w:proofErr w:type="gramStart"/>
      <w:r w:rsidRPr="00E616E6">
        <w:rPr>
          <w:rFonts w:hAnsi="標楷體" w:hint="eastAsia"/>
          <w:color w:val="000000" w:themeColor="text1"/>
        </w:rPr>
        <w:t>完整測</w:t>
      </w:r>
      <w:proofErr w:type="gramEnd"/>
      <w:r w:rsidRPr="00E616E6">
        <w:rPr>
          <w:rFonts w:hAnsi="標楷體" w:hint="eastAsia"/>
          <w:color w:val="000000" w:themeColor="text1"/>
        </w:rPr>
        <w:t>謊問卷內容、</w:t>
      </w:r>
      <w:r w:rsidR="004F089B" w:rsidRPr="00E616E6">
        <w:rPr>
          <w:rFonts w:hAnsi="標楷體" w:hint="eastAsia"/>
          <w:color w:val="000000" w:themeColor="text1"/>
        </w:rPr>
        <w:t>測謊圖譜</w:t>
      </w:r>
      <w:r w:rsidRPr="00E616E6">
        <w:rPr>
          <w:rFonts w:hAnsi="標楷體" w:hint="eastAsia"/>
          <w:color w:val="000000" w:themeColor="text1"/>
        </w:rPr>
        <w:t>等資料，</w:t>
      </w:r>
      <w:proofErr w:type="gramStart"/>
      <w:r w:rsidRPr="00E616E6">
        <w:rPr>
          <w:rFonts w:hAnsi="標楷體" w:hint="eastAsia"/>
          <w:color w:val="000000" w:themeColor="text1"/>
        </w:rPr>
        <w:t>均有未明</w:t>
      </w:r>
      <w:proofErr w:type="gramEnd"/>
      <w:r w:rsidRPr="00E616E6">
        <w:rPr>
          <w:rFonts w:hAnsi="標楷體" w:hint="eastAsia"/>
          <w:color w:val="000000" w:themeColor="text1"/>
        </w:rPr>
        <w:t>。案經本院詢問警政署與刑事局，該等</w:t>
      </w:r>
      <w:proofErr w:type="gramStart"/>
      <w:r w:rsidRPr="00E616E6">
        <w:rPr>
          <w:rFonts w:hAnsi="標楷體" w:hint="eastAsia"/>
          <w:color w:val="000000" w:themeColor="text1"/>
        </w:rPr>
        <w:t>機關查稱</w:t>
      </w:r>
      <w:proofErr w:type="gramEnd"/>
      <w:r w:rsidRPr="00E616E6">
        <w:rPr>
          <w:rFonts w:hAnsi="標楷體" w:hint="eastAsia"/>
          <w:color w:val="000000" w:themeColor="text1"/>
        </w:rPr>
        <w:t>：施測人員杜俊信具國立臺灣大學心理系之專業背景，於測試該案前已從事測謊工作26年，於96年退休，期間歷練技佐、技士及代理組長職務</w:t>
      </w:r>
      <w:r w:rsidR="00CC22A5" w:rsidRPr="00E616E6">
        <w:rPr>
          <w:rFonts w:hAnsi="標楷體" w:hint="eastAsia"/>
          <w:color w:val="000000" w:themeColor="text1"/>
        </w:rPr>
        <w:t>。</w:t>
      </w:r>
      <w:proofErr w:type="gramStart"/>
      <w:r w:rsidRPr="00E616E6">
        <w:rPr>
          <w:rFonts w:hAnsi="標楷體" w:hint="eastAsia"/>
          <w:color w:val="000000" w:themeColor="text1"/>
        </w:rPr>
        <w:t>盧正案測謊</w:t>
      </w:r>
      <w:proofErr w:type="gramEnd"/>
      <w:r w:rsidRPr="00E616E6">
        <w:rPr>
          <w:rFonts w:hAnsi="標楷體" w:hint="eastAsia"/>
          <w:color w:val="000000" w:themeColor="text1"/>
        </w:rPr>
        <w:t>資料目前該局檔案查有</w:t>
      </w:r>
      <w:proofErr w:type="gramStart"/>
      <w:r w:rsidRPr="00E616E6">
        <w:rPr>
          <w:rFonts w:hAnsi="標楷體" w:hint="eastAsia"/>
          <w:color w:val="000000" w:themeColor="text1"/>
        </w:rPr>
        <w:t>鑑</w:t>
      </w:r>
      <w:proofErr w:type="gramEnd"/>
      <w:r w:rsidRPr="00E616E6">
        <w:rPr>
          <w:rFonts w:hAnsi="標楷體" w:hint="eastAsia"/>
          <w:color w:val="000000" w:themeColor="text1"/>
        </w:rPr>
        <w:t>驗通知書、</w:t>
      </w:r>
      <w:proofErr w:type="gramStart"/>
      <w:r w:rsidRPr="00E616E6">
        <w:rPr>
          <w:rFonts w:hAnsi="標楷體" w:hint="eastAsia"/>
          <w:color w:val="000000" w:themeColor="text1"/>
        </w:rPr>
        <w:t>簽呈函稿</w:t>
      </w:r>
      <w:proofErr w:type="gramEnd"/>
      <w:r w:rsidRPr="00E616E6">
        <w:rPr>
          <w:rFonts w:hAnsi="標楷體" w:hint="eastAsia"/>
          <w:color w:val="000000" w:themeColor="text1"/>
        </w:rPr>
        <w:t>、錄音卡帶及問題單</w:t>
      </w:r>
      <w:r w:rsidR="00EB5BA5" w:rsidRPr="00E616E6">
        <w:rPr>
          <w:rFonts w:hAnsi="標楷體" w:hint="eastAsia"/>
          <w:color w:val="000000" w:themeColor="text1"/>
        </w:rPr>
        <w:t>。</w:t>
      </w:r>
      <w:r w:rsidRPr="00E616E6">
        <w:rPr>
          <w:rFonts w:hAnsi="標楷體" w:hint="eastAsia"/>
          <w:color w:val="000000" w:themeColor="text1"/>
        </w:rPr>
        <w:t>測謊錄音卡帶，經刑事局委外辦理轉檔、</w:t>
      </w:r>
      <w:r w:rsidRPr="00E616E6">
        <w:rPr>
          <w:rFonts w:hAnsi="標楷體" w:hint="eastAsia"/>
          <w:color w:val="000000" w:themeColor="text1"/>
        </w:rPr>
        <w:lastRenderedPageBreak/>
        <w:t>修復及轉譯，測謊錄音譯文詳如附件。</w:t>
      </w:r>
    </w:p>
    <w:p w14:paraId="51C81302" w14:textId="084C2B80" w:rsidR="00AF74F7" w:rsidRPr="00E616E6" w:rsidRDefault="00AF74F7" w:rsidP="00BE0C87">
      <w:pPr>
        <w:pStyle w:val="4"/>
        <w:rPr>
          <w:rFonts w:hAnsi="標楷體"/>
          <w:color w:val="000000" w:themeColor="text1"/>
        </w:rPr>
      </w:pPr>
      <w:proofErr w:type="gramStart"/>
      <w:r w:rsidRPr="00E616E6">
        <w:rPr>
          <w:rFonts w:hAnsi="標楷體" w:hint="eastAsia"/>
          <w:color w:val="000000" w:themeColor="text1"/>
        </w:rPr>
        <w:t>觀諸測謊</w:t>
      </w:r>
      <w:proofErr w:type="gramEnd"/>
      <w:r w:rsidRPr="00E616E6">
        <w:rPr>
          <w:rFonts w:hAnsi="標楷體" w:hint="eastAsia"/>
          <w:color w:val="000000" w:themeColor="text1"/>
        </w:rPr>
        <w:t>錄音譯文所載發問情形，似與「</w:t>
      </w:r>
      <w:proofErr w:type="gramStart"/>
      <w:r w:rsidRPr="00E616E6">
        <w:rPr>
          <w:rFonts w:hAnsi="標楷體" w:hint="eastAsia"/>
          <w:color w:val="000000" w:themeColor="text1"/>
        </w:rPr>
        <w:t>鑑</w:t>
      </w:r>
      <w:proofErr w:type="gramEnd"/>
      <w:r w:rsidRPr="00E616E6">
        <w:rPr>
          <w:rFonts w:hAnsi="標楷體" w:hint="eastAsia"/>
          <w:color w:val="000000" w:themeColor="text1"/>
        </w:rPr>
        <w:t>驗通知書」所載「</w:t>
      </w:r>
      <w:proofErr w:type="gramStart"/>
      <w:r w:rsidRPr="00E616E6">
        <w:rPr>
          <w:rFonts w:hAnsi="標楷體" w:hint="eastAsia"/>
          <w:color w:val="000000" w:themeColor="text1"/>
        </w:rPr>
        <w:t>鑑</w:t>
      </w:r>
      <w:proofErr w:type="gramEnd"/>
      <w:r w:rsidRPr="00E616E6">
        <w:rPr>
          <w:rFonts w:hAnsi="標楷體" w:hint="eastAsia"/>
          <w:color w:val="000000" w:themeColor="text1"/>
        </w:rPr>
        <w:t>驗方法」：「1.模擬中性卡片數字刺激測驗（T</w:t>
      </w:r>
      <w:r w:rsidRPr="00E616E6">
        <w:rPr>
          <w:rFonts w:hAnsi="標楷體"/>
          <w:color w:val="000000" w:themeColor="text1"/>
        </w:rPr>
        <w:t>he Stimulation Card Test-SCT）</w:t>
      </w:r>
      <w:r w:rsidRPr="00E616E6">
        <w:rPr>
          <w:rFonts w:hAnsi="標楷體" w:hint="eastAsia"/>
          <w:color w:val="000000" w:themeColor="text1"/>
        </w:rPr>
        <w:t>。</w:t>
      </w:r>
      <w:r w:rsidRPr="00E616E6">
        <w:rPr>
          <w:rFonts w:hAnsi="標楷體"/>
          <w:color w:val="000000" w:themeColor="text1"/>
        </w:rPr>
        <w:t>2.</w:t>
      </w:r>
      <w:r w:rsidRPr="00E616E6">
        <w:rPr>
          <w:rFonts w:hAnsi="標楷體" w:hint="eastAsia"/>
          <w:color w:val="000000" w:themeColor="text1"/>
        </w:rPr>
        <w:t>對照問題法(The Question Test-CQT)。</w:t>
      </w:r>
      <w:r w:rsidRPr="00E616E6">
        <w:rPr>
          <w:rFonts w:hAnsi="標楷體"/>
          <w:color w:val="000000" w:themeColor="text1"/>
        </w:rPr>
        <w:t>3.</w:t>
      </w:r>
      <w:r w:rsidRPr="00E616E6">
        <w:rPr>
          <w:rFonts w:hAnsi="標楷體" w:hint="eastAsia"/>
          <w:color w:val="000000" w:themeColor="text1"/>
        </w:rPr>
        <w:t>混合問題法(The Mixed Question Test-MQT)。」尚無</w:t>
      </w:r>
      <w:r w:rsidR="00AB260A" w:rsidRPr="00E616E6">
        <w:rPr>
          <w:rFonts w:hAnsi="標楷體" w:hint="eastAsia"/>
          <w:color w:val="000000" w:themeColor="text1"/>
        </w:rPr>
        <w:t>不合。惟因缺乏測謊同意書</w:t>
      </w:r>
      <w:r w:rsidR="00371466" w:rsidRPr="00E616E6">
        <w:rPr>
          <w:rFonts w:ascii="新細明體" w:eastAsia="新細明體" w:hAnsi="新細明體" w:hint="eastAsia"/>
          <w:color w:val="000000" w:themeColor="text1"/>
        </w:rPr>
        <w:t>、</w:t>
      </w:r>
      <w:proofErr w:type="gramStart"/>
      <w:r w:rsidR="00371466" w:rsidRPr="00E616E6">
        <w:rPr>
          <w:rFonts w:hAnsi="標楷體" w:hint="eastAsia"/>
          <w:color w:val="000000" w:themeColor="text1"/>
        </w:rPr>
        <w:t>完整編題設計</w:t>
      </w:r>
      <w:proofErr w:type="gramEnd"/>
      <w:r w:rsidR="00AB260A" w:rsidRPr="00E616E6">
        <w:rPr>
          <w:rFonts w:hAnsi="標楷體" w:hint="eastAsia"/>
          <w:color w:val="000000" w:themeColor="text1"/>
        </w:rPr>
        <w:t>及測謊</w:t>
      </w:r>
      <w:r w:rsidRPr="00E616E6">
        <w:rPr>
          <w:rFonts w:hAnsi="標楷體" w:hint="eastAsia"/>
          <w:color w:val="000000" w:themeColor="text1"/>
        </w:rPr>
        <w:t>圖譜，「</w:t>
      </w:r>
      <w:proofErr w:type="gramStart"/>
      <w:r w:rsidRPr="00E616E6">
        <w:rPr>
          <w:rFonts w:hAnsi="標楷體" w:hint="eastAsia"/>
          <w:color w:val="000000" w:themeColor="text1"/>
        </w:rPr>
        <w:t>鑑</w:t>
      </w:r>
      <w:proofErr w:type="gramEnd"/>
      <w:r w:rsidRPr="00E616E6">
        <w:rPr>
          <w:rFonts w:hAnsi="標楷體" w:hint="eastAsia"/>
          <w:color w:val="000000" w:themeColor="text1"/>
        </w:rPr>
        <w:t>驗結果」所載：「盧正對下列</w:t>
      </w:r>
      <w:proofErr w:type="gramStart"/>
      <w:r w:rsidRPr="00E616E6">
        <w:rPr>
          <w:rFonts w:hAnsi="標楷體" w:hint="eastAsia"/>
          <w:color w:val="000000" w:themeColor="text1"/>
        </w:rPr>
        <w:t>問題均呈不</w:t>
      </w:r>
      <w:proofErr w:type="gramEnd"/>
      <w:r w:rsidRPr="00E616E6">
        <w:rPr>
          <w:rFonts w:hAnsi="標楷體" w:hint="eastAsia"/>
          <w:color w:val="000000" w:themeColor="text1"/>
        </w:rPr>
        <w:t>實反應：（一）你有勒死</w:t>
      </w:r>
      <w:proofErr w:type="gramStart"/>
      <w:r w:rsidRPr="00E616E6">
        <w:rPr>
          <w:rFonts w:hAnsi="標楷體" w:hint="eastAsia"/>
          <w:color w:val="000000" w:themeColor="text1"/>
        </w:rPr>
        <w:t>詹</w:t>
      </w:r>
      <w:proofErr w:type="gramEnd"/>
      <w:r w:rsidR="004C3C58" w:rsidRPr="00E616E6">
        <w:rPr>
          <w:rFonts w:hAnsi="標楷體" w:hint="eastAsia"/>
          <w:color w:val="000000" w:themeColor="text1"/>
        </w:rPr>
        <w:t>○○</w:t>
      </w:r>
      <w:r w:rsidRPr="00E616E6">
        <w:rPr>
          <w:rFonts w:hAnsi="標楷體" w:hint="eastAsia"/>
          <w:color w:val="000000" w:themeColor="text1"/>
        </w:rPr>
        <w:t>嗎？</w:t>
      </w:r>
      <w:proofErr w:type="gramStart"/>
      <w:r w:rsidRPr="00E616E6">
        <w:rPr>
          <w:rFonts w:hAnsi="標楷體" w:hint="eastAsia"/>
          <w:color w:val="000000" w:themeColor="text1"/>
        </w:rPr>
        <w:t>（</w:t>
      </w:r>
      <w:proofErr w:type="gramEnd"/>
      <w:r w:rsidRPr="00E616E6">
        <w:rPr>
          <w:rFonts w:hAnsi="標楷體" w:hint="eastAsia"/>
          <w:color w:val="000000" w:themeColor="text1"/>
        </w:rPr>
        <w:t>答：沒有</w:t>
      </w:r>
      <w:proofErr w:type="gramStart"/>
      <w:r w:rsidRPr="00E616E6">
        <w:rPr>
          <w:rFonts w:hAnsi="標楷體" w:hint="eastAsia"/>
          <w:color w:val="000000" w:themeColor="text1"/>
        </w:rPr>
        <w:t>）</w:t>
      </w:r>
      <w:proofErr w:type="gramEnd"/>
      <w:r w:rsidRPr="00E616E6">
        <w:rPr>
          <w:rFonts w:hAnsi="標楷體" w:hint="eastAsia"/>
          <w:color w:val="000000" w:themeColor="text1"/>
        </w:rPr>
        <w:t>、（二）你有把</w:t>
      </w:r>
      <w:proofErr w:type="gramStart"/>
      <w:r w:rsidRPr="00E616E6">
        <w:rPr>
          <w:rFonts w:hAnsi="標楷體" w:hint="eastAsia"/>
          <w:color w:val="000000" w:themeColor="text1"/>
        </w:rPr>
        <w:t>詹</w:t>
      </w:r>
      <w:proofErr w:type="gramEnd"/>
      <w:r w:rsidR="004C3C58" w:rsidRPr="00E616E6">
        <w:rPr>
          <w:rFonts w:hAnsi="標楷體" w:hint="eastAsia"/>
          <w:color w:val="000000" w:themeColor="text1"/>
        </w:rPr>
        <w:t>○○</w:t>
      </w:r>
      <w:r w:rsidRPr="00E616E6">
        <w:rPr>
          <w:rFonts w:hAnsi="標楷體" w:hint="eastAsia"/>
          <w:color w:val="000000" w:themeColor="text1"/>
        </w:rPr>
        <w:t>棄屍於甘蔗園？</w:t>
      </w:r>
      <w:proofErr w:type="gramStart"/>
      <w:r w:rsidRPr="00E616E6">
        <w:rPr>
          <w:rFonts w:hAnsi="標楷體" w:hint="eastAsia"/>
          <w:color w:val="000000" w:themeColor="text1"/>
        </w:rPr>
        <w:t>（</w:t>
      </w:r>
      <w:proofErr w:type="gramEnd"/>
      <w:r w:rsidRPr="00E616E6">
        <w:rPr>
          <w:rFonts w:hAnsi="標楷體" w:hint="eastAsia"/>
          <w:color w:val="000000" w:themeColor="text1"/>
        </w:rPr>
        <w:t>答：沒有</w:t>
      </w:r>
      <w:proofErr w:type="gramStart"/>
      <w:r w:rsidRPr="00E616E6">
        <w:rPr>
          <w:rFonts w:hAnsi="標楷體" w:hint="eastAsia"/>
          <w:color w:val="000000" w:themeColor="text1"/>
        </w:rPr>
        <w:t>）</w:t>
      </w:r>
      <w:proofErr w:type="gramEnd"/>
      <w:r w:rsidRPr="00E616E6">
        <w:rPr>
          <w:rFonts w:hAnsi="標楷體" w:hint="eastAsia"/>
          <w:color w:val="000000" w:themeColor="text1"/>
        </w:rPr>
        <w:t>、（三）你以為</w:t>
      </w:r>
      <w:proofErr w:type="gramStart"/>
      <w:r w:rsidRPr="00E616E6">
        <w:rPr>
          <w:rFonts w:hAnsi="標楷體" w:hint="eastAsia"/>
          <w:color w:val="000000" w:themeColor="text1"/>
        </w:rPr>
        <w:t>詹</w:t>
      </w:r>
      <w:proofErr w:type="gramEnd"/>
      <w:r w:rsidR="004C3C58" w:rsidRPr="00E616E6">
        <w:rPr>
          <w:rFonts w:hAnsi="標楷體" w:hint="eastAsia"/>
          <w:color w:val="000000" w:themeColor="text1"/>
        </w:rPr>
        <w:t>○○</w:t>
      </w:r>
      <w:r w:rsidRPr="00E616E6">
        <w:rPr>
          <w:rFonts w:hAnsi="標楷體" w:hint="eastAsia"/>
          <w:color w:val="000000" w:themeColor="text1"/>
        </w:rPr>
        <w:t>很有錢想勒索她？</w:t>
      </w:r>
      <w:proofErr w:type="gramStart"/>
      <w:r w:rsidRPr="00E616E6">
        <w:rPr>
          <w:rFonts w:hAnsi="標楷體" w:hint="eastAsia"/>
          <w:color w:val="000000" w:themeColor="text1"/>
        </w:rPr>
        <w:t>（</w:t>
      </w:r>
      <w:proofErr w:type="gramEnd"/>
      <w:r w:rsidRPr="00E616E6">
        <w:rPr>
          <w:rFonts w:hAnsi="標楷體" w:hint="eastAsia"/>
          <w:color w:val="000000" w:themeColor="text1"/>
        </w:rPr>
        <w:t>答：沒有</w:t>
      </w:r>
      <w:proofErr w:type="gramStart"/>
      <w:r w:rsidRPr="00E616E6">
        <w:rPr>
          <w:rFonts w:hAnsi="標楷體" w:hint="eastAsia"/>
          <w:color w:val="000000" w:themeColor="text1"/>
        </w:rPr>
        <w:t>）</w:t>
      </w:r>
      <w:proofErr w:type="gramEnd"/>
      <w:r w:rsidRPr="00E616E6">
        <w:rPr>
          <w:rFonts w:hAnsi="標楷體" w:hint="eastAsia"/>
          <w:color w:val="000000" w:themeColor="text1"/>
        </w:rPr>
        <w:t>」</w:t>
      </w:r>
      <w:r w:rsidR="00371466" w:rsidRPr="00E616E6">
        <w:rPr>
          <w:rFonts w:hAnsi="標楷體" w:hint="eastAsia"/>
          <w:color w:val="000000" w:themeColor="text1"/>
        </w:rPr>
        <w:t>，尚難</w:t>
      </w:r>
      <w:r w:rsidR="001B0B01" w:rsidRPr="00E616E6">
        <w:rPr>
          <w:rFonts w:hAnsi="標楷體" w:hint="eastAsia"/>
          <w:color w:val="000000" w:themeColor="text1"/>
        </w:rPr>
        <w:t>擔保</w:t>
      </w:r>
      <w:r w:rsidR="00371466" w:rsidRPr="00E616E6">
        <w:rPr>
          <w:rFonts w:hAnsi="標楷體" w:hint="eastAsia"/>
          <w:color w:val="000000" w:themeColor="text1"/>
        </w:rPr>
        <w:t>測謊結果之信度</w:t>
      </w:r>
      <w:proofErr w:type="gramStart"/>
      <w:r w:rsidR="00371466" w:rsidRPr="00E616E6">
        <w:rPr>
          <w:rFonts w:hAnsi="標楷體" w:hint="eastAsia"/>
          <w:color w:val="000000" w:themeColor="text1"/>
        </w:rPr>
        <w:t>與效度</w:t>
      </w:r>
      <w:proofErr w:type="gramEnd"/>
      <w:r w:rsidRPr="00E616E6">
        <w:rPr>
          <w:rFonts w:hAnsi="標楷體" w:hint="eastAsia"/>
          <w:color w:val="000000" w:themeColor="text1"/>
        </w:rPr>
        <w:t>。</w:t>
      </w:r>
    </w:p>
    <w:p w14:paraId="038E143D" w14:textId="6B58576C" w:rsidR="00AF74F7" w:rsidRPr="00E616E6" w:rsidRDefault="00AF74F7" w:rsidP="00C27C70">
      <w:pPr>
        <w:pStyle w:val="3"/>
        <w:rPr>
          <w:rFonts w:hAnsi="標楷體"/>
          <w:b/>
          <w:color w:val="000000" w:themeColor="text1"/>
        </w:rPr>
      </w:pPr>
      <w:r w:rsidRPr="00E616E6">
        <w:rPr>
          <w:rFonts w:hAnsi="標楷體" w:hint="eastAsia"/>
          <w:b/>
          <w:color w:val="000000" w:themeColor="text1"/>
        </w:rPr>
        <w:t>應</w:t>
      </w:r>
      <w:proofErr w:type="gramStart"/>
      <w:r w:rsidRPr="00E616E6">
        <w:rPr>
          <w:rFonts w:hAnsi="標楷體" w:hint="eastAsia"/>
          <w:b/>
          <w:color w:val="000000" w:themeColor="text1"/>
        </w:rPr>
        <w:t>附隨測謊</w:t>
      </w:r>
      <w:proofErr w:type="gramEnd"/>
      <w:r w:rsidRPr="00E616E6">
        <w:rPr>
          <w:rFonts w:hAnsi="標楷體" w:hint="eastAsia"/>
          <w:b/>
          <w:color w:val="000000" w:themeColor="text1"/>
        </w:rPr>
        <w:t>報</w:t>
      </w:r>
      <w:r w:rsidR="001A4A0E" w:rsidRPr="00E616E6">
        <w:rPr>
          <w:rFonts w:hAnsi="標楷體" w:hint="eastAsia"/>
          <w:b/>
          <w:color w:val="000000" w:themeColor="text1"/>
        </w:rPr>
        <w:t>告書移送檢察機關之資料範圍，性侵害案件以法規命令明定，其他案件</w:t>
      </w:r>
      <w:r w:rsidRPr="00E616E6">
        <w:rPr>
          <w:rFonts w:hAnsi="標楷體" w:hint="eastAsia"/>
          <w:b/>
          <w:color w:val="000000" w:themeColor="text1"/>
        </w:rPr>
        <w:t>臺灣高等檢察署對其區域測謊中心以行政規則自律</w:t>
      </w:r>
      <w:r w:rsidRPr="00E616E6">
        <w:rPr>
          <w:rFonts w:ascii="新細明體" w:eastAsia="新細明體" w:hAnsi="新細明體" w:hint="eastAsia"/>
          <w:b/>
          <w:color w:val="000000" w:themeColor="text1"/>
        </w:rPr>
        <w:t>，</w:t>
      </w:r>
      <w:r w:rsidRPr="00E616E6">
        <w:rPr>
          <w:rFonts w:hAnsi="標楷體" w:hint="eastAsia"/>
          <w:b/>
          <w:color w:val="000000" w:themeColor="text1"/>
        </w:rPr>
        <w:t>各測謊</w:t>
      </w:r>
      <w:proofErr w:type="gramStart"/>
      <w:r w:rsidRPr="00E616E6">
        <w:rPr>
          <w:rFonts w:hAnsi="標楷體" w:hint="eastAsia"/>
          <w:b/>
          <w:color w:val="000000" w:themeColor="text1"/>
        </w:rPr>
        <w:t>機關間尚無</w:t>
      </w:r>
      <w:proofErr w:type="gramEnd"/>
      <w:r w:rsidRPr="00E616E6">
        <w:rPr>
          <w:rFonts w:hAnsi="標楷體" w:hint="eastAsia"/>
          <w:b/>
          <w:color w:val="000000" w:themeColor="text1"/>
        </w:rPr>
        <w:t>明確、一致規範：</w:t>
      </w:r>
    </w:p>
    <w:p w14:paraId="7CAB19D6" w14:textId="53E2FAF8" w:rsidR="00AF74F7" w:rsidRPr="00E616E6" w:rsidRDefault="00AF74F7" w:rsidP="00FC34AA">
      <w:pPr>
        <w:pStyle w:val="4"/>
        <w:rPr>
          <w:color w:val="000000" w:themeColor="text1"/>
        </w:rPr>
      </w:pPr>
      <w:r w:rsidRPr="00E616E6">
        <w:rPr>
          <w:rFonts w:hint="eastAsia"/>
          <w:color w:val="000000" w:themeColor="text1"/>
        </w:rPr>
        <w:t>經查</w:t>
      </w:r>
      <w:r w:rsidRPr="00E616E6">
        <w:rPr>
          <w:rFonts w:ascii="新細明體" w:eastAsia="新細明體" w:hAnsi="新細明體" w:hint="eastAsia"/>
          <w:color w:val="000000" w:themeColor="text1"/>
        </w:rPr>
        <w:t>，</w:t>
      </w:r>
      <w:r w:rsidRPr="00E616E6">
        <w:rPr>
          <w:rFonts w:hint="eastAsia"/>
          <w:color w:val="000000" w:themeColor="text1"/>
        </w:rPr>
        <w:t>法務部依性侵害犯罪防治法第20條第8項規定授權訂定之「性侵害犯罪付保護管束加害人測謊實施辦法」第10條第1、</w:t>
      </w:r>
      <w:r w:rsidRPr="00E616E6">
        <w:rPr>
          <w:color w:val="000000" w:themeColor="text1"/>
        </w:rPr>
        <w:t>2</w:t>
      </w:r>
      <w:r w:rsidRPr="00E616E6">
        <w:rPr>
          <w:rFonts w:hint="eastAsia"/>
          <w:color w:val="000000" w:themeColor="text1"/>
        </w:rPr>
        <w:t>項明定：「測謊完成後，測謊人員、測謊機關（構）應製作測謊報告書，函覆原委託之地方檢察署、地方軍事法院檢察署。測謊報告書應</w:t>
      </w:r>
      <w:proofErr w:type="gramStart"/>
      <w:r w:rsidRPr="00E616E6">
        <w:rPr>
          <w:rFonts w:hint="eastAsia"/>
          <w:color w:val="000000" w:themeColor="text1"/>
        </w:rPr>
        <w:t>載明測謊</w:t>
      </w:r>
      <w:proofErr w:type="gramEnd"/>
      <w:r w:rsidRPr="00E616E6">
        <w:rPr>
          <w:rFonts w:hint="eastAsia"/>
          <w:color w:val="000000" w:themeColor="text1"/>
        </w:rPr>
        <w:t>時間、地點、使用技術、結果及實施過程所得資訊，並</w:t>
      </w:r>
      <w:proofErr w:type="gramStart"/>
      <w:r w:rsidRPr="00E616E6">
        <w:rPr>
          <w:rFonts w:hint="eastAsia"/>
          <w:color w:val="000000" w:themeColor="text1"/>
        </w:rPr>
        <w:t>檢附測謊</w:t>
      </w:r>
      <w:proofErr w:type="gramEnd"/>
      <w:r w:rsidRPr="00E616E6">
        <w:rPr>
          <w:rFonts w:hint="eastAsia"/>
          <w:color w:val="000000" w:themeColor="text1"/>
        </w:rPr>
        <w:t>圖譜及測謊人員資歷表。」針對性侵害案件測謊報告書應檢附資料之範圍</w:t>
      </w:r>
      <w:r w:rsidRPr="00E616E6">
        <w:rPr>
          <w:rFonts w:ascii="新細明體" w:eastAsia="新細明體" w:hAnsi="新細明體" w:hint="eastAsia"/>
          <w:color w:val="000000" w:themeColor="text1"/>
        </w:rPr>
        <w:t>，</w:t>
      </w:r>
      <w:r w:rsidRPr="00E616E6">
        <w:rPr>
          <w:rFonts w:hint="eastAsia"/>
          <w:color w:val="000000" w:themeColor="text1"/>
        </w:rPr>
        <w:t>以法規命令之形式加以規範</w:t>
      </w:r>
      <w:r w:rsidRPr="00E616E6">
        <w:rPr>
          <w:rFonts w:ascii="新細明體" w:eastAsia="新細明體" w:hAnsi="新細明體" w:hint="eastAsia"/>
          <w:color w:val="000000" w:themeColor="text1"/>
        </w:rPr>
        <w:t>，</w:t>
      </w:r>
      <w:r w:rsidRPr="00E616E6">
        <w:rPr>
          <w:rFonts w:hint="eastAsia"/>
          <w:color w:val="000000" w:themeColor="text1"/>
        </w:rPr>
        <w:t>其他案件則無</w:t>
      </w:r>
      <w:r w:rsidR="00A9278D" w:rsidRPr="00E616E6">
        <w:rPr>
          <w:rFonts w:hint="eastAsia"/>
          <w:color w:val="000000" w:themeColor="text1"/>
        </w:rPr>
        <w:t>測謊報告書應檢附資料範圍移送檢察機關之明文規範</w:t>
      </w:r>
      <w:r w:rsidRPr="00E616E6">
        <w:rPr>
          <w:rFonts w:hint="eastAsia"/>
          <w:color w:val="000000" w:themeColor="text1"/>
        </w:rPr>
        <w:t>。</w:t>
      </w:r>
    </w:p>
    <w:p w14:paraId="4B0B10FD" w14:textId="333A5E61" w:rsidR="00AF74F7" w:rsidRPr="00E616E6" w:rsidRDefault="00EB5BA5" w:rsidP="00FC34AA">
      <w:pPr>
        <w:pStyle w:val="4"/>
        <w:rPr>
          <w:rFonts w:hAnsi="標楷體"/>
          <w:color w:val="000000" w:themeColor="text1"/>
        </w:rPr>
      </w:pPr>
      <w:r w:rsidRPr="00E616E6">
        <w:rPr>
          <w:rFonts w:hAnsi="標楷體" w:hint="eastAsia"/>
          <w:color w:val="000000" w:themeColor="text1"/>
        </w:rPr>
        <w:t>另查，</w:t>
      </w:r>
      <w:r w:rsidR="00AF74F7" w:rsidRPr="00E616E6">
        <w:rPr>
          <w:rFonts w:hAnsi="標楷體" w:hint="eastAsia"/>
          <w:color w:val="000000" w:themeColor="text1"/>
        </w:rPr>
        <w:t>法務部前於本院調查「財團法人民間司法改革基金會與社團法人台灣冤獄平反協會陳訴：司法機關未就測謊鑑定統一制（訂）定相關規範</w:t>
      </w:r>
      <w:r w:rsidR="00AF74F7" w:rsidRPr="00E616E6">
        <w:rPr>
          <w:rFonts w:hAnsi="標楷體" w:hint="eastAsia"/>
          <w:color w:val="000000" w:themeColor="text1"/>
        </w:rPr>
        <w:lastRenderedPageBreak/>
        <w:t>及標準作業流程，肇致各級法院與檢察機關判斷標準不一，</w:t>
      </w:r>
      <w:proofErr w:type="gramStart"/>
      <w:r w:rsidR="00AF74F7" w:rsidRPr="00E616E6">
        <w:rPr>
          <w:rFonts w:hAnsi="標楷體" w:hint="eastAsia"/>
          <w:color w:val="000000" w:themeColor="text1"/>
        </w:rPr>
        <w:t>易生冤抑</w:t>
      </w:r>
      <w:proofErr w:type="gramEnd"/>
      <w:r w:rsidR="00AF74F7" w:rsidRPr="00E616E6">
        <w:rPr>
          <w:rFonts w:hAnsi="標楷體" w:hint="eastAsia"/>
          <w:color w:val="000000" w:themeColor="text1"/>
        </w:rPr>
        <w:t>」</w:t>
      </w:r>
      <w:proofErr w:type="gramStart"/>
      <w:r w:rsidRPr="00E616E6">
        <w:rPr>
          <w:rFonts w:hAnsi="標楷體" w:hint="eastAsia"/>
          <w:color w:val="000000" w:themeColor="text1"/>
        </w:rPr>
        <w:t>等情</w:t>
      </w:r>
      <w:r w:rsidR="00AF74F7" w:rsidRPr="00E616E6">
        <w:rPr>
          <w:rFonts w:hAnsi="標楷體" w:hint="eastAsia"/>
          <w:color w:val="000000" w:themeColor="text1"/>
        </w:rPr>
        <w:t>案後</w:t>
      </w:r>
      <w:proofErr w:type="gramEnd"/>
      <w:r w:rsidR="00AF74F7" w:rsidRPr="00E616E6">
        <w:rPr>
          <w:rFonts w:hAnsi="標楷體" w:hint="eastAsia"/>
          <w:color w:val="000000" w:themeColor="text1"/>
        </w:rPr>
        <w:t>，由該部調查局邀集刑事局、國防部憲兵指揮部及法務部廉政署等設有測謊單位之機關開會</w:t>
      </w:r>
      <w:proofErr w:type="gramStart"/>
      <w:r w:rsidR="00AF74F7" w:rsidRPr="00E616E6">
        <w:rPr>
          <w:rFonts w:hAnsi="標楷體" w:hint="eastAsia"/>
          <w:color w:val="000000" w:themeColor="text1"/>
        </w:rPr>
        <w:t>研</w:t>
      </w:r>
      <w:proofErr w:type="gramEnd"/>
      <w:r w:rsidR="00AF74F7" w:rsidRPr="00E616E6">
        <w:rPr>
          <w:rFonts w:hAnsi="標楷體" w:hint="eastAsia"/>
          <w:color w:val="000000" w:themeColor="text1"/>
        </w:rPr>
        <w:t>商，並達成共識後，訂</w:t>
      </w:r>
      <w:r w:rsidR="00CC22A5" w:rsidRPr="00E616E6">
        <w:rPr>
          <w:rFonts w:hAnsi="標楷體" w:hint="eastAsia"/>
          <w:color w:val="000000" w:themeColor="text1"/>
        </w:rPr>
        <w:t>定</w:t>
      </w:r>
      <w:r w:rsidR="00AF74F7" w:rsidRPr="00E616E6">
        <w:rPr>
          <w:rFonts w:hAnsi="標楷體" w:hint="eastAsia"/>
          <w:color w:val="000000" w:themeColor="text1"/>
        </w:rPr>
        <w:t>「測謊鑑定標準作業程序」統一版本</w:t>
      </w:r>
      <w:r w:rsidR="00AF74F7" w:rsidRPr="00E616E6">
        <w:rPr>
          <w:rFonts w:ascii="新細明體" w:eastAsia="新細明體" w:hAnsi="新細明體" w:hint="eastAsia"/>
          <w:color w:val="000000" w:themeColor="text1"/>
        </w:rPr>
        <w:t>，</w:t>
      </w:r>
      <w:r w:rsidR="00AF74F7" w:rsidRPr="00E616E6">
        <w:rPr>
          <w:rFonts w:hAnsi="標楷體" w:hint="eastAsia"/>
          <w:color w:val="000000" w:themeColor="text1"/>
        </w:rPr>
        <w:t>於108年7月16日函送各測謊機關作為測謊作業程序之參考依據</w:t>
      </w:r>
      <w:r w:rsidR="00AF74F7" w:rsidRPr="00E616E6">
        <w:rPr>
          <w:rStyle w:val="afe"/>
          <w:rFonts w:hAnsi="標楷體"/>
          <w:color w:val="000000" w:themeColor="text1"/>
        </w:rPr>
        <w:footnoteReference w:id="3"/>
      </w:r>
      <w:r w:rsidR="00AF74F7" w:rsidRPr="00E616E6">
        <w:rPr>
          <w:rFonts w:hAnsi="標楷體" w:hint="eastAsia"/>
          <w:color w:val="000000" w:themeColor="text1"/>
        </w:rPr>
        <w:t>。經查該「測謊鑑定標準作業程序」統一版本，並未就應</w:t>
      </w:r>
      <w:proofErr w:type="gramStart"/>
      <w:r w:rsidR="00AF74F7" w:rsidRPr="00E616E6">
        <w:rPr>
          <w:rFonts w:hAnsi="標楷體" w:hint="eastAsia"/>
          <w:color w:val="000000" w:themeColor="text1"/>
        </w:rPr>
        <w:t>附隨測謊</w:t>
      </w:r>
      <w:proofErr w:type="gramEnd"/>
      <w:r w:rsidR="00AF74F7" w:rsidRPr="00E616E6">
        <w:rPr>
          <w:rFonts w:hAnsi="標楷體" w:hint="eastAsia"/>
          <w:color w:val="000000" w:themeColor="text1"/>
        </w:rPr>
        <w:t>報告書移送檢察機關之資料範圍有所規範。臺灣高等檢察署</w:t>
      </w:r>
      <w:r w:rsidR="00AF74F7" w:rsidRPr="00E616E6">
        <w:rPr>
          <w:rFonts w:ascii="新細明體" w:eastAsia="新細明體" w:hAnsi="新細明體" w:hint="eastAsia"/>
          <w:color w:val="000000" w:themeColor="text1"/>
        </w:rPr>
        <w:t>（</w:t>
      </w:r>
      <w:r w:rsidR="00AF74F7" w:rsidRPr="00E616E6">
        <w:rPr>
          <w:rFonts w:hAnsi="標楷體" w:hint="eastAsia"/>
          <w:color w:val="000000" w:themeColor="text1"/>
        </w:rPr>
        <w:t>下稱高檢署）1</w:t>
      </w:r>
      <w:r w:rsidR="00AF74F7" w:rsidRPr="00E616E6">
        <w:rPr>
          <w:rFonts w:hAnsi="標楷體"/>
          <w:color w:val="000000" w:themeColor="text1"/>
        </w:rPr>
        <w:t>08</w:t>
      </w:r>
      <w:r w:rsidR="00AF74F7" w:rsidRPr="00E616E6">
        <w:rPr>
          <w:rFonts w:hAnsi="標楷體" w:hint="eastAsia"/>
          <w:color w:val="000000" w:themeColor="text1"/>
        </w:rPr>
        <w:t>年12月訂定</w:t>
      </w:r>
      <w:r w:rsidR="00AF74F7" w:rsidRPr="00E616E6">
        <w:rPr>
          <w:rFonts w:ascii="新細明體" w:eastAsia="新細明體" w:hAnsi="新細明體" w:hint="eastAsia"/>
          <w:color w:val="000000" w:themeColor="text1"/>
        </w:rPr>
        <w:t>、</w:t>
      </w:r>
      <w:proofErr w:type="gramStart"/>
      <w:r w:rsidR="00AF74F7" w:rsidRPr="00E616E6">
        <w:rPr>
          <w:rFonts w:hAnsi="標楷體" w:hint="eastAsia"/>
          <w:color w:val="000000" w:themeColor="text1"/>
        </w:rPr>
        <w:t>109年1月8日函頒實施</w:t>
      </w:r>
      <w:proofErr w:type="gramEnd"/>
      <w:r w:rsidR="00AF74F7" w:rsidRPr="00E616E6">
        <w:rPr>
          <w:rFonts w:hAnsi="標楷體" w:hint="eastAsia"/>
          <w:color w:val="000000" w:themeColor="text1"/>
        </w:rPr>
        <w:t>之「檢察機關辦理測謊鑑定作業流程參考手冊」，雖於「捌、測謊結果報告製發」中訂有測試結果報告包含：測謊鑑定資料表、測謊鑑定同意書、測謊鑑定流程表、測謊鑑定說明書、測謊圖譜標記說明表、測謊人員資歷表、測謊圖譜等7項文件</w:t>
      </w:r>
      <w:r w:rsidR="00CC22A5" w:rsidRPr="00E616E6">
        <w:rPr>
          <w:rFonts w:hAnsi="標楷體" w:hint="eastAsia"/>
          <w:color w:val="000000" w:themeColor="text1"/>
        </w:rPr>
        <w:t>。</w:t>
      </w:r>
      <w:proofErr w:type="gramStart"/>
      <w:r w:rsidR="00AF74F7" w:rsidRPr="00E616E6">
        <w:rPr>
          <w:rFonts w:hAnsi="標楷體" w:hint="eastAsia"/>
          <w:color w:val="000000" w:themeColor="text1"/>
        </w:rPr>
        <w:t>惟查上</w:t>
      </w:r>
      <w:proofErr w:type="gramEnd"/>
      <w:r w:rsidR="00AF74F7" w:rsidRPr="00E616E6">
        <w:rPr>
          <w:rFonts w:hAnsi="標楷體" w:hint="eastAsia"/>
          <w:color w:val="000000" w:themeColor="text1"/>
        </w:rPr>
        <w:t>開作業流程參考手冊係高檢署針對其規劃成立之檢察機關區域測謊中心所訂定之行政規則，效力尚</w:t>
      </w:r>
      <w:proofErr w:type="gramStart"/>
      <w:r w:rsidR="00AF74F7" w:rsidRPr="00E616E6">
        <w:rPr>
          <w:rFonts w:hAnsi="標楷體" w:hint="eastAsia"/>
          <w:color w:val="000000" w:themeColor="text1"/>
        </w:rPr>
        <w:t>不</w:t>
      </w:r>
      <w:proofErr w:type="gramEnd"/>
      <w:r w:rsidR="00AF74F7" w:rsidRPr="00E616E6">
        <w:rPr>
          <w:rFonts w:hAnsi="標楷體" w:hint="eastAsia"/>
          <w:color w:val="000000" w:themeColor="text1"/>
        </w:rPr>
        <w:t>及於刑事局、法務部調查局、國防部憲兵指揮部及法務部廉政署，法務部亦尚未將</w:t>
      </w:r>
      <w:r w:rsidR="00172E0D" w:rsidRPr="00E616E6">
        <w:rPr>
          <w:rFonts w:hAnsi="標楷體" w:hint="eastAsia"/>
          <w:color w:val="000000" w:themeColor="text1"/>
        </w:rPr>
        <w:t>該作業流程參考手冊函送</w:t>
      </w:r>
      <w:r w:rsidR="00AF74F7" w:rsidRPr="00E616E6">
        <w:rPr>
          <w:rFonts w:hAnsi="標楷體" w:hint="eastAsia"/>
          <w:color w:val="000000" w:themeColor="text1"/>
        </w:rPr>
        <w:t>各設有測謊單位之機關參考</w:t>
      </w:r>
      <w:r w:rsidR="00CC22A5" w:rsidRPr="00E616E6">
        <w:rPr>
          <w:rFonts w:hAnsi="標楷體" w:hint="eastAsia"/>
          <w:color w:val="000000" w:themeColor="text1"/>
        </w:rPr>
        <w:t>。</w:t>
      </w:r>
      <w:r w:rsidR="00AF74F7" w:rsidRPr="00E616E6">
        <w:rPr>
          <w:rFonts w:hAnsi="標楷體" w:hint="eastAsia"/>
          <w:color w:val="000000" w:themeColor="text1"/>
        </w:rPr>
        <w:t>警政署與刑事局於本院詢問時所提書面說明即稱：刑事局測謊鑑定完成後之相關資料，</w:t>
      </w:r>
      <w:proofErr w:type="gramStart"/>
      <w:r w:rsidR="00AF74F7" w:rsidRPr="00E616E6">
        <w:rPr>
          <w:rFonts w:hAnsi="標楷體" w:hint="eastAsia"/>
          <w:color w:val="000000" w:themeColor="text1"/>
        </w:rPr>
        <w:t>目前均隨鑑定</w:t>
      </w:r>
      <w:proofErr w:type="gramEnd"/>
      <w:r w:rsidR="00AF74F7" w:rsidRPr="00E616E6">
        <w:rPr>
          <w:rFonts w:hAnsi="標楷體" w:hint="eastAsia"/>
          <w:color w:val="000000" w:themeColor="text1"/>
        </w:rPr>
        <w:t>書函復囑託機關，若有需明訂規範，建請法務部修訂「測謊鑑定標準作業程序統一版本」等語。</w:t>
      </w:r>
    </w:p>
    <w:p w14:paraId="0297A9A2" w14:textId="7B5A9766" w:rsidR="00AF74F7" w:rsidRPr="00E616E6" w:rsidRDefault="00AF74F7" w:rsidP="00456F49">
      <w:pPr>
        <w:pStyle w:val="3"/>
        <w:rPr>
          <w:color w:val="000000" w:themeColor="text1"/>
        </w:rPr>
      </w:pPr>
      <w:r w:rsidRPr="00E616E6">
        <w:rPr>
          <w:rFonts w:hint="eastAsia"/>
          <w:color w:val="000000" w:themeColor="text1"/>
        </w:rPr>
        <w:t>綜上</w:t>
      </w:r>
      <w:r w:rsidRPr="00E616E6">
        <w:rPr>
          <w:rFonts w:ascii="新細明體" w:eastAsia="新細明體" w:hAnsi="新細明體" w:hint="eastAsia"/>
          <w:color w:val="000000" w:themeColor="text1"/>
        </w:rPr>
        <w:t>，</w:t>
      </w:r>
      <w:proofErr w:type="gramStart"/>
      <w:r w:rsidRPr="00E616E6">
        <w:rPr>
          <w:rFonts w:hint="eastAsia"/>
          <w:color w:val="000000" w:themeColor="text1"/>
        </w:rPr>
        <w:t>測謊於學說</w:t>
      </w:r>
      <w:proofErr w:type="gramEnd"/>
      <w:r w:rsidRPr="00E616E6">
        <w:rPr>
          <w:rFonts w:hint="eastAsia"/>
          <w:color w:val="000000" w:themeColor="text1"/>
        </w:rPr>
        <w:t>及實務上均存在重大爭議</w:t>
      </w:r>
      <w:r w:rsidR="00CC22A5" w:rsidRPr="00E616E6">
        <w:rPr>
          <w:rFonts w:hint="eastAsia"/>
          <w:color w:val="000000" w:themeColor="text1"/>
        </w:rPr>
        <w:t>。</w:t>
      </w:r>
      <w:r w:rsidRPr="00E616E6">
        <w:rPr>
          <w:rFonts w:hint="eastAsia"/>
          <w:color w:val="000000" w:themeColor="text1"/>
        </w:rPr>
        <w:t>測謊過程資料理應併入偵查卷宗保存，以擔保測謊作業無重大瑕疵</w:t>
      </w:r>
      <w:proofErr w:type="gramStart"/>
      <w:r w:rsidRPr="00E616E6">
        <w:rPr>
          <w:rFonts w:hint="eastAsia"/>
          <w:color w:val="000000" w:themeColor="text1"/>
        </w:rPr>
        <w:t>可指及測</w:t>
      </w:r>
      <w:proofErr w:type="gramEnd"/>
      <w:r w:rsidRPr="00E616E6">
        <w:rPr>
          <w:rFonts w:hint="eastAsia"/>
          <w:color w:val="000000" w:themeColor="text1"/>
        </w:rPr>
        <w:t>謊結果公正客觀</w:t>
      </w:r>
      <w:r w:rsidR="00CC22A5" w:rsidRPr="00E616E6">
        <w:rPr>
          <w:rFonts w:hint="eastAsia"/>
          <w:color w:val="000000" w:themeColor="text1"/>
        </w:rPr>
        <w:t>。</w:t>
      </w:r>
      <w:r w:rsidRPr="00E616E6">
        <w:rPr>
          <w:rFonts w:hint="eastAsia"/>
          <w:color w:val="000000" w:themeColor="text1"/>
        </w:rPr>
        <w:t>盧正案偵查</w:t>
      </w:r>
      <w:r w:rsidRPr="00E616E6">
        <w:rPr>
          <w:rFonts w:hint="eastAsia"/>
          <w:color w:val="000000" w:themeColor="text1"/>
        </w:rPr>
        <w:lastRenderedPageBreak/>
        <w:t>卷內僅一紙「</w:t>
      </w:r>
      <w:proofErr w:type="gramStart"/>
      <w:r w:rsidRPr="00E616E6">
        <w:rPr>
          <w:rFonts w:hint="eastAsia"/>
          <w:color w:val="000000" w:themeColor="text1"/>
        </w:rPr>
        <w:t>鑑</w:t>
      </w:r>
      <w:proofErr w:type="gramEnd"/>
      <w:r w:rsidRPr="00E616E6">
        <w:rPr>
          <w:rFonts w:hint="eastAsia"/>
          <w:color w:val="000000" w:themeColor="text1"/>
        </w:rPr>
        <w:t>驗通知書」，重要測謊資料未併入偵查卷內以供查考，有關應</w:t>
      </w:r>
      <w:proofErr w:type="gramStart"/>
      <w:r w:rsidRPr="00E616E6">
        <w:rPr>
          <w:rFonts w:hint="eastAsia"/>
          <w:color w:val="000000" w:themeColor="text1"/>
        </w:rPr>
        <w:t>附隨測謊</w:t>
      </w:r>
      <w:proofErr w:type="gramEnd"/>
      <w:r w:rsidRPr="00E616E6">
        <w:rPr>
          <w:rFonts w:hint="eastAsia"/>
          <w:color w:val="000000" w:themeColor="text1"/>
        </w:rPr>
        <w:t>報告書檢送檢察機關之資料範圍，性侵害案件以法規命令明定，其他案件僅高檢署以行政規則自律，且各測謊</w:t>
      </w:r>
      <w:proofErr w:type="gramStart"/>
      <w:r w:rsidRPr="00E616E6">
        <w:rPr>
          <w:rFonts w:hint="eastAsia"/>
          <w:color w:val="000000" w:themeColor="text1"/>
        </w:rPr>
        <w:t>機關間尚無</w:t>
      </w:r>
      <w:proofErr w:type="gramEnd"/>
      <w:r w:rsidRPr="00E616E6">
        <w:rPr>
          <w:rFonts w:hint="eastAsia"/>
          <w:color w:val="000000" w:themeColor="text1"/>
        </w:rPr>
        <w:t>明確、一致規範，宜請法務部會商內政部、國防部所屬測謊機關，檢討</w:t>
      </w:r>
      <w:proofErr w:type="gramStart"/>
      <w:r w:rsidRPr="00E616E6">
        <w:rPr>
          <w:rFonts w:hint="eastAsia"/>
          <w:color w:val="000000" w:themeColor="text1"/>
        </w:rPr>
        <w:t>研</w:t>
      </w:r>
      <w:proofErr w:type="gramEnd"/>
      <w:r w:rsidRPr="00E616E6">
        <w:rPr>
          <w:rFonts w:hint="eastAsia"/>
          <w:color w:val="000000" w:themeColor="text1"/>
        </w:rPr>
        <w:t>議立法政策如何</w:t>
      </w:r>
      <w:r w:rsidR="00B67C2C" w:rsidRPr="00E616E6">
        <w:rPr>
          <w:rFonts w:hint="eastAsia"/>
          <w:color w:val="000000" w:themeColor="text1"/>
        </w:rPr>
        <w:t>為</w:t>
      </w:r>
      <w:r w:rsidRPr="00E616E6">
        <w:rPr>
          <w:rFonts w:hint="eastAsia"/>
          <w:color w:val="000000" w:themeColor="text1"/>
        </w:rPr>
        <w:t>宜，確保依法行政，並持續</w:t>
      </w:r>
      <w:proofErr w:type="gramStart"/>
      <w:r w:rsidRPr="00E616E6">
        <w:rPr>
          <w:rFonts w:hint="eastAsia"/>
          <w:color w:val="000000" w:themeColor="text1"/>
        </w:rPr>
        <w:t>精進測謊</w:t>
      </w:r>
      <w:proofErr w:type="gramEnd"/>
      <w:r w:rsidRPr="00E616E6">
        <w:rPr>
          <w:rFonts w:hint="eastAsia"/>
          <w:color w:val="000000" w:themeColor="text1"/>
        </w:rPr>
        <w:t>品質。</w:t>
      </w:r>
    </w:p>
    <w:p w14:paraId="0F5358A9" w14:textId="407233D0" w:rsidR="00AF74F7" w:rsidRPr="00E616E6" w:rsidRDefault="00AF74F7" w:rsidP="001F597C">
      <w:pPr>
        <w:pStyle w:val="2"/>
        <w:rPr>
          <w:rFonts w:hAnsi="標楷體"/>
          <w:b/>
          <w:bCs w:val="0"/>
          <w:color w:val="000000" w:themeColor="text1"/>
        </w:rPr>
      </w:pPr>
      <w:r w:rsidRPr="00E616E6">
        <w:rPr>
          <w:rFonts w:hAnsi="標楷體" w:hint="eastAsia"/>
          <w:b/>
          <w:bCs w:val="0"/>
          <w:color w:val="000000" w:themeColor="text1"/>
        </w:rPr>
        <w:t>司法實務</w:t>
      </w:r>
      <w:proofErr w:type="gramStart"/>
      <w:r w:rsidRPr="00E616E6">
        <w:rPr>
          <w:rFonts w:hAnsi="標楷體" w:hint="eastAsia"/>
          <w:b/>
          <w:bCs w:val="0"/>
          <w:color w:val="000000" w:themeColor="text1"/>
        </w:rPr>
        <w:t>雖認測謊為</w:t>
      </w:r>
      <w:proofErr w:type="gramEnd"/>
      <w:r w:rsidRPr="00E616E6">
        <w:rPr>
          <w:rFonts w:hAnsi="標楷體" w:hint="eastAsia"/>
          <w:b/>
          <w:bCs w:val="0"/>
          <w:color w:val="000000" w:themeColor="text1"/>
        </w:rPr>
        <w:t>鑑定之法定證據方法，測謊機關亦參酌最高法院判決創設的測謊鑑定基本程式要件，逐步訂定細部作業規範</w:t>
      </w:r>
      <w:r w:rsidR="00CC22A5" w:rsidRPr="00E616E6">
        <w:rPr>
          <w:rFonts w:hAnsi="標楷體" w:hint="eastAsia"/>
          <w:b/>
          <w:bCs w:val="0"/>
          <w:color w:val="000000" w:themeColor="text1"/>
        </w:rPr>
        <w:t>。</w:t>
      </w:r>
      <w:proofErr w:type="gramStart"/>
      <w:r w:rsidRPr="00E616E6">
        <w:rPr>
          <w:rFonts w:hAnsi="標楷體" w:hint="eastAsia"/>
          <w:b/>
          <w:bCs w:val="0"/>
          <w:color w:val="000000" w:themeColor="text1"/>
        </w:rPr>
        <w:t>然測謊</w:t>
      </w:r>
      <w:proofErr w:type="gramEnd"/>
      <w:r w:rsidRPr="00E616E6">
        <w:rPr>
          <w:rFonts w:hAnsi="標楷體" w:hint="eastAsia"/>
          <w:b/>
          <w:bCs w:val="0"/>
          <w:color w:val="000000" w:themeColor="text1"/>
        </w:rPr>
        <w:t>鑑定涉及人格權議題，而測謊結果有無證據能力</w:t>
      </w:r>
      <w:r w:rsidRPr="00E616E6">
        <w:rPr>
          <w:rFonts w:ascii="新細明體" w:eastAsia="新細明體" w:hAnsi="新細明體" w:hint="eastAsia"/>
          <w:b/>
          <w:bCs w:val="0"/>
          <w:color w:val="000000" w:themeColor="text1"/>
        </w:rPr>
        <w:t>、</w:t>
      </w:r>
      <w:r w:rsidRPr="00E616E6">
        <w:rPr>
          <w:rFonts w:hAnsi="標楷體" w:hint="eastAsia"/>
          <w:b/>
          <w:bCs w:val="0"/>
          <w:color w:val="000000" w:themeColor="text1"/>
        </w:rPr>
        <w:t>測謊作業之法定程序及違反該程序之法律效果等重要事項</w:t>
      </w:r>
      <w:r w:rsidRPr="00E616E6">
        <w:rPr>
          <w:rFonts w:ascii="新細明體" w:eastAsia="新細明體" w:hAnsi="新細明體" w:hint="eastAsia"/>
          <w:b/>
          <w:bCs w:val="0"/>
          <w:color w:val="000000" w:themeColor="text1"/>
        </w:rPr>
        <w:t>，</w:t>
      </w:r>
      <w:r w:rsidRPr="00E616E6">
        <w:rPr>
          <w:rFonts w:hAnsi="標楷體" w:hint="eastAsia"/>
          <w:b/>
          <w:bCs w:val="0"/>
          <w:color w:val="000000" w:themeColor="text1"/>
        </w:rPr>
        <w:t>尚乏法律明文依據</w:t>
      </w:r>
      <w:r w:rsidR="00CC22A5" w:rsidRPr="00E616E6">
        <w:rPr>
          <w:rFonts w:hAnsi="標楷體" w:hint="eastAsia"/>
          <w:b/>
          <w:bCs w:val="0"/>
          <w:color w:val="000000" w:themeColor="text1"/>
        </w:rPr>
        <w:t>；</w:t>
      </w:r>
      <w:r w:rsidRPr="00E616E6">
        <w:rPr>
          <w:rFonts w:hAnsi="標楷體" w:hint="eastAsia"/>
          <w:b/>
          <w:bCs w:val="0"/>
          <w:color w:val="000000" w:themeColor="text1"/>
        </w:rPr>
        <w:t>現行測謊相關規範</w:t>
      </w:r>
      <w:r w:rsidRPr="00E616E6">
        <w:rPr>
          <w:rFonts w:ascii="新細明體" w:eastAsia="新細明體" w:hAnsi="新細明體" w:hint="eastAsia"/>
          <w:b/>
          <w:bCs w:val="0"/>
          <w:color w:val="000000" w:themeColor="text1"/>
        </w:rPr>
        <w:t>，</w:t>
      </w:r>
      <w:r w:rsidRPr="00E616E6">
        <w:rPr>
          <w:rFonts w:hAnsi="標楷體" w:hint="eastAsia"/>
          <w:b/>
          <w:bCs w:val="0"/>
          <w:color w:val="000000" w:themeColor="text1"/>
        </w:rPr>
        <w:t>除</w:t>
      </w:r>
      <w:r w:rsidRPr="00E616E6">
        <w:rPr>
          <w:rFonts w:hAnsi="標楷體" w:hint="eastAsia"/>
          <w:b/>
          <w:color w:val="000000" w:themeColor="text1"/>
        </w:rPr>
        <w:t>「性侵害犯罪付保護管束加害人測謊實施辦法」第10條第1、</w:t>
      </w:r>
      <w:r w:rsidRPr="00E616E6">
        <w:rPr>
          <w:rFonts w:hAnsi="標楷體"/>
          <w:b/>
          <w:color w:val="000000" w:themeColor="text1"/>
        </w:rPr>
        <w:t>2</w:t>
      </w:r>
      <w:r w:rsidRPr="00E616E6">
        <w:rPr>
          <w:rFonts w:hAnsi="標楷體" w:hint="eastAsia"/>
          <w:b/>
          <w:color w:val="000000" w:themeColor="text1"/>
        </w:rPr>
        <w:t>項測謊報告書應檢附資料範圍之規定有法律授權依據外，</w:t>
      </w:r>
      <w:proofErr w:type="gramStart"/>
      <w:r w:rsidRPr="00E616E6">
        <w:rPr>
          <w:rFonts w:hAnsi="標楷體" w:hint="eastAsia"/>
          <w:b/>
          <w:color w:val="000000" w:themeColor="text1"/>
        </w:rPr>
        <w:t>其餘</w:t>
      </w:r>
      <w:r w:rsidRPr="00E616E6">
        <w:rPr>
          <w:rFonts w:hAnsi="標楷體" w:hint="eastAsia"/>
          <w:b/>
          <w:bCs w:val="0"/>
          <w:color w:val="000000" w:themeColor="text1"/>
        </w:rPr>
        <w:t>均屬行政</w:t>
      </w:r>
      <w:proofErr w:type="gramEnd"/>
      <w:r w:rsidRPr="00E616E6">
        <w:rPr>
          <w:rFonts w:hAnsi="標楷體" w:hint="eastAsia"/>
          <w:b/>
          <w:bCs w:val="0"/>
          <w:color w:val="000000" w:themeColor="text1"/>
        </w:rPr>
        <w:t>規則，基於法治國原則及人權保障，宜請司法院與法務部審慎</w:t>
      </w:r>
      <w:proofErr w:type="gramStart"/>
      <w:r w:rsidRPr="00E616E6">
        <w:rPr>
          <w:rFonts w:hAnsi="標楷體" w:hint="eastAsia"/>
          <w:b/>
          <w:bCs w:val="0"/>
          <w:color w:val="000000" w:themeColor="text1"/>
        </w:rPr>
        <w:t>研議測謊所</w:t>
      </w:r>
      <w:proofErr w:type="gramEnd"/>
      <w:r w:rsidRPr="00E616E6">
        <w:rPr>
          <w:rFonts w:hAnsi="標楷體" w:hint="eastAsia"/>
          <w:b/>
          <w:bCs w:val="0"/>
          <w:color w:val="000000" w:themeColor="text1"/>
        </w:rPr>
        <w:t>涉各項議題，建立符合層級化法律保留</w:t>
      </w:r>
      <w:proofErr w:type="gramStart"/>
      <w:r w:rsidRPr="00E616E6">
        <w:rPr>
          <w:rFonts w:hAnsi="標楷體" w:hint="eastAsia"/>
          <w:b/>
          <w:bCs w:val="0"/>
          <w:color w:val="000000" w:themeColor="text1"/>
        </w:rPr>
        <w:t>原則之測謊</w:t>
      </w:r>
      <w:proofErr w:type="gramEnd"/>
      <w:r w:rsidRPr="00E616E6">
        <w:rPr>
          <w:rFonts w:hAnsi="標楷體" w:hint="eastAsia"/>
          <w:b/>
          <w:bCs w:val="0"/>
          <w:color w:val="000000" w:themeColor="text1"/>
        </w:rPr>
        <w:t>規範。</w:t>
      </w:r>
    </w:p>
    <w:p w14:paraId="0B7D16B4" w14:textId="54BD308D" w:rsidR="00AF74F7" w:rsidRPr="00E616E6" w:rsidRDefault="00AF74F7" w:rsidP="001F597C">
      <w:pPr>
        <w:pStyle w:val="3"/>
        <w:rPr>
          <w:rFonts w:hAnsi="標楷體"/>
          <w:color w:val="000000" w:themeColor="text1"/>
        </w:rPr>
      </w:pPr>
      <w:r w:rsidRPr="00E616E6">
        <w:rPr>
          <w:rFonts w:hAnsi="標楷體" w:hint="eastAsia"/>
          <w:color w:val="000000" w:themeColor="text1"/>
        </w:rPr>
        <w:t>中央法規標準法第5條第2款明定：「左列事項應以法律定之：二、關於人民之權利、義務者。」又司法院釋字第443號解釋理由書指出「</w:t>
      </w:r>
      <w:r w:rsidRPr="00E616E6">
        <w:rPr>
          <w:rFonts w:hAnsi="標楷體"/>
          <w:color w:val="000000" w:themeColor="text1"/>
        </w:rPr>
        <w:t>層級化的法律保留原則</w:t>
      </w:r>
      <w:r w:rsidRPr="00E616E6">
        <w:rPr>
          <w:rFonts w:hAnsi="標楷體" w:hint="eastAsia"/>
          <w:color w:val="000000" w:themeColor="text1"/>
        </w:rPr>
        <w:t>」</w:t>
      </w:r>
      <w:r w:rsidRPr="00E616E6">
        <w:rPr>
          <w:rFonts w:ascii="新細明體" w:eastAsia="新細明體" w:hAnsi="新細明體" w:hint="eastAsia"/>
          <w:color w:val="000000" w:themeColor="text1"/>
        </w:rPr>
        <w:t>：</w:t>
      </w:r>
      <w:r w:rsidRPr="00E616E6">
        <w:rPr>
          <w:rFonts w:hAnsi="標楷體" w:hint="eastAsia"/>
          <w:color w:val="000000" w:themeColor="text1"/>
        </w:rPr>
        <w:t>「</w:t>
      </w:r>
      <w:r w:rsidRPr="00E616E6">
        <w:rPr>
          <w:rFonts w:hAnsi="標楷體"/>
          <w:color w:val="000000" w:themeColor="text1"/>
        </w:rPr>
        <w:t>憲法所定人民之自由及權利範圍甚廣，凡不妨害社會秩序公共利益者，</w:t>
      </w:r>
      <w:proofErr w:type="gramStart"/>
      <w:r w:rsidRPr="00E616E6">
        <w:rPr>
          <w:rFonts w:hAnsi="標楷體"/>
          <w:color w:val="000000" w:themeColor="text1"/>
        </w:rPr>
        <w:t>均受保障</w:t>
      </w:r>
      <w:proofErr w:type="gramEnd"/>
      <w:r w:rsidRPr="00E616E6">
        <w:rPr>
          <w:rFonts w:hAnsi="標楷體"/>
          <w:color w:val="000000" w:themeColor="text1"/>
        </w:rPr>
        <w:t>。</w:t>
      </w:r>
      <w:proofErr w:type="gramStart"/>
      <w:r w:rsidRPr="00E616E6">
        <w:rPr>
          <w:rFonts w:hAnsi="標楷體"/>
          <w:color w:val="000000" w:themeColor="text1"/>
        </w:rPr>
        <w:t>惟</w:t>
      </w:r>
      <w:proofErr w:type="gramEnd"/>
      <w:r w:rsidRPr="00E616E6">
        <w:rPr>
          <w:rFonts w:hAnsi="標楷體"/>
          <w:color w:val="000000" w:themeColor="text1"/>
        </w:rPr>
        <w:t>並非一切自由及</w:t>
      </w:r>
      <w:proofErr w:type="gramStart"/>
      <w:r w:rsidRPr="00E616E6">
        <w:rPr>
          <w:rFonts w:hAnsi="標楷體"/>
          <w:color w:val="000000" w:themeColor="text1"/>
        </w:rPr>
        <w:t>權利均無分</w:t>
      </w:r>
      <w:proofErr w:type="gramEnd"/>
      <w:r w:rsidRPr="00E616E6">
        <w:rPr>
          <w:rFonts w:hAnsi="標楷體"/>
          <w:color w:val="000000" w:themeColor="text1"/>
        </w:rPr>
        <w:t>軒輊受憲法毫無差別之保障：關於人民身體之自由，憲法第八條規定即較為詳盡，其中內容屬於憲法保留之事項者，縱令立法機關，亦不得制定法律加以限制（參照本院釋字第</w:t>
      </w:r>
      <w:r w:rsidR="00EB5BA5" w:rsidRPr="00E616E6">
        <w:rPr>
          <w:rFonts w:hAnsi="標楷體" w:hint="eastAsia"/>
          <w:color w:val="000000" w:themeColor="text1"/>
        </w:rPr>
        <w:t>392</w:t>
      </w:r>
      <w:r w:rsidRPr="00E616E6">
        <w:rPr>
          <w:rFonts w:hAnsi="標楷體"/>
          <w:color w:val="000000" w:themeColor="text1"/>
        </w:rPr>
        <w:t>號解釋理由書），而憲法第</w:t>
      </w:r>
      <w:r w:rsidR="00EB5BA5" w:rsidRPr="00E616E6">
        <w:rPr>
          <w:rFonts w:hAnsi="標楷體" w:hint="eastAsia"/>
          <w:color w:val="000000" w:themeColor="text1"/>
        </w:rPr>
        <w:t>7</w:t>
      </w:r>
      <w:r w:rsidRPr="00E616E6">
        <w:rPr>
          <w:rFonts w:hAnsi="標楷體"/>
          <w:color w:val="000000" w:themeColor="text1"/>
        </w:rPr>
        <w:t>條、第</w:t>
      </w:r>
      <w:r w:rsidR="00EB5BA5" w:rsidRPr="00E616E6">
        <w:rPr>
          <w:rFonts w:hAnsi="標楷體" w:hint="eastAsia"/>
          <w:color w:val="000000" w:themeColor="text1"/>
        </w:rPr>
        <w:t>9</w:t>
      </w:r>
      <w:r w:rsidRPr="00E616E6">
        <w:rPr>
          <w:rFonts w:hAnsi="標楷體"/>
          <w:color w:val="000000" w:themeColor="text1"/>
        </w:rPr>
        <w:t>條至第</w:t>
      </w:r>
      <w:r w:rsidR="00EB5BA5" w:rsidRPr="00E616E6">
        <w:rPr>
          <w:rFonts w:hAnsi="標楷體" w:hint="eastAsia"/>
          <w:color w:val="000000" w:themeColor="text1"/>
        </w:rPr>
        <w:t>18</w:t>
      </w:r>
      <w:r w:rsidRPr="00E616E6">
        <w:rPr>
          <w:rFonts w:hAnsi="標楷體"/>
          <w:color w:val="000000" w:themeColor="text1"/>
        </w:rPr>
        <w:t>條、第</w:t>
      </w:r>
      <w:r w:rsidR="00EB5BA5" w:rsidRPr="00E616E6">
        <w:rPr>
          <w:rFonts w:hAnsi="標楷體" w:hint="eastAsia"/>
          <w:color w:val="000000" w:themeColor="text1"/>
        </w:rPr>
        <w:t>21</w:t>
      </w:r>
      <w:r w:rsidRPr="00E616E6">
        <w:rPr>
          <w:rFonts w:hAnsi="標楷體"/>
          <w:color w:val="000000" w:themeColor="text1"/>
        </w:rPr>
        <w:t>條及第</w:t>
      </w:r>
      <w:r w:rsidR="00EB5BA5" w:rsidRPr="00E616E6">
        <w:rPr>
          <w:rFonts w:hAnsi="標楷體" w:hint="eastAsia"/>
          <w:color w:val="000000" w:themeColor="text1"/>
        </w:rPr>
        <w:t>22</w:t>
      </w:r>
      <w:r w:rsidRPr="00E616E6">
        <w:rPr>
          <w:rFonts w:hAnsi="標楷體"/>
          <w:color w:val="000000" w:themeColor="text1"/>
        </w:rPr>
        <w:t>條之各種自由及權利，則於符合憲法第</w:t>
      </w:r>
      <w:r w:rsidR="00EB5BA5" w:rsidRPr="00E616E6">
        <w:rPr>
          <w:rFonts w:hAnsi="標楷體" w:hint="eastAsia"/>
          <w:color w:val="000000" w:themeColor="text1"/>
        </w:rPr>
        <w:t>23</w:t>
      </w:r>
      <w:r w:rsidRPr="00E616E6">
        <w:rPr>
          <w:rFonts w:hAnsi="標楷體"/>
          <w:color w:val="000000" w:themeColor="text1"/>
        </w:rPr>
        <w:t>條之條件下，得以法律限制之。至何種事項應</w:t>
      </w:r>
      <w:r w:rsidRPr="00E616E6">
        <w:rPr>
          <w:rFonts w:hAnsi="標楷體"/>
          <w:color w:val="000000" w:themeColor="text1"/>
        </w:rPr>
        <w:lastRenderedPageBreak/>
        <w:t>以法律直接規範或得委由命令予以規定，與所謂規範密度有關，應視規範對象、內容或法益本身及其所受限制之輕重而容許合理之差異：諸如剝奪人民生命或限制人民身體自由者，必須遵守罪刑法定主義，以制定法律之方式為之；涉及人民其他自由權利之限制者，亦應由法律加以規定，如以法律授權主管機關發布命令為補充規定時，其授權應符合具體明確之原則；若僅屬與執行法律之細節性、技術性次要事項，則得由主管機關發布命令為必要之規範，雖因而對人民產生不便或輕微影響，尚非憲法所不許。</w:t>
      </w:r>
      <w:r w:rsidRPr="00E616E6">
        <w:rPr>
          <w:rFonts w:hAnsi="標楷體" w:hint="eastAsia"/>
          <w:color w:val="000000" w:themeColor="text1"/>
        </w:rPr>
        <w:t>」</w:t>
      </w:r>
    </w:p>
    <w:p w14:paraId="58DCB08F" w14:textId="63489CAD" w:rsidR="00AF74F7" w:rsidRPr="00E616E6" w:rsidRDefault="00AF74F7" w:rsidP="002B329B">
      <w:pPr>
        <w:pStyle w:val="3"/>
        <w:rPr>
          <w:rFonts w:hAnsi="標楷體"/>
          <w:color w:val="000000" w:themeColor="text1"/>
        </w:rPr>
      </w:pPr>
      <w:r w:rsidRPr="00E616E6">
        <w:rPr>
          <w:rFonts w:hAnsi="標楷體" w:hint="eastAsia"/>
          <w:color w:val="000000" w:themeColor="text1"/>
          <w:szCs w:val="32"/>
        </w:rPr>
        <w:t>按最高法院95年</w:t>
      </w:r>
      <w:r w:rsidR="00DD4629" w:rsidRPr="00E616E6">
        <w:rPr>
          <w:rFonts w:hAnsi="標楷體" w:hint="eastAsia"/>
          <w:color w:val="000000" w:themeColor="text1"/>
          <w:szCs w:val="32"/>
        </w:rPr>
        <w:t>度</w:t>
      </w:r>
      <w:r w:rsidRPr="00E616E6">
        <w:rPr>
          <w:rFonts w:hAnsi="標楷體" w:hint="eastAsia"/>
          <w:color w:val="000000" w:themeColor="text1"/>
          <w:szCs w:val="32"/>
        </w:rPr>
        <w:t>台上字第2254號判決指出：「刑事程序</w:t>
      </w:r>
      <w:proofErr w:type="gramStart"/>
      <w:r w:rsidRPr="00E616E6">
        <w:rPr>
          <w:rFonts w:hAnsi="標楷體" w:hint="eastAsia"/>
          <w:color w:val="000000" w:themeColor="text1"/>
          <w:szCs w:val="32"/>
        </w:rPr>
        <w:t>上之測謊</w:t>
      </w:r>
      <w:proofErr w:type="gramEnd"/>
      <w:r w:rsidRPr="00E616E6">
        <w:rPr>
          <w:rFonts w:hAnsi="標楷體" w:hint="eastAsia"/>
          <w:color w:val="000000" w:themeColor="text1"/>
          <w:szCs w:val="32"/>
        </w:rPr>
        <w:t>，係對於人之內心的檢查，具有侵害個人內心自由及意思活動之心理檢查的性質，其對人格權之侵害，猶勝對被告緘默權之違反，基於正當法律程序之要求，實施測謊檢查，應於事先告知受測者在法律上無接受測謊之義務，並向受測者說明測謊機器操作之原理及檢測進行之程序、目的、用途、效果，更應徵得受測者真摯之同意，</w:t>
      </w:r>
      <w:proofErr w:type="gramStart"/>
      <w:r w:rsidRPr="00E616E6">
        <w:rPr>
          <w:rFonts w:hAnsi="標楷體" w:hint="eastAsia"/>
          <w:color w:val="000000" w:themeColor="text1"/>
          <w:szCs w:val="32"/>
        </w:rPr>
        <w:t>而於測謊</w:t>
      </w:r>
      <w:proofErr w:type="gramEnd"/>
      <w:r w:rsidRPr="00E616E6">
        <w:rPr>
          <w:rFonts w:hAnsi="標楷體" w:hint="eastAsia"/>
          <w:color w:val="000000" w:themeColor="text1"/>
          <w:szCs w:val="32"/>
        </w:rPr>
        <w:t>過程中，各個質問不能以強制或誘導方式為之，</w:t>
      </w:r>
      <w:proofErr w:type="gramStart"/>
      <w:r w:rsidRPr="00E616E6">
        <w:rPr>
          <w:rFonts w:hAnsi="標楷體" w:hint="eastAsia"/>
          <w:color w:val="000000" w:themeColor="text1"/>
          <w:szCs w:val="32"/>
        </w:rPr>
        <w:t>茍</w:t>
      </w:r>
      <w:proofErr w:type="gramEnd"/>
      <w:r w:rsidRPr="00E616E6">
        <w:rPr>
          <w:rFonts w:hAnsi="標楷體" w:hint="eastAsia"/>
          <w:color w:val="000000" w:themeColor="text1"/>
          <w:szCs w:val="32"/>
        </w:rPr>
        <w:t>違反前述程序，其所</w:t>
      </w:r>
      <w:proofErr w:type="gramStart"/>
      <w:r w:rsidRPr="00E616E6">
        <w:rPr>
          <w:rFonts w:hAnsi="標楷體" w:hint="eastAsia"/>
          <w:color w:val="000000" w:themeColor="text1"/>
          <w:szCs w:val="32"/>
        </w:rPr>
        <w:t>實施之測謊</w:t>
      </w:r>
      <w:proofErr w:type="gramEnd"/>
      <w:r w:rsidRPr="00E616E6">
        <w:rPr>
          <w:rFonts w:hAnsi="標楷體" w:hint="eastAsia"/>
          <w:color w:val="000000" w:themeColor="text1"/>
          <w:szCs w:val="32"/>
        </w:rPr>
        <w:t>檢查，即屬侵害人格權之違法處分，</w:t>
      </w:r>
      <w:proofErr w:type="gramStart"/>
      <w:r w:rsidRPr="00E616E6">
        <w:rPr>
          <w:rFonts w:hAnsi="標楷體" w:hint="eastAsia"/>
          <w:color w:val="000000" w:themeColor="text1"/>
          <w:szCs w:val="32"/>
        </w:rPr>
        <w:t>縱經檢察官</w:t>
      </w:r>
      <w:proofErr w:type="gramEnd"/>
      <w:r w:rsidRPr="00E616E6">
        <w:rPr>
          <w:rFonts w:hAnsi="標楷體" w:hint="eastAsia"/>
          <w:color w:val="000000" w:themeColor="text1"/>
          <w:szCs w:val="32"/>
        </w:rPr>
        <w:t>或法院之許可，亦無證據能力。」測謊涉及人格權之爭議，自應重視正當法律程序之要求。</w:t>
      </w:r>
    </w:p>
    <w:p w14:paraId="256E4E7E" w14:textId="77777777" w:rsidR="00AF74F7" w:rsidRPr="00E616E6" w:rsidRDefault="00AF74F7" w:rsidP="00592832">
      <w:pPr>
        <w:pStyle w:val="3"/>
        <w:rPr>
          <w:rFonts w:hAnsi="標楷體"/>
          <w:color w:val="000000" w:themeColor="text1"/>
        </w:rPr>
      </w:pPr>
      <w:r w:rsidRPr="00E616E6">
        <w:rPr>
          <w:rFonts w:hAnsi="標楷體" w:hint="eastAsia"/>
          <w:color w:val="000000" w:themeColor="text1"/>
          <w:szCs w:val="32"/>
        </w:rPr>
        <w:t>測謊鑑定係透過科學儀器對「被告供述」是否屬實，加以檢驗判斷，施測人員如具司法警察身分，</w:t>
      </w:r>
      <w:proofErr w:type="gramStart"/>
      <w:r w:rsidRPr="00E616E6">
        <w:rPr>
          <w:rFonts w:hAnsi="標楷體" w:hint="eastAsia"/>
          <w:color w:val="000000" w:themeColor="text1"/>
          <w:szCs w:val="32"/>
        </w:rPr>
        <w:t>則測謊於</w:t>
      </w:r>
      <w:proofErr w:type="gramEnd"/>
      <w:r w:rsidRPr="00E616E6">
        <w:rPr>
          <w:rFonts w:hAnsi="標楷體" w:hint="eastAsia"/>
          <w:color w:val="000000" w:themeColor="text1"/>
          <w:szCs w:val="32"/>
        </w:rPr>
        <w:t>本質上，是否涉及「詢問」？應否徵得</w:t>
      </w:r>
      <w:proofErr w:type="gramStart"/>
      <w:r w:rsidRPr="00E616E6">
        <w:rPr>
          <w:rFonts w:hAnsi="標楷體" w:hint="eastAsia"/>
          <w:color w:val="000000" w:themeColor="text1"/>
          <w:szCs w:val="32"/>
        </w:rPr>
        <w:t>受測人同意</w:t>
      </w:r>
      <w:proofErr w:type="gramEnd"/>
      <w:r w:rsidRPr="00E616E6">
        <w:rPr>
          <w:rFonts w:ascii="新細明體" w:eastAsia="新細明體" w:hAnsi="新細明體" w:hint="eastAsia"/>
          <w:color w:val="000000" w:themeColor="text1"/>
          <w:szCs w:val="32"/>
        </w:rPr>
        <w:t>？</w:t>
      </w:r>
      <w:r w:rsidRPr="00E616E6">
        <w:rPr>
          <w:rFonts w:hAnsi="標楷體" w:hint="eastAsia"/>
          <w:color w:val="000000" w:themeColor="text1"/>
          <w:szCs w:val="32"/>
        </w:rPr>
        <w:t>應否遵守刑事訴訟法第95條「</w:t>
      </w:r>
      <w:r w:rsidRPr="00E616E6">
        <w:rPr>
          <w:rFonts w:hAnsi="標楷體" w:hint="eastAsia"/>
          <w:color w:val="000000" w:themeColor="text1"/>
          <w:szCs w:val="32"/>
          <w:lang w:eastAsia="zh-HK"/>
        </w:rPr>
        <w:t>緘</w:t>
      </w:r>
      <w:r w:rsidRPr="00E616E6">
        <w:rPr>
          <w:rFonts w:hAnsi="標楷體" w:hint="eastAsia"/>
          <w:color w:val="000000" w:themeColor="text1"/>
          <w:szCs w:val="32"/>
        </w:rPr>
        <w:t>默權告</w:t>
      </w:r>
      <w:r w:rsidRPr="00E616E6">
        <w:rPr>
          <w:rFonts w:hAnsi="標楷體" w:hint="eastAsia"/>
          <w:color w:val="000000" w:themeColor="text1"/>
          <w:szCs w:val="32"/>
          <w:lang w:eastAsia="zh-HK"/>
        </w:rPr>
        <w:t>知</w:t>
      </w:r>
      <w:r w:rsidRPr="00E616E6">
        <w:rPr>
          <w:rFonts w:hAnsi="標楷體" w:hint="eastAsia"/>
          <w:color w:val="000000" w:themeColor="text1"/>
          <w:szCs w:val="32"/>
        </w:rPr>
        <w:t>」、第</w:t>
      </w:r>
      <w:r w:rsidRPr="00E616E6">
        <w:rPr>
          <w:rFonts w:hAnsi="標楷體"/>
          <w:color w:val="000000" w:themeColor="text1"/>
          <w:szCs w:val="32"/>
        </w:rPr>
        <w:t>100</w:t>
      </w:r>
      <w:r w:rsidRPr="00E616E6">
        <w:rPr>
          <w:rFonts w:hAnsi="標楷體" w:hint="eastAsia"/>
          <w:color w:val="000000" w:themeColor="text1"/>
          <w:szCs w:val="32"/>
        </w:rPr>
        <w:t>條之</w:t>
      </w:r>
      <w:r w:rsidRPr="00E616E6">
        <w:rPr>
          <w:rFonts w:hAnsi="標楷體"/>
          <w:color w:val="000000" w:themeColor="text1"/>
          <w:szCs w:val="32"/>
        </w:rPr>
        <w:t>1</w:t>
      </w:r>
      <w:r w:rsidRPr="00E616E6">
        <w:rPr>
          <w:rFonts w:hAnsi="標楷體" w:hint="eastAsia"/>
          <w:color w:val="000000" w:themeColor="text1"/>
          <w:szCs w:val="32"/>
        </w:rPr>
        <w:t>第</w:t>
      </w:r>
      <w:r w:rsidRPr="00E616E6">
        <w:rPr>
          <w:rFonts w:hAnsi="標楷體"/>
          <w:color w:val="000000" w:themeColor="text1"/>
          <w:szCs w:val="32"/>
        </w:rPr>
        <w:t>1</w:t>
      </w:r>
      <w:r w:rsidRPr="00E616E6">
        <w:rPr>
          <w:rFonts w:hAnsi="標楷體" w:hint="eastAsia"/>
          <w:color w:val="000000" w:themeColor="text1"/>
          <w:szCs w:val="32"/>
        </w:rPr>
        <w:t>項「全程連續錄音；必要時，全程連續錄影」等規定？非無疑義。</w:t>
      </w:r>
      <w:proofErr w:type="gramStart"/>
      <w:r w:rsidRPr="00E616E6">
        <w:rPr>
          <w:rFonts w:hAnsi="標楷體" w:hint="eastAsia"/>
          <w:color w:val="000000" w:themeColor="text1"/>
          <w:szCs w:val="32"/>
        </w:rPr>
        <w:t>另</w:t>
      </w:r>
      <w:proofErr w:type="gramEnd"/>
      <w:r w:rsidRPr="00E616E6">
        <w:rPr>
          <w:rFonts w:hAnsi="標楷體" w:hint="eastAsia"/>
          <w:color w:val="000000" w:themeColor="text1"/>
          <w:szCs w:val="32"/>
        </w:rPr>
        <w:t>，測謊鑑定書面報</w:t>
      </w:r>
      <w:r w:rsidRPr="00E616E6">
        <w:rPr>
          <w:rFonts w:hAnsi="標楷體" w:hint="eastAsia"/>
          <w:color w:val="000000" w:themeColor="text1"/>
          <w:szCs w:val="32"/>
        </w:rPr>
        <w:lastRenderedPageBreak/>
        <w:t>告性質上屬於同法第159條第1項所定被告以外之人於審判外之書面陳述，如實施鑑定之人未於審判中以言詞為說明陳述，即與直接審理主義、言詞審理主義有悖，而屬傳聞證據，第159條立法理由有關「本條所謂法律有規定者，係指第206條」之說明，使鑑定之書面報告當然得作為證據，未能顧及被告之對質詰問權。</w:t>
      </w:r>
    </w:p>
    <w:p w14:paraId="13C60ADF" w14:textId="165ECB53" w:rsidR="00AF74F7" w:rsidRPr="00E616E6" w:rsidRDefault="00AF74F7" w:rsidP="00677668">
      <w:pPr>
        <w:pStyle w:val="3"/>
        <w:rPr>
          <w:rFonts w:hAnsi="標楷體"/>
          <w:color w:val="000000" w:themeColor="text1"/>
        </w:rPr>
      </w:pPr>
      <w:r w:rsidRPr="00E616E6">
        <w:rPr>
          <w:rFonts w:hAnsi="標楷體" w:hint="eastAsia"/>
          <w:color w:val="000000" w:themeColor="text1"/>
        </w:rPr>
        <w:t>測謊結果有無證據能力，我國刑事訴訟法並無明文，惟目前司法實務認為，測謊機關之鑑定報告，形式上若符合測謊基本程式要件，包括：（一）經</w:t>
      </w:r>
      <w:proofErr w:type="gramStart"/>
      <w:r w:rsidRPr="00E616E6">
        <w:rPr>
          <w:rFonts w:hAnsi="標楷體" w:hint="eastAsia"/>
          <w:color w:val="000000" w:themeColor="text1"/>
        </w:rPr>
        <w:t>受測人同意</w:t>
      </w:r>
      <w:proofErr w:type="gramEnd"/>
      <w:r w:rsidRPr="00E616E6">
        <w:rPr>
          <w:rFonts w:hAnsi="標楷體" w:hint="eastAsia"/>
          <w:color w:val="000000" w:themeColor="text1"/>
        </w:rPr>
        <w:t>配合，並已告知得拒絕受測，以減輕受測者不必要之壓力、（二）</w:t>
      </w:r>
      <w:proofErr w:type="gramStart"/>
      <w:r w:rsidRPr="00E616E6">
        <w:rPr>
          <w:rFonts w:hAnsi="標楷體" w:hint="eastAsia"/>
          <w:color w:val="000000" w:themeColor="text1"/>
        </w:rPr>
        <w:t>測謊員須</w:t>
      </w:r>
      <w:proofErr w:type="gramEnd"/>
      <w:r w:rsidRPr="00E616E6">
        <w:rPr>
          <w:rFonts w:hAnsi="標楷體" w:hint="eastAsia"/>
          <w:color w:val="000000" w:themeColor="text1"/>
        </w:rPr>
        <w:t>經良好之專業訓練與相當之經驗、（三）測謊儀器品質良好且運作正常、（四）</w:t>
      </w:r>
      <w:proofErr w:type="gramStart"/>
      <w:r w:rsidRPr="00E616E6">
        <w:rPr>
          <w:rFonts w:hAnsi="標楷體" w:hint="eastAsia"/>
          <w:color w:val="000000" w:themeColor="text1"/>
        </w:rPr>
        <w:t>受測人身心</w:t>
      </w:r>
      <w:proofErr w:type="gramEnd"/>
      <w:r w:rsidRPr="00E616E6">
        <w:rPr>
          <w:rFonts w:hAnsi="標楷體" w:hint="eastAsia"/>
          <w:color w:val="000000" w:themeColor="text1"/>
        </w:rPr>
        <w:t>及意識狀態正常、（五）測謊環境良好，無不當之外力干擾等要件，於符合上開要件時，即賦予證據能力。且受測者否認犯罪之供述呈現不實之情緒波動反應，不得</w:t>
      </w:r>
      <w:proofErr w:type="gramStart"/>
      <w:r w:rsidRPr="00E616E6">
        <w:rPr>
          <w:rFonts w:hAnsi="標楷體" w:hint="eastAsia"/>
          <w:color w:val="000000" w:themeColor="text1"/>
        </w:rPr>
        <w:t>採</w:t>
      </w:r>
      <w:proofErr w:type="gramEnd"/>
      <w:r w:rsidRPr="00E616E6">
        <w:rPr>
          <w:rFonts w:hAnsi="標楷體" w:hint="eastAsia"/>
          <w:color w:val="000000" w:themeColor="text1"/>
        </w:rPr>
        <w:t>為有罪判決之唯一證據</w:t>
      </w:r>
      <w:r w:rsidR="00CC22A5" w:rsidRPr="00E616E6">
        <w:rPr>
          <w:rFonts w:hAnsi="標楷體" w:hint="eastAsia"/>
          <w:color w:val="000000" w:themeColor="text1"/>
        </w:rPr>
        <w:t>。</w:t>
      </w:r>
      <w:r w:rsidRPr="00E616E6">
        <w:rPr>
          <w:rFonts w:hAnsi="標楷體" w:hint="eastAsia"/>
          <w:color w:val="000000" w:themeColor="text1"/>
        </w:rPr>
        <w:t>若受測者否認犯罪之供述並無不實之情緒波動反應，又無其他積極證據證明其被訴之犯罪事實，自得</w:t>
      </w:r>
      <w:proofErr w:type="gramStart"/>
      <w:r w:rsidRPr="00E616E6">
        <w:rPr>
          <w:rFonts w:hAnsi="標楷體" w:hint="eastAsia"/>
          <w:color w:val="000000" w:themeColor="text1"/>
        </w:rPr>
        <w:t>採</w:t>
      </w:r>
      <w:proofErr w:type="gramEnd"/>
      <w:r w:rsidRPr="00E616E6">
        <w:rPr>
          <w:rFonts w:hAnsi="標楷體" w:hint="eastAsia"/>
          <w:color w:val="000000" w:themeColor="text1"/>
        </w:rPr>
        <w:t>為有利於受測者之認定（參照最高法院92年度台上字第2282號、94年度台上字第7135號、98年度台上字第2345號判決）。法務部108年7月16日訂</w:t>
      </w:r>
      <w:proofErr w:type="gramStart"/>
      <w:r w:rsidRPr="00E616E6">
        <w:rPr>
          <w:rFonts w:hAnsi="標楷體" w:hint="eastAsia"/>
          <w:color w:val="000000" w:themeColor="text1"/>
        </w:rPr>
        <w:t>頒</w:t>
      </w:r>
      <w:proofErr w:type="gramEnd"/>
      <w:r w:rsidRPr="00E616E6">
        <w:rPr>
          <w:rFonts w:hAnsi="標楷體" w:hint="eastAsia"/>
          <w:color w:val="000000" w:themeColor="text1"/>
        </w:rPr>
        <w:t>，函送各測謊機關作為參考依據之「測謊鑑定標準作業程序」，雖已參酌最高法院判決</w:t>
      </w:r>
      <w:proofErr w:type="gramStart"/>
      <w:r w:rsidRPr="00E616E6">
        <w:rPr>
          <w:rFonts w:hAnsi="標楷體" w:hint="eastAsia"/>
          <w:color w:val="000000" w:themeColor="text1"/>
        </w:rPr>
        <w:t>創設之測謊</w:t>
      </w:r>
      <w:proofErr w:type="gramEnd"/>
      <w:r w:rsidRPr="00E616E6">
        <w:rPr>
          <w:rFonts w:hAnsi="標楷體" w:hint="eastAsia"/>
          <w:color w:val="000000" w:themeColor="text1"/>
        </w:rPr>
        <w:t>基本程式要件，規範測謊作業應遵循步驟，包括</w:t>
      </w:r>
      <w:r w:rsidR="0080603E" w:rsidRPr="00E616E6">
        <w:rPr>
          <w:rFonts w:hAnsi="標楷體" w:hint="eastAsia"/>
          <w:color w:val="000000" w:themeColor="text1"/>
        </w:rPr>
        <w:t>：</w:t>
      </w:r>
      <w:r w:rsidR="00444A63" w:rsidRPr="00E616E6">
        <w:rPr>
          <w:rFonts w:hAnsi="標楷體" w:hint="eastAsia"/>
          <w:color w:val="000000" w:themeColor="text1"/>
        </w:rPr>
        <w:t>1.</w:t>
      </w:r>
      <w:r w:rsidRPr="00E616E6">
        <w:rPr>
          <w:rFonts w:hAnsi="標楷體" w:hint="eastAsia"/>
          <w:color w:val="000000" w:themeColor="text1"/>
        </w:rPr>
        <w:t>「告知權利」（緘默權、選任辯護人、得請求調查有利證據、得拒絕接受測謊及隨時要求停止測謊）、</w:t>
      </w:r>
      <w:r w:rsidR="00444A63" w:rsidRPr="00E616E6">
        <w:rPr>
          <w:rFonts w:hAnsi="標楷體" w:hint="eastAsia"/>
          <w:color w:val="000000" w:themeColor="text1"/>
        </w:rPr>
        <w:t>2.</w:t>
      </w:r>
      <w:r w:rsidRPr="00E616E6">
        <w:rPr>
          <w:rFonts w:hAnsi="標楷體" w:hint="eastAsia"/>
          <w:color w:val="000000" w:themeColor="text1"/>
        </w:rPr>
        <w:t>「施測之鑑定人員初判結果後，經第2位鑑定人員複核圖譜」、</w:t>
      </w:r>
      <w:r w:rsidR="00444A63" w:rsidRPr="00E616E6">
        <w:rPr>
          <w:rFonts w:hAnsi="標楷體" w:hint="eastAsia"/>
          <w:color w:val="000000" w:themeColor="text1"/>
        </w:rPr>
        <w:t>3.</w:t>
      </w:r>
      <w:r w:rsidRPr="00E616E6">
        <w:rPr>
          <w:rFonts w:hAnsi="標楷體" w:hint="eastAsia"/>
          <w:color w:val="000000" w:themeColor="text1"/>
        </w:rPr>
        <w:t>「鑑定人員資格」等事項；</w:t>
      </w:r>
      <w:proofErr w:type="gramStart"/>
      <w:r w:rsidRPr="00E616E6">
        <w:rPr>
          <w:rFonts w:hAnsi="標楷體" w:hint="eastAsia"/>
          <w:color w:val="000000" w:themeColor="text1"/>
        </w:rPr>
        <w:t>另高檢</w:t>
      </w:r>
      <w:proofErr w:type="gramEnd"/>
      <w:r w:rsidRPr="00E616E6">
        <w:rPr>
          <w:rFonts w:hAnsi="標楷體" w:hint="eastAsia"/>
          <w:color w:val="000000" w:themeColor="text1"/>
        </w:rPr>
        <w:t>署針對該署規劃成立之檢察機關區域測謊中</w:t>
      </w:r>
      <w:r w:rsidRPr="00E616E6">
        <w:rPr>
          <w:rFonts w:hAnsi="標楷體" w:hint="eastAsia"/>
          <w:color w:val="000000" w:themeColor="text1"/>
        </w:rPr>
        <w:lastRenderedPageBreak/>
        <w:t>心而訂頒之「檢察機關辦理測謊鑑定作業流程參考手冊」</w:t>
      </w:r>
      <w:r w:rsidRPr="00E616E6">
        <w:rPr>
          <w:rFonts w:ascii="新細明體" w:eastAsia="新細明體" w:hAnsi="新細明體" w:hint="eastAsia"/>
          <w:color w:val="000000" w:themeColor="text1"/>
        </w:rPr>
        <w:t>，</w:t>
      </w:r>
      <w:r w:rsidRPr="00E616E6">
        <w:rPr>
          <w:rFonts w:hAnsi="標楷體" w:hint="eastAsia"/>
          <w:color w:val="000000" w:themeColor="text1"/>
        </w:rPr>
        <w:t>更是對於「禁止測試問題」、「終止施測情形」、「施測過程應全程錄音或錄影」、「測謊結果報告應包含文件」等事項作詳盡規範。惟</w:t>
      </w:r>
      <w:proofErr w:type="gramStart"/>
      <w:r w:rsidRPr="00E616E6">
        <w:rPr>
          <w:rFonts w:hAnsi="標楷體" w:hint="eastAsia"/>
          <w:color w:val="000000" w:themeColor="text1"/>
        </w:rPr>
        <w:t>上開測謊</w:t>
      </w:r>
      <w:proofErr w:type="gramEnd"/>
      <w:r w:rsidRPr="00E616E6">
        <w:rPr>
          <w:rFonts w:hAnsi="標楷體" w:hint="eastAsia"/>
          <w:color w:val="000000" w:themeColor="text1"/>
        </w:rPr>
        <w:t>作業程序規範之法律</w:t>
      </w:r>
      <w:proofErr w:type="gramStart"/>
      <w:r w:rsidRPr="00E616E6">
        <w:rPr>
          <w:rFonts w:hAnsi="標楷體" w:hint="eastAsia"/>
          <w:color w:val="000000" w:themeColor="text1"/>
        </w:rPr>
        <w:t>位階均屬行政</w:t>
      </w:r>
      <w:proofErr w:type="gramEnd"/>
      <w:r w:rsidRPr="00E616E6">
        <w:rPr>
          <w:rFonts w:hAnsi="標楷體" w:hint="eastAsia"/>
          <w:color w:val="000000" w:themeColor="text1"/>
        </w:rPr>
        <w:t>規則，現行測謊相關規範，僅「性侵害犯罪付保護管束加害人測謊實施辦法」第10條第1、</w:t>
      </w:r>
      <w:r w:rsidRPr="00E616E6">
        <w:rPr>
          <w:rFonts w:hAnsi="標楷體"/>
          <w:color w:val="000000" w:themeColor="text1"/>
        </w:rPr>
        <w:t>2</w:t>
      </w:r>
      <w:r w:rsidRPr="00E616E6">
        <w:rPr>
          <w:rFonts w:hAnsi="標楷體" w:hint="eastAsia"/>
          <w:color w:val="000000" w:themeColor="text1"/>
        </w:rPr>
        <w:t>項，針對性侵害</w:t>
      </w:r>
      <w:proofErr w:type="gramStart"/>
      <w:r w:rsidRPr="00E616E6">
        <w:rPr>
          <w:rFonts w:hAnsi="標楷體" w:hint="eastAsia"/>
          <w:color w:val="000000" w:themeColor="text1"/>
        </w:rPr>
        <w:t>案件之測謊</w:t>
      </w:r>
      <w:proofErr w:type="gramEnd"/>
      <w:r w:rsidRPr="00E616E6">
        <w:rPr>
          <w:rFonts w:hAnsi="標楷體" w:hint="eastAsia"/>
          <w:color w:val="000000" w:themeColor="text1"/>
        </w:rPr>
        <w:t>報告書應檢附資料範圍，有法律授權依據，刑事訴訟法有關測謊之規範顯有不足</w:t>
      </w:r>
      <w:r w:rsidRPr="00E616E6">
        <w:rPr>
          <w:rFonts w:ascii="新細明體" w:eastAsia="新細明體" w:hAnsi="新細明體" w:hint="eastAsia"/>
          <w:color w:val="000000" w:themeColor="text1"/>
        </w:rPr>
        <w:t>，</w:t>
      </w:r>
      <w:r w:rsidRPr="00E616E6">
        <w:rPr>
          <w:rFonts w:hAnsi="標楷體" w:hint="eastAsia"/>
          <w:color w:val="000000" w:themeColor="text1"/>
        </w:rPr>
        <w:t>法務部於本院詢問時亦稱</w:t>
      </w:r>
      <w:r w:rsidRPr="00E616E6">
        <w:rPr>
          <w:rFonts w:ascii="新細明體" w:eastAsia="新細明體" w:hAnsi="新細明體" w:hint="eastAsia"/>
          <w:color w:val="000000" w:themeColor="text1"/>
        </w:rPr>
        <w:t>：</w:t>
      </w:r>
      <w:r w:rsidRPr="00E616E6">
        <w:rPr>
          <w:rFonts w:hAnsi="標楷體" w:hint="eastAsia"/>
          <w:color w:val="000000" w:themeColor="text1"/>
        </w:rPr>
        <w:t>該部對於在刑事訴訟法修法增訂測謊規定一事</w:t>
      </w:r>
      <w:r w:rsidRPr="00E616E6">
        <w:rPr>
          <w:rFonts w:ascii="新細明體" w:eastAsia="新細明體" w:hAnsi="新細明體" w:hint="eastAsia"/>
          <w:color w:val="000000" w:themeColor="text1"/>
        </w:rPr>
        <w:t>，</w:t>
      </w:r>
      <w:r w:rsidRPr="00E616E6">
        <w:rPr>
          <w:rFonts w:hAnsi="標楷體" w:hint="eastAsia"/>
          <w:color w:val="000000" w:themeColor="text1"/>
        </w:rPr>
        <w:t>樂觀其成。</w:t>
      </w:r>
    </w:p>
    <w:p w14:paraId="2F9BD159" w14:textId="45FA40E2" w:rsidR="00AF74F7" w:rsidRPr="00E616E6" w:rsidRDefault="00AF74F7" w:rsidP="00592832">
      <w:pPr>
        <w:pStyle w:val="3"/>
        <w:rPr>
          <w:rFonts w:hAnsi="標楷體"/>
          <w:color w:val="000000" w:themeColor="text1"/>
        </w:rPr>
      </w:pPr>
      <w:r w:rsidRPr="00E616E6">
        <w:rPr>
          <w:rFonts w:hAnsi="標楷體" w:hint="eastAsia"/>
          <w:color w:val="000000" w:themeColor="text1"/>
        </w:rPr>
        <w:t>綜上</w:t>
      </w:r>
      <w:r w:rsidRPr="00E616E6">
        <w:rPr>
          <w:rFonts w:ascii="新細明體" w:eastAsia="新細明體" w:hAnsi="新細明體" w:hint="eastAsia"/>
          <w:color w:val="000000" w:themeColor="text1"/>
        </w:rPr>
        <w:t>，</w:t>
      </w:r>
      <w:r w:rsidR="00220C71" w:rsidRPr="00E616E6">
        <w:rPr>
          <w:rFonts w:hAnsi="標楷體" w:hint="eastAsia"/>
          <w:bCs w:val="0"/>
          <w:color w:val="000000" w:themeColor="text1"/>
        </w:rPr>
        <w:t>司法實務</w:t>
      </w:r>
      <w:proofErr w:type="gramStart"/>
      <w:r w:rsidR="00220C71" w:rsidRPr="00E616E6">
        <w:rPr>
          <w:rFonts w:hAnsi="標楷體" w:hint="eastAsia"/>
          <w:bCs w:val="0"/>
          <w:color w:val="000000" w:themeColor="text1"/>
        </w:rPr>
        <w:t>雖認測謊為</w:t>
      </w:r>
      <w:proofErr w:type="gramEnd"/>
      <w:r w:rsidR="00220C71" w:rsidRPr="00E616E6">
        <w:rPr>
          <w:rFonts w:hAnsi="標楷體" w:hint="eastAsia"/>
          <w:bCs w:val="0"/>
          <w:color w:val="000000" w:themeColor="text1"/>
        </w:rPr>
        <w:t>鑑定之法定證據方法，測謊機關亦參酌最高法院判決創設的測謊鑑定基本程式要件，逐步訂定細部作業規範</w:t>
      </w:r>
      <w:r w:rsidR="00CC22A5" w:rsidRPr="00E616E6">
        <w:rPr>
          <w:rFonts w:hAnsi="標楷體" w:hint="eastAsia"/>
          <w:bCs w:val="0"/>
          <w:color w:val="000000" w:themeColor="text1"/>
        </w:rPr>
        <w:t>。</w:t>
      </w:r>
      <w:proofErr w:type="gramStart"/>
      <w:r w:rsidR="00220C71" w:rsidRPr="00E616E6">
        <w:rPr>
          <w:rFonts w:hAnsi="標楷體" w:hint="eastAsia"/>
          <w:bCs w:val="0"/>
          <w:color w:val="000000" w:themeColor="text1"/>
        </w:rPr>
        <w:t>然測謊</w:t>
      </w:r>
      <w:proofErr w:type="gramEnd"/>
      <w:r w:rsidR="00220C71" w:rsidRPr="00E616E6">
        <w:rPr>
          <w:rFonts w:hAnsi="標楷體" w:hint="eastAsia"/>
          <w:bCs w:val="0"/>
          <w:color w:val="000000" w:themeColor="text1"/>
        </w:rPr>
        <w:t>鑑定涉及人格權議題，而測謊結果有無證據能力</w:t>
      </w:r>
      <w:r w:rsidR="00220C71" w:rsidRPr="00E616E6">
        <w:rPr>
          <w:rFonts w:ascii="新細明體" w:eastAsia="新細明體" w:hAnsi="新細明體" w:hint="eastAsia"/>
          <w:bCs w:val="0"/>
          <w:color w:val="000000" w:themeColor="text1"/>
        </w:rPr>
        <w:t>、</w:t>
      </w:r>
      <w:r w:rsidR="00220C71" w:rsidRPr="00E616E6">
        <w:rPr>
          <w:rFonts w:hAnsi="標楷體" w:hint="eastAsia"/>
          <w:bCs w:val="0"/>
          <w:color w:val="000000" w:themeColor="text1"/>
        </w:rPr>
        <w:t>測謊作業之法定程序及違反該程序之法律效果等重要事項</w:t>
      </w:r>
      <w:r w:rsidR="00220C71" w:rsidRPr="00E616E6">
        <w:rPr>
          <w:rFonts w:ascii="新細明體" w:eastAsia="新細明體" w:hAnsi="新細明體" w:hint="eastAsia"/>
          <w:bCs w:val="0"/>
          <w:color w:val="000000" w:themeColor="text1"/>
        </w:rPr>
        <w:t>，</w:t>
      </w:r>
      <w:r w:rsidR="00220C71" w:rsidRPr="00E616E6">
        <w:rPr>
          <w:rFonts w:hAnsi="標楷體" w:hint="eastAsia"/>
          <w:bCs w:val="0"/>
          <w:color w:val="000000" w:themeColor="text1"/>
        </w:rPr>
        <w:t>尚乏法律明文依據</w:t>
      </w:r>
      <w:r w:rsidR="00CC22A5" w:rsidRPr="00E616E6">
        <w:rPr>
          <w:rFonts w:hAnsi="標楷體" w:hint="eastAsia"/>
          <w:bCs w:val="0"/>
          <w:color w:val="000000" w:themeColor="text1"/>
        </w:rPr>
        <w:t>；</w:t>
      </w:r>
      <w:r w:rsidR="00220C71" w:rsidRPr="00E616E6">
        <w:rPr>
          <w:rFonts w:hAnsi="標楷體" w:hint="eastAsia"/>
          <w:bCs w:val="0"/>
          <w:color w:val="000000" w:themeColor="text1"/>
        </w:rPr>
        <w:t>現行測謊相關規範</w:t>
      </w:r>
      <w:r w:rsidR="00220C71" w:rsidRPr="00E616E6">
        <w:rPr>
          <w:rFonts w:ascii="新細明體" w:eastAsia="新細明體" w:hAnsi="新細明體" w:hint="eastAsia"/>
          <w:bCs w:val="0"/>
          <w:color w:val="000000" w:themeColor="text1"/>
        </w:rPr>
        <w:t>，</w:t>
      </w:r>
      <w:r w:rsidR="00220C71" w:rsidRPr="00E616E6">
        <w:rPr>
          <w:rFonts w:hAnsi="標楷體" w:hint="eastAsia"/>
          <w:bCs w:val="0"/>
          <w:color w:val="000000" w:themeColor="text1"/>
        </w:rPr>
        <w:t>除</w:t>
      </w:r>
      <w:r w:rsidR="00220C71" w:rsidRPr="00E616E6">
        <w:rPr>
          <w:rFonts w:hAnsi="標楷體" w:hint="eastAsia"/>
          <w:color w:val="000000" w:themeColor="text1"/>
        </w:rPr>
        <w:t>「性侵害犯罪付保護管束加害人測謊實施辦法」第10條第1、</w:t>
      </w:r>
      <w:r w:rsidR="00220C71" w:rsidRPr="00E616E6">
        <w:rPr>
          <w:rFonts w:hAnsi="標楷體"/>
          <w:color w:val="000000" w:themeColor="text1"/>
        </w:rPr>
        <w:t>2</w:t>
      </w:r>
      <w:r w:rsidR="00220C71" w:rsidRPr="00E616E6">
        <w:rPr>
          <w:rFonts w:hAnsi="標楷體" w:hint="eastAsia"/>
          <w:color w:val="000000" w:themeColor="text1"/>
        </w:rPr>
        <w:t>項測謊報告書應檢附資料範圍之規定有法律授權依據外，</w:t>
      </w:r>
      <w:proofErr w:type="gramStart"/>
      <w:r w:rsidR="00220C71" w:rsidRPr="00E616E6">
        <w:rPr>
          <w:rFonts w:hAnsi="標楷體" w:hint="eastAsia"/>
          <w:color w:val="000000" w:themeColor="text1"/>
        </w:rPr>
        <w:t>其餘</w:t>
      </w:r>
      <w:r w:rsidR="00220C71" w:rsidRPr="00E616E6">
        <w:rPr>
          <w:rFonts w:hAnsi="標楷體" w:hint="eastAsia"/>
          <w:bCs w:val="0"/>
          <w:color w:val="000000" w:themeColor="text1"/>
        </w:rPr>
        <w:t>均屬行政</w:t>
      </w:r>
      <w:proofErr w:type="gramEnd"/>
      <w:r w:rsidR="00220C71" w:rsidRPr="00E616E6">
        <w:rPr>
          <w:rFonts w:hAnsi="標楷體" w:hint="eastAsia"/>
          <w:bCs w:val="0"/>
          <w:color w:val="000000" w:themeColor="text1"/>
        </w:rPr>
        <w:t>規則，基於法治國原則及人權保障，宜請司法院與法務部審慎</w:t>
      </w:r>
      <w:proofErr w:type="gramStart"/>
      <w:r w:rsidR="00220C71" w:rsidRPr="00E616E6">
        <w:rPr>
          <w:rFonts w:hAnsi="標楷體" w:hint="eastAsia"/>
          <w:bCs w:val="0"/>
          <w:color w:val="000000" w:themeColor="text1"/>
        </w:rPr>
        <w:t>研議測謊所</w:t>
      </w:r>
      <w:proofErr w:type="gramEnd"/>
      <w:r w:rsidR="00220C71" w:rsidRPr="00E616E6">
        <w:rPr>
          <w:rFonts w:hAnsi="標楷體" w:hint="eastAsia"/>
          <w:bCs w:val="0"/>
          <w:color w:val="000000" w:themeColor="text1"/>
        </w:rPr>
        <w:t>涉各項議題，建立符合層級化法律保留</w:t>
      </w:r>
      <w:proofErr w:type="gramStart"/>
      <w:r w:rsidR="00220C71" w:rsidRPr="00E616E6">
        <w:rPr>
          <w:rFonts w:hAnsi="標楷體" w:hint="eastAsia"/>
          <w:bCs w:val="0"/>
          <w:color w:val="000000" w:themeColor="text1"/>
        </w:rPr>
        <w:t>原則之測謊</w:t>
      </w:r>
      <w:proofErr w:type="gramEnd"/>
      <w:r w:rsidR="00220C71" w:rsidRPr="00E616E6">
        <w:rPr>
          <w:rFonts w:hAnsi="標楷體" w:hint="eastAsia"/>
          <w:bCs w:val="0"/>
          <w:color w:val="000000" w:themeColor="text1"/>
        </w:rPr>
        <w:t>規範。</w:t>
      </w:r>
    </w:p>
    <w:p w14:paraId="0285AD97" w14:textId="07BB0FFD" w:rsidR="00E25849" w:rsidRPr="00E616E6" w:rsidRDefault="00AF74F7" w:rsidP="004E05A1">
      <w:pPr>
        <w:pStyle w:val="1"/>
        <w:ind w:left="2380" w:hanging="2380"/>
        <w:rPr>
          <w:color w:val="000000" w:themeColor="text1"/>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bookmarkEnd w:id="50"/>
      <w:bookmarkEnd w:id="51"/>
      <w:r w:rsidRPr="00E616E6">
        <w:rPr>
          <w:color w:val="000000" w:themeColor="text1"/>
        </w:rPr>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E616E6">
        <w:rPr>
          <w:rFonts w:hint="eastAsia"/>
          <w:color w:val="000000" w:themeColor="text1"/>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5D613875" w14:textId="595B74AE" w:rsidR="00FB7770" w:rsidRPr="00E616E6" w:rsidRDefault="00A11B0E" w:rsidP="00770453">
      <w:pPr>
        <w:pStyle w:val="2"/>
        <w:spacing w:beforeLines="25" w:before="114"/>
        <w:ind w:left="1020" w:hanging="680"/>
        <w:rPr>
          <w:color w:val="000000" w:themeColor="text1"/>
        </w:rPr>
      </w:pPr>
      <w:bookmarkStart w:id="76" w:name="_Toc524895649"/>
      <w:bookmarkStart w:id="77" w:name="_Toc524896195"/>
      <w:bookmarkStart w:id="78" w:name="_Toc524896225"/>
      <w:bookmarkStart w:id="79" w:name="_Toc70241820"/>
      <w:bookmarkStart w:id="80" w:name="_Toc70242209"/>
      <w:bookmarkStart w:id="81" w:name="_Toc421794876"/>
      <w:bookmarkStart w:id="82" w:name="_Toc421795442"/>
      <w:bookmarkStart w:id="83" w:name="_Toc421796023"/>
      <w:bookmarkStart w:id="84" w:name="_Toc422728958"/>
      <w:bookmarkStart w:id="85" w:name="_Toc422834161"/>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6"/>
      <w:bookmarkEnd w:id="77"/>
      <w:bookmarkEnd w:id="78"/>
      <w:r w:rsidRPr="00E616E6">
        <w:rPr>
          <w:rFonts w:hint="eastAsia"/>
          <w:color w:val="000000" w:themeColor="text1"/>
        </w:rPr>
        <w:t>調查意見</w:t>
      </w:r>
      <w:r w:rsidR="00E37F6E" w:rsidRPr="00E616E6">
        <w:rPr>
          <w:rFonts w:hint="eastAsia"/>
          <w:color w:val="000000" w:themeColor="text1"/>
        </w:rPr>
        <w:t>一至四</w:t>
      </w:r>
      <w:r w:rsidR="00FB7770" w:rsidRPr="00E616E6">
        <w:rPr>
          <w:rFonts w:hint="eastAsia"/>
          <w:color w:val="000000" w:themeColor="text1"/>
        </w:rPr>
        <w:t>，</w:t>
      </w:r>
      <w:r w:rsidRPr="00E616E6">
        <w:rPr>
          <w:rFonts w:hint="eastAsia"/>
          <w:color w:val="000000" w:themeColor="text1"/>
        </w:rPr>
        <w:t>函請行政院督促</w:t>
      </w:r>
      <w:r w:rsidR="002A1E11" w:rsidRPr="00E616E6">
        <w:rPr>
          <w:rFonts w:hint="eastAsia"/>
          <w:color w:val="000000" w:themeColor="text1"/>
        </w:rPr>
        <w:t>內政部</w:t>
      </w:r>
      <w:r w:rsidR="002A1E11" w:rsidRPr="00E616E6">
        <w:rPr>
          <w:rFonts w:ascii="新細明體" w:eastAsia="新細明體" w:hAnsi="新細明體" w:hint="eastAsia"/>
          <w:color w:val="000000" w:themeColor="text1"/>
        </w:rPr>
        <w:t>、</w:t>
      </w:r>
      <w:r w:rsidR="002A1E11" w:rsidRPr="00E616E6">
        <w:rPr>
          <w:rFonts w:hint="eastAsia"/>
          <w:color w:val="000000" w:themeColor="text1"/>
        </w:rPr>
        <w:t>法務部</w:t>
      </w:r>
      <w:r w:rsidRPr="00E616E6">
        <w:rPr>
          <w:rFonts w:hint="eastAsia"/>
          <w:color w:val="000000" w:themeColor="text1"/>
        </w:rPr>
        <w:t>檢討</w:t>
      </w:r>
      <w:proofErr w:type="gramStart"/>
      <w:r w:rsidRPr="00E616E6">
        <w:rPr>
          <w:rFonts w:hint="eastAsia"/>
          <w:color w:val="000000" w:themeColor="text1"/>
        </w:rPr>
        <w:t>研</w:t>
      </w:r>
      <w:proofErr w:type="gramEnd"/>
      <w:r w:rsidRPr="00E616E6">
        <w:rPr>
          <w:rFonts w:hint="eastAsia"/>
          <w:color w:val="000000" w:themeColor="text1"/>
        </w:rPr>
        <w:t>處</w:t>
      </w:r>
      <w:bookmarkEnd w:id="79"/>
      <w:bookmarkEnd w:id="80"/>
      <w:bookmarkEnd w:id="81"/>
      <w:bookmarkEnd w:id="82"/>
      <w:bookmarkEnd w:id="83"/>
      <w:bookmarkEnd w:id="84"/>
      <w:bookmarkEnd w:id="85"/>
      <w:proofErr w:type="gramStart"/>
      <w:r w:rsidRPr="00E616E6">
        <w:rPr>
          <w:rFonts w:hint="eastAsia"/>
          <w:color w:val="000000" w:themeColor="text1"/>
        </w:rPr>
        <w:t>見復</w:t>
      </w:r>
      <w:r w:rsidRPr="00E616E6">
        <w:rPr>
          <w:rFonts w:hAnsi="標楷體" w:hint="eastAsia"/>
          <w:color w:val="000000" w:themeColor="text1"/>
        </w:rPr>
        <w:t>。</w:t>
      </w:r>
      <w:proofErr w:type="gramEnd"/>
    </w:p>
    <w:p w14:paraId="212EB50B" w14:textId="57898B90" w:rsidR="00A11B0E" w:rsidRPr="00E616E6" w:rsidRDefault="00A11B0E" w:rsidP="00770453">
      <w:pPr>
        <w:pStyle w:val="2"/>
        <w:spacing w:beforeLines="25" w:before="114"/>
        <w:ind w:left="1020" w:hanging="680"/>
        <w:rPr>
          <w:color w:val="000000" w:themeColor="text1"/>
        </w:rPr>
      </w:pPr>
      <w:r w:rsidRPr="00E616E6">
        <w:rPr>
          <w:rFonts w:hint="eastAsia"/>
          <w:color w:val="000000" w:themeColor="text1"/>
        </w:rPr>
        <w:t>調查意見</w:t>
      </w:r>
      <w:r w:rsidR="00E37F6E" w:rsidRPr="00E616E6">
        <w:rPr>
          <w:rFonts w:hint="eastAsia"/>
          <w:color w:val="000000" w:themeColor="text1"/>
        </w:rPr>
        <w:t>五</w:t>
      </w:r>
      <w:r w:rsidRPr="00E616E6">
        <w:rPr>
          <w:rFonts w:ascii="新細明體" w:eastAsia="新細明體" w:hAnsi="新細明體" w:hint="eastAsia"/>
          <w:color w:val="000000" w:themeColor="text1"/>
        </w:rPr>
        <w:t>，</w:t>
      </w:r>
      <w:r w:rsidRPr="00E616E6">
        <w:rPr>
          <w:rFonts w:hint="eastAsia"/>
          <w:color w:val="000000" w:themeColor="text1"/>
        </w:rPr>
        <w:t>函請司法院</w:t>
      </w:r>
      <w:r w:rsidR="00707191" w:rsidRPr="00E616E6">
        <w:rPr>
          <w:rFonts w:hint="eastAsia"/>
          <w:color w:val="000000" w:themeColor="text1"/>
        </w:rPr>
        <w:t>、法務部</w:t>
      </w:r>
      <w:proofErr w:type="gramStart"/>
      <w:r w:rsidRPr="00E616E6">
        <w:rPr>
          <w:rFonts w:hint="eastAsia"/>
          <w:color w:val="000000" w:themeColor="text1"/>
        </w:rPr>
        <w:t>研</w:t>
      </w:r>
      <w:proofErr w:type="gramEnd"/>
      <w:r w:rsidRPr="00E616E6">
        <w:rPr>
          <w:rFonts w:hint="eastAsia"/>
          <w:color w:val="000000" w:themeColor="text1"/>
        </w:rPr>
        <w:t>處</w:t>
      </w:r>
      <w:proofErr w:type="gramStart"/>
      <w:r w:rsidRPr="00E616E6">
        <w:rPr>
          <w:rFonts w:hint="eastAsia"/>
          <w:color w:val="000000" w:themeColor="text1"/>
        </w:rPr>
        <w:t>見復</w:t>
      </w:r>
      <w:r w:rsidRPr="00E616E6">
        <w:rPr>
          <w:rFonts w:hAnsi="標楷體" w:hint="eastAsia"/>
          <w:color w:val="000000" w:themeColor="text1"/>
        </w:rPr>
        <w:t>。</w:t>
      </w:r>
      <w:proofErr w:type="gramEnd"/>
    </w:p>
    <w:p w14:paraId="07F812FD" w14:textId="6ACD3FCE" w:rsidR="002A1E11" w:rsidRPr="00E616E6" w:rsidRDefault="002A1E11" w:rsidP="00770453">
      <w:pPr>
        <w:pStyle w:val="2"/>
        <w:spacing w:beforeLines="25" w:before="114"/>
        <w:ind w:left="1020" w:hanging="680"/>
        <w:rPr>
          <w:rFonts w:hAnsi="標楷體"/>
          <w:color w:val="000000" w:themeColor="text1"/>
        </w:rPr>
      </w:pPr>
      <w:r w:rsidRPr="00E616E6">
        <w:rPr>
          <w:rFonts w:hAnsi="標楷體" w:hint="eastAsia"/>
          <w:color w:val="000000" w:themeColor="text1"/>
        </w:rPr>
        <w:t>調查意見（含附件</w:t>
      </w:r>
      <w:r w:rsidR="0008627D" w:rsidRPr="00E616E6">
        <w:rPr>
          <w:rFonts w:hAnsi="標楷體" w:hint="eastAsia"/>
          <w:color w:val="000000" w:themeColor="text1"/>
        </w:rPr>
        <w:t>一、二</w:t>
      </w:r>
      <w:r w:rsidRPr="00E616E6">
        <w:rPr>
          <w:rFonts w:hAnsi="標楷體" w:hint="eastAsia"/>
          <w:color w:val="000000" w:themeColor="text1"/>
        </w:rPr>
        <w:t>），函復陳訴人。</w:t>
      </w:r>
    </w:p>
    <w:p w14:paraId="5375ECDA" w14:textId="3D4599CD" w:rsidR="002A1E11" w:rsidRPr="00E616E6" w:rsidRDefault="002A1E11" w:rsidP="00770453">
      <w:pPr>
        <w:pStyle w:val="2"/>
        <w:spacing w:beforeLines="25" w:before="114"/>
        <w:ind w:left="1020" w:hanging="680"/>
        <w:rPr>
          <w:rFonts w:hAnsi="標楷體"/>
          <w:color w:val="000000" w:themeColor="text1"/>
        </w:rPr>
      </w:pPr>
      <w:r w:rsidRPr="00E616E6">
        <w:rPr>
          <w:rFonts w:hAnsi="標楷體" w:hint="eastAsia"/>
          <w:color w:val="000000" w:themeColor="text1"/>
        </w:rPr>
        <w:t>調查意見</w:t>
      </w:r>
      <w:r w:rsidRPr="00E616E6">
        <w:rPr>
          <w:rFonts w:ascii="新細明體" w:eastAsia="新細明體" w:hAnsi="新細明體" w:hint="eastAsia"/>
          <w:color w:val="000000" w:themeColor="text1"/>
        </w:rPr>
        <w:t>（</w:t>
      </w:r>
      <w:r w:rsidRPr="00E616E6">
        <w:rPr>
          <w:rFonts w:hAnsi="標楷體" w:hint="eastAsia"/>
          <w:color w:val="000000" w:themeColor="text1"/>
        </w:rPr>
        <w:t>含附件</w:t>
      </w:r>
      <w:r w:rsidR="0008627D" w:rsidRPr="00E616E6">
        <w:rPr>
          <w:rFonts w:hAnsi="標楷體" w:hint="eastAsia"/>
          <w:color w:val="000000" w:themeColor="text1"/>
        </w:rPr>
        <w:t>二</w:t>
      </w:r>
      <w:r w:rsidR="00932118" w:rsidRPr="00E616E6">
        <w:rPr>
          <w:rFonts w:hAnsi="標楷體" w:hint="eastAsia"/>
          <w:color w:val="000000" w:themeColor="text1"/>
        </w:rPr>
        <w:t>）</w:t>
      </w:r>
      <w:r w:rsidRPr="00E616E6">
        <w:rPr>
          <w:rFonts w:ascii="新細明體" w:eastAsia="新細明體" w:hAnsi="新細明體" w:hint="eastAsia"/>
          <w:color w:val="000000" w:themeColor="text1"/>
        </w:rPr>
        <w:t>，</w:t>
      </w:r>
      <w:r w:rsidRPr="00E616E6">
        <w:rPr>
          <w:rFonts w:hAnsi="標楷體" w:hint="eastAsia"/>
          <w:color w:val="000000" w:themeColor="text1"/>
        </w:rPr>
        <w:t>上網公布。</w:t>
      </w:r>
    </w:p>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14:paraId="32305B33" w14:textId="01968573" w:rsidR="00E25849" w:rsidRPr="00E616E6" w:rsidRDefault="00E25849" w:rsidP="00E172C9">
      <w:pPr>
        <w:pStyle w:val="2"/>
        <w:numPr>
          <w:ilvl w:val="0"/>
          <w:numId w:val="0"/>
        </w:numPr>
        <w:ind w:left="340"/>
        <w:rPr>
          <w:color w:val="000000" w:themeColor="text1"/>
        </w:rPr>
      </w:pPr>
    </w:p>
    <w:p w14:paraId="14A4AA06" w14:textId="609128ED" w:rsidR="003C04FC" w:rsidRPr="00E616E6" w:rsidRDefault="00E25849" w:rsidP="00E172C9">
      <w:pPr>
        <w:pStyle w:val="aa"/>
        <w:spacing w:beforeLines="50" w:before="228" w:afterLines="100" w:after="457"/>
        <w:ind w:leftChars="1100" w:left="3742"/>
        <w:rPr>
          <w:b w:val="0"/>
          <w:bCs/>
          <w:snapToGrid/>
          <w:color w:val="000000" w:themeColor="text1"/>
          <w:spacing w:val="12"/>
          <w:kern w:val="0"/>
          <w:sz w:val="40"/>
        </w:rPr>
      </w:pPr>
      <w:r w:rsidRPr="00E616E6">
        <w:rPr>
          <w:rFonts w:hint="eastAsia"/>
          <w:b w:val="0"/>
          <w:bCs/>
          <w:snapToGrid/>
          <w:color w:val="000000" w:themeColor="text1"/>
          <w:spacing w:val="12"/>
          <w:kern w:val="0"/>
          <w:sz w:val="40"/>
        </w:rPr>
        <w:t>調查委員：</w:t>
      </w:r>
      <w:r w:rsidR="003C04FC" w:rsidRPr="00E616E6">
        <w:rPr>
          <w:rFonts w:hint="eastAsia"/>
          <w:b w:val="0"/>
          <w:bCs/>
          <w:snapToGrid/>
          <w:color w:val="000000" w:themeColor="text1"/>
          <w:spacing w:val="12"/>
          <w:kern w:val="0"/>
          <w:sz w:val="40"/>
        </w:rPr>
        <w:t>王美玉</w:t>
      </w:r>
      <w:r w:rsidR="00E172C9">
        <w:rPr>
          <w:rFonts w:hAnsi="標楷體" w:hint="eastAsia"/>
          <w:b w:val="0"/>
          <w:bCs/>
          <w:snapToGrid/>
          <w:color w:val="000000" w:themeColor="text1"/>
          <w:spacing w:val="12"/>
          <w:kern w:val="0"/>
          <w:sz w:val="40"/>
        </w:rPr>
        <w:t>、</w:t>
      </w:r>
      <w:r w:rsidR="003C04FC" w:rsidRPr="00E616E6">
        <w:rPr>
          <w:rFonts w:hint="eastAsia"/>
          <w:b w:val="0"/>
          <w:bCs/>
          <w:snapToGrid/>
          <w:color w:val="000000" w:themeColor="text1"/>
          <w:spacing w:val="12"/>
          <w:kern w:val="0"/>
          <w:sz w:val="40"/>
        </w:rPr>
        <w:t>高</w:t>
      </w:r>
      <w:proofErr w:type="gramStart"/>
      <w:r w:rsidR="003C04FC" w:rsidRPr="00E616E6">
        <w:rPr>
          <w:rFonts w:hint="eastAsia"/>
          <w:b w:val="0"/>
          <w:bCs/>
          <w:snapToGrid/>
          <w:color w:val="000000" w:themeColor="text1"/>
          <w:spacing w:val="12"/>
          <w:kern w:val="0"/>
          <w:sz w:val="40"/>
        </w:rPr>
        <w:t>涌</w:t>
      </w:r>
      <w:proofErr w:type="gramEnd"/>
      <w:r w:rsidR="003C04FC" w:rsidRPr="00E616E6">
        <w:rPr>
          <w:rFonts w:hint="eastAsia"/>
          <w:b w:val="0"/>
          <w:bCs/>
          <w:snapToGrid/>
          <w:color w:val="000000" w:themeColor="text1"/>
          <w:spacing w:val="12"/>
          <w:kern w:val="0"/>
          <w:sz w:val="40"/>
        </w:rPr>
        <w:t>誠</w:t>
      </w:r>
    </w:p>
    <w:p w14:paraId="22D4DC79" w14:textId="403A1504" w:rsidR="00416721" w:rsidRPr="00E616E6" w:rsidRDefault="00416721" w:rsidP="00A07B4B">
      <w:pPr>
        <w:pStyle w:val="af0"/>
        <w:kinsoku/>
        <w:autoSpaceDE w:val="0"/>
        <w:spacing w:beforeLines="50" w:before="228"/>
        <w:ind w:left="1020" w:hanging="1020"/>
        <w:rPr>
          <w:bCs/>
          <w:color w:val="000000" w:themeColor="text1"/>
        </w:rPr>
      </w:pPr>
      <w:bookmarkStart w:id="105" w:name="_GoBack"/>
      <w:bookmarkEnd w:id="105"/>
    </w:p>
    <w:p w14:paraId="6166FF5F" w14:textId="10A4C77E" w:rsidR="003C04FC" w:rsidRPr="00E616E6" w:rsidRDefault="00902E1E" w:rsidP="004C3C58">
      <w:pPr>
        <w:widowControl/>
        <w:overflowPunct/>
        <w:autoSpaceDE/>
        <w:autoSpaceDN/>
        <w:jc w:val="left"/>
        <w:rPr>
          <w:bCs/>
          <w:color w:val="000000" w:themeColor="text1"/>
          <w:kern w:val="0"/>
        </w:rPr>
        <w:sectPr w:rsidR="003C04FC" w:rsidRPr="00E616E6" w:rsidSect="00931A10">
          <w:footerReference w:type="default" r:id="rId9"/>
          <w:pgSz w:w="11907" w:h="16840" w:code="9"/>
          <w:pgMar w:top="1701" w:right="1418" w:bottom="1418" w:left="1418" w:header="851" w:footer="851" w:gutter="227"/>
          <w:pgNumType w:start="1"/>
          <w:cols w:space="425"/>
          <w:docGrid w:type="linesAndChars" w:linePitch="457" w:charSpace="4127"/>
        </w:sectPr>
      </w:pPr>
      <w:r w:rsidRPr="00E616E6">
        <w:rPr>
          <w:bCs/>
          <w:color w:val="000000" w:themeColor="text1"/>
          <w:kern w:val="0"/>
        </w:rPr>
        <w:br w:type="page"/>
      </w:r>
    </w:p>
    <w:p w14:paraId="7745D8AF" w14:textId="0008E3D8" w:rsidR="003C04FC" w:rsidRPr="00E616E6" w:rsidRDefault="003C04FC" w:rsidP="003C04FC">
      <w:pPr>
        <w:overflowPunct/>
        <w:autoSpaceDE/>
        <w:autoSpaceDN/>
        <w:snapToGrid w:val="0"/>
        <w:spacing w:line="360" w:lineRule="auto"/>
        <w:jc w:val="center"/>
        <w:rPr>
          <w:rFonts w:ascii="Calibri" w:eastAsia="新細明體" w:hAnsi="Calibri"/>
          <w:b/>
          <w:color w:val="000000" w:themeColor="text1"/>
          <w:sz w:val="28"/>
          <w:szCs w:val="28"/>
        </w:rPr>
      </w:pPr>
      <w:r w:rsidRPr="00E616E6">
        <w:rPr>
          <w:bCs/>
          <w:noProof/>
          <w:color w:val="000000" w:themeColor="text1"/>
          <w:kern w:val="0"/>
        </w:rPr>
        <w:lastRenderedPageBreak/>
        <mc:AlternateContent>
          <mc:Choice Requires="wps">
            <w:drawing>
              <wp:anchor distT="0" distB="0" distL="114300" distR="114300" simplePos="0" relativeHeight="251661312" behindDoc="0" locked="0" layoutInCell="1" allowOverlap="1" wp14:anchorId="70198186" wp14:editId="4F994733">
                <wp:simplePos x="0" y="0"/>
                <wp:positionH relativeFrom="column">
                  <wp:posOffset>-130628</wp:posOffset>
                </wp:positionH>
                <wp:positionV relativeFrom="paragraph">
                  <wp:posOffset>-544286</wp:posOffset>
                </wp:positionV>
                <wp:extent cx="832758" cy="367553"/>
                <wp:effectExtent l="0" t="0" r="24765" b="13970"/>
                <wp:wrapNone/>
                <wp:docPr id="1" name="文字方塊 1"/>
                <wp:cNvGraphicFramePr/>
                <a:graphic xmlns:a="http://schemas.openxmlformats.org/drawingml/2006/main">
                  <a:graphicData uri="http://schemas.microsoft.com/office/word/2010/wordprocessingShape">
                    <wps:wsp>
                      <wps:cNvSpPr txBox="1"/>
                      <wps:spPr>
                        <a:xfrm>
                          <a:off x="0" y="0"/>
                          <a:ext cx="832758" cy="367553"/>
                        </a:xfrm>
                        <a:prstGeom prst="rect">
                          <a:avLst/>
                        </a:prstGeom>
                        <a:solidFill>
                          <a:sysClr val="window" lastClr="FFFFFF"/>
                        </a:solidFill>
                        <a:ln w="6350">
                          <a:solidFill>
                            <a:prstClr val="black"/>
                          </a:solidFill>
                        </a:ln>
                      </wps:spPr>
                      <wps:txbx>
                        <w:txbxContent>
                          <w:p w14:paraId="5EC5C09C" w14:textId="31B72B13" w:rsidR="003C04FC" w:rsidRDefault="003C04FC" w:rsidP="003C04FC">
                            <w:pPr>
                              <w:adjustRightInd w:val="0"/>
                              <w:snapToGrid w:val="0"/>
                            </w:pPr>
                            <w:r>
                              <w:rPr>
                                <w:rFonts w:hint="eastAsia"/>
                              </w:rPr>
                              <w:t>附件二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0198186" id="_x0000_t202" coordsize="21600,21600" o:spt="202" path="m,l,21600r21600,l21600,xe">
                <v:stroke joinstyle="miter"/>
                <v:path gradientshapeok="t" o:connecttype="rect"/>
              </v:shapetype>
              <v:shape id="文字方塊 1" o:spid="_x0000_s1026" type="#_x0000_t202" style="position:absolute;left:0;text-align:left;margin-left:-10.3pt;margin-top:-42.85pt;width:65.55pt;height:2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" fillcolor="window" strokeweight=".5pt">
                <v:textbox>
                  <w:txbxContent>
                    <w:p w14:paraId="5EC5C09C" w14:textId="31B72B13" w:rsidR="003C04FC" w:rsidRDefault="003C04FC" w:rsidP="003C04FC">
                      <w:pPr>
                        <w:adjustRightInd w:val="0"/>
                        <w:snapToGrid w:val="0"/>
                      </w:pPr>
                      <w:r>
                        <w:rPr>
                          <w:rFonts w:hint="eastAsia"/>
                        </w:rPr>
                        <w:t>附件二</w:t>
                      </w:r>
                    </w:p>
                  </w:txbxContent>
                </v:textbox>
              </v:shape>
            </w:pict>
          </mc:Fallback>
        </mc:AlternateContent>
      </w:r>
      <w:r w:rsidRPr="00E616E6">
        <w:rPr>
          <w:rFonts w:ascii="Calibri" w:eastAsia="新細明體" w:hAnsi="Calibri" w:hint="eastAsia"/>
          <w:b/>
          <w:color w:val="000000" w:themeColor="text1"/>
          <w:sz w:val="28"/>
          <w:szCs w:val="28"/>
        </w:rPr>
        <w:t>盧正案</w:t>
      </w:r>
      <w:r w:rsidRPr="00E616E6">
        <w:rPr>
          <w:rFonts w:ascii="新細明體" w:eastAsia="新細明體" w:hAnsi="新細明體" w:hint="eastAsia"/>
          <w:b/>
          <w:color w:val="000000" w:themeColor="text1"/>
          <w:sz w:val="28"/>
          <w:szCs w:val="28"/>
        </w:rPr>
        <w:t>「</w:t>
      </w:r>
      <w:r w:rsidRPr="00E616E6">
        <w:rPr>
          <w:rFonts w:ascii="Calibri" w:eastAsia="新細明體" w:hAnsi="Calibri" w:hint="eastAsia"/>
          <w:b/>
          <w:color w:val="000000" w:themeColor="text1"/>
          <w:sz w:val="28"/>
          <w:szCs w:val="28"/>
        </w:rPr>
        <w:t>證物</w:t>
      </w:r>
      <w:r w:rsidRPr="00E616E6">
        <w:rPr>
          <w:rFonts w:ascii="新細明體" w:eastAsia="新細明體" w:hAnsi="新細明體" w:hint="eastAsia"/>
          <w:b/>
          <w:color w:val="000000" w:themeColor="text1"/>
          <w:sz w:val="28"/>
          <w:szCs w:val="28"/>
        </w:rPr>
        <w:t>、</w:t>
      </w:r>
      <w:r w:rsidRPr="00E616E6">
        <w:rPr>
          <w:rFonts w:ascii="Calibri" w:eastAsia="新細明體" w:hAnsi="Calibri" w:hint="eastAsia"/>
          <w:b/>
          <w:color w:val="000000" w:themeColor="text1"/>
          <w:sz w:val="28"/>
          <w:szCs w:val="28"/>
        </w:rPr>
        <w:t>檢體</w:t>
      </w:r>
      <w:r w:rsidRPr="00E616E6">
        <w:rPr>
          <w:rFonts w:ascii="新細明體" w:eastAsia="新細明體" w:hAnsi="新細明體" w:hint="eastAsia"/>
          <w:b/>
          <w:color w:val="000000" w:themeColor="text1"/>
          <w:sz w:val="28"/>
          <w:szCs w:val="28"/>
        </w:rPr>
        <w:t>」</w:t>
      </w:r>
      <w:r w:rsidRPr="00E616E6">
        <w:rPr>
          <w:rFonts w:ascii="Calibri" w:eastAsia="新細明體" w:hAnsi="Calibri" w:hint="eastAsia"/>
          <w:b/>
          <w:color w:val="000000" w:themeColor="text1"/>
          <w:sz w:val="28"/>
          <w:szCs w:val="28"/>
        </w:rPr>
        <w:t>及</w:t>
      </w:r>
      <w:r w:rsidRPr="00E616E6">
        <w:rPr>
          <w:rFonts w:ascii="新細明體" w:eastAsia="新細明體" w:hAnsi="新細明體" w:hint="eastAsia"/>
          <w:b/>
          <w:color w:val="000000" w:themeColor="text1"/>
          <w:sz w:val="28"/>
          <w:szCs w:val="28"/>
        </w:rPr>
        <w:t>「</w:t>
      </w:r>
      <w:r w:rsidRPr="00E616E6">
        <w:rPr>
          <w:rFonts w:ascii="Calibri" w:eastAsia="新細明體" w:hAnsi="Calibri" w:hint="eastAsia"/>
          <w:b/>
          <w:color w:val="000000" w:themeColor="text1"/>
          <w:sz w:val="28"/>
          <w:szCs w:val="28"/>
        </w:rPr>
        <w:t>測謊資料</w:t>
      </w:r>
      <w:r w:rsidRPr="00E616E6">
        <w:rPr>
          <w:rFonts w:ascii="新細明體" w:eastAsia="新細明體" w:hAnsi="新細明體" w:hint="eastAsia"/>
          <w:b/>
          <w:color w:val="000000" w:themeColor="text1"/>
          <w:sz w:val="28"/>
          <w:szCs w:val="28"/>
        </w:rPr>
        <w:t>」</w:t>
      </w:r>
      <w:r w:rsidRPr="00E616E6">
        <w:rPr>
          <w:rFonts w:ascii="Calibri" w:eastAsia="新細明體" w:hAnsi="Calibri" w:hint="eastAsia"/>
          <w:b/>
          <w:color w:val="000000" w:themeColor="text1"/>
          <w:sz w:val="28"/>
          <w:szCs w:val="28"/>
        </w:rPr>
        <w:t>保存情形一覽表</w:t>
      </w:r>
    </w:p>
    <w:tbl>
      <w:tblPr>
        <w:tblStyle w:val="13"/>
        <w:tblW w:w="14459" w:type="dxa"/>
        <w:tblInd w:w="-147" w:type="dxa"/>
        <w:tblLook w:val="04A0" w:firstRow="1" w:lastRow="0" w:firstColumn="1" w:lastColumn="0" w:noHBand="0" w:noVBand="1"/>
      </w:tblPr>
      <w:tblGrid>
        <w:gridCol w:w="1276"/>
        <w:gridCol w:w="3828"/>
        <w:gridCol w:w="4819"/>
        <w:gridCol w:w="4536"/>
      </w:tblGrid>
      <w:tr w:rsidR="00E616E6" w:rsidRPr="00E616E6" w14:paraId="3EEDC037" w14:textId="77777777" w:rsidTr="003C04FC">
        <w:tc>
          <w:tcPr>
            <w:tcW w:w="5104" w:type="dxa"/>
            <w:gridSpan w:val="2"/>
            <w:shd w:val="clear" w:color="auto" w:fill="FBE4D5"/>
          </w:tcPr>
          <w:p w14:paraId="4D96A005" w14:textId="77777777" w:rsidR="003C04FC" w:rsidRPr="00E616E6" w:rsidRDefault="003C04FC" w:rsidP="003C04FC">
            <w:pPr>
              <w:overflowPunct/>
              <w:autoSpaceDE/>
              <w:autoSpaceDN/>
              <w:jc w:val="center"/>
              <w:rPr>
                <w:rFonts w:ascii="Calibri" w:eastAsia="新細明體"/>
                <w:b/>
                <w:color w:val="000000" w:themeColor="text1"/>
                <w:sz w:val="24"/>
              </w:rPr>
            </w:pPr>
            <w:r w:rsidRPr="00E616E6">
              <w:rPr>
                <w:rFonts w:ascii="Calibri" w:eastAsia="新細明體" w:hint="eastAsia"/>
                <w:b/>
                <w:color w:val="000000" w:themeColor="text1"/>
                <w:sz w:val="24"/>
              </w:rPr>
              <w:t>證物</w:t>
            </w:r>
            <w:r w:rsidRPr="00E616E6">
              <w:rPr>
                <w:rFonts w:ascii="Calibri" w:eastAsia="新細明體"/>
                <w:b/>
                <w:color w:val="000000" w:themeColor="text1"/>
                <w:sz w:val="24"/>
              </w:rPr>
              <w:t>/</w:t>
            </w:r>
            <w:r w:rsidRPr="00E616E6">
              <w:rPr>
                <w:rFonts w:ascii="Calibri" w:eastAsia="新細明體" w:hint="eastAsia"/>
                <w:b/>
                <w:color w:val="000000" w:themeColor="text1"/>
                <w:sz w:val="24"/>
              </w:rPr>
              <w:t>資料</w:t>
            </w:r>
          </w:p>
        </w:tc>
        <w:tc>
          <w:tcPr>
            <w:tcW w:w="4819" w:type="dxa"/>
            <w:shd w:val="clear" w:color="auto" w:fill="FBE4D5"/>
          </w:tcPr>
          <w:p w14:paraId="2685AFC4" w14:textId="77777777" w:rsidR="003C04FC" w:rsidRPr="00E616E6" w:rsidRDefault="003C04FC" w:rsidP="003C04FC">
            <w:pPr>
              <w:overflowPunct/>
              <w:autoSpaceDE/>
              <w:autoSpaceDN/>
              <w:jc w:val="center"/>
              <w:rPr>
                <w:rFonts w:ascii="Calibri" w:eastAsia="新細明體"/>
                <w:b/>
                <w:color w:val="000000" w:themeColor="text1"/>
                <w:sz w:val="24"/>
              </w:rPr>
            </w:pPr>
            <w:proofErr w:type="gramStart"/>
            <w:r w:rsidRPr="00E616E6">
              <w:rPr>
                <w:rFonts w:ascii="Calibri" w:eastAsia="新細明體" w:hint="eastAsia"/>
                <w:b/>
                <w:color w:val="000000" w:themeColor="text1"/>
                <w:sz w:val="24"/>
              </w:rPr>
              <w:t>鑑</w:t>
            </w:r>
            <w:proofErr w:type="gramEnd"/>
            <w:r w:rsidRPr="00E616E6">
              <w:rPr>
                <w:rFonts w:ascii="Calibri" w:eastAsia="新細明體" w:hint="eastAsia"/>
                <w:b/>
                <w:color w:val="000000" w:themeColor="text1"/>
                <w:sz w:val="24"/>
              </w:rPr>
              <w:t>驗情形</w:t>
            </w:r>
          </w:p>
        </w:tc>
        <w:tc>
          <w:tcPr>
            <w:tcW w:w="4536" w:type="dxa"/>
            <w:shd w:val="clear" w:color="auto" w:fill="FBE4D5"/>
          </w:tcPr>
          <w:p w14:paraId="71B4C4C5" w14:textId="77777777" w:rsidR="003C04FC" w:rsidRPr="00E616E6" w:rsidRDefault="003C04FC" w:rsidP="003C04FC">
            <w:pPr>
              <w:overflowPunct/>
              <w:autoSpaceDE/>
              <w:autoSpaceDN/>
              <w:jc w:val="center"/>
              <w:rPr>
                <w:rFonts w:ascii="Calibri" w:eastAsia="新細明體"/>
                <w:b/>
                <w:color w:val="000000" w:themeColor="text1"/>
                <w:sz w:val="24"/>
              </w:rPr>
            </w:pPr>
            <w:r w:rsidRPr="00E616E6">
              <w:rPr>
                <w:rFonts w:ascii="Calibri" w:eastAsia="新細明體" w:hint="eastAsia"/>
                <w:b/>
                <w:color w:val="000000" w:themeColor="text1"/>
                <w:sz w:val="24"/>
              </w:rPr>
              <w:t>資料保存情形</w:t>
            </w:r>
          </w:p>
        </w:tc>
      </w:tr>
      <w:tr w:rsidR="00E616E6" w:rsidRPr="00E616E6" w14:paraId="492F118C" w14:textId="77777777" w:rsidTr="003C04FC">
        <w:tc>
          <w:tcPr>
            <w:tcW w:w="1276" w:type="dxa"/>
            <w:vMerge w:val="restart"/>
            <w:shd w:val="clear" w:color="auto" w:fill="FBE4D5"/>
          </w:tcPr>
          <w:p w14:paraId="41F3C131" w14:textId="77777777" w:rsidR="003C04FC" w:rsidRPr="00E616E6" w:rsidRDefault="003C04FC" w:rsidP="003C04FC">
            <w:pPr>
              <w:overflowPunct/>
              <w:autoSpaceDE/>
              <w:autoSpaceDN/>
              <w:jc w:val="left"/>
              <w:rPr>
                <w:rFonts w:ascii="Calibri" w:eastAsia="新細明體"/>
                <w:color w:val="000000" w:themeColor="text1"/>
                <w:sz w:val="24"/>
              </w:rPr>
            </w:pPr>
            <w:r w:rsidRPr="00E616E6">
              <w:rPr>
                <w:rFonts w:ascii="Calibri" w:eastAsia="新細明體" w:hint="eastAsia"/>
                <w:color w:val="000000" w:themeColor="text1"/>
                <w:sz w:val="24"/>
              </w:rPr>
              <w:t>證物及檢體</w:t>
            </w:r>
          </w:p>
        </w:tc>
        <w:tc>
          <w:tcPr>
            <w:tcW w:w="3828" w:type="dxa"/>
          </w:tcPr>
          <w:p w14:paraId="3F474C05" w14:textId="77777777" w:rsidR="003C04FC" w:rsidRPr="00E616E6" w:rsidRDefault="003C04FC" w:rsidP="003C04FC">
            <w:pPr>
              <w:overflowPunct/>
              <w:autoSpaceDE/>
              <w:autoSpaceDN/>
              <w:jc w:val="left"/>
              <w:rPr>
                <w:rFonts w:ascii="Calibri" w:eastAsia="新細明體"/>
                <w:color w:val="000000" w:themeColor="text1"/>
                <w:sz w:val="24"/>
              </w:rPr>
            </w:pPr>
            <w:r w:rsidRPr="00E616E6">
              <w:rPr>
                <w:rFonts w:ascii="Calibri" w:eastAsia="新細明體" w:hint="eastAsia"/>
                <w:color w:val="000000" w:themeColor="text1"/>
                <w:sz w:val="24"/>
              </w:rPr>
              <w:t>(1)</w:t>
            </w:r>
            <w:r w:rsidRPr="00E616E6">
              <w:rPr>
                <w:rFonts w:ascii="Calibri" w:eastAsia="新細明體" w:hint="eastAsia"/>
                <w:color w:val="000000" w:themeColor="text1"/>
                <w:sz w:val="24"/>
              </w:rPr>
              <w:t>案發現場菸蒂</w:t>
            </w:r>
            <w:r w:rsidRPr="00E616E6">
              <w:rPr>
                <w:rFonts w:ascii="Calibri" w:eastAsia="新細明體" w:hint="eastAsia"/>
                <w:color w:val="000000" w:themeColor="text1"/>
                <w:sz w:val="24"/>
              </w:rPr>
              <w:t>4</w:t>
            </w:r>
            <w:r w:rsidRPr="00E616E6">
              <w:rPr>
                <w:rFonts w:ascii="Calibri" w:eastAsia="新細明體" w:hint="eastAsia"/>
                <w:color w:val="000000" w:themeColor="text1"/>
                <w:sz w:val="24"/>
              </w:rPr>
              <w:t>根</w:t>
            </w:r>
            <w:r w:rsidRPr="00E616E6">
              <w:rPr>
                <w:rFonts w:ascii="新細明體" w:eastAsia="新細明體" w:hAnsi="新細明體" w:hint="eastAsia"/>
                <w:color w:val="000000" w:themeColor="text1"/>
                <w:sz w:val="24"/>
              </w:rPr>
              <w:t>、被害人</w:t>
            </w:r>
            <w:proofErr w:type="gramStart"/>
            <w:r w:rsidRPr="00E616E6">
              <w:rPr>
                <w:rFonts w:ascii="新細明體" w:eastAsia="新細明體" w:hAnsi="新細明體" w:hint="eastAsia"/>
                <w:color w:val="000000" w:themeColor="text1"/>
                <w:sz w:val="24"/>
              </w:rPr>
              <w:t>陰道棉棒5枝</w:t>
            </w:r>
            <w:proofErr w:type="gramEnd"/>
            <w:r w:rsidRPr="00E616E6">
              <w:rPr>
                <w:rFonts w:ascii="新細明體" w:eastAsia="新細明體" w:hAnsi="新細明體" w:hint="eastAsia"/>
                <w:color w:val="000000" w:themeColor="text1"/>
                <w:sz w:val="24"/>
              </w:rPr>
              <w:t>、被害人白色毛線衣毛髮1包、被害人手部毛髮1根、被害人頭髮1包被害人左手指甲1包、被害人右手指甲1包、被害人血液2管，共8項。</w:t>
            </w:r>
          </w:p>
        </w:tc>
        <w:tc>
          <w:tcPr>
            <w:tcW w:w="4819" w:type="dxa"/>
          </w:tcPr>
          <w:p w14:paraId="2D3C1FC7" w14:textId="77777777" w:rsidR="003C04FC" w:rsidRPr="00E616E6" w:rsidRDefault="003C04FC" w:rsidP="003C04FC">
            <w:pPr>
              <w:overflowPunct/>
              <w:autoSpaceDE/>
              <w:autoSpaceDN/>
              <w:jc w:val="left"/>
              <w:rPr>
                <w:rFonts w:ascii="新細明體" w:eastAsia="新細明體" w:hAnsi="新細明體"/>
                <w:color w:val="000000" w:themeColor="text1"/>
                <w:sz w:val="24"/>
              </w:rPr>
            </w:pPr>
            <w:proofErr w:type="gramStart"/>
            <w:r w:rsidRPr="00E616E6">
              <w:rPr>
                <w:rFonts w:ascii="Calibri" w:eastAsia="新細明體" w:hint="eastAsia"/>
                <w:color w:val="000000" w:themeColor="text1"/>
                <w:sz w:val="24"/>
              </w:rPr>
              <w:t>臺</w:t>
            </w:r>
            <w:proofErr w:type="gramEnd"/>
            <w:r w:rsidRPr="00E616E6">
              <w:rPr>
                <w:rFonts w:ascii="Calibri" w:eastAsia="新細明體" w:hint="eastAsia"/>
                <w:color w:val="000000" w:themeColor="text1"/>
                <w:sz w:val="24"/>
              </w:rPr>
              <w:t>南市警局送刑事局</w:t>
            </w:r>
            <w:proofErr w:type="gramStart"/>
            <w:r w:rsidRPr="00E616E6">
              <w:rPr>
                <w:rFonts w:ascii="Calibri" w:eastAsia="新細明體" w:hint="eastAsia"/>
                <w:color w:val="000000" w:themeColor="text1"/>
                <w:sz w:val="24"/>
              </w:rPr>
              <w:t>鑑</w:t>
            </w:r>
            <w:proofErr w:type="gramEnd"/>
            <w:r w:rsidRPr="00E616E6">
              <w:rPr>
                <w:rFonts w:ascii="Calibri" w:eastAsia="新細明體" w:hint="eastAsia"/>
                <w:color w:val="000000" w:themeColor="text1"/>
                <w:sz w:val="24"/>
              </w:rPr>
              <w:t>驗</w:t>
            </w:r>
            <w:r w:rsidRPr="00E616E6">
              <w:rPr>
                <w:rFonts w:ascii="新細明體" w:eastAsia="新細明體" w:hAnsi="新細明體" w:hint="eastAsia"/>
                <w:color w:val="000000" w:themeColor="text1"/>
                <w:sz w:val="24"/>
              </w:rPr>
              <w:t>，</w:t>
            </w:r>
            <w:r w:rsidRPr="00E616E6">
              <w:rPr>
                <w:rFonts w:ascii="Calibri" w:eastAsia="新細明體" w:hint="eastAsia"/>
                <w:color w:val="000000" w:themeColor="text1"/>
                <w:sz w:val="24"/>
              </w:rPr>
              <w:t>刑事局</w:t>
            </w:r>
            <w:r w:rsidRPr="00E616E6">
              <w:rPr>
                <w:rFonts w:ascii="Calibri" w:eastAsia="新細明體" w:hint="eastAsia"/>
                <w:color w:val="000000" w:themeColor="text1"/>
                <w:sz w:val="24"/>
              </w:rPr>
              <w:t>87.1.21</w:t>
            </w:r>
            <w:proofErr w:type="gramStart"/>
            <w:r w:rsidRPr="00E616E6">
              <w:rPr>
                <w:rFonts w:ascii="Calibri" w:eastAsia="新細明體" w:hint="eastAsia"/>
                <w:color w:val="000000" w:themeColor="text1"/>
                <w:sz w:val="24"/>
              </w:rPr>
              <w:t>鑑</w:t>
            </w:r>
            <w:proofErr w:type="gramEnd"/>
            <w:r w:rsidRPr="00E616E6">
              <w:rPr>
                <w:rFonts w:ascii="Calibri" w:eastAsia="新細明體" w:hint="eastAsia"/>
                <w:color w:val="000000" w:themeColor="text1"/>
                <w:sz w:val="24"/>
              </w:rPr>
              <w:t>驗結果</w:t>
            </w:r>
            <w:r w:rsidRPr="00E616E6">
              <w:rPr>
                <w:rFonts w:ascii="新細明體" w:eastAsia="新細明體" w:hAnsi="新細明體" w:hint="eastAsia"/>
                <w:color w:val="000000" w:themeColor="text1"/>
                <w:sz w:val="24"/>
              </w:rPr>
              <w:t>：</w:t>
            </w:r>
          </w:p>
          <w:p w14:paraId="769BE577" w14:textId="77777777" w:rsidR="003C04FC" w:rsidRPr="00E616E6" w:rsidRDefault="003C04FC" w:rsidP="003C04FC">
            <w:pPr>
              <w:numPr>
                <w:ilvl w:val="0"/>
                <w:numId w:val="44"/>
              </w:numPr>
              <w:overflowPunct/>
              <w:autoSpaceDE/>
              <w:autoSpaceDN/>
              <w:jc w:val="left"/>
              <w:rPr>
                <w:rFonts w:ascii="Calibri" w:eastAsia="新細明體"/>
                <w:color w:val="000000" w:themeColor="text1"/>
                <w:sz w:val="24"/>
              </w:rPr>
            </w:pPr>
            <w:r w:rsidRPr="00E616E6">
              <w:rPr>
                <w:rFonts w:ascii="Calibri" w:eastAsia="新細明體" w:hint="eastAsia"/>
                <w:color w:val="000000" w:themeColor="text1"/>
                <w:sz w:val="24"/>
              </w:rPr>
              <w:t>菸蒂</w:t>
            </w:r>
            <w:r w:rsidRPr="00E616E6">
              <w:rPr>
                <w:rFonts w:ascii="Calibri" w:eastAsia="新細明體" w:hint="eastAsia"/>
                <w:color w:val="000000" w:themeColor="text1"/>
                <w:sz w:val="24"/>
              </w:rPr>
              <w:t>DNA</w:t>
            </w:r>
            <w:r w:rsidRPr="00E616E6">
              <w:rPr>
                <w:rFonts w:ascii="Calibri" w:eastAsia="新細明體" w:hint="eastAsia"/>
                <w:color w:val="000000" w:themeColor="text1"/>
                <w:sz w:val="24"/>
              </w:rPr>
              <w:t>量微無法檢測型別</w:t>
            </w:r>
            <w:r w:rsidRPr="00E616E6">
              <w:rPr>
                <w:rFonts w:ascii="新細明體" w:eastAsia="新細明體" w:hAnsi="新細明體" w:hint="eastAsia"/>
                <w:color w:val="000000" w:themeColor="text1"/>
                <w:sz w:val="24"/>
              </w:rPr>
              <w:t>。</w:t>
            </w:r>
          </w:p>
          <w:p w14:paraId="55BEEDB5" w14:textId="77777777" w:rsidR="003C04FC" w:rsidRPr="00E616E6" w:rsidRDefault="003C04FC" w:rsidP="003C04FC">
            <w:pPr>
              <w:numPr>
                <w:ilvl w:val="0"/>
                <w:numId w:val="44"/>
              </w:numPr>
              <w:overflowPunct/>
              <w:autoSpaceDE/>
              <w:autoSpaceDN/>
              <w:jc w:val="left"/>
              <w:rPr>
                <w:rFonts w:ascii="Calibri" w:eastAsia="新細明體"/>
                <w:color w:val="000000" w:themeColor="text1"/>
                <w:sz w:val="24"/>
              </w:rPr>
            </w:pPr>
            <w:r w:rsidRPr="00E616E6">
              <w:rPr>
                <w:rFonts w:ascii="新細明體" w:eastAsia="新細明體" w:hAnsi="新細明體" w:hint="eastAsia"/>
                <w:color w:val="000000" w:themeColor="text1"/>
                <w:sz w:val="24"/>
              </w:rPr>
              <w:t>陰道</w:t>
            </w:r>
            <w:proofErr w:type="gramStart"/>
            <w:r w:rsidRPr="00E616E6">
              <w:rPr>
                <w:rFonts w:ascii="新細明體" w:eastAsia="新細明體" w:hAnsi="新細明體" w:hint="eastAsia"/>
                <w:color w:val="000000" w:themeColor="text1"/>
                <w:sz w:val="24"/>
              </w:rPr>
              <w:t>棉棒未</w:t>
            </w:r>
            <w:proofErr w:type="gramEnd"/>
            <w:r w:rsidRPr="00E616E6">
              <w:rPr>
                <w:rFonts w:ascii="新細明體" w:eastAsia="新細明體" w:hAnsi="新細明體" w:hint="eastAsia"/>
                <w:color w:val="000000" w:themeColor="text1"/>
                <w:sz w:val="24"/>
              </w:rPr>
              <w:t>發現Y染色體DNA。</w:t>
            </w:r>
          </w:p>
          <w:p w14:paraId="18B20CC0" w14:textId="77777777" w:rsidR="003C04FC" w:rsidRPr="00E616E6" w:rsidRDefault="003C04FC" w:rsidP="003C04FC">
            <w:pPr>
              <w:numPr>
                <w:ilvl w:val="0"/>
                <w:numId w:val="44"/>
              </w:numPr>
              <w:overflowPunct/>
              <w:autoSpaceDE/>
              <w:autoSpaceDN/>
              <w:jc w:val="left"/>
              <w:rPr>
                <w:rFonts w:ascii="Calibri" w:eastAsia="新細明體"/>
                <w:color w:val="000000" w:themeColor="text1"/>
                <w:sz w:val="24"/>
              </w:rPr>
            </w:pPr>
            <w:r w:rsidRPr="00E616E6">
              <w:rPr>
                <w:rFonts w:ascii="Calibri" w:eastAsia="新細明體" w:hint="eastAsia"/>
                <w:color w:val="000000" w:themeColor="text1"/>
                <w:sz w:val="24"/>
              </w:rPr>
              <w:t>被害人白色毛線衣毛髮無法檢測型別</w:t>
            </w:r>
            <w:r w:rsidRPr="00E616E6">
              <w:rPr>
                <w:rFonts w:ascii="新細明體" w:eastAsia="新細明體" w:hAnsi="新細明體" w:hint="eastAsia"/>
                <w:color w:val="000000" w:themeColor="text1"/>
                <w:sz w:val="24"/>
              </w:rPr>
              <w:t>。</w:t>
            </w:r>
          </w:p>
          <w:p w14:paraId="019FECFB" w14:textId="77777777" w:rsidR="003C04FC" w:rsidRPr="00E616E6" w:rsidRDefault="003C04FC" w:rsidP="003C04FC">
            <w:pPr>
              <w:numPr>
                <w:ilvl w:val="0"/>
                <w:numId w:val="44"/>
              </w:numPr>
              <w:overflowPunct/>
              <w:autoSpaceDE/>
              <w:autoSpaceDN/>
              <w:jc w:val="left"/>
              <w:rPr>
                <w:rFonts w:ascii="Calibri" w:eastAsia="新細明體"/>
                <w:color w:val="000000" w:themeColor="text1"/>
                <w:sz w:val="24"/>
              </w:rPr>
            </w:pPr>
            <w:r w:rsidRPr="00E616E6">
              <w:rPr>
                <w:rFonts w:ascii="Calibri" w:eastAsia="新細明體" w:hint="eastAsia"/>
                <w:color w:val="000000" w:themeColor="text1"/>
                <w:sz w:val="24"/>
              </w:rPr>
              <w:t>其餘未檢測</w:t>
            </w:r>
            <w:r w:rsidRPr="00E616E6">
              <w:rPr>
                <w:rFonts w:ascii="新細明體" w:eastAsia="新細明體" w:hAnsi="新細明體" w:hint="eastAsia"/>
                <w:color w:val="000000" w:themeColor="text1"/>
                <w:sz w:val="24"/>
              </w:rPr>
              <w:t>。</w:t>
            </w:r>
          </w:p>
        </w:tc>
        <w:tc>
          <w:tcPr>
            <w:tcW w:w="4536" w:type="dxa"/>
          </w:tcPr>
          <w:p w14:paraId="6F531ABE" w14:textId="77777777" w:rsidR="003C04FC" w:rsidRPr="00E616E6" w:rsidRDefault="003C04FC" w:rsidP="003C04FC">
            <w:pPr>
              <w:numPr>
                <w:ilvl w:val="0"/>
                <w:numId w:val="45"/>
              </w:numPr>
              <w:overflowPunct/>
              <w:autoSpaceDE/>
              <w:autoSpaceDN/>
              <w:jc w:val="left"/>
              <w:rPr>
                <w:rFonts w:ascii="新細明體" w:eastAsia="新細明體" w:hAnsi="新細明體"/>
                <w:color w:val="000000" w:themeColor="text1"/>
                <w:sz w:val="24"/>
              </w:rPr>
            </w:pPr>
            <w:proofErr w:type="gramStart"/>
            <w:r w:rsidRPr="00E616E6">
              <w:rPr>
                <w:rFonts w:ascii="Calibri" w:eastAsia="新細明體" w:hint="eastAsia"/>
                <w:color w:val="000000" w:themeColor="text1"/>
                <w:sz w:val="24"/>
              </w:rPr>
              <w:t>刑事局驗畢</w:t>
            </w:r>
            <w:proofErr w:type="gramEnd"/>
            <w:r w:rsidRPr="00E616E6">
              <w:rPr>
                <w:rFonts w:ascii="新細明體" w:eastAsia="新細明體" w:hAnsi="新細明體" w:hint="eastAsia"/>
                <w:color w:val="000000" w:themeColor="text1"/>
                <w:sz w:val="24"/>
              </w:rPr>
              <w:t>，</w:t>
            </w:r>
            <w:r w:rsidRPr="00E616E6">
              <w:rPr>
                <w:rFonts w:ascii="Calibri" w:eastAsia="新細明體" w:hint="eastAsia"/>
                <w:color w:val="000000" w:themeColor="text1"/>
                <w:sz w:val="24"/>
              </w:rPr>
              <w:t>檢還</w:t>
            </w:r>
            <w:proofErr w:type="gramStart"/>
            <w:r w:rsidRPr="00E616E6">
              <w:rPr>
                <w:rFonts w:ascii="Calibri" w:eastAsia="新細明體" w:hint="eastAsia"/>
                <w:color w:val="000000" w:themeColor="text1"/>
                <w:sz w:val="24"/>
              </w:rPr>
              <w:t>臺</w:t>
            </w:r>
            <w:proofErr w:type="gramEnd"/>
            <w:r w:rsidRPr="00E616E6">
              <w:rPr>
                <w:rFonts w:ascii="Calibri" w:eastAsia="新細明體" w:hint="eastAsia"/>
                <w:color w:val="000000" w:themeColor="text1"/>
                <w:sz w:val="24"/>
              </w:rPr>
              <w:t>南市警局第五分局自行保管</w:t>
            </w:r>
            <w:r w:rsidRPr="00E616E6">
              <w:rPr>
                <w:rFonts w:ascii="新細明體" w:eastAsia="新細明體" w:hAnsi="新細明體" w:hint="eastAsia"/>
                <w:color w:val="000000" w:themeColor="text1"/>
                <w:sz w:val="24"/>
              </w:rPr>
              <w:t>，</w:t>
            </w:r>
            <w:r w:rsidRPr="00E616E6">
              <w:rPr>
                <w:rFonts w:ascii="Calibri" w:eastAsia="新細明體" w:hint="eastAsia"/>
                <w:color w:val="000000" w:themeColor="text1"/>
                <w:sz w:val="24"/>
              </w:rPr>
              <w:t>未移送檢方</w:t>
            </w:r>
            <w:r w:rsidRPr="00E616E6">
              <w:rPr>
                <w:rFonts w:ascii="新細明體" w:eastAsia="新細明體" w:hAnsi="新細明體" w:hint="eastAsia"/>
                <w:color w:val="000000" w:themeColor="text1"/>
                <w:sz w:val="24"/>
              </w:rPr>
              <w:t>。</w:t>
            </w:r>
          </w:p>
          <w:p w14:paraId="6235E8C1" w14:textId="77777777" w:rsidR="003C04FC" w:rsidRPr="00E616E6" w:rsidRDefault="003C04FC" w:rsidP="003C04FC">
            <w:pPr>
              <w:numPr>
                <w:ilvl w:val="0"/>
                <w:numId w:val="45"/>
              </w:numPr>
              <w:overflowPunct/>
              <w:autoSpaceDE/>
              <w:autoSpaceDN/>
              <w:jc w:val="left"/>
              <w:rPr>
                <w:rFonts w:ascii="Calibri" w:eastAsia="新細明體"/>
                <w:color w:val="000000" w:themeColor="text1"/>
                <w:sz w:val="24"/>
              </w:rPr>
            </w:pPr>
            <w:r w:rsidRPr="00E616E6">
              <w:rPr>
                <w:rFonts w:ascii="Calibri" w:eastAsia="新細明體" w:hint="eastAsia"/>
                <w:color w:val="000000" w:themeColor="text1"/>
                <w:sz w:val="24"/>
              </w:rPr>
              <w:t>第五分局證物室證物清冊查無該等檢體證物登記</w:t>
            </w:r>
            <w:r w:rsidRPr="00E616E6">
              <w:rPr>
                <w:rFonts w:ascii="新細明體" w:eastAsia="新細明體" w:hAnsi="新細明體" w:hint="eastAsia"/>
                <w:color w:val="000000" w:themeColor="text1"/>
                <w:sz w:val="24"/>
              </w:rPr>
              <w:t>，</w:t>
            </w:r>
            <w:r w:rsidRPr="00E616E6">
              <w:rPr>
                <w:rFonts w:ascii="Calibri" w:eastAsia="新細明體" w:hint="eastAsia"/>
                <w:color w:val="000000" w:themeColor="text1"/>
                <w:sz w:val="24"/>
              </w:rPr>
              <w:t>且因第五分局辦公廳舍搬遷</w:t>
            </w:r>
            <w:r w:rsidRPr="00E616E6">
              <w:rPr>
                <w:rFonts w:ascii="新細明體" w:eastAsia="新細明體" w:hAnsi="新細明體" w:hint="eastAsia"/>
                <w:color w:val="000000" w:themeColor="text1"/>
                <w:sz w:val="24"/>
              </w:rPr>
              <w:t>，已無保存。</w:t>
            </w:r>
          </w:p>
        </w:tc>
      </w:tr>
      <w:tr w:rsidR="00E616E6" w:rsidRPr="00E616E6" w14:paraId="5069AC7D" w14:textId="77777777" w:rsidTr="003C04FC">
        <w:tc>
          <w:tcPr>
            <w:tcW w:w="1276" w:type="dxa"/>
            <w:vMerge/>
            <w:shd w:val="clear" w:color="auto" w:fill="FBE4D5"/>
          </w:tcPr>
          <w:p w14:paraId="2DC1151B" w14:textId="77777777" w:rsidR="003C04FC" w:rsidRPr="00E616E6" w:rsidRDefault="003C04FC" w:rsidP="003C04FC">
            <w:pPr>
              <w:overflowPunct/>
              <w:autoSpaceDE/>
              <w:autoSpaceDN/>
              <w:jc w:val="left"/>
              <w:rPr>
                <w:rFonts w:ascii="Calibri" w:eastAsia="新細明體"/>
                <w:color w:val="000000" w:themeColor="text1"/>
                <w:sz w:val="24"/>
              </w:rPr>
            </w:pPr>
          </w:p>
        </w:tc>
        <w:tc>
          <w:tcPr>
            <w:tcW w:w="3828" w:type="dxa"/>
          </w:tcPr>
          <w:p w14:paraId="63538034" w14:textId="77777777" w:rsidR="003C04FC" w:rsidRPr="00E616E6" w:rsidRDefault="003C04FC" w:rsidP="003C04FC">
            <w:pPr>
              <w:overflowPunct/>
              <w:autoSpaceDE/>
              <w:autoSpaceDN/>
              <w:jc w:val="left"/>
              <w:rPr>
                <w:rFonts w:ascii="Calibri" w:eastAsia="新細明體"/>
                <w:color w:val="000000" w:themeColor="text1"/>
                <w:sz w:val="24"/>
              </w:rPr>
            </w:pPr>
            <w:r w:rsidRPr="00E616E6">
              <w:rPr>
                <w:rFonts w:ascii="Calibri" w:eastAsia="新細明體" w:hint="eastAsia"/>
                <w:color w:val="000000" w:themeColor="text1"/>
                <w:sz w:val="24"/>
              </w:rPr>
              <w:t>(2)</w:t>
            </w:r>
            <w:r w:rsidRPr="00E616E6">
              <w:rPr>
                <w:rFonts w:ascii="Calibri" w:eastAsia="新細明體" w:hint="eastAsia"/>
                <w:color w:val="000000" w:themeColor="text1"/>
                <w:sz w:val="24"/>
              </w:rPr>
              <w:t>勒斃被害人的鞋帶</w:t>
            </w:r>
            <w:r w:rsidRPr="00E616E6">
              <w:rPr>
                <w:rFonts w:ascii="Calibri" w:eastAsia="新細明體" w:hint="eastAsia"/>
                <w:color w:val="000000" w:themeColor="text1"/>
                <w:sz w:val="24"/>
              </w:rPr>
              <w:t>2</w:t>
            </w:r>
            <w:r w:rsidRPr="00E616E6">
              <w:rPr>
                <w:rFonts w:ascii="Calibri" w:eastAsia="新細明體" w:hint="eastAsia"/>
                <w:color w:val="000000" w:themeColor="text1"/>
                <w:sz w:val="24"/>
              </w:rPr>
              <w:t>條</w:t>
            </w:r>
          </w:p>
        </w:tc>
        <w:tc>
          <w:tcPr>
            <w:tcW w:w="4819" w:type="dxa"/>
          </w:tcPr>
          <w:p w14:paraId="156A2B1A" w14:textId="77777777" w:rsidR="003C04FC" w:rsidRPr="00E616E6" w:rsidRDefault="003C04FC" w:rsidP="003C04FC">
            <w:pPr>
              <w:overflowPunct/>
              <w:autoSpaceDE/>
              <w:autoSpaceDN/>
              <w:jc w:val="left"/>
              <w:rPr>
                <w:rFonts w:ascii="新細明體" w:eastAsia="新細明體" w:hAnsi="新細明體"/>
                <w:color w:val="000000" w:themeColor="text1"/>
                <w:sz w:val="24"/>
              </w:rPr>
            </w:pPr>
            <w:proofErr w:type="gramStart"/>
            <w:r w:rsidRPr="00E616E6">
              <w:rPr>
                <w:rFonts w:ascii="Calibri" w:eastAsia="新細明體" w:hint="eastAsia"/>
                <w:color w:val="000000" w:themeColor="text1"/>
                <w:sz w:val="24"/>
              </w:rPr>
              <w:t>臺</w:t>
            </w:r>
            <w:proofErr w:type="gramEnd"/>
            <w:r w:rsidRPr="00E616E6">
              <w:rPr>
                <w:rFonts w:ascii="Calibri" w:eastAsia="新細明體" w:hint="eastAsia"/>
                <w:color w:val="000000" w:themeColor="text1"/>
                <w:sz w:val="24"/>
              </w:rPr>
              <w:t>南地院審理時送法醫研究所</w:t>
            </w:r>
            <w:r w:rsidRPr="00E616E6">
              <w:rPr>
                <w:rFonts w:ascii="Calibri" w:eastAsia="新細明體" w:hint="eastAsia"/>
                <w:color w:val="000000" w:themeColor="text1"/>
                <w:sz w:val="24"/>
              </w:rPr>
              <w:t>87.9.3</w:t>
            </w:r>
            <w:r w:rsidRPr="00E616E6">
              <w:rPr>
                <w:rFonts w:ascii="Calibri" w:eastAsia="新細明體" w:hint="eastAsia"/>
                <w:color w:val="000000" w:themeColor="text1"/>
                <w:sz w:val="24"/>
              </w:rPr>
              <w:t>及</w:t>
            </w:r>
            <w:r w:rsidRPr="00E616E6">
              <w:rPr>
                <w:rFonts w:ascii="Calibri" w:eastAsia="新細明體" w:hint="eastAsia"/>
                <w:color w:val="000000" w:themeColor="text1"/>
                <w:sz w:val="24"/>
              </w:rPr>
              <w:t>88.12.1</w:t>
            </w:r>
            <w:r w:rsidRPr="00E616E6">
              <w:rPr>
                <w:rFonts w:ascii="Calibri" w:eastAsia="新細明體" w:hint="eastAsia"/>
                <w:color w:val="000000" w:themeColor="text1"/>
                <w:sz w:val="24"/>
              </w:rPr>
              <w:t>鑑定結果</w:t>
            </w:r>
            <w:r w:rsidRPr="00E616E6">
              <w:rPr>
                <w:rFonts w:ascii="新細明體" w:eastAsia="新細明體" w:hAnsi="新細明體" w:hint="eastAsia"/>
                <w:color w:val="000000" w:themeColor="text1"/>
                <w:sz w:val="24"/>
              </w:rPr>
              <w:t>：</w:t>
            </w:r>
          </w:p>
          <w:p w14:paraId="2504409D" w14:textId="77777777" w:rsidR="003C04FC" w:rsidRPr="00E616E6" w:rsidRDefault="003C04FC" w:rsidP="003C04FC">
            <w:pPr>
              <w:overflowPunct/>
              <w:autoSpaceDE/>
              <w:autoSpaceDN/>
              <w:jc w:val="left"/>
              <w:rPr>
                <w:rFonts w:ascii="Calibri" w:eastAsia="新細明體"/>
                <w:color w:val="000000" w:themeColor="text1"/>
                <w:sz w:val="24"/>
              </w:rPr>
            </w:pPr>
            <w:proofErr w:type="gramStart"/>
            <w:r w:rsidRPr="00E616E6">
              <w:rPr>
                <w:rFonts w:ascii="Calibri" w:eastAsia="新細明體" w:hint="eastAsia"/>
                <w:color w:val="000000" w:themeColor="text1"/>
                <w:sz w:val="24"/>
              </w:rPr>
              <w:t>無眼觀</w:t>
            </w:r>
            <w:proofErr w:type="gramEnd"/>
            <w:r w:rsidRPr="00E616E6">
              <w:rPr>
                <w:rFonts w:ascii="Calibri" w:eastAsia="新細明體" w:hint="eastAsia"/>
                <w:color w:val="000000" w:themeColor="text1"/>
                <w:sz w:val="24"/>
              </w:rPr>
              <w:t>血跡或顯著污損</w:t>
            </w:r>
            <w:r w:rsidRPr="00E616E6">
              <w:rPr>
                <w:rFonts w:ascii="新細明體" w:eastAsia="新細明體" w:hAnsi="新細明體" w:hint="eastAsia"/>
                <w:color w:val="000000" w:themeColor="text1"/>
                <w:sz w:val="24"/>
              </w:rPr>
              <w:t>，</w:t>
            </w:r>
            <w:r w:rsidRPr="00E616E6">
              <w:rPr>
                <w:rFonts w:ascii="Calibri" w:eastAsia="新細明體" w:hint="eastAsia"/>
                <w:color w:val="000000" w:themeColor="text1"/>
                <w:sz w:val="24"/>
              </w:rPr>
              <w:t>可符合為本案凶器</w:t>
            </w:r>
            <w:r w:rsidRPr="00E616E6">
              <w:rPr>
                <w:rFonts w:ascii="新細明體" w:eastAsia="新細明體" w:hAnsi="新細明體" w:hint="eastAsia"/>
                <w:color w:val="000000" w:themeColor="text1"/>
                <w:sz w:val="24"/>
              </w:rPr>
              <w:t>。</w:t>
            </w:r>
          </w:p>
        </w:tc>
        <w:tc>
          <w:tcPr>
            <w:tcW w:w="4536" w:type="dxa"/>
          </w:tcPr>
          <w:p w14:paraId="2F2F9B68" w14:textId="77777777" w:rsidR="003C04FC" w:rsidRPr="00E616E6" w:rsidRDefault="003C04FC" w:rsidP="003C04FC">
            <w:pPr>
              <w:overflowPunct/>
              <w:autoSpaceDE/>
              <w:autoSpaceDN/>
              <w:jc w:val="left"/>
              <w:rPr>
                <w:rFonts w:ascii="Calibri" w:eastAsia="新細明體"/>
                <w:color w:val="000000" w:themeColor="text1"/>
                <w:sz w:val="24"/>
              </w:rPr>
            </w:pPr>
            <w:r w:rsidRPr="00E616E6">
              <w:rPr>
                <w:rFonts w:ascii="Calibri" w:eastAsia="新細明體" w:hint="eastAsia"/>
                <w:color w:val="000000" w:themeColor="text1"/>
                <w:sz w:val="24"/>
              </w:rPr>
              <w:t>警方移送</w:t>
            </w:r>
            <w:proofErr w:type="gramStart"/>
            <w:r w:rsidRPr="00E616E6">
              <w:rPr>
                <w:rFonts w:ascii="Calibri" w:eastAsia="新細明體" w:hint="eastAsia"/>
                <w:color w:val="000000" w:themeColor="text1"/>
                <w:sz w:val="24"/>
              </w:rPr>
              <w:t>臺</w:t>
            </w:r>
            <w:proofErr w:type="gramEnd"/>
            <w:r w:rsidRPr="00E616E6">
              <w:rPr>
                <w:rFonts w:ascii="Calibri" w:eastAsia="新細明體" w:hint="eastAsia"/>
                <w:color w:val="000000" w:themeColor="text1"/>
                <w:sz w:val="24"/>
              </w:rPr>
              <w:t>南地檢署贓物庫</w:t>
            </w:r>
            <w:r w:rsidRPr="00E616E6">
              <w:rPr>
                <w:rFonts w:ascii="新細明體" w:eastAsia="新細明體" w:hAnsi="新細明體" w:hint="eastAsia"/>
                <w:color w:val="000000" w:themeColor="text1"/>
                <w:sz w:val="24"/>
              </w:rPr>
              <w:t>。</w:t>
            </w:r>
            <w:r w:rsidRPr="00E616E6">
              <w:rPr>
                <w:rFonts w:ascii="Calibri" w:eastAsia="新細明體" w:hint="eastAsia"/>
                <w:color w:val="000000" w:themeColor="text1"/>
                <w:sz w:val="24"/>
              </w:rPr>
              <w:t>判決確定</w:t>
            </w:r>
            <w:r w:rsidRPr="00E616E6">
              <w:rPr>
                <w:rFonts w:ascii="新細明體" w:eastAsia="新細明體" w:hAnsi="新細明體" w:hint="eastAsia"/>
                <w:color w:val="000000" w:themeColor="text1"/>
                <w:sz w:val="24"/>
              </w:rPr>
              <w:t>（</w:t>
            </w:r>
            <w:r w:rsidRPr="00E616E6">
              <w:rPr>
                <w:rFonts w:ascii="Calibri" w:eastAsia="新細明體" w:hint="eastAsia"/>
                <w:color w:val="000000" w:themeColor="text1"/>
                <w:sz w:val="24"/>
              </w:rPr>
              <w:t>89.6.29</w:t>
            </w:r>
            <w:r w:rsidRPr="00E616E6">
              <w:rPr>
                <w:rFonts w:ascii="Calibri" w:eastAsia="新細明體" w:hint="eastAsia"/>
                <w:color w:val="000000" w:themeColor="text1"/>
                <w:sz w:val="24"/>
              </w:rPr>
              <w:t>）後</w:t>
            </w:r>
            <w:r w:rsidRPr="00E616E6">
              <w:rPr>
                <w:rFonts w:ascii="新細明體" w:eastAsia="新細明體" w:hAnsi="新細明體" w:hint="eastAsia"/>
                <w:color w:val="000000" w:themeColor="text1"/>
                <w:sz w:val="24"/>
              </w:rPr>
              <w:t>，該署檢察官於</w:t>
            </w:r>
            <w:r w:rsidRPr="00E616E6">
              <w:rPr>
                <w:rFonts w:ascii="Calibri" w:eastAsia="新細明體" w:hint="eastAsia"/>
                <w:color w:val="000000" w:themeColor="text1"/>
                <w:sz w:val="24"/>
              </w:rPr>
              <w:t>91.5.10</w:t>
            </w:r>
            <w:r w:rsidRPr="00E616E6">
              <w:rPr>
                <w:rFonts w:ascii="Calibri" w:eastAsia="新細明體" w:hint="eastAsia"/>
                <w:color w:val="000000" w:themeColor="text1"/>
                <w:sz w:val="24"/>
              </w:rPr>
              <w:t>命令沒收</w:t>
            </w:r>
            <w:r w:rsidRPr="00E616E6">
              <w:rPr>
                <w:rFonts w:ascii="新細明體" w:eastAsia="新細明體" w:hAnsi="新細明體" w:hint="eastAsia"/>
                <w:color w:val="000000" w:themeColor="text1"/>
                <w:sz w:val="24"/>
              </w:rPr>
              <w:t>，於99.3.29銷</w:t>
            </w:r>
            <w:proofErr w:type="gramStart"/>
            <w:r w:rsidRPr="00E616E6">
              <w:rPr>
                <w:rFonts w:ascii="新細明體" w:eastAsia="新細明體" w:hAnsi="新細明體" w:hint="eastAsia"/>
                <w:color w:val="000000" w:themeColor="text1"/>
                <w:sz w:val="24"/>
              </w:rPr>
              <w:t>燬</w:t>
            </w:r>
            <w:proofErr w:type="gramEnd"/>
            <w:r w:rsidRPr="00E616E6">
              <w:rPr>
                <w:rFonts w:ascii="新細明體" w:eastAsia="新細明體" w:hAnsi="新細明體" w:hint="eastAsia"/>
                <w:color w:val="000000" w:themeColor="text1"/>
                <w:sz w:val="24"/>
              </w:rPr>
              <w:t>。</w:t>
            </w:r>
          </w:p>
        </w:tc>
      </w:tr>
      <w:tr w:rsidR="00E616E6" w:rsidRPr="00E616E6" w14:paraId="775E2F1A" w14:textId="77777777" w:rsidTr="003C04FC">
        <w:tc>
          <w:tcPr>
            <w:tcW w:w="1276" w:type="dxa"/>
            <w:vMerge/>
            <w:shd w:val="clear" w:color="auto" w:fill="FBE4D5"/>
          </w:tcPr>
          <w:p w14:paraId="010B0ABC" w14:textId="77777777" w:rsidR="003C04FC" w:rsidRPr="00E616E6" w:rsidRDefault="003C04FC" w:rsidP="003C04FC">
            <w:pPr>
              <w:overflowPunct/>
              <w:autoSpaceDE/>
              <w:autoSpaceDN/>
              <w:jc w:val="left"/>
              <w:rPr>
                <w:rFonts w:ascii="Calibri" w:eastAsia="新細明體"/>
                <w:color w:val="000000" w:themeColor="text1"/>
                <w:sz w:val="24"/>
              </w:rPr>
            </w:pPr>
          </w:p>
        </w:tc>
        <w:tc>
          <w:tcPr>
            <w:tcW w:w="3828" w:type="dxa"/>
          </w:tcPr>
          <w:p w14:paraId="1FA7812D" w14:textId="77777777" w:rsidR="003C04FC" w:rsidRPr="00E616E6" w:rsidRDefault="003C04FC" w:rsidP="003C04FC">
            <w:pPr>
              <w:overflowPunct/>
              <w:autoSpaceDE/>
              <w:autoSpaceDN/>
              <w:jc w:val="left"/>
              <w:rPr>
                <w:rFonts w:ascii="Calibri" w:eastAsia="新細明體"/>
                <w:color w:val="000000" w:themeColor="text1"/>
                <w:sz w:val="24"/>
              </w:rPr>
            </w:pPr>
            <w:r w:rsidRPr="00E616E6">
              <w:rPr>
                <w:rFonts w:ascii="Calibri" w:eastAsia="新細明體" w:hint="eastAsia"/>
                <w:color w:val="000000" w:themeColor="text1"/>
                <w:sz w:val="24"/>
              </w:rPr>
              <w:t>(3</w:t>
            </w:r>
            <w:proofErr w:type="gramStart"/>
            <w:r w:rsidRPr="00E616E6">
              <w:rPr>
                <w:rFonts w:ascii="新細明體" w:eastAsia="新細明體" w:hAnsi="新細明體" w:hint="eastAsia"/>
                <w:color w:val="000000" w:themeColor="text1"/>
                <w:sz w:val="24"/>
              </w:rPr>
              <w:t>）</w:t>
            </w:r>
            <w:proofErr w:type="gramEnd"/>
            <w:r w:rsidRPr="00E616E6">
              <w:rPr>
                <w:rFonts w:ascii="新細明體" w:eastAsia="新細明體" w:hAnsi="新細明體" w:hint="eastAsia"/>
                <w:color w:val="000000" w:themeColor="text1"/>
                <w:sz w:val="24"/>
              </w:rPr>
              <w:t>綑綁被害人膠帶(纏繞臉部及身體)</w:t>
            </w:r>
          </w:p>
        </w:tc>
        <w:tc>
          <w:tcPr>
            <w:tcW w:w="4819" w:type="dxa"/>
          </w:tcPr>
          <w:p w14:paraId="78135BA2" w14:textId="77777777" w:rsidR="003C04FC" w:rsidRPr="00E616E6" w:rsidRDefault="003C04FC" w:rsidP="003C04FC">
            <w:pPr>
              <w:overflowPunct/>
              <w:autoSpaceDE/>
              <w:autoSpaceDN/>
              <w:jc w:val="left"/>
              <w:rPr>
                <w:rFonts w:ascii="Calibri" w:eastAsia="新細明體"/>
                <w:color w:val="000000" w:themeColor="text1"/>
                <w:sz w:val="24"/>
              </w:rPr>
            </w:pPr>
            <w:proofErr w:type="gramStart"/>
            <w:r w:rsidRPr="00E616E6">
              <w:rPr>
                <w:rFonts w:ascii="Calibri" w:eastAsia="新細明體" w:hint="eastAsia"/>
                <w:color w:val="000000" w:themeColor="text1"/>
                <w:sz w:val="24"/>
              </w:rPr>
              <w:t>臺</w:t>
            </w:r>
            <w:proofErr w:type="gramEnd"/>
            <w:r w:rsidRPr="00E616E6">
              <w:rPr>
                <w:rFonts w:ascii="Calibri" w:eastAsia="新細明體" w:hint="eastAsia"/>
                <w:color w:val="000000" w:themeColor="text1"/>
                <w:sz w:val="24"/>
              </w:rPr>
              <w:t>南市警局採擷</w:t>
            </w:r>
            <w:r w:rsidRPr="00E616E6">
              <w:rPr>
                <w:rFonts w:ascii="Calibri" w:eastAsia="新細明體" w:hint="eastAsia"/>
                <w:color w:val="000000" w:themeColor="text1"/>
                <w:sz w:val="24"/>
              </w:rPr>
              <w:t>2</w:t>
            </w:r>
            <w:r w:rsidRPr="00E616E6">
              <w:rPr>
                <w:rFonts w:ascii="Calibri" w:eastAsia="新細明體" w:hint="eastAsia"/>
                <w:color w:val="000000" w:themeColor="text1"/>
                <w:sz w:val="24"/>
              </w:rPr>
              <w:t>枚指紋送請刑事局</w:t>
            </w:r>
            <w:proofErr w:type="gramStart"/>
            <w:r w:rsidRPr="00E616E6">
              <w:rPr>
                <w:rFonts w:ascii="Calibri" w:eastAsia="新細明體" w:hint="eastAsia"/>
                <w:color w:val="000000" w:themeColor="text1"/>
                <w:sz w:val="24"/>
              </w:rPr>
              <w:t>鑑</w:t>
            </w:r>
            <w:proofErr w:type="gramEnd"/>
            <w:r w:rsidRPr="00E616E6">
              <w:rPr>
                <w:rFonts w:ascii="Calibri" w:eastAsia="新細明體" w:hint="eastAsia"/>
                <w:color w:val="000000" w:themeColor="text1"/>
                <w:sz w:val="24"/>
              </w:rPr>
              <w:t>驗</w:t>
            </w:r>
            <w:r w:rsidRPr="00E616E6">
              <w:rPr>
                <w:rFonts w:ascii="新細明體" w:eastAsia="新細明體" w:hAnsi="新細明體" w:hint="eastAsia"/>
                <w:color w:val="000000" w:themeColor="text1"/>
                <w:sz w:val="24"/>
              </w:rPr>
              <w:t>。刑事局</w:t>
            </w:r>
            <w:proofErr w:type="gramStart"/>
            <w:r w:rsidRPr="00E616E6">
              <w:rPr>
                <w:rFonts w:ascii="Calibri" w:eastAsia="新細明體" w:hint="eastAsia"/>
                <w:color w:val="000000" w:themeColor="text1"/>
                <w:sz w:val="24"/>
              </w:rPr>
              <w:t>鑑</w:t>
            </w:r>
            <w:proofErr w:type="gramEnd"/>
            <w:r w:rsidRPr="00E616E6">
              <w:rPr>
                <w:rFonts w:ascii="Calibri" w:eastAsia="新細明體" w:hint="eastAsia"/>
                <w:color w:val="000000" w:themeColor="text1"/>
                <w:sz w:val="24"/>
              </w:rPr>
              <w:t>驗指紋結果未發現相符者</w:t>
            </w:r>
            <w:r w:rsidRPr="00E616E6">
              <w:rPr>
                <w:rFonts w:ascii="新細明體" w:eastAsia="新細明體" w:hAnsi="新細明體" w:hint="eastAsia"/>
                <w:color w:val="000000" w:themeColor="text1"/>
                <w:sz w:val="24"/>
              </w:rPr>
              <w:t>。</w:t>
            </w:r>
          </w:p>
        </w:tc>
        <w:tc>
          <w:tcPr>
            <w:tcW w:w="4536" w:type="dxa"/>
          </w:tcPr>
          <w:p w14:paraId="19AF5BB7" w14:textId="77777777" w:rsidR="003C04FC" w:rsidRPr="00E616E6" w:rsidRDefault="003C04FC" w:rsidP="003C04FC">
            <w:pPr>
              <w:overflowPunct/>
              <w:autoSpaceDE/>
              <w:autoSpaceDN/>
              <w:jc w:val="left"/>
              <w:rPr>
                <w:rFonts w:ascii="Calibri" w:eastAsia="新細明體"/>
                <w:color w:val="000000" w:themeColor="text1"/>
                <w:sz w:val="24"/>
              </w:rPr>
            </w:pPr>
            <w:r w:rsidRPr="00E616E6">
              <w:rPr>
                <w:rFonts w:ascii="Calibri" w:eastAsia="新細明體" w:hint="eastAsia"/>
                <w:color w:val="000000" w:themeColor="text1"/>
                <w:sz w:val="24"/>
              </w:rPr>
              <w:t>警方移送</w:t>
            </w:r>
            <w:proofErr w:type="gramStart"/>
            <w:r w:rsidRPr="00E616E6">
              <w:rPr>
                <w:rFonts w:ascii="Calibri" w:eastAsia="新細明體" w:hint="eastAsia"/>
                <w:color w:val="000000" w:themeColor="text1"/>
                <w:sz w:val="24"/>
              </w:rPr>
              <w:t>臺</w:t>
            </w:r>
            <w:proofErr w:type="gramEnd"/>
            <w:r w:rsidRPr="00E616E6">
              <w:rPr>
                <w:rFonts w:ascii="Calibri" w:eastAsia="新細明體" w:hint="eastAsia"/>
                <w:color w:val="000000" w:themeColor="text1"/>
                <w:sz w:val="24"/>
              </w:rPr>
              <w:t>南地檢署贓物庫。判決確定（</w:t>
            </w:r>
            <w:r w:rsidRPr="00E616E6">
              <w:rPr>
                <w:rFonts w:ascii="Calibri" w:eastAsia="新細明體" w:hint="eastAsia"/>
                <w:color w:val="000000" w:themeColor="text1"/>
                <w:sz w:val="24"/>
              </w:rPr>
              <w:t>89.6.29</w:t>
            </w:r>
            <w:r w:rsidRPr="00E616E6">
              <w:rPr>
                <w:rFonts w:ascii="Calibri" w:eastAsia="新細明體" w:hint="eastAsia"/>
                <w:color w:val="000000" w:themeColor="text1"/>
                <w:sz w:val="24"/>
              </w:rPr>
              <w:t>）後，該署檢察官於</w:t>
            </w:r>
            <w:r w:rsidRPr="00E616E6">
              <w:rPr>
                <w:rFonts w:ascii="Calibri" w:eastAsia="新細明體" w:hint="eastAsia"/>
                <w:color w:val="000000" w:themeColor="text1"/>
                <w:sz w:val="24"/>
              </w:rPr>
              <w:t>91.5.10</w:t>
            </w:r>
            <w:r w:rsidRPr="00E616E6">
              <w:rPr>
                <w:rFonts w:ascii="Calibri" w:eastAsia="新細明體" w:hint="eastAsia"/>
                <w:color w:val="000000" w:themeColor="text1"/>
                <w:sz w:val="24"/>
              </w:rPr>
              <w:t>以膠帶</w:t>
            </w:r>
            <w:r w:rsidRPr="00E616E6">
              <w:rPr>
                <w:rFonts w:ascii="新細明體" w:eastAsia="新細明體" w:hAnsi="新細明體" w:hint="eastAsia"/>
                <w:color w:val="000000" w:themeColor="text1"/>
                <w:sz w:val="24"/>
              </w:rPr>
              <w:t>「</w:t>
            </w:r>
            <w:r w:rsidRPr="00E616E6">
              <w:rPr>
                <w:rFonts w:ascii="Calibri" w:eastAsia="新細明體" w:hint="eastAsia"/>
                <w:color w:val="000000" w:themeColor="text1"/>
                <w:sz w:val="24"/>
              </w:rPr>
              <w:t>無甚價值</w:t>
            </w:r>
            <w:r w:rsidRPr="00E616E6">
              <w:rPr>
                <w:rFonts w:ascii="新細明體" w:eastAsia="新細明體" w:hAnsi="新細明體" w:hint="eastAsia"/>
                <w:color w:val="000000" w:themeColor="text1"/>
                <w:sz w:val="24"/>
              </w:rPr>
              <w:t>」</w:t>
            </w:r>
            <w:r w:rsidRPr="00E616E6">
              <w:rPr>
                <w:rFonts w:ascii="Calibri" w:eastAsia="新細明體" w:hint="eastAsia"/>
                <w:color w:val="000000" w:themeColor="text1"/>
                <w:sz w:val="24"/>
              </w:rPr>
              <w:t>命令廢棄，於</w:t>
            </w:r>
            <w:r w:rsidRPr="00E616E6">
              <w:rPr>
                <w:rFonts w:ascii="Calibri" w:eastAsia="新細明體" w:hint="eastAsia"/>
                <w:color w:val="000000" w:themeColor="text1"/>
                <w:sz w:val="24"/>
              </w:rPr>
              <w:t>99.12.7</w:t>
            </w:r>
            <w:r w:rsidRPr="00E616E6">
              <w:rPr>
                <w:rFonts w:ascii="Calibri" w:eastAsia="新細明體" w:hint="eastAsia"/>
                <w:color w:val="000000" w:themeColor="text1"/>
                <w:sz w:val="24"/>
              </w:rPr>
              <w:t>銷</w:t>
            </w:r>
            <w:proofErr w:type="gramStart"/>
            <w:r w:rsidRPr="00E616E6">
              <w:rPr>
                <w:rFonts w:ascii="Calibri" w:eastAsia="新細明體" w:hint="eastAsia"/>
                <w:color w:val="000000" w:themeColor="text1"/>
                <w:sz w:val="24"/>
              </w:rPr>
              <w:t>燬</w:t>
            </w:r>
            <w:proofErr w:type="gramEnd"/>
            <w:r w:rsidRPr="00E616E6">
              <w:rPr>
                <w:rFonts w:ascii="Calibri" w:eastAsia="新細明體" w:hint="eastAsia"/>
                <w:color w:val="000000" w:themeColor="text1"/>
                <w:sz w:val="24"/>
              </w:rPr>
              <w:t>。</w:t>
            </w:r>
          </w:p>
        </w:tc>
      </w:tr>
      <w:tr w:rsidR="00E616E6" w:rsidRPr="00E616E6" w14:paraId="74F13E6C" w14:textId="77777777" w:rsidTr="003C04FC">
        <w:tc>
          <w:tcPr>
            <w:tcW w:w="1276" w:type="dxa"/>
            <w:vMerge w:val="restart"/>
            <w:shd w:val="clear" w:color="auto" w:fill="FBE4D5"/>
          </w:tcPr>
          <w:p w14:paraId="7341FE6A" w14:textId="77777777" w:rsidR="003C04FC" w:rsidRPr="00E616E6" w:rsidRDefault="003C04FC" w:rsidP="003C04FC">
            <w:pPr>
              <w:overflowPunct/>
              <w:autoSpaceDE/>
              <w:autoSpaceDN/>
              <w:jc w:val="left"/>
              <w:rPr>
                <w:rFonts w:ascii="Calibri" w:eastAsia="新細明體"/>
                <w:color w:val="000000" w:themeColor="text1"/>
                <w:sz w:val="24"/>
              </w:rPr>
            </w:pPr>
            <w:r w:rsidRPr="00E616E6">
              <w:rPr>
                <w:rFonts w:ascii="Calibri" w:eastAsia="新細明體" w:hint="eastAsia"/>
                <w:color w:val="000000" w:themeColor="text1"/>
                <w:sz w:val="24"/>
              </w:rPr>
              <w:t>指紋資料</w:t>
            </w:r>
          </w:p>
        </w:tc>
        <w:tc>
          <w:tcPr>
            <w:tcW w:w="3828" w:type="dxa"/>
          </w:tcPr>
          <w:p w14:paraId="45CA2005" w14:textId="77777777" w:rsidR="003C04FC" w:rsidRPr="00E616E6" w:rsidRDefault="003C04FC" w:rsidP="003C04FC">
            <w:pPr>
              <w:overflowPunct/>
              <w:autoSpaceDE/>
              <w:autoSpaceDN/>
              <w:jc w:val="left"/>
              <w:rPr>
                <w:rFonts w:ascii="Calibri" w:eastAsia="新細明體"/>
                <w:color w:val="000000" w:themeColor="text1"/>
                <w:sz w:val="24"/>
              </w:rPr>
            </w:pPr>
            <w:r w:rsidRPr="00E616E6">
              <w:rPr>
                <w:rFonts w:ascii="Calibri" w:eastAsia="新細明體" w:hint="eastAsia"/>
                <w:color w:val="000000" w:themeColor="text1"/>
                <w:sz w:val="24"/>
              </w:rPr>
              <w:t>(1)</w:t>
            </w:r>
            <w:r w:rsidRPr="00E616E6">
              <w:rPr>
                <w:rFonts w:ascii="Calibri" w:eastAsia="新細明體" w:hint="eastAsia"/>
                <w:color w:val="000000" w:themeColor="text1"/>
                <w:sz w:val="24"/>
              </w:rPr>
              <w:t>綑綁被害人膠帶上指紋</w:t>
            </w:r>
            <w:r w:rsidRPr="00E616E6">
              <w:rPr>
                <w:rFonts w:ascii="Calibri" w:eastAsia="新細明體" w:hint="eastAsia"/>
                <w:color w:val="000000" w:themeColor="text1"/>
                <w:sz w:val="24"/>
              </w:rPr>
              <w:t>3</w:t>
            </w:r>
            <w:r w:rsidRPr="00E616E6">
              <w:rPr>
                <w:rFonts w:ascii="Calibri" w:eastAsia="新細明體" w:hint="eastAsia"/>
                <w:color w:val="000000" w:themeColor="text1"/>
                <w:sz w:val="24"/>
              </w:rPr>
              <w:t>枚</w:t>
            </w:r>
          </w:p>
        </w:tc>
        <w:tc>
          <w:tcPr>
            <w:tcW w:w="4819" w:type="dxa"/>
          </w:tcPr>
          <w:p w14:paraId="763B2EDD" w14:textId="77777777" w:rsidR="003C04FC" w:rsidRPr="00E616E6" w:rsidRDefault="003C04FC" w:rsidP="003C04FC">
            <w:pPr>
              <w:overflowPunct/>
              <w:autoSpaceDE/>
              <w:autoSpaceDN/>
              <w:jc w:val="left"/>
              <w:rPr>
                <w:rFonts w:ascii="Calibri" w:eastAsia="新細明體"/>
                <w:color w:val="000000" w:themeColor="text1"/>
                <w:sz w:val="24"/>
              </w:rPr>
            </w:pPr>
            <w:r w:rsidRPr="00E616E6">
              <w:rPr>
                <w:rFonts w:ascii="Calibri" w:eastAsia="新細明體" w:hint="eastAsia"/>
                <w:color w:val="000000" w:themeColor="text1"/>
                <w:sz w:val="24"/>
              </w:rPr>
              <w:t>刑事局</w:t>
            </w:r>
            <w:r w:rsidRPr="00E616E6">
              <w:rPr>
                <w:rFonts w:ascii="Calibri" w:eastAsia="新細明體" w:hint="eastAsia"/>
                <w:color w:val="000000" w:themeColor="text1"/>
                <w:sz w:val="24"/>
              </w:rPr>
              <w:t>87.1.2</w:t>
            </w:r>
            <w:proofErr w:type="gramStart"/>
            <w:r w:rsidRPr="00E616E6">
              <w:rPr>
                <w:rFonts w:ascii="Calibri" w:eastAsia="新細明體" w:hint="eastAsia"/>
                <w:color w:val="000000" w:themeColor="text1"/>
                <w:sz w:val="24"/>
              </w:rPr>
              <w:t>鑑</w:t>
            </w:r>
            <w:proofErr w:type="gramEnd"/>
            <w:r w:rsidRPr="00E616E6">
              <w:rPr>
                <w:rFonts w:ascii="Calibri" w:eastAsia="新細明體" w:hint="eastAsia"/>
                <w:color w:val="000000" w:themeColor="text1"/>
                <w:sz w:val="24"/>
              </w:rPr>
              <w:t>驗結果</w:t>
            </w:r>
            <w:r w:rsidRPr="00E616E6">
              <w:rPr>
                <w:rFonts w:ascii="新細明體" w:eastAsia="新細明體" w:hAnsi="新細明體" w:hint="eastAsia"/>
                <w:color w:val="000000" w:themeColor="text1"/>
                <w:sz w:val="24"/>
              </w:rPr>
              <w:t>：發現3枚指紋，</w:t>
            </w:r>
            <w:proofErr w:type="gramStart"/>
            <w:r w:rsidRPr="00E616E6">
              <w:rPr>
                <w:rFonts w:ascii="新細明體" w:eastAsia="新細明體" w:hAnsi="新細明體" w:hint="eastAsia"/>
                <w:color w:val="000000" w:themeColor="text1"/>
                <w:sz w:val="24"/>
              </w:rPr>
              <w:t>均為被害人</w:t>
            </w:r>
            <w:proofErr w:type="gramEnd"/>
            <w:r w:rsidRPr="00E616E6">
              <w:rPr>
                <w:rFonts w:ascii="新細明體" w:eastAsia="新細明體" w:hAnsi="新細明體" w:hint="eastAsia"/>
                <w:color w:val="000000" w:themeColor="text1"/>
                <w:sz w:val="24"/>
              </w:rPr>
              <w:t>指紋。</w:t>
            </w:r>
          </w:p>
        </w:tc>
        <w:tc>
          <w:tcPr>
            <w:tcW w:w="4536" w:type="dxa"/>
            <w:vMerge w:val="restart"/>
          </w:tcPr>
          <w:p w14:paraId="5781C653" w14:textId="77777777" w:rsidR="003C04FC" w:rsidRPr="00E616E6" w:rsidRDefault="003C04FC" w:rsidP="003C04FC">
            <w:pPr>
              <w:overflowPunct/>
              <w:autoSpaceDE/>
              <w:autoSpaceDN/>
              <w:jc w:val="left"/>
              <w:rPr>
                <w:rFonts w:ascii="Calibri" w:eastAsia="新細明體"/>
                <w:color w:val="000000" w:themeColor="text1"/>
                <w:sz w:val="24"/>
              </w:rPr>
            </w:pPr>
            <w:r w:rsidRPr="00E616E6">
              <w:rPr>
                <w:rFonts w:ascii="Calibri" w:eastAsia="新細明體" w:hint="eastAsia"/>
                <w:color w:val="000000" w:themeColor="text1"/>
                <w:sz w:val="24"/>
              </w:rPr>
              <w:t>刑事局仍保有指紋照片</w:t>
            </w:r>
            <w:r w:rsidRPr="00E616E6">
              <w:rPr>
                <w:rFonts w:ascii="新細明體" w:eastAsia="新細明體" w:hAnsi="新細明體" w:hint="eastAsia"/>
                <w:color w:val="000000" w:themeColor="text1"/>
                <w:sz w:val="24"/>
              </w:rPr>
              <w:t>，</w:t>
            </w:r>
            <w:r w:rsidRPr="00E616E6">
              <w:rPr>
                <w:rFonts w:ascii="Calibri" w:eastAsia="新細明體" w:hint="eastAsia"/>
                <w:color w:val="000000" w:themeColor="text1"/>
                <w:sz w:val="24"/>
              </w:rPr>
              <w:t>保存年限</w:t>
            </w:r>
            <w:r w:rsidRPr="00E616E6">
              <w:rPr>
                <w:rFonts w:ascii="Calibri" w:eastAsia="新細明體" w:hint="eastAsia"/>
                <w:color w:val="000000" w:themeColor="text1"/>
                <w:sz w:val="24"/>
              </w:rPr>
              <w:t>20-30</w:t>
            </w:r>
            <w:r w:rsidRPr="00E616E6">
              <w:rPr>
                <w:rFonts w:ascii="Calibri" w:eastAsia="新細明體" w:hint="eastAsia"/>
                <w:color w:val="000000" w:themeColor="text1"/>
                <w:sz w:val="24"/>
              </w:rPr>
              <w:t>年</w:t>
            </w:r>
          </w:p>
          <w:p w14:paraId="28A249AD" w14:textId="77777777" w:rsidR="003C04FC" w:rsidRPr="00E616E6" w:rsidRDefault="003C04FC" w:rsidP="003C04FC">
            <w:pPr>
              <w:overflowPunct/>
              <w:autoSpaceDE/>
              <w:autoSpaceDN/>
              <w:jc w:val="left"/>
              <w:rPr>
                <w:rFonts w:ascii="Calibri" w:eastAsia="新細明體"/>
                <w:color w:val="000000" w:themeColor="text1"/>
                <w:sz w:val="24"/>
              </w:rPr>
            </w:pPr>
            <w:r w:rsidRPr="00E616E6">
              <w:rPr>
                <w:rFonts w:ascii="Calibri" w:eastAsia="新細明體" w:hint="eastAsia"/>
                <w:color w:val="000000" w:themeColor="text1"/>
                <w:sz w:val="24"/>
              </w:rPr>
              <w:t>檔案法規定</w:t>
            </w:r>
            <w:r w:rsidRPr="00E616E6">
              <w:rPr>
                <w:rFonts w:ascii="新細明體" w:eastAsia="新細明體" w:hAnsi="新細明體" w:hint="eastAsia"/>
                <w:color w:val="000000" w:themeColor="text1"/>
                <w:sz w:val="24"/>
              </w:rPr>
              <w:t>：</w:t>
            </w:r>
            <w:r w:rsidRPr="00E616E6">
              <w:rPr>
                <w:rFonts w:ascii="Calibri" w:eastAsia="新細明體"/>
                <w:color w:val="000000" w:themeColor="text1"/>
                <w:sz w:val="24"/>
              </w:rPr>
              <w:t>處死刑</w:t>
            </w:r>
            <w:r w:rsidRPr="00E616E6">
              <w:rPr>
                <w:rFonts w:ascii="Calibri" w:eastAsia="新細明體" w:hint="eastAsia"/>
                <w:color w:val="000000" w:themeColor="text1"/>
                <w:sz w:val="24"/>
              </w:rPr>
              <w:t>、</w:t>
            </w:r>
            <w:r w:rsidRPr="00E616E6">
              <w:rPr>
                <w:rFonts w:ascii="Calibri" w:eastAsia="新細明體"/>
                <w:color w:val="000000" w:themeColor="text1"/>
                <w:sz w:val="24"/>
              </w:rPr>
              <w:t>無期徒刑</w:t>
            </w:r>
            <w:r w:rsidRPr="00E616E6">
              <w:rPr>
                <w:rFonts w:ascii="Calibri" w:eastAsia="新細明體" w:hint="eastAsia"/>
                <w:color w:val="000000" w:themeColor="text1"/>
                <w:sz w:val="24"/>
              </w:rPr>
              <w:t>重罪</w:t>
            </w:r>
            <w:r w:rsidRPr="00E616E6">
              <w:rPr>
                <w:rFonts w:ascii="Calibri" w:eastAsia="新細明體"/>
                <w:color w:val="000000" w:themeColor="text1"/>
                <w:sz w:val="24"/>
              </w:rPr>
              <w:t>案卷</w:t>
            </w:r>
            <w:r w:rsidRPr="00E616E6">
              <w:rPr>
                <w:rFonts w:ascii="Calibri" w:eastAsia="新細明體" w:hint="eastAsia"/>
                <w:color w:val="000000" w:themeColor="text1"/>
                <w:sz w:val="24"/>
              </w:rPr>
              <w:t>應永久保存</w:t>
            </w:r>
          </w:p>
        </w:tc>
      </w:tr>
      <w:tr w:rsidR="00E616E6" w:rsidRPr="00E616E6" w14:paraId="249D4856" w14:textId="77777777" w:rsidTr="003C04FC">
        <w:tc>
          <w:tcPr>
            <w:tcW w:w="1276" w:type="dxa"/>
            <w:vMerge/>
            <w:shd w:val="clear" w:color="auto" w:fill="FBE4D5"/>
          </w:tcPr>
          <w:p w14:paraId="65F4A77F" w14:textId="77777777" w:rsidR="003C04FC" w:rsidRPr="00E616E6" w:rsidRDefault="003C04FC" w:rsidP="003C04FC">
            <w:pPr>
              <w:overflowPunct/>
              <w:autoSpaceDE/>
              <w:autoSpaceDN/>
              <w:jc w:val="left"/>
              <w:rPr>
                <w:rFonts w:ascii="Calibri" w:eastAsia="新細明體"/>
                <w:color w:val="000000" w:themeColor="text1"/>
                <w:sz w:val="24"/>
              </w:rPr>
            </w:pPr>
          </w:p>
        </w:tc>
        <w:tc>
          <w:tcPr>
            <w:tcW w:w="3828" w:type="dxa"/>
          </w:tcPr>
          <w:p w14:paraId="75CAB37C" w14:textId="77777777" w:rsidR="003C04FC" w:rsidRPr="00E616E6" w:rsidRDefault="003C04FC" w:rsidP="003C04FC">
            <w:pPr>
              <w:overflowPunct/>
              <w:autoSpaceDE/>
              <w:autoSpaceDN/>
              <w:jc w:val="left"/>
              <w:rPr>
                <w:rFonts w:ascii="Calibri" w:eastAsia="新細明體"/>
                <w:color w:val="000000" w:themeColor="text1"/>
                <w:sz w:val="24"/>
              </w:rPr>
            </w:pPr>
            <w:r w:rsidRPr="00E616E6">
              <w:rPr>
                <w:rFonts w:ascii="Calibri" w:eastAsia="新細明體" w:hint="eastAsia"/>
                <w:color w:val="000000" w:themeColor="text1"/>
                <w:sz w:val="24"/>
              </w:rPr>
              <w:t>(</w:t>
            </w:r>
            <w:r w:rsidRPr="00E616E6">
              <w:rPr>
                <w:rFonts w:ascii="Calibri" w:eastAsia="新細明體"/>
                <w:color w:val="000000" w:themeColor="text1"/>
                <w:sz w:val="24"/>
              </w:rPr>
              <w:t>2)</w:t>
            </w:r>
            <w:r w:rsidRPr="00E616E6">
              <w:rPr>
                <w:rFonts w:ascii="Calibri" w:eastAsia="新細明體" w:hint="eastAsia"/>
                <w:color w:val="000000" w:themeColor="text1"/>
                <w:sz w:val="24"/>
              </w:rPr>
              <w:t>被害人安全帽護罩上指紋</w:t>
            </w:r>
            <w:r w:rsidRPr="00E616E6">
              <w:rPr>
                <w:rFonts w:ascii="Calibri" w:eastAsia="新細明體" w:hint="eastAsia"/>
                <w:color w:val="000000" w:themeColor="text1"/>
                <w:sz w:val="24"/>
              </w:rPr>
              <w:t>1</w:t>
            </w:r>
            <w:r w:rsidRPr="00E616E6">
              <w:rPr>
                <w:rFonts w:ascii="Calibri" w:eastAsia="新細明體" w:hint="eastAsia"/>
                <w:color w:val="000000" w:themeColor="text1"/>
                <w:sz w:val="24"/>
              </w:rPr>
              <w:t>枚</w:t>
            </w:r>
          </w:p>
        </w:tc>
        <w:tc>
          <w:tcPr>
            <w:tcW w:w="4819" w:type="dxa"/>
          </w:tcPr>
          <w:p w14:paraId="7C54A204" w14:textId="77777777" w:rsidR="003C04FC" w:rsidRPr="00E616E6" w:rsidRDefault="003C04FC" w:rsidP="003C04FC">
            <w:pPr>
              <w:overflowPunct/>
              <w:autoSpaceDE/>
              <w:autoSpaceDN/>
              <w:jc w:val="left"/>
              <w:rPr>
                <w:rFonts w:ascii="Calibri" w:eastAsia="新細明體"/>
                <w:color w:val="000000" w:themeColor="text1"/>
                <w:sz w:val="24"/>
              </w:rPr>
            </w:pPr>
            <w:r w:rsidRPr="00E616E6">
              <w:rPr>
                <w:rFonts w:ascii="Calibri" w:eastAsia="新細明體"/>
                <w:color w:val="000000" w:themeColor="text1"/>
                <w:sz w:val="24"/>
              </w:rPr>
              <w:t>刑事局</w:t>
            </w:r>
            <w:r w:rsidRPr="00E616E6">
              <w:rPr>
                <w:rFonts w:ascii="Calibri" w:eastAsia="新細明體" w:hint="eastAsia"/>
                <w:color w:val="000000" w:themeColor="text1"/>
                <w:sz w:val="24"/>
              </w:rPr>
              <w:t>87.1.2</w:t>
            </w:r>
            <w:proofErr w:type="gramStart"/>
            <w:r w:rsidRPr="00E616E6">
              <w:rPr>
                <w:rFonts w:ascii="Calibri" w:eastAsia="新細明體" w:hint="eastAsia"/>
                <w:color w:val="000000" w:themeColor="text1"/>
                <w:sz w:val="24"/>
              </w:rPr>
              <w:t>鑑</w:t>
            </w:r>
            <w:proofErr w:type="gramEnd"/>
            <w:r w:rsidRPr="00E616E6">
              <w:rPr>
                <w:rFonts w:ascii="Calibri" w:eastAsia="新細明體" w:hint="eastAsia"/>
                <w:color w:val="000000" w:themeColor="text1"/>
                <w:sz w:val="24"/>
              </w:rPr>
              <w:t>驗結果：未發現相符者</w:t>
            </w:r>
          </w:p>
          <w:p w14:paraId="55D86AF6" w14:textId="77777777" w:rsidR="003C04FC" w:rsidRPr="00E616E6" w:rsidRDefault="003C04FC" w:rsidP="003C04FC">
            <w:pPr>
              <w:overflowPunct/>
              <w:autoSpaceDE/>
              <w:autoSpaceDN/>
              <w:jc w:val="left"/>
              <w:rPr>
                <w:rFonts w:ascii="Calibri" w:eastAsia="新細明體"/>
                <w:color w:val="000000" w:themeColor="text1"/>
                <w:sz w:val="24"/>
              </w:rPr>
            </w:pPr>
            <w:r w:rsidRPr="00E616E6">
              <w:rPr>
                <w:rFonts w:ascii="Calibri" w:eastAsia="新細明體" w:hint="eastAsia"/>
                <w:color w:val="000000" w:themeColor="text1"/>
                <w:sz w:val="24"/>
              </w:rPr>
              <w:t>本案調查後重新比對</w:t>
            </w:r>
            <w:r w:rsidRPr="00E616E6">
              <w:rPr>
                <w:rFonts w:ascii="新細明體" w:eastAsia="新細明體" w:hAnsi="新細明體" w:hint="eastAsia"/>
                <w:color w:val="000000" w:themeColor="text1"/>
                <w:sz w:val="24"/>
              </w:rPr>
              <w:t>，</w:t>
            </w:r>
            <w:r w:rsidRPr="00E616E6">
              <w:rPr>
                <w:rFonts w:ascii="Calibri" w:eastAsia="新細明體" w:hint="eastAsia"/>
                <w:color w:val="000000" w:themeColor="text1"/>
                <w:sz w:val="24"/>
              </w:rPr>
              <w:t>仍未發現相符者</w:t>
            </w:r>
            <w:r w:rsidRPr="00E616E6">
              <w:rPr>
                <w:rFonts w:ascii="新細明體" w:eastAsia="新細明體" w:hAnsi="新細明體" w:hint="eastAsia"/>
                <w:color w:val="000000" w:themeColor="text1"/>
                <w:sz w:val="24"/>
              </w:rPr>
              <w:t>。</w:t>
            </w:r>
          </w:p>
        </w:tc>
        <w:tc>
          <w:tcPr>
            <w:tcW w:w="4536" w:type="dxa"/>
            <w:vMerge/>
          </w:tcPr>
          <w:p w14:paraId="6A8C54C7" w14:textId="77777777" w:rsidR="003C04FC" w:rsidRPr="00E616E6" w:rsidRDefault="003C04FC" w:rsidP="003C04FC">
            <w:pPr>
              <w:overflowPunct/>
              <w:autoSpaceDE/>
              <w:autoSpaceDN/>
              <w:jc w:val="left"/>
              <w:rPr>
                <w:rFonts w:ascii="Calibri" w:eastAsia="新細明體"/>
                <w:color w:val="000000" w:themeColor="text1"/>
                <w:sz w:val="24"/>
              </w:rPr>
            </w:pPr>
          </w:p>
        </w:tc>
      </w:tr>
      <w:tr w:rsidR="00E616E6" w:rsidRPr="00E616E6" w14:paraId="645CE742" w14:textId="77777777" w:rsidTr="003C04FC">
        <w:tc>
          <w:tcPr>
            <w:tcW w:w="1276" w:type="dxa"/>
            <w:vMerge/>
            <w:shd w:val="clear" w:color="auto" w:fill="FBE4D5"/>
          </w:tcPr>
          <w:p w14:paraId="40ECD040" w14:textId="77777777" w:rsidR="003C04FC" w:rsidRPr="00E616E6" w:rsidRDefault="003C04FC" w:rsidP="003C04FC">
            <w:pPr>
              <w:overflowPunct/>
              <w:autoSpaceDE/>
              <w:autoSpaceDN/>
              <w:jc w:val="left"/>
              <w:rPr>
                <w:rFonts w:ascii="Calibri" w:eastAsia="新細明體"/>
                <w:color w:val="000000" w:themeColor="text1"/>
                <w:sz w:val="24"/>
              </w:rPr>
            </w:pPr>
          </w:p>
        </w:tc>
        <w:tc>
          <w:tcPr>
            <w:tcW w:w="3828" w:type="dxa"/>
          </w:tcPr>
          <w:p w14:paraId="57FE0C41" w14:textId="77777777" w:rsidR="003C04FC" w:rsidRPr="00E616E6" w:rsidRDefault="003C04FC" w:rsidP="003C04FC">
            <w:pPr>
              <w:overflowPunct/>
              <w:autoSpaceDE/>
              <w:autoSpaceDN/>
              <w:jc w:val="left"/>
              <w:rPr>
                <w:rFonts w:ascii="Calibri" w:eastAsia="新細明體"/>
                <w:color w:val="000000" w:themeColor="text1"/>
                <w:sz w:val="24"/>
              </w:rPr>
            </w:pPr>
            <w:r w:rsidRPr="00E616E6">
              <w:rPr>
                <w:rFonts w:ascii="Calibri" w:eastAsia="新細明體" w:hint="eastAsia"/>
                <w:color w:val="000000" w:themeColor="text1"/>
                <w:sz w:val="24"/>
              </w:rPr>
              <w:t>(</w:t>
            </w:r>
            <w:r w:rsidRPr="00E616E6">
              <w:rPr>
                <w:rFonts w:ascii="Calibri" w:eastAsia="新細明體"/>
                <w:color w:val="000000" w:themeColor="text1"/>
                <w:sz w:val="24"/>
              </w:rPr>
              <w:t>3)</w:t>
            </w:r>
            <w:r w:rsidRPr="00E616E6">
              <w:rPr>
                <w:rFonts w:ascii="Calibri" w:eastAsia="新細明體" w:hint="eastAsia"/>
                <w:color w:val="000000" w:themeColor="text1"/>
                <w:sz w:val="24"/>
              </w:rPr>
              <w:t>兇手撥打公用電話上指紋</w:t>
            </w:r>
            <w:r w:rsidRPr="00E616E6">
              <w:rPr>
                <w:rFonts w:ascii="Calibri" w:eastAsia="新細明體" w:hint="eastAsia"/>
                <w:color w:val="000000" w:themeColor="text1"/>
                <w:sz w:val="24"/>
              </w:rPr>
              <w:t>1</w:t>
            </w:r>
            <w:r w:rsidRPr="00E616E6">
              <w:rPr>
                <w:rFonts w:ascii="Calibri" w:eastAsia="新細明體" w:hint="eastAsia"/>
                <w:color w:val="000000" w:themeColor="text1"/>
                <w:sz w:val="24"/>
              </w:rPr>
              <w:t>枚</w:t>
            </w:r>
          </w:p>
        </w:tc>
        <w:tc>
          <w:tcPr>
            <w:tcW w:w="4819" w:type="dxa"/>
          </w:tcPr>
          <w:p w14:paraId="4828EDC2" w14:textId="77777777" w:rsidR="003C04FC" w:rsidRPr="00E616E6" w:rsidRDefault="003C04FC" w:rsidP="003C04FC">
            <w:pPr>
              <w:overflowPunct/>
              <w:autoSpaceDE/>
              <w:autoSpaceDN/>
              <w:jc w:val="left"/>
              <w:rPr>
                <w:rFonts w:ascii="Calibri" w:eastAsia="新細明體"/>
                <w:color w:val="000000" w:themeColor="text1"/>
                <w:sz w:val="24"/>
              </w:rPr>
            </w:pPr>
            <w:r w:rsidRPr="00E616E6">
              <w:rPr>
                <w:rFonts w:ascii="Calibri" w:eastAsia="新細明體" w:hint="eastAsia"/>
                <w:color w:val="000000" w:themeColor="text1"/>
                <w:sz w:val="24"/>
              </w:rPr>
              <w:t>同上</w:t>
            </w:r>
          </w:p>
        </w:tc>
        <w:tc>
          <w:tcPr>
            <w:tcW w:w="4536" w:type="dxa"/>
            <w:vMerge/>
          </w:tcPr>
          <w:p w14:paraId="653604A4" w14:textId="77777777" w:rsidR="003C04FC" w:rsidRPr="00E616E6" w:rsidRDefault="003C04FC" w:rsidP="003C04FC">
            <w:pPr>
              <w:overflowPunct/>
              <w:autoSpaceDE/>
              <w:autoSpaceDN/>
              <w:jc w:val="left"/>
              <w:rPr>
                <w:rFonts w:ascii="Calibri" w:eastAsia="新細明體"/>
                <w:color w:val="000000" w:themeColor="text1"/>
                <w:sz w:val="24"/>
              </w:rPr>
            </w:pPr>
          </w:p>
        </w:tc>
      </w:tr>
      <w:tr w:rsidR="00E616E6" w:rsidRPr="00E616E6" w14:paraId="6DC59BC3" w14:textId="77777777" w:rsidTr="003C04FC">
        <w:tc>
          <w:tcPr>
            <w:tcW w:w="1276" w:type="dxa"/>
            <w:shd w:val="clear" w:color="auto" w:fill="FBE4D5"/>
          </w:tcPr>
          <w:p w14:paraId="5B20CD74" w14:textId="77777777" w:rsidR="003C04FC" w:rsidRPr="00E616E6" w:rsidRDefault="003C04FC" w:rsidP="003C04FC">
            <w:pPr>
              <w:overflowPunct/>
              <w:autoSpaceDE/>
              <w:autoSpaceDN/>
              <w:jc w:val="left"/>
              <w:rPr>
                <w:rFonts w:ascii="Calibri" w:eastAsia="新細明體"/>
                <w:color w:val="000000" w:themeColor="text1"/>
                <w:sz w:val="24"/>
              </w:rPr>
            </w:pPr>
            <w:r w:rsidRPr="00E616E6">
              <w:rPr>
                <w:rFonts w:ascii="Calibri" w:eastAsia="新細明體" w:hint="eastAsia"/>
                <w:color w:val="000000" w:themeColor="text1"/>
                <w:sz w:val="24"/>
              </w:rPr>
              <w:t>測謊資料</w:t>
            </w:r>
          </w:p>
        </w:tc>
        <w:tc>
          <w:tcPr>
            <w:tcW w:w="3828" w:type="dxa"/>
          </w:tcPr>
          <w:p w14:paraId="1476CC5C" w14:textId="77777777" w:rsidR="003C04FC" w:rsidRPr="00E616E6" w:rsidRDefault="003C04FC" w:rsidP="003C04FC">
            <w:pPr>
              <w:overflowPunct/>
              <w:autoSpaceDE/>
              <w:autoSpaceDN/>
              <w:jc w:val="left"/>
              <w:rPr>
                <w:rFonts w:ascii="Calibri" w:eastAsia="新細明體"/>
                <w:color w:val="000000" w:themeColor="text1"/>
                <w:sz w:val="24"/>
              </w:rPr>
            </w:pPr>
            <w:r w:rsidRPr="00E616E6">
              <w:rPr>
                <w:rFonts w:ascii="Calibri" w:eastAsia="新細明體" w:hint="eastAsia"/>
                <w:color w:val="000000" w:themeColor="text1"/>
                <w:sz w:val="24"/>
              </w:rPr>
              <w:t>省刑大</w:t>
            </w:r>
            <w:r w:rsidRPr="00E616E6">
              <w:rPr>
                <w:rFonts w:ascii="Calibri" w:eastAsia="新細明體" w:hint="eastAsia"/>
                <w:color w:val="000000" w:themeColor="text1"/>
                <w:sz w:val="24"/>
              </w:rPr>
              <w:t>87.3.19</w:t>
            </w:r>
            <w:r w:rsidRPr="00E616E6">
              <w:rPr>
                <w:rFonts w:ascii="Calibri" w:eastAsia="新細明體" w:hint="eastAsia"/>
                <w:color w:val="000000" w:themeColor="text1"/>
                <w:sz w:val="24"/>
              </w:rPr>
              <w:t>對盧正測謊</w:t>
            </w:r>
          </w:p>
        </w:tc>
        <w:tc>
          <w:tcPr>
            <w:tcW w:w="4819" w:type="dxa"/>
          </w:tcPr>
          <w:p w14:paraId="2C8AAA82" w14:textId="77777777" w:rsidR="003C04FC" w:rsidRPr="00E616E6" w:rsidRDefault="003C04FC" w:rsidP="003C04FC">
            <w:pPr>
              <w:overflowPunct/>
              <w:autoSpaceDE/>
              <w:autoSpaceDN/>
              <w:jc w:val="left"/>
              <w:rPr>
                <w:rFonts w:ascii="Calibri" w:eastAsia="新細明體"/>
                <w:color w:val="000000" w:themeColor="text1"/>
                <w:sz w:val="24"/>
              </w:rPr>
            </w:pPr>
            <w:proofErr w:type="gramStart"/>
            <w:r w:rsidRPr="00E616E6">
              <w:rPr>
                <w:rFonts w:ascii="Calibri" w:eastAsia="新細明體" w:hint="eastAsia"/>
                <w:color w:val="000000" w:themeColor="text1"/>
                <w:sz w:val="24"/>
              </w:rPr>
              <w:t>鑑</w:t>
            </w:r>
            <w:proofErr w:type="gramEnd"/>
            <w:r w:rsidRPr="00E616E6">
              <w:rPr>
                <w:rFonts w:ascii="Calibri" w:eastAsia="新細明體" w:hint="eastAsia"/>
                <w:color w:val="000000" w:themeColor="text1"/>
                <w:sz w:val="24"/>
              </w:rPr>
              <w:t>驗結果</w:t>
            </w:r>
            <w:r w:rsidRPr="00E616E6">
              <w:rPr>
                <w:rFonts w:ascii="新細明體" w:eastAsia="新細明體" w:hAnsi="新細明體" w:hint="eastAsia"/>
                <w:color w:val="000000" w:themeColor="text1"/>
                <w:sz w:val="24"/>
              </w:rPr>
              <w:t>：</w:t>
            </w:r>
            <w:r w:rsidRPr="00E616E6">
              <w:rPr>
                <w:rFonts w:ascii="Calibri" w:eastAsia="新細明體" w:hint="eastAsia"/>
                <w:color w:val="000000" w:themeColor="text1"/>
                <w:sz w:val="24"/>
              </w:rPr>
              <w:t>盧正對</w:t>
            </w:r>
            <w:r w:rsidRPr="00E616E6">
              <w:rPr>
                <w:rFonts w:ascii="Calibri" w:eastAsia="新細明體" w:hint="eastAsia"/>
                <w:color w:val="000000" w:themeColor="text1"/>
                <w:sz w:val="24"/>
              </w:rPr>
              <w:t>3</w:t>
            </w:r>
            <w:r w:rsidRPr="00E616E6">
              <w:rPr>
                <w:rFonts w:ascii="Calibri" w:eastAsia="新細明體" w:hint="eastAsia"/>
                <w:color w:val="000000" w:themeColor="text1"/>
                <w:sz w:val="24"/>
              </w:rPr>
              <w:t>個重要問題說謊</w:t>
            </w:r>
          </w:p>
        </w:tc>
        <w:tc>
          <w:tcPr>
            <w:tcW w:w="4536" w:type="dxa"/>
          </w:tcPr>
          <w:p w14:paraId="5EBC02D5" w14:textId="77777777" w:rsidR="003C04FC" w:rsidRPr="00E616E6" w:rsidRDefault="003C04FC" w:rsidP="003C04FC">
            <w:pPr>
              <w:overflowPunct/>
              <w:autoSpaceDE/>
              <w:autoSpaceDN/>
              <w:jc w:val="left"/>
              <w:rPr>
                <w:rFonts w:ascii="Calibri" w:eastAsia="新細明體"/>
                <w:color w:val="000000" w:themeColor="text1"/>
                <w:sz w:val="24"/>
              </w:rPr>
            </w:pPr>
            <w:r w:rsidRPr="00E616E6">
              <w:rPr>
                <w:rFonts w:ascii="Calibri" w:eastAsia="新細明體" w:hint="eastAsia"/>
                <w:color w:val="000000" w:themeColor="text1"/>
                <w:sz w:val="24"/>
              </w:rPr>
              <w:t>偵查</w:t>
            </w:r>
            <w:proofErr w:type="gramStart"/>
            <w:r w:rsidRPr="00E616E6">
              <w:rPr>
                <w:rFonts w:ascii="Calibri" w:eastAsia="新細明體" w:hint="eastAsia"/>
                <w:color w:val="000000" w:themeColor="text1"/>
                <w:sz w:val="24"/>
              </w:rPr>
              <w:t>卷僅一紙鑑</w:t>
            </w:r>
            <w:proofErr w:type="gramEnd"/>
            <w:r w:rsidRPr="00E616E6">
              <w:rPr>
                <w:rFonts w:ascii="Calibri" w:eastAsia="新細明體" w:hint="eastAsia"/>
                <w:color w:val="000000" w:themeColor="text1"/>
                <w:sz w:val="24"/>
              </w:rPr>
              <w:t>驗通知書</w:t>
            </w:r>
            <w:r w:rsidRPr="00E616E6">
              <w:rPr>
                <w:rFonts w:ascii="新細明體" w:eastAsia="新細明體" w:hAnsi="新細明體" w:hint="eastAsia"/>
                <w:color w:val="000000" w:themeColor="text1"/>
                <w:sz w:val="24"/>
              </w:rPr>
              <w:t>。</w:t>
            </w:r>
            <w:r w:rsidRPr="00E616E6">
              <w:rPr>
                <w:rFonts w:ascii="Calibri" w:eastAsia="新細明體" w:hint="eastAsia"/>
                <w:color w:val="000000" w:themeColor="text1"/>
                <w:sz w:val="24"/>
              </w:rPr>
              <w:t>刑事局尚留存測謊錄音</w:t>
            </w:r>
            <w:r w:rsidRPr="00E616E6">
              <w:rPr>
                <w:rFonts w:ascii="新細明體" w:eastAsia="新細明體" w:hAnsi="新細明體" w:hint="eastAsia"/>
                <w:color w:val="000000" w:themeColor="text1"/>
                <w:sz w:val="24"/>
              </w:rPr>
              <w:t>。</w:t>
            </w:r>
          </w:p>
        </w:tc>
      </w:tr>
    </w:tbl>
    <w:p w14:paraId="50F587BE" w14:textId="77777777" w:rsidR="003C04FC" w:rsidRPr="00E616E6" w:rsidRDefault="003C04FC" w:rsidP="003C04FC">
      <w:pPr>
        <w:overflowPunct/>
        <w:autoSpaceDE/>
        <w:autoSpaceDN/>
        <w:jc w:val="left"/>
        <w:rPr>
          <w:rFonts w:ascii="Calibri" w:eastAsia="新細明體" w:hAnsi="Calibri"/>
          <w:color w:val="000000" w:themeColor="text1"/>
          <w:sz w:val="24"/>
          <w:szCs w:val="22"/>
        </w:rPr>
      </w:pPr>
      <w:r w:rsidRPr="00E616E6">
        <w:rPr>
          <w:rFonts w:ascii="Calibri" w:eastAsia="新細明體" w:hAnsi="Calibri" w:hint="eastAsia"/>
          <w:color w:val="000000" w:themeColor="text1"/>
          <w:sz w:val="24"/>
          <w:szCs w:val="22"/>
        </w:rPr>
        <w:t>資料來源</w:t>
      </w:r>
      <w:r w:rsidRPr="00E616E6">
        <w:rPr>
          <w:rFonts w:ascii="新細明體" w:eastAsia="新細明體" w:hAnsi="新細明體" w:hint="eastAsia"/>
          <w:color w:val="000000" w:themeColor="text1"/>
          <w:sz w:val="24"/>
          <w:szCs w:val="22"/>
        </w:rPr>
        <w:t>：</w:t>
      </w:r>
      <w:r w:rsidRPr="00E616E6">
        <w:rPr>
          <w:rFonts w:ascii="Calibri" w:eastAsia="新細明體" w:hAnsi="Calibri" w:hint="eastAsia"/>
          <w:color w:val="000000" w:themeColor="text1"/>
          <w:sz w:val="24"/>
          <w:szCs w:val="22"/>
        </w:rPr>
        <w:t>本院整理</w:t>
      </w:r>
      <w:r w:rsidRPr="00E616E6">
        <w:rPr>
          <w:rFonts w:ascii="新細明體" w:eastAsia="新細明體" w:hAnsi="新細明體" w:hint="eastAsia"/>
          <w:color w:val="000000" w:themeColor="text1"/>
          <w:sz w:val="24"/>
          <w:szCs w:val="22"/>
        </w:rPr>
        <w:t>。</w:t>
      </w:r>
    </w:p>
    <w:p w14:paraId="782D42CF" w14:textId="30FC7D7D" w:rsidR="006601D5" w:rsidRPr="00E616E6" w:rsidRDefault="006601D5" w:rsidP="00EF2664">
      <w:pPr>
        <w:widowControl/>
        <w:overflowPunct/>
        <w:autoSpaceDE/>
        <w:autoSpaceDN/>
        <w:adjustRightInd w:val="0"/>
        <w:snapToGrid w:val="0"/>
        <w:jc w:val="left"/>
        <w:rPr>
          <w:rFonts w:asciiTheme="minorEastAsia" w:eastAsiaTheme="minorEastAsia" w:hAnsiTheme="minorEastAsia"/>
          <w:bCs/>
          <w:color w:val="000000" w:themeColor="text1"/>
          <w:kern w:val="0"/>
          <w:sz w:val="24"/>
          <w:szCs w:val="24"/>
        </w:rPr>
      </w:pPr>
    </w:p>
    <w:sectPr w:rsidR="006601D5" w:rsidRPr="00E616E6" w:rsidSect="00B517C1">
      <w:pgSz w:w="16838" w:h="11906" w:orient="landscape"/>
      <w:pgMar w:top="1440" w:right="1080" w:bottom="1440" w:left="1080" w:header="851" w:footer="992" w:gutter="0"/>
      <w:cols w:space="425"/>
      <w:docGrid w:type="lines" w:linePitch="360"/>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9BECA" w14:textId="77777777" w:rsidR="005317F2" w:rsidRDefault="005317F2">
      <w:r>
        <w:separator/>
      </w:r>
    </w:p>
  </w:endnote>
  <w:endnote w:type="continuationSeparator" w:id="0">
    <w:p w14:paraId="14600F8A" w14:textId="77777777" w:rsidR="005317F2" w:rsidRDefault="00531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B772A" w14:textId="1F197F89" w:rsidR="00CC22A5" w:rsidRDefault="00CC22A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172C9">
      <w:rPr>
        <w:rStyle w:val="ac"/>
        <w:noProof/>
        <w:sz w:val="24"/>
      </w:rPr>
      <w:t>18</w:t>
    </w:r>
    <w:r>
      <w:rPr>
        <w:rStyle w:val="ac"/>
        <w:sz w:val="24"/>
      </w:rPr>
      <w:fldChar w:fldCharType="end"/>
    </w:r>
  </w:p>
  <w:p w14:paraId="0FC74653" w14:textId="77777777" w:rsidR="00CC22A5" w:rsidRDefault="00CC22A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40361" w14:textId="77777777" w:rsidR="005317F2" w:rsidRDefault="005317F2">
      <w:r>
        <w:separator/>
      </w:r>
    </w:p>
  </w:footnote>
  <w:footnote w:type="continuationSeparator" w:id="0">
    <w:p w14:paraId="19AA8CA4" w14:textId="77777777" w:rsidR="005317F2" w:rsidRDefault="005317F2">
      <w:r>
        <w:continuationSeparator/>
      </w:r>
    </w:p>
  </w:footnote>
  <w:footnote w:id="1">
    <w:p w14:paraId="2E61096B" w14:textId="77777777" w:rsidR="00CC22A5" w:rsidRDefault="00CC22A5">
      <w:pPr>
        <w:pStyle w:val="afc"/>
      </w:pPr>
      <w:r>
        <w:rPr>
          <w:rStyle w:val="afe"/>
        </w:rPr>
        <w:footnoteRef/>
      </w:r>
      <w:r>
        <w:t xml:space="preserve"> </w:t>
      </w:r>
      <w:r>
        <w:rPr>
          <w:rFonts w:hint="eastAsia"/>
        </w:rPr>
        <w:t>參見</w:t>
      </w:r>
      <w:proofErr w:type="gramStart"/>
      <w:r>
        <w:rPr>
          <w:rFonts w:hint="eastAsia"/>
        </w:rPr>
        <w:t>臺</w:t>
      </w:r>
      <w:proofErr w:type="gramEnd"/>
      <w:r>
        <w:rPr>
          <w:rFonts w:hint="eastAsia"/>
        </w:rPr>
        <w:t>南地檢</w:t>
      </w:r>
      <w:r w:rsidRPr="00352EB7">
        <w:rPr>
          <w:rFonts w:hint="eastAsia"/>
        </w:rPr>
        <w:t>署88年度保管字第1362號扣押物品清單</w:t>
      </w:r>
      <w:r>
        <w:rPr>
          <w:rFonts w:hAnsi="標楷體" w:hint="eastAsia"/>
        </w:rPr>
        <w:t>。</w:t>
      </w:r>
    </w:p>
  </w:footnote>
  <w:footnote w:id="2">
    <w:p w14:paraId="5BB323AA" w14:textId="0D03C198" w:rsidR="00CC22A5" w:rsidRDefault="00CC22A5" w:rsidP="0083083B">
      <w:pPr>
        <w:pStyle w:val="afc"/>
      </w:pPr>
      <w:r>
        <w:rPr>
          <w:rStyle w:val="afe"/>
        </w:rPr>
        <w:footnoteRef/>
      </w:r>
      <w:r>
        <w:t xml:space="preserve"> </w:t>
      </w:r>
      <w:proofErr w:type="gramStart"/>
      <w:r>
        <w:rPr>
          <w:rFonts w:hint="eastAsia"/>
        </w:rPr>
        <w:t>臺</w:t>
      </w:r>
      <w:proofErr w:type="gramEnd"/>
      <w:r>
        <w:rPr>
          <w:rFonts w:hint="eastAsia"/>
        </w:rPr>
        <w:t>南地檢署</w:t>
      </w:r>
      <w:r w:rsidRPr="0083083B">
        <w:rPr>
          <w:rFonts w:hint="eastAsia"/>
        </w:rPr>
        <w:t>91年度執他字第1130號</w:t>
      </w:r>
      <w:r w:rsidR="003C04FC">
        <w:rPr>
          <w:rFonts w:hint="eastAsia"/>
        </w:rPr>
        <w:t>。</w:t>
      </w:r>
    </w:p>
  </w:footnote>
  <w:footnote w:id="3">
    <w:p w14:paraId="026C09C7" w14:textId="77777777" w:rsidR="00CC22A5" w:rsidRDefault="00CC22A5">
      <w:pPr>
        <w:pStyle w:val="afc"/>
      </w:pPr>
      <w:r>
        <w:rPr>
          <w:rStyle w:val="afe"/>
        </w:rPr>
        <w:footnoteRef/>
      </w:r>
      <w:r>
        <w:t xml:space="preserve"> </w:t>
      </w:r>
      <w:r>
        <w:rPr>
          <w:rFonts w:hint="eastAsia"/>
        </w:rPr>
        <w:t>法務部108年7月16日法檢字第108000</w:t>
      </w:r>
      <w:r>
        <w:t>86850</w:t>
      </w:r>
      <w:r>
        <w:rPr>
          <w:rFonts w:hint="eastAsia"/>
        </w:rPr>
        <w:t>號函</w:t>
      </w:r>
      <w:r>
        <w:rPr>
          <w:rFonts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792BD2"/>
    <w:multiLevelType w:val="hybridMultilevel"/>
    <w:tmpl w:val="488A64BE"/>
    <w:lvl w:ilvl="0" w:tplc="A3B6E5AA">
      <w:start w:val="1"/>
      <w:numFmt w:val="decimal"/>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532"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6A03D0F"/>
    <w:multiLevelType w:val="hybridMultilevel"/>
    <w:tmpl w:val="BBCAC596"/>
    <w:lvl w:ilvl="0" w:tplc="68B0ABFE">
      <w:start w:val="1"/>
      <w:numFmt w:val="decimal"/>
      <w:lvlText w:val="%1."/>
      <w:lvlJc w:val="left"/>
      <w:pPr>
        <w:ind w:left="360" w:hanging="360"/>
      </w:pPr>
      <w:rPr>
        <w:rFonts w:asciiTheme="minorEastAsia" w:hAnsi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8"/>
  </w:num>
  <w:num w:numId="23">
    <w:abstractNumId w:val="5"/>
  </w:num>
  <w:num w:numId="24">
    <w:abstractNumId w:val="9"/>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0"/>
  </w:num>
  <w:num w:numId="29">
    <w:abstractNumId w:val="10"/>
  </w:num>
  <w:num w:numId="30">
    <w:abstractNumId w:val="6"/>
  </w:num>
  <w:num w:numId="31">
    <w:abstractNumId w:val="6"/>
  </w:num>
  <w:num w:numId="32">
    <w:abstractNumId w:val="2"/>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7"/>
  </w:num>
  <w:num w:numId="4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58D"/>
    <w:rsid w:val="00006961"/>
    <w:rsid w:val="000112BF"/>
    <w:rsid w:val="00012233"/>
    <w:rsid w:val="0001320E"/>
    <w:rsid w:val="00015D58"/>
    <w:rsid w:val="00017318"/>
    <w:rsid w:val="00021B25"/>
    <w:rsid w:val="000229AD"/>
    <w:rsid w:val="000229DA"/>
    <w:rsid w:val="00022D60"/>
    <w:rsid w:val="000246F7"/>
    <w:rsid w:val="0003114D"/>
    <w:rsid w:val="00036D76"/>
    <w:rsid w:val="00044043"/>
    <w:rsid w:val="00050AE9"/>
    <w:rsid w:val="00051FD3"/>
    <w:rsid w:val="00054626"/>
    <w:rsid w:val="000556D8"/>
    <w:rsid w:val="00057F32"/>
    <w:rsid w:val="000601A6"/>
    <w:rsid w:val="00062412"/>
    <w:rsid w:val="00062A25"/>
    <w:rsid w:val="00071751"/>
    <w:rsid w:val="000724E4"/>
    <w:rsid w:val="00073CB5"/>
    <w:rsid w:val="0007425C"/>
    <w:rsid w:val="00077553"/>
    <w:rsid w:val="000851A2"/>
    <w:rsid w:val="0008627D"/>
    <w:rsid w:val="000915AE"/>
    <w:rsid w:val="00092056"/>
    <w:rsid w:val="00093003"/>
    <w:rsid w:val="0009352E"/>
    <w:rsid w:val="0009382A"/>
    <w:rsid w:val="00095B4F"/>
    <w:rsid w:val="00096B96"/>
    <w:rsid w:val="000A0B3C"/>
    <w:rsid w:val="000A2F3F"/>
    <w:rsid w:val="000A3869"/>
    <w:rsid w:val="000B0B4A"/>
    <w:rsid w:val="000B279A"/>
    <w:rsid w:val="000B61D2"/>
    <w:rsid w:val="000B70A7"/>
    <w:rsid w:val="000B73DD"/>
    <w:rsid w:val="000C495F"/>
    <w:rsid w:val="000D2F63"/>
    <w:rsid w:val="000D3870"/>
    <w:rsid w:val="000D59B6"/>
    <w:rsid w:val="000D66D9"/>
    <w:rsid w:val="000E0636"/>
    <w:rsid w:val="000E6431"/>
    <w:rsid w:val="000F21A5"/>
    <w:rsid w:val="000F2BDC"/>
    <w:rsid w:val="000F361D"/>
    <w:rsid w:val="000F47AF"/>
    <w:rsid w:val="00102B9F"/>
    <w:rsid w:val="00104935"/>
    <w:rsid w:val="00112637"/>
    <w:rsid w:val="00112ABC"/>
    <w:rsid w:val="00115FB2"/>
    <w:rsid w:val="0012001E"/>
    <w:rsid w:val="00126A55"/>
    <w:rsid w:val="001319A9"/>
    <w:rsid w:val="00133F08"/>
    <w:rsid w:val="001345E6"/>
    <w:rsid w:val="001378B0"/>
    <w:rsid w:val="0014172C"/>
    <w:rsid w:val="00142E00"/>
    <w:rsid w:val="00143F71"/>
    <w:rsid w:val="001447F7"/>
    <w:rsid w:val="00152793"/>
    <w:rsid w:val="00152F2D"/>
    <w:rsid w:val="00153B7E"/>
    <w:rsid w:val="001545A9"/>
    <w:rsid w:val="00156854"/>
    <w:rsid w:val="00160CD9"/>
    <w:rsid w:val="001615CD"/>
    <w:rsid w:val="001637C7"/>
    <w:rsid w:val="00163887"/>
    <w:rsid w:val="0016480E"/>
    <w:rsid w:val="00164F01"/>
    <w:rsid w:val="00172E0D"/>
    <w:rsid w:val="00174297"/>
    <w:rsid w:val="00180E06"/>
    <w:rsid w:val="001817B3"/>
    <w:rsid w:val="00181892"/>
    <w:rsid w:val="00182A0D"/>
    <w:rsid w:val="00183014"/>
    <w:rsid w:val="00193204"/>
    <w:rsid w:val="001959C2"/>
    <w:rsid w:val="00196B26"/>
    <w:rsid w:val="00197F58"/>
    <w:rsid w:val="001A346B"/>
    <w:rsid w:val="001A4A0E"/>
    <w:rsid w:val="001A4F54"/>
    <w:rsid w:val="001A51E3"/>
    <w:rsid w:val="001A774F"/>
    <w:rsid w:val="001A7968"/>
    <w:rsid w:val="001B0A35"/>
    <w:rsid w:val="001B0B01"/>
    <w:rsid w:val="001B2E98"/>
    <w:rsid w:val="001B3483"/>
    <w:rsid w:val="001B3C1E"/>
    <w:rsid w:val="001B4494"/>
    <w:rsid w:val="001C0D8B"/>
    <w:rsid w:val="001C0DA8"/>
    <w:rsid w:val="001C3C30"/>
    <w:rsid w:val="001C53B2"/>
    <w:rsid w:val="001D4481"/>
    <w:rsid w:val="001D4AD7"/>
    <w:rsid w:val="001D5432"/>
    <w:rsid w:val="001E0D8A"/>
    <w:rsid w:val="001E1094"/>
    <w:rsid w:val="001E67BA"/>
    <w:rsid w:val="001E74C2"/>
    <w:rsid w:val="001F4F82"/>
    <w:rsid w:val="001F597C"/>
    <w:rsid w:val="001F5A48"/>
    <w:rsid w:val="001F6260"/>
    <w:rsid w:val="00200007"/>
    <w:rsid w:val="002030A5"/>
    <w:rsid w:val="00203131"/>
    <w:rsid w:val="00204F85"/>
    <w:rsid w:val="00206E78"/>
    <w:rsid w:val="00212E88"/>
    <w:rsid w:val="00213C9C"/>
    <w:rsid w:val="00216750"/>
    <w:rsid w:val="0022009E"/>
    <w:rsid w:val="00220C71"/>
    <w:rsid w:val="00223241"/>
    <w:rsid w:val="00223A97"/>
    <w:rsid w:val="0022425C"/>
    <w:rsid w:val="002246DE"/>
    <w:rsid w:val="002429E2"/>
    <w:rsid w:val="002446A4"/>
    <w:rsid w:val="00252117"/>
    <w:rsid w:val="00252BC4"/>
    <w:rsid w:val="00254014"/>
    <w:rsid w:val="00254B39"/>
    <w:rsid w:val="002567AE"/>
    <w:rsid w:val="0026504D"/>
    <w:rsid w:val="0026657F"/>
    <w:rsid w:val="00266F20"/>
    <w:rsid w:val="002714BF"/>
    <w:rsid w:val="00273A2F"/>
    <w:rsid w:val="00280986"/>
    <w:rsid w:val="00280CD5"/>
    <w:rsid w:val="00280EB9"/>
    <w:rsid w:val="00281ECE"/>
    <w:rsid w:val="002831C7"/>
    <w:rsid w:val="002840C6"/>
    <w:rsid w:val="00291632"/>
    <w:rsid w:val="00295174"/>
    <w:rsid w:val="00296172"/>
    <w:rsid w:val="00296B92"/>
    <w:rsid w:val="002A0103"/>
    <w:rsid w:val="002A1E11"/>
    <w:rsid w:val="002A2C22"/>
    <w:rsid w:val="002B02EB"/>
    <w:rsid w:val="002B329B"/>
    <w:rsid w:val="002C0602"/>
    <w:rsid w:val="002C4075"/>
    <w:rsid w:val="002C7EEC"/>
    <w:rsid w:val="002D43F1"/>
    <w:rsid w:val="002D5C16"/>
    <w:rsid w:val="002E4713"/>
    <w:rsid w:val="002F2476"/>
    <w:rsid w:val="002F2B25"/>
    <w:rsid w:val="002F3DFF"/>
    <w:rsid w:val="002F59FA"/>
    <w:rsid w:val="002F5E05"/>
    <w:rsid w:val="003007D2"/>
    <w:rsid w:val="00303268"/>
    <w:rsid w:val="00304136"/>
    <w:rsid w:val="003053A5"/>
    <w:rsid w:val="00307A76"/>
    <w:rsid w:val="0031455E"/>
    <w:rsid w:val="00315A16"/>
    <w:rsid w:val="00317053"/>
    <w:rsid w:val="00320697"/>
    <w:rsid w:val="0032109C"/>
    <w:rsid w:val="00321B5D"/>
    <w:rsid w:val="00322B45"/>
    <w:rsid w:val="00323809"/>
    <w:rsid w:val="00323D41"/>
    <w:rsid w:val="00325414"/>
    <w:rsid w:val="003302F1"/>
    <w:rsid w:val="00333319"/>
    <w:rsid w:val="0033522F"/>
    <w:rsid w:val="00336560"/>
    <w:rsid w:val="0034470E"/>
    <w:rsid w:val="00352DB0"/>
    <w:rsid w:val="00352EB7"/>
    <w:rsid w:val="003551B2"/>
    <w:rsid w:val="00361063"/>
    <w:rsid w:val="00366E8D"/>
    <w:rsid w:val="0037094A"/>
    <w:rsid w:val="00371466"/>
    <w:rsid w:val="00371ED3"/>
    <w:rsid w:val="00372659"/>
    <w:rsid w:val="00372FFC"/>
    <w:rsid w:val="003754DE"/>
    <w:rsid w:val="00376804"/>
    <w:rsid w:val="0037728A"/>
    <w:rsid w:val="00380B7D"/>
    <w:rsid w:val="00381969"/>
    <w:rsid w:val="00381A99"/>
    <w:rsid w:val="003829C2"/>
    <w:rsid w:val="003830B2"/>
    <w:rsid w:val="00384724"/>
    <w:rsid w:val="0039041A"/>
    <w:rsid w:val="00390D76"/>
    <w:rsid w:val="00391588"/>
    <w:rsid w:val="003919B7"/>
    <w:rsid w:val="00391D57"/>
    <w:rsid w:val="00392292"/>
    <w:rsid w:val="00394F45"/>
    <w:rsid w:val="003979F7"/>
    <w:rsid w:val="003A09CA"/>
    <w:rsid w:val="003A2B89"/>
    <w:rsid w:val="003A5927"/>
    <w:rsid w:val="003B01C2"/>
    <w:rsid w:val="003B1017"/>
    <w:rsid w:val="003B3C07"/>
    <w:rsid w:val="003B441E"/>
    <w:rsid w:val="003B58D0"/>
    <w:rsid w:val="003B6081"/>
    <w:rsid w:val="003B6775"/>
    <w:rsid w:val="003C04FC"/>
    <w:rsid w:val="003C462A"/>
    <w:rsid w:val="003C5014"/>
    <w:rsid w:val="003C544D"/>
    <w:rsid w:val="003C5FE2"/>
    <w:rsid w:val="003C68C7"/>
    <w:rsid w:val="003D05FB"/>
    <w:rsid w:val="003D1B16"/>
    <w:rsid w:val="003D45BF"/>
    <w:rsid w:val="003D46C2"/>
    <w:rsid w:val="003D508A"/>
    <w:rsid w:val="003D5244"/>
    <w:rsid w:val="003D537F"/>
    <w:rsid w:val="003D7B75"/>
    <w:rsid w:val="003E0208"/>
    <w:rsid w:val="003E0A88"/>
    <w:rsid w:val="003E3E46"/>
    <w:rsid w:val="003E4B57"/>
    <w:rsid w:val="003F27E1"/>
    <w:rsid w:val="003F437A"/>
    <w:rsid w:val="003F5C2B"/>
    <w:rsid w:val="003F764B"/>
    <w:rsid w:val="00402240"/>
    <w:rsid w:val="004023E9"/>
    <w:rsid w:val="00403CFB"/>
    <w:rsid w:val="0040454A"/>
    <w:rsid w:val="00413F83"/>
    <w:rsid w:val="0041490C"/>
    <w:rsid w:val="00416191"/>
    <w:rsid w:val="00416721"/>
    <w:rsid w:val="00421EF0"/>
    <w:rsid w:val="004224FA"/>
    <w:rsid w:val="004229D3"/>
    <w:rsid w:val="00423D07"/>
    <w:rsid w:val="00426F9B"/>
    <w:rsid w:val="00427936"/>
    <w:rsid w:val="00427EDE"/>
    <w:rsid w:val="00434684"/>
    <w:rsid w:val="0044346F"/>
    <w:rsid w:val="00444A63"/>
    <w:rsid w:val="0044772F"/>
    <w:rsid w:val="00453FF6"/>
    <w:rsid w:val="00454283"/>
    <w:rsid w:val="0045699C"/>
    <w:rsid w:val="00456F49"/>
    <w:rsid w:val="00464E96"/>
    <w:rsid w:val="0046520A"/>
    <w:rsid w:val="004672AB"/>
    <w:rsid w:val="00470DB2"/>
    <w:rsid w:val="004714FE"/>
    <w:rsid w:val="00471BAF"/>
    <w:rsid w:val="004723C5"/>
    <w:rsid w:val="00474336"/>
    <w:rsid w:val="00477BAA"/>
    <w:rsid w:val="0048498E"/>
    <w:rsid w:val="004921B8"/>
    <w:rsid w:val="00495053"/>
    <w:rsid w:val="004957B4"/>
    <w:rsid w:val="004957F9"/>
    <w:rsid w:val="004A15B8"/>
    <w:rsid w:val="004A1F59"/>
    <w:rsid w:val="004A29BE"/>
    <w:rsid w:val="004A3225"/>
    <w:rsid w:val="004A33EE"/>
    <w:rsid w:val="004A3AA8"/>
    <w:rsid w:val="004B0484"/>
    <w:rsid w:val="004B0D67"/>
    <w:rsid w:val="004B13C7"/>
    <w:rsid w:val="004B6A29"/>
    <w:rsid w:val="004B778F"/>
    <w:rsid w:val="004C0609"/>
    <w:rsid w:val="004C3C58"/>
    <w:rsid w:val="004C639F"/>
    <w:rsid w:val="004C6DF7"/>
    <w:rsid w:val="004D141F"/>
    <w:rsid w:val="004D2742"/>
    <w:rsid w:val="004D6310"/>
    <w:rsid w:val="004E0062"/>
    <w:rsid w:val="004E05A1"/>
    <w:rsid w:val="004E4418"/>
    <w:rsid w:val="004E68D7"/>
    <w:rsid w:val="004F089B"/>
    <w:rsid w:val="004F2369"/>
    <w:rsid w:val="004F3352"/>
    <w:rsid w:val="004F472A"/>
    <w:rsid w:val="004F5409"/>
    <w:rsid w:val="004F5E57"/>
    <w:rsid w:val="004F6710"/>
    <w:rsid w:val="00500C3E"/>
    <w:rsid w:val="00501B7F"/>
    <w:rsid w:val="00502849"/>
    <w:rsid w:val="00504334"/>
    <w:rsid w:val="0050498D"/>
    <w:rsid w:val="00506825"/>
    <w:rsid w:val="00507C3A"/>
    <w:rsid w:val="005104D7"/>
    <w:rsid w:val="00510B9E"/>
    <w:rsid w:val="0051196D"/>
    <w:rsid w:val="00511F17"/>
    <w:rsid w:val="0051689D"/>
    <w:rsid w:val="005172FF"/>
    <w:rsid w:val="00521EA6"/>
    <w:rsid w:val="0052736C"/>
    <w:rsid w:val="005317F2"/>
    <w:rsid w:val="00532F28"/>
    <w:rsid w:val="00534557"/>
    <w:rsid w:val="0053587C"/>
    <w:rsid w:val="00536BC2"/>
    <w:rsid w:val="005425E1"/>
    <w:rsid w:val="005427C5"/>
    <w:rsid w:val="00542CF6"/>
    <w:rsid w:val="00544754"/>
    <w:rsid w:val="00553C03"/>
    <w:rsid w:val="0055620E"/>
    <w:rsid w:val="00560DDA"/>
    <w:rsid w:val="0056231E"/>
    <w:rsid w:val="00563692"/>
    <w:rsid w:val="00565BA5"/>
    <w:rsid w:val="005710D7"/>
    <w:rsid w:val="00571679"/>
    <w:rsid w:val="00571BCC"/>
    <w:rsid w:val="005731A1"/>
    <w:rsid w:val="005747DC"/>
    <w:rsid w:val="00582A76"/>
    <w:rsid w:val="00584235"/>
    <w:rsid w:val="005844E7"/>
    <w:rsid w:val="00586DD2"/>
    <w:rsid w:val="005908B8"/>
    <w:rsid w:val="00592832"/>
    <w:rsid w:val="00592BD8"/>
    <w:rsid w:val="0059512E"/>
    <w:rsid w:val="005A6DD2"/>
    <w:rsid w:val="005C385D"/>
    <w:rsid w:val="005C38FE"/>
    <w:rsid w:val="005D3B20"/>
    <w:rsid w:val="005D582F"/>
    <w:rsid w:val="005D71B7"/>
    <w:rsid w:val="005E4759"/>
    <w:rsid w:val="005E5C68"/>
    <w:rsid w:val="005E65C0"/>
    <w:rsid w:val="005F0390"/>
    <w:rsid w:val="005F4A4E"/>
    <w:rsid w:val="005F7A2F"/>
    <w:rsid w:val="00604AFA"/>
    <w:rsid w:val="006072CD"/>
    <w:rsid w:val="006110E4"/>
    <w:rsid w:val="00612023"/>
    <w:rsid w:val="00614190"/>
    <w:rsid w:val="00615A19"/>
    <w:rsid w:val="00622A99"/>
    <w:rsid w:val="00622E67"/>
    <w:rsid w:val="00626B57"/>
    <w:rsid w:val="00626EDC"/>
    <w:rsid w:val="00643F2B"/>
    <w:rsid w:val="006452D3"/>
    <w:rsid w:val="006470EC"/>
    <w:rsid w:val="00651808"/>
    <w:rsid w:val="006533D8"/>
    <w:rsid w:val="00653E6E"/>
    <w:rsid w:val="006542D6"/>
    <w:rsid w:val="0065598E"/>
    <w:rsid w:val="00655AF2"/>
    <w:rsid w:val="00655BC5"/>
    <w:rsid w:val="006568BE"/>
    <w:rsid w:val="006601D5"/>
    <w:rsid w:val="0066025D"/>
    <w:rsid w:val="0066091A"/>
    <w:rsid w:val="00665C62"/>
    <w:rsid w:val="006773EC"/>
    <w:rsid w:val="00677486"/>
    <w:rsid w:val="00677668"/>
    <w:rsid w:val="00680504"/>
    <w:rsid w:val="00680864"/>
    <w:rsid w:val="00681CD9"/>
    <w:rsid w:val="00683E30"/>
    <w:rsid w:val="00685286"/>
    <w:rsid w:val="00687024"/>
    <w:rsid w:val="00691D7E"/>
    <w:rsid w:val="00693585"/>
    <w:rsid w:val="00693B88"/>
    <w:rsid w:val="00695E22"/>
    <w:rsid w:val="00696868"/>
    <w:rsid w:val="006A1E94"/>
    <w:rsid w:val="006A2ACE"/>
    <w:rsid w:val="006A75A6"/>
    <w:rsid w:val="006B7093"/>
    <w:rsid w:val="006B7417"/>
    <w:rsid w:val="006C49F1"/>
    <w:rsid w:val="006D31F9"/>
    <w:rsid w:val="006D3691"/>
    <w:rsid w:val="006D6A86"/>
    <w:rsid w:val="006E120E"/>
    <w:rsid w:val="006E5EF0"/>
    <w:rsid w:val="006F330D"/>
    <w:rsid w:val="006F3563"/>
    <w:rsid w:val="006F42B9"/>
    <w:rsid w:val="006F6103"/>
    <w:rsid w:val="006F7EDC"/>
    <w:rsid w:val="00704E00"/>
    <w:rsid w:val="00707191"/>
    <w:rsid w:val="007209E7"/>
    <w:rsid w:val="007245DD"/>
    <w:rsid w:val="00726182"/>
    <w:rsid w:val="00727635"/>
    <w:rsid w:val="00732329"/>
    <w:rsid w:val="007337CA"/>
    <w:rsid w:val="00734CE4"/>
    <w:rsid w:val="00735123"/>
    <w:rsid w:val="00741837"/>
    <w:rsid w:val="00742A0A"/>
    <w:rsid w:val="007453E6"/>
    <w:rsid w:val="0075763A"/>
    <w:rsid w:val="00760570"/>
    <w:rsid w:val="00761607"/>
    <w:rsid w:val="00770453"/>
    <w:rsid w:val="0077309D"/>
    <w:rsid w:val="007774EE"/>
    <w:rsid w:val="0078127D"/>
    <w:rsid w:val="0078135D"/>
    <w:rsid w:val="00781822"/>
    <w:rsid w:val="00781FD5"/>
    <w:rsid w:val="00783A6D"/>
    <w:rsid w:val="00783F21"/>
    <w:rsid w:val="00787159"/>
    <w:rsid w:val="0079043A"/>
    <w:rsid w:val="00790DE8"/>
    <w:rsid w:val="00791668"/>
    <w:rsid w:val="00791AA1"/>
    <w:rsid w:val="0079435A"/>
    <w:rsid w:val="0079451B"/>
    <w:rsid w:val="007953E4"/>
    <w:rsid w:val="007A3793"/>
    <w:rsid w:val="007B4FA3"/>
    <w:rsid w:val="007C1BA2"/>
    <w:rsid w:val="007C2B48"/>
    <w:rsid w:val="007C2CB7"/>
    <w:rsid w:val="007C5263"/>
    <w:rsid w:val="007D20E9"/>
    <w:rsid w:val="007D4770"/>
    <w:rsid w:val="007D6A41"/>
    <w:rsid w:val="007D752C"/>
    <w:rsid w:val="007D7881"/>
    <w:rsid w:val="007D7C23"/>
    <w:rsid w:val="007D7E3A"/>
    <w:rsid w:val="007E0E10"/>
    <w:rsid w:val="007E1457"/>
    <w:rsid w:val="007E4768"/>
    <w:rsid w:val="007E5718"/>
    <w:rsid w:val="007E777B"/>
    <w:rsid w:val="007F2070"/>
    <w:rsid w:val="007F63C1"/>
    <w:rsid w:val="007F74F7"/>
    <w:rsid w:val="00800905"/>
    <w:rsid w:val="008053F5"/>
    <w:rsid w:val="0080603E"/>
    <w:rsid w:val="00807AF7"/>
    <w:rsid w:val="00810198"/>
    <w:rsid w:val="008135C9"/>
    <w:rsid w:val="00815DA8"/>
    <w:rsid w:val="0082194D"/>
    <w:rsid w:val="008221F9"/>
    <w:rsid w:val="00826EF5"/>
    <w:rsid w:val="0083083B"/>
    <w:rsid w:val="00831693"/>
    <w:rsid w:val="00834424"/>
    <w:rsid w:val="00840104"/>
    <w:rsid w:val="00840C1F"/>
    <w:rsid w:val="008411C9"/>
    <w:rsid w:val="00841FC5"/>
    <w:rsid w:val="00843D0F"/>
    <w:rsid w:val="00845709"/>
    <w:rsid w:val="008576BD"/>
    <w:rsid w:val="00860244"/>
    <w:rsid w:val="00860463"/>
    <w:rsid w:val="0086124A"/>
    <w:rsid w:val="00862429"/>
    <w:rsid w:val="00865733"/>
    <w:rsid w:val="008733DA"/>
    <w:rsid w:val="00873FF6"/>
    <w:rsid w:val="008776E6"/>
    <w:rsid w:val="00882479"/>
    <w:rsid w:val="008850E4"/>
    <w:rsid w:val="00885BBD"/>
    <w:rsid w:val="0089113B"/>
    <w:rsid w:val="008939AB"/>
    <w:rsid w:val="00897539"/>
    <w:rsid w:val="008A12F5"/>
    <w:rsid w:val="008B1587"/>
    <w:rsid w:val="008B1B01"/>
    <w:rsid w:val="008B2BEA"/>
    <w:rsid w:val="008B3BCD"/>
    <w:rsid w:val="008B6B7B"/>
    <w:rsid w:val="008B6DF8"/>
    <w:rsid w:val="008C106C"/>
    <w:rsid w:val="008C10F1"/>
    <w:rsid w:val="008C153D"/>
    <w:rsid w:val="008C1926"/>
    <w:rsid w:val="008C1E99"/>
    <w:rsid w:val="008C5AC5"/>
    <w:rsid w:val="008D24DC"/>
    <w:rsid w:val="008D3E7C"/>
    <w:rsid w:val="008D69BB"/>
    <w:rsid w:val="008D74E5"/>
    <w:rsid w:val="008E0085"/>
    <w:rsid w:val="008E2AA6"/>
    <w:rsid w:val="008E311B"/>
    <w:rsid w:val="008E4030"/>
    <w:rsid w:val="008F2CC9"/>
    <w:rsid w:val="008F46E7"/>
    <w:rsid w:val="008F64CA"/>
    <w:rsid w:val="008F6F0B"/>
    <w:rsid w:val="008F7D40"/>
    <w:rsid w:val="008F7E4B"/>
    <w:rsid w:val="00901ED7"/>
    <w:rsid w:val="00902E1E"/>
    <w:rsid w:val="00907BA7"/>
    <w:rsid w:val="0091064E"/>
    <w:rsid w:val="00911FC5"/>
    <w:rsid w:val="00913662"/>
    <w:rsid w:val="0091599F"/>
    <w:rsid w:val="009161CC"/>
    <w:rsid w:val="009178AF"/>
    <w:rsid w:val="009262AD"/>
    <w:rsid w:val="00931A10"/>
    <w:rsid w:val="00932118"/>
    <w:rsid w:val="009334DF"/>
    <w:rsid w:val="009345A1"/>
    <w:rsid w:val="00947967"/>
    <w:rsid w:val="0095117C"/>
    <w:rsid w:val="00955201"/>
    <w:rsid w:val="00965200"/>
    <w:rsid w:val="009668B3"/>
    <w:rsid w:val="00971471"/>
    <w:rsid w:val="009849C2"/>
    <w:rsid w:val="00984D24"/>
    <w:rsid w:val="009858EB"/>
    <w:rsid w:val="00990940"/>
    <w:rsid w:val="00990A79"/>
    <w:rsid w:val="0099229E"/>
    <w:rsid w:val="00993FFF"/>
    <w:rsid w:val="009956D4"/>
    <w:rsid w:val="009A0359"/>
    <w:rsid w:val="009A28E9"/>
    <w:rsid w:val="009A3F47"/>
    <w:rsid w:val="009A69F7"/>
    <w:rsid w:val="009A789A"/>
    <w:rsid w:val="009B0046"/>
    <w:rsid w:val="009B2E9A"/>
    <w:rsid w:val="009C0881"/>
    <w:rsid w:val="009C1440"/>
    <w:rsid w:val="009C2107"/>
    <w:rsid w:val="009C39FC"/>
    <w:rsid w:val="009C5D9E"/>
    <w:rsid w:val="009D2C3E"/>
    <w:rsid w:val="009D38FB"/>
    <w:rsid w:val="009D4D5E"/>
    <w:rsid w:val="009D7338"/>
    <w:rsid w:val="009D7AA7"/>
    <w:rsid w:val="009E0625"/>
    <w:rsid w:val="009E3034"/>
    <w:rsid w:val="009E549F"/>
    <w:rsid w:val="009F0555"/>
    <w:rsid w:val="009F0599"/>
    <w:rsid w:val="009F28A8"/>
    <w:rsid w:val="009F3F5F"/>
    <w:rsid w:val="009F473E"/>
    <w:rsid w:val="009F5247"/>
    <w:rsid w:val="009F682A"/>
    <w:rsid w:val="00A00B3E"/>
    <w:rsid w:val="00A00D58"/>
    <w:rsid w:val="00A022BE"/>
    <w:rsid w:val="00A0543F"/>
    <w:rsid w:val="00A07B4B"/>
    <w:rsid w:val="00A11B0E"/>
    <w:rsid w:val="00A14FE0"/>
    <w:rsid w:val="00A2252A"/>
    <w:rsid w:val="00A24C95"/>
    <w:rsid w:val="00A2599A"/>
    <w:rsid w:val="00A26094"/>
    <w:rsid w:val="00A301BF"/>
    <w:rsid w:val="00A302B2"/>
    <w:rsid w:val="00A331B4"/>
    <w:rsid w:val="00A3484E"/>
    <w:rsid w:val="00A34F53"/>
    <w:rsid w:val="00A356D3"/>
    <w:rsid w:val="00A35C62"/>
    <w:rsid w:val="00A36ADA"/>
    <w:rsid w:val="00A37C4D"/>
    <w:rsid w:val="00A37DC6"/>
    <w:rsid w:val="00A401F7"/>
    <w:rsid w:val="00A438D8"/>
    <w:rsid w:val="00A44291"/>
    <w:rsid w:val="00A473F5"/>
    <w:rsid w:val="00A51F9D"/>
    <w:rsid w:val="00A5416A"/>
    <w:rsid w:val="00A56E0B"/>
    <w:rsid w:val="00A639F4"/>
    <w:rsid w:val="00A65606"/>
    <w:rsid w:val="00A65864"/>
    <w:rsid w:val="00A65FAE"/>
    <w:rsid w:val="00A67D87"/>
    <w:rsid w:val="00A70BA1"/>
    <w:rsid w:val="00A764BD"/>
    <w:rsid w:val="00A77B88"/>
    <w:rsid w:val="00A77CDC"/>
    <w:rsid w:val="00A81A32"/>
    <w:rsid w:val="00A829D4"/>
    <w:rsid w:val="00A835BD"/>
    <w:rsid w:val="00A900B8"/>
    <w:rsid w:val="00A9278D"/>
    <w:rsid w:val="00A941F4"/>
    <w:rsid w:val="00A97B15"/>
    <w:rsid w:val="00AA0C60"/>
    <w:rsid w:val="00AA42D5"/>
    <w:rsid w:val="00AB260A"/>
    <w:rsid w:val="00AB2FAB"/>
    <w:rsid w:val="00AB5C14"/>
    <w:rsid w:val="00AB7E00"/>
    <w:rsid w:val="00AC1EE7"/>
    <w:rsid w:val="00AC333F"/>
    <w:rsid w:val="00AC585C"/>
    <w:rsid w:val="00AC595E"/>
    <w:rsid w:val="00AD1925"/>
    <w:rsid w:val="00AD24DE"/>
    <w:rsid w:val="00AE067D"/>
    <w:rsid w:val="00AE6719"/>
    <w:rsid w:val="00AF1181"/>
    <w:rsid w:val="00AF256C"/>
    <w:rsid w:val="00AF2F79"/>
    <w:rsid w:val="00AF4653"/>
    <w:rsid w:val="00AF467A"/>
    <w:rsid w:val="00AF74F7"/>
    <w:rsid w:val="00AF7DB7"/>
    <w:rsid w:val="00B0531C"/>
    <w:rsid w:val="00B0658F"/>
    <w:rsid w:val="00B07588"/>
    <w:rsid w:val="00B10D02"/>
    <w:rsid w:val="00B1507E"/>
    <w:rsid w:val="00B201E2"/>
    <w:rsid w:val="00B206B0"/>
    <w:rsid w:val="00B2220D"/>
    <w:rsid w:val="00B23670"/>
    <w:rsid w:val="00B26158"/>
    <w:rsid w:val="00B31BCE"/>
    <w:rsid w:val="00B31F6E"/>
    <w:rsid w:val="00B3270E"/>
    <w:rsid w:val="00B41ABC"/>
    <w:rsid w:val="00B443E4"/>
    <w:rsid w:val="00B46022"/>
    <w:rsid w:val="00B51219"/>
    <w:rsid w:val="00B5484D"/>
    <w:rsid w:val="00B563EA"/>
    <w:rsid w:val="00B5657E"/>
    <w:rsid w:val="00B56CDF"/>
    <w:rsid w:val="00B5767C"/>
    <w:rsid w:val="00B606FB"/>
    <w:rsid w:val="00B60E51"/>
    <w:rsid w:val="00B63A54"/>
    <w:rsid w:val="00B67C2C"/>
    <w:rsid w:val="00B70445"/>
    <w:rsid w:val="00B76E1A"/>
    <w:rsid w:val="00B77D18"/>
    <w:rsid w:val="00B8313A"/>
    <w:rsid w:val="00B93503"/>
    <w:rsid w:val="00B94625"/>
    <w:rsid w:val="00B9526A"/>
    <w:rsid w:val="00BA31E8"/>
    <w:rsid w:val="00BA55E0"/>
    <w:rsid w:val="00BA6BD4"/>
    <w:rsid w:val="00BA6C7A"/>
    <w:rsid w:val="00BB0259"/>
    <w:rsid w:val="00BB17D1"/>
    <w:rsid w:val="00BB3752"/>
    <w:rsid w:val="00BB6688"/>
    <w:rsid w:val="00BB6CB6"/>
    <w:rsid w:val="00BC26D4"/>
    <w:rsid w:val="00BD26FE"/>
    <w:rsid w:val="00BE0C80"/>
    <w:rsid w:val="00BE0C87"/>
    <w:rsid w:val="00BF2A42"/>
    <w:rsid w:val="00BF423A"/>
    <w:rsid w:val="00BF4D54"/>
    <w:rsid w:val="00BF70AE"/>
    <w:rsid w:val="00C01056"/>
    <w:rsid w:val="00C03D8C"/>
    <w:rsid w:val="00C04299"/>
    <w:rsid w:val="00C055EC"/>
    <w:rsid w:val="00C059D1"/>
    <w:rsid w:val="00C05A79"/>
    <w:rsid w:val="00C06AF0"/>
    <w:rsid w:val="00C10CC7"/>
    <w:rsid w:val="00C10DC9"/>
    <w:rsid w:val="00C12FB3"/>
    <w:rsid w:val="00C1421F"/>
    <w:rsid w:val="00C15235"/>
    <w:rsid w:val="00C17341"/>
    <w:rsid w:val="00C206B9"/>
    <w:rsid w:val="00C21509"/>
    <w:rsid w:val="00C22500"/>
    <w:rsid w:val="00C24EEF"/>
    <w:rsid w:val="00C25CF6"/>
    <w:rsid w:val="00C26C36"/>
    <w:rsid w:val="00C27C70"/>
    <w:rsid w:val="00C32768"/>
    <w:rsid w:val="00C368D2"/>
    <w:rsid w:val="00C431DF"/>
    <w:rsid w:val="00C456BD"/>
    <w:rsid w:val="00C460B3"/>
    <w:rsid w:val="00C46CD1"/>
    <w:rsid w:val="00C530DC"/>
    <w:rsid w:val="00C5346C"/>
    <w:rsid w:val="00C5350D"/>
    <w:rsid w:val="00C53A35"/>
    <w:rsid w:val="00C6123C"/>
    <w:rsid w:val="00C6311A"/>
    <w:rsid w:val="00C7084D"/>
    <w:rsid w:val="00C7315E"/>
    <w:rsid w:val="00C75895"/>
    <w:rsid w:val="00C80B87"/>
    <w:rsid w:val="00C823EB"/>
    <w:rsid w:val="00C83C9F"/>
    <w:rsid w:val="00C94840"/>
    <w:rsid w:val="00CA13DF"/>
    <w:rsid w:val="00CA4CDF"/>
    <w:rsid w:val="00CA4EE3"/>
    <w:rsid w:val="00CB027F"/>
    <w:rsid w:val="00CC0EBB"/>
    <w:rsid w:val="00CC22A5"/>
    <w:rsid w:val="00CC6297"/>
    <w:rsid w:val="00CC7690"/>
    <w:rsid w:val="00CD1986"/>
    <w:rsid w:val="00CD54BF"/>
    <w:rsid w:val="00CE4D5C"/>
    <w:rsid w:val="00CE6A16"/>
    <w:rsid w:val="00CF05DA"/>
    <w:rsid w:val="00CF58EB"/>
    <w:rsid w:val="00CF6FEC"/>
    <w:rsid w:val="00D0106E"/>
    <w:rsid w:val="00D06383"/>
    <w:rsid w:val="00D06ED0"/>
    <w:rsid w:val="00D164DF"/>
    <w:rsid w:val="00D20E85"/>
    <w:rsid w:val="00D245E4"/>
    <w:rsid w:val="00D24615"/>
    <w:rsid w:val="00D36BC3"/>
    <w:rsid w:val="00D37842"/>
    <w:rsid w:val="00D42DC2"/>
    <w:rsid w:val="00D4302B"/>
    <w:rsid w:val="00D52A1A"/>
    <w:rsid w:val="00D537E1"/>
    <w:rsid w:val="00D55BB2"/>
    <w:rsid w:val="00D56AE4"/>
    <w:rsid w:val="00D6091A"/>
    <w:rsid w:val="00D6605A"/>
    <w:rsid w:val="00D6690F"/>
    <w:rsid w:val="00D6695F"/>
    <w:rsid w:val="00D66A19"/>
    <w:rsid w:val="00D72149"/>
    <w:rsid w:val="00D73C18"/>
    <w:rsid w:val="00D75644"/>
    <w:rsid w:val="00D7693B"/>
    <w:rsid w:val="00D76BF0"/>
    <w:rsid w:val="00D81656"/>
    <w:rsid w:val="00D8286B"/>
    <w:rsid w:val="00D83D87"/>
    <w:rsid w:val="00D84A6D"/>
    <w:rsid w:val="00D86A30"/>
    <w:rsid w:val="00D87870"/>
    <w:rsid w:val="00D914EA"/>
    <w:rsid w:val="00D91CB5"/>
    <w:rsid w:val="00D9227B"/>
    <w:rsid w:val="00D95F81"/>
    <w:rsid w:val="00D97BB9"/>
    <w:rsid w:val="00D97CB4"/>
    <w:rsid w:val="00D97DD4"/>
    <w:rsid w:val="00DA12CD"/>
    <w:rsid w:val="00DA21E3"/>
    <w:rsid w:val="00DA5A8A"/>
    <w:rsid w:val="00DB1170"/>
    <w:rsid w:val="00DB26CD"/>
    <w:rsid w:val="00DB441C"/>
    <w:rsid w:val="00DB447B"/>
    <w:rsid w:val="00DB44AF"/>
    <w:rsid w:val="00DC1F58"/>
    <w:rsid w:val="00DC32E2"/>
    <w:rsid w:val="00DC339B"/>
    <w:rsid w:val="00DC5D40"/>
    <w:rsid w:val="00DC69A7"/>
    <w:rsid w:val="00DD30E9"/>
    <w:rsid w:val="00DD4629"/>
    <w:rsid w:val="00DD4F47"/>
    <w:rsid w:val="00DD7FBB"/>
    <w:rsid w:val="00DE0B9F"/>
    <w:rsid w:val="00DE14B5"/>
    <w:rsid w:val="00DE2A9E"/>
    <w:rsid w:val="00DE4238"/>
    <w:rsid w:val="00DE5F76"/>
    <w:rsid w:val="00DE657F"/>
    <w:rsid w:val="00DF1218"/>
    <w:rsid w:val="00DF2C2B"/>
    <w:rsid w:val="00DF6462"/>
    <w:rsid w:val="00E02FA0"/>
    <w:rsid w:val="00E036DC"/>
    <w:rsid w:val="00E10454"/>
    <w:rsid w:val="00E112E5"/>
    <w:rsid w:val="00E122D8"/>
    <w:rsid w:val="00E12CC8"/>
    <w:rsid w:val="00E15352"/>
    <w:rsid w:val="00E172C9"/>
    <w:rsid w:val="00E21CC7"/>
    <w:rsid w:val="00E24836"/>
    <w:rsid w:val="00E24D9E"/>
    <w:rsid w:val="00E25849"/>
    <w:rsid w:val="00E3197E"/>
    <w:rsid w:val="00E3199A"/>
    <w:rsid w:val="00E342F8"/>
    <w:rsid w:val="00E351ED"/>
    <w:rsid w:val="00E37F6E"/>
    <w:rsid w:val="00E40E07"/>
    <w:rsid w:val="00E42B19"/>
    <w:rsid w:val="00E4792C"/>
    <w:rsid w:val="00E53786"/>
    <w:rsid w:val="00E54E6F"/>
    <w:rsid w:val="00E6034B"/>
    <w:rsid w:val="00E616E6"/>
    <w:rsid w:val="00E6549E"/>
    <w:rsid w:val="00E65EDE"/>
    <w:rsid w:val="00E707B9"/>
    <w:rsid w:val="00E70F81"/>
    <w:rsid w:val="00E77055"/>
    <w:rsid w:val="00E77460"/>
    <w:rsid w:val="00E812AF"/>
    <w:rsid w:val="00E83ABC"/>
    <w:rsid w:val="00E844F2"/>
    <w:rsid w:val="00E869D0"/>
    <w:rsid w:val="00E90AD0"/>
    <w:rsid w:val="00E92FCB"/>
    <w:rsid w:val="00EA147F"/>
    <w:rsid w:val="00EA1ED4"/>
    <w:rsid w:val="00EA388C"/>
    <w:rsid w:val="00EA475F"/>
    <w:rsid w:val="00EA4A27"/>
    <w:rsid w:val="00EA4FA6"/>
    <w:rsid w:val="00EB1A25"/>
    <w:rsid w:val="00EB4114"/>
    <w:rsid w:val="00EB5BA5"/>
    <w:rsid w:val="00EB61B6"/>
    <w:rsid w:val="00EC7179"/>
    <w:rsid w:val="00EC7363"/>
    <w:rsid w:val="00EC784D"/>
    <w:rsid w:val="00ED03AB"/>
    <w:rsid w:val="00ED0B99"/>
    <w:rsid w:val="00ED1963"/>
    <w:rsid w:val="00ED1CD4"/>
    <w:rsid w:val="00ED1D2B"/>
    <w:rsid w:val="00ED64B5"/>
    <w:rsid w:val="00EE3A15"/>
    <w:rsid w:val="00EE7CCA"/>
    <w:rsid w:val="00EF2664"/>
    <w:rsid w:val="00EF5210"/>
    <w:rsid w:val="00EF783C"/>
    <w:rsid w:val="00F03C2B"/>
    <w:rsid w:val="00F06E53"/>
    <w:rsid w:val="00F10DD2"/>
    <w:rsid w:val="00F12AF0"/>
    <w:rsid w:val="00F16A14"/>
    <w:rsid w:val="00F21AB2"/>
    <w:rsid w:val="00F22560"/>
    <w:rsid w:val="00F235A0"/>
    <w:rsid w:val="00F2382A"/>
    <w:rsid w:val="00F241D9"/>
    <w:rsid w:val="00F258D2"/>
    <w:rsid w:val="00F261DA"/>
    <w:rsid w:val="00F362D7"/>
    <w:rsid w:val="00F3695F"/>
    <w:rsid w:val="00F37D7B"/>
    <w:rsid w:val="00F43DC5"/>
    <w:rsid w:val="00F5314C"/>
    <w:rsid w:val="00F5688C"/>
    <w:rsid w:val="00F60048"/>
    <w:rsid w:val="00F635DD"/>
    <w:rsid w:val="00F640D4"/>
    <w:rsid w:val="00F6627B"/>
    <w:rsid w:val="00F70679"/>
    <w:rsid w:val="00F7336E"/>
    <w:rsid w:val="00F734F2"/>
    <w:rsid w:val="00F75052"/>
    <w:rsid w:val="00F804D3"/>
    <w:rsid w:val="00F816CB"/>
    <w:rsid w:val="00F81CD2"/>
    <w:rsid w:val="00F82641"/>
    <w:rsid w:val="00F83871"/>
    <w:rsid w:val="00F84A06"/>
    <w:rsid w:val="00F90E78"/>
    <w:rsid w:val="00F90F18"/>
    <w:rsid w:val="00F937E4"/>
    <w:rsid w:val="00F95EE7"/>
    <w:rsid w:val="00FA1154"/>
    <w:rsid w:val="00FA39E6"/>
    <w:rsid w:val="00FA7BC9"/>
    <w:rsid w:val="00FB378E"/>
    <w:rsid w:val="00FB37F1"/>
    <w:rsid w:val="00FB47C0"/>
    <w:rsid w:val="00FB4D14"/>
    <w:rsid w:val="00FB501B"/>
    <w:rsid w:val="00FB719A"/>
    <w:rsid w:val="00FB7770"/>
    <w:rsid w:val="00FC0B26"/>
    <w:rsid w:val="00FC34AA"/>
    <w:rsid w:val="00FD172C"/>
    <w:rsid w:val="00FD3B91"/>
    <w:rsid w:val="00FD576B"/>
    <w:rsid w:val="00FD579E"/>
    <w:rsid w:val="00FD6845"/>
    <w:rsid w:val="00FE4516"/>
    <w:rsid w:val="00FE48EE"/>
    <w:rsid w:val="00FE4D5D"/>
    <w:rsid w:val="00FE64C8"/>
    <w:rsid w:val="00FF06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F4F8B"/>
  <w15:docId w15:val="{B966228F-84AD-4D5C-AB5F-0F611D10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ind w:left="1021"/>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5D582F"/>
    <w:pPr>
      <w:snapToGrid w:val="0"/>
      <w:jc w:val="left"/>
    </w:pPr>
    <w:rPr>
      <w:sz w:val="20"/>
    </w:rPr>
  </w:style>
  <w:style w:type="character" w:customStyle="1" w:styleId="afd">
    <w:name w:val="註腳文字 字元"/>
    <w:basedOn w:val="a7"/>
    <w:link w:val="afc"/>
    <w:uiPriority w:val="99"/>
    <w:semiHidden/>
    <w:rsid w:val="005D582F"/>
    <w:rPr>
      <w:rFonts w:ascii="標楷體" w:eastAsia="標楷體"/>
      <w:kern w:val="2"/>
    </w:rPr>
  </w:style>
  <w:style w:type="character" w:styleId="afe">
    <w:name w:val="footnote reference"/>
    <w:basedOn w:val="a7"/>
    <w:uiPriority w:val="99"/>
    <w:semiHidden/>
    <w:unhideWhenUsed/>
    <w:rsid w:val="005D582F"/>
    <w:rPr>
      <w:vertAlign w:val="superscript"/>
    </w:rPr>
  </w:style>
  <w:style w:type="character" w:customStyle="1" w:styleId="30">
    <w:name w:val="標題 3 字元"/>
    <w:basedOn w:val="a7"/>
    <w:link w:val="3"/>
    <w:rsid w:val="001F597C"/>
    <w:rPr>
      <w:rFonts w:ascii="標楷體" w:eastAsia="標楷體" w:hAnsi="Arial"/>
      <w:bCs/>
      <w:kern w:val="32"/>
      <w:sz w:val="32"/>
      <w:szCs w:val="36"/>
    </w:rPr>
  </w:style>
  <w:style w:type="character" w:customStyle="1" w:styleId="40">
    <w:name w:val="標題 4 字元"/>
    <w:basedOn w:val="a7"/>
    <w:link w:val="4"/>
    <w:rsid w:val="001F597C"/>
    <w:rPr>
      <w:rFonts w:ascii="標楷體" w:eastAsia="標楷體" w:hAnsi="Arial"/>
      <w:kern w:val="32"/>
      <w:sz w:val="32"/>
      <w:szCs w:val="36"/>
    </w:rPr>
  </w:style>
  <w:style w:type="character" w:customStyle="1" w:styleId="50">
    <w:name w:val="標題 5 字元"/>
    <w:basedOn w:val="a7"/>
    <w:link w:val="5"/>
    <w:rsid w:val="001F597C"/>
    <w:rPr>
      <w:rFonts w:ascii="標楷體" w:eastAsia="標楷體" w:hAnsi="Arial"/>
      <w:bCs/>
      <w:kern w:val="32"/>
      <w:sz w:val="32"/>
      <w:szCs w:val="36"/>
    </w:rPr>
  </w:style>
  <w:style w:type="paragraph" w:styleId="HTML">
    <w:name w:val="HTML Preformatted"/>
    <w:basedOn w:val="a6"/>
    <w:link w:val="HTML0"/>
    <w:uiPriority w:val="99"/>
    <w:semiHidden/>
    <w:unhideWhenUsed/>
    <w:rsid w:val="008135C9"/>
    <w:rPr>
      <w:rFonts w:ascii="Courier New" w:hAnsi="Courier New" w:cs="Courier New"/>
      <w:sz w:val="20"/>
    </w:rPr>
  </w:style>
  <w:style w:type="character" w:customStyle="1" w:styleId="HTML0">
    <w:name w:val="HTML 預設格式 字元"/>
    <w:basedOn w:val="a7"/>
    <w:link w:val="HTML"/>
    <w:uiPriority w:val="99"/>
    <w:semiHidden/>
    <w:rsid w:val="008135C9"/>
    <w:rPr>
      <w:rFonts w:ascii="Courier New" w:eastAsia="標楷體" w:hAnsi="Courier New" w:cs="Courier New"/>
      <w:kern w:val="2"/>
    </w:rPr>
  </w:style>
  <w:style w:type="table" w:customStyle="1" w:styleId="13">
    <w:name w:val="表格格線1"/>
    <w:basedOn w:val="a8"/>
    <w:next w:val="af6"/>
    <w:uiPriority w:val="39"/>
    <w:rsid w:val="003C04F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948410">
      <w:bodyDiv w:val="1"/>
      <w:marLeft w:val="0"/>
      <w:marRight w:val="0"/>
      <w:marTop w:val="0"/>
      <w:marBottom w:val="0"/>
      <w:divBdr>
        <w:top w:val="none" w:sz="0" w:space="0" w:color="auto"/>
        <w:left w:val="none" w:sz="0" w:space="0" w:color="auto"/>
        <w:bottom w:val="none" w:sz="0" w:space="0" w:color="auto"/>
        <w:right w:val="none" w:sz="0" w:space="0" w:color="auto"/>
      </w:divBdr>
    </w:div>
    <w:div w:id="56730445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88334711">
      <w:bodyDiv w:val="1"/>
      <w:marLeft w:val="0"/>
      <w:marRight w:val="0"/>
      <w:marTop w:val="0"/>
      <w:marBottom w:val="0"/>
      <w:divBdr>
        <w:top w:val="none" w:sz="0" w:space="0" w:color="auto"/>
        <w:left w:val="none" w:sz="0" w:space="0" w:color="auto"/>
        <w:bottom w:val="none" w:sz="0" w:space="0" w:color="auto"/>
        <w:right w:val="none" w:sz="0" w:space="0" w:color="auto"/>
      </w:divBdr>
    </w:div>
    <w:div w:id="1570994248">
      <w:bodyDiv w:val="1"/>
      <w:marLeft w:val="0"/>
      <w:marRight w:val="0"/>
      <w:marTop w:val="0"/>
      <w:marBottom w:val="0"/>
      <w:divBdr>
        <w:top w:val="none" w:sz="0" w:space="0" w:color="auto"/>
        <w:left w:val="none" w:sz="0" w:space="0" w:color="auto"/>
        <w:bottom w:val="none" w:sz="0" w:space="0" w:color="auto"/>
        <w:right w:val="none" w:sz="0" w:space="0" w:color="auto"/>
      </w:divBdr>
      <w:divsChild>
        <w:div w:id="114908522">
          <w:marLeft w:val="0"/>
          <w:marRight w:val="0"/>
          <w:marTop w:val="0"/>
          <w:marBottom w:val="0"/>
          <w:divBdr>
            <w:top w:val="none" w:sz="0" w:space="0" w:color="auto"/>
            <w:left w:val="none" w:sz="0" w:space="0" w:color="auto"/>
            <w:bottom w:val="none" w:sz="0" w:space="0" w:color="auto"/>
            <w:right w:val="none" w:sz="0" w:space="0" w:color="auto"/>
          </w:divBdr>
          <w:divsChild>
            <w:div w:id="704790926">
              <w:marLeft w:val="-225"/>
              <w:marRight w:val="-225"/>
              <w:marTop w:val="0"/>
              <w:marBottom w:val="0"/>
              <w:divBdr>
                <w:top w:val="none" w:sz="0" w:space="0" w:color="auto"/>
                <w:left w:val="none" w:sz="0" w:space="0" w:color="auto"/>
                <w:bottom w:val="none" w:sz="0" w:space="0" w:color="auto"/>
                <w:right w:val="none" w:sz="0" w:space="0" w:color="auto"/>
              </w:divBdr>
              <w:divsChild>
                <w:div w:id="304818333">
                  <w:marLeft w:val="0"/>
                  <w:marRight w:val="0"/>
                  <w:marTop w:val="240"/>
                  <w:marBottom w:val="240"/>
                  <w:divBdr>
                    <w:top w:val="none" w:sz="0" w:space="0" w:color="auto"/>
                    <w:left w:val="none" w:sz="0" w:space="0" w:color="auto"/>
                    <w:bottom w:val="none" w:sz="0" w:space="0" w:color="auto"/>
                    <w:right w:val="none" w:sz="0" w:space="0" w:color="auto"/>
                  </w:divBdr>
                  <w:divsChild>
                    <w:div w:id="992638478">
                      <w:marLeft w:val="-225"/>
                      <w:marRight w:val="-225"/>
                      <w:marTop w:val="0"/>
                      <w:marBottom w:val="0"/>
                      <w:divBdr>
                        <w:top w:val="none" w:sz="0" w:space="0" w:color="auto"/>
                        <w:left w:val="none" w:sz="0" w:space="0" w:color="auto"/>
                        <w:bottom w:val="none" w:sz="0" w:space="0" w:color="auto"/>
                        <w:right w:val="none" w:sz="0" w:space="0" w:color="auto"/>
                      </w:divBdr>
                      <w:divsChild>
                        <w:div w:id="1941716828">
                          <w:marLeft w:val="0"/>
                          <w:marRight w:val="0"/>
                          <w:marTop w:val="0"/>
                          <w:marBottom w:val="0"/>
                          <w:divBdr>
                            <w:top w:val="none" w:sz="0" w:space="0" w:color="auto"/>
                            <w:left w:val="none" w:sz="0" w:space="0" w:color="auto"/>
                            <w:bottom w:val="none" w:sz="0" w:space="0" w:color="auto"/>
                            <w:right w:val="none" w:sz="0" w:space="0" w:color="auto"/>
                          </w:divBdr>
                          <w:divsChild>
                            <w:div w:id="11651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469299">
      <w:bodyDiv w:val="1"/>
      <w:marLeft w:val="0"/>
      <w:marRight w:val="0"/>
      <w:marTop w:val="0"/>
      <w:marBottom w:val="0"/>
      <w:divBdr>
        <w:top w:val="none" w:sz="0" w:space="0" w:color="auto"/>
        <w:left w:val="none" w:sz="0" w:space="0" w:color="auto"/>
        <w:bottom w:val="none" w:sz="0" w:space="0" w:color="auto"/>
        <w:right w:val="none" w:sz="0" w:space="0" w:color="auto"/>
      </w:divBdr>
    </w:div>
    <w:div w:id="2025015304">
      <w:bodyDiv w:val="1"/>
      <w:marLeft w:val="0"/>
      <w:marRight w:val="0"/>
      <w:marTop w:val="0"/>
      <w:marBottom w:val="0"/>
      <w:divBdr>
        <w:top w:val="none" w:sz="0" w:space="0" w:color="auto"/>
        <w:left w:val="none" w:sz="0" w:space="0" w:color="auto"/>
        <w:bottom w:val="none" w:sz="0" w:space="0" w:color="auto"/>
        <w:right w:val="none" w:sz="0" w:space="0" w:color="auto"/>
      </w:divBdr>
      <w:divsChild>
        <w:div w:id="2128235605">
          <w:marLeft w:val="0"/>
          <w:marRight w:val="0"/>
          <w:marTop w:val="0"/>
          <w:marBottom w:val="0"/>
          <w:divBdr>
            <w:top w:val="none" w:sz="0" w:space="0" w:color="auto"/>
            <w:left w:val="none" w:sz="0" w:space="0" w:color="auto"/>
            <w:bottom w:val="none" w:sz="0" w:space="0" w:color="auto"/>
            <w:right w:val="none" w:sz="0" w:space="0" w:color="auto"/>
          </w:divBdr>
          <w:divsChild>
            <w:div w:id="1445228845">
              <w:marLeft w:val="-225"/>
              <w:marRight w:val="-225"/>
              <w:marTop w:val="0"/>
              <w:marBottom w:val="0"/>
              <w:divBdr>
                <w:top w:val="none" w:sz="0" w:space="0" w:color="auto"/>
                <w:left w:val="none" w:sz="0" w:space="0" w:color="auto"/>
                <w:bottom w:val="none" w:sz="0" w:space="0" w:color="auto"/>
                <w:right w:val="none" w:sz="0" w:space="0" w:color="auto"/>
              </w:divBdr>
              <w:divsChild>
                <w:div w:id="458424896">
                  <w:marLeft w:val="0"/>
                  <w:marRight w:val="0"/>
                  <w:marTop w:val="240"/>
                  <w:marBottom w:val="240"/>
                  <w:divBdr>
                    <w:top w:val="none" w:sz="0" w:space="0" w:color="auto"/>
                    <w:left w:val="none" w:sz="0" w:space="0" w:color="auto"/>
                    <w:bottom w:val="none" w:sz="0" w:space="0" w:color="auto"/>
                    <w:right w:val="none" w:sz="0" w:space="0" w:color="auto"/>
                  </w:divBdr>
                  <w:divsChild>
                    <w:div w:id="2073766809">
                      <w:marLeft w:val="-225"/>
                      <w:marRight w:val="-225"/>
                      <w:marTop w:val="0"/>
                      <w:marBottom w:val="0"/>
                      <w:divBdr>
                        <w:top w:val="none" w:sz="0" w:space="0" w:color="auto"/>
                        <w:left w:val="none" w:sz="0" w:space="0" w:color="auto"/>
                        <w:bottom w:val="none" w:sz="0" w:space="0" w:color="auto"/>
                        <w:right w:val="none" w:sz="0" w:space="0" w:color="auto"/>
                      </w:divBdr>
                      <w:divsChild>
                        <w:div w:id="1507092190">
                          <w:marLeft w:val="0"/>
                          <w:marRight w:val="0"/>
                          <w:marTop w:val="0"/>
                          <w:marBottom w:val="0"/>
                          <w:divBdr>
                            <w:top w:val="none" w:sz="0" w:space="0" w:color="auto"/>
                            <w:left w:val="none" w:sz="0" w:space="0" w:color="auto"/>
                            <w:bottom w:val="none" w:sz="0" w:space="0" w:color="auto"/>
                            <w:right w:val="none" w:sz="0" w:space="0" w:color="auto"/>
                          </w:divBdr>
                          <w:divsChild>
                            <w:div w:id="210569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cheng\AppData\Roaming\Microsoft\Templates\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D2D63-F3D4-4536-A692-275B18D8A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18</Pages>
  <Words>1647</Words>
  <Characters>9391</Characters>
  <Application>Microsoft Office Word</Application>
  <DocSecurity>0</DocSecurity>
  <Lines>78</Lines>
  <Paragraphs>22</Paragraphs>
  <ScaleCrop>false</ScaleCrop>
  <Company>cy</Company>
  <LinksUpToDate>false</LinksUpToDate>
  <CharactersWithSpaces>11016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林秀珍</cp:lastModifiedBy>
  <cp:revision>5</cp:revision>
  <cp:lastPrinted>2020-05-07T09:55:00Z</cp:lastPrinted>
  <dcterms:created xsi:type="dcterms:W3CDTF">2020-05-13T03:31:00Z</dcterms:created>
  <dcterms:modified xsi:type="dcterms:W3CDTF">2020-05-14T06:01:00Z</dcterms:modified>
</cp:coreProperties>
</file>