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FE6424">
        <w:rPr>
          <w:rFonts w:hint="eastAsia"/>
        </w:rPr>
        <w:t>意見</w:t>
      </w:r>
    </w:p>
    <w:p w:rsidR="00E25849" w:rsidRPr="00191211" w:rsidRDefault="003B3D9E" w:rsidP="003B3D9E">
      <w:pPr>
        <w:pStyle w:val="1"/>
        <w:rPr>
          <w:color w:val="000000" w:themeColor="text1"/>
        </w:rPr>
      </w:pPr>
      <w:r>
        <w:rPr>
          <w:rFonts w:hint="eastAsia"/>
        </w:rPr>
        <w:t>案　　由：據悉，</w:t>
      </w:r>
      <w:r w:rsidR="00F16A78">
        <w:rPr>
          <w:rFonts w:hint="eastAsia"/>
        </w:rPr>
        <w:t>臺中市誼○貿易有限公司</w:t>
      </w:r>
      <w:r>
        <w:rPr>
          <w:rFonts w:hint="eastAsia"/>
        </w:rPr>
        <w:t>購入「工業用」碳酸鎂，賣給彰化縣</w:t>
      </w:r>
      <w:r w:rsidR="009C2833">
        <w:rPr>
          <w:rFonts w:hint="eastAsia"/>
        </w:rPr>
        <w:t>進○製粉廠有限公司</w:t>
      </w:r>
      <w:r>
        <w:rPr>
          <w:rFonts w:hint="eastAsia"/>
        </w:rPr>
        <w:t>添加在胡椒粉中，被檢驗出含砷超標，經判決無罪定讞；何以當時檢方依違反食品安全衛生管理法（下稱食安法）攙偽假冒罪起訴，證據如此明確，甚至最高法院判決明載一、二審「法律見解不當」，限於刑事妥速審判法規定，僅能將上訴駁回，</w:t>
      </w:r>
      <w:r w:rsidRPr="00191211">
        <w:rPr>
          <w:rFonts w:hint="eastAsia"/>
          <w:color w:val="000000" w:themeColor="text1"/>
        </w:rPr>
        <w:t>為何一、二審均無視食安法之規定，仍為無罪之判決？衛生福利部食品藥物管理署是否有為業者有利之解釋，讓事實審法院無法得有罪之確信？依照法官法第81條法官應在職進修，事實審承辦法官有否進修食安問題？法官是否因法律見解受到獨立之保障而有濫用心證之嫌？均有深入瞭解之必要案。</w:t>
      </w:r>
    </w:p>
    <w:p w:rsidR="006044F8" w:rsidRPr="006A15B1" w:rsidRDefault="005D7557" w:rsidP="004324E1">
      <w:pPr>
        <w:pStyle w:val="2"/>
        <w:spacing w:beforeLines="50" w:before="228"/>
        <w:ind w:left="1020" w:hanging="680"/>
        <w:rPr>
          <w:b/>
          <w:color w:val="000000" w:themeColor="text1"/>
        </w:rPr>
      </w:pPr>
      <w:bookmarkStart w:id="0" w:name="_Toc524902730"/>
      <w:r w:rsidRPr="006A15B1">
        <w:rPr>
          <w:rFonts w:hint="eastAsia"/>
          <w:b/>
          <w:color w:val="000000" w:themeColor="text1"/>
        </w:rPr>
        <w:t>依據食品安全衛生管理</w:t>
      </w:r>
      <w:r w:rsidR="00FB2C6C" w:rsidRPr="006A15B1">
        <w:rPr>
          <w:rFonts w:hint="eastAsia"/>
          <w:b/>
          <w:color w:val="000000" w:themeColor="text1"/>
        </w:rPr>
        <w:t>法</w:t>
      </w:r>
      <w:r w:rsidRPr="006A15B1">
        <w:rPr>
          <w:rFonts w:hint="eastAsia"/>
          <w:b/>
          <w:color w:val="000000" w:themeColor="text1"/>
        </w:rPr>
        <w:t>之制定、立法理由及修法</w:t>
      </w:r>
      <w:r w:rsidR="00FB2C6C" w:rsidRPr="006A15B1">
        <w:rPr>
          <w:rFonts w:hint="eastAsia"/>
          <w:b/>
          <w:color w:val="000000" w:themeColor="text1"/>
        </w:rPr>
        <w:t>目的</w:t>
      </w:r>
      <w:r w:rsidRPr="006A15B1">
        <w:rPr>
          <w:rFonts w:hint="eastAsia"/>
          <w:b/>
          <w:color w:val="000000" w:themeColor="text1"/>
        </w:rPr>
        <w:t>，</w:t>
      </w:r>
      <w:r w:rsidR="00FB2C6C" w:rsidRPr="006A15B1">
        <w:rPr>
          <w:rFonts w:hint="eastAsia"/>
          <w:b/>
          <w:color w:val="000000" w:themeColor="text1"/>
        </w:rPr>
        <w:t>食品安全衛生管理</w:t>
      </w:r>
      <w:r w:rsidRPr="006A15B1">
        <w:rPr>
          <w:rFonts w:hint="eastAsia"/>
          <w:b/>
          <w:color w:val="000000" w:themeColor="text1"/>
        </w:rPr>
        <w:t>法所謂食品添加物，除於該法第3條已為食品添加物界定限於食用範圍外，亦透過</w:t>
      </w:r>
      <w:r w:rsidR="00FB2C6C" w:rsidRPr="006A15B1">
        <w:rPr>
          <w:rFonts w:hint="eastAsia"/>
          <w:b/>
          <w:color w:val="000000" w:themeColor="text1"/>
        </w:rPr>
        <w:t>修法及</w:t>
      </w:r>
      <w:r w:rsidRPr="006A15B1">
        <w:rPr>
          <w:rFonts w:hint="eastAsia"/>
          <w:b/>
          <w:color w:val="000000" w:themeColor="text1"/>
        </w:rPr>
        <w:t>查驗登記之許可制度，來</w:t>
      </w:r>
      <w:r w:rsidR="00FB2C6C" w:rsidRPr="006A15B1">
        <w:rPr>
          <w:rFonts w:hint="eastAsia"/>
          <w:b/>
          <w:color w:val="000000" w:themeColor="text1"/>
        </w:rPr>
        <w:t>加強</w:t>
      </w:r>
      <w:r w:rsidRPr="006A15B1">
        <w:rPr>
          <w:rFonts w:hint="eastAsia"/>
          <w:b/>
          <w:color w:val="000000" w:themeColor="text1"/>
        </w:rPr>
        <w:t>管控「食用」之食品添加物使用規範，然食藥署</w:t>
      </w:r>
      <w:r w:rsidR="005B5866" w:rsidRPr="006A15B1">
        <w:rPr>
          <w:rFonts w:hint="eastAsia"/>
          <w:b/>
          <w:color w:val="000000" w:themeColor="text1"/>
        </w:rPr>
        <w:t>就工業用碳酸鎂</w:t>
      </w:r>
      <w:r w:rsidR="002D1DC0" w:rsidRPr="006A15B1">
        <w:rPr>
          <w:rFonts w:hint="eastAsia"/>
          <w:b/>
          <w:color w:val="000000" w:themeColor="text1"/>
        </w:rPr>
        <w:t>管理</w:t>
      </w:r>
      <w:r w:rsidR="005B5866" w:rsidRPr="006A15B1">
        <w:rPr>
          <w:rFonts w:hint="eastAsia"/>
          <w:b/>
          <w:color w:val="000000" w:themeColor="text1"/>
        </w:rPr>
        <w:t>之函釋及該署證人到庭之證詞，已有違反食安法立法宗旨及法規範目的，並無視立法者修法明確防止工業級化工原料被混入食品添加所賦予主管機關加強管理之責</w:t>
      </w:r>
      <w:r w:rsidRPr="006A15B1">
        <w:rPr>
          <w:rFonts w:hint="eastAsia"/>
          <w:b/>
          <w:color w:val="000000" w:themeColor="text1"/>
        </w:rPr>
        <w:t>，且部分函釋有限縮解釋及行政怠惰之情形，</w:t>
      </w:r>
      <w:r w:rsidR="00E87A51" w:rsidRPr="006A15B1">
        <w:rPr>
          <w:rFonts w:hint="eastAsia"/>
          <w:b/>
          <w:color w:val="000000" w:themeColor="text1"/>
        </w:rPr>
        <w:t>顯有疏失，</w:t>
      </w:r>
      <w:r w:rsidRPr="006A15B1">
        <w:rPr>
          <w:rFonts w:hint="eastAsia"/>
          <w:b/>
          <w:color w:val="000000" w:themeColor="text1"/>
        </w:rPr>
        <w:t>允應儘速重新檢視相關函釋之妥適性</w:t>
      </w:r>
      <w:r w:rsidR="00796984" w:rsidRPr="006A15B1">
        <w:rPr>
          <w:rFonts w:hint="eastAsia"/>
          <w:b/>
          <w:color w:val="000000" w:themeColor="text1"/>
        </w:rPr>
        <w:t>，並約束主管之公務員依法解釋，勿刻意架空已立法通過之法律</w:t>
      </w:r>
    </w:p>
    <w:p w:rsidR="00134603" w:rsidRDefault="008B4A54" w:rsidP="004324E1">
      <w:pPr>
        <w:pStyle w:val="3"/>
        <w:ind w:left="1418" w:hanging="709"/>
      </w:pPr>
      <w:r>
        <w:rPr>
          <w:rFonts w:hint="eastAsia"/>
        </w:rPr>
        <w:lastRenderedPageBreak/>
        <w:t>依</w:t>
      </w:r>
      <w:r w:rsidR="00107319" w:rsidRPr="00107319">
        <w:rPr>
          <w:rFonts w:hint="eastAsia"/>
        </w:rPr>
        <w:t>食品安全衛生管理法</w:t>
      </w:r>
      <w:r w:rsidR="00570DBE">
        <w:rPr>
          <w:rFonts w:hint="eastAsia"/>
        </w:rPr>
        <w:t>（下稱食安法）</w:t>
      </w:r>
      <w:r w:rsidR="00107319">
        <w:rPr>
          <w:rFonts w:hint="eastAsia"/>
        </w:rPr>
        <w:t>第3條規定：</w:t>
      </w:r>
      <w:r w:rsidR="00107319" w:rsidRPr="00AA67FF">
        <w:rPr>
          <w:rFonts w:hint="eastAsia"/>
        </w:rPr>
        <w:t>「本法用詞，定義如下：一、食品：指供人飲食或咀嚼之產品及其原料。</w:t>
      </w:r>
      <w:r w:rsidR="00107319" w:rsidRPr="00AA67FF">
        <w:t>……</w:t>
      </w:r>
      <w:r w:rsidR="00107319" w:rsidRPr="00AA67FF">
        <w:rPr>
          <w:rFonts w:hint="eastAsia"/>
        </w:rPr>
        <w:t>三、食品添加物：指為食品著色、調味、防腐、漂白、乳化、增加香味、安定品質、促進發酵、增加稠度、強化營養、防止氧化或其他必要目的，加入、接觸於食品之單方或複方物質。複方食品添加物使用之添加物僅限由中央主管機關准用之食品添加物組成，前述准用之單方食品添加物皆應有中央主管機關之准用許可字號。</w:t>
      </w:r>
      <w:r w:rsidR="007143A2" w:rsidRPr="00AA67FF">
        <w:t>……</w:t>
      </w:r>
      <w:r w:rsidR="00107319" w:rsidRPr="00AA67FF">
        <w:rPr>
          <w:rFonts w:hint="eastAsia"/>
        </w:rPr>
        <w:t>」</w:t>
      </w:r>
      <w:r>
        <w:rPr>
          <w:rFonts w:hint="eastAsia"/>
        </w:rPr>
        <w:t>復依</w:t>
      </w:r>
      <w:r w:rsidR="00A62DC0" w:rsidRPr="00A62DC0">
        <w:rPr>
          <w:rFonts w:hint="eastAsia"/>
        </w:rPr>
        <w:t>64年1月28日</w:t>
      </w:r>
      <w:r w:rsidR="00A62DC0">
        <w:rPr>
          <w:rFonts w:hint="eastAsia"/>
        </w:rPr>
        <w:t>所制定公布之</w:t>
      </w:r>
      <w:r w:rsidR="0008389C">
        <w:rPr>
          <w:rFonts w:hint="eastAsia"/>
        </w:rPr>
        <w:t>「</w:t>
      </w:r>
      <w:r w:rsidR="00A62DC0">
        <w:rPr>
          <w:rFonts w:hint="eastAsia"/>
        </w:rPr>
        <w:t>食品衛生管理法</w:t>
      </w:r>
      <w:r w:rsidR="0008389C">
        <w:rPr>
          <w:rStyle w:val="afe"/>
        </w:rPr>
        <w:footnoteReference w:id="1"/>
      </w:r>
      <w:r w:rsidR="0008389C">
        <w:rPr>
          <w:rFonts w:hint="eastAsia"/>
        </w:rPr>
        <w:t>」</w:t>
      </w:r>
      <w:r w:rsidR="00D152D8">
        <w:rPr>
          <w:rFonts w:hint="eastAsia"/>
        </w:rPr>
        <w:t>第1條規定：</w:t>
      </w:r>
      <w:r w:rsidR="00D152D8" w:rsidRPr="00AA67FF">
        <w:rPr>
          <w:rFonts w:hint="eastAsia"/>
        </w:rPr>
        <w:t>「為管理食品衛生安全及品質，維護國民健康，特制定本法；本法未規定者，適用其他有關法律之規定。」</w:t>
      </w:r>
      <w:r>
        <w:rPr>
          <w:rFonts w:hint="eastAsia"/>
        </w:rPr>
        <w:t>及</w:t>
      </w:r>
      <w:r w:rsidR="00F62DA4">
        <w:rPr>
          <w:rFonts w:hint="eastAsia"/>
        </w:rPr>
        <w:t>同法</w:t>
      </w:r>
      <w:r w:rsidR="00A62DC0">
        <w:rPr>
          <w:rFonts w:hint="eastAsia"/>
        </w:rPr>
        <w:t>第2條規定：</w:t>
      </w:r>
      <w:r w:rsidR="00A62DC0" w:rsidRPr="00AA67FF">
        <w:rPr>
          <w:rFonts w:hint="eastAsia"/>
        </w:rPr>
        <w:t>「本法所稱食品，係指供人飲食或咀嚼之物品及其原料。」</w:t>
      </w:r>
      <w:r w:rsidR="00B40FF3" w:rsidRPr="00AA67FF">
        <w:rPr>
          <w:rFonts w:hint="eastAsia"/>
        </w:rPr>
        <w:t>依</w:t>
      </w:r>
      <w:r w:rsidR="00F62DA4">
        <w:rPr>
          <w:rFonts w:hint="eastAsia"/>
        </w:rPr>
        <w:t>本條之</w:t>
      </w:r>
      <w:r w:rsidR="00B40FF3" w:rsidRPr="00AA67FF">
        <w:rPr>
          <w:rFonts w:hint="eastAsia"/>
        </w:rPr>
        <w:t>立法理由</w:t>
      </w:r>
      <w:r w:rsidR="00530DB7">
        <w:rPr>
          <w:rFonts w:hint="eastAsia"/>
        </w:rPr>
        <w:t>，</w:t>
      </w:r>
      <w:r w:rsidR="00134603" w:rsidRPr="00AA67FF">
        <w:rPr>
          <w:rFonts w:hint="eastAsia"/>
        </w:rPr>
        <w:t>係規定食品之定義，凡供人飲食或咀嚼之物品及其原料均為食品，而不僅限於「食用商品」。</w:t>
      </w:r>
      <w:r w:rsidR="00730090">
        <w:rPr>
          <w:rFonts w:hint="eastAsia"/>
        </w:rPr>
        <w:t>是以</w:t>
      </w:r>
      <w:r w:rsidR="00D152D8" w:rsidRPr="00AA67FF">
        <w:rPr>
          <w:rFonts w:hint="eastAsia"/>
        </w:rPr>
        <w:t>，食</w:t>
      </w:r>
      <w:r w:rsidR="0023390A">
        <w:rPr>
          <w:rFonts w:hint="eastAsia"/>
        </w:rPr>
        <w:t>安</w:t>
      </w:r>
      <w:r w:rsidR="00D152D8" w:rsidRPr="00AA67FF">
        <w:rPr>
          <w:rFonts w:hint="eastAsia"/>
        </w:rPr>
        <w:t>法</w:t>
      </w:r>
      <w:r w:rsidR="00010ED1" w:rsidRPr="00AA67FF">
        <w:rPr>
          <w:rFonts w:hint="eastAsia"/>
        </w:rPr>
        <w:t>開宗明義已定義說明</w:t>
      </w:r>
      <w:r w:rsidR="00D152D8" w:rsidRPr="00AA67FF">
        <w:rPr>
          <w:rFonts w:hint="eastAsia"/>
        </w:rPr>
        <w:t>，係針對供人飲食或咀嚼之物品及其原料</w:t>
      </w:r>
      <w:r w:rsidR="0028182B">
        <w:rPr>
          <w:rFonts w:hint="eastAsia"/>
        </w:rPr>
        <w:t>進</w:t>
      </w:r>
      <w:r w:rsidR="00D152D8" w:rsidRPr="00AA67FF">
        <w:rPr>
          <w:rFonts w:hint="eastAsia"/>
        </w:rPr>
        <w:t>行</w:t>
      </w:r>
      <w:r w:rsidR="00384B94">
        <w:rPr>
          <w:rFonts w:hint="eastAsia"/>
        </w:rPr>
        <w:t>安全</w:t>
      </w:r>
      <w:r w:rsidR="00D152D8" w:rsidRPr="00AA67FF">
        <w:rPr>
          <w:rFonts w:hint="eastAsia"/>
        </w:rPr>
        <w:t>衛生及品質之管理。</w:t>
      </w:r>
    </w:p>
    <w:p w:rsidR="00DC0F9D" w:rsidRPr="00C55E0E" w:rsidRDefault="00691DAA" w:rsidP="004324E1">
      <w:pPr>
        <w:pStyle w:val="3"/>
        <w:ind w:left="1418" w:hanging="709"/>
      </w:pPr>
      <w:r>
        <w:rPr>
          <w:rFonts w:hint="eastAsia"/>
        </w:rPr>
        <w:t>次依</w:t>
      </w:r>
      <w:r w:rsidR="00DC0F9D" w:rsidRPr="00C55E0E">
        <w:rPr>
          <w:rFonts w:hint="eastAsia"/>
        </w:rPr>
        <w:t>103年</w:t>
      </w:r>
      <w:r w:rsidR="00C7134A" w:rsidRPr="00C55E0E">
        <w:rPr>
          <w:rFonts w:hint="eastAsia"/>
        </w:rPr>
        <w:t>2月5日</w:t>
      </w:r>
      <w:r w:rsidRPr="00691DAA">
        <w:rPr>
          <w:rFonts w:hint="eastAsia"/>
        </w:rPr>
        <w:t>立法者提案</w:t>
      </w:r>
      <w:r>
        <w:rPr>
          <w:rFonts w:hAnsi="標楷體" w:hint="eastAsia"/>
        </w:rPr>
        <w:t>「</w:t>
      </w:r>
      <w:r w:rsidR="00C7134A" w:rsidRPr="00C55E0E">
        <w:rPr>
          <w:rFonts w:hint="eastAsia"/>
        </w:rPr>
        <w:t>食品衛生管理法</w:t>
      </w:r>
      <w:r>
        <w:rPr>
          <w:rFonts w:hAnsi="標楷體" w:hint="eastAsia"/>
        </w:rPr>
        <w:t>」</w:t>
      </w:r>
      <w:r w:rsidR="00C7134A" w:rsidRPr="00C55E0E">
        <w:rPr>
          <w:rFonts w:hint="eastAsia"/>
        </w:rPr>
        <w:t>第3條之修法說明：</w:t>
      </w:r>
      <w:r w:rsidR="00160AFF">
        <w:rPr>
          <w:rFonts w:hint="eastAsia"/>
        </w:rPr>
        <w:t>「</w:t>
      </w:r>
      <w:r w:rsidR="00C55E0E" w:rsidRPr="00C55E0E">
        <w:rPr>
          <w:rFonts w:hint="eastAsia"/>
        </w:rPr>
        <w:t>食品添加物分為</w:t>
      </w:r>
      <w:r>
        <w:rPr>
          <w:rFonts w:hAnsi="標楷體" w:hint="eastAsia"/>
        </w:rPr>
        <w:t>『</w:t>
      </w:r>
      <w:r w:rsidR="00C55E0E" w:rsidRPr="00C55E0E">
        <w:rPr>
          <w:rFonts w:hint="eastAsia"/>
        </w:rPr>
        <w:t>單方</w:t>
      </w:r>
      <w:r>
        <w:rPr>
          <w:rFonts w:hAnsi="標楷體" w:hint="eastAsia"/>
        </w:rPr>
        <w:t>』</w:t>
      </w:r>
      <w:r w:rsidR="00C55E0E" w:rsidRPr="00C55E0E">
        <w:rPr>
          <w:rFonts w:hint="eastAsia"/>
        </w:rPr>
        <w:t>與</w:t>
      </w:r>
      <w:r>
        <w:rPr>
          <w:rFonts w:hAnsi="標楷體" w:hint="eastAsia"/>
        </w:rPr>
        <w:t>『</w:t>
      </w:r>
      <w:r w:rsidR="00C55E0E" w:rsidRPr="00C55E0E">
        <w:rPr>
          <w:rFonts w:hint="eastAsia"/>
        </w:rPr>
        <w:t>複方</w:t>
      </w:r>
      <w:r>
        <w:rPr>
          <w:rFonts w:hAnsi="標楷體" w:hint="eastAsia"/>
        </w:rPr>
        <w:t>』</w:t>
      </w:r>
      <w:r w:rsidR="00C55E0E" w:rsidRPr="00C55E0E">
        <w:rPr>
          <w:rFonts w:hint="eastAsia"/>
        </w:rPr>
        <w:t>兩種，其中</w:t>
      </w:r>
      <w:r>
        <w:rPr>
          <w:rFonts w:hAnsi="標楷體" w:hint="eastAsia"/>
        </w:rPr>
        <w:t>『</w:t>
      </w:r>
      <w:r w:rsidR="00C55E0E" w:rsidRPr="00C55E0E">
        <w:rPr>
          <w:rFonts w:hint="eastAsia"/>
        </w:rPr>
        <w:t>複方</w:t>
      </w:r>
      <w:r>
        <w:rPr>
          <w:rFonts w:hAnsi="標楷體" w:hint="eastAsia"/>
        </w:rPr>
        <w:t>』</w:t>
      </w:r>
      <w:r w:rsidR="00C55E0E" w:rsidRPr="00C55E0E">
        <w:rPr>
          <w:rFonts w:hint="eastAsia"/>
        </w:rPr>
        <w:t>是以</w:t>
      </w:r>
      <w:r>
        <w:rPr>
          <w:rFonts w:hAnsi="標楷體" w:hint="eastAsia"/>
        </w:rPr>
        <w:t>『</w:t>
      </w:r>
      <w:r w:rsidR="00C55E0E" w:rsidRPr="00C55E0E">
        <w:rPr>
          <w:rFonts w:hint="eastAsia"/>
        </w:rPr>
        <w:t>單方</w:t>
      </w:r>
      <w:r>
        <w:rPr>
          <w:rFonts w:hAnsi="標楷體" w:hint="eastAsia"/>
        </w:rPr>
        <w:t>』</w:t>
      </w:r>
      <w:r w:rsidR="00C55E0E" w:rsidRPr="00C55E0E">
        <w:rPr>
          <w:rFonts w:hint="eastAsia"/>
        </w:rPr>
        <w:t>再調配其他食品原料，或食品添加物而組成。原本單方或複方都必須查驗登記後才能使用，但在民國</w:t>
      </w:r>
      <w:r w:rsidR="00C55E0E" w:rsidRPr="00C55E0E">
        <w:t>89</w:t>
      </w:r>
      <w:r w:rsidR="00C55E0E" w:rsidRPr="00C55E0E">
        <w:rPr>
          <w:rFonts w:hint="eastAsia"/>
        </w:rPr>
        <w:t>年後，複方食品添加物卻不需再查驗登記，造成臺灣食品安全管理的最大漏洞，導致工業級化工原料被不肖業者混入日常食品添加物、不受政府控管，爰明定食</w:t>
      </w:r>
      <w:r w:rsidR="00C55E0E" w:rsidRPr="00C55E0E">
        <w:rPr>
          <w:rFonts w:hint="eastAsia"/>
        </w:rPr>
        <w:lastRenderedPageBreak/>
        <w:t>品添加物包含</w:t>
      </w:r>
      <w:r>
        <w:rPr>
          <w:rFonts w:hAnsi="標楷體" w:hint="eastAsia"/>
        </w:rPr>
        <w:t>『</w:t>
      </w:r>
      <w:r w:rsidR="00C55E0E" w:rsidRPr="00C55E0E">
        <w:rPr>
          <w:rFonts w:hint="eastAsia"/>
        </w:rPr>
        <w:t>單方</w:t>
      </w:r>
      <w:r>
        <w:rPr>
          <w:rFonts w:hAnsi="標楷體" w:hint="eastAsia"/>
        </w:rPr>
        <w:t>』</w:t>
      </w:r>
      <w:r w:rsidR="00C55E0E" w:rsidRPr="00C55E0E">
        <w:rPr>
          <w:rFonts w:hint="eastAsia"/>
        </w:rPr>
        <w:t>與</w:t>
      </w:r>
      <w:r>
        <w:rPr>
          <w:rFonts w:hAnsi="標楷體" w:hint="eastAsia"/>
        </w:rPr>
        <w:t>『</w:t>
      </w:r>
      <w:r w:rsidR="00C55E0E" w:rsidRPr="00C55E0E">
        <w:rPr>
          <w:rFonts w:hint="eastAsia"/>
        </w:rPr>
        <w:t>複方</w:t>
      </w:r>
      <w:r>
        <w:rPr>
          <w:rFonts w:hAnsi="標楷體" w:hint="eastAsia"/>
        </w:rPr>
        <w:t>』</w:t>
      </w:r>
      <w:r w:rsidR="00C55E0E" w:rsidRPr="00C55E0E">
        <w:rPr>
          <w:rFonts w:hint="eastAsia"/>
        </w:rPr>
        <w:t>。</w:t>
      </w:r>
      <w:r w:rsidR="00160AFF">
        <w:t>……</w:t>
      </w:r>
      <w:r w:rsidR="00160AFF">
        <w:rPr>
          <w:rFonts w:hint="eastAsia"/>
        </w:rPr>
        <w:t>。」</w:t>
      </w:r>
      <w:r w:rsidR="000A02AE">
        <w:rPr>
          <w:rFonts w:hint="eastAsia"/>
        </w:rPr>
        <w:t>可知</w:t>
      </w:r>
      <w:r w:rsidR="00EE0A63">
        <w:rPr>
          <w:rFonts w:hint="eastAsia"/>
        </w:rPr>
        <w:t>，</w:t>
      </w:r>
      <w:r>
        <w:rPr>
          <w:rFonts w:hAnsi="標楷體" w:hint="eastAsia"/>
        </w:rPr>
        <w:t>「</w:t>
      </w:r>
      <w:r w:rsidR="00EE0A63">
        <w:rPr>
          <w:rFonts w:hint="eastAsia"/>
        </w:rPr>
        <w:t>食品衛生管理法</w:t>
      </w:r>
      <w:r>
        <w:rPr>
          <w:rFonts w:hAnsi="標楷體" w:hint="eastAsia"/>
        </w:rPr>
        <w:t>」</w:t>
      </w:r>
      <w:r w:rsidR="00EE0A63">
        <w:rPr>
          <w:rFonts w:hint="eastAsia"/>
        </w:rPr>
        <w:t>第3條之訂/修定，立法者係為使行政機關據以</w:t>
      </w:r>
      <w:r>
        <w:rPr>
          <w:rFonts w:hint="eastAsia"/>
        </w:rPr>
        <w:t>加強</w:t>
      </w:r>
      <w:r w:rsidR="00EE0A63">
        <w:rPr>
          <w:rFonts w:hint="eastAsia"/>
        </w:rPr>
        <w:t>管理</w:t>
      </w:r>
      <w:r w:rsidR="00C55E0E" w:rsidRPr="00EE0A63">
        <w:rPr>
          <w:rFonts w:hint="eastAsia"/>
        </w:rPr>
        <w:t>工業級化工原料被混入日常食品添加物</w:t>
      </w:r>
      <w:r w:rsidR="00EE0A63">
        <w:rPr>
          <w:rFonts w:hint="eastAsia"/>
        </w:rPr>
        <w:t>所為之</w:t>
      </w:r>
      <w:r>
        <w:rPr>
          <w:rFonts w:hint="eastAsia"/>
        </w:rPr>
        <w:t>修法</w:t>
      </w:r>
      <w:r w:rsidR="00EE0A63">
        <w:rPr>
          <w:rFonts w:hint="eastAsia"/>
        </w:rPr>
        <w:t>。</w:t>
      </w:r>
    </w:p>
    <w:p w:rsidR="00D75DB7" w:rsidRDefault="00691DAA" w:rsidP="004324E1">
      <w:pPr>
        <w:pStyle w:val="3"/>
        <w:ind w:left="1418" w:hanging="709"/>
      </w:pPr>
      <w:r>
        <w:rPr>
          <w:rFonts w:hint="eastAsia"/>
        </w:rPr>
        <w:t>再</w:t>
      </w:r>
      <w:r w:rsidR="008B4A54" w:rsidRPr="00063EFD">
        <w:rPr>
          <w:rFonts w:hint="eastAsia"/>
        </w:rPr>
        <w:t>依</w:t>
      </w:r>
      <w:r w:rsidR="00E02753" w:rsidRPr="00063EFD">
        <w:rPr>
          <w:rFonts w:hint="eastAsia"/>
        </w:rPr>
        <w:t>64年1月28日</w:t>
      </w:r>
      <w:r w:rsidR="008B4A54" w:rsidRPr="00063EFD">
        <w:rPr>
          <w:rFonts w:hint="eastAsia"/>
        </w:rPr>
        <w:t>所制定</w:t>
      </w:r>
      <w:r w:rsidR="00E02753" w:rsidRPr="00063EFD">
        <w:rPr>
          <w:rFonts w:hint="eastAsia"/>
        </w:rPr>
        <w:t>之</w:t>
      </w:r>
      <w:r w:rsidR="003F5987">
        <w:rPr>
          <w:rFonts w:hint="eastAsia"/>
        </w:rPr>
        <w:t>「</w:t>
      </w:r>
      <w:r w:rsidR="00E02753" w:rsidRPr="00063EFD">
        <w:rPr>
          <w:rFonts w:hint="eastAsia"/>
        </w:rPr>
        <w:t>食品衛生管理法</w:t>
      </w:r>
      <w:r w:rsidR="003F5987">
        <w:rPr>
          <w:rFonts w:hint="eastAsia"/>
        </w:rPr>
        <w:t>」</w:t>
      </w:r>
      <w:r w:rsidR="00E02753" w:rsidRPr="00063EFD">
        <w:rPr>
          <w:rFonts w:hint="eastAsia"/>
        </w:rPr>
        <w:t>第13條規定：「左列物品，非經中央主管機關查驗登記並發給許可證，不得製造或輸入、輸出：一、食品添加物。二、經中央主管機關指定公告之食品及食品器具、容器或包裝。」其</w:t>
      </w:r>
      <w:r w:rsidR="00C76DBB">
        <w:rPr>
          <w:rFonts w:hint="eastAsia"/>
        </w:rPr>
        <w:t>當時</w:t>
      </w:r>
      <w:r w:rsidR="00E02753" w:rsidRPr="00063EFD">
        <w:rPr>
          <w:rFonts w:hint="eastAsia"/>
        </w:rPr>
        <w:t>立法理由為：</w:t>
      </w:r>
      <w:r w:rsidR="00C76DBB">
        <w:rPr>
          <w:rFonts w:hint="eastAsia"/>
        </w:rPr>
        <w:t>「</w:t>
      </w:r>
      <w:r w:rsidR="00E02753" w:rsidRPr="00063EFD">
        <w:rPr>
          <w:rFonts w:hint="eastAsia"/>
        </w:rPr>
        <w:t>食品添加物與食品衛生關係密切之食品、食品器具、容器或包裝，其品質之好壞，直接或間接影響人體健康，故須事先加以查驗登記，經在驗合格號給許可證後，始許製造或輸入、輸出，以確保其衛生安全。</w:t>
      </w:r>
      <w:r w:rsidR="00C76DBB">
        <w:rPr>
          <w:rFonts w:hint="eastAsia"/>
        </w:rPr>
        <w:t>」經歷次修正後為現行食安法</w:t>
      </w:r>
      <w:r w:rsidR="00063EFD" w:rsidRPr="00063EFD">
        <w:rPr>
          <w:rFonts w:hint="eastAsia"/>
        </w:rPr>
        <w:t>第21條</w:t>
      </w:r>
      <w:r w:rsidR="00C76DBB">
        <w:rPr>
          <w:rFonts w:hint="eastAsia"/>
        </w:rPr>
        <w:t>，其</w:t>
      </w:r>
      <w:r w:rsidR="00063EFD" w:rsidRPr="00063EFD">
        <w:rPr>
          <w:rFonts w:hint="eastAsia"/>
        </w:rPr>
        <w:t>規定：「經中央主管機關公告之食品、食品添加物、食品器具、食品容器或包裝及食品用洗潔劑，其製造、加工、調配、改裝、輸入或輸出，非經中央主管機關查驗登記並發給許可文件，不得為之；</w:t>
      </w:r>
      <w:r w:rsidR="00D75DB7">
        <w:t>……</w:t>
      </w:r>
      <w:r w:rsidR="00063EFD" w:rsidRPr="00063EFD">
        <w:rPr>
          <w:rFonts w:hint="eastAsia"/>
        </w:rPr>
        <w:t>」</w:t>
      </w:r>
      <w:r w:rsidR="00EC7FFA">
        <w:rPr>
          <w:rFonts w:hint="eastAsia"/>
        </w:rPr>
        <w:t>可知</w:t>
      </w:r>
      <w:r w:rsidR="00E02753" w:rsidRPr="00063EFD">
        <w:rPr>
          <w:rFonts w:hint="eastAsia"/>
        </w:rPr>
        <w:t>，我國對食品添加物之製造或輸入、輸出等係採許可制，其後雖歷經多次修法，將製造、加工、調配、改裝、輸入或輸出等使用情形納入管理範圍，然食品添加物之許可制，迄今仍為我國把關食品添加物安全衛生之</w:t>
      </w:r>
      <w:r w:rsidR="00D75DB7">
        <w:rPr>
          <w:rFonts w:hint="eastAsia"/>
        </w:rPr>
        <w:t>管理</w:t>
      </w:r>
      <w:r w:rsidR="00E02753" w:rsidRPr="00063EFD">
        <w:rPr>
          <w:rFonts w:hint="eastAsia"/>
        </w:rPr>
        <w:t>手段。</w:t>
      </w:r>
    </w:p>
    <w:p w:rsidR="00B20D74" w:rsidRPr="00E16E20" w:rsidRDefault="00C0701E" w:rsidP="004324E1">
      <w:pPr>
        <w:pStyle w:val="3"/>
        <w:ind w:left="1418" w:hanging="709"/>
      </w:pPr>
      <w:r>
        <w:rPr>
          <w:rFonts w:hint="eastAsia"/>
        </w:rPr>
        <w:t>查</w:t>
      </w:r>
      <w:r w:rsidR="00313AFA">
        <w:rPr>
          <w:rFonts w:hint="eastAsia"/>
        </w:rPr>
        <w:t>食安法第18條條文歷經4次修正，除文字及條次變更外，102年6月19日之修正</w:t>
      </w:r>
      <w:r w:rsidR="00313AFA" w:rsidRPr="00A87969">
        <w:rPr>
          <w:rFonts w:hint="eastAsia"/>
        </w:rPr>
        <w:t>（現行條文</w:t>
      </w:r>
      <w:r w:rsidR="00313AFA">
        <w:rPr>
          <w:rStyle w:val="afe"/>
        </w:rPr>
        <w:footnoteReference w:id="2"/>
      </w:r>
      <w:r w:rsidR="00313AFA" w:rsidRPr="00A87969">
        <w:rPr>
          <w:rFonts w:hint="eastAsia"/>
        </w:rPr>
        <w:t>）</w:t>
      </w:r>
      <w:r w:rsidR="00313AFA">
        <w:rPr>
          <w:rFonts w:hint="eastAsia"/>
        </w:rPr>
        <w:t>並</w:t>
      </w:r>
      <w:r w:rsidR="00313AFA" w:rsidRPr="00AA65FF">
        <w:rPr>
          <w:rFonts w:hint="eastAsia"/>
        </w:rPr>
        <w:t>增訂第</w:t>
      </w:r>
      <w:r w:rsidR="00313AFA">
        <w:rPr>
          <w:rFonts w:hint="eastAsia"/>
        </w:rPr>
        <w:t>2</w:t>
      </w:r>
      <w:r w:rsidR="00313AFA" w:rsidRPr="00AA65FF">
        <w:rPr>
          <w:rFonts w:hint="eastAsia"/>
        </w:rPr>
        <w:t>項「前項標準之訂定，必須以可以達到預期效果之最小量為限制，且依據國人膳食習慣為風險評</w:t>
      </w:r>
      <w:r w:rsidR="00313AFA" w:rsidRPr="00AA65FF">
        <w:rPr>
          <w:rFonts w:hint="eastAsia"/>
        </w:rPr>
        <w:lastRenderedPageBreak/>
        <w:t>估，同時必須遵守規格標準之規定」</w:t>
      </w:r>
      <w:r w:rsidR="006E454B">
        <w:rPr>
          <w:rFonts w:hint="eastAsia"/>
        </w:rPr>
        <w:t>；其違反則依同法第</w:t>
      </w:r>
      <w:r w:rsidR="00313AFA">
        <w:rPr>
          <w:rFonts w:hint="eastAsia"/>
        </w:rPr>
        <w:t>47條</w:t>
      </w:r>
      <w:r w:rsidR="006E454B">
        <w:rPr>
          <w:rFonts w:hint="eastAsia"/>
        </w:rPr>
        <w:t>或</w:t>
      </w:r>
      <w:r w:rsidR="00313AFA" w:rsidRPr="00B20D74">
        <w:rPr>
          <w:rFonts w:hAnsi="標楷體" w:hint="eastAsia"/>
        </w:rPr>
        <w:t>第48條規定</w:t>
      </w:r>
      <w:r w:rsidR="0033604C">
        <w:rPr>
          <w:rFonts w:hAnsi="標楷體" w:hint="eastAsia"/>
        </w:rPr>
        <w:t>，</w:t>
      </w:r>
      <w:r w:rsidR="006E454B" w:rsidRPr="00B20D74">
        <w:rPr>
          <w:rFonts w:hAnsi="標楷體" w:hint="eastAsia"/>
        </w:rPr>
        <w:t>處以</w:t>
      </w:r>
      <w:r w:rsidR="00313AFA" w:rsidRPr="00B20D74">
        <w:rPr>
          <w:rFonts w:hAnsi="標楷體" w:hint="eastAsia"/>
        </w:rPr>
        <w:t>罰鍰</w:t>
      </w:r>
      <w:r w:rsidR="006E454B" w:rsidRPr="00B20D74">
        <w:rPr>
          <w:rFonts w:hAnsi="標楷體" w:hint="eastAsia"/>
        </w:rPr>
        <w:t>或</w:t>
      </w:r>
      <w:r w:rsidR="00313AFA" w:rsidRPr="00B20D74">
        <w:rPr>
          <w:rFonts w:hAnsi="標楷體" w:hint="eastAsia"/>
        </w:rPr>
        <w:t>命其歇業、停業</w:t>
      </w:r>
      <w:r w:rsidR="006E454B" w:rsidRPr="00B20D74">
        <w:rPr>
          <w:rFonts w:hAnsi="標楷體"/>
        </w:rPr>
        <w:t>……</w:t>
      </w:r>
      <w:r w:rsidR="006E454B" w:rsidRPr="00B20D74">
        <w:rPr>
          <w:rFonts w:hAnsi="標楷體" w:hint="eastAsia"/>
        </w:rPr>
        <w:t>等</w:t>
      </w:r>
      <w:r w:rsidR="00313AFA" w:rsidRPr="00B20D74">
        <w:rPr>
          <w:rFonts w:hAnsi="標楷體" w:hint="eastAsia"/>
        </w:rPr>
        <w:t>裁處。</w:t>
      </w:r>
      <w:r w:rsidR="00AC645C" w:rsidRPr="00B20D74">
        <w:rPr>
          <w:rFonts w:hAnsi="標楷體" w:hint="eastAsia"/>
        </w:rPr>
        <w:t>而食安法第15條</w:t>
      </w:r>
      <w:r w:rsidR="00B20D74">
        <w:rPr>
          <w:rFonts w:hint="eastAsia"/>
        </w:rPr>
        <w:t>條文</w:t>
      </w:r>
      <w:r w:rsidR="0033604C">
        <w:rPr>
          <w:rFonts w:hint="eastAsia"/>
        </w:rPr>
        <w:t>則</w:t>
      </w:r>
      <w:r w:rsidR="00B20D74" w:rsidRPr="00B20D74">
        <w:rPr>
          <w:rFonts w:hint="eastAsia"/>
        </w:rPr>
        <w:t>歷經6次修正</w:t>
      </w:r>
      <w:r w:rsidR="00B20D74">
        <w:rPr>
          <w:rFonts w:hint="eastAsia"/>
        </w:rPr>
        <w:t>，</w:t>
      </w:r>
      <w:r w:rsidR="00B20D74" w:rsidRPr="00B20D74">
        <w:rPr>
          <w:rFonts w:hint="eastAsia"/>
        </w:rPr>
        <w:t>其中102年6月19日之修正，增訂第1項第10款「添加未經中央主管機關許可之添加物」</w:t>
      </w:r>
      <w:r w:rsidR="00B20D74">
        <w:rPr>
          <w:rFonts w:hint="eastAsia"/>
        </w:rPr>
        <w:t>並</w:t>
      </w:r>
      <w:r w:rsidR="00B20D74" w:rsidRPr="00B20D74">
        <w:rPr>
          <w:rFonts w:hint="eastAsia"/>
        </w:rPr>
        <w:t>於同法第49條第1項增訂「有第15條第1項第7款、第10款行為者，處5年以下有期徒刑、拘役或科或併科新臺幣800萬元以下罰金。」之規定。</w:t>
      </w:r>
      <w:r w:rsidR="0036060E">
        <w:rPr>
          <w:rFonts w:hint="eastAsia"/>
        </w:rPr>
        <w:t>是以，違反食安法第18條及第1</w:t>
      </w:r>
      <w:r w:rsidR="0071407C">
        <w:rPr>
          <w:rFonts w:hint="eastAsia"/>
        </w:rPr>
        <w:t>5</w:t>
      </w:r>
      <w:r w:rsidR="0036060E">
        <w:rPr>
          <w:rFonts w:hint="eastAsia"/>
        </w:rPr>
        <w:t>條之罰則並不相同，違反食安法第1</w:t>
      </w:r>
      <w:r w:rsidR="0071407C">
        <w:rPr>
          <w:rFonts w:hint="eastAsia"/>
        </w:rPr>
        <w:t>5</w:t>
      </w:r>
      <w:r w:rsidR="0036060E">
        <w:rPr>
          <w:rFonts w:hint="eastAsia"/>
        </w:rPr>
        <w:t>條甚至涉及</w:t>
      </w:r>
      <w:r w:rsidR="0033604C">
        <w:rPr>
          <w:rFonts w:hint="eastAsia"/>
        </w:rPr>
        <w:t>刑事處罰</w:t>
      </w:r>
      <w:r w:rsidR="0036060E">
        <w:rPr>
          <w:rFonts w:hint="eastAsia"/>
        </w:rPr>
        <w:t>。</w:t>
      </w:r>
    </w:p>
    <w:p w:rsidR="005D298D" w:rsidRPr="006A15B1" w:rsidRDefault="005D298D" w:rsidP="004324E1">
      <w:pPr>
        <w:pStyle w:val="3"/>
        <w:ind w:left="1418" w:hanging="709"/>
        <w:rPr>
          <w:color w:val="000000" w:themeColor="text1"/>
        </w:rPr>
      </w:pPr>
      <w:r w:rsidRPr="006A15B1">
        <w:rPr>
          <w:rFonts w:hint="eastAsia"/>
          <w:color w:val="000000" w:themeColor="text1"/>
        </w:rPr>
        <w:t>食安法第</w:t>
      </w:r>
      <w:r w:rsidRPr="006A15B1">
        <w:rPr>
          <w:color w:val="000000" w:themeColor="text1"/>
        </w:rPr>
        <w:t>8</w:t>
      </w:r>
      <w:r w:rsidRPr="006A15B1">
        <w:rPr>
          <w:rFonts w:hint="eastAsia"/>
          <w:color w:val="000000" w:themeColor="text1"/>
        </w:rPr>
        <w:t>條是規範「食品業者」之從業人員、作業場所、設施衛生管理及其品保制度等，與食品食用之規範無關，此從該條三項法條之記载自明；而第</w:t>
      </w:r>
      <w:r w:rsidRPr="006A15B1">
        <w:rPr>
          <w:color w:val="000000" w:themeColor="text1"/>
        </w:rPr>
        <w:t>15</w:t>
      </w:r>
      <w:r w:rsidRPr="006A15B1">
        <w:rPr>
          <w:rFonts w:hint="eastAsia"/>
          <w:color w:val="000000" w:themeColor="text1"/>
        </w:rPr>
        <w:t>條第</w:t>
      </w:r>
      <w:r w:rsidRPr="006A15B1">
        <w:rPr>
          <w:color w:val="000000" w:themeColor="text1"/>
        </w:rPr>
        <w:t>1</w:t>
      </w:r>
      <w:r w:rsidRPr="006A15B1">
        <w:rPr>
          <w:rFonts w:hint="eastAsia"/>
          <w:color w:val="000000" w:themeColor="text1"/>
        </w:rPr>
        <w:t>項「七、攙偽或假冒。」、「十、添加未經中央主管機關許可之添加物」，依其文義，「非食品級」之食品或添加物，當然違反第</w:t>
      </w:r>
      <w:r w:rsidRPr="006A15B1">
        <w:rPr>
          <w:color w:val="000000" w:themeColor="text1"/>
        </w:rPr>
        <w:t>15</w:t>
      </w:r>
      <w:r w:rsidRPr="006A15B1">
        <w:rPr>
          <w:rFonts w:hint="eastAsia"/>
          <w:color w:val="000000" w:themeColor="text1"/>
        </w:rPr>
        <w:t>條，應依第</w:t>
      </w:r>
      <w:r w:rsidRPr="006A15B1">
        <w:rPr>
          <w:color w:val="000000" w:themeColor="text1"/>
        </w:rPr>
        <w:t>49</w:t>
      </w:r>
      <w:r w:rsidRPr="006A15B1">
        <w:rPr>
          <w:rFonts w:hint="eastAsia"/>
          <w:color w:val="000000" w:themeColor="text1"/>
        </w:rPr>
        <w:t>條：「有第</w:t>
      </w:r>
      <w:r w:rsidR="001618EB" w:rsidRPr="006A15B1">
        <w:rPr>
          <w:rFonts w:hint="eastAsia"/>
          <w:color w:val="000000" w:themeColor="text1"/>
        </w:rPr>
        <w:t>15</w:t>
      </w:r>
      <w:r w:rsidRPr="006A15B1">
        <w:rPr>
          <w:rFonts w:hint="eastAsia"/>
          <w:color w:val="000000" w:themeColor="text1"/>
        </w:rPr>
        <w:t>第</w:t>
      </w:r>
      <w:r w:rsidR="001618EB" w:rsidRPr="006A15B1">
        <w:rPr>
          <w:rFonts w:hint="eastAsia"/>
          <w:color w:val="000000" w:themeColor="text1"/>
        </w:rPr>
        <w:t>1</w:t>
      </w:r>
      <w:r w:rsidRPr="006A15B1">
        <w:rPr>
          <w:rFonts w:hint="eastAsia"/>
          <w:color w:val="000000" w:themeColor="text1"/>
        </w:rPr>
        <w:t>第</w:t>
      </w:r>
      <w:r w:rsidR="001618EB" w:rsidRPr="006A15B1">
        <w:rPr>
          <w:rFonts w:hint="eastAsia"/>
          <w:color w:val="000000" w:themeColor="text1"/>
        </w:rPr>
        <w:t>3</w:t>
      </w:r>
      <w:r w:rsidRPr="006A15B1">
        <w:rPr>
          <w:rFonts w:hint="eastAsia"/>
          <w:color w:val="000000" w:themeColor="text1"/>
        </w:rPr>
        <w:t>款、第</w:t>
      </w:r>
      <w:r w:rsidR="001618EB" w:rsidRPr="006A15B1">
        <w:rPr>
          <w:rFonts w:hint="eastAsia"/>
          <w:color w:val="000000" w:themeColor="text1"/>
        </w:rPr>
        <w:t>7</w:t>
      </w:r>
      <w:r w:rsidRPr="006A15B1">
        <w:rPr>
          <w:rFonts w:hint="eastAsia"/>
          <w:color w:val="000000" w:themeColor="text1"/>
        </w:rPr>
        <w:t>款、第</w:t>
      </w:r>
      <w:r w:rsidR="001618EB" w:rsidRPr="006A15B1">
        <w:rPr>
          <w:rFonts w:hint="eastAsia"/>
          <w:color w:val="000000" w:themeColor="text1"/>
        </w:rPr>
        <w:t>10</w:t>
      </w:r>
      <w:r w:rsidRPr="006A15B1">
        <w:rPr>
          <w:rFonts w:hint="eastAsia"/>
          <w:color w:val="000000" w:themeColor="text1"/>
        </w:rPr>
        <w:t>或第</w:t>
      </w:r>
      <w:r w:rsidR="001618EB" w:rsidRPr="006A15B1">
        <w:rPr>
          <w:rFonts w:hint="eastAsia"/>
          <w:color w:val="000000" w:themeColor="text1"/>
        </w:rPr>
        <w:t>16</w:t>
      </w:r>
      <w:r w:rsidRPr="006A15B1">
        <w:rPr>
          <w:rFonts w:hint="eastAsia"/>
          <w:color w:val="000000" w:themeColor="text1"/>
        </w:rPr>
        <w:t>第</w:t>
      </w:r>
      <w:r w:rsidR="001618EB" w:rsidRPr="006A15B1">
        <w:rPr>
          <w:rFonts w:hint="eastAsia"/>
          <w:color w:val="000000" w:themeColor="text1"/>
        </w:rPr>
        <w:t>1</w:t>
      </w:r>
      <w:r w:rsidRPr="006A15B1">
        <w:rPr>
          <w:rFonts w:hint="eastAsia"/>
          <w:color w:val="000000" w:themeColor="text1"/>
        </w:rPr>
        <w:t>款行為者，處</w:t>
      </w:r>
      <w:r w:rsidR="001618EB" w:rsidRPr="006A15B1">
        <w:rPr>
          <w:rFonts w:hint="eastAsia"/>
          <w:color w:val="000000" w:themeColor="text1"/>
        </w:rPr>
        <w:t>7</w:t>
      </w:r>
      <w:r w:rsidRPr="006A15B1">
        <w:rPr>
          <w:rFonts w:hint="eastAsia"/>
          <w:color w:val="000000" w:themeColor="text1"/>
        </w:rPr>
        <w:t>年以下有期徒刑，得併科新臺幣</w:t>
      </w:r>
      <w:r w:rsidR="001618EB" w:rsidRPr="006A15B1">
        <w:rPr>
          <w:rFonts w:hint="eastAsia"/>
          <w:color w:val="000000" w:themeColor="text1"/>
        </w:rPr>
        <w:t>8</w:t>
      </w:r>
      <w:r w:rsidRPr="006A15B1">
        <w:rPr>
          <w:rFonts w:hint="eastAsia"/>
          <w:color w:val="000000" w:themeColor="text1"/>
        </w:rPr>
        <w:t>千萬元以下罰金。情節輕微者，處</w:t>
      </w:r>
      <w:r w:rsidR="001618EB" w:rsidRPr="006A15B1">
        <w:rPr>
          <w:rFonts w:hint="eastAsia"/>
          <w:color w:val="000000" w:themeColor="text1"/>
        </w:rPr>
        <w:t>5</w:t>
      </w:r>
      <w:r w:rsidRPr="006A15B1">
        <w:rPr>
          <w:rFonts w:hint="eastAsia"/>
          <w:color w:val="000000" w:themeColor="text1"/>
        </w:rPr>
        <w:t>年以下有期徒刑、拘役或科或併科</w:t>
      </w:r>
      <w:r w:rsidR="00DD2D27" w:rsidRPr="006A15B1">
        <w:rPr>
          <w:rFonts w:hint="eastAsia"/>
          <w:color w:val="000000" w:themeColor="text1"/>
        </w:rPr>
        <w:t>新</w:t>
      </w:r>
      <w:r w:rsidRPr="006A15B1">
        <w:rPr>
          <w:rFonts w:hint="eastAsia"/>
          <w:color w:val="000000" w:themeColor="text1"/>
        </w:rPr>
        <w:t>臺幣</w:t>
      </w:r>
      <w:r w:rsidR="001618EB" w:rsidRPr="006A15B1">
        <w:rPr>
          <w:rFonts w:hint="eastAsia"/>
          <w:color w:val="000000" w:themeColor="text1"/>
        </w:rPr>
        <w:t>8</w:t>
      </w:r>
      <w:r w:rsidRPr="006A15B1">
        <w:rPr>
          <w:rFonts w:hint="eastAsia"/>
          <w:color w:val="000000" w:themeColor="text1"/>
        </w:rPr>
        <w:t>百萬元以下罰</w:t>
      </w:r>
      <w:r w:rsidR="00DD2D27" w:rsidRPr="006A15B1">
        <w:rPr>
          <w:rFonts w:hint="eastAsia"/>
          <w:color w:val="000000" w:themeColor="text1"/>
        </w:rPr>
        <w:t>金</w:t>
      </w:r>
      <w:r w:rsidR="00DD2D27" w:rsidRPr="006A15B1">
        <w:rPr>
          <w:rFonts w:hAnsi="標楷體" w:hint="eastAsia"/>
          <w:color w:val="000000" w:themeColor="text1"/>
        </w:rPr>
        <w:t>」</w:t>
      </w:r>
      <w:r w:rsidRPr="006A15B1">
        <w:rPr>
          <w:rFonts w:hint="eastAsia"/>
          <w:color w:val="000000" w:themeColor="text1"/>
        </w:rPr>
        <w:t>，與違反第</w:t>
      </w:r>
      <w:r w:rsidRPr="006A15B1">
        <w:rPr>
          <w:color w:val="000000" w:themeColor="text1"/>
        </w:rPr>
        <w:t>8</w:t>
      </w:r>
      <w:r w:rsidRPr="006A15B1">
        <w:rPr>
          <w:rFonts w:hint="eastAsia"/>
          <w:color w:val="000000" w:themeColor="text1"/>
        </w:rPr>
        <w:t>條，僅行政罰</w:t>
      </w:r>
      <w:r w:rsidR="00DD2D27" w:rsidRPr="006A15B1">
        <w:rPr>
          <w:rFonts w:hint="eastAsia"/>
          <w:color w:val="000000" w:themeColor="text1"/>
        </w:rPr>
        <w:t>鍰</w:t>
      </w:r>
      <w:r w:rsidRPr="006A15B1">
        <w:rPr>
          <w:rFonts w:hint="eastAsia"/>
          <w:color w:val="000000" w:themeColor="text1"/>
        </w:rPr>
        <w:t>，截然不同。以「工業用」碳酸</w:t>
      </w:r>
      <w:r w:rsidR="00DD2D27" w:rsidRPr="006A15B1">
        <w:rPr>
          <w:rFonts w:hint="eastAsia"/>
          <w:color w:val="000000" w:themeColor="text1"/>
        </w:rPr>
        <w:t>鎂</w:t>
      </w:r>
      <w:r w:rsidRPr="006A15B1">
        <w:rPr>
          <w:rFonts w:hint="eastAsia"/>
          <w:color w:val="000000" w:themeColor="text1"/>
        </w:rPr>
        <w:t>「取代食用」碳酸</w:t>
      </w:r>
      <w:r w:rsidR="00DD2D27" w:rsidRPr="006A15B1">
        <w:rPr>
          <w:rFonts w:hint="eastAsia"/>
          <w:color w:val="000000" w:themeColor="text1"/>
        </w:rPr>
        <w:t>鎂</w:t>
      </w:r>
      <w:r w:rsidRPr="006A15B1">
        <w:rPr>
          <w:rFonts w:hint="eastAsia"/>
          <w:color w:val="000000" w:themeColor="text1"/>
        </w:rPr>
        <w:t>，當然適用食品安全衛生管理法第</w:t>
      </w:r>
      <w:r w:rsidR="00DD2D27" w:rsidRPr="006A15B1">
        <w:rPr>
          <w:rFonts w:hint="eastAsia"/>
          <w:color w:val="000000" w:themeColor="text1"/>
        </w:rPr>
        <w:t>15</w:t>
      </w:r>
      <w:r w:rsidRPr="006A15B1">
        <w:rPr>
          <w:rFonts w:hint="eastAsia"/>
          <w:color w:val="000000" w:themeColor="text1"/>
        </w:rPr>
        <w:t>條第</w:t>
      </w:r>
      <w:r w:rsidRPr="006A15B1">
        <w:rPr>
          <w:color w:val="000000" w:themeColor="text1"/>
        </w:rPr>
        <w:t>1</w:t>
      </w:r>
      <w:r w:rsidRPr="006A15B1">
        <w:rPr>
          <w:rFonts w:hint="eastAsia"/>
          <w:color w:val="000000" w:themeColor="text1"/>
        </w:rPr>
        <w:t>項第</w:t>
      </w:r>
      <w:r w:rsidRPr="006A15B1">
        <w:rPr>
          <w:color w:val="000000" w:themeColor="text1"/>
        </w:rPr>
        <w:t>10</w:t>
      </w:r>
      <w:r w:rsidRPr="006A15B1">
        <w:rPr>
          <w:rFonts w:hint="eastAsia"/>
          <w:color w:val="000000" w:themeColor="text1"/>
        </w:rPr>
        <w:t>款</w:t>
      </w:r>
      <w:r w:rsidRPr="006A15B1">
        <w:rPr>
          <w:color w:val="000000" w:themeColor="text1"/>
        </w:rPr>
        <w:t>(</w:t>
      </w:r>
      <w:r w:rsidRPr="006A15B1">
        <w:rPr>
          <w:rFonts w:hint="eastAsia"/>
          <w:color w:val="000000" w:themeColor="text1"/>
        </w:rPr>
        <w:t>若認係添加物）或第</w:t>
      </w:r>
      <w:r w:rsidRPr="006A15B1">
        <w:rPr>
          <w:color w:val="000000" w:themeColor="text1"/>
        </w:rPr>
        <w:t>7</w:t>
      </w:r>
      <w:r w:rsidRPr="006A15B1">
        <w:rPr>
          <w:rFonts w:hint="eastAsia"/>
          <w:color w:val="000000" w:themeColor="text1"/>
        </w:rPr>
        <w:t>款</w:t>
      </w:r>
      <w:r w:rsidRPr="006A15B1">
        <w:rPr>
          <w:color w:val="000000" w:themeColor="text1"/>
        </w:rPr>
        <w:t>(</w:t>
      </w:r>
      <w:r w:rsidRPr="006A15B1">
        <w:rPr>
          <w:rFonts w:hint="eastAsia"/>
          <w:color w:val="000000" w:themeColor="text1"/>
        </w:rPr>
        <w:t>若認係攙偽或假冒），與食品業者之作業環境等無涉，此法條之文義記載甚明。而若主管機關刻意混淆法條之適用，在「無罪推定」及「罪證有疑有利被告」之刑事法原則下，若審判法官未加研究，或修法後未加進修，自有可能因主管機關之錯誤解釋，</w:t>
      </w:r>
      <w:r w:rsidR="007B3DDF">
        <w:rPr>
          <w:rFonts w:hint="eastAsia"/>
          <w:color w:val="000000" w:themeColor="text1"/>
        </w:rPr>
        <w:t>致</w:t>
      </w:r>
      <w:r w:rsidRPr="006A15B1">
        <w:rPr>
          <w:rFonts w:hint="eastAsia"/>
          <w:color w:val="000000" w:themeColor="text1"/>
        </w:rPr>
        <w:t>違法業者脫法之可能。</w:t>
      </w:r>
    </w:p>
    <w:p w:rsidR="00221C5C" w:rsidRPr="00955BAD" w:rsidRDefault="004342A7" w:rsidP="004324E1">
      <w:pPr>
        <w:pStyle w:val="3"/>
        <w:ind w:left="1418" w:hanging="709"/>
      </w:pPr>
      <w:r>
        <w:rPr>
          <w:rFonts w:hAnsi="標楷體" w:hint="eastAsia"/>
        </w:rPr>
        <w:t>經查</w:t>
      </w:r>
      <w:r w:rsidR="00477826" w:rsidRPr="00A70424">
        <w:rPr>
          <w:rFonts w:hAnsi="標楷體" w:hint="eastAsia"/>
        </w:rPr>
        <w:t>本案</w:t>
      </w:r>
      <w:r w:rsidR="00B61956" w:rsidRPr="00B61956">
        <w:rPr>
          <w:rFonts w:hAnsi="標楷體" w:hint="eastAsia"/>
        </w:rPr>
        <w:t>地檢署及各級法院</w:t>
      </w:r>
      <w:r w:rsidR="00477826" w:rsidRPr="00A70424">
        <w:rPr>
          <w:rFonts w:hAnsi="標楷體" w:hint="eastAsia"/>
        </w:rPr>
        <w:t>偵查/審理期間，</w:t>
      </w:r>
      <w:r w:rsidR="003913CB">
        <w:rPr>
          <w:rFonts w:hint="eastAsia"/>
        </w:rPr>
        <w:t>食藥</w:t>
      </w:r>
      <w:r w:rsidR="003913CB" w:rsidRPr="000C18C2">
        <w:rPr>
          <w:rFonts w:hint="eastAsia"/>
        </w:rPr>
        <w:lastRenderedPageBreak/>
        <w:t>署函復</w:t>
      </w:r>
      <w:r w:rsidR="00B61956">
        <w:rPr>
          <w:rFonts w:hint="eastAsia"/>
        </w:rPr>
        <w:t>有關</w:t>
      </w:r>
      <w:r w:rsidR="00B55BEE">
        <w:rPr>
          <w:rFonts w:hint="eastAsia"/>
        </w:rPr>
        <w:t>允○化學工業股份有限公司</w:t>
      </w:r>
      <w:r w:rsidR="0089463D" w:rsidRPr="0089463D">
        <w:rPr>
          <w:rFonts w:hint="eastAsia"/>
        </w:rPr>
        <w:t>（下稱</w:t>
      </w:r>
      <w:r w:rsidR="00B55BEE">
        <w:rPr>
          <w:rFonts w:hint="eastAsia"/>
        </w:rPr>
        <w:t>允○公司</w:t>
      </w:r>
      <w:r w:rsidR="0089463D" w:rsidRPr="0089463D">
        <w:rPr>
          <w:rFonts w:hint="eastAsia"/>
        </w:rPr>
        <w:t>）</w:t>
      </w:r>
      <w:r w:rsidR="003913CB">
        <w:rPr>
          <w:rFonts w:hint="eastAsia"/>
        </w:rPr>
        <w:t>所販售工業用碳酸鎂流於食用之</w:t>
      </w:r>
      <w:r w:rsidR="003913CB" w:rsidRPr="000C18C2">
        <w:rPr>
          <w:rFonts w:hint="eastAsia"/>
        </w:rPr>
        <w:t>相關</w:t>
      </w:r>
      <w:r w:rsidR="00E959DF">
        <w:rPr>
          <w:rFonts w:hint="eastAsia"/>
        </w:rPr>
        <w:t>案件</w:t>
      </w:r>
      <w:r w:rsidR="00477826">
        <w:rPr>
          <w:rFonts w:hint="eastAsia"/>
        </w:rPr>
        <w:t>的</w:t>
      </w:r>
      <w:r w:rsidR="00A70424">
        <w:rPr>
          <w:rFonts w:hint="eastAsia"/>
        </w:rPr>
        <w:t>管理</w:t>
      </w:r>
      <w:r w:rsidR="00E959DF">
        <w:rPr>
          <w:rFonts w:hint="eastAsia"/>
        </w:rPr>
        <w:t>疑義</w:t>
      </w:r>
      <w:r w:rsidR="002449C8">
        <w:rPr>
          <w:rFonts w:hint="eastAsia"/>
        </w:rPr>
        <w:t>說明</w:t>
      </w:r>
      <w:r w:rsidR="00435534">
        <w:rPr>
          <w:rFonts w:hint="eastAsia"/>
        </w:rPr>
        <w:t>。</w:t>
      </w:r>
      <w:r w:rsidR="00150951">
        <w:rPr>
          <w:rFonts w:hint="eastAsia"/>
        </w:rPr>
        <w:t>而</w:t>
      </w:r>
      <w:r w:rsidR="00810CEE" w:rsidRPr="00493572">
        <w:rPr>
          <w:rFonts w:hint="eastAsia"/>
        </w:rPr>
        <w:t>食藥署</w:t>
      </w:r>
      <w:r w:rsidR="00E970E3" w:rsidRPr="00493572">
        <w:rPr>
          <w:rFonts w:hint="eastAsia"/>
        </w:rPr>
        <w:t>基於行政管理自行於</w:t>
      </w:r>
      <w:r w:rsidR="00810CEE" w:rsidRPr="00493572">
        <w:rPr>
          <w:rFonts w:hint="eastAsia"/>
        </w:rPr>
        <w:t>105年5月9日以FDA食字第1051300086號函</w:t>
      </w:r>
      <w:r w:rsidR="00792DD0">
        <w:rPr>
          <w:rFonts w:hint="eastAsia"/>
        </w:rPr>
        <w:t>就</w:t>
      </w:r>
      <w:r w:rsidR="00792DD0" w:rsidRPr="00792DD0">
        <w:rPr>
          <w:rFonts w:hint="eastAsia"/>
        </w:rPr>
        <w:t>有關食安法第15條第1項第10款及第18條規定之</w:t>
      </w:r>
      <w:r w:rsidR="00150951">
        <w:rPr>
          <w:rFonts w:hint="eastAsia"/>
        </w:rPr>
        <w:t>適用</w:t>
      </w:r>
      <w:r w:rsidR="00792DD0" w:rsidRPr="00792DD0">
        <w:rPr>
          <w:rFonts w:hint="eastAsia"/>
        </w:rPr>
        <w:t>判定</w:t>
      </w:r>
      <w:r w:rsidR="00792DD0">
        <w:rPr>
          <w:rFonts w:hint="eastAsia"/>
        </w:rPr>
        <w:t>，另做函釋，</w:t>
      </w:r>
      <w:r w:rsidR="00221C5C">
        <w:rPr>
          <w:rFonts w:hint="eastAsia"/>
        </w:rPr>
        <w:t>其</w:t>
      </w:r>
      <w:r w:rsidR="00221C5C" w:rsidRPr="00955BAD">
        <w:rPr>
          <w:rFonts w:hint="eastAsia"/>
        </w:rPr>
        <w:t>說明</w:t>
      </w:r>
      <w:r w:rsidR="00221C5C">
        <w:rPr>
          <w:rFonts w:hint="eastAsia"/>
        </w:rPr>
        <w:t>段略以</w:t>
      </w:r>
      <w:r w:rsidR="00221C5C" w:rsidRPr="00955BAD">
        <w:rPr>
          <w:rFonts w:hint="eastAsia"/>
        </w:rPr>
        <w:t>：</w:t>
      </w:r>
      <w:r w:rsidR="00221C5C" w:rsidRPr="00A70424">
        <w:rPr>
          <w:rFonts w:hAnsi="標楷體" w:hint="eastAsia"/>
        </w:rPr>
        <w:t>「</w:t>
      </w:r>
      <w:r w:rsidR="00221C5C" w:rsidRPr="00955BAD">
        <w:rPr>
          <w:rFonts w:hint="eastAsia"/>
        </w:rPr>
        <w:t>為使食安法第15條第1項第10款及第18條規定之判定具有一致性，經考量可能之違法態樣，綜整如下：(一)違反食安法第18條規定者：1、使用</w:t>
      </w:r>
      <w:r w:rsidR="00071AD7">
        <w:rPr>
          <w:rFonts w:hAnsi="標楷體" w:hint="eastAsia"/>
        </w:rPr>
        <w:t>『</w:t>
      </w:r>
      <w:r w:rsidR="00221C5C" w:rsidRPr="00955BAD">
        <w:rPr>
          <w:rFonts w:hint="eastAsia"/>
        </w:rPr>
        <w:t>食品添加物使用範圍及限量暨規格標準</w:t>
      </w:r>
      <w:r w:rsidR="00071AD7">
        <w:rPr>
          <w:rFonts w:hAnsi="標楷體" w:hint="eastAsia"/>
        </w:rPr>
        <w:t>』</w:t>
      </w:r>
      <w:r w:rsidR="00221C5C" w:rsidRPr="00955BAD">
        <w:rPr>
          <w:rFonts w:hint="eastAsia"/>
        </w:rPr>
        <w:t>所列之食品添加物，但其使用範圍、限量或規格不符標準規定，如過量添加防腐劑、未准許使用防腐劑之產品添加防腐劑等。2、使用非</w:t>
      </w:r>
      <w:r w:rsidR="00071AD7">
        <w:rPr>
          <w:rFonts w:hAnsi="標楷體" w:hint="eastAsia"/>
        </w:rPr>
        <w:t>『</w:t>
      </w:r>
      <w:r w:rsidR="00221C5C" w:rsidRPr="00955BAD">
        <w:rPr>
          <w:rFonts w:hint="eastAsia"/>
        </w:rPr>
        <w:t>食品添加物使用範圍及限量暨規格標準</w:t>
      </w:r>
      <w:r w:rsidR="00071AD7">
        <w:rPr>
          <w:rFonts w:hAnsi="標楷體" w:hint="eastAsia"/>
        </w:rPr>
        <w:t>』</w:t>
      </w:r>
      <w:r w:rsidR="00221C5C" w:rsidRPr="00955BAD">
        <w:rPr>
          <w:rFonts w:hint="eastAsia"/>
        </w:rPr>
        <w:t>所列食品添加物，但符合國際間包括聯合國食品標準委員會(Codex Alimentarius Commission,CAC)、美國、加拿大、歐盟、紐澳、日本、韓國、中國大陸等國際組織或國家所訂食品添加物使用標準，例如進口產品所含著色劑未列於標準中，但符合CAC標準。(二)違反食安法第15條第1項第10款規定者：產品使用之成分並非國際間或我國准許添加於食品之成分，例如塑化劑、二甲基黃等。</w:t>
      </w:r>
      <w:r w:rsidR="00221C5C" w:rsidRPr="00A70424">
        <w:rPr>
          <w:rFonts w:hAnsi="標楷體" w:hint="eastAsia"/>
        </w:rPr>
        <w:t>」</w:t>
      </w:r>
      <w:r w:rsidR="00150951">
        <w:rPr>
          <w:rFonts w:hAnsi="標楷體" w:hint="eastAsia"/>
        </w:rPr>
        <w:t>然對於</w:t>
      </w:r>
      <w:r w:rsidR="00150951" w:rsidRPr="00150951">
        <w:rPr>
          <w:rFonts w:hAnsi="標楷體" w:hint="eastAsia"/>
        </w:rPr>
        <w:t>品名合於</w:t>
      </w:r>
      <w:r w:rsidR="00150951" w:rsidRPr="00FE2FC0">
        <w:rPr>
          <w:rFonts w:hAnsi="標楷體" w:hint="eastAsia"/>
        </w:rPr>
        <w:t>「食品添加物使用範圍及限量暨規格標準」之添加物</w:t>
      </w:r>
      <w:r w:rsidR="00150951" w:rsidRPr="00150951">
        <w:rPr>
          <w:rFonts w:hAnsi="標楷體" w:hint="eastAsia"/>
        </w:rPr>
        <w:t>，有供食用及工業用之</w:t>
      </w:r>
      <w:r w:rsidR="00D9376F">
        <w:rPr>
          <w:rFonts w:hAnsi="標楷體" w:hint="eastAsia"/>
        </w:rPr>
        <w:t>行政</w:t>
      </w:r>
      <w:r w:rsidR="00150951" w:rsidRPr="00150951">
        <w:rPr>
          <w:rFonts w:hAnsi="標楷體" w:hint="eastAsia"/>
        </w:rPr>
        <w:t>管理區分並未</w:t>
      </w:r>
      <w:r w:rsidR="00D9376F">
        <w:rPr>
          <w:rFonts w:hAnsi="標楷體" w:hint="eastAsia"/>
        </w:rPr>
        <w:t>詳加</w:t>
      </w:r>
      <w:r w:rsidR="00150951">
        <w:rPr>
          <w:rFonts w:hAnsi="標楷體" w:hint="eastAsia"/>
        </w:rPr>
        <w:t>說明。</w:t>
      </w:r>
    </w:p>
    <w:p w:rsidR="00C510EE" w:rsidRPr="00C44435" w:rsidRDefault="00600DC0" w:rsidP="004324E1">
      <w:pPr>
        <w:pStyle w:val="3"/>
        <w:ind w:left="1418" w:hanging="709"/>
        <w:rPr>
          <w:color w:val="000000" w:themeColor="text1"/>
        </w:rPr>
      </w:pPr>
      <w:r w:rsidRPr="00C44435">
        <w:rPr>
          <w:rFonts w:hint="eastAsia"/>
          <w:color w:val="000000" w:themeColor="text1"/>
        </w:rPr>
        <w:t>次查彰化地院就</w:t>
      </w:r>
      <w:r w:rsidR="00EA6932" w:rsidRPr="00C44435">
        <w:rPr>
          <w:rFonts w:hint="eastAsia"/>
          <w:color w:val="000000" w:themeColor="text1"/>
        </w:rPr>
        <w:t>本案</w:t>
      </w:r>
      <w:r w:rsidRPr="00C44435">
        <w:rPr>
          <w:rFonts w:hint="eastAsia"/>
          <w:color w:val="000000" w:themeColor="text1"/>
        </w:rPr>
        <w:t>103年</w:t>
      </w:r>
      <w:r w:rsidR="00F16A78">
        <w:rPr>
          <w:rFonts w:hint="eastAsia"/>
          <w:color w:val="000000" w:themeColor="text1"/>
        </w:rPr>
        <w:t>誼○公司</w:t>
      </w:r>
      <w:r w:rsidRPr="00C44435">
        <w:rPr>
          <w:rFonts w:hint="eastAsia"/>
          <w:color w:val="000000" w:themeColor="text1"/>
        </w:rPr>
        <w:t>購入「工業用」碳酸鎂，賣給</w:t>
      </w:r>
      <w:r w:rsidR="009C2833">
        <w:rPr>
          <w:rFonts w:hint="eastAsia"/>
          <w:color w:val="000000" w:themeColor="text1"/>
        </w:rPr>
        <w:t>進○公司</w:t>
      </w:r>
      <w:r w:rsidRPr="00C44435">
        <w:rPr>
          <w:rFonts w:hint="eastAsia"/>
          <w:color w:val="000000" w:themeColor="text1"/>
        </w:rPr>
        <w:t>添加在胡椒粉一案為無罪之判決，其理由有：</w:t>
      </w:r>
      <w:r w:rsidR="00C510EE" w:rsidRPr="00C44435">
        <w:rPr>
          <w:rFonts w:hAnsi="標楷體" w:hint="eastAsia"/>
          <w:color w:val="000000" w:themeColor="text1"/>
        </w:rPr>
        <w:t>「</w:t>
      </w:r>
      <w:r w:rsidR="00C510EE" w:rsidRPr="00C44435">
        <w:rPr>
          <w:rFonts w:hint="eastAsia"/>
          <w:color w:val="000000" w:themeColor="text1"/>
        </w:rPr>
        <w:t>使用已列入</w:t>
      </w:r>
      <w:r w:rsidR="00C510EE" w:rsidRPr="00C44435">
        <w:rPr>
          <w:rFonts w:hAnsi="標楷體" w:hint="eastAsia"/>
          <w:color w:val="000000" w:themeColor="text1"/>
        </w:rPr>
        <w:t>『</w:t>
      </w:r>
      <w:r w:rsidR="00C510EE" w:rsidRPr="00C44435">
        <w:rPr>
          <w:rFonts w:hint="eastAsia"/>
          <w:color w:val="000000" w:themeColor="text1"/>
        </w:rPr>
        <w:t>食品添加物使用範圍及限量暨規格標準</w:t>
      </w:r>
      <w:r w:rsidR="00C510EE" w:rsidRPr="00C44435">
        <w:rPr>
          <w:rFonts w:hAnsi="標楷體" w:hint="eastAsia"/>
          <w:color w:val="000000" w:themeColor="text1"/>
        </w:rPr>
        <w:t>』</w:t>
      </w:r>
      <w:r w:rsidR="00C510EE" w:rsidRPr="00C44435">
        <w:rPr>
          <w:rFonts w:hint="eastAsia"/>
          <w:color w:val="000000" w:themeColor="text1"/>
        </w:rPr>
        <w:t>表列中之添加物，縱然未經查驗登記、使用之規格不符規範，僅屬違反食安法第18條，有第47條或第48條行政處罰問題，而非食安法第15條第1項第10款、第49條第1項規定之規範</w:t>
      </w:r>
      <w:r w:rsidR="00C510EE" w:rsidRPr="00C44435">
        <w:rPr>
          <w:rFonts w:hint="eastAsia"/>
          <w:color w:val="000000" w:themeColor="text1"/>
        </w:rPr>
        <w:lastRenderedPageBreak/>
        <w:t>範圍。</w:t>
      </w:r>
      <w:r w:rsidR="00C510EE" w:rsidRPr="00C44435">
        <w:rPr>
          <w:rFonts w:hAnsi="標楷體" w:hint="eastAsia"/>
          <w:color w:val="000000" w:themeColor="text1"/>
        </w:rPr>
        <w:t>」係依據食藥署105年10月3日FDA食字第1059905564號函、105年11月18日FDA食字第1059906667號函2份函文，認為：按</w:t>
      </w:r>
      <w:r w:rsidR="00C510EE" w:rsidRPr="00C44435">
        <w:rPr>
          <w:rFonts w:hint="eastAsia"/>
          <w:color w:val="000000" w:themeColor="text1"/>
        </w:rPr>
        <w:t>衛福部依據食安法第18條之規定，訂有「食品添加物使用範圍及限量暨規格標準」，規範食品添加物之品名、規格及其使用範圍、限量標準。經查碳酸鎂為准用之食品添加物，已訂有規格標準、使用範圍及限量，故食品加工如有需要使用碳酸鎂，應選用符合規格標準，經查驗登記取得許可文件並完成登錄之產品；「食品添加物使用範圍及限量暨規格標準」係規範食品加工所用食品添加物之規定，食品業者應使用符合食安法規定之原料及食品添加物進行產品加工製造，食安法並無所謂工業用成分之定義、規範或區分等情。</w:t>
      </w:r>
    </w:p>
    <w:p w:rsidR="00653431" w:rsidRPr="00C44435" w:rsidRDefault="00EA6932" w:rsidP="004324E1">
      <w:pPr>
        <w:pStyle w:val="3"/>
        <w:ind w:left="1418" w:hanging="709"/>
        <w:rPr>
          <w:color w:val="000000" w:themeColor="text1"/>
        </w:rPr>
      </w:pPr>
      <w:r w:rsidRPr="00C44435">
        <w:rPr>
          <w:rFonts w:hint="eastAsia"/>
          <w:color w:val="000000" w:themeColor="text1"/>
        </w:rPr>
        <w:t>再查臺中高分院就本案亦為無罪之判決，其理由有：</w:t>
      </w:r>
    </w:p>
    <w:p w:rsidR="00653431" w:rsidRPr="00C44435" w:rsidRDefault="00EA6932" w:rsidP="004324E1">
      <w:pPr>
        <w:pStyle w:val="4"/>
        <w:rPr>
          <w:color w:val="000000" w:themeColor="text1"/>
        </w:rPr>
      </w:pPr>
      <w:r w:rsidRPr="00C44435">
        <w:rPr>
          <w:rFonts w:hint="eastAsia"/>
          <w:color w:val="000000" w:themeColor="text1"/>
        </w:rPr>
        <w:t>「食品安全衛生管理法第15條第1項第10款，應適用於食品所使用之添加物，根本不屬於中央主管機關在</w:t>
      </w:r>
      <w:r w:rsidR="00BD7ECC" w:rsidRPr="00C44435">
        <w:rPr>
          <w:rFonts w:hAnsi="標楷體" w:hint="eastAsia"/>
          <w:color w:val="000000" w:themeColor="text1"/>
        </w:rPr>
        <w:t>『</w:t>
      </w:r>
      <w:r w:rsidRPr="00C44435">
        <w:rPr>
          <w:rFonts w:hint="eastAsia"/>
          <w:color w:val="000000" w:themeColor="text1"/>
        </w:rPr>
        <w:t>食品添加物使用範圍及限量暨規格標準</w:t>
      </w:r>
      <w:r w:rsidR="00BD7ECC" w:rsidRPr="00C44435">
        <w:rPr>
          <w:rFonts w:hAnsi="標楷體" w:hint="eastAsia"/>
          <w:color w:val="000000" w:themeColor="text1"/>
        </w:rPr>
        <w:t>』</w:t>
      </w:r>
      <w:r w:rsidRPr="00C44435">
        <w:rPr>
          <w:rFonts w:hint="eastAsia"/>
          <w:color w:val="000000" w:themeColor="text1"/>
        </w:rPr>
        <w:t>中列舉准用品項之情形，而不及於添加物產品雖屬於上開品項，但其製造、輸入等廠商未經查驗登記之狀況（即應以</w:t>
      </w:r>
      <w:r w:rsidR="00BD7ECC" w:rsidRPr="00C44435">
        <w:rPr>
          <w:rFonts w:hAnsi="標楷體" w:hint="eastAsia"/>
          <w:color w:val="000000" w:themeColor="text1"/>
        </w:rPr>
        <w:t>『</w:t>
      </w:r>
      <w:r w:rsidRPr="00C44435">
        <w:rPr>
          <w:rFonts w:hint="eastAsia"/>
          <w:color w:val="000000" w:themeColor="text1"/>
        </w:rPr>
        <w:t>品項</w:t>
      </w:r>
      <w:r w:rsidR="00BD7ECC" w:rsidRPr="00C44435">
        <w:rPr>
          <w:rFonts w:hAnsi="標楷體" w:hint="eastAsia"/>
          <w:color w:val="000000" w:themeColor="text1"/>
        </w:rPr>
        <w:t>』</w:t>
      </w:r>
      <w:r w:rsidRPr="00C44435">
        <w:rPr>
          <w:rFonts w:hint="eastAsia"/>
          <w:color w:val="000000" w:themeColor="text1"/>
        </w:rPr>
        <w:t>為準，而非以</w:t>
      </w:r>
      <w:r w:rsidR="00BD7ECC" w:rsidRPr="00C44435">
        <w:rPr>
          <w:rFonts w:hAnsi="標楷體" w:hint="eastAsia"/>
          <w:color w:val="000000" w:themeColor="text1"/>
        </w:rPr>
        <w:t>『</w:t>
      </w:r>
      <w:r w:rsidRPr="00C44435">
        <w:rPr>
          <w:rFonts w:hint="eastAsia"/>
          <w:color w:val="000000" w:themeColor="text1"/>
        </w:rPr>
        <w:t>廠商</w:t>
      </w:r>
      <w:r w:rsidR="00BD7ECC" w:rsidRPr="00C44435">
        <w:rPr>
          <w:rFonts w:hAnsi="標楷體" w:hint="eastAsia"/>
          <w:color w:val="000000" w:themeColor="text1"/>
        </w:rPr>
        <w:t>』</w:t>
      </w:r>
      <w:r w:rsidRPr="00C44435">
        <w:rPr>
          <w:rFonts w:hint="eastAsia"/>
          <w:color w:val="000000" w:themeColor="text1"/>
        </w:rPr>
        <w:t>為準）。」</w:t>
      </w:r>
      <w:r w:rsidR="00F7340C" w:rsidRPr="00C44435">
        <w:rPr>
          <w:rFonts w:hint="eastAsia"/>
          <w:color w:val="000000" w:themeColor="text1"/>
        </w:rPr>
        <w:t>係依據食藥署105年6月15日FDA食字第1059903010號函，其見解以：</w:t>
      </w:r>
      <w:r w:rsidRPr="00C44435">
        <w:rPr>
          <w:rFonts w:hint="eastAsia"/>
          <w:color w:val="000000" w:themeColor="text1"/>
        </w:rPr>
        <w:t>食藥署就食安法第15條第1項第10款規定，認為：該規定係指並非我國</w:t>
      </w:r>
      <w:r w:rsidRPr="00C44435">
        <w:rPr>
          <w:rFonts w:hAnsi="標楷體" w:hint="eastAsia"/>
          <w:color w:val="000000" w:themeColor="text1"/>
        </w:rPr>
        <w:t>「</w:t>
      </w:r>
      <w:r w:rsidRPr="00C44435">
        <w:rPr>
          <w:rFonts w:hint="eastAsia"/>
          <w:color w:val="000000" w:themeColor="text1"/>
        </w:rPr>
        <w:t>食品添加物使用範圍及限量暨規格標準</w:t>
      </w:r>
      <w:r w:rsidRPr="00C44435">
        <w:rPr>
          <w:rFonts w:hAnsi="標楷體" w:hint="eastAsia"/>
          <w:color w:val="000000" w:themeColor="text1"/>
        </w:rPr>
        <w:t>」</w:t>
      </w:r>
      <w:r w:rsidRPr="00C44435">
        <w:rPr>
          <w:rFonts w:hint="eastAsia"/>
          <w:color w:val="000000" w:themeColor="text1"/>
        </w:rPr>
        <w:t>准用品項，且於國際間亦未准許添加於食品中之成分等語，函文就食安法第15條第1項第10款規範範圍不及於添加物屬於範圍及限量暨規格標準准用品項部分，解釋甚明，殊無疑義。</w:t>
      </w:r>
    </w:p>
    <w:p w:rsidR="00EA6932" w:rsidRPr="00C44435" w:rsidRDefault="00616DE1" w:rsidP="00653431">
      <w:pPr>
        <w:pStyle w:val="4"/>
        <w:rPr>
          <w:color w:val="000000" w:themeColor="text1"/>
        </w:rPr>
      </w:pPr>
      <w:r w:rsidRPr="00C44435">
        <w:rPr>
          <w:rFonts w:hint="eastAsia"/>
          <w:bCs/>
          <w:color w:val="000000" w:themeColor="text1"/>
        </w:rPr>
        <w:lastRenderedPageBreak/>
        <w:t>另對</w:t>
      </w:r>
      <w:r w:rsidRPr="00C44435">
        <w:rPr>
          <w:rFonts w:hint="eastAsia"/>
          <w:color w:val="000000" w:themeColor="text1"/>
        </w:rPr>
        <w:t>檢察官提出食藥署106年10月27日FDA食字第1069905175號函，該函文：八、「食品業者如未依食安法規定選購取得依法查驗登記及登錄之添加物產品，已涉及違反食安法第8條之規定，如相關成分規格亦不符合『食品添加物使用範圍及限量暨規格標準』之規定，則亦涉及違反食安法第18條之規定，若違規情節有其他事證顯示非供食用或不得做為食品原料與食品添加物使用，則不排除食安法第15條之適用。」該</w:t>
      </w:r>
      <w:r w:rsidR="00A17703" w:rsidRPr="00C44435">
        <w:rPr>
          <w:rFonts w:hint="eastAsia"/>
          <w:color w:val="000000" w:themeColor="text1"/>
        </w:rPr>
        <w:t>函</w:t>
      </w:r>
      <w:r w:rsidRPr="00C44435">
        <w:rPr>
          <w:rFonts w:hint="eastAsia"/>
          <w:color w:val="000000" w:themeColor="text1"/>
        </w:rPr>
        <w:t>承辦人</w:t>
      </w:r>
      <w:r w:rsidR="00C72ABA">
        <w:rPr>
          <w:rFonts w:hint="eastAsia"/>
          <w:color w:val="000000" w:themeColor="text1"/>
        </w:rPr>
        <w:t>李○豪</w:t>
      </w:r>
      <w:r w:rsidRPr="00C44435">
        <w:rPr>
          <w:rFonts w:hint="eastAsia"/>
          <w:color w:val="000000" w:themeColor="text1"/>
        </w:rPr>
        <w:t>先生證稱：</w:t>
      </w:r>
      <w:r w:rsidR="00653431" w:rsidRPr="00C44435">
        <w:rPr>
          <w:rFonts w:hAnsi="標楷體" w:hint="eastAsia"/>
          <w:bCs/>
          <w:color w:val="000000" w:themeColor="text1"/>
        </w:rPr>
        <w:t>「</w:t>
      </w:r>
      <w:r w:rsidR="00653431" w:rsidRPr="00C44435">
        <w:rPr>
          <w:rFonts w:hint="eastAsia"/>
          <w:color w:val="000000" w:themeColor="text1"/>
        </w:rPr>
        <w:t>上開函文所指</w:t>
      </w:r>
      <w:r w:rsidR="00653431" w:rsidRPr="00C44435">
        <w:rPr>
          <w:rFonts w:hAnsi="標楷體" w:hint="eastAsia"/>
          <w:color w:val="000000" w:themeColor="text1"/>
        </w:rPr>
        <w:t>『</w:t>
      </w:r>
      <w:r w:rsidR="00653431" w:rsidRPr="00C44435">
        <w:rPr>
          <w:rFonts w:hint="eastAsia"/>
          <w:color w:val="000000" w:themeColor="text1"/>
        </w:rPr>
        <w:t>不排除食安法第15條之適用</w:t>
      </w:r>
      <w:r w:rsidR="00653431" w:rsidRPr="00C44435">
        <w:rPr>
          <w:rFonts w:hAnsi="標楷體" w:hint="eastAsia"/>
          <w:color w:val="000000" w:themeColor="text1"/>
        </w:rPr>
        <w:t>』</w:t>
      </w:r>
      <w:r w:rsidR="00653431" w:rsidRPr="00C44435">
        <w:rPr>
          <w:rFonts w:hint="eastAsia"/>
          <w:color w:val="000000" w:themeColor="text1"/>
        </w:rPr>
        <w:t>，要看案件的情況，有可能涉及到第3款、第7款、第10款都有可能，甚至也有其他款，要看案件裡面的資料才有辦法判斷。</w:t>
      </w:r>
      <w:r w:rsidRPr="00C44435">
        <w:rPr>
          <w:rFonts w:hint="eastAsia"/>
          <w:color w:val="000000" w:themeColor="text1"/>
        </w:rPr>
        <w:t>」</w:t>
      </w:r>
      <w:r w:rsidRPr="00C44435">
        <w:rPr>
          <w:rFonts w:hint="eastAsia"/>
          <w:bCs/>
          <w:color w:val="000000" w:themeColor="text1"/>
        </w:rPr>
        <w:t>、</w:t>
      </w:r>
      <w:r w:rsidRPr="00C44435">
        <w:rPr>
          <w:rFonts w:hint="eastAsia"/>
          <w:color w:val="000000" w:themeColor="text1"/>
        </w:rPr>
        <w:t>「目前就你的公文來說的內容的話，這是有可能由我回復你的不排除食安法的情況，但是還要更多其他資料才能核判，而且可能要看是否有其他證據證明有否違反第15條之情況，例如是因為價格的關係而去購買比較便宜的情況，有可能違反第15條第1項第7款之情形，如果裡面檢驗出某些成分是對人體有害的話，可能違反第15條第3款之情況，這個我們之前有看過類似的案例。」</w:t>
      </w:r>
      <w:r w:rsidRPr="00C44435">
        <w:rPr>
          <w:rFonts w:hint="eastAsia"/>
          <w:bCs/>
          <w:color w:val="000000" w:themeColor="text1"/>
        </w:rPr>
        <w:t>（檢察官詰問：</w:t>
      </w:r>
      <w:r w:rsidRPr="00C44435">
        <w:rPr>
          <w:rFonts w:hint="eastAsia"/>
          <w:color w:val="000000" w:themeColor="text1"/>
        </w:rPr>
        <w:t>此部分添加物的源頭已經註明僅供工業使用的話，是否仍符合你經辦的那個第8項只要有事證認為非供食用，則不排除食安法第15條之適用這種情形？</w:t>
      </w:r>
      <w:r w:rsidRPr="00C44435">
        <w:rPr>
          <w:rFonts w:hint="eastAsia"/>
          <w:bCs/>
          <w:color w:val="000000" w:themeColor="text1"/>
        </w:rPr>
        <w:t>）及</w:t>
      </w:r>
      <w:r w:rsidRPr="00C44435">
        <w:rPr>
          <w:rFonts w:hint="eastAsia"/>
          <w:color w:val="000000" w:themeColor="text1"/>
        </w:rPr>
        <w:t>「我們一定有簽核的過程才能發文，這兩份公文我們收到時，食藥署內部有做討論，包括之前的案例綜合判斷而回復的內容，也有簽核長官核可才做回復。」足認上開函文係認，工業使用的添加物，添加於食品，並不當然違反食安法第15條第1項10款。如有事證顯示有違反食</w:t>
      </w:r>
      <w:r w:rsidRPr="00C44435">
        <w:rPr>
          <w:rFonts w:hint="eastAsia"/>
          <w:color w:val="000000" w:themeColor="text1"/>
        </w:rPr>
        <w:lastRenderedPageBreak/>
        <w:t>安法第15條第1項第3、7、10款之情形，才不排除適用。</w:t>
      </w:r>
    </w:p>
    <w:p w:rsidR="000F5DDF" w:rsidRPr="006A15B1" w:rsidRDefault="00673DDB" w:rsidP="009C2833">
      <w:pPr>
        <w:pStyle w:val="3"/>
        <w:ind w:left="1418" w:hanging="709"/>
        <w:rPr>
          <w:color w:val="000000" w:themeColor="text1"/>
        </w:rPr>
      </w:pPr>
      <w:r w:rsidRPr="006A15B1">
        <w:rPr>
          <w:rFonts w:hint="eastAsia"/>
          <w:color w:val="000000" w:themeColor="text1"/>
        </w:rPr>
        <w:t>關於法律之解釋，法院固然依法律確信獨立而為認定，不受行政機關函釋之拘束，然行政機關之函釋，仍可作為法院解釋法律之參考。就上開食藥署之函釋及證人到庭之證詞</w:t>
      </w:r>
      <w:r w:rsidR="002A1582" w:rsidRPr="006A15B1">
        <w:rPr>
          <w:rFonts w:hint="eastAsia"/>
          <w:color w:val="000000" w:themeColor="text1"/>
        </w:rPr>
        <w:t>，顯然已違反</w:t>
      </w:r>
      <w:r w:rsidR="00934180" w:rsidRPr="006A15B1">
        <w:rPr>
          <w:rFonts w:hint="eastAsia"/>
          <w:color w:val="000000" w:themeColor="text1"/>
        </w:rPr>
        <w:t>食安法立法宗旨及法</w:t>
      </w:r>
      <w:r w:rsidR="002A1582" w:rsidRPr="006A15B1">
        <w:rPr>
          <w:rFonts w:hint="eastAsia"/>
          <w:color w:val="000000" w:themeColor="text1"/>
        </w:rPr>
        <w:t>規範目的</w:t>
      </w:r>
      <w:r w:rsidR="00934180" w:rsidRPr="006A15B1">
        <w:rPr>
          <w:rFonts w:hint="eastAsia"/>
          <w:color w:val="000000" w:themeColor="text1"/>
        </w:rPr>
        <w:t>，並無視立法者修法</w:t>
      </w:r>
      <w:r w:rsidR="009C2498" w:rsidRPr="006A15B1">
        <w:rPr>
          <w:rFonts w:hint="eastAsia"/>
          <w:color w:val="000000" w:themeColor="text1"/>
        </w:rPr>
        <w:t>明確</w:t>
      </w:r>
      <w:r w:rsidR="00934180" w:rsidRPr="006A15B1">
        <w:rPr>
          <w:rFonts w:hint="eastAsia"/>
          <w:color w:val="000000" w:themeColor="text1"/>
        </w:rPr>
        <w:t>防止工業級化工原料被混入食品添加所賦予主管機關加強管理</w:t>
      </w:r>
      <w:r w:rsidR="009C2498" w:rsidRPr="006A15B1">
        <w:rPr>
          <w:rFonts w:hint="eastAsia"/>
          <w:color w:val="000000" w:themeColor="text1"/>
        </w:rPr>
        <w:t>之責</w:t>
      </w:r>
      <w:r w:rsidRPr="006A15B1">
        <w:rPr>
          <w:rFonts w:hint="eastAsia"/>
          <w:color w:val="000000" w:themeColor="text1"/>
        </w:rPr>
        <w:t>。</w:t>
      </w:r>
      <w:r w:rsidR="00743540" w:rsidRPr="006A15B1">
        <w:rPr>
          <w:rFonts w:hAnsi="標楷體" w:hint="eastAsia"/>
          <w:color w:val="000000" w:themeColor="text1"/>
        </w:rPr>
        <w:t>另</w:t>
      </w:r>
      <w:r w:rsidR="00EC1F89" w:rsidRPr="006A15B1">
        <w:rPr>
          <w:rFonts w:hAnsi="標楷體" w:hint="eastAsia"/>
          <w:color w:val="000000" w:themeColor="text1"/>
        </w:rPr>
        <w:t>針對食藥署105年10月3日FDA食字第1059905564號函</w:t>
      </w:r>
      <w:r w:rsidR="00A524E1" w:rsidRPr="006A15B1">
        <w:rPr>
          <w:rFonts w:hAnsi="標楷體" w:hint="eastAsia"/>
          <w:color w:val="000000" w:themeColor="text1"/>
        </w:rPr>
        <w:t>略以：「</w:t>
      </w:r>
      <w:r w:rsidR="00A524E1" w:rsidRPr="006A15B1">
        <w:rPr>
          <w:rFonts w:hAnsi="標楷體"/>
          <w:color w:val="000000" w:themeColor="text1"/>
        </w:rPr>
        <w:t>……</w:t>
      </w:r>
      <w:r w:rsidR="00A524E1" w:rsidRPr="006A15B1">
        <w:rPr>
          <w:rFonts w:hAnsi="標楷體" w:hint="eastAsia"/>
          <w:color w:val="000000" w:themeColor="text1"/>
        </w:rPr>
        <w:t>四、貴院所詢</w:t>
      </w:r>
      <w:r w:rsidR="00B55BEE">
        <w:rPr>
          <w:rFonts w:hAnsi="標楷體" w:hint="eastAsia"/>
          <w:color w:val="000000" w:themeColor="text1"/>
        </w:rPr>
        <w:t>允○化學工業股份有限公司</w:t>
      </w:r>
      <w:r w:rsidR="00A524E1" w:rsidRPr="006A15B1">
        <w:rPr>
          <w:rFonts w:hAnsi="標楷體" w:hint="eastAsia"/>
          <w:color w:val="000000" w:themeColor="text1"/>
        </w:rPr>
        <w:t>製造之碳酸鎂，依所附檢驗報告，其規格並不符合</w:t>
      </w:r>
      <w:r w:rsidR="000869AF">
        <w:rPr>
          <w:rFonts w:hAnsi="標楷體" w:hint="eastAsia"/>
          <w:color w:val="000000" w:themeColor="text1"/>
        </w:rPr>
        <w:t>『</w:t>
      </w:r>
      <w:r w:rsidR="00A524E1" w:rsidRPr="006A15B1">
        <w:rPr>
          <w:rFonts w:hAnsi="標楷體" w:hint="eastAsia"/>
          <w:color w:val="000000" w:themeColor="text1"/>
        </w:rPr>
        <w:t>食品添加物使用範圍及限量暨規格標準</w:t>
      </w:r>
      <w:r w:rsidR="000869AF">
        <w:rPr>
          <w:rFonts w:hAnsi="標楷體" w:hint="eastAsia"/>
          <w:color w:val="000000" w:themeColor="text1"/>
        </w:rPr>
        <w:t>』</w:t>
      </w:r>
      <w:r w:rsidR="00A524E1" w:rsidRPr="006A15B1">
        <w:rPr>
          <w:rFonts w:hAnsi="標楷體" w:hint="eastAsia"/>
          <w:color w:val="000000" w:themeColor="text1"/>
        </w:rPr>
        <w:t>之規定，且該品亦非經衛生福利部查驗登記取得許可文件之食品添加物。五、食品業者如使用前述</w:t>
      </w:r>
      <w:r w:rsidR="00B55BEE">
        <w:rPr>
          <w:rFonts w:hAnsi="標楷體" w:hint="eastAsia"/>
          <w:color w:val="000000" w:themeColor="text1"/>
        </w:rPr>
        <w:t>允○化學工業股份有限公司</w:t>
      </w:r>
      <w:r w:rsidR="00A524E1" w:rsidRPr="006A15B1">
        <w:rPr>
          <w:rFonts w:hAnsi="標楷體" w:hint="eastAsia"/>
          <w:color w:val="000000" w:themeColor="text1"/>
        </w:rPr>
        <w:t>製造之碳酸鎂，應屬未選購取得許可文件之產品，已涉及違反食安法第</w:t>
      </w:r>
      <w:r w:rsidR="00A524E1" w:rsidRPr="006A15B1">
        <w:rPr>
          <w:rFonts w:hAnsi="標楷體"/>
          <w:color w:val="000000" w:themeColor="text1"/>
        </w:rPr>
        <w:t>8</w:t>
      </w:r>
      <w:r w:rsidR="00A524E1" w:rsidRPr="006A15B1">
        <w:rPr>
          <w:rFonts w:hAnsi="標楷體" w:hint="eastAsia"/>
          <w:color w:val="000000" w:themeColor="text1"/>
        </w:rPr>
        <w:t>條之規定。且案內成分規格不符合「食品添加物使用範圍限量暨規格標準」規定，故該食品業者亦涉及違反食安法第</w:t>
      </w:r>
      <w:r w:rsidR="00A524E1" w:rsidRPr="006A15B1">
        <w:rPr>
          <w:rFonts w:hAnsi="標楷體"/>
          <w:color w:val="000000" w:themeColor="text1"/>
        </w:rPr>
        <w:t>18</w:t>
      </w:r>
      <w:r w:rsidR="00A524E1" w:rsidRPr="006A15B1">
        <w:rPr>
          <w:rFonts w:hAnsi="標楷體" w:hint="eastAsia"/>
          <w:color w:val="000000" w:themeColor="text1"/>
        </w:rPr>
        <w:t>條規定。」及105年11月18日FDA食字第1059906667號函略以：「</w:t>
      </w:r>
      <w:r w:rsidR="00A524E1" w:rsidRPr="006A15B1">
        <w:rPr>
          <w:rFonts w:hAnsi="標楷體"/>
          <w:color w:val="000000" w:themeColor="text1"/>
        </w:rPr>
        <w:t>……</w:t>
      </w:r>
      <w:r w:rsidR="00A524E1" w:rsidRPr="006A15B1">
        <w:rPr>
          <w:rFonts w:hAnsi="標楷體" w:hint="eastAsia"/>
          <w:color w:val="000000" w:themeColor="text1"/>
        </w:rPr>
        <w:t>三、案內食品業者使用</w:t>
      </w:r>
      <w:r w:rsidR="00B55BEE">
        <w:rPr>
          <w:rFonts w:hAnsi="標楷體" w:hint="eastAsia"/>
          <w:color w:val="000000" w:themeColor="text1"/>
        </w:rPr>
        <w:t>允○化學工業股份有限公司</w:t>
      </w:r>
      <w:r w:rsidR="00A524E1" w:rsidRPr="006A15B1">
        <w:rPr>
          <w:rFonts w:hAnsi="標楷體" w:hint="eastAsia"/>
          <w:color w:val="000000" w:themeColor="text1"/>
        </w:rPr>
        <w:t>製造之碳酸鎂，為未經查驗登記之產 品，已涉及違反食安 法第8條之規定，且案內成分規格不符合</w:t>
      </w:r>
      <w:r w:rsidR="000869AF">
        <w:rPr>
          <w:rFonts w:hAnsi="標楷體" w:hint="eastAsia"/>
          <w:color w:val="000000" w:themeColor="text1"/>
        </w:rPr>
        <w:t>『</w:t>
      </w:r>
      <w:r w:rsidR="00A524E1" w:rsidRPr="006A15B1">
        <w:rPr>
          <w:rFonts w:hAnsi="標楷體" w:hint="eastAsia"/>
          <w:color w:val="000000" w:themeColor="text1"/>
        </w:rPr>
        <w:t>食品添加物使用範圍及限量暨規格標準</w:t>
      </w:r>
      <w:r w:rsidR="000869AF">
        <w:rPr>
          <w:rFonts w:hAnsi="標楷體" w:hint="eastAsia"/>
          <w:color w:val="000000" w:themeColor="text1"/>
        </w:rPr>
        <w:t>』</w:t>
      </w:r>
      <w:r w:rsidR="00A524E1" w:rsidRPr="006A15B1">
        <w:rPr>
          <w:rFonts w:hAnsi="標楷體" w:hint="eastAsia"/>
          <w:color w:val="000000" w:themeColor="text1"/>
        </w:rPr>
        <w:t>規定，故亦涉及違反食安法第18條，惟尚無違反同法第</w:t>
      </w:r>
      <w:r w:rsidR="00A524E1" w:rsidRPr="006A15B1">
        <w:rPr>
          <w:rFonts w:hAnsi="標楷體"/>
          <w:color w:val="000000" w:themeColor="text1"/>
        </w:rPr>
        <w:t>15</w:t>
      </w:r>
      <w:r w:rsidR="00A524E1" w:rsidRPr="006A15B1">
        <w:rPr>
          <w:rFonts w:hAnsi="標楷體" w:hint="eastAsia"/>
          <w:color w:val="000000" w:themeColor="text1"/>
        </w:rPr>
        <w:t>條第</w:t>
      </w:r>
      <w:r w:rsidR="00A524E1" w:rsidRPr="006A15B1">
        <w:rPr>
          <w:rFonts w:hAnsi="標楷體"/>
          <w:color w:val="000000" w:themeColor="text1"/>
        </w:rPr>
        <w:t>1</w:t>
      </w:r>
      <w:r w:rsidR="00A524E1" w:rsidRPr="006A15B1">
        <w:rPr>
          <w:rFonts w:hAnsi="標楷體" w:hint="eastAsia"/>
          <w:color w:val="000000" w:themeColor="text1"/>
        </w:rPr>
        <w:t>項第</w:t>
      </w:r>
      <w:r w:rsidR="00A524E1" w:rsidRPr="006A15B1">
        <w:rPr>
          <w:rFonts w:hAnsi="標楷體"/>
          <w:color w:val="000000" w:themeColor="text1"/>
        </w:rPr>
        <w:t>10</w:t>
      </w:r>
      <w:r w:rsidR="00A524E1" w:rsidRPr="006A15B1">
        <w:rPr>
          <w:rFonts w:hAnsi="標楷體" w:hint="eastAsia"/>
          <w:color w:val="000000" w:themeColor="text1"/>
        </w:rPr>
        <w:t>款規定。」</w:t>
      </w:r>
      <w:r w:rsidR="005E1B95" w:rsidRPr="006A15B1">
        <w:rPr>
          <w:rFonts w:hAnsi="標楷體" w:hint="eastAsia"/>
          <w:color w:val="000000" w:themeColor="text1"/>
        </w:rPr>
        <w:t>兩</w:t>
      </w:r>
      <w:r w:rsidR="00AB1B57" w:rsidRPr="006A15B1">
        <w:rPr>
          <w:rFonts w:hAnsi="標楷體" w:hint="eastAsia"/>
          <w:color w:val="000000" w:themeColor="text1"/>
        </w:rPr>
        <w:t>函釋</w:t>
      </w:r>
      <w:r w:rsidR="005E1B95" w:rsidRPr="006A15B1">
        <w:rPr>
          <w:rFonts w:hAnsi="標楷體" w:hint="eastAsia"/>
          <w:color w:val="000000" w:themeColor="text1"/>
        </w:rPr>
        <w:t>之適法性</w:t>
      </w:r>
      <w:r w:rsidR="00AB1B57" w:rsidRPr="006A15B1">
        <w:rPr>
          <w:rFonts w:hAnsi="標楷體" w:hint="eastAsia"/>
          <w:color w:val="000000" w:themeColor="text1"/>
        </w:rPr>
        <w:t>，</w:t>
      </w:r>
      <w:r w:rsidR="00970568" w:rsidRPr="006A15B1">
        <w:rPr>
          <w:rFonts w:hAnsi="標楷體" w:hint="eastAsia"/>
          <w:color w:val="000000" w:themeColor="text1"/>
        </w:rPr>
        <w:t>依據</w:t>
      </w:r>
      <w:r w:rsidR="0044253B" w:rsidRPr="006A15B1">
        <w:rPr>
          <w:rFonts w:hAnsi="標楷體" w:hint="eastAsia"/>
          <w:color w:val="000000" w:themeColor="text1"/>
        </w:rPr>
        <w:t>彰化地檢署上訴書</w:t>
      </w:r>
      <w:r w:rsidR="00743540" w:rsidRPr="006A15B1">
        <w:rPr>
          <w:rStyle w:val="afe"/>
          <w:rFonts w:hAnsi="標楷體"/>
          <w:color w:val="000000" w:themeColor="text1"/>
        </w:rPr>
        <w:footnoteReference w:id="3"/>
      </w:r>
      <w:r w:rsidR="0044253B" w:rsidRPr="006A15B1">
        <w:rPr>
          <w:rFonts w:hAnsi="標楷體" w:hint="eastAsia"/>
          <w:color w:val="000000" w:themeColor="text1"/>
        </w:rPr>
        <w:t>：「證人</w:t>
      </w:r>
      <w:r w:rsidR="00BA0E8F">
        <w:rPr>
          <w:rFonts w:hAnsi="標楷體" w:hint="eastAsia"/>
          <w:color w:val="000000" w:themeColor="text1"/>
        </w:rPr>
        <w:t>高○言</w:t>
      </w:r>
      <w:r w:rsidR="0044253B" w:rsidRPr="006A15B1">
        <w:rPr>
          <w:rFonts w:hAnsi="標楷體" w:hint="eastAsia"/>
          <w:color w:val="000000" w:themeColor="text1"/>
        </w:rPr>
        <w:t>到庭表示，食藥署針對102年6月19日新修正的第10款係予以限縮解釋」（見</w:t>
      </w:r>
      <w:r w:rsidR="0044253B" w:rsidRPr="006A15B1">
        <w:rPr>
          <w:rFonts w:hAnsi="標楷體" w:hint="eastAsia"/>
          <w:color w:val="000000" w:themeColor="text1"/>
        </w:rPr>
        <w:lastRenderedPageBreak/>
        <w:t>106年度上字第69號第6頁）、「綜上、不管是該次與會的立委諸公，或列席之行政機關代表，所稱之未經許可，均是指</w:t>
      </w:r>
      <w:r w:rsidR="00234CF1" w:rsidRPr="006A15B1">
        <w:rPr>
          <w:rFonts w:hAnsi="標楷體" w:hint="eastAsia"/>
          <w:color w:val="000000" w:themeColor="text1"/>
        </w:rPr>
        <w:t>『未經許可之食品添加物』，而非行政函釋後來自行限縮解釋的</w:t>
      </w:r>
      <w:r w:rsidR="00810CEE" w:rsidRPr="006A15B1">
        <w:rPr>
          <w:rFonts w:hAnsi="標楷體" w:hint="eastAsia"/>
          <w:color w:val="000000" w:themeColor="text1"/>
        </w:rPr>
        <w:t>非</w:t>
      </w:r>
      <w:r w:rsidR="00234CF1" w:rsidRPr="006A15B1">
        <w:rPr>
          <w:rFonts w:hAnsi="標楷體" w:hint="eastAsia"/>
          <w:color w:val="000000" w:themeColor="text1"/>
        </w:rPr>
        <w:t>正面表列之『添加物』</w:t>
      </w:r>
      <w:r w:rsidR="0044253B" w:rsidRPr="006A15B1">
        <w:rPr>
          <w:rFonts w:hAnsi="標楷體" w:hint="eastAsia"/>
          <w:color w:val="000000" w:themeColor="text1"/>
        </w:rPr>
        <w:t>」</w:t>
      </w:r>
      <w:r w:rsidR="00234CF1" w:rsidRPr="006A15B1">
        <w:rPr>
          <w:rFonts w:hAnsi="標楷體" w:hint="eastAsia"/>
          <w:color w:val="000000" w:themeColor="text1"/>
        </w:rPr>
        <w:t>（見106年度上字第69號第8頁）、</w:t>
      </w:r>
      <w:r w:rsidR="00666618" w:rsidRPr="006A15B1">
        <w:rPr>
          <w:rFonts w:hAnsi="標楷體" w:hint="eastAsia"/>
          <w:color w:val="000000" w:themeColor="text1"/>
        </w:rPr>
        <w:t>「</w:t>
      </w:r>
      <w:r w:rsidR="009C002D" w:rsidRPr="006A15B1">
        <w:rPr>
          <w:rFonts w:hAnsi="標楷體" w:hint="eastAsia"/>
          <w:color w:val="000000" w:themeColor="text1"/>
        </w:rPr>
        <w:t>是如加入非衛生福利部</w:t>
      </w:r>
      <w:r w:rsidR="00AB1B57" w:rsidRPr="006A15B1">
        <w:rPr>
          <w:rFonts w:hAnsi="標楷體" w:hint="eastAsia"/>
          <w:color w:val="000000" w:themeColor="text1"/>
        </w:rPr>
        <w:t>『</w:t>
      </w:r>
      <w:r w:rsidR="00BD759D" w:rsidRPr="006A15B1">
        <w:rPr>
          <w:rFonts w:hAnsi="標楷體" w:hint="eastAsia"/>
          <w:color w:val="000000" w:themeColor="text1"/>
        </w:rPr>
        <w:t>食品添加物使用範圍及限量暨規格標準</w:t>
      </w:r>
      <w:r w:rsidR="00AB1B57" w:rsidRPr="006A15B1">
        <w:rPr>
          <w:rFonts w:hAnsi="標楷體" w:hint="eastAsia"/>
          <w:color w:val="000000" w:themeColor="text1"/>
        </w:rPr>
        <w:t>』</w:t>
      </w:r>
      <w:r w:rsidR="00BD759D" w:rsidRPr="006A15B1">
        <w:rPr>
          <w:rFonts w:hAnsi="標楷體" w:hint="eastAsia"/>
          <w:color w:val="000000" w:themeColor="text1"/>
        </w:rPr>
        <w:t>所表列之添加物，或為衛生福利部</w:t>
      </w:r>
      <w:r w:rsidR="00AB1B57" w:rsidRPr="006A15B1">
        <w:rPr>
          <w:rFonts w:hAnsi="標楷體" w:hint="eastAsia"/>
          <w:color w:val="000000" w:themeColor="text1"/>
          <w:szCs w:val="32"/>
        </w:rPr>
        <w:t>『</w:t>
      </w:r>
      <w:r w:rsidR="00BD759D" w:rsidRPr="006A15B1">
        <w:rPr>
          <w:rFonts w:hint="eastAsia"/>
          <w:color w:val="000000" w:themeColor="text1"/>
          <w:szCs w:val="32"/>
        </w:rPr>
        <w:t>食品添加物使用範圍及限量暨規格標準</w:t>
      </w:r>
      <w:r w:rsidR="00AB1B57" w:rsidRPr="006A15B1">
        <w:rPr>
          <w:rFonts w:hAnsi="標楷體" w:hint="eastAsia"/>
          <w:color w:val="000000" w:themeColor="text1"/>
          <w:szCs w:val="32"/>
        </w:rPr>
        <w:t>』</w:t>
      </w:r>
      <w:r w:rsidR="00BD759D" w:rsidRPr="006A15B1">
        <w:rPr>
          <w:rFonts w:hint="eastAsia"/>
          <w:color w:val="000000" w:themeColor="text1"/>
          <w:szCs w:val="32"/>
        </w:rPr>
        <w:t>所表列之添加物但未取得食品添加許可證之添加物，如工業級碳酸鎂，均應為法所不允許之添加物。食藥署自行限縮下級機關查緝範圍之函釋，或有該機關推動食品安全政策的考量或預算、人力的限制，但已有行政怠惰之嫌，</w:t>
      </w:r>
      <w:r w:rsidR="00BD759D" w:rsidRPr="006A15B1">
        <w:rPr>
          <w:color w:val="000000" w:themeColor="text1"/>
          <w:szCs w:val="32"/>
        </w:rPr>
        <w:t>……</w:t>
      </w:r>
      <w:r w:rsidR="00BD759D" w:rsidRPr="006A15B1">
        <w:rPr>
          <w:rFonts w:hint="eastAsia"/>
          <w:color w:val="000000" w:themeColor="text1"/>
          <w:szCs w:val="32"/>
        </w:rPr>
        <w:t>。</w:t>
      </w:r>
      <w:r w:rsidR="00BD759D" w:rsidRPr="006A15B1">
        <w:rPr>
          <w:rFonts w:hAnsi="標楷體" w:hint="eastAsia"/>
          <w:color w:val="000000" w:themeColor="text1"/>
          <w:szCs w:val="32"/>
        </w:rPr>
        <w:t>」</w:t>
      </w:r>
      <w:r w:rsidR="009C002D" w:rsidRPr="006A15B1">
        <w:rPr>
          <w:rFonts w:hAnsi="標楷體" w:hint="eastAsia"/>
          <w:color w:val="000000" w:themeColor="text1"/>
        </w:rPr>
        <w:t>（見106年度上字第69號第9頁）</w:t>
      </w:r>
      <w:r w:rsidR="000F5DDF" w:rsidRPr="006A15B1">
        <w:rPr>
          <w:rFonts w:hAnsi="標楷體" w:hint="eastAsia"/>
          <w:color w:val="000000" w:themeColor="text1"/>
        </w:rPr>
        <w:t>認為</w:t>
      </w:r>
      <w:r w:rsidR="007024B4" w:rsidRPr="006A15B1">
        <w:rPr>
          <w:rFonts w:hAnsi="標楷體" w:hint="eastAsia"/>
          <w:color w:val="000000" w:themeColor="text1"/>
        </w:rPr>
        <w:t>食藥署</w:t>
      </w:r>
      <w:r w:rsidR="007F2AAF" w:rsidRPr="006A15B1">
        <w:rPr>
          <w:rFonts w:hAnsi="標楷體" w:hint="eastAsia"/>
          <w:color w:val="000000" w:themeColor="text1"/>
        </w:rPr>
        <w:t>前開</w:t>
      </w:r>
      <w:r w:rsidR="007024B4" w:rsidRPr="006A15B1">
        <w:rPr>
          <w:rFonts w:hAnsi="標楷體" w:hint="eastAsia"/>
          <w:color w:val="000000" w:themeColor="text1"/>
        </w:rPr>
        <w:t>函釋顯有限縮解釋及行政怠惰之情形。</w:t>
      </w:r>
    </w:p>
    <w:p w:rsidR="004C3208" w:rsidRPr="006A15B1" w:rsidRDefault="004C3208" w:rsidP="00412ACB">
      <w:pPr>
        <w:pStyle w:val="3"/>
        <w:ind w:left="1418" w:hanging="709"/>
        <w:rPr>
          <w:color w:val="000000" w:themeColor="text1"/>
        </w:rPr>
      </w:pPr>
      <w:r w:rsidRPr="006A15B1">
        <w:rPr>
          <w:rFonts w:hint="eastAsia"/>
          <w:color w:val="000000" w:themeColor="text1"/>
        </w:rPr>
        <w:t>再據食藥</w:t>
      </w:r>
      <w:r w:rsidR="00F83E14">
        <w:rPr>
          <w:rFonts w:hint="eastAsia"/>
          <w:color w:val="000000" w:themeColor="text1"/>
        </w:rPr>
        <w:t>署</w:t>
      </w:r>
      <w:r w:rsidRPr="006A15B1">
        <w:rPr>
          <w:rFonts w:hint="eastAsia"/>
          <w:color w:val="000000" w:themeColor="text1"/>
        </w:rPr>
        <w:t>署長於本院詢問有關</w:t>
      </w:r>
      <w:r w:rsidR="00FB7591" w:rsidRPr="006A15B1">
        <w:rPr>
          <w:rFonts w:hint="eastAsia"/>
          <w:color w:val="000000" w:themeColor="text1"/>
        </w:rPr>
        <w:t>何以</w:t>
      </w:r>
      <w:r w:rsidRPr="006A15B1">
        <w:rPr>
          <w:rFonts w:hint="eastAsia"/>
          <w:color w:val="000000" w:themeColor="text1"/>
        </w:rPr>
        <w:t>本案</w:t>
      </w:r>
      <w:r w:rsidRPr="006A15B1">
        <w:rPr>
          <w:color w:val="000000" w:themeColor="text1"/>
        </w:rPr>
        <w:t>食藥署</w:t>
      </w:r>
      <w:r w:rsidRPr="006A15B1">
        <w:rPr>
          <w:rFonts w:hint="eastAsia"/>
          <w:color w:val="000000" w:themeColor="text1"/>
        </w:rPr>
        <w:t>人員於法庭之</w:t>
      </w:r>
      <w:r w:rsidRPr="006A15B1">
        <w:rPr>
          <w:color w:val="000000" w:themeColor="text1"/>
        </w:rPr>
        <w:t>證</w:t>
      </w:r>
      <w:r w:rsidRPr="006A15B1">
        <w:rPr>
          <w:rFonts w:hint="eastAsia"/>
          <w:color w:val="000000" w:themeColor="text1"/>
        </w:rPr>
        <w:t>詞及相關函釋</w:t>
      </w:r>
      <w:r w:rsidR="00FB7591" w:rsidRPr="006A15B1">
        <w:rPr>
          <w:rFonts w:hint="eastAsia"/>
          <w:color w:val="000000" w:themeColor="text1"/>
        </w:rPr>
        <w:t>說明工業用碳酸鎂得用於食品添加物</w:t>
      </w:r>
      <w:r w:rsidRPr="006A15B1">
        <w:rPr>
          <w:color w:val="000000" w:themeColor="text1"/>
        </w:rPr>
        <w:t>……</w:t>
      </w:r>
      <w:r w:rsidR="00AB2DE9" w:rsidRPr="006A15B1">
        <w:rPr>
          <w:rFonts w:hint="eastAsia"/>
          <w:color w:val="000000" w:themeColor="text1"/>
        </w:rPr>
        <w:t>等</w:t>
      </w:r>
      <w:r w:rsidRPr="006A15B1">
        <w:rPr>
          <w:rFonts w:hint="eastAsia"/>
          <w:color w:val="000000" w:themeColor="text1"/>
        </w:rPr>
        <w:t>一節表示：</w:t>
      </w:r>
      <w:r w:rsidR="006C35E6" w:rsidRPr="006A15B1">
        <w:rPr>
          <w:rFonts w:hAnsi="標楷體" w:hint="eastAsia"/>
          <w:color w:val="000000" w:themeColor="text1"/>
        </w:rPr>
        <w:t>「</w:t>
      </w:r>
      <w:r w:rsidRPr="006A15B1">
        <w:rPr>
          <w:rFonts w:hint="eastAsia"/>
          <w:color w:val="000000" w:themeColor="text1"/>
        </w:rPr>
        <w:t>同仁在遇到本案法院詢問時，因當時在管理上確實對於食安法第15條之適用認定有待釐清，故會會許多單位提供意見，並在法庭回答上說法會較保守。不過近年在相關判決後，已漸有共識。</w:t>
      </w:r>
      <w:r w:rsidR="006C35E6" w:rsidRPr="006A15B1">
        <w:rPr>
          <w:color w:val="000000" w:themeColor="text1"/>
        </w:rPr>
        <w:t>……</w:t>
      </w:r>
      <w:r w:rsidR="006C35E6" w:rsidRPr="006A15B1">
        <w:rPr>
          <w:rFonts w:hAnsi="標楷體" w:hint="eastAsia"/>
          <w:color w:val="000000" w:themeColor="text1"/>
        </w:rPr>
        <w:t>」</w:t>
      </w:r>
      <w:r w:rsidR="00AA04D2" w:rsidRPr="006A15B1">
        <w:rPr>
          <w:rFonts w:hAnsi="標楷體" w:hint="eastAsia"/>
          <w:color w:val="000000" w:themeColor="text1"/>
        </w:rPr>
        <w:t>益證該署</w:t>
      </w:r>
      <w:r w:rsidR="00B557B2" w:rsidRPr="006A15B1">
        <w:rPr>
          <w:rFonts w:hAnsi="標楷體" w:hint="eastAsia"/>
          <w:color w:val="000000" w:themeColor="text1"/>
        </w:rPr>
        <w:t>未能釐清食安法立法宗旨及</w:t>
      </w:r>
      <w:r w:rsidR="00CF7A0D" w:rsidRPr="006A15B1">
        <w:rPr>
          <w:rFonts w:hAnsi="標楷體" w:hint="eastAsia"/>
          <w:color w:val="000000" w:themeColor="text1"/>
        </w:rPr>
        <w:t>食安法修法</w:t>
      </w:r>
      <w:r w:rsidR="00B557B2" w:rsidRPr="006A15B1">
        <w:rPr>
          <w:rFonts w:hAnsi="標楷體" w:hint="eastAsia"/>
          <w:color w:val="000000" w:themeColor="text1"/>
        </w:rPr>
        <w:t>對食品添加物</w:t>
      </w:r>
      <w:r w:rsidR="00CF7A0D" w:rsidRPr="006A15B1">
        <w:rPr>
          <w:rFonts w:hAnsi="標楷體" w:hint="eastAsia"/>
          <w:color w:val="000000" w:themeColor="text1"/>
        </w:rPr>
        <w:t>加強</w:t>
      </w:r>
      <w:r w:rsidR="00B557B2" w:rsidRPr="006A15B1">
        <w:rPr>
          <w:rFonts w:hAnsi="標楷體" w:hint="eastAsia"/>
          <w:color w:val="000000" w:themeColor="text1"/>
        </w:rPr>
        <w:t>管理之怠惰</w:t>
      </w:r>
      <w:r w:rsidR="00AA04D2" w:rsidRPr="006A15B1">
        <w:rPr>
          <w:rFonts w:hAnsi="標楷體" w:hint="eastAsia"/>
          <w:color w:val="000000" w:themeColor="text1"/>
        </w:rPr>
        <w:t>。</w:t>
      </w:r>
      <w:r w:rsidRPr="006A15B1">
        <w:rPr>
          <w:rFonts w:hint="eastAsia"/>
          <w:color w:val="000000" w:themeColor="text1"/>
        </w:rPr>
        <w:t xml:space="preserve"> </w:t>
      </w:r>
    </w:p>
    <w:p w:rsidR="000F5DDF" w:rsidRPr="006A15B1" w:rsidRDefault="000F5DDF" w:rsidP="009C2833">
      <w:pPr>
        <w:pStyle w:val="3"/>
        <w:ind w:left="1418" w:hanging="709"/>
        <w:rPr>
          <w:color w:val="000000" w:themeColor="text1"/>
        </w:rPr>
      </w:pPr>
      <w:r w:rsidRPr="006A15B1">
        <w:rPr>
          <w:rFonts w:hAnsi="標楷體" w:hint="eastAsia"/>
          <w:color w:val="000000" w:themeColor="text1"/>
        </w:rPr>
        <w:t>綜上，</w:t>
      </w:r>
      <w:r w:rsidR="00A07AE2" w:rsidRPr="006A15B1">
        <w:rPr>
          <w:rFonts w:hAnsi="標楷體" w:hint="eastAsia"/>
          <w:color w:val="000000" w:themeColor="text1"/>
        </w:rPr>
        <w:t>依據食品安全衛生管理法之制定、立法理由及修法目的，食品安全衛生管理法所謂食品添加物，除於該法第3條已為食品添加物界定限於食用範圍外，亦透過修法及查驗登記之許可制度，來加強管控「食用」之食品添加物使用規範，然食藥署就工業用碳酸鎂</w:t>
      </w:r>
      <w:r w:rsidR="00CE7BEB" w:rsidRPr="006A15B1">
        <w:rPr>
          <w:rFonts w:hAnsi="標楷體" w:hint="eastAsia"/>
          <w:color w:val="000000" w:themeColor="text1"/>
        </w:rPr>
        <w:t>管理之函釋</w:t>
      </w:r>
      <w:r w:rsidR="00A07AE2" w:rsidRPr="006A15B1">
        <w:rPr>
          <w:rFonts w:hAnsi="標楷體" w:hint="eastAsia"/>
          <w:color w:val="000000" w:themeColor="text1"/>
        </w:rPr>
        <w:t>及該署證人到庭之證</w:t>
      </w:r>
      <w:r w:rsidR="00A07AE2" w:rsidRPr="006A15B1">
        <w:rPr>
          <w:rFonts w:hAnsi="標楷體" w:hint="eastAsia"/>
          <w:color w:val="000000" w:themeColor="text1"/>
        </w:rPr>
        <w:lastRenderedPageBreak/>
        <w:t>詞，已有違反食安法立法宗旨及法規範目的，並無視立法者修法明確防止工業級化工原料被混入食品添加所賦予主管機關加強管理之責，且部分函釋有限縮解釋及行政怠惰之情形，顯有疏失，允應儘速重新檢視相關函釋之妥適性</w:t>
      </w:r>
      <w:r w:rsidR="002D1DC0" w:rsidRPr="006A15B1">
        <w:rPr>
          <w:rFonts w:hAnsi="標楷體" w:hint="eastAsia"/>
          <w:color w:val="000000" w:themeColor="text1"/>
        </w:rPr>
        <w:t>，並約束主管之公務員</w:t>
      </w:r>
      <w:r w:rsidR="00B63A5F" w:rsidRPr="006A15B1">
        <w:rPr>
          <w:rFonts w:hAnsi="標楷體" w:hint="eastAsia"/>
          <w:color w:val="000000" w:themeColor="text1"/>
        </w:rPr>
        <w:t>依法解釋，勿刻意架空已立法通過之法律</w:t>
      </w:r>
      <w:r w:rsidR="006F5295" w:rsidRPr="006A15B1">
        <w:rPr>
          <w:rFonts w:hAnsi="標楷體" w:hint="eastAsia"/>
          <w:color w:val="000000" w:themeColor="text1"/>
        </w:rPr>
        <w:t>。</w:t>
      </w:r>
    </w:p>
    <w:p w:rsidR="009775A1" w:rsidRDefault="00993754" w:rsidP="00AA755E">
      <w:pPr>
        <w:pStyle w:val="2"/>
        <w:spacing w:beforeLines="50" w:before="228"/>
        <w:ind w:left="1020" w:hanging="680"/>
        <w:rPr>
          <w:b/>
        </w:rPr>
      </w:pPr>
      <w:r w:rsidRPr="00993754">
        <w:rPr>
          <w:rFonts w:hint="eastAsia"/>
          <w:b/>
        </w:rPr>
        <w:t>為因應多元化社會及順應時代脈動，法官應於任職期間持續進修以吸收新知，俾能精進裁判品質，法官法自</w:t>
      </w:r>
      <w:r w:rsidRPr="00993754">
        <w:rPr>
          <w:b/>
        </w:rPr>
        <w:t>101</w:t>
      </w:r>
      <w:r w:rsidRPr="00993754">
        <w:rPr>
          <w:rFonts w:hint="eastAsia"/>
          <w:b/>
        </w:rPr>
        <w:t>年</w:t>
      </w:r>
      <w:r w:rsidRPr="00993754">
        <w:rPr>
          <w:b/>
        </w:rPr>
        <w:t>7</w:t>
      </w:r>
      <w:r w:rsidRPr="00993754">
        <w:rPr>
          <w:rFonts w:hint="eastAsia"/>
          <w:b/>
        </w:rPr>
        <w:t>月施行後，有關司法院對於所屬機關人員（含法官）之訓練進修，除依需求，擬定年度研習計畫據以辦理外，所屬各機關亦可依業務需要自行辦理，或由該院各單位另行辦理。雖司法院歷年已辦理多次有關食品安全領域之課程在職訓練，然就本案「工業用」碳酸鎂添加於胡椒之一、二審判決，竟皆對於食品安全衛生專業之法令見解仍有適用法則不當之違背法令判決情事，司法院允宜督同所屬</w:t>
      </w:r>
      <w:r w:rsidR="00D316F8">
        <w:rPr>
          <w:rFonts w:hint="eastAsia"/>
          <w:b/>
        </w:rPr>
        <w:t>檢討並</w:t>
      </w:r>
      <w:r w:rsidRPr="00993754">
        <w:rPr>
          <w:rFonts w:hint="eastAsia"/>
          <w:b/>
        </w:rPr>
        <w:t>研議相關精進措施</w:t>
      </w:r>
    </w:p>
    <w:p w:rsidR="003A5927" w:rsidRPr="00714D89" w:rsidRDefault="002B3061" w:rsidP="006E53E8">
      <w:pPr>
        <w:pStyle w:val="3"/>
        <w:ind w:left="1418" w:hanging="709"/>
      </w:pPr>
      <w:r w:rsidRPr="002B3061">
        <w:rPr>
          <w:rFonts w:hint="eastAsia"/>
        </w:rPr>
        <w:t>依據法官法第81條規定：</w:t>
      </w:r>
      <w:r w:rsidRPr="002B3061">
        <w:rPr>
          <w:rFonts w:hAnsi="標楷體" w:hint="eastAsia"/>
        </w:rPr>
        <w:t>「法官每年度應從事在職進修。司法院應逐年編列預算，遴選各級法院法官，分派國內外從事司法考察或進修。」</w:t>
      </w:r>
      <w:r w:rsidR="009E1AF9">
        <w:rPr>
          <w:rFonts w:hAnsi="標楷體" w:hint="eastAsia"/>
        </w:rPr>
        <w:t>其立法理由為：</w:t>
      </w:r>
      <w:r w:rsidRPr="002B3061">
        <w:rPr>
          <w:rFonts w:hAnsi="標楷體" w:hint="eastAsia"/>
        </w:rPr>
        <w:t>為因應多元化社會及順應時代脈動，法官應於任職期間持續進修以吸收新知，俾能精進裁判品質，爰於第</w:t>
      </w:r>
      <w:r w:rsidR="009E1AF9">
        <w:rPr>
          <w:rFonts w:hAnsi="標楷體" w:hint="eastAsia"/>
        </w:rPr>
        <w:t>1</w:t>
      </w:r>
      <w:r w:rsidRPr="002B3061">
        <w:rPr>
          <w:rFonts w:hAnsi="標楷體" w:hint="eastAsia"/>
        </w:rPr>
        <w:t>項明定法官每年均應從事在職進修之旨。</w:t>
      </w:r>
      <w:r w:rsidR="006E53E8">
        <w:rPr>
          <w:rFonts w:hAnsi="標楷體" w:hint="eastAsia"/>
        </w:rPr>
        <w:t>復依</w:t>
      </w:r>
      <w:r w:rsidRPr="002B3061">
        <w:rPr>
          <w:rFonts w:hAnsi="標楷體" w:hint="eastAsia"/>
        </w:rPr>
        <w:t>法</w:t>
      </w:r>
      <w:r>
        <w:rPr>
          <w:rFonts w:hint="eastAsia"/>
        </w:rPr>
        <w:t>官進修考察辦法第2條定：</w:t>
      </w:r>
      <w:r w:rsidRPr="002B3061">
        <w:rPr>
          <w:rFonts w:hAnsi="標楷體" w:hint="eastAsia"/>
        </w:rPr>
        <w:t>「法官在職進修之方式如下：</w:t>
      </w:r>
      <w:r w:rsidRPr="002B3061">
        <w:rPr>
          <w:rFonts w:hAnsi="標楷體"/>
        </w:rPr>
        <w:t>……</w:t>
      </w:r>
      <w:r w:rsidRPr="002B3061">
        <w:rPr>
          <w:rFonts w:hAnsi="標楷體" w:hint="eastAsia"/>
        </w:rPr>
        <w:t>五、參加司法院暨所屬機關、其他政府機關（構）學校及團體所舉辦與司法業務有關之研習、訓練或會議。」</w:t>
      </w:r>
    </w:p>
    <w:p w:rsidR="003164D5" w:rsidRPr="00B7035A" w:rsidRDefault="00D70049" w:rsidP="006E53E8">
      <w:pPr>
        <w:pStyle w:val="3"/>
        <w:ind w:left="1418" w:hanging="709"/>
      </w:pPr>
      <w:r>
        <w:rPr>
          <w:rFonts w:hint="eastAsia"/>
        </w:rPr>
        <w:t>據司法院復函</w:t>
      </w:r>
      <w:r w:rsidR="006E53E8">
        <w:rPr>
          <w:rStyle w:val="afe"/>
        </w:rPr>
        <w:footnoteReference w:id="4"/>
      </w:r>
      <w:r>
        <w:rPr>
          <w:rFonts w:hint="eastAsia"/>
        </w:rPr>
        <w:t>表示：</w:t>
      </w:r>
      <w:r w:rsidR="003164D5" w:rsidRPr="003164D5">
        <w:rPr>
          <w:rFonts w:hint="eastAsia"/>
        </w:rPr>
        <w:t>司法院所屬機關人員（含法官）</w:t>
      </w:r>
      <w:r w:rsidR="003164D5" w:rsidRPr="003164D5">
        <w:rPr>
          <w:rFonts w:hint="eastAsia"/>
        </w:rPr>
        <w:lastRenderedPageBreak/>
        <w:t>在職訓練，係由法官學院於每年年底前彙整</w:t>
      </w:r>
      <w:r w:rsidR="006E53E8">
        <w:rPr>
          <w:rFonts w:hint="eastAsia"/>
        </w:rPr>
        <w:t>該</w:t>
      </w:r>
      <w:r w:rsidR="003164D5" w:rsidRPr="003164D5">
        <w:rPr>
          <w:rFonts w:hint="eastAsia"/>
        </w:rPr>
        <w:t>院各業務廳（處）相關訓練需求後，擬定年度研習計畫，經法官學院訓練委員會決議通過，據以辦理調訓等相關事宜；各機關亦可依業務需要自行辦理，或由該院各單位另行辦理。因此，法官進修課程之規劃，除由法官學院訓練委員會依該院各業務單位需求及往年該學院辦理情形，依該委員會決議辦理外，各所屬機關亦可依審判業務需要，自行辦理相關課程。</w:t>
      </w:r>
      <w:r w:rsidR="003164D5">
        <w:rPr>
          <w:rFonts w:hint="eastAsia"/>
        </w:rPr>
        <w:t>經查</w:t>
      </w:r>
      <w:r w:rsidR="003164D5" w:rsidRPr="00B7035A">
        <w:rPr>
          <w:rFonts w:hint="eastAsia"/>
        </w:rPr>
        <w:t>法官法自</w:t>
      </w:r>
      <w:r w:rsidR="003164D5" w:rsidRPr="00B7035A">
        <w:t>101</w:t>
      </w:r>
      <w:r w:rsidR="003164D5" w:rsidRPr="00B7035A">
        <w:rPr>
          <w:rFonts w:hint="eastAsia"/>
        </w:rPr>
        <w:t>年</w:t>
      </w:r>
      <w:r w:rsidR="003164D5" w:rsidRPr="00B7035A">
        <w:t>7</w:t>
      </w:r>
      <w:r w:rsidR="003164D5" w:rsidRPr="00B7035A">
        <w:rPr>
          <w:rFonts w:hint="eastAsia"/>
        </w:rPr>
        <w:t>月施行後，司法院歷年辦理有關食品安全領域之課程</w:t>
      </w:r>
      <w:r>
        <w:rPr>
          <w:rFonts w:hint="eastAsia"/>
        </w:rPr>
        <w:t>及授課講師</w:t>
      </w:r>
      <w:r w:rsidR="003164D5" w:rsidRPr="00B7035A">
        <w:rPr>
          <w:rFonts w:hint="eastAsia"/>
        </w:rPr>
        <w:t>如</w:t>
      </w:r>
      <w:r>
        <w:rPr>
          <w:rFonts w:hint="eastAsia"/>
        </w:rPr>
        <w:t>附表二。</w:t>
      </w:r>
    </w:p>
    <w:p w:rsidR="00714D89" w:rsidRDefault="00A56562" w:rsidP="00344A5B">
      <w:pPr>
        <w:pStyle w:val="3"/>
        <w:ind w:left="1418" w:hanging="709"/>
      </w:pPr>
      <w:r w:rsidRPr="004F257A">
        <w:rPr>
          <w:rFonts w:hint="eastAsia"/>
        </w:rPr>
        <w:t>本案</w:t>
      </w:r>
      <w:r w:rsidR="00A862B2" w:rsidRPr="00A862B2">
        <w:rPr>
          <w:rFonts w:hint="eastAsia"/>
        </w:rPr>
        <w:t>彰化地院及臺中</w:t>
      </w:r>
      <w:r w:rsidR="0011265D">
        <w:rPr>
          <w:rFonts w:hint="eastAsia"/>
        </w:rPr>
        <w:t>高</w:t>
      </w:r>
      <w:r w:rsidR="00A862B2" w:rsidRPr="00A862B2">
        <w:rPr>
          <w:rFonts w:hint="eastAsia"/>
        </w:rPr>
        <w:t>分院</w:t>
      </w:r>
      <w:r w:rsidR="001626B8">
        <w:rPr>
          <w:rFonts w:hint="eastAsia"/>
        </w:rPr>
        <w:t>於</w:t>
      </w:r>
      <w:r w:rsidR="00714D89" w:rsidRPr="004F257A">
        <w:rPr>
          <w:rFonts w:hint="eastAsia"/>
        </w:rPr>
        <w:t>審理</w:t>
      </w:r>
      <w:r w:rsidRPr="004F257A">
        <w:rPr>
          <w:rFonts w:hint="eastAsia"/>
        </w:rPr>
        <w:t>期間，</w:t>
      </w:r>
      <w:r w:rsidR="00CC6E4C">
        <w:rPr>
          <w:rFonts w:hint="eastAsia"/>
        </w:rPr>
        <w:t>承審法官</w:t>
      </w:r>
      <w:r w:rsidR="00A11AE6">
        <w:rPr>
          <w:rFonts w:hint="eastAsia"/>
        </w:rPr>
        <w:t>為</w:t>
      </w:r>
      <w:r w:rsidR="00A11AE6" w:rsidRPr="00A11AE6">
        <w:rPr>
          <w:rFonts w:hint="eastAsia"/>
        </w:rPr>
        <w:t>確信見解，適用法律，</w:t>
      </w:r>
      <w:r w:rsidR="00A11AE6">
        <w:rPr>
          <w:rFonts w:hint="eastAsia"/>
        </w:rPr>
        <w:t>參考</w:t>
      </w:r>
      <w:r w:rsidR="00344A5B">
        <w:rPr>
          <w:rFonts w:hint="eastAsia"/>
        </w:rPr>
        <w:t>食藥署</w:t>
      </w:r>
      <w:r w:rsidR="00A11AE6" w:rsidRPr="00A11AE6">
        <w:rPr>
          <w:rFonts w:hint="eastAsia"/>
        </w:rPr>
        <w:t>對於</w:t>
      </w:r>
      <w:r w:rsidR="00344A5B">
        <w:rPr>
          <w:rFonts w:hint="eastAsia"/>
        </w:rPr>
        <w:t>食安法</w:t>
      </w:r>
      <w:r w:rsidR="00A11AE6" w:rsidRPr="00A11AE6">
        <w:rPr>
          <w:rFonts w:hint="eastAsia"/>
        </w:rPr>
        <w:t>之解釋</w:t>
      </w:r>
      <w:r w:rsidR="00A862B2">
        <w:rPr>
          <w:rFonts w:hint="eastAsia"/>
        </w:rPr>
        <w:t>情形</w:t>
      </w:r>
      <w:r w:rsidR="00714D89" w:rsidRPr="004F257A">
        <w:rPr>
          <w:rFonts w:hint="eastAsia"/>
        </w:rPr>
        <w:t>如下：</w:t>
      </w:r>
    </w:p>
    <w:p w:rsidR="005C004E" w:rsidRDefault="00052951" w:rsidP="005C004E">
      <w:pPr>
        <w:pStyle w:val="4"/>
      </w:pPr>
      <w:r>
        <w:rPr>
          <w:rFonts w:hint="eastAsia"/>
        </w:rPr>
        <w:t>彰化地院</w:t>
      </w:r>
      <w:r w:rsidR="00714D89" w:rsidRPr="005C004E">
        <w:rPr>
          <w:rFonts w:hint="eastAsia"/>
        </w:rPr>
        <w:t>函文食藥署</w:t>
      </w:r>
      <w:r w:rsidR="005C004E">
        <w:rPr>
          <w:rFonts w:hint="eastAsia"/>
        </w:rPr>
        <w:t>：</w:t>
      </w:r>
    </w:p>
    <w:p w:rsidR="00B3617E" w:rsidRPr="00B3617E" w:rsidRDefault="00B3617E" w:rsidP="00B3617E">
      <w:pPr>
        <w:pStyle w:val="5"/>
      </w:pPr>
      <w:r w:rsidRPr="00B3617E">
        <w:rPr>
          <w:rFonts w:hint="eastAsia"/>
        </w:rPr>
        <w:t>彰化地院</w:t>
      </w:r>
      <w:r w:rsidRPr="00B3617E">
        <w:t>105</w:t>
      </w:r>
      <w:r>
        <w:rPr>
          <w:rFonts w:hint="eastAsia"/>
        </w:rPr>
        <w:t>年</w:t>
      </w:r>
      <w:r w:rsidRPr="00B3617E">
        <w:t>1</w:t>
      </w:r>
      <w:r>
        <w:rPr>
          <w:rFonts w:hint="eastAsia"/>
        </w:rPr>
        <w:t>月</w:t>
      </w:r>
      <w:r w:rsidRPr="00B3617E">
        <w:t>30</w:t>
      </w:r>
      <w:r>
        <w:rPr>
          <w:rFonts w:hint="eastAsia"/>
        </w:rPr>
        <w:t>日以</w:t>
      </w:r>
      <w:r w:rsidRPr="00B3617E">
        <w:rPr>
          <w:rFonts w:hint="eastAsia"/>
        </w:rPr>
        <w:t>彰院勝刑梅</w:t>
      </w:r>
      <w:r w:rsidRPr="00B3617E">
        <w:t>104</w:t>
      </w:r>
      <w:r w:rsidRPr="00B3617E">
        <w:rPr>
          <w:rFonts w:hint="eastAsia"/>
        </w:rPr>
        <w:t>訴</w:t>
      </w:r>
      <w:r w:rsidRPr="00B3617E">
        <w:t>247</w:t>
      </w:r>
      <w:r w:rsidRPr="00B3617E">
        <w:rPr>
          <w:rFonts w:hint="eastAsia"/>
        </w:rPr>
        <w:t>字第</w:t>
      </w:r>
      <w:r w:rsidRPr="00B3617E">
        <w:t>1050003495</w:t>
      </w:r>
      <w:r w:rsidRPr="00B3617E">
        <w:rPr>
          <w:rFonts w:hint="eastAsia"/>
        </w:rPr>
        <w:t>號函</w:t>
      </w:r>
      <w:r>
        <w:rPr>
          <w:rFonts w:hint="eastAsia"/>
        </w:rPr>
        <w:t>詢有關碳酸鎂之查驗登記管理情形。</w:t>
      </w:r>
    </w:p>
    <w:p w:rsidR="00B3617E" w:rsidRDefault="00B3617E" w:rsidP="00B3617E">
      <w:pPr>
        <w:pStyle w:val="5"/>
      </w:pPr>
      <w:r w:rsidRPr="00B3617E">
        <w:rPr>
          <w:rFonts w:hint="eastAsia"/>
        </w:rPr>
        <w:t>彰化地院</w:t>
      </w:r>
      <w:r>
        <w:t>106</w:t>
      </w:r>
      <w:r>
        <w:rPr>
          <w:rFonts w:hint="eastAsia"/>
        </w:rPr>
        <w:t>年</w:t>
      </w:r>
      <w:r>
        <w:t>2</w:t>
      </w:r>
      <w:r>
        <w:rPr>
          <w:rFonts w:hint="eastAsia"/>
        </w:rPr>
        <w:t>月</w:t>
      </w:r>
      <w:r>
        <w:t>3</w:t>
      </w:r>
      <w:r>
        <w:rPr>
          <w:rFonts w:hint="eastAsia"/>
        </w:rPr>
        <w:t>日以彰院勝刑梅104訴247字第1069000403號函請食藥署提供：</w:t>
      </w:r>
      <w:r w:rsidRPr="00B3617E">
        <w:rPr>
          <w:rFonts w:hint="eastAsia"/>
        </w:rPr>
        <w:t>（一）</w:t>
      </w:r>
      <w:r w:rsidRPr="00B3617E">
        <w:t>105</w:t>
      </w:r>
      <w:r w:rsidRPr="00B3617E">
        <w:rPr>
          <w:rFonts w:hint="eastAsia"/>
        </w:rPr>
        <w:t>年</w:t>
      </w:r>
      <w:r w:rsidRPr="00B3617E">
        <w:t>6</w:t>
      </w:r>
      <w:r w:rsidRPr="00B3617E">
        <w:rPr>
          <w:rFonts w:hint="eastAsia"/>
        </w:rPr>
        <w:t>月</w:t>
      </w:r>
      <w:r w:rsidRPr="00B3617E">
        <w:t>15</w:t>
      </w:r>
      <w:r w:rsidRPr="00B3617E">
        <w:rPr>
          <w:rFonts w:hint="eastAsia"/>
        </w:rPr>
        <w:t>日</w:t>
      </w:r>
      <w:r w:rsidRPr="00B3617E">
        <w:t>FDA</w:t>
      </w:r>
      <w:r w:rsidRPr="00B3617E">
        <w:rPr>
          <w:rFonts w:hint="eastAsia"/>
        </w:rPr>
        <w:t>食字第</w:t>
      </w:r>
      <w:r w:rsidRPr="00B3617E">
        <w:t>1059903010</w:t>
      </w:r>
      <w:r w:rsidRPr="00B3617E">
        <w:rPr>
          <w:rFonts w:hint="eastAsia"/>
        </w:rPr>
        <w:t>號函。（二）</w:t>
      </w:r>
      <w:r w:rsidRPr="00B3617E">
        <w:t>105</w:t>
      </w:r>
      <w:r w:rsidRPr="00B3617E">
        <w:rPr>
          <w:rFonts w:hint="eastAsia"/>
        </w:rPr>
        <w:t>年</w:t>
      </w:r>
      <w:r w:rsidRPr="00B3617E">
        <w:t>10</w:t>
      </w:r>
      <w:r w:rsidRPr="00B3617E">
        <w:rPr>
          <w:rFonts w:hint="eastAsia"/>
        </w:rPr>
        <w:t>月</w:t>
      </w:r>
      <w:r w:rsidRPr="00B3617E">
        <w:t>3</w:t>
      </w:r>
      <w:r w:rsidRPr="00B3617E">
        <w:rPr>
          <w:rFonts w:hint="eastAsia"/>
        </w:rPr>
        <w:t>日</w:t>
      </w:r>
      <w:r w:rsidRPr="00B3617E">
        <w:t>FDA</w:t>
      </w:r>
      <w:r w:rsidRPr="00B3617E">
        <w:rPr>
          <w:rFonts w:hint="eastAsia"/>
        </w:rPr>
        <w:t>食字第</w:t>
      </w:r>
      <w:r w:rsidRPr="00B3617E">
        <w:t>1059905564</w:t>
      </w:r>
      <w:r w:rsidRPr="00B3617E">
        <w:rPr>
          <w:rFonts w:hint="eastAsia"/>
        </w:rPr>
        <w:t>號函。（三）</w:t>
      </w:r>
      <w:r w:rsidRPr="00B3617E">
        <w:t>105</w:t>
      </w:r>
      <w:r w:rsidRPr="00B3617E">
        <w:rPr>
          <w:rFonts w:hint="eastAsia"/>
        </w:rPr>
        <w:t>年</w:t>
      </w:r>
      <w:r w:rsidRPr="00B3617E">
        <w:t>11</w:t>
      </w:r>
      <w:r w:rsidRPr="00B3617E">
        <w:rPr>
          <w:rFonts w:hint="eastAsia"/>
        </w:rPr>
        <w:t>月</w:t>
      </w:r>
      <w:r w:rsidRPr="00B3617E">
        <w:t>18</w:t>
      </w:r>
      <w:r w:rsidRPr="00B3617E">
        <w:rPr>
          <w:rFonts w:hint="eastAsia"/>
        </w:rPr>
        <w:t>日</w:t>
      </w:r>
      <w:r w:rsidRPr="00B3617E">
        <w:t>FDA</w:t>
      </w:r>
      <w:r w:rsidRPr="00B3617E">
        <w:rPr>
          <w:rFonts w:hint="eastAsia"/>
        </w:rPr>
        <w:t>食字第</w:t>
      </w:r>
      <w:r w:rsidRPr="00B3617E">
        <w:t>1059906667</w:t>
      </w:r>
      <w:r w:rsidRPr="00B3617E">
        <w:rPr>
          <w:rFonts w:hint="eastAsia"/>
        </w:rPr>
        <w:t>號函。（四）</w:t>
      </w:r>
      <w:r w:rsidRPr="00B3617E">
        <w:t>105</w:t>
      </w:r>
      <w:r w:rsidRPr="00B3617E">
        <w:rPr>
          <w:rFonts w:hint="eastAsia"/>
        </w:rPr>
        <w:t>年</w:t>
      </w:r>
      <w:r w:rsidRPr="00B3617E">
        <w:t>5</w:t>
      </w:r>
      <w:r w:rsidRPr="00B3617E">
        <w:rPr>
          <w:rFonts w:hint="eastAsia"/>
        </w:rPr>
        <w:t>月</w:t>
      </w:r>
      <w:r w:rsidRPr="00B3617E">
        <w:t>9</w:t>
      </w:r>
      <w:r w:rsidRPr="00B3617E">
        <w:rPr>
          <w:rFonts w:hint="eastAsia"/>
        </w:rPr>
        <w:t>日</w:t>
      </w:r>
      <w:r w:rsidRPr="00B3617E">
        <w:t>FDA</w:t>
      </w:r>
      <w:r w:rsidRPr="00B3617E">
        <w:rPr>
          <w:rFonts w:hint="eastAsia"/>
        </w:rPr>
        <w:t>食字第</w:t>
      </w:r>
      <w:r w:rsidRPr="00B3617E">
        <w:t>1051300086</w:t>
      </w:r>
      <w:r w:rsidRPr="00B3617E">
        <w:rPr>
          <w:rFonts w:hint="eastAsia"/>
        </w:rPr>
        <w:t>號函。</w:t>
      </w:r>
      <w:r>
        <w:rPr>
          <w:rFonts w:hint="eastAsia"/>
        </w:rPr>
        <w:t>等</w:t>
      </w:r>
      <w:r w:rsidRPr="00B3617E">
        <w:rPr>
          <w:rFonts w:hint="eastAsia"/>
        </w:rPr>
        <w:t>公文</w:t>
      </w:r>
      <w:r>
        <w:rPr>
          <w:rFonts w:hint="eastAsia"/>
        </w:rPr>
        <w:t>之</w:t>
      </w:r>
      <w:r w:rsidRPr="00B3617E">
        <w:rPr>
          <w:rFonts w:hint="eastAsia"/>
        </w:rPr>
        <w:t>函釋並說明各該函文所述法律意見之依據</w:t>
      </w:r>
      <w:r w:rsidR="00D25D68">
        <w:rPr>
          <w:rFonts w:hint="eastAsia"/>
        </w:rPr>
        <w:t>及</w:t>
      </w:r>
      <w:r w:rsidRPr="00B3617E">
        <w:rPr>
          <w:rFonts w:hint="eastAsia"/>
        </w:rPr>
        <w:t>立法公報。</w:t>
      </w:r>
    </w:p>
    <w:p w:rsidR="005C004E" w:rsidRDefault="003C2FE0" w:rsidP="005C004E">
      <w:pPr>
        <w:pStyle w:val="4"/>
      </w:pPr>
      <w:r>
        <w:rPr>
          <w:rFonts w:hint="eastAsia"/>
        </w:rPr>
        <w:t>彰化地</w:t>
      </w:r>
      <w:r w:rsidR="002E07A3">
        <w:rPr>
          <w:rFonts w:hint="eastAsia"/>
        </w:rPr>
        <w:t>院</w:t>
      </w:r>
      <w:r w:rsidR="005C004E">
        <w:rPr>
          <w:rFonts w:hint="eastAsia"/>
        </w:rPr>
        <w:t>傳喚證人作證：</w:t>
      </w:r>
    </w:p>
    <w:p w:rsidR="002C30E3" w:rsidRDefault="004D6368" w:rsidP="008312C1">
      <w:pPr>
        <w:pStyle w:val="4"/>
        <w:numPr>
          <w:ilvl w:val="0"/>
          <w:numId w:val="0"/>
        </w:numPr>
        <w:ind w:left="1701" w:firstLineChars="208" w:firstLine="708"/>
      </w:pPr>
      <w:r>
        <w:rPr>
          <w:rFonts w:hint="eastAsia"/>
        </w:rPr>
        <w:t>除上開相關疑義函請食藥署解釋或參考該署之前所做成之函釋外，彰化地院另</w:t>
      </w:r>
      <w:r w:rsidR="002C30E3">
        <w:rPr>
          <w:rFonts w:hint="eastAsia"/>
        </w:rPr>
        <w:t>於106年1月</w:t>
      </w:r>
      <w:r w:rsidR="002C30E3">
        <w:rPr>
          <w:rFonts w:hint="eastAsia"/>
        </w:rPr>
        <w:lastRenderedPageBreak/>
        <w:t>16日函</w:t>
      </w:r>
      <w:r w:rsidR="002C30E3">
        <w:rPr>
          <w:rStyle w:val="afe"/>
        </w:rPr>
        <w:footnoteReference w:id="5"/>
      </w:r>
      <w:r w:rsidR="002C30E3">
        <w:rPr>
          <w:rFonts w:hint="eastAsia"/>
        </w:rPr>
        <w:t>請食藥署</w:t>
      </w:r>
      <w:r w:rsidR="00330AF4">
        <w:rPr>
          <w:rFonts w:hint="eastAsia"/>
        </w:rPr>
        <w:t>指派熟悉食品添加物許可、查驗登記、食品添加物列表之同仁</w:t>
      </w:r>
      <w:r w:rsidR="005C004E">
        <w:rPr>
          <w:rFonts w:hint="eastAsia"/>
        </w:rPr>
        <w:t>（</w:t>
      </w:r>
      <w:r w:rsidR="00BA0E8F">
        <w:rPr>
          <w:rFonts w:hint="eastAsia"/>
        </w:rPr>
        <w:t>高○言</w:t>
      </w:r>
      <w:r w:rsidR="005C004E">
        <w:rPr>
          <w:rFonts w:hint="eastAsia"/>
        </w:rPr>
        <w:t>）</w:t>
      </w:r>
      <w:r w:rsidR="009606E6">
        <w:rPr>
          <w:rFonts w:hint="eastAsia"/>
        </w:rPr>
        <w:t>於106年1月24日</w:t>
      </w:r>
      <w:r w:rsidR="00330AF4">
        <w:rPr>
          <w:rFonts w:hint="eastAsia"/>
        </w:rPr>
        <w:t>到庭作證。</w:t>
      </w:r>
    </w:p>
    <w:p w:rsidR="00052951" w:rsidRDefault="003C2FE0" w:rsidP="008001D0">
      <w:pPr>
        <w:pStyle w:val="4"/>
      </w:pPr>
      <w:r>
        <w:rPr>
          <w:rFonts w:hint="eastAsia"/>
        </w:rPr>
        <w:t>臺灣高等</w:t>
      </w:r>
      <w:r w:rsidR="003E1C70">
        <w:rPr>
          <w:rFonts w:hint="eastAsia"/>
        </w:rPr>
        <w:t>檢察署臺中檢察分署另</w:t>
      </w:r>
      <w:r>
        <w:rPr>
          <w:rFonts w:hint="eastAsia"/>
        </w:rPr>
        <w:t>檢送食藥署</w:t>
      </w:r>
      <w:r w:rsidR="00CC6E4C">
        <w:rPr>
          <w:rFonts w:hint="eastAsia"/>
        </w:rPr>
        <w:t>最新</w:t>
      </w:r>
      <w:r>
        <w:rPr>
          <w:rFonts w:hint="eastAsia"/>
        </w:rPr>
        <w:t>函釋</w:t>
      </w:r>
      <w:r w:rsidR="00344A5B">
        <w:rPr>
          <w:rFonts w:hint="eastAsia"/>
        </w:rPr>
        <w:t>予</w:t>
      </w:r>
      <w:r w:rsidR="00344A5B" w:rsidRPr="00344A5B">
        <w:rPr>
          <w:rFonts w:hint="eastAsia"/>
        </w:rPr>
        <w:t>臺中</w:t>
      </w:r>
      <w:r w:rsidR="00C61516">
        <w:rPr>
          <w:rFonts w:hint="eastAsia"/>
        </w:rPr>
        <w:t>高</w:t>
      </w:r>
      <w:r w:rsidR="00344A5B" w:rsidRPr="00344A5B">
        <w:rPr>
          <w:rFonts w:hint="eastAsia"/>
        </w:rPr>
        <w:t>分院</w:t>
      </w:r>
      <w:r>
        <w:rPr>
          <w:rFonts w:hint="eastAsia"/>
        </w:rPr>
        <w:t>如下：</w:t>
      </w:r>
    </w:p>
    <w:p w:rsidR="001A77E9" w:rsidRDefault="003C4088" w:rsidP="00EB28CE">
      <w:pPr>
        <w:pStyle w:val="4"/>
        <w:numPr>
          <w:ilvl w:val="0"/>
          <w:numId w:val="0"/>
        </w:numPr>
        <w:ind w:left="1701" w:firstLineChars="208" w:firstLine="708"/>
      </w:pPr>
      <w:r w:rsidRPr="003C4088">
        <w:rPr>
          <w:rFonts w:hint="eastAsia"/>
        </w:rPr>
        <w:t>臺灣高等檢察署臺中檢察分署</w:t>
      </w:r>
      <w:r w:rsidR="001A77E9" w:rsidRPr="001A77E9">
        <w:t>106</w:t>
      </w:r>
      <w:r w:rsidR="001A77E9">
        <w:rPr>
          <w:rFonts w:hint="eastAsia"/>
        </w:rPr>
        <w:t>年</w:t>
      </w:r>
      <w:r w:rsidR="001A77E9" w:rsidRPr="001A77E9">
        <w:t>8</w:t>
      </w:r>
      <w:r w:rsidR="001A77E9">
        <w:rPr>
          <w:rFonts w:hint="eastAsia"/>
        </w:rPr>
        <w:t>月</w:t>
      </w:r>
      <w:r w:rsidR="001A77E9" w:rsidRPr="001A77E9">
        <w:t>31</w:t>
      </w:r>
      <w:r w:rsidR="001A77E9">
        <w:rPr>
          <w:rFonts w:hint="eastAsia"/>
        </w:rPr>
        <w:t>日以</w:t>
      </w:r>
      <w:r w:rsidR="001A77E9" w:rsidRPr="001A77E9">
        <w:rPr>
          <w:rFonts w:hint="eastAsia"/>
        </w:rPr>
        <w:t>中分檢惠謹</w:t>
      </w:r>
      <w:r w:rsidR="001A77E9" w:rsidRPr="001A77E9">
        <w:t>105</w:t>
      </w:r>
      <w:r w:rsidR="001A77E9" w:rsidRPr="001A77E9">
        <w:rPr>
          <w:rFonts w:hint="eastAsia"/>
        </w:rPr>
        <w:t>上蒞</w:t>
      </w:r>
      <w:r w:rsidR="001A77E9" w:rsidRPr="001A77E9">
        <w:t>93</w:t>
      </w:r>
      <w:r w:rsidR="001A77E9" w:rsidRPr="001A77E9">
        <w:rPr>
          <w:rFonts w:hint="eastAsia"/>
        </w:rPr>
        <w:t>字第</w:t>
      </w:r>
      <w:r w:rsidR="001A77E9" w:rsidRPr="001A77E9">
        <w:t>1060000013</w:t>
      </w:r>
      <w:r w:rsidR="001A77E9" w:rsidRPr="001A77E9">
        <w:rPr>
          <w:rFonts w:hint="eastAsia"/>
        </w:rPr>
        <w:t>函號</w:t>
      </w:r>
      <w:r w:rsidR="001A77E9">
        <w:rPr>
          <w:rFonts w:hint="eastAsia"/>
        </w:rPr>
        <w:t>詢問有關添加工業用添加物</w:t>
      </w:r>
      <w:r w:rsidR="001A77E9" w:rsidRPr="001A77E9">
        <w:rPr>
          <w:rFonts w:hint="eastAsia"/>
        </w:rPr>
        <w:t>是否屬違反食安法第15條第1項第</w:t>
      </w:r>
      <w:r w:rsidR="001A77E9" w:rsidRPr="001A77E9">
        <w:t>10</w:t>
      </w:r>
      <w:r w:rsidR="001A77E9" w:rsidRPr="001A77E9">
        <w:rPr>
          <w:rFonts w:hint="eastAsia"/>
        </w:rPr>
        <w:t>款「添加未經中央主管機關許可之添加物」之規定</w:t>
      </w:r>
      <w:r w:rsidR="001A77E9">
        <w:rPr>
          <w:rFonts w:hint="eastAsia"/>
        </w:rPr>
        <w:t>。</w:t>
      </w:r>
    </w:p>
    <w:p w:rsidR="005061AA" w:rsidRDefault="005061AA" w:rsidP="005061AA">
      <w:pPr>
        <w:pStyle w:val="4"/>
      </w:pPr>
      <w:r>
        <w:rPr>
          <w:rFonts w:hint="eastAsia"/>
        </w:rPr>
        <w:t>臺中</w:t>
      </w:r>
      <w:r w:rsidR="00A87BAA">
        <w:rPr>
          <w:rFonts w:hint="eastAsia"/>
        </w:rPr>
        <w:t>高</w:t>
      </w:r>
      <w:r>
        <w:rPr>
          <w:rFonts w:hint="eastAsia"/>
        </w:rPr>
        <w:t>分院傳喚證人作證：</w:t>
      </w:r>
    </w:p>
    <w:p w:rsidR="005061AA" w:rsidRDefault="005061AA" w:rsidP="005061AA">
      <w:pPr>
        <w:pStyle w:val="4"/>
        <w:numPr>
          <w:ilvl w:val="0"/>
          <w:numId w:val="0"/>
        </w:numPr>
        <w:ind w:left="1701" w:firstLineChars="208" w:firstLine="708"/>
      </w:pPr>
      <w:r w:rsidRPr="005061AA">
        <w:rPr>
          <w:rFonts w:hint="eastAsia"/>
        </w:rPr>
        <w:t>臺中</w:t>
      </w:r>
      <w:r w:rsidR="00A87BAA">
        <w:rPr>
          <w:rFonts w:hint="eastAsia"/>
        </w:rPr>
        <w:t>高</w:t>
      </w:r>
      <w:r w:rsidRPr="005061AA">
        <w:rPr>
          <w:rFonts w:hint="eastAsia"/>
        </w:rPr>
        <w:t>分院</w:t>
      </w:r>
      <w:r>
        <w:rPr>
          <w:rFonts w:hint="eastAsia"/>
        </w:rPr>
        <w:t>另於106年12月19日請食藥署</w:t>
      </w:r>
      <w:r w:rsidR="00C72ABA">
        <w:rPr>
          <w:rFonts w:hint="eastAsia"/>
        </w:rPr>
        <w:t>李○豪</w:t>
      </w:r>
      <w:r w:rsidR="009606E6">
        <w:rPr>
          <w:rFonts w:hint="eastAsia"/>
        </w:rPr>
        <w:t>技正</w:t>
      </w:r>
      <w:r>
        <w:rPr>
          <w:rFonts w:hint="eastAsia"/>
        </w:rPr>
        <w:t>到庭作證。</w:t>
      </w:r>
    </w:p>
    <w:p w:rsidR="00D23BDD" w:rsidRPr="003C2FE0" w:rsidRDefault="00CC6E4C" w:rsidP="00A50615">
      <w:pPr>
        <w:pStyle w:val="4"/>
        <w:numPr>
          <w:ilvl w:val="0"/>
          <w:numId w:val="0"/>
        </w:numPr>
        <w:ind w:left="1418" w:firstLineChars="208" w:firstLine="708"/>
      </w:pPr>
      <w:r>
        <w:rPr>
          <w:rFonts w:hint="eastAsia"/>
        </w:rPr>
        <w:t>依上</w:t>
      </w:r>
      <w:r w:rsidR="00D23BDD">
        <w:rPr>
          <w:rFonts w:hint="eastAsia"/>
        </w:rPr>
        <w:t>可知，為探究</w:t>
      </w:r>
      <w:r w:rsidR="00D23BDD" w:rsidRPr="00D23BDD">
        <w:rPr>
          <w:rFonts w:hint="eastAsia"/>
        </w:rPr>
        <w:t>食安法第15條第1項第10款規定之適用範圍，</w:t>
      </w:r>
      <w:r w:rsidR="00D23BDD">
        <w:rPr>
          <w:rFonts w:hint="eastAsia"/>
        </w:rPr>
        <w:t>一、二審法院在審理期間透過</w:t>
      </w:r>
      <w:r w:rsidR="00D23BDD" w:rsidRPr="00D23BDD">
        <w:rPr>
          <w:rFonts w:hint="eastAsia"/>
        </w:rPr>
        <w:t>函文食藥署、參考該署相關函釋及傳喚該署承辦人員到庭作證</w:t>
      </w:r>
      <w:r w:rsidR="00D23BDD">
        <w:rPr>
          <w:rFonts w:hint="eastAsia"/>
        </w:rPr>
        <w:t>等方式來釐清。</w:t>
      </w:r>
    </w:p>
    <w:p w:rsidR="003A5927" w:rsidRDefault="00B10960" w:rsidP="00752D1E">
      <w:pPr>
        <w:pStyle w:val="3"/>
        <w:ind w:left="1418" w:hanging="709"/>
      </w:pPr>
      <w:r>
        <w:rPr>
          <w:rFonts w:hint="eastAsia"/>
        </w:rPr>
        <w:t>本</w:t>
      </w:r>
      <w:r w:rsidR="00FE3A6B">
        <w:rPr>
          <w:rFonts w:hint="eastAsia"/>
        </w:rPr>
        <w:t>案</w:t>
      </w:r>
      <w:r w:rsidR="00912910">
        <w:rPr>
          <w:rFonts w:hint="eastAsia"/>
        </w:rPr>
        <w:t>經</w:t>
      </w:r>
      <w:r w:rsidR="00912910" w:rsidRPr="00912910">
        <w:rPr>
          <w:rFonts w:hint="eastAsia"/>
        </w:rPr>
        <w:t>一、二審法院</w:t>
      </w:r>
      <w:r w:rsidR="00912910">
        <w:rPr>
          <w:rFonts w:hint="eastAsia"/>
        </w:rPr>
        <w:t>判處無罪</w:t>
      </w:r>
      <w:r w:rsidR="00FE3A6B">
        <w:rPr>
          <w:rFonts w:hint="eastAsia"/>
        </w:rPr>
        <w:t>後</w:t>
      </w:r>
      <w:r w:rsidR="00912910">
        <w:rPr>
          <w:rFonts w:hint="eastAsia"/>
        </w:rPr>
        <w:t>，最高法院107年度台上字第1585號判決</w:t>
      </w:r>
      <w:r w:rsidR="00E968FE">
        <w:rPr>
          <w:rFonts w:hint="eastAsia"/>
        </w:rPr>
        <w:t>依速審法第9條</w:t>
      </w:r>
      <w:r w:rsidR="001A1146" w:rsidRPr="00F24281">
        <w:rPr>
          <w:rFonts w:hint="eastAsia"/>
        </w:rPr>
        <w:t>判決駁回</w:t>
      </w:r>
      <w:r w:rsidR="00E968FE">
        <w:rPr>
          <w:rFonts w:hint="eastAsia"/>
        </w:rPr>
        <w:t>上訴</w:t>
      </w:r>
      <w:r w:rsidR="001A1146" w:rsidRPr="00F24281">
        <w:rPr>
          <w:rFonts w:hint="eastAsia"/>
        </w:rPr>
        <w:t>確定</w:t>
      </w:r>
      <w:r w:rsidR="00E968FE">
        <w:rPr>
          <w:rFonts w:hint="eastAsia"/>
        </w:rPr>
        <w:t>，並</w:t>
      </w:r>
      <w:r w:rsidR="00A91949">
        <w:rPr>
          <w:rFonts w:hint="eastAsia"/>
        </w:rPr>
        <w:t>謂</w:t>
      </w:r>
      <w:r w:rsidR="00E968FE" w:rsidRPr="00752D1E">
        <w:rPr>
          <w:rFonts w:hint="eastAsia"/>
        </w:rPr>
        <w:t>：「</w:t>
      </w:r>
      <w:r w:rsidR="00DA0C63" w:rsidRPr="00752D1E">
        <w:t>……</w:t>
      </w:r>
      <w:r w:rsidR="00DA0C63" w:rsidRPr="00752D1E">
        <w:rPr>
          <w:rFonts w:hint="eastAsia"/>
        </w:rPr>
        <w:t>本案之碳酸鎂既為工業用，非可用於食品，已無列入『食品添加物使用範圍及限量暨規格標準』之資格，至有無食安法第44條、48條行政罰之適用，與本案成罪與否無關。原判決未予論明釐清，遽認本案之碳酸鎂非屬食安法第15條第1項第10款之非法添加物，而為被告等無罪之諭知，揆諸前開意旨，非無可議</w:t>
      </w:r>
      <w:r w:rsidR="00DA0C63" w:rsidRPr="00752D1E">
        <w:t>……</w:t>
      </w:r>
      <w:r w:rsidR="00E968FE" w:rsidRPr="00752D1E">
        <w:rPr>
          <w:rFonts w:hint="eastAsia"/>
        </w:rPr>
        <w:t>」</w:t>
      </w:r>
      <w:r w:rsidR="001A1146" w:rsidRPr="00F24281">
        <w:rPr>
          <w:rFonts w:hint="eastAsia"/>
        </w:rPr>
        <w:t>。</w:t>
      </w:r>
      <w:r w:rsidR="00E968FE">
        <w:rPr>
          <w:rFonts w:hint="eastAsia"/>
        </w:rPr>
        <w:t>嗣</w:t>
      </w:r>
      <w:r w:rsidR="001A1146">
        <w:rPr>
          <w:rFonts w:hint="eastAsia"/>
        </w:rPr>
        <w:t>最高檢察署</w:t>
      </w:r>
      <w:r w:rsidR="001A1146" w:rsidRPr="00F24281">
        <w:rPr>
          <w:rFonts w:hint="eastAsia"/>
        </w:rPr>
        <w:t>檢察總長提起非常上訴</w:t>
      </w:r>
      <w:r w:rsidR="00E968FE">
        <w:rPr>
          <w:rFonts w:hint="eastAsia"/>
        </w:rPr>
        <w:t>，</w:t>
      </w:r>
      <w:r w:rsidR="001A1146" w:rsidRPr="00A77CA2">
        <w:rPr>
          <w:rFonts w:hint="eastAsia"/>
        </w:rPr>
        <w:t>最高法院</w:t>
      </w:r>
      <w:r w:rsidR="001A1146">
        <w:rPr>
          <w:rFonts w:hint="eastAsia"/>
        </w:rPr>
        <w:t>107年12月5日</w:t>
      </w:r>
      <w:r w:rsidR="001A1146" w:rsidRPr="00A77CA2">
        <w:rPr>
          <w:rFonts w:hint="eastAsia"/>
        </w:rPr>
        <w:t>107年度台非字第246號判決</w:t>
      </w:r>
      <w:r w:rsidR="00E968FE">
        <w:rPr>
          <w:rFonts w:hint="eastAsia"/>
        </w:rPr>
        <w:t>撤銷</w:t>
      </w:r>
      <w:r w:rsidR="001A1146">
        <w:rPr>
          <w:rFonts w:hint="eastAsia"/>
        </w:rPr>
        <w:t>原判決及第一審判決關</w:t>
      </w:r>
      <w:r w:rsidR="001A1146">
        <w:rPr>
          <w:rFonts w:hint="eastAsia"/>
        </w:rPr>
        <w:lastRenderedPageBreak/>
        <w:t>於違背法令部分</w:t>
      </w:r>
      <w:r w:rsidR="00A91949">
        <w:rPr>
          <w:rFonts w:hint="eastAsia"/>
        </w:rPr>
        <w:t>，</w:t>
      </w:r>
      <w:r w:rsidR="00DA0C63">
        <w:rPr>
          <w:rFonts w:hint="eastAsia"/>
        </w:rPr>
        <w:t>並</w:t>
      </w:r>
      <w:r w:rsidR="00912910">
        <w:rPr>
          <w:rFonts w:hint="eastAsia"/>
        </w:rPr>
        <w:t>謂：</w:t>
      </w:r>
      <w:r w:rsidR="000E0EC4" w:rsidRPr="00752D1E">
        <w:rPr>
          <w:rFonts w:hint="eastAsia"/>
        </w:rPr>
        <w:t>「</w:t>
      </w:r>
      <w:r w:rsidR="00912910" w:rsidRPr="00912910">
        <w:rPr>
          <w:rFonts w:hint="eastAsia"/>
        </w:rPr>
        <w:t>本件第一審判決未予論列釐清，誤以碳酸鎂既為</w:t>
      </w:r>
      <w:r w:rsidR="00DA0C63" w:rsidRPr="00752D1E">
        <w:rPr>
          <w:rFonts w:hint="eastAsia"/>
        </w:rPr>
        <w:t>『</w:t>
      </w:r>
      <w:r w:rsidR="00912910" w:rsidRPr="00912910">
        <w:rPr>
          <w:rFonts w:hint="eastAsia"/>
        </w:rPr>
        <w:t>食品添加物使用範圍及限量暨規格標準</w:t>
      </w:r>
      <w:r w:rsidR="00DA0C63" w:rsidRPr="00752D1E">
        <w:rPr>
          <w:rFonts w:hint="eastAsia"/>
        </w:rPr>
        <w:t>』</w:t>
      </w:r>
      <w:r w:rsidR="00912910" w:rsidRPr="00912910">
        <w:rPr>
          <w:rFonts w:hint="eastAsia"/>
        </w:rPr>
        <w:t>正面表列之食品添加物品項，不論係供工業用或供食品用，或有否混入雜質，均不影響其碳酸鎂品項之同一性，縱所添加碳酸鎂之規格不符，僅能處行政罰，遽認本案食品添加之工業用碳酸鎂並非本法第15條第1項第10款之非法添加物，而為被告等無罪之諭知。依上說明，自有判決適用法則不當之違背法令。</w:t>
      </w:r>
      <w:r w:rsidR="00DA0C63" w:rsidRPr="00752D1E">
        <w:rPr>
          <w:rFonts w:hint="eastAsia"/>
        </w:rPr>
        <w:t>」等情</w:t>
      </w:r>
      <w:r w:rsidR="00912910">
        <w:rPr>
          <w:rFonts w:hint="eastAsia"/>
        </w:rPr>
        <w:t>已如前述。</w:t>
      </w:r>
      <w:r w:rsidR="003D1E67">
        <w:rPr>
          <w:rFonts w:hint="eastAsia"/>
        </w:rPr>
        <w:t>顯見事實審法院對於食品安全</w:t>
      </w:r>
      <w:r w:rsidR="000E0EC4">
        <w:rPr>
          <w:rFonts w:hint="eastAsia"/>
        </w:rPr>
        <w:t>衛生</w:t>
      </w:r>
      <w:r w:rsidR="003D1E67">
        <w:rPr>
          <w:rFonts w:hint="eastAsia"/>
        </w:rPr>
        <w:t>之</w:t>
      </w:r>
      <w:r w:rsidR="000E0EC4">
        <w:rPr>
          <w:rFonts w:hint="eastAsia"/>
        </w:rPr>
        <w:t>專業</w:t>
      </w:r>
      <w:r w:rsidR="003D1E67">
        <w:rPr>
          <w:rFonts w:hint="eastAsia"/>
        </w:rPr>
        <w:t>法令</w:t>
      </w:r>
      <w:r w:rsidR="00BF0E0C">
        <w:rPr>
          <w:rFonts w:hint="eastAsia"/>
        </w:rPr>
        <w:t>見解</w:t>
      </w:r>
      <w:r w:rsidR="003D1E67" w:rsidRPr="003D1E67">
        <w:rPr>
          <w:rFonts w:hint="eastAsia"/>
        </w:rPr>
        <w:t>仍</w:t>
      </w:r>
      <w:r w:rsidR="00BF0E0C">
        <w:rPr>
          <w:rFonts w:hint="eastAsia"/>
        </w:rPr>
        <w:t>有不當之情形</w:t>
      </w:r>
      <w:r w:rsidR="003D1E67" w:rsidRPr="00752D1E">
        <w:rPr>
          <w:rFonts w:hint="eastAsia"/>
          <w:b/>
        </w:rPr>
        <w:t>。</w:t>
      </w:r>
    </w:p>
    <w:p w:rsidR="009E1AF9" w:rsidRDefault="003D1E67" w:rsidP="0096031C">
      <w:pPr>
        <w:pStyle w:val="3"/>
        <w:ind w:left="1418" w:hanging="709"/>
      </w:pPr>
      <w:r>
        <w:rPr>
          <w:rFonts w:hint="eastAsia"/>
        </w:rPr>
        <w:t>綜上，</w:t>
      </w:r>
      <w:r w:rsidR="00CC6E4C">
        <w:rPr>
          <w:rFonts w:hint="eastAsia"/>
        </w:rPr>
        <w:t>為</w:t>
      </w:r>
      <w:r w:rsidR="00CC6E4C" w:rsidRPr="00CC6E4C">
        <w:rPr>
          <w:rFonts w:hint="eastAsia"/>
        </w:rPr>
        <w:t>因應多元化社會及順應時代脈動，法官應於任職期間持續進修以吸收新知，俾能精進裁判品質</w:t>
      </w:r>
      <w:r w:rsidR="00CC6E4C">
        <w:rPr>
          <w:rFonts w:hint="eastAsia"/>
        </w:rPr>
        <w:t>，</w:t>
      </w:r>
      <w:r w:rsidR="00CA1D5B" w:rsidRPr="00CA1D5B">
        <w:rPr>
          <w:rFonts w:hint="eastAsia"/>
        </w:rPr>
        <w:t>法官法自</w:t>
      </w:r>
      <w:r w:rsidR="00CA1D5B" w:rsidRPr="00CA1D5B">
        <w:t>101</w:t>
      </w:r>
      <w:r w:rsidR="00CA1D5B" w:rsidRPr="00CA1D5B">
        <w:rPr>
          <w:rFonts w:hint="eastAsia"/>
        </w:rPr>
        <w:t>年</w:t>
      </w:r>
      <w:r w:rsidR="00CA1D5B" w:rsidRPr="00CA1D5B">
        <w:t>7</w:t>
      </w:r>
      <w:r w:rsidR="00CA1D5B" w:rsidRPr="00CA1D5B">
        <w:rPr>
          <w:rFonts w:hint="eastAsia"/>
        </w:rPr>
        <w:t>月施行後，</w:t>
      </w:r>
      <w:r w:rsidR="00CC6E4C">
        <w:rPr>
          <w:rFonts w:hint="eastAsia"/>
        </w:rPr>
        <w:t>有關</w:t>
      </w:r>
      <w:r w:rsidR="00CA1D5B" w:rsidRPr="00CA1D5B">
        <w:rPr>
          <w:rFonts w:hint="eastAsia"/>
        </w:rPr>
        <w:t>司法院</w:t>
      </w:r>
      <w:r w:rsidR="00CA1D5B">
        <w:rPr>
          <w:rFonts w:hint="eastAsia"/>
        </w:rPr>
        <w:t>對於</w:t>
      </w:r>
      <w:r w:rsidR="00CA1D5B" w:rsidRPr="00CA1D5B">
        <w:rPr>
          <w:rFonts w:hint="eastAsia"/>
        </w:rPr>
        <w:t>所屬機關人員（含法官）</w:t>
      </w:r>
      <w:r w:rsidR="00CC6E4C">
        <w:rPr>
          <w:rFonts w:hint="eastAsia"/>
        </w:rPr>
        <w:t>之訓練進修</w:t>
      </w:r>
      <w:r w:rsidR="00CA1D5B" w:rsidRPr="00CA1D5B">
        <w:rPr>
          <w:rFonts w:hint="eastAsia"/>
        </w:rPr>
        <w:t>，</w:t>
      </w:r>
      <w:r w:rsidR="000F402A">
        <w:rPr>
          <w:rFonts w:hint="eastAsia"/>
        </w:rPr>
        <w:t>除</w:t>
      </w:r>
      <w:r w:rsidR="00CA1D5B" w:rsidRPr="00CA1D5B">
        <w:rPr>
          <w:rFonts w:hint="eastAsia"/>
        </w:rPr>
        <w:t>依需求，擬定年度研習計畫據以辦理</w:t>
      </w:r>
      <w:r w:rsidR="000F402A">
        <w:rPr>
          <w:rFonts w:hint="eastAsia"/>
        </w:rPr>
        <w:t>外，</w:t>
      </w:r>
      <w:r w:rsidR="00CC6E4C">
        <w:rPr>
          <w:rFonts w:hint="eastAsia"/>
        </w:rPr>
        <w:t>所屬</w:t>
      </w:r>
      <w:r w:rsidR="00CA1D5B" w:rsidRPr="00CA1D5B">
        <w:rPr>
          <w:rFonts w:hint="eastAsia"/>
        </w:rPr>
        <w:t>各機關亦可依業務需要自行辦理，或由該院各單位另行辦理。</w:t>
      </w:r>
      <w:r w:rsidR="00CC6E4C">
        <w:rPr>
          <w:rFonts w:hint="eastAsia"/>
        </w:rPr>
        <w:t>雖</w:t>
      </w:r>
      <w:r w:rsidRPr="003D1E67">
        <w:rPr>
          <w:rFonts w:hint="eastAsia"/>
        </w:rPr>
        <w:t>司法院歷年</w:t>
      </w:r>
      <w:r>
        <w:rPr>
          <w:rFonts w:hint="eastAsia"/>
        </w:rPr>
        <w:t>已辦理多次</w:t>
      </w:r>
      <w:r w:rsidRPr="003D1E67">
        <w:rPr>
          <w:rFonts w:hint="eastAsia"/>
        </w:rPr>
        <w:t>有關食品安全領域之課程</w:t>
      </w:r>
      <w:r>
        <w:rPr>
          <w:rFonts w:hint="eastAsia"/>
        </w:rPr>
        <w:t>在職訓練</w:t>
      </w:r>
      <w:r w:rsidR="005F2979">
        <w:rPr>
          <w:rFonts w:hint="eastAsia"/>
        </w:rPr>
        <w:t>，</w:t>
      </w:r>
      <w:r w:rsidR="004E0301">
        <w:rPr>
          <w:rFonts w:hint="eastAsia"/>
        </w:rPr>
        <w:t>然就本案</w:t>
      </w:r>
      <w:r w:rsidR="004E0301" w:rsidRPr="004E0301">
        <w:rPr>
          <w:rFonts w:hint="eastAsia"/>
        </w:rPr>
        <w:t>「工業用」碳酸鎂</w:t>
      </w:r>
      <w:r w:rsidR="004E0301">
        <w:rPr>
          <w:rFonts w:hint="eastAsia"/>
        </w:rPr>
        <w:t>添加於胡椒之</w:t>
      </w:r>
      <w:r w:rsidR="00221BEF">
        <w:rPr>
          <w:rFonts w:hint="eastAsia"/>
        </w:rPr>
        <w:t>一、二</w:t>
      </w:r>
      <w:r w:rsidR="004E0301">
        <w:rPr>
          <w:rFonts w:hint="eastAsia"/>
        </w:rPr>
        <w:t>審判決，</w:t>
      </w:r>
      <w:r w:rsidR="00221BEF">
        <w:rPr>
          <w:rFonts w:hint="eastAsia"/>
        </w:rPr>
        <w:t>竟皆</w:t>
      </w:r>
      <w:r w:rsidR="004E0301" w:rsidRPr="004E0301">
        <w:rPr>
          <w:rFonts w:hint="eastAsia"/>
        </w:rPr>
        <w:t>對於食品安全</w:t>
      </w:r>
      <w:r w:rsidR="00CA1D5B">
        <w:rPr>
          <w:rFonts w:hint="eastAsia"/>
        </w:rPr>
        <w:t>衛生</w:t>
      </w:r>
      <w:r w:rsidR="00221BEF">
        <w:rPr>
          <w:rFonts w:hint="eastAsia"/>
        </w:rPr>
        <w:t>專業之</w:t>
      </w:r>
      <w:r w:rsidR="004E0301" w:rsidRPr="004E0301">
        <w:rPr>
          <w:rFonts w:hint="eastAsia"/>
        </w:rPr>
        <w:t>法令</w:t>
      </w:r>
      <w:r w:rsidR="005E003D">
        <w:rPr>
          <w:rFonts w:hint="eastAsia"/>
        </w:rPr>
        <w:t>見解</w:t>
      </w:r>
      <w:r w:rsidR="004E0301" w:rsidRPr="004E0301">
        <w:rPr>
          <w:rFonts w:hint="eastAsia"/>
        </w:rPr>
        <w:t>仍</w:t>
      </w:r>
      <w:r w:rsidR="000F402A">
        <w:rPr>
          <w:rFonts w:hint="eastAsia"/>
        </w:rPr>
        <w:t>有</w:t>
      </w:r>
      <w:r w:rsidR="004E0301">
        <w:rPr>
          <w:rFonts w:hint="eastAsia"/>
        </w:rPr>
        <w:t>適用法則不當之違背法令判決情事，司法院允宜督同所屬研議</w:t>
      </w:r>
      <w:r w:rsidR="005F2979">
        <w:rPr>
          <w:rFonts w:hint="eastAsia"/>
        </w:rPr>
        <w:t>相關</w:t>
      </w:r>
      <w:r w:rsidR="004E0301">
        <w:rPr>
          <w:rFonts w:hint="eastAsia"/>
        </w:rPr>
        <w:t>精進</w:t>
      </w:r>
      <w:r w:rsidR="005F2979">
        <w:rPr>
          <w:rFonts w:hint="eastAsia"/>
        </w:rPr>
        <w:t>措施</w:t>
      </w:r>
      <w:r w:rsidR="004E0301">
        <w:rPr>
          <w:rFonts w:hint="eastAsia"/>
        </w:rPr>
        <w:t>。</w:t>
      </w:r>
    </w:p>
    <w:p w:rsidR="00BE4D62" w:rsidRPr="00E244CD" w:rsidRDefault="00B728AE" w:rsidP="005E08CA">
      <w:pPr>
        <w:pStyle w:val="2"/>
        <w:spacing w:beforeLines="50" w:before="228"/>
        <w:ind w:left="1020" w:hanging="680"/>
        <w:rPr>
          <w:b/>
          <w:color w:val="000000" w:themeColor="text1"/>
        </w:rPr>
      </w:pPr>
      <w:r w:rsidRPr="005E08CA">
        <w:rPr>
          <w:rFonts w:hint="eastAsia"/>
          <w:b/>
        </w:rPr>
        <w:t>有關</w:t>
      </w:r>
      <w:r w:rsidR="00F16A78">
        <w:rPr>
          <w:rFonts w:hint="eastAsia"/>
          <w:b/>
        </w:rPr>
        <w:t>臺中市誼○貿易有限公司</w:t>
      </w:r>
      <w:r w:rsidRPr="005E08CA">
        <w:rPr>
          <w:rFonts w:hint="eastAsia"/>
          <w:b/>
        </w:rPr>
        <w:t>購入「工業用」碳酸鎂，賣給彰化縣</w:t>
      </w:r>
      <w:r w:rsidR="009C2833">
        <w:rPr>
          <w:rFonts w:hint="eastAsia"/>
          <w:b/>
        </w:rPr>
        <w:t>進○製粉廠有限公司</w:t>
      </w:r>
      <w:r w:rsidRPr="005E08CA">
        <w:rPr>
          <w:rFonts w:hint="eastAsia"/>
          <w:b/>
        </w:rPr>
        <w:t>添加在胡椒粉中，經一、二審以本案食品添加之工業用碳酸鎂並非食品安全</w:t>
      </w:r>
      <w:r w:rsidRPr="00E244CD">
        <w:rPr>
          <w:rFonts w:hint="eastAsia"/>
          <w:b/>
          <w:color w:val="000000" w:themeColor="text1"/>
        </w:rPr>
        <w:t>衛生管理法第15條第1項第10款之非法添加物，而判決臺中市</w:t>
      </w:r>
      <w:r w:rsidR="00F16A78">
        <w:rPr>
          <w:rFonts w:hint="eastAsia"/>
          <w:b/>
          <w:color w:val="000000" w:themeColor="text1"/>
        </w:rPr>
        <w:t>誼○公司</w:t>
      </w:r>
      <w:r w:rsidRPr="00E244CD">
        <w:rPr>
          <w:rFonts w:hint="eastAsia"/>
          <w:b/>
          <w:color w:val="000000" w:themeColor="text1"/>
        </w:rPr>
        <w:t>林姓負責人、</w:t>
      </w:r>
      <w:r w:rsidR="0047466A">
        <w:rPr>
          <w:rFonts w:hint="eastAsia"/>
          <w:b/>
          <w:color w:val="000000" w:themeColor="text1"/>
        </w:rPr>
        <w:t>進○製粉廠</w:t>
      </w:r>
      <w:r w:rsidRPr="00E244CD">
        <w:rPr>
          <w:rFonts w:hint="eastAsia"/>
          <w:b/>
          <w:color w:val="000000" w:themeColor="text1"/>
        </w:rPr>
        <w:t>負責人謝姓堂兄弟等3人無罪</w:t>
      </w:r>
      <w:r w:rsidR="005A78A1" w:rsidRPr="00E244CD">
        <w:rPr>
          <w:rFonts w:hint="eastAsia"/>
          <w:b/>
          <w:color w:val="000000" w:themeColor="text1"/>
        </w:rPr>
        <w:t>，顯屬不當</w:t>
      </w:r>
      <w:r w:rsidRPr="00E244CD">
        <w:rPr>
          <w:rFonts w:hint="eastAsia"/>
          <w:b/>
          <w:color w:val="000000" w:themeColor="text1"/>
        </w:rPr>
        <w:t>。案經最高檢察署檢察總長於107年10月24日提起非常上訴，嗣經最高法</w:t>
      </w:r>
      <w:r w:rsidRPr="00E244CD">
        <w:rPr>
          <w:rFonts w:hint="eastAsia"/>
          <w:b/>
          <w:color w:val="000000" w:themeColor="text1"/>
        </w:rPr>
        <w:lastRenderedPageBreak/>
        <w:t>院107年12月5日針對一、二審誤以碳酸鎂既為「食品添加物使用範圍及限量暨規格標準」正面表列之食品添加物品項，不論係供工業用或供食品用，</w:t>
      </w:r>
      <w:r w:rsidR="00BE4D62" w:rsidRPr="00E244CD">
        <w:rPr>
          <w:rFonts w:hint="eastAsia"/>
          <w:b/>
          <w:color w:val="000000" w:themeColor="text1"/>
        </w:rPr>
        <w:t>或有否混入雜質，均不影響其碳酸鎂品項之同一性，縱所添加碳酸鎂之規格不符，僅能處行政罰，遽認本案食品添加之工業用碳酸鎂並非食品安全衛生管理法第15條第1項第10款之非法添加物，而為被告等無罪之諭知，自有判決適用法則不當之違背法令。是以，主管機關錯誤解讀，一、二審法官亦未細究，致判決雖然有誤，被告仍然因</w:t>
      </w:r>
      <w:r w:rsidR="00BE4D62" w:rsidRPr="00E244CD">
        <w:rPr>
          <w:rFonts w:hAnsi="標楷體" w:hint="eastAsia"/>
          <w:b/>
          <w:color w:val="000000" w:themeColor="text1"/>
        </w:rPr>
        <w:t>「無罪」，免於刑罰，已失司法之正義並損害人民對於食安之信任</w:t>
      </w:r>
      <w:r w:rsidR="00DD31FC" w:rsidRPr="00E244CD">
        <w:rPr>
          <w:rFonts w:hAnsi="標楷體" w:hint="eastAsia"/>
          <w:b/>
          <w:color w:val="000000" w:themeColor="text1"/>
        </w:rPr>
        <w:t>及</w:t>
      </w:r>
      <w:r w:rsidR="002501DC" w:rsidRPr="00E244CD">
        <w:rPr>
          <w:rFonts w:hAnsi="標楷體"/>
          <w:b/>
          <w:color w:val="000000" w:themeColor="text1"/>
        </w:rPr>
        <w:t>斲</w:t>
      </w:r>
      <w:r w:rsidR="002501DC" w:rsidRPr="00E244CD">
        <w:rPr>
          <w:rFonts w:hAnsi="標楷體" w:hint="eastAsia"/>
          <w:b/>
          <w:color w:val="000000" w:themeColor="text1"/>
        </w:rPr>
        <w:t>喪</w:t>
      </w:r>
      <w:r w:rsidR="00BE4D62" w:rsidRPr="00E244CD">
        <w:rPr>
          <w:rFonts w:hAnsi="標楷體" w:hint="eastAsia"/>
          <w:b/>
          <w:color w:val="000000" w:themeColor="text1"/>
        </w:rPr>
        <w:t>司法公信</w:t>
      </w:r>
    </w:p>
    <w:p w:rsidR="00B728AE" w:rsidRPr="00E764CD" w:rsidRDefault="00B728AE" w:rsidP="00B728AE">
      <w:pPr>
        <w:pStyle w:val="3"/>
        <w:numPr>
          <w:ilvl w:val="2"/>
          <w:numId w:val="14"/>
        </w:numPr>
        <w:ind w:left="1418" w:hanging="709"/>
        <w:rPr>
          <w:rFonts w:hAnsi="標楷體"/>
        </w:rPr>
      </w:pPr>
      <w:r w:rsidRPr="00E764CD">
        <w:rPr>
          <w:rFonts w:hAnsi="標楷體" w:hint="eastAsia"/>
        </w:rPr>
        <w:t>彰化縣衛生局配合執行淨安專案</w:t>
      </w:r>
      <w:r w:rsidRPr="00E764CD">
        <w:rPr>
          <w:rFonts w:hAnsi="標楷體"/>
          <w:vertAlign w:val="superscript"/>
        </w:rPr>
        <w:footnoteReference w:id="6"/>
      </w:r>
      <w:r w:rsidRPr="00E764CD">
        <w:rPr>
          <w:rFonts w:hAnsi="標楷體" w:hint="eastAsia"/>
        </w:rPr>
        <w:t>，於</w:t>
      </w:r>
      <w:r w:rsidRPr="00E764CD">
        <w:rPr>
          <w:rFonts w:hAnsi="標楷體"/>
        </w:rPr>
        <w:t>103</w:t>
      </w:r>
      <w:r w:rsidRPr="00E764CD">
        <w:rPr>
          <w:rFonts w:hAnsi="標楷體" w:hint="eastAsia"/>
        </w:rPr>
        <w:t>年</w:t>
      </w:r>
      <w:r w:rsidRPr="00E764CD">
        <w:rPr>
          <w:rFonts w:hAnsi="標楷體"/>
        </w:rPr>
        <w:t>11</w:t>
      </w:r>
      <w:r w:rsidRPr="00E764CD">
        <w:rPr>
          <w:rFonts w:hAnsi="標楷體" w:hint="eastAsia"/>
        </w:rPr>
        <w:t>月</w:t>
      </w:r>
      <w:r w:rsidRPr="00E764CD">
        <w:rPr>
          <w:rFonts w:hAnsi="標楷體"/>
        </w:rPr>
        <w:t>14</w:t>
      </w:r>
      <w:r w:rsidRPr="00E764CD">
        <w:rPr>
          <w:rFonts w:hAnsi="標楷體" w:hint="eastAsia"/>
        </w:rPr>
        <w:t>日</w:t>
      </w:r>
      <w:r>
        <w:rPr>
          <w:rFonts w:hAnsi="標楷體" w:hint="eastAsia"/>
        </w:rPr>
        <w:t>於</w:t>
      </w:r>
      <w:r w:rsidRPr="00E764CD">
        <w:rPr>
          <w:rFonts w:hAnsi="標楷體" w:hint="eastAsia"/>
        </w:rPr>
        <w:t>轄區</w:t>
      </w:r>
      <w:r w:rsidR="009C2833">
        <w:rPr>
          <w:rFonts w:hAnsi="標楷體" w:hint="eastAsia"/>
        </w:rPr>
        <w:t>進○公司</w:t>
      </w:r>
      <w:r w:rsidRPr="00E764CD">
        <w:rPr>
          <w:rFonts w:hAnsi="標楷體" w:hint="eastAsia"/>
        </w:rPr>
        <w:t>稽查</w:t>
      </w:r>
      <w:r>
        <w:rPr>
          <w:rFonts w:hAnsi="標楷體" w:hint="eastAsia"/>
        </w:rPr>
        <w:t>時</w:t>
      </w:r>
      <w:r w:rsidRPr="00E764CD">
        <w:rPr>
          <w:rFonts w:hAnsi="標楷體" w:hint="eastAsia"/>
        </w:rPr>
        <w:t>，發現</w:t>
      </w:r>
      <w:r>
        <w:rPr>
          <w:rFonts w:hAnsi="標楷體" w:hint="eastAsia"/>
        </w:rPr>
        <w:t>該公司有</w:t>
      </w:r>
      <w:r w:rsidRPr="00E764CD">
        <w:rPr>
          <w:rFonts w:hAnsi="標楷體" w:hint="eastAsia"/>
        </w:rPr>
        <w:t>「碳酸鎂」原料外包裝上載明「</w:t>
      </w:r>
      <w:r w:rsidR="00B55BEE">
        <w:rPr>
          <w:rFonts w:hAnsi="標楷體" w:hint="eastAsia"/>
        </w:rPr>
        <w:t>允○化學工業股份有限公司</w:t>
      </w:r>
      <w:r w:rsidRPr="00E764CD">
        <w:rPr>
          <w:rFonts w:hAnsi="標楷體" w:hint="eastAsia"/>
        </w:rPr>
        <w:t>、</w:t>
      </w:r>
      <w:r w:rsidRPr="00E764CD">
        <w:rPr>
          <w:rFonts w:hAnsi="標楷體"/>
        </w:rPr>
        <w:t>For Industrial Use Only</w:t>
      </w:r>
      <w:r w:rsidRPr="00E764CD">
        <w:rPr>
          <w:rFonts w:hAnsi="標楷體" w:hint="eastAsia"/>
        </w:rPr>
        <w:t>」等字樣，再於同年月</w:t>
      </w:r>
      <w:r w:rsidRPr="00E764CD">
        <w:rPr>
          <w:rFonts w:hAnsi="標楷體"/>
        </w:rPr>
        <w:t>18</w:t>
      </w:r>
      <w:r w:rsidRPr="00E764CD">
        <w:rPr>
          <w:rFonts w:hAnsi="標楷體" w:hint="eastAsia"/>
        </w:rPr>
        <w:t>日前往</w:t>
      </w:r>
      <w:r w:rsidR="009C2833">
        <w:rPr>
          <w:rFonts w:hAnsi="標楷體" w:hint="eastAsia"/>
        </w:rPr>
        <w:t>○○行</w:t>
      </w:r>
      <w:r w:rsidRPr="00E764CD">
        <w:rPr>
          <w:rFonts w:hAnsi="標楷體" w:hint="eastAsia"/>
        </w:rPr>
        <w:t>稽查，查扣未標示字樣之素</w:t>
      </w:r>
      <w:r>
        <w:rPr>
          <w:rFonts w:hAnsi="標楷體" w:hint="eastAsia"/>
        </w:rPr>
        <w:t>面</w:t>
      </w:r>
      <w:r w:rsidRPr="00E764CD">
        <w:rPr>
          <w:rFonts w:hAnsi="標楷體"/>
        </w:rPr>
        <w:t>15</w:t>
      </w:r>
      <w:r w:rsidRPr="00E764CD">
        <w:rPr>
          <w:rFonts w:hAnsi="標楷體" w:hint="eastAsia"/>
        </w:rPr>
        <w:t>公斤包裝之碳酸鎂</w:t>
      </w:r>
      <w:r w:rsidRPr="00E764CD">
        <w:rPr>
          <w:rFonts w:hAnsi="標楷體"/>
        </w:rPr>
        <w:t>25</w:t>
      </w:r>
      <w:r w:rsidRPr="00E764CD">
        <w:rPr>
          <w:rFonts w:hAnsi="標楷體" w:hint="eastAsia"/>
        </w:rPr>
        <w:t>包，並通報彰化地檢署，經該署擴大追查後，於</w:t>
      </w:r>
      <w:r w:rsidRPr="00E764CD">
        <w:rPr>
          <w:rFonts w:hAnsi="標楷體"/>
        </w:rPr>
        <w:t>104</w:t>
      </w:r>
      <w:r w:rsidRPr="00E764CD">
        <w:rPr>
          <w:rFonts w:hAnsi="標楷體" w:hint="eastAsia"/>
        </w:rPr>
        <w:t>年</w:t>
      </w:r>
      <w:r w:rsidRPr="00E764CD">
        <w:rPr>
          <w:rFonts w:hAnsi="標楷體"/>
        </w:rPr>
        <w:t>3</w:t>
      </w:r>
      <w:r w:rsidRPr="00E764CD">
        <w:rPr>
          <w:rFonts w:hAnsi="標楷體" w:hint="eastAsia"/>
        </w:rPr>
        <w:t>月</w:t>
      </w:r>
      <w:r w:rsidRPr="00E764CD">
        <w:rPr>
          <w:rFonts w:hAnsi="標楷體"/>
        </w:rPr>
        <w:t>30</w:t>
      </w:r>
      <w:r w:rsidRPr="00E764CD">
        <w:rPr>
          <w:rFonts w:hAnsi="標楷體" w:hint="eastAsia"/>
        </w:rPr>
        <w:t>日，與相關單位並會同</w:t>
      </w:r>
      <w:r w:rsidRPr="00E764CD">
        <w:rPr>
          <w:rFonts w:hAnsi="標楷體" w:hint="eastAsia"/>
        </w:rPr>
        <w:lastRenderedPageBreak/>
        <w:t>彰化縣衛生局、臺中市</w:t>
      </w:r>
      <w:r w:rsidR="00532D19">
        <w:rPr>
          <w:rFonts w:hAnsi="標楷體" w:hint="eastAsia"/>
        </w:rPr>
        <w:t>政府</w:t>
      </w:r>
      <w:r w:rsidRPr="00E764CD">
        <w:rPr>
          <w:rFonts w:hAnsi="標楷體" w:hint="eastAsia"/>
        </w:rPr>
        <w:t>衛生局搜索</w:t>
      </w:r>
      <w:r w:rsidR="00F16A78">
        <w:rPr>
          <w:rFonts w:hAnsi="標楷體" w:hint="eastAsia"/>
        </w:rPr>
        <w:t>誼○公司</w:t>
      </w:r>
      <w:r w:rsidRPr="00E764CD">
        <w:rPr>
          <w:rFonts w:hAnsi="標楷體" w:hint="eastAsia"/>
        </w:rPr>
        <w:t>（臺中市大理區現岱路</w:t>
      </w:r>
      <w:r>
        <w:rPr>
          <w:rFonts w:hAnsi="標楷體" w:hint="eastAsia"/>
        </w:rPr>
        <w:t>；實際負責人</w:t>
      </w:r>
      <w:r w:rsidR="009C2833">
        <w:rPr>
          <w:rFonts w:hAnsi="標楷體" w:hint="eastAsia"/>
        </w:rPr>
        <w:t>林○柱</w:t>
      </w:r>
      <w:r w:rsidRPr="00E764CD">
        <w:rPr>
          <w:rFonts w:hAnsi="標楷體" w:hint="eastAsia"/>
        </w:rPr>
        <w:t>）、</w:t>
      </w:r>
      <w:r w:rsidR="009C2833">
        <w:rPr>
          <w:rFonts w:hAnsi="標楷體" w:hint="eastAsia"/>
        </w:rPr>
        <w:t>○○行</w:t>
      </w:r>
      <w:r w:rsidRPr="00E764CD">
        <w:rPr>
          <w:rFonts w:hAnsi="標楷體" w:hint="eastAsia"/>
        </w:rPr>
        <w:t>（彰化市彰草路</w:t>
      </w:r>
      <w:r>
        <w:rPr>
          <w:rFonts w:hAnsi="標楷體" w:hint="eastAsia"/>
        </w:rPr>
        <w:t>；實際負責人</w:t>
      </w:r>
      <w:r w:rsidR="009C2833">
        <w:rPr>
          <w:rFonts w:hAnsi="標楷體" w:hint="eastAsia"/>
        </w:rPr>
        <w:t>謝○貴</w:t>
      </w:r>
      <w:r w:rsidRPr="00E764CD">
        <w:rPr>
          <w:rFonts w:hAnsi="標楷體" w:hint="eastAsia"/>
        </w:rPr>
        <w:t>）及</w:t>
      </w:r>
      <w:r w:rsidR="009C2833">
        <w:rPr>
          <w:rFonts w:hAnsi="標楷體" w:hint="eastAsia"/>
        </w:rPr>
        <w:t>進○公司</w:t>
      </w:r>
      <w:r w:rsidRPr="00E764CD">
        <w:rPr>
          <w:rFonts w:hAnsi="標楷體" w:hint="eastAsia"/>
        </w:rPr>
        <w:t>（彰化市彰水路</w:t>
      </w:r>
      <w:r>
        <w:rPr>
          <w:rFonts w:hAnsi="標楷體" w:hint="eastAsia"/>
        </w:rPr>
        <w:t>；負責人</w:t>
      </w:r>
      <w:r w:rsidR="009C2833">
        <w:rPr>
          <w:rFonts w:hAnsi="標楷體" w:hint="eastAsia"/>
        </w:rPr>
        <w:t>謝○吉</w:t>
      </w:r>
      <w:r w:rsidRPr="00E764CD">
        <w:rPr>
          <w:rFonts w:hAnsi="標楷體" w:hint="eastAsia"/>
        </w:rPr>
        <w:t>）等地點，扣得相關物品。</w:t>
      </w:r>
      <w:r>
        <w:rPr>
          <w:rFonts w:hAnsi="標楷體" w:hint="eastAsia"/>
        </w:rPr>
        <w:t>經該署偵查發現</w:t>
      </w:r>
      <w:r w:rsidRPr="001B17F5">
        <w:rPr>
          <w:rFonts w:hAnsi="標楷體" w:hint="eastAsia"/>
        </w:rPr>
        <w:t>臺中市</w:t>
      </w:r>
      <w:r w:rsidR="00F16A78">
        <w:rPr>
          <w:rFonts w:hAnsi="標楷體" w:hint="eastAsia"/>
        </w:rPr>
        <w:t>誼○公司</w:t>
      </w:r>
      <w:r w:rsidRPr="001B17F5">
        <w:rPr>
          <w:rFonts w:hAnsi="標楷體" w:hint="eastAsia"/>
        </w:rPr>
        <w:t>購入「工業用」碳酸鎂，賣給彰化縣</w:t>
      </w:r>
      <w:r w:rsidR="009C2833">
        <w:rPr>
          <w:rFonts w:hAnsi="標楷體" w:hint="eastAsia"/>
        </w:rPr>
        <w:t>進○公司</w:t>
      </w:r>
      <w:r w:rsidRPr="001B17F5">
        <w:rPr>
          <w:rFonts w:hAnsi="標楷體" w:hint="eastAsia"/>
        </w:rPr>
        <w:t>添加在胡椒粉中，</w:t>
      </w:r>
      <w:r>
        <w:rPr>
          <w:rFonts w:hAnsi="標楷體" w:hint="eastAsia"/>
        </w:rPr>
        <w:t>且</w:t>
      </w:r>
      <w:r w:rsidRPr="001B17F5">
        <w:rPr>
          <w:rFonts w:hAnsi="標楷體" w:hint="eastAsia"/>
        </w:rPr>
        <w:t>檢驗出含砷超標</w:t>
      </w:r>
      <w:r>
        <w:rPr>
          <w:rFonts w:hAnsi="標楷體" w:hint="eastAsia"/>
        </w:rPr>
        <w:t>。嗣彰化地檢署檢察官就</w:t>
      </w:r>
      <w:r w:rsidR="009C2833">
        <w:rPr>
          <w:rFonts w:hAnsi="標楷體" w:hint="eastAsia"/>
        </w:rPr>
        <w:t>林○柱</w:t>
      </w:r>
      <w:r>
        <w:rPr>
          <w:rFonts w:hAnsi="標楷體" w:hint="eastAsia"/>
        </w:rPr>
        <w:t>、</w:t>
      </w:r>
      <w:r w:rsidR="009C2833">
        <w:rPr>
          <w:rFonts w:hAnsi="標楷體" w:hint="eastAsia"/>
        </w:rPr>
        <w:t>謝○貴</w:t>
      </w:r>
      <w:r>
        <w:rPr>
          <w:rFonts w:hAnsi="標楷體" w:hint="eastAsia"/>
        </w:rPr>
        <w:t>、</w:t>
      </w:r>
      <w:r w:rsidR="009C2833">
        <w:rPr>
          <w:rFonts w:hAnsi="標楷體" w:hint="eastAsia"/>
        </w:rPr>
        <w:t>謝○吉</w:t>
      </w:r>
      <w:r>
        <w:rPr>
          <w:rFonts w:hAnsi="標楷體" w:hint="eastAsia"/>
        </w:rPr>
        <w:t>等</w:t>
      </w:r>
      <w:r w:rsidRPr="001B17F5">
        <w:rPr>
          <w:rFonts w:hAnsi="標楷體" w:hint="eastAsia"/>
        </w:rPr>
        <w:t>3人以低價、工業用碳酸鎂充作合法食品添加物，且於食品中添加未經中央主管機關許可添加物之碳酸鎂，</w:t>
      </w:r>
      <w:r w:rsidRPr="00E73A23">
        <w:rPr>
          <w:rFonts w:hAnsi="標楷體" w:hint="eastAsia"/>
        </w:rPr>
        <w:t>違反食安法第</w:t>
      </w:r>
      <w:r w:rsidRPr="00E73A23">
        <w:rPr>
          <w:rFonts w:hAnsi="標楷體"/>
        </w:rPr>
        <w:t>15</w:t>
      </w:r>
      <w:r w:rsidRPr="00E73A23">
        <w:rPr>
          <w:rFonts w:hAnsi="標楷體" w:hint="eastAsia"/>
        </w:rPr>
        <w:t>條第</w:t>
      </w:r>
      <w:r w:rsidRPr="00E73A23">
        <w:rPr>
          <w:rFonts w:hAnsi="標楷體"/>
        </w:rPr>
        <w:t>1</w:t>
      </w:r>
      <w:r w:rsidRPr="00E73A23">
        <w:rPr>
          <w:rFonts w:hAnsi="標楷體" w:hint="eastAsia"/>
        </w:rPr>
        <w:t>項第</w:t>
      </w:r>
      <w:r w:rsidRPr="00E73A23">
        <w:rPr>
          <w:rFonts w:hAnsi="標楷體"/>
        </w:rPr>
        <w:t>7</w:t>
      </w:r>
      <w:r w:rsidRPr="00E73A23">
        <w:rPr>
          <w:rFonts w:hAnsi="標楷體" w:hint="eastAsia"/>
        </w:rPr>
        <w:t>款、第</w:t>
      </w:r>
      <w:r w:rsidRPr="00E73A23">
        <w:rPr>
          <w:rFonts w:hAnsi="標楷體"/>
        </w:rPr>
        <w:t>10</w:t>
      </w:r>
      <w:r w:rsidRPr="00E73A23">
        <w:rPr>
          <w:rFonts w:hAnsi="標楷體" w:hint="eastAsia"/>
        </w:rPr>
        <w:t>款規定，而涉有同法第</w:t>
      </w:r>
      <w:r w:rsidRPr="00E73A23">
        <w:rPr>
          <w:rFonts w:hAnsi="標楷體"/>
        </w:rPr>
        <w:t>49</w:t>
      </w:r>
      <w:r w:rsidRPr="00E73A23">
        <w:rPr>
          <w:rFonts w:hAnsi="標楷體" w:hint="eastAsia"/>
        </w:rPr>
        <w:t>條第</w:t>
      </w:r>
      <w:r w:rsidRPr="00E73A23">
        <w:rPr>
          <w:rFonts w:hAnsi="標楷體"/>
        </w:rPr>
        <w:t>1</w:t>
      </w:r>
      <w:r w:rsidRPr="00E73A23">
        <w:rPr>
          <w:rFonts w:hAnsi="標楷體" w:hint="eastAsia"/>
        </w:rPr>
        <w:t>項罪嫌</w:t>
      </w:r>
      <w:r>
        <w:rPr>
          <w:rFonts w:hAnsi="標楷體" w:hint="eastAsia"/>
        </w:rPr>
        <w:t>於104年5月27日提</w:t>
      </w:r>
      <w:r w:rsidRPr="00E73A23">
        <w:rPr>
          <w:rFonts w:hAnsi="標楷體" w:hint="eastAsia"/>
        </w:rPr>
        <w:t>起</w:t>
      </w:r>
      <w:r>
        <w:rPr>
          <w:rFonts w:hAnsi="標楷體" w:hint="eastAsia"/>
        </w:rPr>
        <w:t>公訴</w:t>
      </w:r>
      <w:r w:rsidRPr="001B17F5">
        <w:rPr>
          <w:rFonts w:hAnsi="標楷體" w:hint="eastAsia"/>
        </w:rPr>
        <w:t>。</w:t>
      </w:r>
    </w:p>
    <w:p w:rsidR="00B728AE" w:rsidRPr="00185C3F" w:rsidRDefault="00B728AE" w:rsidP="00B728AE">
      <w:pPr>
        <w:pStyle w:val="3"/>
        <w:ind w:left="1418" w:hanging="709"/>
      </w:pPr>
      <w:r>
        <w:rPr>
          <w:rFonts w:hint="eastAsia"/>
        </w:rPr>
        <w:t>案經</w:t>
      </w:r>
      <w:r w:rsidRPr="00185C3F">
        <w:rPr>
          <w:rFonts w:hint="eastAsia"/>
        </w:rPr>
        <w:t>彰化地院</w:t>
      </w:r>
      <w:r>
        <w:rPr>
          <w:rFonts w:hint="eastAsia"/>
        </w:rPr>
        <w:t>審理後，於106年4月27日</w:t>
      </w:r>
      <w:r w:rsidRPr="00185C3F">
        <w:rPr>
          <w:rFonts w:hint="eastAsia"/>
        </w:rPr>
        <w:t>判</w:t>
      </w:r>
      <w:r>
        <w:rPr>
          <w:rFonts w:hint="eastAsia"/>
        </w:rPr>
        <w:t>決（</w:t>
      </w:r>
      <w:r w:rsidRPr="00293B16">
        <w:rPr>
          <w:rFonts w:hint="eastAsia"/>
        </w:rPr>
        <w:t>104年度訴字第247號</w:t>
      </w:r>
      <w:r>
        <w:rPr>
          <w:rFonts w:hint="eastAsia"/>
        </w:rPr>
        <w:t>）</w:t>
      </w:r>
      <w:r w:rsidRPr="00185C3F">
        <w:rPr>
          <w:rFonts w:hint="eastAsia"/>
        </w:rPr>
        <w:t>無罪</w:t>
      </w:r>
      <w:r>
        <w:rPr>
          <w:rFonts w:hint="eastAsia"/>
        </w:rPr>
        <w:t>，</w:t>
      </w:r>
      <w:r w:rsidRPr="00185C3F">
        <w:rPr>
          <w:rFonts w:hint="eastAsia"/>
        </w:rPr>
        <w:t>主要理由為</w:t>
      </w:r>
      <w:r w:rsidRPr="00185C3F">
        <w:rPr>
          <w:rFonts w:asciiTheme="minorEastAsia" w:hAnsiTheme="minorEastAsia" w:hint="eastAsia"/>
        </w:rPr>
        <w:t>：</w:t>
      </w:r>
      <w:r>
        <w:rPr>
          <w:rFonts w:hAnsi="標楷體" w:hint="eastAsia"/>
        </w:rPr>
        <w:t>「</w:t>
      </w:r>
      <w:r>
        <w:rPr>
          <w:rFonts w:asciiTheme="minorEastAsia" w:hAnsiTheme="minorEastAsia"/>
        </w:rPr>
        <w:t>……</w:t>
      </w:r>
      <w:r>
        <w:rPr>
          <w:rFonts w:asciiTheme="minorEastAsia" w:hAnsiTheme="minorEastAsia" w:hint="eastAsia"/>
        </w:rPr>
        <w:t>（四）</w:t>
      </w:r>
      <w:r w:rsidRPr="00185C3F">
        <w:rPr>
          <w:rFonts w:hint="eastAsia"/>
        </w:rPr>
        <w:t>按衛生福利部依據食安法第18條之規定，訂有</w:t>
      </w:r>
      <w:r>
        <w:rPr>
          <w:rFonts w:hAnsi="標楷體" w:hint="eastAsia"/>
        </w:rPr>
        <w:t>『</w:t>
      </w:r>
      <w:r w:rsidRPr="00185C3F">
        <w:rPr>
          <w:rFonts w:hint="eastAsia"/>
        </w:rPr>
        <w:t>食品添加物使用範圍及限量暨規格標準</w:t>
      </w:r>
      <w:r>
        <w:rPr>
          <w:rFonts w:hAnsi="標楷體" w:hint="eastAsia"/>
        </w:rPr>
        <w:t>』</w:t>
      </w:r>
      <w:r w:rsidRPr="00185C3F">
        <w:rPr>
          <w:rFonts w:hint="eastAsia"/>
        </w:rPr>
        <w:t>，規範食品添加物之品名、規格及其使用範圍、限量標準。經查碳酸鎂為准用之食品添加物，已訂有規格標準、使用範圍及限量，故食品加工如有需要使用碳酸鎂，應選用符合規格標準，經查驗登記取得許可文件並完成登錄之產品；</w:t>
      </w:r>
      <w:r>
        <w:rPr>
          <w:rFonts w:hAnsi="標楷體" w:hint="eastAsia"/>
        </w:rPr>
        <w:t>『</w:t>
      </w:r>
      <w:r w:rsidRPr="00185C3F">
        <w:rPr>
          <w:rFonts w:hint="eastAsia"/>
        </w:rPr>
        <w:t>食品添加物使用範圍及限量暨規格標準</w:t>
      </w:r>
      <w:r>
        <w:rPr>
          <w:rFonts w:hAnsi="標楷體" w:hint="eastAsia"/>
        </w:rPr>
        <w:t>』</w:t>
      </w:r>
      <w:r w:rsidRPr="00185C3F">
        <w:rPr>
          <w:rFonts w:hint="eastAsia"/>
        </w:rPr>
        <w:t>係規範食品加工所用食品添加物之規定，食品業者應使用符合食安法規定之原料及食品添加物進行產品加工製造，</w:t>
      </w:r>
      <w:r w:rsidRPr="0056474F">
        <w:rPr>
          <w:rFonts w:hint="eastAsia"/>
        </w:rPr>
        <w:t>食安法並無所謂工業用成分之定義、規範或區分等情</w:t>
      </w:r>
      <w:r w:rsidRPr="00185C3F">
        <w:rPr>
          <w:rFonts w:hint="eastAsia"/>
        </w:rPr>
        <w:t>，分別據食藥署105年10月3日FDA食字第1059905564號函、105年11月18日FDA食字第1059906667號函各1件附卷可證</w:t>
      </w:r>
      <w:r>
        <w:rPr>
          <w:rFonts w:hAnsi="標楷體" w:hint="eastAsia"/>
        </w:rPr>
        <w:t>。</w:t>
      </w:r>
      <w:r w:rsidRPr="00185C3F">
        <w:rPr>
          <w:rFonts w:hint="eastAsia"/>
        </w:rPr>
        <w:t>被告</w:t>
      </w:r>
      <w:r w:rsidR="009C2833">
        <w:rPr>
          <w:rFonts w:hint="eastAsia"/>
        </w:rPr>
        <w:t>林○柱</w:t>
      </w:r>
      <w:r w:rsidRPr="00185C3F">
        <w:rPr>
          <w:rFonts w:hint="eastAsia"/>
        </w:rPr>
        <w:t>所售、分別經被告</w:t>
      </w:r>
      <w:r w:rsidR="009C2833">
        <w:rPr>
          <w:rFonts w:hint="eastAsia"/>
        </w:rPr>
        <w:t>謝○貴</w:t>
      </w:r>
      <w:r w:rsidRPr="00185C3F">
        <w:rPr>
          <w:rFonts w:hint="eastAsia"/>
        </w:rPr>
        <w:t>、</w:t>
      </w:r>
      <w:r w:rsidR="009C2833">
        <w:rPr>
          <w:rFonts w:hint="eastAsia"/>
        </w:rPr>
        <w:t>謝○吉</w:t>
      </w:r>
      <w:r w:rsidRPr="00185C3F">
        <w:rPr>
          <w:rFonts w:hint="eastAsia"/>
        </w:rPr>
        <w:t>摻入產品之添加物為碳酸鎂，業已列入</w:t>
      </w:r>
      <w:r>
        <w:rPr>
          <w:rFonts w:hAnsi="標楷體" w:hint="eastAsia"/>
        </w:rPr>
        <w:t>『</w:t>
      </w:r>
      <w:r w:rsidRPr="00185C3F">
        <w:rPr>
          <w:rFonts w:hint="eastAsia"/>
        </w:rPr>
        <w:t>食品添加物使用範圍及限量暨規格標準</w:t>
      </w:r>
      <w:r>
        <w:rPr>
          <w:rFonts w:hAnsi="標楷體" w:hint="eastAsia"/>
        </w:rPr>
        <w:t>』</w:t>
      </w:r>
      <w:r w:rsidRPr="00185C3F">
        <w:rPr>
          <w:rFonts w:hint="eastAsia"/>
        </w:rPr>
        <w:t>第（七）類品質改良用、</w:t>
      </w:r>
      <w:r w:rsidRPr="00185C3F">
        <w:rPr>
          <w:rFonts w:hint="eastAsia"/>
        </w:rPr>
        <w:lastRenderedPageBreak/>
        <w:t>釀造用及食品製造用劑之中，被告等人及製造者</w:t>
      </w:r>
      <w:r w:rsidR="00B55BEE">
        <w:rPr>
          <w:rFonts w:hint="eastAsia"/>
        </w:rPr>
        <w:t>允○公司</w:t>
      </w:r>
      <w:r w:rsidRPr="00185C3F">
        <w:rPr>
          <w:rFonts w:hint="eastAsia"/>
        </w:rPr>
        <w:t>雖均未取得碳酸鎂之查驗登記許可文件，且砷含量亦超出前</w:t>
      </w:r>
      <w:r>
        <w:rPr>
          <w:rFonts w:hint="eastAsia"/>
        </w:rPr>
        <w:t>揭</w:t>
      </w:r>
      <w:r w:rsidRPr="00185C3F">
        <w:rPr>
          <w:rFonts w:hint="eastAsia"/>
        </w:rPr>
        <w:t>標準附表之規格，惟揆諸前揭說明，使用已列入</w:t>
      </w:r>
      <w:r>
        <w:rPr>
          <w:rFonts w:hAnsi="標楷體" w:hint="eastAsia"/>
        </w:rPr>
        <w:t>『</w:t>
      </w:r>
      <w:r w:rsidRPr="00185C3F">
        <w:rPr>
          <w:rFonts w:hint="eastAsia"/>
        </w:rPr>
        <w:t>食品添加物使用範圍及限量暨規格標準</w:t>
      </w:r>
      <w:r>
        <w:rPr>
          <w:rFonts w:hAnsi="標楷體" w:hint="eastAsia"/>
        </w:rPr>
        <w:t>』</w:t>
      </w:r>
      <w:r w:rsidRPr="00185C3F">
        <w:rPr>
          <w:rFonts w:hint="eastAsia"/>
        </w:rPr>
        <w:t>表列中之添加物，縱然未經查驗登記、使用之規格不符規範，僅屬違反食安法第18條，有第47條或第48條行政處罰問題，而非食安法第15條第1項第10款、第49條第1項規定之規範範圍。</w:t>
      </w:r>
      <w:r>
        <w:rPr>
          <w:rFonts w:hAnsi="標楷體" w:hint="eastAsia"/>
        </w:rPr>
        <w:t>」</w:t>
      </w:r>
    </w:p>
    <w:p w:rsidR="00B728AE" w:rsidRPr="00557CFA" w:rsidRDefault="00B728AE" w:rsidP="00B728AE">
      <w:pPr>
        <w:pStyle w:val="3"/>
        <w:ind w:left="1418" w:hanging="709"/>
      </w:pPr>
      <w:r>
        <w:rPr>
          <w:rFonts w:hAnsi="標楷體" w:hint="eastAsia"/>
          <w:szCs w:val="32"/>
        </w:rPr>
        <w:t>再經</w:t>
      </w:r>
      <w:r w:rsidRPr="0014121D">
        <w:rPr>
          <w:rFonts w:hAnsi="標楷體" w:hint="eastAsia"/>
          <w:szCs w:val="32"/>
        </w:rPr>
        <w:t>臺中</w:t>
      </w:r>
      <w:r w:rsidR="00870951">
        <w:rPr>
          <w:rFonts w:hAnsi="標楷體" w:hint="eastAsia"/>
          <w:szCs w:val="32"/>
        </w:rPr>
        <w:t>高</w:t>
      </w:r>
      <w:r w:rsidRPr="0014121D">
        <w:rPr>
          <w:rFonts w:hAnsi="標楷體" w:hint="eastAsia"/>
          <w:szCs w:val="32"/>
        </w:rPr>
        <w:t>分院</w:t>
      </w:r>
      <w:r>
        <w:rPr>
          <w:rFonts w:hAnsi="標楷體" w:hint="eastAsia"/>
          <w:szCs w:val="32"/>
        </w:rPr>
        <w:t>於107年1月16日判決（</w:t>
      </w:r>
      <w:r w:rsidRPr="0014121D">
        <w:rPr>
          <w:rFonts w:hAnsi="標楷體" w:hint="eastAsia"/>
          <w:szCs w:val="32"/>
        </w:rPr>
        <w:t>106年度上訴字第983號</w:t>
      </w:r>
      <w:r>
        <w:rPr>
          <w:rFonts w:hAnsi="標楷體" w:hint="eastAsia"/>
          <w:szCs w:val="32"/>
        </w:rPr>
        <w:t>）</w:t>
      </w:r>
      <w:r w:rsidRPr="0014121D">
        <w:rPr>
          <w:rFonts w:hAnsi="標楷體" w:hint="eastAsia"/>
          <w:szCs w:val="32"/>
        </w:rPr>
        <w:t>無罪</w:t>
      </w:r>
      <w:r>
        <w:rPr>
          <w:rFonts w:hAnsi="標楷體" w:hint="eastAsia"/>
          <w:szCs w:val="32"/>
        </w:rPr>
        <w:t>，</w:t>
      </w:r>
      <w:r w:rsidRPr="0014121D">
        <w:rPr>
          <w:rFonts w:hAnsi="標楷體" w:hint="eastAsia"/>
          <w:szCs w:val="32"/>
        </w:rPr>
        <w:t>理由</w:t>
      </w:r>
      <w:r>
        <w:rPr>
          <w:rFonts w:hAnsi="標楷體" w:hint="eastAsia"/>
          <w:szCs w:val="32"/>
        </w:rPr>
        <w:t>有</w:t>
      </w:r>
      <w:r>
        <w:rPr>
          <w:rFonts w:ascii="新細明體" w:eastAsia="新細明體" w:hAnsi="新細明體" w:hint="eastAsia"/>
          <w:szCs w:val="32"/>
        </w:rPr>
        <w:t>：</w:t>
      </w:r>
    </w:p>
    <w:p w:rsidR="00B728AE" w:rsidRPr="00B7035A" w:rsidRDefault="00B728AE" w:rsidP="00B728AE">
      <w:pPr>
        <w:pStyle w:val="4"/>
      </w:pPr>
      <w:r w:rsidRPr="00B7035A">
        <w:rPr>
          <w:rFonts w:hint="eastAsia"/>
        </w:rPr>
        <w:t>「解釋上應將食品安全衛生管理法第15條第1項第10款，限縮在添加物屬於非主管機關公告准用於食品添加之列表範圍之情形，至於雖屬上開列表之物質，但其製造、輸入廠商未經查驗登記取得許可文件者，並非在本款規範之範圍。」上情</w:t>
      </w:r>
      <w:r w:rsidRPr="008729C4">
        <w:rPr>
          <w:rFonts w:hint="eastAsia"/>
        </w:rPr>
        <w:t>臺中</w:t>
      </w:r>
      <w:r w:rsidR="004A36F7">
        <w:rPr>
          <w:rFonts w:hint="eastAsia"/>
        </w:rPr>
        <w:t>高</w:t>
      </w:r>
      <w:r w:rsidRPr="008729C4">
        <w:rPr>
          <w:rFonts w:hint="eastAsia"/>
        </w:rPr>
        <w:t>分院</w:t>
      </w:r>
      <w:r>
        <w:rPr>
          <w:rFonts w:hint="eastAsia"/>
        </w:rPr>
        <w:t>基於</w:t>
      </w:r>
      <w:r w:rsidRPr="00B7035A">
        <w:rPr>
          <w:rFonts w:hint="eastAsia"/>
        </w:rPr>
        <w:t>：</w:t>
      </w:r>
    </w:p>
    <w:p w:rsidR="00B728AE" w:rsidRPr="00B7035A" w:rsidRDefault="00B728AE" w:rsidP="00B728AE">
      <w:pPr>
        <w:pStyle w:val="5"/>
      </w:pPr>
      <w:r>
        <w:rPr>
          <w:rFonts w:hAnsi="標楷體" w:hint="eastAsia"/>
        </w:rPr>
        <w:t>「</w:t>
      </w:r>
      <w:r w:rsidRPr="00B7035A">
        <w:rPr>
          <w:rFonts w:hint="eastAsia"/>
        </w:rPr>
        <w:t>上訴人雖認：依食安法第3條第1項第3款規定，需經過食品添加物查驗登記，取得食品級添加許可證後，方得使用於食品。</w:t>
      </w:r>
      <w:r w:rsidRPr="00B7035A">
        <w:t>……</w:t>
      </w:r>
      <w:r w:rsidRPr="00B7035A">
        <w:rPr>
          <w:rFonts w:hint="eastAsia"/>
        </w:rPr>
        <w:t>但未經查驗登記許可原因眾多，如改裝單方食品添加物（大包裝改為小包裝）未重新辦理查驗登記、食品添加物品名無法反映產品本質或功能者，亦為無法通過食品添加物查驗登記之常見原因。此等疏失，雖與行政規範有違，但難認對於人民身體健康有何危害存在。按食品安全衛生管理法第49條第4項係採抽象危險犯之立法模式（最高法院105年度第18次刑事庭會議決議參照），只要有符合構成要件描述的行為，無論利益侵害之風險是否存在，均將成立犯罪。若以是否經過查驗登記取得許可，作為發動刑罰</w:t>
      </w:r>
      <w:r w:rsidRPr="00B7035A">
        <w:rPr>
          <w:rFonts w:hint="eastAsia"/>
        </w:rPr>
        <w:lastRenderedPageBreak/>
        <w:t>之依據，則會把僅違反行政規範而對國民健康無風險之行為，均一網打盡處以刑罰，適用範圍過寬，此與比例原則及刑法謙抑性之原則有違，應非立法者之本意。</w:t>
      </w:r>
      <w:r>
        <w:rPr>
          <w:rFonts w:hAnsi="標楷體" w:hint="eastAsia"/>
        </w:rPr>
        <w:t>」</w:t>
      </w:r>
    </w:p>
    <w:p w:rsidR="00B728AE" w:rsidRPr="00B7035A" w:rsidRDefault="00B728AE" w:rsidP="00B728AE">
      <w:pPr>
        <w:pStyle w:val="5"/>
      </w:pPr>
      <w:r>
        <w:rPr>
          <w:rFonts w:hAnsi="標楷體" w:hint="eastAsia"/>
        </w:rPr>
        <w:t>「</w:t>
      </w:r>
      <w:r w:rsidRPr="00B7035A">
        <w:rPr>
          <w:rFonts w:hint="eastAsia"/>
        </w:rPr>
        <w:t>又若食品加工業者使用未經主管機關查驗許可之添加物，則因該添加物未經主管機關查驗確保符合衛生安全標準，成分可能不具食用性、純度不足、有重金屬或其他有害物質殘留、原料來源有疑慮（如輻射污染區所生產）等高度危險性，此行為對於人體健康危害極大，故應以刑罰加以禁止等情為據。惟查，純度不足，除非其雜質係屬有害物質，否則對於人體健康並無影響。而公訴人所指殘留重金屬、有害物質或來自輻射污染區等等問題，固然對於食用者造成無可預料之風險。然而，主管機關已就各種食品添加物中，最容易出現之有害物質，如重金屬、砷、有害菌種等等，於範圍及限量暨規格標準之</w:t>
      </w:r>
      <w:r>
        <w:rPr>
          <w:rFonts w:hAnsi="標楷體" w:hint="eastAsia"/>
        </w:rPr>
        <w:t>『</w:t>
      </w:r>
      <w:r w:rsidRPr="00B7035A">
        <w:rPr>
          <w:rFonts w:hint="eastAsia"/>
        </w:rPr>
        <w:t>規格標準</w:t>
      </w:r>
      <w:r>
        <w:rPr>
          <w:rFonts w:hAnsi="標楷體" w:hint="eastAsia"/>
        </w:rPr>
        <w:t>』</w:t>
      </w:r>
      <w:r w:rsidRPr="00B7035A">
        <w:rPr>
          <w:rFonts w:hint="eastAsia"/>
        </w:rPr>
        <w:t>中予以規範。違反該規格標準者，依食品安全衛生管理法第48條第8款（即修正前</w:t>
      </w:r>
      <w:r>
        <w:rPr>
          <w:rFonts w:hAnsi="標楷體" w:hint="eastAsia"/>
        </w:rPr>
        <w:t>『</w:t>
      </w:r>
      <w:r w:rsidRPr="00B7035A">
        <w:rPr>
          <w:rFonts w:hint="eastAsia"/>
        </w:rPr>
        <w:t>食品衛生管理法</w:t>
      </w:r>
      <w:r>
        <w:rPr>
          <w:rFonts w:hAnsi="標楷體" w:hint="eastAsia"/>
        </w:rPr>
        <w:t>』</w:t>
      </w:r>
      <w:r w:rsidRPr="00B7035A">
        <w:rPr>
          <w:rFonts w:hint="eastAsia"/>
        </w:rPr>
        <w:t>第48條第4款），僅須處以行政裁罰。則未經查驗登記之食品添加物，只有成分違反上開規格標準之可能，卻應處以刑罰，會造成輕重失衡之問題。</w:t>
      </w:r>
      <w:r>
        <w:rPr>
          <w:rFonts w:hAnsi="標楷體" w:hint="eastAsia"/>
        </w:rPr>
        <w:t>」</w:t>
      </w:r>
    </w:p>
    <w:p w:rsidR="00B728AE" w:rsidRDefault="00B728AE" w:rsidP="00B728AE">
      <w:pPr>
        <w:pStyle w:val="5"/>
      </w:pPr>
      <w:r>
        <w:rPr>
          <w:rFonts w:hAnsi="標楷體" w:hint="eastAsia"/>
        </w:rPr>
        <w:t>「</w:t>
      </w:r>
      <w:r w:rsidRPr="00B7035A">
        <w:rPr>
          <w:rFonts w:hint="eastAsia"/>
        </w:rPr>
        <w:t>若添加物屬於未經中央主管機關公告准用於食品之物質而添加於食品，固會對民眾健康造成無法預料之風險，而有以刑罰予以規制之必要。然而，若添加在公告准用之列表範圍內之物質，僅其製造、加工、輸入等未經查驗登記，發給許可文件，則其未經許可所可能存在之健康風險，均能藉由其他既存之處罰規定予以規</w:t>
      </w:r>
      <w:r w:rsidRPr="00B7035A">
        <w:rPr>
          <w:rFonts w:hint="eastAsia"/>
        </w:rPr>
        <w:lastRenderedPageBreak/>
        <w:t>制，而未能取得許可之其他原因，尚與國民健康無涉，若以添加物有無查驗登記許可作為標準，對於未取得許可者一概處以刑罰，則有管制範圍過寬之問題。</w:t>
      </w:r>
      <w:r>
        <w:rPr>
          <w:rFonts w:hAnsi="標楷體" w:hint="eastAsia"/>
        </w:rPr>
        <w:t>」</w:t>
      </w:r>
    </w:p>
    <w:p w:rsidR="00B728AE" w:rsidRDefault="00B728AE" w:rsidP="00845C73">
      <w:pPr>
        <w:pStyle w:val="4"/>
      </w:pPr>
      <w:r w:rsidRPr="00B7035A">
        <w:rPr>
          <w:rFonts w:hint="eastAsia"/>
        </w:rPr>
        <w:t>「食品安全衛生管理法第15條第1項第10款，應適用於食品所使用之添加物，根本不屬於中央主管機關在</w:t>
      </w:r>
      <w:r w:rsidRPr="00845C73">
        <w:rPr>
          <w:rFonts w:hAnsi="標楷體" w:hint="eastAsia"/>
        </w:rPr>
        <w:t>『</w:t>
      </w:r>
      <w:r w:rsidRPr="00B7035A">
        <w:rPr>
          <w:rFonts w:hint="eastAsia"/>
        </w:rPr>
        <w:t>食品添加物使用範圍及限量暨規格標準</w:t>
      </w:r>
      <w:r w:rsidRPr="00845C73">
        <w:rPr>
          <w:rFonts w:hAnsi="標楷體" w:hint="eastAsia"/>
        </w:rPr>
        <w:t>』</w:t>
      </w:r>
      <w:r w:rsidRPr="00B7035A">
        <w:rPr>
          <w:rFonts w:hint="eastAsia"/>
        </w:rPr>
        <w:t>中列舉准用品項之情形，而不及於添加物產品雖屬於上開品項，但其製造、輸入等廠商未經查驗登記之狀況（即應以「品項」為準，而非以「廠商」為準）。」</w:t>
      </w:r>
      <w:r w:rsidRPr="008729C4">
        <w:rPr>
          <w:rFonts w:hint="eastAsia"/>
        </w:rPr>
        <w:t>臺中</w:t>
      </w:r>
      <w:r w:rsidR="004A36F7">
        <w:rPr>
          <w:rFonts w:hint="eastAsia"/>
        </w:rPr>
        <w:t>高</w:t>
      </w:r>
      <w:r w:rsidRPr="008729C4">
        <w:rPr>
          <w:rFonts w:hint="eastAsia"/>
        </w:rPr>
        <w:t>分院</w:t>
      </w:r>
      <w:r w:rsidRPr="00B7035A">
        <w:rPr>
          <w:rFonts w:hint="eastAsia"/>
        </w:rPr>
        <w:t>係基於：</w:t>
      </w:r>
      <w:r w:rsidRPr="00845C73">
        <w:rPr>
          <w:rFonts w:hAnsi="標楷體" w:hint="eastAsia"/>
        </w:rPr>
        <w:t>「</w:t>
      </w:r>
      <w:r w:rsidRPr="001210BB">
        <w:rPr>
          <w:rFonts w:hint="eastAsia"/>
        </w:rPr>
        <w:t>關於法律之解釋，法院固然依法律確信獨立而為認定，不受行政機關函釋之拘束，然行政機關之函釋，仍可</w:t>
      </w:r>
      <w:r w:rsidRPr="00845C73">
        <w:rPr>
          <w:rFonts w:hint="eastAsia"/>
        </w:rPr>
        <w:t>作為法院解釋法律之參考。食藥署就食品安全衛生管理法第15條第1項第10款規定，認為：該規定係指並非我國</w:t>
      </w:r>
      <w:r w:rsidRPr="00845C73">
        <w:rPr>
          <w:rFonts w:hAnsi="標楷體" w:hint="eastAsia"/>
        </w:rPr>
        <w:t>「</w:t>
      </w:r>
      <w:r w:rsidRPr="00845C73">
        <w:rPr>
          <w:rFonts w:hint="eastAsia"/>
        </w:rPr>
        <w:t>食品添加物使用範圍及限量暨規格標準</w:t>
      </w:r>
      <w:r w:rsidRPr="00845C73">
        <w:rPr>
          <w:rFonts w:hAnsi="標楷體" w:hint="eastAsia"/>
        </w:rPr>
        <w:t>」</w:t>
      </w:r>
      <w:r w:rsidRPr="00845C73">
        <w:rPr>
          <w:rFonts w:hint="eastAsia"/>
        </w:rPr>
        <w:t>准用品項，且於國際間亦未准許添加於食品中之成分等語，有該署105年6月15日FDA食字第1059903010號函可參可考。上開函文就食安法第15條第1項第10款規範範圍不及於添加物屬於範圍及限量暨規格標準准用品項部分，解釋甚明，殊無疑義。</w:t>
      </w:r>
      <w:r w:rsidRPr="00845C73">
        <w:rPr>
          <w:rFonts w:hAnsi="標楷體" w:hint="eastAsia"/>
        </w:rPr>
        <w:t>」</w:t>
      </w:r>
    </w:p>
    <w:p w:rsidR="00B728AE" w:rsidRDefault="00B728AE" w:rsidP="00B728AE">
      <w:pPr>
        <w:pStyle w:val="4"/>
      </w:pPr>
      <w:r>
        <w:rPr>
          <w:rFonts w:hAnsi="標楷體" w:hint="eastAsia"/>
        </w:rPr>
        <w:t>「</w:t>
      </w:r>
      <w:r w:rsidRPr="00B7035A">
        <w:rPr>
          <w:rFonts w:hint="eastAsia"/>
        </w:rPr>
        <w:t>檢察官於本院提出食品藥物管理署106年10月27日FDA食字第1069905175號函，該函文：八、</w:t>
      </w:r>
      <w:r>
        <w:rPr>
          <w:rFonts w:hAnsi="標楷體" w:hint="eastAsia"/>
        </w:rPr>
        <w:t>『</w:t>
      </w:r>
      <w:r w:rsidRPr="00B7035A">
        <w:rPr>
          <w:rFonts w:hint="eastAsia"/>
        </w:rPr>
        <w:t>食品業者如未依食安法規定選購取得依法查驗登記及登錄之添加物產品，已涉及違反食安法第8條之規定，如相關成分規格亦不符合</w:t>
      </w:r>
      <w:r>
        <w:rPr>
          <w:rFonts w:hAnsi="標楷體" w:hint="eastAsia"/>
        </w:rPr>
        <w:t>[</w:t>
      </w:r>
      <w:r w:rsidRPr="00B7035A">
        <w:rPr>
          <w:rFonts w:hint="eastAsia"/>
        </w:rPr>
        <w:t>食品添加物使用範圍及限量暨規格標準</w:t>
      </w:r>
      <w:r>
        <w:rPr>
          <w:rFonts w:hAnsi="標楷體" w:hint="eastAsia"/>
        </w:rPr>
        <w:t>]</w:t>
      </w:r>
      <w:r w:rsidRPr="00B7035A">
        <w:rPr>
          <w:rFonts w:hint="eastAsia"/>
        </w:rPr>
        <w:t>之規定，則亦涉及違反食安法第18條之規定，若違規情節有其他事證顯示非供食用或不得做為食品原料與食品</w:t>
      </w:r>
      <w:r w:rsidRPr="00B7035A">
        <w:rPr>
          <w:rFonts w:hint="eastAsia"/>
        </w:rPr>
        <w:lastRenderedPageBreak/>
        <w:t>添加物使用，則不排除食安法第15條之適用。」該函文承辦人</w:t>
      </w:r>
      <w:r w:rsidR="00C72ABA">
        <w:rPr>
          <w:rFonts w:hint="eastAsia"/>
        </w:rPr>
        <w:t>李○豪</w:t>
      </w:r>
      <w:r w:rsidRPr="00B7035A">
        <w:rPr>
          <w:rFonts w:hint="eastAsia"/>
        </w:rPr>
        <w:t>先生於本院證稱：</w:t>
      </w:r>
      <w:r>
        <w:rPr>
          <w:rFonts w:hAnsi="標楷體" w:hint="eastAsia"/>
        </w:rPr>
        <w:t>『</w:t>
      </w:r>
      <w:r w:rsidRPr="00B7035A">
        <w:rPr>
          <w:rFonts w:hint="eastAsia"/>
        </w:rPr>
        <w:t>上開函文所指</w:t>
      </w:r>
      <w:r>
        <w:rPr>
          <w:rFonts w:hAnsi="標楷體" w:hint="eastAsia"/>
        </w:rPr>
        <w:t>[</w:t>
      </w:r>
      <w:r w:rsidRPr="00B7035A">
        <w:rPr>
          <w:rFonts w:hint="eastAsia"/>
        </w:rPr>
        <w:t>不排除食安法第15條之適用</w:t>
      </w:r>
      <w:r>
        <w:rPr>
          <w:rFonts w:hAnsi="標楷體" w:hint="eastAsia"/>
        </w:rPr>
        <w:t>]</w:t>
      </w:r>
      <w:r w:rsidRPr="00B7035A">
        <w:rPr>
          <w:rFonts w:hint="eastAsia"/>
        </w:rPr>
        <w:t>，要看案件的情況，有可能涉及到第3款、第7款、第10款都有可能，甚至也有其他款，要看案件裡面的資料才有辦法判斷。</w:t>
      </w:r>
      <w:r>
        <w:rPr>
          <w:rFonts w:hAnsi="標楷體" w:hint="eastAsia"/>
        </w:rPr>
        <w:t>』『</w:t>
      </w:r>
      <w:r w:rsidRPr="00B7035A">
        <w:rPr>
          <w:rFonts w:hint="eastAsia"/>
        </w:rPr>
        <w:t>這邊回復是沒有特別指第15條第1項第10款。</w:t>
      </w:r>
      <w:r>
        <w:rPr>
          <w:rFonts w:hAnsi="標楷體" w:hint="eastAsia"/>
        </w:rPr>
        <w:t>』</w:t>
      </w:r>
      <w:r w:rsidRPr="00B7035A">
        <w:rPr>
          <w:rFonts w:hint="eastAsia"/>
        </w:rPr>
        <w:t>檢察官又詰問</w:t>
      </w:r>
      <w:r w:rsidR="00C72ABA">
        <w:rPr>
          <w:rFonts w:hint="eastAsia"/>
        </w:rPr>
        <w:t>李○豪</w:t>
      </w:r>
      <w:r w:rsidRPr="00B7035A">
        <w:rPr>
          <w:rFonts w:hint="eastAsia"/>
        </w:rPr>
        <w:t>：</w:t>
      </w:r>
      <w:r>
        <w:rPr>
          <w:rFonts w:hAnsi="標楷體" w:hint="eastAsia"/>
        </w:rPr>
        <w:t>『</w:t>
      </w:r>
      <w:r w:rsidRPr="00B7035A">
        <w:rPr>
          <w:rFonts w:hint="eastAsia"/>
        </w:rPr>
        <w:t>此部分添加物的源頭已經註明僅供工業使用的話，是否仍符合你經辦的那個第8項只要有事證認為非供食用，則不排除食安法第15條之適用這種情形？</w:t>
      </w:r>
      <w:r>
        <w:rPr>
          <w:rFonts w:hAnsi="標楷體" w:hint="eastAsia"/>
        </w:rPr>
        <w:t>』</w:t>
      </w:r>
      <w:r w:rsidRPr="00B7035A">
        <w:rPr>
          <w:rFonts w:hint="eastAsia"/>
        </w:rPr>
        <w:t>證人答稱</w:t>
      </w:r>
      <w:r>
        <w:rPr>
          <w:rFonts w:hAnsi="標楷體" w:hint="eastAsia"/>
        </w:rPr>
        <w:t>：『</w:t>
      </w:r>
      <w:r w:rsidRPr="00B7035A">
        <w:rPr>
          <w:rFonts w:hint="eastAsia"/>
        </w:rPr>
        <w:t>目前就你的公文來說的內容的話，這是有可能由我回復你的不排除食安法的情況，但是還要更多其他資料才能核判，而且可能要看是否有其他證據證明有否違反第15條之情況，例如是因為價格的關係而去購買比較便宜的情況，有可能違反第15條第1項第7款之情形，如果裡面檢驗出某些成分是對人體有害的話，可能違反第15條第3款之情況，這個我們之前有看過類似的案例。</w:t>
      </w:r>
      <w:r>
        <w:rPr>
          <w:rFonts w:hAnsi="標楷體" w:hint="eastAsia"/>
        </w:rPr>
        <w:t>』</w:t>
      </w:r>
      <w:r w:rsidRPr="00B7035A">
        <w:rPr>
          <w:rFonts w:hint="eastAsia"/>
        </w:rPr>
        <w:t>檢察官又問：</w:t>
      </w:r>
      <w:r>
        <w:rPr>
          <w:rFonts w:hAnsi="標楷體" w:hint="eastAsia"/>
        </w:rPr>
        <w:t>『</w:t>
      </w:r>
      <w:r w:rsidRPr="00B7035A">
        <w:rPr>
          <w:rFonts w:hint="eastAsia"/>
        </w:rPr>
        <w:t>你剛剛的意思是否表示本署函有關只限工業使用的添加物，如果有事證顯示有違反食安法第15條第1項第3、7、10款各款之情形，都不排除適用？</w:t>
      </w:r>
      <w:r>
        <w:rPr>
          <w:rFonts w:hAnsi="標楷體" w:hint="eastAsia"/>
        </w:rPr>
        <w:t>』</w:t>
      </w:r>
      <w:r w:rsidRPr="00B7035A">
        <w:rPr>
          <w:rFonts w:hint="eastAsia"/>
        </w:rPr>
        <w:t>證人證稱：</w:t>
      </w:r>
      <w:r>
        <w:rPr>
          <w:rFonts w:hAnsi="標楷體" w:hint="eastAsia"/>
        </w:rPr>
        <w:t>『</w:t>
      </w:r>
      <w:r w:rsidRPr="00B7035A">
        <w:rPr>
          <w:rFonts w:hint="eastAsia"/>
        </w:rPr>
        <w:t>是</w:t>
      </w:r>
      <w:r>
        <w:rPr>
          <w:rFonts w:hAnsi="標楷體" w:hint="eastAsia"/>
        </w:rPr>
        <w:t>』</w:t>
      </w:r>
      <w:r w:rsidRPr="00B7035A">
        <w:rPr>
          <w:rFonts w:hint="eastAsia"/>
        </w:rPr>
        <w:t>，並證稱：</w:t>
      </w:r>
      <w:r>
        <w:rPr>
          <w:rFonts w:hAnsi="標楷體" w:hint="eastAsia"/>
        </w:rPr>
        <w:t>『</w:t>
      </w:r>
      <w:r w:rsidRPr="00B7035A">
        <w:rPr>
          <w:rFonts w:hint="eastAsia"/>
        </w:rPr>
        <w:t>我們一定有簽核的過程才能發文，這兩份公文我們收到時，食藥署內部有做討論，包括之前的案例綜合判斷而回復的內容，也有簽核長官核可才做回復。</w:t>
      </w:r>
      <w:r>
        <w:rPr>
          <w:rFonts w:hAnsi="標楷體" w:hint="eastAsia"/>
        </w:rPr>
        <w:t>』</w:t>
      </w:r>
      <w:r w:rsidRPr="00B7035A">
        <w:rPr>
          <w:rFonts w:hint="eastAsia"/>
        </w:rPr>
        <w:t>。</w:t>
      </w:r>
      <w:r w:rsidRPr="00CF158C">
        <w:rPr>
          <w:rFonts w:hint="eastAsia"/>
        </w:rPr>
        <w:t>足認上開函文係認，工業使用的添加物，添加於食品，並不當然違反食安法第15條第1項10款。如有事證顯示有違反食安法第15條第1項第3、7、10款之情形，才不排除適用。此函文釋義與食藥署以前函文並無不同，不能作</w:t>
      </w:r>
      <w:r w:rsidRPr="00CF158C">
        <w:rPr>
          <w:rFonts w:hint="eastAsia"/>
        </w:rPr>
        <w:lastRenderedPageBreak/>
        <w:t>為被告不利之證據。</w:t>
      </w:r>
      <w:r w:rsidRPr="00CF158C">
        <w:rPr>
          <w:rFonts w:hAnsi="標楷體" w:hint="eastAsia"/>
        </w:rPr>
        <w:t>」</w:t>
      </w:r>
    </w:p>
    <w:p w:rsidR="00B728AE" w:rsidRDefault="00B728AE" w:rsidP="00B728AE">
      <w:pPr>
        <w:pStyle w:val="3"/>
        <w:ind w:left="1418" w:hanging="709"/>
      </w:pPr>
      <w:r w:rsidRPr="0014121D">
        <w:rPr>
          <w:rFonts w:hint="eastAsia"/>
        </w:rPr>
        <w:t>最高法院</w:t>
      </w:r>
      <w:r>
        <w:rPr>
          <w:rFonts w:hint="eastAsia"/>
        </w:rPr>
        <w:t>並依據刑事妥速審判法第9條第1項規定，於107年8月9日以</w:t>
      </w:r>
      <w:r w:rsidRPr="0014121D">
        <w:rPr>
          <w:rFonts w:hint="eastAsia"/>
        </w:rPr>
        <w:t>107年度台上字第1585號</w:t>
      </w:r>
      <w:r w:rsidRPr="004C2558">
        <w:t>判決</w:t>
      </w:r>
      <w:r w:rsidRPr="004C2558">
        <w:rPr>
          <w:rFonts w:hint="eastAsia"/>
        </w:rPr>
        <w:t>駁回上訴，</w:t>
      </w:r>
      <w:r>
        <w:rPr>
          <w:rFonts w:hint="eastAsia"/>
        </w:rPr>
        <w:t>並謂</w:t>
      </w:r>
      <w:r w:rsidRPr="0014121D">
        <w:rPr>
          <w:rFonts w:hint="eastAsia"/>
        </w:rPr>
        <w:t>一、二審不當</w:t>
      </w:r>
      <w:r>
        <w:rPr>
          <w:rFonts w:hint="eastAsia"/>
        </w:rPr>
        <w:t>，略以</w:t>
      </w:r>
      <w:r w:rsidRPr="0014121D">
        <w:rPr>
          <w:rFonts w:hint="eastAsia"/>
        </w:rPr>
        <w:t>：</w:t>
      </w:r>
    </w:p>
    <w:p w:rsidR="00B728AE" w:rsidRPr="00E244CD" w:rsidRDefault="00B728AE" w:rsidP="00B728AE">
      <w:pPr>
        <w:pStyle w:val="4"/>
        <w:rPr>
          <w:color w:val="000000" w:themeColor="text1"/>
        </w:rPr>
      </w:pPr>
      <w:r w:rsidRPr="00BD4A5B">
        <w:rPr>
          <w:rFonts w:hint="eastAsia"/>
        </w:rPr>
        <w:t>食藥署106年10月27日FDA食字第1069905175號函</w:t>
      </w:r>
      <w:r>
        <w:rPr>
          <w:rFonts w:hint="eastAsia"/>
        </w:rPr>
        <w:t>，</w:t>
      </w:r>
      <w:r w:rsidRPr="00E244CD">
        <w:rPr>
          <w:rFonts w:hint="eastAsia"/>
          <w:b/>
          <w:color w:val="000000" w:themeColor="text1"/>
        </w:rPr>
        <w:t>是可供人食用者，始為食安法所稱之食品、食品添加物，不可供人食用者，均不可做為食品、原料或添加於食品內，乃食安法首應確立之原則</w:t>
      </w:r>
      <w:r w:rsidRPr="00E244CD">
        <w:rPr>
          <w:rFonts w:hint="eastAsia"/>
          <w:color w:val="000000" w:themeColor="text1"/>
        </w:rPr>
        <w:t>。</w:t>
      </w:r>
    </w:p>
    <w:p w:rsidR="00B728AE" w:rsidRDefault="00B728AE" w:rsidP="00B728AE">
      <w:pPr>
        <w:pStyle w:val="4"/>
      </w:pPr>
      <w:r w:rsidRPr="00BD4A5B">
        <w:rPr>
          <w:rFonts w:hint="eastAsia"/>
        </w:rPr>
        <w:t>參照102年5月間之立法院審查食安法草案會議紀錄</w:t>
      </w:r>
      <w:r>
        <w:rPr>
          <w:rFonts w:hint="eastAsia"/>
        </w:rPr>
        <w:t>、</w:t>
      </w:r>
      <w:r w:rsidRPr="00BD4A5B">
        <w:rPr>
          <w:rFonts w:hint="eastAsia"/>
        </w:rPr>
        <w:t>103年2月5日提高第49條第1項刑度之立法理由，是須可供人食用之食品添加物始有依「食品添加物使用範圍及限量暨規格標準」判定使用範圍及限量、規格是否符合該規定之標準。</w:t>
      </w:r>
    </w:p>
    <w:p w:rsidR="00B728AE" w:rsidRDefault="00B728AE" w:rsidP="00B728AE">
      <w:pPr>
        <w:pStyle w:val="4"/>
      </w:pPr>
      <w:r w:rsidRPr="0014121D">
        <w:rPr>
          <w:rFonts w:hint="eastAsia"/>
        </w:rPr>
        <w:t>本件胡椒粉內所添加之碳酸鎂，其品名固屬「食品添加物使用範圍及限量暨規格標準」正面表列之食品添加物，惟生產者</w:t>
      </w:r>
      <w:r w:rsidR="00B55BEE">
        <w:rPr>
          <w:rFonts w:hint="eastAsia"/>
        </w:rPr>
        <w:t>允○公司</w:t>
      </w:r>
      <w:r w:rsidRPr="0014121D">
        <w:rPr>
          <w:rFonts w:hint="eastAsia"/>
        </w:rPr>
        <w:t>已函覆：該公司產品碳酸鎂，於紙袋外包裝明確標示中英文「禁止用於食品」，直接說明為工業製品，並有碳酸鎂包裝紙袋外觀及印刷內容在卷可稽，而檢警自</w:t>
      </w:r>
      <w:r w:rsidR="009C2833">
        <w:rPr>
          <w:rFonts w:hint="eastAsia"/>
        </w:rPr>
        <w:t>○○行</w:t>
      </w:r>
      <w:r w:rsidRPr="0014121D">
        <w:rPr>
          <w:rFonts w:hint="eastAsia"/>
        </w:rPr>
        <w:t>、</w:t>
      </w:r>
      <w:r w:rsidR="009C2833">
        <w:rPr>
          <w:rFonts w:hint="eastAsia"/>
        </w:rPr>
        <w:t>進○公司</w:t>
      </w:r>
      <w:r w:rsidRPr="0014121D">
        <w:rPr>
          <w:rFonts w:hint="eastAsia"/>
        </w:rPr>
        <w:t>處扣得之碳酸鎂送驗結果認為：其有害人體健康之砷含量逾上開規格標準，並含該品名規格標準內所無之鐵</w:t>
      </w:r>
      <w:r>
        <w:rPr>
          <w:rStyle w:val="afe"/>
        </w:rPr>
        <w:footnoteReference w:id="7"/>
      </w:r>
      <w:r w:rsidRPr="0014121D">
        <w:rPr>
          <w:rFonts w:hint="eastAsia"/>
        </w:rPr>
        <w:t>。雖被告等行為後之103年12月10日修正之食安法第49條第1項始增列食品或食品添加物有第15條第3款（有毒或含有害人體健康之物質或異物）處罰之類型及於第2項前段增訂具體危險犯之處罰類型，惟上</w:t>
      </w:r>
      <w:r w:rsidRPr="0014121D">
        <w:rPr>
          <w:rFonts w:hint="eastAsia"/>
        </w:rPr>
        <w:lastRenderedPageBreak/>
        <w:t>開檢驗結果已顯示本案添加於胡椒粉內之碳酸鎂非可供用於食品，縱其品名經正面表列於上開規格標準，能否謂非屬食安法第15條第1項第10款所指之非法添加物？原審徒以本案情形若非適用行政罰，食安法第44</w:t>
      </w:r>
      <w:r w:rsidR="00BB7D41">
        <w:rPr>
          <w:rFonts w:hint="eastAsia"/>
        </w:rPr>
        <w:t>條</w:t>
      </w:r>
      <w:r w:rsidRPr="0014121D">
        <w:rPr>
          <w:rFonts w:hint="eastAsia"/>
        </w:rPr>
        <w:t>、</w:t>
      </w:r>
      <w:r w:rsidR="00BB7D41">
        <w:rPr>
          <w:rFonts w:hint="eastAsia"/>
        </w:rPr>
        <w:t>第</w:t>
      </w:r>
      <w:r w:rsidRPr="0014121D">
        <w:rPr>
          <w:rFonts w:hint="eastAsia"/>
        </w:rPr>
        <w:t>48條，有關違反第8條、第18條之行政罰則無適用餘地云云，</w:t>
      </w:r>
      <w:r w:rsidRPr="00B975DE">
        <w:rPr>
          <w:rFonts w:hint="eastAsia"/>
        </w:rPr>
        <w:t>惟本案之碳酸鎂既為工業用，非可用於食品，已無列入「食品添加物使用範圍及限量暨規格標準」之資格，至有無食安法第44條、</w:t>
      </w:r>
      <w:r w:rsidR="00BB7D41">
        <w:rPr>
          <w:rFonts w:hint="eastAsia"/>
        </w:rPr>
        <w:t>第</w:t>
      </w:r>
      <w:r w:rsidRPr="00B975DE">
        <w:rPr>
          <w:rFonts w:hint="eastAsia"/>
        </w:rPr>
        <w:t>48條行政罰之適用</w:t>
      </w:r>
      <w:r w:rsidRPr="00E244CD">
        <w:rPr>
          <w:rFonts w:hint="eastAsia"/>
          <w:color w:val="000000" w:themeColor="text1"/>
        </w:rPr>
        <w:t>，</w:t>
      </w:r>
      <w:r w:rsidRPr="00E244CD">
        <w:rPr>
          <w:rFonts w:hint="eastAsia"/>
          <w:b/>
          <w:color w:val="000000" w:themeColor="text1"/>
        </w:rPr>
        <w:t>與本案成罪與否無關</w:t>
      </w:r>
      <w:r w:rsidRPr="00E244CD">
        <w:rPr>
          <w:rFonts w:hint="eastAsia"/>
          <w:color w:val="000000" w:themeColor="text1"/>
        </w:rPr>
        <w:t>。原</w:t>
      </w:r>
      <w:r w:rsidRPr="00B975DE">
        <w:rPr>
          <w:rFonts w:hint="eastAsia"/>
        </w:rPr>
        <w:t>判決未予論明釐清，遽認本案之碳酸鎂非屬食安法第15條第1項第10款之非法添加物，而為被告等無罪之諭知，揆諸前開意旨，非無可議</w:t>
      </w:r>
      <w:r w:rsidRPr="0014121D">
        <w:rPr>
          <w:rFonts w:hint="eastAsia"/>
        </w:rPr>
        <w:t>，惟依速審法第9條之規定，只能判決駁回。</w:t>
      </w:r>
    </w:p>
    <w:p w:rsidR="00B728AE" w:rsidRDefault="00B728AE" w:rsidP="00B728AE">
      <w:pPr>
        <w:pStyle w:val="3"/>
        <w:ind w:left="1418" w:hanging="709"/>
      </w:pPr>
      <w:r>
        <w:rPr>
          <w:rFonts w:hint="eastAsia"/>
        </w:rPr>
        <w:t>本案被告</w:t>
      </w:r>
      <w:r w:rsidRPr="00F919D7">
        <w:rPr>
          <w:rFonts w:hint="eastAsia"/>
        </w:rPr>
        <w:t>臺中市</w:t>
      </w:r>
      <w:r w:rsidR="00F16A78">
        <w:rPr>
          <w:rFonts w:hint="eastAsia"/>
        </w:rPr>
        <w:t>誼○公司</w:t>
      </w:r>
      <w:r w:rsidRPr="00F919D7">
        <w:rPr>
          <w:rFonts w:hint="eastAsia"/>
        </w:rPr>
        <w:t>林姓負責人、</w:t>
      </w:r>
      <w:r w:rsidR="009C2833">
        <w:rPr>
          <w:rFonts w:hint="eastAsia"/>
        </w:rPr>
        <w:t>○○行</w:t>
      </w:r>
      <w:r w:rsidR="00C678BE">
        <w:rPr>
          <w:rFonts w:hint="eastAsia"/>
        </w:rPr>
        <w:t>與</w:t>
      </w:r>
      <w:r w:rsidR="009C2833">
        <w:rPr>
          <w:rFonts w:hint="eastAsia"/>
        </w:rPr>
        <w:t>進○公司</w:t>
      </w:r>
      <w:r w:rsidR="00C678BE">
        <w:rPr>
          <w:rFonts w:hint="eastAsia"/>
        </w:rPr>
        <w:t>謝姓</w:t>
      </w:r>
      <w:r w:rsidRPr="00F919D7">
        <w:rPr>
          <w:rFonts w:hint="eastAsia"/>
        </w:rPr>
        <w:t>負責人等3人</w:t>
      </w:r>
      <w:r w:rsidRPr="00F24281">
        <w:rPr>
          <w:rFonts w:hint="eastAsia"/>
        </w:rPr>
        <w:t>因違反食安法，</w:t>
      </w:r>
      <w:r>
        <w:rPr>
          <w:rFonts w:hint="eastAsia"/>
        </w:rPr>
        <w:t>在</w:t>
      </w:r>
      <w:r w:rsidRPr="00F24281">
        <w:rPr>
          <w:rFonts w:hint="eastAsia"/>
        </w:rPr>
        <w:t>經彰化地院判決無罪</w:t>
      </w:r>
      <w:r>
        <w:rPr>
          <w:rFonts w:hint="eastAsia"/>
        </w:rPr>
        <w:t>、</w:t>
      </w:r>
      <w:r w:rsidR="00E35E6B">
        <w:rPr>
          <w:rFonts w:hint="eastAsia"/>
        </w:rPr>
        <w:t>臺</w:t>
      </w:r>
      <w:r w:rsidRPr="00F24281">
        <w:rPr>
          <w:rFonts w:hint="eastAsia"/>
        </w:rPr>
        <w:t>中</w:t>
      </w:r>
      <w:r w:rsidR="00E35E6B">
        <w:rPr>
          <w:rFonts w:hint="eastAsia"/>
        </w:rPr>
        <w:t>高</w:t>
      </w:r>
      <w:r w:rsidRPr="00F24281">
        <w:rPr>
          <w:rFonts w:hint="eastAsia"/>
        </w:rPr>
        <w:t>分院駁回</w:t>
      </w:r>
      <w:r>
        <w:rPr>
          <w:rFonts w:hint="eastAsia"/>
        </w:rPr>
        <w:t>上訴及最高法院</w:t>
      </w:r>
      <w:r w:rsidRPr="00F24281">
        <w:rPr>
          <w:rFonts w:hint="eastAsia"/>
        </w:rPr>
        <w:t>判決上訴駁回確定。</w:t>
      </w:r>
      <w:r>
        <w:rPr>
          <w:rFonts w:hint="eastAsia"/>
        </w:rPr>
        <w:t>最高檢察署</w:t>
      </w:r>
      <w:r w:rsidRPr="00F24281">
        <w:rPr>
          <w:rFonts w:hint="eastAsia"/>
        </w:rPr>
        <w:t>檢察總長</w:t>
      </w:r>
      <w:r>
        <w:rPr>
          <w:rFonts w:hint="eastAsia"/>
        </w:rPr>
        <w:t>以</w:t>
      </w:r>
      <w:r w:rsidRPr="00F24281">
        <w:rPr>
          <w:rFonts w:hint="eastAsia"/>
        </w:rPr>
        <w:t>判決違背法令，</w:t>
      </w:r>
      <w:r>
        <w:rPr>
          <w:rFonts w:hint="eastAsia"/>
        </w:rPr>
        <w:t>於107年10月24日</w:t>
      </w:r>
      <w:r w:rsidRPr="00F24281">
        <w:rPr>
          <w:rFonts w:hint="eastAsia"/>
        </w:rPr>
        <w:t>提起非常上訴</w:t>
      </w:r>
      <w:r>
        <w:rPr>
          <w:rFonts w:hint="eastAsia"/>
        </w:rPr>
        <w:t>。</w:t>
      </w:r>
    </w:p>
    <w:p w:rsidR="00B728AE" w:rsidRDefault="00B728AE" w:rsidP="00B728AE">
      <w:pPr>
        <w:pStyle w:val="3"/>
        <w:ind w:left="1418" w:hanging="709"/>
      </w:pPr>
      <w:r w:rsidRPr="00A77CA2">
        <w:rPr>
          <w:rFonts w:hint="eastAsia"/>
        </w:rPr>
        <w:t>最高法院</w:t>
      </w:r>
      <w:r>
        <w:rPr>
          <w:rFonts w:hint="eastAsia"/>
        </w:rPr>
        <w:t>107年12月5日</w:t>
      </w:r>
      <w:r w:rsidRPr="00A77CA2">
        <w:rPr>
          <w:rFonts w:hint="eastAsia"/>
        </w:rPr>
        <w:t>107年度台非字第246號判決</w:t>
      </w:r>
      <w:r>
        <w:rPr>
          <w:rFonts w:hint="eastAsia"/>
        </w:rPr>
        <w:t>以：原判決及第一審判決關於違背法令部分撤銷。其理由</w:t>
      </w:r>
      <w:r w:rsidRPr="00A77CA2">
        <w:rPr>
          <w:rFonts w:hint="eastAsia"/>
        </w:rPr>
        <w:t>：</w:t>
      </w:r>
    </w:p>
    <w:p w:rsidR="00B728AE" w:rsidRDefault="00B728AE" w:rsidP="00B728AE">
      <w:pPr>
        <w:pStyle w:val="4"/>
      </w:pPr>
      <w:r>
        <w:rPr>
          <w:rFonts w:hint="eastAsia"/>
        </w:rPr>
        <w:t>食安法</w:t>
      </w:r>
      <w:r w:rsidRPr="00A77CA2">
        <w:rPr>
          <w:rFonts w:hint="eastAsia"/>
        </w:rPr>
        <w:t>第15條第1項第10款立法過程相關修正動議及審查會議紀錄摘要，既明示該款規範範圍包含禁止工業用原料摻入食品或其添加物之旨（見立法院公報第102卷第45 期委員會紀錄第149、155、159 頁），</w:t>
      </w:r>
      <w:r w:rsidRPr="00947CEE">
        <w:rPr>
          <w:rFonts w:hint="eastAsia"/>
        </w:rPr>
        <w:t>則不論依文義、體系或立法解釋，應認所謂食品或其添加物中「經主管機關許可之添加物」，須符合「供食用」之前提，始足當之</w:t>
      </w:r>
      <w:r w:rsidRPr="00A77CA2">
        <w:rPr>
          <w:rFonts w:hint="eastAsia"/>
        </w:rPr>
        <w:t>。亦即限於經主管機關許可且供食用者，始得添加</w:t>
      </w:r>
      <w:r w:rsidRPr="00A77CA2">
        <w:rPr>
          <w:rFonts w:hint="eastAsia"/>
        </w:rPr>
        <w:lastRenderedPageBreak/>
        <w:t>於食品或食品添加物中。從而，縱為中央主管機關正面表列許可之添加物品項，</w:t>
      </w:r>
      <w:r w:rsidRPr="00947CEE">
        <w:rPr>
          <w:rFonts w:hint="eastAsia"/>
        </w:rPr>
        <w:t>若係供「工業用」者，仍無許之摻入食品或食品添加物之餘地</w:t>
      </w:r>
      <w:r w:rsidRPr="00A77CA2">
        <w:rPr>
          <w:rFonts w:hint="eastAsia"/>
        </w:rPr>
        <w:t>，方符增訂該款禁止於食品或食品添加物中摻入工業用等非供食用添加物之立法目的。</w:t>
      </w:r>
    </w:p>
    <w:p w:rsidR="00B728AE" w:rsidRDefault="00B728AE" w:rsidP="00B728AE">
      <w:pPr>
        <w:pStyle w:val="4"/>
      </w:pPr>
      <w:r w:rsidRPr="00A77CA2">
        <w:rPr>
          <w:rFonts w:hint="eastAsia"/>
        </w:rPr>
        <w:t>本件胡椒粉內添加之碳酸鎂，固屬「食品添加物使用範圍及限量暨規格標準」正面表列之食品添加物品項，惟其生產者</w:t>
      </w:r>
      <w:r w:rsidR="00B55BEE">
        <w:rPr>
          <w:rFonts w:hint="eastAsia"/>
        </w:rPr>
        <w:t>允○公司</w:t>
      </w:r>
      <w:r w:rsidRPr="00A77CA2">
        <w:rPr>
          <w:rFonts w:hint="eastAsia"/>
        </w:rPr>
        <w:t>之（鹽基性）碳酸鎂產品，係非供食用之工業用產品，且於紙袋外包裝明確標示中文「禁止用於食品」、英文「For Industrial Use Only」即「僅供工業使用」，</w:t>
      </w:r>
      <w:r w:rsidRPr="00947CEE">
        <w:rPr>
          <w:rFonts w:hint="eastAsia"/>
        </w:rPr>
        <w:t>而直接向客戶表明為工業製品，不得供食用（扣案部分碳酸鎂之「砷」含量逾「食品添加物使用範圍及限量暨規格標準」之規格標準，另含其規格表所無之成分「鐵」），</w:t>
      </w:r>
      <w:r w:rsidRPr="00A77CA2">
        <w:rPr>
          <w:rFonts w:hint="eastAsia"/>
        </w:rPr>
        <w:t>顯屬</w:t>
      </w:r>
      <w:r w:rsidR="00355089">
        <w:rPr>
          <w:rFonts w:hint="eastAsia"/>
        </w:rPr>
        <w:t>食安</w:t>
      </w:r>
      <w:r w:rsidRPr="00A77CA2">
        <w:rPr>
          <w:rFonts w:hint="eastAsia"/>
        </w:rPr>
        <w:t>法第15條第1項第10款非供食用之非法添加物。各行為人明知而將之添加於胡椒粉食品，自有</w:t>
      </w:r>
      <w:r w:rsidR="00355089">
        <w:rPr>
          <w:rFonts w:hint="eastAsia"/>
        </w:rPr>
        <w:t>食安</w:t>
      </w:r>
      <w:r w:rsidRPr="00A77CA2">
        <w:rPr>
          <w:rFonts w:hint="eastAsia"/>
        </w:rPr>
        <w:t>法第49條第1項之適用。</w:t>
      </w:r>
    </w:p>
    <w:p w:rsidR="00B728AE" w:rsidRDefault="00B728AE" w:rsidP="00B728AE">
      <w:pPr>
        <w:pStyle w:val="4"/>
      </w:pPr>
      <w:r w:rsidRPr="00A77CA2">
        <w:rPr>
          <w:rFonts w:hint="eastAsia"/>
        </w:rPr>
        <w:t>本件第一審判決未予論列釐清，誤以碳酸鎂既為「食品添加物使用範圍及限量暨規格標準」正面表列之食品添加物品項，不論係供工業用或供食品用，或有否混入雜質，均不影響其碳酸鎂品項之同一性，縱所添加碳酸鎂之規格不符，僅能處行政罰，遽認本案食品添加之工業用碳酸鎂並非</w:t>
      </w:r>
      <w:r w:rsidR="00205597">
        <w:rPr>
          <w:rFonts w:hint="eastAsia"/>
        </w:rPr>
        <w:t>食安</w:t>
      </w:r>
      <w:r w:rsidRPr="00A77CA2">
        <w:rPr>
          <w:rFonts w:hint="eastAsia"/>
        </w:rPr>
        <w:t>法第15條第1項第10款之非法添加物，而為被告等無罪之諭知。依上說明，自有判決適用法則不當之違背法令。案經檢察官提起上訴，乃原審不予糾正，仍認第一審判決並無不當，而維持第一審判決，駁回檢察官在第二審之上訴，同屬違法。</w:t>
      </w:r>
    </w:p>
    <w:p w:rsidR="00B728AE" w:rsidRPr="00E244CD" w:rsidRDefault="009D320A" w:rsidP="00B728AE">
      <w:pPr>
        <w:pStyle w:val="3"/>
        <w:ind w:left="1418" w:hanging="709"/>
        <w:rPr>
          <w:color w:val="000000" w:themeColor="text1"/>
        </w:rPr>
      </w:pPr>
      <w:r>
        <w:rPr>
          <w:rFonts w:hint="eastAsia"/>
        </w:rPr>
        <w:lastRenderedPageBreak/>
        <w:t>綜上所述，</w:t>
      </w:r>
      <w:r w:rsidRPr="00E244CD">
        <w:rPr>
          <w:rFonts w:hint="eastAsia"/>
          <w:color w:val="000000" w:themeColor="text1"/>
        </w:rPr>
        <w:t>興貿易有限公司購入「工業用」碳酸鎂，賣給彰化縣</w:t>
      </w:r>
      <w:r w:rsidR="009C2833">
        <w:rPr>
          <w:rFonts w:hint="eastAsia"/>
          <w:color w:val="000000" w:themeColor="text1"/>
        </w:rPr>
        <w:t>進○製粉廠有限公司</w:t>
      </w:r>
      <w:r w:rsidRPr="00E244CD">
        <w:rPr>
          <w:rFonts w:hint="eastAsia"/>
          <w:color w:val="000000" w:themeColor="text1"/>
        </w:rPr>
        <w:t>添加在胡椒粉中，經一、二審以本案食品添加之工業用碳酸鎂並非食品安全衛生管理法第15條第1項第10款之非法添加物，而判決臺中市</w:t>
      </w:r>
      <w:r w:rsidR="00F16A78">
        <w:rPr>
          <w:rFonts w:hint="eastAsia"/>
          <w:color w:val="000000" w:themeColor="text1"/>
        </w:rPr>
        <w:t>誼○公司</w:t>
      </w:r>
      <w:r w:rsidRPr="00E244CD">
        <w:rPr>
          <w:rFonts w:hint="eastAsia"/>
          <w:color w:val="000000" w:themeColor="text1"/>
        </w:rPr>
        <w:t>林姓負責人、</w:t>
      </w:r>
      <w:r w:rsidR="0047466A">
        <w:rPr>
          <w:rFonts w:hint="eastAsia"/>
          <w:color w:val="000000" w:themeColor="text1"/>
        </w:rPr>
        <w:t>進○製粉廠</w:t>
      </w:r>
      <w:r w:rsidRPr="00E244CD">
        <w:rPr>
          <w:rFonts w:hint="eastAsia"/>
          <w:color w:val="000000" w:themeColor="text1"/>
        </w:rPr>
        <w:t>負責人謝姓堂兄弟等3人無罪，顯屬不當。案經最高檢察署檢察總長於107年10月24日提起非常上訴，嗣經最高法院107年12月5日針對一、二審誤以碳酸鎂既為「食品添加物使用範圍及限量暨規格標準」正面表列之食品添加物品項，不論係供工業用或供食品用，</w:t>
      </w:r>
      <w:r w:rsidRPr="00E244CD">
        <w:rPr>
          <w:rFonts w:hint="eastAsia"/>
          <w:color w:val="000000" w:themeColor="text1"/>
          <w:szCs w:val="48"/>
        </w:rPr>
        <w:t>或有否混入雜質，均不影響其碳酸鎂品項之同一性，縱所添加碳酸鎂之規格不符，僅能處行政罰，遽認本案食品添加之工業用碳酸鎂並非</w:t>
      </w:r>
      <w:r w:rsidRPr="00E244CD">
        <w:rPr>
          <w:rFonts w:hint="eastAsia"/>
          <w:color w:val="000000" w:themeColor="text1"/>
        </w:rPr>
        <w:t>食品安全衛生管理法</w:t>
      </w:r>
      <w:r w:rsidRPr="00E244CD">
        <w:rPr>
          <w:rFonts w:hint="eastAsia"/>
          <w:color w:val="000000" w:themeColor="text1"/>
          <w:szCs w:val="48"/>
        </w:rPr>
        <w:t>第15條第1項第10款之非法添加物，而為被告等無罪之諭知</w:t>
      </w:r>
      <w:r w:rsidRPr="00E244CD">
        <w:rPr>
          <w:rFonts w:hint="eastAsia"/>
          <w:color w:val="000000" w:themeColor="text1"/>
        </w:rPr>
        <w:t>，自有判決適用法則不當之違背法令。是以，主管機關錯誤解讀，一、二審法官亦未細究，致判決雖然有誤，被告仍然因</w:t>
      </w:r>
      <w:r w:rsidRPr="00E244CD">
        <w:rPr>
          <w:rFonts w:hAnsi="標楷體" w:hint="eastAsia"/>
          <w:color w:val="000000" w:themeColor="text1"/>
        </w:rPr>
        <w:t>「無罪」，免於刑罰，已失司法之正義並損害人民對於食安之信任及</w:t>
      </w:r>
      <w:r w:rsidRPr="00E244CD">
        <w:rPr>
          <w:rFonts w:hAnsi="標楷體"/>
          <w:color w:val="000000" w:themeColor="text1"/>
        </w:rPr>
        <w:t>斲</w:t>
      </w:r>
      <w:r w:rsidRPr="00E244CD">
        <w:rPr>
          <w:rFonts w:hAnsi="標楷體" w:hint="eastAsia"/>
          <w:color w:val="000000" w:themeColor="text1"/>
        </w:rPr>
        <w:t>喪司法公信。</w:t>
      </w:r>
    </w:p>
    <w:p w:rsidR="003A5927" w:rsidRDefault="003A5927" w:rsidP="003A5927">
      <w:pPr>
        <w:pStyle w:val="32"/>
        <w:ind w:leftChars="0" w:left="0" w:firstLineChars="0" w:firstLine="0"/>
      </w:pPr>
    </w:p>
    <w:p w:rsidR="00E25849" w:rsidRDefault="00E25849" w:rsidP="00F61A6C">
      <w:pPr>
        <w:pStyle w:val="1"/>
        <w:ind w:left="2380" w:hanging="2380"/>
      </w:pPr>
      <w:bookmarkStart w:id="1" w:name="_Toc524895648"/>
      <w:bookmarkStart w:id="2" w:name="_Toc524896194"/>
      <w:bookmarkStart w:id="3" w:name="_Toc524896224"/>
      <w:bookmarkStart w:id="4" w:name="_Toc524902734"/>
      <w:bookmarkStart w:id="5" w:name="_Toc525066148"/>
      <w:bookmarkStart w:id="6" w:name="_Toc525070839"/>
      <w:bookmarkStart w:id="7" w:name="_Toc525938379"/>
      <w:bookmarkStart w:id="8" w:name="_Toc525939227"/>
      <w:bookmarkStart w:id="9" w:name="_Toc525939732"/>
      <w:bookmarkStart w:id="10" w:name="_Toc529218272"/>
      <w:bookmarkEnd w:id="0"/>
      <w:r>
        <w:br w:type="page"/>
      </w:r>
      <w:bookmarkStart w:id="11" w:name="_Toc529222689"/>
      <w:bookmarkStart w:id="12" w:name="_Toc529223111"/>
      <w:bookmarkStart w:id="13" w:name="_Toc529223862"/>
      <w:bookmarkStart w:id="14" w:name="_Toc529228265"/>
      <w:bookmarkStart w:id="15" w:name="_Toc2400395"/>
      <w:bookmarkStart w:id="16" w:name="_Toc4316189"/>
      <w:bookmarkStart w:id="17" w:name="_Toc4473330"/>
      <w:bookmarkStart w:id="18" w:name="_Toc69556897"/>
      <w:bookmarkStart w:id="19" w:name="_Toc69556946"/>
      <w:bookmarkStart w:id="20" w:name="_Toc69609820"/>
      <w:bookmarkStart w:id="21" w:name="_Toc70241816"/>
      <w:bookmarkStart w:id="22" w:name="_Toc70242205"/>
      <w:bookmarkStart w:id="23" w:name="_Toc421794875"/>
      <w:bookmarkStart w:id="24" w:name="_Toc422834160"/>
      <w:r>
        <w:rPr>
          <w:rFonts w:hint="eastAsia"/>
        </w:rPr>
        <w:lastRenderedPageBreak/>
        <w:t>處理辦法：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140F5">
        <w:t xml:space="preserve"> </w:t>
      </w:r>
    </w:p>
    <w:p w:rsidR="00FB7770" w:rsidRDefault="00FB7770" w:rsidP="009C2833">
      <w:pPr>
        <w:pStyle w:val="2"/>
        <w:spacing w:beforeLines="25" w:before="114"/>
        <w:ind w:left="1020" w:hanging="680"/>
      </w:pPr>
      <w:bookmarkStart w:id="25" w:name="_Toc524895649"/>
      <w:bookmarkStart w:id="26" w:name="_Toc524896195"/>
      <w:bookmarkStart w:id="27" w:name="_Toc524896225"/>
      <w:bookmarkStart w:id="28" w:name="_Toc70241820"/>
      <w:bookmarkStart w:id="29" w:name="_Toc70242209"/>
      <w:bookmarkStart w:id="30" w:name="_Toc421794876"/>
      <w:bookmarkStart w:id="31" w:name="_Toc421795442"/>
      <w:bookmarkStart w:id="32" w:name="_Toc421796023"/>
      <w:bookmarkStart w:id="33" w:name="_Toc422728958"/>
      <w:bookmarkStart w:id="34" w:name="_Toc422834161"/>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End w:id="25"/>
      <w:bookmarkEnd w:id="26"/>
      <w:bookmarkEnd w:id="27"/>
      <w:r w:rsidRPr="00FA6339">
        <w:rPr>
          <w:rFonts w:hint="eastAsia"/>
          <w:color w:val="000000" w:themeColor="text1"/>
        </w:rPr>
        <w:t>調查意見</w:t>
      </w:r>
      <w:r w:rsidR="002140F5" w:rsidRPr="00FA6339">
        <w:rPr>
          <w:rFonts w:hint="eastAsia"/>
          <w:color w:val="000000" w:themeColor="text1"/>
        </w:rPr>
        <w:t>一</w:t>
      </w:r>
      <w:r w:rsidRPr="00FA6339">
        <w:rPr>
          <w:rFonts w:hint="eastAsia"/>
          <w:color w:val="000000" w:themeColor="text1"/>
        </w:rPr>
        <w:t>，</w:t>
      </w:r>
      <w:r w:rsidR="002260A5" w:rsidRPr="00FA6339">
        <w:rPr>
          <w:rFonts w:hint="eastAsia"/>
          <w:color w:val="000000" w:themeColor="text1"/>
        </w:rPr>
        <w:t>糾正</w:t>
      </w:r>
      <w:r w:rsidR="002140F5" w:rsidRPr="00FA6339">
        <w:rPr>
          <w:rFonts w:hint="eastAsia"/>
          <w:color w:val="000000" w:themeColor="text1"/>
        </w:rPr>
        <w:t>衛</w:t>
      </w:r>
      <w:r w:rsidR="002260A5" w:rsidRPr="00FA6339">
        <w:rPr>
          <w:rFonts w:hint="eastAsia"/>
          <w:color w:val="000000" w:themeColor="text1"/>
        </w:rPr>
        <w:t>生</w:t>
      </w:r>
      <w:r w:rsidR="002140F5" w:rsidRPr="00FA6339">
        <w:rPr>
          <w:rFonts w:hint="eastAsia"/>
          <w:color w:val="000000" w:themeColor="text1"/>
        </w:rPr>
        <w:t>福</w:t>
      </w:r>
      <w:r w:rsidR="002260A5" w:rsidRPr="00FA6339">
        <w:rPr>
          <w:rFonts w:hint="eastAsia"/>
          <w:color w:val="000000" w:themeColor="text1"/>
        </w:rPr>
        <w:t>利</w:t>
      </w:r>
      <w:r w:rsidR="002140F5" w:rsidRPr="00FA6339">
        <w:rPr>
          <w:rFonts w:hint="eastAsia"/>
          <w:color w:val="000000" w:themeColor="text1"/>
        </w:rPr>
        <w:t>部食</w:t>
      </w:r>
      <w:r w:rsidR="002260A5" w:rsidRPr="00FA6339">
        <w:rPr>
          <w:rFonts w:hint="eastAsia"/>
          <w:color w:val="000000" w:themeColor="text1"/>
        </w:rPr>
        <w:t>品藥物管理署</w:t>
      </w:r>
      <w:r w:rsidR="00C813D9" w:rsidRPr="00FA6339">
        <w:rPr>
          <w:rFonts w:hint="eastAsia"/>
          <w:color w:val="000000" w:themeColor="text1"/>
        </w:rPr>
        <w:t>並請檢</w:t>
      </w:r>
      <w:r w:rsidR="00FA6339" w:rsidRPr="00E244CD">
        <w:rPr>
          <w:rFonts w:hint="eastAsia"/>
          <w:color w:val="000000" w:themeColor="text1"/>
        </w:rPr>
        <w:t>送相關承辦及決策人員</w:t>
      </w:r>
      <w:r w:rsidR="00C813D9" w:rsidRPr="00FA6339">
        <w:rPr>
          <w:rFonts w:hint="eastAsia"/>
          <w:color w:val="000000" w:themeColor="text1"/>
        </w:rPr>
        <w:t>名單見復</w:t>
      </w:r>
      <w:r w:rsidRPr="00FA6339">
        <w:rPr>
          <w:rFonts w:hAnsi="標楷體" w:hint="eastAsia"/>
          <w:color w:val="000000" w:themeColor="text1"/>
        </w:rPr>
        <w:t>。</w:t>
      </w:r>
      <w:bookmarkEnd w:id="28"/>
      <w:bookmarkEnd w:id="29"/>
      <w:bookmarkEnd w:id="30"/>
      <w:bookmarkEnd w:id="31"/>
      <w:bookmarkEnd w:id="32"/>
      <w:bookmarkEnd w:id="33"/>
      <w:bookmarkEnd w:id="34"/>
    </w:p>
    <w:p w:rsidR="00132F1F" w:rsidRDefault="00E25849" w:rsidP="00D7619E">
      <w:pPr>
        <w:pStyle w:val="2"/>
      </w:pPr>
      <w:bookmarkStart w:id="54" w:name="_Toc421794877"/>
      <w:bookmarkStart w:id="55" w:name="_Toc421795443"/>
      <w:bookmarkStart w:id="56" w:name="_Toc421796024"/>
      <w:bookmarkStart w:id="57" w:name="_Toc422728959"/>
      <w:bookmarkStart w:id="58" w:name="_Toc422834162"/>
      <w:r>
        <w:rPr>
          <w:rFonts w:hint="eastAsia"/>
        </w:rPr>
        <w:t>調查意見</w:t>
      </w:r>
      <w:r w:rsidR="002140F5">
        <w:rPr>
          <w:rFonts w:hint="eastAsia"/>
        </w:rPr>
        <w:t>二</w:t>
      </w:r>
      <w:r>
        <w:rPr>
          <w:rFonts w:hint="eastAsia"/>
        </w:rPr>
        <w:t>，</w:t>
      </w:r>
      <w:r w:rsidR="00132F1F" w:rsidRPr="00132F1F">
        <w:rPr>
          <w:rFonts w:hint="eastAsia"/>
        </w:rPr>
        <w:t>函請司法院督同所屬</w:t>
      </w:r>
      <w:r w:rsidR="00D7619E">
        <w:rPr>
          <w:rFonts w:hint="eastAsia"/>
        </w:rPr>
        <w:t>檢討</w:t>
      </w:r>
      <w:r w:rsidR="00D81C91">
        <w:rPr>
          <w:rFonts w:hint="eastAsia"/>
        </w:rPr>
        <w:t>並</w:t>
      </w:r>
      <w:r w:rsidR="00132F1F" w:rsidRPr="00132F1F">
        <w:rPr>
          <w:rFonts w:hint="eastAsia"/>
        </w:rPr>
        <w:t>研議見復。</w:t>
      </w:r>
    </w:p>
    <w:p w:rsidR="00E25849" w:rsidRDefault="00132F1F" w:rsidP="00F61A6C">
      <w:pPr>
        <w:pStyle w:val="2"/>
      </w:pPr>
      <w:bookmarkStart w:id="59" w:name="_Toc70241819"/>
      <w:bookmarkStart w:id="60" w:name="_Toc70242208"/>
      <w:bookmarkStart w:id="61" w:name="_Toc421794878"/>
      <w:bookmarkStart w:id="62" w:name="_Toc421795444"/>
      <w:bookmarkStart w:id="63" w:name="_Toc421796025"/>
      <w:bookmarkStart w:id="64" w:name="_Toc422728960"/>
      <w:bookmarkStart w:id="65" w:name="_Toc422834163"/>
      <w:r w:rsidRPr="00132F1F">
        <w:rPr>
          <w:rFonts w:hint="eastAsia"/>
        </w:rPr>
        <w:t>調查意見三，</w:t>
      </w:r>
      <w:bookmarkEnd w:id="59"/>
      <w:bookmarkEnd w:id="60"/>
      <w:bookmarkEnd w:id="61"/>
      <w:bookmarkEnd w:id="62"/>
      <w:bookmarkEnd w:id="63"/>
      <w:bookmarkEnd w:id="64"/>
      <w:bookmarkEnd w:id="65"/>
      <w:r w:rsidR="00E25849">
        <w:rPr>
          <w:rFonts w:hint="eastAsia"/>
        </w:rPr>
        <w:t>函請</w:t>
      </w:r>
      <w:r w:rsidR="002140F5">
        <w:rPr>
          <w:rFonts w:hint="eastAsia"/>
        </w:rPr>
        <w:t>司法院及</w:t>
      </w:r>
      <w:r w:rsidR="005C27B9">
        <w:rPr>
          <w:rFonts w:hint="eastAsia"/>
        </w:rPr>
        <w:t>其所屬、</w:t>
      </w:r>
      <w:r w:rsidR="00553804" w:rsidRPr="00553804">
        <w:rPr>
          <w:rFonts w:hint="eastAsia"/>
        </w:rPr>
        <w:t>衛生福利部食品藥物管理署</w:t>
      </w:r>
      <w:r w:rsidR="002140F5">
        <w:rPr>
          <w:rFonts w:hint="eastAsia"/>
        </w:rPr>
        <w:t>參考</w:t>
      </w:r>
      <w:r w:rsidR="00E25849">
        <w:rPr>
          <w:rFonts w:hint="eastAsia"/>
        </w:rPr>
        <w:t>。</w:t>
      </w:r>
      <w:bookmarkEnd w:id="35"/>
      <w:bookmarkEnd w:id="36"/>
      <w:bookmarkEnd w:id="37"/>
      <w:bookmarkEnd w:id="38"/>
      <w:bookmarkEnd w:id="39"/>
      <w:bookmarkEnd w:id="40"/>
      <w:bookmarkEnd w:id="41"/>
      <w:bookmarkEnd w:id="42"/>
      <w:bookmarkEnd w:id="54"/>
      <w:bookmarkEnd w:id="55"/>
      <w:bookmarkEnd w:id="56"/>
      <w:bookmarkEnd w:id="57"/>
      <w:bookmarkEnd w:id="58"/>
    </w:p>
    <w:p w:rsidR="00E25849" w:rsidRDefault="00E25849" w:rsidP="00F61A6C">
      <w:pPr>
        <w:pStyle w:val="2"/>
      </w:pPr>
      <w:bookmarkStart w:id="66" w:name="_Toc2400397"/>
      <w:bookmarkStart w:id="67" w:name="_Toc4316191"/>
      <w:bookmarkStart w:id="68" w:name="_Toc4473332"/>
      <w:bookmarkStart w:id="69" w:name="_Toc69556901"/>
      <w:bookmarkStart w:id="70" w:name="_Toc69556950"/>
      <w:bookmarkStart w:id="71" w:name="_Toc69609824"/>
      <w:bookmarkStart w:id="72" w:name="_Toc70241822"/>
      <w:bookmarkStart w:id="73" w:name="_Toc70242211"/>
      <w:bookmarkStart w:id="74" w:name="_Toc421794881"/>
      <w:bookmarkStart w:id="75" w:name="_Toc421795447"/>
      <w:bookmarkStart w:id="76" w:name="_Toc421796028"/>
      <w:bookmarkStart w:id="77" w:name="_Toc422728963"/>
      <w:bookmarkStart w:id="78" w:name="_Toc422834166"/>
      <w:bookmarkEnd w:id="43"/>
      <w:bookmarkEnd w:id="44"/>
      <w:bookmarkEnd w:id="45"/>
      <w:bookmarkEnd w:id="46"/>
      <w:bookmarkEnd w:id="47"/>
      <w:bookmarkEnd w:id="48"/>
      <w:bookmarkEnd w:id="49"/>
      <w:bookmarkEnd w:id="50"/>
      <w:bookmarkEnd w:id="51"/>
      <w:bookmarkEnd w:id="52"/>
      <w:bookmarkEnd w:id="53"/>
      <w:r>
        <w:rPr>
          <w:rFonts w:hint="eastAsia"/>
          <w:color w:val="000000"/>
        </w:rPr>
        <w:t>檢附派查函及相關附件，送請</w:t>
      </w:r>
      <w:r w:rsidR="00121EF6">
        <w:rPr>
          <w:rFonts w:hint="eastAsia"/>
          <w:color w:val="000000"/>
        </w:rPr>
        <w:t>內政</w:t>
      </w:r>
      <w:r>
        <w:rPr>
          <w:rFonts w:hint="eastAsia"/>
          <w:color w:val="000000"/>
        </w:rPr>
        <w:t>及</w:t>
      </w:r>
      <w:r w:rsidR="00121EF6">
        <w:rPr>
          <w:rFonts w:hint="eastAsia"/>
          <w:color w:val="000000"/>
        </w:rPr>
        <w:t>族</w:t>
      </w:r>
      <w:r w:rsidR="006F1196">
        <w:rPr>
          <w:rFonts w:hint="eastAsia"/>
          <w:color w:val="000000"/>
        </w:rPr>
        <w:t>群</w:t>
      </w:r>
      <w:r>
        <w:rPr>
          <w:rFonts w:hint="eastAsia"/>
          <w:color w:val="000000"/>
        </w:rPr>
        <w:t>委員會、</w:t>
      </w:r>
      <w:r w:rsidR="00121EF6">
        <w:rPr>
          <w:rFonts w:hint="eastAsia"/>
          <w:color w:val="000000"/>
        </w:rPr>
        <w:t>司法</w:t>
      </w:r>
      <w:r>
        <w:rPr>
          <w:rFonts w:hint="eastAsia"/>
          <w:color w:val="000000"/>
        </w:rPr>
        <w:t>及</w:t>
      </w:r>
      <w:r w:rsidR="00121EF6">
        <w:rPr>
          <w:rFonts w:hint="eastAsia"/>
          <w:color w:val="000000"/>
        </w:rPr>
        <w:t>獄政</w:t>
      </w:r>
      <w:r>
        <w:rPr>
          <w:rFonts w:hint="eastAsia"/>
          <w:color w:val="000000"/>
        </w:rPr>
        <w:t>委員會</w:t>
      </w:r>
      <w:r>
        <w:rPr>
          <w:rFonts w:hAnsi="標楷體" w:hint="eastAsia"/>
          <w:color w:val="000000"/>
        </w:rPr>
        <w:t>聯席會議</w:t>
      </w:r>
      <w:r>
        <w:rPr>
          <w:rFonts w:hint="eastAsia"/>
          <w:color w:val="000000"/>
        </w:rPr>
        <w:t>處理。</w:t>
      </w:r>
      <w:bookmarkEnd w:id="66"/>
      <w:bookmarkEnd w:id="67"/>
      <w:bookmarkEnd w:id="68"/>
      <w:bookmarkEnd w:id="69"/>
      <w:bookmarkEnd w:id="70"/>
      <w:bookmarkEnd w:id="71"/>
      <w:bookmarkEnd w:id="72"/>
      <w:bookmarkEnd w:id="73"/>
      <w:bookmarkEnd w:id="74"/>
      <w:bookmarkEnd w:id="75"/>
      <w:bookmarkEnd w:id="76"/>
      <w:bookmarkEnd w:id="77"/>
      <w:bookmarkEnd w:id="78"/>
    </w:p>
    <w:p w:rsidR="00FE6424" w:rsidRDefault="00FE6424" w:rsidP="00FE6424">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p>
    <w:p w:rsidR="00FE6424" w:rsidRDefault="00FE6424" w:rsidP="00FE6424">
      <w:pPr>
        <w:pStyle w:val="aa"/>
        <w:spacing w:beforeLines="50" w:before="228" w:afterLines="100" w:after="457"/>
        <w:ind w:left="0"/>
        <w:rPr>
          <w:b w:val="0"/>
          <w:bCs/>
          <w:snapToGrid/>
          <w:spacing w:val="12"/>
          <w:kern w:val="0"/>
          <w:sz w:val="40"/>
        </w:rPr>
      </w:pPr>
    </w:p>
    <w:p w:rsidR="00E25849" w:rsidRDefault="00FE6424" w:rsidP="00FE6424">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蔡崇義</w:t>
      </w:r>
      <w:r>
        <w:rPr>
          <w:rFonts w:hAnsi="標楷體" w:hint="eastAsia"/>
          <w:b w:val="0"/>
          <w:bCs/>
          <w:snapToGrid/>
          <w:spacing w:val="12"/>
          <w:kern w:val="0"/>
          <w:sz w:val="40"/>
        </w:rPr>
        <w:t>、</w:t>
      </w:r>
      <w:r>
        <w:rPr>
          <w:rFonts w:hint="eastAsia"/>
          <w:b w:val="0"/>
          <w:bCs/>
          <w:snapToGrid/>
          <w:spacing w:val="12"/>
          <w:kern w:val="0"/>
          <w:sz w:val="40"/>
        </w:rPr>
        <w:t>田秋堇</w:t>
      </w:r>
    </w:p>
    <w:p w:rsidR="00770453" w:rsidRDefault="00770453" w:rsidP="00770453">
      <w:pPr>
        <w:pStyle w:val="aa"/>
        <w:spacing w:before="0" w:after="0"/>
        <w:ind w:leftChars="1100" w:left="3742"/>
        <w:rPr>
          <w:rFonts w:ascii="Times New Roman"/>
          <w:b w:val="0"/>
          <w:bCs/>
          <w:snapToGrid/>
          <w:spacing w:val="0"/>
          <w:kern w:val="0"/>
          <w:sz w:val="40"/>
        </w:rPr>
      </w:pPr>
    </w:p>
    <w:p w:rsidR="00165760" w:rsidRDefault="00165760" w:rsidP="00770453">
      <w:pPr>
        <w:pStyle w:val="aa"/>
        <w:spacing w:before="0" w:after="0"/>
        <w:ind w:leftChars="1100" w:left="3742"/>
        <w:rPr>
          <w:rFonts w:ascii="Times New Roman"/>
          <w:b w:val="0"/>
          <w:bCs/>
          <w:snapToGrid/>
          <w:spacing w:val="0"/>
          <w:kern w:val="0"/>
          <w:sz w:val="40"/>
        </w:rPr>
      </w:pPr>
      <w:bookmarkStart w:id="79" w:name="_GoBack"/>
      <w:bookmarkEnd w:id="79"/>
    </w:p>
    <w:sectPr w:rsidR="0016576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C08" w:rsidRDefault="00886C08">
      <w:r>
        <w:separator/>
      </w:r>
    </w:p>
  </w:endnote>
  <w:endnote w:type="continuationSeparator" w:id="0">
    <w:p w:rsidR="00886C08" w:rsidRDefault="0088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33" w:rsidRDefault="009C283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E6424">
      <w:rPr>
        <w:rStyle w:val="ac"/>
        <w:noProof/>
        <w:sz w:val="24"/>
      </w:rPr>
      <w:t>24</w:t>
    </w:r>
    <w:r>
      <w:rPr>
        <w:rStyle w:val="ac"/>
        <w:sz w:val="24"/>
      </w:rPr>
      <w:fldChar w:fldCharType="end"/>
    </w:r>
  </w:p>
  <w:p w:rsidR="009C2833" w:rsidRDefault="009C283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C08" w:rsidRDefault="00886C08">
      <w:r>
        <w:separator/>
      </w:r>
    </w:p>
  </w:footnote>
  <w:footnote w:type="continuationSeparator" w:id="0">
    <w:p w:rsidR="00886C08" w:rsidRDefault="00886C08">
      <w:r>
        <w:continuationSeparator/>
      </w:r>
    </w:p>
  </w:footnote>
  <w:footnote w:id="1">
    <w:p w:rsidR="009C2833" w:rsidRPr="0008389C" w:rsidRDefault="009C2833">
      <w:pPr>
        <w:pStyle w:val="afc"/>
      </w:pPr>
      <w:r>
        <w:rPr>
          <w:rStyle w:val="afe"/>
        </w:rPr>
        <w:footnoteRef/>
      </w:r>
      <w:r>
        <w:t xml:space="preserve"> </w:t>
      </w:r>
      <w:r w:rsidRPr="0008389C">
        <w:rPr>
          <w:rFonts w:hint="eastAsia"/>
        </w:rPr>
        <w:t>103</w:t>
      </w:r>
      <w:r w:rsidRPr="0008389C">
        <w:rPr>
          <w:rFonts w:hint="eastAsia"/>
        </w:rPr>
        <w:t>年</w:t>
      </w:r>
      <w:r w:rsidRPr="0008389C">
        <w:rPr>
          <w:rFonts w:hint="eastAsia"/>
        </w:rPr>
        <w:t>2</w:t>
      </w:r>
      <w:r w:rsidRPr="0008389C">
        <w:rPr>
          <w:rFonts w:hint="eastAsia"/>
        </w:rPr>
        <w:t>月</w:t>
      </w:r>
      <w:r w:rsidRPr="0008389C">
        <w:rPr>
          <w:rFonts w:hint="eastAsia"/>
        </w:rPr>
        <w:t>5</w:t>
      </w:r>
      <w:r w:rsidRPr="0008389C">
        <w:rPr>
          <w:rFonts w:hint="eastAsia"/>
        </w:rPr>
        <w:t>日總統華總一義字第</w:t>
      </w:r>
      <w:r w:rsidRPr="0008389C">
        <w:rPr>
          <w:rFonts w:hint="eastAsia"/>
        </w:rPr>
        <w:t>10300017801</w:t>
      </w:r>
      <w:r w:rsidRPr="0008389C">
        <w:rPr>
          <w:rFonts w:hint="eastAsia"/>
        </w:rPr>
        <w:t>號令修正公布名稱；原名稱：食品衛生管理法；新名稱：食品安全衛生管理法</w:t>
      </w:r>
      <w:r>
        <w:rPr>
          <w:rFonts w:hint="eastAsia"/>
        </w:rPr>
        <w:t>。</w:t>
      </w:r>
    </w:p>
  </w:footnote>
  <w:footnote w:id="2">
    <w:p w:rsidR="009C2833" w:rsidRPr="00C91FC0" w:rsidRDefault="009C2833" w:rsidP="00313AFA">
      <w:pPr>
        <w:pStyle w:val="afc"/>
        <w:jc w:val="both"/>
      </w:pPr>
      <w:r>
        <w:rPr>
          <w:rStyle w:val="afe"/>
        </w:rPr>
        <w:footnoteRef/>
      </w:r>
      <w:r>
        <w:t xml:space="preserve"> </w:t>
      </w:r>
      <w:r>
        <w:rPr>
          <w:rFonts w:hint="eastAsia"/>
        </w:rPr>
        <w:t>食品安全衛生管理法第</w:t>
      </w:r>
      <w:r>
        <w:rPr>
          <w:rFonts w:hint="eastAsia"/>
        </w:rPr>
        <w:t>18</w:t>
      </w:r>
      <w:r>
        <w:rPr>
          <w:rFonts w:hint="eastAsia"/>
        </w:rPr>
        <w:t>條規定：</w:t>
      </w:r>
      <w:r>
        <w:rPr>
          <w:rFonts w:ascii="標楷體" w:hAnsi="標楷體" w:hint="eastAsia"/>
        </w:rPr>
        <w:t>「</w:t>
      </w:r>
      <w:r w:rsidRPr="00C91FC0">
        <w:rPr>
          <w:rFonts w:ascii="標楷體" w:hAnsi="標楷體" w:hint="eastAsia"/>
        </w:rPr>
        <w:t>食品添加物之品名、規格及其使用範圍、限量標準，由中央主管機關定之</w:t>
      </w:r>
      <w:r w:rsidRPr="00C91FC0">
        <w:rPr>
          <w:rFonts w:hAnsi="標楷體" w:hint="eastAsia"/>
        </w:rPr>
        <w:t>。</w:t>
      </w:r>
      <w:r>
        <w:rPr>
          <w:rFonts w:hAnsi="標楷體" w:hint="eastAsia"/>
        </w:rPr>
        <w:t>（第</w:t>
      </w:r>
      <w:r>
        <w:rPr>
          <w:rFonts w:hAnsi="標楷體" w:hint="eastAsia"/>
        </w:rPr>
        <w:t>1</w:t>
      </w:r>
      <w:r>
        <w:rPr>
          <w:rFonts w:hAnsi="標楷體" w:hint="eastAsia"/>
        </w:rPr>
        <w:t>項）</w:t>
      </w:r>
      <w:r w:rsidRPr="00C91FC0">
        <w:rPr>
          <w:rFonts w:hAnsi="標楷體" w:hint="eastAsia"/>
        </w:rPr>
        <w:t>前項標準之訂定，必須以可以達到預期效果之最小量為限制，且依據國人膳食習慣為風險評估，同時必須遵守規格標準之規定。</w:t>
      </w:r>
      <w:r>
        <w:rPr>
          <w:rFonts w:hAnsi="標楷體" w:hint="eastAsia"/>
        </w:rPr>
        <w:t>（第</w:t>
      </w:r>
      <w:r>
        <w:rPr>
          <w:rFonts w:hAnsi="標楷體" w:hint="eastAsia"/>
        </w:rPr>
        <w:t>2</w:t>
      </w:r>
      <w:r>
        <w:rPr>
          <w:rFonts w:hAnsi="標楷體" w:hint="eastAsia"/>
        </w:rPr>
        <w:t>項）</w:t>
      </w:r>
      <w:r>
        <w:rPr>
          <w:rFonts w:ascii="標楷體" w:hAnsi="標楷體" w:hint="eastAsia"/>
        </w:rPr>
        <w:t>」</w:t>
      </w:r>
    </w:p>
  </w:footnote>
  <w:footnote w:id="3">
    <w:p w:rsidR="009C2833" w:rsidRPr="00743540" w:rsidRDefault="009C2833">
      <w:pPr>
        <w:pStyle w:val="afc"/>
      </w:pPr>
      <w:r>
        <w:rPr>
          <w:rStyle w:val="afe"/>
        </w:rPr>
        <w:footnoteRef/>
      </w:r>
      <w:r>
        <w:t xml:space="preserve"> </w:t>
      </w:r>
      <w:r w:rsidRPr="00743540">
        <w:rPr>
          <w:rFonts w:hint="eastAsia"/>
        </w:rPr>
        <w:t>106</w:t>
      </w:r>
      <w:r w:rsidRPr="00743540">
        <w:rPr>
          <w:rFonts w:hint="eastAsia"/>
        </w:rPr>
        <w:t>年度上字第</w:t>
      </w:r>
      <w:r w:rsidRPr="00743540">
        <w:rPr>
          <w:rFonts w:hint="eastAsia"/>
        </w:rPr>
        <w:t>69</w:t>
      </w:r>
      <w:r w:rsidRPr="00743540">
        <w:rPr>
          <w:rFonts w:hint="eastAsia"/>
        </w:rPr>
        <w:t>號</w:t>
      </w:r>
      <w:r>
        <w:rPr>
          <w:rFonts w:hint="eastAsia"/>
        </w:rPr>
        <w:t>。</w:t>
      </w:r>
    </w:p>
  </w:footnote>
  <w:footnote w:id="4">
    <w:p w:rsidR="009C2833" w:rsidRPr="006E53E8" w:rsidRDefault="009C2833">
      <w:pPr>
        <w:pStyle w:val="afc"/>
      </w:pPr>
      <w:r>
        <w:rPr>
          <w:rStyle w:val="afe"/>
        </w:rPr>
        <w:footnoteRef/>
      </w:r>
      <w:r>
        <w:t xml:space="preserve"> </w:t>
      </w:r>
      <w:r>
        <w:rPr>
          <w:rFonts w:hint="eastAsia"/>
        </w:rPr>
        <w:t>107</w:t>
      </w:r>
      <w:r>
        <w:rPr>
          <w:rFonts w:hint="eastAsia"/>
        </w:rPr>
        <w:t>年</w:t>
      </w:r>
      <w:r>
        <w:rPr>
          <w:rFonts w:hint="eastAsia"/>
        </w:rPr>
        <w:t>10</w:t>
      </w:r>
      <w:r>
        <w:rPr>
          <w:rFonts w:hint="eastAsia"/>
        </w:rPr>
        <w:t>月</w:t>
      </w:r>
      <w:r>
        <w:rPr>
          <w:rFonts w:hint="eastAsia"/>
        </w:rPr>
        <w:t>18</w:t>
      </w:r>
      <w:r>
        <w:rPr>
          <w:rFonts w:hint="eastAsia"/>
        </w:rPr>
        <w:t>日院台人三字第</w:t>
      </w:r>
      <w:r>
        <w:rPr>
          <w:rFonts w:hint="eastAsia"/>
        </w:rPr>
        <w:t>1070027242</w:t>
      </w:r>
      <w:r>
        <w:rPr>
          <w:rFonts w:hint="eastAsia"/>
        </w:rPr>
        <w:t>號函。</w:t>
      </w:r>
    </w:p>
  </w:footnote>
  <w:footnote w:id="5">
    <w:p w:rsidR="009C2833" w:rsidRDefault="009C2833">
      <w:pPr>
        <w:pStyle w:val="afc"/>
      </w:pPr>
      <w:r>
        <w:rPr>
          <w:rStyle w:val="afe"/>
        </w:rPr>
        <w:footnoteRef/>
      </w:r>
      <w:r>
        <w:t xml:space="preserve"> </w:t>
      </w:r>
      <w:r>
        <w:rPr>
          <w:rFonts w:hint="eastAsia"/>
        </w:rPr>
        <w:t>臺灣彰化地方法院</w:t>
      </w:r>
      <w:r>
        <w:rPr>
          <w:rFonts w:hint="eastAsia"/>
        </w:rPr>
        <w:t>106</w:t>
      </w:r>
      <w:r>
        <w:rPr>
          <w:rFonts w:hint="eastAsia"/>
        </w:rPr>
        <w:t>年</w:t>
      </w:r>
      <w:r>
        <w:rPr>
          <w:rFonts w:hint="eastAsia"/>
        </w:rPr>
        <w:t>1</w:t>
      </w:r>
      <w:r>
        <w:rPr>
          <w:rFonts w:hint="eastAsia"/>
        </w:rPr>
        <w:t>月</w:t>
      </w:r>
      <w:r>
        <w:rPr>
          <w:rFonts w:hint="eastAsia"/>
        </w:rPr>
        <w:t>16</w:t>
      </w:r>
      <w:r>
        <w:rPr>
          <w:rFonts w:hint="eastAsia"/>
        </w:rPr>
        <w:t>日彰院勝刑梅</w:t>
      </w:r>
      <w:r>
        <w:rPr>
          <w:rFonts w:hint="eastAsia"/>
        </w:rPr>
        <w:t>104</w:t>
      </w:r>
      <w:r>
        <w:rPr>
          <w:rFonts w:hint="eastAsia"/>
        </w:rPr>
        <w:t>訴</w:t>
      </w:r>
      <w:r>
        <w:rPr>
          <w:rFonts w:hint="eastAsia"/>
        </w:rPr>
        <w:t>247</w:t>
      </w:r>
      <w:r>
        <w:rPr>
          <w:rFonts w:hint="eastAsia"/>
        </w:rPr>
        <w:t>字第</w:t>
      </w:r>
      <w:r>
        <w:rPr>
          <w:rFonts w:hint="eastAsia"/>
        </w:rPr>
        <w:t>1069000270</w:t>
      </w:r>
      <w:r>
        <w:rPr>
          <w:rFonts w:hint="eastAsia"/>
        </w:rPr>
        <w:t>號函。</w:t>
      </w:r>
    </w:p>
  </w:footnote>
  <w:footnote w:id="6">
    <w:p w:rsidR="009C2833" w:rsidRPr="00FE7FA8" w:rsidRDefault="009C2833" w:rsidP="00B728AE">
      <w:pPr>
        <w:pStyle w:val="afc"/>
        <w:wordWrap w:val="0"/>
        <w:overflowPunct w:val="0"/>
        <w:jc w:val="both"/>
        <w:rPr>
          <w:sz w:val="24"/>
          <w:szCs w:val="24"/>
        </w:rPr>
      </w:pPr>
      <w:r w:rsidRPr="00FE7FA8">
        <w:rPr>
          <w:rStyle w:val="afe"/>
          <w:sz w:val="24"/>
          <w:szCs w:val="24"/>
        </w:rPr>
        <w:footnoteRef/>
      </w:r>
      <w:r w:rsidRPr="00FE7FA8">
        <w:rPr>
          <w:sz w:val="24"/>
          <w:szCs w:val="24"/>
        </w:rPr>
        <w:t xml:space="preserve"> </w:t>
      </w:r>
      <w:r w:rsidRPr="00FE7FA8">
        <w:rPr>
          <w:rFonts w:hint="eastAsia"/>
          <w:sz w:val="24"/>
          <w:szCs w:val="24"/>
        </w:rPr>
        <w:t>彰化縣衛生局於</w:t>
      </w:r>
      <w:r w:rsidRPr="00FE7FA8">
        <w:rPr>
          <w:rFonts w:hint="eastAsia"/>
          <w:sz w:val="24"/>
          <w:szCs w:val="24"/>
        </w:rPr>
        <w:t>103</w:t>
      </w:r>
      <w:r w:rsidRPr="00FE7FA8">
        <w:rPr>
          <w:rFonts w:hint="eastAsia"/>
          <w:sz w:val="24"/>
          <w:szCs w:val="24"/>
        </w:rPr>
        <w:t>年</w:t>
      </w:r>
      <w:r w:rsidRPr="00FE7FA8">
        <w:rPr>
          <w:rFonts w:hint="eastAsia"/>
          <w:sz w:val="24"/>
          <w:szCs w:val="24"/>
        </w:rPr>
        <w:t>11</w:t>
      </w:r>
      <w:r w:rsidRPr="00FE7FA8">
        <w:rPr>
          <w:rFonts w:hint="eastAsia"/>
          <w:sz w:val="24"/>
          <w:szCs w:val="24"/>
        </w:rPr>
        <w:t>月</w:t>
      </w:r>
      <w:r w:rsidRPr="00FE7FA8">
        <w:rPr>
          <w:rFonts w:hint="eastAsia"/>
          <w:sz w:val="24"/>
          <w:szCs w:val="24"/>
        </w:rPr>
        <w:t>14</w:t>
      </w:r>
      <w:r w:rsidRPr="00FE7FA8">
        <w:rPr>
          <w:rFonts w:hint="eastAsia"/>
          <w:sz w:val="24"/>
          <w:szCs w:val="24"/>
        </w:rPr>
        <w:t>日配合</w:t>
      </w:r>
      <w:r>
        <w:rPr>
          <w:rFonts w:hint="eastAsia"/>
          <w:sz w:val="24"/>
          <w:szCs w:val="24"/>
        </w:rPr>
        <w:t>該縣府</w:t>
      </w:r>
      <w:r w:rsidRPr="00FE7FA8">
        <w:rPr>
          <w:rFonts w:hint="eastAsia"/>
          <w:sz w:val="24"/>
          <w:szCs w:val="24"/>
        </w:rPr>
        <w:t>建設處及彰化縣警察局各分局偵察隊，進行轄內各食品製造工廠及一般製造業衛生稽查。稽查重點：一、食品及其產品追溯追蹤管理，包含產品資訊的揭露、產品相關標記識別、供應商來源資料、產品來源資訊以及文件保存紀錄等；二、食品良好衛生規範，詳如食品製造業者製程及品質管制、倉儲管制、運輸管理、食品工廠衛生管理及檢驗與量測管制等；三、食品業者登錄制度，依據食品安全衛生管理法第</w:t>
      </w:r>
      <w:r>
        <w:rPr>
          <w:rFonts w:hint="eastAsia"/>
          <w:sz w:val="24"/>
          <w:szCs w:val="24"/>
        </w:rPr>
        <w:t>8</w:t>
      </w:r>
      <w:r w:rsidRPr="00FE7FA8">
        <w:rPr>
          <w:rFonts w:hint="eastAsia"/>
          <w:sz w:val="24"/>
          <w:szCs w:val="24"/>
        </w:rPr>
        <w:t>條第</w:t>
      </w:r>
      <w:r>
        <w:rPr>
          <w:rFonts w:hint="eastAsia"/>
          <w:sz w:val="24"/>
          <w:szCs w:val="24"/>
        </w:rPr>
        <w:t>3</w:t>
      </w:r>
      <w:r w:rsidRPr="00FE7FA8">
        <w:rPr>
          <w:rFonts w:hint="eastAsia"/>
          <w:sz w:val="24"/>
          <w:szCs w:val="24"/>
        </w:rPr>
        <w:t>項，食品業者類別如為製造、加工業，包含食品製造、加工業、含塑膠類材質之食品器具、食品容器或包裝製造、加工業等應強制辦理登錄，食品藥物管理署建置「食品業者登錄平台」，於</w:t>
      </w:r>
      <w:r w:rsidRPr="00FE7FA8">
        <w:rPr>
          <w:rFonts w:hint="eastAsia"/>
          <w:sz w:val="24"/>
          <w:szCs w:val="24"/>
        </w:rPr>
        <w:t>103</w:t>
      </w:r>
      <w:r w:rsidRPr="00FE7FA8">
        <w:rPr>
          <w:rFonts w:hint="eastAsia"/>
          <w:sz w:val="24"/>
          <w:szCs w:val="24"/>
        </w:rPr>
        <w:t>年</w:t>
      </w:r>
      <w:r w:rsidRPr="00FE7FA8">
        <w:rPr>
          <w:rFonts w:hint="eastAsia"/>
          <w:sz w:val="24"/>
          <w:szCs w:val="24"/>
        </w:rPr>
        <w:t>4</w:t>
      </w:r>
      <w:r w:rsidRPr="00FE7FA8">
        <w:rPr>
          <w:rFonts w:hint="eastAsia"/>
          <w:sz w:val="24"/>
          <w:szCs w:val="24"/>
        </w:rPr>
        <w:t>月</w:t>
      </w:r>
      <w:r w:rsidRPr="00FE7FA8">
        <w:rPr>
          <w:rFonts w:hint="eastAsia"/>
          <w:sz w:val="24"/>
          <w:szCs w:val="24"/>
        </w:rPr>
        <w:t>1</w:t>
      </w:r>
      <w:r w:rsidRPr="00FE7FA8">
        <w:rPr>
          <w:rFonts w:hint="eastAsia"/>
          <w:sz w:val="24"/>
          <w:szCs w:val="24"/>
        </w:rPr>
        <w:t>日起開始受理食品業者登錄；業者應完成登錄之時效為：１、新辦理工廠登記、商業登記或公司登記者，自公告日起實施。２、已辦理工廠登記、商業登記或公司登記者，自</w:t>
      </w:r>
      <w:r w:rsidRPr="00FE7FA8">
        <w:rPr>
          <w:rFonts w:hint="eastAsia"/>
          <w:sz w:val="24"/>
          <w:szCs w:val="24"/>
        </w:rPr>
        <w:t>103</w:t>
      </w:r>
      <w:r w:rsidRPr="00FE7FA8">
        <w:rPr>
          <w:rFonts w:hint="eastAsia"/>
          <w:sz w:val="24"/>
          <w:szCs w:val="24"/>
        </w:rPr>
        <w:t>年</w:t>
      </w:r>
      <w:r w:rsidRPr="00FE7FA8">
        <w:rPr>
          <w:rFonts w:hint="eastAsia"/>
          <w:sz w:val="24"/>
          <w:szCs w:val="24"/>
        </w:rPr>
        <w:t>12</w:t>
      </w:r>
      <w:r w:rsidRPr="00FE7FA8">
        <w:rPr>
          <w:rFonts w:hint="eastAsia"/>
          <w:sz w:val="24"/>
          <w:szCs w:val="24"/>
        </w:rPr>
        <w:t>月</w:t>
      </w:r>
      <w:r w:rsidRPr="00FE7FA8">
        <w:rPr>
          <w:rFonts w:hint="eastAsia"/>
          <w:sz w:val="24"/>
          <w:szCs w:val="24"/>
        </w:rPr>
        <w:t>31</w:t>
      </w:r>
      <w:r w:rsidRPr="00FE7FA8">
        <w:rPr>
          <w:rFonts w:hint="eastAsia"/>
          <w:sz w:val="24"/>
          <w:szCs w:val="24"/>
        </w:rPr>
        <w:t>日實施。惟已辦理工廠登記之食用油脂製造業、加工業，以及已辦理工廠登記、商業登記或公司登記之食用油脂輸入業，自</w:t>
      </w:r>
      <w:r w:rsidRPr="00FE7FA8">
        <w:rPr>
          <w:rFonts w:hint="eastAsia"/>
          <w:sz w:val="24"/>
          <w:szCs w:val="24"/>
        </w:rPr>
        <w:t>103</w:t>
      </w:r>
      <w:r w:rsidRPr="00FE7FA8">
        <w:rPr>
          <w:rFonts w:hint="eastAsia"/>
          <w:sz w:val="24"/>
          <w:szCs w:val="24"/>
        </w:rPr>
        <w:t>年</w:t>
      </w:r>
      <w:r w:rsidRPr="00FE7FA8">
        <w:rPr>
          <w:rFonts w:hint="eastAsia"/>
          <w:sz w:val="24"/>
          <w:szCs w:val="24"/>
        </w:rPr>
        <w:t>10</w:t>
      </w:r>
      <w:r w:rsidRPr="00FE7FA8">
        <w:rPr>
          <w:rFonts w:hint="eastAsia"/>
          <w:sz w:val="24"/>
          <w:szCs w:val="24"/>
        </w:rPr>
        <w:t>月</w:t>
      </w:r>
      <w:r w:rsidRPr="00FE7FA8">
        <w:rPr>
          <w:rFonts w:hint="eastAsia"/>
          <w:sz w:val="24"/>
          <w:szCs w:val="24"/>
        </w:rPr>
        <w:t>31</w:t>
      </w:r>
      <w:r w:rsidRPr="00FE7FA8">
        <w:rPr>
          <w:rFonts w:hint="eastAsia"/>
          <w:sz w:val="24"/>
          <w:szCs w:val="24"/>
        </w:rPr>
        <w:t>日實施。</w:t>
      </w:r>
      <w:r w:rsidRPr="00FE7FA8">
        <w:rPr>
          <w:rFonts w:hint="eastAsia"/>
          <w:sz w:val="24"/>
          <w:szCs w:val="24"/>
        </w:rPr>
        <w:t> </w:t>
      </w:r>
      <w:r w:rsidRPr="00FE7FA8">
        <w:rPr>
          <w:rFonts w:hint="eastAsia"/>
          <w:sz w:val="24"/>
          <w:szCs w:val="24"/>
        </w:rPr>
        <w:t>（資料來源：彰化縣政府網站；</w:t>
      </w:r>
      <w:r w:rsidRPr="00FE7FA8">
        <w:rPr>
          <w:sz w:val="24"/>
          <w:szCs w:val="24"/>
        </w:rPr>
        <w:t>http://www.chcg.gov.tw/ch/03news/01view.asp?kind=4&amp;bull_id=171706</w:t>
      </w:r>
      <w:r w:rsidRPr="00FE7FA8">
        <w:rPr>
          <w:rFonts w:hint="eastAsia"/>
          <w:sz w:val="24"/>
          <w:szCs w:val="24"/>
        </w:rPr>
        <w:t>）</w:t>
      </w:r>
    </w:p>
  </w:footnote>
  <w:footnote w:id="7">
    <w:p w:rsidR="009C2833" w:rsidRPr="00F7790A" w:rsidRDefault="009C2833" w:rsidP="00B728AE">
      <w:pPr>
        <w:pStyle w:val="afc"/>
      </w:pPr>
      <w:r>
        <w:rPr>
          <w:rStyle w:val="afe"/>
        </w:rPr>
        <w:footnoteRef/>
      </w:r>
      <w:r>
        <w:rPr>
          <w:rFonts w:hint="eastAsia"/>
        </w:rPr>
        <w:t xml:space="preserve"> </w:t>
      </w:r>
      <w:r w:rsidRPr="00F7790A">
        <w:rPr>
          <w:rFonts w:hint="eastAsia"/>
        </w:rPr>
        <w:t>食藥署</w:t>
      </w:r>
      <w:r w:rsidRPr="00F7790A">
        <w:rPr>
          <w:rFonts w:hint="eastAsia"/>
        </w:rPr>
        <w:t>104</w:t>
      </w:r>
      <w:r w:rsidRPr="00F7790A">
        <w:rPr>
          <w:rFonts w:hint="eastAsia"/>
        </w:rPr>
        <w:t>年</w:t>
      </w:r>
      <w:r w:rsidRPr="00F7790A">
        <w:rPr>
          <w:rFonts w:hint="eastAsia"/>
        </w:rPr>
        <w:t>5</w:t>
      </w:r>
      <w:r w:rsidRPr="00F7790A">
        <w:rPr>
          <w:rFonts w:hint="eastAsia"/>
        </w:rPr>
        <w:t>月</w:t>
      </w:r>
      <w:r w:rsidRPr="00F7790A">
        <w:rPr>
          <w:rFonts w:hint="eastAsia"/>
        </w:rPr>
        <w:t xml:space="preserve">14 </w:t>
      </w:r>
      <w:r w:rsidRPr="00F7790A">
        <w:rPr>
          <w:rFonts w:hint="eastAsia"/>
        </w:rPr>
        <w:t>日</w:t>
      </w:r>
      <w:r w:rsidRPr="00F7790A">
        <w:rPr>
          <w:rFonts w:hint="eastAsia"/>
        </w:rPr>
        <w:t>FDA</w:t>
      </w:r>
      <w:r w:rsidRPr="00F7790A">
        <w:rPr>
          <w:rFonts w:hint="eastAsia"/>
        </w:rPr>
        <w:t>中字第</w:t>
      </w:r>
      <w:r w:rsidRPr="00F7790A">
        <w:rPr>
          <w:rFonts w:hint="eastAsia"/>
        </w:rPr>
        <w:t>0000000000</w:t>
      </w:r>
      <w:r w:rsidRPr="00F7790A">
        <w:rPr>
          <w:rFonts w:hint="eastAsia"/>
        </w:rPr>
        <w:t>號檢驗報告書，偵字第</w:t>
      </w:r>
      <w:r w:rsidRPr="00F7790A">
        <w:rPr>
          <w:rFonts w:hint="eastAsia"/>
        </w:rPr>
        <w:t>3460</w:t>
      </w:r>
      <w:r w:rsidRPr="00F7790A">
        <w:rPr>
          <w:rFonts w:hint="eastAsia"/>
        </w:rPr>
        <w:t>號卷</w:t>
      </w:r>
      <w:r w:rsidRPr="00F7790A">
        <w:rPr>
          <w:rFonts w:hint="eastAsia"/>
        </w:rPr>
        <w:t>(</w:t>
      </w:r>
      <w:r w:rsidRPr="00F7790A">
        <w:rPr>
          <w:rFonts w:hint="eastAsia"/>
        </w:rPr>
        <w:t>二</w:t>
      </w:r>
      <w:r w:rsidRPr="00F7790A">
        <w:rPr>
          <w:rFonts w:hint="eastAsia"/>
        </w:rPr>
        <w:t>)</w:t>
      </w:r>
      <w:r w:rsidRPr="00F7790A">
        <w:rPr>
          <w:rFonts w:hint="eastAsia"/>
        </w:rPr>
        <w:t>第</w:t>
      </w:r>
      <w:r w:rsidRPr="00F7790A">
        <w:rPr>
          <w:rFonts w:hint="eastAsia"/>
        </w:rPr>
        <w:t xml:space="preserve">156 </w:t>
      </w:r>
      <w:r w:rsidRPr="00F7790A">
        <w:rPr>
          <w:rFonts w:hint="eastAsia"/>
        </w:rPr>
        <w:t>頁</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2A3975"/>
    <w:multiLevelType w:val="hybridMultilevel"/>
    <w:tmpl w:val="55D6518C"/>
    <w:lvl w:ilvl="0" w:tplc="8222F6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E7F099E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DEA3357"/>
    <w:multiLevelType w:val="hybridMultilevel"/>
    <w:tmpl w:val="E7FC6EAE"/>
    <w:lvl w:ilvl="0" w:tplc="8222F6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425019"/>
    <w:multiLevelType w:val="hybridMultilevel"/>
    <w:tmpl w:val="55D6518C"/>
    <w:lvl w:ilvl="0" w:tplc="8222F6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4766A3CA"/>
    <w:lvl w:ilvl="0" w:tplc="1840AB52">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9"/>
  </w:num>
  <w:num w:numId="5">
    <w:abstractNumId w:val="6"/>
  </w:num>
  <w:num w:numId="6">
    <w:abstractNumId w:val="10"/>
  </w:num>
  <w:num w:numId="7">
    <w:abstractNumId w:val="2"/>
  </w:num>
  <w:num w:numId="8">
    <w:abstractNumId w:val="11"/>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63"/>
    <w:rsid w:val="00005396"/>
    <w:rsid w:val="000054C2"/>
    <w:rsid w:val="00005541"/>
    <w:rsid w:val="00005C35"/>
    <w:rsid w:val="00006961"/>
    <w:rsid w:val="00010ED1"/>
    <w:rsid w:val="000112BF"/>
    <w:rsid w:val="00012233"/>
    <w:rsid w:val="00017318"/>
    <w:rsid w:val="00020BCE"/>
    <w:rsid w:val="00021F4C"/>
    <w:rsid w:val="000229AD"/>
    <w:rsid w:val="000246F7"/>
    <w:rsid w:val="0003072E"/>
    <w:rsid w:val="0003114D"/>
    <w:rsid w:val="00032622"/>
    <w:rsid w:val="00033289"/>
    <w:rsid w:val="00034702"/>
    <w:rsid w:val="00036D76"/>
    <w:rsid w:val="00040A4D"/>
    <w:rsid w:val="000423A0"/>
    <w:rsid w:val="00042CFC"/>
    <w:rsid w:val="00044160"/>
    <w:rsid w:val="000442CB"/>
    <w:rsid w:val="00052951"/>
    <w:rsid w:val="00057F32"/>
    <w:rsid w:val="00062A25"/>
    <w:rsid w:val="000630BA"/>
    <w:rsid w:val="00063D0C"/>
    <w:rsid w:val="00063EFD"/>
    <w:rsid w:val="00064C6B"/>
    <w:rsid w:val="00071AD7"/>
    <w:rsid w:val="00073CB5"/>
    <w:rsid w:val="00074068"/>
    <w:rsid w:val="0007425C"/>
    <w:rsid w:val="00077553"/>
    <w:rsid w:val="00080D3E"/>
    <w:rsid w:val="0008186A"/>
    <w:rsid w:val="0008389C"/>
    <w:rsid w:val="000851A2"/>
    <w:rsid w:val="000866FD"/>
    <w:rsid w:val="000869AF"/>
    <w:rsid w:val="00086B92"/>
    <w:rsid w:val="00092372"/>
    <w:rsid w:val="0009352E"/>
    <w:rsid w:val="000935D9"/>
    <w:rsid w:val="00096A92"/>
    <w:rsid w:val="00096B96"/>
    <w:rsid w:val="000A02AE"/>
    <w:rsid w:val="000A2F3F"/>
    <w:rsid w:val="000A50FF"/>
    <w:rsid w:val="000A7341"/>
    <w:rsid w:val="000B0B4A"/>
    <w:rsid w:val="000B279A"/>
    <w:rsid w:val="000B39E0"/>
    <w:rsid w:val="000B61D2"/>
    <w:rsid w:val="000B70A7"/>
    <w:rsid w:val="000B73DD"/>
    <w:rsid w:val="000C18C2"/>
    <w:rsid w:val="000C2D9B"/>
    <w:rsid w:val="000C3734"/>
    <w:rsid w:val="000C495F"/>
    <w:rsid w:val="000C4F38"/>
    <w:rsid w:val="000C77C1"/>
    <w:rsid w:val="000D1576"/>
    <w:rsid w:val="000D5D7E"/>
    <w:rsid w:val="000D5EDD"/>
    <w:rsid w:val="000D66D9"/>
    <w:rsid w:val="000D6EF9"/>
    <w:rsid w:val="000E03F3"/>
    <w:rsid w:val="000E0EC4"/>
    <w:rsid w:val="000E610B"/>
    <w:rsid w:val="000E6431"/>
    <w:rsid w:val="000F21A5"/>
    <w:rsid w:val="000F402A"/>
    <w:rsid w:val="000F5DDF"/>
    <w:rsid w:val="0010019B"/>
    <w:rsid w:val="00102B9F"/>
    <w:rsid w:val="00107319"/>
    <w:rsid w:val="0011232F"/>
    <w:rsid w:val="00112637"/>
    <w:rsid w:val="0011265D"/>
    <w:rsid w:val="00112ABC"/>
    <w:rsid w:val="0012001E"/>
    <w:rsid w:val="001210BB"/>
    <w:rsid w:val="00121EF6"/>
    <w:rsid w:val="00123455"/>
    <w:rsid w:val="001239EF"/>
    <w:rsid w:val="001254B3"/>
    <w:rsid w:val="00126A55"/>
    <w:rsid w:val="00132181"/>
    <w:rsid w:val="001329E7"/>
    <w:rsid w:val="00132F1F"/>
    <w:rsid w:val="00133BFA"/>
    <w:rsid w:val="00133F08"/>
    <w:rsid w:val="001345E6"/>
    <w:rsid w:val="00134603"/>
    <w:rsid w:val="001378B0"/>
    <w:rsid w:val="0014121D"/>
    <w:rsid w:val="00142E00"/>
    <w:rsid w:val="00143669"/>
    <w:rsid w:val="00147B42"/>
    <w:rsid w:val="00150951"/>
    <w:rsid w:val="00152793"/>
    <w:rsid w:val="00153B7E"/>
    <w:rsid w:val="00153BBA"/>
    <w:rsid w:val="001545A9"/>
    <w:rsid w:val="001566C5"/>
    <w:rsid w:val="001574CC"/>
    <w:rsid w:val="00160AFF"/>
    <w:rsid w:val="001618EB"/>
    <w:rsid w:val="001626B8"/>
    <w:rsid w:val="001630B6"/>
    <w:rsid w:val="001637C7"/>
    <w:rsid w:val="0016480E"/>
    <w:rsid w:val="00165760"/>
    <w:rsid w:val="00174297"/>
    <w:rsid w:val="00175D30"/>
    <w:rsid w:val="00180E06"/>
    <w:rsid w:val="00180E26"/>
    <w:rsid w:val="001817B3"/>
    <w:rsid w:val="00182B9D"/>
    <w:rsid w:val="00182EFB"/>
    <w:rsid w:val="00183014"/>
    <w:rsid w:val="00183B92"/>
    <w:rsid w:val="001851B4"/>
    <w:rsid w:val="00186B02"/>
    <w:rsid w:val="00190388"/>
    <w:rsid w:val="00191211"/>
    <w:rsid w:val="001959C2"/>
    <w:rsid w:val="0019701D"/>
    <w:rsid w:val="001A1146"/>
    <w:rsid w:val="001A3CD7"/>
    <w:rsid w:val="001A4186"/>
    <w:rsid w:val="001A505C"/>
    <w:rsid w:val="001A51E3"/>
    <w:rsid w:val="001A6250"/>
    <w:rsid w:val="001A77E9"/>
    <w:rsid w:val="001A7968"/>
    <w:rsid w:val="001B1580"/>
    <w:rsid w:val="001B17F5"/>
    <w:rsid w:val="001B2E98"/>
    <w:rsid w:val="001B3483"/>
    <w:rsid w:val="001B39AB"/>
    <w:rsid w:val="001B3C1E"/>
    <w:rsid w:val="001B4494"/>
    <w:rsid w:val="001B5021"/>
    <w:rsid w:val="001C0D8B"/>
    <w:rsid w:val="001C0DA8"/>
    <w:rsid w:val="001C144F"/>
    <w:rsid w:val="001C18B7"/>
    <w:rsid w:val="001C2974"/>
    <w:rsid w:val="001C7836"/>
    <w:rsid w:val="001D09D9"/>
    <w:rsid w:val="001D1A77"/>
    <w:rsid w:val="001D29E8"/>
    <w:rsid w:val="001D3E35"/>
    <w:rsid w:val="001D4AD7"/>
    <w:rsid w:val="001D5170"/>
    <w:rsid w:val="001D69E0"/>
    <w:rsid w:val="001E0099"/>
    <w:rsid w:val="001E0C5C"/>
    <w:rsid w:val="001E0D8A"/>
    <w:rsid w:val="001E439A"/>
    <w:rsid w:val="001E4672"/>
    <w:rsid w:val="001E4808"/>
    <w:rsid w:val="001E67BA"/>
    <w:rsid w:val="001E74C2"/>
    <w:rsid w:val="001F3186"/>
    <w:rsid w:val="001F370E"/>
    <w:rsid w:val="001F4E8A"/>
    <w:rsid w:val="001F4F82"/>
    <w:rsid w:val="001F5A48"/>
    <w:rsid w:val="001F5A6C"/>
    <w:rsid w:val="001F6260"/>
    <w:rsid w:val="001F62BE"/>
    <w:rsid w:val="00200007"/>
    <w:rsid w:val="002030A5"/>
    <w:rsid w:val="00203131"/>
    <w:rsid w:val="0020378C"/>
    <w:rsid w:val="00205597"/>
    <w:rsid w:val="0020761A"/>
    <w:rsid w:val="00210033"/>
    <w:rsid w:val="00210F7A"/>
    <w:rsid w:val="002112EB"/>
    <w:rsid w:val="00212E88"/>
    <w:rsid w:val="00213C9C"/>
    <w:rsid w:val="002140F5"/>
    <w:rsid w:val="0022009E"/>
    <w:rsid w:val="00221BEF"/>
    <w:rsid w:val="00221C5C"/>
    <w:rsid w:val="00223241"/>
    <w:rsid w:val="00223385"/>
    <w:rsid w:val="0022425C"/>
    <w:rsid w:val="002246DE"/>
    <w:rsid w:val="002260A5"/>
    <w:rsid w:val="0022758A"/>
    <w:rsid w:val="00231892"/>
    <w:rsid w:val="002330CB"/>
    <w:rsid w:val="0023390A"/>
    <w:rsid w:val="00234CF1"/>
    <w:rsid w:val="00234D49"/>
    <w:rsid w:val="002429E2"/>
    <w:rsid w:val="002437E8"/>
    <w:rsid w:val="00243FE6"/>
    <w:rsid w:val="002449C8"/>
    <w:rsid w:val="00245316"/>
    <w:rsid w:val="002501DC"/>
    <w:rsid w:val="00252BC4"/>
    <w:rsid w:val="00253309"/>
    <w:rsid w:val="00254014"/>
    <w:rsid w:val="002540BE"/>
    <w:rsid w:val="00254B39"/>
    <w:rsid w:val="00254F5E"/>
    <w:rsid w:val="0025601F"/>
    <w:rsid w:val="0025659C"/>
    <w:rsid w:val="002616DF"/>
    <w:rsid w:val="0026504D"/>
    <w:rsid w:val="002651E1"/>
    <w:rsid w:val="002657BA"/>
    <w:rsid w:val="002719BD"/>
    <w:rsid w:val="00273A2F"/>
    <w:rsid w:val="0027407A"/>
    <w:rsid w:val="00276F47"/>
    <w:rsid w:val="0027773C"/>
    <w:rsid w:val="00280986"/>
    <w:rsid w:val="002810DA"/>
    <w:rsid w:val="0028182B"/>
    <w:rsid w:val="00281ECE"/>
    <w:rsid w:val="002831C7"/>
    <w:rsid w:val="002840C6"/>
    <w:rsid w:val="002840D0"/>
    <w:rsid w:val="00285D84"/>
    <w:rsid w:val="002920C7"/>
    <w:rsid w:val="002935B8"/>
    <w:rsid w:val="00293B16"/>
    <w:rsid w:val="002948B5"/>
    <w:rsid w:val="00294E03"/>
    <w:rsid w:val="00295174"/>
    <w:rsid w:val="00295755"/>
    <w:rsid w:val="00296172"/>
    <w:rsid w:val="00296633"/>
    <w:rsid w:val="00296B92"/>
    <w:rsid w:val="002A1582"/>
    <w:rsid w:val="002A226B"/>
    <w:rsid w:val="002A2C22"/>
    <w:rsid w:val="002B02EB"/>
    <w:rsid w:val="002B1699"/>
    <w:rsid w:val="002B2DDB"/>
    <w:rsid w:val="002B3061"/>
    <w:rsid w:val="002B4765"/>
    <w:rsid w:val="002B79C0"/>
    <w:rsid w:val="002C0602"/>
    <w:rsid w:val="002C30E3"/>
    <w:rsid w:val="002C36AD"/>
    <w:rsid w:val="002C6C5E"/>
    <w:rsid w:val="002D08EC"/>
    <w:rsid w:val="002D1345"/>
    <w:rsid w:val="002D1DC0"/>
    <w:rsid w:val="002D4796"/>
    <w:rsid w:val="002D5C16"/>
    <w:rsid w:val="002D760C"/>
    <w:rsid w:val="002E07A3"/>
    <w:rsid w:val="002E0D12"/>
    <w:rsid w:val="002E7208"/>
    <w:rsid w:val="002F2476"/>
    <w:rsid w:val="002F2750"/>
    <w:rsid w:val="002F3DFF"/>
    <w:rsid w:val="002F5E05"/>
    <w:rsid w:val="002F756B"/>
    <w:rsid w:val="00301224"/>
    <w:rsid w:val="003036AB"/>
    <w:rsid w:val="00307A76"/>
    <w:rsid w:val="00311136"/>
    <w:rsid w:val="003124BE"/>
    <w:rsid w:val="00313AFA"/>
    <w:rsid w:val="0031455E"/>
    <w:rsid w:val="003157F6"/>
    <w:rsid w:val="00315A16"/>
    <w:rsid w:val="003164D5"/>
    <w:rsid w:val="00317053"/>
    <w:rsid w:val="0032109C"/>
    <w:rsid w:val="003211CC"/>
    <w:rsid w:val="00322B45"/>
    <w:rsid w:val="00323809"/>
    <w:rsid w:val="00323D41"/>
    <w:rsid w:val="00325414"/>
    <w:rsid w:val="00325591"/>
    <w:rsid w:val="00327C98"/>
    <w:rsid w:val="00327F1D"/>
    <w:rsid w:val="003302F1"/>
    <w:rsid w:val="00330AF4"/>
    <w:rsid w:val="00330B06"/>
    <w:rsid w:val="00334B02"/>
    <w:rsid w:val="0033604C"/>
    <w:rsid w:val="00340466"/>
    <w:rsid w:val="00344174"/>
    <w:rsid w:val="0034470E"/>
    <w:rsid w:val="00344A5B"/>
    <w:rsid w:val="00352BB9"/>
    <w:rsid w:val="00352DB0"/>
    <w:rsid w:val="00355089"/>
    <w:rsid w:val="0035726E"/>
    <w:rsid w:val="00357D82"/>
    <w:rsid w:val="0036060E"/>
    <w:rsid w:val="00361063"/>
    <w:rsid w:val="00364ADF"/>
    <w:rsid w:val="0037094A"/>
    <w:rsid w:val="00371D79"/>
    <w:rsid w:val="00371ED3"/>
    <w:rsid w:val="00372175"/>
    <w:rsid w:val="00372659"/>
    <w:rsid w:val="00372705"/>
    <w:rsid w:val="00372FFC"/>
    <w:rsid w:val="0037728A"/>
    <w:rsid w:val="00377F0C"/>
    <w:rsid w:val="00380B7D"/>
    <w:rsid w:val="00381A99"/>
    <w:rsid w:val="003829C2"/>
    <w:rsid w:val="00382AD7"/>
    <w:rsid w:val="003830B2"/>
    <w:rsid w:val="00384724"/>
    <w:rsid w:val="00384B94"/>
    <w:rsid w:val="00384E4C"/>
    <w:rsid w:val="003861AA"/>
    <w:rsid w:val="00387165"/>
    <w:rsid w:val="003913CB"/>
    <w:rsid w:val="003919B7"/>
    <w:rsid w:val="00391D57"/>
    <w:rsid w:val="00392292"/>
    <w:rsid w:val="00394F45"/>
    <w:rsid w:val="003A2227"/>
    <w:rsid w:val="003A58CD"/>
    <w:rsid w:val="003A5927"/>
    <w:rsid w:val="003B1017"/>
    <w:rsid w:val="003B3AC5"/>
    <w:rsid w:val="003B3C07"/>
    <w:rsid w:val="003B3D9E"/>
    <w:rsid w:val="003B3E74"/>
    <w:rsid w:val="003B4C3E"/>
    <w:rsid w:val="003B5996"/>
    <w:rsid w:val="003B5BCB"/>
    <w:rsid w:val="003B6081"/>
    <w:rsid w:val="003B6775"/>
    <w:rsid w:val="003C0953"/>
    <w:rsid w:val="003C2CC6"/>
    <w:rsid w:val="003C2FE0"/>
    <w:rsid w:val="003C31E3"/>
    <w:rsid w:val="003C3D44"/>
    <w:rsid w:val="003C4088"/>
    <w:rsid w:val="003C5FE2"/>
    <w:rsid w:val="003D05FB"/>
    <w:rsid w:val="003D1811"/>
    <w:rsid w:val="003D1B16"/>
    <w:rsid w:val="003D1E67"/>
    <w:rsid w:val="003D2150"/>
    <w:rsid w:val="003D45BF"/>
    <w:rsid w:val="003D508A"/>
    <w:rsid w:val="003D537F"/>
    <w:rsid w:val="003D7B75"/>
    <w:rsid w:val="003E0208"/>
    <w:rsid w:val="003E06BA"/>
    <w:rsid w:val="003E0FD5"/>
    <w:rsid w:val="003E1C70"/>
    <w:rsid w:val="003E4B57"/>
    <w:rsid w:val="003F12D9"/>
    <w:rsid w:val="003F131A"/>
    <w:rsid w:val="003F27E1"/>
    <w:rsid w:val="003F2EED"/>
    <w:rsid w:val="003F3668"/>
    <w:rsid w:val="003F407A"/>
    <w:rsid w:val="003F437A"/>
    <w:rsid w:val="003F4B06"/>
    <w:rsid w:val="003F5536"/>
    <w:rsid w:val="003F55C2"/>
    <w:rsid w:val="003F5987"/>
    <w:rsid w:val="003F5C2B"/>
    <w:rsid w:val="003F60BF"/>
    <w:rsid w:val="003F6E5E"/>
    <w:rsid w:val="00401745"/>
    <w:rsid w:val="00402240"/>
    <w:rsid w:val="004023E9"/>
    <w:rsid w:val="004042A9"/>
    <w:rsid w:val="0040454A"/>
    <w:rsid w:val="00405742"/>
    <w:rsid w:val="00406A03"/>
    <w:rsid w:val="004104AC"/>
    <w:rsid w:val="00411293"/>
    <w:rsid w:val="00412ACB"/>
    <w:rsid w:val="00412E75"/>
    <w:rsid w:val="00413F83"/>
    <w:rsid w:val="00414226"/>
    <w:rsid w:val="0041490C"/>
    <w:rsid w:val="00415EAF"/>
    <w:rsid w:val="00416191"/>
    <w:rsid w:val="00416721"/>
    <w:rsid w:val="0041753F"/>
    <w:rsid w:val="004176A7"/>
    <w:rsid w:val="00421EF0"/>
    <w:rsid w:val="004224FA"/>
    <w:rsid w:val="00423D07"/>
    <w:rsid w:val="00426276"/>
    <w:rsid w:val="00427936"/>
    <w:rsid w:val="00431CC1"/>
    <w:rsid w:val="004324E1"/>
    <w:rsid w:val="004342A7"/>
    <w:rsid w:val="00435534"/>
    <w:rsid w:val="00437683"/>
    <w:rsid w:val="0044057C"/>
    <w:rsid w:val="00440CEA"/>
    <w:rsid w:val="00441E3F"/>
    <w:rsid w:val="0044253B"/>
    <w:rsid w:val="004426B5"/>
    <w:rsid w:val="00442949"/>
    <w:rsid w:val="0044346F"/>
    <w:rsid w:val="00447E22"/>
    <w:rsid w:val="0045291C"/>
    <w:rsid w:val="00453FF6"/>
    <w:rsid w:val="00457507"/>
    <w:rsid w:val="00462246"/>
    <w:rsid w:val="0046520A"/>
    <w:rsid w:val="00465601"/>
    <w:rsid w:val="00466194"/>
    <w:rsid w:val="004672AB"/>
    <w:rsid w:val="004714FE"/>
    <w:rsid w:val="00473F3E"/>
    <w:rsid w:val="0047466A"/>
    <w:rsid w:val="00474E18"/>
    <w:rsid w:val="00477826"/>
    <w:rsid w:val="00477A52"/>
    <w:rsid w:val="00477BAA"/>
    <w:rsid w:val="00480F32"/>
    <w:rsid w:val="004849E2"/>
    <w:rsid w:val="004866F5"/>
    <w:rsid w:val="00486BA1"/>
    <w:rsid w:val="004902AE"/>
    <w:rsid w:val="004919C5"/>
    <w:rsid w:val="00493572"/>
    <w:rsid w:val="00495053"/>
    <w:rsid w:val="004A1F59"/>
    <w:rsid w:val="004A29BE"/>
    <w:rsid w:val="004A3225"/>
    <w:rsid w:val="004A33EE"/>
    <w:rsid w:val="004A36F7"/>
    <w:rsid w:val="004A3AA8"/>
    <w:rsid w:val="004A59D5"/>
    <w:rsid w:val="004B12F4"/>
    <w:rsid w:val="004B13C7"/>
    <w:rsid w:val="004B6F56"/>
    <w:rsid w:val="004B778F"/>
    <w:rsid w:val="004C0609"/>
    <w:rsid w:val="004C17D1"/>
    <w:rsid w:val="004C2558"/>
    <w:rsid w:val="004C3208"/>
    <w:rsid w:val="004C51B2"/>
    <w:rsid w:val="004C639F"/>
    <w:rsid w:val="004C7459"/>
    <w:rsid w:val="004D0BF8"/>
    <w:rsid w:val="004D141F"/>
    <w:rsid w:val="004D2742"/>
    <w:rsid w:val="004D6310"/>
    <w:rsid w:val="004D6368"/>
    <w:rsid w:val="004E0062"/>
    <w:rsid w:val="004E0301"/>
    <w:rsid w:val="004E05A1"/>
    <w:rsid w:val="004E449D"/>
    <w:rsid w:val="004E44B6"/>
    <w:rsid w:val="004E5015"/>
    <w:rsid w:val="004F1FEA"/>
    <w:rsid w:val="004F257A"/>
    <w:rsid w:val="004F472A"/>
    <w:rsid w:val="004F5E57"/>
    <w:rsid w:val="004F6710"/>
    <w:rsid w:val="005004A3"/>
    <w:rsid w:val="00500C3E"/>
    <w:rsid w:val="00502169"/>
    <w:rsid w:val="00502849"/>
    <w:rsid w:val="00504334"/>
    <w:rsid w:val="0050498D"/>
    <w:rsid w:val="005061AA"/>
    <w:rsid w:val="00506FCA"/>
    <w:rsid w:val="00507127"/>
    <w:rsid w:val="0051049E"/>
    <w:rsid w:val="005104D7"/>
    <w:rsid w:val="00510B9E"/>
    <w:rsid w:val="00512402"/>
    <w:rsid w:val="0052306A"/>
    <w:rsid w:val="0052352E"/>
    <w:rsid w:val="00530DB7"/>
    <w:rsid w:val="0053163E"/>
    <w:rsid w:val="005328D4"/>
    <w:rsid w:val="00532D19"/>
    <w:rsid w:val="00536188"/>
    <w:rsid w:val="0053673F"/>
    <w:rsid w:val="00536BC2"/>
    <w:rsid w:val="005403BA"/>
    <w:rsid w:val="00540518"/>
    <w:rsid w:val="00541124"/>
    <w:rsid w:val="005425E1"/>
    <w:rsid w:val="005427C5"/>
    <w:rsid w:val="00542CF6"/>
    <w:rsid w:val="00543C9D"/>
    <w:rsid w:val="005507F5"/>
    <w:rsid w:val="00550F58"/>
    <w:rsid w:val="005521FE"/>
    <w:rsid w:val="005531FA"/>
    <w:rsid w:val="00553804"/>
    <w:rsid w:val="00553B84"/>
    <w:rsid w:val="00553C03"/>
    <w:rsid w:val="005575EE"/>
    <w:rsid w:val="00557CFA"/>
    <w:rsid w:val="00560DDA"/>
    <w:rsid w:val="00563692"/>
    <w:rsid w:val="0056474F"/>
    <w:rsid w:val="0056509F"/>
    <w:rsid w:val="005701E1"/>
    <w:rsid w:val="005706F0"/>
    <w:rsid w:val="00570DBE"/>
    <w:rsid w:val="005711B3"/>
    <w:rsid w:val="00571542"/>
    <w:rsid w:val="00571679"/>
    <w:rsid w:val="00573A91"/>
    <w:rsid w:val="00574250"/>
    <w:rsid w:val="00580DB2"/>
    <w:rsid w:val="005817E8"/>
    <w:rsid w:val="00584235"/>
    <w:rsid w:val="005844E7"/>
    <w:rsid w:val="005908B8"/>
    <w:rsid w:val="005925D0"/>
    <w:rsid w:val="005934F3"/>
    <w:rsid w:val="00594AC5"/>
    <w:rsid w:val="0059512E"/>
    <w:rsid w:val="0059702B"/>
    <w:rsid w:val="005978C0"/>
    <w:rsid w:val="005A05EC"/>
    <w:rsid w:val="005A0968"/>
    <w:rsid w:val="005A0D99"/>
    <w:rsid w:val="005A156A"/>
    <w:rsid w:val="005A18DF"/>
    <w:rsid w:val="005A2AE6"/>
    <w:rsid w:val="005A34F2"/>
    <w:rsid w:val="005A39C7"/>
    <w:rsid w:val="005A6DD2"/>
    <w:rsid w:val="005A6E0F"/>
    <w:rsid w:val="005A7428"/>
    <w:rsid w:val="005A78A1"/>
    <w:rsid w:val="005B04AB"/>
    <w:rsid w:val="005B17F7"/>
    <w:rsid w:val="005B294D"/>
    <w:rsid w:val="005B5866"/>
    <w:rsid w:val="005C004E"/>
    <w:rsid w:val="005C1110"/>
    <w:rsid w:val="005C1554"/>
    <w:rsid w:val="005C27B9"/>
    <w:rsid w:val="005C2C7F"/>
    <w:rsid w:val="005C2EF1"/>
    <w:rsid w:val="005C34C6"/>
    <w:rsid w:val="005C385D"/>
    <w:rsid w:val="005C548E"/>
    <w:rsid w:val="005C5EAF"/>
    <w:rsid w:val="005C7DB8"/>
    <w:rsid w:val="005D1CA9"/>
    <w:rsid w:val="005D298D"/>
    <w:rsid w:val="005D2F37"/>
    <w:rsid w:val="005D3B20"/>
    <w:rsid w:val="005D6382"/>
    <w:rsid w:val="005D71B7"/>
    <w:rsid w:val="005D7557"/>
    <w:rsid w:val="005D7A4D"/>
    <w:rsid w:val="005E003D"/>
    <w:rsid w:val="005E08CA"/>
    <w:rsid w:val="005E0E96"/>
    <w:rsid w:val="005E1319"/>
    <w:rsid w:val="005E1B95"/>
    <w:rsid w:val="005E22FE"/>
    <w:rsid w:val="005E339D"/>
    <w:rsid w:val="005E4759"/>
    <w:rsid w:val="005E5590"/>
    <w:rsid w:val="005E5C68"/>
    <w:rsid w:val="005E65C0"/>
    <w:rsid w:val="005E76C8"/>
    <w:rsid w:val="005F0390"/>
    <w:rsid w:val="005F2979"/>
    <w:rsid w:val="005F375E"/>
    <w:rsid w:val="005F4C4C"/>
    <w:rsid w:val="00600DC0"/>
    <w:rsid w:val="00601A2E"/>
    <w:rsid w:val="00601FE8"/>
    <w:rsid w:val="0060335D"/>
    <w:rsid w:val="006044F8"/>
    <w:rsid w:val="006072CD"/>
    <w:rsid w:val="00610CC0"/>
    <w:rsid w:val="00612023"/>
    <w:rsid w:val="00612D1E"/>
    <w:rsid w:val="00612E73"/>
    <w:rsid w:val="00613683"/>
    <w:rsid w:val="00613A64"/>
    <w:rsid w:val="00614190"/>
    <w:rsid w:val="00615549"/>
    <w:rsid w:val="0061596D"/>
    <w:rsid w:val="00616DE1"/>
    <w:rsid w:val="006206D8"/>
    <w:rsid w:val="00622A99"/>
    <w:rsid w:val="00622E67"/>
    <w:rsid w:val="00624F74"/>
    <w:rsid w:val="00626B57"/>
    <w:rsid w:val="00626EDC"/>
    <w:rsid w:val="00634EEA"/>
    <w:rsid w:val="0063658A"/>
    <w:rsid w:val="00641924"/>
    <w:rsid w:val="006452D3"/>
    <w:rsid w:val="00646E40"/>
    <w:rsid w:val="006470EC"/>
    <w:rsid w:val="00650CDF"/>
    <w:rsid w:val="00653431"/>
    <w:rsid w:val="006542D6"/>
    <w:rsid w:val="00654A03"/>
    <w:rsid w:val="0065598E"/>
    <w:rsid w:val="00655AF2"/>
    <w:rsid w:val="00655BC5"/>
    <w:rsid w:val="006560EB"/>
    <w:rsid w:val="006568BE"/>
    <w:rsid w:val="0066025D"/>
    <w:rsid w:val="0066091A"/>
    <w:rsid w:val="00665FF5"/>
    <w:rsid w:val="00666139"/>
    <w:rsid w:val="00666618"/>
    <w:rsid w:val="00671B65"/>
    <w:rsid w:val="00671D4F"/>
    <w:rsid w:val="00673DDB"/>
    <w:rsid w:val="00673E48"/>
    <w:rsid w:val="0067402E"/>
    <w:rsid w:val="00674304"/>
    <w:rsid w:val="00674419"/>
    <w:rsid w:val="006762C8"/>
    <w:rsid w:val="0067679E"/>
    <w:rsid w:val="00677240"/>
    <w:rsid w:val="006773EC"/>
    <w:rsid w:val="00680504"/>
    <w:rsid w:val="00681CD9"/>
    <w:rsid w:val="006825C1"/>
    <w:rsid w:val="00683E30"/>
    <w:rsid w:val="00687024"/>
    <w:rsid w:val="00691DAA"/>
    <w:rsid w:val="00693959"/>
    <w:rsid w:val="00693EA3"/>
    <w:rsid w:val="0069415E"/>
    <w:rsid w:val="00695E22"/>
    <w:rsid w:val="006A15B1"/>
    <w:rsid w:val="006A3095"/>
    <w:rsid w:val="006A4DC0"/>
    <w:rsid w:val="006A65CE"/>
    <w:rsid w:val="006B0769"/>
    <w:rsid w:val="006B7093"/>
    <w:rsid w:val="006B7417"/>
    <w:rsid w:val="006C0637"/>
    <w:rsid w:val="006C2E6C"/>
    <w:rsid w:val="006C35E6"/>
    <w:rsid w:val="006C39BE"/>
    <w:rsid w:val="006C524B"/>
    <w:rsid w:val="006D13A9"/>
    <w:rsid w:val="006D31F9"/>
    <w:rsid w:val="006D3691"/>
    <w:rsid w:val="006E056E"/>
    <w:rsid w:val="006E1518"/>
    <w:rsid w:val="006E2746"/>
    <w:rsid w:val="006E454B"/>
    <w:rsid w:val="006E465C"/>
    <w:rsid w:val="006E53E8"/>
    <w:rsid w:val="006E5EF0"/>
    <w:rsid w:val="006E698F"/>
    <w:rsid w:val="006F1196"/>
    <w:rsid w:val="006F3563"/>
    <w:rsid w:val="006F42B9"/>
    <w:rsid w:val="006F5295"/>
    <w:rsid w:val="006F6103"/>
    <w:rsid w:val="006F7308"/>
    <w:rsid w:val="00700E9D"/>
    <w:rsid w:val="007024B4"/>
    <w:rsid w:val="00704E00"/>
    <w:rsid w:val="00706825"/>
    <w:rsid w:val="00706898"/>
    <w:rsid w:val="007100AA"/>
    <w:rsid w:val="00710333"/>
    <w:rsid w:val="0071407C"/>
    <w:rsid w:val="0071434C"/>
    <w:rsid w:val="007143A2"/>
    <w:rsid w:val="00714D89"/>
    <w:rsid w:val="00717055"/>
    <w:rsid w:val="007209E7"/>
    <w:rsid w:val="00722A6B"/>
    <w:rsid w:val="00726182"/>
    <w:rsid w:val="00727635"/>
    <w:rsid w:val="00730090"/>
    <w:rsid w:val="00731120"/>
    <w:rsid w:val="00731162"/>
    <w:rsid w:val="00731E6B"/>
    <w:rsid w:val="00732329"/>
    <w:rsid w:val="007337CA"/>
    <w:rsid w:val="00733CF8"/>
    <w:rsid w:val="00734510"/>
    <w:rsid w:val="00734CE4"/>
    <w:rsid w:val="00735123"/>
    <w:rsid w:val="00737EAA"/>
    <w:rsid w:val="00741668"/>
    <w:rsid w:val="00741837"/>
    <w:rsid w:val="00743540"/>
    <w:rsid w:val="007453E6"/>
    <w:rsid w:val="00752D1E"/>
    <w:rsid w:val="007550E1"/>
    <w:rsid w:val="00757BFC"/>
    <w:rsid w:val="007600BC"/>
    <w:rsid w:val="00760798"/>
    <w:rsid w:val="00761604"/>
    <w:rsid w:val="00762253"/>
    <w:rsid w:val="00765396"/>
    <w:rsid w:val="00770453"/>
    <w:rsid w:val="007707EE"/>
    <w:rsid w:val="0077309D"/>
    <w:rsid w:val="007745A1"/>
    <w:rsid w:val="00774B22"/>
    <w:rsid w:val="007774EE"/>
    <w:rsid w:val="00780D52"/>
    <w:rsid w:val="0078170D"/>
    <w:rsid w:val="00781822"/>
    <w:rsid w:val="00783F21"/>
    <w:rsid w:val="0078693F"/>
    <w:rsid w:val="00787159"/>
    <w:rsid w:val="00787D87"/>
    <w:rsid w:val="0079043A"/>
    <w:rsid w:val="00791668"/>
    <w:rsid w:val="00791AA1"/>
    <w:rsid w:val="00792DD0"/>
    <w:rsid w:val="00794682"/>
    <w:rsid w:val="00796984"/>
    <w:rsid w:val="007A30FD"/>
    <w:rsid w:val="007A3793"/>
    <w:rsid w:val="007B21ED"/>
    <w:rsid w:val="007B2941"/>
    <w:rsid w:val="007B38F1"/>
    <w:rsid w:val="007B3DDF"/>
    <w:rsid w:val="007B5639"/>
    <w:rsid w:val="007B6E6A"/>
    <w:rsid w:val="007C1BA2"/>
    <w:rsid w:val="007C2B48"/>
    <w:rsid w:val="007D016C"/>
    <w:rsid w:val="007D20E9"/>
    <w:rsid w:val="007D31CD"/>
    <w:rsid w:val="007D5586"/>
    <w:rsid w:val="007D55A2"/>
    <w:rsid w:val="007D7881"/>
    <w:rsid w:val="007D7E3A"/>
    <w:rsid w:val="007E0E10"/>
    <w:rsid w:val="007E2C6D"/>
    <w:rsid w:val="007E4768"/>
    <w:rsid w:val="007E777B"/>
    <w:rsid w:val="007E7FC1"/>
    <w:rsid w:val="007F15E8"/>
    <w:rsid w:val="007F2070"/>
    <w:rsid w:val="007F20A9"/>
    <w:rsid w:val="007F2AAF"/>
    <w:rsid w:val="007F2CC1"/>
    <w:rsid w:val="007F31E8"/>
    <w:rsid w:val="007F4334"/>
    <w:rsid w:val="007F63C1"/>
    <w:rsid w:val="008001D0"/>
    <w:rsid w:val="00800AB6"/>
    <w:rsid w:val="00800D43"/>
    <w:rsid w:val="00802DD4"/>
    <w:rsid w:val="00804E69"/>
    <w:rsid w:val="008053F5"/>
    <w:rsid w:val="00807AF7"/>
    <w:rsid w:val="00810198"/>
    <w:rsid w:val="00810CEE"/>
    <w:rsid w:val="00815DA8"/>
    <w:rsid w:val="0082194D"/>
    <w:rsid w:val="008221F9"/>
    <w:rsid w:val="00826B0A"/>
    <w:rsid w:val="00826EF5"/>
    <w:rsid w:val="00827A42"/>
    <w:rsid w:val="00830859"/>
    <w:rsid w:val="008312C1"/>
    <w:rsid w:val="00831693"/>
    <w:rsid w:val="00831A2F"/>
    <w:rsid w:val="00832EE6"/>
    <w:rsid w:val="00833FCF"/>
    <w:rsid w:val="008365FA"/>
    <w:rsid w:val="00837134"/>
    <w:rsid w:val="00837C1F"/>
    <w:rsid w:val="00840104"/>
    <w:rsid w:val="00840C1F"/>
    <w:rsid w:val="008411C9"/>
    <w:rsid w:val="00841FC5"/>
    <w:rsid w:val="008429E6"/>
    <w:rsid w:val="00843D0F"/>
    <w:rsid w:val="0084535A"/>
    <w:rsid w:val="00845709"/>
    <w:rsid w:val="00845C73"/>
    <w:rsid w:val="00847292"/>
    <w:rsid w:val="008474EF"/>
    <w:rsid w:val="00853014"/>
    <w:rsid w:val="008533A8"/>
    <w:rsid w:val="00853DD2"/>
    <w:rsid w:val="008576BD"/>
    <w:rsid w:val="00860463"/>
    <w:rsid w:val="00860EF7"/>
    <w:rsid w:val="00865D7D"/>
    <w:rsid w:val="008663BE"/>
    <w:rsid w:val="00866910"/>
    <w:rsid w:val="008672B4"/>
    <w:rsid w:val="00870951"/>
    <w:rsid w:val="008729C4"/>
    <w:rsid w:val="008733DA"/>
    <w:rsid w:val="0087361D"/>
    <w:rsid w:val="00873EA7"/>
    <w:rsid w:val="008805A3"/>
    <w:rsid w:val="00881CBE"/>
    <w:rsid w:val="008850E4"/>
    <w:rsid w:val="008850FE"/>
    <w:rsid w:val="00886C08"/>
    <w:rsid w:val="0088792D"/>
    <w:rsid w:val="008924A3"/>
    <w:rsid w:val="008939AB"/>
    <w:rsid w:val="0089463D"/>
    <w:rsid w:val="00894DB5"/>
    <w:rsid w:val="00895267"/>
    <w:rsid w:val="00897E33"/>
    <w:rsid w:val="00897EF0"/>
    <w:rsid w:val="008A05AC"/>
    <w:rsid w:val="008A12F5"/>
    <w:rsid w:val="008B1587"/>
    <w:rsid w:val="008B1B01"/>
    <w:rsid w:val="008B38C0"/>
    <w:rsid w:val="008B3BCD"/>
    <w:rsid w:val="008B3F55"/>
    <w:rsid w:val="008B47E5"/>
    <w:rsid w:val="008B4A54"/>
    <w:rsid w:val="008B6DF8"/>
    <w:rsid w:val="008B6EAB"/>
    <w:rsid w:val="008B7A3B"/>
    <w:rsid w:val="008C106C"/>
    <w:rsid w:val="008C10F1"/>
    <w:rsid w:val="008C1926"/>
    <w:rsid w:val="008C1A3F"/>
    <w:rsid w:val="008C1E99"/>
    <w:rsid w:val="008C772B"/>
    <w:rsid w:val="008D26CA"/>
    <w:rsid w:val="008D2C1F"/>
    <w:rsid w:val="008D6CEB"/>
    <w:rsid w:val="008D6F69"/>
    <w:rsid w:val="008D734F"/>
    <w:rsid w:val="008E0085"/>
    <w:rsid w:val="008E15BE"/>
    <w:rsid w:val="008E2AA6"/>
    <w:rsid w:val="008E311B"/>
    <w:rsid w:val="008E3D8F"/>
    <w:rsid w:val="008E48BA"/>
    <w:rsid w:val="008E4A09"/>
    <w:rsid w:val="008E5F63"/>
    <w:rsid w:val="008F3E94"/>
    <w:rsid w:val="008F46E7"/>
    <w:rsid w:val="008F4A06"/>
    <w:rsid w:val="008F64CA"/>
    <w:rsid w:val="008F67FA"/>
    <w:rsid w:val="008F6F0B"/>
    <w:rsid w:val="008F7E4B"/>
    <w:rsid w:val="0090180A"/>
    <w:rsid w:val="00903E9F"/>
    <w:rsid w:val="0090552A"/>
    <w:rsid w:val="00907BA7"/>
    <w:rsid w:val="0091064E"/>
    <w:rsid w:val="00911FC5"/>
    <w:rsid w:val="00912910"/>
    <w:rsid w:val="009146D3"/>
    <w:rsid w:val="0091758E"/>
    <w:rsid w:val="0092187C"/>
    <w:rsid w:val="00924C21"/>
    <w:rsid w:val="0092550C"/>
    <w:rsid w:val="00926F43"/>
    <w:rsid w:val="0093006A"/>
    <w:rsid w:val="0093156E"/>
    <w:rsid w:val="00931A10"/>
    <w:rsid w:val="00934180"/>
    <w:rsid w:val="0093676B"/>
    <w:rsid w:val="00936C71"/>
    <w:rsid w:val="009378C2"/>
    <w:rsid w:val="0094095F"/>
    <w:rsid w:val="00942EC9"/>
    <w:rsid w:val="00946A92"/>
    <w:rsid w:val="00946D42"/>
    <w:rsid w:val="00947967"/>
    <w:rsid w:val="00947CEE"/>
    <w:rsid w:val="00953F11"/>
    <w:rsid w:val="0095437C"/>
    <w:rsid w:val="009546A4"/>
    <w:rsid w:val="00955201"/>
    <w:rsid w:val="00955BAD"/>
    <w:rsid w:val="0095638F"/>
    <w:rsid w:val="0096031C"/>
    <w:rsid w:val="009606E6"/>
    <w:rsid w:val="009615E2"/>
    <w:rsid w:val="00962AF7"/>
    <w:rsid w:val="009632A0"/>
    <w:rsid w:val="00965200"/>
    <w:rsid w:val="009668B3"/>
    <w:rsid w:val="009673AF"/>
    <w:rsid w:val="00970568"/>
    <w:rsid w:val="00971177"/>
    <w:rsid w:val="00971471"/>
    <w:rsid w:val="009775A1"/>
    <w:rsid w:val="00980DB0"/>
    <w:rsid w:val="00981775"/>
    <w:rsid w:val="009839CF"/>
    <w:rsid w:val="009849C2"/>
    <w:rsid w:val="00984D24"/>
    <w:rsid w:val="009858EB"/>
    <w:rsid w:val="00990D1D"/>
    <w:rsid w:val="00991540"/>
    <w:rsid w:val="00993754"/>
    <w:rsid w:val="009A0D3B"/>
    <w:rsid w:val="009A2C0A"/>
    <w:rsid w:val="009A3F47"/>
    <w:rsid w:val="009A434F"/>
    <w:rsid w:val="009A5221"/>
    <w:rsid w:val="009B0046"/>
    <w:rsid w:val="009B4FA5"/>
    <w:rsid w:val="009B7A8A"/>
    <w:rsid w:val="009C002D"/>
    <w:rsid w:val="009C1440"/>
    <w:rsid w:val="009C2107"/>
    <w:rsid w:val="009C2498"/>
    <w:rsid w:val="009C2833"/>
    <w:rsid w:val="009C408C"/>
    <w:rsid w:val="009C48E5"/>
    <w:rsid w:val="009C5D9E"/>
    <w:rsid w:val="009C6A5A"/>
    <w:rsid w:val="009C6F47"/>
    <w:rsid w:val="009C73EA"/>
    <w:rsid w:val="009D2C3E"/>
    <w:rsid w:val="009D320A"/>
    <w:rsid w:val="009D42F8"/>
    <w:rsid w:val="009D48E9"/>
    <w:rsid w:val="009E0625"/>
    <w:rsid w:val="009E1AF9"/>
    <w:rsid w:val="009E2DD1"/>
    <w:rsid w:val="009E3034"/>
    <w:rsid w:val="009E507A"/>
    <w:rsid w:val="009E549F"/>
    <w:rsid w:val="009E7621"/>
    <w:rsid w:val="009E7BC3"/>
    <w:rsid w:val="009E7D12"/>
    <w:rsid w:val="009F1EDE"/>
    <w:rsid w:val="009F28A8"/>
    <w:rsid w:val="009F3271"/>
    <w:rsid w:val="009F3475"/>
    <w:rsid w:val="009F473E"/>
    <w:rsid w:val="009F4A10"/>
    <w:rsid w:val="009F5247"/>
    <w:rsid w:val="009F56BD"/>
    <w:rsid w:val="009F6040"/>
    <w:rsid w:val="009F682A"/>
    <w:rsid w:val="009F6FCE"/>
    <w:rsid w:val="00A0187F"/>
    <w:rsid w:val="00A022BE"/>
    <w:rsid w:val="00A07AE2"/>
    <w:rsid w:val="00A07B4B"/>
    <w:rsid w:val="00A11AE6"/>
    <w:rsid w:val="00A12A52"/>
    <w:rsid w:val="00A16388"/>
    <w:rsid w:val="00A1746A"/>
    <w:rsid w:val="00A17703"/>
    <w:rsid w:val="00A209EC"/>
    <w:rsid w:val="00A213C8"/>
    <w:rsid w:val="00A21EBE"/>
    <w:rsid w:val="00A2229D"/>
    <w:rsid w:val="00A22808"/>
    <w:rsid w:val="00A24C95"/>
    <w:rsid w:val="00A258D2"/>
    <w:rsid w:val="00A2599A"/>
    <w:rsid w:val="00A26094"/>
    <w:rsid w:val="00A26E86"/>
    <w:rsid w:val="00A270E3"/>
    <w:rsid w:val="00A301BF"/>
    <w:rsid w:val="00A302B2"/>
    <w:rsid w:val="00A331B4"/>
    <w:rsid w:val="00A33AB6"/>
    <w:rsid w:val="00A342C6"/>
    <w:rsid w:val="00A3484E"/>
    <w:rsid w:val="00A356D3"/>
    <w:rsid w:val="00A36ADA"/>
    <w:rsid w:val="00A376DB"/>
    <w:rsid w:val="00A3786A"/>
    <w:rsid w:val="00A37C4D"/>
    <w:rsid w:val="00A402A8"/>
    <w:rsid w:val="00A410DE"/>
    <w:rsid w:val="00A428E0"/>
    <w:rsid w:val="00A438D8"/>
    <w:rsid w:val="00A45F6E"/>
    <w:rsid w:val="00A473F5"/>
    <w:rsid w:val="00A50615"/>
    <w:rsid w:val="00A51F9D"/>
    <w:rsid w:val="00A52108"/>
    <w:rsid w:val="00A524E1"/>
    <w:rsid w:val="00A5416A"/>
    <w:rsid w:val="00A56562"/>
    <w:rsid w:val="00A6290C"/>
    <w:rsid w:val="00A62DC0"/>
    <w:rsid w:val="00A63506"/>
    <w:rsid w:val="00A639F4"/>
    <w:rsid w:val="00A64A7A"/>
    <w:rsid w:val="00A65864"/>
    <w:rsid w:val="00A65FAE"/>
    <w:rsid w:val="00A70424"/>
    <w:rsid w:val="00A71675"/>
    <w:rsid w:val="00A71A1C"/>
    <w:rsid w:val="00A72C32"/>
    <w:rsid w:val="00A74485"/>
    <w:rsid w:val="00A745A6"/>
    <w:rsid w:val="00A74D9F"/>
    <w:rsid w:val="00A76E6C"/>
    <w:rsid w:val="00A77CA2"/>
    <w:rsid w:val="00A815FF"/>
    <w:rsid w:val="00A81A32"/>
    <w:rsid w:val="00A82145"/>
    <w:rsid w:val="00A835BD"/>
    <w:rsid w:val="00A84A24"/>
    <w:rsid w:val="00A857DB"/>
    <w:rsid w:val="00A862B2"/>
    <w:rsid w:val="00A87969"/>
    <w:rsid w:val="00A87BAA"/>
    <w:rsid w:val="00A91949"/>
    <w:rsid w:val="00A922DE"/>
    <w:rsid w:val="00A95219"/>
    <w:rsid w:val="00A9700E"/>
    <w:rsid w:val="00A97B15"/>
    <w:rsid w:val="00AA0269"/>
    <w:rsid w:val="00AA04D2"/>
    <w:rsid w:val="00AA3C4A"/>
    <w:rsid w:val="00AA4110"/>
    <w:rsid w:val="00AA42D5"/>
    <w:rsid w:val="00AA5AD0"/>
    <w:rsid w:val="00AA65FF"/>
    <w:rsid w:val="00AA67FF"/>
    <w:rsid w:val="00AA6B94"/>
    <w:rsid w:val="00AA755E"/>
    <w:rsid w:val="00AB1B57"/>
    <w:rsid w:val="00AB2536"/>
    <w:rsid w:val="00AB2DE9"/>
    <w:rsid w:val="00AB2FAB"/>
    <w:rsid w:val="00AB53D0"/>
    <w:rsid w:val="00AB5C14"/>
    <w:rsid w:val="00AB7F98"/>
    <w:rsid w:val="00AC0334"/>
    <w:rsid w:val="00AC1EE7"/>
    <w:rsid w:val="00AC333F"/>
    <w:rsid w:val="00AC3BC1"/>
    <w:rsid w:val="00AC3D3D"/>
    <w:rsid w:val="00AC585C"/>
    <w:rsid w:val="00AC63D4"/>
    <w:rsid w:val="00AC645C"/>
    <w:rsid w:val="00AC6752"/>
    <w:rsid w:val="00AD1587"/>
    <w:rsid w:val="00AD1925"/>
    <w:rsid w:val="00AD4878"/>
    <w:rsid w:val="00AD4E38"/>
    <w:rsid w:val="00AD4EB1"/>
    <w:rsid w:val="00AD7F22"/>
    <w:rsid w:val="00AE067D"/>
    <w:rsid w:val="00AE6238"/>
    <w:rsid w:val="00AF0686"/>
    <w:rsid w:val="00AF1181"/>
    <w:rsid w:val="00AF140E"/>
    <w:rsid w:val="00AF2F79"/>
    <w:rsid w:val="00AF4653"/>
    <w:rsid w:val="00AF7967"/>
    <w:rsid w:val="00AF7DB7"/>
    <w:rsid w:val="00B013AB"/>
    <w:rsid w:val="00B01878"/>
    <w:rsid w:val="00B033BA"/>
    <w:rsid w:val="00B10461"/>
    <w:rsid w:val="00B10960"/>
    <w:rsid w:val="00B10D02"/>
    <w:rsid w:val="00B13CE7"/>
    <w:rsid w:val="00B148F4"/>
    <w:rsid w:val="00B153E8"/>
    <w:rsid w:val="00B201E2"/>
    <w:rsid w:val="00B20D74"/>
    <w:rsid w:val="00B3617E"/>
    <w:rsid w:val="00B40DD5"/>
    <w:rsid w:val="00B40FF3"/>
    <w:rsid w:val="00B443E4"/>
    <w:rsid w:val="00B46543"/>
    <w:rsid w:val="00B47CFC"/>
    <w:rsid w:val="00B522D2"/>
    <w:rsid w:val="00B5260C"/>
    <w:rsid w:val="00B5484D"/>
    <w:rsid w:val="00B557B2"/>
    <w:rsid w:val="00B55BEE"/>
    <w:rsid w:val="00B5611D"/>
    <w:rsid w:val="00B563EA"/>
    <w:rsid w:val="00B56CDF"/>
    <w:rsid w:val="00B576FF"/>
    <w:rsid w:val="00B60E4B"/>
    <w:rsid w:val="00B60E51"/>
    <w:rsid w:val="00B61956"/>
    <w:rsid w:val="00B63A54"/>
    <w:rsid w:val="00B63A5F"/>
    <w:rsid w:val="00B64403"/>
    <w:rsid w:val="00B65D91"/>
    <w:rsid w:val="00B6759C"/>
    <w:rsid w:val="00B7035A"/>
    <w:rsid w:val="00B7160E"/>
    <w:rsid w:val="00B72463"/>
    <w:rsid w:val="00B728AE"/>
    <w:rsid w:val="00B75C73"/>
    <w:rsid w:val="00B77D18"/>
    <w:rsid w:val="00B81ADC"/>
    <w:rsid w:val="00B823C7"/>
    <w:rsid w:val="00B8313A"/>
    <w:rsid w:val="00B85DEC"/>
    <w:rsid w:val="00B90773"/>
    <w:rsid w:val="00B93503"/>
    <w:rsid w:val="00B94F86"/>
    <w:rsid w:val="00B975DE"/>
    <w:rsid w:val="00BA03B8"/>
    <w:rsid w:val="00BA0E8F"/>
    <w:rsid w:val="00BA31E8"/>
    <w:rsid w:val="00BA390A"/>
    <w:rsid w:val="00BA55E0"/>
    <w:rsid w:val="00BA6BD4"/>
    <w:rsid w:val="00BA6C7A"/>
    <w:rsid w:val="00BA7D1E"/>
    <w:rsid w:val="00BB17D1"/>
    <w:rsid w:val="00BB3752"/>
    <w:rsid w:val="00BB3A62"/>
    <w:rsid w:val="00BB4ACF"/>
    <w:rsid w:val="00BB6688"/>
    <w:rsid w:val="00BB7D41"/>
    <w:rsid w:val="00BC26D4"/>
    <w:rsid w:val="00BC3788"/>
    <w:rsid w:val="00BD14B2"/>
    <w:rsid w:val="00BD1726"/>
    <w:rsid w:val="00BD2740"/>
    <w:rsid w:val="00BD2781"/>
    <w:rsid w:val="00BD4348"/>
    <w:rsid w:val="00BD4A5B"/>
    <w:rsid w:val="00BD759D"/>
    <w:rsid w:val="00BD7ECC"/>
    <w:rsid w:val="00BE0C80"/>
    <w:rsid w:val="00BE4D62"/>
    <w:rsid w:val="00BE6185"/>
    <w:rsid w:val="00BE72E2"/>
    <w:rsid w:val="00BF0291"/>
    <w:rsid w:val="00BF0E0C"/>
    <w:rsid w:val="00BF2A42"/>
    <w:rsid w:val="00BF38CB"/>
    <w:rsid w:val="00BF452C"/>
    <w:rsid w:val="00BF49EA"/>
    <w:rsid w:val="00BF4EB5"/>
    <w:rsid w:val="00BF6AE5"/>
    <w:rsid w:val="00C00FC6"/>
    <w:rsid w:val="00C02C8A"/>
    <w:rsid w:val="00C03D8C"/>
    <w:rsid w:val="00C03FE7"/>
    <w:rsid w:val="00C0475C"/>
    <w:rsid w:val="00C04DC4"/>
    <w:rsid w:val="00C055EC"/>
    <w:rsid w:val="00C0701E"/>
    <w:rsid w:val="00C106A5"/>
    <w:rsid w:val="00C10DC9"/>
    <w:rsid w:val="00C12FB3"/>
    <w:rsid w:val="00C16ADF"/>
    <w:rsid w:val="00C16BE7"/>
    <w:rsid w:val="00C17341"/>
    <w:rsid w:val="00C22500"/>
    <w:rsid w:val="00C24EEF"/>
    <w:rsid w:val="00C25CF6"/>
    <w:rsid w:val="00C26C36"/>
    <w:rsid w:val="00C31A44"/>
    <w:rsid w:val="00C32768"/>
    <w:rsid w:val="00C342DB"/>
    <w:rsid w:val="00C359B0"/>
    <w:rsid w:val="00C367A1"/>
    <w:rsid w:val="00C4239D"/>
    <w:rsid w:val="00C4296E"/>
    <w:rsid w:val="00C431DF"/>
    <w:rsid w:val="00C43767"/>
    <w:rsid w:val="00C44435"/>
    <w:rsid w:val="00C45319"/>
    <w:rsid w:val="00C4535A"/>
    <w:rsid w:val="00C456BD"/>
    <w:rsid w:val="00C458EA"/>
    <w:rsid w:val="00C460B3"/>
    <w:rsid w:val="00C46A9F"/>
    <w:rsid w:val="00C471A0"/>
    <w:rsid w:val="00C50E9E"/>
    <w:rsid w:val="00C510EE"/>
    <w:rsid w:val="00C52B88"/>
    <w:rsid w:val="00C530DC"/>
    <w:rsid w:val="00C5350D"/>
    <w:rsid w:val="00C55E0E"/>
    <w:rsid w:val="00C562EA"/>
    <w:rsid w:val="00C6123C"/>
    <w:rsid w:val="00C61516"/>
    <w:rsid w:val="00C6311A"/>
    <w:rsid w:val="00C6425A"/>
    <w:rsid w:val="00C64AAE"/>
    <w:rsid w:val="00C66119"/>
    <w:rsid w:val="00C678BE"/>
    <w:rsid w:val="00C67D13"/>
    <w:rsid w:val="00C7084D"/>
    <w:rsid w:val="00C7134A"/>
    <w:rsid w:val="00C71E99"/>
    <w:rsid w:val="00C72ABA"/>
    <w:rsid w:val="00C7315E"/>
    <w:rsid w:val="00C7452C"/>
    <w:rsid w:val="00C75895"/>
    <w:rsid w:val="00C758A3"/>
    <w:rsid w:val="00C76DBB"/>
    <w:rsid w:val="00C770E0"/>
    <w:rsid w:val="00C80187"/>
    <w:rsid w:val="00C813D9"/>
    <w:rsid w:val="00C83C9F"/>
    <w:rsid w:val="00C85675"/>
    <w:rsid w:val="00C87068"/>
    <w:rsid w:val="00C91FC0"/>
    <w:rsid w:val="00C94840"/>
    <w:rsid w:val="00CA1D5B"/>
    <w:rsid w:val="00CA4EE3"/>
    <w:rsid w:val="00CB027F"/>
    <w:rsid w:val="00CB3EF9"/>
    <w:rsid w:val="00CB414A"/>
    <w:rsid w:val="00CB7B9D"/>
    <w:rsid w:val="00CC0EBB"/>
    <w:rsid w:val="00CC5AC0"/>
    <w:rsid w:val="00CC6297"/>
    <w:rsid w:val="00CC6405"/>
    <w:rsid w:val="00CC6E4C"/>
    <w:rsid w:val="00CC7690"/>
    <w:rsid w:val="00CD1986"/>
    <w:rsid w:val="00CD21E2"/>
    <w:rsid w:val="00CD262F"/>
    <w:rsid w:val="00CD54BF"/>
    <w:rsid w:val="00CE2BC8"/>
    <w:rsid w:val="00CE4D5C"/>
    <w:rsid w:val="00CE5D8B"/>
    <w:rsid w:val="00CE7398"/>
    <w:rsid w:val="00CE7BEB"/>
    <w:rsid w:val="00CF05DA"/>
    <w:rsid w:val="00CF158C"/>
    <w:rsid w:val="00CF58EB"/>
    <w:rsid w:val="00CF5AB7"/>
    <w:rsid w:val="00CF6FEC"/>
    <w:rsid w:val="00CF79C1"/>
    <w:rsid w:val="00CF7A0D"/>
    <w:rsid w:val="00D0106E"/>
    <w:rsid w:val="00D019C5"/>
    <w:rsid w:val="00D033DC"/>
    <w:rsid w:val="00D04218"/>
    <w:rsid w:val="00D06383"/>
    <w:rsid w:val="00D0680A"/>
    <w:rsid w:val="00D06AD5"/>
    <w:rsid w:val="00D10F87"/>
    <w:rsid w:val="00D152A6"/>
    <w:rsid w:val="00D152D8"/>
    <w:rsid w:val="00D1637A"/>
    <w:rsid w:val="00D20E85"/>
    <w:rsid w:val="00D213EC"/>
    <w:rsid w:val="00D22334"/>
    <w:rsid w:val="00D23BDD"/>
    <w:rsid w:val="00D24615"/>
    <w:rsid w:val="00D24702"/>
    <w:rsid w:val="00D25D68"/>
    <w:rsid w:val="00D31115"/>
    <w:rsid w:val="00D316F8"/>
    <w:rsid w:val="00D35F39"/>
    <w:rsid w:val="00D36A49"/>
    <w:rsid w:val="00D37312"/>
    <w:rsid w:val="00D37842"/>
    <w:rsid w:val="00D42DC2"/>
    <w:rsid w:val="00D4302B"/>
    <w:rsid w:val="00D448AC"/>
    <w:rsid w:val="00D464A9"/>
    <w:rsid w:val="00D47D12"/>
    <w:rsid w:val="00D51A31"/>
    <w:rsid w:val="00D53757"/>
    <w:rsid w:val="00D537E1"/>
    <w:rsid w:val="00D55BB2"/>
    <w:rsid w:val="00D564FE"/>
    <w:rsid w:val="00D604DC"/>
    <w:rsid w:val="00D6091A"/>
    <w:rsid w:val="00D65289"/>
    <w:rsid w:val="00D6605A"/>
    <w:rsid w:val="00D66400"/>
    <w:rsid w:val="00D6695F"/>
    <w:rsid w:val="00D70049"/>
    <w:rsid w:val="00D715D9"/>
    <w:rsid w:val="00D75644"/>
    <w:rsid w:val="00D75DB7"/>
    <w:rsid w:val="00D7619E"/>
    <w:rsid w:val="00D77428"/>
    <w:rsid w:val="00D80996"/>
    <w:rsid w:val="00D81656"/>
    <w:rsid w:val="00D81C91"/>
    <w:rsid w:val="00D83D87"/>
    <w:rsid w:val="00D84A6D"/>
    <w:rsid w:val="00D86221"/>
    <w:rsid w:val="00D86A30"/>
    <w:rsid w:val="00D86A59"/>
    <w:rsid w:val="00D86D28"/>
    <w:rsid w:val="00D9376F"/>
    <w:rsid w:val="00D97CB4"/>
    <w:rsid w:val="00D97DB7"/>
    <w:rsid w:val="00D97DD4"/>
    <w:rsid w:val="00DA0C63"/>
    <w:rsid w:val="00DA2DB2"/>
    <w:rsid w:val="00DA5A8A"/>
    <w:rsid w:val="00DA5FC4"/>
    <w:rsid w:val="00DB0436"/>
    <w:rsid w:val="00DB1170"/>
    <w:rsid w:val="00DB26CD"/>
    <w:rsid w:val="00DB2D3D"/>
    <w:rsid w:val="00DB441C"/>
    <w:rsid w:val="00DB44AF"/>
    <w:rsid w:val="00DB676E"/>
    <w:rsid w:val="00DB770C"/>
    <w:rsid w:val="00DC0F9D"/>
    <w:rsid w:val="00DC1F58"/>
    <w:rsid w:val="00DC2739"/>
    <w:rsid w:val="00DC339B"/>
    <w:rsid w:val="00DC5D40"/>
    <w:rsid w:val="00DC6349"/>
    <w:rsid w:val="00DC664D"/>
    <w:rsid w:val="00DC69A7"/>
    <w:rsid w:val="00DC71B7"/>
    <w:rsid w:val="00DC7CC0"/>
    <w:rsid w:val="00DD162C"/>
    <w:rsid w:val="00DD2D27"/>
    <w:rsid w:val="00DD30E9"/>
    <w:rsid w:val="00DD31FC"/>
    <w:rsid w:val="00DD4F47"/>
    <w:rsid w:val="00DD7FBB"/>
    <w:rsid w:val="00DE0B9F"/>
    <w:rsid w:val="00DE2A9E"/>
    <w:rsid w:val="00DE41E3"/>
    <w:rsid w:val="00DE4238"/>
    <w:rsid w:val="00DE4B73"/>
    <w:rsid w:val="00DE4E85"/>
    <w:rsid w:val="00DE5283"/>
    <w:rsid w:val="00DE657F"/>
    <w:rsid w:val="00DF1218"/>
    <w:rsid w:val="00DF2953"/>
    <w:rsid w:val="00DF2C44"/>
    <w:rsid w:val="00DF5A14"/>
    <w:rsid w:val="00DF6462"/>
    <w:rsid w:val="00DF718E"/>
    <w:rsid w:val="00E010CA"/>
    <w:rsid w:val="00E022E0"/>
    <w:rsid w:val="00E02753"/>
    <w:rsid w:val="00E02FA0"/>
    <w:rsid w:val="00E030E0"/>
    <w:rsid w:val="00E036DC"/>
    <w:rsid w:val="00E05140"/>
    <w:rsid w:val="00E10454"/>
    <w:rsid w:val="00E112E5"/>
    <w:rsid w:val="00E11E88"/>
    <w:rsid w:val="00E12283"/>
    <w:rsid w:val="00E122D8"/>
    <w:rsid w:val="00E128A2"/>
    <w:rsid w:val="00E128EB"/>
    <w:rsid w:val="00E12CC8"/>
    <w:rsid w:val="00E12E43"/>
    <w:rsid w:val="00E15352"/>
    <w:rsid w:val="00E1640D"/>
    <w:rsid w:val="00E16E20"/>
    <w:rsid w:val="00E20857"/>
    <w:rsid w:val="00E21CC7"/>
    <w:rsid w:val="00E24308"/>
    <w:rsid w:val="00E244CD"/>
    <w:rsid w:val="00E24D9E"/>
    <w:rsid w:val="00E25849"/>
    <w:rsid w:val="00E300E1"/>
    <w:rsid w:val="00E3197E"/>
    <w:rsid w:val="00E31BF7"/>
    <w:rsid w:val="00E32A21"/>
    <w:rsid w:val="00E342F8"/>
    <w:rsid w:val="00E351ED"/>
    <w:rsid w:val="00E35E6B"/>
    <w:rsid w:val="00E42B19"/>
    <w:rsid w:val="00E43E86"/>
    <w:rsid w:val="00E452CD"/>
    <w:rsid w:val="00E47EE6"/>
    <w:rsid w:val="00E52264"/>
    <w:rsid w:val="00E52E9F"/>
    <w:rsid w:val="00E6034B"/>
    <w:rsid w:val="00E614F0"/>
    <w:rsid w:val="00E63200"/>
    <w:rsid w:val="00E6549E"/>
    <w:rsid w:val="00E65EDE"/>
    <w:rsid w:val="00E66223"/>
    <w:rsid w:val="00E66FEE"/>
    <w:rsid w:val="00E70A0B"/>
    <w:rsid w:val="00E70F81"/>
    <w:rsid w:val="00E73A23"/>
    <w:rsid w:val="00E7434B"/>
    <w:rsid w:val="00E764CD"/>
    <w:rsid w:val="00E77055"/>
    <w:rsid w:val="00E77460"/>
    <w:rsid w:val="00E81F41"/>
    <w:rsid w:val="00E83ABC"/>
    <w:rsid w:val="00E83FA9"/>
    <w:rsid w:val="00E844F2"/>
    <w:rsid w:val="00E87A51"/>
    <w:rsid w:val="00E90AD0"/>
    <w:rsid w:val="00E90DFA"/>
    <w:rsid w:val="00E927F7"/>
    <w:rsid w:val="00E92FCB"/>
    <w:rsid w:val="00E940E2"/>
    <w:rsid w:val="00E95217"/>
    <w:rsid w:val="00E959DF"/>
    <w:rsid w:val="00E968FE"/>
    <w:rsid w:val="00E970E3"/>
    <w:rsid w:val="00EA0A8C"/>
    <w:rsid w:val="00EA1292"/>
    <w:rsid w:val="00EA147F"/>
    <w:rsid w:val="00EA2DF0"/>
    <w:rsid w:val="00EA4A27"/>
    <w:rsid w:val="00EA4FA6"/>
    <w:rsid w:val="00EA53F2"/>
    <w:rsid w:val="00EA6932"/>
    <w:rsid w:val="00EB042A"/>
    <w:rsid w:val="00EB1A25"/>
    <w:rsid w:val="00EB24C4"/>
    <w:rsid w:val="00EB28CE"/>
    <w:rsid w:val="00EB7142"/>
    <w:rsid w:val="00EC1F89"/>
    <w:rsid w:val="00EC3460"/>
    <w:rsid w:val="00EC3AAF"/>
    <w:rsid w:val="00EC559B"/>
    <w:rsid w:val="00EC7363"/>
    <w:rsid w:val="00EC7FFA"/>
    <w:rsid w:val="00ED03AB"/>
    <w:rsid w:val="00ED194F"/>
    <w:rsid w:val="00ED1963"/>
    <w:rsid w:val="00ED1CD4"/>
    <w:rsid w:val="00ED1D2B"/>
    <w:rsid w:val="00ED28CE"/>
    <w:rsid w:val="00ED3EA5"/>
    <w:rsid w:val="00ED53E0"/>
    <w:rsid w:val="00ED64B5"/>
    <w:rsid w:val="00EE03DA"/>
    <w:rsid w:val="00EE0A63"/>
    <w:rsid w:val="00EE0D60"/>
    <w:rsid w:val="00EE1B61"/>
    <w:rsid w:val="00EE32A3"/>
    <w:rsid w:val="00EE3C92"/>
    <w:rsid w:val="00EE7CCA"/>
    <w:rsid w:val="00EF053D"/>
    <w:rsid w:val="00EF58D4"/>
    <w:rsid w:val="00EF6F6C"/>
    <w:rsid w:val="00EF7365"/>
    <w:rsid w:val="00F030AB"/>
    <w:rsid w:val="00F05464"/>
    <w:rsid w:val="00F05C59"/>
    <w:rsid w:val="00F05DE9"/>
    <w:rsid w:val="00F06E53"/>
    <w:rsid w:val="00F07272"/>
    <w:rsid w:val="00F11D78"/>
    <w:rsid w:val="00F12BD3"/>
    <w:rsid w:val="00F16A14"/>
    <w:rsid w:val="00F16A78"/>
    <w:rsid w:val="00F17C01"/>
    <w:rsid w:val="00F24281"/>
    <w:rsid w:val="00F2606D"/>
    <w:rsid w:val="00F3579B"/>
    <w:rsid w:val="00F362D7"/>
    <w:rsid w:val="00F370C6"/>
    <w:rsid w:val="00F371CA"/>
    <w:rsid w:val="00F37446"/>
    <w:rsid w:val="00F37D7B"/>
    <w:rsid w:val="00F41E80"/>
    <w:rsid w:val="00F4337D"/>
    <w:rsid w:val="00F46029"/>
    <w:rsid w:val="00F47E29"/>
    <w:rsid w:val="00F50A43"/>
    <w:rsid w:val="00F5314C"/>
    <w:rsid w:val="00F5688C"/>
    <w:rsid w:val="00F60048"/>
    <w:rsid w:val="00F61A6C"/>
    <w:rsid w:val="00F62DA4"/>
    <w:rsid w:val="00F635DD"/>
    <w:rsid w:val="00F650AF"/>
    <w:rsid w:val="00F6627B"/>
    <w:rsid w:val="00F7336E"/>
    <w:rsid w:val="00F7340C"/>
    <w:rsid w:val="00F7346B"/>
    <w:rsid w:val="00F734F2"/>
    <w:rsid w:val="00F73AA0"/>
    <w:rsid w:val="00F73AFF"/>
    <w:rsid w:val="00F75052"/>
    <w:rsid w:val="00F76F41"/>
    <w:rsid w:val="00F7790A"/>
    <w:rsid w:val="00F804D3"/>
    <w:rsid w:val="00F80864"/>
    <w:rsid w:val="00F80EF1"/>
    <w:rsid w:val="00F816CB"/>
    <w:rsid w:val="00F81CD2"/>
    <w:rsid w:val="00F82443"/>
    <w:rsid w:val="00F82641"/>
    <w:rsid w:val="00F837C0"/>
    <w:rsid w:val="00F83E14"/>
    <w:rsid w:val="00F843A8"/>
    <w:rsid w:val="00F85F82"/>
    <w:rsid w:val="00F90F18"/>
    <w:rsid w:val="00F917EF"/>
    <w:rsid w:val="00F919D7"/>
    <w:rsid w:val="00F937E4"/>
    <w:rsid w:val="00F94B2D"/>
    <w:rsid w:val="00F95EE7"/>
    <w:rsid w:val="00FA02BD"/>
    <w:rsid w:val="00FA0501"/>
    <w:rsid w:val="00FA08E2"/>
    <w:rsid w:val="00FA1443"/>
    <w:rsid w:val="00FA39E6"/>
    <w:rsid w:val="00FA4EB8"/>
    <w:rsid w:val="00FA5249"/>
    <w:rsid w:val="00FA6339"/>
    <w:rsid w:val="00FA7BC9"/>
    <w:rsid w:val="00FA7ECC"/>
    <w:rsid w:val="00FB0FD7"/>
    <w:rsid w:val="00FB2C6C"/>
    <w:rsid w:val="00FB378E"/>
    <w:rsid w:val="00FB37F1"/>
    <w:rsid w:val="00FB3F12"/>
    <w:rsid w:val="00FB47C0"/>
    <w:rsid w:val="00FB4B1A"/>
    <w:rsid w:val="00FB501B"/>
    <w:rsid w:val="00FB6E2D"/>
    <w:rsid w:val="00FB719A"/>
    <w:rsid w:val="00FB7591"/>
    <w:rsid w:val="00FB7770"/>
    <w:rsid w:val="00FC03E5"/>
    <w:rsid w:val="00FC0706"/>
    <w:rsid w:val="00FC48C9"/>
    <w:rsid w:val="00FC781C"/>
    <w:rsid w:val="00FC78F2"/>
    <w:rsid w:val="00FD3B91"/>
    <w:rsid w:val="00FD576B"/>
    <w:rsid w:val="00FD579E"/>
    <w:rsid w:val="00FD6845"/>
    <w:rsid w:val="00FD6E66"/>
    <w:rsid w:val="00FE2B6D"/>
    <w:rsid w:val="00FE2FC0"/>
    <w:rsid w:val="00FE3A6B"/>
    <w:rsid w:val="00FE4516"/>
    <w:rsid w:val="00FE5775"/>
    <w:rsid w:val="00FE6424"/>
    <w:rsid w:val="00FE64C8"/>
    <w:rsid w:val="00FE6D51"/>
    <w:rsid w:val="00FE7414"/>
    <w:rsid w:val="00FF39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780B69-ECC7-43CA-9EC3-56E820BB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7"/>
      </w:numPr>
      <w:outlineLvl w:val="0"/>
    </w:pPr>
    <w:rPr>
      <w:rFonts w:hAnsi="Arial"/>
      <w:bCs/>
      <w:kern w:val="32"/>
      <w:szCs w:val="52"/>
    </w:rPr>
  </w:style>
  <w:style w:type="paragraph" w:styleId="2">
    <w:name w:val="heading 2"/>
    <w:aliases w:val="標題110/111,節"/>
    <w:basedOn w:val="a6"/>
    <w:link w:val="20"/>
    <w:qFormat/>
    <w:rsid w:val="004F5E57"/>
    <w:pPr>
      <w:numPr>
        <w:ilvl w:val="1"/>
        <w:numId w:val="7"/>
      </w:numPr>
      <w:outlineLvl w:val="1"/>
    </w:pPr>
    <w:rPr>
      <w:rFonts w:hAnsi="Arial"/>
      <w:bCs/>
      <w:kern w:val="32"/>
      <w:szCs w:val="48"/>
    </w:rPr>
  </w:style>
  <w:style w:type="paragraph" w:styleId="3">
    <w:name w:val="heading 3"/>
    <w:basedOn w:val="a6"/>
    <w:link w:val="30"/>
    <w:uiPriority w:val="9"/>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B5996"/>
    <w:pPr>
      <w:overflowPunct/>
      <w:autoSpaceDE/>
      <w:autoSpaceDN/>
      <w:snapToGrid w:val="0"/>
      <w:jc w:val="left"/>
    </w:pPr>
    <w:rPr>
      <w:rFonts w:ascii="Times New Roman"/>
      <w:sz w:val="20"/>
    </w:rPr>
  </w:style>
  <w:style w:type="character" w:customStyle="1" w:styleId="afd">
    <w:name w:val="註腳文字 字元"/>
    <w:basedOn w:val="a7"/>
    <w:link w:val="afc"/>
    <w:uiPriority w:val="99"/>
    <w:semiHidden/>
    <w:rsid w:val="003B5996"/>
    <w:rPr>
      <w:rFonts w:eastAsia="標楷體"/>
      <w:kern w:val="2"/>
    </w:rPr>
  </w:style>
  <w:style w:type="character" w:styleId="afe">
    <w:name w:val="footnote reference"/>
    <w:uiPriority w:val="99"/>
    <w:semiHidden/>
    <w:unhideWhenUsed/>
    <w:rsid w:val="003B5996"/>
    <w:rPr>
      <w:vertAlign w:val="superscript"/>
    </w:rPr>
  </w:style>
  <w:style w:type="paragraph" w:styleId="aff">
    <w:name w:val="No Spacing"/>
    <w:basedOn w:val="a6"/>
    <w:uiPriority w:val="1"/>
    <w:qFormat/>
    <w:rsid w:val="00E12E43"/>
    <w:pPr>
      <w:kinsoku w:val="0"/>
      <w:overflowPunct/>
      <w:autoSpaceDE/>
      <w:autoSpaceDN/>
      <w:ind w:left="1418" w:firstLine="567"/>
      <w:outlineLvl w:val="2"/>
    </w:pPr>
    <w:rPr>
      <w:rFonts w:hAnsi="Arial"/>
      <w:bCs/>
      <w:kern w:val="0"/>
      <w:szCs w:val="36"/>
    </w:rPr>
  </w:style>
  <w:style w:type="paragraph" w:styleId="HTML">
    <w:name w:val="HTML Preformatted"/>
    <w:basedOn w:val="a6"/>
    <w:link w:val="HTML0"/>
    <w:uiPriority w:val="99"/>
    <w:semiHidden/>
    <w:unhideWhenUsed/>
    <w:rsid w:val="00107319"/>
    <w:rPr>
      <w:rFonts w:ascii="Courier New" w:hAnsi="Courier New" w:cs="Courier New"/>
      <w:sz w:val="20"/>
    </w:rPr>
  </w:style>
  <w:style w:type="character" w:customStyle="1" w:styleId="HTML0">
    <w:name w:val="HTML 預設格式 字元"/>
    <w:basedOn w:val="a7"/>
    <w:link w:val="HTML"/>
    <w:uiPriority w:val="99"/>
    <w:semiHidden/>
    <w:rsid w:val="00107319"/>
    <w:rPr>
      <w:rFonts w:ascii="Courier New" w:eastAsia="標楷體" w:hAnsi="Courier New" w:cs="Courier New"/>
      <w:kern w:val="2"/>
    </w:rPr>
  </w:style>
  <w:style w:type="character" w:customStyle="1" w:styleId="30">
    <w:name w:val="標題 3 字元"/>
    <w:basedOn w:val="a7"/>
    <w:link w:val="3"/>
    <w:uiPriority w:val="9"/>
    <w:rsid w:val="00600DC0"/>
    <w:rPr>
      <w:rFonts w:ascii="標楷體" w:eastAsia="標楷體" w:hAnsi="Arial"/>
      <w:bCs/>
      <w:kern w:val="32"/>
      <w:sz w:val="32"/>
      <w:szCs w:val="36"/>
    </w:rPr>
  </w:style>
  <w:style w:type="character" w:customStyle="1" w:styleId="40">
    <w:name w:val="標題 4 字元"/>
    <w:basedOn w:val="a7"/>
    <w:link w:val="4"/>
    <w:rsid w:val="00600DC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9126">
      <w:bodyDiv w:val="1"/>
      <w:marLeft w:val="0"/>
      <w:marRight w:val="0"/>
      <w:marTop w:val="0"/>
      <w:marBottom w:val="0"/>
      <w:divBdr>
        <w:top w:val="none" w:sz="0" w:space="0" w:color="auto"/>
        <w:left w:val="none" w:sz="0" w:space="0" w:color="auto"/>
        <w:bottom w:val="none" w:sz="0" w:space="0" w:color="auto"/>
        <w:right w:val="none" w:sz="0" w:space="0" w:color="auto"/>
      </w:divBdr>
      <w:divsChild>
        <w:div w:id="772940382">
          <w:marLeft w:val="0"/>
          <w:marRight w:val="0"/>
          <w:marTop w:val="0"/>
          <w:marBottom w:val="0"/>
          <w:divBdr>
            <w:top w:val="none" w:sz="0" w:space="0" w:color="auto"/>
            <w:left w:val="none" w:sz="0" w:space="0" w:color="auto"/>
            <w:bottom w:val="none" w:sz="0" w:space="0" w:color="auto"/>
            <w:right w:val="none" w:sz="0" w:space="0" w:color="auto"/>
          </w:divBdr>
          <w:divsChild>
            <w:div w:id="1553343148">
              <w:marLeft w:val="0"/>
              <w:marRight w:val="0"/>
              <w:marTop w:val="100"/>
              <w:marBottom w:val="100"/>
              <w:divBdr>
                <w:top w:val="none" w:sz="0" w:space="0" w:color="auto"/>
                <w:left w:val="none" w:sz="0" w:space="0" w:color="auto"/>
                <w:bottom w:val="none" w:sz="0" w:space="0" w:color="auto"/>
                <w:right w:val="none" w:sz="0" w:space="0" w:color="auto"/>
              </w:divBdr>
              <w:divsChild>
                <w:div w:id="371344735">
                  <w:marLeft w:val="0"/>
                  <w:marRight w:val="0"/>
                  <w:marTop w:val="45"/>
                  <w:marBottom w:val="120"/>
                  <w:divBdr>
                    <w:top w:val="none" w:sz="0" w:space="0" w:color="auto"/>
                    <w:left w:val="none" w:sz="0" w:space="0" w:color="auto"/>
                    <w:bottom w:val="none" w:sz="0" w:space="0" w:color="auto"/>
                    <w:right w:val="none" w:sz="0" w:space="0" w:color="auto"/>
                  </w:divBdr>
                  <w:divsChild>
                    <w:div w:id="109327497">
                      <w:marLeft w:val="0"/>
                      <w:marRight w:val="0"/>
                      <w:marTop w:val="0"/>
                      <w:marBottom w:val="0"/>
                      <w:divBdr>
                        <w:top w:val="none" w:sz="0" w:space="0" w:color="auto"/>
                        <w:left w:val="none" w:sz="0" w:space="0" w:color="auto"/>
                        <w:bottom w:val="none" w:sz="0" w:space="0" w:color="auto"/>
                        <w:right w:val="none" w:sz="0" w:space="0" w:color="auto"/>
                      </w:divBdr>
                      <w:divsChild>
                        <w:div w:id="751127190">
                          <w:marLeft w:val="0"/>
                          <w:marRight w:val="0"/>
                          <w:marTop w:val="180"/>
                          <w:marBottom w:val="180"/>
                          <w:divBdr>
                            <w:top w:val="single" w:sz="6" w:space="0" w:color="4EA3E9"/>
                            <w:left w:val="single" w:sz="6" w:space="0" w:color="4EA3E9"/>
                            <w:bottom w:val="single" w:sz="6" w:space="12" w:color="4EA3E9"/>
                            <w:right w:val="single" w:sz="6" w:space="0" w:color="4EA3E9"/>
                          </w:divBdr>
                          <w:divsChild>
                            <w:div w:id="153079559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776053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765428">
      <w:bodyDiv w:val="1"/>
      <w:marLeft w:val="0"/>
      <w:marRight w:val="0"/>
      <w:marTop w:val="0"/>
      <w:marBottom w:val="0"/>
      <w:divBdr>
        <w:top w:val="none" w:sz="0" w:space="0" w:color="auto"/>
        <w:left w:val="none" w:sz="0" w:space="0" w:color="auto"/>
        <w:bottom w:val="none" w:sz="0" w:space="0" w:color="auto"/>
        <w:right w:val="none" w:sz="0" w:space="0" w:color="auto"/>
      </w:divBdr>
      <w:divsChild>
        <w:div w:id="169419122">
          <w:marLeft w:val="0"/>
          <w:marRight w:val="0"/>
          <w:marTop w:val="0"/>
          <w:marBottom w:val="0"/>
          <w:divBdr>
            <w:top w:val="none" w:sz="0" w:space="0" w:color="auto"/>
            <w:left w:val="none" w:sz="0" w:space="0" w:color="auto"/>
            <w:bottom w:val="none" w:sz="0" w:space="0" w:color="auto"/>
            <w:right w:val="none" w:sz="0" w:space="0" w:color="auto"/>
          </w:divBdr>
          <w:divsChild>
            <w:div w:id="1504274960">
              <w:marLeft w:val="-225"/>
              <w:marRight w:val="-225"/>
              <w:marTop w:val="0"/>
              <w:marBottom w:val="0"/>
              <w:divBdr>
                <w:top w:val="none" w:sz="0" w:space="0" w:color="auto"/>
                <w:left w:val="none" w:sz="0" w:space="0" w:color="auto"/>
                <w:bottom w:val="none" w:sz="0" w:space="0" w:color="auto"/>
                <w:right w:val="none" w:sz="0" w:space="0" w:color="auto"/>
              </w:divBdr>
              <w:divsChild>
                <w:div w:id="2057200659">
                  <w:marLeft w:val="0"/>
                  <w:marRight w:val="0"/>
                  <w:marTop w:val="240"/>
                  <w:marBottom w:val="240"/>
                  <w:divBdr>
                    <w:top w:val="none" w:sz="0" w:space="0" w:color="auto"/>
                    <w:left w:val="none" w:sz="0" w:space="0" w:color="auto"/>
                    <w:bottom w:val="none" w:sz="0" w:space="0" w:color="auto"/>
                    <w:right w:val="none" w:sz="0" w:space="0" w:color="auto"/>
                  </w:divBdr>
                  <w:divsChild>
                    <w:div w:id="142432155">
                      <w:marLeft w:val="-225"/>
                      <w:marRight w:val="-225"/>
                      <w:marTop w:val="0"/>
                      <w:marBottom w:val="0"/>
                      <w:divBdr>
                        <w:top w:val="none" w:sz="0" w:space="0" w:color="auto"/>
                        <w:left w:val="none" w:sz="0" w:space="0" w:color="auto"/>
                        <w:bottom w:val="none" w:sz="0" w:space="0" w:color="auto"/>
                        <w:right w:val="none" w:sz="0" w:space="0" w:color="auto"/>
                      </w:divBdr>
                      <w:divsChild>
                        <w:div w:id="929894031">
                          <w:marLeft w:val="0"/>
                          <w:marRight w:val="0"/>
                          <w:marTop w:val="0"/>
                          <w:marBottom w:val="0"/>
                          <w:divBdr>
                            <w:top w:val="none" w:sz="0" w:space="0" w:color="auto"/>
                            <w:left w:val="none" w:sz="0" w:space="0" w:color="auto"/>
                            <w:bottom w:val="none" w:sz="0" w:space="0" w:color="auto"/>
                            <w:right w:val="none" w:sz="0" w:space="0" w:color="auto"/>
                          </w:divBdr>
                          <w:divsChild>
                            <w:div w:id="4713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399562">
      <w:bodyDiv w:val="1"/>
      <w:marLeft w:val="0"/>
      <w:marRight w:val="0"/>
      <w:marTop w:val="0"/>
      <w:marBottom w:val="0"/>
      <w:divBdr>
        <w:top w:val="none" w:sz="0" w:space="0" w:color="auto"/>
        <w:left w:val="none" w:sz="0" w:space="0" w:color="auto"/>
        <w:bottom w:val="none" w:sz="0" w:space="0" w:color="auto"/>
        <w:right w:val="none" w:sz="0" w:space="0" w:color="auto"/>
      </w:divBdr>
      <w:divsChild>
        <w:div w:id="1247809387">
          <w:marLeft w:val="0"/>
          <w:marRight w:val="0"/>
          <w:marTop w:val="0"/>
          <w:marBottom w:val="0"/>
          <w:divBdr>
            <w:top w:val="none" w:sz="0" w:space="0" w:color="auto"/>
            <w:left w:val="none" w:sz="0" w:space="0" w:color="auto"/>
            <w:bottom w:val="none" w:sz="0" w:space="0" w:color="auto"/>
            <w:right w:val="none" w:sz="0" w:space="0" w:color="auto"/>
          </w:divBdr>
          <w:divsChild>
            <w:div w:id="2045982035">
              <w:marLeft w:val="0"/>
              <w:marRight w:val="0"/>
              <w:marTop w:val="100"/>
              <w:marBottom w:val="100"/>
              <w:divBdr>
                <w:top w:val="none" w:sz="0" w:space="0" w:color="auto"/>
                <w:left w:val="none" w:sz="0" w:space="0" w:color="auto"/>
                <w:bottom w:val="none" w:sz="0" w:space="0" w:color="auto"/>
                <w:right w:val="none" w:sz="0" w:space="0" w:color="auto"/>
              </w:divBdr>
              <w:divsChild>
                <w:div w:id="1221405235">
                  <w:marLeft w:val="0"/>
                  <w:marRight w:val="0"/>
                  <w:marTop w:val="45"/>
                  <w:marBottom w:val="120"/>
                  <w:divBdr>
                    <w:top w:val="none" w:sz="0" w:space="0" w:color="auto"/>
                    <w:left w:val="none" w:sz="0" w:space="0" w:color="auto"/>
                    <w:bottom w:val="none" w:sz="0" w:space="0" w:color="auto"/>
                    <w:right w:val="none" w:sz="0" w:space="0" w:color="auto"/>
                  </w:divBdr>
                  <w:divsChild>
                    <w:div w:id="266281738">
                      <w:marLeft w:val="0"/>
                      <w:marRight w:val="0"/>
                      <w:marTop w:val="0"/>
                      <w:marBottom w:val="0"/>
                      <w:divBdr>
                        <w:top w:val="none" w:sz="0" w:space="0" w:color="auto"/>
                        <w:left w:val="none" w:sz="0" w:space="0" w:color="auto"/>
                        <w:bottom w:val="none" w:sz="0" w:space="0" w:color="auto"/>
                        <w:right w:val="none" w:sz="0" w:space="0" w:color="auto"/>
                      </w:divBdr>
                      <w:divsChild>
                        <w:div w:id="1348631014">
                          <w:marLeft w:val="0"/>
                          <w:marRight w:val="0"/>
                          <w:marTop w:val="180"/>
                          <w:marBottom w:val="180"/>
                          <w:divBdr>
                            <w:top w:val="single" w:sz="6" w:space="0" w:color="4EA3E9"/>
                            <w:left w:val="single" w:sz="6" w:space="0" w:color="4EA3E9"/>
                            <w:bottom w:val="single" w:sz="6" w:space="12" w:color="4EA3E9"/>
                            <w:right w:val="single" w:sz="6" w:space="0" w:color="4EA3E9"/>
                          </w:divBdr>
                          <w:divsChild>
                            <w:div w:id="24372913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7406395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6741786">
      <w:bodyDiv w:val="1"/>
      <w:marLeft w:val="0"/>
      <w:marRight w:val="0"/>
      <w:marTop w:val="0"/>
      <w:marBottom w:val="0"/>
      <w:divBdr>
        <w:top w:val="none" w:sz="0" w:space="0" w:color="auto"/>
        <w:left w:val="none" w:sz="0" w:space="0" w:color="auto"/>
        <w:bottom w:val="none" w:sz="0" w:space="0" w:color="auto"/>
        <w:right w:val="none" w:sz="0" w:space="0" w:color="auto"/>
      </w:divBdr>
      <w:divsChild>
        <w:div w:id="1883131757">
          <w:marLeft w:val="0"/>
          <w:marRight w:val="0"/>
          <w:marTop w:val="0"/>
          <w:marBottom w:val="0"/>
          <w:divBdr>
            <w:top w:val="none" w:sz="0" w:space="0" w:color="auto"/>
            <w:left w:val="none" w:sz="0" w:space="0" w:color="auto"/>
            <w:bottom w:val="none" w:sz="0" w:space="0" w:color="auto"/>
            <w:right w:val="none" w:sz="0" w:space="0" w:color="auto"/>
          </w:divBdr>
          <w:divsChild>
            <w:div w:id="1505512209">
              <w:marLeft w:val="-225"/>
              <w:marRight w:val="-225"/>
              <w:marTop w:val="0"/>
              <w:marBottom w:val="0"/>
              <w:divBdr>
                <w:top w:val="none" w:sz="0" w:space="0" w:color="auto"/>
                <w:left w:val="none" w:sz="0" w:space="0" w:color="auto"/>
                <w:bottom w:val="none" w:sz="0" w:space="0" w:color="auto"/>
                <w:right w:val="none" w:sz="0" w:space="0" w:color="auto"/>
              </w:divBdr>
              <w:divsChild>
                <w:div w:id="250630008">
                  <w:marLeft w:val="0"/>
                  <w:marRight w:val="0"/>
                  <w:marTop w:val="240"/>
                  <w:marBottom w:val="240"/>
                  <w:divBdr>
                    <w:top w:val="none" w:sz="0" w:space="0" w:color="auto"/>
                    <w:left w:val="none" w:sz="0" w:space="0" w:color="auto"/>
                    <w:bottom w:val="none" w:sz="0" w:space="0" w:color="auto"/>
                    <w:right w:val="none" w:sz="0" w:space="0" w:color="auto"/>
                  </w:divBdr>
                  <w:divsChild>
                    <w:div w:id="1330059029">
                      <w:marLeft w:val="-225"/>
                      <w:marRight w:val="-225"/>
                      <w:marTop w:val="0"/>
                      <w:marBottom w:val="0"/>
                      <w:divBdr>
                        <w:top w:val="none" w:sz="0" w:space="0" w:color="auto"/>
                        <w:left w:val="none" w:sz="0" w:space="0" w:color="auto"/>
                        <w:bottom w:val="none" w:sz="0" w:space="0" w:color="auto"/>
                        <w:right w:val="none" w:sz="0" w:space="0" w:color="auto"/>
                      </w:divBdr>
                      <w:divsChild>
                        <w:div w:id="401374903">
                          <w:marLeft w:val="0"/>
                          <w:marRight w:val="0"/>
                          <w:marTop w:val="0"/>
                          <w:marBottom w:val="0"/>
                          <w:divBdr>
                            <w:top w:val="none" w:sz="0" w:space="0" w:color="auto"/>
                            <w:left w:val="none" w:sz="0" w:space="0" w:color="auto"/>
                            <w:bottom w:val="none" w:sz="0" w:space="0" w:color="auto"/>
                            <w:right w:val="none" w:sz="0" w:space="0" w:color="auto"/>
                          </w:divBdr>
                          <w:divsChild>
                            <w:div w:id="7455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78907">
      <w:bodyDiv w:val="1"/>
      <w:marLeft w:val="0"/>
      <w:marRight w:val="0"/>
      <w:marTop w:val="0"/>
      <w:marBottom w:val="0"/>
      <w:divBdr>
        <w:top w:val="none" w:sz="0" w:space="0" w:color="auto"/>
        <w:left w:val="none" w:sz="0" w:space="0" w:color="auto"/>
        <w:bottom w:val="none" w:sz="0" w:space="0" w:color="auto"/>
        <w:right w:val="none" w:sz="0" w:space="0" w:color="auto"/>
      </w:divBdr>
      <w:divsChild>
        <w:div w:id="630476560">
          <w:marLeft w:val="0"/>
          <w:marRight w:val="0"/>
          <w:marTop w:val="0"/>
          <w:marBottom w:val="0"/>
          <w:divBdr>
            <w:top w:val="none" w:sz="0" w:space="0" w:color="auto"/>
            <w:left w:val="none" w:sz="0" w:space="0" w:color="auto"/>
            <w:bottom w:val="none" w:sz="0" w:space="0" w:color="auto"/>
            <w:right w:val="none" w:sz="0" w:space="0" w:color="auto"/>
          </w:divBdr>
          <w:divsChild>
            <w:div w:id="1601718318">
              <w:marLeft w:val="0"/>
              <w:marRight w:val="0"/>
              <w:marTop w:val="100"/>
              <w:marBottom w:val="100"/>
              <w:divBdr>
                <w:top w:val="none" w:sz="0" w:space="0" w:color="auto"/>
                <w:left w:val="none" w:sz="0" w:space="0" w:color="auto"/>
                <w:bottom w:val="none" w:sz="0" w:space="0" w:color="auto"/>
                <w:right w:val="none" w:sz="0" w:space="0" w:color="auto"/>
              </w:divBdr>
              <w:divsChild>
                <w:div w:id="1909995793">
                  <w:marLeft w:val="0"/>
                  <w:marRight w:val="0"/>
                  <w:marTop w:val="45"/>
                  <w:marBottom w:val="120"/>
                  <w:divBdr>
                    <w:top w:val="none" w:sz="0" w:space="0" w:color="auto"/>
                    <w:left w:val="none" w:sz="0" w:space="0" w:color="auto"/>
                    <w:bottom w:val="none" w:sz="0" w:space="0" w:color="auto"/>
                    <w:right w:val="none" w:sz="0" w:space="0" w:color="auto"/>
                  </w:divBdr>
                  <w:divsChild>
                    <w:div w:id="2145585649">
                      <w:marLeft w:val="0"/>
                      <w:marRight w:val="0"/>
                      <w:marTop w:val="0"/>
                      <w:marBottom w:val="0"/>
                      <w:divBdr>
                        <w:top w:val="none" w:sz="0" w:space="0" w:color="auto"/>
                        <w:left w:val="none" w:sz="0" w:space="0" w:color="auto"/>
                        <w:bottom w:val="none" w:sz="0" w:space="0" w:color="auto"/>
                        <w:right w:val="none" w:sz="0" w:space="0" w:color="auto"/>
                      </w:divBdr>
                      <w:divsChild>
                        <w:div w:id="1045836850">
                          <w:marLeft w:val="0"/>
                          <w:marRight w:val="0"/>
                          <w:marTop w:val="180"/>
                          <w:marBottom w:val="180"/>
                          <w:divBdr>
                            <w:top w:val="single" w:sz="6" w:space="0" w:color="4EA3E9"/>
                            <w:left w:val="single" w:sz="6" w:space="0" w:color="4EA3E9"/>
                            <w:bottom w:val="single" w:sz="6" w:space="12" w:color="4EA3E9"/>
                            <w:right w:val="single" w:sz="6" w:space="0" w:color="4EA3E9"/>
                          </w:divBdr>
                          <w:divsChild>
                            <w:div w:id="242380536">
                              <w:marLeft w:val="0"/>
                              <w:marRight w:val="0"/>
                              <w:marTop w:val="0"/>
                              <w:marBottom w:val="720"/>
                              <w:divBdr>
                                <w:top w:val="single" w:sz="6" w:space="10" w:color="FF9933"/>
                                <w:left w:val="single" w:sz="6" w:space="10" w:color="FF9933"/>
                                <w:bottom w:val="single" w:sz="6" w:space="10" w:color="FF9933"/>
                                <w:right w:val="single" w:sz="6" w:space="10" w:color="FF9933"/>
                              </w:divBdr>
                              <w:divsChild>
                                <w:div w:id="7242560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162471">
      <w:bodyDiv w:val="1"/>
      <w:marLeft w:val="0"/>
      <w:marRight w:val="0"/>
      <w:marTop w:val="0"/>
      <w:marBottom w:val="0"/>
      <w:divBdr>
        <w:top w:val="none" w:sz="0" w:space="0" w:color="auto"/>
        <w:left w:val="none" w:sz="0" w:space="0" w:color="auto"/>
        <w:bottom w:val="none" w:sz="0" w:space="0" w:color="auto"/>
        <w:right w:val="none" w:sz="0" w:space="0" w:color="auto"/>
      </w:divBdr>
      <w:divsChild>
        <w:div w:id="1793595866">
          <w:marLeft w:val="0"/>
          <w:marRight w:val="0"/>
          <w:marTop w:val="0"/>
          <w:marBottom w:val="0"/>
          <w:divBdr>
            <w:top w:val="none" w:sz="0" w:space="0" w:color="auto"/>
            <w:left w:val="none" w:sz="0" w:space="0" w:color="auto"/>
            <w:bottom w:val="none" w:sz="0" w:space="0" w:color="auto"/>
            <w:right w:val="none" w:sz="0" w:space="0" w:color="auto"/>
          </w:divBdr>
          <w:divsChild>
            <w:div w:id="190726201">
              <w:marLeft w:val="-225"/>
              <w:marRight w:val="-225"/>
              <w:marTop w:val="0"/>
              <w:marBottom w:val="0"/>
              <w:divBdr>
                <w:top w:val="none" w:sz="0" w:space="0" w:color="auto"/>
                <w:left w:val="none" w:sz="0" w:space="0" w:color="auto"/>
                <w:bottom w:val="none" w:sz="0" w:space="0" w:color="auto"/>
                <w:right w:val="none" w:sz="0" w:space="0" w:color="auto"/>
              </w:divBdr>
              <w:divsChild>
                <w:div w:id="1415929299">
                  <w:marLeft w:val="0"/>
                  <w:marRight w:val="0"/>
                  <w:marTop w:val="240"/>
                  <w:marBottom w:val="240"/>
                  <w:divBdr>
                    <w:top w:val="none" w:sz="0" w:space="0" w:color="auto"/>
                    <w:left w:val="none" w:sz="0" w:space="0" w:color="auto"/>
                    <w:bottom w:val="none" w:sz="0" w:space="0" w:color="auto"/>
                    <w:right w:val="none" w:sz="0" w:space="0" w:color="auto"/>
                  </w:divBdr>
                  <w:divsChild>
                    <w:div w:id="1971283877">
                      <w:marLeft w:val="-225"/>
                      <w:marRight w:val="-225"/>
                      <w:marTop w:val="0"/>
                      <w:marBottom w:val="0"/>
                      <w:divBdr>
                        <w:top w:val="none" w:sz="0" w:space="0" w:color="auto"/>
                        <w:left w:val="none" w:sz="0" w:space="0" w:color="auto"/>
                        <w:bottom w:val="none" w:sz="0" w:space="0" w:color="auto"/>
                        <w:right w:val="none" w:sz="0" w:space="0" w:color="auto"/>
                      </w:divBdr>
                      <w:divsChild>
                        <w:div w:id="1179659050">
                          <w:marLeft w:val="0"/>
                          <w:marRight w:val="0"/>
                          <w:marTop w:val="0"/>
                          <w:marBottom w:val="0"/>
                          <w:divBdr>
                            <w:top w:val="none" w:sz="0" w:space="0" w:color="auto"/>
                            <w:left w:val="none" w:sz="0" w:space="0" w:color="auto"/>
                            <w:bottom w:val="none" w:sz="0" w:space="0" w:color="auto"/>
                            <w:right w:val="none" w:sz="0" w:space="0" w:color="auto"/>
                          </w:divBdr>
                          <w:divsChild>
                            <w:div w:id="3296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74084">
      <w:bodyDiv w:val="1"/>
      <w:marLeft w:val="0"/>
      <w:marRight w:val="0"/>
      <w:marTop w:val="0"/>
      <w:marBottom w:val="0"/>
      <w:divBdr>
        <w:top w:val="none" w:sz="0" w:space="0" w:color="auto"/>
        <w:left w:val="none" w:sz="0" w:space="0" w:color="auto"/>
        <w:bottom w:val="none" w:sz="0" w:space="0" w:color="auto"/>
        <w:right w:val="none" w:sz="0" w:space="0" w:color="auto"/>
      </w:divBdr>
      <w:divsChild>
        <w:div w:id="694042317">
          <w:marLeft w:val="0"/>
          <w:marRight w:val="0"/>
          <w:marTop w:val="0"/>
          <w:marBottom w:val="0"/>
          <w:divBdr>
            <w:top w:val="none" w:sz="0" w:space="0" w:color="auto"/>
            <w:left w:val="none" w:sz="0" w:space="0" w:color="auto"/>
            <w:bottom w:val="none" w:sz="0" w:space="0" w:color="auto"/>
            <w:right w:val="none" w:sz="0" w:space="0" w:color="auto"/>
          </w:divBdr>
          <w:divsChild>
            <w:div w:id="2090687739">
              <w:marLeft w:val="-225"/>
              <w:marRight w:val="-225"/>
              <w:marTop w:val="0"/>
              <w:marBottom w:val="0"/>
              <w:divBdr>
                <w:top w:val="none" w:sz="0" w:space="0" w:color="auto"/>
                <w:left w:val="none" w:sz="0" w:space="0" w:color="auto"/>
                <w:bottom w:val="none" w:sz="0" w:space="0" w:color="auto"/>
                <w:right w:val="none" w:sz="0" w:space="0" w:color="auto"/>
              </w:divBdr>
              <w:divsChild>
                <w:div w:id="1524050767">
                  <w:marLeft w:val="0"/>
                  <w:marRight w:val="0"/>
                  <w:marTop w:val="240"/>
                  <w:marBottom w:val="240"/>
                  <w:divBdr>
                    <w:top w:val="none" w:sz="0" w:space="0" w:color="auto"/>
                    <w:left w:val="none" w:sz="0" w:space="0" w:color="auto"/>
                    <w:bottom w:val="none" w:sz="0" w:space="0" w:color="auto"/>
                    <w:right w:val="none" w:sz="0" w:space="0" w:color="auto"/>
                  </w:divBdr>
                  <w:divsChild>
                    <w:div w:id="467825691">
                      <w:marLeft w:val="-225"/>
                      <w:marRight w:val="-225"/>
                      <w:marTop w:val="0"/>
                      <w:marBottom w:val="0"/>
                      <w:divBdr>
                        <w:top w:val="none" w:sz="0" w:space="0" w:color="auto"/>
                        <w:left w:val="none" w:sz="0" w:space="0" w:color="auto"/>
                        <w:bottom w:val="none" w:sz="0" w:space="0" w:color="auto"/>
                        <w:right w:val="none" w:sz="0" w:space="0" w:color="auto"/>
                      </w:divBdr>
                      <w:divsChild>
                        <w:div w:id="360976759">
                          <w:marLeft w:val="0"/>
                          <w:marRight w:val="0"/>
                          <w:marTop w:val="0"/>
                          <w:marBottom w:val="0"/>
                          <w:divBdr>
                            <w:top w:val="none" w:sz="0" w:space="0" w:color="auto"/>
                            <w:left w:val="none" w:sz="0" w:space="0" w:color="auto"/>
                            <w:bottom w:val="none" w:sz="0" w:space="0" w:color="auto"/>
                            <w:right w:val="none" w:sz="0" w:space="0" w:color="auto"/>
                          </w:divBdr>
                          <w:divsChild>
                            <w:div w:id="4840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80376">
      <w:bodyDiv w:val="1"/>
      <w:marLeft w:val="0"/>
      <w:marRight w:val="0"/>
      <w:marTop w:val="0"/>
      <w:marBottom w:val="0"/>
      <w:divBdr>
        <w:top w:val="none" w:sz="0" w:space="0" w:color="auto"/>
        <w:left w:val="none" w:sz="0" w:space="0" w:color="auto"/>
        <w:bottom w:val="none" w:sz="0" w:space="0" w:color="auto"/>
        <w:right w:val="none" w:sz="0" w:space="0" w:color="auto"/>
      </w:divBdr>
      <w:divsChild>
        <w:div w:id="432483537">
          <w:marLeft w:val="0"/>
          <w:marRight w:val="0"/>
          <w:marTop w:val="0"/>
          <w:marBottom w:val="0"/>
          <w:divBdr>
            <w:top w:val="none" w:sz="0" w:space="0" w:color="auto"/>
            <w:left w:val="none" w:sz="0" w:space="0" w:color="auto"/>
            <w:bottom w:val="none" w:sz="0" w:space="0" w:color="auto"/>
            <w:right w:val="none" w:sz="0" w:space="0" w:color="auto"/>
          </w:divBdr>
          <w:divsChild>
            <w:div w:id="1262490663">
              <w:marLeft w:val="0"/>
              <w:marRight w:val="0"/>
              <w:marTop w:val="100"/>
              <w:marBottom w:val="100"/>
              <w:divBdr>
                <w:top w:val="none" w:sz="0" w:space="0" w:color="auto"/>
                <w:left w:val="none" w:sz="0" w:space="0" w:color="auto"/>
                <w:bottom w:val="none" w:sz="0" w:space="0" w:color="auto"/>
                <w:right w:val="none" w:sz="0" w:space="0" w:color="auto"/>
              </w:divBdr>
              <w:divsChild>
                <w:div w:id="1005090976">
                  <w:marLeft w:val="0"/>
                  <w:marRight w:val="0"/>
                  <w:marTop w:val="45"/>
                  <w:marBottom w:val="120"/>
                  <w:divBdr>
                    <w:top w:val="none" w:sz="0" w:space="0" w:color="auto"/>
                    <w:left w:val="none" w:sz="0" w:space="0" w:color="auto"/>
                    <w:bottom w:val="none" w:sz="0" w:space="0" w:color="auto"/>
                    <w:right w:val="none" w:sz="0" w:space="0" w:color="auto"/>
                  </w:divBdr>
                  <w:divsChild>
                    <w:div w:id="1764646109">
                      <w:marLeft w:val="0"/>
                      <w:marRight w:val="0"/>
                      <w:marTop w:val="0"/>
                      <w:marBottom w:val="0"/>
                      <w:divBdr>
                        <w:top w:val="none" w:sz="0" w:space="0" w:color="auto"/>
                        <w:left w:val="none" w:sz="0" w:space="0" w:color="auto"/>
                        <w:bottom w:val="none" w:sz="0" w:space="0" w:color="auto"/>
                        <w:right w:val="none" w:sz="0" w:space="0" w:color="auto"/>
                      </w:divBdr>
                      <w:divsChild>
                        <w:div w:id="62148993">
                          <w:marLeft w:val="0"/>
                          <w:marRight w:val="0"/>
                          <w:marTop w:val="180"/>
                          <w:marBottom w:val="180"/>
                          <w:divBdr>
                            <w:top w:val="single" w:sz="6" w:space="0" w:color="4EA3E9"/>
                            <w:left w:val="single" w:sz="6" w:space="0" w:color="4EA3E9"/>
                            <w:bottom w:val="single" w:sz="6" w:space="12" w:color="4EA3E9"/>
                            <w:right w:val="single" w:sz="6" w:space="0" w:color="4EA3E9"/>
                          </w:divBdr>
                          <w:divsChild>
                            <w:div w:id="2113043021">
                              <w:marLeft w:val="0"/>
                              <w:marRight w:val="0"/>
                              <w:marTop w:val="0"/>
                              <w:marBottom w:val="720"/>
                              <w:divBdr>
                                <w:top w:val="single" w:sz="6" w:space="10" w:color="FF9933"/>
                                <w:left w:val="single" w:sz="6" w:space="10" w:color="FF9933"/>
                                <w:bottom w:val="single" w:sz="6" w:space="10" w:color="FF9933"/>
                                <w:right w:val="single" w:sz="6" w:space="10" w:color="FF9933"/>
                              </w:divBdr>
                              <w:divsChild>
                                <w:div w:id="422603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944539">
      <w:bodyDiv w:val="1"/>
      <w:marLeft w:val="0"/>
      <w:marRight w:val="0"/>
      <w:marTop w:val="0"/>
      <w:marBottom w:val="0"/>
      <w:divBdr>
        <w:top w:val="none" w:sz="0" w:space="0" w:color="auto"/>
        <w:left w:val="none" w:sz="0" w:space="0" w:color="auto"/>
        <w:bottom w:val="none" w:sz="0" w:space="0" w:color="auto"/>
        <w:right w:val="none" w:sz="0" w:space="0" w:color="auto"/>
      </w:divBdr>
      <w:divsChild>
        <w:div w:id="1180774362">
          <w:marLeft w:val="0"/>
          <w:marRight w:val="0"/>
          <w:marTop w:val="0"/>
          <w:marBottom w:val="0"/>
          <w:divBdr>
            <w:top w:val="none" w:sz="0" w:space="0" w:color="auto"/>
            <w:left w:val="none" w:sz="0" w:space="0" w:color="auto"/>
            <w:bottom w:val="none" w:sz="0" w:space="0" w:color="auto"/>
            <w:right w:val="none" w:sz="0" w:space="0" w:color="auto"/>
          </w:divBdr>
          <w:divsChild>
            <w:div w:id="1671642645">
              <w:marLeft w:val="0"/>
              <w:marRight w:val="0"/>
              <w:marTop w:val="100"/>
              <w:marBottom w:val="100"/>
              <w:divBdr>
                <w:top w:val="none" w:sz="0" w:space="0" w:color="auto"/>
                <w:left w:val="none" w:sz="0" w:space="0" w:color="auto"/>
                <w:bottom w:val="none" w:sz="0" w:space="0" w:color="auto"/>
                <w:right w:val="none" w:sz="0" w:space="0" w:color="auto"/>
              </w:divBdr>
              <w:divsChild>
                <w:div w:id="1242376938">
                  <w:marLeft w:val="0"/>
                  <w:marRight w:val="0"/>
                  <w:marTop w:val="45"/>
                  <w:marBottom w:val="120"/>
                  <w:divBdr>
                    <w:top w:val="none" w:sz="0" w:space="0" w:color="auto"/>
                    <w:left w:val="none" w:sz="0" w:space="0" w:color="auto"/>
                    <w:bottom w:val="none" w:sz="0" w:space="0" w:color="auto"/>
                    <w:right w:val="none" w:sz="0" w:space="0" w:color="auto"/>
                  </w:divBdr>
                  <w:divsChild>
                    <w:div w:id="321012092">
                      <w:marLeft w:val="0"/>
                      <w:marRight w:val="0"/>
                      <w:marTop w:val="0"/>
                      <w:marBottom w:val="0"/>
                      <w:divBdr>
                        <w:top w:val="none" w:sz="0" w:space="0" w:color="auto"/>
                        <w:left w:val="none" w:sz="0" w:space="0" w:color="auto"/>
                        <w:bottom w:val="none" w:sz="0" w:space="0" w:color="auto"/>
                        <w:right w:val="none" w:sz="0" w:space="0" w:color="auto"/>
                      </w:divBdr>
                      <w:divsChild>
                        <w:div w:id="737167926">
                          <w:marLeft w:val="0"/>
                          <w:marRight w:val="0"/>
                          <w:marTop w:val="180"/>
                          <w:marBottom w:val="180"/>
                          <w:divBdr>
                            <w:top w:val="single" w:sz="6" w:space="0" w:color="4EA3E9"/>
                            <w:left w:val="single" w:sz="6" w:space="0" w:color="4EA3E9"/>
                            <w:bottom w:val="single" w:sz="6" w:space="12" w:color="4EA3E9"/>
                            <w:right w:val="single" w:sz="6" w:space="0" w:color="4EA3E9"/>
                          </w:divBdr>
                          <w:divsChild>
                            <w:div w:id="1828471417">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62485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638312">
      <w:bodyDiv w:val="1"/>
      <w:marLeft w:val="0"/>
      <w:marRight w:val="0"/>
      <w:marTop w:val="0"/>
      <w:marBottom w:val="0"/>
      <w:divBdr>
        <w:top w:val="none" w:sz="0" w:space="0" w:color="auto"/>
        <w:left w:val="none" w:sz="0" w:space="0" w:color="auto"/>
        <w:bottom w:val="none" w:sz="0" w:space="0" w:color="auto"/>
        <w:right w:val="none" w:sz="0" w:space="0" w:color="auto"/>
      </w:divBdr>
      <w:divsChild>
        <w:div w:id="472210531">
          <w:marLeft w:val="0"/>
          <w:marRight w:val="0"/>
          <w:marTop w:val="0"/>
          <w:marBottom w:val="0"/>
          <w:divBdr>
            <w:top w:val="none" w:sz="0" w:space="0" w:color="auto"/>
            <w:left w:val="none" w:sz="0" w:space="0" w:color="auto"/>
            <w:bottom w:val="none" w:sz="0" w:space="0" w:color="auto"/>
            <w:right w:val="none" w:sz="0" w:space="0" w:color="auto"/>
          </w:divBdr>
          <w:divsChild>
            <w:div w:id="1501189884">
              <w:marLeft w:val="-225"/>
              <w:marRight w:val="-225"/>
              <w:marTop w:val="0"/>
              <w:marBottom w:val="0"/>
              <w:divBdr>
                <w:top w:val="none" w:sz="0" w:space="0" w:color="auto"/>
                <w:left w:val="none" w:sz="0" w:space="0" w:color="auto"/>
                <w:bottom w:val="none" w:sz="0" w:space="0" w:color="auto"/>
                <w:right w:val="none" w:sz="0" w:space="0" w:color="auto"/>
              </w:divBdr>
              <w:divsChild>
                <w:div w:id="359279117">
                  <w:marLeft w:val="0"/>
                  <w:marRight w:val="0"/>
                  <w:marTop w:val="240"/>
                  <w:marBottom w:val="240"/>
                  <w:divBdr>
                    <w:top w:val="none" w:sz="0" w:space="0" w:color="auto"/>
                    <w:left w:val="none" w:sz="0" w:space="0" w:color="auto"/>
                    <w:bottom w:val="none" w:sz="0" w:space="0" w:color="auto"/>
                    <w:right w:val="none" w:sz="0" w:space="0" w:color="auto"/>
                  </w:divBdr>
                  <w:divsChild>
                    <w:div w:id="1686858697">
                      <w:marLeft w:val="-225"/>
                      <w:marRight w:val="-225"/>
                      <w:marTop w:val="0"/>
                      <w:marBottom w:val="0"/>
                      <w:divBdr>
                        <w:top w:val="none" w:sz="0" w:space="0" w:color="auto"/>
                        <w:left w:val="none" w:sz="0" w:space="0" w:color="auto"/>
                        <w:bottom w:val="none" w:sz="0" w:space="0" w:color="auto"/>
                        <w:right w:val="none" w:sz="0" w:space="0" w:color="auto"/>
                      </w:divBdr>
                      <w:divsChild>
                        <w:div w:id="574166757">
                          <w:marLeft w:val="0"/>
                          <w:marRight w:val="0"/>
                          <w:marTop w:val="0"/>
                          <w:marBottom w:val="0"/>
                          <w:divBdr>
                            <w:top w:val="none" w:sz="0" w:space="0" w:color="auto"/>
                            <w:left w:val="none" w:sz="0" w:space="0" w:color="auto"/>
                            <w:bottom w:val="none" w:sz="0" w:space="0" w:color="auto"/>
                            <w:right w:val="none" w:sz="0" w:space="0" w:color="auto"/>
                          </w:divBdr>
                          <w:divsChild>
                            <w:div w:id="7693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6234">
      <w:bodyDiv w:val="1"/>
      <w:marLeft w:val="0"/>
      <w:marRight w:val="0"/>
      <w:marTop w:val="0"/>
      <w:marBottom w:val="0"/>
      <w:divBdr>
        <w:top w:val="none" w:sz="0" w:space="0" w:color="auto"/>
        <w:left w:val="none" w:sz="0" w:space="0" w:color="auto"/>
        <w:bottom w:val="none" w:sz="0" w:space="0" w:color="auto"/>
        <w:right w:val="none" w:sz="0" w:space="0" w:color="auto"/>
      </w:divBdr>
      <w:divsChild>
        <w:div w:id="924194807">
          <w:marLeft w:val="0"/>
          <w:marRight w:val="0"/>
          <w:marTop w:val="0"/>
          <w:marBottom w:val="0"/>
          <w:divBdr>
            <w:top w:val="none" w:sz="0" w:space="0" w:color="auto"/>
            <w:left w:val="none" w:sz="0" w:space="0" w:color="auto"/>
            <w:bottom w:val="none" w:sz="0" w:space="0" w:color="auto"/>
            <w:right w:val="none" w:sz="0" w:space="0" w:color="auto"/>
          </w:divBdr>
          <w:divsChild>
            <w:div w:id="1921333026">
              <w:marLeft w:val="0"/>
              <w:marRight w:val="0"/>
              <w:marTop w:val="100"/>
              <w:marBottom w:val="100"/>
              <w:divBdr>
                <w:top w:val="none" w:sz="0" w:space="0" w:color="auto"/>
                <w:left w:val="none" w:sz="0" w:space="0" w:color="auto"/>
                <w:bottom w:val="none" w:sz="0" w:space="0" w:color="auto"/>
                <w:right w:val="none" w:sz="0" w:space="0" w:color="auto"/>
              </w:divBdr>
              <w:divsChild>
                <w:div w:id="852450624">
                  <w:marLeft w:val="0"/>
                  <w:marRight w:val="0"/>
                  <w:marTop w:val="45"/>
                  <w:marBottom w:val="120"/>
                  <w:divBdr>
                    <w:top w:val="none" w:sz="0" w:space="0" w:color="auto"/>
                    <w:left w:val="none" w:sz="0" w:space="0" w:color="auto"/>
                    <w:bottom w:val="none" w:sz="0" w:space="0" w:color="auto"/>
                    <w:right w:val="none" w:sz="0" w:space="0" w:color="auto"/>
                  </w:divBdr>
                  <w:divsChild>
                    <w:div w:id="549995429">
                      <w:marLeft w:val="0"/>
                      <w:marRight w:val="0"/>
                      <w:marTop w:val="0"/>
                      <w:marBottom w:val="0"/>
                      <w:divBdr>
                        <w:top w:val="none" w:sz="0" w:space="0" w:color="auto"/>
                        <w:left w:val="none" w:sz="0" w:space="0" w:color="auto"/>
                        <w:bottom w:val="none" w:sz="0" w:space="0" w:color="auto"/>
                        <w:right w:val="none" w:sz="0" w:space="0" w:color="auto"/>
                      </w:divBdr>
                      <w:divsChild>
                        <w:div w:id="1186168288">
                          <w:marLeft w:val="0"/>
                          <w:marRight w:val="0"/>
                          <w:marTop w:val="180"/>
                          <w:marBottom w:val="180"/>
                          <w:divBdr>
                            <w:top w:val="single" w:sz="6" w:space="0" w:color="4EA3E9"/>
                            <w:left w:val="single" w:sz="6" w:space="0" w:color="4EA3E9"/>
                            <w:bottom w:val="single" w:sz="6" w:space="12" w:color="4EA3E9"/>
                            <w:right w:val="single" w:sz="6" w:space="0" w:color="4EA3E9"/>
                          </w:divBdr>
                          <w:divsChild>
                            <w:div w:id="1787313815">
                              <w:marLeft w:val="0"/>
                              <w:marRight w:val="0"/>
                              <w:marTop w:val="0"/>
                              <w:marBottom w:val="720"/>
                              <w:divBdr>
                                <w:top w:val="single" w:sz="6" w:space="10" w:color="FF9933"/>
                                <w:left w:val="single" w:sz="6" w:space="10" w:color="FF9933"/>
                                <w:bottom w:val="single" w:sz="6" w:space="10" w:color="FF9933"/>
                                <w:right w:val="single" w:sz="6" w:space="10" w:color="FF9933"/>
                              </w:divBdr>
                              <w:divsChild>
                                <w:div w:id="7971880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157554">
      <w:bodyDiv w:val="1"/>
      <w:marLeft w:val="0"/>
      <w:marRight w:val="0"/>
      <w:marTop w:val="0"/>
      <w:marBottom w:val="0"/>
      <w:divBdr>
        <w:top w:val="none" w:sz="0" w:space="0" w:color="auto"/>
        <w:left w:val="none" w:sz="0" w:space="0" w:color="auto"/>
        <w:bottom w:val="none" w:sz="0" w:space="0" w:color="auto"/>
        <w:right w:val="none" w:sz="0" w:space="0" w:color="auto"/>
      </w:divBdr>
      <w:divsChild>
        <w:div w:id="835536490">
          <w:marLeft w:val="3300"/>
          <w:marRight w:val="0"/>
          <w:marTop w:val="0"/>
          <w:marBottom w:val="0"/>
          <w:divBdr>
            <w:top w:val="none" w:sz="0" w:space="0" w:color="auto"/>
            <w:left w:val="none" w:sz="0" w:space="0" w:color="auto"/>
            <w:bottom w:val="none" w:sz="0" w:space="0" w:color="auto"/>
            <w:right w:val="none" w:sz="0" w:space="0" w:color="auto"/>
          </w:divBdr>
          <w:divsChild>
            <w:div w:id="872621206">
              <w:marLeft w:val="0"/>
              <w:marRight w:val="0"/>
              <w:marTop w:val="0"/>
              <w:marBottom w:val="0"/>
              <w:divBdr>
                <w:top w:val="none" w:sz="0" w:space="0" w:color="auto"/>
                <w:left w:val="none" w:sz="0" w:space="0" w:color="auto"/>
                <w:bottom w:val="none" w:sz="0" w:space="0" w:color="auto"/>
                <w:right w:val="none" w:sz="0" w:space="0" w:color="auto"/>
              </w:divBdr>
              <w:divsChild>
                <w:div w:id="846596288">
                  <w:marLeft w:val="0"/>
                  <w:marRight w:val="0"/>
                  <w:marTop w:val="0"/>
                  <w:marBottom w:val="0"/>
                  <w:divBdr>
                    <w:top w:val="none" w:sz="0" w:space="0" w:color="auto"/>
                    <w:left w:val="none" w:sz="0" w:space="0" w:color="auto"/>
                    <w:bottom w:val="none" w:sz="0" w:space="0" w:color="auto"/>
                    <w:right w:val="none" w:sz="0" w:space="0" w:color="auto"/>
                  </w:divBdr>
                  <w:divsChild>
                    <w:div w:id="1176654141">
                      <w:marLeft w:val="0"/>
                      <w:marRight w:val="0"/>
                      <w:marTop w:val="0"/>
                      <w:marBottom w:val="0"/>
                      <w:divBdr>
                        <w:top w:val="none" w:sz="0" w:space="0" w:color="auto"/>
                        <w:left w:val="none" w:sz="0" w:space="0" w:color="auto"/>
                        <w:bottom w:val="none" w:sz="0" w:space="0" w:color="auto"/>
                        <w:right w:val="none" w:sz="0" w:space="0" w:color="auto"/>
                      </w:divBdr>
                      <w:divsChild>
                        <w:div w:id="1193689278">
                          <w:marLeft w:val="0"/>
                          <w:marRight w:val="0"/>
                          <w:marTop w:val="0"/>
                          <w:marBottom w:val="0"/>
                          <w:divBdr>
                            <w:top w:val="none" w:sz="0" w:space="0" w:color="auto"/>
                            <w:left w:val="none" w:sz="0" w:space="0" w:color="auto"/>
                            <w:bottom w:val="none" w:sz="0" w:space="0" w:color="auto"/>
                            <w:right w:val="none" w:sz="0" w:space="0" w:color="auto"/>
                          </w:divBdr>
                          <w:divsChild>
                            <w:div w:id="378895994">
                              <w:marLeft w:val="0"/>
                              <w:marRight w:val="0"/>
                              <w:marTop w:val="0"/>
                              <w:marBottom w:val="0"/>
                              <w:divBdr>
                                <w:top w:val="none" w:sz="0" w:space="0" w:color="auto"/>
                                <w:left w:val="none" w:sz="0" w:space="0" w:color="auto"/>
                                <w:bottom w:val="none" w:sz="0" w:space="0" w:color="auto"/>
                                <w:right w:val="none" w:sz="0" w:space="0" w:color="auto"/>
                              </w:divBdr>
                              <w:divsChild>
                                <w:div w:id="308484472">
                                  <w:marLeft w:val="0"/>
                                  <w:marRight w:val="0"/>
                                  <w:marTop w:val="180"/>
                                  <w:marBottom w:val="0"/>
                                  <w:divBdr>
                                    <w:top w:val="none" w:sz="0" w:space="0" w:color="auto"/>
                                    <w:left w:val="none" w:sz="0" w:space="0" w:color="auto"/>
                                    <w:bottom w:val="none" w:sz="0" w:space="0" w:color="auto"/>
                                    <w:right w:val="none" w:sz="0" w:space="0" w:color="auto"/>
                                  </w:divBdr>
                                  <w:divsChild>
                                    <w:div w:id="329408402">
                                      <w:marLeft w:val="0"/>
                                      <w:marRight w:val="0"/>
                                      <w:marTop w:val="0"/>
                                      <w:marBottom w:val="0"/>
                                      <w:divBdr>
                                        <w:top w:val="none" w:sz="0" w:space="0" w:color="auto"/>
                                        <w:left w:val="none" w:sz="0" w:space="0" w:color="auto"/>
                                        <w:bottom w:val="none" w:sz="0" w:space="0" w:color="auto"/>
                                        <w:right w:val="none" w:sz="0" w:space="0" w:color="auto"/>
                                      </w:divBdr>
                                      <w:divsChild>
                                        <w:div w:id="4722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4435-98A6-4F39-8235-E295F379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24</Pages>
  <Words>2109</Words>
  <Characters>12023</Characters>
  <Application>Microsoft Office Word</Application>
  <DocSecurity>0</DocSecurity>
  <Lines>100</Lines>
  <Paragraphs>28</Paragraphs>
  <ScaleCrop>false</ScaleCrop>
  <Company>cy</Company>
  <LinksUpToDate>false</LinksUpToDate>
  <CharactersWithSpaces>14104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林炎銘</dc:creator>
  <cp:lastModifiedBy>謝琦瑛</cp:lastModifiedBy>
  <cp:revision>2</cp:revision>
  <cp:lastPrinted>2019-11-29T07:45:00Z</cp:lastPrinted>
  <dcterms:created xsi:type="dcterms:W3CDTF">2020-04-23T07:09:00Z</dcterms:created>
  <dcterms:modified xsi:type="dcterms:W3CDTF">2020-04-23T07:09:00Z</dcterms:modified>
</cp:coreProperties>
</file>