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AA9" w:rsidRPr="007B3D31" w:rsidRDefault="00CF1AA9" w:rsidP="00CF1AA9">
      <w:pPr>
        <w:pStyle w:val="af6"/>
        <w:rPr>
          <w:rFonts w:hAnsi="標楷體"/>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bookmarkStart w:id="24" w:name="_Toc524902730"/>
      <w:r w:rsidRPr="007B3D31">
        <w:rPr>
          <w:rFonts w:hAnsi="標楷體"/>
        </w:rPr>
        <w:t>調查報告</w:t>
      </w:r>
    </w:p>
    <w:p w:rsidR="00CF1AA9" w:rsidRDefault="00CF1AA9" w:rsidP="00CF1AA9">
      <w:pPr>
        <w:pStyle w:val="1"/>
        <w:numPr>
          <w:ilvl w:val="0"/>
          <w:numId w:val="1"/>
        </w:numPr>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2834150"/>
      <w:bookmarkStart w:id="36" w:name="_Toc421794865"/>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r w:rsidRPr="007B3D31">
        <w:t>案　　由：</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roofErr w:type="gramStart"/>
      <w:r w:rsidRPr="007B3D31">
        <w:rPr>
          <w:lang w:eastAsia="zh-HK"/>
        </w:rPr>
        <w:t>有關據訴</w:t>
      </w:r>
      <w:proofErr w:type="gramEnd"/>
      <w:r w:rsidRPr="007B3D31">
        <w:rPr>
          <w:lang w:eastAsia="zh-HK"/>
        </w:rPr>
        <w:t>，為大同股份有限公司、</w:t>
      </w:r>
      <w:r w:rsidRPr="007B3D31">
        <w:rPr>
          <w:rFonts w:hAnsi="標楷體" w:hint="eastAsia"/>
          <w:lang w:eastAsia="zh-HK"/>
        </w:rPr>
        <w:t>中華映管科技股份有限公司</w:t>
      </w:r>
      <w:r w:rsidRPr="007B3D31">
        <w:rPr>
          <w:lang w:eastAsia="zh-HK"/>
        </w:rPr>
        <w:t>、</w:t>
      </w:r>
      <w:proofErr w:type="gramStart"/>
      <w:r w:rsidRPr="007B3D31">
        <w:rPr>
          <w:lang w:eastAsia="zh-HK"/>
        </w:rPr>
        <w:t>綠能科技</w:t>
      </w:r>
      <w:proofErr w:type="gramEnd"/>
      <w:r w:rsidRPr="007B3D31">
        <w:rPr>
          <w:lang w:eastAsia="zh-HK"/>
        </w:rPr>
        <w:t>股份有限公司等大同集團旗下上市公司，營運期間發生重大弊端，財務、業務嚴重失靈，造成股東及廣大投資人鉅額損失，金融監督管理委員會及所屬業務機關涉有怠忽職守，致民眾權益受損</w:t>
      </w:r>
      <w:proofErr w:type="gramStart"/>
      <w:r w:rsidRPr="007B3D31">
        <w:rPr>
          <w:lang w:eastAsia="zh-HK"/>
        </w:rPr>
        <w:t>等情案</w:t>
      </w:r>
      <w:proofErr w:type="gramEnd"/>
      <w:r w:rsidRPr="007B3D31">
        <w:t>。</w:t>
      </w:r>
    </w:p>
    <w:p w:rsidR="003D4614" w:rsidRPr="00CF1AA9" w:rsidRDefault="00192019" w:rsidP="00CF1AA9">
      <w:pPr>
        <w:pStyle w:val="1"/>
        <w:numPr>
          <w:ilvl w:val="0"/>
          <w:numId w:val="1"/>
        </w:numPr>
      </w:pPr>
      <w:r w:rsidRPr="00CF1AA9">
        <w:rPr>
          <w:rFonts w:hAnsi="標楷體"/>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0F17DD" w:rsidRPr="000624C6" w:rsidRDefault="00707655" w:rsidP="00CF1AA9">
      <w:pPr>
        <w:pStyle w:val="11"/>
        <w:ind w:left="680" w:firstLine="680"/>
        <w:rPr>
          <w:rFonts w:hAnsi="標楷體"/>
        </w:rPr>
      </w:pPr>
      <w:proofErr w:type="gramStart"/>
      <w:r w:rsidRPr="000624C6">
        <w:rPr>
          <w:rFonts w:hAnsi="標楷體"/>
          <w:lang w:eastAsia="zh-HK"/>
        </w:rPr>
        <w:t>有關據訴</w:t>
      </w:r>
      <w:proofErr w:type="gramEnd"/>
      <w:r w:rsidRPr="000624C6">
        <w:rPr>
          <w:rFonts w:hAnsi="標楷體"/>
        </w:rPr>
        <w:t>（</w:t>
      </w:r>
      <w:r w:rsidRPr="000624C6">
        <w:rPr>
          <w:rFonts w:hAnsi="標楷體"/>
          <w:lang w:eastAsia="zh-HK"/>
        </w:rPr>
        <w:t>陳訴人要求身分保密</w:t>
      </w:r>
      <w:r w:rsidRPr="000624C6">
        <w:rPr>
          <w:rFonts w:hAnsi="標楷體"/>
        </w:rPr>
        <w:t>）</w:t>
      </w:r>
      <w:r w:rsidRPr="000624C6">
        <w:rPr>
          <w:rFonts w:hAnsi="標楷體"/>
          <w:lang w:eastAsia="zh-HK"/>
        </w:rPr>
        <w:t>，為大同股份有限公司</w:t>
      </w:r>
      <w:r w:rsidRPr="000624C6">
        <w:rPr>
          <w:rFonts w:hAnsi="標楷體"/>
        </w:rPr>
        <w:t>（</w:t>
      </w:r>
      <w:r w:rsidRPr="000624C6">
        <w:rPr>
          <w:rFonts w:hAnsi="標楷體"/>
          <w:lang w:eastAsia="zh-HK"/>
        </w:rPr>
        <w:t>下稱大同公司</w:t>
      </w:r>
      <w:r w:rsidRPr="000624C6">
        <w:rPr>
          <w:rFonts w:hAnsi="標楷體"/>
        </w:rPr>
        <w:t>）</w:t>
      </w:r>
      <w:r w:rsidRPr="000624C6">
        <w:rPr>
          <w:rFonts w:hAnsi="標楷體"/>
          <w:lang w:eastAsia="zh-HK"/>
        </w:rPr>
        <w:t>、</w:t>
      </w:r>
      <w:r w:rsidR="005251F2" w:rsidRPr="000624C6">
        <w:rPr>
          <w:rFonts w:hAnsi="標楷體"/>
          <w:lang w:eastAsia="zh-HK"/>
        </w:rPr>
        <w:t>中華映管科技股份有限公司</w:t>
      </w:r>
      <w:r w:rsidRPr="000624C6">
        <w:rPr>
          <w:rFonts w:hAnsi="標楷體"/>
        </w:rPr>
        <w:t>（</w:t>
      </w:r>
      <w:r w:rsidRPr="000624C6">
        <w:rPr>
          <w:rFonts w:hAnsi="標楷體"/>
          <w:lang w:eastAsia="zh-HK"/>
        </w:rPr>
        <w:t>下稱華映公司</w:t>
      </w:r>
      <w:r w:rsidRPr="000624C6">
        <w:rPr>
          <w:rFonts w:hAnsi="標楷體"/>
        </w:rPr>
        <w:t>）</w:t>
      </w:r>
      <w:r w:rsidRPr="000624C6">
        <w:rPr>
          <w:rFonts w:hAnsi="標楷體"/>
          <w:lang w:eastAsia="zh-HK"/>
        </w:rPr>
        <w:t>、</w:t>
      </w:r>
      <w:proofErr w:type="gramStart"/>
      <w:r w:rsidRPr="000624C6">
        <w:rPr>
          <w:rFonts w:hAnsi="標楷體"/>
          <w:lang w:eastAsia="zh-HK"/>
        </w:rPr>
        <w:t>綠能科技</w:t>
      </w:r>
      <w:proofErr w:type="gramEnd"/>
      <w:r w:rsidRPr="000624C6">
        <w:rPr>
          <w:rFonts w:hAnsi="標楷體"/>
          <w:lang w:eastAsia="zh-HK"/>
        </w:rPr>
        <w:t>股份有限公司</w:t>
      </w:r>
      <w:r w:rsidRPr="000624C6">
        <w:rPr>
          <w:rFonts w:hAnsi="標楷體"/>
        </w:rPr>
        <w:t>（</w:t>
      </w:r>
      <w:r w:rsidRPr="000624C6">
        <w:rPr>
          <w:rFonts w:hAnsi="標楷體"/>
          <w:lang w:eastAsia="zh-HK"/>
        </w:rPr>
        <w:t>下稱綠能公司</w:t>
      </w:r>
      <w:r w:rsidRPr="000624C6">
        <w:rPr>
          <w:rFonts w:hAnsi="標楷體"/>
        </w:rPr>
        <w:t>）</w:t>
      </w:r>
      <w:r w:rsidRPr="000624C6">
        <w:rPr>
          <w:rFonts w:hAnsi="標楷體"/>
          <w:lang w:eastAsia="zh-HK"/>
        </w:rPr>
        <w:t>等大同集團旗下上市公司，營運期間發生重大弊端，財務、業務嚴重失靈，造成股東及廣大投資人鉅額損失，</w:t>
      </w:r>
      <w:r w:rsidRPr="000624C6">
        <w:rPr>
          <w:rFonts w:hAnsi="標楷體"/>
        </w:rPr>
        <w:t>金融監督管理（下稱金管會）</w:t>
      </w:r>
      <w:r w:rsidRPr="000624C6">
        <w:rPr>
          <w:rFonts w:hAnsi="標楷體"/>
          <w:lang w:eastAsia="zh-HK"/>
        </w:rPr>
        <w:t>及所屬業務機關涉有怠忽職守，致民眾權益受損</w:t>
      </w:r>
      <w:proofErr w:type="gramStart"/>
      <w:r w:rsidRPr="000624C6">
        <w:rPr>
          <w:rFonts w:hAnsi="標楷體"/>
          <w:lang w:eastAsia="zh-HK"/>
        </w:rPr>
        <w:t>等情案</w:t>
      </w:r>
      <w:proofErr w:type="gramEnd"/>
      <w:r w:rsidRPr="000624C6">
        <w:rPr>
          <w:rFonts w:hAnsi="標楷體"/>
        </w:rPr>
        <w:t>，經調閱金管會、經濟部、勞動部、法務部、案</w:t>
      </w:r>
      <w:proofErr w:type="gramStart"/>
      <w:r w:rsidRPr="000624C6">
        <w:rPr>
          <w:rFonts w:hAnsi="標楷體"/>
        </w:rPr>
        <w:t>關財政部</w:t>
      </w:r>
      <w:r w:rsidRPr="000624C6">
        <w:rPr>
          <w:rFonts w:hAnsi="標楷體"/>
          <w:lang w:eastAsia="zh-HK"/>
        </w:rPr>
        <w:t>轄</w:t>
      </w:r>
      <w:r w:rsidR="00404294" w:rsidRPr="000624C6">
        <w:rPr>
          <w:rFonts w:hAnsi="標楷體"/>
          <w:lang w:eastAsia="zh-HK"/>
        </w:rPr>
        <w:t>管</w:t>
      </w:r>
      <w:proofErr w:type="gramEnd"/>
      <w:r w:rsidRPr="000624C6">
        <w:rPr>
          <w:rFonts w:hAnsi="標楷體"/>
        </w:rPr>
        <w:t>臺灣銀行股份有限公司（下稱臺灣銀行）、</w:t>
      </w:r>
      <w:r w:rsidR="000A4D94" w:rsidRPr="000624C6">
        <w:rPr>
          <w:rFonts w:hAnsi="標楷體"/>
          <w:lang w:eastAsia="zh-HK"/>
        </w:rPr>
        <w:t>臺灣</w:t>
      </w:r>
      <w:r w:rsidR="000A4D94" w:rsidRPr="000624C6">
        <w:rPr>
          <w:rFonts w:hAnsi="標楷體"/>
        </w:rPr>
        <w:t>土地銀行股份有限公司</w:t>
      </w:r>
      <w:r w:rsidRPr="000624C6">
        <w:rPr>
          <w:rFonts w:hAnsi="標楷體"/>
        </w:rPr>
        <w:t>（下稱土地銀行）、合作金庫商業銀行股份有限公司（下稱合作金庫）、兆豐國際商業銀行股份有限公司（下稱兆豐銀行）、華南商業銀行股份有限公司（下</w:t>
      </w:r>
      <w:r w:rsidRPr="000624C6">
        <w:rPr>
          <w:rFonts w:hAnsi="標楷體"/>
          <w:lang w:eastAsia="zh-HK"/>
        </w:rPr>
        <w:t>稱</w:t>
      </w:r>
      <w:r w:rsidRPr="000624C6">
        <w:rPr>
          <w:rFonts w:hAnsi="標楷體"/>
        </w:rPr>
        <w:t>華南銀行）、彰化商業銀行股份有限公司（下</w:t>
      </w:r>
      <w:r w:rsidRPr="000624C6">
        <w:rPr>
          <w:rFonts w:hAnsi="標楷體"/>
          <w:lang w:eastAsia="zh-HK"/>
        </w:rPr>
        <w:t>稱</w:t>
      </w:r>
      <w:r w:rsidRPr="000624C6">
        <w:rPr>
          <w:rFonts w:hAnsi="標楷體"/>
        </w:rPr>
        <w:t>彰化銀行）等機關（</w:t>
      </w:r>
      <w:r w:rsidRPr="000624C6">
        <w:rPr>
          <w:rFonts w:hAnsi="標楷體"/>
          <w:lang w:eastAsia="zh-HK"/>
        </w:rPr>
        <w:t>構</w:t>
      </w:r>
      <w:r w:rsidRPr="000624C6">
        <w:rPr>
          <w:rFonts w:hAnsi="標楷體"/>
        </w:rPr>
        <w:t>）卷證資料，並</w:t>
      </w:r>
      <w:r w:rsidRPr="000624C6">
        <w:rPr>
          <w:rFonts w:hAnsi="標楷體"/>
          <w:lang w:eastAsia="zh-HK"/>
        </w:rPr>
        <w:t>分別</w:t>
      </w:r>
      <w:r w:rsidRPr="000624C6">
        <w:rPr>
          <w:rFonts w:hAnsi="標楷體"/>
        </w:rPr>
        <w:t>於民國（下同）109年2月6、7</w:t>
      </w:r>
      <w:r w:rsidR="00882E48" w:rsidRPr="000624C6">
        <w:rPr>
          <w:rFonts w:hAnsi="標楷體"/>
        </w:rPr>
        <w:t>、</w:t>
      </w:r>
      <w:r w:rsidRPr="000624C6">
        <w:rPr>
          <w:rFonts w:hAnsi="標楷體"/>
        </w:rPr>
        <w:t>18日詢問金管會、臺灣證券交易所股份有限公司（下稱</w:t>
      </w:r>
      <w:r w:rsidRPr="000624C6">
        <w:rPr>
          <w:rFonts w:hAnsi="標楷體"/>
          <w:spacing w:val="-4"/>
          <w:szCs w:val="32"/>
        </w:rPr>
        <w:t>證交所</w:t>
      </w:r>
      <w:r w:rsidRPr="000624C6">
        <w:rPr>
          <w:rFonts w:hAnsi="標楷體"/>
        </w:rPr>
        <w:t>）、經濟部、勞動部、財政部</w:t>
      </w:r>
      <w:r w:rsidRPr="000624C6">
        <w:rPr>
          <w:rFonts w:hAnsi="標楷體"/>
          <w:lang w:eastAsia="zh-HK"/>
        </w:rPr>
        <w:t>與上開公股金融機構等</w:t>
      </w:r>
      <w:r w:rsidRPr="000624C6">
        <w:rPr>
          <w:rFonts w:hAnsi="標楷體"/>
        </w:rPr>
        <w:t>機關（構）人員</w:t>
      </w:r>
      <w:r w:rsidR="00882E48" w:rsidRPr="000624C6">
        <w:rPr>
          <w:rFonts w:hAnsi="標楷體"/>
        </w:rPr>
        <w:t>已</w:t>
      </w:r>
      <w:proofErr w:type="gramStart"/>
      <w:r w:rsidR="00882E48" w:rsidRPr="000624C6">
        <w:rPr>
          <w:rFonts w:hAnsi="標楷體"/>
        </w:rPr>
        <w:t>調查竣事</w:t>
      </w:r>
      <w:proofErr w:type="gramEnd"/>
      <w:r w:rsidRPr="000624C6">
        <w:rPr>
          <w:rFonts w:hAnsi="標楷體"/>
        </w:rPr>
        <w:t>，</w:t>
      </w:r>
      <w:r w:rsidR="000F17DD" w:rsidRPr="000624C6">
        <w:rPr>
          <w:rFonts w:hAnsi="標楷體"/>
        </w:rPr>
        <w:t>茲</w:t>
      </w:r>
      <w:proofErr w:type="gramStart"/>
      <w:r w:rsidR="000F17DD" w:rsidRPr="000624C6">
        <w:rPr>
          <w:rFonts w:hAnsi="標楷體"/>
        </w:rPr>
        <w:t>臚</w:t>
      </w:r>
      <w:proofErr w:type="gramEnd"/>
      <w:r w:rsidR="000F17DD" w:rsidRPr="000624C6">
        <w:rPr>
          <w:rFonts w:hAnsi="標楷體"/>
        </w:rPr>
        <w:t>列調查意見如下：</w:t>
      </w:r>
    </w:p>
    <w:p w:rsidR="00F4225B" w:rsidRPr="000624C6" w:rsidRDefault="003E20F3" w:rsidP="00CF1AA9">
      <w:pPr>
        <w:pStyle w:val="2"/>
        <w:rPr>
          <w:b/>
        </w:rPr>
      </w:pPr>
      <w:r w:rsidRPr="000624C6">
        <w:rPr>
          <w:b/>
        </w:rPr>
        <w:t>金管會106年5月接獲民眾陳情華映</w:t>
      </w:r>
      <w:r w:rsidR="004B3BD3" w:rsidRPr="000624C6">
        <w:rPr>
          <w:b/>
        </w:rPr>
        <w:t>、</w:t>
      </w:r>
      <w:r w:rsidR="003959B2" w:rsidRPr="000624C6">
        <w:rPr>
          <w:b/>
        </w:rPr>
        <w:t>大同公司</w:t>
      </w:r>
      <w:r w:rsidRPr="000624C6">
        <w:rPr>
          <w:b/>
        </w:rPr>
        <w:t>未</w:t>
      </w:r>
      <w:r w:rsidR="005454B5" w:rsidRPr="000624C6">
        <w:rPr>
          <w:b/>
          <w:lang w:eastAsia="zh-HK"/>
        </w:rPr>
        <w:t>對外</w:t>
      </w:r>
      <w:r w:rsidRPr="000624C6">
        <w:rPr>
          <w:b/>
        </w:rPr>
        <w:t>揭露對</w:t>
      </w:r>
      <w:r w:rsidR="00B93D69" w:rsidRPr="000624C6">
        <w:rPr>
          <w:b/>
        </w:rPr>
        <w:t>中國</w:t>
      </w:r>
      <w:r w:rsidRPr="000624C6">
        <w:rPr>
          <w:b/>
        </w:rPr>
        <w:t>華映科技19</w:t>
      </w:r>
      <w:r w:rsidR="00D43C70" w:rsidRPr="000624C6">
        <w:rPr>
          <w:b/>
        </w:rPr>
        <w:t>項重大承諾事項，</w:t>
      </w:r>
      <w:r w:rsidR="006E4AB6" w:rsidRPr="000624C6">
        <w:rPr>
          <w:b/>
          <w:lang w:eastAsia="zh-HK"/>
        </w:rPr>
        <w:t>對</w:t>
      </w:r>
      <w:r w:rsidR="00D43C70" w:rsidRPr="000624C6">
        <w:rPr>
          <w:b/>
        </w:rPr>
        <w:t>華映、大同</w:t>
      </w:r>
      <w:proofErr w:type="gramStart"/>
      <w:r w:rsidR="00D43C70" w:rsidRPr="000624C6">
        <w:rPr>
          <w:b/>
        </w:rPr>
        <w:t>公司</w:t>
      </w:r>
      <w:r w:rsidR="003805E7" w:rsidRPr="000624C6">
        <w:rPr>
          <w:b/>
          <w:lang w:eastAsia="zh-HK"/>
        </w:rPr>
        <w:t>閱表者</w:t>
      </w:r>
      <w:proofErr w:type="gramEnd"/>
      <w:r w:rsidR="00AF17A8" w:rsidRPr="000624C6">
        <w:rPr>
          <w:b/>
        </w:rPr>
        <w:t>決策</w:t>
      </w:r>
      <w:r w:rsidR="006E4AB6" w:rsidRPr="000624C6">
        <w:rPr>
          <w:b/>
          <w:lang w:eastAsia="zh-HK"/>
        </w:rPr>
        <w:t>有</w:t>
      </w:r>
      <w:r w:rsidR="003805E7" w:rsidRPr="000624C6">
        <w:rPr>
          <w:b/>
          <w:lang w:eastAsia="zh-HK"/>
        </w:rPr>
        <w:t>重大</w:t>
      </w:r>
      <w:r w:rsidR="00E95023" w:rsidRPr="000624C6">
        <w:rPr>
          <w:rFonts w:hint="eastAsia"/>
          <w:b/>
          <w:lang w:eastAsia="zh-HK"/>
        </w:rPr>
        <w:t>影響</w:t>
      </w:r>
      <w:r w:rsidRPr="000624C6">
        <w:rPr>
          <w:b/>
        </w:rPr>
        <w:t>，</w:t>
      </w:r>
      <w:r w:rsidR="003959B2" w:rsidRPr="000624C6">
        <w:rPr>
          <w:b/>
        </w:rPr>
        <w:t>惟該會</w:t>
      </w:r>
      <w:r w:rsidR="006E4AB6" w:rsidRPr="000624C6">
        <w:rPr>
          <w:b/>
          <w:lang w:eastAsia="zh-HK"/>
        </w:rPr>
        <w:t>僅函請證交所</w:t>
      </w:r>
      <w:r w:rsidR="006E4AB6" w:rsidRPr="000624C6">
        <w:rPr>
          <w:b/>
          <w:lang w:eastAsia="zh-HK"/>
        </w:rPr>
        <w:lastRenderedPageBreak/>
        <w:t>查報</w:t>
      </w:r>
      <w:r w:rsidR="006E4AB6" w:rsidRPr="000624C6">
        <w:rPr>
          <w:b/>
        </w:rPr>
        <w:t>，</w:t>
      </w:r>
      <w:r w:rsidR="006E4AB6" w:rsidRPr="000624C6">
        <w:rPr>
          <w:b/>
          <w:lang w:eastAsia="zh-HK"/>
        </w:rPr>
        <w:t>而證交所亦僅函</w:t>
      </w:r>
      <w:proofErr w:type="gramStart"/>
      <w:r w:rsidR="006E4AB6" w:rsidRPr="000624C6">
        <w:rPr>
          <w:b/>
          <w:lang w:eastAsia="zh-HK"/>
        </w:rPr>
        <w:t>詢</w:t>
      </w:r>
      <w:proofErr w:type="gramEnd"/>
      <w:r w:rsidR="006E4AB6" w:rsidRPr="000624C6">
        <w:rPr>
          <w:b/>
          <w:lang w:eastAsia="zh-HK"/>
        </w:rPr>
        <w:t>華映</w:t>
      </w:r>
      <w:r w:rsidR="006E4AB6" w:rsidRPr="000624C6">
        <w:rPr>
          <w:b/>
        </w:rPr>
        <w:t>、</w:t>
      </w:r>
      <w:r w:rsidR="006E4AB6" w:rsidRPr="000624C6">
        <w:rPr>
          <w:b/>
          <w:lang w:eastAsia="zh-HK"/>
        </w:rPr>
        <w:t>大同公司及其簽證會計師</w:t>
      </w:r>
      <w:r w:rsidR="006E4AB6" w:rsidRPr="000624C6">
        <w:rPr>
          <w:b/>
        </w:rPr>
        <w:t>，</w:t>
      </w:r>
      <w:r w:rsidR="00E95023" w:rsidRPr="000624C6">
        <w:rPr>
          <w:b/>
          <w:lang w:eastAsia="zh-HK"/>
        </w:rPr>
        <w:t>渠等主</w:t>
      </w:r>
      <w:r w:rsidR="00E95023" w:rsidRPr="000624C6">
        <w:rPr>
          <w:b/>
        </w:rPr>
        <w:t>張相關承</w:t>
      </w:r>
      <w:r w:rsidR="00E95023" w:rsidRPr="000624C6">
        <w:rPr>
          <w:rFonts w:hint="eastAsia"/>
          <w:b/>
        </w:rPr>
        <w:t>諾</w:t>
      </w:r>
      <w:r w:rsidR="006E4AB6" w:rsidRPr="000624C6">
        <w:rPr>
          <w:b/>
        </w:rPr>
        <w:t>無重大影響，</w:t>
      </w:r>
      <w:proofErr w:type="gramStart"/>
      <w:r w:rsidRPr="000624C6">
        <w:rPr>
          <w:b/>
        </w:rPr>
        <w:t>迨</w:t>
      </w:r>
      <w:proofErr w:type="gramEnd"/>
      <w:r w:rsidR="003959B2" w:rsidRPr="000624C6">
        <w:rPr>
          <w:b/>
        </w:rPr>
        <w:t>至中國華映科技依照相關承諾向</w:t>
      </w:r>
      <w:r w:rsidR="00E06884" w:rsidRPr="000624C6">
        <w:rPr>
          <w:rFonts w:hint="eastAsia"/>
          <w:b/>
        </w:rPr>
        <w:t>華映、大同公司</w:t>
      </w:r>
      <w:r w:rsidR="003959B2" w:rsidRPr="000624C6">
        <w:rPr>
          <w:b/>
        </w:rPr>
        <w:t>提出鉅額</w:t>
      </w:r>
      <w:proofErr w:type="gramStart"/>
      <w:r w:rsidR="003959B2" w:rsidRPr="000624C6">
        <w:rPr>
          <w:b/>
        </w:rPr>
        <w:t>求償後</w:t>
      </w:r>
      <w:proofErr w:type="gramEnd"/>
      <w:r w:rsidR="003959B2" w:rsidRPr="000624C6">
        <w:rPr>
          <w:b/>
        </w:rPr>
        <w:t>，始於</w:t>
      </w:r>
      <w:r w:rsidRPr="000624C6">
        <w:rPr>
          <w:b/>
        </w:rPr>
        <w:t>108年4月</w:t>
      </w:r>
      <w:r w:rsidR="003959B2" w:rsidRPr="000624C6">
        <w:rPr>
          <w:b/>
        </w:rPr>
        <w:t>向檢察機關告發該二</w:t>
      </w:r>
      <w:r w:rsidRPr="000624C6">
        <w:rPr>
          <w:b/>
        </w:rPr>
        <w:t>公司</w:t>
      </w:r>
      <w:r w:rsidR="003959B2" w:rsidRPr="000624C6">
        <w:rPr>
          <w:b/>
        </w:rPr>
        <w:t>涉有隱匿財務報告</w:t>
      </w:r>
      <w:r w:rsidR="005454B5" w:rsidRPr="000624C6">
        <w:rPr>
          <w:b/>
          <w:lang w:eastAsia="zh-HK"/>
        </w:rPr>
        <w:t>之</w:t>
      </w:r>
      <w:r w:rsidR="003805E7" w:rsidRPr="000624C6">
        <w:rPr>
          <w:b/>
        </w:rPr>
        <w:t>不法情事，核有</w:t>
      </w:r>
      <w:r w:rsidR="003805E7" w:rsidRPr="000624C6">
        <w:rPr>
          <w:b/>
          <w:lang w:eastAsia="zh-HK"/>
        </w:rPr>
        <w:t>未當</w:t>
      </w:r>
      <w:r w:rsidRPr="000624C6">
        <w:rPr>
          <w:b/>
        </w:rPr>
        <w:t>。</w:t>
      </w:r>
    </w:p>
    <w:p w:rsidR="003E20F3" w:rsidRPr="000624C6" w:rsidRDefault="003E20F3" w:rsidP="00CF1AA9">
      <w:pPr>
        <w:pStyle w:val="3"/>
        <w:rPr>
          <w:rFonts w:hAnsi="標楷體"/>
          <w:lang w:eastAsia="zh-HK"/>
        </w:rPr>
      </w:pPr>
      <w:r w:rsidRPr="000624C6">
        <w:rPr>
          <w:rFonts w:hAnsi="標楷體"/>
          <w:lang w:eastAsia="zh-HK"/>
        </w:rPr>
        <w:t>按</w:t>
      </w:r>
      <w:r w:rsidR="00B44BFD" w:rsidRPr="000624C6">
        <w:rPr>
          <w:rFonts w:hAnsi="標楷體"/>
          <w:lang w:eastAsia="zh-HK"/>
        </w:rPr>
        <w:t>證券交易法</w:t>
      </w:r>
      <w:r w:rsidR="00B44BFD" w:rsidRPr="000624C6">
        <w:rPr>
          <w:rFonts w:hAnsi="標楷體"/>
        </w:rPr>
        <w:t>（</w:t>
      </w:r>
      <w:r w:rsidR="00B44BFD" w:rsidRPr="000624C6">
        <w:rPr>
          <w:rFonts w:hAnsi="標楷體"/>
          <w:lang w:eastAsia="zh-HK"/>
        </w:rPr>
        <w:t>下稱</w:t>
      </w:r>
      <w:r w:rsidRPr="000624C6">
        <w:rPr>
          <w:rFonts w:hAnsi="標楷體"/>
          <w:lang w:eastAsia="zh-HK"/>
        </w:rPr>
        <w:t>證交法</w:t>
      </w:r>
      <w:r w:rsidR="00B44BFD" w:rsidRPr="000624C6">
        <w:rPr>
          <w:rFonts w:hAnsi="標楷體"/>
        </w:rPr>
        <w:t>）</w:t>
      </w:r>
      <w:r w:rsidRPr="000624C6">
        <w:rPr>
          <w:rFonts w:hAnsi="標楷體"/>
          <w:lang w:eastAsia="zh-HK"/>
        </w:rPr>
        <w:t>第20條第2項規定</w:t>
      </w:r>
      <w:r w:rsidRPr="000624C6">
        <w:rPr>
          <w:rFonts w:hAnsi="標楷體"/>
        </w:rPr>
        <w:t>：</w:t>
      </w:r>
      <w:r w:rsidRPr="000624C6">
        <w:rPr>
          <w:rFonts w:hAnsi="標楷體"/>
          <w:lang w:eastAsia="zh-HK"/>
        </w:rPr>
        <w:t>「發行人依本法規定申報或公告之財務報告及財務業務文件，其內容不得有虛偽或隱匿之情事。」</w:t>
      </w:r>
      <w:r w:rsidR="00B44BFD" w:rsidRPr="000624C6">
        <w:rPr>
          <w:rFonts w:hAnsi="標楷體"/>
          <w:lang w:eastAsia="zh-HK"/>
        </w:rPr>
        <w:t>違反者</w:t>
      </w:r>
      <w:r w:rsidR="00B44BFD" w:rsidRPr="000624C6">
        <w:rPr>
          <w:rFonts w:hAnsi="標楷體"/>
        </w:rPr>
        <w:t>，</w:t>
      </w:r>
      <w:r w:rsidRPr="000624C6">
        <w:rPr>
          <w:rFonts w:hAnsi="標楷體"/>
          <w:lang w:eastAsia="zh-HK"/>
        </w:rPr>
        <w:t>同法第171條1項1款規定</w:t>
      </w:r>
      <w:r w:rsidRPr="000624C6">
        <w:rPr>
          <w:rFonts w:hAnsi="標楷體"/>
        </w:rPr>
        <w:t>：</w:t>
      </w:r>
      <w:r w:rsidRPr="000624C6">
        <w:rPr>
          <w:rFonts w:hAnsi="標楷體"/>
          <w:lang w:eastAsia="zh-HK"/>
        </w:rPr>
        <w:t>「</w:t>
      </w:r>
      <w:r w:rsidR="00B44BFD" w:rsidRPr="000624C6">
        <w:rPr>
          <w:rFonts w:hAnsi="標楷體"/>
          <w:lang w:eastAsia="zh-HK"/>
        </w:rPr>
        <w:t>…</w:t>
      </w:r>
      <w:proofErr w:type="gramStart"/>
      <w:r w:rsidR="00B44BFD" w:rsidRPr="000624C6">
        <w:rPr>
          <w:rFonts w:hAnsi="標楷體"/>
          <w:lang w:eastAsia="zh-HK"/>
        </w:rPr>
        <w:t>…</w:t>
      </w:r>
      <w:proofErr w:type="gramEnd"/>
      <w:r w:rsidRPr="000624C6">
        <w:rPr>
          <w:rFonts w:hAnsi="標楷體"/>
          <w:lang w:eastAsia="zh-HK"/>
        </w:rPr>
        <w:t>處3年以上10年以下有期徒刑，得</w:t>
      </w:r>
      <w:proofErr w:type="gramStart"/>
      <w:r w:rsidRPr="000624C6">
        <w:rPr>
          <w:rFonts w:hAnsi="標楷體"/>
          <w:lang w:eastAsia="zh-HK"/>
        </w:rPr>
        <w:t>併</w:t>
      </w:r>
      <w:proofErr w:type="gramEnd"/>
      <w:r w:rsidRPr="000624C6">
        <w:rPr>
          <w:rFonts w:hAnsi="標楷體"/>
          <w:lang w:eastAsia="zh-HK"/>
        </w:rPr>
        <w:t>科新臺幣</w:t>
      </w:r>
      <w:r w:rsidR="0030516C" w:rsidRPr="000624C6">
        <w:rPr>
          <w:rFonts w:hAnsi="標楷體"/>
        </w:rPr>
        <w:t>（</w:t>
      </w:r>
      <w:r w:rsidR="0030516C" w:rsidRPr="000624C6">
        <w:rPr>
          <w:rFonts w:hAnsi="標楷體"/>
          <w:lang w:eastAsia="zh-HK"/>
        </w:rPr>
        <w:t>下同</w:t>
      </w:r>
      <w:r w:rsidR="0030516C" w:rsidRPr="000624C6">
        <w:rPr>
          <w:rFonts w:hAnsi="標楷體"/>
        </w:rPr>
        <w:t>）</w:t>
      </w:r>
      <w:r w:rsidRPr="000624C6">
        <w:rPr>
          <w:rFonts w:hAnsi="標楷體"/>
          <w:lang w:eastAsia="zh-HK"/>
        </w:rPr>
        <w:t>1,000萬元以上2億元以下罰金</w:t>
      </w:r>
      <w:r w:rsidR="00B44BFD" w:rsidRPr="000624C6">
        <w:rPr>
          <w:rFonts w:hAnsi="標楷體"/>
        </w:rPr>
        <w:t>。</w:t>
      </w:r>
      <w:r w:rsidRPr="000624C6">
        <w:rPr>
          <w:rFonts w:hAnsi="標楷體"/>
          <w:lang w:eastAsia="zh-HK"/>
        </w:rPr>
        <w:t>」</w:t>
      </w:r>
      <w:r w:rsidR="00B44BFD" w:rsidRPr="000624C6">
        <w:rPr>
          <w:rFonts w:hAnsi="標楷體"/>
          <w:lang w:eastAsia="zh-HK"/>
        </w:rPr>
        <w:t>又按</w:t>
      </w:r>
      <w:r w:rsidRPr="000624C6">
        <w:rPr>
          <w:rFonts w:hAnsi="標楷體"/>
          <w:lang w:eastAsia="zh-HK"/>
        </w:rPr>
        <w:t>證券發行人財務報告編製準則第15條第12款及第35</w:t>
      </w:r>
      <w:r w:rsidR="003805E7" w:rsidRPr="000624C6">
        <w:rPr>
          <w:rFonts w:hAnsi="標楷體"/>
          <w:lang w:eastAsia="zh-HK"/>
        </w:rPr>
        <w:t>款規定</w:t>
      </w:r>
      <w:r w:rsidR="003805E7" w:rsidRPr="000624C6">
        <w:rPr>
          <w:rFonts w:hAnsi="標楷體"/>
        </w:rPr>
        <w:t>：「財務報告為期詳盡表達財務狀況、財務績效及現金流量之資訊，對下列事項應加</w:t>
      </w:r>
      <w:proofErr w:type="gramStart"/>
      <w:r w:rsidR="003805E7" w:rsidRPr="000624C6">
        <w:rPr>
          <w:rFonts w:hAnsi="標楷體"/>
        </w:rPr>
        <w:t>註</w:t>
      </w:r>
      <w:proofErr w:type="gramEnd"/>
      <w:r w:rsidR="003805E7" w:rsidRPr="000624C6">
        <w:rPr>
          <w:rFonts w:hAnsi="標楷體"/>
        </w:rPr>
        <w:t>釋…</w:t>
      </w:r>
      <w:proofErr w:type="gramStart"/>
      <w:r w:rsidR="003805E7" w:rsidRPr="000624C6">
        <w:rPr>
          <w:rFonts w:hAnsi="標楷體"/>
        </w:rPr>
        <w:t>…</w:t>
      </w:r>
      <w:proofErr w:type="gramEnd"/>
      <w:r w:rsidR="003805E7" w:rsidRPr="000624C6">
        <w:rPr>
          <w:rFonts w:hAnsi="標楷體"/>
        </w:rPr>
        <w:t>12、重大或有負債及未認列之合約承諾…</w:t>
      </w:r>
      <w:proofErr w:type="gramStart"/>
      <w:r w:rsidR="003805E7" w:rsidRPr="000624C6">
        <w:rPr>
          <w:rFonts w:hAnsi="標楷體"/>
        </w:rPr>
        <w:t>…</w:t>
      </w:r>
      <w:proofErr w:type="gramEnd"/>
      <w:r w:rsidR="003805E7" w:rsidRPr="000624C6">
        <w:rPr>
          <w:rFonts w:hAnsi="標楷體"/>
        </w:rPr>
        <w:t>35、資產負債表、綜合損益表、權益變動表及現金</w:t>
      </w:r>
      <w:proofErr w:type="gramStart"/>
      <w:r w:rsidR="003805E7" w:rsidRPr="000624C6">
        <w:rPr>
          <w:rFonts w:hAnsi="標楷體"/>
        </w:rPr>
        <w:t>流量表各項目</w:t>
      </w:r>
      <w:proofErr w:type="gramEnd"/>
      <w:r w:rsidR="003805E7" w:rsidRPr="000624C6">
        <w:rPr>
          <w:rFonts w:hAnsi="標楷體"/>
        </w:rPr>
        <w:t>之補充資訊，或其他為避免使用者之誤解，或有助於財務報告之公允表達所必須說明之事項。」</w:t>
      </w:r>
      <w:r w:rsidR="006D0D9E" w:rsidRPr="000624C6">
        <w:rPr>
          <w:rFonts w:hAnsi="標楷體"/>
          <w:szCs w:val="32"/>
        </w:rPr>
        <w:t>本院接獲陳訴人陳訴：「</w:t>
      </w:r>
      <w:r w:rsidR="00C00E56" w:rsidRPr="000624C6">
        <w:rPr>
          <w:rFonts w:hAnsi="標楷體"/>
          <w:lang w:eastAsia="zh-HK"/>
        </w:rPr>
        <w:t>華映公司與</w:t>
      </w:r>
      <w:r w:rsidR="00F22DC9" w:rsidRPr="000624C6">
        <w:rPr>
          <w:rFonts w:hAnsi="標楷體"/>
          <w:lang w:eastAsia="zh-HK"/>
        </w:rPr>
        <w:t>大同公司前於</w:t>
      </w:r>
      <w:r w:rsidR="00F22DC9" w:rsidRPr="000624C6">
        <w:rPr>
          <w:rFonts w:hAnsi="標楷體"/>
        </w:rPr>
        <w:t>98</w:t>
      </w:r>
      <w:r w:rsidR="00F22DC9" w:rsidRPr="000624C6">
        <w:rPr>
          <w:rFonts w:hAnsi="標楷體"/>
          <w:lang w:eastAsia="zh-HK"/>
        </w:rPr>
        <w:t>年</w:t>
      </w:r>
      <w:r w:rsidR="009E46A6" w:rsidRPr="000624C6">
        <w:rPr>
          <w:rFonts w:hAnsi="標楷體"/>
          <w:lang w:eastAsia="zh-HK"/>
        </w:rPr>
        <w:t>就</w:t>
      </w:r>
      <w:r w:rsidR="004B3BD3" w:rsidRPr="000624C6">
        <w:rPr>
          <w:rFonts w:hAnsi="標楷體"/>
          <w:lang w:eastAsia="zh-HK"/>
        </w:rPr>
        <w:t>中國</w:t>
      </w:r>
      <w:r w:rsidR="004B3BD3" w:rsidRPr="000624C6">
        <w:rPr>
          <w:rFonts w:hAnsi="標楷體"/>
        </w:rPr>
        <w:t>華映科技（集團）股份有限公司</w:t>
      </w:r>
      <w:proofErr w:type="gramStart"/>
      <w:r w:rsidR="004B3BD3" w:rsidRPr="000624C6">
        <w:rPr>
          <w:rFonts w:hAnsi="標楷體"/>
        </w:rPr>
        <w:t>（</w:t>
      </w:r>
      <w:proofErr w:type="gramEnd"/>
      <w:r w:rsidR="004B3BD3" w:rsidRPr="000624C6">
        <w:rPr>
          <w:rFonts w:hAnsi="標楷體"/>
        </w:rPr>
        <w:t>原名稱為閩東電機</w:t>
      </w:r>
      <w:proofErr w:type="gramStart"/>
      <w:r w:rsidR="004B3BD3" w:rsidRPr="000624C6">
        <w:rPr>
          <w:rFonts w:hAnsi="標楷體"/>
        </w:rPr>
        <w:t>（</w:t>
      </w:r>
      <w:proofErr w:type="gramEnd"/>
      <w:r w:rsidR="004B3BD3" w:rsidRPr="000624C6">
        <w:rPr>
          <w:rFonts w:hAnsi="標楷體"/>
        </w:rPr>
        <w:t>集團</w:t>
      </w:r>
      <w:proofErr w:type="gramStart"/>
      <w:r w:rsidR="004B3BD3" w:rsidRPr="000624C6">
        <w:rPr>
          <w:rFonts w:hAnsi="標楷體"/>
        </w:rPr>
        <w:t>）</w:t>
      </w:r>
      <w:proofErr w:type="gramEnd"/>
      <w:r w:rsidR="004B3BD3" w:rsidRPr="000624C6">
        <w:rPr>
          <w:rFonts w:hAnsi="標楷體"/>
        </w:rPr>
        <w:t>股份有限公司，</w:t>
      </w:r>
      <w:r w:rsidR="004B3BD3" w:rsidRPr="000624C6">
        <w:rPr>
          <w:rFonts w:hAnsi="標楷體"/>
          <w:lang w:eastAsia="zh-HK"/>
        </w:rPr>
        <w:t>下稱中國</w:t>
      </w:r>
      <w:r w:rsidR="004B3BD3" w:rsidRPr="000624C6">
        <w:rPr>
          <w:rFonts w:hAnsi="標楷體"/>
        </w:rPr>
        <w:t>華映科技</w:t>
      </w:r>
      <w:proofErr w:type="gramStart"/>
      <w:r w:rsidR="004B3BD3" w:rsidRPr="000624C6">
        <w:rPr>
          <w:rFonts w:hAnsi="標楷體"/>
        </w:rPr>
        <w:t>）</w:t>
      </w:r>
      <w:proofErr w:type="gramEnd"/>
      <w:r w:rsidR="00F22DC9" w:rsidRPr="000624C6">
        <w:rPr>
          <w:rFonts w:hAnsi="標楷體"/>
          <w:lang w:eastAsia="zh-HK"/>
        </w:rPr>
        <w:t>股權出具</w:t>
      </w:r>
      <w:r w:rsidR="00F22DC9" w:rsidRPr="000624C6">
        <w:rPr>
          <w:rFonts w:hAnsi="標楷體"/>
        </w:rPr>
        <w:t>19</w:t>
      </w:r>
      <w:r w:rsidR="00F22DC9" w:rsidRPr="000624C6">
        <w:rPr>
          <w:rFonts w:hAnsi="標楷體"/>
          <w:lang w:eastAsia="zh-HK"/>
        </w:rPr>
        <w:t>項重大承諾涉有隱匿一事</w:t>
      </w:r>
      <w:r w:rsidR="00F22DC9" w:rsidRPr="000624C6">
        <w:rPr>
          <w:rFonts w:hAnsi="標楷體"/>
        </w:rPr>
        <w:t>，</w:t>
      </w:r>
      <w:r w:rsidR="009E775E" w:rsidRPr="000624C6">
        <w:rPr>
          <w:rFonts w:hAnsi="標楷體"/>
          <w:lang w:eastAsia="zh-HK"/>
        </w:rPr>
        <w:t>金管會於</w:t>
      </w:r>
      <w:r w:rsidR="009E775E" w:rsidRPr="000624C6">
        <w:rPr>
          <w:rFonts w:hAnsi="標楷體"/>
        </w:rPr>
        <w:t>106</w:t>
      </w:r>
      <w:r w:rsidR="009E775E" w:rsidRPr="000624C6">
        <w:rPr>
          <w:rFonts w:hAnsi="標楷體"/>
          <w:lang w:eastAsia="zh-HK"/>
        </w:rPr>
        <w:t>年接獲檢舉</w:t>
      </w:r>
      <w:r w:rsidR="00F22DC9" w:rsidRPr="000624C6">
        <w:rPr>
          <w:rFonts w:hAnsi="標楷體"/>
          <w:lang w:eastAsia="zh-HK"/>
        </w:rPr>
        <w:t>且經查證後</w:t>
      </w:r>
      <w:r w:rsidR="00F22DC9" w:rsidRPr="000624C6">
        <w:rPr>
          <w:rFonts w:hAnsi="標楷體"/>
        </w:rPr>
        <w:t>，</w:t>
      </w:r>
      <w:r w:rsidR="009E775E" w:rsidRPr="000624C6">
        <w:rPr>
          <w:rFonts w:hAnsi="標楷體"/>
          <w:lang w:eastAsia="zh-HK"/>
        </w:rPr>
        <w:t>卻僅要求華映公司補充公告</w:t>
      </w:r>
      <w:r w:rsidR="009E46A6" w:rsidRPr="000624C6">
        <w:rPr>
          <w:rFonts w:hAnsi="標楷體"/>
          <w:lang w:eastAsia="zh-HK"/>
        </w:rPr>
        <w:t>承諾事項</w:t>
      </w:r>
      <w:r w:rsidR="009E775E" w:rsidRPr="000624C6">
        <w:rPr>
          <w:rFonts w:hAnsi="標楷體"/>
          <w:lang w:eastAsia="zh-HK"/>
        </w:rPr>
        <w:t>，</w:t>
      </w:r>
      <w:proofErr w:type="gramStart"/>
      <w:r w:rsidR="009E775E" w:rsidRPr="000624C6">
        <w:rPr>
          <w:rFonts w:hAnsi="標楷體"/>
          <w:lang w:eastAsia="zh-HK"/>
        </w:rPr>
        <w:t>俟</w:t>
      </w:r>
      <w:proofErr w:type="gramEnd"/>
      <w:r w:rsidR="00213420" w:rsidRPr="000624C6">
        <w:rPr>
          <w:rFonts w:hAnsi="標楷體"/>
          <w:lang w:eastAsia="zh-HK"/>
        </w:rPr>
        <w:t>華映公司及大同公司</w:t>
      </w:r>
      <w:r w:rsidR="009E775E" w:rsidRPr="000624C6">
        <w:rPr>
          <w:rFonts w:hAnsi="標楷體"/>
          <w:lang w:eastAsia="zh-HK"/>
        </w:rPr>
        <w:t>因無法履行上開承諾遭</w:t>
      </w:r>
      <w:r w:rsidR="009E775E" w:rsidRPr="000624C6">
        <w:rPr>
          <w:rFonts w:hAnsi="標楷體"/>
        </w:rPr>
        <w:t>中國</w:t>
      </w:r>
      <w:r w:rsidR="009E775E" w:rsidRPr="000624C6">
        <w:rPr>
          <w:rFonts w:hAnsi="標楷體"/>
          <w:lang w:eastAsia="zh-HK"/>
        </w:rPr>
        <w:t>華映科技提起訴訟</w:t>
      </w:r>
      <w:r w:rsidR="009E775E" w:rsidRPr="000624C6">
        <w:rPr>
          <w:rFonts w:hAnsi="標楷體"/>
        </w:rPr>
        <w:t>，</w:t>
      </w:r>
      <w:r w:rsidR="009E775E" w:rsidRPr="000624C6">
        <w:rPr>
          <w:rFonts w:hAnsi="標楷體"/>
          <w:lang w:eastAsia="zh-HK"/>
        </w:rPr>
        <w:t>金管會始</w:t>
      </w:r>
      <w:r w:rsidR="009E46A6" w:rsidRPr="000624C6">
        <w:rPr>
          <w:rFonts w:hAnsi="標楷體"/>
          <w:lang w:eastAsia="zh-HK"/>
        </w:rPr>
        <w:t>於</w:t>
      </w:r>
      <w:r w:rsidR="009E46A6" w:rsidRPr="000624C6">
        <w:rPr>
          <w:rFonts w:hAnsi="標楷體"/>
        </w:rPr>
        <w:t>108</w:t>
      </w:r>
      <w:r w:rsidR="009E46A6" w:rsidRPr="000624C6">
        <w:rPr>
          <w:rFonts w:hAnsi="標楷體"/>
          <w:lang w:eastAsia="zh-HK"/>
        </w:rPr>
        <w:t>年</w:t>
      </w:r>
      <w:r w:rsidR="009E775E" w:rsidRPr="000624C6">
        <w:rPr>
          <w:rFonts w:hAnsi="標楷體"/>
          <w:lang w:eastAsia="zh-HK"/>
        </w:rPr>
        <w:t>將</w:t>
      </w:r>
      <w:r w:rsidR="009E46A6" w:rsidRPr="000624C6">
        <w:rPr>
          <w:rFonts w:hAnsi="標楷體"/>
          <w:lang w:eastAsia="zh-HK"/>
        </w:rPr>
        <w:t>該二公司</w:t>
      </w:r>
      <w:proofErr w:type="gramStart"/>
      <w:r w:rsidR="009E775E" w:rsidRPr="000624C6">
        <w:rPr>
          <w:rFonts w:hAnsi="標楷體"/>
          <w:lang w:eastAsia="zh-HK"/>
        </w:rPr>
        <w:t>不</w:t>
      </w:r>
      <w:proofErr w:type="gramEnd"/>
      <w:r w:rsidR="009E775E" w:rsidRPr="000624C6">
        <w:rPr>
          <w:rFonts w:hAnsi="標楷體"/>
          <w:lang w:eastAsia="zh-HK"/>
        </w:rPr>
        <w:t>法事證移送檢調單位</w:t>
      </w:r>
      <w:r w:rsidR="009E775E" w:rsidRPr="000624C6">
        <w:rPr>
          <w:rFonts w:hAnsi="標楷體"/>
        </w:rPr>
        <w:t>，</w:t>
      </w:r>
      <w:r w:rsidR="009E775E" w:rsidRPr="000624C6">
        <w:rPr>
          <w:rFonts w:hAnsi="標楷體"/>
          <w:lang w:eastAsia="zh-HK"/>
        </w:rPr>
        <w:t>涉有嚴重失職</w:t>
      </w:r>
      <w:r w:rsidR="006D0D9E" w:rsidRPr="000624C6">
        <w:rPr>
          <w:rFonts w:hAnsi="標楷體"/>
          <w:szCs w:val="32"/>
        </w:rPr>
        <w:t>」等情。</w:t>
      </w:r>
    </w:p>
    <w:p w:rsidR="00C00E56" w:rsidRPr="000624C6" w:rsidRDefault="006D0D9E" w:rsidP="00CF1AA9">
      <w:pPr>
        <w:pStyle w:val="3"/>
        <w:rPr>
          <w:rFonts w:hAnsi="標楷體"/>
        </w:rPr>
      </w:pPr>
      <w:r w:rsidRPr="000624C6">
        <w:rPr>
          <w:rFonts w:hAnsi="標楷體"/>
          <w:lang w:eastAsia="zh-HK"/>
        </w:rPr>
        <w:t>經查，</w:t>
      </w:r>
      <w:r w:rsidR="007E4D96" w:rsidRPr="000624C6">
        <w:rPr>
          <w:rFonts w:hAnsi="標楷體"/>
          <w:lang w:eastAsia="zh-HK"/>
        </w:rPr>
        <w:t>華映</w:t>
      </w:r>
      <w:r w:rsidR="007E4D96" w:rsidRPr="000624C6">
        <w:rPr>
          <w:rFonts w:hAnsi="標楷體"/>
        </w:rPr>
        <w:t>公司基於長期業務發展需要及為取得</w:t>
      </w:r>
      <w:r w:rsidR="0077161C" w:rsidRPr="000624C6">
        <w:rPr>
          <w:rFonts w:hAnsi="標楷體"/>
          <w:lang w:eastAsia="zh-HK"/>
        </w:rPr>
        <w:t>中國</w:t>
      </w:r>
      <w:r w:rsidR="007E4D96" w:rsidRPr="000624C6">
        <w:rPr>
          <w:rFonts w:hAnsi="標楷體"/>
        </w:rPr>
        <w:t>上市籌資平台，前於98年3月3日經董事會決議通過，經由第三地區投資事業</w:t>
      </w:r>
      <w:r w:rsidR="0077161C" w:rsidRPr="000624C6">
        <w:rPr>
          <w:rFonts w:hAnsi="標楷體"/>
        </w:rPr>
        <w:t>中華映管</w:t>
      </w:r>
      <w:r w:rsidR="00BC5F42" w:rsidRPr="000624C6">
        <w:rPr>
          <w:rFonts w:hAnsi="標楷體"/>
        </w:rPr>
        <w:t>（</w:t>
      </w:r>
      <w:r w:rsidR="007E4D96" w:rsidRPr="000624C6">
        <w:rPr>
          <w:rFonts w:hAnsi="標楷體"/>
        </w:rPr>
        <w:t>百慕達</w:t>
      </w:r>
      <w:r w:rsidR="00BC5F42" w:rsidRPr="000624C6">
        <w:rPr>
          <w:rFonts w:hAnsi="標楷體"/>
        </w:rPr>
        <w:t>）</w:t>
      </w:r>
      <w:r w:rsidR="007E4D96" w:rsidRPr="000624C6">
        <w:rPr>
          <w:rFonts w:hAnsi="標楷體"/>
        </w:rPr>
        <w:t>股份有限公司（下稱百慕達華映）與</w:t>
      </w:r>
      <w:r w:rsidR="0077161C" w:rsidRPr="000624C6">
        <w:rPr>
          <w:rFonts w:hAnsi="標楷體"/>
        </w:rPr>
        <w:t>中華映管</w:t>
      </w:r>
      <w:r w:rsidR="00BC5F42" w:rsidRPr="000624C6">
        <w:rPr>
          <w:rFonts w:hAnsi="標楷體"/>
        </w:rPr>
        <w:t>（</w:t>
      </w:r>
      <w:r w:rsidR="0077161C" w:rsidRPr="000624C6">
        <w:rPr>
          <w:rFonts w:hAnsi="標楷體"/>
        </w:rPr>
        <w:t>納閩</w:t>
      </w:r>
      <w:r w:rsidR="00BC5F42" w:rsidRPr="000624C6">
        <w:rPr>
          <w:rFonts w:hAnsi="標楷體"/>
        </w:rPr>
        <w:t>）</w:t>
      </w:r>
      <w:r w:rsidR="007E4D96" w:rsidRPr="000624C6">
        <w:rPr>
          <w:rFonts w:hAnsi="標楷體"/>
        </w:rPr>
        <w:lastRenderedPageBreak/>
        <w:t>股份有限公司</w:t>
      </w:r>
      <w:r w:rsidR="00BC5F42" w:rsidRPr="000624C6">
        <w:rPr>
          <w:rFonts w:hAnsi="標楷體"/>
        </w:rPr>
        <w:t>（</w:t>
      </w:r>
      <w:r w:rsidR="007E4D96" w:rsidRPr="000624C6">
        <w:rPr>
          <w:rFonts w:hAnsi="標楷體"/>
        </w:rPr>
        <w:t>下稱</w:t>
      </w:r>
      <w:r w:rsidR="007E4D96" w:rsidRPr="000624C6">
        <w:rPr>
          <w:rFonts w:hAnsi="標楷體"/>
          <w:lang w:eastAsia="zh-HK"/>
        </w:rPr>
        <w:t>馬來西亞</w:t>
      </w:r>
      <w:r w:rsidR="007E4D96" w:rsidRPr="000624C6">
        <w:rPr>
          <w:rFonts w:hAnsi="標楷體"/>
        </w:rPr>
        <w:t>華映</w:t>
      </w:r>
      <w:r w:rsidR="00BC5F42" w:rsidRPr="000624C6">
        <w:rPr>
          <w:rFonts w:hAnsi="標楷體"/>
        </w:rPr>
        <w:t>）</w:t>
      </w:r>
      <w:r w:rsidR="007E4D96" w:rsidRPr="000624C6">
        <w:rPr>
          <w:rFonts w:hAnsi="標楷體"/>
        </w:rPr>
        <w:t>分別以其4家子公司75</w:t>
      </w:r>
      <w:r w:rsidR="005D09AD" w:rsidRPr="000624C6">
        <w:rPr>
          <w:rFonts w:hAnsi="標楷體"/>
        </w:rPr>
        <w:t>%</w:t>
      </w:r>
      <w:r w:rsidR="007E4D96" w:rsidRPr="000624C6">
        <w:rPr>
          <w:rFonts w:hAnsi="標楷體"/>
        </w:rPr>
        <w:t>股權，作價認購</w:t>
      </w:r>
      <w:r w:rsidR="007E4D96" w:rsidRPr="000624C6">
        <w:rPr>
          <w:rFonts w:hAnsi="標楷體"/>
          <w:lang w:eastAsia="zh-HK"/>
        </w:rPr>
        <w:t>中國</w:t>
      </w:r>
      <w:r w:rsidR="007E4D96" w:rsidRPr="000624C6">
        <w:rPr>
          <w:rFonts w:hAnsi="標楷體"/>
        </w:rPr>
        <w:t>華映科技75.71</w:t>
      </w:r>
      <w:r w:rsidR="005D09AD" w:rsidRPr="000624C6">
        <w:rPr>
          <w:rFonts w:hAnsi="標楷體"/>
        </w:rPr>
        <w:t>%</w:t>
      </w:r>
      <w:r w:rsidR="007E4D96" w:rsidRPr="000624C6">
        <w:rPr>
          <w:rFonts w:hAnsi="標楷體"/>
        </w:rPr>
        <w:t>股權，</w:t>
      </w:r>
      <w:r w:rsidR="007E4D96" w:rsidRPr="000624C6">
        <w:rPr>
          <w:rFonts w:hAnsi="標楷體"/>
          <w:lang w:eastAsia="zh-HK"/>
        </w:rPr>
        <w:t>同日華映公司於公開資訊觀測站辦理公告暨</w:t>
      </w:r>
      <w:r w:rsidR="006B197D" w:rsidRPr="000624C6">
        <w:rPr>
          <w:rFonts w:hAnsi="標楷體"/>
          <w:lang w:eastAsia="zh-HK"/>
        </w:rPr>
        <w:t>發布</w:t>
      </w:r>
      <w:r w:rsidR="007E4D96" w:rsidRPr="000624C6">
        <w:rPr>
          <w:rFonts w:hAnsi="標楷體"/>
          <w:lang w:eastAsia="zh-HK"/>
        </w:rPr>
        <w:t>上開重大投資訊息，</w:t>
      </w:r>
      <w:r w:rsidR="0077161C" w:rsidRPr="000624C6">
        <w:rPr>
          <w:rFonts w:hAnsi="標楷體"/>
          <w:lang w:eastAsia="zh-HK"/>
        </w:rPr>
        <w:t>而</w:t>
      </w:r>
      <w:r w:rsidR="00D07C00" w:rsidRPr="000624C6">
        <w:rPr>
          <w:rFonts w:hAnsi="標楷體"/>
          <w:lang w:eastAsia="zh-HK"/>
        </w:rPr>
        <w:t>金管會直至</w:t>
      </w:r>
      <w:r w:rsidR="00797663" w:rsidRPr="000624C6">
        <w:rPr>
          <w:rFonts w:hAnsi="標楷體"/>
          <w:lang w:eastAsia="zh-HK"/>
        </w:rPr>
        <w:t>106年</w:t>
      </w:r>
      <w:r w:rsidR="00D07C00" w:rsidRPr="000624C6">
        <w:rPr>
          <w:rFonts w:hAnsi="標楷體"/>
          <w:lang w:eastAsia="zh-HK"/>
        </w:rPr>
        <w:t>5月</w:t>
      </w:r>
      <w:r w:rsidR="00797663" w:rsidRPr="000624C6">
        <w:rPr>
          <w:rFonts w:hAnsi="標楷體"/>
          <w:lang w:eastAsia="zh-HK"/>
        </w:rPr>
        <w:t>接獲檢舉</w:t>
      </w:r>
      <w:r w:rsidR="00D07C00" w:rsidRPr="000624C6">
        <w:rPr>
          <w:rFonts w:hAnsi="標楷體"/>
          <w:lang w:eastAsia="zh-HK"/>
        </w:rPr>
        <w:t>後</w:t>
      </w:r>
      <w:r w:rsidR="00797663" w:rsidRPr="000624C6">
        <w:rPr>
          <w:rFonts w:hAnsi="標楷體"/>
          <w:lang w:eastAsia="zh-HK"/>
        </w:rPr>
        <w:t>，</w:t>
      </w:r>
      <w:r w:rsidR="00D07C00" w:rsidRPr="000624C6">
        <w:rPr>
          <w:rFonts w:hAnsi="標楷體"/>
          <w:lang w:eastAsia="zh-HK"/>
        </w:rPr>
        <w:t>始知悉</w:t>
      </w:r>
      <w:r w:rsidR="00797663" w:rsidRPr="000624C6">
        <w:rPr>
          <w:rFonts w:hAnsi="標楷體"/>
          <w:lang w:eastAsia="zh-HK"/>
        </w:rPr>
        <w:t>華映</w:t>
      </w:r>
      <w:r w:rsidR="00B21C28" w:rsidRPr="000624C6">
        <w:rPr>
          <w:rFonts w:hAnsi="標楷體"/>
          <w:lang w:eastAsia="zh-HK"/>
        </w:rPr>
        <w:t>、</w:t>
      </w:r>
      <w:r w:rsidR="00797663" w:rsidRPr="000624C6">
        <w:rPr>
          <w:rFonts w:hAnsi="標楷體"/>
          <w:lang w:eastAsia="zh-HK"/>
        </w:rPr>
        <w:t>大同公司對</w:t>
      </w:r>
      <w:r w:rsidR="00226D83" w:rsidRPr="000624C6">
        <w:rPr>
          <w:rFonts w:hAnsi="標楷體"/>
          <w:lang w:eastAsia="zh-HK"/>
        </w:rPr>
        <w:t>中國華映科技出具19項承諾</w:t>
      </w:r>
      <w:proofErr w:type="gramStart"/>
      <w:r w:rsidR="00D07C00" w:rsidRPr="000624C6">
        <w:rPr>
          <w:rFonts w:hAnsi="標楷體"/>
          <w:lang w:eastAsia="zh-HK"/>
        </w:rPr>
        <w:t>事項均未對外</w:t>
      </w:r>
      <w:proofErr w:type="gramEnd"/>
      <w:r w:rsidR="00D07C00" w:rsidRPr="000624C6">
        <w:rPr>
          <w:rFonts w:hAnsi="標楷體"/>
          <w:lang w:eastAsia="zh-HK"/>
        </w:rPr>
        <w:t>公告</w:t>
      </w:r>
      <w:r w:rsidR="00B21C28" w:rsidRPr="000624C6">
        <w:rPr>
          <w:rFonts w:hAnsi="標楷體"/>
          <w:lang w:eastAsia="zh-HK"/>
        </w:rPr>
        <w:t>，</w:t>
      </w:r>
      <w:r w:rsidR="00D07C00" w:rsidRPr="000624C6">
        <w:rPr>
          <w:rFonts w:hAnsi="標楷體"/>
          <w:lang w:eastAsia="zh-HK"/>
        </w:rPr>
        <w:t>且未揭露於財務報告</w:t>
      </w:r>
      <w:r w:rsidR="007E4D96" w:rsidRPr="000624C6">
        <w:rPr>
          <w:rFonts w:hAnsi="標楷體"/>
          <w:lang w:eastAsia="zh-HK"/>
        </w:rPr>
        <w:t>。</w:t>
      </w:r>
      <w:r w:rsidR="00226D83" w:rsidRPr="000624C6">
        <w:rPr>
          <w:rFonts w:hAnsi="標楷體"/>
          <w:lang w:eastAsia="zh-HK"/>
        </w:rPr>
        <w:t>案</w:t>
      </w:r>
      <w:r w:rsidR="00C00E56" w:rsidRPr="000624C6">
        <w:rPr>
          <w:rFonts w:hAnsi="標楷體"/>
          <w:lang w:eastAsia="zh-HK"/>
        </w:rPr>
        <w:t>經</w:t>
      </w:r>
      <w:r w:rsidR="00226D83" w:rsidRPr="000624C6">
        <w:rPr>
          <w:rFonts w:hAnsi="標楷體"/>
          <w:lang w:eastAsia="zh-HK"/>
        </w:rPr>
        <w:t>調閱</w:t>
      </w:r>
      <w:r w:rsidR="00C00E56" w:rsidRPr="000624C6">
        <w:rPr>
          <w:rFonts w:hAnsi="標楷體"/>
          <w:lang w:eastAsia="zh-HK"/>
        </w:rPr>
        <w:t>檢視金管會</w:t>
      </w:r>
      <w:r w:rsidR="00226D83" w:rsidRPr="000624C6">
        <w:rPr>
          <w:rFonts w:hAnsi="標楷體"/>
          <w:lang w:eastAsia="zh-HK"/>
        </w:rPr>
        <w:t>於</w:t>
      </w:r>
      <w:r w:rsidR="00C00E56" w:rsidRPr="000624C6">
        <w:rPr>
          <w:rFonts w:hAnsi="標楷體"/>
          <w:lang w:eastAsia="zh-HK"/>
        </w:rPr>
        <w:t>106年5月收受檢舉書狀所附「中國華映科技董事會99年3月15日公告關於重組相關方的承諾」內容</w:t>
      </w:r>
      <w:r w:rsidR="005D06B3" w:rsidRPr="000624C6">
        <w:rPr>
          <w:rFonts w:hAnsi="標楷體"/>
          <w:lang w:eastAsia="zh-HK"/>
        </w:rPr>
        <w:t>，</w:t>
      </w:r>
      <w:r w:rsidR="00226D83" w:rsidRPr="000624C6">
        <w:rPr>
          <w:rFonts w:hAnsi="標楷體"/>
          <w:lang w:eastAsia="zh-HK"/>
        </w:rPr>
        <w:t>上開持股、業績及關聯交易等19項承諾包括</w:t>
      </w:r>
      <w:r w:rsidR="00DD25ED" w:rsidRPr="000624C6">
        <w:rPr>
          <w:rFonts w:hAnsi="標楷體"/>
          <w:lang w:eastAsia="zh-HK"/>
        </w:rPr>
        <w:t>但不限於</w:t>
      </w:r>
      <w:r w:rsidR="00C00E56" w:rsidRPr="000624C6">
        <w:rPr>
          <w:rFonts w:hAnsi="標楷體"/>
          <w:lang w:eastAsia="zh-HK"/>
        </w:rPr>
        <w:t>：</w:t>
      </w:r>
    </w:p>
    <w:p w:rsidR="00E9720D" w:rsidRPr="000624C6" w:rsidRDefault="00E9720D" w:rsidP="00CF1AA9">
      <w:pPr>
        <w:pStyle w:val="4"/>
        <w:rPr>
          <w:rFonts w:hAnsi="標楷體"/>
          <w:lang w:eastAsia="zh-HK"/>
        </w:rPr>
      </w:pPr>
      <w:r w:rsidRPr="000624C6">
        <w:rPr>
          <w:rFonts w:hAnsi="標楷體"/>
        </w:rPr>
        <w:t>不減持</w:t>
      </w:r>
      <w:r w:rsidRPr="000624C6">
        <w:rPr>
          <w:rFonts w:hAnsi="標楷體"/>
          <w:lang w:eastAsia="zh-HK"/>
        </w:rPr>
        <w:t>上市公司</w:t>
      </w:r>
      <w:r w:rsidRPr="000624C6">
        <w:rPr>
          <w:rFonts w:hAnsi="標楷體"/>
        </w:rPr>
        <w:t>股份承諾</w:t>
      </w:r>
      <w:r w:rsidR="00B21C28" w:rsidRPr="000624C6">
        <w:rPr>
          <w:rFonts w:hAnsi="標楷體"/>
          <w:lang w:eastAsia="zh-HK"/>
        </w:rPr>
        <w:t>與放棄股權承諾</w:t>
      </w:r>
      <w:r w:rsidR="00B21C28" w:rsidRPr="000624C6">
        <w:rPr>
          <w:rStyle w:val="aff4"/>
          <w:rFonts w:hAnsi="標楷體"/>
        </w:rPr>
        <w:footnoteReference w:id="1"/>
      </w:r>
      <w:r w:rsidR="002638AF" w:rsidRPr="000624C6">
        <w:rPr>
          <w:rFonts w:hAnsi="標楷體" w:hint="eastAsia"/>
        </w:rPr>
        <w:t>，</w:t>
      </w:r>
      <w:r w:rsidR="002638AF" w:rsidRPr="000624C6">
        <w:rPr>
          <w:rFonts w:hAnsi="標楷體"/>
          <w:lang w:eastAsia="zh-HK"/>
        </w:rPr>
        <w:t>對於華映</w:t>
      </w:r>
      <w:proofErr w:type="gramStart"/>
      <w:r w:rsidR="002638AF" w:rsidRPr="000624C6">
        <w:rPr>
          <w:rFonts w:hAnsi="標楷體"/>
          <w:lang w:eastAsia="zh-HK"/>
        </w:rPr>
        <w:t>公司閱表者</w:t>
      </w:r>
      <w:proofErr w:type="gramEnd"/>
      <w:r w:rsidR="002638AF" w:rsidRPr="000624C6">
        <w:rPr>
          <w:rFonts w:hAnsi="標楷體"/>
          <w:lang w:eastAsia="zh-HK"/>
        </w:rPr>
        <w:t>決策有重大影響</w:t>
      </w:r>
      <w:r w:rsidR="002638AF" w:rsidRPr="000624C6">
        <w:rPr>
          <w:rFonts w:hAnsi="標楷體" w:hint="eastAsia"/>
        </w:rPr>
        <w:t>。</w:t>
      </w:r>
    </w:p>
    <w:p w:rsidR="009A3D59" w:rsidRPr="000624C6" w:rsidRDefault="00E9720D" w:rsidP="00CF1AA9">
      <w:pPr>
        <w:pStyle w:val="4"/>
        <w:rPr>
          <w:rFonts w:hAnsi="標楷體"/>
        </w:rPr>
      </w:pPr>
      <w:r w:rsidRPr="000624C6">
        <w:rPr>
          <w:rFonts w:hAnsi="標楷體"/>
        </w:rPr>
        <w:t>對</w:t>
      </w:r>
      <w:r w:rsidR="00227E54" w:rsidRPr="000624C6">
        <w:rPr>
          <w:rFonts w:hAnsi="標楷體"/>
        </w:rPr>
        <w:t>中國華映科技</w:t>
      </w:r>
      <w:r w:rsidRPr="000624C6">
        <w:rPr>
          <w:rFonts w:hAnsi="標楷體"/>
        </w:rPr>
        <w:t>業績</w:t>
      </w:r>
      <w:r w:rsidR="00227E54" w:rsidRPr="000624C6">
        <w:rPr>
          <w:rFonts w:hAnsi="標楷體"/>
          <w:lang w:eastAsia="zh-HK"/>
        </w:rPr>
        <w:t>補償</w:t>
      </w:r>
      <w:r w:rsidRPr="000624C6">
        <w:rPr>
          <w:rFonts w:hAnsi="標楷體"/>
        </w:rPr>
        <w:t>承諾</w:t>
      </w:r>
      <w:r w:rsidR="00227E54" w:rsidRPr="000624C6">
        <w:rPr>
          <w:rStyle w:val="aff4"/>
          <w:rFonts w:hAnsi="標楷體"/>
        </w:rPr>
        <w:footnoteReference w:id="2"/>
      </w:r>
      <w:r w:rsidR="002638AF" w:rsidRPr="000624C6">
        <w:rPr>
          <w:rFonts w:hAnsi="標楷體" w:hint="eastAsia"/>
        </w:rPr>
        <w:t>，</w:t>
      </w:r>
      <w:r w:rsidR="002638AF" w:rsidRPr="000624C6">
        <w:rPr>
          <w:rFonts w:hAnsi="標楷體"/>
          <w:lang w:eastAsia="zh-HK"/>
        </w:rPr>
        <w:t>對於華映</w:t>
      </w:r>
      <w:proofErr w:type="gramStart"/>
      <w:r w:rsidR="002638AF" w:rsidRPr="000624C6">
        <w:rPr>
          <w:rFonts w:hAnsi="標楷體"/>
          <w:lang w:eastAsia="zh-HK"/>
        </w:rPr>
        <w:t>公司閱表者</w:t>
      </w:r>
      <w:proofErr w:type="gramEnd"/>
      <w:r w:rsidR="002638AF" w:rsidRPr="000624C6">
        <w:rPr>
          <w:rFonts w:hAnsi="標楷體"/>
          <w:lang w:eastAsia="zh-HK"/>
        </w:rPr>
        <w:t>決策有重大影響</w:t>
      </w:r>
      <w:r w:rsidR="004F79EC" w:rsidRPr="000624C6">
        <w:rPr>
          <w:rFonts w:hAnsi="標楷體"/>
        </w:rPr>
        <w:t>。</w:t>
      </w:r>
    </w:p>
    <w:p w:rsidR="00B32E1F" w:rsidRPr="000624C6" w:rsidRDefault="00B32E1F" w:rsidP="00CF1AA9">
      <w:pPr>
        <w:pStyle w:val="4"/>
        <w:rPr>
          <w:rFonts w:hAnsi="標楷體"/>
        </w:rPr>
      </w:pPr>
      <w:r w:rsidRPr="000624C6">
        <w:rPr>
          <w:rFonts w:hAnsi="標楷體"/>
        </w:rPr>
        <w:t>關聯交易比例承諾</w:t>
      </w:r>
      <w:r w:rsidR="00831750" w:rsidRPr="000624C6">
        <w:rPr>
          <w:rFonts w:hAnsi="標楷體"/>
          <w:lang w:eastAsia="zh-HK"/>
        </w:rPr>
        <w:t>與</w:t>
      </w:r>
      <w:r w:rsidR="00831750" w:rsidRPr="000624C6">
        <w:rPr>
          <w:rFonts w:hAnsi="標楷體"/>
        </w:rPr>
        <w:t>補充承諾</w:t>
      </w:r>
      <w:r w:rsidR="00227E54" w:rsidRPr="000624C6">
        <w:rPr>
          <w:rStyle w:val="aff4"/>
          <w:rFonts w:hAnsi="標楷體"/>
        </w:rPr>
        <w:footnoteReference w:id="3"/>
      </w:r>
      <w:r w:rsidR="002638AF" w:rsidRPr="000624C6">
        <w:rPr>
          <w:rFonts w:hAnsi="標楷體" w:hint="eastAsia"/>
        </w:rPr>
        <w:t>，</w:t>
      </w:r>
      <w:r w:rsidR="002638AF" w:rsidRPr="000624C6">
        <w:rPr>
          <w:rFonts w:hAnsi="標楷體"/>
          <w:lang w:eastAsia="zh-HK"/>
        </w:rPr>
        <w:t>對於華映</w:t>
      </w:r>
      <w:proofErr w:type="gramStart"/>
      <w:r w:rsidR="002638AF" w:rsidRPr="000624C6">
        <w:rPr>
          <w:rFonts w:hAnsi="標楷體"/>
          <w:lang w:eastAsia="zh-HK"/>
        </w:rPr>
        <w:t>公司閱</w:t>
      </w:r>
      <w:r w:rsidR="002638AF" w:rsidRPr="000624C6">
        <w:rPr>
          <w:rFonts w:hAnsi="標楷體"/>
          <w:lang w:eastAsia="zh-HK"/>
        </w:rPr>
        <w:lastRenderedPageBreak/>
        <w:t>表者</w:t>
      </w:r>
      <w:proofErr w:type="gramEnd"/>
      <w:r w:rsidR="002638AF" w:rsidRPr="000624C6">
        <w:rPr>
          <w:rFonts w:hAnsi="標楷體"/>
          <w:lang w:eastAsia="zh-HK"/>
        </w:rPr>
        <w:t>決策有重大影響</w:t>
      </w:r>
      <w:r w:rsidR="004F79EC" w:rsidRPr="000624C6">
        <w:rPr>
          <w:rFonts w:hAnsi="標楷體"/>
        </w:rPr>
        <w:t>。</w:t>
      </w:r>
    </w:p>
    <w:p w:rsidR="00D10B19" w:rsidRPr="000624C6" w:rsidRDefault="004F79EC" w:rsidP="00CF1AA9">
      <w:pPr>
        <w:pStyle w:val="4"/>
        <w:numPr>
          <w:ilvl w:val="3"/>
          <w:numId w:val="1"/>
        </w:numPr>
        <w:rPr>
          <w:rFonts w:hAnsi="標楷體"/>
        </w:rPr>
      </w:pPr>
      <w:r w:rsidRPr="000624C6">
        <w:rPr>
          <w:rFonts w:hAnsi="標楷體"/>
        </w:rPr>
        <w:t>避免同業競爭</w:t>
      </w:r>
      <w:r w:rsidR="00D10B19" w:rsidRPr="000624C6">
        <w:rPr>
          <w:rFonts w:hAnsi="標楷體"/>
        </w:rPr>
        <w:t>承諾</w:t>
      </w:r>
      <w:r w:rsidRPr="000624C6">
        <w:rPr>
          <w:rStyle w:val="aff4"/>
          <w:rFonts w:hAnsi="標楷體"/>
        </w:rPr>
        <w:footnoteReference w:id="4"/>
      </w:r>
      <w:r w:rsidR="00D10B19" w:rsidRPr="000624C6">
        <w:rPr>
          <w:rFonts w:hAnsi="標楷體"/>
        </w:rPr>
        <w:t>。</w:t>
      </w:r>
    </w:p>
    <w:p w:rsidR="00DD25ED" w:rsidRPr="000624C6" w:rsidRDefault="00DD25ED" w:rsidP="00CF1AA9">
      <w:pPr>
        <w:pStyle w:val="4"/>
        <w:rPr>
          <w:rFonts w:hAnsi="標楷體"/>
        </w:rPr>
      </w:pPr>
      <w:r w:rsidRPr="000624C6">
        <w:rPr>
          <w:rFonts w:hAnsi="標楷體"/>
        </w:rPr>
        <w:t>信息披露的承諾</w:t>
      </w:r>
      <w:r w:rsidR="00831750" w:rsidRPr="000624C6">
        <w:rPr>
          <w:rStyle w:val="aff4"/>
          <w:rFonts w:hAnsi="標楷體"/>
        </w:rPr>
        <w:footnoteReference w:id="5"/>
      </w:r>
      <w:r w:rsidRPr="000624C6">
        <w:rPr>
          <w:rFonts w:hAnsi="標楷體"/>
        </w:rPr>
        <w:t>。</w:t>
      </w:r>
    </w:p>
    <w:p w:rsidR="00613F86" w:rsidRPr="000624C6" w:rsidRDefault="00613F86" w:rsidP="00CF1AA9">
      <w:pPr>
        <w:pStyle w:val="4"/>
        <w:rPr>
          <w:rFonts w:hAnsi="標楷體"/>
        </w:rPr>
      </w:pPr>
      <w:r w:rsidRPr="000624C6">
        <w:rPr>
          <w:rFonts w:hAnsi="標楷體"/>
        </w:rPr>
        <w:t>董事會構成的承諾</w:t>
      </w:r>
      <w:r w:rsidR="00831750" w:rsidRPr="000624C6">
        <w:rPr>
          <w:rStyle w:val="aff4"/>
          <w:rFonts w:hAnsi="標楷體"/>
        </w:rPr>
        <w:footnoteReference w:id="6"/>
      </w:r>
      <w:r w:rsidRPr="000624C6">
        <w:rPr>
          <w:rFonts w:hAnsi="標楷體"/>
        </w:rPr>
        <w:t>。</w:t>
      </w:r>
    </w:p>
    <w:p w:rsidR="000751A8" w:rsidRPr="000624C6" w:rsidRDefault="000751A8" w:rsidP="00CF1AA9">
      <w:pPr>
        <w:pStyle w:val="4"/>
        <w:rPr>
          <w:rFonts w:hAnsi="標楷體"/>
        </w:rPr>
      </w:pPr>
      <w:r w:rsidRPr="000624C6">
        <w:rPr>
          <w:rFonts w:hAnsi="標楷體"/>
        </w:rPr>
        <w:t>專利授權的承諾</w:t>
      </w:r>
      <w:r w:rsidR="006C42B6" w:rsidRPr="000624C6">
        <w:rPr>
          <w:rFonts w:hAnsi="標楷體"/>
          <w:lang w:eastAsia="zh-HK"/>
        </w:rPr>
        <w:t>與</w:t>
      </w:r>
      <w:r w:rsidR="006C42B6" w:rsidRPr="000624C6">
        <w:rPr>
          <w:rFonts w:hAnsi="標楷體"/>
        </w:rPr>
        <w:t>補充承諾</w:t>
      </w:r>
      <w:r w:rsidR="00831750" w:rsidRPr="000624C6">
        <w:rPr>
          <w:rStyle w:val="aff4"/>
          <w:rFonts w:hAnsi="標楷體"/>
        </w:rPr>
        <w:footnoteReference w:id="7"/>
      </w:r>
      <w:r w:rsidR="002638AF" w:rsidRPr="000624C6">
        <w:rPr>
          <w:rFonts w:hAnsi="標楷體" w:hint="eastAsia"/>
        </w:rPr>
        <w:t>，</w:t>
      </w:r>
      <w:r w:rsidR="002638AF" w:rsidRPr="000624C6">
        <w:rPr>
          <w:rFonts w:hAnsi="標楷體"/>
          <w:lang w:eastAsia="zh-HK"/>
        </w:rPr>
        <w:t>對於華映</w:t>
      </w:r>
      <w:proofErr w:type="gramStart"/>
      <w:r w:rsidR="002638AF" w:rsidRPr="000624C6">
        <w:rPr>
          <w:rFonts w:hAnsi="標楷體"/>
          <w:lang w:eastAsia="zh-HK"/>
        </w:rPr>
        <w:t>公司閱表</w:t>
      </w:r>
      <w:r w:rsidR="002638AF" w:rsidRPr="000624C6">
        <w:rPr>
          <w:rFonts w:hAnsi="標楷體"/>
          <w:lang w:eastAsia="zh-HK"/>
        </w:rPr>
        <w:lastRenderedPageBreak/>
        <w:t>者</w:t>
      </w:r>
      <w:proofErr w:type="gramEnd"/>
      <w:r w:rsidR="002638AF" w:rsidRPr="000624C6">
        <w:rPr>
          <w:rFonts w:hAnsi="標楷體"/>
          <w:lang w:eastAsia="zh-HK"/>
        </w:rPr>
        <w:t>決策有重大影響</w:t>
      </w:r>
      <w:r w:rsidR="006C42B6" w:rsidRPr="000624C6">
        <w:rPr>
          <w:rFonts w:hAnsi="標楷體"/>
        </w:rPr>
        <w:t>。</w:t>
      </w:r>
    </w:p>
    <w:p w:rsidR="00423487" w:rsidRPr="000624C6" w:rsidRDefault="0077161C" w:rsidP="00CF1AA9">
      <w:pPr>
        <w:pStyle w:val="4"/>
        <w:rPr>
          <w:rFonts w:hAnsi="標楷體"/>
        </w:rPr>
      </w:pPr>
      <w:r w:rsidRPr="000624C6">
        <w:rPr>
          <w:rFonts w:hAnsi="標楷體"/>
        </w:rPr>
        <w:t>華映公司</w:t>
      </w:r>
      <w:r w:rsidR="00423487" w:rsidRPr="000624C6">
        <w:rPr>
          <w:rFonts w:hAnsi="標楷體"/>
        </w:rPr>
        <w:t>承擔連帶責任的承諾</w:t>
      </w:r>
      <w:r w:rsidR="006C42B6" w:rsidRPr="000624C6">
        <w:rPr>
          <w:rStyle w:val="aff4"/>
          <w:rFonts w:hAnsi="標楷體"/>
        </w:rPr>
        <w:footnoteReference w:id="8"/>
      </w:r>
      <w:r w:rsidR="00423487" w:rsidRPr="000624C6">
        <w:rPr>
          <w:rFonts w:hAnsi="標楷體"/>
        </w:rPr>
        <w:t>。</w:t>
      </w:r>
    </w:p>
    <w:p w:rsidR="000751A8" w:rsidRPr="000624C6" w:rsidRDefault="00423487" w:rsidP="00CF1AA9">
      <w:pPr>
        <w:pStyle w:val="4"/>
        <w:rPr>
          <w:rFonts w:hAnsi="標楷體"/>
          <w:lang w:eastAsia="zh-HK"/>
        </w:rPr>
      </w:pPr>
      <w:r w:rsidRPr="000624C6">
        <w:rPr>
          <w:rFonts w:hAnsi="標楷體"/>
        </w:rPr>
        <w:t>承擔連帶責任的承諾</w:t>
      </w:r>
      <w:r w:rsidR="006C42B6" w:rsidRPr="000624C6">
        <w:rPr>
          <w:rStyle w:val="aff4"/>
          <w:rFonts w:hAnsi="標楷體"/>
        </w:rPr>
        <w:footnoteReference w:id="9"/>
      </w:r>
      <w:r w:rsidR="002638AF" w:rsidRPr="000624C6">
        <w:rPr>
          <w:rFonts w:hAnsi="標楷體" w:hint="eastAsia"/>
        </w:rPr>
        <w:t>，</w:t>
      </w:r>
      <w:r w:rsidR="002638AF" w:rsidRPr="000624C6">
        <w:rPr>
          <w:rFonts w:hAnsi="標楷體"/>
          <w:lang w:eastAsia="zh-HK"/>
        </w:rPr>
        <w:t>對於</w:t>
      </w:r>
      <w:r w:rsidR="002638AF" w:rsidRPr="000624C6">
        <w:rPr>
          <w:rFonts w:hAnsi="標楷體" w:hint="eastAsia"/>
          <w:lang w:eastAsia="zh-HK"/>
        </w:rPr>
        <w:t>大同</w:t>
      </w:r>
      <w:proofErr w:type="gramStart"/>
      <w:r w:rsidR="002638AF" w:rsidRPr="000624C6">
        <w:rPr>
          <w:rFonts w:hAnsi="標楷體"/>
          <w:lang w:eastAsia="zh-HK"/>
        </w:rPr>
        <w:t>公司閱表者</w:t>
      </w:r>
      <w:proofErr w:type="gramEnd"/>
      <w:r w:rsidR="002638AF" w:rsidRPr="000624C6">
        <w:rPr>
          <w:rFonts w:hAnsi="標楷體"/>
          <w:lang w:eastAsia="zh-HK"/>
        </w:rPr>
        <w:t>決策有重大影響</w:t>
      </w:r>
      <w:r w:rsidRPr="000624C6">
        <w:rPr>
          <w:rFonts w:hAnsi="標楷體"/>
        </w:rPr>
        <w:t>。</w:t>
      </w:r>
    </w:p>
    <w:p w:rsidR="006A7DD6" w:rsidRPr="000624C6" w:rsidRDefault="000A2262" w:rsidP="00CF1AA9">
      <w:pPr>
        <w:pStyle w:val="3"/>
        <w:rPr>
          <w:rFonts w:hAnsi="標楷體"/>
        </w:rPr>
      </w:pPr>
      <w:r w:rsidRPr="000624C6">
        <w:rPr>
          <w:rFonts w:hAnsi="標楷體"/>
          <w:lang w:eastAsia="zh-HK"/>
        </w:rPr>
        <w:t>金管會說明自</w:t>
      </w:r>
      <w:r w:rsidRPr="000624C6">
        <w:rPr>
          <w:rFonts w:hAnsi="標楷體"/>
        </w:rPr>
        <w:t>105</w:t>
      </w:r>
      <w:r w:rsidRPr="000624C6">
        <w:rPr>
          <w:rFonts w:hAnsi="標楷體"/>
          <w:lang w:eastAsia="zh-HK"/>
        </w:rPr>
        <w:t>年</w:t>
      </w:r>
      <w:r w:rsidRPr="000624C6">
        <w:rPr>
          <w:rFonts w:hAnsi="標楷體"/>
          <w:kern w:val="0"/>
          <w:szCs w:val="32"/>
        </w:rPr>
        <w:t>接獲民眾陳情</w:t>
      </w:r>
      <w:r w:rsidRPr="000624C6">
        <w:rPr>
          <w:rFonts w:hAnsi="標楷體"/>
          <w:kern w:val="0"/>
          <w:szCs w:val="32"/>
          <w:lang w:eastAsia="zh-HK"/>
        </w:rPr>
        <w:t>至</w:t>
      </w:r>
      <w:r w:rsidRPr="000624C6">
        <w:rPr>
          <w:rFonts w:hAnsi="標楷體"/>
          <w:kern w:val="0"/>
          <w:szCs w:val="32"/>
        </w:rPr>
        <w:t>108</w:t>
      </w:r>
      <w:r w:rsidRPr="000624C6">
        <w:rPr>
          <w:rFonts w:hAnsi="標楷體"/>
          <w:kern w:val="0"/>
          <w:szCs w:val="32"/>
          <w:lang w:eastAsia="zh-HK"/>
        </w:rPr>
        <w:t>年向檢察機關告發之</w:t>
      </w:r>
      <w:r w:rsidRPr="000624C6">
        <w:rPr>
          <w:rFonts w:hAnsi="標楷體"/>
          <w:lang w:eastAsia="zh-HK"/>
        </w:rPr>
        <w:t>查處經過</w:t>
      </w:r>
    </w:p>
    <w:p w:rsidR="006F5F51" w:rsidRPr="000624C6" w:rsidRDefault="006F5F51" w:rsidP="00CF1AA9">
      <w:pPr>
        <w:pStyle w:val="4"/>
        <w:rPr>
          <w:rFonts w:hAnsi="標楷體"/>
        </w:rPr>
      </w:pPr>
      <w:r w:rsidRPr="000624C6">
        <w:rPr>
          <w:rFonts w:hAnsi="標楷體"/>
          <w:szCs w:val="28"/>
          <w:lang w:eastAsia="zh-HK"/>
        </w:rPr>
        <w:t>按臺灣證券交易所股份有限公司對上市公司財務業務平時及例外管理處理程序第8條規定，上市公司發生對財務、業務或其他等面</w:t>
      </w:r>
      <w:r w:rsidRPr="000624C6">
        <w:rPr>
          <w:rFonts w:hAnsi="標楷體"/>
          <w:szCs w:val="28"/>
        </w:rPr>
        <w:t>向</w:t>
      </w:r>
      <w:r w:rsidRPr="000624C6">
        <w:rPr>
          <w:rFonts w:hAnsi="標楷體"/>
          <w:szCs w:val="28"/>
          <w:lang w:eastAsia="zh-HK"/>
        </w:rPr>
        <w:t>之重大事件時，證交所應就該重大事件對公司經營或市場造成之影響，提出檢查報告，報請金管會處理。106年5月陳情內容主係大同、華映公司做出19項承諾事項或有損及股東權益、放棄認購華映科技增資股份、處分股權及資產之程序及合理性等，因其陳情內容係涉及重大訊息及財務報告揭露之允當性，尚非屬上開處理程序</w:t>
      </w:r>
      <w:r w:rsidRPr="000624C6">
        <w:rPr>
          <w:rFonts w:hAnsi="標楷體"/>
          <w:szCs w:val="28"/>
        </w:rPr>
        <w:t>第8條規定</w:t>
      </w:r>
      <w:r w:rsidRPr="000624C6">
        <w:rPr>
          <w:rFonts w:hAnsi="標楷體"/>
          <w:szCs w:val="28"/>
          <w:lang w:eastAsia="zh-HK"/>
        </w:rPr>
        <w:t>所列之重大事件，故證交所無赴大同、華映公司實地查核。</w:t>
      </w:r>
    </w:p>
    <w:p w:rsidR="000A2262" w:rsidRPr="000624C6" w:rsidRDefault="006F5F51" w:rsidP="00CF1AA9">
      <w:pPr>
        <w:pStyle w:val="4"/>
        <w:rPr>
          <w:rFonts w:hAnsi="標楷體"/>
        </w:rPr>
      </w:pPr>
      <w:r w:rsidRPr="000624C6">
        <w:rPr>
          <w:rFonts w:hAnsi="標楷體"/>
          <w:szCs w:val="28"/>
          <w:lang w:eastAsia="zh-HK"/>
        </w:rPr>
        <w:t>金管會</w:t>
      </w:r>
      <w:r w:rsidRPr="000624C6">
        <w:rPr>
          <w:rFonts w:hAnsi="標楷體"/>
          <w:szCs w:val="32"/>
        </w:rPr>
        <w:t>於106年5月31日函請</w:t>
      </w:r>
      <w:proofErr w:type="gramStart"/>
      <w:r w:rsidRPr="000624C6">
        <w:rPr>
          <w:rFonts w:hAnsi="標楷體"/>
          <w:szCs w:val="32"/>
        </w:rPr>
        <w:t>證交所就華映</w:t>
      </w:r>
      <w:proofErr w:type="gramEnd"/>
      <w:r w:rsidRPr="000624C6">
        <w:rPr>
          <w:rFonts w:hAnsi="標楷體"/>
          <w:szCs w:val="32"/>
        </w:rPr>
        <w:t>公司做出19項承諾之資訊揭露及是否有異常情事等查報</w:t>
      </w:r>
      <w:r w:rsidR="000501D5" w:rsidRPr="000624C6">
        <w:rPr>
          <w:rFonts w:hAnsi="標楷體"/>
          <w:szCs w:val="32"/>
          <w:lang w:eastAsia="zh-HK"/>
        </w:rPr>
        <w:t>該</w:t>
      </w:r>
      <w:r w:rsidRPr="000624C6">
        <w:rPr>
          <w:rFonts w:hAnsi="標楷體"/>
          <w:szCs w:val="32"/>
        </w:rPr>
        <w:t>會，經</w:t>
      </w:r>
      <w:r w:rsidR="000A2262" w:rsidRPr="000624C6">
        <w:rPr>
          <w:rFonts w:hAnsi="標楷體"/>
          <w:kern w:val="0"/>
          <w:szCs w:val="32"/>
        </w:rPr>
        <w:t>證交所分別函</w:t>
      </w:r>
      <w:proofErr w:type="gramStart"/>
      <w:r w:rsidR="000A2262" w:rsidRPr="000624C6">
        <w:rPr>
          <w:rFonts w:hAnsi="標楷體"/>
          <w:kern w:val="0"/>
          <w:szCs w:val="32"/>
        </w:rPr>
        <w:t>詢</w:t>
      </w:r>
      <w:proofErr w:type="gramEnd"/>
      <w:r w:rsidR="00213420" w:rsidRPr="000624C6">
        <w:rPr>
          <w:rFonts w:hAnsi="標楷體"/>
          <w:kern w:val="0"/>
          <w:szCs w:val="32"/>
        </w:rPr>
        <w:t>華映</w:t>
      </w:r>
      <w:r w:rsidRPr="000624C6">
        <w:rPr>
          <w:rFonts w:hAnsi="標楷體"/>
          <w:kern w:val="0"/>
          <w:szCs w:val="32"/>
        </w:rPr>
        <w:t>、</w:t>
      </w:r>
      <w:r w:rsidR="00213420" w:rsidRPr="000624C6">
        <w:rPr>
          <w:rFonts w:hAnsi="標楷體"/>
          <w:kern w:val="0"/>
          <w:szCs w:val="32"/>
        </w:rPr>
        <w:t>大同公司</w:t>
      </w:r>
      <w:r w:rsidR="000A2262" w:rsidRPr="000624C6">
        <w:rPr>
          <w:rFonts w:hAnsi="標楷體"/>
          <w:kern w:val="0"/>
          <w:szCs w:val="32"/>
        </w:rPr>
        <w:t>及其簽證會計師，</w:t>
      </w:r>
      <w:proofErr w:type="gramStart"/>
      <w:r w:rsidR="000A2262" w:rsidRPr="000624C6">
        <w:rPr>
          <w:rFonts w:hAnsi="標楷體"/>
          <w:kern w:val="0"/>
          <w:szCs w:val="32"/>
        </w:rPr>
        <w:t>並請華映</w:t>
      </w:r>
      <w:proofErr w:type="gramEnd"/>
      <w:r w:rsidR="000A2262" w:rsidRPr="000624C6">
        <w:rPr>
          <w:rFonts w:hAnsi="標楷體"/>
          <w:kern w:val="0"/>
          <w:szCs w:val="32"/>
        </w:rPr>
        <w:t>公司提供資料，華映公司表示因發生時間久遠，承辦主管及同仁多已離職，故僅提供</w:t>
      </w:r>
      <w:r w:rsidR="00B93D69" w:rsidRPr="000624C6">
        <w:rPr>
          <w:rFonts w:hAnsi="標楷體"/>
          <w:kern w:val="0"/>
          <w:szCs w:val="32"/>
        </w:rPr>
        <w:t>中國</w:t>
      </w:r>
      <w:r w:rsidR="000A2262" w:rsidRPr="000624C6">
        <w:rPr>
          <w:rFonts w:hAnsi="標楷體"/>
          <w:kern w:val="0"/>
          <w:szCs w:val="32"/>
        </w:rPr>
        <w:t>華映科技對外公告承諾事項及</w:t>
      </w:r>
      <w:r w:rsidR="000A2262" w:rsidRPr="000624C6">
        <w:rPr>
          <w:rFonts w:hAnsi="標楷體"/>
          <w:kern w:val="0"/>
          <w:szCs w:val="32"/>
        </w:rPr>
        <w:lastRenderedPageBreak/>
        <w:t>履行情形之資料，且華映公司及會計師主張，相關承諾對股東權益或財務報表無重大影響，故未於財務報告揭露相關承諾事項。</w:t>
      </w:r>
    </w:p>
    <w:p w:rsidR="000A2262" w:rsidRPr="000624C6" w:rsidRDefault="000A2262" w:rsidP="00CF1AA9">
      <w:pPr>
        <w:pStyle w:val="4"/>
        <w:rPr>
          <w:rFonts w:hAnsi="標楷體"/>
        </w:rPr>
      </w:pPr>
      <w:r w:rsidRPr="000624C6">
        <w:rPr>
          <w:rFonts w:hAnsi="標楷體"/>
          <w:kern w:val="0"/>
          <w:szCs w:val="32"/>
        </w:rPr>
        <w:t>證交所基於財務報告</w:t>
      </w:r>
      <w:proofErr w:type="gramStart"/>
      <w:r w:rsidRPr="000624C6">
        <w:rPr>
          <w:rFonts w:hAnsi="標楷體"/>
          <w:kern w:val="0"/>
          <w:szCs w:val="32"/>
        </w:rPr>
        <w:t>編製係公司</w:t>
      </w:r>
      <w:proofErr w:type="gramEnd"/>
      <w:r w:rsidRPr="000624C6">
        <w:rPr>
          <w:rFonts w:hAnsi="標楷體"/>
          <w:kern w:val="0"/>
          <w:szCs w:val="32"/>
        </w:rPr>
        <w:t>管理階層之責任，華映公司應審慎評估所簽訂之承諾事項是否需於財務報告附註揭露，且簽證會計師之專家意見亦同意公司主張，證交所依當時掌握之事證</w:t>
      </w:r>
      <w:proofErr w:type="gramStart"/>
      <w:r w:rsidRPr="000624C6">
        <w:rPr>
          <w:rFonts w:hAnsi="標楷體"/>
          <w:kern w:val="0"/>
          <w:szCs w:val="32"/>
        </w:rPr>
        <w:t>資料認華映</w:t>
      </w:r>
      <w:proofErr w:type="gramEnd"/>
      <w:r w:rsidRPr="000624C6">
        <w:rPr>
          <w:rFonts w:hAnsi="標楷體"/>
          <w:kern w:val="0"/>
          <w:szCs w:val="32"/>
        </w:rPr>
        <w:t>公司及會計師主張未損及股東權益之說明尚非無據，惟考量相關承諾事項之資訊揭露，有助於</w:t>
      </w:r>
      <w:r w:rsidRPr="000624C6">
        <w:rPr>
          <w:rFonts w:hAnsi="標楷體"/>
        </w:rPr>
        <w:t>投資人</w:t>
      </w:r>
      <w:r w:rsidRPr="000624C6">
        <w:rPr>
          <w:rFonts w:hAnsi="標楷體"/>
          <w:kern w:val="0"/>
          <w:szCs w:val="32"/>
        </w:rPr>
        <w:t>瞭解股權交易全貌，證交所</w:t>
      </w:r>
      <w:proofErr w:type="gramStart"/>
      <w:r w:rsidRPr="000624C6">
        <w:rPr>
          <w:rFonts w:hAnsi="標楷體"/>
          <w:kern w:val="0"/>
          <w:szCs w:val="32"/>
        </w:rPr>
        <w:t>仍請華映</w:t>
      </w:r>
      <w:proofErr w:type="gramEnd"/>
      <w:r w:rsidRPr="000624C6">
        <w:rPr>
          <w:rFonts w:hAnsi="標楷體"/>
          <w:kern w:val="0"/>
          <w:szCs w:val="32"/>
        </w:rPr>
        <w:t>公司106年7月7日發布重大訊息補充說明19項承諾事項。</w:t>
      </w:r>
    </w:p>
    <w:p w:rsidR="000A2262" w:rsidRPr="000624C6" w:rsidRDefault="000A2262" w:rsidP="00CF1AA9">
      <w:pPr>
        <w:pStyle w:val="4"/>
        <w:rPr>
          <w:rFonts w:hAnsi="標楷體"/>
        </w:rPr>
      </w:pPr>
      <w:proofErr w:type="gramStart"/>
      <w:r w:rsidRPr="000624C6">
        <w:rPr>
          <w:rFonts w:hAnsi="標楷體"/>
          <w:kern w:val="0"/>
          <w:szCs w:val="32"/>
        </w:rPr>
        <w:t>嗣</w:t>
      </w:r>
      <w:proofErr w:type="gramEnd"/>
      <w:r w:rsidRPr="000624C6">
        <w:rPr>
          <w:rFonts w:hAnsi="標楷體"/>
          <w:kern w:val="0"/>
          <w:szCs w:val="32"/>
        </w:rPr>
        <w:t>華映公司107年底聲請重整後，</w:t>
      </w:r>
      <w:r w:rsidR="00D66568" w:rsidRPr="000624C6">
        <w:rPr>
          <w:rFonts w:hAnsi="標楷體"/>
          <w:kern w:val="0"/>
          <w:szCs w:val="32"/>
          <w:lang w:eastAsia="zh-HK"/>
        </w:rPr>
        <w:t>中國華映科技將該公司所積欠貨款提列呆帳，並依業績補償承諾與承擔連帶責任承諾</w:t>
      </w:r>
      <w:r w:rsidRPr="000624C6">
        <w:rPr>
          <w:rFonts w:hAnsi="標楷體"/>
          <w:kern w:val="0"/>
          <w:szCs w:val="32"/>
          <w:lang w:eastAsia="zh-HK"/>
        </w:rPr>
        <w:t>向百慕達華映、</w:t>
      </w:r>
      <w:r w:rsidR="00213420" w:rsidRPr="000624C6">
        <w:rPr>
          <w:rFonts w:hAnsi="標楷體"/>
          <w:kern w:val="0"/>
          <w:szCs w:val="32"/>
          <w:lang w:eastAsia="zh-HK"/>
        </w:rPr>
        <w:t>華映公司及大同公司</w:t>
      </w:r>
      <w:r w:rsidRPr="000624C6">
        <w:rPr>
          <w:rFonts w:hAnsi="標楷體"/>
          <w:kern w:val="0"/>
          <w:szCs w:val="32"/>
          <w:lang w:eastAsia="zh-HK"/>
        </w:rPr>
        <w:t>提出鉅額求償</w:t>
      </w:r>
      <w:r w:rsidRPr="000624C6">
        <w:rPr>
          <w:rFonts w:hAnsi="標楷體"/>
          <w:kern w:val="0"/>
          <w:szCs w:val="32"/>
        </w:rPr>
        <w:t>（人民幣30.29億元），顯示相關承諾對股東權益確有重大影響，</w:t>
      </w:r>
      <w:r w:rsidRPr="000624C6">
        <w:rPr>
          <w:rFonts w:hAnsi="標楷體"/>
          <w:kern w:val="0"/>
          <w:szCs w:val="32"/>
          <w:lang w:eastAsia="zh-HK"/>
        </w:rPr>
        <w:t>金管</w:t>
      </w:r>
      <w:r w:rsidRPr="000624C6">
        <w:rPr>
          <w:rFonts w:hAnsi="標楷體"/>
          <w:kern w:val="0"/>
          <w:szCs w:val="32"/>
        </w:rPr>
        <w:t>會爰於108年3月</w:t>
      </w:r>
      <w:proofErr w:type="gramStart"/>
      <w:r w:rsidRPr="000624C6">
        <w:rPr>
          <w:rFonts w:hAnsi="標楷體"/>
          <w:kern w:val="0"/>
          <w:szCs w:val="32"/>
        </w:rPr>
        <w:t>函請華映</w:t>
      </w:r>
      <w:proofErr w:type="gramEnd"/>
      <w:r w:rsidRPr="000624C6">
        <w:rPr>
          <w:rFonts w:hAnsi="標楷體"/>
          <w:kern w:val="0"/>
          <w:szCs w:val="32"/>
        </w:rPr>
        <w:t>公司提供完整原始承諾資料及調閱會計師98年度至</w:t>
      </w:r>
      <w:proofErr w:type="gramStart"/>
      <w:r w:rsidRPr="000624C6">
        <w:rPr>
          <w:rFonts w:hAnsi="標楷體"/>
          <w:kern w:val="0"/>
          <w:szCs w:val="32"/>
        </w:rPr>
        <w:t>106</w:t>
      </w:r>
      <w:proofErr w:type="gramEnd"/>
      <w:r w:rsidRPr="000624C6">
        <w:rPr>
          <w:rFonts w:hAnsi="標楷體"/>
          <w:kern w:val="0"/>
          <w:szCs w:val="32"/>
        </w:rPr>
        <w:t>年度查核工作底稿進行審查，發現公司及會計師未確實評估完整19項承諾之相關事證，是以華映公司於98年度至107年第3季各期財務報告未確實依</w:t>
      </w:r>
      <w:r w:rsidR="00575652" w:rsidRPr="000624C6">
        <w:rPr>
          <w:rFonts w:hAnsi="標楷體"/>
        </w:rPr>
        <w:t>證券發行人財務報告編製準則</w:t>
      </w:r>
      <w:r w:rsidR="003805E7" w:rsidRPr="000624C6">
        <w:rPr>
          <w:rFonts w:hAnsi="標楷體"/>
          <w:lang w:eastAsia="zh-HK"/>
        </w:rPr>
        <w:t>第</w:t>
      </w:r>
      <w:r w:rsidR="003805E7" w:rsidRPr="000624C6">
        <w:rPr>
          <w:rFonts w:hAnsi="標楷體"/>
        </w:rPr>
        <w:t>15</w:t>
      </w:r>
      <w:r w:rsidR="003805E7" w:rsidRPr="000624C6">
        <w:rPr>
          <w:rFonts w:hAnsi="標楷體"/>
          <w:lang w:eastAsia="zh-HK"/>
        </w:rPr>
        <w:t>條第</w:t>
      </w:r>
      <w:r w:rsidR="003805E7" w:rsidRPr="000624C6">
        <w:rPr>
          <w:rFonts w:hAnsi="標楷體"/>
        </w:rPr>
        <w:t>12</w:t>
      </w:r>
      <w:r w:rsidR="003805E7" w:rsidRPr="000624C6">
        <w:rPr>
          <w:rFonts w:hAnsi="標楷體"/>
          <w:lang w:eastAsia="zh-HK"/>
        </w:rPr>
        <w:t>款及第</w:t>
      </w:r>
      <w:r w:rsidR="003805E7" w:rsidRPr="000624C6">
        <w:rPr>
          <w:rFonts w:hAnsi="標楷體"/>
        </w:rPr>
        <w:t>35</w:t>
      </w:r>
      <w:r w:rsidR="003805E7" w:rsidRPr="000624C6">
        <w:rPr>
          <w:rFonts w:hAnsi="標楷體"/>
          <w:lang w:eastAsia="zh-HK"/>
        </w:rPr>
        <w:t>款</w:t>
      </w:r>
      <w:r w:rsidRPr="000624C6">
        <w:rPr>
          <w:rFonts w:hAnsi="標楷體"/>
          <w:kern w:val="0"/>
          <w:szCs w:val="32"/>
        </w:rPr>
        <w:t>規定，針對上開情事逐期評估及辦理重大承諾事項之揭露，致影響投資人決策，另大同公司為華映公司之母公司，且大同公司於</w:t>
      </w:r>
      <w:r w:rsidR="00C16891" w:rsidRPr="000624C6">
        <w:rPr>
          <w:rFonts w:hAnsi="標楷體"/>
          <w:kern w:val="0"/>
          <w:szCs w:val="32"/>
        </w:rPr>
        <w:t>百慕達華映</w:t>
      </w:r>
      <w:r w:rsidRPr="000624C6">
        <w:rPr>
          <w:rFonts w:hAnsi="標楷體"/>
          <w:kern w:val="0"/>
          <w:szCs w:val="32"/>
        </w:rPr>
        <w:t>、華映公司等無法履行承諾時亦需</w:t>
      </w:r>
      <w:r w:rsidR="003805E7" w:rsidRPr="000624C6">
        <w:rPr>
          <w:rFonts w:hAnsi="標楷體"/>
          <w:kern w:val="0"/>
          <w:szCs w:val="32"/>
        </w:rPr>
        <w:t>負連帶責任，故相關承諾事項對大同</w:t>
      </w:r>
      <w:proofErr w:type="gramStart"/>
      <w:r w:rsidR="003805E7" w:rsidRPr="000624C6">
        <w:rPr>
          <w:rFonts w:hAnsi="標楷體"/>
          <w:kern w:val="0"/>
          <w:szCs w:val="32"/>
        </w:rPr>
        <w:t>公司閱表者</w:t>
      </w:r>
      <w:proofErr w:type="gramEnd"/>
      <w:r w:rsidR="003805E7" w:rsidRPr="000624C6">
        <w:rPr>
          <w:rFonts w:hAnsi="標楷體"/>
          <w:kern w:val="0"/>
          <w:szCs w:val="32"/>
        </w:rPr>
        <w:t>決策亦有重大影響，</w:t>
      </w:r>
      <w:r w:rsidR="003805E7" w:rsidRPr="000624C6">
        <w:rPr>
          <w:rFonts w:hAnsi="標楷體"/>
          <w:kern w:val="0"/>
          <w:szCs w:val="32"/>
          <w:lang w:eastAsia="zh-HK"/>
        </w:rPr>
        <w:t>該二</w:t>
      </w:r>
      <w:r w:rsidRPr="000624C6">
        <w:rPr>
          <w:rFonts w:hAnsi="標楷體"/>
          <w:kern w:val="0"/>
          <w:szCs w:val="32"/>
        </w:rPr>
        <w:t>公司</w:t>
      </w:r>
      <w:proofErr w:type="gramStart"/>
      <w:r w:rsidRPr="000624C6">
        <w:rPr>
          <w:rFonts w:hAnsi="標楷體"/>
          <w:kern w:val="0"/>
          <w:szCs w:val="32"/>
        </w:rPr>
        <w:t>已涉</w:t>
      </w:r>
      <w:r w:rsidR="00E924B2" w:rsidRPr="000624C6">
        <w:rPr>
          <w:rFonts w:hAnsi="標楷體"/>
          <w:lang w:eastAsia="zh-HK"/>
        </w:rPr>
        <w:t>證交</w:t>
      </w:r>
      <w:proofErr w:type="gramEnd"/>
      <w:r w:rsidR="00E924B2" w:rsidRPr="000624C6">
        <w:rPr>
          <w:rFonts w:hAnsi="標楷體"/>
          <w:lang w:eastAsia="zh-HK"/>
        </w:rPr>
        <w:t>法第</w:t>
      </w:r>
      <w:r w:rsidR="00E924B2" w:rsidRPr="000624C6">
        <w:rPr>
          <w:rFonts w:hAnsi="標楷體"/>
        </w:rPr>
        <w:t>20</w:t>
      </w:r>
      <w:r w:rsidR="00E924B2" w:rsidRPr="000624C6">
        <w:rPr>
          <w:rFonts w:hAnsi="標楷體"/>
          <w:lang w:eastAsia="zh-HK"/>
        </w:rPr>
        <w:t>條第</w:t>
      </w:r>
      <w:r w:rsidR="00E924B2" w:rsidRPr="000624C6">
        <w:rPr>
          <w:rFonts w:hAnsi="標楷體"/>
        </w:rPr>
        <w:t>2</w:t>
      </w:r>
      <w:r w:rsidR="00E924B2" w:rsidRPr="000624C6">
        <w:rPr>
          <w:rFonts w:hAnsi="標楷體"/>
          <w:lang w:eastAsia="zh-HK"/>
        </w:rPr>
        <w:t>項有關發行人依證交法規定公告申報之財務報告內容不得有隱匿</w:t>
      </w:r>
      <w:r w:rsidR="00E924B2" w:rsidRPr="000624C6">
        <w:rPr>
          <w:rFonts w:hAnsi="標楷體"/>
          <w:lang w:eastAsia="zh-HK"/>
        </w:rPr>
        <w:lastRenderedPageBreak/>
        <w:t>之情事</w:t>
      </w:r>
      <w:r w:rsidRPr="000624C6">
        <w:rPr>
          <w:rFonts w:hAnsi="標楷體"/>
          <w:kern w:val="0"/>
          <w:szCs w:val="32"/>
        </w:rPr>
        <w:t>，</w:t>
      </w:r>
      <w:proofErr w:type="gramStart"/>
      <w:r w:rsidRPr="000624C6">
        <w:rPr>
          <w:rFonts w:hAnsi="標楷體"/>
          <w:kern w:val="0"/>
          <w:szCs w:val="32"/>
        </w:rPr>
        <w:t>爰</w:t>
      </w:r>
      <w:proofErr w:type="gramEnd"/>
      <w:r w:rsidRPr="000624C6">
        <w:rPr>
          <w:rFonts w:hAnsi="標楷體"/>
          <w:kern w:val="0"/>
          <w:szCs w:val="32"/>
        </w:rPr>
        <w:t>於108年4月告發</w:t>
      </w:r>
      <w:r w:rsidR="003805E7" w:rsidRPr="000624C6">
        <w:rPr>
          <w:rFonts w:hAnsi="標楷體"/>
          <w:kern w:val="0"/>
          <w:szCs w:val="32"/>
          <w:lang w:eastAsia="zh-HK"/>
        </w:rPr>
        <w:t>該二</w:t>
      </w:r>
      <w:r w:rsidR="003805E7" w:rsidRPr="000624C6">
        <w:rPr>
          <w:rFonts w:hAnsi="標楷體"/>
          <w:kern w:val="0"/>
          <w:szCs w:val="32"/>
        </w:rPr>
        <w:t>公司</w:t>
      </w:r>
      <w:r w:rsidRPr="000624C6">
        <w:rPr>
          <w:rFonts w:hAnsi="標楷體"/>
          <w:kern w:val="0"/>
          <w:szCs w:val="32"/>
        </w:rPr>
        <w:t>不法情事。</w:t>
      </w:r>
    </w:p>
    <w:p w:rsidR="00F4225B" w:rsidRPr="000624C6" w:rsidRDefault="000A2262" w:rsidP="00CF1AA9">
      <w:pPr>
        <w:pStyle w:val="3"/>
        <w:rPr>
          <w:rFonts w:hAnsi="標楷體"/>
        </w:rPr>
      </w:pPr>
      <w:proofErr w:type="gramStart"/>
      <w:r w:rsidRPr="000624C6">
        <w:rPr>
          <w:rFonts w:hAnsi="標楷體"/>
          <w:lang w:eastAsia="zh-HK"/>
        </w:rPr>
        <w:t>惟查</w:t>
      </w:r>
      <w:proofErr w:type="gramEnd"/>
      <w:r w:rsidRPr="000624C6">
        <w:rPr>
          <w:rFonts w:hAnsi="標楷體"/>
          <w:lang w:eastAsia="zh-HK"/>
        </w:rPr>
        <w:t>，</w:t>
      </w:r>
      <w:r w:rsidR="00C95CA5" w:rsidRPr="000624C6">
        <w:rPr>
          <w:rFonts w:hAnsi="標楷體"/>
          <w:lang w:eastAsia="zh-HK"/>
        </w:rPr>
        <w:t>金管會</w:t>
      </w:r>
      <w:r w:rsidR="00C95CA5" w:rsidRPr="000624C6">
        <w:rPr>
          <w:rFonts w:hAnsi="標楷體"/>
          <w:kern w:val="0"/>
        </w:rPr>
        <w:t>106</w:t>
      </w:r>
      <w:r w:rsidR="00C95CA5" w:rsidRPr="000624C6">
        <w:rPr>
          <w:rFonts w:hAnsi="標楷體"/>
          <w:kern w:val="0"/>
          <w:lang w:eastAsia="zh-HK"/>
        </w:rPr>
        <w:t>年</w:t>
      </w:r>
      <w:r w:rsidR="00C95CA5" w:rsidRPr="000624C6">
        <w:rPr>
          <w:rFonts w:hAnsi="標楷體"/>
          <w:kern w:val="0"/>
        </w:rPr>
        <w:t>5</w:t>
      </w:r>
      <w:r w:rsidR="00C95CA5" w:rsidRPr="000624C6">
        <w:rPr>
          <w:rFonts w:hAnsi="標楷體"/>
          <w:kern w:val="0"/>
          <w:lang w:eastAsia="zh-HK"/>
        </w:rPr>
        <w:t>月所收受檢舉</w:t>
      </w:r>
      <w:r w:rsidR="00C95CA5" w:rsidRPr="000624C6">
        <w:rPr>
          <w:rFonts w:hAnsi="標楷體"/>
          <w:lang w:eastAsia="zh-HK"/>
        </w:rPr>
        <w:t>資料附有</w:t>
      </w:r>
      <w:proofErr w:type="gramStart"/>
      <w:r w:rsidR="00B32E1F" w:rsidRPr="000624C6">
        <w:rPr>
          <w:rFonts w:hAnsi="標楷體"/>
          <w:lang w:eastAsia="zh-HK"/>
        </w:rPr>
        <w:t>前揭</w:t>
      </w:r>
      <w:r w:rsidR="00B21C28" w:rsidRPr="000624C6">
        <w:rPr>
          <w:rFonts w:hAnsi="標楷體"/>
          <w:lang w:eastAsia="zh-HK"/>
        </w:rPr>
        <w:t>華映</w:t>
      </w:r>
      <w:proofErr w:type="gramEnd"/>
      <w:r w:rsidR="00B21C28" w:rsidRPr="000624C6">
        <w:rPr>
          <w:rFonts w:hAnsi="標楷體"/>
          <w:lang w:eastAsia="zh-HK"/>
        </w:rPr>
        <w:t>、大同公司出具</w:t>
      </w:r>
      <w:r w:rsidR="00B93D69" w:rsidRPr="000624C6">
        <w:rPr>
          <w:rFonts w:hAnsi="標楷體"/>
          <w:lang w:eastAsia="zh-HK"/>
        </w:rPr>
        <w:t>中國</w:t>
      </w:r>
      <w:r w:rsidR="00B21C28" w:rsidRPr="000624C6">
        <w:rPr>
          <w:rFonts w:hAnsi="標楷體"/>
          <w:lang w:eastAsia="zh-HK"/>
        </w:rPr>
        <w:t>華映科技</w:t>
      </w:r>
      <w:r w:rsidR="00C95CA5" w:rsidRPr="000624C6">
        <w:rPr>
          <w:rFonts w:hAnsi="標楷體"/>
          <w:lang w:eastAsia="zh-HK"/>
        </w:rPr>
        <w:t>19項承諾之完整內容（</w:t>
      </w:r>
      <w:r w:rsidR="00B32E1F" w:rsidRPr="000624C6">
        <w:rPr>
          <w:rFonts w:hAnsi="標楷體"/>
          <w:lang w:eastAsia="zh-HK"/>
        </w:rPr>
        <w:t>包括但不限於</w:t>
      </w:r>
      <w:r w:rsidR="00C95CA5" w:rsidRPr="000624C6">
        <w:rPr>
          <w:rFonts w:hAnsi="標楷體"/>
          <w:lang w:eastAsia="zh-HK"/>
        </w:rPr>
        <w:t>華映公司</w:t>
      </w:r>
      <w:r w:rsidR="003805E7" w:rsidRPr="000624C6">
        <w:rPr>
          <w:rFonts w:hAnsi="標楷體"/>
          <w:lang w:eastAsia="zh-HK"/>
        </w:rPr>
        <w:t>承擔</w:t>
      </w:r>
      <w:r w:rsidR="00B93D69" w:rsidRPr="000624C6">
        <w:rPr>
          <w:rFonts w:hAnsi="標楷體"/>
          <w:lang w:eastAsia="zh-HK"/>
        </w:rPr>
        <w:t>中國</w:t>
      </w:r>
      <w:r w:rsidR="00C95CA5" w:rsidRPr="000624C6">
        <w:rPr>
          <w:rFonts w:hAnsi="標楷體"/>
          <w:lang w:eastAsia="zh-HK"/>
        </w:rPr>
        <w:t>華映科技業績補償承諾、大同公司負連帶責任等），</w:t>
      </w:r>
      <w:r w:rsidR="00B32E1F" w:rsidRPr="000624C6">
        <w:rPr>
          <w:rFonts w:hAnsi="標楷體"/>
          <w:lang w:eastAsia="zh-HK"/>
        </w:rPr>
        <w:t>該會</w:t>
      </w:r>
      <w:r w:rsidR="00EA2E38" w:rsidRPr="000624C6">
        <w:rPr>
          <w:rFonts w:hAnsi="標楷體"/>
          <w:lang w:eastAsia="zh-HK"/>
        </w:rPr>
        <w:t>當時</w:t>
      </w:r>
      <w:r w:rsidR="005454B5" w:rsidRPr="000624C6">
        <w:rPr>
          <w:rFonts w:hAnsi="標楷體"/>
          <w:lang w:eastAsia="zh-HK"/>
        </w:rPr>
        <w:t>即</w:t>
      </w:r>
      <w:r w:rsidR="0063167C" w:rsidRPr="000624C6">
        <w:rPr>
          <w:rFonts w:hAnsi="標楷體"/>
          <w:lang w:eastAsia="zh-HK"/>
        </w:rPr>
        <w:t>應</w:t>
      </w:r>
      <w:r w:rsidR="00EA2E38" w:rsidRPr="000624C6">
        <w:rPr>
          <w:rFonts w:hAnsi="標楷體"/>
          <w:lang w:eastAsia="zh-HK"/>
        </w:rPr>
        <w:t>知悉上開承諾事項對</w:t>
      </w:r>
      <w:r w:rsidR="006E4AB6" w:rsidRPr="000624C6">
        <w:rPr>
          <w:rFonts w:hAnsi="標楷體"/>
          <w:lang w:eastAsia="zh-HK"/>
        </w:rPr>
        <w:t>華映、大同</w:t>
      </w:r>
      <w:proofErr w:type="gramStart"/>
      <w:r w:rsidR="006E4AB6" w:rsidRPr="000624C6">
        <w:rPr>
          <w:rFonts w:hAnsi="標楷體"/>
          <w:lang w:eastAsia="zh-HK"/>
        </w:rPr>
        <w:t>公司閱表者</w:t>
      </w:r>
      <w:proofErr w:type="gramEnd"/>
      <w:r w:rsidR="006E4AB6" w:rsidRPr="000624C6">
        <w:rPr>
          <w:rFonts w:hAnsi="標楷體"/>
          <w:lang w:eastAsia="zh-HK"/>
        </w:rPr>
        <w:t>決策有重大</w:t>
      </w:r>
      <w:r w:rsidR="00E95023" w:rsidRPr="000624C6">
        <w:rPr>
          <w:rFonts w:hAnsi="標楷體"/>
          <w:lang w:eastAsia="zh-HK"/>
        </w:rPr>
        <w:t>影響</w:t>
      </w:r>
      <w:r w:rsidR="006E4AB6" w:rsidRPr="000624C6">
        <w:rPr>
          <w:rFonts w:hAnsi="標楷體"/>
          <w:lang w:eastAsia="zh-HK"/>
        </w:rPr>
        <w:t>，惟該會僅函請證交所查報，而證交所亦僅函</w:t>
      </w:r>
      <w:proofErr w:type="gramStart"/>
      <w:r w:rsidR="006E4AB6" w:rsidRPr="000624C6">
        <w:rPr>
          <w:rFonts w:hAnsi="標楷體"/>
          <w:lang w:eastAsia="zh-HK"/>
        </w:rPr>
        <w:t>詢</w:t>
      </w:r>
      <w:proofErr w:type="gramEnd"/>
      <w:r w:rsidR="006E4AB6" w:rsidRPr="000624C6">
        <w:rPr>
          <w:rFonts w:hAnsi="標楷體"/>
          <w:lang w:eastAsia="zh-HK"/>
        </w:rPr>
        <w:t>華映、大同公司及其簽證會計師，渠等主張相關承</w:t>
      </w:r>
      <w:r w:rsidR="00E95023" w:rsidRPr="000624C6">
        <w:rPr>
          <w:rFonts w:hAnsi="標楷體" w:hint="eastAsia"/>
          <w:lang w:eastAsia="zh-HK"/>
        </w:rPr>
        <w:t>諾</w:t>
      </w:r>
      <w:r w:rsidR="006E4AB6" w:rsidRPr="000624C6">
        <w:rPr>
          <w:rFonts w:hAnsi="標楷體"/>
          <w:lang w:eastAsia="zh-HK"/>
        </w:rPr>
        <w:t>無重大影響</w:t>
      </w:r>
      <w:r w:rsidRPr="000624C6">
        <w:rPr>
          <w:rFonts w:hAnsi="標楷體"/>
          <w:lang w:eastAsia="zh-HK"/>
        </w:rPr>
        <w:t>，</w:t>
      </w:r>
      <w:r w:rsidR="006E4AB6" w:rsidRPr="000624C6">
        <w:rPr>
          <w:rFonts w:hAnsi="標楷體"/>
          <w:lang w:eastAsia="zh-HK"/>
        </w:rPr>
        <w:t>證交所</w:t>
      </w:r>
      <w:r w:rsidR="00C95CA5" w:rsidRPr="000624C6">
        <w:rPr>
          <w:rFonts w:hAnsi="標楷體"/>
          <w:lang w:eastAsia="zh-HK"/>
        </w:rPr>
        <w:t>僅要求華映公司於106年7月7</w:t>
      </w:r>
      <w:r w:rsidR="007D67AC" w:rsidRPr="000624C6">
        <w:rPr>
          <w:rFonts w:hAnsi="標楷體"/>
          <w:lang w:eastAsia="zh-HK"/>
        </w:rPr>
        <w:t>日</w:t>
      </w:r>
      <w:r w:rsidR="00C95CA5" w:rsidRPr="000624C6">
        <w:rPr>
          <w:rFonts w:hAnsi="標楷體"/>
          <w:lang w:eastAsia="zh-HK"/>
        </w:rPr>
        <w:t>發布重大訊息補充說明該等承諾事項</w:t>
      </w:r>
      <w:r w:rsidRPr="000624C6">
        <w:rPr>
          <w:rFonts w:hAnsi="標楷體"/>
          <w:lang w:eastAsia="zh-HK"/>
        </w:rPr>
        <w:t>，</w:t>
      </w:r>
      <w:proofErr w:type="gramStart"/>
      <w:r w:rsidR="00C95CA5" w:rsidRPr="000624C6">
        <w:rPr>
          <w:rFonts w:hAnsi="標楷體"/>
          <w:lang w:eastAsia="zh-HK"/>
        </w:rPr>
        <w:t>迨</w:t>
      </w:r>
      <w:proofErr w:type="gramEnd"/>
      <w:r w:rsidR="003959B2" w:rsidRPr="000624C6">
        <w:rPr>
          <w:rFonts w:hAnsi="標楷體"/>
          <w:lang w:eastAsia="zh-HK"/>
        </w:rPr>
        <w:t>中國華映科技向</w:t>
      </w:r>
      <w:r w:rsidR="00213420" w:rsidRPr="000624C6">
        <w:rPr>
          <w:rFonts w:hAnsi="標楷體"/>
          <w:lang w:eastAsia="zh-HK"/>
        </w:rPr>
        <w:t>華映</w:t>
      </w:r>
      <w:r w:rsidR="000501D5" w:rsidRPr="000624C6">
        <w:rPr>
          <w:rFonts w:hAnsi="標楷體"/>
          <w:lang w:eastAsia="zh-HK"/>
        </w:rPr>
        <w:t>、</w:t>
      </w:r>
      <w:r w:rsidR="00213420" w:rsidRPr="000624C6">
        <w:rPr>
          <w:rFonts w:hAnsi="標楷體"/>
        </w:rPr>
        <w:t>大同公司</w:t>
      </w:r>
      <w:r w:rsidR="003959B2" w:rsidRPr="000624C6">
        <w:rPr>
          <w:rFonts w:hAnsi="標楷體"/>
        </w:rPr>
        <w:t>提出鉅額求償，始</w:t>
      </w:r>
      <w:r w:rsidR="00C95CA5" w:rsidRPr="000624C6">
        <w:rPr>
          <w:rFonts w:hAnsi="標楷體"/>
        </w:rPr>
        <w:t>於108年4月向檢察機關告發</w:t>
      </w:r>
      <w:r w:rsidR="00E06884" w:rsidRPr="000624C6">
        <w:rPr>
          <w:rFonts w:hAnsi="標楷體" w:hint="eastAsia"/>
          <w:lang w:eastAsia="zh-HK"/>
        </w:rPr>
        <w:t>該二</w:t>
      </w:r>
      <w:r w:rsidR="00C95CA5" w:rsidRPr="000624C6">
        <w:rPr>
          <w:rFonts w:hAnsi="標楷體"/>
        </w:rPr>
        <w:t>公司</w:t>
      </w:r>
      <w:r w:rsidR="00590892" w:rsidRPr="000624C6">
        <w:rPr>
          <w:rFonts w:hAnsi="標楷體"/>
          <w:szCs w:val="32"/>
        </w:rPr>
        <w:t>於98年度至107年第3季各期財務報告</w:t>
      </w:r>
      <w:r w:rsidR="005454B5" w:rsidRPr="000624C6">
        <w:rPr>
          <w:rFonts w:hAnsi="標楷體"/>
        </w:rPr>
        <w:t>涉有隱匿之不法情事</w:t>
      </w:r>
      <w:r w:rsidR="00C95CA5" w:rsidRPr="000624C6">
        <w:rPr>
          <w:rFonts w:hAnsi="標楷體"/>
        </w:rPr>
        <w:t>，</w:t>
      </w:r>
      <w:r w:rsidR="00C95CA5" w:rsidRPr="000624C6">
        <w:rPr>
          <w:rFonts w:hAnsi="標楷體"/>
          <w:lang w:eastAsia="zh-HK"/>
        </w:rPr>
        <w:t>相關處置顯有</w:t>
      </w:r>
      <w:r w:rsidR="003805E7" w:rsidRPr="000624C6">
        <w:rPr>
          <w:rFonts w:hAnsi="標楷體"/>
          <w:lang w:eastAsia="zh-HK"/>
        </w:rPr>
        <w:t>未當</w:t>
      </w:r>
      <w:r w:rsidR="00C95CA5" w:rsidRPr="000624C6">
        <w:rPr>
          <w:rFonts w:hAnsi="標楷體"/>
          <w:lang w:eastAsia="zh-HK"/>
        </w:rPr>
        <w:t>。</w:t>
      </w:r>
    </w:p>
    <w:p w:rsidR="003E679A" w:rsidRPr="000624C6" w:rsidRDefault="00EB20B3" w:rsidP="00CF1AA9">
      <w:pPr>
        <w:pStyle w:val="2"/>
        <w:rPr>
          <w:b/>
          <w:lang w:eastAsia="zh-HK"/>
        </w:rPr>
      </w:pPr>
      <w:r w:rsidRPr="000624C6">
        <w:rPr>
          <w:b/>
          <w:lang w:eastAsia="zh-HK"/>
        </w:rPr>
        <w:t>金管會輕忽對大同集團上市公司經營之監理，牽涉廣大利害關係人，華映公司申請重整</w:t>
      </w:r>
      <w:proofErr w:type="gramStart"/>
      <w:r w:rsidRPr="000624C6">
        <w:rPr>
          <w:b/>
          <w:lang w:eastAsia="zh-HK"/>
        </w:rPr>
        <w:t>與綠能公司</w:t>
      </w:r>
      <w:proofErr w:type="gramEnd"/>
      <w:r w:rsidRPr="000624C6">
        <w:rPr>
          <w:b/>
          <w:lang w:eastAsia="zh-HK"/>
        </w:rPr>
        <w:t>解散，已嚴重衝擊3,876名被資遣員工之家庭生計，並影響上、下游業者及債權銀行之正常營運，然</w:t>
      </w:r>
      <w:r w:rsidR="00BA554F" w:rsidRPr="000624C6">
        <w:rPr>
          <w:rFonts w:hint="eastAsia"/>
          <w:b/>
          <w:lang w:eastAsia="zh-HK"/>
        </w:rPr>
        <w:t>於</w:t>
      </w:r>
      <w:r w:rsidRPr="000624C6">
        <w:rPr>
          <w:b/>
          <w:lang w:eastAsia="zh-HK"/>
        </w:rPr>
        <w:t>108年以來該等公司屢有重大訊息揭露、資金貸與、內部控制制度</w:t>
      </w:r>
      <w:r w:rsidR="00FF29B4" w:rsidRPr="000624C6">
        <w:rPr>
          <w:rFonts w:hAnsi="標楷體" w:hint="eastAsia"/>
          <w:b/>
          <w:lang w:eastAsia="zh-HK"/>
        </w:rPr>
        <w:t>等</w:t>
      </w:r>
      <w:r w:rsidRPr="000624C6">
        <w:rPr>
          <w:b/>
          <w:lang w:eastAsia="zh-HK"/>
        </w:rPr>
        <w:t>違反金融法令之情事，該會</w:t>
      </w:r>
      <w:r w:rsidR="005D7383" w:rsidRPr="000624C6">
        <w:rPr>
          <w:b/>
          <w:lang w:eastAsia="zh-HK"/>
        </w:rPr>
        <w:t>實</w:t>
      </w:r>
      <w:r w:rsidRPr="000624C6">
        <w:rPr>
          <w:b/>
          <w:lang w:eastAsia="zh-HK"/>
        </w:rPr>
        <w:t>應強化相關監理措施</w:t>
      </w:r>
      <w:r w:rsidR="00FB7D33" w:rsidRPr="000624C6">
        <w:rPr>
          <w:b/>
          <w:lang w:eastAsia="zh-HK"/>
        </w:rPr>
        <w:t>，</w:t>
      </w:r>
      <w:r w:rsidR="00BF0406" w:rsidRPr="000624C6">
        <w:rPr>
          <w:b/>
          <w:lang w:eastAsia="zh-HK"/>
        </w:rPr>
        <w:t>並允宜</w:t>
      </w:r>
      <w:r w:rsidR="00B90FF4" w:rsidRPr="000624C6">
        <w:rPr>
          <w:b/>
          <w:lang w:eastAsia="zh-HK"/>
        </w:rPr>
        <w:t>協同</w:t>
      </w:r>
      <w:proofErr w:type="gramStart"/>
      <w:r w:rsidR="00B90FF4" w:rsidRPr="000624C6">
        <w:rPr>
          <w:b/>
          <w:lang w:eastAsia="zh-HK"/>
        </w:rPr>
        <w:t>勞動部與經濟部</w:t>
      </w:r>
      <w:proofErr w:type="gramEnd"/>
      <w:r w:rsidR="00DE4418" w:rsidRPr="000624C6">
        <w:rPr>
          <w:b/>
          <w:lang w:eastAsia="zh-HK"/>
        </w:rPr>
        <w:t>責請</w:t>
      </w:r>
      <w:r w:rsidR="00D66568" w:rsidRPr="000624C6">
        <w:rPr>
          <w:b/>
          <w:lang w:eastAsia="zh-HK"/>
        </w:rPr>
        <w:t>該等公司</w:t>
      </w:r>
      <w:r w:rsidR="006B5B28" w:rsidRPr="000624C6">
        <w:rPr>
          <w:b/>
          <w:lang w:eastAsia="zh-HK"/>
        </w:rPr>
        <w:t>建立</w:t>
      </w:r>
      <w:r w:rsidR="002B6F54" w:rsidRPr="000624C6">
        <w:rPr>
          <w:b/>
          <w:lang w:eastAsia="zh-HK"/>
        </w:rPr>
        <w:t>經營</w:t>
      </w:r>
      <w:r w:rsidR="00DC329D" w:rsidRPr="000624C6">
        <w:rPr>
          <w:b/>
          <w:lang w:eastAsia="zh-HK"/>
        </w:rPr>
        <w:t>動</w:t>
      </w:r>
      <w:r w:rsidR="00571674" w:rsidRPr="000624C6">
        <w:rPr>
          <w:b/>
          <w:lang w:eastAsia="zh-HK"/>
        </w:rPr>
        <w:t>態即時</w:t>
      </w:r>
      <w:r w:rsidR="00DC329D" w:rsidRPr="000624C6">
        <w:rPr>
          <w:b/>
          <w:lang w:eastAsia="zh-HK"/>
        </w:rPr>
        <w:t>公開機制</w:t>
      </w:r>
      <w:r w:rsidR="006B5B28" w:rsidRPr="000624C6">
        <w:rPr>
          <w:b/>
          <w:lang w:eastAsia="zh-HK"/>
        </w:rPr>
        <w:t>，</w:t>
      </w:r>
      <w:proofErr w:type="gramStart"/>
      <w:r w:rsidR="00B6146A" w:rsidRPr="000624C6">
        <w:rPr>
          <w:b/>
          <w:lang w:eastAsia="zh-HK"/>
        </w:rPr>
        <w:t>俾</w:t>
      </w:r>
      <w:proofErr w:type="gramEnd"/>
      <w:r w:rsidR="00423230" w:rsidRPr="000624C6">
        <w:rPr>
          <w:rFonts w:hint="eastAsia"/>
          <w:b/>
          <w:lang w:eastAsia="zh-HK"/>
        </w:rPr>
        <w:t>防範或</w:t>
      </w:r>
      <w:r w:rsidR="00B6146A" w:rsidRPr="000624C6">
        <w:rPr>
          <w:b/>
          <w:lang w:eastAsia="zh-HK"/>
        </w:rPr>
        <w:t>降低相關利害關係人</w:t>
      </w:r>
      <w:r w:rsidR="00A53214" w:rsidRPr="000624C6">
        <w:rPr>
          <w:b/>
          <w:lang w:eastAsia="zh-HK"/>
        </w:rPr>
        <w:t>損失</w:t>
      </w:r>
      <w:r w:rsidR="00B6146A" w:rsidRPr="000624C6">
        <w:rPr>
          <w:b/>
          <w:lang w:eastAsia="zh-HK"/>
        </w:rPr>
        <w:t>衝擊</w:t>
      </w:r>
      <w:r w:rsidR="00DC329D" w:rsidRPr="000624C6">
        <w:rPr>
          <w:b/>
          <w:lang w:eastAsia="zh-HK"/>
        </w:rPr>
        <w:t>。</w:t>
      </w:r>
    </w:p>
    <w:p w:rsidR="00815B07" w:rsidRPr="000624C6" w:rsidRDefault="00A61B45" w:rsidP="00CF1AA9">
      <w:pPr>
        <w:pStyle w:val="3"/>
        <w:rPr>
          <w:rFonts w:hAnsi="標楷體"/>
        </w:rPr>
      </w:pPr>
      <w:r w:rsidRPr="000624C6">
        <w:rPr>
          <w:rFonts w:hAnsi="標楷體"/>
          <w:lang w:eastAsia="zh-HK"/>
        </w:rPr>
        <w:t>按</w:t>
      </w:r>
      <w:r w:rsidRPr="000624C6">
        <w:rPr>
          <w:rFonts w:hAnsi="標楷體"/>
        </w:rPr>
        <w:t>金管會組織法第11條規定，違反金融法令之重大裁罰措施，該會處分後，應於適當時間內對外公布說明</w:t>
      </w:r>
      <w:r w:rsidR="004F4B26" w:rsidRPr="000624C6">
        <w:rPr>
          <w:rFonts w:hAnsi="標楷體"/>
        </w:rPr>
        <w:t>，</w:t>
      </w:r>
      <w:r w:rsidR="004F4B26" w:rsidRPr="000624C6">
        <w:rPr>
          <w:rFonts w:hAnsi="標楷體"/>
          <w:lang w:eastAsia="zh-HK"/>
        </w:rPr>
        <w:t>據此，</w:t>
      </w:r>
      <w:r w:rsidR="004F4B26" w:rsidRPr="000624C6">
        <w:rPr>
          <w:rFonts w:hAnsi="標楷體"/>
        </w:rPr>
        <w:t>金管會對於公開發行公司所為非重大裁罰及處分措施，</w:t>
      </w:r>
      <w:r w:rsidR="004F4B26" w:rsidRPr="000624C6">
        <w:rPr>
          <w:rFonts w:hAnsi="標楷體"/>
          <w:lang w:eastAsia="zh-HK"/>
        </w:rPr>
        <w:t>並未</w:t>
      </w:r>
      <w:r w:rsidR="004F4B26" w:rsidRPr="000624C6">
        <w:rPr>
          <w:rFonts w:hAnsi="標楷體"/>
        </w:rPr>
        <w:t>公布</w:t>
      </w:r>
      <w:r w:rsidRPr="000624C6">
        <w:rPr>
          <w:rFonts w:hAnsi="標楷體"/>
        </w:rPr>
        <w:t>。</w:t>
      </w:r>
      <w:r w:rsidR="00FB7D33" w:rsidRPr="000624C6">
        <w:rPr>
          <w:rFonts w:hAnsi="標楷體"/>
        </w:rPr>
        <w:t>本院接獲陳訴人陳訴：「</w:t>
      </w:r>
      <w:r w:rsidR="00B24A10" w:rsidRPr="000624C6">
        <w:rPr>
          <w:rFonts w:hAnsi="標楷體"/>
        </w:rPr>
        <w:t>金管</w:t>
      </w:r>
      <w:r w:rsidR="005A2D6B" w:rsidRPr="000624C6">
        <w:rPr>
          <w:rFonts w:hAnsi="標楷體"/>
        </w:rPr>
        <w:t>會108年4月告發大同、華</w:t>
      </w:r>
      <w:r w:rsidR="005A2D6B" w:rsidRPr="000624C6">
        <w:rPr>
          <w:rFonts w:hAnsi="標楷體"/>
          <w:lang w:eastAsia="zh-HK"/>
        </w:rPr>
        <w:t>映公司後</w:t>
      </w:r>
      <w:r w:rsidR="00B24A10" w:rsidRPr="000624C6">
        <w:rPr>
          <w:rFonts w:hAnsi="標楷體"/>
        </w:rPr>
        <w:t>，大同集團上市公司</w:t>
      </w:r>
      <w:r w:rsidR="00B24A10" w:rsidRPr="000624C6">
        <w:rPr>
          <w:rFonts w:hAnsi="標楷體"/>
          <w:lang w:eastAsia="zh-HK"/>
        </w:rPr>
        <w:t>仍持續</w:t>
      </w:r>
      <w:r w:rsidR="00B24A10" w:rsidRPr="000624C6">
        <w:rPr>
          <w:rFonts w:hAnsi="標楷體"/>
        </w:rPr>
        <w:t>隱匿重大訊息，</w:t>
      </w:r>
      <w:r w:rsidR="005A2D6B" w:rsidRPr="000624C6">
        <w:rPr>
          <w:rFonts w:hAnsi="標楷體"/>
          <w:lang w:eastAsia="zh-HK"/>
        </w:rPr>
        <w:t>損及</w:t>
      </w:r>
      <w:r w:rsidR="00B24A10" w:rsidRPr="000624C6">
        <w:rPr>
          <w:rFonts w:hAnsi="標楷體"/>
        </w:rPr>
        <w:t>股東權益</w:t>
      </w:r>
      <w:r w:rsidR="00FB7D33" w:rsidRPr="000624C6">
        <w:rPr>
          <w:rFonts w:hAnsi="標楷體"/>
        </w:rPr>
        <w:t>」等情</w:t>
      </w:r>
      <w:r w:rsidR="00815B07" w:rsidRPr="000624C6">
        <w:rPr>
          <w:rFonts w:hAnsi="標楷體"/>
        </w:rPr>
        <w:t>，經查，金管會</w:t>
      </w:r>
      <w:r w:rsidR="00815B07" w:rsidRPr="000624C6">
        <w:rPr>
          <w:rFonts w:hAnsi="標楷體"/>
          <w:lang w:eastAsia="zh-HK"/>
        </w:rPr>
        <w:t>對大同集團上市公司監理不力，</w:t>
      </w:r>
      <w:r w:rsidR="00815B07" w:rsidRPr="000624C6">
        <w:rPr>
          <w:rFonts w:hAnsi="標楷體"/>
          <w:lang w:eastAsia="zh-HK"/>
        </w:rPr>
        <w:lastRenderedPageBreak/>
        <w:t>致使108年以來該等公司屢有重大訊息揭露、資金貸與、內部控制制度違反金融法令之情事，</w:t>
      </w:r>
      <w:r w:rsidR="00B12C05" w:rsidRPr="000624C6">
        <w:rPr>
          <w:rFonts w:hAnsi="標楷體"/>
          <w:lang w:eastAsia="zh-HK"/>
        </w:rPr>
        <w:t>諸如</w:t>
      </w:r>
      <w:r w:rsidR="000624C6" w:rsidRPr="000624C6">
        <w:rPr>
          <w:rFonts w:hAnsi="標楷體" w:hint="eastAsia"/>
        </w:rPr>
        <w:t>【</w:t>
      </w:r>
      <w:r w:rsidR="000624C6" w:rsidRPr="000624C6">
        <w:rPr>
          <w:rFonts w:hAnsi="標楷體" w:hint="eastAsia"/>
          <w:lang w:eastAsia="zh-HK"/>
        </w:rPr>
        <w:t>省略金管會</w:t>
      </w:r>
      <w:r w:rsidR="000624C6" w:rsidRPr="000624C6">
        <w:rPr>
          <w:rFonts w:hAnsi="標楷體"/>
          <w:lang w:eastAsia="zh-HK"/>
        </w:rPr>
        <w:t>未公布之缺失、異常事項</w:t>
      </w:r>
      <w:r w:rsidR="000624C6" w:rsidRPr="000624C6">
        <w:rPr>
          <w:rFonts w:hAnsi="標楷體" w:hint="eastAsia"/>
          <w:lang w:eastAsia="zh-HK"/>
        </w:rPr>
        <w:t>】</w:t>
      </w:r>
      <w:r w:rsidR="00815B07" w:rsidRPr="000624C6">
        <w:rPr>
          <w:rFonts w:hAnsi="標楷體"/>
          <w:lang w:eastAsia="zh-HK"/>
        </w:rPr>
        <w:t>：</w:t>
      </w:r>
    </w:p>
    <w:p w:rsidR="00815B07" w:rsidRPr="000624C6" w:rsidRDefault="00815B07" w:rsidP="00CF1AA9">
      <w:pPr>
        <w:pStyle w:val="4"/>
        <w:rPr>
          <w:rFonts w:hAnsi="標楷體"/>
          <w:lang w:val="zh-TW"/>
        </w:rPr>
      </w:pPr>
      <w:r w:rsidRPr="000624C6">
        <w:rPr>
          <w:rFonts w:hAnsi="標楷體"/>
          <w:lang w:val="zh-TW"/>
        </w:rPr>
        <w:t>大同公司：</w:t>
      </w:r>
      <w:r w:rsidRPr="000624C6">
        <w:rPr>
          <w:rFonts w:hAnsi="標楷體"/>
          <w:lang w:eastAsia="zh-HK"/>
        </w:rPr>
        <w:t>違反證交所對有價證券上市公司重大訊息之查證暨公開處理程序</w:t>
      </w:r>
      <w:r w:rsidR="002A2464" w:rsidRPr="000624C6">
        <w:rPr>
          <w:rFonts w:hAnsi="標楷體" w:hint="eastAsia"/>
        </w:rPr>
        <w:t>3</w:t>
      </w:r>
      <w:r w:rsidRPr="000624C6">
        <w:rPr>
          <w:rFonts w:hAnsi="標楷體"/>
          <w:lang w:eastAsia="zh-HK"/>
        </w:rPr>
        <w:t>次、違反證券發行人財</w:t>
      </w:r>
      <w:r w:rsidRPr="000624C6">
        <w:rPr>
          <w:rFonts w:hAnsi="標楷體"/>
          <w:lang w:val="zh-TW"/>
        </w:rPr>
        <w:t>務報告編製準則</w:t>
      </w:r>
      <w:r w:rsidR="00D3115A" w:rsidRPr="000624C6">
        <w:rPr>
          <w:rFonts w:hAnsi="標楷體" w:hint="eastAsia"/>
          <w:lang w:val="zh-TW"/>
        </w:rPr>
        <w:t>1</w:t>
      </w:r>
      <w:r w:rsidRPr="000624C6">
        <w:rPr>
          <w:rFonts w:hAnsi="標楷體"/>
          <w:lang w:val="zh-TW"/>
        </w:rPr>
        <w:t>次</w:t>
      </w:r>
      <w:r w:rsidR="00192F23" w:rsidRPr="000624C6">
        <w:rPr>
          <w:rFonts w:hAnsi="標楷體" w:hint="eastAsia"/>
          <w:lang w:val="zh-TW"/>
        </w:rPr>
        <w:t>、</w:t>
      </w:r>
      <w:r w:rsidR="00192F23" w:rsidRPr="000624C6">
        <w:rPr>
          <w:rFonts w:hAnsi="標楷體"/>
          <w:lang w:val="zh-TW"/>
        </w:rPr>
        <w:t>違反</w:t>
      </w:r>
      <w:r w:rsidR="00192F23" w:rsidRPr="000624C6">
        <w:rPr>
          <w:rFonts w:hAnsi="標楷體"/>
        </w:rPr>
        <w:t>公開</w:t>
      </w:r>
      <w:r w:rsidR="00192F23" w:rsidRPr="000624C6">
        <w:rPr>
          <w:rFonts w:hAnsi="標楷體"/>
          <w:lang w:val="zh-TW"/>
        </w:rPr>
        <w:t>發行公司</w:t>
      </w:r>
      <w:r w:rsidR="00192F23" w:rsidRPr="000624C6">
        <w:rPr>
          <w:rFonts w:hAnsi="標楷體"/>
        </w:rPr>
        <w:t>資金貸與及背書保證處理準則</w:t>
      </w:r>
      <w:r w:rsidR="00D3115A" w:rsidRPr="000624C6">
        <w:rPr>
          <w:rFonts w:hAnsi="標楷體" w:hint="eastAsia"/>
        </w:rPr>
        <w:t>1</w:t>
      </w:r>
      <w:r w:rsidR="00192F23" w:rsidRPr="000624C6">
        <w:rPr>
          <w:rFonts w:hAnsi="標楷體"/>
          <w:lang w:eastAsia="zh-HK"/>
        </w:rPr>
        <w:t>次</w:t>
      </w:r>
      <w:r w:rsidR="00D3115A" w:rsidRPr="000624C6">
        <w:rPr>
          <w:rFonts w:hAnsi="標楷體" w:hint="eastAsia"/>
        </w:rPr>
        <w:t>，【</w:t>
      </w:r>
      <w:r w:rsidR="00D3115A" w:rsidRPr="000624C6">
        <w:rPr>
          <w:rFonts w:hAnsi="標楷體" w:hint="eastAsia"/>
          <w:lang w:eastAsia="zh-HK"/>
        </w:rPr>
        <w:t>餘略】</w:t>
      </w:r>
      <w:r w:rsidR="00D3115A" w:rsidRPr="000624C6">
        <w:rPr>
          <w:rFonts w:hAnsi="標楷體"/>
          <w:lang w:eastAsia="zh-HK"/>
        </w:rPr>
        <w:t>。</w:t>
      </w:r>
    </w:p>
    <w:p w:rsidR="00815B07" w:rsidRPr="000624C6" w:rsidRDefault="00815B07" w:rsidP="00CF1AA9">
      <w:pPr>
        <w:pStyle w:val="4"/>
        <w:rPr>
          <w:rFonts w:hAnsi="標楷體"/>
          <w:lang w:val="zh-TW"/>
        </w:rPr>
      </w:pPr>
      <w:r w:rsidRPr="000624C6">
        <w:rPr>
          <w:rFonts w:hAnsi="標楷體"/>
          <w:lang w:val="zh-TW"/>
        </w:rPr>
        <w:t>華映公司：</w:t>
      </w:r>
      <w:r w:rsidR="00A61B45" w:rsidRPr="000624C6">
        <w:rPr>
          <w:rFonts w:hAnsi="標楷體"/>
          <w:lang w:val="zh-TW"/>
        </w:rPr>
        <w:t>違反證券交易法（</w:t>
      </w:r>
      <w:r w:rsidR="000E6290" w:rsidRPr="000624C6">
        <w:rPr>
          <w:rFonts w:hAnsi="標楷體"/>
          <w:lang w:val="zh-TW"/>
        </w:rPr>
        <w:t>第178條第1項第4款</w:t>
      </w:r>
      <w:r w:rsidR="00A61B45" w:rsidRPr="000624C6">
        <w:rPr>
          <w:rFonts w:hAnsi="標楷體"/>
          <w:lang w:val="zh-TW"/>
        </w:rPr>
        <w:t>）1次、</w:t>
      </w:r>
      <w:r w:rsidRPr="000624C6">
        <w:rPr>
          <w:rFonts w:hAnsi="標楷體"/>
          <w:lang w:val="zh-TW"/>
        </w:rPr>
        <w:t>違反證交所對有價證券上市公司重大訊息之查證暨公開處理程序</w:t>
      </w:r>
      <w:r w:rsidR="002A2464" w:rsidRPr="000624C6">
        <w:rPr>
          <w:rFonts w:hAnsi="標楷體" w:hint="eastAsia"/>
          <w:lang w:val="zh-TW"/>
        </w:rPr>
        <w:t>1</w:t>
      </w:r>
      <w:r w:rsidRPr="000624C6">
        <w:rPr>
          <w:rFonts w:hAnsi="標楷體"/>
          <w:lang w:eastAsia="zh-HK"/>
        </w:rPr>
        <w:t>次、</w:t>
      </w:r>
      <w:r w:rsidRPr="000624C6">
        <w:rPr>
          <w:rFonts w:hAnsi="標楷體"/>
          <w:lang w:val="zh-TW"/>
        </w:rPr>
        <w:t>違反證券發行人財務報告編製準則</w:t>
      </w:r>
      <w:r w:rsidR="004D7B40" w:rsidRPr="000624C6">
        <w:rPr>
          <w:rFonts w:hAnsi="標楷體" w:hint="eastAsia"/>
          <w:lang w:val="zh-TW"/>
        </w:rPr>
        <w:t>1</w:t>
      </w:r>
      <w:r w:rsidRPr="000624C6">
        <w:rPr>
          <w:rFonts w:hAnsi="標楷體"/>
          <w:lang w:eastAsia="zh-HK"/>
        </w:rPr>
        <w:t>次</w:t>
      </w:r>
      <w:r w:rsidR="004D7B40" w:rsidRPr="000624C6">
        <w:rPr>
          <w:rFonts w:hAnsi="標楷體" w:hint="eastAsia"/>
        </w:rPr>
        <w:t>，【</w:t>
      </w:r>
      <w:r w:rsidR="004D7B40" w:rsidRPr="000624C6">
        <w:rPr>
          <w:rFonts w:hAnsi="標楷體" w:hint="eastAsia"/>
          <w:lang w:eastAsia="zh-HK"/>
        </w:rPr>
        <w:t>餘略】</w:t>
      </w:r>
      <w:r w:rsidRPr="000624C6">
        <w:rPr>
          <w:rFonts w:hAnsi="標楷體"/>
          <w:lang w:eastAsia="zh-HK"/>
        </w:rPr>
        <w:t>。</w:t>
      </w:r>
    </w:p>
    <w:p w:rsidR="00815B07" w:rsidRPr="000624C6" w:rsidRDefault="00815B07" w:rsidP="00CF1AA9">
      <w:pPr>
        <w:pStyle w:val="4"/>
        <w:rPr>
          <w:rFonts w:hAnsi="標楷體"/>
          <w:lang w:val="zh-TW"/>
        </w:rPr>
      </w:pPr>
      <w:r w:rsidRPr="000624C6">
        <w:rPr>
          <w:rFonts w:hAnsi="標楷體"/>
          <w:lang w:val="zh-TW"/>
        </w:rPr>
        <w:t>尚志半導體股份有限公司：違反證交所對有價證券上市公司重大訊息之查證暨公開處理程序</w:t>
      </w:r>
      <w:r w:rsidRPr="000624C6">
        <w:rPr>
          <w:rFonts w:hAnsi="標楷體"/>
          <w:lang w:val="zh-TW" w:eastAsia="zh-HK"/>
        </w:rPr>
        <w:t>1次。</w:t>
      </w:r>
    </w:p>
    <w:p w:rsidR="00815B07" w:rsidRPr="000624C6" w:rsidRDefault="00815B07" w:rsidP="00CF1AA9">
      <w:pPr>
        <w:pStyle w:val="4"/>
        <w:rPr>
          <w:rFonts w:hAnsi="標楷體"/>
          <w:lang w:val="zh-TW"/>
        </w:rPr>
      </w:pPr>
      <w:r w:rsidRPr="000624C6">
        <w:rPr>
          <w:rFonts w:hAnsi="標楷體"/>
        </w:rPr>
        <w:t>尚志資產開發股份有限公司</w:t>
      </w:r>
      <w:r w:rsidRPr="000624C6">
        <w:rPr>
          <w:rFonts w:hAnsi="標楷體"/>
          <w:lang w:val="zh-TW"/>
        </w:rPr>
        <w:t>：</w:t>
      </w:r>
      <w:r w:rsidR="008E3790" w:rsidRPr="000624C6">
        <w:rPr>
          <w:rFonts w:hAnsi="標楷體" w:hint="eastAsia"/>
        </w:rPr>
        <w:t>【</w:t>
      </w:r>
      <w:r w:rsidR="008E3790" w:rsidRPr="000624C6">
        <w:rPr>
          <w:rFonts w:hAnsi="標楷體" w:hint="eastAsia"/>
          <w:lang w:eastAsia="zh-HK"/>
        </w:rPr>
        <w:t>略】</w:t>
      </w:r>
      <w:r w:rsidR="008E3790" w:rsidRPr="000624C6">
        <w:rPr>
          <w:rFonts w:hAnsi="標楷體"/>
          <w:lang w:val="zh-TW" w:eastAsia="zh-HK"/>
        </w:rPr>
        <w:t>。</w:t>
      </w:r>
    </w:p>
    <w:p w:rsidR="00815B07" w:rsidRPr="000624C6" w:rsidRDefault="00815B07" w:rsidP="00CF1AA9">
      <w:pPr>
        <w:pStyle w:val="4"/>
        <w:rPr>
          <w:rFonts w:hAnsi="標楷體"/>
        </w:rPr>
      </w:pPr>
      <w:proofErr w:type="gramStart"/>
      <w:r w:rsidRPr="000624C6">
        <w:rPr>
          <w:rFonts w:hAnsi="標楷體"/>
          <w:lang w:eastAsia="zh-HK"/>
        </w:rPr>
        <w:t>綠能公司</w:t>
      </w:r>
      <w:proofErr w:type="gramEnd"/>
      <w:r w:rsidRPr="000624C6">
        <w:rPr>
          <w:rFonts w:hAnsi="標楷體"/>
          <w:lang w:val="zh-TW"/>
        </w:rPr>
        <w:t>：</w:t>
      </w:r>
      <w:r w:rsidR="00A61B45" w:rsidRPr="000624C6">
        <w:rPr>
          <w:rFonts w:hAnsi="標楷體"/>
          <w:lang w:val="zh-TW"/>
        </w:rPr>
        <w:t>違反證券交易法（</w:t>
      </w:r>
      <w:r w:rsidR="000E6290" w:rsidRPr="000624C6">
        <w:rPr>
          <w:rFonts w:hAnsi="標楷體"/>
          <w:lang w:val="zh-TW"/>
        </w:rPr>
        <w:t>第178條第1項第4款</w:t>
      </w:r>
      <w:r w:rsidR="00A61B45" w:rsidRPr="000624C6">
        <w:rPr>
          <w:rFonts w:hAnsi="標楷體"/>
          <w:lang w:val="zh-TW"/>
        </w:rPr>
        <w:t>）1次</w:t>
      </w:r>
      <w:r w:rsidR="004D7B40" w:rsidRPr="000624C6">
        <w:rPr>
          <w:rFonts w:hAnsi="標楷體" w:hint="eastAsia"/>
        </w:rPr>
        <w:t>，【</w:t>
      </w:r>
      <w:r w:rsidR="004D7B40" w:rsidRPr="000624C6">
        <w:rPr>
          <w:rFonts w:hAnsi="標楷體" w:hint="eastAsia"/>
          <w:lang w:eastAsia="zh-HK"/>
        </w:rPr>
        <w:t>餘略】</w:t>
      </w:r>
      <w:r w:rsidR="004D7B40" w:rsidRPr="000624C6">
        <w:rPr>
          <w:rFonts w:hAnsi="標楷體" w:hint="eastAsia"/>
        </w:rPr>
        <w:t>。</w:t>
      </w:r>
    </w:p>
    <w:p w:rsidR="00B12C05" w:rsidRPr="000624C6" w:rsidRDefault="00B12C05" w:rsidP="00CF1AA9">
      <w:pPr>
        <w:pStyle w:val="4"/>
        <w:rPr>
          <w:rFonts w:hAnsi="標楷體"/>
        </w:rPr>
      </w:pPr>
      <w:r w:rsidRPr="000624C6">
        <w:rPr>
          <w:rFonts w:hAnsi="標楷體"/>
        </w:rPr>
        <w:t>台北工業公司：</w:t>
      </w:r>
      <w:r w:rsidR="00D40792" w:rsidRPr="000624C6">
        <w:rPr>
          <w:rFonts w:hAnsi="標楷體" w:hint="eastAsia"/>
        </w:rPr>
        <w:t>【</w:t>
      </w:r>
      <w:r w:rsidR="00D40792" w:rsidRPr="000624C6">
        <w:rPr>
          <w:rFonts w:hAnsi="標楷體" w:hint="eastAsia"/>
          <w:lang w:eastAsia="zh-HK"/>
        </w:rPr>
        <w:t>略】</w:t>
      </w:r>
      <w:r w:rsidRPr="000624C6">
        <w:rPr>
          <w:rFonts w:hAnsi="標楷體"/>
          <w:lang w:val="zh-TW" w:eastAsia="zh-HK"/>
        </w:rPr>
        <w:t>。</w:t>
      </w:r>
    </w:p>
    <w:p w:rsidR="00AC3563" w:rsidRPr="000624C6" w:rsidRDefault="00815B07" w:rsidP="00CF1AA9">
      <w:pPr>
        <w:pStyle w:val="3"/>
        <w:numPr>
          <w:ilvl w:val="2"/>
          <w:numId w:val="13"/>
        </w:numPr>
        <w:rPr>
          <w:rFonts w:hAnsi="標楷體"/>
        </w:rPr>
      </w:pPr>
      <w:r w:rsidRPr="000624C6">
        <w:rPr>
          <w:rFonts w:hAnsi="標楷體"/>
          <w:lang w:eastAsia="zh-HK"/>
        </w:rPr>
        <w:t>次</w:t>
      </w:r>
      <w:r w:rsidR="003E7510" w:rsidRPr="000624C6">
        <w:rPr>
          <w:rFonts w:hAnsi="標楷體"/>
          <w:lang w:eastAsia="zh-HK"/>
        </w:rPr>
        <w:t>查，</w:t>
      </w:r>
      <w:r w:rsidR="00995BF7" w:rsidRPr="000624C6">
        <w:rPr>
          <w:rFonts w:hAnsi="標楷體"/>
          <w:lang w:eastAsia="zh-HK"/>
        </w:rPr>
        <w:t>華映公司依據公司法</w:t>
      </w:r>
      <w:r w:rsidR="00995BF7" w:rsidRPr="000624C6">
        <w:rPr>
          <w:rFonts w:hAnsi="標楷體"/>
        </w:rPr>
        <w:t>於107年12月13日向法院聲請</w:t>
      </w:r>
      <w:r w:rsidR="00995BF7" w:rsidRPr="000624C6">
        <w:rPr>
          <w:rFonts w:hAnsi="標楷體"/>
          <w:lang w:eastAsia="zh-HK"/>
        </w:rPr>
        <w:t>重整，經濟部准予綠能公司自108年8月30日解散，</w:t>
      </w:r>
      <w:r w:rsidR="00B0157B" w:rsidRPr="000624C6">
        <w:rPr>
          <w:rFonts w:hAnsi="標楷體"/>
          <w:lang w:eastAsia="zh-HK"/>
        </w:rPr>
        <w:t>截至109年</w:t>
      </w:r>
      <w:r w:rsidR="00912BEC" w:rsidRPr="000624C6">
        <w:rPr>
          <w:rFonts w:hAnsi="標楷體"/>
          <w:lang w:eastAsia="zh-HK"/>
        </w:rPr>
        <w:t>1月底</w:t>
      </w:r>
      <w:r w:rsidR="00B0157B" w:rsidRPr="000624C6">
        <w:rPr>
          <w:rFonts w:hAnsi="標楷體"/>
          <w:lang w:eastAsia="zh-HK"/>
        </w:rPr>
        <w:t>止，華映公司辦理資遣通報人數計3,399人</w:t>
      </w:r>
      <w:r w:rsidR="002B6F54" w:rsidRPr="000624C6">
        <w:rPr>
          <w:rFonts w:hAnsi="標楷體"/>
          <w:szCs w:val="32"/>
        </w:rPr>
        <w:t>、</w:t>
      </w:r>
      <w:proofErr w:type="gramStart"/>
      <w:r w:rsidR="00B0157B" w:rsidRPr="000624C6">
        <w:rPr>
          <w:rFonts w:hAnsi="標楷體"/>
          <w:szCs w:val="32"/>
        </w:rPr>
        <w:t>綠能公司</w:t>
      </w:r>
      <w:proofErr w:type="gramEnd"/>
      <w:r w:rsidR="00B0157B" w:rsidRPr="000624C6">
        <w:rPr>
          <w:rFonts w:hAnsi="標楷體"/>
          <w:szCs w:val="32"/>
        </w:rPr>
        <w:t>南科廠計204</w:t>
      </w:r>
      <w:r w:rsidR="002B6F54" w:rsidRPr="000624C6">
        <w:rPr>
          <w:rFonts w:hAnsi="標楷體"/>
          <w:szCs w:val="32"/>
        </w:rPr>
        <w:t>人、</w:t>
      </w:r>
      <w:proofErr w:type="gramStart"/>
      <w:r w:rsidR="00B0157B" w:rsidRPr="000624C6">
        <w:rPr>
          <w:rFonts w:hAnsi="標楷體"/>
          <w:szCs w:val="32"/>
        </w:rPr>
        <w:t>綠能公司</w:t>
      </w:r>
      <w:proofErr w:type="gramEnd"/>
      <w:r w:rsidR="00B0157B" w:rsidRPr="000624C6">
        <w:rPr>
          <w:rFonts w:hAnsi="標楷體"/>
          <w:szCs w:val="32"/>
        </w:rPr>
        <w:t>桃園廠計273人</w:t>
      </w:r>
      <w:r w:rsidR="002B6F54" w:rsidRPr="000624C6">
        <w:rPr>
          <w:rFonts w:hAnsi="標楷體"/>
          <w:szCs w:val="32"/>
        </w:rPr>
        <w:t>，</w:t>
      </w:r>
      <w:r w:rsidRPr="000624C6">
        <w:rPr>
          <w:rFonts w:hAnsi="標楷體"/>
          <w:szCs w:val="32"/>
        </w:rPr>
        <w:t>共影響3,876名被資遣員工之家庭生計</w:t>
      </w:r>
      <w:r w:rsidR="00673CD6" w:rsidRPr="000624C6">
        <w:rPr>
          <w:rFonts w:hAnsi="標楷體"/>
          <w:szCs w:val="32"/>
        </w:rPr>
        <w:t>，</w:t>
      </w:r>
      <w:r w:rsidR="000C4114" w:rsidRPr="000624C6">
        <w:rPr>
          <w:rFonts w:hAnsi="標楷體"/>
          <w:szCs w:val="32"/>
        </w:rPr>
        <w:t>勞動部</w:t>
      </w:r>
      <w:r w:rsidR="00B15156" w:rsidRPr="000624C6">
        <w:rPr>
          <w:rFonts w:hAnsi="標楷體"/>
          <w:szCs w:val="32"/>
        </w:rPr>
        <w:t>勞工保險局</w:t>
      </w:r>
      <w:r w:rsidRPr="000624C6">
        <w:rPr>
          <w:rFonts w:hAnsi="標楷體"/>
          <w:szCs w:val="32"/>
          <w:lang w:eastAsia="zh-HK"/>
        </w:rPr>
        <w:t>已分別</w:t>
      </w:r>
      <w:r w:rsidR="000C4114" w:rsidRPr="000624C6">
        <w:rPr>
          <w:rFonts w:hAnsi="標楷體"/>
          <w:szCs w:val="32"/>
        </w:rPr>
        <w:t>核定</w:t>
      </w:r>
      <w:r w:rsidRPr="000624C6">
        <w:rPr>
          <w:rFonts w:hAnsi="標楷體"/>
          <w:szCs w:val="32"/>
        </w:rPr>
        <w:t>華映公司</w:t>
      </w:r>
      <w:r w:rsidR="000C4114" w:rsidRPr="000624C6">
        <w:rPr>
          <w:rFonts w:hAnsi="標楷體"/>
          <w:szCs w:val="32"/>
        </w:rPr>
        <w:t>1,902名員工</w:t>
      </w:r>
      <w:r w:rsidRPr="000624C6">
        <w:rPr>
          <w:rFonts w:hAnsi="標楷體"/>
          <w:szCs w:val="32"/>
        </w:rPr>
        <w:t>、</w:t>
      </w:r>
      <w:proofErr w:type="gramStart"/>
      <w:r w:rsidRPr="000624C6">
        <w:rPr>
          <w:rFonts w:hAnsi="標楷體"/>
          <w:szCs w:val="32"/>
        </w:rPr>
        <w:t>綠能公司</w:t>
      </w:r>
      <w:proofErr w:type="gramEnd"/>
      <w:r w:rsidRPr="000624C6">
        <w:rPr>
          <w:rFonts w:hAnsi="標楷體"/>
          <w:szCs w:val="32"/>
        </w:rPr>
        <w:t>320名員工</w:t>
      </w:r>
      <w:r w:rsidR="000C4114" w:rsidRPr="000624C6">
        <w:rPr>
          <w:rFonts w:hAnsi="標楷體"/>
          <w:szCs w:val="32"/>
        </w:rPr>
        <w:t>申請</w:t>
      </w:r>
      <w:r w:rsidR="00AF1162" w:rsidRPr="000624C6">
        <w:rPr>
          <w:rFonts w:hAnsi="標楷體"/>
          <w:szCs w:val="32"/>
        </w:rPr>
        <w:t>墊償</w:t>
      </w:r>
      <w:r w:rsidRPr="000624C6">
        <w:rPr>
          <w:rFonts w:hAnsi="標楷體"/>
          <w:szCs w:val="32"/>
        </w:rPr>
        <w:t>，</w:t>
      </w:r>
      <w:r w:rsidR="00AF1162" w:rsidRPr="000624C6">
        <w:rPr>
          <w:rFonts w:hAnsi="標楷體"/>
          <w:szCs w:val="32"/>
        </w:rPr>
        <w:t>墊償金額</w:t>
      </w:r>
      <w:r w:rsidR="002978BF" w:rsidRPr="000624C6">
        <w:rPr>
          <w:rFonts w:hAnsi="標楷體"/>
          <w:szCs w:val="32"/>
        </w:rPr>
        <w:t>合計</w:t>
      </w:r>
      <w:r w:rsidRPr="000624C6">
        <w:rPr>
          <w:rFonts w:hAnsi="標楷體"/>
          <w:szCs w:val="32"/>
        </w:rPr>
        <w:t>868,630,197元。</w:t>
      </w:r>
      <w:proofErr w:type="gramStart"/>
      <w:r w:rsidRPr="000624C6">
        <w:rPr>
          <w:rFonts w:hAnsi="標楷體"/>
          <w:szCs w:val="32"/>
          <w:lang w:eastAsia="zh-HK"/>
        </w:rPr>
        <w:t>此外，</w:t>
      </w:r>
      <w:proofErr w:type="gramEnd"/>
      <w:r w:rsidR="00B15156" w:rsidRPr="000624C6">
        <w:rPr>
          <w:rFonts w:hAnsi="標楷體"/>
        </w:rPr>
        <w:t>勞動部勞動力發展署</w:t>
      </w:r>
      <w:r w:rsidR="00AC3563" w:rsidRPr="000624C6">
        <w:rPr>
          <w:rFonts w:hAnsi="標楷體"/>
        </w:rPr>
        <w:t>自華映</w:t>
      </w:r>
      <w:r w:rsidR="00B15156" w:rsidRPr="000624C6">
        <w:rPr>
          <w:rFonts w:hAnsi="標楷體"/>
        </w:rPr>
        <w:t>、</w:t>
      </w:r>
      <w:proofErr w:type="gramStart"/>
      <w:r w:rsidR="00B15156" w:rsidRPr="000624C6">
        <w:rPr>
          <w:rFonts w:hAnsi="標楷體"/>
          <w:szCs w:val="32"/>
        </w:rPr>
        <w:t>綠能</w:t>
      </w:r>
      <w:r w:rsidR="00AC3563" w:rsidRPr="000624C6">
        <w:rPr>
          <w:rFonts w:hAnsi="標楷體"/>
        </w:rPr>
        <w:t>公司</w:t>
      </w:r>
      <w:proofErr w:type="gramEnd"/>
      <w:r w:rsidR="00AC3563" w:rsidRPr="000624C6">
        <w:rPr>
          <w:rFonts w:hAnsi="標楷體"/>
        </w:rPr>
        <w:t>員工離職前</w:t>
      </w:r>
      <w:r w:rsidR="00AC3563" w:rsidRPr="000624C6">
        <w:rPr>
          <w:rFonts w:hAnsi="標楷體"/>
          <w:lang w:eastAsia="zh-HK"/>
        </w:rPr>
        <w:t>以來</w:t>
      </w:r>
      <w:r w:rsidR="00B15156" w:rsidRPr="000624C6">
        <w:rPr>
          <w:rFonts w:hAnsi="標楷體"/>
        </w:rPr>
        <w:t>，持續辦理就業服務資源說明會、</w:t>
      </w:r>
      <w:r w:rsidR="00AC3563" w:rsidRPr="000624C6">
        <w:rPr>
          <w:rFonts w:hAnsi="標楷體"/>
        </w:rPr>
        <w:t>徵才媒合活動，</w:t>
      </w:r>
      <w:r w:rsidR="00B15156" w:rsidRPr="000624C6">
        <w:rPr>
          <w:rFonts w:hAnsi="標楷體"/>
          <w:lang w:eastAsia="zh-HK"/>
        </w:rPr>
        <w:t>且</w:t>
      </w:r>
      <w:r w:rsidR="00B15156" w:rsidRPr="000624C6">
        <w:rPr>
          <w:rFonts w:hAnsi="標楷體"/>
        </w:rPr>
        <w:t>透過就業服務中心追蹤</w:t>
      </w:r>
      <w:r w:rsidR="00B15156" w:rsidRPr="000624C6">
        <w:rPr>
          <w:rFonts w:hAnsi="標楷體"/>
          <w:lang w:eastAsia="zh-HK"/>
        </w:rPr>
        <w:t>與</w:t>
      </w:r>
      <w:r w:rsidR="00B15156" w:rsidRPr="000624C6">
        <w:rPr>
          <w:rFonts w:hAnsi="標楷體"/>
        </w:rPr>
        <w:t>關懷，並依個人需求提供輔導，</w:t>
      </w:r>
      <w:r w:rsidR="00B15156" w:rsidRPr="000624C6">
        <w:rPr>
          <w:rFonts w:hAnsi="標楷體"/>
          <w:lang w:eastAsia="zh-HK"/>
        </w:rPr>
        <w:t>以</w:t>
      </w:r>
      <w:r w:rsidR="00B15156" w:rsidRPr="000624C6">
        <w:rPr>
          <w:rFonts w:hAnsi="標楷體"/>
        </w:rPr>
        <w:t>及</w:t>
      </w:r>
      <w:r w:rsidR="00B15156" w:rsidRPr="000624C6">
        <w:rPr>
          <w:rFonts w:hAnsi="標楷體"/>
          <w:szCs w:val="32"/>
        </w:rPr>
        <w:t>辦理各項職業訓練措施，積極協助失業勞工再就</w:t>
      </w:r>
      <w:r w:rsidR="00B15156" w:rsidRPr="000624C6">
        <w:rPr>
          <w:rFonts w:hAnsi="標楷體"/>
          <w:szCs w:val="32"/>
        </w:rPr>
        <w:lastRenderedPageBreak/>
        <w:t>業。</w:t>
      </w:r>
    </w:p>
    <w:p w:rsidR="00215B11" w:rsidRPr="000624C6" w:rsidRDefault="006D7F12" w:rsidP="00CF1AA9">
      <w:pPr>
        <w:pStyle w:val="3"/>
        <w:numPr>
          <w:ilvl w:val="2"/>
          <w:numId w:val="13"/>
        </w:numPr>
        <w:rPr>
          <w:rFonts w:hAnsi="標楷體"/>
        </w:rPr>
      </w:pPr>
      <w:r w:rsidRPr="000624C6">
        <w:rPr>
          <w:rFonts w:hAnsi="標楷體"/>
          <w:szCs w:val="32"/>
          <w:lang w:eastAsia="zh-HK"/>
        </w:rPr>
        <w:t>另透過以下</w:t>
      </w:r>
      <w:r w:rsidR="00215B11" w:rsidRPr="000624C6">
        <w:rPr>
          <w:rFonts w:hAnsi="標楷體"/>
          <w:lang w:eastAsia="zh-HK"/>
        </w:rPr>
        <w:t>經濟部</w:t>
      </w:r>
      <w:r w:rsidR="007830BE" w:rsidRPr="000624C6">
        <w:rPr>
          <w:rFonts w:hAnsi="標楷體"/>
          <w:lang w:eastAsia="zh-HK"/>
        </w:rPr>
        <w:t>對</w:t>
      </w:r>
      <w:r w:rsidR="00215B11" w:rsidRPr="000624C6">
        <w:rPr>
          <w:rFonts w:hAnsi="標楷體"/>
          <w:szCs w:val="32"/>
        </w:rPr>
        <w:t>華映、</w:t>
      </w:r>
      <w:proofErr w:type="gramStart"/>
      <w:r w:rsidR="00215B11" w:rsidRPr="000624C6">
        <w:rPr>
          <w:rFonts w:hAnsi="標楷體"/>
          <w:szCs w:val="32"/>
          <w:lang w:eastAsia="zh-HK"/>
        </w:rPr>
        <w:t>綠能</w:t>
      </w:r>
      <w:r w:rsidR="00215B11" w:rsidRPr="000624C6">
        <w:rPr>
          <w:rFonts w:hAnsi="標楷體"/>
          <w:szCs w:val="32"/>
        </w:rPr>
        <w:t>公司</w:t>
      </w:r>
      <w:proofErr w:type="gramEnd"/>
      <w:r w:rsidR="00995BF7" w:rsidRPr="000624C6">
        <w:rPr>
          <w:rFonts w:hAnsi="標楷體"/>
          <w:szCs w:val="32"/>
          <w:lang w:eastAsia="zh-HK"/>
        </w:rPr>
        <w:t>行政</w:t>
      </w:r>
      <w:r w:rsidR="00215B11" w:rsidRPr="000624C6">
        <w:rPr>
          <w:rFonts w:hAnsi="標楷體"/>
          <w:lang w:eastAsia="zh-HK"/>
        </w:rPr>
        <w:t>協處</w:t>
      </w:r>
      <w:r w:rsidR="007830BE" w:rsidRPr="000624C6">
        <w:rPr>
          <w:rFonts w:hAnsi="標楷體"/>
          <w:lang w:eastAsia="zh-HK"/>
        </w:rPr>
        <w:t>過程得知</w:t>
      </w:r>
      <w:r w:rsidR="007830BE" w:rsidRPr="000624C6">
        <w:rPr>
          <w:rFonts w:hAnsi="標楷體"/>
        </w:rPr>
        <w:t>，</w:t>
      </w:r>
      <w:r w:rsidR="007830BE" w:rsidRPr="000624C6">
        <w:rPr>
          <w:rFonts w:hAnsi="標楷體"/>
          <w:szCs w:val="48"/>
          <w:lang w:eastAsia="zh-HK"/>
        </w:rPr>
        <w:t>華映公司申請重整</w:t>
      </w:r>
      <w:proofErr w:type="gramStart"/>
      <w:r w:rsidR="007830BE" w:rsidRPr="000624C6">
        <w:rPr>
          <w:rFonts w:hAnsi="標楷體"/>
          <w:szCs w:val="48"/>
          <w:lang w:eastAsia="zh-HK"/>
        </w:rPr>
        <w:t>與綠能公司</w:t>
      </w:r>
      <w:proofErr w:type="gramEnd"/>
      <w:r w:rsidR="007830BE" w:rsidRPr="000624C6">
        <w:rPr>
          <w:rFonts w:hAnsi="標楷體"/>
          <w:szCs w:val="48"/>
          <w:lang w:eastAsia="zh-HK"/>
        </w:rPr>
        <w:t>解散，已影響</w:t>
      </w:r>
      <w:r w:rsidR="003E28EC" w:rsidRPr="000624C6">
        <w:rPr>
          <w:rFonts w:hAnsi="標楷體"/>
          <w:szCs w:val="48"/>
          <w:lang w:eastAsia="zh-HK"/>
        </w:rPr>
        <w:t>上、下游業者及</w:t>
      </w:r>
      <w:r w:rsidR="007830BE" w:rsidRPr="000624C6">
        <w:rPr>
          <w:rFonts w:hAnsi="標楷體"/>
          <w:szCs w:val="48"/>
          <w:lang w:eastAsia="zh-HK"/>
        </w:rPr>
        <w:t>債權銀行之正常營運</w:t>
      </w:r>
      <w:r w:rsidR="00215B11" w:rsidRPr="000624C6">
        <w:rPr>
          <w:rFonts w:hAnsi="標楷體"/>
        </w:rPr>
        <w:t>：</w:t>
      </w:r>
    </w:p>
    <w:p w:rsidR="00995BF7" w:rsidRPr="000624C6" w:rsidRDefault="00215B11" w:rsidP="00CF1AA9">
      <w:pPr>
        <w:pStyle w:val="4"/>
        <w:numPr>
          <w:ilvl w:val="3"/>
          <w:numId w:val="13"/>
        </w:numPr>
        <w:rPr>
          <w:rFonts w:hAnsi="標楷體"/>
          <w:bCs/>
          <w:lang w:eastAsia="zh-HK"/>
        </w:rPr>
      </w:pPr>
      <w:r w:rsidRPr="000624C6">
        <w:rPr>
          <w:rFonts w:hAnsi="標楷體"/>
          <w:lang w:eastAsia="zh-HK"/>
        </w:rPr>
        <w:t>華映公司部</w:t>
      </w:r>
      <w:r w:rsidR="00995BF7" w:rsidRPr="000624C6">
        <w:rPr>
          <w:rFonts w:hAnsi="標楷體"/>
          <w:lang w:eastAsia="zh-HK"/>
        </w:rPr>
        <w:t>分</w:t>
      </w:r>
    </w:p>
    <w:p w:rsidR="00215B11" w:rsidRPr="000624C6" w:rsidRDefault="00215B11" w:rsidP="00CF1AA9">
      <w:pPr>
        <w:pStyle w:val="5"/>
        <w:rPr>
          <w:rFonts w:hAnsi="標楷體"/>
        </w:rPr>
      </w:pPr>
      <w:r w:rsidRPr="000624C6">
        <w:rPr>
          <w:rFonts w:hAnsi="標楷體"/>
          <w:lang w:eastAsia="zh-HK"/>
        </w:rPr>
        <w:t>108年1月8日台灣松下電器</w:t>
      </w:r>
      <w:r w:rsidR="0002260A" w:rsidRPr="000624C6">
        <w:rPr>
          <w:rFonts w:hAnsi="標楷體"/>
          <w:lang w:eastAsia="zh-HK"/>
        </w:rPr>
        <w:t>股份有限公司</w:t>
      </w:r>
      <w:r w:rsidRPr="000624C6">
        <w:rPr>
          <w:rFonts w:hAnsi="標楷體"/>
          <w:lang w:eastAsia="zh-HK"/>
        </w:rPr>
        <w:t>表示，</w:t>
      </w:r>
      <w:r w:rsidR="00500E5A" w:rsidRPr="000624C6">
        <w:rPr>
          <w:rFonts w:hAnsi="標楷體"/>
          <w:lang w:eastAsia="zh-HK"/>
        </w:rPr>
        <w:t>華映公司</w:t>
      </w:r>
      <w:r w:rsidRPr="000624C6">
        <w:rPr>
          <w:rFonts w:hAnsi="標楷體"/>
          <w:lang w:eastAsia="zh-HK"/>
        </w:rPr>
        <w:t>每年約供應公司車載面</w:t>
      </w:r>
      <w:r w:rsidRPr="000624C6">
        <w:rPr>
          <w:rFonts w:hAnsi="標楷體"/>
        </w:rPr>
        <w:t>板約1,300萬片，金額達4,000萬美元，且車載面板需經6至9個月的驗證時間，短期難尋覓替代廠，如</w:t>
      </w:r>
      <w:r w:rsidR="00500E5A" w:rsidRPr="000624C6">
        <w:rPr>
          <w:rFonts w:hAnsi="標楷體"/>
        </w:rPr>
        <w:t>華映公司</w:t>
      </w:r>
      <w:r w:rsidR="006D7F12" w:rsidRPr="000624C6">
        <w:rPr>
          <w:rFonts w:hAnsi="標楷體"/>
        </w:rPr>
        <w:t>因重整案導致交貨不及，可能進一步影響</w:t>
      </w:r>
      <w:r w:rsidR="006D2F93" w:rsidRPr="000624C6">
        <w:rPr>
          <w:rFonts w:hAnsi="標楷體"/>
          <w:lang w:eastAsia="zh-HK"/>
        </w:rPr>
        <w:t>該</w:t>
      </w:r>
      <w:r w:rsidR="006D7F12" w:rsidRPr="000624C6">
        <w:rPr>
          <w:rFonts w:hAnsi="標楷體"/>
        </w:rPr>
        <w:t>公司車載面板業務營運，</w:t>
      </w:r>
      <w:r w:rsidRPr="000624C6">
        <w:rPr>
          <w:rFonts w:hAnsi="標楷體"/>
        </w:rPr>
        <w:t>故希望</w:t>
      </w:r>
      <w:r w:rsidR="00500E5A" w:rsidRPr="000624C6">
        <w:rPr>
          <w:rFonts w:hAnsi="標楷體"/>
        </w:rPr>
        <w:t>華映公司</w:t>
      </w:r>
      <w:r w:rsidRPr="000624C6">
        <w:rPr>
          <w:rFonts w:hAnsi="標楷體"/>
        </w:rPr>
        <w:t>儘快順利重生並正常供貨。</w:t>
      </w:r>
    </w:p>
    <w:p w:rsidR="00215B11" w:rsidRPr="000624C6" w:rsidRDefault="00215B11" w:rsidP="00CF1AA9">
      <w:pPr>
        <w:pStyle w:val="5"/>
        <w:rPr>
          <w:rFonts w:hAnsi="標楷體"/>
          <w:szCs w:val="28"/>
        </w:rPr>
      </w:pPr>
      <w:r w:rsidRPr="000624C6">
        <w:rPr>
          <w:rFonts w:hAnsi="標楷體"/>
          <w:lang w:eastAsia="zh-HK"/>
        </w:rPr>
        <w:t>108年1月15日</w:t>
      </w:r>
      <w:r w:rsidR="00500E5A" w:rsidRPr="000624C6">
        <w:rPr>
          <w:rFonts w:hAnsi="標楷體"/>
          <w:lang w:eastAsia="zh-HK"/>
        </w:rPr>
        <w:t>華映公司</w:t>
      </w:r>
      <w:r w:rsidRPr="000624C6">
        <w:rPr>
          <w:rFonts w:hAnsi="標楷體"/>
          <w:lang w:eastAsia="zh-HK"/>
        </w:rPr>
        <w:t>材料</w:t>
      </w:r>
      <w:proofErr w:type="gramStart"/>
      <w:r w:rsidRPr="000624C6">
        <w:rPr>
          <w:rFonts w:hAnsi="標楷體"/>
          <w:lang w:eastAsia="zh-HK"/>
        </w:rPr>
        <w:t>供應商攀時</w:t>
      </w:r>
      <w:r w:rsidR="0002260A" w:rsidRPr="000624C6">
        <w:rPr>
          <w:rFonts w:hAnsi="標楷體"/>
          <w:lang w:eastAsia="zh-HK"/>
        </w:rPr>
        <w:t>股份有限公司</w:t>
      </w:r>
      <w:proofErr w:type="gramEnd"/>
      <w:r w:rsidRPr="000624C6">
        <w:rPr>
          <w:rFonts w:hAnsi="標楷體"/>
          <w:lang w:eastAsia="zh-HK"/>
        </w:rPr>
        <w:t>表示，</w:t>
      </w:r>
      <w:r w:rsidR="00500E5A" w:rsidRPr="000624C6">
        <w:rPr>
          <w:rFonts w:hAnsi="標楷體"/>
          <w:lang w:eastAsia="zh-HK"/>
        </w:rPr>
        <w:t>華映公司</w:t>
      </w:r>
      <w:r w:rsidRPr="000624C6">
        <w:rPr>
          <w:rFonts w:hAnsi="標楷體"/>
          <w:lang w:eastAsia="zh-HK"/>
        </w:rPr>
        <w:t>對於供應商</w:t>
      </w:r>
      <w:r w:rsidR="006D7F12" w:rsidRPr="000624C6">
        <w:rPr>
          <w:rFonts w:hAnsi="標楷體"/>
          <w:lang w:eastAsia="zh-HK"/>
        </w:rPr>
        <w:t>之債權處理方案，</w:t>
      </w:r>
      <w:r w:rsidRPr="000624C6">
        <w:rPr>
          <w:rFonts w:hAnsi="標楷體"/>
          <w:lang w:eastAsia="zh-HK"/>
        </w:rPr>
        <w:t>多數資訊皆係由</w:t>
      </w:r>
      <w:r w:rsidRPr="000624C6">
        <w:rPr>
          <w:rFonts w:hAnsi="標楷體"/>
          <w:szCs w:val="28"/>
        </w:rPr>
        <w:t>報章媒體得知。</w:t>
      </w:r>
      <w:r w:rsidR="006D2F93" w:rsidRPr="000624C6">
        <w:rPr>
          <w:rFonts w:hAnsi="標楷體"/>
          <w:szCs w:val="28"/>
        </w:rPr>
        <w:t>另</w:t>
      </w:r>
      <w:r w:rsidR="006D7F12" w:rsidRPr="000624C6">
        <w:rPr>
          <w:rFonts w:hAnsi="標楷體"/>
          <w:szCs w:val="28"/>
        </w:rPr>
        <w:t>債權人</w:t>
      </w:r>
      <w:r w:rsidR="0002260A" w:rsidRPr="000624C6">
        <w:rPr>
          <w:rFonts w:hAnsi="標楷體"/>
          <w:szCs w:val="28"/>
        </w:rPr>
        <w:t>元</w:t>
      </w:r>
      <w:proofErr w:type="gramStart"/>
      <w:r w:rsidR="0002260A" w:rsidRPr="000624C6">
        <w:rPr>
          <w:rFonts w:hAnsi="標楷體"/>
          <w:szCs w:val="28"/>
        </w:rPr>
        <w:t>太</w:t>
      </w:r>
      <w:proofErr w:type="gramEnd"/>
      <w:r w:rsidR="0002260A" w:rsidRPr="000624C6">
        <w:rPr>
          <w:rFonts w:hAnsi="標楷體"/>
          <w:szCs w:val="28"/>
        </w:rPr>
        <w:t>科技工業股份有限公司</w:t>
      </w:r>
      <w:r w:rsidRPr="000624C6">
        <w:rPr>
          <w:rFonts w:hAnsi="標楷體"/>
          <w:szCs w:val="28"/>
        </w:rPr>
        <w:t>表示，</w:t>
      </w:r>
      <w:r w:rsidR="006D7F12" w:rsidRPr="000624C6">
        <w:rPr>
          <w:rFonts w:hAnsi="標楷體"/>
          <w:szCs w:val="28"/>
        </w:rPr>
        <w:t>該</w:t>
      </w:r>
      <w:r w:rsidRPr="000624C6">
        <w:rPr>
          <w:rFonts w:hAnsi="標楷體"/>
          <w:szCs w:val="28"/>
        </w:rPr>
        <w:t>公司將同時針對</w:t>
      </w:r>
      <w:r w:rsidR="00500E5A" w:rsidRPr="000624C6">
        <w:rPr>
          <w:rFonts w:hAnsi="標楷體"/>
          <w:szCs w:val="28"/>
        </w:rPr>
        <w:t>華映公司</w:t>
      </w:r>
      <w:r w:rsidRPr="000624C6">
        <w:rPr>
          <w:rFonts w:hAnsi="標楷體"/>
          <w:szCs w:val="28"/>
        </w:rPr>
        <w:t>目前態勢</w:t>
      </w:r>
      <w:r w:rsidRPr="000624C6">
        <w:rPr>
          <w:rFonts w:hAnsi="標楷體"/>
        </w:rPr>
        <w:t>進行</w:t>
      </w:r>
      <w:r w:rsidRPr="000624C6">
        <w:rPr>
          <w:rFonts w:hAnsi="標楷體"/>
          <w:szCs w:val="28"/>
        </w:rPr>
        <w:t>風險評估，若在不太大改變商業條件下，仍將支持</w:t>
      </w:r>
      <w:r w:rsidR="00500E5A" w:rsidRPr="000624C6">
        <w:rPr>
          <w:rFonts w:hAnsi="標楷體"/>
          <w:szCs w:val="28"/>
        </w:rPr>
        <w:t>華映公司</w:t>
      </w:r>
      <w:r w:rsidRPr="000624C6">
        <w:rPr>
          <w:rFonts w:hAnsi="標楷體"/>
          <w:szCs w:val="28"/>
        </w:rPr>
        <w:t>恢復正常營運與重生。</w:t>
      </w:r>
    </w:p>
    <w:p w:rsidR="006D7F12" w:rsidRPr="000624C6" w:rsidRDefault="006D7F12" w:rsidP="00CF1AA9">
      <w:pPr>
        <w:pStyle w:val="5"/>
        <w:rPr>
          <w:rFonts w:hAnsi="標楷體"/>
        </w:rPr>
      </w:pPr>
      <w:r w:rsidRPr="000624C6">
        <w:rPr>
          <w:rFonts w:hAnsi="標楷體"/>
          <w:lang w:eastAsia="zh-HK"/>
        </w:rPr>
        <w:t>108年1月間債權銀行臺灣銀行民權分行</w:t>
      </w:r>
      <w:r w:rsidRPr="000624C6">
        <w:rPr>
          <w:rFonts w:hAnsi="標楷體"/>
        </w:rPr>
        <w:t>表示，華映公司應積極與各債權人溝通；京城銀行表示，較希望公司</w:t>
      </w:r>
      <w:proofErr w:type="gramStart"/>
      <w:r w:rsidRPr="000624C6">
        <w:rPr>
          <w:rFonts w:hAnsi="標楷體"/>
        </w:rPr>
        <w:t>以債協方式</w:t>
      </w:r>
      <w:proofErr w:type="gramEnd"/>
      <w:r w:rsidRPr="000624C6">
        <w:rPr>
          <w:rFonts w:hAnsi="標楷體"/>
        </w:rPr>
        <w:t>進行重生。</w:t>
      </w:r>
    </w:p>
    <w:p w:rsidR="00995BF7" w:rsidRPr="000624C6" w:rsidRDefault="00995BF7" w:rsidP="00CF1AA9">
      <w:pPr>
        <w:pStyle w:val="4"/>
        <w:numPr>
          <w:ilvl w:val="3"/>
          <w:numId w:val="13"/>
        </w:numPr>
        <w:rPr>
          <w:rFonts w:hAnsi="標楷體"/>
          <w:lang w:eastAsia="zh-HK"/>
        </w:rPr>
      </w:pPr>
      <w:proofErr w:type="gramStart"/>
      <w:r w:rsidRPr="000624C6">
        <w:rPr>
          <w:rFonts w:hAnsi="標楷體"/>
          <w:lang w:eastAsia="zh-HK"/>
        </w:rPr>
        <w:t>綠能公司</w:t>
      </w:r>
      <w:proofErr w:type="gramEnd"/>
      <w:r w:rsidRPr="000624C6">
        <w:rPr>
          <w:rFonts w:hAnsi="標楷體"/>
          <w:lang w:eastAsia="zh-HK"/>
        </w:rPr>
        <w:t>部分</w:t>
      </w:r>
    </w:p>
    <w:p w:rsidR="006D2F93" w:rsidRPr="000624C6" w:rsidRDefault="006D2F93" w:rsidP="00CF1AA9">
      <w:pPr>
        <w:pStyle w:val="32"/>
        <w:ind w:leftChars="500" w:left="1701" w:firstLine="680"/>
        <w:rPr>
          <w:rFonts w:hAnsi="標楷體"/>
          <w:lang w:eastAsia="zh-HK"/>
        </w:rPr>
      </w:pPr>
      <w:r w:rsidRPr="000624C6">
        <w:rPr>
          <w:rFonts w:hAnsi="標楷體"/>
        </w:rPr>
        <w:t>108年7月15日大同公司於公開資訊觀測站發布重大訊息表示，</w:t>
      </w:r>
      <w:proofErr w:type="gramStart"/>
      <w:r w:rsidRPr="000624C6">
        <w:rPr>
          <w:rFonts w:hAnsi="標楷體"/>
        </w:rPr>
        <w:t>綠能</w:t>
      </w:r>
      <w:r w:rsidRPr="000624C6">
        <w:rPr>
          <w:rFonts w:hAnsi="標楷體"/>
          <w:lang w:eastAsia="zh-HK"/>
        </w:rPr>
        <w:t>公司</w:t>
      </w:r>
      <w:proofErr w:type="gramEnd"/>
      <w:r w:rsidRPr="000624C6">
        <w:rPr>
          <w:rFonts w:hAnsi="標楷體"/>
        </w:rPr>
        <w:t>擬召開臨時股東會議討論解散清算事宜，</w:t>
      </w:r>
      <w:proofErr w:type="gramStart"/>
      <w:r w:rsidRPr="000624C6">
        <w:rPr>
          <w:rFonts w:hAnsi="標楷體"/>
        </w:rPr>
        <w:t>綠能</w:t>
      </w:r>
      <w:r w:rsidRPr="000624C6">
        <w:rPr>
          <w:rFonts w:hAnsi="標楷體"/>
          <w:lang w:eastAsia="zh-HK"/>
        </w:rPr>
        <w:t>公司</w:t>
      </w:r>
      <w:proofErr w:type="gramEnd"/>
      <w:r w:rsidRPr="000624C6">
        <w:rPr>
          <w:rFonts w:hAnsi="標楷體"/>
        </w:rPr>
        <w:t>最大債權銀行京城銀行於108年7月16日函文各</w:t>
      </w:r>
      <w:r w:rsidRPr="000624C6">
        <w:rPr>
          <w:rFonts w:hAnsi="標楷體"/>
          <w:lang w:eastAsia="zh-HK"/>
        </w:rPr>
        <w:t>債權債務協商</w:t>
      </w:r>
      <w:proofErr w:type="gramStart"/>
      <w:r w:rsidRPr="000624C6">
        <w:rPr>
          <w:rFonts w:hAnsi="標楷體"/>
        </w:rPr>
        <w:t>銀行綠能科技</w:t>
      </w:r>
      <w:proofErr w:type="gramEnd"/>
      <w:r w:rsidRPr="000624C6">
        <w:rPr>
          <w:rFonts w:hAnsi="標楷體"/>
        </w:rPr>
        <w:t>已</w:t>
      </w:r>
      <w:proofErr w:type="gramStart"/>
      <w:r w:rsidRPr="000624C6">
        <w:rPr>
          <w:rFonts w:hAnsi="標楷體"/>
        </w:rPr>
        <w:t>達毀諾</w:t>
      </w:r>
      <w:proofErr w:type="gramEnd"/>
      <w:r w:rsidRPr="000624C6">
        <w:rPr>
          <w:rFonts w:hAnsi="標楷體"/>
        </w:rPr>
        <w:t>地步，導致協商破局。</w:t>
      </w:r>
    </w:p>
    <w:p w:rsidR="00B12C05" w:rsidRPr="000624C6" w:rsidRDefault="00215B11" w:rsidP="00CF1AA9">
      <w:pPr>
        <w:pStyle w:val="3"/>
        <w:rPr>
          <w:lang w:eastAsia="zh-HK"/>
        </w:rPr>
      </w:pPr>
      <w:r w:rsidRPr="000624C6">
        <w:rPr>
          <w:lang w:eastAsia="zh-HK"/>
        </w:rPr>
        <w:t>綜上</w:t>
      </w:r>
      <w:r w:rsidR="003D3324" w:rsidRPr="000624C6">
        <w:rPr>
          <w:lang w:eastAsia="zh-HK"/>
        </w:rPr>
        <w:t>，</w:t>
      </w:r>
      <w:r w:rsidR="00B12C05" w:rsidRPr="000624C6">
        <w:rPr>
          <w:lang w:eastAsia="zh-HK"/>
        </w:rPr>
        <w:t>金管會輕忽對大同集團上市公司經營之監理，牽涉廣大利害關係人，華映公司申請重整</w:t>
      </w:r>
      <w:proofErr w:type="gramStart"/>
      <w:r w:rsidR="00B12C05" w:rsidRPr="000624C6">
        <w:rPr>
          <w:lang w:eastAsia="zh-HK"/>
        </w:rPr>
        <w:t>與綠能公</w:t>
      </w:r>
      <w:r w:rsidR="00B12C05" w:rsidRPr="000624C6">
        <w:rPr>
          <w:lang w:eastAsia="zh-HK"/>
        </w:rPr>
        <w:lastRenderedPageBreak/>
        <w:t>司</w:t>
      </w:r>
      <w:proofErr w:type="gramEnd"/>
      <w:r w:rsidR="00B12C05" w:rsidRPr="000624C6">
        <w:rPr>
          <w:lang w:eastAsia="zh-HK"/>
        </w:rPr>
        <w:t>解散，已嚴重衝擊3,876名被資遣員工之家庭生計，並影響上、下游業者及債權銀行之正常營運，然</w:t>
      </w:r>
      <w:r w:rsidR="00BA554F" w:rsidRPr="000624C6">
        <w:rPr>
          <w:rFonts w:hAnsi="標楷體" w:hint="eastAsia"/>
          <w:lang w:eastAsia="zh-HK"/>
        </w:rPr>
        <w:t>於</w:t>
      </w:r>
      <w:r w:rsidR="00B12C05" w:rsidRPr="000624C6">
        <w:rPr>
          <w:lang w:eastAsia="zh-HK"/>
        </w:rPr>
        <w:t>108年以來該等公司屢有重大訊息揭露、資金貸與、內部控制制度</w:t>
      </w:r>
      <w:r w:rsidR="00FF29B4" w:rsidRPr="000624C6">
        <w:rPr>
          <w:rFonts w:hint="eastAsia"/>
          <w:lang w:eastAsia="zh-HK"/>
        </w:rPr>
        <w:t>等</w:t>
      </w:r>
      <w:r w:rsidR="00B12C05" w:rsidRPr="000624C6">
        <w:rPr>
          <w:lang w:eastAsia="zh-HK"/>
        </w:rPr>
        <w:t>違反金融法令之情事，</w:t>
      </w:r>
      <w:r w:rsidR="00EB20B3" w:rsidRPr="000624C6">
        <w:rPr>
          <w:lang w:eastAsia="zh-HK"/>
        </w:rPr>
        <w:t>該會</w:t>
      </w:r>
      <w:r w:rsidR="005D7383" w:rsidRPr="000624C6">
        <w:rPr>
          <w:lang w:eastAsia="zh-HK"/>
        </w:rPr>
        <w:t>實</w:t>
      </w:r>
      <w:r w:rsidR="00B12C05" w:rsidRPr="000624C6">
        <w:rPr>
          <w:lang w:eastAsia="zh-HK"/>
        </w:rPr>
        <w:t>應</w:t>
      </w:r>
      <w:r w:rsidR="00EB20B3" w:rsidRPr="000624C6">
        <w:rPr>
          <w:lang w:eastAsia="zh-HK"/>
        </w:rPr>
        <w:t>強化相關監理措施</w:t>
      </w:r>
      <w:r w:rsidR="00B12C05" w:rsidRPr="000624C6">
        <w:rPr>
          <w:lang w:eastAsia="zh-HK"/>
        </w:rPr>
        <w:t>，並允宜協同</w:t>
      </w:r>
      <w:proofErr w:type="gramStart"/>
      <w:r w:rsidR="00B12C05" w:rsidRPr="000624C6">
        <w:rPr>
          <w:lang w:eastAsia="zh-HK"/>
        </w:rPr>
        <w:t>勞動部與經濟部</w:t>
      </w:r>
      <w:proofErr w:type="gramEnd"/>
      <w:r w:rsidR="00B12C05" w:rsidRPr="000624C6">
        <w:rPr>
          <w:lang w:eastAsia="zh-HK"/>
        </w:rPr>
        <w:t>責請該等公司建立經營動態即時公開機制，</w:t>
      </w:r>
      <w:proofErr w:type="gramStart"/>
      <w:r w:rsidR="00B12C05" w:rsidRPr="000624C6">
        <w:rPr>
          <w:lang w:eastAsia="zh-HK"/>
        </w:rPr>
        <w:t>俾</w:t>
      </w:r>
      <w:proofErr w:type="gramEnd"/>
      <w:r w:rsidR="00423230" w:rsidRPr="000624C6">
        <w:rPr>
          <w:rFonts w:hint="eastAsia"/>
          <w:lang w:eastAsia="zh-HK"/>
        </w:rPr>
        <w:t>防範或</w:t>
      </w:r>
      <w:r w:rsidR="00B12C05" w:rsidRPr="000624C6">
        <w:rPr>
          <w:lang w:eastAsia="zh-HK"/>
        </w:rPr>
        <w:t>降低相關利害關係人損失衝擊。</w:t>
      </w:r>
    </w:p>
    <w:p w:rsidR="005A42E0" w:rsidRPr="000624C6" w:rsidRDefault="00455AB0" w:rsidP="00CF1AA9">
      <w:pPr>
        <w:pStyle w:val="2"/>
        <w:numPr>
          <w:ilvl w:val="1"/>
          <w:numId w:val="1"/>
        </w:numPr>
        <w:rPr>
          <w:rFonts w:hAnsi="標楷體"/>
          <w:b/>
        </w:rPr>
      </w:pPr>
      <w:r w:rsidRPr="000624C6">
        <w:rPr>
          <w:rFonts w:hAnsi="標楷體"/>
          <w:b/>
          <w:lang w:eastAsia="zh-HK"/>
        </w:rPr>
        <w:t>財政部具主導權7家公股銀行</w:t>
      </w:r>
      <w:proofErr w:type="gramStart"/>
      <w:r w:rsidRPr="000624C6">
        <w:rPr>
          <w:rFonts w:hAnsi="標楷體"/>
          <w:b/>
          <w:lang w:eastAsia="zh-HK"/>
        </w:rPr>
        <w:t>核貸華映</w:t>
      </w:r>
      <w:proofErr w:type="gramEnd"/>
      <w:r w:rsidRPr="000624C6">
        <w:rPr>
          <w:rFonts w:hAnsi="標楷體"/>
          <w:b/>
          <w:lang w:eastAsia="zh-HK"/>
        </w:rPr>
        <w:t>公司</w:t>
      </w:r>
      <w:proofErr w:type="gramStart"/>
      <w:r w:rsidRPr="000624C6">
        <w:rPr>
          <w:rFonts w:hAnsi="標楷體"/>
          <w:b/>
          <w:lang w:eastAsia="zh-HK"/>
        </w:rPr>
        <w:t>承擔高授信</w:t>
      </w:r>
      <w:proofErr w:type="gramEnd"/>
      <w:r w:rsidRPr="000624C6">
        <w:rPr>
          <w:rFonts w:hAnsi="標楷體"/>
          <w:b/>
          <w:lang w:eastAsia="zh-HK"/>
        </w:rPr>
        <w:t>風險，該公司</w:t>
      </w:r>
      <w:r w:rsidR="002B7D5D" w:rsidRPr="000624C6">
        <w:rPr>
          <w:rFonts w:hAnsi="標楷體"/>
          <w:b/>
          <w:lang w:eastAsia="zh-HK"/>
        </w:rPr>
        <w:t>自97年起連年虧損，98年起累積虧損超過實收資本額二分之一</w:t>
      </w:r>
      <w:r w:rsidR="005A42E0" w:rsidRPr="000624C6">
        <w:rPr>
          <w:rFonts w:hAnsi="標楷體"/>
          <w:b/>
          <w:lang w:eastAsia="zh-HK"/>
        </w:rPr>
        <w:t>，</w:t>
      </w:r>
      <w:r w:rsidR="007F4175" w:rsidRPr="000624C6">
        <w:rPr>
          <w:rFonts w:hAnsi="標楷體"/>
          <w:b/>
          <w:lang w:eastAsia="zh-HK"/>
        </w:rPr>
        <w:t>公股銀行</w:t>
      </w:r>
      <w:proofErr w:type="gramStart"/>
      <w:r w:rsidR="007F4175" w:rsidRPr="000624C6">
        <w:rPr>
          <w:rFonts w:hAnsi="標楷體"/>
          <w:b/>
          <w:lang w:eastAsia="zh-HK"/>
        </w:rPr>
        <w:t>詎</w:t>
      </w:r>
      <w:proofErr w:type="gramEnd"/>
      <w:r w:rsidRPr="000624C6">
        <w:rPr>
          <w:rFonts w:hAnsi="標楷體"/>
          <w:b/>
          <w:lang w:eastAsia="zh-HK"/>
        </w:rPr>
        <w:t>於</w:t>
      </w:r>
      <w:r w:rsidR="005A42E0" w:rsidRPr="000624C6">
        <w:rPr>
          <w:rFonts w:hAnsi="標楷體"/>
          <w:b/>
          <w:lang w:eastAsia="zh-HK"/>
        </w:rPr>
        <w:t>該公司99年聯合貸款</w:t>
      </w:r>
      <w:proofErr w:type="gramStart"/>
      <w:r w:rsidR="005A42E0" w:rsidRPr="000624C6">
        <w:rPr>
          <w:rFonts w:hAnsi="標楷體"/>
          <w:b/>
          <w:lang w:eastAsia="zh-HK"/>
        </w:rPr>
        <w:t>餘欠</w:t>
      </w:r>
      <w:r w:rsidR="00B22A50" w:rsidRPr="000624C6">
        <w:rPr>
          <w:rFonts w:hAnsi="標楷體" w:hint="eastAsia"/>
          <w:b/>
          <w:lang w:eastAsia="zh-HK"/>
        </w:rPr>
        <w:t>約</w:t>
      </w:r>
      <w:proofErr w:type="gramEnd"/>
      <w:r w:rsidR="005A42E0" w:rsidRPr="000624C6">
        <w:rPr>
          <w:rFonts w:hAnsi="標楷體"/>
          <w:b/>
          <w:lang w:eastAsia="zh-HK"/>
        </w:rPr>
        <w:t>30億元尚未清償之際，另於</w:t>
      </w:r>
      <w:r w:rsidRPr="000624C6">
        <w:rPr>
          <w:rFonts w:hAnsi="標楷體"/>
          <w:b/>
          <w:lang w:eastAsia="zh-HK"/>
        </w:rPr>
        <w:t>106</w:t>
      </w:r>
      <w:r w:rsidR="005A42E0" w:rsidRPr="000624C6">
        <w:rPr>
          <w:rFonts w:hAnsi="標楷體"/>
          <w:b/>
          <w:lang w:eastAsia="zh-HK"/>
        </w:rPr>
        <w:t>年重新</w:t>
      </w:r>
      <w:proofErr w:type="gramStart"/>
      <w:r w:rsidR="005A42E0" w:rsidRPr="000624C6">
        <w:rPr>
          <w:rFonts w:hAnsi="標楷體"/>
          <w:b/>
          <w:lang w:eastAsia="zh-HK"/>
        </w:rPr>
        <w:t>籌組</w:t>
      </w:r>
      <w:r w:rsidR="00213548" w:rsidRPr="000624C6">
        <w:rPr>
          <w:rFonts w:hint="eastAsia"/>
          <w:b/>
          <w:lang w:eastAsia="zh-HK"/>
        </w:rPr>
        <w:t>參貸</w:t>
      </w:r>
      <w:proofErr w:type="gramEnd"/>
      <w:r w:rsidR="00213548" w:rsidRPr="000624C6">
        <w:rPr>
          <w:rFonts w:hint="eastAsia"/>
          <w:b/>
        </w:rPr>
        <w:t>57</w:t>
      </w:r>
      <w:r w:rsidR="00213548" w:rsidRPr="000624C6">
        <w:rPr>
          <w:rFonts w:hint="eastAsia"/>
          <w:b/>
          <w:lang w:eastAsia="zh-HK"/>
        </w:rPr>
        <w:t>億元</w:t>
      </w:r>
      <w:r w:rsidRPr="000624C6">
        <w:rPr>
          <w:rFonts w:hAnsi="標楷體"/>
          <w:b/>
          <w:lang w:eastAsia="zh-HK"/>
        </w:rPr>
        <w:t>，衍生不良債權</w:t>
      </w:r>
      <w:r w:rsidR="005A42E0" w:rsidRPr="000624C6">
        <w:rPr>
          <w:rFonts w:hAnsi="標楷體"/>
          <w:b/>
          <w:lang w:eastAsia="zh-HK"/>
        </w:rPr>
        <w:t>，損及公股權益；</w:t>
      </w:r>
      <w:proofErr w:type="gramStart"/>
      <w:r w:rsidR="005A42E0" w:rsidRPr="000624C6">
        <w:rPr>
          <w:rFonts w:hAnsi="標楷體"/>
          <w:b/>
          <w:lang w:eastAsia="zh-HK"/>
        </w:rPr>
        <w:t>又</w:t>
      </w:r>
      <w:r w:rsidRPr="000624C6">
        <w:rPr>
          <w:rFonts w:hAnsi="標楷體"/>
          <w:b/>
          <w:lang w:eastAsia="zh-HK"/>
        </w:rPr>
        <w:t>金管</w:t>
      </w:r>
      <w:proofErr w:type="gramEnd"/>
      <w:r w:rsidRPr="000624C6">
        <w:rPr>
          <w:rFonts w:hAnsi="標楷體"/>
          <w:b/>
          <w:lang w:eastAsia="zh-HK"/>
        </w:rPr>
        <w:t>會</w:t>
      </w:r>
      <w:r w:rsidR="005A42E0" w:rsidRPr="000624C6">
        <w:rPr>
          <w:rFonts w:hAnsi="標楷體"/>
          <w:b/>
          <w:lang w:eastAsia="zh-HK"/>
        </w:rPr>
        <w:t>檢查亦發現部分</w:t>
      </w:r>
      <w:r w:rsidR="00841EDE" w:rsidRPr="000624C6">
        <w:rPr>
          <w:rFonts w:hAnsi="標楷體"/>
          <w:b/>
          <w:lang w:eastAsia="zh-HK"/>
        </w:rPr>
        <w:t>公股</w:t>
      </w:r>
      <w:r w:rsidR="005A42E0" w:rsidRPr="000624C6">
        <w:rPr>
          <w:rFonts w:hAnsi="標楷體"/>
          <w:b/>
          <w:lang w:eastAsia="zh-HK"/>
        </w:rPr>
        <w:t>銀行辦理</w:t>
      </w:r>
      <w:r w:rsidRPr="000624C6">
        <w:rPr>
          <w:rFonts w:hAnsi="標楷體"/>
          <w:b/>
          <w:lang w:eastAsia="zh-HK"/>
        </w:rPr>
        <w:t>該</w:t>
      </w:r>
      <w:r w:rsidR="005A42E0" w:rsidRPr="000624C6">
        <w:rPr>
          <w:rFonts w:hAnsi="標楷體"/>
          <w:b/>
          <w:lang w:eastAsia="zh-HK"/>
        </w:rPr>
        <w:t>公司徵授信作業存有缺失，財政部實應督導轄管公股銀行檢討改善。</w:t>
      </w:r>
    </w:p>
    <w:p w:rsidR="00FE2BA9" w:rsidRPr="000624C6" w:rsidRDefault="009E46A6" w:rsidP="00CF1AA9">
      <w:pPr>
        <w:pStyle w:val="3"/>
      </w:pPr>
      <w:r w:rsidRPr="000624C6">
        <w:rPr>
          <w:lang w:eastAsia="zh-HK"/>
        </w:rPr>
        <w:t>經查，截至108年</w:t>
      </w:r>
      <w:r w:rsidR="00335162" w:rsidRPr="000624C6">
        <w:rPr>
          <w:lang w:eastAsia="zh-HK"/>
        </w:rPr>
        <w:t>12月底</w:t>
      </w:r>
      <w:r w:rsidRPr="000624C6">
        <w:rPr>
          <w:lang w:eastAsia="zh-HK"/>
        </w:rPr>
        <w:t>止，我國金融機構對華映公司授信餘額合計29.4億元，已轉銷呆帳金額共71.43億元</w:t>
      </w:r>
      <w:r w:rsidR="00D6390A" w:rsidRPr="000624C6">
        <w:rPr>
          <w:lang w:eastAsia="zh-HK"/>
        </w:rPr>
        <w:t>，</w:t>
      </w:r>
      <w:r w:rsidRPr="000624C6">
        <w:rPr>
          <w:lang w:eastAsia="zh-HK"/>
        </w:rPr>
        <w:t>其中</w:t>
      </w:r>
      <w:r w:rsidR="00674CAE" w:rsidRPr="000624C6">
        <w:rPr>
          <w:lang w:eastAsia="zh-HK"/>
        </w:rPr>
        <w:t>，</w:t>
      </w:r>
      <w:r w:rsidR="00FE2BA9" w:rsidRPr="000624C6">
        <w:rPr>
          <w:lang w:eastAsia="zh-HK"/>
        </w:rPr>
        <w:t>財政部具主導權之</w:t>
      </w:r>
      <w:r w:rsidR="00674CAE" w:rsidRPr="000624C6">
        <w:rPr>
          <w:lang w:eastAsia="zh-HK"/>
        </w:rPr>
        <w:t>7家公股銀行</w:t>
      </w:r>
      <w:proofErr w:type="gramStart"/>
      <w:r w:rsidR="00674CAE" w:rsidRPr="000624C6">
        <w:rPr>
          <w:lang w:eastAsia="zh-HK"/>
        </w:rPr>
        <w:t>核貸華映</w:t>
      </w:r>
      <w:proofErr w:type="gramEnd"/>
      <w:r w:rsidR="00674CAE" w:rsidRPr="000624C6">
        <w:rPr>
          <w:lang w:eastAsia="zh-HK"/>
        </w:rPr>
        <w:t>公司之授信部位龐大，包括</w:t>
      </w:r>
      <w:r w:rsidRPr="000624C6">
        <w:rPr>
          <w:lang w:eastAsia="zh-HK"/>
        </w:rPr>
        <w:t>臺灣銀行</w:t>
      </w:r>
      <w:r w:rsidR="00D6390A" w:rsidRPr="000624C6">
        <w:rPr>
          <w:lang w:eastAsia="zh-HK"/>
        </w:rPr>
        <w:t>、</w:t>
      </w:r>
      <w:r w:rsidR="000A4D94" w:rsidRPr="000624C6">
        <w:rPr>
          <w:lang w:eastAsia="zh-HK"/>
        </w:rPr>
        <w:t>土地銀行</w:t>
      </w:r>
      <w:r w:rsidR="00D6390A" w:rsidRPr="000624C6">
        <w:rPr>
          <w:lang w:eastAsia="zh-HK"/>
        </w:rPr>
        <w:t>、</w:t>
      </w:r>
      <w:r w:rsidR="000A4D94" w:rsidRPr="000624C6">
        <w:rPr>
          <w:lang w:eastAsia="zh-HK"/>
        </w:rPr>
        <w:t>合作金庫</w:t>
      </w:r>
      <w:r w:rsidRPr="000624C6">
        <w:rPr>
          <w:lang w:eastAsia="zh-HK"/>
        </w:rPr>
        <w:t>、臺灣中小企銀、華南銀行、兆豐銀行及彰化銀行等授信餘額</w:t>
      </w:r>
      <w:r w:rsidR="00674CAE" w:rsidRPr="000624C6">
        <w:rPr>
          <w:lang w:eastAsia="zh-HK"/>
        </w:rPr>
        <w:t>占全體金融機構之</w:t>
      </w:r>
      <w:r w:rsidR="00D6390A" w:rsidRPr="000624C6">
        <w:rPr>
          <w:lang w:eastAsia="zh-HK"/>
        </w:rPr>
        <w:t>41.84</w:t>
      </w:r>
      <w:r w:rsidR="005D09AD" w:rsidRPr="000624C6">
        <w:rPr>
          <w:lang w:eastAsia="zh-HK"/>
        </w:rPr>
        <w:t>%</w:t>
      </w:r>
      <w:r w:rsidRPr="000624C6">
        <w:rPr>
          <w:lang w:eastAsia="zh-HK"/>
        </w:rPr>
        <w:t>，已轉銷呆帳金額</w:t>
      </w:r>
      <w:r w:rsidR="00674CAE" w:rsidRPr="000624C6">
        <w:rPr>
          <w:lang w:eastAsia="zh-HK"/>
        </w:rPr>
        <w:t>更高占全體金融機構之</w:t>
      </w:r>
      <w:r w:rsidRPr="000624C6">
        <w:rPr>
          <w:lang w:eastAsia="zh-HK"/>
        </w:rPr>
        <w:t>77.53</w:t>
      </w:r>
      <w:r w:rsidR="005D09AD" w:rsidRPr="000624C6">
        <w:rPr>
          <w:lang w:eastAsia="zh-HK"/>
        </w:rPr>
        <w:t>%</w:t>
      </w:r>
      <w:r w:rsidRPr="000624C6">
        <w:rPr>
          <w:lang w:eastAsia="zh-HK"/>
        </w:rPr>
        <w:t>。</w:t>
      </w:r>
      <w:proofErr w:type="gramStart"/>
      <w:r w:rsidR="00674CAE" w:rsidRPr="000624C6">
        <w:rPr>
          <w:lang w:eastAsia="zh-HK"/>
        </w:rPr>
        <w:t>然華映</w:t>
      </w:r>
      <w:proofErr w:type="gramEnd"/>
      <w:r w:rsidR="00674CAE" w:rsidRPr="000624C6">
        <w:rPr>
          <w:lang w:eastAsia="zh-HK"/>
        </w:rPr>
        <w:t>公司</w:t>
      </w:r>
      <w:r w:rsidR="002B7D5D" w:rsidRPr="000624C6">
        <w:rPr>
          <w:lang w:eastAsia="zh-HK"/>
        </w:rPr>
        <w:t>自97年度起連年虧損，流動負債高於流動資產</w:t>
      </w:r>
      <w:r w:rsidR="002B7D5D" w:rsidRPr="000624C6">
        <w:t>，</w:t>
      </w:r>
      <w:r w:rsidR="002B7D5D" w:rsidRPr="000624C6">
        <w:rPr>
          <w:lang w:eastAsia="zh-HK"/>
        </w:rPr>
        <w:t>流動性風險偏高，自</w:t>
      </w:r>
      <w:r w:rsidR="002B7D5D" w:rsidRPr="000624C6">
        <w:t>98</w:t>
      </w:r>
      <w:r w:rsidR="002B7D5D" w:rsidRPr="000624C6">
        <w:rPr>
          <w:lang w:eastAsia="zh-HK"/>
        </w:rPr>
        <w:t>年起累積虧損超過實收資本額二分之一</w:t>
      </w:r>
      <w:r w:rsidR="002B7D5D" w:rsidRPr="000624C6">
        <w:t>，</w:t>
      </w:r>
      <w:r w:rsidR="002B7D5D" w:rsidRPr="000624C6">
        <w:rPr>
          <w:lang w:eastAsia="zh-HK"/>
        </w:rPr>
        <w:t>且自</w:t>
      </w:r>
      <w:proofErr w:type="gramStart"/>
      <w:r w:rsidR="002B7D5D" w:rsidRPr="000624C6">
        <w:rPr>
          <w:lang w:eastAsia="zh-HK"/>
        </w:rPr>
        <w:t>100</w:t>
      </w:r>
      <w:proofErr w:type="gramEnd"/>
      <w:r w:rsidR="002B7D5D" w:rsidRPr="000624C6">
        <w:rPr>
          <w:lang w:eastAsia="zh-HK"/>
        </w:rPr>
        <w:t>年度起每股淨值低於5元</w:t>
      </w:r>
      <w:r w:rsidR="00674CAE" w:rsidRPr="000624C6">
        <w:rPr>
          <w:lang w:eastAsia="zh-HK"/>
        </w:rPr>
        <w:t>，</w:t>
      </w:r>
      <w:r w:rsidR="00FE2BA9" w:rsidRPr="000624C6">
        <w:rPr>
          <w:lang w:eastAsia="zh-HK"/>
        </w:rPr>
        <w:t>深陷營運危機，</w:t>
      </w:r>
      <w:r w:rsidR="00674CAE" w:rsidRPr="000624C6">
        <w:rPr>
          <w:lang w:eastAsia="zh-HK"/>
        </w:rPr>
        <w:t>惟</w:t>
      </w:r>
      <w:r w:rsidR="00FE2BA9" w:rsidRPr="000624C6">
        <w:rPr>
          <w:lang w:eastAsia="zh-HK"/>
        </w:rPr>
        <w:t>上開</w:t>
      </w:r>
      <w:r w:rsidR="00674CAE" w:rsidRPr="000624C6">
        <w:rPr>
          <w:lang w:eastAsia="zh-HK"/>
        </w:rPr>
        <w:t>財政部具主導權</w:t>
      </w:r>
      <w:r w:rsidR="00FE2BA9" w:rsidRPr="000624C6">
        <w:rPr>
          <w:lang w:eastAsia="zh-HK"/>
        </w:rPr>
        <w:t>7家</w:t>
      </w:r>
      <w:r w:rsidR="00674CAE" w:rsidRPr="000624C6">
        <w:rPr>
          <w:lang w:eastAsia="zh-HK"/>
        </w:rPr>
        <w:t>公股</w:t>
      </w:r>
      <w:r w:rsidR="005A42E0" w:rsidRPr="000624C6">
        <w:rPr>
          <w:lang w:eastAsia="zh-HK"/>
        </w:rPr>
        <w:t>銀行</w:t>
      </w:r>
      <w:r w:rsidR="005A42E0" w:rsidRPr="000624C6">
        <w:t>，</w:t>
      </w:r>
      <w:r w:rsidR="00D5026B" w:rsidRPr="000624C6">
        <w:rPr>
          <w:lang w:eastAsia="zh-HK"/>
        </w:rPr>
        <w:t>於該公司</w:t>
      </w:r>
      <w:r w:rsidR="00674CAE" w:rsidRPr="000624C6">
        <w:rPr>
          <w:lang w:eastAsia="zh-HK"/>
        </w:rPr>
        <w:t>99年聯</w:t>
      </w:r>
      <w:r w:rsidR="00D5026B" w:rsidRPr="000624C6">
        <w:rPr>
          <w:lang w:eastAsia="zh-HK"/>
        </w:rPr>
        <w:t>合</w:t>
      </w:r>
      <w:r w:rsidR="00674CAE" w:rsidRPr="000624C6">
        <w:rPr>
          <w:lang w:eastAsia="zh-HK"/>
        </w:rPr>
        <w:t>貸</w:t>
      </w:r>
      <w:r w:rsidR="00D5026B" w:rsidRPr="000624C6">
        <w:rPr>
          <w:lang w:eastAsia="zh-HK"/>
        </w:rPr>
        <w:t>款</w:t>
      </w:r>
      <w:proofErr w:type="gramStart"/>
      <w:r w:rsidR="00674CAE" w:rsidRPr="000624C6">
        <w:rPr>
          <w:lang w:eastAsia="zh-HK"/>
        </w:rPr>
        <w:t>案餘欠</w:t>
      </w:r>
      <w:r w:rsidR="00B22A50" w:rsidRPr="000624C6">
        <w:rPr>
          <w:rFonts w:hint="eastAsia"/>
          <w:lang w:eastAsia="zh-HK"/>
        </w:rPr>
        <w:t>約</w:t>
      </w:r>
      <w:proofErr w:type="gramEnd"/>
      <w:r w:rsidR="00B22A50" w:rsidRPr="000624C6">
        <w:rPr>
          <w:lang w:eastAsia="zh-HK"/>
        </w:rPr>
        <w:t>30億元</w:t>
      </w:r>
      <w:r w:rsidR="00674CAE" w:rsidRPr="000624C6">
        <w:rPr>
          <w:lang w:eastAsia="zh-HK"/>
        </w:rPr>
        <w:t>尚未</w:t>
      </w:r>
      <w:r w:rsidR="005A42E0" w:rsidRPr="000624C6">
        <w:rPr>
          <w:lang w:eastAsia="zh-HK"/>
        </w:rPr>
        <w:t>清償</w:t>
      </w:r>
      <w:r w:rsidR="00674CAE" w:rsidRPr="000624C6">
        <w:rPr>
          <w:lang w:eastAsia="zh-HK"/>
        </w:rPr>
        <w:t>之際，</w:t>
      </w:r>
      <w:r w:rsidR="00D5026B" w:rsidRPr="000624C6">
        <w:rPr>
          <w:lang w:eastAsia="zh-HK"/>
        </w:rPr>
        <w:t>另</w:t>
      </w:r>
      <w:r w:rsidR="00674CAE" w:rsidRPr="000624C6">
        <w:rPr>
          <w:lang w:eastAsia="zh-HK"/>
        </w:rPr>
        <w:t>於</w:t>
      </w:r>
      <w:r w:rsidR="000F3F6D" w:rsidRPr="000624C6">
        <w:rPr>
          <w:rFonts w:hint="eastAsia"/>
        </w:rPr>
        <w:t>106</w:t>
      </w:r>
      <w:r w:rsidR="00674CAE" w:rsidRPr="000624C6">
        <w:rPr>
          <w:lang w:eastAsia="zh-HK"/>
        </w:rPr>
        <w:t>年重新</w:t>
      </w:r>
      <w:proofErr w:type="gramStart"/>
      <w:r w:rsidR="00674CAE" w:rsidRPr="000624C6">
        <w:rPr>
          <w:lang w:eastAsia="zh-HK"/>
        </w:rPr>
        <w:t>籌組</w:t>
      </w:r>
      <w:r w:rsidR="00D600A2" w:rsidRPr="000624C6">
        <w:rPr>
          <w:rFonts w:hint="eastAsia"/>
          <w:lang w:eastAsia="zh-HK"/>
        </w:rPr>
        <w:t>參貸</w:t>
      </w:r>
      <w:proofErr w:type="gramEnd"/>
      <w:r w:rsidR="00D600A2" w:rsidRPr="000624C6">
        <w:rPr>
          <w:rFonts w:hint="eastAsia"/>
        </w:rPr>
        <w:t>57</w:t>
      </w:r>
      <w:r w:rsidR="00D600A2" w:rsidRPr="000624C6">
        <w:rPr>
          <w:rFonts w:hint="eastAsia"/>
          <w:lang w:eastAsia="zh-HK"/>
        </w:rPr>
        <w:t>億元</w:t>
      </w:r>
      <w:r w:rsidR="00D5026B" w:rsidRPr="000624C6">
        <w:rPr>
          <w:lang w:eastAsia="zh-HK"/>
        </w:rPr>
        <w:t>，</w:t>
      </w:r>
      <w:proofErr w:type="gramStart"/>
      <w:r w:rsidR="005A42E0" w:rsidRPr="000624C6">
        <w:rPr>
          <w:lang w:eastAsia="zh-HK"/>
        </w:rPr>
        <w:t>承擔高授信</w:t>
      </w:r>
      <w:proofErr w:type="gramEnd"/>
      <w:r w:rsidR="005A42E0" w:rsidRPr="000624C6">
        <w:rPr>
          <w:lang w:eastAsia="zh-HK"/>
        </w:rPr>
        <w:t>風險，</w:t>
      </w:r>
      <w:r w:rsidR="005032BA" w:rsidRPr="000624C6">
        <w:rPr>
          <w:rFonts w:hAnsi="標楷體" w:hint="eastAsia"/>
          <w:lang w:eastAsia="zh-HK"/>
        </w:rPr>
        <w:t>衍生不良債權，</w:t>
      </w:r>
      <w:r w:rsidR="005A42E0" w:rsidRPr="000624C6">
        <w:rPr>
          <w:lang w:eastAsia="zh-HK"/>
        </w:rPr>
        <w:t>影響銀行經營</w:t>
      </w:r>
      <w:r w:rsidR="005A42E0" w:rsidRPr="000624C6">
        <w:t>，</w:t>
      </w:r>
      <w:r w:rsidR="005A42E0" w:rsidRPr="000624C6">
        <w:rPr>
          <w:lang w:eastAsia="zh-HK"/>
        </w:rPr>
        <w:t>損及公股權益</w:t>
      </w:r>
      <w:r w:rsidR="00D5026B" w:rsidRPr="000624C6">
        <w:rPr>
          <w:lang w:eastAsia="zh-HK"/>
        </w:rPr>
        <w:t>。</w:t>
      </w:r>
    </w:p>
    <w:p w:rsidR="009E46A6" w:rsidRPr="000624C6" w:rsidRDefault="00C91818" w:rsidP="00CF1AA9">
      <w:pPr>
        <w:pStyle w:val="3"/>
        <w:rPr>
          <w:rFonts w:hAnsi="標楷體"/>
        </w:rPr>
      </w:pPr>
      <w:r w:rsidRPr="000624C6">
        <w:rPr>
          <w:rFonts w:hAnsi="標楷體"/>
          <w:lang w:eastAsia="zh-HK"/>
        </w:rPr>
        <w:lastRenderedPageBreak/>
        <w:t>另查</w:t>
      </w:r>
      <w:r w:rsidRPr="000624C6">
        <w:rPr>
          <w:rFonts w:hAnsi="標楷體"/>
        </w:rPr>
        <w:t>，</w:t>
      </w:r>
      <w:r w:rsidR="00D6390A" w:rsidRPr="000624C6">
        <w:rPr>
          <w:rFonts w:hAnsi="標楷體"/>
          <w:lang w:eastAsia="zh-HK"/>
        </w:rPr>
        <w:t>臺灣銀行、土地銀行、合作金庫、台灣中小企銀等</w:t>
      </w:r>
      <w:r w:rsidR="00D6390A" w:rsidRPr="000624C6">
        <w:rPr>
          <w:rFonts w:hAnsi="標楷體"/>
        </w:rPr>
        <w:t>4</w:t>
      </w:r>
      <w:r w:rsidR="00D6390A" w:rsidRPr="000624C6">
        <w:rPr>
          <w:rFonts w:hAnsi="標楷體"/>
          <w:lang w:eastAsia="zh-HK"/>
        </w:rPr>
        <w:t>家公股銀行106年、107年辦理華映公司</w:t>
      </w:r>
      <w:r w:rsidR="00D6390A" w:rsidRPr="000624C6">
        <w:rPr>
          <w:rFonts w:hAnsi="標楷體"/>
          <w:kern w:val="0"/>
          <w:szCs w:val="32"/>
        </w:rPr>
        <w:t>核貸</w:t>
      </w:r>
      <w:r w:rsidR="00D6390A" w:rsidRPr="000624C6">
        <w:rPr>
          <w:rFonts w:hAnsi="標楷體"/>
          <w:kern w:val="0"/>
          <w:szCs w:val="32"/>
          <w:lang w:eastAsia="zh-HK"/>
        </w:rPr>
        <w:t>案件</w:t>
      </w:r>
      <w:r w:rsidR="00D6390A" w:rsidRPr="000624C6">
        <w:rPr>
          <w:rFonts w:hAnsi="標楷體"/>
          <w:kern w:val="0"/>
          <w:szCs w:val="32"/>
        </w:rPr>
        <w:t>，</w:t>
      </w:r>
      <w:r w:rsidR="00D5026B" w:rsidRPr="000624C6">
        <w:rPr>
          <w:rFonts w:hAnsi="標楷體"/>
        </w:rPr>
        <w:t>亦</w:t>
      </w:r>
      <w:r w:rsidR="00D6390A" w:rsidRPr="000624C6">
        <w:rPr>
          <w:rFonts w:hAnsi="標楷體"/>
          <w:kern w:val="0"/>
          <w:szCs w:val="32"/>
          <w:lang w:eastAsia="zh-HK"/>
        </w:rPr>
        <w:t>遭</w:t>
      </w:r>
      <w:r w:rsidR="00A27FB8" w:rsidRPr="000624C6">
        <w:rPr>
          <w:rFonts w:hAnsi="標楷體"/>
          <w:lang w:eastAsia="zh-HK"/>
        </w:rPr>
        <w:t>金管會</w:t>
      </w:r>
      <w:r w:rsidR="00A27FB8" w:rsidRPr="000624C6">
        <w:rPr>
          <w:rFonts w:hAnsi="標楷體"/>
        </w:rPr>
        <w:t>108</w:t>
      </w:r>
      <w:r w:rsidR="00A27FB8" w:rsidRPr="000624C6">
        <w:rPr>
          <w:rFonts w:hAnsi="標楷體"/>
          <w:lang w:eastAsia="zh-HK"/>
        </w:rPr>
        <w:t>年</w:t>
      </w:r>
      <w:r w:rsidR="00D6390A" w:rsidRPr="000624C6">
        <w:rPr>
          <w:rFonts w:hAnsi="標楷體"/>
          <w:kern w:val="0"/>
          <w:szCs w:val="32"/>
        </w:rPr>
        <w:t>金融檢查</w:t>
      </w:r>
      <w:r w:rsidR="00D6390A" w:rsidRPr="000624C6">
        <w:rPr>
          <w:rFonts w:hAnsi="標楷體"/>
          <w:kern w:val="0"/>
          <w:szCs w:val="32"/>
          <w:lang w:eastAsia="zh-HK"/>
        </w:rPr>
        <w:t>發現</w:t>
      </w:r>
      <w:r w:rsidR="00D5026B" w:rsidRPr="000624C6">
        <w:rPr>
          <w:rFonts w:hAnsi="標楷體"/>
        </w:rPr>
        <w:t>諸</w:t>
      </w:r>
      <w:r w:rsidR="00D5026B" w:rsidRPr="000624C6">
        <w:rPr>
          <w:rFonts w:hAnsi="標楷體"/>
          <w:lang w:eastAsia="zh-HK"/>
        </w:rPr>
        <w:t>多</w:t>
      </w:r>
      <w:r w:rsidR="00D6390A" w:rsidRPr="000624C6">
        <w:rPr>
          <w:rFonts w:hAnsi="標楷體"/>
          <w:kern w:val="0"/>
          <w:szCs w:val="32"/>
          <w:lang w:eastAsia="zh-HK"/>
        </w:rPr>
        <w:t>缺失</w:t>
      </w:r>
      <w:r w:rsidR="00A27FB8" w:rsidRPr="000624C6">
        <w:rPr>
          <w:rFonts w:hAnsi="標楷體"/>
        </w:rPr>
        <w:t>，</w:t>
      </w:r>
      <w:r w:rsidRPr="000624C6">
        <w:rPr>
          <w:rFonts w:hAnsi="標楷體"/>
          <w:lang w:eastAsia="zh-HK"/>
        </w:rPr>
        <w:t>其</w:t>
      </w:r>
      <w:r w:rsidR="00A27FB8" w:rsidRPr="000624C6">
        <w:rPr>
          <w:rFonts w:hAnsi="標楷體"/>
          <w:lang w:eastAsia="zh-HK"/>
        </w:rPr>
        <w:t>中</w:t>
      </w:r>
      <w:r w:rsidR="00D6390A" w:rsidRPr="000624C6">
        <w:rPr>
          <w:rFonts w:hAnsi="標楷體"/>
        </w:rPr>
        <w:t>，</w:t>
      </w:r>
      <w:r w:rsidR="002D0F9B" w:rsidRPr="000624C6">
        <w:rPr>
          <w:rFonts w:hAnsi="標楷體"/>
          <w:lang w:eastAsia="zh-HK"/>
        </w:rPr>
        <w:t>該會對財政部所屬</w:t>
      </w:r>
      <w:r w:rsidR="002D0F9B" w:rsidRPr="000624C6">
        <w:rPr>
          <w:rFonts w:hAnsi="標楷體"/>
        </w:rPr>
        <w:t>國營</w:t>
      </w:r>
      <w:r w:rsidR="002D0F9B" w:rsidRPr="000624C6">
        <w:rPr>
          <w:rFonts w:hAnsi="標楷體"/>
          <w:lang w:eastAsia="zh-HK"/>
        </w:rPr>
        <w:t>事業臺灣銀行、土地銀行等</w:t>
      </w:r>
      <w:r w:rsidR="008F4A51" w:rsidRPr="000624C6">
        <w:rPr>
          <w:rFonts w:hAnsi="標楷體"/>
          <w:lang w:eastAsia="zh-HK"/>
        </w:rPr>
        <w:t>所</w:t>
      </w:r>
      <w:r w:rsidR="008F4A51" w:rsidRPr="000624C6">
        <w:rPr>
          <w:rFonts w:hAnsi="標楷體"/>
          <w:bCs w:val="0"/>
          <w:szCs w:val="32"/>
        </w:rPr>
        <w:t>提列檢查意見</w:t>
      </w:r>
      <w:r w:rsidR="00264283" w:rsidRPr="000624C6">
        <w:rPr>
          <w:rFonts w:hAnsi="標楷體"/>
        </w:rPr>
        <w:t>，</w:t>
      </w:r>
      <w:r w:rsidR="009B588A" w:rsidRPr="000624C6">
        <w:rPr>
          <w:rFonts w:hAnsi="標楷體"/>
          <w:lang w:eastAsia="zh-HK"/>
        </w:rPr>
        <w:t>分述如下</w:t>
      </w:r>
      <w:r w:rsidR="009B588A" w:rsidRPr="000624C6">
        <w:rPr>
          <w:rFonts w:hAnsi="標楷體"/>
        </w:rPr>
        <w:t>：</w:t>
      </w:r>
      <w:r w:rsidR="006558AE" w:rsidRPr="000624C6">
        <w:rPr>
          <w:rFonts w:hAnsi="標楷體" w:hint="eastAsia"/>
        </w:rPr>
        <w:t>【</w:t>
      </w:r>
      <w:r w:rsidR="006558AE" w:rsidRPr="000624C6">
        <w:rPr>
          <w:rFonts w:hAnsi="標楷體" w:hint="eastAsia"/>
          <w:lang w:eastAsia="zh-HK"/>
        </w:rPr>
        <w:t>略】</w:t>
      </w:r>
      <w:r w:rsidR="00D40792" w:rsidRPr="000624C6">
        <w:rPr>
          <w:rFonts w:hAnsi="標楷體" w:hint="eastAsia"/>
        </w:rPr>
        <w:t>。</w:t>
      </w:r>
    </w:p>
    <w:p w:rsidR="007F4175" w:rsidRPr="000624C6" w:rsidRDefault="005A42E0" w:rsidP="00CF1AA9">
      <w:pPr>
        <w:pStyle w:val="3"/>
      </w:pPr>
      <w:r w:rsidRPr="000624C6">
        <w:rPr>
          <w:lang w:eastAsia="zh-HK"/>
        </w:rPr>
        <w:t>綜上，</w:t>
      </w:r>
      <w:r w:rsidR="007F4175" w:rsidRPr="000624C6">
        <w:rPr>
          <w:lang w:eastAsia="zh-HK"/>
        </w:rPr>
        <w:t>財政部具主導權之臺灣銀行、土地銀行、合作金庫、臺灣中小企銀、華南銀行、兆豐銀行及彰化銀行等7家公股銀行</w:t>
      </w:r>
      <w:proofErr w:type="gramStart"/>
      <w:r w:rsidR="007F4175" w:rsidRPr="000624C6">
        <w:rPr>
          <w:lang w:eastAsia="zh-HK"/>
        </w:rPr>
        <w:t>核貸華映</w:t>
      </w:r>
      <w:proofErr w:type="gramEnd"/>
      <w:r w:rsidR="007F4175" w:rsidRPr="000624C6">
        <w:rPr>
          <w:lang w:eastAsia="zh-HK"/>
        </w:rPr>
        <w:t>公司</w:t>
      </w:r>
      <w:proofErr w:type="gramStart"/>
      <w:r w:rsidR="007F4175" w:rsidRPr="000624C6">
        <w:rPr>
          <w:lang w:eastAsia="zh-HK"/>
        </w:rPr>
        <w:t>承擔高授信</w:t>
      </w:r>
      <w:proofErr w:type="gramEnd"/>
      <w:r w:rsidR="007F4175" w:rsidRPr="000624C6">
        <w:rPr>
          <w:lang w:eastAsia="zh-HK"/>
        </w:rPr>
        <w:t>風險，該公司自97年起連年虧損，98年起累積虧損超過實收資本額二分之一，公股銀行</w:t>
      </w:r>
      <w:proofErr w:type="gramStart"/>
      <w:r w:rsidR="007F4175" w:rsidRPr="000624C6">
        <w:rPr>
          <w:lang w:eastAsia="zh-HK"/>
        </w:rPr>
        <w:t>詎</w:t>
      </w:r>
      <w:proofErr w:type="gramEnd"/>
      <w:r w:rsidR="007F4175" w:rsidRPr="000624C6">
        <w:rPr>
          <w:lang w:eastAsia="zh-HK"/>
        </w:rPr>
        <w:t>於該公司99年聯合貸款</w:t>
      </w:r>
      <w:proofErr w:type="gramStart"/>
      <w:r w:rsidR="007F4175" w:rsidRPr="000624C6">
        <w:rPr>
          <w:lang w:eastAsia="zh-HK"/>
        </w:rPr>
        <w:t>餘欠</w:t>
      </w:r>
      <w:r w:rsidR="00B22A50" w:rsidRPr="000624C6">
        <w:rPr>
          <w:rFonts w:hint="eastAsia"/>
          <w:lang w:eastAsia="zh-HK"/>
        </w:rPr>
        <w:t>約</w:t>
      </w:r>
      <w:proofErr w:type="gramEnd"/>
      <w:r w:rsidR="00B22A50" w:rsidRPr="000624C6">
        <w:rPr>
          <w:lang w:eastAsia="zh-HK"/>
        </w:rPr>
        <w:t>30億元</w:t>
      </w:r>
      <w:r w:rsidR="007F4175" w:rsidRPr="000624C6">
        <w:rPr>
          <w:szCs w:val="48"/>
          <w:lang w:eastAsia="zh-HK"/>
        </w:rPr>
        <w:t>尚</w:t>
      </w:r>
      <w:r w:rsidR="007F4175" w:rsidRPr="000624C6">
        <w:rPr>
          <w:lang w:eastAsia="zh-HK"/>
        </w:rPr>
        <w:t>未清償之際，另於106年重新</w:t>
      </w:r>
      <w:proofErr w:type="gramStart"/>
      <w:r w:rsidR="007F4175" w:rsidRPr="000624C6">
        <w:rPr>
          <w:szCs w:val="48"/>
          <w:lang w:eastAsia="zh-HK"/>
        </w:rPr>
        <w:t>籌組</w:t>
      </w:r>
      <w:r w:rsidR="002C7D1B" w:rsidRPr="000624C6">
        <w:rPr>
          <w:rFonts w:hint="eastAsia"/>
          <w:lang w:eastAsia="zh-HK"/>
        </w:rPr>
        <w:t>參貸</w:t>
      </w:r>
      <w:proofErr w:type="gramEnd"/>
      <w:r w:rsidR="002C7D1B" w:rsidRPr="000624C6">
        <w:rPr>
          <w:rFonts w:hint="eastAsia"/>
        </w:rPr>
        <w:t>57</w:t>
      </w:r>
      <w:r w:rsidR="002C7D1B" w:rsidRPr="000624C6">
        <w:rPr>
          <w:rFonts w:hint="eastAsia"/>
          <w:lang w:eastAsia="zh-HK"/>
        </w:rPr>
        <w:t>億元</w:t>
      </w:r>
      <w:r w:rsidR="007F4175" w:rsidRPr="000624C6">
        <w:rPr>
          <w:lang w:eastAsia="zh-HK"/>
        </w:rPr>
        <w:t>，</w:t>
      </w:r>
      <w:r w:rsidR="007F4175" w:rsidRPr="000624C6">
        <w:rPr>
          <w:szCs w:val="48"/>
          <w:lang w:eastAsia="zh-HK"/>
        </w:rPr>
        <w:t>衍生不良債權</w:t>
      </w:r>
      <w:r w:rsidR="007F4175" w:rsidRPr="000624C6">
        <w:rPr>
          <w:lang w:eastAsia="zh-HK"/>
        </w:rPr>
        <w:t>，</w:t>
      </w:r>
      <w:r w:rsidR="007F4175" w:rsidRPr="000624C6">
        <w:rPr>
          <w:szCs w:val="48"/>
          <w:lang w:eastAsia="zh-HK"/>
        </w:rPr>
        <w:t>損及</w:t>
      </w:r>
      <w:r w:rsidR="007F4175" w:rsidRPr="000624C6">
        <w:rPr>
          <w:lang w:eastAsia="zh-HK"/>
        </w:rPr>
        <w:t>公股權益；</w:t>
      </w:r>
      <w:proofErr w:type="gramStart"/>
      <w:r w:rsidR="007F4175" w:rsidRPr="000624C6">
        <w:rPr>
          <w:lang w:eastAsia="zh-HK"/>
        </w:rPr>
        <w:t>又金管</w:t>
      </w:r>
      <w:proofErr w:type="gramEnd"/>
      <w:r w:rsidR="007F4175" w:rsidRPr="000624C6">
        <w:rPr>
          <w:lang w:eastAsia="zh-HK"/>
        </w:rPr>
        <w:t>會檢查亦</w:t>
      </w:r>
      <w:r w:rsidR="007F4175" w:rsidRPr="000624C6">
        <w:t>發現</w:t>
      </w:r>
      <w:r w:rsidR="007F4175" w:rsidRPr="000624C6">
        <w:rPr>
          <w:lang w:eastAsia="zh-HK"/>
        </w:rPr>
        <w:t>臺灣銀行、土地銀行、合作金庫、台灣中小企銀等</w:t>
      </w:r>
      <w:r w:rsidR="007F4175" w:rsidRPr="000624C6">
        <w:t>4</w:t>
      </w:r>
      <w:r w:rsidR="007F4175" w:rsidRPr="000624C6">
        <w:rPr>
          <w:lang w:eastAsia="zh-HK"/>
        </w:rPr>
        <w:t>家公股銀行辦理該公司徵授信作業存有缺失，財政部實應督導轄管公股銀行檢討改善</w:t>
      </w:r>
      <w:r w:rsidR="007F4175" w:rsidRPr="000624C6">
        <w:t>。</w:t>
      </w:r>
    </w:p>
    <w:p w:rsidR="007E4A0D" w:rsidRPr="000624C6" w:rsidRDefault="007E4A0D" w:rsidP="00CF1AA9">
      <w:pPr>
        <w:pStyle w:val="2"/>
        <w:rPr>
          <w:rFonts w:hAnsi="標楷體"/>
          <w:b/>
        </w:rPr>
      </w:pPr>
      <w:r w:rsidRPr="000624C6">
        <w:rPr>
          <w:rFonts w:hAnsi="標楷體"/>
          <w:b/>
        </w:rPr>
        <w:t>大同公司</w:t>
      </w:r>
      <w:r w:rsidRPr="000624C6">
        <w:rPr>
          <w:rFonts w:hAnsi="標楷體"/>
          <w:b/>
          <w:lang w:eastAsia="zh-HK"/>
        </w:rPr>
        <w:t>委任</w:t>
      </w:r>
      <w:r w:rsidRPr="000624C6">
        <w:rPr>
          <w:rFonts w:hAnsi="標楷體"/>
          <w:b/>
        </w:rPr>
        <w:t>陳董事</w:t>
      </w:r>
      <w:r w:rsidRPr="000624C6">
        <w:rPr>
          <w:rFonts w:hAnsi="標楷體"/>
          <w:b/>
          <w:lang w:eastAsia="zh-HK"/>
        </w:rPr>
        <w:t>於</w:t>
      </w:r>
      <w:r w:rsidRPr="000624C6">
        <w:rPr>
          <w:rFonts w:hAnsi="標楷體"/>
          <w:b/>
        </w:rPr>
        <w:t>臺灣高等法院</w:t>
      </w:r>
      <w:proofErr w:type="gramStart"/>
      <w:r w:rsidRPr="000624C6">
        <w:rPr>
          <w:rFonts w:hAnsi="標楷體"/>
          <w:b/>
        </w:rPr>
        <w:t>106</w:t>
      </w:r>
      <w:proofErr w:type="gramEnd"/>
      <w:r w:rsidRPr="000624C6">
        <w:rPr>
          <w:rFonts w:hAnsi="標楷體"/>
          <w:b/>
        </w:rPr>
        <w:t>年度金上字第17號事件</w:t>
      </w:r>
      <w:r w:rsidRPr="000624C6">
        <w:rPr>
          <w:rFonts w:hAnsi="標楷體"/>
          <w:b/>
          <w:lang w:eastAsia="zh-HK"/>
        </w:rPr>
        <w:t>擔任轉投資</w:t>
      </w:r>
      <w:proofErr w:type="gramStart"/>
      <w:r w:rsidRPr="000624C6">
        <w:rPr>
          <w:rFonts w:hAnsi="標楷體"/>
          <w:b/>
          <w:lang w:eastAsia="zh-HK"/>
        </w:rPr>
        <w:t>事業</w:t>
      </w:r>
      <w:r w:rsidRPr="000624C6">
        <w:rPr>
          <w:rFonts w:hAnsi="標楷體"/>
          <w:b/>
        </w:rPr>
        <w:t>綠能公司</w:t>
      </w:r>
      <w:proofErr w:type="gramEnd"/>
      <w:r w:rsidRPr="000624C6">
        <w:rPr>
          <w:rFonts w:hAnsi="標楷體"/>
          <w:b/>
        </w:rPr>
        <w:t>之訴訟代理人，</w:t>
      </w:r>
      <w:r w:rsidR="00E731BA" w:rsidRPr="000624C6">
        <w:rPr>
          <w:rFonts w:hAnsi="標楷體"/>
          <w:b/>
          <w:lang w:eastAsia="zh-HK"/>
        </w:rPr>
        <w:t>有</w:t>
      </w:r>
      <w:r w:rsidRPr="000624C6">
        <w:rPr>
          <w:rFonts w:hAnsi="標楷體"/>
          <w:b/>
          <w:lang w:eastAsia="zh-HK"/>
        </w:rPr>
        <w:t>損</w:t>
      </w:r>
      <w:r w:rsidRPr="000624C6">
        <w:rPr>
          <w:rFonts w:hAnsi="標楷體"/>
          <w:b/>
        </w:rPr>
        <w:t>大同公司</w:t>
      </w:r>
      <w:r w:rsidR="00CE2D27" w:rsidRPr="000624C6">
        <w:rPr>
          <w:rFonts w:hAnsi="標楷體"/>
          <w:b/>
          <w:lang w:eastAsia="zh-HK"/>
        </w:rPr>
        <w:t>與</w:t>
      </w:r>
      <w:r w:rsidRPr="000624C6">
        <w:rPr>
          <w:rFonts w:hAnsi="標楷體"/>
          <w:b/>
        </w:rPr>
        <w:t>其</w:t>
      </w:r>
      <w:r w:rsidR="00314D51" w:rsidRPr="000624C6">
        <w:rPr>
          <w:rFonts w:hAnsi="標楷體"/>
          <w:b/>
          <w:lang w:eastAsia="zh-HK"/>
        </w:rPr>
        <w:t>多數</w:t>
      </w:r>
      <w:r w:rsidRPr="000624C6">
        <w:rPr>
          <w:rFonts w:hAnsi="標楷體"/>
          <w:b/>
        </w:rPr>
        <w:t>股東</w:t>
      </w:r>
      <w:r w:rsidRPr="000624C6">
        <w:rPr>
          <w:rFonts w:hAnsi="標楷體"/>
          <w:b/>
          <w:lang w:eastAsia="zh-HK"/>
        </w:rPr>
        <w:t>權益</w:t>
      </w:r>
      <w:r w:rsidR="00CE2D27" w:rsidRPr="000624C6">
        <w:rPr>
          <w:rFonts w:hAnsi="標楷體"/>
          <w:b/>
          <w:lang w:eastAsia="zh-HK"/>
        </w:rPr>
        <w:t>之虞</w:t>
      </w:r>
      <w:r w:rsidRPr="000624C6">
        <w:rPr>
          <w:rFonts w:hAnsi="標楷體"/>
          <w:b/>
        </w:rPr>
        <w:t>，</w:t>
      </w:r>
      <w:r w:rsidR="00314D51" w:rsidRPr="000624C6">
        <w:rPr>
          <w:rFonts w:hAnsi="標楷體"/>
          <w:b/>
          <w:lang w:eastAsia="zh-HK"/>
        </w:rPr>
        <w:t>與</w:t>
      </w:r>
      <w:proofErr w:type="gramStart"/>
      <w:r w:rsidRPr="000624C6">
        <w:rPr>
          <w:rFonts w:hAnsi="標楷體"/>
          <w:b/>
          <w:lang w:eastAsia="zh-HK"/>
        </w:rPr>
        <w:t>律師法</w:t>
      </w:r>
      <w:r w:rsidR="00CE2D27" w:rsidRPr="000624C6">
        <w:rPr>
          <w:rFonts w:hAnsi="標楷體"/>
          <w:b/>
          <w:lang w:eastAsia="zh-HK"/>
        </w:rPr>
        <w:t>誠正</w:t>
      </w:r>
      <w:proofErr w:type="gramEnd"/>
      <w:r w:rsidR="00CE2D27" w:rsidRPr="000624C6">
        <w:rPr>
          <w:rFonts w:hAnsi="標楷體"/>
          <w:b/>
          <w:lang w:eastAsia="zh-HK"/>
        </w:rPr>
        <w:t>信實執行職務之規定</w:t>
      </w:r>
      <w:r w:rsidR="00314D51" w:rsidRPr="000624C6">
        <w:rPr>
          <w:rFonts w:hAnsi="標楷體"/>
          <w:b/>
          <w:lang w:eastAsia="zh-HK"/>
        </w:rPr>
        <w:t>似</w:t>
      </w:r>
      <w:proofErr w:type="gramStart"/>
      <w:r w:rsidR="00314D51" w:rsidRPr="000624C6">
        <w:rPr>
          <w:rFonts w:hAnsi="標楷體"/>
          <w:b/>
          <w:lang w:eastAsia="zh-HK"/>
        </w:rPr>
        <w:t>有未洽</w:t>
      </w:r>
      <w:proofErr w:type="gramEnd"/>
      <w:r w:rsidR="00CE2D27" w:rsidRPr="000624C6">
        <w:rPr>
          <w:rFonts w:hAnsi="標楷體"/>
          <w:b/>
          <w:lang w:eastAsia="zh-HK"/>
        </w:rPr>
        <w:t>，且</w:t>
      </w:r>
      <w:r w:rsidR="004E6AE7" w:rsidRPr="000624C6">
        <w:rPr>
          <w:rFonts w:hAnsi="標楷體"/>
          <w:b/>
          <w:lang w:eastAsia="zh-HK"/>
        </w:rPr>
        <w:t>是否</w:t>
      </w:r>
      <w:r w:rsidR="00CE2D27" w:rsidRPr="000624C6">
        <w:rPr>
          <w:rFonts w:hAnsi="標楷體"/>
          <w:b/>
          <w:lang w:eastAsia="zh-HK"/>
        </w:rPr>
        <w:t>涉</w:t>
      </w:r>
      <w:r w:rsidRPr="000624C6">
        <w:rPr>
          <w:rFonts w:hAnsi="標楷體"/>
          <w:b/>
        </w:rPr>
        <w:t>律師倫理規範</w:t>
      </w:r>
      <w:r w:rsidRPr="000624C6">
        <w:rPr>
          <w:rFonts w:hAnsi="標楷體"/>
          <w:b/>
          <w:lang w:eastAsia="zh-HK"/>
        </w:rPr>
        <w:t>所定</w:t>
      </w:r>
      <w:r w:rsidRPr="000624C6">
        <w:rPr>
          <w:rFonts w:hAnsi="標楷體"/>
          <w:b/>
        </w:rPr>
        <w:t>利害相衝突，法務部</w:t>
      </w:r>
      <w:proofErr w:type="gramStart"/>
      <w:r w:rsidRPr="000624C6">
        <w:rPr>
          <w:rFonts w:hAnsi="標楷體"/>
          <w:b/>
          <w:lang w:eastAsia="zh-HK"/>
        </w:rPr>
        <w:t>允應督請</w:t>
      </w:r>
      <w:proofErr w:type="gramEnd"/>
      <w:r w:rsidRPr="000624C6">
        <w:rPr>
          <w:rFonts w:hAnsi="標楷體"/>
          <w:b/>
          <w:lang w:eastAsia="zh-HK"/>
        </w:rPr>
        <w:t>所屬</w:t>
      </w:r>
      <w:proofErr w:type="gramStart"/>
      <w:r w:rsidRPr="000624C6">
        <w:rPr>
          <w:rFonts w:hAnsi="標楷體"/>
          <w:b/>
          <w:lang w:eastAsia="zh-HK"/>
        </w:rPr>
        <w:t>查明妥處</w:t>
      </w:r>
      <w:proofErr w:type="gramEnd"/>
      <w:r w:rsidRPr="000624C6">
        <w:rPr>
          <w:rFonts w:hAnsi="標楷體"/>
          <w:b/>
          <w:lang w:eastAsia="zh-HK"/>
        </w:rPr>
        <w:t>。</w:t>
      </w:r>
    </w:p>
    <w:p w:rsidR="00CB6025" w:rsidRPr="000624C6" w:rsidRDefault="00ED5C8F" w:rsidP="00CF1AA9">
      <w:pPr>
        <w:pStyle w:val="3"/>
        <w:rPr>
          <w:rFonts w:hAnsi="標楷體"/>
        </w:rPr>
      </w:pPr>
      <w:r w:rsidRPr="000624C6">
        <w:rPr>
          <w:rFonts w:hAnsi="標楷體"/>
          <w:bCs w:val="0"/>
          <w:lang w:eastAsia="zh-HK"/>
        </w:rPr>
        <w:t>按律師法第1條規定：「律師以保障人權、實現社會正義及促進民主法治為使命。律師應基於前項使命，本於自律自治之精神，誠正信實執行職務，維護社會公義及改善法律制度。」另中華民國律師公會全國聯合會訂定之律師倫理規範第30條第1項第2款及第9款則規定：「律師不得受任下列事件…</w:t>
      </w:r>
      <w:proofErr w:type="gramStart"/>
      <w:r w:rsidRPr="000624C6">
        <w:rPr>
          <w:rFonts w:hAnsi="標楷體"/>
          <w:bCs w:val="0"/>
          <w:lang w:eastAsia="zh-HK"/>
        </w:rPr>
        <w:t>…</w:t>
      </w:r>
      <w:proofErr w:type="gramEnd"/>
      <w:r w:rsidRPr="000624C6">
        <w:rPr>
          <w:rFonts w:hAnsi="標楷體"/>
          <w:bCs w:val="0"/>
          <w:lang w:eastAsia="zh-HK"/>
        </w:rPr>
        <w:t>二、與受任之事件利害相衝突之同一或有實質關聯之事件…</w:t>
      </w:r>
      <w:proofErr w:type="gramStart"/>
      <w:r w:rsidRPr="000624C6">
        <w:rPr>
          <w:rFonts w:hAnsi="標楷體"/>
          <w:bCs w:val="0"/>
          <w:lang w:eastAsia="zh-HK"/>
        </w:rPr>
        <w:t>…</w:t>
      </w:r>
      <w:proofErr w:type="gramEnd"/>
      <w:r w:rsidRPr="000624C6">
        <w:rPr>
          <w:rFonts w:hAnsi="標楷體"/>
          <w:bCs w:val="0"/>
          <w:lang w:eastAsia="zh-HK"/>
        </w:rPr>
        <w:t>九、其他與律師對其他委任人、前委任人或第三人之現存義務有衝突之事件。」次</w:t>
      </w:r>
      <w:r w:rsidR="001C7DE3" w:rsidRPr="000624C6">
        <w:rPr>
          <w:rFonts w:hAnsi="標楷體"/>
          <w:lang w:eastAsia="zh-HK"/>
        </w:rPr>
        <w:t>按</w:t>
      </w:r>
      <w:r w:rsidR="001C7DE3" w:rsidRPr="000624C6">
        <w:rPr>
          <w:rFonts w:hAnsi="標楷體"/>
          <w:bCs w:val="0"/>
          <w:lang w:eastAsia="zh-HK"/>
        </w:rPr>
        <w:t>公司</w:t>
      </w:r>
      <w:r w:rsidR="001C7DE3" w:rsidRPr="000624C6">
        <w:rPr>
          <w:rFonts w:hAnsi="標楷體"/>
          <w:bCs w:val="0"/>
          <w:lang w:eastAsia="zh-HK"/>
        </w:rPr>
        <w:lastRenderedPageBreak/>
        <w:t>法第8條第1項規定：「本法所稱公司負責人…</w:t>
      </w:r>
      <w:proofErr w:type="gramStart"/>
      <w:r w:rsidR="001C7DE3" w:rsidRPr="000624C6">
        <w:rPr>
          <w:rFonts w:hAnsi="標楷體"/>
          <w:bCs w:val="0"/>
          <w:lang w:eastAsia="zh-HK"/>
        </w:rPr>
        <w:t>…</w:t>
      </w:r>
      <w:proofErr w:type="gramEnd"/>
      <w:r w:rsidR="001C7DE3" w:rsidRPr="000624C6">
        <w:rPr>
          <w:rFonts w:hAnsi="標楷體"/>
          <w:bCs w:val="0"/>
          <w:lang w:eastAsia="zh-HK"/>
        </w:rPr>
        <w:t>在有限公司、股份有限公司為董事。」同法第23條</w:t>
      </w:r>
      <w:r w:rsidR="00397A45" w:rsidRPr="000624C6">
        <w:rPr>
          <w:rFonts w:hAnsi="標楷體"/>
          <w:bCs w:val="0"/>
          <w:lang w:eastAsia="zh-HK"/>
        </w:rPr>
        <w:t>第1項規定：「公司負責人應忠實執行業務並盡善良管理人之注意義務，如有違反致公司受有損害者，負損害賠償責任。」</w:t>
      </w:r>
      <w:r w:rsidR="00CB6025" w:rsidRPr="000624C6">
        <w:rPr>
          <w:rFonts w:hAnsi="標楷體"/>
          <w:lang w:eastAsia="zh-HK"/>
        </w:rPr>
        <w:t>陳情人指稱：「</w:t>
      </w:r>
      <w:proofErr w:type="gramStart"/>
      <w:r w:rsidR="00CB6025" w:rsidRPr="000624C6">
        <w:rPr>
          <w:rFonts w:hAnsi="標楷體"/>
          <w:lang w:eastAsia="zh-HK"/>
        </w:rPr>
        <w:t>綠能公司</w:t>
      </w:r>
      <w:proofErr w:type="gramEnd"/>
      <w:r w:rsidR="00CB6025" w:rsidRPr="000624C6">
        <w:rPr>
          <w:rFonts w:hAnsi="標楷體"/>
          <w:lang w:eastAsia="zh-HK"/>
        </w:rPr>
        <w:t>於100年間發生重大內線交易，損害投資人權益，</w:t>
      </w:r>
      <w:r w:rsidR="00C41A1E" w:rsidRPr="000624C6">
        <w:rPr>
          <w:rFonts w:hAnsi="標楷體"/>
          <w:lang w:eastAsia="zh-HK"/>
        </w:rPr>
        <w:t>財團法人證券投資人及期貨交易人保護中心</w:t>
      </w:r>
      <w:r w:rsidR="00CB6025" w:rsidRPr="000624C6">
        <w:rPr>
          <w:rFonts w:hAnsi="標楷體"/>
          <w:lang w:eastAsia="zh-HK"/>
        </w:rPr>
        <w:t>受理投資受害人委任求償，經臺灣高等法院</w:t>
      </w:r>
      <w:proofErr w:type="gramStart"/>
      <w:r w:rsidR="00CB6025" w:rsidRPr="000624C6">
        <w:rPr>
          <w:rFonts w:hAnsi="標楷體"/>
          <w:lang w:eastAsia="zh-HK"/>
        </w:rPr>
        <w:t>106</w:t>
      </w:r>
      <w:proofErr w:type="gramEnd"/>
      <w:r w:rsidR="00CB6025" w:rsidRPr="000624C6">
        <w:rPr>
          <w:rFonts w:hAnsi="標楷體"/>
          <w:lang w:eastAsia="zh-HK"/>
        </w:rPr>
        <w:t>年</w:t>
      </w:r>
      <w:r w:rsidR="00CB6025" w:rsidRPr="000624C6">
        <w:rPr>
          <w:rFonts w:hAnsi="標楷體"/>
        </w:rPr>
        <w:t>度金上字第17號判決</w:t>
      </w:r>
      <w:r w:rsidR="00AD4CDC" w:rsidRPr="000624C6">
        <w:rPr>
          <w:rFonts w:hAnsi="標楷體"/>
        </w:rPr>
        <w:t>，</w:t>
      </w:r>
      <w:proofErr w:type="gramStart"/>
      <w:r w:rsidR="00CB6025" w:rsidRPr="000624C6">
        <w:rPr>
          <w:rFonts w:hAnsi="標楷體"/>
        </w:rPr>
        <w:t>綠能公司</w:t>
      </w:r>
      <w:proofErr w:type="gramEnd"/>
      <w:r w:rsidR="00CB6025" w:rsidRPr="000624C6">
        <w:rPr>
          <w:rFonts w:hAnsi="標楷體"/>
        </w:rPr>
        <w:t>及其負責人應負損害賠償責任，</w:t>
      </w:r>
      <w:r w:rsidR="00942F2C" w:rsidRPr="000624C6">
        <w:rPr>
          <w:rFonts w:hAnsi="標楷體"/>
        </w:rPr>
        <w:t>然</w:t>
      </w:r>
      <w:r w:rsidR="00CB6025" w:rsidRPr="000624C6">
        <w:rPr>
          <w:rFonts w:hAnsi="標楷體"/>
        </w:rPr>
        <w:t>大同公司陳董事</w:t>
      </w:r>
      <w:r w:rsidR="00942F2C" w:rsidRPr="000624C6">
        <w:rPr>
          <w:rFonts w:hAnsi="標楷體"/>
        </w:rPr>
        <w:t>於上開損害賠償事件擔任</w:t>
      </w:r>
      <w:r w:rsidR="001A10C2" w:rsidRPr="000624C6">
        <w:rPr>
          <w:rFonts w:hAnsi="標楷體"/>
        </w:rPr>
        <w:t>轉投資</w:t>
      </w:r>
      <w:proofErr w:type="gramStart"/>
      <w:r w:rsidR="001A10C2" w:rsidRPr="000624C6">
        <w:rPr>
          <w:rFonts w:hAnsi="標楷體"/>
        </w:rPr>
        <w:t>事業</w:t>
      </w:r>
      <w:r w:rsidR="00942F2C" w:rsidRPr="000624C6">
        <w:rPr>
          <w:rFonts w:hAnsi="標楷體"/>
        </w:rPr>
        <w:t>綠能公司</w:t>
      </w:r>
      <w:proofErr w:type="gramEnd"/>
      <w:r w:rsidR="00942F2C" w:rsidRPr="000624C6">
        <w:rPr>
          <w:rFonts w:hAnsi="標楷體"/>
        </w:rPr>
        <w:t>之訴訟代理人</w:t>
      </w:r>
      <w:r w:rsidR="00CB6025" w:rsidRPr="000624C6">
        <w:rPr>
          <w:rFonts w:hAnsi="標楷體"/>
        </w:rPr>
        <w:t>，與大同公司及其股東之利害相反，涉違反律師法、律師倫理規範或其他規定」等情。</w:t>
      </w:r>
    </w:p>
    <w:p w:rsidR="008B0352" w:rsidRPr="000624C6" w:rsidRDefault="00ED5C8F" w:rsidP="00CF1AA9">
      <w:pPr>
        <w:pStyle w:val="3"/>
        <w:rPr>
          <w:rFonts w:hAnsi="標楷體"/>
        </w:rPr>
      </w:pPr>
      <w:r w:rsidRPr="000624C6">
        <w:rPr>
          <w:rFonts w:hAnsi="標楷體"/>
        </w:rPr>
        <w:t>經查，</w:t>
      </w:r>
      <w:r w:rsidR="00C10183" w:rsidRPr="000624C6">
        <w:rPr>
          <w:rFonts w:hAnsi="標楷體"/>
        </w:rPr>
        <w:t>依照律師法第28條及法務部90年6月27日（90）法檢字第015836號</w:t>
      </w:r>
      <w:proofErr w:type="gramStart"/>
      <w:r w:rsidR="00C10183" w:rsidRPr="000624C6">
        <w:rPr>
          <w:rFonts w:hAnsi="標楷體"/>
        </w:rPr>
        <w:t>函釋</w:t>
      </w:r>
      <w:r w:rsidR="00C10183" w:rsidRPr="000624C6">
        <w:rPr>
          <w:rFonts w:hAnsi="標楷體"/>
          <w:lang w:eastAsia="zh-HK"/>
        </w:rPr>
        <w:t>略謂</w:t>
      </w:r>
      <w:proofErr w:type="gramEnd"/>
      <w:r w:rsidR="00C10183" w:rsidRPr="000624C6">
        <w:rPr>
          <w:rFonts w:hAnsi="標楷體"/>
        </w:rPr>
        <w:t>：「司法人員離職後仍得向離職前3年內曾任職務之管轄區域法院聲請登錄，</w:t>
      </w:r>
      <w:proofErr w:type="gramStart"/>
      <w:r w:rsidR="00C10183" w:rsidRPr="000624C6">
        <w:rPr>
          <w:rFonts w:hAnsi="標楷體"/>
        </w:rPr>
        <w:t>俾</w:t>
      </w:r>
      <w:proofErr w:type="gramEnd"/>
      <w:r w:rsidR="00C10183" w:rsidRPr="000624C6">
        <w:rPr>
          <w:rFonts w:hAnsi="標楷體"/>
        </w:rPr>
        <w:t>在未曾任職務之法院執行職務。</w:t>
      </w:r>
      <w:r w:rsidR="00C10183" w:rsidRPr="000624C6">
        <w:rPr>
          <w:rFonts w:hAnsi="標楷體"/>
          <w:vertAlign w:val="superscript"/>
        </w:rPr>
        <w:footnoteReference w:id="10"/>
      </w:r>
      <w:r w:rsidR="00C10183" w:rsidRPr="000624C6">
        <w:rPr>
          <w:rFonts w:hAnsi="標楷體"/>
        </w:rPr>
        <w:t>」陳律師</w:t>
      </w:r>
      <w:r w:rsidRPr="000624C6">
        <w:rPr>
          <w:rFonts w:hAnsi="標楷體"/>
        </w:rPr>
        <w:t>執</w:t>
      </w:r>
      <w:r w:rsidRPr="000624C6">
        <w:rPr>
          <w:rFonts w:hAnsi="標楷體"/>
        </w:rPr>
        <w:lastRenderedPageBreak/>
        <w:t>行職務區域與期間</w:t>
      </w:r>
      <w:r w:rsidR="00394EEB" w:rsidRPr="000624C6">
        <w:rPr>
          <w:rFonts w:hAnsi="標楷體"/>
        </w:rPr>
        <w:t>之</w:t>
      </w:r>
      <w:r w:rsidRPr="000624C6">
        <w:rPr>
          <w:rFonts w:hAnsi="標楷體"/>
        </w:rPr>
        <w:t>限制，</w:t>
      </w:r>
      <w:r w:rsidR="00BB1984" w:rsidRPr="000624C6">
        <w:rPr>
          <w:rFonts w:hAnsi="標楷體"/>
        </w:rPr>
        <w:t>法務部律師查詢系統網站之頁面註明</w:t>
      </w:r>
      <w:r w:rsidRPr="000624C6">
        <w:rPr>
          <w:rFonts w:hAnsi="標楷體"/>
        </w:rPr>
        <w:t>為</w:t>
      </w:r>
      <w:r w:rsidR="00BB1984" w:rsidRPr="000624C6">
        <w:rPr>
          <w:rFonts w:hAnsi="標楷體"/>
        </w:rPr>
        <w:t>「103年1月2日至106年1月20日、105年8月10日至108年8月9日不得在臺灣高等法院檢察署、最高法院檢察署執行律師職務。」另查大同公司於106年5月11日委任陳律師擔任董事職務至今，</w:t>
      </w:r>
      <w:r w:rsidR="00596259" w:rsidRPr="000624C6">
        <w:rPr>
          <w:rFonts w:hAnsi="標楷體"/>
        </w:rPr>
        <w:t>根據</w:t>
      </w:r>
      <w:r w:rsidR="00CF3C55" w:rsidRPr="000624C6">
        <w:rPr>
          <w:rFonts w:hAnsi="標楷體"/>
        </w:rPr>
        <w:t>大同公司106、107</w:t>
      </w:r>
      <w:r w:rsidR="00445423" w:rsidRPr="000624C6">
        <w:rPr>
          <w:rFonts w:hAnsi="標楷體"/>
        </w:rPr>
        <w:t>年度年報</w:t>
      </w:r>
      <w:r w:rsidR="00596259" w:rsidRPr="000624C6">
        <w:rPr>
          <w:rFonts w:hAnsi="標楷體"/>
        </w:rPr>
        <w:t>所</w:t>
      </w:r>
      <w:r w:rsidR="00445423" w:rsidRPr="000624C6">
        <w:rPr>
          <w:rFonts w:hAnsi="標楷體"/>
        </w:rPr>
        <w:t>載</w:t>
      </w:r>
      <w:r w:rsidR="00CF3C55" w:rsidRPr="000624C6">
        <w:rPr>
          <w:rFonts w:hAnsi="標楷體"/>
        </w:rPr>
        <w:t>，該公司董事會於106年8月8日、12月21日決議參與</w:t>
      </w:r>
      <w:proofErr w:type="gramStart"/>
      <w:r w:rsidR="00CF3C55" w:rsidRPr="000624C6">
        <w:rPr>
          <w:rFonts w:hAnsi="標楷體"/>
        </w:rPr>
        <w:t>認購綠能公司</w:t>
      </w:r>
      <w:proofErr w:type="gramEnd"/>
      <w:r w:rsidR="00CF3C55" w:rsidRPr="000624C6">
        <w:rPr>
          <w:rFonts w:hAnsi="標楷體"/>
        </w:rPr>
        <w:t>私募發行之普通股，截至108年4月29日</w:t>
      </w:r>
      <w:r w:rsidR="00BB1984" w:rsidRPr="000624C6">
        <w:rPr>
          <w:rFonts w:hAnsi="標楷體"/>
        </w:rPr>
        <w:t>，</w:t>
      </w:r>
      <w:r w:rsidR="00CF3C55" w:rsidRPr="000624C6">
        <w:rPr>
          <w:rFonts w:hAnsi="標楷體"/>
        </w:rPr>
        <w:t>大同公司</w:t>
      </w:r>
      <w:r w:rsidR="002737FE" w:rsidRPr="000624C6">
        <w:rPr>
          <w:rFonts w:hAnsi="標楷體"/>
          <w:lang w:eastAsia="zh-HK"/>
        </w:rPr>
        <w:t>法人股東直接</w:t>
      </w:r>
      <w:proofErr w:type="gramStart"/>
      <w:r w:rsidR="00CF3C55" w:rsidRPr="000624C6">
        <w:rPr>
          <w:rFonts w:hAnsi="標楷體"/>
        </w:rPr>
        <w:t>持有綠能公司</w:t>
      </w:r>
      <w:proofErr w:type="gramEnd"/>
      <w:r w:rsidR="00CF3C55" w:rsidRPr="000624C6">
        <w:rPr>
          <w:rFonts w:hAnsi="標楷體"/>
        </w:rPr>
        <w:t>股數為19,723,865股，持股比例為4.54</w:t>
      </w:r>
      <w:r w:rsidR="00947347" w:rsidRPr="000624C6">
        <w:rPr>
          <w:rFonts w:hAnsi="標楷體"/>
        </w:rPr>
        <w:t>%</w:t>
      </w:r>
      <w:r w:rsidR="00BB1984" w:rsidRPr="000624C6">
        <w:rPr>
          <w:rFonts w:hAnsi="標楷體"/>
        </w:rPr>
        <w:t>。</w:t>
      </w:r>
      <w:r w:rsidR="008B0352" w:rsidRPr="000624C6">
        <w:rPr>
          <w:rFonts w:hAnsi="標楷體"/>
        </w:rPr>
        <w:t>是故</w:t>
      </w:r>
      <w:r w:rsidR="003D699E" w:rsidRPr="000624C6">
        <w:rPr>
          <w:rFonts w:hAnsi="標楷體"/>
        </w:rPr>
        <w:t>，</w:t>
      </w:r>
      <w:r w:rsidR="00EF5179" w:rsidRPr="000624C6">
        <w:rPr>
          <w:rFonts w:hAnsi="標楷體"/>
        </w:rPr>
        <w:t>大同公司董事陳律師應依照公司法第23</w:t>
      </w:r>
      <w:r w:rsidR="00EA61BE" w:rsidRPr="000624C6">
        <w:rPr>
          <w:rFonts w:hAnsi="標楷體"/>
        </w:rPr>
        <w:t>條規定為該公司</w:t>
      </w:r>
      <w:r w:rsidR="00EA61BE" w:rsidRPr="000624C6">
        <w:rPr>
          <w:rFonts w:hAnsi="標楷體"/>
          <w:lang w:eastAsia="zh-HK"/>
        </w:rPr>
        <w:t>與</w:t>
      </w:r>
      <w:r w:rsidR="00EF5179" w:rsidRPr="000624C6">
        <w:rPr>
          <w:rFonts w:hAnsi="標楷體"/>
        </w:rPr>
        <w:t>其</w:t>
      </w:r>
      <w:r w:rsidR="00EA61BE" w:rsidRPr="000624C6">
        <w:rPr>
          <w:rFonts w:hAnsi="標楷體"/>
          <w:lang w:eastAsia="zh-HK"/>
        </w:rPr>
        <w:t>多數</w:t>
      </w:r>
      <w:r w:rsidR="00EF5179" w:rsidRPr="000624C6">
        <w:rPr>
          <w:rFonts w:hAnsi="標楷體"/>
        </w:rPr>
        <w:t>股東忠實執行事務，</w:t>
      </w:r>
      <w:proofErr w:type="gramStart"/>
      <w:r w:rsidR="00286D50" w:rsidRPr="000624C6">
        <w:rPr>
          <w:rFonts w:hAnsi="標楷體"/>
        </w:rPr>
        <w:t>然上開</w:t>
      </w:r>
      <w:proofErr w:type="gramEnd"/>
      <w:r w:rsidR="00286D50" w:rsidRPr="000624C6">
        <w:rPr>
          <w:rFonts w:hAnsi="標楷體"/>
        </w:rPr>
        <w:t>民事訴訟係</w:t>
      </w:r>
      <w:r w:rsidR="00C41A1E" w:rsidRPr="000624C6">
        <w:rPr>
          <w:rFonts w:hAnsi="標楷體"/>
          <w:lang w:eastAsia="zh-HK"/>
        </w:rPr>
        <w:t>財團法人證券投資人及期貨交易人保護中心</w:t>
      </w:r>
      <w:proofErr w:type="gramStart"/>
      <w:r w:rsidR="00286D50" w:rsidRPr="000624C6">
        <w:rPr>
          <w:rFonts w:hAnsi="標楷體"/>
        </w:rPr>
        <w:t>受理綠能公司</w:t>
      </w:r>
      <w:proofErr w:type="gramEnd"/>
      <w:r w:rsidR="00286D50" w:rsidRPr="000624C6">
        <w:rPr>
          <w:rFonts w:hAnsi="標楷體"/>
        </w:rPr>
        <w:t>投資受害人委任求償，</w:t>
      </w:r>
      <w:r w:rsidR="00EF5179" w:rsidRPr="000624C6">
        <w:rPr>
          <w:rFonts w:hAnsi="標楷體"/>
        </w:rPr>
        <w:t>大同公司</w:t>
      </w:r>
      <w:r w:rsidR="002737FE" w:rsidRPr="000624C6">
        <w:rPr>
          <w:rFonts w:hAnsi="標楷體"/>
          <w:lang w:eastAsia="zh-HK"/>
        </w:rPr>
        <w:t>法人股東直接</w:t>
      </w:r>
      <w:r w:rsidR="009D52F8" w:rsidRPr="000624C6">
        <w:rPr>
          <w:rFonts w:hAnsi="標楷體"/>
        </w:rPr>
        <w:t>持</w:t>
      </w:r>
      <w:r w:rsidR="004E6AE7" w:rsidRPr="000624C6">
        <w:rPr>
          <w:rFonts w:hAnsi="標楷體"/>
          <w:lang w:eastAsia="zh-HK"/>
        </w:rPr>
        <w:t>有</w:t>
      </w:r>
      <w:r w:rsidR="003E28EC" w:rsidRPr="000624C6">
        <w:rPr>
          <w:rFonts w:hAnsi="標楷體"/>
          <w:lang w:eastAsia="zh-HK"/>
        </w:rPr>
        <w:t>該</w:t>
      </w:r>
      <w:r w:rsidR="004E6AE7" w:rsidRPr="000624C6">
        <w:rPr>
          <w:rFonts w:hAnsi="標楷體"/>
        </w:rPr>
        <w:t>公司</w:t>
      </w:r>
      <w:r w:rsidR="009D52F8" w:rsidRPr="000624C6">
        <w:rPr>
          <w:rFonts w:hAnsi="標楷體"/>
        </w:rPr>
        <w:t>4.54</w:t>
      </w:r>
      <w:r w:rsidR="00947347" w:rsidRPr="000624C6">
        <w:rPr>
          <w:rFonts w:hAnsi="標楷體"/>
        </w:rPr>
        <w:t>%</w:t>
      </w:r>
      <w:r w:rsidR="004E6AE7" w:rsidRPr="000624C6">
        <w:rPr>
          <w:rFonts w:hAnsi="標楷體"/>
          <w:lang w:eastAsia="zh-HK"/>
        </w:rPr>
        <w:t>股權</w:t>
      </w:r>
      <w:r w:rsidR="003E28EC" w:rsidRPr="000624C6">
        <w:rPr>
          <w:rFonts w:hAnsi="標楷體"/>
          <w:lang w:eastAsia="zh-HK"/>
        </w:rPr>
        <w:t>，</w:t>
      </w:r>
      <w:r w:rsidR="00EF5179" w:rsidRPr="000624C6">
        <w:rPr>
          <w:rFonts w:hAnsi="標楷體"/>
        </w:rPr>
        <w:t>同為投資人，</w:t>
      </w:r>
      <w:r w:rsidR="004562A7" w:rsidRPr="000624C6">
        <w:rPr>
          <w:rFonts w:hAnsi="標楷體"/>
        </w:rPr>
        <w:t>由</w:t>
      </w:r>
      <w:r w:rsidR="00286D50" w:rsidRPr="000624C6">
        <w:rPr>
          <w:rFonts w:hAnsi="標楷體"/>
        </w:rPr>
        <w:t>陳董事</w:t>
      </w:r>
      <w:proofErr w:type="gramStart"/>
      <w:r w:rsidR="00286D50" w:rsidRPr="000624C6">
        <w:rPr>
          <w:rFonts w:hAnsi="標楷體"/>
        </w:rPr>
        <w:t>擔任綠能公司</w:t>
      </w:r>
      <w:proofErr w:type="gramEnd"/>
      <w:r w:rsidR="00286D50" w:rsidRPr="000624C6">
        <w:rPr>
          <w:rFonts w:hAnsi="標楷體"/>
        </w:rPr>
        <w:t>之訴訟代理人，能否依照</w:t>
      </w:r>
      <w:r w:rsidR="00B34918" w:rsidRPr="000624C6">
        <w:rPr>
          <w:rFonts w:hAnsi="標楷體"/>
          <w:lang w:eastAsia="zh-HK"/>
        </w:rPr>
        <w:t>律師法</w:t>
      </w:r>
      <w:proofErr w:type="gramStart"/>
      <w:r w:rsidR="00286D50" w:rsidRPr="000624C6">
        <w:rPr>
          <w:rFonts w:hAnsi="標楷體"/>
        </w:rPr>
        <w:t>第1條誠</w:t>
      </w:r>
      <w:proofErr w:type="gramEnd"/>
      <w:r w:rsidR="00286D50" w:rsidRPr="000624C6">
        <w:rPr>
          <w:rFonts w:hAnsi="標楷體"/>
        </w:rPr>
        <w:t>正</w:t>
      </w:r>
      <w:proofErr w:type="gramStart"/>
      <w:r w:rsidR="00286D50" w:rsidRPr="000624C6">
        <w:rPr>
          <w:rFonts w:hAnsi="標楷體"/>
        </w:rPr>
        <w:t>信實求取</w:t>
      </w:r>
      <w:proofErr w:type="gramEnd"/>
      <w:r w:rsidR="00286D50" w:rsidRPr="000624C6">
        <w:rPr>
          <w:rFonts w:hAnsi="標楷體"/>
        </w:rPr>
        <w:t>委任</w:t>
      </w:r>
      <w:proofErr w:type="gramStart"/>
      <w:r w:rsidR="00286D50" w:rsidRPr="000624C6">
        <w:rPr>
          <w:rFonts w:hAnsi="標楷體"/>
        </w:rPr>
        <w:t>人綠能</w:t>
      </w:r>
      <w:proofErr w:type="gramEnd"/>
      <w:r w:rsidR="00286D50" w:rsidRPr="000624C6">
        <w:rPr>
          <w:rFonts w:hAnsi="標楷體"/>
        </w:rPr>
        <w:t>公司之最大利益，或有無為</w:t>
      </w:r>
      <w:proofErr w:type="gramStart"/>
      <w:r w:rsidR="00286D50" w:rsidRPr="000624C6">
        <w:rPr>
          <w:rFonts w:hAnsi="標楷體"/>
        </w:rPr>
        <w:t>迴</w:t>
      </w:r>
      <w:proofErr w:type="gramEnd"/>
      <w:r w:rsidR="00286D50" w:rsidRPr="000624C6">
        <w:rPr>
          <w:rFonts w:hAnsi="標楷體"/>
        </w:rPr>
        <w:t>護其中</w:t>
      </w:r>
      <w:r w:rsidR="004562A7" w:rsidRPr="000624C6">
        <w:rPr>
          <w:rFonts w:hAnsi="標楷體"/>
        </w:rPr>
        <w:t>任</w:t>
      </w:r>
      <w:r w:rsidR="00286D50" w:rsidRPr="000624C6">
        <w:rPr>
          <w:rFonts w:hAnsi="標楷體"/>
        </w:rPr>
        <w:t>一</w:t>
      </w:r>
      <w:r w:rsidR="004562A7" w:rsidRPr="000624C6">
        <w:rPr>
          <w:rFonts w:hAnsi="標楷體"/>
        </w:rPr>
        <w:t>方</w:t>
      </w:r>
      <w:proofErr w:type="gramStart"/>
      <w:r w:rsidR="00286D50" w:rsidRPr="000624C6">
        <w:rPr>
          <w:rFonts w:hAnsi="標楷體"/>
        </w:rPr>
        <w:t>所作攻防</w:t>
      </w:r>
      <w:proofErr w:type="gramEnd"/>
      <w:r w:rsidR="00286D50" w:rsidRPr="000624C6">
        <w:rPr>
          <w:rFonts w:hAnsi="標楷體"/>
        </w:rPr>
        <w:t>而減損對另一</w:t>
      </w:r>
      <w:r w:rsidR="004562A7" w:rsidRPr="000624C6">
        <w:rPr>
          <w:rFonts w:hAnsi="標楷體"/>
        </w:rPr>
        <w:t>方</w:t>
      </w:r>
      <w:r w:rsidR="00286D50" w:rsidRPr="000624C6">
        <w:rPr>
          <w:rFonts w:hAnsi="標楷體"/>
        </w:rPr>
        <w:t>應盡義務之主張，而有</w:t>
      </w:r>
      <w:r w:rsidR="004562A7" w:rsidRPr="000624C6">
        <w:rPr>
          <w:rFonts w:hAnsi="標楷體"/>
        </w:rPr>
        <w:t>律師倫理規範第30條所稱</w:t>
      </w:r>
      <w:r w:rsidR="00286D50" w:rsidRPr="000624C6">
        <w:rPr>
          <w:rFonts w:hAnsi="標楷體"/>
        </w:rPr>
        <w:t>利害衝突之情況</w:t>
      </w:r>
      <w:r w:rsidR="00EF5179" w:rsidRPr="000624C6">
        <w:rPr>
          <w:rFonts w:hAnsi="標楷體"/>
        </w:rPr>
        <w:t>，</w:t>
      </w:r>
      <w:r w:rsidR="003D699E" w:rsidRPr="000624C6">
        <w:rPr>
          <w:rFonts w:hAnsi="標楷體"/>
        </w:rPr>
        <w:t>非無疑義。</w:t>
      </w:r>
    </w:p>
    <w:p w:rsidR="003D699E" w:rsidRPr="000624C6" w:rsidRDefault="008B0352" w:rsidP="00CF1AA9">
      <w:pPr>
        <w:pStyle w:val="3"/>
        <w:rPr>
          <w:rFonts w:hAnsi="標楷體"/>
        </w:rPr>
      </w:pPr>
      <w:r w:rsidRPr="000624C6">
        <w:rPr>
          <w:rFonts w:hAnsi="標楷體"/>
          <w:lang w:eastAsia="zh-HK"/>
        </w:rPr>
        <w:t>至於</w:t>
      </w:r>
      <w:r w:rsidRPr="000624C6">
        <w:rPr>
          <w:rFonts w:hAnsi="標楷體"/>
        </w:rPr>
        <w:t>，</w:t>
      </w:r>
      <w:r w:rsidRPr="000624C6">
        <w:rPr>
          <w:rFonts w:hAnsi="標楷體"/>
          <w:lang w:eastAsia="zh-HK"/>
        </w:rPr>
        <w:t>本院就</w:t>
      </w:r>
      <w:r w:rsidR="00596259" w:rsidRPr="000624C6">
        <w:rPr>
          <w:rFonts w:hAnsi="標楷體"/>
        </w:rPr>
        <w:t>「投資事業</w:t>
      </w:r>
      <w:r w:rsidR="003D699E" w:rsidRPr="000624C6">
        <w:rPr>
          <w:rFonts w:hAnsi="標楷體"/>
        </w:rPr>
        <w:t>大同公司</w:t>
      </w:r>
      <w:r w:rsidR="00AD4CDC" w:rsidRPr="000624C6">
        <w:rPr>
          <w:rFonts w:hAnsi="標楷體"/>
        </w:rPr>
        <w:t>陳</w:t>
      </w:r>
      <w:r w:rsidR="003D699E" w:rsidRPr="000624C6">
        <w:rPr>
          <w:rFonts w:hAnsi="標楷體"/>
        </w:rPr>
        <w:t>董事於</w:t>
      </w:r>
      <w:r w:rsidR="00AD4CDC" w:rsidRPr="000624C6">
        <w:rPr>
          <w:rFonts w:hAnsi="標楷體"/>
        </w:rPr>
        <w:t>臺灣高等法院</w:t>
      </w:r>
      <w:proofErr w:type="gramStart"/>
      <w:r w:rsidR="00AD4CDC" w:rsidRPr="000624C6">
        <w:rPr>
          <w:rFonts w:hAnsi="標楷體"/>
        </w:rPr>
        <w:t>106</w:t>
      </w:r>
      <w:proofErr w:type="gramEnd"/>
      <w:r w:rsidR="00AD4CDC" w:rsidRPr="000624C6">
        <w:rPr>
          <w:rFonts w:hAnsi="標楷體"/>
        </w:rPr>
        <w:t>年度金上字第17號損害賠償事件</w:t>
      </w:r>
      <w:r w:rsidR="00596259" w:rsidRPr="000624C6">
        <w:rPr>
          <w:rFonts w:hAnsi="標楷體"/>
        </w:rPr>
        <w:t>中執行律師職務，</w:t>
      </w:r>
      <w:r w:rsidR="00AD4CDC" w:rsidRPr="000624C6">
        <w:rPr>
          <w:rFonts w:hAnsi="標楷體"/>
          <w:lang w:eastAsia="zh-HK"/>
        </w:rPr>
        <w:t>似</w:t>
      </w:r>
      <w:r w:rsidR="00596259" w:rsidRPr="000624C6">
        <w:rPr>
          <w:rFonts w:hAnsi="標楷體"/>
        </w:rPr>
        <w:t>與大同公司及其</w:t>
      </w:r>
      <w:r w:rsidR="003E28EC" w:rsidRPr="000624C6">
        <w:rPr>
          <w:rFonts w:hAnsi="標楷體"/>
          <w:lang w:eastAsia="zh-HK"/>
        </w:rPr>
        <w:t>多數</w:t>
      </w:r>
      <w:r w:rsidR="00596259" w:rsidRPr="000624C6">
        <w:rPr>
          <w:rFonts w:hAnsi="標楷體"/>
        </w:rPr>
        <w:t>股東之利害相反，是否涉</w:t>
      </w:r>
      <w:r w:rsidR="00717ACA" w:rsidRPr="000624C6">
        <w:rPr>
          <w:rFonts w:hAnsi="標楷體"/>
          <w:lang w:eastAsia="zh-HK"/>
        </w:rPr>
        <w:t>與</w:t>
      </w:r>
      <w:r w:rsidR="00596259" w:rsidRPr="000624C6">
        <w:rPr>
          <w:rFonts w:hAnsi="標楷體"/>
        </w:rPr>
        <w:t>律師法、律師倫理規範或其他規定</w:t>
      </w:r>
      <w:r w:rsidR="00717ACA" w:rsidRPr="000624C6">
        <w:rPr>
          <w:rFonts w:hAnsi="標楷體"/>
          <w:lang w:eastAsia="zh-HK"/>
        </w:rPr>
        <w:t>未合</w:t>
      </w:r>
      <w:r w:rsidR="00596259" w:rsidRPr="000624C6">
        <w:rPr>
          <w:rFonts w:hAnsi="標楷體"/>
        </w:rPr>
        <w:t>」</w:t>
      </w:r>
      <w:r w:rsidRPr="000624C6">
        <w:rPr>
          <w:rFonts w:hAnsi="標楷體"/>
          <w:lang w:eastAsia="zh-HK"/>
        </w:rPr>
        <w:t>等</w:t>
      </w:r>
      <w:proofErr w:type="gramStart"/>
      <w:r w:rsidR="00AD4CDC" w:rsidRPr="000624C6">
        <w:rPr>
          <w:rFonts w:hAnsi="標楷體"/>
          <w:lang w:eastAsia="zh-HK"/>
        </w:rPr>
        <w:t>上</w:t>
      </w:r>
      <w:r w:rsidRPr="000624C6">
        <w:rPr>
          <w:rFonts w:hAnsi="標楷體"/>
          <w:lang w:eastAsia="zh-HK"/>
        </w:rPr>
        <w:t>情</w:t>
      </w:r>
      <w:r w:rsidR="00445423" w:rsidRPr="000624C6">
        <w:rPr>
          <w:rFonts w:hAnsi="標楷體"/>
        </w:rPr>
        <w:t>函請</w:t>
      </w:r>
      <w:proofErr w:type="gramEnd"/>
      <w:r w:rsidR="00445423" w:rsidRPr="000624C6">
        <w:rPr>
          <w:rFonts w:hAnsi="標楷體"/>
        </w:rPr>
        <w:t>法務部查復，</w:t>
      </w:r>
      <w:r w:rsidR="00596259" w:rsidRPr="000624C6">
        <w:rPr>
          <w:rFonts w:hAnsi="標楷體"/>
        </w:rPr>
        <w:t>據</w:t>
      </w:r>
      <w:r w:rsidRPr="000624C6">
        <w:rPr>
          <w:rFonts w:hAnsi="標楷體"/>
          <w:lang w:eastAsia="zh-HK"/>
        </w:rPr>
        <w:t>該部</w:t>
      </w:r>
      <w:r w:rsidR="00596259" w:rsidRPr="000624C6">
        <w:rPr>
          <w:rFonts w:hAnsi="標楷體"/>
        </w:rPr>
        <w:t>108年11月12日函復略</w:t>
      </w:r>
      <w:proofErr w:type="gramStart"/>
      <w:r w:rsidR="00596259" w:rsidRPr="000624C6">
        <w:rPr>
          <w:rFonts w:hAnsi="標楷體"/>
        </w:rPr>
        <w:t>以</w:t>
      </w:r>
      <w:proofErr w:type="gramEnd"/>
      <w:r w:rsidR="00596259" w:rsidRPr="000624C6">
        <w:rPr>
          <w:rFonts w:hAnsi="標楷體"/>
        </w:rPr>
        <w:t>：「案</w:t>
      </w:r>
      <w:proofErr w:type="gramStart"/>
      <w:r w:rsidR="00596259" w:rsidRPr="000624C6">
        <w:rPr>
          <w:rFonts w:hAnsi="標楷體"/>
        </w:rPr>
        <w:t>經交據臺灣</w:t>
      </w:r>
      <w:proofErr w:type="gramEnd"/>
      <w:r w:rsidR="00596259" w:rsidRPr="000624C6">
        <w:rPr>
          <w:rFonts w:hAnsi="標楷體"/>
        </w:rPr>
        <w:t>高等檢察署以108年11月4日</w:t>
      </w:r>
      <w:proofErr w:type="gramStart"/>
      <w:r w:rsidR="00596259" w:rsidRPr="000624C6">
        <w:rPr>
          <w:rFonts w:hAnsi="標楷體"/>
        </w:rPr>
        <w:t>檢紀露</w:t>
      </w:r>
      <w:proofErr w:type="gramEnd"/>
      <w:r w:rsidR="00596259" w:rsidRPr="000624C6">
        <w:rPr>
          <w:rFonts w:hAnsi="標楷體"/>
        </w:rPr>
        <w:t>108調617字第1080000907號函據</w:t>
      </w:r>
      <w:proofErr w:type="gramStart"/>
      <w:r w:rsidR="00596259" w:rsidRPr="000624C6">
        <w:rPr>
          <w:rFonts w:hAnsi="標楷體"/>
        </w:rPr>
        <w:t>臺</w:t>
      </w:r>
      <w:proofErr w:type="gramEnd"/>
      <w:r w:rsidR="00596259" w:rsidRPr="000624C6">
        <w:rPr>
          <w:rFonts w:hAnsi="標楷體"/>
        </w:rPr>
        <w:t>北地檢署回復處理情形略</w:t>
      </w:r>
      <w:proofErr w:type="gramStart"/>
      <w:r w:rsidR="00596259" w:rsidRPr="000624C6">
        <w:rPr>
          <w:rFonts w:hAnsi="標楷體"/>
        </w:rPr>
        <w:t>以</w:t>
      </w:r>
      <w:proofErr w:type="gramEnd"/>
      <w:r w:rsidR="00596259" w:rsidRPr="000624C6">
        <w:rPr>
          <w:rFonts w:hAnsi="標楷體"/>
        </w:rPr>
        <w:t>：本件臺灣</w:t>
      </w:r>
      <w:proofErr w:type="gramStart"/>
      <w:r w:rsidR="00596259" w:rsidRPr="000624C6">
        <w:rPr>
          <w:rFonts w:hAnsi="標楷體"/>
        </w:rPr>
        <w:t>臺</w:t>
      </w:r>
      <w:proofErr w:type="gramEnd"/>
      <w:r w:rsidR="00596259" w:rsidRPr="000624C6">
        <w:rPr>
          <w:rFonts w:hAnsi="標楷體"/>
        </w:rPr>
        <w:t>北地方檢察署刻正積極審慎偵辦中。核臺灣高等檢察署所報，核無不合。」</w:t>
      </w:r>
      <w:proofErr w:type="gramStart"/>
      <w:r w:rsidR="00AD4CDC" w:rsidRPr="000624C6">
        <w:rPr>
          <w:rFonts w:hAnsi="標楷體"/>
        </w:rPr>
        <w:t>爰</w:t>
      </w:r>
      <w:proofErr w:type="gramEnd"/>
      <w:r w:rsidR="00AD4CDC" w:rsidRPr="000624C6">
        <w:rPr>
          <w:rFonts w:hAnsi="標楷體"/>
        </w:rPr>
        <w:t>陳</w:t>
      </w:r>
      <w:r w:rsidR="00717ACA" w:rsidRPr="000624C6">
        <w:rPr>
          <w:rFonts w:hAnsi="標楷體"/>
        </w:rPr>
        <w:t>律師是否涉</w:t>
      </w:r>
      <w:r w:rsidR="00717ACA" w:rsidRPr="000624C6">
        <w:rPr>
          <w:rFonts w:hAnsi="標楷體"/>
          <w:lang w:eastAsia="zh-HK"/>
        </w:rPr>
        <w:t>與</w:t>
      </w:r>
      <w:r w:rsidR="00717ACA" w:rsidRPr="000624C6">
        <w:rPr>
          <w:rFonts w:hAnsi="標楷體"/>
        </w:rPr>
        <w:t>律師法、律師倫理規</w:t>
      </w:r>
      <w:r w:rsidR="00717ACA" w:rsidRPr="000624C6">
        <w:rPr>
          <w:rFonts w:hAnsi="標楷體"/>
        </w:rPr>
        <w:lastRenderedPageBreak/>
        <w:t>範或其他規定</w:t>
      </w:r>
      <w:r w:rsidR="00717ACA" w:rsidRPr="000624C6">
        <w:rPr>
          <w:rFonts w:hAnsi="標楷體"/>
          <w:lang w:eastAsia="zh-HK"/>
        </w:rPr>
        <w:t>未合</w:t>
      </w:r>
      <w:r w:rsidR="00AD4CDC" w:rsidRPr="000624C6">
        <w:rPr>
          <w:rFonts w:hAnsi="標楷體"/>
        </w:rPr>
        <w:t>，仍請法務部</w:t>
      </w:r>
      <w:proofErr w:type="gramStart"/>
      <w:r w:rsidR="00E66AE2" w:rsidRPr="000624C6">
        <w:rPr>
          <w:rFonts w:hAnsi="標楷體"/>
        </w:rPr>
        <w:t>允應</w:t>
      </w:r>
      <w:r w:rsidR="00AD4CDC" w:rsidRPr="000624C6">
        <w:rPr>
          <w:rFonts w:hAnsi="標楷體"/>
        </w:rPr>
        <w:t>督請</w:t>
      </w:r>
      <w:proofErr w:type="gramEnd"/>
      <w:r w:rsidR="00AD4CDC" w:rsidRPr="000624C6">
        <w:rPr>
          <w:rFonts w:hAnsi="標楷體"/>
        </w:rPr>
        <w:t>所屬查明</w:t>
      </w:r>
      <w:proofErr w:type="gramStart"/>
      <w:r w:rsidR="00AD4CDC" w:rsidRPr="000624C6">
        <w:rPr>
          <w:rFonts w:hAnsi="標楷體"/>
        </w:rPr>
        <w:t>妥處，俾</w:t>
      </w:r>
      <w:proofErr w:type="gramEnd"/>
      <w:r w:rsidR="00E66AE2" w:rsidRPr="000624C6">
        <w:rPr>
          <w:rFonts w:hAnsi="標楷體"/>
        </w:rPr>
        <w:t>確保律師誠正信實執行職務</w:t>
      </w:r>
      <w:r w:rsidR="00EF5179" w:rsidRPr="000624C6">
        <w:rPr>
          <w:rFonts w:hAnsi="標楷體"/>
        </w:rPr>
        <w:t>及履行對當事人之忠實義務</w:t>
      </w:r>
      <w:r w:rsidR="00286D50" w:rsidRPr="000624C6">
        <w:rPr>
          <w:rFonts w:hAnsi="標楷體"/>
        </w:rPr>
        <w:t>，維護社會公義及改善法律制度。</w:t>
      </w:r>
    </w:p>
    <w:p w:rsidR="004562A7" w:rsidRPr="000624C6" w:rsidRDefault="002F2EBE" w:rsidP="00CF1AA9">
      <w:pPr>
        <w:pStyle w:val="2"/>
        <w:numPr>
          <w:ilvl w:val="1"/>
          <w:numId w:val="1"/>
        </w:numPr>
        <w:rPr>
          <w:rFonts w:hAnsi="標楷體"/>
          <w:b/>
          <w:lang w:eastAsia="zh-HK"/>
        </w:rPr>
      </w:pPr>
      <w:r w:rsidRPr="000624C6">
        <w:rPr>
          <w:rFonts w:hAnsi="標楷體"/>
          <w:b/>
          <w:lang w:eastAsia="zh-HK"/>
        </w:rPr>
        <w:t>有關陳訴人陳訴金管會漠視外資股東依照公司法第173條之1規定享有分割參與之召集權部分，容有誤解，按</w:t>
      </w:r>
      <w:r w:rsidR="00DE01EA" w:rsidRPr="000624C6">
        <w:rPr>
          <w:rFonts w:hAnsi="標楷體"/>
          <w:b/>
          <w:lang w:eastAsia="zh-HK"/>
        </w:rPr>
        <w:t>公司法第173條之1係股東召集臨時股東會之規定，公開發行股票公司之股東如係為他人持有股份者，尚難直接依公司法第181條第3</w:t>
      </w:r>
      <w:r w:rsidRPr="000624C6">
        <w:rPr>
          <w:rFonts w:hAnsi="標楷體"/>
          <w:b/>
          <w:lang w:eastAsia="zh-HK"/>
        </w:rPr>
        <w:t>項規定</w:t>
      </w:r>
      <w:proofErr w:type="gramStart"/>
      <w:r w:rsidRPr="000624C6">
        <w:rPr>
          <w:rFonts w:hAnsi="標楷體"/>
          <w:b/>
          <w:lang w:eastAsia="zh-HK"/>
        </w:rPr>
        <w:t>逕</w:t>
      </w:r>
      <w:proofErr w:type="gramEnd"/>
      <w:r w:rsidRPr="000624C6">
        <w:rPr>
          <w:rFonts w:hAnsi="標楷體"/>
          <w:b/>
          <w:lang w:eastAsia="zh-HK"/>
        </w:rPr>
        <w:t>認得依實質投資人之指示，分別行使召集權</w:t>
      </w:r>
      <w:r w:rsidR="004562A7" w:rsidRPr="000624C6">
        <w:rPr>
          <w:rFonts w:hAnsi="標楷體"/>
          <w:b/>
          <w:lang w:eastAsia="zh-HK"/>
        </w:rPr>
        <w:t>。</w:t>
      </w:r>
    </w:p>
    <w:p w:rsidR="004562A7" w:rsidRPr="000624C6" w:rsidRDefault="004562A7" w:rsidP="00CF1AA9">
      <w:pPr>
        <w:pStyle w:val="3"/>
        <w:numPr>
          <w:ilvl w:val="2"/>
          <w:numId w:val="1"/>
        </w:numPr>
        <w:rPr>
          <w:rFonts w:hAnsi="標楷體"/>
        </w:rPr>
      </w:pPr>
      <w:r w:rsidRPr="000624C6">
        <w:rPr>
          <w:rFonts w:hAnsi="標楷體"/>
          <w:lang w:eastAsia="zh-HK"/>
        </w:rPr>
        <w:t>按公司法第173條之1第1項規定：「繼續</w:t>
      </w:r>
      <w:r w:rsidRPr="000624C6">
        <w:rPr>
          <w:rFonts w:hAnsi="標楷體"/>
        </w:rPr>
        <w:t>3</w:t>
      </w:r>
      <w:r w:rsidRPr="000624C6">
        <w:rPr>
          <w:rFonts w:hAnsi="標楷體"/>
          <w:lang w:eastAsia="zh-HK"/>
        </w:rPr>
        <w:t>個月以上持有已發行股份總數過半數股份之股東，得自行召集股東臨時會。」同法第181條第3項前段規定：「公開發行公司之股東係為他人持有股份時</w:t>
      </w:r>
      <w:r w:rsidRPr="000624C6">
        <w:rPr>
          <w:rFonts w:hAnsi="標楷體"/>
          <w:szCs w:val="32"/>
        </w:rPr>
        <w:t>，股東得主張分別行使表決權。」本院接獲陳訴人陳訴：「公司法第173條之1修法後，金管會就外資股東得否與本國股東一樣公平享有分割參與之召集權，仍未作出任何正式解釋或配套方案，長期漠視外資股東召集權之公平、自由行使，使外資股東無從依該條規定參與公司治理，使相關</w:t>
      </w:r>
      <w:proofErr w:type="gramStart"/>
      <w:r w:rsidRPr="000624C6">
        <w:rPr>
          <w:rFonts w:hAnsi="標楷體"/>
          <w:szCs w:val="32"/>
        </w:rPr>
        <w:t>修法形同</w:t>
      </w:r>
      <w:proofErr w:type="gramEnd"/>
      <w:r w:rsidRPr="000624C6">
        <w:rPr>
          <w:rFonts w:hAnsi="標楷體"/>
          <w:szCs w:val="32"/>
        </w:rPr>
        <w:t>具文」等情。</w:t>
      </w:r>
    </w:p>
    <w:p w:rsidR="004562A7" w:rsidRPr="000624C6" w:rsidRDefault="004562A7" w:rsidP="00CF1AA9">
      <w:pPr>
        <w:pStyle w:val="3"/>
        <w:numPr>
          <w:ilvl w:val="2"/>
          <w:numId w:val="1"/>
        </w:numPr>
        <w:rPr>
          <w:rFonts w:hAnsi="標楷體"/>
          <w:lang w:eastAsia="zh-HK"/>
        </w:rPr>
      </w:pPr>
      <w:r w:rsidRPr="000624C6">
        <w:rPr>
          <w:rFonts w:hAnsi="標楷體"/>
          <w:szCs w:val="32"/>
          <w:lang w:eastAsia="zh-HK"/>
        </w:rPr>
        <w:t>關於外</w:t>
      </w:r>
      <w:r w:rsidRPr="000624C6">
        <w:rPr>
          <w:rFonts w:hAnsi="標楷體"/>
          <w:lang w:eastAsia="zh-HK"/>
        </w:rPr>
        <w:t>資股東得否依照公司法召集股東會疑義，據法規主管機關</w:t>
      </w:r>
      <w:r w:rsidRPr="000624C6">
        <w:rPr>
          <w:rFonts w:hAnsi="標楷體"/>
          <w:bCs w:val="0"/>
          <w:lang w:eastAsia="zh-HK"/>
        </w:rPr>
        <w:t>經濟部函復</w:t>
      </w:r>
      <w:r w:rsidR="00F4225B" w:rsidRPr="000624C6">
        <w:rPr>
          <w:rFonts w:hAnsi="標楷體"/>
          <w:bCs w:val="0"/>
          <w:lang w:eastAsia="zh-HK"/>
        </w:rPr>
        <w:t>本院</w:t>
      </w:r>
      <w:r w:rsidRPr="000624C6">
        <w:rPr>
          <w:rFonts w:hAnsi="標楷體"/>
          <w:bCs w:val="0"/>
          <w:lang w:eastAsia="zh-HK"/>
        </w:rPr>
        <w:t>表示，</w:t>
      </w:r>
      <w:r w:rsidRPr="000624C6">
        <w:rPr>
          <w:rFonts w:hAnsi="標楷體"/>
          <w:lang w:eastAsia="zh-HK"/>
        </w:rPr>
        <w:t>公開發行公司之股東如係為他人持有股份（如保管機構、信託機構、存託機構或綜合帳戶等）如何依</w:t>
      </w:r>
      <w:r w:rsidRPr="000624C6">
        <w:rPr>
          <w:rFonts w:hAnsi="標楷體"/>
        </w:rPr>
        <w:t>公司法第173條之1</w:t>
      </w:r>
      <w:r w:rsidR="00EE7871" w:rsidRPr="000624C6">
        <w:rPr>
          <w:rFonts w:hAnsi="標楷體"/>
        </w:rPr>
        <w:t>召集股東臨時會疑義，</w:t>
      </w:r>
      <w:proofErr w:type="gramStart"/>
      <w:r w:rsidR="00EE7871" w:rsidRPr="000624C6">
        <w:rPr>
          <w:rFonts w:hAnsi="標楷體"/>
          <w:lang w:eastAsia="zh-HK"/>
        </w:rPr>
        <w:t>該</w:t>
      </w:r>
      <w:r w:rsidRPr="000624C6">
        <w:rPr>
          <w:rFonts w:hAnsi="標楷體"/>
        </w:rPr>
        <w:t>部前於</w:t>
      </w:r>
      <w:proofErr w:type="gramEnd"/>
      <w:r w:rsidRPr="000624C6">
        <w:rPr>
          <w:rFonts w:hAnsi="標楷體"/>
        </w:rPr>
        <w:t>107年10月5日邀請3位熟稔公司法</w:t>
      </w:r>
      <w:r w:rsidR="00902D36" w:rsidRPr="000624C6">
        <w:rPr>
          <w:rFonts w:hAnsi="標楷體"/>
        </w:rPr>
        <w:t>相關法規</w:t>
      </w:r>
      <w:r w:rsidRPr="000624C6">
        <w:rPr>
          <w:rFonts w:hAnsi="標楷體"/>
        </w:rPr>
        <w:t>之學者專家、金管會代表及中華民國公開發行公司股務協會（</w:t>
      </w:r>
      <w:r w:rsidRPr="000624C6">
        <w:rPr>
          <w:rFonts w:hAnsi="標楷體"/>
          <w:lang w:eastAsia="zh-HK"/>
        </w:rPr>
        <w:t>下稱股</w:t>
      </w:r>
      <w:proofErr w:type="gramStart"/>
      <w:r w:rsidRPr="000624C6">
        <w:rPr>
          <w:rFonts w:hAnsi="標楷體"/>
          <w:lang w:eastAsia="zh-HK"/>
        </w:rPr>
        <w:t>務</w:t>
      </w:r>
      <w:proofErr w:type="gramEnd"/>
      <w:r w:rsidRPr="000624C6">
        <w:rPr>
          <w:rFonts w:hAnsi="標楷體"/>
          <w:lang w:eastAsia="zh-HK"/>
        </w:rPr>
        <w:t>協會</w:t>
      </w:r>
      <w:r w:rsidRPr="000624C6">
        <w:rPr>
          <w:rFonts w:hAnsi="標楷體"/>
        </w:rPr>
        <w:t>）</w:t>
      </w:r>
      <w:r w:rsidRPr="000624C6">
        <w:rPr>
          <w:rFonts w:hAnsi="標楷體"/>
          <w:lang w:eastAsia="zh-HK"/>
        </w:rPr>
        <w:t>代表</w:t>
      </w:r>
      <w:r w:rsidRPr="000624C6">
        <w:rPr>
          <w:rFonts w:hAnsi="標楷體"/>
        </w:rPr>
        <w:t>共同召開會議</w:t>
      </w:r>
      <w:proofErr w:type="gramStart"/>
      <w:r w:rsidRPr="000624C6">
        <w:rPr>
          <w:rFonts w:hAnsi="標楷體"/>
        </w:rPr>
        <w:t>研</w:t>
      </w:r>
      <w:proofErr w:type="gramEnd"/>
      <w:r w:rsidRPr="000624C6">
        <w:rPr>
          <w:rFonts w:hAnsi="標楷體"/>
        </w:rPr>
        <w:t>商討論，</w:t>
      </w:r>
      <w:r w:rsidRPr="000624C6">
        <w:rPr>
          <w:rFonts w:hAnsi="標楷體"/>
          <w:lang w:eastAsia="zh-HK"/>
        </w:rPr>
        <w:t>獲得</w:t>
      </w:r>
      <w:r w:rsidRPr="000624C6">
        <w:rPr>
          <w:rFonts w:hAnsi="標楷體"/>
        </w:rPr>
        <w:t>結論：「查公司法第181條第3項係股東表決權行使</w:t>
      </w:r>
      <w:r w:rsidRPr="000624C6">
        <w:rPr>
          <w:rFonts w:hAnsi="標楷體"/>
          <w:lang w:eastAsia="zh-HK"/>
        </w:rPr>
        <w:t>之</w:t>
      </w:r>
      <w:r w:rsidRPr="000624C6">
        <w:rPr>
          <w:rFonts w:hAnsi="標楷體"/>
        </w:rPr>
        <w:t>規定，</w:t>
      </w:r>
      <w:r w:rsidRPr="000624C6">
        <w:rPr>
          <w:rFonts w:hAnsi="標楷體"/>
          <w:lang w:eastAsia="zh-HK"/>
        </w:rPr>
        <w:t>同法</w:t>
      </w:r>
      <w:r w:rsidRPr="000624C6">
        <w:rPr>
          <w:rFonts w:hAnsi="標楷體"/>
        </w:rPr>
        <w:t>第</w:t>
      </w:r>
      <w:r w:rsidRPr="000624C6">
        <w:rPr>
          <w:rFonts w:hAnsi="標楷體"/>
          <w:lang w:eastAsia="zh-HK"/>
        </w:rPr>
        <w:t>173條之1係股東召集臨時股東會之規定，且有持股期間3個月之限制，二者適用情形有別。故公開</w:t>
      </w:r>
      <w:r w:rsidRPr="000624C6">
        <w:rPr>
          <w:rFonts w:hAnsi="標楷體"/>
          <w:lang w:eastAsia="zh-HK"/>
        </w:rPr>
        <w:lastRenderedPageBreak/>
        <w:t>發行股票公司之股東如係為他人持有股份，尚難直接依公司法第181條第3項規定</w:t>
      </w:r>
      <w:proofErr w:type="gramStart"/>
      <w:r w:rsidRPr="000624C6">
        <w:rPr>
          <w:rFonts w:hAnsi="標楷體"/>
          <w:lang w:eastAsia="zh-HK"/>
        </w:rPr>
        <w:t>逕</w:t>
      </w:r>
      <w:proofErr w:type="gramEnd"/>
      <w:r w:rsidRPr="000624C6">
        <w:rPr>
          <w:rFonts w:hAnsi="標楷體"/>
          <w:lang w:eastAsia="zh-HK"/>
        </w:rPr>
        <w:t>認得依實質投資人之指示，分別行使召集權</w:t>
      </w:r>
      <w:r w:rsidRPr="000624C6">
        <w:rPr>
          <w:rFonts w:hAnsi="標楷體"/>
          <w:szCs w:val="32"/>
        </w:rPr>
        <w:t>。</w:t>
      </w:r>
      <w:r w:rsidRPr="000624C6">
        <w:rPr>
          <w:rFonts w:hAnsi="標楷體"/>
        </w:rPr>
        <w:t>」</w:t>
      </w:r>
      <w:r w:rsidRPr="000624C6">
        <w:rPr>
          <w:rFonts w:hAnsi="標楷體"/>
          <w:lang w:eastAsia="zh-HK"/>
        </w:rPr>
        <w:t>與會人員意見交流摘要如下</w:t>
      </w:r>
      <w:r w:rsidRPr="000624C6">
        <w:rPr>
          <w:rFonts w:hAnsi="標楷體"/>
        </w:rPr>
        <w:t>：</w:t>
      </w:r>
    </w:p>
    <w:p w:rsidR="004562A7" w:rsidRPr="000624C6" w:rsidRDefault="004562A7" w:rsidP="00CF1AA9">
      <w:pPr>
        <w:pStyle w:val="4"/>
        <w:numPr>
          <w:ilvl w:val="3"/>
          <w:numId w:val="1"/>
        </w:numPr>
        <w:rPr>
          <w:rFonts w:hAnsi="標楷體"/>
          <w:lang w:eastAsia="zh-HK"/>
        </w:rPr>
      </w:pPr>
      <w:r w:rsidRPr="000624C6">
        <w:rPr>
          <w:rFonts w:hAnsi="標楷體"/>
        </w:rPr>
        <w:t>A</w:t>
      </w:r>
      <w:r w:rsidRPr="000624C6">
        <w:rPr>
          <w:rFonts w:hAnsi="標楷體"/>
          <w:lang w:eastAsia="zh-HK"/>
        </w:rPr>
        <w:t>教授</w:t>
      </w:r>
      <w:r w:rsidRPr="000624C6">
        <w:rPr>
          <w:rFonts w:hAnsi="標楷體"/>
        </w:rPr>
        <w:t>：</w:t>
      </w:r>
      <w:r w:rsidRPr="000624C6">
        <w:rPr>
          <w:rFonts w:hAnsi="標楷體"/>
          <w:lang w:eastAsia="zh-HK"/>
        </w:rPr>
        <w:t>公司法第181條第3項為表決權行使的特別規定，與召集權係屬二事，可否類推適用，實難認定。</w:t>
      </w:r>
    </w:p>
    <w:p w:rsidR="004562A7" w:rsidRPr="000624C6" w:rsidRDefault="004562A7" w:rsidP="00CF1AA9">
      <w:pPr>
        <w:pStyle w:val="4"/>
        <w:numPr>
          <w:ilvl w:val="3"/>
          <w:numId w:val="1"/>
        </w:numPr>
        <w:rPr>
          <w:rFonts w:hAnsi="標楷體"/>
          <w:lang w:eastAsia="zh-HK"/>
        </w:rPr>
      </w:pPr>
      <w:r w:rsidRPr="000624C6">
        <w:rPr>
          <w:rFonts w:hAnsi="標楷體"/>
        </w:rPr>
        <w:t>B</w:t>
      </w:r>
      <w:r w:rsidRPr="000624C6">
        <w:rPr>
          <w:rFonts w:hAnsi="標楷體"/>
          <w:lang w:eastAsia="zh-HK"/>
        </w:rPr>
        <w:t>教授：縱使允許實質投資人得參與自行召集股東臨時會之權利，依據亦非公司法第181條，而係「法理」。</w:t>
      </w:r>
    </w:p>
    <w:p w:rsidR="004562A7" w:rsidRPr="000624C6" w:rsidRDefault="004562A7" w:rsidP="00CF1AA9">
      <w:pPr>
        <w:pStyle w:val="4"/>
        <w:numPr>
          <w:ilvl w:val="3"/>
          <w:numId w:val="1"/>
        </w:numPr>
        <w:rPr>
          <w:rFonts w:hAnsi="標楷體"/>
        </w:rPr>
      </w:pPr>
      <w:r w:rsidRPr="000624C6">
        <w:rPr>
          <w:rFonts w:hAnsi="標楷體"/>
          <w:lang w:eastAsia="zh-HK"/>
        </w:rPr>
        <w:t>經濟部商業司代表：公司法第181條第3項是股東分割行使表決權之規定，非實質投資人部分行使參與自行召集股東臨時會之依據。該法第173條之</w:t>
      </w:r>
      <w:r w:rsidRPr="000624C6">
        <w:rPr>
          <w:rFonts w:hAnsi="標楷體"/>
        </w:rPr>
        <w:t>1</w:t>
      </w:r>
      <w:r w:rsidRPr="000624C6">
        <w:rPr>
          <w:rFonts w:hAnsi="標楷體"/>
          <w:lang w:eastAsia="zh-HK"/>
        </w:rPr>
        <w:t>應與第173條</w:t>
      </w:r>
      <w:r w:rsidRPr="000624C6">
        <w:rPr>
          <w:rStyle w:val="aff4"/>
          <w:rFonts w:hAnsi="標楷體"/>
          <w:lang w:eastAsia="zh-HK"/>
        </w:rPr>
        <w:footnoteReference w:id="11"/>
      </w:r>
      <w:r w:rsidRPr="000624C6">
        <w:rPr>
          <w:rFonts w:hAnsi="標楷體"/>
          <w:lang w:eastAsia="zh-HK"/>
        </w:rPr>
        <w:t>作同樣解釋。</w:t>
      </w:r>
    </w:p>
    <w:p w:rsidR="004562A7" w:rsidRPr="000624C6" w:rsidRDefault="004562A7" w:rsidP="00CF1AA9">
      <w:pPr>
        <w:pStyle w:val="4"/>
        <w:numPr>
          <w:ilvl w:val="3"/>
          <w:numId w:val="1"/>
        </w:numPr>
        <w:rPr>
          <w:rFonts w:hAnsi="標楷體"/>
        </w:rPr>
      </w:pPr>
      <w:r w:rsidRPr="000624C6">
        <w:rPr>
          <w:rFonts w:hAnsi="標楷體"/>
          <w:lang w:eastAsia="zh-HK"/>
        </w:rPr>
        <w:t>金管會代表：經瞭解股</w:t>
      </w:r>
      <w:proofErr w:type="gramStart"/>
      <w:r w:rsidRPr="000624C6">
        <w:rPr>
          <w:rFonts w:hAnsi="標楷體"/>
          <w:lang w:eastAsia="zh-HK"/>
        </w:rPr>
        <w:t>務</w:t>
      </w:r>
      <w:proofErr w:type="gramEnd"/>
      <w:r w:rsidRPr="000624C6">
        <w:rPr>
          <w:rFonts w:hAnsi="標楷體"/>
          <w:lang w:eastAsia="zh-HK"/>
        </w:rPr>
        <w:t>實務運行上，股東名冊係登載名義所有人之持股，臺灣集中保管結算所股份有限公司（下稱集保公司）及股</w:t>
      </w:r>
      <w:proofErr w:type="gramStart"/>
      <w:r w:rsidRPr="000624C6">
        <w:rPr>
          <w:rFonts w:hAnsi="標楷體"/>
          <w:lang w:eastAsia="zh-HK"/>
        </w:rPr>
        <w:t>務</w:t>
      </w:r>
      <w:proofErr w:type="gramEnd"/>
      <w:r w:rsidRPr="000624C6">
        <w:rPr>
          <w:rFonts w:hAnsi="標楷體"/>
          <w:lang w:eastAsia="zh-HK"/>
        </w:rPr>
        <w:t>單位無從得知保管機構等名義股東背後個別實質投資人之持股餘額，故外資背後之實質股東如欲依公司法第173條之1召集股東臨時會，持股資格如何認定，恐有股</w:t>
      </w:r>
      <w:proofErr w:type="gramStart"/>
      <w:r w:rsidRPr="000624C6">
        <w:rPr>
          <w:rFonts w:hAnsi="標楷體"/>
          <w:lang w:eastAsia="zh-HK"/>
        </w:rPr>
        <w:t>務</w:t>
      </w:r>
      <w:proofErr w:type="gramEnd"/>
      <w:r w:rsidRPr="000624C6">
        <w:rPr>
          <w:rFonts w:hAnsi="標楷體"/>
          <w:lang w:eastAsia="zh-HK"/>
        </w:rPr>
        <w:t>作業之困難。</w:t>
      </w:r>
    </w:p>
    <w:p w:rsidR="004562A7" w:rsidRPr="000624C6" w:rsidRDefault="004562A7" w:rsidP="00CF1AA9">
      <w:pPr>
        <w:pStyle w:val="4"/>
        <w:numPr>
          <w:ilvl w:val="3"/>
          <w:numId w:val="1"/>
        </w:numPr>
        <w:rPr>
          <w:rFonts w:hAnsi="標楷體"/>
          <w:lang w:eastAsia="zh-HK"/>
        </w:rPr>
      </w:pPr>
      <w:r w:rsidRPr="000624C6">
        <w:rPr>
          <w:rFonts w:hAnsi="標楷體"/>
        </w:rPr>
        <w:t>股</w:t>
      </w:r>
      <w:proofErr w:type="gramStart"/>
      <w:r w:rsidRPr="000624C6">
        <w:rPr>
          <w:rFonts w:hAnsi="標楷體"/>
        </w:rPr>
        <w:t>務</w:t>
      </w:r>
      <w:proofErr w:type="gramEnd"/>
      <w:r w:rsidRPr="000624C6">
        <w:rPr>
          <w:rFonts w:hAnsi="標楷體"/>
        </w:rPr>
        <w:t>協會</w:t>
      </w:r>
      <w:r w:rsidRPr="000624C6">
        <w:rPr>
          <w:rFonts w:hAnsi="標楷體"/>
          <w:lang w:eastAsia="zh-HK"/>
        </w:rPr>
        <w:t>代表：現行實務上，保管銀行等機構並無法掌握實質股東之數量，因此對於股東持股</w:t>
      </w:r>
      <w:proofErr w:type="gramStart"/>
      <w:r w:rsidRPr="000624C6">
        <w:rPr>
          <w:rFonts w:hAnsi="標楷體"/>
          <w:lang w:eastAsia="zh-HK"/>
        </w:rPr>
        <w:t>期間（</w:t>
      </w:r>
      <w:proofErr w:type="gramEnd"/>
      <w:r w:rsidRPr="000624C6">
        <w:rPr>
          <w:rFonts w:hAnsi="標楷體"/>
          <w:lang w:eastAsia="zh-HK"/>
        </w:rPr>
        <w:t>3個月）與持股總數（50</w:t>
      </w:r>
      <w:r w:rsidR="005D09AD" w:rsidRPr="000624C6">
        <w:rPr>
          <w:rFonts w:hAnsi="標楷體"/>
          <w:lang w:eastAsia="zh-HK"/>
        </w:rPr>
        <w:t>%</w:t>
      </w:r>
      <w:r w:rsidRPr="000624C6">
        <w:rPr>
          <w:rFonts w:hAnsi="標楷體"/>
          <w:lang w:eastAsia="zh-HK"/>
        </w:rPr>
        <w:t>）根本無從知悉。</w:t>
      </w:r>
    </w:p>
    <w:p w:rsidR="004562A7" w:rsidRPr="000624C6" w:rsidRDefault="004562A7" w:rsidP="00CF1AA9">
      <w:pPr>
        <w:pStyle w:val="4"/>
        <w:numPr>
          <w:ilvl w:val="3"/>
          <w:numId w:val="1"/>
        </w:numPr>
        <w:rPr>
          <w:rFonts w:hAnsi="標楷體"/>
          <w:lang w:eastAsia="zh-HK"/>
        </w:rPr>
      </w:pPr>
      <w:r w:rsidRPr="000624C6">
        <w:rPr>
          <w:rFonts w:hAnsi="標楷體"/>
        </w:rPr>
        <w:t>C</w:t>
      </w:r>
      <w:r w:rsidRPr="000624C6">
        <w:rPr>
          <w:rFonts w:hAnsi="標楷體"/>
          <w:lang w:eastAsia="zh-HK"/>
        </w:rPr>
        <w:t>教授：尊重實務上之困難與作法，惟可能導致有</w:t>
      </w:r>
      <w:r w:rsidRPr="000624C6">
        <w:rPr>
          <w:rFonts w:hAnsi="標楷體"/>
          <w:lang w:eastAsia="zh-HK"/>
        </w:rPr>
        <w:lastRenderedPageBreak/>
        <w:t>信託協議等安排之股東，反而權益受到影響，建議加以考量。</w:t>
      </w:r>
    </w:p>
    <w:p w:rsidR="004562A7" w:rsidRPr="000624C6" w:rsidRDefault="004562A7" w:rsidP="00CF1AA9">
      <w:pPr>
        <w:pStyle w:val="3"/>
        <w:numPr>
          <w:ilvl w:val="2"/>
          <w:numId w:val="1"/>
        </w:numPr>
        <w:rPr>
          <w:rFonts w:hAnsi="標楷體"/>
          <w:bCs w:val="0"/>
          <w:lang w:eastAsia="zh-HK"/>
        </w:rPr>
      </w:pPr>
      <w:proofErr w:type="gramStart"/>
      <w:r w:rsidRPr="000624C6">
        <w:rPr>
          <w:rFonts w:hAnsi="標楷體"/>
          <w:bCs w:val="0"/>
          <w:lang w:eastAsia="zh-HK"/>
        </w:rPr>
        <w:t>另金管</w:t>
      </w:r>
      <w:proofErr w:type="gramEnd"/>
      <w:r w:rsidRPr="000624C6">
        <w:rPr>
          <w:rFonts w:hAnsi="標楷體"/>
          <w:bCs w:val="0"/>
          <w:lang w:eastAsia="zh-HK"/>
        </w:rPr>
        <w:t>會查復有關公司法第173條之1相關疑義說明如下：</w:t>
      </w:r>
    </w:p>
    <w:p w:rsidR="004562A7" w:rsidRPr="000624C6" w:rsidRDefault="004562A7" w:rsidP="00CF1AA9">
      <w:pPr>
        <w:pStyle w:val="4"/>
        <w:numPr>
          <w:ilvl w:val="3"/>
          <w:numId w:val="1"/>
        </w:numPr>
        <w:rPr>
          <w:rFonts w:hAnsi="標楷體"/>
        </w:rPr>
      </w:pPr>
      <w:r w:rsidRPr="000624C6">
        <w:rPr>
          <w:rFonts w:hAnsi="標楷體"/>
        </w:rPr>
        <w:t>公開發行股票公司之股東如係為他人持有股份，尚難直接依</w:t>
      </w:r>
      <w:r w:rsidRPr="000624C6">
        <w:rPr>
          <w:rFonts w:hAnsi="標楷體"/>
          <w:lang w:eastAsia="zh-HK"/>
        </w:rPr>
        <w:t>公司法</w:t>
      </w:r>
      <w:r w:rsidRPr="000624C6">
        <w:rPr>
          <w:rFonts w:hAnsi="標楷體"/>
        </w:rPr>
        <w:t>第181條第3項規定</w:t>
      </w:r>
      <w:proofErr w:type="gramStart"/>
      <w:r w:rsidRPr="000624C6">
        <w:rPr>
          <w:rFonts w:hAnsi="標楷體"/>
        </w:rPr>
        <w:t>逕</w:t>
      </w:r>
      <w:proofErr w:type="gramEnd"/>
      <w:r w:rsidRPr="000624C6">
        <w:rPr>
          <w:rFonts w:hAnsi="標楷體"/>
        </w:rPr>
        <w:t>認得依實質投資人之指示，分別行使股東臨時會召集權利。</w:t>
      </w:r>
    </w:p>
    <w:p w:rsidR="004562A7" w:rsidRPr="000624C6" w:rsidRDefault="004562A7" w:rsidP="00CF1AA9">
      <w:pPr>
        <w:pStyle w:val="4"/>
        <w:numPr>
          <w:ilvl w:val="3"/>
          <w:numId w:val="1"/>
        </w:numPr>
        <w:rPr>
          <w:rFonts w:hAnsi="標楷體"/>
        </w:rPr>
      </w:pPr>
      <w:r w:rsidRPr="000624C6">
        <w:rPr>
          <w:rFonts w:hAnsi="標楷體"/>
        </w:rPr>
        <w:t>該會為</w:t>
      </w:r>
      <w:proofErr w:type="gramStart"/>
      <w:r w:rsidRPr="000624C6">
        <w:rPr>
          <w:rFonts w:hAnsi="標楷體"/>
        </w:rPr>
        <w:t>釐</w:t>
      </w:r>
      <w:proofErr w:type="gramEnd"/>
      <w:r w:rsidRPr="000624C6">
        <w:rPr>
          <w:rFonts w:hAnsi="標楷體"/>
        </w:rPr>
        <w:t>清公司法第173條之1外資持股可否分別召集股東臨時會之實務操作面疑義，於107年11月邀集經濟部、集保公司、股</w:t>
      </w:r>
      <w:proofErr w:type="gramStart"/>
      <w:r w:rsidRPr="000624C6">
        <w:rPr>
          <w:rFonts w:hAnsi="標楷體"/>
        </w:rPr>
        <w:t>務</w:t>
      </w:r>
      <w:proofErr w:type="gramEnd"/>
      <w:r w:rsidRPr="000624C6">
        <w:rPr>
          <w:rFonts w:hAnsi="標楷體"/>
        </w:rPr>
        <w:t>協會、外資保管銀行、外資專戶等單位，召開會議諮詢各界意見。</w:t>
      </w:r>
    </w:p>
    <w:p w:rsidR="004562A7" w:rsidRPr="000624C6" w:rsidRDefault="004562A7" w:rsidP="00CF1AA9">
      <w:pPr>
        <w:pStyle w:val="4"/>
        <w:numPr>
          <w:ilvl w:val="3"/>
          <w:numId w:val="1"/>
        </w:numPr>
        <w:rPr>
          <w:rFonts w:hAnsi="標楷體"/>
        </w:rPr>
      </w:pPr>
      <w:r w:rsidRPr="000624C6">
        <w:rPr>
          <w:rFonts w:hAnsi="標楷體"/>
        </w:rPr>
        <w:t>考量集保公司於最後</w:t>
      </w:r>
      <w:proofErr w:type="gramStart"/>
      <w:r w:rsidRPr="000624C6">
        <w:rPr>
          <w:rFonts w:hAnsi="標楷體"/>
        </w:rPr>
        <w:t>過戶日編製</w:t>
      </w:r>
      <w:proofErr w:type="gramEnd"/>
      <w:r w:rsidRPr="000624C6">
        <w:rPr>
          <w:rFonts w:hAnsi="標楷體"/>
        </w:rPr>
        <w:t>之證券所有人名冊，僅有該專戶之持有股數，並沒有專戶背後實質股東資料及個別持有股數。外國機構投資人</w:t>
      </w:r>
      <w:r w:rsidR="00BC5F42" w:rsidRPr="000624C6">
        <w:rPr>
          <w:rFonts w:hAnsi="標楷體"/>
        </w:rPr>
        <w:t>（</w:t>
      </w:r>
      <w:r w:rsidRPr="000624C6">
        <w:rPr>
          <w:rFonts w:hAnsi="標楷體"/>
        </w:rPr>
        <w:t>Foreign Institutional Investor，下稱FINI）專戶如係為他人持有股份之情形下，保管銀行亦無從得知其背後實質股東之個別交易紀錄，無法核對及辨別背後之實質受益人，且與FINI專戶之間訂定之保管契約服務範圍</w:t>
      </w:r>
      <w:proofErr w:type="gramStart"/>
      <w:r w:rsidRPr="000624C6">
        <w:rPr>
          <w:rFonts w:hAnsi="標楷體"/>
        </w:rPr>
        <w:t>尚無代為</w:t>
      </w:r>
      <w:proofErr w:type="gramEnd"/>
      <w:r w:rsidRPr="000624C6">
        <w:rPr>
          <w:rFonts w:hAnsi="標楷體"/>
        </w:rPr>
        <w:t>行使召集權，保管銀行難以負擔相關責任，不適合擔任代理人召集股東臨時會。</w:t>
      </w:r>
    </w:p>
    <w:p w:rsidR="004562A7" w:rsidRPr="000624C6" w:rsidRDefault="004562A7" w:rsidP="00CF1AA9">
      <w:pPr>
        <w:pStyle w:val="4"/>
        <w:numPr>
          <w:ilvl w:val="3"/>
          <w:numId w:val="1"/>
        </w:numPr>
        <w:rPr>
          <w:rFonts w:hAnsi="標楷體"/>
        </w:rPr>
      </w:pPr>
      <w:r w:rsidRPr="000624C6">
        <w:rPr>
          <w:rFonts w:hAnsi="標楷體"/>
        </w:rPr>
        <w:t>又現行股</w:t>
      </w:r>
      <w:proofErr w:type="gramStart"/>
      <w:r w:rsidRPr="000624C6">
        <w:rPr>
          <w:rFonts w:hAnsi="標楷體"/>
        </w:rPr>
        <w:t>務</w:t>
      </w:r>
      <w:proofErr w:type="gramEnd"/>
      <w:r w:rsidRPr="000624C6">
        <w:rPr>
          <w:rFonts w:hAnsi="標楷體"/>
        </w:rPr>
        <w:t>單位係依據股東於我國之證券存摺或集保公司所產製之餘額資料，始能出具持股證明。縱使FINI專戶建議可否由其出具持股資料及第三人（例如律師）之聲明書，除保管銀行難以負擔相關責任外，股</w:t>
      </w:r>
      <w:proofErr w:type="gramStart"/>
      <w:r w:rsidRPr="000624C6">
        <w:rPr>
          <w:rFonts w:hAnsi="標楷體"/>
        </w:rPr>
        <w:t>務</w:t>
      </w:r>
      <w:proofErr w:type="gramEnd"/>
      <w:r w:rsidRPr="000624C6">
        <w:rPr>
          <w:rFonts w:hAnsi="標楷體"/>
        </w:rPr>
        <w:t>單位仍無法查核驗證FINI專戶背後之實質客戶是否持續持股達3個月以上。</w:t>
      </w:r>
      <w:proofErr w:type="gramStart"/>
      <w:r w:rsidRPr="000624C6">
        <w:rPr>
          <w:rFonts w:hAnsi="標楷體"/>
        </w:rPr>
        <w:t>爰</w:t>
      </w:r>
      <w:proofErr w:type="gramEnd"/>
      <w:r w:rsidRPr="000624C6">
        <w:rPr>
          <w:rFonts w:hAnsi="標楷體"/>
        </w:rPr>
        <w:t>證交所建議如FINI專戶背後實質股東有分</w:t>
      </w:r>
      <w:r w:rsidRPr="000624C6">
        <w:rPr>
          <w:rFonts w:hAnsi="標楷體"/>
        </w:rPr>
        <w:lastRenderedPageBreak/>
        <w:t>別行使召集權之需求，實質股東可以將持股另外移出，並由實質股東依證交所業務規章辦理登記，自己成立</w:t>
      </w:r>
      <w:proofErr w:type="gramStart"/>
      <w:r w:rsidRPr="000624C6">
        <w:rPr>
          <w:rFonts w:hAnsi="標楷體"/>
        </w:rPr>
        <w:t>一</w:t>
      </w:r>
      <w:proofErr w:type="gramEnd"/>
      <w:r w:rsidRPr="000624C6">
        <w:rPr>
          <w:rFonts w:hAnsi="標楷體"/>
        </w:rPr>
        <w:t>FINI專戶。</w:t>
      </w:r>
    </w:p>
    <w:p w:rsidR="004562A7" w:rsidRPr="000624C6" w:rsidRDefault="004562A7" w:rsidP="00CF1AA9">
      <w:pPr>
        <w:pStyle w:val="4"/>
        <w:numPr>
          <w:ilvl w:val="3"/>
          <w:numId w:val="1"/>
        </w:numPr>
        <w:rPr>
          <w:rFonts w:hAnsi="標楷體"/>
        </w:rPr>
      </w:pPr>
      <w:r w:rsidRPr="000624C6">
        <w:rPr>
          <w:rFonts w:hAnsi="標楷體"/>
          <w:szCs w:val="32"/>
        </w:rPr>
        <w:t>股東如係為他人持股，在確認該他人之持股是否符合公司法第173條之1規定繼續達3個月之要件有實務上之困難</w:t>
      </w:r>
      <w:r w:rsidRPr="000624C6">
        <w:rPr>
          <w:rFonts w:hAnsi="標楷體"/>
        </w:rPr>
        <w:t>。</w:t>
      </w:r>
    </w:p>
    <w:p w:rsidR="004562A7" w:rsidRDefault="004562A7" w:rsidP="00CF1AA9">
      <w:pPr>
        <w:pStyle w:val="3"/>
        <w:rPr>
          <w:rFonts w:hAnsi="標楷體"/>
        </w:rPr>
      </w:pPr>
      <w:r w:rsidRPr="000624C6">
        <w:rPr>
          <w:rFonts w:hAnsi="標楷體"/>
          <w:lang w:eastAsia="zh-HK"/>
        </w:rPr>
        <w:t>綜上，</w:t>
      </w:r>
      <w:r w:rsidR="002F2EBE" w:rsidRPr="000624C6">
        <w:rPr>
          <w:rFonts w:hAnsi="標楷體"/>
          <w:lang w:eastAsia="zh-HK"/>
        </w:rPr>
        <w:t>陳訴人陳訴金管會漠視外資股東依照公司法第173條之1規定享有分割參與之召集權部分，容有誤解，按</w:t>
      </w:r>
      <w:r w:rsidRPr="000624C6">
        <w:rPr>
          <w:rFonts w:hAnsi="標楷體"/>
          <w:lang w:eastAsia="zh-HK"/>
        </w:rPr>
        <w:t>公司法第173條之1係股東召集臨時股東會之規定，公開發行股票公司之股東如係為他人持有股份者（如保管機構、信託機構、存託機構或綜合帳戶等），尚難直接依公司法第181條第3項規定</w:t>
      </w:r>
      <w:proofErr w:type="gramStart"/>
      <w:r w:rsidRPr="000624C6">
        <w:rPr>
          <w:rFonts w:hAnsi="標楷體"/>
          <w:lang w:eastAsia="zh-HK"/>
        </w:rPr>
        <w:t>逕</w:t>
      </w:r>
      <w:proofErr w:type="gramEnd"/>
      <w:r w:rsidRPr="000624C6">
        <w:rPr>
          <w:rFonts w:hAnsi="標楷體"/>
          <w:lang w:eastAsia="zh-HK"/>
        </w:rPr>
        <w:t>認得依實質投資人之指示，分別行使召集權。</w:t>
      </w:r>
      <w:r w:rsidRPr="000624C6">
        <w:rPr>
          <w:rFonts w:hAnsi="標楷體"/>
        </w:rPr>
        <w:t>證交所</w:t>
      </w:r>
      <w:r w:rsidRPr="000624C6">
        <w:rPr>
          <w:rFonts w:hAnsi="標楷體"/>
          <w:lang w:eastAsia="zh-HK"/>
        </w:rPr>
        <w:t>則</w:t>
      </w:r>
      <w:r w:rsidRPr="000624C6">
        <w:rPr>
          <w:rFonts w:hAnsi="標楷體"/>
        </w:rPr>
        <w:t>建議如FINI專戶背後實質股東有分別行使召集權之需求，實質股東可以將持股另外移出，並由實質股東依證交所業務規章辦理登記，自己成立</w:t>
      </w:r>
      <w:proofErr w:type="gramStart"/>
      <w:r w:rsidRPr="000624C6">
        <w:rPr>
          <w:rFonts w:hAnsi="標楷體"/>
        </w:rPr>
        <w:t>一</w:t>
      </w:r>
      <w:proofErr w:type="gramEnd"/>
      <w:r w:rsidRPr="000624C6">
        <w:rPr>
          <w:rFonts w:hAnsi="標楷體"/>
        </w:rPr>
        <w:t>FINI專戶。</w:t>
      </w: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rPr>
      </w:pPr>
    </w:p>
    <w:p w:rsidR="00CF1AA9" w:rsidRDefault="00CF1AA9" w:rsidP="00CF1AA9">
      <w:pPr>
        <w:pStyle w:val="3"/>
        <w:numPr>
          <w:ilvl w:val="0"/>
          <w:numId w:val="0"/>
        </w:numPr>
        <w:ind w:left="1361"/>
        <w:rPr>
          <w:rFonts w:hAnsi="標楷體" w:hint="eastAsia"/>
        </w:rPr>
      </w:pPr>
    </w:p>
    <w:p w:rsidR="00CF1AA9" w:rsidRPr="00CF1AA9" w:rsidRDefault="00CF1AA9" w:rsidP="00CF1AA9">
      <w:pPr>
        <w:pStyle w:val="3"/>
        <w:numPr>
          <w:ilvl w:val="0"/>
          <w:numId w:val="1"/>
        </w:numPr>
        <w:rPr>
          <w:rFonts w:hAnsi="標楷體"/>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CF1AA9">
        <w:rPr>
          <w:rFonts w:hAnsi="標楷體"/>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CF1AA9" w:rsidRPr="00CF1AA9" w:rsidRDefault="00CF1AA9" w:rsidP="00CF1AA9">
      <w:pPr>
        <w:pStyle w:val="3"/>
        <w:numPr>
          <w:ilvl w:val="1"/>
          <w:numId w:val="1"/>
        </w:numPr>
        <w:rPr>
          <w:rFonts w:hAnsi="標楷體"/>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Ansi="標楷體" w:hint="eastAsia"/>
        </w:rPr>
        <w:t>抄</w:t>
      </w:r>
      <w:r w:rsidRPr="00CF1AA9">
        <w:rPr>
          <w:rFonts w:hAnsi="標楷體"/>
        </w:rPr>
        <w:t>調查意見一至二，密函請金融監督管理委員會確實檢討改進</w:t>
      </w:r>
      <w:proofErr w:type="gramStart"/>
      <w:r w:rsidRPr="00CF1AA9">
        <w:rPr>
          <w:rFonts w:hAnsi="標楷體"/>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CF1AA9" w:rsidRPr="00CF1AA9" w:rsidRDefault="00CF1AA9" w:rsidP="00CF1AA9">
      <w:pPr>
        <w:pStyle w:val="3"/>
        <w:numPr>
          <w:ilvl w:val="1"/>
          <w:numId w:val="1"/>
        </w:numPr>
        <w:rPr>
          <w:rFonts w:hAnsi="標楷體"/>
        </w:rPr>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r>
        <w:rPr>
          <w:rFonts w:hAnsi="標楷體" w:hint="eastAsia"/>
        </w:rPr>
        <w:t>抄</w:t>
      </w:r>
      <w:r w:rsidRPr="00CF1AA9">
        <w:rPr>
          <w:rFonts w:hAnsi="標楷體"/>
        </w:rPr>
        <w:t>調查意見</w:t>
      </w:r>
      <w:proofErr w:type="gramStart"/>
      <w:r w:rsidRPr="00CF1AA9">
        <w:rPr>
          <w:rFonts w:hAnsi="標楷體"/>
        </w:rPr>
        <w:t>三</w:t>
      </w:r>
      <w:proofErr w:type="gramEnd"/>
      <w:r w:rsidRPr="00CF1AA9">
        <w:rPr>
          <w:rFonts w:hAnsi="標楷體"/>
        </w:rPr>
        <w:t>，密函請財政部督導所屬公股銀行確實檢討改進</w:t>
      </w:r>
      <w:proofErr w:type="gramStart"/>
      <w:r w:rsidRPr="00CF1AA9">
        <w:rPr>
          <w:rFonts w:hAnsi="標楷體"/>
        </w:rPr>
        <w:t>見復。</w:t>
      </w:r>
      <w:bookmarkEnd w:id="101"/>
      <w:bookmarkEnd w:id="102"/>
      <w:bookmarkEnd w:id="103"/>
      <w:bookmarkEnd w:id="104"/>
      <w:bookmarkEnd w:id="105"/>
      <w:bookmarkEnd w:id="106"/>
      <w:bookmarkEnd w:id="107"/>
      <w:proofErr w:type="gramEnd"/>
    </w:p>
    <w:p w:rsidR="00CF1AA9" w:rsidRPr="00CF1AA9" w:rsidRDefault="00CF1AA9" w:rsidP="00CF1AA9">
      <w:pPr>
        <w:pStyle w:val="3"/>
        <w:numPr>
          <w:ilvl w:val="1"/>
          <w:numId w:val="1"/>
        </w:numPr>
        <w:rPr>
          <w:rFonts w:hAnsi="標楷體"/>
        </w:rPr>
      </w:pPr>
      <w:r>
        <w:rPr>
          <w:rFonts w:hAnsi="標楷體" w:hint="eastAsia"/>
        </w:rPr>
        <w:t>抄</w:t>
      </w:r>
      <w:r w:rsidRPr="00CF1AA9">
        <w:rPr>
          <w:rFonts w:hAnsi="標楷體"/>
        </w:rPr>
        <w:t>調查意見四，函請法務部督導所屬確實辦理</w:t>
      </w:r>
      <w:proofErr w:type="gramStart"/>
      <w:r w:rsidRPr="00CF1AA9">
        <w:rPr>
          <w:rFonts w:hAnsi="標楷體"/>
        </w:rPr>
        <w:t>見復。</w:t>
      </w:r>
      <w:proofErr w:type="gramEnd"/>
    </w:p>
    <w:p w:rsidR="00CF1AA9" w:rsidRPr="00CF1AA9" w:rsidRDefault="00CF1AA9" w:rsidP="00CF1AA9">
      <w:pPr>
        <w:pStyle w:val="3"/>
        <w:numPr>
          <w:ilvl w:val="1"/>
          <w:numId w:val="1"/>
        </w:numPr>
        <w:rPr>
          <w:rFonts w:hAnsi="標楷體"/>
        </w:rPr>
      </w:pPr>
      <w:r>
        <w:rPr>
          <w:rFonts w:hAnsi="標楷體" w:hint="eastAsia"/>
        </w:rPr>
        <w:t>抄</w:t>
      </w:r>
      <w:r w:rsidRPr="00CF1AA9">
        <w:rPr>
          <w:rFonts w:hAnsi="標楷體"/>
        </w:rPr>
        <w:t>調查意見一、二及四，密函復陳訴人。</w:t>
      </w:r>
    </w:p>
    <w:p w:rsidR="00CF1AA9" w:rsidRPr="00CF1AA9" w:rsidRDefault="00CF1AA9" w:rsidP="00CF1AA9">
      <w:pPr>
        <w:pStyle w:val="3"/>
        <w:numPr>
          <w:ilvl w:val="1"/>
          <w:numId w:val="1"/>
        </w:numPr>
        <w:rPr>
          <w:rFonts w:hAnsi="標楷體"/>
        </w:rPr>
      </w:pPr>
      <w:r>
        <w:rPr>
          <w:rFonts w:hAnsi="標楷體" w:hint="eastAsia"/>
        </w:rPr>
        <w:t>抄</w:t>
      </w:r>
      <w:r w:rsidRPr="00CF1AA9">
        <w:rPr>
          <w:rFonts w:hAnsi="標楷體"/>
        </w:rPr>
        <w:t>調查意見一、二及五，函復陳訴人。</w:t>
      </w:r>
    </w:p>
    <w:p w:rsidR="00CF1AA9" w:rsidRPr="00CF1AA9" w:rsidRDefault="00CF1AA9" w:rsidP="00CF1AA9">
      <w:pPr>
        <w:pStyle w:val="3"/>
        <w:numPr>
          <w:ilvl w:val="1"/>
          <w:numId w:val="1"/>
        </w:numPr>
        <w:rPr>
          <w:rFonts w:hAnsi="標楷體"/>
        </w:rPr>
      </w:pPr>
      <w:r>
        <w:rPr>
          <w:rFonts w:hAnsi="標楷體" w:hint="eastAsia"/>
        </w:rPr>
        <w:t>抄</w:t>
      </w:r>
      <w:r w:rsidRPr="00CF1AA9">
        <w:rPr>
          <w:rFonts w:hAnsi="標楷體"/>
        </w:rPr>
        <w:t>調查意見二，函復陳訴人</w:t>
      </w:r>
      <w:bookmarkStart w:id="110" w:name="_GoBack"/>
      <w:bookmarkEnd w:id="110"/>
      <w:r w:rsidRPr="00CF1AA9">
        <w:rPr>
          <w:rFonts w:hAnsi="標楷體"/>
        </w:rPr>
        <w:t>。</w:t>
      </w:r>
    </w:p>
    <w:p w:rsidR="00CF1AA9" w:rsidRPr="00CF1AA9" w:rsidRDefault="00CF1AA9" w:rsidP="00CF1AA9">
      <w:pPr>
        <w:pStyle w:val="2"/>
        <w:rPr>
          <w:rFonts w:hAnsi="標楷體"/>
          <w:szCs w:val="36"/>
        </w:rPr>
      </w:pPr>
      <w:bookmarkStart w:id="111" w:name="_Toc69556899"/>
      <w:bookmarkStart w:id="112" w:name="_Toc69556948"/>
      <w:bookmarkStart w:id="113" w:name="_Toc69609822"/>
      <w:bookmarkEnd w:id="108"/>
      <w:bookmarkEnd w:id="109"/>
      <w:r w:rsidRPr="00CF1AA9">
        <w:rPr>
          <w:rFonts w:hAnsi="標楷體"/>
          <w:szCs w:val="36"/>
        </w:rPr>
        <w:tab/>
      </w:r>
      <w:r w:rsidRPr="00CF1AA9">
        <w:rPr>
          <w:rFonts w:hAnsi="標楷體" w:hint="eastAsia"/>
          <w:szCs w:val="36"/>
        </w:rPr>
        <w:t>調查報告之案由、調查意見及處理辦法(公布版)上網公布。</w:t>
      </w:r>
    </w:p>
    <w:bookmarkEnd w:id="90"/>
    <w:bookmarkEnd w:id="91"/>
    <w:bookmarkEnd w:id="92"/>
    <w:bookmarkEnd w:id="93"/>
    <w:bookmarkEnd w:id="94"/>
    <w:bookmarkEnd w:id="95"/>
    <w:bookmarkEnd w:id="96"/>
    <w:bookmarkEnd w:id="97"/>
    <w:bookmarkEnd w:id="98"/>
    <w:bookmarkEnd w:id="99"/>
    <w:bookmarkEnd w:id="100"/>
    <w:bookmarkEnd w:id="111"/>
    <w:bookmarkEnd w:id="112"/>
    <w:bookmarkEnd w:id="113"/>
    <w:p w:rsidR="00CF1AA9" w:rsidRPr="00CF1AA9" w:rsidRDefault="00CF1AA9" w:rsidP="00CF1AA9">
      <w:pPr>
        <w:pStyle w:val="3"/>
        <w:numPr>
          <w:ilvl w:val="0"/>
          <w:numId w:val="0"/>
        </w:numPr>
        <w:ind w:left="1361"/>
        <w:rPr>
          <w:rFonts w:hAnsi="標楷體" w:hint="eastAsia"/>
        </w:rPr>
      </w:pPr>
    </w:p>
    <w:bookmarkEnd w:id="24"/>
    <w:p w:rsidR="005130CF" w:rsidRPr="000624C6" w:rsidRDefault="007B469A" w:rsidP="005130CF">
      <w:pPr>
        <w:pStyle w:val="aa"/>
        <w:spacing w:beforeLines="50" w:before="228" w:afterLines="50" w:after="228"/>
        <w:ind w:leftChars="1100" w:left="3742"/>
        <w:rPr>
          <w:rFonts w:hAnsi="標楷體"/>
          <w:b w:val="0"/>
          <w:bCs/>
          <w:snapToGrid/>
          <w:spacing w:val="12"/>
          <w:kern w:val="0"/>
          <w:sz w:val="40"/>
          <w:lang w:eastAsia="zh-HK"/>
        </w:rPr>
      </w:pPr>
      <w:r w:rsidRPr="000624C6">
        <w:rPr>
          <w:rFonts w:hAnsi="標楷體"/>
          <w:b w:val="0"/>
          <w:bCs/>
          <w:snapToGrid/>
          <w:spacing w:val="12"/>
          <w:kern w:val="0"/>
          <w:sz w:val="40"/>
        </w:rPr>
        <w:t>調查委員：</w:t>
      </w:r>
      <w:r w:rsidR="005130CF" w:rsidRPr="000624C6">
        <w:rPr>
          <w:rFonts w:hAnsi="標楷體" w:hint="eastAsia"/>
          <w:b w:val="0"/>
          <w:bCs/>
          <w:snapToGrid/>
          <w:spacing w:val="12"/>
          <w:kern w:val="0"/>
          <w:sz w:val="40"/>
          <w:lang w:eastAsia="zh-HK"/>
        </w:rPr>
        <w:t>李月德</w:t>
      </w:r>
    </w:p>
    <w:p w:rsidR="007B469A" w:rsidRPr="000624C6" w:rsidRDefault="005130CF" w:rsidP="00CF1AA9">
      <w:pPr>
        <w:pStyle w:val="aa"/>
        <w:spacing w:beforeLines="50" w:before="228" w:afterLines="100" w:after="457"/>
        <w:ind w:leftChars="1765" w:left="6004"/>
        <w:rPr>
          <w:rFonts w:hAnsi="標楷體"/>
          <w:b w:val="0"/>
          <w:bCs/>
          <w:snapToGrid/>
          <w:spacing w:val="12"/>
          <w:kern w:val="0"/>
          <w:sz w:val="40"/>
        </w:rPr>
      </w:pPr>
      <w:r w:rsidRPr="000624C6">
        <w:rPr>
          <w:rFonts w:hAnsi="標楷體" w:hint="eastAsia"/>
          <w:b w:val="0"/>
          <w:bCs/>
          <w:snapToGrid/>
          <w:spacing w:val="12"/>
          <w:kern w:val="0"/>
          <w:sz w:val="40"/>
          <w:lang w:eastAsia="zh-HK"/>
        </w:rPr>
        <w:t>仉桂美</w:t>
      </w:r>
    </w:p>
    <w:p w:rsidR="003D2F16" w:rsidRPr="000624C6" w:rsidRDefault="003D2F16" w:rsidP="003D2F16">
      <w:pPr>
        <w:pStyle w:val="aa"/>
        <w:spacing w:beforeLines="50" w:before="228" w:after="0"/>
        <w:ind w:leftChars="1100" w:left="3742"/>
        <w:rPr>
          <w:rFonts w:hAnsi="標楷體"/>
          <w:b w:val="0"/>
          <w:bCs/>
          <w:snapToGrid/>
          <w:spacing w:val="12"/>
          <w:kern w:val="0"/>
          <w:sz w:val="40"/>
        </w:rPr>
      </w:pPr>
    </w:p>
    <w:p w:rsidR="005130CF" w:rsidRPr="000624C6" w:rsidRDefault="005130CF" w:rsidP="003D2F16">
      <w:pPr>
        <w:pStyle w:val="aa"/>
        <w:spacing w:beforeLines="50" w:before="228" w:after="0"/>
        <w:ind w:leftChars="1100" w:left="3742"/>
        <w:rPr>
          <w:rFonts w:hAnsi="標楷體"/>
          <w:b w:val="0"/>
          <w:bCs/>
          <w:snapToGrid/>
          <w:spacing w:val="12"/>
          <w:kern w:val="0"/>
          <w:sz w:val="40"/>
        </w:rPr>
      </w:pPr>
    </w:p>
    <w:p w:rsidR="00B21673" w:rsidRPr="000624C6" w:rsidRDefault="00B21673" w:rsidP="003D2F16">
      <w:pPr>
        <w:pStyle w:val="aa"/>
        <w:spacing w:beforeLines="50" w:before="228" w:after="0"/>
        <w:ind w:leftChars="1100" w:left="3742"/>
        <w:rPr>
          <w:rFonts w:hAnsi="標楷體"/>
          <w:b w:val="0"/>
          <w:bCs/>
          <w:snapToGrid/>
          <w:spacing w:val="12"/>
          <w:kern w:val="0"/>
          <w:sz w:val="40"/>
        </w:rPr>
      </w:pPr>
    </w:p>
    <w:p w:rsidR="007B469A" w:rsidRPr="000624C6" w:rsidRDefault="007B469A" w:rsidP="003D2F16">
      <w:pPr>
        <w:pStyle w:val="af2"/>
        <w:spacing w:line="400" w:lineRule="exact"/>
        <w:rPr>
          <w:rFonts w:hAnsi="標楷體"/>
          <w:bCs/>
        </w:rPr>
      </w:pPr>
      <w:r w:rsidRPr="000624C6">
        <w:rPr>
          <w:rFonts w:hAnsi="標楷體"/>
          <w:bCs/>
        </w:rPr>
        <w:t xml:space="preserve">中  華  民  國　109　年　</w:t>
      </w:r>
      <w:r w:rsidR="0011105D" w:rsidRPr="000624C6">
        <w:rPr>
          <w:rFonts w:hAnsi="標楷體" w:hint="eastAsia"/>
          <w:bCs/>
        </w:rPr>
        <w:t>4</w:t>
      </w:r>
      <w:r w:rsidRPr="000624C6">
        <w:rPr>
          <w:rFonts w:hAnsi="標楷體"/>
          <w:bCs/>
        </w:rPr>
        <w:t xml:space="preserve">　月　</w:t>
      </w:r>
      <w:r w:rsidR="00703355" w:rsidRPr="000624C6">
        <w:rPr>
          <w:rFonts w:hAnsi="標楷體" w:hint="eastAsia"/>
          <w:bCs/>
        </w:rPr>
        <w:t>8</w:t>
      </w:r>
      <w:r w:rsidRPr="000624C6">
        <w:rPr>
          <w:rFonts w:hAnsi="標楷體"/>
          <w:bCs/>
        </w:rPr>
        <w:t xml:space="preserve">　日</w:t>
      </w:r>
    </w:p>
    <w:sectPr w:rsidR="007B469A" w:rsidRPr="000624C6" w:rsidSect="00DF5A5D">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E07" w:rsidRDefault="00DB3E07">
      <w:r>
        <w:separator/>
      </w:r>
    </w:p>
  </w:endnote>
  <w:endnote w:type="continuationSeparator" w:id="0">
    <w:p w:rsidR="00DB3E07" w:rsidRDefault="00DB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0A" w:rsidRDefault="0002260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B4EDC">
      <w:rPr>
        <w:rStyle w:val="ae"/>
        <w:noProof/>
        <w:sz w:val="24"/>
      </w:rPr>
      <w:t>18</w:t>
    </w:r>
    <w:r>
      <w:rPr>
        <w:rStyle w:val="ae"/>
        <w:sz w:val="24"/>
      </w:rPr>
      <w:fldChar w:fldCharType="end"/>
    </w:r>
  </w:p>
  <w:p w:rsidR="0002260A" w:rsidRDefault="0002260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E07" w:rsidRDefault="00DB3E07">
      <w:r>
        <w:separator/>
      </w:r>
    </w:p>
  </w:footnote>
  <w:footnote w:type="continuationSeparator" w:id="0">
    <w:p w:rsidR="00DB3E07" w:rsidRDefault="00DB3E07">
      <w:r>
        <w:continuationSeparator/>
      </w:r>
    </w:p>
  </w:footnote>
  <w:footnote w:id="1">
    <w:p w:rsidR="0002260A" w:rsidRPr="008D5F13" w:rsidRDefault="0002260A" w:rsidP="00202685">
      <w:pPr>
        <w:pStyle w:val="5"/>
        <w:numPr>
          <w:ilvl w:val="0"/>
          <w:numId w:val="0"/>
        </w:numPr>
        <w:snapToGrid w:val="0"/>
        <w:ind w:left="176" w:hangingChars="80" w:hanging="176"/>
        <w:rPr>
          <w:sz w:val="20"/>
          <w:szCs w:val="20"/>
        </w:rPr>
      </w:pPr>
      <w:r w:rsidRPr="008D5F13">
        <w:rPr>
          <w:rStyle w:val="aff4"/>
          <w:sz w:val="20"/>
          <w:szCs w:val="20"/>
        </w:rPr>
        <w:footnoteRef/>
      </w:r>
      <w:r w:rsidRPr="008D5F13">
        <w:rPr>
          <w:rFonts w:hAnsi="Times New Roman" w:hint="eastAsia"/>
          <w:bCs w:val="0"/>
          <w:kern w:val="2"/>
          <w:sz w:val="20"/>
          <w:szCs w:val="20"/>
        </w:rPr>
        <w:t xml:space="preserve"> </w:t>
      </w:r>
      <w:r w:rsidRPr="008D5F13">
        <w:rPr>
          <w:rFonts w:hAnsi="Times New Roman"/>
          <w:bCs w:val="0"/>
          <w:kern w:val="2"/>
          <w:sz w:val="20"/>
          <w:szCs w:val="20"/>
          <w:lang w:eastAsia="zh-HK"/>
        </w:rPr>
        <w:t>不減持上市公司股份承諾</w:t>
      </w:r>
      <w:r w:rsidRPr="008D5F13">
        <w:rPr>
          <w:rFonts w:hAnsi="Times New Roman" w:hint="eastAsia"/>
          <w:bCs w:val="0"/>
          <w:kern w:val="2"/>
          <w:sz w:val="20"/>
          <w:szCs w:val="20"/>
          <w:lang w:eastAsia="zh-HK"/>
        </w:rPr>
        <w:t>略</w:t>
      </w:r>
      <w:proofErr w:type="gramStart"/>
      <w:r w:rsidRPr="008D5F13">
        <w:rPr>
          <w:rFonts w:hAnsi="Times New Roman" w:hint="eastAsia"/>
          <w:bCs w:val="0"/>
          <w:kern w:val="2"/>
          <w:sz w:val="20"/>
          <w:szCs w:val="20"/>
          <w:lang w:eastAsia="zh-HK"/>
        </w:rPr>
        <w:t>以</w:t>
      </w:r>
      <w:proofErr w:type="gramEnd"/>
      <w:r w:rsidRPr="008D5F13">
        <w:rPr>
          <w:rFonts w:hAnsi="Times New Roman" w:hint="eastAsia"/>
          <w:bCs w:val="0"/>
          <w:kern w:val="2"/>
          <w:sz w:val="20"/>
          <w:szCs w:val="20"/>
          <w:lang w:eastAsia="zh-HK"/>
        </w:rPr>
        <w:t>：</w:t>
      </w:r>
      <w:r w:rsidRPr="008D5F13">
        <w:rPr>
          <w:rFonts w:hAnsi="Times New Roman"/>
          <w:bCs w:val="0"/>
          <w:kern w:val="2"/>
          <w:sz w:val="20"/>
          <w:szCs w:val="20"/>
          <w:lang w:eastAsia="zh-HK"/>
        </w:rPr>
        <w:t>「百慕達華映與馬來西亞華映承諾，本次收購完成後至次世代大尺寸液晶面板生產線投產並注入到中國華映科技前，百慕達華映、馬來西亞華映不減持其持有的中國華映科技的股份。」中國華映科技董事會</w:t>
      </w:r>
      <w:r w:rsidRPr="008D5F13">
        <w:rPr>
          <w:rFonts w:hAnsi="Times New Roman" w:hint="eastAsia"/>
          <w:bCs w:val="0"/>
          <w:kern w:val="2"/>
          <w:sz w:val="20"/>
          <w:szCs w:val="20"/>
          <w:lang w:eastAsia="zh-HK"/>
        </w:rPr>
        <w:t>於</w:t>
      </w:r>
      <w:r w:rsidRPr="008D5F13">
        <w:rPr>
          <w:rFonts w:hAnsi="Times New Roman"/>
          <w:bCs w:val="0"/>
          <w:kern w:val="2"/>
          <w:sz w:val="20"/>
          <w:szCs w:val="20"/>
          <w:lang w:eastAsia="zh-HK"/>
        </w:rPr>
        <w:t>103年變更本承諾事項</w:t>
      </w:r>
      <w:r w:rsidRPr="008D5F13">
        <w:rPr>
          <w:rFonts w:hAnsi="Times New Roman" w:hint="eastAsia"/>
          <w:bCs w:val="0"/>
          <w:kern w:val="2"/>
          <w:sz w:val="20"/>
          <w:szCs w:val="20"/>
          <w:lang w:eastAsia="zh-HK"/>
        </w:rPr>
        <w:t>略</w:t>
      </w:r>
      <w:proofErr w:type="gramStart"/>
      <w:r w:rsidRPr="008D5F13">
        <w:rPr>
          <w:rFonts w:hAnsi="Times New Roman" w:hint="eastAsia"/>
          <w:bCs w:val="0"/>
          <w:kern w:val="2"/>
          <w:sz w:val="20"/>
          <w:szCs w:val="20"/>
          <w:lang w:eastAsia="zh-HK"/>
        </w:rPr>
        <w:t>以</w:t>
      </w:r>
      <w:proofErr w:type="gramEnd"/>
      <w:r w:rsidRPr="008D5F13">
        <w:rPr>
          <w:rFonts w:hAnsi="Times New Roman" w:hint="eastAsia"/>
          <w:bCs w:val="0"/>
          <w:kern w:val="2"/>
          <w:sz w:val="20"/>
          <w:szCs w:val="20"/>
          <w:lang w:eastAsia="zh-HK"/>
        </w:rPr>
        <w:t>：</w:t>
      </w:r>
      <w:r w:rsidRPr="008D5F13">
        <w:rPr>
          <w:rFonts w:hAnsi="Times New Roman"/>
          <w:bCs w:val="0"/>
          <w:kern w:val="2"/>
          <w:sz w:val="20"/>
          <w:szCs w:val="20"/>
          <w:lang w:eastAsia="zh-HK"/>
        </w:rPr>
        <w:t>「因百慕達華映考量產業變化及市場競爭，於103年4月經董事會通過變更該承諾，並以放棄中國華映科技資本公積增資78,609,380股，換取中國華映科技103年9月股東會決議18個月後之股份上市流通權。」</w:t>
      </w:r>
    </w:p>
  </w:footnote>
  <w:footnote w:id="2">
    <w:p w:rsidR="0002260A" w:rsidRPr="008D5F13" w:rsidRDefault="0002260A" w:rsidP="00202685">
      <w:pPr>
        <w:pStyle w:val="aff2"/>
        <w:ind w:left="176" w:hangingChars="80" w:hanging="176"/>
        <w:jc w:val="both"/>
      </w:pPr>
      <w:r w:rsidRPr="008D5F13">
        <w:rPr>
          <w:rStyle w:val="aff4"/>
        </w:rPr>
        <w:footnoteRef/>
      </w:r>
      <w:r w:rsidRPr="008D5F13">
        <w:rPr>
          <w:rFonts w:hAnsi="標楷體" w:hint="eastAsia"/>
        </w:rPr>
        <w:t xml:space="preserve"> </w:t>
      </w:r>
      <w:r w:rsidRPr="008D5F13">
        <w:rPr>
          <w:rFonts w:hAnsi="標楷體"/>
        </w:rPr>
        <w:t>對未來</w:t>
      </w:r>
      <w:r w:rsidRPr="008D5F13">
        <w:rPr>
          <w:rFonts w:hAnsi="標楷體"/>
          <w:lang w:eastAsia="zh-HK"/>
        </w:rPr>
        <w:t>上市公司</w:t>
      </w:r>
      <w:r w:rsidRPr="008D5F13">
        <w:rPr>
          <w:rFonts w:hAnsi="標楷體"/>
        </w:rPr>
        <w:t>業績的承諾</w:t>
      </w:r>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rPr>
        <w:t>百慕達華映與馬來西亞華映承諾，在4家液晶顯示模組（Liquid Crystal Display Module</w:t>
      </w:r>
      <w:r w:rsidRPr="008D5F13">
        <w:rPr>
          <w:rFonts w:hAnsi="標楷體" w:hint="eastAsia"/>
        </w:rPr>
        <w:t>，</w:t>
      </w:r>
      <w:r w:rsidRPr="008D5F13">
        <w:rPr>
          <w:rFonts w:hAnsi="標楷體" w:hint="eastAsia"/>
          <w:lang w:eastAsia="zh-HK"/>
        </w:rPr>
        <w:t>下稱</w:t>
      </w:r>
      <w:r w:rsidRPr="008D5F13">
        <w:rPr>
          <w:rFonts w:hAnsi="標楷體"/>
        </w:rPr>
        <w:t>LCM）公司現有經營模式未因法律、政策變更等客觀變化而改變的情況下，本次收購</w:t>
      </w:r>
      <w:r w:rsidRPr="008D5F13">
        <w:rPr>
          <w:rFonts w:hAnsi="標楷體"/>
          <w:lang w:eastAsia="zh-HK"/>
        </w:rPr>
        <w:t>完成</w:t>
      </w:r>
      <w:r w:rsidRPr="008D5F13">
        <w:rPr>
          <w:rFonts w:hAnsi="標楷體"/>
        </w:rPr>
        <w:t>後至一個會計年度內關聯交易金額占同期同類交易金額的比例下降至30</w:t>
      </w:r>
      <w:r w:rsidR="00B10AF8" w:rsidRPr="008D5F13">
        <w:rPr>
          <w:rFonts w:hAnsi="標楷體"/>
        </w:rPr>
        <w:t>%</w:t>
      </w:r>
      <w:r w:rsidRPr="008D5F13">
        <w:rPr>
          <w:rFonts w:hAnsi="標楷體"/>
        </w:rPr>
        <w:t>以下（不含30</w:t>
      </w:r>
      <w:r w:rsidR="00B10AF8" w:rsidRPr="008D5F13">
        <w:rPr>
          <w:rFonts w:hAnsi="標楷體"/>
        </w:rPr>
        <w:t>%</w:t>
      </w:r>
      <w:r w:rsidRPr="008D5F13">
        <w:rPr>
          <w:rFonts w:hAnsi="標楷體"/>
        </w:rPr>
        <w:t>）前，確保中國華映科技每年淨資產收益率不低於10</w:t>
      </w:r>
      <w:r w:rsidR="00B10AF8" w:rsidRPr="008D5F13">
        <w:rPr>
          <w:rFonts w:hAnsi="標楷體"/>
        </w:rPr>
        <w:t>%</w:t>
      </w:r>
      <w:r w:rsidRPr="008D5F13">
        <w:rPr>
          <w:rFonts w:hAnsi="標楷體"/>
        </w:rPr>
        <w:t>，</w:t>
      </w:r>
      <w:r w:rsidRPr="008D5F13">
        <w:rPr>
          <w:rFonts w:hAnsi="標楷體"/>
          <w:lang w:eastAsia="zh-HK"/>
        </w:rPr>
        <w:t>不足部分由</w:t>
      </w:r>
      <w:r w:rsidRPr="008D5F13">
        <w:rPr>
          <w:rFonts w:hAnsi="標楷體"/>
        </w:rPr>
        <w:t>百慕達</w:t>
      </w:r>
      <w:proofErr w:type="gramStart"/>
      <w:r w:rsidRPr="008D5F13">
        <w:rPr>
          <w:rFonts w:hAnsi="標楷體"/>
        </w:rPr>
        <w:t>華映</w:t>
      </w:r>
      <w:r w:rsidRPr="008D5F13">
        <w:rPr>
          <w:rFonts w:hAnsi="標楷體"/>
          <w:lang w:eastAsia="zh-HK"/>
        </w:rPr>
        <w:t>以現金</w:t>
      </w:r>
      <w:proofErr w:type="gramEnd"/>
      <w:r w:rsidRPr="008D5F13">
        <w:rPr>
          <w:rFonts w:hAnsi="標楷體"/>
          <w:lang w:eastAsia="zh-HK"/>
        </w:rPr>
        <w:t>向</w:t>
      </w:r>
      <w:r w:rsidRPr="008D5F13">
        <w:rPr>
          <w:rFonts w:hAnsi="標楷體"/>
        </w:rPr>
        <w:t>中國華映科技</w:t>
      </w:r>
      <w:r w:rsidRPr="008D5F13">
        <w:rPr>
          <w:rFonts w:hAnsi="標楷體"/>
          <w:lang w:eastAsia="zh-HK"/>
        </w:rPr>
        <w:t>補足</w:t>
      </w:r>
      <w:r w:rsidRPr="008D5F13">
        <w:rPr>
          <w:rFonts w:hAnsi="標楷體"/>
        </w:rPr>
        <w:t>。若後續中國華映科技一個會計年度關聯交易金額占同期同類交易金額的比例恢復至30</w:t>
      </w:r>
      <w:r w:rsidR="00B10AF8" w:rsidRPr="008D5F13">
        <w:rPr>
          <w:rFonts w:hAnsi="標楷體"/>
        </w:rPr>
        <w:t>%</w:t>
      </w:r>
      <w:r w:rsidRPr="008D5F13">
        <w:rPr>
          <w:rFonts w:hAnsi="標楷體"/>
        </w:rPr>
        <w:t>以上（含30</w:t>
      </w:r>
      <w:r w:rsidR="00B10AF8" w:rsidRPr="008D5F13">
        <w:rPr>
          <w:rFonts w:hAnsi="標楷體"/>
        </w:rPr>
        <w:t>%</w:t>
      </w:r>
      <w:r w:rsidRPr="008D5F13">
        <w:rPr>
          <w:rFonts w:hAnsi="標楷體"/>
        </w:rPr>
        <w:t>），則仍確保中國華映科技該年淨資產收益率不低於10</w:t>
      </w:r>
      <w:r w:rsidR="00B10AF8" w:rsidRPr="008D5F13">
        <w:rPr>
          <w:rFonts w:hAnsi="標楷體"/>
        </w:rPr>
        <w:t>%</w:t>
      </w:r>
      <w:r w:rsidRPr="008D5F13">
        <w:rPr>
          <w:rFonts w:hAnsi="標楷體"/>
        </w:rPr>
        <w:t>，</w:t>
      </w:r>
      <w:r w:rsidRPr="008D5F13">
        <w:rPr>
          <w:rFonts w:hAnsi="標楷體"/>
          <w:lang w:eastAsia="zh-HK"/>
        </w:rPr>
        <w:t>不足部分由</w:t>
      </w:r>
      <w:r w:rsidRPr="008D5F13">
        <w:rPr>
          <w:rFonts w:hAnsi="標楷體"/>
        </w:rPr>
        <w:t>百慕達</w:t>
      </w:r>
      <w:proofErr w:type="gramStart"/>
      <w:r w:rsidRPr="008D5F13">
        <w:rPr>
          <w:rFonts w:hAnsi="標楷體"/>
        </w:rPr>
        <w:t>華映</w:t>
      </w:r>
      <w:r w:rsidRPr="008D5F13">
        <w:rPr>
          <w:rFonts w:hAnsi="標楷體"/>
          <w:lang w:eastAsia="zh-HK"/>
        </w:rPr>
        <w:t>於當年</w:t>
      </w:r>
      <w:proofErr w:type="gramEnd"/>
      <w:r w:rsidRPr="008D5F13">
        <w:rPr>
          <w:rFonts w:hAnsi="標楷體"/>
          <w:lang w:eastAsia="zh-HK"/>
        </w:rPr>
        <w:t>以現金補足</w:t>
      </w:r>
      <w:r w:rsidRPr="008D5F13">
        <w:rPr>
          <w:bCs/>
          <w:lang w:eastAsia="zh-HK"/>
        </w:rPr>
        <w:t>。」</w:t>
      </w:r>
    </w:p>
  </w:footnote>
  <w:footnote w:id="3">
    <w:p w:rsidR="0002260A" w:rsidRPr="008D5F13" w:rsidRDefault="0002260A" w:rsidP="00202685">
      <w:pPr>
        <w:pStyle w:val="aff2"/>
        <w:ind w:left="176" w:hangingChars="80" w:hanging="176"/>
        <w:jc w:val="both"/>
      </w:pPr>
      <w:r w:rsidRPr="008D5F13">
        <w:rPr>
          <w:rStyle w:val="aff4"/>
        </w:rPr>
        <w:footnoteRef/>
      </w:r>
      <w:r w:rsidRPr="008D5F13">
        <w:rPr>
          <w:rFonts w:hAnsi="標楷體" w:hint="eastAsia"/>
        </w:rPr>
        <w:t xml:space="preserve"> </w:t>
      </w:r>
      <w:r w:rsidRPr="008D5F13">
        <w:rPr>
          <w:rFonts w:hAnsi="標楷體"/>
        </w:rPr>
        <w:t>收購完成後關聯交易比例承諾</w:t>
      </w:r>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rPr>
        <w:t>百慕達華映</w:t>
      </w:r>
      <w:r w:rsidRPr="008D5F13">
        <w:rPr>
          <w:rFonts w:hAnsi="標楷體"/>
          <w:lang w:eastAsia="zh-HK"/>
        </w:rPr>
        <w:t>與</w:t>
      </w:r>
      <w:r w:rsidRPr="008D5F13">
        <w:rPr>
          <w:rFonts w:hAnsi="標楷體"/>
        </w:rPr>
        <w:t>馬來西亞華映</w:t>
      </w:r>
      <w:r w:rsidRPr="008D5F13">
        <w:rPr>
          <w:rFonts w:hAnsi="標楷體"/>
          <w:lang w:eastAsia="zh-HK"/>
        </w:rPr>
        <w:t>承諾</w:t>
      </w:r>
      <w:r w:rsidRPr="008D5F13">
        <w:rPr>
          <w:rFonts w:hAnsi="標楷體"/>
        </w:rPr>
        <w:t>，本次收購完成後，在99年12月底前，中國華映科技關聯交易金額占同期同類交易金額的比例下降至30</w:t>
      </w:r>
      <w:r w:rsidR="00B10AF8" w:rsidRPr="008D5F13">
        <w:rPr>
          <w:rFonts w:hAnsi="標楷體"/>
        </w:rPr>
        <w:t>%</w:t>
      </w:r>
      <w:r w:rsidRPr="008D5F13">
        <w:rPr>
          <w:rFonts w:hAnsi="標楷體"/>
        </w:rPr>
        <w:t>以下（不含30</w:t>
      </w:r>
      <w:r w:rsidR="00B10AF8" w:rsidRPr="008D5F13">
        <w:rPr>
          <w:rFonts w:hAnsi="標楷體"/>
        </w:rPr>
        <w:t>%</w:t>
      </w:r>
      <w:r w:rsidRPr="008D5F13">
        <w:rPr>
          <w:rFonts w:hAnsi="標楷體"/>
        </w:rPr>
        <w:t>），並在以後年度將上述關聯交易比例持續維持在30</w:t>
      </w:r>
      <w:r w:rsidR="00B10AF8" w:rsidRPr="008D5F13">
        <w:rPr>
          <w:rFonts w:hAnsi="標楷體"/>
        </w:rPr>
        <w:t>%</w:t>
      </w:r>
      <w:r w:rsidRPr="008D5F13">
        <w:rPr>
          <w:rFonts w:hAnsi="標楷體"/>
        </w:rPr>
        <w:t>以下（不含30</w:t>
      </w:r>
      <w:r w:rsidR="00B10AF8" w:rsidRPr="008D5F13">
        <w:rPr>
          <w:rFonts w:hAnsi="標楷體"/>
        </w:rPr>
        <w:t>%</w:t>
      </w:r>
      <w:r w:rsidRPr="008D5F13">
        <w:rPr>
          <w:rFonts w:hAnsi="標楷體"/>
        </w:rPr>
        <w:t>）。</w:t>
      </w:r>
      <w:r w:rsidRPr="008D5F13">
        <w:rPr>
          <w:rFonts w:hAnsi="標楷體"/>
          <w:lang w:eastAsia="zh-HK"/>
        </w:rPr>
        <w:t>如在</w:t>
      </w:r>
      <w:r w:rsidRPr="008D5F13">
        <w:rPr>
          <w:rFonts w:hAnsi="標楷體"/>
        </w:rPr>
        <w:t>99</w:t>
      </w:r>
      <w:r w:rsidRPr="008D5F13">
        <w:rPr>
          <w:rFonts w:hAnsi="標楷體"/>
          <w:lang w:eastAsia="zh-HK"/>
        </w:rPr>
        <w:t>年</w:t>
      </w:r>
      <w:r w:rsidRPr="008D5F13">
        <w:rPr>
          <w:rFonts w:hAnsi="標楷體"/>
        </w:rPr>
        <w:t>12月底</w:t>
      </w:r>
      <w:r w:rsidRPr="008D5F13">
        <w:rPr>
          <w:rFonts w:hAnsi="標楷體"/>
          <w:lang w:eastAsia="zh-HK"/>
        </w:rPr>
        <w:t>前</w:t>
      </w:r>
      <w:r w:rsidRPr="008D5F13">
        <w:rPr>
          <w:rFonts w:hAnsi="標楷體"/>
        </w:rPr>
        <w:t>，中國華映科技關聯交易金額占同期同類交易金額的比例</w:t>
      </w:r>
      <w:proofErr w:type="gramStart"/>
      <w:r w:rsidRPr="008D5F13">
        <w:rPr>
          <w:rFonts w:hAnsi="標楷體"/>
          <w:lang w:eastAsia="zh-HK"/>
        </w:rPr>
        <w:t>不</w:t>
      </w:r>
      <w:proofErr w:type="gramEnd"/>
      <w:r w:rsidRPr="008D5F13">
        <w:rPr>
          <w:rFonts w:hAnsi="標楷體"/>
        </w:rPr>
        <w:t>降至30</w:t>
      </w:r>
      <w:r w:rsidR="00B10AF8" w:rsidRPr="008D5F13">
        <w:rPr>
          <w:rFonts w:hAnsi="標楷體"/>
        </w:rPr>
        <w:t>%</w:t>
      </w:r>
      <w:r w:rsidRPr="008D5F13">
        <w:rPr>
          <w:rFonts w:hAnsi="標楷體"/>
          <w:lang w:eastAsia="zh-HK"/>
        </w:rPr>
        <w:t>以下</w:t>
      </w:r>
      <w:r w:rsidRPr="008D5F13">
        <w:rPr>
          <w:rFonts w:hAnsi="標楷體"/>
        </w:rPr>
        <w:t>（不含30</w:t>
      </w:r>
      <w:r w:rsidR="00B10AF8" w:rsidRPr="008D5F13">
        <w:rPr>
          <w:rFonts w:hAnsi="標楷體"/>
        </w:rPr>
        <w:t>%</w:t>
      </w:r>
      <w:r w:rsidRPr="008D5F13">
        <w:rPr>
          <w:rFonts w:hAnsi="標楷體"/>
        </w:rPr>
        <w:t>），百慕達華映</w:t>
      </w:r>
      <w:r w:rsidRPr="008D5F13">
        <w:rPr>
          <w:rFonts w:hAnsi="標楷體"/>
          <w:lang w:eastAsia="zh-HK"/>
        </w:rPr>
        <w:t>將向</w:t>
      </w:r>
      <w:r w:rsidRPr="008D5F13">
        <w:rPr>
          <w:rFonts w:hAnsi="標楷體"/>
        </w:rPr>
        <w:t>中國華映</w:t>
      </w:r>
      <w:proofErr w:type="gramStart"/>
      <w:r w:rsidRPr="008D5F13">
        <w:rPr>
          <w:rFonts w:hAnsi="標楷體"/>
        </w:rPr>
        <w:t>科技</w:t>
      </w:r>
      <w:r w:rsidRPr="008D5F13">
        <w:rPr>
          <w:rFonts w:hAnsi="標楷體"/>
          <w:lang w:eastAsia="zh-HK"/>
        </w:rPr>
        <w:t>送股股權</w:t>
      </w:r>
      <w:proofErr w:type="gramEnd"/>
      <w:r w:rsidRPr="008D5F13">
        <w:rPr>
          <w:rFonts w:hAnsi="標楷體"/>
          <w:lang w:eastAsia="zh-HK"/>
        </w:rPr>
        <w:t>登記日收市後</w:t>
      </w:r>
      <w:proofErr w:type="gramStart"/>
      <w:r w:rsidRPr="008D5F13">
        <w:rPr>
          <w:rFonts w:hAnsi="標楷體"/>
          <w:lang w:eastAsia="zh-HK"/>
        </w:rPr>
        <w:t>登記在冊的</w:t>
      </w:r>
      <w:proofErr w:type="gramEnd"/>
      <w:r w:rsidRPr="008D5F13">
        <w:rPr>
          <w:rFonts w:hAnsi="標楷體"/>
          <w:lang w:eastAsia="zh-HK"/>
        </w:rPr>
        <w:t>除</w:t>
      </w:r>
      <w:r w:rsidRPr="008D5F13">
        <w:rPr>
          <w:rFonts w:hAnsi="標楷體"/>
        </w:rPr>
        <w:t>百慕達華映</w:t>
      </w:r>
      <w:r w:rsidRPr="008D5F13">
        <w:rPr>
          <w:rFonts w:hAnsi="標楷體"/>
          <w:lang w:eastAsia="zh-HK"/>
        </w:rPr>
        <w:t>與</w:t>
      </w:r>
      <w:r w:rsidRPr="008D5F13">
        <w:rPr>
          <w:rFonts w:hAnsi="標楷體"/>
        </w:rPr>
        <w:t>馬來西亞</w:t>
      </w:r>
      <w:proofErr w:type="gramStart"/>
      <w:r w:rsidRPr="008D5F13">
        <w:rPr>
          <w:rFonts w:hAnsi="標楷體"/>
        </w:rPr>
        <w:t>華映</w:t>
      </w:r>
      <w:r w:rsidRPr="008D5F13">
        <w:rPr>
          <w:rFonts w:hAnsi="標楷體"/>
          <w:lang w:eastAsia="zh-HK"/>
        </w:rPr>
        <w:t>外的</w:t>
      </w:r>
      <w:proofErr w:type="gramEnd"/>
      <w:r w:rsidRPr="008D5F13">
        <w:rPr>
          <w:rFonts w:hAnsi="標楷體"/>
          <w:lang w:eastAsia="zh-HK"/>
        </w:rPr>
        <w:t>全體</w:t>
      </w:r>
      <w:proofErr w:type="gramStart"/>
      <w:r w:rsidRPr="008D5F13">
        <w:rPr>
          <w:rFonts w:hAnsi="標楷體"/>
          <w:lang w:eastAsia="zh-HK"/>
        </w:rPr>
        <w:t>股東送股</w:t>
      </w:r>
      <w:r w:rsidRPr="008D5F13">
        <w:rPr>
          <w:rFonts w:hAnsi="標楷體"/>
        </w:rPr>
        <w:t>1</w:t>
      </w:r>
      <w:r w:rsidRPr="008D5F13">
        <w:rPr>
          <w:rFonts w:hAnsi="標楷體"/>
          <w:lang w:eastAsia="zh-HK"/>
        </w:rPr>
        <w:t>次</w:t>
      </w:r>
      <w:proofErr w:type="gramEnd"/>
      <w:r w:rsidRPr="008D5F13">
        <w:rPr>
          <w:rFonts w:hAnsi="標楷體"/>
        </w:rPr>
        <w:t>，</w:t>
      </w:r>
      <w:proofErr w:type="gramStart"/>
      <w:r w:rsidRPr="008D5F13">
        <w:rPr>
          <w:rFonts w:hAnsi="標楷體"/>
          <w:lang w:eastAsia="zh-HK"/>
        </w:rPr>
        <w:t>送股數量</w:t>
      </w:r>
      <w:proofErr w:type="gramEnd"/>
      <w:r w:rsidRPr="008D5F13">
        <w:rPr>
          <w:rFonts w:hAnsi="標楷體"/>
          <w:lang w:eastAsia="zh-HK"/>
        </w:rPr>
        <w:t>為</w:t>
      </w:r>
      <w:r w:rsidRPr="008D5F13">
        <w:rPr>
          <w:rFonts w:hAnsi="標楷體"/>
        </w:rPr>
        <w:t>4,546,719</w:t>
      </w:r>
      <w:r w:rsidRPr="008D5F13">
        <w:rPr>
          <w:rFonts w:hAnsi="標楷體"/>
          <w:lang w:eastAsia="zh-HK"/>
        </w:rPr>
        <w:t>股</w:t>
      </w:r>
      <w:r w:rsidRPr="008D5F13">
        <w:rPr>
          <w:bCs/>
          <w:lang w:eastAsia="zh-HK"/>
        </w:rPr>
        <w:t>。」</w:t>
      </w:r>
      <w:r w:rsidRPr="008D5F13">
        <w:rPr>
          <w:rFonts w:hAnsi="標楷體"/>
        </w:rPr>
        <w:t>上市公司關聯交易比例的補充承諾</w:t>
      </w:r>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rPr>
        <w:t>百慕達華映</w:t>
      </w:r>
      <w:r w:rsidRPr="008D5F13">
        <w:rPr>
          <w:rFonts w:hAnsi="標楷體" w:hint="eastAsia"/>
          <w:lang w:eastAsia="zh-HK"/>
        </w:rPr>
        <w:t>與</w:t>
      </w:r>
      <w:r w:rsidRPr="008D5F13">
        <w:rPr>
          <w:rFonts w:hAnsi="標楷體"/>
        </w:rPr>
        <w:t>馬來西亞華映</w:t>
      </w:r>
      <w:r w:rsidRPr="008D5F13">
        <w:rPr>
          <w:rFonts w:hAnsi="標楷體" w:hint="eastAsia"/>
          <w:lang w:eastAsia="zh-HK"/>
        </w:rPr>
        <w:t>承諾</w:t>
      </w:r>
      <w:r w:rsidRPr="008D5F13">
        <w:rPr>
          <w:rFonts w:hAnsi="標楷體" w:hint="eastAsia"/>
        </w:rPr>
        <w:t>，</w:t>
      </w:r>
      <w:r w:rsidRPr="008D5F13">
        <w:rPr>
          <w:rFonts w:hAnsi="標楷體"/>
        </w:rPr>
        <w:t>本次重大資產重組完成後，</w:t>
      </w:r>
      <w:r w:rsidRPr="008D5F13">
        <w:rPr>
          <w:rFonts w:hAnsi="標楷體" w:hint="eastAsia"/>
        </w:rPr>
        <w:t>98</w:t>
      </w:r>
      <w:r w:rsidRPr="008D5F13">
        <w:rPr>
          <w:rFonts w:hAnsi="標楷體"/>
        </w:rPr>
        <w:t>年12月份，中國華映科技關聯交易金額占同期同類交易金額的比例下降至60</w:t>
      </w:r>
      <w:r w:rsidR="00B10AF8" w:rsidRPr="008D5F13">
        <w:rPr>
          <w:rFonts w:hAnsi="標楷體"/>
        </w:rPr>
        <w:t>%</w:t>
      </w:r>
      <w:r w:rsidRPr="008D5F13">
        <w:rPr>
          <w:rFonts w:hAnsi="標楷體"/>
        </w:rPr>
        <w:t>以下；</w:t>
      </w:r>
      <w:r w:rsidRPr="008D5F13">
        <w:rPr>
          <w:rFonts w:hAnsi="標楷體" w:hint="eastAsia"/>
        </w:rPr>
        <w:t>99</w:t>
      </w:r>
      <w:r w:rsidRPr="008D5F13">
        <w:rPr>
          <w:rFonts w:hAnsi="標楷體"/>
        </w:rPr>
        <w:t>年12月份，中國華映科技關聯交易金額占同期同類交易金額的比例下降至30</w:t>
      </w:r>
      <w:r w:rsidR="00B10AF8" w:rsidRPr="008D5F13">
        <w:rPr>
          <w:rFonts w:hAnsi="標楷體"/>
        </w:rPr>
        <w:t>%</w:t>
      </w:r>
      <w:r w:rsidRPr="008D5F13">
        <w:rPr>
          <w:rFonts w:hAnsi="標楷體"/>
        </w:rPr>
        <w:t>以下（不含30</w:t>
      </w:r>
      <w:r w:rsidR="00B10AF8" w:rsidRPr="008D5F13">
        <w:rPr>
          <w:rFonts w:hAnsi="標楷體"/>
        </w:rPr>
        <w:t>%</w:t>
      </w:r>
      <w:r w:rsidRPr="008D5F13">
        <w:rPr>
          <w:rFonts w:hAnsi="標楷體"/>
        </w:rPr>
        <w:t>）；自</w:t>
      </w:r>
      <w:r w:rsidRPr="008D5F13">
        <w:rPr>
          <w:rFonts w:hAnsi="標楷體" w:hint="eastAsia"/>
        </w:rPr>
        <w:t>100</w:t>
      </w:r>
      <w:r w:rsidRPr="008D5F13">
        <w:rPr>
          <w:rFonts w:hAnsi="標楷體"/>
        </w:rPr>
        <w:t>年起，中國華映科技年度關聯交易金額占同期同類交易金額的比例持續維持在30</w:t>
      </w:r>
      <w:r w:rsidR="00B10AF8" w:rsidRPr="008D5F13">
        <w:rPr>
          <w:rFonts w:hAnsi="標楷體"/>
        </w:rPr>
        <w:t>%</w:t>
      </w:r>
      <w:r w:rsidRPr="008D5F13">
        <w:rPr>
          <w:rFonts w:hAnsi="標楷體"/>
        </w:rPr>
        <w:t>以下（不含30</w:t>
      </w:r>
      <w:r w:rsidR="00B10AF8" w:rsidRPr="008D5F13">
        <w:rPr>
          <w:rFonts w:hAnsi="標楷體"/>
        </w:rPr>
        <w:t>%</w:t>
      </w:r>
      <w:r w:rsidRPr="008D5F13">
        <w:rPr>
          <w:rFonts w:hAnsi="標楷體"/>
        </w:rPr>
        <w:t>）</w:t>
      </w:r>
      <w:r w:rsidRPr="008D5F13">
        <w:rPr>
          <w:bCs/>
          <w:lang w:eastAsia="zh-HK"/>
        </w:rPr>
        <w:t>。」</w:t>
      </w:r>
      <w:r w:rsidRPr="008D5F13">
        <w:rPr>
          <w:rFonts w:hAnsi="標楷體" w:hint="eastAsia"/>
          <w:lang w:eastAsia="zh-HK"/>
        </w:rPr>
        <w:t>金管會</w:t>
      </w:r>
      <w:r w:rsidRPr="008D5F13">
        <w:rPr>
          <w:rFonts w:hAnsi="標楷體"/>
          <w:lang w:eastAsia="zh-HK"/>
        </w:rPr>
        <w:t>106年5月</w:t>
      </w:r>
      <w:r w:rsidRPr="008D5F13">
        <w:rPr>
          <w:rFonts w:hAnsi="標楷體" w:hint="eastAsia"/>
          <w:lang w:eastAsia="zh-HK"/>
        </w:rPr>
        <w:t>收受之</w:t>
      </w:r>
      <w:r w:rsidRPr="008D5F13">
        <w:rPr>
          <w:rFonts w:hAnsi="標楷體"/>
          <w:lang w:eastAsia="zh-HK"/>
        </w:rPr>
        <w:t>檢舉</w:t>
      </w:r>
      <w:proofErr w:type="gramStart"/>
      <w:r w:rsidRPr="008D5F13">
        <w:rPr>
          <w:rFonts w:hAnsi="標楷體" w:hint="eastAsia"/>
          <w:lang w:eastAsia="zh-HK"/>
        </w:rPr>
        <w:t>資料亦檢附</w:t>
      </w:r>
      <w:r w:rsidRPr="008D5F13">
        <w:rPr>
          <w:rFonts w:hAnsi="標楷體"/>
          <w:lang w:eastAsia="zh-HK"/>
        </w:rPr>
        <w:t>中</w:t>
      </w:r>
      <w:proofErr w:type="gramEnd"/>
      <w:r w:rsidRPr="008D5F13">
        <w:rPr>
          <w:rFonts w:hAnsi="標楷體"/>
          <w:lang w:eastAsia="zh-HK"/>
        </w:rPr>
        <w:t>國華映科技董事會</w:t>
      </w:r>
      <w:r w:rsidRPr="008D5F13">
        <w:rPr>
          <w:rFonts w:hAnsi="標楷體" w:hint="eastAsia"/>
          <w:lang w:eastAsia="zh-HK"/>
        </w:rPr>
        <w:t>於</w:t>
      </w:r>
      <w:r w:rsidRPr="008D5F13">
        <w:rPr>
          <w:rFonts w:hAnsi="標楷體"/>
        </w:rPr>
        <w:t>100</w:t>
      </w:r>
      <w:r w:rsidRPr="008D5F13">
        <w:rPr>
          <w:rFonts w:hAnsi="標楷體"/>
          <w:lang w:eastAsia="zh-HK"/>
        </w:rPr>
        <w:t>年</w:t>
      </w:r>
      <w:proofErr w:type="gramStart"/>
      <w:r w:rsidRPr="008D5F13">
        <w:rPr>
          <w:rFonts w:hAnsi="標楷體"/>
          <w:lang w:eastAsia="zh-HK"/>
        </w:rPr>
        <w:t>執行送股方案</w:t>
      </w:r>
      <w:proofErr w:type="gramEnd"/>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lang w:eastAsia="zh-HK"/>
        </w:rPr>
        <w:t>中國華映科技</w:t>
      </w:r>
      <w:r w:rsidRPr="008D5F13">
        <w:rPr>
          <w:rFonts w:hAnsi="標楷體"/>
        </w:rPr>
        <w:t>99</w:t>
      </w:r>
      <w:r w:rsidRPr="008D5F13">
        <w:rPr>
          <w:rFonts w:hAnsi="標楷體"/>
          <w:lang w:eastAsia="zh-HK"/>
        </w:rPr>
        <w:t>年</w:t>
      </w:r>
      <w:r w:rsidRPr="008D5F13">
        <w:rPr>
          <w:rFonts w:hAnsi="標楷體"/>
        </w:rPr>
        <w:t>12</w:t>
      </w:r>
      <w:r w:rsidRPr="008D5F13">
        <w:rPr>
          <w:rFonts w:hAnsi="標楷體"/>
          <w:lang w:eastAsia="zh-HK"/>
        </w:rPr>
        <w:t>月關聯採購</w:t>
      </w:r>
      <w:r w:rsidRPr="008D5F13">
        <w:rPr>
          <w:rFonts w:hAnsi="標楷體"/>
        </w:rPr>
        <w:t>、</w:t>
      </w:r>
      <w:r w:rsidRPr="008D5F13">
        <w:rPr>
          <w:rFonts w:hAnsi="標楷體"/>
          <w:lang w:eastAsia="zh-HK"/>
        </w:rPr>
        <w:t>接受勞務關聯交易比例為</w:t>
      </w:r>
      <w:r w:rsidRPr="008D5F13">
        <w:rPr>
          <w:rFonts w:hAnsi="標楷體"/>
        </w:rPr>
        <w:t>88.51</w:t>
      </w:r>
      <w:r w:rsidR="005D09AD" w:rsidRPr="008D5F13">
        <w:rPr>
          <w:rFonts w:hAnsi="標楷體"/>
        </w:rPr>
        <w:t>%</w:t>
      </w:r>
      <w:r w:rsidRPr="008D5F13">
        <w:rPr>
          <w:rFonts w:hAnsi="標楷體"/>
        </w:rPr>
        <w:t>，</w:t>
      </w:r>
      <w:r w:rsidRPr="008D5F13">
        <w:rPr>
          <w:rFonts w:hAnsi="標楷體"/>
          <w:lang w:eastAsia="zh-HK"/>
        </w:rPr>
        <w:t>銷售商品</w:t>
      </w:r>
      <w:r w:rsidRPr="008D5F13">
        <w:rPr>
          <w:rFonts w:hAnsi="標楷體"/>
        </w:rPr>
        <w:t>、</w:t>
      </w:r>
      <w:r w:rsidRPr="008D5F13">
        <w:rPr>
          <w:rFonts w:hAnsi="標楷體"/>
          <w:lang w:eastAsia="zh-HK"/>
        </w:rPr>
        <w:t>提供勞務關聯交易比例為</w:t>
      </w:r>
      <w:r w:rsidRPr="008D5F13">
        <w:rPr>
          <w:rFonts w:hAnsi="標楷體"/>
        </w:rPr>
        <w:t>85.25</w:t>
      </w:r>
      <w:r w:rsidR="005D09AD" w:rsidRPr="008D5F13">
        <w:rPr>
          <w:rFonts w:hAnsi="標楷體"/>
        </w:rPr>
        <w:t>%</w:t>
      </w:r>
      <w:r w:rsidRPr="008D5F13">
        <w:rPr>
          <w:rFonts w:hAnsi="標楷體"/>
        </w:rPr>
        <w:t>，</w:t>
      </w:r>
      <w:r w:rsidRPr="008D5F13">
        <w:rPr>
          <w:rFonts w:hAnsi="標楷體" w:hint="eastAsia"/>
          <w:lang w:eastAsia="zh-HK"/>
        </w:rPr>
        <w:t>因當月</w:t>
      </w:r>
      <w:r w:rsidRPr="008D5F13">
        <w:rPr>
          <w:rFonts w:hAnsi="標楷體"/>
        </w:rPr>
        <w:t>關聯交易金額占同期同類交易金額比例</w:t>
      </w:r>
      <w:r w:rsidRPr="008D5F13">
        <w:rPr>
          <w:rFonts w:hAnsi="標楷體"/>
          <w:lang w:eastAsia="zh-HK"/>
        </w:rPr>
        <w:t>完成情況未達目標</w:t>
      </w:r>
      <w:r w:rsidRPr="008D5F13">
        <w:rPr>
          <w:rFonts w:hAnsi="標楷體"/>
        </w:rPr>
        <w:t>，百慕達</w:t>
      </w:r>
      <w:proofErr w:type="gramStart"/>
      <w:r w:rsidRPr="008D5F13">
        <w:rPr>
          <w:rFonts w:hAnsi="標楷體"/>
        </w:rPr>
        <w:t>華映</w:t>
      </w:r>
      <w:r w:rsidRPr="008D5F13">
        <w:rPr>
          <w:rFonts w:hAnsi="標楷體"/>
          <w:lang w:eastAsia="zh-HK"/>
        </w:rPr>
        <w:t>按承諾</w:t>
      </w:r>
      <w:proofErr w:type="gramEnd"/>
      <w:r w:rsidRPr="008D5F13">
        <w:rPr>
          <w:rFonts w:hAnsi="標楷體"/>
          <w:lang w:eastAsia="zh-HK"/>
        </w:rPr>
        <w:t>向股權登記日</w:t>
      </w:r>
      <w:r w:rsidRPr="008D5F13">
        <w:rPr>
          <w:rFonts w:hAnsi="標楷體"/>
        </w:rPr>
        <w:t>（</w:t>
      </w:r>
      <w:r w:rsidRPr="008D5F13">
        <w:rPr>
          <w:rFonts w:hAnsi="標楷體"/>
          <w:lang w:eastAsia="zh-HK"/>
        </w:rPr>
        <w:t>即</w:t>
      </w:r>
      <w:r w:rsidRPr="008D5F13">
        <w:rPr>
          <w:rFonts w:hAnsi="標楷體"/>
        </w:rPr>
        <w:t>100</w:t>
      </w:r>
      <w:r w:rsidRPr="008D5F13">
        <w:rPr>
          <w:rFonts w:hAnsi="標楷體"/>
          <w:lang w:eastAsia="zh-HK"/>
        </w:rPr>
        <w:t>年</w:t>
      </w:r>
      <w:r w:rsidRPr="008D5F13">
        <w:rPr>
          <w:rFonts w:hAnsi="標楷體"/>
        </w:rPr>
        <w:t>3</w:t>
      </w:r>
      <w:r w:rsidRPr="008D5F13">
        <w:rPr>
          <w:rFonts w:hAnsi="標楷體"/>
          <w:lang w:eastAsia="zh-HK"/>
        </w:rPr>
        <w:t>月</w:t>
      </w:r>
      <w:r w:rsidRPr="008D5F13">
        <w:rPr>
          <w:rFonts w:hAnsi="標楷體"/>
        </w:rPr>
        <w:t>24</w:t>
      </w:r>
      <w:r w:rsidRPr="008D5F13">
        <w:rPr>
          <w:rFonts w:hAnsi="標楷體"/>
          <w:lang w:eastAsia="zh-HK"/>
        </w:rPr>
        <w:t>日</w:t>
      </w:r>
      <w:r w:rsidRPr="008D5F13">
        <w:rPr>
          <w:rFonts w:hAnsi="標楷體"/>
        </w:rPr>
        <w:t>）</w:t>
      </w:r>
      <w:r w:rsidRPr="008D5F13">
        <w:rPr>
          <w:rFonts w:hAnsi="標楷體"/>
          <w:lang w:eastAsia="zh-HK"/>
        </w:rPr>
        <w:t>收市後</w:t>
      </w:r>
      <w:proofErr w:type="gramStart"/>
      <w:r w:rsidRPr="008D5F13">
        <w:rPr>
          <w:rFonts w:hAnsi="標楷體"/>
          <w:lang w:eastAsia="zh-HK"/>
        </w:rPr>
        <w:t>登記在冊的</w:t>
      </w:r>
      <w:proofErr w:type="gramEnd"/>
      <w:r w:rsidRPr="008D5F13">
        <w:rPr>
          <w:rFonts w:hAnsi="標楷體"/>
          <w:lang w:eastAsia="zh-HK"/>
        </w:rPr>
        <w:t>除</w:t>
      </w:r>
      <w:r w:rsidRPr="008D5F13">
        <w:rPr>
          <w:rFonts w:hAnsi="標楷體"/>
        </w:rPr>
        <w:t>百慕達華映、</w:t>
      </w:r>
      <w:r w:rsidRPr="008D5F13">
        <w:rPr>
          <w:rFonts w:hAnsi="標楷體"/>
          <w:lang w:eastAsia="zh-HK"/>
        </w:rPr>
        <w:t>馬來西亞</w:t>
      </w:r>
      <w:proofErr w:type="gramStart"/>
      <w:r w:rsidRPr="008D5F13">
        <w:rPr>
          <w:rFonts w:hAnsi="標楷體"/>
        </w:rPr>
        <w:t>華映</w:t>
      </w:r>
      <w:r w:rsidRPr="008D5F13">
        <w:rPr>
          <w:rFonts w:hAnsi="標楷體"/>
          <w:lang w:eastAsia="zh-HK"/>
        </w:rPr>
        <w:t>外的</w:t>
      </w:r>
      <w:proofErr w:type="gramEnd"/>
      <w:r w:rsidRPr="008D5F13">
        <w:rPr>
          <w:rFonts w:hAnsi="標楷體"/>
          <w:lang w:eastAsia="zh-HK"/>
        </w:rPr>
        <w:t>全體</w:t>
      </w:r>
      <w:proofErr w:type="gramStart"/>
      <w:r w:rsidRPr="008D5F13">
        <w:rPr>
          <w:rFonts w:hAnsi="標楷體"/>
          <w:lang w:eastAsia="zh-HK"/>
        </w:rPr>
        <w:t>股東送股</w:t>
      </w:r>
      <w:r w:rsidRPr="008D5F13">
        <w:rPr>
          <w:rFonts w:hAnsi="標楷體"/>
        </w:rPr>
        <w:t>1</w:t>
      </w:r>
      <w:r w:rsidRPr="008D5F13">
        <w:rPr>
          <w:rFonts w:hAnsi="標楷體"/>
          <w:lang w:eastAsia="zh-HK"/>
        </w:rPr>
        <w:t>次</w:t>
      </w:r>
      <w:proofErr w:type="gramEnd"/>
      <w:r w:rsidRPr="008D5F13">
        <w:rPr>
          <w:rFonts w:hAnsi="標楷體"/>
        </w:rPr>
        <w:t>，</w:t>
      </w:r>
      <w:proofErr w:type="gramStart"/>
      <w:r w:rsidRPr="008D5F13">
        <w:rPr>
          <w:rFonts w:hAnsi="標楷體"/>
          <w:lang w:eastAsia="zh-HK"/>
        </w:rPr>
        <w:t>送股數量</w:t>
      </w:r>
      <w:proofErr w:type="gramEnd"/>
      <w:r w:rsidRPr="008D5F13">
        <w:rPr>
          <w:rFonts w:hAnsi="標楷體"/>
          <w:lang w:eastAsia="zh-HK"/>
        </w:rPr>
        <w:t>為</w:t>
      </w:r>
      <w:r w:rsidRPr="008D5F13">
        <w:rPr>
          <w:rFonts w:hAnsi="標楷體"/>
        </w:rPr>
        <w:t>4,546,719</w:t>
      </w:r>
      <w:r w:rsidRPr="008D5F13">
        <w:rPr>
          <w:rFonts w:hAnsi="標楷體"/>
          <w:lang w:eastAsia="zh-HK"/>
        </w:rPr>
        <w:t>股</w:t>
      </w:r>
      <w:r w:rsidRPr="008D5F13">
        <w:rPr>
          <w:bCs/>
          <w:lang w:eastAsia="zh-HK"/>
        </w:rPr>
        <w:t>。」</w:t>
      </w:r>
    </w:p>
  </w:footnote>
  <w:footnote w:id="4">
    <w:p w:rsidR="0002260A" w:rsidRPr="008D5F13" w:rsidRDefault="0002260A" w:rsidP="006C4969">
      <w:pPr>
        <w:pStyle w:val="aff2"/>
        <w:ind w:left="176" w:hangingChars="80" w:hanging="176"/>
        <w:jc w:val="both"/>
      </w:pPr>
      <w:r w:rsidRPr="008D5F13">
        <w:rPr>
          <w:rStyle w:val="aff4"/>
        </w:rPr>
        <w:footnoteRef/>
      </w:r>
      <w:r w:rsidRPr="008D5F13">
        <w:rPr>
          <w:rFonts w:hAnsi="標楷體" w:hint="eastAsia"/>
        </w:rPr>
        <w:t xml:space="preserve"> </w:t>
      </w:r>
      <w:r w:rsidRPr="008D5F13">
        <w:rPr>
          <w:rFonts w:hAnsi="標楷體"/>
        </w:rPr>
        <w:t>與上市公司避免同業競爭的承諾</w:t>
      </w:r>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rPr>
        <w:t>百慕達華映、馬來西亞華映</w:t>
      </w:r>
      <w:r w:rsidRPr="008D5F13">
        <w:rPr>
          <w:rFonts w:hAnsi="標楷體" w:hint="eastAsia"/>
        </w:rPr>
        <w:t>、</w:t>
      </w:r>
      <w:r w:rsidRPr="008D5F13">
        <w:rPr>
          <w:rFonts w:hAnsi="標楷體"/>
        </w:rPr>
        <w:t>華映公司</w:t>
      </w:r>
      <w:r w:rsidRPr="008D5F13">
        <w:rPr>
          <w:rFonts w:hAnsi="標楷體" w:hint="eastAsia"/>
        </w:rPr>
        <w:t>、</w:t>
      </w:r>
      <w:r w:rsidRPr="008D5F13">
        <w:rPr>
          <w:rFonts w:hAnsi="標楷體"/>
        </w:rPr>
        <w:t>大同公司確認華映光電股份有限公司生產</w:t>
      </w:r>
      <w:r w:rsidRPr="008D5F13">
        <w:rPr>
          <w:rFonts w:hAnsi="標楷體" w:hint="eastAsia"/>
        </w:rPr>
        <w:t>之</w:t>
      </w:r>
      <w:r w:rsidRPr="008D5F13">
        <w:rPr>
          <w:rFonts w:hAnsi="標楷體"/>
        </w:rPr>
        <w:t>中小尺寸液晶模組與</w:t>
      </w:r>
      <w:r w:rsidRPr="008D5F13">
        <w:rPr>
          <w:rFonts w:hAnsi="標楷體" w:hint="eastAsia"/>
        </w:rPr>
        <w:t>4</w:t>
      </w:r>
      <w:r w:rsidRPr="008D5F13">
        <w:rPr>
          <w:rFonts w:hAnsi="標楷體"/>
        </w:rPr>
        <w:t>家LCM公司生產之大尺寸液晶模組不存在實質性的同業競爭</w:t>
      </w:r>
      <w:r w:rsidRPr="008D5F13">
        <w:rPr>
          <w:rFonts w:hAnsi="標楷體" w:hint="eastAsia"/>
        </w:rPr>
        <w:t>；承諾除上述事項外，</w:t>
      </w:r>
      <w:r w:rsidRPr="008D5F13">
        <w:rPr>
          <w:rFonts w:hAnsi="標楷體"/>
        </w:rPr>
        <w:t>大同公司、華映公司、百慕達華映、馬來西亞華映及其控制的公司或其他組織</w:t>
      </w:r>
      <w:r w:rsidRPr="008D5F13">
        <w:rPr>
          <w:rFonts w:hAnsi="標楷體" w:hint="eastAsia"/>
        </w:rPr>
        <w:t>今後</w:t>
      </w:r>
      <w:r w:rsidRPr="008D5F13">
        <w:rPr>
          <w:rFonts w:hAnsi="標楷體"/>
        </w:rPr>
        <w:t>將不在中國境內外以任何形式從事與中國華映科技及其控制公司業務及相關產品業務相同或相似的業務經營活動，</w:t>
      </w:r>
      <w:r w:rsidRPr="008D5F13">
        <w:rPr>
          <w:rFonts w:hAnsi="標楷體" w:hint="eastAsia"/>
        </w:rPr>
        <w:t>包括在中國境內外投資、收購、兼併與</w:t>
      </w:r>
      <w:r w:rsidRPr="008D5F13">
        <w:rPr>
          <w:rFonts w:hAnsi="標楷體"/>
        </w:rPr>
        <w:t>中國華映科技</w:t>
      </w:r>
      <w:r w:rsidRPr="008D5F13">
        <w:rPr>
          <w:rFonts w:hAnsi="標楷體" w:hint="eastAsia"/>
        </w:rPr>
        <w:t>及其控制公司現有業務及相關產品相同或相似的公司或者其他經濟組織。</w:t>
      </w:r>
      <w:r w:rsidRPr="008D5F13">
        <w:rPr>
          <w:rFonts w:hAnsi="標楷體"/>
        </w:rPr>
        <w:t>大同公司</w:t>
      </w:r>
      <w:r w:rsidRPr="008D5F13">
        <w:rPr>
          <w:rFonts w:hAnsi="標楷體" w:hint="eastAsia"/>
        </w:rPr>
        <w:t>、</w:t>
      </w:r>
      <w:r w:rsidRPr="008D5F13">
        <w:rPr>
          <w:rFonts w:hAnsi="標楷體"/>
        </w:rPr>
        <w:t>華映公司</w:t>
      </w:r>
      <w:r w:rsidRPr="008D5F13">
        <w:rPr>
          <w:rFonts w:hAnsi="標楷體" w:hint="eastAsia"/>
        </w:rPr>
        <w:t>、</w:t>
      </w:r>
      <w:r w:rsidRPr="008D5F13">
        <w:rPr>
          <w:rFonts w:hAnsi="標楷體"/>
        </w:rPr>
        <w:t>百慕達華映、馬來西亞華映</w:t>
      </w:r>
      <w:r w:rsidRPr="008D5F13">
        <w:rPr>
          <w:rFonts w:hAnsi="標楷體" w:hint="eastAsia"/>
        </w:rPr>
        <w:t>及其</w:t>
      </w:r>
      <w:r w:rsidRPr="008D5F13">
        <w:rPr>
          <w:rFonts w:hAnsi="標楷體"/>
        </w:rPr>
        <w:t>控制的公司或其他組織</w:t>
      </w:r>
      <w:r w:rsidRPr="008D5F13">
        <w:rPr>
          <w:rFonts w:hAnsi="標楷體" w:hint="eastAsia"/>
        </w:rPr>
        <w:t>將</w:t>
      </w:r>
      <w:r w:rsidRPr="008D5F13">
        <w:rPr>
          <w:rFonts w:hAnsi="標楷體"/>
        </w:rPr>
        <w:t>不在中國以控股地位，或以參股地位但擁有實質控制權的方式從事與中國華映科技及其控制公司新的業務領域及相關產品相同或相似的業務活動</w:t>
      </w:r>
      <w:r w:rsidRPr="008D5F13">
        <w:rPr>
          <w:rFonts w:hAnsi="標楷體" w:hint="eastAsia"/>
        </w:rPr>
        <w:t>，包括在中國境內投資、收購、兼併與</w:t>
      </w:r>
      <w:r w:rsidRPr="008D5F13">
        <w:rPr>
          <w:rFonts w:hAnsi="標楷體"/>
        </w:rPr>
        <w:t>中國華映科技</w:t>
      </w:r>
      <w:r w:rsidRPr="008D5F13">
        <w:rPr>
          <w:rFonts w:hAnsi="標楷體" w:hint="eastAsia"/>
          <w:lang w:eastAsia="zh-HK"/>
        </w:rPr>
        <w:t>及其控制公司新的業務領域及相關產品相同或相似的公司或者其他經濟組織</w:t>
      </w:r>
      <w:r w:rsidRPr="008D5F13">
        <w:rPr>
          <w:rFonts w:hAnsi="標楷體"/>
        </w:rPr>
        <w:t>。</w:t>
      </w:r>
      <w:r w:rsidRPr="008D5F13">
        <w:rPr>
          <w:bCs/>
          <w:lang w:eastAsia="zh-HK"/>
        </w:rPr>
        <w:t>」</w:t>
      </w:r>
    </w:p>
  </w:footnote>
  <w:footnote w:id="5">
    <w:p w:rsidR="0002260A" w:rsidRPr="008D5F13" w:rsidRDefault="0002260A" w:rsidP="006C4969">
      <w:pPr>
        <w:pStyle w:val="aff2"/>
        <w:ind w:left="176" w:hangingChars="80" w:hanging="176"/>
        <w:jc w:val="both"/>
      </w:pPr>
      <w:r w:rsidRPr="008D5F13">
        <w:rPr>
          <w:rStyle w:val="aff4"/>
        </w:rPr>
        <w:footnoteRef/>
      </w:r>
      <w:r w:rsidRPr="008D5F13">
        <w:rPr>
          <w:rFonts w:hAnsi="標楷體" w:hint="eastAsia"/>
        </w:rPr>
        <w:t xml:space="preserve"> </w:t>
      </w:r>
      <w:r w:rsidRPr="008D5F13">
        <w:rPr>
          <w:rFonts w:hAnsi="標楷體"/>
        </w:rPr>
        <w:t>信息披露的承諾</w:t>
      </w:r>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rPr>
        <w:t>大同公司、華映公司、百慕達華映、馬來西亞華映作出任何對中國華映科技或其控制之企業有影響的決議，或籌劃進行任何對中國華映科技或其控制的企業有影響的事宜，</w:t>
      </w:r>
      <w:proofErr w:type="gramStart"/>
      <w:r w:rsidRPr="008D5F13">
        <w:rPr>
          <w:rFonts w:hAnsi="標楷體"/>
        </w:rPr>
        <w:t>均會將</w:t>
      </w:r>
      <w:proofErr w:type="gramEnd"/>
      <w:r w:rsidRPr="008D5F13">
        <w:rPr>
          <w:rFonts w:hAnsi="標楷體"/>
        </w:rPr>
        <w:t>決議內容告知中國華映科技，按中國法律法規履行信息披露義務，</w:t>
      </w:r>
      <w:r w:rsidRPr="008D5F13">
        <w:rPr>
          <w:rFonts w:hAnsi="標楷體"/>
          <w:lang w:eastAsia="zh-HK"/>
        </w:rPr>
        <w:t>並同時在臺灣進行信息披露</w:t>
      </w:r>
      <w:r w:rsidRPr="008D5F13">
        <w:rPr>
          <w:rFonts w:hAnsi="標楷體"/>
        </w:rPr>
        <w:t>；</w:t>
      </w:r>
      <w:r w:rsidRPr="008D5F13">
        <w:rPr>
          <w:rFonts w:hAnsi="標楷體"/>
          <w:lang w:eastAsia="zh-HK"/>
        </w:rPr>
        <w:t>該等事宜的信息披露</w:t>
      </w:r>
      <w:r w:rsidRPr="008D5F13">
        <w:rPr>
          <w:rFonts w:hAnsi="標楷體"/>
        </w:rPr>
        <w:t>，</w:t>
      </w:r>
      <w:r w:rsidRPr="008D5F13">
        <w:rPr>
          <w:rFonts w:hAnsi="標楷體"/>
          <w:lang w:eastAsia="zh-HK"/>
        </w:rPr>
        <w:t>保證在中國和臺灣同時進行</w:t>
      </w:r>
      <w:r w:rsidRPr="008D5F13">
        <w:rPr>
          <w:rFonts w:hAnsi="標楷體"/>
        </w:rPr>
        <w:t>，</w:t>
      </w:r>
      <w:r w:rsidRPr="008D5F13">
        <w:rPr>
          <w:rFonts w:hAnsi="標楷體"/>
          <w:lang w:eastAsia="zh-HK"/>
        </w:rPr>
        <w:t>且信息披露的內容保持一致</w:t>
      </w:r>
      <w:r w:rsidRPr="008D5F13">
        <w:rPr>
          <w:rFonts w:hAnsi="標楷體"/>
        </w:rPr>
        <w:t>。</w:t>
      </w:r>
      <w:r w:rsidRPr="008D5F13">
        <w:rPr>
          <w:bCs/>
          <w:lang w:eastAsia="zh-HK"/>
        </w:rPr>
        <w:t>」</w:t>
      </w:r>
    </w:p>
  </w:footnote>
  <w:footnote w:id="6">
    <w:p w:rsidR="0002260A" w:rsidRPr="008D5F13" w:rsidRDefault="0002260A" w:rsidP="00797FA5">
      <w:pPr>
        <w:pStyle w:val="aff2"/>
        <w:ind w:left="176" w:hangingChars="80" w:hanging="176"/>
        <w:jc w:val="both"/>
      </w:pPr>
      <w:r w:rsidRPr="008D5F13">
        <w:rPr>
          <w:rStyle w:val="aff4"/>
        </w:rPr>
        <w:footnoteRef/>
      </w:r>
      <w:r w:rsidR="00B10AF8" w:rsidRPr="008D5F13">
        <w:rPr>
          <w:rFonts w:hAnsi="標楷體" w:hint="eastAsia"/>
        </w:rPr>
        <w:t xml:space="preserve"> </w:t>
      </w:r>
      <w:r w:rsidRPr="008D5F13">
        <w:rPr>
          <w:rFonts w:hAnsi="標楷體"/>
        </w:rPr>
        <w:t>董事會構成的承諾</w:t>
      </w:r>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rPr>
        <w:t>百慕達華映承諾，本次重組完成後，中國華映科技依法定程序修改《公司章程》，《公司章程》董事會組成條款修改為：</w:t>
      </w:r>
      <w:r w:rsidRPr="008D5F13">
        <w:rPr>
          <w:rFonts w:hAnsi="標楷體"/>
          <w:lang w:eastAsia="zh-HK"/>
        </w:rPr>
        <w:t>「</w:t>
      </w:r>
      <w:r w:rsidRPr="008D5F13">
        <w:rPr>
          <w:rFonts w:hAnsi="標楷體"/>
        </w:rPr>
        <w:t>董事會由9名董事組成，其中獨立董事5名，且由中國境內人士擔任</w:t>
      </w:r>
      <w:r w:rsidRPr="008D5F13">
        <w:rPr>
          <w:rFonts w:hAnsi="標楷體"/>
          <w:lang w:eastAsia="zh-HK"/>
        </w:rPr>
        <w:t>」</w:t>
      </w:r>
      <w:r w:rsidRPr="008D5F13">
        <w:rPr>
          <w:rFonts w:hAnsi="標楷體"/>
        </w:rPr>
        <w:t>。在作為中國華映科技控股股東</w:t>
      </w:r>
      <w:proofErr w:type="gramStart"/>
      <w:r w:rsidRPr="008D5F13">
        <w:rPr>
          <w:rFonts w:hAnsi="標楷體"/>
        </w:rPr>
        <w:t>期間，</w:t>
      </w:r>
      <w:proofErr w:type="gramEnd"/>
      <w:r w:rsidRPr="008D5F13">
        <w:rPr>
          <w:rFonts w:hAnsi="標楷體"/>
        </w:rPr>
        <w:t>中國華映科技的董事會構成人員中一半以上為獨立董事且由中國境內人士擔任。</w:t>
      </w:r>
      <w:r w:rsidRPr="008D5F13">
        <w:rPr>
          <w:rFonts w:hAnsi="標楷體"/>
          <w:lang w:eastAsia="zh-HK"/>
        </w:rPr>
        <w:t>不會利用控股股東的地位促使或影響</w:t>
      </w:r>
      <w:r w:rsidRPr="008D5F13">
        <w:rPr>
          <w:rFonts w:hAnsi="標楷體"/>
        </w:rPr>
        <w:t>中國華映科技</w:t>
      </w:r>
      <w:r w:rsidRPr="008D5F13">
        <w:rPr>
          <w:rFonts w:hAnsi="標楷體"/>
          <w:lang w:eastAsia="zh-HK"/>
        </w:rPr>
        <w:t>的公司章程做出不符合上述承諾規定的任何修改</w:t>
      </w:r>
      <w:r w:rsidRPr="008D5F13">
        <w:rPr>
          <w:rFonts w:hAnsi="標楷體"/>
        </w:rPr>
        <w:t>。</w:t>
      </w:r>
      <w:r w:rsidRPr="008D5F13">
        <w:rPr>
          <w:bCs/>
          <w:lang w:eastAsia="zh-HK"/>
        </w:rPr>
        <w:t>」</w:t>
      </w:r>
    </w:p>
  </w:footnote>
  <w:footnote w:id="7">
    <w:p w:rsidR="0002260A" w:rsidRPr="008D5F13" w:rsidRDefault="0002260A" w:rsidP="00797FA5">
      <w:pPr>
        <w:pStyle w:val="aff2"/>
        <w:ind w:left="176" w:hangingChars="80" w:hanging="176"/>
        <w:jc w:val="both"/>
      </w:pPr>
      <w:r w:rsidRPr="008D5F13">
        <w:rPr>
          <w:rStyle w:val="aff4"/>
        </w:rPr>
        <w:footnoteRef/>
      </w:r>
      <w:r w:rsidR="008D5F13">
        <w:rPr>
          <w:rFonts w:hAnsi="標楷體" w:hint="eastAsia"/>
        </w:rPr>
        <w:t xml:space="preserve"> </w:t>
      </w:r>
      <w:r w:rsidRPr="008D5F13">
        <w:rPr>
          <w:rFonts w:hAnsi="標楷體"/>
          <w:lang w:eastAsia="zh-HK"/>
        </w:rPr>
        <w:t>華映公司</w:t>
      </w:r>
      <w:r w:rsidRPr="008D5F13">
        <w:rPr>
          <w:rFonts w:hAnsi="標楷體"/>
        </w:rPr>
        <w:t>關於專利授權的承諾</w:t>
      </w:r>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hint="eastAsia"/>
        </w:rPr>
        <w:t>（1）</w:t>
      </w:r>
      <w:r w:rsidRPr="008D5F13">
        <w:rPr>
          <w:rFonts w:hAnsi="標楷體"/>
        </w:rPr>
        <w:t>其已擁有液晶顯示模組生產的相關專有技術和專利，並已取得進行液晶顯示模組生產所需的授權。</w:t>
      </w:r>
      <w:r w:rsidRPr="008D5F13">
        <w:rPr>
          <w:rFonts w:hAnsi="標楷體" w:hint="eastAsia"/>
        </w:rPr>
        <w:t>（</w:t>
      </w:r>
      <w:r w:rsidRPr="008D5F13">
        <w:rPr>
          <w:rFonts w:hAnsi="標楷體"/>
        </w:rPr>
        <w:t>2</w:t>
      </w:r>
      <w:r w:rsidRPr="008D5F13">
        <w:rPr>
          <w:rFonts w:hAnsi="標楷體" w:hint="eastAsia"/>
        </w:rPr>
        <w:t>）</w:t>
      </w:r>
      <w:r w:rsidRPr="008D5F13">
        <w:rPr>
          <w:rFonts w:hAnsi="標楷體"/>
        </w:rPr>
        <w:t>在中國華映科技本次重組完成後，華映公司同意授權中國華映科技實施華映公司已提出申請、獲准或公開的與液晶顯示模組製造有關專利。如此後，華映公司新取得液晶顯示模組製造有關專利，亦將許可中國華映科技使用。該等授權為不可撤銷之授權，授權時間為專利有效期內。如中國華映科技接受華映公司及其控制的其他企業委託加工液晶顯示模組時實施上述授權之專利，華映公司同意將免</w:t>
      </w:r>
      <w:proofErr w:type="gramStart"/>
      <w:r w:rsidRPr="008D5F13">
        <w:rPr>
          <w:rFonts w:hAnsi="標楷體"/>
        </w:rPr>
        <w:t>予收</w:t>
      </w:r>
      <w:proofErr w:type="gramEnd"/>
      <w:r w:rsidRPr="008D5F13">
        <w:rPr>
          <w:rFonts w:hAnsi="標楷體"/>
        </w:rPr>
        <w:t>取專利使用費；如中國華映科技接受其他方委託加工液晶顯示模組時實施上述授權之專利，華映公司將收取專利使用費，</w:t>
      </w:r>
      <w:r w:rsidRPr="008D5F13">
        <w:rPr>
          <w:rFonts w:hAnsi="標楷體"/>
          <w:lang w:eastAsia="zh-HK"/>
        </w:rPr>
        <w:t>專利使用費將聘請獨立的第三方專業機構進行評估</w:t>
      </w:r>
      <w:r w:rsidRPr="008D5F13">
        <w:rPr>
          <w:rFonts w:hAnsi="標楷體"/>
        </w:rPr>
        <w:t>，</w:t>
      </w:r>
      <w:r w:rsidRPr="008D5F13">
        <w:rPr>
          <w:rFonts w:hAnsi="標楷體"/>
          <w:lang w:eastAsia="zh-HK"/>
        </w:rPr>
        <w:t>並依中國法律</w:t>
      </w:r>
      <w:r w:rsidRPr="008D5F13">
        <w:rPr>
          <w:rFonts w:hAnsi="標楷體"/>
        </w:rPr>
        <w:t>、</w:t>
      </w:r>
      <w:r w:rsidRPr="008D5F13">
        <w:rPr>
          <w:rFonts w:hAnsi="標楷體"/>
          <w:lang w:eastAsia="zh-HK"/>
        </w:rPr>
        <w:t>法規之規定及中國上市公司制定的</w:t>
      </w:r>
      <w:r w:rsidRPr="008D5F13">
        <w:rPr>
          <w:rFonts w:hAnsi="標楷體"/>
        </w:rPr>
        <w:t>《</w:t>
      </w:r>
      <w:r w:rsidRPr="008D5F13">
        <w:rPr>
          <w:rFonts w:hAnsi="標楷體"/>
          <w:lang w:eastAsia="zh-HK"/>
        </w:rPr>
        <w:t>關聯交易決策程序</w:t>
      </w:r>
      <w:r w:rsidRPr="008D5F13">
        <w:rPr>
          <w:rFonts w:hAnsi="標楷體"/>
        </w:rPr>
        <w:t>》</w:t>
      </w:r>
      <w:r w:rsidRPr="008D5F13">
        <w:rPr>
          <w:rFonts w:hAnsi="標楷體"/>
          <w:lang w:eastAsia="zh-HK"/>
        </w:rPr>
        <w:t>的規定提交中國上市公司董事會或股東大會表決確定</w:t>
      </w:r>
      <w:r w:rsidRPr="008D5F13">
        <w:rPr>
          <w:rFonts w:hAnsi="標楷體"/>
        </w:rPr>
        <w:t>。</w:t>
      </w:r>
      <w:r w:rsidRPr="008D5F13">
        <w:rPr>
          <w:rFonts w:hAnsi="標楷體" w:hint="eastAsia"/>
        </w:rPr>
        <w:t>（</w:t>
      </w:r>
      <w:r w:rsidRPr="008D5F13">
        <w:rPr>
          <w:rFonts w:hAnsi="標楷體"/>
        </w:rPr>
        <w:t>3</w:t>
      </w:r>
      <w:r w:rsidRPr="008D5F13">
        <w:rPr>
          <w:rFonts w:hAnsi="標楷體" w:hint="eastAsia"/>
        </w:rPr>
        <w:t>）</w:t>
      </w:r>
      <w:r w:rsidRPr="008D5F13">
        <w:rPr>
          <w:rFonts w:hAnsi="標楷體"/>
        </w:rPr>
        <w:t>在中國華映科技本次重組完成後，對於華映公司及其控制的其他企業委託中國華映科技加工液晶顯示模組，華映公司保證中國華映科技不會因履行委託加工合同而侵犯華映公司自有的及獲取的第三方授權的專利，</w:t>
      </w:r>
      <w:r w:rsidRPr="008D5F13">
        <w:rPr>
          <w:rFonts w:hAnsi="標楷體"/>
          <w:lang w:eastAsia="zh-HK"/>
        </w:rPr>
        <w:t>如</w:t>
      </w:r>
      <w:r w:rsidRPr="008D5F13">
        <w:rPr>
          <w:rFonts w:hAnsi="標楷體"/>
        </w:rPr>
        <w:t>中國華映科技</w:t>
      </w:r>
      <w:r w:rsidRPr="008D5F13">
        <w:rPr>
          <w:rFonts w:hAnsi="標楷體"/>
          <w:lang w:eastAsia="zh-HK"/>
        </w:rPr>
        <w:t>因履行委託加工合同被第三方指控侵犯上述專利</w:t>
      </w:r>
      <w:r w:rsidRPr="008D5F13">
        <w:rPr>
          <w:rFonts w:hAnsi="標楷體"/>
        </w:rPr>
        <w:t>，</w:t>
      </w:r>
      <w:r w:rsidRPr="008D5F13">
        <w:rPr>
          <w:rFonts w:hAnsi="標楷體"/>
          <w:lang w:eastAsia="zh-HK"/>
        </w:rPr>
        <w:t>由華映公司承擔相應的法律責任</w:t>
      </w:r>
      <w:r w:rsidRPr="008D5F13">
        <w:rPr>
          <w:rFonts w:hAnsi="標楷體"/>
        </w:rPr>
        <w:t>，</w:t>
      </w:r>
      <w:r w:rsidRPr="008D5F13">
        <w:rPr>
          <w:rFonts w:hAnsi="標楷體"/>
          <w:lang w:eastAsia="zh-HK"/>
        </w:rPr>
        <w:t>如因此給</w:t>
      </w:r>
      <w:r w:rsidRPr="008D5F13">
        <w:rPr>
          <w:rFonts w:hAnsi="標楷體"/>
        </w:rPr>
        <w:t>中國華映科技</w:t>
      </w:r>
      <w:r w:rsidRPr="008D5F13">
        <w:rPr>
          <w:rFonts w:hAnsi="標楷體"/>
          <w:lang w:eastAsia="zh-HK"/>
        </w:rPr>
        <w:t>造成損失</w:t>
      </w:r>
      <w:r w:rsidRPr="008D5F13">
        <w:rPr>
          <w:rFonts w:hAnsi="標楷體"/>
        </w:rPr>
        <w:t>，</w:t>
      </w:r>
      <w:r w:rsidRPr="008D5F13">
        <w:rPr>
          <w:rFonts w:hAnsi="標楷體"/>
          <w:lang w:eastAsia="zh-HK"/>
        </w:rPr>
        <w:t>由華映公司承擔損失賠償責任</w:t>
      </w:r>
      <w:r w:rsidRPr="008D5F13">
        <w:rPr>
          <w:rFonts w:hAnsi="標楷體"/>
        </w:rPr>
        <w:t>。</w:t>
      </w:r>
      <w:r w:rsidRPr="008D5F13">
        <w:rPr>
          <w:bCs/>
          <w:lang w:eastAsia="zh-HK"/>
        </w:rPr>
        <w:t>」</w:t>
      </w:r>
      <w:r w:rsidRPr="008D5F13">
        <w:rPr>
          <w:rFonts w:hAnsi="標楷體"/>
          <w:lang w:eastAsia="zh-HK"/>
        </w:rPr>
        <w:t>華映公司</w:t>
      </w:r>
      <w:r w:rsidRPr="008D5F13">
        <w:rPr>
          <w:rFonts w:hAnsi="標楷體"/>
        </w:rPr>
        <w:t>關於專利授權的補充承諾</w:t>
      </w:r>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rPr>
        <w:t>對於華映公司授權中國華映科技及下屬企業實施華映公司在中國已提出申請、獲准或公開的與從事</w:t>
      </w:r>
      <w:r w:rsidRPr="008D5F13">
        <w:rPr>
          <w:rFonts w:hAnsi="標楷體"/>
          <w:lang w:eastAsia="zh-HK"/>
        </w:rPr>
        <w:t>液晶</w:t>
      </w:r>
      <w:r w:rsidRPr="008D5F13">
        <w:rPr>
          <w:rFonts w:hAnsi="標楷體"/>
        </w:rPr>
        <w:t>顯示模組加工有關的專利，華映公司同意免</w:t>
      </w:r>
      <w:proofErr w:type="gramStart"/>
      <w:r w:rsidRPr="008D5F13">
        <w:rPr>
          <w:rFonts w:hAnsi="標楷體"/>
        </w:rPr>
        <w:t>予收</w:t>
      </w:r>
      <w:proofErr w:type="gramEnd"/>
      <w:r w:rsidRPr="008D5F13">
        <w:rPr>
          <w:rFonts w:hAnsi="標楷體"/>
        </w:rPr>
        <w:t>取專利使用費。</w:t>
      </w:r>
      <w:r w:rsidRPr="008D5F13">
        <w:rPr>
          <w:rFonts w:hAnsi="標楷體"/>
          <w:lang w:eastAsia="zh-HK"/>
        </w:rPr>
        <w:t>本補充承諾自</w:t>
      </w:r>
      <w:r w:rsidRPr="008D5F13">
        <w:rPr>
          <w:rFonts w:hAnsi="標楷體"/>
        </w:rPr>
        <w:t>中國華映科技</w:t>
      </w:r>
      <w:r w:rsidRPr="008D5F13">
        <w:rPr>
          <w:rFonts w:hAnsi="標楷體"/>
          <w:lang w:eastAsia="zh-HK"/>
        </w:rPr>
        <w:t>本次重組方案生效之日起生效</w:t>
      </w:r>
      <w:r w:rsidRPr="008D5F13">
        <w:rPr>
          <w:rFonts w:hAnsi="標楷體"/>
        </w:rPr>
        <w:t>，</w:t>
      </w:r>
      <w:r w:rsidRPr="008D5F13">
        <w:rPr>
          <w:rFonts w:hAnsi="標楷體"/>
          <w:lang w:eastAsia="zh-HK"/>
        </w:rPr>
        <w:t>並在</w:t>
      </w:r>
      <w:r w:rsidRPr="008D5F13">
        <w:rPr>
          <w:rFonts w:hAnsi="標楷體"/>
        </w:rPr>
        <w:t>華映公司</w:t>
      </w:r>
      <w:r w:rsidRPr="008D5F13">
        <w:rPr>
          <w:rFonts w:hAnsi="標楷體"/>
          <w:lang w:eastAsia="zh-HK"/>
        </w:rPr>
        <w:t>作為</w:t>
      </w:r>
      <w:r w:rsidRPr="008D5F13">
        <w:rPr>
          <w:rFonts w:hAnsi="標楷體"/>
        </w:rPr>
        <w:t>中國華映科技</w:t>
      </w:r>
      <w:r w:rsidRPr="008D5F13">
        <w:rPr>
          <w:rFonts w:hAnsi="標楷體"/>
          <w:lang w:eastAsia="zh-HK"/>
        </w:rPr>
        <w:t>實際控制人期間長期有效</w:t>
      </w:r>
      <w:r w:rsidRPr="008D5F13">
        <w:rPr>
          <w:rFonts w:hAnsi="標楷體"/>
        </w:rPr>
        <w:t>。</w:t>
      </w:r>
      <w:r w:rsidRPr="008D5F13">
        <w:rPr>
          <w:bCs/>
          <w:lang w:eastAsia="zh-HK"/>
        </w:rPr>
        <w:t>」</w:t>
      </w:r>
    </w:p>
  </w:footnote>
  <w:footnote w:id="8">
    <w:p w:rsidR="0002260A" w:rsidRPr="008D5F13" w:rsidRDefault="0002260A" w:rsidP="00797FA5">
      <w:pPr>
        <w:pStyle w:val="aff2"/>
        <w:ind w:left="176" w:hangingChars="80" w:hanging="176"/>
        <w:jc w:val="both"/>
      </w:pPr>
      <w:r w:rsidRPr="008D5F13">
        <w:rPr>
          <w:rStyle w:val="aff4"/>
        </w:rPr>
        <w:footnoteRef/>
      </w:r>
      <w:r w:rsidRPr="008D5F13">
        <w:rPr>
          <w:rFonts w:hAnsi="標楷體" w:hint="eastAsia"/>
        </w:rPr>
        <w:t xml:space="preserve"> </w:t>
      </w:r>
      <w:r w:rsidRPr="008D5F13">
        <w:rPr>
          <w:rFonts w:hAnsi="標楷體"/>
          <w:lang w:eastAsia="zh-HK"/>
        </w:rPr>
        <w:t>華映公司關於承擔連帶責任的承諾</w:t>
      </w:r>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lang w:eastAsia="zh-HK"/>
        </w:rPr>
        <w:t>華映公司承諾對百慕達華映和馬來西亞華映作出的對中國華映科技持股、業績、關聯交易事項的承諾承擔連帶責任，如百慕達華映和馬來西亞</w:t>
      </w:r>
      <w:proofErr w:type="gramStart"/>
      <w:r w:rsidRPr="008D5F13">
        <w:rPr>
          <w:rFonts w:hAnsi="標楷體"/>
          <w:lang w:eastAsia="zh-HK"/>
        </w:rPr>
        <w:t>華映未切實</w:t>
      </w:r>
      <w:proofErr w:type="gramEnd"/>
      <w:r w:rsidRPr="008D5F13">
        <w:rPr>
          <w:rFonts w:hAnsi="標楷體"/>
          <w:lang w:eastAsia="zh-HK"/>
        </w:rPr>
        <w:t>履行上述承諾事項需對中國華映科技或相關方承擔賠償或支付責任，其將承擔連帶賠償和支付責任。</w:t>
      </w:r>
      <w:r w:rsidRPr="008D5F13">
        <w:rPr>
          <w:bCs/>
          <w:lang w:eastAsia="zh-HK"/>
        </w:rPr>
        <w:t>」</w:t>
      </w:r>
    </w:p>
  </w:footnote>
  <w:footnote w:id="9">
    <w:p w:rsidR="0002260A" w:rsidRPr="008D5F13" w:rsidRDefault="0002260A" w:rsidP="00797FA5">
      <w:pPr>
        <w:pStyle w:val="aff2"/>
        <w:ind w:left="176" w:hangingChars="80" w:hanging="176"/>
        <w:jc w:val="both"/>
      </w:pPr>
      <w:r w:rsidRPr="008D5F13">
        <w:rPr>
          <w:rStyle w:val="aff4"/>
        </w:rPr>
        <w:footnoteRef/>
      </w:r>
      <w:r w:rsidR="00B10AF8" w:rsidRPr="008D5F13">
        <w:rPr>
          <w:rFonts w:hAnsi="標楷體" w:hint="eastAsia"/>
        </w:rPr>
        <w:t xml:space="preserve"> </w:t>
      </w:r>
      <w:r w:rsidRPr="008D5F13">
        <w:rPr>
          <w:rFonts w:hAnsi="標楷體"/>
        </w:rPr>
        <w:t>承擔</w:t>
      </w:r>
      <w:r w:rsidRPr="008D5F13">
        <w:t>連帶責任</w:t>
      </w:r>
      <w:r w:rsidRPr="008D5F13">
        <w:rPr>
          <w:rFonts w:hAnsi="標楷體"/>
        </w:rPr>
        <w:t>的承諾</w:t>
      </w:r>
      <w:r w:rsidRPr="008D5F13">
        <w:rPr>
          <w:rFonts w:hint="eastAsia"/>
          <w:bCs/>
          <w:lang w:eastAsia="zh-HK"/>
        </w:rPr>
        <w:t>略</w:t>
      </w:r>
      <w:proofErr w:type="gramStart"/>
      <w:r w:rsidRPr="008D5F13">
        <w:rPr>
          <w:rFonts w:hint="eastAsia"/>
          <w:bCs/>
          <w:lang w:eastAsia="zh-HK"/>
        </w:rPr>
        <w:t>以</w:t>
      </w:r>
      <w:proofErr w:type="gramEnd"/>
      <w:r w:rsidRPr="008D5F13">
        <w:rPr>
          <w:rFonts w:hint="eastAsia"/>
          <w:bCs/>
          <w:lang w:eastAsia="zh-HK"/>
        </w:rPr>
        <w:t>：</w:t>
      </w:r>
      <w:r w:rsidRPr="008D5F13">
        <w:rPr>
          <w:bCs/>
          <w:lang w:eastAsia="zh-HK"/>
        </w:rPr>
        <w:t>「</w:t>
      </w:r>
      <w:r w:rsidRPr="008D5F13">
        <w:rPr>
          <w:rFonts w:hAnsi="標楷體"/>
        </w:rPr>
        <w:t>大同公司、華映公司認可百慕達華映和馬來西亞華映作出的書面承諾的內容；大同公司、華映公司承諾百慕達華映和馬來西亞</w:t>
      </w:r>
      <w:proofErr w:type="gramStart"/>
      <w:r w:rsidRPr="008D5F13">
        <w:rPr>
          <w:rFonts w:hAnsi="標楷體"/>
        </w:rPr>
        <w:t>華映需承擔</w:t>
      </w:r>
      <w:proofErr w:type="gramEnd"/>
      <w:r w:rsidRPr="008D5F13">
        <w:rPr>
          <w:rFonts w:hAnsi="標楷體"/>
        </w:rPr>
        <w:t>的責任承擔連帶責任。</w:t>
      </w:r>
      <w:r w:rsidRPr="008D5F13">
        <w:rPr>
          <w:bCs/>
          <w:lang w:eastAsia="zh-HK"/>
        </w:rPr>
        <w:t>」</w:t>
      </w:r>
    </w:p>
  </w:footnote>
  <w:footnote w:id="10">
    <w:p w:rsidR="0002260A" w:rsidRPr="008D5F13" w:rsidRDefault="0002260A" w:rsidP="008D5F13">
      <w:pPr>
        <w:snapToGrid w:val="0"/>
        <w:ind w:left="231" w:hangingChars="105" w:hanging="231"/>
        <w:rPr>
          <w:sz w:val="20"/>
        </w:rPr>
      </w:pPr>
      <w:r w:rsidRPr="008D5F13">
        <w:rPr>
          <w:rStyle w:val="aff4"/>
          <w:sz w:val="20"/>
        </w:rPr>
        <w:footnoteRef/>
      </w:r>
      <w:r w:rsidRPr="008D5F13">
        <w:rPr>
          <w:rFonts w:hint="eastAsia"/>
          <w:sz w:val="20"/>
        </w:rPr>
        <w:t xml:space="preserve"> 律師法第28條規定：「司法人員自離職之日起3年內，不得在其離職前3年內曾任職務之法院或檢察署執行律師職務。但其因停職、休職或調職等原因離開上開法院或檢察署已滿3年者，不在此限。」法務部90年6月27日（90）法檢字第015836號函：「主旨：本部88年6月29日法88檢字第020773號函就有關司法人員離職後，可否向其離職前3年內曾任職務之法院聲請登錄，</w:t>
      </w:r>
      <w:proofErr w:type="gramStart"/>
      <w:r w:rsidRPr="008D5F13">
        <w:rPr>
          <w:rFonts w:hint="eastAsia"/>
          <w:sz w:val="20"/>
        </w:rPr>
        <w:t>俾</w:t>
      </w:r>
      <w:proofErr w:type="gramEnd"/>
      <w:r w:rsidRPr="008D5F13">
        <w:rPr>
          <w:rFonts w:hint="eastAsia"/>
          <w:sz w:val="20"/>
        </w:rPr>
        <w:t>在同一轄區之檢察署執行律師職務；或原任職檢察</w:t>
      </w:r>
      <w:proofErr w:type="gramStart"/>
      <w:r w:rsidRPr="008D5F13">
        <w:rPr>
          <w:rFonts w:hint="eastAsia"/>
          <w:sz w:val="20"/>
        </w:rPr>
        <w:t>署者</w:t>
      </w:r>
      <w:proofErr w:type="gramEnd"/>
      <w:r w:rsidRPr="008D5F13">
        <w:rPr>
          <w:rFonts w:hint="eastAsia"/>
          <w:sz w:val="20"/>
        </w:rPr>
        <w:t>，可否向同一轄區的法院聲請登錄並執行律師職務一案之解釋，本部再補充意見變更解釋如說明，請查照參考。說明：一、本</w:t>
      </w:r>
      <w:r w:rsidRPr="008D5F13">
        <w:rPr>
          <w:rFonts w:hint="eastAsia"/>
          <w:sz w:val="20"/>
          <w:lang w:eastAsia="zh-HK"/>
        </w:rPr>
        <w:t>部88年6月29日法88檢字第020773號函釋略</w:t>
      </w:r>
      <w:proofErr w:type="gramStart"/>
      <w:r w:rsidRPr="008D5F13">
        <w:rPr>
          <w:rFonts w:hint="eastAsia"/>
          <w:sz w:val="20"/>
          <w:lang w:eastAsia="zh-HK"/>
        </w:rPr>
        <w:t>以</w:t>
      </w:r>
      <w:proofErr w:type="gramEnd"/>
      <w:r w:rsidRPr="008D5F13">
        <w:rPr>
          <w:rFonts w:hint="eastAsia"/>
          <w:sz w:val="20"/>
          <w:lang w:eastAsia="zh-HK"/>
        </w:rPr>
        <w:t>：「…</w:t>
      </w:r>
      <w:proofErr w:type="gramStart"/>
      <w:r w:rsidRPr="008D5F13">
        <w:rPr>
          <w:rFonts w:hint="eastAsia"/>
          <w:sz w:val="20"/>
          <w:lang w:eastAsia="zh-HK"/>
        </w:rPr>
        <w:t>…</w:t>
      </w:r>
      <w:proofErr w:type="gramEnd"/>
      <w:r w:rsidRPr="008D5F13">
        <w:rPr>
          <w:rFonts w:hint="eastAsia"/>
          <w:sz w:val="20"/>
          <w:lang w:eastAsia="zh-HK"/>
        </w:rPr>
        <w:t>司法人員於87年6月24日律師法修正公布後離職執行律師職務，不得向其離職前3年曾任職的法院聲請登錄，</w:t>
      </w:r>
      <w:proofErr w:type="gramStart"/>
      <w:r w:rsidRPr="008D5F13">
        <w:rPr>
          <w:rFonts w:hint="eastAsia"/>
          <w:sz w:val="20"/>
          <w:lang w:eastAsia="zh-HK"/>
        </w:rPr>
        <w:t>俾</w:t>
      </w:r>
      <w:proofErr w:type="gramEnd"/>
      <w:r w:rsidRPr="008D5F13">
        <w:rPr>
          <w:rFonts w:hint="eastAsia"/>
          <w:sz w:val="20"/>
          <w:lang w:eastAsia="zh-HK"/>
        </w:rPr>
        <w:t>在同一轄區的檢察署執行律師職務；而原任職檢察</w:t>
      </w:r>
      <w:proofErr w:type="gramStart"/>
      <w:r w:rsidRPr="008D5F13">
        <w:rPr>
          <w:rFonts w:hint="eastAsia"/>
          <w:sz w:val="20"/>
          <w:lang w:eastAsia="zh-HK"/>
        </w:rPr>
        <w:t>署者</w:t>
      </w:r>
      <w:proofErr w:type="gramEnd"/>
      <w:r w:rsidRPr="008D5F13">
        <w:rPr>
          <w:rFonts w:hint="eastAsia"/>
          <w:sz w:val="20"/>
          <w:lang w:eastAsia="zh-HK"/>
        </w:rPr>
        <w:t>，亦不得向同一轄區之法院聲請登錄並執行律師職務。」二、按近年來高等行政法院暨各專業地方法院方陸續成立，「律師法施行細則」第8條之1亦於89年7月12日增訂發布；本部於88年6月為前</w:t>
      </w:r>
      <w:proofErr w:type="gramStart"/>
      <w:r w:rsidRPr="008D5F13">
        <w:rPr>
          <w:rFonts w:hint="eastAsia"/>
          <w:sz w:val="20"/>
          <w:lang w:eastAsia="zh-HK"/>
        </w:rPr>
        <w:t>揭函釋時</w:t>
      </w:r>
      <w:proofErr w:type="gramEnd"/>
      <w:r w:rsidRPr="008D5F13">
        <w:rPr>
          <w:rFonts w:hint="eastAsia"/>
          <w:sz w:val="20"/>
          <w:lang w:eastAsia="zh-HK"/>
        </w:rPr>
        <w:t>，尚無從就此部分詳加規範；</w:t>
      </w:r>
      <w:proofErr w:type="gramStart"/>
      <w:r w:rsidRPr="008D5F13">
        <w:rPr>
          <w:rFonts w:hint="eastAsia"/>
          <w:sz w:val="20"/>
          <w:lang w:eastAsia="zh-HK"/>
        </w:rPr>
        <w:t>惟</w:t>
      </w:r>
      <w:proofErr w:type="gramEnd"/>
      <w:r w:rsidRPr="008D5F13">
        <w:rPr>
          <w:rFonts w:hint="eastAsia"/>
          <w:sz w:val="20"/>
          <w:lang w:eastAsia="zh-HK"/>
        </w:rPr>
        <w:t>目前如依本部</w:t>
      </w:r>
      <w:proofErr w:type="gramStart"/>
      <w:r w:rsidRPr="008D5F13">
        <w:rPr>
          <w:rFonts w:hint="eastAsia"/>
          <w:sz w:val="20"/>
          <w:lang w:eastAsia="zh-HK"/>
        </w:rPr>
        <w:t>前揭函釋</w:t>
      </w:r>
      <w:proofErr w:type="gramEnd"/>
      <w:r w:rsidRPr="008D5F13">
        <w:rPr>
          <w:rFonts w:hint="eastAsia"/>
          <w:sz w:val="20"/>
          <w:lang w:eastAsia="zh-HK"/>
        </w:rPr>
        <w:t>，則自普通法院或法院檢察署離職之司法人員，既不得向其離職前3年內曾任職務之轄區法院申請登錄，將連帶無從於該法院管轄區域內之司法警察機關及與該法院轄區相重疊之高等行政法院及專業地方法院執行律師職務，影響離職司法人員之工作權益甚巨。故對律師法第37條之1所做之解釋，應參酌客觀環境之變遷及原立法精神，為適當之修正，始能保障離職司法人員之工作權。三、為保障憲法上之工作權，</w:t>
      </w:r>
      <w:proofErr w:type="gramStart"/>
      <w:r w:rsidRPr="008D5F13">
        <w:rPr>
          <w:rFonts w:hint="eastAsia"/>
          <w:sz w:val="20"/>
          <w:lang w:eastAsia="zh-HK"/>
        </w:rPr>
        <w:t>爰</w:t>
      </w:r>
      <w:proofErr w:type="gramEnd"/>
      <w:r w:rsidRPr="008D5F13">
        <w:rPr>
          <w:rFonts w:hint="eastAsia"/>
          <w:sz w:val="20"/>
          <w:lang w:eastAsia="zh-HK"/>
        </w:rPr>
        <w:t>對本部</w:t>
      </w:r>
      <w:proofErr w:type="gramStart"/>
      <w:r w:rsidRPr="008D5F13">
        <w:rPr>
          <w:rFonts w:hint="eastAsia"/>
          <w:sz w:val="20"/>
          <w:lang w:eastAsia="zh-HK"/>
        </w:rPr>
        <w:t>前揭函釋</w:t>
      </w:r>
      <w:proofErr w:type="gramEnd"/>
      <w:r w:rsidRPr="008D5F13">
        <w:rPr>
          <w:rFonts w:hint="eastAsia"/>
          <w:sz w:val="20"/>
          <w:lang w:eastAsia="zh-HK"/>
        </w:rPr>
        <w:t>予以補充修正，認司法人員離職後仍得向離職前3年內曾任職務之管轄區域法院聲請登錄，</w:t>
      </w:r>
      <w:proofErr w:type="gramStart"/>
      <w:r w:rsidRPr="008D5F13">
        <w:rPr>
          <w:rFonts w:hint="eastAsia"/>
          <w:sz w:val="20"/>
          <w:lang w:eastAsia="zh-HK"/>
        </w:rPr>
        <w:t>俾</w:t>
      </w:r>
      <w:proofErr w:type="gramEnd"/>
      <w:r w:rsidRPr="008D5F13">
        <w:rPr>
          <w:rFonts w:hint="eastAsia"/>
          <w:sz w:val="20"/>
          <w:lang w:eastAsia="zh-HK"/>
        </w:rPr>
        <w:t>在同一轄區之警察機關、未曾任職務之法院或未曾任職務之檢察署，及與該法院轄區相重疊之高等行政法院及各專業地方法院執行職務。本部</w:t>
      </w:r>
      <w:proofErr w:type="gramStart"/>
      <w:r w:rsidRPr="008D5F13">
        <w:rPr>
          <w:rFonts w:hint="eastAsia"/>
          <w:sz w:val="20"/>
          <w:lang w:eastAsia="zh-HK"/>
        </w:rPr>
        <w:t>前揭函釋</w:t>
      </w:r>
      <w:proofErr w:type="gramEnd"/>
      <w:r w:rsidRPr="008D5F13">
        <w:rPr>
          <w:rFonts w:hint="eastAsia"/>
          <w:sz w:val="20"/>
          <w:lang w:eastAsia="zh-HK"/>
        </w:rPr>
        <w:t>自即日起不再適用。」</w:t>
      </w:r>
    </w:p>
  </w:footnote>
  <w:footnote w:id="11">
    <w:p w:rsidR="0002260A" w:rsidRPr="008D5F13" w:rsidRDefault="0002260A" w:rsidP="008D5F13">
      <w:pPr>
        <w:pStyle w:val="aff2"/>
        <w:ind w:left="231" w:hangingChars="105" w:hanging="231"/>
        <w:jc w:val="both"/>
      </w:pPr>
      <w:r w:rsidRPr="008D5F13">
        <w:rPr>
          <w:rStyle w:val="aff4"/>
        </w:rPr>
        <w:footnoteRef/>
      </w:r>
      <w:r w:rsidRPr="008D5F13">
        <w:t xml:space="preserve"> </w:t>
      </w:r>
      <w:r w:rsidRPr="008D5F13">
        <w:rPr>
          <w:rFonts w:hint="eastAsia"/>
        </w:rPr>
        <w:t>公司法第173條規定：</w:t>
      </w:r>
      <w:r w:rsidRPr="008D5F13">
        <w:t>「</w:t>
      </w:r>
      <w:r w:rsidRPr="008D5F13">
        <w:rPr>
          <w:rFonts w:hint="eastAsia"/>
        </w:rPr>
        <w:t>繼續1年以上，持有已發行股份總數百分之三以上股份之股東，得以書面記明提議事項及理由，請求董事會召集股東臨時會。前項請求提出後15日內，董事會不為召集之通知時，股東得報經主管機關許可，自行召集。依前2項規定召集之股東臨時會，為調查公司業務及財產狀況，得選任檢查人。董事因股份轉讓或其他理由，致董事會不為召集或不能召集股東會時，得由持有已發行股份總數百分之三以上股份之股東，報經主管機關許可，自行召集。</w:t>
      </w:r>
      <w:r w:rsidRPr="008D5F1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6486C"/>
    <w:multiLevelType w:val="multilevel"/>
    <w:tmpl w:val="8CB6CC4C"/>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C26D6B"/>
    <w:multiLevelType w:val="multilevel"/>
    <w:tmpl w:val="E0D62C8C"/>
    <w:styleLink w:val="WWNum9"/>
    <w:lvl w:ilvl="0">
      <w:start w:val="1"/>
      <w:numFmt w:val="japaneseCounting"/>
      <w:lvlText w:val="%1、"/>
      <w:lvlJc w:val="left"/>
      <w:rPr>
        <w:rFonts w:ascii="Times New Roman" w:hAnsi="Times New Roman"/>
        <w:b/>
        <w:sz w:val="32"/>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0F031059"/>
    <w:multiLevelType w:val="hybridMultilevel"/>
    <w:tmpl w:val="CFC09248"/>
    <w:lvl w:ilvl="0" w:tplc="AD7C04B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880EE29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D07120"/>
    <w:multiLevelType w:val="multilevel"/>
    <w:tmpl w:val="8CB6CC4C"/>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18C1485A"/>
    <w:multiLevelType w:val="multilevel"/>
    <w:tmpl w:val="C8922CAE"/>
    <w:styleLink w:val="WW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DB14D14"/>
    <w:multiLevelType w:val="multilevel"/>
    <w:tmpl w:val="B67EA6EE"/>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1FCE5E6B"/>
    <w:multiLevelType w:val="multilevel"/>
    <w:tmpl w:val="8CB6CC4C"/>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22780576"/>
    <w:multiLevelType w:val="hybridMultilevel"/>
    <w:tmpl w:val="72ACBFF8"/>
    <w:lvl w:ilvl="0" w:tplc="ED66E43A">
      <w:start w:val="1"/>
      <w:numFmt w:val="taiwaneseCountingThousand"/>
      <w:lvlText w:val="%1、"/>
      <w:lvlJc w:val="left"/>
      <w:pPr>
        <w:ind w:left="2040" w:hanging="480"/>
      </w:pPr>
      <w:rPr>
        <w:rFonts w:ascii="標楷體" w:eastAsia="標楷體" w:hAnsi="標楷體" w:hint="default"/>
        <w:b w:val="0"/>
        <w:color w:val="auto"/>
        <w:sz w:val="32"/>
        <w:szCs w:val="32"/>
        <w:lang w:val="en-US"/>
      </w:rPr>
    </w:lvl>
    <w:lvl w:ilvl="1" w:tplc="04090019" w:tentative="1">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2CF27904"/>
    <w:multiLevelType w:val="multilevel"/>
    <w:tmpl w:val="8CB6CC4C"/>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3C6E770B"/>
    <w:multiLevelType w:val="multilevel"/>
    <w:tmpl w:val="6FCEC3C4"/>
    <w:styleLink w:val="WWNum1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25833"/>
    <w:multiLevelType w:val="multilevel"/>
    <w:tmpl w:val="EE9200C2"/>
    <w:styleLink w:val="WWNum1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15:restartNumberingAfterBreak="0">
    <w:nsid w:val="418F4F3B"/>
    <w:multiLevelType w:val="hybridMultilevel"/>
    <w:tmpl w:val="AC467FF6"/>
    <w:lvl w:ilvl="0" w:tplc="7F681CE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DC4DD6"/>
    <w:multiLevelType w:val="multilevel"/>
    <w:tmpl w:val="B67EA6EE"/>
    <w:styleLink w:val="WW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F93203"/>
    <w:multiLevelType w:val="multilevel"/>
    <w:tmpl w:val="B67EA6EE"/>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544C21C7"/>
    <w:multiLevelType w:val="hybridMultilevel"/>
    <w:tmpl w:val="A6C205CA"/>
    <w:lvl w:ilvl="0" w:tplc="6674F1D2">
      <w:start w:val="1"/>
      <w:numFmt w:val="taiwaneseCountingThousand"/>
      <w:lvlText w:val="%1、"/>
      <w:lvlJc w:val="left"/>
      <w:pPr>
        <w:ind w:left="2280" w:hanging="720"/>
      </w:pPr>
      <w:rPr>
        <w:rFonts w:ascii="標楷體" w:eastAsia="標楷體" w:hAnsi="標楷體" w:hint="default"/>
        <w:b/>
        <w:bCs/>
        <w:color w:val="auto"/>
        <w:sz w:val="32"/>
        <w:szCs w:val="32"/>
        <w:lang w:val="en-US"/>
      </w:rPr>
    </w:lvl>
    <w:lvl w:ilvl="1" w:tplc="A042A752">
      <w:start w:val="1"/>
      <w:numFmt w:val="taiwaneseCountingThousand"/>
      <w:lvlText w:val="(%2)"/>
      <w:lvlJc w:val="left"/>
      <w:pPr>
        <w:ind w:left="2520" w:hanging="480"/>
      </w:pPr>
      <w:rPr>
        <w:rFonts w:hint="eastAsia"/>
        <w:color w:val="auto"/>
        <w:lang w:val="en-US"/>
      </w:rPr>
    </w:lvl>
    <w:lvl w:ilvl="2" w:tplc="0409001B">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7E209C"/>
    <w:multiLevelType w:val="multilevel"/>
    <w:tmpl w:val="EFB4674A"/>
    <w:styleLink w:val="WW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4" w15:restartNumberingAfterBreak="0">
    <w:nsid w:val="761D7983"/>
    <w:multiLevelType w:val="multilevel"/>
    <w:tmpl w:val="D9CAAA92"/>
    <w:styleLink w:val="WWNum15"/>
    <w:lvl w:ilvl="0">
      <w:start w:val="1"/>
      <w:numFmt w:val="japaneseCounting"/>
      <w:lvlText w:val="（%1）"/>
      <w:lvlJc w:val="left"/>
      <w:rPr>
        <w:rFonts w:ascii="Times New Roman" w:hAnsi="Times New Roman"/>
        <w:b/>
        <w:sz w:val="32"/>
        <w:szCs w:val="32"/>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4"/>
  </w:num>
  <w:num w:numId="2">
    <w:abstractNumId w:val="23"/>
  </w:num>
  <w:num w:numId="3">
    <w:abstractNumId w:val="6"/>
  </w:num>
  <w:num w:numId="4">
    <w:abstractNumId w:val="16"/>
  </w:num>
  <w:num w:numId="5">
    <w:abstractNumId w:val="23"/>
    <w:lvlOverride w:ilvl="0">
      <w:startOverride w:val="1"/>
      <w:lvl w:ilvl="0">
        <w:start w:val="1"/>
        <w:numFmt w:val="japaneseCounting"/>
        <w:lvlText w:val="%1、"/>
        <w:lvlJc w:val="left"/>
        <w:rPr>
          <w:rFonts w:ascii="標楷體" w:eastAsia="標楷體" w:hAnsi="標楷體" w:cs="Times New Roman" w:hint="default"/>
        </w:rPr>
      </w:lvl>
    </w:lvlOverride>
  </w:num>
  <w:num w:numId="6">
    <w:abstractNumId w:val="16"/>
    <w:lvlOverride w:ilvl="0">
      <w:startOverride w:val="1"/>
    </w:lvlOverride>
  </w:num>
  <w:num w:numId="7">
    <w:abstractNumId w:val="5"/>
  </w:num>
  <w:num w:numId="8">
    <w:abstractNumId w:val="0"/>
  </w:num>
  <w:num w:numId="9">
    <w:abstractNumId w:val="9"/>
  </w:num>
  <w:num w:numId="10">
    <w:abstractNumId w:val="11"/>
  </w:num>
  <w:num w:numId="11">
    <w:abstractNumId w:val="14"/>
  </w:num>
  <w:num w:numId="12">
    <w:abstractNumId w:val="12"/>
  </w:num>
  <w:num w:numId="13">
    <w:abstractNumId w:val="4"/>
  </w:num>
  <w:num w:numId="14">
    <w:abstractNumId w:val="2"/>
  </w:num>
  <w:num w:numId="15">
    <w:abstractNumId w:val="24"/>
  </w:num>
  <w:num w:numId="16">
    <w:abstractNumId w:val="4"/>
  </w:num>
  <w:num w:numId="17">
    <w:abstractNumId w:val="18"/>
  </w:num>
  <w:num w:numId="18">
    <w:abstractNumId w:val="17"/>
  </w:num>
  <w:num w:numId="19">
    <w:abstractNumId w:val="7"/>
  </w:num>
  <w:num w:numId="20">
    <w:abstractNumId w:val="1"/>
  </w:num>
  <w:num w:numId="21">
    <w:abstractNumId w:val="19"/>
  </w:num>
  <w:num w:numId="22">
    <w:abstractNumId w:val="22"/>
  </w:num>
  <w:num w:numId="23">
    <w:abstractNumId w:val="13"/>
  </w:num>
  <w:num w:numId="24">
    <w:abstractNumId w:val="4"/>
  </w:num>
  <w:num w:numId="25">
    <w:abstractNumId w:val="15"/>
  </w:num>
  <w:num w:numId="26">
    <w:abstractNumId w:val="3"/>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0"/>
  </w:num>
  <w:num w:numId="30">
    <w:abstractNumId w:val="4"/>
  </w:num>
  <w:num w:numId="31">
    <w:abstractNumId w:val="4"/>
  </w:num>
  <w:num w:numId="32">
    <w:abstractNumId w:val="4"/>
  </w:num>
  <w:num w:numId="33">
    <w:abstractNumId w:val="4"/>
  </w:num>
  <w:num w:numId="34">
    <w:abstractNumId w:val="4"/>
  </w:num>
  <w:num w:numId="35">
    <w:abstractNumId w:val="4"/>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27C"/>
    <w:rsid w:val="00002EE1"/>
    <w:rsid w:val="0000433C"/>
    <w:rsid w:val="00004E0B"/>
    <w:rsid w:val="0000568A"/>
    <w:rsid w:val="00005718"/>
    <w:rsid w:val="000064D5"/>
    <w:rsid w:val="00006961"/>
    <w:rsid w:val="000071DF"/>
    <w:rsid w:val="000100F0"/>
    <w:rsid w:val="000112BF"/>
    <w:rsid w:val="00012233"/>
    <w:rsid w:val="000123D0"/>
    <w:rsid w:val="00012B09"/>
    <w:rsid w:val="000140DF"/>
    <w:rsid w:val="0001562A"/>
    <w:rsid w:val="0001681E"/>
    <w:rsid w:val="00016929"/>
    <w:rsid w:val="000171D5"/>
    <w:rsid w:val="00017318"/>
    <w:rsid w:val="000175BD"/>
    <w:rsid w:val="0002260A"/>
    <w:rsid w:val="000229AD"/>
    <w:rsid w:val="00023D3F"/>
    <w:rsid w:val="000246F7"/>
    <w:rsid w:val="000262E3"/>
    <w:rsid w:val="00026606"/>
    <w:rsid w:val="000266D2"/>
    <w:rsid w:val="00027A7D"/>
    <w:rsid w:val="000300E1"/>
    <w:rsid w:val="00030A19"/>
    <w:rsid w:val="0003114D"/>
    <w:rsid w:val="0003116F"/>
    <w:rsid w:val="000316B5"/>
    <w:rsid w:val="00033C71"/>
    <w:rsid w:val="00034796"/>
    <w:rsid w:val="00036D76"/>
    <w:rsid w:val="000379FA"/>
    <w:rsid w:val="00040B40"/>
    <w:rsid w:val="00040F81"/>
    <w:rsid w:val="00041E13"/>
    <w:rsid w:val="00044727"/>
    <w:rsid w:val="00045DFC"/>
    <w:rsid w:val="00046A7F"/>
    <w:rsid w:val="00046FC8"/>
    <w:rsid w:val="000501D5"/>
    <w:rsid w:val="000512CE"/>
    <w:rsid w:val="0005307B"/>
    <w:rsid w:val="0005345A"/>
    <w:rsid w:val="00053494"/>
    <w:rsid w:val="000546ED"/>
    <w:rsid w:val="00054E17"/>
    <w:rsid w:val="00055867"/>
    <w:rsid w:val="000570BD"/>
    <w:rsid w:val="00057F32"/>
    <w:rsid w:val="0006017E"/>
    <w:rsid w:val="00061D94"/>
    <w:rsid w:val="000624C6"/>
    <w:rsid w:val="0006278C"/>
    <w:rsid w:val="00062A25"/>
    <w:rsid w:val="00062D15"/>
    <w:rsid w:val="000660E2"/>
    <w:rsid w:val="000702E6"/>
    <w:rsid w:val="00073798"/>
    <w:rsid w:val="00073B73"/>
    <w:rsid w:val="00073CB5"/>
    <w:rsid w:val="00074244"/>
    <w:rsid w:val="0007425C"/>
    <w:rsid w:val="00074C9E"/>
    <w:rsid w:val="00074DDB"/>
    <w:rsid w:val="000751A8"/>
    <w:rsid w:val="0007641A"/>
    <w:rsid w:val="00077553"/>
    <w:rsid w:val="000809CC"/>
    <w:rsid w:val="00084DD4"/>
    <w:rsid w:val="000851A2"/>
    <w:rsid w:val="00085A20"/>
    <w:rsid w:val="00085E9C"/>
    <w:rsid w:val="0008647C"/>
    <w:rsid w:val="0008669B"/>
    <w:rsid w:val="00090862"/>
    <w:rsid w:val="0009199B"/>
    <w:rsid w:val="0009307D"/>
    <w:rsid w:val="0009352E"/>
    <w:rsid w:val="0009400A"/>
    <w:rsid w:val="00094B2A"/>
    <w:rsid w:val="0009686E"/>
    <w:rsid w:val="00096B96"/>
    <w:rsid w:val="000A0F6C"/>
    <w:rsid w:val="000A1983"/>
    <w:rsid w:val="000A1AD0"/>
    <w:rsid w:val="000A2262"/>
    <w:rsid w:val="000A239C"/>
    <w:rsid w:val="000A249C"/>
    <w:rsid w:val="000A2F3F"/>
    <w:rsid w:val="000A48A8"/>
    <w:rsid w:val="000A4D94"/>
    <w:rsid w:val="000A4EBE"/>
    <w:rsid w:val="000A53BC"/>
    <w:rsid w:val="000A67EF"/>
    <w:rsid w:val="000B093D"/>
    <w:rsid w:val="000B0A03"/>
    <w:rsid w:val="000B0B4A"/>
    <w:rsid w:val="000B1615"/>
    <w:rsid w:val="000B279A"/>
    <w:rsid w:val="000B2CE1"/>
    <w:rsid w:val="000B345F"/>
    <w:rsid w:val="000B3690"/>
    <w:rsid w:val="000B3916"/>
    <w:rsid w:val="000B4285"/>
    <w:rsid w:val="000B4EDC"/>
    <w:rsid w:val="000B5681"/>
    <w:rsid w:val="000B582B"/>
    <w:rsid w:val="000B61D2"/>
    <w:rsid w:val="000B70A7"/>
    <w:rsid w:val="000B73DD"/>
    <w:rsid w:val="000B7B67"/>
    <w:rsid w:val="000B7D97"/>
    <w:rsid w:val="000C1B16"/>
    <w:rsid w:val="000C1EE2"/>
    <w:rsid w:val="000C37AD"/>
    <w:rsid w:val="000C4114"/>
    <w:rsid w:val="000C4790"/>
    <w:rsid w:val="000C495F"/>
    <w:rsid w:val="000C4DCA"/>
    <w:rsid w:val="000C52D6"/>
    <w:rsid w:val="000C56AD"/>
    <w:rsid w:val="000C61E1"/>
    <w:rsid w:val="000C7661"/>
    <w:rsid w:val="000C7E51"/>
    <w:rsid w:val="000D09C2"/>
    <w:rsid w:val="000D1688"/>
    <w:rsid w:val="000D36B1"/>
    <w:rsid w:val="000D3AC5"/>
    <w:rsid w:val="000D3EF7"/>
    <w:rsid w:val="000D3F1A"/>
    <w:rsid w:val="000D515C"/>
    <w:rsid w:val="000D527F"/>
    <w:rsid w:val="000D5AB2"/>
    <w:rsid w:val="000D6687"/>
    <w:rsid w:val="000D66D9"/>
    <w:rsid w:val="000D76AC"/>
    <w:rsid w:val="000E1EF6"/>
    <w:rsid w:val="000E2017"/>
    <w:rsid w:val="000E236B"/>
    <w:rsid w:val="000E382D"/>
    <w:rsid w:val="000E59C1"/>
    <w:rsid w:val="000E6241"/>
    <w:rsid w:val="000E6290"/>
    <w:rsid w:val="000E6431"/>
    <w:rsid w:val="000E6650"/>
    <w:rsid w:val="000F09AD"/>
    <w:rsid w:val="000F17DD"/>
    <w:rsid w:val="000F21A5"/>
    <w:rsid w:val="000F3B00"/>
    <w:rsid w:val="000F3F6D"/>
    <w:rsid w:val="000F53BD"/>
    <w:rsid w:val="000F7A01"/>
    <w:rsid w:val="000F7A0B"/>
    <w:rsid w:val="000F7C04"/>
    <w:rsid w:val="001007A7"/>
    <w:rsid w:val="00102B9F"/>
    <w:rsid w:val="00106589"/>
    <w:rsid w:val="0011105D"/>
    <w:rsid w:val="001125C5"/>
    <w:rsid w:val="00112622"/>
    <w:rsid w:val="00112637"/>
    <w:rsid w:val="00112ABC"/>
    <w:rsid w:val="0012001E"/>
    <w:rsid w:val="00121950"/>
    <w:rsid w:val="00124DB8"/>
    <w:rsid w:val="001267F5"/>
    <w:rsid w:val="00126A55"/>
    <w:rsid w:val="00126DEB"/>
    <w:rsid w:val="00133F08"/>
    <w:rsid w:val="001345E6"/>
    <w:rsid w:val="001378B0"/>
    <w:rsid w:val="00142E00"/>
    <w:rsid w:val="00146723"/>
    <w:rsid w:val="00146E65"/>
    <w:rsid w:val="00147249"/>
    <w:rsid w:val="0014737D"/>
    <w:rsid w:val="00147ADF"/>
    <w:rsid w:val="001504FD"/>
    <w:rsid w:val="0015062C"/>
    <w:rsid w:val="00150B3E"/>
    <w:rsid w:val="00151DAA"/>
    <w:rsid w:val="001525B9"/>
    <w:rsid w:val="00152793"/>
    <w:rsid w:val="00153B7E"/>
    <w:rsid w:val="001545A9"/>
    <w:rsid w:val="00154B45"/>
    <w:rsid w:val="00155FFF"/>
    <w:rsid w:val="0015659C"/>
    <w:rsid w:val="00161E6A"/>
    <w:rsid w:val="001628A8"/>
    <w:rsid w:val="001637C7"/>
    <w:rsid w:val="0016431B"/>
    <w:rsid w:val="0016480E"/>
    <w:rsid w:val="00171298"/>
    <w:rsid w:val="00171FCE"/>
    <w:rsid w:val="00172B0F"/>
    <w:rsid w:val="00173EDC"/>
    <w:rsid w:val="00174297"/>
    <w:rsid w:val="00174DE3"/>
    <w:rsid w:val="00175567"/>
    <w:rsid w:val="00175D45"/>
    <w:rsid w:val="00176447"/>
    <w:rsid w:val="00177845"/>
    <w:rsid w:val="001778B9"/>
    <w:rsid w:val="00180E06"/>
    <w:rsid w:val="001817B3"/>
    <w:rsid w:val="00183014"/>
    <w:rsid w:val="0018361E"/>
    <w:rsid w:val="001840A8"/>
    <w:rsid w:val="00186211"/>
    <w:rsid w:val="00186FF2"/>
    <w:rsid w:val="0019075E"/>
    <w:rsid w:val="001908E1"/>
    <w:rsid w:val="00190B0C"/>
    <w:rsid w:val="00192019"/>
    <w:rsid w:val="00192F23"/>
    <w:rsid w:val="001931E2"/>
    <w:rsid w:val="001935BD"/>
    <w:rsid w:val="00194B99"/>
    <w:rsid w:val="00194C17"/>
    <w:rsid w:val="001952A8"/>
    <w:rsid w:val="001953CE"/>
    <w:rsid w:val="001954D1"/>
    <w:rsid w:val="001959C2"/>
    <w:rsid w:val="00195E04"/>
    <w:rsid w:val="00197231"/>
    <w:rsid w:val="00197DE5"/>
    <w:rsid w:val="00197F7C"/>
    <w:rsid w:val="001A06A9"/>
    <w:rsid w:val="001A10C2"/>
    <w:rsid w:val="001A18D7"/>
    <w:rsid w:val="001A25E6"/>
    <w:rsid w:val="001A2912"/>
    <w:rsid w:val="001A3FBF"/>
    <w:rsid w:val="001A51E3"/>
    <w:rsid w:val="001A678E"/>
    <w:rsid w:val="001A7968"/>
    <w:rsid w:val="001A79C4"/>
    <w:rsid w:val="001B0866"/>
    <w:rsid w:val="001B0C54"/>
    <w:rsid w:val="001B0FA2"/>
    <w:rsid w:val="001B2E98"/>
    <w:rsid w:val="001B3483"/>
    <w:rsid w:val="001B389B"/>
    <w:rsid w:val="001B3C1E"/>
    <w:rsid w:val="001B3F07"/>
    <w:rsid w:val="001B4494"/>
    <w:rsid w:val="001B5A7B"/>
    <w:rsid w:val="001B7AC8"/>
    <w:rsid w:val="001C0D8B"/>
    <w:rsid w:val="001C0DA8"/>
    <w:rsid w:val="001C2117"/>
    <w:rsid w:val="001C42B3"/>
    <w:rsid w:val="001C46B2"/>
    <w:rsid w:val="001C5CF8"/>
    <w:rsid w:val="001C6D23"/>
    <w:rsid w:val="001C7DE3"/>
    <w:rsid w:val="001D04FB"/>
    <w:rsid w:val="001D24E0"/>
    <w:rsid w:val="001D2543"/>
    <w:rsid w:val="001D2929"/>
    <w:rsid w:val="001D43EC"/>
    <w:rsid w:val="001D497E"/>
    <w:rsid w:val="001D4AD7"/>
    <w:rsid w:val="001D5015"/>
    <w:rsid w:val="001D5070"/>
    <w:rsid w:val="001D52D8"/>
    <w:rsid w:val="001D7D22"/>
    <w:rsid w:val="001E08AD"/>
    <w:rsid w:val="001E08E6"/>
    <w:rsid w:val="001E0D8A"/>
    <w:rsid w:val="001E1976"/>
    <w:rsid w:val="001E3122"/>
    <w:rsid w:val="001E3175"/>
    <w:rsid w:val="001E3E4C"/>
    <w:rsid w:val="001E3F7E"/>
    <w:rsid w:val="001E67BA"/>
    <w:rsid w:val="001E74C2"/>
    <w:rsid w:val="001F4F67"/>
    <w:rsid w:val="001F4F82"/>
    <w:rsid w:val="001F5886"/>
    <w:rsid w:val="001F5A48"/>
    <w:rsid w:val="001F5F70"/>
    <w:rsid w:val="001F618B"/>
    <w:rsid w:val="001F6260"/>
    <w:rsid w:val="001F671A"/>
    <w:rsid w:val="001F7CB1"/>
    <w:rsid w:val="00200007"/>
    <w:rsid w:val="00200EA6"/>
    <w:rsid w:val="00202685"/>
    <w:rsid w:val="002029C9"/>
    <w:rsid w:val="002029E4"/>
    <w:rsid w:val="002030A5"/>
    <w:rsid w:val="00203131"/>
    <w:rsid w:val="00205251"/>
    <w:rsid w:val="00205A15"/>
    <w:rsid w:val="00207662"/>
    <w:rsid w:val="00207794"/>
    <w:rsid w:val="00207805"/>
    <w:rsid w:val="0021003E"/>
    <w:rsid w:val="00210075"/>
    <w:rsid w:val="00210619"/>
    <w:rsid w:val="00211B24"/>
    <w:rsid w:val="00211B33"/>
    <w:rsid w:val="00212E88"/>
    <w:rsid w:val="00213189"/>
    <w:rsid w:val="002132BA"/>
    <w:rsid w:val="00213420"/>
    <w:rsid w:val="00213548"/>
    <w:rsid w:val="00213C9C"/>
    <w:rsid w:val="00215B11"/>
    <w:rsid w:val="002169DD"/>
    <w:rsid w:val="0022009E"/>
    <w:rsid w:val="0022125A"/>
    <w:rsid w:val="00222178"/>
    <w:rsid w:val="00223241"/>
    <w:rsid w:val="00223987"/>
    <w:rsid w:val="0022425C"/>
    <w:rsid w:val="002246DE"/>
    <w:rsid w:val="00226D83"/>
    <w:rsid w:val="00227E54"/>
    <w:rsid w:val="00231386"/>
    <w:rsid w:val="0023330D"/>
    <w:rsid w:val="002345EC"/>
    <w:rsid w:val="00237CFA"/>
    <w:rsid w:val="00240823"/>
    <w:rsid w:val="002412A5"/>
    <w:rsid w:val="00242378"/>
    <w:rsid w:val="002426B7"/>
    <w:rsid w:val="002429E2"/>
    <w:rsid w:val="00244029"/>
    <w:rsid w:val="00244649"/>
    <w:rsid w:val="00246090"/>
    <w:rsid w:val="002516CD"/>
    <w:rsid w:val="00252921"/>
    <w:rsid w:val="00252BC4"/>
    <w:rsid w:val="00254014"/>
    <w:rsid w:val="002544C9"/>
    <w:rsid w:val="002547C3"/>
    <w:rsid w:val="00254B39"/>
    <w:rsid w:val="0025637C"/>
    <w:rsid w:val="00256B77"/>
    <w:rsid w:val="00261564"/>
    <w:rsid w:val="0026202E"/>
    <w:rsid w:val="00262605"/>
    <w:rsid w:val="00262FC6"/>
    <w:rsid w:val="002638AF"/>
    <w:rsid w:val="00264283"/>
    <w:rsid w:val="0026504D"/>
    <w:rsid w:val="002661E6"/>
    <w:rsid w:val="002661E9"/>
    <w:rsid w:val="0027299D"/>
    <w:rsid w:val="002737FE"/>
    <w:rsid w:val="00273A2F"/>
    <w:rsid w:val="00273D04"/>
    <w:rsid w:val="00277697"/>
    <w:rsid w:val="00280883"/>
    <w:rsid w:val="00280986"/>
    <w:rsid w:val="00281653"/>
    <w:rsid w:val="00281DD5"/>
    <w:rsid w:val="00281ECE"/>
    <w:rsid w:val="002821DC"/>
    <w:rsid w:val="00282482"/>
    <w:rsid w:val="002827C0"/>
    <w:rsid w:val="00282A79"/>
    <w:rsid w:val="002831C7"/>
    <w:rsid w:val="002840C6"/>
    <w:rsid w:val="00284668"/>
    <w:rsid w:val="00284FC2"/>
    <w:rsid w:val="00285F0C"/>
    <w:rsid w:val="00286980"/>
    <w:rsid w:val="00286D50"/>
    <w:rsid w:val="002875D1"/>
    <w:rsid w:val="00290B85"/>
    <w:rsid w:val="002917FE"/>
    <w:rsid w:val="00292D0C"/>
    <w:rsid w:val="00294B9D"/>
    <w:rsid w:val="00294C78"/>
    <w:rsid w:val="00295174"/>
    <w:rsid w:val="00296172"/>
    <w:rsid w:val="00296B92"/>
    <w:rsid w:val="00296F0C"/>
    <w:rsid w:val="002978BF"/>
    <w:rsid w:val="00297C83"/>
    <w:rsid w:val="00297D86"/>
    <w:rsid w:val="00297DD8"/>
    <w:rsid w:val="002A1308"/>
    <w:rsid w:val="002A13FF"/>
    <w:rsid w:val="002A2464"/>
    <w:rsid w:val="002A2C22"/>
    <w:rsid w:val="002A34E3"/>
    <w:rsid w:val="002A582A"/>
    <w:rsid w:val="002B02EB"/>
    <w:rsid w:val="002B064E"/>
    <w:rsid w:val="002B3322"/>
    <w:rsid w:val="002B362A"/>
    <w:rsid w:val="002B48F0"/>
    <w:rsid w:val="002B49DF"/>
    <w:rsid w:val="002B6309"/>
    <w:rsid w:val="002B63D4"/>
    <w:rsid w:val="002B6709"/>
    <w:rsid w:val="002B6F54"/>
    <w:rsid w:val="002B7757"/>
    <w:rsid w:val="002B7D5D"/>
    <w:rsid w:val="002B7F44"/>
    <w:rsid w:val="002C0602"/>
    <w:rsid w:val="002C13DE"/>
    <w:rsid w:val="002C17CB"/>
    <w:rsid w:val="002C2087"/>
    <w:rsid w:val="002C7440"/>
    <w:rsid w:val="002C7D1B"/>
    <w:rsid w:val="002D0F9B"/>
    <w:rsid w:val="002D1BD6"/>
    <w:rsid w:val="002D4A98"/>
    <w:rsid w:val="002D5156"/>
    <w:rsid w:val="002D5C16"/>
    <w:rsid w:val="002D7339"/>
    <w:rsid w:val="002E0365"/>
    <w:rsid w:val="002E0DF3"/>
    <w:rsid w:val="002E1281"/>
    <w:rsid w:val="002E28D5"/>
    <w:rsid w:val="002E4FBE"/>
    <w:rsid w:val="002E7436"/>
    <w:rsid w:val="002E7C15"/>
    <w:rsid w:val="002E7F1E"/>
    <w:rsid w:val="002F0420"/>
    <w:rsid w:val="002F14DD"/>
    <w:rsid w:val="002F2476"/>
    <w:rsid w:val="002F2EBE"/>
    <w:rsid w:val="002F2FB6"/>
    <w:rsid w:val="002F3DFF"/>
    <w:rsid w:val="002F5E05"/>
    <w:rsid w:val="002F6017"/>
    <w:rsid w:val="002F76F3"/>
    <w:rsid w:val="002F784A"/>
    <w:rsid w:val="003001F1"/>
    <w:rsid w:val="00300272"/>
    <w:rsid w:val="00300A8D"/>
    <w:rsid w:val="00302172"/>
    <w:rsid w:val="003031F9"/>
    <w:rsid w:val="003032F9"/>
    <w:rsid w:val="0030516C"/>
    <w:rsid w:val="00305204"/>
    <w:rsid w:val="00307A76"/>
    <w:rsid w:val="0031108C"/>
    <w:rsid w:val="00311CF4"/>
    <w:rsid w:val="00312143"/>
    <w:rsid w:val="00312C28"/>
    <w:rsid w:val="0031455E"/>
    <w:rsid w:val="003145BE"/>
    <w:rsid w:val="00314D51"/>
    <w:rsid w:val="00315858"/>
    <w:rsid w:val="00315A16"/>
    <w:rsid w:val="00317053"/>
    <w:rsid w:val="00317669"/>
    <w:rsid w:val="003202DA"/>
    <w:rsid w:val="00320BD4"/>
    <w:rsid w:val="00320CC2"/>
    <w:rsid w:val="0032109C"/>
    <w:rsid w:val="00321F5F"/>
    <w:rsid w:val="00322143"/>
    <w:rsid w:val="00322B45"/>
    <w:rsid w:val="00323809"/>
    <w:rsid w:val="00323D41"/>
    <w:rsid w:val="00325324"/>
    <w:rsid w:val="00325414"/>
    <w:rsid w:val="0032599F"/>
    <w:rsid w:val="0032648D"/>
    <w:rsid w:val="00327275"/>
    <w:rsid w:val="00327340"/>
    <w:rsid w:val="00327972"/>
    <w:rsid w:val="003302F1"/>
    <w:rsid w:val="003309EA"/>
    <w:rsid w:val="003312F5"/>
    <w:rsid w:val="0033154C"/>
    <w:rsid w:val="00335162"/>
    <w:rsid w:val="00336022"/>
    <w:rsid w:val="00341777"/>
    <w:rsid w:val="003422D7"/>
    <w:rsid w:val="0034470E"/>
    <w:rsid w:val="003467AE"/>
    <w:rsid w:val="00350240"/>
    <w:rsid w:val="00350CA1"/>
    <w:rsid w:val="0035133F"/>
    <w:rsid w:val="0035217D"/>
    <w:rsid w:val="003525B4"/>
    <w:rsid w:val="00352DB0"/>
    <w:rsid w:val="003545D6"/>
    <w:rsid w:val="00354B02"/>
    <w:rsid w:val="00356B75"/>
    <w:rsid w:val="00361063"/>
    <w:rsid w:val="00362C53"/>
    <w:rsid w:val="003642ED"/>
    <w:rsid w:val="00366A3B"/>
    <w:rsid w:val="00367268"/>
    <w:rsid w:val="00370232"/>
    <w:rsid w:val="0037094A"/>
    <w:rsid w:val="00370F3F"/>
    <w:rsid w:val="00371A79"/>
    <w:rsid w:val="00371CB8"/>
    <w:rsid w:val="00371ED3"/>
    <w:rsid w:val="00372302"/>
    <w:rsid w:val="00372659"/>
    <w:rsid w:val="00372FFC"/>
    <w:rsid w:val="00373C39"/>
    <w:rsid w:val="003756C7"/>
    <w:rsid w:val="0037728A"/>
    <w:rsid w:val="0037774E"/>
    <w:rsid w:val="0038000C"/>
    <w:rsid w:val="003801CE"/>
    <w:rsid w:val="00380582"/>
    <w:rsid w:val="003805E7"/>
    <w:rsid w:val="00380B7D"/>
    <w:rsid w:val="00381A99"/>
    <w:rsid w:val="003829C2"/>
    <w:rsid w:val="00382AD7"/>
    <w:rsid w:val="00382D2C"/>
    <w:rsid w:val="003830B2"/>
    <w:rsid w:val="003837DE"/>
    <w:rsid w:val="00384425"/>
    <w:rsid w:val="00384724"/>
    <w:rsid w:val="00384C45"/>
    <w:rsid w:val="00384D06"/>
    <w:rsid w:val="0038612C"/>
    <w:rsid w:val="0038674B"/>
    <w:rsid w:val="00386E63"/>
    <w:rsid w:val="00386ED0"/>
    <w:rsid w:val="00386F0C"/>
    <w:rsid w:val="003879FC"/>
    <w:rsid w:val="003907CE"/>
    <w:rsid w:val="003919B7"/>
    <w:rsid w:val="00391D57"/>
    <w:rsid w:val="003920F8"/>
    <w:rsid w:val="00392292"/>
    <w:rsid w:val="0039274C"/>
    <w:rsid w:val="00394EEB"/>
    <w:rsid w:val="00394F45"/>
    <w:rsid w:val="00394FA8"/>
    <w:rsid w:val="0039516D"/>
    <w:rsid w:val="003959B2"/>
    <w:rsid w:val="00397A45"/>
    <w:rsid w:val="003A376C"/>
    <w:rsid w:val="003A55C4"/>
    <w:rsid w:val="003A5927"/>
    <w:rsid w:val="003A5A1F"/>
    <w:rsid w:val="003A6DD2"/>
    <w:rsid w:val="003A75B7"/>
    <w:rsid w:val="003B1017"/>
    <w:rsid w:val="003B234F"/>
    <w:rsid w:val="003B3C07"/>
    <w:rsid w:val="003B5C4E"/>
    <w:rsid w:val="003B6081"/>
    <w:rsid w:val="003B6775"/>
    <w:rsid w:val="003B67DE"/>
    <w:rsid w:val="003C1CC6"/>
    <w:rsid w:val="003C3BBD"/>
    <w:rsid w:val="003C5FE2"/>
    <w:rsid w:val="003C745C"/>
    <w:rsid w:val="003D05FB"/>
    <w:rsid w:val="003D1B16"/>
    <w:rsid w:val="003D28AB"/>
    <w:rsid w:val="003D2F16"/>
    <w:rsid w:val="003D3085"/>
    <w:rsid w:val="003D3324"/>
    <w:rsid w:val="003D334D"/>
    <w:rsid w:val="003D3607"/>
    <w:rsid w:val="003D45BF"/>
    <w:rsid w:val="003D4614"/>
    <w:rsid w:val="003D508A"/>
    <w:rsid w:val="003D5371"/>
    <w:rsid w:val="003D537F"/>
    <w:rsid w:val="003D60D1"/>
    <w:rsid w:val="003D699E"/>
    <w:rsid w:val="003D6A08"/>
    <w:rsid w:val="003D7B75"/>
    <w:rsid w:val="003E0124"/>
    <w:rsid w:val="003E0208"/>
    <w:rsid w:val="003E0A18"/>
    <w:rsid w:val="003E20F3"/>
    <w:rsid w:val="003E2265"/>
    <w:rsid w:val="003E28EC"/>
    <w:rsid w:val="003E324E"/>
    <w:rsid w:val="003E3959"/>
    <w:rsid w:val="003E4B57"/>
    <w:rsid w:val="003E5106"/>
    <w:rsid w:val="003E6213"/>
    <w:rsid w:val="003E679A"/>
    <w:rsid w:val="003E6BC6"/>
    <w:rsid w:val="003E7510"/>
    <w:rsid w:val="003E7706"/>
    <w:rsid w:val="003F2695"/>
    <w:rsid w:val="003F27E1"/>
    <w:rsid w:val="003F35FE"/>
    <w:rsid w:val="003F437A"/>
    <w:rsid w:val="003F4716"/>
    <w:rsid w:val="003F5C2B"/>
    <w:rsid w:val="003F6B67"/>
    <w:rsid w:val="00401843"/>
    <w:rsid w:val="00402240"/>
    <w:rsid w:val="004023E9"/>
    <w:rsid w:val="00404294"/>
    <w:rsid w:val="0040454A"/>
    <w:rsid w:val="00405679"/>
    <w:rsid w:val="00407487"/>
    <w:rsid w:val="00407AE3"/>
    <w:rsid w:val="00407BF5"/>
    <w:rsid w:val="00410BC3"/>
    <w:rsid w:val="00413F83"/>
    <w:rsid w:val="0041490C"/>
    <w:rsid w:val="00414951"/>
    <w:rsid w:val="00415D00"/>
    <w:rsid w:val="00415D65"/>
    <w:rsid w:val="00416191"/>
    <w:rsid w:val="00416721"/>
    <w:rsid w:val="0042026A"/>
    <w:rsid w:val="004214DB"/>
    <w:rsid w:val="00421EF0"/>
    <w:rsid w:val="00421FB9"/>
    <w:rsid w:val="004224FA"/>
    <w:rsid w:val="00422E18"/>
    <w:rsid w:val="00423230"/>
    <w:rsid w:val="00423487"/>
    <w:rsid w:val="004234FC"/>
    <w:rsid w:val="00423D07"/>
    <w:rsid w:val="0042643E"/>
    <w:rsid w:val="00427936"/>
    <w:rsid w:val="00427CA0"/>
    <w:rsid w:val="004328C7"/>
    <w:rsid w:val="00433D9B"/>
    <w:rsid w:val="00434615"/>
    <w:rsid w:val="004347DA"/>
    <w:rsid w:val="00437DAF"/>
    <w:rsid w:val="004406BD"/>
    <w:rsid w:val="00441533"/>
    <w:rsid w:val="004422FC"/>
    <w:rsid w:val="0044346F"/>
    <w:rsid w:val="004442CC"/>
    <w:rsid w:val="00445423"/>
    <w:rsid w:val="004455F4"/>
    <w:rsid w:val="00452FD2"/>
    <w:rsid w:val="00453FF6"/>
    <w:rsid w:val="004543A3"/>
    <w:rsid w:val="004543ED"/>
    <w:rsid w:val="004544FB"/>
    <w:rsid w:val="0045518F"/>
    <w:rsid w:val="00455AB0"/>
    <w:rsid w:val="004562A7"/>
    <w:rsid w:val="004578CC"/>
    <w:rsid w:val="00457EEF"/>
    <w:rsid w:val="00460184"/>
    <w:rsid w:val="004624DC"/>
    <w:rsid w:val="00462E1E"/>
    <w:rsid w:val="00463993"/>
    <w:rsid w:val="0046520A"/>
    <w:rsid w:val="004672AB"/>
    <w:rsid w:val="00467742"/>
    <w:rsid w:val="00470617"/>
    <w:rsid w:val="004714FE"/>
    <w:rsid w:val="00472ECE"/>
    <w:rsid w:val="0047357A"/>
    <w:rsid w:val="00474167"/>
    <w:rsid w:val="00477BAA"/>
    <w:rsid w:val="004822CC"/>
    <w:rsid w:val="00484B3B"/>
    <w:rsid w:val="004858F2"/>
    <w:rsid w:val="00485E5C"/>
    <w:rsid w:val="0048648B"/>
    <w:rsid w:val="00487BF4"/>
    <w:rsid w:val="00487F7B"/>
    <w:rsid w:val="00490178"/>
    <w:rsid w:val="004905B5"/>
    <w:rsid w:val="00491F00"/>
    <w:rsid w:val="00493255"/>
    <w:rsid w:val="004940B3"/>
    <w:rsid w:val="0049466B"/>
    <w:rsid w:val="00495053"/>
    <w:rsid w:val="004A1249"/>
    <w:rsid w:val="004A15EF"/>
    <w:rsid w:val="004A1F59"/>
    <w:rsid w:val="004A1FC7"/>
    <w:rsid w:val="004A29BE"/>
    <w:rsid w:val="004A3225"/>
    <w:rsid w:val="004A33EE"/>
    <w:rsid w:val="004A3AA8"/>
    <w:rsid w:val="004A4035"/>
    <w:rsid w:val="004A7BE7"/>
    <w:rsid w:val="004B0CC8"/>
    <w:rsid w:val="004B0DD5"/>
    <w:rsid w:val="004B13C7"/>
    <w:rsid w:val="004B3BD3"/>
    <w:rsid w:val="004B4BD6"/>
    <w:rsid w:val="004B5717"/>
    <w:rsid w:val="004B778F"/>
    <w:rsid w:val="004C03EC"/>
    <w:rsid w:val="004C0609"/>
    <w:rsid w:val="004C2334"/>
    <w:rsid w:val="004C3782"/>
    <w:rsid w:val="004C5977"/>
    <w:rsid w:val="004C639F"/>
    <w:rsid w:val="004D092E"/>
    <w:rsid w:val="004D141F"/>
    <w:rsid w:val="004D1DA9"/>
    <w:rsid w:val="004D1F10"/>
    <w:rsid w:val="004D2742"/>
    <w:rsid w:val="004D2CD3"/>
    <w:rsid w:val="004D3FB6"/>
    <w:rsid w:val="004D4B38"/>
    <w:rsid w:val="004D4E4C"/>
    <w:rsid w:val="004D4FED"/>
    <w:rsid w:val="004D5905"/>
    <w:rsid w:val="004D5DBD"/>
    <w:rsid w:val="004D61B7"/>
    <w:rsid w:val="004D6310"/>
    <w:rsid w:val="004D76D6"/>
    <w:rsid w:val="004D7B40"/>
    <w:rsid w:val="004E0062"/>
    <w:rsid w:val="004E05A1"/>
    <w:rsid w:val="004E1583"/>
    <w:rsid w:val="004E6AE7"/>
    <w:rsid w:val="004E7F48"/>
    <w:rsid w:val="004F176A"/>
    <w:rsid w:val="004F2847"/>
    <w:rsid w:val="004F3A50"/>
    <w:rsid w:val="004F472A"/>
    <w:rsid w:val="004F4B26"/>
    <w:rsid w:val="004F585E"/>
    <w:rsid w:val="004F595D"/>
    <w:rsid w:val="004F5E57"/>
    <w:rsid w:val="004F6710"/>
    <w:rsid w:val="004F69D0"/>
    <w:rsid w:val="004F79EC"/>
    <w:rsid w:val="004F7CC1"/>
    <w:rsid w:val="004F7F39"/>
    <w:rsid w:val="00500498"/>
    <w:rsid w:val="0050050F"/>
    <w:rsid w:val="00500C3E"/>
    <w:rsid w:val="00500E5A"/>
    <w:rsid w:val="005022F8"/>
    <w:rsid w:val="00502849"/>
    <w:rsid w:val="00502E07"/>
    <w:rsid w:val="005032BA"/>
    <w:rsid w:val="00503C4D"/>
    <w:rsid w:val="00503CDD"/>
    <w:rsid w:val="00503FBF"/>
    <w:rsid w:val="00504334"/>
    <w:rsid w:val="0050498D"/>
    <w:rsid w:val="00504BB3"/>
    <w:rsid w:val="0050512F"/>
    <w:rsid w:val="00505478"/>
    <w:rsid w:val="005056AE"/>
    <w:rsid w:val="0050573B"/>
    <w:rsid w:val="00506593"/>
    <w:rsid w:val="005073D5"/>
    <w:rsid w:val="005078AA"/>
    <w:rsid w:val="005104D7"/>
    <w:rsid w:val="0051063D"/>
    <w:rsid w:val="00510B5D"/>
    <w:rsid w:val="00510B9E"/>
    <w:rsid w:val="005116FE"/>
    <w:rsid w:val="00512817"/>
    <w:rsid w:val="005130CF"/>
    <w:rsid w:val="0051332A"/>
    <w:rsid w:val="00513942"/>
    <w:rsid w:val="00513A86"/>
    <w:rsid w:val="005159DD"/>
    <w:rsid w:val="005169B4"/>
    <w:rsid w:val="00517FD6"/>
    <w:rsid w:val="005231E3"/>
    <w:rsid w:val="00523976"/>
    <w:rsid w:val="00523DD3"/>
    <w:rsid w:val="0052400B"/>
    <w:rsid w:val="00525112"/>
    <w:rsid w:val="005251F2"/>
    <w:rsid w:val="005253F2"/>
    <w:rsid w:val="00530F89"/>
    <w:rsid w:val="00531EC9"/>
    <w:rsid w:val="0053239E"/>
    <w:rsid w:val="005326B2"/>
    <w:rsid w:val="0053395E"/>
    <w:rsid w:val="00533C37"/>
    <w:rsid w:val="00533D2F"/>
    <w:rsid w:val="0053543D"/>
    <w:rsid w:val="00535490"/>
    <w:rsid w:val="005358D1"/>
    <w:rsid w:val="005367C0"/>
    <w:rsid w:val="00536A1A"/>
    <w:rsid w:val="00536BC2"/>
    <w:rsid w:val="005376B9"/>
    <w:rsid w:val="005408EC"/>
    <w:rsid w:val="005411C8"/>
    <w:rsid w:val="00541384"/>
    <w:rsid w:val="00541D0B"/>
    <w:rsid w:val="005420D6"/>
    <w:rsid w:val="005425E1"/>
    <w:rsid w:val="005427C5"/>
    <w:rsid w:val="00542CF6"/>
    <w:rsid w:val="005454B5"/>
    <w:rsid w:val="00545CB3"/>
    <w:rsid w:val="00546ABA"/>
    <w:rsid w:val="0054751A"/>
    <w:rsid w:val="00547AFB"/>
    <w:rsid w:val="005519A0"/>
    <w:rsid w:val="005532C4"/>
    <w:rsid w:val="0055334D"/>
    <w:rsid w:val="005533FD"/>
    <w:rsid w:val="00553C03"/>
    <w:rsid w:val="00554F98"/>
    <w:rsid w:val="00555C89"/>
    <w:rsid w:val="00556A2F"/>
    <w:rsid w:val="00556F41"/>
    <w:rsid w:val="005603CF"/>
    <w:rsid w:val="00560DDA"/>
    <w:rsid w:val="00562830"/>
    <w:rsid w:val="00563692"/>
    <w:rsid w:val="00563AF9"/>
    <w:rsid w:val="0056482A"/>
    <w:rsid w:val="00564E9C"/>
    <w:rsid w:val="00565B86"/>
    <w:rsid w:val="00566606"/>
    <w:rsid w:val="005666A3"/>
    <w:rsid w:val="005677F7"/>
    <w:rsid w:val="00570572"/>
    <w:rsid w:val="00571674"/>
    <w:rsid w:val="00571679"/>
    <w:rsid w:val="0057179F"/>
    <w:rsid w:val="00571BB5"/>
    <w:rsid w:val="0057237C"/>
    <w:rsid w:val="005742D1"/>
    <w:rsid w:val="00574937"/>
    <w:rsid w:val="00575652"/>
    <w:rsid w:val="00576C8D"/>
    <w:rsid w:val="005776A4"/>
    <w:rsid w:val="00577AAF"/>
    <w:rsid w:val="005809A0"/>
    <w:rsid w:val="00582CBB"/>
    <w:rsid w:val="0058373F"/>
    <w:rsid w:val="00584235"/>
    <w:rsid w:val="00584439"/>
    <w:rsid w:val="005844E7"/>
    <w:rsid w:val="00585B95"/>
    <w:rsid w:val="00585FCE"/>
    <w:rsid w:val="00586E3E"/>
    <w:rsid w:val="005872C0"/>
    <w:rsid w:val="00590892"/>
    <w:rsid w:val="005908B8"/>
    <w:rsid w:val="00591C17"/>
    <w:rsid w:val="00593312"/>
    <w:rsid w:val="0059512E"/>
    <w:rsid w:val="00595196"/>
    <w:rsid w:val="005953E6"/>
    <w:rsid w:val="005958B9"/>
    <w:rsid w:val="00596259"/>
    <w:rsid w:val="005A1D8A"/>
    <w:rsid w:val="005A2D6B"/>
    <w:rsid w:val="005A2DDE"/>
    <w:rsid w:val="005A2FCD"/>
    <w:rsid w:val="005A3B29"/>
    <w:rsid w:val="005A42E0"/>
    <w:rsid w:val="005A4545"/>
    <w:rsid w:val="005A46E6"/>
    <w:rsid w:val="005A4974"/>
    <w:rsid w:val="005A6DD2"/>
    <w:rsid w:val="005A7A25"/>
    <w:rsid w:val="005A7D1D"/>
    <w:rsid w:val="005B154D"/>
    <w:rsid w:val="005B3EF7"/>
    <w:rsid w:val="005B5612"/>
    <w:rsid w:val="005B5657"/>
    <w:rsid w:val="005B70A5"/>
    <w:rsid w:val="005C00B3"/>
    <w:rsid w:val="005C0779"/>
    <w:rsid w:val="005C0A41"/>
    <w:rsid w:val="005C385D"/>
    <w:rsid w:val="005C60CD"/>
    <w:rsid w:val="005C62CF"/>
    <w:rsid w:val="005C66D8"/>
    <w:rsid w:val="005D06B3"/>
    <w:rsid w:val="005D09AD"/>
    <w:rsid w:val="005D0B6B"/>
    <w:rsid w:val="005D12E2"/>
    <w:rsid w:val="005D32F8"/>
    <w:rsid w:val="005D3B20"/>
    <w:rsid w:val="005D6329"/>
    <w:rsid w:val="005D6A79"/>
    <w:rsid w:val="005D71B7"/>
    <w:rsid w:val="005D7383"/>
    <w:rsid w:val="005D7676"/>
    <w:rsid w:val="005E0A28"/>
    <w:rsid w:val="005E18DE"/>
    <w:rsid w:val="005E2040"/>
    <w:rsid w:val="005E2A5C"/>
    <w:rsid w:val="005E4759"/>
    <w:rsid w:val="005E55C0"/>
    <w:rsid w:val="005E5702"/>
    <w:rsid w:val="005E5C09"/>
    <w:rsid w:val="005E5C68"/>
    <w:rsid w:val="005E65C0"/>
    <w:rsid w:val="005E6783"/>
    <w:rsid w:val="005E7E3B"/>
    <w:rsid w:val="005F0123"/>
    <w:rsid w:val="005F0390"/>
    <w:rsid w:val="005F0785"/>
    <w:rsid w:val="005F21F2"/>
    <w:rsid w:val="005F2772"/>
    <w:rsid w:val="005F2AF2"/>
    <w:rsid w:val="005F33B8"/>
    <w:rsid w:val="005F34C5"/>
    <w:rsid w:val="005F3D93"/>
    <w:rsid w:val="005F47D8"/>
    <w:rsid w:val="005F4E5C"/>
    <w:rsid w:val="005F5023"/>
    <w:rsid w:val="005F6F25"/>
    <w:rsid w:val="005F772C"/>
    <w:rsid w:val="005F779A"/>
    <w:rsid w:val="005F7B54"/>
    <w:rsid w:val="0060525F"/>
    <w:rsid w:val="00605FD6"/>
    <w:rsid w:val="00606150"/>
    <w:rsid w:val="006072CD"/>
    <w:rsid w:val="00611542"/>
    <w:rsid w:val="00611D20"/>
    <w:rsid w:val="00612023"/>
    <w:rsid w:val="00613F86"/>
    <w:rsid w:val="00614165"/>
    <w:rsid w:val="00614190"/>
    <w:rsid w:val="00614676"/>
    <w:rsid w:val="006157D5"/>
    <w:rsid w:val="00616602"/>
    <w:rsid w:val="006167D5"/>
    <w:rsid w:val="00616CB9"/>
    <w:rsid w:val="00621A5D"/>
    <w:rsid w:val="00622A99"/>
    <w:rsid w:val="00622E67"/>
    <w:rsid w:val="00626B57"/>
    <w:rsid w:val="00626EDC"/>
    <w:rsid w:val="00627089"/>
    <w:rsid w:val="006274DD"/>
    <w:rsid w:val="006278D8"/>
    <w:rsid w:val="00627DF1"/>
    <w:rsid w:val="0063167C"/>
    <w:rsid w:val="006322F1"/>
    <w:rsid w:val="006327A7"/>
    <w:rsid w:val="00633AA9"/>
    <w:rsid w:val="00635F68"/>
    <w:rsid w:val="00637113"/>
    <w:rsid w:val="00637135"/>
    <w:rsid w:val="0064045F"/>
    <w:rsid w:val="0064463E"/>
    <w:rsid w:val="00644E20"/>
    <w:rsid w:val="006452D3"/>
    <w:rsid w:val="006470EC"/>
    <w:rsid w:val="00650624"/>
    <w:rsid w:val="006542D6"/>
    <w:rsid w:val="00654390"/>
    <w:rsid w:val="00654796"/>
    <w:rsid w:val="00655021"/>
    <w:rsid w:val="00655042"/>
    <w:rsid w:val="006558AE"/>
    <w:rsid w:val="0065598E"/>
    <w:rsid w:val="00655AF2"/>
    <w:rsid w:val="00655BC5"/>
    <w:rsid w:val="006568BE"/>
    <w:rsid w:val="00657F95"/>
    <w:rsid w:val="006601D3"/>
    <w:rsid w:val="0066024F"/>
    <w:rsid w:val="0066025D"/>
    <w:rsid w:val="0066091A"/>
    <w:rsid w:val="00661F15"/>
    <w:rsid w:val="006668FA"/>
    <w:rsid w:val="006673C4"/>
    <w:rsid w:val="006702AC"/>
    <w:rsid w:val="006707C7"/>
    <w:rsid w:val="0067143E"/>
    <w:rsid w:val="00671707"/>
    <w:rsid w:val="0067185A"/>
    <w:rsid w:val="00672E22"/>
    <w:rsid w:val="00673CD6"/>
    <w:rsid w:val="00673E04"/>
    <w:rsid w:val="00673E50"/>
    <w:rsid w:val="00674CAE"/>
    <w:rsid w:val="0067560D"/>
    <w:rsid w:val="006759D5"/>
    <w:rsid w:val="006773EC"/>
    <w:rsid w:val="006804B8"/>
    <w:rsid w:val="00680504"/>
    <w:rsid w:val="00681320"/>
    <w:rsid w:val="00681CD9"/>
    <w:rsid w:val="00682E58"/>
    <w:rsid w:val="00683E30"/>
    <w:rsid w:val="006843CF"/>
    <w:rsid w:val="00684EEC"/>
    <w:rsid w:val="00685334"/>
    <w:rsid w:val="006857E8"/>
    <w:rsid w:val="006859E2"/>
    <w:rsid w:val="00685ECA"/>
    <w:rsid w:val="00686301"/>
    <w:rsid w:val="00687024"/>
    <w:rsid w:val="0069005C"/>
    <w:rsid w:val="006918B4"/>
    <w:rsid w:val="0069191A"/>
    <w:rsid w:val="006944ED"/>
    <w:rsid w:val="00694781"/>
    <w:rsid w:val="0069514E"/>
    <w:rsid w:val="00695311"/>
    <w:rsid w:val="0069576F"/>
    <w:rsid w:val="00695E22"/>
    <w:rsid w:val="006967D3"/>
    <w:rsid w:val="0069751F"/>
    <w:rsid w:val="006A0965"/>
    <w:rsid w:val="006A0C90"/>
    <w:rsid w:val="006A1CF5"/>
    <w:rsid w:val="006A568F"/>
    <w:rsid w:val="006A7DD6"/>
    <w:rsid w:val="006B023E"/>
    <w:rsid w:val="006B0855"/>
    <w:rsid w:val="006B1494"/>
    <w:rsid w:val="006B197D"/>
    <w:rsid w:val="006B28DD"/>
    <w:rsid w:val="006B32E0"/>
    <w:rsid w:val="006B4DB1"/>
    <w:rsid w:val="006B5530"/>
    <w:rsid w:val="006B5661"/>
    <w:rsid w:val="006B5B28"/>
    <w:rsid w:val="006B620C"/>
    <w:rsid w:val="006B655E"/>
    <w:rsid w:val="006B657A"/>
    <w:rsid w:val="006B6AEE"/>
    <w:rsid w:val="006B7093"/>
    <w:rsid w:val="006B7417"/>
    <w:rsid w:val="006C0C50"/>
    <w:rsid w:val="006C35E2"/>
    <w:rsid w:val="006C4184"/>
    <w:rsid w:val="006C42B6"/>
    <w:rsid w:val="006C47D2"/>
    <w:rsid w:val="006C4969"/>
    <w:rsid w:val="006C591F"/>
    <w:rsid w:val="006D0D9E"/>
    <w:rsid w:val="006D0DC4"/>
    <w:rsid w:val="006D2F93"/>
    <w:rsid w:val="006D31F9"/>
    <w:rsid w:val="006D354C"/>
    <w:rsid w:val="006D3691"/>
    <w:rsid w:val="006D4E39"/>
    <w:rsid w:val="006D5215"/>
    <w:rsid w:val="006D6D9F"/>
    <w:rsid w:val="006D6FBF"/>
    <w:rsid w:val="006D79EC"/>
    <w:rsid w:val="006D7F12"/>
    <w:rsid w:val="006E1E51"/>
    <w:rsid w:val="006E1E83"/>
    <w:rsid w:val="006E25D0"/>
    <w:rsid w:val="006E37BB"/>
    <w:rsid w:val="006E4436"/>
    <w:rsid w:val="006E4531"/>
    <w:rsid w:val="006E4AB6"/>
    <w:rsid w:val="006E56A6"/>
    <w:rsid w:val="006E5EF0"/>
    <w:rsid w:val="006E6590"/>
    <w:rsid w:val="006E6A1B"/>
    <w:rsid w:val="006E7CDB"/>
    <w:rsid w:val="006F0352"/>
    <w:rsid w:val="006F0D7C"/>
    <w:rsid w:val="006F2624"/>
    <w:rsid w:val="006F3563"/>
    <w:rsid w:val="006F42B9"/>
    <w:rsid w:val="006F5367"/>
    <w:rsid w:val="006F56C7"/>
    <w:rsid w:val="006F5F51"/>
    <w:rsid w:val="006F6103"/>
    <w:rsid w:val="006F62F2"/>
    <w:rsid w:val="006F75A7"/>
    <w:rsid w:val="007001B2"/>
    <w:rsid w:val="007003F9"/>
    <w:rsid w:val="00701291"/>
    <w:rsid w:val="00701482"/>
    <w:rsid w:val="00703355"/>
    <w:rsid w:val="00704E00"/>
    <w:rsid w:val="007053E6"/>
    <w:rsid w:val="00707655"/>
    <w:rsid w:val="00714773"/>
    <w:rsid w:val="00714DD9"/>
    <w:rsid w:val="0071641C"/>
    <w:rsid w:val="007165F8"/>
    <w:rsid w:val="00716B52"/>
    <w:rsid w:val="00717727"/>
    <w:rsid w:val="00717ACA"/>
    <w:rsid w:val="00717B9F"/>
    <w:rsid w:val="007209E7"/>
    <w:rsid w:val="00721265"/>
    <w:rsid w:val="0072130F"/>
    <w:rsid w:val="0072161D"/>
    <w:rsid w:val="00724B58"/>
    <w:rsid w:val="00726182"/>
    <w:rsid w:val="00726748"/>
    <w:rsid w:val="00727635"/>
    <w:rsid w:val="00730259"/>
    <w:rsid w:val="00732329"/>
    <w:rsid w:val="00732C37"/>
    <w:rsid w:val="007337CA"/>
    <w:rsid w:val="00734CE4"/>
    <w:rsid w:val="00735123"/>
    <w:rsid w:val="0073548B"/>
    <w:rsid w:val="00735599"/>
    <w:rsid w:val="00737212"/>
    <w:rsid w:val="00737861"/>
    <w:rsid w:val="00737CBF"/>
    <w:rsid w:val="0074106D"/>
    <w:rsid w:val="00741837"/>
    <w:rsid w:val="0074235C"/>
    <w:rsid w:val="00742441"/>
    <w:rsid w:val="007453E6"/>
    <w:rsid w:val="00745D23"/>
    <w:rsid w:val="00746B8C"/>
    <w:rsid w:val="00746BD1"/>
    <w:rsid w:val="00747CB4"/>
    <w:rsid w:val="00747EF7"/>
    <w:rsid w:val="007503FB"/>
    <w:rsid w:val="00753FA1"/>
    <w:rsid w:val="00754483"/>
    <w:rsid w:val="00754522"/>
    <w:rsid w:val="0076025F"/>
    <w:rsid w:val="007603A2"/>
    <w:rsid w:val="007643D3"/>
    <w:rsid w:val="007645D0"/>
    <w:rsid w:val="00767A33"/>
    <w:rsid w:val="00770453"/>
    <w:rsid w:val="0077101F"/>
    <w:rsid w:val="0077161C"/>
    <w:rsid w:val="007720C1"/>
    <w:rsid w:val="00772760"/>
    <w:rsid w:val="0077309D"/>
    <w:rsid w:val="0077406C"/>
    <w:rsid w:val="007745CB"/>
    <w:rsid w:val="007760D5"/>
    <w:rsid w:val="00776762"/>
    <w:rsid w:val="00776C6A"/>
    <w:rsid w:val="007774EE"/>
    <w:rsid w:val="00777513"/>
    <w:rsid w:val="00777EAF"/>
    <w:rsid w:val="00780064"/>
    <w:rsid w:val="00780083"/>
    <w:rsid w:val="00780B51"/>
    <w:rsid w:val="00781340"/>
    <w:rsid w:val="00781822"/>
    <w:rsid w:val="0078210D"/>
    <w:rsid w:val="007830BE"/>
    <w:rsid w:val="00783570"/>
    <w:rsid w:val="00783751"/>
    <w:rsid w:val="00783F21"/>
    <w:rsid w:val="00784CE5"/>
    <w:rsid w:val="00787159"/>
    <w:rsid w:val="0079043A"/>
    <w:rsid w:val="0079095C"/>
    <w:rsid w:val="0079152A"/>
    <w:rsid w:val="00791668"/>
    <w:rsid w:val="00791AA1"/>
    <w:rsid w:val="00791BF5"/>
    <w:rsid w:val="00792643"/>
    <w:rsid w:val="0079266D"/>
    <w:rsid w:val="00794BA1"/>
    <w:rsid w:val="00795C8E"/>
    <w:rsid w:val="00795F65"/>
    <w:rsid w:val="00797663"/>
    <w:rsid w:val="007978A0"/>
    <w:rsid w:val="00797FA5"/>
    <w:rsid w:val="007A1972"/>
    <w:rsid w:val="007A20F5"/>
    <w:rsid w:val="007A2636"/>
    <w:rsid w:val="007A3793"/>
    <w:rsid w:val="007A5C39"/>
    <w:rsid w:val="007B0414"/>
    <w:rsid w:val="007B0D7E"/>
    <w:rsid w:val="007B3343"/>
    <w:rsid w:val="007B3796"/>
    <w:rsid w:val="007B469A"/>
    <w:rsid w:val="007B4706"/>
    <w:rsid w:val="007B5271"/>
    <w:rsid w:val="007B75A0"/>
    <w:rsid w:val="007C1BA2"/>
    <w:rsid w:val="007C2B48"/>
    <w:rsid w:val="007C41C0"/>
    <w:rsid w:val="007C441F"/>
    <w:rsid w:val="007D175F"/>
    <w:rsid w:val="007D20E9"/>
    <w:rsid w:val="007D3B3A"/>
    <w:rsid w:val="007D528D"/>
    <w:rsid w:val="007D55EE"/>
    <w:rsid w:val="007D5CB8"/>
    <w:rsid w:val="007D67AC"/>
    <w:rsid w:val="007D6E65"/>
    <w:rsid w:val="007D7881"/>
    <w:rsid w:val="007D7BE9"/>
    <w:rsid w:val="007D7E3A"/>
    <w:rsid w:val="007E0D72"/>
    <w:rsid w:val="007E0E10"/>
    <w:rsid w:val="007E1110"/>
    <w:rsid w:val="007E1AC0"/>
    <w:rsid w:val="007E4768"/>
    <w:rsid w:val="007E4A0D"/>
    <w:rsid w:val="007E4D96"/>
    <w:rsid w:val="007E5BF7"/>
    <w:rsid w:val="007E64AA"/>
    <w:rsid w:val="007E70FF"/>
    <w:rsid w:val="007E777B"/>
    <w:rsid w:val="007E7A29"/>
    <w:rsid w:val="007F1391"/>
    <w:rsid w:val="007F2070"/>
    <w:rsid w:val="007F32AF"/>
    <w:rsid w:val="007F33C5"/>
    <w:rsid w:val="007F35FF"/>
    <w:rsid w:val="007F4175"/>
    <w:rsid w:val="007F5304"/>
    <w:rsid w:val="007F53F9"/>
    <w:rsid w:val="007F5654"/>
    <w:rsid w:val="007F5B38"/>
    <w:rsid w:val="007F63C1"/>
    <w:rsid w:val="007F6990"/>
    <w:rsid w:val="007F7934"/>
    <w:rsid w:val="0080033C"/>
    <w:rsid w:val="00800964"/>
    <w:rsid w:val="00801D10"/>
    <w:rsid w:val="0080208C"/>
    <w:rsid w:val="00802B12"/>
    <w:rsid w:val="00802E3B"/>
    <w:rsid w:val="008053F5"/>
    <w:rsid w:val="008055C0"/>
    <w:rsid w:val="008067F4"/>
    <w:rsid w:val="00806E21"/>
    <w:rsid w:val="00806F03"/>
    <w:rsid w:val="00807AF7"/>
    <w:rsid w:val="00810198"/>
    <w:rsid w:val="00814514"/>
    <w:rsid w:val="00814C0E"/>
    <w:rsid w:val="00814C98"/>
    <w:rsid w:val="0081549C"/>
    <w:rsid w:val="00815A8E"/>
    <w:rsid w:val="00815B07"/>
    <w:rsid w:val="00815DA8"/>
    <w:rsid w:val="0081656C"/>
    <w:rsid w:val="00817114"/>
    <w:rsid w:val="00817202"/>
    <w:rsid w:val="00821549"/>
    <w:rsid w:val="0082194D"/>
    <w:rsid w:val="00821C75"/>
    <w:rsid w:val="008221F9"/>
    <w:rsid w:val="0082349A"/>
    <w:rsid w:val="00823A4F"/>
    <w:rsid w:val="00825259"/>
    <w:rsid w:val="00825F40"/>
    <w:rsid w:val="00826EF5"/>
    <w:rsid w:val="0083002C"/>
    <w:rsid w:val="008307DB"/>
    <w:rsid w:val="00830C1B"/>
    <w:rsid w:val="00831693"/>
    <w:rsid w:val="00831750"/>
    <w:rsid w:val="008319DE"/>
    <w:rsid w:val="008326D4"/>
    <w:rsid w:val="00832A8D"/>
    <w:rsid w:val="008335FC"/>
    <w:rsid w:val="008341B6"/>
    <w:rsid w:val="008350A2"/>
    <w:rsid w:val="0083591A"/>
    <w:rsid w:val="00836306"/>
    <w:rsid w:val="00836577"/>
    <w:rsid w:val="00840104"/>
    <w:rsid w:val="00840887"/>
    <w:rsid w:val="00840C1F"/>
    <w:rsid w:val="00840D21"/>
    <w:rsid w:val="008411C9"/>
    <w:rsid w:val="00841611"/>
    <w:rsid w:val="00841EDE"/>
    <w:rsid w:val="00841FC5"/>
    <w:rsid w:val="00842B1C"/>
    <w:rsid w:val="00843D0F"/>
    <w:rsid w:val="0084516B"/>
    <w:rsid w:val="00845709"/>
    <w:rsid w:val="008467A0"/>
    <w:rsid w:val="00846B62"/>
    <w:rsid w:val="00846E71"/>
    <w:rsid w:val="00847297"/>
    <w:rsid w:val="008502E5"/>
    <w:rsid w:val="008506D9"/>
    <w:rsid w:val="00854A1E"/>
    <w:rsid w:val="0085711A"/>
    <w:rsid w:val="008576BD"/>
    <w:rsid w:val="00857A07"/>
    <w:rsid w:val="008601B6"/>
    <w:rsid w:val="008601ED"/>
    <w:rsid w:val="00860463"/>
    <w:rsid w:val="00860745"/>
    <w:rsid w:val="00860EE8"/>
    <w:rsid w:val="00861B7D"/>
    <w:rsid w:val="00864EE9"/>
    <w:rsid w:val="00866170"/>
    <w:rsid w:val="0086647D"/>
    <w:rsid w:val="00867042"/>
    <w:rsid w:val="008733DA"/>
    <w:rsid w:val="00874976"/>
    <w:rsid w:val="00875B53"/>
    <w:rsid w:val="00876DF6"/>
    <w:rsid w:val="00882175"/>
    <w:rsid w:val="008825F7"/>
    <w:rsid w:val="00882E48"/>
    <w:rsid w:val="00884EBA"/>
    <w:rsid w:val="008850E4"/>
    <w:rsid w:val="0088574E"/>
    <w:rsid w:val="008858D1"/>
    <w:rsid w:val="00885B8B"/>
    <w:rsid w:val="00886519"/>
    <w:rsid w:val="00886541"/>
    <w:rsid w:val="008875CF"/>
    <w:rsid w:val="0089312F"/>
    <w:rsid w:val="008939AB"/>
    <w:rsid w:val="0089634E"/>
    <w:rsid w:val="00896D2E"/>
    <w:rsid w:val="008A12F5"/>
    <w:rsid w:val="008A1B3F"/>
    <w:rsid w:val="008A250D"/>
    <w:rsid w:val="008A255A"/>
    <w:rsid w:val="008A26EF"/>
    <w:rsid w:val="008A3753"/>
    <w:rsid w:val="008A44B6"/>
    <w:rsid w:val="008A5324"/>
    <w:rsid w:val="008A7045"/>
    <w:rsid w:val="008B0352"/>
    <w:rsid w:val="008B1587"/>
    <w:rsid w:val="008B1658"/>
    <w:rsid w:val="008B1675"/>
    <w:rsid w:val="008B1B01"/>
    <w:rsid w:val="008B3BCD"/>
    <w:rsid w:val="008B41E9"/>
    <w:rsid w:val="008B4370"/>
    <w:rsid w:val="008B46D8"/>
    <w:rsid w:val="008B6DF8"/>
    <w:rsid w:val="008B7D91"/>
    <w:rsid w:val="008C05B1"/>
    <w:rsid w:val="008C0BEE"/>
    <w:rsid w:val="008C106C"/>
    <w:rsid w:val="008C10F1"/>
    <w:rsid w:val="008C1926"/>
    <w:rsid w:val="008C1E99"/>
    <w:rsid w:val="008C276B"/>
    <w:rsid w:val="008C2D53"/>
    <w:rsid w:val="008C44E1"/>
    <w:rsid w:val="008C51CA"/>
    <w:rsid w:val="008C55F6"/>
    <w:rsid w:val="008C59B5"/>
    <w:rsid w:val="008C73A5"/>
    <w:rsid w:val="008C76F8"/>
    <w:rsid w:val="008D2627"/>
    <w:rsid w:val="008D2E43"/>
    <w:rsid w:val="008D3CAD"/>
    <w:rsid w:val="008D3E68"/>
    <w:rsid w:val="008D5F13"/>
    <w:rsid w:val="008D63C1"/>
    <w:rsid w:val="008D7C92"/>
    <w:rsid w:val="008E0085"/>
    <w:rsid w:val="008E09D3"/>
    <w:rsid w:val="008E0DEC"/>
    <w:rsid w:val="008E1D84"/>
    <w:rsid w:val="008E2AA6"/>
    <w:rsid w:val="008E311B"/>
    <w:rsid w:val="008E3790"/>
    <w:rsid w:val="008F1653"/>
    <w:rsid w:val="008F3A64"/>
    <w:rsid w:val="008F3C45"/>
    <w:rsid w:val="008F46E7"/>
    <w:rsid w:val="008F4A51"/>
    <w:rsid w:val="008F64CA"/>
    <w:rsid w:val="008F6F0B"/>
    <w:rsid w:val="008F7E4B"/>
    <w:rsid w:val="0090081C"/>
    <w:rsid w:val="009026CA"/>
    <w:rsid w:val="00902D36"/>
    <w:rsid w:val="009034C6"/>
    <w:rsid w:val="009038EA"/>
    <w:rsid w:val="009039D6"/>
    <w:rsid w:val="00903F48"/>
    <w:rsid w:val="00904252"/>
    <w:rsid w:val="0090558D"/>
    <w:rsid w:val="00906E8B"/>
    <w:rsid w:val="00907BA7"/>
    <w:rsid w:val="0091064E"/>
    <w:rsid w:val="00911FC5"/>
    <w:rsid w:val="009126B9"/>
    <w:rsid w:val="00912BEC"/>
    <w:rsid w:val="00914A11"/>
    <w:rsid w:val="0091682E"/>
    <w:rsid w:val="00916E63"/>
    <w:rsid w:val="00917EC1"/>
    <w:rsid w:val="00920767"/>
    <w:rsid w:val="00920822"/>
    <w:rsid w:val="0092105B"/>
    <w:rsid w:val="0092170F"/>
    <w:rsid w:val="00921A26"/>
    <w:rsid w:val="00921FB7"/>
    <w:rsid w:val="00923207"/>
    <w:rsid w:val="009234CD"/>
    <w:rsid w:val="00923CEC"/>
    <w:rsid w:val="00924198"/>
    <w:rsid w:val="009252AB"/>
    <w:rsid w:val="0092568B"/>
    <w:rsid w:val="00926ED0"/>
    <w:rsid w:val="00926F31"/>
    <w:rsid w:val="00926FB4"/>
    <w:rsid w:val="009301DA"/>
    <w:rsid w:val="0093032C"/>
    <w:rsid w:val="00930706"/>
    <w:rsid w:val="00930A6F"/>
    <w:rsid w:val="00931A10"/>
    <w:rsid w:val="00931B83"/>
    <w:rsid w:val="009324F1"/>
    <w:rsid w:val="00932E39"/>
    <w:rsid w:val="00933CFE"/>
    <w:rsid w:val="00933E33"/>
    <w:rsid w:val="009364B3"/>
    <w:rsid w:val="0093661E"/>
    <w:rsid w:val="00937525"/>
    <w:rsid w:val="00937CEF"/>
    <w:rsid w:val="009402ED"/>
    <w:rsid w:val="00940462"/>
    <w:rsid w:val="009408DD"/>
    <w:rsid w:val="00940BCF"/>
    <w:rsid w:val="009419D6"/>
    <w:rsid w:val="00941E4B"/>
    <w:rsid w:val="00942F2C"/>
    <w:rsid w:val="00944EB8"/>
    <w:rsid w:val="00947347"/>
    <w:rsid w:val="00947967"/>
    <w:rsid w:val="0095021B"/>
    <w:rsid w:val="00951937"/>
    <w:rsid w:val="0095353F"/>
    <w:rsid w:val="00953553"/>
    <w:rsid w:val="00955201"/>
    <w:rsid w:val="00955FDB"/>
    <w:rsid w:val="009578B5"/>
    <w:rsid w:val="00960A50"/>
    <w:rsid w:val="00961799"/>
    <w:rsid w:val="00961A70"/>
    <w:rsid w:val="009625EA"/>
    <w:rsid w:val="00962A52"/>
    <w:rsid w:val="00964E00"/>
    <w:rsid w:val="00965200"/>
    <w:rsid w:val="009661B6"/>
    <w:rsid w:val="009668B3"/>
    <w:rsid w:val="0096733E"/>
    <w:rsid w:val="0096765F"/>
    <w:rsid w:val="00967E75"/>
    <w:rsid w:val="0097072C"/>
    <w:rsid w:val="00970DBA"/>
    <w:rsid w:val="00971471"/>
    <w:rsid w:val="00971CF8"/>
    <w:rsid w:val="00972479"/>
    <w:rsid w:val="00972908"/>
    <w:rsid w:val="00973231"/>
    <w:rsid w:val="00973DB7"/>
    <w:rsid w:val="00974742"/>
    <w:rsid w:val="00975BD9"/>
    <w:rsid w:val="0097659F"/>
    <w:rsid w:val="00976D6A"/>
    <w:rsid w:val="00977CE0"/>
    <w:rsid w:val="009803E9"/>
    <w:rsid w:val="00980CBA"/>
    <w:rsid w:val="009811FA"/>
    <w:rsid w:val="00981B20"/>
    <w:rsid w:val="00983DD1"/>
    <w:rsid w:val="009849C2"/>
    <w:rsid w:val="00984D24"/>
    <w:rsid w:val="009858EB"/>
    <w:rsid w:val="0098631A"/>
    <w:rsid w:val="009869CC"/>
    <w:rsid w:val="00990D42"/>
    <w:rsid w:val="00991833"/>
    <w:rsid w:val="00991F6C"/>
    <w:rsid w:val="009923B0"/>
    <w:rsid w:val="00992D72"/>
    <w:rsid w:val="00994DBD"/>
    <w:rsid w:val="00995BF7"/>
    <w:rsid w:val="009960E6"/>
    <w:rsid w:val="00996E5C"/>
    <w:rsid w:val="00996EE6"/>
    <w:rsid w:val="009A01B0"/>
    <w:rsid w:val="009A2406"/>
    <w:rsid w:val="009A2842"/>
    <w:rsid w:val="009A3D59"/>
    <w:rsid w:val="009A3F47"/>
    <w:rsid w:val="009A4A74"/>
    <w:rsid w:val="009A51C8"/>
    <w:rsid w:val="009A60D6"/>
    <w:rsid w:val="009A77A9"/>
    <w:rsid w:val="009B0046"/>
    <w:rsid w:val="009B0549"/>
    <w:rsid w:val="009B214C"/>
    <w:rsid w:val="009B316F"/>
    <w:rsid w:val="009B4A4D"/>
    <w:rsid w:val="009B4C91"/>
    <w:rsid w:val="009B588A"/>
    <w:rsid w:val="009B6E94"/>
    <w:rsid w:val="009C1440"/>
    <w:rsid w:val="009C1458"/>
    <w:rsid w:val="009C2107"/>
    <w:rsid w:val="009C570E"/>
    <w:rsid w:val="009C5D9E"/>
    <w:rsid w:val="009D2308"/>
    <w:rsid w:val="009D2A1C"/>
    <w:rsid w:val="009D2C3E"/>
    <w:rsid w:val="009D52F8"/>
    <w:rsid w:val="009D63A3"/>
    <w:rsid w:val="009E028E"/>
    <w:rsid w:val="009E0625"/>
    <w:rsid w:val="009E110D"/>
    <w:rsid w:val="009E28F3"/>
    <w:rsid w:val="009E2D84"/>
    <w:rsid w:val="009E3034"/>
    <w:rsid w:val="009E330B"/>
    <w:rsid w:val="009E46A6"/>
    <w:rsid w:val="009E48A5"/>
    <w:rsid w:val="009E549F"/>
    <w:rsid w:val="009E6040"/>
    <w:rsid w:val="009E749C"/>
    <w:rsid w:val="009E775E"/>
    <w:rsid w:val="009F0D8C"/>
    <w:rsid w:val="009F1641"/>
    <w:rsid w:val="009F20C5"/>
    <w:rsid w:val="009F235B"/>
    <w:rsid w:val="009F28A8"/>
    <w:rsid w:val="009F3F94"/>
    <w:rsid w:val="009F473E"/>
    <w:rsid w:val="009F4D3D"/>
    <w:rsid w:val="009F5247"/>
    <w:rsid w:val="009F52DA"/>
    <w:rsid w:val="009F5436"/>
    <w:rsid w:val="009F5A4C"/>
    <w:rsid w:val="009F6218"/>
    <w:rsid w:val="009F666B"/>
    <w:rsid w:val="009F681A"/>
    <w:rsid w:val="009F682A"/>
    <w:rsid w:val="00A0038A"/>
    <w:rsid w:val="00A00DC8"/>
    <w:rsid w:val="00A022BE"/>
    <w:rsid w:val="00A03A8C"/>
    <w:rsid w:val="00A058B2"/>
    <w:rsid w:val="00A0690F"/>
    <w:rsid w:val="00A06CCF"/>
    <w:rsid w:val="00A07B4B"/>
    <w:rsid w:val="00A10D49"/>
    <w:rsid w:val="00A1101A"/>
    <w:rsid w:val="00A118BD"/>
    <w:rsid w:val="00A13C12"/>
    <w:rsid w:val="00A15924"/>
    <w:rsid w:val="00A17B57"/>
    <w:rsid w:val="00A20544"/>
    <w:rsid w:val="00A23156"/>
    <w:rsid w:val="00A24C95"/>
    <w:rsid w:val="00A2599A"/>
    <w:rsid w:val="00A26094"/>
    <w:rsid w:val="00A2672A"/>
    <w:rsid w:val="00A27A60"/>
    <w:rsid w:val="00A27FB8"/>
    <w:rsid w:val="00A301BF"/>
    <w:rsid w:val="00A302B2"/>
    <w:rsid w:val="00A309AB"/>
    <w:rsid w:val="00A31BE8"/>
    <w:rsid w:val="00A31CD4"/>
    <w:rsid w:val="00A32A4B"/>
    <w:rsid w:val="00A331B4"/>
    <w:rsid w:val="00A3412C"/>
    <w:rsid w:val="00A34486"/>
    <w:rsid w:val="00A3472D"/>
    <w:rsid w:val="00A3484E"/>
    <w:rsid w:val="00A356D3"/>
    <w:rsid w:val="00A367C3"/>
    <w:rsid w:val="00A36AA2"/>
    <w:rsid w:val="00A36ADA"/>
    <w:rsid w:val="00A3707C"/>
    <w:rsid w:val="00A37C4D"/>
    <w:rsid w:val="00A40481"/>
    <w:rsid w:val="00A40A65"/>
    <w:rsid w:val="00A4335D"/>
    <w:rsid w:val="00A438D8"/>
    <w:rsid w:val="00A44D2A"/>
    <w:rsid w:val="00A4549C"/>
    <w:rsid w:val="00A4580D"/>
    <w:rsid w:val="00A462ED"/>
    <w:rsid w:val="00A47115"/>
    <w:rsid w:val="00A473F5"/>
    <w:rsid w:val="00A47786"/>
    <w:rsid w:val="00A47ACD"/>
    <w:rsid w:val="00A50EE4"/>
    <w:rsid w:val="00A51F9D"/>
    <w:rsid w:val="00A53214"/>
    <w:rsid w:val="00A5416A"/>
    <w:rsid w:val="00A54A2B"/>
    <w:rsid w:val="00A55498"/>
    <w:rsid w:val="00A55A1B"/>
    <w:rsid w:val="00A56E2A"/>
    <w:rsid w:val="00A61B45"/>
    <w:rsid w:val="00A61C92"/>
    <w:rsid w:val="00A626CA"/>
    <w:rsid w:val="00A62F42"/>
    <w:rsid w:val="00A633C1"/>
    <w:rsid w:val="00A637E3"/>
    <w:rsid w:val="00A639F4"/>
    <w:rsid w:val="00A64FD0"/>
    <w:rsid w:val="00A65363"/>
    <w:rsid w:val="00A65541"/>
    <w:rsid w:val="00A65864"/>
    <w:rsid w:val="00A65FAE"/>
    <w:rsid w:val="00A66250"/>
    <w:rsid w:val="00A7077E"/>
    <w:rsid w:val="00A7093F"/>
    <w:rsid w:val="00A7142F"/>
    <w:rsid w:val="00A736C7"/>
    <w:rsid w:val="00A73974"/>
    <w:rsid w:val="00A74FB7"/>
    <w:rsid w:val="00A756A7"/>
    <w:rsid w:val="00A75A5B"/>
    <w:rsid w:val="00A7653C"/>
    <w:rsid w:val="00A77600"/>
    <w:rsid w:val="00A80D6F"/>
    <w:rsid w:val="00A81A32"/>
    <w:rsid w:val="00A835BD"/>
    <w:rsid w:val="00A8383A"/>
    <w:rsid w:val="00A84329"/>
    <w:rsid w:val="00A84F99"/>
    <w:rsid w:val="00A90136"/>
    <w:rsid w:val="00A919BF"/>
    <w:rsid w:val="00A92230"/>
    <w:rsid w:val="00A93EF1"/>
    <w:rsid w:val="00A944B0"/>
    <w:rsid w:val="00A95585"/>
    <w:rsid w:val="00A978E2"/>
    <w:rsid w:val="00A97B15"/>
    <w:rsid w:val="00AA0D6E"/>
    <w:rsid w:val="00AA1BE5"/>
    <w:rsid w:val="00AA1C0E"/>
    <w:rsid w:val="00AA28A8"/>
    <w:rsid w:val="00AA3611"/>
    <w:rsid w:val="00AA42D5"/>
    <w:rsid w:val="00AA788C"/>
    <w:rsid w:val="00AB0633"/>
    <w:rsid w:val="00AB0B4B"/>
    <w:rsid w:val="00AB16F0"/>
    <w:rsid w:val="00AB1A07"/>
    <w:rsid w:val="00AB2B7A"/>
    <w:rsid w:val="00AB2FAB"/>
    <w:rsid w:val="00AB32BF"/>
    <w:rsid w:val="00AB3941"/>
    <w:rsid w:val="00AB5013"/>
    <w:rsid w:val="00AB5C14"/>
    <w:rsid w:val="00AC1EE7"/>
    <w:rsid w:val="00AC206E"/>
    <w:rsid w:val="00AC2EF5"/>
    <w:rsid w:val="00AC333F"/>
    <w:rsid w:val="00AC3563"/>
    <w:rsid w:val="00AC4A11"/>
    <w:rsid w:val="00AC585C"/>
    <w:rsid w:val="00AC5AB3"/>
    <w:rsid w:val="00AC5E92"/>
    <w:rsid w:val="00AC6CDF"/>
    <w:rsid w:val="00AC7584"/>
    <w:rsid w:val="00AD055E"/>
    <w:rsid w:val="00AD0E41"/>
    <w:rsid w:val="00AD1925"/>
    <w:rsid w:val="00AD44CE"/>
    <w:rsid w:val="00AD4599"/>
    <w:rsid w:val="00AD4CDC"/>
    <w:rsid w:val="00AD57AA"/>
    <w:rsid w:val="00AD5E1C"/>
    <w:rsid w:val="00AD7083"/>
    <w:rsid w:val="00AE067D"/>
    <w:rsid w:val="00AE0710"/>
    <w:rsid w:val="00AE127E"/>
    <w:rsid w:val="00AE4A6B"/>
    <w:rsid w:val="00AF0B06"/>
    <w:rsid w:val="00AF0E16"/>
    <w:rsid w:val="00AF1162"/>
    <w:rsid w:val="00AF1181"/>
    <w:rsid w:val="00AF17A8"/>
    <w:rsid w:val="00AF2614"/>
    <w:rsid w:val="00AF2F79"/>
    <w:rsid w:val="00AF4653"/>
    <w:rsid w:val="00AF56DE"/>
    <w:rsid w:val="00AF613E"/>
    <w:rsid w:val="00AF651E"/>
    <w:rsid w:val="00AF6E72"/>
    <w:rsid w:val="00AF7465"/>
    <w:rsid w:val="00AF7778"/>
    <w:rsid w:val="00AF7DB7"/>
    <w:rsid w:val="00B0157B"/>
    <w:rsid w:val="00B10AF8"/>
    <w:rsid w:val="00B10D02"/>
    <w:rsid w:val="00B1102A"/>
    <w:rsid w:val="00B11A96"/>
    <w:rsid w:val="00B11F1B"/>
    <w:rsid w:val="00B12178"/>
    <w:rsid w:val="00B12776"/>
    <w:rsid w:val="00B12C05"/>
    <w:rsid w:val="00B1347F"/>
    <w:rsid w:val="00B14896"/>
    <w:rsid w:val="00B14C53"/>
    <w:rsid w:val="00B15156"/>
    <w:rsid w:val="00B15186"/>
    <w:rsid w:val="00B152C8"/>
    <w:rsid w:val="00B16335"/>
    <w:rsid w:val="00B173A6"/>
    <w:rsid w:val="00B201E2"/>
    <w:rsid w:val="00B21673"/>
    <w:rsid w:val="00B21C28"/>
    <w:rsid w:val="00B2275B"/>
    <w:rsid w:val="00B22A50"/>
    <w:rsid w:val="00B233DE"/>
    <w:rsid w:val="00B23B6D"/>
    <w:rsid w:val="00B24280"/>
    <w:rsid w:val="00B24A10"/>
    <w:rsid w:val="00B24DED"/>
    <w:rsid w:val="00B24E8B"/>
    <w:rsid w:val="00B27403"/>
    <w:rsid w:val="00B30A7D"/>
    <w:rsid w:val="00B32661"/>
    <w:rsid w:val="00B32E1F"/>
    <w:rsid w:val="00B34918"/>
    <w:rsid w:val="00B34B6F"/>
    <w:rsid w:val="00B36FD8"/>
    <w:rsid w:val="00B37E45"/>
    <w:rsid w:val="00B43884"/>
    <w:rsid w:val="00B440CC"/>
    <w:rsid w:val="00B443E4"/>
    <w:rsid w:val="00B44BFD"/>
    <w:rsid w:val="00B47265"/>
    <w:rsid w:val="00B47650"/>
    <w:rsid w:val="00B50ECE"/>
    <w:rsid w:val="00B51463"/>
    <w:rsid w:val="00B52F3B"/>
    <w:rsid w:val="00B54292"/>
    <w:rsid w:val="00B5484D"/>
    <w:rsid w:val="00B55C10"/>
    <w:rsid w:val="00B55FF7"/>
    <w:rsid w:val="00B563EA"/>
    <w:rsid w:val="00B56A02"/>
    <w:rsid w:val="00B56CDF"/>
    <w:rsid w:val="00B60E51"/>
    <w:rsid w:val="00B6146A"/>
    <w:rsid w:val="00B61ECF"/>
    <w:rsid w:val="00B6311E"/>
    <w:rsid w:val="00B637BC"/>
    <w:rsid w:val="00B63A54"/>
    <w:rsid w:val="00B65652"/>
    <w:rsid w:val="00B6671E"/>
    <w:rsid w:val="00B7035B"/>
    <w:rsid w:val="00B71969"/>
    <w:rsid w:val="00B71BEB"/>
    <w:rsid w:val="00B72349"/>
    <w:rsid w:val="00B73158"/>
    <w:rsid w:val="00B73535"/>
    <w:rsid w:val="00B74B1E"/>
    <w:rsid w:val="00B757E0"/>
    <w:rsid w:val="00B75D0D"/>
    <w:rsid w:val="00B77D18"/>
    <w:rsid w:val="00B8116C"/>
    <w:rsid w:val="00B82F20"/>
    <w:rsid w:val="00B8313A"/>
    <w:rsid w:val="00B858E5"/>
    <w:rsid w:val="00B85B3B"/>
    <w:rsid w:val="00B90337"/>
    <w:rsid w:val="00B90FF4"/>
    <w:rsid w:val="00B91D8F"/>
    <w:rsid w:val="00B92710"/>
    <w:rsid w:val="00B9296D"/>
    <w:rsid w:val="00B92C88"/>
    <w:rsid w:val="00B93503"/>
    <w:rsid w:val="00B9389C"/>
    <w:rsid w:val="00B93D69"/>
    <w:rsid w:val="00B9690A"/>
    <w:rsid w:val="00B9754E"/>
    <w:rsid w:val="00BA1EF0"/>
    <w:rsid w:val="00BA31E8"/>
    <w:rsid w:val="00BA532D"/>
    <w:rsid w:val="00BA554F"/>
    <w:rsid w:val="00BA55E0"/>
    <w:rsid w:val="00BA6BD4"/>
    <w:rsid w:val="00BA6C7A"/>
    <w:rsid w:val="00BA79ED"/>
    <w:rsid w:val="00BB080D"/>
    <w:rsid w:val="00BB17D1"/>
    <w:rsid w:val="00BB197B"/>
    <w:rsid w:val="00BB1984"/>
    <w:rsid w:val="00BB2B58"/>
    <w:rsid w:val="00BB317B"/>
    <w:rsid w:val="00BB3752"/>
    <w:rsid w:val="00BB3C99"/>
    <w:rsid w:val="00BB499A"/>
    <w:rsid w:val="00BB5987"/>
    <w:rsid w:val="00BB6028"/>
    <w:rsid w:val="00BB6688"/>
    <w:rsid w:val="00BC0555"/>
    <w:rsid w:val="00BC09AC"/>
    <w:rsid w:val="00BC0D87"/>
    <w:rsid w:val="00BC2684"/>
    <w:rsid w:val="00BC26D4"/>
    <w:rsid w:val="00BC2EEF"/>
    <w:rsid w:val="00BC378F"/>
    <w:rsid w:val="00BC4025"/>
    <w:rsid w:val="00BC5788"/>
    <w:rsid w:val="00BC5F42"/>
    <w:rsid w:val="00BC6A39"/>
    <w:rsid w:val="00BC73D6"/>
    <w:rsid w:val="00BD019B"/>
    <w:rsid w:val="00BD167D"/>
    <w:rsid w:val="00BD1775"/>
    <w:rsid w:val="00BD3660"/>
    <w:rsid w:val="00BD3D9B"/>
    <w:rsid w:val="00BD5A5C"/>
    <w:rsid w:val="00BD617D"/>
    <w:rsid w:val="00BD7D94"/>
    <w:rsid w:val="00BE0C80"/>
    <w:rsid w:val="00BE2041"/>
    <w:rsid w:val="00BE3032"/>
    <w:rsid w:val="00BE4A18"/>
    <w:rsid w:val="00BE4FFB"/>
    <w:rsid w:val="00BE5633"/>
    <w:rsid w:val="00BE72FD"/>
    <w:rsid w:val="00BE7932"/>
    <w:rsid w:val="00BF0406"/>
    <w:rsid w:val="00BF097D"/>
    <w:rsid w:val="00BF11D0"/>
    <w:rsid w:val="00BF2A42"/>
    <w:rsid w:val="00BF2B9A"/>
    <w:rsid w:val="00BF3137"/>
    <w:rsid w:val="00BF4604"/>
    <w:rsid w:val="00BF565D"/>
    <w:rsid w:val="00BF7018"/>
    <w:rsid w:val="00BF70B9"/>
    <w:rsid w:val="00C00B09"/>
    <w:rsid w:val="00C00E56"/>
    <w:rsid w:val="00C02548"/>
    <w:rsid w:val="00C02CC5"/>
    <w:rsid w:val="00C03D8C"/>
    <w:rsid w:val="00C055EC"/>
    <w:rsid w:val="00C10183"/>
    <w:rsid w:val="00C10DC9"/>
    <w:rsid w:val="00C12140"/>
    <w:rsid w:val="00C12FB3"/>
    <w:rsid w:val="00C16891"/>
    <w:rsid w:val="00C16B40"/>
    <w:rsid w:val="00C17341"/>
    <w:rsid w:val="00C21518"/>
    <w:rsid w:val="00C2247A"/>
    <w:rsid w:val="00C22500"/>
    <w:rsid w:val="00C2388A"/>
    <w:rsid w:val="00C2456B"/>
    <w:rsid w:val="00C24EEF"/>
    <w:rsid w:val="00C255DA"/>
    <w:rsid w:val="00C25CF6"/>
    <w:rsid w:val="00C26C36"/>
    <w:rsid w:val="00C30FC5"/>
    <w:rsid w:val="00C311B9"/>
    <w:rsid w:val="00C31438"/>
    <w:rsid w:val="00C32768"/>
    <w:rsid w:val="00C35A45"/>
    <w:rsid w:val="00C36A9A"/>
    <w:rsid w:val="00C3749C"/>
    <w:rsid w:val="00C37FD2"/>
    <w:rsid w:val="00C404E5"/>
    <w:rsid w:val="00C40A07"/>
    <w:rsid w:val="00C41A1E"/>
    <w:rsid w:val="00C41E48"/>
    <w:rsid w:val="00C431DF"/>
    <w:rsid w:val="00C43B96"/>
    <w:rsid w:val="00C456BD"/>
    <w:rsid w:val="00C460B3"/>
    <w:rsid w:val="00C46D1C"/>
    <w:rsid w:val="00C508EC"/>
    <w:rsid w:val="00C51794"/>
    <w:rsid w:val="00C51B1D"/>
    <w:rsid w:val="00C521F0"/>
    <w:rsid w:val="00C528BD"/>
    <w:rsid w:val="00C530DC"/>
    <w:rsid w:val="00C5350D"/>
    <w:rsid w:val="00C550DC"/>
    <w:rsid w:val="00C555F6"/>
    <w:rsid w:val="00C55C5D"/>
    <w:rsid w:val="00C6123C"/>
    <w:rsid w:val="00C6311A"/>
    <w:rsid w:val="00C64E72"/>
    <w:rsid w:val="00C65557"/>
    <w:rsid w:val="00C65720"/>
    <w:rsid w:val="00C66C8D"/>
    <w:rsid w:val="00C67284"/>
    <w:rsid w:val="00C70369"/>
    <w:rsid w:val="00C7084D"/>
    <w:rsid w:val="00C7315E"/>
    <w:rsid w:val="00C73AE4"/>
    <w:rsid w:val="00C74F4F"/>
    <w:rsid w:val="00C75895"/>
    <w:rsid w:val="00C76814"/>
    <w:rsid w:val="00C774C1"/>
    <w:rsid w:val="00C8050F"/>
    <w:rsid w:val="00C8077A"/>
    <w:rsid w:val="00C83C9F"/>
    <w:rsid w:val="00C84E4D"/>
    <w:rsid w:val="00C859B3"/>
    <w:rsid w:val="00C86AE9"/>
    <w:rsid w:val="00C876B4"/>
    <w:rsid w:val="00C90468"/>
    <w:rsid w:val="00C91818"/>
    <w:rsid w:val="00C92512"/>
    <w:rsid w:val="00C92DC3"/>
    <w:rsid w:val="00C94840"/>
    <w:rsid w:val="00C95CA5"/>
    <w:rsid w:val="00C97595"/>
    <w:rsid w:val="00C9784B"/>
    <w:rsid w:val="00C9792E"/>
    <w:rsid w:val="00C97E9D"/>
    <w:rsid w:val="00CA0F54"/>
    <w:rsid w:val="00CA1C35"/>
    <w:rsid w:val="00CA4EE3"/>
    <w:rsid w:val="00CB027F"/>
    <w:rsid w:val="00CB111F"/>
    <w:rsid w:val="00CB27D1"/>
    <w:rsid w:val="00CB3854"/>
    <w:rsid w:val="00CB3CC9"/>
    <w:rsid w:val="00CB45AB"/>
    <w:rsid w:val="00CB48F3"/>
    <w:rsid w:val="00CB6025"/>
    <w:rsid w:val="00CC05D8"/>
    <w:rsid w:val="00CC0EBB"/>
    <w:rsid w:val="00CC1532"/>
    <w:rsid w:val="00CC2948"/>
    <w:rsid w:val="00CC2AB1"/>
    <w:rsid w:val="00CC301A"/>
    <w:rsid w:val="00CC5061"/>
    <w:rsid w:val="00CC5E39"/>
    <w:rsid w:val="00CC6297"/>
    <w:rsid w:val="00CC6564"/>
    <w:rsid w:val="00CC6773"/>
    <w:rsid w:val="00CC7690"/>
    <w:rsid w:val="00CC7D61"/>
    <w:rsid w:val="00CD1041"/>
    <w:rsid w:val="00CD1986"/>
    <w:rsid w:val="00CD3C58"/>
    <w:rsid w:val="00CD4F5B"/>
    <w:rsid w:val="00CD54BF"/>
    <w:rsid w:val="00CD7506"/>
    <w:rsid w:val="00CE001E"/>
    <w:rsid w:val="00CE03F5"/>
    <w:rsid w:val="00CE09F7"/>
    <w:rsid w:val="00CE14B9"/>
    <w:rsid w:val="00CE2D27"/>
    <w:rsid w:val="00CE34EC"/>
    <w:rsid w:val="00CE4172"/>
    <w:rsid w:val="00CE4489"/>
    <w:rsid w:val="00CE4D5C"/>
    <w:rsid w:val="00CE50EE"/>
    <w:rsid w:val="00CE6FBA"/>
    <w:rsid w:val="00CE7A5E"/>
    <w:rsid w:val="00CF05DA"/>
    <w:rsid w:val="00CF0B05"/>
    <w:rsid w:val="00CF0F6E"/>
    <w:rsid w:val="00CF1AA9"/>
    <w:rsid w:val="00CF2379"/>
    <w:rsid w:val="00CF3ADE"/>
    <w:rsid w:val="00CF3C55"/>
    <w:rsid w:val="00CF3E03"/>
    <w:rsid w:val="00CF4252"/>
    <w:rsid w:val="00CF58EB"/>
    <w:rsid w:val="00CF6FEC"/>
    <w:rsid w:val="00D0106E"/>
    <w:rsid w:val="00D02AD8"/>
    <w:rsid w:val="00D04375"/>
    <w:rsid w:val="00D06043"/>
    <w:rsid w:val="00D06383"/>
    <w:rsid w:val="00D06A60"/>
    <w:rsid w:val="00D06BE2"/>
    <w:rsid w:val="00D07C00"/>
    <w:rsid w:val="00D10B19"/>
    <w:rsid w:val="00D10C25"/>
    <w:rsid w:val="00D111AC"/>
    <w:rsid w:val="00D11E04"/>
    <w:rsid w:val="00D13FC6"/>
    <w:rsid w:val="00D144B0"/>
    <w:rsid w:val="00D1615A"/>
    <w:rsid w:val="00D16822"/>
    <w:rsid w:val="00D17F39"/>
    <w:rsid w:val="00D20E85"/>
    <w:rsid w:val="00D21282"/>
    <w:rsid w:val="00D216B8"/>
    <w:rsid w:val="00D23EB9"/>
    <w:rsid w:val="00D24615"/>
    <w:rsid w:val="00D24894"/>
    <w:rsid w:val="00D24A92"/>
    <w:rsid w:val="00D259A7"/>
    <w:rsid w:val="00D2627D"/>
    <w:rsid w:val="00D271EF"/>
    <w:rsid w:val="00D27EB2"/>
    <w:rsid w:val="00D3115A"/>
    <w:rsid w:val="00D3146A"/>
    <w:rsid w:val="00D3698D"/>
    <w:rsid w:val="00D36C7A"/>
    <w:rsid w:val="00D37842"/>
    <w:rsid w:val="00D40792"/>
    <w:rsid w:val="00D42312"/>
    <w:rsid w:val="00D4294B"/>
    <w:rsid w:val="00D42DC2"/>
    <w:rsid w:val="00D4302B"/>
    <w:rsid w:val="00D432D3"/>
    <w:rsid w:val="00D43C70"/>
    <w:rsid w:val="00D453D0"/>
    <w:rsid w:val="00D5026B"/>
    <w:rsid w:val="00D537E1"/>
    <w:rsid w:val="00D5470F"/>
    <w:rsid w:val="00D55BB2"/>
    <w:rsid w:val="00D566C1"/>
    <w:rsid w:val="00D56AF5"/>
    <w:rsid w:val="00D57881"/>
    <w:rsid w:val="00D60083"/>
    <w:rsid w:val="00D600A2"/>
    <w:rsid w:val="00D6091A"/>
    <w:rsid w:val="00D60E9D"/>
    <w:rsid w:val="00D6111A"/>
    <w:rsid w:val="00D61BF8"/>
    <w:rsid w:val="00D6390A"/>
    <w:rsid w:val="00D6605A"/>
    <w:rsid w:val="00D66568"/>
    <w:rsid w:val="00D6695F"/>
    <w:rsid w:val="00D6762D"/>
    <w:rsid w:val="00D67CEB"/>
    <w:rsid w:val="00D7016C"/>
    <w:rsid w:val="00D703E4"/>
    <w:rsid w:val="00D747EE"/>
    <w:rsid w:val="00D75644"/>
    <w:rsid w:val="00D75D10"/>
    <w:rsid w:val="00D7641C"/>
    <w:rsid w:val="00D76857"/>
    <w:rsid w:val="00D7707E"/>
    <w:rsid w:val="00D773AD"/>
    <w:rsid w:val="00D779D1"/>
    <w:rsid w:val="00D8037D"/>
    <w:rsid w:val="00D813BF"/>
    <w:rsid w:val="00D815F4"/>
    <w:rsid w:val="00D81656"/>
    <w:rsid w:val="00D83D87"/>
    <w:rsid w:val="00D84A6D"/>
    <w:rsid w:val="00D84CD1"/>
    <w:rsid w:val="00D86A30"/>
    <w:rsid w:val="00D87D23"/>
    <w:rsid w:val="00D90CEC"/>
    <w:rsid w:val="00D9150D"/>
    <w:rsid w:val="00D93189"/>
    <w:rsid w:val="00D93697"/>
    <w:rsid w:val="00D9423D"/>
    <w:rsid w:val="00D949C0"/>
    <w:rsid w:val="00D957A0"/>
    <w:rsid w:val="00D97CB4"/>
    <w:rsid w:val="00D97DD4"/>
    <w:rsid w:val="00DA13DB"/>
    <w:rsid w:val="00DA17DC"/>
    <w:rsid w:val="00DA4031"/>
    <w:rsid w:val="00DA4320"/>
    <w:rsid w:val="00DA46B3"/>
    <w:rsid w:val="00DA498F"/>
    <w:rsid w:val="00DA5A63"/>
    <w:rsid w:val="00DA5A8A"/>
    <w:rsid w:val="00DA614E"/>
    <w:rsid w:val="00DA7D74"/>
    <w:rsid w:val="00DB1170"/>
    <w:rsid w:val="00DB132C"/>
    <w:rsid w:val="00DB159C"/>
    <w:rsid w:val="00DB26CD"/>
    <w:rsid w:val="00DB3E07"/>
    <w:rsid w:val="00DB441C"/>
    <w:rsid w:val="00DB44AF"/>
    <w:rsid w:val="00DB4E76"/>
    <w:rsid w:val="00DB5816"/>
    <w:rsid w:val="00DB5A83"/>
    <w:rsid w:val="00DB64E2"/>
    <w:rsid w:val="00DC039C"/>
    <w:rsid w:val="00DC091C"/>
    <w:rsid w:val="00DC0A65"/>
    <w:rsid w:val="00DC1E75"/>
    <w:rsid w:val="00DC1F58"/>
    <w:rsid w:val="00DC329D"/>
    <w:rsid w:val="00DC339B"/>
    <w:rsid w:val="00DC543A"/>
    <w:rsid w:val="00DC5714"/>
    <w:rsid w:val="00DC5D40"/>
    <w:rsid w:val="00DC5FF2"/>
    <w:rsid w:val="00DC69A7"/>
    <w:rsid w:val="00DC79FA"/>
    <w:rsid w:val="00DD008A"/>
    <w:rsid w:val="00DD19E5"/>
    <w:rsid w:val="00DD22FD"/>
    <w:rsid w:val="00DD25ED"/>
    <w:rsid w:val="00DD30E9"/>
    <w:rsid w:val="00DD34FB"/>
    <w:rsid w:val="00DD44E8"/>
    <w:rsid w:val="00DD4EFB"/>
    <w:rsid w:val="00DD4F47"/>
    <w:rsid w:val="00DD4FCA"/>
    <w:rsid w:val="00DD57F6"/>
    <w:rsid w:val="00DD5ADD"/>
    <w:rsid w:val="00DD674B"/>
    <w:rsid w:val="00DD68F4"/>
    <w:rsid w:val="00DD7FBB"/>
    <w:rsid w:val="00DE01EA"/>
    <w:rsid w:val="00DE0B9F"/>
    <w:rsid w:val="00DE1913"/>
    <w:rsid w:val="00DE2320"/>
    <w:rsid w:val="00DE23E7"/>
    <w:rsid w:val="00DE2A9E"/>
    <w:rsid w:val="00DE2AC1"/>
    <w:rsid w:val="00DE3E8F"/>
    <w:rsid w:val="00DE4238"/>
    <w:rsid w:val="00DE4418"/>
    <w:rsid w:val="00DE4B9F"/>
    <w:rsid w:val="00DE4DC0"/>
    <w:rsid w:val="00DE587C"/>
    <w:rsid w:val="00DE657F"/>
    <w:rsid w:val="00DE66A4"/>
    <w:rsid w:val="00DE6BA2"/>
    <w:rsid w:val="00DE712F"/>
    <w:rsid w:val="00DE72D9"/>
    <w:rsid w:val="00DF0EFD"/>
    <w:rsid w:val="00DF1218"/>
    <w:rsid w:val="00DF2553"/>
    <w:rsid w:val="00DF4447"/>
    <w:rsid w:val="00DF521E"/>
    <w:rsid w:val="00DF5556"/>
    <w:rsid w:val="00DF57B4"/>
    <w:rsid w:val="00DF5A5D"/>
    <w:rsid w:val="00DF641A"/>
    <w:rsid w:val="00DF6462"/>
    <w:rsid w:val="00DF672B"/>
    <w:rsid w:val="00DF68ED"/>
    <w:rsid w:val="00DF7698"/>
    <w:rsid w:val="00DF76EE"/>
    <w:rsid w:val="00E015B8"/>
    <w:rsid w:val="00E01A6F"/>
    <w:rsid w:val="00E01CB8"/>
    <w:rsid w:val="00E02E86"/>
    <w:rsid w:val="00E02FA0"/>
    <w:rsid w:val="00E036DC"/>
    <w:rsid w:val="00E048DA"/>
    <w:rsid w:val="00E06536"/>
    <w:rsid w:val="00E06884"/>
    <w:rsid w:val="00E07BC3"/>
    <w:rsid w:val="00E10454"/>
    <w:rsid w:val="00E112E5"/>
    <w:rsid w:val="00E11630"/>
    <w:rsid w:val="00E11D11"/>
    <w:rsid w:val="00E11F9D"/>
    <w:rsid w:val="00E122D8"/>
    <w:rsid w:val="00E126D7"/>
    <w:rsid w:val="00E12CC8"/>
    <w:rsid w:val="00E1302F"/>
    <w:rsid w:val="00E13084"/>
    <w:rsid w:val="00E14035"/>
    <w:rsid w:val="00E15352"/>
    <w:rsid w:val="00E16222"/>
    <w:rsid w:val="00E163E2"/>
    <w:rsid w:val="00E21B2F"/>
    <w:rsid w:val="00E21CC7"/>
    <w:rsid w:val="00E2351E"/>
    <w:rsid w:val="00E24D9E"/>
    <w:rsid w:val="00E25849"/>
    <w:rsid w:val="00E25F3C"/>
    <w:rsid w:val="00E262F3"/>
    <w:rsid w:val="00E265E4"/>
    <w:rsid w:val="00E2799A"/>
    <w:rsid w:val="00E31854"/>
    <w:rsid w:val="00E3197E"/>
    <w:rsid w:val="00E320C1"/>
    <w:rsid w:val="00E32269"/>
    <w:rsid w:val="00E32995"/>
    <w:rsid w:val="00E3368F"/>
    <w:rsid w:val="00E3392D"/>
    <w:rsid w:val="00E342F8"/>
    <w:rsid w:val="00E351ED"/>
    <w:rsid w:val="00E40521"/>
    <w:rsid w:val="00E40C39"/>
    <w:rsid w:val="00E41056"/>
    <w:rsid w:val="00E41D18"/>
    <w:rsid w:val="00E42B19"/>
    <w:rsid w:val="00E443B9"/>
    <w:rsid w:val="00E473F3"/>
    <w:rsid w:val="00E50464"/>
    <w:rsid w:val="00E50E0A"/>
    <w:rsid w:val="00E5181D"/>
    <w:rsid w:val="00E52C9D"/>
    <w:rsid w:val="00E547EF"/>
    <w:rsid w:val="00E556B2"/>
    <w:rsid w:val="00E55FD6"/>
    <w:rsid w:val="00E560BF"/>
    <w:rsid w:val="00E56676"/>
    <w:rsid w:val="00E60092"/>
    <w:rsid w:val="00E6034B"/>
    <w:rsid w:val="00E60818"/>
    <w:rsid w:val="00E61510"/>
    <w:rsid w:val="00E62B76"/>
    <w:rsid w:val="00E648DD"/>
    <w:rsid w:val="00E64929"/>
    <w:rsid w:val="00E6549E"/>
    <w:rsid w:val="00E65EDE"/>
    <w:rsid w:val="00E66AE2"/>
    <w:rsid w:val="00E66C5F"/>
    <w:rsid w:val="00E7047C"/>
    <w:rsid w:val="00E70F81"/>
    <w:rsid w:val="00E71349"/>
    <w:rsid w:val="00E7201A"/>
    <w:rsid w:val="00E728C5"/>
    <w:rsid w:val="00E731BA"/>
    <w:rsid w:val="00E7380C"/>
    <w:rsid w:val="00E73BBB"/>
    <w:rsid w:val="00E74F14"/>
    <w:rsid w:val="00E75A1B"/>
    <w:rsid w:val="00E76085"/>
    <w:rsid w:val="00E77055"/>
    <w:rsid w:val="00E77460"/>
    <w:rsid w:val="00E77506"/>
    <w:rsid w:val="00E7755B"/>
    <w:rsid w:val="00E80008"/>
    <w:rsid w:val="00E805C7"/>
    <w:rsid w:val="00E827D3"/>
    <w:rsid w:val="00E83ABC"/>
    <w:rsid w:val="00E844F2"/>
    <w:rsid w:val="00E86E92"/>
    <w:rsid w:val="00E879CF"/>
    <w:rsid w:val="00E90AD0"/>
    <w:rsid w:val="00E924B2"/>
    <w:rsid w:val="00E92FCB"/>
    <w:rsid w:val="00E95023"/>
    <w:rsid w:val="00E962F5"/>
    <w:rsid w:val="00E966F7"/>
    <w:rsid w:val="00E9703F"/>
    <w:rsid w:val="00E9720D"/>
    <w:rsid w:val="00E97F7C"/>
    <w:rsid w:val="00EA147F"/>
    <w:rsid w:val="00EA1863"/>
    <w:rsid w:val="00EA2191"/>
    <w:rsid w:val="00EA2E38"/>
    <w:rsid w:val="00EA3597"/>
    <w:rsid w:val="00EA3888"/>
    <w:rsid w:val="00EA4A27"/>
    <w:rsid w:val="00EA4FA6"/>
    <w:rsid w:val="00EA5658"/>
    <w:rsid w:val="00EA61BE"/>
    <w:rsid w:val="00EA664D"/>
    <w:rsid w:val="00EA7B8C"/>
    <w:rsid w:val="00EB024F"/>
    <w:rsid w:val="00EB15CA"/>
    <w:rsid w:val="00EB1A25"/>
    <w:rsid w:val="00EB20B3"/>
    <w:rsid w:val="00EB4441"/>
    <w:rsid w:val="00EB6095"/>
    <w:rsid w:val="00EB7CDC"/>
    <w:rsid w:val="00EC1936"/>
    <w:rsid w:val="00EC28E5"/>
    <w:rsid w:val="00EC3BF1"/>
    <w:rsid w:val="00EC43C7"/>
    <w:rsid w:val="00EC4D9A"/>
    <w:rsid w:val="00EC567D"/>
    <w:rsid w:val="00EC6DA8"/>
    <w:rsid w:val="00EC7363"/>
    <w:rsid w:val="00EC7DA1"/>
    <w:rsid w:val="00ED03AB"/>
    <w:rsid w:val="00ED0630"/>
    <w:rsid w:val="00ED18A4"/>
    <w:rsid w:val="00ED1963"/>
    <w:rsid w:val="00ED1CD4"/>
    <w:rsid w:val="00ED1D2B"/>
    <w:rsid w:val="00ED2A41"/>
    <w:rsid w:val="00ED5C8F"/>
    <w:rsid w:val="00ED64B5"/>
    <w:rsid w:val="00ED6917"/>
    <w:rsid w:val="00ED6BA4"/>
    <w:rsid w:val="00ED7549"/>
    <w:rsid w:val="00ED7AFC"/>
    <w:rsid w:val="00EE03F7"/>
    <w:rsid w:val="00EE063D"/>
    <w:rsid w:val="00EE4B98"/>
    <w:rsid w:val="00EE4F85"/>
    <w:rsid w:val="00EE565B"/>
    <w:rsid w:val="00EE5CEF"/>
    <w:rsid w:val="00EE5D26"/>
    <w:rsid w:val="00EE6C6C"/>
    <w:rsid w:val="00EE7871"/>
    <w:rsid w:val="00EE7CCA"/>
    <w:rsid w:val="00EF06AA"/>
    <w:rsid w:val="00EF0CC7"/>
    <w:rsid w:val="00EF149D"/>
    <w:rsid w:val="00EF17C0"/>
    <w:rsid w:val="00EF1E50"/>
    <w:rsid w:val="00EF2CFD"/>
    <w:rsid w:val="00EF46B6"/>
    <w:rsid w:val="00EF5179"/>
    <w:rsid w:val="00EF518E"/>
    <w:rsid w:val="00EF65B8"/>
    <w:rsid w:val="00F00005"/>
    <w:rsid w:val="00F003DA"/>
    <w:rsid w:val="00F008A9"/>
    <w:rsid w:val="00F01FA9"/>
    <w:rsid w:val="00F04878"/>
    <w:rsid w:val="00F06296"/>
    <w:rsid w:val="00F06E53"/>
    <w:rsid w:val="00F075AE"/>
    <w:rsid w:val="00F07B28"/>
    <w:rsid w:val="00F12875"/>
    <w:rsid w:val="00F14E58"/>
    <w:rsid w:val="00F14EAB"/>
    <w:rsid w:val="00F15753"/>
    <w:rsid w:val="00F15F81"/>
    <w:rsid w:val="00F16A14"/>
    <w:rsid w:val="00F179AC"/>
    <w:rsid w:val="00F17FE1"/>
    <w:rsid w:val="00F20B36"/>
    <w:rsid w:val="00F22417"/>
    <w:rsid w:val="00F22DC9"/>
    <w:rsid w:val="00F2435D"/>
    <w:rsid w:val="00F24BB4"/>
    <w:rsid w:val="00F24D80"/>
    <w:rsid w:val="00F253DB"/>
    <w:rsid w:val="00F25740"/>
    <w:rsid w:val="00F25DB0"/>
    <w:rsid w:val="00F2612E"/>
    <w:rsid w:val="00F26C0C"/>
    <w:rsid w:val="00F26C2A"/>
    <w:rsid w:val="00F27DD1"/>
    <w:rsid w:val="00F3122E"/>
    <w:rsid w:val="00F3157B"/>
    <w:rsid w:val="00F3168E"/>
    <w:rsid w:val="00F3206C"/>
    <w:rsid w:val="00F32B10"/>
    <w:rsid w:val="00F33407"/>
    <w:rsid w:val="00F359C8"/>
    <w:rsid w:val="00F35A51"/>
    <w:rsid w:val="00F362D7"/>
    <w:rsid w:val="00F36704"/>
    <w:rsid w:val="00F37D7B"/>
    <w:rsid w:val="00F400AC"/>
    <w:rsid w:val="00F40D65"/>
    <w:rsid w:val="00F4225B"/>
    <w:rsid w:val="00F4263B"/>
    <w:rsid w:val="00F439B3"/>
    <w:rsid w:val="00F45074"/>
    <w:rsid w:val="00F4794B"/>
    <w:rsid w:val="00F509B8"/>
    <w:rsid w:val="00F52EF2"/>
    <w:rsid w:val="00F5314C"/>
    <w:rsid w:val="00F55692"/>
    <w:rsid w:val="00F56562"/>
    <w:rsid w:val="00F5688C"/>
    <w:rsid w:val="00F56F95"/>
    <w:rsid w:val="00F60048"/>
    <w:rsid w:val="00F602F5"/>
    <w:rsid w:val="00F635DD"/>
    <w:rsid w:val="00F6448B"/>
    <w:rsid w:val="00F6627B"/>
    <w:rsid w:val="00F704D4"/>
    <w:rsid w:val="00F7306B"/>
    <w:rsid w:val="00F7336E"/>
    <w:rsid w:val="00F734F2"/>
    <w:rsid w:val="00F74572"/>
    <w:rsid w:val="00F75052"/>
    <w:rsid w:val="00F804D3"/>
    <w:rsid w:val="00F80567"/>
    <w:rsid w:val="00F806E5"/>
    <w:rsid w:val="00F8070E"/>
    <w:rsid w:val="00F80E47"/>
    <w:rsid w:val="00F81367"/>
    <w:rsid w:val="00F816CB"/>
    <w:rsid w:val="00F81CD2"/>
    <w:rsid w:val="00F82217"/>
    <w:rsid w:val="00F82634"/>
    <w:rsid w:val="00F82641"/>
    <w:rsid w:val="00F83C0D"/>
    <w:rsid w:val="00F84E3F"/>
    <w:rsid w:val="00F876C4"/>
    <w:rsid w:val="00F90F18"/>
    <w:rsid w:val="00F937E4"/>
    <w:rsid w:val="00F94EFE"/>
    <w:rsid w:val="00F95B6D"/>
    <w:rsid w:val="00F95EE7"/>
    <w:rsid w:val="00F96028"/>
    <w:rsid w:val="00F96159"/>
    <w:rsid w:val="00FA1FA4"/>
    <w:rsid w:val="00FA2994"/>
    <w:rsid w:val="00FA32F4"/>
    <w:rsid w:val="00FA39E6"/>
    <w:rsid w:val="00FA6EB2"/>
    <w:rsid w:val="00FA7BC9"/>
    <w:rsid w:val="00FA7EE3"/>
    <w:rsid w:val="00FB0A6F"/>
    <w:rsid w:val="00FB20BB"/>
    <w:rsid w:val="00FB2578"/>
    <w:rsid w:val="00FB26D1"/>
    <w:rsid w:val="00FB378E"/>
    <w:rsid w:val="00FB37F1"/>
    <w:rsid w:val="00FB3A6F"/>
    <w:rsid w:val="00FB47C0"/>
    <w:rsid w:val="00FB4CD6"/>
    <w:rsid w:val="00FB501B"/>
    <w:rsid w:val="00FB5F82"/>
    <w:rsid w:val="00FB719A"/>
    <w:rsid w:val="00FB7770"/>
    <w:rsid w:val="00FB78E4"/>
    <w:rsid w:val="00FB7D33"/>
    <w:rsid w:val="00FC0AC4"/>
    <w:rsid w:val="00FC3D68"/>
    <w:rsid w:val="00FC4C3B"/>
    <w:rsid w:val="00FC531A"/>
    <w:rsid w:val="00FC6836"/>
    <w:rsid w:val="00FC7C07"/>
    <w:rsid w:val="00FD090E"/>
    <w:rsid w:val="00FD1EEE"/>
    <w:rsid w:val="00FD1FBF"/>
    <w:rsid w:val="00FD23F4"/>
    <w:rsid w:val="00FD3520"/>
    <w:rsid w:val="00FD3B91"/>
    <w:rsid w:val="00FD5282"/>
    <w:rsid w:val="00FD576B"/>
    <w:rsid w:val="00FD579E"/>
    <w:rsid w:val="00FD5CED"/>
    <w:rsid w:val="00FD6519"/>
    <w:rsid w:val="00FD6845"/>
    <w:rsid w:val="00FE0EA1"/>
    <w:rsid w:val="00FE174C"/>
    <w:rsid w:val="00FE223C"/>
    <w:rsid w:val="00FE2245"/>
    <w:rsid w:val="00FE2725"/>
    <w:rsid w:val="00FE28EE"/>
    <w:rsid w:val="00FE2BA9"/>
    <w:rsid w:val="00FE4516"/>
    <w:rsid w:val="00FE64C8"/>
    <w:rsid w:val="00FE66AF"/>
    <w:rsid w:val="00FE70C5"/>
    <w:rsid w:val="00FF02DA"/>
    <w:rsid w:val="00FF1D6B"/>
    <w:rsid w:val="00FF29B4"/>
    <w:rsid w:val="00FF453B"/>
    <w:rsid w:val="00FF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8360FAE-7FD2-43D1-87A3-CDD2F886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3330D"/>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23330D"/>
    <w:pPr>
      <w:numPr>
        <w:numId w:val="24"/>
      </w:numPr>
      <w:outlineLvl w:val="0"/>
    </w:pPr>
    <w:rPr>
      <w:rFonts w:hAnsi="Arial"/>
      <w:bCs/>
      <w:kern w:val="32"/>
      <w:szCs w:val="52"/>
    </w:rPr>
  </w:style>
  <w:style w:type="paragraph" w:styleId="2">
    <w:name w:val="heading 2"/>
    <w:aliases w:val="標題110/111,節,節1,標題110/111 + 內文"/>
    <w:basedOn w:val="a6"/>
    <w:link w:val="20"/>
    <w:qFormat/>
    <w:rsid w:val="0023330D"/>
    <w:pPr>
      <w:numPr>
        <w:ilvl w:val="1"/>
        <w:numId w:val="24"/>
      </w:numPr>
      <w:outlineLvl w:val="1"/>
    </w:pPr>
    <w:rPr>
      <w:rFonts w:hAnsi="Arial"/>
      <w:bCs/>
      <w:kern w:val="32"/>
      <w:szCs w:val="48"/>
    </w:rPr>
  </w:style>
  <w:style w:type="paragraph" w:styleId="3">
    <w:name w:val="heading 3"/>
    <w:basedOn w:val="a6"/>
    <w:link w:val="30"/>
    <w:qFormat/>
    <w:rsid w:val="0023330D"/>
    <w:pPr>
      <w:numPr>
        <w:ilvl w:val="2"/>
        <w:numId w:val="24"/>
      </w:numPr>
      <w:outlineLvl w:val="2"/>
    </w:pPr>
    <w:rPr>
      <w:rFonts w:hAnsi="Arial"/>
      <w:bCs/>
      <w:kern w:val="32"/>
      <w:szCs w:val="36"/>
    </w:rPr>
  </w:style>
  <w:style w:type="paragraph" w:styleId="4">
    <w:name w:val="heading 4"/>
    <w:aliases w:val="表格,一"/>
    <w:basedOn w:val="a6"/>
    <w:link w:val="40"/>
    <w:qFormat/>
    <w:rsid w:val="0023330D"/>
    <w:pPr>
      <w:numPr>
        <w:ilvl w:val="3"/>
        <w:numId w:val="24"/>
      </w:numPr>
      <w:outlineLvl w:val="3"/>
    </w:pPr>
    <w:rPr>
      <w:rFonts w:hAnsi="Arial"/>
      <w:kern w:val="32"/>
      <w:szCs w:val="36"/>
    </w:rPr>
  </w:style>
  <w:style w:type="paragraph" w:styleId="5">
    <w:name w:val="heading 5"/>
    <w:basedOn w:val="a6"/>
    <w:link w:val="50"/>
    <w:qFormat/>
    <w:rsid w:val="0023330D"/>
    <w:pPr>
      <w:numPr>
        <w:ilvl w:val="4"/>
        <w:numId w:val="24"/>
      </w:numPr>
      <w:outlineLvl w:val="4"/>
    </w:pPr>
    <w:rPr>
      <w:rFonts w:hAnsi="Arial"/>
      <w:bCs/>
      <w:kern w:val="32"/>
      <w:szCs w:val="36"/>
    </w:rPr>
  </w:style>
  <w:style w:type="paragraph" w:styleId="6">
    <w:name w:val="heading 6"/>
    <w:basedOn w:val="a6"/>
    <w:link w:val="60"/>
    <w:qFormat/>
    <w:rsid w:val="0023330D"/>
    <w:pPr>
      <w:numPr>
        <w:ilvl w:val="5"/>
        <w:numId w:val="24"/>
      </w:numPr>
      <w:tabs>
        <w:tab w:val="left" w:pos="2094"/>
      </w:tabs>
      <w:outlineLvl w:val="5"/>
    </w:pPr>
    <w:rPr>
      <w:rFonts w:hAnsi="Arial"/>
      <w:kern w:val="32"/>
      <w:szCs w:val="36"/>
    </w:rPr>
  </w:style>
  <w:style w:type="paragraph" w:styleId="7">
    <w:name w:val="heading 7"/>
    <w:aliases w:val="(1)"/>
    <w:basedOn w:val="a6"/>
    <w:link w:val="70"/>
    <w:qFormat/>
    <w:rsid w:val="0023330D"/>
    <w:pPr>
      <w:numPr>
        <w:ilvl w:val="6"/>
        <w:numId w:val="24"/>
      </w:numPr>
      <w:outlineLvl w:val="6"/>
    </w:pPr>
    <w:rPr>
      <w:rFonts w:hAnsi="Arial"/>
      <w:bCs/>
      <w:kern w:val="32"/>
      <w:szCs w:val="36"/>
    </w:rPr>
  </w:style>
  <w:style w:type="paragraph" w:styleId="8">
    <w:name w:val="heading 8"/>
    <w:basedOn w:val="a6"/>
    <w:link w:val="80"/>
    <w:qFormat/>
    <w:rsid w:val="0023330D"/>
    <w:pPr>
      <w:numPr>
        <w:ilvl w:val="7"/>
        <w:numId w:val="24"/>
      </w:numPr>
      <w:outlineLvl w:val="7"/>
    </w:pPr>
    <w:rPr>
      <w:rFonts w:hAnsi="Arial"/>
      <w:kern w:val="32"/>
      <w:szCs w:val="36"/>
    </w:rPr>
  </w:style>
  <w:style w:type="paragraph" w:styleId="9">
    <w:name w:val="heading 9"/>
    <w:basedOn w:val="a6"/>
    <w:link w:val="90"/>
    <w:uiPriority w:val="9"/>
    <w:unhideWhenUsed/>
    <w:qFormat/>
    <w:rsid w:val="0023330D"/>
    <w:pPr>
      <w:numPr>
        <w:ilvl w:val="8"/>
        <w:numId w:val="24"/>
      </w:numPr>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23330D"/>
    <w:pPr>
      <w:spacing w:before="720" w:after="720"/>
      <w:ind w:left="7371"/>
    </w:pPr>
    <w:rPr>
      <w:b/>
      <w:snapToGrid w:val="0"/>
      <w:spacing w:val="10"/>
      <w:sz w:val="36"/>
    </w:rPr>
  </w:style>
  <w:style w:type="paragraph" w:styleId="ac">
    <w:name w:val="endnote text"/>
    <w:basedOn w:val="a6"/>
    <w:link w:val="ad"/>
    <w:semiHidden/>
    <w:rsid w:val="0023330D"/>
    <w:pPr>
      <w:kinsoku w:val="0"/>
      <w:autoSpaceDE/>
      <w:spacing w:before="240"/>
      <w:ind w:left="1021" w:hanging="1021"/>
    </w:pPr>
    <w:rPr>
      <w:snapToGrid w:val="0"/>
      <w:spacing w:val="10"/>
    </w:rPr>
  </w:style>
  <w:style w:type="paragraph" w:styleId="51">
    <w:name w:val="toc 5"/>
    <w:basedOn w:val="a6"/>
    <w:next w:val="a6"/>
    <w:autoRedefine/>
    <w:semiHidden/>
    <w:rsid w:val="0023330D"/>
    <w:pPr>
      <w:ind w:leftChars="400" w:left="600" w:rightChars="200" w:right="200" w:hangingChars="200" w:hanging="200"/>
    </w:pPr>
  </w:style>
  <w:style w:type="character" w:styleId="ae">
    <w:name w:val="page number"/>
    <w:basedOn w:val="a7"/>
    <w:semiHidden/>
    <w:rsid w:val="0023330D"/>
    <w:rPr>
      <w:rFonts w:ascii="標楷體" w:eastAsia="標楷體"/>
      <w:sz w:val="20"/>
    </w:rPr>
  </w:style>
  <w:style w:type="paragraph" w:styleId="61">
    <w:name w:val="toc 6"/>
    <w:basedOn w:val="a6"/>
    <w:next w:val="a6"/>
    <w:autoRedefine/>
    <w:semiHidden/>
    <w:rsid w:val="0023330D"/>
    <w:pPr>
      <w:ind w:leftChars="500" w:left="500"/>
    </w:pPr>
  </w:style>
  <w:style w:type="paragraph" w:customStyle="1" w:styleId="11">
    <w:name w:val="段落樣式1"/>
    <w:basedOn w:val="a6"/>
    <w:qFormat/>
    <w:rsid w:val="0023330D"/>
    <w:pPr>
      <w:tabs>
        <w:tab w:val="left" w:pos="567"/>
      </w:tabs>
      <w:ind w:leftChars="200" w:left="200" w:firstLineChars="200" w:firstLine="200"/>
    </w:pPr>
    <w:rPr>
      <w:kern w:val="32"/>
    </w:rPr>
  </w:style>
  <w:style w:type="paragraph" w:customStyle="1" w:styleId="21">
    <w:name w:val="段落樣式2"/>
    <w:basedOn w:val="a6"/>
    <w:qFormat/>
    <w:rsid w:val="0023330D"/>
    <w:pPr>
      <w:tabs>
        <w:tab w:val="left" w:pos="567"/>
      </w:tabs>
      <w:ind w:leftChars="300" w:left="300" w:firstLineChars="200" w:firstLine="200"/>
    </w:pPr>
    <w:rPr>
      <w:kern w:val="32"/>
    </w:rPr>
  </w:style>
  <w:style w:type="paragraph" w:styleId="12">
    <w:name w:val="toc 1"/>
    <w:basedOn w:val="a6"/>
    <w:next w:val="a6"/>
    <w:autoRedefine/>
    <w:uiPriority w:val="39"/>
    <w:rsid w:val="0023330D"/>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23330D"/>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23330D"/>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23330D"/>
    <w:pPr>
      <w:kinsoku w:val="0"/>
      <w:ind w:leftChars="300" w:left="500" w:rightChars="200" w:right="200" w:hangingChars="200" w:hanging="200"/>
    </w:pPr>
  </w:style>
  <w:style w:type="paragraph" w:styleId="71">
    <w:name w:val="toc 7"/>
    <w:basedOn w:val="a6"/>
    <w:next w:val="a6"/>
    <w:autoRedefine/>
    <w:semiHidden/>
    <w:rsid w:val="0023330D"/>
    <w:pPr>
      <w:ind w:leftChars="600" w:left="800" w:hangingChars="200" w:hanging="200"/>
    </w:pPr>
  </w:style>
  <w:style w:type="paragraph" w:styleId="81">
    <w:name w:val="toc 8"/>
    <w:basedOn w:val="a6"/>
    <w:next w:val="a6"/>
    <w:autoRedefine/>
    <w:semiHidden/>
    <w:rsid w:val="0023330D"/>
    <w:pPr>
      <w:ind w:leftChars="700" w:left="900" w:hangingChars="200" w:hanging="200"/>
    </w:pPr>
  </w:style>
  <w:style w:type="paragraph" w:styleId="91">
    <w:name w:val="toc 9"/>
    <w:basedOn w:val="a6"/>
    <w:next w:val="a6"/>
    <w:autoRedefine/>
    <w:semiHidden/>
    <w:rsid w:val="0023330D"/>
    <w:pPr>
      <w:ind w:leftChars="1600" w:left="3840"/>
    </w:pPr>
  </w:style>
  <w:style w:type="paragraph" w:styleId="af">
    <w:name w:val="header"/>
    <w:basedOn w:val="a6"/>
    <w:link w:val="af0"/>
    <w:semiHidden/>
    <w:rsid w:val="0023330D"/>
    <w:pPr>
      <w:tabs>
        <w:tab w:val="center" w:pos="4153"/>
        <w:tab w:val="right" w:pos="8306"/>
      </w:tabs>
      <w:snapToGrid w:val="0"/>
    </w:pPr>
    <w:rPr>
      <w:sz w:val="20"/>
    </w:rPr>
  </w:style>
  <w:style w:type="paragraph" w:customStyle="1" w:styleId="32">
    <w:name w:val="段落樣式3"/>
    <w:basedOn w:val="21"/>
    <w:qFormat/>
    <w:rsid w:val="0023330D"/>
    <w:pPr>
      <w:ind w:leftChars="400" w:left="400"/>
    </w:pPr>
  </w:style>
  <w:style w:type="character" w:styleId="af1">
    <w:name w:val="Hyperlink"/>
    <w:basedOn w:val="a7"/>
    <w:uiPriority w:val="99"/>
    <w:rsid w:val="0023330D"/>
    <w:rPr>
      <w:color w:val="0000FF"/>
      <w:u w:val="single"/>
    </w:rPr>
  </w:style>
  <w:style w:type="paragraph" w:customStyle="1" w:styleId="af2">
    <w:name w:val="簽名日期"/>
    <w:basedOn w:val="a6"/>
    <w:rsid w:val="0023330D"/>
    <w:pPr>
      <w:kinsoku w:val="0"/>
      <w:jc w:val="distribute"/>
    </w:pPr>
    <w:rPr>
      <w:kern w:val="0"/>
    </w:rPr>
  </w:style>
  <w:style w:type="paragraph" w:customStyle="1" w:styleId="0">
    <w:name w:val="段落樣式0"/>
    <w:basedOn w:val="21"/>
    <w:qFormat/>
    <w:rsid w:val="0023330D"/>
    <w:pPr>
      <w:ind w:leftChars="200" w:left="200" w:firstLineChars="0" w:firstLine="0"/>
    </w:pPr>
  </w:style>
  <w:style w:type="paragraph" w:customStyle="1" w:styleId="af3">
    <w:name w:val="附件"/>
    <w:basedOn w:val="ac"/>
    <w:rsid w:val="0023330D"/>
    <w:pPr>
      <w:spacing w:before="0"/>
      <w:ind w:left="1047" w:hangingChars="300" w:hanging="1047"/>
    </w:pPr>
    <w:rPr>
      <w:snapToGrid/>
      <w:spacing w:val="0"/>
      <w:kern w:val="0"/>
    </w:rPr>
  </w:style>
  <w:style w:type="paragraph" w:customStyle="1" w:styleId="42">
    <w:name w:val="段落樣式4"/>
    <w:basedOn w:val="32"/>
    <w:qFormat/>
    <w:rsid w:val="0023330D"/>
    <w:pPr>
      <w:ind w:leftChars="500" w:left="500"/>
    </w:pPr>
  </w:style>
  <w:style w:type="paragraph" w:customStyle="1" w:styleId="52">
    <w:name w:val="段落樣式5"/>
    <w:basedOn w:val="42"/>
    <w:qFormat/>
    <w:rsid w:val="0023330D"/>
    <w:pPr>
      <w:ind w:leftChars="600" w:left="600"/>
    </w:pPr>
  </w:style>
  <w:style w:type="paragraph" w:customStyle="1" w:styleId="62">
    <w:name w:val="段落樣式6"/>
    <w:basedOn w:val="52"/>
    <w:qFormat/>
    <w:rsid w:val="0023330D"/>
    <w:pPr>
      <w:ind w:leftChars="700" w:left="700"/>
    </w:pPr>
  </w:style>
  <w:style w:type="paragraph" w:customStyle="1" w:styleId="72">
    <w:name w:val="段落樣式7"/>
    <w:basedOn w:val="62"/>
    <w:qFormat/>
    <w:rsid w:val="0023330D"/>
    <w:pPr>
      <w:ind w:leftChars="800" w:left="800"/>
    </w:pPr>
  </w:style>
  <w:style w:type="paragraph" w:customStyle="1" w:styleId="82">
    <w:name w:val="段落樣式8"/>
    <w:basedOn w:val="72"/>
    <w:qFormat/>
    <w:rsid w:val="0023330D"/>
    <w:pPr>
      <w:ind w:leftChars="900" w:left="900"/>
    </w:pPr>
  </w:style>
  <w:style w:type="paragraph" w:customStyle="1" w:styleId="a0">
    <w:name w:val="附表樣式"/>
    <w:basedOn w:val="a6"/>
    <w:qFormat/>
    <w:rsid w:val="0023330D"/>
    <w:pPr>
      <w:keepNext/>
      <w:numPr>
        <w:numId w:val="19"/>
      </w:numPr>
      <w:tabs>
        <w:tab w:val="clear" w:pos="1440"/>
      </w:tabs>
      <w:ind w:hangingChars="400" w:hanging="400"/>
      <w:outlineLvl w:val="0"/>
    </w:pPr>
    <w:rPr>
      <w:kern w:val="32"/>
    </w:rPr>
  </w:style>
  <w:style w:type="paragraph" w:styleId="af4">
    <w:name w:val="Body Text Indent"/>
    <w:basedOn w:val="a6"/>
    <w:link w:val="af5"/>
    <w:semiHidden/>
    <w:rsid w:val="0023330D"/>
    <w:pPr>
      <w:ind w:left="698" w:hangingChars="200" w:hanging="698"/>
    </w:pPr>
  </w:style>
  <w:style w:type="paragraph" w:customStyle="1" w:styleId="af6">
    <w:name w:val="調查報告"/>
    <w:basedOn w:val="ac"/>
    <w:rsid w:val="0023330D"/>
    <w:pPr>
      <w:adjustRightInd w:val="0"/>
      <w:spacing w:before="0"/>
      <w:ind w:left="0" w:firstLine="0"/>
      <w:jc w:val="center"/>
    </w:pPr>
    <w:rPr>
      <w:b/>
      <w:snapToGrid/>
      <w:spacing w:val="200"/>
      <w:kern w:val="0"/>
      <w:sz w:val="40"/>
    </w:rPr>
  </w:style>
  <w:style w:type="paragraph" w:customStyle="1" w:styleId="14">
    <w:name w:val="表格14"/>
    <w:basedOn w:val="a6"/>
    <w:rsid w:val="0023330D"/>
    <w:pPr>
      <w:adjustRightInd w:val="0"/>
      <w:snapToGrid w:val="0"/>
      <w:spacing w:line="360" w:lineRule="exact"/>
    </w:pPr>
    <w:rPr>
      <w:snapToGrid w:val="0"/>
      <w:spacing w:val="-14"/>
      <w:kern w:val="0"/>
      <w:sz w:val="28"/>
    </w:rPr>
  </w:style>
  <w:style w:type="paragraph" w:customStyle="1" w:styleId="a">
    <w:name w:val="附圖樣式"/>
    <w:basedOn w:val="a6"/>
    <w:qFormat/>
    <w:rsid w:val="0023330D"/>
    <w:pPr>
      <w:keepNext/>
      <w:numPr>
        <w:numId w:val="20"/>
      </w:numPr>
      <w:tabs>
        <w:tab w:val="clear" w:pos="1440"/>
      </w:tabs>
      <w:ind w:hangingChars="400" w:hanging="400"/>
      <w:outlineLvl w:val="0"/>
    </w:pPr>
    <w:rPr>
      <w:kern w:val="32"/>
    </w:rPr>
  </w:style>
  <w:style w:type="paragraph" w:styleId="af7">
    <w:name w:val="footer"/>
    <w:basedOn w:val="a6"/>
    <w:link w:val="af8"/>
    <w:semiHidden/>
    <w:rsid w:val="0023330D"/>
    <w:pPr>
      <w:tabs>
        <w:tab w:val="center" w:pos="4153"/>
        <w:tab w:val="right" w:pos="8306"/>
      </w:tabs>
      <w:snapToGrid w:val="0"/>
    </w:pPr>
    <w:rPr>
      <w:sz w:val="20"/>
    </w:rPr>
  </w:style>
  <w:style w:type="paragraph" w:styleId="af9">
    <w:name w:val="table of figures"/>
    <w:basedOn w:val="a6"/>
    <w:next w:val="a6"/>
    <w:semiHidden/>
    <w:rsid w:val="0023330D"/>
    <w:pPr>
      <w:ind w:left="400" w:hangingChars="400" w:hanging="400"/>
    </w:pPr>
  </w:style>
  <w:style w:type="paragraph" w:customStyle="1" w:styleId="140">
    <w:name w:val="表格標題14"/>
    <w:basedOn w:val="a6"/>
    <w:rsid w:val="0023330D"/>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3330D"/>
    <w:pPr>
      <w:keepNext/>
      <w:widowControl w:val="0"/>
      <w:numPr>
        <w:numId w:val="17"/>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23330D"/>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23330D"/>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rsid w:val="0023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23330D"/>
    <w:pPr>
      <w:spacing w:line="240" w:lineRule="exact"/>
    </w:pPr>
    <w:rPr>
      <w:sz w:val="24"/>
      <w:szCs w:val="24"/>
    </w:rPr>
  </w:style>
  <w:style w:type="paragraph" w:customStyle="1" w:styleId="121">
    <w:name w:val="表格12"/>
    <w:basedOn w:val="14"/>
    <w:rsid w:val="0023330D"/>
    <w:pPr>
      <w:spacing w:line="300" w:lineRule="exact"/>
    </w:pPr>
    <w:rPr>
      <w:sz w:val="24"/>
      <w:szCs w:val="24"/>
    </w:rPr>
  </w:style>
  <w:style w:type="paragraph" w:customStyle="1" w:styleId="a4">
    <w:name w:val="附錄"/>
    <w:basedOn w:val="a6"/>
    <w:qFormat/>
    <w:rsid w:val="0023330D"/>
    <w:pPr>
      <w:keepNext/>
      <w:numPr>
        <w:numId w:val="21"/>
      </w:numPr>
      <w:ind w:hangingChars="350" w:hanging="350"/>
      <w:outlineLvl w:val="0"/>
    </w:pPr>
    <w:rPr>
      <w:kern w:val="32"/>
    </w:rPr>
  </w:style>
  <w:style w:type="paragraph" w:styleId="afc">
    <w:name w:val="List Paragraph"/>
    <w:basedOn w:val="a6"/>
    <w:link w:val="afd"/>
    <w:uiPriority w:val="34"/>
    <w:qFormat/>
    <w:rsid w:val="0023330D"/>
    <w:pPr>
      <w:ind w:leftChars="200" w:left="480"/>
    </w:pPr>
  </w:style>
  <w:style w:type="paragraph" w:styleId="afe">
    <w:name w:val="Balloon Text"/>
    <w:basedOn w:val="a6"/>
    <w:link w:val="aff"/>
    <w:uiPriority w:val="99"/>
    <w:semiHidden/>
    <w:unhideWhenUsed/>
    <w:rsid w:val="0023330D"/>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23330D"/>
    <w:rPr>
      <w:rFonts w:asciiTheme="majorHAnsi" w:eastAsiaTheme="majorEastAsia" w:hAnsiTheme="majorHAnsi" w:cstheme="majorBidi"/>
      <w:kern w:val="2"/>
      <w:sz w:val="18"/>
      <w:szCs w:val="18"/>
    </w:rPr>
  </w:style>
  <w:style w:type="paragraph" w:customStyle="1" w:styleId="a5">
    <w:name w:val="照片標題"/>
    <w:qFormat/>
    <w:rsid w:val="0023330D"/>
    <w:pPr>
      <w:numPr>
        <w:numId w:val="22"/>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23330D"/>
    <w:pPr>
      <w:keepNext/>
      <w:numPr>
        <w:numId w:val="18"/>
      </w:numPr>
      <w:ind w:hangingChars="400" w:hanging="400"/>
      <w:outlineLvl w:val="0"/>
    </w:pPr>
    <w:rPr>
      <w:kern w:val="32"/>
    </w:rPr>
  </w:style>
  <w:style w:type="character" w:customStyle="1" w:styleId="90">
    <w:name w:val="標題 9 字元"/>
    <w:basedOn w:val="a7"/>
    <w:link w:val="9"/>
    <w:uiPriority w:val="9"/>
    <w:rsid w:val="0023330D"/>
    <w:rPr>
      <w:rFonts w:ascii="標楷體" w:eastAsia="標楷體" w:hAnsiTheme="majorHAnsi" w:cstheme="majorBidi"/>
      <w:kern w:val="32"/>
      <w:sz w:val="32"/>
      <w:szCs w:val="36"/>
    </w:rPr>
  </w:style>
  <w:style w:type="paragraph" w:customStyle="1" w:styleId="92">
    <w:name w:val="段落樣式9"/>
    <w:basedOn w:val="82"/>
    <w:qFormat/>
    <w:rsid w:val="0023330D"/>
    <w:pPr>
      <w:ind w:leftChars="1000" w:left="1000"/>
    </w:pPr>
  </w:style>
  <w:style w:type="paragraph" w:styleId="aff0">
    <w:name w:val="Plain Text"/>
    <w:basedOn w:val="a6"/>
    <w:link w:val="aff1"/>
    <w:uiPriority w:val="99"/>
    <w:semiHidden/>
    <w:unhideWhenUsed/>
    <w:rsid w:val="0023330D"/>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23330D"/>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23330D"/>
    <w:rPr>
      <w:rFonts w:ascii="標楷體" w:eastAsia="標楷體" w:hAnsi="Arial"/>
      <w:bCs/>
      <w:kern w:val="32"/>
      <w:sz w:val="32"/>
      <w:szCs w:val="48"/>
    </w:rPr>
  </w:style>
  <w:style w:type="character" w:customStyle="1" w:styleId="10">
    <w:name w:val="標題 1 字元"/>
    <w:aliases w:val="題號1 字元"/>
    <w:basedOn w:val="a7"/>
    <w:link w:val="1"/>
    <w:rsid w:val="0023330D"/>
    <w:rPr>
      <w:rFonts w:ascii="標楷體" w:eastAsia="標楷體" w:hAnsi="Arial"/>
      <w:bCs/>
      <w:kern w:val="32"/>
      <w:sz w:val="32"/>
      <w:szCs w:val="52"/>
    </w:rPr>
  </w:style>
  <w:style w:type="character" w:customStyle="1" w:styleId="30">
    <w:name w:val="標題 3 字元"/>
    <w:basedOn w:val="a7"/>
    <w:link w:val="3"/>
    <w:rsid w:val="0023330D"/>
    <w:rPr>
      <w:rFonts w:ascii="標楷體" w:eastAsia="標楷體" w:hAnsi="Arial"/>
      <w:bCs/>
      <w:kern w:val="32"/>
      <w:sz w:val="32"/>
      <w:szCs w:val="36"/>
    </w:rPr>
  </w:style>
  <w:style w:type="character" w:customStyle="1" w:styleId="40">
    <w:name w:val="標題 4 字元"/>
    <w:aliases w:val="表格 字元,一 字元"/>
    <w:basedOn w:val="a7"/>
    <w:link w:val="4"/>
    <w:rsid w:val="0023330D"/>
    <w:rPr>
      <w:rFonts w:ascii="標楷體" w:eastAsia="標楷體" w:hAnsi="Arial"/>
      <w:kern w:val="32"/>
      <w:sz w:val="32"/>
      <w:szCs w:val="36"/>
    </w:rPr>
  </w:style>
  <w:style w:type="character" w:customStyle="1" w:styleId="50">
    <w:name w:val="標題 5 字元"/>
    <w:basedOn w:val="a7"/>
    <w:link w:val="5"/>
    <w:rsid w:val="0023330D"/>
    <w:rPr>
      <w:rFonts w:ascii="標楷體" w:eastAsia="標楷體" w:hAnsi="Arial"/>
      <w:bCs/>
      <w:kern w:val="32"/>
      <w:sz w:val="32"/>
      <w:szCs w:val="36"/>
    </w:rPr>
  </w:style>
  <w:style w:type="character" w:customStyle="1" w:styleId="af8">
    <w:name w:val="頁尾 字元"/>
    <w:basedOn w:val="a7"/>
    <w:link w:val="af7"/>
    <w:semiHidden/>
    <w:rsid w:val="0023330D"/>
    <w:rPr>
      <w:rFonts w:ascii="標楷體" w:eastAsia="標楷體"/>
      <w:kern w:val="2"/>
    </w:rPr>
  </w:style>
  <w:style w:type="paragraph" w:customStyle="1" w:styleId="Standard">
    <w:name w:val="Standard"/>
    <w:rsid w:val="00A756A7"/>
    <w:pPr>
      <w:widowControl w:val="0"/>
      <w:suppressAutoHyphens/>
      <w:autoSpaceDN w:val="0"/>
      <w:textAlignment w:val="baseline"/>
    </w:pPr>
    <w:rPr>
      <w:rFonts w:ascii="Calibri" w:hAnsi="Calibri"/>
      <w:kern w:val="3"/>
      <w:sz w:val="24"/>
      <w:szCs w:val="22"/>
    </w:rPr>
  </w:style>
  <w:style w:type="numbering" w:customStyle="1" w:styleId="WWNum4">
    <w:name w:val="WWNum4"/>
    <w:basedOn w:val="a9"/>
    <w:rsid w:val="00A756A7"/>
    <w:pPr>
      <w:numPr>
        <w:numId w:val="2"/>
      </w:numPr>
    </w:pPr>
  </w:style>
  <w:style w:type="numbering" w:customStyle="1" w:styleId="WWNum5">
    <w:name w:val="WWNum5"/>
    <w:basedOn w:val="a9"/>
    <w:rsid w:val="00A756A7"/>
    <w:pPr>
      <w:numPr>
        <w:numId w:val="3"/>
      </w:numPr>
    </w:pPr>
  </w:style>
  <w:style w:type="numbering" w:customStyle="1" w:styleId="WWNum6">
    <w:name w:val="WWNum6"/>
    <w:basedOn w:val="a9"/>
    <w:rsid w:val="00A756A7"/>
    <w:pPr>
      <w:numPr>
        <w:numId w:val="4"/>
      </w:numPr>
    </w:pPr>
  </w:style>
  <w:style w:type="numbering" w:customStyle="1" w:styleId="WWNum17">
    <w:name w:val="WWNum17"/>
    <w:basedOn w:val="a9"/>
    <w:rsid w:val="00A756A7"/>
    <w:pPr>
      <w:numPr>
        <w:numId w:val="11"/>
      </w:numPr>
    </w:pPr>
  </w:style>
  <w:style w:type="numbering" w:customStyle="1" w:styleId="WWNum18">
    <w:name w:val="WWNum18"/>
    <w:basedOn w:val="a9"/>
    <w:rsid w:val="00A756A7"/>
    <w:pPr>
      <w:numPr>
        <w:numId w:val="12"/>
      </w:numPr>
    </w:pPr>
  </w:style>
  <w:style w:type="paragraph" w:styleId="aff2">
    <w:name w:val="footnote text"/>
    <w:basedOn w:val="a6"/>
    <w:link w:val="aff3"/>
    <w:uiPriority w:val="99"/>
    <w:semiHidden/>
    <w:unhideWhenUsed/>
    <w:rsid w:val="00297DD8"/>
    <w:pPr>
      <w:snapToGrid w:val="0"/>
      <w:jc w:val="left"/>
    </w:pPr>
    <w:rPr>
      <w:sz w:val="20"/>
    </w:rPr>
  </w:style>
  <w:style w:type="character" w:customStyle="1" w:styleId="aff3">
    <w:name w:val="註腳文字 字元"/>
    <w:basedOn w:val="a7"/>
    <w:link w:val="aff2"/>
    <w:uiPriority w:val="99"/>
    <w:semiHidden/>
    <w:rsid w:val="00297DD8"/>
    <w:rPr>
      <w:rFonts w:ascii="標楷體" w:eastAsia="標楷體"/>
      <w:kern w:val="2"/>
    </w:rPr>
  </w:style>
  <w:style w:type="character" w:styleId="aff4">
    <w:name w:val="footnote reference"/>
    <w:basedOn w:val="a7"/>
    <w:uiPriority w:val="99"/>
    <w:semiHidden/>
    <w:unhideWhenUsed/>
    <w:rsid w:val="00297DD8"/>
    <w:rPr>
      <w:vertAlign w:val="superscript"/>
    </w:rPr>
  </w:style>
  <w:style w:type="character" w:styleId="aff5">
    <w:name w:val="Emphasis"/>
    <w:basedOn w:val="a7"/>
    <w:uiPriority w:val="20"/>
    <w:qFormat/>
    <w:rsid w:val="000512CE"/>
    <w:rPr>
      <w:b w:val="0"/>
      <w:bCs w:val="0"/>
      <w:i w:val="0"/>
      <w:iCs w:val="0"/>
      <w:color w:val="DD4B39"/>
    </w:rPr>
  </w:style>
  <w:style w:type="character" w:customStyle="1" w:styleId="st1">
    <w:name w:val="st1"/>
    <w:basedOn w:val="a7"/>
    <w:rsid w:val="000512CE"/>
  </w:style>
  <w:style w:type="paragraph" w:styleId="HTML">
    <w:name w:val="HTML Preformatted"/>
    <w:basedOn w:val="a6"/>
    <w:link w:val="HTML0"/>
    <w:uiPriority w:val="99"/>
    <w:unhideWhenUsed/>
    <w:rsid w:val="00CE0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E001E"/>
    <w:rPr>
      <w:rFonts w:ascii="細明體" w:eastAsia="細明體" w:hAnsi="細明體" w:cs="細明體"/>
      <w:sz w:val="24"/>
      <w:szCs w:val="24"/>
    </w:rPr>
  </w:style>
  <w:style w:type="character" w:customStyle="1" w:styleId="af5">
    <w:name w:val="本文縮排 字元"/>
    <w:basedOn w:val="a7"/>
    <w:link w:val="af4"/>
    <w:semiHidden/>
    <w:rsid w:val="0023330D"/>
    <w:rPr>
      <w:rFonts w:ascii="標楷體" w:eastAsia="標楷體"/>
      <w:kern w:val="2"/>
      <w:sz w:val="32"/>
    </w:rPr>
  </w:style>
  <w:style w:type="character" w:customStyle="1" w:styleId="ad">
    <w:name w:val="章節附註文字 字元"/>
    <w:basedOn w:val="a7"/>
    <w:link w:val="ac"/>
    <w:semiHidden/>
    <w:rsid w:val="0023330D"/>
    <w:rPr>
      <w:rFonts w:ascii="標楷體" w:eastAsia="標楷體"/>
      <w:snapToGrid w:val="0"/>
      <w:spacing w:val="10"/>
      <w:kern w:val="2"/>
      <w:sz w:val="32"/>
    </w:rPr>
  </w:style>
  <w:style w:type="character" w:customStyle="1" w:styleId="af0">
    <w:name w:val="頁首 字元"/>
    <w:basedOn w:val="a7"/>
    <w:link w:val="af"/>
    <w:semiHidden/>
    <w:rsid w:val="0023330D"/>
    <w:rPr>
      <w:rFonts w:ascii="標楷體" w:eastAsia="標楷體"/>
      <w:kern w:val="2"/>
    </w:rPr>
  </w:style>
  <w:style w:type="character" w:customStyle="1" w:styleId="60">
    <w:name w:val="標題 6 字元"/>
    <w:basedOn w:val="a7"/>
    <w:link w:val="6"/>
    <w:rsid w:val="0023330D"/>
    <w:rPr>
      <w:rFonts w:ascii="標楷體" w:eastAsia="標楷體" w:hAnsi="Arial"/>
      <w:kern w:val="32"/>
      <w:sz w:val="32"/>
      <w:szCs w:val="36"/>
    </w:rPr>
  </w:style>
  <w:style w:type="character" w:customStyle="1" w:styleId="70">
    <w:name w:val="標題 7 字元"/>
    <w:aliases w:val="(1) 字元"/>
    <w:basedOn w:val="a7"/>
    <w:link w:val="7"/>
    <w:rsid w:val="0023330D"/>
    <w:rPr>
      <w:rFonts w:ascii="標楷體" w:eastAsia="標楷體" w:hAnsi="Arial"/>
      <w:bCs/>
      <w:kern w:val="32"/>
      <w:sz w:val="32"/>
      <w:szCs w:val="36"/>
    </w:rPr>
  </w:style>
  <w:style w:type="character" w:customStyle="1" w:styleId="80">
    <w:name w:val="標題 8 字元"/>
    <w:basedOn w:val="a7"/>
    <w:link w:val="8"/>
    <w:rsid w:val="0023330D"/>
    <w:rPr>
      <w:rFonts w:ascii="標楷體" w:eastAsia="標楷體" w:hAnsi="Arial"/>
      <w:kern w:val="32"/>
      <w:sz w:val="32"/>
      <w:szCs w:val="36"/>
    </w:rPr>
  </w:style>
  <w:style w:type="character" w:customStyle="1" w:styleId="ab">
    <w:name w:val="簽名 字元"/>
    <w:basedOn w:val="a7"/>
    <w:link w:val="aa"/>
    <w:semiHidden/>
    <w:rsid w:val="0023330D"/>
    <w:rPr>
      <w:rFonts w:ascii="標楷體" w:eastAsia="標楷體"/>
      <w:b/>
      <w:snapToGrid w:val="0"/>
      <w:spacing w:val="10"/>
      <w:kern w:val="2"/>
      <w:sz w:val="36"/>
    </w:rPr>
  </w:style>
  <w:style w:type="character" w:styleId="aff6">
    <w:name w:val="Strong"/>
    <w:basedOn w:val="a7"/>
    <w:uiPriority w:val="22"/>
    <w:qFormat/>
    <w:rsid w:val="000D6687"/>
    <w:rPr>
      <w:b/>
      <w:bCs/>
    </w:rPr>
  </w:style>
  <w:style w:type="character" w:customStyle="1" w:styleId="afd">
    <w:name w:val="清單段落 字元"/>
    <w:link w:val="afc"/>
    <w:uiPriority w:val="34"/>
    <w:rsid w:val="00AD57AA"/>
    <w:rPr>
      <w:rFonts w:ascii="標楷體" w:eastAsia="標楷體"/>
      <w:kern w:val="2"/>
      <w:sz w:val="32"/>
    </w:rPr>
  </w:style>
  <w:style w:type="character" w:customStyle="1" w:styleId="grame">
    <w:name w:val="grame"/>
    <w:basedOn w:val="a7"/>
    <w:rsid w:val="003D4614"/>
  </w:style>
  <w:style w:type="paragraph" w:customStyle="1" w:styleId="13">
    <w:name w:val="標題1"/>
    <w:basedOn w:val="a6"/>
    <w:qFormat/>
    <w:rsid w:val="001778B9"/>
    <w:pPr>
      <w:outlineLvl w:val="0"/>
    </w:pPr>
    <w:rPr>
      <w:kern w:val="28"/>
      <w:sz w:val="28"/>
      <w:szCs w:val="24"/>
    </w:rPr>
  </w:style>
  <w:style w:type="paragraph" w:styleId="Web">
    <w:name w:val="Normal (Web)"/>
    <w:basedOn w:val="a6"/>
    <w:uiPriority w:val="99"/>
    <w:semiHidden/>
    <w:unhideWhenUsed/>
    <w:rsid w:val="00E2351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beforeir">
    <w:name w:val="before_ir"/>
    <w:basedOn w:val="a6"/>
    <w:rsid w:val="00E2351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aff7">
    <w:name w:val="表樣式"/>
    <w:basedOn w:val="a6"/>
    <w:next w:val="a6"/>
    <w:rsid w:val="005C0A41"/>
    <w:pPr>
      <w:tabs>
        <w:tab w:val="num" w:pos="1440"/>
      </w:tabs>
      <w:overflowPunct/>
      <w:autoSpaceDE/>
      <w:autoSpaceDN/>
      <w:ind w:left="695" w:hanging="695"/>
    </w:pPr>
    <w:rPr>
      <w:kern w:val="0"/>
    </w:rPr>
  </w:style>
  <w:style w:type="numbering" w:customStyle="1" w:styleId="WWNum9">
    <w:name w:val="WWNum9"/>
    <w:basedOn w:val="a9"/>
    <w:rsid w:val="00EE6C6C"/>
    <w:pPr>
      <w:numPr>
        <w:numId w:val="14"/>
      </w:numPr>
    </w:pPr>
  </w:style>
  <w:style w:type="paragraph" w:customStyle="1" w:styleId="aff8">
    <w:name w:val="分項段落"/>
    <w:basedOn w:val="Standard"/>
    <w:rsid w:val="004422FC"/>
    <w:pPr>
      <w:jc w:val="both"/>
    </w:pPr>
    <w:rPr>
      <w:rFonts w:ascii="標楷體" w:eastAsia="標楷體" w:hAnsi="標楷體"/>
      <w:sz w:val="32"/>
      <w:szCs w:val="20"/>
    </w:rPr>
  </w:style>
  <w:style w:type="numbering" w:customStyle="1" w:styleId="WWNum15">
    <w:name w:val="WWNum15"/>
    <w:basedOn w:val="a9"/>
    <w:rsid w:val="004422FC"/>
    <w:pPr>
      <w:numPr>
        <w:numId w:val="15"/>
      </w:numPr>
    </w:pPr>
  </w:style>
  <w:style w:type="character" w:customStyle="1" w:styleId="highlight1">
    <w:name w:val="highlight1"/>
    <w:basedOn w:val="a7"/>
    <w:rsid w:val="00B73158"/>
    <w:rPr>
      <w:color w:val="FF0000"/>
    </w:rPr>
  </w:style>
  <w:style w:type="character" w:customStyle="1" w:styleId="el-tooltip">
    <w:name w:val="el-tooltip"/>
    <w:basedOn w:val="a7"/>
    <w:rsid w:val="004F69D0"/>
    <w:rPr>
      <w:sz w:val="18"/>
      <w:szCs w:val="18"/>
    </w:rPr>
  </w:style>
  <w:style w:type="paragraph" w:customStyle="1" w:styleId="Default">
    <w:name w:val="Default"/>
    <w:rsid w:val="005F2772"/>
    <w:pPr>
      <w:widowControl w:val="0"/>
      <w:autoSpaceDE w:val="0"/>
      <w:autoSpaceDN w:val="0"/>
      <w:adjustRightInd w:val="0"/>
    </w:pPr>
    <w:rPr>
      <w:rFonts w:ascii="標楷體" w:eastAsia="標楷體" w:cs="標楷體"/>
      <w:color w:val="000000"/>
      <w:sz w:val="24"/>
      <w:szCs w:val="24"/>
    </w:rPr>
  </w:style>
  <w:style w:type="character" w:customStyle="1" w:styleId="w51">
    <w:name w:val="w51"/>
    <w:basedOn w:val="a7"/>
    <w:rsid w:val="001C7DE3"/>
    <w:rPr>
      <w:sz w:val="24"/>
      <w:szCs w:val="24"/>
    </w:rPr>
  </w:style>
  <w:style w:type="character" w:customStyle="1" w:styleId="e24kjd">
    <w:name w:val="e24kjd"/>
    <w:basedOn w:val="a7"/>
    <w:rsid w:val="00AF1162"/>
  </w:style>
  <w:style w:type="character" w:styleId="aff9">
    <w:name w:val="Placeholder Text"/>
    <w:basedOn w:val="a7"/>
    <w:uiPriority w:val="99"/>
    <w:semiHidden/>
    <w:rsid w:val="006558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72321">
      <w:bodyDiv w:val="1"/>
      <w:marLeft w:val="0"/>
      <w:marRight w:val="0"/>
      <w:marTop w:val="0"/>
      <w:marBottom w:val="0"/>
      <w:divBdr>
        <w:top w:val="none" w:sz="0" w:space="0" w:color="auto"/>
        <w:left w:val="none" w:sz="0" w:space="0" w:color="auto"/>
        <w:bottom w:val="none" w:sz="0" w:space="0" w:color="auto"/>
        <w:right w:val="none" w:sz="0" w:space="0" w:color="auto"/>
      </w:divBdr>
      <w:divsChild>
        <w:div w:id="926422028">
          <w:marLeft w:val="0"/>
          <w:marRight w:val="0"/>
          <w:marTop w:val="0"/>
          <w:marBottom w:val="0"/>
          <w:divBdr>
            <w:top w:val="none" w:sz="0" w:space="0" w:color="auto"/>
            <w:left w:val="none" w:sz="0" w:space="0" w:color="auto"/>
            <w:bottom w:val="none" w:sz="0" w:space="0" w:color="auto"/>
            <w:right w:val="none" w:sz="0" w:space="0" w:color="auto"/>
          </w:divBdr>
          <w:divsChild>
            <w:div w:id="943806481">
              <w:marLeft w:val="0"/>
              <w:marRight w:val="0"/>
              <w:marTop w:val="0"/>
              <w:marBottom w:val="0"/>
              <w:divBdr>
                <w:top w:val="none" w:sz="0" w:space="0" w:color="auto"/>
                <w:left w:val="none" w:sz="0" w:space="0" w:color="auto"/>
                <w:bottom w:val="none" w:sz="0" w:space="0" w:color="auto"/>
                <w:right w:val="none" w:sz="0" w:space="0" w:color="auto"/>
              </w:divBdr>
              <w:divsChild>
                <w:div w:id="1614898405">
                  <w:marLeft w:val="0"/>
                  <w:marRight w:val="0"/>
                  <w:marTop w:val="0"/>
                  <w:marBottom w:val="0"/>
                  <w:divBdr>
                    <w:top w:val="none" w:sz="0" w:space="0" w:color="auto"/>
                    <w:left w:val="none" w:sz="0" w:space="0" w:color="auto"/>
                    <w:bottom w:val="none" w:sz="0" w:space="0" w:color="auto"/>
                    <w:right w:val="none" w:sz="0" w:space="0" w:color="auto"/>
                  </w:divBdr>
                  <w:divsChild>
                    <w:div w:id="1094546633">
                      <w:marLeft w:val="0"/>
                      <w:marRight w:val="0"/>
                      <w:marTop w:val="0"/>
                      <w:marBottom w:val="0"/>
                      <w:divBdr>
                        <w:top w:val="none" w:sz="0" w:space="0" w:color="auto"/>
                        <w:left w:val="none" w:sz="0" w:space="0" w:color="auto"/>
                        <w:bottom w:val="none" w:sz="0" w:space="0" w:color="auto"/>
                        <w:right w:val="none" w:sz="0" w:space="0" w:color="auto"/>
                      </w:divBdr>
                      <w:divsChild>
                        <w:div w:id="222300129">
                          <w:marLeft w:val="13380"/>
                          <w:marRight w:val="0"/>
                          <w:marTop w:val="0"/>
                          <w:marBottom w:val="0"/>
                          <w:divBdr>
                            <w:top w:val="none" w:sz="0" w:space="0" w:color="auto"/>
                            <w:left w:val="none" w:sz="0" w:space="0" w:color="auto"/>
                            <w:bottom w:val="none" w:sz="0" w:space="0" w:color="auto"/>
                            <w:right w:val="none" w:sz="0" w:space="0" w:color="auto"/>
                          </w:divBdr>
                          <w:divsChild>
                            <w:div w:id="610744211">
                              <w:marLeft w:val="0"/>
                              <w:marRight w:val="0"/>
                              <w:marTop w:val="0"/>
                              <w:marBottom w:val="405"/>
                              <w:divBdr>
                                <w:top w:val="none" w:sz="0" w:space="0" w:color="auto"/>
                                <w:left w:val="none" w:sz="0" w:space="0" w:color="auto"/>
                                <w:bottom w:val="none" w:sz="0" w:space="0" w:color="auto"/>
                                <w:right w:val="none" w:sz="0" w:space="0" w:color="auto"/>
                              </w:divBdr>
                              <w:divsChild>
                                <w:div w:id="2061829848">
                                  <w:marLeft w:val="0"/>
                                  <w:marRight w:val="0"/>
                                  <w:marTop w:val="0"/>
                                  <w:marBottom w:val="0"/>
                                  <w:divBdr>
                                    <w:top w:val="none" w:sz="0" w:space="0" w:color="auto"/>
                                    <w:left w:val="none" w:sz="0" w:space="0" w:color="auto"/>
                                    <w:bottom w:val="none" w:sz="0" w:space="0" w:color="auto"/>
                                    <w:right w:val="none" w:sz="0" w:space="0" w:color="auto"/>
                                  </w:divBdr>
                                  <w:divsChild>
                                    <w:div w:id="1294823652">
                                      <w:marLeft w:val="0"/>
                                      <w:marRight w:val="0"/>
                                      <w:marTop w:val="0"/>
                                      <w:marBottom w:val="0"/>
                                      <w:divBdr>
                                        <w:top w:val="none" w:sz="0" w:space="0" w:color="auto"/>
                                        <w:left w:val="none" w:sz="0" w:space="0" w:color="auto"/>
                                        <w:bottom w:val="none" w:sz="0" w:space="0" w:color="auto"/>
                                        <w:right w:val="none" w:sz="0" w:space="0" w:color="auto"/>
                                      </w:divBdr>
                                      <w:divsChild>
                                        <w:div w:id="1524242939">
                                          <w:marLeft w:val="0"/>
                                          <w:marRight w:val="0"/>
                                          <w:marTop w:val="0"/>
                                          <w:marBottom w:val="0"/>
                                          <w:divBdr>
                                            <w:top w:val="none" w:sz="0" w:space="0" w:color="auto"/>
                                            <w:left w:val="none" w:sz="0" w:space="0" w:color="auto"/>
                                            <w:bottom w:val="none" w:sz="0" w:space="0" w:color="auto"/>
                                            <w:right w:val="none" w:sz="0" w:space="0" w:color="auto"/>
                                          </w:divBdr>
                                          <w:divsChild>
                                            <w:div w:id="528566883">
                                              <w:marLeft w:val="0"/>
                                              <w:marRight w:val="0"/>
                                              <w:marTop w:val="0"/>
                                              <w:marBottom w:val="0"/>
                                              <w:divBdr>
                                                <w:top w:val="none" w:sz="0" w:space="0" w:color="auto"/>
                                                <w:left w:val="none" w:sz="0" w:space="0" w:color="auto"/>
                                                <w:bottom w:val="none" w:sz="0" w:space="0" w:color="auto"/>
                                                <w:right w:val="none" w:sz="0" w:space="0" w:color="auto"/>
                                              </w:divBdr>
                                              <w:divsChild>
                                                <w:div w:id="1260258755">
                                                  <w:marLeft w:val="0"/>
                                                  <w:marRight w:val="0"/>
                                                  <w:marTop w:val="0"/>
                                                  <w:marBottom w:val="0"/>
                                                  <w:divBdr>
                                                    <w:top w:val="none" w:sz="0" w:space="0" w:color="auto"/>
                                                    <w:left w:val="none" w:sz="0" w:space="0" w:color="auto"/>
                                                    <w:bottom w:val="none" w:sz="0" w:space="0" w:color="auto"/>
                                                    <w:right w:val="none" w:sz="0" w:space="0" w:color="auto"/>
                                                  </w:divBdr>
                                                  <w:divsChild>
                                                    <w:div w:id="1980768824">
                                                      <w:marLeft w:val="0"/>
                                                      <w:marRight w:val="0"/>
                                                      <w:marTop w:val="0"/>
                                                      <w:marBottom w:val="0"/>
                                                      <w:divBdr>
                                                        <w:top w:val="none" w:sz="0" w:space="0" w:color="auto"/>
                                                        <w:left w:val="none" w:sz="0" w:space="0" w:color="auto"/>
                                                        <w:bottom w:val="none" w:sz="0" w:space="0" w:color="auto"/>
                                                        <w:right w:val="none" w:sz="0" w:space="0" w:color="auto"/>
                                                      </w:divBdr>
                                                      <w:divsChild>
                                                        <w:div w:id="356540272">
                                                          <w:marLeft w:val="0"/>
                                                          <w:marRight w:val="0"/>
                                                          <w:marTop w:val="0"/>
                                                          <w:marBottom w:val="0"/>
                                                          <w:divBdr>
                                                            <w:top w:val="none" w:sz="0" w:space="0" w:color="auto"/>
                                                            <w:left w:val="none" w:sz="0" w:space="0" w:color="auto"/>
                                                            <w:bottom w:val="none" w:sz="0" w:space="0" w:color="auto"/>
                                                            <w:right w:val="none" w:sz="0" w:space="0" w:color="auto"/>
                                                          </w:divBdr>
                                                          <w:divsChild>
                                                            <w:div w:id="1704399060">
                                                              <w:marLeft w:val="0"/>
                                                              <w:marRight w:val="0"/>
                                                              <w:marTop w:val="0"/>
                                                              <w:marBottom w:val="0"/>
                                                              <w:divBdr>
                                                                <w:top w:val="none" w:sz="0" w:space="0" w:color="auto"/>
                                                                <w:left w:val="none" w:sz="0" w:space="0" w:color="auto"/>
                                                                <w:bottom w:val="none" w:sz="0" w:space="0" w:color="auto"/>
                                                                <w:right w:val="none" w:sz="0" w:space="0" w:color="auto"/>
                                                              </w:divBdr>
                                                              <w:divsChild>
                                                                <w:div w:id="1300187934">
                                                                  <w:marLeft w:val="0"/>
                                                                  <w:marRight w:val="0"/>
                                                                  <w:marTop w:val="0"/>
                                                                  <w:marBottom w:val="0"/>
                                                                  <w:divBdr>
                                                                    <w:top w:val="none" w:sz="0" w:space="0" w:color="auto"/>
                                                                    <w:left w:val="none" w:sz="0" w:space="0" w:color="auto"/>
                                                                    <w:bottom w:val="none" w:sz="0" w:space="0" w:color="auto"/>
                                                                    <w:right w:val="none" w:sz="0" w:space="0" w:color="auto"/>
                                                                  </w:divBdr>
                                                                  <w:divsChild>
                                                                    <w:div w:id="1721856143">
                                                                      <w:marLeft w:val="0"/>
                                                                      <w:marRight w:val="0"/>
                                                                      <w:marTop w:val="0"/>
                                                                      <w:marBottom w:val="0"/>
                                                                      <w:divBdr>
                                                                        <w:top w:val="none" w:sz="0" w:space="0" w:color="auto"/>
                                                                        <w:left w:val="none" w:sz="0" w:space="0" w:color="auto"/>
                                                                        <w:bottom w:val="none" w:sz="0" w:space="0" w:color="auto"/>
                                                                        <w:right w:val="none" w:sz="0" w:space="0" w:color="auto"/>
                                                                      </w:divBdr>
                                                                      <w:divsChild>
                                                                        <w:div w:id="683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204570">
      <w:bodyDiv w:val="1"/>
      <w:marLeft w:val="150"/>
      <w:marRight w:val="150"/>
      <w:marTop w:val="0"/>
      <w:marBottom w:val="0"/>
      <w:divBdr>
        <w:top w:val="none" w:sz="0" w:space="0" w:color="auto"/>
        <w:left w:val="none" w:sz="0" w:space="0" w:color="auto"/>
        <w:bottom w:val="none" w:sz="0" w:space="0" w:color="auto"/>
        <w:right w:val="none" w:sz="0" w:space="0" w:color="auto"/>
      </w:divBdr>
      <w:divsChild>
        <w:div w:id="1208449954">
          <w:marLeft w:val="0"/>
          <w:marRight w:val="0"/>
          <w:marTop w:val="240"/>
          <w:marBottom w:val="0"/>
          <w:divBdr>
            <w:top w:val="none" w:sz="0" w:space="0" w:color="auto"/>
            <w:left w:val="none" w:sz="0" w:space="0" w:color="auto"/>
            <w:bottom w:val="none" w:sz="0" w:space="0" w:color="auto"/>
            <w:right w:val="none" w:sz="0" w:space="0" w:color="auto"/>
          </w:divBdr>
          <w:divsChild>
            <w:div w:id="434981992">
              <w:marLeft w:val="0"/>
              <w:marRight w:val="0"/>
              <w:marTop w:val="120"/>
              <w:marBottom w:val="0"/>
              <w:divBdr>
                <w:top w:val="none" w:sz="0" w:space="0" w:color="auto"/>
                <w:left w:val="none" w:sz="0" w:space="0" w:color="auto"/>
                <w:bottom w:val="none" w:sz="0" w:space="0" w:color="auto"/>
                <w:right w:val="none" w:sz="0" w:space="0" w:color="auto"/>
              </w:divBdr>
              <w:divsChild>
                <w:div w:id="575827556">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0254">
      <w:bodyDiv w:val="1"/>
      <w:marLeft w:val="0"/>
      <w:marRight w:val="0"/>
      <w:marTop w:val="0"/>
      <w:marBottom w:val="0"/>
      <w:divBdr>
        <w:top w:val="none" w:sz="0" w:space="0" w:color="auto"/>
        <w:left w:val="none" w:sz="0" w:space="0" w:color="auto"/>
        <w:bottom w:val="none" w:sz="0" w:space="0" w:color="auto"/>
        <w:right w:val="none" w:sz="0" w:space="0" w:color="auto"/>
      </w:divBdr>
    </w:div>
    <w:div w:id="69542878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9997455">
      <w:bodyDiv w:val="1"/>
      <w:marLeft w:val="0"/>
      <w:marRight w:val="0"/>
      <w:marTop w:val="0"/>
      <w:marBottom w:val="0"/>
      <w:divBdr>
        <w:top w:val="none" w:sz="0" w:space="0" w:color="auto"/>
        <w:left w:val="none" w:sz="0" w:space="0" w:color="auto"/>
        <w:bottom w:val="none" w:sz="0" w:space="0" w:color="auto"/>
        <w:right w:val="none" w:sz="0" w:space="0" w:color="auto"/>
      </w:divBdr>
    </w:div>
    <w:div w:id="931475570">
      <w:bodyDiv w:val="1"/>
      <w:marLeft w:val="0"/>
      <w:marRight w:val="0"/>
      <w:marTop w:val="0"/>
      <w:marBottom w:val="0"/>
      <w:divBdr>
        <w:top w:val="none" w:sz="0" w:space="0" w:color="auto"/>
        <w:left w:val="none" w:sz="0" w:space="0" w:color="auto"/>
        <w:bottom w:val="none" w:sz="0" w:space="0" w:color="auto"/>
        <w:right w:val="none" w:sz="0" w:space="0" w:color="auto"/>
      </w:divBdr>
      <w:divsChild>
        <w:div w:id="1847985284">
          <w:marLeft w:val="0"/>
          <w:marRight w:val="0"/>
          <w:marTop w:val="0"/>
          <w:marBottom w:val="0"/>
          <w:divBdr>
            <w:top w:val="none" w:sz="0" w:space="0" w:color="auto"/>
            <w:left w:val="none" w:sz="0" w:space="0" w:color="auto"/>
            <w:bottom w:val="none" w:sz="0" w:space="0" w:color="auto"/>
            <w:right w:val="none" w:sz="0" w:space="0" w:color="auto"/>
          </w:divBdr>
          <w:divsChild>
            <w:div w:id="1051928755">
              <w:marLeft w:val="0"/>
              <w:marRight w:val="0"/>
              <w:marTop w:val="0"/>
              <w:marBottom w:val="0"/>
              <w:divBdr>
                <w:top w:val="none" w:sz="0" w:space="0" w:color="auto"/>
                <w:left w:val="none" w:sz="0" w:space="0" w:color="auto"/>
                <w:bottom w:val="none" w:sz="0" w:space="0" w:color="auto"/>
                <w:right w:val="none" w:sz="0" w:space="0" w:color="auto"/>
              </w:divBdr>
              <w:divsChild>
                <w:div w:id="446970645">
                  <w:marLeft w:val="0"/>
                  <w:marRight w:val="0"/>
                  <w:marTop w:val="0"/>
                  <w:marBottom w:val="0"/>
                  <w:divBdr>
                    <w:top w:val="none" w:sz="0" w:space="0" w:color="auto"/>
                    <w:left w:val="none" w:sz="0" w:space="0" w:color="auto"/>
                    <w:bottom w:val="none" w:sz="0" w:space="0" w:color="auto"/>
                    <w:right w:val="none" w:sz="0" w:space="0" w:color="auto"/>
                  </w:divBdr>
                  <w:divsChild>
                    <w:div w:id="16529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9576">
      <w:bodyDiv w:val="1"/>
      <w:marLeft w:val="0"/>
      <w:marRight w:val="0"/>
      <w:marTop w:val="0"/>
      <w:marBottom w:val="0"/>
      <w:divBdr>
        <w:top w:val="none" w:sz="0" w:space="0" w:color="auto"/>
        <w:left w:val="none" w:sz="0" w:space="0" w:color="auto"/>
        <w:bottom w:val="none" w:sz="0" w:space="0" w:color="auto"/>
        <w:right w:val="none" w:sz="0" w:space="0" w:color="auto"/>
      </w:divBdr>
      <w:divsChild>
        <w:div w:id="2092384195">
          <w:marLeft w:val="0"/>
          <w:marRight w:val="0"/>
          <w:marTop w:val="0"/>
          <w:marBottom w:val="0"/>
          <w:divBdr>
            <w:top w:val="none" w:sz="0" w:space="0" w:color="auto"/>
            <w:left w:val="none" w:sz="0" w:space="0" w:color="auto"/>
            <w:bottom w:val="none" w:sz="0" w:space="0" w:color="auto"/>
            <w:right w:val="none" w:sz="0" w:space="0" w:color="auto"/>
          </w:divBdr>
          <w:divsChild>
            <w:div w:id="2050643974">
              <w:marLeft w:val="0"/>
              <w:marRight w:val="0"/>
              <w:marTop w:val="0"/>
              <w:marBottom w:val="0"/>
              <w:divBdr>
                <w:top w:val="none" w:sz="0" w:space="0" w:color="auto"/>
                <w:left w:val="none" w:sz="0" w:space="0" w:color="auto"/>
                <w:bottom w:val="none" w:sz="0" w:space="0" w:color="auto"/>
                <w:right w:val="none" w:sz="0" w:space="0" w:color="auto"/>
              </w:divBdr>
              <w:divsChild>
                <w:div w:id="2073968514">
                  <w:marLeft w:val="0"/>
                  <w:marRight w:val="0"/>
                  <w:marTop w:val="0"/>
                  <w:marBottom w:val="0"/>
                  <w:divBdr>
                    <w:top w:val="none" w:sz="0" w:space="0" w:color="auto"/>
                    <w:left w:val="none" w:sz="0" w:space="0" w:color="auto"/>
                    <w:bottom w:val="none" w:sz="0" w:space="0" w:color="auto"/>
                    <w:right w:val="none" w:sz="0" w:space="0" w:color="auto"/>
                  </w:divBdr>
                  <w:divsChild>
                    <w:div w:id="1430000938">
                      <w:marLeft w:val="0"/>
                      <w:marRight w:val="0"/>
                      <w:marTop w:val="0"/>
                      <w:marBottom w:val="0"/>
                      <w:divBdr>
                        <w:top w:val="none" w:sz="0" w:space="0" w:color="auto"/>
                        <w:left w:val="none" w:sz="0" w:space="0" w:color="auto"/>
                        <w:bottom w:val="none" w:sz="0" w:space="0" w:color="auto"/>
                        <w:right w:val="none" w:sz="0" w:space="0" w:color="auto"/>
                      </w:divBdr>
                      <w:divsChild>
                        <w:div w:id="2115246691">
                          <w:marLeft w:val="13380"/>
                          <w:marRight w:val="0"/>
                          <w:marTop w:val="0"/>
                          <w:marBottom w:val="0"/>
                          <w:divBdr>
                            <w:top w:val="none" w:sz="0" w:space="0" w:color="auto"/>
                            <w:left w:val="none" w:sz="0" w:space="0" w:color="auto"/>
                            <w:bottom w:val="none" w:sz="0" w:space="0" w:color="auto"/>
                            <w:right w:val="none" w:sz="0" w:space="0" w:color="auto"/>
                          </w:divBdr>
                          <w:divsChild>
                            <w:div w:id="454445688">
                              <w:marLeft w:val="0"/>
                              <w:marRight w:val="0"/>
                              <w:marTop w:val="0"/>
                              <w:marBottom w:val="405"/>
                              <w:divBdr>
                                <w:top w:val="none" w:sz="0" w:space="0" w:color="auto"/>
                                <w:left w:val="none" w:sz="0" w:space="0" w:color="auto"/>
                                <w:bottom w:val="none" w:sz="0" w:space="0" w:color="auto"/>
                                <w:right w:val="none" w:sz="0" w:space="0" w:color="auto"/>
                              </w:divBdr>
                              <w:divsChild>
                                <w:div w:id="462695918">
                                  <w:marLeft w:val="0"/>
                                  <w:marRight w:val="0"/>
                                  <w:marTop w:val="0"/>
                                  <w:marBottom w:val="0"/>
                                  <w:divBdr>
                                    <w:top w:val="none" w:sz="0" w:space="0" w:color="auto"/>
                                    <w:left w:val="none" w:sz="0" w:space="0" w:color="auto"/>
                                    <w:bottom w:val="none" w:sz="0" w:space="0" w:color="auto"/>
                                    <w:right w:val="none" w:sz="0" w:space="0" w:color="auto"/>
                                  </w:divBdr>
                                  <w:divsChild>
                                    <w:div w:id="803735917">
                                      <w:marLeft w:val="0"/>
                                      <w:marRight w:val="0"/>
                                      <w:marTop w:val="0"/>
                                      <w:marBottom w:val="0"/>
                                      <w:divBdr>
                                        <w:top w:val="none" w:sz="0" w:space="0" w:color="auto"/>
                                        <w:left w:val="none" w:sz="0" w:space="0" w:color="auto"/>
                                        <w:bottom w:val="none" w:sz="0" w:space="0" w:color="auto"/>
                                        <w:right w:val="none" w:sz="0" w:space="0" w:color="auto"/>
                                      </w:divBdr>
                                      <w:divsChild>
                                        <w:div w:id="731005644">
                                          <w:marLeft w:val="0"/>
                                          <w:marRight w:val="0"/>
                                          <w:marTop w:val="0"/>
                                          <w:marBottom w:val="0"/>
                                          <w:divBdr>
                                            <w:top w:val="none" w:sz="0" w:space="0" w:color="auto"/>
                                            <w:left w:val="none" w:sz="0" w:space="0" w:color="auto"/>
                                            <w:bottom w:val="none" w:sz="0" w:space="0" w:color="auto"/>
                                            <w:right w:val="none" w:sz="0" w:space="0" w:color="auto"/>
                                          </w:divBdr>
                                          <w:divsChild>
                                            <w:div w:id="1733037952">
                                              <w:marLeft w:val="0"/>
                                              <w:marRight w:val="0"/>
                                              <w:marTop w:val="0"/>
                                              <w:marBottom w:val="0"/>
                                              <w:divBdr>
                                                <w:top w:val="none" w:sz="0" w:space="0" w:color="auto"/>
                                                <w:left w:val="none" w:sz="0" w:space="0" w:color="auto"/>
                                                <w:bottom w:val="none" w:sz="0" w:space="0" w:color="auto"/>
                                                <w:right w:val="none" w:sz="0" w:space="0" w:color="auto"/>
                                              </w:divBdr>
                                              <w:divsChild>
                                                <w:div w:id="506479720">
                                                  <w:marLeft w:val="0"/>
                                                  <w:marRight w:val="0"/>
                                                  <w:marTop w:val="0"/>
                                                  <w:marBottom w:val="0"/>
                                                  <w:divBdr>
                                                    <w:top w:val="none" w:sz="0" w:space="0" w:color="auto"/>
                                                    <w:left w:val="none" w:sz="0" w:space="0" w:color="auto"/>
                                                    <w:bottom w:val="none" w:sz="0" w:space="0" w:color="auto"/>
                                                    <w:right w:val="none" w:sz="0" w:space="0" w:color="auto"/>
                                                  </w:divBdr>
                                                  <w:divsChild>
                                                    <w:div w:id="1944141472">
                                                      <w:marLeft w:val="0"/>
                                                      <w:marRight w:val="0"/>
                                                      <w:marTop w:val="0"/>
                                                      <w:marBottom w:val="0"/>
                                                      <w:divBdr>
                                                        <w:top w:val="none" w:sz="0" w:space="0" w:color="auto"/>
                                                        <w:left w:val="none" w:sz="0" w:space="0" w:color="auto"/>
                                                        <w:bottom w:val="none" w:sz="0" w:space="0" w:color="auto"/>
                                                        <w:right w:val="none" w:sz="0" w:space="0" w:color="auto"/>
                                                      </w:divBdr>
                                                      <w:divsChild>
                                                        <w:div w:id="2095278537">
                                                          <w:marLeft w:val="0"/>
                                                          <w:marRight w:val="0"/>
                                                          <w:marTop w:val="0"/>
                                                          <w:marBottom w:val="0"/>
                                                          <w:divBdr>
                                                            <w:top w:val="none" w:sz="0" w:space="0" w:color="auto"/>
                                                            <w:left w:val="none" w:sz="0" w:space="0" w:color="auto"/>
                                                            <w:bottom w:val="none" w:sz="0" w:space="0" w:color="auto"/>
                                                            <w:right w:val="none" w:sz="0" w:space="0" w:color="auto"/>
                                                          </w:divBdr>
                                                          <w:divsChild>
                                                            <w:div w:id="658532783">
                                                              <w:marLeft w:val="0"/>
                                                              <w:marRight w:val="0"/>
                                                              <w:marTop w:val="0"/>
                                                              <w:marBottom w:val="0"/>
                                                              <w:divBdr>
                                                                <w:top w:val="none" w:sz="0" w:space="0" w:color="auto"/>
                                                                <w:left w:val="none" w:sz="0" w:space="0" w:color="auto"/>
                                                                <w:bottom w:val="none" w:sz="0" w:space="0" w:color="auto"/>
                                                                <w:right w:val="none" w:sz="0" w:space="0" w:color="auto"/>
                                                              </w:divBdr>
                                                              <w:divsChild>
                                                                <w:div w:id="302390682">
                                                                  <w:marLeft w:val="0"/>
                                                                  <w:marRight w:val="0"/>
                                                                  <w:marTop w:val="0"/>
                                                                  <w:marBottom w:val="0"/>
                                                                  <w:divBdr>
                                                                    <w:top w:val="none" w:sz="0" w:space="0" w:color="auto"/>
                                                                    <w:left w:val="none" w:sz="0" w:space="0" w:color="auto"/>
                                                                    <w:bottom w:val="none" w:sz="0" w:space="0" w:color="auto"/>
                                                                    <w:right w:val="none" w:sz="0" w:space="0" w:color="auto"/>
                                                                  </w:divBdr>
                                                                  <w:divsChild>
                                                                    <w:div w:id="251205287">
                                                                      <w:marLeft w:val="0"/>
                                                                      <w:marRight w:val="0"/>
                                                                      <w:marTop w:val="0"/>
                                                                      <w:marBottom w:val="0"/>
                                                                      <w:divBdr>
                                                                        <w:top w:val="none" w:sz="0" w:space="0" w:color="auto"/>
                                                                        <w:left w:val="none" w:sz="0" w:space="0" w:color="auto"/>
                                                                        <w:bottom w:val="none" w:sz="0" w:space="0" w:color="auto"/>
                                                                        <w:right w:val="none" w:sz="0" w:space="0" w:color="auto"/>
                                                                      </w:divBdr>
                                                                      <w:divsChild>
                                                                        <w:div w:id="165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4019707">
      <w:bodyDiv w:val="1"/>
      <w:marLeft w:val="0"/>
      <w:marRight w:val="0"/>
      <w:marTop w:val="0"/>
      <w:marBottom w:val="0"/>
      <w:divBdr>
        <w:top w:val="none" w:sz="0" w:space="0" w:color="auto"/>
        <w:left w:val="none" w:sz="0" w:space="0" w:color="auto"/>
        <w:bottom w:val="none" w:sz="0" w:space="0" w:color="auto"/>
        <w:right w:val="none" w:sz="0" w:space="0" w:color="auto"/>
      </w:divBdr>
      <w:divsChild>
        <w:div w:id="1977374784">
          <w:marLeft w:val="0"/>
          <w:marRight w:val="0"/>
          <w:marTop w:val="0"/>
          <w:marBottom w:val="0"/>
          <w:divBdr>
            <w:top w:val="none" w:sz="0" w:space="0" w:color="auto"/>
            <w:left w:val="none" w:sz="0" w:space="0" w:color="auto"/>
            <w:bottom w:val="none" w:sz="0" w:space="0" w:color="auto"/>
            <w:right w:val="none" w:sz="0" w:space="0" w:color="auto"/>
          </w:divBdr>
          <w:divsChild>
            <w:div w:id="1511019922">
              <w:marLeft w:val="0"/>
              <w:marRight w:val="0"/>
              <w:marTop w:val="0"/>
              <w:marBottom w:val="0"/>
              <w:divBdr>
                <w:top w:val="none" w:sz="0" w:space="0" w:color="auto"/>
                <w:left w:val="none" w:sz="0" w:space="0" w:color="auto"/>
                <w:bottom w:val="none" w:sz="0" w:space="0" w:color="auto"/>
                <w:right w:val="none" w:sz="0" w:space="0" w:color="auto"/>
              </w:divBdr>
              <w:divsChild>
                <w:div w:id="5060304">
                  <w:marLeft w:val="0"/>
                  <w:marRight w:val="0"/>
                  <w:marTop w:val="0"/>
                  <w:marBottom w:val="0"/>
                  <w:divBdr>
                    <w:top w:val="none" w:sz="0" w:space="0" w:color="auto"/>
                    <w:left w:val="none" w:sz="0" w:space="0" w:color="auto"/>
                    <w:bottom w:val="none" w:sz="0" w:space="0" w:color="auto"/>
                    <w:right w:val="none" w:sz="0" w:space="0" w:color="auto"/>
                  </w:divBdr>
                  <w:divsChild>
                    <w:div w:id="1840147337">
                      <w:marLeft w:val="0"/>
                      <w:marRight w:val="0"/>
                      <w:marTop w:val="0"/>
                      <w:marBottom w:val="0"/>
                      <w:divBdr>
                        <w:top w:val="none" w:sz="0" w:space="0" w:color="auto"/>
                        <w:left w:val="none" w:sz="0" w:space="0" w:color="auto"/>
                        <w:bottom w:val="none" w:sz="0" w:space="0" w:color="auto"/>
                        <w:right w:val="none" w:sz="0" w:space="0" w:color="auto"/>
                      </w:divBdr>
                      <w:divsChild>
                        <w:div w:id="2126927817">
                          <w:marLeft w:val="13380"/>
                          <w:marRight w:val="0"/>
                          <w:marTop w:val="0"/>
                          <w:marBottom w:val="0"/>
                          <w:divBdr>
                            <w:top w:val="none" w:sz="0" w:space="0" w:color="auto"/>
                            <w:left w:val="none" w:sz="0" w:space="0" w:color="auto"/>
                            <w:bottom w:val="none" w:sz="0" w:space="0" w:color="auto"/>
                            <w:right w:val="none" w:sz="0" w:space="0" w:color="auto"/>
                          </w:divBdr>
                          <w:divsChild>
                            <w:div w:id="1328633665">
                              <w:marLeft w:val="0"/>
                              <w:marRight w:val="0"/>
                              <w:marTop w:val="0"/>
                              <w:marBottom w:val="405"/>
                              <w:divBdr>
                                <w:top w:val="none" w:sz="0" w:space="0" w:color="auto"/>
                                <w:left w:val="none" w:sz="0" w:space="0" w:color="auto"/>
                                <w:bottom w:val="none" w:sz="0" w:space="0" w:color="auto"/>
                                <w:right w:val="none" w:sz="0" w:space="0" w:color="auto"/>
                              </w:divBdr>
                              <w:divsChild>
                                <w:div w:id="323583200">
                                  <w:marLeft w:val="0"/>
                                  <w:marRight w:val="0"/>
                                  <w:marTop w:val="0"/>
                                  <w:marBottom w:val="0"/>
                                  <w:divBdr>
                                    <w:top w:val="none" w:sz="0" w:space="0" w:color="auto"/>
                                    <w:left w:val="none" w:sz="0" w:space="0" w:color="auto"/>
                                    <w:bottom w:val="none" w:sz="0" w:space="0" w:color="auto"/>
                                    <w:right w:val="none" w:sz="0" w:space="0" w:color="auto"/>
                                  </w:divBdr>
                                  <w:divsChild>
                                    <w:div w:id="572937469">
                                      <w:marLeft w:val="0"/>
                                      <w:marRight w:val="0"/>
                                      <w:marTop w:val="0"/>
                                      <w:marBottom w:val="0"/>
                                      <w:divBdr>
                                        <w:top w:val="none" w:sz="0" w:space="0" w:color="auto"/>
                                        <w:left w:val="none" w:sz="0" w:space="0" w:color="auto"/>
                                        <w:bottom w:val="none" w:sz="0" w:space="0" w:color="auto"/>
                                        <w:right w:val="none" w:sz="0" w:space="0" w:color="auto"/>
                                      </w:divBdr>
                                      <w:divsChild>
                                        <w:div w:id="600988612">
                                          <w:marLeft w:val="0"/>
                                          <w:marRight w:val="0"/>
                                          <w:marTop w:val="0"/>
                                          <w:marBottom w:val="0"/>
                                          <w:divBdr>
                                            <w:top w:val="none" w:sz="0" w:space="0" w:color="auto"/>
                                            <w:left w:val="none" w:sz="0" w:space="0" w:color="auto"/>
                                            <w:bottom w:val="none" w:sz="0" w:space="0" w:color="auto"/>
                                            <w:right w:val="none" w:sz="0" w:space="0" w:color="auto"/>
                                          </w:divBdr>
                                          <w:divsChild>
                                            <w:div w:id="70392161">
                                              <w:marLeft w:val="0"/>
                                              <w:marRight w:val="0"/>
                                              <w:marTop w:val="0"/>
                                              <w:marBottom w:val="0"/>
                                              <w:divBdr>
                                                <w:top w:val="none" w:sz="0" w:space="0" w:color="auto"/>
                                                <w:left w:val="none" w:sz="0" w:space="0" w:color="auto"/>
                                                <w:bottom w:val="none" w:sz="0" w:space="0" w:color="auto"/>
                                                <w:right w:val="none" w:sz="0" w:space="0" w:color="auto"/>
                                              </w:divBdr>
                                              <w:divsChild>
                                                <w:div w:id="805509829">
                                                  <w:marLeft w:val="0"/>
                                                  <w:marRight w:val="0"/>
                                                  <w:marTop w:val="0"/>
                                                  <w:marBottom w:val="0"/>
                                                  <w:divBdr>
                                                    <w:top w:val="none" w:sz="0" w:space="0" w:color="auto"/>
                                                    <w:left w:val="none" w:sz="0" w:space="0" w:color="auto"/>
                                                    <w:bottom w:val="none" w:sz="0" w:space="0" w:color="auto"/>
                                                    <w:right w:val="none" w:sz="0" w:space="0" w:color="auto"/>
                                                  </w:divBdr>
                                                  <w:divsChild>
                                                    <w:div w:id="673647638">
                                                      <w:marLeft w:val="0"/>
                                                      <w:marRight w:val="0"/>
                                                      <w:marTop w:val="0"/>
                                                      <w:marBottom w:val="0"/>
                                                      <w:divBdr>
                                                        <w:top w:val="none" w:sz="0" w:space="0" w:color="auto"/>
                                                        <w:left w:val="none" w:sz="0" w:space="0" w:color="auto"/>
                                                        <w:bottom w:val="none" w:sz="0" w:space="0" w:color="auto"/>
                                                        <w:right w:val="none" w:sz="0" w:space="0" w:color="auto"/>
                                                      </w:divBdr>
                                                      <w:divsChild>
                                                        <w:div w:id="2037080182">
                                                          <w:marLeft w:val="0"/>
                                                          <w:marRight w:val="0"/>
                                                          <w:marTop w:val="0"/>
                                                          <w:marBottom w:val="0"/>
                                                          <w:divBdr>
                                                            <w:top w:val="none" w:sz="0" w:space="0" w:color="auto"/>
                                                            <w:left w:val="none" w:sz="0" w:space="0" w:color="auto"/>
                                                            <w:bottom w:val="none" w:sz="0" w:space="0" w:color="auto"/>
                                                            <w:right w:val="none" w:sz="0" w:space="0" w:color="auto"/>
                                                          </w:divBdr>
                                                          <w:divsChild>
                                                            <w:div w:id="1841188572">
                                                              <w:marLeft w:val="0"/>
                                                              <w:marRight w:val="0"/>
                                                              <w:marTop w:val="0"/>
                                                              <w:marBottom w:val="0"/>
                                                              <w:divBdr>
                                                                <w:top w:val="none" w:sz="0" w:space="0" w:color="auto"/>
                                                                <w:left w:val="none" w:sz="0" w:space="0" w:color="auto"/>
                                                                <w:bottom w:val="none" w:sz="0" w:space="0" w:color="auto"/>
                                                                <w:right w:val="none" w:sz="0" w:space="0" w:color="auto"/>
                                                              </w:divBdr>
                                                              <w:divsChild>
                                                                <w:div w:id="1095436855">
                                                                  <w:marLeft w:val="0"/>
                                                                  <w:marRight w:val="0"/>
                                                                  <w:marTop w:val="0"/>
                                                                  <w:marBottom w:val="0"/>
                                                                  <w:divBdr>
                                                                    <w:top w:val="none" w:sz="0" w:space="0" w:color="auto"/>
                                                                    <w:left w:val="none" w:sz="0" w:space="0" w:color="auto"/>
                                                                    <w:bottom w:val="none" w:sz="0" w:space="0" w:color="auto"/>
                                                                    <w:right w:val="none" w:sz="0" w:space="0" w:color="auto"/>
                                                                  </w:divBdr>
                                                                  <w:divsChild>
                                                                    <w:div w:id="7808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4914446">
      <w:bodyDiv w:val="1"/>
      <w:marLeft w:val="0"/>
      <w:marRight w:val="0"/>
      <w:marTop w:val="0"/>
      <w:marBottom w:val="0"/>
      <w:divBdr>
        <w:top w:val="none" w:sz="0" w:space="0" w:color="auto"/>
        <w:left w:val="none" w:sz="0" w:space="0" w:color="auto"/>
        <w:bottom w:val="none" w:sz="0" w:space="0" w:color="auto"/>
        <w:right w:val="none" w:sz="0" w:space="0" w:color="auto"/>
      </w:divBdr>
    </w:div>
    <w:div w:id="1574509348">
      <w:bodyDiv w:val="1"/>
      <w:marLeft w:val="0"/>
      <w:marRight w:val="0"/>
      <w:marTop w:val="0"/>
      <w:marBottom w:val="0"/>
      <w:divBdr>
        <w:top w:val="none" w:sz="0" w:space="0" w:color="auto"/>
        <w:left w:val="none" w:sz="0" w:space="0" w:color="auto"/>
        <w:bottom w:val="none" w:sz="0" w:space="0" w:color="auto"/>
        <w:right w:val="none" w:sz="0" w:space="0" w:color="auto"/>
      </w:divBdr>
      <w:divsChild>
        <w:div w:id="206841894">
          <w:marLeft w:val="0"/>
          <w:marRight w:val="0"/>
          <w:marTop w:val="225"/>
          <w:marBottom w:val="0"/>
          <w:divBdr>
            <w:top w:val="none" w:sz="0" w:space="0" w:color="auto"/>
            <w:left w:val="none" w:sz="0" w:space="0" w:color="auto"/>
            <w:bottom w:val="none" w:sz="0" w:space="0" w:color="auto"/>
            <w:right w:val="none" w:sz="0" w:space="0" w:color="auto"/>
          </w:divBdr>
          <w:divsChild>
            <w:div w:id="453258243">
              <w:marLeft w:val="0"/>
              <w:marRight w:val="0"/>
              <w:marTop w:val="0"/>
              <w:marBottom w:val="600"/>
              <w:divBdr>
                <w:top w:val="none" w:sz="0" w:space="0" w:color="auto"/>
                <w:left w:val="none" w:sz="0" w:space="0" w:color="auto"/>
                <w:bottom w:val="none" w:sz="0" w:space="0" w:color="auto"/>
                <w:right w:val="none" w:sz="0" w:space="0" w:color="auto"/>
              </w:divBdr>
              <w:divsChild>
                <w:div w:id="11391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312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6074324">
      <w:bodyDiv w:val="1"/>
      <w:marLeft w:val="0"/>
      <w:marRight w:val="0"/>
      <w:marTop w:val="0"/>
      <w:marBottom w:val="0"/>
      <w:divBdr>
        <w:top w:val="none" w:sz="0" w:space="0" w:color="auto"/>
        <w:left w:val="none" w:sz="0" w:space="0" w:color="auto"/>
        <w:bottom w:val="none" w:sz="0" w:space="0" w:color="auto"/>
        <w:right w:val="none" w:sz="0" w:space="0" w:color="auto"/>
      </w:divBdr>
      <w:divsChild>
        <w:div w:id="223370737">
          <w:marLeft w:val="0"/>
          <w:marRight w:val="0"/>
          <w:marTop w:val="0"/>
          <w:marBottom w:val="0"/>
          <w:divBdr>
            <w:top w:val="none" w:sz="0" w:space="0" w:color="auto"/>
            <w:left w:val="none" w:sz="0" w:space="0" w:color="auto"/>
            <w:bottom w:val="none" w:sz="0" w:space="0" w:color="auto"/>
            <w:right w:val="none" w:sz="0" w:space="0" w:color="auto"/>
          </w:divBdr>
          <w:divsChild>
            <w:div w:id="1202202974">
              <w:marLeft w:val="0"/>
              <w:marRight w:val="0"/>
              <w:marTop w:val="100"/>
              <w:marBottom w:val="100"/>
              <w:divBdr>
                <w:top w:val="none" w:sz="0" w:space="0" w:color="auto"/>
                <w:left w:val="none" w:sz="0" w:space="0" w:color="auto"/>
                <w:bottom w:val="none" w:sz="0" w:space="0" w:color="auto"/>
                <w:right w:val="none" w:sz="0" w:space="0" w:color="auto"/>
              </w:divBdr>
              <w:divsChild>
                <w:div w:id="1950965221">
                  <w:marLeft w:val="0"/>
                  <w:marRight w:val="0"/>
                  <w:marTop w:val="45"/>
                  <w:marBottom w:val="120"/>
                  <w:divBdr>
                    <w:top w:val="none" w:sz="0" w:space="0" w:color="auto"/>
                    <w:left w:val="none" w:sz="0" w:space="0" w:color="auto"/>
                    <w:bottom w:val="none" w:sz="0" w:space="0" w:color="auto"/>
                    <w:right w:val="none" w:sz="0" w:space="0" w:color="auto"/>
                  </w:divBdr>
                  <w:divsChild>
                    <w:div w:id="836459032">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62A8-2160-445B-9637-DBAFF09D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18</Pages>
  <Words>8957</Words>
  <Characters>376</Characters>
  <Application>Microsoft Office Word</Application>
  <DocSecurity>0</DocSecurity>
  <Lines>3</Lines>
  <Paragraphs>18</Paragraphs>
  <ScaleCrop>false</ScaleCrop>
  <Company>cy</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4</cp:revision>
  <cp:lastPrinted>2020-03-31T06:57:00Z</cp:lastPrinted>
  <dcterms:created xsi:type="dcterms:W3CDTF">2020-04-10T03:47:00Z</dcterms:created>
  <dcterms:modified xsi:type="dcterms:W3CDTF">2020-04-10T03:48:00Z</dcterms:modified>
</cp:coreProperties>
</file>