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C4F04" w:rsidRDefault="00CF36AE" w:rsidP="00F37D7B">
      <w:pPr>
        <w:pStyle w:val="af2"/>
        <w:rPr>
          <w:color w:val="000000" w:themeColor="text1"/>
        </w:rPr>
      </w:pPr>
      <w:r w:rsidRPr="000C4F04">
        <w:rPr>
          <w:rFonts w:hint="eastAsia"/>
          <w:color w:val="000000" w:themeColor="text1"/>
        </w:rPr>
        <w:t>調查報告</w:t>
      </w:r>
      <w:bookmarkStart w:id="0" w:name="_GoBack"/>
      <w:bookmarkEnd w:id="0"/>
    </w:p>
    <w:p w:rsidR="008F4C26" w:rsidRPr="000C4F04" w:rsidRDefault="00E25849" w:rsidP="00882772">
      <w:pPr>
        <w:pStyle w:val="1"/>
        <w:rPr>
          <w:rFonts w:ascii="新細明體" w:eastAsia="新細明體" w:hAnsi="新細明體" w:cs="新細明體"/>
          <w:color w:val="000000" w:themeColor="text1"/>
          <w:kern w:val="0"/>
          <w:sz w:val="23"/>
          <w:szCs w:val="23"/>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0C4F04">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882772" w:rsidRPr="000C4F04">
        <w:rPr>
          <w:rFonts w:hint="eastAsia"/>
          <w:color w:val="000000" w:themeColor="text1"/>
        </w:rPr>
        <w:t>據悉，30年來因</w:t>
      </w:r>
      <w:proofErr w:type="gramStart"/>
      <w:r w:rsidR="00882772" w:rsidRPr="000C4F04">
        <w:rPr>
          <w:rFonts w:hint="eastAsia"/>
          <w:color w:val="000000" w:themeColor="text1"/>
        </w:rPr>
        <w:t>食藥署</w:t>
      </w:r>
      <w:proofErr w:type="gramEnd"/>
      <w:r w:rsidR="00882772" w:rsidRPr="000C4F04">
        <w:rPr>
          <w:rFonts w:hint="eastAsia"/>
          <w:color w:val="000000" w:themeColor="text1"/>
        </w:rPr>
        <w:t>未公告</w:t>
      </w:r>
      <w:r w:rsidR="000116DE" w:rsidRPr="000C4F04">
        <w:rPr>
          <w:rFonts w:hint="eastAsia"/>
          <w:color w:val="000000" w:themeColor="text1"/>
        </w:rPr>
        <w:t>檳榔</w:t>
      </w:r>
      <w:r w:rsidR="00882772" w:rsidRPr="000C4F04">
        <w:rPr>
          <w:rFonts w:hint="eastAsia"/>
          <w:color w:val="000000" w:themeColor="text1"/>
        </w:rPr>
        <w:t>農藥殘留標準、農委會未制定檳榔用藥規範及田間管理標準，檳榔園一直未納管而自主噴藥。歐盟已視檳榔為食品並公告食安農藥標準，我國農委會農業藥物毒物試驗所亦早已完成檳榔農藥殘留標準數據訂定，</w:t>
      </w:r>
      <w:proofErr w:type="gramStart"/>
      <w:r w:rsidR="00882772" w:rsidRPr="000C4F04">
        <w:rPr>
          <w:rFonts w:hint="eastAsia"/>
          <w:color w:val="000000" w:themeColor="text1"/>
        </w:rPr>
        <w:t>然食藥署</w:t>
      </w:r>
      <w:proofErr w:type="gramEnd"/>
      <w:r w:rsidR="00882772" w:rsidRPr="000C4F04">
        <w:rPr>
          <w:rFonts w:hint="eastAsia"/>
          <w:color w:val="000000" w:themeColor="text1"/>
        </w:rPr>
        <w:t>因政策性不鼓勵國人食用檳榔，迄今未公告農藥殘留標準。</w:t>
      </w:r>
      <w:proofErr w:type="gramStart"/>
      <w:r w:rsidR="00882772" w:rsidRPr="000C4F04">
        <w:rPr>
          <w:rFonts w:hint="eastAsia"/>
          <w:color w:val="000000" w:themeColor="text1"/>
        </w:rPr>
        <w:t>惟</w:t>
      </w:r>
      <w:proofErr w:type="gramEnd"/>
      <w:r w:rsidR="00882772" w:rsidRPr="000C4F04">
        <w:rPr>
          <w:rFonts w:hint="eastAsia"/>
          <w:color w:val="000000" w:themeColor="text1"/>
        </w:rPr>
        <w:t>檳榔2018年的栽種面積仍僅次於稻米，位居全國第二，種植面積約42,510公頃，年產量10萬公噸。目前國人食用檳榔人口</w:t>
      </w:r>
      <w:proofErr w:type="gramStart"/>
      <w:r w:rsidR="00882772" w:rsidRPr="000C4F04">
        <w:rPr>
          <w:rFonts w:hint="eastAsia"/>
          <w:color w:val="000000" w:themeColor="text1"/>
        </w:rPr>
        <w:t>眾多，</w:t>
      </w:r>
      <w:proofErr w:type="gramEnd"/>
      <w:r w:rsidR="00882772" w:rsidRPr="000C4F04">
        <w:rPr>
          <w:rFonts w:hint="eastAsia"/>
          <w:color w:val="000000" w:themeColor="text1"/>
        </w:rPr>
        <w:t>政府不應坐視業者自主管理，以致有危害國人及農民健康、威脅環境生態之虞。因事已</w:t>
      </w:r>
      <w:proofErr w:type="gramStart"/>
      <w:r w:rsidR="00882772" w:rsidRPr="000C4F04">
        <w:rPr>
          <w:rFonts w:hint="eastAsia"/>
          <w:color w:val="000000" w:themeColor="text1"/>
        </w:rPr>
        <w:t>多年均未見</w:t>
      </w:r>
      <w:proofErr w:type="gramEnd"/>
      <w:r w:rsidR="00882772" w:rsidRPr="000C4F04">
        <w:rPr>
          <w:rFonts w:hint="eastAsia"/>
          <w:color w:val="000000" w:themeColor="text1"/>
        </w:rPr>
        <w:t>政府有效管理，</w:t>
      </w:r>
      <w:proofErr w:type="gramStart"/>
      <w:r w:rsidR="00882772" w:rsidRPr="000C4F04">
        <w:rPr>
          <w:rFonts w:hint="eastAsia"/>
          <w:color w:val="000000" w:themeColor="text1"/>
        </w:rPr>
        <w:t>爰</w:t>
      </w:r>
      <w:proofErr w:type="gramEnd"/>
      <w:r w:rsidR="00882772" w:rsidRPr="000C4F04">
        <w:rPr>
          <w:rFonts w:hint="eastAsia"/>
          <w:color w:val="000000" w:themeColor="text1"/>
        </w:rPr>
        <w:t>有調查之必要案。</w:t>
      </w:r>
    </w:p>
    <w:p w:rsidR="003A5927" w:rsidRPr="000C4F04" w:rsidRDefault="004F367F" w:rsidP="004F367F">
      <w:pPr>
        <w:pStyle w:val="1"/>
        <w:ind w:left="2380" w:hanging="2380"/>
        <w:rPr>
          <w:color w:val="000000" w:themeColor="text1"/>
        </w:rPr>
      </w:pPr>
      <w:bookmarkStart w:id="26" w:name="_Toc524902730"/>
      <w:r w:rsidRPr="000C4F04">
        <w:rPr>
          <w:rFonts w:hint="eastAsia"/>
          <w:color w:val="000000" w:themeColor="text1"/>
        </w:rPr>
        <w:t>調查意見</w:t>
      </w:r>
    </w:p>
    <w:p w:rsidR="004F367F" w:rsidRPr="000C4F04" w:rsidRDefault="004F367F" w:rsidP="004C2721">
      <w:pPr>
        <w:pStyle w:val="1"/>
        <w:numPr>
          <w:ilvl w:val="0"/>
          <w:numId w:val="0"/>
        </w:numPr>
        <w:ind w:leftChars="208" w:left="708" w:firstLineChars="208" w:firstLine="708"/>
        <w:rPr>
          <w:color w:val="000000" w:themeColor="text1"/>
        </w:rPr>
      </w:pPr>
      <w:r w:rsidRPr="000C4F04">
        <w:rPr>
          <w:rFonts w:hint="eastAsia"/>
          <w:color w:val="000000" w:themeColor="text1"/>
        </w:rPr>
        <w:t>案經本院向行政院農業委員會(下稱農委會)、衛生福利部</w:t>
      </w:r>
      <w:r w:rsidR="004C2721" w:rsidRPr="000C4F04">
        <w:rPr>
          <w:rFonts w:hint="eastAsia"/>
          <w:color w:val="000000" w:themeColor="text1"/>
        </w:rPr>
        <w:t>食品藥物管理署</w:t>
      </w:r>
      <w:r w:rsidRPr="000C4F04">
        <w:rPr>
          <w:rFonts w:hint="eastAsia"/>
          <w:color w:val="000000" w:themeColor="text1"/>
        </w:rPr>
        <w:t>(下</w:t>
      </w:r>
      <w:proofErr w:type="gramStart"/>
      <w:r w:rsidRPr="000C4F04">
        <w:rPr>
          <w:rFonts w:hint="eastAsia"/>
          <w:color w:val="000000" w:themeColor="text1"/>
        </w:rPr>
        <w:t>稱</w:t>
      </w:r>
      <w:r w:rsidR="004C2721" w:rsidRPr="000C4F04">
        <w:rPr>
          <w:rFonts w:hint="eastAsia"/>
          <w:color w:val="000000" w:themeColor="text1"/>
        </w:rPr>
        <w:t>食藥署</w:t>
      </w:r>
      <w:proofErr w:type="gramEnd"/>
      <w:r w:rsidRPr="000C4F04">
        <w:rPr>
          <w:rFonts w:hint="eastAsia"/>
          <w:color w:val="000000" w:themeColor="text1"/>
        </w:rPr>
        <w:t>)調閱相關卷證，並就檳榔主要病蟲害及農藥使用與殘留情形等議題，於</w:t>
      </w:r>
      <w:r w:rsidR="004C2721" w:rsidRPr="000C4F04">
        <w:rPr>
          <w:rFonts w:hint="eastAsia"/>
          <w:color w:val="000000" w:themeColor="text1"/>
        </w:rPr>
        <w:t>民國(下同)</w:t>
      </w:r>
      <w:r w:rsidRPr="000C4F04">
        <w:rPr>
          <w:rFonts w:hint="eastAsia"/>
          <w:color w:val="000000" w:themeColor="text1"/>
        </w:rPr>
        <w:t>108年10月31日</w:t>
      </w:r>
      <w:r w:rsidR="004C2721" w:rsidRPr="000C4F04">
        <w:rPr>
          <w:rFonts w:hint="eastAsia"/>
          <w:color w:val="000000" w:themeColor="text1"/>
        </w:rPr>
        <w:t>諮詢相關專家學者</w:t>
      </w:r>
      <w:r w:rsidRPr="000C4F04">
        <w:rPr>
          <w:rFonts w:hint="eastAsia"/>
          <w:color w:val="000000" w:themeColor="text1"/>
        </w:rPr>
        <w:t>；</w:t>
      </w:r>
      <w:proofErr w:type="gramStart"/>
      <w:r w:rsidRPr="000C4F04">
        <w:rPr>
          <w:rFonts w:hint="eastAsia"/>
          <w:color w:val="000000" w:themeColor="text1"/>
        </w:rPr>
        <w:t>嗣</w:t>
      </w:r>
      <w:proofErr w:type="gramEnd"/>
      <w:r w:rsidRPr="000C4F04">
        <w:rPr>
          <w:rFonts w:hint="eastAsia"/>
          <w:color w:val="000000" w:themeColor="text1"/>
        </w:rPr>
        <w:t>就本案案情癥結，於109年2月20日詢問農委會及所屬</w:t>
      </w:r>
      <w:proofErr w:type="gramStart"/>
      <w:r w:rsidRPr="000C4F04">
        <w:rPr>
          <w:rFonts w:hint="eastAsia"/>
          <w:color w:val="000000" w:themeColor="text1"/>
        </w:rPr>
        <w:t>農糧署</w:t>
      </w:r>
      <w:proofErr w:type="gramEnd"/>
      <w:r w:rsidR="007C0288" w:rsidRPr="000C4F04">
        <w:rPr>
          <w:rFonts w:hint="eastAsia"/>
          <w:color w:val="000000" w:themeColor="text1"/>
        </w:rPr>
        <w:t>(下</w:t>
      </w:r>
      <w:proofErr w:type="gramStart"/>
      <w:r w:rsidR="007C0288" w:rsidRPr="000C4F04">
        <w:rPr>
          <w:rFonts w:hint="eastAsia"/>
          <w:color w:val="000000" w:themeColor="text1"/>
        </w:rPr>
        <w:t>稱農糧署</w:t>
      </w:r>
      <w:proofErr w:type="gramEnd"/>
      <w:r w:rsidR="007C0288" w:rsidRPr="000C4F04">
        <w:rPr>
          <w:rFonts w:hint="eastAsia"/>
          <w:color w:val="000000" w:themeColor="text1"/>
        </w:rPr>
        <w:t>)</w:t>
      </w:r>
      <w:r w:rsidRPr="000C4F04">
        <w:rPr>
          <w:rFonts w:hint="eastAsia"/>
          <w:color w:val="000000" w:themeColor="text1"/>
        </w:rPr>
        <w:t>、動植物防疫檢疫局(</w:t>
      </w:r>
      <w:proofErr w:type="gramStart"/>
      <w:r w:rsidRPr="000C4F04">
        <w:rPr>
          <w:rFonts w:hint="eastAsia"/>
          <w:color w:val="000000" w:themeColor="text1"/>
        </w:rPr>
        <w:t>下稱防檢</w:t>
      </w:r>
      <w:proofErr w:type="gramEnd"/>
      <w:r w:rsidRPr="000C4F04">
        <w:rPr>
          <w:rFonts w:hint="eastAsia"/>
          <w:color w:val="000000" w:themeColor="text1"/>
        </w:rPr>
        <w:t>局)、農業藥物毒物試驗所(</w:t>
      </w:r>
      <w:proofErr w:type="gramStart"/>
      <w:r w:rsidRPr="000C4F04">
        <w:rPr>
          <w:rFonts w:hint="eastAsia"/>
          <w:color w:val="000000" w:themeColor="text1"/>
        </w:rPr>
        <w:t>藥毒所</w:t>
      </w:r>
      <w:proofErr w:type="gramEnd"/>
      <w:r w:rsidRPr="000C4F04">
        <w:rPr>
          <w:rFonts w:hint="eastAsia"/>
          <w:color w:val="000000" w:themeColor="text1"/>
        </w:rPr>
        <w:t>)，以及</w:t>
      </w:r>
      <w:proofErr w:type="gramStart"/>
      <w:r w:rsidRPr="000C4F04">
        <w:rPr>
          <w:rFonts w:hint="eastAsia"/>
          <w:color w:val="000000" w:themeColor="text1"/>
        </w:rPr>
        <w:t>食藥署</w:t>
      </w:r>
      <w:proofErr w:type="gramEnd"/>
      <w:r w:rsidRPr="000C4F04">
        <w:rPr>
          <w:rFonts w:hint="eastAsia"/>
          <w:color w:val="000000" w:themeColor="text1"/>
        </w:rPr>
        <w:t>等機關主管人員，業</w:t>
      </w:r>
      <w:proofErr w:type="gramStart"/>
      <w:r w:rsidRPr="000C4F04">
        <w:rPr>
          <w:rFonts w:hint="eastAsia"/>
          <w:color w:val="000000" w:themeColor="text1"/>
        </w:rPr>
        <w:t>調查竣事</w:t>
      </w:r>
      <w:proofErr w:type="gramEnd"/>
      <w:r w:rsidRPr="000C4F04">
        <w:rPr>
          <w:rFonts w:hint="eastAsia"/>
          <w:color w:val="000000" w:themeColor="text1"/>
        </w:rPr>
        <w:t>，茲陳述調查意見如下：</w:t>
      </w:r>
    </w:p>
    <w:p w:rsidR="003A5927" w:rsidRPr="000C4F04" w:rsidRDefault="0036739D" w:rsidP="0036739D">
      <w:pPr>
        <w:pStyle w:val="2"/>
        <w:rPr>
          <w:b/>
          <w:color w:val="000000" w:themeColor="text1"/>
        </w:rPr>
      </w:pPr>
      <w:r w:rsidRPr="000C4F04">
        <w:rPr>
          <w:rFonts w:hint="eastAsia"/>
          <w:b/>
          <w:color w:val="000000" w:themeColor="text1"/>
        </w:rPr>
        <w:t>長期以來，國人食用檳榔者眾，至今仍有超過4萬公頃種植面積及10萬公噸產量，然農委會長期漠視國內檳榔農藥問題，</w:t>
      </w:r>
      <w:r w:rsidR="00E138E6" w:rsidRPr="000C4F04">
        <w:rPr>
          <w:rFonts w:hint="eastAsia"/>
          <w:b/>
          <w:color w:val="000000" w:themeColor="text1"/>
        </w:rPr>
        <w:t>任</w:t>
      </w:r>
      <w:r w:rsidRPr="000C4F04">
        <w:rPr>
          <w:rFonts w:hint="eastAsia"/>
          <w:b/>
          <w:color w:val="000000" w:themeColor="text1"/>
        </w:rPr>
        <w:t>由</w:t>
      </w:r>
      <w:r w:rsidR="00E138E6" w:rsidRPr="000C4F04">
        <w:rPr>
          <w:rFonts w:hint="eastAsia"/>
          <w:b/>
          <w:color w:val="000000" w:themeColor="text1"/>
        </w:rPr>
        <w:t>栽種業者使用各種農藥，</w:t>
      </w:r>
      <w:r w:rsidRPr="000C4F04">
        <w:rPr>
          <w:rFonts w:hint="eastAsia"/>
          <w:b/>
          <w:color w:val="000000" w:themeColor="text1"/>
        </w:rPr>
        <w:t>不但</w:t>
      </w:r>
      <w:r w:rsidR="00E138E6" w:rsidRPr="000C4F04">
        <w:rPr>
          <w:rFonts w:hint="eastAsia"/>
          <w:b/>
          <w:color w:val="000000" w:themeColor="text1"/>
        </w:rPr>
        <w:t>影響</w:t>
      </w:r>
      <w:r w:rsidR="00F54C2E" w:rsidRPr="000C4F04">
        <w:rPr>
          <w:rFonts w:hint="eastAsia"/>
          <w:b/>
          <w:color w:val="000000" w:themeColor="text1"/>
        </w:rPr>
        <w:t>農民、檳榔食用者</w:t>
      </w:r>
      <w:r w:rsidRPr="000C4F04">
        <w:rPr>
          <w:rFonts w:hint="eastAsia"/>
          <w:b/>
          <w:color w:val="000000" w:themeColor="text1"/>
        </w:rPr>
        <w:t>健康，亦影響</w:t>
      </w:r>
      <w:r w:rsidR="00F54C2E" w:rsidRPr="000C4F04">
        <w:rPr>
          <w:rFonts w:hint="eastAsia"/>
          <w:b/>
          <w:color w:val="000000" w:themeColor="text1"/>
        </w:rPr>
        <w:t>生態環境甚</w:t>
      </w:r>
      <w:proofErr w:type="gramStart"/>
      <w:r w:rsidR="00F54C2E" w:rsidRPr="000C4F04">
        <w:rPr>
          <w:rFonts w:hint="eastAsia"/>
          <w:b/>
          <w:color w:val="000000" w:themeColor="text1"/>
        </w:rPr>
        <w:t>鉅</w:t>
      </w:r>
      <w:proofErr w:type="gramEnd"/>
      <w:r w:rsidR="00F54C2E" w:rsidRPr="000C4F04">
        <w:rPr>
          <w:rFonts w:hint="eastAsia"/>
          <w:b/>
          <w:color w:val="000000" w:themeColor="text1"/>
        </w:rPr>
        <w:t>，</w:t>
      </w:r>
      <w:r w:rsidRPr="000C4F04">
        <w:rPr>
          <w:rFonts w:hint="eastAsia"/>
          <w:b/>
          <w:color w:val="000000" w:themeColor="text1"/>
        </w:rPr>
        <w:t>加</w:t>
      </w:r>
      <w:r w:rsidR="004C2721" w:rsidRPr="000C4F04">
        <w:rPr>
          <w:rFonts w:hint="eastAsia"/>
          <w:b/>
          <w:color w:val="000000" w:themeColor="text1"/>
        </w:rPr>
        <w:t>以</w:t>
      </w:r>
      <w:proofErr w:type="gramStart"/>
      <w:r w:rsidR="004C2721" w:rsidRPr="000C4F04">
        <w:rPr>
          <w:rFonts w:hint="eastAsia"/>
          <w:b/>
          <w:color w:val="000000" w:themeColor="text1"/>
        </w:rPr>
        <w:t>食藥署不</w:t>
      </w:r>
      <w:proofErr w:type="gramEnd"/>
      <w:r w:rsidR="004C2721" w:rsidRPr="000C4F04">
        <w:rPr>
          <w:rFonts w:hint="eastAsia"/>
          <w:b/>
          <w:color w:val="000000" w:themeColor="text1"/>
        </w:rPr>
        <w:t>認定檳榔屬於食品，</w:t>
      </w:r>
      <w:r w:rsidRPr="000C4F04">
        <w:rPr>
          <w:rFonts w:hint="eastAsia"/>
          <w:b/>
          <w:color w:val="000000" w:themeColor="text1"/>
        </w:rPr>
        <w:t>農委會因此</w:t>
      </w:r>
      <w:r w:rsidR="004C2721" w:rsidRPr="000C4F04">
        <w:rPr>
          <w:rFonts w:hint="eastAsia"/>
          <w:b/>
          <w:color w:val="000000" w:themeColor="text1"/>
        </w:rPr>
        <w:t>未將檳榔視</w:t>
      </w:r>
      <w:r w:rsidR="004C2721" w:rsidRPr="000C4F04">
        <w:rPr>
          <w:rFonts w:hint="eastAsia"/>
          <w:b/>
          <w:color w:val="000000" w:themeColor="text1"/>
        </w:rPr>
        <w:lastRenderedPageBreak/>
        <w:t>為農作物，</w:t>
      </w:r>
      <w:r w:rsidRPr="000C4F04">
        <w:rPr>
          <w:rFonts w:hint="eastAsia"/>
          <w:b/>
          <w:color w:val="000000" w:themeColor="text1"/>
        </w:rPr>
        <w:t>以</w:t>
      </w:r>
      <w:r w:rsidR="004C2721" w:rsidRPr="000C4F04">
        <w:rPr>
          <w:rFonts w:hint="eastAsia"/>
          <w:b/>
          <w:color w:val="000000" w:themeColor="text1"/>
        </w:rPr>
        <w:t>致遲</w:t>
      </w:r>
      <w:r w:rsidRPr="000C4F04">
        <w:rPr>
          <w:rFonts w:hint="eastAsia"/>
          <w:b/>
          <w:color w:val="000000" w:themeColor="text1"/>
        </w:rPr>
        <w:t>遲</w:t>
      </w:r>
      <w:r w:rsidR="004C2721" w:rsidRPr="000C4F04">
        <w:rPr>
          <w:rFonts w:hint="eastAsia"/>
          <w:b/>
          <w:color w:val="000000" w:themeColor="text1"/>
        </w:rPr>
        <w:t>未訂定農藥使用管理規範</w:t>
      </w:r>
      <w:r w:rsidR="007C0288" w:rsidRPr="000C4F04">
        <w:rPr>
          <w:rFonts w:hint="eastAsia"/>
          <w:b/>
          <w:color w:val="000000" w:themeColor="text1"/>
        </w:rPr>
        <w:t>，確有</w:t>
      </w:r>
      <w:proofErr w:type="gramStart"/>
      <w:r w:rsidR="007C0288" w:rsidRPr="000C4F04">
        <w:rPr>
          <w:rFonts w:hint="eastAsia"/>
          <w:b/>
          <w:color w:val="000000" w:themeColor="text1"/>
        </w:rPr>
        <w:t>怠</w:t>
      </w:r>
      <w:proofErr w:type="gramEnd"/>
      <w:r w:rsidR="007C0288" w:rsidRPr="000C4F04">
        <w:rPr>
          <w:rFonts w:hint="eastAsia"/>
          <w:b/>
          <w:color w:val="000000" w:themeColor="text1"/>
        </w:rPr>
        <w:t>失</w:t>
      </w:r>
      <w:r w:rsidR="004C2721" w:rsidRPr="000C4F04">
        <w:rPr>
          <w:rFonts w:hint="eastAsia"/>
          <w:b/>
          <w:color w:val="000000" w:themeColor="text1"/>
        </w:rPr>
        <w:t>。</w:t>
      </w:r>
      <w:r w:rsidR="00F54C2E" w:rsidRPr="000C4F04">
        <w:rPr>
          <w:rFonts w:hint="eastAsia"/>
          <w:b/>
          <w:color w:val="000000" w:themeColor="text1"/>
        </w:rPr>
        <w:t>現</w:t>
      </w:r>
      <w:r w:rsidR="004C2721" w:rsidRPr="000C4F04">
        <w:rPr>
          <w:rFonts w:hint="eastAsia"/>
          <w:b/>
          <w:color w:val="000000" w:themeColor="text1"/>
        </w:rPr>
        <w:t>農委會</w:t>
      </w:r>
      <w:r w:rsidR="00F54C2E" w:rsidRPr="000C4F04">
        <w:rPr>
          <w:rFonts w:hint="eastAsia"/>
          <w:b/>
          <w:color w:val="000000" w:themeColor="text1"/>
        </w:rPr>
        <w:t>已著手訂定檳榔田間生產管理規範，惟仍應儘速確實落實法制作業程序，且應</w:t>
      </w:r>
      <w:proofErr w:type="gramStart"/>
      <w:r w:rsidR="00F54C2E" w:rsidRPr="000C4F04">
        <w:rPr>
          <w:rFonts w:hint="eastAsia"/>
          <w:b/>
          <w:color w:val="000000" w:themeColor="text1"/>
        </w:rPr>
        <w:t>研</w:t>
      </w:r>
      <w:proofErr w:type="gramEnd"/>
      <w:r w:rsidR="00F54C2E" w:rsidRPr="000C4F04">
        <w:rPr>
          <w:rFonts w:hint="eastAsia"/>
          <w:b/>
          <w:color w:val="000000" w:themeColor="text1"/>
        </w:rPr>
        <w:t>議及辦理抽檢計畫，自法規及執行面澈底解決檳榔農藥</w:t>
      </w:r>
      <w:r w:rsidRPr="000C4F04">
        <w:rPr>
          <w:rFonts w:hint="eastAsia"/>
          <w:b/>
          <w:color w:val="000000" w:themeColor="text1"/>
        </w:rPr>
        <w:t>衍生之種種</w:t>
      </w:r>
      <w:r w:rsidR="00F54C2E" w:rsidRPr="000C4F04">
        <w:rPr>
          <w:rFonts w:hint="eastAsia"/>
          <w:b/>
          <w:color w:val="000000" w:themeColor="text1"/>
        </w:rPr>
        <w:t>問題。</w:t>
      </w:r>
    </w:p>
    <w:p w:rsidR="00B91C74" w:rsidRPr="000C4F04" w:rsidRDefault="005A3AB6" w:rsidP="001F5D56">
      <w:pPr>
        <w:pStyle w:val="3"/>
        <w:rPr>
          <w:color w:val="000000" w:themeColor="text1"/>
        </w:rPr>
      </w:pPr>
      <w:r w:rsidRPr="000C4F04">
        <w:rPr>
          <w:rFonts w:hint="eastAsia"/>
          <w:color w:val="000000" w:themeColor="text1"/>
        </w:rPr>
        <w:t>關於我國檳榔栽種情形，</w:t>
      </w:r>
      <w:r w:rsidR="00B91C74" w:rsidRPr="000C4F04">
        <w:rPr>
          <w:rFonts w:hint="eastAsia"/>
          <w:color w:val="000000" w:themeColor="text1"/>
        </w:rPr>
        <w:t>據農委會查復</w:t>
      </w:r>
      <w:r w:rsidR="00B91C74" w:rsidRPr="000C4F04">
        <w:rPr>
          <w:rStyle w:val="afe"/>
          <w:bCs w:val="0"/>
          <w:color w:val="000000" w:themeColor="text1"/>
        </w:rPr>
        <w:footnoteReference w:id="1"/>
      </w:r>
      <w:r w:rsidR="00B91C74" w:rsidRPr="000C4F04">
        <w:rPr>
          <w:rFonts w:hint="eastAsia"/>
          <w:color w:val="000000" w:themeColor="text1"/>
        </w:rPr>
        <w:t>，100至107各年度國內檳榔種植</w:t>
      </w:r>
      <w:r w:rsidR="00680976" w:rsidRPr="000C4F04">
        <w:rPr>
          <w:rFonts w:hint="eastAsia"/>
          <w:color w:val="000000" w:themeColor="text1"/>
        </w:rPr>
        <w:t>面積</w:t>
      </w:r>
      <w:r w:rsidR="00B91C74" w:rsidRPr="000C4F04">
        <w:rPr>
          <w:rFonts w:hint="eastAsia"/>
          <w:color w:val="000000" w:themeColor="text1"/>
        </w:rPr>
        <w:t>分別為46,367、45,887、45,792、44,959、43,832、42,940、42,661及42,510公頃，</w:t>
      </w:r>
      <w:proofErr w:type="gramStart"/>
      <w:r w:rsidR="00B91C74" w:rsidRPr="000C4F04">
        <w:rPr>
          <w:rFonts w:hint="eastAsia"/>
          <w:color w:val="000000" w:themeColor="text1"/>
        </w:rPr>
        <w:t>每年均達4萬公頃</w:t>
      </w:r>
      <w:proofErr w:type="gramEnd"/>
      <w:r w:rsidR="00B91C74" w:rsidRPr="000C4F04">
        <w:rPr>
          <w:rFonts w:hint="eastAsia"/>
          <w:color w:val="000000" w:themeColor="text1"/>
        </w:rPr>
        <w:t>以上；至於各縣市分布情形，其中以南投縣約</w:t>
      </w:r>
      <w:proofErr w:type="gramStart"/>
      <w:r w:rsidRPr="000C4F04">
        <w:rPr>
          <w:rFonts w:hint="eastAsia"/>
          <w:color w:val="000000" w:themeColor="text1"/>
        </w:rPr>
        <w:t>3</w:t>
      </w:r>
      <w:r w:rsidR="00B91C74" w:rsidRPr="000C4F04">
        <w:rPr>
          <w:rFonts w:hint="eastAsia"/>
          <w:color w:val="000000" w:themeColor="text1"/>
        </w:rPr>
        <w:t>成</w:t>
      </w:r>
      <w:proofErr w:type="gramEnd"/>
      <w:r w:rsidR="00B91C74" w:rsidRPr="000C4F04">
        <w:rPr>
          <w:rFonts w:hint="eastAsia"/>
          <w:color w:val="000000" w:themeColor="text1"/>
        </w:rPr>
        <w:t>居冠，其次為屏東縣、嘉義縣及花蓮縣。</w:t>
      </w:r>
    </w:p>
    <w:p w:rsidR="00CC42AB" w:rsidRPr="000C4F04" w:rsidRDefault="005A3AB6" w:rsidP="005A3AB6">
      <w:pPr>
        <w:pStyle w:val="3"/>
        <w:numPr>
          <w:ilvl w:val="0"/>
          <w:numId w:val="0"/>
        </w:numPr>
        <w:ind w:left="1361" w:firstLineChars="183" w:firstLine="622"/>
        <w:rPr>
          <w:color w:val="000000" w:themeColor="text1"/>
        </w:rPr>
      </w:pPr>
      <w:r w:rsidRPr="000C4F04">
        <w:rPr>
          <w:rFonts w:hint="eastAsia"/>
          <w:color w:val="000000" w:themeColor="text1"/>
        </w:rPr>
        <w:t>另有關我國檳榔產量，</w:t>
      </w:r>
      <w:r w:rsidR="00CC42AB" w:rsidRPr="000C4F04">
        <w:rPr>
          <w:rFonts w:hint="eastAsia"/>
          <w:color w:val="000000" w:themeColor="text1"/>
        </w:rPr>
        <w:t>100至107年各年度產量分別為</w:t>
      </w:r>
      <w:r w:rsidR="00CC42AB" w:rsidRPr="000C4F04">
        <w:rPr>
          <w:color w:val="000000" w:themeColor="text1"/>
        </w:rPr>
        <w:t>129,316</w:t>
      </w:r>
      <w:r w:rsidR="00CC42AB" w:rsidRPr="000C4F04">
        <w:rPr>
          <w:rFonts w:hint="eastAsia"/>
          <w:color w:val="000000" w:themeColor="text1"/>
        </w:rPr>
        <w:t>、</w:t>
      </w:r>
      <w:r w:rsidR="00CC42AB" w:rsidRPr="000C4F04">
        <w:rPr>
          <w:color w:val="000000" w:themeColor="text1"/>
        </w:rPr>
        <w:t>124,091</w:t>
      </w:r>
      <w:r w:rsidR="00CC42AB" w:rsidRPr="000C4F04">
        <w:rPr>
          <w:rFonts w:hint="eastAsia"/>
          <w:color w:val="000000" w:themeColor="text1"/>
        </w:rPr>
        <w:t>、</w:t>
      </w:r>
      <w:r w:rsidR="00CC42AB" w:rsidRPr="000C4F04">
        <w:rPr>
          <w:color w:val="000000" w:themeColor="text1"/>
        </w:rPr>
        <w:t>124,054</w:t>
      </w:r>
      <w:r w:rsidR="00CC42AB" w:rsidRPr="000C4F04">
        <w:rPr>
          <w:rFonts w:hint="eastAsia"/>
          <w:color w:val="000000" w:themeColor="text1"/>
        </w:rPr>
        <w:t>、</w:t>
      </w:r>
      <w:r w:rsidR="00CC42AB" w:rsidRPr="000C4F04">
        <w:rPr>
          <w:color w:val="000000" w:themeColor="text1"/>
        </w:rPr>
        <w:t>121,435</w:t>
      </w:r>
      <w:r w:rsidR="00CC42AB" w:rsidRPr="000C4F04">
        <w:rPr>
          <w:rFonts w:hint="eastAsia"/>
          <w:color w:val="000000" w:themeColor="text1"/>
        </w:rPr>
        <w:t>、</w:t>
      </w:r>
      <w:r w:rsidR="00CC42AB" w:rsidRPr="000C4F04">
        <w:rPr>
          <w:color w:val="000000" w:themeColor="text1"/>
        </w:rPr>
        <w:t>113,182</w:t>
      </w:r>
      <w:r w:rsidR="00CC42AB" w:rsidRPr="000C4F04">
        <w:rPr>
          <w:rFonts w:hint="eastAsia"/>
          <w:color w:val="000000" w:themeColor="text1"/>
        </w:rPr>
        <w:t>、</w:t>
      </w:r>
      <w:r w:rsidR="00CC42AB" w:rsidRPr="000C4F04">
        <w:rPr>
          <w:color w:val="000000" w:themeColor="text1"/>
        </w:rPr>
        <w:t>99,992</w:t>
      </w:r>
      <w:r w:rsidR="00CC42AB" w:rsidRPr="000C4F04">
        <w:rPr>
          <w:rFonts w:hint="eastAsia"/>
          <w:color w:val="000000" w:themeColor="text1"/>
        </w:rPr>
        <w:t>、</w:t>
      </w:r>
      <w:r w:rsidR="00CC42AB" w:rsidRPr="000C4F04">
        <w:rPr>
          <w:color w:val="000000" w:themeColor="text1"/>
        </w:rPr>
        <w:t>102,165</w:t>
      </w:r>
      <w:r w:rsidR="00CC42AB" w:rsidRPr="000C4F04">
        <w:rPr>
          <w:rFonts w:hint="eastAsia"/>
          <w:color w:val="000000" w:themeColor="text1"/>
        </w:rPr>
        <w:t>及</w:t>
      </w:r>
      <w:r w:rsidR="00CC42AB" w:rsidRPr="000C4F04">
        <w:rPr>
          <w:color w:val="000000" w:themeColor="text1"/>
        </w:rPr>
        <w:t>102,918</w:t>
      </w:r>
      <w:r w:rsidR="00CC42AB" w:rsidRPr="000C4F04">
        <w:rPr>
          <w:rFonts w:hint="eastAsia"/>
          <w:color w:val="000000" w:themeColor="text1"/>
        </w:rPr>
        <w:t>公噸，平均約11.4萬公噸；農委會表示，自103年起推動檳榔管理方案，輔導農民進行檳榔廢園及轉作，103至105年產量已呈逐年下降趨勢，105年降至10萬公噸以下(</w:t>
      </w:r>
      <w:r w:rsidR="00CC42AB" w:rsidRPr="000C4F04">
        <w:rPr>
          <w:color w:val="000000" w:themeColor="text1"/>
        </w:rPr>
        <w:t>99,992</w:t>
      </w:r>
      <w:r w:rsidR="00CC42AB" w:rsidRPr="000C4F04">
        <w:rPr>
          <w:rFonts w:hint="eastAsia"/>
          <w:color w:val="000000" w:themeColor="text1"/>
        </w:rPr>
        <w:t>公噸)。惟106及107年又回升至10萬公噸以上(</w:t>
      </w:r>
      <w:r w:rsidR="00CC42AB" w:rsidRPr="000C4F04">
        <w:rPr>
          <w:color w:val="000000" w:themeColor="text1"/>
        </w:rPr>
        <w:t>102,165</w:t>
      </w:r>
      <w:r w:rsidR="00CC42AB" w:rsidRPr="000C4F04">
        <w:rPr>
          <w:rFonts w:hint="eastAsia"/>
          <w:color w:val="000000" w:themeColor="text1"/>
        </w:rPr>
        <w:t>及</w:t>
      </w:r>
      <w:r w:rsidR="00CC42AB" w:rsidRPr="000C4F04">
        <w:rPr>
          <w:color w:val="000000" w:themeColor="text1"/>
        </w:rPr>
        <w:t>102,918</w:t>
      </w:r>
      <w:r w:rsidR="00CC42AB" w:rsidRPr="000C4F04">
        <w:rPr>
          <w:rFonts w:hint="eastAsia"/>
          <w:color w:val="000000" w:themeColor="text1"/>
        </w:rPr>
        <w:t>公噸)</w:t>
      </w:r>
    </w:p>
    <w:p w:rsidR="00B91C74" w:rsidRPr="000C4F04" w:rsidRDefault="005A3AB6" w:rsidP="005A3AB6">
      <w:pPr>
        <w:pStyle w:val="3"/>
        <w:numPr>
          <w:ilvl w:val="0"/>
          <w:numId w:val="0"/>
        </w:numPr>
        <w:ind w:left="1361" w:firstLineChars="183" w:firstLine="622"/>
        <w:rPr>
          <w:color w:val="000000" w:themeColor="text1"/>
        </w:rPr>
      </w:pPr>
      <w:r w:rsidRPr="000C4F04">
        <w:rPr>
          <w:rFonts w:hint="eastAsia"/>
          <w:color w:val="000000" w:themeColor="text1"/>
        </w:rPr>
        <w:t>至於檳榔產值，</w:t>
      </w:r>
      <w:r w:rsidR="00B91C74" w:rsidRPr="000C4F04">
        <w:rPr>
          <w:rFonts w:hint="eastAsia"/>
          <w:color w:val="000000" w:themeColor="text1"/>
        </w:rPr>
        <w:t>100至102年約為新臺幣(下同)80億餘元，103年大幅增加至100億</w:t>
      </w:r>
      <w:r w:rsidR="00CC42AB" w:rsidRPr="000C4F04">
        <w:rPr>
          <w:rFonts w:hint="eastAsia"/>
          <w:color w:val="000000" w:themeColor="text1"/>
        </w:rPr>
        <w:t>元</w:t>
      </w:r>
      <w:r w:rsidR="00B91C74" w:rsidRPr="000C4F04">
        <w:rPr>
          <w:rFonts w:hint="eastAsia"/>
          <w:color w:val="000000" w:themeColor="text1"/>
        </w:rPr>
        <w:t>以上(</w:t>
      </w:r>
      <w:r w:rsidR="00B91C74" w:rsidRPr="000C4F04">
        <w:rPr>
          <w:color w:val="000000" w:themeColor="text1"/>
        </w:rPr>
        <w:t>10,686,248</w:t>
      </w:r>
      <w:r w:rsidR="00B91C74" w:rsidRPr="000C4F04">
        <w:rPr>
          <w:rFonts w:hint="eastAsia"/>
          <w:color w:val="000000" w:themeColor="text1"/>
        </w:rPr>
        <w:t>元)，至105年則略為下降至90億餘元(</w:t>
      </w:r>
      <w:r w:rsidR="00B91C74" w:rsidRPr="000C4F04">
        <w:rPr>
          <w:color w:val="000000" w:themeColor="text1"/>
        </w:rPr>
        <w:t>9,199,261</w:t>
      </w:r>
      <w:r w:rsidR="00B91C74" w:rsidRPr="000C4F04">
        <w:rPr>
          <w:rFonts w:hint="eastAsia"/>
          <w:color w:val="000000" w:themeColor="text1"/>
        </w:rPr>
        <w:t>元)，106年則又</w:t>
      </w:r>
      <w:proofErr w:type="gramStart"/>
      <w:r w:rsidR="00B91C74" w:rsidRPr="000C4F04">
        <w:rPr>
          <w:rFonts w:hint="eastAsia"/>
          <w:color w:val="000000" w:themeColor="text1"/>
        </w:rPr>
        <w:t>飆</w:t>
      </w:r>
      <w:proofErr w:type="gramEnd"/>
      <w:r w:rsidR="00B91C74" w:rsidRPr="000C4F04">
        <w:rPr>
          <w:rFonts w:hint="eastAsia"/>
          <w:color w:val="000000" w:themeColor="text1"/>
        </w:rPr>
        <w:t>升至最高為</w:t>
      </w:r>
      <w:r w:rsidR="00B91C74" w:rsidRPr="000C4F04">
        <w:rPr>
          <w:color w:val="000000" w:themeColor="text1"/>
        </w:rPr>
        <w:t>11</w:t>
      </w:r>
      <w:r w:rsidR="00B91C74" w:rsidRPr="000C4F04">
        <w:rPr>
          <w:rFonts w:hint="eastAsia"/>
          <w:color w:val="000000" w:themeColor="text1"/>
        </w:rPr>
        <w:t>0億餘元(11</w:t>
      </w:r>
      <w:r w:rsidR="00B91C74" w:rsidRPr="000C4F04">
        <w:rPr>
          <w:color w:val="000000" w:themeColor="text1"/>
        </w:rPr>
        <w:t>,401,603</w:t>
      </w:r>
      <w:r w:rsidR="00B91C74" w:rsidRPr="000C4F04">
        <w:rPr>
          <w:rFonts w:hint="eastAsia"/>
          <w:color w:val="000000" w:themeColor="text1"/>
        </w:rPr>
        <w:t>元)，詳如</w:t>
      </w:r>
      <w:r w:rsidRPr="000C4F04">
        <w:rPr>
          <w:rFonts w:hint="eastAsia"/>
          <w:color w:val="000000" w:themeColor="text1"/>
        </w:rPr>
        <w:t>下表</w:t>
      </w:r>
      <w:r w:rsidR="00B91C74" w:rsidRPr="000C4F04">
        <w:rPr>
          <w:rFonts w:hint="eastAsia"/>
          <w:color w:val="000000" w:themeColor="text1"/>
        </w:rPr>
        <w:t>。</w:t>
      </w:r>
    </w:p>
    <w:p w:rsidR="00B91C74" w:rsidRPr="000C4F04" w:rsidRDefault="00B91C74" w:rsidP="00B91C74">
      <w:pPr>
        <w:pStyle w:val="a3"/>
        <w:jc w:val="center"/>
        <w:rPr>
          <w:color w:val="000000" w:themeColor="text1"/>
        </w:rPr>
      </w:pPr>
      <w:r w:rsidRPr="000C4F04">
        <w:rPr>
          <w:rFonts w:hint="eastAsia"/>
          <w:color w:val="000000" w:themeColor="text1"/>
        </w:rPr>
        <w:t>國內100至107年檳榔生產概況</w:t>
      </w:r>
    </w:p>
    <w:tbl>
      <w:tblPr>
        <w:tblW w:w="941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701"/>
        <w:gridCol w:w="1559"/>
        <w:gridCol w:w="1843"/>
        <w:gridCol w:w="3544"/>
      </w:tblGrid>
      <w:tr w:rsidR="000C4F04" w:rsidRPr="000C4F04" w:rsidTr="001F5D56">
        <w:trPr>
          <w:trHeight w:val="434"/>
        </w:trPr>
        <w:tc>
          <w:tcPr>
            <w:tcW w:w="765" w:type="dxa"/>
          </w:tcPr>
          <w:p w:rsidR="00B91C74" w:rsidRPr="000C4F04" w:rsidRDefault="00B91C74" w:rsidP="001F5D56">
            <w:pPr>
              <w:pStyle w:val="Default"/>
              <w:ind w:leftChars="-19" w:left="-65" w:rightChars="-20" w:right="-68"/>
              <w:rPr>
                <w:rFonts w:eastAsia="標楷體"/>
                <w:color w:val="000000" w:themeColor="text1"/>
                <w:sz w:val="28"/>
                <w:szCs w:val="28"/>
              </w:rPr>
            </w:pPr>
            <w:proofErr w:type="gramStart"/>
            <w:r w:rsidRPr="000C4F04">
              <w:rPr>
                <w:rFonts w:eastAsia="標楷體"/>
                <w:color w:val="000000" w:themeColor="text1"/>
                <w:sz w:val="28"/>
                <w:szCs w:val="28"/>
              </w:rPr>
              <w:t>年別</w:t>
            </w:r>
            <w:proofErr w:type="gramEnd"/>
          </w:p>
        </w:tc>
        <w:tc>
          <w:tcPr>
            <w:tcW w:w="1701" w:type="dxa"/>
          </w:tcPr>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olor w:val="000000" w:themeColor="text1"/>
                <w:sz w:val="28"/>
                <w:szCs w:val="28"/>
              </w:rPr>
              <w:t>種植面積</w:t>
            </w:r>
            <w:r w:rsidRPr="000C4F04">
              <w:rPr>
                <w:rFonts w:eastAsia="標楷體" w:cs="Times New Roman"/>
                <w:color w:val="000000" w:themeColor="text1"/>
                <w:sz w:val="28"/>
                <w:szCs w:val="28"/>
              </w:rPr>
              <w:t>(</w:t>
            </w:r>
            <w:r w:rsidRPr="000C4F04">
              <w:rPr>
                <w:rFonts w:eastAsia="標楷體"/>
                <w:color w:val="000000" w:themeColor="text1"/>
                <w:sz w:val="28"/>
                <w:szCs w:val="28"/>
              </w:rPr>
              <w:t>公頃</w:t>
            </w:r>
            <w:r w:rsidRPr="000C4F04">
              <w:rPr>
                <w:rFonts w:eastAsia="標楷體" w:cs="Times New Roman"/>
                <w:color w:val="000000" w:themeColor="text1"/>
                <w:sz w:val="28"/>
                <w:szCs w:val="28"/>
              </w:rPr>
              <w:t>)</w:t>
            </w:r>
          </w:p>
        </w:tc>
        <w:tc>
          <w:tcPr>
            <w:tcW w:w="1559" w:type="dxa"/>
          </w:tcPr>
          <w:p w:rsidR="00B91C74" w:rsidRPr="000C4F04" w:rsidRDefault="00B91C74" w:rsidP="001F5D56">
            <w:pPr>
              <w:pStyle w:val="Default"/>
              <w:jc w:val="center"/>
              <w:rPr>
                <w:rFonts w:eastAsia="標楷體"/>
                <w:color w:val="000000" w:themeColor="text1"/>
                <w:sz w:val="28"/>
                <w:szCs w:val="28"/>
              </w:rPr>
            </w:pPr>
            <w:r w:rsidRPr="000C4F04">
              <w:rPr>
                <w:rFonts w:eastAsia="標楷體"/>
                <w:color w:val="000000" w:themeColor="text1"/>
                <w:sz w:val="28"/>
                <w:szCs w:val="28"/>
              </w:rPr>
              <w:t>產量</w:t>
            </w:r>
          </w:p>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s="Times New Roman"/>
                <w:color w:val="000000" w:themeColor="text1"/>
                <w:sz w:val="28"/>
                <w:szCs w:val="28"/>
              </w:rPr>
              <w:t>(</w:t>
            </w:r>
            <w:r w:rsidRPr="000C4F04">
              <w:rPr>
                <w:rFonts w:eastAsia="標楷體"/>
                <w:color w:val="000000" w:themeColor="text1"/>
                <w:sz w:val="28"/>
                <w:szCs w:val="28"/>
              </w:rPr>
              <w:t>公噸</w:t>
            </w:r>
            <w:r w:rsidRPr="000C4F04">
              <w:rPr>
                <w:rFonts w:eastAsia="標楷體" w:cs="Times New Roman"/>
                <w:color w:val="000000" w:themeColor="text1"/>
                <w:sz w:val="28"/>
                <w:szCs w:val="28"/>
              </w:rPr>
              <w:t>)</w:t>
            </w:r>
          </w:p>
        </w:tc>
        <w:tc>
          <w:tcPr>
            <w:tcW w:w="1843" w:type="dxa"/>
          </w:tcPr>
          <w:p w:rsidR="00B91C74" w:rsidRPr="000C4F04" w:rsidRDefault="00B91C74" w:rsidP="001F5D56">
            <w:pPr>
              <w:pStyle w:val="Default"/>
              <w:jc w:val="center"/>
              <w:rPr>
                <w:rFonts w:eastAsia="標楷體"/>
                <w:color w:val="000000" w:themeColor="text1"/>
                <w:sz w:val="28"/>
                <w:szCs w:val="28"/>
              </w:rPr>
            </w:pPr>
            <w:r w:rsidRPr="000C4F04">
              <w:rPr>
                <w:rFonts w:eastAsia="標楷體"/>
                <w:color w:val="000000" w:themeColor="text1"/>
                <w:sz w:val="28"/>
                <w:szCs w:val="28"/>
              </w:rPr>
              <w:t>產值</w:t>
            </w:r>
          </w:p>
          <w:p w:rsidR="00B91C74" w:rsidRPr="000C4F04" w:rsidRDefault="00B91C74" w:rsidP="001F5D56">
            <w:pPr>
              <w:pStyle w:val="Default"/>
              <w:ind w:leftChars="-25" w:left="-85" w:rightChars="-27" w:right="-92"/>
              <w:jc w:val="center"/>
              <w:rPr>
                <w:rFonts w:eastAsia="標楷體" w:cs="Times New Roman"/>
                <w:color w:val="000000" w:themeColor="text1"/>
                <w:sz w:val="28"/>
                <w:szCs w:val="28"/>
              </w:rPr>
            </w:pPr>
            <w:r w:rsidRPr="000C4F04">
              <w:rPr>
                <w:rFonts w:eastAsia="標楷體" w:cs="Times New Roman"/>
                <w:color w:val="000000" w:themeColor="text1"/>
                <w:sz w:val="28"/>
                <w:szCs w:val="28"/>
              </w:rPr>
              <w:t>(</w:t>
            </w:r>
            <w:r w:rsidRPr="000C4F04">
              <w:rPr>
                <w:rFonts w:eastAsia="標楷體" w:cs="Times New Roman" w:hint="eastAsia"/>
                <w:color w:val="000000" w:themeColor="text1"/>
                <w:sz w:val="28"/>
                <w:szCs w:val="28"/>
              </w:rPr>
              <w:t>新臺幣</w:t>
            </w:r>
            <w:r w:rsidRPr="000C4F04">
              <w:rPr>
                <w:rFonts w:eastAsia="標楷體"/>
                <w:color w:val="000000" w:themeColor="text1"/>
                <w:sz w:val="28"/>
                <w:szCs w:val="28"/>
              </w:rPr>
              <w:t>千元</w:t>
            </w:r>
            <w:r w:rsidRPr="000C4F04">
              <w:rPr>
                <w:rFonts w:eastAsia="標楷體" w:cs="Times New Roman"/>
                <w:color w:val="000000" w:themeColor="text1"/>
                <w:sz w:val="28"/>
                <w:szCs w:val="28"/>
              </w:rPr>
              <w:t>)</w:t>
            </w:r>
          </w:p>
        </w:tc>
        <w:tc>
          <w:tcPr>
            <w:tcW w:w="3544" w:type="dxa"/>
          </w:tcPr>
          <w:p w:rsidR="00B91C74" w:rsidRPr="000C4F04" w:rsidRDefault="00B91C74" w:rsidP="001F5D56">
            <w:pPr>
              <w:pStyle w:val="Default"/>
              <w:jc w:val="center"/>
              <w:rPr>
                <w:rFonts w:eastAsia="標楷體"/>
                <w:color w:val="000000" w:themeColor="text1"/>
                <w:sz w:val="28"/>
                <w:szCs w:val="28"/>
              </w:rPr>
            </w:pPr>
            <w:r w:rsidRPr="000C4F04">
              <w:rPr>
                <w:rFonts w:eastAsia="標楷體"/>
                <w:color w:val="000000" w:themeColor="text1"/>
                <w:sz w:val="28"/>
                <w:szCs w:val="28"/>
              </w:rPr>
              <w:t>縣市（占比</w:t>
            </w:r>
            <w:r w:rsidRPr="000C4F04">
              <w:rPr>
                <w:rFonts w:eastAsia="標楷體" w:cs="Times New Roman"/>
                <w:color w:val="000000" w:themeColor="text1"/>
                <w:sz w:val="28"/>
                <w:szCs w:val="28"/>
              </w:rPr>
              <w:t>%</w:t>
            </w:r>
            <w:r w:rsidRPr="000C4F04">
              <w:rPr>
                <w:rFonts w:eastAsia="標楷體"/>
                <w:color w:val="000000" w:themeColor="text1"/>
                <w:sz w:val="28"/>
                <w:szCs w:val="28"/>
              </w:rPr>
              <w:t>）分布</w:t>
            </w:r>
          </w:p>
        </w:tc>
      </w:tr>
      <w:tr w:rsidR="000C4F04" w:rsidRPr="000C4F04" w:rsidTr="001F5D56">
        <w:trPr>
          <w:trHeight w:val="292"/>
        </w:trPr>
        <w:tc>
          <w:tcPr>
            <w:tcW w:w="765" w:type="dxa"/>
            <w:vAlign w:val="center"/>
          </w:tcPr>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s="Times New Roman"/>
                <w:color w:val="000000" w:themeColor="text1"/>
                <w:sz w:val="28"/>
                <w:szCs w:val="28"/>
              </w:rPr>
              <w:t>100</w:t>
            </w:r>
          </w:p>
        </w:tc>
        <w:tc>
          <w:tcPr>
            <w:tcW w:w="1701"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46,367</w:t>
            </w:r>
          </w:p>
        </w:tc>
        <w:tc>
          <w:tcPr>
            <w:tcW w:w="1559"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129,316</w:t>
            </w:r>
          </w:p>
        </w:tc>
        <w:tc>
          <w:tcPr>
            <w:tcW w:w="1843"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8,082,246</w:t>
            </w:r>
          </w:p>
        </w:tc>
        <w:tc>
          <w:tcPr>
            <w:tcW w:w="3544" w:type="dxa"/>
          </w:tcPr>
          <w:p w:rsidR="00B91C74" w:rsidRPr="000C4F04" w:rsidRDefault="00B91C74" w:rsidP="001F5D56">
            <w:pPr>
              <w:pStyle w:val="Default"/>
              <w:rPr>
                <w:rFonts w:eastAsia="標楷體" w:cs="Times New Roman"/>
                <w:color w:val="000000" w:themeColor="text1"/>
                <w:sz w:val="28"/>
                <w:szCs w:val="28"/>
              </w:rPr>
            </w:pPr>
            <w:r w:rsidRPr="000C4F04">
              <w:rPr>
                <w:rFonts w:eastAsia="標楷體"/>
                <w:color w:val="000000" w:themeColor="text1"/>
                <w:sz w:val="28"/>
                <w:szCs w:val="28"/>
              </w:rPr>
              <w:t>南投縣</w:t>
            </w:r>
            <w:r w:rsidRPr="000C4F04">
              <w:rPr>
                <w:rFonts w:eastAsia="標楷體" w:cs="Times New Roman"/>
                <w:color w:val="000000" w:themeColor="text1"/>
                <w:sz w:val="28"/>
                <w:szCs w:val="28"/>
              </w:rPr>
              <w:t>30%</w:t>
            </w:r>
            <w:r w:rsidRPr="000C4F04">
              <w:rPr>
                <w:rFonts w:eastAsia="標楷體"/>
                <w:color w:val="000000" w:themeColor="text1"/>
                <w:sz w:val="28"/>
                <w:szCs w:val="28"/>
              </w:rPr>
              <w:t>、屏東縣</w:t>
            </w:r>
            <w:r w:rsidRPr="000C4F04">
              <w:rPr>
                <w:rFonts w:eastAsia="標楷體" w:cs="Times New Roman"/>
                <w:color w:val="000000" w:themeColor="text1"/>
                <w:sz w:val="28"/>
                <w:szCs w:val="28"/>
              </w:rPr>
              <w:t>30%</w:t>
            </w:r>
            <w:r w:rsidRPr="000C4F04">
              <w:rPr>
                <w:rFonts w:eastAsia="標楷體"/>
                <w:color w:val="000000" w:themeColor="text1"/>
                <w:sz w:val="28"/>
                <w:szCs w:val="28"/>
              </w:rPr>
              <w:t>、</w:t>
            </w:r>
            <w:r w:rsidRPr="000C4F04">
              <w:rPr>
                <w:rFonts w:eastAsia="標楷體"/>
                <w:color w:val="000000" w:themeColor="text1"/>
                <w:sz w:val="28"/>
                <w:szCs w:val="28"/>
              </w:rPr>
              <w:lastRenderedPageBreak/>
              <w:t>嘉義縣</w:t>
            </w:r>
            <w:r w:rsidRPr="000C4F04">
              <w:rPr>
                <w:rFonts w:eastAsia="標楷體" w:cs="Times New Roman"/>
                <w:color w:val="000000" w:themeColor="text1"/>
                <w:sz w:val="28"/>
                <w:szCs w:val="28"/>
              </w:rPr>
              <w:t>16%</w:t>
            </w:r>
            <w:r w:rsidRPr="000C4F04">
              <w:rPr>
                <w:rFonts w:eastAsia="標楷體"/>
                <w:color w:val="000000" w:themeColor="text1"/>
                <w:sz w:val="28"/>
                <w:szCs w:val="28"/>
              </w:rPr>
              <w:t>、花蓮縣</w:t>
            </w:r>
            <w:r w:rsidRPr="000C4F04">
              <w:rPr>
                <w:rFonts w:eastAsia="標楷體" w:cs="Times New Roman"/>
                <w:color w:val="000000" w:themeColor="text1"/>
                <w:sz w:val="28"/>
                <w:szCs w:val="28"/>
              </w:rPr>
              <w:t>9%</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東縣</w:t>
            </w:r>
            <w:r w:rsidRPr="000C4F04">
              <w:rPr>
                <w:rFonts w:eastAsia="標楷體" w:cs="Times New Roman"/>
                <w:color w:val="000000" w:themeColor="text1"/>
                <w:sz w:val="28"/>
                <w:szCs w:val="28"/>
              </w:rPr>
              <w:t>4%</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中市</w:t>
            </w:r>
            <w:r w:rsidRPr="000C4F04">
              <w:rPr>
                <w:rFonts w:eastAsia="標楷體" w:cs="Times New Roman"/>
                <w:color w:val="000000" w:themeColor="text1"/>
                <w:sz w:val="28"/>
                <w:szCs w:val="28"/>
              </w:rPr>
              <w:t>3%</w:t>
            </w:r>
            <w:r w:rsidRPr="000C4F04">
              <w:rPr>
                <w:rFonts w:eastAsia="標楷體"/>
                <w:color w:val="000000" w:themeColor="text1"/>
                <w:sz w:val="28"/>
                <w:szCs w:val="28"/>
              </w:rPr>
              <w:t>、其他縣市</w:t>
            </w:r>
            <w:r w:rsidRPr="000C4F04">
              <w:rPr>
                <w:rFonts w:eastAsia="標楷體" w:cs="Times New Roman"/>
                <w:color w:val="000000" w:themeColor="text1"/>
                <w:sz w:val="28"/>
                <w:szCs w:val="28"/>
              </w:rPr>
              <w:t>8%</w:t>
            </w:r>
          </w:p>
        </w:tc>
      </w:tr>
      <w:tr w:rsidR="000C4F04" w:rsidRPr="000C4F04" w:rsidTr="001F5D56">
        <w:trPr>
          <w:trHeight w:val="292"/>
        </w:trPr>
        <w:tc>
          <w:tcPr>
            <w:tcW w:w="765" w:type="dxa"/>
            <w:vAlign w:val="center"/>
          </w:tcPr>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s="Times New Roman"/>
                <w:color w:val="000000" w:themeColor="text1"/>
                <w:sz w:val="28"/>
                <w:szCs w:val="28"/>
              </w:rPr>
              <w:lastRenderedPageBreak/>
              <w:t>101</w:t>
            </w:r>
          </w:p>
        </w:tc>
        <w:tc>
          <w:tcPr>
            <w:tcW w:w="1701"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45,887</w:t>
            </w:r>
          </w:p>
        </w:tc>
        <w:tc>
          <w:tcPr>
            <w:tcW w:w="1559"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124,091</w:t>
            </w:r>
          </w:p>
        </w:tc>
        <w:tc>
          <w:tcPr>
            <w:tcW w:w="1843"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8,065,946</w:t>
            </w:r>
          </w:p>
        </w:tc>
        <w:tc>
          <w:tcPr>
            <w:tcW w:w="3544" w:type="dxa"/>
          </w:tcPr>
          <w:p w:rsidR="00B91C74" w:rsidRPr="000C4F04" w:rsidRDefault="00B91C74" w:rsidP="001F5D56">
            <w:pPr>
              <w:pStyle w:val="Default"/>
              <w:rPr>
                <w:rFonts w:eastAsia="標楷體" w:cs="Times New Roman"/>
                <w:color w:val="000000" w:themeColor="text1"/>
                <w:sz w:val="28"/>
                <w:szCs w:val="28"/>
              </w:rPr>
            </w:pPr>
            <w:r w:rsidRPr="000C4F04">
              <w:rPr>
                <w:rFonts w:eastAsia="標楷體"/>
                <w:color w:val="000000" w:themeColor="text1"/>
                <w:sz w:val="28"/>
                <w:szCs w:val="28"/>
              </w:rPr>
              <w:t>南投縣</w:t>
            </w:r>
            <w:r w:rsidRPr="000C4F04">
              <w:rPr>
                <w:rFonts w:eastAsia="標楷體" w:cs="Times New Roman"/>
                <w:color w:val="000000" w:themeColor="text1"/>
                <w:sz w:val="28"/>
                <w:szCs w:val="28"/>
              </w:rPr>
              <w:t>31%</w:t>
            </w:r>
            <w:r w:rsidRPr="000C4F04">
              <w:rPr>
                <w:rFonts w:eastAsia="標楷體"/>
                <w:color w:val="000000" w:themeColor="text1"/>
                <w:sz w:val="28"/>
                <w:szCs w:val="28"/>
              </w:rPr>
              <w:t>、屏東縣</w:t>
            </w:r>
            <w:r w:rsidRPr="000C4F04">
              <w:rPr>
                <w:rFonts w:eastAsia="標楷體" w:cs="Times New Roman"/>
                <w:color w:val="000000" w:themeColor="text1"/>
                <w:sz w:val="28"/>
                <w:szCs w:val="28"/>
              </w:rPr>
              <w:t>29%</w:t>
            </w:r>
            <w:r w:rsidRPr="000C4F04">
              <w:rPr>
                <w:rFonts w:eastAsia="標楷體"/>
                <w:color w:val="000000" w:themeColor="text1"/>
                <w:sz w:val="28"/>
                <w:szCs w:val="28"/>
              </w:rPr>
              <w:t>、嘉義縣</w:t>
            </w:r>
            <w:r w:rsidRPr="000C4F04">
              <w:rPr>
                <w:rFonts w:eastAsia="標楷體" w:cs="Times New Roman"/>
                <w:color w:val="000000" w:themeColor="text1"/>
                <w:sz w:val="28"/>
                <w:szCs w:val="28"/>
              </w:rPr>
              <w:t>16%</w:t>
            </w:r>
            <w:r w:rsidRPr="000C4F04">
              <w:rPr>
                <w:rFonts w:eastAsia="標楷體"/>
                <w:color w:val="000000" w:themeColor="text1"/>
                <w:sz w:val="28"/>
                <w:szCs w:val="28"/>
              </w:rPr>
              <w:t>、花蓮縣</w:t>
            </w:r>
            <w:r w:rsidRPr="000C4F04">
              <w:rPr>
                <w:rFonts w:eastAsia="標楷體" w:cs="Times New Roman"/>
                <w:color w:val="000000" w:themeColor="text1"/>
                <w:sz w:val="28"/>
                <w:szCs w:val="28"/>
              </w:rPr>
              <w:t>9%</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東縣</w:t>
            </w:r>
            <w:r w:rsidRPr="000C4F04">
              <w:rPr>
                <w:rFonts w:eastAsia="標楷體" w:cs="Times New Roman"/>
                <w:color w:val="000000" w:themeColor="text1"/>
                <w:sz w:val="28"/>
                <w:szCs w:val="28"/>
              </w:rPr>
              <w:t>4%</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中市</w:t>
            </w:r>
            <w:r w:rsidRPr="000C4F04">
              <w:rPr>
                <w:rFonts w:eastAsia="標楷體" w:cs="Times New Roman"/>
                <w:color w:val="000000" w:themeColor="text1"/>
                <w:sz w:val="28"/>
                <w:szCs w:val="28"/>
              </w:rPr>
              <w:t>3%</w:t>
            </w:r>
            <w:r w:rsidRPr="000C4F04">
              <w:rPr>
                <w:rFonts w:eastAsia="標楷體"/>
                <w:color w:val="000000" w:themeColor="text1"/>
                <w:sz w:val="28"/>
                <w:szCs w:val="28"/>
              </w:rPr>
              <w:t>、其他縣市</w:t>
            </w:r>
            <w:r w:rsidRPr="000C4F04">
              <w:rPr>
                <w:rFonts w:eastAsia="標楷體" w:cs="Times New Roman"/>
                <w:color w:val="000000" w:themeColor="text1"/>
                <w:sz w:val="28"/>
                <w:szCs w:val="28"/>
              </w:rPr>
              <w:t>8%</w:t>
            </w:r>
          </w:p>
        </w:tc>
      </w:tr>
      <w:tr w:rsidR="000C4F04" w:rsidRPr="000C4F04" w:rsidTr="001F5D56">
        <w:trPr>
          <w:trHeight w:val="291"/>
        </w:trPr>
        <w:tc>
          <w:tcPr>
            <w:tcW w:w="765" w:type="dxa"/>
            <w:vAlign w:val="center"/>
          </w:tcPr>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s="Times New Roman"/>
                <w:color w:val="000000" w:themeColor="text1"/>
                <w:sz w:val="28"/>
                <w:szCs w:val="28"/>
              </w:rPr>
              <w:t>102</w:t>
            </w:r>
          </w:p>
        </w:tc>
        <w:tc>
          <w:tcPr>
            <w:tcW w:w="1701"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45,792</w:t>
            </w:r>
          </w:p>
        </w:tc>
        <w:tc>
          <w:tcPr>
            <w:tcW w:w="1559"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124,054</w:t>
            </w:r>
          </w:p>
        </w:tc>
        <w:tc>
          <w:tcPr>
            <w:tcW w:w="1843"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8,435,695</w:t>
            </w:r>
          </w:p>
        </w:tc>
        <w:tc>
          <w:tcPr>
            <w:tcW w:w="3544" w:type="dxa"/>
          </w:tcPr>
          <w:p w:rsidR="00B91C74" w:rsidRPr="000C4F04" w:rsidRDefault="00B91C74" w:rsidP="001F5D56">
            <w:pPr>
              <w:pStyle w:val="Default"/>
              <w:rPr>
                <w:rFonts w:eastAsia="標楷體" w:cs="Times New Roman"/>
                <w:color w:val="000000" w:themeColor="text1"/>
                <w:sz w:val="28"/>
                <w:szCs w:val="28"/>
              </w:rPr>
            </w:pPr>
            <w:r w:rsidRPr="000C4F04">
              <w:rPr>
                <w:rFonts w:eastAsia="標楷體"/>
                <w:color w:val="000000" w:themeColor="text1"/>
                <w:sz w:val="28"/>
                <w:szCs w:val="28"/>
              </w:rPr>
              <w:t>南投縣</w:t>
            </w:r>
            <w:r w:rsidRPr="000C4F04">
              <w:rPr>
                <w:rFonts w:eastAsia="標楷體" w:cs="Times New Roman"/>
                <w:color w:val="000000" w:themeColor="text1"/>
                <w:sz w:val="28"/>
                <w:szCs w:val="28"/>
              </w:rPr>
              <w:t>31%</w:t>
            </w:r>
            <w:r w:rsidRPr="000C4F04">
              <w:rPr>
                <w:rFonts w:eastAsia="標楷體"/>
                <w:color w:val="000000" w:themeColor="text1"/>
                <w:sz w:val="28"/>
                <w:szCs w:val="28"/>
              </w:rPr>
              <w:t>、屏東縣</w:t>
            </w:r>
            <w:r w:rsidRPr="000C4F04">
              <w:rPr>
                <w:rFonts w:eastAsia="標楷體" w:cs="Times New Roman"/>
                <w:color w:val="000000" w:themeColor="text1"/>
                <w:sz w:val="28"/>
                <w:szCs w:val="28"/>
              </w:rPr>
              <w:t>29%</w:t>
            </w:r>
            <w:r w:rsidRPr="000C4F04">
              <w:rPr>
                <w:rFonts w:eastAsia="標楷體"/>
                <w:color w:val="000000" w:themeColor="text1"/>
                <w:sz w:val="28"/>
                <w:szCs w:val="28"/>
              </w:rPr>
              <w:t>、嘉義縣</w:t>
            </w:r>
            <w:r w:rsidRPr="000C4F04">
              <w:rPr>
                <w:rFonts w:eastAsia="標楷體" w:cs="Times New Roman"/>
                <w:color w:val="000000" w:themeColor="text1"/>
                <w:sz w:val="28"/>
                <w:szCs w:val="28"/>
              </w:rPr>
              <w:t>17%</w:t>
            </w:r>
            <w:r w:rsidRPr="000C4F04">
              <w:rPr>
                <w:rFonts w:eastAsia="標楷體"/>
                <w:color w:val="000000" w:themeColor="text1"/>
                <w:sz w:val="28"/>
                <w:szCs w:val="28"/>
              </w:rPr>
              <w:t>、花蓮縣</w:t>
            </w:r>
            <w:r w:rsidRPr="000C4F04">
              <w:rPr>
                <w:rFonts w:eastAsia="標楷體" w:cs="Times New Roman"/>
                <w:color w:val="000000" w:themeColor="text1"/>
                <w:sz w:val="28"/>
                <w:szCs w:val="28"/>
              </w:rPr>
              <w:t>9%</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東縣</w:t>
            </w:r>
            <w:r w:rsidRPr="000C4F04">
              <w:rPr>
                <w:rFonts w:eastAsia="標楷體" w:cs="Times New Roman"/>
                <w:color w:val="000000" w:themeColor="text1"/>
                <w:sz w:val="28"/>
                <w:szCs w:val="28"/>
              </w:rPr>
              <w:t>3%</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中市</w:t>
            </w:r>
            <w:r w:rsidRPr="000C4F04">
              <w:rPr>
                <w:rFonts w:eastAsia="標楷體" w:cs="Times New Roman"/>
                <w:color w:val="000000" w:themeColor="text1"/>
                <w:sz w:val="28"/>
                <w:szCs w:val="28"/>
              </w:rPr>
              <w:t>3%</w:t>
            </w:r>
            <w:r w:rsidRPr="000C4F04">
              <w:rPr>
                <w:rFonts w:eastAsia="標楷體"/>
                <w:color w:val="000000" w:themeColor="text1"/>
                <w:sz w:val="28"/>
                <w:szCs w:val="28"/>
              </w:rPr>
              <w:t>、其他縣市</w:t>
            </w:r>
            <w:r w:rsidRPr="000C4F04">
              <w:rPr>
                <w:rFonts w:eastAsia="標楷體" w:cs="Times New Roman"/>
                <w:color w:val="000000" w:themeColor="text1"/>
                <w:sz w:val="28"/>
                <w:szCs w:val="28"/>
              </w:rPr>
              <w:t>8%</w:t>
            </w:r>
          </w:p>
        </w:tc>
      </w:tr>
      <w:tr w:rsidR="000C4F04" w:rsidRPr="000C4F04" w:rsidTr="001F5D56">
        <w:trPr>
          <w:trHeight w:val="292"/>
        </w:trPr>
        <w:tc>
          <w:tcPr>
            <w:tcW w:w="765" w:type="dxa"/>
            <w:vAlign w:val="center"/>
          </w:tcPr>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s="Times New Roman"/>
                <w:color w:val="000000" w:themeColor="text1"/>
                <w:sz w:val="28"/>
                <w:szCs w:val="28"/>
              </w:rPr>
              <w:t>103</w:t>
            </w:r>
          </w:p>
        </w:tc>
        <w:tc>
          <w:tcPr>
            <w:tcW w:w="1701"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44,959</w:t>
            </w:r>
          </w:p>
        </w:tc>
        <w:tc>
          <w:tcPr>
            <w:tcW w:w="1559"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121,435</w:t>
            </w:r>
          </w:p>
        </w:tc>
        <w:tc>
          <w:tcPr>
            <w:tcW w:w="1843"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10,686,248</w:t>
            </w:r>
          </w:p>
        </w:tc>
        <w:tc>
          <w:tcPr>
            <w:tcW w:w="3544" w:type="dxa"/>
          </w:tcPr>
          <w:p w:rsidR="00B91C74" w:rsidRPr="000C4F04" w:rsidRDefault="00B91C74" w:rsidP="001F5D56">
            <w:pPr>
              <w:pStyle w:val="Default"/>
              <w:rPr>
                <w:rFonts w:eastAsia="標楷體" w:cs="Times New Roman"/>
                <w:color w:val="000000" w:themeColor="text1"/>
                <w:sz w:val="28"/>
                <w:szCs w:val="28"/>
              </w:rPr>
            </w:pPr>
            <w:r w:rsidRPr="000C4F04">
              <w:rPr>
                <w:rFonts w:eastAsia="標楷體"/>
                <w:color w:val="000000" w:themeColor="text1"/>
                <w:sz w:val="28"/>
                <w:szCs w:val="28"/>
              </w:rPr>
              <w:t>南投縣</w:t>
            </w:r>
            <w:r w:rsidRPr="000C4F04">
              <w:rPr>
                <w:rFonts w:eastAsia="標楷體" w:cs="Times New Roman"/>
                <w:color w:val="000000" w:themeColor="text1"/>
                <w:sz w:val="28"/>
                <w:szCs w:val="28"/>
              </w:rPr>
              <w:t>31%</w:t>
            </w:r>
            <w:r w:rsidRPr="000C4F04">
              <w:rPr>
                <w:rFonts w:eastAsia="標楷體"/>
                <w:color w:val="000000" w:themeColor="text1"/>
                <w:sz w:val="28"/>
                <w:szCs w:val="28"/>
              </w:rPr>
              <w:t>、屏東縣</w:t>
            </w:r>
            <w:r w:rsidRPr="000C4F04">
              <w:rPr>
                <w:rFonts w:eastAsia="標楷體" w:cs="Times New Roman"/>
                <w:color w:val="000000" w:themeColor="text1"/>
                <w:sz w:val="28"/>
                <w:szCs w:val="28"/>
              </w:rPr>
              <w:t>29%</w:t>
            </w:r>
            <w:r w:rsidRPr="000C4F04">
              <w:rPr>
                <w:rFonts w:eastAsia="標楷體"/>
                <w:color w:val="000000" w:themeColor="text1"/>
                <w:sz w:val="28"/>
                <w:szCs w:val="28"/>
              </w:rPr>
              <w:t>、嘉義縣</w:t>
            </w:r>
            <w:r w:rsidRPr="000C4F04">
              <w:rPr>
                <w:rFonts w:eastAsia="標楷體" w:cs="Times New Roman"/>
                <w:color w:val="000000" w:themeColor="text1"/>
                <w:sz w:val="28"/>
                <w:szCs w:val="28"/>
              </w:rPr>
              <w:t>17%</w:t>
            </w:r>
            <w:r w:rsidRPr="000C4F04">
              <w:rPr>
                <w:rFonts w:eastAsia="標楷體"/>
                <w:color w:val="000000" w:themeColor="text1"/>
                <w:sz w:val="28"/>
                <w:szCs w:val="28"/>
              </w:rPr>
              <w:t>、花蓮縣</w:t>
            </w:r>
            <w:r w:rsidRPr="000C4F04">
              <w:rPr>
                <w:rFonts w:eastAsia="標楷體" w:cs="Times New Roman"/>
                <w:color w:val="000000" w:themeColor="text1"/>
                <w:sz w:val="28"/>
                <w:szCs w:val="28"/>
              </w:rPr>
              <w:t>9%</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東縣</w:t>
            </w:r>
            <w:r w:rsidRPr="000C4F04">
              <w:rPr>
                <w:rFonts w:eastAsia="標楷體" w:cs="Times New Roman"/>
                <w:color w:val="000000" w:themeColor="text1"/>
                <w:sz w:val="28"/>
                <w:szCs w:val="28"/>
              </w:rPr>
              <w:t>3%</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中市</w:t>
            </w:r>
            <w:r w:rsidRPr="000C4F04">
              <w:rPr>
                <w:rFonts w:eastAsia="標楷體" w:cs="Times New Roman"/>
                <w:color w:val="000000" w:themeColor="text1"/>
                <w:sz w:val="28"/>
                <w:szCs w:val="28"/>
              </w:rPr>
              <w:t>3%</w:t>
            </w:r>
            <w:r w:rsidRPr="000C4F04">
              <w:rPr>
                <w:rFonts w:eastAsia="標楷體"/>
                <w:color w:val="000000" w:themeColor="text1"/>
                <w:sz w:val="28"/>
                <w:szCs w:val="28"/>
              </w:rPr>
              <w:t>、其他縣市</w:t>
            </w:r>
            <w:r w:rsidRPr="000C4F04">
              <w:rPr>
                <w:rFonts w:eastAsia="標楷體" w:cs="Times New Roman"/>
                <w:color w:val="000000" w:themeColor="text1"/>
                <w:sz w:val="28"/>
                <w:szCs w:val="28"/>
              </w:rPr>
              <w:t>8%</w:t>
            </w:r>
          </w:p>
        </w:tc>
      </w:tr>
      <w:tr w:rsidR="000C4F04" w:rsidRPr="000C4F04" w:rsidTr="001F5D56">
        <w:trPr>
          <w:trHeight w:val="292"/>
        </w:trPr>
        <w:tc>
          <w:tcPr>
            <w:tcW w:w="765" w:type="dxa"/>
            <w:vAlign w:val="center"/>
          </w:tcPr>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s="Times New Roman"/>
                <w:color w:val="000000" w:themeColor="text1"/>
                <w:sz w:val="28"/>
                <w:szCs w:val="28"/>
              </w:rPr>
              <w:t>104</w:t>
            </w:r>
          </w:p>
        </w:tc>
        <w:tc>
          <w:tcPr>
            <w:tcW w:w="1701"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43,832</w:t>
            </w:r>
          </w:p>
        </w:tc>
        <w:tc>
          <w:tcPr>
            <w:tcW w:w="1559"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113,182</w:t>
            </w:r>
          </w:p>
        </w:tc>
        <w:tc>
          <w:tcPr>
            <w:tcW w:w="1843"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10,186,357</w:t>
            </w:r>
          </w:p>
        </w:tc>
        <w:tc>
          <w:tcPr>
            <w:tcW w:w="3544" w:type="dxa"/>
          </w:tcPr>
          <w:p w:rsidR="00B91C74" w:rsidRPr="000C4F04" w:rsidRDefault="00B91C74" w:rsidP="001F5D56">
            <w:pPr>
              <w:pStyle w:val="Default"/>
              <w:rPr>
                <w:rFonts w:eastAsia="標楷體" w:cs="Times New Roman"/>
                <w:color w:val="000000" w:themeColor="text1"/>
                <w:sz w:val="28"/>
                <w:szCs w:val="28"/>
              </w:rPr>
            </w:pPr>
            <w:r w:rsidRPr="000C4F04">
              <w:rPr>
                <w:rFonts w:eastAsia="標楷體"/>
                <w:color w:val="000000" w:themeColor="text1"/>
                <w:sz w:val="28"/>
                <w:szCs w:val="28"/>
              </w:rPr>
              <w:t>南投縣</w:t>
            </w:r>
            <w:r w:rsidRPr="000C4F04">
              <w:rPr>
                <w:rFonts w:eastAsia="標楷體" w:cs="Times New Roman"/>
                <w:color w:val="000000" w:themeColor="text1"/>
                <w:sz w:val="28"/>
                <w:szCs w:val="28"/>
              </w:rPr>
              <w:t>31%</w:t>
            </w:r>
            <w:r w:rsidRPr="000C4F04">
              <w:rPr>
                <w:rFonts w:eastAsia="標楷體"/>
                <w:color w:val="000000" w:themeColor="text1"/>
                <w:sz w:val="28"/>
                <w:szCs w:val="28"/>
              </w:rPr>
              <w:t>、屏東縣</w:t>
            </w:r>
            <w:r w:rsidRPr="000C4F04">
              <w:rPr>
                <w:rFonts w:eastAsia="標楷體" w:cs="Times New Roman"/>
                <w:color w:val="000000" w:themeColor="text1"/>
                <w:sz w:val="28"/>
                <w:szCs w:val="28"/>
              </w:rPr>
              <w:t>29%</w:t>
            </w:r>
            <w:r w:rsidRPr="000C4F04">
              <w:rPr>
                <w:rFonts w:eastAsia="標楷體"/>
                <w:color w:val="000000" w:themeColor="text1"/>
                <w:sz w:val="28"/>
                <w:szCs w:val="28"/>
              </w:rPr>
              <w:t>、嘉義縣</w:t>
            </w:r>
            <w:r w:rsidRPr="000C4F04">
              <w:rPr>
                <w:rFonts w:eastAsia="標楷體" w:cs="Times New Roman"/>
                <w:color w:val="000000" w:themeColor="text1"/>
                <w:sz w:val="28"/>
                <w:szCs w:val="28"/>
              </w:rPr>
              <w:t>17%</w:t>
            </w:r>
            <w:r w:rsidRPr="000C4F04">
              <w:rPr>
                <w:rFonts w:eastAsia="標楷體"/>
                <w:color w:val="000000" w:themeColor="text1"/>
                <w:sz w:val="28"/>
                <w:szCs w:val="28"/>
              </w:rPr>
              <w:t>、花蓮縣</w:t>
            </w:r>
            <w:r w:rsidRPr="000C4F04">
              <w:rPr>
                <w:rFonts w:eastAsia="標楷體" w:cs="Times New Roman"/>
                <w:color w:val="000000" w:themeColor="text1"/>
                <w:sz w:val="28"/>
                <w:szCs w:val="28"/>
              </w:rPr>
              <w:t>8%</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東縣</w:t>
            </w:r>
            <w:r w:rsidRPr="000C4F04">
              <w:rPr>
                <w:rFonts w:eastAsia="標楷體" w:cs="Times New Roman"/>
                <w:color w:val="000000" w:themeColor="text1"/>
                <w:sz w:val="28"/>
                <w:szCs w:val="28"/>
              </w:rPr>
              <w:t>3%</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中市</w:t>
            </w:r>
            <w:r w:rsidRPr="000C4F04">
              <w:rPr>
                <w:rFonts w:eastAsia="標楷體" w:cs="Times New Roman"/>
                <w:color w:val="000000" w:themeColor="text1"/>
                <w:sz w:val="28"/>
                <w:szCs w:val="28"/>
              </w:rPr>
              <w:t>3%</w:t>
            </w:r>
            <w:r w:rsidRPr="000C4F04">
              <w:rPr>
                <w:rFonts w:eastAsia="標楷體"/>
                <w:color w:val="000000" w:themeColor="text1"/>
                <w:sz w:val="28"/>
                <w:szCs w:val="28"/>
              </w:rPr>
              <w:t>、其他縣市</w:t>
            </w:r>
            <w:r w:rsidRPr="000C4F04">
              <w:rPr>
                <w:rFonts w:eastAsia="標楷體" w:cs="Times New Roman"/>
                <w:color w:val="000000" w:themeColor="text1"/>
                <w:sz w:val="28"/>
                <w:szCs w:val="28"/>
              </w:rPr>
              <w:t>9%</w:t>
            </w:r>
          </w:p>
        </w:tc>
      </w:tr>
      <w:tr w:rsidR="000C4F04" w:rsidRPr="000C4F04" w:rsidTr="001F5D56">
        <w:trPr>
          <w:trHeight w:val="292"/>
        </w:trPr>
        <w:tc>
          <w:tcPr>
            <w:tcW w:w="765" w:type="dxa"/>
            <w:vAlign w:val="center"/>
          </w:tcPr>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s="Times New Roman"/>
                <w:color w:val="000000" w:themeColor="text1"/>
                <w:sz w:val="28"/>
                <w:szCs w:val="28"/>
              </w:rPr>
              <w:t>105</w:t>
            </w:r>
          </w:p>
        </w:tc>
        <w:tc>
          <w:tcPr>
            <w:tcW w:w="1701"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42,940</w:t>
            </w:r>
          </w:p>
        </w:tc>
        <w:tc>
          <w:tcPr>
            <w:tcW w:w="1559"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99,992</w:t>
            </w:r>
          </w:p>
        </w:tc>
        <w:tc>
          <w:tcPr>
            <w:tcW w:w="1843"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9,199,261</w:t>
            </w:r>
          </w:p>
        </w:tc>
        <w:tc>
          <w:tcPr>
            <w:tcW w:w="3544" w:type="dxa"/>
          </w:tcPr>
          <w:p w:rsidR="00B91C74" w:rsidRPr="000C4F04" w:rsidRDefault="00B91C74" w:rsidP="001F5D56">
            <w:pPr>
              <w:pStyle w:val="Default"/>
              <w:rPr>
                <w:rFonts w:eastAsia="標楷體" w:cs="Times New Roman"/>
                <w:color w:val="000000" w:themeColor="text1"/>
                <w:sz w:val="28"/>
                <w:szCs w:val="28"/>
              </w:rPr>
            </w:pPr>
            <w:r w:rsidRPr="000C4F04">
              <w:rPr>
                <w:rFonts w:eastAsia="標楷體"/>
                <w:color w:val="000000" w:themeColor="text1"/>
                <w:sz w:val="28"/>
                <w:szCs w:val="28"/>
              </w:rPr>
              <w:t>南投縣</w:t>
            </w:r>
            <w:r w:rsidRPr="000C4F04">
              <w:rPr>
                <w:rFonts w:eastAsia="標楷體" w:cs="Times New Roman"/>
                <w:color w:val="000000" w:themeColor="text1"/>
                <w:sz w:val="28"/>
                <w:szCs w:val="28"/>
              </w:rPr>
              <w:t>31%</w:t>
            </w:r>
            <w:r w:rsidRPr="000C4F04">
              <w:rPr>
                <w:rFonts w:eastAsia="標楷體"/>
                <w:color w:val="000000" w:themeColor="text1"/>
                <w:sz w:val="28"/>
                <w:szCs w:val="28"/>
              </w:rPr>
              <w:t>、屏東縣</w:t>
            </w:r>
            <w:r w:rsidRPr="000C4F04">
              <w:rPr>
                <w:rFonts w:eastAsia="標楷體" w:cs="Times New Roman"/>
                <w:color w:val="000000" w:themeColor="text1"/>
                <w:sz w:val="28"/>
                <w:szCs w:val="28"/>
              </w:rPr>
              <w:t>28%</w:t>
            </w:r>
            <w:r w:rsidRPr="000C4F04">
              <w:rPr>
                <w:rFonts w:eastAsia="標楷體"/>
                <w:color w:val="000000" w:themeColor="text1"/>
                <w:sz w:val="28"/>
                <w:szCs w:val="28"/>
              </w:rPr>
              <w:t>、嘉義縣</w:t>
            </w:r>
            <w:r w:rsidRPr="000C4F04">
              <w:rPr>
                <w:rFonts w:eastAsia="標楷體" w:cs="Times New Roman"/>
                <w:color w:val="000000" w:themeColor="text1"/>
                <w:sz w:val="28"/>
                <w:szCs w:val="28"/>
              </w:rPr>
              <w:t>18%</w:t>
            </w:r>
            <w:r w:rsidRPr="000C4F04">
              <w:rPr>
                <w:rFonts w:eastAsia="標楷體"/>
                <w:color w:val="000000" w:themeColor="text1"/>
                <w:sz w:val="28"/>
                <w:szCs w:val="28"/>
              </w:rPr>
              <w:t>、花蓮縣</w:t>
            </w:r>
            <w:r w:rsidRPr="000C4F04">
              <w:rPr>
                <w:rFonts w:eastAsia="標楷體" w:cs="Times New Roman"/>
                <w:color w:val="000000" w:themeColor="text1"/>
                <w:sz w:val="28"/>
                <w:szCs w:val="28"/>
              </w:rPr>
              <w:t>8%</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東縣</w:t>
            </w:r>
            <w:r w:rsidRPr="000C4F04">
              <w:rPr>
                <w:rFonts w:eastAsia="標楷體" w:cs="Times New Roman"/>
                <w:color w:val="000000" w:themeColor="text1"/>
                <w:sz w:val="28"/>
                <w:szCs w:val="28"/>
              </w:rPr>
              <w:t>3%</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中市</w:t>
            </w:r>
            <w:r w:rsidRPr="000C4F04">
              <w:rPr>
                <w:rFonts w:eastAsia="標楷體" w:cs="Times New Roman"/>
                <w:color w:val="000000" w:themeColor="text1"/>
                <w:sz w:val="28"/>
                <w:szCs w:val="28"/>
              </w:rPr>
              <w:t>3%</w:t>
            </w:r>
            <w:r w:rsidRPr="000C4F04">
              <w:rPr>
                <w:rFonts w:eastAsia="標楷體"/>
                <w:color w:val="000000" w:themeColor="text1"/>
                <w:sz w:val="28"/>
                <w:szCs w:val="28"/>
              </w:rPr>
              <w:t>、其他縣市</w:t>
            </w:r>
            <w:r w:rsidRPr="000C4F04">
              <w:rPr>
                <w:rFonts w:eastAsia="標楷體" w:cs="Times New Roman"/>
                <w:color w:val="000000" w:themeColor="text1"/>
                <w:sz w:val="28"/>
                <w:szCs w:val="28"/>
              </w:rPr>
              <w:t>9%</w:t>
            </w:r>
          </w:p>
        </w:tc>
      </w:tr>
      <w:tr w:rsidR="000C4F04" w:rsidRPr="000C4F04" w:rsidTr="001F5D56">
        <w:trPr>
          <w:trHeight w:val="292"/>
        </w:trPr>
        <w:tc>
          <w:tcPr>
            <w:tcW w:w="765" w:type="dxa"/>
            <w:vAlign w:val="center"/>
          </w:tcPr>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s="Times New Roman"/>
                <w:color w:val="000000" w:themeColor="text1"/>
                <w:sz w:val="28"/>
                <w:szCs w:val="28"/>
              </w:rPr>
              <w:t>106</w:t>
            </w:r>
          </w:p>
        </w:tc>
        <w:tc>
          <w:tcPr>
            <w:tcW w:w="1701"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42,661</w:t>
            </w:r>
          </w:p>
        </w:tc>
        <w:tc>
          <w:tcPr>
            <w:tcW w:w="1559"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102,165</w:t>
            </w:r>
          </w:p>
        </w:tc>
        <w:tc>
          <w:tcPr>
            <w:tcW w:w="1843"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11,401,603</w:t>
            </w:r>
          </w:p>
        </w:tc>
        <w:tc>
          <w:tcPr>
            <w:tcW w:w="3544" w:type="dxa"/>
          </w:tcPr>
          <w:p w:rsidR="00B91C74" w:rsidRPr="000C4F04" w:rsidRDefault="00B91C74" w:rsidP="001F5D56">
            <w:pPr>
              <w:pStyle w:val="Default"/>
              <w:rPr>
                <w:rFonts w:eastAsia="標楷體" w:cs="Times New Roman"/>
                <w:color w:val="000000" w:themeColor="text1"/>
                <w:sz w:val="28"/>
                <w:szCs w:val="28"/>
              </w:rPr>
            </w:pPr>
            <w:r w:rsidRPr="000C4F04">
              <w:rPr>
                <w:rFonts w:eastAsia="標楷體"/>
                <w:color w:val="000000" w:themeColor="text1"/>
                <w:sz w:val="28"/>
                <w:szCs w:val="28"/>
              </w:rPr>
              <w:t>南投縣</w:t>
            </w:r>
            <w:r w:rsidRPr="000C4F04">
              <w:rPr>
                <w:rFonts w:eastAsia="標楷體" w:cs="Times New Roman"/>
                <w:color w:val="000000" w:themeColor="text1"/>
                <w:sz w:val="28"/>
                <w:szCs w:val="28"/>
              </w:rPr>
              <w:t>31%</w:t>
            </w:r>
            <w:r w:rsidRPr="000C4F04">
              <w:rPr>
                <w:rFonts w:eastAsia="標楷體"/>
                <w:color w:val="000000" w:themeColor="text1"/>
                <w:sz w:val="28"/>
                <w:szCs w:val="28"/>
              </w:rPr>
              <w:t>、屏東縣</w:t>
            </w:r>
            <w:r w:rsidRPr="000C4F04">
              <w:rPr>
                <w:rFonts w:eastAsia="標楷體" w:cs="Times New Roman"/>
                <w:color w:val="000000" w:themeColor="text1"/>
                <w:sz w:val="28"/>
                <w:szCs w:val="28"/>
              </w:rPr>
              <w:t>28%</w:t>
            </w:r>
            <w:r w:rsidRPr="000C4F04">
              <w:rPr>
                <w:rFonts w:eastAsia="標楷體"/>
                <w:color w:val="000000" w:themeColor="text1"/>
                <w:sz w:val="28"/>
                <w:szCs w:val="28"/>
              </w:rPr>
              <w:t>、嘉義縣</w:t>
            </w:r>
            <w:r w:rsidRPr="000C4F04">
              <w:rPr>
                <w:rFonts w:eastAsia="標楷體" w:cs="Times New Roman"/>
                <w:color w:val="000000" w:themeColor="text1"/>
                <w:sz w:val="28"/>
                <w:szCs w:val="28"/>
              </w:rPr>
              <w:t>18%</w:t>
            </w:r>
            <w:r w:rsidRPr="000C4F04">
              <w:rPr>
                <w:rFonts w:eastAsia="標楷體"/>
                <w:color w:val="000000" w:themeColor="text1"/>
                <w:sz w:val="28"/>
                <w:szCs w:val="28"/>
              </w:rPr>
              <w:t>、花蓮縣</w:t>
            </w:r>
            <w:r w:rsidRPr="000C4F04">
              <w:rPr>
                <w:rFonts w:eastAsia="標楷體" w:cs="Times New Roman"/>
                <w:color w:val="000000" w:themeColor="text1"/>
                <w:sz w:val="28"/>
                <w:szCs w:val="28"/>
              </w:rPr>
              <w:t>9%</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東縣</w:t>
            </w:r>
            <w:r w:rsidRPr="000C4F04">
              <w:rPr>
                <w:rFonts w:eastAsia="標楷體" w:cs="Times New Roman"/>
                <w:color w:val="000000" w:themeColor="text1"/>
                <w:sz w:val="28"/>
                <w:szCs w:val="28"/>
              </w:rPr>
              <w:t>3%</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中市</w:t>
            </w:r>
            <w:r w:rsidRPr="000C4F04">
              <w:rPr>
                <w:rFonts w:eastAsia="標楷體" w:cs="Times New Roman"/>
                <w:color w:val="000000" w:themeColor="text1"/>
                <w:sz w:val="28"/>
                <w:szCs w:val="28"/>
              </w:rPr>
              <w:t>3%</w:t>
            </w:r>
            <w:r w:rsidRPr="000C4F04">
              <w:rPr>
                <w:rFonts w:eastAsia="標楷體"/>
                <w:color w:val="000000" w:themeColor="text1"/>
                <w:sz w:val="28"/>
                <w:szCs w:val="28"/>
              </w:rPr>
              <w:t>、其他縣市</w:t>
            </w:r>
            <w:r w:rsidRPr="000C4F04">
              <w:rPr>
                <w:rFonts w:eastAsia="標楷體" w:cs="Times New Roman"/>
                <w:color w:val="000000" w:themeColor="text1"/>
                <w:sz w:val="28"/>
                <w:szCs w:val="28"/>
              </w:rPr>
              <w:t>8%</w:t>
            </w:r>
          </w:p>
        </w:tc>
      </w:tr>
      <w:tr w:rsidR="000C4F04" w:rsidRPr="000C4F04" w:rsidTr="001F5D56">
        <w:trPr>
          <w:trHeight w:val="292"/>
        </w:trPr>
        <w:tc>
          <w:tcPr>
            <w:tcW w:w="765" w:type="dxa"/>
            <w:vAlign w:val="center"/>
          </w:tcPr>
          <w:p w:rsidR="00B91C74" w:rsidRPr="000C4F04" w:rsidRDefault="00B91C74" w:rsidP="001F5D56">
            <w:pPr>
              <w:pStyle w:val="Default"/>
              <w:jc w:val="center"/>
              <w:rPr>
                <w:rFonts w:eastAsia="標楷體" w:cs="Times New Roman"/>
                <w:color w:val="000000" w:themeColor="text1"/>
                <w:sz w:val="28"/>
                <w:szCs w:val="28"/>
              </w:rPr>
            </w:pPr>
            <w:r w:rsidRPr="000C4F04">
              <w:rPr>
                <w:rFonts w:eastAsia="標楷體" w:cs="Times New Roman"/>
                <w:color w:val="000000" w:themeColor="text1"/>
                <w:sz w:val="28"/>
                <w:szCs w:val="28"/>
              </w:rPr>
              <w:t>107</w:t>
            </w:r>
          </w:p>
        </w:tc>
        <w:tc>
          <w:tcPr>
            <w:tcW w:w="1701"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42,510</w:t>
            </w:r>
          </w:p>
        </w:tc>
        <w:tc>
          <w:tcPr>
            <w:tcW w:w="1559"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102,918</w:t>
            </w:r>
          </w:p>
        </w:tc>
        <w:tc>
          <w:tcPr>
            <w:tcW w:w="1843" w:type="dxa"/>
            <w:vAlign w:val="center"/>
          </w:tcPr>
          <w:p w:rsidR="00B91C74" w:rsidRPr="000C4F04" w:rsidRDefault="00B91C74" w:rsidP="001F5D56">
            <w:pPr>
              <w:pStyle w:val="Default"/>
              <w:jc w:val="right"/>
              <w:rPr>
                <w:rFonts w:eastAsia="標楷體" w:cs="Times New Roman"/>
                <w:color w:val="000000" w:themeColor="text1"/>
                <w:sz w:val="28"/>
                <w:szCs w:val="28"/>
              </w:rPr>
            </w:pPr>
            <w:r w:rsidRPr="000C4F04">
              <w:rPr>
                <w:rFonts w:eastAsia="標楷體" w:cs="Times New Roman"/>
                <w:color w:val="000000" w:themeColor="text1"/>
                <w:sz w:val="28"/>
                <w:szCs w:val="28"/>
              </w:rPr>
              <w:t>9,159,703</w:t>
            </w:r>
          </w:p>
        </w:tc>
        <w:tc>
          <w:tcPr>
            <w:tcW w:w="3544" w:type="dxa"/>
          </w:tcPr>
          <w:p w:rsidR="00B91C74" w:rsidRPr="000C4F04" w:rsidRDefault="00B91C74" w:rsidP="001F5D56">
            <w:pPr>
              <w:pStyle w:val="Default"/>
              <w:rPr>
                <w:rFonts w:eastAsia="標楷體" w:cs="Times New Roman"/>
                <w:color w:val="000000" w:themeColor="text1"/>
                <w:sz w:val="28"/>
                <w:szCs w:val="28"/>
              </w:rPr>
            </w:pPr>
            <w:r w:rsidRPr="000C4F04">
              <w:rPr>
                <w:rFonts w:eastAsia="標楷體"/>
                <w:color w:val="000000" w:themeColor="text1"/>
                <w:sz w:val="28"/>
                <w:szCs w:val="28"/>
              </w:rPr>
              <w:t>南投縣</w:t>
            </w:r>
            <w:r w:rsidRPr="000C4F04">
              <w:rPr>
                <w:rFonts w:eastAsia="標楷體" w:cs="Times New Roman"/>
                <w:color w:val="000000" w:themeColor="text1"/>
                <w:sz w:val="28"/>
                <w:szCs w:val="28"/>
              </w:rPr>
              <w:t>31%</w:t>
            </w:r>
            <w:r w:rsidRPr="000C4F04">
              <w:rPr>
                <w:rFonts w:eastAsia="標楷體"/>
                <w:color w:val="000000" w:themeColor="text1"/>
                <w:sz w:val="28"/>
                <w:szCs w:val="28"/>
              </w:rPr>
              <w:t>、屏東縣</w:t>
            </w:r>
            <w:r w:rsidRPr="000C4F04">
              <w:rPr>
                <w:rFonts w:eastAsia="標楷體" w:cs="Times New Roman"/>
                <w:color w:val="000000" w:themeColor="text1"/>
                <w:sz w:val="28"/>
                <w:szCs w:val="28"/>
              </w:rPr>
              <w:t>27%</w:t>
            </w:r>
            <w:r w:rsidRPr="000C4F04">
              <w:rPr>
                <w:rFonts w:eastAsia="標楷體"/>
                <w:color w:val="000000" w:themeColor="text1"/>
                <w:sz w:val="28"/>
                <w:szCs w:val="28"/>
              </w:rPr>
              <w:t>、嘉義縣</w:t>
            </w:r>
            <w:r w:rsidRPr="000C4F04">
              <w:rPr>
                <w:rFonts w:eastAsia="標楷體" w:cs="Times New Roman"/>
                <w:color w:val="000000" w:themeColor="text1"/>
                <w:sz w:val="28"/>
                <w:szCs w:val="28"/>
              </w:rPr>
              <w:t>18%</w:t>
            </w:r>
            <w:r w:rsidRPr="000C4F04">
              <w:rPr>
                <w:rFonts w:eastAsia="標楷體"/>
                <w:color w:val="000000" w:themeColor="text1"/>
                <w:sz w:val="28"/>
                <w:szCs w:val="28"/>
              </w:rPr>
              <w:t>、花蓮縣</w:t>
            </w:r>
            <w:r w:rsidRPr="000C4F04">
              <w:rPr>
                <w:rFonts w:eastAsia="標楷體" w:cs="Times New Roman"/>
                <w:color w:val="000000" w:themeColor="text1"/>
                <w:sz w:val="28"/>
                <w:szCs w:val="28"/>
              </w:rPr>
              <w:t>9%</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東縣</w:t>
            </w:r>
            <w:r w:rsidRPr="000C4F04">
              <w:rPr>
                <w:rFonts w:eastAsia="標楷體" w:cs="Times New Roman"/>
                <w:color w:val="000000" w:themeColor="text1"/>
                <w:sz w:val="28"/>
                <w:szCs w:val="28"/>
              </w:rPr>
              <w:t>3%</w:t>
            </w:r>
            <w:r w:rsidRPr="000C4F04">
              <w:rPr>
                <w:rFonts w:eastAsia="標楷體"/>
                <w:color w:val="000000" w:themeColor="text1"/>
                <w:sz w:val="28"/>
                <w:szCs w:val="28"/>
              </w:rPr>
              <w:t>、</w:t>
            </w:r>
            <w:proofErr w:type="gramStart"/>
            <w:r w:rsidRPr="000C4F04">
              <w:rPr>
                <w:rFonts w:eastAsia="標楷體"/>
                <w:color w:val="000000" w:themeColor="text1"/>
                <w:sz w:val="28"/>
                <w:szCs w:val="28"/>
              </w:rPr>
              <w:t>臺</w:t>
            </w:r>
            <w:proofErr w:type="gramEnd"/>
            <w:r w:rsidRPr="000C4F04">
              <w:rPr>
                <w:rFonts w:eastAsia="標楷體"/>
                <w:color w:val="000000" w:themeColor="text1"/>
                <w:sz w:val="28"/>
                <w:szCs w:val="28"/>
              </w:rPr>
              <w:t>中市</w:t>
            </w:r>
            <w:r w:rsidRPr="000C4F04">
              <w:rPr>
                <w:rFonts w:eastAsia="標楷體" w:cs="Times New Roman"/>
                <w:color w:val="000000" w:themeColor="text1"/>
                <w:sz w:val="28"/>
                <w:szCs w:val="28"/>
              </w:rPr>
              <w:t>3%</w:t>
            </w:r>
            <w:r w:rsidRPr="000C4F04">
              <w:rPr>
                <w:rFonts w:eastAsia="標楷體"/>
                <w:color w:val="000000" w:themeColor="text1"/>
                <w:sz w:val="28"/>
                <w:szCs w:val="28"/>
              </w:rPr>
              <w:t>、其他縣市</w:t>
            </w:r>
            <w:r w:rsidRPr="000C4F04">
              <w:rPr>
                <w:rFonts w:eastAsia="標楷體" w:cs="Times New Roman"/>
                <w:color w:val="000000" w:themeColor="text1"/>
                <w:sz w:val="28"/>
                <w:szCs w:val="28"/>
              </w:rPr>
              <w:t>9%</w:t>
            </w:r>
          </w:p>
        </w:tc>
      </w:tr>
    </w:tbl>
    <w:p w:rsidR="00B91C74" w:rsidRPr="000C4F04" w:rsidRDefault="001F5D56" w:rsidP="00B91C74">
      <w:pPr>
        <w:pStyle w:val="3"/>
        <w:numPr>
          <w:ilvl w:val="0"/>
          <w:numId w:val="0"/>
        </w:numPr>
        <w:ind w:left="1361"/>
        <w:rPr>
          <w:color w:val="000000" w:themeColor="text1"/>
          <w:sz w:val="24"/>
          <w:szCs w:val="24"/>
        </w:rPr>
      </w:pPr>
      <w:r w:rsidRPr="000C4F04">
        <w:rPr>
          <w:rFonts w:hint="eastAsia"/>
          <w:color w:val="000000" w:themeColor="text1"/>
          <w:sz w:val="24"/>
          <w:szCs w:val="24"/>
        </w:rPr>
        <w:t>資料來源：農委會</w:t>
      </w:r>
    </w:p>
    <w:p w:rsidR="001F5D56" w:rsidRPr="000C4F04" w:rsidRDefault="001F5D56" w:rsidP="00B91C74">
      <w:pPr>
        <w:pStyle w:val="3"/>
        <w:numPr>
          <w:ilvl w:val="0"/>
          <w:numId w:val="0"/>
        </w:numPr>
        <w:ind w:left="1361"/>
        <w:rPr>
          <w:color w:val="000000" w:themeColor="text1"/>
        </w:rPr>
      </w:pPr>
    </w:p>
    <w:p w:rsidR="00A64DE6" w:rsidRPr="000C4F04" w:rsidRDefault="004C2721" w:rsidP="00A64DE6">
      <w:pPr>
        <w:pStyle w:val="3"/>
        <w:rPr>
          <w:color w:val="000000" w:themeColor="text1"/>
        </w:rPr>
      </w:pPr>
      <w:r w:rsidRPr="000C4F04">
        <w:rPr>
          <w:rFonts w:hint="eastAsia"/>
          <w:color w:val="000000" w:themeColor="text1"/>
        </w:rPr>
        <w:t>承前述，</w:t>
      </w:r>
      <w:r w:rsidR="005A3AB6" w:rsidRPr="000C4F04">
        <w:rPr>
          <w:rFonts w:hint="eastAsia"/>
          <w:color w:val="000000" w:themeColor="text1"/>
        </w:rPr>
        <w:t>我國檳榔種植面積平均約4.4萬公頃，種植區域遍及</w:t>
      </w:r>
      <w:r w:rsidR="001F5D56" w:rsidRPr="000C4F04">
        <w:rPr>
          <w:rFonts w:hint="eastAsia"/>
          <w:color w:val="000000" w:themeColor="text1"/>
        </w:rPr>
        <w:t>南投縣、屏東縣、嘉義縣、花蓮縣、</w:t>
      </w:r>
      <w:proofErr w:type="gramStart"/>
      <w:r w:rsidR="001F5D56" w:rsidRPr="000C4F04">
        <w:rPr>
          <w:rFonts w:hint="eastAsia"/>
          <w:color w:val="000000" w:themeColor="text1"/>
        </w:rPr>
        <w:t>臺</w:t>
      </w:r>
      <w:proofErr w:type="gramEnd"/>
      <w:r w:rsidR="001F5D56" w:rsidRPr="000C4F04">
        <w:rPr>
          <w:rFonts w:hint="eastAsia"/>
          <w:color w:val="000000" w:themeColor="text1"/>
        </w:rPr>
        <w:t>東縣…</w:t>
      </w:r>
      <w:proofErr w:type="gramStart"/>
      <w:r w:rsidR="001F5D56" w:rsidRPr="000C4F04">
        <w:rPr>
          <w:rFonts w:hint="eastAsia"/>
          <w:color w:val="000000" w:themeColor="text1"/>
        </w:rPr>
        <w:t>…</w:t>
      </w:r>
      <w:proofErr w:type="gramEnd"/>
      <w:r w:rsidR="001F5D56" w:rsidRPr="000C4F04">
        <w:rPr>
          <w:rFonts w:hint="eastAsia"/>
          <w:color w:val="000000" w:themeColor="text1"/>
        </w:rPr>
        <w:t>等，產量平均高達11.4萬公噸，產值高達100</w:t>
      </w:r>
      <w:r w:rsidR="00A64DE6" w:rsidRPr="000C4F04">
        <w:rPr>
          <w:rFonts w:hint="eastAsia"/>
          <w:color w:val="000000" w:themeColor="text1"/>
        </w:rPr>
        <w:lastRenderedPageBreak/>
        <w:t>億元以上，顯見檳榔產業規模不容小覷。</w:t>
      </w:r>
      <w:proofErr w:type="gramStart"/>
      <w:r w:rsidR="00A64DE6" w:rsidRPr="000C4F04">
        <w:rPr>
          <w:rFonts w:hint="eastAsia"/>
          <w:color w:val="000000" w:themeColor="text1"/>
        </w:rPr>
        <w:t>惟查農委會鑑</w:t>
      </w:r>
      <w:proofErr w:type="gramEnd"/>
      <w:r w:rsidR="00A64DE6" w:rsidRPr="000C4F04">
        <w:rPr>
          <w:rFonts w:hint="eastAsia"/>
          <w:color w:val="000000" w:themeColor="text1"/>
        </w:rPr>
        <w:t>於國際癌症研究</w:t>
      </w:r>
      <w:r w:rsidR="007C0288" w:rsidRPr="000C4F04">
        <w:rPr>
          <w:rFonts w:hint="eastAsia"/>
          <w:color w:val="000000" w:themeColor="text1"/>
        </w:rPr>
        <w:t>中心</w:t>
      </w:r>
      <w:r w:rsidR="007C0288" w:rsidRPr="000C4F04">
        <w:rPr>
          <w:color w:val="000000" w:themeColor="text1"/>
        </w:rPr>
        <w:t>（International Agency for Research on Cancer, IARC）</w:t>
      </w:r>
      <w:r w:rsidR="00A64DE6" w:rsidRPr="000C4F04">
        <w:rPr>
          <w:rFonts w:hint="eastAsia"/>
          <w:color w:val="000000" w:themeColor="text1"/>
        </w:rPr>
        <w:t>已將檳榔列為第一級人類致癌物，食用檳榔為有害人體健康之物質，政府衛生部門從未以食品加以管理，且持續宣導民眾勿食檳榔，避免口腔病變，</w:t>
      </w:r>
      <w:r w:rsidR="00A64DE6" w:rsidRPr="000C4F04">
        <w:rPr>
          <w:rFonts w:hint="eastAsia"/>
          <w:color w:val="000000" w:themeColor="text1"/>
          <w:u w:val="single"/>
        </w:rPr>
        <w:t>故該會未核准檳榔用藥，且該會未將檳榔視為「作物」，</w:t>
      </w:r>
      <w:r w:rsidR="00A64DE6" w:rsidRPr="000C4F04">
        <w:rPr>
          <w:rFonts w:hint="eastAsia"/>
          <w:color w:val="000000" w:themeColor="text1"/>
        </w:rPr>
        <w:t>不鼓勵亦不推廣栽培，其病蟲害防治亦未有核准農藥，</w:t>
      </w:r>
      <w:r w:rsidR="00A64DE6" w:rsidRPr="000C4F04">
        <w:rPr>
          <w:rFonts w:hint="eastAsia"/>
          <w:color w:val="000000" w:themeColor="text1"/>
          <w:u w:val="single"/>
        </w:rPr>
        <w:t>因此該會從未有檳榔農藥使用管理或輔導措施</w:t>
      </w:r>
      <w:r w:rsidR="00A64DE6" w:rsidRPr="000C4F04">
        <w:rPr>
          <w:rFonts w:hint="eastAsia"/>
          <w:color w:val="000000" w:themeColor="text1"/>
        </w:rPr>
        <w:t>。要言之，國內有4.4萬公頃檳榔種植地，以及每年高達11.4萬公噸之產量，在如此大的生產模式下，農藥的使用無法可管，不管用法、用量及毒性等級，任由栽種業者恣意使用，</w:t>
      </w:r>
      <w:proofErr w:type="gramStart"/>
      <w:r w:rsidR="00A64DE6" w:rsidRPr="000C4F04">
        <w:rPr>
          <w:rFonts w:hint="eastAsia"/>
          <w:color w:val="000000" w:themeColor="text1"/>
        </w:rPr>
        <w:t>有危國人</w:t>
      </w:r>
      <w:proofErr w:type="gramEnd"/>
      <w:r w:rsidR="00A64DE6" w:rsidRPr="000C4F04">
        <w:rPr>
          <w:rFonts w:hint="eastAsia"/>
          <w:color w:val="000000" w:themeColor="text1"/>
        </w:rPr>
        <w:t>健康及生態環境，農委會</w:t>
      </w:r>
      <w:r w:rsidR="00B3627D" w:rsidRPr="000C4F04">
        <w:rPr>
          <w:rFonts w:hint="eastAsia"/>
          <w:color w:val="000000" w:themeColor="text1"/>
        </w:rPr>
        <w:t>確有</w:t>
      </w:r>
      <w:proofErr w:type="gramStart"/>
      <w:r w:rsidR="00B3627D" w:rsidRPr="000C4F04">
        <w:rPr>
          <w:rFonts w:hint="eastAsia"/>
          <w:color w:val="000000" w:themeColor="text1"/>
        </w:rPr>
        <w:t>怠</w:t>
      </w:r>
      <w:proofErr w:type="gramEnd"/>
      <w:r w:rsidR="00B3627D" w:rsidRPr="000C4F04">
        <w:rPr>
          <w:rFonts w:hint="eastAsia"/>
          <w:color w:val="000000" w:themeColor="text1"/>
        </w:rPr>
        <w:t>失。</w:t>
      </w:r>
    </w:p>
    <w:p w:rsidR="0036739D" w:rsidRPr="000C4F04" w:rsidRDefault="0036739D" w:rsidP="0036739D">
      <w:pPr>
        <w:pStyle w:val="3"/>
        <w:rPr>
          <w:color w:val="000000" w:themeColor="text1"/>
        </w:rPr>
      </w:pPr>
      <w:r w:rsidRPr="000C4F04">
        <w:rPr>
          <w:rFonts w:hint="eastAsia"/>
          <w:color w:val="000000" w:themeColor="text1"/>
        </w:rPr>
        <w:t>按農藥管理法第1條及第2條規定：「為保護農業生產及生態環境，防除有害生物，防止農藥危害，加強農藥管理，健全農藥產業發展，並增進農產品安全，特制定本法。」、「本法所稱主管機關：在中央為行政院農業委員會；在直轄市為直轄市政府；在縣（市）為縣（市）政府。」</w:t>
      </w:r>
      <w:proofErr w:type="gramStart"/>
      <w:r w:rsidRPr="000C4F04">
        <w:rPr>
          <w:rFonts w:hint="eastAsia"/>
          <w:color w:val="000000" w:themeColor="text1"/>
        </w:rPr>
        <w:t>復按同</w:t>
      </w:r>
      <w:proofErr w:type="gramEnd"/>
      <w:r w:rsidRPr="000C4F04">
        <w:rPr>
          <w:rFonts w:hint="eastAsia"/>
          <w:color w:val="000000" w:themeColor="text1"/>
        </w:rPr>
        <w:t>法第3條規定：「中央主管機關之主管事項如下：一、全國性農藥管理政策、方案與計畫之策劃、訂定及督導執行。二、全國性農藥管理法規之制（訂）定、</w:t>
      </w:r>
      <w:proofErr w:type="gramStart"/>
      <w:r w:rsidRPr="000C4F04">
        <w:rPr>
          <w:rFonts w:hint="eastAsia"/>
          <w:color w:val="000000" w:themeColor="text1"/>
        </w:rPr>
        <w:t>研</w:t>
      </w:r>
      <w:proofErr w:type="gramEnd"/>
      <w:r w:rsidRPr="000C4F04">
        <w:rPr>
          <w:rFonts w:hint="eastAsia"/>
          <w:color w:val="000000" w:themeColor="text1"/>
        </w:rPr>
        <w:t>議、釋示及執行。三、農藥管理之研究發展及宣導。四、全國性農藥管理人員之訓練及管理。五、全國性農藥管理業務之督導。六、全國性農藥管理之協調或執行。</w:t>
      </w:r>
      <w:r w:rsidRPr="000C4F04">
        <w:rPr>
          <w:rFonts w:hint="eastAsia"/>
          <w:color w:val="000000" w:themeColor="text1"/>
        </w:rPr>
        <w:br/>
        <w:t>七、農藥管理之國際合作及科技交流。八、其他有關全國性農藥管理事項。」</w:t>
      </w:r>
    </w:p>
    <w:p w:rsidR="00167F01" w:rsidRPr="000C4F04" w:rsidRDefault="00B3627D" w:rsidP="000935BA">
      <w:pPr>
        <w:pStyle w:val="3"/>
        <w:rPr>
          <w:color w:val="000000" w:themeColor="text1"/>
        </w:rPr>
      </w:pPr>
      <w:r w:rsidRPr="000C4F04">
        <w:rPr>
          <w:rFonts w:hint="eastAsia"/>
          <w:color w:val="000000" w:themeColor="text1"/>
        </w:rPr>
        <w:t>本院108年8月20日函</w:t>
      </w:r>
      <w:proofErr w:type="gramStart"/>
      <w:r w:rsidRPr="000C4F04">
        <w:rPr>
          <w:rFonts w:hint="eastAsia"/>
          <w:color w:val="000000" w:themeColor="text1"/>
        </w:rPr>
        <w:t>詢</w:t>
      </w:r>
      <w:proofErr w:type="gramEnd"/>
      <w:r w:rsidR="00167F01" w:rsidRPr="000C4F04">
        <w:rPr>
          <w:rFonts w:hint="eastAsia"/>
          <w:color w:val="000000" w:themeColor="text1"/>
        </w:rPr>
        <w:t>農委會</w:t>
      </w:r>
      <w:r w:rsidRPr="000C4F04">
        <w:rPr>
          <w:rFonts w:hint="eastAsia"/>
          <w:color w:val="000000" w:themeColor="text1"/>
        </w:rPr>
        <w:t>就檳榔農藥田間使用管理問題，</w:t>
      </w:r>
      <w:r w:rsidR="00167F01" w:rsidRPr="000C4F04">
        <w:rPr>
          <w:rFonts w:hint="eastAsia"/>
          <w:color w:val="000000" w:themeColor="text1"/>
        </w:rPr>
        <w:t>該</w:t>
      </w:r>
      <w:r w:rsidRPr="000C4F04">
        <w:rPr>
          <w:rFonts w:hint="eastAsia"/>
          <w:color w:val="000000" w:themeColor="text1"/>
        </w:rPr>
        <w:t>會</w:t>
      </w:r>
      <w:r w:rsidR="00167F01" w:rsidRPr="000C4F04">
        <w:rPr>
          <w:rFonts w:hint="eastAsia"/>
          <w:color w:val="000000" w:themeColor="text1"/>
        </w:rPr>
        <w:t>109年9月11日函復</w:t>
      </w:r>
      <w:r w:rsidRPr="000C4F04">
        <w:rPr>
          <w:rFonts w:hint="eastAsia"/>
          <w:color w:val="000000" w:themeColor="text1"/>
        </w:rPr>
        <w:t>表示略</w:t>
      </w:r>
      <w:proofErr w:type="gramStart"/>
      <w:r w:rsidRPr="000C4F04">
        <w:rPr>
          <w:rFonts w:hint="eastAsia"/>
          <w:color w:val="000000" w:themeColor="text1"/>
        </w:rPr>
        <w:t>以</w:t>
      </w:r>
      <w:proofErr w:type="gramEnd"/>
      <w:r w:rsidRPr="000C4F04">
        <w:rPr>
          <w:rFonts w:hint="eastAsia"/>
          <w:color w:val="000000" w:themeColor="text1"/>
        </w:rPr>
        <w:t>：</w:t>
      </w:r>
      <w:r w:rsidR="00167F01" w:rsidRPr="000C4F04">
        <w:rPr>
          <w:rFonts w:hint="eastAsia"/>
          <w:color w:val="000000" w:themeColor="text1"/>
        </w:rPr>
        <w:t>將</w:t>
      </w:r>
      <w:r w:rsidRPr="000C4F04">
        <w:rPr>
          <w:rFonts w:hint="eastAsia"/>
          <w:color w:val="000000" w:themeColor="text1"/>
        </w:rPr>
        <w:t>請</w:t>
      </w:r>
      <w:r w:rsidRPr="000C4F04">
        <w:rPr>
          <w:rFonts w:hint="eastAsia"/>
          <w:color w:val="000000" w:themeColor="text1"/>
        </w:rPr>
        <w:lastRenderedPageBreak/>
        <w:t>各區農業改良場就檳榔田間關鍵病蟲害種類</w:t>
      </w:r>
      <w:proofErr w:type="gramStart"/>
      <w:r w:rsidRPr="000C4F04">
        <w:rPr>
          <w:rFonts w:hint="eastAsia"/>
          <w:color w:val="000000" w:themeColor="text1"/>
        </w:rPr>
        <w:t>（</w:t>
      </w:r>
      <w:proofErr w:type="gramEnd"/>
      <w:r w:rsidRPr="000C4F04">
        <w:rPr>
          <w:rFonts w:hint="eastAsia"/>
          <w:color w:val="000000" w:themeColor="text1"/>
        </w:rPr>
        <w:t>包括椰子綴蛾、長角象鼻蟲、斐濟葉蟎；炭疽病、</w:t>
      </w:r>
      <w:proofErr w:type="gramStart"/>
      <w:r w:rsidRPr="000C4F04">
        <w:rPr>
          <w:rFonts w:hint="eastAsia"/>
          <w:color w:val="000000" w:themeColor="text1"/>
        </w:rPr>
        <w:t>圓斑病、基腐</w:t>
      </w:r>
      <w:proofErr w:type="gramEnd"/>
      <w:r w:rsidRPr="000C4F04">
        <w:rPr>
          <w:rFonts w:hint="eastAsia"/>
          <w:color w:val="000000" w:themeColor="text1"/>
        </w:rPr>
        <w:t>病等</w:t>
      </w:r>
      <w:proofErr w:type="gramStart"/>
      <w:r w:rsidRPr="000C4F04">
        <w:rPr>
          <w:rFonts w:hint="eastAsia"/>
          <w:color w:val="000000" w:themeColor="text1"/>
        </w:rPr>
        <w:t>）</w:t>
      </w:r>
      <w:proofErr w:type="gramEnd"/>
      <w:r w:rsidRPr="000C4F04">
        <w:rPr>
          <w:rFonts w:hint="eastAsia"/>
          <w:color w:val="000000" w:themeColor="text1"/>
        </w:rPr>
        <w:t>與可行之整合性防治及用藥技術廣為訪談蒐集資料，於</w:t>
      </w:r>
      <w:r w:rsidR="00167F01" w:rsidRPr="000C4F04">
        <w:rPr>
          <w:rFonts w:hint="eastAsia"/>
          <w:color w:val="000000" w:themeColor="text1"/>
        </w:rPr>
        <w:t>108年</w:t>
      </w:r>
      <w:r w:rsidRPr="000C4F04">
        <w:rPr>
          <w:color w:val="000000" w:themeColor="text1"/>
        </w:rPr>
        <w:t>9</w:t>
      </w:r>
      <w:r w:rsidRPr="000C4F04">
        <w:rPr>
          <w:rFonts w:hint="eastAsia"/>
          <w:color w:val="000000" w:themeColor="text1"/>
        </w:rPr>
        <w:t>月</w:t>
      </w:r>
      <w:r w:rsidRPr="000C4F04">
        <w:rPr>
          <w:color w:val="000000" w:themeColor="text1"/>
        </w:rPr>
        <w:t>3</w:t>
      </w:r>
      <w:r w:rsidRPr="000C4F04">
        <w:rPr>
          <w:rFonts w:hint="eastAsia"/>
          <w:color w:val="000000" w:themeColor="text1"/>
        </w:rPr>
        <w:t>日前分別送農業試驗所（病害部分）及高雄區農業改良場（蟲害部分）彙整，並於</w:t>
      </w:r>
      <w:proofErr w:type="gramStart"/>
      <w:r w:rsidR="00167F01" w:rsidRPr="000C4F04">
        <w:rPr>
          <w:rFonts w:hint="eastAsia"/>
          <w:color w:val="000000" w:themeColor="text1"/>
        </w:rPr>
        <w:t>108年</w:t>
      </w:r>
      <w:r w:rsidRPr="000C4F04">
        <w:rPr>
          <w:color w:val="000000" w:themeColor="text1"/>
        </w:rPr>
        <w:t>9</w:t>
      </w:r>
      <w:r w:rsidRPr="000C4F04">
        <w:rPr>
          <w:rFonts w:hint="eastAsia"/>
          <w:color w:val="000000" w:themeColor="text1"/>
        </w:rPr>
        <w:t>月</w:t>
      </w:r>
      <w:r w:rsidRPr="000C4F04">
        <w:rPr>
          <w:color w:val="000000" w:themeColor="text1"/>
        </w:rPr>
        <w:t>10</w:t>
      </w:r>
      <w:r w:rsidRPr="000C4F04">
        <w:rPr>
          <w:rFonts w:hint="eastAsia"/>
          <w:color w:val="000000" w:themeColor="text1"/>
        </w:rPr>
        <w:t>日前送防檢</w:t>
      </w:r>
      <w:proofErr w:type="gramEnd"/>
      <w:r w:rsidRPr="000C4F04">
        <w:rPr>
          <w:rFonts w:hint="eastAsia"/>
          <w:color w:val="000000" w:themeColor="text1"/>
        </w:rPr>
        <w:t>局辦理後續相關事宜。</w:t>
      </w:r>
    </w:p>
    <w:p w:rsidR="00B3627D" w:rsidRPr="000C4F04" w:rsidRDefault="00167F01" w:rsidP="00167F01">
      <w:pPr>
        <w:pStyle w:val="3"/>
        <w:numPr>
          <w:ilvl w:val="0"/>
          <w:numId w:val="0"/>
        </w:numPr>
        <w:ind w:left="1361" w:firstLineChars="225" w:firstLine="765"/>
        <w:rPr>
          <w:color w:val="000000" w:themeColor="text1"/>
        </w:rPr>
      </w:pPr>
      <w:r w:rsidRPr="000C4F04">
        <w:rPr>
          <w:rFonts w:hint="eastAsia"/>
          <w:color w:val="000000" w:themeColor="text1"/>
        </w:rPr>
        <w:t>顯見農委會當時</w:t>
      </w:r>
      <w:r w:rsidR="007C0288" w:rsidRPr="000C4F04">
        <w:rPr>
          <w:rFonts w:hint="eastAsia"/>
          <w:color w:val="000000" w:themeColor="text1"/>
        </w:rPr>
        <w:t>預計</w:t>
      </w:r>
      <w:r w:rsidRPr="000C4F04">
        <w:rPr>
          <w:rFonts w:hint="eastAsia"/>
          <w:color w:val="000000" w:themeColor="text1"/>
        </w:rPr>
        <w:t>先行蒐集檳榔田間關鍵病蟲害種類與可行之防治方法，惟是否訂定檳榔農藥使用方法，該會於該函表示：</w:t>
      </w:r>
      <w:r w:rsidR="00BE0623" w:rsidRPr="000C4F04">
        <w:rPr>
          <w:rFonts w:hint="eastAsia"/>
          <w:color w:val="000000" w:themeColor="text1"/>
        </w:rPr>
        <w:t>「</w:t>
      </w:r>
      <w:r w:rsidRPr="000C4F04">
        <w:rPr>
          <w:rFonts w:hint="eastAsia"/>
          <w:color w:val="000000" w:themeColor="text1"/>
        </w:rPr>
        <w:t>由於衛生主管機關並無公告檳榔用藥之殘留容許量標準，基於政府一體之立場，本會(指農委會)亦未公告檳榔之農藥使用方法。</w:t>
      </w:r>
      <w:r w:rsidR="00BE0623" w:rsidRPr="000C4F04">
        <w:rPr>
          <w:rFonts w:hint="eastAsia"/>
          <w:color w:val="000000" w:themeColor="text1"/>
        </w:rPr>
        <w:t>」</w:t>
      </w:r>
    </w:p>
    <w:p w:rsidR="00B3627D" w:rsidRPr="000C4F04" w:rsidRDefault="00167F01" w:rsidP="000935BA">
      <w:pPr>
        <w:pStyle w:val="3"/>
        <w:rPr>
          <w:color w:val="000000" w:themeColor="text1"/>
        </w:rPr>
      </w:pPr>
      <w:r w:rsidRPr="000C4F04">
        <w:rPr>
          <w:rFonts w:hint="eastAsia"/>
          <w:color w:val="000000" w:themeColor="text1"/>
        </w:rPr>
        <w:t>基此，本院於109年2月20日辦理本案詢問，關於農委會對於檳榔田間生產規範及農藥殘留議題，該會表示：</w:t>
      </w:r>
      <w:r w:rsidR="001520D8" w:rsidRPr="000C4F04">
        <w:rPr>
          <w:rFonts w:hint="eastAsia"/>
          <w:color w:val="000000" w:themeColor="text1"/>
        </w:rPr>
        <w:t>有關檳榔病蟲害防治用藥，業於農藥技術</w:t>
      </w:r>
      <w:proofErr w:type="gramStart"/>
      <w:r w:rsidR="001520D8" w:rsidRPr="000C4F04">
        <w:rPr>
          <w:rFonts w:hint="eastAsia"/>
          <w:color w:val="000000" w:themeColor="text1"/>
        </w:rPr>
        <w:t>諮</w:t>
      </w:r>
      <w:proofErr w:type="gramEnd"/>
      <w:r w:rsidR="001520D8" w:rsidRPr="000C4F04">
        <w:rPr>
          <w:rFonts w:hint="eastAsia"/>
          <w:color w:val="000000" w:themeColor="text1"/>
        </w:rPr>
        <w:t>議委員會審議通過23.6%</w:t>
      </w:r>
      <w:proofErr w:type="gramStart"/>
      <w:r w:rsidR="001520D8" w:rsidRPr="000C4F04">
        <w:rPr>
          <w:rFonts w:hint="eastAsia"/>
          <w:color w:val="000000" w:themeColor="text1"/>
        </w:rPr>
        <w:t>百</w:t>
      </w:r>
      <w:proofErr w:type="gramEnd"/>
      <w:r w:rsidR="001520D8" w:rsidRPr="000C4F04">
        <w:rPr>
          <w:rFonts w:hint="eastAsia"/>
          <w:color w:val="000000" w:themeColor="text1"/>
        </w:rPr>
        <w:t>克敏EC、25%</w:t>
      </w:r>
      <w:proofErr w:type="gramStart"/>
      <w:r w:rsidR="001520D8" w:rsidRPr="000C4F04">
        <w:rPr>
          <w:rFonts w:hint="eastAsia"/>
          <w:color w:val="000000" w:themeColor="text1"/>
        </w:rPr>
        <w:t>福化利</w:t>
      </w:r>
      <w:proofErr w:type="gramEnd"/>
      <w:r w:rsidR="001520D8" w:rsidRPr="000C4F04">
        <w:rPr>
          <w:rFonts w:hint="eastAsia"/>
          <w:color w:val="000000" w:themeColor="text1"/>
        </w:rPr>
        <w:t>EC、240G/L</w:t>
      </w:r>
      <w:proofErr w:type="gramStart"/>
      <w:r w:rsidR="001520D8" w:rsidRPr="000C4F04">
        <w:rPr>
          <w:rFonts w:hint="eastAsia"/>
          <w:color w:val="000000" w:themeColor="text1"/>
        </w:rPr>
        <w:t>福化利</w:t>
      </w:r>
      <w:proofErr w:type="gramEnd"/>
      <w:r w:rsidR="001520D8" w:rsidRPr="000C4F04">
        <w:rPr>
          <w:rFonts w:hint="eastAsia"/>
          <w:color w:val="000000" w:themeColor="text1"/>
        </w:rPr>
        <w:t>EW、庫斯蘇力菌E-911WP等4種藥劑使用方法，</w:t>
      </w:r>
      <w:r w:rsidR="001520D8" w:rsidRPr="000C4F04">
        <w:rPr>
          <w:rFonts w:hint="eastAsia"/>
          <w:color w:val="000000" w:themeColor="text1"/>
          <w:u w:val="single"/>
        </w:rPr>
        <w:t>並訂定</w:t>
      </w:r>
      <w:proofErr w:type="gramStart"/>
      <w:r w:rsidR="001520D8" w:rsidRPr="000C4F04">
        <w:rPr>
          <w:rFonts w:hint="eastAsia"/>
          <w:color w:val="000000" w:themeColor="text1"/>
          <w:u w:val="single"/>
        </w:rPr>
        <w:t>百克敏及福化利</w:t>
      </w:r>
      <w:proofErr w:type="gramEnd"/>
      <w:r w:rsidR="001520D8" w:rsidRPr="000C4F04">
        <w:rPr>
          <w:rFonts w:hint="eastAsia"/>
          <w:color w:val="000000" w:themeColor="text1"/>
          <w:u w:val="single"/>
        </w:rPr>
        <w:t>農藥殘留限量分別為1.5ppm、0.8ppm</w:t>
      </w:r>
      <w:r w:rsidR="001520D8" w:rsidRPr="000C4F04">
        <w:rPr>
          <w:rFonts w:hint="eastAsia"/>
          <w:color w:val="000000" w:themeColor="text1"/>
        </w:rPr>
        <w:t>，庫斯蘇力</w:t>
      </w:r>
      <w:proofErr w:type="gramStart"/>
      <w:r w:rsidR="001520D8" w:rsidRPr="000C4F04">
        <w:rPr>
          <w:rFonts w:hint="eastAsia"/>
          <w:color w:val="000000" w:themeColor="text1"/>
        </w:rPr>
        <w:t>菌免定</w:t>
      </w:r>
      <w:proofErr w:type="gramEnd"/>
      <w:r w:rsidR="001520D8" w:rsidRPr="000C4F04">
        <w:rPr>
          <w:rFonts w:hint="eastAsia"/>
          <w:color w:val="000000" w:themeColor="text1"/>
        </w:rPr>
        <w:t>殘留限量；目前刻正辦理「農藥使用及農產品農藥殘留抽驗辦法」第9條修正草案預告法制作業，新增農作物農藥殘留限量表。顯見農委會已著手訂定檳榔田間生產</w:t>
      </w:r>
      <w:r w:rsidR="0004464A" w:rsidRPr="000C4F04">
        <w:rPr>
          <w:rFonts w:hint="eastAsia"/>
          <w:color w:val="000000" w:themeColor="text1"/>
        </w:rPr>
        <w:t>用藥</w:t>
      </w:r>
      <w:r w:rsidR="001520D8" w:rsidRPr="000C4F04">
        <w:rPr>
          <w:rFonts w:hint="eastAsia"/>
          <w:color w:val="000000" w:themeColor="text1"/>
        </w:rPr>
        <w:t>管理規範，惟仍應儘速確實落實法制作業程序，且應</w:t>
      </w:r>
      <w:proofErr w:type="gramStart"/>
      <w:r w:rsidR="001520D8" w:rsidRPr="000C4F04">
        <w:rPr>
          <w:rFonts w:hint="eastAsia"/>
          <w:color w:val="000000" w:themeColor="text1"/>
        </w:rPr>
        <w:t>研</w:t>
      </w:r>
      <w:proofErr w:type="gramEnd"/>
      <w:r w:rsidR="001520D8" w:rsidRPr="000C4F04">
        <w:rPr>
          <w:rFonts w:hint="eastAsia"/>
          <w:color w:val="000000" w:themeColor="text1"/>
        </w:rPr>
        <w:t>議及辦理抽檢計畫，以周延管理制度。</w:t>
      </w:r>
    </w:p>
    <w:p w:rsidR="001520D8" w:rsidRPr="000C4F04" w:rsidRDefault="001520D8" w:rsidP="0036739D">
      <w:pPr>
        <w:pStyle w:val="3"/>
        <w:rPr>
          <w:color w:val="000000" w:themeColor="text1"/>
        </w:rPr>
      </w:pPr>
      <w:r w:rsidRPr="000C4F04">
        <w:rPr>
          <w:rFonts w:hint="eastAsia"/>
          <w:color w:val="000000" w:themeColor="text1"/>
        </w:rPr>
        <w:t>綜上，</w:t>
      </w:r>
      <w:r w:rsidR="0036739D" w:rsidRPr="000C4F04">
        <w:rPr>
          <w:rFonts w:hint="eastAsia"/>
          <w:color w:val="000000" w:themeColor="text1"/>
        </w:rPr>
        <w:t>長期以來，國人食用檳榔者眾，至今仍有超過4萬公頃種植面積及10萬公噸產量，然農委會長期漠視國內檳榔農藥問題，任由栽種業者使用各種農藥，不但影響農民、檳榔食用者健康，亦影響生態環境甚</w:t>
      </w:r>
      <w:proofErr w:type="gramStart"/>
      <w:r w:rsidR="0036739D" w:rsidRPr="000C4F04">
        <w:rPr>
          <w:rFonts w:hint="eastAsia"/>
          <w:color w:val="000000" w:themeColor="text1"/>
        </w:rPr>
        <w:t>鉅</w:t>
      </w:r>
      <w:proofErr w:type="gramEnd"/>
      <w:r w:rsidR="0036739D" w:rsidRPr="000C4F04">
        <w:rPr>
          <w:rFonts w:hint="eastAsia"/>
          <w:color w:val="000000" w:themeColor="text1"/>
        </w:rPr>
        <w:t>，加以</w:t>
      </w:r>
      <w:proofErr w:type="gramStart"/>
      <w:r w:rsidR="0036739D" w:rsidRPr="000C4F04">
        <w:rPr>
          <w:rFonts w:hint="eastAsia"/>
          <w:color w:val="000000" w:themeColor="text1"/>
        </w:rPr>
        <w:t>食藥署不</w:t>
      </w:r>
      <w:proofErr w:type="gramEnd"/>
      <w:r w:rsidR="0036739D" w:rsidRPr="000C4F04">
        <w:rPr>
          <w:rFonts w:hint="eastAsia"/>
          <w:color w:val="000000" w:themeColor="text1"/>
        </w:rPr>
        <w:t>認定檳榔屬於食品，農</w:t>
      </w:r>
      <w:r w:rsidR="0036739D" w:rsidRPr="000C4F04">
        <w:rPr>
          <w:rFonts w:hint="eastAsia"/>
          <w:color w:val="000000" w:themeColor="text1"/>
        </w:rPr>
        <w:lastRenderedPageBreak/>
        <w:t>委會因此未將檳榔視為農作物，以致遲遲未訂定農藥使用管理規範，確有</w:t>
      </w:r>
      <w:proofErr w:type="gramStart"/>
      <w:r w:rsidR="0036739D" w:rsidRPr="000C4F04">
        <w:rPr>
          <w:rFonts w:hint="eastAsia"/>
          <w:color w:val="000000" w:themeColor="text1"/>
        </w:rPr>
        <w:t>怠</w:t>
      </w:r>
      <w:proofErr w:type="gramEnd"/>
      <w:r w:rsidR="0036739D" w:rsidRPr="000C4F04">
        <w:rPr>
          <w:rFonts w:hint="eastAsia"/>
          <w:color w:val="000000" w:themeColor="text1"/>
        </w:rPr>
        <w:t>失。現農委會已著手訂定檳榔田間生產管理規範，惟仍應儘速確實落實法制作業程序，且應</w:t>
      </w:r>
      <w:proofErr w:type="gramStart"/>
      <w:r w:rsidR="0036739D" w:rsidRPr="000C4F04">
        <w:rPr>
          <w:rFonts w:hint="eastAsia"/>
          <w:color w:val="000000" w:themeColor="text1"/>
        </w:rPr>
        <w:t>研</w:t>
      </w:r>
      <w:proofErr w:type="gramEnd"/>
      <w:r w:rsidR="0036739D" w:rsidRPr="000C4F04">
        <w:rPr>
          <w:rFonts w:hint="eastAsia"/>
          <w:color w:val="000000" w:themeColor="text1"/>
        </w:rPr>
        <w:t>議及辦理抽檢計畫，自法規及執行面澈底解決檳榔農藥衍生之種種問題。</w:t>
      </w:r>
    </w:p>
    <w:p w:rsidR="002C4680" w:rsidRPr="000C4F04" w:rsidRDefault="00657D9E" w:rsidP="0036739D">
      <w:pPr>
        <w:pStyle w:val="2"/>
        <w:rPr>
          <w:b/>
          <w:color w:val="000000" w:themeColor="text1"/>
        </w:rPr>
      </w:pPr>
      <w:r w:rsidRPr="000C4F04">
        <w:rPr>
          <w:rFonts w:hint="eastAsia"/>
          <w:b/>
          <w:color w:val="000000" w:themeColor="text1"/>
        </w:rPr>
        <w:t>農委會自103年起辦理檳榔廢園及轉作</w:t>
      </w:r>
      <w:r w:rsidR="007C0288" w:rsidRPr="000C4F04">
        <w:rPr>
          <w:rFonts w:hint="eastAsia"/>
          <w:b/>
          <w:color w:val="000000" w:themeColor="text1"/>
        </w:rPr>
        <w:t>輔導</w:t>
      </w:r>
      <w:r w:rsidRPr="000C4F04">
        <w:rPr>
          <w:rFonts w:hint="eastAsia"/>
          <w:b/>
          <w:color w:val="000000" w:themeColor="text1"/>
        </w:rPr>
        <w:t>計畫，惟達成率僅15%；</w:t>
      </w:r>
      <w:proofErr w:type="gramStart"/>
      <w:r w:rsidRPr="000C4F04">
        <w:rPr>
          <w:rFonts w:hint="eastAsia"/>
          <w:b/>
          <w:color w:val="000000" w:themeColor="text1"/>
        </w:rPr>
        <w:t>嗣</w:t>
      </w:r>
      <w:proofErr w:type="gramEnd"/>
      <w:r w:rsidRPr="000C4F04">
        <w:rPr>
          <w:rFonts w:hint="eastAsia"/>
          <w:b/>
          <w:color w:val="000000" w:themeColor="text1"/>
        </w:rPr>
        <w:t>108年接續推動</w:t>
      </w:r>
      <w:r w:rsidR="00680976" w:rsidRPr="000C4F04">
        <w:rPr>
          <w:rFonts w:hint="eastAsia"/>
          <w:b/>
          <w:color w:val="000000" w:themeColor="text1"/>
        </w:rPr>
        <w:t>並</w:t>
      </w:r>
      <w:r w:rsidRPr="000C4F04">
        <w:rPr>
          <w:rFonts w:hint="eastAsia"/>
          <w:b/>
          <w:color w:val="000000" w:themeColor="text1"/>
        </w:rPr>
        <w:t>調增補助經費及擴大推薦作物範圍，</w:t>
      </w:r>
      <w:proofErr w:type="gramStart"/>
      <w:r w:rsidRPr="000C4F04">
        <w:rPr>
          <w:rFonts w:hint="eastAsia"/>
          <w:b/>
          <w:color w:val="000000" w:themeColor="text1"/>
        </w:rPr>
        <w:t>達成率</w:t>
      </w:r>
      <w:r w:rsidR="0036739D" w:rsidRPr="000C4F04">
        <w:rPr>
          <w:rFonts w:hint="eastAsia"/>
          <w:b/>
          <w:color w:val="000000" w:themeColor="text1"/>
        </w:rPr>
        <w:t>乃提高</w:t>
      </w:r>
      <w:proofErr w:type="gramEnd"/>
      <w:r w:rsidR="0036739D" w:rsidRPr="000C4F04">
        <w:rPr>
          <w:rFonts w:hint="eastAsia"/>
          <w:b/>
          <w:color w:val="000000" w:themeColor="text1"/>
        </w:rPr>
        <w:t>至</w:t>
      </w:r>
      <w:proofErr w:type="gramStart"/>
      <w:r w:rsidRPr="000C4F04">
        <w:rPr>
          <w:rFonts w:hint="eastAsia"/>
          <w:b/>
          <w:color w:val="000000" w:themeColor="text1"/>
        </w:rPr>
        <w:t>4成</w:t>
      </w:r>
      <w:proofErr w:type="gramEnd"/>
      <w:r w:rsidRPr="000C4F04">
        <w:rPr>
          <w:rFonts w:hint="eastAsia"/>
          <w:b/>
          <w:color w:val="000000" w:themeColor="text1"/>
        </w:rPr>
        <w:t>，</w:t>
      </w:r>
      <w:r w:rsidR="0036739D" w:rsidRPr="000C4F04">
        <w:rPr>
          <w:rFonts w:hint="eastAsia"/>
          <w:b/>
          <w:color w:val="000000" w:themeColor="text1"/>
        </w:rPr>
        <w:t>然</w:t>
      </w:r>
      <w:r w:rsidR="00980B65" w:rsidRPr="000C4F04">
        <w:rPr>
          <w:rFonts w:hint="eastAsia"/>
          <w:b/>
          <w:color w:val="000000" w:themeColor="text1"/>
        </w:rPr>
        <w:t>該</w:t>
      </w:r>
      <w:r w:rsidRPr="000C4F04">
        <w:rPr>
          <w:rFonts w:hint="eastAsia"/>
          <w:b/>
          <w:color w:val="000000" w:themeColor="text1"/>
        </w:rPr>
        <w:t>政策誘因</w:t>
      </w:r>
      <w:r w:rsidR="0036739D" w:rsidRPr="000C4F04">
        <w:rPr>
          <w:rFonts w:hint="eastAsia"/>
          <w:b/>
          <w:color w:val="000000" w:themeColor="text1"/>
        </w:rPr>
        <w:t>仍</w:t>
      </w:r>
      <w:r w:rsidRPr="000C4F04">
        <w:rPr>
          <w:rFonts w:hint="eastAsia"/>
          <w:b/>
          <w:color w:val="000000" w:themeColor="text1"/>
        </w:rPr>
        <w:t>難敵檳榔</w:t>
      </w:r>
      <w:r w:rsidR="0036739D" w:rsidRPr="000C4F04">
        <w:rPr>
          <w:rFonts w:hint="eastAsia"/>
          <w:b/>
          <w:color w:val="000000" w:themeColor="text1"/>
        </w:rPr>
        <w:t>每年</w:t>
      </w:r>
      <w:r w:rsidRPr="000C4F04">
        <w:rPr>
          <w:rFonts w:hint="eastAsia"/>
          <w:b/>
          <w:color w:val="000000" w:themeColor="text1"/>
        </w:rPr>
        <w:t>高達百億元</w:t>
      </w:r>
      <w:r w:rsidR="0036739D" w:rsidRPr="000C4F04">
        <w:rPr>
          <w:rFonts w:hint="eastAsia"/>
          <w:b/>
          <w:color w:val="000000" w:themeColor="text1"/>
        </w:rPr>
        <w:t>產值利益，以致檳榔</w:t>
      </w:r>
      <w:r w:rsidRPr="000C4F04">
        <w:rPr>
          <w:rFonts w:hint="eastAsia"/>
          <w:b/>
          <w:color w:val="000000" w:themeColor="text1"/>
        </w:rPr>
        <w:t>產量逐年增加，農委會</w:t>
      </w:r>
      <w:r w:rsidR="0036739D" w:rsidRPr="000C4F04">
        <w:rPr>
          <w:rFonts w:hint="eastAsia"/>
          <w:b/>
          <w:color w:val="000000" w:themeColor="text1"/>
        </w:rPr>
        <w:t>仍需持續</w:t>
      </w:r>
      <w:r w:rsidRPr="000C4F04">
        <w:rPr>
          <w:rFonts w:hint="eastAsia"/>
          <w:b/>
          <w:color w:val="000000" w:themeColor="text1"/>
        </w:rPr>
        <w:t>通盤審視與檢討，並</w:t>
      </w:r>
      <w:proofErr w:type="gramStart"/>
      <w:r w:rsidRPr="000C4F04">
        <w:rPr>
          <w:rFonts w:hint="eastAsia"/>
          <w:b/>
          <w:color w:val="000000" w:themeColor="text1"/>
        </w:rPr>
        <w:t>研</w:t>
      </w:r>
      <w:proofErr w:type="gramEnd"/>
      <w:r w:rsidRPr="000C4F04">
        <w:rPr>
          <w:rFonts w:hint="eastAsia"/>
          <w:b/>
          <w:color w:val="000000" w:themeColor="text1"/>
        </w:rPr>
        <w:t>議改善措施。</w:t>
      </w:r>
    </w:p>
    <w:p w:rsidR="002C4680" w:rsidRPr="000C4F04" w:rsidRDefault="002C4680" w:rsidP="000935BA">
      <w:pPr>
        <w:pStyle w:val="3"/>
        <w:rPr>
          <w:color w:val="000000" w:themeColor="text1"/>
        </w:rPr>
      </w:pPr>
      <w:r w:rsidRPr="000C4F04">
        <w:rPr>
          <w:rFonts w:hint="eastAsia"/>
          <w:color w:val="000000" w:themeColor="text1"/>
        </w:rPr>
        <w:t>查農委會為配合中央癌症防治政策及國土復育，加強檳榔生產管制，縮減檳榔種植面積，</w:t>
      </w:r>
      <w:r w:rsidR="00980B65" w:rsidRPr="000C4F04">
        <w:rPr>
          <w:rFonts w:hint="eastAsia"/>
          <w:color w:val="000000" w:themeColor="text1"/>
        </w:rPr>
        <w:t>曾</w:t>
      </w:r>
      <w:r w:rsidRPr="000C4F04">
        <w:rPr>
          <w:rFonts w:hint="eastAsia"/>
          <w:color w:val="000000" w:themeColor="text1"/>
        </w:rPr>
        <w:t>邀集</w:t>
      </w:r>
      <w:proofErr w:type="gramStart"/>
      <w:r w:rsidRPr="000C4F04">
        <w:rPr>
          <w:rFonts w:hint="eastAsia"/>
          <w:color w:val="000000" w:themeColor="text1"/>
        </w:rPr>
        <w:t>衛福部</w:t>
      </w:r>
      <w:proofErr w:type="gramEnd"/>
      <w:r w:rsidRPr="000C4F04">
        <w:rPr>
          <w:rFonts w:hint="eastAsia"/>
          <w:color w:val="000000" w:themeColor="text1"/>
        </w:rPr>
        <w:t>、原住民族委員會及財政部國有財產署等機關，訂定「103-106年檳榔管理方案」，並經行政院同意辦理，該方案</w:t>
      </w:r>
      <w:proofErr w:type="gramStart"/>
      <w:r w:rsidRPr="000C4F04">
        <w:rPr>
          <w:rFonts w:hint="eastAsia"/>
          <w:color w:val="000000" w:themeColor="text1"/>
        </w:rPr>
        <w:t>農糧署負責</w:t>
      </w:r>
      <w:proofErr w:type="gramEnd"/>
      <w:r w:rsidRPr="000C4F04">
        <w:rPr>
          <w:rFonts w:hint="eastAsia"/>
          <w:color w:val="000000" w:themeColor="text1"/>
        </w:rPr>
        <w:t>：「農牧用地種植檳榔輔導廢園及轉作」。辦理經過如下：</w:t>
      </w:r>
    </w:p>
    <w:p w:rsidR="002C4680" w:rsidRPr="000C4F04" w:rsidRDefault="002C4680" w:rsidP="002C4680">
      <w:pPr>
        <w:pStyle w:val="4"/>
        <w:ind w:left="1560"/>
        <w:rPr>
          <w:color w:val="000000" w:themeColor="text1"/>
        </w:rPr>
      </w:pPr>
      <w:r w:rsidRPr="000C4F04">
        <w:rPr>
          <w:rFonts w:hint="eastAsia"/>
          <w:color w:val="000000" w:themeColor="text1"/>
        </w:rPr>
        <w:t>檳榔廢園及轉作計畫於輔導過程，遭遇農村人口老化、缺工、轉作作物栽培門檻高及檳榔仍具有市場需求等因素，除導入農企業之商業運作模式外，就生產面及消費面著手：</w:t>
      </w:r>
    </w:p>
    <w:p w:rsidR="002C4680" w:rsidRPr="000C4F04" w:rsidRDefault="002C4680" w:rsidP="000935BA">
      <w:pPr>
        <w:pStyle w:val="5"/>
        <w:ind w:left="2127"/>
        <w:rPr>
          <w:color w:val="000000" w:themeColor="text1"/>
        </w:rPr>
      </w:pPr>
      <w:r w:rsidRPr="000C4F04">
        <w:rPr>
          <w:rFonts w:hint="eastAsia"/>
          <w:color w:val="000000" w:themeColor="text1"/>
        </w:rPr>
        <w:t>生產面：農村人口</w:t>
      </w:r>
      <w:proofErr w:type="gramStart"/>
      <w:r w:rsidRPr="000C4F04">
        <w:rPr>
          <w:rFonts w:hint="eastAsia"/>
          <w:color w:val="000000" w:themeColor="text1"/>
        </w:rPr>
        <w:t>老化及缺工</w:t>
      </w:r>
      <w:proofErr w:type="gramEnd"/>
      <w:r w:rsidRPr="000C4F04">
        <w:rPr>
          <w:rFonts w:hint="eastAsia"/>
          <w:color w:val="000000" w:themeColor="text1"/>
        </w:rPr>
        <w:t>問題，農委會各試驗改良場所訓練農業專業技術師傅，有</w:t>
      </w:r>
      <w:proofErr w:type="gramStart"/>
      <w:r w:rsidRPr="000C4F04">
        <w:rPr>
          <w:rFonts w:hint="eastAsia"/>
          <w:color w:val="000000" w:themeColor="text1"/>
        </w:rPr>
        <w:t>轉作缺工</w:t>
      </w:r>
      <w:proofErr w:type="gramEnd"/>
      <w:r w:rsidRPr="000C4F04">
        <w:rPr>
          <w:rFonts w:hint="eastAsia"/>
          <w:color w:val="000000" w:themeColor="text1"/>
        </w:rPr>
        <w:t>需求可向農會申請相關人力協助，至轉作作物栽培技術問題，則成立作物技術服務團，不定期舉辦研討會及現場指導。</w:t>
      </w:r>
    </w:p>
    <w:p w:rsidR="002C4680" w:rsidRPr="000C4F04" w:rsidRDefault="002C4680" w:rsidP="000935BA">
      <w:pPr>
        <w:pStyle w:val="5"/>
        <w:ind w:left="2127"/>
        <w:rPr>
          <w:color w:val="000000" w:themeColor="text1"/>
        </w:rPr>
      </w:pPr>
      <w:r w:rsidRPr="000C4F04">
        <w:rPr>
          <w:rFonts w:hint="eastAsia"/>
          <w:color w:val="000000" w:themeColor="text1"/>
        </w:rPr>
        <w:t>消費面：於消費地辦理檳榔健康座談會、宣導活動等，減少檳榔嚼食人口，降低消費量，進而減少檳榔種植面積。</w:t>
      </w:r>
    </w:p>
    <w:p w:rsidR="002C4680" w:rsidRPr="000C4F04" w:rsidRDefault="002C4680" w:rsidP="000935BA">
      <w:pPr>
        <w:pStyle w:val="4"/>
        <w:ind w:left="1560"/>
        <w:rPr>
          <w:color w:val="000000" w:themeColor="text1"/>
        </w:rPr>
      </w:pPr>
      <w:r w:rsidRPr="000C4F04">
        <w:rPr>
          <w:rFonts w:hint="eastAsia"/>
          <w:color w:val="000000" w:themeColor="text1"/>
        </w:rPr>
        <w:t>補助經費調整</w:t>
      </w:r>
    </w:p>
    <w:p w:rsidR="002C4680" w:rsidRPr="000C4F04" w:rsidRDefault="002C4680" w:rsidP="000935BA">
      <w:pPr>
        <w:pStyle w:val="5"/>
        <w:ind w:left="2127"/>
        <w:rPr>
          <w:color w:val="000000" w:themeColor="text1"/>
        </w:rPr>
      </w:pPr>
      <w:r w:rsidRPr="000C4F04">
        <w:rPr>
          <w:rFonts w:hint="eastAsia"/>
          <w:color w:val="000000" w:themeColor="text1"/>
        </w:rPr>
        <w:lastRenderedPageBreak/>
        <w:t>103至105年：</w:t>
      </w:r>
    </w:p>
    <w:p w:rsidR="002C4680" w:rsidRPr="000C4F04" w:rsidRDefault="002C4680" w:rsidP="000935BA">
      <w:pPr>
        <w:pStyle w:val="4"/>
        <w:numPr>
          <w:ilvl w:val="0"/>
          <w:numId w:val="0"/>
        </w:numPr>
        <w:ind w:left="2127" w:firstLineChars="166" w:firstLine="565"/>
        <w:rPr>
          <w:color w:val="000000" w:themeColor="text1"/>
        </w:rPr>
      </w:pPr>
      <w:r w:rsidRPr="000C4F04">
        <w:rPr>
          <w:rFonts w:hint="eastAsia"/>
          <w:color w:val="000000" w:themeColor="text1"/>
        </w:rPr>
        <w:t>廢園及</w:t>
      </w:r>
      <w:proofErr w:type="gramStart"/>
      <w:r w:rsidRPr="000C4F04">
        <w:rPr>
          <w:rFonts w:hint="eastAsia"/>
          <w:color w:val="000000" w:themeColor="text1"/>
        </w:rPr>
        <w:t>轉作需同時</w:t>
      </w:r>
      <w:proofErr w:type="gramEnd"/>
      <w:r w:rsidRPr="000C4F04">
        <w:rPr>
          <w:rFonts w:hint="eastAsia"/>
          <w:color w:val="000000" w:themeColor="text1"/>
        </w:rPr>
        <w:t>辦理，以山坡地農牧用地為受理對象。廢園補助15萬元/公頃，轉作補助5萬元</w:t>
      </w:r>
      <w:proofErr w:type="gramStart"/>
      <w:r w:rsidRPr="000C4F04">
        <w:rPr>
          <w:rFonts w:hint="eastAsia"/>
          <w:color w:val="000000" w:themeColor="text1"/>
        </w:rPr>
        <w:t>種苗費</w:t>
      </w:r>
      <w:proofErr w:type="gramEnd"/>
      <w:r w:rsidR="00212144" w:rsidRPr="000C4F04">
        <w:rPr>
          <w:rFonts w:hint="eastAsia"/>
          <w:color w:val="000000" w:themeColor="text1"/>
        </w:rPr>
        <w:t>/公頃</w:t>
      </w:r>
      <w:r w:rsidRPr="000C4F04">
        <w:rPr>
          <w:rFonts w:hint="eastAsia"/>
          <w:color w:val="000000" w:themeColor="text1"/>
        </w:rPr>
        <w:t>，合計補助20萬元</w:t>
      </w:r>
      <w:r w:rsidR="00212144" w:rsidRPr="000C4F04">
        <w:rPr>
          <w:rFonts w:hint="eastAsia"/>
          <w:color w:val="000000" w:themeColor="text1"/>
        </w:rPr>
        <w:t>/公頃</w:t>
      </w:r>
      <w:r w:rsidRPr="000C4F04">
        <w:rPr>
          <w:rFonts w:hint="eastAsia"/>
          <w:color w:val="000000" w:themeColor="text1"/>
        </w:rPr>
        <w:t>。轉</w:t>
      </w:r>
      <w:proofErr w:type="gramStart"/>
      <w:r w:rsidRPr="000C4F04">
        <w:rPr>
          <w:rFonts w:hint="eastAsia"/>
          <w:color w:val="000000" w:themeColor="text1"/>
        </w:rPr>
        <w:t>作</w:t>
      </w:r>
      <w:proofErr w:type="gramEnd"/>
      <w:r w:rsidRPr="000C4F04">
        <w:rPr>
          <w:rFonts w:hint="eastAsia"/>
          <w:color w:val="000000" w:themeColor="text1"/>
        </w:rPr>
        <w:t xml:space="preserve">作物 </w:t>
      </w:r>
      <w:r w:rsidR="000116DE" w:rsidRPr="000C4F04">
        <w:rPr>
          <w:rFonts w:hint="eastAsia"/>
          <w:color w:val="000000" w:themeColor="text1"/>
        </w:rPr>
        <w:t>包括</w:t>
      </w:r>
      <w:r w:rsidRPr="000C4F04">
        <w:rPr>
          <w:rFonts w:hint="eastAsia"/>
          <w:color w:val="000000" w:themeColor="text1"/>
        </w:rPr>
        <w:t>油茶、無患子、油柑、綠竹筍、新興柑桔、茶、羅漢松、</w:t>
      </w:r>
      <w:proofErr w:type="gramStart"/>
      <w:r w:rsidRPr="000C4F04">
        <w:rPr>
          <w:rFonts w:hint="eastAsia"/>
          <w:color w:val="000000" w:themeColor="text1"/>
        </w:rPr>
        <w:t>相思樹及楓香</w:t>
      </w:r>
      <w:proofErr w:type="gramEnd"/>
      <w:r w:rsidRPr="000C4F04">
        <w:rPr>
          <w:rFonts w:hint="eastAsia"/>
          <w:color w:val="000000" w:themeColor="text1"/>
        </w:rPr>
        <w:t>等。</w:t>
      </w:r>
    </w:p>
    <w:p w:rsidR="002C4680" w:rsidRPr="000C4F04" w:rsidRDefault="002C4680" w:rsidP="000935BA">
      <w:pPr>
        <w:pStyle w:val="5"/>
        <w:ind w:left="2127"/>
        <w:rPr>
          <w:color w:val="000000" w:themeColor="text1"/>
        </w:rPr>
      </w:pPr>
      <w:r w:rsidRPr="000C4F04">
        <w:rPr>
          <w:rFonts w:hint="eastAsia"/>
          <w:color w:val="000000" w:themeColor="text1"/>
        </w:rPr>
        <w:t>106年：</w:t>
      </w:r>
    </w:p>
    <w:p w:rsidR="002C4680" w:rsidRPr="000C4F04" w:rsidRDefault="002C4680" w:rsidP="000935BA">
      <w:pPr>
        <w:pStyle w:val="4"/>
        <w:numPr>
          <w:ilvl w:val="0"/>
          <w:numId w:val="0"/>
        </w:numPr>
        <w:ind w:left="2127" w:firstLineChars="166" w:firstLine="565"/>
        <w:rPr>
          <w:color w:val="000000" w:themeColor="text1"/>
        </w:rPr>
      </w:pPr>
      <w:r w:rsidRPr="000C4F04">
        <w:rPr>
          <w:rFonts w:hint="eastAsia"/>
          <w:color w:val="000000" w:themeColor="text1"/>
        </w:rPr>
        <w:t>廢園及轉作可分開辦理，將平地檳榔園納入輔導。廢園補助</w:t>
      </w:r>
      <w:r w:rsidRPr="000C4F04">
        <w:rPr>
          <w:color w:val="000000" w:themeColor="text1"/>
        </w:rPr>
        <w:t>15</w:t>
      </w:r>
      <w:r w:rsidRPr="000C4F04">
        <w:rPr>
          <w:rFonts w:hint="eastAsia"/>
          <w:color w:val="000000" w:themeColor="text1"/>
        </w:rPr>
        <w:t>萬元公頃。平地轉作補助5萬元/公頃</w:t>
      </w:r>
      <w:proofErr w:type="gramStart"/>
      <w:r w:rsidRPr="000C4F04">
        <w:rPr>
          <w:rFonts w:hint="eastAsia"/>
          <w:color w:val="000000" w:themeColor="text1"/>
        </w:rPr>
        <w:t>種苗費</w:t>
      </w:r>
      <w:proofErr w:type="gramEnd"/>
      <w:r w:rsidRPr="000C4F04">
        <w:rPr>
          <w:rFonts w:hint="eastAsia"/>
          <w:color w:val="000000" w:themeColor="text1"/>
        </w:rPr>
        <w:t>，合計20萬元/公頃。山坡地轉作補助</w:t>
      </w:r>
      <w:proofErr w:type="gramStart"/>
      <w:r w:rsidRPr="000C4F04">
        <w:rPr>
          <w:rFonts w:hint="eastAsia"/>
          <w:color w:val="000000" w:themeColor="text1"/>
        </w:rPr>
        <w:t>種苗費及</w:t>
      </w:r>
      <w:proofErr w:type="gramEnd"/>
      <w:r w:rsidRPr="000C4F04">
        <w:rPr>
          <w:rFonts w:hint="eastAsia"/>
          <w:color w:val="000000" w:themeColor="text1"/>
        </w:rPr>
        <w:t>田間管理費各5萬元/公頃，合計補助25萬元。轉作作物增列芒果、牛樟、番石榴、台灣香</w:t>
      </w:r>
      <w:proofErr w:type="gramStart"/>
      <w:r w:rsidRPr="000C4F04">
        <w:rPr>
          <w:rFonts w:hint="eastAsia"/>
          <w:color w:val="000000" w:themeColor="text1"/>
        </w:rPr>
        <w:t>檬</w:t>
      </w:r>
      <w:proofErr w:type="gramEnd"/>
      <w:r w:rsidRPr="000C4F04">
        <w:rPr>
          <w:rFonts w:hint="eastAsia"/>
          <w:color w:val="000000" w:themeColor="text1"/>
        </w:rPr>
        <w:t>、檸檬、</w:t>
      </w:r>
      <w:proofErr w:type="gramStart"/>
      <w:r w:rsidRPr="000C4F04">
        <w:rPr>
          <w:rFonts w:hint="eastAsia"/>
          <w:color w:val="000000" w:themeColor="text1"/>
        </w:rPr>
        <w:t>酪梨及板栗</w:t>
      </w:r>
      <w:proofErr w:type="gramEnd"/>
      <w:r w:rsidRPr="000C4F04">
        <w:rPr>
          <w:rFonts w:hint="eastAsia"/>
          <w:color w:val="000000" w:themeColor="text1"/>
        </w:rPr>
        <w:t>等。</w:t>
      </w:r>
    </w:p>
    <w:p w:rsidR="000935BA" w:rsidRPr="000C4F04" w:rsidRDefault="000935BA" w:rsidP="000935BA">
      <w:pPr>
        <w:pStyle w:val="3"/>
        <w:rPr>
          <w:color w:val="000000" w:themeColor="text1"/>
        </w:rPr>
      </w:pPr>
      <w:r w:rsidRPr="000C4F04">
        <w:rPr>
          <w:rFonts w:hint="eastAsia"/>
          <w:color w:val="000000" w:themeColor="text1"/>
        </w:rPr>
        <w:t>上開方案</w:t>
      </w:r>
      <w:r w:rsidR="00980B65" w:rsidRPr="000C4F04">
        <w:rPr>
          <w:rFonts w:hint="eastAsia"/>
          <w:color w:val="000000" w:themeColor="text1"/>
        </w:rPr>
        <w:t>以</w:t>
      </w:r>
      <w:r w:rsidRPr="000C4F04">
        <w:rPr>
          <w:rFonts w:hint="eastAsia"/>
          <w:color w:val="000000" w:themeColor="text1"/>
        </w:rPr>
        <w:t>減少檳榔</w:t>
      </w:r>
      <w:r w:rsidR="00980B65" w:rsidRPr="000C4F04">
        <w:rPr>
          <w:rFonts w:hint="eastAsia"/>
          <w:color w:val="000000" w:themeColor="text1"/>
        </w:rPr>
        <w:t>種植</w:t>
      </w:r>
      <w:r w:rsidRPr="000C4F04">
        <w:rPr>
          <w:rFonts w:hint="eastAsia"/>
          <w:color w:val="000000" w:themeColor="text1"/>
        </w:rPr>
        <w:t>面積</w:t>
      </w:r>
      <w:r w:rsidR="00980B65" w:rsidRPr="000C4F04">
        <w:rPr>
          <w:rFonts w:hint="eastAsia"/>
          <w:color w:val="000000" w:themeColor="text1"/>
        </w:rPr>
        <w:t>10,770公頃為</w:t>
      </w:r>
      <w:r w:rsidRPr="000C4F04">
        <w:rPr>
          <w:rFonts w:hint="eastAsia"/>
          <w:color w:val="000000" w:themeColor="text1"/>
        </w:rPr>
        <w:t>目標，實際執行面積卻僅有6,509.5公頃，其中以</w:t>
      </w:r>
      <w:proofErr w:type="gramStart"/>
      <w:r w:rsidRPr="000C4F04">
        <w:rPr>
          <w:rFonts w:hint="eastAsia"/>
          <w:color w:val="000000" w:themeColor="text1"/>
        </w:rPr>
        <w:t>農糧署目標</w:t>
      </w:r>
      <w:proofErr w:type="gramEnd"/>
      <w:r w:rsidRPr="000C4F04">
        <w:rPr>
          <w:rFonts w:hint="eastAsia"/>
          <w:color w:val="000000" w:themeColor="text1"/>
        </w:rPr>
        <w:t>達成率最低，該署主責之農牧用地種植檳榔輔導廢園及轉作目標為4</w:t>
      </w:r>
      <w:r w:rsidR="00B06D47" w:rsidRPr="000C4F04">
        <w:rPr>
          <w:color w:val="000000" w:themeColor="text1"/>
        </w:rPr>
        <w:t>,</w:t>
      </w:r>
      <w:r w:rsidRPr="000C4F04">
        <w:rPr>
          <w:rFonts w:hint="eastAsia"/>
          <w:color w:val="000000" w:themeColor="text1"/>
        </w:rPr>
        <w:t>800公頃，實際執行結果僅有720公頃，達成率僅15%，詳下表所示。農委會表示，</w:t>
      </w:r>
      <w:proofErr w:type="gramStart"/>
      <w:r w:rsidRPr="000C4F04">
        <w:rPr>
          <w:rFonts w:hint="eastAsia"/>
          <w:color w:val="000000" w:themeColor="text1"/>
        </w:rPr>
        <w:t>農糧署輔導</w:t>
      </w:r>
      <w:proofErr w:type="gramEnd"/>
      <w:r w:rsidRPr="000C4F04">
        <w:rPr>
          <w:rFonts w:hint="eastAsia"/>
          <w:color w:val="000000" w:themeColor="text1"/>
        </w:rPr>
        <w:t>檳榔廢園之土地屬農民私有地，無法以公權力強制執行，僅能以政策引導及加強宣導等方式，提高農民轉作意願，致成效低落。</w:t>
      </w:r>
    </w:p>
    <w:p w:rsidR="002C4680" w:rsidRPr="000C4F04" w:rsidRDefault="002C4680" w:rsidP="000935BA">
      <w:pPr>
        <w:pStyle w:val="3"/>
        <w:numPr>
          <w:ilvl w:val="0"/>
          <w:numId w:val="0"/>
        </w:numPr>
        <w:ind w:left="1361"/>
        <w:rPr>
          <w:color w:val="000000" w:themeColor="text1"/>
        </w:rPr>
      </w:pPr>
    </w:p>
    <w:p w:rsidR="000935BA" w:rsidRPr="000C4F04" w:rsidRDefault="000935BA" w:rsidP="000935BA">
      <w:pPr>
        <w:pStyle w:val="a3"/>
        <w:jc w:val="center"/>
        <w:rPr>
          <w:color w:val="000000" w:themeColor="text1"/>
        </w:rPr>
      </w:pPr>
      <w:r w:rsidRPr="000C4F04">
        <w:rPr>
          <w:rFonts w:hint="eastAsia"/>
          <w:color w:val="000000" w:themeColor="text1"/>
        </w:rPr>
        <w:t>「103-106年檳榔管理方案」執行結果</w:t>
      </w:r>
    </w:p>
    <w:tbl>
      <w:tblPr>
        <w:tblW w:w="7552"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7"/>
        <w:gridCol w:w="12"/>
        <w:gridCol w:w="1879"/>
        <w:gridCol w:w="1105"/>
        <w:gridCol w:w="1526"/>
        <w:gridCol w:w="1653"/>
      </w:tblGrid>
      <w:tr w:rsidR="000C4F04" w:rsidRPr="000C4F04" w:rsidTr="000935BA">
        <w:trPr>
          <w:trHeight w:val="519"/>
        </w:trPr>
        <w:tc>
          <w:tcPr>
            <w:tcW w:w="1377" w:type="dxa"/>
          </w:tcPr>
          <w:p w:rsidR="000935BA" w:rsidRPr="000C4F04" w:rsidRDefault="000935BA" w:rsidP="000935BA">
            <w:pPr>
              <w:overflowPunct/>
              <w:adjustRightInd w:val="0"/>
              <w:jc w:val="center"/>
              <w:rPr>
                <w:rFonts w:cs="標楷體"/>
                <w:color w:val="000000" w:themeColor="text1"/>
                <w:kern w:val="0"/>
                <w:sz w:val="28"/>
                <w:szCs w:val="28"/>
              </w:rPr>
            </w:pPr>
            <w:r w:rsidRPr="000C4F04">
              <w:rPr>
                <w:rFonts w:cs="標楷體" w:hint="eastAsia"/>
                <w:color w:val="000000" w:themeColor="text1"/>
                <w:kern w:val="0"/>
                <w:sz w:val="28"/>
                <w:szCs w:val="28"/>
              </w:rPr>
              <w:t>機關</w:t>
            </w:r>
          </w:p>
        </w:tc>
        <w:tc>
          <w:tcPr>
            <w:tcW w:w="1891" w:type="dxa"/>
            <w:gridSpan w:val="2"/>
          </w:tcPr>
          <w:p w:rsidR="000935BA" w:rsidRPr="000C4F04" w:rsidRDefault="000935BA" w:rsidP="000935BA">
            <w:pPr>
              <w:overflowPunct/>
              <w:adjustRightInd w:val="0"/>
              <w:jc w:val="center"/>
              <w:rPr>
                <w:rFonts w:cs="標楷體"/>
                <w:color w:val="000000" w:themeColor="text1"/>
                <w:kern w:val="0"/>
                <w:sz w:val="28"/>
                <w:szCs w:val="28"/>
              </w:rPr>
            </w:pPr>
            <w:r w:rsidRPr="000C4F04">
              <w:rPr>
                <w:rFonts w:cs="標楷體" w:hint="eastAsia"/>
                <w:color w:val="000000" w:themeColor="text1"/>
                <w:kern w:val="0"/>
                <w:sz w:val="28"/>
                <w:szCs w:val="28"/>
              </w:rPr>
              <w:t>策略</w:t>
            </w:r>
          </w:p>
        </w:tc>
        <w:tc>
          <w:tcPr>
            <w:tcW w:w="1105" w:type="dxa"/>
          </w:tcPr>
          <w:p w:rsidR="000935BA" w:rsidRPr="000C4F04" w:rsidRDefault="000935BA" w:rsidP="000935BA">
            <w:pPr>
              <w:overflowPunct/>
              <w:adjustRightInd w:val="0"/>
              <w:jc w:val="left"/>
              <w:rPr>
                <w:rFonts w:cs="標楷體"/>
                <w:color w:val="000000" w:themeColor="text1"/>
                <w:kern w:val="0"/>
                <w:sz w:val="28"/>
                <w:szCs w:val="28"/>
              </w:rPr>
            </w:pPr>
            <w:r w:rsidRPr="000C4F04">
              <w:rPr>
                <w:rFonts w:cs="標楷體" w:hint="eastAsia"/>
                <w:color w:val="000000" w:themeColor="text1"/>
                <w:kern w:val="0"/>
                <w:sz w:val="28"/>
                <w:szCs w:val="28"/>
              </w:rPr>
              <w:t>目標</w:t>
            </w:r>
          </w:p>
          <w:p w:rsidR="000935BA" w:rsidRPr="000C4F04" w:rsidRDefault="000935BA" w:rsidP="000935BA">
            <w:pPr>
              <w:overflowPunct/>
              <w:adjustRightInd w:val="0"/>
              <w:jc w:val="left"/>
              <w:rPr>
                <w:rFonts w:cs="標楷體"/>
                <w:color w:val="000000" w:themeColor="text1"/>
                <w:kern w:val="0"/>
                <w:sz w:val="28"/>
                <w:szCs w:val="28"/>
              </w:rPr>
            </w:pPr>
            <w:r w:rsidRPr="000C4F04">
              <w:rPr>
                <w:rFonts w:cs="標楷體"/>
                <w:color w:val="000000" w:themeColor="text1"/>
                <w:kern w:val="0"/>
                <w:sz w:val="28"/>
                <w:szCs w:val="28"/>
              </w:rPr>
              <w:t>(</w:t>
            </w:r>
            <w:r w:rsidRPr="000C4F04">
              <w:rPr>
                <w:rFonts w:cs="標楷體" w:hint="eastAsia"/>
                <w:color w:val="000000" w:themeColor="text1"/>
                <w:kern w:val="0"/>
                <w:sz w:val="28"/>
                <w:szCs w:val="28"/>
              </w:rPr>
              <w:t>公頃</w:t>
            </w:r>
            <w:r w:rsidRPr="000C4F04">
              <w:rPr>
                <w:rFonts w:cs="標楷體"/>
                <w:color w:val="000000" w:themeColor="text1"/>
                <w:kern w:val="0"/>
                <w:sz w:val="28"/>
                <w:szCs w:val="28"/>
              </w:rPr>
              <w:t>)</w:t>
            </w:r>
          </w:p>
        </w:tc>
        <w:tc>
          <w:tcPr>
            <w:tcW w:w="1526" w:type="dxa"/>
          </w:tcPr>
          <w:p w:rsidR="000935BA" w:rsidRPr="000C4F04" w:rsidRDefault="000935BA" w:rsidP="000935BA">
            <w:pPr>
              <w:overflowPunct/>
              <w:adjustRightInd w:val="0"/>
              <w:ind w:leftChars="8" w:left="42" w:rightChars="-5" w:right="-17" w:hangingChars="5" w:hanging="15"/>
              <w:jc w:val="left"/>
              <w:rPr>
                <w:rFonts w:cs="標楷體"/>
                <w:color w:val="000000" w:themeColor="text1"/>
                <w:kern w:val="0"/>
                <w:sz w:val="28"/>
                <w:szCs w:val="28"/>
              </w:rPr>
            </w:pPr>
            <w:r w:rsidRPr="000C4F04">
              <w:rPr>
                <w:rFonts w:cs="標楷體"/>
                <w:color w:val="000000" w:themeColor="text1"/>
                <w:kern w:val="0"/>
                <w:sz w:val="28"/>
                <w:szCs w:val="28"/>
              </w:rPr>
              <w:t>103</w:t>
            </w:r>
            <w:r w:rsidRPr="000C4F04">
              <w:rPr>
                <w:rFonts w:cs="標楷體" w:hint="eastAsia"/>
                <w:color w:val="000000" w:themeColor="text1"/>
                <w:kern w:val="0"/>
                <w:sz w:val="28"/>
                <w:szCs w:val="28"/>
              </w:rPr>
              <w:t>至</w:t>
            </w:r>
            <w:r w:rsidRPr="000C4F04">
              <w:rPr>
                <w:rFonts w:cs="標楷體"/>
                <w:color w:val="000000" w:themeColor="text1"/>
                <w:kern w:val="0"/>
                <w:sz w:val="28"/>
                <w:szCs w:val="28"/>
              </w:rPr>
              <w:t>106</w:t>
            </w:r>
            <w:r w:rsidRPr="000C4F04">
              <w:rPr>
                <w:rFonts w:cs="標楷體" w:hint="eastAsia"/>
                <w:color w:val="000000" w:themeColor="text1"/>
                <w:kern w:val="0"/>
                <w:sz w:val="28"/>
                <w:szCs w:val="28"/>
              </w:rPr>
              <w:t>年執行面積</w:t>
            </w:r>
          </w:p>
          <w:p w:rsidR="000935BA" w:rsidRPr="000C4F04" w:rsidRDefault="000935BA" w:rsidP="000935BA">
            <w:pPr>
              <w:overflowPunct/>
              <w:adjustRightInd w:val="0"/>
              <w:jc w:val="left"/>
              <w:rPr>
                <w:rFonts w:cs="標楷體"/>
                <w:color w:val="000000" w:themeColor="text1"/>
                <w:kern w:val="0"/>
                <w:sz w:val="28"/>
                <w:szCs w:val="28"/>
              </w:rPr>
            </w:pPr>
            <w:r w:rsidRPr="000C4F04">
              <w:rPr>
                <w:rFonts w:cs="標楷體"/>
                <w:color w:val="000000" w:themeColor="text1"/>
                <w:kern w:val="0"/>
                <w:sz w:val="28"/>
                <w:szCs w:val="28"/>
              </w:rPr>
              <w:t>(</w:t>
            </w:r>
            <w:r w:rsidRPr="000C4F04">
              <w:rPr>
                <w:rFonts w:cs="標楷體" w:hint="eastAsia"/>
                <w:color w:val="000000" w:themeColor="text1"/>
                <w:kern w:val="0"/>
                <w:sz w:val="28"/>
                <w:szCs w:val="28"/>
              </w:rPr>
              <w:t>公頃</w:t>
            </w:r>
            <w:r w:rsidRPr="000C4F04">
              <w:rPr>
                <w:rFonts w:cs="標楷體"/>
                <w:color w:val="000000" w:themeColor="text1"/>
                <w:kern w:val="0"/>
                <w:sz w:val="28"/>
                <w:szCs w:val="28"/>
              </w:rPr>
              <w:t>)</w:t>
            </w:r>
          </w:p>
        </w:tc>
        <w:tc>
          <w:tcPr>
            <w:tcW w:w="1653" w:type="dxa"/>
          </w:tcPr>
          <w:p w:rsidR="000935BA" w:rsidRPr="000C4F04" w:rsidRDefault="000935BA" w:rsidP="000935BA">
            <w:pPr>
              <w:overflowPunct/>
              <w:adjustRightInd w:val="0"/>
              <w:jc w:val="center"/>
              <w:rPr>
                <w:rFonts w:cs="標楷體"/>
                <w:color w:val="000000" w:themeColor="text1"/>
                <w:kern w:val="0"/>
                <w:sz w:val="28"/>
                <w:szCs w:val="28"/>
              </w:rPr>
            </w:pPr>
            <w:r w:rsidRPr="000C4F04">
              <w:rPr>
                <w:rFonts w:cs="標楷體" w:hint="eastAsia"/>
                <w:color w:val="000000" w:themeColor="text1"/>
                <w:kern w:val="0"/>
                <w:sz w:val="28"/>
                <w:szCs w:val="28"/>
              </w:rPr>
              <w:t>備註</w:t>
            </w:r>
          </w:p>
        </w:tc>
      </w:tr>
      <w:tr w:rsidR="000C4F04" w:rsidRPr="000C4F04" w:rsidTr="000935BA">
        <w:trPr>
          <w:trHeight w:val="622"/>
        </w:trPr>
        <w:tc>
          <w:tcPr>
            <w:tcW w:w="1377" w:type="dxa"/>
          </w:tcPr>
          <w:p w:rsidR="000935BA" w:rsidRPr="000C4F04" w:rsidRDefault="000935BA" w:rsidP="000935BA">
            <w:pPr>
              <w:overflowPunct/>
              <w:adjustRightInd w:val="0"/>
              <w:jc w:val="left"/>
              <w:rPr>
                <w:rFonts w:cs="標楷體"/>
                <w:color w:val="000000" w:themeColor="text1"/>
                <w:kern w:val="0"/>
                <w:sz w:val="28"/>
                <w:szCs w:val="28"/>
              </w:rPr>
            </w:pPr>
            <w:r w:rsidRPr="000C4F04">
              <w:rPr>
                <w:rFonts w:cs="標楷體" w:hint="eastAsia"/>
                <w:color w:val="000000" w:themeColor="text1"/>
                <w:kern w:val="0"/>
                <w:sz w:val="28"/>
                <w:szCs w:val="28"/>
              </w:rPr>
              <w:t>財政部</w:t>
            </w:r>
          </w:p>
        </w:tc>
        <w:tc>
          <w:tcPr>
            <w:tcW w:w="1891" w:type="dxa"/>
            <w:gridSpan w:val="2"/>
          </w:tcPr>
          <w:p w:rsidR="000935BA" w:rsidRPr="000C4F04" w:rsidRDefault="000935BA" w:rsidP="000935BA">
            <w:pPr>
              <w:overflowPunct/>
              <w:adjustRightInd w:val="0"/>
              <w:jc w:val="left"/>
              <w:rPr>
                <w:rFonts w:cs="標楷體"/>
                <w:color w:val="000000" w:themeColor="text1"/>
                <w:kern w:val="0"/>
                <w:sz w:val="28"/>
                <w:szCs w:val="28"/>
              </w:rPr>
            </w:pPr>
            <w:r w:rsidRPr="000C4F04">
              <w:rPr>
                <w:rFonts w:cs="標楷體" w:hint="eastAsia"/>
                <w:color w:val="000000" w:themeColor="text1"/>
                <w:kern w:val="0"/>
                <w:sz w:val="28"/>
                <w:szCs w:val="28"/>
              </w:rPr>
              <w:t>取締國有非公用土地超限利用種植檳榔</w:t>
            </w:r>
          </w:p>
        </w:tc>
        <w:tc>
          <w:tcPr>
            <w:tcW w:w="1105" w:type="dxa"/>
            <w:vAlign w:val="center"/>
          </w:tcPr>
          <w:p w:rsidR="000935BA" w:rsidRPr="000C4F04" w:rsidRDefault="000935BA" w:rsidP="000935BA">
            <w:pPr>
              <w:overflowPunct/>
              <w:adjustRightInd w:val="0"/>
              <w:jc w:val="right"/>
              <w:rPr>
                <w:rFonts w:cs="標楷體"/>
                <w:color w:val="000000" w:themeColor="text1"/>
                <w:kern w:val="0"/>
                <w:sz w:val="28"/>
                <w:szCs w:val="28"/>
              </w:rPr>
            </w:pPr>
            <w:r w:rsidRPr="000C4F04">
              <w:rPr>
                <w:rFonts w:cs="標楷體"/>
                <w:color w:val="000000" w:themeColor="text1"/>
                <w:kern w:val="0"/>
                <w:sz w:val="28"/>
                <w:szCs w:val="28"/>
              </w:rPr>
              <w:t>212</w:t>
            </w:r>
          </w:p>
        </w:tc>
        <w:tc>
          <w:tcPr>
            <w:tcW w:w="1526" w:type="dxa"/>
            <w:vAlign w:val="center"/>
          </w:tcPr>
          <w:p w:rsidR="000935BA" w:rsidRPr="000C4F04" w:rsidRDefault="000935BA" w:rsidP="000935BA">
            <w:pPr>
              <w:overflowPunct/>
              <w:adjustRightInd w:val="0"/>
              <w:jc w:val="right"/>
              <w:rPr>
                <w:rFonts w:cs="標楷體"/>
                <w:color w:val="000000" w:themeColor="text1"/>
                <w:kern w:val="0"/>
                <w:sz w:val="28"/>
                <w:szCs w:val="28"/>
              </w:rPr>
            </w:pPr>
            <w:r w:rsidRPr="000C4F04">
              <w:rPr>
                <w:rFonts w:cs="標楷體"/>
                <w:color w:val="000000" w:themeColor="text1"/>
                <w:kern w:val="0"/>
                <w:sz w:val="28"/>
                <w:szCs w:val="28"/>
              </w:rPr>
              <w:t xml:space="preserve"> 97.5</w:t>
            </w:r>
          </w:p>
        </w:tc>
        <w:tc>
          <w:tcPr>
            <w:tcW w:w="1653" w:type="dxa"/>
            <w:vMerge w:val="restart"/>
          </w:tcPr>
          <w:p w:rsidR="000935BA" w:rsidRPr="000C4F04" w:rsidRDefault="000935BA" w:rsidP="000935BA">
            <w:pPr>
              <w:overflowPunct/>
              <w:adjustRightInd w:val="0"/>
              <w:jc w:val="left"/>
              <w:rPr>
                <w:rFonts w:cs="標楷體"/>
                <w:color w:val="000000" w:themeColor="text1"/>
                <w:kern w:val="0"/>
                <w:sz w:val="28"/>
                <w:szCs w:val="28"/>
              </w:rPr>
            </w:pPr>
            <w:r w:rsidRPr="000C4F04">
              <w:rPr>
                <w:rFonts w:cs="標楷體" w:hint="eastAsia"/>
                <w:color w:val="000000" w:themeColor="text1"/>
                <w:kern w:val="0"/>
                <w:sz w:val="28"/>
                <w:szCs w:val="28"/>
              </w:rPr>
              <w:t>屬國有或公有土地違法或超限利用</w:t>
            </w:r>
          </w:p>
        </w:tc>
      </w:tr>
      <w:tr w:rsidR="000C4F04" w:rsidRPr="000C4F04" w:rsidTr="000935BA">
        <w:trPr>
          <w:trHeight w:val="320"/>
        </w:trPr>
        <w:tc>
          <w:tcPr>
            <w:tcW w:w="1389" w:type="dxa"/>
            <w:gridSpan w:val="2"/>
          </w:tcPr>
          <w:p w:rsidR="000935BA" w:rsidRPr="000C4F04" w:rsidRDefault="000935BA" w:rsidP="000935BA">
            <w:pPr>
              <w:overflowPunct/>
              <w:adjustRightInd w:val="0"/>
              <w:jc w:val="left"/>
              <w:rPr>
                <w:rFonts w:cs="標楷體"/>
                <w:color w:val="000000" w:themeColor="text1"/>
                <w:kern w:val="0"/>
                <w:sz w:val="28"/>
                <w:szCs w:val="28"/>
              </w:rPr>
            </w:pPr>
            <w:r w:rsidRPr="000C4F04">
              <w:rPr>
                <w:rFonts w:cs="標楷體" w:hint="eastAsia"/>
                <w:color w:val="000000" w:themeColor="text1"/>
                <w:kern w:val="0"/>
                <w:sz w:val="28"/>
                <w:szCs w:val="28"/>
              </w:rPr>
              <w:t>農委會林務局</w:t>
            </w:r>
          </w:p>
        </w:tc>
        <w:tc>
          <w:tcPr>
            <w:tcW w:w="1879" w:type="dxa"/>
          </w:tcPr>
          <w:p w:rsidR="000935BA" w:rsidRPr="000C4F04" w:rsidRDefault="000935BA" w:rsidP="000935BA">
            <w:pPr>
              <w:overflowPunct/>
              <w:adjustRightInd w:val="0"/>
              <w:jc w:val="left"/>
              <w:rPr>
                <w:rFonts w:cs="標楷體"/>
                <w:color w:val="000000" w:themeColor="text1"/>
                <w:kern w:val="0"/>
                <w:sz w:val="28"/>
                <w:szCs w:val="28"/>
              </w:rPr>
            </w:pPr>
            <w:r w:rsidRPr="000C4F04">
              <w:rPr>
                <w:rFonts w:cs="標楷體" w:hint="eastAsia"/>
                <w:color w:val="000000" w:themeColor="text1"/>
                <w:kern w:val="0"/>
                <w:sz w:val="28"/>
                <w:szCs w:val="28"/>
              </w:rPr>
              <w:t>查處國有林班地及保安林地</w:t>
            </w:r>
            <w:r w:rsidRPr="000C4F04">
              <w:rPr>
                <w:rFonts w:cs="標楷體" w:hint="eastAsia"/>
                <w:color w:val="000000" w:themeColor="text1"/>
                <w:kern w:val="0"/>
                <w:sz w:val="28"/>
                <w:szCs w:val="28"/>
              </w:rPr>
              <w:lastRenderedPageBreak/>
              <w:t>違法濫植檳榔</w:t>
            </w:r>
          </w:p>
        </w:tc>
        <w:tc>
          <w:tcPr>
            <w:tcW w:w="1105" w:type="dxa"/>
            <w:vAlign w:val="center"/>
          </w:tcPr>
          <w:p w:rsidR="000935BA" w:rsidRPr="000C4F04" w:rsidRDefault="000935BA" w:rsidP="000935BA">
            <w:pPr>
              <w:overflowPunct/>
              <w:adjustRightInd w:val="0"/>
              <w:jc w:val="right"/>
              <w:rPr>
                <w:rFonts w:cs="標楷體"/>
                <w:color w:val="000000" w:themeColor="text1"/>
                <w:kern w:val="0"/>
                <w:sz w:val="28"/>
                <w:szCs w:val="28"/>
              </w:rPr>
            </w:pPr>
            <w:r w:rsidRPr="000C4F04">
              <w:rPr>
                <w:rFonts w:cs="標楷體"/>
                <w:color w:val="000000" w:themeColor="text1"/>
                <w:kern w:val="0"/>
                <w:sz w:val="28"/>
                <w:szCs w:val="28"/>
              </w:rPr>
              <w:lastRenderedPageBreak/>
              <w:t>4,761</w:t>
            </w:r>
          </w:p>
        </w:tc>
        <w:tc>
          <w:tcPr>
            <w:tcW w:w="1526" w:type="dxa"/>
            <w:vAlign w:val="center"/>
          </w:tcPr>
          <w:p w:rsidR="000935BA" w:rsidRPr="000C4F04" w:rsidRDefault="000935BA" w:rsidP="000935BA">
            <w:pPr>
              <w:overflowPunct/>
              <w:adjustRightInd w:val="0"/>
              <w:jc w:val="right"/>
              <w:rPr>
                <w:rFonts w:cs="標楷體"/>
                <w:color w:val="000000" w:themeColor="text1"/>
                <w:kern w:val="0"/>
                <w:sz w:val="28"/>
                <w:szCs w:val="28"/>
              </w:rPr>
            </w:pPr>
            <w:r w:rsidRPr="000C4F04">
              <w:rPr>
                <w:rFonts w:cs="標楷體"/>
                <w:color w:val="000000" w:themeColor="text1"/>
                <w:kern w:val="0"/>
                <w:sz w:val="28"/>
                <w:szCs w:val="28"/>
              </w:rPr>
              <w:t>4,762</w:t>
            </w:r>
          </w:p>
        </w:tc>
        <w:tc>
          <w:tcPr>
            <w:tcW w:w="1653" w:type="dxa"/>
            <w:vMerge/>
          </w:tcPr>
          <w:p w:rsidR="000935BA" w:rsidRPr="000C4F04" w:rsidRDefault="000935BA" w:rsidP="000935BA">
            <w:pPr>
              <w:overflowPunct/>
              <w:adjustRightInd w:val="0"/>
              <w:jc w:val="left"/>
              <w:rPr>
                <w:rFonts w:cs="標楷體"/>
                <w:color w:val="000000" w:themeColor="text1"/>
                <w:kern w:val="0"/>
                <w:sz w:val="28"/>
                <w:szCs w:val="28"/>
              </w:rPr>
            </w:pPr>
          </w:p>
        </w:tc>
      </w:tr>
      <w:tr w:rsidR="000C4F04" w:rsidRPr="000C4F04" w:rsidTr="000935BA">
        <w:trPr>
          <w:trHeight w:val="320"/>
        </w:trPr>
        <w:tc>
          <w:tcPr>
            <w:tcW w:w="1389" w:type="dxa"/>
            <w:gridSpan w:val="2"/>
          </w:tcPr>
          <w:p w:rsidR="000935BA" w:rsidRPr="000C4F04" w:rsidRDefault="000935BA" w:rsidP="000935BA">
            <w:pPr>
              <w:overflowPunct/>
              <w:adjustRightInd w:val="0"/>
              <w:jc w:val="left"/>
              <w:rPr>
                <w:color w:val="000000" w:themeColor="text1"/>
                <w:kern w:val="0"/>
                <w:sz w:val="28"/>
                <w:szCs w:val="28"/>
              </w:rPr>
            </w:pPr>
            <w:r w:rsidRPr="000C4F04">
              <w:rPr>
                <w:rFonts w:hint="eastAsia"/>
                <w:color w:val="000000" w:themeColor="text1"/>
                <w:kern w:val="0"/>
                <w:sz w:val="28"/>
                <w:szCs w:val="28"/>
              </w:rPr>
              <w:t>農委會水土保持局</w:t>
            </w:r>
          </w:p>
        </w:tc>
        <w:tc>
          <w:tcPr>
            <w:tcW w:w="1879" w:type="dxa"/>
          </w:tcPr>
          <w:p w:rsidR="000935BA" w:rsidRPr="000C4F04" w:rsidRDefault="000935BA" w:rsidP="000935BA">
            <w:pPr>
              <w:overflowPunct/>
              <w:adjustRightInd w:val="0"/>
              <w:jc w:val="left"/>
              <w:rPr>
                <w:rFonts w:cs="標楷體"/>
                <w:color w:val="000000" w:themeColor="text1"/>
                <w:kern w:val="0"/>
                <w:sz w:val="28"/>
                <w:szCs w:val="28"/>
              </w:rPr>
            </w:pPr>
            <w:r w:rsidRPr="000C4F04">
              <w:rPr>
                <w:rFonts w:hint="eastAsia"/>
                <w:color w:val="000000" w:themeColor="text1"/>
                <w:sz w:val="28"/>
                <w:szCs w:val="28"/>
              </w:rPr>
              <w:t>山坡地林業用地及國土保安用地種植檳榔涉及超限利用查處</w:t>
            </w:r>
          </w:p>
        </w:tc>
        <w:tc>
          <w:tcPr>
            <w:tcW w:w="1105" w:type="dxa"/>
            <w:vAlign w:val="center"/>
          </w:tcPr>
          <w:p w:rsidR="000935BA" w:rsidRPr="000C4F04" w:rsidRDefault="000935BA" w:rsidP="000935BA">
            <w:pPr>
              <w:overflowPunct/>
              <w:adjustRightInd w:val="0"/>
              <w:jc w:val="right"/>
              <w:rPr>
                <w:rFonts w:cs="標楷體"/>
                <w:color w:val="000000" w:themeColor="text1"/>
                <w:kern w:val="0"/>
                <w:sz w:val="28"/>
                <w:szCs w:val="28"/>
              </w:rPr>
            </w:pPr>
            <w:r w:rsidRPr="000C4F04">
              <w:rPr>
                <w:rFonts w:cs="標楷體" w:hint="eastAsia"/>
                <w:color w:val="000000" w:themeColor="text1"/>
                <w:kern w:val="0"/>
                <w:sz w:val="28"/>
                <w:szCs w:val="28"/>
              </w:rPr>
              <w:t>997</w:t>
            </w:r>
          </w:p>
        </w:tc>
        <w:tc>
          <w:tcPr>
            <w:tcW w:w="1526" w:type="dxa"/>
            <w:vAlign w:val="center"/>
          </w:tcPr>
          <w:p w:rsidR="000935BA" w:rsidRPr="000C4F04" w:rsidRDefault="000935BA" w:rsidP="000935BA">
            <w:pPr>
              <w:overflowPunct/>
              <w:adjustRightInd w:val="0"/>
              <w:jc w:val="right"/>
              <w:rPr>
                <w:rFonts w:cs="標楷體"/>
                <w:color w:val="000000" w:themeColor="text1"/>
                <w:kern w:val="0"/>
                <w:sz w:val="28"/>
                <w:szCs w:val="28"/>
              </w:rPr>
            </w:pPr>
            <w:r w:rsidRPr="000C4F04">
              <w:rPr>
                <w:rFonts w:cs="標楷體" w:hint="eastAsia"/>
                <w:color w:val="000000" w:themeColor="text1"/>
                <w:kern w:val="0"/>
                <w:sz w:val="28"/>
                <w:szCs w:val="28"/>
              </w:rPr>
              <w:t>930</w:t>
            </w:r>
          </w:p>
        </w:tc>
        <w:tc>
          <w:tcPr>
            <w:tcW w:w="1653" w:type="dxa"/>
            <w:vMerge/>
          </w:tcPr>
          <w:p w:rsidR="000935BA" w:rsidRPr="000C4F04" w:rsidRDefault="000935BA" w:rsidP="000935BA">
            <w:pPr>
              <w:overflowPunct/>
              <w:adjustRightInd w:val="0"/>
              <w:jc w:val="left"/>
              <w:rPr>
                <w:rFonts w:cs="標楷體"/>
                <w:color w:val="000000" w:themeColor="text1"/>
                <w:kern w:val="0"/>
                <w:sz w:val="28"/>
                <w:szCs w:val="28"/>
              </w:rPr>
            </w:pPr>
          </w:p>
        </w:tc>
      </w:tr>
      <w:tr w:rsidR="000C4F04" w:rsidRPr="000C4F04" w:rsidTr="000935BA">
        <w:trPr>
          <w:trHeight w:val="320"/>
        </w:trPr>
        <w:tc>
          <w:tcPr>
            <w:tcW w:w="1389" w:type="dxa"/>
            <w:gridSpan w:val="2"/>
          </w:tcPr>
          <w:p w:rsidR="000935BA" w:rsidRPr="000C4F04" w:rsidRDefault="000935BA" w:rsidP="000935BA">
            <w:pPr>
              <w:overflowPunct/>
              <w:adjustRightInd w:val="0"/>
              <w:jc w:val="left"/>
              <w:rPr>
                <w:color w:val="000000" w:themeColor="text1"/>
                <w:kern w:val="0"/>
                <w:sz w:val="28"/>
                <w:szCs w:val="28"/>
              </w:rPr>
            </w:pPr>
            <w:r w:rsidRPr="000C4F04">
              <w:rPr>
                <w:rFonts w:hint="eastAsia"/>
                <w:color w:val="000000" w:themeColor="text1"/>
                <w:kern w:val="0"/>
                <w:sz w:val="28"/>
                <w:szCs w:val="28"/>
              </w:rPr>
              <w:t>農委會</w:t>
            </w:r>
            <w:proofErr w:type="gramStart"/>
            <w:r w:rsidRPr="000C4F04">
              <w:rPr>
                <w:rFonts w:hint="eastAsia"/>
                <w:color w:val="000000" w:themeColor="text1"/>
                <w:kern w:val="0"/>
                <w:sz w:val="28"/>
                <w:szCs w:val="28"/>
              </w:rPr>
              <w:t>農糧署</w:t>
            </w:r>
            <w:proofErr w:type="gramEnd"/>
          </w:p>
        </w:tc>
        <w:tc>
          <w:tcPr>
            <w:tcW w:w="1879" w:type="dxa"/>
          </w:tcPr>
          <w:p w:rsidR="000935BA" w:rsidRPr="000C4F04" w:rsidRDefault="000935BA" w:rsidP="000935BA">
            <w:pPr>
              <w:overflowPunct/>
              <w:adjustRightInd w:val="0"/>
              <w:jc w:val="left"/>
              <w:rPr>
                <w:rFonts w:cs="標楷體"/>
                <w:color w:val="000000" w:themeColor="text1"/>
                <w:kern w:val="0"/>
                <w:sz w:val="28"/>
                <w:szCs w:val="28"/>
              </w:rPr>
            </w:pPr>
            <w:r w:rsidRPr="000C4F04">
              <w:rPr>
                <w:rFonts w:hint="eastAsia"/>
                <w:color w:val="000000" w:themeColor="text1"/>
                <w:sz w:val="28"/>
                <w:szCs w:val="28"/>
              </w:rPr>
              <w:t>農牧用地種植檳榔輔導廢園及轉作</w:t>
            </w:r>
          </w:p>
        </w:tc>
        <w:tc>
          <w:tcPr>
            <w:tcW w:w="1105" w:type="dxa"/>
            <w:vAlign w:val="center"/>
          </w:tcPr>
          <w:p w:rsidR="000935BA" w:rsidRPr="000C4F04" w:rsidRDefault="000935BA" w:rsidP="000935BA">
            <w:pPr>
              <w:overflowPunct/>
              <w:adjustRightInd w:val="0"/>
              <w:jc w:val="right"/>
              <w:rPr>
                <w:rFonts w:cs="標楷體"/>
                <w:color w:val="000000" w:themeColor="text1"/>
                <w:kern w:val="0"/>
                <w:sz w:val="28"/>
                <w:szCs w:val="28"/>
              </w:rPr>
            </w:pPr>
            <w:r w:rsidRPr="000C4F04">
              <w:rPr>
                <w:rFonts w:cs="標楷體" w:hint="eastAsia"/>
                <w:color w:val="000000" w:themeColor="text1"/>
                <w:kern w:val="0"/>
                <w:sz w:val="28"/>
                <w:szCs w:val="28"/>
              </w:rPr>
              <w:t>4,800</w:t>
            </w:r>
          </w:p>
        </w:tc>
        <w:tc>
          <w:tcPr>
            <w:tcW w:w="1526" w:type="dxa"/>
            <w:vAlign w:val="center"/>
          </w:tcPr>
          <w:p w:rsidR="000935BA" w:rsidRPr="000C4F04" w:rsidRDefault="000935BA" w:rsidP="000935BA">
            <w:pPr>
              <w:overflowPunct/>
              <w:adjustRightInd w:val="0"/>
              <w:jc w:val="right"/>
              <w:rPr>
                <w:rFonts w:cs="標楷體"/>
                <w:color w:val="000000" w:themeColor="text1"/>
                <w:kern w:val="0"/>
                <w:sz w:val="28"/>
                <w:szCs w:val="28"/>
              </w:rPr>
            </w:pPr>
            <w:r w:rsidRPr="000C4F04">
              <w:rPr>
                <w:rFonts w:cs="標楷體" w:hint="eastAsia"/>
                <w:color w:val="000000" w:themeColor="text1"/>
                <w:kern w:val="0"/>
                <w:sz w:val="28"/>
                <w:szCs w:val="28"/>
              </w:rPr>
              <w:t>720</w:t>
            </w:r>
          </w:p>
        </w:tc>
        <w:tc>
          <w:tcPr>
            <w:tcW w:w="1653" w:type="dxa"/>
          </w:tcPr>
          <w:p w:rsidR="000935BA" w:rsidRPr="000C4F04" w:rsidRDefault="000935BA" w:rsidP="000935BA">
            <w:pPr>
              <w:overflowPunct/>
              <w:adjustRightInd w:val="0"/>
              <w:ind w:leftChars="-8" w:left="-27" w:rightChars="-16" w:right="-54"/>
              <w:jc w:val="left"/>
              <w:rPr>
                <w:rFonts w:cs="標楷體"/>
                <w:color w:val="000000" w:themeColor="text1"/>
                <w:spacing w:val="-10"/>
                <w:kern w:val="0"/>
                <w:sz w:val="28"/>
                <w:szCs w:val="28"/>
              </w:rPr>
            </w:pPr>
            <w:r w:rsidRPr="000C4F04">
              <w:rPr>
                <w:rFonts w:cs="標楷體" w:hint="eastAsia"/>
                <w:color w:val="000000" w:themeColor="text1"/>
                <w:spacing w:val="-10"/>
                <w:kern w:val="0"/>
                <w:sz w:val="28"/>
                <w:szCs w:val="28"/>
              </w:rPr>
              <w:t>私有農牧用地</w:t>
            </w:r>
          </w:p>
        </w:tc>
      </w:tr>
    </w:tbl>
    <w:p w:rsidR="002C4680" w:rsidRPr="000C4F04" w:rsidRDefault="003B6A1B" w:rsidP="003B6A1B">
      <w:pPr>
        <w:pStyle w:val="2"/>
        <w:numPr>
          <w:ilvl w:val="0"/>
          <w:numId w:val="0"/>
        </w:numPr>
        <w:ind w:left="1021" w:firstLineChars="207" w:firstLine="539"/>
        <w:rPr>
          <w:color w:val="000000" w:themeColor="text1"/>
          <w:sz w:val="24"/>
          <w:szCs w:val="24"/>
        </w:rPr>
      </w:pPr>
      <w:r w:rsidRPr="000C4F04">
        <w:rPr>
          <w:rFonts w:hint="eastAsia"/>
          <w:color w:val="000000" w:themeColor="text1"/>
          <w:sz w:val="24"/>
          <w:szCs w:val="24"/>
        </w:rPr>
        <w:t>資料來源：農委會</w:t>
      </w:r>
    </w:p>
    <w:p w:rsidR="003B6A1B" w:rsidRPr="000C4F04" w:rsidRDefault="003B6A1B" w:rsidP="000935BA">
      <w:pPr>
        <w:pStyle w:val="2"/>
        <w:numPr>
          <w:ilvl w:val="0"/>
          <w:numId w:val="0"/>
        </w:numPr>
        <w:ind w:left="1021"/>
        <w:rPr>
          <w:color w:val="000000" w:themeColor="text1"/>
        </w:rPr>
      </w:pPr>
    </w:p>
    <w:p w:rsidR="00B06D47" w:rsidRPr="000C4F04" w:rsidRDefault="00B06D47" w:rsidP="00B06D47">
      <w:pPr>
        <w:pStyle w:val="3"/>
        <w:rPr>
          <w:color w:val="000000" w:themeColor="text1"/>
        </w:rPr>
      </w:pPr>
      <w:r w:rsidRPr="000C4F04">
        <w:rPr>
          <w:rFonts w:hint="eastAsia"/>
          <w:color w:val="000000" w:themeColor="text1"/>
        </w:rPr>
        <w:t>關於</w:t>
      </w:r>
      <w:proofErr w:type="gramStart"/>
      <w:r w:rsidRPr="000C4F04">
        <w:rPr>
          <w:rFonts w:hint="eastAsia"/>
          <w:color w:val="000000" w:themeColor="text1"/>
        </w:rPr>
        <w:t>農糧署對於</w:t>
      </w:r>
      <w:proofErr w:type="gramEnd"/>
      <w:r w:rsidRPr="000C4F04">
        <w:rPr>
          <w:rFonts w:hint="eastAsia"/>
          <w:color w:val="000000" w:themeColor="text1"/>
        </w:rPr>
        <w:t>農牧用地種植檳榔輔導廢園及轉作</w:t>
      </w:r>
      <w:r w:rsidR="00980B65" w:rsidRPr="000C4F04">
        <w:rPr>
          <w:rFonts w:hint="eastAsia"/>
          <w:color w:val="000000" w:themeColor="text1"/>
        </w:rPr>
        <w:t>成效低落</w:t>
      </w:r>
      <w:r w:rsidRPr="000C4F04">
        <w:rPr>
          <w:rFonts w:hint="eastAsia"/>
          <w:color w:val="000000" w:themeColor="text1"/>
        </w:rPr>
        <w:t>之改善作為，農委會表示：行政院於107年12月14日核定該會「108-</w:t>
      </w:r>
      <w:proofErr w:type="gramStart"/>
      <w:r w:rsidRPr="000C4F04">
        <w:rPr>
          <w:rFonts w:hint="eastAsia"/>
          <w:color w:val="000000" w:themeColor="text1"/>
        </w:rPr>
        <w:t>110</w:t>
      </w:r>
      <w:proofErr w:type="gramEnd"/>
      <w:r w:rsidRPr="000C4F04">
        <w:rPr>
          <w:rFonts w:hint="eastAsia"/>
          <w:color w:val="000000" w:themeColor="text1"/>
        </w:rPr>
        <w:t>年度輔導檳榔廢園及轉作計畫」，依據106年執行該計畫經驗聽取各方意見，滾動檢討執行方式，輔導有意願執行檳榔廢園轉作之農友持續辦理檳榔廢園轉作；</w:t>
      </w:r>
      <w:r w:rsidR="003B6A1B" w:rsidRPr="000C4F04">
        <w:rPr>
          <w:rFonts w:hint="eastAsia"/>
          <w:color w:val="000000" w:themeColor="text1"/>
        </w:rPr>
        <w:t>該</w:t>
      </w:r>
      <w:r w:rsidRPr="000C4F04">
        <w:rPr>
          <w:rFonts w:hint="eastAsia"/>
          <w:color w:val="000000" w:themeColor="text1"/>
        </w:rPr>
        <w:t>署修正「108</w:t>
      </w:r>
      <w:r w:rsidR="00285F73" w:rsidRPr="000C4F04">
        <w:rPr>
          <w:rFonts w:hint="eastAsia"/>
          <w:color w:val="000000" w:themeColor="text1"/>
        </w:rPr>
        <w:t>-</w:t>
      </w:r>
      <w:r w:rsidRPr="000C4F04">
        <w:rPr>
          <w:rFonts w:hint="eastAsia"/>
          <w:color w:val="000000" w:themeColor="text1"/>
        </w:rPr>
        <w:t>110年檳榔廢園及轉作作業規範」，計畫推動目標600公頃如下：</w:t>
      </w:r>
    </w:p>
    <w:p w:rsidR="00B06D47" w:rsidRPr="000C4F04" w:rsidRDefault="00B06D47" w:rsidP="003B6A1B">
      <w:pPr>
        <w:pStyle w:val="4"/>
        <w:ind w:left="1560"/>
        <w:rPr>
          <w:color w:val="000000" w:themeColor="text1"/>
        </w:rPr>
      </w:pPr>
      <w:r w:rsidRPr="000C4F04">
        <w:rPr>
          <w:rFonts w:hint="eastAsia"/>
          <w:color w:val="000000" w:themeColor="text1"/>
        </w:rPr>
        <w:t>計畫申請期限108年1月1日至108年12月31日。</w:t>
      </w:r>
    </w:p>
    <w:p w:rsidR="00B06D47" w:rsidRPr="000C4F04" w:rsidRDefault="00B06D47" w:rsidP="003B6A1B">
      <w:pPr>
        <w:pStyle w:val="4"/>
        <w:ind w:left="1560"/>
        <w:rPr>
          <w:color w:val="000000" w:themeColor="text1"/>
        </w:rPr>
      </w:pPr>
      <w:r w:rsidRPr="000C4F04">
        <w:rPr>
          <w:rFonts w:hint="eastAsia"/>
          <w:color w:val="000000" w:themeColor="text1"/>
        </w:rPr>
        <w:t>廢園及轉作可分開辦理，並將平地檳榔園納入輔導。</w:t>
      </w:r>
    </w:p>
    <w:p w:rsidR="00B06D47" w:rsidRPr="000C4F04" w:rsidRDefault="00B06D47" w:rsidP="003B6A1B">
      <w:pPr>
        <w:pStyle w:val="4"/>
        <w:ind w:left="1560"/>
        <w:rPr>
          <w:color w:val="000000" w:themeColor="text1"/>
        </w:rPr>
      </w:pPr>
      <w:r w:rsidRPr="000C4F04">
        <w:rPr>
          <w:rFonts w:hint="eastAsia"/>
          <w:color w:val="000000" w:themeColor="text1"/>
        </w:rPr>
        <w:t>廢園補助15萬元/公頃，平地轉作補助5萬元/公頃</w:t>
      </w:r>
      <w:proofErr w:type="gramStart"/>
      <w:r w:rsidRPr="000C4F04">
        <w:rPr>
          <w:rFonts w:hint="eastAsia"/>
          <w:color w:val="000000" w:themeColor="text1"/>
        </w:rPr>
        <w:t>種苗費</w:t>
      </w:r>
      <w:proofErr w:type="gramEnd"/>
      <w:r w:rsidRPr="000C4F04">
        <w:rPr>
          <w:rFonts w:hint="eastAsia"/>
          <w:color w:val="000000" w:themeColor="text1"/>
        </w:rPr>
        <w:t>，合計20萬元/公頃。山坡地轉作補助</w:t>
      </w:r>
      <w:proofErr w:type="gramStart"/>
      <w:r w:rsidRPr="000C4F04">
        <w:rPr>
          <w:rFonts w:hint="eastAsia"/>
          <w:color w:val="000000" w:themeColor="text1"/>
        </w:rPr>
        <w:t>種苗費及</w:t>
      </w:r>
      <w:proofErr w:type="gramEnd"/>
      <w:r w:rsidRPr="000C4F04">
        <w:rPr>
          <w:rFonts w:hint="eastAsia"/>
          <w:color w:val="000000" w:themeColor="text1"/>
        </w:rPr>
        <w:t>田間管理費各5萬元/公頃，合計補助25萬元/公頃。</w:t>
      </w:r>
    </w:p>
    <w:p w:rsidR="00B06D47" w:rsidRPr="000C4F04" w:rsidRDefault="00B06D47" w:rsidP="003B6A1B">
      <w:pPr>
        <w:pStyle w:val="4"/>
        <w:ind w:left="1560"/>
        <w:rPr>
          <w:color w:val="000000" w:themeColor="text1"/>
        </w:rPr>
      </w:pPr>
      <w:r w:rsidRPr="000C4F04">
        <w:rPr>
          <w:rFonts w:hint="eastAsia"/>
          <w:color w:val="000000" w:themeColor="text1"/>
        </w:rPr>
        <w:t>推薦轉</w:t>
      </w:r>
      <w:proofErr w:type="gramStart"/>
      <w:r w:rsidRPr="000C4F04">
        <w:rPr>
          <w:rFonts w:hint="eastAsia"/>
          <w:color w:val="000000" w:themeColor="text1"/>
        </w:rPr>
        <w:t>作</w:t>
      </w:r>
      <w:proofErr w:type="gramEnd"/>
      <w:r w:rsidRPr="000C4F04">
        <w:rPr>
          <w:rFonts w:hint="eastAsia"/>
          <w:color w:val="000000" w:themeColor="text1"/>
        </w:rPr>
        <w:t>作物:油茶、油柑、綠竹筍、茶、芒果、新興柑桔、牛樟、番石榴、相思樹、楓香、杜英、羅漢松、檸檬、酪梨、板栗及臺灣香</w:t>
      </w:r>
      <w:proofErr w:type="gramStart"/>
      <w:r w:rsidRPr="000C4F04">
        <w:rPr>
          <w:rFonts w:hint="eastAsia"/>
          <w:color w:val="000000" w:themeColor="text1"/>
        </w:rPr>
        <w:t>檬</w:t>
      </w:r>
      <w:proofErr w:type="gramEnd"/>
      <w:r w:rsidRPr="000C4F04">
        <w:rPr>
          <w:rFonts w:hint="eastAsia"/>
          <w:color w:val="000000" w:themeColor="text1"/>
        </w:rPr>
        <w:t>等16項。</w:t>
      </w:r>
    </w:p>
    <w:p w:rsidR="00773ADE" w:rsidRPr="000C4F04" w:rsidRDefault="00285F73" w:rsidP="00285F73">
      <w:pPr>
        <w:pStyle w:val="3"/>
        <w:rPr>
          <w:color w:val="000000" w:themeColor="text1"/>
        </w:rPr>
      </w:pPr>
      <w:r w:rsidRPr="000C4F04">
        <w:rPr>
          <w:rFonts w:hint="eastAsia"/>
          <w:color w:val="000000" w:themeColor="text1"/>
        </w:rPr>
        <w:t>查前揭「108-</w:t>
      </w:r>
      <w:proofErr w:type="gramStart"/>
      <w:r w:rsidRPr="000C4F04">
        <w:rPr>
          <w:rFonts w:hint="eastAsia"/>
          <w:color w:val="000000" w:themeColor="text1"/>
        </w:rPr>
        <w:t>110</w:t>
      </w:r>
      <w:proofErr w:type="gramEnd"/>
      <w:r w:rsidRPr="000C4F04">
        <w:rPr>
          <w:rFonts w:hint="eastAsia"/>
          <w:color w:val="000000" w:themeColor="text1"/>
        </w:rPr>
        <w:t>年度輔導檳榔廢園及轉作計畫」，</w:t>
      </w:r>
      <w:proofErr w:type="gramStart"/>
      <w:r w:rsidRPr="000C4F04">
        <w:rPr>
          <w:rFonts w:hint="eastAsia"/>
          <w:color w:val="000000" w:themeColor="text1"/>
        </w:rPr>
        <w:t>108</w:t>
      </w:r>
      <w:proofErr w:type="gramEnd"/>
      <w:r w:rsidRPr="000C4F04">
        <w:rPr>
          <w:rFonts w:hint="eastAsia"/>
          <w:color w:val="000000" w:themeColor="text1"/>
        </w:rPr>
        <w:t>年度完成廢園及轉作面積計242公頃，</w:t>
      </w:r>
      <w:r w:rsidR="007C0486" w:rsidRPr="000C4F04">
        <w:rPr>
          <w:rFonts w:hint="eastAsia"/>
          <w:color w:val="000000" w:themeColor="text1"/>
        </w:rPr>
        <w:t>由於計畫</w:t>
      </w:r>
      <w:r w:rsidR="007C0486" w:rsidRPr="000C4F04">
        <w:rPr>
          <w:rFonts w:hint="eastAsia"/>
          <w:color w:val="000000" w:themeColor="text1"/>
        </w:rPr>
        <w:lastRenderedPageBreak/>
        <w:t>申請期限為108年1月1日至同年12月31日</w:t>
      </w:r>
      <w:r w:rsidR="00575391" w:rsidRPr="000C4F04">
        <w:rPr>
          <w:rFonts w:hint="eastAsia"/>
          <w:color w:val="000000" w:themeColor="text1"/>
        </w:rPr>
        <w:t>，故</w:t>
      </w:r>
      <w:r w:rsidR="003B6A1B" w:rsidRPr="000C4F04">
        <w:rPr>
          <w:rFonts w:hint="eastAsia"/>
          <w:color w:val="000000" w:themeColor="text1"/>
        </w:rPr>
        <w:t>往後</w:t>
      </w:r>
      <w:r w:rsidR="00575391" w:rsidRPr="000C4F04">
        <w:rPr>
          <w:rFonts w:hint="eastAsia"/>
          <w:color w:val="000000" w:themeColor="text1"/>
        </w:rPr>
        <w:t>再新增申請者有限，是農委會該計畫執行結果仍未達推動目標600公頃，達成率約僅</w:t>
      </w:r>
      <w:proofErr w:type="gramStart"/>
      <w:r w:rsidR="00575391" w:rsidRPr="000C4F04">
        <w:rPr>
          <w:rFonts w:hint="eastAsia"/>
          <w:color w:val="000000" w:themeColor="text1"/>
        </w:rPr>
        <w:t>4成</w:t>
      </w:r>
      <w:proofErr w:type="gramEnd"/>
      <w:r w:rsidR="00575391" w:rsidRPr="000C4F04">
        <w:rPr>
          <w:rFonts w:hint="eastAsia"/>
          <w:color w:val="000000" w:themeColor="text1"/>
        </w:rPr>
        <w:t>。</w:t>
      </w:r>
      <w:r w:rsidR="00773ADE" w:rsidRPr="000C4F04">
        <w:rPr>
          <w:rFonts w:hint="eastAsia"/>
          <w:color w:val="000000" w:themeColor="text1"/>
        </w:rPr>
        <w:t>足</w:t>
      </w:r>
      <w:r w:rsidR="00575391" w:rsidRPr="000C4F04">
        <w:rPr>
          <w:rFonts w:hint="eastAsia"/>
          <w:color w:val="000000" w:themeColor="text1"/>
        </w:rPr>
        <w:t>見不論「103-106年檳榔管理方案」</w:t>
      </w:r>
      <w:proofErr w:type="gramStart"/>
      <w:r w:rsidR="00575391" w:rsidRPr="000C4F04">
        <w:rPr>
          <w:rFonts w:hint="eastAsia"/>
          <w:color w:val="000000" w:themeColor="text1"/>
        </w:rPr>
        <w:t>抑或「</w:t>
      </w:r>
      <w:proofErr w:type="gramEnd"/>
      <w:r w:rsidR="00575391" w:rsidRPr="000C4F04">
        <w:rPr>
          <w:rFonts w:hint="eastAsia"/>
          <w:color w:val="000000" w:themeColor="text1"/>
        </w:rPr>
        <w:t>108-</w:t>
      </w:r>
      <w:proofErr w:type="gramStart"/>
      <w:r w:rsidR="00575391" w:rsidRPr="000C4F04">
        <w:rPr>
          <w:rFonts w:hint="eastAsia"/>
          <w:color w:val="000000" w:themeColor="text1"/>
        </w:rPr>
        <w:t>110</w:t>
      </w:r>
      <w:proofErr w:type="gramEnd"/>
      <w:r w:rsidR="00575391" w:rsidRPr="000C4F04">
        <w:rPr>
          <w:rFonts w:hint="eastAsia"/>
          <w:color w:val="000000" w:themeColor="text1"/>
        </w:rPr>
        <w:t>年</w:t>
      </w:r>
      <w:r w:rsidR="00657D9E" w:rsidRPr="000C4F04">
        <w:rPr>
          <w:rFonts w:hint="eastAsia"/>
          <w:color w:val="000000" w:themeColor="text1"/>
        </w:rPr>
        <w:t>度輔導檳榔廢園及轉作計畫</w:t>
      </w:r>
      <w:r w:rsidR="00575391" w:rsidRPr="000C4F04">
        <w:rPr>
          <w:rFonts w:hint="eastAsia"/>
          <w:color w:val="000000" w:themeColor="text1"/>
        </w:rPr>
        <w:t>」，</w:t>
      </w:r>
      <w:r w:rsidR="00773ADE" w:rsidRPr="000C4F04">
        <w:rPr>
          <w:rFonts w:hint="eastAsia"/>
          <w:color w:val="000000" w:themeColor="text1"/>
        </w:rPr>
        <w:t>農委會對於輔導檳榔廢園及轉作之結果均不如預期，即使農委會已調增補助經費及擴大推薦作物範圍，成效仍</w:t>
      </w:r>
      <w:proofErr w:type="gramStart"/>
      <w:r w:rsidR="00773ADE" w:rsidRPr="000C4F04">
        <w:rPr>
          <w:rFonts w:hint="eastAsia"/>
          <w:color w:val="000000" w:themeColor="text1"/>
        </w:rPr>
        <w:t>不</w:t>
      </w:r>
      <w:proofErr w:type="gramEnd"/>
      <w:r w:rsidR="00773ADE" w:rsidRPr="000C4F04">
        <w:rPr>
          <w:rFonts w:hint="eastAsia"/>
          <w:color w:val="000000" w:themeColor="text1"/>
        </w:rPr>
        <w:t>彰，</w:t>
      </w:r>
      <w:proofErr w:type="gramStart"/>
      <w:r w:rsidR="00773ADE" w:rsidRPr="000C4F04">
        <w:rPr>
          <w:rFonts w:hint="eastAsia"/>
          <w:color w:val="000000" w:themeColor="text1"/>
        </w:rPr>
        <w:t>凸</w:t>
      </w:r>
      <w:proofErr w:type="gramEnd"/>
      <w:r w:rsidR="00773ADE" w:rsidRPr="000C4F04">
        <w:rPr>
          <w:rFonts w:hint="eastAsia"/>
          <w:color w:val="000000" w:themeColor="text1"/>
        </w:rPr>
        <w:t>顯在年產值高達百億元以及產量逐年增加情形下，農委會廢園及轉作政策難敵現有檳榔市場</w:t>
      </w:r>
      <w:r w:rsidR="00980B65" w:rsidRPr="000C4F04">
        <w:rPr>
          <w:rFonts w:hint="eastAsia"/>
          <w:color w:val="000000" w:themeColor="text1"/>
        </w:rPr>
        <w:t>需求，成效難再</w:t>
      </w:r>
      <w:r w:rsidR="00773ADE" w:rsidRPr="000C4F04">
        <w:rPr>
          <w:rFonts w:hint="eastAsia"/>
          <w:color w:val="000000" w:themeColor="text1"/>
        </w:rPr>
        <w:t>突破。</w:t>
      </w:r>
    </w:p>
    <w:p w:rsidR="0036739D" w:rsidRPr="000C4F04" w:rsidRDefault="00773ADE" w:rsidP="0036739D">
      <w:pPr>
        <w:pStyle w:val="3"/>
        <w:rPr>
          <w:color w:val="000000" w:themeColor="text1"/>
        </w:rPr>
      </w:pPr>
      <w:r w:rsidRPr="000C4F04">
        <w:rPr>
          <w:rFonts w:hint="eastAsia"/>
          <w:color w:val="000000" w:themeColor="text1"/>
        </w:rPr>
        <w:t>據上，</w:t>
      </w:r>
      <w:r w:rsidR="0036739D" w:rsidRPr="000C4F04">
        <w:rPr>
          <w:rFonts w:hint="eastAsia"/>
          <w:color w:val="000000" w:themeColor="text1"/>
        </w:rPr>
        <w:t>農委會自103年起辦理檳榔廢園及轉作輔導計畫，惟達成率僅15%；</w:t>
      </w:r>
      <w:proofErr w:type="gramStart"/>
      <w:r w:rsidR="0036739D" w:rsidRPr="000C4F04">
        <w:rPr>
          <w:rFonts w:hint="eastAsia"/>
          <w:color w:val="000000" w:themeColor="text1"/>
        </w:rPr>
        <w:t>嗣</w:t>
      </w:r>
      <w:proofErr w:type="gramEnd"/>
      <w:r w:rsidR="0036739D" w:rsidRPr="000C4F04">
        <w:rPr>
          <w:rFonts w:hint="eastAsia"/>
          <w:color w:val="000000" w:themeColor="text1"/>
        </w:rPr>
        <w:t>108年接續推動並調增補助經費及擴大推薦作物範圍，</w:t>
      </w:r>
      <w:proofErr w:type="gramStart"/>
      <w:r w:rsidR="0036739D" w:rsidRPr="000C4F04">
        <w:rPr>
          <w:rFonts w:hint="eastAsia"/>
          <w:color w:val="000000" w:themeColor="text1"/>
        </w:rPr>
        <w:t>達成率乃提高</w:t>
      </w:r>
      <w:proofErr w:type="gramEnd"/>
      <w:r w:rsidR="0036739D" w:rsidRPr="000C4F04">
        <w:rPr>
          <w:rFonts w:hint="eastAsia"/>
          <w:color w:val="000000" w:themeColor="text1"/>
        </w:rPr>
        <w:t>至</w:t>
      </w:r>
      <w:proofErr w:type="gramStart"/>
      <w:r w:rsidR="0036739D" w:rsidRPr="000C4F04">
        <w:rPr>
          <w:rFonts w:hint="eastAsia"/>
          <w:color w:val="000000" w:themeColor="text1"/>
        </w:rPr>
        <w:t>4成</w:t>
      </w:r>
      <w:proofErr w:type="gramEnd"/>
      <w:r w:rsidR="0036739D" w:rsidRPr="000C4F04">
        <w:rPr>
          <w:rFonts w:hint="eastAsia"/>
          <w:color w:val="000000" w:themeColor="text1"/>
        </w:rPr>
        <w:t>，然該政策誘因仍難敵檳榔每年高達百億元產值利益，以致檳榔產量逐年增加，農委會仍需持續通盤審視與檢討，並</w:t>
      </w:r>
      <w:proofErr w:type="gramStart"/>
      <w:r w:rsidR="0036739D" w:rsidRPr="000C4F04">
        <w:rPr>
          <w:rFonts w:hint="eastAsia"/>
          <w:color w:val="000000" w:themeColor="text1"/>
        </w:rPr>
        <w:t>研</w:t>
      </w:r>
      <w:proofErr w:type="gramEnd"/>
      <w:r w:rsidR="0036739D" w:rsidRPr="000C4F04">
        <w:rPr>
          <w:rFonts w:hint="eastAsia"/>
          <w:color w:val="000000" w:themeColor="text1"/>
        </w:rPr>
        <w:t>議改善措施。</w:t>
      </w:r>
    </w:p>
    <w:p w:rsidR="00CE5BD7" w:rsidRPr="000C4F04" w:rsidRDefault="00AF4D4E" w:rsidP="0036739D">
      <w:pPr>
        <w:pStyle w:val="2"/>
        <w:rPr>
          <w:b/>
          <w:color w:val="000000" w:themeColor="text1"/>
        </w:rPr>
      </w:pPr>
      <w:r w:rsidRPr="000C4F04">
        <w:rPr>
          <w:rFonts w:hint="eastAsia"/>
          <w:b/>
          <w:color w:val="000000" w:themeColor="text1"/>
        </w:rPr>
        <w:t>我國</w:t>
      </w:r>
      <w:proofErr w:type="gramStart"/>
      <w:r w:rsidRPr="000C4F04">
        <w:rPr>
          <w:rFonts w:hint="eastAsia"/>
          <w:b/>
          <w:color w:val="000000" w:themeColor="text1"/>
        </w:rPr>
        <w:t>荖</w:t>
      </w:r>
      <w:proofErr w:type="gramEnd"/>
      <w:r w:rsidRPr="000C4F04">
        <w:rPr>
          <w:rFonts w:hint="eastAsia"/>
          <w:b/>
          <w:color w:val="000000" w:themeColor="text1"/>
        </w:rPr>
        <w:t>葉作物種植面積及產量頗具規模，</w:t>
      </w:r>
      <w:proofErr w:type="gramStart"/>
      <w:r w:rsidRPr="000C4F04">
        <w:rPr>
          <w:rFonts w:hint="eastAsia"/>
          <w:b/>
          <w:color w:val="000000" w:themeColor="text1"/>
        </w:rPr>
        <w:t>產值約估達</w:t>
      </w:r>
      <w:proofErr w:type="gramEnd"/>
      <w:r w:rsidRPr="000C4F04">
        <w:rPr>
          <w:rFonts w:hint="eastAsia"/>
          <w:b/>
          <w:color w:val="000000" w:themeColor="text1"/>
        </w:rPr>
        <w:t>40億至80億</w:t>
      </w:r>
      <w:proofErr w:type="gramStart"/>
      <w:r w:rsidRPr="000C4F04">
        <w:rPr>
          <w:rFonts w:hint="eastAsia"/>
          <w:b/>
          <w:color w:val="000000" w:themeColor="text1"/>
        </w:rPr>
        <w:t>之間，</w:t>
      </w:r>
      <w:proofErr w:type="gramEnd"/>
      <w:r w:rsidRPr="000C4F04">
        <w:rPr>
          <w:rFonts w:hint="eastAsia"/>
          <w:b/>
          <w:color w:val="000000" w:themeColor="text1"/>
        </w:rPr>
        <w:t>因其具有辛香味、辣味，檳榔愛好者常搭配</w:t>
      </w:r>
      <w:proofErr w:type="gramStart"/>
      <w:r w:rsidRPr="000C4F04">
        <w:rPr>
          <w:rFonts w:hint="eastAsia"/>
          <w:b/>
          <w:color w:val="000000" w:themeColor="text1"/>
        </w:rPr>
        <w:t>荖</w:t>
      </w:r>
      <w:proofErr w:type="gramEnd"/>
      <w:r w:rsidRPr="000C4F04">
        <w:rPr>
          <w:rFonts w:hint="eastAsia"/>
          <w:b/>
          <w:color w:val="000000" w:themeColor="text1"/>
        </w:rPr>
        <w:t>葉一起食用，惟政府機關對於</w:t>
      </w:r>
      <w:proofErr w:type="gramStart"/>
      <w:r w:rsidRPr="000C4F04">
        <w:rPr>
          <w:rFonts w:hint="eastAsia"/>
          <w:b/>
          <w:color w:val="000000" w:themeColor="text1"/>
        </w:rPr>
        <w:t>荖</w:t>
      </w:r>
      <w:proofErr w:type="gramEnd"/>
      <w:r w:rsidRPr="000C4F04">
        <w:rPr>
          <w:rFonts w:hint="eastAsia"/>
          <w:b/>
          <w:color w:val="000000" w:themeColor="text1"/>
        </w:rPr>
        <w:t>葉之定位未明，</w:t>
      </w:r>
      <w:proofErr w:type="gramStart"/>
      <w:r w:rsidRPr="000C4F04">
        <w:rPr>
          <w:rFonts w:hint="eastAsia"/>
          <w:b/>
          <w:color w:val="000000" w:themeColor="text1"/>
        </w:rPr>
        <w:t>故迄未</w:t>
      </w:r>
      <w:proofErr w:type="gramEnd"/>
      <w:r w:rsidRPr="000C4F04">
        <w:rPr>
          <w:rFonts w:hint="eastAsia"/>
          <w:b/>
          <w:color w:val="000000" w:themeColor="text1"/>
        </w:rPr>
        <w:t>有農藥使用與殘留標準法定規範，亟待行政院正視並督促農委會及</w:t>
      </w:r>
      <w:proofErr w:type="gramStart"/>
      <w:r w:rsidRPr="000C4F04">
        <w:rPr>
          <w:rFonts w:hint="eastAsia"/>
          <w:b/>
          <w:color w:val="000000" w:themeColor="text1"/>
        </w:rPr>
        <w:t>食藥署積極研</w:t>
      </w:r>
      <w:proofErr w:type="gramEnd"/>
      <w:r w:rsidRPr="000C4F04">
        <w:rPr>
          <w:rFonts w:hint="eastAsia"/>
          <w:b/>
          <w:color w:val="000000" w:themeColor="text1"/>
        </w:rPr>
        <w:t>議並妥擬管理規範。</w:t>
      </w:r>
    </w:p>
    <w:p w:rsidR="002E663E" w:rsidRPr="000C4F04" w:rsidRDefault="005463D5" w:rsidP="005463D5">
      <w:pPr>
        <w:pStyle w:val="3"/>
        <w:rPr>
          <w:color w:val="000000" w:themeColor="text1"/>
        </w:rPr>
      </w:pPr>
      <w:proofErr w:type="gramStart"/>
      <w:r w:rsidRPr="000C4F04">
        <w:rPr>
          <w:rFonts w:hint="eastAsia"/>
          <w:color w:val="000000" w:themeColor="text1"/>
        </w:rPr>
        <w:t>荖</w:t>
      </w:r>
      <w:proofErr w:type="gramEnd"/>
      <w:r w:rsidRPr="000C4F04">
        <w:rPr>
          <w:rFonts w:hint="eastAsia"/>
          <w:color w:val="000000" w:themeColor="text1"/>
        </w:rPr>
        <w:t>葉因具有辛香味、辣味，</w:t>
      </w:r>
      <w:r w:rsidR="002E663E" w:rsidRPr="000C4F04">
        <w:rPr>
          <w:rFonts w:hint="eastAsia"/>
          <w:color w:val="000000" w:themeColor="text1"/>
        </w:rPr>
        <w:t>檳榔</w:t>
      </w:r>
      <w:r w:rsidRPr="000C4F04">
        <w:rPr>
          <w:rFonts w:hint="eastAsia"/>
          <w:color w:val="000000" w:themeColor="text1"/>
        </w:rPr>
        <w:t>愛好</w:t>
      </w:r>
      <w:r w:rsidR="002E663E" w:rsidRPr="000C4F04">
        <w:rPr>
          <w:rFonts w:hint="eastAsia"/>
          <w:color w:val="000000" w:themeColor="text1"/>
        </w:rPr>
        <w:t>者</w:t>
      </w:r>
      <w:r w:rsidR="006F5107" w:rsidRPr="000C4F04">
        <w:rPr>
          <w:rFonts w:hint="eastAsia"/>
          <w:color w:val="000000" w:themeColor="text1"/>
        </w:rPr>
        <w:t>常搭配</w:t>
      </w:r>
      <w:proofErr w:type="gramStart"/>
      <w:r w:rsidR="000209C0" w:rsidRPr="000C4F04">
        <w:rPr>
          <w:rFonts w:hint="eastAsia"/>
          <w:color w:val="000000" w:themeColor="text1"/>
        </w:rPr>
        <w:t>荖</w:t>
      </w:r>
      <w:proofErr w:type="gramEnd"/>
      <w:r w:rsidR="000209C0" w:rsidRPr="000C4F04">
        <w:rPr>
          <w:rFonts w:hint="eastAsia"/>
          <w:color w:val="000000" w:themeColor="text1"/>
        </w:rPr>
        <w:t>葉</w:t>
      </w:r>
      <w:r w:rsidRPr="000C4F04">
        <w:rPr>
          <w:rFonts w:hint="eastAsia"/>
          <w:color w:val="000000" w:themeColor="text1"/>
        </w:rPr>
        <w:t>一起食用</w:t>
      </w:r>
      <w:r w:rsidR="00AF05EE" w:rsidRPr="000C4F04">
        <w:rPr>
          <w:rFonts w:hint="eastAsia"/>
          <w:color w:val="000000" w:themeColor="text1"/>
        </w:rPr>
        <w:t>。</w:t>
      </w:r>
      <w:r w:rsidRPr="000C4F04">
        <w:rPr>
          <w:rFonts w:hint="eastAsia"/>
          <w:color w:val="000000" w:themeColor="text1"/>
        </w:rPr>
        <w:t>據文獻指出：</w:t>
      </w:r>
      <w:proofErr w:type="gramStart"/>
      <w:r w:rsidR="002E663E" w:rsidRPr="000C4F04">
        <w:rPr>
          <w:rFonts w:hint="eastAsia"/>
          <w:color w:val="000000" w:themeColor="text1"/>
        </w:rPr>
        <w:t>荖</w:t>
      </w:r>
      <w:proofErr w:type="gramEnd"/>
      <w:r w:rsidR="002E663E" w:rsidRPr="000C4F04">
        <w:rPr>
          <w:rFonts w:hint="eastAsia"/>
          <w:color w:val="000000" w:themeColor="text1"/>
        </w:rPr>
        <w:t>葉是胡椒科的藤類植物，原產地越南、馬來西亞、印尼、菲律賓、印度、斯里蘭卡及馬達加斯加等</w:t>
      </w:r>
      <w:r w:rsidR="00AF05EE" w:rsidRPr="000C4F04">
        <w:rPr>
          <w:rFonts w:hint="eastAsia"/>
          <w:color w:val="000000" w:themeColor="text1"/>
        </w:rPr>
        <w:t>，依</w:t>
      </w:r>
      <w:proofErr w:type="gramStart"/>
      <w:r w:rsidR="00AF05EE" w:rsidRPr="000C4F04">
        <w:rPr>
          <w:rFonts w:hint="eastAsia"/>
          <w:color w:val="000000" w:themeColor="text1"/>
        </w:rPr>
        <w:t>農糧署103年</w:t>
      </w:r>
      <w:proofErr w:type="gramEnd"/>
      <w:r w:rsidR="00AF05EE" w:rsidRPr="000C4F04">
        <w:rPr>
          <w:rFonts w:hint="eastAsia"/>
          <w:color w:val="000000" w:themeColor="text1"/>
        </w:rPr>
        <w:t>調查，</w:t>
      </w:r>
      <w:proofErr w:type="gramStart"/>
      <w:r w:rsidR="00AF05EE" w:rsidRPr="000C4F04">
        <w:rPr>
          <w:rFonts w:hint="eastAsia"/>
          <w:color w:val="000000" w:themeColor="text1"/>
        </w:rPr>
        <w:t>荖</w:t>
      </w:r>
      <w:proofErr w:type="gramEnd"/>
      <w:r w:rsidR="00AF05EE" w:rsidRPr="000C4F04">
        <w:rPr>
          <w:rFonts w:hint="eastAsia"/>
          <w:color w:val="000000" w:themeColor="text1"/>
        </w:rPr>
        <w:t>葉全臺灣種植面積</w:t>
      </w:r>
      <w:r w:rsidR="00184538" w:rsidRPr="000C4F04">
        <w:rPr>
          <w:rFonts w:hint="eastAsia"/>
          <w:color w:val="000000" w:themeColor="text1"/>
        </w:rPr>
        <w:t>計</w:t>
      </w:r>
      <w:r w:rsidR="00AF05EE" w:rsidRPr="000C4F04">
        <w:rPr>
          <w:rFonts w:hint="eastAsia"/>
          <w:color w:val="000000" w:themeColor="text1"/>
        </w:rPr>
        <w:t>1,781公頃，</w:t>
      </w:r>
      <w:proofErr w:type="gramStart"/>
      <w:r w:rsidR="00AF05EE" w:rsidRPr="000C4F04">
        <w:rPr>
          <w:rFonts w:hint="eastAsia"/>
          <w:color w:val="000000" w:themeColor="text1"/>
        </w:rPr>
        <w:t>臺</w:t>
      </w:r>
      <w:proofErr w:type="gramEnd"/>
      <w:r w:rsidR="00AF05EE" w:rsidRPr="000C4F04">
        <w:rPr>
          <w:rFonts w:hint="eastAsia"/>
          <w:color w:val="000000" w:themeColor="text1"/>
        </w:rPr>
        <w:t>東縣有1,471公頃，占全</w:t>
      </w:r>
      <w:proofErr w:type="gramStart"/>
      <w:r w:rsidR="00AF05EE" w:rsidRPr="000C4F04">
        <w:rPr>
          <w:rFonts w:hint="eastAsia"/>
          <w:color w:val="000000" w:themeColor="text1"/>
        </w:rPr>
        <w:t>臺</w:t>
      </w:r>
      <w:proofErr w:type="gramEnd"/>
      <w:r w:rsidR="00AF05EE" w:rsidRPr="000C4F04">
        <w:rPr>
          <w:rFonts w:hint="eastAsia"/>
          <w:color w:val="000000" w:themeColor="text1"/>
        </w:rPr>
        <w:t>種植面積的83%，其次為彰化縣138公頃</w:t>
      </w:r>
      <w:r w:rsidR="00184538" w:rsidRPr="000C4F04">
        <w:rPr>
          <w:rFonts w:hint="eastAsia"/>
          <w:color w:val="000000" w:themeColor="text1"/>
        </w:rPr>
        <w:t>；</w:t>
      </w:r>
      <w:r w:rsidR="00AF05EE" w:rsidRPr="000C4F04">
        <w:rPr>
          <w:rFonts w:hint="eastAsia"/>
          <w:color w:val="000000" w:themeColor="text1"/>
        </w:rPr>
        <w:t>產量方面，全國產量約10</w:t>
      </w:r>
      <w:r w:rsidR="00AF05EE" w:rsidRPr="000C4F04">
        <w:rPr>
          <w:color w:val="000000" w:themeColor="text1"/>
        </w:rPr>
        <w:t>,</w:t>
      </w:r>
      <w:r w:rsidR="00AF05EE" w:rsidRPr="000C4F04">
        <w:rPr>
          <w:rFonts w:hint="eastAsia"/>
          <w:color w:val="000000" w:themeColor="text1"/>
        </w:rPr>
        <w:t>26</w:t>
      </w:r>
      <w:r w:rsidR="00AF05EE" w:rsidRPr="000C4F04">
        <w:rPr>
          <w:color w:val="000000" w:themeColor="text1"/>
        </w:rPr>
        <w:t>1</w:t>
      </w:r>
      <w:r w:rsidR="00AF05EE" w:rsidRPr="000C4F04">
        <w:rPr>
          <w:rFonts w:hint="eastAsia"/>
          <w:color w:val="000000" w:themeColor="text1"/>
        </w:rPr>
        <w:t>公噸，8</w:t>
      </w:r>
      <w:r w:rsidR="00AF05EE" w:rsidRPr="000C4F04">
        <w:rPr>
          <w:color w:val="000000" w:themeColor="text1"/>
        </w:rPr>
        <w:t>,</w:t>
      </w:r>
      <w:r w:rsidR="00AF05EE" w:rsidRPr="000C4F04">
        <w:rPr>
          <w:rFonts w:hint="eastAsia"/>
          <w:color w:val="000000" w:themeColor="text1"/>
        </w:rPr>
        <w:t>351公噸</w:t>
      </w:r>
      <w:r w:rsidR="00184538" w:rsidRPr="000C4F04">
        <w:rPr>
          <w:rFonts w:hint="eastAsia"/>
          <w:color w:val="000000" w:themeColor="text1"/>
        </w:rPr>
        <w:t>；產值方面，</w:t>
      </w:r>
      <w:proofErr w:type="gramStart"/>
      <w:r w:rsidR="00184538" w:rsidRPr="000C4F04">
        <w:rPr>
          <w:rFonts w:hint="eastAsia"/>
          <w:color w:val="000000" w:themeColor="text1"/>
        </w:rPr>
        <w:t>臺</w:t>
      </w:r>
      <w:proofErr w:type="gramEnd"/>
      <w:r w:rsidR="00184538" w:rsidRPr="000C4F04">
        <w:rPr>
          <w:rFonts w:hint="eastAsia"/>
          <w:color w:val="000000" w:themeColor="text1"/>
        </w:rPr>
        <w:t>東區農業改良場估計</w:t>
      </w:r>
      <w:proofErr w:type="gramStart"/>
      <w:r w:rsidR="00184538" w:rsidRPr="000C4F04">
        <w:rPr>
          <w:rFonts w:hint="eastAsia"/>
          <w:color w:val="000000" w:themeColor="text1"/>
        </w:rPr>
        <w:t>臺</w:t>
      </w:r>
      <w:proofErr w:type="gramEnd"/>
      <w:r w:rsidR="00184538" w:rsidRPr="000C4F04">
        <w:rPr>
          <w:rFonts w:hint="eastAsia"/>
          <w:color w:val="000000" w:themeColor="text1"/>
        </w:rPr>
        <w:t>東地區</w:t>
      </w:r>
      <w:proofErr w:type="gramStart"/>
      <w:r w:rsidR="00184538" w:rsidRPr="000C4F04">
        <w:rPr>
          <w:rFonts w:hint="eastAsia"/>
          <w:color w:val="000000" w:themeColor="text1"/>
        </w:rPr>
        <w:t>荖</w:t>
      </w:r>
      <w:proofErr w:type="gramEnd"/>
      <w:r w:rsidR="00184538" w:rsidRPr="000C4F04">
        <w:rPr>
          <w:rFonts w:hint="eastAsia"/>
          <w:color w:val="000000" w:themeColor="text1"/>
        </w:rPr>
        <w:t>葉的年</w:t>
      </w:r>
      <w:r w:rsidR="00184538" w:rsidRPr="000C4F04">
        <w:rPr>
          <w:rFonts w:hint="eastAsia"/>
          <w:color w:val="000000" w:themeColor="text1"/>
        </w:rPr>
        <w:lastRenderedPageBreak/>
        <w:t>產值約為40億至80億之</w:t>
      </w:r>
      <w:proofErr w:type="gramStart"/>
      <w:r w:rsidR="00184538" w:rsidRPr="000C4F04">
        <w:rPr>
          <w:rFonts w:hint="eastAsia"/>
          <w:color w:val="000000" w:themeColor="text1"/>
        </w:rPr>
        <w:t>間</w:t>
      </w:r>
      <w:proofErr w:type="gramEnd"/>
      <w:r w:rsidRPr="000C4F04">
        <w:rPr>
          <w:rStyle w:val="afe"/>
          <w:color w:val="000000" w:themeColor="text1"/>
        </w:rPr>
        <w:footnoteReference w:id="2"/>
      </w:r>
      <w:r w:rsidR="00184538" w:rsidRPr="000C4F04">
        <w:rPr>
          <w:rFonts w:hint="eastAsia"/>
          <w:color w:val="000000" w:themeColor="text1"/>
        </w:rPr>
        <w:t>。足見</w:t>
      </w:r>
      <w:proofErr w:type="gramStart"/>
      <w:r w:rsidR="00184538" w:rsidRPr="000C4F04">
        <w:rPr>
          <w:rFonts w:hint="eastAsia"/>
          <w:color w:val="000000" w:themeColor="text1"/>
        </w:rPr>
        <w:t>荖</w:t>
      </w:r>
      <w:proofErr w:type="gramEnd"/>
      <w:r w:rsidR="00184538" w:rsidRPr="000C4F04">
        <w:rPr>
          <w:rFonts w:hint="eastAsia"/>
          <w:color w:val="000000" w:themeColor="text1"/>
        </w:rPr>
        <w:t>葉之種植面積、產量及產值頗具規模，產值方面約略可估計為檳榔的二分之一左右。</w:t>
      </w:r>
    </w:p>
    <w:p w:rsidR="00184538" w:rsidRPr="000C4F04" w:rsidRDefault="00BC4AE9" w:rsidP="00BC4AE9">
      <w:pPr>
        <w:pStyle w:val="3"/>
        <w:rPr>
          <w:color w:val="000000" w:themeColor="text1"/>
        </w:rPr>
      </w:pPr>
      <w:r w:rsidRPr="000C4F04">
        <w:rPr>
          <w:rFonts w:hint="eastAsia"/>
          <w:color w:val="000000" w:themeColor="text1"/>
        </w:rPr>
        <w:t>有關檳榔農藥濫用問題，農委會刻正訂定檳榔田間生產管理規範，並預定修正農藥管理相關法規，如前述。而</w:t>
      </w:r>
      <w:r w:rsidR="00184538" w:rsidRPr="000C4F04">
        <w:rPr>
          <w:rFonts w:hint="eastAsia"/>
          <w:color w:val="000000" w:themeColor="text1"/>
        </w:rPr>
        <w:t>農委會</w:t>
      </w:r>
      <w:r w:rsidRPr="000C4F04">
        <w:rPr>
          <w:rFonts w:hint="eastAsia"/>
          <w:color w:val="000000" w:themeColor="text1"/>
        </w:rPr>
        <w:t>迄</w:t>
      </w:r>
      <w:r w:rsidR="00184538" w:rsidRPr="000C4F04">
        <w:rPr>
          <w:rFonts w:hint="eastAsia"/>
          <w:color w:val="000000" w:themeColor="text1"/>
        </w:rPr>
        <w:t>未訂定</w:t>
      </w:r>
      <w:proofErr w:type="gramStart"/>
      <w:r w:rsidR="00184538" w:rsidRPr="000C4F04">
        <w:rPr>
          <w:rFonts w:hint="eastAsia"/>
          <w:color w:val="000000" w:themeColor="text1"/>
        </w:rPr>
        <w:t>荖</w:t>
      </w:r>
      <w:proofErr w:type="gramEnd"/>
      <w:r w:rsidR="00184538" w:rsidRPr="000C4F04">
        <w:rPr>
          <w:rFonts w:hint="eastAsia"/>
          <w:color w:val="000000" w:themeColor="text1"/>
        </w:rPr>
        <w:t>葉之農藥使用規範，</w:t>
      </w:r>
      <w:r w:rsidRPr="000C4F04">
        <w:rPr>
          <w:rFonts w:hint="eastAsia"/>
          <w:color w:val="000000" w:themeColor="text1"/>
        </w:rPr>
        <w:t>雖</w:t>
      </w:r>
      <w:r w:rsidR="00911059" w:rsidRPr="000C4F04">
        <w:rPr>
          <w:rFonts w:hint="eastAsia"/>
          <w:color w:val="000000" w:themeColor="text1"/>
        </w:rPr>
        <w:t>訂有推薦用藥，惟不具法律效力，</w:t>
      </w:r>
      <w:proofErr w:type="gramStart"/>
      <w:r w:rsidR="00911059" w:rsidRPr="000C4F04">
        <w:rPr>
          <w:rFonts w:hint="eastAsia"/>
          <w:color w:val="000000" w:themeColor="text1"/>
        </w:rPr>
        <w:t>且食藥署</w:t>
      </w:r>
      <w:proofErr w:type="gramEnd"/>
      <w:r w:rsidR="00911059" w:rsidRPr="000C4F04">
        <w:rPr>
          <w:rFonts w:hint="eastAsia"/>
          <w:color w:val="000000" w:themeColor="text1"/>
        </w:rPr>
        <w:t>也未認定</w:t>
      </w:r>
      <w:proofErr w:type="gramStart"/>
      <w:r w:rsidR="00911059" w:rsidRPr="000C4F04">
        <w:rPr>
          <w:rFonts w:hint="eastAsia"/>
          <w:color w:val="000000" w:themeColor="text1"/>
        </w:rPr>
        <w:t>荖葉為</w:t>
      </w:r>
      <w:proofErr w:type="gramEnd"/>
      <w:r w:rsidR="00911059" w:rsidRPr="000C4F04">
        <w:rPr>
          <w:rFonts w:hint="eastAsia"/>
          <w:color w:val="000000" w:themeColor="text1"/>
        </w:rPr>
        <w:t>食品，故未有農藥殘留標準規定</w:t>
      </w:r>
      <w:r w:rsidR="00184538" w:rsidRPr="000C4F04">
        <w:rPr>
          <w:rFonts w:hint="eastAsia"/>
          <w:color w:val="000000" w:themeColor="text1"/>
        </w:rPr>
        <w:t>，</w:t>
      </w:r>
      <w:r w:rsidR="00911059" w:rsidRPr="000C4F04">
        <w:rPr>
          <w:rFonts w:hint="eastAsia"/>
          <w:color w:val="000000" w:themeColor="text1"/>
          <w:u w:val="single"/>
        </w:rPr>
        <w:t>因此</w:t>
      </w:r>
      <w:proofErr w:type="gramStart"/>
      <w:r w:rsidR="00911059" w:rsidRPr="000C4F04">
        <w:rPr>
          <w:rFonts w:hint="eastAsia"/>
          <w:color w:val="000000" w:themeColor="text1"/>
          <w:u w:val="single"/>
        </w:rPr>
        <w:t>荖</w:t>
      </w:r>
      <w:proofErr w:type="gramEnd"/>
      <w:r w:rsidR="00911059" w:rsidRPr="000C4F04">
        <w:rPr>
          <w:rFonts w:hint="eastAsia"/>
          <w:color w:val="000000" w:themeColor="text1"/>
          <w:u w:val="single"/>
        </w:rPr>
        <w:t>葉之農藥使用與殘留</w:t>
      </w:r>
      <w:r w:rsidR="005463D5" w:rsidRPr="000C4F04">
        <w:rPr>
          <w:rFonts w:hint="eastAsia"/>
          <w:color w:val="000000" w:themeColor="text1"/>
          <w:u w:val="single"/>
        </w:rPr>
        <w:t>標準</w:t>
      </w:r>
      <w:r w:rsidR="00911059" w:rsidRPr="000C4F04">
        <w:rPr>
          <w:rFonts w:hint="eastAsia"/>
          <w:color w:val="000000" w:themeColor="text1"/>
          <w:u w:val="single"/>
        </w:rPr>
        <w:t>迄未有法定規範</w:t>
      </w:r>
      <w:r w:rsidR="00911059" w:rsidRPr="000C4F04">
        <w:rPr>
          <w:rFonts w:hint="eastAsia"/>
          <w:color w:val="000000" w:themeColor="text1"/>
        </w:rPr>
        <w:t>。此問題防檢局</w:t>
      </w:r>
      <w:r w:rsidRPr="000C4F04">
        <w:rPr>
          <w:rFonts w:hint="eastAsia"/>
          <w:color w:val="000000" w:themeColor="text1"/>
        </w:rPr>
        <w:t>馮</w:t>
      </w:r>
      <w:r w:rsidR="00911059" w:rsidRPr="000C4F04">
        <w:rPr>
          <w:rFonts w:hint="eastAsia"/>
          <w:color w:val="000000" w:themeColor="text1"/>
        </w:rPr>
        <w:t>前局長表示略</w:t>
      </w:r>
      <w:proofErr w:type="gramStart"/>
      <w:r w:rsidR="00911059" w:rsidRPr="000C4F04">
        <w:rPr>
          <w:rFonts w:hint="eastAsia"/>
          <w:color w:val="000000" w:themeColor="text1"/>
        </w:rPr>
        <w:t>以</w:t>
      </w:r>
      <w:proofErr w:type="gramEnd"/>
      <w:r w:rsidR="00911059" w:rsidRPr="000C4F04">
        <w:rPr>
          <w:rFonts w:hint="eastAsia"/>
          <w:color w:val="000000" w:themeColor="text1"/>
        </w:rPr>
        <w:t>，東南亞是把</w:t>
      </w:r>
      <w:proofErr w:type="gramStart"/>
      <w:r w:rsidR="00911059" w:rsidRPr="000C4F04">
        <w:rPr>
          <w:rFonts w:hint="eastAsia"/>
          <w:color w:val="000000" w:themeColor="text1"/>
        </w:rPr>
        <w:t>荖</w:t>
      </w:r>
      <w:proofErr w:type="gramEnd"/>
      <w:r w:rsidR="00911059" w:rsidRPr="000C4F04">
        <w:rPr>
          <w:rFonts w:hint="eastAsia"/>
          <w:color w:val="000000" w:themeColor="text1"/>
        </w:rPr>
        <w:t>葉當作食品，但我國目前未然。</w:t>
      </w:r>
      <w:proofErr w:type="gramStart"/>
      <w:r w:rsidR="00911059" w:rsidRPr="000C4F04">
        <w:rPr>
          <w:rFonts w:hint="eastAsia"/>
          <w:color w:val="000000" w:themeColor="text1"/>
        </w:rPr>
        <w:t>食藥署蔡</w:t>
      </w:r>
      <w:proofErr w:type="gramEnd"/>
      <w:r w:rsidR="00911059" w:rsidRPr="000C4F04">
        <w:rPr>
          <w:rFonts w:hint="eastAsia"/>
          <w:color w:val="000000" w:themeColor="text1"/>
        </w:rPr>
        <w:t>組長回應：如果</w:t>
      </w:r>
      <w:proofErr w:type="gramStart"/>
      <w:r w:rsidR="00911059" w:rsidRPr="000C4F04">
        <w:rPr>
          <w:rFonts w:hint="eastAsia"/>
          <w:color w:val="000000" w:themeColor="text1"/>
        </w:rPr>
        <w:t>荖</w:t>
      </w:r>
      <w:proofErr w:type="gramEnd"/>
      <w:r w:rsidR="00911059" w:rsidRPr="000C4F04">
        <w:rPr>
          <w:rFonts w:hint="eastAsia"/>
          <w:color w:val="000000" w:themeColor="text1"/>
        </w:rPr>
        <w:t>葉要當作食品，係屬於非傳統可供食品用，須備有毒性安全試驗審查資料等語。顯見政府機關對於</w:t>
      </w:r>
      <w:proofErr w:type="gramStart"/>
      <w:r w:rsidR="00911059" w:rsidRPr="000C4F04">
        <w:rPr>
          <w:rFonts w:hint="eastAsia"/>
          <w:color w:val="000000" w:themeColor="text1"/>
        </w:rPr>
        <w:t>荖</w:t>
      </w:r>
      <w:proofErr w:type="gramEnd"/>
      <w:r w:rsidR="00911059" w:rsidRPr="000C4F04">
        <w:rPr>
          <w:rFonts w:hint="eastAsia"/>
          <w:color w:val="000000" w:themeColor="text1"/>
        </w:rPr>
        <w:t>葉之定位未明，</w:t>
      </w:r>
      <w:r w:rsidRPr="000C4F04">
        <w:rPr>
          <w:rFonts w:hint="eastAsia"/>
          <w:color w:val="000000" w:themeColor="text1"/>
        </w:rPr>
        <w:t>究</w:t>
      </w:r>
      <w:r w:rsidR="00911059" w:rsidRPr="000C4F04">
        <w:rPr>
          <w:rFonts w:hint="eastAsia"/>
          <w:color w:val="000000" w:themeColor="text1"/>
        </w:rPr>
        <w:t>屬於食品、中藥亦或調味劑等</w:t>
      </w:r>
      <w:r w:rsidRPr="000C4F04">
        <w:rPr>
          <w:rFonts w:hint="eastAsia"/>
          <w:color w:val="000000" w:themeColor="text1"/>
        </w:rPr>
        <w:t>，</w:t>
      </w:r>
      <w:r w:rsidR="00911059" w:rsidRPr="000C4F04">
        <w:rPr>
          <w:rFonts w:hint="eastAsia"/>
          <w:color w:val="000000" w:themeColor="text1"/>
        </w:rPr>
        <w:t>各有所主張，既然農委會已正視檳榔農藥殘留安全問題，對於同屬作物之</w:t>
      </w:r>
      <w:proofErr w:type="gramStart"/>
      <w:r w:rsidR="00911059" w:rsidRPr="000C4F04">
        <w:rPr>
          <w:rFonts w:hint="eastAsia"/>
          <w:color w:val="000000" w:themeColor="text1"/>
        </w:rPr>
        <w:t>荖葉</w:t>
      </w:r>
      <w:r w:rsidR="005463D5" w:rsidRPr="000C4F04">
        <w:rPr>
          <w:rFonts w:hint="eastAsia"/>
          <w:color w:val="000000" w:themeColor="text1"/>
        </w:rPr>
        <w:t>亦</w:t>
      </w:r>
      <w:proofErr w:type="gramEnd"/>
      <w:r w:rsidR="005463D5" w:rsidRPr="000C4F04">
        <w:rPr>
          <w:rFonts w:hint="eastAsia"/>
          <w:color w:val="000000" w:themeColor="text1"/>
        </w:rPr>
        <w:t>應等同重視，有待行政院督促農委會及</w:t>
      </w:r>
      <w:proofErr w:type="gramStart"/>
      <w:r w:rsidR="005463D5" w:rsidRPr="000C4F04">
        <w:rPr>
          <w:rFonts w:hint="eastAsia"/>
          <w:color w:val="000000" w:themeColor="text1"/>
        </w:rPr>
        <w:t>食藥署積極研</w:t>
      </w:r>
      <w:proofErr w:type="gramEnd"/>
      <w:r w:rsidR="005463D5" w:rsidRPr="000C4F04">
        <w:rPr>
          <w:rFonts w:hint="eastAsia"/>
          <w:color w:val="000000" w:themeColor="text1"/>
        </w:rPr>
        <w:t>議並妥擬管理規範。</w:t>
      </w:r>
    </w:p>
    <w:p w:rsidR="005463D5" w:rsidRPr="000C4F04" w:rsidRDefault="00B140F6" w:rsidP="006F5107">
      <w:pPr>
        <w:pStyle w:val="3"/>
        <w:rPr>
          <w:color w:val="000000" w:themeColor="text1"/>
        </w:rPr>
      </w:pPr>
      <w:r w:rsidRPr="000C4F04">
        <w:rPr>
          <w:rFonts w:hint="eastAsia"/>
          <w:color w:val="000000" w:themeColor="text1"/>
        </w:rPr>
        <w:t>基</w:t>
      </w:r>
      <w:r w:rsidR="005463D5" w:rsidRPr="000C4F04">
        <w:rPr>
          <w:rFonts w:hint="eastAsia"/>
          <w:color w:val="000000" w:themeColor="text1"/>
        </w:rPr>
        <w:t>上，我國</w:t>
      </w:r>
      <w:proofErr w:type="gramStart"/>
      <w:r w:rsidR="005463D5" w:rsidRPr="000C4F04">
        <w:rPr>
          <w:rFonts w:hint="eastAsia"/>
          <w:color w:val="000000" w:themeColor="text1"/>
        </w:rPr>
        <w:t>荖</w:t>
      </w:r>
      <w:proofErr w:type="gramEnd"/>
      <w:r w:rsidR="005463D5" w:rsidRPr="000C4F04">
        <w:rPr>
          <w:rFonts w:hint="eastAsia"/>
          <w:color w:val="000000" w:themeColor="text1"/>
        </w:rPr>
        <w:t>葉作物種植面積及產量頗具規模，</w:t>
      </w:r>
      <w:proofErr w:type="gramStart"/>
      <w:r w:rsidR="005463D5" w:rsidRPr="000C4F04">
        <w:rPr>
          <w:rFonts w:hint="eastAsia"/>
          <w:color w:val="000000" w:themeColor="text1"/>
        </w:rPr>
        <w:t>產值約估達</w:t>
      </w:r>
      <w:proofErr w:type="gramEnd"/>
      <w:r w:rsidR="005463D5" w:rsidRPr="000C4F04">
        <w:rPr>
          <w:rFonts w:hint="eastAsia"/>
          <w:color w:val="000000" w:themeColor="text1"/>
        </w:rPr>
        <w:t>40億至80億</w:t>
      </w:r>
      <w:proofErr w:type="gramStart"/>
      <w:r w:rsidR="005463D5" w:rsidRPr="000C4F04">
        <w:rPr>
          <w:rFonts w:hint="eastAsia"/>
          <w:color w:val="000000" w:themeColor="text1"/>
        </w:rPr>
        <w:t>之間，</w:t>
      </w:r>
      <w:proofErr w:type="gramEnd"/>
      <w:r w:rsidR="005463D5" w:rsidRPr="000C4F04">
        <w:rPr>
          <w:rFonts w:hint="eastAsia"/>
          <w:color w:val="000000" w:themeColor="text1"/>
        </w:rPr>
        <w:t>因其具有辛香味、辣味，檳榔愛好者常搭配</w:t>
      </w:r>
      <w:proofErr w:type="gramStart"/>
      <w:r w:rsidR="005463D5" w:rsidRPr="000C4F04">
        <w:rPr>
          <w:rFonts w:hint="eastAsia"/>
          <w:color w:val="000000" w:themeColor="text1"/>
        </w:rPr>
        <w:t>荖</w:t>
      </w:r>
      <w:proofErr w:type="gramEnd"/>
      <w:r w:rsidR="005463D5" w:rsidRPr="000C4F04">
        <w:rPr>
          <w:rFonts w:hint="eastAsia"/>
          <w:color w:val="000000" w:themeColor="text1"/>
        </w:rPr>
        <w:t>葉一起食用，惟政府機關對於</w:t>
      </w:r>
      <w:proofErr w:type="gramStart"/>
      <w:r w:rsidR="005463D5" w:rsidRPr="000C4F04">
        <w:rPr>
          <w:rFonts w:hint="eastAsia"/>
          <w:color w:val="000000" w:themeColor="text1"/>
        </w:rPr>
        <w:t>荖</w:t>
      </w:r>
      <w:proofErr w:type="gramEnd"/>
      <w:r w:rsidR="005463D5" w:rsidRPr="000C4F04">
        <w:rPr>
          <w:rFonts w:hint="eastAsia"/>
          <w:color w:val="000000" w:themeColor="text1"/>
        </w:rPr>
        <w:t>葉之定位未明，</w:t>
      </w:r>
      <w:proofErr w:type="gramStart"/>
      <w:r w:rsidR="005463D5" w:rsidRPr="000C4F04">
        <w:rPr>
          <w:rFonts w:hint="eastAsia"/>
          <w:color w:val="000000" w:themeColor="text1"/>
        </w:rPr>
        <w:t>故迄未</w:t>
      </w:r>
      <w:proofErr w:type="gramEnd"/>
      <w:r w:rsidR="005463D5" w:rsidRPr="000C4F04">
        <w:rPr>
          <w:rFonts w:hint="eastAsia"/>
          <w:color w:val="000000" w:themeColor="text1"/>
        </w:rPr>
        <w:t>有農藥使用與殘留標準法定規範，</w:t>
      </w:r>
      <w:r w:rsidR="00AF4D4E" w:rsidRPr="000C4F04">
        <w:rPr>
          <w:rFonts w:hint="eastAsia"/>
          <w:color w:val="000000" w:themeColor="text1"/>
        </w:rPr>
        <w:t>亟待行政院正視並督促農委會及</w:t>
      </w:r>
      <w:proofErr w:type="gramStart"/>
      <w:r w:rsidR="00AF4D4E" w:rsidRPr="000C4F04">
        <w:rPr>
          <w:rFonts w:hint="eastAsia"/>
          <w:color w:val="000000" w:themeColor="text1"/>
        </w:rPr>
        <w:t>食藥署積極研</w:t>
      </w:r>
      <w:proofErr w:type="gramEnd"/>
      <w:r w:rsidR="00AF4D4E" w:rsidRPr="000C4F04">
        <w:rPr>
          <w:rFonts w:hint="eastAsia"/>
          <w:color w:val="000000" w:themeColor="text1"/>
        </w:rPr>
        <w:t>議並妥擬管理規範。</w:t>
      </w:r>
    </w:p>
    <w:p w:rsidR="0095046E" w:rsidRPr="000C4F04" w:rsidRDefault="0095046E" w:rsidP="00264C63">
      <w:pPr>
        <w:pStyle w:val="2"/>
        <w:ind w:leftChars="101" w:left="1025"/>
        <w:rPr>
          <w:b/>
          <w:color w:val="000000" w:themeColor="text1"/>
        </w:rPr>
      </w:pPr>
      <w:r w:rsidRPr="000C4F04">
        <w:rPr>
          <w:rFonts w:hint="eastAsia"/>
          <w:b/>
          <w:color w:val="000000" w:themeColor="text1"/>
        </w:rPr>
        <w:t>農委會</w:t>
      </w:r>
      <w:proofErr w:type="gramStart"/>
      <w:r w:rsidRPr="000C4F04">
        <w:rPr>
          <w:rFonts w:hint="eastAsia"/>
          <w:b/>
          <w:color w:val="000000" w:themeColor="text1"/>
        </w:rPr>
        <w:t>雖刻正研</w:t>
      </w:r>
      <w:proofErr w:type="gramEnd"/>
      <w:r w:rsidRPr="000C4F04">
        <w:rPr>
          <w:rFonts w:hint="eastAsia"/>
          <w:b/>
          <w:color w:val="000000" w:themeColor="text1"/>
        </w:rPr>
        <w:t>擬修正農藥使用管理規範，明文規定檳榔農藥使用類別與劑量，惟此「農藥」方面之管理面向仍屬有限，</w:t>
      </w:r>
      <w:proofErr w:type="gramStart"/>
      <w:r w:rsidRPr="000C4F04">
        <w:rPr>
          <w:rFonts w:hint="eastAsia"/>
          <w:b/>
          <w:color w:val="000000" w:themeColor="text1"/>
        </w:rPr>
        <w:t>鑑</w:t>
      </w:r>
      <w:proofErr w:type="gramEnd"/>
      <w:r w:rsidRPr="000C4F04">
        <w:rPr>
          <w:rFonts w:hint="eastAsia"/>
          <w:b/>
          <w:color w:val="000000" w:themeColor="text1"/>
        </w:rPr>
        <w:t>於</w:t>
      </w:r>
      <w:r w:rsidRPr="000C4F04">
        <w:rPr>
          <w:b/>
          <w:color w:val="000000" w:themeColor="text1"/>
        </w:rPr>
        <w:t>IARC</w:t>
      </w:r>
      <w:r w:rsidRPr="000C4F04">
        <w:rPr>
          <w:rFonts w:hint="eastAsia"/>
          <w:b/>
          <w:color w:val="000000" w:themeColor="text1"/>
        </w:rPr>
        <w:t>早已發布「</w:t>
      </w:r>
      <w:proofErr w:type="gramStart"/>
      <w:r w:rsidRPr="000C4F04">
        <w:rPr>
          <w:rFonts w:hint="eastAsia"/>
          <w:b/>
          <w:color w:val="000000" w:themeColor="text1"/>
        </w:rPr>
        <w:t>檳榔子屬第一</w:t>
      </w:r>
      <w:proofErr w:type="gramEnd"/>
      <w:r w:rsidRPr="000C4F04">
        <w:rPr>
          <w:rFonts w:hint="eastAsia"/>
          <w:b/>
          <w:color w:val="000000" w:themeColor="text1"/>
        </w:rPr>
        <w:t>類</w:t>
      </w:r>
      <w:r w:rsidRPr="000C4F04">
        <w:rPr>
          <w:rFonts w:hint="eastAsia"/>
          <w:b/>
          <w:color w:val="000000" w:themeColor="text1"/>
        </w:rPr>
        <w:lastRenderedPageBreak/>
        <w:t>致癌物」警訊，</w:t>
      </w:r>
      <w:proofErr w:type="gramStart"/>
      <w:r w:rsidR="008E1F6A" w:rsidRPr="000C4F04">
        <w:rPr>
          <w:rFonts w:hint="eastAsia"/>
          <w:b/>
          <w:color w:val="000000" w:themeColor="text1"/>
        </w:rPr>
        <w:t>衛福部</w:t>
      </w:r>
      <w:proofErr w:type="gramEnd"/>
      <w:r w:rsidR="008E1F6A" w:rsidRPr="000C4F04">
        <w:rPr>
          <w:rFonts w:hint="eastAsia"/>
          <w:b/>
          <w:color w:val="000000" w:themeColor="text1"/>
        </w:rPr>
        <w:t>認為不宜將檳榔納入食品安全衛生管理法管轄，然國人迄今仍有相當民眾食用檳榔，</w:t>
      </w:r>
      <w:proofErr w:type="gramStart"/>
      <w:r w:rsidR="008E1F6A" w:rsidRPr="000C4F04">
        <w:rPr>
          <w:rFonts w:hint="eastAsia"/>
          <w:b/>
          <w:color w:val="000000" w:themeColor="text1"/>
        </w:rPr>
        <w:t>爰</w:t>
      </w:r>
      <w:proofErr w:type="gramEnd"/>
      <w:r w:rsidRPr="000C4F04">
        <w:rPr>
          <w:rFonts w:hint="eastAsia"/>
          <w:b/>
          <w:color w:val="000000" w:themeColor="text1"/>
        </w:rPr>
        <w:t>對於檳榔致癌風險防制、低齡</w:t>
      </w:r>
      <w:r w:rsidR="00BC4AE9" w:rsidRPr="000C4F04">
        <w:rPr>
          <w:rFonts w:hint="eastAsia"/>
          <w:b/>
          <w:color w:val="000000" w:themeColor="text1"/>
        </w:rPr>
        <w:t>購買與</w:t>
      </w:r>
      <w:r w:rsidRPr="000C4F04">
        <w:rPr>
          <w:rFonts w:hint="eastAsia"/>
          <w:b/>
          <w:color w:val="000000" w:themeColor="text1"/>
        </w:rPr>
        <w:t>嚼檳榔現象、</w:t>
      </w:r>
      <w:proofErr w:type="gramStart"/>
      <w:r w:rsidRPr="000C4F04">
        <w:rPr>
          <w:rFonts w:hint="eastAsia"/>
          <w:b/>
          <w:color w:val="000000" w:themeColor="text1"/>
        </w:rPr>
        <w:t>荖</w:t>
      </w:r>
      <w:proofErr w:type="gramEnd"/>
      <w:r w:rsidRPr="000C4F04">
        <w:rPr>
          <w:rFonts w:hint="eastAsia"/>
          <w:b/>
          <w:color w:val="000000" w:themeColor="text1"/>
        </w:rPr>
        <w:t>葉與紅白灰食用安全，以及</w:t>
      </w:r>
      <w:r w:rsidR="003D2C5F" w:rsidRPr="000C4F04">
        <w:rPr>
          <w:rFonts w:hint="eastAsia"/>
          <w:b/>
          <w:color w:val="000000" w:themeColor="text1"/>
        </w:rPr>
        <w:t>種植過程對</w:t>
      </w:r>
      <w:r w:rsidRPr="000C4F04">
        <w:rPr>
          <w:rFonts w:hint="eastAsia"/>
          <w:b/>
          <w:color w:val="000000" w:themeColor="text1"/>
        </w:rPr>
        <w:t>生態環境影響等問題，行政院允宜</w:t>
      </w:r>
      <w:r w:rsidR="00BC4AE9" w:rsidRPr="000C4F04">
        <w:rPr>
          <w:rFonts w:hint="eastAsia"/>
          <w:b/>
          <w:color w:val="000000" w:themeColor="text1"/>
        </w:rPr>
        <w:t>協調及</w:t>
      </w:r>
      <w:r w:rsidRPr="000C4F04">
        <w:rPr>
          <w:rFonts w:hint="eastAsia"/>
          <w:b/>
          <w:color w:val="000000" w:themeColor="text1"/>
        </w:rPr>
        <w:t>督促所屬</w:t>
      </w:r>
      <w:proofErr w:type="gramStart"/>
      <w:r w:rsidR="008E1F6A" w:rsidRPr="000C4F04">
        <w:rPr>
          <w:rFonts w:hint="eastAsia"/>
          <w:b/>
          <w:color w:val="000000" w:themeColor="text1"/>
        </w:rPr>
        <w:t>研擬專</w:t>
      </w:r>
      <w:proofErr w:type="gramEnd"/>
      <w:r w:rsidR="008E1F6A" w:rsidRPr="000C4F04">
        <w:rPr>
          <w:rFonts w:hint="eastAsia"/>
          <w:b/>
          <w:color w:val="000000" w:themeColor="text1"/>
        </w:rPr>
        <w:t>法</w:t>
      </w:r>
      <w:r w:rsidRPr="000C4F04">
        <w:rPr>
          <w:rFonts w:hint="eastAsia"/>
          <w:b/>
          <w:color w:val="000000" w:themeColor="text1"/>
        </w:rPr>
        <w:t>管理，並宜就勞動條件、社交文化等造成嚼檳</w:t>
      </w:r>
      <w:r w:rsidR="00B140F6" w:rsidRPr="000C4F04">
        <w:rPr>
          <w:rFonts w:hint="eastAsia"/>
          <w:b/>
          <w:color w:val="000000" w:themeColor="text1"/>
        </w:rPr>
        <w:t>榔</w:t>
      </w:r>
      <w:r w:rsidRPr="000C4F04">
        <w:rPr>
          <w:rFonts w:hint="eastAsia"/>
          <w:b/>
          <w:color w:val="000000" w:themeColor="text1"/>
        </w:rPr>
        <w:t>的社會結構因素，</w:t>
      </w:r>
      <w:r w:rsidR="008E1F6A" w:rsidRPr="000C4F04">
        <w:rPr>
          <w:rFonts w:hint="eastAsia"/>
          <w:b/>
          <w:color w:val="000000" w:themeColor="text1"/>
        </w:rPr>
        <w:t>進行系統性研究瞭解</w:t>
      </w:r>
      <w:r w:rsidRPr="000C4F04">
        <w:rPr>
          <w:rFonts w:hint="eastAsia"/>
          <w:b/>
          <w:color w:val="000000" w:themeColor="text1"/>
        </w:rPr>
        <w:t>，以和諧推動檳榔防制</w:t>
      </w:r>
      <w:r w:rsidR="00B140F6" w:rsidRPr="000C4F04">
        <w:rPr>
          <w:rFonts w:hint="eastAsia"/>
          <w:b/>
          <w:color w:val="000000" w:themeColor="text1"/>
        </w:rPr>
        <w:t>政策</w:t>
      </w:r>
      <w:r w:rsidRPr="000C4F04">
        <w:rPr>
          <w:rFonts w:hint="eastAsia"/>
          <w:b/>
          <w:color w:val="000000" w:themeColor="text1"/>
        </w:rPr>
        <w:t>。</w:t>
      </w:r>
    </w:p>
    <w:p w:rsidR="00AF4D4E" w:rsidRPr="000C4F04" w:rsidRDefault="008E2C42" w:rsidP="008E2C42">
      <w:pPr>
        <w:pStyle w:val="3"/>
        <w:rPr>
          <w:color w:val="000000" w:themeColor="text1"/>
        </w:rPr>
      </w:pPr>
      <w:proofErr w:type="gramStart"/>
      <w:r w:rsidRPr="000C4F04">
        <w:rPr>
          <w:rFonts w:hint="eastAsia"/>
          <w:color w:val="000000" w:themeColor="text1"/>
        </w:rPr>
        <w:t>據衛福部國民健康署</w:t>
      </w:r>
      <w:proofErr w:type="gramEnd"/>
      <w:r w:rsidRPr="000C4F04">
        <w:rPr>
          <w:rFonts w:hint="eastAsia"/>
          <w:color w:val="000000" w:themeColor="text1"/>
        </w:rPr>
        <w:t>指出，有關檳榔對健康之危害，</w:t>
      </w:r>
      <w:r w:rsidRPr="000C4F04">
        <w:rPr>
          <w:color w:val="000000" w:themeColor="text1"/>
        </w:rPr>
        <w:t xml:space="preserve"> IARC</w:t>
      </w:r>
      <w:r w:rsidRPr="000C4F04">
        <w:rPr>
          <w:rFonts w:hint="eastAsia"/>
          <w:color w:val="000000" w:themeColor="text1"/>
        </w:rPr>
        <w:t>早在1987年即綜合各國研究結果，認定「</w:t>
      </w:r>
      <w:proofErr w:type="gramStart"/>
      <w:r w:rsidRPr="000C4F04">
        <w:rPr>
          <w:rFonts w:hint="eastAsia"/>
          <w:color w:val="000000" w:themeColor="text1"/>
        </w:rPr>
        <w:t>嚼食含菸草</w:t>
      </w:r>
      <w:proofErr w:type="gramEnd"/>
      <w:r w:rsidRPr="000C4F04">
        <w:rPr>
          <w:rFonts w:hint="eastAsia"/>
          <w:color w:val="000000" w:themeColor="text1"/>
        </w:rPr>
        <w:t>的檳榔」或「同時有吸菸與檳榔習慣」對人類有致癌性，致癌部位主要在口腔、</w:t>
      </w:r>
      <w:proofErr w:type="gramStart"/>
      <w:r w:rsidRPr="000C4F04">
        <w:rPr>
          <w:rFonts w:hint="eastAsia"/>
          <w:color w:val="000000" w:themeColor="text1"/>
        </w:rPr>
        <w:t>咽及食道</w:t>
      </w:r>
      <w:proofErr w:type="gramEnd"/>
      <w:r w:rsidRPr="000C4F04">
        <w:rPr>
          <w:rFonts w:hint="eastAsia"/>
          <w:color w:val="000000" w:themeColor="text1"/>
        </w:rPr>
        <w:t>。</w:t>
      </w:r>
      <w:r w:rsidR="00BC4AE9" w:rsidRPr="000C4F04">
        <w:rPr>
          <w:rFonts w:hint="eastAsia"/>
          <w:color w:val="000000" w:themeColor="text1"/>
        </w:rPr>
        <w:t>西元</w:t>
      </w:r>
      <w:r w:rsidRPr="000C4F04">
        <w:rPr>
          <w:rFonts w:hint="eastAsia"/>
          <w:color w:val="000000" w:themeColor="text1"/>
        </w:rPr>
        <w:t>2003年，IARC又邀集全世界7個國家16個學者組成工作小組，針對檳榔嚼塊、檳榔子（單獨果實本身）和檳榔含有的</w:t>
      </w:r>
      <w:proofErr w:type="gramStart"/>
      <w:r w:rsidRPr="000C4F04">
        <w:rPr>
          <w:rFonts w:hint="eastAsia"/>
          <w:color w:val="000000" w:themeColor="text1"/>
        </w:rPr>
        <w:t>一些亞硝</w:t>
      </w:r>
      <w:proofErr w:type="gramEnd"/>
      <w:r w:rsidRPr="000C4F04">
        <w:rPr>
          <w:rFonts w:hint="eastAsia"/>
          <w:color w:val="000000" w:themeColor="text1"/>
        </w:rPr>
        <w:t>基胺的致癌性重新予以評議，作了「</w:t>
      </w:r>
      <w:proofErr w:type="gramStart"/>
      <w:r w:rsidRPr="000C4F04">
        <w:rPr>
          <w:rFonts w:hint="eastAsia"/>
          <w:color w:val="000000" w:themeColor="text1"/>
        </w:rPr>
        <w:t>檳榔子屬第一</w:t>
      </w:r>
      <w:proofErr w:type="gramEnd"/>
      <w:r w:rsidRPr="000C4F04">
        <w:rPr>
          <w:rFonts w:hint="eastAsia"/>
          <w:color w:val="000000" w:themeColor="text1"/>
        </w:rPr>
        <w:t>類致癌物」（即對人類有致癌性）的結論</w:t>
      </w:r>
      <w:r w:rsidRPr="000C4F04">
        <w:rPr>
          <w:rStyle w:val="afe"/>
          <w:rFonts w:hAnsi="標楷體" w:cs="Helvetica"/>
          <w:color w:val="000000" w:themeColor="text1"/>
          <w:szCs w:val="32"/>
        </w:rPr>
        <w:footnoteReference w:id="3"/>
      </w:r>
      <w:r w:rsidRPr="000C4F04">
        <w:rPr>
          <w:rFonts w:ascii="Helvetica" w:hAnsi="Helvetica" w:cs="Helvetica" w:hint="eastAsia"/>
          <w:color w:val="000000" w:themeColor="text1"/>
          <w:szCs w:val="32"/>
        </w:rPr>
        <w:t>。</w:t>
      </w:r>
    </w:p>
    <w:p w:rsidR="008E2C42" w:rsidRPr="000C4F04" w:rsidRDefault="008E2C42" w:rsidP="009E06A7">
      <w:pPr>
        <w:pStyle w:val="3"/>
        <w:rPr>
          <w:color w:val="000000" w:themeColor="text1"/>
        </w:rPr>
      </w:pPr>
      <w:r w:rsidRPr="000C4F04">
        <w:rPr>
          <w:rFonts w:hint="eastAsia"/>
          <w:color w:val="000000" w:themeColor="text1"/>
        </w:rPr>
        <w:t>基於上述檳榔對人體健康之危害，行政院於</w:t>
      </w:r>
      <w:r w:rsidR="009E06A7" w:rsidRPr="000C4F04">
        <w:rPr>
          <w:rFonts w:hint="eastAsia"/>
          <w:color w:val="000000" w:themeColor="text1"/>
        </w:rPr>
        <w:t>101年3月30日召開審查「食品衛生管理法」修正草案第3次會議，會議審查結論二(</w:t>
      </w:r>
      <w:proofErr w:type="gramStart"/>
      <w:r w:rsidR="009E06A7" w:rsidRPr="000C4F04">
        <w:rPr>
          <w:rFonts w:hint="eastAsia"/>
          <w:color w:val="000000" w:themeColor="text1"/>
        </w:rPr>
        <w:t>一</w:t>
      </w:r>
      <w:proofErr w:type="gramEnd"/>
      <w:r w:rsidR="009E06A7" w:rsidRPr="000C4F04">
        <w:rPr>
          <w:rFonts w:hint="eastAsia"/>
          <w:color w:val="000000" w:themeColor="text1"/>
        </w:rPr>
        <w:t>)：「菸酒已有菸酒管理法、</w:t>
      </w:r>
      <w:proofErr w:type="gramStart"/>
      <w:r w:rsidR="009E06A7" w:rsidRPr="000C4F04">
        <w:rPr>
          <w:rFonts w:hint="eastAsia"/>
          <w:color w:val="000000" w:themeColor="text1"/>
        </w:rPr>
        <w:t>菸</w:t>
      </w:r>
      <w:proofErr w:type="gramEnd"/>
      <w:r w:rsidR="009E06A7" w:rsidRPr="000C4F04">
        <w:rPr>
          <w:rFonts w:hint="eastAsia"/>
          <w:color w:val="000000" w:themeColor="text1"/>
        </w:rPr>
        <w:t>害防制法可予管理，</w:t>
      </w:r>
      <w:r w:rsidR="009E06A7" w:rsidRPr="000C4F04">
        <w:rPr>
          <w:rFonts w:hint="eastAsia"/>
          <w:color w:val="000000" w:themeColor="text1"/>
          <w:u w:val="single"/>
        </w:rPr>
        <w:t>檳榔尚無專法管理</w:t>
      </w:r>
      <w:r w:rsidR="009E06A7" w:rsidRPr="000C4F04">
        <w:rPr>
          <w:rFonts w:hint="eastAsia"/>
          <w:color w:val="000000" w:themeColor="text1"/>
        </w:rPr>
        <w:t>，惟衛生署(現</w:t>
      </w:r>
      <w:proofErr w:type="gramStart"/>
      <w:r w:rsidR="009E06A7" w:rsidRPr="000C4F04">
        <w:rPr>
          <w:rFonts w:hint="eastAsia"/>
          <w:color w:val="000000" w:themeColor="text1"/>
        </w:rPr>
        <w:t>為衛福部</w:t>
      </w:r>
      <w:proofErr w:type="gramEnd"/>
      <w:r w:rsidR="009E06A7" w:rsidRPr="000C4F04">
        <w:rPr>
          <w:rFonts w:hint="eastAsia"/>
          <w:color w:val="000000" w:themeColor="text1"/>
        </w:rPr>
        <w:t>)表示基於維護國人健康之立場，不鼓勵民眾使用該等產品(菸酒及檳榔)，亦不應針對該等產品訂定相關衛生標準，請財政部、農委會等機關強化相關法制、政策及措施，又檳榔對國人口腔癌影響甚</w:t>
      </w:r>
      <w:proofErr w:type="gramStart"/>
      <w:r w:rsidR="009E06A7" w:rsidRPr="000C4F04">
        <w:rPr>
          <w:rFonts w:hint="eastAsia"/>
          <w:color w:val="000000" w:themeColor="text1"/>
        </w:rPr>
        <w:t>鉅</w:t>
      </w:r>
      <w:proofErr w:type="gramEnd"/>
      <w:r w:rsidR="009E06A7" w:rsidRPr="000C4F04">
        <w:rPr>
          <w:rFonts w:hint="eastAsia"/>
          <w:color w:val="000000" w:themeColor="text1"/>
        </w:rPr>
        <w:t>，本院</w:t>
      </w:r>
      <w:r w:rsidR="0069421E" w:rsidRPr="000C4F04">
        <w:rPr>
          <w:rFonts w:hint="eastAsia"/>
          <w:color w:val="000000" w:themeColor="text1"/>
        </w:rPr>
        <w:t>(指行政院)</w:t>
      </w:r>
      <w:r w:rsidR="009E06A7" w:rsidRPr="000C4F04">
        <w:rPr>
          <w:rFonts w:hint="eastAsia"/>
          <w:color w:val="000000" w:themeColor="text1"/>
        </w:rPr>
        <w:t>癌症防治會報已有檳榔危害防治等專題討論議題，後續相關管</w:t>
      </w:r>
      <w:r w:rsidR="009E06A7" w:rsidRPr="000C4F04">
        <w:rPr>
          <w:rFonts w:hint="eastAsia"/>
          <w:color w:val="000000" w:themeColor="text1"/>
        </w:rPr>
        <w:lastRenderedPageBreak/>
        <w:t>理機制請持續提報中央癌症防治會報討論」。</w:t>
      </w:r>
    </w:p>
    <w:p w:rsidR="002912BE" w:rsidRPr="000C4F04" w:rsidRDefault="009E06A7" w:rsidP="002912BE">
      <w:pPr>
        <w:pStyle w:val="3"/>
        <w:rPr>
          <w:color w:val="000000" w:themeColor="text1"/>
        </w:rPr>
      </w:pPr>
      <w:r w:rsidRPr="000C4F04">
        <w:rPr>
          <w:rFonts w:hint="eastAsia"/>
          <w:color w:val="000000" w:themeColor="text1"/>
        </w:rPr>
        <w:t>查行政院續於104年7月23日(第11次)、105年9月19日(第12次)、106年11月12日(第13次)及107年11月16日(第14次)召開「中央癌症防治會報」共4次會議討論檳榔管理議題，主要決議為</w:t>
      </w:r>
      <w:proofErr w:type="gramStart"/>
      <w:r w:rsidRPr="000C4F04">
        <w:rPr>
          <w:rFonts w:hint="eastAsia"/>
          <w:color w:val="000000" w:themeColor="text1"/>
        </w:rPr>
        <w:t>請衛福部加強菸檳酒防</w:t>
      </w:r>
      <w:proofErr w:type="gramEnd"/>
      <w:r w:rsidRPr="000C4F04">
        <w:rPr>
          <w:rFonts w:hint="eastAsia"/>
          <w:color w:val="000000" w:themeColor="text1"/>
        </w:rPr>
        <w:t>制衛教宣導，農委會輔導檳榔園之廢園及轉作。</w:t>
      </w:r>
      <w:r w:rsidR="0069421E" w:rsidRPr="000C4F04">
        <w:rPr>
          <w:rFonts w:hint="eastAsia"/>
          <w:color w:val="000000" w:themeColor="text1"/>
        </w:rPr>
        <w:t>其中第14次會議指示，就檳榔源頭管制持續追蹤，未來防制方向為減少檳榔種植面積、持續衛教宣導以減少嚼檳榔人口、掌握嚼檳榔人口及每人嚼檳榔數量</w:t>
      </w:r>
      <w:r w:rsidR="00F30AB2" w:rsidRPr="000C4F04">
        <w:rPr>
          <w:rFonts w:hint="eastAsia"/>
          <w:color w:val="000000" w:themeColor="text1"/>
        </w:rPr>
        <w:t>等。</w:t>
      </w:r>
      <w:r w:rsidR="002769EB" w:rsidRPr="000C4F04">
        <w:rPr>
          <w:rFonts w:hint="eastAsia"/>
          <w:color w:val="000000" w:themeColor="text1"/>
        </w:rPr>
        <w:t>農委會另於108年7月8</w:t>
      </w:r>
      <w:r w:rsidR="00BC4AE9" w:rsidRPr="000C4F04">
        <w:rPr>
          <w:rFonts w:hint="eastAsia"/>
          <w:color w:val="000000" w:themeColor="text1"/>
        </w:rPr>
        <w:t>日邀集行政院食品安全辦公室、</w:t>
      </w:r>
      <w:proofErr w:type="gramStart"/>
      <w:r w:rsidR="00BC4AE9" w:rsidRPr="000C4F04">
        <w:rPr>
          <w:rFonts w:hint="eastAsia"/>
          <w:color w:val="000000" w:themeColor="text1"/>
        </w:rPr>
        <w:t>食藥署</w:t>
      </w:r>
      <w:proofErr w:type="gramEnd"/>
      <w:r w:rsidR="00BC4AE9" w:rsidRPr="000C4F04">
        <w:rPr>
          <w:rFonts w:hint="eastAsia"/>
          <w:color w:val="000000" w:themeColor="text1"/>
        </w:rPr>
        <w:t>等</w:t>
      </w:r>
      <w:r w:rsidR="002769EB" w:rsidRPr="000C4F04">
        <w:rPr>
          <w:rFonts w:hint="eastAsia"/>
          <w:color w:val="000000" w:themeColor="text1"/>
        </w:rPr>
        <w:t>召開跨部會檳榔安全管理</w:t>
      </w:r>
      <w:proofErr w:type="gramStart"/>
      <w:r w:rsidR="002769EB" w:rsidRPr="000C4F04">
        <w:rPr>
          <w:rFonts w:hint="eastAsia"/>
          <w:color w:val="000000" w:themeColor="text1"/>
        </w:rPr>
        <w:t>研</w:t>
      </w:r>
      <w:proofErr w:type="gramEnd"/>
      <w:r w:rsidR="002769EB" w:rsidRPr="000C4F04">
        <w:rPr>
          <w:rFonts w:hint="eastAsia"/>
          <w:color w:val="000000" w:themeColor="text1"/>
        </w:rPr>
        <w:t>商會議並決議：建請行政院政務委員召開跨部會會議，</w:t>
      </w:r>
      <w:proofErr w:type="gramStart"/>
      <w:r w:rsidR="002769EB" w:rsidRPr="000C4F04">
        <w:rPr>
          <w:rFonts w:hint="eastAsia"/>
          <w:color w:val="000000" w:themeColor="text1"/>
        </w:rPr>
        <w:t>研</w:t>
      </w:r>
      <w:proofErr w:type="gramEnd"/>
      <w:r w:rsidR="002769EB" w:rsidRPr="000C4F04">
        <w:rPr>
          <w:rFonts w:hint="eastAsia"/>
          <w:color w:val="000000" w:themeColor="text1"/>
        </w:rPr>
        <w:t>商參照</w:t>
      </w:r>
      <w:proofErr w:type="gramStart"/>
      <w:r w:rsidR="002769EB" w:rsidRPr="000C4F04">
        <w:rPr>
          <w:rFonts w:hint="eastAsia"/>
          <w:color w:val="000000" w:themeColor="text1"/>
        </w:rPr>
        <w:t>菸</w:t>
      </w:r>
      <w:proofErr w:type="gramEnd"/>
      <w:r w:rsidR="002769EB" w:rsidRPr="000C4F04">
        <w:rPr>
          <w:rFonts w:hint="eastAsia"/>
          <w:color w:val="000000" w:themeColor="text1"/>
        </w:rPr>
        <w:t>害防制法，</w:t>
      </w:r>
      <w:r w:rsidR="00C262DC" w:rsidRPr="000C4F04">
        <w:rPr>
          <w:rFonts w:hint="eastAsia"/>
          <w:color w:val="000000" w:themeColor="text1"/>
        </w:rPr>
        <w:t>制</w:t>
      </w:r>
      <w:r w:rsidR="002769EB" w:rsidRPr="000C4F04">
        <w:rPr>
          <w:rFonts w:hint="eastAsia"/>
          <w:color w:val="000000" w:themeColor="text1"/>
        </w:rPr>
        <w:t>定檳榔防制管理條例，以降低國人食用檳榔導致</w:t>
      </w:r>
      <w:proofErr w:type="gramStart"/>
      <w:r w:rsidR="002769EB" w:rsidRPr="000C4F04">
        <w:rPr>
          <w:rFonts w:hint="eastAsia"/>
          <w:color w:val="000000" w:themeColor="text1"/>
        </w:rPr>
        <w:t>罹</w:t>
      </w:r>
      <w:proofErr w:type="gramEnd"/>
      <w:r w:rsidR="002769EB" w:rsidRPr="000C4F04">
        <w:rPr>
          <w:rFonts w:hint="eastAsia"/>
          <w:color w:val="000000" w:themeColor="text1"/>
        </w:rPr>
        <w:t>癌之風險。由上可</w:t>
      </w:r>
      <w:proofErr w:type="gramStart"/>
      <w:r w:rsidR="002769EB" w:rsidRPr="000C4F04">
        <w:rPr>
          <w:rFonts w:hint="eastAsia"/>
          <w:color w:val="000000" w:themeColor="text1"/>
        </w:rPr>
        <w:t>徵</w:t>
      </w:r>
      <w:proofErr w:type="gramEnd"/>
      <w:r w:rsidR="002769EB" w:rsidRPr="000C4F04">
        <w:rPr>
          <w:rFonts w:hint="eastAsia"/>
          <w:color w:val="000000" w:themeColor="text1"/>
        </w:rPr>
        <w:t>，行政院已多次於「中央癌症防治會報」討論檳榔管理問題，惟決議多為</w:t>
      </w:r>
      <w:proofErr w:type="gramStart"/>
      <w:r w:rsidR="002769EB" w:rsidRPr="000C4F04">
        <w:rPr>
          <w:rFonts w:hint="eastAsia"/>
          <w:color w:val="000000" w:themeColor="text1"/>
        </w:rPr>
        <w:t>請衛福部國民健康署</w:t>
      </w:r>
      <w:proofErr w:type="gramEnd"/>
      <w:r w:rsidR="002769EB" w:rsidRPr="000C4F04">
        <w:rPr>
          <w:rFonts w:hint="eastAsia"/>
          <w:color w:val="000000" w:themeColor="text1"/>
        </w:rPr>
        <w:t>及農委會分別本於職權辦理檳榔</w:t>
      </w:r>
      <w:r w:rsidR="00BC4AE9" w:rsidRPr="000C4F04">
        <w:rPr>
          <w:rFonts w:hint="eastAsia"/>
          <w:color w:val="000000" w:themeColor="text1"/>
        </w:rPr>
        <w:t>衛教</w:t>
      </w:r>
      <w:r w:rsidR="002769EB" w:rsidRPr="000C4F04">
        <w:rPr>
          <w:rFonts w:hint="eastAsia"/>
          <w:color w:val="000000" w:themeColor="text1"/>
        </w:rPr>
        <w:t>宣導及</w:t>
      </w:r>
      <w:proofErr w:type="gramStart"/>
      <w:r w:rsidR="00843091" w:rsidRPr="000C4F04">
        <w:rPr>
          <w:rFonts w:hint="eastAsia"/>
          <w:color w:val="000000" w:themeColor="text1"/>
        </w:rPr>
        <w:t>檳榔園廢園</w:t>
      </w:r>
      <w:proofErr w:type="gramEnd"/>
      <w:r w:rsidR="00843091" w:rsidRPr="000C4F04">
        <w:rPr>
          <w:rFonts w:hint="eastAsia"/>
          <w:color w:val="000000" w:themeColor="text1"/>
        </w:rPr>
        <w:t>與轉作工作，惟在檳榔年產值高達百億元之現況下，廢園與轉作成效顯難以突破，又</w:t>
      </w:r>
      <w:proofErr w:type="gramStart"/>
      <w:r w:rsidR="00843091" w:rsidRPr="000C4F04">
        <w:rPr>
          <w:rFonts w:hint="eastAsia"/>
          <w:color w:val="000000" w:themeColor="text1"/>
        </w:rPr>
        <w:t>農委會雖刻正</w:t>
      </w:r>
      <w:proofErr w:type="gramEnd"/>
      <w:r w:rsidR="00843091" w:rsidRPr="000C4F04">
        <w:rPr>
          <w:rFonts w:hint="eastAsia"/>
          <w:color w:val="000000" w:themeColor="text1"/>
        </w:rPr>
        <w:t>辦理檳榔田間生產管理規範，並預定修正農藥使用管理規定，然此僅規範檳榔之農藥使用與殘留，對於檳榔致癌風險</w:t>
      </w:r>
      <w:r w:rsidR="002912BE" w:rsidRPr="000C4F04">
        <w:rPr>
          <w:rFonts w:hint="eastAsia"/>
          <w:color w:val="000000" w:themeColor="text1"/>
        </w:rPr>
        <w:t>防制</w:t>
      </w:r>
      <w:r w:rsidR="00843091" w:rsidRPr="000C4F04">
        <w:rPr>
          <w:rFonts w:hint="eastAsia"/>
          <w:color w:val="000000" w:themeColor="text1"/>
        </w:rPr>
        <w:t>、</w:t>
      </w:r>
      <w:r w:rsidR="002912BE" w:rsidRPr="000C4F04">
        <w:rPr>
          <w:rFonts w:hint="eastAsia"/>
          <w:color w:val="000000" w:themeColor="text1"/>
        </w:rPr>
        <w:t>低齡</w:t>
      </w:r>
      <w:r w:rsidR="00BC4AE9" w:rsidRPr="000C4F04">
        <w:rPr>
          <w:rFonts w:hint="eastAsia"/>
          <w:color w:val="000000" w:themeColor="text1"/>
        </w:rPr>
        <w:t>購買與</w:t>
      </w:r>
      <w:r w:rsidR="002912BE" w:rsidRPr="000C4F04">
        <w:rPr>
          <w:rFonts w:hint="eastAsia"/>
          <w:color w:val="000000" w:themeColor="text1"/>
        </w:rPr>
        <w:t>嚼檳榔、</w:t>
      </w:r>
      <w:proofErr w:type="gramStart"/>
      <w:r w:rsidR="00843091" w:rsidRPr="000C4F04">
        <w:rPr>
          <w:rFonts w:hint="eastAsia"/>
          <w:color w:val="000000" w:themeColor="text1"/>
        </w:rPr>
        <w:t>荖</w:t>
      </w:r>
      <w:proofErr w:type="gramEnd"/>
      <w:r w:rsidR="00843091" w:rsidRPr="000C4F04">
        <w:rPr>
          <w:rFonts w:hint="eastAsia"/>
          <w:color w:val="000000" w:themeColor="text1"/>
        </w:rPr>
        <w:t>葉與紅白灰食用安全，以及生態環境影響等</w:t>
      </w:r>
      <w:r w:rsidR="00B140F6" w:rsidRPr="000C4F04">
        <w:rPr>
          <w:rFonts w:hint="eastAsia"/>
          <w:color w:val="000000" w:themeColor="text1"/>
        </w:rPr>
        <w:t>問題</w:t>
      </w:r>
      <w:r w:rsidR="00843091" w:rsidRPr="000C4F04">
        <w:rPr>
          <w:rFonts w:hint="eastAsia"/>
          <w:color w:val="000000" w:themeColor="text1"/>
        </w:rPr>
        <w:t>，</w:t>
      </w:r>
      <w:proofErr w:type="gramStart"/>
      <w:r w:rsidR="00843091" w:rsidRPr="000C4F04">
        <w:rPr>
          <w:rFonts w:hint="eastAsia"/>
          <w:color w:val="000000" w:themeColor="text1"/>
        </w:rPr>
        <w:t>均待法律</w:t>
      </w:r>
      <w:proofErr w:type="gramEnd"/>
      <w:r w:rsidR="00843091" w:rsidRPr="000C4F04">
        <w:rPr>
          <w:rFonts w:hint="eastAsia"/>
          <w:color w:val="000000" w:themeColor="text1"/>
        </w:rPr>
        <w:t>位階更</w:t>
      </w:r>
      <w:proofErr w:type="gramStart"/>
      <w:r w:rsidR="00843091" w:rsidRPr="000C4F04">
        <w:rPr>
          <w:rFonts w:hint="eastAsia"/>
          <w:color w:val="000000" w:themeColor="text1"/>
        </w:rPr>
        <w:t>高且納管</w:t>
      </w:r>
      <w:proofErr w:type="gramEnd"/>
      <w:r w:rsidR="00843091" w:rsidRPr="000C4F04">
        <w:rPr>
          <w:rFonts w:hint="eastAsia"/>
          <w:color w:val="000000" w:themeColor="text1"/>
        </w:rPr>
        <w:t>範圍更周延之</w:t>
      </w:r>
      <w:r w:rsidR="002912BE" w:rsidRPr="000C4F04">
        <w:rPr>
          <w:rFonts w:hint="eastAsia"/>
          <w:color w:val="000000" w:themeColor="text1"/>
        </w:rPr>
        <w:t>「檳榔專法」管理。</w:t>
      </w:r>
    </w:p>
    <w:p w:rsidR="008E1F6A" w:rsidRPr="000C4F04" w:rsidRDefault="00BC4AE9" w:rsidP="003D2C5F">
      <w:pPr>
        <w:pStyle w:val="3"/>
        <w:rPr>
          <w:color w:val="000000" w:themeColor="text1"/>
        </w:rPr>
      </w:pPr>
      <w:r w:rsidRPr="000C4F04">
        <w:rPr>
          <w:rFonts w:hint="eastAsia"/>
          <w:color w:val="000000" w:themeColor="text1"/>
        </w:rPr>
        <w:t>綜上，</w:t>
      </w:r>
      <w:bookmarkStart w:id="27" w:name="_Toc524895648"/>
      <w:bookmarkStart w:id="28" w:name="_Toc524896194"/>
      <w:bookmarkStart w:id="29" w:name="_Toc524896224"/>
      <w:bookmarkStart w:id="30" w:name="_Toc524902734"/>
      <w:bookmarkStart w:id="31" w:name="_Toc525066148"/>
      <w:bookmarkStart w:id="32" w:name="_Toc525070839"/>
      <w:bookmarkStart w:id="33" w:name="_Toc525938379"/>
      <w:bookmarkStart w:id="34" w:name="_Toc525939227"/>
      <w:bookmarkStart w:id="35" w:name="_Toc525939732"/>
      <w:bookmarkStart w:id="36" w:name="_Toc529218272"/>
      <w:bookmarkEnd w:id="26"/>
      <w:r w:rsidR="008E1F6A" w:rsidRPr="000C4F04">
        <w:rPr>
          <w:rFonts w:hint="eastAsia"/>
          <w:color w:val="000000" w:themeColor="text1"/>
        </w:rPr>
        <w:t>農委會</w:t>
      </w:r>
      <w:proofErr w:type="gramStart"/>
      <w:r w:rsidR="008E1F6A" w:rsidRPr="000C4F04">
        <w:rPr>
          <w:rFonts w:hint="eastAsia"/>
          <w:color w:val="000000" w:themeColor="text1"/>
        </w:rPr>
        <w:t>雖刻正研</w:t>
      </w:r>
      <w:proofErr w:type="gramEnd"/>
      <w:r w:rsidR="008E1F6A" w:rsidRPr="000C4F04">
        <w:rPr>
          <w:rFonts w:hint="eastAsia"/>
          <w:color w:val="000000" w:themeColor="text1"/>
        </w:rPr>
        <w:t>擬修正農藥使用管理規範，明文規定檳榔農藥使用類別與劑量，惟此「農藥」方面之管理面向仍屬有限，</w:t>
      </w:r>
      <w:proofErr w:type="gramStart"/>
      <w:r w:rsidR="008E1F6A" w:rsidRPr="000C4F04">
        <w:rPr>
          <w:rFonts w:hint="eastAsia"/>
          <w:color w:val="000000" w:themeColor="text1"/>
        </w:rPr>
        <w:t>鑑</w:t>
      </w:r>
      <w:proofErr w:type="gramEnd"/>
      <w:r w:rsidR="008E1F6A" w:rsidRPr="000C4F04">
        <w:rPr>
          <w:rFonts w:hint="eastAsia"/>
          <w:color w:val="000000" w:themeColor="text1"/>
        </w:rPr>
        <w:t>於</w:t>
      </w:r>
      <w:r w:rsidR="008E1F6A" w:rsidRPr="000C4F04">
        <w:rPr>
          <w:color w:val="000000" w:themeColor="text1"/>
        </w:rPr>
        <w:t>IARC</w:t>
      </w:r>
      <w:r w:rsidR="008E1F6A" w:rsidRPr="000C4F04">
        <w:rPr>
          <w:rFonts w:hint="eastAsia"/>
          <w:color w:val="000000" w:themeColor="text1"/>
        </w:rPr>
        <w:t>早已發布「</w:t>
      </w:r>
      <w:proofErr w:type="gramStart"/>
      <w:r w:rsidR="008E1F6A" w:rsidRPr="000C4F04">
        <w:rPr>
          <w:rFonts w:hint="eastAsia"/>
          <w:color w:val="000000" w:themeColor="text1"/>
        </w:rPr>
        <w:t>檳榔子屬第一</w:t>
      </w:r>
      <w:proofErr w:type="gramEnd"/>
      <w:r w:rsidR="008E1F6A" w:rsidRPr="000C4F04">
        <w:rPr>
          <w:rFonts w:hint="eastAsia"/>
          <w:color w:val="000000" w:themeColor="text1"/>
        </w:rPr>
        <w:t>類致癌物」警訊，</w:t>
      </w:r>
      <w:proofErr w:type="gramStart"/>
      <w:r w:rsidR="008E1F6A" w:rsidRPr="000C4F04">
        <w:rPr>
          <w:rFonts w:hint="eastAsia"/>
          <w:color w:val="000000" w:themeColor="text1"/>
        </w:rPr>
        <w:t>衛福部</w:t>
      </w:r>
      <w:proofErr w:type="gramEnd"/>
      <w:r w:rsidR="008E1F6A" w:rsidRPr="000C4F04">
        <w:rPr>
          <w:rFonts w:hint="eastAsia"/>
          <w:color w:val="000000" w:themeColor="text1"/>
        </w:rPr>
        <w:t>認為不宜將檳榔納入食品安全衛生管理法管轄，然國人迄今仍有</w:t>
      </w:r>
      <w:r w:rsidR="008E1F6A" w:rsidRPr="000C4F04">
        <w:rPr>
          <w:rFonts w:hint="eastAsia"/>
          <w:color w:val="000000" w:themeColor="text1"/>
        </w:rPr>
        <w:lastRenderedPageBreak/>
        <w:t>相當民眾食用檳榔，</w:t>
      </w:r>
      <w:proofErr w:type="gramStart"/>
      <w:r w:rsidR="008E1F6A" w:rsidRPr="000C4F04">
        <w:rPr>
          <w:rFonts w:hint="eastAsia"/>
          <w:color w:val="000000" w:themeColor="text1"/>
        </w:rPr>
        <w:t>爰</w:t>
      </w:r>
      <w:proofErr w:type="gramEnd"/>
      <w:r w:rsidR="008E1F6A" w:rsidRPr="000C4F04">
        <w:rPr>
          <w:rFonts w:hint="eastAsia"/>
          <w:color w:val="000000" w:themeColor="text1"/>
        </w:rPr>
        <w:t>對於檳榔致癌風險防制、低齡購買與嚼檳榔現象、</w:t>
      </w:r>
      <w:proofErr w:type="gramStart"/>
      <w:r w:rsidR="008E1F6A" w:rsidRPr="000C4F04">
        <w:rPr>
          <w:rFonts w:hint="eastAsia"/>
          <w:color w:val="000000" w:themeColor="text1"/>
        </w:rPr>
        <w:t>荖</w:t>
      </w:r>
      <w:proofErr w:type="gramEnd"/>
      <w:r w:rsidR="008E1F6A" w:rsidRPr="000C4F04">
        <w:rPr>
          <w:rFonts w:hint="eastAsia"/>
          <w:color w:val="000000" w:themeColor="text1"/>
        </w:rPr>
        <w:t>葉與紅白灰食用安全，以及</w:t>
      </w:r>
      <w:r w:rsidR="003D2C5F" w:rsidRPr="000C4F04">
        <w:rPr>
          <w:rFonts w:hint="eastAsia"/>
          <w:color w:val="000000" w:themeColor="text1"/>
        </w:rPr>
        <w:t>種植過程對</w:t>
      </w:r>
      <w:r w:rsidR="008E1F6A" w:rsidRPr="000C4F04">
        <w:rPr>
          <w:rFonts w:hint="eastAsia"/>
          <w:color w:val="000000" w:themeColor="text1"/>
        </w:rPr>
        <w:t>生態環境影響等問題，行政院允宜協調及督促所屬</w:t>
      </w:r>
      <w:proofErr w:type="gramStart"/>
      <w:r w:rsidR="008E1F6A" w:rsidRPr="000C4F04">
        <w:rPr>
          <w:rFonts w:hint="eastAsia"/>
          <w:color w:val="000000" w:themeColor="text1"/>
        </w:rPr>
        <w:t>研擬專</w:t>
      </w:r>
      <w:proofErr w:type="gramEnd"/>
      <w:r w:rsidR="008E1F6A" w:rsidRPr="000C4F04">
        <w:rPr>
          <w:rFonts w:hint="eastAsia"/>
          <w:color w:val="000000" w:themeColor="text1"/>
        </w:rPr>
        <w:t>法管理，並宜就勞動條件、社交文化等造成嚼檳榔的社會結構因素，進行系統性研究瞭解，以和諧推動檳榔防制政策。</w:t>
      </w:r>
    </w:p>
    <w:p w:rsidR="00E25849" w:rsidRPr="000C4F04" w:rsidRDefault="00E25849" w:rsidP="000830E2">
      <w:pPr>
        <w:pStyle w:val="1"/>
        <w:rPr>
          <w:color w:val="000000" w:themeColor="text1"/>
        </w:rPr>
      </w:pPr>
      <w:r w:rsidRPr="000C4F04">
        <w:rPr>
          <w:color w:val="000000" w:themeColor="text1"/>
        </w:rPr>
        <w:br w:type="page"/>
      </w:r>
      <w:bookmarkStart w:id="37" w:name="_Toc529222689"/>
      <w:bookmarkStart w:id="38" w:name="_Toc529223111"/>
      <w:bookmarkStart w:id="39" w:name="_Toc529223862"/>
      <w:bookmarkStart w:id="40" w:name="_Toc529228265"/>
      <w:bookmarkStart w:id="41" w:name="_Toc2400395"/>
      <w:bookmarkStart w:id="42" w:name="_Toc4316189"/>
      <w:bookmarkStart w:id="43" w:name="_Toc4473330"/>
      <w:bookmarkStart w:id="44" w:name="_Toc69556897"/>
      <w:bookmarkStart w:id="45" w:name="_Toc69556946"/>
      <w:bookmarkStart w:id="46" w:name="_Toc69609820"/>
      <w:bookmarkStart w:id="47" w:name="_Toc70241816"/>
      <w:bookmarkStart w:id="48" w:name="_Toc70242205"/>
      <w:bookmarkStart w:id="49" w:name="_Toc421794875"/>
      <w:bookmarkStart w:id="50" w:name="_Toc422834160"/>
      <w:r w:rsidRPr="000C4F04">
        <w:rPr>
          <w:rFonts w:hint="eastAsia"/>
          <w:color w:val="000000" w:themeColor="text1"/>
        </w:rPr>
        <w:lastRenderedPageBreak/>
        <w:t>處理辦法：</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E25849" w:rsidRPr="000C4F04" w:rsidRDefault="00FB7770">
      <w:pPr>
        <w:pStyle w:val="2"/>
        <w:rPr>
          <w:color w:val="000000" w:themeColor="text1"/>
        </w:rPr>
      </w:pPr>
      <w:bookmarkStart w:id="51" w:name="_Toc524895649"/>
      <w:bookmarkStart w:id="52" w:name="_Toc524896195"/>
      <w:bookmarkStart w:id="53" w:name="_Toc524896225"/>
      <w:bookmarkStart w:id="54" w:name="_Toc70241820"/>
      <w:bookmarkStart w:id="55" w:name="_Toc70242209"/>
      <w:bookmarkStart w:id="56" w:name="_Toc421794876"/>
      <w:bookmarkStart w:id="57" w:name="_Toc421795442"/>
      <w:bookmarkStart w:id="58" w:name="_Toc421796023"/>
      <w:bookmarkStart w:id="59" w:name="_Toc422728958"/>
      <w:bookmarkStart w:id="60" w:name="_Toc422834161"/>
      <w:bookmarkStart w:id="61" w:name="_Toc2400396"/>
      <w:bookmarkStart w:id="62" w:name="_Toc4316190"/>
      <w:bookmarkStart w:id="63" w:name="_Toc4473331"/>
      <w:bookmarkStart w:id="64" w:name="_Toc69556898"/>
      <w:bookmarkStart w:id="65" w:name="_Toc69556947"/>
      <w:bookmarkStart w:id="66" w:name="_Toc69609821"/>
      <w:bookmarkStart w:id="67" w:name="_Toc70241817"/>
      <w:bookmarkStart w:id="68" w:name="_Toc70242206"/>
      <w:bookmarkStart w:id="69" w:name="_Toc524902735"/>
      <w:bookmarkStart w:id="70" w:name="_Toc525066149"/>
      <w:bookmarkStart w:id="71" w:name="_Toc525070840"/>
      <w:bookmarkStart w:id="72" w:name="_Toc525938380"/>
      <w:bookmarkStart w:id="73" w:name="_Toc525939228"/>
      <w:bookmarkStart w:id="74" w:name="_Toc525939733"/>
      <w:bookmarkStart w:id="75" w:name="_Toc529218273"/>
      <w:bookmarkStart w:id="76" w:name="_Toc529222690"/>
      <w:bookmarkStart w:id="77" w:name="_Toc529223112"/>
      <w:bookmarkStart w:id="78" w:name="_Toc529223863"/>
      <w:bookmarkStart w:id="79" w:name="_Toc529228266"/>
      <w:bookmarkEnd w:id="51"/>
      <w:bookmarkEnd w:id="52"/>
      <w:bookmarkEnd w:id="53"/>
      <w:r w:rsidRPr="000C4F04">
        <w:rPr>
          <w:rFonts w:hint="eastAsia"/>
          <w:color w:val="000000" w:themeColor="text1"/>
        </w:rPr>
        <w:t>調查意見</w:t>
      </w:r>
      <w:r w:rsidR="00FC5CFC" w:rsidRPr="000C4F04">
        <w:rPr>
          <w:rFonts w:hint="eastAsia"/>
          <w:color w:val="000000" w:themeColor="text1"/>
        </w:rPr>
        <w:t>一</w:t>
      </w:r>
      <w:r w:rsidR="00BC4AE9" w:rsidRPr="000C4F04">
        <w:rPr>
          <w:rFonts w:hint="eastAsia"/>
          <w:color w:val="000000" w:themeColor="text1"/>
        </w:rPr>
        <w:t>、二</w:t>
      </w:r>
      <w:r w:rsidRPr="000C4F04">
        <w:rPr>
          <w:rFonts w:hint="eastAsia"/>
          <w:color w:val="000000" w:themeColor="text1"/>
        </w:rPr>
        <w:t>，</w:t>
      </w:r>
      <w:bookmarkStart w:id="80" w:name="_Toc421794877"/>
      <w:bookmarkStart w:id="81" w:name="_Toc421795443"/>
      <w:bookmarkStart w:id="82" w:name="_Toc421796024"/>
      <w:bookmarkStart w:id="83" w:name="_Toc422728959"/>
      <w:bookmarkStart w:id="84" w:name="_Toc422834162"/>
      <w:bookmarkEnd w:id="54"/>
      <w:bookmarkEnd w:id="55"/>
      <w:bookmarkEnd w:id="56"/>
      <w:bookmarkEnd w:id="57"/>
      <w:bookmarkEnd w:id="58"/>
      <w:bookmarkEnd w:id="59"/>
      <w:bookmarkEnd w:id="60"/>
      <w:r w:rsidR="00E25849" w:rsidRPr="000C4F04">
        <w:rPr>
          <w:rFonts w:hint="eastAsia"/>
          <w:color w:val="000000" w:themeColor="text1"/>
        </w:rPr>
        <w:t>函請</w:t>
      </w:r>
      <w:r w:rsidR="00FC5CFC" w:rsidRPr="000C4F04">
        <w:rPr>
          <w:rFonts w:hint="eastAsia"/>
          <w:color w:val="000000" w:themeColor="text1"/>
        </w:rPr>
        <w:t>行政院農業委員會</w:t>
      </w:r>
      <w:r w:rsidR="00E25849" w:rsidRPr="000C4F04">
        <w:rPr>
          <w:rFonts w:hint="eastAsia"/>
          <w:color w:val="000000" w:themeColor="text1"/>
        </w:rPr>
        <w:t>確實檢討改進，並於</w:t>
      </w:r>
      <w:r w:rsidR="00E122D8" w:rsidRPr="000C4F04">
        <w:rPr>
          <w:rFonts w:hint="eastAsia"/>
          <w:color w:val="000000" w:themeColor="text1"/>
        </w:rPr>
        <w:t>2</w:t>
      </w:r>
      <w:r w:rsidR="00E25849" w:rsidRPr="000C4F04">
        <w:rPr>
          <w:rFonts w:hint="eastAsia"/>
          <w:color w:val="000000" w:themeColor="text1"/>
        </w:rPr>
        <w:t>個月內</w:t>
      </w:r>
      <w:proofErr w:type="gramStart"/>
      <w:r w:rsidR="00E25849" w:rsidRPr="000C4F04">
        <w:rPr>
          <w:rFonts w:hint="eastAsia"/>
          <w:color w:val="000000" w:themeColor="text1"/>
        </w:rPr>
        <w:t>見復。</w:t>
      </w:r>
      <w:bookmarkEnd w:id="61"/>
      <w:bookmarkEnd w:id="62"/>
      <w:bookmarkEnd w:id="63"/>
      <w:bookmarkEnd w:id="64"/>
      <w:bookmarkEnd w:id="65"/>
      <w:bookmarkEnd w:id="66"/>
      <w:bookmarkEnd w:id="67"/>
      <w:bookmarkEnd w:id="68"/>
      <w:bookmarkEnd w:id="80"/>
      <w:bookmarkEnd w:id="81"/>
      <w:bookmarkEnd w:id="82"/>
      <w:bookmarkEnd w:id="83"/>
      <w:bookmarkEnd w:id="84"/>
      <w:proofErr w:type="gramEnd"/>
    </w:p>
    <w:p w:rsidR="00FB7770" w:rsidRPr="000C4F04" w:rsidRDefault="00FB7770" w:rsidP="00F804D3">
      <w:pPr>
        <w:pStyle w:val="2"/>
        <w:rPr>
          <w:color w:val="000000" w:themeColor="text1"/>
        </w:rPr>
      </w:pPr>
      <w:bookmarkStart w:id="85" w:name="_Toc70241819"/>
      <w:bookmarkStart w:id="86" w:name="_Toc70242208"/>
      <w:bookmarkStart w:id="87" w:name="_Toc421794878"/>
      <w:bookmarkStart w:id="88" w:name="_Toc421795444"/>
      <w:bookmarkStart w:id="89" w:name="_Toc421796025"/>
      <w:bookmarkStart w:id="90" w:name="_Toc422728960"/>
      <w:bookmarkStart w:id="91" w:name="_Toc422834163"/>
      <w:bookmarkStart w:id="92" w:name="_Toc70241818"/>
      <w:bookmarkStart w:id="93" w:name="_Toc70242207"/>
      <w:bookmarkStart w:id="94" w:name="_Toc69556899"/>
      <w:bookmarkStart w:id="95" w:name="_Toc69556948"/>
      <w:bookmarkStart w:id="96" w:name="_Toc69609822"/>
      <w:r w:rsidRPr="000C4F04">
        <w:rPr>
          <w:rFonts w:hint="eastAsia"/>
          <w:color w:val="000000" w:themeColor="text1"/>
        </w:rPr>
        <w:t>調查意見</w:t>
      </w:r>
      <w:proofErr w:type="gramStart"/>
      <w:r w:rsidR="00BC4AE9" w:rsidRPr="000C4F04">
        <w:rPr>
          <w:rFonts w:hint="eastAsia"/>
          <w:color w:val="000000" w:themeColor="text1"/>
        </w:rPr>
        <w:t>三</w:t>
      </w:r>
      <w:proofErr w:type="gramEnd"/>
      <w:r w:rsidRPr="000C4F04">
        <w:rPr>
          <w:rFonts w:hint="eastAsia"/>
          <w:color w:val="000000" w:themeColor="text1"/>
        </w:rPr>
        <w:t>，</w:t>
      </w:r>
      <w:r w:rsidR="00BC4AE9" w:rsidRPr="000C4F04">
        <w:rPr>
          <w:rFonts w:hint="eastAsia"/>
          <w:color w:val="000000" w:themeColor="text1"/>
        </w:rPr>
        <w:t>函請行政院督</w:t>
      </w:r>
      <w:r w:rsidR="0097170E" w:rsidRPr="000C4F04">
        <w:rPr>
          <w:rFonts w:hint="eastAsia"/>
          <w:color w:val="000000" w:themeColor="text1"/>
        </w:rPr>
        <w:t>促所屬農業委員會、衛生福利部食品藥物管理署</w:t>
      </w:r>
      <w:r w:rsidR="00BC4AE9" w:rsidRPr="000C4F04">
        <w:rPr>
          <w:rFonts w:hint="eastAsia"/>
          <w:color w:val="000000" w:themeColor="text1"/>
        </w:rPr>
        <w:t>確實檢討改進，並於2個月內</w:t>
      </w:r>
      <w:proofErr w:type="gramStart"/>
      <w:r w:rsidR="00BC4AE9" w:rsidRPr="000C4F04">
        <w:rPr>
          <w:rFonts w:hint="eastAsia"/>
          <w:color w:val="000000" w:themeColor="text1"/>
        </w:rPr>
        <w:t>見復</w:t>
      </w:r>
      <w:r w:rsidRPr="000C4F04">
        <w:rPr>
          <w:rFonts w:hint="eastAsia"/>
          <w:color w:val="000000" w:themeColor="text1"/>
        </w:rPr>
        <w:t>。</w:t>
      </w:r>
      <w:bookmarkEnd w:id="85"/>
      <w:bookmarkEnd w:id="86"/>
      <w:bookmarkEnd w:id="87"/>
      <w:bookmarkEnd w:id="88"/>
      <w:bookmarkEnd w:id="89"/>
      <w:bookmarkEnd w:id="90"/>
      <w:bookmarkEnd w:id="91"/>
      <w:proofErr w:type="gramEnd"/>
    </w:p>
    <w:p w:rsidR="0097170E" w:rsidRPr="000C4F04" w:rsidRDefault="0097170E" w:rsidP="00F804D3">
      <w:pPr>
        <w:pStyle w:val="2"/>
        <w:rPr>
          <w:color w:val="000000" w:themeColor="text1"/>
        </w:rPr>
      </w:pPr>
      <w:r w:rsidRPr="000C4F04">
        <w:rPr>
          <w:rFonts w:hint="eastAsia"/>
          <w:color w:val="000000" w:themeColor="text1"/>
        </w:rPr>
        <w:t>調查意見四，函請行政院</w:t>
      </w:r>
      <w:r w:rsidR="00E90962" w:rsidRPr="000C4F04">
        <w:rPr>
          <w:rFonts w:hint="eastAsia"/>
          <w:color w:val="000000" w:themeColor="text1"/>
        </w:rPr>
        <w:t>督同所屬</w:t>
      </w:r>
      <w:r w:rsidRPr="000C4F04">
        <w:rPr>
          <w:rFonts w:hint="eastAsia"/>
          <w:color w:val="000000" w:themeColor="text1"/>
        </w:rPr>
        <w:t>檢討改進，並於2個月內</w:t>
      </w:r>
      <w:proofErr w:type="gramStart"/>
      <w:r w:rsidRPr="000C4F04">
        <w:rPr>
          <w:rFonts w:hint="eastAsia"/>
          <w:color w:val="000000" w:themeColor="text1"/>
        </w:rPr>
        <w:t>見復。</w:t>
      </w:r>
      <w:proofErr w:type="gramEnd"/>
    </w:p>
    <w:p w:rsidR="00E25849" w:rsidRPr="000C4F04" w:rsidRDefault="00E25849">
      <w:pPr>
        <w:pStyle w:val="2"/>
        <w:rPr>
          <w:color w:val="000000" w:themeColor="text1"/>
        </w:rPr>
      </w:pPr>
      <w:bookmarkStart w:id="97" w:name="_Toc2400397"/>
      <w:bookmarkStart w:id="98" w:name="_Toc4316191"/>
      <w:bookmarkStart w:id="99" w:name="_Toc4473332"/>
      <w:bookmarkStart w:id="100" w:name="_Toc69556901"/>
      <w:bookmarkStart w:id="101" w:name="_Toc69556950"/>
      <w:bookmarkStart w:id="102" w:name="_Toc69609824"/>
      <w:bookmarkStart w:id="103" w:name="_Toc70241822"/>
      <w:bookmarkStart w:id="104" w:name="_Toc70242211"/>
      <w:bookmarkStart w:id="105" w:name="_Toc421794881"/>
      <w:bookmarkStart w:id="106" w:name="_Toc421795447"/>
      <w:bookmarkStart w:id="107" w:name="_Toc421796028"/>
      <w:bookmarkStart w:id="108" w:name="_Toc422728963"/>
      <w:bookmarkStart w:id="109" w:name="_Toc422834166"/>
      <w:bookmarkEnd w:id="69"/>
      <w:bookmarkEnd w:id="70"/>
      <w:bookmarkEnd w:id="71"/>
      <w:bookmarkEnd w:id="72"/>
      <w:bookmarkEnd w:id="73"/>
      <w:bookmarkEnd w:id="74"/>
      <w:bookmarkEnd w:id="75"/>
      <w:bookmarkEnd w:id="76"/>
      <w:bookmarkEnd w:id="77"/>
      <w:bookmarkEnd w:id="78"/>
      <w:bookmarkEnd w:id="79"/>
      <w:bookmarkEnd w:id="92"/>
      <w:bookmarkEnd w:id="93"/>
      <w:bookmarkEnd w:id="94"/>
      <w:bookmarkEnd w:id="95"/>
      <w:bookmarkEnd w:id="96"/>
      <w:r w:rsidRPr="000C4F04">
        <w:rPr>
          <w:rFonts w:hint="eastAsia"/>
          <w:color w:val="000000" w:themeColor="text1"/>
        </w:rPr>
        <w:t>檢</w:t>
      </w:r>
      <w:proofErr w:type="gramStart"/>
      <w:r w:rsidRPr="000C4F04">
        <w:rPr>
          <w:rFonts w:hint="eastAsia"/>
          <w:color w:val="000000" w:themeColor="text1"/>
        </w:rPr>
        <w:t>附派查函</w:t>
      </w:r>
      <w:proofErr w:type="gramEnd"/>
      <w:r w:rsidRPr="000C4F04">
        <w:rPr>
          <w:rFonts w:hint="eastAsia"/>
          <w:color w:val="000000" w:themeColor="text1"/>
        </w:rPr>
        <w:t>及相關附件，送請</w:t>
      </w:r>
      <w:r w:rsidR="00FC5CFC" w:rsidRPr="000C4F04">
        <w:rPr>
          <w:rFonts w:hint="eastAsia"/>
          <w:color w:val="000000" w:themeColor="text1"/>
        </w:rPr>
        <w:t>財政及經濟</w:t>
      </w:r>
      <w:r w:rsidRPr="000C4F04">
        <w:rPr>
          <w:rFonts w:hint="eastAsia"/>
          <w:color w:val="000000" w:themeColor="text1"/>
        </w:rPr>
        <w:t>委員會</w:t>
      </w:r>
      <w:r w:rsidR="0097170E" w:rsidRPr="000C4F04">
        <w:rPr>
          <w:rFonts w:hint="eastAsia"/>
          <w:color w:val="000000" w:themeColor="text1"/>
        </w:rPr>
        <w:t>、內政及族群委員會聯席會議</w:t>
      </w:r>
      <w:r w:rsidRPr="000C4F04">
        <w:rPr>
          <w:rFonts w:hint="eastAsia"/>
          <w:color w:val="000000" w:themeColor="text1"/>
        </w:rPr>
        <w:t>處理。</w:t>
      </w:r>
      <w:bookmarkEnd w:id="97"/>
      <w:bookmarkEnd w:id="98"/>
      <w:bookmarkEnd w:id="99"/>
      <w:bookmarkEnd w:id="100"/>
      <w:bookmarkEnd w:id="101"/>
      <w:bookmarkEnd w:id="102"/>
      <w:bookmarkEnd w:id="103"/>
      <w:bookmarkEnd w:id="104"/>
      <w:bookmarkEnd w:id="105"/>
      <w:bookmarkEnd w:id="106"/>
      <w:bookmarkEnd w:id="107"/>
      <w:bookmarkEnd w:id="108"/>
      <w:bookmarkEnd w:id="109"/>
    </w:p>
    <w:p w:rsidR="00E25849" w:rsidRPr="000C4F04"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0C4F04">
        <w:rPr>
          <w:rFonts w:hint="eastAsia"/>
          <w:b w:val="0"/>
          <w:bCs/>
          <w:snapToGrid/>
          <w:color w:val="000000" w:themeColor="text1"/>
          <w:spacing w:val="12"/>
          <w:kern w:val="0"/>
          <w:sz w:val="40"/>
        </w:rPr>
        <w:t>調查委員：</w:t>
      </w:r>
      <w:r w:rsidR="000C4F04">
        <w:rPr>
          <w:rFonts w:hint="eastAsia"/>
          <w:b w:val="0"/>
          <w:bCs/>
          <w:snapToGrid/>
          <w:color w:val="000000" w:themeColor="text1"/>
          <w:spacing w:val="12"/>
          <w:kern w:val="0"/>
          <w:sz w:val="40"/>
        </w:rPr>
        <w:t>林盛豐</w:t>
      </w:r>
    </w:p>
    <w:p w:rsidR="00E25849" w:rsidRPr="000C4F04" w:rsidRDefault="000C4F04">
      <w:pPr>
        <w:pStyle w:val="aa"/>
        <w:spacing w:before="0" w:after="0"/>
        <w:ind w:leftChars="1100" w:left="3742" w:firstLineChars="500" w:firstLine="2221"/>
        <w:rPr>
          <w:b w:val="0"/>
          <w:bCs/>
          <w:snapToGrid/>
          <w:color w:val="000000" w:themeColor="text1"/>
          <w:spacing w:val="12"/>
          <w:kern w:val="0"/>
          <w:sz w:val="40"/>
          <w:szCs w:val="40"/>
        </w:rPr>
      </w:pPr>
      <w:r w:rsidRPr="000C4F04">
        <w:rPr>
          <w:rFonts w:hint="eastAsia"/>
          <w:b w:val="0"/>
          <w:bCs/>
          <w:snapToGrid/>
          <w:color w:val="000000" w:themeColor="text1"/>
          <w:spacing w:val="12"/>
          <w:kern w:val="0"/>
          <w:sz w:val="40"/>
          <w:szCs w:val="40"/>
        </w:rPr>
        <w:t>田秋</w:t>
      </w:r>
      <w:proofErr w:type="gramStart"/>
      <w:r w:rsidRPr="000C4F04">
        <w:rPr>
          <w:rFonts w:hint="eastAsia"/>
          <w:b w:val="0"/>
          <w:bCs/>
          <w:snapToGrid/>
          <w:color w:val="000000" w:themeColor="text1"/>
          <w:spacing w:val="12"/>
          <w:kern w:val="0"/>
          <w:sz w:val="40"/>
          <w:szCs w:val="40"/>
        </w:rPr>
        <w:t>堇</w:t>
      </w:r>
      <w:proofErr w:type="gramEnd"/>
    </w:p>
    <w:p w:rsidR="00DB1170" w:rsidRPr="000C4F04" w:rsidRDefault="000C4F04">
      <w:pPr>
        <w:pStyle w:val="aa"/>
        <w:spacing w:before="0" w:after="0"/>
        <w:ind w:leftChars="1100" w:left="3742" w:firstLineChars="500" w:firstLine="2221"/>
        <w:rPr>
          <w:b w:val="0"/>
          <w:bCs/>
          <w:snapToGrid/>
          <w:color w:val="000000" w:themeColor="text1"/>
          <w:spacing w:val="12"/>
          <w:kern w:val="0"/>
          <w:sz w:val="40"/>
          <w:szCs w:val="40"/>
        </w:rPr>
      </w:pPr>
      <w:r w:rsidRPr="000C4F04">
        <w:rPr>
          <w:rFonts w:hint="eastAsia"/>
          <w:b w:val="0"/>
          <w:bCs/>
          <w:snapToGrid/>
          <w:color w:val="000000" w:themeColor="text1"/>
          <w:spacing w:val="12"/>
          <w:kern w:val="0"/>
          <w:sz w:val="40"/>
          <w:szCs w:val="40"/>
        </w:rPr>
        <w:t>蔡崇義</w:t>
      </w:r>
    </w:p>
    <w:p w:rsidR="00E25849" w:rsidRPr="000C4F04" w:rsidRDefault="00E25849">
      <w:pPr>
        <w:pStyle w:val="aa"/>
        <w:spacing w:before="0" w:after="0"/>
        <w:ind w:leftChars="1100" w:left="3742" w:firstLineChars="500" w:firstLine="2021"/>
        <w:rPr>
          <w:b w:val="0"/>
          <w:bCs/>
          <w:snapToGrid/>
          <w:color w:val="000000" w:themeColor="text1"/>
          <w:spacing w:val="12"/>
          <w:kern w:val="0"/>
        </w:rPr>
      </w:pPr>
    </w:p>
    <w:p w:rsidR="0097170E" w:rsidRPr="000C4F04" w:rsidRDefault="0097170E">
      <w:pPr>
        <w:pStyle w:val="aa"/>
        <w:spacing w:before="0" w:after="0"/>
        <w:ind w:leftChars="1100" w:left="3742" w:firstLineChars="500" w:firstLine="2021"/>
        <w:rPr>
          <w:b w:val="0"/>
          <w:bCs/>
          <w:snapToGrid/>
          <w:color w:val="000000" w:themeColor="text1"/>
          <w:spacing w:val="12"/>
          <w:kern w:val="0"/>
        </w:rPr>
      </w:pPr>
    </w:p>
    <w:p w:rsidR="0097170E" w:rsidRPr="000C4F04" w:rsidRDefault="0097170E">
      <w:pPr>
        <w:pStyle w:val="aa"/>
        <w:spacing w:before="0" w:after="0"/>
        <w:ind w:leftChars="1100" w:left="3742" w:firstLineChars="500" w:firstLine="2021"/>
        <w:rPr>
          <w:b w:val="0"/>
          <w:bCs/>
          <w:snapToGrid/>
          <w:color w:val="000000" w:themeColor="text1"/>
          <w:spacing w:val="12"/>
          <w:kern w:val="0"/>
        </w:rPr>
      </w:pPr>
    </w:p>
    <w:p w:rsidR="0097170E" w:rsidRPr="000C4F04" w:rsidRDefault="0097170E">
      <w:pPr>
        <w:pStyle w:val="aa"/>
        <w:spacing w:before="0" w:after="0"/>
        <w:ind w:leftChars="1100" w:left="3742" w:firstLineChars="500" w:firstLine="2021"/>
        <w:rPr>
          <w:b w:val="0"/>
          <w:bCs/>
          <w:snapToGrid/>
          <w:color w:val="000000" w:themeColor="text1"/>
          <w:spacing w:val="12"/>
          <w:kern w:val="0"/>
        </w:rPr>
      </w:pPr>
    </w:p>
    <w:p w:rsidR="00E25849" w:rsidRPr="000C4F04" w:rsidRDefault="00E25849">
      <w:pPr>
        <w:pStyle w:val="af"/>
        <w:rPr>
          <w:rFonts w:hAnsi="標楷體"/>
          <w:bCs/>
          <w:color w:val="000000" w:themeColor="text1"/>
        </w:rPr>
      </w:pPr>
      <w:r w:rsidRPr="000C4F04">
        <w:rPr>
          <w:rFonts w:hAnsi="標楷體" w:hint="eastAsia"/>
          <w:bCs/>
          <w:color w:val="000000" w:themeColor="text1"/>
        </w:rPr>
        <w:t>中</w:t>
      </w:r>
      <w:r w:rsidR="00B5484D" w:rsidRPr="000C4F04">
        <w:rPr>
          <w:rFonts w:hAnsi="標楷體" w:hint="eastAsia"/>
          <w:bCs/>
          <w:color w:val="000000" w:themeColor="text1"/>
        </w:rPr>
        <w:t xml:space="preserve">  </w:t>
      </w:r>
      <w:r w:rsidRPr="000C4F04">
        <w:rPr>
          <w:rFonts w:hAnsi="標楷體" w:hint="eastAsia"/>
          <w:bCs/>
          <w:color w:val="000000" w:themeColor="text1"/>
        </w:rPr>
        <w:t>華</w:t>
      </w:r>
      <w:r w:rsidR="00B5484D" w:rsidRPr="000C4F04">
        <w:rPr>
          <w:rFonts w:hAnsi="標楷體" w:hint="eastAsia"/>
          <w:bCs/>
          <w:color w:val="000000" w:themeColor="text1"/>
        </w:rPr>
        <w:t xml:space="preserve">  </w:t>
      </w:r>
      <w:r w:rsidRPr="000C4F04">
        <w:rPr>
          <w:rFonts w:hAnsi="標楷體" w:hint="eastAsia"/>
          <w:bCs/>
          <w:color w:val="000000" w:themeColor="text1"/>
        </w:rPr>
        <w:t>民</w:t>
      </w:r>
      <w:r w:rsidR="00B5484D" w:rsidRPr="000C4F04">
        <w:rPr>
          <w:rFonts w:hAnsi="標楷體" w:hint="eastAsia"/>
          <w:bCs/>
          <w:color w:val="000000" w:themeColor="text1"/>
        </w:rPr>
        <w:t xml:space="preserve">  </w:t>
      </w:r>
      <w:r w:rsidRPr="000C4F04">
        <w:rPr>
          <w:rFonts w:hAnsi="標楷體" w:hint="eastAsia"/>
          <w:bCs/>
          <w:color w:val="000000" w:themeColor="text1"/>
        </w:rPr>
        <w:t xml:space="preserve">國　</w:t>
      </w:r>
      <w:r w:rsidR="001E74C2" w:rsidRPr="000C4F04">
        <w:rPr>
          <w:rFonts w:hAnsi="標楷體" w:hint="eastAsia"/>
          <w:bCs/>
          <w:color w:val="000000" w:themeColor="text1"/>
        </w:rPr>
        <w:t>10</w:t>
      </w:r>
      <w:r w:rsidR="0097170E" w:rsidRPr="000C4F04">
        <w:rPr>
          <w:rFonts w:hAnsi="標楷體" w:hint="eastAsia"/>
          <w:bCs/>
          <w:color w:val="000000" w:themeColor="text1"/>
        </w:rPr>
        <w:t>9</w:t>
      </w:r>
      <w:r w:rsidR="00746CDD" w:rsidRPr="000C4F04">
        <w:rPr>
          <w:rFonts w:hAnsi="標楷體" w:hint="eastAsia"/>
          <w:bCs/>
          <w:color w:val="000000" w:themeColor="text1"/>
        </w:rPr>
        <w:t xml:space="preserve">　年  </w:t>
      </w:r>
      <w:r w:rsidR="000C4F04">
        <w:rPr>
          <w:rFonts w:hAnsi="標楷體" w:hint="eastAsia"/>
          <w:bCs/>
          <w:color w:val="000000" w:themeColor="text1"/>
        </w:rPr>
        <w:t>4</w:t>
      </w:r>
      <w:r w:rsidR="00746CDD" w:rsidRPr="000C4F04">
        <w:rPr>
          <w:rFonts w:hAnsi="標楷體" w:hint="eastAsia"/>
          <w:bCs/>
          <w:color w:val="000000" w:themeColor="text1"/>
        </w:rPr>
        <w:t xml:space="preserve">  </w:t>
      </w:r>
      <w:r w:rsidRPr="000C4F04">
        <w:rPr>
          <w:rFonts w:hAnsi="標楷體" w:hint="eastAsia"/>
          <w:bCs/>
          <w:color w:val="000000" w:themeColor="text1"/>
        </w:rPr>
        <w:t xml:space="preserve">月　</w:t>
      </w:r>
      <w:r w:rsidR="000C4F04">
        <w:rPr>
          <w:rFonts w:hAnsi="標楷體" w:hint="eastAsia"/>
          <w:bCs/>
          <w:color w:val="000000" w:themeColor="text1"/>
        </w:rPr>
        <w:t>8</w:t>
      </w:r>
      <w:r w:rsidRPr="000C4F04">
        <w:rPr>
          <w:rFonts w:hAnsi="標楷體" w:hint="eastAsia"/>
          <w:bCs/>
          <w:color w:val="000000" w:themeColor="text1"/>
        </w:rPr>
        <w:t xml:space="preserve">　日</w:t>
      </w:r>
    </w:p>
    <w:sectPr w:rsidR="00E25849" w:rsidRPr="000C4F04" w:rsidSect="00E138E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1D9" w:rsidRDefault="006361D9">
      <w:r>
        <w:separator/>
      </w:r>
    </w:p>
  </w:endnote>
  <w:endnote w:type="continuationSeparator" w:id="0">
    <w:p w:rsidR="006361D9" w:rsidRDefault="0063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9D" w:rsidRDefault="0036739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76B90">
      <w:rPr>
        <w:rStyle w:val="ac"/>
        <w:noProof/>
        <w:sz w:val="24"/>
      </w:rPr>
      <w:t>1</w:t>
    </w:r>
    <w:r>
      <w:rPr>
        <w:rStyle w:val="ac"/>
        <w:sz w:val="24"/>
      </w:rPr>
      <w:fldChar w:fldCharType="end"/>
    </w:r>
  </w:p>
  <w:p w:rsidR="0036739D" w:rsidRDefault="0036739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1D9" w:rsidRDefault="006361D9">
      <w:r>
        <w:separator/>
      </w:r>
    </w:p>
  </w:footnote>
  <w:footnote w:type="continuationSeparator" w:id="0">
    <w:p w:rsidR="006361D9" w:rsidRDefault="006361D9">
      <w:r>
        <w:continuationSeparator/>
      </w:r>
    </w:p>
  </w:footnote>
  <w:footnote w:id="1">
    <w:p w:rsidR="0036739D" w:rsidRDefault="0036739D" w:rsidP="00B91C74">
      <w:pPr>
        <w:pStyle w:val="afc"/>
      </w:pPr>
      <w:r>
        <w:rPr>
          <w:rStyle w:val="afe"/>
        </w:rPr>
        <w:footnoteRef/>
      </w:r>
      <w:r>
        <w:t xml:space="preserve"> </w:t>
      </w:r>
      <w:r>
        <w:rPr>
          <w:rFonts w:hint="eastAsia"/>
        </w:rPr>
        <w:t>農委會108年9月11日</w:t>
      </w:r>
      <w:proofErr w:type="gramStart"/>
      <w:r>
        <w:rPr>
          <w:rFonts w:hint="eastAsia"/>
        </w:rPr>
        <w:t>農防字</w:t>
      </w:r>
      <w:proofErr w:type="gramEnd"/>
      <w:r>
        <w:rPr>
          <w:rFonts w:hint="eastAsia"/>
        </w:rPr>
        <w:t>第1081489529號函，下同。</w:t>
      </w:r>
    </w:p>
  </w:footnote>
  <w:footnote w:id="2">
    <w:p w:rsidR="0036739D" w:rsidRDefault="0036739D" w:rsidP="005463D5">
      <w:pPr>
        <w:pStyle w:val="afc"/>
        <w:ind w:leftChars="3" w:left="151" w:hangingChars="64" w:hanging="141"/>
        <w:jc w:val="both"/>
      </w:pPr>
      <w:r>
        <w:rPr>
          <w:rStyle w:val="afe"/>
        </w:rPr>
        <w:footnoteRef/>
      </w:r>
      <w:r>
        <w:t xml:space="preserve"> </w:t>
      </w:r>
      <w:r w:rsidRPr="00184538">
        <w:rPr>
          <w:rFonts w:hint="eastAsia"/>
        </w:rPr>
        <w:t>張育銓</w:t>
      </w:r>
      <w:r>
        <w:rPr>
          <w:rFonts w:hint="eastAsia"/>
        </w:rPr>
        <w:t>，從特色</w:t>
      </w:r>
      <w:r w:rsidRPr="00184538">
        <w:rPr>
          <w:rFonts w:hint="eastAsia"/>
        </w:rPr>
        <w:t>產業觀光定位</w:t>
      </w:r>
      <w:proofErr w:type="gramStart"/>
      <w:r>
        <w:rPr>
          <w:rFonts w:hint="eastAsia"/>
        </w:rPr>
        <w:t>臺</w:t>
      </w:r>
      <w:proofErr w:type="gramEnd"/>
      <w:r w:rsidRPr="00184538">
        <w:rPr>
          <w:rFonts w:hint="eastAsia"/>
        </w:rPr>
        <w:t>東</w:t>
      </w:r>
      <w:proofErr w:type="gramStart"/>
      <w:r w:rsidRPr="00184538">
        <w:rPr>
          <w:rFonts w:hint="eastAsia"/>
        </w:rPr>
        <w:t>荖</w:t>
      </w:r>
      <w:proofErr w:type="gramEnd"/>
      <w:r w:rsidRPr="00184538">
        <w:rPr>
          <w:rFonts w:hint="eastAsia"/>
        </w:rPr>
        <w:t>葉的新可能性</w:t>
      </w:r>
      <w:r>
        <w:rPr>
          <w:rFonts w:hint="eastAsia"/>
        </w:rPr>
        <w:t>，</w:t>
      </w:r>
      <w:r w:rsidRPr="00184538">
        <w:rPr>
          <w:rFonts w:hint="eastAsia"/>
        </w:rPr>
        <w:t>育達科大學報</w:t>
      </w:r>
      <w:r>
        <w:rPr>
          <w:rFonts w:hint="eastAsia"/>
        </w:rPr>
        <w:t>，</w:t>
      </w:r>
      <w:r w:rsidRPr="00184538">
        <w:rPr>
          <w:rFonts w:hint="eastAsia"/>
        </w:rPr>
        <w:t xml:space="preserve">第44 </w:t>
      </w:r>
      <w:r w:rsidRPr="00184538">
        <w:rPr>
          <w:rFonts w:hint="eastAsia"/>
        </w:rPr>
        <w:t>期</w:t>
      </w:r>
      <w:r>
        <w:rPr>
          <w:rFonts w:hint="eastAsia"/>
        </w:rPr>
        <w:t>，</w:t>
      </w:r>
      <w:r w:rsidRPr="00184538">
        <w:rPr>
          <w:rFonts w:hint="eastAsia"/>
        </w:rPr>
        <w:t>第 1-26 頁，</w:t>
      </w:r>
      <w:r>
        <w:rPr>
          <w:rFonts w:hint="eastAsia"/>
        </w:rPr>
        <w:t>1</w:t>
      </w:r>
      <w:r w:rsidRPr="00184538">
        <w:rPr>
          <w:rFonts w:hint="eastAsia"/>
        </w:rPr>
        <w:t>06年4</w:t>
      </w:r>
      <w:r>
        <w:rPr>
          <w:rFonts w:hint="eastAsia"/>
        </w:rPr>
        <w:t>月。</w:t>
      </w:r>
    </w:p>
  </w:footnote>
  <w:footnote w:id="3">
    <w:p w:rsidR="0036739D" w:rsidRDefault="0036739D">
      <w:pPr>
        <w:pStyle w:val="afc"/>
      </w:pPr>
      <w:r>
        <w:rPr>
          <w:rStyle w:val="afe"/>
        </w:rPr>
        <w:footnoteRef/>
      </w:r>
      <w:r>
        <w:t xml:space="preserve"> </w:t>
      </w:r>
      <w:r>
        <w:rPr>
          <w:rFonts w:hint="eastAsia"/>
        </w:rPr>
        <w:t>資料來源：</w:t>
      </w:r>
      <w:proofErr w:type="gramStart"/>
      <w:r>
        <w:rPr>
          <w:rFonts w:hint="eastAsia"/>
        </w:rPr>
        <w:t>衛福部國民健康署官網</w:t>
      </w:r>
      <w:proofErr w:type="gramEnd"/>
      <w:r>
        <w:rPr>
          <w:rFonts w:hint="eastAsia"/>
        </w:rPr>
        <w:t>；</w:t>
      </w:r>
      <w:r w:rsidRPr="008E2C42">
        <w:rPr>
          <w:rFonts w:hint="eastAsia"/>
        </w:rPr>
        <w:t>檳榔子是國際認定第一類致癌物</w:t>
      </w:r>
      <w:r>
        <w:rPr>
          <w:rFonts w:hint="eastAsia"/>
        </w:rPr>
        <w:t>；查詢網址：</w:t>
      </w:r>
      <w:hyperlink r:id="rId1" w:history="1">
        <w:r w:rsidRPr="004C5F13">
          <w:rPr>
            <w:rStyle w:val="ae"/>
          </w:rPr>
          <w:t>https://www.hpa.gov.tw/Pages/Detail.aspx?nodeid=1127&amp;pid=1804</w:t>
        </w:r>
        <w:r w:rsidRPr="004C5F13">
          <w:rPr>
            <w:rStyle w:val="ae"/>
          </w:rPr>
          <w:t>，查詢日期：109</w:t>
        </w:r>
      </w:hyperlink>
      <w:r>
        <w:rPr>
          <w:rFonts w:hint="eastAsia"/>
        </w:rPr>
        <w:t>年3月9日。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9CAF2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95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403"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008"/>
        </w:tabs>
        <w:ind w:left="1263" w:hanging="695"/>
      </w:pPr>
      <w:rPr>
        <w:rFonts w:ascii="標楷體" w:eastAsia="標楷體" w:hint="eastAsia"/>
        <w:b w:val="0"/>
        <w:i w:val="0"/>
        <w:sz w:val="32"/>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AE"/>
    <w:rsid w:val="00005C80"/>
    <w:rsid w:val="00006961"/>
    <w:rsid w:val="000112BF"/>
    <w:rsid w:val="000116DE"/>
    <w:rsid w:val="00012233"/>
    <w:rsid w:val="00017318"/>
    <w:rsid w:val="000209C0"/>
    <w:rsid w:val="000246F7"/>
    <w:rsid w:val="0003114D"/>
    <w:rsid w:val="00034B7E"/>
    <w:rsid w:val="00036D76"/>
    <w:rsid w:val="000403D3"/>
    <w:rsid w:val="0004464A"/>
    <w:rsid w:val="000501F1"/>
    <w:rsid w:val="000503BA"/>
    <w:rsid w:val="00057F32"/>
    <w:rsid w:val="00062A25"/>
    <w:rsid w:val="00073CB5"/>
    <w:rsid w:val="0007425C"/>
    <w:rsid w:val="00077553"/>
    <w:rsid w:val="000830E2"/>
    <w:rsid w:val="000851A2"/>
    <w:rsid w:val="0009352E"/>
    <w:rsid w:val="000935BA"/>
    <w:rsid w:val="00093E26"/>
    <w:rsid w:val="00096B96"/>
    <w:rsid w:val="000A1541"/>
    <w:rsid w:val="000A2F3F"/>
    <w:rsid w:val="000B0B4A"/>
    <w:rsid w:val="000B279A"/>
    <w:rsid w:val="000B61D2"/>
    <w:rsid w:val="000B70A7"/>
    <w:rsid w:val="000B73DD"/>
    <w:rsid w:val="000C495F"/>
    <w:rsid w:val="000C4F04"/>
    <w:rsid w:val="000C6DBF"/>
    <w:rsid w:val="000D66D9"/>
    <w:rsid w:val="000E6431"/>
    <w:rsid w:val="000F1CD1"/>
    <w:rsid w:val="000F21A5"/>
    <w:rsid w:val="001007C5"/>
    <w:rsid w:val="00102B9F"/>
    <w:rsid w:val="001123CC"/>
    <w:rsid w:val="00112637"/>
    <w:rsid w:val="00112ABC"/>
    <w:rsid w:val="0012001E"/>
    <w:rsid w:val="001258F6"/>
    <w:rsid w:val="00126A55"/>
    <w:rsid w:val="00133F08"/>
    <w:rsid w:val="001345E6"/>
    <w:rsid w:val="001362A7"/>
    <w:rsid w:val="001378B0"/>
    <w:rsid w:val="00142E00"/>
    <w:rsid w:val="001520D8"/>
    <w:rsid w:val="00152793"/>
    <w:rsid w:val="00153B7E"/>
    <w:rsid w:val="001545A9"/>
    <w:rsid w:val="00160AFE"/>
    <w:rsid w:val="001637C7"/>
    <w:rsid w:val="0016480E"/>
    <w:rsid w:val="00165E88"/>
    <w:rsid w:val="00167F01"/>
    <w:rsid w:val="00174297"/>
    <w:rsid w:val="00180E06"/>
    <w:rsid w:val="001817B3"/>
    <w:rsid w:val="00183014"/>
    <w:rsid w:val="00184538"/>
    <w:rsid w:val="00186439"/>
    <w:rsid w:val="001934B5"/>
    <w:rsid w:val="001959C2"/>
    <w:rsid w:val="001A18FF"/>
    <w:rsid w:val="001A51E3"/>
    <w:rsid w:val="001A54CB"/>
    <w:rsid w:val="001A7968"/>
    <w:rsid w:val="001B0D1C"/>
    <w:rsid w:val="001B2E98"/>
    <w:rsid w:val="001B3483"/>
    <w:rsid w:val="001B3C1E"/>
    <w:rsid w:val="001B4494"/>
    <w:rsid w:val="001C0A93"/>
    <w:rsid w:val="001C0D8B"/>
    <w:rsid w:val="001C0DA8"/>
    <w:rsid w:val="001D4AD7"/>
    <w:rsid w:val="001D7C32"/>
    <w:rsid w:val="001E0D8A"/>
    <w:rsid w:val="001E0E9C"/>
    <w:rsid w:val="001E67BA"/>
    <w:rsid w:val="001E74C2"/>
    <w:rsid w:val="001F4F82"/>
    <w:rsid w:val="001F5A48"/>
    <w:rsid w:val="001F5D56"/>
    <w:rsid w:val="001F6260"/>
    <w:rsid w:val="001F6949"/>
    <w:rsid w:val="001F6C87"/>
    <w:rsid w:val="00200007"/>
    <w:rsid w:val="002030A5"/>
    <w:rsid w:val="00203131"/>
    <w:rsid w:val="00210357"/>
    <w:rsid w:val="00212144"/>
    <w:rsid w:val="00212E88"/>
    <w:rsid w:val="00213C9C"/>
    <w:rsid w:val="0022009E"/>
    <w:rsid w:val="00223241"/>
    <w:rsid w:val="0022425C"/>
    <w:rsid w:val="002246DE"/>
    <w:rsid w:val="002370D4"/>
    <w:rsid w:val="0023793D"/>
    <w:rsid w:val="0024130E"/>
    <w:rsid w:val="00247396"/>
    <w:rsid w:val="00252BC4"/>
    <w:rsid w:val="00254014"/>
    <w:rsid w:val="0025443C"/>
    <w:rsid w:val="00254B39"/>
    <w:rsid w:val="00264B9A"/>
    <w:rsid w:val="0026504D"/>
    <w:rsid w:val="00273A2F"/>
    <w:rsid w:val="002769EB"/>
    <w:rsid w:val="00280986"/>
    <w:rsid w:val="00281ECE"/>
    <w:rsid w:val="002831C7"/>
    <w:rsid w:val="002840C6"/>
    <w:rsid w:val="00285F73"/>
    <w:rsid w:val="002912BE"/>
    <w:rsid w:val="00295174"/>
    <w:rsid w:val="00296172"/>
    <w:rsid w:val="00296B92"/>
    <w:rsid w:val="002A2C22"/>
    <w:rsid w:val="002A3932"/>
    <w:rsid w:val="002B02EB"/>
    <w:rsid w:val="002B20BB"/>
    <w:rsid w:val="002B5034"/>
    <w:rsid w:val="002C0602"/>
    <w:rsid w:val="002C4680"/>
    <w:rsid w:val="002C544E"/>
    <w:rsid w:val="002D5C16"/>
    <w:rsid w:val="002E4AD6"/>
    <w:rsid w:val="002E663E"/>
    <w:rsid w:val="002F0F56"/>
    <w:rsid w:val="002F2476"/>
    <w:rsid w:val="002F3DFF"/>
    <w:rsid w:val="002F5E05"/>
    <w:rsid w:val="002F659A"/>
    <w:rsid w:val="00305675"/>
    <w:rsid w:val="00307A76"/>
    <w:rsid w:val="003110C2"/>
    <w:rsid w:val="00313E98"/>
    <w:rsid w:val="00315A16"/>
    <w:rsid w:val="00317053"/>
    <w:rsid w:val="0032109C"/>
    <w:rsid w:val="00322B45"/>
    <w:rsid w:val="00323809"/>
    <w:rsid w:val="00323D41"/>
    <w:rsid w:val="00325414"/>
    <w:rsid w:val="003302F1"/>
    <w:rsid w:val="003309D5"/>
    <w:rsid w:val="0034470E"/>
    <w:rsid w:val="00352DB0"/>
    <w:rsid w:val="003537C5"/>
    <w:rsid w:val="00356440"/>
    <w:rsid w:val="00361063"/>
    <w:rsid w:val="00365B3F"/>
    <w:rsid w:val="0036739D"/>
    <w:rsid w:val="0037094A"/>
    <w:rsid w:val="00371ED3"/>
    <w:rsid w:val="00372607"/>
    <w:rsid w:val="00372FFC"/>
    <w:rsid w:val="003746EB"/>
    <w:rsid w:val="0037728A"/>
    <w:rsid w:val="00380B7D"/>
    <w:rsid w:val="00381A99"/>
    <w:rsid w:val="003829C2"/>
    <w:rsid w:val="003830B2"/>
    <w:rsid w:val="00384724"/>
    <w:rsid w:val="00385D2E"/>
    <w:rsid w:val="0038629B"/>
    <w:rsid w:val="003919B7"/>
    <w:rsid w:val="00391D57"/>
    <w:rsid w:val="00392292"/>
    <w:rsid w:val="00394F45"/>
    <w:rsid w:val="003A0D30"/>
    <w:rsid w:val="003A1FAB"/>
    <w:rsid w:val="003A473A"/>
    <w:rsid w:val="003A5927"/>
    <w:rsid w:val="003B1017"/>
    <w:rsid w:val="003B3C07"/>
    <w:rsid w:val="003B6081"/>
    <w:rsid w:val="003B6775"/>
    <w:rsid w:val="003B6A1B"/>
    <w:rsid w:val="003C51E6"/>
    <w:rsid w:val="003C5FE2"/>
    <w:rsid w:val="003D05FB"/>
    <w:rsid w:val="003D1B16"/>
    <w:rsid w:val="003D2C5F"/>
    <w:rsid w:val="003D37AE"/>
    <w:rsid w:val="003D45BF"/>
    <w:rsid w:val="003D508A"/>
    <w:rsid w:val="003D537F"/>
    <w:rsid w:val="003D77F2"/>
    <w:rsid w:val="003D7B75"/>
    <w:rsid w:val="003E0208"/>
    <w:rsid w:val="003E4B57"/>
    <w:rsid w:val="003F27E1"/>
    <w:rsid w:val="003F437A"/>
    <w:rsid w:val="003F5C2B"/>
    <w:rsid w:val="0040147B"/>
    <w:rsid w:val="00401D2D"/>
    <w:rsid w:val="00402240"/>
    <w:rsid w:val="004023E9"/>
    <w:rsid w:val="0040454A"/>
    <w:rsid w:val="00413F83"/>
    <w:rsid w:val="0041490C"/>
    <w:rsid w:val="00416191"/>
    <w:rsid w:val="00416721"/>
    <w:rsid w:val="00421EF0"/>
    <w:rsid w:val="004224FA"/>
    <w:rsid w:val="00423D07"/>
    <w:rsid w:val="00427936"/>
    <w:rsid w:val="004351FE"/>
    <w:rsid w:val="0044346F"/>
    <w:rsid w:val="004434E1"/>
    <w:rsid w:val="00453FF6"/>
    <w:rsid w:val="0046520A"/>
    <w:rsid w:val="004672AB"/>
    <w:rsid w:val="004714FE"/>
    <w:rsid w:val="004772C1"/>
    <w:rsid w:val="00477BAA"/>
    <w:rsid w:val="00491591"/>
    <w:rsid w:val="00495053"/>
    <w:rsid w:val="004A1F59"/>
    <w:rsid w:val="004A29BE"/>
    <w:rsid w:val="004A3225"/>
    <w:rsid w:val="004A33EE"/>
    <w:rsid w:val="004A3AA8"/>
    <w:rsid w:val="004B13C7"/>
    <w:rsid w:val="004B3C49"/>
    <w:rsid w:val="004B778F"/>
    <w:rsid w:val="004C0609"/>
    <w:rsid w:val="004C0666"/>
    <w:rsid w:val="004C2721"/>
    <w:rsid w:val="004C4CA0"/>
    <w:rsid w:val="004D141F"/>
    <w:rsid w:val="004D2742"/>
    <w:rsid w:val="004D6310"/>
    <w:rsid w:val="004E0062"/>
    <w:rsid w:val="004E05A1"/>
    <w:rsid w:val="004E7113"/>
    <w:rsid w:val="004F367F"/>
    <w:rsid w:val="004F472A"/>
    <w:rsid w:val="004F5E57"/>
    <w:rsid w:val="004F6710"/>
    <w:rsid w:val="00500C3E"/>
    <w:rsid w:val="00502849"/>
    <w:rsid w:val="0050345A"/>
    <w:rsid w:val="00504334"/>
    <w:rsid w:val="0050498D"/>
    <w:rsid w:val="005104D7"/>
    <w:rsid w:val="00510654"/>
    <w:rsid w:val="00510B9E"/>
    <w:rsid w:val="00516F6A"/>
    <w:rsid w:val="005303D7"/>
    <w:rsid w:val="00536BC2"/>
    <w:rsid w:val="005425E1"/>
    <w:rsid w:val="005427C5"/>
    <w:rsid w:val="00542CF6"/>
    <w:rsid w:val="005463D5"/>
    <w:rsid w:val="00553C03"/>
    <w:rsid w:val="00562124"/>
    <w:rsid w:val="00563692"/>
    <w:rsid w:val="00564CFD"/>
    <w:rsid w:val="005655A5"/>
    <w:rsid w:val="00571679"/>
    <w:rsid w:val="005738DF"/>
    <w:rsid w:val="00575391"/>
    <w:rsid w:val="00575DC2"/>
    <w:rsid w:val="005844E7"/>
    <w:rsid w:val="005904E9"/>
    <w:rsid w:val="00590507"/>
    <w:rsid w:val="005908B8"/>
    <w:rsid w:val="0059512E"/>
    <w:rsid w:val="00595C05"/>
    <w:rsid w:val="005A3AB6"/>
    <w:rsid w:val="005A6DD2"/>
    <w:rsid w:val="005A740B"/>
    <w:rsid w:val="005B679A"/>
    <w:rsid w:val="005C385D"/>
    <w:rsid w:val="005C782A"/>
    <w:rsid w:val="005D3B20"/>
    <w:rsid w:val="005D7A74"/>
    <w:rsid w:val="005E4759"/>
    <w:rsid w:val="005E5C68"/>
    <w:rsid w:val="005E65C0"/>
    <w:rsid w:val="005F0390"/>
    <w:rsid w:val="005F4A21"/>
    <w:rsid w:val="00603316"/>
    <w:rsid w:val="006072CD"/>
    <w:rsid w:val="00612023"/>
    <w:rsid w:val="00614190"/>
    <w:rsid w:val="006148D8"/>
    <w:rsid w:val="00614B3B"/>
    <w:rsid w:val="00622A99"/>
    <w:rsid w:val="00622E67"/>
    <w:rsid w:val="00626B57"/>
    <w:rsid w:val="00626EDC"/>
    <w:rsid w:val="00634A76"/>
    <w:rsid w:val="006361D9"/>
    <w:rsid w:val="0064584F"/>
    <w:rsid w:val="006470EC"/>
    <w:rsid w:val="00647405"/>
    <w:rsid w:val="006474F3"/>
    <w:rsid w:val="006542D6"/>
    <w:rsid w:val="0065598E"/>
    <w:rsid w:val="00655AF2"/>
    <w:rsid w:val="00655BC5"/>
    <w:rsid w:val="006568BE"/>
    <w:rsid w:val="00656EBE"/>
    <w:rsid w:val="00657D9E"/>
    <w:rsid w:val="0066025D"/>
    <w:rsid w:val="0066091A"/>
    <w:rsid w:val="00661AF0"/>
    <w:rsid w:val="006773EC"/>
    <w:rsid w:val="00680504"/>
    <w:rsid w:val="00680976"/>
    <w:rsid w:val="00681CD9"/>
    <w:rsid w:val="00683E30"/>
    <w:rsid w:val="00687024"/>
    <w:rsid w:val="00687FAE"/>
    <w:rsid w:val="0069421E"/>
    <w:rsid w:val="00695E22"/>
    <w:rsid w:val="00697D73"/>
    <w:rsid w:val="006A2F95"/>
    <w:rsid w:val="006B7093"/>
    <w:rsid w:val="006B7417"/>
    <w:rsid w:val="006C7AC5"/>
    <w:rsid w:val="006D3691"/>
    <w:rsid w:val="006E5EF0"/>
    <w:rsid w:val="006F3563"/>
    <w:rsid w:val="006F38F9"/>
    <w:rsid w:val="006F42B9"/>
    <w:rsid w:val="006F5107"/>
    <w:rsid w:val="006F596F"/>
    <w:rsid w:val="006F6103"/>
    <w:rsid w:val="00700EC1"/>
    <w:rsid w:val="00704E00"/>
    <w:rsid w:val="00706581"/>
    <w:rsid w:val="007209E7"/>
    <w:rsid w:val="00726182"/>
    <w:rsid w:val="00727635"/>
    <w:rsid w:val="00732329"/>
    <w:rsid w:val="007337CA"/>
    <w:rsid w:val="00734CE4"/>
    <w:rsid w:val="00735123"/>
    <w:rsid w:val="00741837"/>
    <w:rsid w:val="007424D0"/>
    <w:rsid w:val="007453E6"/>
    <w:rsid w:val="00746CDD"/>
    <w:rsid w:val="00747682"/>
    <w:rsid w:val="007647BD"/>
    <w:rsid w:val="0077309D"/>
    <w:rsid w:val="00773ADE"/>
    <w:rsid w:val="007774EE"/>
    <w:rsid w:val="00781822"/>
    <w:rsid w:val="00783F21"/>
    <w:rsid w:val="00787159"/>
    <w:rsid w:val="0079043A"/>
    <w:rsid w:val="00790826"/>
    <w:rsid w:val="00791668"/>
    <w:rsid w:val="00791AA1"/>
    <w:rsid w:val="0079531A"/>
    <w:rsid w:val="007A3793"/>
    <w:rsid w:val="007B35E8"/>
    <w:rsid w:val="007C0288"/>
    <w:rsid w:val="007C02F3"/>
    <w:rsid w:val="007C0486"/>
    <w:rsid w:val="007C1BA2"/>
    <w:rsid w:val="007C2B48"/>
    <w:rsid w:val="007D20E9"/>
    <w:rsid w:val="007D6E59"/>
    <w:rsid w:val="007D7881"/>
    <w:rsid w:val="007D7E3A"/>
    <w:rsid w:val="007E0E10"/>
    <w:rsid w:val="007E4768"/>
    <w:rsid w:val="007E4AAE"/>
    <w:rsid w:val="007E777B"/>
    <w:rsid w:val="007F2070"/>
    <w:rsid w:val="007F49F1"/>
    <w:rsid w:val="007F63C1"/>
    <w:rsid w:val="008053F5"/>
    <w:rsid w:val="00807AF7"/>
    <w:rsid w:val="00810198"/>
    <w:rsid w:val="008115CB"/>
    <w:rsid w:val="00815DA8"/>
    <w:rsid w:val="0082194D"/>
    <w:rsid w:val="008221F9"/>
    <w:rsid w:val="00826EF5"/>
    <w:rsid w:val="00831693"/>
    <w:rsid w:val="00840104"/>
    <w:rsid w:val="00840C1F"/>
    <w:rsid w:val="008411C9"/>
    <w:rsid w:val="00841FC5"/>
    <w:rsid w:val="00843091"/>
    <w:rsid w:val="00845709"/>
    <w:rsid w:val="00856119"/>
    <w:rsid w:val="008576BD"/>
    <w:rsid w:val="00860463"/>
    <w:rsid w:val="00862F0A"/>
    <w:rsid w:val="00870A81"/>
    <w:rsid w:val="008733DA"/>
    <w:rsid w:val="00874A27"/>
    <w:rsid w:val="00880D74"/>
    <w:rsid w:val="00882772"/>
    <w:rsid w:val="00882FC3"/>
    <w:rsid w:val="008850E4"/>
    <w:rsid w:val="008939AB"/>
    <w:rsid w:val="00894200"/>
    <w:rsid w:val="008A12F5"/>
    <w:rsid w:val="008B1587"/>
    <w:rsid w:val="008B1B01"/>
    <w:rsid w:val="008B3BCD"/>
    <w:rsid w:val="008B68DD"/>
    <w:rsid w:val="008B6DF8"/>
    <w:rsid w:val="008C106C"/>
    <w:rsid w:val="008C10F1"/>
    <w:rsid w:val="008C1926"/>
    <w:rsid w:val="008C1E99"/>
    <w:rsid w:val="008C6232"/>
    <w:rsid w:val="008D0D1D"/>
    <w:rsid w:val="008E0085"/>
    <w:rsid w:val="008E1F6A"/>
    <w:rsid w:val="008E2AA6"/>
    <w:rsid w:val="008E2C42"/>
    <w:rsid w:val="008E311B"/>
    <w:rsid w:val="008E5D58"/>
    <w:rsid w:val="008F318A"/>
    <w:rsid w:val="008F46E7"/>
    <w:rsid w:val="008F4C26"/>
    <w:rsid w:val="008F6F0B"/>
    <w:rsid w:val="008F702B"/>
    <w:rsid w:val="009022F3"/>
    <w:rsid w:val="00907BA7"/>
    <w:rsid w:val="0091064E"/>
    <w:rsid w:val="00911059"/>
    <w:rsid w:val="00911FC5"/>
    <w:rsid w:val="00914338"/>
    <w:rsid w:val="00915E99"/>
    <w:rsid w:val="009232AB"/>
    <w:rsid w:val="00931A10"/>
    <w:rsid w:val="009322D7"/>
    <w:rsid w:val="00943E7B"/>
    <w:rsid w:val="00946B02"/>
    <w:rsid w:val="00947967"/>
    <w:rsid w:val="0095046E"/>
    <w:rsid w:val="00955201"/>
    <w:rsid w:val="00964EB4"/>
    <w:rsid w:val="00965200"/>
    <w:rsid w:val="009668B3"/>
    <w:rsid w:val="00971471"/>
    <w:rsid w:val="0097170E"/>
    <w:rsid w:val="00980B65"/>
    <w:rsid w:val="009849C2"/>
    <w:rsid w:val="00984D24"/>
    <w:rsid w:val="009858EB"/>
    <w:rsid w:val="00996237"/>
    <w:rsid w:val="009A1214"/>
    <w:rsid w:val="009A3F47"/>
    <w:rsid w:val="009A6C4A"/>
    <w:rsid w:val="009B0046"/>
    <w:rsid w:val="009B0465"/>
    <w:rsid w:val="009C1440"/>
    <w:rsid w:val="009C2107"/>
    <w:rsid w:val="009C5D9E"/>
    <w:rsid w:val="009C7BDB"/>
    <w:rsid w:val="009D1669"/>
    <w:rsid w:val="009D2C3E"/>
    <w:rsid w:val="009E0625"/>
    <w:rsid w:val="009E06A7"/>
    <w:rsid w:val="009E3034"/>
    <w:rsid w:val="009E549F"/>
    <w:rsid w:val="009F28A8"/>
    <w:rsid w:val="009F473E"/>
    <w:rsid w:val="009F682A"/>
    <w:rsid w:val="00A0181F"/>
    <w:rsid w:val="00A022BE"/>
    <w:rsid w:val="00A07B4B"/>
    <w:rsid w:val="00A10A90"/>
    <w:rsid w:val="00A137F9"/>
    <w:rsid w:val="00A24C95"/>
    <w:rsid w:val="00A2599A"/>
    <w:rsid w:val="00A26094"/>
    <w:rsid w:val="00A275D4"/>
    <w:rsid w:val="00A301BF"/>
    <w:rsid w:val="00A302B2"/>
    <w:rsid w:val="00A31855"/>
    <w:rsid w:val="00A331B4"/>
    <w:rsid w:val="00A3484E"/>
    <w:rsid w:val="00A356D3"/>
    <w:rsid w:val="00A36ADA"/>
    <w:rsid w:val="00A41BAF"/>
    <w:rsid w:val="00A438D8"/>
    <w:rsid w:val="00A46453"/>
    <w:rsid w:val="00A473F5"/>
    <w:rsid w:val="00A50933"/>
    <w:rsid w:val="00A51F9D"/>
    <w:rsid w:val="00A5416A"/>
    <w:rsid w:val="00A639F4"/>
    <w:rsid w:val="00A647EE"/>
    <w:rsid w:val="00A64DE6"/>
    <w:rsid w:val="00A706EB"/>
    <w:rsid w:val="00A734DB"/>
    <w:rsid w:val="00A81A32"/>
    <w:rsid w:val="00A835BD"/>
    <w:rsid w:val="00A903B4"/>
    <w:rsid w:val="00A97B15"/>
    <w:rsid w:val="00AA0356"/>
    <w:rsid w:val="00AA036E"/>
    <w:rsid w:val="00AA42D5"/>
    <w:rsid w:val="00AA65FC"/>
    <w:rsid w:val="00AB0DAA"/>
    <w:rsid w:val="00AB2FAB"/>
    <w:rsid w:val="00AB5C14"/>
    <w:rsid w:val="00AC1EE7"/>
    <w:rsid w:val="00AC1F32"/>
    <w:rsid w:val="00AC333F"/>
    <w:rsid w:val="00AC585C"/>
    <w:rsid w:val="00AD05F0"/>
    <w:rsid w:val="00AD1925"/>
    <w:rsid w:val="00AD3A71"/>
    <w:rsid w:val="00AE067D"/>
    <w:rsid w:val="00AE632A"/>
    <w:rsid w:val="00AF05EE"/>
    <w:rsid w:val="00AF06CE"/>
    <w:rsid w:val="00AF06F9"/>
    <w:rsid w:val="00AF1181"/>
    <w:rsid w:val="00AF2F79"/>
    <w:rsid w:val="00AF4653"/>
    <w:rsid w:val="00AF4D4E"/>
    <w:rsid w:val="00AF7DB7"/>
    <w:rsid w:val="00B06D47"/>
    <w:rsid w:val="00B10D02"/>
    <w:rsid w:val="00B140F6"/>
    <w:rsid w:val="00B201E2"/>
    <w:rsid w:val="00B24FEA"/>
    <w:rsid w:val="00B3627D"/>
    <w:rsid w:val="00B443E4"/>
    <w:rsid w:val="00B5484D"/>
    <w:rsid w:val="00B563EA"/>
    <w:rsid w:val="00B56CDF"/>
    <w:rsid w:val="00B60E51"/>
    <w:rsid w:val="00B63A54"/>
    <w:rsid w:val="00B76B90"/>
    <w:rsid w:val="00B77D18"/>
    <w:rsid w:val="00B8313A"/>
    <w:rsid w:val="00B91C74"/>
    <w:rsid w:val="00B93503"/>
    <w:rsid w:val="00BA31E8"/>
    <w:rsid w:val="00BA55E0"/>
    <w:rsid w:val="00BA6BD4"/>
    <w:rsid w:val="00BA6C7A"/>
    <w:rsid w:val="00BB17D1"/>
    <w:rsid w:val="00BB3752"/>
    <w:rsid w:val="00BB415D"/>
    <w:rsid w:val="00BB6688"/>
    <w:rsid w:val="00BC26D4"/>
    <w:rsid w:val="00BC4AE9"/>
    <w:rsid w:val="00BC5F7B"/>
    <w:rsid w:val="00BD5653"/>
    <w:rsid w:val="00BE0623"/>
    <w:rsid w:val="00BE0C80"/>
    <w:rsid w:val="00BE5C06"/>
    <w:rsid w:val="00BF1B88"/>
    <w:rsid w:val="00BF2A42"/>
    <w:rsid w:val="00C03D8C"/>
    <w:rsid w:val="00C055EC"/>
    <w:rsid w:val="00C10DC9"/>
    <w:rsid w:val="00C12FB3"/>
    <w:rsid w:val="00C17341"/>
    <w:rsid w:val="00C20E67"/>
    <w:rsid w:val="00C24EEF"/>
    <w:rsid w:val="00C25CF6"/>
    <w:rsid w:val="00C262DC"/>
    <w:rsid w:val="00C26C36"/>
    <w:rsid w:val="00C27932"/>
    <w:rsid w:val="00C32768"/>
    <w:rsid w:val="00C431DF"/>
    <w:rsid w:val="00C45458"/>
    <w:rsid w:val="00C456BD"/>
    <w:rsid w:val="00C45EAF"/>
    <w:rsid w:val="00C522DC"/>
    <w:rsid w:val="00C530DC"/>
    <w:rsid w:val="00C5350D"/>
    <w:rsid w:val="00C6123C"/>
    <w:rsid w:val="00C61514"/>
    <w:rsid w:val="00C6311A"/>
    <w:rsid w:val="00C670AE"/>
    <w:rsid w:val="00C7084D"/>
    <w:rsid w:val="00C7315E"/>
    <w:rsid w:val="00C75895"/>
    <w:rsid w:val="00C83C9F"/>
    <w:rsid w:val="00C93C47"/>
    <w:rsid w:val="00C94840"/>
    <w:rsid w:val="00C96D5A"/>
    <w:rsid w:val="00CA4EE3"/>
    <w:rsid w:val="00CB027F"/>
    <w:rsid w:val="00CB3640"/>
    <w:rsid w:val="00CB3901"/>
    <w:rsid w:val="00CC0EBB"/>
    <w:rsid w:val="00CC42AB"/>
    <w:rsid w:val="00CC6297"/>
    <w:rsid w:val="00CC6B90"/>
    <w:rsid w:val="00CC7690"/>
    <w:rsid w:val="00CD1986"/>
    <w:rsid w:val="00CD54BF"/>
    <w:rsid w:val="00CE01BD"/>
    <w:rsid w:val="00CE4D5C"/>
    <w:rsid w:val="00CE5BD7"/>
    <w:rsid w:val="00CF05DA"/>
    <w:rsid w:val="00CF099F"/>
    <w:rsid w:val="00CF36AE"/>
    <w:rsid w:val="00CF58EB"/>
    <w:rsid w:val="00CF6FEC"/>
    <w:rsid w:val="00D0106E"/>
    <w:rsid w:val="00D06383"/>
    <w:rsid w:val="00D13B58"/>
    <w:rsid w:val="00D20E85"/>
    <w:rsid w:val="00D23AE4"/>
    <w:rsid w:val="00D241F0"/>
    <w:rsid w:val="00D24208"/>
    <w:rsid w:val="00D24615"/>
    <w:rsid w:val="00D37842"/>
    <w:rsid w:val="00D42DC2"/>
    <w:rsid w:val="00D4302B"/>
    <w:rsid w:val="00D52FD3"/>
    <w:rsid w:val="00D537E1"/>
    <w:rsid w:val="00D55BB2"/>
    <w:rsid w:val="00D6091A"/>
    <w:rsid w:val="00D6605A"/>
    <w:rsid w:val="00D6695F"/>
    <w:rsid w:val="00D7421A"/>
    <w:rsid w:val="00D75644"/>
    <w:rsid w:val="00D81656"/>
    <w:rsid w:val="00D83D87"/>
    <w:rsid w:val="00D84A6D"/>
    <w:rsid w:val="00D856B5"/>
    <w:rsid w:val="00D86A30"/>
    <w:rsid w:val="00D97CB4"/>
    <w:rsid w:val="00D97DD4"/>
    <w:rsid w:val="00DA5A8A"/>
    <w:rsid w:val="00DB1170"/>
    <w:rsid w:val="00DB26CD"/>
    <w:rsid w:val="00DB441C"/>
    <w:rsid w:val="00DB44AF"/>
    <w:rsid w:val="00DC0838"/>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38E6"/>
    <w:rsid w:val="00E15352"/>
    <w:rsid w:val="00E21CC7"/>
    <w:rsid w:val="00E24D9E"/>
    <w:rsid w:val="00E25849"/>
    <w:rsid w:val="00E3197E"/>
    <w:rsid w:val="00E342F8"/>
    <w:rsid w:val="00E351ED"/>
    <w:rsid w:val="00E6034B"/>
    <w:rsid w:val="00E611D9"/>
    <w:rsid w:val="00E6549E"/>
    <w:rsid w:val="00E65EDE"/>
    <w:rsid w:val="00E6756B"/>
    <w:rsid w:val="00E70F81"/>
    <w:rsid w:val="00E7187D"/>
    <w:rsid w:val="00E77055"/>
    <w:rsid w:val="00E77460"/>
    <w:rsid w:val="00E82FF0"/>
    <w:rsid w:val="00E83ABC"/>
    <w:rsid w:val="00E844F2"/>
    <w:rsid w:val="00E87AF3"/>
    <w:rsid w:val="00E9068F"/>
    <w:rsid w:val="00E90962"/>
    <w:rsid w:val="00E90AD0"/>
    <w:rsid w:val="00E92FCB"/>
    <w:rsid w:val="00EA00C2"/>
    <w:rsid w:val="00EA1421"/>
    <w:rsid w:val="00EA147F"/>
    <w:rsid w:val="00EA3BEF"/>
    <w:rsid w:val="00EA4A27"/>
    <w:rsid w:val="00EA4FA6"/>
    <w:rsid w:val="00EB1A25"/>
    <w:rsid w:val="00EC3ED5"/>
    <w:rsid w:val="00EC7363"/>
    <w:rsid w:val="00ED03AB"/>
    <w:rsid w:val="00ED1963"/>
    <w:rsid w:val="00ED1CD4"/>
    <w:rsid w:val="00ED1D1B"/>
    <w:rsid w:val="00ED1D2B"/>
    <w:rsid w:val="00ED3DFB"/>
    <w:rsid w:val="00ED515B"/>
    <w:rsid w:val="00ED64B5"/>
    <w:rsid w:val="00ED6A95"/>
    <w:rsid w:val="00EE7CCA"/>
    <w:rsid w:val="00EF0B83"/>
    <w:rsid w:val="00EF46F1"/>
    <w:rsid w:val="00F16A14"/>
    <w:rsid w:val="00F21030"/>
    <w:rsid w:val="00F27FF8"/>
    <w:rsid w:val="00F30AB2"/>
    <w:rsid w:val="00F321FC"/>
    <w:rsid w:val="00F362D7"/>
    <w:rsid w:val="00F37D7B"/>
    <w:rsid w:val="00F412FF"/>
    <w:rsid w:val="00F41F77"/>
    <w:rsid w:val="00F44C27"/>
    <w:rsid w:val="00F5314C"/>
    <w:rsid w:val="00F54C2E"/>
    <w:rsid w:val="00F5688C"/>
    <w:rsid w:val="00F60048"/>
    <w:rsid w:val="00F635DD"/>
    <w:rsid w:val="00F64597"/>
    <w:rsid w:val="00F6627B"/>
    <w:rsid w:val="00F7336E"/>
    <w:rsid w:val="00F734F2"/>
    <w:rsid w:val="00F7376B"/>
    <w:rsid w:val="00F74951"/>
    <w:rsid w:val="00F75052"/>
    <w:rsid w:val="00F804D3"/>
    <w:rsid w:val="00F816CB"/>
    <w:rsid w:val="00F819B8"/>
    <w:rsid w:val="00F81CD2"/>
    <w:rsid w:val="00F821E1"/>
    <w:rsid w:val="00F82641"/>
    <w:rsid w:val="00F85330"/>
    <w:rsid w:val="00F90F18"/>
    <w:rsid w:val="00F937E4"/>
    <w:rsid w:val="00F95EE7"/>
    <w:rsid w:val="00F97E4A"/>
    <w:rsid w:val="00FA1D7F"/>
    <w:rsid w:val="00FA39E6"/>
    <w:rsid w:val="00FA7BC9"/>
    <w:rsid w:val="00FB378E"/>
    <w:rsid w:val="00FB37F1"/>
    <w:rsid w:val="00FB397F"/>
    <w:rsid w:val="00FB47C0"/>
    <w:rsid w:val="00FB4DD6"/>
    <w:rsid w:val="00FB501B"/>
    <w:rsid w:val="00FB7770"/>
    <w:rsid w:val="00FC5CFC"/>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DA435C-9730-455A-839C-8D44AF56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935BA"/>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ind w:left="2722"/>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basedOn w:val="a7"/>
    <w:link w:val="3"/>
    <w:rsid w:val="00647405"/>
    <w:rPr>
      <w:rFonts w:ascii="標楷體" w:eastAsia="標楷體" w:hAnsi="Arial"/>
      <w:bCs/>
      <w:kern w:val="32"/>
      <w:sz w:val="32"/>
      <w:szCs w:val="36"/>
    </w:rPr>
  </w:style>
  <w:style w:type="paragraph" w:styleId="afc">
    <w:name w:val="footnote text"/>
    <w:basedOn w:val="a6"/>
    <w:link w:val="afd"/>
    <w:semiHidden/>
    <w:unhideWhenUsed/>
    <w:rsid w:val="00034B7E"/>
    <w:pPr>
      <w:snapToGrid w:val="0"/>
      <w:jc w:val="left"/>
    </w:pPr>
    <w:rPr>
      <w:sz w:val="20"/>
    </w:rPr>
  </w:style>
  <w:style w:type="character" w:customStyle="1" w:styleId="afd">
    <w:name w:val="註腳文字 字元"/>
    <w:basedOn w:val="a7"/>
    <w:link w:val="afc"/>
    <w:semiHidden/>
    <w:rsid w:val="00034B7E"/>
    <w:rPr>
      <w:rFonts w:ascii="標楷體" w:eastAsia="標楷體"/>
      <w:kern w:val="2"/>
    </w:rPr>
  </w:style>
  <w:style w:type="character" w:styleId="afe">
    <w:name w:val="footnote reference"/>
    <w:basedOn w:val="a7"/>
    <w:semiHidden/>
    <w:unhideWhenUsed/>
    <w:rsid w:val="00034B7E"/>
    <w:rPr>
      <w:vertAlign w:val="superscript"/>
    </w:rPr>
  </w:style>
  <w:style w:type="paragraph" w:customStyle="1" w:styleId="aff">
    <w:name w:val="分項段落"/>
    <w:basedOn w:val="a6"/>
    <w:rsid w:val="008C6232"/>
    <w:pPr>
      <w:overflowPunct/>
      <w:autoSpaceDE/>
      <w:autoSpaceDN/>
      <w:jc w:val="left"/>
    </w:pPr>
    <w:rPr>
      <w:rFonts w:ascii="Times New Roman" w:eastAsia="新細明體"/>
      <w:sz w:val="24"/>
    </w:rPr>
  </w:style>
  <w:style w:type="character" w:customStyle="1" w:styleId="st1">
    <w:name w:val="st1"/>
    <w:basedOn w:val="a7"/>
    <w:rsid w:val="00F97E4A"/>
  </w:style>
  <w:style w:type="character" w:customStyle="1" w:styleId="50">
    <w:name w:val="標題 5 字元"/>
    <w:basedOn w:val="a7"/>
    <w:link w:val="5"/>
    <w:rsid w:val="00706581"/>
    <w:rPr>
      <w:rFonts w:ascii="標楷體" w:eastAsia="標楷體" w:hAnsi="Arial"/>
      <w:bCs/>
      <w:kern w:val="32"/>
      <w:sz w:val="32"/>
      <w:szCs w:val="36"/>
    </w:rPr>
  </w:style>
  <w:style w:type="character" w:customStyle="1" w:styleId="60">
    <w:name w:val="標題 6 字元"/>
    <w:basedOn w:val="a7"/>
    <w:link w:val="6"/>
    <w:rsid w:val="00E7187D"/>
    <w:rPr>
      <w:rFonts w:ascii="標楷體" w:eastAsia="標楷體" w:hAnsi="Arial"/>
      <w:kern w:val="32"/>
      <w:sz w:val="32"/>
      <w:szCs w:val="36"/>
    </w:rPr>
  </w:style>
  <w:style w:type="character" w:customStyle="1" w:styleId="70">
    <w:name w:val="標題 7 字元"/>
    <w:basedOn w:val="a7"/>
    <w:link w:val="7"/>
    <w:rsid w:val="00E7187D"/>
    <w:rPr>
      <w:rFonts w:ascii="標楷體" w:eastAsia="標楷體" w:hAnsi="Arial"/>
      <w:bCs/>
      <w:kern w:val="32"/>
      <w:sz w:val="32"/>
      <w:szCs w:val="36"/>
    </w:rPr>
  </w:style>
  <w:style w:type="character" w:customStyle="1" w:styleId="40">
    <w:name w:val="標題 4 字元"/>
    <w:basedOn w:val="a7"/>
    <w:link w:val="4"/>
    <w:rsid w:val="00F819B8"/>
    <w:rPr>
      <w:rFonts w:ascii="標楷體" w:eastAsia="標楷體" w:hAnsi="Arial"/>
      <w:kern w:val="32"/>
      <w:sz w:val="32"/>
      <w:szCs w:val="36"/>
    </w:rPr>
  </w:style>
  <w:style w:type="character" w:customStyle="1" w:styleId="10">
    <w:name w:val="標題 1 字元"/>
    <w:basedOn w:val="a7"/>
    <w:link w:val="1"/>
    <w:rsid w:val="00F819B8"/>
    <w:rPr>
      <w:rFonts w:ascii="標楷體" w:eastAsia="標楷體" w:hAnsi="Arial"/>
      <w:bCs/>
      <w:kern w:val="32"/>
      <w:sz w:val="32"/>
      <w:szCs w:val="52"/>
    </w:rPr>
  </w:style>
  <w:style w:type="paragraph" w:styleId="HTML">
    <w:name w:val="HTML Preformatted"/>
    <w:basedOn w:val="a6"/>
    <w:link w:val="HTML0"/>
    <w:uiPriority w:val="99"/>
    <w:unhideWhenUsed/>
    <w:rsid w:val="00BD56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D5653"/>
    <w:rPr>
      <w:rFonts w:ascii="細明體" w:eastAsia="細明體" w:hAnsi="細明體" w:cs="細明體"/>
      <w:sz w:val="24"/>
      <w:szCs w:val="24"/>
    </w:rPr>
  </w:style>
  <w:style w:type="character" w:customStyle="1" w:styleId="20">
    <w:name w:val="標題 2 字元"/>
    <w:basedOn w:val="a7"/>
    <w:link w:val="2"/>
    <w:rsid w:val="00A31855"/>
    <w:rPr>
      <w:rFonts w:ascii="標楷體" w:eastAsia="標楷體" w:hAnsi="Arial"/>
      <w:bCs/>
      <w:kern w:val="32"/>
      <w:sz w:val="32"/>
      <w:szCs w:val="48"/>
    </w:rPr>
  </w:style>
  <w:style w:type="paragraph" w:customStyle="1" w:styleId="Default">
    <w:name w:val="Default"/>
    <w:rsid w:val="00D241F0"/>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18919364">
      <w:bodyDiv w:val="1"/>
      <w:marLeft w:val="0"/>
      <w:marRight w:val="0"/>
      <w:marTop w:val="0"/>
      <w:marBottom w:val="0"/>
      <w:divBdr>
        <w:top w:val="none" w:sz="0" w:space="0" w:color="auto"/>
        <w:left w:val="none" w:sz="0" w:space="0" w:color="auto"/>
        <w:bottom w:val="none" w:sz="0" w:space="0" w:color="auto"/>
        <w:right w:val="none" w:sz="0" w:space="0" w:color="auto"/>
      </w:divBdr>
    </w:div>
    <w:div w:id="1748261512">
      <w:bodyDiv w:val="1"/>
      <w:marLeft w:val="0"/>
      <w:marRight w:val="0"/>
      <w:marTop w:val="0"/>
      <w:marBottom w:val="0"/>
      <w:divBdr>
        <w:top w:val="none" w:sz="0" w:space="0" w:color="auto"/>
        <w:left w:val="none" w:sz="0" w:space="0" w:color="auto"/>
        <w:bottom w:val="none" w:sz="0" w:space="0" w:color="auto"/>
        <w:right w:val="none" w:sz="0" w:space="0" w:color="auto"/>
      </w:divBdr>
      <w:divsChild>
        <w:div w:id="782726719">
          <w:marLeft w:val="0"/>
          <w:marRight w:val="0"/>
          <w:marTop w:val="0"/>
          <w:marBottom w:val="0"/>
          <w:divBdr>
            <w:top w:val="none" w:sz="0" w:space="0" w:color="auto"/>
            <w:left w:val="none" w:sz="0" w:space="0" w:color="auto"/>
            <w:bottom w:val="none" w:sz="0" w:space="0" w:color="auto"/>
            <w:right w:val="none" w:sz="0" w:space="0" w:color="auto"/>
          </w:divBdr>
          <w:divsChild>
            <w:div w:id="18492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pa.gov.tw/Pages/Detail.aspx?nodeid=1127&amp;pid=1804&#65292;&#26597;&#35426;&#26085;&#26399;&#65306;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F9D59-D35A-4AFB-8F71-5FF36D8F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14</Pages>
  <Words>1158</Words>
  <Characters>6605</Characters>
  <Application>Microsoft Office Word</Application>
  <DocSecurity>0</DocSecurity>
  <Lines>55</Lines>
  <Paragraphs>15</Paragraphs>
  <ScaleCrop>false</ScaleCrop>
  <Company>cy</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王心芬</dc:creator>
  <cp:lastModifiedBy>周慶安</cp:lastModifiedBy>
  <cp:revision>3</cp:revision>
  <cp:lastPrinted>2020-04-09T01:33:00Z</cp:lastPrinted>
  <dcterms:created xsi:type="dcterms:W3CDTF">2020-04-09T01:50:00Z</dcterms:created>
  <dcterms:modified xsi:type="dcterms:W3CDTF">2020-04-09T01:51:00Z</dcterms:modified>
</cp:coreProperties>
</file>