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D41D30" w:rsidRDefault="00D41D30" w:rsidP="00D41D30">
      <w:pPr>
        <w:pStyle w:val="af4"/>
        <w:tabs>
          <w:tab w:val="center" w:pos="4422"/>
          <w:tab w:val="right" w:pos="8844"/>
        </w:tabs>
        <w:jc w:val="left"/>
        <w:rPr>
          <w:b w:val="0"/>
          <w:color w:val="000000" w:themeColor="text1"/>
        </w:rPr>
      </w:pPr>
      <w:bookmarkStart w:id="0" w:name="_GoBack"/>
      <w:bookmarkEnd w:id="0"/>
      <w:r>
        <w:rPr>
          <w:b w:val="0"/>
          <w:color w:val="000000" w:themeColor="text1"/>
        </w:rPr>
        <w:tab/>
      </w:r>
      <w:r w:rsidR="00C11C2B" w:rsidRPr="00D41D30">
        <w:rPr>
          <w:rFonts w:hint="eastAsia"/>
          <w:b w:val="0"/>
          <w:color w:val="000000" w:themeColor="text1"/>
        </w:rPr>
        <w:t>調查報告</w:t>
      </w:r>
      <w:r w:rsidR="00E25849" w:rsidRPr="00D41D30">
        <w:rPr>
          <w:rFonts w:hint="eastAsia"/>
          <w:b w:val="0"/>
          <w:color w:val="000000" w:themeColor="text1"/>
        </w:rPr>
        <w:t>目</w:t>
      </w:r>
      <w:r w:rsidR="00A3484E" w:rsidRPr="00D41D30">
        <w:rPr>
          <w:rFonts w:hint="eastAsia"/>
          <w:b w:val="0"/>
          <w:color w:val="000000" w:themeColor="text1"/>
        </w:rPr>
        <w:t>次</w:t>
      </w:r>
      <w:r>
        <w:rPr>
          <w:b w:val="0"/>
          <w:color w:val="000000" w:themeColor="text1"/>
        </w:rPr>
        <w:tab/>
      </w:r>
    </w:p>
    <w:p w:rsidR="009D6D39" w:rsidRPr="00D41D30" w:rsidRDefault="00DA5A8A" w:rsidP="005F4E1B">
      <w:pPr>
        <w:pStyle w:val="12"/>
        <w:rPr>
          <w:rFonts w:asciiTheme="minorHAnsi" w:eastAsiaTheme="minorEastAsia" w:hAnsiTheme="minorHAnsi" w:cstheme="minorBidi"/>
          <w:sz w:val="24"/>
          <w:szCs w:val="22"/>
        </w:rPr>
      </w:pPr>
      <w:r w:rsidRPr="00D41D30">
        <w:rPr>
          <w:bCs/>
        </w:rPr>
        <w:fldChar w:fldCharType="begin"/>
      </w:r>
      <w:r w:rsidRPr="00D41D30">
        <w:rPr>
          <w:bCs/>
        </w:rPr>
        <w:instrText xml:space="preserve"> TOC \o "1-1" \h \z \t "標題 2,2,標題 3,3,表樣式,1,圖樣式,1,附錄,1" </w:instrText>
      </w:r>
      <w:r w:rsidRPr="00D41D30">
        <w:rPr>
          <w:bCs/>
        </w:rPr>
        <w:fldChar w:fldCharType="separate"/>
      </w:r>
      <w:hyperlink w:anchor="_Toc33011680" w:history="1">
        <w:r w:rsidR="009D6D39" w:rsidRPr="00D41D30">
          <w:rPr>
            <w:rStyle w:val="af0"/>
            <w:rFonts w:hint="eastAsia"/>
            <w:color w:val="000000" w:themeColor="text1"/>
          </w:rPr>
          <w:t>壹、 調查緣起</w:t>
        </w:r>
        <w:r w:rsidR="009D6D39" w:rsidRPr="00D41D30">
          <w:rPr>
            <w:webHidden/>
          </w:rPr>
          <w:tab/>
        </w:r>
        <w:r w:rsidR="009D6D39" w:rsidRPr="00D41D30">
          <w:rPr>
            <w:webHidden/>
          </w:rPr>
          <w:fldChar w:fldCharType="begin"/>
        </w:r>
        <w:r w:rsidR="009D6D39" w:rsidRPr="00D41D30">
          <w:rPr>
            <w:webHidden/>
          </w:rPr>
          <w:instrText xml:space="preserve"> PAGEREF _Toc33011680 \h </w:instrText>
        </w:r>
        <w:r w:rsidR="009D6D39" w:rsidRPr="00D41D30">
          <w:rPr>
            <w:webHidden/>
          </w:rPr>
        </w:r>
        <w:r w:rsidR="009D6D39" w:rsidRPr="00D41D30">
          <w:rPr>
            <w:webHidden/>
          </w:rPr>
          <w:fldChar w:fldCharType="separate"/>
        </w:r>
        <w:r w:rsidR="0009143A">
          <w:rPr>
            <w:webHidden/>
          </w:rPr>
          <w:t>1</w:t>
        </w:r>
        <w:r w:rsidR="009D6D39" w:rsidRPr="00D41D30">
          <w:rPr>
            <w:webHidden/>
          </w:rPr>
          <w:fldChar w:fldCharType="end"/>
        </w:r>
      </w:hyperlink>
    </w:p>
    <w:p w:rsidR="009D6D39" w:rsidRPr="00D41D30" w:rsidRDefault="0009143A" w:rsidP="005F4E1B">
      <w:pPr>
        <w:pStyle w:val="12"/>
        <w:rPr>
          <w:rFonts w:asciiTheme="minorHAnsi" w:eastAsiaTheme="minorEastAsia" w:hAnsiTheme="minorHAnsi" w:cstheme="minorBidi"/>
          <w:sz w:val="24"/>
          <w:szCs w:val="22"/>
        </w:rPr>
      </w:pPr>
      <w:hyperlink w:anchor="_Toc33011681" w:history="1">
        <w:r w:rsidR="009D6D39" w:rsidRPr="00D41D30">
          <w:rPr>
            <w:rStyle w:val="af0"/>
            <w:rFonts w:hint="eastAsia"/>
            <w:color w:val="000000" w:themeColor="text1"/>
          </w:rPr>
          <w:t>貳、 調查對象</w:t>
        </w:r>
        <w:r w:rsidR="009D6D39" w:rsidRPr="00D41D30">
          <w:rPr>
            <w:webHidden/>
          </w:rPr>
          <w:tab/>
        </w:r>
        <w:r w:rsidR="009D6D39" w:rsidRPr="00D41D30">
          <w:rPr>
            <w:webHidden/>
          </w:rPr>
          <w:fldChar w:fldCharType="begin"/>
        </w:r>
        <w:r w:rsidR="009D6D39" w:rsidRPr="00D41D30">
          <w:rPr>
            <w:webHidden/>
          </w:rPr>
          <w:instrText xml:space="preserve"> PAGEREF _Toc33011681 \h </w:instrText>
        </w:r>
        <w:r w:rsidR="009D6D39" w:rsidRPr="00D41D30">
          <w:rPr>
            <w:webHidden/>
          </w:rPr>
        </w:r>
        <w:r w:rsidR="009D6D39" w:rsidRPr="00D41D30">
          <w:rPr>
            <w:webHidden/>
          </w:rPr>
          <w:fldChar w:fldCharType="separate"/>
        </w:r>
        <w:r>
          <w:rPr>
            <w:webHidden/>
          </w:rPr>
          <w:t>1</w:t>
        </w:r>
        <w:r w:rsidR="009D6D39" w:rsidRPr="00D41D30">
          <w:rPr>
            <w:webHidden/>
          </w:rPr>
          <w:fldChar w:fldCharType="end"/>
        </w:r>
      </w:hyperlink>
    </w:p>
    <w:p w:rsidR="009D6D39" w:rsidRPr="00D41D30" w:rsidRDefault="0009143A" w:rsidP="005F4E1B">
      <w:pPr>
        <w:pStyle w:val="12"/>
        <w:rPr>
          <w:rFonts w:asciiTheme="minorHAnsi" w:eastAsiaTheme="minorEastAsia" w:hAnsiTheme="minorHAnsi" w:cstheme="minorBidi"/>
          <w:sz w:val="24"/>
          <w:szCs w:val="22"/>
        </w:rPr>
      </w:pPr>
      <w:hyperlink w:anchor="_Toc33011682" w:history="1">
        <w:r w:rsidR="009D6D39" w:rsidRPr="00D41D30">
          <w:rPr>
            <w:rStyle w:val="af0"/>
            <w:rFonts w:hint="eastAsia"/>
            <w:color w:val="000000" w:themeColor="text1"/>
          </w:rPr>
          <w:t>參、 案　　由</w:t>
        </w:r>
        <w:r w:rsidR="009D6D39" w:rsidRPr="00D41D30">
          <w:rPr>
            <w:webHidden/>
          </w:rPr>
          <w:tab/>
        </w:r>
        <w:r w:rsidR="009D6D39" w:rsidRPr="00D41D30">
          <w:rPr>
            <w:webHidden/>
          </w:rPr>
          <w:fldChar w:fldCharType="begin"/>
        </w:r>
        <w:r w:rsidR="009D6D39" w:rsidRPr="00D41D30">
          <w:rPr>
            <w:webHidden/>
          </w:rPr>
          <w:instrText xml:space="preserve"> PAGEREF _Toc33011682 \h </w:instrText>
        </w:r>
        <w:r w:rsidR="009D6D39" w:rsidRPr="00D41D30">
          <w:rPr>
            <w:webHidden/>
          </w:rPr>
        </w:r>
        <w:r w:rsidR="009D6D39" w:rsidRPr="00D41D30">
          <w:rPr>
            <w:webHidden/>
          </w:rPr>
          <w:fldChar w:fldCharType="separate"/>
        </w:r>
        <w:r>
          <w:rPr>
            <w:webHidden/>
          </w:rPr>
          <w:t>1</w:t>
        </w:r>
        <w:r w:rsidR="009D6D39" w:rsidRPr="00D41D30">
          <w:rPr>
            <w:webHidden/>
          </w:rPr>
          <w:fldChar w:fldCharType="end"/>
        </w:r>
      </w:hyperlink>
    </w:p>
    <w:p w:rsidR="009D6D39" w:rsidRPr="00D41D30" w:rsidRDefault="0009143A" w:rsidP="005F4E1B">
      <w:pPr>
        <w:pStyle w:val="12"/>
        <w:rPr>
          <w:rFonts w:asciiTheme="minorHAnsi" w:eastAsiaTheme="minorEastAsia" w:hAnsiTheme="minorHAnsi" w:cstheme="minorBidi"/>
          <w:sz w:val="24"/>
          <w:szCs w:val="22"/>
        </w:rPr>
      </w:pPr>
      <w:hyperlink w:anchor="_Toc33011683" w:history="1">
        <w:r w:rsidR="009D6D39" w:rsidRPr="00D41D30">
          <w:rPr>
            <w:rStyle w:val="af0"/>
            <w:rFonts w:hint="eastAsia"/>
            <w:color w:val="000000" w:themeColor="text1"/>
          </w:rPr>
          <w:t>肆、 調查依據</w:t>
        </w:r>
        <w:r w:rsidR="009D6D39" w:rsidRPr="00D41D30">
          <w:rPr>
            <w:webHidden/>
          </w:rPr>
          <w:tab/>
        </w:r>
        <w:r w:rsidR="009D6D39" w:rsidRPr="00D41D30">
          <w:rPr>
            <w:webHidden/>
          </w:rPr>
          <w:fldChar w:fldCharType="begin"/>
        </w:r>
        <w:r w:rsidR="009D6D39" w:rsidRPr="00D41D30">
          <w:rPr>
            <w:webHidden/>
          </w:rPr>
          <w:instrText xml:space="preserve"> PAGEREF _Toc33011683 \h </w:instrText>
        </w:r>
        <w:r w:rsidR="009D6D39" w:rsidRPr="00D41D30">
          <w:rPr>
            <w:webHidden/>
          </w:rPr>
        </w:r>
        <w:r w:rsidR="009D6D39" w:rsidRPr="00D41D30">
          <w:rPr>
            <w:webHidden/>
          </w:rPr>
          <w:fldChar w:fldCharType="separate"/>
        </w:r>
        <w:r>
          <w:rPr>
            <w:webHidden/>
          </w:rPr>
          <w:t>1</w:t>
        </w:r>
        <w:r w:rsidR="009D6D39" w:rsidRPr="00D41D30">
          <w:rPr>
            <w:webHidden/>
          </w:rPr>
          <w:fldChar w:fldCharType="end"/>
        </w:r>
      </w:hyperlink>
    </w:p>
    <w:p w:rsidR="009D6D39" w:rsidRPr="00D41D30" w:rsidRDefault="0009143A" w:rsidP="005F4E1B">
      <w:pPr>
        <w:pStyle w:val="12"/>
        <w:rPr>
          <w:rFonts w:asciiTheme="minorHAnsi" w:eastAsiaTheme="minorEastAsia" w:hAnsiTheme="minorHAnsi" w:cstheme="minorBidi"/>
          <w:sz w:val="24"/>
          <w:szCs w:val="22"/>
        </w:rPr>
      </w:pPr>
      <w:hyperlink w:anchor="_Toc33011684" w:history="1">
        <w:r w:rsidR="009D6D39" w:rsidRPr="00D41D30">
          <w:rPr>
            <w:rStyle w:val="af0"/>
            <w:rFonts w:hint="eastAsia"/>
            <w:color w:val="000000" w:themeColor="text1"/>
          </w:rPr>
          <w:t>伍、 調查重點</w:t>
        </w:r>
        <w:r w:rsidR="009D6D39" w:rsidRPr="00D41D30">
          <w:rPr>
            <w:webHidden/>
          </w:rPr>
          <w:tab/>
        </w:r>
        <w:r w:rsidR="009D6D39" w:rsidRPr="00D41D30">
          <w:rPr>
            <w:webHidden/>
          </w:rPr>
          <w:fldChar w:fldCharType="begin"/>
        </w:r>
        <w:r w:rsidR="009D6D39" w:rsidRPr="00D41D30">
          <w:rPr>
            <w:webHidden/>
          </w:rPr>
          <w:instrText xml:space="preserve"> PAGEREF _Toc33011684 \h </w:instrText>
        </w:r>
        <w:r w:rsidR="009D6D39" w:rsidRPr="00D41D30">
          <w:rPr>
            <w:webHidden/>
          </w:rPr>
        </w:r>
        <w:r w:rsidR="009D6D39" w:rsidRPr="00D41D30">
          <w:rPr>
            <w:webHidden/>
          </w:rPr>
          <w:fldChar w:fldCharType="separate"/>
        </w:r>
        <w:r>
          <w:rPr>
            <w:webHidden/>
          </w:rPr>
          <w:t>2</w:t>
        </w:r>
        <w:r w:rsidR="009D6D39" w:rsidRPr="00D41D30">
          <w:rPr>
            <w:webHidden/>
          </w:rPr>
          <w:fldChar w:fldCharType="end"/>
        </w:r>
      </w:hyperlink>
    </w:p>
    <w:p w:rsidR="009D6D39" w:rsidRPr="00D41D30" w:rsidRDefault="0009143A" w:rsidP="005F4E1B">
      <w:pPr>
        <w:pStyle w:val="12"/>
        <w:rPr>
          <w:rFonts w:asciiTheme="minorHAnsi" w:eastAsiaTheme="minorEastAsia" w:hAnsiTheme="minorHAnsi" w:cstheme="minorBidi"/>
          <w:sz w:val="24"/>
          <w:szCs w:val="22"/>
        </w:rPr>
      </w:pPr>
      <w:hyperlink w:anchor="_Toc33011691" w:history="1">
        <w:r w:rsidR="009D6D39" w:rsidRPr="00D41D30">
          <w:rPr>
            <w:rStyle w:val="af0"/>
            <w:rFonts w:hint="eastAsia"/>
            <w:color w:val="000000" w:themeColor="text1"/>
          </w:rPr>
          <w:t>陸、 調查事實</w:t>
        </w:r>
        <w:r w:rsidR="009D6D39" w:rsidRPr="00D41D30">
          <w:rPr>
            <w:webHidden/>
          </w:rPr>
          <w:tab/>
        </w:r>
        <w:r w:rsidR="009D6D39" w:rsidRPr="00D41D30">
          <w:rPr>
            <w:webHidden/>
          </w:rPr>
          <w:fldChar w:fldCharType="begin"/>
        </w:r>
        <w:r w:rsidR="009D6D39" w:rsidRPr="00D41D30">
          <w:rPr>
            <w:webHidden/>
          </w:rPr>
          <w:instrText xml:space="preserve"> PAGEREF _Toc33011691 \h </w:instrText>
        </w:r>
        <w:r w:rsidR="009D6D39" w:rsidRPr="00D41D30">
          <w:rPr>
            <w:webHidden/>
          </w:rPr>
        </w:r>
        <w:r w:rsidR="009D6D39" w:rsidRPr="00D41D30">
          <w:rPr>
            <w:webHidden/>
          </w:rPr>
          <w:fldChar w:fldCharType="separate"/>
        </w:r>
        <w:r>
          <w:rPr>
            <w:webHidden/>
          </w:rPr>
          <w:t>2</w:t>
        </w:r>
        <w:r w:rsidR="009D6D39" w:rsidRPr="00D41D30">
          <w:rPr>
            <w:webHidden/>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692" w:history="1">
        <w:r w:rsidR="009D6D39" w:rsidRPr="00D41D30">
          <w:rPr>
            <w:rStyle w:val="af0"/>
            <w:rFonts w:hint="eastAsia"/>
            <w:color w:val="000000" w:themeColor="text1"/>
          </w:rPr>
          <w:t>一、審計部相關查核意見重點摘要</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_Toc33011692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3</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695" w:history="1">
        <w:r w:rsidR="009D6D39" w:rsidRPr="00D41D30">
          <w:rPr>
            <w:rStyle w:val="af0"/>
            <w:rFonts w:hint="eastAsia"/>
            <w:color w:val="000000" w:themeColor="text1"/>
          </w:rPr>
          <w:t>二、高齡人口成長情形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_Toc33011695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8</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699" w:history="1">
        <w:r w:rsidR="009D6D39" w:rsidRPr="00D41D30">
          <w:rPr>
            <w:rStyle w:val="af0"/>
            <w:rFonts w:hint="eastAsia"/>
            <w:color w:val="000000" w:themeColor="text1"/>
          </w:rPr>
          <w:t>三、教育部「高齡教育中程發展計畫」實施及相關機關業務協調情形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_Toc33011699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10</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07" w:history="1">
        <w:r w:rsidR="009D6D39" w:rsidRPr="00D41D30">
          <w:rPr>
            <w:rStyle w:val="af0"/>
            <w:rFonts w:hint="eastAsia"/>
            <w:color w:val="000000" w:themeColor="text1"/>
          </w:rPr>
          <w:t>四、樂齡教育之推動概況</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_Toc33011707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26</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16" w:history="1">
        <w:r w:rsidR="009D6D39" w:rsidRPr="00D41D30">
          <w:rPr>
            <w:rStyle w:val="af0"/>
            <w:rFonts w:hint="eastAsia"/>
            <w:color w:val="000000" w:themeColor="text1"/>
          </w:rPr>
          <w:t>五、樂齡教育相關經費配置情形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_Toc33011716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36</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19" w:history="1">
        <w:r w:rsidR="009D6D39" w:rsidRPr="00D41D30">
          <w:rPr>
            <w:rStyle w:val="af0"/>
            <w:rFonts w:hint="eastAsia"/>
            <w:color w:val="000000" w:themeColor="text1"/>
          </w:rPr>
          <w:t>六、樂齡學習中心之執行情形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_Toc33011719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40</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23" w:history="1">
        <w:r w:rsidR="009D6D39" w:rsidRPr="00D41D30">
          <w:rPr>
            <w:rStyle w:val="af0"/>
            <w:rFonts w:hint="eastAsia"/>
            <w:color w:val="000000" w:themeColor="text1"/>
          </w:rPr>
          <w:t>七、樂齡學習評鑑及訪視機制之運作</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_Toc33011723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49</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27" w:history="1">
        <w:r w:rsidR="009D6D39" w:rsidRPr="00D41D30">
          <w:rPr>
            <w:rStyle w:val="af0"/>
            <w:rFonts w:hint="eastAsia"/>
            <w:color w:val="000000" w:themeColor="text1"/>
          </w:rPr>
          <w:t>八、樂齡大學之運作現況</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_Toc33011727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55</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33" w:history="1">
        <w:r w:rsidR="009D6D39" w:rsidRPr="00D41D30">
          <w:rPr>
            <w:rStyle w:val="af0"/>
            <w:rFonts w:hint="eastAsia"/>
            <w:color w:val="000000" w:themeColor="text1"/>
          </w:rPr>
          <w:t>九、高齡自主學習團體之運作狀況</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_Toc33011733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59</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41" w:history="1">
        <w:r w:rsidR="009D6D39" w:rsidRPr="00D41D30">
          <w:rPr>
            <w:rStyle w:val="af0"/>
            <w:rFonts w:hint="eastAsia"/>
            <w:color w:val="000000" w:themeColor="text1"/>
          </w:rPr>
          <w:t>十、樂齡教育師資培育情形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_Toc33011741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65</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46" w:history="1">
        <w:r w:rsidR="009D6D39" w:rsidRPr="00D41D30">
          <w:rPr>
            <w:rStyle w:val="af0"/>
            <w:rFonts w:hint="eastAsia"/>
            <w:color w:val="000000" w:themeColor="text1"/>
          </w:rPr>
          <w:t>十一、樂齡教育專業輔導團推動情形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_Toc33011746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72</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56" w:history="1">
        <w:r w:rsidR="009D6D39" w:rsidRPr="00D41D30">
          <w:rPr>
            <w:rStyle w:val="af0"/>
            <w:rFonts w:hint="eastAsia"/>
            <w:color w:val="000000" w:themeColor="text1"/>
          </w:rPr>
          <w:t>十二、教育部「訪視各直轄市及縣（市）政府執行樂齡學習政策實施計畫」辦理情形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_Toc33011756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87</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63" w:history="1">
        <w:r w:rsidR="009D6D39" w:rsidRPr="00D41D30">
          <w:rPr>
            <w:rStyle w:val="af0"/>
            <w:rFonts w:hAnsi="標楷體" w:hint="eastAsia"/>
            <w:color w:val="000000" w:themeColor="text1"/>
          </w:rPr>
          <w:t>十三、縣市政府成立輔導團及建立督導訪視及輔導機制辦理情形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_Toc33011763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90</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67" w:history="1">
        <w:r w:rsidR="009D6D39" w:rsidRPr="00D41D30">
          <w:rPr>
            <w:rStyle w:val="af0"/>
            <w:rFonts w:hAnsi="標楷體" w:hint="eastAsia"/>
            <w:color w:val="000000" w:themeColor="text1"/>
          </w:rPr>
          <w:t>十四、國家教育研究院於樂齡教育之相關定位</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_Toc33011767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93</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70" w:history="1">
        <w:r w:rsidR="009D6D39" w:rsidRPr="00D41D30">
          <w:rPr>
            <w:rStyle w:val="af0"/>
            <w:rFonts w:hint="eastAsia"/>
            <w:color w:val="000000" w:themeColor="text1"/>
          </w:rPr>
          <w:t>十五、</w:t>
        </w:r>
        <w:r w:rsidR="009D6D39" w:rsidRPr="00D41D30">
          <w:rPr>
            <w:rStyle w:val="af0"/>
            <w:rFonts w:hAnsi="標楷體" w:hint="eastAsia"/>
            <w:color w:val="000000" w:themeColor="text1"/>
          </w:rPr>
          <w:t>高齡教育經費概況</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_Toc33011770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95</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76" w:history="1">
        <w:r w:rsidR="009D6D39" w:rsidRPr="00D41D30">
          <w:rPr>
            <w:rStyle w:val="af0"/>
            <w:rFonts w:hAnsi="標楷體" w:hint="eastAsia"/>
            <w:color w:val="000000" w:themeColor="text1"/>
          </w:rPr>
          <w:t>十六、衛福部長照費用編列及執行概況</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_Toc33011776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99</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80" w:history="1">
        <w:r w:rsidR="009D6D39" w:rsidRPr="00D41D30">
          <w:rPr>
            <w:rStyle w:val="af0"/>
            <w:rFonts w:hAnsi="標楷體" w:hint="eastAsia"/>
            <w:color w:val="000000" w:themeColor="text1"/>
          </w:rPr>
          <w:t>十七、本案相關中央、地方縣市政府及各目的事業主管機關之權責分工整合情形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_Toc33011780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101</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84" w:history="1">
        <w:r w:rsidR="009D6D39" w:rsidRPr="00D41D30">
          <w:rPr>
            <w:rStyle w:val="af0"/>
            <w:rFonts w:hAnsi="標楷體" w:hint="eastAsia"/>
            <w:color w:val="000000" w:themeColor="text1"/>
          </w:rPr>
          <w:t>十八、國際相關趨勢及制度比較情形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_Toc33011784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106</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89" w:history="1">
        <w:r w:rsidR="009D6D39" w:rsidRPr="00D41D30">
          <w:rPr>
            <w:rStyle w:val="af0"/>
            <w:rFonts w:hAnsi="標楷體" w:hint="eastAsia"/>
            <w:color w:val="000000" w:themeColor="text1"/>
          </w:rPr>
          <w:t>十九、本案專家諮詢會議及相關研討會參與情形摘要</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_Toc33011789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111</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color w:val="000000" w:themeColor="text1"/>
          <w:sz w:val="24"/>
          <w:szCs w:val="22"/>
        </w:rPr>
      </w:pPr>
      <w:hyperlink w:anchor="_Toc33011794" w:history="1">
        <w:r w:rsidR="009D6D39" w:rsidRPr="00D41D30">
          <w:rPr>
            <w:rStyle w:val="af0"/>
            <w:rFonts w:hAnsi="標楷體" w:hint="eastAsia"/>
            <w:color w:val="000000" w:themeColor="text1"/>
          </w:rPr>
          <w:t>二十、本案相關國內履勘及座談會議情形</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_Toc33011794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112</w:t>
        </w:r>
        <w:r w:rsidR="009D6D39" w:rsidRPr="00D41D30">
          <w:rPr>
            <w:webHidden/>
            <w:color w:val="000000" w:themeColor="text1"/>
          </w:rPr>
          <w:fldChar w:fldCharType="end"/>
        </w:r>
      </w:hyperlink>
    </w:p>
    <w:p w:rsidR="009D6D39" w:rsidRPr="00D41D30" w:rsidRDefault="0009143A">
      <w:pPr>
        <w:pStyle w:val="22"/>
        <w:rPr>
          <w:rFonts w:asciiTheme="minorHAnsi" w:eastAsiaTheme="minorEastAsia" w:hAnsiTheme="minorHAnsi" w:cstheme="minorBidi"/>
          <w:b/>
          <w:color w:val="000000" w:themeColor="text1"/>
          <w:sz w:val="24"/>
          <w:szCs w:val="22"/>
        </w:rPr>
      </w:pPr>
      <w:hyperlink w:anchor="_Toc33011802" w:history="1">
        <w:r w:rsidR="009D6D39" w:rsidRPr="00D41D30">
          <w:rPr>
            <w:rStyle w:val="af0"/>
            <w:rFonts w:hAnsi="標楷體" w:hint="eastAsia"/>
            <w:color w:val="000000" w:themeColor="text1"/>
          </w:rPr>
          <w:t>二十一、本案詢問會議基本資料</w:t>
        </w:r>
        <w:r w:rsidR="009D6D39" w:rsidRPr="00D41D30">
          <w:rPr>
            <w:webHidden/>
            <w:color w:val="000000" w:themeColor="text1"/>
          </w:rPr>
          <w:tab/>
        </w:r>
        <w:r w:rsidR="009D6D39" w:rsidRPr="00D41D30">
          <w:rPr>
            <w:webHidden/>
            <w:color w:val="000000" w:themeColor="text1"/>
          </w:rPr>
          <w:fldChar w:fldCharType="begin"/>
        </w:r>
        <w:r w:rsidR="009D6D39" w:rsidRPr="00D41D30">
          <w:rPr>
            <w:webHidden/>
            <w:color w:val="000000" w:themeColor="text1"/>
          </w:rPr>
          <w:instrText xml:space="preserve"> PAGEREF _Toc33011802 \h </w:instrText>
        </w:r>
        <w:r w:rsidR="009D6D39" w:rsidRPr="00D41D30">
          <w:rPr>
            <w:webHidden/>
            <w:color w:val="000000" w:themeColor="text1"/>
          </w:rPr>
        </w:r>
        <w:r w:rsidR="009D6D39" w:rsidRPr="00D41D30">
          <w:rPr>
            <w:webHidden/>
            <w:color w:val="000000" w:themeColor="text1"/>
          </w:rPr>
          <w:fldChar w:fldCharType="separate"/>
        </w:r>
        <w:r>
          <w:rPr>
            <w:webHidden/>
            <w:color w:val="000000" w:themeColor="text1"/>
          </w:rPr>
          <w:t>114</w:t>
        </w:r>
        <w:r w:rsidR="009D6D39" w:rsidRPr="00D41D30">
          <w:rPr>
            <w:webHidden/>
            <w:color w:val="000000" w:themeColor="text1"/>
          </w:rPr>
          <w:fldChar w:fldCharType="end"/>
        </w:r>
      </w:hyperlink>
    </w:p>
    <w:p w:rsidR="009D6D39" w:rsidRPr="00D41D30" w:rsidRDefault="0009143A" w:rsidP="0009143A">
      <w:pPr>
        <w:pStyle w:val="12"/>
        <w:rPr>
          <w:rFonts w:asciiTheme="minorHAnsi" w:eastAsiaTheme="minorEastAsia" w:hAnsiTheme="minorHAnsi" w:cstheme="minorBidi"/>
          <w:sz w:val="24"/>
          <w:szCs w:val="22"/>
        </w:rPr>
      </w:pPr>
      <w:hyperlink w:anchor="_Toc33011807" w:history="1">
        <w:r w:rsidR="009D6D39" w:rsidRPr="00D41D30">
          <w:rPr>
            <w:rStyle w:val="af0"/>
            <w:rFonts w:hint="eastAsia"/>
            <w:b/>
            <w:color w:val="000000" w:themeColor="text1"/>
          </w:rPr>
          <w:t>柒、 調查意見</w:t>
        </w:r>
        <w:r w:rsidR="009D6D39" w:rsidRPr="00D41D30">
          <w:rPr>
            <w:webHidden/>
          </w:rPr>
          <w:tab/>
        </w:r>
        <w:r w:rsidR="009D6D39" w:rsidRPr="00D41D30">
          <w:rPr>
            <w:webHidden/>
          </w:rPr>
          <w:fldChar w:fldCharType="begin"/>
        </w:r>
        <w:r w:rsidR="009D6D39" w:rsidRPr="00D41D30">
          <w:rPr>
            <w:webHidden/>
          </w:rPr>
          <w:instrText xml:space="preserve"> PAGEREF _Toc33011807 \h </w:instrText>
        </w:r>
        <w:r w:rsidR="009D6D39" w:rsidRPr="00D41D30">
          <w:rPr>
            <w:webHidden/>
          </w:rPr>
        </w:r>
        <w:r w:rsidR="009D6D39" w:rsidRPr="00D41D30">
          <w:rPr>
            <w:webHidden/>
          </w:rPr>
          <w:fldChar w:fldCharType="separate"/>
        </w:r>
        <w:r>
          <w:rPr>
            <w:webHidden/>
          </w:rPr>
          <w:t>119</w:t>
        </w:r>
        <w:r w:rsidR="009D6D39" w:rsidRPr="00D41D30">
          <w:rPr>
            <w:webHidden/>
          </w:rPr>
          <w:fldChar w:fldCharType="end"/>
        </w:r>
      </w:hyperlink>
    </w:p>
    <w:p w:rsidR="009D6D39" w:rsidRPr="00D41D30" w:rsidRDefault="0009143A" w:rsidP="0009143A">
      <w:pPr>
        <w:pStyle w:val="22"/>
        <w:ind w:leftChars="92" w:left="993"/>
        <w:rPr>
          <w:rFonts w:asciiTheme="minorHAnsi" w:eastAsiaTheme="minorEastAsia" w:hAnsiTheme="minorHAnsi" w:cstheme="minorBidi"/>
          <w:b/>
          <w:color w:val="000000" w:themeColor="text1"/>
          <w:sz w:val="24"/>
          <w:szCs w:val="22"/>
        </w:rPr>
      </w:pPr>
      <w:hyperlink w:anchor="_Toc33011808" w:history="1">
        <w:r w:rsidR="009D6D39" w:rsidRPr="00D41D30">
          <w:rPr>
            <w:rStyle w:val="af0"/>
            <w:rFonts w:hint="eastAsia"/>
            <w:b/>
            <w:color w:val="000000" w:themeColor="text1"/>
          </w:rPr>
          <w:t>一、</w:t>
        </w:r>
        <w:r w:rsidR="005211CF" w:rsidRPr="00D41D30">
          <w:rPr>
            <w:rFonts w:hint="eastAsia"/>
            <w:b/>
            <w:color w:val="000000" w:themeColor="text1"/>
          </w:rPr>
          <w:t>1996年OECD</w:t>
        </w:r>
        <w:r w:rsidR="005211CF" w:rsidRPr="00D41D30">
          <w:rPr>
            <w:rFonts w:hAnsi="標楷體" w:hint="eastAsia"/>
            <w:b/>
            <w:color w:val="000000" w:themeColor="text1"/>
          </w:rPr>
          <w:t>「</w:t>
        </w:r>
        <w:r w:rsidR="005211CF" w:rsidRPr="00D41D30">
          <w:rPr>
            <w:rFonts w:hint="eastAsia"/>
            <w:b/>
            <w:color w:val="000000" w:themeColor="text1"/>
          </w:rPr>
          <w:t>全民終身學習（Lifelong Learning for All）</w:t>
        </w:r>
        <w:r w:rsidR="005211CF" w:rsidRPr="00D41D30">
          <w:rPr>
            <w:rFonts w:hAnsi="標楷體" w:hint="eastAsia"/>
            <w:b/>
            <w:color w:val="000000" w:themeColor="text1"/>
          </w:rPr>
          <w:t>」</w:t>
        </w:r>
        <w:r w:rsidR="005211CF" w:rsidRPr="00D41D30">
          <w:rPr>
            <w:rFonts w:hint="eastAsia"/>
            <w:b/>
            <w:color w:val="000000" w:themeColor="text1"/>
          </w:rPr>
          <w:t>報告書，明確指出終身教育的目的，係透過終身學習促進個人發展、社會凝聚和經濟成長，讓所有人不論年齡或教育階段，都受到激勵並積極參與學習。基本觀念乃強調個人處於文化與科技快速變遷的社會，過好生活必須終身不斷學習等理念，是以終身</w:t>
        </w:r>
        <w:r w:rsidR="005211CF" w:rsidRPr="00D41D30">
          <w:rPr>
            <w:rFonts w:hAnsi="標楷體" w:hint="eastAsia"/>
            <w:b/>
            <w:color w:val="000000" w:themeColor="text1"/>
            <w:szCs w:val="32"/>
          </w:rPr>
          <w:t>學習</w:t>
        </w:r>
        <w:r w:rsidR="005211CF" w:rsidRPr="00D41D30">
          <w:rPr>
            <w:rFonts w:hint="eastAsia"/>
            <w:b/>
            <w:color w:val="000000" w:themeColor="text1"/>
          </w:rPr>
          <w:t>應涵蓋年長者之學習。國際上多有針對高齡教育需求及政策之推展，而我國將87年訂為</w:t>
        </w:r>
        <w:r w:rsidR="005211CF" w:rsidRPr="00D41D30">
          <w:rPr>
            <w:rFonts w:hAnsi="標楷體" w:hint="eastAsia"/>
            <w:b/>
            <w:color w:val="000000" w:themeColor="text1"/>
          </w:rPr>
          <w:t>「</w:t>
        </w:r>
        <w:r w:rsidR="005211CF" w:rsidRPr="00D41D30">
          <w:rPr>
            <w:rFonts w:hint="eastAsia"/>
            <w:b/>
            <w:color w:val="000000" w:themeColor="text1"/>
          </w:rPr>
          <w:t>終身學習年</w:t>
        </w:r>
        <w:r w:rsidR="005211CF" w:rsidRPr="00D41D30">
          <w:rPr>
            <w:rFonts w:hAnsi="標楷體" w:hint="eastAsia"/>
            <w:b/>
            <w:color w:val="000000" w:themeColor="text1"/>
          </w:rPr>
          <w:t>」</w:t>
        </w:r>
        <w:r w:rsidR="005211CF" w:rsidRPr="00D41D30">
          <w:rPr>
            <w:rFonts w:hint="eastAsia"/>
            <w:b/>
            <w:color w:val="000000" w:themeColor="text1"/>
          </w:rPr>
          <w:t>，同年發表「邁向學習社會」白皮書，據以執行終身教育政策，91年公布施行</w:t>
        </w:r>
        <w:r w:rsidR="005211CF" w:rsidRPr="00D41D30">
          <w:rPr>
            <w:rFonts w:hAnsi="標楷體" w:hint="eastAsia"/>
            <w:b/>
            <w:color w:val="000000" w:themeColor="text1"/>
          </w:rPr>
          <w:t>「</w:t>
        </w:r>
        <w:r w:rsidR="005211CF" w:rsidRPr="00D41D30">
          <w:rPr>
            <w:rFonts w:hint="eastAsia"/>
            <w:b/>
            <w:color w:val="000000" w:themeColor="text1"/>
          </w:rPr>
          <w:t>終身學習法</w:t>
        </w:r>
        <w:r w:rsidR="005211CF" w:rsidRPr="00D41D30">
          <w:rPr>
            <w:rFonts w:hAnsi="標楷體" w:hint="eastAsia"/>
            <w:b/>
            <w:color w:val="000000" w:themeColor="text1"/>
          </w:rPr>
          <w:t>」</w:t>
        </w:r>
        <w:r w:rsidR="005211CF" w:rsidRPr="00D41D30">
          <w:rPr>
            <w:rFonts w:hint="eastAsia"/>
            <w:b/>
            <w:color w:val="000000" w:themeColor="text1"/>
          </w:rPr>
          <w:t>，反觀高齡教育部分，我國雖早在82年即正式邁入聯合國定義之高齡化社會，教育部於95年方發表老人教育政策白皮書，97年實施主要高齡終身學習計畫以教育部樂齡學習體系為主，相關措施包括樂齡中心、樂齡大學、高齡自主學習團體等，分別針對高齡不同學習需求者期提供就近而普遍之學習機會，期促使老有所用</w:t>
        </w:r>
        <w:r w:rsidR="005211CF" w:rsidRPr="00D41D30">
          <w:rPr>
            <w:rFonts w:hAnsi="標楷體" w:hint="eastAsia"/>
            <w:b/>
            <w:color w:val="000000" w:themeColor="text1"/>
          </w:rPr>
          <w:t>；</w:t>
        </w:r>
        <w:r w:rsidR="005211CF" w:rsidRPr="00D41D30">
          <w:rPr>
            <w:rFonts w:ascii="Verdana" w:hAnsi="Verdana"/>
            <w:b/>
            <w:color w:val="000000" w:themeColor="text1"/>
          </w:rPr>
          <w:t>建立學習</w:t>
        </w:r>
        <w:r w:rsidR="005211CF" w:rsidRPr="00D41D30">
          <w:rPr>
            <w:rFonts w:ascii="Verdana" w:hAnsi="Verdana" w:hint="eastAsia"/>
            <w:b/>
            <w:color w:val="000000" w:themeColor="text1"/>
          </w:rPr>
          <w:t>型</w:t>
        </w:r>
        <w:r w:rsidR="005211CF" w:rsidRPr="00D41D30">
          <w:rPr>
            <w:rFonts w:ascii="Verdana" w:hAnsi="Verdana"/>
            <w:b/>
            <w:color w:val="000000" w:themeColor="text1"/>
          </w:rPr>
          <w:t>社會</w:t>
        </w:r>
        <w:r w:rsidR="005211CF" w:rsidRPr="00D41D30">
          <w:rPr>
            <w:rFonts w:ascii="Verdana" w:hAnsi="Verdana" w:hint="eastAsia"/>
            <w:b/>
            <w:color w:val="000000" w:themeColor="text1"/>
          </w:rPr>
          <w:t>雖富</w:t>
        </w:r>
        <w:r w:rsidR="005211CF" w:rsidRPr="00D41D30">
          <w:rPr>
            <w:rFonts w:ascii="Verdana" w:hAnsi="Verdana"/>
            <w:b/>
            <w:color w:val="000000" w:themeColor="text1"/>
          </w:rPr>
          <w:t>相當理想性，</w:t>
        </w:r>
        <w:r w:rsidR="005211CF" w:rsidRPr="00D41D30">
          <w:rPr>
            <w:rFonts w:hint="eastAsia"/>
            <w:b/>
            <w:color w:val="000000" w:themeColor="text1"/>
          </w:rPr>
          <w:t>惟</w:t>
        </w:r>
        <w:r w:rsidR="005211CF" w:rsidRPr="00D41D30">
          <w:rPr>
            <w:rFonts w:ascii="Verdana" w:hAnsi="Verdana"/>
            <w:b/>
            <w:color w:val="000000" w:themeColor="text1"/>
          </w:rPr>
          <w:t>欠缺階段</w:t>
        </w:r>
        <w:r w:rsidR="005211CF" w:rsidRPr="00D41D30">
          <w:rPr>
            <w:rFonts w:ascii="Verdana" w:hAnsi="Verdana" w:hint="eastAsia"/>
            <w:b/>
            <w:color w:val="000000" w:themeColor="text1"/>
          </w:rPr>
          <w:t>性</w:t>
        </w:r>
        <w:r w:rsidR="005211CF" w:rsidRPr="00D41D30">
          <w:rPr>
            <w:rFonts w:ascii="Verdana" w:hAnsi="Verdana"/>
            <w:b/>
            <w:color w:val="000000" w:themeColor="text1"/>
          </w:rPr>
          <w:t>之策略性發展規劃</w:t>
        </w:r>
        <w:r w:rsidR="005211CF" w:rsidRPr="00D41D30">
          <w:rPr>
            <w:rFonts w:ascii="Verdana" w:hAnsi="Verdana" w:hint="eastAsia"/>
            <w:b/>
            <w:color w:val="000000" w:themeColor="text1"/>
          </w:rPr>
          <w:t>及國家整體推動架構</w:t>
        </w:r>
        <w:r w:rsidR="005211CF" w:rsidRPr="00D41D30">
          <w:rPr>
            <w:rFonts w:hint="eastAsia"/>
            <w:b/>
            <w:color w:val="000000" w:themeColor="text1"/>
          </w:rPr>
          <w:t>，且近年政策推展亦有停滯之勢，計畫辦理迄今已逾10年，整體國家高齡教育政策之定位及體系尚不明確，整體績效評核</w:t>
        </w:r>
        <w:r w:rsidR="005211CF" w:rsidRPr="00D41D30">
          <w:rPr>
            <w:rFonts w:hAnsi="標楷體" w:hint="eastAsia"/>
            <w:b/>
            <w:color w:val="000000" w:themeColor="text1"/>
          </w:rPr>
          <w:t>、</w:t>
        </w:r>
        <w:r w:rsidR="005211CF" w:rsidRPr="00D41D30">
          <w:rPr>
            <w:rFonts w:hint="eastAsia"/>
            <w:b/>
            <w:color w:val="000000" w:themeColor="text1"/>
          </w:rPr>
          <w:t>退場機制或永續經營計畫闕如，外界相關批評及建議均不斷湧入，況行政院國家發展委員會已推估我國將於2026年即將迎向超高齡社會，未來高齡教育措施及相關需求恐緩不濟急，亟待行政院儘速盤整檢討並積極督導機關整合辦理，以提供具前瞻而完整之高齡教育學習</w:t>
        </w:r>
        <w:r w:rsidR="005211CF" w:rsidRPr="00D41D30">
          <w:rPr>
            <w:rFonts w:hint="eastAsia"/>
            <w:b/>
            <w:color w:val="000000" w:themeColor="text1"/>
          </w:rPr>
          <w:lastRenderedPageBreak/>
          <w:t>機會及品質，正向迎接超高齡社會之衝擊與挑戰</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_Toc33011808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121</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17" w:history="1">
        <w:r w:rsidR="009D6D39" w:rsidRPr="00D41D30">
          <w:rPr>
            <w:rStyle w:val="af0"/>
            <w:rFonts w:hint="eastAsia"/>
            <w:b/>
            <w:color w:val="000000" w:themeColor="text1"/>
          </w:rPr>
          <w:t>二、</w:t>
        </w:r>
        <w:r w:rsidR="00CE3DFB" w:rsidRPr="00D41D30">
          <w:rPr>
            <w:rFonts w:hint="eastAsia"/>
            <w:b/>
            <w:color w:val="000000" w:themeColor="text1"/>
          </w:rPr>
          <w:t>教育部79年訂定「社會教育工作綱要」，內涵包括再就業、教育教材及生活調適課程等，涉及高齡者學習需求、經濟、福利及醫療等生活層面</w:t>
        </w:r>
        <w:r w:rsidR="00CE3DFB" w:rsidRPr="00D41D30">
          <w:rPr>
            <w:rFonts w:hAnsi="標楷體" w:hint="eastAsia"/>
            <w:b/>
            <w:color w:val="000000" w:themeColor="text1"/>
          </w:rPr>
          <w:t>；又該部106年「</w:t>
        </w:r>
        <w:r w:rsidR="00CE3DFB" w:rsidRPr="00D41D30">
          <w:rPr>
            <w:rFonts w:hAnsi="標楷體" w:hint="eastAsia"/>
            <w:b/>
            <w:color w:val="000000" w:themeColor="text1"/>
            <w:szCs w:val="32"/>
          </w:rPr>
          <w:t>高齡教育中程發展計畫」所涉之單位，包含</w:t>
        </w:r>
        <w:r w:rsidR="00CE3DFB" w:rsidRPr="00D41D30">
          <w:rPr>
            <w:rFonts w:hAnsi="標楷體" w:hint="eastAsia"/>
            <w:b/>
            <w:bCs/>
            <w:color w:val="000000" w:themeColor="text1"/>
            <w:szCs w:val="32"/>
          </w:rPr>
          <w:t>內政部、勞動部、經濟部、行政院人事行政總處、原住民族委員會、農委會、文化部、退輔會、衛福部、交通部等10個部會、地方政府及教育部各相關單位</w:t>
        </w:r>
        <w:r w:rsidR="00CE3DFB" w:rsidRPr="00D41D30">
          <w:rPr>
            <w:rFonts w:hint="eastAsia"/>
            <w:b/>
            <w:color w:val="000000" w:themeColor="text1"/>
          </w:rPr>
          <w:t>，顯見高齡者終身教育體系環環相扣，密不可分；而現行關於老人福利法係由衛福部主政、終身學習法由教育部統籌，部分地方自治事項如在地化終身學習則由直轄市(縣市)政府主管，惟針對整體人口老化及教育措施之相關國家發展政策，涉機構整合</w:t>
        </w:r>
        <w:r w:rsidR="00CE3DFB" w:rsidRPr="00D41D30">
          <w:rPr>
            <w:rFonts w:hAnsi="標楷體" w:hint="eastAsia"/>
            <w:b/>
            <w:color w:val="000000" w:themeColor="text1"/>
          </w:rPr>
          <w:t>、</w:t>
        </w:r>
        <w:r w:rsidR="00CE3DFB" w:rsidRPr="00D41D30">
          <w:rPr>
            <w:rFonts w:hint="eastAsia"/>
            <w:b/>
            <w:color w:val="000000" w:themeColor="text1"/>
          </w:rPr>
          <w:t>法制化、經濟穩定、勞動力發展</w:t>
        </w:r>
        <w:r w:rsidR="00CE3DFB" w:rsidRPr="00D41D30">
          <w:rPr>
            <w:rFonts w:hAnsi="標楷體" w:hint="eastAsia"/>
            <w:b/>
            <w:color w:val="000000" w:themeColor="text1"/>
          </w:rPr>
          <w:t>、環境</w:t>
        </w:r>
        <w:r w:rsidR="00CE3DFB" w:rsidRPr="00D41D30">
          <w:rPr>
            <w:rFonts w:hint="eastAsia"/>
            <w:b/>
            <w:color w:val="000000" w:themeColor="text1"/>
          </w:rPr>
          <w:t>設施及長期照護及健康促進發展等，高齡者教育措施顯難於國家發展架構之外單獨具體實踐，應立基於健康安全、經濟穩定、與社會福利等國家整體政策基礎下運行，惟我國長期高齡教育相關事宜，竟未有政府跨部會統合機關，政出多門，各機關事權不一，肇致各項單一政策實施卻缺乏系統盤整、永續規劃，資源分散或重置之現象處處可見；本案外界建議多指政府仍有未見整合之情形，均不利於整體高齡教育資源配置及長期政策統籌發展，洵有未當，行政院後續允應確實檢討整合，俾國家有限資源能發揮整體運用之最大綜效</w:t>
        </w:r>
        <w:r w:rsidR="00CE3DFB" w:rsidRPr="00CE3DFB">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_Toc33011817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131</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28" w:history="1">
        <w:r w:rsidR="009D6D39" w:rsidRPr="00D41D30">
          <w:rPr>
            <w:rStyle w:val="af0"/>
            <w:rFonts w:hint="eastAsia"/>
            <w:b/>
            <w:color w:val="000000" w:themeColor="text1"/>
          </w:rPr>
          <w:t>三、</w:t>
        </w:r>
        <w:r w:rsidR="00CE3DFB" w:rsidRPr="00CE3DFB">
          <w:rPr>
            <w:rStyle w:val="af0"/>
            <w:rFonts w:hint="eastAsia"/>
            <w:b/>
            <w:color w:val="000000" w:themeColor="text1"/>
          </w:rPr>
          <w:t>我國已於1993年成為高齡化社會，2018年轉為高齡社會，依國家發展委員會推估，將於2026年邁入超高齡社會，且預計至2065年，每10人中，約有4位是65歲以上老年人口，整體老年政策已迫在眉睫；高齡教育係預防老化、活力老化並減緩失智症之預</w:t>
        </w:r>
        <w:r w:rsidR="00CE3DFB" w:rsidRPr="00CE3DFB">
          <w:rPr>
            <w:rStyle w:val="af0"/>
            <w:rFonts w:hint="eastAsia"/>
            <w:b/>
            <w:color w:val="000000" w:themeColor="text1"/>
          </w:rPr>
          <w:lastRenderedPageBreak/>
          <w:t>防措施之一，惟整體終身教育經費近幾年分別僅編列1至2億餘元不等，資源分配顯有不均，教育部實應統合檢討，妥善規劃；教育部終身教育司於本院調查後，雖稱已於109年度增加編列約6千萬元經費用於推動高齡教育，然此增幅對照我國人口老化速度、高齡者之教育需求遽增及外在環境變化急遽問題，亦屬杯水車薪，難於因應所需，況相較於政府在長照工作挹注充沛資源，108年度預算編列高達338億餘元，教育部以此杯水車薪之數顯難因應超高齡社會之來臨，實應持續積極爭取經費以改善高齡教育預算不足，並解地方推動相關政策窒礙難行等窘境，宜積極與衛福部等機關研議針對「社區關懷據點」等如何資源共享，期能相輔相成，讓高齡者得以透過終身學習，以有助於延長個人第三年齡，縮短第四年齡及減少醫療支出，進而達到成功老化、健康老化及活躍老化之目標</w:t>
        </w:r>
        <w:r w:rsidR="009D6D39" w:rsidRPr="00D41D30">
          <w:rPr>
            <w:b/>
            <w:webHidden/>
            <w:color w:val="000000" w:themeColor="text1"/>
          </w:rPr>
          <w:tab/>
        </w:r>
        <w:r w:rsidR="00F41567">
          <w:rPr>
            <w:b/>
            <w:webHidden/>
            <w:color w:val="000000" w:themeColor="text1"/>
          </w:rPr>
          <w:t>140</w:t>
        </w:r>
      </w:hyperlink>
    </w:p>
    <w:p w:rsidR="009D6D39" w:rsidRPr="00D41D30" w:rsidRDefault="0009143A" w:rsidP="0009143A">
      <w:pPr>
        <w:pStyle w:val="22"/>
        <w:tabs>
          <w:tab w:val="left" w:pos="7964"/>
        </w:tabs>
        <w:rPr>
          <w:rFonts w:asciiTheme="minorHAnsi" w:eastAsiaTheme="minorEastAsia" w:hAnsiTheme="minorHAnsi" w:cstheme="minorBidi"/>
          <w:b/>
          <w:color w:val="000000" w:themeColor="text1"/>
          <w:sz w:val="24"/>
          <w:szCs w:val="22"/>
        </w:rPr>
      </w:pPr>
      <w:hyperlink w:anchor="_Toc33011839" w:history="1">
        <w:r w:rsidR="009D6D39" w:rsidRPr="00D41D30">
          <w:rPr>
            <w:rStyle w:val="af0"/>
            <w:rFonts w:hint="eastAsia"/>
            <w:b/>
            <w:color w:val="000000" w:themeColor="text1"/>
          </w:rPr>
          <w:t>四、</w:t>
        </w:r>
        <w:r w:rsidR="00002FFB" w:rsidRPr="00D41D30">
          <w:rPr>
            <w:rFonts w:hint="eastAsia"/>
            <w:b/>
            <w:color w:val="000000" w:themeColor="text1"/>
          </w:rPr>
          <w:t>教育部自97年起，以老人福利法第2條所定65歲為老人的前10年，即以55歲以上國民為主要學習族群，建構在地化樂齡學習體系，執行樂齡學習工作計畫，並以全國各鄉鎮市區至少設置1所「樂齡學習中心」為政策目標，採「一鄉鎮、一特色」的方式規劃，補助範圍遍及全國各鄉鎮市區，全國樂齡學習中心迄今已設立3</w:t>
        </w:r>
        <w:r w:rsidR="00002FFB" w:rsidRPr="00D41D30">
          <w:rPr>
            <w:b/>
            <w:color w:val="000000" w:themeColor="text1"/>
          </w:rPr>
          <w:t>66</w:t>
        </w:r>
        <w:r w:rsidR="00002FFB" w:rsidRPr="00D41D30">
          <w:rPr>
            <w:rFonts w:hint="eastAsia"/>
            <w:b/>
            <w:color w:val="000000" w:themeColor="text1"/>
          </w:rPr>
          <w:t>所，其中於偏鄉及原民地區達94所（占25.68%），期挹注平衡地方樂齡資源，發揚在地文化特色課程，落實「在地學習」之理念；該部為協助各縣市推動高齡教育及輔導全國各樂齡中心之運作，委請國立臺灣師範大學等4所大學承辦輔導業務，由國立中正大學擔任總輔導團，分別扮演輔導及協調角色，透過協助、檢視及輔導樂齡中心發展及運作，然各地方政府亦成立地方輔導</w:t>
        </w:r>
        <w:r w:rsidR="00002FFB" w:rsidRPr="00D41D30">
          <w:rPr>
            <w:rFonts w:hint="eastAsia"/>
            <w:b/>
            <w:color w:val="000000" w:themeColor="text1"/>
          </w:rPr>
          <w:lastRenderedPageBreak/>
          <w:t>團，致外界針對各類型輔導團歷年工作項目仍有可能角色相互重疊或排擠之聲浪，甚衍伸批評浪費公帑之疑慮，教育部實應積極因應，並全盤檢討監督輔導之權限劃分及功能，以避免疊床架屋，浪費行政資源----------------------------------</w:t>
        </w:r>
        <w:r w:rsidR="00002FFB" w:rsidRPr="00D41D30">
          <w:rPr>
            <w:b/>
            <w:color w:val="000000" w:themeColor="text1"/>
          </w:rPr>
          <w:tab/>
        </w:r>
        <w:r w:rsidR="00002FFB" w:rsidRPr="00D41D30">
          <w:rPr>
            <w:b/>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_Toc33011839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152</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48" w:history="1">
        <w:r w:rsidR="009D6D39" w:rsidRPr="00D41D30">
          <w:rPr>
            <w:rStyle w:val="af0"/>
            <w:rFonts w:hint="eastAsia"/>
            <w:b/>
            <w:color w:val="000000" w:themeColor="text1"/>
          </w:rPr>
          <w:t>五、</w:t>
        </w:r>
        <w:r w:rsidR="00002FFB" w:rsidRPr="00D41D30">
          <w:rPr>
            <w:rFonts w:hint="eastAsia"/>
            <w:b/>
            <w:color w:val="000000" w:themeColor="text1"/>
          </w:rPr>
          <w:t>教育部為協助各縣市推動高齡教育及輔導全國各樂齡中心之運作，自97年起成立輔導團，依據政府採購法委請國立中正大學辦理，嗣101年起因應全國樂齡中心數量大幅成長至</w:t>
        </w:r>
        <w:r w:rsidR="00002FFB" w:rsidRPr="00D41D30">
          <w:rPr>
            <w:b/>
            <w:color w:val="000000" w:themeColor="text1"/>
          </w:rPr>
          <w:t>225</w:t>
        </w:r>
        <w:r w:rsidR="00002FFB" w:rsidRPr="00D41D30">
          <w:rPr>
            <w:rFonts w:hint="eastAsia"/>
            <w:b/>
            <w:color w:val="000000" w:themeColor="text1"/>
          </w:rPr>
          <w:t>所，且後續將逐年持續成長，考量人員、設備不足等因素下，爰依行政程序法第19條第2項規定及「教育部業務採行政協助辦理原則」，委請設有專業系所及熟稔專業領域之國立大學協助辦理輔導團業務，期發揮學術交流</w:t>
        </w:r>
        <w:r w:rsidR="00002FFB" w:rsidRPr="00D41D30">
          <w:rPr>
            <w:rFonts w:hAnsi="標楷體" w:hint="eastAsia"/>
            <w:b/>
            <w:color w:val="000000" w:themeColor="text1"/>
          </w:rPr>
          <w:t>、</w:t>
        </w:r>
        <w:r w:rsidR="00002FFB" w:rsidRPr="00D41D30">
          <w:rPr>
            <w:rFonts w:hint="eastAsia"/>
            <w:b/>
            <w:color w:val="000000" w:themeColor="text1"/>
          </w:rPr>
          <w:t>專業管理及人才培育之效</w:t>
        </w:r>
        <w:r w:rsidR="00002FFB" w:rsidRPr="00D41D30">
          <w:rPr>
            <w:rFonts w:hAnsi="標楷體" w:hint="eastAsia"/>
            <w:b/>
            <w:color w:val="000000" w:themeColor="text1"/>
          </w:rPr>
          <w:t>，然長久以來未建立檢討評估機制，況以行政協助方式</w:t>
        </w:r>
        <w:r w:rsidR="00002FFB" w:rsidRPr="00D41D30">
          <w:rPr>
            <w:rFonts w:hint="eastAsia"/>
            <w:b/>
            <w:color w:val="000000" w:themeColor="text1"/>
          </w:rPr>
          <w:t>執行迄今已逾8年之久，執行角色長期未見機制輪替，致外界多所訾議，又以行政協助方式由國立大學長期協助辦理輔導團業務，相關適法性問題，該部允應確實研議檢討改善</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_Toc33011848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163</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56" w:history="1">
        <w:r w:rsidR="009D6D39" w:rsidRPr="00D41D30">
          <w:rPr>
            <w:rStyle w:val="af0"/>
            <w:rFonts w:hint="eastAsia"/>
            <w:b/>
            <w:color w:val="000000" w:themeColor="text1"/>
          </w:rPr>
          <w:t>六、</w:t>
        </w:r>
        <w:r w:rsidR="00002FFB" w:rsidRPr="00D41D30">
          <w:rPr>
            <w:rFonts w:hint="eastAsia"/>
            <w:b/>
            <w:color w:val="000000" w:themeColor="text1"/>
          </w:rPr>
          <w:t>教育部為建構本土化的樂齡學習典範，開創更多元管道的樂齡學習創新方案，全國樂齡學習中心數由97年總計104所至108年增加為366所，大幅擴增在地高齡者學習機會，惟</w:t>
        </w:r>
        <w:r w:rsidR="00002FFB" w:rsidRPr="00D41D30">
          <w:rPr>
            <w:rFonts w:hAnsi="標楷體" w:hint="eastAsia"/>
            <w:b/>
            <w:color w:val="000000" w:themeColor="text1"/>
          </w:rPr>
          <w:t>課程參與及學習人數之統計方式未能呈現真實數據，</w:t>
        </w:r>
        <w:r w:rsidR="00002FFB" w:rsidRPr="00D41D30">
          <w:rPr>
            <w:rFonts w:ascii="Verdana" w:hAnsi="Verdana" w:hint="eastAsia"/>
            <w:b/>
            <w:color w:val="000000" w:themeColor="text1"/>
          </w:rPr>
          <w:t>整體引入相關</w:t>
        </w:r>
        <w:r w:rsidR="00002FFB" w:rsidRPr="00D41D30">
          <w:rPr>
            <w:rFonts w:hint="eastAsia"/>
            <w:b/>
            <w:color w:val="000000" w:themeColor="text1"/>
          </w:rPr>
          <w:t>民間能量或民間異業結盟形式等補充能量均有待強化；其中為提升縣（市）執行高齡教育政策能力，又於100-101年陸續自全國209所樂齡中心之列，選擇臺北市、新北市、臺中市、新竹縣、嘉義縣、臺南市及屏東縣等7個縣市，率先成立各縣市的「樂齡學習示範中心」，期成為未來其他樂齡中心觀摩空間的參考</w:t>
        </w:r>
        <w:r w:rsidR="00002FFB" w:rsidRPr="00D41D30">
          <w:rPr>
            <w:rFonts w:hint="eastAsia"/>
            <w:b/>
            <w:color w:val="000000" w:themeColor="text1"/>
          </w:rPr>
          <w:lastRenderedPageBreak/>
          <w:t>及典範；惟初期各樂齡示範中心之成立未有正式依據及評估，且繫於地方首長支持，雖有助於擴增地方民眾接受高齡學習教育之機會，部分示範中心亦具特色，然查各示範中心每年並未</w:t>
        </w:r>
        <w:r w:rsidR="00002FFB" w:rsidRPr="00D41D30">
          <w:rPr>
            <w:rFonts w:hAnsi="標楷體" w:hint="eastAsia"/>
            <w:b/>
            <w:color w:val="000000" w:themeColor="text1"/>
          </w:rPr>
          <w:t>依</w:t>
        </w:r>
        <w:r w:rsidR="00002FFB" w:rsidRPr="00D41D30">
          <w:rPr>
            <w:rFonts w:hint="eastAsia"/>
            <w:b/>
            <w:color w:val="000000" w:themeColor="text1"/>
          </w:rPr>
          <w:t>實際辦理績效及功能結果調整，退場</w:t>
        </w:r>
        <w:r w:rsidR="00002FFB" w:rsidRPr="00D41D30">
          <w:rPr>
            <w:b/>
            <w:color w:val="000000" w:themeColor="text1"/>
          </w:rPr>
          <w:t>機制</w:t>
        </w:r>
        <w:r w:rsidR="00002FFB" w:rsidRPr="00D41D30">
          <w:rPr>
            <w:rFonts w:hint="eastAsia"/>
            <w:b/>
            <w:color w:val="000000" w:themeColor="text1"/>
          </w:rPr>
          <w:t>闕如，其代表性及實際成效不明，衍伸外界疑慮，無助於提供</w:t>
        </w:r>
        <w:r w:rsidR="00002FFB" w:rsidRPr="00D41D30">
          <w:rPr>
            <w:b/>
            <w:color w:val="000000" w:themeColor="text1"/>
          </w:rPr>
          <w:t>政策</w:t>
        </w:r>
        <w:r w:rsidR="00002FFB" w:rsidRPr="00D41D30">
          <w:rPr>
            <w:rFonts w:hint="eastAsia"/>
            <w:b/>
            <w:color w:val="000000" w:themeColor="text1"/>
          </w:rPr>
          <w:t>延</w:t>
        </w:r>
        <w:r w:rsidR="00002FFB" w:rsidRPr="00D41D30">
          <w:rPr>
            <w:b/>
            <w:color w:val="000000" w:themeColor="text1"/>
          </w:rPr>
          <w:t>續、修正</w:t>
        </w:r>
        <w:r w:rsidR="00002FFB" w:rsidRPr="00D41D30">
          <w:rPr>
            <w:rFonts w:hint="eastAsia"/>
            <w:b/>
            <w:color w:val="000000" w:themeColor="text1"/>
          </w:rPr>
          <w:t>及</w:t>
        </w:r>
        <w:r w:rsidR="00002FFB" w:rsidRPr="00D41D30">
          <w:rPr>
            <w:b/>
            <w:color w:val="000000" w:themeColor="text1"/>
          </w:rPr>
          <w:t>廢止</w:t>
        </w:r>
        <w:r w:rsidR="00002FFB" w:rsidRPr="00D41D30">
          <w:rPr>
            <w:rFonts w:hint="eastAsia"/>
            <w:b/>
            <w:color w:val="000000" w:themeColor="text1"/>
          </w:rPr>
          <w:t>之依據，</w:t>
        </w:r>
        <w:r w:rsidR="00002FFB" w:rsidRPr="00D41D30">
          <w:rPr>
            <w:rFonts w:ascii="Verdana" w:hAnsi="Verdana" w:hint="eastAsia"/>
            <w:b/>
            <w:color w:val="000000" w:themeColor="text1"/>
          </w:rPr>
          <w:t>顯</w:t>
        </w:r>
        <w:r w:rsidR="00002FFB" w:rsidRPr="00D41D30">
          <w:rPr>
            <w:rFonts w:hint="eastAsia"/>
            <w:b/>
            <w:color w:val="000000" w:themeColor="text1"/>
          </w:rPr>
          <w:t>難謂能發揮</w:t>
        </w:r>
        <w:r w:rsidR="00002FFB" w:rsidRPr="00D41D30">
          <w:rPr>
            <w:rFonts w:hAnsi="標楷體" w:hint="eastAsia"/>
            <w:b/>
            <w:color w:val="000000" w:themeColor="text1"/>
          </w:rPr>
          <w:t>「</w:t>
        </w:r>
        <w:r w:rsidR="00002FFB" w:rsidRPr="00D41D30">
          <w:rPr>
            <w:rFonts w:hint="eastAsia"/>
            <w:b/>
            <w:color w:val="000000" w:themeColor="text1"/>
          </w:rPr>
          <w:t>示範</w:t>
        </w:r>
        <w:r w:rsidR="00002FFB" w:rsidRPr="00D41D30">
          <w:rPr>
            <w:rFonts w:hAnsi="標楷體" w:hint="eastAsia"/>
            <w:b/>
            <w:color w:val="000000" w:themeColor="text1"/>
          </w:rPr>
          <w:t>」引導之</w:t>
        </w:r>
        <w:r w:rsidR="00002FFB" w:rsidRPr="00D41D30">
          <w:rPr>
            <w:rFonts w:hint="eastAsia"/>
            <w:b/>
            <w:color w:val="000000" w:themeColor="text1"/>
          </w:rPr>
          <w:t>功能角色</w:t>
        </w:r>
        <w:r w:rsidR="00002FFB" w:rsidRPr="00D41D30">
          <w:rPr>
            <w:rFonts w:hAnsi="標楷體" w:hint="eastAsia"/>
            <w:b/>
            <w:color w:val="000000" w:themeColor="text1"/>
          </w:rPr>
          <w:t>；</w:t>
        </w:r>
        <w:r w:rsidR="00002FFB" w:rsidRPr="00D41D30">
          <w:rPr>
            <w:rFonts w:hint="eastAsia"/>
            <w:b/>
            <w:color w:val="000000" w:themeColor="text1"/>
          </w:rPr>
          <w:t>況本院諮詢會議及履勘蒐集意見均指出，各地示範中心之辦理成效</w:t>
        </w:r>
        <w:r w:rsidR="00002FFB" w:rsidRPr="00D41D30">
          <w:rPr>
            <w:rFonts w:hAnsi="標楷體" w:hint="eastAsia"/>
            <w:b/>
            <w:color w:val="000000" w:themeColor="text1"/>
          </w:rPr>
          <w:t>、</w:t>
        </w:r>
        <w:r w:rsidR="00002FFB" w:rsidRPr="00D41D30">
          <w:rPr>
            <w:rFonts w:hint="eastAsia"/>
            <w:b/>
            <w:color w:val="000000" w:themeColor="text1"/>
          </w:rPr>
          <w:t>人力</w:t>
        </w:r>
        <w:r w:rsidR="00002FFB" w:rsidRPr="00D41D30">
          <w:rPr>
            <w:rFonts w:hAnsi="標楷體" w:hint="eastAsia"/>
            <w:b/>
            <w:color w:val="000000" w:themeColor="text1"/>
          </w:rPr>
          <w:t>、</w:t>
        </w:r>
        <w:r w:rsidR="00002FFB" w:rsidRPr="00D41D30">
          <w:rPr>
            <w:rFonts w:hint="eastAsia"/>
            <w:b/>
            <w:color w:val="000000" w:themeColor="text1"/>
          </w:rPr>
          <w:t>需求及意願熱情落差參差不齊，且</w:t>
        </w:r>
        <w:r w:rsidR="00002FFB" w:rsidRPr="00D41D30">
          <w:rPr>
            <w:rFonts w:ascii="Verdana" w:hAnsi="Verdana"/>
            <w:b/>
            <w:color w:val="000000" w:themeColor="text1"/>
          </w:rPr>
          <w:t>政策發展</w:t>
        </w:r>
        <w:r w:rsidR="00002FFB" w:rsidRPr="00D41D30">
          <w:rPr>
            <w:rFonts w:ascii="Verdana" w:hAnsi="Verdana" w:hint="eastAsia"/>
            <w:b/>
            <w:color w:val="000000" w:themeColor="text1"/>
          </w:rPr>
          <w:t>恐</w:t>
        </w:r>
        <w:r w:rsidR="00002FFB" w:rsidRPr="00D41D30">
          <w:rPr>
            <w:rFonts w:ascii="Verdana" w:hAnsi="Verdana"/>
            <w:b/>
            <w:color w:val="000000" w:themeColor="text1"/>
          </w:rPr>
          <w:t>受</w:t>
        </w:r>
        <w:r w:rsidR="00002FFB" w:rsidRPr="00D41D30">
          <w:rPr>
            <w:rFonts w:ascii="Verdana" w:hAnsi="Verdana" w:hint="eastAsia"/>
            <w:b/>
            <w:color w:val="000000" w:themeColor="text1"/>
          </w:rPr>
          <w:t>地方</w:t>
        </w:r>
        <w:r w:rsidR="00002FFB" w:rsidRPr="00D41D30">
          <w:rPr>
            <w:rFonts w:ascii="Verdana" w:hAnsi="Verdana"/>
            <w:b/>
            <w:color w:val="000000" w:themeColor="text1"/>
          </w:rPr>
          <w:t>施政理念</w:t>
        </w:r>
        <w:r w:rsidR="00002FFB" w:rsidRPr="00D41D30">
          <w:rPr>
            <w:rFonts w:ascii="Verdana" w:hAnsi="Verdana" w:hint="eastAsia"/>
            <w:b/>
            <w:color w:val="000000" w:themeColor="text1"/>
          </w:rPr>
          <w:t>或人員流動</w:t>
        </w:r>
        <w:r w:rsidR="00002FFB" w:rsidRPr="00D41D30">
          <w:rPr>
            <w:rFonts w:ascii="Verdana" w:hAnsi="Verdana"/>
            <w:b/>
            <w:color w:val="000000" w:themeColor="text1"/>
          </w:rPr>
          <w:t>影響，延續性</w:t>
        </w:r>
        <w:r w:rsidR="00002FFB" w:rsidRPr="00D41D30">
          <w:rPr>
            <w:rFonts w:ascii="Verdana" w:hAnsi="Verdana" w:hint="eastAsia"/>
            <w:b/>
            <w:color w:val="000000" w:themeColor="text1"/>
          </w:rPr>
          <w:t>不足，中心</w:t>
        </w:r>
        <w:r w:rsidR="00002FFB" w:rsidRPr="00D41D30">
          <w:rPr>
            <w:rFonts w:hint="eastAsia"/>
            <w:b/>
            <w:color w:val="000000" w:themeColor="text1"/>
          </w:rPr>
          <w:t>數量擴充之同時允應兼顧品質均衡發展，整體亟待教育部儘速檢討改善</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_Toc33011856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173</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65" w:history="1">
        <w:r w:rsidR="009D6D39" w:rsidRPr="00D41D30">
          <w:rPr>
            <w:rStyle w:val="af0"/>
            <w:rFonts w:hint="eastAsia"/>
            <w:b/>
            <w:color w:val="000000" w:themeColor="text1"/>
          </w:rPr>
          <w:t>七、</w:t>
        </w:r>
        <w:r w:rsidR="00002FFB" w:rsidRPr="00D41D30">
          <w:rPr>
            <w:rFonts w:hint="eastAsia"/>
            <w:b/>
            <w:color w:val="000000" w:themeColor="text1"/>
          </w:rPr>
          <w:t>教育部於80年提出「發展與改進成人教育五年計畫綱要」，逐漸鼓勵大學系所設置成人教育相關系所，為成教及高齡者教育挹注學術教育資源；而「樂齡大學」計畫則源自97年結合國內13所大學推動5天4夜的「老人短期寄宿學習計畫」，98年轉型為2週的「樂齡學堂」，計有28所大學辦理，99年逐漸發展為學期制的樂齡大學計畫，迄108年設置102所樂齡大學（4,492人），鼓勵大專校院提供55歲以上國民進入校園與大學生共學之機會，活動課程以老化及高齡化、健康休閒、學校特色、生活新知等課程為主軸，推展代間學習活動，師資條件透過大學挹注，學習者滿意度頗高，使用者付費之概念相對清晰；惟樂齡大學106年至107年校數未達標，資源挹注恐侷限於特定少數族群，況因高齡者終身教育措施長期多以擴增學習機會為主要政策核心策略，缺乏相關績效評鑑機制，實際執行成效及內涵難以評估，難以回饋為政策調整依據</w:t>
        </w:r>
        <w:r w:rsidR="00002FFB" w:rsidRPr="00D41D30">
          <w:rPr>
            <w:rFonts w:hAnsi="標楷體" w:hint="eastAsia"/>
            <w:b/>
            <w:color w:val="000000" w:themeColor="text1"/>
          </w:rPr>
          <w:t>；</w:t>
        </w:r>
        <w:r w:rsidR="00002FFB" w:rsidRPr="00D41D30">
          <w:rPr>
            <w:rFonts w:hint="eastAsia"/>
            <w:b/>
            <w:color w:val="000000" w:themeColor="text1"/>
          </w:rPr>
          <w:t>教育部於本</w:t>
        </w:r>
        <w:r w:rsidR="00002FFB" w:rsidRPr="00D41D30">
          <w:rPr>
            <w:rFonts w:hint="eastAsia"/>
            <w:b/>
            <w:color w:val="000000" w:themeColor="text1"/>
          </w:rPr>
          <w:lastRenderedPageBreak/>
          <w:t>案調查期間雖已修正樂齡大學計畫書申請內容，然後續成效尚待評估，爰為均衡有限資源配置及教育品質，回應外界意見，針對樂齡大學發展定位、學習者資格條件及評估機制均亟待教育部積極統籌檢討，以期實踐國內高齡教育師資優質化，俾提供質量並重之高齡教育環境</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_Toc33011865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184</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74" w:history="1">
        <w:r w:rsidR="009D6D39" w:rsidRPr="00D41D30">
          <w:rPr>
            <w:rStyle w:val="af0"/>
            <w:rFonts w:hint="eastAsia"/>
            <w:b/>
            <w:color w:val="000000" w:themeColor="text1"/>
          </w:rPr>
          <w:t>八、</w:t>
        </w:r>
        <w:r w:rsidR="00002FFB" w:rsidRPr="00D41D30">
          <w:rPr>
            <w:rFonts w:ascii="Arial" w:cs="Arial" w:hint="eastAsia"/>
            <w:b/>
            <w:color w:val="000000" w:themeColor="text1"/>
          </w:rPr>
          <w:t>我國高齡者終身教育參與模式</w:t>
        </w:r>
        <w:r w:rsidR="00002FFB" w:rsidRPr="00D41D30">
          <w:rPr>
            <w:rFonts w:ascii="Arial" w:cs="Arial"/>
            <w:b/>
            <w:color w:val="000000" w:themeColor="text1"/>
          </w:rPr>
          <w:t>除</w:t>
        </w:r>
        <w:r w:rsidR="00002FFB" w:rsidRPr="00D41D30">
          <w:rPr>
            <w:rFonts w:ascii="Arial" w:cs="Arial" w:hint="eastAsia"/>
            <w:b/>
            <w:color w:val="000000" w:themeColor="text1"/>
          </w:rPr>
          <w:t>一般</w:t>
        </w:r>
        <w:r w:rsidR="00002FFB" w:rsidRPr="00D41D30">
          <w:rPr>
            <w:rFonts w:ascii="Arial" w:cs="Arial"/>
            <w:b/>
            <w:color w:val="000000" w:themeColor="text1"/>
          </w:rPr>
          <w:t>機構式的樂齡學習中心及樂齡大學之外，</w:t>
        </w:r>
        <w:r w:rsidR="00002FFB" w:rsidRPr="00D41D30">
          <w:rPr>
            <w:rFonts w:hint="eastAsia"/>
            <w:b/>
            <w:color w:val="000000" w:themeColor="text1"/>
          </w:rPr>
          <w:t>教育部於101年發行「樂齡自主學習團體實用手冊」，為提升樂齡教育師資及工作人員之專業，102年實施分級樂齡教育師資及各類工作人員培訓計畫，於104年</w:t>
        </w:r>
        <w:r w:rsidR="00002FFB" w:rsidRPr="00D41D30">
          <w:rPr>
            <w:rFonts w:ascii="Arial" w:cs="Arial"/>
            <w:b/>
            <w:color w:val="000000" w:themeColor="text1"/>
          </w:rPr>
          <w:t>首創以</w:t>
        </w:r>
        <w:r w:rsidR="00002FFB" w:rsidRPr="00D41D30">
          <w:rPr>
            <w:rFonts w:hAnsi="標楷體" w:hint="eastAsia"/>
            <w:b/>
            <w:color w:val="000000" w:themeColor="text1"/>
            <w:szCs w:val="32"/>
          </w:rPr>
          <w:t>以新型態高齡者學習自主自助取向方式辦理「推動高齡自主學習團體終身學習活動試辦計畫」</w:t>
        </w:r>
        <w:r w:rsidR="00002FFB" w:rsidRPr="00D41D30">
          <w:rPr>
            <w:rFonts w:hAnsi="標楷體"/>
            <w:b/>
            <w:color w:val="000000" w:themeColor="text1"/>
            <w:szCs w:val="32"/>
          </w:rPr>
          <w:t>，</w:t>
        </w:r>
        <w:r w:rsidR="00002FFB" w:rsidRPr="00D41D30">
          <w:rPr>
            <w:rFonts w:hAnsi="標楷體" w:hint="eastAsia"/>
            <w:b/>
            <w:color w:val="000000" w:themeColor="text1"/>
            <w:szCs w:val="32"/>
          </w:rPr>
          <w:t>105年至107年總計培訓491位高齡自主學習團體帶領人、補助348個自主學習團體深入社區或偏遠地區，</w:t>
        </w:r>
        <w:r w:rsidR="00002FFB" w:rsidRPr="00D41D30">
          <w:rPr>
            <w:rFonts w:hint="eastAsia"/>
            <w:b/>
            <w:color w:val="000000" w:themeColor="text1"/>
          </w:rPr>
          <w:t>108年則為轉型期，後續亟待教育部全盤檢討研議及思考政策定位與整體發展；本院於各縣市履勘及座談會議之自主學習團體帶領人經驗分享顯示，民間高齡教育之能量活躍且日新月異，在地化發展有助於推動個別化學習模式，惟就國際比較，我國高齡自主學習團之政策內涵尚與國外先進國家經驗殊異，多數團體之成員自主運作、專業互助及課程主導性質有待強化；又計畫後續整體配套措施及具體成效評估機制均未完整，況本院調查過程中，部分自主學習團帶領人所指相關資源待整合或經費窘境等實務辦理問題，均待教育部併予積極檢討規劃，以共享樂齡自主學習經驗，建立支持網絡，落實高齡者自我學習、自我成長及自我實現之能力</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_Toc33011874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193</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84" w:history="1">
        <w:r w:rsidR="009D6D39" w:rsidRPr="00D41D30">
          <w:rPr>
            <w:rStyle w:val="af0"/>
            <w:rFonts w:cs="Arial" w:hint="eastAsia"/>
            <w:b/>
            <w:color w:val="000000" w:themeColor="text1"/>
          </w:rPr>
          <w:t>九、</w:t>
        </w:r>
        <w:r w:rsidR="00002FFB" w:rsidRPr="00D41D30">
          <w:rPr>
            <w:rFonts w:ascii="Arial" w:cs="Arial" w:hint="eastAsia"/>
            <w:b/>
            <w:color w:val="000000" w:themeColor="text1"/>
          </w:rPr>
          <w:t>國家教育研究院以長期從事整體性、系統教育研究，促進國家教育之永續發展為宗旨，自</w:t>
        </w:r>
        <w:r w:rsidR="00002FFB" w:rsidRPr="00D41D30">
          <w:rPr>
            <w:rFonts w:hAnsi="標楷體" w:cs="Arial" w:hint="eastAsia"/>
            <w:b/>
            <w:color w:val="000000" w:themeColor="text1"/>
          </w:rPr>
          <w:t>100年成</w:t>
        </w:r>
        <w:r w:rsidR="00002FFB" w:rsidRPr="00D41D30">
          <w:rPr>
            <w:rFonts w:hAnsi="標楷體" w:cs="Arial" w:hint="eastAsia"/>
            <w:b/>
            <w:color w:val="000000" w:themeColor="text1"/>
          </w:rPr>
          <w:lastRenderedPageBreak/>
          <w:t>立以來應致力於長期、系統性蒐集與整合各類實徵性教育資料，持續整合並長期投入重要教育政策研究與課程測評研發；惟我國已於1993年成為高齡化社會，2018年轉為高齡社會，且依國家發展委員會推估，將於2026</w:t>
        </w:r>
        <w:r w:rsidR="00002FFB" w:rsidRPr="00D41D30">
          <w:rPr>
            <w:rFonts w:ascii="Arial" w:cs="Arial" w:hint="eastAsia"/>
            <w:b/>
            <w:color w:val="000000" w:themeColor="text1"/>
          </w:rPr>
          <w:t>年邁入超高齡社會，未來相關重要教育政策及措施極具挑戰，有待前瞻性策略及國家整體政策引導催化，而國家教育研究院顯未發揮最高教育研究機構之專業角色，過往多數研究僅跟隨教育部政策，且研究重點偏重十二年國民基本教育課程綱要等現行教育政策研究，長期針對高齡教育之實證研究付之闕如，該院身為教育研究單位，實應強化研究功能，提供政策建言，俾予我國整體高齡教育政策明確定位，教育部亦應針對國家教育研究院之功能及定位進行整體檢討研議，以強化教育制度、教育需求評估、教育決策資訊及專業諮詢之能力，促進國家教育之永續發展</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_Toc33011884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204</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89" w:history="1">
        <w:r w:rsidR="009D6D39" w:rsidRPr="00D41D30">
          <w:rPr>
            <w:rStyle w:val="af0"/>
            <w:rFonts w:hAnsi="標楷體" w:hint="eastAsia"/>
            <w:b/>
            <w:color w:val="000000" w:themeColor="text1"/>
          </w:rPr>
          <w:t>十、</w:t>
        </w:r>
        <w:r w:rsidR="00002FFB" w:rsidRPr="00D41D30">
          <w:rPr>
            <w:rFonts w:hint="eastAsia"/>
            <w:b/>
            <w:color w:val="000000" w:themeColor="text1"/>
          </w:rPr>
          <w:t>教育部對於政府</w:t>
        </w:r>
        <w:r w:rsidR="00002FFB" w:rsidRPr="00D41D30">
          <w:rPr>
            <w:b/>
            <w:color w:val="000000" w:themeColor="text1"/>
          </w:rPr>
          <w:t>針對不同</w:t>
        </w:r>
        <w:r w:rsidR="00002FFB" w:rsidRPr="00D41D30">
          <w:rPr>
            <w:rFonts w:hint="eastAsia"/>
            <w:b/>
            <w:color w:val="000000" w:themeColor="text1"/>
          </w:rPr>
          <w:t>終身教育</w:t>
        </w:r>
        <w:r w:rsidR="00002FFB" w:rsidRPr="00D41D30">
          <w:rPr>
            <w:b/>
            <w:color w:val="000000" w:themeColor="text1"/>
          </w:rPr>
          <w:t>目標人口及組織定位</w:t>
        </w:r>
        <w:r w:rsidR="00002FFB" w:rsidRPr="00D41D30">
          <w:rPr>
            <w:rFonts w:hint="eastAsia"/>
            <w:b/>
            <w:color w:val="000000" w:themeColor="text1"/>
          </w:rPr>
          <w:t>應有相對應之學習需求及規劃，俾便提供高齡者教育措施之系統性評估及動態調整；依教育</w:t>
        </w:r>
        <w:r w:rsidR="00002FFB" w:rsidRPr="00D41D30">
          <w:rPr>
            <w:rFonts w:hAnsi="標楷體" w:hint="eastAsia"/>
            <w:b/>
            <w:color w:val="000000" w:themeColor="text1"/>
          </w:rPr>
          <w:t>部108年「高齡教育高峰會議：迎向超高齡臺灣，建構全樂齡社會」結論及</w:t>
        </w:r>
        <w:r w:rsidR="00002FFB" w:rsidRPr="00D41D30">
          <w:rPr>
            <w:rFonts w:hint="eastAsia"/>
            <w:b/>
            <w:color w:val="000000" w:themeColor="text1"/>
          </w:rPr>
          <w:t>106年</w:t>
        </w:r>
        <w:r w:rsidR="00002FFB" w:rsidRPr="00D41D30">
          <w:rPr>
            <w:rFonts w:hAnsi="標楷體" w:hint="eastAsia"/>
            <w:b/>
            <w:color w:val="000000" w:themeColor="text1"/>
          </w:rPr>
          <w:t>「高齡教育中程發展計畫」均已明文指示大數據資料</w:t>
        </w:r>
        <w:r w:rsidR="00002FFB" w:rsidRPr="00D41D30">
          <w:rPr>
            <w:rFonts w:ascii="Verdana" w:hAnsi="Verdana" w:hint="eastAsia"/>
            <w:b/>
            <w:color w:val="000000" w:themeColor="text1"/>
          </w:rPr>
          <w:t>庫建置之政策需求，惟針對我國高齡者非</w:t>
        </w:r>
        <w:r w:rsidR="00002FFB" w:rsidRPr="00D41D30">
          <w:rPr>
            <w:rFonts w:ascii="Verdana" w:hAnsi="Verdana"/>
            <w:b/>
            <w:color w:val="000000" w:themeColor="text1"/>
          </w:rPr>
          <w:t>正規</w:t>
        </w:r>
        <w:r w:rsidR="00002FFB" w:rsidRPr="00D41D30">
          <w:rPr>
            <w:rFonts w:ascii="Verdana" w:hAnsi="Verdana" w:hint="eastAsia"/>
            <w:b/>
            <w:color w:val="000000" w:themeColor="text1"/>
          </w:rPr>
          <w:t>教育政策及實施參與情形，教育部長期均未</w:t>
        </w:r>
        <w:r w:rsidR="00002FFB" w:rsidRPr="00D41D30">
          <w:rPr>
            <w:rFonts w:ascii="Verdana" w:hAnsi="Verdana"/>
            <w:b/>
            <w:color w:val="000000" w:themeColor="text1"/>
          </w:rPr>
          <w:t>建立</w:t>
        </w:r>
        <w:r w:rsidR="00002FFB" w:rsidRPr="00D41D30">
          <w:rPr>
            <w:rFonts w:ascii="Verdana" w:hAnsi="Verdana" w:hint="eastAsia"/>
            <w:b/>
            <w:color w:val="000000" w:themeColor="text1"/>
          </w:rPr>
          <w:t>相關大數據</w:t>
        </w:r>
        <w:r w:rsidR="00002FFB" w:rsidRPr="00D41D30">
          <w:rPr>
            <w:rFonts w:ascii="Verdana" w:hAnsi="Verdana"/>
            <w:b/>
            <w:color w:val="000000" w:themeColor="text1"/>
          </w:rPr>
          <w:t>資料庫，</w:t>
        </w:r>
        <w:r w:rsidR="00002FFB" w:rsidRPr="00D41D30">
          <w:rPr>
            <w:rFonts w:ascii="Verdana" w:hAnsi="Verdana" w:hint="eastAsia"/>
            <w:b/>
            <w:color w:val="000000" w:themeColor="text1"/>
          </w:rPr>
          <w:t>尤缺乏高齡者</w:t>
        </w:r>
        <w:r w:rsidR="00002FFB" w:rsidRPr="00D41D30">
          <w:rPr>
            <w:rFonts w:ascii="Verdana" w:hAnsi="Verdana"/>
            <w:b/>
            <w:color w:val="000000" w:themeColor="text1"/>
          </w:rPr>
          <w:t>終身教育</w:t>
        </w:r>
        <w:r w:rsidR="00002FFB" w:rsidRPr="00D41D30">
          <w:rPr>
            <w:rFonts w:ascii="Verdana" w:hAnsi="Verdana" w:hint="eastAsia"/>
            <w:b/>
            <w:color w:val="000000" w:themeColor="text1"/>
          </w:rPr>
          <w:t>政策實施之</w:t>
        </w:r>
        <w:r w:rsidR="00002FFB" w:rsidRPr="00D41D30">
          <w:rPr>
            <w:rFonts w:ascii="Verdana" w:hAnsi="Verdana"/>
            <w:b/>
            <w:color w:val="000000" w:themeColor="text1"/>
          </w:rPr>
          <w:t>內涵分析</w:t>
        </w:r>
        <w:r w:rsidR="00002FFB" w:rsidRPr="00D41D30">
          <w:rPr>
            <w:rFonts w:ascii="Verdana" w:hAnsi="Verdana" w:hint="eastAsia"/>
            <w:b/>
            <w:color w:val="000000" w:themeColor="text1"/>
          </w:rPr>
          <w:t>，以具體作</w:t>
        </w:r>
        <w:r w:rsidR="00002FFB" w:rsidRPr="00D41D30">
          <w:rPr>
            <w:rFonts w:ascii="Verdana" w:hAnsi="Verdana"/>
            <w:b/>
            <w:color w:val="000000" w:themeColor="text1"/>
          </w:rPr>
          <w:t>為政策規劃、實施和評估</w:t>
        </w:r>
        <w:r w:rsidR="00002FFB" w:rsidRPr="00D41D30">
          <w:rPr>
            <w:rFonts w:ascii="Verdana" w:hAnsi="Verdana" w:hint="eastAsia"/>
            <w:b/>
            <w:color w:val="000000" w:themeColor="text1"/>
          </w:rPr>
          <w:t>之</w:t>
        </w:r>
        <w:r w:rsidR="00002FFB" w:rsidRPr="00D41D30">
          <w:rPr>
            <w:rFonts w:ascii="Verdana" w:hAnsi="Verdana"/>
            <w:b/>
            <w:color w:val="000000" w:themeColor="text1"/>
          </w:rPr>
          <w:t>檢核系統</w:t>
        </w:r>
        <w:r w:rsidR="00002FFB" w:rsidRPr="00D41D30">
          <w:rPr>
            <w:rFonts w:ascii="Verdana" w:hAnsi="Verdana" w:hint="eastAsia"/>
            <w:b/>
            <w:color w:val="000000" w:themeColor="text1"/>
          </w:rPr>
          <w:t>，</w:t>
        </w:r>
        <w:r w:rsidR="00002FFB" w:rsidRPr="00D41D30">
          <w:rPr>
            <w:rFonts w:hint="eastAsia"/>
            <w:b/>
            <w:color w:val="000000" w:themeColor="text1"/>
          </w:rPr>
          <w:t>長期實證研究闕如，均不利未來推展高齡者終身教育理念及成果之體現</w:t>
        </w:r>
        <w:r w:rsidR="00002FFB" w:rsidRPr="00D41D30">
          <w:rPr>
            <w:rFonts w:ascii="Verdana" w:hAnsi="Verdana" w:hint="eastAsia"/>
            <w:b/>
            <w:color w:val="000000" w:themeColor="text1"/>
          </w:rPr>
          <w:t>，或強化各直轄市及縣（市）政府落實執行高齡教育</w:t>
        </w:r>
        <w:r w:rsidR="00002FFB" w:rsidRPr="00D41D30">
          <w:rPr>
            <w:rFonts w:ascii="Verdana" w:hAnsi="Verdana"/>
            <w:b/>
            <w:color w:val="000000" w:themeColor="text1"/>
          </w:rPr>
          <w:t>架構</w:t>
        </w:r>
        <w:r w:rsidR="00002FFB" w:rsidRPr="00D41D30">
          <w:rPr>
            <w:rFonts w:ascii="Verdana" w:hAnsi="Verdana" w:hint="eastAsia"/>
            <w:b/>
            <w:color w:val="000000" w:themeColor="text1"/>
          </w:rPr>
          <w:t>及改善機制；教育部雖於本院調查過程中雖即因應案情，進行部分</w:t>
        </w:r>
        <w:r w:rsidR="00002FFB" w:rsidRPr="00D41D30">
          <w:rPr>
            <w:rFonts w:hAnsi="標楷體" w:hint="eastAsia"/>
            <w:b/>
            <w:color w:val="000000" w:themeColor="text1"/>
          </w:rPr>
          <w:t>盤點及滾動式修</w:t>
        </w:r>
        <w:r w:rsidR="00002FFB" w:rsidRPr="00D41D30">
          <w:rPr>
            <w:rFonts w:hAnsi="標楷體" w:hint="eastAsia"/>
            <w:b/>
            <w:color w:val="000000" w:themeColor="text1"/>
          </w:rPr>
          <w:lastRenderedPageBreak/>
          <w:t>正終身學習相關計畫</w:t>
        </w:r>
        <w:r w:rsidR="00002FFB" w:rsidRPr="00D41D30">
          <w:rPr>
            <w:rFonts w:ascii="Verdana" w:hAnsi="Verdana" w:hint="eastAsia"/>
            <w:b/>
            <w:color w:val="000000" w:themeColor="text1"/>
          </w:rPr>
          <w:t>，並委託國立臺灣</w:t>
        </w:r>
        <w:r w:rsidR="008E1BC5" w:rsidRPr="00D41D30">
          <w:rPr>
            <w:rFonts w:ascii="Verdana" w:hAnsi="Verdana" w:hint="eastAsia"/>
            <w:b/>
            <w:color w:val="000000" w:themeColor="text1"/>
          </w:rPr>
          <w:t>師</w:t>
        </w:r>
        <w:r w:rsidR="00002FFB" w:rsidRPr="00D41D30">
          <w:rPr>
            <w:rFonts w:ascii="Verdana" w:hAnsi="Verdana" w:hint="eastAsia"/>
            <w:b/>
            <w:color w:val="000000" w:themeColor="text1"/>
          </w:rPr>
          <w:t>範大學進行</w:t>
        </w:r>
        <w:r w:rsidR="00002FFB" w:rsidRPr="00D41D30">
          <w:rPr>
            <w:rFonts w:hint="eastAsia"/>
            <w:b/>
            <w:color w:val="000000" w:themeColor="text1"/>
          </w:rPr>
          <w:t>「</w:t>
        </w:r>
        <w:r w:rsidR="00002FFB" w:rsidRPr="00D41D30">
          <w:rPr>
            <w:rFonts w:ascii="Verdana" w:hAnsi="Verdana" w:hint="eastAsia"/>
            <w:b/>
            <w:color w:val="000000" w:themeColor="text1"/>
          </w:rPr>
          <w:t>邁向學習社會白皮書</w:t>
        </w:r>
        <w:r w:rsidR="00002FFB" w:rsidRPr="00D41D30">
          <w:rPr>
            <w:rFonts w:hAnsi="標楷體" w:hint="eastAsia"/>
            <w:b/>
            <w:color w:val="000000" w:themeColor="text1"/>
          </w:rPr>
          <w:t>2.0</w:t>
        </w:r>
        <w:r w:rsidR="00002FFB" w:rsidRPr="00D41D30">
          <w:rPr>
            <w:rFonts w:ascii="Verdana" w:hAnsi="Verdana" w:hint="eastAsia"/>
            <w:b/>
            <w:color w:val="000000" w:themeColor="text1"/>
          </w:rPr>
          <w:t>暨終身學習中程發展計畫」，期強化推動</w:t>
        </w:r>
        <w:r w:rsidR="00CE3DFB">
          <w:rPr>
            <w:rFonts w:ascii="Verdana" w:hAnsi="Verdana" w:hint="eastAsia"/>
            <w:b/>
            <w:color w:val="000000" w:themeColor="text1"/>
          </w:rPr>
          <w:t>高</w:t>
        </w:r>
        <w:r w:rsidR="00002FFB" w:rsidRPr="00D41D30">
          <w:rPr>
            <w:rFonts w:ascii="Verdana" w:hAnsi="Verdana" w:hint="eastAsia"/>
            <w:b/>
            <w:color w:val="000000" w:themeColor="text1"/>
          </w:rPr>
          <w:t>齡</w:t>
        </w:r>
        <w:r w:rsidR="00CE3DFB">
          <w:rPr>
            <w:rFonts w:ascii="Verdana" w:hAnsi="Verdana" w:hint="eastAsia"/>
            <w:b/>
            <w:color w:val="000000" w:themeColor="text1"/>
          </w:rPr>
          <w:t>教育</w:t>
        </w:r>
        <w:r w:rsidR="00002FFB" w:rsidRPr="00D41D30">
          <w:rPr>
            <w:rFonts w:ascii="Verdana" w:hAnsi="Verdana" w:hint="eastAsia"/>
            <w:b/>
            <w:color w:val="000000" w:themeColor="text1"/>
          </w:rPr>
          <w:t>大數據資料庫及「強化人才資料庫及運用」等政策架構，惟後續仍亟待教育部積極檢討改進，以落實重要高齡教育政策及計畫之意旨</w:t>
        </w:r>
        <w:r w:rsidR="00002FFB" w:rsidRPr="00D41D30">
          <w:rPr>
            <w:rFonts w:ascii="Verdana" w:hAnsi="Verdana"/>
            <w:b/>
            <w:color w:val="000000" w:themeColor="text1"/>
          </w:rPr>
          <w:t>，建立</w:t>
        </w:r>
        <w:r w:rsidR="00002FFB" w:rsidRPr="00D41D30">
          <w:rPr>
            <w:rFonts w:ascii="Verdana" w:hAnsi="Verdana" w:hint="eastAsia"/>
            <w:b/>
            <w:color w:val="000000" w:themeColor="text1"/>
          </w:rPr>
          <w:t>相關</w:t>
        </w:r>
        <w:r w:rsidR="00002FFB" w:rsidRPr="00D41D30">
          <w:rPr>
            <w:rFonts w:ascii="Verdana" w:hAnsi="Verdana"/>
            <w:b/>
            <w:color w:val="000000" w:themeColor="text1"/>
          </w:rPr>
          <w:t>政策發展之</w:t>
        </w:r>
        <w:r w:rsidR="00002FFB" w:rsidRPr="00D41D30">
          <w:rPr>
            <w:rFonts w:ascii="Verdana" w:hAnsi="Verdana" w:hint="eastAsia"/>
            <w:b/>
            <w:color w:val="000000" w:themeColor="text1"/>
          </w:rPr>
          <w:t>資料庫</w:t>
        </w:r>
        <w:r w:rsidR="00002FFB" w:rsidRPr="00D41D30">
          <w:rPr>
            <w:rFonts w:ascii="Verdana" w:hAnsi="Verdana"/>
            <w:b/>
            <w:color w:val="000000" w:themeColor="text1"/>
          </w:rPr>
          <w:t>機制</w:t>
        </w:r>
        <w:r w:rsidR="00002FFB" w:rsidRPr="00D41D30">
          <w:rPr>
            <w:rFonts w:ascii="Verdana" w:hAnsi="Verdana" w:hint="eastAsia"/>
            <w:b/>
            <w:color w:val="000000" w:themeColor="text1"/>
          </w:rPr>
          <w:t>，共創中央、地方及學界共同發展質量並重之高齡教育體系</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_Toc33011889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208</w:t>
        </w:r>
        <w:r w:rsidR="009D6D39" w:rsidRPr="00D41D30">
          <w:rPr>
            <w:b/>
            <w:webHidden/>
            <w:color w:val="000000" w:themeColor="text1"/>
          </w:rPr>
          <w:fldChar w:fldCharType="end"/>
        </w:r>
      </w:hyperlink>
    </w:p>
    <w:p w:rsidR="009D6D39" w:rsidRPr="00D41D30" w:rsidRDefault="0009143A" w:rsidP="0009143A">
      <w:pPr>
        <w:pStyle w:val="22"/>
        <w:rPr>
          <w:rFonts w:asciiTheme="minorHAnsi" w:eastAsiaTheme="minorEastAsia" w:hAnsiTheme="minorHAnsi" w:cstheme="minorBidi"/>
          <w:b/>
          <w:color w:val="000000" w:themeColor="text1"/>
          <w:sz w:val="24"/>
          <w:szCs w:val="22"/>
        </w:rPr>
      </w:pPr>
      <w:hyperlink w:anchor="_Toc33011896" w:history="1">
        <w:r w:rsidR="009D6D39" w:rsidRPr="00D41D30">
          <w:rPr>
            <w:rStyle w:val="af0"/>
            <w:rFonts w:hint="eastAsia"/>
            <w:b/>
            <w:color w:val="000000" w:themeColor="text1"/>
          </w:rPr>
          <w:t xml:space="preserve">十一、 </w:t>
        </w:r>
        <w:r w:rsidR="00002FFB" w:rsidRPr="00D41D30">
          <w:rPr>
            <w:rFonts w:hint="eastAsia"/>
            <w:b/>
            <w:color w:val="000000" w:themeColor="text1"/>
          </w:rPr>
          <w:t>我國於107年通過與聯合國永續發展目標高度一致的「臺灣永續發展目標」，其中「提倡終身學習」之核心目標，不僅影響我國與國際社會達成全球永續發展目標之合作關係，亦攸關國內衛生醫療、經濟發展及整體公民社會成長甚鉅；我國即將於2026年邁入超高齡社會，過去我國雖為亞洲先行推動高齡者教育政策之國家，亦為許多國家考察仿效之對象，惟查近年推動終身教育之進度及國際視野卻幾近落後國際，成人學習之參與率亦不若同為亞洲國家且曾借鏡我國制度的韓國呈穩定增長，況教育部既已於</w:t>
        </w:r>
        <w:r w:rsidR="00002FFB" w:rsidRPr="00D41D30">
          <w:rPr>
            <w:b/>
            <w:color w:val="000000" w:themeColor="text1"/>
          </w:rPr>
          <w:t>107</w:t>
        </w:r>
        <w:r w:rsidR="00002FFB" w:rsidRPr="00D41D30">
          <w:rPr>
            <w:rFonts w:hint="eastAsia"/>
            <w:b/>
            <w:color w:val="000000" w:themeColor="text1"/>
          </w:rPr>
          <w:t>年赴韓國考察其「學分銀行」、「終身教育師」及</w:t>
        </w:r>
        <w:r w:rsidR="00002FFB" w:rsidRPr="00D41D30">
          <w:rPr>
            <w:rFonts w:hAnsi="標楷體" w:hint="eastAsia"/>
            <w:b/>
            <w:color w:val="000000" w:themeColor="text1"/>
          </w:rPr>
          <w:t>非正規學習成就認證推動情形</w:t>
        </w:r>
        <w:r w:rsidR="00B126D1">
          <w:rPr>
            <w:rFonts w:hint="eastAsia"/>
            <w:b/>
            <w:color w:val="000000" w:themeColor="text1"/>
          </w:rPr>
          <w:t>等制度，並參照其經驗提出相關行政變革建議，自應積極正視其精神與內涵</w:t>
        </w:r>
        <w:r w:rsidR="00002FFB" w:rsidRPr="00D41D30">
          <w:rPr>
            <w:rFonts w:hint="eastAsia"/>
            <w:b/>
            <w:color w:val="000000" w:themeColor="text1"/>
          </w:rPr>
          <w:t>並審慎研議改善我國終身教育制度之困境；此外如國際上推動高齡教育所一併正視之高齡者職業教育</w:t>
        </w:r>
        <w:r w:rsidR="00002FFB" w:rsidRPr="00D41D30">
          <w:rPr>
            <w:rFonts w:hAnsi="標楷體" w:hint="eastAsia"/>
            <w:b/>
            <w:color w:val="000000" w:themeColor="text1"/>
          </w:rPr>
          <w:t>、</w:t>
        </w:r>
        <w:r w:rsidR="00B126D1">
          <w:rPr>
            <w:rFonts w:hAnsi="標楷體" w:hint="eastAsia"/>
            <w:b/>
            <w:color w:val="000000" w:themeColor="text1"/>
          </w:rPr>
          <w:t>強化高齡</w:t>
        </w:r>
        <w:r w:rsidR="00002FFB" w:rsidRPr="00D41D30">
          <w:rPr>
            <w:rFonts w:hint="eastAsia"/>
            <w:b/>
            <w:color w:val="000000" w:themeColor="text1"/>
          </w:rPr>
          <w:t>勞動力</w:t>
        </w:r>
        <w:r w:rsidR="00B126D1">
          <w:rPr>
            <w:rFonts w:hint="eastAsia"/>
            <w:b/>
            <w:color w:val="000000" w:themeColor="text1"/>
          </w:rPr>
          <w:t>再運用</w:t>
        </w:r>
        <w:r w:rsidR="00002FFB" w:rsidRPr="00D41D30">
          <w:rPr>
            <w:rFonts w:hint="eastAsia"/>
            <w:b/>
            <w:color w:val="000000" w:themeColor="text1"/>
          </w:rPr>
          <w:t>及相關人力資源措施，有待教育部後續積極掌握國際趨勢政策及推動措施可資參考借鏡之處，以落實教育永續發展</w:t>
        </w:r>
        <w:r w:rsidR="00231CDA" w:rsidRPr="00D41D30">
          <w:rPr>
            <w:rFonts w:hint="eastAsia"/>
            <w:b/>
            <w:color w:val="000000" w:themeColor="text1"/>
          </w:rPr>
          <w:t>之</w:t>
        </w:r>
        <w:r w:rsidR="00002FFB" w:rsidRPr="00D41D30">
          <w:rPr>
            <w:rFonts w:hint="eastAsia"/>
            <w:b/>
            <w:color w:val="000000" w:themeColor="text1"/>
          </w:rPr>
          <w:t>目標</w:t>
        </w:r>
        <w:r w:rsidR="009D6D39" w:rsidRPr="00D41D30">
          <w:rPr>
            <w:b/>
            <w:webHidden/>
            <w:color w:val="000000" w:themeColor="text1"/>
          </w:rPr>
          <w:tab/>
        </w:r>
        <w:r w:rsidR="009D6D39" w:rsidRPr="00D41D30">
          <w:rPr>
            <w:b/>
            <w:webHidden/>
            <w:color w:val="000000" w:themeColor="text1"/>
          </w:rPr>
          <w:fldChar w:fldCharType="begin"/>
        </w:r>
        <w:r w:rsidR="009D6D39" w:rsidRPr="00D41D30">
          <w:rPr>
            <w:b/>
            <w:webHidden/>
            <w:color w:val="000000" w:themeColor="text1"/>
          </w:rPr>
          <w:instrText xml:space="preserve"> PAGEREF _Toc33011896 \h </w:instrText>
        </w:r>
        <w:r w:rsidR="009D6D39" w:rsidRPr="00D41D30">
          <w:rPr>
            <w:b/>
            <w:webHidden/>
            <w:color w:val="000000" w:themeColor="text1"/>
          </w:rPr>
        </w:r>
        <w:r w:rsidR="009D6D39" w:rsidRPr="00D41D30">
          <w:rPr>
            <w:b/>
            <w:webHidden/>
            <w:color w:val="000000" w:themeColor="text1"/>
          </w:rPr>
          <w:fldChar w:fldCharType="separate"/>
        </w:r>
        <w:r>
          <w:rPr>
            <w:b/>
            <w:webHidden/>
            <w:color w:val="000000" w:themeColor="text1"/>
          </w:rPr>
          <w:t>213</w:t>
        </w:r>
        <w:r w:rsidR="009D6D39" w:rsidRPr="00D41D30">
          <w:rPr>
            <w:b/>
            <w:webHidden/>
            <w:color w:val="000000" w:themeColor="text1"/>
          </w:rPr>
          <w:fldChar w:fldCharType="end"/>
        </w:r>
      </w:hyperlink>
    </w:p>
    <w:p w:rsidR="009D6D39" w:rsidRPr="00D41D30" w:rsidRDefault="0009143A" w:rsidP="0009143A">
      <w:pPr>
        <w:pStyle w:val="12"/>
        <w:rPr>
          <w:rStyle w:val="af0"/>
          <w:b/>
          <w:color w:val="000000" w:themeColor="text1"/>
        </w:rPr>
      </w:pPr>
      <w:hyperlink w:anchor="_Toc33011904" w:history="1">
        <w:r w:rsidR="009D6D39" w:rsidRPr="00D41D30">
          <w:rPr>
            <w:rStyle w:val="af0"/>
            <w:rFonts w:hint="eastAsia"/>
            <w:b/>
            <w:color w:val="000000" w:themeColor="text1"/>
          </w:rPr>
          <w:t>捌、 處理辦法</w:t>
        </w:r>
        <w:r w:rsidR="009D6D39" w:rsidRPr="00D41D30">
          <w:rPr>
            <w:webHidden/>
          </w:rPr>
          <w:tab/>
        </w:r>
        <w:r w:rsidR="009D6D39" w:rsidRPr="00D41D30">
          <w:rPr>
            <w:webHidden/>
          </w:rPr>
          <w:fldChar w:fldCharType="begin"/>
        </w:r>
        <w:r w:rsidR="009D6D39" w:rsidRPr="00D41D30">
          <w:rPr>
            <w:webHidden/>
          </w:rPr>
          <w:instrText xml:space="preserve"> PAGEREF _Toc33011904 \h </w:instrText>
        </w:r>
        <w:r w:rsidR="009D6D39" w:rsidRPr="00D41D30">
          <w:rPr>
            <w:webHidden/>
          </w:rPr>
        </w:r>
        <w:r w:rsidR="009D6D39" w:rsidRPr="00D41D30">
          <w:rPr>
            <w:webHidden/>
          </w:rPr>
          <w:fldChar w:fldCharType="separate"/>
        </w:r>
        <w:r>
          <w:rPr>
            <w:webHidden/>
          </w:rPr>
          <w:t>221</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09" w:history="1">
        <w:r w:rsidR="009D6D39" w:rsidRPr="00D41D30">
          <w:rPr>
            <w:rStyle w:val="af0"/>
            <w:rFonts w:hint="eastAsia"/>
            <w:color w:val="000000" w:themeColor="text1"/>
            <w:sz w:val="26"/>
            <w:szCs w:val="26"/>
          </w:rPr>
          <w:t>附件一、</w:t>
        </w:r>
        <w:r w:rsidR="009D6D39" w:rsidRPr="00D41D30">
          <w:rPr>
            <w:rStyle w:val="af0"/>
            <w:color w:val="000000" w:themeColor="text1"/>
            <w:sz w:val="26"/>
            <w:szCs w:val="26"/>
          </w:rPr>
          <w:t>108</w:t>
        </w:r>
        <w:r w:rsidR="009D6D39" w:rsidRPr="00D41D30">
          <w:rPr>
            <w:rStyle w:val="af0"/>
            <w:rFonts w:hint="eastAsia"/>
            <w:color w:val="000000" w:themeColor="text1"/>
            <w:sz w:val="26"/>
            <w:szCs w:val="26"/>
          </w:rPr>
          <w:t>年</w:t>
        </w:r>
        <w:r w:rsidR="009D6D39" w:rsidRPr="00D41D30">
          <w:rPr>
            <w:rStyle w:val="af0"/>
            <w:color w:val="000000" w:themeColor="text1"/>
            <w:sz w:val="26"/>
            <w:szCs w:val="26"/>
          </w:rPr>
          <w:t>9</w:t>
        </w:r>
        <w:r w:rsidR="009D6D39" w:rsidRPr="00D41D30">
          <w:rPr>
            <w:rStyle w:val="af0"/>
            <w:rFonts w:hint="eastAsia"/>
            <w:color w:val="000000" w:themeColor="text1"/>
            <w:sz w:val="26"/>
            <w:szCs w:val="26"/>
          </w:rPr>
          <w:t>月</w:t>
        </w:r>
        <w:r w:rsidR="009D6D39" w:rsidRPr="00D41D30">
          <w:rPr>
            <w:rStyle w:val="af0"/>
            <w:color w:val="000000" w:themeColor="text1"/>
            <w:sz w:val="26"/>
            <w:szCs w:val="26"/>
          </w:rPr>
          <w:t>9</w:t>
        </w:r>
        <w:r w:rsidR="009D6D39" w:rsidRPr="00D41D30">
          <w:rPr>
            <w:rStyle w:val="af0"/>
            <w:rFonts w:hint="eastAsia"/>
            <w:color w:val="000000" w:themeColor="text1"/>
            <w:sz w:val="26"/>
            <w:szCs w:val="26"/>
          </w:rPr>
          <w:t>日本案第</w:t>
        </w:r>
        <w:r w:rsidR="009D6D39" w:rsidRPr="00D41D30">
          <w:rPr>
            <w:rStyle w:val="af0"/>
            <w:color w:val="000000" w:themeColor="text1"/>
            <w:sz w:val="26"/>
            <w:szCs w:val="26"/>
          </w:rPr>
          <w:t>1</w:t>
        </w:r>
        <w:r w:rsidR="009D6D39" w:rsidRPr="00D41D30">
          <w:rPr>
            <w:rStyle w:val="af0"/>
            <w:rFonts w:hint="eastAsia"/>
            <w:color w:val="000000" w:themeColor="text1"/>
            <w:sz w:val="26"/>
            <w:szCs w:val="26"/>
          </w:rPr>
          <w:t>場諮詢會議紀錄重點摘要</w:t>
        </w:r>
        <w:r w:rsidR="009D6D39" w:rsidRPr="00D41D30">
          <w:rPr>
            <w:webHidden/>
          </w:rPr>
          <w:tab/>
        </w:r>
        <w:r w:rsidR="009D6D39" w:rsidRPr="00D41D30">
          <w:rPr>
            <w:webHidden/>
          </w:rPr>
          <w:fldChar w:fldCharType="begin"/>
        </w:r>
        <w:r w:rsidR="009D6D39" w:rsidRPr="00D41D30">
          <w:rPr>
            <w:webHidden/>
          </w:rPr>
          <w:instrText xml:space="preserve"> PAGEREF _Toc33011909 \h </w:instrText>
        </w:r>
        <w:r w:rsidR="009D6D39" w:rsidRPr="00D41D30">
          <w:rPr>
            <w:webHidden/>
          </w:rPr>
          <w:fldChar w:fldCharType="separate"/>
        </w:r>
        <w:r>
          <w:rPr>
            <w:rFonts w:hint="eastAsia"/>
            <w:b/>
            <w:bCs/>
            <w:webHidden/>
          </w:rPr>
          <w:t>錯誤! 尚未定義書籤。</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15" w:history="1">
        <w:r w:rsidR="009D6D39" w:rsidRPr="00D41D30">
          <w:rPr>
            <w:rStyle w:val="af0"/>
            <w:rFonts w:hint="eastAsia"/>
            <w:color w:val="000000" w:themeColor="text1"/>
            <w:sz w:val="26"/>
            <w:szCs w:val="26"/>
          </w:rPr>
          <w:t>附件二、</w:t>
        </w:r>
        <w:r w:rsidR="009D6D39" w:rsidRPr="00D41D30">
          <w:rPr>
            <w:rStyle w:val="af0"/>
            <w:color w:val="000000" w:themeColor="text1"/>
            <w:sz w:val="26"/>
            <w:szCs w:val="26"/>
          </w:rPr>
          <w:t>108</w:t>
        </w:r>
        <w:r w:rsidR="009D6D39" w:rsidRPr="00D41D30">
          <w:rPr>
            <w:rStyle w:val="af0"/>
            <w:rFonts w:hint="eastAsia"/>
            <w:color w:val="000000" w:themeColor="text1"/>
            <w:sz w:val="26"/>
            <w:szCs w:val="26"/>
          </w:rPr>
          <w:t>年</w:t>
        </w:r>
        <w:r w:rsidR="009D6D39" w:rsidRPr="00D41D30">
          <w:rPr>
            <w:rStyle w:val="af0"/>
            <w:color w:val="000000" w:themeColor="text1"/>
            <w:sz w:val="26"/>
            <w:szCs w:val="26"/>
          </w:rPr>
          <w:t>9</w:t>
        </w:r>
        <w:r w:rsidR="009D6D39" w:rsidRPr="00D41D30">
          <w:rPr>
            <w:rStyle w:val="af0"/>
            <w:rFonts w:hint="eastAsia"/>
            <w:color w:val="000000" w:themeColor="text1"/>
            <w:sz w:val="26"/>
            <w:szCs w:val="26"/>
          </w:rPr>
          <w:t>月</w:t>
        </w:r>
        <w:r w:rsidR="009D6D39" w:rsidRPr="00D41D30">
          <w:rPr>
            <w:rStyle w:val="af0"/>
            <w:color w:val="000000" w:themeColor="text1"/>
            <w:sz w:val="26"/>
            <w:szCs w:val="26"/>
          </w:rPr>
          <w:t>25</w:t>
        </w:r>
        <w:r w:rsidR="009D6D39" w:rsidRPr="00D41D30">
          <w:rPr>
            <w:rStyle w:val="af0"/>
            <w:rFonts w:hint="eastAsia"/>
            <w:color w:val="000000" w:themeColor="text1"/>
            <w:sz w:val="26"/>
            <w:szCs w:val="26"/>
          </w:rPr>
          <w:t>日本案第</w:t>
        </w:r>
        <w:r w:rsidR="009D6D39" w:rsidRPr="00D41D30">
          <w:rPr>
            <w:rStyle w:val="af0"/>
            <w:color w:val="000000" w:themeColor="text1"/>
            <w:sz w:val="26"/>
            <w:szCs w:val="26"/>
          </w:rPr>
          <w:t>2</w:t>
        </w:r>
        <w:r w:rsidR="009D6D39" w:rsidRPr="00D41D30">
          <w:rPr>
            <w:rStyle w:val="af0"/>
            <w:rFonts w:hint="eastAsia"/>
            <w:color w:val="000000" w:themeColor="text1"/>
            <w:sz w:val="26"/>
            <w:szCs w:val="26"/>
          </w:rPr>
          <w:t>場諮詢會議紀錄重點摘要</w:t>
        </w:r>
        <w:r w:rsidR="00747050" w:rsidRPr="00D41D30">
          <w:rPr>
            <w:rStyle w:val="af0"/>
            <w:rFonts w:hint="eastAsia"/>
            <w:color w:val="000000" w:themeColor="text1"/>
            <w:sz w:val="26"/>
            <w:szCs w:val="26"/>
          </w:rPr>
          <w:t>-</w:t>
        </w:r>
        <w:r w:rsidR="00480599" w:rsidRPr="00D41D30">
          <w:rPr>
            <w:rStyle w:val="af0"/>
            <w:color w:val="000000" w:themeColor="text1"/>
            <w:sz w:val="26"/>
            <w:szCs w:val="26"/>
          </w:rPr>
          <w:t>-</w:t>
        </w:r>
        <w:r w:rsidR="00747050" w:rsidRPr="00D41D30">
          <w:rPr>
            <w:rStyle w:val="af0"/>
            <w:rFonts w:hint="eastAsia"/>
            <w:color w:val="000000" w:themeColor="text1"/>
            <w:sz w:val="26"/>
            <w:szCs w:val="26"/>
          </w:rPr>
          <w:t>------</w:t>
        </w:r>
        <w:r w:rsidR="005F4E1B" w:rsidRPr="00D41D30">
          <w:rPr>
            <w:rStyle w:val="af0"/>
            <w:rFonts w:hint="eastAsia"/>
            <w:color w:val="000000" w:themeColor="text1"/>
            <w:sz w:val="26"/>
            <w:szCs w:val="26"/>
          </w:rPr>
          <w:t xml:space="preserve">   </w:t>
        </w:r>
        <w:r w:rsidR="009D6D39" w:rsidRPr="00D41D30">
          <w:rPr>
            <w:webHidden/>
          </w:rPr>
          <w:fldChar w:fldCharType="begin"/>
        </w:r>
        <w:r w:rsidR="009D6D39" w:rsidRPr="00D41D30">
          <w:rPr>
            <w:webHidden/>
          </w:rPr>
          <w:instrText xml:space="preserve"> PAGEREF _Toc33011915 \h </w:instrText>
        </w:r>
        <w:r w:rsidR="009D6D39" w:rsidRPr="00D41D30">
          <w:rPr>
            <w:webHidden/>
          </w:rPr>
          <w:fldChar w:fldCharType="separate"/>
        </w:r>
        <w:r>
          <w:rPr>
            <w:rFonts w:hint="eastAsia"/>
            <w:b/>
            <w:bCs/>
            <w:webHidden/>
          </w:rPr>
          <w:t>錯</w:t>
        </w:r>
        <w:r>
          <w:rPr>
            <w:rFonts w:hint="eastAsia"/>
            <w:b/>
            <w:bCs/>
            <w:webHidden/>
          </w:rPr>
          <w:lastRenderedPageBreak/>
          <w:t>誤! 尚未定義書籤。</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21" w:history="1">
        <w:r w:rsidR="009D6D39" w:rsidRPr="00D41D30">
          <w:rPr>
            <w:rStyle w:val="af0"/>
            <w:rFonts w:hint="eastAsia"/>
            <w:color w:val="000000" w:themeColor="text1"/>
            <w:sz w:val="26"/>
            <w:szCs w:val="26"/>
          </w:rPr>
          <w:t>附件三、</w:t>
        </w:r>
        <w:r w:rsidR="009D6D39" w:rsidRPr="00D41D30">
          <w:rPr>
            <w:rFonts w:asciiTheme="minorHAnsi" w:eastAsiaTheme="minorEastAsia" w:hAnsiTheme="minorHAnsi" w:cstheme="minorBidi"/>
          </w:rPr>
          <w:tab/>
        </w:r>
        <w:r w:rsidR="009D6D39" w:rsidRPr="00D41D30">
          <w:rPr>
            <w:rStyle w:val="af0"/>
            <w:color w:val="000000" w:themeColor="text1"/>
            <w:sz w:val="26"/>
            <w:szCs w:val="26"/>
          </w:rPr>
          <w:t>108</w:t>
        </w:r>
        <w:r w:rsidR="009D6D39" w:rsidRPr="00D41D30">
          <w:rPr>
            <w:rStyle w:val="af0"/>
            <w:rFonts w:hint="eastAsia"/>
            <w:color w:val="000000" w:themeColor="text1"/>
            <w:sz w:val="26"/>
            <w:szCs w:val="26"/>
          </w:rPr>
          <w:t>年</w:t>
        </w:r>
        <w:r w:rsidR="009D6D39" w:rsidRPr="00D41D30">
          <w:rPr>
            <w:rStyle w:val="af0"/>
            <w:color w:val="000000" w:themeColor="text1"/>
            <w:sz w:val="26"/>
            <w:szCs w:val="26"/>
          </w:rPr>
          <w:t>10</w:t>
        </w:r>
        <w:r w:rsidR="009D6D39" w:rsidRPr="00D41D30">
          <w:rPr>
            <w:rStyle w:val="af0"/>
            <w:rFonts w:hint="eastAsia"/>
            <w:color w:val="000000" w:themeColor="text1"/>
            <w:sz w:val="26"/>
            <w:szCs w:val="26"/>
          </w:rPr>
          <w:t>月</w:t>
        </w:r>
        <w:r w:rsidR="009D6D39" w:rsidRPr="00D41D30">
          <w:rPr>
            <w:rStyle w:val="af0"/>
            <w:color w:val="000000" w:themeColor="text1"/>
            <w:sz w:val="26"/>
            <w:szCs w:val="26"/>
          </w:rPr>
          <w:t>18</w:t>
        </w:r>
        <w:r w:rsidR="009D6D39" w:rsidRPr="00D41D30">
          <w:rPr>
            <w:rStyle w:val="af0"/>
            <w:rFonts w:hint="eastAsia"/>
            <w:color w:val="000000" w:themeColor="text1"/>
            <w:sz w:val="26"/>
            <w:szCs w:val="26"/>
          </w:rPr>
          <w:t>日「</w:t>
        </w:r>
        <w:r w:rsidR="009D6D39" w:rsidRPr="00D41D30">
          <w:rPr>
            <w:rStyle w:val="af0"/>
            <w:color w:val="000000" w:themeColor="text1"/>
            <w:sz w:val="26"/>
            <w:szCs w:val="26"/>
          </w:rPr>
          <w:t>2019</w:t>
        </w:r>
        <w:r w:rsidR="009D6D39" w:rsidRPr="00D41D30">
          <w:rPr>
            <w:rStyle w:val="af0"/>
            <w:rFonts w:hint="eastAsia"/>
            <w:color w:val="000000" w:themeColor="text1"/>
            <w:sz w:val="26"/>
            <w:szCs w:val="26"/>
          </w:rPr>
          <w:t>全民終身學習論壇：學習型城市的未來展望與永續發展」研討會彙整照片</w:t>
        </w:r>
        <w:r w:rsidR="009D6D39" w:rsidRPr="00D41D30">
          <w:rPr>
            <w:webHidden/>
          </w:rPr>
          <w:tab/>
        </w:r>
        <w:r w:rsidR="009D6D39" w:rsidRPr="00D41D30">
          <w:rPr>
            <w:webHidden/>
          </w:rPr>
          <w:fldChar w:fldCharType="begin"/>
        </w:r>
        <w:r w:rsidR="009D6D39" w:rsidRPr="00D41D30">
          <w:rPr>
            <w:webHidden/>
          </w:rPr>
          <w:instrText xml:space="preserve"> PAGEREF _Toc33011921 \h </w:instrText>
        </w:r>
        <w:r w:rsidR="009D6D39" w:rsidRPr="00D41D30">
          <w:rPr>
            <w:webHidden/>
          </w:rPr>
          <w:fldChar w:fldCharType="separate"/>
        </w:r>
        <w:r>
          <w:rPr>
            <w:rFonts w:hint="eastAsia"/>
            <w:b/>
            <w:bCs/>
            <w:webHidden/>
          </w:rPr>
          <w:t>錯誤! 尚未定義書籤。</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22" w:history="1">
        <w:r w:rsidR="009D6D39" w:rsidRPr="00D41D30">
          <w:rPr>
            <w:rStyle w:val="af0"/>
            <w:rFonts w:hint="eastAsia"/>
            <w:color w:val="000000" w:themeColor="text1"/>
            <w:sz w:val="26"/>
            <w:szCs w:val="26"/>
          </w:rPr>
          <w:t>附件四、</w:t>
        </w:r>
        <w:r w:rsidR="009D6D39" w:rsidRPr="00D41D30">
          <w:rPr>
            <w:rFonts w:asciiTheme="minorHAnsi" w:eastAsiaTheme="minorEastAsia" w:hAnsiTheme="minorHAnsi" w:cstheme="minorBidi"/>
          </w:rPr>
          <w:tab/>
        </w:r>
        <w:r w:rsidR="009D6D39" w:rsidRPr="00D41D30">
          <w:rPr>
            <w:rStyle w:val="af0"/>
            <w:color w:val="000000" w:themeColor="text1"/>
            <w:sz w:val="26"/>
            <w:szCs w:val="26"/>
          </w:rPr>
          <w:t>108</w:t>
        </w:r>
        <w:r w:rsidR="009D6D39" w:rsidRPr="00D41D30">
          <w:rPr>
            <w:rStyle w:val="af0"/>
            <w:rFonts w:hint="eastAsia"/>
            <w:color w:val="000000" w:themeColor="text1"/>
            <w:sz w:val="26"/>
            <w:szCs w:val="26"/>
          </w:rPr>
          <w:t>年</w:t>
        </w:r>
        <w:r w:rsidR="009D6D39" w:rsidRPr="00D41D30">
          <w:rPr>
            <w:rStyle w:val="af0"/>
            <w:color w:val="000000" w:themeColor="text1"/>
            <w:sz w:val="26"/>
            <w:szCs w:val="26"/>
          </w:rPr>
          <w:t>6</w:t>
        </w:r>
        <w:r w:rsidR="009D6D39" w:rsidRPr="00D41D30">
          <w:rPr>
            <w:rStyle w:val="af0"/>
            <w:rFonts w:hint="eastAsia"/>
            <w:color w:val="000000" w:themeColor="text1"/>
            <w:sz w:val="26"/>
            <w:szCs w:val="26"/>
          </w:rPr>
          <w:t>月</w:t>
        </w:r>
        <w:r w:rsidR="009D6D39" w:rsidRPr="00D41D30">
          <w:rPr>
            <w:rStyle w:val="af0"/>
            <w:color w:val="000000" w:themeColor="text1"/>
            <w:sz w:val="26"/>
            <w:szCs w:val="26"/>
          </w:rPr>
          <w:t>13</w:t>
        </w:r>
        <w:r w:rsidR="009D6D39" w:rsidRPr="00D41D30">
          <w:rPr>
            <w:rStyle w:val="af0"/>
            <w:rFonts w:hint="eastAsia"/>
            <w:color w:val="000000" w:themeColor="text1"/>
            <w:sz w:val="26"/>
            <w:szCs w:val="26"/>
          </w:rPr>
          <w:t>日（北區）履勘及會議紀錄重點摘要</w:t>
        </w:r>
        <w:r w:rsidR="009D6D39" w:rsidRPr="00D41D30">
          <w:rPr>
            <w:webHidden/>
          </w:rPr>
          <w:tab/>
        </w:r>
        <w:r w:rsidR="009D6D39" w:rsidRPr="00D41D30">
          <w:rPr>
            <w:webHidden/>
          </w:rPr>
          <w:fldChar w:fldCharType="begin"/>
        </w:r>
        <w:r w:rsidR="009D6D39" w:rsidRPr="00D41D30">
          <w:rPr>
            <w:webHidden/>
          </w:rPr>
          <w:instrText xml:space="preserve"> PAGEREF _Toc33011922 \h </w:instrText>
        </w:r>
        <w:r w:rsidR="009D6D39" w:rsidRPr="00D41D30">
          <w:rPr>
            <w:webHidden/>
          </w:rPr>
          <w:fldChar w:fldCharType="separate"/>
        </w:r>
        <w:r>
          <w:rPr>
            <w:rFonts w:hint="eastAsia"/>
            <w:b/>
            <w:bCs/>
            <w:webHidden/>
          </w:rPr>
          <w:t>錯誤! 尚未定義書籤。</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23" w:history="1">
        <w:r w:rsidR="009D6D39" w:rsidRPr="00D41D30">
          <w:rPr>
            <w:rStyle w:val="af0"/>
            <w:rFonts w:hint="eastAsia"/>
            <w:color w:val="000000" w:themeColor="text1"/>
            <w:sz w:val="26"/>
            <w:szCs w:val="26"/>
          </w:rPr>
          <w:t>附件五、</w:t>
        </w:r>
        <w:r w:rsidR="009D6D39" w:rsidRPr="00D41D30">
          <w:rPr>
            <w:rFonts w:asciiTheme="minorHAnsi" w:eastAsiaTheme="minorEastAsia" w:hAnsiTheme="minorHAnsi" w:cstheme="minorBidi"/>
          </w:rPr>
          <w:tab/>
        </w:r>
        <w:r w:rsidR="009D6D39" w:rsidRPr="00D41D30">
          <w:rPr>
            <w:rStyle w:val="af0"/>
            <w:color w:val="000000" w:themeColor="text1"/>
            <w:sz w:val="26"/>
            <w:szCs w:val="26"/>
          </w:rPr>
          <w:t>108</w:t>
        </w:r>
        <w:r w:rsidR="009D6D39" w:rsidRPr="00D41D30">
          <w:rPr>
            <w:rStyle w:val="af0"/>
            <w:rFonts w:hint="eastAsia"/>
            <w:color w:val="000000" w:themeColor="text1"/>
            <w:sz w:val="26"/>
            <w:szCs w:val="26"/>
          </w:rPr>
          <w:t>年</w:t>
        </w:r>
        <w:r w:rsidR="009D6D39" w:rsidRPr="00D41D30">
          <w:rPr>
            <w:rStyle w:val="af0"/>
            <w:color w:val="000000" w:themeColor="text1"/>
            <w:sz w:val="26"/>
            <w:szCs w:val="26"/>
          </w:rPr>
          <w:t>7</w:t>
        </w:r>
        <w:r w:rsidR="009D6D39" w:rsidRPr="00D41D30">
          <w:rPr>
            <w:rStyle w:val="af0"/>
            <w:rFonts w:hint="eastAsia"/>
            <w:color w:val="000000" w:themeColor="text1"/>
            <w:sz w:val="26"/>
            <w:szCs w:val="26"/>
          </w:rPr>
          <w:t>月</w:t>
        </w:r>
        <w:r w:rsidR="009D6D39" w:rsidRPr="00D41D30">
          <w:rPr>
            <w:rStyle w:val="af0"/>
            <w:color w:val="000000" w:themeColor="text1"/>
            <w:sz w:val="26"/>
            <w:szCs w:val="26"/>
          </w:rPr>
          <w:t>12</w:t>
        </w:r>
        <w:r w:rsidR="009D6D39" w:rsidRPr="00D41D30">
          <w:rPr>
            <w:rStyle w:val="af0"/>
            <w:rFonts w:hint="eastAsia"/>
            <w:color w:val="000000" w:themeColor="text1"/>
            <w:sz w:val="26"/>
            <w:szCs w:val="26"/>
          </w:rPr>
          <w:t>日（中區）履勘及會議紀錄重點摘要</w:t>
        </w:r>
        <w:r w:rsidR="009D6D39" w:rsidRPr="00D41D30">
          <w:rPr>
            <w:webHidden/>
          </w:rPr>
          <w:tab/>
        </w:r>
        <w:r w:rsidR="009D6D39" w:rsidRPr="00D41D30">
          <w:rPr>
            <w:webHidden/>
          </w:rPr>
          <w:fldChar w:fldCharType="begin"/>
        </w:r>
        <w:r w:rsidR="009D6D39" w:rsidRPr="00D41D30">
          <w:rPr>
            <w:webHidden/>
          </w:rPr>
          <w:instrText xml:space="preserve"> PAGEREF _Toc33011923 \h </w:instrText>
        </w:r>
        <w:r w:rsidR="009D6D39" w:rsidRPr="00D41D30">
          <w:rPr>
            <w:webHidden/>
          </w:rPr>
          <w:fldChar w:fldCharType="separate"/>
        </w:r>
        <w:r>
          <w:rPr>
            <w:rFonts w:hint="eastAsia"/>
            <w:b/>
            <w:bCs/>
            <w:webHidden/>
          </w:rPr>
          <w:t>錯誤! 尚未定義書籤。</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24" w:history="1">
        <w:r w:rsidR="009D6D39" w:rsidRPr="00D41D30">
          <w:rPr>
            <w:rStyle w:val="af0"/>
            <w:rFonts w:hint="eastAsia"/>
            <w:color w:val="000000" w:themeColor="text1"/>
            <w:sz w:val="26"/>
            <w:szCs w:val="26"/>
          </w:rPr>
          <w:t>附件六、</w:t>
        </w:r>
        <w:r w:rsidR="009D6D39" w:rsidRPr="00D41D30">
          <w:rPr>
            <w:rFonts w:asciiTheme="minorHAnsi" w:eastAsiaTheme="minorEastAsia" w:hAnsiTheme="minorHAnsi" w:cstheme="minorBidi"/>
          </w:rPr>
          <w:tab/>
        </w:r>
        <w:r w:rsidR="009D6D39" w:rsidRPr="00D41D30">
          <w:rPr>
            <w:rStyle w:val="af0"/>
            <w:color w:val="000000" w:themeColor="text1"/>
            <w:sz w:val="26"/>
            <w:szCs w:val="26"/>
          </w:rPr>
          <w:t>108</w:t>
        </w:r>
        <w:r w:rsidR="009D6D39" w:rsidRPr="00D41D30">
          <w:rPr>
            <w:rStyle w:val="af0"/>
            <w:rFonts w:hint="eastAsia"/>
            <w:color w:val="000000" w:themeColor="text1"/>
            <w:sz w:val="26"/>
            <w:szCs w:val="26"/>
          </w:rPr>
          <w:t>年</w:t>
        </w:r>
        <w:r w:rsidR="009D6D39" w:rsidRPr="00D41D30">
          <w:rPr>
            <w:rStyle w:val="af0"/>
            <w:color w:val="000000" w:themeColor="text1"/>
            <w:sz w:val="26"/>
            <w:szCs w:val="26"/>
          </w:rPr>
          <w:t>8</w:t>
        </w:r>
        <w:r w:rsidR="009D6D39" w:rsidRPr="00D41D30">
          <w:rPr>
            <w:rStyle w:val="af0"/>
            <w:rFonts w:hint="eastAsia"/>
            <w:color w:val="000000" w:themeColor="text1"/>
            <w:sz w:val="26"/>
            <w:szCs w:val="26"/>
          </w:rPr>
          <w:t>月</w:t>
        </w:r>
        <w:r w:rsidR="009D6D39" w:rsidRPr="00D41D30">
          <w:rPr>
            <w:rStyle w:val="af0"/>
            <w:color w:val="000000" w:themeColor="text1"/>
            <w:sz w:val="26"/>
            <w:szCs w:val="26"/>
          </w:rPr>
          <w:t>1</w:t>
        </w:r>
        <w:r w:rsidR="009D6D39" w:rsidRPr="00D41D30">
          <w:rPr>
            <w:rStyle w:val="af0"/>
            <w:rFonts w:hint="eastAsia"/>
            <w:color w:val="000000" w:themeColor="text1"/>
            <w:sz w:val="26"/>
            <w:szCs w:val="26"/>
          </w:rPr>
          <w:t>日（南區Ｉ）履勘及會議紀錄重點摘要</w:t>
        </w:r>
        <w:r w:rsidR="009D6D39" w:rsidRPr="00D41D30">
          <w:rPr>
            <w:webHidden/>
          </w:rPr>
          <w:tab/>
        </w:r>
        <w:r w:rsidR="009D6D39" w:rsidRPr="00D41D30">
          <w:rPr>
            <w:webHidden/>
          </w:rPr>
          <w:fldChar w:fldCharType="begin"/>
        </w:r>
        <w:r w:rsidR="009D6D39" w:rsidRPr="00D41D30">
          <w:rPr>
            <w:webHidden/>
          </w:rPr>
          <w:instrText xml:space="preserve"> PAGEREF _Toc33011924 \h </w:instrText>
        </w:r>
        <w:r w:rsidR="009D6D39" w:rsidRPr="00D41D30">
          <w:rPr>
            <w:webHidden/>
          </w:rPr>
          <w:fldChar w:fldCharType="separate"/>
        </w:r>
        <w:r>
          <w:rPr>
            <w:rFonts w:hint="eastAsia"/>
            <w:b/>
            <w:bCs/>
            <w:webHidden/>
          </w:rPr>
          <w:t>錯誤! 尚未定義書籤。</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25" w:history="1">
        <w:r w:rsidR="009D6D39" w:rsidRPr="00D41D30">
          <w:rPr>
            <w:rStyle w:val="af0"/>
            <w:rFonts w:hint="eastAsia"/>
            <w:color w:val="000000" w:themeColor="text1"/>
            <w:sz w:val="26"/>
            <w:szCs w:val="26"/>
          </w:rPr>
          <w:t>附件七、</w:t>
        </w:r>
        <w:r w:rsidR="009D6D39" w:rsidRPr="00D41D30">
          <w:rPr>
            <w:rFonts w:asciiTheme="minorHAnsi" w:eastAsiaTheme="minorEastAsia" w:hAnsiTheme="minorHAnsi" w:cstheme="minorBidi"/>
          </w:rPr>
          <w:tab/>
        </w:r>
        <w:r w:rsidR="009D6D39" w:rsidRPr="00D41D30">
          <w:rPr>
            <w:rStyle w:val="af0"/>
            <w:color w:val="000000" w:themeColor="text1"/>
            <w:sz w:val="26"/>
            <w:szCs w:val="26"/>
          </w:rPr>
          <w:t>108</w:t>
        </w:r>
        <w:r w:rsidR="009D6D39" w:rsidRPr="00D41D30">
          <w:rPr>
            <w:rStyle w:val="af0"/>
            <w:rFonts w:hint="eastAsia"/>
            <w:color w:val="000000" w:themeColor="text1"/>
            <w:sz w:val="26"/>
            <w:szCs w:val="26"/>
          </w:rPr>
          <w:t>年</w:t>
        </w:r>
        <w:r w:rsidR="009D6D39" w:rsidRPr="00D41D30">
          <w:rPr>
            <w:rStyle w:val="af0"/>
            <w:color w:val="000000" w:themeColor="text1"/>
            <w:sz w:val="26"/>
            <w:szCs w:val="26"/>
          </w:rPr>
          <w:t>8</w:t>
        </w:r>
        <w:r w:rsidR="009D6D39" w:rsidRPr="00D41D30">
          <w:rPr>
            <w:rStyle w:val="af0"/>
            <w:rFonts w:hint="eastAsia"/>
            <w:color w:val="000000" w:themeColor="text1"/>
            <w:sz w:val="26"/>
            <w:szCs w:val="26"/>
          </w:rPr>
          <w:t>月</w:t>
        </w:r>
        <w:r w:rsidR="009D6D39" w:rsidRPr="00D41D30">
          <w:rPr>
            <w:rStyle w:val="af0"/>
            <w:color w:val="000000" w:themeColor="text1"/>
            <w:sz w:val="26"/>
            <w:szCs w:val="26"/>
          </w:rPr>
          <w:t>2</w:t>
        </w:r>
        <w:r w:rsidR="009D6D39" w:rsidRPr="00D41D30">
          <w:rPr>
            <w:rStyle w:val="af0"/>
            <w:rFonts w:hint="eastAsia"/>
            <w:color w:val="000000" w:themeColor="text1"/>
            <w:sz w:val="26"/>
            <w:szCs w:val="26"/>
          </w:rPr>
          <w:t>日（南區</w:t>
        </w:r>
        <w:r w:rsidR="009D6D39" w:rsidRPr="00D41D30">
          <w:rPr>
            <w:rStyle w:val="af0"/>
            <w:color w:val="000000" w:themeColor="text1"/>
            <w:sz w:val="26"/>
            <w:szCs w:val="26"/>
          </w:rPr>
          <w:t>II</w:t>
        </w:r>
        <w:r w:rsidR="009D6D39" w:rsidRPr="00D41D30">
          <w:rPr>
            <w:rStyle w:val="af0"/>
            <w:rFonts w:hint="eastAsia"/>
            <w:color w:val="000000" w:themeColor="text1"/>
            <w:sz w:val="26"/>
            <w:szCs w:val="26"/>
          </w:rPr>
          <w:t>）履勘及會議紀錄重點摘要</w:t>
        </w:r>
        <w:r w:rsidR="009D6D39" w:rsidRPr="00D41D30">
          <w:rPr>
            <w:webHidden/>
          </w:rPr>
          <w:tab/>
        </w:r>
        <w:r w:rsidR="009D6D39" w:rsidRPr="00D41D30">
          <w:rPr>
            <w:webHidden/>
          </w:rPr>
          <w:fldChar w:fldCharType="begin"/>
        </w:r>
        <w:r w:rsidR="009D6D39" w:rsidRPr="00D41D30">
          <w:rPr>
            <w:webHidden/>
          </w:rPr>
          <w:instrText xml:space="preserve"> PAGEREF _Toc33011925 \h </w:instrText>
        </w:r>
        <w:r w:rsidR="009D6D39" w:rsidRPr="00D41D30">
          <w:rPr>
            <w:webHidden/>
          </w:rPr>
          <w:fldChar w:fldCharType="separate"/>
        </w:r>
        <w:r>
          <w:rPr>
            <w:rFonts w:hint="eastAsia"/>
            <w:b/>
            <w:bCs/>
            <w:webHidden/>
          </w:rPr>
          <w:t>錯誤! 尚未定義書籤。</w:t>
        </w:r>
        <w:r w:rsidR="009D6D39" w:rsidRPr="00D41D30">
          <w:rPr>
            <w:webHidden/>
          </w:rPr>
          <w:fldChar w:fldCharType="end"/>
        </w:r>
      </w:hyperlink>
    </w:p>
    <w:p w:rsidR="009D6D39" w:rsidRPr="00D41D30" w:rsidRDefault="0009143A" w:rsidP="0009143A">
      <w:pPr>
        <w:pStyle w:val="12"/>
        <w:rPr>
          <w:rFonts w:asciiTheme="minorHAnsi" w:eastAsiaTheme="minorEastAsia" w:hAnsiTheme="minorHAnsi" w:cstheme="minorBidi"/>
        </w:rPr>
      </w:pPr>
      <w:hyperlink w:anchor="_Toc33011926" w:history="1">
        <w:r w:rsidR="009D6D39" w:rsidRPr="00D41D30">
          <w:rPr>
            <w:rStyle w:val="af0"/>
            <w:rFonts w:hint="eastAsia"/>
            <w:color w:val="000000" w:themeColor="text1"/>
            <w:sz w:val="26"/>
            <w:szCs w:val="26"/>
          </w:rPr>
          <w:t>附件八、</w:t>
        </w:r>
        <w:r w:rsidR="009D6D39" w:rsidRPr="00D41D30">
          <w:rPr>
            <w:rFonts w:asciiTheme="minorHAnsi" w:eastAsiaTheme="minorEastAsia" w:hAnsiTheme="minorHAnsi" w:cstheme="minorBidi"/>
          </w:rPr>
          <w:tab/>
        </w:r>
        <w:r w:rsidR="009D6D39" w:rsidRPr="00D41D30">
          <w:rPr>
            <w:rStyle w:val="af0"/>
            <w:rFonts w:hint="eastAsia"/>
            <w:color w:val="000000" w:themeColor="text1"/>
            <w:sz w:val="26"/>
            <w:szCs w:val="26"/>
          </w:rPr>
          <w:t>本案相關履勘及座談會議彙整照片</w:t>
        </w:r>
        <w:r w:rsidR="009D6D39" w:rsidRPr="00D41D30">
          <w:rPr>
            <w:webHidden/>
          </w:rPr>
          <w:tab/>
        </w:r>
        <w:r w:rsidR="009D6D39" w:rsidRPr="00D41D30">
          <w:rPr>
            <w:webHidden/>
          </w:rPr>
          <w:fldChar w:fldCharType="begin"/>
        </w:r>
        <w:r w:rsidR="009D6D39" w:rsidRPr="00D41D30">
          <w:rPr>
            <w:webHidden/>
          </w:rPr>
          <w:instrText xml:space="preserve"> PAGEREF _Toc33011926 \h </w:instrText>
        </w:r>
        <w:r w:rsidR="009D6D39" w:rsidRPr="00D41D30">
          <w:rPr>
            <w:webHidden/>
          </w:rPr>
          <w:fldChar w:fldCharType="separate"/>
        </w:r>
        <w:r>
          <w:rPr>
            <w:rFonts w:hint="eastAsia"/>
            <w:b/>
            <w:bCs/>
            <w:webHidden/>
          </w:rPr>
          <w:t>錯誤! 尚未定義書籤。</w:t>
        </w:r>
        <w:r w:rsidR="009D6D39" w:rsidRPr="00D41D30">
          <w:rPr>
            <w:webHidden/>
          </w:rPr>
          <w:fldChar w:fldCharType="end"/>
        </w:r>
      </w:hyperlink>
    </w:p>
    <w:p w:rsidR="006914F9" w:rsidRPr="00D41D30" w:rsidRDefault="00DA5A8A" w:rsidP="00093DBF">
      <w:pPr>
        <w:pStyle w:val="af4"/>
        <w:rPr>
          <w:bCs/>
          <w:color w:val="000000" w:themeColor="text1"/>
        </w:rPr>
      </w:pPr>
      <w:r w:rsidRPr="00D41D30">
        <w:rPr>
          <w:bCs/>
          <w:color w:val="000000" w:themeColor="text1"/>
        </w:rPr>
        <w:fldChar w:fldCharType="end"/>
      </w:r>
    </w:p>
    <w:p w:rsidR="006914F9" w:rsidRPr="00D41D30" w:rsidRDefault="006914F9" w:rsidP="00093DBF">
      <w:pPr>
        <w:pStyle w:val="af4"/>
        <w:rPr>
          <w:bCs/>
          <w:color w:val="000000" w:themeColor="text1"/>
        </w:rPr>
      </w:pPr>
    </w:p>
    <w:p w:rsidR="006914F9" w:rsidRPr="00D41D30" w:rsidRDefault="006914F9" w:rsidP="00093DBF">
      <w:pPr>
        <w:pStyle w:val="af4"/>
        <w:rPr>
          <w:bCs/>
          <w:color w:val="000000" w:themeColor="text1"/>
        </w:rPr>
      </w:pPr>
    </w:p>
    <w:p w:rsidR="006914F9" w:rsidRPr="00D41D30" w:rsidRDefault="006914F9" w:rsidP="00093DBF">
      <w:pPr>
        <w:pStyle w:val="af4"/>
        <w:rPr>
          <w:bCs/>
          <w:color w:val="000000" w:themeColor="text1"/>
        </w:rPr>
      </w:pPr>
    </w:p>
    <w:p w:rsidR="00F742B2" w:rsidRPr="00D41D30" w:rsidRDefault="00F742B2" w:rsidP="00093DBF">
      <w:pPr>
        <w:pStyle w:val="af4"/>
        <w:rPr>
          <w:bCs/>
          <w:color w:val="000000" w:themeColor="text1"/>
        </w:rPr>
      </w:pPr>
    </w:p>
    <w:p w:rsidR="00E351ED" w:rsidRPr="00D41D30" w:rsidRDefault="00093DBF" w:rsidP="00093DBF">
      <w:pPr>
        <w:pStyle w:val="af4"/>
        <w:rPr>
          <w:bCs/>
          <w:color w:val="000000" w:themeColor="text1"/>
        </w:rPr>
      </w:pPr>
      <w:r w:rsidRPr="00D41D30">
        <w:rPr>
          <w:bCs/>
          <w:color w:val="000000" w:themeColor="text1"/>
        </w:rPr>
        <w:t xml:space="preserve"> </w:t>
      </w:r>
    </w:p>
    <w:p w:rsidR="00E25849" w:rsidRPr="00D41D30" w:rsidRDefault="00E25849" w:rsidP="00446C93">
      <w:pPr>
        <w:pStyle w:val="ac"/>
        <w:spacing w:before="0"/>
        <w:rPr>
          <w:bCs/>
          <w:color w:val="000000" w:themeColor="text1"/>
        </w:rPr>
        <w:sectPr w:rsidR="00E25849" w:rsidRPr="00D41D30" w:rsidSect="005F09AD">
          <w:footerReference w:type="default" r:id="rId9"/>
          <w:pgSz w:w="11907" w:h="16840" w:code="9"/>
          <w:pgMar w:top="1701" w:right="1418" w:bottom="1418" w:left="1418" w:header="851" w:footer="851" w:gutter="227"/>
          <w:pgNumType w:fmt="upperRoman" w:start="1"/>
          <w:cols w:space="425"/>
          <w:docGrid w:type="linesAndChars" w:linePitch="457" w:charSpace="4127"/>
        </w:sectPr>
      </w:pPr>
    </w:p>
    <w:p w:rsidR="00D75644" w:rsidRPr="00D41D30" w:rsidRDefault="00D75644" w:rsidP="00F37D7B">
      <w:pPr>
        <w:pStyle w:val="af4"/>
        <w:rPr>
          <w:color w:val="000000" w:themeColor="text1"/>
        </w:rPr>
      </w:pPr>
      <w:r w:rsidRPr="00D41D30">
        <w:rPr>
          <w:rFonts w:hint="eastAsia"/>
          <w:color w:val="000000" w:themeColor="text1"/>
        </w:rPr>
        <w:lastRenderedPageBreak/>
        <w:t>調查報告</w:t>
      </w:r>
    </w:p>
    <w:p w:rsidR="00E25849" w:rsidRPr="00D41D30" w:rsidRDefault="00E25849" w:rsidP="0029177B">
      <w:pPr>
        <w:pStyle w:val="1"/>
        <w:rPr>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33011680"/>
      <w:r w:rsidRPr="00D41D30">
        <w:rPr>
          <w:rFonts w:hint="eastAsia"/>
          <w:color w:val="000000" w:themeColor="text1"/>
        </w:rPr>
        <w:t>調查緣起</w:t>
      </w:r>
      <w:bookmarkEnd w:id="1"/>
      <w:bookmarkEnd w:id="2"/>
      <w:bookmarkEnd w:id="3"/>
      <w:bookmarkEnd w:id="4"/>
      <w:bookmarkEnd w:id="5"/>
      <w:bookmarkEnd w:id="6"/>
      <w:bookmarkEnd w:id="7"/>
      <w:bookmarkEnd w:id="8"/>
      <w:bookmarkEnd w:id="9"/>
      <w:r w:rsidRPr="00D41D30">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5F605C" w:rsidRPr="00D41D30">
        <w:rPr>
          <w:rFonts w:hint="eastAsia"/>
          <w:color w:val="000000" w:themeColor="text1"/>
        </w:rPr>
        <w:t>甲</w:t>
      </w:r>
      <w:r w:rsidR="00E21CC7" w:rsidRPr="00D41D30">
        <w:rPr>
          <w:rFonts w:hint="eastAsia"/>
          <w:color w:val="000000" w:themeColor="text1"/>
        </w:rPr>
        <w:t>案係委員自動調查</w:t>
      </w:r>
      <w:r w:rsidR="005F605C" w:rsidRPr="00D41D30">
        <w:rPr>
          <w:rFonts w:hint="eastAsia"/>
          <w:color w:val="000000" w:themeColor="text1"/>
        </w:rPr>
        <w:t>；</w:t>
      </w:r>
      <w:bookmarkEnd w:id="23"/>
      <w:r w:rsidR="005F605C" w:rsidRPr="00D41D30">
        <w:rPr>
          <w:rFonts w:hAnsi="標楷體" w:hint="eastAsia"/>
          <w:color w:val="000000" w:themeColor="text1"/>
          <w:szCs w:val="32"/>
        </w:rPr>
        <w:t>乙案係</w:t>
      </w:r>
      <w:r w:rsidR="006E5298" w:rsidRPr="00D41D30">
        <w:rPr>
          <w:rFonts w:hAnsi="標楷體" w:hint="eastAsia"/>
          <w:color w:val="000000" w:themeColor="text1"/>
          <w:szCs w:val="32"/>
        </w:rPr>
        <w:t>委員於</w:t>
      </w:r>
      <w:r w:rsidR="0029177B" w:rsidRPr="00D41D30">
        <w:rPr>
          <w:rFonts w:hAnsi="標楷體" w:hint="eastAsia"/>
          <w:color w:val="000000" w:themeColor="text1"/>
          <w:szCs w:val="32"/>
        </w:rPr>
        <w:t>108年6月</w:t>
      </w:r>
      <w:r w:rsidR="00B64419" w:rsidRPr="00D41D30">
        <w:rPr>
          <w:rFonts w:hAnsi="標楷體"/>
          <w:color w:val="000000" w:themeColor="text1"/>
          <w:szCs w:val="32"/>
        </w:rPr>
        <w:t>1</w:t>
      </w:r>
      <w:r w:rsidR="0023564C" w:rsidRPr="00D41D30">
        <w:rPr>
          <w:rFonts w:hAnsi="標楷體"/>
          <w:color w:val="000000" w:themeColor="text1"/>
          <w:szCs w:val="32"/>
        </w:rPr>
        <w:t>9</w:t>
      </w:r>
      <w:r w:rsidR="0029177B" w:rsidRPr="00D41D30">
        <w:rPr>
          <w:rFonts w:hAnsi="標楷體" w:hint="eastAsia"/>
          <w:color w:val="000000" w:themeColor="text1"/>
          <w:szCs w:val="32"/>
        </w:rPr>
        <w:t>日經簽奉核定立案派查。</w:t>
      </w:r>
      <w:bookmarkEnd w:id="24"/>
    </w:p>
    <w:p w:rsidR="00E25849" w:rsidRPr="00D41D30" w:rsidRDefault="00E25849" w:rsidP="004E05A1">
      <w:pPr>
        <w:pStyle w:val="1"/>
        <w:ind w:left="2380" w:hanging="2380"/>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33011681"/>
      <w:r w:rsidRPr="00D41D30">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D41D30">
        <w:rPr>
          <w:rFonts w:hint="eastAsia"/>
          <w:color w:val="000000" w:themeColor="text1"/>
        </w:rPr>
        <w:t>：</w:t>
      </w:r>
      <w:r w:rsidR="005D739C" w:rsidRPr="00D41D30">
        <w:rPr>
          <w:rFonts w:hint="eastAsia"/>
          <w:color w:val="000000" w:themeColor="text1"/>
        </w:rPr>
        <w:t>教育部</w:t>
      </w:r>
      <w:r w:rsidRPr="00D41D30">
        <w:rPr>
          <w:rFonts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D41D30" w:rsidRDefault="00E25849" w:rsidP="002664B4">
      <w:pPr>
        <w:pStyle w:val="1"/>
        <w:rPr>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33011682"/>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D41D30">
        <w:rPr>
          <w:rFonts w:hint="eastAsia"/>
          <w:color w:val="000000" w:themeColor="text1"/>
        </w:rPr>
        <w:t>案　　由：</w:t>
      </w:r>
      <w:bookmarkEnd w:id="50"/>
      <w:bookmarkEnd w:id="51"/>
      <w:bookmarkEnd w:id="52"/>
      <w:bookmarkEnd w:id="53"/>
      <w:bookmarkEnd w:id="54"/>
      <w:bookmarkEnd w:id="55"/>
      <w:bookmarkEnd w:id="56"/>
      <w:bookmarkEnd w:id="57"/>
      <w:bookmarkEnd w:id="58"/>
      <w:bookmarkEnd w:id="59"/>
      <w:r w:rsidR="002664B4" w:rsidRPr="00D41D30">
        <w:rPr>
          <w:rFonts w:hint="eastAsia"/>
          <w:color w:val="000000" w:themeColor="text1"/>
        </w:rPr>
        <w:t>據悉，教育部為推動高齡教育，自2008年編列預算開始輔導各地方設置樂齡學習中心，並於2012年委託大學分區設置輔導團，以辦理各縣市的訪視輔導，聯繫座談、培訓、研習及研討會；據悉，因輔導訪視每年4次業已造成中心基層疲於奔命，該政策之行政體制有無疊床架屋？經費運用是否合宜？推動績效為何？另</w:t>
      </w:r>
      <w:r w:rsidR="001C0DA8" w:rsidRPr="00D41D30">
        <w:rPr>
          <w:color w:val="000000" w:themeColor="text1"/>
        </w:rPr>
        <w:fldChar w:fldCharType="begin"/>
      </w:r>
      <w:r w:rsidRPr="00D41D30">
        <w:rPr>
          <w:color w:val="000000" w:themeColor="text1"/>
        </w:rPr>
        <w:instrText xml:space="preserve"> MERGEFIELD </w:instrText>
      </w:r>
      <w:r w:rsidRPr="00D41D30">
        <w:rPr>
          <w:rFonts w:hint="eastAsia"/>
          <w:color w:val="000000" w:themeColor="text1"/>
        </w:rPr>
        <w:instrText>案由</w:instrText>
      </w:r>
      <w:r w:rsidRPr="00D41D30">
        <w:rPr>
          <w:color w:val="000000" w:themeColor="text1"/>
        </w:rPr>
        <w:instrText xml:space="preserve"> </w:instrText>
      </w:r>
      <w:r w:rsidR="001C0DA8" w:rsidRPr="00D41D30">
        <w:rPr>
          <w:color w:val="000000" w:themeColor="text1"/>
        </w:rPr>
        <w:fldChar w:fldCharType="separate"/>
      </w:r>
      <w:bookmarkEnd w:id="61"/>
      <w:r w:rsidR="00765B67" w:rsidRPr="00D41D30">
        <w:rPr>
          <w:rFonts w:hint="eastAsia"/>
          <w:color w:val="000000" w:themeColor="text1"/>
        </w:rPr>
        <w:t>我國已於2018年轉為高齡社會，推估將於2026年邁入超高齡社會，因應高齡人口結構，教育部為推動高齡教育已陸續研訂、修正與高齡者學習之社區終身學習中心、樂齡學習中心、樂齡大學、高齡自主學習團等相關計畫，各計畫執行情形與效益為何？是否確能達成完善高齡者的學習環境、提供更普及之學習管道，使其透過多元學習活動與積極參與，讓身心更健康，以達成功老化、健康老化、活躍老化之目標？均有深入了解之必要案。</w:t>
      </w:r>
      <w:bookmarkEnd w:id="60"/>
      <w:r w:rsidR="001C0DA8" w:rsidRPr="00D41D30">
        <w:rPr>
          <w:color w:val="000000" w:themeColor="text1"/>
        </w:rPr>
        <w:fldChar w:fldCharType="end"/>
      </w:r>
      <w:bookmarkEnd w:id="62"/>
      <w:bookmarkEnd w:id="63"/>
      <w:bookmarkEnd w:id="64"/>
      <w:bookmarkEnd w:id="65"/>
      <w:bookmarkEnd w:id="66"/>
      <w:bookmarkEnd w:id="67"/>
      <w:bookmarkEnd w:id="68"/>
      <w:bookmarkEnd w:id="69"/>
      <w:bookmarkEnd w:id="70"/>
      <w:bookmarkEnd w:id="71"/>
      <w:bookmarkEnd w:id="72"/>
      <w:bookmarkEnd w:id="73"/>
      <w:bookmarkEnd w:id="74"/>
    </w:p>
    <w:p w:rsidR="00E25849" w:rsidRPr="00D41D30" w:rsidRDefault="00CD669B" w:rsidP="002664B4">
      <w:pPr>
        <w:pStyle w:val="1"/>
        <w:rPr>
          <w:color w:val="000000" w:themeColor="text1"/>
        </w:rPr>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33011683"/>
      <w:r w:rsidRPr="00D41D30">
        <w:rPr>
          <w:rFonts w:hint="eastAsia"/>
          <w:color w:val="000000" w:themeColor="text1"/>
        </w:rPr>
        <w:t>調查依據：甲案係依據本院108年</w:t>
      </w:r>
      <w:r w:rsidR="002664B4" w:rsidRPr="00D41D30">
        <w:rPr>
          <w:rFonts w:hint="eastAsia"/>
          <w:color w:val="000000" w:themeColor="text1"/>
        </w:rPr>
        <w:t>3</w:t>
      </w:r>
      <w:r w:rsidRPr="00D41D30">
        <w:rPr>
          <w:rFonts w:hint="eastAsia"/>
          <w:color w:val="000000" w:themeColor="text1"/>
        </w:rPr>
        <w:t>月</w:t>
      </w:r>
      <w:r w:rsidR="002664B4" w:rsidRPr="00D41D30">
        <w:rPr>
          <w:rFonts w:hint="eastAsia"/>
          <w:color w:val="000000" w:themeColor="text1"/>
        </w:rPr>
        <w:t>21</w:t>
      </w:r>
      <w:r w:rsidRPr="00D41D30">
        <w:rPr>
          <w:rFonts w:hint="eastAsia"/>
          <w:color w:val="000000" w:themeColor="text1"/>
        </w:rPr>
        <w:t>日院台調壹字第</w:t>
      </w:r>
      <w:r w:rsidR="002664B4" w:rsidRPr="00D41D30">
        <w:rPr>
          <w:color w:val="000000" w:themeColor="text1"/>
        </w:rPr>
        <w:t>1080800</w:t>
      </w:r>
      <w:r w:rsidR="002664B4" w:rsidRPr="00D41D30">
        <w:rPr>
          <w:rFonts w:hint="eastAsia"/>
          <w:color w:val="000000" w:themeColor="text1"/>
        </w:rPr>
        <w:t>052</w:t>
      </w:r>
      <w:r w:rsidRPr="00D41D30">
        <w:rPr>
          <w:rFonts w:hint="eastAsia"/>
          <w:color w:val="000000" w:themeColor="text1"/>
        </w:rPr>
        <w:t>號函，並派調查專員劉麗華協助調查；乙案係依據本院108年6月28日院台調</w:t>
      </w:r>
      <w:r w:rsidR="00361EBD" w:rsidRPr="00D41D30">
        <w:rPr>
          <w:rFonts w:hint="eastAsia"/>
          <w:color w:val="000000" w:themeColor="text1"/>
        </w:rPr>
        <w:t>壹</w:t>
      </w:r>
      <w:r w:rsidRPr="00D41D30">
        <w:rPr>
          <w:rFonts w:hint="eastAsia"/>
          <w:color w:val="000000" w:themeColor="text1"/>
        </w:rPr>
        <w:t>字第</w:t>
      </w:r>
      <w:r w:rsidR="00361EBD" w:rsidRPr="00D41D30">
        <w:rPr>
          <w:rFonts w:hint="eastAsia"/>
          <w:color w:val="000000" w:themeColor="text1"/>
        </w:rPr>
        <w:t>1080800127</w:t>
      </w:r>
      <w:r w:rsidRPr="00D41D30">
        <w:rPr>
          <w:rFonts w:hint="eastAsia"/>
          <w:color w:val="000000" w:themeColor="text1"/>
        </w:rPr>
        <w:t>號函，並派調查員羅玉珊協助調查</w:t>
      </w:r>
      <w:r w:rsidR="00C54E51" w:rsidRPr="00D41D30">
        <w:rPr>
          <w:rFonts w:hint="eastAsia"/>
          <w:color w:val="000000" w:themeColor="text1"/>
        </w:rPr>
        <w:t>，復</w:t>
      </w:r>
      <w:r w:rsidR="002D5168" w:rsidRPr="00D41D30">
        <w:rPr>
          <w:rFonts w:hint="eastAsia"/>
          <w:color w:val="000000" w:themeColor="text1"/>
        </w:rPr>
        <w:t>依</w:t>
      </w:r>
      <w:r w:rsidR="00C54E51" w:rsidRPr="00D41D30">
        <w:rPr>
          <w:rFonts w:hint="eastAsia"/>
          <w:color w:val="000000" w:themeColor="text1"/>
        </w:rPr>
        <w:t>同年8月1日</w:t>
      </w:r>
      <w:r w:rsidR="004C1882" w:rsidRPr="00D41D30">
        <w:rPr>
          <w:rFonts w:hint="eastAsia"/>
          <w:color w:val="000000" w:themeColor="text1"/>
        </w:rPr>
        <w:t>院台調壹字第1080831813號函</w:t>
      </w:r>
      <w:r w:rsidR="00C54E51" w:rsidRPr="00D41D30">
        <w:rPr>
          <w:rFonts w:hint="eastAsia"/>
          <w:color w:val="000000" w:themeColor="text1"/>
        </w:rPr>
        <w:t>加派調查專員賴</w:t>
      </w:r>
      <w:r w:rsidR="00C54E51" w:rsidRPr="00D41D30">
        <w:rPr>
          <w:rFonts w:hint="eastAsia"/>
          <w:color w:val="000000" w:themeColor="text1"/>
        </w:rPr>
        <w:lastRenderedPageBreak/>
        <w:t>媛君</w:t>
      </w:r>
      <w:r w:rsidR="001B60E8" w:rsidRPr="00D41D30">
        <w:rPr>
          <w:rFonts w:hint="eastAsia"/>
          <w:color w:val="000000" w:themeColor="text1"/>
        </w:rPr>
        <w:t>協助調查</w:t>
      </w:r>
      <w:r w:rsidR="00E25849" w:rsidRPr="00D41D30">
        <w:rPr>
          <w:rFonts w:hint="eastAsia"/>
          <w:color w:val="000000" w:themeColor="text1"/>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D41D30" w:rsidRDefault="00E25849" w:rsidP="00D84A6D">
      <w:pPr>
        <w:pStyle w:val="1"/>
        <w:rPr>
          <w:color w:val="000000" w:themeColor="text1"/>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33011684"/>
      <w:r w:rsidRPr="00D41D30">
        <w:rPr>
          <w:rFonts w:hint="eastAsia"/>
          <w:color w:val="000000" w:themeColor="text1"/>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8777F4" w:rsidRPr="00D41D30" w:rsidRDefault="008777F4" w:rsidP="00350EB1">
      <w:pPr>
        <w:pStyle w:val="2"/>
        <w:ind w:left="1020" w:hanging="680"/>
        <w:rPr>
          <w:color w:val="000000" w:themeColor="text1"/>
        </w:rPr>
      </w:pPr>
      <w:bookmarkStart w:id="125" w:name="_Toc27560700"/>
      <w:bookmarkStart w:id="126" w:name="_Toc27665527"/>
      <w:bookmarkStart w:id="127" w:name="_Toc27670582"/>
      <w:bookmarkStart w:id="128" w:name="_Toc32392418"/>
      <w:bookmarkStart w:id="129" w:name="_Toc32673608"/>
      <w:bookmarkStart w:id="130" w:name="_Toc32845750"/>
      <w:bookmarkStart w:id="131" w:name="_Toc32918392"/>
      <w:bookmarkStart w:id="132" w:name="_Toc33011685"/>
      <w:r w:rsidRPr="00D41D30">
        <w:rPr>
          <w:rFonts w:hint="eastAsia"/>
          <w:color w:val="000000" w:themeColor="text1"/>
        </w:rPr>
        <w:t>我國高齡人口成長情形</w:t>
      </w:r>
      <w:r w:rsidR="00E761B0" w:rsidRPr="00D41D30">
        <w:rPr>
          <w:rFonts w:hint="eastAsia"/>
          <w:color w:val="000000" w:themeColor="text1"/>
        </w:rPr>
        <w:t>。</w:t>
      </w:r>
      <w:bookmarkEnd w:id="125"/>
      <w:bookmarkEnd w:id="126"/>
      <w:bookmarkEnd w:id="127"/>
      <w:bookmarkEnd w:id="128"/>
      <w:bookmarkEnd w:id="129"/>
      <w:bookmarkEnd w:id="130"/>
      <w:bookmarkEnd w:id="131"/>
      <w:bookmarkEnd w:id="132"/>
    </w:p>
    <w:p w:rsidR="00563692" w:rsidRPr="00D41D30" w:rsidRDefault="0023724D" w:rsidP="00350EB1">
      <w:pPr>
        <w:pStyle w:val="2"/>
        <w:ind w:left="1020" w:hanging="680"/>
        <w:rPr>
          <w:color w:val="000000" w:themeColor="text1"/>
        </w:rPr>
      </w:pPr>
      <w:bookmarkStart w:id="133" w:name="_Toc27560701"/>
      <w:bookmarkStart w:id="134" w:name="_Toc27665528"/>
      <w:bookmarkStart w:id="135" w:name="_Toc27670583"/>
      <w:bookmarkStart w:id="136" w:name="_Toc32392419"/>
      <w:bookmarkStart w:id="137" w:name="_Toc32673609"/>
      <w:bookmarkStart w:id="138" w:name="_Toc32845751"/>
      <w:bookmarkStart w:id="139" w:name="_Toc32918393"/>
      <w:bookmarkStart w:id="140" w:name="_Toc33011686"/>
      <w:r w:rsidRPr="00D41D30">
        <w:rPr>
          <w:rFonts w:hint="eastAsia"/>
          <w:color w:val="000000" w:themeColor="text1"/>
        </w:rPr>
        <w:t>我國</w:t>
      </w:r>
      <w:r w:rsidR="00DB4D3C" w:rsidRPr="00D41D30">
        <w:rPr>
          <w:rFonts w:hint="eastAsia"/>
          <w:color w:val="000000" w:themeColor="text1"/>
        </w:rPr>
        <w:t>樂齡教育政策</w:t>
      </w:r>
      <w:r w:rsidR="005F03C1" w:rsidRPr="00D41D30">
        <w:rPr>
          <w:rFonts w:hint="eastAsia"/>
          <w:color w:val="000000" w:themeColor="text1"/>
        </w:rPr>
        <w:t>之</w:t>
      </w:r>
      <w:r w:rsidR="00DB4D3C" w:rsidRPr="00D41D30">
        <w:rPr>
          <w:rFonts w:hint="eastAsia"/>
          <w:color w:val="000000" w:themeColor="text1"/>
        </w:rPr>
        <w:t>沿革</w:t>
      </w:r>
      <w:r w:rsidR="005F03C1" w:rsidRPr="00D41D30">
        <w:rPr>
          <w:rFonts w:hint="eastAsia"/>
          <w:color w:val="000000" w:themeColor="text1"/>
        </w:rPr>
        <w:t>、權責</w:t>
      </w:r>
      <w:r w:rsidR="00DB4D3C" w:rsidRPr="00D41D30">
        <w:rPr>
          <w:rFonts w:hint="eastAsia"/>
          <w:color w:val="000000" w:themeColor="text1"/>
        </w:rPr>
        <w:t>及變革。</w:t>
      </w:r>
      <w:bookmarkEnd w:id="133"/>
      <w:bookmarkEnd w:id="134"/>
      <w:bookmarkEnd w:id="135"/>
      <w:bookmarkEnd w:id="136"/>
      <w:bookmarkEnd w:id="137"/>
      <w:bookmarkEnd w:id="138"/>
      <w:bookmarkEnd w:id="139"/>
      <w:bookmarkEnd w:id="140"/>
    </w:p>
    <w:p w:rsidR="00EC50A6" w:rsidRPr="00D41D30" w:rsidRDefault="005F03C1" w:rsidP="00350EB1">
      <w:pPr>
        <w:pStyle w:val="2"/>
        <w:ind w:left="1020" w:hanging="680"/>
        <w:rPr>
          <w:color w:val="000000" w:themeColor="text1"/>
        </w:rPr>
      </w:pPr>
      <w:bookmarkStart w:id="141" w:name="_Toc27560702"/>
      <w:bookmarkStart w:id="142" w:name="_Toc27665529"/>
      <w:bookmarkStart w:id="143" w:name="_Toc27670584"/>
      <w:bookmarkStart w:id="144" w:name="_Toc32392420"/>
      <w:bookmarkStart w:id="145" w:name="_Toc32673610"/>
      <w:bookmarkStart w:id="146" w:name="_Toc32845752"/>
      <w:bookmarkStart w:id="147" w:name="_Toc32918394"/>
      <w:bookmarkStart w:id="148" w:name="_Toc33011687"/>
      <w:r w:rsidRPr="00D41D30">
        <w:rPr>
          <w:rFonts w:hint="eastAsia"/>
          <w:color w:val="000000" w:themeColor="text1"/>
        </w:rPr>
        <w:t>我國</w:t>
      </w:r>
      <w:r w:rsidR="00DB4D3C" w:rsidRPr="00D41D30">
        <w:rPr>
          <w:rFonts w:hint="eastAsia"/>
          <w:color w:val="000000" w:themeColor="text1"/>
        </w:rPr>
        <w:t>樂齡教育政策經費</w:t>
      </w:r>
      <w:r w:rsidR="004029F9" w:rsidRPr="00D41D30">
        <w:rPr>
          <w:rFonts w:hint="eastAsia"/>
          <w:color w:val="000000" w:themeColor="text1"/>
        </w:rPr>
        <w:t>及資源</w:t>
      </w:r>
      <w:r w:rsidR="00DB4D3C" w:rsidRPr="00D41D30">
        <w:rPr>
          <w:rFonts w:hint="eastAsia"/>
          <w:color w:val="000000" w:themeColor="text1"/>
        </w:rPr>
        <w:t>配置</w:t>
      </w:r>
      <w:r w:rsidR="004029F9" w:rsidRPr="00D41D30">
        <w:rPr>
          <w:rFonts w:hint="eastAsia"/>
          <w:color w:val="000000" w:themeColor="text1"/>
        </w:rPr>
        <w:t>狀況</w:t>
      </w:r>
      <w:r w:rsidR="00DB4D3C" w:rsidRPr="00D41D30">
        <w:rPr>
          <w:rFonts w:hint="eastAsia"/>
          <w:color w:val="000000" w:themeColor="text1"/>
        </w:rPr>
        <w:t>。</w:t>
      </w:r>
      <w:bookmarkEnd w:id="141"/>
      <w:bookmarkEnd w:id="142"/>
      <w:bookmarkEnd w:id="143"/>
      <w:bookmarkEnd w:id="144"/>
      <w:bookmarkEnd w:id="145"/>
      <w:bookmarkEnd w:id="146"/>
      <w:bookmarkEnd w:id="147"/>
      <w:bookmarkEnd w:id="148"/>
    </w:p>
    <w:p w:rsidR="00DB4D3C" w:rsidRPr="00D41D30" w:rsidRDefault="00DB4D3C" w:rsidP="00350EB1">
      <w:pPr>
        <w:pStyle w:val="2"/>
        <w:ind w:left="1020" w:hanging="680"/>
        <w:rPr>
          <w:color w:val="000000" w:themeColor="text1"/>
        </w:rPr>
      </w:pPr>
      <w:bookmarkStart w:id="149" w:name="_Toc27560703"/>
      <w:bookmarkStart w:id="150" w:name="_Toc27665530"/>
      <w:bookmarkStart w:id="151" w:name="_Toc27670585"/>
      <w:bookmarkStart w:id="152" w:name="_Toc32392421"/>
      <w:bookmarkStart w:id="153" w:name="_Toc32673611"/>
      <w:bookmarkStart w:id="154" w:name="_Toc32845753"/>
      <w:bookmarkStart w:id="155" w:name="_Toc32918395"/>
      <w:bookmarkStart w:id="156" w:name="_Toc33011688"/>
      <w:r w:rsidRPr="00D41D30">
        <w:rPr>
          <w:rFonts w:hint="eastAsia"/>
          <w:color w:val="000000" w:themeColor="text1"/>
        </w:rPr>
        <w:t>樂齡學習中心、樂齡大學、高齡自主學習團</w:t>
      </w:r>
      <w:r w:rsidR="00682296" w:rsidRPr="00D41D30">
        <w:rPr>
          <w:rFonts w:hint="eastAsia"/>
          <w:color w:val="000000" w:themeColor="text1"/>
        </w:rPr>
        <w:t>等樂齡教育相關計畫</w:t>
      </w:r>
      <w:r w:rsidRPr="00D41D30">
        <w:rPr>
          <w:rFonts w:hint="eastAsia"/>
          <w:color w:val="000000" w:themeColor="text1"/>
        </w:rPr>
        <w:t>執行</w:t>
      </w:r>
      <w:r w:rsidR="00980319" w:rsidRPr="00D41D30">
        <w:rPr>
          <w:rFonts w:hint="eastAsia"/>
          <w:color w:val="000000" w:themeColor="text1"/>
        </w:rPr>
        <w:t>、</w:t>
      </w:r>
      <w:r w:rsidRPr="00D41D30">
        <w:rPr>
          <w:rFonts w:hint="eastAsia"/>
          <w:color w:val="000000" w:themeColor="text1"/>
        </w:rPr>
        <w:t>檢討</w:t>
      </w:r>
      <w:r w:rsidR="00533998" w:rsidRPr="00D41D30">
        <w:rPr>
          <w:rFonts w:hint="eastAsia"/>
          <w:color w:val="000000" w:themeColor="text1"/>
        </w:rPr>
        <w:t>情形</w:t>
      </w:r>
      <w:r w:rsidR="00980319" w:rsidRPr="00D41D30">
        <w:rPr>
          <w:rFonts w:hint="eastAsia"/>
          <w:color w:val="000000" w:themeColor="text1"/>
        </w:rPr>
        <w:t>及</w:t>
      </w:r>
      <w:r w:rsidR="00665F86" w:rsidRPr="00D41D30">
        <w:rPr>
          <w:rFonts w:hint="eastAsia"/>
          <w:color w:val="000000" w:themeColor="text1"/>
        </w:rPr>
        <w:t>後續</w:t>
      </w:r>
      <w:r w:rsidR="00980319" w:rsidRPr="00D41D30">
        <w:rPr>
          <w:rFonts w:hint="eastAsia"/>
          <w:color w:val="000000" w:themeColor="text1"/>
        </w:rPr>
        <w:t>相關</w:t>
      </w:r>
      <w:r w:rsidR="00980319" w:rsidRPr="00D41D30">
        <w:rPr>
          <w:color w:val="000000" w:themeColor="text1"/>
        </w:rPr>
        <w:t>配套措施是否</w:t>
      </w:r>
      <w:r w:rsidR="0074087B" w:rsidRPr="00D41D30">
        <w:rPr>
          <w:rFonts w:hint="eastAsia"/>
          <w:color w:val="000000" w:themeColor="text1"/>
        </w:rPr>
        <w:t>完備</w:t>
      </w:r>
      <w:r w:rsidRPr="00D41D30">
        <w:rPr>
          <w:rFonts w:hint="eastAsia"/>
          <w:color w:val="000000" w:themeColor="text1"/>
        </w:rPr>
        <w:t>。</w:t>
      </w:r>
      <w:bookmarkEnd w:id="149"/>
      <w:bookmarkEnd w:id="150"/>
      <w:bookmarkEnd w:id="151"/>
      <w:bookmarkEnd w:id="152"/>
      <w:bookmarkEnd w:id="153"/>
      <w:bookmarkEnd w:id="154"/>
      <w:bookmarkEnd w:id="155"/>
      <w:bookmarkEnd w:id="156"/>
    </w:p>
    <w:p w:rsidR="00DB4D3C" w:rsidRPr="00D41D30" w:rsidRDefault="006A4BF3" w:rsidP="00350EB1">
      <w:pPr>
        <w:pStyle w:val="2"/>
        <w:ind w:left="1020" w:hanging="680"/>
        <w:rPr>
          <w:color w:val="000000" w:themeColor="text1"/>
        </w:rPr>
      </w:pPr>
      <w:bookmarkStart w:id="157" w:name="_Toc27560704"/>
      <w:bookmarkStart w:id="158" w:name="_Toc27665531"/>
      <w:bookmarkStart w:id="159" w:name="_Toc27670586"/>
      <w:bookmarkStart w:id="160" w:name="_Toc32392422"/>
      <w:bookmarkStart w:id="161" w:name="_Toc32673612"/>
      <w:bookmarkStart w:id="162" w:name="_Toc32845754"/>
      <w:bookmarkStart w:id="163" w:name="_Toc32918396"/>
      <w:bookmarkStart w:id="164" w:name="_Toc33011689"/>
      <w:r w:rsidRPr="00D41D30">
        <w:rPr>
          <w:rFonts w:hint="eastAsia"/>
          <w:color w:val="000000" w:themeColor="text1"/>
        </w:rPr>
        <w:t>本案</w:t>
      </w:r>
      <w:r w:rsidR="00F11F4B" w:rsidRPr="00D41D30">
        <w:rPr>
          <w:rFonts w:hint="eastAsia"/>
          <w:color w:val="000000" w:themeColor="text1"/>
        </w:rPr>
        <w:t>相關</w:t>
      </w:r>
      <w:r w:rsidR="00DB4D3C" w:rsidRPr="00D41D30">
        <w:rPr>
          <w:rFonts w:hint="eastAsia"/>
          <w:color w:val="000000" w:themeColor="text1"/>
        </w:rPr>
        <w:t>中央、地方</w:t>
      </w:r>
      <w:r w:rsidRPr="00D41D30">
        <w:rPr>
          <w:rFonts w:hint="eastAsia"/>
          <w:color w:val="000000" w:themeColor="text1"/>
        </w:rPr>
        <w:t>縣市</w:t>
      </w:r>
      <w:r w:rsidR="003D5FA1" w:rsidRPr="00D41D30">
        <w:rPr>
          <w:rFonts w:hint="eastAsia"/>
          <w:color w:val="000000" w:themeColor="text1"/>
        </w:rPr>
        <w:t>政府</w:t>
      </w:r>
      <w:r w:rsidR="00DB4D3C" w:rsidRPr="00D41D30">
        <w:rPr>
          <w:rFonts w:hint="eastAsia"/>
          <w:color w:val="000000" w:themeColor="text1"/>
        </w:rPr>
        <w:t>及各目的事業主管機關</w:t>
      </w:r>
      <w:r w:rsidR="0087421E" w:rsidRPr="00D41D30">
        <w:rPr>
          <w:rFonts w:hint="eastAsia"/>
          <w:color w:val="000000" w:themeColor="text1"/>
        </w:rPr>
        <w:t>之</w:t>
      </w:r>
      <w:r w:rsidR="00DB4D3C" w:rsidRPr="00D41D30">
        <w:rPr>
          <w:rFonts w:hint="eastAsia"/>
          <w:color w:val="000000" w:themeColor="text1"/>
        </w:rPr>
        <w:t>權責分工整合。</w:t>
      </w:r>
      <w:bookmarkEnd w:id="157"/>
      <w:bookmarkEnd w:id="158"/>
      <w:bookmarkEnd w:id="159"/>
      <w:bookmarkEnd w:id="160"/>
      <w:bookmarkEnd w:id="161"/>
      <w:bookmarkEnd w:id="162"/>
      <w:bookmarkEnd w:id="163"/>
      <w:bookmarkEnd w:id="164"/>
    </w:p>
    <w:p w:rsidR="001B60E8" w:rsidRPr="00D41D30" w:rsidRDefault="001B60E8" w:rsidP="00350EB1">
      <w:pPr>
        <w:pStyle w:val="2"/>
        <w:ind w:left="1020" w:hanging="680"/>
        <w:rPr>
          <w:color w:val="000000" w:themeColor="text1"/>
        </w:rPr>
      </w:pPr>
      <w:bookmarkStart w:id="165" w:name="_Toc32392423"/>
      <w:bookmarkStart w:id="166" w:name="_Toc32673613"/>
      <w:bookmarkStart w:id="167" w:name="_Toc32845755"/>
      <w:bookmarkStart w:id="168" w:name="_Toc32918397"/>
      <w:bookmarkStart w:id="169" w:name="_Toc33011690"/>
      <w:r w:rsidRPr="00D41D30">
        <w:rPr>
          <w:rFonts w:hint="eastAsia"/>
          <w:color w:val="000000" w:themeColor="text1"/>
        </w:rPr>
        <w:t>其他與本案相關事項。</w:t>
      </w:r>
      <w:bookmarkEnd w:id="165"/>
      <w:bookmarkEnd w:id="166"/>
      <w:bookmarkEnd w:id="167"/>
      <w:bookmarkEnd w:id="168"/>
      <w:bookmarkEnd w:id="169"/>
    </w:p>
    <w:p w:rsidR="00E25849" w:rsidRPr="00D41D30" w:rsidRDefault="00E25849" w:rsidP="00BA6C7A">
      <w:pPr>
        <w:pStyle w:val="1"/>
        <w:rPr>
          <w:color w:val="000000" w:themeColor="text1"/>
        </w:rPr>
      </w:pPr>
      <w:bookmarkStart w:id="170" w:name="_Toc524895641"/>
      <w:bookmarkStart w:id="171" w:name="_Toc524896187"/>
      <w:bookmarkStart w:id="172" w:name="_Toc524896217"/>
      <w:bookmarkStart w:id="173" w:name="_Toc525066142"/>
      <w:bookmarkStart w:id="174" w:name="_Toc4316182"/>
      <w:bookmarkStart w:id="175" w:name="_Toc4473323"/>
      <w:bookmarkStart w:id="176" w:name="_Toc69556890"/>
      <w:bookmarkStart w:id="177" w:name="_Toc69556939"/>
      <w:bookmarkStart w:id="178" w:name="_Toc69609813"/>
      <w:bookmarkStart w:id="179" w:name="_Toc70241809"/>
      <w:bookmarkStart w:id="180" w:name="_Toc524892371"/>
      <w:bookmarkStart w:id="181" w:name="_Toc524895642"/>
      <w:bookmarkStart w:id="182" w:name="_Toc524896188"/>
      <w:bookmarkStart w:id="183" w:name="_Toc524896218"/>
      <w:bookmarkStart w:id="184" w:name="_Toc524902724"/>
      <w:bookmarkStart w:id="185" w:name="_Toc525066143"/>
      <w:bookmarkStart w:id="186" w:name="_Toc525070833"/>
      <w:bookmarkStart w:id="187" w:name="_Toc525938373"/>
      <w:bookmarkStart w:id="188" w:name="_Toc525939221"/>
      <w:bookmarkStart w:id="189" w:name="_Toc525939726"/>
      <w:bookmarkStart w:id="190" w:name="_Toc529218260"/>
      <w:bookmarkStart w:id="191" w:name="_Toc529222683"/>
      <w:bookmarkStart w:id="192" w:name="_Toc529223105"/>
      <w:bookmarkStart w:id="193" w:name="_Toc529223856"/>
      <w:bookmarkStart w:id="194" w:name="_Toc529228252"/>
      <w:bookmarkStart w:id="195" w:name="_Toc2400389"/>
      <w:bookmarkStart w:id="196" w:name="_Toc4316183"/>
      <w:bookmarkStart w:id="197" w:name="_Toc4473324"/>
      <w:bookmarkStart w:id="198" w:name="_Toc69556891"/>
      <w:bookmarkStart w:id="199" w:name="_Toc69556940"/>
      <w:bookmarkStart w:id="200" w:name="_Toc69609814"/>
      <w:bookmarkStart w:id="201" w:name="_Toc70241810"/>
      <w:bookmarkStart w:id="202" w:name="_Toc70242199"/>
      <w:bookmarkStart w:id="203" w:name="_Toc421794869"/>
      <w:bookmarkStart w:id="204" w:name="_Toc33011691"/>
      <w:bookmarkEnd w:id="170"/>
      <w:bookmarkEnd w:id="171"/>
      <w:bookmarkEnd w:id="172"/>
      <w:bookmarkEnd w:id="173"/>
      <w:bookmarkEnd w:id="174"/>
      <w:bookmarkEnd w:id="175"/>
      <w:bookmarkEnd w:id="176"/>
      <w:bookmarkEnd w:id="177"/>
      <w:bookmarkEnd w:id="178"/>
      <w:bookmarkEnd w:id="179"/>
      <w:r w:rsidRPr="00D41D30">
        <w:rPr>
          <w:rFonts w:hint="eastAsia"/>
          <w:color w:val="000000" w:themeColor="text1"/>
        </w:rPr>
        <w:t>調查事實</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E216C0" w:rsidRPr="00D41D30" w:rsidRDefault="00E216C0" w:rsidP="00E216C0">
      <w:pPr>
        <w:pStyle w:val="11"/>
        <w:ind w:left="680" w:firstLine="680"/>
        <w:rPr>
          <w:color w:val="000000" w:themeColor="text1"/>
        </w:rPr>
      </w:pPr>
      <w:bookmarkStart w:id="205" w:name="_Toc525070834"/>
      <w:bookmarkStart w:id="206" w:name="_Toc525938374"/>
      <w:bookmarkStart w:id="207" w:name="_Toc525939222"/>
      <w:bookmarkStart w:id="208" w:name="_Toc525939727"/>
      <w:bookmarkStart w:id="209" w:name="_Toc525066144"/>
      <w:bookmarkStart w:id="210" w:name="_Toc524892372"/>
      <w:r w:rsidRPr="00D41D30">
        <w:rPr>
          <w:rFonts w:hint="eastAsia"/>
          <w:bCs/>
          <w:color w:val="000000" w:themeColor="text1"/>
        </w:rPr>
        <w:t>本調查報告包括二案。為瞭解教育部對於高齡教育推動情形，爰於</w:t>
      </w:r>
      <w:r w:rsidRPr="00D41D30">
        <w:rPr>
          <w:rFonts w:hint="eastAsia"/>
          <w:color w:val="000000" w:themeColor="text1"/>
        </w:rPr>
        <w:t>民國（下同）108年4月29日請該部終身教育司司長及國家教育研究院課程及教學研究中心主任等主管人員到院簡報，本案調查委員嗣於同年6月13日履勘國立空中大學附辦樂齡大學、國立臺灣師範大學（樂齡北區輔導團</w:t>
      </w:r>
      <w:r w:rsidRPr="00D41D30">
        <w:rPr>
          <w:rFonts w:hAnsi="標楷體" w:hint="eastAsia"/>
          <w:color w:val="000000" w:themeColor="text1"/>
        </w:rPr>
        <w:t>）</w:t>
      </w:r>
      <w:r w:rsidRPr="00D41D30">
        <w:rPr>
          <w:rFonts w:hint="eastAsia"/>
          <w:color w:val="000000" w:themeColor="text1"/>
        </w:rPr>
        <w:t>，並與教育部相關業務主管人員、北區自主學習團體帶領人等座談。且於同</w:t>
      </w:r>
      <w:r w:rsidRPr="00D41D30">
        <w:rPr>
          <w:rFonts w:hint="eastAsia"/>
          <w:color w:val="000000" w:themeColor="text1"/>
          <w:szCs w:val="32"/>
        </w:rPr>
        <w:t>年6月29日</w:t>
      </w:r>
      <w:r w:rsidRPr="00D41D30">
        <w:rPr>
          <w:rFonts w:hAnsi="標楷體" w:hint="eastAsia"/>
          <w:color w:val="000000" w:themeColor="text1"/>
          <w:szCs w:val="32"/>
        </w:rPr>
        <w:t>、</w:t>
      </w:r>
      <w:r w:rsidRPr="00D41D30">
        <w:rPr>
          <w:rFonts w:hint="eastAsia"/>
          <w:color w:val="000000" w:themeColor="text1"/>
          <w:szCs w:val="32"/>
        </w:rPr>
        <w:t>7月16日，分別於金門縣及連江縣地方</w:t>
      </w:r>
      <w:r w:rsidRPr="00D41D30">
        <w:rPr>
          <w:rFonts w:ascii="Arial" w:cs="Arial"/>
          <w:color w:val="000000" w:themeColor="text1"/>
        </w:rPr>
        <w:t>巡察行程中，</w:t>
      </w:r>
      <w:r w:rsidRPr="00D41D30">
        <w:rPr>
          <w:rFonts w:ascii="Arial" w:cs="Arial" w:hint="eastAsia"/>
          <w:color w:val="000000" w:themeColor="text1"/>
        </w:rPr>
        <w:t>赴</w:t>
      </w:r>
      <w:r w:rsidRPr="00D41D30">
        <w:rPr>
          <w:rFonts w:hint="eastAsia"/>
          <w:color w:val="000000" w:themeColor="text1"/>
          <w:szCs w:val="32"/>
        </w:rPr>
        <w:t>金門訪視樂齡學習中心並進行履勘及座談</w:t>
      </w:r>
      <w:r w:rsidRPr="00D41D30">
        <w:rPr>
          <w:rFonts w:hAnsi="標楷體" w:hint="eastAsia"/>
          <w:color w:val="000000" w:themeColor="text1"/>
          <w:szCs w:val="32"/>
        </w:rPr>
        <w:t>；</w:t>
      </w:r>
      <w:r w:rsidRPr="00D41D30">
        <w:rPr>
          <w:rFonts w:hint="eastAsia"/>
          <w:color w:val="000000" w:themeColor="text1"/>
          <w:szCs w:val="32"/>
        </w:rPr>
        <w:t>及參與「連江縣政府高齡教育推動情形」座談會等，以深入瞭解樂齡教育活動於離島地區之實務運作現況</w:t>
      </w:r>
      <w:r w:rsidRPr="00D41D30">
        <w:rPr>
          <w:rFonts w:hint="eastAsia"/>
          <w:color w:val="000000" w:themeColor="text1"/>
        </w:rPr>
        <w:t>。</w:t>
      </w:r>
    </w:p>
    <w:p w:rsidR="00E216C0" w:rsidRPr="00D41D30" w:rsidRDefault="00E216C0" w:rsidP="00E216C0">
      <w:pPr>
        <w:pStyle w:val="11"/>
        <w:ind w:left="680" w:firstLine="680"/>
        <w:rPr>
          <w:color w:val="000000" w:themeColor="text1"/>
        </w:rPr>
      </w:pPr>
      <w:r w:rsidRPr="00D41D30">
        <w:rPr>
          <w:rFonts w:hint="eastAsia"/>
          <w:color w:val="000000" w:themeColor="text1"/>
        </w:rPr>
        <w:t>本案調查委員再於同年7月12日履勘臺中市樂齡學習示範中心、臺中市西區樂齡學習中心，並與教育部、台中市政府教育局主管人員、中區輔導團成員、中國醫藥大學附辦樂齡大學、朝陽科技大學附辦樂齡大學、南開科技大學附辦樂齡大學、臺中市臺中市太平區（國小承辦）、龍井區（農會承辦）、外埔區（國</w:t>
      </w:r>
      <w:r w:rsidRPr="00D41D30">
        <w:rPr>
          <w:rFonts w:hint="eastAsia"/>
          <w:color w:val="000000" w:themeColor="text1"/>
        </w:rPr>
        <w:lastRenderedPageBreak/>
        <w:t>中承辦）、梧棲區（醫院承辦）、西區（民間團體承辦）等樂齡學習中心及中區自主學習團體帶領人等座談；於同年8月1日現場履勘高雄市樂齡學習示範中心、國立高雄師範大學樂齡大學，並與教育部</w:t>
      </w:r>
      <w:r w:rsidRPr="00D41D30">
        <w:rPr>
          <w:rFonts w:ascii="新細明體" w:eastAsia="新細明體" w:hAnsi="新細明體" w:hint="eastAsia"/>
          <w:color w:val="000000" w:themeColor="text1"/>
        </w:rPr>
        <w:t>、</w:t>
      </w:r>
      <w:r w:rsidRPr="00D41D30">
        <w:rPr>
          <w:rFonts w:hint="eastAsia"/>
          <w:color w:val="000000" w:themeColor="text1"/>
        </w:rPr>
        <w:t>該單位主管人員及南區輔導團成員舉辦座談會議，復為瞭解偏鄉高齡教育推展情形，於同年月2日履勘林園區樂齡學習中心、三地門鄉樂齡學習中心及屏東樂齡學習示範中心，並邀請南區自主學習團體帶領人等舉辦座談會議，以釐清相關案情。</w:t>
      </w:r>
    </w:p>
    <w:p w:rsidR="00E216C0" w:rsidRPr="00D41D30" w:rsidRDefault="00E216C0" w:rsidP="00E216C0">
      <w:pPr>
        <w:pStyle w:val="11"/>
        <w:ind w:left="680" w:firstLine="680"/>
        <w:rPr>
          <w:color w:val="000000" w:themeColor="text1"/>
        </w:rPr>
      </w:pPr>
      <w:r w:rsidRPr="00D41D30">
        <w:rPr>
          <w:rFonts w:hint="eastAsia"/>
          <w:color w:val="000000" w:themeColor="text1"/>
        </w:rPr>
        <w:t>另為瞭解國內外樂齡教育相關學術及發展現況，本案調查委員及協查人員分別出席108年9月27日、28日由國立臺灣師範大學等主辦之「2019終身學習的傳承與創新暨楊國賜教授終身教育思想研討會」及同年10月18日由國立暨南國際大學主辦之「2019全民終身學習論壇：學習型城市的未來展望與永續發展」等學術交流活動，俾蒐集本案相關學術及國際發展資料，調查委員並擔任全民終身學習論壇《主題論壇二》「在地學習型城市的特色凝聚與深化發展」</w:t>
      </w:r>
      <w:r w:rsidRPr="00D41D30">
        <w:rPr>
          <w:rFonts w:hAnsi="標楷體" w:hint="eastAsia"/>
          <w:color w:val="000000" w:themeColor="text1"/>
        </w:rPr>
        <w:t>主持</w:t>
      </w:r>
      <w:r w:rsidRPr="00D41D30">
        <w:rPr>
          <w:rFonts w:hint="eastAsia"/>
          <w:color w:val="000000" w:themeColor="text1"/>
        </w:rPr>
        <w:t>人及</w:t>
      </w:r>
      <w:r w:rsidRPr="00D41D30">
        <w:rPr>
          <w:rFonts w:hAnsi="標楷體" w:hint="eastAsia"/>
          <w:color w:val="000000" w:themeColor="text1"/>
        </w:rPr>
        <w:t>「</w:t>
      </w:r>
      <w:r w:rsidRPr="00D41D30">
        <w:rPr>
          <w:rFonts w:hint="eastAsia"/>
          <w:color w:val="000000" w:themeColor="text1"/>
        </w:rPr>
        <w:t>成果報告暨綜合座談討論</w:t>
      </w:r>
      <w:r w:rsidRPr="00D41D30">
        <w:rPr>
          <w:rFonts w:hAnsi="標楷體" w:hint="eastAsia"/>
          <w:color w:val="000000" w:themeColor="text1"/>
        </w:rPr>
        <w:t>」</w:t>
      </w:r>
      <w:r w:rsidRPr="00D41D30">
        <w:rPr>
          <w:rFonts w:hint="eastAsia"/>
          <w:color w:val="000000" w:themeColor="text1"/>
        </w:rPr>
        <w:t>與談人，以深入探討高齡者教育措施及相關國家政策。</w:t>
      </w:r>
    </w:p>
    <w:p w:rsidR="00D7741A" w:rsidRPr="00D41D30" w:rsidRDefault="00350EB1" w:rsidP="009316E8">
      <w:pPr>
        <w:pStyle w:val="11"/>
        <w:ind w:left="680" w:firstLine="680"/>
        <w:rPr>
          <w:color w:val="000000" w:themeColor="text1"/>
        </w:rPr>
      </w:pPr>
      <w:r w:rsidRPr="00D41D30">
        <w:rPr>
          <w:rFonts w:hint="eastAsia"/>
          <w:color w:val="000000" w:themeColor="text1"/>
        </w:rPr>
        <w:t>本案經彙整上述歷程與教育部、衛生福利部（下稱衛福部）等相關卷證資料；另於同年12月26日詢問教育部、衛福部業務主管人員</w:t>
      </w:r>
      <w:r w:rsidRPr="00D41D30">
        <w:rPr>
          <w:rFonts w:hint="eastAsia"/>
          <w:color w:val="000000" w:themeColor="text1"/>
          <w:szCs w:val="32"/>
        </w:rPr>
        <w:t>，並經補充資料後，業已調查竣事，茲</w:t>
      </w:r>
      <w:r w:rsidRPr="00D41D30">
        <w:rPr>
          <w:rFonts w:hint="eastAsia"/>
          <w:color w:val="000000" w:themeColor="text1"/>
        </w:rPr>
        <w:t>因乙案之基礎資料源自甲案，爰將二案之調查報告整合撰擬併提，</w:t>
      </w:r>
      <w:r w:rsidR="00D7741A" w:rsidRPr="00D41D30">
        <w:rPr>
          <w:rFonts w:hint="eastAsia"/>
          <w:color w:val="000000" w:themeColor="text1"/>
        </w:rPr>
        <w:t>茲綜整調查事實如下：</w:t>
      </w:r>
    </w:p>
    <w:p w:rsidR="00222110" w:rsidRPr="00D41D30" w:rsidRDefault="00222110" w:rsidP="00E216C0">
      <w:pPr>
        <w:pStyle w:val="2"/>
        <w:spacing w:beforeLines="100" w:before="457"/>
        <w:ind w:left="1020" w:hanging="680"/>
        <w:rPr>
          <w:b/>
          <w:color w:val="000000" w:themeColor="text1"/>
        </w:rPr>
      </w:pPr>
      <w:bookmarkStart w:id="211" w:name="_Toc33011692"/>
      <w:r w:rsidRPr="00D41D30">
        <w:rPr>
          <w:rFonts w:hint="eastAsia"/>
          <w:b/>
          <w:color w:val="000000" w:themeColor="text1"/>
        </w:rPr>
        <w:t>審計部相關查核意見重點摘要</w:t>
      </w:r>
      <w:bookmarkEnd w:id="211"/>
    </w:p>
    <w:p w:rsidR="00222110" w:rsidRPr="00D41D30" w:rsidRDefault="00222110" w:rsidP="00222110">
      <w:pPr>
        <w:pStyle w:val="3"/>
        <w:rPr>
          <w:color w:val="000000" w:themeColor="text1"/>
        </w:rPr>
      </w:pPr>
      <w:bookmarkStart w:id="212" w:name="_Toc27560707"/>
      <w:bookmarkStart w:id="213" w:name="_Toc27665534"/>
      <w:bookmarkStart w:id="214" w:name="_Toc27670589"/>
      <w:bookmarkStart w:id="215" w:name="_Toc30512445"/>
      <w:bookmarkStart w:id="216" w:name="_Toc30581153"/>
      <w:bookmarkStart w:id="217" w:name="_Toc32392426"/>
      <w:bookmarkStart w:id="218" w:name="_Toc32673616"/>
      <w:bookmarkStart w:id="219" w:name="_Toc32845758"/>
      <w:bookmarkStart w:id="220" w:name="_Toc32846481"/>
      <w:bookmarkStart w:id="221" w:name="_Toc32913724"/>
      <w:bookmarkStart w:id="222" w:name="_Toc32918400"/>
      <w:bookmarkStart w:id="223" w:name="_Toc33011693"/>
      <w:r w:rsidRPr="00D41D30">
        <w:rPr>
          <w:rFonts w:hint="eastAsia"/>
          <w:color w:val="000000" w:themeColor="text1"/>
        </w:rPr>
        <w:t>審計部查核教育部105年度財務收支及決算有關高齡教育執行情形意見</w:t>
      </w:r>
      <w:bookmarkEnd w:id="212"/>
      <w:bookmarkEnd w:id="213"/>
      <w:bookmarkEnd w:id="214"/>
      <w:bookmarkEnd w:id="215"/>
      <w:bookmarkEnd w:id="216"/>
      <w:bookmarkEnd w:id="217"/>
      <w:bookmarkEnd w:id="218"/>
      <w:bookmarkEnd w:id="219"/>
      <w:bookmarkEnd w:id="220"/>
      <w:bookmarkEnd w:id="221"/>
      <w:bookmarkEnd w:id="222"/>
      <w:bookmarkEnd w:id="223"/>
    </w:p>
    <w:p w:rsidR="00222110" w:rsidRPr="00D41D30" w:rsidRDefault="00222110" w:rsidP="00222110">
      <w:pPr>
        <w:pStyle w:val="4"/>
        <w:rPr>
          <w:color w:val="000000" w:themeColor="text1"/>
        </w:rPr>
      </w:pPr>
      <w:r w:rsidRPr="00D41D30">
        <w:rPr>
          <w:rFonts w:hint="eastAsia"/>
          <w:color w:val="000000" w:themeColor="text1"/>
        </w:rPr>
        <w:t>逐年編列預算推動高齡教育，有助於促進長者</w:t>
      </w:r>
      <w:r w:rsidRPr="00D41D30">
        <w:rPr>
          <w:rFonts w:hint="eastAsia"/>
          <w:color w:val="000000" w:themeColor="text1"/>
        </w:rPr>
        <w:lastRenderedPageBreak/>
        <w:t>老年生活品質，惟我國人口老化快速，高齡教育經費仍顯不足，允宜整體思考研訂高齡教育中程發展計畫及寬籌預算，擴增高齡者學習機會，達成協助活躍老化之目標。</w:t>
      </w:r>
    </w:p>
    <w:p w:rsidR="00222110" w:rsidRPr="00D41D30" w:rsidRDefault="00222110" w:rsidP="004F0A63">
      <w:pPr>
        <w:pStyle w:val="32"/>
        <w:ind w:leftChars="500" w:left="1701" w:firstLine="680"/>
        <w:rPr>
          <w:color w:val="000000" w:themeColor="text1"/>
        </w:rPr>
      </w:pPr>
      <w:r w:rsidRPr="00D41D30">
        <w:rPr>
          <w:rFonts w:hint="eastAsia"/>
          <w:color w:val="000000" w:themeColor="text1"/>
        </w:rPr>
        <w:t>審計機關覆核意見：據復，該部為迎接高齡社會來臨，研擬「高齡教育中程發展計畫」，實施期間為106年至109年，目標對象為55歲以上之民眾，以「建立體系、創新學習、開發人力及跨域整合」等</w:t>
      </w:r>
      <w:r w:rsidRPr="00D41D30">
        <w:rPr>
          <w:color w:val="000000" w:themeColor="text1"/>
        </w:rPr>
        <w:t>4</w:t>
      </w:r>
      <w:r w:rsidRPr="00D41D30">
        <w:rPr>
          <w:rFonts w:hint="eastAsia"/>
          <w:color w:val="000000" w:themeColor="text1"/>
        </w:rPr>
        <w:t>大面向為主軸，提供民眾相關多元學習因應老化之管道。未來除持續因應高齡化社會爭取相關預算，另將責請各市縣政府確實編列高齡教育預算，並檢討教育資源分配事宜，視政府整體財政狀況，逐步爭取財源挹注高齡教育經費。</w:t>
      </w:r>
      <w:r w:rsidRPr="00D41D30">
        <w:rPr>
          <w:rFonts w:cs="AdobeMingStd-Light" w:hint="eastAsia"/>
          <w:color w:val="000000" w:themeColor="text1"/>
          <w:kern w:val="0"/>
        </w:rPr>
        <w:t>經核聲復情由，尚屬允適。</w:t>
      </w:r>
    </w:p>
    <w:p w:rsidR="00222110" w:rsidRPr="00D41D30" w:rsidRDefault="00222110" w:rsidP="00222110">
      <w:pPr>
        <w:pStyle w:val="4"/>
        <w:rPr>
          <w:color w:val="000000" w:themeColor="text1"/>
        </w:rPr>
      </w:pPr>
      <w:r w:rsidRPr="00D41D30">
        <w:rPr>
          <w:rFonts w:hint="eastAsia"/>
          <w:color w:val="000000" w:themeColor="text1"/>
        </w:rPr>
        <w:t>全國368個鄉鎮市區已設置339所樂齡學習中心，增進中高齡者社會參與，惟部分中高齡人口達萬人以上之地區尚未設置；或中高齡人口達10萬人以上之地區僅設置1所，允宜檢討考量各鄉鎮市區之中高齡人口分布密度及需求，納為補助增設之參考。</w:t>
      </w:r>
    </w:p>
    <w:p w:rsidR="00222110" w:rsidRPr="00D41D30" w:rsidRDefault="00222110" w:rsidP="004F0A63">
      <w:pPr>
        <w:pStyle w:val="32"/>
        <w:ind w:leftChars="500" w:left="1701" w:firstLine="680"/>
        <w:rPr>
          <w:color w:val="000000" w:themeColor="text1"/>
        </w:rPr>
      </w:pPr>
      <w:r w:rsidRPr="00D41D30">
        <w:rPr>
          <w:rFonts w:hint="eastAsia"/>
          <w:color w:val="000000" w:themeColor="text1"/>
        </w:rPr>
        <w:t>審計機關覆核意見：據復，105年度尚未成立樂齡學習中心之鄉鎮市區主要原因為當地缺乏組織及人力、補助經費不高及辦理時數多、鄉鎮位置交通不便等。各縣市政府轄屬尚未成立樂齡中心之地區，如屬偏鄉，且未有相關機構可提案申請，106年度開放由各縣市政府結合該縣市示範中心或較近且優質之續辦中心，以營隊或拓點方式，前往辦理較密集式課程或活動，課程規劃及人員培訓由分區輔導團協助，每年總時數得以彈性調整，並得視當地特殊狀</w:t>
      </w:r>
      <w:r w:rsidRPr="00D41D30">
        <w:rPr>
          <w:rFonts w:hint="eastAsia"/>
          <w:color w:val="000000" w:themeColor="text1"/>
        </w:rPr>
        <w:lastRenderedPageBreak/>
        <w:t>況集中月份辦理，或以密集（如營隊）方式開設課程或活動，以增進高齡者學習機會。該部於106年度申請計畫中納入「樂齡學習優先推動區」，各鄉鎮市區老年人口比率達20%以上或人數超過2萬人者，均得另申請1所樂齡中心，以滿足當地高齡者的學習需求。經核聲復情由，尚屬允適。</w:t>
      </w:r>
    </w:p>
    <w:p w:rsidR="00222110" w:rsidRPr="00D41D30" w:rsidRDefault="00222110" w:rsidP="00222110">
      <w:pPr>
        <w:pStyle w:val="4"/>
        <w:rPr>
          <w:color w:val="000000" w:themeColor="text1"/>
        </w:rPr>
      </w:pPr>
      <w:r w:rsidRPr="00D41D30">
        <w:rPr>
          <w:rFonts w:hint="eastAsia"/>
          <w:color w:val="000000" w:themeColor="text1"/>
        </w:rPr>
        <w:t>成立樂齡學習輔導團，辦理專業培訓研習，培植樂齡教育專業人力，惟樂齡教育相關專業人員缺乏進入樂齡教育機構任教之媒合管道，允宜建置樂齡教育相關專業人才資料庫，強化樂齡教育人力之運用及媒合機制；另離島地區樂齡教育專業人力不足，亦待加強培訓。</w:t>
      </w:r>
    </w:p>
    <w:p w:rsidR="00222110" w:rsidRPr="00D41D30" w:rsidRDefault="00222110" w:rsidP="004F0A63">
      <w:pPr>
        <w:pStyle w:val="32"/>
        <w:ind w:leftChars="500" w:left="1701" w:firstLine="680"/>
        <w:rPr>
          <w:color w:val="000000" w:themeColor="text1"/>
        </w:rPr>
      </w:pPr>
      <w:r w:rsidRPr="00D41D30">
        <w:rPr>
          <w:rFonts w:hint="eastAsia"/>
          <w:color w:val="000000" w:themeColor="text1"/>
        </w:rPr>
        <w:t>審計機關覆核意見：據復，為強化運用完成培訓之講師，該部已責成樂齡學習總導團於106年計畫納入「樂齡學習規劃師」媒合會議，未來將邀請除樂齡學習中心、社區關懷據點等團體，進行相關媒合會議，冀望將選訓用之培訓理念實踐；另委請國立雲林科技大學於該部樂齡學習網建置「樂齡教育專案人力平臺」，惟目前僅將高齡自主學習團體帶領人納入，未來將爭取相關經費再行擴充網站資源，將後續相關培訓人員納入平臺資源。為強化偏鄉及離島的樂齡學習中心專業能力，國立高雄師範大學南區樂齡學習輔導團，帶領講師到高雄市茂林區、甲仙區辦理原住民講師培訓，深入臺東縣長濱鄉及澎湖縣辦理專業訓練；國立臺灣師範大學北區輔導團亦將結合金門縣政府共同辦理樂齡培訓，另國立中正大學總輔導團所培訓樂齡學習規劃師，亦於偏鄉社區進行269場次之宣</w:t>
      </w:r>
      <w:r w:rsidRPr="00D41D30">
        <w:rPr>
          <w:rFonts w:hint="eastAsia"/>
          <w:color w:val="000000" w:themeColor="text1"/>
        </w:rPr>
        <w:lastRenderedPageBreak/>
        <w:t>講。經核聲復情由，尚屬允適。</w:t>
      </w:r>
    </w:p>
    <w:p w:rsidR="00222110" w:rsidRPr="00D41D30" w:rsidRDefault="00222110" w:rsidP="00222110">
      <w:pPr>
        <w:pStyle w:val="4"/>
        <w:rPr>
          <w:color w:val="000000" w:themeColor="text1"/>
        </w:rPr>
      </w:pPr>
      <w:r w:rsidRPr="00D41D30">
        <w:rPr>
          <w:rFonts w:hint="eastAsia"/>
          <w:color w:val="000000" w:themeColor="text1"/>
        </w:rPr>
        <w:t>辦理樂齡大學計畫，提供中高齡者進入大學就讀機會，惟樂齡大學學員人次占全國55歲以上人口比率甚微，大專校院對於中高齡者教育市場仍有成長空間，允宜廣開中高齡學習相關課程，加強推廣服務，增加其學習機會。</w:t>
      </w:r>
    </w:p>
    <w:p w:rsidR="00222110" w:rsidRPr="00D41D30" w:rsidRDefault="00222110" w:rsidP="004F0A63">
      <w:pPr>
        <w:pStyle w:val="32"/>
        <w:ind w:leftChars="500" w:left="1701" w:firstLine="680"/>
        <w:rPr>
          <w:color w:val="000000" w:themeColor="text1"/>
        </w:rPr>
      </w:pPr>
      <w:r w:rsidRPr="00D41D30">
        <w:rPr>
          <w:rFonts w:hint="eastAsia"/>
          <w:color w:val="000000" w:themeColor="text1"/>
        </w:rPr>
        <w:t>審計機關覆核意見：</w:t>
      </w:r>
      <w:r w:rsidRPr="00D41D30">
        <w:rPr>
          <w:rFonts w:hAnsi="標楷體" w:cs="AdobeMingStd-Light" w:hint="eastAsia"/>
          <w:color w:val="000000" w:themeColor="text1"/>
          <w:kern w:val="0"/>
        </w:rPr>
        <w:t>據復，</w:t>
      </w:r>
      <w:r w:rsidRPr="00D41D30">
        <w:rPr>
          <w:rFonts w:hAnsi="標楷體" w:hint="eastAsia"/>
          <w:color w:val="000000" w:themeColor="text1"/>
        </w:rPr>
        <w:t>該部自106學年度起將強化代間教育及開發創新</w:t>
      </w:r>
      <w:r w:rsidRPr="00D41D30">
        <w:rPr>
          <w:rFonts w:hint="eastAsia"/>
          <w:color w:val="000000" w:themeColor="text1"/>
        </w:rPr>
        <w:t>高齡</w:t>
      </w:r>
      <w:r w:rsidRPr="00D41D30">
        <w:rPr>
          <w:rFonts w:hAnsi="標楷體" w:hint="eastAsia"/>
          <w:color w:val="000000" w:themeColor="text1"/>
        </w:rPr>
        <w:t>學習模式，原有課程內容部分以高齡化、健康休閒、學校特色、生活新知等課程為主軸外，並加強代間服務課程，增加辦理創新課程-樂齡活力營，採學期中或寒暑假期間，以3至5天採營隊方式辦理，透過成果分享交流，鼓勵樂齡學員從享受學習到貢獻自己所學，並傳授經驗分享該校在學學生，希冀相關創新課程內容吸引更多樂齡學員參與。未來將持續於各相關會議（例如：大學教務主管會議、推廣教育系統說明會）鼓勵學校針對中高齡族群之需求，開設相關推廣教育課程，以增加其學習機會。</w:t>
      </w:r>
      <w:r w:rsidRPr="00D41D30">
        <w:rPr>
          <w:rFonts w:hAnsi="標楷體" w:cs="AdobeMingStd-Light" w:hint="eastAsia"/>
          <w:color w:val="000000" w:themeColor="text1"/>
          <w:kern w:val="0"/>
        </w:rPr>
        <w:t>經核聲復情由，尚屬允適。</w:t>
      </w:r>
    </w:p>
    <w:p w:rsidR="00222110" w:rsidRPr="00D41D30" w:rsidRDefault="00222110" w:rsidP="00222110">
      <w:pPr>
        <w:pStyle w:val="3"/>
        <w:rPr>
          <w:color w:val="000000" w:themeColor="text1"/>
        </w:rPr>
      </w:pPr>
      <w:bookmarkStart w:id="224" w:name="_Toc27560708"/>
      <w:bookmarkStart w:id="225" w:name="_Toc27665535"/>
      <w:bookmarkStart w:id="226" w:name="_Toc27670590"/>
      <w:bookmarkStart w:id="227" w:name="_Toc30512446"/>
      <w:bookmarkStart w:id="228" w:name="_Toc30581154"/>
      <w:bookmarkStart w:id="229" w:name="_Toc32392427"/>
      <w:bookmarkStart w:id="230" w:name="_Toc32673617"/>
      <w:bookmarkStart w:id="231" w:name="_Toc32845759"/>
      <w:bookmarkStart w:id="232" w:name="_Toc32846482"/>
      <w:bookmarkStart w:id="233" w:name="_Toc32913725"/>
      <w:bookmarkStart w:id="234" w:name="_Toc32918401"/>
      <w:bookmarkStart w:id="235" w:name="_Toc33011694"/>
      <w:r w:rsidRPr="00D41D30">
        <w:rPr>
          <w:rFonts w:hint="eastAsia"/>
          <w:color w:val="000000" w:themeColor="text1"/>
        </w:rPr>
        <w:t>審計部查核教育部102年度財務收支及決算有關高齡教育執行情形意見</w:t>
      </w:r>
      <w:bookmarkEnd w:id="224"/>
      <w:bookmarkEnd w:id="225"/>
      <w:bookmarkEnd w:id="226"/>
      <w:bookmarkEnd w:id="227"/>
      <w:bookmarkEnd w:id="228"/>
      <w:bookmarkEnd w:id="229"/>
      <w:bookmarkEnd w:id="230"/>
      <w:bookmarkEnd w:id="231"/>
      <w:bookmarkEnd w:id="232"/>
      <w:bookmarkEnd w:id="233"/>
      <w:bookmarkEnd w:id="234"/>
      <w:bookmarkEnd w:id="235"/>
    </w:p>
    <w:p w:rsidR="00222110" w:rsidRPr="00D41D30" w:rsidRDefault="00222110" w:rsidP="00222110">
      <w:pPr>
        <w:pStyle w:val="4"/>
        <w:rPr>
          <w:color w:val="000000" w:themeColor="text1"/>
        </w:rPr>
      </w:pPr>
      <w:r w:rsidRPr="00D41D30">
        <w:rPr>
          <w:rFonts w:hint="eastAsia"/>
          <w:color w:val="000000" w:themeColor="text1"/>
        </w:rPr>
        <w:t>老人教育計畫分散於個別補助計畫，允宜研訂老人教育中長程實施計畫，以具體落實老人教育發展政策。</w:t>
      </w:r>
    </w:p>
    <w:p w:rsidR="00222110" w:rsidRPr="00D41D30" w:rsidRDefault="00222110" w:rsidP="00350EB1">
      <w:pPr>
        <w:pStyle w:val="32"/>
        <w:ind w:leftChars="500" w:left="1701" w:firstLine="680"/>
        <w:rPr>
          <w:color w:val="000000" w:themeColor="text1"/>
        </w:rPr>
      </w:pPr>
      <w:r w:rsidRPr="00D41D30">
        <w:rPr>
          <w:rFonts w:hAnsi="標楷體" w:hint="eastAsia"/>
          <w:color w:val="000000" w:themeColor="text1"/>
          <w:kern w:val="0"/>
        </w:rPr>
        <w:t>據復</w:t>
      </w:r>
      <w:r w:rsidRPr="00D41D30">
        <w:rPr>
          <w:rFonts w:ascii="新細明體" w:hAnsi="新細明體" w:hint="eastAsia"/>
          <w:color w:val="000000" w:themeColor="text1"/>
          <w:kern w:val="0"/>
        </w:rPr>
        <w:t>：</w:t>
      </w:r>
      <w:r w:rsidRPr="00D41D30">
        <w:rPr>
          <w:rFonts w:hint="eastAsia"/>
          <w:color w:val="000000" w:themeColor="text1"/>
        </w:rPr>
        <w:t>102</w:t>
      </w:r>
      <w:r w:rsidRPr="00D41D30">
        <w:rPr>
          <w:rFonts w:hAnsi="標楷體" w:hint="eastAsia"/>
          <w:color w:val="000000" w:themeColor="text1"/>
          <w:kern w:val="0"/>
        </w:rPr>
        <w:t>年邀請學者專家等單位代表，進行跨部會協商高齡教育相關業務事宜</w:t>
      </w:r>
      <w:r w:rsidRPr="00D41D30">
        <w:rPr>
          <w:rFonts w:ascii="新細明體" w:hAnsi="新細明體" w:hint="eastAsia"/>
          <w:color w:val="000000" w:themeColor="text1"/>
          <w:kern w:val="0"/>
        </w:rPr>
        <w:t>，</w:t>
      </w:r>
      <w:r w:rsidRPr="00D41D30">
        <w:rPr>
          <w:rFonts w:hAnsi="標楷體" w:hint="eastAsia"/>
          <w:color w:val="000000" w:themeColor="text1"/>
          <w:kern w:val="0"/>
        </w:rPr>
        <w:t>並初擬「</w:t>
      </w:r>
      <w:r w:rsidRPr="00D41D30">
        <w:rPr>
          <w:rFonts w:hAnsi="標楷體" w:hint="eastAsia"/>
          <w:color w:val="000000" w:themeColor="text1"/>
        </w:rPr>
        <w:t>高齡教育五年發展計畫（草案）</w:t>
      </w:r>
      <w:r w:rsidRPr="00D41D30">
        <w:rPr>
          <w:rFonts w:hAnsi="標楷體" w:hint="eastAsia"/>
          <w:color w:val="000000" w:themeColor="text1"/>
          <w:kern w:val="0"/>
        </w:rPr>
        <w:t>」，</w:t>
      </w:r>
      <w:r w:rsidRPr="00D41D30">
        <w:rPr>
          <w:rFonts w:hAnsi="標楷體" w:hint="eastAsia"/>
          <w:color w:val="000000" w:themeColor="text1"/>
        </w:rPr>
        <w:t>然</w:t>
      </w:r>
      <w:r w:rsidRPr="00D41D30">
        <w:rPr>
          <w:rFonts w:hAnsi="標楷體" w:hint="eastAsia"/>
          <w:color w:val="000000" w:themeColor="text1"/>
          <w:kern w:val="0"/>
        </w:rPr>
        <w:t>因老人教育議題涉及</w:t>
      </w:r>
      <w:r w:rsidRPr="00D41D30">
        <w:rPr>
          <w:rFonts w:hAnsi="標楷體" w:hint="eastAsia"/>
          <w:color w:val="000000" w:themeColor="text1"/>
        </w:rPr>
        <w:t>健康促進、教育、文化傳承、運動休閒等各層面及各部會業務權責，尚未定</w:t>
      </w:r>
      <w:r w:rsidRPr="00D41D30">
        <w:rPr>
          <w:rFonts w:hAnsi="標楷體" w:hint="eastAsia"/>
          <w:color w:val="000000" w:themeColor="text1"/>
        </w:rPr>
        <w:lastRenderedPageBreak/>
        <w:t>案，後續</w:t>
      </w:r>
      <w:r w:rsidRPr="00D41D30">
        <w:rPr>
          <w:rFonts w:hAnsi="標楷體" w:hint="eastAsia"/>
          <w:color w:val="000000" w:themeColor="text1"/>
          <w:kern w:val="0"/>
        </w:rPr>
        <w:t>將再邀請專家學者召開會議評估是否擬定。經函請該部將評估結果函知</w:t>
      </w:r>
      <w:r w:rsidR="006C4562" w:rsidRPr="00D41D30">
        <w:rPr>
          <w:rFonts w:hAnsi="標楷體" w:hint="eastAsia"/>
          <w:color w:val="000000" w:themeColor="text1"/>
          <w:kern w:val="0"/>
        </w:rPr>
        <w:t>該部</w:t>
      </w:r>
      <w:r w:rsidRPr="00D41D30">
        <w:rPr>
          <w:rFonts w:hAnsi="標楷體" w:hint="eastAsia"/>
          <w:color w:val="000000" w:themeColor="text1"/>
          <w:kern w:val="0"/>
        </w:rPr>
        <w:t>。嗣據該部檢送研提「高齡教育五年發展計畫（草案）」資料，並說明</w:t>
      </w:r>
      <w:r w:rsidRPr="00D41D30">
        <w:rPr>
          <w:rFonts w:hAnsi="標楷體" w:hint="eastAsia"/>
          <w:color w:val="000000" w:themeColor="text1"/>
        </w:rPr>
        <w:t>目前高齡教育已列入人口政策白皮書、友善關懷老人服務方案，未來將列入失智症執行計畫及高齡社會政策白皮書等。考量我國高齡政策以照顧、福利等為重點政策，為利行政院及中央各部會整體高齡政策規劃與推動，避免發生多頭馬車或疊床架屋之情事，該部亦積極配合行政院及</w:t>
      </w:r>
      <w:r w:rsidR="00350EB1" w:rsidRPr="00D41D30">
        <w:rPr>
          <w:rFonts w:hAnsi="標楷體" w:hint="eastAsia"/>
          <w:color w:val="000000" w:themeColor="text1"/>
        </w:rPr>
        <w:t>衛福部</w:t>
      </w:r>
      <w:r w:rsidRPr="00D41D30">
        <w:rPr>
          <w:rFonts w:hAnsi="標楷體" w:hint="eastAsia"/>
          <w:color w:val="000000" w:themeColor="text1"/>
        </w:rPr>
        <w:t>，將高齡教育之執行現況及未來前瞻性作法，列於</w:t>
      </w:r>
      <w:r w:rsidR="00350EB1" w:rsidRPr="00D41D30">
        <w:rPr>
          <w:rFonts w:hAnsi="標楷體" w:hint="eastAsia"/>
          <w:color w:val="000000" w:themeColor="text1"/>
        </w:rPr>
        <w:t>衛福部</w:t>
      </w:r>
      <w:r w:rsidRPr="00D41D30">
        <w:rPr>
          <w:rFonts w:hAnsi="標楷體" w:hint="eastAsia"/>
          <w:color w:val="000000" w:themeColor="text1"/>
        </w:rPr>
        <w:t>刻正研擬之高齡社會白皮書之行政措施及策略，以利高齡教育之推動。</w:t>
      </w:r>
      <w:r w:rsidRPr="00D41D30">
        <w:rPr>
          <w:rFonts w:hAnsi="標楷體" w:hint="eastAsia"/>
          <w:color w:val="000000" w:themeColor="text1"/>
          <w:kern w:val="0"/>
        </w:rPr>
        <w:t>經核聲復情由，尚屬允適。</w:t>
      </w:r>
    </w:p>
    <w:p w:rsidR="00222110" w:rsidRPr="00D41D30" w:rsidRDefault="00222110" w:rsidP="00222110">
      <w:pPr>
        <w:pStyle w:val="4"/>
        <w:rPr>
          <w:color w:val="000000" w:themeColor="text1"/>
        </w:rPr>
      </w:pPr>
      <w:r w:rsidRPr="00D41D30">
        <w:rPr>
          <w:rFonts w:hint="eastAsia"/>
          <w:color w:val="000000" w:themeColor="text1"/>
        </w:rPr>
        <w:t>行政院核定友善關懷老人服務方案第二期計畫及貴部中程計畫有關老人教育設定之計畫目標值較以前年度實際值低，未具挑戰性及激勵作用。</w:t>
      </w:r>
    </w:p>
    <w:p w:rsidR="00222110" w:rsidRPr="00D41D30" w:rsidRDefault="00222110" w:rsidP="00350EB1">
      <w:pPr>
        <w:pStyle w:val="32"/>
        <w:ind w:leftChars="500" w:left="1701" w:firstLine="680"/>
        <w:rPr>
          <w:color w:val="000000" w:themeColor="text1"/>
        </w:rPr>
      </w:pPr>
      <w:r w:rsidRPr="00D41D30">
        <w:rPr>
          <w:rFonts w:hAnsi="標楷體" w:cs="標楷體" w:hint="eastAsia"/>
          <w:color w:val="000000" w:themeColor="text1"/>
        </w:rPr>
        <w:t>據復</w:t>
      </w:r>
      <w:r w:rsidRPr="00D41D30">
        <w:rPr>
          <w:rFonts w:ascii="新細明體" w:hAnsi="新細明體" w:cs="標楷體" w:hint="eastAsia"/>
          <w:color w:val="000000" w:themeColor="text1"/>
        </w:rPr>
        <w:t>：</w:t>
      </w:r>
      <w:r w:rsidRPr="00D41D30">
        <w:rPr>
          <w:rFonts w:hAnsi="標楷體" w:cs="標楷體" w:hint="eastAsia"/>
          <w:color w:val="000000" w:themeColor="text1"/>
        </w:rPr>
        <w:t>101及102年度</w:t>
      </w:r>
      <w:r w:rsidRPr="00D41D30">
        <w:rPr>
          <w:rFonts w:hAnsi="標楷體" w:hint="eastAsia"/>
          <w:color w:val="000000" w:themeColor="text1"/>
        </w:rPr>
        <w:t>預算未能明顯增加下</w:t>
      </w:r>
      <w:r w:rsidRPr="00D41D30">
        <w:rPr>
          <w:rFonts w:ascii="新細明體" w:hAnsi="新細明體" w:hint="eastAsia"/>
          <w:color w:val="000000" w:themeColor="text1"/>
        </w:rPr>
        <w:t>，</w:t>
      </w:r>
      <w:r w:rsidRPr="00D41D30">
        <w:rPr>
          <w:rFonts w:hAnsi="標楷體" w:hint="eastAsia"/>
          <w:color w:val="000000" w:themeColor="text1"/>
        </w:rPr>
        <w:t>對於樂齡學習中心辦理場次目標值評估偏低，惟103年積極爭取高齡教育預算之下，經費確實有成長</w:t>
      </w:r>
      <w:r w:rsidRPr="00D41D30">
        <w:rPr>
          <w:rFonts w:ascii="新細明體" w:hAnsi="新細明體" w:hint="eastAsia"/>
          <w:color w:val="000000" w:themeColor="text1"/>
        </w:rPr>
        <w:t>，</w:t>
      </w:r>
      <w:r w:rsidRPr="00D41D30">
        <w:rPr>
          <w:rFonts w:hAnsi="標楷體" w:hint="eastAsia"/>
          <w:color w:val="000000" w:themeColor="text1"/>
        </w:rPr>
        <w:t>未來將適時進行次年度之績效修正。有關樂齡大學之補助校數預估偏低乙事，因大學自主僅能鼓勵學校辦理樂齡大學計畫。未來將積極督促全國各樂齡學習中心籌劃相關活動，及鼓勵全國大學校院辦理「樂齡大學」計畫，以利高齡者參與。另維護高齡者學習權益，將積極爭取提升</w:t>
      </w:r>
      <w:r w:rsidRPr="00D41D30">
        <w:rPr>
          <w:rFonts w:hAnsi="標楷體"/>
          <w:color w:val="000000" w:themeColor="text1"/>
        </w:rPr>
        <w:t>高齡教育</w:t>
      </w:r>
      <w:r w:rsidRPr="00D41D30">
        <w:rPr>
          <w:rFonts w:hAnsi="標楷體" w:hint="eastAsia"/>
          <w:color w:val="000000" w:themeColor="text1"/>
        </w:rPr>
        <w:t>預算之編列</w:t>
      </w:r>
      <w:r w:rsidRPr="00D41D30">
        <w:rPr>
          <w:rFonts w:hAnsi="標楷體"/>
          <w:color w:val="000000" w:themeColor="text1"/>
        </w:rPr>
        <w:t>。</w:t>
      </w:r>
      <w:r w:rsidRPr="00D41D30">
        <w:rPr>
          <w:rFonts w:hAnsi="標楷體" w:hint="eastAsia"/>
          <w:color w:val="000000" w:themeColor="text1"/>
          <w:kern w:val="0"/>
        </w:rPr>
        <w:t>經核聲復情由，尚屬允適。</w:t>
      </w:r>
    </w:p>
    <w:p w:rsidR="00222110" w:rsidRPr="00D41D30" w:rsidRDefault="00222110" w:rsidP="00222110">
      <w:pPr>
        <w:pStyle w:val="4"/>
        <w:rPr>
          <w:color w:val="000000" w:themeColor="text1"/>
        </w:rPr>
      </w:pPr>
      <w:r w:rsidRPr="00D41D30">
        <w:rPr>
          <w:rFonts w:hint="eastAsia"/>
          <w:color w:val="000000" w:themeColor="text1"/>
        </w:rPr>
        <w:t>部分鄉鎮市區未設置樂齡學習中心，或已建置中心因人力不足等終止營運，允宜與相關部會</w:t>
      </w:r>
      <w:r w:rsidRPr="00D41D30">
        <w:rPr>
          <w:rFonts w:hint="eastAsia"/>
          <w:color w:val="000000" w:themeColor="text1"/>
        </w:rPr>
        <w:lastRenderedPageBreak/>
        <w:t>協調整合，共同推動老人服務政策，以發揮國家整體資源之綜效。</w:t>
      </w:r>
    </w:p>
    <w:p w:rsidR="00222110" w:rsidRPr="00D41D30" w:rsidRDefault="00222110" w:rsidP="004F0A63">
      <w:pPr>
        <w:pStyle w:val="32"/>
        <w:ind w:leftChars="500" w:left="1701" w:firstLine="680"/>
        <w:rPr>
          <w:color w:val="000000" w:themeColor="text1"/>
        </w:rPr>
      </w:pPr>
      <w:r w:rsidRPr="00D41D30">
        <w:rPr>
          <w:rFonts w:hint="eastAsia"/>
          <w:color w:val="000000" w:themeColor="text1"/>
        </w:rPr>
        <w:t>據復：考量高齡教育預算有限，後續將責成各縣市</w:t>
      </w:r>
      <w:r w:rsidRPr="00D41D30">
        <w:rPr>
          <w:rFonts w:hAnsi="標楷體" w:cs="標楷體" w:hint="eastAsia"/>
          <w:color w:val="000000" w:themeColor="text1"/>
        </w:rPr>
        <w:t>政府</w:t>
      </w:r>
      <w:r w:rsidRPr="00D41D30">
        <w:rPr>
          <w:rFonts w:hint="eastAsia"/>
          <w:color w:val="000000" w:themeColor="text1"/>
        </w:rPr>
        <w:t>強化樂齡學習中心，加強與社區內之社區關懷據點、長青學苑等單位之橫向連結，進行縣市內之單位結盟及運作，結合各界資源推動樂齡學習工作。經核聲復情由，尚屬允適。</w:t>
      </w:r>
    </w:p>
    <w:p w:rsidR="00E761B0" w:rsidRPr="00D41D30" w:rsidRDefault="00E761B0" w:rsidP="00350EB1">
      <w:pPr>
        <w:pStyle w:val="2"/>
        <w:spacing w:beforeLines="100" w:before="457"/>
        <w:ind w:left="1020" w:hanging="680"/>
        <w:rPr>
          <w:b/>
          <w:color w:val="000000" w:themeColor="text1"/>
        </w:rPr>
      </w:pPr>
      <w:bookmarkStart w:id="236" w:name="_Toc33011695"/>
      <w:r w:rsidRPr="00D41D30">
        <w:rPr>
          <w:rFonts w:hint="eastAsia"/>
          <w:b/>
          <w:color w:val="000000" w:themeColor="text1"/>
        </w:rPr>
        <w:t>高齡人口成長</w:t>
      </w:r>
      <w:r w:rsidR="000805E3" w:rsidRPr="00D41D30">
        <w:rPr>
          <w:rFonts w:hint="eastAsia"/>
          <w:b/>
          <w:color w:val="000000" w:themeColor="text1"/>
        </w:rPr>
        <w:t>情形</w:t>
      </w:r>
      <w:bookmarkEnd w:id="236"/>
    </w:p>
    <w:p w:rsidR="00E761B0" w:rsidRPr="00D41D30" w:rsidRDefault="00E761B0" w:rsidP="00E761B0">
      <w:pPr>
        <w:pStyle w:val="3"/>
        <w:rPr>
          <w:color w:val="000000" w:themeColor="text1"/>
        </w:rPr>
      </w:pPr>
      <w:bookmarkStart w:id="237" w:name="_Toc27560710"/>
      <w:bookmarkStart w:id="238" w:name="_Toc27665537"/>
      <w:bookmarkStart w:id="239" w:name="_Toc27670592"/>
      <w:bookmarkStart w:id="240" w:name="_Toc30512448"/>
      <w:bookmarkStart w:id="241" w:name="_Toc30581156"/>
      <w:bookmarkStart w:id="242" w:name="_Toc32392429"/>
      <w:bookmarkStart w:id="243" w:name="_Toc32673619"/>
      <w:bookmarkStart w:id="244" w:name="_Toc32845761"/>
      <w:bookmarkStart w:id="245" w:name="_Toc32846484"/>
      <w:bookmarkStart w:id="246" w:name="_Toc32913727"/>
      <w:bookmarkStart w:id="247" w:name="_Toc32918403"/>
      <w:bookmarkStart w:id="248" w:name="_Toc33011696"/>
      <w:r w:rsidRPr="00D41D30">
        <w:rPr>
          <w:rFonts w:hint="eastAsia"/>
          <w:color w:val="000000" w:themeColor="text1"/>
        </w:rPr>
        <w:t>我國97年度至108年度老人人口趨勢</w:t>
      </w:r>
      <w:bookmarkEnd w:id="237"/>
      <w:bookmarkEnd w:id="238"/>
      <w:bookmarkEnd w:id="239"/>
      <w:bookmarkEnd w:id="240"/>
      <w:bookmarkEnd w:id="241"/>
      <w:bookmarkEnd w:id="242"/>
      <w:bookmarkEnd w:id="243"/>
      <w:bookmarkEnd w:id="244"/>
      <w:bookmarkEnd w:id="245"/>
      <w:bookmarkEnd w:id="246"/>
      <w:bookmarkEnd w:id="247"/>
      <w:bookmarkEnd w:id="248"/>
    </w:p>
    <w:p w:rsidR="00E761B0" w:rsidRPr="00D41D30" w:rsidRDefault="00E761B0" w:rsidP="00F94E49">
      <w:pPr>
        <w:pStyle w:val="42"/>
        <w:ind w:leftChars="401" w:left="1364" w:firstLine="680"/>
        <w:rPr>
          <w:rFonts w:hAnsi="標楷體" w:cs="BiauKai"/>
          <w:color w:val="000000" w:themeColor="text1"/>
          <w:szCs w:val="32"/>
        </w:rPr>
      </w:pPr>
      <w:r w:rsidRPr="00D41D30">
        <w:rPr>
          <w:rFonts w:hAnsi="標楷體" w:hint="eastAsia"/>
          <w:color w:val="000000" w:themeColor="text1"/>
          <w:szCs w:val="32"/>
        </w:rPr>
        <w:t>我國人口</w:t>
      </w:r>
      <w:r w:rsidRPr="00D41D30">
        <w:rPr>
          <w:rFonts w:hAnsi="Arial" w:hint="eastAsia"/>
          <w:color w:val="000000" w:themeColor="text1"/>
          <w:szCs w:val="36"/>
        </w:rPr>
        <w:t>呈現</w:t>
      </w:r>
      <w:r w:rsidRPr="00D41D30">
        <w:rPr>
          <w:rFonts w:hAnsi="標楷體" w:hint="eastAsia"/>
          <w:color w:val="000000" w:themeColor="text1"/>
          <w:szCs w:val="32"/>
        </w:rPr>
        <w:t>高齡化、少子女化趨勢，</w:t>
      </w:r>
      <w:r w:rsidRPr="00D41D30">
        <w:rPr>
          <w:rFonts w:hAnsi="標楷體" w:cs="BiauKai"/>
          <w:color w:val="000000" w:themeColor="text1"/>
          <w:szCs w:val="32"/>
        </w:rPr>
        <w:t>於107年3月正式邁入高齡社會。截至108年</w:t>
      </w:r>
      <w:r w:rsidRPr="00D41D30">
        <w:rPr>
          <w:rFonts w:hAnsi="標楷體" w:cs="BiauKai" w:hint="eastAsia"/>
          <w:color w:val="000000" w:themeColor="text1"/>
          <w:szCs w:val="32"/>
        </w:rPr>
        <w:t>9</w:t>
      </w:r>
      <w:r w:rsidRPr="00D41D30">
        <w:rPr>
          <w:rFonts w:hAnsi="標楷體" w:cs="BiauKai"/>
          <w:color w:val="000000" w:themeColor="text1"/>
          <w:szCs w:val="32"/>
        </w:rPr>
        <w:t>月</w:t>
      </w:r>
      <w:r w:rsidRPr="00D41D30">
        <w:rPr>
          <w:rFonts w:hAnsi="標楷體" w:cs="BiauKai" w:hint="eastAsia"/>
          <w:color w:val="000000" w:themeColor="text1"/>
          <w:szCs w:val="32"/>
        </w:rPr>
        <w:t>止，</w:t>
      </w:r>
      <w:r w:rsidRPr="00D41D30">
        <w:rPr>
          <w:rFonts w:hAnsi="標楷體" w:cs="BiauKai"/>
          <w:color w:val="000000" w:themeColor="text1"/>
          <w:szCs w:val="32"/>
        </w:rPr>
        <w:t>65歲以上老年人口計3</w:t>
      </w:r>
      <w:r w:rsidRPr="00D41D30">
        <w:rPr>
          <w:rFonts w:hAnsi="標楷體" w:cs="BiauKai" w:hint="eastAsia"/>
          <w:color w:val="000000" w:themeColor="text1"/>
          <w:szCs w:val="32"/>
        </w:rPr>
        <w:t>55</w:t>
      </w:r>
      <w:r w:rsidRPr="00D41D30">
        <w:rPr>
          <w:rFonts w:hAnsi="標楷體" w:cs="BiauKai"/>
          <w:color w:val="000000" w:themeColor="text1"/>
          <w:szCs w:val="32"/>
        </w:rPr>
        <w:t>萬2,687人，占全國</w:t>
      </w:r>
      <w:r w:rsidRPr="00D41D30">
        <w:rPr>
          <w:rFonts w:hAnsi="標楷體" w:cs="BiauKai" w:hint="eastAsia"/>
          <w:color w:val="000000" w:themeColor="text1"/>
          <w:szCs w:val="32"/>
        </w:rPr>
        <w:t>總人口</w:t>
      </w:r>
      <w:r w:rsidRPr="00D41D30">
        <w:rPr>
          <w:rFonts w:hAnsi="標楷體" w:cs="BiauKai"/>
          <w:color w:val="000000" w:themeColor="text1"/>
          <w:szCs w:val="32"/>
        </w:rPr>
        <w:t>15.06%，</w:t>
      </w:r>
      <w:r w:rsidR="000805E3" w:rsidRPr="00D41D30">
        <w:rPr>
          <w:rFonts w:hAnsi="標楷體" w:cs="BiauKai" w:hint="eastAsia"/>
          <w:color w:val="000000" w:themeColor="text1"/>
          <w:szCs w:val="32"/>
        </w:rPr>
        <w:t>詳下表</w:t>
      </w:r>
      <w:r w:rsidR="00F94E49" w:rsidRPr="00D41D30">
        <w:rPr>
          <w:rFonts w:hAnsi="標楷體" w:cs="BiauKai" w:hint="eastAsia"/>
          <w:color w:val="000000" w:themeColor="text1"/>
          <w:szCs w:val="32"/>
        </w:rPr>
        <w:t>，</w:t>
      </w:r>
      <w:r w:rsidRPr="00D41D30">
        <w:rPr>
          <w:rFonts w:hAnsi="標楷體" w:cs="BiauKai"/>
          <w:color w:val="000000" w:themeColor="text1"/>
          <w:szCs w:val="32"/>
        </w:rPr>
        <w:t>根據國家發展委員會推估，於115年將增加為20.7%，邁入「超高齡社會」。</w:t>
      </w:r>
      <w:r w:rsidR="00743107" w:rsidRPr="00D41D30">
        <w:rPr>
          <w:rFonts w:hAnsi="標楷體" w:cs="BiauKai" w:hint="eastAsia"/>
          <w:color w:val="000000" w:themeColor="text1"/>
          <w:szCs w:val="32"/>
        </w:rPr>
        <w:t>9</w:t>
      </w:r>
      <w:r w:rsidR="00743107" w:rsidRPr="00D41D30">
        <w:rPr>
          <w:rFonts w:hAnsi="標楷體" w:cs="BiauKai"/>
          <w:color w:val="000000" w:themeColor="text1"/>
          <w:szCs w:val="32"/>
        </w:rPr>
        <w:t>7</w:t>
      </w:r>
      <w:r w:rsidR="00743107" w:rsidRPr="00D41D30">
        <w:rPr>
          <w:rFonts w:hAnsi="標楷體" w:cs="BiauKai" w:hint="eastAsia"/>
          <w:color w:val="000000" w:themeColor="text1"/>
          <w:szCs w:val="32"/>
        </w:rPr>
        <w:t>年度至108年度老人人口數詳下表。</w:t>
      </w:r>
    </w:p>
    <w:p w:rsidR="000805E3" w:rsidRPr="00D41D30" w:rsidRDefault="000805E3" w:rsidP="00471512">
      <w:pPr>
        <w:pStyle w:val="a4"/>
        <w:spacing w:beforeLines="50" w:before="228" w:line="440" w:lineRule="exact"/>
        <w:ind w:leftChars="291" w:left="990" w:firstLineChars="202" w:firstLine="566"/>
        <w:jc w:val="left"/>
        <w:rPr>
          <w:rFonts w:hAnsi="標楷體" w:cs="BiauKai"/>
          <w:b/>
          <w:color w:val="000000" w:themeColor="text1"/>
          <w:szCs w:val="32"/>
        </w:rPr>
      </w:pPr>
      <w:r w:rsidRPr="00D41D30">
        <w:rPr>
          <w:rFonts w:hAnsi="標楷體" w:cs="BiauKai" w:hint="eastAsia"/>
          <w:b/>
          <w:color w:val="000000" w:themeColor="text1"/>
          <w:szCs w:val="32"/>
        </w:rPr>
        <w:t>97年度至108年度老人人口趨勢</w:t>
      </w:r>
    </w:p>
    <w:tbl>
      <w:tblPr>
        <w:tblW w:w="7010" w:type="dxa"/>
        <w:tblInd w:w="1632" w:type="dxa"/>
        <w:tblCellMar>
          <w:left w:w="28" w:type="dxa"/>
          <w:right w:w="28" w:type="dxa"/>
        </w:tblCellMar>
        <w:tblLook w:val="04A0" w:firstRow="1" w:lastRow="0" w:firstColumn="1" w:lastColumn="0" w:noHBand="0" w:noVBand="1"/>
      </w:tblPr>
      <w:tblGrid>
        <w:gridCol w:w="915"/>
        <w:gridCol w:w="2126"/>
        <w:gridCol w:w="3969"/>
      </w:tblGrid>
      <w:tr w:rsidR="000805E3" w:rsidRPr="00D41D30" w:rsidTr="00471512">
        <w:trPr>
          <w:trHeight w:val="1010"/>
        </w:trPr>
        <w:tc>
          <w:tcPr>
            <w:tcW w:w="915"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年度</w:t>
            </w:r>
          </w:p>
        </w:tc>
        <w:tc>
          <w:tcPr>
            <w:tcW w:w="2126" w:type="dxa"/>
            <w:tcBorders>
              <w:top w:val="single" w:sz="4" w:space="0" w:color="auto"/>
              <w:left w:val="nil"/>
              <w:right w:val="single" w:sz="4" w:space="0" w:color="auto"/>
            </w:tcBorders>
            <w:shd w:val="clear" w:color="auto" w:fill="auto"/>
            <w:vAlign w:val="center"/>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老人人數</w:t>
            </w:r>
            <w:r w:rsidR="00B562C7" w:rsidRPr="00D41D30">
              <w:rPr>
                <w:rFonts w:hAnsi="標楷體" w:hint="eastAsia"/>
                <w:color w:val="000000" w:themeColor="text1"/>
                <w:sz w:val="28"/>
                <w:szCs w:val="28"/>
              </w:rPr>
              <w:t>（</w:t>
            </w:r>
            <w:r w:rsidRPr="00D41D30">
              <w:rPr>
                <w:rFonts w:hAnsi="標楷體" w:hint="eastAsia"/>
                <w:color w:val="000000" w:themeColor="text1"/>
                <w:sz w:val="28"/>
                <w:szCs w:val="28"/>
              </w:rPr>
              <w:t>人</w:t>
            </w:r>
            <w:r w:rsidR="006B5136" w:rsidRPr="00D41D30">
              <w:rPr>
                <w:rFonts w:hAnsi="標楷體" w:hint="eastAsia"/>
                <w:color w:val="000000" w:themeColor="text1"/>
                <w:sz w:val="28"/>
                <w:szCs w:val="28"/>
              </w:rPr>
              <w:t>）</w:t>
            </w:r>
          </w:p>
        </w:tc>
        <w:tc>
          <w:tcPr>
            <w:tcW w:w="3969" w:type="dxa"/>
            <w:tcBorders>
              <w:top w:val="single" w:sz="4" w:space="0" w:color="auto"/>
              <w:left w:val="single" w:sz="4" w:space="0" w:color="auto"/>
              <w:right w:val="single" w:sz="4" w:space="0" w:color="000000"/>
            </w:tcBorders>
            <w:shd w:val="clear" w:color="auto" w:fill="auto"/>
            <w:vAlign w:val="center"/>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65歲以上人口占總人口比率</w:t>
            </w:r>
            <w:r w:rsidR="00B562C7" w:rsidRPr="00D41D30">
              <w:rPr>
                <w:rFonts w:hAnsi="標楷體" w:hint="eastAsia"/>
                <w:color w:val="000000" w:themeColor="text1"/>
                <w:sz w:val="28"/>
                <w:szCs w:val="28"/>
              </w:rPr>
              <w:t>（</w:t>
            </w:r>
            <w:r w:rsidR="00AA037A" w:rsidRPr="00D41D30">
              <w:rPr>
                <w:rFonts w:hAnsi="標楷體" w:hint="eastAsia"/>
                <w:color w:val="000000" w:themeColor="text1"/>
                <w:sz w:val="28"/>
                <w:szCs w:val="28"/>
              </w:rPr>
              <w:t>%</w:t>
            </w:r>
            <w:r w:rsidR="006B5136" w:rsidRPr="00D41D30">
              <w:rPr>
                <w:rFonts w:hAnsi="標楷體" w:hint="eastAsia"/>
                <w:color w:val="000000" w:themeColor="text1"/>
                <w:sz w:val="28"/>
                <w:szCs w:val="28"/>
              </w:rPr>
              <w:t>）</w:t>
            </w:r>
          </w:p>
        </w:tc>
      </w:tr>
      <w:tr w:rsidR="000805E3" w:rsidRPr="00D41D30" w:rsidTr="00471512">
        <w:trPr>
          <w:trHeight w:val="330"/>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97</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2,402,220</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10.43</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98</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2,457,648</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10.63</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99</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2,487,893</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10.74</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100</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2,528,249</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10.89</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101</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2,600,152</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11.15</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102</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2,694,406</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11.53</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103</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2,808,690</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11.99</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104</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2,938,579</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12.51</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105</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3,106,105</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13.20</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106</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3,268,013</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13.86</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107</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3,433,517</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14.56</w:t>
            </w:r>
          </w:p>
        </w:tc>
      </w:tr>
      <w:tr w:rsidR="000805E3" w:rsidRPr="00D41D30" w:rsidTr="00471512">
        <w:trPr>
          <w:trHeight w:val="330"/>
        </w:trPr>
        <w:tc>
          <w:tcPr>
            <w:tcW w:w="915" w:type="dxa"/>
            <w:tcBorders>
              <w:top w:val="nil"/>
              <w:left w:val="single" w:sz="4" w:space="0" w:color="auto"/>
              <w:bottom w:val="single" w:sz="4" w:space="0" w:color="auto"/>
              <w:right w:val="single" w:sz="4" w:space="0" w:color="auto"/>
            </w:tcBorders>
            <w:shd w:val="clear" w:color="auto" w:fill="auto"/>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lastRenderedPageBreak/>
              <w:t>108年9月</w:t>
            </w:r>
          </w:p>
        </w:tc>
        <w:tc>
          <w:tcPr>
            <w:tcW w:w="2126"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3,552,687</w:t>
            </w:r>
          </w:p>
        </w:tc>
        <w:tc>
          <w:tcPr>
            <w:tcW w:w="3969" w:type="dxa"/>
            <w:tcBorders>
              <w:top w:val="nil"/>
              <w:left w:val="nil"/>
              <w:bottom w:val="single" w:sz="4" w:space="0" w:color="auto"/>
              <w:right w:val="single" w:sz="4" w:space="0" w:color="auto"/>
            </w:tcBorders>
            <w:shd w:val="clear" w:color="auto" w:fill="auto"/>
            <w:noWrap/>
            <w:vAlign w:val="bottom"/>
            <w:hideMark/>
          </w:tcPr>
          <w:p w:rsidR="00E761B0" w:rsidRPr="00D41D30" w:rsidRDefault="00E761B0" w:rsidP="00E761B0">
            <w:pPr>
              <w:spacing w:line="240" w:lineRule="atLeast"/>
              <w:jc w:val="center"/>
              <w:rPr>
                <w:rFonts w:hAnsi="標楷體"/>
                <w:color w:val="000000" w:themeColor="text1"/>
                <w:sz w:val="28"/>
                <w:szCs w:val="28"/>
              </w:rPr>
            </w:pPr>
            <w:r w:rsidRPr="00D41D30">
              <w:rPr>
                <w:rFonts w:hAnsi="標楷體" w:hint="eastAsia"/>
                <w:color w:val="000000" w:themeColor="text1"/>
                <w:sz w:val="28"/>
                <w:szCs w:val="28"/>
              </w:rPr>
              <w:t>15.06</w:t>
            </w:r>
          </w:p>
        </w:tc>
      </w:tr>
    </w:tbl>
    <w:p w:rsidR="00E761B0" w:rsidRPr="00D41D30" w:rsidRDefault="000805E3" w:rsidP="000805E3">
      <w:pPr>
        <w:pStyle w:val="42"/>
        <w:ind w:leftChars="400" w:left="1361" w:firstLine="520"/>
        <w:rPr>
          <w:rFonts w:hAnsi="標楷體" w:cs="BiauKai"/>
          <w:color w:val="000000" w:themeColor="text1"/>
          <w:sz w:val="24"/>
          <w:szCs w:val="24"/>
        </w:rPr>
      </w:pPr>
      <w:r w:rsidRPr="00D41D30">
        <w:rPr>
          <w:rFonts w:hAnsi="標楷體" w:cs="BiauKai" w:hint="eastAsia"/>
          <w:color w:val="000000" w:themeColor="text1"/>
          <w:sz w:val="24"/>
          <w:szCs w:val="24"/>
        </w:rPr>
        <w:t>資料來源：衛福部提供。</w:t>
      </w:r>
    </w:p>
    <w:p w:rsidR="000805E3" w:rsidRPr="00D41D30" w:rsidRDefault="000805E3" w:rsidP="000805E3">
      <w:pPr>
        <w:pStyle w:val="3"/>
        <w:spacing w:beforeLines="50" w:before="228"/>
        <w:ind w:left="1360" w:hanging="680"/>
        <w:rPr>
          <w:rFonts w:hAnsi="標楷體" w:cs="BiauKai"/>
          <w:color w:val="000000" w:themeColor="text1"/>
          <w:szCs w:val="32"/>
        </w:rPr>
      </w:pPr>
      <w:bookmarkStart w:id="249" w:name="_Toc27560711"/>
      <w:bookmarkStart w:id="250" w:name="_Toc27665538"/>
      <w:bookmarkStart w:id="251" w:name="_Toc27670593"/>
      <w:bookmarkStart w:id="252" w:name="_Toc30512449"/>
      <w:bookmarkStart w:id="253" w:name="_Toc30581157"/>
      <w:bookmarkStart w:id="254" w:name="_Toc32392430"/>
      <w:bookmarkStart w:id="255" w:name="_Toc32673620"/>
      <w:bookmarkStart w:id="256" w:name="_Toc32845762"/>
      <w:bookmarkStart w:id="257" w:name="_Toc32846485"/>
      <w:bookmarkStart w:id="258" w:name="_Toc32913728"/>
      <w:bookmarkStart w:id="259" w:name="_Toc32918404"/>
      <w:bookmarkStart w:id="260" w:name="_Toc33011697"/>
      <w:r w:rsidRPr="00D41D30">
        <w:rPr>
          <w:rFonts w:hAnsi="標楷體" w:cs="BiauKai" w:hint="eastAsia"/>
          <w:color w:val="000000" w:themeColor="text1"/>
          <w:szCs w:val="32"/>
        </w:rPr>
        <w:t>高齡化人口趨勢</w:t>
      </w:r>
      <w:bookmarkEnd w:id="249"/>
      <w:bookmarkEnd w:id="250"/>
      <w:bookmarkEnd w:id="251"/>
      <w:bookmarkEnd w:id="252"/>
      <w:bookmarkEnd w:id="253"/>
      <w:bookmarkEnd w:id="254"/>
      <w:bookmarkEnd w:id="255"/>
      <w:bookmarkEnd w:id="256"/>
      <w:bookmarkEnd w:id="257"/>
      <w:bookmarkEnd w:id="258"/>
      <w:bookmarkEnd w:id="259"/>
      <w:bookmarkEnd w:id="260"/>
    </w:p>
    <w:p w:rsidR="000805E3" w:rsidRPr="00D41D30" w:rsidRDefault="000805E3" w:rsidP="000805E3">
      <w:pPr>
        <w:pStyle w:val="42"/>
        <w:ind w:leftChars="400" w:left="1361" w:firstLine="680"/>
        <w:rPr>
          <w:rFonts w:hAnsi="標楷體"/>
          <w:color w:val="000000" w:themeColor="text1"/>
          <w:szCs w:val="32"/>
        </w:rPr>
      </w:pPr>
      <w:r w:rsidRPr="00D41D30">
        <w:rPr>
          <w:rFonts w:hAnsi="標楷體"/>
          <w:color w:val="000000" w:themeColor="text1"/>
          <w:szCs w:val="32"/>
        </w:rPr>
        <w:t>人口快速老化是世界各國人口結構變遷普遍的現象，惟各國從「高齡化社會」</w:t>
      </w:r>
      <w:r w:rsidRPr="00D41D30">
        <w:rPr>
          <w:rFonts w:hAnsi="標楷體" w:hint="eastAsia"/>
          <w:color w:val="000000" w:themeColor="text1"/>
          <w:szCs w:val="32"/>
        </w:rPr>
        <w:t>發展為</w:t>
      </w:r>
      <w:r w:rsidRPr="00D41D30">
        <w:rPr>
          <w:rFonts w:hAnsi="標楷體"/>
          <w:color w:val="000000" w:themeColor="text1"/>
          <w:szCs w:val="32"/>
        </w:rPr>
        <w:t>「高齡社會」之速度各有差異，如法國</w:t>
      </w:r>
      <w:r w:rsidRPr="00D41D30">
        <w:rPr>
          <w:rFonts w:hAnsi="標楷體" w:hint="eastAsia"/>
          <w:color w:val="000000" w:themeColor="text1"/>
          <w:szCs w:val="32"/>
        </w:rPr>
        <w:t>歷經127</w:t>
      </w:r>
      <w:r w:rsidRPr="00D41D30">
        <w:rPr>
          <w:rFonts w:hAnsi="標楷體"/>
          <w:color w:val="000000" w:themeColor="text1"/>
          <w:szCs w:val="32"/>
        </w:rPr>
        <w:t>年、瑞典</w:t>
      </w:r>
      <w:r w:rsidRPr="00D41D30">
        <w:rPr>
          <w:rFonts w:hAnsi="標楷體" w:hint="eastAsia"/>
          <w:color w:val="000000" w:themeColor="text1"/>
          <w:szCs w:val="32"/>
        </w:rPr>
        <w:t>85</w:t>
      </w:r>
      <w:r w:rsidRPr="00D41D30">
        <w:rPr>
          <w:rFonts w:hAnsi="標楷體"/>
          <w:color w:val="000000" w:themeColor="text1"/>
          <w:szCs w:val="32"/>
        </w:rPr>
        <w:t>年、美國71年、英國</w:t>
      </w:r>
      <w:r w:rsidRPr="00D41D30">
        <w:rPr>
          <w:rFonts w:hAnsi="標楷體" w:hint="eastAsia"/>
          <w:color w:val="000000" w:themeColor="text1"/>
          <w:szCs w:val="32"/>
        </w:rPr>
        <w:t>47</w:t>
      </w:r>
      <w:r w:rsidRPr="00D41D30">
        <w:rPr>
          <w:rFonts w:hAnsi="標楷體"/>
          <w:color w:val="000000" w:themeColor="text1"/>
          <w:szCs w:val="32"/>
        </w:rPr>
        <w:t>年、德國</w:t>
      </w:r>
      <w:r w:rsidRPr="00D41D30">
        <w:rPr>
          <w:rFonts w:hAnsi="標楷體" w:hint="eastAsia"/>
          <w:color w:val="000000" w:themeColor="text1"/>
          <w:szCs w:val="32"/>
        </w:rPr>
        <w:t>40</w:t>
      </w:r>
      <w:r w:rsidRPr="00D41D30">
        <w:rPr>
          <w:rFonts w:hAnsi="標楷體"/>
          <w:color w:val="000000" w:themeColor="text1"/>
          <w:szCs w:val="32"/>
        </w:rPr>
        <w:t>年，但我國</w:t>
      </w:r>
      <w:r w:rsidRPr="00D41D30">
        <w:rPr>
          <w:rFonts w:hAnsi="標楷體" w:hint="eastAsia"/>
          <w:color w:val="000000" w:themeColor="text1"/>
          <w:szCs w:val="32"/>
        </w:rPr>
        <w:t>僅需</w:t>
      </w:r>
      <w:r w:rsidRPr="00D41D30">
        <w:rPr>
          <w:rFonts w:hAnsi="標楷體"/>
          <w:color w:val="000000" w:themeColor="text1"/>
          <w:szCs w:val="32"/>
        </w:rPr>
        <w:t>25年，與日本</w:t>
      </w:r>
      <w:r w:rsidRPr="00D41D30">
        <w:rPr>
          <w:rFonts w:hAnsi="標楷體" w:hint="eastAsia"/>
          <w:color w:val="000000" w:themeColor="text1"/>
          <w:szCs w:val="32"/>
        </w:rPr>
        <w:t>（24年）</w:t>
      </w:r>
      <w:r w:rsidRPr="00D41D30">
        <w:rPr>
          <w:rFonts w:hAnsi="標楷體"/>
          <w:color w:val="000000" w:themeColor="text1"/>
          <w:szCs w:val="32"/>
        </w:rPr>
        <w:t>相仿</w:t>
      </w:r>
      <w:r w:rsidRPr="00D41D30">
        <w:rPr>
          <w:rFonts w:hAnsi="標楷體" w:hint="eastAsia"/>
          <w:color w:val="000000" w:themeColor="text1"/>
          <w:szCs w:val="32"/>
        </w:rPr>
        <w:t>。</w:t>
      </w:r>
      <w:r w:rsidRPr="00D41D30">
        <w:rPr>
          <w:rFonts w:hAnsi="標楷體"/>
          <w:color w:val="000000" w:themeColor="text1"/>
          <w:szCs w:val="32"/>
        </w:rPr>
        <w:t>而從</w:t>
      </w:r>
      <w:r w:rsidRPr="00D41D30">
        <w:rPr>
          <w:rFonts w:hAnsi="標楷體" w:hint="eastAsia"/>
          <w:color w:val="000000" w:themeColor="text1"/>
          <w:szCs w:val="32"/>
        </w:rPr>
        <w:t>「</w:t>
      </w:r>
      <w:r w:rsidRPr="00D41D30">
        <w:rPr>
          <w:rFonts w:hAnsi="標楷體"/>
          <w:color w:val="000000" w:themeColor="text1"/>
          <w:szCs w:val="32"/>
        </w:rPr>
        <w:t>高齡社會</w:t>
      </w:r>
      <w:r w:rsidRPr="00D41D30">
        <w:rPr>
          <w:rFonts w:hAnsi="標楷體" w:hint="eastAsia"/>
          <w:color w:val="000000" w:themeColor="text1"/>
          <w:szCs w:val="32"/>
        </w:rPr>
        <w:t>」至「</w:t>
      </w:r>
      <w:r w:rsidRPr="00D41D30">
        <w:rPr>
          <w:rFonts w:hAnsi="標楷體"/>
          <w:color w:val="000000" w:themeColor="text1"/>
          <w:szCs w:val="32"/>
        </w:rPr>
        <w:t>超高齡社會</w:t>
      </w:r>
      <w:r w:rsidRPr="00D41D30">
        <w:rPr>
          <w:rFonts w:hAnsi="標楷體" w:hint="eastAsia"/>
          <w:color w:val="000000" w:themeColor="text1"/>
          <w:szCs w:val="32"/>
        </w:rPr>
        <w:t>」之速度</w:t>
      </w:r>
      <w:r w:rsidRPr="00D41D30">
        <w:rPr>
          <w:rFonts w:hAnsi="標楷體"/>
          <w:color w:val="000000" w:themeColor="text1"/>
          <w:szCs w:val="32"/>
        </w:rPr>
        <w:t>，日</w:t>
      </w:r>
      <w:r w:rsidRPr="00D41D30">
        <w:rPr>
          <w:rFonts w:hAnsi="標楷體" w:hint="eastAsia"/>
          <w:color w:val="000000" w:themeColor="text1"/>
          <w:szCs w:val="32"/>
        </w:rPr>
        <w:t>本</w:t>
      </w:r>
      <w:r w:rsidRPr="00D41D30">
        <w:rPr>
          <w:rFonts w:hAnsi="標楷體"/>
          <w:color w:val="000000" w:themeColor="text1"/>
          <w:szCs w:val="32"/>
        </w:rPr>
        <w:t>、德</w:t>
      </w:r>
      <w:r w:rsidRPr="00D41D30">
        <w:rPr>
          <w:rFonts w:hAnsi="標楷體" w:hint="eastAsia"/>
          <w:color w:val="000000" w:themeColor="text1"/>
          <w:szCs w:val="32"/>
        </w:rPr>
        <w:t>國</w:t>
      </w:r>
      <w:r w:rsidRPr="00D41D30">
        <w:rPr>
          <w:rFonts w:hAnsi="標楷體"/>
          <w:color w:val="000000" w:themeColor="text1"/>
          <w:szCs w:val="32"/>
        </w:rPr>
        <w:t>、義</w:t>
      </w:r>
      <w:r w:rsidRPr="00D41D30">
        <w:rPr>
          <w:rFonts w:hAnsi="標楷體" w:hint="eastAsia"/>
          <w:color w:val="000000" w:themeColor="text1"/>
          <w:szCs w:val="32"/>
        </w:rPr>
        <w:t>大利</w:t>
      </w:r>
      <w:r w:rsidRPr="00D41D30">
        <w:rPr>
          <w:rFonts w:hAnsi="標楷體"/>
          <w:color w:val="000000" w:themeColor="text1"/>
          <w:szCs w:val="32"/>
        </w:rPr>
        <w:t>分別需時11年、36年及19年，我國約8年，顯示我國人口高齡化的歷程將愈來愈快，人口老化的速度較歐美各國快</w:t>
      </w:r>
      <w:r w:rsidRPr="00D41D30">
        <w:rPr>
          <w:rFonts w:hAnsi="標楷體" w:hint="eastAsia"/>
          <w:color w:val="000000" w:themeColor="text1"/>
          <w:szCs w:val="32"/>
        </w:rPr>
        <w:t>。</w:t>
      </w:r>
      <w:r w:rsidR="00743107" w:rsidRPr="00D41D30">
        <w:rPr>
          <w:rFonts w:hAnsi="標楷體" w:hint="eastAsia"/>
          <w:color w:val="000000" w:themeColor="text1"/>
          <w:szCs w:val="32"/>
        </w:rPr>
        <w:t>各國人口成長速度詳下表。</w:t>
      </w:r>
    </w:p>
    <w:p w:rsidR="00E761B0" w:rsidRPr="00D41D30" w:rsidRDefault="000805E3" w:rsidP="00471512">
      <w:pPr>
        <w:pStyle w:val="a4"/>
        <w:ind w:left="697" w:hanging="697"/>
        <w:rPr>
          <w:b/>
          <w:color w:val="000000" w:themeColor="text1"/>
        </w:rPr>
      </w:pPr>
      <w:r w:rsidRPr="00D41D30">
        <w:rPr>
          <w:rFonts w:hint="eastAsia"/>
          <w:b/>
          <w:color w:val="000000" w:themeColor="text1"/>
        </w:rPr>
        <w:t>各國人口</w:t>
      </w:r>
      <w:r w:rsidRPr="00D41D30">
        <w:rPr>
          <w:rFonts w:hAnsi="標楷體" w:hint="eastAsia"/>
          <w:b/>
          <w:color w:val="000000" w:themeColor="text1"/>
        </w:rPr>
        <w:t>成長</w:t>
      </w:r>
      <w:r w:rsidRPr="00D41D30">
        <w:rPr>
          <w:rFonts w:hint="eastAsia"/>
          <w:b/>
          <w:color w:val="000000" w:themeColor="text1"/>
        </w:rPr>
        <w:t>推估</w:t>
      </w:r>
    </w:p>
    <w:tbl>
      <w:tblPr>
        <w:tblW w:w="5175" w:type="pct"/>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82"/>
        <w:gridCol w:w="1796"/>
        <w:gridCol w:w="1520"/>
        <w:gridCol w:w="1799"/>
        <w:gridCol w:w="1247"/>
        <w:gridCol w:w="1399"/>
      </w:tblGrid>
      <w:tr w:rsidR="000805E3" w:rsidRPr="00D41D30" w:rsidTr="000805E3">
        <w:trPr>
          <w:trHeight w:val="569"/>
          <w:tblHeader/>
        </w:trPr>
        <w:tc>
          <w:tcPr>
            <w:tcW w:w="756" w:type="pct"/>
            <w:vMerge w:val="restart"/>
            <w:tcBorders>
              <w:top w:val="single" w:sz="12" w:space="0" w:color="000000"/>
              <w:right w:val="single" w:sz="4" w:space="0" w:color="auto"/>
            </w:tcBorders>
            <w:shd w:val="clear" w:color="auto" w:fill="auto"/>
            <w:vAlign w:val="center"/>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國別</w:t>
            </w:r>
          </w:p>
        </w:tc>
        <w:tc>
          <w:tcPr>
            <w:tcW w:w="2796" w:type="pct"/>
            <w:gridSpan w:val="3"/>
            <w:tcBorders>
              <w:top w:val="single" w:sz="12" w:space="0" w:color="000000"/>
              <w:left w:val="single" w:sz="4" w:space="0" w:color="auto"/>
              <w:bottom w:val="single" w:sz="4" w:space="0" w:color="auto"/>
            </w:tcBorders>
            <w:shd w:val="clear" w:color="auto" w:fill="auto"/>
            <w:vAlign w:val="center"/>
          </w:tcPr>
          <w:p w:rsidR="000805E3" w:rsidRPr="00D41D30" w:rsidRDefault="000805E3" w:rsidP="0042647A">
            <w:pPr>
              <w:spacing w:line="300" w:lineRule="exact"/>
              <w:jc w:val="center"/>
              <w:rPr>
                <w:rFonts w:hAnsi="標楷體"/>
                <w:color w:val="000000" w:themeColor="text1"/>
                <w:sz w:val="28"/>
                <w:szCs w:val="28"/>
              </w:rPr>
            </w:pPr>
            <w:r w:rsidRPr="00D41D30">
              <w:rPr>
                <w:rFonts w:hAnsi="標楷體"/>
                <w:bCs/>
                <w:color w:val="000000" w:themeColor="text1"/>
                <w:sz w:val="28"/>
                <w:szCs w:val="28"/>
              </w:rPr>
              <w:t>65歲以上人口占</w:t>
            </w:r>
            <w:r w:rsidRPr="00D41D30">
              <w:rPr>
                <w:rFonts w:hAnsi="標楷體" w:hint="eastAsia"/>
                <w:bCs/>
                <w:color w:val="000000" w:themeColor="text1"/>
                <w:sz w:val="28"/>
                <w:szCs w:val="28"/>
              </w:rPr>
              <w:t>總人口</w:t>
            </w:r>
            <w:r w:rsidRPr="00D41D30">
              <w:rPr>
                <w:rFonts w:hAnsi="標楷體"/>
                <w:bCs/>
                <w:color w:val="000000" w:themeColor="text1"/>
                <w:sz w:val="28"/>
                <w:szCs w:val="28"/>
              </w:rPr>
              <w:t>比率到達年度（年）</w:t>
            </w:r>
          </w:p>
        </w:tc>
        <w:tc>
          <w:tcPr>
            <w:tcW w:w="1448" w:type="pct"/>
            <w:gridSpan w:val="2"/>
            <w:tcBorders>
              <w:top w:val="single" w:sz="12" w:space="0" w:color="000000"/>
              <w:right w:val="single" w:sz="12" w:space="0" w:color="auto"/>
            </w:tcBorders>
            <w:shd w:val="clear" w:color="auto" w:fill="auto"/>
            <w:vAlign w:val="center"/>
          </w:tcPr>
          <w:p w:rsidR="000805E3" w:rsidRPr="00D41D30" w:rsidRDefault="000805E3" w:rsidP="0042647A">
            <w:pPr>
              <w:spacing w:line="300" w:lineRule="exact"/>
              <w:jc w:val="center"/>
              <w:rPr>
                <w:rFonts w:hAnsi="標楷體"/>
                <w:color w:val="000000" w:themeColor="text1"/>
                <w:sz w:val="28"/>
                <w:szCs w:val="28"/>
              </w:rPr>
            </w:pPr>
            <w:r w:rsidRPr="00D41D30">
              <w:rPr>
                <w:rFonts w:hAnsi="標楷體"/>
                <w:bCs/>
                <w:color w:val="000000" w:themeColor="text1"/>
                <w:sz w:val="28"/>
                <w:szCs w:val="28"/>
              </w:rPr>
              <w:t>轉變所需時間（年）</w:t>
            </w:r>
          </w:p>
        </w:tc>
      </w:tr>
      <w:tr w:rsidR="000805E3" w:rsidRPr="00D41D30" w:rsidTr="000805E3">
        <w:trPr>
          <w:trHeight w:val="340"/>
          <w:tblHeader/>
        </w:trPr>
        <w:tc>
          <w:tcPr>
            <w:tcW w:w="756" w:type="pct"/>
            <w:vMerge/>
            <w:tcBorders>
              <w:bottom w:val="single" w:sz="6" w:space="0" w:color="000000"/>
              <w:right w:val="single" w:sz="4" w:space="0" w:color="auto"/>
            </w:tcBorders>
            <w:shd w:val="clear" w:color="auto" w:fill="auto"/>
          </w:tcPr>
          <w:p w:rsidR="000805E3" w:rsidRPr="00D41D30" w:rsidRDefault="000805E3" w:rsidP="0042647A">
            <w:pPr>
              <w:spacing w:line="300" w:lineRule="exact"/>
              <w:rPr>
                <w:rFonts w:hAnsi="標楷體"/>
                <w:color w:val="000000" w:themeColor="text1"/>
                <w:sz w:val="28"/>
                <w:szCs w:val="28"/>
              </w:rPr>
            </w:pPr>
          </w:p>
        </w:tc>
        <w:tc>
          <w:tcPr>
            <w:tcW w:w="982" w:type="pct"/>
            <w:tcBorders>
              <w:left w:val="single" w:sz="4" w:space="0" w:color="auto"/>
              <w:bottom w:val="single" w:sz="6" w:space="0" w:color="000000"/>
            </w:tcBorders>
            <w:shd w:val="clear" w:color="auto" w:fill="auto"/>
          </w:tcPr>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高齡化社會</w:t>
            </w:r>
          </w:p>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（7%）</w:t>
            </w:r>
          </w:p>
        </w:tc>
        <w:tc>
          <w:tcPr>
            <w:tcW w:w="831" w:type="pct"/>
            <w:tcBorders>
              <w:bottom w:val="single" w:sz="6" w:space="0" w:color="000000"/>
            </w:tcBorders>
            <w:shd w:val="clear" w:color="auto" w:fill="auto"/>
          </w:tcPr>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高齡社會</w:t>
            </w:r>
          </w:p>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（14%）</w:t>
            </w:r>
          </w:p>
        </w:tc>
        <w:tc>
          <w:tcPr>
            <w:tcW w:w="984" w:type="pct"/>
            <w:tcBorders>
              <w:bottom w:val="single" w:sz="6" w:space="0" w:color="000000"/>
            </w:tcBorders>
            <w:shd w:val="clear" w:color="auto" w:fill="auto"/>
          </w:tcPr>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超高齡社會</w:t>
            </w:r>
          </w:p>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（20%）</w:t>
            </w:r>
          </w:p>
        </w:tc>
        <w:tc>
          <w:tcPr>
            <w:tcW w:w="682" w:type="pct"/>
            <w:tcBorders>
              <w:bottom w:val="single" w:sz="6" w:space="0" w:color="000000"/>
            </w:tcBorders>
            <w:shd w:val="clear" w:color="auto" w:fill="auto"/>
            <w:vAlign w:val="center"/>
          </w:tcPr>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7%→14%</w:t>
            </w:r>
          </w:p>
        </w:tc>
        <w:tc>
          <w:tcPr>
            <w:tcW w:w="766" w:type="pct"/>
            <w:tcBorders>
              <w:bottom w:val="single" w:sz="6" w:space="0" w:color="000000"/>
            </w:tcBorders>
            <w:shd w:val="clear" w:color="auto" w:fill="auto"/>
            <w:vAlign w:val="center"/>
          </w:tcPr>
          <w:p w:rsidR="000805E3" w:rsidRPr="00D41D30" w:rsidRDefault="000805E3" w:rsidP="0042647A">
            <w:pPr>
              <w:spacing w:line="300" w:lineRule="exact"/>
              <w:jc w:val="center"/>
              <w:rPr>
                <w:rFonts w:hAnsi="標楷體"/>
                <w:color w:val="000000" w:themeColor="text1"/>
                <w:sz w:val="28"/>
                <w:szCs w:val="28"/>
              </w:rPr>
            </w:pPr>
            <w:r w:rsidRPr="00D41D30">
              <w:rPr>
                <w:rFonts w:hAnsi="標楷體"/>
                <w:color w:val="000000" w:themeColor="text1"/>
                <w:sz w:val="28"/>
                <w:szCs w:val="28"/>
              </w:rPr>
              <w:t>14%→20%</w:t>
            </w:r>
          </w:p>
        </w:tc>
      </w:tr>
      <w:tr w:rsidR="000805E3" w:rsidRPr="00D41D30" w:rsidTr="000805E3">
        <w:trPr>
          <w:trHeight w:val="425"/>
        </w:trPr>
        <w:tc>
          <w:tcPr>
            <w:tcW w:w="756" w:type="pct"/>
            <w:tcBorders>
              <w:top w:val="single" w:sz="6" w:space="0" w:color="000000"/>
              <w:bottom w:val="single" w:sz="4" w:space="0" w:color="auto"/>
            </w:tcBorders>
            <w:shd w:val="clear" w:color="auto" w:fill="FDE9D9" w:themeFill="accent6" w:themeFillTint="33"/>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中華民國</w:t>
            </w:r>
          </w:p>
        </w:tc>
        <w:tc>
          <w:tcPr>
            <w:tcW w:w="982" w:type="pct"/>
            <w:tcBorders>
              <w:top w:val="single" w:sz="6" w:space="0" w:color="000000"/>
              <w:bottom w:val="single" w:sz="4" w:space="0" w:color="auto"/>
            </w:tcBorders>
            <w:shd w:val="clear" w:color="auto" w:fill="FDE9D9" w:themeFill="accent6" w:themeFillTint="33"/>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1993</w:t>
            </w:r>
          </w:p>
        </w:tc>
        <w:tc>
          <w:tcPr>
            <w:tcW w:w="831" w:type="pct"/>
            <w:tcBorders>
              <w:top w:val="single" w:sz="6" w:space="0" w:color="000000"/>
              <w:bottom w:val="single" w:sz="4" w:space="0" w:color="auto"/>
            </w:tcBorders>
            <w:shd w:val="clear" w:color="auto" w:fill="FDE9D9" w:themeFill="accent6" w:themeFillTint="33"/>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2018*</w:t>
            </w:r>
          </w:p>
        </w:tc>
        <w:tc>
          <w:tcPr>
            <w:tcW w:w="984" w:type="pct"/>
            <w:tcBorders>
              <w:top w:val="single" w:sz="6" w:space="0" w:color="000000"/>
              <w:bottom w:val="single" w:sz="4" w:space="0" w:color="auto"/>
            </w:tcBorders>
            <w:shd w:val="clear" w:color="auto" w:fill="FDE9D9" w:themeFill="accent6" w:themeFillTint="33"/>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2026*</w:t>
            </w:r>
          </w:p>
        </w:tc>
        <w:tc>
          <w:tcPr>
            <w:tcW w:w="682" w:type="pct"/>
            <w:tcBorders>
              <w:top w:val="single" w:sz="6" w:space="0" w:color="000000"/>
              <w:bottom w:val="single" w:sz="4" w:space="0" w:color="auto"/>
            </w:tcBorders>
            <w:shd w:val="clear" w:color="auto" w:fill="FDE9D9" w:themeFill="accent6" w:themeFillTint="33"/>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25*</w:t>
            </w:r>
          </w:p>
        </w:tc>
        <w:tc>
          <w:tcPr>
            <w:tcW w:w="766" w:type="pct"/>
            <w:tcBorders>
              <w:top w:val="single" w:sz="6" w:space="0" w:color="000000"/>
              <w:bottom w:val="single" w:sz="4" w:space="0" w:color="auto"/>
            </w:tcBorders>
            <w:shd w:val="clear" w:color="auto" w:fill="FDE9D9" w:themeFill="accent6" w:themeFillTint="33"/>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8*</w:t>
            </w:r>
          </w:p>
        </w:tc>
      </w:tr>
      <w:tr w:rsidR="000805E3" w:rsidRPr="00D41D30" w:rsidTr="000805E3">
        <w:trPr>
          <w:trHeight w:val="425"/>
        </w:trPr>
        <w:tc>
          <w:tcPr>
            <w:tcW w:w="756" w:type="pct"/>
            <w:tcBorders>
              <w:top w:val="single" w:sz="4" w:space="0" w:color="auto"/>
            </w:tcBorders>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日本</w:t>
            </w:r>
          </w:p>
        </w:tc>
        <w:tc>
          <w:tcPr>
            <w:tcW w:w="982" w:type="pct"/>
            <w:tcBorders>
              <w:top w:val="single" w:sz="4" w:space="0" w:color="auto"/>
            </w:tcBorders>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1970</w:t>
            </w:r>
          </w:p>
        </w:tc>
        <w:tc>
          <w:tcPr>
            <w:tcW w:w="831" w:type="pct"/>
            <w:tcBorders>
              <w:top w:val="single" w:sz="4" w:space="0" w:color="auto"/>
            </w:tcBorders>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1994</w:t>
            </w:r>
          </w:p>
        </w:tc>
        <w:tc>
          <w:tcPr>
            <w:tcW w:w="984" w:type="pct"/>
            <w:tcBorders>
              <w:top w:val="single" w:sz="4" w:space="0" w:color="auto"/>
            </w:tcBorders>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2005</w:t>
            </w:r>
          </w:p>
        </w:tc>
        <w:tc>
          <w:tcPr>
            <w:tcW w:w="682" w:type="pct"/>
            <w:tcBorders>
              <w:top w:val="single" w:sz="4" w:space="0" w:color="auto"/>
            </w:tcBorders>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24</w:t>
            </w:r>
          </w:p>
        </w:tc>
        <w:tc>
          <w:tcPr>
            <w:tcW w:w="766" w:type="pct"/>
            <w:tcBorders>
              <w:top w:val="single" w:sz="4" w:space="0" w:color="auto"/>
            </w:tcBorders>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11</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韓國</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1999</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2018*</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5</w:t>
            </w:r>
            <w:r w:rsidRPr="00D41D30">
              <w:rPr>
                <w:rFonts w:hAnsi="標楷體"/>
                <w:bCs/>
                <w:color w:val="000000" w:themeColor="text1"/>
                <w:sz w:val="28"/>
                <w:szCs w:val="28"/>
              </w:rPr>
              <w:t>*</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新加坡</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1999</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2019*</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2026*</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7*</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香港</w:t>
            </w:r>
            <w:r w:rsidRPr="00D41D30">
              <w:rPr>
                <w:rFonts w:hAnsi="標楷體" w:hint="eastAsia"/>
                <w:bCs/>
                <w:color w:val="000000" w:themeColor="text1"/>
                <w:sz w:val="28"/>
                <w:szCs w:val="28"/>
                <w:vertAlign w:val="superscript"/>
              </w:rPr>
              <w:t>2</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1984</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2013</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2023*</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29</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10*</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美國</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1942</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2013</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2028*</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71</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15*</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加拿大</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1945</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2010</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2024*</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65</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14*</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英國</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1929</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1976</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2027*</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47</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51*</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德國</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1932</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1972</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2008</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40</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36</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法國</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1864</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1991</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2020*</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127</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29*</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挪威</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1885</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1977</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203</w:t>
            </w:r>
            <w:r w:rsidRPr="00D41D30">
              <w:rPr>
                <w:rFonts w:hAnsi="標楷體" w:hint="eastAsia"/>
                <w:bCs/>
                <w:color w:val="000000" w:themeColor="text1"/>
                <w:sz w:val="28"/>
                <w:szCs w:val="28"/>
              </w:rPr>
              <w:t>0</w:t>
            </w:r>
            <w:r w:rsidRPr="00D41D30">
              <w:rPr>
                <w:rFonts w:hAnsi="標楷體"/>
                <w:bCs/>
                <w:color w:val="000000" w:themeColor="text1"/>
                <w:sz w:val="28"/>
                <w:szCs w:val="28"/>
              </w:rPr>
              <w:t>*</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92</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5</w:t>
            </w:r>
            <w:r w:rsidRPr="00D41D30">
              <w:rPr>
                <w:rFonts w:hAnsi="標楷體" w:hint="eastAsia"/>
                <w:bCs/>
                <w:color w:val="000000" w:themeColor="text1"/>
                <w:sz w:val="28"/>
                <w:szCs w:val="28"/>
              </w:rPr>
              <w:t>3</w:t>
            </w:r>
            <w:r w:rsidRPr="00D41D30">
              <w:rPr>
                <w:rFonts w:hAnsi="標楷體"/>
                <w:bCs/>
                <w:color w:val="000000" w:themeColor="text1"/>
                <w:sz w:val="28"/>
                <w:szCs w:val="28"/>
              </w:rPr>
              <w:t>*</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lastRenderedPageBreak/>
              <w:t>瑞典</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1887</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1972</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w:t>
            </w:r>
            <w:r w:rsidRPr="00D41D30">
              <w:rPr>
                <w:rFonts w:hAnsi="標楷體" w:hint="eastAsia"/>
                <w:bCs/>
                <w:color w:val="000000" w:themeColor="text1"/>
                <w:sz w:val="28"/>
                <w:szCs w:val="28"/>
              </w:rPr>
              <w:t>9</w:t>
            </w:r>
            <w:r w:rsidRPr="00D41D30">
              <w:rPr>
                <w:rFonts w:hAnsi="標楷體"/>
                <w:bCs/>
                <w:color w:val="000000" w:themeColor="text1"/>
                <w:sz w:val="28"/>
                <w:szCs w:val="28"/>
              </w:rPr>
              <w:t>*</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85</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4</w:t>
            </w: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荷蘭</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1940</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2005</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2</w:t>
            </w:r>
            <w:r w:rsidRPr="00D41D30">
              <w:rPr>
                <w:rFonts w:hAnsi="標楷體"/>
                <w:bCs/>
                <w:color w:val="000000" w:themeColor="text1"/>
                <w:sz w:val="28"/>
                <w:szCs w:val="28"/>
              </w:rPr>
              <w:t>*</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65</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w:t>
            </w: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瑞士</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1931</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1985</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2025*</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54</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40*</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奧地利</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1929</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1970</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4</w:t>
            </w:r>
            <w:r w:rsidRPr="00D41D30">
              <w:rPr>
                <w:rFonts w:hAnsi="標楷體"/>
                <w:bCs/>
                <w:color w:val="000000" w:themeColor="text1"/>
                <w:sz w:val="28"/>
                <w:szCs w:val="28"/>
              </w:rPr>
              <w:t>*</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41</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5</w:t>
            </w:r>
            <w:r w:rsidRPr="00D41D30">
              <w:rPr>
                <w:rFonts w:hAnsi="標楷體" w:hint="eastAsia"/>
                <w:bCs/>
                <w:color w:val="000000" w:themeColor="text1"/>
                <w:sz w:val="28"/>
                <w:szCs w:val="28"/>
              </w:rPr>
              <w:t>4</w:t>
            </w:r>
            <w:r w:rsidRPr="00D41D30">
              <w:rPr>
                <w:rFonts w:hAnsi="標楷體"/>
                <w:bCs/>
                <w:color w:val="000000" w:themeColor="text1"/>
                <w:sz w:val="28"/>
                <w:szCs w:val="28"/>
              </w:rPr>
              <w:t>*</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義大利</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1927</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1988</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2007</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61</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西班牙</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1947</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1992</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0</w:t>
            </w:r>
            <w:r w:rsidRPr="00D41D30">
              <w:rPr>
                <w:rFonts w:hAnsi="標楷體"/>
                <w:bCs/>
                <w:color w:val="000000" w:themeColor="text1"/>
                <w:sz w:val="28"/>
                <w:szCs w:val="28"/>
              </w:rPr>
              <w:t>*</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45</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w:t>
            </w:r>
            <w:r w:rsidRPr="00D41D30">
              <w:rPr>
                <w:rFonts w:hAnsi="標楷體" w:hint="eastAsia"/>
                <w:bCs/>
                <w:color w:val="000000" w:themeColor="text1"/>
                <w:sz w:val="28"/>
                <w:szCs w:val="28"/>
              </w:rPr>
              <w:t>8</w:t>
            </w:r>
            <w:r w:rsidRPr="00D41D30">
              <w:rPr>
                <w:rFonts w:hAnsi="標楷體"/>
                <w:bCs/>
                <w:color w:val="000000" w:themeColor="text1"/>
                <w:sz w:val="28"/>
                <w:szCs w:val="28"/>
              </w:rPr>
              <w:t>*</w:t>
            </w:r>
          </w:p>
        </w:tc>
      </w:tr>
      <w:tr w:rsidR="000805E3" w:rsidRPr="00D41D30" w:rsidTr="000805E3">
        <w:trPr>
          <w:trHeight w:val="425"/>
        </w:trPr>
        <w:tc>
          <w:tcPr>
            <w:tcW w:w="756" w:type="pct"/>
            <w:shd w:val="clear" w:color="auto" w:fill="auto"/>
          </w:tcPr>
          <w:p w:rsidR="000805E3" w:rsidRPr="00D41D30" w:rsidRDefault="000805E3" w:rsidP="0042647A">
            <w:pPr>
              <w:spacing w:line="300" w:lineRule="exact"/>
              <w:rPr>
                <w:rFonts w:hAnsi="標楷體"/>
                <w:bCs/>
                <w:color w:val="000000" w:themeColor="text1"/>
                <w:sz w:val="28"/>
                <w:szCs w:val="28"/>
              </w:rPr>
            </w:pPr>
            <w:r w:rsidRPr="00D41D30">
              <w:rPr>
                <w:rFonts w:hAnsi="標楷體"/>
                <w:bCs/>
                <w:color w:val="000000" w:themeColor="text1"/>
                <w:sz w:val="28"/>
                <w:szCs w:val="28"/>
              </w:rPr>
              <w:t>澳洲</w:t>
            </w:r>
          </w:p>
        </w:tc>
        <w:tc>
          <w:tcPr>
            <w:tcW w:w="9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1939</w:t>
            </w:r>
          </w:p>
        </w:tc>
        <w:tc>
          <w:tcPr>
            <w:tcW w:w="831"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2011</w:t>
            </w:r>
          </w:p>
        </w:tc>
        <w:tc>
          <w:tcPr>
            <w:tcW w:w="984"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2034*</w:t>
            </w:r>
          </w:p>
        </w:tc>
        <w:tc>
          <w:tcPr>
            <w:tcW w:w="682"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72</w:t>
            </w:r>
          </w:p>
        </w:tc>
        <w:tc>
          <w:tcPr>
            <w:tcW w:w="766" w:type="pct"/>
            <w:shd w:val="clear" w:color="auto" w:fill="auto"/>
          </w:tcPr>
          <w:p w:rsidR="000805E3" w:rsidRPr="00D41D30" w:rsidRDefault="000805E3" w:rsidP="0042647A">
            <w:pPr>
              <w:spacing w:line="300" w:lineRule="exact"/>
              <w:jc w:val="center"/>
              <w:rPr>
                <w:rFonts w:hAnsi="標楷體"/>
                <w:bCs/>
                <w:color w:val="000000" w:themeColor="text1"/>
                <w:sz w:val="28"/>
                <w:szCs w:val="28"/>
              </w:rPr>
            </w:pPr>
            <w:r w:rsidRPr="00D41D30">
              <w:rPr>
                <w:rFonts w:hAnsi="標楷體"/>
                <w:bCs/>
                <w:color w:val="000000" w:themeColor="text1"/>
                <w:sz w:val="28"/>
                <w:szCs w:val="28"/>
              </w:rPr>
              <w:t>22*</w:t>
            </w:r>
          </w:p>
        </w:tc>
      </w:tr>
    </w:tbl>
    <w:p w:rsidR="000805E3" w:rsidRPr="00D41D30" w:rsidRDefault="000805E3" w:rsidP="000805E3">
      <w:pPr>
        <w:widowControl/>
        <w:tabs>
          <w:tab w:val="num" w:pos="1985"/>
        </w:tabs>
        <w:snapToGrid w:val="0"/>
        <w:ind w:left="520" w:hangingChars="200" w:hanging="520"/>
        <w:contextualSpacing/>
        <w:rPr>
          <w:rFonts w:hAnsi="標楷體"/>
          <w:color w:val="000000" w:themeColor="text1"/>
          <w:kern w:val="0"/>
          <w:sz w:val="24"/>
          <w:szCs w:val="24"/>
        </w:rPr>
      </w:pPr>
      <w:r w:rsidRPr="00D41D30">
        <w:rPr>
          <w:rFonts w:hAnsi="標楷體"/>
          <w:color w:val="000000" w:themeColor="text1"/>
          <w:kern w:val="0"/>
          <w:sz w:val="24"/>
          <w:szCs w:val="24"/>
        </w:rPr>
        <w:t>註</w:t>
      </w:r>
      <w:r w:rsidRPr="00D41D30">
        <w:rPr>
          <w:rFonts w:hAnsi="標楷體" w:hint="eastAsia"/>
          <w:color w:val="000000" w:themeColor="text1"/>
          <w:kern w:val="0"/>
          <w:sz w:val="24"/>
          <w:szCs w:val="24"/>
        </w:rPr>
        <w:t>1</w:t>
      </w:r>
      <w:r w:rsidRPr="00D41D30">
        <w:rPr>
          <w:rFonts w:hAnsi="標楷體"/>
          <w:color w:val="000000" w:themeColor="text1"/>
          <w:kern w:val="0"/>
          <w:sz w:val="24"/>
          <w:szCs w:val="24"/>
        </w:rPr>
        <w:t>：*表示中推估結果，其他無*表示為實際值。</w:t>
      </w:r>
    </w:p>
    <w:p w:rsidR="000805E3" w:rsidRPr="00D41D30" w:rsidRDefault="000805E3" w:rsidP="000805E3">
      <w:pPr>
        <w:widowControl/>
        <w:tabs>
          <w:tab w:val="num" w:pos="1985"/>
        </w:tabs>
        <w:snapToGrid w:val="0"/>
        <w:ind w:left="260" w:hangingChars="100" w:hanging="260"/>
        <w:contextualSpacing/>
        <w:rPr>
          <w:rFonts w:hAnsi="標楷體"/>
          <w:color w:val="000000" w:themeColor="text1"/>
          <w:kern w:val="0"/>
          <w:sz w:val="24"/>
          <w:szCs w:val="24"/>
        </w:rPr>
      </w:pPr>
      <w:r w:rsidRPr="00D41D30">
        <w:rPr>
          <w:rFonts w:hAnsi="標楷體" w:hint="eastAsia"/>
          <w:color w:val="000000" w:themeColor="text1"/>
          <w:kern w:val="0"/>
          <w:sz w:val="24"/>
          <w:szCs w:val="24"/>
        </w:rPr>
        <w:t>註</w:t>
      </w:r>
      <w:r w:rsidRPr="00D41D30">
        <w:rPr>
          <w:rFonts w:hAnsi="標楷體"/>
          <w:color w:val="000000" w:themeColor="text1"/>
          <w:kern w:val="0"/>
          <w:sz w:val="24"/>
          <w:szCs w:val="24"/>
        </w:rPr>
        <w:t>2</w:t>
      </w:r>
      <w:r w:rsidRPr="00D41D30">
        <w:rPr>
          <w:rFonts w:hAnsi="標楷體" w:hint="eastAsia"/>
          <w:color w:val="000000" w:themeColor="text1"/>
          <w:kern w:val="0"/>
          <w:sz w:val="24"/>
          <w:szCs w:val="24"/>
        </w:rPr>
        <w:t>：</w:t>
      </w:r>
      <w:r w:rsidRPr="00D41D30">
        <w:rPr>
          <w:rFonts w:hAnsi="標楷體"/>
          <w:color w:val="000000" w:themeColor="text1"/>
          <w:kern w:val="0"/>
          <w:sz w:val="24"/>
          <w:szCs w:val="24"/>
        </w:rPr>
        <w:t>特別行政區</w:t>
      </w:r>
    </w:p>
    <w:p w:rsidR="000805E3" w:rsidRPr="00D41D30" w:rsidRDefault="000805E3" w:rsidP="000805E3">
      <w:pPr>
        <w:widowControl/>
        <w:tabs>
          <w:tab w:val="num" w:pos="1985"/>
        </w:tabs>
        <w:snapToGrid w:val="0"/>
        <w:contextualSpacing/>
        <w:rPr>
          <w:rFonts w:hAnsi="標楷體"/>
          <w:color w:val="000000" w:themeColor="text1"/>
          <w:sz w:val="24"/>
          <w:szCs w:val="24"/>
        </w:rPr>
      </w:pPr>
      <w:r w:rsidRPr="00D41D30">
        <w:rPr>
          <w:rFonts w:hAnsi="標楷體"/>
          <w:color w:val="000000" w:themeColor="text1"/>
          <w:kern w:val="0"/>
          <w:sz w:val="24"/>
          <w:szCs w:val="24"/>
        </w:rPr>
        <w:t>資料來源：</w:t>
      </w:r>
      <w:r w:rsidR="00322621" w:rsidRPr="00D41D30">
        <w:rPr>
          <w:rFonts w:hAnsi="標楷體" w:hint="eastAsia"/>
          <w:color w:val="000000" w:themeColor="text1"/>
          <w:sz w:val="24"/>
          <w:szCs w:val="24"/>
        </w:rPr>
        <w:t>國家發展委員會</w:t>
      </w:r>
      <w:r w:rsidRPr="00D41D30">
        <w:rPr>
          <w:rFonts w:hAnsi="標楷體" w:hint="eastAsia"/>
          <w:color w:val="000000" w:themeColor="text1"/>
          <w:sz w:val="24"/>
          <w:szCs w:val="24"/>
        </w:rPr>
        <w:t>。2018。中華民國人口推估</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2018至2065年</w:t>
      </w:r>
      <w:r w:rsidR="006B5136" w:rsidRPr="00D41D30">
        <w:rPr>
          <w:rFonts w:hAnsi="標楷體" w:hint="eastAsia"/>
          <w:color w:val="000000" w:themeColor="text1"/>
          <w:sz w:val="24"/>
          <w:szCs w:val="24"/>
        </w:rPr>
        <w:t>）</w:t>
      </w:r>
    </w:p>
    <w:p w:rsidR="000805E3" w:rsidRPr="00D41D30" w:rsidRDefault="000805E3" w:rsidP="000805E3">
      <w:pPr>
        <w:pStyle w:val="1"/>
        <w:numPr>
          <w:ilvl w:val="0"/>
          <w:numId w:val="0"/>
        </w:numPr>
        <w:ind w:left="2381" w:hanging="2381"/>
        <w:rPr>
          <w:color w:val="000000" w:themeColor="text1"/>
        </w:rPr>
      </w:pPr>
    </w:p>
    <w:p w:rsidR="000805E3" w:rsidRPr="00D41D30" w:rsidRDefault="000805E3" w:rsidP="000805E3">
      <w:pPr>
        <w:pStyle w:val="3"/>
        <w:rPr>
          <w:color w:val="000000" w:themeColor="text1"/>
        </w:rPr>
      </w:pPr>
      <w:bookmarkStart w:id="261" w:name="_Toc27560712"/>
      <w:bookmarkStart w:id="262" w:name="_Toc27665539"/>
      <w:bookmarkStart w:id="263" w:name="_Toc27670594"/>
      <w:bookmarkStart w:id="264" w:name="_Toc30512450"/>
      <w:bookmarkStart w:id="265" w:name="_Toc30581158"/>
      <w:bookmarkStart w:id="266" w:name="_Toc32392431"/>
      <w:bookmarkStart w:id="267" w:name="_Toc32673621"/>
      <w:bookmarkStart w:id="268" w:name="_Toc32845763"/>
      <w:bookmarkStart w:id="269" w:name="_Toc32846486"/>
      <w:bookmarkStart w:id="270" w:name="_Toc32913729"/>
      <w:bookmarkStart w:id="271" w:name="_Toc32918405"/>
      <w:bookmarkStart w:id="272" w:name="_Toc33011698"/>
      <w:r w:rsidRPr="00D41D30">
        <w:rPr>
          <w:rFonts w:hint="eastAsia"/>
          <w:color w:val="000000" w:themeColor="text1"/>
        </w:rPr>
        <w:t>我國老人人口中健康、亞健康及失能老人之占比，依據2010年戶口普查資料，顯示我國老年人的長期照顧需要率為12.7%，推算健康、亞健康老人占比為83.3%。</w:t>
      </w:r>
      <w:bookmarkEnd w:id="261"/>
      <w:bookmarkEnd w:id="262"/>
      <w:bookmarkEnd w:id="263"/>
      <w:bookmarkEnd w:id="264"/>
      <w:bookmarkEnd w:id="265"/>
      <w:bookmarkEnd w:id="266"/>
      <w:bookmarkEnd w:id="267"/>
      <w:bookmarkEnd w:id="268"/>
      <w:bookmarkEnd w:id="269"/>
      <w:bookmarkEnd w:id="270"/>
      <w:bookmarkEnd w:id="271"/>
      <w:bookmarkEnd w:id="272"/>
    </w:p>
    <w:p w:rsidR="00A61ABE" w:rsidRPr="00D41D30" w:rsidRDefault="00A61ABE" w:rsidP="0034437A">
      <w:pPr>
        <w:pStyle w:val="2"/>
        <w:spacing w:beforeLines="100" w:before="457"/>
        <w:ind w:left="1020" w:hanging="680"/>
        <w:rPr>
          <w:b/>
          <w:color w:val="000000" w:themeColor="text1"/>
        </w:rPr>
      </w:pPr>
      <w:bookmarkStart w:id="273" w:name="_Toc33011699"/>
      <w:r w:rsidRPr="00D41D30">
        <w:rPr>
          <w:rFonts w:hint="eastAsia"/>
          <w:b/>
          <w:color w:val="000000" w:themeColor="text1"/>
        </w:rPr>
        <w:t>教育部</w:t>
      </w:r>
      <w:r w:rsidR="007F23C7" w:rsidRPr="00D41D30">
        <w:rPr>
          <w:rFonts w:hint="eastAsia"/>
          <w:b/>
          <w:color w:val="000000" w:themeColor="text1"/>
        </w:rPr>
        <w:t>「</w:t>
      </w:r>
      <w:r w:rsidRPr="00D41D30">
        <w:rPr>
          <w:rFonts w:hint="eastAsia"/>
          <w:b/>
          <w:color w:val="000000" w:themeColor="text1"/>
        </w:rPr>
        <w:t>高齡教育中程發展計畫</w:t>
      </w:r>
      <w:r w:rsidR="007F23C7" w:rsidRPr="00D41D30">
        <w:rPr>
          <w:rFonts w:hint="eastAsia"/>
          <w:b/>
          <w:color w:val="000000" w:themeColor="text1"/>
        </w:rPr>
        <w:t>」</w:t>
      </w:r>
      <w:r w:rsidRPr="00D41D30">
        <w:rPr>
          <w:rFonts w:hint="eastAsia"/>
          <w:b/>
          <w:color w:val="000000" w:themeColor="text1"/>
        </w:rPr>
        <w:t>實施</w:t>
      </w:r>
      <w:r w:rsidR="00700695" w:rsidRPr="00D41D30">
        <w:rPr>
          <w:rFonts w:hint="eastAsia"/>
          <w:b/>
          <w:color w:val="000000" w:themeColor="text1"/>
        </w:rPr>
        <w:t>及相關機關業務協調</w:t>
      </w:r>
      <w:r w:rsidRPr="00D41D30">
        <w:rPr>
          <w:rFonts w:hint="eastAsia"/>
          <w:b/>
          <w:color w:val="000000" w:themeColor="text1"/>
        </w:rPr>
        <w:t>情形</w:t>
      </w:r>
      <w:bookmarkEnd w:id="273"/>
    </w:p>
    <w:p w:rsidR="00D33A33" w:rsidRPr="00D41D30" w:rsidRDefault="0080735F" w:rsidP="0080735F">
      <w:pPr>
        <w:pStyle w:val="3"/>
        <w:rPr>
          <w:color w:val="000000" w:themeColor="text1"/>
        </w:rPr>
      </w:pPr>
      <w:r w:rsidRPr="00D41D30">
        <w:rPr>
          <w:rFonts w:hint="eastAsia"/>
          <w:color w:val="000000" w:themeColor="text1"/>
        </w:rPr>
        <w:tab/>
      </w:r>
      <w:bookmarkStart w:id="274" w:name="_Toc27670596"/>
      <w:bookmarkStart w:id="275" w:name="_Toc30512452"/>
      <w:bookmarkStart w:id="276" w:name="_Toc30581160"/>
      <w:bookmarkStart w:id="277" w:name="_Toc32392433"/>
      <w:bookmarkStart w:id="278" w:name="_Toc32673623"/>
      <w:bookmarkStart w:id="279" w:name="_Toc32845765"/>
      <w:bookmarkStart w:id="280" w:name="_Toc32846488"/>
      <w:bookmarkStart w:id="281" w:name="_Toc32913731"/>
      <w:bookmarkStart w:id="282" w:name="_Toc32918407"/>
      <w:bookmarkStart w:id="283" w:name="_Toc33011700"/>
      <w:r w:rsidRPr="00D41D30">
        <w:rPr>
          <w:rFonts w:hint="eastAsia"/>
          <w:color w:val="000000" w:themeColor="text1"/>
        </w:rPr>
        <w:t>目標、策略主軸及行動策略方面之辦理情形</w:t>
      </w:r>
      <w:bookmarkEnd w:id="274"/>
      <w:bookmarkEnd w:id="275"/>
      <w:bookmarkEnd w:id="276"/>
      <w:bookmarkEnd w:id="277"/>
      <w:bookmarkEnd w:id="278"/>
      <w:bookmarkEnd w:id="279"/>
      <w:bookmarkEnd w:id="280"/>
      <w:bookmarkEnd w:id="281"/>
      <w:bookmarkEnd w:id="282"/>
      <w:bookmarkEnd w:id="283"/>
    </w:p>
    <w:p w:rsidR="00490E5B" w:rsidRPr="00D41D30" w:rsidRDefault="00490E5B" w:rsidP="00490E5B">
      <w:pPr>
        <w:pStyle w:val="4"/>
        <w:rPr>
          <w:color w:val="000000" w:themeColor="text1"/>
        </w:rPr>
      </w:pPr>
      <w:r w:rsidRPr="00D41D30">
        <w:rPr>
          <w:rFonts w:hint="eastAsia"/>
          <w:color w:val="000000" w:themeColor="text1"/>
        </w:rPr>
        <w:t>高齡中程發展計畫中「1-4、加強高齡教育研究與發展」目前辦理情形</w:t>
      </w:r>
    </w:p>
    <w:p w:rsidR="00490E5B" w:rsidRPr="00D41D30" w:rsidRDefault="00490E5B" w:rsidP="0034437A">
      <w:pPr>
        <w:pStyle w:val="5"/>
        <w:rPr>
          <w:color w:val="000000" w:themeColor="text1"/>
        </w:rPr>
      </w:pPr>
      <w:r w:rsidRPr="00D41D30">
        <w:rPr>
          <w:rFonts w:hint="eastAsia"/>
          <w:color w:val="000000" w:themeColor="text1"/>
        </w:rPr>
        <w:t>1-4-1建置全國高齡教育資料庫，流通高齡教育資訊</w:t>
      </w:r>
    </w:p>
    <w:p w:rsidR="00490E5B" w:rsidRPr="00D41D30" w:rsidRDefault="00490E5B" w:rsidP="0034437A">
      <w:pPr>
        <w:pStyle w:val="52"/>
        <w:ind w:leftChars="667" w:left="2269" w:firstLine="680"/>
        <w:rPr>
          <w:color w:val="000000" w:themeColor="text1"/>
        </w:rPr>
      </w:pPr>
      <w:r w:rsidRPr="00D41D30">
        <w:rPr>
          <w:rFonts w:hint="eastAsia"/>
          <w:color w:val="000000" w:themeColor="text1"/>
        </w:rPr>
        <w:t>108年為強化資料庫，委請財團法人技專校院入學測驗中心基金會辦理樂齡學習網站維運及擴充事宜，截至108年9月底，樂齡學習網瀏覽人次已達673萬9,131人次。</w:t>
      </w:r>
    </w:p>
    <w:p w:rsidR="00490E5B" w:rsidRPr="00D41D30" w:rsidRDefault="00490E5B" w:rsidP="00490E5B">
      <w:pPr>
        <w:pStyle w:val="5"/>
        <w:rPr>
          <w:color w:val="000000" w:themeColor="text1"/>
        </w:rPr>
      </w:pPr>
      <w:r w:rsidRPr="00D41D30">
        <w:rPr>
          <w:rFonts w:hint="eastAsia"/>
          <w:color w:val="000000" w:themeColor="text1"/>
        </w:rPr>
        <w:lastRenderedPageBreak/>
        <w:t>1-4-2發展高齡教育實驗方案，鼓勵高齡教育創新計畫</w:t>
      </w:r>
    </w:p>
    <w:p w:rsidR="00F23A52" w:rsidRPr="00D41D30" w:rsidRDefault="00F23A52" w:rsidP="0034437A">
      <w:pPr>
        <w:pStyle w:val="6"/>
        <w:rPr>
          <w:color w:val="000000" w:themeColor="text1"/>
        </w:rPr>
      </w:pPr>
      <w:r w:rsidRPr="00D41D30">
        <w:rPr>
          <w:rFonts w:hint="eastAsia"/>
          <w:color w:val="000000" w:themeColor="text1"/>
        </w:rPr>
        <w:t>106年委託國立中正大學</w:t>
      </w:r>
      <w:r w:rsidR="00B562C7" w:rsidRPr="00D41D30">
        <w:rPr>
          <w:rFonts w:hint="eastAsia"/>
          <w:color w:val="000000" w:themeColor="text1"/>
        </w:rPr>
        <w:t>（</w:t>
      </w:r>
      <w:r w:rsidRPr="00D41D30">
        <w:rPr>
          <w:rFonts w:hint="eastAsia"/>
          <w:color w:val="000000" w:themeColor="text1"/>
        </w:rPr>
        <w:t>總輔導團</w:t>
      </w:r>
      <w:r w:rsidR="006B5136" w:rsidRPr="00D41D30">
        <w:rPr>
          <w:rFonts w:hint="eastAsia"/>
          <w:color w:val="000000" w:themeColor="text1"/>
        </w:rPr>
        <w:t>）</w:t>
      </w:r>
      <w:r w:rsidRPr="00D41D30">
        <w:rPr>
          <w:rFonts w:hint="eastAsia"/>
          <w:color w:val="000000" w:themeColor="text1"/>
        </w:rPr>
        <w:t>發展樂齡學習核心課程規劃師培訓計畫，全國各縣市分區分場辦理，共辦理11場。</w:t>
      </w:r>
    </w:p>
    <w:p w:rsidR="00F23A52" w:rsidRPr="00D41D30" w:rsidRDefault="00F23A52" w:rsidP="00F23A52">
      <w:pPr>
        <w:pStyle w:val="6"/>
        <w:rPr>
          <w:color w:val="000000" w:themeColor="text1"/>
        </w:rPr>
      </w:pPr>
      <w:r w:rsidRPr="00D41D30">
        <w:rPr>
          <w:rFonts w:hint="eastAsia"/>
          <w:color w:val="000000" w:themeColor="text1"/>
        </w:rPr>
        <w:t>106年委託國立高雄師範大學</w:t>
      </w:r>
      <w:r w:rsidR="00B562C7" w:rsidRPr="00D41D30">
        <w:rPr>
          <w:rFonts w:hint="eastAsia"/>
          <w:color w:val="000000" w:themeColor="text1"/>
        </w:rPr>
        <w:t>（</w:t>
      </w:r>
      <w:r w:rsidRPr="00D41D30">
        <w:rPr>
          <w:rFonts w:hint="eastAsia"/>
          <w:color w:val="000000" w:themeColor="text1"/>
        </w:rPr>
        <w:t>南區輔導團</w:t>
      </w:r>
      <w:r w:rsidR="006B5136" w:rsidRPr="00D41D30">
        <w:rPr>
          <w:rFonts w:hint="eastAsia"/>
          <w:color w:val="000000" w:themeColor="text1"/>
        </w:rPr>
        <w:t>）</w:t>
      </w:r>
      <w:r w:rsidRPr="00D41D30">
        <w:rPr>
          <w:rFonts w:hint="eastAsia"/>
          <w:color w:val="000000" w:themeColor="text1"/>
        </w:rPr>
        <w:t>辦理創意教學及推廣計畫。</w:t>
      </w:r>
    </w:p>
    <w:p w:rsidR="00F23A52" w:rsidRPr="00D41D30" w:rsidRDefault="00F23A52" w:rsidP="00F23A52">
      <w:pPr>
        <w:pStyle w:val="6"/>
        <w:rPr>
          <w:color w:val="000000" w:themeColor="text1"/>
        </w:rPr>
      </w:pPr>
      <w:r w:rsidRPr="00D41D30">
        <w:rPr>
          <w:rFonts w:hint="eastAsia"/>
          <w:color w:val="000000" w:themeColor="text1"/>
        </w:rPr>
        <w:t>107年委託國立中正大學配合「樂齡拾穗」執行樂齡學習總輔導團計畫，辦理樂齡學習成果暨國際研討會，邀請亞洲及歐美國家分享與提供國內單位及從業人員其高齡教育經驗及創新觀念，出席人員中93.4%回饋表示研討會內容實用。</w:t>
      </w:r>
    </w:p>
    <w:p w:rsidR="00F23A52" w:rsidRPr="00D41D30" w:rsidRDefault="00F23A52" w:rsidP="00F23A52">
      <w:pPr>
        <w:pStyle w:val="6"/>
        <w:rPr>
          <w:color w:val="000000" w:themeColor="text1"/>
        </w:rPr>
      </w:pPr>
      <w:r w:rsidRPr="00D41D30">
        <w:rPr>
          <w:rFonts w:hint="eastAsia"/>
          <w:color w:val="000000" w:themeColor="text1"/>
        </w:rPr>
        <w:t>108年辦理「高齡教育高峰會議：迎向超高齡臺灣，建構全樂齡社會」，邀請中央相關部會業務主管、各直轄市、縣（市）政府樂齡教育承辦人員及主管、各直轄市、縣（市）政府之樂齡輔導委員、全國樂齡中心人員及樂齡大學、高齡自主學習團體相關人員等各界人士共同參與，強化各單位辦理樂齡教育的專業知能與前瞻策略。</w:t>
      </w:r>
    </w:p>
    <w:p w:rsidR="00007496" w:rsidRPr="00D41D30" w:rsidRDefault="00007496" w:rsidP="00007496">
      <w:pPr>
        <w:pStyle w:val="5"/>
        <w:rPr>
          <w:color w:val="000000" w:themeColor="text1"/>
        </w:rPr>
      </w:pPr>
      <w:r w:rsidRPr="00D41D30">
        <w:rPr>
          <w:rFonts w:hint="eastAsia"/>
          <w:color w:val="000000" w:themeColor="text1"/>
        </w:rPr>
        <w:t>1</w:t>
      </w:r>
      <w:r w:rsidRPr="00D41D30">
        <w:rPr>
          <w:color w:val="000000" w:themeColor="text1"/>
        </w:rPr>
        <w:t>-4-3</w:t>
      </w:r>
      <w:r w:rsidRPr="00D41D30">
        <w:rPr>
          <w:rFonts w:hint="eastAsia"/>
          <w:color w:val="000000" w:themeColor="text1"/>
        </w:rPr>
        <w:t>強化高齡教育相關研究，提升高齡教育政策品質</w:t>
      </w:r>
    </w:p>
    <w:p w:rsidR="00007496" w:rsidRPr="00D41D30" w:rsidRDefault="00007496" w:rsidP="00007496">
      <w:pPr>
        <w:pStyle w:val="6"/>
        <w:rPr>
          <w:color w:val="000000" w:themeColor="text1"/>
        </w:rPr>
      </w:pPr>
      <w:r w:rsidRPr="00D41D30">
        <w:rPr>
          <w:rFonts w:hint="eastAsia"/>
          <w:color w:val="000000" w:themeColor="text1"/>
        </w:rPr>
        <w:t>106年委請國立中正大學總輔導團計畫，納入「樂齡學習成效評估之研究」。</w:t>
      </w:r>
    </w:p>
    <w:p w:rsidR="00007496" w:rsidRPr="00D41D30" w:rsidRDefault="00007496" w:rsidP="00007496">
      <w:pPr>
        <w:pStyle w:val="6"/>
        <w:rPr>
          <w:color w:val="000000" w:themeColor="text1"/>
        </w:rPr>
      </w:pPr>
      <w:r w:rsidRPr="00D41D30">
        <w:rPr>
          <w:rFonts w:hint="eastAsia"/>
          <w:color w:val="000000" w:themeColor="text1"/>
        </w:rPr>
        <w:t>107年於委請國立中正大學中南區輔導團計畫，進行全國樂齡學員活躍老化核心知能表現之大數據調查。</w:t>
      </w:r>
    </w:p>
    <w:p w:rsidR="00007496" w:rsidRPr="00D41D30" w:rsidRDefault="00007496" w:rsidP="00007496">
      <w:pPr>
        <w:pStyle w:val="5"/>
        <w:rPr>
          <w:color w:val="000000" w:themeColor="text1"/>
        </w:rPr>
      </w:pPr>
      <w:r w:rsidRPr="00D41D30">
        <w:rPr>
          <w:color w:val="000000" w:themeColor="text1"/>
        </w:rPr>
        <w:t>1-4-3</w:t>
      </w:r>
      <w:r w:rsidRPr="00D41D30">
        <w:rPr>
          <w:rFonts w:hint="eastAsia"/>
          <w:color w:val="000000" w:themeColor="text1"/>
        </w:rPr>
        <w:t>鼓勵自主學習團體相關研究，提升自主學習品質</w:t>
      </w:r>
    </w:p>
    <w:p w:rsidR="00007496" w:rsidRPr="00D41D30" w:rsidRDefault="00007496" w:rsidP="00007496">
      <w:pPr>
        <w:pStyle w:val="6"/>
        <w:rPr>
          <w:color w:val="000000" w:themeColor="text1"/>
        </w:rPr>
      </w:pPr>
      <w:r w:rsidRPr="00D41D30">
        <w:rPr>
          <w:rFonts w:hint="eastAsia"/>
          <w:color w:val="000000" w:themeColor="text1"/>
        </w:rPr>
        <w:lastRenderedPageBreak/>
        <w:t>106年委請中華民國成人及終身教育學會辦理對高齡自主學習團體所在地區（偏鄉）及參與者屬性之調查分析。</w:t>
      </w:r>
    </w:p>
    <w:p w:rsidR="00007496" w:rsidRPr="00D41D30" w:rsidRDefault="00007496" w:rsidP="00007496">
      <w:pPr>
        <w:pStyle w:val="6"/>
        <w:rPr>
          <w:color w:val="000000" w:themeColor="text1"/>
        </w:rPr>
      </w:pPr>
      <w:r w:rsidRPr="00D41D30">
        <w:rPr>
          <w:rFonts w:hint="eastAsia"/>
          <w:color w:val="000000" w:themeColor="text1"/>
        </w:rPr>
        <w:t>107年「高齡自主學習團體試辦計畫」委託7縣市辦理籌組、運作團體計畫事宜，由委託縣市政府協助管考自主學習團體運作品質。</w:t>
      </w:r>
    </w:p>
    <w:p w:rsidR="00490E5B" w:rsidRPr="00D41D30" w:rsidRDefault="00007496" w:rsidP="00007496">
      <w:pPr>
        <w:pStyle w:val="6"/>
        <w:rPr>
          <w:color w:val="000000" w:themeColor="text1"/>
        </w:rPr>
      </w:pPr>
      <w:r w:rsidRPr="00D41D30">
        <w:rPr>
          <w:rFonts w:hint="eastAsia"/>
          <w:color w:val="000000" w:themeColor="text1"/>
        </w:rPr>
        <w:t>108年委請國立中正大學統籌規劃自主運作帶領人之運作機制，辦理說明會、審查、訪視、培訓、成效調查、自主團體故事專輯及成果發表會。</w:t>
      </w:r>
    </w:p>
    <w:p w:rsidR="001A4137" w:rsidRPr="00D41D30" w:rsidRDefault="001A4137" w:rsidP="001A4137">
      <w:pPr>
        <w:pStyle w:val="3"/>
        <w:rPr>
          <w:color w:val="000000" w:themeColor="text1"/>
        </w:rPr>
      </w:pPr>
      <w:bookmarkStart w:id="284" w:name="_Toc27670597"/>
      <w:bookmarkStart w:id="285" w:name="_Toc30512453"/>
      <w:bookmarkStart w:id="286" w:name="_Toc30581161"/>
      <w:bookmarkStart w:id="287" w:name="_Toc32392434"/>
      <w:bookmarkStart w:id="288" w:name="_Toc32673624"/>
      <w:bookmarkStart w:id="289" w:name="_Toc32845766"/>
      <w:bookmarkStart w:id="290" w:name="_Toc32846489"/>
      <w:bookmarkStart w:id="291" w:name="_Toc32913732"/>
      <w:bookmarkStart w:id="292" w:name="_Toc32918408"/>
      <w:bookmarkStart w:id="293" w:name="_Toc33011701"/>
      <w:r w:rsidRPr="00D41D30">
        <w:rPr>
          <w:rFonts w:hint="eastAsia"/>
          <w:color w:val="000000" w:themeColor="text1"/>
        </w:rPr>
        <w:t>計畫目標四「強化跨域資源整合，營造友善高齡環境」主軸「4.整合高齡教育資源整合，營造世代融合教育」部分</w:t>
      </w:r>
      <w:bookmarkEnd w:id="284"/>
      <w:bookmarkEnd w:id="285"/>
      <w:bookmarkEnd w:id="286"/>
      <w:bookmarkEnd w:id="287"/>
      <w:bookmarkEnd w:id="288"/>
      <w:bookmarkEnd w:id="289"/>
      <w:bookmarkEnd w:id="290"/>
      <w:bookmarkEnd w:id="291"/>
      <w:bookmarkEnd w:id="292"/>
      <w:bookmarkEnd w:id="293"/>
    </w:p>
    <w:p w:rsidR="006737BA" w:rsidRPr="00D41D30" w:rsidRDefault="006737BA" w:rsidP="006737BA">
      <w:pPr>
        <w:pStyle w:val="42"/>
        <w:ind w:leftChars="400" w:left="1361" w:firstLine="680"/>
        <w:rPr>
          <w:color w:val="000000" w:themeColor="text1"/>
        </w:rPr>
      </w:pPr>
      <w:r w:rsidRPr="00D41D30">
        <w:rPr>
          <w:rFonts w:hint="eastAsia"/>
          <w:color w:val="000000" w:themeColor="text1"/>
        </w:rPr>
        <w:t>本策略主軸係以加強跨域整合、發展多元代間教育及營造友善高齡學習環境為推動之策略重點，由</w:t>
      </w:r>
      <w:r w:rsidR="006C4562" w:rsidRPr="00D41D30">
        <w:rPr>
          <w:rFonts w:hint="eastAsia"/>
          <w:color w:val="000000" w:themeColor="text1"/>
        </w:rPr>
        <w:t>該部</w:t>
      </w:r>
      <w:r w:rsidRPr="00D41D30">
        <w:rPr>
          <w:rFonts w:hint="eastAsia"/>
          <w:color w:val="000000" w:themeColor="text1"/>
        </w:rPr>
        <w:t>結合相關部會、補助各直轄市及縣市政府辦理樂齡中心與民間團體、基金會等共同推動。</w:t>
      </w:r>
      <w:r w:rsidR="006C4562" w:rsidRPr="00D41D30">
        <w:rPr>
          <w:rFonts w:hint="eastAsia"/>
          <w:color w:val="000000" w:themeColor="text1"/>
        </w:rPr>
        <w:t>該部</w:t>
      </w:r>
      <w:r w:rsidRPr="00D41D30">
        <w:rPr>
          <w:rFonts w:hint="eastAsia"/>
          <w:color w:val="000000" w:themeColor="text1"/>
        </w:rPr>
        <w:t>結合全國樂齡中心106迄今已辦理1,306場次之代間教育相關活動。有關各部會及縣市政府執行成果說明如下：</w:t>
      </w:r>
    </w:p>
    <w:p w:rsidR="00D23A61" w:rsidRPr="00D41D30" w:rsidRDefault="00D23A61" w:rsidP="00D23A61">
      <w:pPr>
        <w:pStyle w:val="4"/>
        <w:rPr>
          <w:color w:val="000000" w:themeColor="text1"/>
        </w:rPr>
      </w:pPr>
      <w:r w:rsidRPr="00D41D30">
        <w:rPr>
          <w:rFonts w:hint="eastAsia"/>
          <w:color w:val="000000" w:themeColor="text1"/>
        </w:rPr>
        <w:t>4-1-1結合公私部門資源共同推動高齡教育活動</w:t>
      </w:r>
    </w:p>
    <w:p w:rsidR="00CB267F" w:rsidRPr="00D41D30" w:rsidRDefault="00CB267F" w:rsidP="00CB267F">
      <w:pPr>
        <w:pStyle w:val="5"/>
        <w:rPr>
          <w:color w:val="000000" w:themeColor="text1"/>
        </w:rPr>
      </w:pPr>
      <w:r w:rsidRPr="00D41D30">
        <w:rPr>
          <w:rFonts w:hint="eastAsia"/>
          <w:color w:val="000000" w:themeColor="text1"/>
        </w:rPr>
        <w:t>農委會：透過各區農漁會家政班體系，辦理農漁村高齡者教育輔導，課程內容包括健康教育、農漁村技藝學習、性別平等、農漁村社區活化活動等，2年近1萬人參與。</w:t>
      </w:r>
    </w:p>
    <w:p w:rsidR="00CB267F" w:rsidRPr="00D41D30" w:rsidRDefault="00CB267F" w:rsidP="00CB267F">
      <w:pPr>
        <w:pStyle w:val="5"/>
        <w:rPr>
          <w:color w:val="000000" w:themeColor="text1"/>
        </w:rPr>
      </w:pPr>
      <w:r w:rsidRPr="00D41D30">
        <w:rPr>
          <w:rFonts w:hint="eastAsia"/>
          <w:color w:val="000000" w:themeColor="text1"/>
        </w:rPr>
        <w:t>退輔會：結合社會資源不定期辦理適合高齡者之藝能活動、文康活動，2年辦理1萬5,059場次，各榮民服務處結合公私部門資</w:t>
      </w:r>
      <w:r w:rsidRPr="00D41D30">
        <w:rPr>
          <w:rFonts w:hint="eastAsia"/>
          <w:color w:val="000000" w:themeColor="text1"/>
        </w:rPr>
        <w:lastRenderedPageBreak/>
        <w:t>源共同推動高齡教育相關活動計309場次。</w:t>
      </w:r>
    </w:p>
    <w:p w:rsidR="00CB267F" w:rsidRPr="00D41D30" w:rsidRDefault="00CB267F" w:rsidP="00CB267F">
      <w:pPr>
        <w:pStyle w:val="5"/>
        <w:rPr>
          <w:color w:val="000000" w:themeColor="text1"/>
        </w:rPr>
      </w:pPr>
      <w:r w:rsidRPr="00D41D30">
        <w:rPr>
          <w:rFonts w:hint="eastAsia"/>
          <w:color w:val="000000" w:themeColor="text1"/>
        </w:rPr>
        <w:t>原民會：協助中高齡者使用網路健康諮詢或參與政府關懷雲，以提升相關醫療知識，及協助中高齡者參與社群網站，分享生活經驗與照片。</w:t>
      </w:r>
    </w:p>
    <w:p w:rsidR="00CB267F" w:rsidRPr="00D41D30" w:rsidRDefault="00350EB1" w:rsidP="00CB267F">
      <w:pPr>
        <w:pStyle w:val="5"/>
        <w:rPr>
          <w:color w:val="000000" w:themeColor="text1"/>
        </w:rPr>
      </w:pPr>
      <w:r w:rsidRPr="00D41D30">
        <w:rPr>
          <w:rFonts w:hint="eastAsia"/>
          <w:color w:val="000000" w:themeColor="text1"/>
        </w:rPr>
        <w:t>衛福部</w:t>
      </w:r>
      <w:r w:rsidR="00CB267F" w:rsidRPr="00D41D30">
        <w:rPr>
          <w:rFonts w:hint="eastAsia"/>
          <w:color w:val="000000" w:themeColor="text1"/>
        </w:rPr>
        <w:t>：透過補助民間團體辦理長青學苑，並鼓勵受補助團體進用具備高齡教育知能之專業人力，107至108年補助489案，計2,532班。</w:t>
      </w:r>
    </w:p>
    <w:p w:rsidR="00CB267F" w:rsidRPr="00D41D30" w:rsidRDefault="00CB267F" w:rsidP="00CB267F">
      <w:pPr>
        <w:pStyle w:val="5"/>
        <w:rPr>
          <w:color w:val="000000" w:themeColor="text1"/>
        </w:rPr>
      </w:pPr>
      <w:r w:rsidRPr="00D41D30">
        <w:rPr>
          <w:rFonts w:hint="eastAsia"/>
          <w:color w:val="000000" w:themeColor="text1"/>
        </w:rPr>
        <w:t>交通部：進行路老師培訓計畫，辦理離島、北、中、南、東初階研習5場次，進階研習6場次，合格人數420名。完成老人交通安全教育教材1式。</w:t>
      </w:r>
    </w:p>
    <w:p w:rsidR="005E7F58" w:rsidRPr="00D41D30" w:rsidRDefault="005E7F58" w:rsidP="005E7F58">
      <w:pPr>
        <w:pStyle w:val="4"/>
        <w:rPr>
          <w:color w:val="000000" w:themeColor="text1"/>
        </w:rPr>
      </w:pPr>
      <w:r w:rsidRPr="00D41D30">
        <w:rPr>
          <w:rFonts w:hint="eastAsia"/>
          <w:color w:val="000000" w:themeColor="text1"/>
        </w:rPr>
        <w:t>4-1-2結合各級學校共同推動高齡教育活動</w:t>
      </w:r>
    </w:p>
    <w:p w:rsidR="001A4137" w:rsidRPr="00D41D30" w:rsidRDefault="005E7F58" w:rsidP="00DB1A03">
      <w:pPr>
        <w:pStyle w:val="42"/>
        <w:ind w:left="1701" w:firstLine="680"/>
        <w:rPr>
          <w:color w:val="000000" w:themeColor="text1"/>
        </w:rPr>
      </w:pPr>
      <w:r w:rsidRPr="00D41D30">
        <w:rPr>
          <w:rFonts w:hint="eastAsia"/>
          <w:color w:val="000000" w:themeColor="text1"/>
        </w:rPr>
        <w:t>各直轄市及縣市政府辦理樂齡共學貢獻服務計畫，分別規劃與轄內學校合作，規劃祖孫共學相關活動，以強化樂齡教育推廣成效。如臺南市政府教育局結合社區資源，包含關懷據點、養護中心、社區發展協會等，辦理「戀戀祖孫情—電影賞析」、「祖孫愛自拍」、「歡樂祖孫嘉年華」、「祖孫夏令營」等活動。</w:t>
      </w:r>
    </w:p>
    <w:p w:rsidR="00CC1CA9" w:rsidRPr="00D41D30" w:rsidRDefault="00CC1CA9" w:rsidP="00DB1A03">
      <w:pPr>
        <w:pStyle w:val="4"/>
        <w:rPr>
          <w:color w:val="000000" w:themeColor="text1"/>
        </w:rPr>
      </w:pPr>
      <w:r w:rsidRPr="00D41D30">
        <w:rPr>
          <w:color w:val="000000" w:themeColor="text1"/>
        </w:rPr>
        <w:t>4-2-1</w:t>
      </w:r>
      <w:r w:rsidRPr="00D41D30">
        <w:rPr>
          <w:rFonts w:hint="eastAsia"/>
          <w:color w:val="000000" w:themeColor="text1"/>
        </w:rPr>
        <w:t>鼓勵發展代間教育方案</w:t>
      </w:r>
    </w:p>
    <w:p w:rsidR="00CC1CA9" w:rsidRPr="00D41D30" w:rsidRDefault="00CC1CA9" w:rsidP="00B34E6E">
      <w:pPr>
        <w:pStyle w:val="5"/>
        <w:rPr>
          <w:color w:val="000000" w:themeColor="text1"/>
        </w:rPr>
      </w:pPr>
      <w:r w:rsidRPr="00D41D30">
        <w:rPr>
          <w:rFonts w:hint="eastAsia"/>
          <w:color w:val="000000" w:themeColor="text1"/>
        </w:rPr>
        <w:t>委託國立高雄師範大學</w:t>
      </w:r>
      <w:r w:rsidR="00B562C7" w:rsidRPr="00D41D30">
        <w:rPr>
          <w:rFonts w:hint="eastAsia"/>
          <w:color w:val="000000" w:themeColor="text1"/>
        </w:rPr>
        <w:t>（</w:t>
      </w:r>
      <w:r w:rsidRPr="00D41D30">
        <w:rPr>
          <w:rFonts w:hint="eastAsia"/>
          <w:color w:val="000000" w:themeColor="text1"/>
        </w:rPr>
        <w:t>南區輔導團</w:t>
      </w:r>
      <w:r w:rsidR="006B5136" w:rsidRPr="00D41D30">
        <w:rPr>
          <w:rFonts w:hint="eastAsia"/>
          <w:color w:val="000000" w:themeColor="text1"/>
        </w:rPr>
        <w:t>）</w:t>
      </w:r>
      <w:r w:rsidRPr="00D41D30">
        <w:rPr>
          <w:rFonts w:hint="eastAsia"/>
          <w:color w:val="000000" w:themeColor="text1"/>
        </w:rPr>
        <w:t>辦理「創意教學及推廣」計畫，以生命回顧紀錄及鼓勵創意老化之教學及推廣方式，結合屏東縣霧台鄉樂齡中心之代間學習活動；另委託其續發展相關代間教育方案，進行代間教育與社區資源種子人才培訓、徵選優質代間教育活動設計方案及進行樂齡學習論壇。</w:t>
      </w:r>
      <w:r w:rsidR="006C4562" w:rsidRPr="00D41D30">
        <w:rPr>
          <w:rFonts w:hint="eastAsia"/>
          <w:color w:val="000000" w:themeColor="text1"/>
        </w:rPr>
        <w:t>該部</w:t>
      </w:r>
      <w:r w:rsidRPr="00D41D30">
        <w:rPr>
          <w:rFonts w:hint="eastAsia"/>
          <w:color w:val="000000" w:themeColor="text1"/>
        </w:rPr>
        <w:t>委請國立臺灣師範大學</w:t>
      </w:r>
      <w:r w:rsidR="00B562C7" w:rsidRPr="00D41D30">
        <w:rPr>
          <w:rFonts w:hint="eastAsia"/>
          <w:color w:val="000000" w:themeColor="text1"/>
        </w:rPr>
        <w:lastRenderedPageBreak/>
        <w:t>（</w:t>
      </w:r>
      <w:r w:rsidRPr="00D41D30">
        <w:rPr>
          <w:rFonts w:hint="eastAsia"/>
          <w:color w:val="000000" w:themeColor="text1"/>
        </w:rPr>
        <w:t>北區輔導團</w:t>
      </w:r>
      <w:r w:rsidR="006B5136" w:rsidRPr="00D41D30">
        <w:rPr>
          <w:rFonts w:hint="eastAsia"/>
          <w:color w:val="000000" w:themeColor="text1"/>
        </w:rPr>
        <w:t>）</w:t>
      </w:r>
      <w:r w:rsidRPr="00D41D30">
        <w:rPr>
          <w:rFonts w:hint="eastAsia"/>
          <w:color w:val="000000" w:themeColor="text1"/>
        </w:rPr>
        <w:t>連續2年前往連江縣辦理祖孫共學方案。</w:t>
      </w:r>
    </w:p>
    <w:p w:rsidR="00CC1CA9" w:rsidRPr="00D41D30" w:rsidRDefault="00CC1CA9" w:rsidP="00B34E6E">
      <w:pPr>
        <w:pStyle w:val="5"/>
        <w:rPr>
          <w:color w:val="000000" w:themeColor="text1"/>
        </w:rPr>
      </w:pPr>
      <w:r w:rsidRPr="00D41D30">
        <w:rPr>
          <w:rFonts w:hint="eastAsia"/>
          <w:color w:val="000000" w:themeColor="text1"/>
        </w:rPr>
        <w:t>各地方政府於樂齡中心及學校辦理創意代間教育方案活動、祖孫家年華、祖孫共學、代間教育種子教師培訓、學生世代志工服務學習等多元代間活動。</w:t>
      </w:r>
    </w:p>
    <w:p w:rsidR="00CC1CA9" w:rsidRPr="00D41D30" w:rsidRDefault="00CC1CA9" w:rsidP="00DB1A03">
      <w:pPr>
        <w:pStyle w:val="4"/>
        <w:rPr>
          <w:color w:val="000000" w:themeColor="text1"/>
        </w:rPr>
      </w:pPr>
      <w:r w:rsidRPr="00D41D30">
        <w:rPr>
          <w:color w:val="000000" w:themeColor="text1"/>
        </w:rPr>
        <w:t>4-2-2</w:t>
      </w:r>
      <w:r w:rsidRPr="00D41D30">
        <w:rPr>
          <w:rFonts w:hint="eastAsia"/>
          <w:color w:val="000000" w:themeColor="text1"/>
        </w:rPr>
        <w:t>鼓勵製播代間教育多元媒材</w:t>
      </w:r>
    </w:p>
    <w:p w:rsidR="00CC1CA9" w:rsidRPr="00D41D30" w:rsidRDefault="006C4562" w:rsidP="00A22B2A">
      <w:pPr>
        <w:pStyle w:val="5"/>
        <w:rPr>
          <w:color w:val="000000" w:themeColor="text1"/>
        </w:rPr>
      </w:pPr>
      <w:r w:rsidRPr="00D41D30">
        <w:rPr>
          <w:rFonts w:hint="eastAsia"/>
          <w:color w:val="000000" w:themeColor="text1"/>
        </w:rPr>
        <w:t>該部</w:t>
      </w:r>
      <w:r w:rsidR="00CC1CA9" w:rsidRPr="00D41D30">
        <w:rPr>
          <w:rFonts w:hint="eastAsia"/>
          <w:color w:val="000000" w:themeColor="text1"/>
        </w:rPr>
        <w:t>已出版之「樂齡學習系列教材」，其中第6冊主題為家庭代間關係、第18冊高齡者與家庭生活經營。歷年委託國立臺灣師範大學</w:t>
      </w:r>
      <w:r w:rsidR="00B562C7" w:rsidRPr="00D41D30">
        <w:rPr>
          <w:rFonts w:hint="eastAsia"/>
          <w:color w:val="000000" w:themeColor="text1"/>
        </w:rPr>
        <w:t>（</w:t>
      </w:r>
      <w:r w:rsidR="00CC1CA9" w:rsidRPr="00D41D30">
        <w:rPr>
          <w:rFonts w:hint="eastAsia"/>
          <w:color w:val="000000" w:themeColor="text1"/>
        </w:rPr>
        <w:t>北區輔導團</w:t>
      </w:r>
      <w:r w:rsidR="006B5136" w:rsidRPr="00D41D30">
        <w:rPr>
          <w:rFonts w:hint="eastAsia"/>
          <w:color w:val="000000" w:themeColor="text1"/>
        </w:rPr>
        <w:t>）</w:t>
      </w:r>
      <w:r w:rsidR="00CC1CA9" w:rsidRPr="00D41D30">
        <w:rPr>
          <w:rFonts w:hint="eastAsia"/>
          <w:color w:val="000000" w:themeColor="text1"/>
        </w:rPr>
        <w:t>製作高齡者生命教育、樂齡桌遊教學數位教材，委託國立暨南國際大學</w:t>
      </w:r>
      <w:r w:rsidR="00B562C7" w:rsidRPr="00D41D30">
        <w:rPr>
          <w:rFonts w:hint="eastAsia"/>
          <w:color w:val="000000" w:themeColor="text1"/>
        </w:rPr>
        <w:t>（</w:t>
      </w:r>
      <w:r w:rsidR="00CC1CA9" w:rsidRPr="00D41D30">
        <w:rPr>
          <w:rFonts w:hint="eastAsia"/>
          <w:color w:val="000000" w:themeColor="text1"/>
        </w:rPr>
        <w:t>中區輔導團</w:t>
      </w:r>
      <w:r w:rsidR="006B5136" w:rsidRPr="00D41D30">
        <w:rPr>
          <w:rFonts w:hint="eastAsia"/>
          <w:color w:val="000000" w:themeColor="text1"/>
        </w:rPr>
        <w:t>）</w:t>
      </w:r>
      <w:r w:rsidR="00CC1CA9" w:rsidRPr="00D41D30">
        <w:rPr>
          <w:rFonts w:hint="eastAsia"/>
          <w:color w:val="000000" w:themeColor="text1"/>
        </w:rPr>
        <w:t>製作樂齡生活繪本課程實務教學、樂齡生命故事課程教學技巧、祖孫共學代間教育方案設計等數位教材，提供多元素材的學習，均放置於教育部樂齡學習網供各界下載運用。</w:t>
      </w:r>
    </w:p>
    <w:p w:rsidR="00CC1CA9" w:rsidRPr="00D41D30" w:rsidRDefault="00CC1CA9" w:rsidP="00A22B2A">
      <w:pPr>
        <w:pStyle w:val="5"/>
        <w:rPr>
          <w:color w:val="000000" w:themeColor="text1"/>
        </w:rPr>
      </w:pPr>
      <w:r w:rsidRPr="00D41D30">
        <w:rPr>
          <w:rFonts w:hint="eastAsia"/>
          <w:color w:val="000000" w:themeColor="text1"/>
        </w:rPr>
        <w:t>各直轄市及縣市政府更自編預算製播代間教育多元媒材，如彰化縣結合國立教育電臺彰化分臺製播「疼惜家中的老寶貝」、臺中市政府教育局製播「樂齡99、銀髮新視界」、臺南市辦理「樂齡神攝手-樂齡短片徵選實施計畫」，用影片紀錄樂齡學習成果。桃園市在影音專區發布「誰讓阿婆傷腦筋」繪本動畫，帶領國小學童認識失智症，落實失智教育從小扎根。</w:t>
      </w:r>
    </w:p>
    <w:p w:rsidR="00CC1CA9" w:rsidRPr="00D41D30" w:rsidRDefault="00CC1CA9" w:rsidP="00DB1A03">
      <w:pPr>
        <w:pStyle w:val="4"/>
        <w:rPr>
          <w:color w:val="000000" w:themeColor="text1"/>
        </w:rPr>
      </w:pPr>
      <w:r w:rsidRPr="00D41D30">
        <w:rPr>
          <w:color w:val="000000" w:themeColor="text1"/>
        </w:rPr>
        <w:t>4-2-3</w:t>
      </w:r>
      <w:r w:rsidRPr="00D41D30">
        <w:rPr>
          <w:rFonts w:hint="eastAsia"/>
          <w:color w:val="000000" w:themeColor="text1"/>
        </w:rPr>
        <w:t>鼓勵辦理代間教育推廣活動</w:t>
      </w:r>
    </w:p>
    <w:p w:rsidR="00CC1CA9" w:rsidRPr="00D41D30" w:rsidRDefault="00CC1CA9" w:rsidP="004F7909">
      <w:pPr>
        <w:pStyle w:val="5"/>
        <w:rPr>
          <w:color w:val="000000" w:themeColor="text1"/>
        </w:rPr>
      </w:pPr>
      <w:r w:rsidRPr="00D41D30">
        <w:rPr>
          <w:rFonts w:hint="eastAsia"/>
          <w:color w:val="000000" w:themeColor="text1"/>
        </w:rPr>
        <w:t>全國樂齡中心配合祖父母節在各地辦理社區祖父母節各項活動，如琉球鄉樂齡中心所辦理代間教育-耆老說故事等活動，強化</w:t>
      </w:r>
      <w:r w:rsidRPr="00D41D30">
        <w:rPr>
          <w:rFonts w:hint="eastAsia"/>
          <w:color w:val="000000" w:themeColor="text1"/>
        </w:rPr>
        <w:lastRenderedPageBreak/>
        <w:t>代間教育功能。</w:t>
      </w:r>
    </w:p>
    <w:p w:rsidR="00CC1CA9" w:rsidRPr="00D41D30" w:rsidRDefault="00CC1CA9" w:rsidP="004F7909">
      <w:pPr>
        <w:pStyle w:val="5"/>
        <w:rPr>
          <w:color w:val="000000" w:themeColor="text1"/>
        </w:rPr>
      </w:pPr>
      <w:r w:rsidRPr="00D41D30">
        <w:rPr>
          <w:rFonts w:hint="eastAsia"/>
          <w:color w:val="000000" w:themeColor="text1"/>
        </w:rPr>
        <w:t>鼓勵辦理代間教育推廣活動，如連江縣結合社區發展協會共同辦理代間桌遊或傳統美食製作活動，提供代間教育更多的實踐場域，讓世代更融合；彰化縣辦理祖父母節宣導及慶祝活動「大手牽小手－代代學習趣」;新竹市、臺南市所轄樂齡中心至學校辦理代間教育推廣活動，如「戀戀祖孫情-電影賞析」、「祖孫愛自拍」、「歡樂祖孫嘉年華」、「祖孫夏令營」等活動。</w:t>
      </w:r>
    </w:p>
    <w:p w:rsidR="00CC1CA9" w:rsidRPr="00D41D30" w:rsidRDefault="00CC1CA9" w:rsidP="00DB1A03">
      <w:pPr>
        <w:pStyle w:val="4"/>
        <w:rPr>
          <w:color w:val="000000" w:themeColor="text1"/>
        </w:rPr>
      </w:pPr>
      <w:r w:rsidRPr="00D41D30">
        <w:rPr>
          <w:color w:val="000000" w:themeColor="text1"/>
        </w:rPr>
        <w:t>4-2-4</w:t>
      </w:r>
      <w:r w:rsidRPr="00D41D30">
        <w:rPr>
          <w:rFonts w:hint="eastAsia"/>
          <w:color w:val="000000" w:themeColor="text1"/>
        </w:rPr>
        <w:t>鼓勵辦理世代融合議題融入學校課程與活動</w:t>
      </w:r>
    </w:p>
    <w:p w:rsidR="00CC1CA9" w:rsidRPr="00D41D30" w:rsidRDefault="006C4562" w:rsidP="004F7909">
      <w:pPr>
        <w:pStyle w:val="52"/>
        <w:ind w:leftChars="506" w:left="1721" w:firstLine="680"/>
        <w:rPr>
          <w:color w:val="000000" w:themeColor="text1"/>
        </w:rPr>
      </w:pPr>
      <w:r w:rsidRPr="00D41D30">
        <w:rPr>
          <w:rFonts w:hint="eastAsia"/>
          <w:color w:val="000000" w:themeColor="text1"/>
        </w:rPr>
        <w:t>該部</w:t>
      </w:r>
      <w:r w:rsidR="00CC1CA9" w:rsidRPr="00D41D30">
        <w:rPr>
          <w:rFonts w:hint="eastAsia"/>
          <w:color w:val="000000" w:themeColor="text1"/>
        </w:rPr>
        <w:t>為落實長者在地學習機制，運用學校空間設置樂齡中心，108年已在154所學校成立中心，協助推動在地樂齡學習相關課程，並將世代融合議題納入學習課程，如新北市深坑區樂齡中心設於深坑國小分組及分班辦理-祖孫共學共餐代間教育課程「古早大灶-傳家的寶貝」，以促進世代之間連結。另</w:t>
      </w:r>
      <w:r w:rsidRPr="00D41D30">
        <w:rPr>
          <w:rFonts w:hint="eastAsia"/>
          <w:color w:val="000000" w:themeColor="text1"/>
        </w:rPr>
        <w:t>該部</w:t>
      </w:r>
      <w:r w:rsidR="00CC1CA9" w:rsidRPr="00D41D30">
        <w:rPr>
          <w:rFonts w:hint="eastAsia"/>
          <w:color w:val="000000" w:themeColor="text1"/>
        </w:rPr>
        <w:t>於107學年度補助15所大學、108學年度補助17所大學辦理樂齡大學活力營，強化代間共同創作及學員貢獻服務，促進代間學習。</w:t>
      </w:r>
    </w:p>
    <w:p w:rsidR="00CC1CA9" w:rsidRPr="00D41D30" w:rsidRDefault="00CC1CA9" w:rsidP="004F7909">
      <w:pPr>
        <w:pStyle w:val="4"/>
        <w:rPr>
          <w:color w:val="000000" w:themeColor="text1"/>
        </w:rPr>
      </w:pPr>
      <w:r w:rsidRPr="00D41D30">
        <w:rPr>
          <w:color w:val="000000" w:themeColor="text1"/>
        </w:rPr>
        <w:t>4-3-1</w:t>
      </w:r>
      <w:r w:rsidRPr="00D41D30">
        <w:rPr>
          <w:rFonts w:hint="eastAsia"/>
          <w:color w:val="000000" w:themeColor="text1"/>
        </w:rPr>
        <w:t>研訂高齡教育場所友善高齡學習環境指標</w:t>
      </w:r>
    </w:p>
    <w:p w:rsidR="00CC1CA9" w:rsidRPr="00D41D30" w:rsidRDefault="006C4562" w:rsidP="004F7909">
      <w:pPr>
        <w:pStyle w:val="52"/>
        <w:ind w:leftChars="500" w:left="1701" w:firstLine="680"/>
        <w:rPr>
          <w:rFonts w:hAnsi="Arial"/>
          <w:color w:val="000000" w:themeColor="text1"/>
          <w:szCs w:val="36"/>
        </w:rPr>
      </w:pPr>
      <w:r w:rsidRPr="00D41D30">
        <w:rPr>
          <w:rFonts w:hAnsi="Arial" w:hint="eastAsia"/>
          <w:color w:val="000000" w:themeColor="text1"/>
          <w:szCs w:val="36"/>
        </w:rPr>
        <w:t>該部</w:t>
      </w:r>
      <w:r w:rsidR="00CC1CA9" w:rsidRPr="00D41D30">
        <w:rPr>
          <w:rFonts w:hAnsi="Arial" w:hint="eastAsia"/>
          <w:color w:val="000000" w:themeColor="text1"/>
          <w:szCs w:val="36"/>
        </w:rPr>
        <w:t>已於106年召開「研訂高齡教育場所友善高齡學習環境指標會議」並於107年度委託國立暨南國際大學</w:t>
      </w:r>
      <w:r w:rsidR="00B562C7" w:rsidRPr="00D41D30">
        <w:rPr>
          <w:rFonts w:hAnsi="Arial" w:hint="eastAsia"/>
          <w:color w:val="000000" w:themeColor="text1"/>
          <w:szCs w:val="36"/>
        </w:rPr>
        <w:t>（</w:t>
      </w:r>
      <w:r w:rsidR="00CC1CA9" w:rsidRPr="00D41D30">
        <w:rPr>
          <w:rFonts w:hAnsi="Arial" w:hint="eastAsia"/>
          <w:color w:val="000000" w:themeColor="text1"/>
          <w:szCs w:val="36"/>
        </w:rPr>
        <w:t>中區輔導團</w:t>
      </w:r>
      <w:r w:rsidR="006B5136" w:rsidRPr="00D41D30">
        <w:rPr>
          <w:rFonts w:hAnsi="Arial" w:hint="eastAsia"/>
          <w:color w:val="000000" w:themeColor="text1"/>
          <w:szCs w:val="36"/>
        </w:rPr>
        <w:t>）</w:t>
      </w:r>
      <w:r w:rsidR="00CC1CA9" w:rsidRPr="00D41D30">
        <w:rPr>
          <w:rFonts w:hAnsi="Arial" w:hint="eastAsia"/>
          <w:color w:val="000000" w:themeColor="text1"/>
          <w:szCs w:val="36"/>
        </w:rPr>
        <w:t>研擬高齡者學習環境指標，引導樂齡中心打造適合高齡友善學習空間，後續將邀集專家學者召開會議研商。</w:t>
      </w:r>
    </w:p>
    <w:p w:rsidR="00CC1CA9" w:rsidRPr="00D41D30" w:rsidRDefault="00CC1CA9" w:rsidP="004F7909">
      <w:pPr>
        <w:pStyle w:val="4"/>
        <w:rPr>
          <w:color w:val="000000" w:themeColor="text1"/>
        </w:rPr>
      </w:pPr>
      <w:r w:rsidRPr="00D41D30">
        <w:rPr>
          <w:color w:val="000000" w:themeColor="text1"/>
        </w:rPr>
        <w:t>4-3-2</w:t>
      </w:r>
      <w:r w:rsidRPr="00D41D30">
        <w:rPr>
          <w:rFonts w:hint="eastAsia"/>
          <w:color w:val="000000" w:themeColor="text1"/>
        </w:rPr>
        <w:t>推動高齡教育場所之無障礙及友善高齡</w:t>
      </w:r>
      <w:r w:rsidRPr="00D41D30">
        <w:rPr>
          <w:rFonts w:hint="eastAsia"/>
          <w:color w:val="000000" w:themeColor="text1"/>
        </w:rPr>
        <w:lastRenderedPageBreak/>
        <w:t>學習環境</w:t>
      </w:r>
    </w:p>
    <w:p w:rsidR="00CC1CA9" w:rsidRPr="00D41D30" w:rsidRDefault="006C4562" w:rsidP="004F7909">
      <w:pPr>
        <w:pStyle w:val="52"/>
        <w:ind w:leftChars="500" w:left="1701" w:firstLine="680"/>
        <w:rPr>
          <w:rFonts w:hAnsi="Arial"/>
          <w:color w:val="000000" w:themeColor="text1"/>
          <w:szCs w:val="36"/>
        </w:rPr>
      </w:pPr>
      <w:r w:rsidRPr="00D41D30">
        <w:rPr>
          <w:rFonts w:hAnsi="Arial" w:hint="eastAsia"/>
          <w:color w:val="000000" w:themeColor="text1"/>
          <w:szCs w:val="36"/>
        </w:rPr>
        <w:t>該部</w:t>
      </w:r>
      <w:r w:rsidR="00CC1CA9" w:rsidRPr="00D41D30">
        <w:rPr>
          <w:rFonts w:hAnsi="Arial" w:hint="eastAsia"/>
          <w:color w:val="000000" w:themeColor="text1"/>
          <w:szCs w:val="36"/>
        </w:rPr>
        <w:t>於106至108年配合前瞻基礎建設之「校園社區化改造計畫」，於各縣市設置社區多元學習中心，目的係為強化友善社區民眾及高齡者之學習環境設備與空間，全面提升學校之友善空間及設備，以打造校園成為社區多元學習服務空間，提供社區民眾可學習、交流及共學的平臺。補助經費以申請推動高齡者學習課程所需之教學器材、設備及學校強化建築物安全與學習環境相關修繕費用為主，如地面必須平坦、安全扶手及設備、強化天花板燈光及各項室內友善環境空間等，迄至108年已累計補助79所。</w:t>
      </w:r>
    </w:p>
    <w:p w:rsidR="00CC1CA9" w:rsidRPr="00D41D30" w:rsidRDefault="00CC1CA9" w:rsidP="004F7909">
      <w:pPr>
        <w:pStyle w:val="4"/>
        <w:rPr>
          <w:rFonts w:hAnsi="標楷體"/>
          <w:color w:val="000000" w:themeColor="text1"/>
          <w:sz w:val="28"/>
          <w:szCs w:val="28"/>
          <w:u w:val="single"/>
        </w:rPr>
      </w:pPr>
      <w:r w:rsidRPr="00D41D30">
        <w:rPr>
          <w:rFonts w:hint="eastAsia"/>
          <w:color w:val="000000" w:themeColor="text1"/>
        </w:rPr>
        <w:t>4</w:t>
      </w:r>
      <w:r w:rsidRPr="00D41D30">
        <w:rPr>
          <w:color w:val="000000" w:themeColor="text1"/>
        </w:rPr>
        <w:t>-</w:t>
      </w:r>
      <w:r w:rsidRPr="00D41D30">
        <w:rPr>
          <w:rFonts w:hint="eastAsia"/>
          <w:color w:val="000000" w:themeColor="text1"/>
        </w:rPr>
        <w:t>3</w:t>
      </w:r>
      <w:r w:rsidRPr="00D41D30">
        <w:rPr>
          <w:color w:val="000000" w:themeColor="text1"/>
        </w:rPr>
        <w:t>-</w:t>
      </w:r>
      <w:r w:rsidRPr="00D41D30">
        <w:rPr>
          <w:rFonts w:hint="eastAsia"/>
          <w:color w:val="000000" w:themeColor="text1"/>
        </w:rPr>
        <w:t>3獎勵友善高齡學習環境之機構</w:t>
      </w:r>
    </w:p>
    <w:p w:rsidR="00CC1CA9" w:rsidRPr="00D41D30" w:rsidRDefault="00CC1CA9" w:rsidP="004F7909">
      <w:pPr>
        <w:pStyle w:val="5"/>
        <w:rPr>
          <w:color w:val="000000" w:themeColor="text1"/>
        </w:rPr>
      </w:pPr>
      <w:r w:rsidRPr="00D41D30">
        <w:rPr>
          <w:rFonts w:hint="eastAsia"/>
          <w:color w:val="000000" w:themeColor="text1"/>
        </w:rPr>
        <w:t>內政部推動新建公共建築物全面無障礙化，並由當地主管機關依轄區實際需求訂定分類、分期、分區執行計畫及期限逐步推動既有公共建築物改善無障礙設施設備。</w:t>
      </w:r>
    </w:p>
    <w:p w:rsidR="00CC1CA9" w:rsidRPr="00D41D30" w:rsidRDefault="00CC1CA9" w:rsidP="004F7909">
      <w:pPr>
        <w:pStyle w:val="5"/>
        <w:rPr>
          <w:color w:val="000000" w:themeColor="text1"/>
        </w:rPr>
      </w:pPr>
      <w:r w:rsidRPr="00D41D30">
        <w:rPr>
          <w:rFonts w:hint="eastAsia"/>
          <w:color w:val="000000" w:themeColor="text1"/>
        </w:rPr>
        <w:t>衛福部補助民間團體設置「社區照顧關懷據點」，提供關懷訪視、電話問安、餐飲服務及健康促進等社區預防照顧服務。截至108年6月30日止，已於全國設置3,619個社區照顧關懷據點，並補助其中525個據點相關設施設備費用，營造友善高齡學習環境。</w:t>
      </w:r>
    </w:p>
    <w:p w:rsidR="005E7F58" w:rsidRPr="00D41D30" w:rsidRDefault="00CC1CA9" w:rsidP="004F7909">
      <w:pPr>
        <w:pStyle w:val="5"/>
        <w:rPr>
          <w:color w:val="000000" w:themeColor="text1"/>
        </w:rPr>
      </w:pPr>
      <w:r w:rsidRPr="00D41D30">
        <w:rPr>
          <w:rFonts w:hint="eastAsia"/>
          <w:color w:val="000000" w:themeColor="text1"/>
        </w:rPr>
        <w:t>地方政府辦理相關活動及宣導，如金門縣政府衛生局辦理4場次高齡友善城市跨局處分組會議，推動高齡教育場所之無障礙及友善高齡學習環境。新竹市宣導該市終身學習機構採階段性方式逐年建置友善高</w:t>
      </w:r>
      <w:r w:rsidRPr="00D41D30">
        <w:rPr>
          <w:rFonts w:hint="eastAsia"/>
          <w:color w:val="000000" w:themeColor="text1"/>
        </w:rPr>
        <w:lastRenderedPageBreak/>
        <w:t>齡學習環境空間及設備</w:t>
      </w:r>
      <w:r w:rsidR="00B562C7" w:rsidRPr="00D41D30">
        <w:rPr>
          <w:rFonts w:hint="eastAsia"/>
          <w:color w:val="000000" w:themeColor="text1"/>
        </w:rPr>
        <w:t>（</w:t>
      </w:r>
      <w:r w:rsidRPr="00D41D30">
        <w:rPr>
          <w:rFonts w:hint="eastAsia"/>
          <w:color w:val="000000" w:themeColor="text1"/>
        </w:rPr>
        <w:t>含器具</w:t>
      </w:r>
      <w:r w:rsidR="006B5136" w:rsidRPr="00D41D30">
        <w:rPr>
          <w:rFonts w:hint="eastAsia"/>
          <w:color w:val="000000" w:themeColor="text1"/>
        </w:rPr>
        <w:t>）</w:t>
      </w:r>
      <w:r w:rsidRPr="00D41D30">
        <w:rPr>
          <w:rFonts w:hint="eastAsia"/>
          <w:color w:val="000000" w:themeColor="text1"/>
        </w:rPr>
        <w:t>。屏東縣樂齡中心設置時，即以友善高齡學習環境（如無障礙坡道）為優先考量</w:t>
      </w:r>
      <w:r w:rsidR="00DB1A03" w:rsidRPr="00D41D30">
        <w:rPr>
          <w:rFonts w:hint="eastAsia"/>
          <w:color w:val="000000" w:themeColor="text1"/>
        </w:rPr>
        <w:t>。</w:t>
      </w:r>
    </w:p>
    <w:p w:rsidR="00375489" w:rsidRPr="00D41D30" w:rsidRDefault="00375489" w:rsidP="00375489">
      <w:pPr>
        <w:pStyle w:val="3"/>
        <w:rPr>
          <w:color w:val="000000" w:themeColor="text1"/>
        </w:rPr>
      </w:pPr>
      <w:bookmarkStart w:id="294" w:name="_Toc27670598"/>
      <w:bookmarkStart w:id="295" w:name="_Toc30512454"/>
      <w:bookmarkStart w:id="296" w:name="_Toc30581162"/>
      <w:bookmarkStart w:id="297" w:name="_Toc32392435"/>
      <w:bookmarkStart w:id="298" w:name="_Toc32673625"/>
      <w:bookmarkStart w:id="299" w:name="_Toc32845767"/>
      <w:bookmarkStart w:id="300" w:name="_Toc32846490"/>
      <w:bookmarkStart w:id="301" w:name="_Toc32913733"/>
      <w:bookmarkStart w:id="302" w:name="_Toc32918409"/>
      <w:bookmarkStart w:id="303" w:name="_Toc33011702"/>
      <w:r w:rsidRPr="00D41D30">
        <w:rPr>
          <w:rFonts w:hint="eastAsia"/>
          <w:color w:val="000000" w:themeColor="text1"/>
        </w:rPr>
        <w:t>106-107年各項關鍵績效指標達成情形</w:t>
      </w:r>
      <w:bookmarkEnd w:id="294"/>
      <w:bookmarkEnd w:id="295"/>
      <w:bookmarkEnd w:id="296"/>
      <w:bookmarkEnd w:id="297"/>
      <w:bookmarkEnd w:id="298"/>
      <w:bookmarkEnd w:id="299"/>
      <w:bookmarkEnd w:id="300"/>
      <w:bookmarkEnd w:id="301"/>
      <w:bookmarkEnd w:id="302"/>
      <w:bookmarkEnd w:id="303"/>
    </w:p>
    <w:p w:rsidR="00D9700A" w:rsidRPr="00D41D30" w:rsidRDefault="00D9700A" w:rsidP="00D9700A">
      <w:pPr>
        <w:ind w:leftChars="388" w:left="1320"/>
        <w:rPr>
          <w:color w:val="000000" w:themeColor="text1"/>
        </w:rPr>
      </w:pPr>
      <w:r w:rsidRPr="00D41D30">
        <w:rPr>
          <w:rFonts w:hint="eastAsia"/>
          <w:color w:val="000000" w:themeColor="text1"/>
        </w:rPr>
        <w:t xml:space="preserve">　　於106年公布「高齡教育中程發展計畫」後，積極推動各項措施，並訂定關鍵績效指標檢核各年度執行情形，各項關鍵績效指標中之衡量標準達成情形如下表。其中僅</w:t>
      </w:r>
      <w:bookmarkStart w:id="304" w:name="_Hlk22115883"/>
      <w:r w:rsidRPr="00D41D30">
        <w:rPr>
          <w:rFonts w:hint="eastAsia"/>
          <w:color w:val="000000" w:themeColor="text1"/>
        </w:rPr>
        <w:t>成立樂齡學習社團總數</w:t>
      </w:r>
      <w:bookmarkEnd w:id="304"/>
      <w:r w:rsidRPr="00D41D30">
        <w:rPr>
          <w:rFonts w:hint="eastAsia"/>
          <w:color w:val="000000" w:themeColor="text1"/>
        </w:rPr>
        <w:t>及設置樂齡大學之累計總數</w:t>
      </w:r>
      <w:r w:rsidR="00B562C7" w:rsidRPr="00D41D30">
        <w:rPr>
          <w:rFonts w:hint="eastAsia"/>
          <w:color w:val="000000" w:themeColor="text1"/>
        </w:rPr>
        <w:t>（</w:t>
      </w:r>
      <w:r w:rsidRPr="00D41D30">
        <w:rPr>
          <w:rFonts w:hint="eastAsia"/>
          <w:color w:val="000000" w:themeColor="text1"/>
        </w:rPr>
        <w:t>所</w:t>
      </w:r>
      <w:r w:rsidR="006B5136" w:rsidRPr="00D41D30">
        <w:rPr>
          <w:rFonts w:hint="eastAsia"/>
          <w:color w:val="000000" w:themeColor="text1"/>
        </w:rPr>
        <w:t>）</w:t>
      </w:r>
      <w:r w:rsidRPr="00D41D30">
        <w:rPr>
          <w:rFonts w:hint="eastAsia"/>
          <w:color w:val="000000" w:themeColor="text1"/>
        </w:rPr>
        <w:t>2項未達標準，說明如下：</w:t>
      </w:r>
    </w:p>
    <w:p w:rsidR="00D9700A" w:rsidRPr="00D41D30" w:rsidRDefault="00D9700A" w:rsidP="00E671C1">
      <w:pPr>
        <w:pStyle w:val="4"/>
        <w:rPr>
          <w:color w:val="000000" w:themeColor="text1"/>
        </w:rPr>
      </w:pPr>
      <w:r w:rsidRPr="00D41D30">
        <w:rPr>
          <w:rFonts w:hint="eastAsia"/>
          <w:color w:val="000000" w:themeColor="text1"/>
        </w:rPr>
        <w:t>樂齡學習社團</w:t>
      </w:r>
    </w:p>
    <w:p w:rsidR="00D9700A" w:rsidRPr="00D41D30" w:rsidRDefault="00D9700A" w:rsidP="00E671C1">
      <w:pPr>
        <w:pStyle w:val="5"/>
        <w:rPr>
          <w:color w:val="000000" w:themeColor="text1"/>
        </w:rPr>
      </w:pPr>
      <w:r w:rsidRPr="00D41D30">
        <w:rPr>
          <w:rFonts w:hint="eastAsia"/>
          <w:color w:val="000000" w:themeColor="text1"/>
        </w:rPr>
        <w:t>成立樂齡學習社團均由參與過之學員共同發起，採自費方式運作，讓重複參與學習之學員可持續參與，但各項活動須自行規劃，在推動過程中，成立情形亦受人為因素</w:t>
      </w:r>
      <w:r w:rsidR="00B562C7" w:rsidRPr="00D41D30">
        <w:rPr>
          <w:rFonts w:hint="eastAsia"/>
          <w:color w:val="000000" w:themeColor="text1"/>
        </w:rPr>
        <w:t>（</w:t>
      </w:r>
      <w:r w:rsidRPr="00D41D30">
        <w:rPr>
          <w:rFonts w:hint="eastAsia"/>
          <w:color w:val="000000" w:themeColor="text1"/>
        </w:rPr>
        <w:t>如人數不足或無領導人員協助</w:t>
      </w:r>
      <w:r w:rsidR="006B5136" w:rsidRPr="00D41D30">
        <w:rPr>
          <w:rFonts w:hint="eastAsia"/>
          <w:color w:val="000000" w:themeColor="text1"/>
        </w:rPr>
        <w:t>）</w:t>
      </w:r>
      <w:r w:rsidRPr="00D41D30">
        <w:rPr>
          <w:rFonts w:hint="eastAsia"/>
          <w:color w:val="000000" w:themeColor="text1"/>
        </w:rPr>
        <w:t>影響，另</w:t>
      </w:r>
      <w:r w:rsidR="006C4562" w:rsidRPr="00D41D30">
        <w:rPr>
          <w:rFonts w:hint="eastAsia"/>
          <w:color w:val="000000" w:themeColor="text1"/>
        </w:rPr>
        <w:t>該部</w:t>
      </w:r>
      <w:r w:rsidRPr="00D41D30">
        <w:rPr>
          <w:rFonts w:hint="eastAsia"/>
          <w:color w:val="000000" w:themeColor="text1"/>
        </w:rPr>
        <w:t>自104年起將樂齡學習課程分為核心課程、自主規劃課程及貢獻服務課程，多數社團活動均自自主規劃課程發展而出</w:t>
      </w:r>
      <w:r w:rsidR="00B562C7" w:rsidRPr="00D41D30">
        <w:rPr>
          <w:rFonts w:hint="eastAsia"/>
          <w:color w:val="000000" w:themeColor="text1"/>
        </w:rPr>
        <w:t>（</w:t>
      </w:r>
      <w:r w:rsidRPr="00D41D30">
        <w:rPr>
          <w:rFonts w:hint="eastAsia"/>
          <w:color w:val="000000" w:themeColor="text1"/>
        </w:rPr>
        <w:t>如技藝性質表演</w:t>
      </w:r>
      <w:r w:rsidR="006B5136" w:rsidRPr="00D41D30">
        <w:rPr>
          <w:rFonts w:hint="eastAsia"/>
          <w:color w:val="000000" w:themeColor="text1"/>
        </w:rPr>
        <w:t>）</w:t>
      </w:r>
      <w:r w:rsidRPr="00D41D30">
        <w:rPr>
          <w:rFonts w:hint="eastAsia"/>
          <w:color w:val="000000" w:themeColor="text1"/>
        </w:rPr>
        <w:t>，惟</w:t>
      </w:r>
      <w:r w:rsidR="006C4562" w:rsidRPr="00D41D30">
        <w:rPr>
          <w:rFonts w:hint="eastAsia"/>
          <w:color w:val="000000" w:themeColor="text1"/>
        </w:rPr>
        <w:t>該部</w:t>
      </w:r>
      <w:r w:rsidRPr="00D41D30">
        <w:rPr>
          <w:rFonts w:hint="eastAsia"/>
          <w:color w:val="000000" w:themeColor="text1"/>
        </w:rPr>
        <w:t>所規範之核心課程比率較重，亦為影響社團成立數之因素。</w:t>
      </w:r>
    </w:p>
    <w:p w:rsidR="00D9700A" w:rsidRPr="00D41D30" w:rsidRDefault="006C4562" w:rsidP="006D297F">
      <w:pPr>
        <w:pStyle w:val="5"/>
        <w:rPr>
          <w:color w:val="000000" w:themeColor="text1"/>
        </w:rPr>
      </w:pPr>
      <w:r w:rsidRPr="00D41D30">
        <w:rPr>
          <w:rFonts w:hint="eastAsia"/>
          <w:color w:val="000000" w:themeColor="text1"/>
        </w:rPr>
        <w:t>該部</w:t>
      </w:r>
      <w:r w:rsidR="00D9700A" w:rsidRPr="00D41D30">
        <w:rPr>
          <w:rFonts w:hint="eastAsia"/>
          <w:color w:val="000000" w:themeColor="text1"/>
        </w:rPr>
        <w:t>樂齡中心符合偏遠地區定義者達94個鄉鎮區，占全國樂齡中心總數達25.68</w:t>
      </w:r>
      <w:r w:rsidR="00D9700A" w:rsidRPr="00D41D30">
        <w:rPr>
          <w:color w:val="000000" w:themeColor="text1"/>
        </w:rPr>
        <w:t>%</w:t>
      </w:r>
      <w:r w:rsidR="00D9700A" w:rsidRPr="00D41D30">
        <w:rPr>
          <w:rFonts w:hint="eastAsia"/>
          <w:color w:val="000000" w:themeColor="text1"/>
        </w:rPr>
        <w:t>，偏遠人口及原民地區亦較難成立學習社團。</w:t>
      </w:r>
    </w:p>
    <w:p w:rsidR="00D9700A" w:rsidRPr="00D41D30" w:rsidRDefault="00D9700A" w:rsidP="00E671C1">
      <w:pPr>
        <w:pStyle w:val="4"/>
        <w:rPr>
          <w:color w:val="000000" w:themeColor="text1"/>
        </w:rPr>
      </w:pPr>
      <w:r w:rsidRPr="00D41D30">
        <w:rPr>
          <w:rFonts w:hint="eastAsia"/>
          <w:color w:val="000000" w:themeColor="text1"/>
        </w:rPr>
        <w:t>有關樂齡大學校數未達目標值部分，106年至107年校數雖較目標值少，惟實際參與人數均逐年成長。</w:t>
      </w:r>
    </w:p>
    <w:p w:rsidR="00E671C1" w:rsidRPr="00D41D30" w:rsidRDefault="00E671C1" w:rsidP="00471512">
      <w:pPr>
        <w:pStyle w:val="a4"/>
        <w:ind w:left="697" w:hanging="697"/>
        <w:rPr>
          <w:color w:val="000000" w:themeColor="text1"/>
        </w:rPr>
      </w:pPr>
      <w:r w:rsidRPr="00D41D30">
        <w:rPr>
          <w:rFonts w:hAnsi="標楷體" w:hint="eastAsia"/>
          <w:b/>
          <w:color w:val="000000" w:themeColor="text1"/>
        </w:rPr>
        <w:lastRenderedPageBreak/>
        <w:t>各年度</w:t>
      </w:r>
      <w:r w:rsidRPr="00D41D30">
        <w:rPr>
          <w:rFonts w:hint="eastAsia"/>
          <w:b/>
          <w:color w:val="000000" w:themeColor="text1"/>
        </w:rPr>
        <w:t>關鍵</w:t>
      </w:r>
      <w:r w:rsidRPr="00D41D30">
        <w:rPr>
          <w:rFonts w:hAnsi="標楷體" w:hint="eastAsia"/>
          <w:b/>
          <w:color w:val="000000" w:themeColor="text1"/>
        </w:rPr>
        <w:t>績效指標</w:t>
      </w:r>
    </w:p>
    <w:tbl>
      <w:tblPr>
        <w:tblW w:w="57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081"/>
        <w:gridCol w:w="1411"/>
        <w:gridCol w:w="1330"/>
        <w:gridCol w:w="1330"/>
        <w:gridCol w:w="1330"/>
        <w:gridCol w:w="1474"/>
        <w:gridCol w:w="1492"/>
      </w:tblGrid>
      <w:tr w:rsidR="00D65602" w:rsidRPr="00D41D30" w:rsidTr="00CF340A">
        <w:trPr>
          <w:trHeight w:val="73"/>
          <w:tblHeader/>
          <w:jc w:val="center"/>
        </w:trPr>
        <w:tc>
          <w:tcPr>
            <w:tcW w:w="206" w:type="pct"/>
            <w:vMerge w:val="restart"/>
            <w:tcBorders>
              <w:top w:val="single" w:sz="4" w:space="0" w:color="auto"/>
              <w:left w:val="single" w:sz="4" w:space="0" w:color="auto"/>
              <w:right w:val="single" w:sz="4" w:space="0" w:color="auto"/>
            </w:tcBorders>
            <w:vAlign w:val="center"/>
            <w:hideMark/>
          </w:tcPr>
          <w:p w:rsidR="00D9700A" w:rsidRPr="00D41D30" w:rsidRDefault="00D9700A" w:rsidP="00D65602">
            <w:pPr>
              <w:adjustRightInd w:val="0"/>
              <w:snapToGrid w:val="0"/>
              <w:spacing w:line="360" w:lineRule="exact"/>
              <w:jc w:val="center"/>
              <w:rPr>
                <w:rFonts w:hAnsi="標楷體"/>
                <w:color w:val="000000" w:themeColor="text1"/>
                <w:sz w:val="26"/>
                <w:szCs w:val="26"/>
              </w:rPr>
            </w:pPr>
            <w:r w:rsidRPr="00D41D30">
              <w:rPr>
                <w:rFonts w:hAnsi="標楷體" w:hint="eastAsia"/>
                <w:b/>
                <w:color w:val="000000" w:themeColor="text1"/>
                <w:sz w:val="26"/>
                <w:szCs w:val="26"/>
              </w:rPr>
              <w:t>項次</w:t>
            </w:r>
          </w:p>
        </w:tc>
        <w:tc>
          <w:tcPr>
            <w:tcW w:w="548" w:type="pct"/>
            <w:vMerge w:val="restart"/>
            <w:tcBorders>
              <w:top w:val="single" w:sz="4" w:space="0" w:color="auto"/>
              <w:left w:val="single" w:sz="4" w:space="0" w:color="auto"/>
              <w:right w:val="single" w:sz="4" w:space="0" w:color="auto"/>
            </w:tcBorders>
            <w:vAlign w:val="center"/>
            <w:hideMark/>
          </w:tcPr>
          <w:p w:rsidR="00D9700A" w:rsidRPr="00D41D30" w:rsidRDefault="00D9700A" w:rsidP="00E10DF9">
            <w:pPr>
              <w:tabs>
                <w:tab w:val="num" w:pos="720"/>
              </w:tabs>
              <w:adjustRightInd w:val="0"/>
              <w:snapToGrid w:val="0"/>
              <w:spacing w:line="360" w:lineRule="exact"/>
              <w:jc w:val="center"/>
              <w:rPr>
                <w:rFonts w:hAnsi="標楷體"/>
                <w:bCs/>
                <w:color w:val="000000" w:themeColor="text1"/>
                <w:sz w:val="26"/>
                <w:szCs w:val="26"/>
              </w:rPr>
            </w:pPr>
            <w:r w:rsidRPr="00D41D30">
              <w:rPr>
                <w:rFonts w:hAnsi="標楷體" w:hint="eastAsia"/>
                <w:b/>
                <w:color w:val="000000" w:themeColor="text1"/>
                <w:sz w:val="26"/>
                <w:szCs w:val="26"/>
              </w:rPr>
              <w:t>關鍵績效指標</w:t>
            </w:r>
          </w:p>
        </w:tc>
        <w:tc>
          <w:tcPr>
            <w:tcW w:w="716" w:type="pct"/>
            <w:vMerge w:val="restart"/>
            <w:tcBorders>
              <w:top w:val="single" w:sz="4" w:space="0" w:color="auto"/>
              <w:left w:val="single" w:sz="4" w:space="0" w:color="auto"/>
              <w:right w:val="single" w:sz="4" w:space="0" w:color="auto"/>
            </w:tcBorders>
            <w:vAlign w:val="center"/>
            <w:hideMark/>
          </w:tcPr>
          <w:p w:rsidR="00D9700A" w:rsidRPr="00D41D30" w:rsidRDefault="00D9700A" w:rsidP="00E10DF9">
            <w:pPr>
              <w:tabs>
                <w:tab w:val="num" w:pos="720"/>
              </w:tabs>
              <w:adjustRightInd w:val="0"/>
              <w:snapToGrid w:val="0"/>
              <w:spacing w:line="360" w:lineRule="exact"/>
              <w:jc w:val="center"/>
              <w:rPr>
                <w:rFonts w:hAnsi="標楷體"/>
                <w:color w:val="000000" w:themeColor="text1"/>
                <w:sz w:val="26"/>
                <w:szCs w:val="26"/>
              </w:rPr>
            </w:pPr>
            <w:r w:rsidRPr="00D41D30">
              <w:rPr>
                <w:rFonts w:hAnsi="標楷體" w:hint="eastAsia"/>
                <w:b/>
                <w:color w:val="000000" w:themeColor="text1"/>
                <w:sz w:val="26"/>
                <w:szCs w:val="26"/>
              </w:rPr>
              <w:t>衡量標準</w:t>
            </w:r>
          </w:p>
        </w:tc>
        <w:tc>
          <w:tcPr>
            <w:tcW w:w="2773" w:type="pct"/>
            <w:gridSpan w:val="4"/>
            <w:tcBorders>
              <w:top w:val="single" w:sz="4" w:space="0" w:color="auto"/>
              <w:left w:val="single" w:sz="4" w:space="0" w:color="auto"/>
              <w:bottom w:val="single" w:sz="4" w:space="0" w:color="auto"/>
              <w:right w:val="single" w:sz="4" w:space="0" w:color="auto"/>
            </w:tcBorders>
            <w:vAlign w:val="center"/>
            <w:hideMark/>
          </w:tcPr>
          <w:p w:rsidR="00D9700A" w:rsidRPr="00D41D30" w:rsidRDefault="00D9700A" w:rsidP="00E10DF9">
            <w:pPr>
              <w:tabs>
                <w:tab w:val="num" w:pos="720"/>
              </w:tabs>
              <w:adjustRightInd w:val="0"/>
              <w:snapToGrid w:val="0"/>
              <w:spacing w:line="360" w:lineRule="exact"/>
              <w:jc w:val="center"/>
              <w:rPr>
                <w:rFonts w:hAnsi="標楷體"/>
                <w:color w:val="000000" w:themeColor="text1"/>
                <w:sz w:val="26"/>
                <w:szCs w:val="26"/>
              </w:rPr>
            </w:pPr>
            <w:r w:rsidRPr="00D41D30">
              <w:rPr>
                <w:rFonts w:hAnsi="標楷體" w:hint="eastAsia"/>
                <w:b/>
                <w:color w:val="000000" w:themeColor="text1"/>
                <w:sz w:val="26"/>
                <w:szCs w:val="26"/>
              </w:rPr>
              <w:t>各年度目標值</w:t>
            </w:r>
          </w:p>
        </w:tc>
        <w:tc>
          <w:tcPr>
            <w:tcW w:w="758" w:type="pct"/>
            <w:vMerge w:val="restart"/>
            <w:tcBorders>
              <w:top w:val="single" w:sz="4" w:space="0" w:color="auto"/>
              <w:left w:val="single" w:sz="4" w:space="0" w:color="auto"/>
              <w:right w:val="single" w:sz="4" w:space="0" w:color="auto"/>
            </w:tcBorders>
            <w:vAlign w:val="center"/>
          </w:tcPr>
          <w:p w:rsidR="00D9700A" w:rsidRPr="00D41D30" w:rsidRDefault="00D9700A" w:rsidP="00E10DF9">
            <w:pPr>
              <w:tabs>
                <w:tab w:val="num" w:pos="720"/>
              </w:tabs>
              <w:adjustRightInd w:val="0"/>
              <w:snapToGrid w:val="0"/>
              <w:spacing w:line="360" w:lineRule="exact"/>
              <w:jc w:val="center"/>
              <w:rPr>
                <w:rFonts w:hAnsi="標楷體"/>
                <w:b/>
                <w:color w:val="000000" w:themeColor="text1"/>
                <w:sz w:val="26"/>
                <w:szCs w:val="26"/>
              </w:rPr>
            </w:pPr>
            <w:r w:rsidRPr="00D41D30">
              <w:rPr>
                <w:rFonts w:hAnsi="標楷體" w:hint="eastAsia"/>
                <w:b/>
                <w:color w:val="000000" w:themeColor="text1"/>
                <w:sz w:val="26"/>
                <w:szCs w:val="26"/>
              </w:rPr>
              <w:t>備註</w:t>
            </w:r>
          </w:p>
        </w:tc>
      </w:tr>
      <w:tr w:rsidR="00D65602" w:rsidRPr="00D41D30" w:rsidTr="00CF340A">
        <w:trPr>
          <w:trHeight w:val="73"/>
          <w:tblHeader/>
          <w:jc w:val="center"/>
        </w:trPr>
        <w:tc>
          <w:tcPr>
            <w:tcW w:w="206" w:type="pct"/>
            <w:vMerge/>
            <w:tcBorders>
              <w:left w:val="single" w:sz="4" w:space="0" w:color="auto"/>
              <w:bottom w:val="single" w:sz="4" w:space="0" w:color="auto"/>
              <w:right w:val="single" w:sz="4" w:space="0" w:color="auto"/>
            </w:tcBorders>
            <w:vAlign w:val="center"/>
          </w:tcPr>
          <w:p w:rsidR="00D9700A" w:rsidRPr="00D41D30" w:rsidRDefault="00D9700A" w:rsidP="00D65602">
            <w:pPr>
              <w:adjustRightInd w:val="0"/>
              <w:snapToGrid w:val="0"/>
              <w:spacing w:line="360" w:lineRule="exact"/>
              <w:jc w:val="center"/>
              <w:rPr>
                <w:rFonts w:hAnsi="標楷體"/>
                <w:b/>
                <w:color w:val="000000" w:themeColor="text1"/>
                <w:sz w:val="24"/>
                <w:szCs w:val="24"/>
              </w:rPr>
            </w:pPr>
          </w:p>
        </w:tc>
        <w:tc>
          <w:tcPr>
            <w:tcW w:w="548" w:type="pct"/>
            <w:vMerge/>
            <w:tcBorders>
              <w:left w:val="single" w:sz="4" w:space="0" w:color="auto"/>
              <w:bottom w:val="single" w:sz="4" w:space="0" w:color="auto"/>
              <w:right w:val="single" w:sz="4" w:space="0" w:color="auto"/>
            </w:tcBorders>
            <w:vAlign w:val="center"/>
          </w:tcPr>
          <w:p w:rsidR="00D9700A" w:rsidRPr="00D41D30" w:rsidRDefault="00D9700A" w:rsidP="00E10DF9">
            <w:pPr>
              <w:tabs>
                <w:tab w:val="num" w:pos="720"/>
              </w:tabs>
              <w:adjustRightInd w:val="0"/>
              <w:snapToGrid w:val="0"/>
              <w:spacing w:line="360" w:lineRule="exact"/>
              <w:rPr>
                <w:rFonts w:hAnsi="標楷體"/>
                <w:b/>
                <w:color w:val="000000" w:themeColor="text1"/>
                <w:sz w:val="24"/>
                <w:szCs w:val="24"/>
              </w:rPr>
            </w:pPr>
          </w:p>
        </w:tc>
        <w:tc>
          <w:tcPr>
            <w:tcW w:w="716" w:type="pct"/>
            <w:vMerge/>
            <w:tcBorders>
              <w:left w:val="single" w:sz="4" w:space="0" w:color="auto"/>
              <w:bottom w:val="single" w:sz="4" w:space="0" w:color="auto"/>
              <w:right w:val="single" w:sz="4" w:space="0" w:color="auto"/>
            </w:tcBorders>
            <w:vAlign w:val="center"/>
          </w:tcPr>
          <w:p w:rsidR="00D9700A" w:rsidRPr="00D41D30" w:rsidRDefault="00D9700A" w:rsidP="00E10DF9">
            <w:pPr>
              <w:tabs>
                <w:tab w:val="num" w:pos="720"/>
              </w:tabs>
              <w:adjustRightInd w:val="0"/>
              <w:snapToGrid w:val="0"/>
              <w:spacing w:line="360" w:lineRule="exact"/>
              <w:rPr>
                <w:rFonts w:hAnsi="標楷體"/>
                <w:b/>
                <w:color w:val="000000" w:themeColor="text1"/>
                <w:sz w:val="24"/>
                <w:szCs w:val="24"/>
              </w:rPr>
            </w:pPr>
          </w:p>
        </w:tc>
        <w:tc>
          <w:tcPr>
            <w:tcW w:w="675" w:type="pct"/>
            <w:tcBorders>
              <w:top w:val="single" w:sz="4" w:space="0" w:color="auto"/>
              <w:left w:val="single" w:sz="4" w:space="0" w:color="auto"/>
              <w:bottom w:val="single" w:sz="4" w:space="0" w:color="auto"/>
              <w:right w:val="single" w:sz="4" w:space="0" w:color="auto"/>
            </w:tcBorders>
            <w:vAlign w:val="center"/>
          </w:tcPr>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106</w:t>
            </w:r>
          </w:p>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目標值</w:t>
            </w:r>
          </w:p>
        </w:tc>
        <w:tc>
          <w:tcPr>
            <w:tcW w:w="675" w:type="pct"/>
            <w:tcBorders>
              <w:top w:val="single" w:sz="4" w:space="0" w:color="auto"/>
              <w:left w:val="single" w:sz="4" w:space="0" w:color="auto"/>
              <w:bottom w:val="single" w:sz="4" w:space="0" w:color="auto"/>
              <w:right w:val="single" w:sz="4" w:space="0" w:color="auto"/>
            </w:tcBorders>
            <w:vAlign w:val="center"/>
          </w:tcPr>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106</w:t>
            </w:r>
          </w:p>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達成值</w:t>
            </w:r>
          </w:p>
        </w:tc>
        <w:tc>
          <w:tcPr>
            <w:tcW w:w="675" w:type="pct"/>
            <w:tcBorders>
              <w:top w:val="single" w:sz="4" w:space="0" w:color="auto"/>
              <w:left w:val="single" w:sz="4" w:space="0" w:color="auto"/>
              <w:bottom w:val="single" w:sz="4" w:space="0" w:color="auto"/>
              <w:right w:val="single" w:sz="4" w:space="0" w:color="auto"/>
            </w:tcBorders>
            <w:vAlign w:val="center"/>
          </w:tcPr>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107</w:t>
            </w:r>
          </w:p>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目標值</w:t>
            </w:r>
          </w:p>
        </w:tc>
        <w:tc>
          <w:tcPr>
            <w:tcW w:w="748" w:type="pct"/>
            <w:tcBorders>
              <w:top w:val="single" w:sz="4" w:space="0" w:color="auto"/>
              <w:left w:val="single" w:sz="4" w:space="0" w:color="auto"/>
              <w:bottom w:val="single" w:sz="4" w:space="0" w:color="auto"/>
              <w:right w:val="single" w:sz="4" w:space="0" w:color="auto"/>
            </w:tcBorders>
            <w:vAlign w:val="center"/>
          </w:tcPr>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107</w:t>
            </w:r>
          </w:p>
          <w:p w:rsidR="00D9700A" w:rsidRPr="00D41D30" w:rsidRDefault="00D9700A" w:rsidP="00E10DF9">
            <w:pPr>
              <w:tabs>
                <w:tab w:val="num" w:pos="720"/>
              </w:tabs>
              <w:adjustRightInd w:val="0"/>
              <w:snapToGrid w:val="0"/>
              <w:spacing w:line="360" w:lineRule="exact"/>
              <w:jc w:val="center"/>
              <w:rPr>
                <w:rFonts w:hAnsi="標楷體"/>
                <w:b/>
                <w:color w:val="000000" w:themeColor="text1"/>
                <w:sz w:val="24"/>
                <w:szCs w:val="24"/>
              </w:rPr>
            </w:pPr>
            <w:r w:rsidRPr="00D41D30">
              <w:rPr>
                <w:rFonts w:hAnsi="標楷體" w:hint="eastAsia"/>
                <w:b/>
                <w:color w:val="000000" w:themeColor="text1"/>
                <w:sz w:val="24"/>
                <w:szCs w:val="24"/>
              </w:rPr>
              <w:t>達成值</w:t>
            </w:r>
          </w:p>
        </w:tc>
        <w:tc>
          <w:tcPr>
            <w:tcW w:w="758" w:type="pct"/>
            <w:vMerge/>
            <w:tcBorders>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line="360" w:lineRule="exact"/>
              <w:jc w:val="center"/>
              <w:rPr>
                <w:rFonts w:hAnsi="標楷體"/>
                <w:color w:val="000000" w:themeColor="text1"/>
                <w:sz w:val="24"/>
                <w:szCs w:val="24"/>
              </w:rPr>
            </w:pPr>
          </w:p>
        </w:tc>
      </w:tr>
      <w:tr w:rsidR="00D65602" w:rsidRPr="00D41D30" w:rsidTr="00CF340A">
        <w:trPr>
          <w:trHeight w:val="361"/>
          <w:jc w:val="center"/>
        </w:trPr>
        <w:tc>
          <w:tcPr>
            <w:tcW w:w="206" w:type="pct"/>
            <w:vMerge w:val="restart"/>
            <w:tcBorders>
              <w:top w:val="single" w:sz="4" w:space="0" w:color="auto"/>
              <w:left w:val="single" w:sz="4" w:space="0" w:color="auto"/>
              <w:right w:val="single" w:sz="4" w:space="0" w:color="auto"/>
            </w:tcBorders>
            <w:hideMark/>
          </w:tcPr>
          <w:p w:rsidR="00D9700A" w:rsidRPr="00D41D30" w:rsidRDefault="00D9700A" w:rsidP="00D65602">
            <w:pPr>
              <w:adjustRightInd w:val="0"/>
              <w:snapToGrid w:val="0"/>
              <w:spacing w:line="360" w:lineRule="exact"/>
              <w:jc w:val="center"/>
              <w:rPr>
                <w:rFonts w:hAnsi="標楷體"/>
                <w:color w:val="000000" w:themeColor="text1"/>
                <w:sz w:val="24"/>
                <w:szCs w:val="24"/>
              </w:rPr>
            </w:pPr>
            <w:r w:rsidRPr="00D41D30">
              <w:rPr>
                <w:rFonts w:hAnsi="標楷體" w:hint="eastAsia"/>
                <w:color w:val="000000" w:themeColor="text1"/>
                <w:sz w:val="24"/>
                <w:szCs w:val="24"/>
              </w:rPr>
              <w:t>1</w:t>
            </w:r>
          </w:p>
        </w:tc>
        <w:tc>
          <w:tcPr>
            <w:tcW w:w="548" w:type="pct"/>
            <w:vMerge w:val="restart"/>
            <w:tcBorders>
              <w:top w:val="single" w:sz="4" w:space="0" w:color="auto"/>
              <w:left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普設高齡學習場所，提供高齡學習機會</w:t>
            </w:r>
          </w:p>
        </w:tc>
        <w:tc>
          <w:tcPr>
            <w:tcW w:w="71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color w:val="000000" w:themeColor="text1"/>
                <w:sz w:val="24"/>
                <w:szCs w:val="24"/>
              </w:rPr>
              <w:t>全國各鄉鎮市區設置樂齡中心之累計比率</w:t>
            </w:r>
          </w:p>
        </w:tc>
        <w:tc>
          <w:tcPr>
            <w:tcW w:w="675" w:type="pct"/>
            <w:tcBorders>
              <w:top w:val="single" w:sz="4" w:space="0" w:color="auto"/>
              <w:left w:val="single" w:sz="4" w:space="0" w:color="auto"/>
              <w:bottom w:val="single" w:sz="4" w:space="0" w:color="auto"/>
              <w:right w:val="single" w:sz="4" w:space="0" w:color="auto"/>
            </w:tcBorders>
            <w:hideMark/>
          </w:tcPr>
          <w:p w:rsidR="00D9700A" w:rsidRPr="00D41D30" w:rsidRDefault="00D9700A" w:rsidP="001606EE">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94%</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1606EE">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97%</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1606EE">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96%</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1606EE">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98%</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1606EE">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color w:val="000000" w:themeColor="text1"/>
                <w:sz w:val="24"/>
                <w:szCs w:val="24"/>
              </w:rPr>
              <w:t>達標</w:t>
            </w:r>
          </w:p>
        </w:tc>
      </w:tr>
      <w:tr w:rsidR="00D65602" w:rsidRPr="00D41D30" w:rsidTr="00CF340A">
        <w:trPr>
          <w:trHeight w:val="73"/>
          <w:jc w:val="center"/>
        </w:trPr>
        <w:tc>
          <w:tcPr>
            <w:tcW w:w="206" w:type="pct"/>
            <w:vMerge/>
            <w:tcBorders>
              <w:left w:val="single" w:sz="4" w:space="0" w:color="auto"/>
              <w:right w:val="single" w:sz="4" w:space="0" w:color="auto"/>
            </w:tcBorders>
            <w:hideMark/>
          </w:tcPr>
          <w:p w:rsidR="00D9700A" w:rsidRPr="00D41D30" w:rsidRDefault="00D9700A" w:rsidP="00D65602">
            <w:pPr>
              <w:adjustRightInd w:val="0"/>
              <w:snapToGrid w:val="0"/>
              <w:spacing w:line="360" w:lineRule="exact"/>
              <w:jc w:val="center"/>
              <w:rPr>
                <w:rFonts w:hAnsi="標楷體"/>
                <w:color w:val="000000" w:themeColor="text1"/>
                <w:sz w:val="24"/>
                <w:szCs w:val="24"/>
              </w:rPr>
            </w:pPr>
          </w:p>
        </w:tc>
        <w:tc>
          <w:tcPr>
            <w:tcW w:w="548" w:type="pct"/>
            <w:vMerge/>
            <w:tcBorders>
              <w:left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p>
        </w:tc>
        <w:tc>
          <w:tcPr>
            <w:tcW w:w="71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color w:val="000000" w:themeColor="text1"/>
                <w:sz w:val="24"/>
                <w:szCs w:val="24"/>
              </w:rPr>
              <w:t>拓展樂齡學習村里之累計總數</w:t>
            </w:r>
          </w:p>
        </w:tc>
        <w:tc>
          <w:tcPr>
            <w:tcW w:w="675"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1,750個</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2,847個</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1,800個</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2,8</w:t>
            </w:r>
            <w:r w:rsidRPr="00D41D30">
              <w:rPr>
                <w:rFonts w:hAnsi="標楷體"/>
                <w:color w:val="000000" w:themeColor="text1"/>
                <w:sz w:val="24"/>
                <w:szCs w:val="24"/>
              </w:rPr>
              <w:t>5</w:t>
            </w:r>
            <w:r w:rsidRPr="00D41D30">
              <w:rPr>
                <w:rFonts w:hAnsi="標楷體" w:hint="eastAsia"/>
                <w:color w:val="000000" w:themeColor="text1"/>
                <w:sz w:val="24"/>
                <w:szCs w:val="24"/>
              </w:rPr>
              <w:t>7個</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r w:rsidR="00D65602" w:rsidRPr="00D41D30" w:rsidTr="00CF340A">
        <w:trPr>
          <w:trHeight w:val="100"/>
          <w:jc w:val="center"/>
        </w:trPr>
        <w:tc>
          <w:tcPr>
            <w:tcW w:w="206" w:type="pct"/>
            <w:vMerge/>
            <w:tcBorders>
              <w:left w:val="single" w:sz="4" w:space="0" w:color="auto"/>
              <w:bottom w:val="single" w:sz="4" w:space="0" w:color="auto"/>
              <w:right w:val="single" w:sz="4" w:space="0" w:color="auto"/>
            </w:tcBorders>
          </w:tcPr>
          <w:p w:rsidR="00D9700A" w:rsidRPr="00D41D30" w:rsidRDefault="00D9700A" w:rsidP="00D65602">
            <w:pPr>
              <w:adjustRightInd w:val="0"/>
              <w:snapToGrid w:val="0"/>
              <w:spacing w:line="360" w:lineRule="exact"/>
              <w:jc w:val="center"/>
              <w:rPr>
                <w:rFonts w:hAnsi="標楷體"/>
                <w:color w:val="000000" w:themeColor="text1"/>
                <w:sz w:val="24"/>
                <w:szCs w:val="24"/>
              </w:rPr>
            </w:pPr>
          </w:p>
        </w:tc>
        <w:tc>
          <w:tcPr>
            <w:tcW w:w="548" w:type="pct"/>
            <w:vMerge/>
            <w:tcBorders>
              <w:left w:val="single" w:sz="4" w:space="0" w:color="auto"/>
              <w:bottom w:val="single" w:sz="4" w:space="0" w:color="auto"/>
              <w:right w:val="single" w:sz="4" w:space="0" w:color="auto"/>
            </w:tcBorders>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p>
        </w:tc>
        <w:tc>
          <w:tcPr>
            <w:tcW w:w="716" w:type="pct"/>
            <w:tcBorders>
              <w:top w:val="single" w:sz="4" w:space="0" w:color="auto"/>
              <w:left w:val="single" w:sz="4" w:space="0" w:color="auto"/>
              <w:bottom w:val="single" w:sz="4" w:space="0" w:color="auto"/>
              <w:right w:val="single" w:sz="4" w:space="0" w:color="auto"/>
            </w:tcBorders>
          </w:tcPr>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color w:val="000000" w:themeColor="text1"/>
                <w:sz w:val="24"/>
                <w:szCs w:val="24"/>
              </w:rPr>
              <w:t>成立</w:t>
            </w:r>
            <w:r w:rsidRPr="00D41D30">
              <w:rPr>
                <w:rFonts w:hAnsi="標楷體"/>
                <w:color w:val="000000" w:themeColor="text1"/>
                <w:sz w:val="24"/>
                <w:szCs w:val="24"/>
              </w:rPr>
              <w:t>樂齡</w:t>
            </w:r>
            <w:r w:rsidRPr="00D41D30">
              <w:rPr>
                <w:rFonts w:hAnsi="標楷體" w:hint="eastAsia"/>
                <w:color w:val="000000" w:themeColor="text1"/>
                <w:sz w:val="24"/>
                <w:szCs w:val="24"/>
              </w:rPr>
              <w:t>學習</w:t>
            </w:r>
            <w:r w:rsidRPr="00D41D30">
              <w:rPr>
                <w:rFonts w:hAnsi="標楷體"/>
                <w:color w:val="000000" w:themeColor="text1"/>
                <w:sz w:val="24"/>
                <w:szCs w:val="24"/>
              </w:rPr>
              <w:t>社團</w:t>
            </w:r>
            <w:r w:rsidRPr="00D41D30">
              <w:rPr>
                <w:rFonts w:hAnsi="標楷體" w:hint="eastAsia"/>
                <w:color w:val="000000" w:themeColor="text1"/>
                <w:sz w:val="24"/>
                <w:szCs w:val="24"/>
              </w:rPr>
              <w:t>總數</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1,550個</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112個</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1,600個</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314個</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未達標</w:t>
            </w:r>
          </w:p>
        </w:tc>
      </w:tr>
      <w:tr w:rsidR="00D65602" w:rsidRPr="00D41D30" w:rsidTr="00CF340A">
        <w:trPr>
          <w:trHeight w:val="73"/>
          <w:jc w:val="center"/>
        </w:trPr>
        <w:tc>
          <w:tcPr>
            <w:tcW w:w="20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D65602">
            <w:pPr>
              <w:adjustRightInd w:val="0"/>
              <w:snapToGrid w:val="0"/>
              <w:spacing w:line="360" w:lineRule="exact"/>
              <w:jc w:val="center"/>
              <w:rPr>
                <w:rFonts w:hAnsi="標楷體"/>
                <w:color w:val="000000" w:themeColor="text1"/>
                <w:sz w:val="24"/>
                <w:szCs w:val="24"/>
              </w:rPr>
            </w:pPr>
            <w:r w:rsidRPr="00D41D30">
              <w:rPr>
                <w:rFonts w:hAnsi="標楷體" w:hint="eastAsia"/>
                <w:color w:val="000000" w:themeColor="text1"/>
                <w:sz w:val="24"/>
                <w:szCs w:val="24"/>
              </w:rPr>
              <w:t>2</w:t>
            </w:r>
          </w:p>
        </w:tc>
        <w:tc>
          <w:tcPr>
            <w:tcW w:w="548"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鼓勵大專校院提供高齡學習機會</w:t>
            </w:r>
          </w:p>
        </w:tc>
        <w:tc>
          <w:tcPr>
            <w:tcW w:w="71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設置樂齡大學之累計總數</w:t>
            </w:r>
            <w:r w:rsidR="00B562C7" w:rsidRPr="00D41D30">
              <w:rPr>
                <w:rFonts w:hAnsi="標楷體" w:hint="eastAsia"/>
                <w:bCs/>
                <w:color w:val="000000" w:themeColor="text1"/>
                <w:sz w:val="24"/>
                <w:szCs w:val="24"/>
              </w:rPr>
              <w:t>（</w:t>
            </w:r>
            <w:r w:rsidRPr="00D41D30">
              <w:rPr>
                <w:rFonts w:hAnsi="標楷體" w:hint="eastAsia"/>
                <w:bCs/>
                <w:color w:val="000000" w:themeColor="text1"/>
                <w:sz w:val="24"/>
                <w:szCs w:val="24"/>
              </w:rPr>
              <w:t>所</w:t>
            </w:r>
            <w:r w:rsidR="006B5136" w:rsidRPr="00D41D30">
              <w:rPr>
                <w:rFonts w:hAnsi="標楷體" w:hint="eastAsia"/>
                <w:bCs/>
                <w:color w:val="000000" w:themeColor="text1"/>
                <w:sz w:val="24"/>
                <w:szCs w:val="24"/>
              </w:rPr>
              <w:t>）</w:t>
            </w:r>
          </w:p>
        </w:tc>
        <w:tc>
          <w:tcPr>
            <w:tcW w:w="675" w:type="pct"/>
            <w:tcBorders>
              <w:top w:val="single" w:sz="4" w:space="0" w:color="auto"/>
              <w:left w:val="single" w:sz="4" w:space="0" w:color="auto"/>
              <w:bottom w:val="single" w:sz="4" w:space="0" w:color="auto"/>
              <w:right w:val="single" w:sz="4" w:space="0" w:color="auto"/>
            </w:tcBorders>
            <w:hideMark/>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110所</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06</w:t>
            </w:r>
            <w:r w:rsidRPr="00D41D30">
              <w:rPr>
                <w:rFonts w:hAnsi="標楷體" w:hint="eastAsia"/>
                <w:color w:val="000000" w:themeColor="text1"/>
                <w:sz w:val="24"/>
                <w:szCs w:val="24"/>
              </w:rPr>
              <w:t>所</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115所</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107所</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106年參與人數4</w:t>
            </w:r>
            <w:r w:rsidRPr="00D41D30">
              <w:rPr>
                <w:rFonts w:hAnsi="標楷體"/>
                <w:bCs/>
                <w:color w:val="000000" w:themeColor="text1"/>
                <w:sz w:val="24"/>
                <w:szCs w:val="24"/>
              </w:rPr>
              <w:t>,</w:t>
            </w:r>
            <w:r w:rsidRPr="00D41D30">
              <w:rPr>
                <w:rFonts w:hAnsi="標楷體" w:hint="eastAsia"/>
                <w:bCs/>
                <w:color w:val="000000" w:themeColor="text1"/>
                <w:sz w:val="24"/>
                <w:szCs w:val="24"/>
              </w:rPr>
              <w:t>235人，107年參與人數4</w:t>
            </w:r>
            <w:r w:rsidRPr="00D41D30">
              <w:rPr>
                <w:rFonts w:hAnsi="標楷體"/>
                <w:bCs/>
                <w:color w:val="000000" w:themeColor="text1"/>
                <w:sz w:val="24"/>
                <w:szCs w:val="24"/>
              </w:rPr>
              <w:t>,</w:t>
            </w:r>
            <w:r w:rsidRPr="00D41D30">
              <w:rPr>
                <w:rFonts w:hAnsi="標楷體" w:hint="eastAsia"/>
                <w:bCs/>
                <w:color w:val="000000" w:themeColor="text1"/>
                <w:sz w:val="24"/>
                <w:szCs w:val="24"/>
              </w:rPr>
              <w:t>415人。</w:t>
            </w:r>
          </w:p>
        </w:tc>
      </w:tr>
      <w:tr w:rsidR="00D65602" w:rsidRPr="00D41D30" w:rsidTr="00CF340A">
        <w:trPr>
          <w:trHeight w:val="1864"/>
          <w:jc w:val="center"/>
        </w:trPr>
        <w:tc>
          <w:tcPr>
            <w:tcW w:w="206" w:type="pct"/>
            <w:vMerge w:val="restart"/>
            <w:tcBorders>
              <w:top w:val="single" w:sz="4" w:space="0" w:color="auto"/>
              <w:left w:val="single" w:sz="4" w:space="0" w:color="auto"/>
              <w:right w:val="single" w:sz="4" w:space="0" w:color="auto"/>
            </w:tcBorders>
            <w:hideMark/>
          </w:tcPr>
          <w:p w:rsidR="00D9700A" w:rsidRPr="00D41D30" w:rsidRDefault="00D9700A" w:rsidP="00D65602">
            <w:pPr>
              <w:adjustRightInd w:val="0"/>
              <w:snapToGrid w:val="0"/>
              <w:spacing w:line="360" w:lineRule="exact"/>
              <w:jc w:val="center"/>
              <w:rPr>
                <w:rFonts w:hAnsi="標楷體"/>
                <w:color w:val="000000" w:themeColor="text1"/>
                <w:sz w:val="24"/>
                <w:szCs w:val="24"/>
              </w:rPr>
            </w:pPr>
            <w:r w:rsidRPr="00D41D30">
              <w:rPr>
                <w:rFonts w:hAnsi="標楷體" w:hint="eastAsia"/>
                <w:color w:val="000000" w:themeColor="text1"/>
                <w:sz w:val="24"/>
                <w:szCs w:val="24"/>
              </w:rPr>
              <w:t>3</w:t>
            </w:r>
          </w:p>
        </w:tc>
        <w:tc>
          <w:tcPr>
            <w:tcW w:w="548" w:type="pct"/>
            <w:vMerge w:val="restart"/>
            <w:tcBorders>
              <w:top w:val="single" w:sz="4" w:space="0" w:color="auto"/>
              <w:left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培育高齡教育人才，強化專業人力素質，提升學習滿意度</w:t>
            </w:r>
          </w:p>
        </w:tc>
        <w:tc>
          <w:tcPr>
            <w:tcW w:w="71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當年度通過高齡教育專業人員培訓總人數</w:t>
            </w:r>
          </w:p>
        </w:tc>
        <w:tc>
          <w:tcPr>
            <w:tcW w:w="675" w:type="pct"/>
            <w:tcBorders>
              <w:top w:val="single" w:sz="4" w:space="0" w:color="auto"/>
              <w:left w:val="single" w:sz="4" w:space="0" w:color="auto"/>
              <w:bottom w:val="single" w:sz="4" w:space="0" w:color="auto"/>
              <w:right w:val="single" w:sz="4" w:space="0" w:color="auto"/>
            </w:tcBorders>
            <w:hideMark/>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200人</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272人</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230人</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100" w:before="457" w:line="360" w:lineRule="exact"/>
              <w:jc w:val="center"/>
              <w:rPr>
                <w:rFonts w:hAnsi="標楷體"/>
                <w:color w:val="000000" w:themeColor="text1"/>
                <w:sz w:val="24"/>
                <w:szCs w:val="24"/>
              </w:rPr>
            </w:pPr>
            <w:r w:rsidRPr="00D41D30">
              <w:rPr>
                <w:rFonts w:hAnsi="標楷體" w:hint="eastAsia"/>
                <w:color w:val="000000" w:themeColor="text1"/>
                <w:sz w:val="24"/>
                <w:szCs w:val="24"/>
              </w:rPr>
              <w:t>235人</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1.達標。</w:t>
            </w:r>
          </w:p>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2.106年及107年數據以核心課程</w:t>
            </w:r>
            <w:r w:rsidR="00334CE3" w:rsidRPr="00D41D30">
              <w:rPr>
                <w:rFonts w:hAnsi="標楷體" w:hint="eastAsia"/>
                <w:bCs/>
                <w:color w:val="000000" w:themeColor="text1"/>
                <w:sz w:val="24"/>
                <w:szCs w:val="24"/>
              </w:rPr>
              <w:t>規劃</w:t>
            </w:r>
            <w:r w:rsidRPr="00D41D30">
              <w:rPr>
                <w:rFonts w:hAnsi="標楷體" w:hint="eastAsia"/>
                <w:bCs/>
                <w:color w:val="000000" w:themeColor="text1"/>
                <w:sz w:val="24"/>
                <w:szCs w:val="24"/>
              </w:rPr>
              <w:t>師及高齡自主帶領人培訓為主</w:t>
            </w:r>
          </w:p>
        </w:tc>
      </w:tr>
      <w:tr w:rsidR="00D65602" w:rsidRPr="00D41D30" w:rsidTr="00CF340A">
        <w:trPr>
          <w:trHeight w:val="1543"/>
          <w:jc w:val="center"/>
        </w:trPr>
        <w:tc>
          <w:tcPr>
            <w:tcW w:w="206" w:type="pct"/>
            <w:vMerge/>
            <w:tcBorders>
              <w:left w:val="single" w:sz="4" w:space="0" w:color="auto"/>
              <w:bottom w:val="single" w:sz="4" w:space="0" w:color="auto"/>
              <w:right w:val="single" w:sz="4" w:space="0" w:color="auto"/>
            </w:tcBorders>
          </w:tcPr>
          <w:p w:rsidR="00D9700A" w:rsidRPr="00D41D30" w:rsidRDefault="00D9700A" w:rsidP="00D65602">
            <w:pPr>
              <w:adjustRightInd w:val="0"/>
              <w:snapToGrid w:val="0"/>
              <w:spacing w:line="360" w:lineRule="exact"/>
              <w:jc w:val="center"/>
              <w:rPr>
                <w:rFonts w:hAnsi="標楷體"/>
                <w:color w:val="000000" w:themeColor="text1"/>
                <w:sz w:val="24"/>
                <w:szCs w:val="24"/>
              </w:rPr>
            </w:pPr>
          </w:p>
        </w:tc>
        <w:tc>
          <w:tcPr>
            <w:tcW w:w="548" w:type="pct"/>
            <w:vMerge/>
            <w:tcBorders>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line="360" w:lineRule="exact"/>
              <w:rPr>
                <w:rFonts w:hAnsi="標楷體"/>
                <w:color w:val="000000" w:themeColor="text1"/>
                <w:sz w:val="24"/>
                <w:szCs w:val="24"/>
              </w:rPr>
            </w:pPr>
          </w:p>
        </w:tc>
        <w:tc>
          <w:tcPr>
            <w:tcW w:w="716" w:type="pct"/>
            <w:tcBorders>
              <w:top w:val="single" w:sz="4" w:space="0" w:color="auto"/>
              <w:left w:val="single" w:sz="4" w:space="0" w:color="auto"/>
              <w:bottom w:val="single" w:sz="4" w:space="0" w:color="auto"/>
              <w:right w:val="single" w:sz="4" w:space="0" w:color="auto"/>
            </w:tcBorders>
          </w:tcPr>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color w:val="000000" w:themeColor="text1"/>
                <w:kern w:val="0"/>
                <w:sz w:val="24"/>
                <w:szCs w:val="24"/>
              </w:rPr>
              <w:t>參與高齡教育學習滿意度比率</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300" w:before="1371" w:line="360" w:lineRule="exact"/>
              <w:jc w:val="center"/>
              <w:rPr>
                <w:rFonts w:hAnsi="標楷體"/>
                <w:color w:val="000000" w:themeColor="text1"/>
                <w:sz w:val="24"/>
                <w:szCs w:val="24"/>
              </w:rPr>
            </w:pPr>
            <w:r w:rsidRPr="00D41D30">
              <w:rPr>
                <w:rFonts w:hAnsi="標楷體" w:hint="eastAsia"/>
                <w:color w:val="000000" w:themeColor="text1"/>
                <w:sz w:val="24"/>
                <w:szCs w:val="24"/>
              </w:rPr>
              <w:t>92%</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300" w:before="1371" w:line="360" w:lineRule="exact"/>
              <w:jc w:val="center"/>
              <w:rPr>
                <w:rFonts w:hAnsi="標楷體"/>
                <w:color w:val="000000" w:themeColor="text1"/>
                <w:sz w:val="24"/>
                <w:szCs w:val="24"/>
              </w:rPr>
            </w:pPr>
            <w:r w:rsidRPr="00D41D30">
              <w:rPr>
                <w:rFonts w:hAnsi="標楷體" w:hint="eastAsia"/>
                <w:color w:val="000000" w:themeColor="text1"/>
                <w:sz w:val="24"/>
                <w:szCs w:val="24"/>
              </w:rPr>
              <w:t>92.3%</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300" w:before="1371" w:line="360" w:lineRule="exact"/>
              <w:jc w:val="center"/>
              <w:rPr>
                <w:rFonts w:hAnsi="標楷體"/>
                <w:color w:val="000000" w:themeColor="text1"/>
                <w:sz w:val="24"/>
                <w:szCs w:val="24"/>
              </w:rPr>
            </w:pPr>
            <w:r w:rsidRPr="00D41D30">
              <w:rPr>
                <w:rFonts w:hAnsi="標楷體" w:hint="eastAsia"/>
                <w:color w:val="000000" w:themeColor="text1"/>
                <w:sz w:val="24"/>
                <w:szCs w:val="24"/>
              </w:rPr>
              <w:t>93%</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300" w:before="1371" w:line="360" w:lineRule="exact"/>
              <w:jc w:val="center"/>
              <w:rPr>
                <w:rFonts w:hAnsi="標楷體"/>
                <w:color w:val="000000" w:themeColor="text1"/>
                <w:sz w:val="24"/>
                <w:szCs w:val="24"/>
              </w:rPr>
            </w:pPr>
            <w:r w:rsidRPr="00D41D30">
              <w:rPr>
                <w:rFonts w:hAnsi="標楷體" w:hint="eastAsia"/>
                <w:color w:val="000000" w:themeColor="text1"/>
                <w:sz w:val="24"/>
                <w:szCs w:val="24"/>
              </w:rPr>
              <w:t>93.4%</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color w:val="000000" w:themeColor="text1"/>
                <w:sz w:val="24"/>
                <w:szCs w:val="24"/>
              </w:rPr>
              <w:t>1.達標。</w:t>
            </w:r>
          </w:p>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color w:val="000000" w:themeColor="text1"/>
                <w:sz w:val="24"/>
                <w:szCs w:val="24"/>
              </w:rPr>
              <w:t>2.106年及107年無</w:t>
            </w:r>
            <w:r w:rsidRPr="00D41D30">
              <w:rPr>
                <w:rFonts w:hAnsi="標楷體" w:hint="eastAsia"/>
                <w:color w:val="000000" w:themeColor="text1"/>
                <w:kern w:val="0"/>
                <w:sz w:val="24"/>
                <w:szCs w:val="24"/>
              </w:rPr>
              <w:t>全國</w:t>
            </w:r>
            <w:r w:rsidRPr="00D41D30">
              <w:rPr>
                <w:rFonts w:hAnsi="標楷體" w:hint="eastAsia"/>
                <w:color w:val="000000" w:themeColor="text1"/>
                <w:sz w:val="24"/>
                <w:szCs w:val="24"/>
              </w:rPr>
              <w:t>滿意度調查，以總輔導團所辦理之全國性之研討會為依據。</w:t>
            </w:r>
          </w:p>
        </w:tc>
      </w:tr>
      <w:tr w:rsidR="00D65602" w:rsidRPr="00D41D30" w:rsidTr="00CF340A">
        <w:trPr>
          <w:trHeight w:val="1405"/>
          <w:jc w:val="center"/>
        </w:trPr>
        <w:tc>
          <w:tcPr>
            <w:tcW w:w="20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D65602">
            <w:pPr>
              <w:adjustRightInd w:val="0"/>
              <w:snapToGrid w:val="0"/>
              <w:spacing w:line="360" w:lineRule="exact"/>
              <w:jc w:val="center"/>
              <w:rPr>
                <w:rFonts w:hAnsi="標楷體"/>
                <w:color w:val="000000" w:themeColor="text1"/>
                <w:sz w:val="24"/>
                <w:szCs w:val="24"/>
              </w:rPr>
            </w:pPr>
            <w:r w:rsidRPr="00D41D30">
              <w:rPr>
                <w:rFonts w:hAnsi="標楷體" w:hint="eastAsia"/>
                <w:color w:val="000000" w:themeColor="text1"/>
                <w:sz w:val="24"/>
                <w:szCs w:val="24"/>
              </w:rPr>
              <w:t>4</w:t>
            </w:r>
          </w:p>
        </w:tc>
        <w:tc>
          <w:tcPr>
            <w:tcW w:w="548"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bCs/>
                <w:color w:val="000000" w:themeColor="text1"/>
                <w:sz w:val="24"/>
                <w:szCs w:val="24"/>
              </w:rPr>
              <w:t>活用中高齡者</w:t>
            </w:r>
            <w:r w:rsidRPr="00D41D30">
              <w:rPr>
                <w:rFonts w:hAnsi="標楷體" w:hint="eastAsia"/>
                <w:color w:val="000000" w:themeColor="text1"/>
                <w:sz w:val="24"/>
                <w:szCs w:val="24"/>
              </w:rPr>
              <w:t>人力資源，成立自主學習團體</w:t>
            </w:r>
          </w:p>
        </w:tc>
        <w:tc>
          <w:tcPr>
            <w:tcW w:w="71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bCs/>
                <w:color w:val="000000" w:themeColor="text1"/>
                <w:sz w:val="24"/>
                <w:szCs w:val="24"/>
              </w:rPr>
              <w:t>成立自主學習團體之累計總數</w:t>
            </w:r>
          </w:p>
        </w:tc>
        <w:tc>
          <w:tcPr>
            <w:tcW w:w="675" w:type="pct"/>
            <w:tcBorders>
              <w:top w:val="single" w:sz="4" w:space="0" w:color="auto"/>
              <w:left w:val="single" w:sz="4" w:space="0" w:color="auto"/>
              <w:bottom w:val="single" w:sz="4" w:space="0" w:color="auto"/>
              <w:right w:val="single" w:sz="4" w:space="0" w:color="auto"/>
            </w:tcBorders>
            <w:hideMark/>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100團</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137團</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125團</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131團</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r w:rsidR="00D65602" w:rsidRPr="00D41D30" w:rsidTr="00CF340A">
        <w:trPr>
          <w:trHeight w:val="73"/>
          <w:jc w:val="center"/>
        </w:trPr>
        <w:tc>
          <w:tcPr>
            <w:tcW w:w="20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D65602">
            <w:pPr>
              <w:adjustRightInd w:val="0"/>
              <w:snapToGrid w:val="0"/>
              <w:spacing w:line="360" w:lineRule="exact"/>
              <w:jc w:val="center"/>
              <w:rPr>
                <w:rFonts w:ascii="Iskoola Pota" w:hAnsi="Iskoola Pota" w:cs="Iskoola Pota"/>
                <w:color w:val="000000" w:themeColor="text1"/>
                <w:sz w:val="24"/>
                <w:szCs w:val="24"/>
              </w:rPr>
            </w:pPr>
            <w:r w:rsidRPr="00D41D30">
              <w:rPr>
                <w:rFonts w:hAnsi="標楷體" w:hint="eastAsia"/>
                <w:color w:val="000000" w:themeColor="text1"/>
                <w:sz w:val="24"/>
                <w:szCs w:val="24"/>
              </w:rPr>
              <w:t>5</w:t>
            </w:r>
          </w:p>
        </w:tc>
        <w:tc>
          <w:tcPr>
            <w:tcW w:w="548"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color w:val="000000" w:themeColor="text1"/>
                <w:sz w:val="24"/>
                <w:szCs w:val="24"/>
              </w:rPr>
            </w:pPr>
            <w:r w:rsidRPr="00D41D30">
              <w:rPr>
                <w:rFonts w:hAnsi="標楷體" w:hint="eastAsia"/>
                <w:color w:val="000000" w:themeColor="text1"/>
                <w:sz w:val="24"/>
                <w:szCs w:val="24"/>
              </w:rPr>
              <w:t>推動退休準備教育，協助高齡者生</w:t>
            </w:r>
            <w:r w:rsidRPr="00D41D30">
              <w:rPr>
                <w:rFonts w:hAnsi="標楷體" w:hint="eastAsia"/>
                <w:color w:val="000000" w:themeColor="text1"/>
                <w:sz w:val="24"/>
                <w:szCs w:val="24"/>
              </w:rPr>
              <w:lastRenderedPageBreak/>
              <w:t>涯規劃</w:t>
            </w:r>
          </w:p>
        </w:tc>
        <w:tc>
          <w:tcPr>
            <w:tcW w:w="716" w:type="pct"/>
            <w:tcBorders>
              <w:top w:val="single" w:sz="4" w:space="0" w:color="auto"/>
              <w:left w:val="single" w:sz="4" w:space="0" w:color="auto"/>
              <w:bottom w:val="single" w:sz="4" w:space="0" w:color="auto"/>
              <w:right w:val="single" w:sz="4" w:space="0" w:color="auto"/>
            </w:tcBorders>
            <w:hideMark/>
          </w:tcPr>
          <w:p w:rsidR="00D9700A" w:rsidRPr="00D41D30" w:rsidRDefault="00D9700A" w:rsidP="00910419">
            <w:pPr>
              <w:tabs>
                <w:tab w:val="num" w:pos="720"/>
              </w:tabs>
              <w:adjustRightInd w:val="0"/>
              <w:snapToGrid w:val="0"/>
              <w:spacing w:line="320" w:lineRule="exact"/>
              <w:rPr>
                <w:rFonts w:hAnsi="標楷體"/>
                <w:bCs/>
                <w:color w:val="000000" w:themeColor="text1"/>
                <w:sz w:val="24"/>
                <w:szCs w:val="24"/>
              </w:rPr>
            </w:pPr>
            <w:r w:rsidRPr="00D41D30">
              <w:rPr>
                <w:rFonts w:hAnsi="標楷體" w:hint="eastAsia"/>
                <w:color w:val="000000" w:themeColor="text1"/>
                <w:sz w:val="24"/>
                <w:szCs w:val="24"/>
              </w:rPr>
              <w:lastRenderedPageBreak/>
              <w:t>辦理退休前準備課程</w:t>
            </w:r>
            <w:r w:rsidRPr="00D41D30">
              <w:rPr>
                <w:rFonts w:hAnsi="標楷體" w:hint="eastAsia"/>
                <w:bCs/>
                <w:color w:val="000000" w:themeColor="text1"/>
                <w:sz w:val="24"/>
                <w:szCs w:val="24"/>
              </w:rPr>
              <w:t>累計總數</w:t>
            </w:r>
          </w:p>
        </w:tc>
        <w:tc>
          <w:tcPr>
            <w:tcW w:w="675" w:type="pct"/>
            <w:tcBorders>
              <w:top w:val="single" w:sz="4" w:space="0" w:color="auto"/>
              <w:left w:val="single" w:sz="4" w:space="0" w:color="auto"/>
              <w:bottom w:val="single" w:sz="4" w:space="0" w:color="auto"/>
              <w:right w:val="single" w:sz="4" w:space="0" w:color="auto"/>
            </w:tcBorders>
            <w:hideMark/>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30</w:t>
            </w:r>
            <w:r w:rsidRPr="00D41D30">
              <w:rPr>
                <w:rFonts w:hAnsi="標楷體" w:hint="eastAsia"/>
                <w:bCs/>
                <w:color w:val="000000" w:themeColor="text1"/>
                <w:sz w:val="24"/>
                <w:szCs w:val="24"/>
              </w:rPr>
              <w:t>門</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270場次</w:t>
            </w:r>
          </w:p>
        </w:tc>
        <w:tc>
          <w:tcPr>
            <w:tcW w:w="675"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40</w:t>
            </w:r>
            <w:r w:rsidRPr="00D41D30">
              <w:rPr>
                <w:rFonts w:hAnsi="標楷體" w:hint="eastAsia"/>
                <w:bCs/>
                <w:color w:val="000000" w:themeColor="text1"/>
                <w:sz w:val="24"/>
                <w:szCs w:val="24"/>
              </w:rPr>
              <w:t>門</w:t>
            </w:r>
          </w:p>
        </w:tc>
        <w:tc>
          <w:tcPr>
            <w:tcW w:w="74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216場次</w:t>
            </w:r>
          </w:p>
        </w:tc>
        <w:tc>
          <w:tcPr>
            <w:tcW w:w="758" w:type="pct"/>
            <w:tcBorders>
              <w:top w:val="single" w:sz="4" w:space="0" w:color="auto"/>
              <w:left w:val="single" w:sz="4" w:space="0" w:color="auto"/>
              <w:bottom w:val="single" w:sz="4" w:space="0" w:color="auto"/>
              <w:right w:val="single" w:sz="4" w:space="0" w:color="auto"/>
            </w:tcBorders>
          </w:tcPr>
          <w:p w:rsidR="00D9700A" w:rsidRPr="00D41D30" w:rsidRDefault="00D9700A" w:rsidP="00E10DF9">
            <w:pPr>
              <w:tabs>
                <w:tab w:val="num" w:pos="720"/>
              </w:tabs>
              <w:adjustRightInd w:val="0"/>
              <w:snapToGrid w:val="0"/>
              <w:spacing w:beforeLines="200" w:before="914" w:line="36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bl>
    <w:p w:rsidR="00AB5ED2" w:rsidRPr="00D41D30" w:rsidRDefault="00AB5ED2" w:rsidP="00AB5ED2">
      <w:pPr>
        <w:rPr>
          <w:color w:val="000000" w:themeColor="text1"/>
          <w:sz w:val="24"/>
          <w:szCs w:val="24"/>
        </w:rPr>
      </w:pPr>
      <w:r w:rsidRPr="00D41D30">
        <w:rPr>
          <w:rFonts w:hint="eastAsia"/>
          <w:color w:val="000000" w:themeColor="text1"/>
          <w:sz w:val="24"/>
          <w:szCs w:val="24"/>
        </w:rPr>
        <w:lastRenderedPageBreak/>
        <w:t>資料來源：教育部調卷資料</w:t>
      </w:r>
      <w:r w:rsidR="00322621" w:rsidRPr="00D41D30">
        <w:rPr>
          <w:rFonts w:hint="eastAsia"/>
          <w:color w:val="000000" w:themeColor="text1"/>
          <w:sz w:val="24"/>
          <w:szCs w:val="24"/>
        </w:rPr>
        <w:t>。</w:t>
      </w:r>
    </w:p>
    <w:p w:rsidR="00D9700A" w:rsidRPr="00D41D30" w:rsidRDefault="00D9700A" w:rsidP="00322621">
      <w:pPr>
        <w:pStyle w:val="3"/>
        <w:spacing w:beforeLines="50" w:before="228"/>
        <w:ind w:left="1360" w:hanging="680"/>
        <w:rPr>
          <w:color w:val="000000" w:themeColor="text1"/>
        </w:rPr>
      </w:pPr>
      <w:bookmarkStart w:id="305" w:name="_Toc27670599"/>
      <w:bookmarkStart w:id="306" w:name="_Toc30512455"/>
      <w:bookmarkStart w:id="307" w:name="_Toc30581163"/>
      <w:bookmarkStart w:id="308" w:name="_Toc32392436"/>
      <w:bookmarkStart w:id="309" w:name="_Toc32673626"/>
      <w:bookmarkStart w:id="310" w:name="_Toc32845768"/>
      <w:bookmarkStart w:id="311" w:name="_Toc32846491"/>
      <w:bookmarkStart w:id="312" w:name="_Toc32913734"/>
      <w:bookmarkStart w:id="313" w:name="_Toc32918410"/>
      <w:bookmarkStart w:id="314" w:name="_Toc33011703"/>
      <w:r w:rsidRPr="00D41D30">
        <w:rPr>
          <w:rFonts w:hint="eastAsia"/>
          <w:color w:val="000000" w:themeColor="text1"/>
        </w:rPr>
        <w:t>關於資源整合方面</w:t>
      </w:r>
      <w:bookmarkEnd w:id="305"/>
      <w:bookmarkEnd w:id="306"/>
      <w:bookmarkEnd w:id="307"/>
      <w:bookmarkEnd w:id="308"/>
      <w:bookmarkEnd w:id="309"/>
      <w:bookmarkEnd w:id="310"/>
      <w:bookmarkEnd w:id="311"/>
      <w:bookmarkEnd w:id="312"/>
      <w:bookmarkEnd w:id="313"/>
      <w:bookmarkEnd w:id="314"/>
    </w:p>
    <w:p w:rsidR="00F3226C" w:rsidRPr="00D41D30" w:rsidRDefault="00F3226C" w:rsidP="00F3226C">
      <w:pPr>
        <w:pStyle w:val="4"/>
        <w:rPr>
          <w:color w:val="000000" w:themeColor="text1"/>
        </w:rPr>
      </w:pPr>
      <w:r w:rsidRPr="00D41D30">
        <w:rPr>
          <w:rFonts w:hint="eastAsia"/>
          <w:color w:val="000000" w:themeColor="text1"/>
        </w:rPr>
        <w:t>計畫推動之緣起、目的</w:t>
      </w:r>
    </w:p>
    <w:p w:rsidR="00D9700A" w:rsidRPr="00D41D30" w:rsidRDefault="006C4562" w:rsidP="00F3226C">
      <w:pPr>
        <w:pStyle w:val="5"/>
        <w:rPr>
          <w:color w:val="000000" w:themeColor="text1"/>
        </w:rPr>
      </w:pPr>
      <w:r w:rsidRPr="00D41D30">
        <w:rPr>
          <w:rFonts w:hint="eastAsia"/>
          <w:color w:val="000000" w:themeColor="text1"/>
        </w:rPr>
        <w:t>該部</w:t>
      </w:r>
      <w:r w:rsidR="00D9700A" w:rsidRPr="00D41D30">
        <w:rPr>
          <w:rFonts w:hint="eastAsia"/>
          <w:color w:val="000000" w:themeColor="text1"/>
        </w:rPr>
        <w:t>為鼓勵地方政府運用學校現有教室，結合在地特色、產業文化及社區資源，開設適合社區老少共學的課程與活動，於106年配合前瞻基礎建設之校園社區化改造計畫，設立「社區多元學習中心」。</w:t>
      </w:r>
    </w:p>
    <w:p w:rsidR="00375489" w:rsidRPr="00D41D30" w:rsidRDefault="00D9700A" w:rsidP="00F3226C">
      <w:pPr>
        <w:pStyle w:val="5"/>
        <w:rPr>
          <w:color w:val="000000" w:themeColor="text1"/>
        </w:rPr>
      </w:pPr>
      <w:r w:rsidRPr="00D41D30">
        <w:rPr>
          <w:rFonts w:hint="eastAsia"/>
          <w:color w:val="000000" w:themeColor="text1"/>
        </w:rPr>
        <w:t>本計畫目的在於建構友善空間，以成為社區老少共學場域，及友善社區民眾與高齡者學習交流之社區多元學習空間，增進民眾世代交流及終身學習機會。計畫以課程所需教學設備費用、友善空間改善、整理及修繕等經費為優先補助項目，分為3期執行，第1期106至107年、第2期108年、第3期109至110年。第1期共補助54所學校，辦理2,906場次活動，計5萬5,893人次參與。</w:t>
      </w:r>
    </w:p>
    <w:p w:rsidR="00F3226C" w:rsidRPr="00D41D30" w:rsidRDefault="00F3226C" w:rsidP="00F3226C">
      <w:pPr>
        <w:pStyle w:val="4"/>
        <w:rPr>
          <w:color w:val="000000" w:themeColor="text1"/>
        </w:rPr>
      </w:pPr>
      <w:r w:rsidRPr="00D41D30">
        <w:rPr>
          <w:rFonts w:hint="eastAsia"/>
          <w:color w:val="000000" w:themeColor="text1"/>
        </w:rPr>
        <w:tab/>
        <w:t>樂齡大學、社區大學、樂齡中心與長青學苑及松年大學機制差異</w:t>
      </w:r>
    </w:p>
    <w:p w:rsidR="003E5B36" w:rsidRPr="00D41D30" w:rsidRDefault="003E5B36" w:rsidP="003E5B36">
      <w:pPr>
        <w:pStyle w:val="5"/>
        <w:rPr>
          <w:color w:val="000000" w:themeColor="text1"/>
        </w:rPr>
      </w:pPr>
      <w:r w:rsidRPr="00D41D30">
        <w:rPr>
          <w:rFonts w:hint="eastAsia"/>
          <w:color w:val="000000" w:themeColor="text1"/>
        </w:rPr>
        <w:t>相關資源分配：關</w:t>
      </w:r>
      <w:r w:rsidR="00350EB1" w:rsidRPr="00D41D30">
        <w:rPr>
          <w:rFonts w:hint="eastAsia"/>
          <w:color w:val="000000" w:themeColor="text1"/>
        </w:rPr>
        <w:t>衛福部</w:t>
      </w:r>
      <w:r w:rsidRPr="00D41D30">
        <w:rPr>
          <w:rFonts w:hint="eastAsia"/>
          <w:color w:val="000000" w:themeColor="text1"/>
        </w:rPr>
        <w:t>所辦理之長青學苑及新北市政府與臺南市政府所辦理之松年大學，均是由機關公務預算支用，如長青學苑由</w:t>
      </w:r>
      <w:r w:rsidR="00350EB1" w:rsidRPr="00D41D30">
        <w:rPr>
          <w:rFonts w:hint="eastAsia"/>
          <w:color w:val="000000" w:themeColor="text1"/>
        </w:rPr>
        <w:t>衛福部</w:t>
      </w:r>
      <w:r w:rsidRPr="00D41D30">
        <w:rPr>
          <w:rFonts w:hint="eastAsia"/>
          <w:color w:val="000000" w:themeColor="text1"/>
        </w:rPr>
        <w:t>公務預算-辦理延緩老人失能、失智之文康休閒活動支出；另</w:t>
      </w:r>
      <w:r w:rsidR="006C4562" w:rsidRPr="00D41D30">
        <w:rPr>
          <w:rFonts w:hint="eastAsia"/>
          <w:color w:val="000000" w:themeColor="text1"/>
        </w:rPr>
        <w:t>該部</w:t>
      </w:r>
      <w:r w:rsidRPr="00D41D30">
        <w:rPr>
          <w:rFonts w:hint="eastAsia"/>
          <w:color w:val="000000" w:themeColor="text1"/>
        </w:rPr>
        <w:t>終身學習管道之經費，亦由</w:t>
      </w:r>
      <w:r w:rsidR="006C4562" w:rsidRPr="00D41D30">
        <w:rPr>
          <w:rFonts w:hint="eastAsia"/>
          <w:color w:val="000000" w:themeColor="text1"/>
        </w:rPr>
        <w:t>該部</w:t>
      </w:r>
      <w:r w:rsidRPr="00D41D30">
        <w:rPr>
          <w:rFonts w:hint="eastAsia"/>
          <w:color w:val="000000" w:themeColor="text1"/>
        </w:rPr>
        <w:t>編列公務預算支應，以108年為例，社區大學法定預</w:t>
      </w:r>
      <w:r w:rsidRPr="00D41D30">
        <w:rPr>
          <w:rFonts w:hint="eastAsia"/>
          <w:color w:val="000000" w:themeColor="text1"/>
        </w:rPr>
        <w:lastRenderedPageBreak/>
        <w:t>算2億8,493萬元、樂齡中心1億3,308萬8,000元、樂齡大學3,050萬元，上開各部會及地方政府係依職責及區域需求編列經費支持及推動高齡教育。</w:t>
      </w:r>
    </w:p>
    <w:p w:rsidR="00F3226C" w:rsidRPr="00D41D30" w:rsidRDefault="003C00C2" w:rsidP="003C00C2">
      <w:pPr>
        <w:pStyle w:val="5"/>
        <w:rPr>
          <w:color w:val="000000" w:themeColor="text1"/>
        </w:rPr>
      </w:pPr>
      <w:r w:rsidRPr="00D41D30">
        <w:rPr>
          <w:rFonts w:hint="eastAsia"/>
          <w:color w:val="000000" w:themeColor="text1"/>
        </w:rPr>
        <w:t>針對不同學習對象及需求，設有各式學習管道，其與長青學苑及松年大學運作機制之比較如下</w:t>
      </w:r>
      <w:r w:rsidR="002532DE" w:rsidRPr="00D41D30">
        <w:rPr>
          <w:rFonts w:hint="eastAsia"/>
          <w:color w:val="000000" w:themeColor="text1"/>
        </w:rPr>
        <w:t>表</w:t>
      </w:r>
      <w:r w:rsidRPr="00D41D30">
        <w:rPr>
          <w:rFonts w:hint="eastAsia"/>
          <w:color w:val="000000" w:themeColor="text1"/>
        </w:rPr>
        <w:t>。</w:t>
      </w:r>
    </w:p>
    <w:p w:rsidR="003C00C2" w:rsidRPr="00D41D30" w:rsidRDefault="0009707A" w:rsidP="00471512">
      <w:pPr>
        <w:pStyle w:val="a4"/>
        <w:ind w:left="697" w:hanging="697"/>
        <w:rPr>
          <w:b/>
          <w:color w:val="000000" w:themeColor="text1"/>
        </w:rPr>
      </w:pPr>
      <w:r w:rsidRPr="00D41D30">
        <w:rPr>
          <w:rFonts w:hint="eastAsia"/>
          <w:b/>
          <w:color w:val="000000" w:themeColor="text1"/>
        </w:rPr>
        <w:t>機制</w:t>
      </w:r>
      <w:r w:rsidRPr="00D41D30">
        <w:rPr>
          <w:rFonts w:hAnsi="標楷體" w:hint="eastAsia"/>
          <w:b/>
          <w:color w:val="000000" w:themeColor="text1"/>
        </w:rPr>
        <w:t>比較</w:t>
      </w:r>
      <w:r w:rsidRPr="00D41D30">
        <w:rPr>
          <w:rFonts w:hint="eastAsia"/>
          <w:b/>
          <w:color w:val="000000" w:themeColor="text1"/>
        </w:rPr>
        <w:t>表</w:t>
      </w: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844"/>
        <w:gridCol w:w="2126"/>
        <w:gridCol w:w="1843"/>
        <w:gridCol w:w="1984"/>
        <w:gridCol w:w="1814"/>
      </w:tblGrid>
      <w:tr w:rsidR="00B37126" w:rsidRPr="00D41D30" w:rsidTr="003E446B">
        <w:trPr>
          <w:trHeight w:val="73"/>
          <w:tblHeader/>
          <w:jc w:val="center"/>
        </w:trPr>
        <w:tc>
          <w:tcPr>
            <w:tcW w:w="992" w:type="dxa"/>
            <w:shd w:val="clear" w:color="auto" w:fill="F7CAAC"/>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項目</w:t>
            </w:r>
          </w:p>
        </w:tc>
        <w:tc>
          <w:tcPr>
            <w:tcW w:w="1844" w:type="dxa"/>
            <w:shd w:val="clear" w:color="auto" w:fill="F7CAAC"/>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社區大學</w:t>
            </w:r>
          </w:p>
        </w:tc>
        <w:tc>
          <w:tcPr>
            <w:tcW w:w="2126" w:type="dxa"/>
            <w:shd w:val="clear" w:color="auto" w:fill="F7CAAC"/>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樂齡中心</w:t>
            </w:r>
          </w:p>
        </w:tc>
        <w:tc>
          <w:tcPr>
            <w:tcW w:w="1843" w:type="dxa"/>
            <w:shd w:val="clear" w:color="auto" w:fill="F7CAAC"/>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樂齡大學</w:t>
            </w:r>
          </w:p>
        </w:tc>
        <w:tc>
          <w:tcPr>
            <w:tcW w:w="1984" w:type="dxa"/>
            <w:shd w:val="clear" w:color="auto" w:fill="F7CAAC"/>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長青學苑</w:t>
            </w:r>
          </w:p>
        </w:tc>
        <w:tc>
          <w:tcPr>
            <w:tcW w:w="1814" w:type="dxa"/>
            <w:shd w:val="clear" w:color="auto" w:fill="F7CAAC"/>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松年大學</w:t>
            </w:r>
          </w:p>
        </w:tc>
      </w:tr>
      <w:tr w:rsidR="00B37126" w:rsidRPr="00D41D30" w:rsidTr="003E446B">
        <w:trPr>
          <w:trHeight w:val="884"/>
          <w:jc w:val="center"/>
        </w:trPr>
        <w:tc>
          <w:tcPr>
            <w:tcW w:w="992" w:type="dxa"/>
            <w:shd w:val="clear" w:color="auto" w:fill="auto"/>
            <w:vAlign w:val="center"/>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b/>
                <w:color w:val="000000" w:themeColor="text1"/>
                <w:sz w:val="24"/>
                <w:szCs w:val="24"/>
              </w:rPr>
              <w:t>數量</w:t>
            </w:r>
          </w:p>
        </w:tc>
        <w:tc>
          <w:tcPr>
            <w:tcW w:w="1844" w:type="dxa"/>
            <w:vAlign w:val="center"/>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108年22縣市共89所</w:t>
            </w:r>
          </w:p>
        </w:tc>
        <w:tc>
          <w:tcPr>
            <w:tcW w:w="2126" w:type="dxa"/>
            <w:shd w:val="clear" w:color="auto" w:fill="auto"/>
            <w:vAlign w:val="center"/>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108年366樂齡中心</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分散於358鎮市區</w:t>
            </w:r>
            <w:r w:rsidR="006B5136" w:rsidRPr="00D41D30">
              <w:rPr>
                <w:rFonts w:hAnsi="標楷體" w:hint="eastAsia"/>
                <w:color w:val="000000" w:themeColor="text1"/>
                <w:sz w:val="24"/>
                <w:szCs w:val="24"/>
              </w:rPr>
              <w:t>）</w:t>
            </w:r>
          </w:p>
        </w:tc>
        <w:tc>
          <w:tcPr>
            <w:tcW w:w="1843" w:type="dxa"/>
            <w:shd w:val="clear" w:color="auto" w:fill="auto"/>
            <w:vAlign w:val="center"/>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108學年度補助102校</w:t>
            </w:r>
          </w:p>
        </w:tc>
        <w:tc>
          <w:tcPr>
            <w:tcW w:w="1984" w:type="dxa"/>
            <w:vAlign w:val="center"/>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107年：322案</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108年</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截至108年9月27日止</w:t>
            </w:r>
            <w:r w:rsidR="006B5136" w:rsidRPr="00D41D30">
              <w:rPr>
                <w:rFonts w:hAnsi="標楷體" w:hint="eastAsia"/>
                <w:color w:val="000000" w:themeColor="text1"/>
                <w:sz w:val="24"/>
                <w:szCs w:val="24"/>
              </w:rPr>
              <w:t>）</w:t>
            </w:r>
            <w:r w:rsidRPr="00D41D30">
              <w:rPr>
                <w:rFonts w:hAnsi="標楷體" w:hint="eastAsia"/>
                <w:color w:val="000000" w:themeColor="text1"/>
                <w:sz w:val="24"/>
                <w:szCs w:val="24"/>
              </w:rPr>
              <w:t>：167案</w:t>
            </w:r>
          </w:p>
        </w:tc>
        <w:tc>
          <w:tcPr>
            <w:tcW w:w="1814" w:type="dxa"/>
            <w:vAlign w:val="center"/>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108年新北市開設970班、臺南市開設2班。</w:t>
            </w:r>
          </w:p>
        </w:tc>
      </w:tr>
      <w:tr w:rsidR="00B37126" w:rsidRPr="00D41D30" w:rsidTr="003E446B">
        <w:trPr>
          <w:jc w:val="center"/>
        </w:trPr>
        <w:tc>
          <w:tcPr>
            <w:tcW w:w="992" w:type="dxa"/>
            <w:shd w:val="clear" w:color="auto" w:fill="auto"/>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法規依據</w:t>
            </w:r>
          </w:p>
        </w:tc>
        <w:tc>
          <w:tcPr>
            <w:tcW w:w="1844" w:type="dxa"/>
          </w:tcPr>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w:t>
            </w:r>
            <w:r w:rsidRPr="00D41D30">
              <w:rPr>
                <w:rFonts w:hAnsi="標楷體"/>
                <w:color w:val="000000" w:themeColor="text1"/>
                <w:sz w:val="24"/>
                <w:szCs w:val="24"/>
              </w:rPr>
              <w:t>終身學習法</w:t>
            </w:r>
            <w:r w:rsidRPr="00D41D30">
              <w:rPr>
                <w:rFonts w:hAnsi="標楷體" w:hint="eastAsia"/>
                <w:color w:val="000000" w:themeColor="text1"/>
                <w:sz w:val="24"/>
                <w:szCs w:val="24"/>
              </w:rPr>
              <w:t>》第10條</w:t>
            </w:r>
          </w:p>
          <w:p w:rsidR="00B37126" w:rsidRPr="00D41D30" w:rsidRDefault="00B37126" w:rsidP="00280BE9">
            <w:pPr>
              <w:numPr>
                <w:ilvl w:val="0"/>
                <w:numId w:val="10"/>
              </w:numPr>
              <w:overflowPunct/>
              <w:autoSpaceDE/>
              <w:autoSpaceDN/>
              <w:spacing w:line="320" w:lineRule="exact"/>
              <w:ind w:left="270" w:hanging="270"/>
              <w:textAlignment w:val="center"/>
              <w:rPr>
                <w:rFonts w:hAnsi="標楷體"/>
                <w:color w:val="000000" w:themeColor="text1"/>
                <w:sz w:val="24"/>
                <w:szCs w:val="24"/>
              </w:rPr>
            </w:pPr>
            <w:r w:rsidRPr="00D41D30">
              <w:rPr>
                <w:rFonts w:hAnsi="標楷體" w:hint="eastAsia"/>
                <w:color w:val="000000" w:themeColor="text1"/>
                <w:sz w:val="24"/>
                <w:szCs w:val="24"/>
              </w:rPr>
              <w:t>社區大學發展條例</w:t>
            </w:r>
          </w:p>
          <w:p w:rsidR="00B37126" w:rsidRPr="00D41D30" w:rsidRDefault="00B37126" w:rsidP="00280BE9">
            <w:pPr>
              <w:numPr>
                <w:ilvl w:val="0"/>
                <w:numId w:val="10"/>
              </w:numPr>
              <w:overflowPunct/>
              <w:autoSpaceDE/>
              <w:autoSpaceDN/>
              <w:spacing w:line="320" w:lineRule="exact"/>
              <w:ind w:left="270" w:hanging="270"/>
              <w:textAlignment w:val="center"/>
              <w:rPr>
                <w:rFonts w:hAnsi="標楷體"/>
                <w:color w:val="000000" w:themeColor="text1"/>
                <w:sz w:val="24"/>
                <w:szCs w:val="24"/>
              </w:rPr>
            </w:pPr>
            <w:r w:rsidRPr="00D41D30">
              <w:rPr>
                <w:rFonts w:hAnsi="標楷體" w:hint="eastAsia"/>
                <w:color w:val="000000" w:themeColor="text1"/>
                <w:sz w:val="24"/>
                <w:szCs w:val="24"/>
              </w:rPr>
              <w:t>補助及獎勵社區大學發展辦法</w:t>
            </w:r>
          </w:p>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教育部補助及獎勵辦理社區大學業務實施要點</w:t>
            </w:r>
          </w:p>
        </w:tc>
        <w:tc>
          <w:tcPr>
            <w:tcW w:w="2126" w:type="dxa"/>
            <w:shd w:val="clear" w:color="auto" w:fill="auto"/>
          </w:tcPr>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w:t>
            </w:r>
            <w:r w:rsidRPr="00D41D30">
              <w:rPr>
                <w:rFonts w:hAnsi="標楷體"/>
                <w:color w:val="000000" w:themeColor="text1"/>
                <w:sz w:val="24"/>
                <w:szCs w:val="24"/>
              </w:rPr>
              <w:t>終身學習法</w:t>
            </w:r>
            <w:r w:rsidRPr="00D41D30">
              <w:rPr>
                <w:rFonts w:hAnsi="標楷體" w:hint="eastAsia"/>
                <w:color w:val="000000" w:themeColor="text1"/>
                <w:sz w:val="24"/>
                <w:szCs w:val="24"/>
              </w:rPr>
              <w:t>》第3、14條</w:t>
            </w:r>
          </w:p>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樂齡學習活動補助與訪視輔導及獎勵辦法</w:t>
            </w:r>
          </w:p>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教育部補助辦理樂齡學習活動及獎勵直轄市、縣（市）政府辦理樂齡學習業務實施要點</w:t>
            </w:r>
          </w:p>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color w:val="000000" w:themeColor="text1"/>
                <w:sz w:val="24"/>
                <w:szCs w:val="24"/>
              </w:rPr>
              <w:t>教育部樂齡教育專業人員培訓要點</w:t>
            </w:r>
          </w:p>
        </w:tc>
        <w:tc>
          <w:tcPr>
            <w:tcW w:w="1843" w:type="dxa"/>
            <w:shd w:val="clear" w:color="auto" w:fill="auto"/>
          </w:tcPr>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w:t>
            </w:r>
            <w:r w:rsidRPr="00D41D30">
              <w:rPr>
                <w:rFonts w:hAnsi="標楷體"/>
                <w:color w:val="000000" w:themeColor="text1"/>
                <w:sz w:val="24"/>
                <w:szCs w:val="24"/>
              </w:rPr>
              <w:t>終身學習法</w:t>
            </w:r>
            <w:r w:rsidRPr="00D41D30">
              <w:rPr>
                <w:rFonts w:hAnsi="標楷體" w:hint="eastAsia"/>
                <w:color w:val="000000" w:themeColor="text1"/>
                <w:sz w:val="24"/>
                <w:szCs w:val="24"/>
              </w:rPr>
              <w:t>》第3、14條</w:t>
            </w:r>
          </w:p>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樂齡學習活動補助與訪視輔導及獎勵辦法</w:t>
            </w:r>
          </w:p>
          <w:p w:rsidR="00B37126" w:rsidRPr="00D41D30" w:rsidRDefault="00B37126" w:rsidP="00280BE9">
            <w:pPr>
              <w:numPr>
                <w:ilvl w:val="0"/>
                <w:numId w:val="10"/>
              </w:numPr>
              <w:overflowPunct/>
              <w:autoSpaceDE/>
              <w:autoSpaceDN/>
              <w:spacing w:line="320" w:lineRule="exact"/>
              <w:ind w:left="272" w:hanging="272"/>
              <w:textAlignment w:val="center"/>
              <w:rPr>
                <w:rFonts w:hAnsi="標楷體"/>
                <w:color w:val="000000" w:themeColor="text1"/>
                <w:sz w:val="24"/>
                <w:szCs w:val="24"/>
              </w:rPr>
            </w:pPr>
            <w:r w:rsidRPr="00D41D30">
              <w:rPr>
                <w:rFonts w:hAnsi="標楷體" w:hint="eastAsia"/>
                <w:color w:val="000000" w:themeColor="text1"/>
                <w:sz w:val="24"/>
                <w:szCs w:val="24"/>
              </w:rPr>
              <w:t>教育部補助辦理樂齡學習活動及獎勵直轄市縣（市）政府辦理樂齡學習業務實施要點</w:t>
            </w:r>
          </w:p>
        </w:tc>
        <w:tc>
          <w:tcPr>
            <w:tcW w:w="198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老人福利法第26條：主管機關應協調目的事業主管機關提供或鼓勵民間提供各項老人教育措施。</w:t>
            </w:r>
          </w:p>
        </w:tc>
        <w:tc>
          <w:tcPr>
            <w:tcW w:w="181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新北市政府依據老人福利法第26條、第27條暨其施行細則。</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臺南市政府依據社會局推展社會福利服務補助作業規範」第4點第2項規定辦理政策性補助。</w:t>
            </w:r>
          </w:p>
        </w:tc>
      </w:tr>
      <w:tr w:rsidR="00B37126" w:rsidRPr="00D41D30" w:rsidTr="003E446B">
        <w:trPr>
          <w:trHeight w:val="2759"/>
          <w:jc w:val="center"/>
        </w:trPr>
        <w:tc>
          <w:tcPr>
            <w:tcW w:w="992" w:type="dxa"/>
            <w:shd w:val="clear" w:color="auto" w:fill="auto"/>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承辦單位</w:t>
            </w:r>
          </w:p>
        </w:tc>
        <w:tc>
          <w:tcPr>
            <w:tcW w:w="184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由直轄市、縣（市）主管機關自行設立社區大學，或委託依法設立或立案之公益社團法人、財團法人或學校辦理之。</w:t>
            </w:r>
          </w:p>
        </w:tc>
        <w:tc>
          <w:tcPr>
            <w:tcW w:w="2126" w:type="dxa"/>
            <w:shd w:val="clear" w:color="auto" w:fill="auto"/>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由直轄市及縣市政府擇各鄉鎮市區適合之組織及單位運作。</w:t>
            </w:r>
          </w:p>
        </w:tc>
        <w:tc>
          <w:tcPr>
            <w:tcW w:w="1843" w:type="dxa"/>
            <w:shd w:val="clear" w:color="auto" w:fill="auto"/>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國內公立或已立案之</w:t>
            </w:r>
            <w:r w:rsidRPr="00D41D30">
              <w:rPr>
                <w:rFonts w:hAnsi="標楷體"/>
                <w:color w:val="000000" w:themeColor="text1"/>
                <w:sz w:val="24"/>
                <w:szCs w:val="24"/>
              </w:rPr>
              <w:t>私立大學校院</w:t>
            </w:r>
          </w:p>
        </w:tc>
        <w:tc>
          <w:tcPr>
            <w:tcW w:w="198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獎助對象：</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1.財團法人老人福利機構。</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2.財團法人基金會捐助章程中明定辦理社會福利服務事項者。</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3.立案之社會</w:t>
            </w:r>
            <w:r w:rsidRPr="00D41D30">
              <w:rPr>
                <w:rFonts w:hAnsi="標楷體" w:hint="eastAsia"/>
                <w:color w:val="000000" w:themeColor="text1"/>
                <w:sz w:val="24"/>
                <w:szCs w:val="24"/>
              </w:rPr>
              <w:lastRenderedPageBreak/>
              <w:t>福利團體。</w:t>
            </w:r>
          </w:p>
        </w:tc>
        <w:tc>
          <w:tcPr>
            <w:tcW w:w="181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lastRenderedPageBreak/>
              <w:t>新北市：各區公所、各立案團體、機構、農會、各社會福利慈善事業基金</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臺南市：台灣基督長老教會嘉義中會新營</w:t>
            </w:r>
            <w:r w:rsidRPr="00D41D30">
              <w:rPr>
                <w:rFonts w:hAnsi="標楷體" w:hint="eastAsia"/>
                <w:color w:val="000000" w:themeColor="text1"/>
                <w:sz w:val="24"/>
                <w:szCs w:val="24"/>
              </w:rPr>
              <w:lastRenderedPageBreak/>
              <w:t>及新化教會</w:t>
            </w:r>
          </w:p>
        </w:tc>
      </w:tr>
      <w:tr w:rsidR="00B37126" w:rsidRPr="00D41D30" w:rsidTr="003E446B">
        <w:trPr>
          <w:trHeight w:val="4011"/>
          <w:jc w:val="center"/>
        </w:trPr>
        <w:tc>
          <w:tcPr>
            <w:tcW w:w="992" w:type="dxa"/>
            <w:shd w:val="clear" w:color="auto" w:fill="auto"/>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lastRenderedPageBreak/>
              <w:t>設立條件</w:t>
            </w:r>
          </w:p>
        </w:tc>
        <w:tc>
          <w:tcPr>
            <w:tcW w:w="184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由各地方政府評估縣（市）區域需求及資源等因素設立之。</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cs="Arial"/>
                <w:color w:val="000000" w:themeColor="text1"/>
                <w:sz w:val="24"/>
                <w:szCs w:val="24"/>
              </w:rPr>
              <w:t>）</w:t>
            </w:r>
          </w:p>
        </w:tc>
        <w:tc>
          <w:tcPr>
            <w:tcW w:w="2126" w:type="dxa"/>
            <w:shd w:val="clear" w:color="auto" w:fill="auto"/>
          </w:tcPr>
          <w:p w:rsidR="00B37126" w:rsidRPr="00D41D30" w:rsidRDefault="00B37126" w:rsidP="00280BE9">
            <w:pPr>
              <w:spacing w:line="320" w:lineRule="exact"/>
              <w:textAlignment w:val="center"/>
              <w:rPr>
                <w:rFonts w:hAnsi="標楷體" w:cs="Arial"/>
                <w:color w:val="000000" w:themeColor="text1"/>
                <w:sz w:val="24"/>
                <w:szCs w:val="24"/>
              </w:rPr>
            </w:pPr>
            <w:r w:rsidRPr="00D41D30">
              <w:rPr>
                <w:rFonts w:hAnsi="標楷體" w:cs="Arial" w:hint="eastAsia"/>
                <w:color w:val="000000" w:themeColor="text1"/>
                <w:sz w:val="24"/>
                <w:szCs w:val="24"/>
              </w:rPr>
              <w:t>經直轄市、縣（市）政府評估</w:t>
            </w:r>
            <w:r w:rsidRPr="00D41D30">
              <w:rPr>
                <w:rFonts w:hAnsi="標楷體" w:cs="Arial"/>
                <w:color w:val="000000" w:themeColor="text1"/>
                <w:sz w:val="24"/>
                <w:szCs w:val="24"/>
              </w:rPr>
              <w:t>申請</w:t>
            </w:r>
            <w:r w:rsidRPr="00D41D30">
              <w:rPr>
                <w:rFonts w:hAnsi="標楷體" w:cs="Arial" w:hint="eastAsia"/>
                <w:color w:val="000000" w:themeColor="text1"/>
                <w:sz w:val="24"/>
                <w:szCs w:val="24"/>
              </w:rPr>
              <w:t>單位資格（包括優質之續辦樂齡中心、鄉（鎮、市、區）公所、公共圖書館、以日間有剩餘教室之各級學校、具備執行能力之立案民間團體），遴選並評估具備1</w:t>
            </w:r>
            <w:r w:rsidRPr="00D41D30">
              <w:rPr>
                <w:rFonts w:hAnsi="標楷體" w:cs="Arial"/>
                <w:color w:val="000000" w:themeColor="text1"/>
                <w:sz w:val="24"/>
                <w:szCs w:val="24"/>
              </w:rPr>
              <w:t>樓或有電梯</w:t>
            </w:r>
            <w:r w:rsidRPr="00D41D30">
              <w:rPr>
                <w:rFonts w:hAnsi="標楷體" w:cs="Arial" w:hint="eastAsia"/>
                <w:color w:val="000000" w:themeColor="text1"/>
                <w:sz w:val="24"/>
                <w:szCs w:val="24"/>
              </w:rPr>
              <w:t>可</w:t>
            </w:r>
            <w:r w:rsidRPr="00D41D30">
              <w:rPr>
                <w:rFonts w:hAnsi="標楷體" w:cs="Arial"/>
                <w:color w:val="000000" w:themeColor="text1"/>
                <w:sz w:val="24"/>
                <w:szCs w:val="24"/>
              </w:rPr>
              <w:t>抵達之</w:t>
            </w:r>
            <w:r w:rsidRPr="00D41D30">
              <w:rPr>
                <w:rFonts w:hAnsi="標楷體" w:cs="Arial" w:hint="eastAsia"/>
                <w:bCs/>
                <w:color w:val="000000" w:themeColor="text1"/>
                <w:sz w:val="24"/>
                <w:szCs w:val="24"/>
              </w:rPr>
              <w:t>獨立空間</w:t>
            </w:r>
            <w:r w:rsidRPr="00D41D30">
              <w:rPr>
                <w:rFonts w:hAnsi="標楷體" w:cs="Arial" w:hint="eastAsia"/>
                <w:color w:val="000000" w:themeColor="text1"/>
                <w:sz w:val="24"/>
                <w:szCs w:val="24"/>
              </w:rPr>
              <w:t>，且該空間鄰近廁所、通風良好、光線充足及無障礙，並符合相關安全規定</w:t>
            </w:r>
            <w:r w:rsidRPr="00D41D30">
              <w:rPr>
                <w:rFonts w:hAnsi="標楷體" w:cs="Arial" w:hint="eastAsia"/>
                <w:bCs/>
                <w:color w:val="000000" w:themeColor="text1"/>
                <w:sz w:val="24"/>
                <w:szCs w:val="24"/>
              </w:rPr>
              <w:t>者，列為優先申請單位。</w:t>
            </w:r>
          </w:p>
        </w:tc>
        <w:tc>
          <w:tcPr>
            <w:tcW w:w="1843" w:type="dxa"/>
            <w:shd w:val="clear" w:color="auto" w:fill="auto"/>
          </w:tcPr>
          <w:p w:rsidR="00B37126" w:rsidRPr="00D41D30" w:rsidRDefault="00B37126" w:rsidP="00280BE9">
            <w:pPr>
              <w:adjustRightInd w:val="0"/>
              <w:snapToGrid w:val="0"/>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國內公立或已立案之</w:t>
            </w:r>
            <w:r w:rsidRPr="00D41D30">
              <w:rPr>
                <w:rFonts w:hAnsi="標楷體"/>
                <w:color w:val="000000" w:themeColor="text1"/>
                <w:sz w:val="24"/>
                <w:szCs w:val="24"/>
              </w:rPr>
              <w:t>私立大學校院</w:t>
            </w:r>
            <w:r w:rsidRPr="00D41D30">
              <w:rPr>
                <w:rFonts w:hAnsi="標楷體" w:hint="eastAsia"/>
                <w:color w:val="000000" w:themeColor="text1"/>
                <w:sz w:val="24"/>
                <w:szCs w:val="24"/>
              </w:rPr>
              <w:t>。</w:t>
            </w:r>
          </w:p>
          <w:p w:rsidR="00B37126" w:rsidRPr="00D41D30" w:rsidRDefault="00B37126" w:rsidP="00280BE9">
            <w:pPr>
              <w:spacing w:line="320" w:lineRule="exact"/>
              <w:textAlignment w:val="center"/>
              <w:rPr>
                <w:rFonts w:hAnsi="標楷體"/>
                <w:color w:val="000000" w:themeColor="text1"/>
                <w:sz w:val="24"/>
                <w:szCs w:val="24"/>
              </w:rPr>
            </w:pPr>
          </w:p>
        </w:tc>
        <w:tc>
          <w:tcPr>
            <w:tcW w:w="198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無</w:t>
            </w:r>
          </w:p>
        </w:tc>
        <w:tc>
          <w:tcPr>
            <w:tcW w:w="1814" w:type="dxa"/>
          </w:tcPr>
          <w:p w:rsidR="00B37126" w:rsidRPr="00D41D30" w:rsidRDefault="00B37126" w:rsidP="00280BE9">
            <w:pPr>
              <w:spacing w:line="320" w:lineRule="exact"/>
              <w:ind w:left="-51"/>
              <w:textAlignment w:val="center"/>
              <w:rPr>
                <w:rFonts w:hAnsi="標楷體"/>
                <w:color w:val="000000" w:themeColor="text1"/>
                <w:sz w:val="24"/>
                <w:szCs w:val="24"/>
              </w:rPr>
            </w:pPr>
            <w:r w:rsidRPr="00D41D30">
              <w:rPr>
                <w:rFonts w:hAnsi="標楷體" w:hint="eastAsia"/>
                <w:color w:val="000000" w:themeColor="text1"/>
                <w:sz w:val="24"/>
                <w:szCs w:val="24"/>
              </w:rPr>
              <w:t>新北市：有意開辦松年大學之單位需報送相關計畫資料</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包含：預定課程內容、時間、地點、講師名單以及其他相關資料</w:t>
            </w:r>
            <w:r w:rsidR="006B5136" w:rsidRPr="00D41D30">
              <w:rPr>
                <w:rFonts w:hAnsi="標楷體" w:hint="eastAsia"/>
                <w:color w:val="000000" w:themeColor="text1"/>
                <w:sz w:val="24"/>
                <w:szCs w:val="24"/>
              </w:rPr>
              <w:t>）</w:t>
            </w:r>
            <w:r w:rsidRPr="00D41D30">
              <w:rPr>
                <w:rFonts w:hAnsi="標楷體" w:hint="eastAsia"/>
                <w:color w:val="000000" w:themeColor="text1"/>
                <w:sz w:val="24"/>
                <w:szCs w:val="24"/>
              </w:rPr>
              <w:t>，由本局進行審核，並得對開課場地進行現場會勘。新開辦之單位，第一年最多可開辦2班。</w:t>
            </w:r>
          </w:p>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 xml:space="preserve">臺南市：台灣基督長老教會總會決議要辦理「松年學苑 </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大學</w:t>
            </w:r>
            <w:r w:rsidR="006B5136" w:rsidRPr="00D41D30">
              <w:rPr>
                <w:rFonts w:hAnsi="標楷體" w:hint="eastAsia"/>
                <w:color w:val="000000" w:themeColor="text1"/>
                <w:sz w:val="24"/>
                <w:szCs w:val="24"/>
              </w:rPr>
              <w:t>）</w:t>
            </w:r>
            <w:r w:rsidRPr="00D41D30">
              <w:rPr>
                <w:rFonts w:hAnsi="標楷體" w:hint="eastAsia"/>
                <w:color w:val="000000" w:themeColor="text1"/>
                <w:sz w:val="24"/>
                <w:szCs w:val="24"/>
              </w:rPr>
              <w:t>」，是以「推行松年事工、造就信仰及服務人群而提昇松年身心靈的全人健康」為目的，鼓勵各地方教會辦理。</w:t>
            </w:r>
          </w:p>
        </w:tc>
      </w:tr>
      <w:tr w:rsidR="00B37126" w:rsidRPr="00D41D30" w:rsidTr="003E446B">
        <w:trPr>
          <w:trHeight w:val="3396"/>
          <w:jc w:val="center"/>
        </w:trPr>
        <w:tc>
          <w:tcPr>
            <w:tcW w:w="992" w:type="dxa"/>
            <w:shd w:val="clear" w:color="auto" w:fill="auto"/>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lastRenderedPageBreak/>
              <w:t>招收學員條件</w:t>
            </w:r>
          </w:p>
        </w:tc>
        <w:tc>
          <w:tcPr>
            <w:tcW w:w="184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由各地方政府訂定。</w:t>
            </w:r>
          </w:p>
          <w:p w:rsidR="00B37126" w:rsidRPr="00D41D30" w:rsidRDefault="00B37126" w:rsidP="00280BE9">
            <w:pPr>
              <w:spacing w:line="320" w:lineRule="exact"/>
              <w:textAlignment w:val="center"/>
              <w:rPr>
                <w:rFonts w:hAnsi="標楷體"/>
                <w:color w:val="000000" w:themeColor="text1"/>
                <w:sz w:val="24"/>
                <w:szCs w:val="24"/>
              </w:rPr>
            </w:pPr>
          </w:p>
        </w:tc>
        <w:tc>
          <w:tcPr>
            <w:tcW w:w="2126" w:type="dxa"/>
            <w:shd w:val="clear" w:color="auto" w:fill="auto"/>
          </w:tcPr>
          <w:p w:rsidR="00B37126" w:rsidRPr="00D41D30" w:rsidRDefault="00B37126" w:rsidP="00280BE9">
            <w:pPr>
              <w:spacing w:line="320" w:lineRule="exact"/>
              <w:textAlignment w:val="center"/>
              <w:rPr>
                <w:rFonts w:hAnsi="標楷體" w:cs="Arial"/>
                <w:color w:val="000000" w:themeColor="text1"/>
                <w:sz w:val="24"/>
                <w:szCs w:val="24"/>
              </w:rPr>
            </w:pPr>
            <w:r w:rsidRPr="00D41D30">
              <w:rPr>
                <w:rFonts w:hAnsi="標楷體" w:cs="Arial" w:hint="eastAsia"/>
                <w:color w:val="000000" w:themeColor="text1"/>
                <w:sz w:val="24"/>
                <w:szCs w:val="24"/>
              </w:rPr>
              <w:t>年滿55歲者為優先，如未滿55歲者，則以擔任樂齡中心志工為主</w:t>
            </w:r>
          </w:p>
        </w:tc>
        <w:tc>
          <w:tcPr>
            <w:tcW w:w="1843" w:type="dxa"/>
            <w:shd w:val="clear" w:color="auto" w:fill="auto"/>
          </w:tcPr>
          <w:p w:rsidR="00B37126" w:rsidRPr="00D41D30" w:rsidRDefault="00B37126" w:rsidP="00280BE9">
            <w:pPr>
              <w:adjustRightInd w:val="0"/>
              <w:snapToGrid w:val="0"/>
              <w:spacing w:line="320" w:lineRule="exact"/>
              <w:textAlignment w:val="center"/>
              <w:rPr>
                <w:rFonts w:hAnsi="標楷體"/>
                <w:color w:val="000000" w:themeColor="text1"/>
                <w:sz w:val="24"/>
                <w:szCs w:val="24"/>
              </w:rPr>
            </w:pPr>
            <w:r w:rsidRPr="00D41D30">
              <w:rPr>
                <w:rFonts w:hAnsi="標楷體"/>
                <w:color w:val="000000" w:themeColor="text1"/>
                <w:sz w:val="24"/>
                <w:szCs w:val="24"/>
              </w:rPr>
              <w:t>年滿55歲</w:t>
            </w:r>
            <w:r w:rsidRPr="00D41D30">
              <w:rPr>
                <w:rFonts w:hAnsi="標楷體" w:hint="eastAsia"/>
                <w:color w:val="000000" w:themeColor="text1"/>
                <w:sz w:val="24"/>
                <w:szCs w:val="24"/>
              </w:rPr>
              <w:t>者優</w:t>
            </w:r>
            <w:r w:rsidRPr="00D41D30">
              <w:rPr>
                <w:rFonts w:hAnsi="標楷體"/>
                <w:color w:val="000000" w:themeColor="text1"/>
                <w:sz w:val="24"/>
                <w:szCs w:val="24"/>
              </w:rPr>
              <w:t>先</w:t>
            </w:r>
            <w:r w:rsidRPr="00D41D30">
              <w:rPr>
                <w:rFonts w:hAnsi="標楷體" w:hint="eastAsia"/>
                <w:color w:val="000000" w:themeColor="text1"/>
                <w:sz w:val="24"/>
                <w:szCs w:val="24"/>
              </w:rPr>
              <w:t>，惟學</w:t>
            </w:r>
            <w:r w:rsidRPr="00D41D30">
              <w:rPr>
                <w:rFonts w:hAnsi="標楷體"/>
                <w:color w:val="000000" w:themeColor="text1"/>
                <w:sz w:val="24"/>
                <w:szCs w:val="24"/>
              </w:rPr>
              <w:t>員年齡</w:t>
            </w:r>
            <w:r w:rsidRPr="00D41D30">
              <w:rPr>
                <w:rFonts w:hAnsi="標楷體" w:hint="eastAsia"/>
                <w:color w:val="000000" w:themeColor="text1"/>
                <w:sz w:val="24"/>
                <w:szCs w:val="24"/>
              </w:rPr>
              <w:t>不</w:t>
            </w:r>
            <w:r w:rsidRPr="00D41D30">
              <w:rPr>
                <w:rFonts w:hAnsi="標楷體"/>
                <w:color w:val="000000" w:themeColor="text1"/>
                <w:sz w:val="24"/>
                <w:szCs w:val="24"/>
              </w:rPr>
              <w:t>得</w:t>
            </w:r>
            <w:r w:rsidRPr="00D41D30">
              <w:rPr>
                <w:rFonts w:hAnsi="標楷體" w:hint="eastAsia"/>
                <w:color w:val="000000" w:themeColor="text1"/>
                <w:sz w:val="24"/>
                <w:szCs w:val="24"/>
              </w:rPr>
              <w:t>低</w:t>
            </w:r>
            <w:r w:rsidRPr="00D41D30">
              <w:rPr>
                <w:rFonts w:hAnsi="標楷體"/>
                <w:color w:val="000000" w:themeColor="text1"/>
                <w:sz w:val="24"/>
                <w:szCs w:val="24"/>
              </w:rPr>
              <w:t>於</w:t>
            </w:r>
            <w:r w:rsidRPr="00D41D30">
              <w:rPr>
                <w:rFonts w:hAnsi="標楷體" w:hint="eastAsia"/>
                <w:color w:val="000000" w:themeColor="text1"/>
                <w:sz w:val="24"/>
                <w:szCs w:val="24"/>
              </w:rPr>
              <w:t>50歲</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各校以招收5</w:t>
            </w:r>
            <w:r w:rsidRPr="00D41D30">
              <w:rPr>
                <w:rFonts w:hAnsi="標楷體"/>
                <w:color w:val="000000" w:themeColor="text1"/>
                <w:sz w:val="24"/>
                <w:szCs w:val="24"/>
              </w:rPr>
              <w:t>5</w:t>
            </w:r>
            <w:r w:rsidRPr="00D41D30">
              <w:rPr>
                <w:rFonts w:hAnsi="標楷體" w:hint="eastAsia"/>
                <w:color w:val="000000" w:themeColor="text1"/>
                <w:sz w:val="24"/>
                <w:szCs w:val="24"/>
              </w:rPr>
              <w:t>歲</w:t>
            </w:r>
            <w:r w:rsidRPr="00D41D30">
              <w:rPr>
                <w:rFonts w:hAnsi="標楷體"/>
                <w:color w:val="000000" w:themeColor="text1"/>
                <w:sz w:val="24"/>
                <w:szCs w:val="24"/>
              </w:rPr>
              <w:t>以上</w:t>
            </w:r>
            <w:r w:rsidRPr="00D41D30">
              <w:rPr>
                <w:rFonts w:hAnsi="標楷體" w:hint="eastAsia"/>
                <w:color w:val="000000" w:themeColor="text1"/>
                <w:sz w:val="24"/>
                <w:szCs w:val="24"/>
              </w:rPr>
              <w:t>對象為主，鼓勵50-54歲對象擔任服務人員參加學習</w:t>
            </w:r>
            <w:r w:rsidR="006B5136" w:rsidRPr="00D41D30">
              <w:rPr>
                <w:rFonts w:hAnsi="標楷體" w:hint="eastAsia"/>
                <w:color w:val="000000" w:themeColor="text1"/>
                <w:sz w:val="24"/>
                <w:szCs w:val="24"/>
              </w:rPr>
              <w:t>）</w:t>
            </w:r>
            <w:r w:rsidRPr="00D41D30">
              <w:rPr>
                <w:rFonts w:hAnsi="標楷體" w:hint="eastAsia"/>
                <w:color w:val="000000" w:themeColor="text1"/>
                <w:sz w:val="24"/>
                <w:szCs w:val="24"/>
              </w:rPr>
              <w:t>。</w:t>
            </w:r>
          </w:p>
        </w:tc>
        <w:tc>
          <w:tcPr>
            <w:tcW w:w="198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每班需收滿20位65歲以上老人。</w:t>
            </w:r>
          </w:p>
        </w:tc>
        <w:tc>
          <w:tcPr>
            <w:tcW w:w="1814" w:type="dxa"/>
          </w:tcPr>
          <w:p w:rsidR="00B37126" w:rsidRPr="00D41D30" w:rsidRDefault="00B37126" w:rsidP="00280BE9">
            <w:pPr>
              <w:spacing w:line="320" w:lineRule="exact"/>
              <w:ind w:left="-51"/>
              <w:textAlignment w:val="center"/>
              <w:rPr>
                <w:rFonts w:hAnsi="標楷體"/>
                <w:color w:val="000000" w:themeColor="text1"/>
                <w:sz w:val="24"/>
                <w:szCs w:val="24"/>
              </w:rPr>
            </w:pPr>
            <w:r w:rsidRPr="00D41D30">
              <w:rPr>
                <w:rFonts w:hAnsi="標楷體" w:hint="eastAsia"/>
                <w:color w:val="000000" w:themeColor="text1"/>
                <w:sz w:val="24"/>
                <w:szCs w:val="24"/>
              </w:rPr>
              <w:t>55歲以上</w:t>
            </w:r>
          </w:p>
        </w:tc>
      </w:tr>
      <w:tr w:rsidR="00B37126" w:rsidRPr="00D41D30" w:rsidTr="008170CA">
        <w:trPr>
          <w:trHeight w:val="382"/>
          <w:jc w:val="center"/>
        </w:trPr>
        <w:tc>
          <w:tcPr>
            <w:tcW w:w="992" w:type="dxa"/>
            <w:shd w:val="clear" w:color="auto" w:fill="auto"/>
          </w:tcPr>
          <w:p w:rsidR="00B37126" w:rsidRPr="00D41D30" w:rsidRDefault="00B37126" w:rsidP="00280BE9">
            <w:pPr>
              <w:spacing w:line="320" w:lineRule="exact"/>
              <w:jc w:val="center"/>
              <w:textAlignment w:val="center"/>
              <w:rPr>
                <w:rFonts w:hAnsi="標楷體" w:cs="Arial"/>
                <w:b/>
                <w:color w:val="000000" w:themeColor="text1"/>
                <w:sz w:val="24"/>
                <w:szCs w:val="24"/>
              </w:rPr>
            </w:pPr>
            <w:r w:rsidRPr="00D41D30">
              <w:rPr>
                <w:rFonts w:hAnsi="標楷體" w:hint="eastAsia"/>
                <w:b/>
                <w:color w:val="000000" w:themeColor="text1"/>
                <w:sz w:val="24"/>
                <w:szCs w:val="24"/>
              </w:rPr>
              <w:t>主要課程領域</w:t>
            </w:r>
          </w:p>
        </w:tc>
        <w:tc>
          <w:tcPr>
            <w:tcW w:w="184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cs="Arial" w:hint="eastAsia"/>
                <w:color w:val="000000" w:themeColor="text1"/>
                <w:sz w:val="24"/>
                <w:szCs w:val="24"/>
              </w:rPr>
              <w:t>主要分為學術、社團及生活藝能課程</w:t>
            </w:r>
          </w:p>
        </w:tc>
        <w:tc>
          <w:tcPr>
            <w:tcW w:w="2126" w:type="dxa"/>
            <w:shd w:val="clear" w:color="auto" w:fill="auto"/>
          </w:tcPr>
          <w:p w:rsidR="00B37126" w:rsidRPr="00D41D30" w:rsidRDefault="00B37126" w:rsidP="00280BE9">
            <w:pPr>
              <w:spacing w:line="320" w:lineRule="exact"/>
              <w:ind w:leftChars="-21" w:left="-16" w:hangingChars="21" w:hanging="55"/>
              <w:textAlignment w:val="center"/>
              <w:rPr>
                <w:rFonts w:hAnsi="標楷體" w:cs="Arial"/>
                <w:color w:val="000000" w:themeColor="text1"/>
                <w:sz w:val="24"/>
                <w:szCs w:val="24"/>
              </w:rPr>
            </w:pPr>
            <w:r w:rsidRPr="00D41D30">
              <w:rPr>
                <w:rFonts w:hAnsi="標楷體" w:cs="Arial" w:hint="eastAsia"/>
                <w:color w:val="000000" w:themeColor="text1"/>
                <w:sz w:val="24"/>
                <w:szCs w:val="24"/>
              </w:rPr>
              <w:t>課程之架構及內涵如下：</w:t>
            </w:r>
          </w:p>
          <w:p w:rsidR="00B37126" w:rsidRPr="00D41D30" w:rsidRDefault="00B37126" w:rsidP="00280BE9">
            <w:pPr>
              <w:spacing w:line="320" w:lineRule="exact"/>
              <w:ind w:leftChars="-21" w:left="244" w:hangingChars="121" w:hanging="315"/>
              <w:textAlignment w:val="center"/>
              <w:rPr>
                <w:rFonts w:hAnsi="標楷體" w:cs="Arial"/>
                <w:color w:val="000000" w:themeColor="text1"/>
                <w:sz w:val="24"/>
                <w:szCs w:val="24"/>
              </w:rPr>
            </w:pPr>
            <w:r w:rsidRPr="00D41D30">
              <w:rPr>
                <w:rFonts w:hAnsi="標楷體" w:cs="Arial"/>
                <w:color w:val="000000" w:themeColor="text1"/>
                <w:sz w:val="24"/>
                <w:szCs w:val="24"/>
              </w:rPr>
              <w:t>1.</w:t>
            </w:r>
            <w:r w:rsidRPr="00D41D30">
              <w:rPr>
                <w:rFonts w:hAnsi="標楷體" w:cs="Arial" w:hint="eastAsia"/>
                <w:color w:val="000000" w:themeColor="text1"/>
                <w:sz w:val="24"/>
                <w:szCs w:val="24"/>
              </w:rPr>
              <w:t>樂齡核心課程：本類型課程以活躍老化課程為主，可從中發展成為樂齡中心之特色課程，讓民眾了解</w:t>
            </w:r>
            <w:r w:rsidR="006C4562" w:rsidRPr="00D41D30">
              <w:rPr>
                <w:rFonts w:hAnsi="標楷體" w:cs="Arial" w:hint="eastAsia"/>
                <w:color w:val="000000" w:themeColor="text1"/>
                <w:sz w:val="24"/>
                <w:szCs w:val="24"/>
              </w:rPr>
              <w:t>該部</w:t>
            </w:r>
            <w:r w:rsidRPr="00D41D30">
              <w:rPr>
                <w:rFonts w:hAnsi="標楷體" w:cs="Arial" w:hint="eastAsia"/>
                <w:color w:val="000000" w:themeColor="text1"/>
                <w:sz w:val="24"/>
                <w:szCs w:val="24"/>
              </w:rPr>
              <w:t>推動高齡教育政策之目的，並強化中高齡者對於老化生活之準備。</w:t>
            </w:r>
          </w:p>
          <w:p w:rsidR="00B37126" w:rsidRPr="00D41D30" w:rsidRDefault="00B37126" w:rsidP="00280BE9">
            <w:pPr>
              <w:spacing w:line="320" w:lineRule="exact"/>
              <w:ind w:leftChars="-21" w:left="244" w:hangingChars="121" w:hanging="315"/>
              <w:textAlignment w:val="center"/>
              <w:rPr>
                <w:rFonts w:hAnsi="標楷體" w:cs="Arial"/>
                <w:color w:val="000000" w:themeColor="text1"/>
                <w:sz w:val="24"/>
                <w:szCs w:val="24"/>
              </w:rPr>
            </w:pPr>
            <w:r w:rsidRPr="00D41D30">
              <w:rPr>
                <w:rFonts w:hAnsi="標楷體" w:cs="Arial"/>
                <w:color w:val="000000" w:themeColor="text1"/>
                <w:sz w:val="24"/>
                <w:szCs w:val="24"/>
              </w:rPr>
              <w:t>2.</w:t>
            </w:r>
            <w:r w:rsidRPr="00D41D30">
              <w:rPr>
                <w:rFonts w:hAnsi="標楷體" w:cs="Arial" w:hint="eastAsia"/>
                <w:color w:val="000000" w:themeColor="text1"/>
                <w:sz w:val="24"/>
                <w:szCs w:val="24"/>
              </w:rPr>
              <w:t>自主規劃課程：本類型課程由樂齡中心依地方資源、特色、中高齡者興趣、需求等條件，自行規劃課程，以能吸引樂齡族參與學習為主。</w:t>
            </w:r>
          </w:p>
          <w:p w:rsidR="00B37126" w:rsidRPr="00D41D30" w:rsidRDefault="00B37126" w:rsidP="00280BE9">
            <w:pPr>
              <w:spacing w:line="320" w:lineRule="exact"/>
              <w:ind w:leftChars="-21" w:left="244" w:hangingChars="121" w:hanging="315"/>
              <w:textAlignment w:val="center"/>
              <w:rPr>
                <w:rFonts w:hAnsi="標楷體" w:cs="Arial"/>
                <w:color w:val="000000" w:themeColor="text1"/>
                <w:sz w:val="24"/>
                <w:szCs w:val="24"/>
              </w:rPr>
            </w:pPr>
            <w:r w:rsidRPr="00D41D30">
              <w:rPr>
                <w:rFonts w:hAnsi="標楷體" w:cs="Arial"/>
                <w:color w:val="000000" w:themeColor="text1"/>
                <w:sz w:val="24"/>
                <w:szCs w:val="24"/>
              </w:rPr>
              <w:t>3.</w:t>
            </w:r>
            <w:r w:rsidRPr="00D41D30">
              <w:rPr>
                <w:rFonts w:hAnsi="標楷體" w:cs="Arial" w:hint="eastAsia"/>
                <w:color w:val="000000" w:themeColor="text1"/>
                <w:sz w:val="24"/>
                <w:szCs w:val="24"/>
              </w:rPr>
              <w:t>貢獻服務課程：本類型課程以各樂齡中心志工團隊之進修課程及自</w:t>
            </w:r>
            <w:r w:rsidRPr="00D41D30">
              <w:rPr>
                <w:rFonts w:hAnsi="標楷體" w:cs="Arial" w:hint="eastAsia"/>
                <w:color w:val="000000" w:themeColor="text1"/>
                <w:sz w:val="24"/>
                <w:szCs w:val="24"/>
              </w:rPr>
              <w:lastRenderedPageBreak/>
              <w:t>主服務課程為主。</w:t>
            </w:r>
          </w:p>
        </w:tc>
        <w:tc>
          <w:tcPr>
            <w:tcW w:w="1843" w:type="dxa"/>
            <w:shd w:val="clear" w:color="auto" w:fill="auto"/>
          </w:tcPr>
          <w:p w:rsidR="00B37126" w:rsidRPr="00D41D30" w:rsidRDefault="00B37126" w:rsidP="00280BE9">
            <w:pPr>
              <w:spacing w:line="320" w:lineRule="exact"/>
              <w:textAlignment w:val="center"/>
              <w:rPr>
                <w:rFonts w:hAnsi="標楷體"/>
                <w:color w:val="000000" w:themeColor="text1"/>
                <w:sz w:val="24"/>
                <w:szCs w:val="24"/>
                <w:lang w:val="x-none"/>
              </w:rPr>
            </w:pPr>
            <w:r w:rsidRPr="00D41D30">
              <w:rPr>
                <w:rFonts w:hAnsi="標楷體" w:hint="eastAsia"/>
                <w:color w:val="000000" w:themeColor="text1"/>
                <w:sz w:val="24"/>
                <w:szCs w:val="24"/>
                <w:lang w:val="x-none"/>
              </w:rPr>
              <w:lastRenderedPageBreak/>
              <w:t>由各校申請單位，整合適當之相關科系所規劃高齡者之課程學習內容，課程內容可依學校之發展特色規劃設計，課程類型應包含高齡相關課程、生活新知課程、健康休閒課程、學校特色課程。</w:t>
            </w:r>
          </w:p>
        </w:tc>
        <w:tc>
          <w:tcPr>
            <w:tcW w:w="1984" w:type="dxa"/>
          </w:tcPr>
          <w:p w:rsidR="00B37126" w:rsidRPr="00D41D30" w:rsidRDefault="00B37126" w:rsidP="00280BE9">
            <w:pPr>
              <w:spacing w:line="320" w:lineRule="exact"/>
              <w:textAlignment w:val="center"/>
              <w:rPr>
                <w:rFonts w:hAnsi="標楷體" w:cs="Arial"/>
                <w:color w:val="000000" w:themeColor="text1"/>
                <w:sz w:val="24"/>
                <w:szCs w:val="24"/>
              </w:rPr>
            </w:pPr>
            <w:r w:rsidRPr="00D41D30">
              <w:rPr>
                <w:rFonts w:hAnsi="標楷體" w:cs="Arial" w:hint="eastAsia"/>
                <w:color w:val="000000" w:themeColor="text1"/>
                <w:sz w:val="24"/>
                <w:szCs w:val="24"/>
              </w:rPr>
              <w:t>1.課程內容兼具益智性、教育性、欣賞性、運動性等動靜態性質。</w:t>
            </w:r>
          </w:p>
          <w:p w:rsidR="00B37126" w:rsidRPr="00D41D30" w:rsidRDefault="00B37126" w:rsidP="00280BE9">
            <w:pPr>
              <w:spacing w:line="320" w:lineRule="exact"/>
              <w:textAlignment w:val="center"/>
              <w:rPr>
                <w:rFonts w:hAnsi="標楷體" w:cs="Arial"/>
                <w:color w:val="000000" w:themeColor="text1"/>
                <w:sz w:val="24"/>
                <w:szCs w:val="24"/>
              </w:rPr>
            </w:pPr>
            <w:r w:rsidRPr="00D41D30">
              <w:rPr>
                <w:rFonts w:hAnsi="標楷體" w:cs="Arial" w:hint="eastAsia"/>
                <w:color w:val="000000" w:themeColor="text1"/>
                <w:sz w:val="24"/>
                <w:szCs w:val="24"/>
              </w:rPr>
              <w:t>2.為因應數位科技快速發展，避免老人因不諳電腦或網路，而成為數位弱勢族群，將長青生活資訊訓練列為優先補助項目。</w:t>
            </w:r>
          </w:p>
        </w:tc>
        <w:tc>
          <w:tcPr>
            <w:tcW w:w="1814" w:type="dxa"/>
          </w:tcPr>
          <w:p w:rsidR="00B37126" w:rsidRPr="00D41D30" w:rsidRDefault="00B37126" w:rsidP="00280BE9">
            <w:pPr>
              <w:spacing w:line="320" w:lineRule="exact"/>
              <w:ind w:left="-51"/>
              <w:textAlignment w:val="center"/>
              <w:rPr>
                <w:rFonts w:hAnsi="標楷體"/>
                <w:color w:val="000000" w:themeColor="text1"/>
                <w:sz w:val="24"/>
                <w:szCs w:val="24"/>
              </w:rPr>
            </w:pPr>
            <w:r w:rsidRPr="00D41D30">
              <w:rPr>
                <w:rFonts w:hAnsi="標楷體" w:hint="eastAsia"/>
                <w:color w:val="000000" w:themeColor="text1"/>
                <w:sz w:val="24"/>
                <w:szCs w:val="24"/>
              </w:rPr>
              <w:t>1.共同科目包含天下大小事、美化人生、養生保健、市政櫥窗以及志願服務，由社會局統一安排。</w:t>
            </w:r>
          </w:p>
          <w:p w:rsidR="00B37126" w:rsidRPr="00D41D30" w:rsidRDefault="00B37126" w:rsidP="00280BE9">
            <w:pPr>
              <w:spacing w:line="320" w:lineRule="exact"/>
              <w:ind w:left="-51"/>
              <w:textAlignment w:val="center"/>
              <w:rPr>
                <w:rFonts w:hAnsi="標楷體"/>
                <w:color w:val="000000" w:themeColor="text1"/>
                <w:sz w:val="24"/>
                <w:szCs w:val="24"/>
              </w:rPr>
            </w:pPr>
            <w:r w:rsidRPr="00D41D30">
              <w:rPr>
                <w:rFonts w:hAnsi="標楷體" w:hint="eastAsia"/>
                <w:color w:val="000000" w:themeColor="text1"/>
                <w:sz w:val="24"/>
                <w:szCs w:val="24"/>
              </w:rPr>
              <w:t>2.選修課程由各承辦單位設計符合長者興趣、需求及特性之課程內容。</w:t>
            </w:r>
          </w:p>
        </w:tc>
      </w:tr>
      <w:tr w:rsidR="00B37126" w:rsidRPr="00D41D30" w:rsidTr="003E446B">
        <w:trPr>
          <w:jc w:val="center"/>
        </w:trPr>
        <w:tc>
          <w:tcPr>
            <w:tcW w:w="992" w:type="dxa"/>
            <w:shd w:val="clear" w:color="auto" w:fill="auto"/>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lastRenderedPageBreak/>
              <w:t>上課時間</w:t>
            </w:r>
          </w:p>
        </w:tc>
        <w:tc>
          <w:tcPr>
            <w:tcW w:w="184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由各地方政府訂定；以週一至週五晚間為主</w:t>
            </w:r>
            <w:r w:rsidRPr="00D41D30">
              <w:rPr>
                <w:rFonts w:hAnsi="標楷體"/>
                <w:color w:val="000000" w:themeColor="text1"/>
                <w:sz w:val="24"/>
                <w:szCs w:val="24"/>
              </w:rPr>
              <w:t>。</w:t>
            </w:r>
          </w:p>
        </w:tc>
        <w:tc>
          <w:tcPr>
            <w:tcW w:w="2126" w:type="dxa"/>
            <w:shd w:val="clear" w:color="auto" w:fill="auto"/>
          </w:tcPr>
          <w:p w:rsidR="00B37126" w:rsidRPr="00D41D30" w:rsidRDefault="00B37126" w:rsidP="00280BE9">
            <w:pPr>
              <w:spacing w:line="320" w:lineRule="exact"/>
              <w:textAlignment w:val="center"/>
              <w:rPr>
                <w:rFonts w:hAnsi="標楷體" w:cs="Arial"/>
                <w:color w:val="000000" w:themeColor="text1"/>
                <w:sz w:val="24"/>
                <w:szCs w:val="24"/>
              </w:rPr>
            </w:pPr>
            <w:r w:rsidRPr="00D41D30">
              <w:rPr>
                <w:rFonts w:hAnsi="標楷體" w:cs="Arial"/>
                <w:color w:val="000000" w:themeColor="text1"/>
                <w:sz w:val="24"/>
                <w:szCs w:val="24"/>
              </w:rPr>
              <w:t>開設課程及辦理活動以</w:t>
            </w:r>
            <w:r w:rsidRPr="00D41D30">
              <w:rPr>
                <w:rFonts w:hAnsi="標楷體" w:cs="Arial" w:hint="eastAsia"/>
                <w:color w:val="000000" w:themeColor="text1"/>
                <w:sz w:val="24"/>
                <w:szCs w:val="24"/>
              </w:rPr>
              <w:t>白天</w:t>
            </w:r>
            <w:r w:rsidRPr="00D41D30">
              <w:rPr>
                <w:rFonts w:hAnsi="標楷體" w:cs="Arial"/>
                <w:color w:val="000000" w:themeColor="text1"/>
                <w:sz w:val="24"/>
                <w:szCs w:val="24"/>
              </w:rPr>
              <w:t>為原則</w:t>
            </w:r>
            <w:r w:rsidRPr="00D41D30">
              <w:rPr>
                <w:rFonts w:hAnsi="標楷體" w:cs="Arial" w:hint="eastAsia"/>
                <w:color w:val="000000" w:themeColor="text1"/>
                <w:sz w:val="24"/>
                <w:szCs w:val="24"/>
              </w:rPr>
              <w:t>。</w:t>
            </w:r>
          </w:p>
        </w:tc>
        <w:tc>
          <w:tcPr>
            <w:tcW w:w="1843" w:type="dxa"/>
            <w:shd w:val="clear" w:color="auto" w:fill="auto"/>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以白天上課為主，於學期</w:t>
            </w:r>
            <w:r w:rsidRPr="00D41D30">
              <w:rPr>
                <w:rFonts w:hAnsi="標楷體"/>
                <w:color w:val="000000" w:themeColor="text1"/>
                <w:sz w:val="24"/>
                <w:szCs w:val="24"/>
              </w:rPr>
              <w:t>中大多每個月</w:t>
            </w:r>
          </w:p>
        </w:tc>
        <w:tc>
          <w:tcPr>
            <w:tcW w:w="1984" w:type="dxa"/>
          </w:tcPr>
          <w:p w:rsidR="00B37126" w:rsidRPr="00D41D30" w:rsidRDefault="00B37126" w:rsidP="00280BE9">
            <w:pPr>
              <w:adjustRightInd w:val="0"/>
              <w:snapToGrid w:val="0"/>
              <w:spacing w:line="300" w:lineRule="auto"/>
              <w:textAlignment w:val="center"/>
              <w:rPr>
                <w:rFonts w:hAnsi="標楷體"/>
                <w:color w:val="000000" w:themeColor="text1"/>
                <w:sz w:val="24"/>
                <w:szCs w:val="24"/>
              </w:rPr>
            </w:pPr>
            <w:r w:rsidRPr="00D41D30">
              <w:rPr>
                <w:rFonts w:hAnsi="標楷體" w:hint="eastAsia"/>
                <w:color w:val="000000" w:themeColor="text1"/>
                <w:sz w:val="24"/>
                <w:szCs w:val="24"/>
              </w:rPr>
              <w:t>每班課程達24小時以上。</w:t>
            </w:r>
          </w:p>
        </w:tc>
        <w:tc>
          <w:tcPr>
            <w:tcW w:w="181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由承辦單位自行規劃。</w:t>
            </w:r>
          </w:p>
        </w:tc>
      </w:tr>
      <w:tr w:rsidR="00B37126" w:rsidRPr="00D41D30" w:rsidTr="003E446B">
        <w:trPr>
          <w:jc w:val="center"/>
        </w:trPr>
        <w:tc>
          <w:tcPr>
            <w:tcW w:w="992" w:type="dxa"/>
            <w:shd w:val="clear" w:color="auto" w:fill="auto"/>
          </w:tcPr>
          <w:p w:rsidR="00B37126" w:rsidRPr="00D41D30" w:rsidRDefault="00B37126" w:rsidP="00280BE9">
            <w:pPr>
              <w:spacing w:line="320" w:lineRule="exact"/>
              <w:jc w:val="center"/>
              <w:textAlignment w:val="center"/>
              <w:rPr>
                <w:rFonts w:hAnsi="標楷體"/>
                <w:b/>
                <w:color w:val="000000" w:themeColor="text1"/>
                <w:sz w:val="24"/>
                <w:szCs w:val="24"/>
              </w:rPr>
            </w:pPr>
            <w:r w:rsidRPr="00D41D30">
              <w:rPr>
                <w:rFonts w:hAnsi="標楷體" w:hint="eastAsia"/>
                <w:b/>
                <w:color w:val="000000" w:themeColor="text1"/>
                <w:sz w:val="24"/>
                <w:szCs w:val="24"/>
              </w:rPr>
              <w:t>課程期間</w:t>
            </w:r>
          </w:p>
        </w:tc>
        <w:tc>
          <w:tcPr>
            <w:tcW w:w="184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由各地方政府訂定；每年度以開設兩期（春季班、秋季班）課程為主，通常一期上課以18週為原則。</w:t>
            </w:r>
          </w:p>
        </w:tc>
        <w:tc>
          <w:tcPr>
            <w:tcW w:w="2126" w:type="dxa"/>
            <w:shd w:val="clear" w:color="auto" w:fill="auto"/>
          </w:tcPr>
          <w:p w:rsidR="00B37126" w:rsidRPr="00D41D30" w:rsidRDefault="00B37126" w:rsidP="00280BE9">
            <w:pPr>
              <w:spacing w:line="320" w:lineRule="exact"/>
              <w:ind w:leftChars="-21" w:left="-16" w:hangingChars="21" w:hanging="55"/>
              <w:textAlignment w:val="center"/>
              <w:rPr>
                <w:rFonts w:hAnsi="標楷體" w:cs="Arial"/>
                <w:color w:val="000000" w:themeColor="text1"/>
                <w:sz w:val="24"/>
                <w:szCs w:val="24"/>
              </w:rPr>
            </w:pPr>
            <w:r w:rsidRPr="00D41D30">
              <w:rPr>
                <w:rFonts w:hAnsi="標楷體" w:cs="Arial" w:hint="eastAsia"/>
                <w:color w:val="000000" w:themeColor="text1"/>
                <w:sz w:val="24"/>
                <w:szCs w:val="24"/>
              </w:rPr>
              <w:t>樂齡中心每年課程活動時數為208</w:t>
            </w:r>
            <w:r w:rsidRPr="00D41D30">
              <w:rPr>
                <w:rFonts w:hAnsi="標楷體" w:cs="Arial"/>
                <w:color w:val="000000" w:themeColor="text1"/>
                <w:sz w:val="24"/>
                <w:szCs w:val="24"/>
              </w:rPr>
              <w:t>-624</w:t>
            </w:r>
            <w:r w:rsidRPr="00D41D30">
              <w:rPr>
                <w:rFonts w:hAnsi="標楷體" w:cs="Arial" w:hint="eastAsia"/>
                <w:color w:val="000000" w:themeColor="text1"/>
                <w:sz w:val="24"/>
                <w:szCs w:val="24"/>
              </w:rPr>
              <w:t>小時，大約每周4小時至12小時的課程，其餘時間將會規劃樂齡社團活動。</w:t>
            </w:r>
          </w:p>
        </w:tc>
        <w:tc>
          <w:tcPr>
            <w:tcW w:w="1843" w:type="dxa"/>
            <w:shd w:val="clear" w:color="auto" w:fill="auto"/>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課程規劃採學年制，上、下學期均需開設課程，每學期12至18週，每週6至9節為原則，每學年總上課時數合計需達216小時。</w:t>
            </w:r>
          </w:p>
        </w:tc>
        <w:tc>
          <w:tcPr>
            <w:tcW w:w="1984" w:type="dxa"/>
          </w:tcPr>
          <w:p w:rsidR="00B37126" w:rsidRPr="00D41D30" w:rsidRDefault="00B37126" w:rsidP="00280BE9">
            <w:pPr>
              <w:adjustRightInd w:val="0"/>
              <w:snapToGrid w:val="0"/>
              <w:spacing w:line="300" w:lineRule="auto"/>
              <w:textAlignment w:val="center"/>
              <w:rPr>
                <w:rFonts w:hAnsi="標楷體"/>
                <w:color w:val="000000" w:themeColor="text1"/>
                <w:sz w:val="24"/>
                <w:szCs w:val="24"/>
              </w:rPr>
            </w:pPr>
            <w:r w:rsidRPr="00D41D30">
              <w:rPr>
                <w:rFonts w:hAnsi="標楷體" w:hint="eastAsia"/>
                <w:color w:val="000000" w:themeColor="text1"/>
                <w:sz w:val="24"/>
                <w:szCs w:val="24"/>
              </w:rPr>
              <w:t>連續滿12週。</w:t>
            </w:r>
          </w:p>
        </w:tc>
        <w:tc>
          <w:tcPr>
            <w:tcW w:w="1814" w:type="dxa"/>
          </w:tcPr>
          <w:p w:rsidR="00B37126" w:rsidRPr="00D41D30" w:rsidRDefault="00B37126" w:rsidP="00280BE9">
            <w:pPr>
              <w:spacing w:line="320" w:lineRule="exact"/>
              <w:textAlignment w:val="center"/>
              <w:rPr>
                <w:rFonts w:hAnsi="標楷體"/>
                <w:color w:val="000000" w:themeColor="text1"/>
                <w:sz w:val="24"/>
                <w:szCs w:val="24"/>
              </w:rPr>
            </w:pPr>
            <w:r w:rsidRPr="00D41D30">
              <w:rPr>
                <w:rFonts w:hAnsi="標楷體" w:hint="eastAsia"/>
                <w:color w:val="000000" w:themeColor="text1"/>
                <w:sz w:val="24"/>
                <w:szCs w:val="24"/>
              </w:rPr>
              <w:t>新北市108年為3月至12月、臺南市則分為春季班及秋季班</w:t>
            </w:r>
          </w:p>
        </w:tc>
      </w:tr>
    </w:tbl>
    <w:p w:rsidR="0009707A" w:rsidRPr="00D41D30" w:rsidRDefault="008170CA" w:rsidP="004B7D7E">
      <w:pPr>
        <w:rPr>
          <w:color w:val="000000" w:themeColor="text1"/>
          <w:sz w:val="24"/>
          <w:szCs w:val="24"/>
        </w:rPr>
      </w:pPr>
      <w:r w:rsidRPr="00D41D30">
        <w:rPr>
          <w:rFonts w:hint="eastAsia"/>
          <w:color w:val="000000" w:themeColor="text1"/>
          <w:sz w:val="24"/>
          <w:szCs w:val="24"/>
        </w:rPr>
        <w:t>資料來源：教育部調卷資料</w:t>
      </w:r>
    </w:p>
    <w:p w:rsidR="002B7EFF" w:rsidRPr="00D41D30" w:rsidRDefault="002B7EFF" w:rsidP="00322621">
      <w:pPr>
        <w:pStyle w:val="3"/>
        <w:spacing w:beforeLines="50" w:before="228"/>
        <w:ind w:left="1360" w:hanging="680"/>
        <w:rPr>
          <w:color w:val="000000" w:themeColor="text1"/>
        </w:rPr>
      </w:pPr>
      <w:bookmarkStart w:id="315" w:name="_Toc27670600"/>
      <w:bookmarkStart w:id="316" w:name="_Toc30512456"/>
      <w:bookmarkStart w:id="317" w:name="_Toc30581164"/>
      <w:bookmarkStart w:id="318" w:name="_Toc32392437"/>
      <w:bookmarkStart w:id="319" w:name="_Toc32673627"/>
      <w:bookmarkStart w:id="320" w:name="_Toc32845769"/>
      <w:bookmarkStart w:id="321" w:name="_Toc32846492"/>
      <w:bookmarkStart w:id="322" w:name="_Toc32913735"/>
      <w:bookmarkStart w:id="323" w:name="_Toc32918411"/>
      <w:bookmarkStart w:id="324" w:name="_Toc33011704"/>
      <w:r w:rsidRPr="00D41D30">
        <w:rPr>
          <w:rFonts w:hint="eastAsia"/>
          <w:color w:val="000000" w:themeColor="text1"/>
        </w:rPr>
        <w:t>「行政院人口及人才政策會報」</w:t>
      </w:r>
      <w:r w:rsidR="00C673F8" w:rsidRPr="00D41D30">
        <w:rPr>
          <w:rFonts w:hint="eastAsia"/>
          <w:color w:val="000000" w:themeColor="text1"/>
        </w:rPr>
        <w:t>相關協調督導情形</w:t>
      </w:r>
      <w:bookmarkEnd w:id="315"/>
      <w:bookmarkEnd w:id="316"/>
      <w:bookmarkEnd w:id="317"/>
      <w:bookmarkEnd w:id="318"/>
      <w:bookmarkEnd w:id="319"/>
      <w:bookmarkEnd w:id="320"/>
      <w:bookmarkEnd w:id="321"/>
      <w:bookmarkEnd w:id="322"/>
      <w:bookmarkEnd w:id="323"/>
      <w:bookmarkEnd w:id="324"/>
    </w:p>
    <w:p w:rsidR="0035239F" w:rsidRPr="00D41D30" w:rsidRDefault="00375448" w:rsidP="00375448">
      <w:pPr>
        <w:pStyle w:val="4"/>
        <w:rPr>
          <w:color w:val="000000" w:themeColor="text1"/>
        </w:rPr>
      </w:pPr>
      <w:r w:rsidRPr="00D41D30">
        <w:rPr>
          <w:rFonts w:hint="eastAsia"/>
          <w:color w:val="000000" w:themeColor="text1"/>
        </w:rPr>
        <w:t>有關「行政院人口及人才政策會報」經</w:t>
      </w:r>
      <w:r w:rsidR="00322621" w:rsidRPr="00D41D30">
        <w:rPr>
          <w:rFonts w:hint="eastAsia"/>
          <w:color w:val="000000" w:themeColor="text1"/>
        </w:rPr>
        <w:t>教育部</w:t>
      </w:r>
      <w:r w:rsidRPr="00D41D30">
        <w:rPr>
          <w:rFonts w:hint="eastAsia"/>
          <w:color w:val="000000" w:themeColor="text1"/>
        </w:rPr>
        <w:t>洽</w:t>
      </w:r>
      <w:r w:rsidR="00322621" w:rsidRPr="00D41D30">
        <w:rPr>
          <w:rFonts w:hint="eastAsia"/>
          <w:color w:val="000000" w:themeColor="text1"/>
        </w:rPr>
        <w:t>國家發展委員會</w:t>
      </w:r>
      <w:r w:rsidRPr="00D41D30">
        <w:rPr>
          <w:rFonts w:hint="eastAsia"/>
          <w:color w:val="000000" w:themeColor="text1"/>
        </w:rPr>
        <w:t>表示，業於105年11月表示15日修正名稱為行政院人口政策會報。而「行政院人口政策會報設置要點」自107年4月20日停止適用。</w:t>
      </w:r>
    </w:p>
    <w:p w:rsidR="00C673F8" w:rsidRPr="00D41D30" w:rsidRDefault="00375448" w:rsidP="00375448">
      <w:pPr>
        <w:pStyle w:val="4"/>
        <w:rPr>
          <w:color w:val="000000" w:themeColor="text1"/>
        </w:rPr>
      </w:pPr>
      <w:r w:rsidRPr="00D41D30">
        <w:rPr>
          <w:rFonts w:hint="eastAsia"/>
          <w:color w:val="000000" w:themeColor="text1"/>
        </w:rPr>
        <w:t>有關</w:t>
      </w:r>
      <w:r w:rsidR="006C4562" w:rsidRPr="00D41D30">
        <w:rPr>
          <w:rFonts w:hint="eastAsia"/>
          <w:color w:val="000000" w:themeColor="text1"/>
        </w:rPr>
        <w:t>該部</w:t>
      </w:r>
      <w:r w:rsidRPr="00D41D30">
        <w:rPr>
          <w:rFonts w:hint="eastAsia"/>
          <w:color w:val="000000" w:themeColor="text1"/>
        </w:rPr>
        <w:t>中高齡政策相關推動，已納入「行政院人口政策白皮書-少女子化、高齡化及移民</w:t>
      </w:r>
      <w:r w:rsidR="00B562C7" w:rsidRPr="00D41D30">
        <w:rPr>
          <w:rFonts w:hint="eastAsia"/>
          <w:color w:val="000000" w:themeColor="text1"/>
        </w:rPr>
        <w:t>（</w:t>
      </w:r>
      <w:r w:rsidRPr="00D41D30">
        <w:rPr>
          <w:rFonts w:hint="eastAsia"/>
          <w:color w:val="000000" w:themeColor="text1"/>
        </w:rPr>
        <w:t>97-105年</w:t>
      </w:r>
      <w:r w:rsidR="006B5136" w:rsidRPr="00D41D30">
        <w:rPr>
          <w:rFonts w:hint="eastAsia"/>
          <w:color w:val="000000" w:themeColor="text1"/>
        </w:rPr>
        <w:t>）</w:t>
      </w:r>
      <w:r w:rsidRPr="00D41D30">
        <w:rPr>
          <w:rFonts w:hint="eastAsia"/>
          <w:color w:val="000000" w:themeColor="text1"/>
        </w:rPr>
        <w:t>」第二章「高齡化之對策」第五節完善高齡教育體系，及行政院高齡社會白皮書等章節，</w:t>
      </w:r>
      <w:r w:rsidR="006C4562" w:rsidRPr="00D41D30">
        <w:rPr>
          <w:rFonts w:hint="eastAsia"/>
          <w:color w:val="000000" w:themeColor="text1"/>
        </w:rPr>
        <w:t>該部</w:t>
      </w:r>
      <w:r w:rsidRPr="00D41D30">
        <w:rPr>
          <w:rFonts w:hint="eastAsia"/>
          <w:color w:val="000000" w:themeColor="text1"/>
        </w:rPr>
        <w:t>前於102年及105年向行政院簡報樂齡學習執行成效，於3494次院會決議：「教育部自民國97年起建構樂齡學習中心，協助高齡者透過學習促進身心健康、增進晚年價值，值得肯定。因應107年高齡社會的來臨，本院已於104年10月核定「高齡社會白皮書」，請教育部</w:t>
      </w:r>
      <w:r w:rsidRPr="00D41D30">
        <w:rPr>
          <w:rFonts w:hint="eastAsia"/>
          <w:color w:val="000000" w:themeColor="text1"/>
        </w:rPr>
        <w:lastRenderedPageBreak/>
        <w:t>持續推動樂齡學習優先區、建立認證機制、設置退休準備教育中心等措施，並整合相關部會及民間資源續予推動，以充分提供高齡者進階學習的機會。」</w:t>
      </w:r>
      <w:r w:rsidR="006C4562" w:rsidRPr="00D41D30">
        <w:rPr>
          <w:rFonts w:hint="eastAsia"/>
          <w:color w:val="000000" w:themeColor="text1"/>
        </w:rPr>
        <w:t>該部</w:t>
      </w:r>
      <w:r w:rsidRPr="00D41D30">
        <w:rPr>
          <w:rFonts w:hint="eastAsia"/>
          <w:color w:val="000000" w:themeColor="text1"/>
        </w:rPr>
        <w:t>並將前述院會決定事項，邀集專家學者納入106年</w:t>
      </w:r>
      <w:r w:rsidR="006C4562" w:rsidRPr="00D41D30">
        <w:rPr>
          <w:rFonts w:hint="eastAsia"/>
          <w:color w:val="000000" w:themeColor="text1"/>
        </w:rPr>
        <w:t>該部</w:t>
      </w:r>
      <w:r w:rsidRPr="00D41D30">
        <w:rPr>
          <w:rFonts w:hint="eastAsia"/>
          <w:color w:val="000000" w:themeColor="text1"/>
        </w:rPr>
        <w:t>研編「迎向高齡社會樂齡學習中程計畫」辦理</w:t>
      </w:r>
    </w:p>
    <w:p w:rsidR="0080735F" w:rsidRPr="00D41D30" w:rsidRDefault="00911F6A" w:rsidP="00911F6A">
      <w:pPr>
        <w:pStyle w:val="3"/>
        <w:rPr>
          <w:color w:val="000000" w:themeColor="text1"/>
        </w:rPr>
      </w:pPr>
      <w:bookmarkStart w:id="325" w:name="_Toc27670601"/>
      <w:bookmarkStart w:id="326" w:name="_Toc30512457"/>
      <w:bookmarkStart w:id="327" w:name="_Toc30581165"/>
      <w:bookmarkStart w:id="328" w:name="_Toc32392438"/>
      <w:bookmarkStart w:id="329" w:name="_Toc32673628"/>
      <w:bookmarkStart w:id="330" w:name="_Toc32845770"/>
      <w:bookmarkStart w:id="331" w:name="_Toc32846493"/>
      <w:bookmarkStart w:id="332" w:name="_Toc32913736"/>
      <w:bookmarkStart w:id="333" w:name="_Toc32918412"/>
      <w:bookmarkStart w:id="334" w:name="_Toc33011705"/>
      <w:r w:rsidRPr="00D41D30">
        <w:rPr>
          <w:rFonts w:hint="eastAsia"/>
          <w:color w:val="000000" w:themeColor="text1"/>
        </w:rPr>
        <w:t>國家教育研究院協助辦理相關研究部分</w:t>
      </w:r>
      <w:bookmarkEnd w:id="325"/>
      <w:bookmarkEnd w:id="326"/>
      <w:bookmarkEnd w:id="327"/>
      <w:bookmarkEnd w:id="328"/>
      <w:bookmarkEnd w:id="329"/>
      <w:bookmarkEnd w:id="330"/>
      <w:bookmarkEnd w:id="331"/>
      <w:bookmarkEnd w:id="332"/>
      <w:bookmarkEnd w:id="333"/>
      <w:bookmarkEnd w:id="334"/>
    </w:p>
    <w:p w:rsidR="00911F6A" w:rsidRPr="00D41D30" w:rsidRDefault="00911F6A" w:rsidP="00911F6A">
      <w:pPr>
        <w:pStyle w:val="4"/>
        <w:rPr>
          <w:color w:val="000000" w:themeColor="text1"/>
        </w:rPr>
      </w:pPr>
      <w:r w:rsidRPr="00D41D30">
        <w:rPr>
          <w:rFonts w:hint="eastAsia"/>
          <w:color w:val="000000" w:themeColor="text1"/>
        </w:rPr>
        <w:t>相關研究如下表</w:t>
      </w:r>
    </w:p>
    <w:p w:rsidR="00D12400" w:rsidRPr="00D41D30" w:rsidRDefault="00D12400" w:rsidP="00471512">
      <w:pPr>
        <w:pStyle w:val="a4"/>
        <w:ind w:left="697" w:hanging="697"/>
        <w:rPr>
          <w:b/>
          <w:color w:val="000000" w:themeColor="text1"/>
        </w:rPr>
      </w:pPr>
      <w:r w:rsidRPr="00D41D30">
        <w:rPr>
          <w:rFonts w:hint="eastAsia"/>
          <w:b/>
          <w:color w:val="000000" w:themeColor="text1"/>
        </w:rPr>
        <w:t>國家教育研究院</w:t>
      </w:r>
      <w:r w:rsidRPr="00D41D30">
        <w:rPr>
          <w:rFonts w:hAnsi="標楷體" w:hint="eastAsia"/>
          <w:b/>
          <w:color w:val="000000" w:themeColor="text1"/>
        </w:rPr>
        <w:t>列表</w:t>
      </w:r>
      <w:r w:rsidRPr="00D41D30">
        <w:rPr>
          <w:rFonts w:hint="eastAsia"/>
          <w:b/>
          <w:color w:val="000000" w:themeColor="text1"/>
        </w:rPr>
        <w:t>資料</w: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
        <w:gridCol w:w="1429"/>
        <w:gridCol w:w="1181"/>
        <w:gridCol w:w="992"/>
        <w:gridCol w:w="4536"/>
        <w:gridCol w:w="845"/>
      </w:tblGrid>
      <w:tr w:rsidR="002F2675" w:rsidRPr="00D41D30" w:rsidTr="00CE5F48">
        <w:trPr>
          <w:tblHeader/>
          <w:jc w:val="center"/>
        </w:trPr>
        <w:tc>
          <w:tcPr>
            <w:tcW w:w="874" w:type="dxa"/>
            <w:tcBorders>
              <w:bottom w:val="single" w:sz="4" w:space="0" w:color="auto"/>
            </w:tcBorders>
            <w:shd w:val="clear" w:color="auto" w:fill="auto"/>
            <w:vAlign w:val="center"/>
          </w:tcPr>
          <w:p w:rsidR="002F2675" w:rsidRPr="00D41D30" w:rsidRDefault="002F2675" w:rsidP="00375489">
            <w:pPr>
              <w:adjustRightInd w:val="0"/>
              <w:snapToGrid w:val="0"/>
              <w:jc w:val="center"/>
              <w:rPr>
                <w:rFonts w:hAnsi="標楷體"/>
                <w:b/>
                <w:color w:val="000000" w:themeColor="text1"/>
                <w:sz w:val="26"/>
                <w:szCs w:val="26"/>
              </w:rPr>
            </w:pPr>
            <w:r w:rsidRPr="00D41D30">
              <w:rPr>
                <w:rFonts w:hAnsi="標楷體"/>
                <w:b/>
                <w:color w:val="000000" w:themeColor="text1"/>
                <w:sz w:val="26"/>
                <w:szCs w:val="26"/>
              </w:rPr>
              <w:t>單位</w:t>
            </w:r>
          </w:p>
        </w:tc>
        <w:tc>
          <w:tcPr>
            <w:tcW w:w="1429" w:type="dxa"/>
            <w:tcBorders>
              <w:bottom w:val="single" w:sz="4" w:space="0" w:color="auto"/>
            </w:tcBorders>
            <w:shd w:val="clear" w:color="auto" w:fill="auto"/>
            <w:vAlign w:val="center"/>
          </w:tcPr>
          <w:p w:rsidR="002F2675" w:rsidRPr="00D41D30" w:rsidRDefault="002F2675" w:rsidP="00375489">
            <w:pPr>
              <w:adjustRightInd w:val="0"/>
              <w:snapToGrid w:val="0"/>
              <w:jc w:val="center"/>
              <w:rPr>
                <w:rFonts w:hAnsi="標楷體"/>
                <w:b/>
                <w:color w:val="000000" w:themeColor="text1"/>
                <w:sz w:val="26"/>
                <w:szCs w:val="26"/>
              </w:rPr>
            </w:pPr>
            <w:r w:rsidRPr="00D41D30">
              <w:rPr>
                <w:rFonts w:hAnsi="標楷體"/>
                <w:b/>
                <w:color w:val="000000" w:themeColor="text1"/>
                <w:sz w:val="26"/>
                <w:szCs w:val="26"/>
              </w:rPr>
              <w:t>計畫名稱</w:t>
            </w:r>
          </w:p>
        </w:tc>
        <w:tc>
          <w:tcPr>
            <w:tcW w:w="1181" w:type="dxa"/>
            <w:tcBorders>
              <w:bottom w:val="single" w:sz="4" w:space="0" w:color="auto"/>
            </w:tcBorders>
            <w:shd w:val="clear" w:color="auto" w:fill="auto"/>
            <w:vAlign w:val="center"/>
          </w:tcPr>
          <w:p w:rsidR="002F2675" w:rsidRPr="00D41D30" w:rsidRDefault="002F2675" w:rsidP="00375489">
            <w:pPr>
              <w:adjustRightInd w:val="0"/>
              <w:snapToGrid w:val="0"/>
              <w:jc w:val="center"/>
              <w:rPr>
                <w:rFonts w:hAnsi="標楷體"/>
                <w:b/>
                <w:color w:val="000000" w:themeColor="text1"/>
                <w:sz w:val="26"/>
                <w:szCs w:val="26"/>
              </w:rPr>
            </w:pPr>
            <w:r w:rsidRPr="00D41D30">
              <w:rPr>
                <w:rFonts w:hAnsi="標楷體"/>
                <w:b/>
                <w:color w:val="000000" w:themeColor="text1"/>
                <w:sz w:val="26"/>
                <w:szCs w:val="26"/>
              </w:rPr>
              <w:t>計畫</w:t>
            </w:r>
          </w:p>
          <w:p w:rsidR="002F2675" w:rsidRPr="00D41D30" w:rsidRDefault="002F2675" w:rsidP="00375489">
            <w:pPr>
              <w:adjustRightInd w:val="0"/>
              <w:snapToGrid w:val="0"/>
              <w:jc w:val="center"/>
              <w:rPr>
                <w:rFonts w:hAnsi="標楷體"/>
                <w:b/>
                <w:color w:val="000000" w:themeColor="text1"/>
                <w:sz w:val="26"/>
                <w:szCs w:val="26"/>
              </w:rPr>
            </w:pPr>
            <w:r w:rsidRPr="00D41D30">
              <w:rPr>
                <w:rFonts w:hAnsi="標楷體"/>
                <w:b/>
                <w:color w:val="000000" w:themeColor="text1"/>
                <w:sz w:val="26"/>
                <w:szCs w:val="26"/>
              </w:rPr>
              <w:t>主持人</w:t>
            </w:r>
          </w:p>
        </w:tc>
        <w:tc>
          <w:tcPr>
            <w:tcW w:w="992" w:type="dxa"/>
            <w:tcBorders>
              <w:bottom w:val="single" w:sz="4" w:space="0" w:color="auto"/>
            </w:tcBorders>
            <w:shd w:val="clear" w:color="auto" w:fill="auto"/>
            <w:vAlign w:val="center"/>
          </w:tcPr>
          <w:p w:rsidR="002F2675" w:rsidRPr="00D41D30" w:rsidRDefault="002F2675" w:rsidP="00375489">
            <w:pPr>
              <w:adjustRightInd w:val="0"/>
              <w:snapToGrid w:val="0"/>
              <w:jc w:val="center"/>
              <w:rPr>
                <w:rFonts w:hAnsi="標楷體"/>
                <w:b/>
                <w:color w:val="000000" w:themeColor="text1"/>
                <w:sz w:val="26"/>
                <w:szCs w:val="26"/>
              </w:rPr>
            </w:pPr>
            <w:r w:rsidRPr="00D41D30">
              <w:rPr>
                <w:rFonts w:hAnsi="標楷體"/>
                <w:b/>
                <w:color w:val="000000" w:themeColor="text1"/>
                <w:sz w:val="26"/>
                <w:szCs w:val="26"/>
              </w:rPr>
              <w:t>期程</w:t>
            </w:r>
          </w:p>
        </w:tc>
        <w:tc>
          <w:tcPr>
            <w:tcW w:w="4536" w:type="dxa"/>
            <w:tcBorders>
              <w:bottom w:val="single" w:sz="4" w:space="0" w:color="auto"/>
            </w:tcBorders>
            <w:vAlign w:val="center"/>
          </w:tcPr>
          <w:p w:rsidR="002F2675" w:rsidRPr="00D41D30" w:rsidRDefault="002F2675" w:rsidP="00375489">
            <w:pPr>
              <w:adjustRightInd w:val="0"/>
              <w:snapToGrid w:val="0"/>
              <w:jc w:val="center"/>
              <w:rPr>
                <w:rFonts w:hAnsi="標楷體"/>
                <w:b/>
                <w:color w:val="000000" w:themeColor="text1"/>
                <w:sz w:val="26"/>
                <w:szCs w:val="26"/>
              </w:rPr>
            </w:pPr>
            <w:r w:rsidRPr="00D41D30">
              <w:rPr>
                <w:rFonts w:hAnsi="標楷體" w:hint="eastAsia"/>
                <w:b/>
                <w:color w:val="000000" w:themeColor="text1"/>
                <w:sz w:val="26"/>
                <w:szCs w:val="26"/>
              </w:rPr>
              <w:t>研究內容摘述</w:t>
            </w:r>
          </w:p>
        </w:tc>
        <w:tc>
          <w:tcPr>
            <w:tcW w:w="845" w:type="dxa"/>
            <w:tcBorders>
              <w:bottom w:val="single" w:sz="4" w:space="0" w:color="auto"/>
            </w:tcBorders>
            <w:shd w:val="clear" w:color="auto" w:fill="auto"/>
            <w:vAlign w:val="center"/>
          </w:tcPr>
          <w:p w:rsidR="002F2675" w:rsidRPr="00D41D30" w:rsidRDefault="002F2675" w:rsidP="00375489">
            <w:pPr>
              <w:adjustRightInd w:val="0"/>
              <w:snapToGrid w:val="0"/>
              <w:jc w:val="center"/>
              <w:rPr>
                <w:rFonts w:hAnsi="標楷體"/>
                <w:b/>
                <w:color w:val="000000" w:themeColor="text1"/>
                <w:sz w:val="26"/>
                <w:szCs w:val="26"/>
              </w:rPr>
            </w:pPr>
            <w:r w:rsidRPr="00D41D30">
              <w:rPr>
                <w:rFonts w:hAnsi="標楷體"/>
                <w:b/>
                <w:color w:val="000000" w:themeColor="text1"/>
                <w:sz w:val="26"/>
                <w:szCs w:val="26"/>
              </w:rPr>
              <w:t>經費來源</w:t>
            </w:r>
          </w:p>
        </w:tc>
      </w:tr>
      <w:tr w:rsidR="002F2675" w:rsidRPr="00D41D30" w:rsidTr="00CE5F48">
        <w:trPr>
          <w:trHeight w:val="1020"/>
          <w:jc w:val="center"/>
        </w:trPr>
        <w:tc>
          <w:tcPr>
            <w:tcW w:w="874"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ascii="標楷體p.." w:eastAsia="標楷體p.." w:cs="標楷體p.." w:hint="eastAsia"/>
                <w:color w:val="000000" w:themeColor="text1"/>
                <w:kern w:val="0"/>
                <w:sz w:val="26"/>
                <w:szCs w:val="26"/>
              </w:rPr>
              <w:t>教育制度及政策研究中心</w:t>
            </w:r>
          </w:p>
        </w:tc>
        <w:tc>
          <w:tcPr>
            <w:tcW w:w="1429" w:type="dxa"/>
            <w:tcBorders>
              <w:bottom w:val="single" w:sz="4" w:space="0" w:color="auto"/>
            </w:tcBorders>
            <w:shd w:val="clear" w:color="auto" w:fill="auto"/>
          </w:tcPr>
          <w:p w:rsidR="002F2675" w:rsidRPr="00D41D30" w:rsidRDefault="002F2675" w:rsidP="00375489">
            <w:pPr>
              <w:adjustRightInd w:val="0"/>
              <w:snapToGrid w:val="0"/>
              <w:rPr>
                <w:rFonts w:ascii="標楷體p.." w:eastAsia="標楷體p.." w:cs="標楷體p.."/>
                <w:color w:val="000000" w:themeColor="text1"/>
                <w:kern w:val="0"/>
                <w:sz w:val="26"/>
                <w:szCs w:val="26"/>
              </w:rPr>
            </w:pPr>
            <w:r w:rsidRPr="00D41D30">
              <w:rPr>
                <w:rFonts w:ascii="標楷體p.." w:eastAsia="標楷體p.." w:cs="標楷體p.." w:hint="eastAsia"/>
                <w:color w:val="000000" w:themeColor="text1"/>
                <w:kern w:val="0"/>
                <w:sz w:val="26"/>
                <w:szCs w:val="26"/>
              </w:rPr>
              <w:t>高齡者終身學習的改革效益、爭議與因應策略</w:t>
            </w:r>
          </w:p>
        </w:tc>
        <w:tc>
          <w:tcPr>
            <w:tcW w:w="1181" w:type="dxa"/>
            <w:tcBorders>
              <w:bottom w:val="single" w:sz="4" w:space="0" w:color="auto"/>
            </w:tcBorders>
            <w:shd w:val="clear" w:color="auto" w:fill="auto"/>
          </w:tcPr>
          <w:p w:rsidR="002F2675" w:rsidRPr="00D41D30" w:rsidRDefault="002F2675" w:rsidP="00375489">
            <w:pPr>
              <w:adjustRightInd w:val="0"/>
              <w:snapToGrid w:val="0"/>
              <w:rPr>
                <w:rFonts w:ascii="標楷體p.." w:eastAsia="標楷體p.." w:cs="標楷體p.."/>
                <w:color w:val="000000" w:themeColor="text1"/>
                <w:kern w:val="0"/>
                <w:sz w:val="26"/>
                <w:szCs w:val="26"/>
              </w:rPr>
            </w:pPr>
            <w:r w:rsidRPr="00D41D30">
              <w:rPr>
                <w:rFonts w:ascii="標楷體p.." w:eastAsia="標楷體p.." w:cs="標楷體p.." w:hint="eastAsia"/>
                <w:color w:val="000000" w:themeColor="text1"/>
                <w:kern w:val="0"/>
                <w:sz w:val="26"/>
                <w:szCs w:val="26"/>
              </w:rPr>
              <w:t>許民忠</w:t>
            </w:r>
          </w:p>
        </w:tc>
        <w:tc>
          <w:tcPr>
            <w:tcW w:w="992" w:type="dxa"/>
            <w:tcBorders>
              <w:bottom w:val="single" w:sz="4" w:space="0" w:color="auto"/>
            </w:tcBorders>
            <w:shd w:val="clear" w:color="auto" w:fill="auto"/>
          </w:tcPr>
          <w:p w:rsidR="002F2675" w:rsidRPr="00D41D30" w:rsidRDefault="002F2675" w:rsidP="00375489">
            <w:pPr>
              <w:adjustRightInd w:val="0"/>
              <w:snapToGrid w:val="0"/>
              <w:rPr>
                <w:rFonts w:ascii="標楷體p.." w:eastAsia="標楷體p.." w:cs="標楷體p.."/>
                <w:color w:val="000000" w:themeColor="text1"/>
                <w:kern w:val="0"/>
                <w:sz w:val="26"/>
                <w:szCs w:val="26"/>
              </w:rPr>
            </w:pPr>
            <w:r w:rsidRPr="00D41D30">
              <w:rPr>
                <w:rFonts w:ascii="標楷體p.." w:eastAsia="標楷體p.." w:cs="標楷體p.."/>
                <w:color w:val="000000" w:themeColor="text1"/>
                <w:kern w:val="0"/>
                <w:sz w:val="26"/>
                <w:szCs w:val="26"/>
              </w:rPr>
              <w:t>2015</w:t>
            </w:r>
            <w:r w:rsidRPr="00D41D30">
              <w:rPr>
                <w:rFonts w:ascii="標楷體p.." w:eastAsia="標楷體p.." w:cs="標楷體p.." w:hint="eastAsia"/>
                <w:color w:val="000000" w:themeColor="text1"/>
                <w:kern w:val="0"/>
                <w:sz w:val="26"/>
                <w:szCs w:val="26"/>
              </w:rPr>
              <w:t>年</w:t>
            </w:r>
            <w:r w:rsidRPr="00D41D30">
              <w:rPr>
                <w:rFonts w:ascii="標楷體p.." w:eastAsia="標楷體p.." w:cs="標楷體p.."/>
                <w:color w:val="000000" w:themeColor="text1"/>
                <w:kern w:val="0"/>
                <w:sz w:val="26"/>
                <w:szCs w:val="26"/>
              </w:rPr>
              <w:t>1</w:t>
            </w:r>
            <w:r w:rsidRPr="00D41D30">
              <w:rPr>
                <w:rFonts w:ascii="標楷體p.." w:eastAsia="標楷體p.." w:cs="標楷體p.." w:hint="eastAsia"/>
                <w:color w:val="000000" w:themeColor="text1"/>
                <w:kern w:val="0"/>
                <w:sz w:val="26"/>
                <w:szCs w:val="26"/>
              </w:rPr>
              <w:t>月</w:t>
            </w:r>
            <w:r w:rsidRPr="00D41D30">
              <w:rPr>
                <w:rFonts w:ascii="標楷體p.." w:eastAsia="標楷體p.." w:cs="標楷體p.."/>
                <w:color w:val="000000" w:themeColor="text1"/>
                <w:kern w:val="0"/>
                <w:sz w:val="26"/>
                <w:szCs w:val="26"/>
              </w:rPr>
              <w:t>1</w:t>
            </w:r>
            <w:r w:rsidRPr="00D41D30">
              <w:rPr>
                <w:rFonts w:ascii="標楷體p.." w:eastAsia="標楷體p.." w:cs="標楷體p.." w:hint="eastAsia"/>
                <w:color w:val="000000" w:themeColor="text1"/>
                <w:kern w:val="0"/>
                <w:sz w:val="26"/>
                <w:szCs w:val="26"/>
              </w:rPr>
              <w:t>日至</w:t>
            </w:r>
            <w:r w:rsidRPr="00D41D30">
              <w:rPr>
                <w:rFonts w:ascii="標楷體p.." w:eastAsia="標楷體p.." w:cs="標楷體p.."/>
                <w:color w:val="000000" w:themeColor="text1"/>
                <w:kern w:val="0"/>
                <w:sz w:val="26"/>
                <w:szCs w:val="26"/>
              </w:rPr>
              <w:t>12</w:t>
            </w:r>
            <w:r w:rsidRPr="00D41D30">
              <w:rPr>
                <w:rFonts w:ascii="標楷體p.." w:eastAsia="標楷體p.." w:cs="標楷體p.." w:hint="eastAsia"/>
                <w:color w:val="000000" w:themeColor="text1"/>
                <w:kern w:val="0"/>
                <w:sz w:val="26"/>
                <w:szCs w:val="26"/>
              </w:rPr>
              <w:t>月</w:t>
            </w:r>
            <w:r w:rsidRPr="00D41D30">
              <w:rPr>
                <w:rFonts w:ascii="標楷體p.." w:eastAsia="標楷體p.." w:cs="標楷體p.."/>
                <w:color w:val="000000" w:themeColor="text1"/>
                <w:kern w:val="0"/>
                <w:sz w:val="26"/>
                <w:szCs w:val="26"/>
              </w:rPr>
              <w:t>31</w:t>
            </w:r>
            <w:r w:rsidRPr="00D41D30">
              <w:rPr>
                <w:rFonts w:ascii="標楷體p.." w:eastAsia="標楷體p.." w:cs="標楷體p.." w:hint="eastAsia"/>
                <w:color w:val="000000" w:themeColor="text1"/>
                <w:kern w:val="0"/>
                <w:sz w:val="26"/>
                <w:szCs w:val="26"/>
              </w:rPr>
              <w:t>日</w:t>
            </w:r>
          </w:p>
        </w:tc>
        <w:tc>
          <w:tcPr>
            <w:tcW w:w="4536" w:type="dxa"/>
          </w:tcPr>
          <w:p w:rsidR="002F2675" w:rsidRPr="00D41D30" w:rsidRDefault="002F2675" w:rsidP="00375489">
            <w:pPr>
              <w:adjustRightInd w:val="0"/>
              <w:snapToGrid w:val="0"/>
              <w:rPr>
                <w:rFonts w:ascii="標楷體p.." w:eastAsia="標楷體p.." w:cs="標楷體p.."/>
                <w:color w:val="000000" w:themeColor="text1"/>
                <w:kern w:val="0"/>
                <w:sz w:val="26"/>
                <w:szCs w:val="26"/>
              </w:rPr>
            </w:pPr>
            <w:r w:rsidRPr="00D41D30">
              <w:rPr>
                <w:rFonts w:ascii="標楷體p.." w:eastAsia="標楷體p.." w:cs="標楷體p.." w:hint="eastAsia"/>
                <w:color w:val="000000" w:themeColor="text1"/>
                <w:kern w:val="0"/>
                <w:sz w:val="26"/>
                <w:szCs w:val="26"/>
              </w:rPr>
              <w:t>本計畫採行文件分析及比較分析等方式，檢視我國在教育改革的歷程當中，高齡者終身學習改革效益與爭議點，並進一步比較及參酌國外主要國家之作法，提出高齡者終身學習革新建議以及因應的策略。</w:t>
            </w:r>
          </w:p>
        </w:tc>
        <w:tc>
          <w:tcPr>
            <w:tcW w:w="845"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hAnsi="標楷體" w:hint="eastAsia"/>
                <w:color w:val="000000" w:themeColor="text1"/>
                <w:sz w:val="26"/>
                <w:szCs w:val="26"/>
              </w:rPr>
              <w:t>國家教育研究院</w:t>
            </w:r>
          </w:p>
        </w:tc>
      </w:tr>
      <w:tr w:rsidR="002F2675" w:rsidRPr="00D41D30" w:rsidTr="00CE5F48">
        <w:trPr>
          <w:trHeight w:val="1020"/>
          <w:jc w:val="center"/>
        </w:trPr>
        <w:tc>
          <w:tcPr>
            <w:tcW w:w="874"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ascii="標楷體p.." w:eastAsia="標楷體p.." w:cs="標楷體p.." w:hint="eastAsia"/>
                <w:color w:val="000000" w:themeColor="text1"/>
                <w:kern w:val="0"/>
                <w:sz w:val="26"/>
                <w:szCs w:val="26"/>
              </w:rPr>
              <w:t>教育制度及政策研究中心</w:t>
            </w:r>
          </w:p>
        </w:tc>
        <w:tc>
          <w:tcPr>
            <w:tcW w:w="1429"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ascii="標楷體...畀." w:eastAsia="標楷體...畀." w:cs="標楷體...畀." w:hint="eastAsia"/>
                <w:color w:val="000000" w:themeColor="text1"/>
                <w:kern w:val="0"/>
                <w:sz w:val="26"/>
                <w:szCs w:val="26"/>
              </w:rPr>
              <w:t>高齡者學習需求及成效問題之研究</w:t>
            </w:r>
          </w:p>
        </w:tc>
        <w:tc>
          <w:tcPr>
            <w:tcW w:w="1181"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hAnsi="標楷體" w:hint="eastAsia"/>
                <w:color w:val="000000" w:themeColor="text1"/>
                <w:sz w:val="26"/>
                <w:szCs w:val="26"/>
              </w:rPr>
              <w:t>陳妙娟</w:t>
            </w:r>
          </w:p>
        </w:tc>
        <w:tc>
          <w:tcPr>
            <w:tcW w:w="992"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ascii="標楷體...瑀." w:eastAsia="標楷體...瑀." w:cs="標楷體...瑀."/>
                <w:color w:val="000000" w:themeColor="text1"/>
                <w:kern w:val="0"/>
                <w:sz w:val="26"/>
                <w:szCs w:val="26"/>
              </w:rPr>
              <w:t>2012</w:t>
            </w:r>
            <w:r w:rsidRPr="00D41D30">
              <w:rPr>
                <w:rFonts w:ascii="標楷體...瑀." w:eastAsia="標楷體...瑀." w:cs="標楷體...瑀." w:hint="eastAsia"/>
                <w:color w:val="000000" w:themeColor="text1"/>
                <w:kern w:val="0"/>
                <w:sz w:val="26"/>
                <w:szCs w:val="26"/>
              </w:rPr>
              <w:t>年</w:t>
            </w:r>
            <w:r w:rsidRPr="00D41D30">
              <w:rPr>
                <w:rFonts w:ascii="標楷體...瑀." w:eastAsia="標楷體...瑀." w:cs="標楷體...瑀."/>
                <w:color w:val="000000" w:themeColor="text1"/>
                <w:kern w:val="0"/>
                <w:sz w:val="26"/>
                <w:szCs w:val="26"/>
              </w:rPr>
              <w:t>1</w:t>
            </w:r>
            <w:r w:rsidRPr="00D41D30">
              <w:rPr>
                <w:rFonts w:ascii="標楷體...瑀." w:eastAsia="標楷體...瑀." w:cs="標楷體...瑀." w:hint="eastAsia"/>
                <w:color w:val="000000" w:themeColor="text1"/>
                <w:kern w:val="0"/>
                <w:sz w:val="26"/>
                <w:szCs w:val="26"/>
              </w:rPr>
              <w:t>月</w:t>
            </w:r>
            <w:r w:rsidRPr="00D41D30">
              <w:rPr>
                <w:rFonts w:ascii="標楷體...瑀." w:eastAsia="標楷體...瑀." w:cs="標楷體...瑀."/>
                <w:color w:val="000000" w:themeColor="text1"/>
                <w:kern w:val="0"/>
                <w:sz w:val="26"/>
                <w:szCs w:val="26"/>
              </w:rPr>
              <w:t>1</w:t>
            </w:r>
            <w:r w:rsidRPr="00D41D30">
              <w:rPr>
                <w:rFonts w:ascii="標楷體...瑀." w:eastAsia="標楷體...瑀." w:cs="標楷體...瑀." w:hint="eastAsia"/>
                <w:color w:val="000000" w:themeColor="text1"/>
                <w:kern w:val="0"/>
                <w:sz w:val="26"/>
                <w:szCs w:val="26"/>
              </w:rPr>
              <w:t>日至</w:t>
            </w:r>
            <w:r w:rsidRPr="00D41D30">
              <w:rPr>
                <w:rFonts w:ascii="標楷體...瑀." w:eastAsia="標楷體...瑀." w:cs="標楷體...瑀."/>
                <w:color w:val="000000" w:themeColor="text1"/>
                <w:kern w:val="0"/>
                <w:sz w:val="26"/>
                <w:szCs w:val="26"/>
              </w:rPr>
              <w:t>12</w:t>
            </w:r>
            <w:r w:rsidRPr="00D41D30">
              <w:rPr>
                <w:rFonts w:ascii="標楷體...瑀." w:eastAsia="標楷體...瑀." w:cs="標楷體...瑀." w:hint="eastAsia"/>
                <w:color w:val="000000" w:themeColor="text1"/>
                <w:kern w:val="0"/>
                <w:sz w:val="26"/>
                <w:szCs w:val="26"/>
              </w:rPr>
              <w:t>月</w:t>
            </w:r>
            <w:r w:rsidRPr="00D41D30">
              <w:rPr>
                <w:rFonts w:ascii="標楷體...瑀." w:eastAsia="標楷體...瑀." w:cs="標楷體...瑀."/>
                <w:color w:val="000000" w:themeColor="text1"/>
                <w:kern w:val="0"/>
                <w:sz w:val="26"/>
                <w:szCs w:val="26"/>
              </w:rPr>
              <w:t>31</w:t>
            </w:r>
            <w:r w:rsidRPr="00D41D30">
              <w:rPr>
                <w:rFonts w:ascii="標楷體...瑀." w:eastAsia="標楷體...瑀." w:cs="標楷體...瑀." w:hint="eastAsia"/>
                <w:color w:val="000000" w:themeColor="text1"/>
                <w:kern w:val="0"/>
                <w:sz w:val="26"/>
                <w:szCs w:val="26"/>
              </w:rPr>
              <w:t>日</w:t>
            </w:r>
          </w:p>
        </w:tc>
        <w:tc>
          <w:tcPr>
            <w:tcW w:w="4536" w:type="dxa"/>
          </w:tcPr>
          <w:p w:rsidR="002F2675" w:rsidRPr="00D41D30" w:rsidRDefault="002F2675" w:rsidP="00375489">
            <w:pPr>
              <w:adjustRightInd w:val="0"/>
              <w:snapToGrid w:val="0"/>
              <w:rPr>
                <w:rFonts w:hAnsi="標楷體"/>
                <w:color w:val="000000" w:themeColor="text1"/>
                <w:sz w:val="26"/>
                <w:szCs w:val="26"/>
              </w:rPr>
            </w:pPr>
            <w:r w:rsidRPr="00D41D30">
              <w:rPr>
                <w:rFonts w:ascii="標楷體藫范" w:eastAsia="標楷體藫范" w:cs="標楷體藫范" w:hint="eastAsia"/>
                <w:color w:val="000000" w:themeColor="text1"/>
                <w:kern w:val="0"/>
                <w:sz w:val="26"/>
                <w:szCs w:val="26"/>
              </w:rPr>
              <w:t>因應高齡化社會的來臨本研究計畫旨在探索臺灣高齡者參與社會活動之成效，審慎思考我國高齡者教育問題，同時配合終身學習之施行，評估我國高齡者學習需求及問題所在，以作為未來政策擬定之參考，同時也冀望能發展符合時代及高齡者需求之教育內容，讓終身學習達到本質之實徵性研究。</w:t>
            </w:r>
          </w:p>
        </w:tc>
        <w:tc>
          <w:tcPr>
            <w:tcW w:w="845"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hAnsi="標楷體" w:hint="eastAsia"/>
                <w:color w:val="000000" w:themeColor="text1"/>
                <w:sz w:val="26"/>
                <w:szCs w:val="26"/>
              </w:rPr>
              <w:t>國家教育研究院</w:t>
            </w:r>
          </w:p>
        </w:tc>
      </w:tr>
      <w:tr w:rsidR="002F2675" w:rsidRPr="00D41D30" w:rsidTr="00CE5F48">
        <w:trPr>
          <w:trHeight w:val="1020"/>
          <w:jc w:val="center"/>
        </w:trPr>
        <w:tc>
          <w:tcPr>
            <w:tcW w:w="874"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ascii="標楷體p.." w:eastAsia="標楷體p.." w:cs="標楷體p.." w:hint="eastAsia"/>
                <w:color w:val="000000" w:themeColor="text1"/>
                <w:kern w:val="0"/>
                <w:sz w:val="26"/>
                <w:szCs w:val="26"/>
              </w:rPr>
              <w:t>教育制度及政策研究中心</w:t>
            </w:r>
          </w:p>
        </w:tc>
        <w:tc>
          <w:tcPr>
            <w:tcW w:w="1429" w:type="dxa"/>
            <w:tcBorders>
              <w:bottom w:val="single" w:sz="4" w:space="0" w:color="auto"/>
            </w:tcBorders>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ascii="標楷體﹐.." w:eastAsia="標楷體﹐.." w:cs="標楷體﹐.." w:hint="eastAsia"/>
                <w:color w:val="000000" w:themeColor="text1"/>
                <w:kern w:val="0"/>
                <w:sz w:val="26"/>
                <w:szCs w:val="26"/>
              </w:rPr>
              <w:t>高齡者終身教育公平之研究</w:t>
            </w:r>
          </w:p>
        </w:tc>
        <w:tc>
          <w:tcPr>
            <w:tcW w:w="1181" w:type="dxa"/>
            <w:tcBorders>
              <w:bottom w:val="single" w:sz="4" w:space="0" w:color="auto"/>
            </w:tcBorders>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hAnsi="標楷體" w:hint="eastAsia"/>
                <w:color w:val="000000" w:themeColor="text1"/>
                <w:sz w:val="26"/>
                <w:szCs w:val="26"/>
              </w:rPr>
              <w:t>王政彥</w:t>
            </w:r>
          </w:p>
        </w:tc>
        <w:tc>
          <w:tcPr>
            <w:tcW w:w="992" w:type="dxa"/>
            <w:tcBorders>
              <w:bottom w:val="single" w:sz="4" w:space="0" w:color="auto"/>
            </w:tcBorders>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ascii="標楷體﹐.噀." w:eastAsia="標楷體﹐.噀." w:cs="標楷體﹐.噀."/>
                <w:color w:val="000000" w:themeColor="text1"/>
                <w:kern w:val="0"/>
                <w:sz w:val="26"/>
                <w:szCs w:val="26"/>
              </w:rPr>
              <w:t>2011</w:t>
            </w:r>
            <w:r w:rsidRPr="00D41D30">
              <w:rPr>
                <w:rFonts w:ascii="標楷體﹐.噀." w:eastAsia="標楷體﹐.噀." w:cs="標楷體﹐.噀." w:hint="eastAsia"/>
                <w:color w:val="000000" w:themeColor="text1"/>
                <w:kern w:val="0"/>
                <w:sz w:val="26"/>
                <w:szCs w:val="26"/>
              </w:rPr>
              <w:t>年</w:t>
            </w:r>
            <w:r w:rsidRPr="00D41D30">
              <w:rPr>
                <w:rFonts w:ascii="標楷體﹐.噀." w:eastAsia="標楷體﹐.噀." w:cs="標楷體﹐.噀."/>
                <w:color w:val="000000" w:themeColor="text1"/>
                <w:kern w:val="0"/>
                <w:sz w:val="26"/>
                <w:szCs w:val="26"/>
              </w:rPr>
              <w:t>5</w:t>
            </w:r>
            <w:r w:rsidRPr="00D41D30">
              <w:rPr>
                <w:rFonts w:ascii="標楷體﹐.噀." w:eastAsia="標楷體﹐.噀." w:cs="標楷體﹐.噀." w:hint="eastAsia"/>
                <w:color w:val="000000" w:themeColor="text1"/>
                <w:kern w:val="0"/>
                <w:sz w:val="26"/>
                <w:szCs w:val="26"/>
              </w:rPr>
              <w:t>月</w:t>
            </w:r>
            <w:r w:rsidRPr="00D41D30">
              <w:rPr>
                <w:rFonts w:ascii="標楷體﹐.噀." w:eastAsia="標楷體﹐.噀." w:cs="標楷體﹐.噀."/>
                <w:color w:val="000000" w:themeColor="text1"/>
                <w:kern w:val="0"/>
                <w:sz w:val="26"/>
                <w:szCs w:val="26"/>
              </w:rPr>
              <w:t>1</w:t>
            </w:r>
            <w:r w:rsidRPr="00D41D30">
              <w:rPr>
                <w:rFonts w:ascii="標楷體﹐.噀." w:eastAsia="標楷體﹐.噀." w:cs="標楷體﹐.噀." w:hint="eastAsia"/>
                <w:color w:val="000000" w:themeColor="text1"/>
                <w:kern w:val="0"/>
                <w:sz w:val="26"/>
                <w:szCs w:val="26"/>
              </w:rPr>
              <w:t>日至</w:t>
            </w:r>
            <w:r w:rsidRPr="00D41D30">
              <w:rPr>
                <w:rFonts w:ascii="標楷體﹐.噀." w:eastAsia="標楷體﹐.噀." w:cs="標楷體﹐.噀."/>
                <w:color w:val="000000" w:themeColor="text1"/>
                <w:kern w:val="0"/>
                <w:sz w:val="26"/>
                <w:szCs w:val="26"/>
              </w:rPr>
              <w:t>12</w:t>
            </w:r>
            <w:r w:rsidRPr="00D41D30">
              <w:rPr>
                <w:rFonts w:ascii="標楷體﹐.噀." w:eastAsia="標楷體﹐.噀." w:cs="標楷體﹐.噀." w:hint="eastAsia"/>
                <w:color w:val="000000" w:themeColor="text1"/>
                <w:kern w:val="0"/>
                <w:sz w:val="26"/>
                <w:szCs w:val="26"/>
              </w:rPr>
              <w:t>月</w:t>
            </w:r>
            <w:r w:rsidRPr="00D41D30">
              <w:rPr>
                <w:rFonts w:ascii="標楷體﹐.噀." w:eastAsia="標楷體﹐.噀." w:cs="標楷體﹐.噀."/>
                <w:color w:val="000000" w:themeColor="text1"/>
                <w:kern w:val="0"/>
                <w:sz w:val="26"/>
                <w:szCs w:val="26"/>
              </w:rPr>
              <w:t>31</w:t>
            </w:r>
            <w:r w:rsidRPr="00D41D30">
              <w:rPr>
                <w:rFonts w:ascii="標楷體﹐.噀." w:eastAsia="標楷體﹐.噀." w:cs="標楷體﹐.噀." w:hint="eastAsia"/>
                <w:color w:val="000000" w:themeColor="text1"/>
                <w:kern w:val="0"/>
                <w:sz w:val="26"/>
                <w:szCs w:val="26"/>
              </w:rPr>
              <w:t>日</w:t>
            </w:r>
          </w:p>
        </w:tc>
        <w:tc>
          <w:tcPr>
            <w:tcW w:w="4536" w:type="dxa"/>
          </w:tcPr>
          <w:p w:rsidR="002F2675" w:rsidRPr="00D41D30" w:rsidRDefault="002F2675" w:rsidP="00375489">
            <w:pPr>
              <w:adjustRightInd w:val="0"/>
              <w:snapToGrid w:val="0"/>
              <w:rPr>
                <w:rFonts w:hAnsi="標楷體"/>
                <w:color w:val="000000" w:themeColor="text1"/>
                <w:sz w:val="26"/>
                <w:szCs w:val="26"/>
              </w:rPr>
            </w:pPr>
            <w:r w:rsidRPr="00D41D30">
              <w:rPr>
                <w:rFonts w:ascii="標楷體﹐.." w:eastAsia="標楷體﹐.." w:cs="標楷體﹐.." w:hint="eastAsia"/>
                <w:color w:val="000000" w:themeColor="text1"/>
                <w:kern w:val="0"/>
                <w:sz w:val="26"/>
                <w:szCs w:val="26"/>
              </w:rPr>
              <w:t>本計畫有感於我國社會趨於高齡化，高齡人口越來越多的人口變遷趨勢，應正視此變多的潛在教育對象之學習權利，特以</w:t>
            </w:r>
            <w:r w:rsidRPr="00D41D30">
              <w:rPr>
                <w:rFonts w:ascii="標楷體﹐.." w:eastAsia="標楷體﹐.." w:cs="標楷體﹐.."/>
                <w:color w:val="000000" w:themeColor="text1"/>
                <w:kern w:val="0"/>
                <w:sz w:val="26"/>
                <w:szCs w:val="26"/>
              </w:rPr>
              <w:t xml:space="preserve">65 </w:t>
            </w:r>
            <w:r w:rsidRPr="00D41D30">
              <w:rPr>
                <w:rFonts w:ascii="標楷體﹐.." w:eastAsia="標楷體﹐.." w:cs="標楷體﹐.." w:hint="eastAsia"/>
                <w:color w:val="000000" w:themeColor="text1"/>
                <w:kern w:val="0"/>
                <w:sz w:val="26"/>
                <w:szCs w:val="26"/>
              </w:rPr>
              <w:t>歲以上的高齡者為對象，並運用已發展的「終身教育公平指標」為工具，以</w:t>
            </w:r>
            <w:r w:rsidRPr="00D41D30">
              <w:rPr>
                <w:rFonts w:ascii="標楷體﹐.." w:eastAsia="標楷體﹐.." w:cs="標楷體﹐.."/>
                <w:color w:val="000000" w:themeColor="text1"/>
                <w:kern w:val="0"/>
                <w:sz w:val="26"/>
                <w:szCs w:val="26"/>
              </w:rPr>
              <w:t>CIPP</w:t>
            </w:r>
            <w:r w:rsidRPr="00D41D30">
              <w:rPr>
                <w:rFonts w:ascii="標楷體﹐.." w:eastAsia="標楷體﹐.." w:cs="標楷體﹐.." w:hint="eastAsia"/>
                <w:color w:val="000000" w:themeColor="text1"/>
                <w:kern w:val="0"/>
                <w:sz w:val="26"/>
                <w:szCs w:val="26"/>
              </w:rPr>
              <w:t>模式，包含「背景」指標、「輸入」指標、「過程」指標及「成果」指標。共四大指標十五項分項指標來檢視並探討高齡者終身教育公平的</w:t>
            </w:r>
            <w:r w:rsidRPr="00D41D30">
              <w:rPr>
                <w:rFonts w:ascii="標楷體﹐.." w:eastAsia="標楷體﹐.." w:cs="標楷體﹐.." w:hint="eastAsia"/>
                <w:color w:val="000000" w:themeColor="text1"/>
                <w:kern w:val="0"/>
                <w:sz w:val="26"/>
                <w:szCs w:val="26"/>
              </w:rPr>
              <w:lastRenderedPageBreak/>
              <w:t>相關問題。</w:t>
            </w:r>
          </w:p>
        </w:tc>
        <w:tc>
          <w:tcPr>
            <w:tcW w:w="845" w:type="dxa"/>
            <w:shd w:val="clear" w:color="auto" w:fill="auto"/>
          </w:tcPr>
          <w:p w:rsidR="002F2675" w:rsidRPr="00D41D30" w:rsidRDefault="002F2675" w:rsidP="00375489">
            <w:pPr>
              <w:adjustRightInd w:val="0"/>
              <w:snapToGrid w:val="0"/>
              <w:rPr>
                <w:rFonts w:hAnsi="標楷體"/>
                <w:color w:val="000000" w:themeColor="text1"/>
                <w:sz w:val="26"/>
                <w:szCs w:val="26"/>
              </w:rPr>
            </w:pPr>
            <w:r w:rsidRPr="00D41D30">
              <w:rPr>
                <w:rFonts w:hAnsi="標楷體" w:hint="eastAsia"/>
                <w:color w:val="000000" w:themeColor="text1"/>
                <w:sz w:val="26"/>
                <w:szCs w:val="26"/>
              </w:rPr>
              <w:lastRenderedPageBreak/>
              <w:t>國家教育研究院</w:t>
            </w:r>
          </w:p>
        </w:tc>
      </w:tr>
    </w:tbl>
    <w:p w:rsidR="00D12400" w:rsidRPr="00D41D30" w:rsidRDefault="0069587A" w:rsidP="0069587A">
      <w:pPr>
        <w:rPr>
          <w:color w:val="000000" w:themeColor="text1"/>
          <w:sz w:val="24"/>
          <w:szCs w:val="24"/>
        </w:rPr>
      </w:pPr>
      <w:r w:rsidRPr="00D41D30">
        <w:rPr>
          <w:rFonts w:hint="eastAsia"/>
          <w:color w:val="000000" w:themeColor="text1"/>
          <w:sz w:val="24"/>
          <w:szCs w:val="24"/>
        </w:rPr>
        <w:lastRenderedPageBreak/>
        <w:t>資料來源:教育部調卷資料。</w:t>
      </w:r>
    </w:p>
    <w:p w:rsidR="00A67366" w:rsidRPr="00D41D30" w:rsidRDefault="00A67366" w:rsidP="00A67366">
      <w:pPr>
        <w:rPr>
          <w:color w:val="000000" w:themeColor="text1"/>
        </w:rPr>
      </w:pPr>
    </w:p>
    <w:p w:rsidR="00911F6A" w:rsidRPr="00D41D30" w:rsidRDefault="00602668" w:rsidP="00602668">
      <w:pPr>
        <w:pStyle w:val="4"/>
        <w:rPr>
          <w:color w:val="000000" w:themeColor="text1"/>
        </w:rPr>
      </w:pPr>
      <w:r w:rsidRPr="00D41D30">
        <w:rPr>
          <w:rFonts w:hint="eastAsia"/>
          <w:color w:val="000000" w:themeColor="text1"/>
        </w:rPr>
        <w:t>另該院近期將與國立臺灣師範大學研究團隊合作，就終身教育議題進行研擬「邁向學習社會白皮書2.0版」及「終身學習中程發展計畫」，以「趨勢與挑戰」、「願景與目標」、「方案與途徑」、「反思與前瞻」等4大方向，構思終身學習方案與各種途徑，尤重終身教育如何在十二年國民基本教育階段的規劃與落實，期最後提出終身學習之深度反思與未來前瞻性。</w:t>
      </w:r>
    </w:p>
    <w:p w:rsidR="00096D54" w:rsidRPr="00D41D30" w:rsidRDefault="00096D54" w:rsidP="00096D54">
      <w:pPr>
        <w:pStyle w:val="3"/>
        <w:rPr>
          <w:color w:val="000000" w:themeColor="text1"/>
        </w:rPr>
      </w:pPr>
      <w:bookmarkStart w:id="335" w:name="_Toc30512458"/>
      <w:bookmarkStart w:id="336" w:name="_Toc30581166"/>
      <w:bookmarkStart w:id="337" w:name="_Toc32392439"/>
      <w:bookmarkStart w:id="338" w:name="_Toc32673629"/>
      <w:bookmarkStart w:id="339" w:name="_Toc32845771"/>
      <w:bookmarkStart w:id="340" w:name="_Toc32846494"/>
      <w:bookmarkStart w:id="341" w:name="_Toc32913737"/>
      <w:bookmarkStart w:id="342" w:name="_Toc32918413"/>
      <w:bookmarkStart w:id="343" w:name="_Toc33011706"/>
      <w:r w:rsidRPr="00D41D30">
        <w:rPr>
          <w:rFonts w:hint="eastAsia"/>
          <w:color w:val="000000" w:themeColor="text1"/>
        </w:rPr>
        <w:t>教育部面對超高齡社會，針對未來整體終身學習、高齡社會或高齡工作者之相關學習趨勢、規模、需求預測</w:t>
      </w:r>
      <w:bookmarkEnd w:id="335"/>
      <w:bookmarkEnd w:id="336"/>
      <w:bookmarkEnd w:id="337"/>
      <w:bookmarkEnd w:id="338"/>
      <w:bookmarkEnd w:id="339"/>
      <w:bookmarkEnd w:id="340"/>
      <w:bookmarkEnd w:id="341"/>
      <w:bookmarkEnd w:id="342"/>
      <w:bookmarkEnd w:id="343"/>
    </w:p>
    <w:p w:rsidR="00096D54" w:rsidRPr="00D41D30" w:rsidRDefault="00096D54" w:rsidP="00096D54">
      <w:pPr>
        <w:pStyle w:val="4"/>
        <w:rPr>
          <w:rFonts w:hAnsi="標楷體"/>
          <w:color w:val="000000" w:themeColor="text1"/>
          <w:szCs w:val="32"/>
        </w:rPr>
      </w:pPr>
      <w:r w:rsidRPr="00D41D30">
        <w:rPr>
          <w:rFonts w:hAnsi="標楷體" w:hint="eastAsia"/>
          <w:color w:val="000000" w:themeColor="text1"/>
          <w:szCs w:val="32"/>
        </w:rPr>
        <w:t>教育部刻委請學者專家，研擬邁向學習社會白皮書2.0暨終身學習中程發展計畫，將朝因應國內外趨勢及參酌國外推動情形，涵蓋高齡教育之範疇，據以擘劃終身學習願景，作為政策之重要架構與依據，亦將結合國際終身學習趨勢，導入國際組織推動之終身學習策略，使我國整體終身學習政策得以接軌國際，以因應未來10年甚至更長遠之趨勢，成為我國未來推動終身學習之重要政策依據。</w:t>
      </w:r>
    </w:p>
    <w:p w:rsidR="00096D54" w:rsidRPr="00D41D30" w:rsidRDefault="00096D54" w:rsidP="00096D54">
      <w:pPr>
        <w:pStyle w:val="4"/>
        <w:rPr>
          <w:rFonts w:hAnsi="標楷體"/>
          <w:color w:val="000000" w:themeColor="text1"/>
          <w:szCs w:val="32"/>
        </w:rPr>
      </w:pPr>
      <w:bookmarkStart w:id="344" w:name="_Hlk27409415"/>
      <w:r w:rsidRPr="00D41D30">
        <w:rPr>
          <w:rFonts w:hAnsi="標楷體" w:hint="eastAsia"/>
          <w:color w:val="000000" w:themeColor="text1"/>
          <w:szCs w:val="32"/>
        </w:rPr>
        <w:t>目前已委託國立臺灣師範大學進行「邁向學習社會白皮書2.0暨終身學習中程發展計畫」之研擬工作</w:t>
      </w:r>
      <w:r w:rsidRPr="00D41D30">
        <w:rPr>
          <w:rFonts w:ascii="新細明體" w:hAnsi="新細明體" w:hint="eastAsia"/>
          <w:color w:val="000000" w:themeColor="text1"/>
          <w:szCs w:val="32"/>
        </w:rPr>
        <w:t>，</w:t>
      </w:r>
      <w:r w:rsidRPr="00D41D30">
        <w:rPr>
          <w:rFonts w:hAnsi="標楷體" w:hint="eastAsia"/>
          <w:color w:val="000000" w:themeColor="text1"/>
          <w:szCs w:val="32"/>
        </w:rPr>
        <w:t>將以全國國民為對象，範圍涵蓋個人、家庭、社區、學習型組織及學習型城市，結合</w:t>
      </w:r>
      <w:r w:rsidRPr="00D41D30">
        <w:rPr>
          <w:rFonts w:hAnsi="標楷體" w:hint="eastAsia"/>
          <w:color w:val="000000" w:themeColor="text1"/>
          <w:szCs w:val="32"/>
        </w:rPr>
        <w:lastRenderedPageBreak/>
        <w:t>終身學習機構及整合相關資源，共同推動終身學習</w:t>
      </w:r>
      <w:bookmarkEnd w:id="344"/>
      <w:r w:rsidRPr="00D41D30">
        <w:rPr>
          <w:rFonts w:ascii="新細明體" w:hAnsi="新細明體" w:hint="eastAsia"/>
          <w:color w:val="000000" w:themeColor="text1"/>
          <w:szCs w:val="32"/>
        </w:rPr>
        <w:t>。</w:t>
      </w:r>
      <w:r w:rsidRPr="00D41D30">
        <w:rPr>
          <w:rFonts w:hAnsi="標楷體" w:hint="eastAsia"/>
          <w:color w:val="000000" w:themeColor="text1"/>
          <w:szCs w:val="32"/>
        </w:rPr>
        <w:t>未來在樂齡學習政策規劃與變革方向將朝下列目標邁進：</w:t>
      </w:r>
    </w:p>
    <w:p w:rsidR="00096D54" w:rsidRPr="00D41D30" w:rsidRDefault="00096D54" w:rsidP="00096D54">
      <w:pPr>
        <w:pStyle w:val="5"/>
        <w:rPr>
          <w:rFonts w:hAnsi="標楷體"/>
          <w:color w:val="000000" w:themeColor="text1"/>
          <w:szCs w:val="32"/>
        </w:rPr>
      </w:pPr>
      <w:r w:rsidRPr="00D41D30">
        <w:rPr>
          <w:rFonts w:hint="eastAsia"/>
          <w:color w:val="000000" w:themeColor="text1"/>
        </w:rPr>
        <w:t>強化研發：</w:t>
      </w:r>
      <w:r w:rsidRPr="00D41D30">
        <w:rPr>
          <w:rFonts w:hAnsi="標楷體" w:hint="eastAsia"/>
          <w:color w:val="000000" w:themeColor="text1"/>
          <w:szCs w:val="32"/>
        </w:rPr>
        <w:t>建置</w:t>
      </w:r>
      <w:r w:rsidRPr="00D41D30">
        <w:rPr>
          <w:rFonts w:hint="eastAsia"/>
          <w:color w:val="000000" w:themeColor="text1"/>
        </w:rPr>
        <w:t>樂齡大數據資料庫、強化高齡教育</w:t>
      </w:r>
      <w:r w:rsidRPr="00D41D30">
        <w:rPr>
          <w:rFonts w:hAnsi="標楷體" w:hint="eastAsia"/>
          <w:color w:val="000000" w:themeColor="text1"/>
          <w:szCs w:val="32"/>
        </w:rPr>
        <w:t>相關研究、開發多元樂齡學習模式、鼓勵創新提案、規劃百年人生課程等。</w:t>
      </w:r>
    </w:p>
    <w:p w:rsidR="00096D54" w:rsidRPr="00D41D30" w:rsidRDefault="00096D54" w:rsidP="00096D54">
      <w:pPr>
        <w:pStyle w:val="5"/>
        <w:rPr>
          <w:rFonts w:hAnsi="標楷體"/>
          <w:color w:val="000000" w:themeColor="text1"/>
          <w:szCs w:val="32"/>
        </w:rPr>
      </w:pPr>
      <w:r w:rsidRPr="00D41D30">
        <w:rPr>
          <w:rFonts w:hAnsi="標楷體" w:hint="eastAsia"/>
          <w:color w:val="000000" w:themeColor="text1"/>
          <w:szCs w:val="32"/>
        </w:rPr>
        <w:t>深耕發展：普及樂齡學習、強化中高齡人力再運用（老人服務老人）、強化退休準備教育、邁向百年人生的教育設計等。</w:t>
      </w:r>
    </w:p>
    <w:p w:rsidR="00096D54" w:rsidRPr="00D41D30" w:rsidRDefault="00096D54" w:rsidP="00096D54">
      <w:pPr>
        <w:pStyle w:val="5"/>
        <w:rPr>
          <w:rFonts w:hAnsi="標楷體"/>
          <w:color w:val="000000" w:themeColor="text1"/>
          <w:szCs w:val="32"/>
        </w:rPr>
      </w:pPr>
      <w:r w:rsidRPr="00D41D30">
        <w:rPr>
          <w:rFonts w:hAnsi="標楷體" w:hint="eastAsia"/>
          <w:color w:val="000000" w:themeColor="text1"/>
          <w:szCs w:val="32"/>
        </w:rPr>
        <w:t>人員專業：加強專業人才培訓、建立樂齡學習講師專業制度、強化人才資料庫及運用。</w:t>
      </w:r>
    </w:p>
    <w:p w:rsidR="00096D54" w:rsidRPr="00D41D30" w:rsidRDefault="00096D54" w:rsidP="00096D54">
      <w:pPr>
        <w:pStyle w:val="5"/>
        <w:rPr>
          <w:rFonts w:hAnsi="標楷體"/>
          <w:color w:val="000000" w:themeColor="text1"/>
          <w:szCs w:val="32"/>
        </w:rPr>
      </w:pPr>
      <w:r w:rsidRPr="00D41D30">
        <w:rPr>
          <w:rFonts w:hAnsi="標楷體" w:hint="eastAsia"/>
          <w:color w:val="000000" w:themeColor="text1"/>
          <w:szCs w:val="32"/>
        </w:rPr>
        <w:t>跨域合作：促進跨部會高齡政策合作、強化產官學研跨域整合、鼓勵民間企業資源投入樂齡學習、推動青銀共創及代間共學、跨域打造友善高齡環境。</w:t>
      </w:r>
    </w:p>
    <w:p w:rsidR="00096D54" w:rsidRPr="00D41D30" w:rsidRDefault="00096D54" w:rsidP="00096D54">
      <w:pPr>
        <w:pStyle w:val="4"/>
        <w:rPr>
          <w:color w:val="000000" w:themeColor="text1"/>
        </w:rPr>
      </w:pPr>
      <w:r w:rsidRPr="00D41D30">
        <w:rPr>
          <w:rFonts w:hAnsi="標楷體" w:hint="eastAsia"/>
          <w:color w:val="000000" w:themeColor="text1"/>
          <w:szCs w:val="32"/>
        </w:rPr>
        <w:t>該部目前推動高齡教育模式，主要以補助設置在地化的樂齡學習中心</w:t>
      </w:r>
      <w:r w:rsidR="00B562C7" w:rsidRPr="00D41D30">
        <w:rPr>
          <w:rFonts w:hAnsi="標楷體" w:hint="eastAsia"/>
          <w:color w:val="000000" w:themeColor="text1"/>
          <w:szCs w:val="32"/>
        </w:rPr>
        <w:t>（</w:t>
      </w:r>
      <w:r w:rsidRPr="00D41D30">
        <w:rPr>
          <w:rFonts w:hAnsi="標楷體" w:hint="eastAsia"/>
          <w:color w:val="000000" w:themeColor="text1"/>
          <w:szCs w:val="32"/>
        </w:rPr>
        <w:t>以下簡稱樂齡中心</w:t>
      </w:r>
      <w:r w:rsidR="006B5136" w:rsidRPr="00D41D30">
        <w:rPr>
          <w:rFonts w:hAnsi="標楷體" w:hint="eastAsia"/>
          <w:color w:val="000000" w:themeColor="text1"/>
          <w:szCs w:val="32"/>
        </w:rPr>
        <w:t>）</w:t>
      </w:r>
      <w:r w:rsidRPr="00D41D30">
        <w:rPr>
          <w:rFonts w:hAnsi="標楷體" w:hint="eastAsia"/>
          <w:color w:val="000000" w:themeColor="text1"/>
          <w:szCs w:val="32"/>
        </w:rPr>
        <w:t>、結合大學校院辦理樂齡大學及成立高齡自主學習團體等模式積極進行，為因應115年超高齡社會的來臨，未來推動模式將搭配社會發展趨勢發展更多元模式，例如青銀共創模式、產學合作模式、跨域整合模式、線上自學模式等，以符應高齡者益臻多元且個別化之學習需求。</w:t>
      </w:r>
    </w:p>
    <w:p w:rsidR="00D7741A" w:rsidRPr="00D41D30" w:rsidRDefault="00A61ABE" w:rsidP="00FB4E46">
      <w:pPr>
        <w:pStyle w:val="2"/>
        <w:spacing w:beforeLines="100" w:before="457"/>
        <w:ind w:left="1020" w:hanging="680"/>
        <w:rPr>
          <w:b/>
          <w:color w:val="000000" w:themeColor="text1"/>
        </w:rPr>
      </w:pPr>
      <w:bookmarkStart w:id="345" w:name="_Toc33011707"/>
      <w:r w:rsidRPr="00D41D30">
        <w:rPr>
          <w:rFonts w:hint="eastAsia"/>
          <w:b/>
          <w:color w:val="000000" w:themeColor="text1"/>
        </w:rPr>
        <w:t>樂齡教育之推動概況</w:t>
      </w:r>
      <w:bookmarkEnd w:id="345"/>
    </w:p>
    <w:p w:rsidR="00D7741A" w:rsidRPr="00D41D30" w:rsidRDefault="00D7741A" w:rsidP="00FE160B">
      <w:pPr>
        <w:pStyle w:val="3"/>
        <w:ind w:left="1393"/>
        <w:rPr>
          <w:color w:val="000000" w:themeColor="text1"/>
        </w:rPr>
      </w:pPr>
      <w:bookmarkStart w:id="346" w:name="_Toc16500631"/>
      <w:bookmarkStart w:id="347" w:name="_Toc16588706"/>
      <w:bookmarkStart w:id="348" w:name="_Toc16693339"/>
      <w:bookmarkStart w:id="349" w:name="_Toc27670603"/>
      <w:bookmarkStart w:id="350" w:name="_Toc30512460"/>
      <w:bookmarkStart w:id="351" w:name="_Toc30581168"/>
      <w:bookmarkStart w:id="352" w:name="_Toc32392441"/>
      <w:bookmarkStart w:id="353" w:name="_Toc32673631"/>
      <w:bookmarkStart w:id="354" w:name="_Toc32845773"/>
      <w:bookmarkStart w:id="355" w:name="_Toc32846496"/>
      <w:bookmarkStart w:id="356" w:name="_Toc32913739"/>
      <w:bookmarkStart w:id="357" w:name="_Toc32918415"/>
      <w:bookmarkStart w:id="358" w:name="_Toc33011708"/>
      <w:r w:rsidRPr="00D41D30">
        <w:rPr>
          <w:rFonts w:hint="eastAsia"/>
          <w:color w:val="000000" w:themeColor="text1"/>
        </w:rPr>
        <w:t>推動緣起</w:t>
      </w:r>
      <w:bookmarkEnd w:id="346"/>
      <w:bookmarkEnd w:id="347"/>
      <w:bookmarkEnd w:id="348"/>
      <w:bookmarkEnd w:id="349"/>
      <w:bookmarkEnd w:id="350"/>
      <w:bookmarkEnd w:id="351"/>
      <w:bookmarkEnd w:id="352"/>
      <w:bookmarkEnd w:id="353"/>
      <w:bookmarkEnd w:id="354"/>
      <w:bookmarkEnd w:id="355"/>
      <w:bookmarkEnd w:id="356"/>
      <w:bookmarkEnd w:id="357"/>
      <w:bookmarkEnd w:id="358"/>
    </w:p>
    <w:p w:rsidR="00D7741A" w:rsidRPr="00D41D30" w:rsidRDefault="00D7741A" w:rsidP="00DD7B00">
      <w:pPr>
        <w:pStyle w:val="4"/>
        <w:rPr>
          <w:color w:val="000000" w:themeColor="text1"/>
        </w:rPr>
      </w:pPr>
      <w:r w:rsidRPr="00D41D30">
        <w:rPr>
          <w:rFonts w:hint="eastAsia"/>
          <w:color w:val="000000" w:themeColor="text1"/>
        </w:rPr>
        <w:t>爲因應高齡社會來臨，加強推動高齡教育，教育部</w:t>
      </w:r>
      <w:r w:rsidRPr="00D41D30">
        <w:rPr>
          <w:color w:val="000000" w:themeColor="text1"/>
        </w:rPr>
        <w:t>93</w:t>
      </w:r>
      <w:r w:rsidRPr="00D41D30">
        <w:rPr>
          <w:rFonts w:hint="eastAsia"/>
          <w:color w:val="000000" w:themeColor="text1"/>
        </w:rPr>
        <w:t>年委託國立中正大學進行「我國老人教育政策專案研究計畫」，該研究後續建議研訂</w:t>
      </w:r>
      <w:r w:rsidRPr="00D41D30">
        <w:rPr>
          <w:rFonts w:hint="eastAsia"/>
          <w:color w:val="000000" w:themeColor="text1"/>
        </w:rPr>
        <w:lastRenderedPageBreak/>
        <w:t>「老人教育政策白皮書」。</w:t>
      </w:r>
      <w:r w:rsidRPr="00D41D30">
        <w:rPr>
          <w:color w:val="000000" w:themeColor="text1"/>
        </w:rPr>
        <w:t>94</w:t>
      </w:r>
      <w:r w:rsidRPr="00D41D30">
        <w:rPr>
          <w:rFonts w:hint="eastAsia"/>
          <w:color w:val="000000" w:themeColor="text1"/>
        </w:rPr>
        <w:t>年該部委託國立臺灣師範大學起草老人教育政策白皮書，召開多次公聽會及修正內容，爲了解民眾對於老人教育實施之看法，於</w:t>
      </w:r>
      <w:r w:rsidRPr="00D41D30">
        <w:rPr>
          <w:color w:val="000000" w:themeColor="text1"/>
        </w:rPr>
        <w:t>95</w:t>
      </w:r>
      <w:r w:rsidRPr="00D41D30">
        <w:rPr>
          <w:rFonts w:hint="eastAsia"/>
          <w:color w:val="000000" w:themeColor="text1"/>
        </w:rPr>
        <w:t>年同時委託辦理</w:t>
      </w:r>
      <w:r w:rsidRPr="00D41D30">
        <w:rPr>
          <w:color w:val="000000" w:themeColor="text1"/>
        </w:rPr>
        <w:t>2</w:t>
      </w:r>
      <w:r w:rsidRPr="00D41D30">
        <w:rPr>
          <w:rFonts w:hint="eastAsia"/>
          <w:color w:val="000000" w:themeColor="text1"/>
        </w:rPr>
        <w:t>項調查：臺閩地區民眾對於我國已邁入高齡化社會之看法民意調查、臺灣地區老人教育推動現況與需求調查，綜合以上二項研究調查之結論，國內推動高齡教育之問題歸納如下：國人未有終身學習觀念、老人的學習場所不足、學習內涵及教材未有創新、師資未具專業化、高齡者害怕學習新知、交通距離太遠及身體生理因素退化阻礙學習意願。</w:t>
      </w:r>
    </w:p>
    <w:p w:rsidR="00D7741A" w:rsidRPr="00D41D30" w:rsidRDefault="00D7741A" w:rsidP="006130BA">
      <w:pPr>
        <w:pStyle w:val="4"/>
        <w:rPr>
          <w:rFonts w:hAnsi="標楷體"/>
          <w:color w:val="000000" w:themeColor="text1"/>
          <w:szCs w:val="32"/>
        </w:rPr>
      </w:pPr>
      <w:r w:rsidRPr="00D41D30">
        <w:rPr>
          <w:rFonts w:hint="eastAsia"/>
          <w:color w:val="000000" w:themeColor="text1"/>
        </w:rPr>
        <w:t>該部於95年底我國65歲以上人口占總人口數10</w:t>
      </w:r>
      <w:r w:rsidR="00AA037A" w:rsidRPr="00D41D30">
        <w:rPr>
          <w:rFonts w:hint="eastAsia"/>
          <w:color w:val="000000" w:themeColor="text1"/>
        </w:rPr>
        <w:t>%</w:t>
      </w:r>
      <w:r w:rsidRPr="00D41D30">
        <w:rPr>
          <w:rFonts w:hint="eastAsia"/>
          <w:color w:val="000000" w:themeColor="text1"/>
        </w:rPr>
        <w:t>前，公布「邁向高齡社會老人教育政策白皮書」</w:t>
      </w:r>
      <w:r w:rsidRPr="00D41D30">
        <w:rPr>
          <w:rStyle w:val="aff0"/>
          <w:color w:val="000000" w:themeColor="text1"/>
        </w:rPr>
        <w:footnoteReference w:id="1"/>
      </w:r>
      <w:r w:rsidRPr="00D41D30">
        <w:rPr>
          <w:rFonts w:hint="eastAsia"/>
          <w:color w:val="000000" w:themeColor="text1"/>
        </w:rPr>
        <w:t>，提出完善的老人教育環境4大願景（終身學習、健康快樂、自主尊嚴、社會參與）、7大目標、11項推動策略及行動方案，藉以宣示我國老人教育政策的藍圖，及終身學習社會的願景。</w:t>
      </w:r>
    </w:p>
    <w:p w:rsidR="00D7741A" w:rsidRPr="00D41D30" w:rsidRDefault="00D7741A" w:rsidP="00FE160B">
      <w:pPr>
        <w:pStyle w:val="3"/>
        <w:ind w:left="1393"/>
        <w:rPr>
          <w:color w:val="000000" w:themeColor="text1"/>
        </w:rPr>
      </w:pPr>
      <w:bookmarkStart w:id="359" w:name="_Toc16500632"/>
      <w:bookmarkStart w:id="360" w:name="_Toc16588707"/>
      <w:bookmarkStart w:id="361" w:name="_Toc16693340"/>
      <w:bookmarkStart w:id="362" w:name="_Toc27670604"/>
      <w:bookmarkStart w:id="363" w:name="_Toc30512461"/>
      <w:bookmarkStart w:id="364" w:name="_Toc30581169"/>
      <w:bookmarkStart w:id="365" w:name="_Toc32392442"/>
      <w:bookmarkStart w:id="366" w:name="_Toc32673632"/>
      <w:bookmarkStart w:id="367" w:name="_Toc32845774"/>
      <w:bookmarkStart w:id="368" w:name="_Toc32846497"/>
      <w:bookmarkStart w:id="369" w:name="_Toc32913740"/>
      <w:bookmarkStart w:id="370" w:name="_Toc32918416"/>
      <w:bookmarkStart w:id="371" w:name="_Toc33011709"/>
      <w:r w:rsidRPr="00D41D30">
        <w:rPr>
          <w:rFonts w:hint="eastAsia"/>
          <w:color w:val="000000" w:themeColor="text1"/>
        </w:rPr>
        <w:t>對象</w:t>
      </w:r>
      <w:bookmarkEnd w:id="359"/>
      <w:bookmarkEnd w:id="360"/>
      <w:bookmarkEnd w:id="361"/>
      <w:bookmarkEnd w:id="362"/>
      <w:bookmarkEnd w:id="363"/>
      <w:bookmarkEnd w:id="364"/>
      <w:bookmarkEnd w:id="365"/>
      <w:bookmarkEnd w:id="366"/>
      <w:bookmarkEnd w:id="367"/>
      <w:bookmarkEnd w:id="368"/>
      <w:bookmarkEnd w:id="369"/>
      <w:bookmarkEnd w:id="370"/>
      <w:bookmarkEnd w:id="371"/>
    </w:p>
    <w:p w:rsidR="00D7741A" w:rsidRPr="00D41D30" w:rsidRDefault="00D7741A" w:rsidP="00A51BDF">
      <w:pPr>
        <w:pStyle w:val="42"/>
        <w:ind w:leftChars="400" w:left="1361" w:firstLine="680"/>
        <w:rPr>
          <w:color w:val="000000" w:themeColor="text1"/>
        </w:rPr>
      </w:pPr>
      <w:r w:rsidRPr="00D41D30">
        <w:rPr>
          <w:rFonts w:hint="eastAsia"/>
          <w:color w:val="000000" w:themeColor="text1"/>
        </w:rPr>
        <w:t>鑒於多元的終身學習管道，對延長壽命及提高生活品質有密切關係，國內的高齡人口有8成以上屬健康或亞健康，為促進高齡者的學習權益，教育部於白皮書公布後，逐年編列年度預算，研擬計畫，且為以教育及學習之方式，鼓勵55歲以上人民活到老、學到老，樂於參與各項終身學習活動，以及早因應人生後期生活，強化退休生活能力之規劃，爰以55歲以上國民（老人福</w:t>
      </w:r>
      <w:r w:rsidRPr="00D41D30">
        <w:rPr>
          <w:rFonts w:hint="eastAsia"/>
          <w:color w:val="000000" w:themeColor="text1"/>
        </w:rPr>
        <w:lastRenderedPageBreak/>
        <w:t>利法所稱年滿65歲以上老人之前10年）為主要學習對象，建構在地化的中高齡學習體系，並期許長者秉持「快樂學習、樂而忘齡」之「樂齡」精神，讓邁入老年期的國人，能有更充足的時間，積極維持健康活力，並能持續參與社會貢獻所能。</w:t>
      </w:r>
    </w:p>
    <w:p w:rsidR="00D7741A" w:rsidRPr="00D41D30" w:rsidRDefault="00D7741A" w:rsidP="00FE160B">
      <w:pPr>
        <w:pStyle w:val="3"/>
        <w:ind w:left="1393"/>
        <w:rPr>
          <w:color w:val="000000" w:themeColor="text1"/>
        </w:rPr>
      </w:pPr>
      <w:bookmarkStart w:id="372" w:name="_Toc16500633"/>
      <w:bookmarkStart w:id="373" w:name="_Toc16588708"/>
      <w:bookmarkStart w:id="374" w:name="_Toc16693341"/>
      <w:bookmarkStart w:id="375" w:name="_Toc27670605"/>
      <w:bookmarkStart w:id="376" w:name="_Toc30512462"/>
      <w:bookmarkStart w:id="377" w:name="_Toc30581170"/>
      <w:bookmarkStart w:id="378" w:name="_Toc32392443"/>
      <w:bookmarkStart w:id="379" w:name="_Toc32673633"/>
      <w:bookmarkStart w:id="380" w:name="_Toc32845775"/>
      <w:bookmarkStart w:id="381" w:name="_Toc32846498"/>
      <w:bookmarkStart w:id="382" w:name="_Toc32913741"/>
      <w:bookmarkStart w:id="383" w:name="_Toc32918417"/>
      <w:bookmarkStart w:id="384" w:name="_Toc33011710"/>
      <w:r w:rsidRPr="00D41D30">
        <w:rPr>
          <w:rFonts w:hint="eastAsia"/>
          <w:color w:val="000000" w:themeColor="text1"/>
        </w:rPr>
        <w:t>執行依據</w:t>
      </w:r>
      <w:bookmarkEnd w:id="372"/>
      <w:bookmarkEnd w:id="373"/>
      <w:bookmarkEnd w:id="374"/>
      <w:bookmarkEnd w:id="375"/>
      <w:bookmarkEnd w:id="376"/>
      <w:bookmarkEnd w:id="377"/>
      <w:bookmarkEnd w:id="378"/>
      <w:bookmarkEnd w:id="379"/>
      <w:bookmarkEnd w:id="380"/>
      <w:bookmarkEnd w:id="381"/>
      <w:bookmarkEnd w:id="382"/>
      <w:bookmarkEnd w:id="383"/>
      <w:bookmarkEnd w:id="384"/>
    </w:p>
    <w:p w:rsidR="00D7741A" w:rsidRPr="00D41D30" w:rsidRDefault="00D7741A" w:rsidP="00DE49C3">
      <w:pPr>
        <w:pStyle w:val="4"/>
        <w:rPr>
          <w:rFonts w:hAnsi="標楷體"/>
          <w:color w:val="000000" w:themeColor="text1"/>
          <w:szCs w:val="32"/>
        </w:rPr>
      </w:pPr>
      <w:r w:rsidRPr="00D41D30">
        <w:rPr>
          <w:rFonts w:hAnsi="標楷體" w:hint="eastAsia"/>
          <w:color w:val="000000" w:themeColor="text1"/>
          <w:szCs w:val="32"/>
        </w:rPr>
        <w:t>103年修正「終身學習法」</w:t>
      </w:r>
      <w:r w:rsidR="00FB4E46" w:rsidRPr="00D41D30">
        <w:rPr>
          <w:rFonts w:hAnsi="標楷體" w:hint="eastAsia"/>
          <w:color w:val="000000" w:themeColor="text1"/>
          <w:szCs w:val="32"/>
        </w:rPr>
        <w:t>，</w:t>
      </w:r>
      <w:r w:rsidRPr="00D41D30">
        <w:rPr>
          <w:rFonts w:hAnsi="標楷體" w:hint="eastAsia"/>
          <w:color w:val="000000" w:themeColor="text1"/>
          <w:szCs w:val="32"/>
        </w:rPr>
        <w:t>於第3條明定「樂齡學習」之定義係「指終身學習機構所提供55歲以上人民從事之學習活動」，取義「快樂學習、樂而忘齡」，亦為英文字「learning」諧音；又依第14條規定：「各級主管機關應訂定樂齡學習推動計畫，編列預算，並鼓勵終身學習機構辦理樂齡學習活動。終身學習機構辦理前項樂齡學習活動，各級主管機關得酌予補助；其補助之對象、條件、方式、審查基準、訪視與輔導及其他應遵行事項之規定，由各級主管機關定之。」</w:t>
      </w:r>
    </w:p>
    <w:p w:rsidR="00D7741A" w:rsidRPr="00D41D30" w:rsidRDefault="00D7741A" w:rsidP="00DE49C3">
      <w:pPr>
        <w:pStyle w:val="4"/>
        <w:rPr>
          <w:rFonts w:hAnsi="標楷體"/>
          <w:color w:val="000000" w:themeColor="text1"/>
          <w:szCs w:val="32"/>
        </w:rPr>
      </w:pPr>
      <w:r w:rsidRPr="00D41D30">
        <w:rPr>
          <w:rFonts w:hAnsi="標楷體" w:hint="eastAsia"/>
          <w:color w:val="000000" w:themeColor="text1"/>
          <w:szCs w:val="32"/>
        </w:rPr>
        <w:t>104年行政院「高齡社會白皮書」：以建構「健康、幸福、活力、友善」高齡社會新圖像為願景。其行動方案：推動高齡教育學習制度。</w:t>
      </w:r>
    </w:p>
    <w:p w:rsidR="00D7741A" w:rsidRPr="00D41D30" w:rsidRDefault="00D7741A" w:rsidP="00DE49C3">
      <w:pPr>
        <w:pStyle w:val="4"/>
        <w:rPr>
          <w:rFonts w:hAnsi="標楷體"/>
          <w:color w:val="000000" w:themeColor="text1"/>
          <w:szCs w:val="32"/>
        </w:rPr>
      </w:pPr>
      <w:r w:rsidRPr="00D41D30">
        <w:rPr>
          <w:rFonts w:hAnsi="標楷體" w:hint="eastAsia"/>
          <w:color w:val="000000" w:themeColor="text1"/>
          <w:szCs w:val="32"/>
        </w:rPr>
        <w:t>104年10月依據「終身學習法」第14條，公布樂齡學習活動補助與訪視輔導及獎勵辦法。</w:t>
      </w:r>
    </w:p>
    <w:p w:rsidR="00D7741A" w:rsidRPr="00D41D30" w:rsidRDefault="00D7741A" w:rsidP="00DE49C3">
      <w:pPr>
        <w:pStyle w:val="4"/>
        <w:rPr>
          <w:rFonts w:hAnsi="標楷體"/>
          <w:color w:val="000000" w:themeColor="text1"/>
          <w:szCs w:val="32"/>
        </w:rPr>
      </w:pPr>
      <w:r w:rsidRPr="00D41D30">
        <w:rPr>
          <w:rFonts w:hAnsi="標楷體" w:hint="eastAsia"/>
          <w:color w:val="000000" w:themeColor="text1"/>
          <w:szCs w:val="32"/>
        </w:rPr>
        <w:t>106年教育部「高齡教育中程發展計畫」：實施期間為106年至109年，目標對象為55歲以上之民眾，以「建立體系、創新學習、開發人力及跨域整合」等4大面向推動本計畫，提供民眾相關多元學習因應老化之管道。</w:t>
      </w:r>
    </w:p>
    <w:p w:rsidR="004B17B6" w:rsidRPr="00D41D30" w:rsidRDefault="004B17B6" w:rsidP="004B17B6">
      <w:pPr>
        <w:pStyle w:val="3"/>
        <w:rPr>
          <w:color w:val="000000" w:themeColor="text1"/>
        </w:rPr>
      </w:pPr>
      <w:bookmarkStart w:id="385" w:name="_Toc16693342"/>
      <w:bookmarkStart w:id="386" w:name="_Toc27670606"/>
      <w:bookmarkStart w:id="387" w:name="_Toc30512463"/>
      <w:bookmarkStart w:id="388" w:name="_Toc30581171"/>
      <w:bookmarkStart w:id="389" w:name="_Toc32392444"/>
      <w:bookmarkStart w:id="390" w:name="_Toc32673634"/>
      <w:bookmarkStart w:id="391" w:name="_Toc32845776"/>
      <w:bookmarkStart w:id="392" w:name="_Toc32846499"/>
      <w:bookmarkStart w:id="393" w:name="_Toc32913742"/>
      <w:bookmarkStart w:id="394" w:name="_Toc32918418"/>
      <w:bookmarkStart w:id="395" w:name="_Toc33011711"/>
      <w:r w:rsidRPr="00D41D30">
        <w:rPr>
          <w:rFonts w:hint="eastAsia"/>
          <w:color w:val="000000" w:themeColor="text1"/>
        </w:rPr>
        <w:t>補助依據</w:t>
      </w:r>
      <w:bookmarkEnd w:id="385"/>
      <w:bookmarkEnd w:id="386"/>
      <w:bookmarkEnd w:id="387"/>
      <w:bookmarkEnd w:id="388"/>
      <w:bookmarkEnd w:id="389"/>
      <w:bookmarkEnd w:id="390"/>
      <w:bookmarkEnd w:id="391"/>
      <w:bookmarkEnd w:id="392"/>
      <w:bookmarkEnd w:id="393"/>
      <w:bookmarkEnd w:id="394"/>
      <w:bookmarkEnd w:id="395"/>
    </w:p>
    <w:p w:rsidR="004B17B6" w:rsidRPr="00D41D30" w:rsidRDefault="004B17B6" w:rsidP="004B17B6">
      <w:pPr>
        <w:pStyle w:val="4"/>
        <w:rPr>
          <w:color w:val="000000" w:themeColor="text1"/>
        </w:rPr>
      </w:pPr>
      <w:r w:rsidRPr="00D41D30">
        <w:rPr>
          <w:rFonts w:hint="eastAsia"/>
          <w:color w:val="000000" w:themeColor="text1"/>
        </w:rPr>
        <w:t>「樂齡學習活動補助與訪視輔導及獎勵辦</w:t>
      </w:r>
      <w:r w:rsidRPr="00D41D30">
        <w:rPr>
          <w:rFonts w:hint="eastAsia"/>
          <w:color w:val="000000" w:themeColor="text1"/>
        </w:rPr>
        <w:lastRenderedPageBreak/>
        <w:t>法」。</w:t>
      </w:r>
    </w:p>
    <w:p w:rsidR="004B17B6" w:rsidRPr="00D41D30" w:rsidRDefault="004B17B6" w:rsidP="004B17B6">
      <w:pPr>
        <w:pStyle w:val="4"/>
        <w:rPr>
          <w:color w:val="000000" w:themeColor="text1"/>
        </w:rPr>
      </w:pPr>
      <w:r w:rsidRPr="00D41D30">
        <w:rPr>
          <w:rFonts w:hint="eastAsia"/>
          <w:color w:val="000000" w:themeColor="text1"/>
        </w:rPr>
        <w:t>「教育部補助辦理樂齡學習活動及獎勵直轄市、縣（市）政府辦理樂齡學習業務實施要點」。</w:t>
      </w:r>
    </w:p>
    <w:p w:rsidR="00D7741A" w:rsidRPr="00D41D30" w:rsidRDefault="00D7741A" w:rsidP="003A194D">
      <w:pPr>
        <w:pStyle w:val="3"/>
        <w:rPr>
          <w:color w:val="000000" w:themeColor="text1"/>
        </w:rPr>
      </w:pPr>
      <w:bookmarkStart w:id="396" w:name="_Toc16500634"/>
      <w:bookmarkStart w:id="397" w:name="_Toc16588709"/>
      <w:bookmarkStart w:id="398" w:name="_Toc16693343"/>
      <w:bookmarkStart w:id="399" w:name="_Toc27670607"/>
      <w:bookmarkStart w:id="400" w:name="_Toc30512464"/>
      <w:bookmarkStart w:id="401" w:name="_Toc30581172"/>
      <w:bookmarkStart w:id="402" w:name="_Toc32392445"/>
      <w:bookmarkStart w:id="403" w:name="_Toc32673635"/>
      <w:bookmarkStart w:id="404" w:name="_Toc32845777"/>
      <w:bookmarkStart w:id="405" w:name="_Toc32846500"/>
      <w:bookmarkStart w:id="406" w:name="_Toc32913743"/>
      <w:bookmarkStart w:id="407" w:name="_Toc32918419"/>
      <w:bookmarkStart w:id="408" w:name="_Toc33011712"/>
      <w:r w:rsidRPr="00D41D30">
        <w:rPr>
          <w:rFonts w:hint="eastAsia"/>
          <w:color w:val="000000" w:themeColor="text1"/>
        </w:rPr>
        <w:t>相關計畫</w:t>
      </w:r>
      <w:bookmarkEnd w:id="396"/>
      <w:bookmarkEnd w:id="397"/>
      <w:bookmarkEnd w:id="398"/>
      <w:bookmarkEnd w:id="399"/>
      <w:bookmarkEnd w:id="400"/>
      <w:bookmarkEnd w:id="401"/>
      <w:bookmarkEnd w:id="402"/>
      <w:bookmarkEnd w:id="403"/>
      <w:bookmarkEnd w:id="404"/>
      <w:bookmarkEnd w:id="405"/>
      <w:bookmarkEnd w:id="406"/>
      <w:bookmarkEnd w:id="407"/>
      <w:bookmarkEnd w:id="408"/>
    </w:p>
    <w:p w:rsidR="00D7741A" w:rsidRPr="00D41D30" w:rsidRDefault="00D7741A" w:rsidP="003A194D">
      <w:pPr>
        <w:pStyle w:val="4"/>
        <w:rPr>
          <w:color w:val="000000" w:themeColor="text1"/>
        </w:rPr>
      </w:pPr>
      <w:r w:rsidRPr="00D41D30">
        <w:rPr>
          <w:rFonts w:hint="eastAsia"/>
          <w:color w:val="000000" w:themeColor="text1"/>
        </w:rPr>
        <w:t>樂齡學習中心：97年5月發布「教育部補助設置各鄉鎮市區樂齡學習資源中心實施要點」，以全國368個鄉鎮市區均成立1所中心為目標，後更名為「樂齡學習中心」</w:t>
      </w:r>
      <w:r w:rsidR="00B562C7" w:rsidRPr="00D41D30">
        <w:rPr>
          <w:rFonts w:hint="eastAsia"/>
          <w:color w:val="000000" w:themeColor="text1"/>
        </w:rPr>
        <w:t>（</w:t>
      </w:r>
      <w:r w:rsidRPr="00D41D30">
        <w:rPr>
          <w:rFonts w:hint="eastAsia"/>
          <w:color w:val="000000" w:themeColor="text1"/>
        </w:rPr>
        <w:t>以下簡稱樂齡中心</w:t>
      </w:r>
      <w:r w:rsidR="006B5136" w:rsidRPr="00D41D30">
        <w:rPr>
          <w:rFonts w:hint="eastAsia"/>
          <w:color w:val="000000" w:themeColor="text1"/>
        </w:rPr>
        <w:t>）</w:t>
      </w:r>
      <w:r w:rsidRPr="00D41D30">
        <w:rPr>
          <w:rFonts w:hint="eastAsia"/>
          <w:color w:val="000000" w:themeColor="text1"/>
        </w:rPr>
        <w:t>」，每年依據中心實際執行情形，滾動修正實施計畫，現將中心分為新辦、續辦、示範、優質及優先推動區，依類別補助經費。</w:t>
      </w:r>
    </w:p>
    <w:p w:rsidR="00D7741A" w:rsidRPr="00D41D30" w:rsidRDefault="00D7741A" w:rsidP="003A194D">
      <w:pPr>
        <w:pStyle w:val="4"/>
        <w:rPr>
          <w:color w:val="000000" w:themeColor="text1"/>
        </w:rPr>
      </w:pPr>
      <w:r w:rsidRPr="00D41D30">
        <w:rPr>
          <w:rFonts w:hint="eastAsia"/>
          <w:color w:val="000000" w:themeColor="text1"/>
        </w:rPr>
        <w:t>樂齡大學：97年實施「老人短期寄宿學習計畫」，98年轉型「樂齡學堂」，99年試辦「樂齡大學」，100年發布「教育部補助大學校院辦理『樂齡大學』計畫」，每年滾動修正計畫。</w:t>
      </w:r>
    </w:p>
    <w:p w:rsidR="00D7741A" w:rsidRPr="00D41D30" w:rsidRDefault="00D7741A" w:rsidP="003A194D">
      <w:pPr>
        <w:pStyle w:val="4"/>
        <w:rPr>
          <w:color w:val="000000" w:themeColor="text1"/>
        </w:rPr>
      </w:pPr>
      <w:r w:rsidRPr="00D41D30">
        <w:rPr>
          <w:rFonts w:hint="eastAsia"/>
          <w:color w:val="000000" w:themeColor="text1"/>
        </w:rPr>
        <w:t>樂齡學習班：99年規劃試辦「教育部補助辦理社區樂齡學習班專案實施計畫」，運用國小教室及師資辦理樂齡學習課程，實施之學校後續轉為樂齡中心。</w:t>
      </w:r>
    </w:p>
    <w:p w:rsidR="00D7741A" w:rsidRPr="00D41D30" w:rsidRDefault="00D7741A" w:rsidP="003A194D">
      <w:pPr>
        <w:pStyle w:val="4"/>
        <w:rPr>
          <w:color w:val="000000" w:themeColor="text1"/>
        </w:rPr>
      </w:pPr>
      <w:r w:rsidRPr="00D41D30">
        <w:rPr>
          <w:rFonts w:hint="eastAsia"/>
          <w:color w:val="000000" w:themeColor="text1"/>
        </w:rPr>
        <w:t>高齡自主學習團體：自104年起試辦「推動高齡自主學習團體終身學習活動試辦計畫」，以新型態高齡者學習自主自助取向方式推動3年試辦計畫，鼓勵帶領人深入鄰里、偏鄉及離島等地區。</w:t>
      </w:r>
    </w:p>
    <w:p w:rsidR="00D7741A" w:rsidRPr="00D41D30" w:rsidRDefault="00D7741A" w:rsidP="00D67C92">
      <w:pPr>
        <w:pStyle w:val="3"/>
        <w:rPr>
          <w:color w:val="000000" w:themeColor="text1"/>
        </w:rPr>
      </w:pPr>
      <w:bookmarkStart w:id="409" w:name="_Toc16693344"/>
      <w:bookmarkStart w:id="410" w:name="_Toc27670608"/>
      <w:bookmarkStart w:id="411" w:name="_Toc30512465"/>
      <w:bookmarkStart w:id="412" w:name="_Toc30581173"/>
      <w:bookmarkStart w:id="413" w:name="_Toc32392446"/>
      <w:bookmarkStart w:id="414" w:name="_Toc32673636"/>
      <w:bookmarkStart w:id="415" w:name="_Toc32845778"/>
      <w:bookmarkStart w:id="416" w:name="_Toc32846501"/>
      <w:bookmarkStart w:id="417" w:name="_Toc32913744"/>
      <w:bookmarkStart w:id="418" w:name="_Toc32918420"/>
      <w:bookmarkStart w:id="419" w:name="_Toc33011713"/>
      <w:r w:rsidRPr="00D41D30">
        <w:rPr>
          <w:rFonts w:hint="eastAsia"/>
          <w:color w:val="000000" w:themeColor="text1"/>
        </w:rPr>
        <w:t>樂齡教育推動體系概說</w:t>
      </w:r>
      <w:bookmarkEnd w:id="409"/>
      <w:bookmarkEnd w:id="410"/>
      <w:bookmarkEnd w:id="411"/>
      <w:bookmarkEnd w:id="412"/>
      <w:bookmarkEnd w:id="413"/>
      <w:bookmarkEnd w:id="414"/>
      <w:bookmarkEnd w:id="415"/>
      <w:bookmarkEnd w:id="416"/>
      <w:bookmarkEnd w:id="417"/>
      <w:bookmarkEnd w:id="418"/>
      <w:bookmarkEnd w:id="419"/>
    </w:p>
    <w:p w:rsidR="00D7741A" w:rsidRPr="00D41D30" w:rsidRDefault="00D7741A" w:rsidP="00D67C92">
      <w:pPr>
        <w:pStyle w:val="4"/>
        <w:rPr>
          <w:color w:val="000000" w:themeColor="text1"/>
        </w:rPr>
      </w:pPr>
      <w:bookmarkStart w:id="420" w:name="_Toc16500636"/>
      <w:bookmarkStart w:id="421" w:name="_Toc16588711"/>
      <w:bookmarkStart w:id="422" w:name="_Toc421794871"/>
      <w:r w:rsidRPr="00D41D30">
        <w:rPr>
          <w:rFonts w:hint="eastAsia"/>
          <w:color w:val="000000" w:themeColor="text1"/>
        </w:rPr>
        <w:t>結盟在地組織</w:t>
      </w:r>
      <w:bookmarkEnd w:id="420"/>
      <w:bookmarkEnd w:id="421"/>
    </w:p>
    <w:p w:rsidR="00D7741A" w:rsidRPr="00D41D30" w:rsidRDefault="00D7741A" w:rsidP="00D67C92">
      <w:pPr>
        <w:pStyle w:val="5"/>
        <w:rPr>
          <w:color w:val="000000" w:themeColor="text1"/>
        </w:rPr>
      </w:pPr>
      <w:r w:rsidRPr="00D41D30">
        <w:rPr>
          <w:rFonts w:hint="eastAsia"/>
          <w:color w:val="000000" w:themeColor="text1"/>
        </w:rPr>
        <w:t>普及各鄉鎮市區樂齡中心：結合在地組織學校體系、民間團體、鄉鎮市區公所、農會及漁會與醫院等單位，目前全國已有365所樂齡中心，近3年參與人次，每年均達200</w:t>
      </w:r>
      <w:r w:rsidRPr="00D41D30">
        <w:rPr>
          <w:rFonts w:hint="eastAsia"/>
          <w:color w:val="000000" w:themeColor="text1"/>
        </w:rPr>
        <w:lastRenderedPageBreak/>
        <w:t>萬人次以上。各中心執行單位以民間團體占44%、學校占42%為最多，另全國樂齡學習中心實施「村里拓點工作」，結合當地村里長辦公室、宗教聚會所、醫院等單位，協助推動樂齡學習村里拓點工作，預計108年達3</w:t>
      </w:r>
      <w:r w:rsidRPr="00D41D30">
        <w:rPr>
          <w:color w:val="000000" w:themeColor="text1"/>
        </w:rPr>
        <w:t>,</w:t>
      </w:r>
      <w:r w:rsidRPr="00D41D30">
        <w:rPr>
          <w:rFonts w:hint="eastAsia"/>
          <w:color w:val="000000" w:themeColor="text1"/>
        </w:rPr>
        <w:t>006個村里，進行跨域垂直及橫向整合，如南投縣樂齡學習示範中心結合該鄉現有資源，於107年已將拓點深入魚池鄉13村，當地飯店無償提供空間供長者上課，讓平均75歲的長者不用出遠門就可就地學習。</w:t>
      </w:r>
    </w:p>
    <w:p w:rsidR="00D7741A" w:rsidRPr="00D41D30" w:rsidRDefault="00D7741A" w:rsidP="00D67C92">
      <w:pPr>
        <w:pStyle w:val="5"/>
        <w:rPr>
          <w:color w:val="000000" w:themeColor="text1"/>
        </w:rPr>
      </w:pPr>
      <w:r w:rsidRPr="00D41D30">
        <w:rPr>
          <w:rFonts w:hint="eastAsia"/>
          <w:color w:val="000000" w:themeColor="text1"/>
        </w:rPr>
        <w:t>推動樂齡大學計畫：則運用國內大學校院共同推動創新多元的樂齡學習課程，107學年度已有107所大學協助推動，近2年每年學生數達4</w:t>
      </w:r>
      <w:r w:rsidRPr="00D41D30">
        <w:rPr>
          <w:color w:val="000000" w:themeColor="text1"/>
        </w:rPr>
        <w:t>,</w:t>
      </w:r>
      <w:r w:rsidRPr="00D41D30">
        <w:rPr>
          <w:rFonts w:hint="eastAsia"/>
          <w:color w:val="000000" w:themeColor="text1"/>
        </w:rPr>
        <w:t>000人以上。</w:t>
      </w:r>
    </w:p>
    <w:p w:rsidR="00D7741A" w:rsidRPr="00D41D30" w:rsidRDefault="00D7741A" w:rsidP="00D67C92">
      <w:pPr>
        <w:pStyle w:val="5"/>
        <w:rPr>
          <w:color w:val="000000" w:themeColor="text1"/>
        </w:rPr>
      </w:pPr>
      <w:r w:rsidRPr="00D41D30">
        <w:rPr>
          <w:rFonts w:hint="eastAsia"/>
          <w:color w:val="000000" w:themeColor="text1"/>
        </w:rPr>
        <w:t>試辦高齡自主學習團體：培訓491位高齡自主學習團體帶領人，補助348個自主學習團體深入社區或偏遠地區，辦理多元豐富的終身教育課程及活動。</w:t>
      </w:r>
    </w:p>
    <w:p w:rsidR="00D7741A" w:rsidRPr="00D41D30" w:rsidRDefault="00D7741A" w:rsidP="00D67C92">
      <w:pPr>
        <w:pStyle w:val="4"/>
        <w:rPr>
          <w:color w:val="000000" w:themeColor="text1"/>
        </w:rPr>
      </w:pPr>
      <w:bookmarkStart w:id="423" w:name="_Toc16500637"/>
      <w:bookmarkStart w:id="424" w:name="_Toc16588712"/>
      <w:r w:rsidRPr="00D41D30">
        <w:rPr>
          <w:rFonts w:hint="eastAsia"/>
          <w:color w:val="000000" w:themeColor="text1"/>
        </w:rPr>
        <w:t>進行跨域整合</w:t>
      </w:r>
      <w:bookmarkEnd w:id="423"/>
      <w:bookmarkEnd w:id="424"/>
    </w:p>
    <w:p w:rsidR="00D7741A" w:rsidRPr="00D41D30" w:rsidRDefault="00D7741A" w:rsidP="00D67C92">
      <w:pPr>
        <w:pStyle w:val="21"/>
        <w:ind w:leftChars="500" w:left="1701" w:firstLine="680"/>
        <w:rPr>
          <w:color w:val="000000" w:themeColor="text1"/>
        </w:rPr>
      </w:pPr>
      <w:r w:rsidRPr="00D41D30">
        <w:rPr>
          <w:rFonts w:hint="eastAsia"/>
          <w:color w:val="000000" w:themeColor="text1"/>
        </w:rPr>
        <w:t>歷年陸續結合各有關部會對於高齡者重要的推廣議題，並納入全國樂齡學習中心之樂齡核心課程，如預防失智</w:t>
      </w:r>
      <w:r w:rsidR="00B562C7" w:rsidRPr="00D41D30">
        <w:rPr>
          <w:rFonts w:hint="eastAsia"/>
          <w:color w:val="000000" w:themeColor="text1"/>
        </w:rPr>
        <w:t>（</w:t>
      </w:r>
      <w:r w:rsidRPr="00D41D30">
        <w:rPr>
          <w:rFonts w:hint="eastAsia"/>
          <w:color w:val="000000" w:themeColor="text1"/>
        </w:rPr>
        <w:t>衛生福部</w:t>
      </w:r>
      <w:r w:rsidR="006B5136" w:rsidRPr="00D41D30">
        <w:rPr>
          <w:rFonts w:hint="eastAsia"/>
          <w:color w:val="000000" w:themeColor="text1"/>
        </w:rPr>
        <w:t>）</w:t>
      </w:r>
      <w:r w:rsidRPr="00D41D30">
        <w:rPr>
          <w:rFonts w:hint="eastAsia"/>
          <w:color w:val="000000" w:themeColor="text1"/>
        </w:rPr>
        <w:t>、性別平等</w:t>
      </w:r>
      <w:r w:rsidR="00B562C7" w:rsidRPr="00D41D30">
        <w:rPr>
          <w:rFonts w:hint="eastAsia"/>
          <w:color w:val="000000" w:themeColor="text1"/>
        </w:rPr>
        <w:t>（</w:t>
      </w:r>
      <w:r w:rsidRPr="00D41D30">
        <w:rPr>
          <w:rFonts w:hint="eastAsia"/>
          <w:color w:val="000000" w:themeColor="text1"/>
        </w:rPr>
        <w:t>行政院性平會</w:t>
      </w:r>
      <w:r w:rsidR="006B5136" w:rsidRPr="00D41D30">
        <w:rPr>
          <w:rFonts w:hint="eastAsia"/>
          <w:color w:val="000000" w:themeColor="text1"/>
        </w:rPr>
        <w:t>）</w:t>
      </w:r>
      <w:r w:rsidRPr="00D41D30">
        <w:rPr>
          <w:rFonts w:hint="eastAsia"/>
          <w:color w:val="000000" w:themeColor="text1"/>
        </w:rPr>
        <w:t>、消費者保護</w:t>
      </w:r>
      <w:r w:rsidR="00B562C7" w:rsidRPr="00D41D30">
        <w:rPr>
          <w:rFonts w:hint="eastAsia"/>
          <w:color w:val="000000" w:themeColor="text1"/>
        </w:rPr>
        <w:t>（</w:t>
      </w:r>
      <w:r w:rsidRPr="00D41D30">
        <w:rPr>
          <w:rFonts w:hint="eastAsia"/>
          <w:color w:val="000000" w:themeColor="text1"/>
        </w:rPr>
        <w:t>行政院消保會</w:t>
      </w:r>
      <w:r w:rsidR="006B5136" w:rsidRPr="00D41D30">
        <w:rPr>
          <w:rFonts w:hint="eastAsia"/>
          <w:color w:val="000000" w:themeColor="text1"/>
        </w:rPr>
        <w:t>）</w:t>
      </w:r>
      <w:r w:rsidRPr="00D41D30">
        <w:rPr>
          <w:rFonts w:hint="eastAsia"/>
          <w:color w:val="000000" w:themeColor="text1"/>
        </w:rPr>
        <w:t>、交通安全</w:t>
      </w:r>
      <w:r w:rsidR="00B562C7" w:rsidRPr="00D41D30">
        <w:rPr>
          <w:rFonts w:hint="eastAsia"/>
          <w:color w:val="000000" w:themeColor="text1"/>
        </w:rPr>
        <w:t>（</w:t>
      </w:r>
      <w:r w:rsidRPr="00D41D30">
        <w:rPr>
          <w:rFonts w:hint="eastAsia"/>
          <w:color w:val="000000" w:themeColor="text1"/>
        </w:rPr>
        <w:t>交通部</w:t>
      </w:r>
      <w:r w:rsidR="006B5136" w:rsidRPr="00D41D30">
        <w:rPr>
          <w:rFonts w:hint="eastAsia"/>
          <w:color w:val="000000" w:themeColor="text1"/>
        </w:rPr>
        <w:t>）</w:t>
      </w:r>
      <w:r w:rsidRPr="00D41D30">
        <w:rPr>
          <w:rFonts w:hint="eastAsia"/>
          <w:color w:val="000000" w:themeColor="text1"/>
        </w:rPr>
        <w:t>、用藥安全</w:t>
      </w:r>
      <w:r w:rsidR="00B562C7" w:rsidRPr="00D41D30">
        <w:rPr>
          <w:rFonts w:hint="eastAsia"/>
          <w:color w:val="000000" w:themeColor="text1"/>
        </w:rPr>
        <w:t>（</w:t>
      </w:r>
      <w:r w:rsidRPr="00D41D30">
        <w:rPr>
          <w:rFonts w:hint="eastAsia"/>
          <w:color w:val="000000" w:themeColor="text1"/>
        </w:rPr>
        <w:t>衛生福部</w:t>
      </w:r>
      <w:r w:rsidR="006B5136" w:rsidRPr="00D41D30">
        <w:rPr>
          <w:rFonts w:hint="eastAsia"/>
          <w:color w:val="000000" w:themeColor="text1"/>
        </w:rPr>
        <w:t>）</w:t>
      </w:r>
      <w:r w:rsidRPr="00D41D30">
        <w:rPr>
          <w:rFonts w:hint="eastAsia"/>
          <w:color w:val="000000" w:themeColor="text1"/>
        </w:rPr>
        <w:t>、預防詐騙</w:t>
      </w:r>
      <w:r w:rsidR="00B562C7" w:rsidRPr="00D41D30">
        <w:rPr>
          <w:rFonts w:hint="eastAsia"/>
          <w:color w:val="000000" w:themeColor="text1"/>
        </w:rPr>
        <w:t>（</w:t>
      </w:r>
      <w:r w:rsidRPr="00D41D30">
        <w:rPr>
          <w:rFonts w:hint="eastAsia"/>
          <w:color w:val="000000" w:themeColor="text1"/>
        </w:rPr>
        <w:t>內政部警政署</w:t>
      </w:r>
      <w:r w:rsidR="006B5136" w:rsidRPr="00D41D30">
        <w:rPr>
          <w:rFonts w:hint="eastAsia"/>
          <w:color w:val="000000" w:themeColor="text1"/>
        </w:rPr>
        <w:t>）</w:t>
      </w:r>
      <w:r w:rsidRPr="00D41D30">
        <w:rPr>
          <w:rFonts w:hint="eastAsia"/>
          <w:color w:val="000000" w:themeColor="text1"/>
        </w:rPr>
        <w:t>，並配合該部相關單位執行銀髮體適能</w:t>
      </w:r>
      <w:r w:rsidR="00B562C7" w:rsidRPr="00D41D30">
        <w:rPr>
          <w:rFonts w:hint="eastAsia"/>
          <w:color w:val="000000" w:themeColor="text1"/>
        </w:rPr>
        <w:t>（</w:t>
      </w:r>
      <w:r w:rsidRPr="00D41D30">
        <w:rPr>
          <w:rFonts w:hint="eastAsia"/>
          <w:color w:val="000000" w:themeColor="text1"/>
        </w:rPr>
        <w:t>教育部體育署</w:t>
      </w:r>
      <w:r w:rsidR="006B5136" w:rsidRPr="00D41D30">
        <w:rPr>
          <w:rFonts w:hint="eastAsia"/>
          <w:color w:val="000000" w:themeColor="text1"/>
        </w:rPr>
        <w:t>）</w:t>
      </w:r>
      <w:r w:rsidRPr="00D41D30">
        <w:rPr>
          <w:rFonts w:hint="eastAsia"/>
          <w:color w:val="000000" w:themeColor="text1"/>
        </w:rPr>
        <w:t>、海洋教育、生命教育及美感教育與等議題。</w:t>
      </w:r>
    </w:p>
    <w:p w:rsidR="00D7741A" w:rsidRPr="00D41D30" w:rsidRDefault="00D7741A" w:rsidP="00D67C92">
      <w:pPr>
        <w:pStyle w:val="4"/>
        <w:rPr>
          <w:color w:val="000000" w:themeColor="text1"/>
        </w:rPr>
      </w:pPr>
      <w:bookmarkStart w:id="425" w:name="_Toc16500638"/>
      <w:bookmarkStart w:id="426" w:name="_Toc16588713"/>
      <w:r w:rsidRPr="00D41D30">
        <w:rPr>
          <w:rFonts w:hint="eastAsia"/>
          <w:color w:val="000000" w:themeColor="text1"/>
        </w:rPr>
        <w:t>強化專業輔導</w:t>
      </w:r>
      <w:bookmarkEnd w:id="425"/>
      <w:bookmarkEnd w:id="426"/>
    </w:p>
    <w:p w:rsidR="00D7741A" w:rsidRPr="00D41D30" w:rsidRDefault="00D7741A" w:rsidP="00D67C92">
      <w:pPr>
        <w:pStyle w:val="21"/>
        <w:ind w:leftChars="500" w:left="1701" w:firstLine="680"/>
        <w:rPr>
          <w:rFonts w:hAnsi="標楷體" w:cs="新細明體"/>
          <w:bCs/>
          <w:color w:val="000000" w:themeColor="text1"/>
          <w:kern w:val="0"/>
          <w:sz w:val="28"/>
          <w:szCs w:val="28"/>
        </w:rPr>
      </w:pPr>
      <w:r w:rsidRPr="00D41D30">
        <w:rPr>
          <w:rFonts w:hint="eastAsia"/>
          <w:color w:val="000000" w:themeColor="text1"/>
        </w:rPr>
        <w:t>為協助教育單位落實推動高齡教育及輔導</w:t>
      </w:r>
      <w:r w:rsidRPr="00D41D30">
        <w:rPr>
          <w:rFonts w:hint="eastAsia"/>
          <w:color w:val="000000" w:themeColor="text1"/>
        </w:rPr>
        <w:lastRenderedPageBreak/>
        <w:t>各縣市政府落實推動高齡教育政策，教育部委託專業學術團隊成立樂齡輔導團，研擬各項評鑑及訪視樂齡中心指標、研編系列教材、辦理培訓研習、聯繫會議及焦點座談與成果觀摩等，提升高齡教育者之專業能力。</w:t>
      </w:r>
    </w:p>
    <w:p w:rsidR="00D7741A" w:rsidRPr="00D41D30" w:rsidRDefault="00D7741A" w:rsidP="00D67C92">
      <w:pPr>
        <w:pStyle w:val="21"/>
        <w:ind w:leftChars="500" w:left="1701" w:firstLine="680"/>
        <w:rPr>
          <w:color w:val="000000" w:themeColor="text1"/>
        </w:rPr>
      </w:pPr>
      <w:r w:rsidRPr="00D41D30">
        <w:rPr>
          <w:color w:val="000000" w:themeColor="text1"/>
        </w:rPr>
        <w:t>100</w:t>
      </w:r>
      <w:r w:rsidRPr="00D41D30">
        <w:rPr>
          <w:rFonts w:hint="eastAsia"/>
          <w:color w:val="000000" w:themeColor="text1"/>
        </w:rPr>
        <w:t>年教育部首度成立北區及南區輔導團，因執行成效良好，且分區較能深入輔導，爰於101年考量全國樂齡學習中心數增加，且國內4所具成人教育及高齡教育背景之大學（國立臺灣師範大學、國立暨南國際大學、國立中正大學及國立高雄師範大學）有其專業輔導能力，為協助全國各樂齡學習中心專業發展，1</w:t>
      </w:r>
      <w:r w:rsidRPr="00D41D30">
        <w:rPr>
          <w:color w:val="000000" w:themeColor="text1"/>
        </w:rPr>
        <w:t>01</w:t>
      </w:r>
      <w:r w:rsidRPr="00D41D30">
        <w:rPr>
          <w:rFonts w:hint="eastAsia"/>
          <w:color w:val="000000" w:themeColor="text1"/>
        </w:rPr>
        <w:t>年成立1個樂齡學習總輔導團及4個分區輔導團，各區輔導團各司其職，協助全國樂齡中心朝向專業化，以強化在地組織專業能力，從而實踐國內樂齡學習師資優質化，各區輔導團每年辦理至少50場培訓，並已完成研編28冊</w:t>
      </w:r>
      <w:r w:rsidR="00B562C7" w:rsidRPr="00D41D30">
        <w:rPr>
          <w:rFonts w:hint="eastAsia"/>
          <w:color w:val="000000" w:themeColor="text1"/>
        </w:rPr>
        <w:t>（</w:t>
      </w:r>
      <w:r w:rsidRPr="00D41D30">
        <w:rPr>
          <w:rFonts w:hint="eastAsia"/>
          <w:color w:val="000000" w:themeColor="text1"/>
        </w:rPr>
        <w:t>不含數位教材</w:t>
      </w:r>
      <w:r w:rsidR="006B5136" w:rsidRPr="00D41D30">
        <w:rPr>
          <w:rFonts w:hint="eastAsia"/>
          <w:color w:val="000000" w:themeColor="text1"/>
        </w:rPr>
        <w:t>）</w:t>
      </w:r>
      <w:r w:rsidRPr="00D41D30">
        <w:rPr>
          <w:rFonts w:hint="eastAsia"/>
          <w:color w:val="000000" w:themeColor="text1"/>
        </w:rPr>
        <w:t>，均置於樂齡學習網提供全國各有關單位及民眾自學運用。</w:t>
      </w:r>
    </w:p>
    <w:p w:rsidR="00D7741A" w:rsidRPr="00D41D30" w:rsidRDefault="00D7741A" w:rsidP="00D67C92">
      <w:pPr>
        <w:pStyle w:val="21"/>
        <w:ind w:leftChars="500" w:left="1701" w:firstLine="680"/>
        <w:rPr>
          <w:color w:val="000000" w:themeColor="text1"/>
        </w:rPr>
      </w:pPr>
      <w:r w:rsidRPr="00D41D30">
        <w:rPr>
          <w:color w:val="000000" w:themeColor="text1"/>
        </w:rPr>
        <w:t>依據</w:t>
      </w:r>
      <w:r w:rsidRPr="00D41D30">
        <w:rPr>
          <w:rFonts w:hint="eastAsia"/>
          <w:color w:val="000000" w:themeColor="text1"/>
        </w:rPr>
        <w:t>該</w:t>
      </w:r>
      <w:r w:rsidRPr="00D41D30">
        <w:rPr>
          <w:color w:val="000000" w:themeColor="text1"/>
        </w:rPr>
        <w:t>部</w:t>
      </w:r>
      <w:r w:rsidRPr="00D41D30">
        <w:rPr>
          <w:rFonts w:hint="eastAsia"/>
          <w:color w:val="000000" w:themeColor="text1"/>
        </w:rPr>
        <w:t>委託國立暨南國際大學</w:t>
      </w:r>
      <w:r w:rsidRPr="00D41D30">
        <w:rPr>
          <w:color w:val="000000" w:themeColor="text1"/>
        </w:rPr>
        <w:t>10</w:t>
      </w:r>
      <w:r w:rsidRPr="00D41D30">
        <w:rPr>
          <w:rFonts w:hint="eastAsia"/>
          <w:color w:val="000000" w:themeColor="text1"/>
        </w:rPr>
        <w:t>6</w:t>
      </w:r>
      <w:r w:rsidRPr="00D41D30">
        <w:rPr>
          <w:color w:val="000000" w:themeColor="text1"/>
        </w:rPr>
        <w:t>年度執行「成人教育調查報告」，</w:t>
      </w:r>
      <w:r w:rsidRPr="00D41D30">
        <w:rPr>
          <w:rFonts w:hint="eastAsia"/>
          <w:color w:val="000000" w:themeColor="text1"/>
        </w:rPr>
        <w:t>5</w:t>
      </w:r>
      <w:r w:rsidRPr="00D41D30">
        <w:rPr>
          <w:color w:val="000000" w:themeColor="text1"/>
        </w:rPr>
        <w:t>5歲以上</w:t>
      </w:r>
      <w:r w:rsidRPr="00D41D30">
        <w:rPr>
          <w:rFonts w:hint="eastAsia"/>
          <w:color w:val="000000" w:themeColor="text1"/>
        </w:rPr>
        <w:t>長</w:t>
      </w:r>
      <w:r w:rsidRPr="00D41D30">
        <w:rPr>
          <w:color w:val="000000" w:themeColor="text1"/>
        </w:rPr>
        <w:t>者參加學習活動</w:t>
      </w:r>
      <w:r w:rsidRPr="00D41D30">
        <w:rPr>
          <w:rFonts w:hint="eastAsia"/>
          <w:color w:val="000000" w:themeColor="text1"/>
        </w:rPr>
        <w:t>比率</w:t>
      </w:r>
      <w:r w:rsidRPr="00D41D30">
        <w:rPr>
          <w:color w:val="000000" w:themeColor="text1"/>
        </w:rPr>
        <w:t>從97年1</w:t>
      </w:r>
      <w:r w:rsidRPr="00D41D30">
        <w:rPr>
          <w:rFonts w:hint="eastAsia"/>
          <w:color w:val="000000" w:themeColor="text1"/>
        </w:rPr>
        <w:t>9</w:t>
      </w:r>
      <w:r w:rsidRPr="00D41D30">
        <w:rPr>
          <w:color w:val="000000" w:themeColor="text1"/>
        </w:rPr>
        <w:t>.</w:t>
      </w:r>
      <w:r w:rsidRPr="00D41D30">
        <w:rPr>
          <w:rFonts w:hint="eastAsia"/>
          <w:color w:val="000000" w:themeColor="text1"/>
        </w:rPr>
        <w:t>34</w:t>
      </w:r>
      <w:r w:rsidR="00AA037A" w:rsidRPr="00D41D30">
        <w:rPr>
          <w:color w:val="000000" w:themeColor="text1"/>
        </w:rPr>
        <w:t>%</w:t>
      </w:r>
      <w:r w:rsidRPr="00D41D30">
        <w:rPr>
          <w:rFonts w:hint="eastAsia"/>
          <w:color w:val="000000" w:themeColor="text1"/>
        </w:rPr>
        <w:t>升至106</w:t>
      </w:r>
      <w:r w:rsidRPr="00D41D30">
        <w:rPr>
          <w:color w:val="000000" w:themeColor="text1"/>
        </w:rPr>
        <w:t>年2</w:t>
      </w:r>
      <w:r w:rsidRPr="00D41D30">
        <w:rPr>
          <w:rFonts w:hint="eastAsia"/>
          <w:color w:val="000000" w:themeColor="text1"/>
        </w:rPr>
        <w:t>5</w:t>
      </w:r>
      <w:r w:rsidRPr="00D41D30">
        <w:rPr>
          <w:color w:val="000000" w:themeColor="text1"/>
        </w:rPr>
        <w:t>.4</w:t>
      </w:r>
      <w:r w:rsidRPr="00D41D30">
        <w:rPr>
          <w:rFonts w:hint="eastAsia"/>
          <w:color w:val="000000" w:themeColor="text1"/>
        </w:rPr>
        <w:t>0</w:t>
      </w:r>
      <w:r w:rsidRPr="00D41D30">
        <w:rPr>
          <w:color w:val="000000" w:themeColor="text1"/>
        </w:rPr>
        <w:t>%。</w:t>
      </w:r>
    </w:p>
    <w:p w:rsidR="00D7741A" w:rsidRPr="00D41D30" w:rsidRDefault="00D7741A" w:rsidP="00D67C92">
      <w:pPr>
        <w:pStyle w:val="4"/>
        <w:rPr>
          <w:color w:val="000000" w:themeColor="text1"/>
        </w:rPr>
      </w:pPr>
      <w:bookmarkStart w:id="427" w:name="_Toc16500639"/>
      <w:bookmarkStart w:id="428" w:name="_Toc16588714"/>
      <w:r w:rsidRPr="00D41D30">
        <w:rPr>
          <w:rFonts w:hint="eastAsia"/>
          <w:color w:val="000000" w:themeColor="text1"/>
        </w:rPr>
        <w:t>促進世代融合</w:t>
      </w:r>
      <w:bookmarkEnd w:id="427"/>
      <w:bookmarkEnd w:id="428"/>
    </w:p>
    <w:p w:rsidR="00D7741A" w:rsidRPr="00D41D30" w:rsidRDefault="00D7741A" w:rsidP="00D67C92">
      <w:pPr>
        <w:pStyle w:val="21"/>
        <w:ind w:leftChars="500" w:left="1701" w:firstLine="680"/>
        <w:rPr>
          <w:color w:val="000000" w:themeColor="text1"/>
        </w:rPr>
      </w:pPr>
      <w:r w:rsidRPr="00D41D30">
        <w:rPr>
          <w:rFonts w:hint="eastAsia"/>
          <w:color w:val="000000" w:themeColor="text1"/>
        </w:rPr>
        <w:t>為強化國民對於親老及尊老的重視，及落實「邁向高齡社會老人教育政策白皮書」建構無年齡歧視之社會目標，教育部於97至98年於重陽節當週發起「寶貝我們一家老小－全國祖孫週」活動，宣導祖孫世代之間的交流與互動，彰顯祖父母對家庭社會的貢獻與重要性，並自100年起，正式將</w:t>
      </w:r>
      <w:r w:rsidRPr="00D41D30">
        <w:rPr>
          <w:color w:val="000000" w:themeColor="text1"/>
        </w:rPr>
        <w:t>每年8月第4個星期日</w:t>
      </w:r>
      <w:r w:rsidRPr="00D41D30">
        <w:rPr>
          <w:rFonts w:hint="eastAsia"/>
          <w:color w:val="000000" w:themeColor="text1"/>
        </w:rPr>
        <w:t>訂為「祖</w:t>
      </w:r>
      <w:r w:rsidRPr="00D41D30">
        <w:rPr>
          <w:rFonts w:hint="eastAsia"/>
          <w:color w:val="000000" w:themeColor="text1"/>
        </w:rPr>
        <w:lastRenderedPageBreak/>
        <w:t>父母節」</w:t>
      </w:r>
      <w:r w:rsidR="00B562C7" w:rsidRPr="00D41D30">
        <w:rPr>
          <w:rFonts w:hint="eastAsia"/>
          <w:color w:val="000000" w:themeColor="text1"/>
        </w:rPr>
        <w:t>（</w:t>
      </w:r>
      <w:r w:rsidRPr="00D41D30">
        <w:rPr>
          <w:rFonts w:hint="eastAsia"/>
          <w:color w:val="000000" w:themeColor="text1"/>
        </w:rPr>
        <w:t>國定節日</w:t>
      </w:r>
      <w:r w:rsidR="006B5136" w:rsidRPr="00D41D30">
        <w:rPr>
          <w:rFonts w:hint="eastAsia"/>
          <w:color w:val="000000" w:themeColor="text1"/>
        </w:rPr>
        <w:t>）</w:t>
      </w:r>
      <w:r w:rsidRPr="00D41D30">
        <w:rPr>
          <w:rFonts w:hint="eastAsia"/>
          <w:color w:val="000000" w:themeColor="text1"/>
        </w:rPr>
        <w:t>，當日結合相關企業、民間團體、全國樂齡學習中心、家庭教育中心及學校與社教館所共同辦理系列活動，強化民眾對於祖父母及高齡長者尊重，樂齡中心的長者並於高鐵、車站等地進行快閃表演，彰顯高齡長者的活力。</w:t>
      </w:r>
    </w:p>
    <w:p w:rsidR="00D47E02" w:rsidRPr="00D41D30" w:rsidRDefault="00D47E02" w:rsidP="00D47E02">
      <w:pPr>
        <w:pStyle w:val="3"/>
        <w:rPr>
          <w:color w:val="000000" w:themeColor="text1"/>
        </w:rPr>
      </w:pPr>
      <w:bookmarkStart w:id="429" w:name="_Toc27670609"/>
      <w:bookmarkStart w:id="430" w:name="_Toc30512466"/>
      <w:bookmarkStart w:id="431" w:name="_Toc30581174"/>
      <w:bookmarkStart w:id="432" w:name="_Toc32392447"/>
      <w:bookmarkStart w:id="433" w:name="_Toc32673637"/>
      <w:bookmarkStart w:id="434" w:name="_Toc32845779"/>
      <w:bookmarkStart w:id="435" w:name="_Toc32846502"/>
      <w:bookmarkStart w:id="436" w:name="_Toc32913745"/>
      <w:bookmarkStart w:id="437" w:name="_Toc32918421"/>
      <w:bookmarkStart w:id="438" w:name="_Toc33011714"/>
      <w:bookmarkEnd w:id="422"/>
      <w:r w:rsidRPr="00D41D30">
        <w:rPr>
          <w:rFonts w:hint="eastAsia"/>
          <w:color w:val="000000" w:themeColor="text1"/>
        </w:rPr>
        <w:t>跨部會相關業務之橫向聯繫情形</w:t>
      </w:r>
      <w:bookmarkEnd w:id="429"/>
      <w:bookmarkEnd w:id="430"/>
      <w:bookmarkEnd w:id="431"/>
      <w:bookmarkEnd w:id="432"/>
      <w:bookmarkEnd w:id="433"/>
      <w:bookmarkEnd w:id="434"/>
      <w:bookmarkEnd w:id="435"/>
      <w:bookmarkEnd w:id="436"/>
      <w:bookmarkEnd w:id="437"/>
      <w:bookmarkEnd w:id="438"/>
    </w:p>
    <w:p w:rsidR="00FB1D27" w:rsidRPr="00D41D30" w:rsidRDefault="00FB1D27" w:rsidP="0080735F">
      <w:pPr>
        <w:pStyle w:val="4"/>
        <w:rPr>
          <w:color w:val="000000" w:themeColor="text1"/>
        </w:rPr>
      </w:pPr>
      <w:r w:rsidRPr="00D41D30">
        <w:rPr>
          <w:rFonts w:hint="eastAsia"/>
          <w:color w:val="000000" w:themeColor="text1"/>
        </w:rPr>
        <w:t>交通部－老人交通安全路老師計畫</w:t>
      </w:r>
      <w:r w:rsidR="002D1DFA" w:rsidRPr="00D41D30">
        <w:rPr>
          <w:rFonts w:hint="eastAsia"/>
          <w:color w:val="000000" w:themeColor="text1"/>
        </w:rPr>
        <w:t>：</w:t>
      </w:r>
      <w:r w:rsidRPr="00D41D30">
        <w:rPr>
          <w:rFonts w:hint="eastAsia"/>
          <w:color w:val="000000" w:themeColor="text1"/>
        </w:rPr>
        <w:t>國內高齡人口逐年增加，而於交通安全事故中，每4位即有1位為65</w:t>
      </w:r>
      <w:r w:rsidR="00DF1455" w:rsidRPr="00D41D30">
        <w:rPr>
          <w:rFonts w:hint="eastAsia"/>
          <w:color w:val="000000" w:themeColor="text1"/>
        </w:rPr>
        <w:t>歲以上高齡者，為強化高齡者重視自身安全，教育</w:t>
      </w:r>
      <w:r w:rsidRPr="00D41D30">
        <w:rPr>
          <w:rFonts w:hint="eastAsia"/>
          <w:color w:val="000000" w:themeColor="text1"/>
        </w:rPr>
        <w:t>部於99年與交通部首度攜手合作，聯合研編「老人交通安全教材」，並運用所研編教材，結合全國各縣市樂齡中心進行「老人交通安全宣導－『路老師』培訓計畫」，由交通部委託國立中正大學實施3階段培訓，從樂齡中心及各有關單位培訓路老師，肩負起到基層社區宣導高齡者學習及注意交通安全的任務，讓社區的樂齡族群重視自身安全，目前全國樂齡中心持續配合中。</w:t>
      </w:r>
    </w:p>
    <w:p w:rsidR="001042F6" w:rsidRPr="00D41D30" w:rsidRDefault="00350EB1" w:rsidP="0080735F">
      <w:pPr>
        <w:pStyle w:val="4"/>
        <w:rPr>
          <w:color w:val="000000" w:themeColor="text1"/>
        </w:rPr>
      </w:pPr>
      <w:r w:rsidRPr="00D41D30">
        <w:rPr>
          <w:rFonts w:hint="eastAsia"/>
          <w:color w:val="000000" w:themeColor="text1"/>
        </w:rPr>
        <w:t>衛福部</w:t>
      </w:r>
      <w:r w:rsidR="00FB1D27" w:rsidRPr="00D41D30">
        <w:rPr>
          <w:rFonts w:hint="eastAsia"/>
          <w:color w:val="000000" w:themeColor="text1"/>
        </w:rPr>
        <w:t>－健康知識宣導</w:t>
      </w:r>
    </w:p>
    <w:p w:rsidR="00FB1D27" w:rsidRPr="00D41D30" w:rsidRDefault="002D1DFA" w:rsidP="001042F6">
      <w:pPr>
        <w:pStyle w:val="5"/>
        <w:rPr>
          <w:color w:val="000000" w:themeColor="text1"/>
        </w:rPr>
      </w:pPr>
      <w:r w:rsidRPr="00D41D30">
        <w:rPr>
          <w:rFonts w:hint="eastAsia"/>
          <w:color w:val="000000" w:themeColor="text1"/>
        </w:rPr>
        <w:t>教育</w:t>
      </w:r>
      <w:r w:rsidR="00FB1D27" w:rsidRPr="00D41D30">
        <w:rPr>
          <w:rFonts w:hint="eastAsia"/>
          <w:color w:val="000000" w:themeColor="text1"/>
        </w:rPr>
        <w:t>部於101年起結合</w:t>
      </w:r>
      <w:r w:rsidR="00350EB1" w:rsidRPr="00D41D30">
        <w:rPr>
          <w:rFonts w:hint="eastAsia"/>
          <w:color w:val="000000" w:themeColor="text1"/>
        </w:rPr>
        <w:t>衛福部</w:t>
      </w:r>
      <w:r w:rsidR="00FB1D27" w:rsidRPr="00D41D30">
        <w:rPr>
          <w:rFonts w:hint="eastAsia"/>
          <w:color w:val="000000" w:themeColor="text1"/>
        </w:rPr>
        <w:t>（前為內政部社會司及行政院衛生署國民健康局）政策，將失智症、憂鬱症、用藥安全知識等議題納入全國樂齡中心之政策宣導</w:t>
      </w:r>
      <w:r w:rsidR="00B562C7" w:rsidRPr="00D41D30">
        <w:rPr>
          <w:rFonts w:hint="eastAsia"/>
          <w:color w:val="000000" w:themeColor="text1"/>
        </w:rPr>
        <w:t>（</w:t>
      </w:r>
      <w:r w:rsidR="00FB1D27" w:rsidRPr="00D41D30">
        <w:rPr>
          <w:rFonts w:hint="eastAsia"/>
          <w:color w:val="000000" w:themeColor="text1"/>
        </w:rPr>
        <w:t>後改為社會參與</w:t>
      </w:r>
      <w:r w:rsidR="006B5136" w:rsidRPr="00D41D30">
        <w:rPr>
          <w:rFonts w:hint="eastAsia"/>
          <w:color w:val="000000" w:themeColor="text1"/>
        </w:rPr>
        <w:t>）</w:t>
      </w:r>
      <w:r w:rsidR="00FB1D27" w:rsidRPr="00D41D30">
        <w:rPr>
          <w:rFonts w:hint="eastAsia"/>
          <w:color w:val="000000" w:themeColor="text1"/>
        </w:rPr>
        <w:t>課程，讓中高齡者注意社會脈動相關訊息。</w:t>
      </w:r>
    </w:p>
    <w:p w:rsidR="00FB1D27" w:rsidRPr="00D41D30" w:rsidRDefault="00FB1D27" w:rsidP="001042F6">
      <w:pPr>
        <w:pStyle w:val="5"/>
        <w:rPr>
          <w:color w:val="000000" w:themeColor="text1"/>
        </w:rPr>
      </w:pPr>
      <w:r w:rsidRPr="00D41D30">
        <w:rPr>
          <w:rFonts w:hint="eastAsia"/>
          <w:color w:val="000000" w:themeColor="text1"/>
        </w:rPr>
        <w:t>除交通安全及健康知識等議題外，歷年陸續結合各有關部會對於高齡者重要的推廣議題，納入全國樂齡中心之樂齡核心課程，如性別平等</w:t>
      </w:r>
      <w:r w:rsidR="00B562C7" w:rsidRPr="00D41D30">
        <w:rPr>
          <w:rFonts w:hint="eastAsia"/>
          <w:color w:val="000000" w:themeColor="text1"/>
        </w:rPr>
        <w:t>（</w:t>
      </w:r>
      <w:r w:rsidRPr="00D41D30">
        <w:rPr>
          <w:rFonts w:hint="eastAsia"/>
          <w:color w:val="000000" w:themeColor="text1"/>
        </w:rPr>
        <w:t>行政院性平會</w:t>
      </w:r>
      <w:r w:rsidR="006B5136" w:rsidRPr="00D41D30">
        <w:rPr>
          <w:rFonts w:hint="eastAsia"/>
          <w:color w:val="000000" w:themeColor="text1"/>
        </w:rPr>
        <w:t>）</w:t>
      </w:r>
      <w:r w:rsidRPr="00D41D30">
        <w:rPr>
          <w:rFonts w:hint="eastAsia"/>
          <w:color w:val="000000" w:themeColor="text1"/>
        </w:rPr>
        <w:t>、消費者</w:t>
      </w:r>
      <w:r w:rsidRPr="00D41D30">
        <w:rPr>
          <w:rFonts w:hint="eastAsia"/>
          <w:color w:val="000000" w:themeColor="text1"/>
        </w:rPr>
        <w:lastRenderedPageBreak/>
        <w:t>保護</w:t>
      </w:r>
      <w:r w:rsidR="00B562C7" w:rsidRPr="00D41D30">
        <w:rPr>
          <w:rFonts w:hint="eastAsia"/>
          <w:color w:val="000000" w:themeColor="text1"/>
        </w:rPr>
        <w:t>（</w:t>
      </w:r>
      <w:r w:rsidRPr="00D41D30">
        <w:rPr>
          <w:rFonts w:hint="eastAsia"/>
          <w:color w:val="000000" w:themeColor="text1"/>
        </w:rPr>
        <w:t>行政院消保會</w:t>
      </w:r>
      <w:r w:rsidR="006B5136" w:rsidRPr="00D41D30">
        <w:rPr>
          <w:rFonts w:hint="eastAsia"/>
          <w:color w:val="000000" w:themeColor="text1"/>
        </w:rPr>
        <w:t>）</w:t>
      </w:r>
      <w:r w:rsidRPr="00D41D30">
        <w:rPr>
          <w:rFonts w:hint="eastAsia"/>
          <w:color w:val="000000" w:themeColor="text1"/>
        </w:rPr>
        <w:t>、預防詐騙</w:t>
      </w:r>
      <w:r w:rsidR="00B562C7" w:rsidRPr="00D41D30">
        <w:rPr>
          <w:rFonts w:hint="eastAsia"/>
          <w:color w:val="000000" w:themeColor="text1"/>
        </w:rPr>
        <w:t>（</w:t>
      </w:r>
      <w:r w:rsidRPr="00D41D30">
        <w:rPr>
          <w:rFonts w:hint="eastAsia"/>
          <w:color w:val="000000" w:themeColor="text1"/>
        </w:rPr>
        <w:t>內政部警政署</w:t>
      </w:r>
      <w:r w:rsidR="006B5136" w:rsidRPr="00D41D30">
        <w:rPr>
          <w:rFonts w:hint="eastAsia"/>
          <w:color w:val="000000" w:themeColor="text1"/>
        </w:rPr>
        <w:t>）</w:t>
      </w:r>
      <w:r w:rsidRPr="00D41D30">
        <w:rPr>
          <w:rFonts w:hint="eastAsia"/>
          <w:color w:val="000000" w:themeColor="text1"/>
        </w:rPr>
        <w:t>等，並配合</w:t>
      </w:r>
      <w:r w:rsidR="006C4562" w:rsidRPr="00D41D30">
        <w:rPr>
          <w:rFonts w:hint="eastAsia"/>
          <w:color w:val="000000" w:themeColor="text1"/>
        </w:rPr>
        <w:t>該部</w:t>
      </w:r>
      <w:r w:rsidRPr="00D41D30">
        <w:rPr>
          <w:rFonts w:hint="eastAsia"/>
          <w:color w:val="000000" w:themeColor="text1"/>
        </w:rPr>
        <w:t>相關單位執行銀髮體適能</w:t>
      </w:r>
      <w:r w:rsidR="00B562C7" w:rsidRPr="00D41D30">
        <w:rPr>
          <w:rFonts w:hint="eastAsia"/>
          <w:color w:val="000000" w:themeColor="text1"/>
        </w:rPr>
        <w:t>（</w:t>
      </w:r>
      <w:r w:rsidRPr="00D41D30">
        <w:rPr>
          <w:rFonts w:hint="eastAsia"/>
          <w:color w:val="000000" w:themeColor="text1"/>
        </w:rPr>
        <w:t>體育署</w:t>
      </w:r>
      <w:r w:rsidR="006B5136" w:rsidRPr="00D41D30">
        <w:rPr>
          <w:rFonts w:hint="eastAsia"/>
          <w:color w:val="000000" w:themeColor="text1"/>
        </w:rPr>
        <w:t>）</w:t>
      </w:r>
      <w:r w:rsidRPr="00D41D30">
        <w:rPr>
          <w:rFonts w:hint="eastAsia"/>
          <w:color w:val="000000" w:themeColor="text1"/>
        </w:rPr>
        <w:t>、海洋教育、生命教育及美感教育與媒體素養教育等議題，除讓民眾了解</w:t>
      </w:r>
      <w:r w:rsidR="006C4562" w:rsidRPr="00D41D30">
        <w:rPr>
          <w:rFonts w:hint="eastAsia"/>
          <w:color w:val="000000" w:themeColor="text1"/>
        </w:rPr>
        <w:t>該部</w:t>
      </w:r>
      <w:r w:rsidRPr="00D41D30">
        <w:rPr>
          <w:rFonts w:hint="eastAsia"/>
          <w:color w:val="000000" w:themeColor="text1"/>
        </w:rPr>
        <w:t>推動高齡教育政策目的，並將社會重大議題及與中高齡者生活切身相關之議題醫病進行宣導及推廣，以強化中高齡者對於老化生活之準備。</w:t>
      </w:r>
    </w:p>
    <w:p w:rsidR="00320C51" w:rsidRPr="00D41D30" w:rsidRDefault="009316B8" w:rsidP="009316B8">
      <w:pPr>
        <w:pStyle w:val="4"/>
        <w:rPr>
          <w:rFonts w:hAnsi="標楷體"/>
          <w:bCs/>
          <w:color w:val="000000" w:themeColor="text1"/>
          <w:szCs w:val="32"/>
        </w:rPr>
      </w:pPr>
      <w:r w:rsidRPr="00D41D30">
        <w:rPr>
          <w:rFonts w:hint="eastAsia"/>
          <w:color w:val="000000" w:themeColor="text1"/>
        </w:rPr>
        <w:t>教育部對於</w:t>
      </w:r>
      <w:r w:rsidR="00320C51" w:rsidRPr="00D41D30">
        <w:rPr>
          <w:rFonts w:hint="eastAsia"/>
          <w:color w:val="000000" w:themeColor="text1"/>
        </w:rPr>
        <w:t>強化</w:t>
      </w:r>
      <w:r w:rsidR="00320C51" w:rsidRPr="00D41D30">
        <w:rPr>
          <w:rFonts w:hAnsi="標楷體" w:hint="eastAsia"/>
          <w:bCs/>
          <w:color w:val="000000" w:themeColor="text1"/>
          <w:szCs w:val="32"/>
        </w:rPr>
        <w:t>跨域</w:t>
      </w:r>
      <w:r w:rsidR="00320C51" w:rsidRPr="00D41D30">
        <w:rPr>
          <w:rFonts w:hint="eastAsia"/>
          <w:color w:val="000000" w:themeColor="text1"/>
        </w:rPr>
        <w:t>資源</w:t>
      </w:r>
      <w:r w:rsidR="00320C51" w:rsidRPr="00D41D30">
        <w:rPr>
          <w:rFonts w:hAnsi="標楷體" w:hint="eastAsia"/>
          <w:bCs/>
          <w:color w:val="000000" w:themeColor="text1"/>
          <w:szCs w:val="32"/>
        </w:rPr>
        <w:t>整合</w:t>
      </w:r>
      <w:r w:rsidRPr="00D41D30">
        <w:rPr>
          <w:rFonts w:hAnsi="標楷體" w:hint="eastAsia"/>
          <w:bCs/>
          <w:color w:val="000000" w:themeColor="text1"/>
          <w:szCs w:val="32"/>
        </w:rPr>
        <w:t>之說明</w:t>
      </w:r>
    </w:p>
    <w:p w:rsidR="00320C51" w:rsidRPr="00D41D30" w:rsidRDefault="00320C51" w:rsidP="009316B8">
      <w:pPr>
        <w:pStyle w:val="5"/>
        <w:rPr>
          <w:color w:val="000000" w:themeColor="text1"/>
        </w:rPr>
      </w:pPr>
      <w:r w:rsidRPr="00D41D30">
        <w:rPr>
          <w:rFonts w:hint="eastAsia"/>
          <w:color w:val="000000" w:themeColor="text1"/>
        </w:rPr>
        <w:t>課程方面，樂齡學習體系課程領域橫跨文化、藝術、健康、理財、心靈成長等方面，並協助</w:t>
      </w:r>
      <w:r w:rsidR="00350EB1" w:rsidRPr="00D41D30">
        <w:rPr>
          <w:rFonts w:hint="eastAsia"/>
          <w:color w:val="000000" w:themeColor="text1"/>
        </w:rPr>
        <w:t>衛福部</w:t>
      </w:r>
      <w:r w:rsidRPr="00D41D30">
        <w:rPr>
          <w:rFonts w:hint="eastAsia"/>
          <w:color w:val="000000" w:themeColor="text1"/>
        </w:rPr>
        <w:t>、交通部、行政費消費者保護基金會、內政部警政署等推動有關預防失智、健康、路老師老人交通安全、預防詐騙、消費者安全等各項課程，讓樂齡長者吸收豐富知識。</w:t>
      </w:r>
    </w:p>
    <w:p w:rsidR="00320C51" w:rsidRPr="00D41D30" w:rsidRDefault="00320C51" w:rsidP="009316B8">
      <w:pPr>
        <w:pStyle w:val="5"/>
        <w:rPr>
          <w:rFonts w:hAnsi="標楷體"/>
          <w:bCs w:val="0"/>
          <w:color w:val="000000" w:themeColor="text1"/>
          <w:szCs w:val="32"/>
        </w:rPr>
      </w:pPr>
      <w:r w:rsidRPr="00D41D30">
        <w:rPr>
          <w:rFonts w:hAnsi="標楷體" w:hint="eastAsia"/>
          <w:bCs w:val="0"/>
          <w:color w:val="000000" w:themeColor="text1"/>
          <w:szCs w:val="32"/>
        </w:rPr>
        <w:t>講師方面，結合有關部會資源推動，如</w:t>
      </w:r>
      <w:r w:rsidR="009316B8" w:rsidRPr="00D41D30">
        <w:rPr>
          <w:rFonts w:hAnsi="標楷體" w:hint="eastAsia"/>
          <w:bCs w:val="0"/>
          <w:color w:val="000000" w:themeColor="text1"/>
          <w:szCs w:val="32"/>
        </w:rPr>
        <w:t>該</w:t>
      </w:r>
      <w:r w:rsidRPr="00D41D30">
        <w:rPr>
          <w:rFonts w:hAnsi="標楷體" w:hint="eastAsia"/>
          <w:bCs w:val="0"/>
          <w:color w:val="000000" w:themeColor="text1"/>
          <w:szCs w:val="32"/>
        </w:rPr>
        <w:t>部體育署協助銀髮運動體適能、衛福部醫療</w:t>
      </w:r>
      <w:r w:rsidRPr="00D41D30">
        <w:rPr>
          <w:rFonts w:hint="eastAsia"/>
          <w:color w:val="000000" w:themeColor="text1"/>
        </w:rPr>
        <w:t>體系</w:t>
      </w:r>
      <w:r w:rsidRPr="00D41D30">
        <w:rPr>
          <w:rFonts w:hAnsi="標楷體" w:hint="eastAsia"/>
          <w:bCs w:val="0"/>
          <w:color w:val="000000" w:themeColor="text1"/>
          <w:szCs w:val="32"/>
        </w:rPr>
        <w:t>協助健康養生、用藥安全等醫療課程，消保處則派專業講師協助到樂齡中心進行演講，讓長者吸收正確的知識。</w:t>
      </w:r>
    </w:p>
    <w:p w:rsidR="00320C51" w:rsidRPr="00D41D30" w:rsidRDefault="00320C51" w:rsidP="009316B8">
      <w:pPr>
        <w:pStyle w:val="5"/>
        <w:rPr>
          <w:rFonts w:hAnsi="標楷體"/>
          <w:bCs w:val="0"/>
          <w:color w:val="000000" w:themeColor="text1"/>
          <w:szCs w:val="32"/>
        </w:rPr>
      </w:pPr>
      <w:r w:rsidRPr="00D41D30">
        <w:rPr>
          <w:rFonts w:hAnsi="標楷體" w:hint="eastAsia"/>
          <w:bCs w:val="0"/>
          <w:color w:val="000000" w:themeColor="text1"/>
          <w:szCs w:val="32"/>
        </w:rPr>
        <w:t>培訓方面，為推廣預防失智及強化長者活化記憶力，樂齡學習核心課程規劃師進行預防</w:t>
      </w:r>
      <w:r w:rsidR="00B562C7" w:rsidRPr="00D41D30">
        <w:rPr>
          <w:rFonts w:hAnsi="標楷體" w:hint="eastAsia"/>
          <w:bCs w:val="0"/>
          <w:color w:val="000000" w:themeColor="text1"/>
          <w:szCs w:val="32"/>
        </w:rPr>
        <w:t>（</w:t>
      </w:r>
      <w:r w:rsidRPr="00D41D30">
        <w:rPr>
          <w:rFonts w:hAnsi="標楷體" w:hint="eastAsia"/>
          <w:bCs w:val="0"/>
          <w:color w:val="000000" w:themeColor="text1"/>
          <w:szCs w:val="32"/>
        </w:rPr>
        <w:t>認識</w:t>
      </w:r>
      <w:r w:rsidR="006B5136" w:rsidRPr="00D41D30">
        <w:rPr>
          <w:rFonts w:hAnsi="標楷體" w:hint="eastAsia"/>
          <w:bCs w:val="0"/>
          <w:color w:val="000000" w:themeColor="text1"/>
          <w:szCs w:val="32"/>
        </w:rPr>
        <w:t>）</w:t>
      </w:r>
      <w:r w:rsidRPr="00D41D30">
        <w:rPr>
          <w:rFonts w:hAnsi="標楷體" w:hint="eastAsia"/>
          <w:bCs w:val="0"/>
          <w:color w:val="000000" w:themeColor="text1"/>
          <w:szCs w:val="32"/>
        </w:rPr>
        <w:t>失智症議題培訓，由專業臨床心理師進行培訓。另外，</w:t>
      </w:r>
      <w:r w:rsidR="009316B8" w:rsidRPr="00D41D30">
        <w:rPr>
          <w:rFonts w:hAnsi="標楷體" w:hint="eastAsia"/>
          <w:bCs w:val="0"/>
          <w:color w:val="000000" w:themeColor="text1"/>
          <w:szCs w:val="32"/>
        </w:rPr>
        <w:t>該</w:t>
      </w:r>
      <w:r w:rsidRPr="00D41D30">
        <w:rPr>
          <w:rFonts w:hAnsi="標楷體" w:hint="eastAsia"/>
          <w:bCs w:val="0"/>
          <w:color w:val="000000" w:themeColor="text1"/>
          <w:szCs w:val="32"/>
        </w:rPr>
        <w:t>部高齡自主學習團體108年增能培訓，邀請國立體育大學運動保健學系教授來分享健康體適能的活動方案設計、健康體適能活動帶領與實作，提供帶領人從成人教育體系之外，從運動保健專業來增進高齡自主學習團體運</w:t>
      </w:r>
      <w:r w:rsidRPr="00D41D30">
        <w:rPr>
          <w:rFonts w:hAnsi="標楷體" w:hint="eastAsia"/>
          <w:bCs w:val="0"/>
          <w:color w:val="000000" w:themeColor="text1"/>
          <w:szCs w:val="32"/>
        </w:rPr>
        <w:lastRenderedPageBreak/>
        <w:t>作的專業知能。</w:t>
      </w:r>
    </w:p>
    <w:p w:rsidR="00320C51" w:rsidRPr="00D41D30" w:rsidRDefault="009316B8" w:rsidP="009316B8">
      <w:pPr>
        <w:pStyle w:val="4"/>
        <w:rPr>
          <w:rFonts w:hAnsi="標楷體"/>
          <w:bCs/>
          <w:color w:val="000000" w:themeColor="text1"/>
          <w:szCs w:val="32"/>
        </w:rPr>
      </w:pPr>
      <w:r w:rsidRPr="00D41D30">
        <w:rPr>
          <w:rFonts w:hAnsi="標楷體" w:hint="eastAsia"/>
          <w:bCs/>
          <w:color w:val="000000" w:themeColor="text1"/>
          <w:szCs w:val="32"/>
        </w:rPr>
        <w:t>教育</w:t>
      </w:r>
      <w:r w:rsidR="00E72D98" w:rsidRPr="00D41D30">
        <w:rPr>
          <w:rFonts w:hAnsi="標楷體" w:hint="eastAsia"/>
          <w:bCs/>
          <w:color w:val="000000" w:themeColor="text1"/>
          <w:szCs w:val="32"/>
        </w:rPr>
        <w:t>部</w:t>
      </w:r>
      <w:r w:rsidR="00320C51" w:rsidRPr="00D41D30">
        <w:rPr>
          <w:rFonts w:hAnsi="標楷體" w:hint="eastAsia"/>
          <w:bCs/>
          <w:color w:val="000000" w:themeColor="text1"/>
          <w:szCs w:val="32"/>
        </w:rPr>
        <w:t>結合</w:t>
      </w:r>
      <w:r w:rsidR="00320C51" w:rsidRPr="00D41D30">
        <w:rPr>
          <w:rFonts w:hint="eastAsia"/>
          <w:color w:val="000000" w:themeColor="text1"/>
        </w:rPr>
        <w:t>相關單位</w:t>
      </w:r>
      <w:r w:rsidR="00320C51" w:rsidRPr="00D41D30">
        <w:rPr>
          <w:rFonts w:hAnsi="標楷體" w:hint="eastAsia"/>
          <w:bCs/>
          <w:color w:val="000000" w:themeColor="text1"/>
          <w:szCs w:val="32"/>
        </w:rPr>
        <w:t>在跨部會民間團體資源方面，進行跨領域合作</w:t>
      </w:r>
      <w:r w:rsidRPr="00D41D30">
        <w:rPr>
          <w:rFonts w:hAnsi="標楷體" w:hint="eastAsia"/>
          <w:bCs/>
          <w:color w:val="000000" w:themeColor="text1"/>
          <w:szCs w:val="32"/>
        </w:rPr>
        <w:t>之說明</w:t>
      </w:r>
    </w:p>
    <w:p w:rsidR="00320C51" w:rsidRPr="00D41D30" w:rsidRDefault="009316B8" w:rsidP="009316B8">
      <w:pPr>
        <w:pStyle w:val="5"/>
        <w:rPr>
          <w:color w:val="000000" w:themeColor="text1"/>
        </w:rPr>
      </w:pPr>
      <w:r w:rsidRPr="00D41D30">
        <w:rPr>
          <w:rFonts w:hint="eastAsia"/>
          <w:color w:val="000000" w:themeColor="text1"/>
        </w:rPr>
        <w:t>教育</w:t>
      </w:r>
      <w:r w:rsidR="00A67366" w:rsidRPr="00D41D30">
        <w:rPr>
          <w:rFonts w:hint="eastAsia"/>
          <w:color w:val="000000" w:themeColor="text1"/>
        </w:rPr>
        <w:t>部</w:t>
      </w:r>
      <w:r w:rsidR="00320C51" w:rsidRPr="00D41D30">
        <w:rPr>
          <w:rFonts w:hint="eastAsia"/>
          <w:color w:val="000000" w:themeColor="text1"/>
        </w:rPr>
        <w:t>於107年辦理國際研討會、108年9月19日至20日辦理「108年度高齡教育高峰會議：迎向超高齡臺灣，建構全樂齡社會」皆係採跨部會合作之方式辦理，邀請勞動部、衛福部等相關部會進行該部會推動長者相關政策分享。</w:t>
      </w:r>
    </w:p>
    <w:p w:rsidR="00320C51" w:rsidRPr="00D41D30" w:rsidRDefault="009316B8" w:rsidP="009316B8">
      <w:pPr>
        <w:pStyle w:val="5"/>
        <w:rPr>
          <w:rFonts w:hAnsi="標楷體"/>
          <w:bCs w:val="0"/>
          <w:color w:val="000000" w:themeColor="text1"/>
          <w:szCs w:val="32"/>
        </w:rPr>
      </w:pPr>
      <w:r w:rsidRPr="00D41D30">
        <w:rPr>
          <w:rFonts w:hAnsi="標楷體" w:hint="eastAsia"/>
          <w:bCs w:val="0"/>
          <w:color w:val="000000" w:themeColor="text1"/>
          <w:szCs w:val="32"/>
        </w:rPr>
        <w:t>教育部</w:t>
      </w:r>
      <w:r w:rsidR="00320C51" w:rsidRPr="00D41D30">
        <w:rPr>
          <w:rFonts w:hAnsi="標楷體" w:hint="eastAsia"/>
          <w:bCs w:val="0"/>
          <w:color w:val="000000" w:themeColor="text1"/>
          <w:szCs w:val="32"/>
        </w:rPr>
        <w:t>依「終身學習法」第7條規定，設置教育部終身學習推展會，並設立「社區教育組」、「高齡教育組」、「資源整合及行銷組」，委員之組成除專家學者外，亦包括內政部、衛福部、文化部等相關部會之代表、直轄市教育局及縣</w:t>
      </w:r>
      <w:r w:rsidR="00B562C7" w:rsidRPr="00D41D30">
        <w:rPr>
          <w:rFonts w:hAnsi="標楷體" w:hint="eastAsia"/>
          <w:bCs w:val="0"/>
          <w:color w:val="000000" w:themeColor="text1"/>
          <w:szCs w:val="32"/>
        </w:rPr>
        <w:t>（</w:t>
      </w:r>
      <w:r w:rsidR="00320C51" w:rsidRPr="00D41D30">
        <w:rPr>
          <w:rFonts w:hAnsi="標楷體" w:hint="eastAsia"/>
          <w:bCs w:val="0"/>
          <w:color w:val="000000" w:themeColor="text1"/>
          <w:szCs w:val="32"/>
        </w:rPr>
        <w:t>市</w:t>
      </w:r>
      <w:r w:rsidR="006B5136" w:rsidRPr="00D41D30">
        <w:rPr>
          <w:rFonts w:hAnsi="標楷體" w:hint="eastAsia"/>
          <w:bCs w:val="0"/>
          <w:color w:val="000000" w:themeColor="text1"/>
          <w:szCs w:val="32"/>
        </w:rPr>
        <w:t>）</w:t>
      </w:r>
      <w:r w:rsidR="00320C51" w:rsidRPr="00D41D30">
        <w:rPr>
          <w:rFonts w:hAnsi="標楷體" w:hint="eastAsia"/>
          <w:bCs w:val="0"/>
          <w:color w:val="000000" w:themeColor="text1"/>
          <w:szCs w:val="32"/>
        </w:rPr>
        <w:t>政府代表、終身學習機構代表及終身學習法第</w:t>
      </w:r>
      <w:r w:rsidRPr="00D41D30">
        <w:rPr>
          <w:rFonts w:hAnsi="標楷體" w:hint="eastAsia"/>
          <w:bCs w:val="0"/>
          <w:color w:val="000000" w:themeColor="text1"/>
          <w:szCs w:val="32"/>
        </w:rPr>
        <w:t>2</w:t>
      </w:r>
      <w:r w:rsidRPr="00D41D30">
        <w:rPr>
          <w:rFonts w:hAnsi="標楷體"/>
          <w:bCs w:val="0"/>
          <w:color w:val="000000" w:themeColor="text1"/>
          <w:szCs w:val="32"/>
        </w:rPr>
        <w:t>0</w:t>
      </w:r>
      <w:r w:rsidR="00320C51" w:rsidRPr="00D41D30">
        <w:rPr>
          <w:rFonts w:hAnsi="標楷體" w:hint="eastAsia"/>
          <w:bCs w:val="0"/>
          <w:color w:val="000000" w:themeColor="text1"/>
          <w:szCs w:val="32"/>
        </w:rPr>
        <w:t>條第</w:t>
      </w:r>
      <w:r w:rsidRPr="00D41D30">
        <w:rPr>
          <w:rFonts w:hAnsi="標楷體" w:hint="eastAsia"/>
          <w:bCs w:val="0"/>
          <w:color w:val="000000" w:themeColor="text1"/>
          <w:szCs w:val="32"/>
        </w:rPr>
        <w:t>1</w:t>
      </w:r>
      <w:r w:rsidR="00320C51" w:rsidRPr="00D41D30">
        <w:rPr>
          <w:rFonts w:hAnsi="標楷體" w:hint="eastAsia"/>
          <w:bCs w:val="0"/>
          <w:color w:val="000000" w:themeColor="text1"/>
          <w:szCs w:val="32"/>
        </w:rPr>
        <w:t>項所定對象，每年定期召開會議。以「高齡教育組」為例，組織任務為研議規劃推動高齡教育相關事項，包括高齡教育中程發展計畫、樂齡大學、樂齡中心、高齡自主學習團體及其應興應革建議事項等。藉由定期會議監督</w:t>
      </w:r>
      <w:r w:rsidRPr="00D41D30">
        <w:rPr>
          <w:rFonts w:hAnsi="標楷體" w:hint="eastAsia"/>
          <w:bCs w:val="0"/>
          <w:color w:val="000000" w:themeColor="text1"/>
          <w:szCs w:val="32"/>
        </w:rPr>
        <w:t>該</w:t>
      </w:r>
      <w:r w:rsidR="00320C51" w:rsidRPr="00D41D30">
        <w:rPr>
          <w:rFonts w:hAnsi="標楷體" w:hint="eastAsia"/>
          <w:bCs w:val="0"/>
          <w:color w:val="000000" w:themeColor="text1"/>
          <w:szCs w:val="32"/>
        </w:rPr>
        <w:t>部高齡教育之推動，並藉由委員建議與分享了解相關部會有關樂齡學習之推動。</w:t>
      </w:r>
    </w:p>
    <w:p w:rsidR="00320C51" w:rsidRPr="00D41D30" w:rsidRDefault="00350EB1" w:rsidP="009316B8">
      <w:pPr>
        <w:pStyle w:val="4"/>
        <w:rPr>
          <w:rFonts w:hAnsi="標楷體"/>
          <w:bCs/>
          <w:color w:val="000000" w:themeColor="text1"/>
          <w:szCs w:val="32"/>
        </w:rPr>
      </w:pPr>
      <w:r w:rsidRPr="00D41D30">
        <w:rPr>
          <w:rFonts w:hAnsi="標楷體" w:hint="eastAsia"/>
          <w:bCs/>
          <w:color w:val="000000" w:themeColor="text1"/>
          <w:szCs w:val="32"/>
        </w:rPr>
        <w:t>衛福部</w:t>
      </w:r>
      <w:r w:rsidR="00320C51" w:rsidRPr="00D41D30">
        <w:rPr>
          <w:rFonts w:hAnsi="標楷體" w:hint="eastAsia"/>
          <w:bCs/>
          <w:color w:val="000000" w:themeColor="text1"/>
          <w:szCs w:val="32"/>
        </w:rPr>
        <w:t>為執行老人福利法第</w:t>
      </w:r>
      <w:r w:rsidR="00E72D98" w:rsidRPr="00D41D30">
        <w:rPr>
          <w:rFonts w:hAnsi="標楷體" w:hint="eastAsia"/>
          <w:bCs/>
          <w:color w:val="000000" w:themeColor="text1"/>
          <w:szCs w:val="32"/>
        </w:rPr>
        <w:t>9</w:t>
      </w:r>
      <w:r w:rsidR="00320C51" w:rsidRPr="00D41D30">
        <w:rPr>
          <w:rFonts w:hAnsi="標楷體" w:hint="eastAsia"/>
          <w:bCs/>
          <w:color w:val="000000" w:themeColor="text1"/>
          <w:szCs w:val="32"/>
        </w:rPr>
        <w:t>條規定而組成，</w:t>
      </w:r>
      <w:r w:rsidR="00320C51" w:rsidRPr="00D41D30">
        <w:rPr>
          <w:rFonts w:hAnsi="標楷體"/>
          <w:bCs/>
          <w:color w:val="000000" w:themeColor="text1"/>
          <w:szCs w:val="32"/>
        </w:rPr>
        <w:t>每</w:t>
      </w:r>
      <w:r w:rsidR="00E72D98" w:rsidRPr="00D41D30">
        <w:rPr>
          <w:rFonts w:hAnsi="標楷體" w:hint="eastAsia"/>
          <w:bCs/>
          <w:color w:val="000000" w:themeColor="text1"/>
          <w:szCs w:val="32"/>
        </w:rPr>
        <w:t>6</w:t>
      </w:r>
      <w:r w:rsidR="00320C51" w:rsidRPr="00D41D30">
        <w:rPr>
          <w:rFonts w:hAnsi="標楷體"/>
          <w:bCs/>
          <w:color w:val="000000" w:themeColor="text1"/>
          <w:szCs w:val="32"/>
        </w:rPr>
        <w:t>個月</w:t>
      </w:r>
      <w:r w:rsidR="00320C51" w:rsidRPr="00D41D30">
        <w:rPr>
          <w:rFonts w:hAnsi="標楷體" w:hint="eastAsia"/>
          <w:bCs/>
          <w:color w:val="000000" w:themeColor="text1"/>
          <w:szCs w:val="32"/>
        </w:rPr>
        <w:t>召開</w:t>
      </w:r>
      <w:r w:rsidR="009316B8" w:rsidRPr="00D41D30">
        <w:rPr>
          <w:rFonts w:hAnsi="標楷體" w:hint="eastAsia"/>
          <w:bCs/>
          <w:color w:val="000000" w:themeColor="text1"/>
          <w:szCs w:val="32"/>
        </w:rPr>
        <w:t>1</w:t>
      </w:r>
      <w:r w:rsidR="00320C51" w:rsidRPr="00D41D30">
        <w:rPr>
          <w:rFonts w:hAnsi="標楷體" w:hint="eastAsia"/>
          <w:bCs/>
          <w:color w:val="000000" w:themeColor="text1"/>
          <w:szCs w:val="32"/>
        </w:rPr>
        <w:t>次老人福利推動小組會議</w:t>
      </w:r>
      <w:r w:rsidR="00320C51" w:rsidRPr="00D41D30">
        <w:rPr>
          <w:rFonts w:hAnsi="標楷體"/>
          <w:bCs/>
          <w:color w:val="000000" w:themeColor="text1"/>
          <w:szCs w:val="32"/>
        </w:rPr>
        <w:t>，</w:t>
      </w:r>
      <w:r w:rsidR="00320C51" w:rsidRPr="00D41D30">
        <w:rPr>
          <w:rFonts w:hAnsi="標楷體" w:hint="eastAsia"/>
          <w:bCs/>
          <w:color w:val="000000" w:themeColor="text1"/>
          <w:szCs w:val="32"/>
        </w:rPr>
        <w:t>其任務在：（一）老人權益及福利業務發展之整合規劃事項。（二）老人權益與福利業務之協調、諮詢及推動事項。（三）其他老人權益及福利促進事項。該會之委員包括衛福部相關單位、各部</w:t>
      </w:r>
      <w:r w:rsidR="00320C51" w:rsidRPr="00D41D30">
        <w:rPr>
          <w:rFonts w:hAnsi="標楷體" w:hint="eastAsia"/>
          <w:bCs/>
          <w:color w:val="000000" w:themeColor="text1"/>
          <w:szCs w:val="32"/>
        </w:rPr>
        <w:lastRenderedPageBreak/>
        <w:t>會代表、老人代表、老人福利相關學者或專家、民間相關機構代表及民間相關團體代表。</w:t>
      </w:r>
      <w:r w:rsidR="00E72D98" w:rsidRPr="00D41D30">
        <w:rPr>
          <w:rFonts w:hAnsi="標楷體" w:hint="eastAsia"/>
          <w:bCs/>
          <w:color w:val="000000" w:themeColor="text1"/>
          <w:szCs w:val="32"/>
        </w:rPr>
        <w:t>教育</w:t>
      </w:r>
      <w:r w:rsidR="00320C51" w:rsidRPr="00D41D30">
        <w:rPr>
          <w:rFonts w:hAnsi="標楷體" w:hint="eastAsia"/>
          <w:bCs/>
          <w:color w:val="000000" w:themeColor="text1"/>
          <w:szCs w:val="32"/>
        </w:rPr>
        <w:t>部終身教育司副司長為該會之委員，於該會議召開時出席參與討論及視議題需求提供老人學習相關建議或提供經驗分享。例如108年12月10日</w:t>
      </w:r>
      <w:r w:rsidR="00E72D98" w:rsidRPr="00D41D30">
        <w:rPr>
          <w:rFonts w:hAnsi="標楷體" w:hint="eastAsia"/>
          <w:bCs/>
          <w:color w:val="000000" w:themeColor="text1"/>
          <w:szCs w:val="32"/>
        </w:rPr>
        <w:t>教育</w:t>
      </w:r>
      <w:r w:rsidR="00320C51" w:rsidRPr="00D41D30">
        <w:rPr>
          <w:rFonts w:hAnsi="標楷體" w:hint="eastAsia"/>
          <w:bCs/>
          <w:color w:val="000000" w:themeColor="text1"/>
          <w:szCs w:val="32"/>
        </w:rPr>
        <w:t>部出席老人福利推動小組第6屆第4次委員會議，報告高齡教育中程發展計畫推動情形，分享推動經驗供各部會了解及運用。</w:t>
      </w:r>
    </w:p>
    <w:p w:rsidR="00320C51" w:rsidRPr="00D41D30" w:rsidRDefault="00320C51" w:rsidP="009316B8">
      <w:pPr>
        <w:pStyle w:val="4"/>
        <w:rPr>
          <w:rFonts w:hAnsi="標楷體"/>
          <w:bCs/>
          <w:color w:val="000000" w:themeColor="text1"/>
          <w:szCs w:val="32"/>
        </w:rPr>
      </w:pPr>
      <w:r w:rsidRPr="00D41D30">
        <w:rPr>
          <w:rFonts w:hAnsi="標楷體" w:hint="eastAsia"/>
          <w:bCs/>
          <w:color w:val="000000" w:themeColor="text1"/>
          <w:szCs w:val="32"/>
        </w:rPr>
        <w:t>勞動部勞動力發展署於108年12月10日辦理</w:t>
      </w:r>
      <w:r w:rsidRPr="00D41D30">
        <w:rPr>
          <w:rFonts w:hAnsi="標楷體"/>
          <w:bCs/>
          <w:color w:val="000000" w:themeColor="text1"/>
          <w:szCs w:val="32"/>
        </w:rPr>
        <w:t>108</w:t>
      </w:r>
      <w:r w:rsidRPr="00D41D30">
        <w:rPr>
          <w:rFonts w:hAnsi="標楷體" w:hint="eastAsia"/>
          <w:bCs/>
          <w:color w:val="000000" w:themeColor="text1"/>
          <w:szCs w:val="32"/>
        </w:rPr>
        <w:t>年度銀髮就業議題探討暨聯繫會議，邀請</w:t>
      </w:r>
      <w:r w:rsidR="000B586C" w:rsidRPr="00D41D30">
        <w:rPr>
          <w:rFonts w:hAnsi="標楷體" w:hint="eastAsia"/>
          <w:bCs/>
          <w:color w:val="000000" w:themeColor="text1"/>
          <w:szCs w:val="32"/>
        </w:rPr>
        <w:t>該部</w:t>
      </w:r>
      <w:r w:rsidRPr="00D41D30">
        <w:rPr>
          <w:rFonts w:hAnsi="標楷體" w:hint="eastAsia"/>
          <w:bCs/>
          <w:color w:val="000000" w:themeColor="text1"/>
          <w:szCs w:val="32"/>
        </w:rPr>
        <w:t>就銀髮相關業務進行業務分享，</w:t>
      </w:r>
      <w:r w:rsidR="00824938" w:rsidRPr="00D41D30">
        <w:rPr>
          <w:rFonts w:hAnsi="標楷體" w:hint="eastAsia"/>
          <w:bCs/>
          <w:color w:val="000000" w:themeColor="text1"/>
          <w:szCs w:val="32"/>
        </w:rPr>
        <w:t>該部</w:t>
      </w:r>
      <w:r w:rsidRPr="00D41D30">
        <w:rPr>
          <w:rFonts w:hAnsi="標楷體" w:hint="eastAsia"/>
          <w:bCs/>
          <w:color w:val="000000" w:themeColor="text1"/>
          <w:szCs w:val="32"/>
        </w:rPr>
        <w:t>於該會議分享</w:t>
      </w:r>
      <w:r w:rsidR="004B689E" w:rsidRPr="00D41D30">
        <w:rPr>
          <w:rFonts w:hAnsi="標楷體" w:hint="eastAsia"/>
          <w:bCs/>
          <w:color w:val="000000" w:themeColor="text1"/>
          <w:szCs w:val="32"/>
        </w:rPr>
        <w:t>該部</w:t>
      </w:r>
      <w:r w:rsidRPr="00D41D30">
        <w:rPr>
          <w:rFonts w:hAnsi="標楷體" w:hint="eastAsia"/>
          <w:bCs/>
          <w:color w:val="000000" w:themeColor="text1"/>
          <w:szCs w:val="32"/>
        </w:rPr>
        <w:t>高齡教育之推動，期提供相關部會、直轄市、縣</w:t>
      </w:r>
      <w:r w:rsidR="00B562C7" w:rsidRPr="00D41D30">
        <w:rPr>
          <w:rFonts w:hAnsi="標楷體"/>
          <w:bCs/>
          <w:color w:val="000000" w:themeColor="text1"/>
          <w:szCs w:val="32"/>
        </w:rPr>
        <w:t>（</w:t>
      </w:r>
      <w:r w:rsidRPr="00D41D30">
        <w:rPr>
          <w:rFonts w:hAnsi="標楷體" w:hint="eastAsia"/>
          <w:bCs/>
          <w:color w:val="000000" w:themeColor="text1"/>
          <w:szCs w:val="32"/>
        </w:rPr>
        <w:t>市</w:t>
      </w:r>
      <w:r w:rsidR="006B5136" w:rsidRPr="00D41D30">
        <w:rPr>
          <w:rFonts w:hAnsi="標楷體"/>
          <w:bCs/>
          <w:color w:val="000000" w:themeColor="text1"/>
          <w:szCs w:val="32"/>
        </w:rPr>
        <w:t>）</w:t>
      </w:r>
      <w:r w:rsidRPr="00D41D30">
        <w:rPr>
          <w:rFonts w:hAnsi="標楷體" w:hint="eastAsia"/>
          <w:bCs/>
          <w:color w:val="000000" w:themeColor="text1"/>
          <w:szCs w:val="32"/>
        </w:rPr>
        <w:t>政府及該署相關業務承辦單位橫向交流，擴大銀髮服務效益。</w:t>
      </w:r>
    </w:p>
    <w:p w:rsidR="00320C51" w:rsidRPr="00D41D30" w:rsidRDefault="00320C51" w:rsidP="009316B8">
      <w:pPr>
        <w:pStyle w:val="4"/>
        <w:rPr>
          <w:rFonts w:hAnsi="標楷體"/>
          <w:bCs/>
          <w:color w:val="000000" w:themeColor="text1"/>
          <w:szCs w:val="32"/>
        </w:rPr>
      </w:pPr>
      <w:r w:rsidRPr="00D41D30">
        <w:rPr>
          <w:rFonts w:hAnsi="標楷體" w:hint="eastAsia"/>
          <w:bCs/>
          <w:color w:val="000000" w:themeColor="text1"/>
          <w:szCs w:val="32"/>
        </w:rPr>
        <w:t>結合民間資源，共同推展高齡教育:108年補助33個民間團體辦理社區樂齡學習活動，並補助</w:t>
      </w:r>
      <w:r w:rsidR="009316B8" w:rsidRPr="00D41D30">
        <w:rPr>
          <w:rFonts w:hAnsi="標楷體" w:hint="eastAsia"/>
          <w:bCs/>
          <w:color w:val="000000" w:themeColor="text1"/>
          <w:szCs w:val="32"/>
        </w:rPr>
        <w:t>該</w:t>
      </w:r>
      <w:r w:rsidRPr="00D41D30">
        <w:rPr>
          <w:rFonts w:hAnsi="標楷體" w:hint="eastAsia"/>
          <w:bCs/>
          <w:color w:val="000000" w:themeColor="text1"/>
          <w:szCs w:val="32"/>
        </w:rPr>
        <w:t>部所屬國立自然科學博物館辦理「親愛的我老了」特展及高齡教育相關研討會。</w:t>
      </w:r>
    </w:p>
    <w:p w:rsidR="00320C51" w:rsidRPr="00D41D30" w:rsidRDefault="00320C51" w:rsidP="009316B8">
      <w:pPr>
        <w:pStyle w:val="4"/>
        <w:rPr>
          <w:rFonts w:hAnsi="標楷體"/>
          <w:color w:val="000000" w:themeColor="text1"/>
          <w:szCs w:val="32"/>
        </w:rPr>
      </w:pPr>
      <w:r w:rsidRPr="00D41D30">
        <w:rPr>
          <w:rFonts w:hAnsi="標楷體" w:hint="eastAsia"/>
          <w:color w:val="000000" w:themeColor="text1"/>
          <w:szCs w:val="32"/>
        </w:rPr>
        <w:t>109年將委請中南區輔導團協助辦理跨域資源整合座談會議，期能強化後續部會與相關資源通力合作。</w:t>
      </w:r>
    </w:p>
    <w:p w:rsidR="009823BD" w:rsidRPr="00D41D30" w:rsidRDefault="00FB1D27" w:rsidP="009823BD">
      <w:pPr>
        <w:pStyle w:val="3"/>
        <w:rPr>
          <w:color w:val="000000" w:themeColor="text1"/>
        </w:rPr>
      </w:pPr>
      <w:bookmarkStart w:id="439" w:name="_Toc30512467"/>
      <w:bookmarkStart w:id="440" w:name="_Toc30581175"/>
      <w:bookmarkStart w:id="441" w:name="_Toc32392448"/>
      <w:bookmarkStart w:id="442" w:name="_Toc32673638"/>
      <w:bookmarkStart w:id="443" w:name="_Toc32845780"/>
      <w:bookmarkStart w:id="444" w:name="_Toc32846503"/>
      <w:bookmarkStart w:id="445" w:name="_Toc32913746"/>
      <w:bookmarkStart w:id="446" w:name="_Toc32918422"/>
      <w:bookmarkStart w:id="447" w:name="_Toc33011715"/>
      <w:r w:rsidRPr="00D41D30">
        <w:rPr>
          <w:rFonts w:hint="eastAsia"/>
          <w:color w:val="000000" w:themeColor="text1"/>
        </w:rPr>
        <w:t>跨單位縱向整合樂齡學習資源</w:t>
      </w:r>
      <w:bookmarkEnd w:id="439"/>
      <w:bookmarkEnd w:id="440"/>
      <w:bookmarkEnd w:id="441"/>
      <w:bookmarkEnd w:id="442"/>
      <w:bookmarkEnd w:id="443"/>
      <w:bookmarkEnd w:id="444"/>
      <w:bookmarkEnd w:id="445"/>
      <w:bookmarkEnd w:id="446"/>
      <w:bookmarkEnd w:id="447"/>
    </w:p>
    <w:p w:rsidR="00FB1D27" w:rsidRPr="00D41D30" w:rsidRDefault="00F531AB" w:rsidP="009823BD">
      <w:pPr>
        <w:pStyle w:val="4"/>
        <w:rPr>
          <w:color w:val="000000" w:themeColor="text1"/>
        </w:rPr>
      </w:pPr>
      <w:r w:rsidRPr="00D41D30">
        <w:rPr>
          <w:rFonts w:hint="eastAsia"/>
          <w:color w:val="000000" w:themeColor="text1"/>
        </w:rPr>
        <w:t>教育</w:t>
      </w:r>
      <w:r w:rsidR="00FB1D27" w:rsidRPr="00D41D30">
        <w:rPr>
          <w:rFonts w:hint="eastAsia"/>
          <w:color w:val="000000" w:themeColor="text1"/>
        </w:rPr>
        <w:t>部推動樂齡學習計畫，係以結合在地資源為主，樂齡中心之承辦單位即結合在地組織，如學校、政府機關、鄉鎮市區公所及民間團體等，就108年設置366所樂齡中心承辦單位性質分析，有212所為學校體系外之單位承辦，占總數55.6</w:t>
      </w:r>
      <w:r w:rsidR="00AA037A" w:rsidRPr="00D41D30">
        <w:rPr>
          <w:rFonts w:hint="eastAsia"/>
          <w:color w:val="000000" w:themeColor="text1"/>
        </w:rPr>
        <w:t>%</w:t>
      </w:r>
      <w:r w:rsidR="00FB1D27" w:rsidRPr="00D41D30">
        <w:rPr>
          <w:rFonts w:hint="eastAsia"/>
          <w:color w:val="000000" w:themeColor="text1"/>
        </w:rPr>
        <w:t>，其中85所為民間組織（占57.92</w:t>
      </w:r>
      <w:r w:rsidR="00AA037A" w:rsidRPr="00D41D30">
        <w:rPr>
          <w:rFonts w:hint="eastAsia"/>
          <w:color w:val="000000" w:themeColor="text1"/>
        </w:rPr>
        <w:t>%</w:t>
      </w:r>
      <w:r w:rsidR="00FB1D27" w:rsidRPr="00D41D30">
        <w:rPr>
          <w:rFonts w:hint="eastAsia"/>
          <w:color w:val="000000" w:themeColor="text1"/>
        </w:rPr>
        <w:t>）、另有鄉鎮市區公所、農會、漁會、醫院等異業結盟機制，目前樂齡中心因應「樂齡學習拓點</w:t>
      </w:r>
      <w:r w:rsidR="00FB1D27" w:rsidRPr="00D41D30">
        <w:rPr>
          <w:rFonts w:hint="eastAsia"/>
          <w:color w:val="000000" w:themeColor="text1"/>
        </w:rPr>
        <w:lastRenderedPageBreak/>
        <w:t>模式」，亦結合當地村里長或教會等宗教組織，協助推動樂齡學習工作，成功進行跨單位垂直整合。</w:t>
      </w:r>
    </w:p>
    <w:p w:rsidR="009823BD" w:rsidRPr="00D41D30" w:rsidRDefault="009823BD" w:rsidP="009823BD">
      <w:pPr>
        <w:pStyle w:val="4"/>
        <w:rPr>
          <w:color w:val="000000" w:themeColor="text1"/>
        </w:rPr>
      </w:pPr>
      <w:r w:rsidRPr="00D41D30">
        <w:rPr>
          <w:rFonts w:hint="eastAsia"/>
          <w:color w:val="000000" w:themeColor="text1"/>
        </w:rPr>
        <w:t>各縣市辦理樂齡教育跨單位合作情形</w:t>
      </w:r>
    </w:p>
    <w:p w:rsidR="009823BD" w:rsidRPr="00D41D30" w:rsidRDefault="009823BD" w:rsidP="00E72D98">
      <w:pPr>
        <w:pStyle w:val="5"/>
        <w:rPr>
          <w:color w:val="000000" w:themeColor="text1"/>
        </w:rPr>
      </w:pPr>
      <w:r w:rsidRPr="00D41D30">
        <w:rPr>
          <w:rFonts w:hint="eastAsia"/>
          <w:color w:val="000000" w:themeColor="text1"/>
        </w:rPr>
        <w:t>全國各縣市樂齡中心辦理單位包含學校、基層行政機關及民間團體與農會、漁會等，各單位均運用所長結合課程，加乘推動樂齡學習工作之效能，例如鄉鎮公所執行之樂齡中心，除</w:t>
      </w:r>
      <w:r w:rsidR="00AD26EF" w:rsidRPr="00D41D30">
        <w:rPr>
          <w:rFonts w:hint="eastAsia"/>
          <w:color w:val="000000" w:themeColor="text1"/>
        </w:rPr>
        <w:t>教育</w:t>
      </w:r>
      <w:r w:rsidRPr="00D41D30">
        <w:rPr>
          <w:rFonts w:hint="eastAsia"/>
          <w:color w:val="000000" w:themeColor="text1"/>
        </w:rPr>
        <w:t>部所規範之課程外，更透過自編配合款，加強所轄鄉鎮長者的多元學習活動；學校單位則透過課堂的代間學習，進行文化傳承或資訊互動學習；圖書館所辦理之樂齡中心，則培訓爺奶說故事，或以戲劇的方式表演故事；而民間團體所辦理之樂齡中心，展現其動能，廣結地方資源，提供長者學習機會，並運用管道將作品變成產品，如花蓮縣壽豐鄉用長者的繪畫故事做成桌遊卡，各具特色。</w:t>
      </w:r>
    </w:p>
    <w:p w:rsidR="00096D54" w:rsidRPr="00D41D30" w:rsidRDefault="00096D54" w:rsidP="00E72D98">
      <w:pPr>
        <w:pStyle w:val="5"/>
        <w:rPr>
          <w:color w:val="000000" w:themeColor="text1"/>
        </w:rPr>
      </w:pPr>
      <w:r w:rsidRPr="00D41D30">
        <w:rPr>
          <w:rFonts w:hint="eastAsia"/>
          <w:color w:val="000000" w:themeColor="text1"/>
        </w:rPr>
        <w:t>103-108年</w:t>
      </w:r>
      <w:r w:rsidR="009823BD" w:rsidRPr="00D41D30">
        <w:rPr>
          <w:rFonts w:hint="eastAsia"/>
          <w:color w:val="000000" w:themeColor="text1"/>
        </w:rPr>
        <w:t>103年至108年各承辦樂齡學習中心之單位</w:t>
      </w:r>
      <w:r w:rsidRPr="00D41D30">
        <w:rPr>
          <w:rFonts w:hint="eastAsia"/>
          <w:color w:val="000000" w:themeColor="text1"/>
        </w:rPr>
        <w:t>，詳後附表</w:t>
      </w:r>
      <w:r w:rsidR="009823BD" w:rsidRPr="00D41D30">
        <w:rPr>
          <w:rFonts w:hint="eastAsia"/>
          <w:color w:val="000000" w:themeColor="text1"/>
        </w:rPr>
        <w:t>一至六</w:t>
      </w:r>
      <w:r w:rsidRPr="00D41D30">
        <w:rPr>
          <w:rFonts w:hint="eastAsia"/>
          <w:color w:val="000000" w:themeColor="text1"/>
        </w:rPr>
        <w:t>。</w:t>
      </w:r>
    </w:p>
    <w:p w:rsidR="00BA3EB8" w:rsidRPr="00D41D30" w:rsidRDefault="00BA3EB8" w:rsidP="009316B8">
      <w:pPr>
        <w:pStyle w:val="2"/>
        <w:spacing w:beforeLines="100" w:before="457"/>
        <w:ind w:left="1020" w:hanging="680"/>
        <w:rPr>
          <w:b/>
          <w:color w:val="000000" w:themeColor="text1"/>
        </w:rPr>
      </w:pPr>
      <w:bookmarkStart w:id="448" w:name="_Toc33011716"/>
      <w:r w:rsidRPr="00D41D30">
        <w:rPr>
          <w:rFonts w:hint="eastAsia"/>
          <w:b/>
          <w:color w:val="000000" w:themeColor="text1"/>
        </w:rPr>
        <w:t>樂齡教育相關經費配置情形</w:t>
      </w:r>
      <w:bookmarkEnd w:id="448"/>
    </w:p>
    <w:p w:rsidR="00BA3EB8" w:rsidRPr="00D41D30" w:rsidRDefault="00BA3EB8" w:rsidP="00C25E9F">
      <w:pPr>
        <w:pStyle w:val="21"/>
        <w:ind w:left="1020" w:firstLine="680"/>
        <w:rPr>
          <w:color w:val="000000" w:themeColor="text1"/>
        </w:rPr>
      </w:pPr>
      <w:r w:rsidRPr="00D41D30">
        <w:rPr>
          <w:rFonts w:hint="eastAsia"/>
          <w:color w:val="000000" w:themeColor="text1"/>
        </w:rPr>
        <w:t>教育部於高齡教育中程發展計畫中，亦將該部及相關部會106至109年經費配置納入計畫</w:t>
      </w:r>
    </w:p>
    <w:p w:rsidR="00BA3EB8" w:rsidRPr="00D41D30" w:rsidRDefault="001C4C20" w:rsidP="001C4C20">
      <w:pPr>
        <w:pStyle w:val="3"/>
        <w:rPr>
          <w:color w:val="000000" w:themeColor="text1"/>
        </w:rPr>
      </w:pPr>
      <w:bookmarkStart w:id="449" w:name="_Toc30512469"/>
      <w:bookmarkStart w:id="450" w:name="_Toc30581177"/>
      <w:bookmarkStart w:id="451" w:name="_Toc32392450"/>
      <w:bookmarkStart w:id="452" w:name="_Toc32673640"/>
      <w:bookmarkStart w:id="453" w:name="_Toc32845782"/>
      <w:bookmarkStart w:id="454" w:name="_Toc32846505"/>
      <w:bookmarkStart w:id="455" w:name="_Toc32913748"/>
      <w:bookmarkStart w:id="456" w:name="_Toc32918424"/>
      <w:bookmarkStart w:id="457" w:name="_Toc33011717"/>
      <w:r w:rsidRPr="00D41D30">
        <w:rPr>
          <w:rFonts w:hint="eastAsia"/>
          <w:color w:val="000000" w:themeColor="text1"/>
        </w:rPr>
        <w:t>樂齡學習推動計畫補助對象、補助原則基準及申請與審查作業等項</w:t>
      </w:r>
      <w:bookmarkEnd w:id="449"/>
      <w:bookmarkEnd w:id="450"/>
      <w:bookmarkEnd w:id="451"/>
      <w:bookmarkEnd w:id="452"/>
      <w:bookmarkEnd w:id="453"/>
      <w:bookmarkEnd w:id="454"/>
      <w:bookmarkEnd w:id="455"/>
      <w:bookmarkEnd w:id="456"/>
      <w:bookmarkEnd w:id="457"/>
    </w:p>
    <w:tbl>
      <w:tblPr>
        <w:tblpPr w:leftFromText="181" w:rightFromText="181" w:vertAnchor="text" w:horzAnchor="margin" w:tblpXSpec="center" w:tblpY="698"/>
        <w:tblW w:w="10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029"/>
        <w:gridCol w:w="1029"/>
        <w:gridCol w:w="847"/>
        <w:gridCol w:w="848"/>
        <w:gridCol w:w="848"/>
        <w:gridCol w:w="847"/>
        <w:gridCol w:w="848"/>
        <w:gridCol w:w="758"/>
        <w:gridCol w:w="757"/>
        <w:gridCol w:w="848"/>
        <w:gridCol w:w="758"/>
        <w:gridCol w:w="757"/>
      </w:tblGrid>
      <w:tr w:rsidR="000470BB" w:rsidRPr="00D41D30" w:rsidTr="00BF680C">
        <w:trPr>
          <w:trHeight w:val="1125"/>
          <w:tblHeader/>
        </w:trPr>
        <w:tc>
          <w:tcPr>
            <w:tcW w:w="658" w:type="dxa"/>
            <w:vMerge w:val="restart"/>
            <w:tcBorders>
              <w:tl2br w:val="single" w:sz="4" w:space="0" w:color="auto"/>
            </w:tcBorders>
            <w:vAlign w:val="center"/>
          </w:tcPr>
          <w:p w:rsidR="000470BB" w:rsidRPr="00D41D30" w:rsidRDefault="000470BB" w:rsidP="00BF680C">
            <w:pPr>
              <w:spacing w:line="240" w:lineRule="exact"/>
              <w:ind w:leftChars="-106" w:left="-231" w:hangingChars="50" w:hanging="130"/>
              <w:rPr>
                <w:rFonts w:hAnsi="標楷體"/>
                <w:b/>
                <w:color w:val="000000" w:themeColor="text1"/>
                <w:sz w:val="24"/>
                <w:szCs w:val="24"/>
              </w:rPr>
            </w:pPr>
            <w:r w:rsidRPr="00D41D30">
              <w:rPr>
                <w:rFonts w:hAnsi="標楷體" w:hint="eastAsia"/>
                <w:b/>
                <w:color w:val="000000" w:themeColor="text1"/>
                <w:sz w:val="24"/>
                <w:szCs w:val="24"/>
              </w:rPr>
              <w:lastRenderedPageBreak/>
              <w:t xml:space="preserve">  </w:t>
            </w:r>
            <w:bookmarkStart w:id="458" w:name="_Hlk22221234"/>
            <w:r w:rsidRPr="00D41D30">
              <w:rPr>
                <w:rFonts w:hAnsi="標楷體" w:hint="eastAsia"/>
                <w:b/>
                <w:color w:val="000000" w:themeColor="text1"/>
                <w:sz w:val="24"/>
                <w:szCs w:val="24"/>
              </w:rPr>
              <w:t>項目</w:t>
            </w:r>
          </w:p>
          <w:p w:rsidR="000470BB" w:rsidRPr="00D41D30" w:rsidRDefault="000470BB" w:rsidP="00BF680C">
            <w:pPr>
              <w:spacing w:line="240" w:lineRule="exact"/>
              <w:rPr>
                <w:rFonts w:hAnsi="標楷體"/>
                <w:b/>
                <w:color w:val="000000" w:themeColor="text1"/>
                <w:sz w:val="24"/>
                <w:szCs w:val="24"/>
              </w:rPr>
            </w:pPr>
          </w:p>
          <w:p w:rsidR="000470BB" w:rsidRPr="00D41D30" w:rsidRDefault="000470BB" w:rsidP="00BF680C">
            <w:pPr>
              <w:spacing w:line="240" w:lineRule="exact"/>
              <w:rPr>
                <w:rFonts w:hAnsi="標楷體"/>
                <w:b/>
                <w:color w:val="000000" w:themeColor="text1"/>
                <w:sz w:val="24"/>
                <w:szCs w:val="24"/>
              </w:rPr>
            </w:pPr>
          </w:p>
          <w:p w:rsidR="000470BB" w:rsidRPr="00D41D30" w:rsidRDefault="000470BB" w:rsidP="00BF680C">
            <w:pPr>
              <w:spacing w:line="240" w:lineRule="exact"/>
              <w:rPr>
                <w:rFonts w:hAnsi="標楷體"/>
                <w:b/>
                <w:color w:val="000000" w:themeColor="text1"/>
                <w:sz w:val="24"/>
                <w:szCs w:val="24"/>
              </w:rPr>
            </w:pPr>
          </w:p>
          <w:p w:rsidR="000470BB" w:rsidRPr="00D41D30" w:rsidRDefault="000470BB" w:rsidP="00BF680C">
            <w:pPr>
              <w:spacing w:line="240" w:lineRule="exact"/>
              <w:rPr>
                <w:rFonts w:hAnsi="標楷體"/>
                <w:b/>
                <w:color w:val="000000" w:themeColor="text1"/>
                <w:sz w:val="24"/>
                <w:szCs w:val="24"/>
              </w:rPr>
            </w:pPr>
            <w:r w:rsidRPr="00D41D30">
              <w:rPr>
                <w:rFonts w:hAnsi="標楷體" w:hint="eastAsia"/>
                <w:b/>
                <w:color w:val="000000" w:themeColor="text1"/>
                <w:sz w:val="24"/>
                <w:szCs w:val="24"/>
              </w:rPr>
              <w:t>年度</w:t>
            </w:r>
          </w:p>
        </w:tc>
        <w:tc>
          <w:tcPr>
            <w:tcW w:w="2905" w:type="dxa"/>
            <w:gridSpan w:val="3"/>
            <w:vAlign w:val="center"/>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樂齡中心</w:t>
            </w:r>
          </w:p>
          <w:p w:rsidR="000470BB" w:rsidRPr="00D41D30" w:rsidRDefault="00B562C7"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w:t>
            </w:r>
            <w:r w:rsidR="000470BB" w:rsidRPr="00D41D30">
              <w:rPr>
                <w:rFonts w:hAnsi="標楷體" w:hint="eastAsia"/>
                <w:b/>
                <w:color w:val="000000" w:themeColor="text1"/>
                <w:sz w:val="24"/>
                <w:szCs w:val="24"/>
              </w:rPr>
              <w:t>97</w:t>
            </w:r>
            <w:r w:rsidR="000470BB" w:rsidRPr="00D41D30">
              <w:rPr>
                <w:rFonts w:hAnsi="標楷體"/>
                <w:b/>
                <w:color w:val="000000" w:themeColor="text1"/>
                <w:sz w:val="24"/>
                <w:szCs w:val="24"/>
              </w:rPr>
              <w:t>-10</w:t>
            </w:r>
            <w:r w:rsidR="000470BB" w:rsidRPr="00D41D30">
              <w:rPr>
                <w:rFonts w:hAnsi="標楷體" w:hint="eastAsia"/>
                <w:b/>
                <w:color w:val="000000" w:themeColor="text1"/>
                <w:sz w:val="24"/>
                <w:szCs w:val="24"/>
              </w:rPr>
              <w:t>2年執行預算，含補助縣市輔導經費</w:t>
            </w:r>
            <w:r w:rsidR="006B5136" w:rsidRPr="00D41D30">
              <w:rPr>
                <w:rFonts w:hAnsi="標楷體" w:hint="eastAsia"/>
                <w:b/>
                <w:color w:val="000000" w:themeColor="text1"/>
                <w:sz w:val="24"/>
                <w:szCs w:val="24"/>
              </w:rPr>
              <w:t>）</w:t>
            </w:r>
          </w:p>
        </w:tc>
        <w:tc>
          <w:tcPr>
            <w:tcW w:w="2543" w:type="dxa"/>
            <w:gridSpan w:val="3"/>
            <w:vAlign w:val="center"/>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樂齡大學</w:t>
            </w:r>
          </w:p>
        </w:tc>
        <w:tc>
          <w:tcPr>
            <w:tcW w:w="2363" w:type="dxa"/>
            <w:gridSpan w:val="3"/>
            <w:vAlign w:val="center"/>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高齡自主學習社團</w:t>
            </w:r>
          </w:p>
          <w:p w:rsidR="000470BB" w:rsidRPr="00D41D30" w:rsidRDefault="00B562C7"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w:t>
            </w:r>
            <w:r w:rsidR="000470BB" w:rsidRPr="00D41D30">
              <w:rPr>
                <w:rFonts w:hAnsi="標楷體" w:hint="eastAsia"/>
                <w:b/>
                <w:color w:val="000000" w:themeColor="text1"/>
                <w:sz w:val="24"/>
                <w:szCs w:val="24"/>
              </w:rPr>
              <w:t>所填預算為當年度業務費全部預算，除本項業務外，尚含其他各項工作</w:t>
            </w:r>
            <w:r w:rsidR="006B5136" w:rsidRPr="00D41D30">
              <w:rPr>
                <w:rFonts w:hAnsi="標楷體" w:hint="eastAsia"/>
                <w:b/>
                <w:color w:val="000000" w:themeColor="text1"/>
                <w:sz w:val="24"/>
                <w:szCs w:val="24"/>
              </w:rPr>
              <w:t>）</w:t>
            </w:r>
          </w:p>
        </w:tc>
        <w:tc>
          <w:tcPr>
            <w:tcW w:w="2363" w:type="dxa"/>
            <w:gridSpan w:val="3"/>
            <w:vAlign w:val="center"/>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專業輔導團</w:t>
            </w:r>
          </w:p>
          <w:p w:rsidR="000470BB" w:rsidRPr="00D41D30" w:rsidRDefault="00B562C7"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w:t>
            </w:r>
            <w:r w:rsidR="000470BB" w:rsidRPr="00D41D30">
              <w:rPr>
                <w:rFonts w:hAnsi="標楷體" w:hint="eastAsia"/>
                <w:b/>
                <w:color w:val="000000" w:themeColor="text1"/>
                <w:sz w:val="24"/>
                <w:szCs w:val="24"/>
              </w:rPr>
              <w:t>所填預算為當年度業務費全部預算，除本項業務外，尚含其他各項工作</w:t>
            </w:r>
            <w:r w:rsidR="006B5136" w:rsidRPr="00D41D30">
              <w:rPr>
                <w:rFonts w:hAnsi="標楷體" w:hint="eastAsia"/>
                <w:b/>
                <w:color w:val="000000" w:themeColor="text1"/>
                <w:sz w:val="24"/>
                <w:szCs w:val="24"/>
              </w:rPr>
              <w:t>）</w:t>
            </w:r>
          </w:p>
        </w:tc>
      </w:tr>
      <w:tr w:rsidR="000470BB" w:rsidRPr="00D41D30" w:rsidTr="00BF680C">
        <w:trPr>
          <w:trHeight w:val="187"/>
          <w:tblHeader/>
        </w:trPr>
        <w:tc>
          <w:tcPr>
            <w:tcW w:w="658" w:type="dxa"/>
            <w:vMerge/>
            <w:tcBorders>
              <w:tl2br w:val="single" w:sz="4" w:space="0" w:color="auto"/>
            </w:tcBorders>
            <w:vAlign w:val="center"/>
          </w:tcPr>
          <w:p w:rsidR="000470BB" w:rsidRPr="00D41D30" w:rsidRDefault="000470BB" w:rsidP="00BF680C">
            <w:pPr>
              <w:spacing w:line="240" w:lineRule="exact"/>
              <w:rPr>
                <w:rFonts w:hAnsi="標楷體"/>
                <w:color w:val="000000" w:themeColor="text1"/>
                <w:sz w:val="24"/>
                <w:szCs w:val="24"/>
              </w:rPr>
            </w:pPr>
          </w:p>
        </w:tc>
        <w:tc>
          <w:tcPr>
            <w:tcW w:w="1029" w:type="dxa"/>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預算</w:t>
            </w:r>
          </w:p>
        </w:tc>
        <w:tc>
          <w:tcPr>
            <w:tcW w:w="1029" w:type="dxa"/>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決算</w:t>
            </w:r>
          </w:p>
        </w:tc>
        <w:tc>
          <w:tcPr>
            <w:tcW w:w="847" w:type="dxa"/>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執行率</w:t>
            </w:r>
          </w:p>
        </w:tc>
        <w:tc>
          <w:tcPr>
            <w:tcW w:w="848" w:type="dxa"/>
            <w:tcBorders>
              <w:bottom w:val="single" w:sz="4" w:space="0" w:color="auto"/>
            </w:tcBorders>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預算</w:t>
            </w:r>
          </w:p>
        </w:tc>
        <w:tc>
          <w:tcPr>
            <w:tcW w:w="848" w:type="dxa"/>
            <w:tcBorders>
              <w:bottom w:val="single" w:sz="4" w:space="0" w:color="auto"/>
            </w:tcBorders>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決算</w:t>
            </w:r>
          </w:p>
        </w:tc>
        <w:tc>
          <w:tcPr>
            <w:tcW w:w="847" w:type="dxa"/>
            <w:tcBorders>
              <w:bottom w:val="single" w:sz="4" w:space="0" w:color="auto"/>
            </w:tcBorders>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執行率</w:t>
            </w:r>
          </w:p>
        </w:tc>
        <w:tc>
          <w:tcPr>
            <w:tcW w:w="848" w:type="dxa"/>
            <w:tcBorders>
              <w:bottom w:val="single" w:sz="4" w:space="0" w:color="auto"/>
            </w:tcBorders>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預算</w:t>
            </w:r>
          </w:p>
        </w:tc>
        <w:tc>
          <w:tcPr>
            <w:tcW w:w="758" w:type="dxa"/>
            <w:tcBorders>
              <w:bottom w:val="single" w:sz="4" w:space="0" w:color="auto"/>
            </w:tcBorders>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決算</w:t>
            </w:r>
          </w:p>
        </w:tc>
        <w:tc>
          <w:tcPr>
            <w:tcW w:w="757" w:type="dxa"/>
            <w:tcBorders>
              <w:bottom w:val="single" w:sz="4" w:space="0" w:color="auto"/>
            </w:tcBorders>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執行率</w:t>
            </w:r>
          </w:p>
        </w:tc>
        <w:tc>
          <w:tcPr>
            <w:tcW w:w="848" w:type="dxa"/>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預算</w:t>
            </w:r>
          </w:p>
        </w:tc>
        <w:tc>
          <w:tcPr>
            <w:tcW w:w="758" w:type="dxa"/>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決算</w:t>
            </w:r>
          </w:p>
        </w:tc>
        <w:tc>
          <w:tcPr>
            <w:tcW w:w="757" w:type="dxa"/>
          </w:tcPr>
          <w:p w:rsidR="000470BB" w:rsidRPr="00D41D30" w:rsidRDefault="000470BB" w:rsidP="00BF680C">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執行率</w:t>
            </w:r>
          </w:p>
        </w:tc>
      </w:tr>
      <w:tr w:rsidR="000470BB" w:rsidRPr="00D41D30" w:rsidTr="00BF680C">
        <w:trPr>
          <w:trHeight w:val="18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97</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46</w:t>
            </w:r>
            <w:r w:rsidRPr="00D41D30">
              <w:rPr>
                <w:rFonts w:hAnsi="標楷體"/>
                <w:color w:val="000000" w:themeColor="text1"/>
                <w:sz w:val="16"/>
                <w:szCs w:val="16"/>
              </w:rPr>
              <w:t>,</w:t>
            </w:r>
            <w:r w:rsidRPr="00D41D30">
              <w:rPr>
                <w:rFonts w:hAnsi="標楷體" w:hint="eastAsia"/>
                <w:color w:val="000000" w:themeColor="text1"/>
                <w:sz w:val="16"/>
                <w:szCs w:val="16"/>
              </w:rPr>
              <w:t>542</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46</w:t>
            </w:r>
            <w:r w:rsidRPr="00D41D30">
              <w:rPr>
                <w:rFonts w:hAnsi="標楷體"/>
                <w:color w:val="000000" w:themeColor="text1"/>
                <w:sz w:val="16"/>
                <w:szCs w:val="16"/>
              </w:rPr>
              <w:t>,</w:t>
            </w:r>
            <w:r w:rsidRPr="00D41D30">
              <w:rPr>
                <w:rFonts w:hAnsi="標楷體" w:hint="eastAsia"/>
                <w:color w:val="000000" w:themeColor="text1"/>
                <w:sz w:val="16"/>
                <w:szCs w:val="16"/>
              </w:rPr>
              <w:t>738</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hint="eastAsia"/>
                <w:color w:val="000000" w:themeColor="text1"/>
                <w:sz w:val="16"/>
                <w:szCs w:val="16"/>
              </w:rPr>
              <w:t>100.42%</w:t>
            </w:r>
          </w:p>
        </w:tc>
        <w:tc>
          <w:tcPr>
            <w:tcW w:w="84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7" w:type="dxa"/>
            <w:tcBorders>
              <w:tr2bl w:val="single" w:sz="4" w:space="0" w:color="auto"/>
            </w:tcBorders>
            <w:vAlign w:val="center"/>
          </w:tcPr>
          <w:p w:rsidR="000470BB" w:rsidRPr="00D41D30" w:rsidRDefault="000470BB" w:rsidP="00BF680C">
            <w:pPr>
              <w:spacing w:line="240" w:lineRule="exact"/>
              <w:jc w:val="center"/>
              <w:rPr>
                <w:color w:val="000000" w:themeColor="text1"/>
                <w:sz w:val="16"/>
                <w:szCs w:val="16"/>
              </w:rPr>
            </w:pPr>
          </w:p>
        </w:tc>
        <w:tc>
          <w:tcPr>
            <w:tcW w:w="84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7"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19</w:t>
            </w:r>
            <w:r w:rsidRPr="00D41D30">
              <w:rPr>
                <w:rFonts w:hAnsi="標楷體"/>
                <w:color w:val="000000" w:themeColor="text1"/>
                <w:sz w:val="16"/>
                <w:szCs w:val="16"/>
              </w:rPr>
              <w:t>,</w:t>
            </w:r>
            <w:r w:rsidRPr="00D41D30">
              <w:rPr>
                <w:rFonts w:hAnsi="標楷體" w:hint="eastAsia"/>
                <w:color w:val="000000" w:themeColor="text1"/>
                <w:sz w:val="16"/>
                <w:szCs w:val="16"/>
              </w:rPr>
              <w:t>242</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w:t>
            </w:r>
            <w:r w:rsidRPr="00D41D30">
              <w:rPr>
                <w:rFonts w:hAnsi="標楷體"/>
                <w:color w:val="000000" w:themeColor="text1"/>
                <w:sz w:val="16"/>
                <w:szCs w:val="16"/>
              </w:rPr>
              <w:t>,</w:t>
            </w:r>
            <w:r w:rsidRPr="00D41D30">
              <w:rPr>
                <w:rFonts w:hAnsi="標楷體" w:hint="eastAsia"/>
                <w:color w:val="000000" w:themeColor="text1"/>
                <w:sz w:val="16"/>
                <w:szCs w:val="16"/>
              </w:rPr>
              <w:t>576</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13.38</w:t>
            </w:r>
            <w:r w:rsidRPr="00D41D30">
              <w:rPr>
                <w:rFonts w:hAnsi="標楷體" w:hint="eastAsia"/>
                <w:color w:val="000000" w:themeColor="text1"/>
                <w:sz w:val="16"/>
                <w:szCs w:val="16"/>
              </w:rPr>
              <w:t>%</w:t>
            </w:r>
          </w:p>
        </w:tc>
      </w:tr>
      <w:tr w:rsidR="000470BB" w:rsidRPr="00D41D30" w:rsidTr="00BF680C">
        <w:trPr>
          <w:trHeight w:val="18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98</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73,8</w:t>
            </w:r>
            <w:r w:rsidRPr="00D41D30">
              <w:rPr>
                <w:rFonts w:hAnsi="標楷體"/>
                <w:color w:val="000000" w:themeColor="text1"/>
                <w:sz w:val="16"/>
                <w:szCs w:val="16"/>
              </w:rPr>
              <w:t>00</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91,033</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hint="eastAsia"/>
                <w:color w:val="000000" w:themeColor="text1"/>
                <w:sz w:val="16"/>
                <w:szCs w:val="16"/>
              </w:rPr>
              <w:t>123.4%</w:t>
            </w:r>
          </w:p>
        </w:tc>
        <w:tc>
          <w:tcPr>
            <w:tcW w:w="848" w:type="dxa"/>
            <w:tcBorders>
              <w:bottom w:val="single" w:sz="4" w:space="0" w:color="auto"/>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tcBorders>
              <w:bottom w:val="single" w:sz="4" w:space="0" w:color="auto"/>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7" w:type="dxa"/>
            <w:tcBorders>
              <w:bottom w:val="single" w:sz="4" w:space="0" w:color="auto"/>
              <w:tr2bl w:val="single" w:sz="4" w:space="0" w:color="auto"/>
            </w:tcBorders>
            <w:vAlign w:val="center"/>
          </w:tcPr>
          <w:p w:rsidR="000470BB" w:rsidRPr="00D41D30" w:rsidRDefault="000470BB" w:rsidP="00BF680C">
            <w:pPr>
              <w:spacing w:line="240" w:lineRule="exact"/>
              <w:jc w:val="center"/>
              <w:rPr>
                <w:color w:val="000000" w:themeColor="text1"/>
                <w:sz w:val="16"/>
                <w:szCs w:val="16"/>
              </w:rPr>
            </w:pPr>
          </w:p>
        </w:tc>
        <w:tc>
          <w:tcPr>
            <w:tcW w:w="84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7"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16</w:t>
            </w:r>
            <w:r w:rsidRPr="00D41D30">
              <w:rPr>
                <w:rFonts w:hAnsi="標楷體"/>
                <w:color w:val="000000" w:themeColor="text1"/>
                <w:sz w:val="16"/>
                <w:szCs w:val="16"/>
              </w:rPr>
              <w:t>,</w:t>
            </w:r>
            <w:r w:rsidRPr="00D41D30">
              <w:rPr>
                <w:rFonts w:hAnsi="標楷體" w:hint="eastAsia"/>
                <w:color w:val="000000" w:themeColor="text1"/>
                <w:sz w:val="16"/>
                <w:szCs w:val="16"/>
              </w:rPr>
              <w:t>850</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w:t>
            </w:r>
            <w:r w:rsidRPr="00D41D30">
              <w:rPr>
                <w:rFonts w:hAnsi="標楷體"/>
                <w:color w:val="000000" w:themeColor="text1"/>
                <w:sz w:val="16"/>
                <w:szCs w:val="16"/>
              </w:rPr>
              <w:t>,</w:t>
            </w:r>
            <w:r w:rsidRPr="00D41D30">
              <w:rPr>
                <w:rFonts w:hAnsi="標楷體" w:hint="eastAsia"/>
                <w:color w:val="000000" w:themeColor="text1"/>
                <w:sz w:val="16"/>
                <w:szCs w:val="16"/>
              </w:rPr>
              <w:t>560</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21.12</w:t>
            </w:r>
            <w:r w:rsidRPr="00D41D30">
              <w:rPr>
                <w:rFonts w:hAnsi="標楷體" w:hint="eastAsia"/>
                <w:color w:val="000000" w:themeColor="text1"/>
                <w:sz w:val="16"/>
                <w:szCs w:val="16"/>
              </w:rPr>
              <w:t>%</w:t>
            </w:r>
          </w:p>
        </w:tc>
      </w:tr>
      <w:tr w:rsidR="000470BB" w:rsidRPr="00D41D30" w:rsidTr="00BF680C">
        <w:trPr>
          <w:trHeight w:val="18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99</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93</w:t>
            </w:r>
            <w:r w:rsidRPr="00D41D30">
              <w:rPr>
                <w:rFonts w:hAnsi="標楷體"/>
                <w:color w:val="000000" w:themeColor="text1"/>
                <w:sz w:val="16"/>
                <w:szCs w:val="16"/>
              </w:rPr>
              <w:t>,</w:t>
            </w:r>
            <w:r w:rsidRPr="00D41D30">
              <w:rPr>
                <w:rFonts w:hAnsi="標楷體" w:hint="eastAsia"/>
                <w:color w:val="000000" w:themeColor="text1"/>
                <w:sz w:val="16"/>
                <w:szCs w:val="16"/>
              </w:rPr>
              <w:t>900</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70</w:t>
            </w:r>
            <w:r w:rsidRPr="00D41D30">
              <w:rPr>
                <w:rFonts w:hAnsi="標楷體"/>
                <w:color w:val="000000" w:themeColor="text1"/>
                <w:sz w:val="16"/>
                <w:szCs w:val="16"/>
              </w:rPr>
              <w:t>,</w:t>
            </w:r>
            <w:r w:rsidRPr="00D41D30">
              <w:rPr>
                <w:rFonts w:hAnsi="標楷體" w:hint="eastAsia"/>
                <w:color w:val="000000" w:themeColor="text1"/>
                <w:sz w:val="16"/>
                <w:szCs w:val="16"/>
              </w:rPr>
              <w:t>154</w:t>
            </w:r>
          </w:p>
        </w:tc>
        <w:tc>
          <w:tcPr>
            <w:tcW w:w="847" w:type="dxa"/>
            <w:tcBorders>
              <w:right w:val="single" w:sz="4" w:space="0" w:color="auto"/>
            </w:tcBorders>
            <w:vAlign w:val="center"/>
          </w:tcPr>
          <w:p w:rsidR="000470BB" w:rsidRPr="00D41D30" w:rsidRDefault="000470BB" w:rsidP="00BF680C">
            <w:pPr>
              <w:spacing w:line="240" w:lineRule="exact"/>
              <w:jc w:val="center"/>
              <w:rPr>
                <w:color w:val="000000" w:themeColor="text1"/>
                <w:sz w:val="16"/>
                <w:szCs w:val="16"/>
              </w:rPr>
            </w:pPr>
            <w:r w:rsidRPr="00D41D30">
              <w:rPr>
                <w:rFonts w:hAnsi="標楷體" w:hint="eastAsia"/>
                <w:color w:val="000000" w:themeColor="text1"/>
                <w:sz w:val="16"/>
                <w:szCs w:val="16"/>
              </w:rPr>
              <w:t>74.7%</w:t>
            </w:r>
          </w:p>
        </w:tc>
        <w:tc>
          <w:tcPr>
            <w:tcW w:w="848" w:type="dxa"/>
            <w:tcBorders>
              <w:top w:val="single" w:sz="4" w:space="0" w:color="auto"/>
              <w:left w:val="single" w:sz="4" w:space="0" w:color="auto"/>
              <w:bottom w:val="single" w:sz="4" w:space="0" w:color="auto"/>
              <w:right w:val="single" w:sz="4" w:space="0" w:color="auto"/>
              <w:tr2bl w:val="nil"/>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10,000</w:t>
            </w:r>
          </w:p>
        </w:tc>
        <w:tc>
          <w:tcPr>
            <w:tcW w:w="848" w:type="dxa"/>
            <w:tcBorders>
              <w:top w:val="single" w:sz="4" w:space="0" w:color="auto"/>
              <w:left w:val="single" w:sz="4" w:space="0" w:color="auto"/>
              <w:bottom w:val="single" w:sz="4" w:space="0" w:color="auto"/>
              <w:right w:val="single" w:sz="4" w:space="0" w:color="auto"/>
              <w:tr2bl w:val="nil"/>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22,051</w:t>
            </w:r>
          </w:p>
        </w:tc>
        <w:tc>
          <w:tcPr>
            <w:tcW w:w="847" w:type="dxa"/>
            <w:tcBorders>
              <w:top w:val="single" w:sz="4" w:space="0" w:color="auto"/>
              <w:left w:val="single" w:sz="4" w:space="0" w:color="auto"/>
              <w:bottom w:val="single" w:sz="4" w:space="0" w:color="auto"/>
              <w:right w:val="single" w:sz="4" w:space="0" w:color="auto"/>
              <w:tr2bl w:val="nil"/>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220.50%</w:t>
            </w:r>
          </w:p>
        </w:tc>
        <w:tc>
          <w:tcPr>
            <w:tcW w:w="848" w:type="dxa"/>
            <w:tcBorders>
              <w:left w:val="single" w:sz="4" w:space="0" w:color="auto"/>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7"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8</w:t>
            </w:r>
            <w:r w:rsidRPr="00D41D30">
              <w:rPr>
                <w:rFonts w:hAnsi="標楷體"/>
                <w:color w:val="000000" w:themeColor="text1"/>
                <w:sz w:val="16"/>
                <w:szCs w:val="16"/>
              </w:rPr>
              <w:t>,</w:t>
            </w:r>
            <w:r w:rsidRPr="00D41D30">
              <w:rPr>
                <w:rFonts w:hAnsi="標楷體" w:hint="eastAsia"/>
                <w:color w:val="000000" w:themeColor="text1"/>
                <w:sz w:val="16"/>
                <w:szCs w:val="16"/>
              </w:rPr>
              <w:t>100</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color w:val="000000" w:themeColor="text1"/>
                <w:sz w:val="16"/>
                <w:szCs w:val="16"/>
              </w:rPr>
              <w:t>1,080</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13.33</w:t>
            </w:r>
            <w:r w:rsidRPr="00D41D30">
              <w:rPr>
                <w:rFonts w:hAnsi="標楷體" w:hint="eastAsia"/>
                <w:color w:val="000000" w:themeColor="text1"/>
                <w:sz w:val="16"/>
                <w:szCs w:val="16"/>
              </w:rPr>
              <w:t>%</w:t>
            </w:r>
          </w:p>
        </w:tc>
      </w:tr>
      <w:tr w:rsidR="000470BB" w:rsidRPr="00D41D30" w:rsidTr="00BF680C">
        <w:trPr>
          <w:trHeight w:val="18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100</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60</w:t>
            </w:r>
            <w:r w:rsidRPr="00D41D30">
              <w:rPr>
                <w:rFonts w:hAnsi="標楷體"/>
                <w:color w:val="000000" w:themeColor="text1"/>
                <w:sz w:val="16"/>
                <w:szCs w:val="16"/>
              </w:rPr>
              <w:t>,</w:t>
            </w:r>
            <w:r w:rsidRPr="00D41D30">
              <w:rPr>
                <w:rFonts w:hAnsi="標楷體" w:hint="eastAsia"/>
                <w:color w:val="000000" w:themeColor="text1"/>
                <w:sz w:val="16"/>
                <w:szCs w:val="16"/>
              </w:rPr>
              <w:t>603</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28</w:t>
            </w:r>
            <w:r w:rsidRPr="00D41D30">
              <w:rPr>
                <w:rFonts w:hAnsi="標楷體"/>
                <w:color w:val="000000" w:themeColor="text1"/>
                <w:sz w:val="16"/>
                <w:szCs w:val="16"/>
              </w:rPr>
              <w:t>,</w:t>
            </w:r>
            <w:r w:rsidRPr="00D41D30">
              <w:rPr>
                <w:rFonts w:hAnsi="標楷體" w:hint="eastAsia"/>
                <w:color w:val="000000" w:themeColor="text1"/>
                <w:sz w:val="16"/>
                <w:szCs w:val="16"/>
              </w:rPr>
              <w:t>274</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46.7</w:t>
            </w:r>
            <w:r w:rsidRPr="00D41D30">
              <w:rPr>
                <w:rFonts w:hAnsi="標楷體" w:hint="eastAsia"/>
                <w:color w:val="000000" w:themeColor="text1"/>
                <w:sz w:val="16"/>
                <w:szCs w:val="16"/>
              </w:rPr>
              <w:t>%</w:t>
            </w:r>
          </w:p>
        </w:tc>
        <w:tc>
          <w:tcPr>
            <w:tcW w:w="848" w:type="dxa"/>
            <w:tcBorders>
              <w:top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6</w:t>
            </w:r>
            <w:r w:rsidRPr="00D41D30">
              <w:rPr>
                <w:rFonts w:hAnsi="標楷體" w:hint="eastAsia"/>
                <w:color w:val="000000" w:themeColor="text1"/>
                <w:sz w:val="16"/>
                <w:szCs w:val="16"/>
              </w:rPr>
              <w:t>,</w:t>
            </w:r>
            <w:r w:rsidRPr="00D41D30">
              <w:rPr>
                <w:rFonts w:hAnsi="標楷體"/>
                <w:color w:val="000000" w:themeColor="text1"/>
                <w:sz w:val="16"/>
                <w:szCs w:val="16"/>
              </w:rPr>
              <w:t>000</w:t>
            </w:r>
          </w:p>
        </w:tc>
        <w:tc>
          <w:tcPr>
            <w:tcW w:w="848" w:type="dxa"/>
            <w:tcBorders>
              <w:top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w:t>
            </w:r>
            <w:r w:rsidRPr="00D41D30">
              <w:rPr>
                <w:rFonts w:hAnsi="標楷體"/>
                <w:color w:val="000000" w:themeColor="text1"/>
                <w:sz w:val="16"/>
                <w:szCs w:val="16"/>
              </w:rPr>
              <w:t>6</w:t>
            </w:r>
            <w:r w:rsidRPr="00D41D30">
              <w:rPr>
                <w:rFonts w:hAnsi="標楷體" w:hint="eastAsia"/>
                <w:color w:val="000000" w:themeColor="text1"/>
                <w:sz w:val="16"/>
                <w:szCs w:val="16"/>
              </w:rPr>
              <w:t>,</w:t>
            </w:r>
            <w:r w:rsidRPr="00D41D30">
              <w:rPr>
                <w:rFonts w:hAnsi="標楷體"/>
                <w:color w:val="000000" w:themeColor="text1"/>
                <w:sz w:val="16"/>
                <w:szCs w:val="16"/>
              </w:rPr>
              <w:t>348</w:t>
            </w:r>
          </w:p>
        </w:tc>
        <w:tc>
          <w:tcPr>
            <w:tcW w:w="847" w:type="dxa"/>
            <w:tcBorders>
              <w:top w:val="single" w:sz="4" w:space="0" w:color="auto"/>
            </w:tcBorders>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227.20</w:t>
            </w:r>
            <w:r w:rsidRPr="00D41D30">
              <w:rPr>
                <w:rFonts w:hAnsi="標楷體" w:hint="eastAsia"/>
                <w:color w:val="000000" w:themeColor="text1"/>
                <w:sz w:val="16"/>
                <w:szCs w:val="16"/>
              </w:rPr>
              <w:t>%</w:t>
            </w:r>
          </w:p>
        </w:tc>
        <w:tc>
          <w:tcPr>
            <w:tcW w:w="84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7"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11</w:t>
            </w:r>
            <w:r w:rsidRPr="00D41D30">
              <w:rPr>
                <w:rFonts w:hAnsi="標楷體"/>
                <w:color w:val="000000" w:themeColor="text1"/>
                <w:sz w:val="16"/>
                <w:szCs w:val="16"/>
              </w:rPr>
              <w:t>,</w:t>
            </w:r>
            <w:r w:rsidRPr="00D41D30">
              <w:rPr>
                <w:rFonts w:hAnsi="標楷體" w:hint="eastAsia"/>
                <w:color w:val="000000" w:themeColor="text1"/>
                <w:sz w:val="16"/>
                <w:szCs w:val="16"/>
              </w:rPr>
              <w:t>800</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w:t>
            </w:r>
            <w:r w:rsidRPr="00D41D30">
              <w:rPr>
                <w:rFonts w:hAnsi="標楷體"/>
                <w:color w:val="000000" w:themeColor="text1"/>
                <w:sz w:val="16"/>
                <w:szCs w:val="16"/>
              </w:rPr>
              <w:t>735</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23.17</w:t>
            </w:r>
            <w:r w:rsidRPr="00D41D30">
              <w:rPr>
                <w:rFonts w:hAnsi="標楷體" w:hint="eastAsia"/>
                <w:color w:val="000000" w:themeColor="text1"/>
                <w:sz w:val="16"/>
                <w:szCs w:val="16"/>
              </w:rPr>
              <w:t>%</w:t>
            </w:r>
          </w:p>
        </w:tc>
      </w:tr>
      <w:tr w:rsidR="000470BB" w:rsidRPr="00D41D30" w:rsidTr="00BF680C">
        <w:trPr>
          <w:trHeight w:val="18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101</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4</w:t>
            </w:r>
            <w:r w:rsidRPr="00D41D30">
              <w:rPr>
                <w:rFonts w:hAnsi="標楷體"/>
                <w:color w:val="000000" w:themeColor="text1"/>
                <w:sz w:val="16"/>
                <w:szCs w:val="16"/>
              </w:rPr>
              <w:t>7,000</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7</w:t>
            </w:r>
            <w:r w:rsidRPr="00D41D30">
              <w:rPr>
                <w:rFonts w:hAnsi="標楷體"/>
                <w:color w:val="000000" w:themeColor="text1"/>
                <w:sz w:val="16"/>
                <w:szCs w:val="16"/>
              </w:rPr>
              <w:t>4,807</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159.2</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7</w:t>
            </w:r>
            <w:r w:rsidRPr="00D41D30">
              <w:rPr>
                <w:rFonts w:hAnsi="標楷體" w:hint="eastAsia"/>
                <w:color w:val="000000" w:themeColor="text1"/>
                <w:sz w:val="16"/>
                <w:szCs w:val="16"/>
              </w:rPr>
              <w:t>,</w:t>
            </w:r>
            <w:r w:rsidRPr="00D41D30">
              <w:rPr>
                <w:rFonts w:hAnsi="標楷體"/>
                <w:color w:val="000000" w:themeColor="text1"/>
                <w:sz w:val="16"/>
                <w:szCs w:val="16"/>
              </w:rPr>
              <w:t>100</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w:t>
            </w:r>
            <w:r w:rsidRPr="00D41D30">
              <w:rPr>
                <w:rFonts w:hAnsi="標楷體"/>
                <w:color w:val="000000" w:themeColor="text1"/>
                <w:sz w:val="16"/>
                <w:szCs w:val="16"/>
              </w:rPr>
              <w:t>2</w:t>
            </w:r>
            <w:r w:rsidRPr="00D41D30">
              <w:rPr>
                <w:rFonts w:hAnsi="標楷體" w:hint="eastAsia"/>
                <w:color w:val="000000" w:themeColor="text1"/>
                <w:sz w:val="16"/>
                <w:szCs w:val="16"/>
              </w:rPr>
              <w:t>,</w:t>
            </w:r>
            <w:r w:rsidRPr="00D41D30">
              <w:rPr>
                <w:rFonts w:hAnsi="標楷體"/>
                <w:color w:val="000000" w:themeColor="text1"/>
                <w:sz w:val="16"/>
                <w:szCs w:val="16"/>
              </w:rPr>
              <w:t>870</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133.70</w:t>
            </w:r>
            <w:r w:rsidRPr="00D41D30">
              <w:rPr>
                <w:rFonts w:hAnsi="標楷體" w:hint="eastAsia"/>
                <w:color w:val="000000" w:themeColor="text1"/>
                <w:sz w:val="16"/>
                <w:szCs w:val="16"/>
              </w:rPr>
              <w:t>%</w:t>
            </w:r>
          </w:p>
        </w:tc>
        <w:tc>
          <w:tcPr>
            <w:tcW w:w="84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7"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11</w:t>
            </w:r>
            <w:r w:rsidRPr="00D41D30">
              <w:rPr>
                <w:rFonts w:hAnsi="標楷體"/>
                <w:color w:val="000000" w:themeColor="text1"/>
                <w:sz w:val="16"/>
                <w:szCs w:val="16"/>
              </w:rPr>
              <w:t>,</w:t>
            </w:r>
            <w:r w:rsidRPr="00D41D30">
              <w:rPr>
                <w:rFonts w:hAnsi="標楷體" w:hint="eastAsia"/>
                <w:color w:val="000000" w:themeColor="text1"/>
                <w:sz w:val="16"/>
                <w:szCs w:val="16"/>
              </w:rPr>
              <w:t>200</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4</w:t>
            </w:r>
            <w:r w:rsidRPr="00D41D30">
              <w:rPr>
                <w:rFonts w:hAnsi="標楷體"/>
                <w:color w:val="000000" w:themeColor="text1"/>
                <w:sz w:val="16"/>
                <w:szCs w:val="16"/>
              </w:rPr>
              <w:t>,13</w:t>
            </w:r>
            <w:r w:rsidRPr="00D41D30">
              <w:rPr>
                <w:rFonts w:hAnsi="標楷體" w:hint="eastAsia"/>
                <w:color w:val="000000" w:themeColor="text1"/>
                <w:sz w:val="16"/>
                <w:szCs w:val="16"/>
              </w:rPr>
              <w:t>4</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36.91</w:t>
            </w:r>
            <w:r w:rsidRPr="00D41D30">
              <w:rPr>
                <w:rFonts w:hAnsi="標楷體" w:hint="eastAsia"/>
                <w:color w:val="000000" w:themeColor="text1"/>
                <w:sz w:val="16"/>
                <w:szCs w:val="16"/>
              </w:rPr>
              <w:t>%</w:t>
            </w:r>
          </w:p>
        </w:tc>
      </w:tr>
      <w:tr w:rsidR="000470BB" w:rsidRPr="00D41D30" w:rsidTr="00BF680C">
        <w:trPr>
          <w:trHeight w:val="18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102</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5</w:t>
            </w:r>
            <w:r w:rsidRPr="00D41D30">
              <w:rPr>
                <w:rFonts w:hAnsi="標楷體"/>
                <w:color w:val="000000" w:themeColor="text1"/>
                <w:sz w:val="16"/>
                <w:szCs w:val="16"/>
              </w:rPr>
              <w:t>1</w:t>
            </w:r>
            <w:r w:rsidRPr="00D41D30">
              <w:rPr>
                <w:rFonts w:hAnsi="標楷體" w:hint="eastAsia"/>
                <w:color w:val="000000" w:themeColor="text1"/>
                <w:sz w:val="16"/>
                <w:szCs w:val="16"/>
              </w:rPr>
              <w:t>,</w:t>
            </w:r>
            <w:r w:rsidRPr="00D41D30">
              <w:rPr>
                <w:rFonts w:hAnsi="標楷體"/>
                <w:color w:val="000000" w:themeColor="text1"/>
                <w:sz w:val="16"/>
                <w:szCs w:val="16"/>
              </w:rPr>
              <w:t>965</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9</w:t>
            </w:r>
            <w:r w:rsidRPr="00D41D30">
              <w:rPr>
                <w:rFonts w:hAnsi="標楷體"/>
                <w:color w:val="000000" w:themeColor="text1"/>
                <w:sz w:val="16"/>
                <w:szCs w:val="16"/>
              </w:rPr>
              <w:t>1,747</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176.6</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9</w:t>
            </w:r>
            <w:r w:rsidRPr="00D41D30">
              <w:rPr>
                <w:rFonts w:hAnsi="標楷體" w:hint="eastAsia"/>
                <w:color w:val="000000" w:themeColor="text1"/>
                <w:sz w:val="16"/>
                <w:szCs w:val="16"/>
              </w:rPr>
              <w:t>,</w:t>
            </w:r>
            <w:r w:rsidRPr="00D41D30">
              <w:rPr>
                <w:rFonts w:hAnsi="標楷體"/>
                <w:color w:val="000000" w:themeColor="text1"/>
                <w:sz w:val="16"/>
                <w:szCs w:val="16"/>
              </w:rPr>
              <w:t>000</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w:t>
            </w:r>
            <w:r w:rsidRPr="00D41D30">
              <w:rPr>
                <w:rFonts w:hAnsi="標楷體"/>
                <w:color w:val="000000" w:themeColor="text1"/>
                <w:sz w:val="16"/>
                <w:szCs w:val="16"/>
              </w:rPr>
              <w:t>5</w:t>
            </w:r>
            <w:r w:rsidRPr="00D41D30">
              <w:rPr>
                <w:rFonts w:hAnsi="標楷體" w:hint="eastAsia"/>
                <w:color w:val="000000" w:themeColor="text1"/>
                <w:sz w:val="16"/>
                <w:szCs w:val="16"/>
              </w:rPr>
              <w:t>,</w:t>
            </w:r>
            <w:r w:rsidRPr="00D41D30">
              <w:rPr>
                <w:rFonts w:hAnsi="標楷體"/>
                <w:color w:val="000000" w:themeColor="text1"/>
                <w:sz w:val="16"/>
                <w:szCs w:val="16"/>
              </w:rPr>
              <w:t>986</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189.40</w:t>
            </w:r>
            <w:r w:rsidRPr="00D41D30">
              <w:rPr>
                <w:rFonts w:hAnsi="標楷體" w:hint="eastAsia"/>
                <w:color w:val="000000" w:themeColor="text1"/>
                <w:sz w:val="16"/>
                <w:szCs w:val="16"/>
              </w:rPr>
              <w:t>%</w:t>
            </w:r>
          </w:p>
        </w:tc>
        <w:tc>
          <w:tcPr>
            <w:tcW w:w="84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8"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7" w:type="dxa"/>
            <w:tcBorders>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12</w:t>
            </w:r>
            <w:r w:rsidRPr="00D41D30">
              <w:rPr>
                <w:rFonts w:hAnsi="標楷體"/>
                <w:color w:val="000000" w:themeColor="text1"/>
                <w:sz w:val="16"/>
                <w:szCs w:val="16"/>
              </w:rPr>
              <w:t>,</w:t>
            </w:r>
            <w:r w:rsidRPr="00D41D30">
              <w:rPr>
                <w:rFonts w:hAnsi="標楷體" w:hint="eastAsia"/>
                <w:color w:val="000000" w:themeColor="text1"/>
                <w:sz w:val="16"/>
                <w:szCs w:val="16"/>
              </w:rPr>
              <w:t>685</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7</w:t>
            </w:r>
            <w:r w:rsidRPr="00D41D30">
              <w:rPr>
                <w:rFonts w:hAnsi="標楷體"/>
                <w:color w:val="000000" w:themeColor="text1"/>
                <w:sz w:val="16"/>
                <w:szCs w:val="16"/>
              </w:rPr>
              <w:t>,366</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58.06</w:t>
            </w:r>
            <w:r w:rsidRPr="00D41D30">
              <w:rPr>
                <w:rFonts w:hAnsi="標楷體" w:hint="eastAsia"/>
                <w:color w:val="000000" w:themeColor="text1"/>
                <w:sz w:val="16"/>
                <w:szCs w:val="16"/>
              </w:rPr>
              <w:t>%</w:t>
            </w:r>
          </w:p>
        </w:tc>
      </w:tr>
      <w:tr w:rsidR="000470BB" w:rsidRPr="00D41D30" w:rsidTr="00BF680C">
        <w:trPr>
          <w:trHeight w:val="18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103</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9</w:t>
            </w:r>
            <w:r w:rsidRPr="00D41D30">
              <w:rPr>
                <w:rFonts w:hAnsi="標楷體"/>
                <w:color w:val="000000" w:themeColor="text1"/>
                <w:sz w:val="16"/>
                <w:szCs w:val="16"/>
              </w:rPr>
              <w:t>7,567</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1</w:t>
            </w:r>
            <w:r w:rsidRPr="00D41D30">
              <w:rPr>
                <w:rFonts w:hAnsi="標楷體" w:hint="eastAsia"/>
                <w:color w:val="000000" w:themeColor="text1"/>
                <w:sz w:val="16"/>
                <w:szCs w:val="16"/>
              </w:rPr>
              <w:t>2</w:t>
            </w:r>
            <w:r w:rsidRPr="00D41D30">
              <w:rPr>
                <w:rFonts w:hAnsi="標楷體"/>
                <w:color w:val="000000" w:themeColor="text1"/>
                <w:sz w:val="16"/>
                <w:szCs w:val="16"/>
              </w:rPr>
              <w:t>,</w:t>
            </w:r>
            <w:r w:rsidRPr="00D41D30">
              <w:rPr>
                <w:rFonts w:hAnsi="標楷體" w:hint="eastAsia"/>
                <w:color w:val="000000" w:themeColor="text1"/>
                <w:sz w:val="16"/>
                <w:szCs w:val="16"/>
              </w:rPr>
              <w:t>947</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11</w:t>
            </w:r>
            <w:r w:rsidRPr="00D41D30">
              <w:rPr>
                <w:rFonts w:hAnsi="標楷體" w:hint="eastAsia"/>
                <w:color w:val="000000" w:themeColor="text1"/>
                <w:sz w:val="16"/>
                <w:szCs w:val="16"/>
              </w:rPr>
              <w:t>5</w:t>
            </w:r>
            <w:r w:rsidRPr="00D41D30">
              <w:rPr>
                <w:rFonts w:hAnsi="標楷體"/>
                <w:color w:val="000000" w:themeColor="text1"/>
                <w:sz w:val="16"/>
                <w:szCs w:val="16"/>
              </w:rPr>
              <w:t>.</w:t>
            </w:r>
            <w:r w:rsidRPr="00D41D30">
              <w:rPr>
                <w:rFonts w:hAnsi="標楷體" w:hint="eastAsia"/>
                <w:color w:val="000000" w:themeColor="text1"/>
                <w:sz w:val="16"/>
                <w:szCs w:val="16"/>
              </w:rPr>
              <w:t>76%</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28,800</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40,175</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hint="eastAsia"/>
                <w:color w:val="000000" w:themeColor="text1"/>
                <w:sz w:val="16"/>
                <w:szCs w:val="16"/>
              </w:rPr>
              <w:t>139.50%</w:t>
            </w:r>
          </w:p>
        </w:tc>
        <w:tc>
          <w:tcPr>
            <w:tcW w:w="848" w:type="dxa"/>
            <w:tcBorders>
              <w:bottom w:val="single" w:sz="4" w:space="0" w:color="auto"/>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8" w:type="dxa"/>
            <w:tcBorders>
              <w:bottom w:val="single" w:sz="4" w:space="0" w:color="auto"/>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757" w:type="dxa"/>
            <w:tcBorders>
              <w:bottom w:val="single" w:sz="4" w:space="0" w:color="auto"/>
              <w:tr2bl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13</w:t>
            </w:r>
            <w:r w:rsidRPr="00D41D30">
              <w:rPr>
                <w:rFonts w:hAnsi="標楷體"/>
                <w:color w:val="000000" w:themeColor="text1"/>
                <w:sz w:val="16"/>
                <w:szCs w:val="16"/>
              </w:rPr>
              <w:t>,</w:t>
            </w:r>
            <w:r w:rsidRPr="00D41D30">
              <w:rPr>
                <w:rFonts w:hAnsi="標楷體" w:hint="eastAsia"/>
                <w:color w:val="000000" w:themeColor="text1"/>
                <w:sz w:val="16"/>
                <w:szCs w:val="16"/>
              </w:rPr>
              <w:t>331</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9</w:t>
            </w:r>
            <w:r w:rsidRPr="00D41D30">
              <w:rPr>
                <w:rFonts w:hAnsi="標楷體"/>
                <w:color w:val="000000" w:themeColor="text1"/>
                <w:sz w:val="16"/>
                <w:szCs w:val="16"/>
              </w:rPr>
              <w:t>,533</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71.51</w:t>
            </w:r>
            <w:r w:rsidRPr="00D41D30">
              <w:rPr>
                <w:rFonts w:hAnsi="標楷體" w:hint="eastAsia"/>
                <w:color w:val="000000" w:themeColor="text1"/>
                <w:sz w:val="16"/>
                <w:szCs w:val="16"/>
              </w:rPr>
              <w:t>%</w:t>
            </w:r>
          </w:p>
        </w:tc>
      </w:tr>
      <w:tr w:rsidR="000470BB" w:rsidRPr="00D41D30" w:rsidTr="00BF680C">
        <w:trPr>
          <w:trHeight w:val="247"/>
        </w:trPr>
        <w:tc>
          <w:tcPr>
            <w:tcW w:w="658" w:type="dxa"/>
            <w:vAlign w:val="center"/>
          </w:tcPr>
          <w:p w:rsidR="000470BB" w:rsidRPr="00D41D30" w:rsidRDefault="000470BB" w:rsidP="00BF680C">
            <w:pPr>
              <w:spacing w:line="240" w:lineRule="exact"/>
              <w:jc w:val="center"/>
              <w:rPr>
                <w:rFonts w:hAnsi="標楷體"/>
                <w:b/>
                <w:color w:val="000000" w:themeColor="text1"/>
                <w:sz w:val="20"/>
              </w:rPr>
            </w:pPr>
            <w:bookmarkStart w:id="459" w:name="_Hlk22221212"/>
            <w:r w:rsidRPr="00D41D30">
              <w:rPr>
                <w:rFonts w:hAnsi="標楷體" w:hint="eastAsia"/>
                <w:b/>
                <w:color w:val="000000" w:themeColor="text1"/>
                <w:sz w:val="20"/>
              </w:rPr>
              <w:t>104</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110</w:t>
            </w:r>
            <w:r w:rsidRPr="00D41D30">
              <w:rPr>
                <w:rFonts w:hAnsi="標楷體"/>
                <w:color w:val="000000" w:themeColor="text1"/>
                <w:sz w:val="16"/>
                <w:szCs w:val="16"/>
              </w:rPr>
              <w:t>,</w:t>
            </w:r>
            <w:r w:rsidRPr="00D41D30">
              <w:rPr>
                <w:rFonts w:hAnsi="標楷體" w:hint="eastAsia"/>
                <w:color w:val="000000" w:themeColor="text1"/>
                <w:sz w:val="16"/>
                <w:szCs w:val="16"/>
              </w:rPr>
              <w:t>000</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26,664</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117.88</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28,800</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color w:val="000000" w:themeColor="text1"/>
                <w:sz w:val="16"/>
                <w:szCs w:val="16"/>
              </w:rPr>
              <w:t>34</w:t>
            </w:r>
            <w:r w:rsidRPr="00D41D30">
              <w:rPr>
                <w:rFonts w:hAnsi="標楷體" w:hint="eastAsia"/>
                <w:color w:val="000000" w:themeColor="text1"/>
                <w:sz w:val="16"/>
                <w:szCs w:val="16"/>
              </w:rPr>
              <w:t>,</w:t>
            </w:r>
            <w:r w:rsidRPr="00D41D30">
              <w:rPr>
                <w:rFonts w:hAnsi="標楷體"/>
                <w:color w:val="000000" w:themeColor="text1"/>
                <w:sz w:val="16"/>
                <w:szCs w:val="16"/>
              </w:rPr>
              <w:t>779</w:t>
            </w:r>
          </w:p>
        </w:tc>
        <w:tc>
          <w:tcPr>
            <w:tcW w:w="847" w:type="dxa"/>
            <w:tcBorders>
              <w:right w:val="single" w:sz="4" w:space="0" w:color="auto"/>
            </w:tcBorders>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120</w:t>
            </w:r>
            <w:r w:rsidRPr="00D41D30">
              <w:rPr>
                <w:rFonts w:hAnsi="標楷體" w:hint="eastAsia"/>
                <w:color w:val="000000" w:themeColor="text1"/>
                <w:sz w:val="16"/>
                <w:szCs w:val="16"/>
              </w:rPr>
              <w:t>.</w:t>
            </w:r>
            <w:r w:rsidRPr="00D41D30">
              <w:rPr>
                <w:rFonts w:hAnsi="標楷體"/>
                <w:color w:val="000000" w:themeColor="text1"/>
                <w:sz w:val="16"/>
                <w:szCs w:val="16"/>
              </w:rPr>
              <w:t>76</w:t>
            </w:r>
            <w:r w:rsidRPr="00D41D30">
              <w:rPr>
                <w:rFonts w:hAnsi="標楷體" w:hint="eastAsia"/>
                <w:color w:val="000000" w:themeColor="text1"/>
                <w:sz w:val="16"/>
                <w:szCs w:val="16"/>
              </w:rPr>
              <w:t>%</w:t>
            </w:r>
          </w:p>
        </w:tc>
        <w:tc>
          <w:tcPr>
            <w:tcW w:w="848" w:type="dxa"/>
            <w:tcBorders>
              <w:top w:val="single" w:sz="4" w:space="0" w:color="auto"/>
              <w:left w:val="single" w:sz="4" w:space="0" w:color="auto"/>
              <w:bottom w:val="single" w:sz="4" w:space="0" w:color="auto"/>
              <w:right w:val="single" w:sz="4" w:space="0" w:color="auto"/>
              <w:tr2bl w:val="nil"/>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0</w:t>
            </w:r>
          </w:p>
        </w:tc>
        <w:tc>
          <w:tcPr>
            <w:tcW w:w="758" w:type="dxa"/>
            <w:tcBorders>
              <w:top w:val="single" w:sz="4" w:space="0" w:color="auto"/>
              <w:left w:val="single" w:sz="4" w:space="0" w:color="auto"/>
              <w:bottom w:val="single" w:sz="4" w:space="0" w:color="auto"/>
              <w:right w:val="single" w:sz="4" w:space="0" w:color="auto"/>
              <w:tr2bl w:val="nil"/>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3,231</w:t>
            </w:r>
          </w:p>
        </w:tc>
        <w:tc>
          <w:tcPr>
            <w:tcW w:w="757" w:type="dxa"/>
            <w:tcBorders>
              <w:top w:val="single" w:sz="4" w:space="0" w:color="auto"/>
              <w:left w:val="single" w:sz="4" w:space="0" w:color="auto"/>
              <w:bottom w:val="single" w:sz="4" w:space="0" w:color="auto"/>
              <w:right w:val="single" w:sz="4" w:space="0" w:color="auto"/>
              <w:tr2bl w:val="nil"/>
            </w:tcBorders>
            <w:vAlign w:val="center"/>
          </w:tcPr>
          <w:p w:rsidR="000470BB" w:rsidRPr="00D41D30" w:rsidRDefault="000470BB" w:rsidP="00BF680C">
            <w:pPr>
              <w:adjustRightInd w:val="0"/>
              <w:snapToGrid w:val="0"/>
              <w:spacing w:line="240" w:lineRule="exact"/>
              <w:rPr>
                <w:rFonts w:hAnsi="標楷體"/>
                <w:color w:val="000000" w:themeColor="text1"/>
                <w:sz w:val="16"/>
                <w:szCs w:val="16"/>
              </w:rPr>
            </w:pPr>
            <w:r w:rsidRPr="00D41D30">
              <w:rPr>
                <w:rFonts w:hAnsi="標楷體" w:hint="eastAsia"/>
                <w:color w:val="000000" w:themeColor="text1"/>
                <w:sz w:val="16"/>
                <w:szCs w:val="16"/>
              </w:rPr>
              <w:t>屬新增計畫由其他項目流用支應</w:t>
            </w:r>
            <w:r w:rsidRPr="00D41D30">
              <w:rPr>
                <w:rFonts w:hAnsi="標楷體" w:hint="eastAsia"/>
                <w:b/>
                <w:color w:val="000000" w:themeColor="text1"/>
                <w:sz w:val="16"/>
                <w:szCs w:val="16"/>
              </w:rPr>
              <w:t xml:space="preserve">  </w:t>
            </w:r>
          </w:p>
        </w:tc>
        <w:tc>
          <w:tcPr>
            <w:tcW w:w="848" w:type="dxa"/>
            <w:tcBorders>
              <w:left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18</w:t>
            </w:r>
            <w:r w:rsidRPr="00D41D30">
              <w:rPr>
                <w:rFonts w:hAnsi="標楷體"/>
                <w:color w:val="000000" w:themeColor="text1"/>
                <w:sz w:val="16"/>
                <w:szCs w:val="16"/>
              </w:rPr>
              <w:t>,</w:t>
            </w:r>
            <w:r w:rsidRPr="00D41D30">
              <w:rPr>
                <w:rFonts w:hAnsi="標楷體" w:hint="eastAsia"/>
                <w:color w:val="000000" w:themeColor="text1"/>
                <w:sz w:val="16"/>
                <w:szCs w:val="16"/>
              </w:rPr>
              <w:t>898</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12</w:t>
            </w:r>
            <w:r w:rsidRPr="00D41D30">
              <w:rPr>
                <w:rFonts w:hAnsi="標楷體"/>
                <w:color w:val="000000" w:themeColor="text1"/>
                <w:sz w:val="16"/>
                <w:szCs w:val="16"/>
              </w:rPr>
              <w:t>,</w:t>
            </w:r>
            <w:r w:rsidRPr="00D41D30">
              <w:rPr>
                <w:rFonts w:hAnsi="標楷體" w:hint="eastAsia"/>
                <w:color w:val="000000" w:themeColor="text1"/>
                <w:sz w:val="16"/>
                <w:szCs w:val="16"/>
              </w:rPr>
              <w:t>2</w:t>
            </w:r>
            <w:r w:rsidRPr="00D41D30">
              <w:rPr>
                <w:rFonts w:hAnsi="標楷體"/>
                <w:color w:val="000000" w:themeColor="text1"/>
                <w:sz w:val="16"/>
                <w:szCs w:val="16"/>
              </w:rPr>
              <w:t>33</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6</w:t>
            </w:r>
            <w:r w:rsidRPr="00D41D30">
              <w:rPr>
                <w:rFonts w:hAnsi="標楷體" w:hint="eastAsia"/>
                <w:color w:val="000000" w:themeColor="text1"/>
                <w:sz w:val="16"/>
                <w:szCs w:val="16"/>
              </w:rPr>
              <w:t>4</w:t>
            </w:r>
            <w:r w:rsidRPr="00D41D30">
              <w:rPr>
                <w:rFonts w:hAnsi="標楷體"/>
                <w:color w:val="000000" w:themeColor="text1"/>
                <w:sz w:val="16"/>
                <w:szCs w:val="16"/>
              </w:rPr>
              <w:t>.</w:t>
            </w:r>
            <w:r w:rsidRPr="00D41D30">
              <w:rPr>
                <w:rFonts w:hAnsi="標楷體" w:hint="eastAsia"/>
                <w:color w:val="000000" w:themeColor="text1"/>
                <w:sz w:val="16"/>
                <w:szCs w:val="16"/>
              </w:rPr>
              <w:t>73%</w:t>
            </w:r>
          </w:p>
        </w:tc>
      </w:tr>
      <w:bookmarkEnd w:id="458"/>
      <w:bookmarkEnd w:id="459"/>
      <w:tr w:rsidR="000470BB" w:rsidRPr="00D41D30" w:rsidTr="00BF680C">
        <w:trPr>
          <w:trHeight w:val="24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105</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12,914</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31.095</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116.10</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30,500</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21,539</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70.62</w:t>
            </w:r>
            <w:r w:rsidRPr="00D41D30">
              <w:rPr>
                <w:rFonts w:hAnsi="標楷體" w:hint="eastAsia"/>
                <w:color w:val="000000" w:themeColor="text1"/>
                <w:sz w:val="16"/>
                <w:szCs w:val="16"/>
              </w:rPr>
              <w:t>%</w:t>
            </w:r>
          </w:p>
        </w:tc>
        <w:tc>
          <w:tcPr>
            <w:tcW w:w="848" w:type="dxa"/>
            <w:tcBorders>
              <w:top w:val="single" w:sz="4" w:space="0" w:color="auto"/>
            </w:tcBorders>
            <w:vAlign w:val="center"/>
          </w:tcPr>
          <w:p w:rsidR="000470BB" w:rsidRPr="00D41D30" w:rsidRDefault="000470BB" w:rsidP="00BF680C">
            <w:pPr>
              <w:adjustRightInd w:val="0"/>
              <w:snapToGrid w:val="0"/>
              <w:spacing w:line="240" w:lineRule="exact"/>
              <w:jc w:val="center"/>
              <w:rPr>
                <w:rFonts w:hAnsi="標楷體"/>
                <w:color w:val="000000" w:themeColor="text1"/>
                <w:sz w:val="16"/>
                <w:szCs w:val="16"/>
              </w:rPr>
            </w:pPr>
            <w:r w:rsidRPr="00D41D30">
              <w:rPr>
                <w:rFonts w:hAnsi="標楷體" w:hint="eastAsia"/>
                <w:color w:val="000000" w:themeColor="text1"/>
                <w:sz w:val="16"/>
                <w:szCs w:val="16"/>
              </w:rPr>
              <w:t>27</w:t>
            </w:r>
            <w:r w:rsidRPr="00D41D30">
              <w:rPr>
                <w:rFonts w:hAnsi="標楷體"/>
                <w:color w:val="000000" w:themeColor="text1"/>
                <w:sz w:val="16"/>
                <w:szCs w:val="16"/>
              </w:rPr>
              <w:t>,</w:t>
            </w:r>
            <w:r w:rsidRPr="00D41D30">
              <w:rPr>
                <w:rFonts w:hAnsi="標楷體" w:hint="eastAsia"/>
                <w:color w:val="000000" w:themeColor="text1"/>
                <w:sz w:val="16"/>
                <w:szCs w:val="16"/>
              </w:rPr>
              <w:t>000</w:t>
            </w:r>
          </w:p>
        </w:tc>
        <w:tc>
          <w:tcPr>
            <w:tcW w:w="758" w:type="dxa"/>
            <w:tcBorders>
              <w:top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8,603</w:t>
            </w:r>
          </w:p>
        </w:tc>
        <w:tc>
          <w:tcPr>
            <w:tcW w:w="757" w:type="dxa"/>
            <w:tcBorders>
              <w:top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color w:val="000000" w:themeColor="text1"/>
                <w:sz w:val="16"/>
                <w:szCs w:val="16"/>
              </w:rPr>
              <w:t>31.86</w:t>
            </w:r>
            <w:r w:rsidRPr="00D41D30">
              <w:rPr>
                <w:rFonts w:hAnsi="標楷體" w:hint="eastAsia"/>
                <w:color w:val="000000" w:themeColor="text1"/>
                <w:sz w:val="16"/>
                <w:szCs w:val="16"/>
              </w:rPr>
              <w:t>%</w:t>
            </w:r>
          </w:p>
        </w:tc>
        <w:tc>
          <w:tcPr>
            <w:tcW w:w="848" w:type="dxa"/>
            <w:tcBorders>
              <w:top w:val="single" w:sz="4" w:space="0" w:color="auto"/>
            </w:tcBorders>
            <w:vAlign w:val="center"/>
          </w:tcPr>
          <w:p w:rsidR="000470BB" w:rsidRPr="00D41D30" w:rsidRDefault="000470BB" w:rsidP="00BF680C">
            <w:pPr>
              <w:adjustRightInd w:val="0"/>
              <w:snapToGrid w:val="0"/>
              <w:spacing w:line="240" w:lineRule="exact"/>
              <w:jc w:val="center"/>
              <w:rPr>
                <w:rFonts w:hAnsi="標楷體"/>
                <w:color w:val="000000" w:themeColor="text1"/>
                <w:sz w:val="16"/>
                <w:szCs w:val="16"/>
              </w:rPr>
            </w:pPr>
            <w:r w:rsidRPr="00D41D30">
              <w:rPr>
                <w:rFonts w:hAnsi="標楷體" w:hint="eastAsia"/>
                <w:color w:val="000000" w:themeColor="text1"/>
                <w:sz w:val="16"/>
                <w:szCs w:val="16"/>
              </w:rPr>
              <w:t>27</w:t>
            </w:r>
            <w:r w:rsidRPr="00D41D30">
              <w:rPr>
                <w:rFonts w:hAnsi="標楷體"/>
                <w:color w:val="000000" w:themeColor="text1"/>
                <w:sz w:val="16"/>
                <w:szCs w:val="16"/>
              </w:rPr>
              <w:t>,</w:t>
            </w:r>
            <w:r w:rsidRPr="00D41D30">
              <w:rPr>
                <w:rFonts w:hAnsi="標楷體" w:hint="eastAsia"/>
                <w:color w:val="000000" w:themeColor="text1"/>
                <w:sz w:val="16"/>
                <w:szCs w:val="16"/>
              </w:rPr>
              <w:t>000</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7</w:t>
            </w:r>
            <w:r w:rsidRPr="00D41D30">
              <w:rPr>
                <w:rFonts w:hAnsi="標楷體"/>
                <w:color w:val="000000" w:themeColor="text1"/>
                <w:sz w:val="16"/>
                <w:szCs w:val="16"/>
              </w:rPr>
              <w:t>,964</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29.49</w:t>
            </w:r>
            <w:r w:rsidRPr="00D41D30">
              <w:rPr>
                <w:rFonts w:hAnsi="標楷體" w:hint="eastAsia"/>
                <w:color w:val="000000" w:themeColor="text1"/>
                <w:sz w:val="16"/>
                <w:szCs w:val="16"/>
              </w:rPr>
              <w:t>%</w:t>
            </w:r>
          </w:p>
        </w:tc>
      </w:tr>
      <w:tr w:rsidR="000470BB" w:rsidRPr="00D41D30" w:rsidTr="00BF680C">
        <w:trPr>
          <w:trHeight w:val="24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106</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132,</w:t>
            </w:r>
            <w:r w:rsidRPr="00D41D30">
              <w:rPr>
                <w:rFonts w:hAnsi="標楷體"/>
                <w:color w:val="000000" w:themeColor="text1"/>
                <w:sz w:val="16"/>
                <w:szCs w:val="16"/>
              </w:rPr>
              <w:t>914</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29,226</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97.23</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30,500</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color w:val="000000" w:themeColor="text1"/>
                <w:sz w:val="16"/>
                <w:szCs w:val="16"/>
              </w:rPr>
              <w:t>32</w:t>
            </w:r>
            <w:r w:rsidRPr="00D41D30">
              <w:rPr>
                <w:rFonts w:hAnsi="標楷體" w:hint="eastAsia"/>
                <w:color w:val="000000" w:themeColor="text1"/>
                <w:sz w:val="16"/>
                <w:szCs w:val="16"/>
              </w:rPr>
              <w:t>,</w:t>
            </w:r>
            <w:r w:rsidRPr="00D41D30">
              <w:rPr>
                <w:rFonts w:hAnsi="標楷體"/>
                <w:color w:val="000000" w:themeColor="text1"/>
                <w:sz w:val="16"/>
                <w:szCs w:val="16"/>
              </w:rPr>
              <w:t>2</w:t>
            </w:r>
            <w:r w:rsidRPr="00D41D30">
              <w:rPr>
                <w:rFonts w:hAnsi="標楷體" w:hint="eastAsia"/>
                <w:color w:val="000000" w:themeColor="text1"/>
                <w:sz w:val="16"/>
                <w:szCs w:val="16"/>
              </w:rPr>
              <w:t>3</w:t>
            </w:r>
            <w:r w:rsidRPr="00D41D30">
              <w:rPr>
                <w:rFonts w:hAnsi="標楷體"/>
                <w:color w:val="000000" w:themeColor="text1"/>
                <w:sz w:val="16"/>
                <w:szCs w:val="16"/>
              </w:rPr>
              <w:t>0</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105.67</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adjustRightInd w:val="0"/>
              <w:snapToGrid w:val="0"/>
              <w:spacing w:line="240" w:lineRule="exact"/>
              <w:jc w:val="center"/>
              <w:rPr>
                <w:rFonts w:hAnsi="標楷體"/>
                <w:color w:val="000000" w:themeColor="text1"/>
                <w:sz w:val="16"/>
                <w:szCs w:val="16"/>
              </w:rPr>
            </w:pPr>
            <w:r w:rsidRPr="00D41D30">
              <w:rPr>
                <w:rFonts w:hAnsi="標楷體" w:hint="eastAsia"/>
                <w:color w:val="000000" w:themeColor="text1"/>
                <w:sz w:val="16"/>
                <w:szCs w:val="16"/>
              </w:rPr>
              <w:t>36</w:t>
            </w:r>
            <w:r w:rsidRPr="00D41D30">
              <w:rPr>
                <w:rFonts w:hAnsi="標楷體"/>
                <w:color w:val="000000" w:themeColor="text1"/>
                <w:sz w:val="16"/>
                <w:szCs w:val="16"/>
              </w:rPr>
              <w:t>,</w:t>
            </w:r>
            <w:r w:rsidRPr="00D41D30">
              <w:rPr>
                <w:rFonts w:hAnsi="標楷體" w:hint="eastAsia"/>
                <w:color w:val="000000" w:themeColor="text1"/>
                <w:sz w:val="16"/>
                <w:szCs w:val="16"/>
              </w:rPr>
              <w:t>819</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15,771</w:t>
            </w:r>
          </w:p>
        </w:tc>
        <w:tc>
          <w:tcPr>
            <w:tcW w:w="757"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color w:val="000000" w:themeColor="text1"/>
                <w:sz w:val="16"/>
                <w:szCs w:val="16"/>
              </w:rPr>
              <w:t>42.83</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adjustRightInd w:val="0"/>
              <w:snapToGrid w:val="0"/>
              <w:spacing w:line="240" w:lineRule="exact"/>
              <w:jc w:val="center"/>
              <w:rPr>
                <w:rFonts w:hAnsi="標楷體"/>
                <w:color w:val="000000" w:themeColor="text1"/>
                <w:sz w:val="16"/>
                <w:szCs w:val="16"/>
              </w:rPr>
            </w:pPr>
            <w:r w:rsidRPr="00D41D30">
              <w:rPr>
                <w:rFonts w:hAnsi="標楷體" w:hint="eastAsia"/>
                <w:color w:val="000000" w:themeColor="text1"/>
                <w:sz w:val="16"/>
                <w:szCs w:val="16"/>
              </w:rPr>
              <w:t>36</w:t>
            </w:r>
            <w:r w:rsidRPr="00D41D30">
              <w:rPr>
                <w:rFonts w:hAnsi="標楷體"/>
                <w:color w:val="000000" w:themeColor="text1"/>
                <w:sz w:val="16"/>
                <w:szCs w:val="16"/>
              </w:rPr>
              <w:t>,</w:t>
            </w:r>
            <w:r w:rsidRPr="00D41D30">
              <w:rPr>
                <w:rFonts w:hAnsi="標楷體" w:hint="eastAsia"/>
                <w:color w:val="000000" w:themeColor="text1"/>
                <w:sz w:val="16"/>
                <w:szCs w:val="16"/>
              </w:rPr>
              <w:t>819</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1,617</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31.55</w:t>
            </w:r>
            <w:r w:rsidRPr="00D41D30">
              <w:rPr>
                <w:rFonts w:hAnsi="標楷體" w:hint="eastAsia"/>
                <w:color w:val="000000" w:themeColor="text1"/>
                <w:sz w:val="16"/>
                <w:szCs w:val="16"/>
              </w:rPr>
              <w:t>%</w:t>
            </w:r>
          </w:p>
        </w:tc>
      </w:tr>
      <w:tr w:rsidR="000470BB" w:rsidRPr="00D41D30" w:rsidTr="00BF680C">
        <w:trPr>
          <w:trHeight w:val="247"/>
        </w:trPr>
        <w:tc>
          <w:tcPr>
            <w:tcW w:w="658" w:type="dxa"/>
            <w:vAlign w:val="center"/>
          </w:tcPr>
          <w:p w:rsidR="000470BB" w:rsidRPr="00D41D30" w:rsidRDefault="000470BB" w:rsidP="00BF680C">
            <w:pPr>
              <w:spacing w:line="240" w:lineRule="exact"/>
              <w:jc w:val="center"/>
              <w:rPr>
                <w:rFonts w:hAnsi="標楷體"/>
                <w:b/>
                <w:color w:val="000000" w:themeColor="text1"/>
                <w:sz w:val="20"/>
              </w:rPr>
            </w:pPr>
            <w:r w:rsidRPr="00D41D30">
              <w:rPr>
                <w:rFonts w:hAnsi="標楷體" w:hint="eastAsia"/>
                <w:b/>
                <w:color w:val="000000" w:themeColor="text1"/>
                <w:sz w:val="20"/>
              </w:rPr>
              <w:t>107</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70,871</w:t>
            </w:r>
          </w:p>
        </w:tc>
        <w:tc>
          <w:tcPr>
            <w:tcW w:w="1029"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79,070</w:t>
            </w:r>
          </w:p>
        </w:tc>
        <w:tc>
          <w:tcPr>
            <w:tcW w:w="84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104.80</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30,500</w:t>
            </w:r>
          </w:p>
        </w:tc>
        <w:tc>
          <w:tcPr>
            <w:tcW w:w="848" w:type="dxa"/>
            <w:tcBorders>
              <w:bottom w:val="single" w:sz="4" w:space="0" w:color="auto"/>
            </w:tcBorders>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color w:val="000000" w:themeColor="text1"/>
                <w:sz w:val="16"/>
                <w:szCs w:val="16"/>
              </w:rPr>
              <w:t>46</w:t>
            </w:r>
            <w:r w:rsidRPr="00D41D30">
              <w:rPr>
                <w:rFonts w:hAnsi="標楷體" w:hint="eastAsia"/>
                <w:color w:val="000000" w:themeColor="text1"/>
                <w:sz w:val="16"/>
                <w:szCs w:val="16"/>
              </w:rPr>
              <w:t>,</w:t>
            </w:r>
            <w:r w:rsidRPr="00D41D30">
              <w:rPr>
                <w:rFonts w:hAnsi="標楷體"/>
                <w:color w:val="000000" w:themeColor="text1"/>
                <w:sz w:val="16"/>
                <w:szCs w:val="16"/>
              </w:rPr>
              <w:t>495</w:t>
            </w:r>
          </w:p>
        </w:tc>
        <w:tc>
          <w:tcPr>
            <w:tcW w:w="847" w:type="dxa"/>
            <w:tcBorders>
              <w:bottom w:val="single" w:sz="4" w:space="0" w:color="auto"/>
            </w:tcBorders>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152.44</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adjustRightInd w:val="0"/>
              <w:snapToGrid w:val="0"/>
              <w:spacing w:line="240" w:lineRule="exact"/>
              <w:jc w:val="center"/>
              <w:rPr>
                <w:rFonts w:hAnsi="標楷體"/>
                <w:color w:val="000000" w:themeColor="text1"/>
                <w:sz w:val="16"/>
                <w:szCs w:val="16"/>
              </w:rPr>
            </w:pPr>
            <w:r w:rsidRPr="00D41D30">
              <w:rPr>
                <w:rFonts w:hAnsi="標楷體"/>
                <w:color w:val="000000" w:themeColor="text1"/>
                <w:sz w:val="16"/>
                <w:szCs w:val="16"/>
              </w:rPr>
              <w:t>41,630</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13,419</w:t>
            </w:r>
          </w:p>
        </w:tc>
        <w:tc>
          <w:tcPr>
            <w:tcW w:w="757"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color w:val="000000" w:themeColor="text1"/>
                <w:sz w:val="16"/>
                <w:szCs w:val="16"/>
              </w:rPr>
              <w:t>32.23</w:t>
            </w:r>
            <w:r w:rsidRPr="00D41D30">
              <w:rPr>
                <w:rFonts w:hAnsi="標楷體" w:hint="eastAsia"/>
                <w:color w:val="000000" w:themeColor="text1"/>
                <w:sz w:val="16"/>
                <w:szCs w:val="16"/>
              </w:rPr>
              <w:t>%</w:t>
            </w:r>
          </w:p>
        </w:tc>
        <w:tc>
          <w:tcPr>
            <w:tcW w:w="848" w:type="dxa"/>
            <w:vAlign w:val="center"/>
          </w:tcPr>
          <w:p w:rsidR="000470BB" w:rsidRPr="00D41D30" w:rsidRDefault="000470BB" w:rsidP="00BF680C">
            <w:pPr>
              <w:adjustRightInd w:val="0"/>
              <w:snapToGrid w:val="0"/>
              <w:spacing w:line="240" w:lineRule="exact"/>
              <w:jc w:val="center"/>
              <w:rPr>
                <w:rFonts w:hAnsi="標楷體"/>
                <w:color w:val="000000" w:themeColor="text1"/>
                <w:sz w:val="16"/>
                <w:szCs w:val="16"/>
              </w:rPr>
            </w:pPr>
            <w:r w:rsidRPr="00D41D30">
              <w:rPr>
                <w:rFonts w:hAnsi="標楷體" w:hint="eastAsia"/>
                <w:color w:val="000000" w:themeColor="text1"/>
                <w:sz w:val="16"/>
                <w:szCs w:val="16"/>
              </w:rPr>
              <w:t>41</w:t>
            </w:r>
            <w:r w:rsidRPr="00D41D30">
              <w:rPr>
                <w:rFonts w:hAnsi="標楷體"/>
                <w:color w:val="000000" w:themeColor="text1"/>
                <w:sz w:val="16"/>
                <w:szCs w:val="16"/>
              </w:rPr>
              <w:t>,</w:t>
            </w:r>
            <w:r w:rsidRPr="00D41D30">
              <w:rPr>
                <w:rFonts w:hAnsi="標楷體" w:hint="eastAsia"/>
                <w:color w:val="000000" w:themeColor="text1"/>
                <w:sz w:val="16"/>
                <w:szCs w:val="16"/>
              </w:rPr>
              <w:t>630</w:t>
            </w:r>
          </w:p>
        </w:tc>
        <w:tc>
          <w:tcPr>
            <w:tcW w:w="758" w:type="dxa"/>
            <w:vAlign w:val="center"/>
          </w:tcPr>
          <w:p w:rsidR="000470BB" w:rsidRPr="00D41D30" w:rsidRDefault="000470BB" w:rsidP="00BF680C">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4,171</w:t>
            </w:r>
          </w:p>
        </w:tc>
        <w:tc>
          <w:tcPr>
            <w:tcW w:w="757" w:type="dxa"/>
            <w:vAlign w:val="center"/>
          </w:tcPr>
          <w:p w:rsidR="000470BB" w:rsidRPr="00D41D30" w:rsidRDefault="000470BB" w:rsidP="00BF680C">
            <w:pPr>
              <w:spacing w:line="240" w:lineRule="exact"/>
              <w:jc w:val="center"/>
              <w:rPr>
                <w:color w:val="000000" w:themeColor="text1"/>
                <w:sz w:val="16"/>
                <w:szCs w:val="16"/>
              </w:rPr>
            </w:pPr>
            <w:r w:rsidRPr="00D41D30">
              <w:rPr>
                <w:rFonts w:hAnsi="標楷體"/>
                <w:color w:val="000000" w:themeColor="text1"/>
                <w:sz w:val="16"/>
                <w:szCs w:val="16"/>
              </w:rPr>
              <w:t>34.04</w:t>
            </w:r>
            <w:r w:rsidRPr="00D41D30">
              <w:rPr>
                <w:rFonts w:hAnsi="標楷體" w:hint="eastAsia"/>
                <w:color w:val="000000" w:themeColor="text1"/>
                <w:sz w:val="16"/>
                <w:szCs w:val="16"/>
              </w:rPr>
              <w:t>%</w:t>
            </w:r>
          </w:p>
        </w:tc>
      </w:tr>
      <w:tr w:rsidR="00513DEE" w:rsidRPr="00D41D30" w:rsidTr="00BF680C">
        <w:trPr>
          <w:trHeight w:val="105"/>
        </w:trPr>
        <w:tc>
          <w:tcPr>
            <w:tcW w:w="658" w:type="dxa"/>
            <w:vAlign w:val="center"/>
          </w:tcPr>
          <w:p w:rsidR="00513DEE" w:rsidRPr="00D41D30" w:rsidRDefault="00513DEE" w:rsidP="00513DEE">
            <w:pPr>
              <w:spacing w:line="240" w:lineRule="exact"/>
              <w:jc w:val="center"/>
              <w:rPr>
                <w:rFonts w:hAnsi="標楷體"/>
                <w:b/>
                <w:color w:val="000000" w:themeColor="text1"/>
                <w:sz w:val="20"/>
              </w:rPr>
            </w:pPr>
            <w:r w:rsidRPr="00D41D30">
              <w:rPr>
                <w:rFonts w:hAnsi="標楷體" w:hint="eastAsia"/>
                <w:b/>
                <w:color w:val="000000" w:themeColor="text1"/>
                <w:sz w:val="20"/>
              </w:rPr>
              <w:t>108~</w:t>
            </w:r>
          </w:p>
        </w:tc>
        <w:tc>
          <w:tcPr>
            <w:tcW w:w="1029" w:type="dxa"/>
            <w:vAlign w:val="center"/>
          </w:tcPr>
          <w:p w:rsidR="00513DEE" w:rsidRPr="00D41D30" w:rsidRDefault="00513DEE" w:rsidP="00513DEE">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w:t>
            </w:r>
            <w:r w:rsidRPr="00D41D30">
              <w:rPr>
                <w:rFonts w:hAnsi="標楷體"/>
                <w:color w:val="000000" w:themeColor="text1"/>
                <w:sz w:val="16"/>
                <w:szCs w:val="16"/>
              </w:rPr>
              <w:t>33,088</w:t>
            </w:r>
          </w:p>
        </w:tc>
        <w:tc>
          <w:tcPr>
            <w:tcW w:w="1029" w:type="dxa"/>
            <w:vAlign w:val="center"/>
          </w:tcPr>
          <w:p w:rsidR="00513DEE" w:rsidRPr="00D41D30" w:rsidRDefault="00513DEE" w:rsidP="00513DEE">
            <w:pPr>
              <w:adjustRightInd w:val="0"/>
              <w:snapToGrid w:val="0"/>
              <w:spacing w:line="240" w:lineRule="exact"/>
              <w:jc w:val="center"/>
              <w:rPr>
                <w:rFonts w:hAnsi="標楷體"/>
                <w:color w:val="000000" w:themeColor="text1"/>
                <w:sz w:val="16"/>
                <w:szCs w:val="16"/>
              </w:rPr>
            </w:pPr>
            <w:r w:rsidRPr="00D41D30">
              <w:rPr>
                <w:rFonts w:hAnsi="標楷體" w:hint="eastAsia"/>
                <w:color w:val="000000" w:themeColor="text1"/>
                <w:sz w:val="16"/>
                <w:szCs w:val="16"/>
              </w:rPr>
              <w:t>131</w:t>
            </w:r>
            <w:r w:rsidRPr="00D41D30">
              <w:rPr>
                <w:rFonts w:hAnsi="標楷體"/>
                <w:color w:val="000000" w:themeColor="text1"/>
                <w:sz w:val="16"/>
                <w:szCs w:val="16"/>
              </w:rPr>
              <w:t>,</w:t>
            </w:r>
            <w:r w:rsidRPr="00D41D30">
              <w:rPr>
                <w:rFonts w:hAnsi="標楷體" w:hint="eastAsia"/>
                <w:color w:val="000000" w:themeColor="text1"/>
                <w:sz w:val="16"/>
                <w:szCs w:val="16"/>
              </w:rPr>
              <w:t>393</w:t>
            </w:r>
          </w:p>
        </w:tc>
        <w:tc>
          <w:tcPr>
            <w:tcW w:w="84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color w:val="000000" w:themeColor="text1"/>
                <w:sz w:val="16"/>
                <w:szCs w:val="16"/>
              </w:rPr>
            </w:pPr>
          </w:p>
        </w:tc>
        <w:tc>
          <w:tcPr>
            <w:tcW w:w="848" w:type="dxa"/>
            <w:tcBorders>
              <w:right w:val="single" w:sz="4" w:space="0" w:color="auto"/>
            </w:tcBorders>
            <w:vAlign w:val="center"/>
          </w:tcPr>
          <w:p w:rsidR="00513DEE" w:rsidRPr="00D41D30" w:rsidRDefault="00513DEE" w:rsidP="00513DEE">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30</w:t>
            </w:r>
            <w:r w:rsidRPr="00D41D30">
              <w:rPr>
                <w:rFonts w:hAnsi="標楷體"/>
                <w:color w:val="000000" w:themeColor="text1"/>
                <w:sz w:val="16"/>
                <w:szCs w:val="16"/>
              </w:rPr>
              <w:t>,</w:t>
            </w:r>
            <w:r w:rsidRPr="00D41D30">
              <w:rPr>
                <w:rFonts w:hAnsi="標楷體" w:hint="eastAsia"/>
                <w:color w:val="000000" w:themeColor="text1"/>
                <w:sz w:val="16"/>
                <w:szCs w:val="16"/>
              </w:rPr>
              <w:t>500</w:t>
            </w:r>
          </w:p>
        </w:tc>
        <w:tc>
          <w:tcPr>
            <w:tcW w:w="848" w:type="dxa"/>
            <w:tcBorders>
              <w:top w:val="single" w:sz="4" w:space="0" w:color="auto"/>
              <w:left w:val="single" w:sz="4" w:space="0" w:color="auto"/>
              <w:bottom w:val="single" w:sz="4" w:space="0" w:color="auto"/>
              <w:right w:val="single" w:sz="4" w:space="0" w:color="auto"/>
              <w:tr2bl w:val="nil"/>
            </w:tcBorders>
            <w:vAlign w:val="center"/>
          </w:tcPr>
          <w:p w:rsidR="00513DEE" w:rsidRPr="00D41D30" w:rsidRDefault="00513DEE" w:rsidP="00513DEE">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37</w:t>
            </w:r>
            <w:r w:rsidRPr="00D41D30">
              <w:rPr>
                <w:rFonts w:hAnsi="標楷體"/>
                <w:color w:val="000000" w:themeColor="text1"/>
                <w:sz w:val="16"/>
                <w:szCs w:val="16"/>
              </w:rPr>
              <w:t>,</w:t>
            </w:r>
            <w:r w:rsidRPr="00D41D30">
              <w:rPr>
                <w:rFonts w:hAnsi="標楷體" w:hint="eastAsia"/>
                <w:color w:val="000000" w:themeColor="text1"/>
                <w:sz w:val="16"/>
                <w:szCs w:val="16"/>
              </w:rPr>
              <w:t>168</w:t>
            </w:r>
          </w:p>
        </w:tc>
        <w:tc>
          <w:tcPr>
            <w:tcW w:w="84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rFonts w:hAnsi="標楷體"/>
                <w:color w:val="000000" w:themeColor="text1"/>
                <w:sz w:val="16"/>
                <w:szCs w:val="16"/>
              </w:rPr>
            </w:pPr>
          </w:p>
        </w:tc>
        <w:tc>
          <w:tcPr>
            <w:tcW w:w="848" w:type="dxa"/>
            <w:tcBorders>
              <w:left w:val="single" w:sz="4" w:space="0" w:color="auto"/>
            </w:tcBorders>
            <w:vAlign w:val="center"/>
          </w:tcPr>
          <w:p w:rsidR="00513DEE" w:rsidRPr="00D41D30" w:rsidRDefault="00513DEE" w:rsidP="00513DEE">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25</w:t>
            </w:r>
            <w:r w:rsidRPr="00D41D30">
              <w:rPr>
                <w:rFonts w:hAnsi="標楷體"/>
                <w:color w:val="000000" w:themeColor="text1"/>
                <w:sz w:val="16"/>
                <w:szCs w:val="16"/>
              </w:rPr>
              <w:t>,</w:t>
            </w:r>
            <w:r w:rsidRPr="00D41D30">
              <w:rPr>
                <w:rFonts w:hAnsi="標楷體" w:hint="eastAsia"/>
                <w:color w:val="000000" w:themeColor="text1"/>
                <w:sz w:val="16"/>
                <w:szCs w:val="16"/>
              </w:rPr>
              <w:t>214</w:t>
            </w:r>
          </w:p>
        </w:tc>
        <w:tc>
          <w:tcPr>
            <w:tcW w:w="758" w:type="dxa"/>
            <w:vAlign w:val="center"/>
          </w:tcPr>
          <w:p w:rsidR="00513DEE" w:rsidRPr="00D41D30" w:rsidRDefault="00513DEE" w:rsidP="00513DEE">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7</w:t>
            </w:r>
            <w:r w:rsidRPr="00D41D30">
              <w:rPr>
                <w:rFonts w:hAnsi="標楷體"/>
                <w:color w:val="000000" w:themeColor="text1"/>
                <w:sz w:val="16"/>
                <w:szCs w:val="16"/>
              </w:rPr>
              <w:t>,</w:t>
            </w:r>
            <w:r w:rsidRPr="00D41D30">
              <w:rPr>
                <w:rFonts w:hAnsi="標楷體" w:hint="eastAsia"/>
                <w:color w:val="000000" w:themeColor="text1"/>
                <w:sz w:val="16"/>
                <w:szCs w:val="16"/>
              </w:rPr>
              <w:t>902</w:t>
            </w:r>
          </w:p>
        </w:tc>
        <w:tc>
          <w:tcPr>
            <w:tcW w:w="75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rFonts w:hAnsi="標楷體"/>
                <w:color w:val="000000" w:themeColor="text1"/>
                <w:sz w:val="16"/>
                <w:szCs w:val="16"/>
              </w:rPr>
            </w:pPr>
          </w:p>
        </w:tc>
        <w:tc>
          <w:tcPr>
            <w:tcW w:w="848" w:type="dxa"/>
            <w:vAlign w:val="center"/>
          </w:tcPr>
          <w:p w:rsidR="00513DEE" w:rsidRPr="00D41D30" w:rsidRDefault="00513DEE" w:rsidP="00513DEE">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25</w:t>
            </w:r>
            <w:r w:rsidRPr="00D41D30">
              <w:rPr>
                <w:rFonts w:hAnsi="標楷體"/>
                <w:color w:val="000000" w:themeColor="text1"/>
                <w:sz w:val="16"/>
                <w:szCs w:val="16"/>
              </w:rPr>
              <w:t>,</w:t>
            </w:r>
            <w:r w:rsidRPr="00D41D30">
              <w:rPr>
                <w:rFonts w:hAnsi="標楷體" w:hint="eastAsia"/>
                <w:color w:val="000000" w:themeColor="text1"/>
                <w:sz w:val="16"/>
                <w:szCs w:val="16"/>
              </w:rPr>
              <w:t>214</w:t>
            </w:r>
          </w:p>
        </w:tc>
        <w:tc>
          <w:tcPr>
            <w:tcW w:w="758" w:type="dxa"/>
            <w:vAlign w:val="center"/>
          </w:tcPr>
          <w:p w:rsidR="00513DEE" w:rsidRPr="00D41D30" w:rsidRDefault="00513DEE" w:rsidP="00513DEE">
            <w:pPr>
              <w:spacing w:line="240" w:lineRule="exact"/>
              <w:jc w:val="center"/>
              <w:rPr>
                <w:rFonts w:hAnsi="標楷體"/>
                <w:color w:val="000000" w:themeColor="text1"/>
                <w:sz w:val="16"/>
                <w:szCs w:val="16"/>
              </w:rPr>
            </w:pPr>
            <w:r w:rsidRPr="00D41D30">
              <w:rPr>
                <w:rFonts w:hAnsi="標楷體" w:hint="eastAsia"/>
                <w:color w:val="000000" w:themeColor="text1"/>
                <w:sz w:val="16"/>
                <w:szCs w:val="16"/>
              </w:rPr>
              <w:t>12</w:t>
            </w:r>
            <w:r w:rsidRPr="00D41D30">
              <w:rPr>
                <w:rFonts w:hAnsi="標楷體"/>
                <w:color w:val="000000" w:themeColor="text1"/>
                <w:sz w:val="16"/>
                <w:szCs w:val="16"/>
              </w:rPr>
              <w:t>,</w:t>
            </w:r>
            <w:r w:rsidRPr="00D41D30">
              <w:rPr>
                <w:rFonts w:hAnsi="標楷體" w:hint="eastAsia"/>
                <w:color w:val="000000" w:themeColor="text1"/>
                <w:sz w:val="16"/>
                <w:szCs w:val="16"/>
              </w:rPr>
              <w:t>970</w:t>
            </w:r>
          </w:p>
        </w:tc>
        <w:tc>
          <w:tcPr>
            <w:tcW w:w="75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color w:val="000000" w:themeColor="text1"/>
                <w:sz w:val="16"/>
                <w:szCs w:val="16"/>
              </w:rPr>
            </w:pPr>
          </w:p>
        </w:tc>
      </w:tr>
      <w:tr w:rsidR="00513DEE" w:rsidRPr="00D41D30" w:rsidTr="008A0B3E">
        <w:trPr>
          <w:trHeight w:val="105"/>
        </w:trPr>
        <w:tc>
          <w:tcPr>
            <w:tcW w:w="658" w:type="dxa"/>
            <w:vAlign w:val="center"/>
          </w:tcPr>
          <w:p w:rsidR="00513DEE" w:rsidRPr="00D41D30" w:rsidRDefault="00513DEE" w:rsidP="00513DEE">
            <w:pPr>
              <w:spacing w:line="240" w:lineRule="exact"/>
              <w:jc w:val="center"/>
              <w:rPr>
                <w:rFonts w:hAnsi="標楷體"/>
                <w:b/>
                <w:color w:val="000000" w:themeColor="text1"/>
                <w:sz w:val="20"/>
              </w:rPr>
            </w:pPr>
            <w:r w:rsidRPr="00D41D30">
              <w:rPr>
                <w:rFonts w:hAnsi="標楷體" w:hint="eastAsia"/>
                <w:b/>
                <w:color w:val="000000" w:themeColor="text1"/>
                <w:sz w:val="20"/>
              </w:rPr>
              <w:t>合計</w:t>
            </w:r>
          </w:p>
        </w:tc>
        <w:tc>
          <w:tcPr>
            <w:tcW w:w="1029" w:type="dxa"/>
            <w:vAlign w:val="center"/>
          </w:tcPr>
          <w:p w:rsidR="00513DEE" w:rsidRPr="00D41D30" w:rsidRDefault="00513DEE" w:rsidP="00513DEE">
            <w:pPr>
              <w:spacing w:line="240" w:lineRule="exact"/>
              <w:jc w:val="center"/>
              <w:rPr>
                <w:rFonts w:hAnsi="標楷體"/>
                <w:b/>
                <w:color w:val="000000" w:themeColor="text1"/>
                <w:sz w:val="16"/>
                <w:szCs w:val="16"/>
              </w:rPr>
            </w:pPr>
            <w:r w:rsidRPr="00D41D30">
              <w:rPr>
                <w:rFonts w:hAnsi="標楷體" w:hint="eastAsia"/>
                <w:b/>
                <w:color w:val="000000" w:themeColor="text1"/>
                <w:sz w:val="16"/>
                <w:szCs w:val="16"/>
              </w:rPr>
              <w:t>1</w:t>
            </w:r>
            <w:r w:rsidRPr="00D41D30">
              <w:rPr>
                <w:rFonts w:hAnsi="標楷體"/>
                <w:b/>
                <w:color w:val="000000" w:themeColor="text1"/>
                <w:sz w:val="16"/>
                <w:szCs w:val="16"/>
              </w:rPr>
              <w:t>,131</w:t>
            </w:r>
            <w:r w:rsidRPr="00D41D30">
              <w:rPr>
                <w:rFonts w:hAnsi="標楷體" w:hint="eastAsia"/>
                <w:b/>
                <w:color w:val="000000" w:themeColor="text1"/>
                <w:sz w:val="16"/>
                <w:szCs w:val="16"/>
              </w:rPr>
              <w:t>,</w:t>
            </w:r>
            <w:r w:rsidRPr="00D41D30">
              <w:rPr>
                <w:rFonts w:hAnsi="標楷體"/>
                <w:b/>
                <w:color w:val="000000" w:themeColor="text1"/>
                <w:sz w:val="16"/>
                <w:szCs w:val="16"/>
              </w:rPr>
              <w:t>164</w:t>
            </w:r>
          </w:p>
        </w:tc>
        <w:tc>
          <w:tcPr>
            <w:tcW w:w="1029" w:type="dxa"/>
            <w:vAlign w:val="center"/>
          </w:tcPr>
          <w:p w:rsidR="00513DEE" w:rsidRPr="00D41D30" w:rsidRDefault="00513DEE" w:rsidP="00513DEE">
            <w:pPr>
              <w:spacing w:line="240" w:lineRule="exact"/>
              <w:jc w:val="center"/>
              <w:rPr>
                <w:rFonts w:hAnsi="標楷體"/>
                <w:b/>
                <w:color w:val="000000" w:themeColor="text1"/>
                <w:sz w:val="16"/>
                <w:szCs w:val="16"/>
              </w:rPr>
            </w:pPr>
          </w:p>
        </w:tc>
        <w:tc>
          <w:tcPr>
            <w:tcW w:w="84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b/>
                <w:color w:val="000000" w:themeColor="text1"/>
                <w:sz w:val="16"/>
                <w:szCs w:val="16"/>
              </w:rPr>
            </w:pPr>
          </w:p>
        </w:tc>
        <w:tc>
          <w:tcPr>
            <w:tcW w:w="848" w:type="dxa"/>
            <w:vAlign w:val="center"/>
          </w:tcPr>
          <w:p w:rsidR="00513DEE" w:rsidRPr="00D41D30" w:rsidRDefault="00513DEE" w:rsidP="00513DEE">
            <w:pPr>
              <w:spacing w:line="240" w:lineRule="exact"/>
              <w:jc w:val="center"/>
              <w:rPr>
                <w:rFonts w:hAnsi="標楷體"/>
                <w:b/>
                <w:color w:val="000000" w:themeColor="text1"/>
                <w:sz w:val="16"/>
                <w:szCs w:val="16"/>
              </w:rPr>
            </w:pPr>
            <w:r w:rsidRPr="00D41D30">
              <w:rPr>
                <w:rFonts w:hAnsi="標楷體" w:hint="eastAsia"/>
                <w:b/>
                <w:color w:val="000000" w:themeColor="text1"/>
                <w:sz w:val="16"/>
                <w:szCs w:val="16"/>
              </w:rPr>
              <w:t>24</w:t>
            </w:r>
            <w:r w:rsidRPr="00D41D30">
              <w:rPr>
                <w:rFonts w:hAnsi="標楷體"/>
                <w:b/>
                <w:color w:val="000000" w:themeColor="text1"/>
                <w:sz w:val="16"/>
                <w:szCs w:val="16"/>
              </w:rPr>
              <w:t>1,700</w:t>
            </w:r>
          </w:p>
        </w:tc>
        <w:tc>
          <w:tcPr>
            <w:tcW w:w="848" w:type="dxa"/>
            <w:tcBorders>
              <w:top w:val="single" w:sz="4" w:space="0" w:color="auto"/>
              <w:bottom w:val="single" w:sz="4" w:space="0" w:color="auto"/>
            </w:tcBorders>
            <w:vAlign w:val="center"/>
          </w:tcPr>
          <w:p w:rsidR="00513DEE" w:rsidRPr="00D41D30" w:rsidRDefault="00513DEE" w:rsidP="00513DEE">
            <w:pPr>
              <w:spacing w:line="240" w:lineRule="exact"/>
              <w:jc w:val="center"/>
              <w:rPr>
                <w:rFonts w:hAnsi="標楷體"/>
                <w:b/>
                <w:color w:val="000000" w:themeColor="text1"/>
                <w:sz w:val="16"/>
                <w:szCs w:val="16"/>
              </w:rPr>
            </w:pPr>
          </w:p>
        </w:tc>
        <w:tc>
          <w:tcPr>
            <w:tcW w:w="84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b/>
                <w:color w:val="000000" w:themeColor="text1"/>
                <w:sz w:val="16"/>
                <w:szCs w:val="16"/>
              </w:rPr>
            </w:pPr>
          </w:p>
        </w:tc>
        <w:tc>
          <w:tcPr>
            <w:tcW w:w="848" w:type="dxa"/>
            <w:vAlign w:val="center"/>
          </w:tcPr>
          <w:p w:rsidR="00513DEE" w:rsidRPr="00D41D30" w:rsidRDefault="00513DEE" w:rsidP="00513DEE">
            <w:pPr>
              <w:spacing w:line="240" w:lineRule="exact"/>
              <w:jc w:val="center"/>
              <w:rPr>
                <w:rFonts w:hAnsi="標楷體"/>
                <w:b/>
                <w:color w:val="000000" w:themeColor="text1"/>
                <w:sz w:val="16"/>
                <w:szCs w:val="16"/>
              </w:rPr>
            </w:pPr>
            <w:r w:rsidRPr="00D41D30">
              <w:rPr>
                <w:rFonts w:hAnsi="標楷體" w:hint="eastAsia"/>
                <w:b/>
                <w:color w:val="000000" w:themeColor="text1"/>
                <w:sz w:val="16"/>
                <w:szCs w:val="16"/>
              </w:rPr>
              <w:t>130</w:t>
            </w:r>
            <w:r w:rsidRPr="00D41D30">
              <w:rPr>
                <w:rFonts w:hAnsi="標楷體"/>
                <w:b/>
                <w:color w:val="000000" w:themeColor="text1"/>
                <w:sz w:val="16"/>
                <w:szCs w:val="16"/>
              </w:rPr>
              <w:t>,</w:t>
            </w:r>
            <w:r w:rsidRPr="00D41D30">
              <w:rPr>
                <w:rFonts w:hAnsi="標楷體" w:hint="eastAsia"/>
                <w:b/>
                <w:color w:val="000000" w:themeColor="text1"/>
                <w:sz w:val="16"/>
                <w:szCs w:val="16"/>
              </w:rPr>
              <w:t>663</w:t>
            </w:r>
          </w:p>
        </w:tc>
        <w:tc>
          <w:tcPr>
            <w:tcW w:w="758" w:type="dxa"/>
            <w:vAlign w:val="center"/>
          </w:tcPr>
          <w:p w:rsidR="00513DEE" w:rsidRPr="00D41D30" w:rsidRDefault="00513DEE" w:rsidP="00513DEE">
            <w:pPr>
              <w:spacing w:line="240" w:lineRule="exact"/>
              <w:jc w:val="center"/>
              <w:rPr>
                <w:rFonts w:hAnsi="標楷體"/>
                <w:b/>
                <w:color w:val="000000" w:themeColor="text1"/>
                <w:sz w:val="16"/>
                <w:szCs w:val="16"/>
              </w:rPr>
            </w:pPr>
          </w:p>
        </w:tc>
        <w:tc>
          <w:tcPr>
            <w:tcW w:w="75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rFonts w:hAnsi="標楷體"/>
                <w:b/>
                <w:color w:val="000000" w:themeColor="text1"/>
                <w:sz w:val="16"/>
                <w:szCs w:val="16"/>
              </w:rPr>
            </w:pPr>
          </w:p>
        </w:tc>
        <w:tc>
          <w:tcPr>
            <w:tcW w:w="848" w:type="dxa"/>
            <w:vAlign w:val="center"/>
          </w:tcPr>
          <w:p w:rsidR="00513DEE" w:rsidRPr="00D41D30" w:rsidRDefault="00513DEE" w:rsidP="00513DEE">
            <w:pPr>
              <w:spacing w:line="240" w:lineRule="exact"/>
              <w:jc w:val="center"/>
              <w:rPr>
                <w:rFonts w:hAnsi="標楷體"/>
                <w:b/>
                <w:color w:val="000000" w:themeColor="text1"/>
                <w:sz w:val="16"/>
                <w:szCs w:val="16"/>
              </w:rPr>
            </w:pPr>
            <w:r w:rsidRPr="00D41D30">
              <w:rPr>
                <w:rFonts w:hAnsi="標楷體" w:hint="eastAsia"/>
                <w:b/>
                <w:color w:val="000000" w:themeColor="text1"/>
                <w:sz w:val="16"/>
                <w:szCs w:val="16"/>
              </w:rPr>
              <w:t>242</w:t>
            </w:r>
            <w:r w:rsidRPr="00D41D30">
              <w:rPr>
                <w:rFonts w:hAnsi="標楷體"/>
                <w:b/>
                <w:color w:val="000000" w:themeColor="text1"/>
                <w:sz w:val="16"/>
                <w:szCs w:val="16"/>
              </w:rPr>
              <w:t>,</w:t>
            </w:r>
            <w:r w:rsidRPr="00D41D30">
              <w:rPr>
                <w:rFonts w:hAnsi="標楷體" w:hint="eastAsia"/>
                <w:b/>
                <w:color w:val="000000" w:themeColor="text1"/>
                <w:sz w:val="16"/>
                <w:szCs w:val="16"/>
              </w:rPr>
              <w:t>769</w:t>
            </w:r>
          </w:p>
        </w:tc>
        <w:tc>
          <w:tcPr>
            <w:tcW w:w="758" w:type="dxa"/>
            <w:vAlign w:val="center"/>
          </w:tcPr>
          <w:p w:rsidR="00513DEE" w:rsidRPr="00D41D30" w:rsidRDefault="00513DEE" w:rsidP="00513DEE">
            <w:pPr>
              <w:spacing w:line="240" w:lineRule="exact"/>
              <w:jc w:val="center"/>
              <w:rPr>
                <w:rFonts w:hAnsi="標楷體"/>
                <w:b/>
                <w:color w:val="000000" w:themeColor="text1"/>
                <w:sz w:val="16"/>
                <w:szCs w:val="16"/>
              </w:rPr>
            </w:pPr>
          </w:p>
        </w:tc>
        <w:tc>
          <w:tcPr>
            <w:tcW w:w="757" w:type="dxa"/>
            <w:tcBorders>
              <w:top w:val="single" w:sz="6" w:space="0" w:color="auto"/>
              <w:left w:val="single" w:sz="6" w:space="0" w:color="auto"/>
              <w:bottom w:val="single" w:sz="6" w:space="0" w:color="auto"/>
              <w:right w:val="single" w:sz="4" w:space="0" w:color="auto"/>
              <w:tr2bl w:val="single" w:sz="4" w:space="0" w:color="auto"/>
            </w:tcBorders>
          </w:tcPr>
          <w:p w:rsidR="00513DEE" w:rsidRPr="00D41D30" w:rsidRDefault="00513DEE" w:rsidP="00513DEE">
            <w:pPr>
              <w:spacing w:line="240" w:lineRule="exact"/>
              <w:jc w:val="center"/>
              <w:rPr>
                <w:b/>
                <w:color w:val="000000" w:themeColor="text1"/>
                <w:sz w:val="16"/>
                <w:szCs w:val="16"/>
              </w:rPr>
            </w:pPr>
          </w:p>
        </w:tc>
      </w:tr>
      <w:tr w:rsidR="008A0B3E" w:rsidRPr="00D41D30" w:rsidTr="0059353E">
        <w:trPr>
          <w:trHeight w:val="105"/>
        </w:trPr>
        <w:tc>
          <w:tcPr>
            <w:tcW w:w="10832" w:type="dxa"/>
            <w:gridSpan w:val="13"/>
            <w:tcBorders>
              <w:right w:val="single" w:sz="4" w:space="0" w:color="auto"/>
            </w:tcBorders>
            <w:vAlign w:val="center"/>
          </w:tcPr>
          <w:p w:rsidR="008A0B3E" w:rsidRPr="00D41D30" w:rsidRDefault="008A0B3E" w:rsidP="008A0B3E">
            <w:pPr>
              <w:spacing w:line="240" w:lineRule="exact"/>
              <w:rPr>
                <w:color w:val="000000" w:themeColor="text1"/>
                <w:sz w:val="16"/>
                <w:szCs w:val="16"/>
              </w:rPr>
            </w:pPr>
            <w:r w:rsidRPr="00D41D30">
              <w:rPr>
                <w:rFonts w:hAnsi="標楷體" w:hint="eastAsia"/>
                <w:color w:val="000000" w:themeColor="text1"/>
                <w:sz w:val="20"/>
              </w:rPr>
              <w:t>註:108年為執行數，尚未進行決算，無法計算執行率；另有關業務費係為業務費全部預算，除高齡自主學習社團及專業輔導團業務運用外，尚含其他各項工作。</w:t>
            </w:r>
          </w:p>
        </w:tc>
      </w:tr>
    </w:tbl>
    <w:p w:rsidR="001C3559" w:rsidRPr="00D41D30" w:rsidRDefault="00FA79AB" w:rsidP="00471512">
      <w:pPr>
        <w:pStyle w:val="a4"/>
        <w:ind w:left="697" w:hanging="697"/>
        <w:rPr>
          <w:color w:val="000000" w:themeColor="text1"/>
        </w:rPr>
      </w:pPr>
      <w:r w:rsidRPr="00D41D30">
        <w:rPr>
          <w:rFonts w:hint="eastAsia"/>
          <w:b/>
          <w:color w:val="000000" w:themeColor="text1"/>
        </w:rPr>
        <w:t>教育部</w:t>
      </w:r>
      <w:r w:rsidRPr="00D41D30">
        <w:rPr>
          <w:rFonts w:hAnsi="標楷體" w:hint="eastAsia"/>
          <w:b/>
          <w:color w:val="000000" w:themeColor="text1"/>
        </w:rPr>
        <w:t xml:space="preserve">推動樂齡教育相關經費編列及執行情形 </w:t>
      </w:r>
      <w:r w:rsidR="00BF03D2" w:rsidRPr="00D41D30">
        <w:rPr>
          <w:rFonts w:hAnsi="標楷體" w:hint="eastAsia"/>
          <w:b/>
          <w:color w:val="000000" w:themeColor="text1"/>
        </w:rPr>
        <w:t xml:space="preserve">　　　</w:t>
      </w:r>
      <w:r w:rsidRPr="00D41D30">
        <w:rPr>
          <w:rFonts w:hAnsi="標楷體" w:hint="eastAsia"/>
          <w:b/>
          <w:color w:val="000000" w:themeColor="text1"/>
        </w:rPr>
        <w:t>單位：千元</w:t>
      </w:r>
    </w:p>
    <w:p w:rsidR="001C3559" w:rsidRPr="00D41D30" w:rsidRDefault="001E2924" w:rsidP="001C3559">
      <w:pPr>
        <w:rPr>
          <w:color w:val="000000" w:themeColor="text1"/>
          <w:sz w:val="24"/>
          <w:szCs w:val="24"/>
        </w:rPr>
      </w:pPr>
      <w:r w:rsidRPr="00D41D30">
        <w:rPr>
          <w:rFonts w:hint="eastAsia"/>
          <w:color w:val="000000" w:themeColor="text1"/>
          <w:sz w:val="24"/>
          <w:szCs w:val="24"/>
        </w:rPr>
        <w:t>資料來源</w:t>
      </w:r>
      <w:r w:rsidR="007E69BA" w:rsidRPr="00D41D30">
        <w:rPr>
          <w:rFonts w:hint="eastAsia"/>
          <w:color w:val="000000" w:themeColor="text1"/>
          <w:sz w:val="24"/>
          <w:szCs w:val="24"/>
        </w:rPr>
        <w:t>：</w:t>
      </w:r>
      <w:r w:rsidR="00FA79AB" w:rsidRPr="00D41D30">
        <w:rPr>
          <w:rFonts w:hint="eastAsia"/>
          <w:color w:val="000000" w:themeColor="text1"/>
          <w:sz w:val="24"/>
          <w:szCs w:val="24"/>
        </w:rPr>
        <w:t>教育部調卷資料</w:t>
      </w:r>
      <w:r w:rsidR="00F2321E" w:rsidRPr="00D41D30">
        <w:rPr>
          <w:rFonts w:hint="eastAsia"/>
          <w:color w:val="000000" w:themeColor="text1"/>
          <w:sz w:val="24"/>
          <w:szCs w:val="24"/>
        </w:rPr>
        <w:t>及數據更新補充資料</w:t>
      </w:r>
    </w:p>
    <w:p w:rsidR="0074298E" w:rsidRPr="00D41D30" w:rsidRDefault="0074298E" w:rsidP="001C3559">
      <w:pPr>
        <w:rPr>
          <w:color w:val="000000" w:themeColor="text1"/>
          <w:sz w:val="24"/>
          <w:szCs w:val="24"/>
        </w:rPr>
      </w:pPr>
    </w:p>
    <w:p w:rsidR="0074298E" w:rsidRPr="00D41D30" w:rsidRDefault="0074298E" w:rsidP="001C3559">
      <w:pPr>
        <w:rPr>
          <w:color w:val="000000" w:themeColor="text1"/>
          <w:sz w:val="24"/>
          <w:szCs w:val="24"/>
        </w:rPr>
      </w:pPr>
    </w:p>
    <w:p w:rsidR="0074298E" w:rsidRPr="00D41D30" w:rsidRDefault="0074298E" w:rsidP="001C3559">
      <w:pPr>
        <w:rPr>
          <w:color w:val="000000" w:themeColor="text1"/>
          <w:sz w:val="24"/>
          <w:szCs w:val="24"/>
        </w:rPr>
      </w:pPr>
    </w:p>
    <w:p w:rsidR="0074298E" w:rsidRPr="00D41D30" w:rsidRDefault="0074298E" w:rsidP="001C3559">
      <w:pPr>
        <w:rPr>
          <w:color w:val="000000" w:themeColor="text1"/>
          <w:sz w:val="24"/>
          <w:szCs w:val="24"/>
        </w:rPr>
      </w:pPr>
    </w:p>
    <w:p w:rsidR="0074298E" w:rsidRPr="00D41D30" w:rsidRDefault="0074298E" w:rsidP="001C3559">
      <w:pPr>
        <w:rPr>
          <w:color w:val="000000" w:themeColor="text1"/>
          <w:sz w:val="24"/>
          <w:szCs w:val="24"/>
        </w:rPr>
      </w:pPr>
    </w:p>
    <w:p w:rsidR="0074298E" w:rsidRPr="00D41D30" w:rsidRDefault="0074298E" w:rsidP="001C3559">
      <w:pPr>
        <w:rPr>
          <w:color w:val="000000" w:themeColor="text1"/>
          <w:sz w:val="24"/>
          <w:szCs w:val="24"/>
        </w:rPr>
      </w:pPr>
    </w:p>
    <w:p w:rsidR="0074298E" w:rsidRPr="00D41D30" w:rsidRDefault="0074298E" w:rsidP="001C3559">
      <w:pPr>
        <w:rPr>
          <w:color w:val="000000" w:themeColor="text1"/>
          <w:sz w:val="24"/>
          <w:szCs w:val="24"/>
        </w:rPr>
      </w:pPr>
    </w:p>
    <w:p w:rsidR="00CF260E" w:rsidRPr="00D41D30" w:rsidRDefault="00BF680C" w:rsidP="005F09AD">
      <w:pPr>
        <w:pStyle w:val="a4"/>
        <w:ind w:leftChars="-163" w:left="143" w:hanging="697"/>
        <w:rPr>
          <w:color w:val="000000" w:themeColor="text1"/>
        </w:rPr>
      </w:pPr>
      <w:r w:rsidRPr="00D41D30">
        <w:rPr>
          <w:rFonts w:hAnsi="標楷體" w:hint="eastAsia"/>
          <w:b/>
          <w:color w:val="000000" w:themeColor="text1"/>
        </w:rPr>
        <w:lastRenderedPageBreak/>
        <w:t>樂齡中心、樂齡學習示範及優質中心、村里拓點、樂齡大學及自主學習團體之家數統計</w:t>
      </w:r>
      <w:r w:rsidR="005F09AD" w:rsidRPr="00D41D30">
        <w:rPr>
          <w:rFonts w:hAnsi="標楷體" w:hint="eastAsia"/>
          <w:b/>
          <w:color w:val="000000" w:themeColor="text1"/>
        </w:rPr>
        <w:t xml:space="preserve">      </w:t>
      </w:r>
      <w:r w:rsidR="00CF260E" w:rsidRPr="00D41D30">
        <w:rPr>
          <w:rFonts w:hAnsi="標楷體" w:hint="eastAsia"/>
          <w:b/>
          <w:color w:val="000000" w:themeColor="text1"/>
        </w:rPr>
        <w:t xml:space="preserve">　　　　</w:t>
      </w:r>
      <w:r w:rsidRPr="00D41D30">
        <w:rPr>
          <w:rFonts w:hAnsi="標楷體" w:hint="eastAsia"/>
          <w:b/>
          <w:color w:val="000000" w:themeColor="text1"/>
        </w:rPr>
        <w:t xml:space="preserve">　　　　　　　　　　　　</w:t>
      </w:r>
      <w:r w:rsidR="00CF260E" w:rsidRPr="00D41D30">
        <w:rPr>
          <w:rFonts w:hAnsi="標楷體" w:hint="eastAsia"/>
          <w:color w:val="000000" w:themeColor="text1"/>
        </w:rPr>
        <w:t>單位：千元</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517"/>
        <w:gridCol w:w="1642"/>
        <w:gridCol w:w="1559"/>
        <w:gridCol w:w="1559"/>
        <w:gridCol w:w="1559"/>
        <w:gridCol w:w="1560"/>
      </w:tblGrid>
      <w:tr w:rsidR="00337D3D" w:rsidRPr="00D41D30" w:rsidTr="005F09AD">
        <w:trPr>
          <w:trHeight w:val="435"/>
          <w:tblHeader/>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年度</w:t>
            </w:r>
          </w:p>
        </w:tc>
        <w:tc>
          <w:tcPr>
            <w:tcW w:w="1517" w:type="dxa"/>
            <w:vAlign w:val="center"/>
          </w:tcPr>
          <w:p w:rsidR="00337D3D" w:rsidRPr="00D41D30" w:rsidRDefault="00337D3D" w:rsidP="00337D3D">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w:t>
            </w:r>
            <w:r w:rsidRPr="00D41D30">
              <w:rPr>
                <w:rFonts w:ascii="Times New Roman" w:hint="eastAsia"/>
                <w:b/>
                <w:color w:val="000000" w:themeColor="text1"/>
                <w:sz w:val="26"/>
                <w:szCs w:val="26"/>
              </w:rPr>
              <w:t>學習</w:t>
            </w:r>
            <w:r w:rsidRPr="00D41D30">
              <w:rPr>
                <w:rFonts w:ascii="Times New Roman"/>
                <w:b/>
                <w:color w:val="000000" w:themeColor="text1"/>
                <w:sz w:val="26"/>
                <w:szCs w:val="26"/>
              </w:rPr>
              <w:t>中心</w:t>
            </w:r>
            <w:r w:rsidR="00B562C7" w:rsidRPr="00D41D30">
              <w:rPr>
                <w:rFonts w:ascii="Times New Roman" w:hint="eastAsia"/>
                <w:b/>
                <w:color w:val="000000" w:themeColor="text1"/>
                <w:sz w:val="26"/>
                <w:szCs w:val="26"/>
              </w:rPr>
              <w:t>（</w:t>
            </w:r>
            <w:r w:rsidRPr="00D41D30">
              <w:rPr>
                <w:rFonts w:ascii="Times New Roman" w:hint="eastAsia"/>
                <w:b/>
                <w:color w:val="000000" w:themeColor="text1"/>
                <w:sz w:val="26"/>
                <w:szCs w:val="26"/>
              </w:rPr>
              <w:t>每年累計</w:t>
            </w:r>
            <w:r w:rsidR="006B5136" w:rsidRPr="00D41D30">
              <w:rPr>
                <w:rFonts w:ascii="Times New Roman" w:hint="eastAsia"/>
                <w:b/>
                <w:color w:val="000000" w:themeColor="text1"/>
                <w:sz w:val="26"/>
                <w:szCs w:val="26"/>
              </w:rPr>
              <w:t>）</w:t>
            </w:r>
          </w:p>
        </w:tc>
        <w:tc>
          <w:tcPr>
            <w:tcW w:w="164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樂齡學習示範中心</w:t>
            </w:r>
            <w:r w:rsidR="00B562C7" w:rsidRPr="00D41D30">
              <w:rPr>
                <w:rFonts w:ascii="Times New Roman" w:hint="eastAsia"/>
                <w:b/>
                <w:color w:val="000000" w:themeColor="text1"/>
                <w:sz w:val="26"/>
                <w:szCs w:val="26"/>
              </w:rPr>
              <w:t>（</w:t>
            </w:r>
            <w:r w:rsidRPr="00D41D30">
              <w:rPr>
                <w:rFonts w:ascii="Times New Roman" w:hint="eastAsia"/>
                <w:b/>
                <w:color w:val="000000" w:themeColor="text1"/>
                <w:sz w:val="26"/>
                <w:szCs w:val="26"/>
              </w:rPr>
              <w:t>每年累計</w:t>
            </w:r>
            <w:r w:rsidR="006B5136" w:rsidRPr="00D41D30">
              <w:rPr>
                <w:rFonts w:ascii="Times New Roman" w:hint="eastAsia"/>
                <w:b/>
                <w:color w:val="000000" w:themeColor="text1"/>
                <w:sz w:val="26"/>
                <w:szCs w:val="26"/>
              </w:rPr>
              <w:t>）</w:t>
            </w:r>
          </w:p>
        </w:tc>
        <w:tc>
          <w:tcPr>
            <w:tcW w:w="1559"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樂齡學習優質中心</w:t>
            </w:r>
            <w:r w:rsidR="00B562C7" w:rsidRPr="00D41D30">
              <w:rPr>
                <w:rFonts w:ascii="Times New Roman" w:hint="eastAsia"/>
                <w:b/>
                <w:color w:val="000000" w:themeColor="text1"/>
                <w:sz w:val="26"/>
                <w:szCs w:val="26"/>
              </w:rPr>
              <w:t>（</w:t>
            </w:r>
            <w:r w:rsidRPr="00D41D30">
              <w:rPr>
                <w:rFonts w:ascii="Times New Roman" w:hint="eastAsia"/>
                <w:b/>
                <w:color w:val="000000" w:themeColor="text1"/>
                <w:sz w:val="26"/>
                <w:szCs w:val="26"/>
              </w:rPr>
              <w:t>每年累計</w:t>
            </w:r>
            <w:r w:rsidR="006B5136" w:rsidRPr="00D41D30">
              <w:rPr>
                <w:rFonts w:ascii="Times New Roman" w:hint="eastAsia"/>
                <w:b/>
                <w:color w:val="000000" w:themeColor="text1"/>
                <w:sz w:val="26"/>
                <w:szCs w:val="26"/>
              </w:rPr>
              <w:t>）</w:t>
            </w:r>
          </w:p>
        </w:tc>
        <w:tc>
          <w:tcPr>
            <w:tcW w:w="1559" w:type="dxa"/>
            <w:tcBorders>
              <w:bottom w:val="single" w:sz="4" w:space="0" w:color="auto"/>
            </w:tcBorders>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村里拓點</w:t>
            </w:r>
          </w:p>
          <w:p w:rsidR="00337D3D" w:rsidRPr="00D41D30" w:rsidRDefault="00B562C7" w:rsidP="00E10DF9">
            <w:pPr>
              <w:spacing w:line="400" w:lineRule="exact"/>
              <w:jc w:val="center"/>
              <w:rPr>
                <w:rFonts w:ascii="Times New Roman"/>
                <w:b/>
                <w:color w:val="000000" w:themeColor="text1"/>
                <w:sz w:val="26"/>
                <w:szCs w:val="26"/>
              </w:rPr>
            </w:pPr>
            <w:r w:rsidRPr="00D41D30">
              <w:rPr>
                <w:rFonts w:ascii="Times New Roman" w:hint="eastAsia"/>
                <w:b/>
                <w:color w:val="000000" w:themeColor="text1"/>
                <w:sz w:val="26"/>
                <w:szCs w:val="26"/>
              </w:rPr>
              <w:t>（</w:t>
            </w:r>
            <w:r w:rsidR="00337D3D" w:rsidRPr="00D41D30">
              <w:rPr>
                <w:rFonts w:ascii="Times New Roman" w:hint="eastAsia"/>
                <w:b/>
                <w:color w:val="000000" w:themeColor="text1"/>
                <w:sz w:val="26"/>
                <w:szCs w:val="26"/>
              </w:rPr>
              <w:t>每年累計</w:t>
            </w:r>
            <w:r w:rsidR="006B5136" w:rsidRPr="00D41D30">
              <w:rPr>
                <w:rFonts w:ascii="Times New Roman" w:hint="eastAsia"/>
                <w:b/>
                <w:color w:val="000000" w:themeColor="text1"/>
                <w:sz w:val="26"/>
                <w:szCs w:val="26"/>
              </w:rPr>
              <w:t>）</w:t>
            </w:r>
          </w:p>
        </w:tc>
        <w:tc>
          <w:tcPr>
            <w:tcW w:w="1559" w:type="dxa"/>
            <w:tcBorders>
              <w:bottom w:val="single" w:sz="4" w:space="0" w:color="auto"/>
            </w:tcBorders>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樂齡大學</w:t>
            </w:r>
          </w:p>
          <w:p w:rsidR="00337D3D" w:rsidRPr="00D41D30" w:rsidRDefault="00B562C7" w:rsidP="00E10DF9">
            <w:pPr>
              <w:spacing w:line="400" w:lineRule="exact"/>
              <w:jc w:val="center"/>
              <w:rPr>
                <w:rFonts w:ascii="Times New Roman"/>
                <w:b/>
                <w:color w:val="000000" w:themeColor="text1"/>
                <w:sz w:val="26"/>
                <w:szCs w:val="26"/>
              </w:rPr>
            </w:pPr>
            <w:r w:rsidRPr="00D41D30">
              <w:rPr>
                <w:rFonts w:ascii="Times New Roman" w:hint="eastAsia"/>
                <w:b/>
                <w:color w:val="000000" w:themeColor="text1"/>
                <w:sz w:val="26"/>
                <w:szCs w:val="26"/>
              </w:rPr>
              <w:t>（</w:t>
            </w:r>
            <w:r w:rsidR="00337D3D" w:rsidRPr="00D41D30">
              <w:rPr>
                <w:rFonts w:ascii="Times New Roman" w:hint="eastAsia"/>
                <w:b/>
                <w:color w:val="000000" w:themeColor="text1"/>
                <w:sz w:val="26"/>
                <w:szCs w:val="26"/>
              </w:rPr>
              <w:t>每年累計</w:t>
            </w:r>
            <w:r w:rsidR="006B5136" w:rsidRPr="00D41D30">
              <w:rPr>
                <w:rFonts w:ascii="Times New Roman" w:hint="eastAsia"/>
                <w:b/>
                <w:color w:val="000000" w:themeColor="text1"/>
                <w:sz w:val="26"/>
                <w:szCs w:val="26"/>
              </w:rPr>
              <w:t>）</w:t>
            </w:r>
          </w:p>
        </w:tc>
        <w:tc>
          <w:tcPr>
            <w:tcW w:w="1560" w:type="dxa"/>
            <w:tcBorders>
              <w:bottom w:val="single" w:sz="4" w:space="0" w:color="auto"/>
            </w:tcBorders>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高齡自主學習社團</w:t>
            </w:r>
          </w:p>
          <w:p w:rsidR="00337D3D" w:rsidRPr="00D41D30" w:rsidRDefault="00B562C7" w:rsidP="00E10DF9">
            <w:pPr>
              <w:spacing w:line="400" w:lineRule="exact"/>
              <w:jc w:val="center"/>
              <w:rPr>
                <w:rFonts w:ascii="Times New Roman"/>
                <w:b/>
                <w:color w:val="000000" w:themeColor="text1"/>
                <w:sz w:val="26"/>
                <w:szCs w:val="26"/>
              </w:rPr>
            </w:pPr>
            <w:r w:rsidRPr="00D41D30">
              <w:rPr>
                <w:rFonts w:ascii="Times New Roman" w:hint="eastAsia"/>
                <w:b/>
                <w:color w:val="000000" w:themeColor="text1"/>
                <w:sz w:val="26"/>
                <w:szCs w:val="26"/>
              </w:rPr>
              <w:t>（</w:t>
            </w:r>
            <w:r w:rsidR="00337D3D" w:rsidRPr="00D41D30">
              <w:rPr>
                <w:rFonts w:ascii="Times New Roman" w:hint="eastAsia"/>
                <w:b/>
                <w:color w:val="000000" w:themeColor="text1"/>
                <w:sz w:val="26"/>
                <w:szCs w:val="26"/>
              </w:rPr>
              <w:t>每年累計</w:t>
            </w:r>
            <w:r w:rsidR="006B5136" w:rsidRPr="00D41D30">
              <w:rPr>
                <w:rFonts w:ascii="Times New Roman" w:hint="eastAsia"/>
                <w:b/>
                <w:color w:val="000000" w:themeColor="text1"/>
                <w:sz w:val="26"/>
                <w:szCs w:val="26"/>
              </w:rPr>
              <w:t>）</w:t>
            </w:r>
          </w:p>
        </w:tc>
      </w:tr>
      <w:tr w:rsidR="00337D3D" w:rsidRPr="00D41D30" w:rsidTr="00F238E0">
        <w:trPr>
          <w:trHeight w:val="18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97</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104</w:t>
            </w:r>
          </w:p>
        </w:tc>
        <w:tc>
          <w:tcPr>
            <w:tcW w:w="1642" w:type="dxa"/>
            <w:vMerge w:val="restart"/>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val="restart"/>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val="restart"/>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val="restart"/>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60" w:type="dxa"/>
            <w:vMerge w:val="restart"/>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F238E0">
        <w:trPr>
          <w:trHeight w:val="18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98</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202</w:t>
            </w:r>
          </w:p>
        </w:tc>
        <w:tc>
          <w:tcPr>
            <w:tcW w:w="1642"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bottom w:val="single" w:sz="4" w:space="0" w:color="auto"/>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60"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F238E0">
        <w:trPr>
          <w:trHeight w:val="18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99</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202</w:t>
            </w:r>
          </w:p>
        </w:tc>
        <w:tc>
          <w:tcPr>
            <w:tcW w:w="1642"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tcBorders>
              <w:top w:val="single" w:sz="4" w:space="0" w:color="auto"/>
              <w:bottom w:val="single" w:sz="4" w:space="0" w:color="auto"/>
              <w:tr2bl w:val="nil"/>
            </w:tcBorders>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56</w:t>
            </w:r>
          </w:p>
        </w:tc>
        <w:tc>
          <w:tcPr>
            <w:tcW w:w="1560"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5F09AD">
        <w:trPr>
          <w:trHeight w:val="18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100</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209</w:t>
            </w:r>
          </w:p>
        </w:tc>
        <w:tc>
          <w:tcPr>
            <w:tcW w:w="1642" w:type="dxa"/>
            <w:vMerge/>
            <w:tcBorders>
              <w:bottom w:val="single" w:sz="4" w:space="0" w:color="auto"/>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tcBorders>
              <w:top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84</w:t>
            </w:r>
          </w:p>
        </w:tc>
        <w:tc>
          <w:tcPr>
            <w:tcW w:w="1560"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5F09AD">
        <w:trPr>
          <w:trHeight w:val="18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101</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225</w:t>
            </w:r>
          </w:p>
        </w:tc>
        <w:tc>
          <w:tcPr>
            <w:tcW w:w="1642"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7</w:t>
            </w: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97</w:t>
            </w:r>
          </w:p>
        </w:tc>
        <w:tc>
          <w:tcPr>
            <w:tcW w:w="1560"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5F09AD">
        <w:trPr>
          <w:trHeight w:val="18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102</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271</w:t>
            </w:r>
          </w:p>
        </w:tc>
        <w:tc>
          <w:tcPr>
            <w:tcW w:w="1642"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7</w:t>
            </w: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年底實施</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98</w:t>
            </w:r>
          </w:p>
        </w:tc>
        <w:tc>
          <w:tcPr>
            <w:tcW w:w="1560"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5F09AD">
        <w:trPr>
          <w:trHeight w:val="18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103</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306</w:t>
            </w:r>
          </w:p>
        </w:tc>
        <w:tc>
          <w:tcPr>
            <w:tcW w:w="1642"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9</w:t>
            </w: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769</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100</w:t>
            </w:r>
          </w:p>
        </w:tc>
        <w:tc>
          <w:tcPr>
            <w:tcW w:w="1560"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5F09AD">
        <w:trPr>
          <w:trHeight w:val="24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104</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313</w:t>
            </w:r>
          </w:p>
        </w:tc>
        <w:tc>
          <w:tcPr>
            <w:tcW w:w="1642"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11</w:t>
            </w:r>
          </w:p>
        </w:tc>
        <w:tc>
          <w:tcPr>
            <w:tcW w:w="1559"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1,766</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103</w:t>
            </w:r>
          </w:p>
        </w:tc>
        <w:tc>
          <w:tcPr>
            <w:tcW w:w="1560" w:type="dxa"/>
            <w:vMerge/>
            <w:tcBorders>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r>
      <w:tr w:rsidR="00337D3D" w:rsidRPr="00D41D30" w:rsidTr="005F09AD">
        <w:trPr>
          <w:trHeight w:val="24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105</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339</w:t>
            </w:r>
          </w:p>
        </w:tc>
        <w:tc>
          <w:tcPr>
            <w:tcW w:w="1642"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12</w:t>
            </w:r>
          </w:p>
        </w:tc>
        <w:tc>
          <w:tcPr>
            <w:tcW w:w="1559" w:type="dxa"/>
            <w:vMerge/>
            <w:tcBorders>
              <w:bottom w:val="single" w:sz="4" w:space="0" w:color="auto"/>
              <w:tr2bl w:val="single" w:sz="4" w:space="0" w:color="auto"/>
            </w:tcBorders>
          </w:tcPr>
          <w:p w:rsidR="00337D3D" w:rsidRPr="00D41D30" w:rsidRDefault="00337D3D" w:rsidP="00E10DF9">
            <w:pPr>
              <w:spacing w:line="400" w:lineRule="exact"/>
              <w:jc w:val="center"/>
              <w:rPr>
                <w:rFonts w:ascii="Times New Roman"/>
                <w:color w:val="000000" w:themeColor="text1"/>
                <w:sz w:val="26"/>
                <w:szCs w:val="26"/>
              </w:rPr>
            </w:pPr>
          </w:p>
        </w:tc>
        <w:tc>
          <w:tcPr>
            <w:tcW w:w="1559"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2,494</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107</w:t>
            </w:r>
          </w:p>
        </w:tc>
        <w:tc>
          <w:tcPr>
            <w:tcW w:w="1560"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80</w:t>
            </w:r>
          </w:p>
        </w:tc>
      </w:tr>
      <w:tr w:rsidR="00337D3D" w:rsidRPr="00D41D30" w:rsidTr="005F09AD">
        <w:trPr>
          <w:trHeight w:val="24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106</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362</w:t>
            </w:r>
          </w:p>
        </w:tc>
        <w:tc>
          <w:tcPr>
            <w:tcW w:w="1642"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12</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w:t>
            </w:r>
          </w:p>
        </w:tc>
        <w:tc>
          <w:tcPr>
            <w:tcW w:w="1559"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2,847</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106</w:t>
            </w:r>
          </w:p>
        </w:tc>
        <w:tc>
          <w:tcPr>
            <w:tcW w:w="1560"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137</w:t>
            </w:r>
          </w:p>
        </w:tc>
      </w:tr>
      <w:tr w:rsidR="00337D3D" w:rsidRPr="00D41D30" w:rsidTr="005F09AD">
        <w:trPr>
          <w:trHeight w:val="247"/>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107</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368</w:t>
            </w:r>
          </w:p>
        </w:tc>
        <w:tc>
          <w:tcPr>
            <w:tcW w:w="1642"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11</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11</w:t>
            </w:r>
          </w:p>
        </w:tc>
        <w:tc>
          <w:tcPr>
            <w:tcW w:w="1559"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2,857</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107</w:t>
            </w:r>
          </w:p>
        </w:tc>
        <w:tc>
          <w:tcPr>
            <w:tcW w:w="1560"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131</w:t>
            </w:r>
          </w:p>
        </w:tc>
      </w:tr>
      <w:tr w:rsidR="00337D3D" w:rsidRPr="00D41D30" w:rsidTr="00F238E0">
        <w:trPr>
          <w:trHeight w:val="105"/>
        </w:trPr>
        <w:tc>
          <w:tcPr>
            <w:tcW w:w="782" w:type="dxa"/>
            <w:vAlign w:val="center"/>
          </w:tcPr>
          <w:p w:rsidR="00337D3D" w:rsidRPr="00D41D30" w:rsidRDefault="00337D3D" w:rsidP="00E10DF9">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108~</w:t>
            </w:r>
          </w:p>
        </w:tc>
        <w:tc>
          <w:tcPr>
            <w:tcW w:w="1517"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366</w:t>
            </w:r>
          </w:p>
        </w:tc>
        <w:tc>
          <w:tcPr>
            <w:tcW w:w="1642"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13</w:t>
            </w:r>
          </w:p>
        </w:tc>
        <w:tc>
          <w:tcPr>
            <w:tcW w:w="1559" w:type="dxa"/>
            <w:shd w:val="clear" w:color="auto" w:fill="auto"/>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3,006</w:t>
            </w:r>
          </w:p>
        </w:tc>
        <w:tc>
          <w:tcPr>
            <w:tcW w:w="1559"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color w:val="000000" w:themeColor="text1"/>
                <w:sz w:val="26"/>
                <w:szCs w:val="26"/>
              </w:rPr>
              <w:t>102</w:t>
            </w:r>
          </w:p>
        </w:tc>
        <w:tc>
          <w:tcPr>
            <w:tcW w:w="1560" w:type="dxa"/>
          </w:tcPr>
          <w:p w:rsidR="00337D3D" w:rsidRPr="00D41D30" w:rsidRDefault="00337D3D" w:rsidP="00E10DF9">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121</w:t>
            </w:r>
          </w:p>
        </w:tc>
      </w:tr>
    </w:tbl>
    <w:p w:rsidR="004D54A1" w:rsidRPr="00D41D30" w:rsidRDefault="004D54A1" w:rsidP="004D54A1">
      <w:pPr>
        <w:rPr>
          <w:color w:val="000000" w:themeColor="text1"/>
          <w:sz w:val="24"/>
          <w:szCs w:val="24"/>
        </w:rPr>
      </w:pPr>
      <w:r w:rsidRPr="00D41D30">
        <w:rPr>
          <w:rFonts w:hint="eastAsia"/>
          <w:color w:val="000000" w:themeColor="text1"/>
          <w:sz w:val="24"/>
          <w:szCs w:val="24"/>
        </w:rPr>
        <w:t>資料來源：教育部調卷資料</w:t>
      </w:r>
    </w:p>
    <w:p w:rsidR="009316B8" w:rsidRPr="00D41D30" w:rsidRDefault="009316B8" w:rsidP="004D54A1">
      <w:pPr>
        <w:rPr>
          <w:color w:val="000000" w:themeColor="text1"/>
          <w:sz w:val="24"/>
          <w:szCs w:val="24"/>
        </w:rPr>
      </w:pPr>
    </w:p>
    <w:p w:rsidR="00614A2A" w:rsidRPr="00D41D30" w:rsidRDefault="00614A2A" w:rsidP="00471512">
      <w:pPr>
        <w:pStyle w:val="a4"/>
        <w:ind w:left="697" w:hanging="697"/>
        <w:rPr>
          <w:color w:val="000000" w:themeColor="text1"/>
          <w:szCs w:val="20"/>
        </w:rPr>
      </w:pPr>
      <w:r w:rsidRPr="00D41D30">
        <w:rPr>
          <w:rFonts w:hint="eastAsia"/>
          <w:b/>
          <w:color w:val="000000" w:themeColor="text1"/>
        </w:rPr>
        <w:t>97年度</w:t>
      </w:r>
      <w:r w:rsidRPr="00D41D30">
        <w:rPr>
          <w:rFonts w:hAnsi="標楷體" w:hint="eastAsia"/>
          <w:b/>
          <w:color w:val="000000" w:themeColor="text1"/>
        </w:rPr>
        <w:t>迄今</w:t>
      </w:r>
      <w:r w:rsidRPr="00D41D30">
        <w:rPr>
          <w:rFonts w:hint="eastAsia"/>
          <w:b/>
          <w:color w:val="000000" w:themeColor="text1"/>
        </w:rPr>
        <w:t>各年度樂齡大學相關資料統計</w:t>
      </w:r>
      <w:r w:rsidR="00B562C7" w:rsidRPr="00D41D30">
        <w:rPr>
          <w:rFonts w:hint="eastAsia"/>
          <w:b/>
          <w:color w:val="000000" w:themeColor="text1"/>
        </w:rPr>
        <w:t>（</w:t>
      </w:r>
      <w:r w:rsidRPr="00D41D30">
        <w:rPr>
          <w:rFonts w:hint="eastAsia"/>
          <w:b/>
          <w:color w:val="000000" w:themeColor="text1"/>
        </w:rPr>
        <w:t>本表資料配合大學校院以學年度方式呈現</w:t>
      </w:r>
      <w:r w:rsidR="006B5136" w:rsidRPr="00D41D30">
        <w:rPr>
          <w:rFonts w:hint="eastAsia"/>
          <w:b/>
          <w:color w:val="000000" w:themeColor="text1"/>
        </w:rPr>
        <w:t>）</w:t>
      </w:r>
      <w:r w:rsidR="00D74056" w:rsidRPr="00D41D30">
        <w:rPr>
          <w:rFonts w:hint="eastAsia"/>
          <w:b/>
          <w:color w:val="000000" w:themeColor="text1"/>
        </w:rPr>
        <w:t xml:space="preserve">　</w:t>
      </w:r>
      <w:r w:rsidR="004860E9" w:rsidRPr="00D41D30">
        <w:rPr>
          <w:rFonts w:hint="eastAsia"/>
          <w:b/>
          <w:color w:val="000000" w:themeColor="text1"/>
        </w:rPr>
        <w:t xml:space="preserve">　　　　　　　　　　　　</w:t>
      </w:r>
      <w:r w:rsidRPr="00D41D30">
        <w:rPr>
          <w:rFonts w:hint="eastAsia"/>
          <w:color w:val="000000" w:themeColor="text1"/>
          <w:szCs w:val="20"/>
        </w:rPr>
        <w:t>單位：千元</w:t>
      </w:r>
    </w:p>
    <w:tbl>
      <w:tblPr>
        <w:tblW w:w="5696" w:type="pct"/>
        <w:jc w:val="center"/>
        <w:tblLayout w:type="fixed"/>
        <w:tblCellMar>
          <w:left w:w="28" w:type="dxa"/>
          <w:right w:w="28" w:type="dxa"/>
        </w:tblCellMar>
        <w:tblLook w:val="04A0" w:firstRow="1" w:lastRow="0" w:firstColumn="1" w:lastColumn="0" w:noHBand="0" w:noVBand="1"/>
      </w:tblPr>
      <w:tblGrid>
        <w:gridCol w:w="829"/>
        <w:gridCol w:w="1712"/>
        <w:gridCol w:w="735"/>
        <w:gridCol w:w="735"/>
        <w:gridCol w:w="735"/>
        <w:gridCol w:w="735"/>
        <w:gridCol w:w="735"/>
        <w:gridCol w:w="735"/>
        <w:gridCol w:w="735"/>
        <w:gridCol w:w="735"/>
        <w:gridCol w:w="735"/>
        <w:gridCol w:w="725"/>
      </w:tblGrid>
      <w:tr w:rsidR="00305588" w:rsidRPr="00D41D30" w:rsidTr="00175231">
        <w:trPr>
          <w:trHeight w:val="391"/>
          <w:tblHeader/>
          <w:jc w:val="center"/>
        </w:trPr>
        <w:tc>
          <w:tcPr>
            <w:tcW w:w="1285" w:type="pct"/>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年度</w:t>
            </w:r>
          </w:p>
        </w:tc>
        <w:tc>
          <w:tcPr>
            <w:tcW w:w="372" w:type="pct"/>
            <w:tcBorders>
              <w:top w:val="single" w:sz="6" w:space="0" w:color="auto"/>
              <w:left w:val="single" w:sz="6" w:space="0" w:color="auto"/>
              <w:bottom w:val="single" w:sz="4"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99</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100</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101</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102</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103</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104</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105</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106</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107</w:t>
            </w:r>
          </w:p>
        </w:tc>
        <w:tc>
          <w:tcPr>
            <w:tcW w:w="368"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E10DF9">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108</w:t>
            </w:r>
          </w:p>
        </w:tc>
      </w:tr>
      <w:tr w:rsidR="00305588" w:rsidRPr="00D41D30" w:rsidTr="00175231">
        <w:trPr>
          <w:trHeight w:val="450"/>
          <w:jc w:val="center"/>
        </w:trPr>
        <w:tc>
          <w:tcPr>
            <w:tcW w:w="419" w:type="pct"/>
            <w:vMerge w:val="restart"/>
            <w:tcBorders>
              <w:top w:val="single" w:sz="6" w:space="0" w:color="auto"/>
              <w:left w:val="single" w:sz="6" w:space="0" w:color="auto"/>
              <w:right w:val="single" w:sz="6" w:space="0" w:color="auto"/>
            </w:tcBorders>
            <w:shd w:val="clear" w:color="auto" w:fill="auto"/>
            <w:noWrap/>
            <w:vAlign w:val="center"/>
          </w:tcPr>
          <w:p w:rsidR="00305588" w:rsidRPr="00D41D30" w:rsidRDefault="00305588"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學校</w:t>
            </w:r>
          </w:p>
          <w:p w:rsidR="00305588" w:rsidRPr="00D41D30" w:rsidRDefault="00305588"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性質</w:t>
            </w:r>
          </w:p>
        </w:tc>
        <w:tc>
          <w:tcPr>
            <w:tcW w:w="866" w:type="pct"/>
            <w:tcBorders>
              <w:top w:val="single" w:sz="6" w:space="0" w:color="auto"/>
              <w:left w:val="single" w:sz="6" w:space="0" w:color="auto"/>
              <w:bottom w:val="single" w:sz="6" w:space="0" w:color="auto"/>
              <w:right w:val="single" w:sz="6" w:space="0" w:color="auto"/>
            </w:tcBorders>
            <w:shd w:val="clear" w:color="auto" w:fill="auto"/>
            <w:vAlign w:val="center"/>
          </w:tcPr>
          <w:p w:rsidR="00305588" w:rsidRPr="00D41D30" w:rsidRDefault="00305588"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技專院校</w:t>
            </w:r>
          </w:p>
        </w:tc>
        <w:tc>
          <w:tcPr>
            <w:tcW w:w="372" w:type="pct"/>
            <w:tcBorders>
              <w:top w:val="single" w:sz="4" w:space="0" w:color="auto"/>
              <w:left w:val="single" w:sz="4" w:space="0" w:color="auto"/>
              <w:bottom w:val="single" w:sz="4" w:space="0" w:color="auto"/>
              <w:right w:val="single" w:sz="4"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32</w:t>
            </w:r>
          </w:p>
        </w:tc>
        <w:tc>
          <w:tcPr>
            <w:tcW w:w="372" w:type="pct"/>
            <w:tcBorders>
              <w:top w:val="single" w:sz="6" w:space="0" w:color="auto"/>
              <w:left w:val="single" w:sz="4"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50</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57</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56</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55</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58</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60</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58</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58</w:t>
            </w:r>
          </w:p>
        </w:tc>
        <w:tc>
          <w:tcPr>
            <w:tcW w:w="368"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56</w:t>
            </w:r>
          </w:p>
        </w:tc>
      </w:tr>
      <w:tr w:rsidR="00305588" w:rsidRPr="00D41D30" w:rsidTr="00175231">
        <w:trPr>
          <w:trHeight w:val="450"/>
          <w:jc w:val="center"/>
        </w:trPr>
        <w:tc>
          <w:tcPr>
            <w:tcW w:w="419" w:type="pct"/>
            <w:vMerge/>
            <w:tcBorders>
              <w:left w:val="single" w:sz="6" w:space="0" w:color="auto"/>
              <w:right w:val="single" w:sz="6" w:space="0" w:color="auto"/>
            </w:tcBorders>
            <w:shd w:val="clear" w:color="auto" w:fill="auto"/>
            <w:noWrap/>
            <w:vAlign w:val="center"/>
          </w:tcPr>
          <w:p w:rsidR="00305588" w:rsidRPr="00D41D30" w:rsidRDefault="00305588" w:rsidP="00E10DF9">
            <w:pPr>
              <w:spacing w:line="400" w:lineRule="exact"/>
              <w:rPr>
                <w:rFonts w:hAnsi="標楷體"/>
                <w:b/>
                <w:color w:val="000000" w:themeColor="text1"/>
                <w:sz w:val="24"/>
                <w:szCs w:val="24"/>
              </w:rPr>
            </w:pPr>
          </w:p>
        </w:tc>
        <w:tc>
          <w:tcPr>
            <w:tcW w:w="866" w:type="pct"/>
            <w:tcBorders>
              <w:top w:val="single" w:sz="6" w:space="0" w:color="auto"/>
              <w:left w:val="single" w:sz="6" w:space="0" w:color="auto"/>
              <w:bottom w:val="single" w:sz="6" w:space="0" w:color="auto"/>
              <w:right w:val="single" w:sz="6" w:space="0" w:color="auto"/>
            </w:tcBorders>
            <w:shd w:val="clear" w:color="auto" w:fill="auto"/>
            <w:vAlign w:val="center"/>
          </w:tcPr>
          <w:p w:rsidR="00305588" w:rsidRPr="00D41D30" w:rsidRDefault="00305588"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一般大學</w:t>
            </w:r>
          </w:p>
        </w:tc>
        <w:tc>
          <w:tcPr>
            <w:tcW w:w="372" w:type="pct"/>
            <w:tcBorders>
              <w:top w:val="single" w:sz="4" w:space="0" w:color="auto"/>
              <w:left w:val="single" w:sz="4" w:space="0" w:color="auto"/>
              <w:bottom w:val="single" w:sz="4" w:space="0" w:color="auto"/>
              <w:right w:val="single" w:sz="4"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24</w:t>
            </w:r>
          </w:p>
        </w:tc>
        <w:tc>
          <w:tcPr>
            <w:tcW w:w="372" w:type="pct"/>
            <w:tcBorders>
              <w:top w:val="single" w:sz="6" w:space="0" w:color="auto"/>
              <w:left w:val="single" w:sz="4"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34</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40</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42</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45</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45</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47</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48</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49</w:t>
            </w:r>
          </w:p>
        </w:tc>
        <w:tc>
          <w:tcPr>
            <w:tcW w:w="368"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46</w:t>
            </w:r>
          </w:p>
        </w:tc>
      </w:tr>
      <w:tr w:rsidR="005F09AD" w:rsidRPr="00D41D30" w:rsidTr="00175231">
        <w:trPr>
          <w:trHeight w:val="450"/>
          <w:jc w:val="center"/>
        </w:trPr>
        <w:tc>
          <w:tcPr>
            <w:tcW w:w="419" w:type="pct"/>
            <w:vMerge w:val="restart"/>
            <w:tcBorders>
              <w:top w:val="single" w:sz="6" w:space="0" w:color="auto"/>
              <w:left w:val="single" w:sz="6" w:space="0" w:color="auto"/>
              <w:right w:val="single" w:sz="6" w:space="0" w:color="auto"/>
            </w:tcBorders>
            <w:shd w:val="clear" w:color="auto" w:fill="auto"/>
            <w:noWrap/>
            <w:vAlign w:val="center"/>
          </w:tcPr>
          <w:p w:rsidR="005F09AD" w:rsidRPr="00D41D30" w:rsidRDefault="005F09AD"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地區</w:t>
            </w:r>
          </w:p>
        </w:tc>
        <w:tc>
          <w:tcPr>
            <w:tcW w:w="866" w:type="pct"/>
            <w:tcBorders>
              <w:top w:val="single" w:sz="6" w:space="0" w:color="auto"/>
              <w:left w:val="single" w:sz="6" w:space="0" w:color="auto"/>
              <w:bottom w:val="single" w:sz="6" w:space="0" w:color="auto"/>
              <w:right w:val="single" w:sz="6" w:space="0" w:color="auto"/>
            </w:tcBorders>
            <w:shd w:val="clear" w:color="auto" w:fill="auto"/>
            <w:vAlign w:val="center"/>
          </w:tcPr>
          <w:p w:rsidR="005F09AD" w:rsidRPr="00D41D30" w:rsidRDefault="005F09AD"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北（臺北市、新北市、基隆市、新竹市、桃園市、新竹縣</w:t>
            </w:r>
            <w:r w:rsidRPr="00D41D30">
              <w:rPr>
                <w:rFonts w:hAnsi="標楷體"/>
                <w:b/>
                <w:color w:val="000000" w:themeColor="text1"/>
                <w:sz w:val="24"/>
                <w:szCs w:val="24"/>
              </w:rPr>
              <w:t>）</w:t>
            </w:r>
          </w:p>
        </w:tc>
        <w:tc>
          <w:tcPr>
            <w:tcW w:w="372" w:type="pct"/>
            <w:tcBorders>
              <w:top w:val="single" w:sz="4" w:space="0" w:color="auto"/>
              <w:left w:val="single" w:sz="4" w:space="0" w:color="auto"/>
              <w:bottom w:val="single" w:sz="4" w:space="0" w:color="auto"/>
              <w:right w:val="single" w:sz="4"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16</w:t>
            </w:r>
          </w:p>
        </w:tc>
        <w:tc>
          <w:tcPr>
            <w:tcW w:w="372" w:type="pct"/>
            <w:tcBorders>
              <w:top w:val="single" w:sz="6" w:space="0" w:color="auto"/>
              <w:left w:val="single" w:sz="4"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29</w:t>
            </w:r>
          </w:p>
        </w:tc>
        <w:tc>
          <w:tcPr>
            <w:tcW w:w="372"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31</w:t>
            </w:r>
          </w:p>
        </w:tc>
        <w:tc>
          <w:tcPr>
            <w:tcW w:w="372"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30</w:t>
            </w:r>
          </w:p>
        </w:tc>
        <w:tc>
          <w:tcPr>
            <w:tcW w:w="372"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29</w:t>
            </w:r>
          </w:p>
        </w:tc>
        <w:tc>
          <w:tcPr>
            <w:tcW w:w="372"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32</w:t>
            </w:r>
          </w:p>
        </w:tc>
        <w:tc>
          <w:tcPr>
            <w:tcW w:w="372"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35</w:t>
            </w:r>
          </w:p>
        </w:tc>
        <w:tc>
          <w:tcPr>
            <w:tcW w:w="372"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34</w:t>
            </w:r>
          </w:p>
        </w:tc>
        <w:tc>
          <w:tcPr>
            <w:tcW w:w="372"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35</w:t>
            </w:r>
          </w:p>
        </w:tc>
        <w:tc>
          <w:tcPr>
            <w:tcW w:w="368" w:type="pct"/>
            <w:tcBorders>
              <w:top w:val="single" w:sz="6" w:space="0" w:color="auto"/>
              <w:left w:val="single" w:sz="6" w:space="0" w:color="auto"/>
              <w:bottom w:val="single" w:sz="6"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37</w:t>
            </w:r>
          </w:p>
        </w:tc>
      </w:tr>
      <w:tr w:rsidR="005F09AD" w:rsidRPr="00D41D30" w:rsidTr="00175231">
        <w:trPr>
          <w:trHeight w:val="450"/>
          <w:jc w:val="center"/>
        </w:trPr>
        <w:tc>
          <w:tcPr>
            <w:tcW w:w="419" w:type="pct"/>
            <w:vMerge/>
            <w:tcBorders>
              <w:left w:val="single" w:sz="6" w:space="0" w:color="auto"/>
              <w:bottom w:val="single" w:sz="4" w:space="0" w:color="auto"/>
              <w:right w:val="single" w:sz="6" w:space="0" w:color="auto"/>
            </w:tcBorders>
            <w:shd w:val="clear" w:color="auto" w:fill="auto"/>
            <w:noWrap/>
            <w:vAlign w:val="center"/>
          </w:tcPr>
          <w:p w:rsidR="005F09AD" w:rsidRPr="00D41D30" w:rsidRDefault="005F09AD" w:rsidP="00E10DF9">
            <w:pPr>
              <w:spacing w:line="400" w:lineRule="exact"/>
              <w:rPr>
                <w:rFonts w:hAnsi="標楷體"/>
                <w:b/>
                <w:color w:val="000000" w:themeColor="text1"/>
                <w:sz w:val="24"/>
                <w:szCs w:val="24"/>
              </w:rPr>
            </w:pPr>
          </w:p>
        </w:tc>
        <w:tc>
          <w:tcPr>
            <w:tcW w:w="866" w:type="pct"/>
            <w:tcBorders>
              <w:top w:val="single" w:sz="6" w:space="0" w:color="auto"/>
              <w:left w:val="single" w:sz="6" w:space="0" w:color="auto"/>
              <w:bottom w:val="single" w:sz="4" w:space="0" w:color="auto"/>
              <w:right w:val="single" w:sz="6" w:space="0" w:color="auto"/>
            </w:tcBorders>
            <w:shd w:val="clear" w:color="auto" w:fill="auto"/>
            <w:vAlign w:val="center"/>
          </w:tcPr>
          <w:p w:rsidR="005F09AD" w:rsidRPr="00D41D30" w:rsidRDefault="005F09AD"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中（</w:t>
            </w:r>
            <w:r w:rsidRPr="00D41D30">
              <w:rPr>
                <w:rFonts w:hAnsi="標楷體"/>
                <w:b/>
                <w:color w:val="000000" w:themeColor="text1"/>
                <w:sz w:val="24"/>
                <w:szCs w:val="24"/>
              </w:rPr>
              <w:t>臺中市、</w:t>
            </w:r>
            <w:r w:rsidRPr="00D41D30">
              <w:rPr>
                <w:rFonts w:hAnsi="標楷體"/>
                <w:b/>
                <w:color w:val="000000" w:themeColor="text1"/>
                <w:sz w:val="24"/>
                <w:szCs w:val="24"/>
              </w:rPr>
              <w:lastRenderedPageBreak/>
              <w:t>苗栗縣、彰化縣、南投縣及雲林縣</w:t>
            </w:r>
            <w:r w:rsidRPr="00D41D30">
              <w:rPr>
                <w:rFonts w:hAnsi="標楷體" w:hint="eastAsia"/>
                <w:b/>
                <w:color w:val="000000" w:themeColor="text1"/>
                <w:sz w:val="24"/>
                <w:szCs w:val="24"/>
              </w:rPr>
              <w:t>）</w:t>
            </w:r>
          </w:p>
        </w:tc>
        <w:tc>
          <w:tcPr>
            <w:tcW w:w="372" w:type="pct"/>
            <w:tcBorders>
              <w:top w:val="single" w:sz="4" w:space="0" w:color="auto"/>
              <w:left w:val="single" w:sz="4" w:space="0" w:color="auto"/>
              <w:bottom w:val="single" w:sz="4" w:space="0" w:color="auto"/>
              <w:right w:val="single" w:sz="4"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lastRenderedPageBreak/>
              <w:t>14</w:t>
            </w:r>
          </w:p>
        </w:tc>
        <w:tc>
          <w:tcPr>
            <w:tcW w:w="372" w:type="pct"/>
            <w:tcBorders>
              <w:top w:val="single" w:sz="6" w:space="0" w:color="auto"/>
              <w:left w:val="single" w:sz="4"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15</w:t>
            </w:r>
          </w:p>
        </w:tc>
        <w:tc>
          <w:tcPr>
            <w:tcW w:w="372"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21</w:t>
            </w:r>
          </w:p>
        </w:tc>
        <w:tc>
          <w:tcPr>
            <w:tcW w:w="372"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22</w:t>
            </w:r>
          </w:p>
        </w:tc>
        <w:tc>
          <w:tcPr>
            <w:tcW w:w="372"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72"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25</w:t>
            </w:r>
          </w:p>
        </w:tc>
        <w:tc>
          <w:tcPr>
            <w:tcW w:w="372"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72"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72"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68" w:type="pct"/>
            <w:tcBorders>
              <w:top w:val="single" w:sz="6" w:space="0" w:color="auto"/>
              <w:left w:val="single" w:sz="6" w:space="0" w:color="auto"/>
              <w:bottom w:val="single" w:sz="4" w:space="0" w:color="auto"/>
              <w:right w:val="single" w:sz="6" w:space="0" w:color="auto"/>
            </w:tcBorders>
            <w:vAlign w:val="center"/>
          </w:tcPr>
          <w:p w:rsidR="005F09AD" w:rsidRPr="00D41D30" w:rsidRDefault="005F09AD"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25</w:t>
            </w:r>
          </w:p>
        </w:tc>
      </w:tr>
      <w:tr w:rsidR="005F09AD" w:rsidRPr="00D41D30" w:rsidTr="00175231">
        <w:trPr>
          <w:trHeight w:val="1650"/>
          <w:jc w:val="center"/>
        </w:trPr>
        <w:tc>
          <w:tcPr>
            <w:tcW w:w="419" w:type="pct"/>
            <w:vMerge/>
            <w:tcBorders>
              <w:top w:val="single" w:sz="4" w:space="0" w:color="auto"/>
              <w:left w:val="single" w:sz="6" w:space="0" w:color="auto"/>
              <w:bottom w:val="single" w:sz="4" w:space="0" w:color="auto"/>
              <w:right w:val="single" w:sz="6" w:space="0" w:color="auto"/>
            </w:tcBorders>
            <w:shd w:val="clear" w:color="auto" w:fill="auto"/>
            <w:noWrap/>
            <w:vAlign w:val="center"/>
          </w:tcPr>
          <w:p w:rsidR="005F09AD" w:rsidRPr="00D41D30" w:rsidRDefault="005F09AD" w:rsidP="00E10DF9">
            <w:pPr>
              <w:spacing w:line="400" w:lineRule="exact"/>
              <w:rPr>
                <w:rFonts w:hAnsi="標楷體"/>
                <w:b/>
                <w:color w:val="000000" w:themeColor="text1"/>
                <w:sz w:val="24"/>
                <w:szCs w:val="24"/>
              </w:rPr>
            </w:pPr>
          </w:p>
        </w:tc>
        <w:tc>
          <w:tcPr>
            <w:tcW w:w="866" w:type="pct"/>
            <w:tcBorders>
              <w:top w:val="single" w:sz="4" w:space="0" w:color="auto"/>
              <w:left w:val="single" w:sz="6" w:space="0" w:color="auto"/>
              <w:bottom w:val="single" w:sz="4" w:space="0" w:color="auto"/>
              <w:right w:val="single" w:sz="6" w:space="0" w:color="auto"/>
            </w:tcBorders>
            <w:shd w:val="clear" w:color="auto" w:fill="auto"/>
            <w:vAlign w:val="center"/>
          </w:tcPr>
          <w:p w:rsidR="005F09AD" w:rsidRPr="00D41D30" w:rsidRDefault="005F09AD"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南（</w:t>
            </w:r>
            <w:r w:rsidRPr="00D41D30">
              <w:rPr>
                <w:rFonts w:hAnsi="標楷體"/>
                <w:b/>
                <w:color w:val="000000" w:themeColor="text1"/>
                <w:sz w:val="24"/>
                <w:szCs w:val="24"/>
              </w:rPr>
              <w:t>高雄市、臺南市、嘉義市、嘉義縣、屏東縣及澎湖縣</w:t>
            </w:r>
            <w:r w:rsidRPr="00D41D30">
              <w:rPr>
                <w:rFonts w:hAnsi="標楷體" w:hint="eastAsia"/>
                <w:b/>
                <w:color w:val="000000" w:themeColor="text1"/>
                <w:sz w:val="24"/>
                <w:szCs w:val="24"/>
              </w:rPr>
              <w:t>）</w:t>
            </w:r>
          </w:p>
        </w:tc>
        <w:tc>
          <w:tcPr>
            <w:tcW w:w="372" w:type="pct"/>
            <w:tcBorders>
              <w:top w:val="single" w:sz="4" w:space="0" w:color="auto"/>
              <w:left w:val="single" w:sz="4" w:space="0" w:color="auto"/>
              <w:bottom w:val="single" w:sz="4" w:space="0" w:color="auto"/>
              <w:right w:val="single" w:sz="4"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22</w:t>
            </w:r>
          </w:p>
        </w:tc>
        <w:tc>
          <w:tcPr>
            <w:tcW w:w="372" w:type="pct"/>
            <w:tcBorders>
              <w:top w:val="single" w:sz="4" w:space="0" w:color="auto"/>
              <w:left w:val="single" w:sz="4"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34</w:t>
            </w:r>
          </w:p>
        </w:tc>
        <w:tc>
          <w:tcPr>
            <w:tcW w:w="372"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37</w:t>
            </w:r>
          </w:p>
        </w:tc>
        <w:tc>
          <w:tcPr>
            <w:tcW w:w="372"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72"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72"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72"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72"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39</w:t>
            </w:r>
          </w:p>
        </w:tc>
        <w:tc>
          <w:tcPr>
            <w:tcW w:w="372"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68" w:type="pct"/>
            <w:tcBorders>
              <w:top w:val="single" w:sz="4" w:space="0" w:color="auto"/>
              <w:left w:val="single" w:sz="6" w:space="0" w:color="auto"/>
              <w:bottom w:val="single" w:sz="4" w:space="0" w:color="auto"/>
              <w:right w:val="single" w:sz="6" w:space="0" w:color="auto"/>
            </w:tcBorders>
            <w:vAlign w:val="center"/>
          </w:tcPr>
          <w:p w:rsidR="005F09AD" w:rsidRPr="00D41D30" w:rsidRDefault="005F09AD" w:rsidP="005F09AD">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32</w:t>
            </w:r>
          </w:p>
        </w:tc>
      </w:tr>
      <w:tr w:rsidR="00305588" w:rsidRPr="00D41D30" w:rsidTr="00175231">
        <w:trPr>
          <w:trHeight w:val="572"/>
          <w:jc w:val="center"/>
        </w:trPr>
        <w:tc>
          <w:tcPr>
            <w:tcW w:w="419" w:type="pct"/>
            <w:tcBorders>
              <w:top w:val="single" w:sz="4" w:space="0" w:color="auto"/>
              <w:left w:val="single" w:sz="6" w:space="0" w:color="auto"/>
              <w:right w:val="single" w:sz="6" w:space="0" w:color="auto"/>
            </w:tcBorders>
            <w:shd w:val="clear" w:color="auto" w:fill="auto"/>
            <w:noWrap/>
            <w:vAlign w:val="center"/>
          </w:tcPr>
          <w:p w:rsidR="00305588" w:rsidRPr="00D41D30" w:rsidRDefault="005F09AD"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地區</w:t>
            </w:r>
          </w:p>
        </w:tc>
        <w:tc>
          <w:tcPr>
            <w:tcW w:w="866" w:type="pct"/>
            <w:tcBorders>
              <w:top w:val="single" w:sz="6" w:space="0" w:color="auto"/>
              <w:left w:val="single" w:sz="6" w:space="0" w:color="auto"/>
              <w:bottom w:val="single" w:sz="6" w:space="0" w:color="auto"/>
              <w:right w:val="single" w:sz="6" w:space="0" w:color="auto"/>
            </w:tcBorders>
            <w:shd w:val="clear" w:color="auto" w:fill="auto"/>
            <w:vAlign w:val="center"/>
          </w:tcPr>
          <w:p w:rsidR="00305588" w:rsidRPr="00D41D30" w:rsidRDefault="00305588"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東</w:t>
            </w:r>
            <w:r w:rsidR="00B562C7" w:rsidRPr="00D41D30">
              <w:rPr>
                <w:rFonts w:hAnsi="標楷體" w:hint="eastAsia"/>
                <w:b/>
                <w:color w:val="000000" w:themeColor="text1"/>
                <w:sz w:val="24"/>
                <w:szCs w:val="24"/>
              </w:rPr>
              <w:t>（</w:t>
            </w:r>
            <w:r w:rsidRPr="00D41D30">
              <w:rPr>
                <w:rFonts w:hAnsi="標楷體" w:hint="eastAsia"/>
                <w:b/>
                <w:color w:val="000000" w:themeColor="text1"/>
                <w:sz w:val="24"/>
                <w:szCs w:val="24"/>
              </w:rPr>
              <w:t>花蓮縣及臺東縣、宜蘭縣</w:t>
            </w:r>
            <w:r w:rsidR="006B5136" w:rsidRPr="00D41D30">
              <w:rPr>
                <w:rFonts w:hAnsi="標楷體" w:hint="eastAsia"/>
                <w:b/>
                <w:color w:val="000000" w:themeColor="text1"/>
                <w:sz w:val="24"/>
                <w:szCs w:val="24"/>
              </w:rPr>
              <w:t>）</w:t>
            </w:r>
          </w:p>
        </w:tc>
        <w:tc>
          <w:tcPr>
            <w:tcW w:w="372" w:type="pct"/>
            <w:tcBorders>
              <w:top w:val="single" w:sz="4" w:space="0" w:color="auto"/>
              <w:left w:val="single" w:sz="4" w:space="0" w:color="auto"/>
              <w:bottom w:val="single" w:sz="4" w:space="0" w:color="auto"/>
              <w:right w:val="single" w:sz="4"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w:t>
            </w:r>
          </w:p>
        </w:tc>
        <w:tc>
          <w:tcPr>
            <w:tcW w:w="372" w:type="pct"/>
            <w:tcBorders>
              <w:top w:val="single" w:sz="6" w:space="0" w:color="auto"/>
              <w:left w:val="single" w:sz="4"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6</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7</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7</w:t>
            </w:r>
          </w:p>
        </w:tc>
        <w:tc>
          <w:tcPr>
            <w:tcW w:w="372"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68" w:type="pct"/>
            <w:tcBorders>
              <w:top w:val="single" w:sz="6" w:space="0" w:color="auto"/>
              <w:left w:val="single" w:sz="6" w:space="0" w:color="auto"/>
              <w:bottom w:val="single" w:sz="6" w:space="0" w:color="auto"/>
              <w:right w:val="single" w:sz="6" w:space="0" w:color="auto"/>
            </w:tcBorders>
            <w:vAlign w:val="center"/>
          </w:tcPr>
          <w:p w:rsidR="00305588" w:rsidRPr="00D41D30" w:rsidRDefault="00305588" w:rsidP="005F09AD">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r>
      <w:tr w:rsidR="00305588" w:rsidRPr="00D41D30" w:rsidTr="00175231">
        <w:trPr>
          <w:trHeight w:val="450"/>
          <w:jc w:val="center"/>
        </w:trPr>
        <w:tc>
          <w:tcPr>
            <w:tcW w:w="128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305588" w:rsidRPr="00D41D30" w:rsidRDefault="00305588"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學生人數</w:t>
            </w:r>
          </w:p>
        </w:tc>
        <w:tc>
          <w:tcPr>
            <w:tcW w:w="372" w:type="pct"/>
            <w:tcBorders>
              <w:top w:val="single" w:sz="4" w:space="0" w:color="auto"/>
              <w:left w:val="single" w:sz="4" w:space="0" w:color="auto"/>
              <w:bottom w:val="single" w:sz="4" w:space="0" w:color="auto"/>
              <w:right w:val="single" w:sz="4"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2</w:t>
            </w:r>
            <w:r w:rsidRPr="00D41D30">
              <w:rPr>
                <w:rFonts w:hAnsi="標楷體"/>
                <w:color w:val="000000" w:themeColor="text1"/>
                <w:sz w:val="20"/>
              </w:rPr>
              <w:t>,</w:t>
            </w:r>
            <w:r w:rsidRPr="00D41D30">
              <w:rPr>
                <w:rFonts w:hAnsi="標楷體" w:hint="eastAsia"/>
                <w:color w:val="000000" w:themeColor="text1"/>
                <w:sz w:val="20"/>
              </w:rPr>
              <w:t>320</w:t>
            </w:r>
          </w:p>
        </w:tc>
        <w:tc>
          <w:tcPr>
            <w:tcW w:w="372" w:type="pct"/>
            <w:tcBorders>
              <w:top w:val="single" w:sz="6" w:space="0" w:color="auto"/>
              <w:left w:val="single" w:sz="4"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2</w:t>
            </w:r>
            <w:r w:rsidRPr="00D41D30">
              <w:rPr>
                <w:rFonts w:hAnsi="標楷體"/>
                <w:color w:val="000000" w:themeColor="text1"/>
                <w:sz w:val="20"/>
              </w:rPr>
              <w:t>,</w:t>
            </w:r>
            <w:r w:rsidRPr="00D41D30">
              <w:rPr>
                <w:rFonts w:hAnsi="標楷體" w:hint="eastAsia"/>
                <w:color w:val="000000" w:themeColor="text1"/>
                <w:sz w:val="20"/>
              </w:rPr>
              <w:t>900</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270</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333</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375</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500</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908</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4</w:t>
            </w:r>
            <w:r w:rsidRPr="00D41D30">
              <w:rPr>
                <w:rFonts w:hAnsi="標楷體"/>
                <w:color w:val="000000" w:themeColor="text1"/>
                <w:sz w:val="20"/>
              </w:rPr>
              <w:t>,</w:t>
            </w:r>
            <w:r w:rsidRPr="00D41D30">
              <w:rPr>
                <w:rFonts w:hAnsi="標楷體" w:hint="eastAsia"/>
                <w:color w:val="000000" w:themeColor="text1"/>
                <w:sz w:val="20"/>
              </w:rPr>
              <w:t>235</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4</w:t>
            </w:r>
            <w:r w:rsidRPr="00D41D30">
              <w:rPr>
                <w:rFonts w:hAnsi="標楷體"/>
                <w:color w:val="000000" w:themeColor="text1"/>
                <w:sz w:val="20"/>
              </w:rPr>
              <w:t>,</w:t>
            </w:r>
            <w:r w:rsidRPr="00D41D30">
              <w:rPr>
                <w:rFonts w:hAnsi="標楷體" w:hint="eastAsia"/>
                <w:color w:val="000000" w:themeColor="text1"/>
                <w:sz w:val="20"/>
              </w:rPr>
              <w:t>415</w:t>
            </w:r>
          </w:p>
        </w:tc>
        <w:tc>
          <w:tcPr>
            <w:tcW w:w="368"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4</w:t>
            </w:r>
            <w:r w:rsidRPr="00D41D30">
              <w:rPr>
                <w:rFonts w:hAnsi="標楷體"/>
                <w:color w:val="000000" w:themeColor="text1"/>
                <w:sz w:val="20"/>
              </w:rPr>
              <w:t>,492</w:t>
            </w:r>
          </w:p>
        </w:tc>
      </w:tr>
      <w:tr w:rsidR="00305588" w:rsidRPr="00D41D30" w:rsidTr="00175231">
        <w:trPr>
          <w:trHeight w:val="450"/>
          <w:jc w:val="center"/>
        </w:trPr>
        <w:tc>
          <w:tcPr>
            <w:tcW w:w="1285"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305588" w:rsidRPr="00D41D30" w:rsidRDefault="00305588" w:rsidP="00E10DF9">
            <w:pPr>
              <w:spacing w:line="400" w:lineRule="exact"/>
              <w:rPr>
                <w:rFonts w:hAnsi="標楷體"/>
                <w:b/>
                <w:color w:val="000000" w:themeColor="text1"/>
                <w:sz w:val="24"/>
                <w:szCs w:val="24"/>
              </w:rPr>
            </w:pPr>
            <w:r w:rsidRPr="00D41D30">
              <w:rPr>
                <w:rFonts w:hAnsi="標楷體" w:hint="eastAsia"/>
                <w:b/>
                <w:color w:val="000000" w:themeColor="text1"/>
                <w:sz w:val="24"/>
                <w:szCs w:val="24"/>
              </w:rPr>
              <w:t>補助金額</w:t>
            </w:r>
          </w:p>
        </w:tc>
        <w:tc>
          <w:tcPr>
            <w:tcW w:w="372" w:type="pct"/>
            <w:tcBorders>
              <w:top w:val="single" w:sz="4" w:space="0" w:color="auto"/>
              <w:left w:val="single" w:sz="4" w:space="0" w:color="auto"/>
              <w:bottom w:val="single" w:sz="4" w:space="0" w:color="auto"/>
              <w:right w:val="single" w:sz="4"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27,466</w:t>
            </w:r>
          </w:p>
        </w:tc>
        <w:tc>
          <w:tcPr>
            <w:tcW w:w="372" w:type="pct"/>
            <w:tcBorders>
              <w:top w:val="single" w:sz="6" w:space="0" w:color="auto"/>
              <w:left w:val="single" w:sz="4"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26,933</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32,671</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33,051</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33,838</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34,939</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36,446</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color w:val="000000" w:themeColor="text1"/>
                <w:sz w:val="20"/>
              </w:rPr>
              <w:t>3</w:t>
            </w:r>
            <w:r w:rsidRPr="00D41D30">
              <w:rPr>
                <w:rFonts w:hAnsi="標楷體" w:hint="eastAsia"/>
                <w:color w:val="000000" w:themeColor="text1"/>
                <w:sz w:val="20"/>
              </w:rPr>
              <w:t>7,516</w:t>
            </w:r>
          </w:p>
        </w:tc>
        <w:tc>
          <w:tcPr>
            <w:tcW w:w="372"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37,882</w:t>
            </w:r>
          </w:p>
        </w:tc>
        <w:tc>
          <w:tcPr>
            <w:tcW w:w="368" w:type="pct"/>
            <w:tcBorders>
              <w:top w:val="single" w:sz="6" w:space="0" w:color="auto"/>
              <w:left w:val="single" w:sz="6" w:space="0" w:color="auto"/>
              <w:bottom w:val="single" w:sz="6" w:space="0" w:color="auto"/>
              <w:right w:val="single" w:sz="6" w:space="0" w:color="auto"/>
            </w:tcBorders>
          </w:tcPr>
          <w:p w:rsidR="00305588" w:rsidRPr="00D41D30" w:rsidRDefault="00305588" w:rsidP="00E10DF9">
            <w:pPr>
              <w:spacing w:line="400" w:lineRule="exact"/>
              <w:jc w:val="center"/>
              <w:rPr>
                <w:rFonts w:hAnsi="標楷體"/>
                <w:color w:val="000000" w:themeColor="text1"/>
                <w:sz w:val="20"/>
              </w:rPr>
            </w:pPr>
            <w:r w:rsidRPr="00D41D30">
              <w:rPr>
                <w:rFonts w:hAnsi="標楷體" w:hint="eastAsia"/>
                <w:color w:val="000000" w:themeColor="text1"/>
                <w:sz w:val="20"/>
              </w:rPr>
              <w:t>36,86</w:t>
            </w:r>
            <w:r w:rsidRPr="00D41D30">
              <w:rPr>
                <w:rFonts w:hAnsi="標楷體"/>
                <w:color w:val="000000" w:themeColor="text1"/>
                <w:sz w:val="20"/>
              </w:rPr>
              <w:t>2</w:t>
            </w:r>
          </w:p>
        </w:tc>
      </w:tr>
    </w:tbl>
    <w:p w:rsidR="001F728E" w:rsidRPr="00D41D30" w:rsidRDefault="001F728E" w:rsidP="001F728E">
      <w:pPr>
        <w:rPr>
          <w:color w:val="000000" w:themeColor="text1"/>
          <w:sz w:val="24"/>
          <w:szCs w:val="24"/>
        </w:rPr>
      </w:pPr>
      <w:r w:rsidRPr="00D41D30">
        <w:rPr>
          <w:rFonts w:hint="eastAsia"/>
          <w:color w:val="000000" w:themeColor="text1"/>
          <w:sz w:val="24"/>
          <w:szCs w:val="24"/>
        </w:rPr>
        <w:t>資料來源：教育部調卷資料</w:t>
      </w:r>
      <w:r w:rsidR="005F09AD" w:rsidRPr="00D41D30">
        <w:rPr>
          <w:rFonts w:hint="eastAsia"/>
          <w:color w:val="000000" w:themeColor="text1"/>
          <w:sz w:val="24"/>
          <w:szCs w:val="24"/>
        </w:rPr>
        <w:t>。</w:t>
      </w:r>
    </w:p>
    <w:p w:rsidR="001E2924" w:rsidRPr="00D41D30" w:rsidRDefault="001E2924" w:rsidP="001F728E">
      <w:pPr>
        <w:rPr>
          <w:color w:val="000000" w:themeColor="text1"/>
        </w:rPr>
      </w:pPr>
    </w:p>
    <w:p w:rsidR="003D78B9" w:rsidRPr="00D41D30" w:rsidRDefault="003D78B9" w:rsidP="00C1295F">
      <w:pPr>
        <w:pStyle w:val="3"/>
        <w:rPr>
          <w:color w:val="000000" w:themeColor="text1"/>
        </w:rPr>
      </w:pPr>
      <w:bookmarkStart w:id="460" w:name="_Toc30512470"/>
      <w:bookmarkStart w:id="461" w:name="_Toc30581178"/>
      <w:bookmarkStart w:id="462" w:name="_Toc32392451"/>
      <w:bookmarkStart w:id="463" w:name="_Toc32673641"/>
      <w:bookmarkStart w:id="464" w:name="_Toc32845783"/>
      <w:bookmarkStart w:id="465" w:name="_Toc32846506"/>
      <w:bookmarkStart w:id="466" w:name="_Toc32913749"/>
      <w:bookmarkStart w:id="467" w:name="_Toc32918425"/>
      <w:bookmarkStart w:id="468" w:name="_Toc33011718"/>
      <w:r w:rsidRPr="00D41D30">
        <w:rPr>
          <w:rFonts w:hint="eastAsia"/>
          <w:color w:val="000000" w:themeColor="text1"/>
        </w:rPr>
        <w:t>樂齡學習計畫學員自行負擔經費情形</w:t>
      </w:r>
      <w:bookmarkEnd w:id="460"/>
      <w:bookmarkEnd w:id="461"/>
      <w:bookmarkEnd w:id="462"/>
      <w:bookmarkEnd w:id="463"/>
      <w:bookmarkEnd w:id="464"/>
      <w:bookmarkEnd w:id="465"/>
      <w:bookmarkEnd w:id="466"/>
      <w:bookmarkEnd w:id="467"/>
      <w:bookmarkEnd w:id="468"/>
    </w:p>
    <w:p w:rsidR="005D643F" w:rsidRPr="00D41D30" w:rsidRDefault="0064373D" w:rsidP="00471512">
      <w:pPr>
        <w:pStyle w:val="a4"/>
        <w:ind w:left="697" w:hanging="697"/>
        <w:rPr>
          <w:b/>
          <w:color w:val="000000" w:themeColor="text1"/>
        </w:rPr>
      </w:pPr>
      <w:r w:rsidRPr="00D41D30">
        <w:rPr>
          <w:rFonts w:hint="eastAsia"/>
          <w:b/>
          <w:color w:val="000000" w:themeColor="text1"/>
        </w:rPr>
        <w:t>樂齡學習計畫收費方式</w:t>
      </w:r>
    </w:p>
    <w:tbl>
      <w:tblPr>
        <w:tblW w:w="9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1559"/>
        <w:gridCol w:w="1374"/>
      </w:tblGrid>
      <w:tr w:rsidR="00B54AE7" w:rsidRPr="00D41D30" w:rsidTr="00B51307">
        <w:trPr>
          <w:tblHeader/>
          <w:jc w:val="center"/>
        </w:trPr>
        <w:tc>
          <w:tcPr>
            <w:tcW w:w="6237" w:type="dxa"/>
            <w:shd w:val="clear" w:color="auto" w:fill="auto"/>
          </w:tcPr>
          <w:p w:rsidR="00B51307" w:rsidRPr="00D41D30" w:rsidRDefault="00B51307" w:rsidP="00805787">
            <w:pPr>
              <w:spacing w:line="320" w:lineRule="exact"/>
              <w:jc w:val="center"/>
              <w:rPr>
                <w:b/>
                <w:color w:val="000000" w:themeColor="text1"/>
                <w:sz w:val="24"/>
                <w:szCs w:val="24"/>
              </w:rPr>
            </w:pPr>
            <w:r w:rsidRPr="00D41D30">
              <w:rPr>
                <w:rFonts w:hint="eastAsia"/>
                <w:b/>
                <w:color w:val="000000" w:themeColor="text1"/>
                <w:sz w:val="24"/>
                <w:szCs w:val="24"/>
              </w:rPr>
              <w:t>樂齡中心</w:t>
            </w:r>
          </w:p>
        </w:tc>
        <w:tc>
          <w:tcPr>
            <w:tcW w:w="1559" w:type="dxa"/>
            <w:shd w:val="clear" w:color="auto" w:fill="auto"/>
          </w:tcPr>
          <w:p w:rsidR="00B51307" w:rsidRPr="00D41D30" w:rsidRDefault="00B51307" w:rsidP="00805787">
            <w:pPr>
              <w:spacing w:line="320" w:lineRule="exact"/>
              <w:jc w:val="center"/>
              <w:rPr>
                <w:b/>
                <w:color w:val="000000" w:themeColor="text1"/>
                <w:sz w:val="24"/>
                <w:szCs w:val="24"/>
              </w:rPr>
            </w:pPr>
            <w:r w:rsidRPr="00D41D30">
              <w:rPr>
                <w:rFonts w:hint="eastAsia"/>
                <w:b/>
                <w:color w:val="000000" w:themeColor="text1"/>
                <w:sz w:val="24"/>
                <w:szCs w:val="24"/>
              </w:rPr>
              <w:t>樂齡大學</w:t>
            </w:r>
          </w:p>
        </w:tc>
        <w:tc>
          <w:tcPr>
            <w:tcW w:w="1374" w:type="dxa"/>
            <w:shd w:val="clear" w:color="auto" w:fill="auto"/>
          </w:tcPr>
          <w:p w:rsidR="00B51307" w:rsidRPr="00D41D30" w:rsidRDefault="00B51307" w:rsidP="00805787">
            <w:pPr>
              <w:spacing w:line="320" w:lineRule="exact"/>
              <w:jc w:val="center"/>
              <w:rPr>
                <w:b/>
                <w:color w:val="000000" w:themeColor="text1"/>
                <w:sz w:val="24"/>
                <w:szCs w:val="24"/>
              </w:rPr>
            </w:pPr>
            <w:r w:rsidRPr="00D41D30">
              <w:rPr>
                <w:rFonts w:hint="eastAsia"/>
                <w:b/>
                <w:color w:val="000000" w:themeColor="text1"/>
                <w:sz w:val="24"/>
                <w:szCs w:val="24"/>
              </w:rPr>
              <w:t>高齡自主學習團體</w:t>
            </w:r>
          </w:p>
        </w:tc>
      </w:tr>
      <w:tr w:rsidR="00B54AE7" w:rsidRPr="00D41D30" w:rsidTr="00B51307">
        <w:trPr>
          <w:jc w:val="center"/>
        </w:trPr>
        <w:tc>
          <w:tcPr>
            <w:tcW w:w="6237" w:type="dxa"/>
            <w:shd w:val="clear" w:color="auto" w:fill="auto"/>
          </w:tcPr>
          <w:p w:rsidR="00B51307" w:rsidRPr="00D41D30" w:rsidRDefault="0064373D" w:rsidP="00054B3C">
            <w:pPr>
              <w:adjustRightInd w:val="0"/>
              <w:snapToGrid w:val="0"/>
              <w:rPr>
                <w:rFonts w:ascii="標楷體﹐.." w:eastAsia="標楷體﹐.." w:cs="標楷體﹐.."/>
                <w:color w:val="000000" w:themeColor="text1"/>
                <w:kern w:val="0"/>
                <w:sz w:val="26"/>
                <w:szCs w:val="26"/>
              </w:rPr>
            </w:pPr>
            <w:r w:rsidRPr="00D41D30">
              <w:rPr>
                <w:rFonts w:ascii="標楷體﹐.." w:eastAsia="標楷體﹐.." w:cs="標楷體﹐.." w:hint="eastAsia"/>
                <w:color w:val="000000" w:themeColor="text1"/>
                <w:kern w:val="0"/>
                <w:sz w:val="26"/>
                <w:szCs w:val="26"/>
              </w:rPr>
              <w:t>1.</w:t>
            </w:r>
            <w:r w:rsidR="00B51307" w:rsidRPr="00D41D30">
              <w:rPr>
                <w:rFonts w:ascii="標楷體﹐.." w:eastAsia="標楷體﹐.." w:cs="標楷體﹐.." w:hint="eastAsia"/>
                <w:color w:val="000000" w:themeColor="text1"/>
                <w:kern w:val="0"/>
                <w:sz w:val="26"/>
                <w:szCs w:val="26"/>
              </w:rPr>
              <w:t>全國366所樂齡中心，因應所在之鄉鎮市區差距，以收取報名費、材料費為原則，偏鄉及離島地區為鼓勵高齡者學習，原則不收費，甚有同一縣市，因地處不同區域</w:t>
            </w:r>
            <w:r w:rsidR="00B562C7"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如都會區及原住民地區</w:t>
            </w:r>
            <w:r w:rsidR="006B5136"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，有不同收費方式，各縣市政府運作方式不同，列舉如下：</w:t>
            </w:r>
          </w:p>
          <w:p w:rsidR="00B51307" w:rsidRPr="00D41D30" w:rsidRDefault="00B562C7" w:rsidP="00054B3C">
            <w:pPr>
              <w:adjustRightInd w:val="0"/>
              <w:snapToGrid w:val="0"/>
              <w:rPr>
                <w:rFonts w:ascii="標楷體﹐.." w:eastAsia="標楷體﹐.." w:cs="標楷體﹐.."/>
                <w:color w:val="000000" w:themeColor="text1"/>
                <w:kern w:val="0"/>
                <w:sz w:val="26"/>
                <w:szCs w:val="26"/>
              </w:rPr>
            </w:pPr>
            <w:r w:rsidRPr="00D41D30">
              <w:rPr>
                <w:rFonts w:ascii="標楷體﹐.." w:eastAsia="標楷體﹐.." w:cs="標楷體﹐.." w:hint="eastAsia"/>
                <w:color w:val="000000" w:themeColor="text1"/>
                <w:kern w:val="0"/>
                <w:sz w:val="26"/>
                <w:szCs w:val="26"/>
              </w:rPr>
              <w:t>（</w:t>
            </w:r>
            <w:r w:rsidR="0064373D" w:rsidRPr="00D41D30">
              <w:rPr>
                <w:rFonts w:ascii="標楷體﹐.." w:eastAsia="標楷體﹐.." w:cs="標楷體﹐.." w:hint="eastAsia"/>
                <w:color w:val="000000" w:themeColor="text1"/>
                <w:kern w:val="0"/>
                <w:sz w:val="26"/>
                <w:szCs w:val="26"/>
              </w:rPr>
              <w:t>1</w:t>
            </w:r>
            <w:r w:rsidR="006B5136"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桃園市：部分中心不收費，或依部分中心依課程性質酌收材料費；或收保證金500元，課程出席達全課程2</w:t>
            </w:r>
            <w:r w:rsidR="00B51307" w:rsidRPr="00D41D30">
              <w:rPr>
                <w:rFonts w:ascii="標楷體﹐.." w:eastAsia="標楷體﹐.." w:cs="標楷體﹐.."/>
                <w:color w:val="000000" w:themeColor="text1"/>
                <w:kern w:val="0"/>
                <w:sz w:val="26"/>
                <w:szCs w:val="26"/>
              </w:rPr>
              <w:t>/3</w:t>
            </w:r>
            <w:r w:rsidR="00B51307" w:rsidRPr="00D41D30">
              <w:rPr>
                <w:rFonts w:ascii="標楷體﹐.." w:eastAsia="標楷體﹐.." w:cs="標楷體﹐.." w:hint="eastAsia"/>
                <w:color w:val="000000" w:themeColor="text1"/>
                <w:kern w:val="0"/>
                <w:sz w:val="26"/>
                <w:szCs w:val="26"/>
              </w:rPr>
              <w:t>以上者即退回。</w:t>
            </w:r>
          </w:p>
          <w:p w:rsidR="00B51307" w:rsidRPr="00D41D30" w:rsidRDefault="00B562C7" w:rsidP="00054B3C">
            <w:pPr>
              <w:adjustRightInd w:val="0"/>
              <w:snapToGrid w:val="0"/>
              <w:rPr>
                <w:rFonts w:ascii="標楷體﹐.." w:eastAsia="標楷體﹐.." w:cs="標楷體﹐.."/>
                <w:color w:val="000000" w:themeColor="text1"/>
                <w:kern w:val="0"/>
                <w:sz w:val="26"/>
                <w:szCs w:val="26"/>
              </w:rPr>
            </w:pPr>
            <w:r w:rsidRPr="00D41D30">
              <w:rPr>
                <w:rFonts w:ascii="標楷體﹐.." w:eastAsia="標楷體﹐.." w:cs="標楷體﹐.." w:hint="eastAsia"/>
                <w:color w:val="000000" w:themeColor="text1"/>
                <w:kern w:val="0"/>
                <w:sz w:val="26"/>
                <w:szCs w:val="26"/>
              </w:rPr>
              <w:t>（</w:t>
            </w:r>
            <w:r w:rsidR="0064373D" w:rsidRPr="00D41D30">
              <w:rPr>
                <w:rFonts w:ascii="標楷體﹐.." w:eastAsia="標楷體﹐.." w:cs="標楷體﹐.." w:hint="eastAsia"/>
                <w:color w:val="000000" w:themeColor="text1"/>
                <w:kern w:val="0"/>
                <w:sz w:val="26"/>
                <w:szCs w:val="26"/>
              </w:rPr>
              <w:t>2</w:t>
            </w:r>
            <w:r w:rsidR="006B5136"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 xml:space="preserve">宜蘭縣：收取材料費 </w:t>
            </w:r>
            <w:r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30元至1,000元</w:t>
            </w:r>
            <w:r w:rsidR="006B5136"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 xml:space="preserve">、報名費 </w:t>
            </w:r>
            <w:r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200至300元</w:t>
            </w:r>
            <w:r w:rsidR="006B5136" w:rsidRPr="00D41D30">
              <w:rPr>
                <w:rFonts w:ascii="標楷體﹐.." w:eastAsia="標楷體﹐.." w:cs="標楷體﹐.." w:hint="eastAsia"/>
                <w:color w:val="000000" w:themeColor="text1"/>
                <w:kern w:val="0"/>
                <w:sz w:val="26"/>
                <w:szCs w:val="26"/>
              </w:rPr>
              <w:t>）</w:t>
            </w:r>
            <w:r w:rsidR="00B51307" w:rsidRPr="00D41D30">
              <w:rPr>
                <w:rFonts w:ascii="標楷體﹐.." w:eastAsia="標楷體﹐.." w:cs="標楷體﹐.." w:hint="eastAsia"/>
                <w:color w:val="000000" w:themeColor="text1"/>
                <w:kern w:val="0"/>
                <w:sz w:val="26"/>
                <w:szCs w:val="26"/>
              </w:rPr>
              <w:t>、社團活動自行繳費。</w:t>
            </w:r>
          </w:p>
          <w:p w:rsidR="00B51307" w:rsidRPr="00D41D30" w:rsidRDefault="00B51307" w:rsidP="00054B3C">
            <w:pPr>
              <w:adjustRightInd w:val="0"/>
              <w:snapToGrid w:val="0"/>
              <w:rPr>
                <w:rFonts w:ascii="標楷體﹐.." w:eastAsia="標楷體﹐.." w:cs="標楷體﹐.."/>
                <w:color w:val="000000" w:themeColor="text1"/>
                <w:kern w:val="0"/>
                <w:sz w:val="26"/>
                <w:szCs w:val="26"/>
              </w:rPr>
            </w:pPr>
            <w:r w:rsidRPr="00D41D30">
              <w:rPr>
                <w:rFonts w:ascii="標楷體﹐.." w:eastAsia="標楷體﹐.." w:cs="標楷體﹐.." w:hint="eastAsia"/>
                <w:color w:val="000000" w:themeColor="text1"/>
                <w:kern w:val="0"/>
                <w:sz w:val="26"/>
                <w:szCs w:val="26"/>
              </w:rPr>
              <w:t>2.社團活動：如樂齡中心有成立學習社團並聘任講師，由學員共同自行負擔講師費，如嘉義縣樂齡學習示範中心，課程結束後，平均有20個學習社團，自行繳費聘請老師授課，每門課學員收取</w:t>
            </w:r>
            <w:r w:rsidRPr="00D41D30">
              <w:rPr>
                <w:rFonts w:ascii="標楷體﹐.." w:eastAsia="標楷體﹐.." w:cs="標楷體﹐.." w:hint="eastAsia"/>
                <w:color w:val="000000" w:themeColor="text1"/>
                <w:kern w:val="0"/>
                <w:sz w:val="26"/>
                <w:szCs w:val="26"/>
              </w:rPr>
              <w:lastRenderedPageBreak/>
              <w:t>1</w:t>
            </w:r>
            <w:r w:rsidRPr="00D41D30">
              <w:rPr>
                <w:rFonts w:ascii="標楷體﹐.." w:eastAsia="標楷體﹐.." w:cs="標楷體﹐.."/>
                <w:color w:val="000000" w:themeColor="text1"/>
                <w:kern w:val="0"/>
                <w:sz w:val="26"/>
                <w:szCs w:val="26"/>
              </w:rPr>
              <w:t>,</w:t>
            </w:r>
            <w:r w:rsidRPr="00D41D30">
              <w:rPr>
                <w:rFonts w:ascii="標楷體﹐.." w:eastAsia="標楷體﹐.." w:cs="標楷體﹐.." w:hint="eastAsia"/>
                <w:color w:val="000000" w:themeColor="text1"/>
                <w:kern w:val="0"/>
                <w:sz w:val="26"/>
                <w:szCs w:val="26"/>
              </w:rPr>
              <w:t>000元費用，自聘老師持續授課。</w:t>
            </w:r>
          </w:p>
        </w:tc>
        <w:tc>
          <w:tcPr>
            <w:tcW w:w="1559" w:type="dxa"/>
            <w:shd w:val="clear" w:color="auto" w:fill="auto"/>
          </w:tcPr>
          <w:p w:rsidR="00B51307" w:rsidRPr="00D41D30" w:rsidRDefault="00746549" w:rsidP="00054B3C">
            <w:pPr>
              <w:adjustRightInd w:val="0"/>
              <w:snapToGrid w:val="0"/>
              <w:rPr>
                <w:rFonts w:ascii="標楷體﹐.." w:eastAsia="標楷體﹐.." w:cs="標楷體﹐.."/>
                <w:color w:val="000000" w:themeColor="text1"/>
                <w:kern w:val="0"/>
                <w:sz w:val="26"/>
                <w:szCs w:val="26"/>
              </w:rPr>
            </w:pPr>
            <w:r w:rsidRPr="00D41D30">
              <w:rPr>
                <w:rFonts w:ascii="標楷體﹐.." w:eastAsia="標楷體﹐.." w:cs="標楷體﹐.." w:hint="eastAsia"/>
                <w:color w:val="000000" w:themeColor="text1"/>
                <w:kern w:val="0"/>
                <w:sz w:val="26"/>
                <w:szCs w:val="26"/>
              </w:rPr>
              <w:lastRenderedPageBreak/>
              <w:t>1.</w:t>
            </w:r>
            <w:r w:rsidR="00B51307" w:rsidRPr="00D41D30">
              <w:rPr>
                <w:rFonts w:ascii="標楷體﹐.." w:eastAsia="標楷體﹐.." w:cs="標楷體﹐.." w:hint="eastAsia"/>
                <w:color w:val="000000" w:themeColor="text1"/>
                <w:kern w:val="0"/>
                <w:sz w:val="26"/>
                <w:szCs w:val="26"/>
              </w:rPr>
              <w:t>新臺幣</w:t>
            </w:r>
            <w:r w:rsidR="00FE0AC1" w:rsidRPr="00D41D30">
              <w:rPr>
                <w:rFonts w:ascii="標楷體﹐.." w:eastAsia="標楷體﹐.." w:cs="標楷體﹐.." w:hint="eastAsia"/>
                <w:color w:val="000000" w:themeColor="text1"/>
                <w:kern w:val="0"/>
                <w:sz w:val="26"/>
                <w:szCs w:val="26"/>
              </w:rPr>
              <w:t>（下同）</w:t>
            </w:r>
            <w:r w:rsidR="00B51307" w:rsidRPr="00D41D30">
              <w:rPr>
                <w:rFonts w:ascii="標楷體﹐.." w:eastAsia="標楷體﹐.." w:cs="標楷體﹐.." w:hint="eastAsia"/>
                <w:color w:val="000000" w:themeColor="text1"/>
                <w:kern w:val="0"/>
                <w:sz w:val="26"/>
                <w:szCs w:val="26"/>
              </w:rPr>
              <w:t>3</w:t>
            </w:r>
            <w:r w:rsidR="00B51307" w:rsidRPr="00D41D30">
              <w:rPr>
                <w:rFonts w:ascii="標楷體﹐.." w:eastAsia="標楷體﹐.." w:cs="標楷體﹐.."/>
                <w:color w:val="000000" w:themeColor="text1"/>
                <w:kern w:val="0"/>
                <w:sz w:val="26"/>
                <w:szCs w:val="26"/>
              </w:rPr>
              <w:t>,</w:t>
            </w:r>
            <w:r w:rsidR="00B51307" w:rsidRPr="00D41D30">
              <w:rPr>
                <w:rFonts w:ascii="標楷體﹐.." w:eastAsia="標楷體﹐.." w:cs="標楷體﹐.." w:hint="eastAsia"/>
                <w:color w:val="000000" w:themeColor="text1"/>
                <w:kern w:val="0"/>
                <w:sz w:val="26"/>
                <w:szCs w:val="26"/>
              </w:rPr>
              <w:t>000元以下。</w:t>
            </w:r>
          </w:p>
          <w:p w:rsidR="00B51307" w:rsidRPr="00D41D30" w:rsidRDefault="00746549" w:rsidP="00054B3C">
            <w:pPr>
              <w:adjustRightInd w:val="0"/>
              <w:snapToGrid w:val="0"/>
              <w:rPr>
                <w:rFonts w:ascii="標楷體﹐.." w:eastAsia="標楷體﹐.." w:cs="標楷體﹐.."/>
                <w:color w:val="000000" w:themeColor="text1"/>
                <w:kern w:val="0"/>
                <w:sz w:val="26"/>
                <w:szCs w:val="26"/>
              </w:rPr>
            </w:pPr>
            <w:r w:rsidRPr="00D41D30">
              <w:rPr>
                <w:rFonts w:ascii="標楷體﹐.." w:eastAsia="標楷體﹐.." w:cs="標楷體﹐.." w:hint="eastAsia"/>
                <w:color w:val="000000" w:themeColor="text1"/>
                <w:kern w:val="0"/>
                <w:sz w:val="26"/>
                <w:szCs w:val="26"/>
              </w:rPr>
              <w:t>2.</w:t>
            </w:r>
            <w:r w:rsidR="00B51307" w:rsidRPr="00D41D30">
              <w:rPr>
                <w:rFonts w:ascii="標楷體﹐.." w:eastAsia="標楷體﹐.." w:cs="標楷體﹐.." w:hint="eastAsia"/>
                <w:color w:val="000000" w:themeColor="text1"/>
                <w:kern w:val="0"/>
                <w:sz w:val="26"/>
                <w:szCs w:val="26"/>
              </w:rPr>
              <w:t>保留部分名額，提供需關懷之55歲以上國民參與，並減免相關費用。</w:t>
            </w:r>
          </w:p>
        </w:tc>
        <w:tc>
          <w:tcPr>
            <w:tcW w:w="1374" w:type="dxa"/>
            <w:shd w:val="clear" w:color="auto" w:fill="auto"/>
          </w:tcPr>
          <w:p w:rsidR="00B51307" w:rsidRPr="00D41D30" w:rsidRDefault="00B51307" w:rsidP="00054B3C">
            <w:pPr>
              <w:adjustRightInd w:val="0"/>
              <w:snapToGrid w:val="0"/>
              <w:rPr>
                <w:rFonts w:ascii="標楷體﹐.." w:eastAsia="標楷體﹐.." w:cs="標楷體﹐.."/>
                <w:color w:val="000000" w:themeColor="text1"/>
                <w:kern w:val="0"/>
                <w:sz w:val="26"/>
                <w:szCs w:val="26"/>
              </w:rPr>
            </w:pPr>
            <w:r w:rsidRPr="00D41D30">
              <w:rPr>
                <w:rFonts w:ascii="標楷體﹐.." w:eastAsia="標楷體﹐.." w:cs="標楷體﹐.." w:hint="eastAsia"/>
                <w:color w:val="000000" w:themeColor="text1"/>
                <w:kern w:val="0"/>
                <w:sz w:val="26"/>
                <w:szCs w:val="26"/>
              </w:rPr>
              <w:t>不收費。</w:t>
            </w:r>
          </w:p>
        </w:tc>
      </w:tr>
    </w:tbl>
    <w:p w:rsidR="00B44A1E" w:rsidRPr="00D41D30" w:rsidRDefault="00B44A1E" w:rsidP="00B44A1E">
      <w:pPr>
        <w:rPr>
          <w:color w:val="000000" w:themeColor="text1"/>
          <w:sz w:val="24"/>
          <w:szCs w:val="24"/>
        </w:rPr>
      </w:pPr>
      <w:r w:rsidRPr="00D41D30">
        <w:rPr>
          <w:rFonts w:hint="eastAsia"/>
          <w:color w:val="000000" w:themeColor="text1"/>
          <w:sz w:val="24"/>
          <w:szCs w:val="24"/>
        </w:rPr>
        <w:lastRenderedPageBreak/>
        <w:t>資料來源：教育部調卷資料</w:t>
      </w:r>
    </w:p>
    <w:p w:rsidR="00D7741A" w:rsidRPr="00D41D30" w:rsidRDefault="00D7741A" w:rsidP="005F09AD">
      <w:pPr>
        <w:pStyle w:val="2"/>
        <w:spacing w:beforeLines="100" w:before="457"/>
        <w:ind w:left="1020" w:hanging="680"/>
        <w:rPr>
          <w:b/>
          <w:color w:val="000000" w:themeColor="text1"/>
        </w:rPr>
      </w:pPr>
      <w:bookmarkStart w:id="469" w:name="_Toc33011719"/>
      <w:r w:rsidRPr="00D41D30">
        <w:rPr>
          <w:rFonts w:hint="eastAsia"/>
          <w:b/>
          <w:color w:val="000000" w:themeColor="text1"/>
        </w:rPr>
        <w:t>樂齡學習中心之執行情形</w:t>
      </w:r>
      <w:bookmarkEnd w:id="469"/>
    </w:p>
    <w:p w:rsidR="00D7741A" w:rsidRPr="00D41D30" w:rsidRDefault="00D7741A" w:rsidP="000228DD">
      <w:pPr>
        <w:pStyle w:val="3"/>
        <w:rPr>
          <w:color w:val="000000" w:themeColor="text1"/>
        </w:rPr>
      </w:pPr>
      <w:bookmarkStart w:id="470" w:name="_Toc16500641"/>
      <w:bookmarkStart w:id="471" w:name="_Toc16588716"/>
      <w:bookmarkStart w:id="472" w:name="_Toc16693346"/>
      <w:bookmarkStart w:id="473" w:name="_Toc30512472"/>
      <w:bookmarkStart w:id="474" w:name="_Toc30581180"/>
      <w:bookmarkStart w:id="475" w:name="_Toc32392453"/>
      <w:bookmarkStart w:id="476" w:name="_Toc32673643"/>
      <w:bookmarkStart w:id="477" w:name="_Toc32845785"/>
      <w:bookmarkStart w:id="478" w:name="_Toc32846508"/>
      <w:bookmarkStart w:id="479" w:name="_Toc32913751"/>
      <w:bookmarkStart w:id="480" w:name="_Toc32918427"/>
      <w:bookmarkStart w:id="481" w:name="_Toc33011720"/>
      <w:r w:rsidRPr="00D41D30">
        <w:rPr>
          <w:rFonts w:hint="eastAsia"/>
          <w:color w:val="000000" w:themeColor="text1"/>
        </w:rPr>
        <w:t>起源</w:t>
      </w:r>
      <w:bookmarkEnd w:id="470"/>
      <w:bookmarkEnd w:id="471"/>
      <w:bookmarkEnd w:id="472"/>
      <w:bookmarkEnd w:id="473"/>
      <w:bookmarkEnd w:id="474"/>
      <w:bookmarkEnd w:id="475"/>
      <w:bookmarkEnd w:id="476"/>
      <w:bookmarkEnd w:id="477"/>
      <w:bookmarkEnd w:id="478"/>
      <w:bookmarkEnd w:id="479"/>
      <w:bookmarkEnd w:id="480"/>
      <w:bookmarkEnd w:id="481"/>
    </w:p>
    <w:p w:rsidR="00D7741A" w:rsidRPr="00D41D30" w:rsidRDefault="00D7741A" w:rsidP="004A3A74">
      <w:pPr>
        <w:pStyle w:val="4"/>
        <w:rPr>
          <w:color w:val="000000" w:themeColor="text1"/>
        </w:rPr>
      </w:pPr>
      <w:r w:rsidRPr="00D41D30">
        <w:rPr>
          <w:rFonts w:hint="eastAsia"/>
          <w:color w:val="000000" w:themeColor="text1"/>
        </w:rPr>
        <w:t>教育部95年委託國立中正大學進行「老人教育機構現況調查」顯示，有8成的老人從未出來學習，資訊不足是很大的因素；而同年委託世新大學進行「我國已邁入高齡化社會之看法民意調查研究」，對目前老人學習場所是否足夠的問題，反應「足夠」者，占22.7</w:t>
      </w:r>
      <w:r w:rsidR="00AA037A" w:rsidRPr="00D41D30">
        <w:rPr>
          <w:rFonts w:hint="eastAsia"/>
          <w:color w:val="000000" w:themeColor="text1"/>
        </w:rPr>
        <w:t>%</w:t>
      </w:r>
      <w:r w:rsidRPr="00D41D30">
        <w:rPr>
          <w:rFonts w:hint="eastAsia"/>
          <w:color w:val="000000" w:themeColor="text1"/>
        </w:rPr>
        <w:t>；「不足夠」者，占61.1</w:t>
      </w:r>
      <w:r w:rsidR="00AA037A" w:rsidRPr="00D41D30">
        <w:rPr>
          <w:rFonts w:hint="eastAsia"/>
          <w:color w:val="000000" w:themeColor="text1"/>
        </w:rPr>
        <w:t>%</w:t>
      </w:r>
      <w:r w:rsidRPr="00D41D30">
        <w:rPr>
          <w:rFonts w:hint="eastAsia"/>
          <w:color w:val="000000" w:themeColor="text1"/>
        </w:rPr>
        <w:t>。</w:t>
      </w:r>
    </w:p>
    <w:p w:rsidR="00D7741A" w:rsidRPr="00D41D30" w:rsidRDefault="00D7741A" w:rsidP="000930FC">
      <w:pPr>
        <w:pStyle w:val="4"/>
        <w:rPr>
          <w:color w:val="000000" w:themeColor="text1"/>
        </w:rPr>
      </w:pPr>
      <w:r w:rsidRPr="00D41D30">
        <w:rPr>
          <w:rFonts w:hint="eastAsia"/>
          <w:color w:val="000000" w:themeColor="text1"/>
        </w:rPr>
        <w:t>為因應廣大的老年族群及建構完善的在地學習體系，基於96年設置「社區學習中心」的經驗，97年起，教育部除結合學校外，更由直轄市、縣（市）政府依據鄉鎮市區選擇適合的單位成立學習場所，如鄉鎮市區公所之公共空間（含圖書館）、民間團體、農會及漁會等，於既有的基礎上，擴充「教育與學習」之服務功能，成立「樂齡學習資源中心</w:t>
      </w:r>
      <w:r w:rsidR="00B562C7" w:rsidRPr="00D41D30">
        <w:rPr>
          <w:rFonts w:hint="eastAsia"/>
          <w:color w:val="000000" w:themeColor="text1"/>
        </w:rPr>
        <w:t>（</w:t>
      </w:r>
      <w:r w:rsidRPr="00D41D30">
        <w:rPr>
          <w:rFonts w:hint="eastAsia"/>
          <w:color w:val="000000" w:themeColor="text1"/>
        </w:rPr>
        <w:t>後更名為樂齡學習中心</w:t>
      </w:r>
      <w:r w:rsidR="006B5136" w:rsidRPr="00D41D30">
        <w:rPr>
          <w:rFonts w:hint="eastAsia"/>
          <w:color w:val="000000" w:themeColor="text1"/>
        </w:rPr>
        <w:t>）</w:t>
      </w:r>
      <w:r w:rsidRPr="00D41D30">
        <w:rPr>
          <w:rFonts w:hint="eastAsia"/>
          <w:color w:val="000000" w:themeColor="text1"/>
        </w:rPr>
        <w:t>」。</w:t>
      </w:r>
    </w:p>
    <w:p w:rsidR="00D7741A" w:rsidRPr="00D41D30" w:rsidRDefault="00D7741A" w:rsidP="00840529">
      <w:pPr>
        <w:pStyle w:val="3"/>
        <w:rPr>
          <w:color w:val="000000" w:themeColor="text1"/>
        </w:rPr>
      </w:pPr>
      <w:bookmarkStart w:id="482" w:name="_Toc16500642"/>
      <w:bookmarkStart w:id="483" w:name="_Toc16588717"/>
      <w:bookmarkStart w:id="484" w:name="_Toc16693347"/>
      <w:bookmarkStart w:id="485" w:name="_Toc30512473"/>
      <w:bookmarkStart w:id="486" w:name="_Toc30581181"/>
      <w:bookmarkStart w:id="487" w:name="_Toc32392454"/>
      <w:bookmarkStart w:id="488" w:name="_Toc32673644"/>
      <w:bookmarkStart w:id="489" w:name="_Toc32845786"/>
      <w:bookmarkStart w:id="490" w:name="_Toc32846509"/>
      <w:bookmarkStart w:id="491" w:name="_Toc32913752"/>
      <w:bookmarkStart w:id="492" w:name="_Toc32918428"/>
      <w:bookmarkStart w:id="493" w:name="_Toc33011721"/>
      <w:r w:rsidRPr="00D41D30">
        <w:rPr>
          <w:rFonts w:hint="eastAsia"/>
          <w:color w:val="000000" w:themeColor="text1"/>
        </w:rPr>
        <w:t>特色</w:t>
      </w:r>
      <w:bookmarkEnd w:id="482"/>
      <w:bookmarkEnd w:id="483"/>
      <w:bookmarkEnd w:id="484"/>
      <w:bookmarkEnd w:id="485"/>
      <w:bookmarkEnd w:id="486"/>
      <w:bookmarkEnd w:id="487"/>
      <w:bookmarkEnd w:id="488"/>
      <w:bookmarkEnd w:id="489"/>
      <w:bookmarkEnd w:id="490"/>
      <w:bookmarkEnd w:id="491"/>
      <w:bookmarkEnd w:id="492"/>
      <w:bookmarkEnd w:id="493"/>
    </w:p>
    <w:p w:rsidR="00D7741A" w:rsidRPr="00D41D30" w:rsidRDefault="00D7741A" w:rsidP="00840529">
      <w:pPr>
        <w:pStyle w:val="4"/>
        <w:rPr>
          <w:color w:val="000000" w:themeColor="text1"/>
        </w:rPr>
      </w:pPr>
      <w:r w:rsidRPr="00D41D30">
        <w:rPr>
          <w:rFonts w:hint="eastAsia"/>
          <w:color w:val="000000" w:themeColor="text1"/>
        </w:rPr>
        <w:t>為落實「在地學習」理念，樂齡中心以全國368鄉鎮市區至少設置1所為目標，以「一鄉鎮、一特色」的方式規劃，為建構本土化的樂齡學習典範，及開創更多元管道的樂齡學習創新方案，100年由全國200多所樂齡中心，選擇臺北市、新北市、臺中市、新竹縣、嘉義縣、臺南</w:t>
      </w:r>
      <w:r w:rsidRPr="00D41D30">
        <w:rPr>
          <w:rFonts w:hint="eastAsia"/>
          <w:color w:val="000000" w:themeColor="text1"/>
        </w:rPr>
        <w:lastRenderedPageBreak/>
        <w:t>市及屏東縣等7個縣市，率先成立該縣市的「樂齡學習示範中心」，並進行國內首創樂齡學習空間改造，建構親善的長者學習環境，提供國內未來觀摩空間的參考及典範，目前全國有11所示範中心，106年因應鄉鎮市區老年人口比率超過20%</w:t>
      </w:r>
      <w:r w:rsidR="00B562C7" w:rsidRPr="00D41D30">
        <w:rPr>
          <w:rFonts w:hint="eastAsia"/>
          <w:color w:val="000000" w:themeColor="text1"/>
        </w:rPr>
        <w:t>（</w:t>
      </w:r>
      <w:r w:rsidRPr="00D41D30">
        <w:rPr>
          <w:rFonts w:hint="eastAsia"/>
          <w:color w:val="000000" w:themeColor="text1"/>
        </w:rPr>
        <w:t>含</w:t>
      </w:r>
      <w:r w:rsidR="006B5136" w:rsidRPr="00D41D30">
        <w:rPr>
          <w:rFonts w:hint="eastAsia"/>
          <w:color w:val="000000" w:themeColor="text1"/>
        </w:rPr>
        <w:t>）</w:t>
      </w:r>
      <w:r w:rsidRPr="00D41D30">
        <w:rPr>
          <w:rFonts w:hint="eastAsia"/>
          <w:color w:val="000000" w:themeColor="text1"/>
        </w:rPr>
        <w:t>以上，或該鄉鎮市區老年人口人數超過2萬人以上者，為「</w:t>
      </w:r>
      <w:r w:rsidRPr="00D41D30">
        <w:rPr>
          <w:rFonts w:hint="eastAsia"/>
          <w:color w:val="000000" w:themeColor="text1"/>
        </w:rPr>
        <w:tab/>
        <w:t>樂齡學習優先推動區」，該區得加設1所樂齡中心，提供55歲以上國民活躍老化核心課程，繼續學習及參與，促進其健康、安全，提升生活品質，達成樂齡學習目標。</w:t>
      </w:r>
      <w:r w:rsidR="002532DE" w:rsidRPr="00D41D30">
        <w:rPr>
          <w:rFonts w:hint="eastAsia"/>
          <w:color w:val="000000" w:themeColor="text1"/>
        </w:rPr>
        <w:t>全國樂齡學習中心辦理單位，詳如下表。</w:t>
      </w:r>
    </w:p>
    <w:p w:rsidR="00D7741A" w:rsidRPr="00D41D30" w:rsidRDefault="00D7741A" w:rsidP="005D48DA">
      <w:pPr>
        <w:pStyle w:val="a4"/>
        <w:ind w:left="697" w:hanging="697"/>
        <w:rPr>
          <w:b/>
          <w:color w:val="000000" w:themeColor="text1"/>
        </w:rPr>
      </w:pPr>
      <w:r w:rsidRPr="00D41D30">
        <w:rPr>
          <w:b/>
          <w:color w:val="000000" w:themeColor="text1"/>
        </w:rPr>
        <w:t>103年至10</w:t>
      </w:r>
      <w:r w:rsidR="00BD6704" w:rsidRPr="00D41D30">
        <w:rPr>
          <w:rFonts w:hint="eastAsia"/>
          <w:b/>
          <w:color w:val="000000" w:themeColor="text1"/>
        </w:rPr>
        <w:t>8</w:t>
      </w:r>
      <w:r w:rsidRPr="00D41D30">
        <w:rPr>
          <w:b/>
          <w:color w:val="000000" w:themeColor="text1"/>
        </w:rPr>
        <w:t>年全國樂齡學習中心辦理單位分析一覽表</w:t>
      </w:r>
    </w:p>
    <w:tbl>
      <w:tblPr>
        <w:tblW w:w="55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757"/>
        <w:gridCol w:w="711"/>
        <w:gridCol w:w="593"/>
        <w:gridCol w:w="555"/>
        <w:gridCol w:w="1003"/>
        <w:gridCol w:w="553"/>
        <w:gridCol w:w="703"/>
        <w:gridCol w:w="689"/>
        <w:gridCol w:w="825"/>
        <w:gridCol w:w="691"/>
        <w:gridCol w:w="553"/>
        <w:gridCol w:w="553"/>
        <w:gridCol w:w="691"/>
        <w:gridCol w:w="697"/>
      </w:tblGrid>
      <w:tr w:rsidR="00D7741A" w:rsidRPr="00D41D30" w:rsidTr="00E55784">
        <w:trPr>
          <w:trHeight w:val="397"/>
          <w:jc w:val="center"/>
        </w:trPr>
        <w:tc>
          <w:tcPr>
            <w:tcW w:w="395" w:type="pct"/>
            <w:vMerge w:val="restar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中心數</w:t>
            </w:r>
          </w:p>
        </w:tc>
        <w:tc>
          <w:tcPr>
            <w:tcW w:w="2150" w:type="pct"/>
            <w:gridSpan w:val="6"/>
            <w:shd w:val="clear" w:color="auto" w:fill="DDD9C3" w:themeFill="background2" w:themeFillShade="E6"/>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學校</w:t>
            </w:r>
          </w:p>
        </w:tc>
        <w:tc>
          <w:tcPr>
            <w:tcW w:w="2455" w:type="pct"/>
            <w:gridSpan w:val="7"/>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其他團體</w:t>
            </w:r>
          </w:p>
        </w:tc>
      </w:tr>
      <w:tr w:rsidR="00675610" w:rsidRPr="00D41D30" w:rsidTr="00E55784">
        <w:trPr>
          <w:trHeight w:val="541"/>
          <w:jc w:val="center"/>
        </w:trPr>
        <w:tc>
          <w:tcPr>
            <w:tcW w:w="395" w:type="pct"/>
            <w:vMerge/>
            <w:shd w:val="clear" w:color="auto" w:fill="DDD9C3" w:themeFill="background2" w:themeFillShade="E6"/>
            <w:vAlign w:val="center"/>
            <w:hideMark/>
          </w:tcPr>
          <w:p w:rsidR="00D7741A" w:rsidRPr="00D41D30" w:rsidRDefault="00D7741A" w:rsidP="006C4734">
            <w:pPr>
              <w:widowControl/>
              <w:spacing w:line="240" w:lineRule="exact"/>
              <w:jc w:val="center"/>
              <w:rPr>
                <w:rFonts w:hAnsi="標楷體"/>
                <w:b/>
                <w:bCs/>
                <w:color w:val="000000" w:themeColor="text1"/>
                <w:spacing w:val="-20"/>
                <w:kern w:val="0"/>
                <w:sz w:val="24"/>
                <w:szCs w:val="24"/>
              </w:rPr>
            </w:pPr>
          </w:p>
        </w:tc>
        <w:tc>
          <w:tcPr>
            <w:tcW w:w="371" w:type="pct"/>
            <w:shd w:val="clear" w:color="auto" w:fill="DDD9C3" w:themeFill="background2" w:themeFillShade="E6"/>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幼兒園</w:t>
            </w:r>
          </w:p>
        </w:tc>
        <w:tc>
          <w:tcPr>
            <w:tcW w:w="309"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國小</w:t>
            </w:r>
          </w:p>
        </w:tc>
        <w:tc>
          <w:tcPr>
            <w:tcW w:w="290"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國中</w:t>
            </w:r>
          </w:p>
        </w:tc>
        <w:tc>
          <w:tcPr>
            <w:tcW w:w="524"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高</w:t>
            </w:r>
            <w:r w:rsidRPr="00D41D30">
              <w:rPr>
                <w:rFonts w:hAnsi="標楷體" w:hint="eastAsia"/>
                <w:b/>
                <w:bCs/>
                <w:color w:val="000000" w:themeColor="text1"/>
                <w:spacing w:val="-20"/>
                <w:kern w:val="0"/>
                <w:sz w:val="24"/>
                <w:szCs w:val="24"/>
              </w:rPr>
              <w:t>級</w:t>
            </w:r>
          </w:p>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中</w:t>
            </w:r>
            <w:r w:rsidRPr="00D41D30">
              <w:rPr>
                <w:rFonts w:hAnsi="標楷體" w:hint="eastAsia"/>
                <w:b/>
                <w:bCs/>
                <w:color w:val="000000" w:themeColor="text1"/>
                <w:spacing w:val="-20"/>
                <w:kern w:val="0"/>
                <w:sz w:val="24"/>
                <w:szCs w:val="24"/>
              </w:rPr>
              <w:t>等學校</w:t>
            </w:r>
          </w:p>
        </w:tc>
        <w:tc>
          <w:tcPr>
            <w:tcW w:w="289"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大專</w:t>
            </w:r>
          </w:p>
        </w:tc>
        <w:tc>
          <w:tcPr>
            <w:tcW w:w="367"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小計</w:t>
            </w:r>
          </w:p>
        </w:tc>
        <w:tc>
          <w:tcPr>
            <w:tcW w:w="360"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公所</w:t>
            </w:r>
          </w:p>
        </w:tc>
        <w:tc>
          <w:tcPr>
            <w:tcW w:w="431"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圖書館</w:t>
            </w:r>
          </w:p>
        </w:tc>
        <w:tc>
          <w:tcPr>
            <w:tcW w:w="361"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民間</w:t>
            </w:r>
          </w:p>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團體</w:t>
            </w:r>
          </w:p>
        </w:tc>
        <w:tc>
          <w:tcPr>
            <w:tcW w:w="289"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農會</w:t>
            </w:r>
          </w:p>
        </w:tc>
        <w:tc>
          <w:tcPr>
            <w:tcW w:w="289"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漁會</w:t>
            </w:r>
          </w:p>
        </w:tc>
        <w:tc>
          <w:tcPr>
            <w:tcW w:w="361"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醫院</w:t>
            </w:r>
          </w:p>
        </w:tc>
        <w:tc>
          <w:tcPr>
            <w:tcW w:w="363" w:type="pct"/>
            <w:shd w:val="clear" w:color="auto" w:fill="DDD9C3" w:themeFill="background2" w:themeFillShade="E6"/>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小計</w:t>
            </w:r>
          </w:p>
        </w:tc>
      </w:tr>
      <w:tr w:rsidR="00675610" w:rsidRPr="00D41D30" w:rsidTr="00587FAD">
        <w:trPr>
          <w:trHeight w:val="63"/>
          <w:jc w:val="center"/>
        </w:trPr>
        <w:tc>
          <w:tcPr>
            <w:tcW w:w="395"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103</w:t>
            </w:r>
            <w:r w:rsidRPr="00D41D30">
              <w:rPr>
                <w:rFonts w:hAnsi="標楷體" w:hint="eastAsia"/>
                <w:b/>
                <w:bCs/>
                <w:color w:val="000000" w:themeColor="text1"/>
                <w:spacing w:val="-20"/>
                <w:kern w:val="0"/>
                <w:sz w:val="24"/>
                <w:szCs w:val="24"/>
              </w:rPr>
              <w:t>年</w:t>
            </w:r>
          </w:p>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306所</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120</w:t>
            </w:r>
          </w:p>
        </w:tc>
        <w:tc>
          <w:tcPr>
            <w:tcW w:w="290"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15</w:t>
            </w:r>
          </w:p>
        </w:tc>
        <w:tc>
          <w:tcPr>
            <w:tcW w:w="524"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w:t>
            </w:r>
          </w:p>
        </w:tc>
        <w:tc>
          <w:tcPr>
            <w:tcW w:w="28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9</w:t>
            </w:r>
          </w:p>
        </w:tc>
        <w:tc>
          <w:tcPr>
            <w:tcW w:w="367" w:type="pct"/>
            <w:shd w:val="clear" w:color="auto" w:fill="auto"/>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147</w:t>
            </w:r>
          </w:p>
        </w:tc>
        <w:tc>
          <w:tcPr>
            <w:tcW w:w="360"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30</w:t>
            </w:r>
          </w:p>
        </w:tc>
        <w:tc>
          <w:tcPr>
            <w:tcW w:w="431"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6</w:t>
            </w:r>
          </w:p>
        </w:tc>
        <w:tc>
          <w:tcPr>
            <w:tcW w:w="361"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119</w:t>
            </w:r>
          </w:p>
        </w:tc>
        <w:tc>
          <w:tcPr>
            <w:tcW w:w="28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w:t>
            </w:r>
          </w:p>
        </w:tc>
        <w:tc>
          <w:tcPr>
            <w:tcW w:w="28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1" w:type="pct"/>
            <w:shd w:val="clear" w:color="auto" w:fill="auto"/>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w:t>
            </w:r>
          </w:p>
        </w:tc>
        <w:tc>
          <w:tcPr>
            <w:tcW w:w="363" w:type="pct"/>
            <w:shd w:val="clear" w:color="auto" w:fill="auto"/>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159</w:t>
            </w:r>
          </w:p>
        </w:tc>
      </w:tr>
      <w:tr w:rsidR="00675610" w:rsidRPr="00D41D30" w:rsidTr="00587FAD">
        <w:trPr>
          <w:trHeight w:val="63"/>
          <w:jc w:val="center"/>
        </w:trPr>
        <w:tc>
          <w:tcPr>
            <w:tcW w:w="395"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比例%</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39.2</w:t>
            </w:r>
          </w:p>
        </w:tc>
        <w:tc>
          <w:tcPr>
            <w:tcW w:w="290"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4.9</w:t>
            </w:r>
          </w:p>
        </w:tc>
        <w:tc>
          <w:tcPr>
            <w:tcW w:w="524"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1.0</w:t>
            </w:r>
          </w:p>
        </w:tc>
        <w:tc>
          <w:tcPr>
            <w:tcW w:w="28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2.9</w:t>
            </w:r>
          </w:p>
        </w:tc>
        <w:tc>
          <w:tcPr>
            <w:tcW w:w="367" w:type="pct"/>
            <w:shd w:val="clear" w:color="auto" w:fill="auto"/>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48</w:t>
            </w:r>
          </w:p>
        </w:tc>
        <w:tc>
          <w:tcPr>
            <w:tcW w:w="360"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9.8</w:t>
            </w:r>
          </w:p>
        </w:tc>
        <w:tc>
          <w:tcPr>
            <w:tcW w:w="431" w:type="pct"/>
            <w:shd w:val="clear" w:color="auto" w:fill="auto"/>
            <w:noWrap/>
            <w:vAlign w:val="center"/>
            <w:hideMark/>
          </w:tcPr>
          <w:p w:rsidR="00D7741A" w:rsidRPr="00D41D30" w:rsidRDefault="00D7741A" w:rsidP="006C4734">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2.0</w:t>
            </w:r>
          </w:p>
        </w:tc>
        <w:tc>
          <w:tcPr>
            <w:tcW w:w="361"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38.9</w:t>
            </w:r>
          </w:p>
        </w:tc>
        <w:tc>
          <w:tcPr>
            <w:tcW w:w="28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1.0</w:t>
            </w:r>
          </w:p>
        </w:tc>
        <w:tc>
          <w:tcPr>
            <w:tcW w:w="289" w:type="pct"/>
            <w:shd w:val="clear" w:color="auto" w:fill="auto"/>
            <w:noWrap/>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0.3</w:t>
            </w:r>
          </w:p>
        </w:tc>
        <w:tc>
          <w:tcPr>
            <w:tcW w:w="361" w:type="pct"/>
            <w:shd w:val="clear" w:color="auto" w:fill="auto"/>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w:t>
            </w:r>
          </w:p>
        </w:tc>
        <w:tc>
          <w:tcPr>
            <w:tcW w:w="363" w:type="pct"/>
            <w:shd w:val="clear" w:color="auto" w:fill="auto"/>
            <w:vAlign w:val="center"/>
            <w:hideMark/>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52</w:t>
            </w:r>
          </w:p>
        </w:tc>
      </w:tr>
      <w:tr w:rsidR="00675610" w:rsidRPr="00D41D30" w:rsidTr="00587FAD">
        <w:trPr>
          <w:trHeight w:val="63"/>
          <w:jc w:val="center"/>
        </w:trPr>
        <w:tc>
          <w:tcPr>
            <w:tcW w:w="395"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104年</w:t>
            </w:r>
          </w:p>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313所</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122</w:t>
            </w:r>
          </w:p>
        </w:tc>
        <w:tc>
          <w:tcPr>
            <w:tcW w:w="29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14</w:t>
            </w:r>
          </w:p>
        </w:tc>
        <w:tc>
          <w:tcPr>
            <w:tcW w:w="524"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5</w:t>
            </w:r>
          </w:p>
        </w:tc>
        <w:tc>
          <w:tcPr>
            <w:tcW w:w="367"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142</w:t>
            </w:r>
          </w:p>
        </w:tc>
        <w:tc>
          <w:tcPr>
            <w:tcW w:w="36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29</w:t>
            </w:r>
          </w:p>
        </w:tc>
        <w:tc>
          <w:tcPr>
            <w:tcW w:w="431" w:type="pct"/>
            <w:shd w:val="clear" w:color="auto" w:fill="auto"/>
            <w:noWrap/>
            <w:vAlign w:val="center"/>
          </w:tcPr>
          <w:p w:rsidR="00D7741A" w:rsidRPr="00D41D30" w:rsidRDefault="00D7741A" w:rsidP="006C4734">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6</w:t>
            </w:r>
          </w:p>
        </w:tc>
        <w:tc>
          <w:tcPr>
            <w:tcW w:w="361"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132</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1"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w:t>
            </w:r>
          </w:p>
        </w:tc>
        <w:tc>
          <w:tcPr>
            <w:tcW w:w="363"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171</w:t>
            </w:r>
          </w:p>
        </w:tc>
      </w:tr>
      <w:tr w:rsidR="00675610" w:rsidRPr="00D41D30" w:rsidTr="00587FAD">
        <w:trPr>
          <w:trHeight w:val="63"/>
          <w:jc w:val="center"/>
        </w:trPr>
        <w:tc>
          <w:tcPr>
            <w:tcW w:w="395"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比例%</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38.9</w:t>
            </w:r>
          </w:p>
        </w:tc>
        <w:tc>
          <w:tcPr>
            <w:tcW w:w="29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4.4</w:t>
            </w:r>
          </w:p>
        </w:tc>
        <w:tc>
          <w:tcPr>
            <w:tcW w:w="524"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0.3</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1.6</w:t>
            </w:r>
          </w:p>
        </w:tc>
        <w:tc>
          <w:tcPr>
            <w:tcW w:w="367"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45</w:t>
            </w:r>
          </w:p>
        </w:tc>
        <w:tc>
          <w:tcPr>
            <w:tcW w:w="36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9.26</w:t>
            </w:r>
          </w:p>
        </w:tc>
        <w:tc>
          <w:tcPr>
            <w:tcW w:w="431" w:type="pct"/>
            <w:shd w:val="clear" w:color="auto" w:fill="auto"/>
            <w:noWrap/>
            <w:vAlign w:val="center"/>
          </w:tcPr>
          <w:p w:rsidR="00D7741A" w:rsidRPr="00D41D30" w:rsidRDefault="00D7741A" w:rsidP="006C4734">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1.9</w:t>
            </w:r>
          </w:p>
        </w:tc>
        <w:tc>
          <w:tcPr>
            <w:tcW w:w="361"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42.1</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1.0</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0.3</w:t>
            </w:r>
          </w:p>
        </w:tc>
        <w:tc>
          <w:tcPr>
            <w:tcW w:w="361"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9.27</w:t>
            </w:r>
          </w:p>
        </w:tc>
        <w:tc>
          <w:tcPr>
            <w:tcW w:w="363"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55</w:t>
            </w:r>
          </w:p>
        </w:tc>
      </w:tr>
      <w:tr w:rsidR="00675610" w:rsidRPr="00D41D30" w:rsidTr="00587FAD">
        <w:trPr>
          <w:trHeight w:val="63"/>
          <w:jc w:val="center"/>
        </w:trPr>
        <w:tc>
          <w:tcPr>
            <w:tcW w:w="395"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105年</w:t>
            </w:r>
          </w:p>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339所</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132</w:t>
            </w:r>
          </w:p>
        </w:tc>
        <w:tc>
          <w:tcPr>
            <w:tcW w:w="29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11</w:t>
            </w:r>
          </w:p>
        </w:tc>
        <w:tc>
          <w:tcPr>
            <w:tcW w:w="524"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w:t>
            </w:r>
          </w:p>
        </w:tc>
        <w:tc>
          <w:tcPr>
            <w:tcW w:w="367"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148</w:t>
            </w:r>
          </w:p>
        </w:tc>
        <w:tc>
          <w:tcPr>
            <w:tcW w:w="36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32</w:t>
            </w:r>
          </w:p>
        </w:tc>
        <w:tc>
          <w:tcPr>
            <w:tcW w:w="431" w:type="pct"/>
            <w:shd w:val="clear" w:color="auto" w:fill="auto"/>
            <w:noWrap/>
            <w:vAlign w:val="center"/>
          </w:tcPr>
          <w:p w:rsidR="00D7741A" w:rsidRPr="00D41D30" w:rsidRDefault="00D7741A" w:rsidP="006C4734">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7</w:t>
            </w:r>
          </w:p>
        </w:tc>
        <w:tc>
          <w:tcPr>
            <w:tcW w:w="361"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146</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1"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3"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191</w:t>
            </w:r>
          </w:p>
        </w:tc>
      </w:tr>
      <w:tr w:rsidR="00675610" w:rsidRPr="00D41D30" w:rsidTr="00587FAD">
        <w:trPr>
          <w:trHeight w:val="63"/>
          <w:jc w:val="center"/>
        </w:trPr>
        <w:tc>
          <w:tcPr>
            <w:tcW w:w="395"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比例%</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38.94</w:t>
            </w:r>
          </w:p>
        </w:tc>
        <w:tc>
          <w:tcPr>
            <w:tcW w:w="29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3.24</w:t>
            </w:r>
          </w:p>
        </w:tc>
        <w:tc>
          <w:tcPr>
            <w:tcW w:w="524"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0.29</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1.18</w:t>
            </w:r>
          </w:p>
        </w:tc>
        <w:tc>
          <w:tcPr>
            <w:tcW w:w="367"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43.66</w:t>
            </w:r>
          </w:p>
        </w:tc>
        <w:tc>
          <w:tcPr>
            <w:tcW w:w="36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9.44</w:t>
            </w:r>
          </w:p>
        </w:tc>
        <w:tc>
          <w:tcPr>
            <w:tcW w:w="431" w:type="pct"/>
            <w:shd w:val="clear" w:color="auto" w:fill="auto"/>
            <w:noWrap/>
            <w:vAlign w:val="center"/>
          </w:tcPr>
          <w:p w:rsidR="00D7741A" w:rsidRPr="00D41D30" w:rsidRDefault="00D7741A" w:rsidP="006C4734">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2.06</w:t>
            </w:r>
          </w:p>
        </w:tc>
        <w:tc>
          <w:tcPr>
            <w:tcW w:w="361"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43.07</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1.18</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0.29</w:t>
            </w:r>
          </w:p>
        </w:tc>
        <w:tc>
          <w:tcPr>
            <w:tcW w:w="361"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0.29</w:t>
            </w:r>
          </w:p>
        </w:tc>
        <w:tc>
          <w:tcPr>
            <w:tcW w:w="363"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56.34</w:t>
            </w:r>
          </w:p>
        </w:tc>
      </w:tr>
      <w:tr w:rsidR="00675610" w:rsidRPr="00D41D30" w:rsidTr="00587FAD">
        <w:trPr>
          <w:trHeight w:val="200"/>
          <w:jc w:val="center"/>
        </w:trPr>
        <w:tc>
          <w:tcPr>
            <w:tcW w:w="395"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106年</w:t>
            </w:r>
          </w:p>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362所</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132</w:t>
            </w:r>
          </w:p>
        </w:tc>
        <w:tc>
          <w:tcPr>
            <w:tcW w:w="29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13</w:t>
            </w:r>
          </w:p>
        </w:tc>
        <w:tc>
          <w:tcPr>
            <w:tcW w:w="524"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7</w:t>
            </w:r>
          </w:p>
        </w:tc>
        <w:tc>
          <w:tcPr>
            <w:tcW w:w="367"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154</w:t>
            </w:r>
          </w:p>
        </w:tc>
        <w:tc>
          <w:tcPr>
            <w:tcW w:w="36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37</w:t>
            </w:r>
          </w:p>
        </w:tc>
        <w:tc>
          <w:tcPr>
            <w:tcW w:w="431" w:type="pct"/>
            <w:shd w:val="clear" w:color="auto" w:fill="auto"/>
            <w:noWrap/>
            <w:vAlign w:val="center"/>
          </w:tcPr>
          <w:p w:rsidR="00D7741A" w:rsidRPr="00D41D30" w:rsidRDefault="00D7741A" w:rsidP="006C4734">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6</w:t>
            </w:r>
          </w:p>
        </w:tc>
        <w:tc>
          <w:tcPr>
            <w:tcW w:w="361"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159</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1"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3"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208</w:t>
            </w:r>
          </w:p>
        </w:tc>
      </w:tr>
      <w:tr w:rsidR="00675610" w:rsidRPr="00D41D30" w:rsidTr="00587FAD">
        <w:trPr>
          <w:trHeight w:val="63"/>
          <w:jc w:val="center"/>
        </w:trPr>
        <w:tc>
          <w:tcPr>
            <w:tcW w:w="395"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比例%</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36.36</w:t>
            </w:r>
          </w:p>
        </w:tc>
        <w:tc>
          <w:tcPr>
            <w:tcW w:w="29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3.63</w:t>
            </w:r>
          </w:p>
        </w:tc>
        <w:tc>
          <w:tcPr>
            <w:tcW w:w="524"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0.55</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1.93</w:t>
            </w:r>
          </w:p>
        </w:tc>
        <w:tc>
          <w:tcPr>
            <w:tcW w:w="367"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43</w:t>
            </w:r>
          </w:p>
        </w:tc>
        <w:tc>
          <w:tcPr>
            <w:tcW w:w="36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10.19</w:t>
            </w:r>
          </w:p>
        </w:tc>
        <w:tc>
          <w:tcPr>
            <w:tcW w:w="431" w:type="pct"/>
            <w:shd w:val="clear" w:color="auto" w:fill="auto"/>
            <w:noWrap/>
            <w:vAlign w:val="center"/>
          </w:tcPr>
          <w:p w:rsidR="00D7741A" w:rsidRPr="00D41D30" w:rsidRDefault="00D7741A" w:rsidP="006C4734">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1.65</w:t>
            </w:r>
          </w:p>
        </w:tc>
        <w:tc>
          <w:tcPr>
            <w:tcW w:w="361"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44.08</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1.10</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0.28</w:t>
            </w:r>
          </w:p>
        </w:tc>
        <w:tc>
          <w:tcPr>
            <w:tcW w:w="361"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0.28</w:t>
            </w:r>
          </w:p>
        </w:tc>
        <w:tc>
          <w:tcPr>
            <w:tcW w:w="363"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57</w:t>
            </w:r>
          </w:p>
        </w:tc>
      </w:tr>
      <w:tr w:rsidR="00587FAD" w:rsidRPr="00D41D30" w:rsidTr="00587FAD">
        <w:trPr>
          <w:trHeight w:val="63"/>
          <w:jc w:val="center"/>
        </w:trPr>
        <w:tc>
          <w:tcPr>
            <w:tcW w:w="395"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107年</w:t>
            </w:r>
          </w:p>
          <w:p w:rsidR="00587FAD" w:rsidRPr="00D41D30" w:rsidRDefault="00587FAD" w:rsidP="00587FAD">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368所</w:t>
            </w:r>
          </w:p>
        </w:tc>
        <w:tc>
          <w:tcPr>
            <w:tcW w:w="371" w:type="pct"/>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09"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132</w:t>
            </w:r>
          </w:p>
        </w:tc>
        <w:tc>
          <w:tcPr>
            <w:tcW w:w="290"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15</w:t>
            </w:r>
          </w:p>
        </w:tc>
        <w:tc>
          <w:tcPr>
            <w:tcW w:w="524"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w:t>
            </w:r>
          </w:p>
        </w:tc>
        <w:tc>
          <w:tcPr>
            <w:tcW w:w="289"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w:t>
            </w:r>
          </w:p>
        </w:tc>
        <w:tc>
          <w:tcPr>
            <w:tcW w:w="367" w:type="pct"/>
            <w:shd w:val="clear" w:color="auto" w:fill="auto"/>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154</w:t>
            </w:r>
          </w:p>
        </w:tc>
        <w:tc>
          <w:tcPr>
            <w:tcW w:w="360"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39</w:t>
            </w:r>
          </w:p>
        </w:tc>
        <w:tc>
          <w:tcPr>
            <w:tcW w:w="431" w:type="pct"/>
            <w:shd w:val="clear" w:color="auto" w:fill="auto"/>
            <w:noWrap/>
            <w:vAlign w:val="center"/>
          </w:tcPr>
          <w:p w:rsidR="00587FAD" w:rsidRPr="00D41D30" w:rsidRDefault="00587FAD" w:rsidP="00587FAD">
            <w:pPr>
              <w:widowControl/>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6</w:t>
            </w:r>
          </w:p>
        </w:tc>
        <w:tc>
          <w:tcPr>
            <w:tcW w:w="361"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16</w:t>
            </w:r>
            <w:r w:rsidRPr="00D41D30">
              <w:rPr>
                <w:rFonts w:hAnsi="標楷體" w:hint="eastAsia"/>
                <w:bCs/>
                <w:color w:val="000000" w:themeColor="text1"/>
                <w:spacing w:val="-20"/>
                <w:kern w:val="0"/>
                <w:sz w:val="24"/>
                <w:szCs w:val="24"/>
              </w:rPr>
              <w:t>3</w:t>
            </w:r>
          </w:p>
        </w:tc>
        <w:tc>
          <w:tcPr>
            <w:tcW w:w="289"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w:t>
            </w:r>
          </w:p>
        </w:tc>
        <w:tc>
          <w:tcPr>
            <w:tcW w:w="289" w:type="pct"/>
            <w:shd w:val="clear" w:color="auto" w:fill="auto"/>
            <w:noWrap/>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1" w:type="pct"/>
            <w:shd w:val="clear" w:color="auto" w:fill="auto"/>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w:t>
            </w:r>
          </w:p>
        </w:tc>
        <w:tc>
          <w:tcPr>
            <w:tcW w:w="363" w:type="pct"/>
            <w:shd w:val="clear" w:color="auto" w:fill="auto"/>
            <w:vAlign w:val="center"/>
          </w:tcPr>
          <w:p w:rsidR="00587FAD" w:rsidRPr="00D41D30" w:rsidRDefault="00587FAD" w:rsidP="00587FAD">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21</w:t>
            </w:r>
            <w:r w:rsidRPr="00D41D30">
              <w:rPr>
                <w:rFonts w:hAnsi="標楷體" w:hint="eastAsia"/>
                <w:bCs/>
                <w:color w:val="000000" w:themeColor="text1"/>
                <w:spacing w:val="-20"/>
                <w:kern w:val="0"/>
                <w:sz w:val="24"/>
                <w:szCs w:val="24"/>
              </w:rPr>
              <w:t>4</w:t>
            </w:r>
          </w:p>
        </w:tc>
      </w:tr>
      <w:tr w:rsidR="00675610" w:rsidRPr="00D41D30" w:rsidTr="00587FAD">
        <w:trPr>
          <w:trHeight w:val="63"/>
          <w:jc w:val="center"/>
        </w:trPr>
        <w:tc>
          <w:tcPr>
            <w:tcW w:w="395"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比例%</w:t>
            </w:r>
          </w:p>
        </w:tc>
        <w:tc>
          <w:tcPr>
            <w:tcW w:w="371" w:type="pct"/>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36</w:t>
            </w:r>
          </w:p>
        </w:tc>
        <w:tc>
          <w:tcPr>
            <w:tcW w:w="29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w:t>
            </w:r>
          </w:p>
        </w:tc>
        <w:tc>
          <w:tcPr>
            <w:tcW w:w="524"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67"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42</w:t>
            </w:r>
          </w:p>
        </w:tc>
        <w:tc>
          <w:tcPr>
            <w:tcW w:w="360"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11</w:t>
            </w:r>
          </w:p>
        </w:tc>
        <w:tc>
          <w:tcPr>
            <w:tcW w:w="431" w:type="pct"/>
            <w:shd w:val="clear" w:color="auto" w:fill="auto"/>
            <w:noWrap/>
            <w:vAlign w:val="center"/>
          </w:tcPr>
          <w:p w:rsidR="00D7741A" w:rsidRPr="00D41D30" w:rsidRDefault="00D7741A" w:rsidP="006C4734">
            <w:pPr>
              <w:widowControl/>
              <w:spacing w:line="240" w:lineRule="exact"/>
              <w:jc w:val="center"/>
              <w:rPr>
                <w:rFonts w:hAnsi="標楷體"/>
                <w:bCs/>
                <w:color w:val="000000" w:themeColor="text1"/>
                <w:spacing w:val="-20"/>
                <w:kern w:val="0"/>
                <w:sz w:val="24"/>
                <w:szCs w:val="24"/>
              </w:rPr>
            </w:pPr>
          </w:p>
        </w:tc>
        <w:tc>
          <w:tcPr>
            <w:tcW w:w="361"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44</w:t>
            </w: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289" w:type="pct"/>
            <w:shd w:val="clear" w:color="auto" w:fill="auto"/>
            <w:noWrap/>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61"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p>
        </w:tc>
        <w:tc>
          <w:tcPr>
            <w:tcW w:w="363" w:type="pct"/>
            <w:shd w:val="clear" w:color="auto" w:fill="auto"/>
            <w:vAlign w:val="center"/>
          </w:tcPr>
          <w:p w:rsidR="00D7741A" w:rsidRPr="00D41D30" w:rsidRDefault="00D7741A" w:rsidP="006C4734">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58</w:t>
            </w:r>
          </w:p>
        </w:tc>
      </w:tr>
      <w:tr w:rsidR="001D3B43" w:rsidRPr="00D41D30" w:rsidTr="00587FAD">
        <w:trPr>
          <w:trHeight w:val="63"/>
          <w:jc w:val="center"/>
        </w:trPr>
        <w:tc>
          <w:tcPr>
            <w:tcW w:w="395" w:type="pct"/>
            <w:shd w:val="clear" w:color="auto" w:fill="auto"/>
            <w:noWrap/>
            <w:vAlign w:val="center"/>
          </w:tcPr>
          <w:p w:rsidR="001D3B43" w:rsidRPr="00D41D30" w:rsidRDefault="001D3B43" w:rsidP="001D3B43">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10</w:t>
            </w:r>
            <w:r w:rsidRPr="00D41D30">
              <w:rPr>
                <w:rFonts w:hAnsi="標楷體" w:hint="eastAsia"/>
                <w:b/>
                <w:bCs/>
                <w:color w:val="000000" w:themeColor="text1"/>
                <w:spacing w:val="-20"/>
                <w:kern w:val="0"/>
                <w:sz w:val="24"/>
                <w:szCs w:val="24"/>
              </w:rPr>
              <w:t>8</w:t>
            </w:r>
            <w:r w:rsidRPr="00D41D30">
              <w:rPr>
                <w:rFonts w:hAnsi="標楷體"/>
                <w:b/>
                <w:bCs/>
                <w:color w:val="000000" w:themeColor="text1"/>
                <w:spacing w:val="-20"/>
                <w:kern w:val="0"/>
                <w:sz w:val="24"/>
                <w:szCs w:val="24"/>
              </w:rPr>
              <w:t>年</w:t>
            </w:r>
          </w:p>
          <w:p w:rsidR="001D3B43" w:rsidRPr="00D41D30" w:rsidRDefault="001D3B43" w:rsidP="001D3B43">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
                <w:bCs/>
                <w:color w:val="000000" w:themeColor="text1"/>
                <w:spacing w:val="-20"/>
                <w:kern w:val="0"/>
                <w:sz w:val="24"/>
                <w:szCs w:val="24"/>
              </w:rPr>
              <w:t>36</w:t>
            </w:r>
            <w:r w:rsidRPr="00D41D30">
              <w:rPr>
                <w:rFonts w:hAnsi="標楷體" w:hint="eastAsia"/>
                <w:b/>
                <w:bCs/>
                <w:color w:val="000000" w:themeColor="text1"/>
                <w:spacing w:val="-20"/>
                <w:kern w:val="0"/>
                <w:sz w:val="24"/>
                <w:szCs w:val="24"/>
              </w:rPr>
              <w:t>6</w:t>
            </w:r>
            <w:r w:rsidRPr="00D41D30">
              <w:rPr>
                <w:rFonts w:hAnsi="標楷體"/>
                <w:b/>
                <w:bCs/>
                <w:color w:val="000000" w:themeColor="text1"/>
                <w:spacing w:val="-20"/>
                <w:kern w:val="0"/>
                <w:sz w:val="24"/>
                <w:szCs w:val="24"/>
              </w:rPr>
              <w:t>所</w:t>
            </w:r>
          </w:p>
        </w:tc>
        <w:tc>
          <w:tcPr>
            <w:tcW w:w="371" w:type="pct"/>
            <w:vAlign w:val="center"/>
          </w:tcPr>
          <w:p w:rsidR="001D3B43" w:rsidRPr="00D41D30" w:rsidRDefault="001D3B43" w:rsidP="001D3B43">
            <w:pPr>
              <w:widowControl/>
              <w:overflowPunct/>
              <w:autoSpaceDE/>
              <w:autoSpaceDN/>
              <w:jc w:val="center"/>
              <w:rPr>
                <w:rFonts w:ascii="新細明體" w:eastAsia="新細明體"/>
                <w:color w:val="000000" w:themeColor="text1"/>
                <w:sz w:val="24"/>
                <w:szCs w:val="24"/>
              </w:rPr>
            </w:pPr>
            <w:r w:rsidRPr="00D41D30">
              <w:rPr>
                <w:rFonts w:hint="eastAsia"/>
                <w:color w:val="000000" w:themeColor="text1"/>
                <w:sz w:val="24"/>
                <w:szCs w:val="24"/>
              </w:rPr>
              <w:t>1</w:t>
            </w:r>
          </w:p>
        </w:tc>
        <w:tc>
          <w:tcPr>
            <w:tcW w:w="309"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129</w:t>
            </w:r>
          </w:p>
        </w:tc>
        <w:tc>
          <w:tcPr>
            <w:tcW w:w="290"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19</w:t>
            </w:r>
          </w:p>
        </w:tc>
        <w:tc>
          <w:tcPr>
            <w:tcW w:w="524"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1</w:t>
            </w:r>
          </w:p>
        </w:tc>
        <w:tc>
          <w:tcPr>
            <w:tcW w:w="289"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4</w:t>
            </w:r>
          </w:p>
        </w:tc>
        <w:tc>
          <w:tcPr>
            <w:tcW w:w="367" w:type="pct"/>
            <w:shd w:val="clear" w:color="auto" w:fill="auto"/>
            <w:vAlign w:val="center"/>
          </w:tcPr>
          <w:p w:rsidR="001D3B43" w:rsidRPr="00D41D30" w:rsidRDefault="001D3B43" w:rsidP="001D3B43">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154</w:t>
            </w:r>
          </w:p>
        </w:tc>
        <w:tc>
          <w:tcPr>
            <w:tcW w:w="360" w:type="pct"/>
            <w:shd w:val="clear" w:color="auto" w:fill="auto"/>
            <w:noWrap/>
            <w:vAlign w:val="center"/>
          </w:tcPr>
          <w:p w:rsidR="001D3B43" w:rsidRPr="00D41D30" w:rsidRDefault="001D3B43" w:rsidP="001D3B43">
            <w:pPr>
              <w:widowControl/>
              <w:overflowPunct/>
              <w:autoSpaceDE/>
              <w:autoSpaceDN/>
              <w:jc w:val="center"/>
              <w:rPr>
                <w:rFonts w:ascii="新細明體" w:eastAsia="新細明體"/>
                <w:color w:val="000000" w:themeColor="text1"/>
                <w:sz w:val="24"/>
                <w:szCs w:val="24"/>
              </w:rPr>
            </w:pPr>
            <w:r w:rsidRPr="00D41D30">
              <w:rPr>
                <w:rFonts w:ascii="新細明體" w:eastAsia="新細明體" w:hint="eastAsia"/>
                <w:color w:val="000000" w:themeColor="text1"/>
                <w:sz w:val="24"/>
                <w:szCs w:val="24"/>
              </w:rPr>
              <w:t>36</w:t>
            </w:r>
          </w:p>
        </w:tc>
        <w:tc>
          <w:tcPr>
            <w:tcW w:w="431"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7</w:t>
            </w:r>
          </w:p>
        </w:tc>
        <w:tc>
          <w:tcPr>
            <w:tcW w:w="361"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163</w:t>
            </w:r>
          </w:p>
        </w:tc>
        <w:tc>
          <w:tcPr>
            <w:tcW w:w="289"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4</w:t>
            </w:r>
          </w:p>
        </w:tc>
        <w:tc>
          <w:tcPr>
            <w:tcW w:w="289" w:type="pct"/>
            <w:shd w:val="clear" w:color="auto" w:fill="auto"/>
            <w:noWrap/>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1</w:t>
            </w:r>
          </w:p>
        </w:tc>
        <w:tc>
          <w:tcPr>
            <w:tcW w:w="361" w:type="pct"/>
            <w:shd w:val="clear" w:color="auto" w:fill="auto"/>
            <w:vAlign w:val="center"/>
          </w:tcPr>
          <w:p w:rsidR="001D3B43" w:rsidRPr="00D41D30" w:rsidRDefault="001D3B43" w:rsidP="001D3B43">
            <w:pPr>
              <w:jc w:val="center"/>
              <w:rPr>
                <w:color w:val="000000" w:themeColor="text1"/>
                <w:sz w:val="24"/>
                <w:szCs w:val="24"/>
              </w:rPr>
            </w:pPr>
            <w:r w:rsidRPr="00D41D30">
              <w:rPr>
                <w:rFonts w:hint="eastAsia"/>
                <w:color w:val="000000" w:themeColor="text1"/>
                <w:sz w:val="24"/>
                <w:szCs w:val="24"/>
              </w:rPr>
              <w:t>1</w:t>
            </w:r>
          </w:p>
        </w:tc>
        <w:tc>
          <w:tcPr>
            <w:tcW w:w="363" w:type="pct"/>
            <w:shd w:val="clear" w:color="auto" w:fill="auto"/>
            <w:vAlign w:val="center"/>
          </w:tcPr>
          <w:p w:rsidR="001D3B43" w:rsidRPr="00D41D30" w:rsidRDefault="001D3B43" w:rsidP="001D3B43">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21</w:t>
            </w:r>
            <w:r w:rsidRPr="00D41D30">
              <w:rPr>
                <w:rFonts w:hAnsi="標楷體" w:hint="eastAsia"/>
                <w:bCs/>
                <w:color w:val="000000" w:themeColor="text1"/>
                <w:spacing w:val="-20"/>
                <w:kern w:val="0"/>
                <w:sz w:val="24"/>
                <w:szCs w:val="24"/>
              </w:rPr>
              <w:t>2</w:t>
            </w:r>
          </w:p>
        </w:tc>
      </w:tr>
      <w:tr w:rsidR="00F54EC6" w:rsidRPr="00D41D30" w:rsidTr="00587FAD">
        <w:trPr>
          <w:trHeight w:val="63"/>
          <w:jc w:val="center"/>
        </w:trPr>
        <w:tc>
          <w:tcPr>
            <w:tcW w:w="395"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
                <w:bCs/>
                <w:color w:val="000000" w:themeColor="text1"/>
                <w:spacing w:val="-20"/>
                <w:kern w:val="0"/>
                <w:sz w:val="24"/>
                <w:szCs w:val="24"/>
              </w:rPr>
            </w:pPr>
            <w:r w:rsidRPr="00D41D30">
              <w:rPr>
                <w:rFonts w:hAnsi="標楷體"/>
                <w:b/>
                <w:bCs/>
                <w:color w:val="000000" w:themeColor="text1"/>
                <w:spacing w:val="-20"/>
                <w:kern w:val="0"/>
                <w:sz w:val="24"/>
                <w:szCs w:val="24"/>
              </w:rPr>
              <w:t>比例%</w:t>
            </w:r>
          </w:p>
        </w:tc>
        <w:tc>
          <w:tcPr>
            <w:tcW w:w="371" w:type="pct"/>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p>
        </w:tc>
        <w:tc>
          <w:tcPr>
            <w:tcW w:w="309"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3</w:t>
            </w:r>
            <w:r w:rsidRPr="00D41D30">
              <w:rPr>
                <w:rFonts w:hAnsi="標楷體" w:hint="eastAsia"/>
                <w:bCs/>
                <w:color w:val="000000" w:themeColor="text1"/>
                <w:spacing w:val="-20"/>
                <w:kern w:val="0"/>
                <w:sz w:val="24"/>
                <w:szCs w:val="24"/>
              </w:rPr>
              <w:t>5</w:t>
            </w:r>
          </w:p>
        </w:tc>
        <w:tc>
          <w:tcPr>
            <w:tcW w:w="290"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w:t>
            </w:r>
          </w:p>
        </w:tc>
        <w:tc>
          <w:tcPr>
            <w:tcW w:w="524"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p>
        </w:tc>
        <w:tc>
          <w:tcPr>
            <w:tcW w:w="289"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p>
        </w:tc>
        <w:tc>
          <w:tcPr>
            <w:tcW w:w="367" w:type="pct"/>
            <w:shd w:val="clear" w:color="auto" w:fill="auto"/>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42</w:t>
            </w:r>
          </w:p>
        </w:tc>
        <w:tc>
          <w:tcPr>
            <w:tcW w:w="360"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hint="eastAsia"/>
                <w:bCs/>
                <w:color w:val="000000" w:themeColor="text1"/>
                <w:spacing w:val="-20"/>
                <w:kern w:val="0"/>
                <w:sz w:val="24"/>
                <w:szCs w:val="24"/>
              </w:rPr>
              <w:t>10</w:t>
            </w:r>
          </w:p>
        </w:tc>
        <w:tc>
          <w:tcPr>
            <w:tcW w:w="431" w:type="pct"/>
            <w:shd w:val="clear" w:color="auto" w:fill="auto"/>
            <w:noWrap/>
            <w:vAlign w:val="center"/>
          </w:tcPr>
          <w:p w:rsidR="00F54EC6" w:rsidRPr="00D41D30" w:rsidRDefault="00F54EC6" w:rsidP="00F54EC6">
            <w:pPr>
              <w:widowControl/>
              <w:spacing w:line="240" w:lineRule="exact"/>
              <w:jc w:val="center"/>
              <w:rPr>
                <w:rFonts w:hAnsi="標楷體"/>
                <w:bCs/>
                <w:color w:val="000000" w:themeColor="text1"/>
                <w:spacing w:val="-20"/>
                <w:kern w:val="0"/>
                <w:sz w:val="24"/>
                <w:szCs w:val="24"/>
              </w:rPr>
            </w:pPr>
          </w:p>
        </w:tc>
        <w:tc>
          <w:tcPr>
            <w:tcW w:w="361"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44</w:t>
            </w:r>
          </w:p>
        </w:tc>
        <w:tc>
          <w:tcPr>
            <w:tcW w:w="289"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p>
        </w:tc>
        <w:tc>
          <w:tcPr>
            <w:tcW w:w="289" w:type="pct"/>
            <w:shd w:val="clear" w:color="auto" w:fill="auto"/>
            <w:noWrap/>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p>
        </w:tc>
        <w:tc>
          <w:tcPr>
            <w:tcW w:w="361" w:type="pct"/>
            <w:shd w:val="clear" w:color="auto" w:fill="auto"/>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p>
        </w:tc>
        <w:tc>
          <w:tcPr>
            <w:tcW w:w="363" w:type="pct"/>
            <w:shd w:val="clear" w:color="auto" w:fill="auto"/>
            <w:vAlign w:val="center"/>
          </w:tcPr>
          <w:p w:rsidR="00F54EC6" w:rsidRPr="00D41D30" w:rsidRDefault="00F54EC6" w:rsidP="00F54EC6">
            <w:pPr>
              <w:widowControl/>
              <w:adjustRightInd w:val="0"/>
              <w:snapToGrid w:val="0"/>
              <w:spacing w:line="240" w:lineRule="exact"/>
              <w:jc w:val="center"/>
              <w:rPr>
                <w:rFonts w:hAnsi="標楷體"/>
                <w:bCs/>
                <w:color w:val="000000" w:themeColor="text1"/>
                <w:spacing w:val="-20"/>
                <w:kern w:val="0"/>
                <w:sz w:val="24"/>
                <w:szCs w:val="24"/>
              </w:rPr>
            </w:pPr>
            <w:r w:rsidRPr="00D41D30">
              <w:rPr>
                <w:rFonts w:hAnsi="標楷體"/>
                <w:bCs/>
                <w:color w:val="000000" w:themeColor="text1"/>
                <w:spacing w:val="-20"/>
                <w:kern w:val="0"/>
                <w:sz w:val="24"/>
                <w:szCs w:val="24"/>
              </w:rPr>
              <w:t>58</w:t>
            </w:r>
          </w:p>
        </w:tc>
      </w:tr>
    </w:tbl>
    <w:p w:rsidR="00D7741A" w:rsidRPr="00D41D30" w:rsidRDefault="00D7741A" w:rsidP="005D48DA">
      <w:pPr>
        <w:pStyle w:val="af8"/>
        <w:rPr>
          <w:color w:val="000000" w:themeColor="text1"/>
          <w:sz w:val="24"/>
          <w:szCs w:val="24"/>
        </w:rPr>
      </w:pPr>
      <w:r w:rsidRPr="00D41D30">
        <w:rPr>
          <w:rFonts w:hint="eastAsia"/>
          <w:color w:val="000000" w:themeColor="text1"/>
          <w:sz w:val="24"/>
          <w:szCs w:val="24"/>
        </w:rPr>
        <w:t>資料來源：教育部提供</w:t>
      </w:r>
    </w:p>
    <w:p w:rsidR="00D7741A" w:rsidRPr="00D41D30" w:rsidRDefault="00D7741A" w:rsidP="00840529">
      <w:pPr>
        <w:pStyle w:val="4"/>
        <w:rPr>
          <w:color w:val="000000" w:themeColor="text1"/>
        </w:rPr>
      </w:pPr>
      <w:r w:rsidRPr="00D41D30">
        <w:rPr>
          <w:rFonts w:hint="eastAsia"/>
          <w:color w:val="000000" w:themeColor="text1"/>
        </w:rPr>
        <w:t>另該部鼓勵樂齡中心成立樂齡學習社團，讓在中心學習2年的長者，後續可自行以社團方式持</w:t>
      </w:r>
      <w:r w:rsidRPr="00D41D30">
        <w:rPr>
          <w:rFonts w:hint="eastAsia"/>
          <w:color w:val="000000" w:themeColor="text1"/>
        </w:rPr>
        <w:lastRenderedPageBreak/>
        <w:t>續學習，108年預計運作1</w:t>
      </w:r>
      <w:r w:rsidRPr="00D41D30">
        <w:rPr>
          <w:color w:val="000000" w:themeColor="text1"/>
        </w:rPr>
        <w:t>,</w:t>
      </w:r>
      <w:r w:rsidRPr="00D41D30">
        <w:rPr>
          <w:rFonts w:hint="eastAsia"/>
          <w:color w:val="000000" w:themeColor="text1"/>
        </w:rPr>
        <w:t>670個樂齡學習社團，均採自主運作。</w:t>
      </w:r>
    </w:p>
    <w:p w:rsidR="00D7741A" w:rsidRPr="00D41D30" w:rsidRDefault="00D7741A" w:rsidP="00EA4305">
      <w:pPr>
        <w:pStyle w:val="4"/>
        <w:rPr>
          <w:color w:val="000000" w:themeColor="text1"/>
        </w:rPr>
      </w:pPr>
      <w:r w:rsidRPr="00D41D30">
        <w:rPr>
          <w:rFonts w:hint="eastAsia"/>
          <w:color w:val="000000" w:themeColor="text1"/>
        </w:rPr>
        <w:t>規劃課程多元</w:t>
      </w:r>
    </w:p>
    <w:p w:rsidR="00D7741A" w:rsidRPr="00D41D30" w:rsidRDefault="00D7741A" w:rsidP="00E162B6">
      <w:pPr>
        <w:pStyle w:val="42"/>
        <w:ind w:left="1701" w:firstLine="680"/>
        <w:rPr>
          <w:color w:val="000000" w:themeColor="text1"/>
        </w:rPr>
      </w:pPr>
      <w:r w:rsidRPr="00D41D30">
        <w:rPr>
          <w:rFonts w:hint="eastAsia"/>
          <w:color w:val="000000" w:themeColor="text1"/>
        </w:rPr>
        <w:t>樂齡中心學習領域廣泛且多元，從個人成長、文化傳承、代間學習、在地特色、自主學習及服務學習等，讓全國的高齡者可以選擇符合時代潮流的課程，目前課程分為三大主軸，包含核心課程、自主規劃課程及貢獻服務課程：</w:t>
      </w:r>
    </w:p>
    <w:p w:rsidR="00D7741A" w:rsidRPr="00D41D30" w:rsidRDefault="00D7741A" w:rsidP="00E162B6">
      <w:pPr>
        <w:pStyle w:val="5"/>
        <w:rPr>
          <w:color w:val="000000" w:themeColor="text1"/>
        </w:rPr>
      </w:pPr>
      <w:r w:rsidRPr="00D41D30">
        <w:rPr>
          <w:rFonts w:hint="eastAsia"/>
          <w:color w:val="000000" w:themeColor="text1"/>
        </w:rPr>
        <w:t>樂齡核心課程：以活躍老化課程為主，可從中發展成為中心之特色課程，協助民眾了解該部推動高齡教育政策目的，強化中高齡者對於老化生活之準備。</w:t>
      </w:r>
    </w:p>
    <w:p w:rsidR="00D7741A" w:rsidRPr="00D41D30" w:rsidRDefault="00D7741A" w:rsidP="00E162B6">
      <w:pPr>
        <w:pStyle w:val="5"/>
        <w:rPr>
          <w:color w:val="000000" w:themeColor="text1"/>
        </w:rPr>
      </w:pPr>
      <w:r w:rsidRPr="00D41D30">
        <w:rPr>
          <w:rFonts w:hint="eastAsia"/>
          <w:color w:val="000000" w:themeColor="text1"/>
        </w:rPr>
        <w:t>自主規劃課程：由樂齡中心依地方資源、特色、中高齡者興趣、需求等條件，自行規劃課程。</w:t>
      </w:r>
    </w:p>
    <w:p w:rsidR="00D7741A" w:rsidRPr="00D41D30" w:rsidRDefault="00D7741A" w:rsidP="00E162B6">
      <w:pPr>
        <w:pStyle w:val="5"/>
        <w:rPr>
          <w:color w:val="000000" w:themeColor="text1"/>
        </w:rPr>
      </w:pPr>
      <w:r w:rsidRPr="00D41D30">
        <w:rPr>
          <w:rFonts w:hint="eastAsia"/>
          <w:color w:val="000000" w:themeColor="text1"/>
        </w:rPr>
        <w:tab/>
        <w:t>貢獻服務課程：強化樂齡中心對於在地社區之貢獻及服務，透過樂齡的學習創造社區的能量。</w:t>
      </w:r>
    </w:p>
    <w:p w:rsidR="00D7741A" w:rsidRPr="00D41D30" w:rsidRDefault="00D7741A" w:rsidP="00C22EE4">
      <w:pPr>
        <w:pStyle w:val="4"/>
        <w:rPr>
          <w:color w:val="000000" w:themeColor="text1"/>
        </w:rPr>
      </w:pPr>
      <w:r w:rsidRPr="00D41D30">
        <w:rPr>
          <w:rFonts w:hint="eastAsia"/>
          <w:color w:val="000000" w:themeColor="text1"/>
        </w:rPr>
        <w:t>每1所中心需實施156至624小時之課程時數甚至達1</w:t>
      </w:r>
      <w:r w:rsidRPr="00D41D30">
        <w:rPr>
          <w:color w:val="000000" w:themeColor="text1"/>
        </w:rPr>
        <w:t>,</w:t>
      </w:r>
      <w:r w:rsidRPr="00D41D30">
        <w:rPr>
          <w:rFonts w:hint="eastAsia"/>
          <w:color w:val="000000" w:themeColor="text1"/>
        </w:rPr>
        <w:t>000多小時，每1個中心依新辦、續辦、優質及示範等分別，補助15至70萬元之課程經費，前述每一類課程均規範實施比率，如示範中心需執行624小時，其中樂齡核心課程占35-50</w:t>
      </w:r>
      <w:r w:rsidR="00AA037A" w:rsidRPr="00D41D30">
        <w:rPr>
          <w:rFonts w:hint="eastAsia"/>
          <w:color w:val="000000" w:themeColor="text1"/>
        </w:rPr>
        <w:t>%</w:t>
      </w:r>
      <w:r w:rsidRPr="00D41D30">
        <w:rPr>
          <w:rFonts w:hint="eastAsia"/>
          <w:color w:val="000000" w:themeColor="text1"/>
        </w:rPr>
        <w:t>、自主規劃課程占30-40</w:t>
      </w:r>
      <w:r w:rsidR="00AA037A" w:rsidRPr="00D41D30">
        <w:rPr>
          <w:rFonts w:hint="eastAsia"/>
          <w:color w:val="000000" w:themeColor="text1"/>
        </w:rPr>
        <w:t>%</w:t>
      </w:r>
      <w:r w:rsidRPr="00D41D30">
        <w:rPr>
          <w:rFonts w:hint="eastAsia"/>
          <w:color w:val="000000" w:themeColor="text1"/>
        </w:rPr>
        <w:t>、貢獻服務課程占10-40</w:t>
      </w:r>
      <w:r w:rsidR="00AA037A" w:rsidRPr="00D41D30">
        <w:rPr>
          <w:rFonts w:hint="eastAsia"/>
          <w:color w:val="000000" w:themeColor="text1"/>
        </w:rPr>
        <w:t>%</w:t>
      </w:r>
      <w:r w:rsidRPr="00D41D30">
        <w:rPr>
          <w:rFonts w:hint="eastAsia"/>
          <w:color w:val="000000" w:themeColor="text1"/>
        </w:rPr>
        <w:t>，另示範中心尚需協助縣市於未成立樂齡中心之地區進行推廣。</w:t>
      </w:r>
    </w:p>
    <w:p w:rsidR="00D7741A" w:rsidRPr="00D41D30" w:rsidRDefault="00D7741A" w:rsidP="00EA4305">
      <w:pPr>
        <w:pStyle w:val="a4"/>
        <w:ind w:left="697" w:hanging="697"/>
        <w:rPr>
          <w:b/>
          <w:color w:val="000000" w:themeColor="text1"/>
        </w:rPr>
      </w:pPr>
      <w:r w:rsidRPr="00D41D30">
        <w:rPr>
          <w:b/>
          <w:color w:val="000000" w:themeColor="text1"/>
        </w:rPr>
        <w:t>103-</w:t>
      </w:r>
      <w:r w:rsidRPr="00D41D30">
        <w:rPr>
          <w:rFonts w:hint="eastAsia"/>
          <w:b/>
          <w:color w:val="000000" w:themeColor="text1"/>
        </w:rPr>
        <w:t>108</w:t>
      </w:r>
      <w:r w:rsidRPr="00D41D30">
        <w:rPr>
          <w:b/>
          <w:color w:val="000000" w:themeColor="text1"/>
        </w:rPr>
        <w:t>年度全國樂齡中心計畫時數及經費額度</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959"/>
        <w:gridCol w:w="1134"/>
        <w:gridCol w:w="6520"/>
      </w:tblGrid>
      <w:tr w:rsidR="00D7741A" w:rsidRPr="00D41D30" w:rsidTr="00AD2579">
        <w:trPr>
          <w:tblHeader/>
        </w:trPr>
        <w:tc>
          <w:tcPr>
            <w:tcW w:w="885" w:type="dxa"/>
            <w:shd w:val="clear" w:color="auto" w:fill="DDD9C3" w:themeFill="background2" w:themeFillShade="E6"/>
            <w:vAlign w:val="center"/>
            <w:hideMark/>
          </w:tcPr>
          <w:p w:rsidR="00D7741A" w:rsidRPr="00D41D30" w:rsidRDefault="00D7741A" w:rsidP="006C4734">
            <w:pPr>
              <w:adjustRightInd w:val="0"/>
              <w:snapToGrid w:val="0"/>
              <w:ind w:right="-79"/>
              <w:jc w:val="center"/>
              <w:rPr>
                <w:rFonts w:hAnsi="標楷體"/>
                <w:b/>
                <w:color w:val="000000" w:themeColor="text1"/>
                <w:sz w:val="24"/>
                <w:szCs w:val="24"/>
              </w:rPr>
            </w:pPr>
            <w:r w:rsidRPr="00D41D30">
              <w:rPr>
                <w:rFonts w:hAnsi="標楷體"/>
                <w:b/>
                <w:color w:val="000000" w:themeColor="text1"/>
                <w:sz w:val="24"/>
                <w:szCs w:val="24"/>
              </w:rPr>
              <w:t>年度</w:t>
            </w:r>
          </w:p>
        </w:tc>
        <w:tc>
          <w:tcPr>
            <w:tcW w:w="959" w:type="dxa"/>
            <w:shd w:val="clear" w:color="auto" w:fill="DDD9C3" w:themeFill="background2" w:themeFillShade="E6"/>
            <w:vAlign w:val="center"/>
            <w:hideMark/>
          </w:tcPr>
          <w:p w:rsidR="00D7741A" w:rsidRPr="00D41D30" w:rsidRDefault="00D7741A" w:rsidP="006C4734">
            <w:pPr>
              <w:adjustRightInd w:val="0"/>
              <w:snapToGrid w:val="0"/>
              <w:ind w:right="-79"/>
              <w:jc w:val="center"/>
              <w:rPr>
                <w:rFonts w:hAnsi="標楷體"/>
                <w:b/>
                <w:color w:val="000000" w:themeColor="text1"/>
                <w:sz w:val="24"/>
                <w:szCs w:val="24"/>
              </w:rPr>
            </w:pPr>
            <w:r w:rsidRPr="00D41D30">
              <w:rPr>
                <w:rFonts w:hAnsi="標楷體"/>
                <w:b/>
                <w:color w:val="000000" w:themeColor="text1"/>
                <w:sz w:val="24"/>
                <w:szCs w:val="24"/>
              </w:rPr>
              <w:t>中心數</w:t>
            </w:r>
          </w:p>
        </w:tc>
        <w:tc>
          <w:tcPr>
            <w:tcW w:w="1134" w:type="dxa"/>
            <w:shd w:val="clear" w:color="auto" w:fill="DDD9C3" w:themeFill="background2" w:themeFillShade="E6"/>
            <w:vAlign w:val="center"/>
            <w:hideMark/>
          </w:tcPr>
          <w:p w:rsidR="00D7741A" w:rsidRPr="00D41D30" w:rsidRDefault="00D7741A" w:rsidP="006C4734">
            <w:pPr>
              <w:adjustRightInd w:val="0"/>
              <w:snapToGrid w:val="0"/>
              <w:ind w:right="-79"/>
              <w:jc w:val="center"/>
              <w:rPr>
                <w:rFonts w:hAnsi="標楷體"/>
                <w:b/>
                <w:color w:val="000000" w:themeColor="text1"/>
                <w:spacing w:val="-20"/>
                <w:sz w:val="24"/>
                <w:szCs w:val="24"/>
              </w:rPr>
            </w:pPr>
            <w:r w:rsidRPr="00D41D30">
              <w:rPr>
                <w:rFonts w:hAnsi="標楷體"/>
                <w:b/>
                <w:color w:val="000000" w:themeColor="text1"/>
                <w:spacing w:val="-20"/>
                <w:sz w:val="24"/>
                <w:szCs w:val="24"/>
              </w:rPr>
              <w:t>鄉鎮市區</w:t>
            </w:r>
          </w:p>
        </w:tc>
        <w:tc>
          <w:tcPr>
            <w:tcW w:w="6520" w:type="dxa"/>
            <w:shd w:val="clear" w:color="auto" w:fill="DDD9C3" w:themeFill="background2" w:themeFillShade="E6"/>
            <w:vAlign w:val="center"/>
            <w:hideMark/>
          </w:tcPr>
          <w:p w:rsidR="00D7741A" w:rsidRPr="00D41D30" w:rsidRDefault="00D7741A" w:rsidP="006C4734">
            <w:pPr>
              <w:adjustRightInd w:val="0"/>
              <w:snapToGrid w:val="0"/>
              <w:ind w:right="-79"/>
              <w:jc w:val="center"/>
              <w:rPr>
                <w:rFonts w:hAnsi="標楷體"/>
                <w:b/>
                <w:color w:val="000000" w:themeColor="text1"/>
                <w:sz w:val="24"/>
                <w:szCs w:val="24"/>
              </w:rPr>
            </w:pPr>
            <w:r w:rsidRPr="00D41D30">
              <w:rPr>
                <w:rFonts w:hAnsi="標楷體"/>
                <w:b/>
                <w:color w:val="000000" w:themeColor="text1"/>
                <w:sz w:val="24"/>
                <w:szCs w:val="24"/>
              </w:rPr>
              <w:t>補助金額及辦理時數</w:t>
            </w:r>
          </w:p>
        </w:tc>
      </w:tr>
      <w:tr w:rsidR="00D7741A" w:rsidRPr="00D41D30" w:rsidTr="00AD2579">
        <w:tc>
          <w:tcPr>
            <w:tcW w:w="885" w:type="dxa"/>
            <w:shd w:val="clear" w:color="auto" w:fill="auto"/>
            <w:hideMark/>
          </w:tcPr>
          <w:p w:rsidR="00D7741A" w:rsidRPr="00D41D30" w:rsidRDefault="00D7741A" w:rsidP="006C4734">
            <w:pPr>
              <w:adjustRightInd w:val="0"/>
              <w:snapToGrid w:val="0"/>
              <w:ind w:right="-79"/>
              <w:jc w:val="center"/>
              <w:rPr>
                <w:rFonts w:hAnsi="標楷體"/>
                <w:color w:val="000000" w:themeColor="text1"/>
                <w:sz w:val="24"/>
                <w:szCs w:val="24"/>
              </w:rPr>
            </w:pPr>
            <w:r w:rsidRPr="00D41D30">
              <w:rPr>
                <w:rFonts w:hAnsi="標楷體"/>
                <w:color w:val="000000" w:themeColor="text1"/>
                <w:sz w:val="24"/>
                <w:szCs w:val="24"/>
              </w:rPr>
              <w:t>103</w:t>
            </w:r>
          </w:p>
        </w:tc>
        <w:tc>
          <w:tcPr>
            <w:tcW w:w="959" w:type="dxa"/>
            <w:shd w:val="clear" w:color="auto" w:fill="auto"/>
            <w:hideMark/>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306</w:t>
            </w:r>
          </w:p>
        </w:tc>
        <w:tc>
          <w:tcPr>
            <w:tcW w:w="1134" w:type="dxa"/>
            <w:shd w:val="clear" w:color="auto" w:fill="auto"/>
            <w:hideMark/>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301</w:t>
            </w:r>
          </w:p>
        </w:tc>
        <w:tc>
          <w:tcPr>
            <w:tcW w:w="6520" w:type="dxa"/>
            <w:shd w:val="clear" w:color="auto" w:fill="auto"/>
            <w:hideMark/>
          </w:tcPr>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1.新辦中心補助15-28萬元，開課時數以208小時為下限，離島地區可再酌減，最低以156小時為限</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lastRenderedPageBreak/>
              <w:t>2.續辦中心補助15-40萬元，開課時數以312小時為下限</w:t>
            </w:r>
          </w:p>
          <w:p w:rsidR="00D7741A" w:rsidRPr="00D41D30" w:rsidRDefault="00D7741A" w:rsidP="00EA4305">
            <w:pPr>
              <w:adjustRightInd w:val="0"/>
              <w:snapToGrid w:val="0"/>
              <w:ind w:left="260" w:right="-82" w:hangingChars="100" w:hanging="260"/>
              <w:rPr>
                <w:rFonts w:hAnsi="標楷體"/>
                <w:color w:val="000000" w:themeColor="text1"/>
                <w:sz w:val="24"/>
                <w:szCs w:val="24"/>
              </w:rPr>
            </w:pPr>
            <w:r w:rsidRPr="00D41D30">
              <w:rPr>
                <w:rFonts w:hAnsi="標楷體"/>
                <w:color w:val="000000" w:themeColor="text1"/>
                <w:sz w:val="24"/>
                <w:szCs w:val="24"/>
              </w:rPr>
              <w:t>3.樂齡學習示範中心補助45-60萬元為原則，開課時數以624小時為下限</w:t>
            </w:r>
          </w:p>
        </w:tc>
      </w:tr>
      <w:tr w:rsidR="00D7741A" w:rsidRPr="00D41D30" w:rsidTr="00AD2579">
        <w:tc>
          <w:tcPr>
            <w:tcW w:w="885" w:type="dxa"/>
            <w:shd w:val="clear" w:color="auto" w:fill="auto"/>
            <w:hideMark/>
          </w:tcPr>
          <w:p w:rsidR="00D7741A" w:rsidRPr="00D41D30" w:rsidRDefault="00D7741A" w:rsidP="006C4734">
            <w:pPr>
              <w:adjustRightInd w:val="0"/>
              <w:snapToGrid w:val="0"/>
              <w:ind w:right="-79"/>
              <w:jc w:val="center"/>
              <w:rPr>
                <w:rFonts w:hAnsi="標楷體"/>
                <w:color w:val="000000" w:themeColor="text1"/>
                <w:sz w:val="24"/>
                <w:szCs w:val="24"/>
              </w:rPr>
            </w:pPr>
            <w:r w:rsidRPr="00D41D30">
              <w:rPr>
                <w:rFonts w:hAnsi="標楷體"/>
                <w:color w:val="000000" w:themeColor="text1"/>
                <w:sz w:val="24"/>
                <w:szCs w:val="24"/>
              </w:rPr>
              <w:lastRenderedPageBreak/>
              <w:t>104</w:t>
            </w:r>
          </w:p>
        </w:tc>
        <w:tc>
          <w:tcPr>
            <w:tcW w:w="959" w:type="dxa"/>
            <w:shd w:val="clear" w:color="auto" w:fill="auto"/>
            <w:hideMark/>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310</w:t>
            </w:r>
          </w:p>
        </w:tc>
        <w:tc>
          <w:tcPr>
            <w:tcW w:w="1134" w:type="dxa"/>
            <w:shd w:val="clear" w:color="auto" w:fill="auto"/>
            <w:hideMark/>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313</w:t>
            </w:r>
          </w:p>
        </w:tc>
        <w:tc>
          <w:tcPr>
            <w:tcW w:w="6520" w:type="dxa"/>
            <w:shd w:val="clear" w:color="auto" w:fill="auto"/>
            <w:hideMark/>
          </w:tcPr>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1.新辦中心補助15-30萬元，開課時數以208小時為下限，離島地區可再酌減，最低以156小時為限</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2.續辦中心補助15-40萬元，開課時數以312小時為下限</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3.樂齡學習示範中心補助70萬元為上限，開課時數以624小時為下限</w:t>
            </w:r>
          </w:p>
        </w:tc>
      </w:tr>
      <w:tr w:rsidR="00D7741A" w:rsidRPr="00D41D30" w:rsidTr="00AD2579">
        <w:tc>
          <w:tcPr>
            <w:tcW w:w="885" w:type="dxa"/>
            <w:shd w:val="clear" w:color="auto" w:fill="auto"/>
          </w:tcPr>
          <w:p w:rsidR="00D7741A" w:rsidRPr="00D41D30" w:rsidRDefault="00D7741A" w:rsidP="006C4734">
            <w:pPr>
              <w:adjustRightInd w:val="0"/>
              <w:snapToGrid w:val="0"/>
              <w:ind w:right="-79"/>
              <w:jc w:val="center"/>
              <w:rPr>
                <w:rFonts w:hAnsi="標楷體"/>
                <w:color w:val="000000" w:themeColor="text1"/>
                <w:sz w:val="24"/>
                <w:szCs w:val="24"/>
              </w:rPr>
            </w:pPr>
            <w:r w:rsidRPr="00D41D30">
              <w:rPr>
                <w:rFonts w:hAnsi="標楷體"/>
                <w:color w:val="000000" w:themeColor="text1"/>
                <w:sz w:val="24"/>
                <w:szCs w:val="24"/>
              </w:rPr>
              <w:t>105</w:t>
            </w:r>
          </w:p>
        </w:tc>
        <w:tc>
          <w:tcPr>
            <w:tcW w:w="959" w:type="dxa"/>
            <w:shd w:val="clear" w:color="auto" w:fill="auto"/>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336</w:t>
            </w:r>
          </w:p>
        </w:tc>
        <w:tc>
          <w:tcPr>
            <w:tcW w:w="1134" w:type="dxa"/>
            <w:shd w:val="clear" w:color="auto" w:fill="auto"/>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339</w:t>
            </w:r>
          </w:p>
        </w:tc>
        <w:tc>
          <w:tcPr>
            <w:tcW w:w="6520" w:type="dxa"/>
            <w:shd w:val="clear" w:color="auto" w:fill="auto"/>
          </w:tcPr>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1.新辦中心補助15-30萬元，開課時數以208小時為下限，離島地區可再酌減，最低以156小時為限</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2.續辦中心補助15-40萬元，開課時數以312小時為下限</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3.全國12所樂齡學習示範中心及6所優質樂齡學習中心補助70萬元為上限，開課時數以624小時為下限，惟可依據中心的執行成效核定相關經費，105年約為50萬-70萬元之間。</w:t>
            </w:r>
          </w:p>
        </w:tc>
      </w:tr>
      <w:tr w:rsidR="00D7741A" w:rsidRPr="00D41D30" w:rsidTr="00AD2579">
        <w:tc>
          <w:tcPr>
            <w:tcW w:w="885" w:type="dxa"/>
            <w:shd w:val="clear" w:color="auto" w:fill="auto"/>
          </w:tcPr>
          <w:p w:rsidR="00D7741A" w:rsidRPr="00D41D30" w:rsidRDefault="00D7741A" w:rsidP="006C4734">
            <w:pPr>
              <w:adjustRightInd w:val="0"/>
              <w:snapToGrid w:val="0"/>
              <w:ind w:right="-79"/>
              <w:jc w:val="center"/>
              <w:rPr>
                <w:rFonts w:hAnsi="標楷體"/>
                <w:color w:val="000000" w:themeColor="text1"/>
                <w:sz w:val="24"/>
                <w:szCs w:val="24"/>
              </w:rPr>
            </w:pPr>
            <w:r w:rsidRPr="00D41D30">
              <w:rPr>
                <w:rFonts w:hAnsi="標楷體"/>
                <w:color w:val="000000" w:themeColor="text1"/>
                <w:sz w:val="24"/>
                <w:szCs w:val="24"/>
              </w:rPr>
              <w:t>106</w:t>
            </w:r>
          </w:p>
        </w:tc>
        <w:tc>
          <w:tcPr>
            <w:tcW w:w="959" w:type="dxa"/>
            <w:shd w:val="clear" w:color="auto" w:fill="auto"/>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357</w:t>
            </w:r>
          </w:p>
        </w:tc>
        <w:tc>
          <w:tcPr>
            <w:tcW w:w="1134" w:type="dxa"/>
            <w:shd w:val="clear" w:color="auto" w:fill="auto"/>
          </w:tcPr>
          <w:p w:rsidR="00D7741A" w:rsidRPr="00D41D30" w:rsidRDefault="00D7741A" w:rsidP="006C4734">
            <w:pPr>
              <w:adjustRightInd w:val="0"/>
              <w:snapToGrid w:val="0"/>
              <w:ind w:right="-82"/>
              <w:jc w:val="center"/>
              <w:rPr>
                <w:rFonts w:hAnsi="標楷體"/>
                <w:color w:val="000000" w:themeColor="text1"/>
                <w:sz w:val="24"/>
                <w:szCs w:val="24"/>
              </w:rPr>
            </w:pPr>
            <w:r w:rsidRPr="00D41D30">
              <w:rPr>
                <w:rFonts w:hAnsi="標楷體"/>
                <w:color w:val="000000" w:themeColor="text1"/>
                <w:sz w:val="24"/>
                <w:szCs w:val="24"/>
              </w:rPr>
              <w:t>362</w:t>
            </w:r>
          </w:p>
        </w:tc>
        <w:tc>
          <w:tcPr>
            <w:tcW w:w="6520" w:type="dxa"/>
            <w:shd w:val="clear" w:color="auto" w:fill="auto"/>
          </w:tcPr>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1.新辦中心補助15-30萬元，開課時數以208小時為下限，離島地區可再酌減，最低以156小時為限</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2.續辦中心補助15-40萬元，開課時數以312小時為下限</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3.全國12所樂齡學習示範中心及6所優質樂齡學習中心補助70萬元為上限，開課時數以624小時為下限，惟可依據中心的執行成效核定相關經費，106年平均每所中心補助36萬餘元。</w:t>
            </w:r>
          </w:p>
        </w:tc>
      </w:tr>
      <w:tr w:rsidR="00D7741A" w:rsidRPr="00D41D30" w:rsidTr="00AD2579">
        <w:tc>
          <w:tcPr>
            <w:tcW w:w="885" w:type="dxa"/>
            <w:shd w:val="clear" w:color="auto" w:fill="auto"/>
          </w:tcPr>
          <w:p w:rsidR="00D7741A" w:rsidRPr="00D41D30" w:rsidRDefault="00D7741A" w:rsidP="006C4734">
            <w:pPr>
              <w:adjustRightInd w:val="0"/>
              <w:snapToGrid w:val="0"/>
              <w:ind w:right="-79"/>
              <w:jc w:val="center"/>
              <w:rPr>
                <w:rFonts w:hAnsi="標楷體"/>
                <w:b/>
                <w:color w:val="000000" w:themeColor="text1"/>
                <w:sz w:val="24"/>
                <w:szCs w:val="24"/>
              </w:rPr>
            </w:pPr>
            <w:r w:rsidRPr="00D41D30">
              <w:rPr>
                <w:rFonts w:hAnsi="標楷體"/>
                <w:b/>
                <w:color w:val="000000" w:themeColor="text1"/>
                <w:sz w:val="24"/>
                <w:szCs w:val="24"/>
              </w:rPr>
              <w:t>107</w:t>
            </w:r>
          </w:p>
        </w:tc>
        <w:tc>
          <w:tcPr>
            <w:tcW w:w="959" w:type="dxa"/>
            <w:shd w:val="clear" w:color="auto" w:fill="auto"/>
          </w:tcPr>
          <w:p w:rsidR="00D7741A" w:rsidRPr="00D41D30" w:rsidRDefault="00D7741A" w:rsidP="006C4734">
            <w:pPr>
              <w:adjustRightInd w:val="0"/>
              <w:snapToGrid w:val="0"/>
              <w:ind w:right="-82"/>
              <w:jc w:val="center"/>
              <w:rPr>
                <w:rFonts w:hAnsi="標楷體"/>
                <w:b/>
                <w:color w:val="000000" w:themeColor="text1"/>
                <w:sz w:val="24"/>
                <w:szCs w:val="24"/>
              </w:rPr>
            </w:pPr>
            <w:r w:rsidRPr="00D41D30">
              <w:rPr>
                <w:rFonts w:hAnsi="標楷體"/>
                <w:b/>
                <w:color w:val="000000" w:themeColor="text1"/>
                <w:sz w:val="24"/>
                <w:szCs w:val="24"/>
              </w:rPr>
              <w:t>360</w:t>
            </w:r>
          </w:p>
        </w:tc>
        <w:tc>
          <w:tcPr>
            <w:tcW w:w="1134" w:type="dxa"/>
            <w:shd w:val="clear" w:color="auto" w:fill="auto"/>
          </w:tcPr>
          <w:p w:rsidR="00D7741A" w:rsidRPr="00D41D30" w:rsidRDefault="00D7741A" w:rsidP="006C4734">
            <w:pPr>
              <w:adjustRightInd w:val="0"/>
              <w:snapToGrid w:val="0"/>
              <w:ind w:right="-82"/>
              <w:jc w:val="center"/>
              <w:rPr>
                <w:rFonts w:hAnsi="標楷體"/>
                <w:b/>
                <w:color w:val="000000" w:themeColor="text1"/>
                <w:sz w:val="24"/>
                <w:szCs w:val="24"/>
              </w:rPr>
            </w:pPr>
            <w:r w:rsidRPr="00D41D30">
              <w:rPr>
                <w:rFonts w:hAnsi="標楷體"/>
                <w:b/>
                <w:color w:val="000000" w:themeColor="text1"/>
                <w:sz w:val="24"/>
                <w:szCs w:val="24"/>
              </w:rPr>
              <w:t>368</w:t>
            </w:r>
          </w:p>
        </w:tc>
        <w:tc>
          <w:tcPr>
            <w:tcW w:w="6520" w:type="dxa"/>
            <w:shd w:val="clear" w:color="auto" w:fill="auto"/>
          </w:tcPr>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1.示範中心：補助70萬元為原則，時數不得低於624小時。</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2.優質中心（縣市政府得推薦具績效之1所中心參與複審）：補助60萬元為原則，時數不得低於520小時。</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3.續辦中心：補助46萬元為原則，時數不得低於312小時。</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4.新辦中心：補助30萬元為原則，時數不得低於208小時。</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5.樂齡學習優先推動區（老年人口20%以上或老年人口超過2萬人）得增設1所，補助30萬元為原則，時數為104至260小時。</w:t>
            </w:r>
          </w:p>
          <w:p w:rsidR="00D7741A" w:rsidRPr="00D41D30" w:rsidRDefault="00D7741A" w:rsidP="00EA4305">
            <w:pPr>
              <w:kinsoku w:val="0"/>
              <w:snapToGrid w:val="0"/>
              <w:ind w:left="260" w:rightChars="63" w:right="214" w:hangingChars="100" w:hanging="260"/>
              <w:rPr>
                <w:rFonts w:hAnsi="標楷體"/>
                <w:color w:val="000000" w:themeColor="text1"/>
                <w:sz w:val="24"/>
                <w:szCs w:val="24"/>
              </w:rPr>
            </w:pPr>
            <w:r w:rsidRPr="00D41D30">
              <w:rPr>
                <w:rFonts w:hAnsi="標楷體"/>
                <w:color w:val="000000" w:themeColor="text1"/>
                <w:sz w:val="24"/>
                <w:szCs w:val="24"/>
              </w:rPr>
              <w:t>6.離島及偏鄉地區中心：總時數得彈性以104至156小時，補助30萬元為原則。</w:t>
            </w:r>
          </w:p>
        </w:tc>
      </w:tr>
      <w:tr w:rsidR="00D7741A" w:rsidRPr="00D41D30" w:rsidTr="00AD2579">
        <w:tc>
          <w:tcPr>
            <w:tcW w:w="885" w:type="dxa"/>
            <w:shd w:val="clear" w:color="auto" w:fill="auto"/>
          </w:tcPr>
          <w:p w:rsidR="00D7741A" w:rsidRPr="00D41D30" w:rsidRDefault="00D7741A" w:rsidP="006C4734">
            <w:pPr>
              <w:adjustRightInd w:val="0"/>
              <w:snapToGrid w:val="0"/>
              <w:ind w:right="-79"/>
              <w:jc w:val="center"/>
              <w:rPr>
                <w:rFonts w:hAnsi="標楷體"/>
                <w:b/>
                <w:color w:val="000000" w:themeColor="text1"/>
                <w:sz w:val="24"/>
                <w:szCs w:val="24"/>
              </w:rPr>
            </w:pPr>
            <w:r w:rsidRPr="00D41D30">
              <w:rPr>
                <w:rFonts w:hAnsi="標楷體" w:hint="eastAsia"/>
                <w:b/>
                <w:color w:val="000000" w:themeColor="text1"/>
                <w:sz w:val="24"/>
                <w:szCs w:val="24"/>
              </w:rPr>
              <w:t>108</w:t>
            </w:r>
          </w:p>
        </w:tc>
        <w:tc>
          <w:tcPr>
            <w:tcW w:w="959" w:type="dxa"/>
            <w:shd w:val="clear" w:color="auto" w:fill="auto"/>
          </w:tcPr>
          <w:p w:rsidR="00D7741A" w:rsidRPr="00D41D30" w:rsidRDefault="00D7741A" w:rsidP="006C4734">
            <w:pPr>
              <w:adjustRightInd w:val="0"/>
              <w:snapToGrid w:val="0"/>
              <w:ind w:right="-82"/>
              <w:jc w:val="center"/>
              <w:rPr>
                <w:rFonts w:hAnsi="標楷體"/>
                <w:b/>
                <w:color w:val="000000" w:themeColor="text1"/>
                <w:sz w:val="24"/>
                <w:szCs w:val="24"/>
              </w:rPr>
            </w:pPr>
            <w:r w:rsidRPr="00D41D30">
              <w:rPr>
                <w:rFonts w:hAnsi="標楷體" w:hint="eastAsia"/>
                <w:b/>
                <w:color w:val="000000" w:themeColor="text1"/>
                <w:sz w:val="24"/>
                <w:szCs w:val="24"/>
              </w:rPr>
              <w:t>366</w:t>
            </w:r>
          </w:p>
        </w:tc>
        <w:tc>
          <w:tcPr>
            <w:tcW w:w="1134" w:type="dxa"/>
            <w:shd w:val="clear" w:color="auto" w:fill="auto"/>
          </w:tcPr>
          <w:p w:rsidR="00D7741A" w:rsidRPr="00D41D30" w:rsidRDefault="00D7741A" w:rsidP="006C4734">
            <w:pPr>
              <w:adjustRightInd w:val="0"/>
              <w:snapToGrid w:val="0"/>
              <w:ind w:right="-82"/>
              <w:jc w:val="center"/>
              <w:rPr>
                <w:rFonts w:hAnsi="標楷體"/>
                <w:b/>
                <w:color w:val="000000" w:themeColor="text1"/>
                <w:sz w:val="24"/>
                <w:szCs w:val="24"/>
              </w:rPr>
            </w:pPr>
            <w:r w:rsidRPr="00D41D30">
              <w:rPr>
                <w:rFonts w:hAnsi="標楷體" w:hint="eastAsia"/>
                <w:b/>
                <w:color w:val="000000" w:themeColor="text1"/>
                <w:sz w:val="24"/>
                <w:szCs w:val="24"/>
              </w:rPr>
              <w:t>358</w:t>
            </w:r>
          </w:p>
        </w:tc>
        <w:tc>
          <w:tcPr>
            <w:tcW w:w="6520" w:type="dxa"/>
            <w:shd w:val="clear" w:color="auto" w:fill="auto"/>
          </w:tcPr>
          <w:p w:rsidR="00D7741A" w:rsidRPr="00D41D30" w:rsidRDefault="00D7741A" w:rsidP="00DB1A03">
            <w:pPr>
              <w:numPr>
                <w:ilvl w:val="2"/>
                <w:numId w:val="9"/>
              </w:numPr>
              <w:kinsoku w:val="0"/>
              <w:overflowPunct/>
              <w:autoSpaceDE/>
              <w:autoSpaceDN/>
              <w:snapToGrid w:val="0"/>
              <w:ind w:left="346" w:rightChars="63" w:right="214"/>
              <w:rPr>
                <w:rFonts w:hAnsi="標楷體"/>
                <w:bCs/>
                <w:color w:val="000000" w:themeColor="text1"/>
                <w:sz w:val="24"/>
                <w:szCs w:val="24"/>
              </w:rPr>
            </w:pPr>
            <w:r w:rsidRPr="00D41D30">
              <w:rPr>
                <w:rFonts w:hAnsi="標楷體" w:hint="eastAsia"/>
                <w:bCs/>
                <w:color w:val="000000" w:themeColor="text1"/>
                <w:sz w:val="24"/>
                <w:szCs w:val="24"/>
              </w:rPr>
              <w:t>示範中心：補助70萬元為原則，時數不得低於624小時。</w:t>
            </w:r>
          </w:p>
          <w:p w:rsidR="00D7741A" w:rsidRPr="00D41D30" w:rsidRDefault="00D7741A" w:rsidP="00DB1A03">
            <w:pPr>
              <w:numPr>
                <w:ilvl w:val="2"/>
                <w:numId w:val="9"/>
              </w:numPr>
              <w:kinsoku w:val="0"/>
              <w:overflowPunct/>
              <w:autoSpaceDE/>
              <w:autoSpaceDN/>
              <w:snapToGrid w:val="0"/>
              <w:ind w:left="346" w:rightChars="63" w:right="214"/>
              <w:rPr>
                <w:rFonts w:hAnsi="標楷體"/>
                <w:bCs/>
                <w:color w:val="000000" w:themeColor="text1"/>
                <w:sz w:val="24"/>
                <w:szCs w:val="24"/>
              </w:rPr>
            </w:pPr>
            <w:r w:rsidRPr="00D41D30">
              <w:rPr>
                <w:rFonts w:hAnsi="標楷體" w:hint="eastAsia"/>
                <w:bCs/>
                <w:color w:val="000000" w:themeColor="text1"/>
                <w:sz w:val="24"/>
                <w:szCs w:val="24"/>
              </w:rPr>
              <w:t>優質中心：補助60萬元為原則，時數不得低於520</w:t>
            </w:r>
            <w:r w:rsidRPr="00D41D30">
              <w:rPr>
                <w:rFonts w:hAnsi="標楷體" w:hint="eastAsia"/>
                <w:bCs/>
                <w:color w:val="000000" w:themeColor="text1"/>
                <w:sz w:val="24"/>
                <w:szCs w:val="24"/>
              </w:rPr>
              <w:lastRenderedPageBreak/>
              <w:t>小時。</w:t>
            </w:r>
          </w:p>
          <w:p w:rsidR="00D7741A" w:rsidRPr="00D41D30" w:rsidRDefault="00D7741A" w:rsidP="00DB1A03">
            <w:pPr>
              <w:numPr>
                <w:ilvl w:val="2"/>
                <w:numId w:val="9"/>
              </w:numPr>
              <w:kinsoku w:val="0"/>
              <w:overflowPunct/>
              <w:autoSpaceDE/>
              <w:autoSpaceDN/>
              <w:snapToGrid w:val="0"/>
              <w:ind w:left="346" w:rightChars="63" w:right="214"/>
              <w:rPr>
                <w:rFonts w:hAnsi="標楷體"/>
                <w:bCs/>
                <w:color w:val="000000" w:themeColor="text1"/>
                <w:sz w:val="24"/>
                <w:szCs w:val="24"/>
              </w:rPr>
            </w:pPr>
            <w:r w:rsidRPr="00D41D30">
              <w:rPr>
                <w:rFonts w:hAnsi="標楷體" w:hint="eastAsia"/>
                <w:bCs/>
                <w:color w:val="000000" w:themeColor="text1"/>
                <w:sz w:val="24"/>
                <w:szCs w:val="24"/>
              </w:rPr>
              <w:t>續辦中心：補助38萬元為原則，時數不得低於312小時。</w:t>
            </w:r>
          </w:p>
          <w:p w:rsidR="00D7741A" w:rsidRPr="00D41D30" w:rsidRDefault="00D7741A" w:rsidP="00DB1A03">
            <w:pPr>
              <w:numPr>
                <w:ilvl w:val="2"/>
                <w:numId w:val="9"/>
              </w:numPr>
              <w:kinsoku w:val="0"/>
              <w:overflowPunct/>
              <w:autoSpaceDE/>
              <w:autoSpaceDN/>
              <w:snapToGrid w:val="0"/>
              <w:ind w:left="346" w:rightChars="63" w:right="214"/>
              <w:rPr>
                <w:rFonts w:hAnsi="標楷體"/>
                <w:bCs/>
                <w:color w:val="000000" w:themeColor="text1"/>
                <w:sz w:val="24"/>
                <w:szCs w:val="24"/>
              </w:rPr>
            </w:pPr>
            <w:r w:rsidRPr="00D41D30">
              <w:rPr>
                <w:rFonts w:hAnsi="標楷體" w:hint="eastAsia"/>
                <w:bCs/>
                <w:color w:val="000000" w:themeColor="text1"/>
                <w:sz w:val="24"/>
                <w:szCs w:val="24"/>
              </w:rPr>
              <w:t>新辦中心：補助28萬元為原則，時數不得低於208小時。</w:t>
            </w:r>
          </w:p>
        </w:tc>
      </w:tr>
    </w:tbl>
    <w:p w:rsidR="00D7741A" w:rsidRPr="00D41D30" w:rsidRDefault="00D7741A" w:rsidP="00EA4305">
      <w:pPr>
        <w:rPr>
          <w:color w:val="000000" w:themeColor="text1"/>
          <w:sz w:val="24"/>
          <w:szCs w:val="24"/>
        </w:rPr>
      </w:pPr>
      <w:r w:rsidRPr="00D41D30">
        <w:rPr>
          <w:rFonts w:hint="eastAsia"/>
          <w:color w:val="000000" w:themeColor="text1"/>
          <w:sz w:val="24"/>
          <w:szCs w:val="24"/>
        </w:rPr>
        <w:lastRenderedPageBreak/>
        <w:t>資料來源：教育部提供</w:t>
      </w:r>
    </w:p>
    <w:p w:rsidR="00D7741A" w:rsidRPr="00D41D30" w:rsidRDefault="00D7741A" w:rsidP="00AD2579">
      <w:pPr>
        <w:pStyle w:val="3"/>
        <w:spacing w:beforeLines="50" w:before="228"/>
        <w:ind w:left="1360" w:hanging="680"/>
        <w:rPr>
          <w:color w:val="000000" w:themeColor="text1"/>
        </w:rPr>
      </w:pPr>
      <w:bookmarkStart w:id="494" w:name="_Toc16500643"/>
      <w:bookmarkStart w:id="495" w:name="_Toc16588718"/>
      <w:bookmarkStart w:id="496" w:name="_Toc16693348"/>
      <w:bookmarkStart w:id="497" w:name="_Toc30512474"/>
      <w:bookmarkStart w:id="498" w:name="_Toc30581182"/>
      <w:bookmarkStart w:id="499" w:name="_Toc32392455"/>
      <w:bookmarkStart w:id="500" w:name="_Toc32673645"/>
      <w:bookmarkStart w:id="501" w:name="_Toc32845787"/>
      <w:bookmarkStart w:id="502" w:name="_Toc32846510"/>
      <w:bookmarkStart w:id="503" w:name="_Toc32913753"/>
      <w:bookmarkStart w:id="504" w:name="_Toc32918429"/>
      <w:bookmarkStart w:id="505" w:name="_Toc33011722"/>
      <w:r w:rsidRPr="00D41D30">
        <w:rPr>
          <w:rFonts w:hint="eastAsia"/>
          <w:color w:val="000000" w:themeColor="text1"/>
        </w:rPr>
        <w:t>成效</w:t>
      </w:r>
      <w:bookmarkEnd w:id="494"/>
      <w:bookmarkEnd w:id="495"/>
      <w:bookmarkEnd w:id="496"/>
      <w:bookmarkEnd w:id="497"/>
      <w:bookmarkEnd w:id="498"/>
      <w:bookmarkEnd w:id="499"/>
      <w:bookmarkEnd w:id="500"/>
      <w:bookmarkEnd w:id="501"/>
      <w:bookmarkEnd w:id="502"/>
      <w:bookmarkEnd w:id="503"/>
      <w:bookmarkEnd w:id="504"/>
      <w:bookmarkEnd w:id="505"/>
    </w:p>
    <w:p w:rsidR="00D7741A" w:rsidRPr="00D41D30" w:rsidRDefault="00D7741A" w:rsidP="004401AA">
      <w:pPr>
        <w:pStyle w:val="4"/>
        <w:rPr>
          <w:color w:val="000000" w:themeColor="text1"/>
        </w:rPr>
      </w:pPr>
      <w:r w:rsidRPr="00D41D30">
        <w:rPr>
          <w:rFonts w:hint="eastAsia"/>
          <w:color w:val="000000" w:themeColor="text1"/>
        </w:rPr>
        <w:t>廣布於各鄉鎮市區</w:t>
      </w:r>
    </w:p>
    <w:p w:rsidR="00D7741A" w:rsidRPr="00D41D30" w:rsidRDefault="00D7741A" w:rsidP="00D11B23">
      <w:pPr>
        <w:pStyle w:val="42"/>
        <w:ind w:left="1701" w:firstLine="680"/>
        <w:rPr>
          <w:color w:val="000000" w:themeColor="text1"/>
        </w:rPr>
      </w:pPr>
      <w:r w:rsidRPr="00D41D30">
        <w:rPr>
          <w:rFonts w:hint="eastAsia"/>
          <w:color w:val="000000" w:themeColor="text1"/>
        </w:rPr>
        <w:t>目前全國樂齡中心已成立36</w:t>
      </w:r>
      <w:r w:rsidR="00AD2579" w:rsidRPr="00D41D30">
        <w:rPr>
          <w:color w:val="000000" w:themeColor="text1"/>
        </w:rPr>
        <w:t>6</w:t>
      </w:r>
      <w:r w:rsidRPr="00D41D30">
        <w:rPr>
          <w:rFonts w:hint="eastAsia"/>
          <w:color w:val="000000" w:themeColor="text1"/>
        </w:rPr>
        <w:t>所中心並分散於全國35</w:t>
      </w:r>
      <w:r w:rsidR="00E72D98" w:rsidRPr="00D41D30">
        <w:rPr>
          <w:color w:val="000000" w:themeColor="text1"/>
        </w:rPr>
        <w:t>8</w:t>
      </w:r>
      <w:r w:rsidRPr="00D41D30">
        <w:rPr>
          <w:rFonts w:hint="eastAsia"/>
          <w:color w:val="000000" w:themeColor="text1"/>
        </w:rPr>
        <w:t>個鄉鎮市區，全國各樂齡中心參與人數由</w:t>
      </w:r>
      <w:r w:rsidRPr="00D41D30">
        <w:rPr>
          <w:color w:val="000000" w:themeColor="text1"/>
        </w:rPr>
        <w:t>97</w:t>
      </w:r>
      <w:r w:rsidRPr="00D41D30">
        <w:rPr>
          <w:rFonts w:hint="eastAsia"/>
          <w:color w:val="000000" w:themeColor="text1"/>
        </w:rPr>
        <w:t>年</w:t>
      </w:r>
      <w:r w:rsidRPr="00D41D30">
        <w:rPr>
          <w:color w:val="000000" w:themeColor="text1"/>
        </w:rPr>
        <w:t>47</w:t>
      </w:r>
      <w:r w:rsidRPr="00D41D30">
        <w:rPr>
          <w:rFonts w:hint="eastAsia"/>
          <w:color w:val="000000" w:themeColor="text1"/>
        </w:rPr>
        <w:t>萬人次，提升至107年258萬3,677人次參與，歷年累積辦理場次達</w:t>
      </w:r>
      <w:r w:rsidRPr="00D41D30">
        <w:rPr>
          <w:color w:val="000000" w:themeColor="text1"/>
        </w:rPr>
        <w:t>65</w:t>
      </w:r>
      <w:r w:rsidRPr="00D41D30">
        <w:rPr>
          <w:rFonts w:hint="eastAsia"/>
          <w:color w:val="000000" w:themeColor="text1"/>
        </w:rPr>
        <w:t>萬</w:t>
      </w:r>
      <w:r w:rsidRPr="00D41D30">
        <w:rPr>
          <w:color w:val="000000" w:themeColor="text1"/>
        </w:rPr>
        <w:t>7,59</w:t>
      </w:r>
      <w:r w:rsidRPr="00D41D30">
        <w:rPr>
          <w:rFonts w:hint="eastAsia"/>
          <w:color w:val="000000" w:themeColor="text1"/>
        </w:rPr>
        <w:t>2場次，共計</w:t>
      </w:r>
      <w:r w:rsidRPr="00D41D30">
        <w:rPr>
          <w:color w:val="000000" w:themeColor="text1"/>
        </w:rPr>
        <w:t>1,61</w:t>
      </w:r>
      <w:r w:rsidRPr="00D41D30">
        <w:rPr>
          <w:rFonts w:hint="eastAsia"/>
          <w:color w:val="000000" w:themeColor="text1"/>
        </w:rPr>
        <w:t>9萬</w:t>
      </w:r>
      <w:r w:rsidRPr="00D41D30">
        <w:rPr>
          <w:color w:val="000000" w:themeColor="text1"/>
        </w:rPr>
        <w:t>5,209</w:t>
      </w:r>
      <w:r w:rsidRPr="00D41D30">
        <w:rPr>
          <w:rFonts w:hint="eastAsia"/>
          <w:color w:val="000000" w:themeColor="text1"/>
        </w:rPr>
        <w:t>人次參與，經該部107年上半年統計樂齡中心系列性課程學員為12萬8</w:t>
      </w:r>
      <w:r w:rsidRPr="00D41D30">
        <w:rPr>
          <w:color w:val="000000" w:themeColor="text1"/>
        </w:rPr>
        <w:t>,</w:t>
      </w:r>
      <w:r w:rsidRPr="00D41D30">
        <w:rPr>
          <w:rFonts w:hint="eastAsia"/>
          <w:color w:val="000000" w:themeColor="text1"/>
        </w:rPr>
        <w:t>942人，此數據尚不包含單次性學員及村里拓點學員數，近5年參與人次如下:</w:t>
      </w:r>
    </w:p>
    <w:p w:rsidR="00D7741A" w:rsidRPr="00D41D30" w:rsidRDefault="00D7741A" w:rsidP="00E72D98">
      <w:pPr>
        <w:pStyle w:val="a4"/>
        <w:ind w:left="697" w:hanging="130"/>
        <w:rPr>
          <w:b/>
          <w:color w:val="000000" w:themeColor="text1"/>
        </w:rPr>
      </w:pPr>
      <w:r w:rsidRPr="00D41D30">
        <w:rPr>
          <w:rFonts w:hint="eastAsia"/>
          <w:b/>
          <w:color w:val="000000" w:themeColor="text1"/>
        </w:rPr>
        <w:t>103</w:t>
      </w:r>
      <w:r w:rsidRPr="00D41D30">
        <w:rPr>
          <w:b/>
          <w:color w:val="000000" w:themeColor="text1"/>
        </w:rPr>
        <w:t>-10</w:t>
      </w:r>
      <w:r w:rsidRPr="00D41D30">
        <w:rPr>
          <w:rFonts w:hint="eastAsia"/>
          <w:b/>
          <w:color w:val="000000" w:themeColor="text1"/>
        </w:rPr>
        <w:t>7</w:t>
      </w:r>
      <w:r w:rsidRPr="00D41D30">
        <w:rPr>
          <w:b/>
          <w:color w:val="000000" w:themeColor="text1"/>
        </w:rPr>
        <w:t>年樂齡學習中心設置數及辦理情形</w:t>
      </w: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82"/>
        <w:gridCol w:w="2545"/>
        <w:gridCol w:w="2977"/>
      </w:tblGrid>
      <w:tr w:rsidR="00D7741A" w:rsidRPr="00D41D30" w:rsidTr="008B2F78">
        <w:trPr>
          <w:tblHeader/>
          <w:jc w:val="center"/>
        </w:trPr>
        <w:tc>
          <w:tcPr>
            <w:tcW w:w="992" w:type="dxa"/>
            <w:tcBorders>
              <w:top w:val="single" w:sz="4" w:space="0" w:color="auto"/>
              <w:left w:val="single" w:sz="4" w:space="0" w:color="auto"/>
              <w:bottom w:val="single" w:sz="4" w:space="0" w:color="auto"/>
              <w:right w:val="single" w:sz="4" w:space="0" w:color="auto"/>
            </w:tcBorders>
            <w:hideMark/>
          </w:tcPr>
          <w:p w:rsidR="00D7741A" w:rsidRPr="00D41D30" w:rsidRDefault="00D7741A" w:rsidP="008B2F78">
            <w:pPr>
              <w:jc w:val="center"/>
              <w:rPr>
                <w:rFonts w:hAnsi="標楷體"/>
                <w:b/>
                <w:color w:val="000000" w:themeColor="text1"/>
                <w:sz w:val="28"/>
                <w:szCs w:val="28"/>
              </w:rPr>
            </w:pPr>
            <w:r w:rsidRPr="00D41D30">
              <w:rPr>
                <w:rFonts w:hAnsi="標楷體"/>
                <w:b/>
                <w:color w:val="000000" w:themeColor="text1"/>
                <w:sz w:val="28"/>
                <w:szCs w:val="28"/>
              </w:rPr>
              <w:t>年度</w:t>
            </w:r>
          </w:p>
        </w:tc>
        <w:tc>
          <w:tcPr>
            <w:tcW w:w="1282" w:type="dxa"/>
            <w:tcBorders>
              <w:top w:val="single" w:sz="4" w:space="0" w:color="auto"/>
              <w:left w:val="single" w:sz="4" w:space="0" w:color="auto"/>
              <w:bottom w:val="single" w:sz="4" w:space="0" w:color="auto"/>
              <w:right w:val="single" w:sz="4" w:space="0" w:color="auto"/>
            </w:tcBorders>
            <w:hideMark/>
          </w:tcPr>
          <w:p w:rsidR="00D7741A" w:rsidRPr="00D41D30" w:rsidRDefault="00D7741A" w:rsidP="008B2F78">
            <w:pPr>
              <w:jc w:val="center"/>
              <w:rPr>
                <w:rFonts w:hAnsi="標楷體"/>
                <w:b/>
                <w:color w:val="000000" w:themeColor="text1"/>
                <w:sz w:val="28"/>
                <w:szCs w:val="28"/>
              </w:rPr>
            </w:pPr>
            <w:r w:rsidRPr="00D41D30">
              <w:rPr>
                <w:rFonts w:hAnsi="標楷體"/>
                <w:b/>
                <w:color w:val="000000" w:themeColor="text1"/>
                <w:sz w:val="28"/>
                <w:szCs w:val="28"/>
              </w:rPr>
              <w:t>中心數</w:t>
            </w:r>
          </w:p>
        </w:tc>
        <w:tc>
          <w:tcPr>
            <w:tcW w:w="2545" w:type="dxa"/>
            <w:tcBorders>
              <w:top w:val="single" w:sz="4" w:space="0" w:color="auto"/>
              <w:left w:val="single" w:sz="4" w:space="0" w:color="auto"/>
              <w:bottom w:val="single" w:sz="4" w:space="0" w:color="auto"/>
              <w:right w:val="single" w:sz="4" w:space="0" w:color="auto"/>
            </w:tcBorders>
            <w:hideMark/>
          </w:tcPr>
          <w:p w:rsidR="00D7741A" w:rsidRPr="00D41D30" w:rsidRDefault="00D7741A" w:rsidP="008B2F78">
            <w:pPr>
              <w:jc w:val="center"/>
              <w:rPr>
                <w:rFonts w:hAnsi="標楷體"/>
                <w:b/>
                <w:color w:val="000000" w:themeColor="text1"/>
                <w:sz w:val="28"/>
                <w:szCs w:val="28"/>
              </w:rPr>
            </w:pPr>
            <w:r w:rsidRPr="00D41D30">
              <w:rPr>
                <w:rFonts w:hAnsi="標楷體"/>
                <w:b/>
                <w:color w:val="000000" w:themeColor="text1"/>
                <w:sz w:val="28"/>
                <w:szCs w:val="28"/>
              </w:rPr>
              <w:t>活動場次</w:t>
            </w:r>
          </w:p>
        </w:tc>
        <w:tc>
          <w:tcPr>
            <w:tcW w:w="2977" w:type="dxa"/>
            <w:tcBorders>
              <w:top w:val="single" w:sz="4" w:space="0" w:color="auto"/>
              <w:left w:val="single" w:sz="4" w:space="0" w:color="auto"/>
              <w:bottom w:val="single" w:sz="4" w:space="0" w:color="auto"/>
              <w:right w:val="single" w:sz="4" w:space="0" w:color="auto"/>
            </w:tcBorders>
            <w:hideMark/>
          </w:tcPr>
          <w:p w:rsidR="00D7741A" w:rsidRPr="00D41D30" w:rsidRDefault="00D7741A" w:rsidP="008B2F78">
            <w:pPr>
              <w:ind w:rightChars="-110" w:right="-374"/>
              <w:jc w:val="center"/>
              <w:rPr>
                <w:rFonts w:hAnsi="標楷體"/>
                <w:b/>
                <w:color w:val="000000" w:themeColor="text1"/>
                <w:sz w:val="28"/>
                <w:szCs w:val="28"/>
              </w:rPr>
            </w:pPr>
            <w:r w:rsidRPr="00D41D30">
              <w:rPr>
                <w:rFonts w:hAnsi="標楷體"/>
                <w:b/>
                <w:color w:val="000000" w:themeColor="text1"/>
                <w:sz w:val="28"/>
                <w:szCs w:val="28"/>
              </w:rPr>
              <w:t>參與人次</w:t>
            </w:r>
          </w:p>
        </w:tc>
      </w:tr>
      <w:tr w:rsidR="00D7741A" w:rsidRPr="00D41D30" w:rsidTr="008B2F78">
        <w:trPr>
          <w:jc w:val="center"/>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7741A" w:rsidRPr="00D41D30" w:rsidRDefault="00D7741A" w:rsidP="006C4734">
            <w:pPr>
              <w:jc w:val="center"/>
              <w:rPr>
                <w:rFonts w:hAnsi="標楷體"/>
                <w:b/>
                <w:color w:val="000000" w:themeColor="text1"/>
                <w:sz w:val="28"/>
                <w:szCs w:val="28"/>
              </w:rPr>
            </w:pPr>
            <w:r w:rsidRPr="00D41D30">
              <w:rPr>
                <w:rFonts w:hAnsi="標楷體"/>
                <w:b/>
                <w:color w:val="000000" w:themeColor="text1"/>
                <w:sz w:val="28"/>
                <w:szCs w:val="28"/>
              </w:rPr>
              <w:t>103</w:t>
            </w:r>
          </w:p>
        </w:tc>
        <w:tc>
          <w:tcPr>
            <w:tcW w:w="1282" w:type="dxa"/>
            <w:tcBorders>
              <w:top w:val="single" w:sz="4" w:space="0" w:color="auto"/>
              <w:left w:val="single" w:sz="4" w:space="0" w:color="auto"/>
              <w:bottom w:val="single" w:sz="4" w:space="0" w:color="auto"/>
              <w:right w:val="single" w:sz="4" w:space="0" w:color="auto"/>
            </w:tcBorders>
            <w:shd w:val="clear" w:color="auto" w:fill="auto"/>
            <w:hideMark/>
          </w:tcPr>
          <w:p w:rsidR="00D7741A" w:rsidRPr="00D41D30" w:rsidRDefault="00D7741A" w:rsidP="006C4734">
            <w:pPr>
              <w:jc w:val="center"/>
              <w:rPr>
                <w:rFonts w:hAnsi="標楷體"/>
                <w:color w:val="000000" w:themeColor="text1"/>
                <w:sz w:val="28"/>
                <w:szCs w:val="28"/>
              </w:rPr>
            </w:pPr>
            <w:r w:rsidRPr="00D41D30">
              <w:rPr>
                <w:rFonts w:hAnsi="標楷體"/>
                <w:color w:val="000000" w:themeColor="text1"/>
                <w:sz w:val="28"/>
                <w:szCs w:val="28"/>
              </w:rPr>
              <w:t>306</w:t>
            </w:r>
          </w:p>
        </w:tc>
        <w:tc>
          <w:tcPr>
            <w:tcW w:w="2545" w:type="dxa"/>
            <w:tcBorders>
              <w:top w:val="single" w:sz="4" w:space="0" w:color="auto"/>
              <w:left w:val="single" w:sz="4" w:space="0" w:color="auto"/>
              <w:bottom w:val="single" w:sz="4" w:space="0" w:color="auto"/>
              <w:right w:val="single" w:sz="4" w:space="0" w:color="auto"/>
            </w:tcBorders>
            <w:shd w:val="clear" w:color="auto" w:fill="auto"/>
            <w:hideMark/>
          </w:tcPr>
          <w:p w:rsidR="00D7741A" w:rsidRPr="00D41D30" w:rsidRDefault="00D7741A" w:rsidP="008B2F78">
            <w:pPr>
              <w:jc w:val="center"/>
              <w:rPr>
                <w:rFonts w:hAnsi="標楷體"/>
                <w:color w:val="000000" w:themeColor="text1"/>
                <w:sz w:val="28"/>
                <w:szCs w:val="28"/>
              </w:rPr>
            </w:pPr>
            <w:r w:rsidRPr="00D41D30">
              <w:rPr>
                <w:rFonts w:hAnsi="標楷體"/>
                <w:color w:val="000000" w:themeColor="text1"/>
                <w:sz w:val="28"/>
                <w:szCs w:val="28"/>
              </w:rPr>
              <w:t>7萬0,472場次</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D7741A" w:rsidRPr="00D41D30" w:rsidRDefault="00D7741A" w:rsidP="008B2F78">
            <w:pPr>
              <w:jc w:val="center"/>
              <w:rPr>
                <w:rFonts w:hAnsi="標楷體"/>
                <w:color w:val="000000" w:themeColor="text1"/>
                <w:sz w:val="28"/>
                <w:szCs w:val="28"/>
              </w:rPr>
            </w:pPr>
            <w:r w:rsidRPr="00D41D30">
              <w:rPr>
                <w:rFonts w:hAnsi="標楷體"/>
                <w:color w:val="000000" w:themeColor="text1"/>
                <w:sz w:val="28"/>
                <w:szCs w:val="28"/>
              </w:rPr>
              <w:t>178萬4,464人次</w:t>
            </w:r>
          </w:p>
        </w:tc>
      </w:tr>
      <w:tr w:rsidR="00D7741A" w:rsidRPr="00D41D30" w:rsidTr="008B2F78">
        <w:trPr>
          <w:jc w:val="center"/>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7741A" w:rsidRPr="00D41D30" w:rsidRDefault="00D7741A" w:rsidP="006C4734">
            <w:pPr>
              <w:jc w:val="center"/>
              <w:rPr>
                <w:rFonts w:hAnsi="標楷體"/>
                <w:b/>
                <w:color w:val="000000" w:themeColor="text1"/>
                <w:sz w:val="28"/>
                <w:szCs w:val="28"/>
              </w:rPr>
            </w:pPr>
            <w:r w:rsidRPr="00D41D30">
              <w:rPr>
                <w:rFonts w:hAnsi="標楷體"/>
                <w:b/>
                <w:color w:val="000000" w:themeColor="text1"/>
                <w:sz w:val="28"/>
                <w:szCs w:val="28"/>
              </w:rPr>
              <w:t>104</w:t>
            </w:r>
          </w:p>
        </w:tc>
        <w:tc>
          <w:tcPr>
            <w:tcW w:w="1282" w:type="dxa"/>
            <w:tcBorders>
              <w:left w:val="single" w:sz="4" w:space="0" w:color="auto"/>
              <w:right w:val="single" w:sz="4" w:space="0" w:color="auto"/>
            </w:tcBorders>
            <w:shd w:val="clear" w:color="auto" w:fill="auto"/>
            <w:hideMark/>
          </w:tcPr>
          <w:p w:rsidR="00D7741A" w:rsidRPr="00D41D30" w:rsidRDefault="00D7741A" w:rsidP="006C4734">
            <w:pPr>
              <w:jc w:val="center"/>
              <w:rPr>
                <w:rFonts w:hAnsi="標楷體"/>
                <w:color w:val="000000" w:themeColor="text1"/>
                <w:sz w:val="28"/>
                <w:szCs w:val="28"/>
              </w:rPr>
            </w:pPr>
            <w:r w:rsidRPr="00D41D30">
              <w:rPr>
                <w:rFonts w:hAnsi="標楷體"/>
                <w:color w:val="000000" w:themeColor="text1"/>
                <w:sz w:val="28"/>
                <w:szCs w:val="28"/>
              </w:rPr>
              <w:t>313</w:t>
            </w:r>
          </w:p>
        </w:tc>
        <w:tc>
          <w:tcPr>
            <w:tcW w:w="2545" w:type="dxa"/>
            <w:tcBorders>
              <w:left w:val="single" w:sz="4" w:space="0" w:color="auto"/>
              <w:right w:val="single" w:sz="4" w:space="0" w:color="auto"/>
            </w:tcBorders>
            <w:shd w:val="clear" w:color="auto" w:fill="auto"/>
            <w:hideMark/>
          </w:tcPr>
          <w:p w:rsidR="00D7741A" w:rsidRPr="00D41D30" w:rsidRDefault="00D7741A" w:rsidP="008B2F78">
            <w:pPr>
              <w:jc w:val="center"/>
              <w:rPr>
                <w:rFonts w:hAnsi="標楷體"/>
                <w:color w:val="000000" w:themeColor="text1"/>
                <w:sz w:val="28"/>
                <w:szCs w:val="28"/>
              </w:rPr>
            </w:pPr>
            <w:r w:rsidRPr="00D41D30">
              <w:rPr>
                <w:rFonts w:hAnsi="標楷體"/>
                <w:bCs/>
                <w:color w:val="000000" w:themeColor="text1"/>
                <w:sz w:val="28"/>
                <w:szCs w:val="28"/>
              </w:rPr>
              <w:t>7萬5,786場次</w:t>
            </w:r>
          </w:p>
        </w:tc>
        <w:tc>
          <w:tcPr>
            <w:tcW w:w="2977" w:type="dxa"/>
            <w:tcBorders>
              <w:left w:val="single" w:sz="4" w:space="0" w:color="auto"/>
            </w:tcBorders>
            <w:shd w:val="clear" w:color="auto" w:fill="auto"/>
            <w:hideMark/>
          </w:tcPr>
          <w:p w:rsidR="00D7741A" w:rsidRPr="00D41D30" w:rsidRDefault="00D7741A" w:rsidP="008B2F78">
            <w:pPr>
              <w:jc w:val="center"/>
              <w:rPr>
                <w:rFonts w:hAnsi="標楷體"/>
                <w:color w:val="000000" w:themeColor="text1"/>
                <w:sz w:val="28"/>
                <w:szCs w:val="28"/>
              </w:rPr>
            </w:pPr>
            <w:r w:rsidRPr="00D41D30">
              <w:rPr>
                <w:rFonts w:hAnsi="標楷體"/>
                <w:bCs/>
                <w:color w:val="000000" w:themeColor="text1"/>
                <w:sz w:val="28"/>
                <w:szCs w:val="28"/>
              </w:rPr>
              <w:t>188萬2,192人次</w:t>
            </w:r>
          </w:p>
        </w:tc>
      </w:tr>
      <w:tr w:rsidR="00D7741A" w:rsidRPr="00D41D30" w:rsidTr="008B2F78">
        <w:trPr>
          <w:jc w:val="center"/>
        </w:trPr>
        <w:tc>
          <w:tcPr>
            <w:tcW w:w="992" w:type="dxa"/>
            <w:tcBorders>
              <w:top w:val="single" w:sz="4" w:space="0" w:color="auto"/>
              <w:left w:val="single" w:sz="4" w:space="0" w:color="auto"/>
              <w:bottom w:val="single" w:sz="4" w:space="0" w:color="auto"/>
              <w:right w:val="single" w:sz="4" w:space="0" w:color="auto"/>
            </w:tcBorders>
            <w:shd w:val="clear" w:color="auto" w:fill="auto"/>
          </w:tcPr>
          <w:p w:rsidR="00D7741A" w:rsidRPr="00D41D30" w:rsidRDefault="00D7741A" w:rsidP="006C4734">
            <w:pPr>
              <w:jc w:val="center"/>
              <w:rPr>
                <w:rFonts w:hAnsi="標楷體"/>
                <w:b/>
                <w:color w:val="000000" w:themeColor="text1"/>
                <w:sz w:val="28"/>
                <w:szCs w:val="28"/>
              </w:rPr>
            </w:pPr>
            <w:r w:rsidRPr="00D41D30">
              <w:rPr>
                <w:rFonts w:hAnsi="標楷體"/>
                <w:b/>
                <w:color w:val="000000" w:themeColor="text1"/>
                <w:sz w:val="28"/>
                <w:szCs w:val="28"/>
              </w:rPr>
              <w:t>105</w:t>
            </w:r>
          </w:p>
        </w:tc>
        <w:tc>
          <w:tcPr>
            <w:tcW w:w="1282" w:type="dxa"/>
            <w:tcBorders>
              <w:left w:val="single" w:sz="4" w:space="0" w:color="auto"/>
              <w:right w:val="single" w:sz="4" w:space="0" w:color="auto"/>
            </w:tcBorders>
            <w:shd w:val="clear" w:color="auto" w:fill="auto"/>
          </w:tcPr>
          <w:p w:rsidR="00D7741A" w:rsidRPr="00D41D30" w:rsidRDefault="00D7741A" w:rsidP="006C4734">
            <w:pPr>
              <w:jc w:val="center"/>
              <w:rPr>
                <w:rFonts w:hAnsi="標楷體"/>
                <w:color w:val="000000" w:themeColor="text1"/>
                <w:sz w:val="28"/>
                <w:szCs w:val="28"/>
              </w:rPr>
            </w:pPr>
            <w:r w:rsidRPr="00D41D30">
              <w:rPr>
                <w:rFonts w:hAnsi="標楷體"/>
                <w:color w:val="000000" w:themeColor="text1"/>
                <w:sz w:val="28"/>
                <w:szCs w:val="28"/>
              </w:rPr>
              <w:t>339</w:t>
            </w:r>
          </w:p>
        </w:tc>
        <w:tc>
          <w:tcPr>
            <w:tcW w:w="2545" w:type="dxa"/>
            <w:tcBorders>
              <w:left w:val="single" w:sz="4" w:space="0" w:color="auto"/>
              <w:right w:val="single" w:sz="4" w:space="0" w:color="auto"/>
            </w:tcBorders>
            <w:shd w:val="clear" w:color="auto" w:fill="auto"/>
          </w:tcPr>
          <w:p w:rsidR="00D7741A" w:rsidRPr="00D41D30" w:rsidRDefault="00D7741A" w:rsidP="008B2F78">
            <w:pPr>
              <w:jc w:val="center"/>
              <w:rPr>
                <w:rFonts w:hAnsi="標楷體"/>
                <w:bCs/>
                <w:color w:val="000000" w:themeColor="text1"/>
                <w:sz w:val="28"/>
                <w:szCs w:val="28"/>
              </w:rPr>
            </w:pPr>
            <w:r w:rsidRPr="00D41D30">
              <w:rPr>
                <w:rFonts w:hAnsi="標楷體" w:hint="eastAsia"/>
                <w:bCs/>
                <w:color w:val="000000" w:themeColor="text1"/>
                <w:sz w:val="28"/>
                <w:szCs w:val="28"/>
              </w:rPr>
              <w:t>8</w:t>
            </w:r>
            <w:r w:rsidRPr="00D41D30">
              <w:rPr>
                <w:rFonts w:hAnsi="標楷體"/>
                <w:bCs/>
                <w:color w:val="000000" w:themeColor="text1"/>
                <w:sz w:val="28"/>
                <w:szCs w:val="28"/>
              </w:rPr>
              <w:t>萬</w:t>
            </w:r>
            <w:r w:rsidRPr="00D41D30">
              <w:rPr>
                <w:rFonts w:hAnsi="標楷體" w:hint="eastAsia"/>
                <w:bCs/>
                <w:color w:val="000000" w:themeColor="text1"/>
                <w:sz w:val="28"/>
                <w:szCs w:val="28"/>
              </w:rPr>
              <w:t>6</w:t>
            </w:r>
            <w:r w:rsidRPr="00D41D30">
              <w:rPr>
                <w:rFonts w:hAnsi="標楷體"/>
                <w:bCs/>
                <w:color w:val="000000" w:themeColor="text1"/>
                <w:sz w:val="28"/>
                <w:szCs w:val="28"/>
              </w:rPr>
              <w:t>,5</w:t>
            </w:r>
            <w:r w:rsidRPr="00D41D30">
              <w:rPr>
                <w:rFonts w:hAnsi="標楷體" w:hint="eastAsia"/>
                <w:bCs/>
                <w:color w:val="000000" w:themeColor="text1"/>
                <w:sz w:val="28"/>
                <w:szCs w:val="28"/>
              </w:rPr>
              <w:t>27</w:t>
            </w:r>
            <w:r w:rsidRPr="00D41D30">
              <w:rPr>
                <w:rFonts w:hAnsi="標楷體"/>
                <w:bCs/>
                <w:color w:val="000000" w:themeColor="text1"/>
                <w:sz w:val="28"/>
                <w:szCs w:val="28"/>
              </w:rPr>
              <w:t>場次</w:t>
            </w:r>
          </w:p>
        </w:tc>
        <w:tc>
          <w:tcPr>
            <w:tcW w:w="2977" w:type="dxa"/>
            <w:tcBorders>
              <w:left w:val="single" w:sz="4" w:space="0" w:color="auto"/>
            </w:tcBorders>
            <w:shd w:val="clear" w:color="auto" w:fill="auto"/>
          </w:tcPr>
          <w:p w:rsidR="00D7741A" w:rsidRPr="00D41D30" w:rsidRDefault="00D7741A" w:rsidP="008B2F78">
            <w:pPr>
              <w:jc w:val="center"/>
              <w:rPr>
                <w:rFonts w:hAnsi="標楷體"/>
                <w:bCs/>
                <w:color w:val="000000" w:themeColor="text1"/>
                <w:sz w:val="28"/>
                <w:szCs w:val="28"/>
              </w:rPr>
            </w:pPr>
            <w:r w:rsidRPr="00D41D30">
              <w:rPr>
                <w:rFonts w:hAnsi="標楷體" w:hint="eastAsia"/>
                <w:bCs/>
                <w:color w:val="000000" w:themeColor="text1"/>
                <w:sz w:val="28"/>
                <w:szCs w:val="28"/>
              </w:rPr>
              <w:t>213</w:t>
            </w:r>
            <w:r w:rsidRPr="00D41D30">
              <w:rPr>
                <w:rFonts w:hAnsi="標楷體"/>
                <w:bCs/>
                <w:color w:val="000000" w:themeColor="text1"/>
                <w:sz w:val="28"/>
                <w:szCs w:val="28"/>
              </w:rPr>
              <w:t>萬</w:t>
            </w:r>
            <w:r w:rsidRPr="00D41D30">
              <w:rPr>
                <w:rFonts w:hAnsi="標楷體" w:hint="eastAsia"/>
                <w:bCs/>
                <w:color w:val="000000" w:themeColor="text1"/>
                <w:sz w:val="28"/>
                <w:szCs w:val="28"/>
              </w:rPr>
              <w:t>8</w:t>
            </w:r>
            <w:r w:rsidRPr="00D41D30">
              <w:rPr>
                <w:rFonts w:hAnsi="標楷體"/>
                <w:bCs/>
                <w:color w:val="000000" w:themeColor="text1"/>
                <w:sz w:val="28"/>
                <w:szCs w:val="28"/>
              </w:rPr>
              <w:t>,</w:t>
            </w:r>
            <w:r w:rsidRPr="00D41D30">
              <w:rPr>
                <w:rFonts w:hAnsi="標楷體" w:hint="eastAsia"/>
                <w:bCs/>
                <w:color w:val="000000" w:themeColor="text1"/>
                <w:sz w:val="28"/>
                <w:szCs w:val="28"/>
              </w:rPr>
              <w:t>147</w:t>
            </w:r>
            <w:r w:rsidRPr="00D41D30">
              <w:rPr>
                <w:rFonts w:hAnsi="標楷體"/>
                <w:bCs/>
                <w:color w:val="000000" w:themeColor="text1"/>
                <w:sz w:val="28"/>
                <w:szCs w:val="28"/>
              </w:rPr>
              <w:t>人次</w:t>
            </w:r>
          </w:p>
        </w:tc>
      </w:tr>
      <w:tr w:rsidR="00D7741A" w:rsidRPr="00D41D30" w:rsidTr="008B2F78">
        <w:trPr>
          <w:jc w:val="center"/>
        </w:trPr>
        <w:tc>
          <w:tcPr>
            <w:tcW w:w="992" w:type="dxa"/>
            <w:tcBorders>
              <w:top w:val="single" w:sz="4" w:space="0" w:color="auto"/>
              <w:left w:val="single" w:sz="4" w:space="0" w:color="auto"/>
              <w:bottom w:val="single" w:sz="4" w:space="0" w:color="auto"/>
              <w:right w:val="single" w:sz="4" w:space="0" w:color="auto"/>
            </w:tcBorders>
            <w:shd w:val="clear" w:color="auto" w:fill="auto"/>
          </w:tcPr>
          <w:p w:rsidR="00D7741A" w:rsidRPr="00D41D30" w:rsidRDefault="00D7741A" w:rsidP="006C4734">
            <w:pPr>
              <w:jc w:val="center"/>
              <w:rPr>
                <w:rFonts w:hAnsi="標楷體"/>
                <w:b/>
                <w:color w:val="000000" w:themeColor="text1"/>
                <w:sz w:val="28"/>
                <w:szCs w:val="28"/>
              </w:rPr>
            </w:pPr>
            <w:r w:rsidRPr="00D41D30">
              <w:rPr>
                <w:rFonts w:hAnsi="標楷體" w:hint="eastAsia"/>
                <w:b/>
                <w:color w:val="000000" w:themeColor="text1"/>
                <w:sz w:val="28"/>
                <w:szCs w:val="28"/>
              </w:rPr>
              <w:t>106</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D7741A" w:rsidRPr="00D41D30" w:rsidRDefault="00D7741A" w:rsidP="006C4734">
            <w:pPr>
              <w:jc w:val="center"/>
              <w:rPr>
                <w:rFonts w:hAnsi="標楷體"/>
                <w:color w:val="000000" w:themeColor="text1"/>
                <w:sz w:val="28"/>
                <w:szCs w:val="28"/>
              </w:rPr>
            </w:pPr>
            <w:r w:rsidRPr="00D41D30">
              <w:rPr>
                <w:rFonts w:hAnsi="標楷體" w:hint="eastAsia"/>
                <w:color w:val="000000" w:themeColor="text1"/>
                <w:sz w:val="28"/>
                <w:szCs w:val="28"/>
              </w:rPr>
              <w:t>362</w:t>
            </w:r>
          </w:p>
        </w:tc>
        <w:tc>
          <w:tcPr>
            <w:tcW w:w="2545" w:type="dxa"/>
            <w:tcBorders>
              <w:left w:val="single" w:sz="4" w:space="0" w:color="auto"/>
              <w:right w:val="single" w:sz="4" w:space="0" w:color="auto"/>
            </w:tcBorders>
            <w:shd w:val="clear" w:color="auto" w:fill="auto"/>
          </w:tcPr>
          <w:p w:rsidR="00D7741A" w:rsidRPr="00D41D30" w:rsidRDefault="00D7741A" w:rsidP="008B2F78">
            <w:pPr>
              <w:jc w:val="center"/>
              <w:rPr>
                <w:rFonts w:hAnsi="標楷體"/>
                <w:color w:val="000000" w:themeColor="text1"/>
                <w:sz w:val="28"/>
                <w:szCs w:val="28"/>
              </w:rPr>
            </w:pPr>
            <w:r w:rsidRPr="00D41D30">
              <w:rPr>
                <w:rFonts w:hAnsi="標楷體" w:hint="eastAsia"/>
                <w:color w:val="000000" w:themeColor="text1"/>
                <w:sz w:val="28"/>
                <w:szCs w:val="28"/>
              </w:rPr>
              <w:t>9萬7</w:t>
            </w:r>
            <w:r w:rsidRPr="00D41D30">
              <w:rPr>
                <w:rFonts w:hAnsi="標楷體"/>
                <w:color w:val="000000" w:themeColor="text1"/>
                <w:sz w:val="28"/>
                <w:szCs w:val="28"/>
              </w:rPr>
              <w:t>,</w:t>
            </w:r>
            <w:r w:rsidRPr="00D41D30">
              <w:rPr>
                <w:rFonts w:hAnsi="標楷體" w:hint="eastAsia"/>
                <w:color w:val="000000" w:themeColor="text1"/>
                <w:sz w:val="28"/>
                <w:szCs w:val="28"/>
              </w:rPr>
              <w:t>879場次</w:t>
            </w:r>
          </w:p>
        </w:tc>
        <w:tc>
          <w:tcPr>
            <w:tcW w:w="2977" w:type="dxa"/>
            <w:tcBorders>
              <w:left w:val="single" w:sz="4" w:space="0" w:color="auto"/>
            </w:tcBorders>
            <w:shd w:val="clear" w:color="auto" w:fill="auto"/>
          </w:tcPr>
          <w:p w:rsidR="00D7741A" w:rsidRPr="00D41D30" w:rsidRDefault="00D7741A" w:rsidP="008B2F78">
            <w:pPr>
              <w:jc w:val="center"/>
              <w:rPr>
                <w:rFonts w:hAnsi="標楷體"/>
                <w:color w:val="000000" w:themeColor="text1"/>
                <w:sz w:val="28"/>
                <w:szCs w:val="28"/>
              </w:rPr>
            </w:pPr>
            <w:r w:rsidRPr="00D41D30">
              <w:rPr>
                <w:rFonts w:hAnsi="標楷體" w:hint="eastAsia"/>
                <w:color w:val="000000" w:themeColor="text1"/>
                <w:sz w:val="28"/>
                <w:szCs w:val="28"/>
              </w:rPr>
              <w:t>236萬9</w:t>
            </w:r>
            <w:r w:rsidRPr="00D41D30">
              <w:rPr>
                <w:rFonts w:hAnsi="標楷體"/>
                <w:color w:val="000000" w:themeColor="text1"/>
                <w:sz w:val="28"/>
                <w:szCs w:val="28"/>
              </w:rPr>
              <w:t>,</w:t>
            </w:r>
            <w:r w:rsidRPr="00D41D30">
              <w:rPr>
                <w:rFonts w:hAnsi="標楷體" w:hint="eastAsia"/>
                <w:color w:val="000000" w:themeColor="text1"/>
                <w:sz w:val="28"/>
                <w:szCs w:val="28"/>
              </w:rPr>
              <w:t>835人次</w:t>
            </w:r>
          </w:p>
        </w:tc>
      </w:tr>
      <w:tr w:rsidR="00D7741A" w:rsidRPr="00D41D30" w:rsidTr="008B2F78">
        <w:trPr>
          <w:jc w:val="center"/>
        </w:trPr>
        <w:tc>
          <w:tcPr>
            <w:tcW w:w="992" w:type="dxa"/>
            <w:tcBorders>
              <w:top w:val="single" w:sz="4" w:space="0" w:color="auto"/>
              <w:left w:val="single" w:sz="4" w:space="0" w:color="auto"/>
              <w:bottom w:val="single" w:sz="4" w:space="0" w:color="auto"/>
              <w:right w:val="single" w:sz="4" w:space="0" w:color="auto"/>
            </w:tcBorders>
            <w:shd w:val="clear" w:color="auto" w:fill="auto"/>
          </w:tcPr>
          <w:p w:rsidR="00D7741A" w:rsidRPr="00D41D30" w:rsidRDefault="00D7741A" w:rsidP="006C4734">
            <w:pPr>
              <w:jc w:val="center"/>
              <w:rPr>
                <w:rFonts w:hAnsi="標楷體"/>
                <w:b/>
                <w:color w:val="000000" w:themeColor="text1"/>
                <w:sz w:val="28"/>
                <w:szCs w:val="28"/>
              </w:rPr>
            </w:pPr>
            <w:r w:rsidRPr="00D41D30">
              <w:rPr>
                <w:rFonts w:hAnsi="標楷體" w:hint="eastAsia"/>
                <w:b/>
                <w:color w:val="000000" w:themeColor="text1"/>
                <w:sz w:val="28"/>
                <w:szCs w:val="28"/>
              </w:rPr>
              <w:t>107</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D7741A" w:rsidRPr="00D41D30" w:rsidRDefault="00D7741A" w:rsidP="006C4734">
            <w:pPr>
              <w:jc w:val="center"/>
              <w:rPr>
                <w:rFonts w:hAnsi="標楷體"/>
                <w:color w:val="000000" w:themeColor="text1"/>
                <w:sz w:val="28"/>
                <w:szCs w:val="28"/>
              </w:rPr>
            </w:pPr>
            <w:r w:rsidRPr="00D41D30">
              <w:rPr>
                <w:rFonts w:hAnsi="標楷體" w:hint="eastAsia"/>
                <w:color w:val="000000" w:themeColor="text1"/>
                <w:sz w:val="28"/>
                <w:szCs w:val="28"/>
              </w:rPr>
              <w:t>368</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rsidR="00D7741A" w:rsidRPr="00D41D30" w:rsidRDefault="00D7741A" w:rsidP="008B2F78">
            <w:pPr>
              <w:widowControl/>
              <w:jc w:val="center"/>
              <w:rPr>
                <w:rFonts w:hAnsi="標楷體"/>
                <w:color w:val="000000" w:themeColor="text1"/>
                <w:sz w:val="28"/>
                <w:szCs w:val="28"/>
              </w:rPr>
            </w:pPr>
            <w:r w:rsidRPr="00D41D30">
              <w:rPr>
                <w:rFonts w:hAnsi="標楷體" w:hint="eastAsia"/>
                <w:color w:val="000000" w:themeColor="text1"/>
                <w:sz w:val="28"/>
                <w:szCs w:val="28"/>
              </w:rPr>
              <w:t>10萬1</w:t>
            </w:r>
            <w:r w:rsidRPr="00D41D30">
              <w:rPr>
                <w:rFonts w:hAnsi="標楷體"/>
                <w:color w:val="000000" w:themeColor="text1"/>
                <w:sz w:val="28"/>
                <w:szCs w:val="28"/>
              </w:rPr>
              <w:t>,</w:t>
            </w:r>
            <w:r w:rsidRPr="00D41D30">
              <w:rPr>
                <w:rFonts w:hAnsi="標楷體" w:hint="eastAsia"/>
                <w:color w:val="000000" w:themeColor="text1"/>
                <w:sz w:val="28"/>
                <w:szCs w:val="28"/>
              </w:rPr>
              <w:t>760場次</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7741A" w:rsidRPr="00D41D30" w:rsidRDefault="00D7741A" w:rsidP="008B2F78">
            <w:pPr>
              <w:jc w:val="center"/>
              <w:rPr>
                <w:rFonts w:hAnsi="標楷體"/>
                <w:color w:val="000000" w:themeColor="text1"/>
                <w:sz w:val="28"/>
                <w:szCs w:val="28"/>
              </w:rPr>
            </w:pPr>
            <w:r w:rsidRPr="00D41D30">
              <w:rPr>
                <w:rFonts w:hAnsi="標楷體" w:hint="eastAsia"/>
                <w:color w:val="000000" w:themeColor="text1"/>
                <w:sz w:val="28"/>
                <w:szCs w:val="28"/>
              </w:rPr>
              <w:t>252萬2</w:t>
            </w:r>
            <w:r w:rsidRPr="00D41D30">
              <w:rPr>
                <w:rFonts w:hAnsi="標楷體"/>
                <w:color w:val="000000" w:themeColor="text1"/>
                <w:sz w:val="28"/>
                <w:szCs w:val="28"/>
              </w:rPr>
              <w:t>,</w:t>
            </w:r>
            <w:r w:rsidRPr="00D41D30">
              <w:rPr>
                <w:rFonts w:hAnsi="標楷體" w:hint="eastAsia"/>
                <w:color w:val="000000" w:themeColor="text1"/>
                <w:sz w:val="28"/>
                <w:szCs w:val="28"/>
              </w:rPr>
              <w:t>054人次</w:t>
            </w:r>
          </w:p>
        </w:tc>
      </w:tr>
      <w:tr w:rsidR="007A4598" w:rsidRPr="00D41D30" w:rsidTr="008B2F78">
        <w:trPr>
          <w:jc w:val="center"/>
        </w:trPr>
        <w:tc>
          <w:tcPr>
            <w:tcW w:w="992" w:type="dxa"/>
            <w:tcBorders>
              <w:top w:val="single" w:sz="4" w:space="0" w:color="auto"/>
              <w:left w:val="single" w:sz="4" w:space="0" w:color="auto"/>
              <w:bottom w:val="single" w:sz="4" w:space="0" w:color="auto"/>
              <w:right w:val="single" w:sz="4" w:space="0" w:color="auto"/>
            </w:tcBorders>
            <w:shd w:val="clear" w:color="auto" w:fill="auto"/>
          </w:tcPr>
          <w:p w:rsidR="007A4598" w:rsidRPr="00D41D30" w:rsidRDefault="007A4598" w:rsidP="007A4598">
            <w:pPr>
              <w:jc w:val="center"/>
              <w:rPr>
                <w:rFonts w:hAnsi="標楷體"/>
                <w:b/>
                <w:color w:val="000000" w:themeColor="text1"/>
                <w:sz w:val="28"/>
                <w:szCs w:val="28"/>
              </w:rPr>
            </w:pPr>
            <w:r w:rsidRPr="00D41D30">
              <w:rPr>
                <w:rFonts w:hAnsi="標楷體" w:hint="eastAsia"/>
                <w:b/>
                <w:color w:val="000000" w:themeColor="text1"/>
                <w:sz w:val="28"/>
                <w:szCs w:val="28"/>
              </w:rPr>
              <w:t>108</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7A4598" w:rsidRPr="00D41D30" w:rsidRDefault="007A4598" w:rsidP="007A4598">
            <w:pPr>
              <w:jc w:val="center"/>
              <w:rPr>
                <w:rFonts w:hAnsi="標楷體"/>
                <w:color w:val="000000" w:themeColor="text1"/>
                <w:sz w:val="28"/>
                <w:szCs w:val="28"/>
              </w:rPr>
            </w:pPr>
            <w:r w:rsidRPr="00D41D30">
              <w:rPr>
                <w:rFonts w:hAnsi="標楷體" w:hint="eastAsia"/>
                <w:color w:val="000000" w:themeColor="text1"/>
                <w:sz w:val="28"/>
                <w:szCs w:val="28"/>
              </w:rPr>
              <w:t>366</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rsidR="007A4598" w:rsidRPr="00D41D30" w:rsidRDefault="007A4598" w:rsidP="007A4598">
            <w:pPr>
              <w:widowControl/>
              <w:jc w:val="center"/>
              <w:rPr>
                <w:rFonts w:hAnsi="標楷體"/>
                <w:color w:val="000000" w:themeColor="text1"/>
                <w:sz w:val="28"/>
                <w:szCs w:val="28"/>
              </w:rPr>
            </w:pPr>
            <w:r w:rsidRPr="00D41D30">
              <w:rPr>
                <w:rFonts w:hAnsi="標楷體" w:hint="eastAsia"/>
                <w:color w:val="000000" w:themeColor="text1"/>
                <w:sz w:val="28"/>
                <w:szCs w:val="28"/>
              </w:rPr>
              <w:t>10萬4</w:t>
            </w:r>
            <w:r w:rsidRPr="00D41D30">
              <w:rPr>
                <w:rFonts w:hAnsi="標楷體"/>
                <w:color w:val="000000" w:themeColor="text1"/>
                <w:sz w:val="28"/>
                <w:szCs w:val="28"/>
              </w:rPr>
              <w:t>,</w:t>
            </w:r>
            <w:r w:rsidRPr="00D41D30">
              <w:rPr>
                <w:rFonts w:hAnsi="標楷體" w:hint="eastAsia"/>
                <w:color w:val="000000" w:themeColor="text1"/>
                <w:sz w:val="28"/>
                <w:szCs w:val="28"/>
              </w:rPr>
              <w:t>260場次</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A4598" w:rsidRPr="00D41D30" w:rsidRDefault="007A4598" w:rsidP="007A4598">
            <w:pPr>
              <w:jc w:val="center"/>
              <w:rPr>
                <w:rFonts w:hAnsi="標楷體"/>
                <w:color w:val="000000" w:themeColor="text1"/>
                <w:sz w:val="28"/>
                <w:szCs w:val="28"/>
              </w:rPr>
            </w:pPr>
            <w:r w:rsidRPr="00D41D30">
              <w:rPr>
                <w:rFonts w:hAnsi="標楷體" w:hint="eastAsia"/>
                <w:color w:val="000000" w:themeColor="text1"/>
                <w:sz w:val="28"/>
                <w:szCs w:val="28"/>
              </w:rPr>
              <w:t>260萬9</w:t>
            </w:r>
            <w:r w:rsidRPr="00D41D30">
              <w:rPr>
                <w:rFonts w:hAnsi="標楷體"/>
                <w:color w:val="000000" w:themeColor="text1"/>
                <w:sz w:val="28"/>
                <w:szCs w:val="28"/>
              </w:rPr>
              <w:t>,</w:t>
            </w:r>
            <w:r w:rsidRPr="00D41D30">
              <w:rPr>
                <w:rFonts w:hAnsi="標楷體" w:hint="eastAsia"/>
                <w:color w:val="000000" w:themeColor="text1"/>
                <w:sz w:val="28"/>
                <w:szCs w:val="28"/>
              </w:rPr>
              <w:t>293人次</w:t>
            </w:r>
          </w:p>
        </w:tc>
      </w:tr>
    </w:tbl>
    <w:p w:rsidR="00D7741A" w:rsidRPr="00D41D30" w:rsidRDefault="00D7741A" w:rsidP="008B2F78">
      <w:pPr>
        <w:pStyle w:val="af8"/>
        <w:rPr>
          <w:color w:val="000000" w:themeColor="text1"/>
          <w:sz w:val="24"/>
          <w:szCs w:val="24"/>
        </w:rPr>
      </w:pPr>
      <w:r w:rsidRPr="00D41D30">
        <w:rPr>
          <w:rFonts w:hint="eastAsia"/>
          <w:color w:val="000000" w:themeColor="text1"/>
          <w:sz w:val="24"/>
          <w:szCs w:val="24"/>
        </w:rPr>
        <w:t xml:space="preserve">    資料來源：教育部提供</w:t>
      </w:r>
    </w:p>
    <w:p w:rsidR="00D7741A" w:rsidRPr="00D41D30" w:rsidRDefault="00D7741A" w:rsidP="00850D87">
      <w:pPr>
        <w:pStyle w:val="4"/>
        <w:rPr>
          <w:color w:val="000000" w:themeColor="text1"/>
        </w:rPr>
      </w:pPr>
      <w:r w:rsidRPr="00D41D30">
        <w:rPr>
          <w:rFonts w:hint="eastAsia"/>
          <w:color w:val="000000" w:themeColor="text1"/>
        </w:rPr>
        <w:t>推動村里拓點</w:t>
      </w:r>
    </w:p>
    <w:p w:rsidR="00D7741A" w:rsidRPr="00D41D30" w:rsidRDefault="00D7741A" w:rsidP="00F91C41">
      <w:pPr>
        <w:pStyle w:val="42"/>
        <w:ind w:left="1701" w:firstLine="680"/>
        <w:rPr>
          <w:color w:val="000000" w:themeColor="text1"/>
        </w:rPr>
      </w:pPr>
      <w:r w:rsidRPr="00D41D30">
        <w:rPr>
          <w:rFonts w:hint="eastAsia"/>
          <w:color w:val="000000" w:themeColor="text1"/>
        </w:rPr>
        <w:t>為強化長者的學習機會，教育部於</w:t>
      </w:r>
      <w:r w:rsidRPr="00D41D30">
        <w:rPr>
          <w:color w:val="000000" w:themeColor="text1"/>
        </w:rPr>
        <w:t>99</w:t>
      </w:r>
      <w:r w:rsidRPr="00D41D30">
        <w:rPr>
          <w:rFonts w:hint="eastAsia"/>
          <w:color w:val="000000" w:themeColor="text1"/>
        </w:rPr>
        <w:t>年起規劃村里拓點實驗計畫，於</w:t>
      </w:r>
      <w:r w:rsidRPr="00D41D30">
        <w:rPr>
          <w:color w:val="000000" w:themeColor="text1"/>
        </w:rPr>
        <w:t>100-101</w:t>
      </w:r>
      <w:r w:rsidRPr="00D41D30">
        <w:rPr>
          <w:rFonts w:hint="eastAsia"/>
          <w:color w:val="000000" w:themeColor="text1"/>
        </w:rPr>
        <w:t>年間於嘉義縣進行試辦，並於</w:t>
      </w:r>
      <w:r w:rsidRPr="00D41D30">
        <w:rPr>
          <w:color w:val="000000" w:themeColor="text1"/>
        </w:rPr>
        <w:t>102</w:t>
      </w:r>
      <w:r w:rsidRPr="00D41D30">
        <w:rPr>
          <w:rFonts w:hint="eastAsia"/>
          <w:color w:val="000000" w:themeColor="text1"/>
        </w:rPr>
        <w:t>年起列入全國樂齡學習中心推動要點，將學習資源送到社區的里及村，</w:t>
      </w:r>
      <w:r w:rsidRPr="00D41D30">
        <w:rPr>
          <w:rFonts w:hint="eastAsia"/>
          <w:color w:val="000000" w:themeColor="text1"/>
        </w:rPr>
        <w:lastRenderedPageBreak/>
        <w:t>責成全國樂齡學習中心每年至少需推廣</w:t>
      </w:r>
      <w:r w:rsidRPr="00D41D30">
        <w:rPr>
          <w:color w:val="000000" w:themeColor="text1"/>
        </w:rPr>
        <w:t>3</w:t>
      </w:r>
      <w:r w:rsidRPr="00D41D30">
        <w:rPr>
          <w:rFonts w:hint="eastAsia"/>
          <w:color w:val="000000" w:themeColor="text1"/>
        </w:rPr>
        <w:t>個村里的學習據點，且每一據點至少辦理8小時以上的學習活動，以便利高齡者學習，及節省交通往返時間，108年度預計推廣至全國3</w:t>
      </w:r>
      <w:r w:rsidRPr="00D41D30">
        <w:rPr>
          <w:color w:val="000000" w:themeColor="text1"/>
        </w:rPr>
        <w:t>,</w:t>
      </w:r>
      <w:r w:rsidRPr="00D41D30">
        <w:rPr>
          <w:rFonts w:hint="eastAsia"/>
          <w:color w:val="000000" w:themeColor="text1"/>
        </w:rPr>
        <w:t>006個村里，</w:t>
      </w:r>
      <w:r w:rsidR="002532DE" w:rsidRPr="00D41D30">
        <w:rPr>
          <w:rFonts w:hint="eastAsia"/>
          <w:color w:val="000000" w:themeColor="text1"/>
        </w:rPr>
        <w:t>詳下表，</w:t>
      </w:r>
      <w:r w:rsidRPr="00D41D30">
        <w:rPr>
          <w:rFonts w:hint="eastAsia"/>
          <w:color w:val="000000" w:themeColor="text1"/>
        </w:rPr>
        <w:t>將樂齡學習的資源由社區講師或志工推廣至村里，實踐終身教育中「時時可學習、處處是教室」的理念。</w:t>
      </w:r>
    </w:p>
    <w:p w:rsidR="00D7741A" w:rsidRPr="00D41D30" w:rsidRDefault="00D7741A" w:rsidP="00E72D98">
      <w:pPr>
        <w:pStyle w:val="a4"/>
        <w:ind w:left="697" w:hanging="130"/>
        <w:rPr>
          <w:b/>
          <w:color w:val="000000" w:themeColor="text1"/>
        </w:rPr>
      </w:pPr>
      <w:r w:rsidRPr="00D41D30">
        <w:rPr>
          <w:b/>
          <w:color w:val="000000" w:themeColor="text1"/>
        </w:rPr>
        <w:t>10</w:t>
      </w:r>
      <w:r w:rsidRPr="00D41D30">
        <w:rPr>
          <w:rFonts w:hint="eastAsia"/>
          <w:b/>
          <w:color w:val="000000" w:themeColor="text1"/>
        </w:rPr>
        <w:t>2-107年</w:t>
      </w:r>
      <w:r w:rsidRPr="00D41D30">
        <w:rPr>
          <w:b/>
          <w:color w:val="000000" w:themeColor="text1"/>
        </w:rPr>
        <w:t>度</w:t>
      </w:r>
      <w:r w:rsidRPr="00D41D30">
        <w:rPr>
          <w:rFonts w:hint="eastAsia"/>
          <w:b/>
          <w:color w:val="000000" w:themeColor="text1"/>
        </w:rPr>
        <w:t>村里拓點數累積表</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75"/>
        <w:gridCol w:w="1418"/>
        <w:gridCol w:w="3965"/>
      </w:tblGrid>
      <w:tr w:rsidR="00D7741A" w:rsidRPr="00D41D30" w:rsidTr="00E72D98">
        <w:trPr>
          <w:tblHeader/>
          <w:jc w:val="center"/>
        </w:trPr>
        <w:tc>
          <w:tcPr>
            <w:tcW w:w="1134" w:type="dxa"/>
            <w:tcBorders>
              <w:top w:val="single" w:sz="4" w:space="0" w:color="auto"/>
              <w:left w:val="single" w:sz="4" w:space="0" w:color="auto"/>
              <w:bottom w:val="single" w:sz="6" w:space="0" w:color="auto"/>
              <w:right w:val="single" w:sz="6" w:space="0" w:color="auto"/>
            </w:tcBorders>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年度</w:t>
            </w:r>
          </w:p>
        </w:tc>
        <w:tc>
          <w:tcPr>
            <w:tcW w:w="1275" w:type="dxa"/>
            <w:tcBorders>
              <w:top w:val="single" w:sz="4" w:space="0" w:color="auto"/>
              <w:left w:val="single" w:sz="6" w:space="0" w:color="auto"/>
              <w:bottom w:val="single" w:sz="6" w:space="0" w:color="auto"/>
              <w:right w:val="single" w:sz="6" w:space="0" w:color="auto"/>
            </w:tcBorders>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中心數</w:t>
            </w:r>
          </w:p>
        </w:tc>
        <w:tc>
          <w:tcPr>
            <w:tcW w:w="1418" w:type="dxa"/>
            <w:tcBorders>
              <w:top w:val="single" w:sz="4" w:space="0" w:color="auto"/>
              <w:left w:val="single" w:sz="6" w:space="0" w:color="auto"/>
              <w:bottom w:val="single" w:sz="6" w:space="0" w:color="auto"/>
              <w:right w:val="single" w:sz="6" w:space="0" w:color="auto"/>
            </w:tcBorders>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鄉鎮市區</w:t>
            </w:r>
          </w:p>
        </w:tc>
        <w:tc>
          <w:tcPr>
            <w:tcW w:w="3965" w:type="dxa"/>
            <w:tcBorders>
              <w:top w:val="single" w:sz="4" w:space="0" w:color="auto"/>
              <w:left w:val="single" w:sz="6" w:space="0" w:color="auto"/>
              <w:bottom w:val="single" w:sz="6" w:space="0" w:color="auto"/>
              <w:right w:val="single" w:sz="4" w:space="0" w:color="auto"/>
            </w:tcBorders>
            <w:shd w:val="clear" w:color="auto" w:fill="auto"/>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村里拓點數</w:t>
            </w:r>
            <w:r w:rsidR="00B562C7" w:rsidRPr="00D41D30">
              <w:rPr>
                <w:rFonts w:hAnsi="標楷體"/>
                <w:b/>
                <w:color w:val="000000" w:themeColor="text1"/>
                <w:sz w:val="28"/>
                <w:szCs w:val="28"/>
              </w:rPr>
              <w:t>（</w:t>
            </w:r>
            <w:r w:rsidRPr="00D41D30">
              <w:rPr>
                <w:rFonts w:hAnsi="標楷體"/>
                <w:b/>
                <w:color w:val="000000" w:themeColor="text1"/>
                <w:sz w:val="28"/>
                <w:szCs w:val="28"/>
              </w:rPr>
              <w:t>每年累積</w:t>
            </w:r>
            <w:r w:rsidR="006B5136" w:rsidRPr="00D41D30">
              <w:rPr>
                <w:rFonts w:hAnsi="標楷體"/>
                <w:b/>
                <w:color w:val="000000" w:themeColor="text1"/>
                <w:sz w:val="28"/>
                <w:szCs w:val="28"/>
              </w:rPr>
              <w:t>）</w:t>
            </w:r>
          </w:p>
        </w:tc>
      </w:tr>
      <w:tr w:rsidR="00D7741A" w:rsidRPr="00D41D30" w:rsidTr="00E72D98">
        <w:trPr>
          <w:jc w:val="center"/>
        </w:trPr>
        <w:tc>
          <w:tcPr>
            <w:tcW w:w="1134" w:type="dxa"/>
            <w:tcBorders>
              <w:top w:val="single" w:sz="6" w:space="0" w:color="auto"/>
              <w:left w:val="single" w:sz="4"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102</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271</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265</w:t>
            </w:r>
          </w:p>
        </w:tc>
        <w:tc>
          <w:tcPr>
            <w:tcW w:w="3965" w:type="dxa"/>
            <w:tcBorders>
              <w:top w:val="single" w:sz="6" w:space="0" w:color="auto"/>
              <w:left w:val="single" w:sz="6" w:space="0" w:color="auto"/>
              <w:bottom w:val="single" w:sz="6" w:space="0" w:color="auto"/>
              <w:right w:val="single" w:sz="4"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年底開始實施</w:t>
            </w:r>
          </w:p>
        </w:tc>
      </w:tr>
      <w:tr w:rsidR="00D7741A" w:rsidRPr="00D41D30" w:rsidTr="00E72D98">
        <w:trPr>
          <w:jc w:val="center"/>
        </w:trPr>
        <w:tc>
          <w:tcPr>
            <w:tcW w:w="1134" w:type="dxa"/>
            <w:tcBorders>
              <w:top w:val="single" w:sz="6" w:space="0" w:color="auto"/>
              <w:left w:val="single" w:sz="4"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103</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306</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301</w:t>
            </w:r>
          </w:p>
        </w:tc>
        <w:tc>
          <w:tcPr>
            <w:tcW w:w="3965" w:type="dxa"/>
            <w:tcBorders>
              <w:top w:val="single" w:sz="6" w:space="0" w:color="auto"/>
              <w:left w:val="single" w:sz="6" w:space="0" w:color="auto"/>
              <w:bottom w:val="single" w:sz="6" w:space="0" w:color="auto"/>
              <w:right w:val="single" w:sz="4"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769</w:t>
            </w:r>
          </w:p>
        </w:tc>
      </w:tr>
      <w:tr w:rsidR="00D7741A" w:rsidRPr="00D41D30" w:rsidTr="00E72D98">
        <w:trPr>
          <w:jc w:val="center"/>
        </w:trPr>
        <w:tc>
          <w:tcPr>
            <w:tcW w:w="1134" w:type="dxa"/>
            <w:tcBorders>
              <w:top w:val="single" w:sz="6" w:space="0" w:color="auto"/>
              <w:left w:val="single" w:sz="4"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104</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313</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310</w:t>
            </w:r>
          </w:p>
        </w:tc>
        <w:tc>
          <w:tcPr>
            <w:tcW w:w="3965" w:type="dxa"/>
            <w:tcBorders>
              <w:top w:val="single" w:sz="6" w:space="0" w:color="auto"/>
              <w:left w:val="single" w:sz="6" w:space="0" w:color="auto"/>
              <w:bottom w:val="single" w:sz="6"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1,766</w:t>
            </w:r>
          </w:p>
        </w:tc>
      </w:tr>
      <w:tr w:rsidR="00D7741A" w:rsidRPr="00D41D30" w:rsidTr="00E72D98">
        <w:trPr>
          <w:jc w:val="center"/>
        </w:trPr>
        <w:tc>
          <w:tcPr>
            <w:tcW w:w="1134" w:type="dxa"/>
            <w:tcBorders>
              <w:top w:val="single" w:sz="6" w:space="0" w:color="auto"/>
              <w:left w:val="single" w:sz="4"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105</w:t>
            </w: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339</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336</w:t>
            </w:r>
          </w:p>
        </w:tc>
        <w:tc>
          <w:tcPr>
            <w:tcW w:w="3965" w:type="dxa"/>
            <w:tcBorders>
              <w:top w:val="single" w:sz="6" w:space="0" w:color="auto"/>
              <w:left w:val="single" w:sz="6" w:space="0" w:color="auto"/>
              <w:bottom w:val="single" w:sz="6" w:space="0" w:color="auto"/>
            </w:tcBorders>
            <w:shd w:val="clear" w:color="auto" w:fill="auto"/>
          </w:tcPr>
          <w:p w:rsidR="00D7741A" w:rsidRPr="00D41D30" w:rsidRDefault="00D7741A" w:rsidP="00212E3D">
            <w:pPr>
              <w:spacing w:line="440" w:lineRule="exact"/>
              <w:jc w:val="center"/>
              <w:rPr>
                <w:rFonts w:hAnsi="標楷體"/>
                <w:bCs/>
                <w:color w:val="000000" w:themeColor="text1"/>
                <w:sz w:val="28"/>
                <w:szCs w:val="28"/>
              </w:rPr>
            </w:pPr>
            <w:r w:rsidRPr="00D41D30">
              <w:rPr>
                <w:rFonts w:hAnsi="標楷體"/>
                <w:bCs/>
                <w:color w:val="000000" w:themeColor="text1"/>
                <w:sz w:val="28"/>
                <w:szCs w:val="28"/>
              </w:rPr>
              <w:t>2,494</w:t>
            </w:r>
          </w:p>
        </w:tc>
      </w:tr>
      <w:tr w:rsidR="00D7741A" w:rsidRPr="00D41D30" w:rsidTr="00E72D98">
        <w:trPr>
          <w:jc w:val="center"/>
        </w:trPr>
        <w:tc>
          <w:tcPr>
            <w:tcW w:w="1134" w:type="dxa"/>
            <w:tcBorders>
              <w:top w:val="single" w:sz="6" w:space="0" w:color="auto"/>
              <w:left w:val="single" w:sz="4"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106</w:t>
            </w: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362</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357</w:t>
            </w:r>
          </w:p>
        </w:tc>
        <w:tc>
          <w:tcPr>
            <w:tcW w:w="3965" w:type="dxa"/>
            <w:tcBorders>
              <w:top w:val="single" w:sz="6" w:space="0" w:color="auto"/>
              <w:left w:val="single" w:sz="6" w:space="0" w:color="auto"/>
              <w:bottom w:val="single" w:sz="6" w:space="0" w:color="auto"/>
            </w:tcBorders>
            <w:shd w:val="clear" w:color="auto" w:fill="auto"/>
          </w:tcPr>
          <w:p w:rsidR="00D7741A" w:rsidRPr="00D41D30" w:rsidRDefault="00D7741A" w:rsidP="00212E3D">
            <w:pPr>
              <w:spacing w:line="440" w:lineRule="exact"/>
              <w:jc w:val="center"/>
              <w:rPr>
                <w:rFonts w:hAnsi="標楷體"/>
                <w:bCs/>
                <w:color w:val="000000" w:themeColor="text1"/>
                <w:sz w:val="28"/>
                <w:szCs w:val="28"/>
              </w:rPr>
            </w:pPr>
            <w:r w:rsidRPr="00D41D30">
              <w:rPr>
                <w:rFonts w:hAnsi="標楷體"/>
                <w:bCs/>
                <w:color w:val="000000" w:themeColor="text1"/>
                <w:sz w:val="28"/>
                <w:szCs w:val="28"/>
              </w:rPr>
              <w:t>2,847</w:t>
            </w:r>
          </w:p>
        </w:tc>
      </w:tr>
      <w:tr w:rsidR="00D7741A" w:rsidRPr="00D41D30" w:rsidTr="00E72D98">
        <w:trPr>
          <w:jc w:val="center"/>
        </w:trPr>
        <w:tc>
          <w:tcPr>
            <w:tcW w:w="1134" w:type="dxa"/>
            <w:tcBorders>
              <w:top w:val="single" w:sz="6" w:space="0" w:color="auto"/>
              <w:left w:val="single" w:sz="4"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b/>
                <w:color w:val="000000" w:themeColor="text1"/>
                <w:sz w:val="28"/>
                <w:szCs w:val="28"/>
              </w:rPr>
            </w:pPr>
            <w:r w:rsidRPr="00D41D30">
              <w:rPr>
                <w:rFonts w:hAnsi="標楷體"/>
                <w:b/>
                <w:color w:val="000000" w:themeColor="text1"/>
                <w:sz w:val="28"/>
                <w:szCs w:val="28"/>
              </w:rPr>
              <w:t>107</w:t>
            </w:r>
          </w:p>
        </w:tc>
        <w:tc>
          <w:tcPr>
            <w:tcW w:w="1275" w:type="dxa"/>
            <w:tcBorders>
              <w:top w:val="single" w:sz="6" w:space="0" w:color="auto"/>
              <w:left w:val="single" w:sz="6"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368</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D7741A" w:rsidRPr="00D41D30" w:rsidRDefault="00D7741A" w:rsidP="00212E3D">
            <w:pPr>
              <w:spacing w:line="440" w:lineRule="exact"/>
              <w:jc w:val="center"/>
              <w:rPr>
                <w:rFonts w:hAnsi="標楷體"/>
                <w:color w:val="000000" w:themeColor="text1"/>
                <w:sz w:val="28"/>
                <w:szCs w:val="28"/>
              </w:rPr>
            </w:pPr>
            <w:r w:rsidRPr="00D41D30">
              <w:rPr>
                <w:rFonts w:hAnsi="標楷體"/>
                <w:color w:val="000000" w:themeColor="text1"/>
                <w:sz w:val="28"/>
                <w:szCs w:val="28"/>
              </w:rPr>
              <w:t>360</w:t>
            </w:r>
          </w:p>
        </w:tc>
        <w:tc>
          <w:tcPr>
            <w:tcW w:w="3965" w:type="dxa"/>
            <w:tcBorders>
              <w:top w:val="single" w:sz="6" w:space="0" w:color="auto"/>
              <w:left w:val="single" w:sz="6" w:space="0" w:color="auto"/>
              <w:bottom w:val="single" w:sz="6" w:space="0" w:color="auto"/>
            </w:tcBorders>
            <w:shd w:val="clear" w:color="auto" w:fill="auto"/>
          </w:tcPr>
          <w:p w:rsidR="00D7741A" w:rsidRPr="00D41D30" w:rsidRDefault="00D7741A" w:rsidP="00212E3D">
            <w:pPr>
              <w:spacing w:line="440" w:lineRule="exact"/>
              <w:jc w:val="center"/>
              <w:rPr>
                <w:rFonts w:hAnsi="標楷體"/>
                <w:bCs/>
                <w:color w:val="000000" w:themeColor="text1"/>
                <w:sz w:val="28"/>
                <w:szCs w:val="28"/>
              </w:rPr>
            </w:pPr>
            <w:r w:rsidRPr="00D41D30">
              <w:rPr>
                <w:rFonts w:hAnsi="標楷體"/>
                <w:bCs/>
                <w:color w:val="000000" w:themeColor="text1"/>
                <w:sz w:val="28"/>
                <w:szCs w:val="28"/>
              </w:rPr>
              <w:t>2,857</w:t>
            </w:r>
          </w:p>
        </w:tc>
      </w:tr>
      <w:tr w:rsidR="003D7FB4" w:rsidRPr="00D41D30" w:rsidTr="00E72D98">
        <w:trPr>
          <w:jc w:val="center"/>
        </w:trPr>
        <w:tc>
          <w:tcPr>
            <w:tcW w:w="1134" w:type="dxa"/>
            <w:tcBorders>
              <w:top w:val="single" w:sz="6" w:space="0" w:color="auto"/>
              <w:left w:val="single" w:sz="4" w:space="0" w:color="auto"/>
              <w:bottom w:val="single" w:sz="4" w:space="0" w:color="auto"/>
              <w:right w:val="single" w:sz="6" w:space="0" w:color="auto"/>
            </w:tcBorders>
            <w:shd w:val="clear" w:color="auto" w:fill="auto"/>
          </w:tcPr>
          <w:p w:rsidR="003D7FB4" w:rsidRPr="00D41D30" w:rsidRDefault="003D7FB4" w:rsidP="003D7FB4">
            <w:pPr>
              <w:spacing w:line="440" w:lineRule="exact"/>
              <w:jc w:val="center"/>
              <w:rPr>
                <w:rFonts w:hAnsi="標楷體"/>
                <w:b/>
                <w:color w:val="000000" w:themeColor="text1"/>
                <w:sz w:val="28"/>
                <w:szCs w:val="28"/>
              </w:rPr>
            </w:pPr>
            <w:r w:rsidRPr="00D41D30">
              <w:rPr>
                <w:rFonts w:hAnsi="標楷體"/>
                <w:b/>
                <w:color w:val="000000" w:themeColor="text1"/>
                <w:sz w:val="28"/>
                <w:szCs w:val="28"/>
              </w:rPr>
              <w:t>108</w:t>
            </w:r>
          </w:p>
        </w:tc>
        <w:tc>
          <w:tcPr>
            <w:tcW w:w="1275" w:type="dxa"/>
            <w:tcBorders>
              <w:top w:val="single" w:sz="6" w:space="0" w:color="auto"/>
              <w:left w:val="single" w:sz="6" w:space="0" w:color="auto"/>
              <w:right w:val="single" w:sz="6" w:space="0" w:color="auto"/>
            </w:tcBorders>
            <w:shd w:val="clear" w:color="auto" w:fill="auto"/>
          </w:tcPr>
          <w:p w:rsidR="003D7FB4" w:rsidRPr="00D41D30" w:rsidRDefault="003D7FB4" w:rsidP="003D7FB4">
            <w:pPr>
              <w:spacing w:line="440" w:lineRule="exact"/>
              <w:jc w:val="center"/>
              <w:rPr>
                <w:rFonts w:hAnsi="標楷體"/>
                <w:color w:val="000000" w:themeColor="text1"/>
                <w:sz w:val="28"/>
                <w:szCs w:val="28"/>
              </w:rPr>
            </w:pPr>
            <w:r w:rsidRPr="00D41D30">
              <w:rPr>
                <w:rFonts w:hAnsi="標楷體"/>
                <w:color w:val="000000" w:themeColor="text1"/>
                <w:sz w:val="28"/>
                <w:szCs w:val="28"/>
              </w:rPr>
              <w:t>366</w:t>
            </w:r>
          </w:p>
        </w:tc>
        <w:tc>
          <w:tcPr>
            <w:tcW w:w="1418" w:type="dxa"/>
            <w:tcBorders>
              <w:top w:val="single" w:sz="6" w:space="0" w:color="auto"/>
              <w:left w:val="single" w:sz="6" w:space="0" w:color="auto"/>
              <w:right w:val="single" w:sz="6" w:space="0" w:color="auto"/>
            </w:tcBorders>
            <w:shd w:val="clear" w:color="auto" w:fill="auto"/>
          </w:tcPr>
          <w:p w:rsidR="003D7FB4" w:rsidRPr="00D41D30" w:rsidRDefault="003D7FB4" w:rsidP="003D7FB4">
            <w:pPr>
              <w:spacing w:line="440" w:lineRule="exact"/>
              <w:jc w:val="center"/>
              <w:rPr>
                <w:rFonts w:hAnsi="標楷體"/>
                <w:color w:val="000000" w:themeColor="text1"/>
                <w:sz w:val="28"/>
                <w:szCs w:val="28"/>
              </w:rPr>
            </w:pPr>
            <w:r w:rsidRPr="00D41D30">
              <w:rPr>
                <w:rFonts w:hAnsi="標楷體"/>
                <w:color w:val="000000" w:themeColor="text1"/>
                <w:sz w:val="28"/>
                <w:szCs w:val="28"/>
              </w:rPr>
              <w:t>358</w:t>
            </w:r>
          </w:p>
        </w:tc>
        <w:tc>
          <w:tcPr>
            <w:tcW w:w="3965" w:type="dxa"/>
            <w:tcBorders>
              <w:top w:val="single" w:sz="6" w:space="0" w:color="auto"/>
              <w:left w:val="single" w:sz="6" w:space="0" w:color="auto"/>
            </w:tcBorders>
            <w:shd w:val="clear" w:color="auto" w:fill="auto"/>
          </w:tcPr>
          <w:p w:rsidR="003D7FB4" w:rsidRPr="00D41D30" w:rsidRDefault="003D7FB4" w:rsidP="003D7FB4">
            <w:pPr>
              <w:spacing w:line="440" w:lineRule="exact"/>
              <w:jc w:val="center"/>
              <w:rPr>
                <w:rFonts w:hAnsi="標楷體"/>
                <w:bCs/>
                <w:color w:val="000000" w:themeColor="text1"/>
                <w:sz w:val="28"/>
                <w:szCs w:val="28"/>
              </w:rPr>
            </w:pPr>
            <w:r w:rsidRPr="00D41D30">
              <w:rPr>
                <w:rFonts w:hAnsi="標楷體"/>
                <w:bCs/>
                <w:color w:val="000000" w:themeColor="text1"/>
                <w:sz w:val="28"/>
                <w:szCs w:val="28"/>
              </w:rPr>
              <w:t>3,</w:t>
            </w:r>
            <w:r w:rsidR="002532DE" w:rsidRPr="00D41D30">
              <w:rPr>
                <w:rFonts w:hAnsi="標楷體"/>
                <w:bCs/>
                <w:color w:val="000000" w:themeColor="text1"/>
                <w:sz w:val="28"/>
                <w:szCs w:val="28"/>
              </w:rPr>
              <w:t>0</w:t>
            </w:r>
            <w:r w:rsidRPr="00D41D30">
              <w:rPr>
                <w:rFonts w:hAnsi="標楷體"/>
                <w:bCs/>
                <w:color w:val="000000" w:themeColor="text1"/>
                <w:sz w:val="28"/>
                <w:szCs w:val="28"/>
              </w:rPr>
              <w:t>06</w:t>
            </w:r>
          </w:p>
        </w:tc>
      </w:tr>
    </w:tbl>
    <w:p w:rsidR="00D7741A" w:rsidRPr="00D41D30" w:rsidRDefault="00D7741A" w:rsidP="00212E3D">
      <w:pPr>
        <w:rPr>
          <w:color w:val="000000" w:themeColor="text1"/>
        </w:rPr>
      </w:pPr>
      <w:r w:rsidRPr="00D41D30">
        <w:rPr>
          <w:rFonts w:hint="eastAsia"/>
          <w:color w:val="000000" w:themeColor="text1"/>
          <w:sz w:val="24"/>
          <w:szCs w:val="24"/>
        </w:rPr>
        <w:t xml:space="preserve">      資料來源：教育部提供</w:t>
      </w:r>
      <w:r w:rsidR="00BA6C32" w:rsidRPr="00D41D30">
        <w:rPr>
          <w:rFonts w:hint="eastAsia"/>
          <w:color w:val="000000" w:themeColor="text1"/>
          <w:sz w:val="24"/>
          <w:szCs w:val="24"/>
        </w:rPr>
        <w:t>。</w:t>
      </w:r>
    </w:p>
    <w:p w:rsidR="00D7741A" w:rsidRPr="00D41D30" w:rsidRDefault="00D7741A" w:rsidP="00E72D98">
      <w:pPr>
        <w:pStyle w:val="4"/>
        <w:spacing w:beforeLines="50" w:before="228"/>
        <w:rPr>
          <w:color w:val="000000" w:themeColor="text1"/>
        </w:rPr>
      </w:pPr>
      <w:r w:rsidRPr="00D41D30">
        <w:rPr>
          <w:rFonts w:hint="eastAsia"/>
          <w:color w:val="000000" w:themeColor="text1"/>
        </w:rPr>
        <w:t>強化貢獻服務</w:t>
      </w:r>
    </w:p>
    <w:p w:rsidR="00D7741A" w:rsidRPr="00D41D30" w:rsidRDefault="00D7741A" w:rsidP="00C623A2">
      <w:pPr>
        <w:pStyle w:val="5"/>
        <w:rPr>
          <w:color w:val="000000" w:themeColor="text1"/>
        </w:rPr>
      </w:pPr>
      <w:r w:rsidRPr="00D41D30">
        <w:rPr>
          <w:rFonts w:hint="eastAsia"/>
          <w:color w:val="000000" w:themeColor="text1"/>
        </w:rPr>
        <w:t>樂齡志工隊：為發揮高齡者貢獻服務的精神，全國樂齡學習中心成立「樂齡志工隊」，擔任宣導員進行宅配服務，到大樹下、廟宇等高齡者聚集的場所，將學習資源宅配到社區。截至107年，全國樂齡學習中心合計召募1萬</w:t>
      </w:r>
      <w:r w:rsidRPr="00D41D30">
        <w:rPr>
          <w:color w:val="000000" w:themeColor="text1"/>
        </w:rPr>
        <w:t>1,366</w:t>
      </w:r>
      <w:r w:rsidRPr="00D41D30">
        <w:rPr>
          <w:rFonts w:hint="eastAsia"/>
          <w:color w:val="000000" w:themeColor="text1"/>
        </w:rPr>
        <w:t>位志工，其中55歲以上長者計8</w:t>
      </w:r>
      <w:r w:rsidRPr="00D41D30">
        <w:rPr>
          <w:color w:val="000000" w:themeColor="text1"/>
        </w:rPr>
        <w:t>,</w:t>
      </w:r>
      <w:r w:rsidRPr="00D41D30">
        <w:rPr>
          <w:rFonts w:hint="eastAsia"/>
          <w:color w:val="000000" w:themeColor="text1"/>
        </w:rPr>
        <w:t>867人</w:t>
      </w:r>
      <w:r w:rsidR="00B562C7" w:rsidRPr="00D41D30">
        <w:rPr>
          <w:rFonts w:hint="eastAsia"/>
          <w:color w:val="000000" w:themeColor="text1"/>
        </w:rPr>
        <w:t>（</w:t>
      </w:r>
      <w:r w:rsidRPr="00D41D30">
        <w:rPr>
          <w:rFonts w:hint="eastAsia"/>
          <w:color w:val="000000" w:themeColor="text1"/>
        </w:rPr>
        <w:t>占78.01%</w:t>
      </w:r>
      <w:r w:rsidR="006B5136" w:rsidRPr="00D41D30">
        <w:rPr>
          <w:rFonts w:hint="eastAsia"/>
          <w:color w:val="000000" w:themeColor="text1"/>
        </w:rPr>
        <w:t>）</w:t>
      </w:r>
      <w:r w:rsidRPr="00D41D30">
        <w:rPr>
          <w:rFonts w:hint="eastAsia"/>
          <w:color w:val="000000" w:themeColor="text1"/>
        </w:rPr>
        <w:t>，期許以老人帶領老人，將高齡人力資源活化運用於社會，均基於利他的精神，但實際上在服務的過程中，自身亦可得到最大的心靈滿足，高齡者亦可從中尋回自身的價值感。</w:t>
      </w:r>
    </w:p>
    <w:p w:rsidR="00D7741A" w:rsidRPr="00D41D30" w:rsidRDefault="00D7741A" w:rsidP="00E72D98">
      <w:pPr>
        <w:pStyle w:val="a4"/>
        <w:ind w:left="697" w:firstLine="579"/>
        <w:rPr>
          <w:b/>
          <w:color w:val="000000" w:themeColor="text1"/>
        </w:rPr>
      </w:pPr>
      <w:r w:rsidRPr="00D41D30">
        <w:rPr>
          <w:rFonts w:hint="eastAsia"/>
          <w:b/>
          <w:color w:val="000000" w:themeColor="text1"/>
        </w:rPr>
        <w:lastRenderedPageBreak/>
        <w:t>102</w:t>
      </w:r>
      <w:r w:rsidRPr="00D41D30">
        <w:rPr>
          <w:b/>
          <w:color w:val="000000" w:themeColor="text1"/>
        </w:rPr>
        <w:t>-10</w:t>
      </w:r>
      <w:r w:rsidRPr="00D41D30">
        <w:rPr>
          <w:rFonts w:hint="eastAsia"/>
          <w:b/>
          <w:color w:val="000000" w:themeColor="text1"/>
        </w:rPr>
        <w:t>7</w:t>
      </w:r>
      <w:r w:rsidRPr="00D41D30">
        <w:rPr>
          <w:b/>
          <w:color w:val="000000" w:themeColor="text1"/>
        </w:rPr>
        <w:t>年</w:t>
      </w:r>
      <w:r w:rsidRPr="00D41D30">
        <w:rPr>
          <w:rFonts w:hint="eastAsia"/>
          <w:b/>
          <w:color w:val="000000" w:themeColor="text1"/>
        </w:rPr>
        <w:t>樂齡學習中心志工數</w:t>
      </w:r>
    </w:p>
    <w:tbl>
      <w:tblPr>
        <w:tblW w:w="6237" w:type="dxa"/>
        <w:tblInd w:w="123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34"/>
        <w:gridCol w:w="1275"/>
        <w:gridCol w:w="1418"/>
        <w:gridCol w:w="2410"/>
      </w:tblGrid>
      <w:tr w:rsidR="00D7741A" w:rsidRPr="00D41D30" w:rsidTr="002532DE">
        <w:trPr>
          <w:tblHeader/>
        </w:trPr>
        <w:tc>
          <w:tcPr>
            <w:tcW w:w="1134" w:type="dxa"/>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年度</w:t>
            </w:r>
          </w:p>
        </w:tc>
        <w:tc>
          <w:tcPr>
            <w:tcW w:w="1275" w:type="dxa"/>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中心數</w:t>
            </w:r>
          </w:p>
        </w:tc>
        <w:tc>
          <w:tcPr>
            <w:tcW w:w="1418" w:type="dxa"/>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鄉鎮市區</w:t>
            </w:r>
          </w:p>
        </w:tc>
        <w:tc>
          <w:tcPr>
            <w:tcW w:w="2410" w:type="dxa"/>
            <w:shd w:val="clear" w:color="auto" w:fill="auto"/>
          </w:tcPr>
          <w:p w:rsidR="00D7741A" w:rsidRPr="00D41D30" w:rsidRDefault="00B562C7"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w:t>
            </w:r>
            <w:r w:rsidR="00D7741A" w:rsidRPr="00D41D30">
              <w:rPr>
                <w:rFonts w:hAnsi="標楷體"/>
                <w:b/>
                <w:color w:val="000000" w:themeColor="text1"/>
                <w:sz w:val="28"/>
                <w:szCs w:val="28"/>
              </w:rPr>
              <w:t>每年累積</w:t>
            </w:r>
            <w:r w:rsidR="006B5136" w:rsidRPr="00D41D30">
              <w:rPr>
                <w:rFonts w:hAnsi="標楷體"/>
                <w:b/>
                <w:color w:val="000000" w:themeColor="text1"/>
                <w:sz w:val="28"/>
                <w:szCs w:val="28"/>
              </w:rPr>
              <w:t>）</w:t>
            </w:r>
          </w:p>
        </w:tc>
      </w:tr>
      <w:tr w:rsidR="00D7741A" w:rsidRPr="00D41D30" w:rsidTr="004D7AC5">
        <w:tc>
          <w:tcPr>
            <w:tcW w:w="1134" w:type="dxa"/>
            <w:shd w:val="clear" w:color="auto" w:fill="auto"/>
            <w:hideMark/>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102</w:t>
            </w:r>
          </w:p>
        </w:tc>
        <w:tc>
          <w:tcPr>
            <w:tcW w:w="1275" w:type="dxa"/>
            <w:shd w:val="clear" w:color="auto" w:fill="auto"/>
            <w:hideMark/>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271</w:t>
            </w:r>
          </w:p>
        </w:tc>
        <w:tc>
          <w:tcPr>
            <w:tcW w:w="1418" w:type="dxa"/>
            <w:shd w:val="clear" w:color="auto" w:fill="auto"/>
            <w:hideMark/>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265</w:t>
            </w:r>
          </w:p>
        </w:tc>
        <w:tc>
          <w:tcPr>
            <w:tcW w:w="2410"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7,831</w:t>
            </w:r>
          </w:p>
        </w:tc>
      </w:tr>
      <w:tr w:rsidR="00D7741A" w:rsidRPr="00D41D30" w:rsidTr="004D7AC5">
        <w:tc>
          <w:tcPr>
            <w:tcW w:w="1134" w:type="dxa"/>
            <w:shd w:val="clear" w:color="auto" w:fill="auto"/>
            <w:hideMark/>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103</w:t>
            </w:r>
          </w:p>
        </w:tc>
        <w:tc>
          <w:tcPr>
            <w:tcW w:w="1275" w:type="dxa"/>
            <w:shd w:val="clear" w:color="auto" w:fill="auto"/>
            <w:hideMark/>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306</w:t>
            </w:r>
          </w:p>
        </w:tc>
        <w:tc>
          <w:tcPr>
            <w:tcW w:w="1418" w:type="dxa"/>
            <w:shd w:val="clear" w:color="auto" w:fill="auto"/>
            <w:hideMark/>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301</w:t>
            </w:r>
          </w:p>
        </w:tc>
        <w:tc>
          <w:tcPr>
            <w:tcW w:w="2410"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9,034</w:t>
            </w:r>
          </w:p>
        </w:tc>
      </w:tr>
      <w:tr w:rsidR="00D7741A" w:rsidRPr="00D41D30" w:rsidTr="004D7AC5">
        <w:tc>
          <w:tcPr>
            <w:tcW w:w="1134" w:type="dxa"/>
            <w:shd w:val="clear" w:color="auto" w:fill="auto"/>
            <w:hideMark/>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104</w:t>
            </w:r>
          </w:p>
        </w:tc>
        <w:tc>
          <w:tcPr>
            <w:tcW w:w="1275" w:type="dxa"/>
            <w:shd w:val="clear" w:color="auto" w:fill="auto"/>
            <w:hideMark/>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313</w:t>
            </w:r>
          </w:p>
        </w:tc>
        <w:tc>
          <w:tcPr>
            <w:tcW w:w="1418" w:type="dxa"/>
            <w:shd w:val="clear" w:color="auto" w:fill="auto"/>
            <w:hideMark/>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310</w:t>
            </w:r>
          </w:p>
        </w:tc>
        <w:tc>
          <w:tcPr>
            <w:tcW w:w="2410"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10,032</w:t>
            </w:r>
          </w:p>
        </w:tc>
      </w:tr>
      <w:tr w:rsidR="00D7741A" w:rsidRPr="00D41D30" w:rsidTr="004D7AC5">
        <w:tc>
          <w:tcPr>
            <w:tcW w:w="1134" w:type="dxa"/>
            <w:shd w:val="clear" w:color="auto" w:fill="auto"/>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105</w:t>
            </w:r>
          </w:p>
        </w:tc>
        <w:tc>
          <w:tcPr>
            <w:tcW w:w="1275"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339</w:t>
            </w:r>
          </w:p>
        </w:tc>
        <w:tc>
          <w:tcPr>
            <w:tcW w:w="1418"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336</w:t>
            </w:r>
          </w:p>
        </w:tc>
        <w:tc>
          <w:tcPr>
            <w:tcW w:w="2410" w:type="dxa"/>
            <w:shd w:val="clear" w:color="auto" w:fill="auto"/>
          </w:tcPr>
          <w:p w:rsidR="00D7741A" w:rsidRPr="00D41D30" w:rsidRDefault="00D7741A" w:rsidP="004D7AC5">
            <w:pPr>
              <w:spacing w:line="440" w:lineRule="exact"/>
              <w:jc w:val="center"/>
              <w:rPr>
                <w:rFonts w:hAnsi="標楷體"/>
                <w:bCs/>
                <w:color w:val="000000" w:themeColor="text1"/>
                <w:sz w:val="28"/>
                <w:szCs w:val="28"/>
              </w:rPr>
            </w:pPr>
            <w:r w:rsidRPr="00D41D30">
              <w:rPr>
                <w:rFonts w:hAnsi="標楷體"/>
                <w:bCs/>
                <w:color w:val="000000" w:themeColor="text1"/>
                <w:sz w:val="28"/>
                <w:szCs w:val="28"/>
              </w:rPr>
              <w:t>10,126</w:t>
            </w:r>
          </w:p>
        </w:tc>
      </w:tr>
      <w:tr w:rsidR="00D7741A" w:rsidRPr="00D41D30" w:rsidTr="004D7AC5">
        <w:tc>
          <w:tcPr>
            <w:tcW w:w="1134" w:type="dxa"/>
            <w:shd w:val="clear" w:color="auto" w:fill="auto"/>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106</w:t>
            </w:r>
          </w:p>
        </w:tc>
        <w:tc>
          <w:tcPr>
            <w:tcW w:w="1275"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362</w:t>
            </w:r>
          </w:p>
        </w:tc>
        <w:tc>
          <w:tcPr>
            <w:tcW w:w="1418"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357</w:t>
            </w:r>
          </w:p>
        </w:tc>
        <w:tc>
          <w:tcPr>
            <w:tcW w:w="2410" w:type="dxa"/>
            <w:shd w:val="clear" w:color="auto" w:fill="auto"/>
          </w:tcPr>
          <w:p w:rsidR="00D7741A" w:rsidRPr="00D41D30" w:rsidRDefault="00D7741A" w:rsidP="004D7AC5">
            <w:pPr>
              <w:spacing w:line="440" w:lineRule="exact"/>
              <w:jc w:val="center"/>
              <w:rPr>
                <w:rFonts w:hAnsi="標楷體"/>
                <w:bCs/>
                <w:color w:val="000000" w:themeColor="text1"/>
                <w:sz w:val="28"/>
                <w:szCs w:val="28"/>
              </w:rPr>
            </w:pPr>
            <w:r w:rsidRPr="00D41D30">
              <w:rPr>
                <w:rFonts w:hAnsi="標楷體"/>
                <w:bCs/>
                <w:color w:val="000000" w:themeColor="text1"/>
                <w:sz w:val="28"/>
                <w:szCs w:val="28"/>
              </w:rPr>
              <w:t>10,780</w:t>
            </w:r>
          </w:p>
        </w:tc>
      </w:tr>
      <w:tr w:rsidR="00D7741A" w:rsidRPr="00D41D30" w:rsidTr="004D7AC5">
        <w:tc>
          <w:tcPr>
            <w:tcW w:w="1134" w:type="dxa"/>
            <w:shd w:val="clear" w:color="auto" w:fill="auto"/>
          </w:tcPr>
          <w:p w:rsidR="00D7741A" w:rsidRPr="00D41D30" w:rsidRDefault="00D7741A" w:rsidP="004D7AC5">
            <w:pPr>
              <w:spacing w:line="440" w:lineRule="exact"/>
              <w:jc w:val="center"/>
              <w:rPr>
                <w:rFonts w:hAnsi="標楷體"/>
                <w:b/>
                <w:color w:val="000000" w:themeColor="text1"/>
                <w:sz w:val="28"/>
                <w:szCs w:val="28"/>
              </w:rPr>
            </w:pPr>
            <w:r w:rsidRPr="00D41D30">
              <w:rPr>
                <w:rFonts w:hAnsi="標楷體"/>
                <w:b/>
                <w:color w:val="000000" w:themeColor="text1"/>
                <w:sz w:val="28"/>
                <w:szCs w:val="28"/>
              </w:rPr>
              <w:t>107</w:t>
            </w:r>
          </w:p>
        </w:tc>
        <w:tc>
          <w:tcPr>
            <w:tcW w:w="1275"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368</w:t>
            </w:r>
          </w:p>
        </w:tc>
        <w:tc>
          <w:tcPr>
            <w:tcW w:w="1418" w:type="dxa"/>
            <w:shd w:val="clear" w:color="auto" w:fill="auto"/>
          </w:tcPr>
          <w:p w:rsidR="00D7741A" w:rsidRPr="00D41D30" w:rsidRDefault="00D7741A" w:rsidP="004D7AC5">
            <w:pPr>
              <w:spacing w:line="440" w:lineRule="exact"/>
              <w:jc w:val="center"/>
              <w:rPr>
                <w:rFonts w:hAnsi="標楷體"/>
                <w:color w:val="000000" w:themeColor="text1"/>
                <w:sz w:val="28"/>
                <w:szCs w:val="28"/>
              </w:rPr>
            </w:pPr>
            <w:r w:rsidRPr="00D41D30">
              <w:rPr>
                <w:rFonts w:hAnsi="標楷體"/>
                <w:color w:val="000000" w:themeColor="text1"/>
                <w:sz w:val="28"/>
                <w:szCs w:val="28"/>
              </w:rPr>
              <w:t>360</w:t>
            </w:r>
          </w:p>
        </w:tc>
        <w:tc>
          <w:tcPr>
            <w:tcW w:w="2410" w:type="dxa"/>
            <w:shd w:val="clear" w:color="auto" w:fill="auto"/>
          </w:tcPr>
          <w:p w:rsidR="00D7741A" w:rsidRPr="00D41D30" w:rsidRDefault="00D7741A" w:rsidP="004D7AC5">
            <w:pPr>
              <w:spacing w:line="440" w:lineRule="exact"/>
              <w:jc w:val="center"/>
              <w:rPr>
                <w:rFonts w:hAnsi="標楷體"/>
                <w:bCs/>
                <w:color w:val="000000" w:themeColor="text1"/>
                <w:sz w:val="28"/>
                <w:szCs w:val="28"/>
              </w:rPr>
            </w:pPr>
            <w:r w:rsidRPr="00D41D30">
              <w:rPr>
                <w:rFonts w:hAnsi="標楷體"/>
                <w:bCs/>
                <w:color w:val="000000" w:themeColor="text1"/>
                <w:sz w:val="28"/>
                <w:szCs w:val="28"/>
              </w:rPr>
              <w:t>1</w:t>
            </w:r>
            <w:r w:rsidRPr="00D41D30">
              <w:rPr>
                <w:rFonts w:hAnsi="標楷體" w:hint="eastAsia"/>
                <w:bCs/>
                <w:color w:val="000000" w:themeColor="text1"/>
                <w:sz w:val="28"/>
                <w:szCs w:val="28"/>
              </w:rPr>
              <w:t>1</w:t>
            </w:r>
            <w:r w:rsidRPr="00D41D30">
              <w:rPr>
                <w:rFonts w:hAnsi="標楷體"/>
                <w:bCs/>
                <w:color w:val="000000" w:themeColor="text1"/>
                <w:sz w:val="28"/>
                <w:szCs w:val="28"/>
              </w:rPr>
              <w:t>,</w:t>
            </w:r>
            <w:r w:rsidRPr="00D41D30">
              <w:rPr>
                <w:rFonts w:hAnsi="標楷體" w:hint="eastAsia"/>
                <w:bCs/>
                <w:color w:val="000000" w:themeColor="text1"/>
                <w:sz w:val="28"/>
                <w:szCs w:val="28"/>
              </w:rPr>
              <w:t>366</w:t>
            </w:r>
          </w:p>
        </w:tc>
      </w:tr>
    </w:tbl>
    <w:p w:rsidR="00D7741A" w:rsidRPr="00D41D30" w:rsidRDefault="00D7741A" w:rsidP="004D7AC5">
      <w:pPr>
        <w:rPr>
          <w:color w:val="000000" w:themeColor="text1"/>
        </w:rPr>
      </w:pPr>
      <w:r w:rsidRPr="00D41D30">
        <w:rPr>
          <w:rFonts w:hint="eastAsia"/>
          <w:color w:val="000000" w:themeColor="text1"/>
          <w:sz w:val="24"/>
          <w:szCs w:val="24"/>
        </w:rPr>
        <w:t xml:space="preserve">         資料來源：教育部提供</w:t>
      </w:r>
    </w:p>
    <w:p w:rsidR="00D7741A" w:rsidRPr="00D41D30" w:rsidRDefault="00D7741A" w:rsidP="00E55784">
      <w:pPr>
        <w:pStyle w:val="5"/>
        <w:spacing w:beforeLines="50" w:before="228"/>
        <w:ind w:hanging="851"/>
        <w:rPr>
          <w:color w:val="000000" w:themeColor="text1"/>
        </w:rPr>
      </w:pPr>
      <w:r w:rsidRPr="00D41D30">
        <w:rPr>
          <w:rFonts w:hint="eastAsia"/>
          <w:color w:val="000000" w:themeColor="text1"/>
        </w:rPr>
        <w:t>樂齡學習社團：教育部鼓勵連續超過2年以上之課程，轉型成為樂齡學習社團，107年全國已成立1,314個樂齡學習社團，</w:t>
      </w:r>
      <w:r w:rsidR="002532DE" w:rsidRPr="00D41D30">
        <w:rPr>
          <w:rFonts w:hint="eastAsia"/>
          <w:color w:val="000000" w:themeColor="text1"/>
        </w:rPr>
        <w:t>詳下表，</w:t>
      </w:r>
      <w:r w:rsidRPr="00D41D30">
        <w:rPr>
          <w:rFonts w:hint="eastAsia"/>
          <w:color w:val="000000" w:themeColor="text1"/>
        </w:rPr>
        <w:t>平日自行運作，讓自主規劃課程蓬勃發展，並強化貢獻服務能量，例如在「崇老」的重陽</w:t>
      </w:r>
      <w:r w:rsidRPr="00D41D30">
        <w:rPr>
          <w:color w:val="000000" w:themeColor="text1"/>
        </w:rPr>
        <w:t>節</w:t>
      </w:r>
      <w:r w:rsidRPr="00D41D30">
        <w:rPr>
          <w:rFonts w:hint="eastAsia"/>
          <w:color w:val="000000" w:themeColor="text1"/>
        </w:rPr>
        <w:t>，前往安養機構、醫院等，與長者、院生歡度有意義及特別的節日，或在「祖父母節」到高鐵或其他公共空間進行快閃活動。</w:t>
      </w:r>
    </w:p>
    <w:p w:rsidR="00D7741A" w:rsidRPr="00D41D30" w:rsidRDefault="00D7741A" w:rsidP="00E72D98">
      <w:pPr>
        <w:pStyle w:val="a4"/>
        <w:ind w:left="697" w:hanging="271"/>
        <w:rPr>
          <w:b/>
          <w:color w:val="000000" w:themeColor="text1"/>
        </w:rPr>
      </w:pPr>
      <w:r w:rsidRPr="00D41D30">
        <w:rPr>
          <w:b/>
          <w:color w:val="000000" w:themeColor="text1"/>
        </w:rPr>
        <w:t>10</w:t>
      </w:r>
      <w:r w:rsidRPr="00D41D30">
        <w:rPr>
          <w:rFonts w:hint="eastAsia"/>
          <w:b/>
          <w:color w:val="000000" w:themeColor="text1"/>
        </w:rPr>
        <w:t>3-107年度</w:t>
      </w:r>
      <w:r w:rsidRPr="00D41D30">
        <w:rPr>
          <w:rFonts w:hAnsi="標楷體"/>
          <w:b/>
          <w:color w:val="000000" w:themeColor="text1"/>
        </w:rPr>
        <w:t>樂齡學習服務社團數</w:t>
      </w:r>
      <w:r w:rsidRPr="00D41D30">
        <w:rPr>
          <w:rFonts w:hint="eastAsia"/>
          <w:b/>
          <w:color w:val="000000" w:themeColor="text1"/>
        </w:rPr>
        <w:t>表</w:t>
      </w:r>
    </w:p>
    <w:tbl>
      <w:tblPr>
        <w:tblW w:w="8359"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75"/>
        <w:gridCol w:w="1418"/>
        <w:gridCol w:w="4532"/>
      </w:tblGrid>
      <w:tr w:rsidR="00D7741A" w:rsidRPr="00D41D30" w:rsidTr="00811C99">
        <w:tc>
          <w:tcPr>
            <w:tcW w:w="1134" w:type="dxa"/>
          </w:tcPr>
          <w:p w:rsidR="00D7741A" w:rsidRPr="00D41D30" w:rsidRDefault="00D7741A" w:rsidP="006C4734">
            <w:pPr>
              <w:spacing w:line="440" w:lineRule="exact"/>
              <w:rPr>
                <w:rFonts w:hAnsi="標楷體"/>
                <w:b/>
                <w:color w:val="000000" w:themeColor="text1"/>
                <w:sz w:val="28"/>
                <w:szCs w:val="28"/>
              </w:rPr>
            </w:pPr>
            <w:r w:rsidRPr="00D41D30">
              <w:rPr>
                <w:rFonts w:hAnsi="標楷體"/>
                <w:b/>
                <w:color w:val="000000" w:themeColor="text1"/>
                <w:sz w:val="28"/>
                <w:szCs w:val="28"/>
              </w:rPr>
              <w:t>年度</w:t>
            </w:r>
          </w:p>
        </w:tc>
        <w:tc>
          <w:tcPr>
            <w:tcW w:w="1275" w:type="dxa"/>
          </w:tcPr>
          <w:p w:rsidR="00D7741A" w:rsidRPr="00D41D30" w:rsidRDefault="00D7741A" w:rsidP="006C4734">
            <w:pPr>
              <w:spacing w:line="440" w:lineRule="exact"/>
              <w:rPr>
                <w:rFonts w:hAnsi="標楷體"/>
                <w:b/>
                <w:color w:val="000000" w:themeColor="text1"/>
                <w:sz w:val="28"/>
                <w:szCs w:val="28"/>
              </w:rPr>
            </w:pPr>
            <w:r w:rsidRPr="00D41D30">
              <w:rPr>
                <w:rFonts w:hAnsi="標楷體"/>
                <w:b/>
                <w:color w:val="000000" w:themeColor="text1"/>
                <w:sz w:val="28"/>
                <w:szCs w:val="28"/>
              </w:rPr>
              <w:t>中心數</w:t>
            </w:r>
          </w:p>
        </w:tc>
        <w:tc>
          <w:tcPr>
            <w:tcW w:w="1418" w:type="dxa"/>
          </w:tcPr>
          <w:p w:rsidR="00D7741A" w:rsidRPr="00D41D30" w:rsidRDefault="00D7741A" w:rsidP="006C4734">
            <w:pPr>
              <w:spacing w:line="440" w:lineRule="exact"/>
              <w:rPr>
                <w:rFonts w:hAnsi="標楷體"/>
                <w:b/>
                <w:color w:val="000000" w:themeColor="text1"/>
                <w:sz w:val="28"/>
                <w:szCs w:val="28"/>
              </w:rPr>
            </w:pPr>
            <w:r w:rsidRPr="00D41D30">
              <w:rPr>
                <w:rFonts w:hAnsi="標楷體"/>
                <w:b/>
                <w:color w:val="000000" w:themeColor="text1"/>
                <w:sz w:val="28"/>
                <w:szCs w:val="28"/>
              </w:rPr>
              <w:t>鄉鎮市區</w:t>
            </w:r>
          </w:p>
        </w:tc>
        <w:tc>
          <w:tcPr>
            <w:tcW w:w="4532" w:type="dxa"/>
            <w:shd w:val="clear" w:color="auto" w:fill="auto"/>
          </w:tcPr>
          <w:p w:rsidR="00D7741A" w:rsidRPr="00D41D30" w:rsidRDefault="00D7741A" w:rsidP="006C4734">
            <w:pPr>
              <w:spacing w:line="440" w:lineRule="exact"/>
              <w:rPr>
                <w:rFonts w:hAnsi="標楷體"/>
                <w:b/>
                <w:color w:val="000000" w:themeColor="text1"/>
                <w:sz w:val="28"/>
                <w:szCs w:val="28"/>
              </w:rPr>
            </w:pPr>
            <w:r w:rsidRPr="00D41D30">
              <w:rPr>
                <w:rFonts w:hAnsi="標楷體"/>
                <w:b/>
                <w:color w:val="000000" w:themeColor="text1"/>
                <w:sz w:val="28"/>
                <w:szCs w:val="28"/>
              </w:rPr>
              <w:t>樂齡學習服務社團數</w:t>
            </w:r>
            <w:r w:rsidR="00B562C7" w:rsidRPr="00D41D30">
              <w:rPr>
                <w:rFonts w:hAnsi="標楷體"/>
                <w:b/>
                <w:color w:val="000000" w:themeColor="text1"/>
                <w:sz w:val="28"/>
                <w:szCs w:val="28"/>
              </w:rPr>
              <w:t>（</w:t>
            </w:r>
            <w:r w:rsidRPr="00D41D30">
              <w:rPr>
                <w:rFonts w:hAnsi="標楷體"/>
                <w:b/>
                <w:color w:val="000000" w:themeColor="text1"/>
                <w:sz w:val="28"/>
                <w:szCs w:val="28"/>
              </w:rPr>
              <w:t>每年累積</w:t>
            </w:r>
            <w:r w:rsidR="006B5136" w:rsidRPr="00D41D30">
              <w:rPr>
                <w:rFonts w:hAnsi="標楷體"/>
                <w:b/>
                <w:color w:val="000000" w:themeColor="text1"/>
                <w:sz w:val="28"/>
                <w:szCs w:val="28"/>
              </w:rPr>
              <w:t>）</w:t>
            </w:r>
          </w:p>
        </w:tc>
      </w:tr>
      <w:tr w:rsidR="00D7741A" w:rsidRPr="00D41D30" w:rsidTr="00EF1548">
        <w:tc>
          <w:tcPr>
            <w:tcW w:w="1134" w:type="dxa"/>
            <w:shd w:val="clear" w:color="auto" w:fill="auto"/>
            <w:vAlign w:val="center"/>
            <w:hideMark/>
          </w:tcPr>
          <w:p w:rsidR="00D7741A" w:rsidRPr="00D41D30" w:rsidRDefault="00D7741A" w:rsidP="00EF1548">
            <w:pPr>
              <w:spacing w:line="440" w:lineRule="exact"/>
              <w:jc w:val="center"/>
              <w:rPr>
                <w:rFonts w:hAnsi="標楷體"/>
                <w:b/>
                <w:color w:val="000000" w:themeColor="text1"/>
                <w:sz w:val="28"/>
                <w:szCs w:val="28"/>
              </w:rPr>
            </w:pPr>
            <w:r w:rsidRPr="00D41D30">
              <w:rPr>
                <w:rFonts w:hAnsi="標楷體"/>
                <w:b/>
                <w:color w:val="000000" w:themeColor="text1"/>
                <w:sz w:val="28"/>
                <w:szCs w:val="28"/>
              </w:rPr>
              <w:t>103</w:t>
            </w:r>
          </w:p>
        </w:tc>
        <w:tc>
          <w:tcPr>
            <w:tcW w:w="1275" w:type="dxa"/>
            <w:shd w:val="clear" w:color="auto" w:fill="auto"/>
            <w:vAlign w:val="center"/>
            <w:hideMark/>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306</w:t>
            </w:r>
          </w:p>
        </w:tc>
        <w:tc>
          <w:tcPr>
            <w:tcW w:w="1418" w:type="dxa"/>
            <w:shd w:val="clear" w:color="auto" w:fill="auto"/>
            <w:vAlign w:val="center"/>
            <w:hideMark/>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301</w:t>
            </w:r>
          </w:p>
        </w:tc>
        <w:tc>
          <w:tcPr>
            <w:tcW w:w="4532" w:type="dxa"/>
            <w:shd w:val="clear" w:color="auto" w:fill="auto"/>
          </w:tcPr>
          <w:p w:rsidR="00D7741A" w:rsidRPr="00D41D30" w:rsidRDefault="00D7741A" w:rsidP="006C4734">
            <w:pPr>
              <w:spacing w:line="440" w:lineRule="exact"/>
              <w:rPr>
                <w:rFonts w:hAnsi="標楷體"/>
                <w:color w:val="000000" w:themeColor="text1"/>
                <w:sz w:val="28"/>
                <w:szCs w:val="28"/>
              </w:rPr>
            </w:pPr>
            <w:r w:rsidRPr="00D41D30">
              <w:rPr>
                <w:rFonts w:hAnsi="標楷體"/>
                <w:color w:val="000000" w:themeColor="text1"/>
                <w:sz w:val="28"/>
                <w:szCs w:val="28"/>
              </w:rPr>
              <w:t>103年底開始實施</w:t>
            </w:r>
          </w:p>
        </w:tc>
      </w:tr>
      <w:tr w:rsidR="00D7741A" w:rsidRPr="00D41D30" w:rsidTr="00EF1548">
        <w:tc>
          <w:tcPr>
            <w:tcW w:w="1134" w:type="dxa"/>
            <w:shd w:val="clear" w:color="auto" w:fill="auto"/>
            <w:vAlign w:val="center"/>
            <w:hideMark/>
          </w:tcPr>
          <w:p w:rsidR="00D7741A" w:rsidRPr="00D41D30" w:rsidRDefault="00D7741A" w:rsidP="00EF1548">
            <w:pPr>
              <w:spacing w:line="440" w:lineRule="exact"/>
              <w:jc w:val="center"/>
              <w:rPr>
                <w:rFonts w:hAnsi="標楷體"/>
                <w:b/>
                <w:color w:val="000000" w:themeColor="text1"/>
                <w:sz w:val="28"/>
                <w:szCs w:val="28"/>
              </w:rPr>
            </w:pPr>
            <w:r w:rsidRPr="00D41D30">
              <w:rPr>
                <w:rFonts w:hAnsi="標楷體"/>
                <w:b/>
                <w:color w:val="000000" w:themeColor="text1"/>
                <w:sz w:val="28"/>
                <w:szCs w:val="28"/>
              </w:rPr>
              <w:t>104</w:t>
            </w:r>
          </w:p>
        </w:tc>
        <w:tc>
          <w:tcPr>
            <w:tcW w:w="1275" w:type="dxa"/>
            <w:shd w:val="clear" w:color="auto" w:fill="auto"/>
            <w:vAlign w:val="center"/>
            <w:hideMark/>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313</w:t>
            </w:r>
          </w:p>
        </w:tc>
        <w:tc>
          <w:tcPr>
            <w:tcW w:w="1418" w:type="dxa"/>
            <w:shd w:val="clear" w:color="auto" w:fill="auto"/>
            <w:vAlign w:val="center"/>
            <w:hideMark/>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310</w:t>
            </w:r>
          </w:p>
        </w:tc>
        <w:tc>
          <w:tcPr>
            <w:tcW w:w="4532" w:type="dxa"/>
            <w:shd w:val="clear" w:color="auto" w:fill="auto"/>
          </w:tcPr>
          <w:p w:rsidR="00D7741A" w:rsidRPr="00D41D30" w:rsidRDefault="00D7741A" w:rsidP="006C4734">
            <w:pPr>
              <w:spacing w:line="440" w:lineRule="exact"/>
              <w:rPr>
                <w:rFonts w:hAnsi="標楷體"/>
                <w:color w:val="000000" w:themeColor="text1"/>
                <w:sz w:val="28"/>
                <w:szCs w:val="28"/>
              </w:rPr>
            </w:pPr>
            <w:r w:rsidRPr="00D41D30">
              <w:rPr>
                <w:rFonts w:hAnsi="標楷體"/>
                <w:color w:val="000000" w:themeColor="text1"/>
                <w:sz w:val="28"/>
                <w:szCs w:val="28"/>
              </w:rPr>
              <w:t>797</w:t>
            </w:r>
          </w:p>
        </w:tc>
      </w:tr>
      <w:tr w:rsidR="00D7741A" w:rsidRPr="00D41D30" w:rsidTr="00EF1548">
        <w:tc>
          <w:tcPr>
            <w:tcW w:w="1134" w:type="dxa"/>
            <w:shd w:val="clear" w:color="auto" w:fill="auto"/>
            <w:vAlign w:val="center"/>
          </w:tcPr>
          <w:p w:rsidR="00D7741A" w:rsidRPr="00D41D30" w:rsidRDefault="00D7741A" w:rsidP="00EF1548">
            <w:pPr>
              <w:spacing w:line="440" w:lineRule="exact"/>
              <w:jc w:val="center"/>
              <w:rPr>
                <w:rFonts w:hAnsi="標楷體"/>
                <w:b/>
                <w:color w:val="000000" w:themeColor="text1"/>
                <w:sz w:val="28"/>
                <w:szCs w:val="28"/>
              </w:rPr>
            </w:pPr>
            <w:r w:rsidRPr="00D41D30">
              <w:rPr>
                <w:rFonts w:hAnsi="標楷體"/>
                <w:b/>
                <w:color w:val="000000" w:themeColor="text1"/>
                <w:sz w:val="28"/>
                <w:szCs w:val="28"/>
              </w:rPr>
              <w:t>105</w:t>
            </w:r>
          </w:p>
        </w:tc>
        <w:tc>
          <w:tcPr>
            <w:tcW w:w="1275" w:type="dxa"/>
            <w:shd w:val="clear" w:color="auto" w:fill="auto"/>
            <w:vAlign w:val="center"/>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339</w:t>
            </w:r>
          </w:p>
        </w:tc>
        <w:tc>
          <w:tcPr>
            <w:tcW w:w="1418" w:type="dxa"/>
            <w:shd w:val="clear" w:color="auto" w:fill="auto"/>
            <w:vAlign w:val="center"/>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336</w:t>
            </w:r>
          </w:p>
        </w:tc>
        <w:tc>
          <w:tcPr>
            <w:tcW w:w="4532" w:type="dxa"/>
            <w:shd w:val="clear" w:color="auto" w:fill="auto"/>
          </w:tcPr>
          <w:p w:rsidR="00D7741A" w:rsidRPr="00D41D30" w:rsidRDefault="00D7741A" w:rsidP="006C4734">
            <w:pPr>
              <w:spacing w:line="440" w:lineRule="exact"/>
              <w:rPr>
                <w:rFonts w:hAnsi="標楷體"/>
                <w:bCs/>
                <w:color w:val="000000" w:themeColor="text1"/>
                <w:sz w:val="28"/>
                <w:szCs w:val="28"/>
              </w:rPr>
            </w:pPr>
            <w:r w:rsidRPr="00D41D30">
              <w:rPr>
                <w:rFonts w:hAnsi="標楷體"/>
                <w:bCs/>
                <w:color w:val="000000" w:themeColor="text1"/>
                <w:sz w:val="28"/>
                <w:szCs w:val="28"/>
              </w:rPr>
              <w:t>1,528</w:t>
            </w:r>
          </w:p>
        </w:tc>
      </w:tr>
      <w:tr w:rsidR="00D7741A" w:rsidRPr="00D41D30" w:rsidTr="00EF1548">
        <w:tc>
          <w:tcPr>
            <w:tcW w:w="1134" w:type="dxa"/>
            <w:shd w:val="clear" w:color="auto" w:fill="auto"/>
            <w:vAlign w:val="center"/>
          </w:tcPr>
          <w:p w:rsidR="00D7741A" w:rsidRPr="00D41D30" w:rsidRDefault="00D7741A" w:rsidP="00EF1548">
            <w:pPr>
              <w:spacing w:line="440" w:lineRule="exact"/>
              <w:jc w:val="center"/>
              <w:rPr>
                <w:rFonts w:hAnsi="標楷體"/>
                <w:b/>
                <w:color w:val="000000" w:themeColor="text1"/>
                <w:sz w:val="28"/>
                <w:szCs w:val="28"/>
              </w:rPr>
            </w:pPr>
            <w:r w:rsidRPr="00D41D30">
              <w:rPr>
                <w:rFonts w:hAnsi="標楷體"/>
                <w:b/>
                <w:color w:val="000000" w:themeColor="text1"/>
                <w:sz w:val="28"/>
                <w:szCs w:val="28"/>
              </w:rPr>
              <w:t>106</w:t>
            </w:r>
          </w:p>
        </w:tc>
        <w:tc>
          <w:tcPr>
            <w:tcW w:w="1275" w:type="dxa"/>
            <w:shd w:val="clear" w:color="auto" w:fill="auto"/>
            <w:vAlign w:val="center"/>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362</w:t>
            </w:r>
          </w:p>
        </w:tc>
        <w:tc>
          <w:tcPr>
            <w:tcW w:w="1418" w:type="dxa"/>
            <w:shd w:val="clear" w:color="auto" w:fill="auto"/>
            <w:vAlign w:val="center"/>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357</w:t>
            </w:r>
          </w:p>
        </w:tc>
        <w:tc>
          <w:tcPr>
            <w:tcW w:w="4532" w:type="dxa"/>
            <w:shd w:val="clear" w:color="auto" w:fill="auto"/>
          </w:tcPr>
          <w:p w:rsidR="00D7741A" w:rsidRPr="00D41D30" w:rsidRDefault="00D7741A" w:rsidP="006C4734">
            <w:pPr>
              <w:spacing w:line="440" w:lineRule="exact"/>
              <w:rPr>
                <w:rFonts w:hAnsi="標楷體"/>
                <w:bCs/>
                <w:color w:val="000000" w:themeColor="text1"/>
                <w:sz w:val="28"/>
                <w:szCs w:val="28"/>
              </w:rPr>
            </w:pPr>
            <w:r w:rsidRPr="00D41D30">
              <w:rPr>
                <w:rFonts w:hAnsi="標楷體"/>
                <w:bCs/>
                <w:color w:val="000000" w:themeColor="text1"/>
                <w:sz w:val="28"/>
                <w:szCs w:val="28"/>
              </w:rPr>
              <w:t>1,112</w:t>
            </w:r>
          </w:p>
        </w:tc>
      </w:tr>
      <w:tr w:rsidR="00D7741A" w:rsidRPr="00D41D30" w:rsidTr="00EF1548">
        <w:tc>
          <w:tcPr>
            <w:tcW w:w="1134" w:type="dxa"/>
            <w:shd w:val="clear" w:color="auto" w:fill="auto"/>
            <w:vAlign w:val="center"/>
          </w:tcPr>
          <w:p w:rsidR="00D7741A" w:rsidRPr="00D41D30" w:rsidRDefault="00D7741A" w:rsidP="00EF1548">
            <w:pPr>
              <w:spacing w:line="440" w:lineRule="exact"/>
              <w:jc w:val="center"/>
              <w:rPr>
                <w:rFonts w:hAnsi="標楷體"/>
                <w:b/>
                <w:color w:val="000000" w:themeColor="text1"/>
                <w:sz w:val="28"/>
                <w:szCs w:val="28"/>
              </w:rPr>
            </w:pPr>
            <w:r w:rsidRPr="00D41D30">
              <w:rPr>
                <w:rFonts w:hAnsi="標楷體"/>
                <w:b/>
                <w:color w:val="000000" w:themeColor="text1"/>
                <w:sz w:val="28"/>
                <w:szCs w:val="28"/>
              </w:rPr>
              <w:t>107</w:t>
            </w:r>
          </w:p>
        </w:tc>
        <w:tc>
          <w:tcPr>
            <w:tcW w:w="1275" w:type="dxa"/>
            <w:shd w:val="clear" w:color="auto" w:fill="auto"/>
            <w:vAlign w:val="center"/>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368</w:t>
            </w:r>
          </w:p>
        </w:tc>
        <w:tc>
          <w:tcPr>
            <w:tcW w:w="1418" w:type="dxa"/>
            <w:shd w:val="clear" w:color="auto" w:fill="auto"/>
            <w:vAlign w:val="center"/>
          </w:tcPr>
          <w:p w:rsidR="00D7741A" w:rsidRPr="00D41D30" w:rsidRDefault="00D7741A"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360</w:t>
            </w:r>
          </w:p>
        </w:tc>
        <w:tc>
          <w:tcPr>
            <w:tcW w:w="4532" w:type="dxa"/>
            <w:shd w:val="clear" w:color="auto" w:fill="auto"/>
          </w:tcPr>
          <w:p w:rsidR="00D7741A" w:rsidRPr="00D41D30" w:rsidRDefault="00D7741A" w:rsidP="006C4734">
            <w:pPr>
              <w:spacing w:line="440" w:lineRule="exact"/>
              <w:rPr>
                <w:rFonts w:hAnsi="標楷體"/>
                <w:bCs/>
                <w:color w:val="000000" w:themeColor="text1"/>
                <w:sz w:val="28"/>
                <w:szCs w:val="28"/>
              </w:rPr>
            </w:pPr>
            <w:r w:rsidRPr="00D41D30">
              <w:rPr>
                <w:rFonts w:hAnsi="標楷體"/>
                <w:bCs/>
                <w:color w:val="000000" w:themeColor="text1"/>
                <w:sz w:val="28"/>
                <w:szCs w:val="28"/>
              </w:rPr>
              <w:t>1,</w:t>
            </w:r>
            <w:r w:rsidRPr="00D41D30">
              <w:rPr>
                <w:rFonts w:hAnsi="標楷體" w:hint="eastAsia"/>
                <w:bCs/>
                <w:color w:val="000000" w:themeColor="text1"/>
                <w:sz w:val="28"/>
                <w:szCs w:val="28"/>
              </w:rPr>
              <w:t>314</w:t>
            </w:r>
          </w:p>
        </w:tc>
      </w:tr>
      <w:tr w:rsidR="0063505D" w:rsidRPr="00D41D30" w:rsidTr="00EF1548">
        <w:tc>
          <w:tcPr>
            <w:tcW w:w="1134" w:type="dxa"/>
            <w:shd w:val="clear" w:color="auto" w:fill="auto"/>
            <w:vAlign w:val="center"/>
          </w:tcPr>
          <w:p w:rsidR="0063505D" w:rsidRPr="00D41D30" w:rsidRDefault="0063505D" w:rsidP="00EF1548">
            <w:pPr>
              <w:spacing w:line="440" w:lineRule="exact"/>
              <w:jc w:val="center"/>
              <w:rPr>
                <w:rFonts w:hAnsi="標楷體"/>
                <w:b/>
                <w:color w:val="000000" w:themeColor="text1"/>
                <w:sz w:val="28"/>
                <w:szCs w:val="28"/>
              </w:rPr>
            </w:pPr>
            <w:r w:rsidRPr="00D41D30">
              <w:rPr>
                <w:rFonts w:hAnsi="標楷體"/>
                <w:b/>
                <w:color w:val="000000" w:themeColor="text1"/>
                <w:sz w:val="28"/>
                <w:szCs w:val="28"/>
              </w:rPr>
              <w:t>108</w:t>
            </w:r>
          </w:p>
        </w:tc>
        <w:tc>
          <w:tcPr>
            <w:tcW w:w="1275" w:type="dxa"/>
            <w:shd w:val="clear" w:color="auto" w:fill="auto"/>
            <w:vAlign w:val="center"/>
          </w:tcPr>
          <w:p w:rsidR="0063505D" w:rsidRPr="00D41D30" w:rsidRDefault="0063505D"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366</w:t>
            </w:r>
          </w:p>
        </w:tc>
        <w:tc>
          <w:tcPr>
            <w:tcW w:w="1418" w:type="dxa"/>
            <w:shd w:val="clear" w:color="auto" w:fill="auto"/>
            <w:vAlign w:val="center"/>
          </w:tcPr>
          <w:p w:rsidR="0063505D" w:rsidRPr="00D41D30" w:rsidRDefault="0063505D" w:rsidP="00EF1548">
            <w:pPr>
              <w:spacing w:line="440" w:lineRule="exact"/>
              <w:jc w:val="center"/>
              <w:rPr>
                <w:rFonts w:hAnsi="標楷體"/>
                <w:color w:val="000000" w:themeColor="text1"/>
                <w:sz w:val="28"/>
                <w:szCs w:val="28"/>
              </w:rPr>
            </w:pPr>
            <w:r w:rsidRPr="00D41D30">
              <w:rPr>
                <w:rFonts w:hAnsi="標楷體"/>
                <w:color w:val="000000" w:themeColor="text1"/>
                <w:sz w:val="28"/>
                <w:szCs w:val="28"/>
              </w:rPr>
              <w:t>358</w:t>
            </w:r>
          </w:p>
        </w:tc>
        <w:tc>
          <w:tcPr>
            <w:tcW w:w="4532" w:type="dxa"/>
            <w:shd w:val="clear" w:color="auto" w:fill="auto"/>
          </w:tcPr>
          <w:p w:rsidR="0063505D" w:rsidRPr="00D41D30" w:rsidRDefault="0063505D" w:rsidP="0063505D">
            <w:pPr>
              <w:spacing w:line="440" w:lineRule="exact"/>
              <w:rPr>
                <w:rFonts w:hAnsi="標楷體"/>
                <w:bCs/>
                <w:color w:val="000000" w:themeColor="text1"/>
                <w:sz w:val="28"/>
                <w:szCs w:val="28"/>
              </w:rPr>
            </w:pPr>
            <w:r w:rsidRPr="00D41D30">
              <w:rPr>
                <w:rFonts w:hAnsi="標楷體"/>
                <w:bCs/>
                <w:color w:val="000000" w:themeColor="text1"/>
                <w:sz w:val="28"/>
                <w:szCs w:val="28"/>
              </w:rPr>
              <w:t>1,6</w:t>
            </w:r>
            <w:r w:rsidRPr="00D41D30">
              <w:rPr>
                <w:rFonts w:hAnsi="標楷體" w:hint="eastAsia"/>
                <w:bCs/>
                <w:color w:val="000000" w:themeColor="text1"/>
                <w:sz w:val="28"/>
                <w:szCs w:val="28"/>
              </w:rPr>
              <w:t>70</w:t>
            </w:r>
          </w:p>
        </w:tc>
      </w:tr>
    </w:tbl>
    <w:p w:rsidR="00D7741A" w:rsidRPr="00D41D30" w:rsidRDefault="00D7741A" w:rsidP="00321794">
      <w:pPr>
        <w:rPr>
          <w:color w:val="000000" w:themeColor="text1"/>
        </w:rPr>
      </w:pPr>
      <w:r w:rsidRPr="00D41D30">
        <w:rPr>
          <w:rFonts w:hint="eastAsia"/>
          <w:color w:val="000000" w:themeColor="text1"/>
        </w:rPr>
        <w:t xml:space="preserve">  </w:t>
      </w:r>
      <w:r w:rsidRPr="00D41D30">
        <w:rPr>
          <w:rFonts w:hint="eastAsia"/>
          <w:color w:val="000000" w:themeColor="text1"/>
          <w:sz w:val="24"/>
          <w:szCs w:val="24"/>
        </w:rPr>
        <w:t>資料來源：教育部提供</w:t>
      </w:r>
    </w:p>
    <w:p w:rsidR="00D7741A" w:rsidRPr="00D41D30" w:rsidRDefault="00D7741A" w:rsidP="00E72D98">
      <w:pPr>
        <w:pStyle w:val="5"/>
        <w:spacing w:beforeLines="50" w:before="228"/>
        <w:ind w:hanging="851"/>
        <w:rPr>
          <w:color w:val="000000" w:themeColor="text1"/>
        </w:rPr>
      </w:pPr>
      <w:r w:rsidRPr="00D41D30">
        <w:rPr>
          <w:rFonts w:hint="eastAsia"/>
          <w:color w:val="000000" w:themeColor="text1"/>
        </w:rPr>
        <w:t>推動創新方案</w:t>
      </w:r>
    </w:p>
    <w:p w:rsidR="00D7741A" w:rsidRPr="00D41D30" w:rsidRDefault="00D7741A" w:rsidP="00E55784">
      <w:pPr>
        <w:pStyle w:val="52"/>
        <w:ind w:leftChars="667" w:left="2269" w:firstLine="680"/>
        <w:rPr>
          <w:color w:val="000000" w:themeColor="text1"/>
        </w:rPr>
      </w:pPr>
      <w:r w:rsidRPr="00D41D30">
        <w:rPr>
          <w:rFonts w:hint="eastAsia"/>
          <w:color w:val="000000" w:themeColor="text1"/>
        </w:rPr>
        <w:lastRenderedPageBreak/>
        <w:t>樂齡中心除推動在地的活動，更配合政府創新規劃，推動及實驗創新議題，例如104年配合推動社會企業方案，由教育部推薦4所中心配合實施，推動主題如下：青銀共創微型產業</w:t>
      </w:r>
      <w:r w:rsidR="00B562C7" w:rsidRPr="00D41D30">
        <w:rPr>
          <w:rFonts w:hint="eastAsia"/>
          <w:color w:val="000000" w:themeColor="text1"/>
        </w:rPr>
        <w:t>（</w:t>
      </w:r>
      <w:r w:rsidRPr="00D41D30">
        <w:rPr>
          <w:rFonts w:hint="eastAsia"/>
          <w:color w:val="000000" w:themeColor="text1"/>
        </w:rPr>
        <w:t>花蓮縣壽豐鄉</w:t>
      </w:r>
      <w:r w:rsidR="006B5136" w:rsidRPr="00D41D30">
        <w:rPr>
          <w:rFonts w:hint="eastAsia"/>
          <w:color w:val="000000" w:themeColor="text1"/>
        </w:rPr>
        <w:t>）</w:t>
      </w:r>
      <w:r w:rsidRPr="00D41D30">
        <w:rPr>
          <w:rFonts w:hint="eastAsia"/>
          <w:color w:val="000000" w:themeColor="text1"/>
        </w:rPr>
        <w:t>、傳統食品再創生機</w:t>
      </w:r>
      <w:r w:rsidR="00B562C7" w:rsidRPr="00D41D30">
        <w:rPr>
          <w:rFonts w:hint="eastAsia"/>
          <w:color w:val="000000" w:themeColor="text1"/>
        </w:rPr>
        <w:t>（</w:t>
      </w:r>
      <w:r w:rsidRPr="00D41D30">
        <w:rPr>
          <w:rFonts w:hint="eastAsia"/>
          <w:color w:val="000000" w:themeColor="text1"/>
        </w:rPr>
        <w:t>臺東縣池上鄉</w:t>
      </w:r>
      <w:r w:rsidR="006B5136" w:rsidRPr="00D41D30">
        <w:rPr>
          <w:rFonts w:hint="eastAsia"/>
          <w:color w:val="000000" w:themeColor="text1"/>
        </w:rPr>
        <w:t>）</w:t>
      </w:r>
      <w:r w:rsidRPr="00D41D30">
        <w:rPr>
          <w:rFonts w:hint="eastAsia"/>
          <w:color w:val="000000" w:themeColor="text1"/>
        </w:rPr>
        <w:t>、樂作品牌翻轉晚年</w:t>
      </w:r>
      <w:r w:rsidR="00B562C7" w:rsidRPr="00D41D30">
        <w:rPr>
          <w:rFonts w:hint="eastAsia"/>
          <w:color w:val="000000" w:themeColor="text1"/>
        </w:rPr>
        <w:t>（</w:t>
      </w:r>
      <w:r w:rsidRPr="00D41D30">
        <w:rPr>
          <w:rFonts w:hint="eastAsia"/>
          <w:color w:val="000000" w:themeColor="text1"/>
        </w:rPr>
        <w:t>屏東縣示範中心</w:t>
      </w:r>
      <w:r w:rsidR="006B5136" w:rsidRPr="00D41D30">
        <w:rPr>
          <w:rFonts w:hint="eastAsia"/>
          <w:color w:val="000000" w:themeColor="text1"/>
        </w:rPr>
        <w:t>）</w:t>
      </w:r>
      <w:r w:rsidRPr="00D41D30">
        <w:rPr>
          <w:rFonts w:hint="eastAsia"/>
          <w:color w:val="000000" w:themeColor="text1"/>
        </w:rPr>
        <w:t>、青銀共創世代共融</w:t>
      </w:r>
      <w:r w:rsidR="00B562C7" w:rsidRPr="00D41D30">
        <w:rPr>
          <w:rFonts w:hint="eastAsia"/>
          <w:color w:val="000000" w:themeColor="text1"/>
        </w:rPr>
        <w:t>（</w:t>
      </w:r>
      <w:r w:rsidRPr="00D41D30">
        <w:rPr>
          <w:rFonts w:hint="eastAsia"/>
          <w:color w:val="000000" w:themeColor="text1"/>
        </w:rPr>
        <w:t>嘉義縣示範中心</w:t>
      </w:r>
      <w:r w:rsidR="006B5136" w:rsidRPr="00D41D30">
        <w:rPr>
          <w:rFonts w:hint="eastAsia"/>
          <w:color w:val="000000" w:themeColor="text1"/>
        </w:rPr>
        <w:t>）</w:t>
      </w:r>
      <w:r w:rsidRPr="00D41D30">
        <w:rPr>
          <w:rFonts w:hint="eastAsia"/>
          <w:color w:val="000000" w:themeColor="text1"/>
        </w:rPr>
        <w:t>為主題，提高樂齡中心運作的能量，其中，</w:t>
      </w:r>
      <w:r w:rsidRPr="00D41D30">
        <w:rPr>
          <w:color w:val="000000" w:themeColor="text1"/>
        </w:rPr>
        <w:t>屏東縣樂齡學習</w:t>
      </w:r>
      <w:r w:rsidRPr="00D41D30">
        <w:rPr>
          <w:rFonts w:hint="eastAsia"/>
          <w:color w:val="000000" w:themeColor="text1"/>
        </w:rPr>
        <w:t>示範</w:t>
      </w:r>
      <w:r w:rsidRPr="00D41D30">
        <w:rPr>
          <w:color w:val="000000" w:themeColor="text1"/>
        </w:rPr>
        <w:t>中心，</w:t>
      </w:r>
      <w:r w:rsidRPr="00D41D30">
        <w:rPr>
          <w:rFonts w:hint="eastAsia"/>
          <w:color w:val="000000" w:themeColor="text1"/>
        </w:rPr>
        <w:t>融合</w:t>
      </w:r>
      <w:r w:rsidRPr="00D41D30">
        <w:rPr>
          <w:color w:val="000000" w:themeColor="text1"/>
        </w:rPr>
        <w:t>「樂齡學習」、「技藝傳承」、「新創產品」三</w:t>
      </w:r>
      <w:r w:rsidRPr="00D41D30">
        <w:rPr>
          <w:rFonts w:hint="eastAsia"/>
          <w:color w:val="000000" w:themeColor="text1"/>
        </w:rPr>
        <w:t>種元素</w:t>
      </w:r>
      <w:r w:rsidRPr="00D41D30">
        <w:rPr>
          <w:color w:val="000000" w:themeColor="text1"/>
        </w:rPr>
        <w:t>，以</w:t>
      </w:r>
      <w:r w:rsidRPr="00D41D30">
        <w:rPr>
          <w:rFonts w:hint="eastAsia"/>
          <w:color w:val="000000" w:themeColor="text1"/>
        </w:rPr>
        <w:t>教育</w:t>
      </w:r>
      <w:r w:rsidRPr="00D41D30">
        <w:rPr>
          <w:color w:val="000000" w:themeColor="text1"/>
        </w:rPr>
        <w:t>學習的</w:t>
      </w:r>
      <w:r w:rsidRPr="00D41D30">
        <w:rPr>
          <w:rFonts w:hint="eastAsia"/>
          <w:color w:val="000000" w:themeColor="text1"/>
        </w:rPr>
        <w:t>模式</w:t>
      </w:r>
      <w:r w:rsidRPr="00D41D30">
        <w:rPr>
          <w:color w:val="000000" w:themeColor="text1"/>
        </w:rPr>
        <w:t>，</w:t>
      </w:r>
      <w:r w:rsidRPr="00D41D30">
        <w:rPr>
          <w:rFonts w:hint="eastAsia"/>
          <w:color w:val="000000" w:themeColor="text1"/>
        </w:rPr>
        <w:t>結合</w:t>
      </w:r>
      <w:r w:rsidRPr="00D41D30">
        <w:rPr>
          <w:color w:val="000000" w:themeColor="text1"/>
        </w:rPr>
        <w:t>創新</w:t>
      </w:r>
      <w:r w:rsidRPr="00D41D30">
        <w:rPr>
          <w:rFonts w:hint="eastAsia"/>
          <w:color w:val="000000" w:themeColor="text1"/>
        </w:rPr>
        <w:t>發展，</w:t>
      </w:r>
      <w:r w:rsidRPr="00D41D30">
        <w:rPr>
          <w:color w:val="000000" w:themeColor="text1"/>
        </w:rPr>
        <w:t>同時兼具</w:t>
      </w:r>
      <w:r w:rsidRPr="00D41D30">
        <w:rPr>
          <w:rFonts w:hint="eastAsia"/>
          <w:color w:val="000000" w:themeColor="text1"/>
        </w:rPr>
        <w:t>促進經濟及</w:t>
      </w:r>
      <w:r w:rsidRPr="00D41D30">
        <w:rPr>
          <w:color w:val="000000" w:themeColor="text1"/>
        </w:rPr>
        <w:t>社區發展</w:t>
      </w:r>
      <w:r w:rsidRPr="00D41D30">
        <w:rPr>
          <w:rFonts w:hint="eastAsia"/>
          <w:color w:val="000000" w:themeColor="text1"/>
        </w:rPr>
        <w:t>的</w:t>
      </w:r>
      <w:r w:rsidRPr="00D41D30">
        <w:rPr>
          <w:color w:val="000000" w:themeColor="text1"/>
        </w:rPr>
        <w:t>社會企業特色，</w:t>
      </w:r>
      <w:r w:rsidRPr="00D41D30">
        <w:rPr>
          <w:rFonts w:hint="eastAsia"/>
          <w:color w:val="000000" w:themeColor="text1"/>
        </w:rPr>
        <w:t>產出「</w:t>
      </w:r>
      <w:r w:rsidRPr="00D41D30">
        <w:rPr>
          <w:color w:val="000000" w:themeColor="text1"/>
        </w:rPr>
        <w:t>樂作</w:t>
      </w:r>
      <w:r w:rsidRPr="00D41D30">
        <w:rPr>
          <w:rFonts w:hint="eastAsia"/>
          <w:color w:val="000000" w:themeColor="text1"/>
        </w:rPr>
        <w:t>」品牌（樂齡製作、無樂不作、共學樂作</w:t>
      </w:r>
      <w:r w:rsidRPr="00D41D30">
        <w:rPr>
          <w:color w:val="000000" w:themeColor="text1"/>
        </w:rPr>
        <w:t>）</w:t>
      </w:r>
      <w:r w:rsidRPr="00D41D30">
        <w:rPr>
          <w:rFonts w:hint="eastAsia"/>
          <w:color w:val="000000" w:themeColor="text1"/>
        </w:rPr>
        <w:t>，邀請具有創意的年輕人與樂齡族的產品，共創火花，將樂齡學習具有傳統價值的作品，包裝為兼具藝術與實用的產品，目前已成為中心的特色。</w:t>
      </w:r>
    </w:p>
    <w:p w:rsidR="00D7741A" w:rsidRPr="00D41D30" w:rsidRDefault="00D7741A" w:rsidP="000153C6">
      <w:pPr>
        <w:pStyle w:val="5"/>
        <w:rPr>
          <w:color w:val="000000" w:themeColor="text1"/>
        </w:rPr>
      </w:pPr>
      <w:r w:rsidRPr="00D41D30">
        <w:rPr>
          <w:rFonts w:hint="eastAsia"/>
          <w:color w:val="000000" w:themeColor="text1"/>
        </w:rPr>
        <w:t>研編樂齡學習故事</w:t>
      </w:r>
    </w:p>
    <w:p w:rsidR="00D7741A" w:rsidRPr="00D41D30" w:rsidRDefault="00D7741A" w:rsidP="00E55784">
      <w:pPr>
        <w:pStyle w:val="52"/>
        <w:ind w:leftChars="667" w:left="2269" w:firstLine="680"/>
        <w:rPr>
          <w:color w:val="000000" w:themeColor="text1"/>
        </w:rPr>
      </w:pPr>
      <w:r w:rsidRPr="00D41D30">
        <w:rPr>
          <w:rFonts w:hint="eastAsia"/>
          <w:color w:val="000000" w:themeColor="text1"/>
        </w:rPr>
        <w:t>該部以「教育」及「學習」的預防措施，</w:t>
      </w:r>
      <w:r w:rsidR="00175231" w:rsidRPr="00D41D30">
        <w:rPr>
          <w:rFonts w:hint="eastAsia"/>
          <w:color w:val="000000" w:themeColor="text1"/>
        </w:rPr>
        <w:t xml:space="preserve"> </w:t>
      </w:r>
      <w:r w:rsidRPr="00D41D30">
        <w:rPr>
          <w:rFonts w:hint="eastAsia"/>
          <w:color w:val="000000" w:themeColor="text1"/>
        </w:rPr>
        <w:t xml:space="preserve">提供多元及適性的學習活動，讓臺灣健康長者晚年生活更健康，延長第三年齡，減少照護經費。全國樂齡中心在執行的過程中，每每有許多長者感人的學習心路歷程及服務學習故事值得記錄。該部委託專業團隊將樂齡中心長者的學習、貢獻服務及推手的心路歷程等集結成冊，於102年出版「樂齡學習 </w:t>
      </w:r>
      <w:r w:rsidRPr="00D41D30">
        <w:rPr>
          <w:color w:val="000000" w:themeColor="text1"/>
        </w:rPr>
        <w:t>ING</w:t>
      </w:r>
      <w:r w:rsidRPr="00D41D30">
        <w:rPr>
          <w:rFonts w:hint="eastAsia"/>
          <w:color w:val="000000" w:themeColor="text1"/>
        </w:rPr>
        <w:t>」</w:t>
      </w:r>
      <w:r w:rsidRPr="00D41D30">
        <w:rPr>
          <w:color w:val="000000" w:themeColor="text1"/>
        </w:rPr>
        <w:t>（內容包含12所樂齡學習中心學習的故事）</w:t>
      </w:r>
      <w:r w:rsidRPr="00D41D30">
        <w:rPr>
          <w:rFonts w:hint="eastAsia"/>
          <w:color w:val="000000" w:themeColor="text1"/>
        </w:rPr>
        <w:t>、107年出版「樂齡故事徵選集」，藉此鼓勵長者勇於追夢，</w:t>
      </w:r>
      <w:r w:rsidRPr="00D41D30">
        <w:rPr>
          <w:rFonts w:hint="eastAsia"/>
          <w:color w:val="000000" w:themeColor="text1"/>
        </w:rPr>
        <w:lastRenderedPageBreak/>
        <w:t>並放置於「教育部樂齡學習網」，提供民眾閱讀。如雲林縣土庫鎮高齡100歲的「樂齡阿祖」張李清大姐，會到育幼院跳花鼓、到雲林監獄表演，活力無限，激勵受刑人；而張弘主任將自己的舊宅改為樂齡活力館，專門推動樂齡學習課程。</w:t>
      </w:r>
    </w:p>
    <w:p w:rsidR="00D7741A" w:rsidRPr="00D41D30" w:rsidRDefault="00D7741A" w:rsidP="00654ACC">
      <w:pPr>
        <w:pStyle w:val="5"/>
        <w:rPr>
          <w:color w:val="000000" w:themeColor="text1"/>
        </w:rPr>
      </w:pPr>
      <w:r w:rsidRPr="00D41D30">
        <w:rPr>
          <w:rFonts w:hint="eastAsia"/>
          <w:color w:val="000000" w:themeColor="text1"/>
        </w:rPr>
        <w:t>建置網站系統</w:t>
      </w:r>
    </w:p>
    <w:p w:rsidR="00D7741A" w:rsidRPr="00D41D30" w:rsidRDefault="00D7741A" w:rsidP="00E55784">
      <w:pPr>
        <w:pStyle w:val="52"/>
        <w:ind w:leftChars="667" w:left="2269" w:firstLine="680"/>
        <w:rPr>
          <w:color w:val="000000" w:themeColor="text1"/>
        </w:rPr>
      </w:pPr>
      <w:r w:rsidRPr="00D41D30">
        <w:rPr>
          <w:rFonts w:hint="eastAsia"/>
          <w:color w:val="000000" w:themeColor="text1"/>
        </w:rPr>
        <w:t>為使民眾能迅速獲得最新樂齡學習資訊、研習課程活動訊息、並可便利各縣市民眾隨時查詢所在縣市樂齡學習中心每月學習活動資訊等，教育部委託建置「教育部樂齡學習網」及22縣市樂齡學習網之獨立網站。該網站係採取「母子網站連動系統」，以該部網站為「母網站」，各縣市為「子網站」，該部於母網站所發布之最新消息，可同步於各縣市政府子網站首頁專區揭露，各縣市政府於子網站發布之最新消息，亦可於該部母網站首頁專區同步公布，俾利訊息即時傳遞，另開發樂齡學習資料庫平臺，督促全國樂齡中心每月上傳成果資料，並據此檢視辦理成效。</w:t>
      </w:r>
    </w:p>
    <w:p w:rsidR="00D7741A" w:rsidRPr="00D41D30" w:rsidRDefault="00D7741A" w:rsidP="003A60D1">
      <w:pPr>
        <w:pStyle w:val="4"/>
        <w:rPr>
          <w:color w:val="000000" w:themeColor="text1"/>
        </w:rPr>
      </w:pPr>
      <w:r w:rsidRPr="00D41D30">
        <w:rPr>
          <w:rFonts w:hint="eastAsia"/>
          <w:color w:val="000000" w:themeColor="text1"/>
        </w:rPr>
        <w:t>獲得服務品質獎肯定</w:t>
      </w:r>
    </w:p>
    <w:p w:rsidR="00D7741A" w:rsidRPr="00D41D30" w:rsidRDefault="00D7741A" w:rsidP="003A60D1">
      <w:pPr>
        <w:pStyle w:val="5"/>
        <w:rPr>
          <w:color w:val="000000" w:themeColor="text1"/>
        </w:rPr>
      </w:pPr>
      <w:r w:rsidRPr="00D41D30">
        <w:rPr>
          <w:rFonts w:hint="eastAsia"/>
          <w:color w:val="000000" w:themeColor="text1"/>
        </w:rPr>
        <w:t>教育部為能確實瞭解樂齡學習計畫之實施成效，每年皆召開相關會議，聽取承辦單位相關建議，滾動式修正相關計畫。</w:t>
      </w:r>
    </w:p>
    <w:p w:rsidR="00D7741A" w:rsidRPr="00D41D30" w:rsidRDefault="00D7741A" w:rsidP="003A60D1">
      <w:pPr>
        <w:pStyle w:val="5"/>
        <w:rPr>
          <w:color w:val="000000" w:themeColor="text1"/>
        </w:rPr>
      </w:pPr>
      <w:r w:rsidRPr="00D41D30">
        <w:rPr>
          <w:color w:val="000000" w:themeColor="text1"/>
        </w:rPr>
        <w:t>104-105</w:t>
      </w:r>
      <w:r w:rsidRPr="00D41D30">
        <w:rPr>
          <w:rFonts w:hint="eastAsia"/>
          <w:color w:val="000000" w:themeColor="text1"/>
        </w:rPr>
        <w:t>年度教育部委託進行調查，在五點量表中，學員對於中心整體滿意度平均數為</w:t>
      </w:r>
      <w:r w:rsidRPr="00D41D30">
        <w:rPr>
          <w:color w:val="000000" w:themeColor="text1"/>
        </w:rPr>
        <w:t>4.30</w:t>
      </w:r>
      <w:r w:rsidRPr="00D41D30">
        <w:rPr>
          <w:rFonts w:hint="eastAsia"/>
          <w:color w:val="000000" w:themeColor="text1"/>
        </w:rPr>
        <w:t>，學員在學習課程整體收穫平均數為</w:t>
      </w:r>
      <w:r w:rsidRPr="00D41D30">
        <w:rPr>
          <w:color w:val="000000" w:themeColor="text1"/>
        </w:rPr>
        <w:t>4.15</w:t>
      </w:r>
      <w:r w:rsidRPr="00D41D30">
        <w:rPr>
          <w:rFonts w:hint="eastAsia"/>
          <w:color w:val="000000" w:themeColor="text1"/>
        </w:rPr>
        <w:t>，甚至有4.20的學員認為在中心學習後，身體更健康，4.27的學員更知道如</w:t>
      </w:r>
      <w:r w:rsidRPr="00D41D30">
        <w:rPr>
          <w:rFonts w:hint="eastAsia"/>
          <w:color w:val="000000" w:themeColor="text1"/>
        </w:rPr>
        <w:lastRenderedPageBreak/>
        <w:t>何與人相處，由此可知，學員參與樂齡學習之後，可以增進與家人的溝通、互動，進而與家人關係更和諧。另該部責成樂齡中心所推動之村里拓點，高達</w:t>
      </w:r>
      <w:r w:rsidRPr="00D41D30">
        <w:rPr>
          <w:color w:val="000000" w:themeColor="text1"/>
        </w:rPr>
        <w:t>99.4%</w:t>
      </w:r>
      <w:r w:rsidRPr="00D41D30">
        <w:rPr>
          <w:rFonts w:hint="eastAsia"/>
          <w:color w:val="000000" w:themeColor="text1"/>
        </w:rPr>
        <w:t>的社區民眾均建議持續推動，且表示增設拓點可就近參與學習，顯示該部在推動高齡教育方面展現在地學習的重要特質。</w:t>
      </w:r>
    </w:p>
    <w:p w:rsidR="00D7741A" w:rsidRPr="00D41D30" w:rsidRDefault="00D7741A" w:rsidP="00056249">
      <w:pPr>
        <w:pStyle w:val="5"/>
        <w:rPr>
          <w:rFonts w:hAnsi="標楷體"/>
          <w:color w:val="000000" w:themeColor="text1"/>
          <w:sz w:val="28"/>
          <w:szCs w:val="28"/>
        </w:rPr>
      </w:pPr>
      <w:r w:rsidRPr="00D41D30">
        <w:rPr>
          <w:rFonts w:hint="eastAsia"/>
          <w:color w:val="000000" w:themeColor="text1"/>
        </w:rPr>
        <w:t>該部執行樂齡中心計畫，相較於其他正規教育計畫而言，經費非常有限，在高齡人口不斷成長之下，該部實施各項樂齡學習計畫均撙節經費使用，精算各項支出，並鼓勵樂齡學員於學習後成立樂齡學習社團，或擔任社區講師，以「老人服務老人」之概念推動各項樂齡學習理念。103年6月該部以「活躍樂齡、深耕拓點－102年強化樂齡學習中心服務品質計畫」獲得「第六屆行政院政府服務品質獎」的「服務規劃機關」獎項，「政府服務品質獎」是政府機關推動服務品質的最高榮譽。</w:t>
      </w:r>
    </w:p>
    <w:p w:rsidR="00D7741A" w:rsidRPr="00D41D30" w:rsidRDefault="00CB64EB" w:rsidP="00E55784">
      <w:pPr>
        <w:pStyle w:val="2"/>
        <w:spacing w:beforeLines="100" w:before="457"/>
        <w:ind w:left="1020" w:hanging="680"/>
        <w:rPr>
          <w:b/>
          <w:color w:val="000000" w:themeColor="text1"/>
        </w:rPr>
      </w:pPr>
      <w:bookmarkStart w:id="506" w:name="_Toc33011723"/>
      <w:r w:rsidRPr="00D41D30">
        <w:rPr>
          <w:rFonts w:hint="eastAsia"/>
          <w:b/>
          <w:color w:val="000000" w:themeColor="text1"/>
        </w:rPr>
        <w:t>樂齡學習評鑑及訪視機制之運作</w:t>
      </w:r>
      <w:bookmarkEnd w:id="506"/>
    </w:p>
    <w:p w:rsidR="00461A6E" w:rsidRPr="00D41D30" w:rsidRDefault="00461A6E" w:rsidP="00461A6E">
      <w:pPr>
        <w:pStyle w:val="3"/>
        <w:rPr>
          <w:color w:val="000000" w:themeColor="text1"/>
        </w:rPr>
      </w:pPr>
      <w:bookmarkStart w:id="507" w:name="_Toc30512476"/>
      <w:bookmarkStart w:id="508" w:name="_Toc30581184"/>
      <w:bookmarkStart w:id="509" w:name="_Toc32392457"/>
      <w:bookmarkStart w:id="510" w:name="_Toc32673647"/>
      <w:bookmarkStart w:id="511" w:name="_Toc32845789"/>
      <w:bookmarkStart w:id="512" w:name="_Toc32846512"/>
      <w:bookmarkStart w:id="513" w:name="_Toc32913755"/>
      <w:bookmarkStart w:id="514" w:name="_Toc32918431"/>
      <w:bookmarkStart w:id="515" w:name="_Toc33011724"/>
      <w:r w:rsidRPr="00D41D30">
        <w:rPr>
          <w:rFonts w:hint="eastAsia"/>
          <w:color w:val="000000" w:themeColor="text1"/>
        </w:rPr>
        <w:t>樂齡督導</w:t>
      </w:r>
      <w:bookmarkEnd w:id="507"/>
      <w:bookmarkEnd w:id="508"/>
      <w:bookmarkEnd w:id="509"/>
      <w:bookmarkEnd w:id="510"/>
      <w:bookmarkEnd w:id="511"/>
      <w:bookmarkEnd w:id="512"/>
      <w:bookmarkEnd w:id="513"/>
      <w:bookmarkEnd w:id="514"/>
      <w:bookmarkEnd w:id="515"/>
    </w:p>
    <w:p w:rsidR="00D7741A" w:rsidRPr="00D41D30" w:rsidRDefault="00D7741A" w:rsidP="00735773">
      <w:pPr>
        <w:pStyle w:val="32"/>
        <w:ind w:left="1361" w:firstLine="680"/>
        <w:rPr>
          <w:color w:val="000000" w:themeColor="text1"/>
        </w:rPr>
      </w:pPr>
      <w:r w:rsidRPr="00D41D30">
        <w:rPr>
          <w:rFonts w:hint="eastAsia"/>
          <w:color w:val="000000" w:themeColor="text1"/>
        </w:rPr>
        <w:t>全國樂齡中心經費約1億3</w:t>
      </w:r>
      <w:r w:rsidRPr="00D41D30">
        <w:rPr>
          <w:color w:val="000000" w:themeColor="text1"/>
        </w:rPr>
        <w:t>,</w:t>
      </w:r>
      <w:r w:rsidRPr="00D41D30">
        <w:rPr>
          <w:rFonts w:hint="eastAsia"/>
          <w:color w:val="000000" w:themeColor="text1"/>
        </w:rPr>
        <w:t>000多萬元</w:t>
      </w:r>
      <w:r w:rsidR="00B562C7" w:rsidRPr="00D41D30">
        <w:rPr>
          <w:rFonts w:hint="eastAsia"/>
          <w:color w:val="000000" w:themeColor="text1"/>
        </w:rPr>
        <w:t>（</w:t>
      </w:r>
      <w:r w:rsidRPr="00D41D30">
        <w:rPr>
          <w:rFonts w:hint="eastAsia"/>
          <w:color w:val="000000" w:themeColor="text1"/>
        </w:rPr>
        <w:t>平均每中心35萬元</w:t>
      </w:r>
      <w:r w:rsidR="006B5136" w:rsidRPr="00D41D30">
        <w:rPr>
          <w:rFonts w:hint="eastAsia"/>
          <w:color w:val="000000" w:themeColor="text1"/>
        </w:rPr>
        <w:t>）</w:t>
      </w:r>
      <w:r w:rsidRPr="00D41D30">
        <w:rPr>
          <w:rFonts w:hint="eastAsia"/>
          <w:color w:val="000000" w:themeColor="text1"/>
        </w:rPr>
        <w:t>，由全國300多個單位共同執行，爰教育部歷年皆委請樂齡學習輔導團訪視中心辦理情形，輔導各樂齡中心掌握樂齡學習經營重點與績效目標，除新辦中心需輔導外，續辦樂齡中心，其抽訪之數量依據當年度各縣市政府公布訪視數量之二分之一為實際抽訪數，併同各縣市政府進行樂齡中心抽訪或集中訪視，並給予中心</w:t>
      </w:r>
      <w:r w:rsidRPr="00D41D30">
        <w:rPr>
          <w:rFonts w:hint="eastAsia"/>
          <w:color w:val="000000" w:themeColor="text1"/>
        </w:rPr>
        <w:lastRenderedPageBreak/>
        <w:t>相關訪視建議。</w:t>
      </w:r>
    </w:p>
    <w:p w:rsidR="00461A6E" w:rsidRPr="00D41D30" w:rsidRDefault="00FD600E" w:rsidP="00461A6E">
      <w:pPr>
        <w:pStyle w:val="3"/>
        <w:rPr>
          <w:color w:val="000000" w:themeColor="text1"/>
        </w:rPr>
      </w:pPr>
      <w:bookmarkStart w:id="516" w:name="_Toc30512477"/>
      <w:bookmarkStart w:id="517" w:name="_Toc30581185"/>
      <w:bookmarkStart w:id="518" w:name="_Toc32392458"/>
      <w:bookmarkStart w:id="519" w:name="_Toc32673648"/>
      <w:bookmarkStart w:id="520" w:name="_Toc32845790"/>
      <w:bookmarkStart w:id="521" w:name="_Toc32846513"/>
      <w:bookmarkStart w:id="522" w:name="_Toc32913756"/>
      <w:bookmarkStart w:id="523" w:name="_Toc32918432"/>
      <w:bookmarkStart w:id="524" w:name="_Toc33011725"/>
      <w:r w:rsidRPr="00D41D30">
        <w:rPr>
          <w:rFonts w:hint="eastAsia"/>
          <w:color w:val="000000" w:themeColor="text1"/>
        </w:rPr>
        <w:t>評鑑及訪視</w:t>
      </w:r>
      <w:r w:rsidR="00CB64EB" w:rsidRPr="00D41D30">
        <w:rPr>
          <w:rFonts w:hint="eastAsia"/>
          <w:color w:val="000000" w:themeColor="text1"/>
        </w:rPr>
        <w:t>實際辦理情形</w:t>
      </w:r>
      <w:bookmarkEnd w:id="516"/>
      <w:bookmarkEnd w:id="517"/>
      <w:bookmarkEnd w:id="518"/>
      <w:bookmarkEnd w:id="519"/>
      <w:bookmarkEnd w:id="520"/>
      <w:bookmarkEnd w:id="521"/>
      <w:bookmarkEnd w:id="522"/>
      <w:bookmarkEnd w:id="523"/>
      <w:bookmarkEnd w:id="524"/>
    </w:p>
    <w:p w:rsidR="00126D96" w:rsidRPr="00D41D30" w:rsidRDefault="00614220" w:rsidP="00126D96">
      <w:pPr>
        <w:pStyle w:val="4"/>
        <w:rPr>
          <w:color w:val="000000" w:themeColor="text1"/>
        </w:rPr>
      </w:pPr>
      <w:r w:rsidRPr="00D41D30">
        <w:rPr>
          <w:rFonts w:hint="eastAsia"/>
          <w:color w:val="000000" w:themeColor="text1"/>
        </w:rPr>
        <w:t>樂齡學習工作計畫</w:t>
      </w:r>
      <w:r w:rsidR="00126D96" w:rsidRPr="00D41D30">
        <w:rPr>
          <w:rFonts w:hint="eastAsia"/>
          <w:color w:val="000000" w:themeColor="text1"/>
        </w:rPr>
        <w:t>補助範圍遍及全國各鄉鎮市區，且偏鄉及原民地區就達</w:t>
      </w:r>
      <w:r w:rsidR="00126D96" w:rsidRPr="00D41D30">
        <w:rPr>
          <w:color w:val="000000" w:themeColor="text1"/>
        </w:rPr>
        <w:t>94</w:t>
      </w:r>
      <w:r w:rsidR="00126D96" w:rsidRPr="00D41D30">
        <w:rPr>
          <w:rFonts w:hint="eastAsia"/>
          <w:color w:val="000000" w:themeColor="text1"/>
        </w:rPr>
        <w:t>所，占全國樂齡中心</w:t>
      </w:r>
      <w:r w:rsidR="00126D96" w:rsidRPr="00D41D30">
        <w:rPr>
          <w:color w:val="000000" w:themeColor="text1"/>
        </w:rPr>
        <w:t>25.68%</w:t>
      </w:r>
      <w:r w:rsidR="00126D96" w:rsidRPr="00D41D30">
        <w:rPr>
          <w:rFonts w:hint="eastAsia"/>
          <w:color w:val="000000" w:themeColor="text1"/>
        </w:rPr>
        <w:t>，為了解全國樂齡中心實際執行情形及中心推動特色，聽取基層建議，並因應審計單位自</w:t>
      </w:r>
      <w:r w:rsidR="00126D96" w:rsidRPr="00D41D30">
        <w:rPr>
          <w:color w:val="000000" w:themeColor="text1"/>
        </w:rPr>
        <w:t>101</w:t>
      </w:r>
      <w:r w:rsidR="00126D96" w:rsidRPr="00D41D30">
        <w:rPr>
          <w:rFonts w:hint="eastAsia"/>
          <w:color w:val="000000" w:themeColor="text1"/>
        </w:rPr>
        <w:t>年關切</w:t>
      </w:r>
      <w:r w:rsidR="006C4562" w:rsidRPr="00D41D30">
        <w:rPr>
          <w:rFonts w:hint="eastAsia"/>
          <w:color w:val="000000" w:themeColor="text1"/>
        </w:rPr>
        <w:t>該部</w:t>
      </w:r>
      <w:r w:rsidR="00126D96" w:rsidRPr="00D41D30">
        <w:rPr>
          <w:rFonts w:hint="eastAsia"/>
          <w:color w:val="000000" w:themeColor="text1"/>
        </w:rPr>
        <w:t>推動高齡教育之經費預算編列及執行成效，與</w:t>
      </w:r>
      <w:r w:rsidR="00126D96" w:rsidRPr="00D41D30">
        <w:rPr>
          <w:color w:val="000000" w:themeColor="text1"/>
        </w:rPr>
        <w:t>300</w:t>
      </w:r>
      <w:r w:rsidR="00126D96" w:rsidRPr="00D41D30">
        <w:rPr>
          <w:rFonts w:hint="eastAsia"/>
          <w:color w:val="000000" w:themeColor="text1"/>
        </w:rPr>
        <w:t>多所中心之管理機制及經費運用情形，爰</w:t>
      </w:r>
      <w:r w:rsidR="006C4562" w:rsidRPr="00D41D30">
        <w:rPr>
          <w:rFonts w:hint="eastAsia"/>
          <w:color w:val="000000" w:themeColor="text1"/>
        </w:rPr>
        <w:t>該部</w:t>
      </w:r>
      <w:r w:rsidR="00126D96" w:rsidRPr="00D41D30">
        <w:rPr>
          <w:rFonts w:hint="eastAsia"/>
          <w:color w:val="000000" w:themeColor="text1"/>
        </w:rPr>
        <w:t>多年來訂有訪視輔導樂齡中心計畫，委由各區輔導團聘請專家學者及實務工作者，協助檢視及輔導樂齡中心發展及運作。</w:t>
      </w:r>
    </w:p>
    <w:p w:rsidR="00126D96" w:rsidRPr="00D41D30" w:rsidRDefault="00126D96" w:rsidP="00126D96">
      <w:pPr>
        <w:pStyle w:val="4"/>
        <w:rPr>
          <w:color w:val="000000" w:themeColor="text1"/>
        </w:rPr>
      </w:pPr>
      <w:r w:rsidRPr="00D41D30">
        <w:rPr>
          <w:rFonts w:hint="eastAsia"/>
          <w:color w:val="000000" w:themeColor="text1"/>
        </w:rPr>
        <w:t>有關當年度訪視數量，除98年全數訪視外，其餘年度採抽訪方式，惟每年數量因涉及新辦、更換組織團隊及訪視方式</w:t>
      </w:r>
      <w:r w:rsidR="00B562C7" w:rsidRPr="00D41D30">
        <w:rPr>
          <w:rFonts w:hint="eastAsia"/>
          <w:color w:val="000000" w:themeColor="text1"/>
        </w:rPr>
        <w:t>（</w:t>
      </w:r>
      <w:r w:rsidRPr="00D41D30">
        <w:rPr>
          <w:rFonts w:hint="eastAsia"/>
          <w:color w:val="000000" w:themeColor="text1"/>
        </w:rPr>
        <w:t>是否採集中訪視</w:t>
      </w:r>
      <w:r w:rsidR="006B5136" w:rsidRPr="00D41D30">
        <w:rPr>
          <w:rFonts w:hint="eastAsia"/>
          <w:color w:val="000000" w:themeColor="text1"/>
        </w:rPr>
        <w:t>）</w:t>
      </w:r>
      <w:r w:rsidRPr="00D41D30">
        <w:rPr>
          <w:rFonts w:hint="eastAsia"/>
          <w:color w:val="000000" w:themeColor="text1"/>
        </w:rPr>
        <w:t>等之條件不同，每區訪視所數有所不同；另每1所中心訪視次數，除新辦</w:t>
      </w:r>
      <w:r w:rsidR="00B562C7" w:rsidRPr="00D41D30">
        <w:rPr>
          <w:rFonts w:hint="eastAsia"/>
          <w:color w:val="000000" w:themeColor="text1"/>
        </w:rPr>
        <w:t>（</w:t>
      </w:r>
      <w:r w:rsidRPr="00D41D30">
        <w:rPr>
          <w:rFonts w:hint="eastAsia"/>
          <w:color w:val="000000" w:themeColor="text1"/>
        </w:rPr>
        <w:t>或更換團隊</w:t>
      </w:r>
      <w:r w:rsidR="006B5136" w:rsidRPr="00D41D30">
        <w:rPr>
          <w:rFonts w:hint="eastAsia"/>
          <w:color w:val="000000" w:themeColor="text1"/>
        </w:rPr>
        <w:t>）</w:t>
      </w:r>
      <w:r w:rsidRPr="00D41D30">
        <w:rPr>
          <w:rFonts w:hint="eastAsia"/>
          <w:color w:val="000000" w:themeColor="text1"/>
        </w:rPr>
        <w:t>之樂齡中心採期初及期中訪視外，其餘中心為期中訪視1次，透過實際訪視，瞭解中心運作狀況，提供各中心經營運作所需之諮詢輔導建議。</w:t>
      </w:r>
    </w:p>
    <w:p w:rsidR="000D74B7" w:rsidRPr="00D41D30" w:rsidRDefault="00126D96" w:rsidP="00126D96">
      <w:pPr>
        <w:pStyle w:val="4"/>
        <w:rPr>
          <w:color w:val="000000" w:themeColor="text1"/>
        </w:rPr>
      </w:pPr>
      <w:r w:rsidRPr="00D41D30">
        <w:rPr>
          <w:rFonts w:hint="eastAsia"/>
          <w:color w:val="000000" w:themeColor="text1"/>
        </w:rPr>
        <w:t>辦理成效方面，</w:t>
      </w:r>
      <w:r w:rsidR="006C4562" w:rsidRPr="00D41D30">
        <w:rPr>
          <w:rFonts w:hint="eastAsia"/>
          <w:color w:val="000000" w:themeColor="text1"/>
        </w:rPr>
        <w:t>該部</w:t>
      </w:r>
      <w:r w:rsidRPr="00D41D30">
        <w:rPr>
          <w:rFonts w:hint="eastAsia"/>
          <w:color w:val="000000" w:themeColor="text1"/>
        </w:rPr>
        <w:t>每年開會檢討訪視機制及項目，委請專業團體輔導各樂齡中心承辦單位學習如何營運及設計不同於長青學苑、老人會唱跳課程之樂齡學習課程，各中心除進行活躍老化之「樂齡核心課程」、配合當地人文歷史及自然特色之「自主規劃」課程，更引導中心學員、志工進行「貢獻服務課程」及講師參與相關培訓，以精進其專業，為國內高齡教育工作推動建立良好典範，具體提供樂齡中心優點及改善建議，並檢核樂齡中心經費執行及設備保</w:t>
      </w:r>
      <w:r w:rsidRPr="00D41D30">
        <w:rPr>
          <w:rFonts w:hint="eastAsia"/>
          <w:color w:val="000000" w:themeColor="text1"/>
        </w:rPr>
        <w:lastRenderedPageBreak/>
        <w:t>管等運用情形，相關訪視次數彙提如下表</w:t>
      </w:r>
      <w:r w:rsidR="00614220" w:rsidRPr="00D41D30">
        <w:rPr>
          <w:rFonts w:hint="eastAsia"/>
          <w:color w:val="000000" w:themeColor="text1"/>
        </w:rPr>
        <w:t>。</w:t>
      </w:r>
    </w:p>
    <w:p w:rsidR="000C6FB8" w:rsidRPr="00D41D30" w:rsidRDefault="004D3B98" w:rsidP="00471512">
      <w:pPr>
        <w:pStyle w:val="a4"/>
        <w:ind w:left="697" w:hanging="697"/>
        <w:rPr>
          <w:b/>
          <w:color w:val="000000" w:themeColor="text1"/>
        </w:rPr>
      </w:pPr>
      <w:r w:rsidRPr="00D41D30">
        <w:rPr>
          <w:rFonts w:hAnsi="Arial" w:hint="eastAsia"/>
          <w:b/>
          <w:bCs w:val="0"/>
          <w:color w:val="000000" w:themeColor="text1"/>
          <w:kern w:val="0"/>
        </w:rPr>
        <w:t>訪視</w:t>
      </w:r>
      <w:r w:rsidRPr="00D41D30">
        <w:rPr>
          <w:rFonts w:hint="eastAsia"/>
          <w:b/>
          <w:color w:val="000000" w:themeColor="text1"/>
        </w:rPr>
        <w:t>情形</w:t>
      </w:r>
      <w:r w:rsidR="0058133A" w:rsidRPr="00D41D30">
        <w:rPr>
          <w:rFonts w:hAnsi="Arial" w:hint="eastAsia"/>
          <w:b/>
          <w:bCs w:val="0"/>
          <w:color w:val="000000" w:themeColor="text1"/>
          <w:kern w:val="0"/>
        </w:rPr>
        <w:t>及結果一覽</w:t>
      </w:r>
      <w:r w:rsidRPr="00D41D30">
        <w:rPr>
          <w:rFonts w:hAnsi="Arial" w:hint="eastAsia"/>
          <w:b/>
          <w:bCs w:val="0"/>
          <w:color w:val="000000" w:themeColor="text1"/>
          <w:kern w:val="0"/>
        </w:rPr>
        <w:t>表</w:t>
      </w:r>
    </w:p>
    <w:tbl>
      <w:tblPr>
        <w:tblW w:w="89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833"/>
        <w:gridCol w:w="4296"/>
      </w:tblGrid>
      <w:tr w:rsidR="00EF5F66" w:rsidRPr="00D41D30" w:rsidTr="002E4F7E">
        <w:trPr>
          <w:trHeight w:val="73"/>
          <w:tblHeader/>
          <w:jc w:val="center"/>
        </w:trPr>
        <w:tc>
          <w:tcPr>
            <w:tcW w:w="851" w:type="dxa"/>
            <w:shd w:val="clear" w:color="auto" w:fill="auto"/>
          </w:tcPr>
          <w:p w:rsidR="00EF5F66" w:rsidRPr="00D41D30" w:rsidRDefault="00EF5F66" w:rsidP="00A66E67">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年度</w:t>
            </w:r>
          </w:p>
        </w:tc>
        <w:tc>
          <w:tcPr>
            <w:tcW w:w="3833" w:type="dxa"/>
            <w:shd w:val="clear" w:color="auto" w:fill="auto"/>
          </w:tcPr>
          <w:p w:rsidR="00EF5F66" w:rsidRPr="00D41D30" w:rsidRDefault="00EF5F66" w:rsidP="00E10DF9">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訪視次數</w:t>
            </w:r>
          </w:p>
        </w:tc>
        <w:tc>
          <w:tcPr>
            <w:tcW w:w="4296" w:type="dxa"/>
          </w:tcPr>
          <w:p w:rsidR="00EF5F66" w:rsidRPr="00D41D30" w:rsidRDefault="00EF5F66" w:rsidP="00E10DF9">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結果</w:t>
            </w:r>
          </w:p>
        </w:tc>
      </w:tr>
      <w:tr w:rsidR="00EF5F66" w:rsidRPr="00D41D30" w:rsidTr="002E4F7E">
        <w:trPr>
          <w:trHeight w:val="192"/>
          <w:jc w:val="center"/>
        </w:trPr>
        <w:tc>
          <w:tcPr>
            <w:tcW w:w="851" w:type="dxa"/>
            <w:shd w:val="clear" w:color="auto" w:fill="auto"/>
            <w:vAlign w:val="center"/>
          </w:tcPr>
          <w:p w:rsidR="00EF5F66" w:rsidRPr="00D41D30" w:rsidRDefault="00EF5F66" w:rsidP="002E4F7E">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98年</w:t>
            </w:r>
          </w:p>
        </w:tc>
        <w:tc>
          <w:tcPr>
            <w:tcW w:w="3833" w:type="dxa"/>
            <w:shd w:val="clear" w:color="auto" w:fill="auto"/>
          </w:tcPr>
          <w:p w:rsidR="00EF5F66" w:rsidRPr="00D41D30" w:rsidRDefault="00EF5F66" w:rsidP="00E10DF9">
            <w:pPr>
              <w:kinsoku w:val="0"/>
              <w:adjustRightInd w:val="0"/>
              <w:snapToGrid w:val="0"/>
              <w:spacing w:line="300" w:lineRule="auto"/>
              <w:outlineLvl w:val="0"/>
              <w:rPr>
                <w:rFonts w:hAnsi="Arial"/>
                <w:bCs/>
                <w:color w:val="000000" w:themeColor="text1"/>
                <w:kern w:val="0"/>
                <w:sz w:val="26"/>
                <w:szCs w:val="26"/>
              </w:rPr>
            </w:pPr>
            <w:r w:rsidRPr="00D41D30">
              <w:rPr>
                <w:rFonts w:hAnsi="Arial" w:hint="eastAsia"/>
                <w:bCs/>
                <w:color w:val="000000" w:themeColor="text1"/>
                <w:kern w:val="0"/>
                <w:sz w:val="26"/>
                <w:szCs w:val="26"/>
              </w:rPr>
              <w:t>實際訪視全國104所樂齡學習資源中心，訪視次數合計104次</w:t>
            </w:r>
          </w:p>
        </w:tc>
        <w:tc>
          <w:tcPr>
            <w:tcW w:w="4296" w:type="dxa"/>
          </w:tcPr>
          <w:p w:rsidR="00EF5F66" w:rsidRPr="00D41D30" w:rsidRDefault="00EF5F66" w:rsidP="00E10DF9">
            <w:pPr>
              <w:kinsoku w:val="0"/>
              <w:adjustRightInd w:val="0"/>
              <w:snapToGrid w:val="0"/>
              <w:spacing w:line="300" w:lineRule="auto"/>
              <w:outlineLvl w:val="0"/>
              <w:rPr>
                <w:rFonts w:hAnsi="Arial"/>
                <w:bCs/>
                <w:color w:val="000000" w:themeColor="text1"/>
                <w:kern w:val="0"/>
                <w:sz w:val="26"/>
                <w:szCs w:val="26"/>
              </w:rPr>
            </w:pPr>
            <w:r w:rsidRPr="00D41D30">
              <w:rPr>
                <w:rFonts w:hAnsi="Arial" w:hint="eastAsia"/>
                <w:bCs/>
                <w:color w:val="000000" w:themeColor="text1"/>
                <w:kern w:val="0"/>
                <w:sz w:val="26"/>
                <w:szCs w:val="26"/>
              </w:rPr>
              <w:t>9個優等中心、19個表現良好中心、9個待改進中心</w:t>
            </w:r>
          </w:p>
        </w:tc>
      </w:tr>
      <w:tr w:rsidR="00EF5F66" w:rsidRPr="00D41D30" w:rsidTr="002E4F7E">
        <w:trPr>
          <w:jc w:val="center"/>
        </w:trPr>
        <w:tc>
          <w:tcPr>
            <w:tcW w:w="851" w:type="dxa"/>
            <w:shd w:val="clear" w:color="auto" w:fill="auto"/>
            <w:vAlign w:val="center"/>
          </w:tcPr>
          <w:p w:rsidR="00EF5F66" w:rsidRPr="00D41D30" w:rsidRDefault="00EF5F66" w:rsidP="002E4F7E">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9</w:t>
            </w:r>
            <w:r w:rsidRPr="00D41D30">
              <w:rPr>
                <w:rFonts w:hAnsi="Arial"/>
                <w:b/>
                <w:bCs/>
                <w:color w:val="000000" w:themeColor="text1"/>
                <w:kern w:val="0"/>
                <w:sz w:val="26"/>
                <w:szCs w:val="26"/>
              </w:rPr>
              <w:t>9</w:t>
            </w:r>
            <w:r w:rsidRPr="00D41D30">
              <w:rPr>
                <w:rFonts w:hAnsi="Arial" w:hint="eastAsia"/>
                <w:b/>
                <w:bCs/>
                <w:color w:val="000000" w:themeColor="text1"/>
                <w:kern w:val="0"/>
                <w:sz w:val="26"/>
                <w:szCs w:val="26"/>
              </w:rPr>
              <w:t>年</w:t>
            </w:r>
          </w:p>
        </w:tc>
        <w:tc>
          <w:tcPr>
            <w:tcW w:w="3833" w:type="dxa"/>
            <w:shd w:val="clear" w:color="auto" w:fill="auto"/>
          </w:tcPr>
          <w:p w:rsidR="00EF5F66" w:rsidRPr="00D41D30" w:rsidRDefault="00EF5F66" w:rsidP="00E10DF9">
            <w:pPr>
              <w:kinsoku w:val="0"/>
              <w:adjustRightInd w:val="0"/>
              <w:snapToGrid w:val="0"/>
              <w:spacing w:line="300" w:lineRule="auto"/>
              <w:outlineLvl w:val="0"/>
              <w:rPr>
                <w:rFonts w:hAnsi="Arial"/>
                <w:bCs/>
                <w:color w:val="000000" w:themeColor="text1"/>
                <w:kern w:val="0"/>
                <w:sz w:val="26"/>
                <w:szCs w:val="26"/>
              </w:rPr>
            </w:pPr>
            <w:r w:rsidRPr="00D41D30">
              <w:rPr>
                <w:rFonts w:hAnsi="標楷體" w:hint="eastAsia"/>
                <w:bCs/>
                <w:color w:val="000000" w:themeColor="text1"/>
                <w:kern w:val="0"/>
                <w:sz w:val="26"/>
                <w:szCs w:val="26"/>
              </w:rPr>
              <w:t>輔導團依據各縣市政府推薦序位，擇定85所中心實地進行複評1次，訪視次數合計85次。</w:t>
            </w:r>
          </w:p>
        </w:tc>
        <w:tc>
          <w:tcPr>
            <w:tcW w:w="4296" w:type="dxa"/>
          </w:tcPr>
          <w:p w:rsidR="00EF5F66" w:rsidRPr="00D41D30" w:rsidRDefault="00EF5F66" w:rsidP="00E10DF9">
            <w:pPr>
              <w:kinsoku w:val="0"/>
              <w:adjustRightInd w:val="0"/>
              <w:snapToGrid w:val="0"/>
              <w:spacing w:line="300" w:lineRule="auto"/>
              <w:outlineLvl w:val="0"/>
              <w:rPr>
                <w:rFonts w:hAnsi="標楷體"/>
                <w:bCs/>
                <w:color w:val="000000" w:themeColor="text1"/>
                <w:kern w:val="0"/>
                <w:sz w:val="26"/>
                <w:szCs w:val="26"/>
              </w:rPr>
            </w:pPr>
            <w:r w:rsidRPr="00D41D30">
              <w:rPr>
                <w:rFonts w:hAnsi="標楷體" w:hint="eastAsia"/>
                <w:bCs/>
                <w:color w:val="000000" w:themeColor="text1"/>
                <w:kern w:val="0"/>
                <w:sz w:val="26"/>
                <w:szCs w:val="26"/>
              </w:rPr>
              <w:t>優等17所、甲等34所、乙等30所、丙等5所，優等頒發5萬元獎勵金，運用於研習及觀摩；丙等單位則請地方政府撤站。</w:t>
            </w:r>
          </w:p>
        </w:tc>
      </w:tr>
      <w:tr w:rsidR="00EF5F66" w:rsidRPr="00D41D30" w:rsidTr="002E4F7E">
        <w:trPr>
          <w:jc w:val="center"/>
        </w:trPr>
        <w:tc>
          <w:tcPr>
            <w:tcW w:w="851" w:type="dxa"/>
            <w:shd w:val="clear" w:color="auto" w:fill="auto"/>
            <w:vAlign w:val="center"/>
          </w:tcPr>
          <w:p w:rsidR="00EF5F66" w:rsidRPr="00D41D30" w:rsidRDefault="00EF5F66" w:rsidP="002E4F7E">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b/>
                <w:bCs/>
                <w:color w:val="000000" w:themeColor="text1"/>
                <w:kern w:val="0"/>
                <w:sz w:val="26"/>
                <w:szCs w:val="26"/>
              </w:rPr>
              <w:t>100</w:t>
            </w:r>
            <w:r w:rsidRPr="00D41D30">
              <w:rPr>
                <w:rFonts w:hAnsi="Arial" w:hint="eastAsia"/>
                <w:b/>
                <w:bCs/>
                <w:color w:val="000000" w:themeColor="text1"/>
                <w:kern w:val="0"/>
                <w:sz w:val="26"/>
                <w:szCs w:val="26"/>
              </w:rPr>
              <w:t>年</w:t>
            </w:r>
          </w:p>
        </w:tc>
        <w:tc>
          <w:tcPr>
            <w:tcW w:w="3833" w:type="dxa"/>
            <w:shd w:val="clear" w:color="auto" w:fill="auto"/>
          </w:tcPr>
          <w:p w:rsidR="00EF5F66" w:rsidRPr="00D41D30" w:rsidRDefault="00EF5F66" w:rsidP="00E10DF9">
            <w:pPr>
              <w:kinsoku w:val="0"/>
              <w:adjustRightInd w:val="0"/>
              <w:snapToGrid w:val="0"/>
              <w:spacing w:line="300" w:lineRule="auto"/>
              <w:outlineLvl w:val="0"/>
              <w:rPr>
                <w:rFonts w:hAnsi="Arial"/>
                <w:bCs/>
                <w:color w:val="000000" w:themeColor="text1"/>
                <w:kern w:val="0"/>
                <w:sz w:val="26"/>
                <w:szCs w:val="26"/>
              </w:rPr>
            </w:pPr>
            <w:r w:rsidRPr="00D41D30">
              <w:rPr>
                <w:rFonts w:hAnsi="標楷體" w:hint="eastAsia"/>
                <w:bCs/>
                <w:color w:val="000000" w:themeColor="text1"/>
                <w:kern w:val="0"/>
                <w:sz w:val="26"/>
                <w:szCs w:val="26"/>
              </w:rPr>
              <w:t>訪視名單新辦及續辦中心合計抽訪50</w:t>
            </w:r>
            <w:r w:rsidR="00AA037A" w:rsidRPr="00D41D30">
              <w:rPr>
                <w:rFonts w:hAnsi="標楷體" w:hint="eastAsia"/>
                <w:bCs/>
                <w:color w:val="000000" w:themeColor="text1"/>
                <w:kern w:val="0"/>
                <w:sz w:val="26"/>
                <w:szCs w:val="26"/>
              </w:rPr>
              <w:t>%</w:t>
            </w:r>
            <w:r w:rsidRPr="00D41D30">
              <w:rPr>
                <w:rFonts w:hAnsi="標楷體" w:hint="eastAsia"/>
                <w:bCs/>
                <w:color w:val="000000" w:themeColor="text1"/>
                <w:kern w:val="0"/>
                <w:sz w:val="26"/>
                <w:szCs w:val="26"/>
              </w:rPr>
              <w:t>為原則，當年度訪視105所，訪視次數合計105次。</w:t>
            </w:r>
          </w:p>
        </w:tc>
        <w:tc>
          <w:tcPr>
            <w:tcW w:w="4296" w:type="dxa"/>
          </w:tcPr>
          <w:p w:rsidR="00EF5F66" w:rsidRPr="00D41D30" w:rsidRDefault="00EF5F66" w:rsidP="00E10DF9">
            <w:pPr>
              <w:kinsoku w:val="0"/>
              <w:adjustRightInd w:val="0"/>
              <w:snapToGrid w:val="0"/>
              <w:spacing w:line="300" w:lineRule="auto"/>
              <w:outlineLvl w:val="0"/>
              <w:rPr>
                <w:rFonts w:hAnsi="Arial"/>
                <w:bCs/>
                <w:color w:val="000000" w:themeColor="text1"/>
                <w:kern w:val="0"/>
                <w:sz w:val="26"/>
                <w:szCs w:val="26"/>
              </w:rPr>
            </w:pPr>
            <w:r w:rsidRPr="00D41D30">
              <w:rPr>
                <w:rFonts w:hAnsi="Arial" w:hint="eastAsia"/>
                <w:bCs/>
                <w:color w:val="000000" w:themeColor="text1"/>
                <w:kern w:val="0"/>
                <w:sz w:val="26"/>
                <w:szCs w:val="26"/>
              </w:rPr>
              <w:t>4所特優等中心、38所優等中心、62甲等中心，提供特優等獎金15萬元、優等獎金8萬元，作為辦理培訓、觀摩之用途。</w:t>
            </w:r>
          </w:p>
        </w:tc>
      </w:tr>
      <w:tr w:rsidR="00EF5F66" w:rsidRPr="00D41D30" w:rsidTr="002E4F7E">
        <w:trPr>
          <w:jc w:val="center"/>
        </w:trPr>
        <w:tc>
          <w:tcPr>
            <w:tcW w:w="851" w:type="dxa"/>
            <w:shd w:val="clear" w:color="auto" w:fill="auto"/>
            <w:vAlign w:val="center"/>
          </w:tcPr>
          <w:p w:rsidR="00EF5F66" w:rsidRPr="00D41D30" w:rsidRDefault="00EF5F66" w:rsidP="002E4F7E">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101年</w:t>
            </w:r>
          </w:p>
        </w:tc>
        <w:tc>
          <w:tcPr>
            <w:tcW w:w="3833" w:type="dxa"/>
            <w:shd w:val="clear" w:color="auto" w:fill="auto"/>
          </w:tcPr>
          <w:p w:rsidR="00EF5F66" w:rsidRPr="00D41D30" w:rsidRDefault="00EF5F66" w:rsidP="00E10DF9">
            <w:pPr>
              <w:kinsoku w:val="0"/>
              <w:adjustRightInd w:val="0"/>
              <w:snapToGrid w:val="0"/>
              <w:spacing w:line="300" w:lineRule="auto"/>
              <w:outlineLvl w:val="0"/>
              <w:rPr>
                <w:rFonts w:hAnsi="Arial"/>
                <w:bCs/>
                <w:color w:val="000000" w:themeColor="text1"/>
                <w:kern w:val="0"/>
                <w:sz w:val="26"/>
                <w:szCs w:val="26"/>
              </w:rPr>
            </w:pPr>
            <w:r w:rsidRPr="00D41D30">
              <w:rPr>
                <w:rFonts w:hAnsi="Arial" w:hint="eastAsia"/>
                <w:bCs/>
                <w:color w:val="000000" w:themeColor="text1"/>
                <w:kern w:val="0"/>
                <w:sz w:val="26"/>
                <w:szCs w:val="26"/>
              </w:rPr>
              <w:t>訪視次數0</w:t>
            </w:r>
          </w:p>
        </w:tc>
        <w:tc>
          <w:tcPr>
            <w:tcW w:w="4296" w:type="dxa"/>
          </w:tcPr>
          <w:p w:rsidR="00EF5F66" w:rsidRPr="00D41D30" w:rsidRDefault="006C4562" w:rsidP="00E10DF9">
            <w:pPr>
              <w:kinsoku w:val="0"/>
              <w:adjustRightInd w:val="0"/>
              <w:snapToGrid w:val="0"/>
              <w:spacing w:line="300" w:lineRule="auto"/>
              <w:outlineLvl w:val="0"/>
              <w:rPr>
                <w:rFonts w:hAnsi="Arial"/>
                <w:bCs/>
                <w:color w:val="000000" w:themeColor="text1"/>
                <w:kern w:val="0"/>
                <w:sz w:val="26"/>
                <w:szCs w:val="26"/>
              </w:rPr>
            </w:pPr>
            <w:r w:rsidRPr="00D41D30">
              <w:rPr>
                <w:rFonts w:hAnsi="Arial" w:hint="eastAsia"/>
                <w:bCs/>
                <w:color w:val="000000" w:themeColor="text1"/>
                <w:kern w:val="0"/>
                <w:sz w:val="26"/>
                <w:szCs w:val="26"/>
              </w:rPr>
              <w:t>該部</w:t>
            </w:r>
            <w:r w:rsidR="00EF5F66" w:rsidRPr="00D41D30">
              <w:rPr>
                <w:rFonts w:hAnsi="Arial" w:hint="eastAsia"/>
                <w:bCs/>
                <w:color w:val="000000" w:themeColor="text1"/>
                <w:kern w:val="0"/>
                <w:sz w:val="26"/>
                <w:szCs w:val="26"/>
              </w:rPr>
              <w:t>無抽訪</w:t>
            </w:r>
          </w:p>
        </w:tc>
      </w:tr>
      <w:tr w:rsidR="00EF5F66" w:rsidRPr="00D41D30" w:rsidTr="002E4F7E">
        <w:trPr>
          <w:jc w:val="center"/>
        </w:trPr>
        <w:tc>
          <w:tcPr>
            <w:tcW w:w="851" w:type="dxa"/>
            <w:shd w:val="clear" w:color="auto" w:fill="auto"/>
            <w:vAlign w:val="center"/>
          </w:tcPr>
          <w:p w:rsidR="00EF5F66" w:rsidRPr="00D41D30" w:rsidRDefault="00EF5F66" w:rsidP="002E4F7E">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102年</w:t>
            </w:r>
          </w:p>
        </w:tc>
        <w:tc>
          <w:tcPr>
            <w:tcW w:w="3833" w:type="dxa"/>
            <w:shd w:val="clear" w:color="auto" w:fill="auto"/>
          </w:tcPr>
          <w:p w:rsidR="00EF5F66" w:rsidRPr="00D41D30" w:rsidRDefault="00EF5F66" w:rsidP="00E10DF9">
            <w:pPr>
              <w:kinsoku w:val="0"/>
              <w:adjustRightInd w:val="0"/>
              <w:snapToGrid w:val="0"/>
              <w:spacing w:line="300" w:lineRule="auto"/>
              <w:outlineLvl w:val="0"/>
              <w:rPr>
                <w:rFonts w:hAnsi="Arial"/>
                <w:bCs/>
                <w:color w:val="000000" w:themeColor="text1"/>
                <w:kern w:val="0"/>
                <w:sz w:val="26"/>
                <w:szCs w:val="26"/>
              </w:rPr>
            </w:pPr>
            <w:r w:rsidRPr="00D41D30">
              <w:rPr>
                <w:rFonts w:hAnsi="Arial" w:hint="eastAsia"/>
                <w:bCs/>
                <w:color w:val="000000" w:themeColor="text1"/>
                <w:kern w:val="0"/>
                <w:sz w:val="26"/>
                <w:szCs w:val="26"/>
              </w:rPr>
              <w:t>102年新辦中心60所，每所2次，合計120次；續辦148所，每所1次，合計訪視次數268次。</w:t>
            </w:r>
          </w:p>
        </w:tc>
        <w:tc>
          <w:tcPr>
            <w:tcW w:w="4296" w:type="dxa"/>
          </w:tcPr>
          <w:p w:rsidR="00EF5F66" w:rsidRPr="00D41D30" w:rsidRDefault="00EF5F66" w:rsidP="00E10DF9">
            <w:pPr>
              <w:kinsoku w:val="0"/>
              <w:adjustRightInd w:val="0"/>
              <w:snapToGrid w:val="0"/>
              <w:spacing w:line="300" w:lineRule="auto"/>
              <w:outlineLvl w:val="0"/>
              <w:rPr>
                <w:rFonts w:hAnsi="標楷體"/>
                <w:bCs/>
                <w:color w:val="000000" w:themeColor="text1"/>
                <w:kern w:val="0"/>
                <w:sz w:val="26"/>
                <w:szCs w:val="26"/>
              </w:rPr>
            </w:pPr>
            <w:r w:rsidRPr="00D41D30">
              <w:rPr>
                <w:rFonts w:hAnsi="標楷體" w:hint="eastAsia"/>
                <w:bCs/>
                <w:color w:val="000000" w:themeColor="text1"/>
                <w:kern w:val="0"/>
                <w:sz w:val="26"/>
                <w:szCs w:val="26"/>
              </w:rPr>
              <w:t>北區訪視51所、中區57所、中南區44所、南區49所、總區7所，相關訪視紀錄提供各縣市政府作為後續輔導中心運用。</w:t>
            </w:r>
          </w:p>
        </w:tc>
      </w:tr>
      <w:tr w:rsidR="00EF5F66" w:rsidRPr="00D41D30" w:rsidTr="002E4F7E">
        <w:trPr>
          <w:jc w:val="center"/>
        </w:trPr>
        <w:tc>
          <w:tcPr>
            <w:tcW w:w="851" w:type="dxa"/>
            <w:shd w:val="clear" w:color="auto" w:fill="auto"/>
            <w:vAlign w:val="center"/>
          </w:tcPr>
          <w:p w:rsidR="00EF5F66" w:rsidRPr="00D41D30" w:rsidRDefault="00EF5F66" w:rsidP="002E4F7E">
            <w:pPr>
              <w:kinsoku w:val="0"/>
              <w:adjustRightInd w:val="0"/>
              <w:snapToGrid w:val="0"/>
              <w:spacing w:line="300" w:lineRule="auto"/>
              <w:jc w:val="center"/>
              <w:outlineLvl w:val="0"/>
              <w:rPr>
                <w:rFonts w:hAnsi="Arial"/>
                <w:b/>
                <w:bCs/>
                <w:color w:val="000000" w:themeColor="text1"/>
                <w:kern w:val="0"/>
                <w:sz w:val="26"/>
                <w:szCs w:val="26"/>
              </w:rPr>
            </w:pPr>
            <w:r w:rsidRPr="00D41D30">
              <w:rPr>
                <w:rFonts w:hAnsi="Arial" w:hint="eastAsia"/>
                <w:b/>
                <w:bCs/>
                <w:color w:val="000000" w:themeColor="text1"/>
                <w:kern w:val="0"/>
                <w:sz w:val="26"/>
                <w:szCs w:val="26"/>
              </w:rPr>
              <w:t>103年</w:t>
            </w:r>
          </w:p>
        </w:tc>
        <w:tc>
          <w:tcPr>
            <w:tcW w:w="3833" w:type="dxa"/>
            <w:shd w:val="clear" w:color="auto" w:fill="auto"/>
          </w:tcPr>
          <w:p w:rsidR="00EF5F66" w:rsidRPr="00D41D30" w:rsidRDefault="00EF5F66" w:rsidP="00E10DF9">
            <w:pPr>
              <w:adjustRightInd w:val="0"/>
              <w:snapToGrid w:val="0"/>
              <w:ind w:leftChars="-12" w:left="102" w:hangingChars="51" w:hanging="143"/>
              <w:rPr>
                <w:rFonts w:hAnsi="標楷體"/>
                <w:bCs/>
                <w:color w:val="000000" w:themeColor="text1"/>
                <w:kern w:val="0"/>
                <w:sz w:val="26"/>
                <w:szCs w:val="26"/>
              </w:rPr>
            </w:pPr>
            <w:r w:rsidRPr="00D41D30">
              <w:rPr>
                <w:rFonts w:ascii="Times New Roman" w:hint="eastAsia"/>
                <w:color w:val="000000" w:themeColor="text1"/>
                <w:sz w:val="26"/>
                <w:szCs w:val="26"/>
              </w:rPr>
              <w:t>1.</w:t>
            </w:r>
            <w:r w:rsidRPr="00D41D30">
              <w:rPr>
                <w:rFonts w:ascii="Times New Roman" w:hint="eastAsia"/>
                <w:color w:val="000000" w:themeColor="text1"/>
                <w:sz w:val="26"/>
                <w:szCs w:val="26"/>
              </w:rPr>
              <w:t>分為</w:t>
            </w:r>
            <w:r w:rsidRPr="00D41D30">
              <w:rPr>
                <w:rFonts w:ascii="Times New Roman"/>
                <w:color w:val="000000" w:themeColor="text1"/>
                <w:sz w:val="26"/>
                <w:szCs w:val="26"/>
              </w:rPr>
              <w:t>集中輔導</w:t>
            </w:r>
            <w:r w:rsidRPr="00D41D30">
              <w:rPr>
                <w:rFonts w:ascii="Times New Roman" w:hint="eastAsia"/>
                <w:color w:val="000000" w:themeColor="text1"/>
                <w:sz w:val="26"/>
                <w:szCs w:val="26"/>
              </w:rPr>
              <w:t>及實地訪視，</w:t>
            </w:r>
            <w:r w:rsidRPr="00D41D30">
              <w:rPr>
                <w:rFonts w:hAnsi="Arial" w:hint="eastAsia"/>
                <w:bCs/>
                <w:color w:val="000000" w:themeColor="text1"/>
                <w:kern w:val="0"/>
                <w:sz w:val="26"/>
                <w:szCs w:val="26"/>
              </w:rPr>
              <w:t>實際訪視</w:t>
            </w:r>
            <w:r w:rsidRPr="00D41D30">
              <w:rPr>
                <w:rFonts w:hAnsi="標楷體" w:hint="eastAsia"/>
                <w:bCs/>
                <w:color w:val="000000" w:themeColor="text1"/>
                <w:kern w:val="0"/>
                <w:sz w:val="26"/>
                <w:szCs w:val="26"/>
              </w:rPr>
              <w:t>68所。</w:t>
            </w:r>
          </w:p>
          <w:p w:rsidR="00EF5F66" w:rsidRPr="00D41D30" w:rsidRDefault="00EF5F66" w:rsidP="00E10DF9">
            <w:pPr>
              <w:adjustRightInd w:val="0"/>
              <w:snapToGrid w:val="0"/>
              <w:ind w:leftChars="-12" w:left="102" w:hangingChars="51" w:hanging="143"/>
              <w:rPr>
                <w:rFonts w:hAnsi="Arial"/>
                <w:bCs/>
                <w:color w:val="000000" w:themeColor="text1"/>
                <w:kern w:val="0"/>
                <w:sz w:val="26"/>
                <w:szCs w:val="26"/>
              </w:rPr>
            </w:pPr>
            <w:r w:rsidRPr="00D41D30">
              <w:rPr>
                <w:rFonts w:hAnsi="Arial" w:hint="eastAsia"/>
                <w:bCs/>
                <w:color w:val="000000" w:themeColor="text1"/>
                <w:kern w:val="0"/>
                <w:sz w:val="26"/>
                <w:szCs w:val="26"/>
              </w:rPr>
              <w:t>2.新辦中心63所，每所2次計126次，續辦中心5所，每所1次，合計131次，</w:t>
            </w:r>
          </w:p>
        </w:tc>
        <w:tc>
          <w:tcPr>
            <w:tcW w:w="4296" w:type="dxa"/>
          </w:tcPr>
          <w:p w:rsidR="00EF5F66" w:rsidRPr="00D41D30" w:rsidRDefault="00EF5F66" w:rsidP="00E10DF9">
            <w:pPr>
              <w:adjustRightInd w:val="0"/>
              <w:snapToGrid w:val="0"/>
              <w:rPr>
                <w:rFonts w:ascii="Times New Roman"/>
                <w:color w:val="000000" w:themeColor="text1"/>
                <w:sz w:val="26"/>
                <w:szCs w:val="26"/>
              </w:rPr>
            </w:pPr>
            <w:r w:rsidRPr="00D41D30">
              <w:rPr>
                <w:rFonts w:ascii="Times New Roman" w:hint="eastAsia"/>
                <w:color w:val="000000" w:themeColor="text1"/>
                <w:sz w:val="26"/>
                <w:szCs w:val="26"/>
              </w:rPr>
              <w:t>北區訪視</w:t>
            </w:r>
            <w:r w:rsidRPr="00D41D30">
              <w:rPr>
                <w:rFonts w:ascii="Times New Roman" w:hint="eastAsia"/>
                <w:color w:val="000000" w:themeColor="text1"/>
                <w:sz w:val="26"/>
                <w:szCs w:val="26"/>
              </w:rPr>
              <w:t>13</w:t>
            </w:r>
            <w:r w:rsidRPr="00D41D30">
              <w:rPr>
                <w:rFonts w:ascii="Times New Roman" w:hint="eastAsia"/>
                <w:color w:val="000000" w:themeColor="text1"/>
                <w:sz w:val="26"/>
                <w:szCs w:val="26"/>
              </w:rPr>
              <w:t>所、中區</w:t>
            </w:r>
            <w:r w:rsidRPr="00D41D30">
              <w:rPr>
                <w:rFonts w:ascii="Times New Roman" w:hint="eastAsia"/>
                <w:color w:val="000000" w:themeColor="text1"/>
                <w:sz w:val="26"/>
                <w:szCs w:val="26"/>
              </w:rPr>
              <w:t>22</w:t>
            </w:r>
            <w:r w:rsidRPr="00D41D30">
              <w:rPr>
                <w:rFonts w:ascii="Times New Roman" w:hint="eastAsia"/>
                <w:color w:val="000000" w:themeColor="text1"/>
                <w:sz w:val="26"/>
                <w:szCs w:val="26"/>
              </w:rPr>
              <w:t>所、中南區</w:t>
            </w:r>
            <w:r w:rsidRPr="00D41D30">
              <w:rPr>
                <w:rFonts w:ascii="Times New Roman" w:hint="eastAsia"/>
                <w:color w:val="000000" w:themeColor="text1"/>
                <w:sz w:val="26"/>
                <w:szCs w:val="26"/>
              </w:rPr>
              <w:t>12</w:t>
            </w:r>
            <w:r w:rsidRPr="00D41D30">
              <w:rPr>
                <w:rFonts w:ascii="Times New Roman" w:hint="eastAsia"/>
                <w:color w:val="000000" w:themeColor="text1"/>
                <w:sz w:val="26"/>
                <w:szCs w:val="26"/>
              </w:rPr>
              <w:t>所、南區</w:t>
            </w:r>
            <w:r w:rsidRPr="00D41D30">
              <w:rPr>
                <w:rFonts w:ascii="Times New Roman" w:hint="eastAsia"/>
                <w:color w:val="000000" w:themeColor="text1"/>
                <w:sz w:val="26"/>
                <w:szCs w:val="26"/>
              </w:rPr>
              <w:t>19</w:t>
            </w:r>
            <w:r w:rsidRPr="00D41D30">
              <w:rPr>
                <w:rFonts w:ascii="Times New Roman" w:hint="eastAsia"/>
                <w:color w:val="000000" w:themeColor="text1"/>
                <w:sz w:val="26"/>
                <w:szCs w:val="26"/>
              </w:rPr>
              <w:t>所、總區</w:t>
            </w:r>
            <w:r w:rsidRPr="00D41D30">
              <w:rPr>
                <w:rFonts w:ascii="Times New Roman" w:hint="eastAsia"/>
                <w:color w:val="000000" w:themeColor="text1"/>
                <w:sz w:val="26"/>
                <w:szCs w:val="26"/>
              </w:rPr>
              <w:t>2</w:t>
            </w:r>
            <w:r w:rsidRPr="00D41D30">
              <w:rPr>
                <w:rFonts w:ascii="Times New Roman" w:hint="eastAsia"/>
                <w:color w:val="000000" w:themeColor="text1"/>
                <w:sz w:val="26"/>
                <w:szCs w:val="26"/>
              </w:rPr>
              <w:t>所，相關訪視紀錄提供各縣市政府作為後續輔導中心運用。</w:t>
            </w:r>
          </w:p>
        </w:tc>
      </w:tr>
      <w:tr w:rsidR="00EF5F66" w:rsidRPr="00D41D30" w:rsidTr="002E4F7E">
        <w:trPr>
          <w:jc w:val="center"/>
        </w:trPr>
        <w:tc>
          <w:tcPr>
            <w:tcW w:w="851" w:type="dxa"/>
            <w:shd w:val="clear" w:color="auto" w:fill="auto"/>
            <w:vAlign w:val="center"/>
          </w:tcPr>
          <w:p w:rsidR="00EF5F66" w:rsidRPr="00D41D30" w:rsidRDefault="00EF5F66" w:rsidP="002E4F7E">
            <w:pPr>
              <w:kinsoku w:val="0"/>
              <w:adjustRightInd w:val="0"/>
              <w:snapToGrid w:val="0"/>
              <w:spacing w:line="300" w:lineRule="auto"/>
              <w:jc w:val="center"/>
              <w:outlineLvl w:val="0"/>
              <w:rPr>
                <w:rFonts w:hAnsi="標楷體"/>
                <w:b/>
                <w:bCs/>
                <w:color w:val="000000" w:themeColor="text1"/>
                <w:kern w:val="0"/>
                <w:sz w:val="26"/>
                <w:szCs w:val="26"/>
              </w:rPr>
            </w:pPr>
            <w:r w:rsidRPr="00D41D30">
              <w:rPr>
                <w:rFonts w:hAnsi="標楷體" w:hint="eastAsia"/>
                <w:b/>
                <w:bCs/>
                <w:color w:val="000000" w:themeColor="text1"/>
                <w:kern w:val="0"/>
                <w:sz w:val="26"/>
                <w:szCs w:val="26"/>
              </w:rPr>
              <w:t>104</w:t>
            </w:r>
          </w:p>
        </w:tc>
        <w:tc>
          <w:tcPr>
            <w:tcW w:w="3833" w:type="dxa"/>
            <w:shd w:val="clear" w:color="auto" w:fill="auto"/>
          </w:tcPr>
          <w:p w:rsidR="00EF5F66" w:rsidRPr="00D41D30" w:rsidRDefault="00EF5F66" w:rsidP="00DC765B">
            <w:pPr>
              <w:pStyle w:val="afa"/>
              <w:numPr>
                <w:ilvl w:val="2"/>
                <w:numId w:val="11"/>
              </w:numPr>
              <w:overflowPunct/>
              <w:autoSpaceDE/>
              <w:autoSpaceDN/>
              <w:adjustRightInd w:val="0"/>
              <w:snapToGrid w:val="0"/>
              <w:ind w:leftChars="0" w:left="600" w:right="680" w:hanging="600"/>
              <w:rPr>
                <w:rFonts w:hAnsi="標楷體"/>
                <w:color w:val="000000" w:themeColor="text1"/>
                <w:sz w:val="26"/>
                <w:szCs w:val="26"/>
              </w:rPr>
            </w:pPr>
            <w:r w:rsidRPr="00D41D30">
              <w:rPr>
                <w:rFonts w:hAnsi="標楷體" w:hint="eastAsia"/>
                <w:color w:val="000000" w:themeColor="text1"/>
                <w:sz w:val="26"/>
                <w:szCs w:val="26"/>
              </w:rPr>
              <w:t>分為集中輔導及實地訪視，實際訪視66所。</w:t>
            </w:r>
          </w:p>
          <w:p w:rsidR="00EF5F66" w:rsidRPr="00D41D30" w:rsidRDefault="00EF5F66" w:rsidP="00DC765B">
            <w:pPr>
              <w:pStyle w:val="afa"/>
              <w:numPr>
                <w:ilvl w:val="2"/>
                <w:numId w:val="11"/>
              </w:numPr>
              <w:overflowPunct/>
              <w:autoSpaceDE/>
              <w:autoSpaceDN/>
              <w:adjustRightInd w:val="0"/>
              <w:snapToGrid w:val="0"/>
              <w:ind w:leftChars="0" w:left="600" w:right="680" w:hanging="600"/>
              <w:rPr>
                <w:rFonts w:hAnsi="標楷體"/>
                <w:color w:val="000000" w:themeColor="text1"/>
                <w:sz w:val="26"/>
                <w:szCs w:val="26"/>
              </w:rPr>
            </w:pPr>
            <w:r w:rsidRPr="00D41D30">
              <w:rPr>
                <w:rFonts w:hAnsi="標楷體" w:hint="eastAsia"/>
                <w:color w:val="000000" w:themeColor="text1"/>
                <w:sz w:val="26"/>
                <w:szCs w:val="26"/>
              </w:rPr>
              <w:t>新辦中心50所，每所2次，合計100次，續辦中心16所，合計116次。</w:t>
            </w:r>
          </w:p>
        </w:tc>
        <w:tc>
          <w:tcPr>
            <w:tcW w:w="4296" w:type="dxa"/>
          </w:tcPr>
          <w:p w:rsidR="00EF5F66" w:rsidRPr="00D41D30" w:rsidRDefault="00EF5F66" w:rsidP="00E10DF9">
            <w:pPr>
              <w:adjustRightInd w:val="0"/>
              <w:snapToGrid w:val="0"/>
              <w:ind w:leftChars="-45" w:left="-151" w:hanging="2"/>
              <w:rPr>
                <w:rFonts w:ascii="Times New Roman"/>
                <w:color w:val="000000" w:themeColor="text1"/>
                <w:sz w:val="26"/>
                <w:szCs w:val="26"/>
              </w:rPr>
            </w:pPr>
            <w:r w:rsidRPr="00D41D30">
              <w:rPr>
                <w:rFonts w:ascii="Times New Roman" w:hint="eastAsia"/>
                <w:color w:val="000000" w:themeColor="text1"/>
                <w:sz w:val="26"/>
                <w:szCs w:val="26"/>
              </w:rPr>
              <w:t>北區訪視</w:t>
            </w:r>
            <w:r w:rsidRPr="00D41D30">
              <w:rPr>
                <w:rFonts w:ascii="Times New Roman" w:hint="eastAsia"/>
                <w:color w:val="000000" w:themeColor="text1"/>
                <w:sz w:val="26"/>
                <w:szCs w:val="26"/>
              </w:rPr>
              <w:t>13</w:t>
            </w:r>
            <w:r w:rsidRPr="00D41D30">
              <w:rPr>
                <w:rFonts w:ascii="Times New Roman" w:hint="eastAsia"/>
                <w:color w:val="000000" w:themeColor="text1"/>
                <w:sz w:val="26"/>
                <w:szCs w:val="26"/>
              </w:rPr>
              <w:t>所、中區</w:t>
            </w:r>
            <w:r w:rsidRPr="00D41D30">
              <w:rPr>
                <w:rFonts w:ascii="Times New Roman" w:hint="eastAsia"/>
                <w:color w:val="000000" w:themeColor="text1"/>
                <w:sz w:val="26"/>
                <w:szCs w:val="26"/>
              </w:rPr>
              <w:t>15</w:t>
            </w:r>
            <w:r w:rsidRPr="00D41D30">
              <w:rPr>
                <w:rFonts w:ascii="Times New Roman" w:hint="eastAsia"/>
                <w:color w:val="000000" w:themeColor="text1"/>
                <w:sz w:val="26"/>
                <w:szCs w:val="26"/>
              </w:rPr>
              <w:t>所、中南區</w:t>
            </w:r>
            <w:r w:rsidRPr="00D41D30">
              <w:rPr>
                <w:rFonts w:ascii="Times New Roman" w:hint="eastAsia"/>
                <w:color w:val="000000" w:themeColor="text1"/>
                <w:sz w:val="26"/>
                <w:szCs w:val="26"/>
              </w:rPr>
              <w:t>24</w:t>
            </w:r>
            <w:r w:rsidRPr="00D41D30">
              <w:rPr>
                <w:rFonts w:ascii="Times New Roman" w:hint="eastAsia"/>
                <w:color w:val="000000" w:themeColor="text1"/>
                <w:sz w:val="26"/>
                <w:szCs w:val="26"/>
              </w:rPr>
              <w:t>所、南區</w:t>
            </w:r>
            <w:r w:rsidRPr="00D41D30">
              <w:rPr>
                <w:rFonts w:ascii="Times New Roman" w:hint="eastAsia"/>
                <w:color w:val="000000" w:themeColor="text1"/>
                <w:sz w:val="26"/>
                <w:szCs w:val="26"/>
              </w:rPr>
              <w:t>11</w:t>
            </w:r>
            <w:r w:rsidRPr="00D41D30">
              <w:rPr>
                <w:rFonts w:ascii="Times New Roman" w:hint="eastAsia"/>
                <w:color w:val="000000" w:themeColor="text1"/>
                <w:sz w:val="26"/>
                <w:szCs w:val="26"/>
              </w:rPr>
              <w:t>所、總區</w:t>
            </w:r>
            <w:r w:rsidRPr="00D41D30">
              <w:rPr>
                <w:rFonts w:ascii="Times New Roman" w:hint="eastAsia"/>
                <w:color w:val="000000" w:themeColor="text1"/>
                <w:sz w:val="26"/>
                <w:szCs w:val="26"/>
              </w:rPr>
              <w:t>3</w:t>
            </w:r>
            <w:r w:rsidRPr="00D41D30">
              <w:rPr>
                <w:rFonts w:ascii="Times New Roman" w:hint="eastAsia"/>
                <w:color w:val="000000" w:themeColor="text1"/>
                <w:sz w:val="26"/>
                <w:szCs w:val="26"/>
              </w:rPr>
              <w:t>所，相關訪視紀錄提供各縣市政府作為後續輔導中心運用。</w:t>
            </w:r>
          </w:p>
        </w:tc>
      </w:tr>
      <w:tr w:rsidR="00EF5F66" w:rsidRPr="00D41D30" w:rsidTr="002E4F7E">
        <w:trPr>
          <w:jc w:val="center"/>
        </w:trPr>
        <w:tc>
          <w:tcPr>
            <w:tcW w:w="851" w:type="dxa"/>
            <w:shd w:val="clear" w:color="auto" w:fill="auto"/>
            <w:vAlign w:val="center"/>
          </w:tcPr>
          <w:p w:rsidR="00EF5F66" w:rsidRPr="00D41D30" w:rsidRDefault="00EF5F66" w:rsidP="002E4F7E">
            <w:pPr>
              <w:adjustRightInd w:val="0"/>
              <w:snapToGrid w:val="0"/>
              <w:jc w:val="center"/>
              <w:rPr>
                <w:rFonts w:hAnsi="標楷體"/>
                <w:b/>
                <w:color w:val="000000" w:themeColor="text1"/>
                <w:sz w:val="26"/>
                <w:szCs w:val="26"/>
              </w:rPr>
            </w:pPr>
            <w:r w:rsidRPr="00D41D30">
              <w:rPr>
                <w:rFonts w:hAnsi="標楷體" w:hint="eastAsia"/>
                <w:b/>
                <w:color w:val="000000" w:themeColor="text1"/>
                <w:sz w:val="26"/>
                <w:szCs w:val="26"/>
              </w:rPr>
              <w:t>105年</w:t>
            </w:r>
          </w:p>
        </w:tc>
        <w:tc>
          <w:tcPr>
            <w:tcW w:w="3833" w:type="dxa"/>
            <w:shd w:val="clear" w:color="auto" w:fill="auto"/>
          </w:tcPr>
          <w:p w:rsidR="00EF5F66" w:rsidRPr="00D41D30" w:rsidRDefault="00EF5F66" w:rsidP="00DC765B">
            <w:pPr>
              <w:pStyle w:val="afa"/>
              <w:numPr>
                <w:ilvl w:val="0"/>
                <w:numId w:val="12"/>
              </w:numPr>
              <w:overflowPunct/>
              <w:autoSpaceDE/>
              <w:autoSpaceDN/>
              <w:adjustRightInd w:val="0"/>
              <w:snapToGrid w:val="0"/>
              <w:ind w:leftChars="0" w:left="600" w:right="680" w:hanging="600"/>
              <w:rPr>
                <w:rFonts w:hAnsi="標楷體"/>
                <w:color w:val="000000" w:themeColor="text1"/>
                <w:sz w:val="26"/>
                <w:szCs w:val="26"/>
              </w:rPr>
            </w:pPr>
            <w:r w:rsidRPr="00D41D30">
              <w:rPr>
                <w:rFonts w:hAnsi="標楷體" w:hint="eastAsia"/>
                <w:color w:val="000000" w:themeColor="text1"/>
                <w:sz w:val="26"/>
                <w:szCs w:val="26"/>
              </w:rPr>
              <w:t>新辦中心及配合各縣市政府訪視，抽</w:t>
            </w:r>
            <w:r w:rsidRPr="00D41D30">
              <w:rPr>
                <w:rFonts w:hAnsi="標楷體" w:hint="eastAsia"/>
                <w:color w:val="000000" w:themeColor="text1"/>
                <w:sz w:val="26"/>
                <w:szCs w:val="26"/>
              </w:rPr>
              <w:lastRenderedPageBreak/>
              <w:t>訪該年度訪視數1/2共158所。</w:t>
            </w:r>
          </w:p>
          <w:p w:rsidR="00EF5F66" w:rsidRPr="00D41D30" w:rsidRDefault="00EF5F66" w:rsidP="00DC765B">
            <w:pPr>
              <w:pStyle w:val="afa"/>
              <w:numPr>
                <w:ilvl w:val="0"/>
                <w:numId w:val="12"/>
              </w:numPr>
              <w:overflowPunct/>
              <w:autoSpaceDE/>
              <w:autoSpaceDN/>
              <w:adjustRightInd w:val="0"/>
              <w:snapToGrid w:val="0"/>
              <w:ind w:leftChars="0" w:left="600" w:right="680" w:hanging="600"/>
              <w:rPr>
                <w:rFonts w:hAnsi="標楷體"/>
                <w:color w:val="000000" w:themeColor="text1"/>
                <w:sz w:val="26"/>
                <w:szCs w:val="26"/>
              </w:rPr>
            </w:pPr>
            <w:r w:rsidRPr="00D41D30">
              <w:rPr>
                <w:rFonts w:hAnsi="標楷體" w:hint="eastAsia"/>
                <w:color w:val="000000" w:themeColor="text1"/>
                <w:sz w:val="26"/>
                <w:szCs w:val="26"/>
              </w:rPr>
              <w:t>新辦中心46所，抽訪2次，計92次，續辦中心112所，抽訪1次，合計204次。</w:t>
            </w:r>
          </w:p>
        </w:tc>
        <w:tc>
          <w:tcPr>
            <w:tcW w:w="4296" w:type="dxa"/>
          </w:tcPr>
          <w:p w:rsidR="00EF5F66" w:rsidRPr="00D41D30" w:rsidRDefault="00EF5F66" w:rsidP="00E10DF9">
            <w:pPr>
              <w:adjustRightInd w:val="0"/>
              <w:snapToGrid w:val="0"/>
              <w:rPr>
                <w:rFonts w:ascii="Times New Roman"/>
                <w:color w:val="000000" w:themeColor="text1"/>
                <w:sz w:val="26"/>
                <w:szCs w:val="26"/>
              </w:rPr>
            </w:pPr>
            <w:r w:rsidRPr="00D41D30">
              <w:rPr>
                <w:rFonts w:ascii="Times New Roman" w:hint="eastAsia"/>
                <w:color w:val="000000" w:themeColor="text1"/>
                <w:sz w:val="26"/>
                <w:szCs w:val="26"/>
              </w:rPr>
              <w:lastRenderedPageBreak/>
              <w:t>北區訪視</w:t>
            </w:r>
            <w:r w:rsidRPr="00D41D30">
              <w:rPr>
                <w:rFonts w:ascii="Times New Roman" w:hint="eastAsia"/>
                <w:color w:val="000000" w:themeColor="text1"/>
                <w:sz w:val="26"/>
                <w:szCs w:val="26"/>
              </w:rPr>
              <w:t>47</w:t>
            </w:r>
            <w:r w:rsidRPr="00D41D30">
              <w:rPr>
                <w:rFonts w:ascii="Times New Roman" w:hint="eastAsia"/>
                <w:color w:val="000000" w:themeColor="text1"/>
                <w:sz w:val="26"/>
                <w:szCs w:val="26"/>
              </w:rPr>
              <w:t>所、中區</w:t>
            </w:r>
            <w:r w:rsidRPr="00D41D30">
              <w:rPr>
                <w:rFonts w:ascii="Times New Roman" w:hint="eastAsia"/>
                <w:color w:val="000000" w:themeColor="text1"/>
                <w:sz w:val="26"/>
                <w:szCs w:val="26"/>
              </w:rPr>
              <w:t>43</w:t>
            </w:r>
            <w:r w:rsidRPr="00D41D30">
              <w:rPr>
                <w:rFonts w:ascii="Times New Roman" w:hint="eastAsia"/>
                <w:color w:val="000000" w:themeColor="text1"/>
                <w:sz w:val="26"/>
                <w:szCs w:val="26"/>
              </w:rPr>
              <w:t>所、中南區</w:t>
            </w:r>
            <w:r w:rsidRPr="00D41D30">
              <w:rPr>
                <w:rFonts w:ascii="Times New Roman" w:hint="eastAsia"/>
                <w:color w:val="000000" w:themeColor="text1"/>
                <w:sz w:val="26"/>
                <w:szCs w:val="26"/>
              </w:rPr>
              <w:t>14</w:t>
            </w:r>
            <w:r w:rsidRPr="00D41D30">
              <w:rPr>
                <w:rFonts w:ascii="Times New Roman" w:hint="eastAsia"/>
                <w:color w:val="000000" w:themeColor="text1"/>
                <w:sz w:val="26"/>
                <w:szCs w:val="26"/>
              </w:rPr>
              <w:t>所、南區</w:t>
            </w:r>
            <w:r w:rsidRPr="00D41D30">
              <w:rPr>
                <w:rFonts w:ascii="Times New Roman" w:hint="eastAsia"/>
                <w:color w:val="000000" w:themeColor="text1"/>
                <w:sz w:val="26"/>
                <w:szCs w:val="26"/>
              </w:rPr>
              <w:t>54</w:t>
            </w:r>
            <w:r w:rsidRPr="00D41D30">
              <w:rPr>
                <w:rFonts w:ascii="Times New Roman" w:hint="eastAsia"/>
                <w:color w:val="000000" w:themeColor="text1"/>
                <w:sz w:val="26"/>
                <w:szCs w:val="26"/>
              </w:rPr>
              <w:t>所、總區</w:t>
            </w:r>
            <w:r w:rsidRPr="00D41D30">
              <w:rPr>
                <w:rFonts w:ascii="Times New Roman" w:hint="eastAsia"/>
                <w:color w:val="000000" w:themeColor="text1"/>
                <w:sz w:val="26"/>
                <w:szCs w:val="26"/>
              </w:rPr>
              <w:t>0</w:t>
            </w:r>
            <w:r w:rsidRPr="00D41D30">
              <w:rPr>
                <w:rFonts w:ascii="Times New Roman" w:hint="eastAsia"/>
                <w:color w:val="000000" w:themeColor="text1"/>
                <w:sz w:val="26"/>
                <w:szCs w:val="26"/>
              </w:rPr>
              <w:t>所，相關</w:t>
            </w:r>
            <w:r w:rsidRPr="00D41D30">
              <w:rPr>
                <w:rFonts w:ascii="Times New Roman" w:hint="eastAsia"/>
                <w:color w:val="000000" w:themeColor="text1"/>
                <w:sz w:val="26"/>
                <w:szCs w:val="26"/>
              </w:rPr>
              <w:lastRenderedPageBreak/>
              <w:t>訪視紀錄提供各縣市政府作為後續輔導中心運用。</w:t>
            </w:r>
          </w:p>
        </w:tc>
      </w:tr>
      <w:tr w:rsidR="00EF5F66" w:rsidRPr="00D41D30" w:rsidTr="002E4F7E">
        <w:trPr>
          <w:jc w:val="center"/>
        </w:trPr>
        <w:tc>
          <w:tcPr>
            <w:tcW w:w="851" w:type="dxa"/>
            <w:shd w:val="clear" w:color="auto" w:fill="auto"/>
            <w:vAlign w:val="center"/>
          </w:tcPr>
          <w:p w:rsidR="00EF5F66" w:rsidRPr="00D41D30" w:rsidRDefault="00EF5F66" w:rsidP="002E4F7E">
            <w:pPr>
              <w:adjustRightInd w:val="0"/>
              <w:snapToGrid w:val="0"/>
              <w:jc w:val="center"/>
              <w:rPr>
                <w:rFonts w:hAnsi="標楷體"/>
                <w:b/>
                <w:color w:val="000000" w:themeColor="text1"/>
                <w:sz w:val="26"/>
                <w:szCs w:val="26"/>
              </w:rPr>
            </w:pPr>
            <w:r w:rsidRPr="00D41D30">
              <w:rPr>
                <w:rFonts w:hAnsi="標楷體" w:hint="eastAsia"/>
                <w:b/>
                <w:color w:val="000000" w:themeColor="text1"/>
                <w:sz w:val="26"/>
                <w:szCs w:val="26"/>
              </w:rPr>
              <w:lastRenderedPageBreak/>
              <w:t>106年</w:t>
            </w:r>
          </w:p>
        </w:tc>
        <w:tc>
          <w:tcPr>
            <w:tcW w:w="3833" w:type="dxa"/>
            <w:shd w:val="clear" w:color="auto" w:fill="auto"/>
          </w:tcPr>
          <w:p w:rsidR="00EF5F66" w:rsidRPr="00D41D30" w:rsidRDefault="00EF5F66" w:rsidP="00E10DF9">
            <w:pPr>
              <w:adjustRightInd w:val="0"/>
              <w:snapToGrid w:val="0"/>
              <w:ind w:left="261" w:hangingChars="93" w:hanging="261"/>
              <w:rPr>
                <w:rFonts w:hAnsi="標楷體"/>
                <w:color w:val="000000" w:themeColor="text1"/>
                <w:sz w:val="26"/>
                <w:szCs w:val="26"/>
              </w:rPr>
            </w:pPr>
            <w:r w:rsidRPr="00D41D30">
              <w:rPr>
                <w:rFonts w:hAnsi="標楷體" w:hint="eastAsia"/>
                <w:color w:val="000000" w:themeColor="text1"/>
                <w:sz w:val="26"/>
                <w:szCs w:val="26"/>
              </w:rPr>
              <w:t>1.以新辦中心及配合各縣市政府之訪視，抽訪該年度訪視數1/2續辦中心，3所示範中心及10所優質中心，計176所。</w:t>
            </w:r>
          </w:p>
          <w:p w:rsidR="00EF5F66" w:rsidRPr="00D41D30" w:rsidRDefault="00EF5F66" w:rsidP="00E10DF9">
            <w:pPr>
              <w:adjustRightInd w:val="0"/>
              <w:snapToGrid w:val="0"/>
              <w:ind w:left="261" w:hangingChars="93" w:hanging="261"/>
              <w:rPr>
                <w:rFonts w:hAnsi="標楷體"/>
                <w:color w:val="000000" w:themeColor="text1"/>
                <w:sz w:val="26"/>
                <w:szCs w:val="26"/>
              </w:rPr>
            </w:pPr>
            <w:r w:rsidRPr="00D41D30">
              <w:rPr>
                <w:rFonts w:hAnsi="標楷體" w:hint="eastAsia"/>
                <w:color w:val="000000" w:themeColor="text1"/>
                <w:sz w:val="26"/>
                <w:szCs w:val="26"/>
              </w:rPr>
              <w:t>2.新辦中心54所，抽訪2次，計108次，續辦中心1</w:t>
            </w:r>
            <w:r w:rsidRPr="00D41D30">
              <w:rPr>
                <w:rFonts w:hAnsi="標楷體"/>
                <w:color w:val="000000" w:themeColor="text1"/>
                <w:sz w:val="26"/>
                <w:szCs w:val="26"/>
              </w:rPr>
              <w:t>00</w:t>
            </w:r>
            <w:r w:rsidRPr="00D41D30">
              <w:rPr>
                <w:rFonts w:hAnsi="標楷體" w:hint="eastAsia"/>
                <w:color w:val="000000" w:themeColor="text1"/>
                <w:sz w:val="26"/>
                <w:szCs w:val="26"/>
              </w:rPr>
              <w:t>所，抽訪1次，合計2</w:t>
            </w:r>
            <w:r w:rsidRPr="00D41D30">
              <w:rPr>
                <w:rFonts w:hAnsi="標楷體"/>
                <w:color w:val="000000" w:themeColor="text1"/>
                <w:sz w:val="26"/>
                <w:szCs w:val="26"/>
              </w:rPr>
              <w:t>08</w:t>
            </w:r>
            <w:r w:rsidRPr="00D41D30">
              <w:rPr>
                <w:rFonts w:hAnsi="標楷體" w:hint="eastAsia"/>
                <w:color w:val="000000" w:themeColor="text1"/>
                <w:sz w:val="26"/>
                <w:szCs w:val="26"/>
              </w:rPr>
              <w:t>次。</w:t>
            </w:r>
          </w:p>
        </w:tc>
        <w:tc>
          <w:tcPr>
            <w:tcW w:w="4296" w:type="dxa"/>
          </w:tcPr>
          <w:p w:rsidR="00EF5F66" w:rsidRPr="00D41D30" w:rsidRDefault="00EF5F66" w:rsidP="00E10DF9">
            <w:pPr>
              <w:adjustRightInd w:val="0"/>
              <w:snapToGrid w:val="0"/>
              <w:ind w:firstLineChars="9" w:firstLine="25"/>
              <w:rPr>
                <w:rFonts w:ascii="Times New Roman"/>
                <w:color w:val="000000" w:themeColor="text1"/>
                <w:sz w:val="26"/>
                <w:szCs w:val="26"/>
              </w:rPr>
            </w:pPr>
            <w:r w:rsidRPr="00D41D30">
              <w:rPr>
                <w:rFonts w:ascii="Times New Roman" w:hint="eastAsia"/>
                <w:color w:val="000000" w:themeColor="text1"/>
                <w:sz w:val="26"/>
                <w:szCs w:val="26"/>
              </w:rPr>
              <w:t>北區訪視</w:t>
            </w:r>
            <w:r w:rsidRPr="00D41D30">
              <w:rPr>
                <w:rFonts w:ascii="Times New Roman" w:hint="eastAsia"/>
                <w:color w:val="000000" w:themeColor="text1"/>
                <w:sz w:val="26"/>
                <w:szCs w:val="26"/>
              </w:rPr>
              <w:t>51</w:t>
            </w:r>
            <w:r w:rsidRPr="00D41D30">
              <w:rPr>
                <w:rFonts w:ascii="Times New Roman" w:hint="eastAsia"/>
                <w:color w:val="000000" w:themeColor="text1"/>
                <w:sz w:val="26"/>
                <w:szCs w:val="26"/>
              </w:rPr>
              <w:t>所、中區</w:t>
            </w:r>
            <w:r w:rsidRPr="00D41D30">
              <w:rPr>
                <w:rFonts w:ascii="Times New Roman" w:hint="eastAsia"/>
                <w:color w:val="000000" w:themeColor="text1"/>
                <w:sz w:val="26"/>
                <w:szCs w:val="26"/>
              </w:rPr>
              <w:t>3</w:t>
            </w:r>
            <w:r w:rsidRPr="00D41D30">
              <w:rPr>
                <w:rFonts w:ascii="Times New Roman"/>
                <w:color w:val="000000" w:themeColor="text1"/>
                <w:sz w:val="26"/>
                <w:szCs w:val="26"/>
              </w:rPr>
              <w:t>1</w:t>
            </w:r>
            <w:r w:rsidRPr="00D41D30">
              <w:rPr>
                <w:rFonts w:ascii="Times New Roman" w:hint="eastAsia"/>
                <w:color w:val="000000" w:themeColor="text1"/>
                <w:sz w:val="26"/>
                <w:szCs w:val="26"/>
              </w:rPr>
              <w:t>所、中南區</w:t>
            </w:r>
            <w:r w:rsidRPr="00D41D30">
              <w:rPr>
                <w:rFonts w:ascii="Times New Roman" w:hint="eastAsia"/>
                <w:color w:val="000000" w:themeColor="text1"/>
                <w:sz w:val="26"/>
                <w:szCs w:val="26"/>
              </w:rPr>
              <w:t>21</w:t>
            </w:r>
            <w:r w:rsidRPr="00D41D30">
              <w:rPr>
                <w:rFonts w:ascii="Times New Roman" w:hint="eastAsia"/>
                <w:color w:val="000000" w:themeColor="text1"/>
                <w:sz w:val="26"/>
                <w:szCs w:val="26"/>
              </w:rPr>
              <w:t>所、南區</w:t>
            </w:r>
            <w:r w:rsidRPr="00D41D30">
              <w:rPr>
                <w:rFonts w:ascii="Times New Roman" w:hint="eastAsia"/>
                <w:color w:val="000000" w:themeColor="text1"/>
                <w:sz w:val="26"/>
                <w:szCs w:val="26"/>
              </w:rPr>
              <w:t>38</w:t>
            </w:r>
            <w:r w:rsidRPr="00D41D30">
              <w:rPr>
                <w:rFonts w:ascii="Times New Roman" w:hint="eastAsia"/>
                <w:color w:val="000000" w:themeColor="text1"/>
                <w:sz w:val="26"/>
                <w:szCs w:val="26"/>
              </w:rPr>
              <w:t>所、總區</w:t>
            </w:r>
            <w:r w:rsidRPr="00D41D30">
              <w:rPr>
                <w:rFonts w:ascii="Times New Roman" w:hint="eastAsia"/>
                <w:color w:val="000000" w:themeColor="text1"/>
                <w:sz w:val="26"/>
                <w:szCs w:val="26"/>
              </w:rPr>
              <w:t>13</w:t>
            </w:r>
            <w:r w:rsidRPr="00D41D30">
              <w:rPr>
                <w:rFonts w:ascii="Times New Roman" w:hint="eastAsia"/>
                <w:color w:val="000000" w:themeColor="text1"/>
                <w:sz w:val="26"/>
                <w:szCs w:val="26"/>
              </w:rPr>
              <w:t>所，相關訪視紀錄提供各縣市政府作為後續輔導中心運用。</w:t>
            </w:r>
          </w:p>
        </w:tc>
      </w:tr>
      <w:tr w:rsidR="00EF5F66" w:rsidRPr="00D41D30" w:rsidTr="002E4F7E">
        <w:trPr>
          <w:jc w:val="center"/>
        </w:trPr>
        <w:tc>
          <w:tcPr>
            <w:tcW w:w="851" w:type="dxa"/>
            <w:shd w:val="clear" w:color="auto" w:fill="auto"/>
            <w:vAlign w:val="center"/>
          </w:tcPr>
          <w:p w:rsidR="00EF5F66" w:rsidRPr="00D41D30" w:rsidRDefault="00EF5F66" w:rsidP="002E4F7E">
            <w:pPr>
              <w:adjustRightInd w:val="0"/>
              <w:snapToGrid w:val="0"/>
              <w:jc w:val="center"/>
              <w:rPr>
                <w:rFonts w:hAnsi="標楷體"/>
                <w:b/>
                <w:color w:val="000000" w:themeColor="text1"/>
                <w:sz w:val="26"/>
                <w:szCs w:val="26"/>
              </w:rPr>
            </w:pPr>
            <w:r w:rsidRPr="00D41D30">
              <w:rPr>
                <w:rFonts w:hAnsi="標楷體" w:hint="eastAsia"/>
                <w:b/>
                <w:color w:val="000000" w:themeColor="text1"/>
                <w:sz w:val="26"/>
                <w:szCs w:val="26"/>
              </w:rPr>
              <w:t>107年</w:t>
            </w:r>
          </w:p>
        </w:tc>
        <w:tc>
          <w:tcPr>
            <w:tcW w:w="3833" w:type="dxa"/>
            <w:shd w:val="clear" w:color="auto" w:fill="auto"/>
          </w:tcPr>
          <w:p w:rsidR="00EF5F66" w:rsidRPr="00D41D30" w:rsidRDefault="00034190" w:rsidP="00034190">
            <w:pPr>
              <w:adjustRightInd w:val="0"/>
              <w:snapToGrid w:val="0"/>
              <w:ind w:left="261" w:hangingChars="93" w:hanging="261"/>
              <w:rPr>
                <w:rFonts w:hAnsi="標楷體"/>
                <w:color w:val="000000" w:themeColor="text1"/>
                <w:sz w:val="26"/>
                <w:szCs w:val="26"/>
              </w:rPr>
            </w:pPr>
            <w:r w:rsidRPr="00D41D30">
              <w:rPr>
                <w:rFonts w:hAnsi="標楷體" w:hint="eastAsia"/>
                <w:color w:val="000000" w:themeColor="text1"/>
                <w:sz w:val="26"/>
                <w:szCs w:val="26"/>
              </w:rPr>
              <w:t>1.</w:t>
            </w:r>
            <w:r w:rsidR="00EF5F66" w:rsidRPr="00D41D30">
              <w:rPr>
                <w:rFonts w:hAnsi="標楷體" w:hint="eastAsia"/>
                <w:color w:val="000000" w:themeColor="text1"/>
                <w:sz w:val="26"/>
                <w:szCs w:val="26"/>
              </w:rPr>
              <w:t>新辦中心及配合各縣市政府訪視，抽訪該年度訪視數1/2，4所示範中心及3所優質中心，共152所。</w:t>
            </w:r>
          </w:p>
          <w:p w:rsidR="00EF5F66" w:rsidRPr="00D41D30" w:rsidRDefault="00EF5F66" w:rsidP="00E10DF9">
            <w:pPr>
              <w:adjustRightInd w:val="0"/>
              <w:snapToGrid w:val="0"/>
              <w:ind w:left="261" w:hangingChars="93" w:hanging="261"/>
              <w:rPr>
                <w:rFonts w:hAnsi="標楷體"/>
                <w:color w:val="000000" w:themeColor="text1"/>
                <w:sz w:val="26"/>
                <w:szCs w:val="26"/>
              </w:rPr>
            </w:pPr>
            <w:r w:rsidRPr="00D41D30">
              <w:rPr>
                <w:rFonts w:hAnsi="標楷體" w:hint="eastAsia"/>
                <w:color w:val="000000" w:themeColor="text1"/>
                <w:sz w:val="26"/>
                <w:szCs w:val="26"/>
              </w:rPr>
              <w:t>2.新辦中心33所，抽訪2次，計66次，續辦中心119所，抽訪1次，合計185次。</w:t>
            </w:r>
          </w:p>
        </w:tc>
        <w:tc>
          <w:tcPr>
            <w:tcW w:w="4296" w:type="dxa"/>
          </w:tcPr>
          <w:p w:rsidR="00EF5F66" w:rsidRPr="00D41D30" w:rsidRDefault="00EF5F66" w:rsidP="00E10DF9">
            <w:pPr>
              <w:adjustRightInd w:val="0"/>
              <w:snapToGrid w:val="0"/>
              <w:rPr>
                <w:rFonts w:ascii="Times New Roman"/>
                <w:color w:val="000000" w:themeColor="text1"/>
                <w:sz w:val="26"/>
                <w:szCs w:val="26"/>
              </w:rPr>
            </w:pPr>
            <w:r w:rsidRPr="00D41D30">
              <w:rPr>
                <w:rFonts w:ascii="Times New Roman" w:hint="eastAsia"/>
                <w:color w:val="000000" w:themeColor="text1"/>
                <w:sz w:val="26"/>
                <w:szCs w:val="26"/>
              </w:rPr>
              <w:t>北區訪視</w:t>
            </w:r>
            <w:r w:rsidRPr="00D41D30">
              <w:rPr>
                <w:rFonts w:ascii="Times New Roman" w:hint="eastAsia"/>
                <w:color w:val="000000" w:themeColor="text1"/>
                <w:sz w:val="26"/>
                <w:szCs w:val="26"/>
              </w:rPr>
              <w:t>51</w:t>
            </w:r>
            <w:r w:rsidRPr="00D41D30">
              <w:rPr>
                <w:rFonts w:ascii="Times New Roman" w:hint="eastAsia"/>
                <w:color w:val="000000" w:themeColor="text1"/>
                <w:sz w:val="26"/>
                <w:szCs w:val="26"/>
              </w:rPr>
              <w:t>所、中區</w:t>
            </w:r>
            <w:r w:rsidRPr="00D41D30">
              <w:rPr>
                <w:rFonts w:ascii="Times New Roman" w:hint="eastAsia"/>
                <w:color w:val="000000" w:themeColor="text1"/>
                <w:sz w:val="26"/>
                <w:szCs w:val="26"/>
              </w:rPr>
              <w:t>53</w:t>
            </w:r>
            <w:r w:rsidRPr="00D41D30">
              <w:rPr>
                <w:rFonts w:ascii="Times New Roman" w:hint="eastAsia"/>
                <w:color w:val="000000" w:themeColor="text1"/>
                <w:sz w:val="26"/>
                <w:szCs w:val="26"/>
              </w:rPr>
              <w:t>所、中南區</w:t>
            </w:r>
            <w:r w:rsidRPr="00D41D30">
              <w:rPr>
                <w:rFonts w:ascii="Times New Roman" w:hint="eastAsia"/>
                <w:color w:val="000000" w:themeColor="text1"/>
                <w:sz w:val="26"/>
                <w:szCs w:val="26"/>
              </w:rPr>
              <w:t>25</w:t>
            </w:r>
            <w:r w:rsidRPr="00D41D30">
              <w:rPr>
                <w:rFonts w:ascii="Times New Roman" w:hint="eastAsia"/>
                <w:color w:val="000000" w:themeColor="text1"/>
                <w:sz w:val="26"/>
                <w:szCs w:val="26"/>
              </w:rPr>
              <w:t>所、南區</w:t>
            </w:r>
            <w:r w:rsidRPr="00D41D30">
              <w:rPr>
                <w:rFonts w:ascii="Times New Roman" w:hint="eastAsia"/>
                <w:color w:val="000000" w:themeColor="text1"/>
                <w:sz w:val="26"/>
                <w:szCs w:val="26"/>
              </w:rPr>
              <w:t>38</w:t>
            </w:r>
            <w:r w:rsidRPr="00D41D30">
              <w:rPr>
                <w:rFonts w:ascii="Times New Roman" w:hint="eastAsia"/>
                <w:color w:val="000000" w:themeColor="text1"/>
                <w:sz w:val="26"/>
                <w:szCs w:val="26"/>
              </w:rPr>
              <w:t>所、總區</w:t>
            </w:r>
            <w:r w:rsidRPr="00D41D30">
              <w:rPr>
                <w:rFonts w:ascii="Times New Roman" w:hint="eastAsia"/>
                <w:color w:val="000000" w:themeColor="text1"/>
                <w:sz w:val="26"/>
                <w:szCs w:val="26"/>
              </w:rPr>
              <w:t>13</w:t>
            </w:r>
            <w:r w:rsidRPr="00D41D30">
              <w:rPr>
                <w:rFonts w:ascii="Times New Roman" w:hint="eastAsia"/>
                <w:color w:val="000000" w:themeColor="text1"/>
                <w:sz w:val="26"/>
                <w:szCs w:val="26"/>
              </w:rPr>
              <w:t>所，相關訪視紀錄提供各縣市政府作為後續輔導中心運用。</w:t>
            </w:r>
          </w:p>
        </w:tc>
      </w:tr>
    </w:tbl>
    <w:p w:rsidR="00EF5F66" w:rsidRPr="00D41D30" w:rsidRDefault="00442D34" w:rsidP="00EF5F66">
      <w:pPr>
        <w:rPr>
          <w:color w:val="000000" w:themeColor="text1"/>
          <w:sz w:val="24"/>
          <w:szCs w:val="24"/>
        </w:rPr>
      </w:pPr>
      <w:r w:rsidRPr="00D41D30">
        <w:rPr>
          <w:rFonts w:hint="eastAsia"/>
          <w:color w:val="000000" w:themeColor="text1"/>
          <w:sz w:val="24"/>
          <w:szCs w:val="24"/>
        </w:rPr>
        <w:t>資料來源：教育部調卷資料</w:t>
      </w:r>
    </w:p>
    <w:p w:rsidR="008B77DD" w:rsidRPr="00D41D30" w:rsidRDefault="00FD25FF" w:rsidP="00E55784">
      <w:pPr>
        <w:pStyle w:val="3"/>
        <w:spacing w:beforeLines="100" w:before="457"/>
        <w:ind w:left="1360" w:hanging="680"/>
        <w:rPr>
          <w:color w:val="000000" w:themeColor="text1"/>
        </w:rPr>
      </w:pPr>
      <w:bookmarkStart w:id="525" w:name="_Toc30512478"/>
      <w:bookmarkStart w:id="526" w:name="_Toc30581186"/>
      <w:bookmarkStart w:id="527" w:name="_Toc32392459"/>
      <w:bookmarkStart w:id="528" w:name="_Toc32673649"/>
      <w:bookmarkStart w:id="529" w:name="_Toc32845791"/>
      <w:bookmarkStart w:id="530" w:name="_Toc32846514"/>
      <w:bookmarkStart w:id="531" w:name="_Toc32913757"/>
      <w:bookmarkStart w:id="532" w:name="_Toc32918433"/>
      <w:bookmarkStart w:id="533" w:name="_Toc33011726"/>
      <w:r w:rsidRPr="00D41D30">
        <w:rPr>
          <w:rFonts w:hint="eastAsia"/>
          <w:color w:val="000000" w:themeColor="text1"/>
        </w:rPr>
        <w:t>教育部自辦之訪視計畫</w:t>
      </w:r>
      <w:r w:rsidR="008B77DD" w:rsidRPr="00D41D30">
        <w:rPr>
          <w:rFonts w:hint="eastAsia"/>
          <w:color w:val="000000" w:themeColor="text1"/>
        </w:rPr>
        <w:t>情形</w:t>
      </w:r>
      <w:bookmarkEnd w:id="525"/>
      <w:bookmarkEnd w:id="526"/>
      <w:bookmarkEnd w:id="527"/>
      <w:bookmarkEnd w:id="528"/>
      <w:bookmarkEnd w:id="529"/>
      <w:bookmarkEnd w:id="530"/>
      <w:bookmarkEnd w:id="531"/>
      <w:bookmarkEnd w:id="532"/>
      <w:bookmarkEnd w:id="533"/>
    </w:p>
    <w:p w:rsidR="00442D34" w:rsidRPr="00D41D30" w:rsidRDefault="00FD25FF" w:rsidP="008B77DD">
      <w:pPr>
        <w:pStyle w:val="4"/>
        <w:rPr>
          <w:color w:val="000000" w:themeColor="text1"/>
        </w:rPr>
      </w:pPr>
      <w:r w:rsidRPr="00D41D30">
        <w:rPr>
          <w:rFonts w:hint="eastAsia"/>
          <w:color w:val="000000" w:themeColor="text1"/>
        </w:rPr>
        <w:t>主要為102及103學年度樂齡大學訪視及105-108年訪視各直轄市及縣（市）政府執行樂齡學習政策實施計畫，列表說明如下:</w:t>
      </w:r>
    </w:p>
    <w:p w:rsidR="008B77DD" w:rsidRPr="00D41D30" w:rsidRDefault="00C6187A" w:rsidP="00471512">
      <w:pPr>
        <w:pStyle w:val="a4"/>
        <w:ind w:left="697" w:hanging="697"/>
        <w:rPr>
          <w:b/>
          <w:color w:val="000000" w:themeColor="text1"/>
        </w:rPr>
      </w:pPr>
      <w:r w:rsidRPr="00D41D30">
        <w:rPr>
          <w:rFonts w:hint="eastAsia"/>
          <w:b/>
          <w:color w:val="000000" w:themeColor="text1"/>
        </w:rPr>
        <w:t>教育部自辦</w:t>
      </w:r>
      <w:r w:rsidR="00385C1E" w:rsidRPr="00D41D30">
        <w:rPr>
          <w:rFonts w:hint="eastAsia"/>
          <w:b/>
          <w:color w:val="000000" w:themeColor="text1"/>
        </w:rPr>
        <w:t>訪視</w:t>
      </w:r>
      <w:r w:rsidRPr="00D41D30">
        <w:rPr>
          <w:rFonts w:hint="eastAsia"/>
          <w:b/>
          <w:color w:val="000000" w:themeColor="text1"/>
        </w:rPr>
        <w:t>計畫</w:t>
      </w:r>
    </w:p>
    <w:tbl>
      <w:tblPr>
        <w:tblW w:w="93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293"/>
        <w:gridCol w:w="2530"/>
        <w:gridCol w:w="3942"/>
      </w:tblGrid>
      <w:tr w:rsidR="00796AD6" w:rsidRPr="00D41D30" w:rsidTr="002E4F7E">
        <w:trPr>
          <w:tblHeader/>
        </w:trPr>
        <w:tc>
          <w:tcPr>
            <w:tcW w:w="604" w:type="dxa"/>
          </w:tcPr>
          <w:p w:rsidR="00796AD6" w:rsidRPr="00D41D30" w:rsidRDefault="009E6684" w:rsidP="00420AB9">
            <w:pPr>
              <w:widowControl/>
              <w:adjustRightInd w:val="0"/>
              <w:snapToGrid w:val="0"/>
              <w:spacing w:line="300" w:lineRule="auto"/>
              <w:ind w:left="561" w:hanging="561"/>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學</w:t>
            </w:r>
            <w:r w:rsidR="00796AD6" w:rsidRPr="00D41D30">
              <w:rPr>
                <w:rFonts w:hAnsi="標楷體" w:hint="eastAsia"/>
                <w:b/>
                <w:bCs/>
                <w:color w:val="000000" w:themeColor="text1"/>
                <w:sz w:val="26"/>
                <w:szCs w:val="26"/>
                <w:lang w:val="x-none"/>
              </w:rPr>
              <w:t>年度</w:t>
            </w:r>
          </w:p>
        </w:tc>
        <w:tc>
          <w:tcPr>
            <w:tcW w:w="2294" w:type="dxa"/>
          </w:tcPr>
          <w:p w:rsidR="00796AD6" w:rsidRPr="00D41D30" w:rsidRDefault="00796AD6" w:rsidP="001917E9">
            <w:pPr>
              <w:widowControl/>
              <w:adjustRightInd w:val="0"/>
              <w:snapToGrid w:val="0"/>
              <w:spacing w:line="300" w:lineRule="auto"/>
              <w:ind w:left="561" w:hanging="561"/>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訪視目的</w:t>
            </w:r>
          </w:p>
        </w:tc>
        <w:tc>
          <w:tcPr>
            <w:tcW w:w="2531" w:type="dxa"/>
          </w:tcPr>
          <w:p w:rsidR="00796AD6" w:rsidRPr="00D41D30" w:rsidRDefault="00796AD6" w:rsidP="001917E9">
            <w:pPr>
              <w:widowControl/>
              <w:adjustRightInd w:val="0"/>
              <w:snapToGrid w:val="0"/>
              <w:spacing w:line="300" w:lineRule="auto"/>
              <w:ind w:left="561" w:hanging="561"/>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訪視次數</w:t>
            </w:r>
          </w:p>
        </w:tc>
        <w:tc>
          <w:tcPr>
            <w:tcW w:w="3944" w:type="dxa"/>
          </w:tcPr>
          <w:p w:rsidR="00796AD6" w:rsidRPr="00D41D30" w:rsidRDefault="00796AD6" w:rsidP="001917E9">
            <w:pPr>
              <w:widowControl/>
              <w:adjustRightInd w:val="0"/>
              <w:snapToGrid w:val="0"/>
              <w:spacing w:line="300" w:lineRule="auto"/>
              <w:ind w:left="561" w:hanging="561"/>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訪視結果</w:t>
            </w:r>
          </w:p>
        </w:tc>
      </w:tr>
      <w:tr w:rsidR="00796AD6" w:rsidRPr="00D41D30" w:rsidTr="00EF1548">
        <w:tc>
          <w:tcPr>
            <w:tcW w:w="604" w:type="dxa"/>
            <w:vAlign w:val="center"/>
          </w:tcPr>
          <w:p w:rsidR="00796AD6" w:rsidRPr="00D41D30" w:rsidRDefault="00796AD6" w:rsidP="002E4F7E">
            <w:pPr>
              <w:widowControl/>
              <w:adjustRightInd w:val="0"/>
              <w:snapToGrid w:val="0"/>
              <w:spacing w:line="300" w:lineRule="auto"/>
              <w:ind w:left="521" w:hanging="521"/>
              <w:jc w:val="center"/>
              <w:rPr>
                <w:rFonts w:hAnsi="標楷體"/>
                <w:b/>
                <w:bCs/>
                <w:color w:val="000000" w:themeColor="text1"/>
                <w:sz w:val="24"/>
                <w:szCs w:val="24"/>
                <w:lang w:val="x-none"/>
              </w:rPr>
            </w:pPr>
            <w:r w:rsidRPr="00D41D30">
              <w:rPr>
                <w:rFonts w:hAnsi="標楷體" w:hint="eastAsia"/>
                <w:b/>
                <w:bCs/>
                <w:color w:val="000000" w:themeColor="text1"/>
                <w:sz w:val="24"/>
                <w:szCs w:val="24"/>
                <w:lang w:val="x-none"/>
              </w:rPr>
              <w:t>102</w:t>
            </w:r>
          </w:p>
        </w:tc>
        <w:tc>
          <w:tcPr>
            <w:tcW w:w="2294" w:type="dxa"/>
          </w:tcPr>
          <w:p w:rsidR="00796AD6" w:rsidRPr="00D41D30" w:rsidRDefault="00796AD6" w:rsidP="00EF1548">
            <w:pPr>
              <w:widowControl/>
              <w:adjustRightInd w:val="0"/>
              <w:snapToGrid w:val="0"/>
              <w:spacing w:line="300" w:lineRule="auto"/>
              <w:ind w:left="221"/>
              <w:rPr>
                <w:rFonts w:hAnsi="標楷體"/>
                <w:bCs/>
                <w:color w:val="000000" w:themeColor="text1"/>
                <w:sz w:val="24"/>
                <w:szCs w:val="24"/>
                <w:lang w:val="x-none"/>
              </w:rPr>
            </w:pPr>
            <w:r w:rsidRPr="00D41D30">
              <w:rPr>
                <w:rFonts w:hAnsi="標楷體" w:hint="eastAsia"/>
                <w:bCs/>
                <w:color w:val="000000" w:themeColor="text1"/>
                <w:sz w:val="24"/>
                <w:szCs w:val="24"/>
                <w:lang w:val="x-none"/>
              </w:rPr>
              <w:t>為了解學校辦理單位及參與學員</w:t>
            </w:r>
            <w:r w:rsidRPr="00D41D30">
              <w:rPr>
                <w:rFonts w:hAnsi="標楷體" w:hint="eastAsia"/>
                <w:bCs/>
                <w:color w:val="000000" w:themeColor="text1"/>
                <w:sz w:val="24"/>
                <w:szCs w:val="24"/>
                <w:lang w:val="x-none"/>
              </w:rPr>
              <w:lastRenderedPageBreak/>
              <w:t>對執行計畫之建議事項</w:t>
            </w:r>
          </w:p>
        </w:tc>
        <w:tc>
          <w:tcPr>
            <w:tcW w:w="2531" w:type="dxa"/>
          </w:tcPr>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lastRenderedPageBreak/>
              <w:t>101學年度新承辦學校、未訪視過學</w:t>
            </w:r>
            <w:r w:rsidRPr="00D41D30">
              <w:rPr>
                <w:rFonts w:hAnsi="標楷體" w:hint="eastAsia"/>
                <w:bCs/>
                <w:color w:val="000000" w:themeColor="text1"/>
                <w:sz w:val="24"/>
                <w:szCs w:val="24"/>
                <w:lang w:val="x-none"/>
              </w:rPr>
              <w:lastRenderedPageBreak/>
              <w:t>校及100學年度訪視有建議事項學校，計抽訪22所</w:t>
            </w:r>
          </w:p>
        </w:tc>
        <w:tc>
          <w:tcPr>
            <w:tcW w:w="3944" w:type="dxa"/>
          </w:tcPr>
          <w:p w:rsidR="00796AD6" w:rsidRPr="00D41D30" w:rsidRDefault="00796AD6" w:rsidP="00E10DF9">
            <w:pPr>
              <w:widowControl/>
              <w:adjustRightInd w:val="0"/>
              <w:snapToGrid w:val="0"/>
              <w:ind w:firstLineChars="11" w:firstLine="29"/>
              <w:rPr>
                <w:rFonts w:hAnsi="標楷體"/>
                <w:bCs/>
                <w:color w:val="000000" w:themeColor="text1"/>
                <w:sz w:val="24"/>
                <w:szCs w:val="24"/>
                <w:lang w:val="x-none"/>
              </w:rPr>
            </w:pPr>
            <w:r w:rsidRPr="00D41D30">
              <w:rPr>
                <w:rFonts w:hAnsi="標楷體" w:hint="eastAsia"/>
                <w:bCs/>
                <w:color w:val="000000" w:themeColor="text1"/>
                <w:sz w:val="24"/>
                <w:szCs w:val="24"/>
                <w:lang w:val="x-none"/>
              </w:rPr>
              <w:lastRenderedPageBreak/>
              <w:t>委員建議</w:t>
            </w:r>
          </w:p>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1.代間課程及活動設計應深化。</w:t>
            </w:r>
          </w:p>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2.課程設計應符合規定並強化特</w:t>
            </w:r>
            <w:r w:rsidRPr="00D41D30">
              <w:rPr>
                <w:rFonts w:hAnsi="標楷體" w:hint="eastAsia"/>
                <w:bCs/>
                <w:color w:val="000000" w:themeColor="text1"/>
                <w:sz w:val="24"/>
                <w:szCs w:val="24"/>
                <w:lang w:val="x-none"/>
              </w:rPr>
              <w:lastRenderedPageBreak/>
              <w:t>色課程，辦理型態宜彈性多元化。</w:t>
            </w:r>
          </w:p>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3.增進教師高齡教學技巧。</w:t>
            </w:r>
          </w:p>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4.增加行銷樂齡大學的方式與管道。</w:t>
            </w:r>
          </w:p>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5.建立使用者付費之觀念以及收費制度。</w:t>
            </w:r>
          </w:p>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6.上課地點及設備應考量高齡者的需求。</w:t>
            </w:r>
          </w:p>
        </w:tc>
      </w:tr>
      <w:tr w:rsidR="00796AD6" w:rsidRPr="00D41D30" w:rsidTr="002E4F7E">
        <w:tc>
          <w:tcPr>
            <w:tcW w:w="604" w:type="dxa"/>
            <w:vAlign w:val="center"/>
          </w:tcPr>
          <w:p w:rsidR="00796AD6" w:rsidRPr="00D41D30" w:rsidRDefault="00796AD6" w:rsidP="002E4F7E">
            <w:pPr>
              <w:widowControl/>
              <w:adjustRightInd w:val="0"/>
              <w:snapToGrid w:val="0"/>
              <w:spacing w:line="300" w:lineRule="auto"/>
              <w:ind w:left="521" w:hanging="521"/>
              <w:jc w:val="center"/>
              <w:rPr>
                <w:rFonts w:hAnsi="標楷體"/>
                <w:b/>
                <w:bCs/>
                <w:color w:val="000000" w:themeColor="text1"/>
                <w:sz w:val="24"/>
                <w:szCs w:val="24"/>
                <w:lang w:val="x-none"/>
              </w:rPr>
            </w:pPr>
            <w:r w:rsidRPr="00D41D30">
              <w:rPr>
                <w:rFonts w:hAnsi="標楷體" w:hint="eastAsia"/>
                <w:b/>
                <w:bCs/>
                <w:color w:val="000000" w:themeColor="text1"/>
                <w:sz w:val="24"/>
                <w:szCs w:val="24"/>
                <w:lang w:val="x-none"/>
              </w:rPr>
              <w:lastRenderedPageBreak/>
              <w:t>103</w:t>
            </w:r>
          </w:p>
        </w:tc>
        <w:tc>
          <w:tcPr>
            <w:tcW w:w="2294" w:type="dxa"/>
          </w:tcPr>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為了解學校辦理單位及參與學員對執行計畫之建議事項</w:t>
            </w:r>
          </w:p>
        </w:tc>
        <w:tc>
          <w:tcPr>
            <w:tcW w:w="2531" w:type="dxa"/>
          </w:tcPr>
          <w:p w:rsidR="00796AD6" w:rsidRPr="00D41D30" w:rsidRDefault="00796AD6" w:rsidP="00E10DF9">
            <w:pPr>
              <w:widowControl/>
              <w:adjustRightInd w:val="0"/>
              <w:snapToGrid w:val="0"/>
              <w:spacing w:line="300" w:lineRule="auto"/>
              <w:ind w:left="520" w:hanging="520"/>
              <w:rPr>
                <w:rFonts w:hAnsi="標楷體"/>
                <w:bCs/>
                <w:color w:val="000000" w:themeColor="text1"/>
                <w:sz w:val="24"/>
                <w:szCs w:val="24"/>
                <w:lang w:val="x-none"/>
              </w:rPr>
            </w:pPr>
            <w:r w:rsidRPr="00D41D30">
              <w:rPr>
                <w:rFonts w:hAnsi="標楷體" w:hint="eastAsia"/>
                <w:bCs/>
                <w:color w:val="000000" w:themeColor="text1"/>
                <w:sz w:val="24"/>
                <w:szCs w:val="24"/>
                <w:lang w:val="x-none"/>
              </w:rPr>
              <w:t>抽訪8所，每所1次</w:t>
            </w:r>
          </w:p>
        </w:tc>
        <w:tc>
          <w:tcPr>
            <w:tcW w:w="3944" w:type="dxa"/>
          </w:tcPr>
          <w:p w:rsidR="00796AD6" w:rsidRPr="00D41D30" w:rsidRDefault="00796AD6" w:rsidP="00406E3A">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委員建議</w:t>
            </w:r>
          </w:p>
          <w:p w:rsidR="00796AD6" w:rsidRPr="00D41D30" w:rsidRDefault="00796AD6" w:rsidP="00406E3A">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1.課程設計宜結合校務發展特色，並將學員需求融入其中。</w:t>
            </w:r>
          </w:p>
          <w:p w:rsidR="00796AD6" w:rsidRPr="00D41D30" w:rsidRDefault="00796AD6" w:rsidP="00406E3A">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2.將辦學成果以影像、故事敘寫方式作成紀錄，以拓展宣傳行銷方式。</w:t>
            </w:r>
          </w:p>
          <w:p w:rsidR="00796AD6" w:rsidRPr="00D41D30" w:rsidRDefault="00796AD6" w:rsidP="00406E3A">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3.以「學習」為元素，發展自主學習團體，拓展高齡學員自主運作之平臺。</w:t>
            </w:r>
          </w:p>
        </w:tc>
      </w:tr>
      <w:tr w:rsidR="00796AD6" w:rsidRPr="00D41D30" w:rsidTr="002E4F7E">
        <w:tc>
          <w:tcPr>
            <w:tcW w:w="604" w:type="dxa"/>
            <w:vAlign w:val="center"/>
          </w:tcPr>
          <w:p w:rsidR="00796AD6" w:rsidRPr="00D41D30" w:rsidRDefault="00796AD6" w:rsidP="002E4F7E">
            <w:pPr>
              <w:widowControl/>
              <w:adjustRightInd w:val="0"/>
              <w:snapToGrid w:val="0"/>
              <w:spacing w:line="300" w:lineRule="auto"/>
              <w:ind w:left="521" w:hanging="521"/>
              <w:jc w:val="center"/>
              <w:rPr>
                <w:rFonts w:hAnsi="標楷體"/>
                <w:b/>
                <w:bCs/>
                <w:color w:val="000000" w:themeColor="text1"/>
                <w:sz w:val="24"/>
                <w:szCs w:val="24"/>
                <w:lang w:val="x-none"/>
              </w:rPr>
            </w:pPr>
            <w:r w:rsidRPr="00D41D30">
              <w:rPr>
                <w:rFonts w:hAnsi="標楷體" w:hint="eastAsia"/>
                <w:b/>
                <w:bCs/>
                <w:color w:val="000000" w:themeColor="text1"/>
                <w:sz w:val="24"/>
                <w:szCs w:val="24"/>
                <w:lang w:val="x-none"/>
              </w:rPr>
              <w:t>105</w:t>
            </w:r>
          </w:p>
        </w:tc>
        <w:tc>
          <w:tcPr>
            <w:tcW w:w="2294" w:type="dxa"/>
          </w:tcPr>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1.為實地了解各直轄市、縣</w:t>
            </w:r>
            <w:r w:rsidR="00B562C7"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市</w:t>
            </w:r>
            <w:r w:rsidR="006B5136"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政府推動樂齡學習現況、行政督導及執行各鄉鎮市區樂齡中心成效。</w:t>
            </w:r>
          </w:p>
          <w:p w:rsidR="00796AD6" w:rsidRPr="00D41D30" w:rsidRDefault="00796AD6"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2.激勵辦理績效良好之直轄市、縣</w:t>
            </w:r>
            <w:r w:rsidR="00B562C7"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市</w:t>
            </w:r>
            <w:r w:rsidR="006B5136"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政府，輔導及發展在地樂齡學習特色，落實樂齡者學習權益及營造終身學習的友善環境。</w:t>
            </w:r>
          </w:p>
        </w:tc>
        <w:tc>
          <w:tcPr>
            <w:tcW w:w="2531" w:type="dxa"/>
          </w:tcPr>
          <w:p w:rsidR="00796AD6" w:rsidRPr="00D41D30" w:rsidRDefault="00796AD6" w:rsidP="00E10DF9">
            <w:pPr>
              <w:widowControl/>
              <w:adjustRightInd w:val="0"/>
              <w:snapToGrid w:val="0"/>
              <w:spacing w:line="300" w:lineRule="auto"/>
              <w:ind w:left="520" w:hanging="520"/>
              <w:rPr>
                <w:rFonts w:hAnsi="標楷體"/>
                <w:bCs/>
                <w:color w:val="000000" w:themeColor="text1"/>
                <w:sz w:val="24"/>
                <w:szCs w:val="24"/>
                <w:lang w:val="x-none"/>
              </w:rPr>
            </w:pPr>
            <w:r w:rsidRPr="00D41D30">
              <w:rPr>
                <w:rFonts w:hAnsi="標楷體" w:hint="eastAsia"/>
                <w:bCs/>
                <w:color w:val="000000" w:themeColor="text1"/>
                <w:sz w:val="24"/>
                <w:szCs w:val="24"/>
                <w:lang w:val="x-none"/>
              </w:rPr>
              <w:t>22個縣市政府</w:t>
            </w:r>
          </w:p>
        </w:tc>
        <w:tc>
          <w:tcPr>
            <w:tcW w:w="3944" w:type="dxa"/>
          </w:tcPr>
          <w:p w:rsidR="00796AD6" w:rsidRPr="00D41D30" w:rsidRDefault="00406E3A" w:rsidP="00406E3A">
            <w:pPr>
              <w:widowControl/>
              <w:adjustRightInd w:val="0"/>
              <w:snapToGrid w:val="0"/>
              <w:ind w:left="520" w:hanging="520"/>
              <w:rPr>
                <w:rFonts w:hAnsi="標楷體"/>
                <w:bCs/>
                <w:color w:val="000000" w:themeColor="text1"/>
                <w:sz w:val="24"/>
                <w:szCs w:val="24"/>
                <w:lang w:val="x-none"/>
              </w:rPr>
            </w:pPr>
            <w:r w:rsidRPr="00D41D30">
              <w:rPr>
                <w:rFonts w:hAnsi="標楷體" w:hint="eastAsia"/>
                <w:bCs/>
                <w:color w:val="000000" w:themeColor="text1"/>
                <w:sz w:val="24"/>
                <w:szCs w:val="24"/>
                <w:lang w:val="x-none"/>
              </w:rPr>
              <w:t>1.</w:t>
            </w:r>
            <w:r w:rsidR="00796AD6" w:rsidRPr="00D41D30">
              <w:rPr>
                <w:rFonts w:hAnsi="標楷體" w:hint="eastAsia"/>
                <w:bCs/>
                <w:color w:val="000000" w:themeColor="text1"/>
                <w:sz w:val="24"/>
                <w:szCs w:val="24"/>
                <w:lang w:val="x-none"/>
              </w:rPr>
              <w:t>特優等</w:t>
            </w:r>
            <w:r w:rsidR="00B562C7" w:rsidRPr="00D41D30">
              <w:rPr>
                <w:rFonts w:hAnsi="標楷體" w:hint="eastAsia"/>
                <w:bCs/>
                <w:color w:val="000000" w:themeColor="text1"/>
                <w:sz w:val="24"/>
                <w:szCs w:val="24"/>
                <w:lang w:val="x-none"/>
              </w:rPr>
              <w:t>（</w:t>
            </w:r>
            <w:r w:rsidR="00796AD6" w:rsidRPr="00D41D30">
              <w:rPr>
                <w:rFonts w:hAnsi="標楷體" w:hint="eastAsia"/>
                <w:bCs/>
                <w:color w:val="000000" w:themeColor="text1"/>
                <w:sz w:val="24"/>
                <w:szCs w:val="24"/>
                <w:lang w:val="x-none"/>
              </w:rPr>
              <w:t>1名</w:t>
            </w:r>
            <w:r w:rsidR="006B5136" w:rsidRPr="00D41D30">
              <w:rPr>
                <w:rFonts w:hAnsi="標楷體" w:hint="eastAsia"/>
                <w:bCs/>
                <w:color w:val="000000" w:themeColor="text1"/>
                <w:sz w:val="24"/>
                <w:szCs w:val="24"/>
                <w:lang w:val="x-none"/>
              </w:rPr>
              <w:t>）</w:t>
            </w:r>
            <w:r w:rsidR="00796AD6" w:rsidRPr="00D41D30">
              <w:rPr>
                <w:rFonts w:hAnsi="標楷體" w:hint="eastAsia"/>
                <w:bCs/>
                <w:color w:val="000000" w:themeColor="text1"/>
                <w:sz w:val="24"/>
                <w:szCs w:val="24"/>
                <w:lang w:val="x-none"/>
              </w:rPr>
              <w:t>：新北市</w:t>
            </w:r>
          </w:p>
          <w:p w:rsidR="00796AD6" w:rsidRPr="00D41D30" w:rsidRDefault="000A2BA9"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2.</w:t>
            </w:r>
            <w:r w:rsidR="00796AD6" w:rsidRPr="00D41D30">
              <w:rPr>
                <w:rFonts w:hAnsi="標楷體" w:hint="eastAsia"/>
                <w:bCs/>
                <w:color w:val="000000" w:themeColor="text1"/>
                <w:sz w:val="24"/>
                <w:szCs w:val="24"/>
                <w:lang w:val="x-none"/>
              </w:rPr>
              <w:t>優等（10名）：臺北市、新竹縣、苗栗縣、南投縣、雲林縣、嘉義縣、臺南市、屏東縣、臺東縣、金門縣</w:t>
            </w:r>
          </w:p>
          <w:p w:rsidR="00796AD6" w:rsidRPr="00D41D30" w:rsidRDefault="000A2BA9" w:rsidP="00E10DF9">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3.</w:t>
            </w:r>
            <w:r w:rsidR="00796AD6" w:rsidRPr="00D41D30">
              <w:rPr>
                <w:rFonts w:hAnsi="標楷體" w:hint="eastAsia"/>
                <w:bCs/>
                <w:color w:val="000000" w:themeColor="text1"/>
                <w:sz w:val="24"/>
                <w:szCs w:val="24"/>
                <w:lang w:val="x-none"/>
              </w:rPr>
              <w:t>甲等（9名）：桃園市、新竹市、臺中市、彰化縣、嘉義市、高雄市、宜蘭縣、花蓮縣、澎湖縣</w:t>
            </w:r>
          </w:p>
          <w:p w:rsidR="00796AD6" w:rsidRPr="00D41D30" w:rsidRDefault="000A2BA9" w:rsidP="00406E3A">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4.</w:t>
            </w:r>
            <w:r w:rsidR="00796AD6" w:rsidRPr="00D41D30">
              <w:rPr>
                <w:rFonts w:hAnsi="標楷體" w:hint="eastAsia"/>
                <w:bCs/>
                <w:color w:val="000000" w:themeColor="text1"/>
                <w:sz w:val="24"/>
                <w:szCs w:val="24"/>
                <w:lang w:val="x-none"/>
              </w:rPr>
              <w:t>乙等：基隆市、連江縣</w:t>
            </w:r>
          </w:p>
        </w:tc>
      </w:tr>
      <w:tr w:rsidR="00796AD6" w:rsidRPr="00D41D30" w:rsidTr="00EF1548">
        <w:tc>
          <w:tcPr>
            <w:tcW w:w="604" w:type="dxa"/>
            <w:vAlign w:val="center"/>
          </w:tcPr>
          <w:p w:rsidR="00796AD6" w:rsidRPr="00D41D30" w:rsidRDefault="00796AD6" w:rsidP="002E4F7E">
            <w:pPr>
              <w:widowControl/>
              <w:adjustRightInd w:val="0"/>
              <w:snapToGrid w:val="0"/>
              <w:spacing w:line="300" w:lineRule="auto"/>
              <w:ind w:left="521" w:hanging="521"/>
              <w:jc w:val="center"/>
              <w:rPr>
                <w:rFonts w:hAnsi="標楷體"/>
                <w:b/>
                <w:bCs/>
                <w:color w:val="000000" w:themeColor="text1"/>
                <w:sz w:val="24"/>
                <w:szCs w:val="24"/>
                <w:lang w:val="x-none"/>
              </w:rPr>
            </w:pPr>
            <w:r w:rsidRPr="00D41D30">
              <w:rPr>
                <w:rFonts w:hAnsi="標楷體" w:hint="eastAsia"/>
                <w:b/>
                <w:bCs/>
                <w:color w:val="000000" w:themeColor="text1"/>
                <w:sz w:val="24"/>
                <w:szCs w:val="24"/>
                <w:lang w:val="x-none"/>
              </w:rPr>
              <w:t>106</w:t>
            </w:r>
          </w:p>
        </w:tc>
        <w:tc>
          <w:tcPr>
            <w:tcW w:w="2294" w:type="dxa"/>
            <w:vAlign w:val="center"/>
          </w:tcPr>
          <w:p w:rsidR="00796AD6" w:rsidRPr="00D41D30" w:rsidRDefault="00796AD6" w:rsidP="00EF1548">
            <w:pPr>
              <w:widowControl/>
              <w:adjustRightInd w:val="0"/>
              <w:snapToGrid w:val="0"/>
              <w:spacing w:line="300" w:lineRule="auto"/>
              <w:ind w:left="520" w:hanging="520"/>
              <w:rPr>
                <w:rFonts w:hAnsi="標楷體"/>
                <w:bCs/>
                <w:color w:val="000000" w:themeColor="text1"/>
                <w:sz w:val="24"/>
                <w:szCs w:val="24"/>
                <w:lang w:val="x-none"/>
              </w:rPr>
            </w:pPr>
            <w:r w:rsidRPr="00D41D30">
              <w:rPr>
                <w:rFonts w:hAnsi="標楷體" w:hint="eastAsia"/>
                <w:bCs/>
                <w:color w:val="000000" w:themeColor="text1"/>
                <w:sz w:val="24"/>
                <w:szCs w:val="24"/>
                <w:lang w:val="x-none"/>
              </w:rPr>
              <w:t>同上</w:t>
            </w:r>
          </w:p>
        </w:tc>
        <w:tc>
          <w:tcPr>
            <w:tcW w:w="2531" w:type="dxa"/>
          </w:tcPr>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桃園市政府教育局、臺中市政府教育局、高雄市政府教育局、基隆市政</w:t>
            </w:r>
            <w:r w:rsidRPr="00D41D30">
              <w:rPr>
                <w:rFonts w:hAnsi="標楷體" w:hint="eastAsia"/>
                <w:bCs/>
                <w:color w:val="000000" w:themeColor="text1"/>
                <w:sz w:val="24"/>
                <w:szCs w:val="24"/>
                <w:lang w:val="x-none"/>
              </w:rPr>
              <w:lastRenderedPageBreak/>
              <w:t>府、新竹市政府、彰化縣政府、嘉義市政府、宜蘭縣政府、花蓮縣政府、澎湖縣政府、連江縣政府11個縣市</w:t>
            </w:r>
          </w:p>
        </w:tc>
        <w:tc>
          <w:tcPr>
            <w:tcW w:w="3944" w:type="dxa"/>
          </w:tcPr>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lastRenderedPageBreak/>
              <w:t>特優等</w:t>
            </w:r>
            <w:r w:rsidR="00B562C7"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2名</w:t>
            </w:r>
            <w:r w:rsidR="006B5136"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：新北市、高雄市。</w:t>
            </w:r>
          </w:p>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優等（13名）：臺北市、屏東縣、臺南市、新竹縣、苗栗縣、南</w:t>
            </w:r>
            <w:r w:rsidRPr="00D41D30">
              <w:rPr>
                <w:rFonts w:hAnsi="標楷體" w:hint="eastAsia"/>
                <w:bCs/>
                <w:color w:val="000000" w:themeColor="text1"/>
                <w:sz w:val="24"/>
                <w:szCs w:val="24"/>
                <w:lang w:val="x-none"/>
              </w:rPr>
              <w:lastRenderedPageBreak/>
              <w:t>投縣、雲林縣、嘉義縣、臺東縣、金門縣，臺中市、新竹市、嘉義市。</w:t>
            </w:r>
          </w:p>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甲等（5名）：桃園市、基隆市、彰化縣、宜蘭縣、花蓮縣。</w:t>
            </w:r>
          </w:p>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乙等：澎湖縣、連江縣。</w:t>
            </w:r>
          </w:p>
        </w:tc>
      </w:tr>
      <w:tr w:rsidR="00796AD6" w:rsidRPr="00D41D30" w:rsidTr="00EF1548">
        <w:tc>
          <w:tcPr>
            <w:tcW w:w="604" w:type="dxa"/>
            <w:vAlign w:val="center"/>
          </w:tcPr>
          <w:p w:rsidR="00796AD6" w:rsidRPr="00D41D30" w:rsidRDefault="00796AD6" w:rsidP="002E4F7E">
            <w:pPr>
              <w:widowControl/>
              <w:adjustRightInd w:val="0"/>
              <w:snapToGrid w:val="0"/>
              <w:spacing w:line="300" w:lineRule="auto"/>
              <w:ind w:left="521" w:hanging="521"/>
              <w:jc w:val="center"/>
              <w:rPr>
                <w:rFonts w:hAnsi="標楷體"/>
                <w:b/>
                <w:bCs/>
                <w:color w:val="000000" w:themeColor="text1"/>
                <w:sz w:val="24"/>
                <w:szCs w:val="24"/>
                <w:lang w:val="x-none"/>
              </w:rPr>
            </w:pPr>
            <w:r w:rsidRPr="00D41D30">
              <w:rPr>
                <w:rFonts w:hAnsi="標楷體" w:hint="eastAsia"/>
                <w:b/>
                <w:bCs/>
                <w:color w:val="000000" w:themeColor="text1"/>
                <w:sz w:val="24"/>
                <w:szCs w:val="24"/>
                <w:lang w:val="x-none"/>
              </w:rPr>
              <w:lastRenderedPageBreak/>
              <w:t>107</w:t>
            </w:r>
          </w:p>
        </w:tc>
        <w:tc>
          <w:tcPr>
            <w:tcW w:w="2294" w:type="dxa"/>
            <w:vAlign w:val="center"/>
          </w:tcPr>
          <w:p w:rsidR="00796AD6" w:rsidRPr="00D41D30" w:rsidRDefault="00796AD6" w:rsidP="00EF1548">
            <w:pPr>
              <w:widowControl/>
              <w:adjustRightInd w:val="0"/>
              <w:snapToGrid w:val="0"/>
              <w:spacing w:line="300" w:lineRule="auto"/>
              <w:ind w:left="520" w:hanging="520"/>
              <w:rPr>
                <w:rFonts w:hAnsi="標楷體"/>
                <w:bCs/>
                <w:color w:val="000000" w:themeColor="text1"/>
                <w:sz w:val="24"/>
                <w:szCs w:val="24"/>
                <w:lang w:val="x-none"/>
              </w:rPr>
            </w:pPr>
            <w:r w:rsidRPr="00D41D30">
              <w:rPr>
                <w:rFonts w:hAnsi="標楷體" w:hint="eastAsia"/>
                <w:bCs/>
                <w:color w:val="000000" w:themeColor="text1"/>
                <w:sz w:val="24"/>
                <w:szCs w:val="24"/>
                <w:lang w:val="x-none"/>
              </w:rPr>
              <w:t>同上</w:t>
            </w:r>
          </w:p>
        </w:tc>
        <w:tc>
          <w:tcPr>
            <w:tcW w:w="2531" w:type="dxa"/>
          </w:tcPr>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臺北市政府教育局、新北市政府教育局、桃園市政府教育局、臺南市政府教育局、基隆市政府、新竹縣政府、苗栗縣政府、南投縣政府、彰化縣政府、雲林縣政府、嘉義縣政府、屏東縣政府、宜蘭縣政府、花蓮縣政府、臺東縣政府、金門縣政府、澎湖縣政府、連江縣政府18個縣市</w:t>
            </w:r>
          </w:p>
        </w:tc>
        <w:tc>
          <w:tcPr>
            <w:tcW w:w="3944" w:type="dxa"/>
          </w:tcPr>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特優等</w:t>
            </w:r>
            <w:r w:rsidR="00B562C7"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3名</w:t>
            </w:r>
            <w:r w:rsidR="006B5136"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：新北市、桃園市、高雄市。</w:t>
            </w:r>
          </w:p>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優等（10名）：臺北市、臺南市、新竹縣、苗栗縣、南投縣、嘉義縣、金門縣。臺中市、新竹市、嘉義市</w:t>
            </w:r>
            <w:r w:rsidR="00B562C7"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以上為106年</w:t>
            </w:r>
            <w:r w:rsidR="006B5136" w:rsidRPr="00D41D30">
              <w:rPr>
                <w:rFonts w:hAnsi="標楷體" w:hint="eastAsia"/>
                <w:bCs/>
                <w:color w:val="000000" w:themeColor="text1"/>
                <w:sz w:val="24"/>
                <w:szCs w:val="24"/>
                <w:lang w:val="x-none"/>
              </w:rPr>
              <w:t>）</w:t>
            </w:r>
            <w:r w:rsidRPr="00D41D30">
              <w:rPr>
                <w:rFonts w:hAnsi="標楷體" w:hint="eastAsia"/>
                <w:bCs/>
                <w:color w:val="000000" w:themeColor="text1"/>
                <w:sz w:val="24"/>
                <w:szCs w:val="24"/>
                <w:lang w:val="x-none"/>
              </w:rPr>
              <w:t>。</w:t>
            </w:r>
          </w:p>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甲等（7名）：基隆市、彰化縣、雲林縣、屏東縣、宜蘭縣、花蓮縣、臺東縣。</w:t>
            </w:r>
          </w:p>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乙等（1名）：澎湖縣。</w:t>
            </w:r>
          </w:p>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未評（1名）：連江縣。</w:t>
            </w:r>
          </w:p>
        </w:tc>
      </w:tr>
      <w:tr w:rsidR="00796AD6" w:rsidRPr="00D41D30" w:rsidTr="00EF1548">
        <w:tc>
          <w:tcPr>
            <w:tcW w:w="604" w:type="dxa"/>
            <w:vAlign w:val="center"/>
          </w:tcPr>
          <w:p w:rsidR="00796AD6" w:rsidRPr="00D41D30" w:rsidRDefault="00796AD6" w:rsidP="002E4F7E">
            <w:pPr>
              <w:widowControl/>
              <w:adjustRightInd w:val="0"/>
              <w:snapToGrid w:val="0"/>
              <w:spacing w:line="300" w:lineRule="auto"/>
              <w:ind w:left="521" w:hanging="521"/>
              <w:jc w:val="center"/>
              <w:rPr>
                <w:rFonts w:hAnsi="標楷體"/>
                <w:b/>
                <w:bCs/>
                <w:color w:val="000000" w:themeColor="text1"/>
                <w:sz w:val="24"/>
                <w:szCs w:val="24"/>
                <w:lang w:val="x-none"/>
              </w:rPr>
            </w:pPr>
            <w:r w:rsidRPr="00D41D30">
              <w:rPr>
                <w:rFonts w:hAnsi="標楷體" w:hint="eastAsia"/>
                <w:b/>
                <w:bCs/>
                <w:color w:val="000000" w:themeColor="text1"/>
                <w:sz w:val="24"/>
                <w:szCs w:val="24"/>
                <w:lang w:val="x-none"/>
              </w:rPr>
              <w:t>108</w:t>
            </w:r>
          </w:p>
        </w:tc>
        <w:tc>
          <w:tcPr>
            <w:tcW w:w="2294" w:type="dxa"/>
            <w:vAlign w:val="center"/>
          </w:tcPr>
          <w:p w:rsidR="00796AD6" w:rsidRPr="00D41D30" w:rsidRDefault="00796AD6" w:rsidP="00EF1548">
            <w:pPr>
              <w:widowControl/>
              <w:adjustRightInd w:val="0"/>
              <w:snapToGrid w:val="0"/>
              <w:spacing w:line="300" w:lineRule="auto"/>
              <w:ind w:left="520" w:hanging="520"/>
              <w:rPr>
                <w:rFonts w:hAnsi="標楷體"/>
                <w:bCs/>
                <w:color w:val="000000" w:themeColor="text1"/>
                <w:sz w:val="24"/>
                <w:szCs w:val="24"/>
                <w:lang w:val="x-none"/>
              </w:rPr>
            </w:pPr>
            <w:r w:rsidRPr="00D41D30">
              <w:rPr>
                <w:rFonts w:hAnsi="標楷體" w:hint="eastAsia"/>
                <w:bCs/>
                <w:color w:val="000000" w:themeColor="text1"/>
                <w:sz w:val="24"/>
                <w:szCs w:val="24"/>
                <w:lang w:val="x-none"/>
              </w:rPr>
              <w:t>同上</w:t>
            </w:r>
          </w:p>
        </w:tc>
        <w:tc>
          <w:tcPr>
            <w:tcW w:w="2531" w:type="dxa"/>
          </w:tcPr>
          <w:p w:rsidR="00796AD6" w:rsidRPr="00D41D30" w:rsidRDefault="00796AD6" w:rsidP="00EF1548">
            <w:pPr>
              <w:widowControl/>
              <w:adjustRightInd w:val="0"/>
              <w:snapToGrid w:val="0"/>
              <w:spacing w:line="300" w:lineRule="auto"/>
              <w:ind w:left="221"/>
              <w:jc w:val="left"/>
              <w:rPr>
                <w:rFonts w:hAnsi="標楷體"/>
                <w:bCs/>
                <w:color w:val="000000" w:themeColor="text1"/>
                <w:sz w:val="24"/>
                <w:szCs w:val="24"/>
                <w:lang w:val="x-none"/>
              </w:rPr>
            </w:pPr>
            <w:r w:rsidRPr="00D41D30">
              <w:rPr>
                <w:rFonts w:hAnsi="標楷體" w:hint="eastAsia"/>
                <w:bCs/>
                <w:color w:val="000000" w:themeColor="text1"/>
                <w:sz w:val="24"/>
                <w:szCs w:val="24"/>
                <w:lang w:val="x-none"/>
              </w:rPr>
              <w:t>臺中市政府教育局、高雄市政府教育局、基隆市政府、新竹市政府、彰化縣政府、雲林縣政府、嘉義市政府、屏東縣政府、宜蘭縣政府、花蓮縣政府、臺東縣政</w:t>
            </w:r>
            <w:r w:rsidRPr="00D41D30">
              <w:rPr>
                <w:rFonts w:hAnsi="標楷體" w:hint="eastAsia"/>
                <w:bCs/>
                <w:color w:val="000000" w:themeColor="text1"/>
                <w:sz w:val="24"/>
                <w:szCs w:val="24"/>
                <w:lang w:val="x-none"/>
              </w:rPr>
              <w:lastRenderedPageBreak/>
              <w:t>府、澎湖縣政府、連江縣政府13個縣市</w:t>
            </w:r>
          </w:p>
        </w:tc>
        <w:tc>
          <w:tcPr>
            <w:tcW w:w="3944" w:type="dxa"/>
          </w:tcPr>
          <w:p w:rsidR="00796AD6" w:rsidRPr="00D41D30" w:rsidRDefault="00D5555B" w:rsidP="00D5555B">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lastRenderedPageBreak/>
              <w:t>1.</w:t>
            </w:r>
            <w:r w:rsidR="00796AD6" w:rsidRPr="00D41D30">
              <w:rPr>
                <w:rFonts w:hAnsi="標楷體" w:hint="eastAsia"/>
                <w:bCs/>
                <w:color w:val="000000" w:themeColor="text1"/>
                <w:sz w:val="24"/>
                <w:szCs w:val="24"/>
                <w:lang w:val="x-none"/>
              </w:rPr>
              <w:t>特優等</w:t>
            </w:r>
            <w:r w:rsidR="00B562C7" w:rsidRPr="00D41D30">
              <w:rPr>
                <w:rFonts w:hAnsi="標楷體" w:hint="eastAsia"/>
                <w:bCs/>
                <w:color w:val="000000" w:themeColor="text1"/>
                <w:sz w:val="24"/>
                <w:szCs w:val="24"/>
                <w:lang w:val="x-none"/>
              </w:rPr>
              <w:t>（</w:t>
            </w:r>
            <w:r w:rsidR="00796AD6" w:rsidRPr="00D41D30">
              <w:rPr>
                <w:rFonts w:hAnsi="標楷體" w:hint="eastAsia"/>
                <w:bCs/>
                <w:color w:val="000000" w:themeColor="text1"/>
                <w:sz w:val="24"/>
                <w:szCs w:val="24"/>
                <w:lang w:val="x-none"/>
              </w:rPr>
              <w:t>4名</w:t>
            </w:r>
            <w:r w:rsidR="006B5136" w:rsidRPr="00D41D30">
              <w:rPr>
                <w:rFonts w:hAnsi="標楷體" w:hint="eastAsia"/>
                <w:bCs/>
                <w:color w:val="000000" w:themeColor="text1"/>
                <w:sz w:val="24"/>
                <w:szCs w:val="24"/>
                <w:lang w:val="x-none"/>
              </w:rPr>
              <w:t>）</w:t>
            </w:r>
            <w:r w:rsidR="00796AD6" w:rsidRPr="00D41D30">
              <w:rPr>
                <w:rFonts w:hAnsi="標楷體" w:hint="eastAsia"/>
                <w:bCs/>
                <w:color w:val="000000" w:themeColor="text1"/>
                <w:sz w:val="24"/>
                <w:szCs w:val="24"/>
                <w:lang w:val="x-none"/>
              </w:rPr>
              <w:t>：高雄市、花蓮縣。新北市、桃園市。</w:t>
            </w:r>
          </w:p>
          <w:p w:rsidR="00796AD6" w:rsidRPr="00D41D30" w:rsidRDefault="00D5555B" w:rsidP="00D5555B">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2.</w:t>
            </w:r>
            <w:r w:rsidR="00796AD6" w:rsidRPr="00D41D30">
              <w:rPr>
                <w:rFonts w:hAnsi="標楷體" w:hint="eastAsia"/>
                <w:bCs/>
                <w:color w:val="000000" w:themeColor="text1"/>
                <w:sz w:val="24"/>
                <w:szCs w:val="24"/>
                <w:lang w:val="x-none"/>
              </w:rPr>
              <w:t>優等（8名）：新竹市、臺北市、臺南市、新竹縣、苗栗縣、南投縣、嘉義縣、金門縣。</w:t>
            </w:r>
          </w:p>
          <w:p w:rsidR="00796AD6" w:rsidRPr="00D41D30" w:rsidRDefault="00796AD6" w:rsidP="00D5555B">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3.甲等（9名）：基隆市、彰化縣、臺中市、雲林縣、嘉義市、屏東縣、宜蘭縣、臺東縣、澎湖縣。</w:t>
            </w:r>
          </w:p>
          <w:p w:rsidR="00796AD6" w:rsidRPr="00D41D30" w:rsidRDefault="00796AD6" w:rsidP="00D5555B">
            <w:pPr>
              <w:widowControl/>
              <w:adjustRightInd w:val="0"/>
              <w:snapToGrid w:val="0"/>
              <w:ind w:leftChars="13" w:left="307" w:hangingChars="101" w:hanging="263"/>
              <w:rPr>
                <w:rFonts w:hAnsi="標楷體"/>
                <w:bCs/>
                <w:color w:val="000000" w:themeColor="text1"/>
                <w:sz w:val="24"/>
                <w:szCs w:val="24"/>
                <w:lang w:val="x-none"/>
              </w:rPr>
            </w:pPr>
            <w:r w:rsidRPr="00D41D30">
              <w:rPr>
                <w:rFonts w:hAnsi="標楷體" w:hint="eastAsia"/>
                <w:bCs/>
                <w:color w:val="000000" w:themeColor="text1"/>
                <w:sz w:val="24"/>
                <w:szCs w:val="24"/>
                <w:lang w:val="x-none"/>
              </w:rPr>
              <w:t>4.未評（1名）：連江縣。</w:t>
            </w:r>
          </w:p>
        </w:tc>
      </w:tr>
    </w:tbl>
    <w:p w:rsidR="004668B5" w:rsidRPr="00D41D30" w:rsidRDefault="004668B5" w:rsidP="008D0CF9">
      <w:pPr>
        <w:rPr>
          <w:color w:val="000000" w:themeColor="text1"/>
          <w:sz w:val="24"/>
          <w:szCs w:val="24"/>
          <w:lang w:val="x-none"/>
        </w:rPr>
      </w:pPr>
      <w:r w:rsidRPr="00D41D30">
        <w:rPr>
          <w:rFonts w:hint="eastAsia"/>
          <w:color w:val="000000" w:themeColor="text1"/>
          <w:sz w:val="24"/>
          <w:szCs w:val="24"/>
          <w:lang w:val="x-none"/>
        </w:rPr>
        <w:lastRenderedPageBreak/>
        <w:t>資料來源：</w:t>
      </w:r>
      <w:r w:rsidR="00126080" w:rsidRPr="00D41D30">
        <w:rPr>
          <w:rFonts w:hint="eastAsia"/>
          <w:color w:val="000000" w:themeColor="text1"/>
          <w:sz w:val="24"/>
          <w:szCs w:val="24"/>
          <w:lang w:val="x-none"/>
        </w:rPr>
        <w:t>教育部調卷資料。</w:t>
      </w:r>
    </w:p>
    <w:p w:rsidR="00D7741A" w:rsidRPr="00D41D30" w:rsidRDefault="00D7741A" w:rsidP="00DE3D31">
      <w:pPr>
        <w:pStyle w:val="2"/>
        <w:spacing w:beforeLines="100" w:before="457"/>
        <w:ind w:left="1020" w:hanging="680"/>
        <w:rPr>
          <w:b/>
          <w:color w:val="000000" w:themeColor="text1"/>
        </w:rPr>
      </w:pPr>
      <w:bookmarkStart w:id="534" w:name="_Toc33011727"/>
      <w:r w:rsidRPr="00D41D30">
        <w:rPr>
          <w:rFonts w:hint="eastAsia"/>
          <w:b/>
          <w:color w:val="000000" w:themeColor="text1"/>
        </w:rPr>
        <w:t>樂齡大學之運作現況</w:t>
      </w:r>
      <w:bookmarkEnd w:id="534"/>
    </w:p>
    <w:p w:rsidR="00D7741A" w:rsidRPr="00D41D30" w:rsidRDefault="00D7741A" w:rsidP="008C5094">
      <w:pPr>
        <w:pStyle w:val="3"/>
        <w:rPr>
          <w:color w:val="000000" w:themeColor="text1"/>
        </w:rPr>
      </w:pPr>
      <w:bookmarkStart w:id="535" w:name="_Toc16588721"/>
      <w:bookmarkStart w:id="536" w:name="_Toc16693351"/>
      <w:bookmarkStart w:id="537" w:name="_Toc30512480"/>
      <w:bookmarkStart w:id="538" w:name="_Toc30581188"/>
      <w:bookmarkStart w:id="539" w:name="_Toc32392461"/>
      <w:bookmarkStart w:id="540" w:name="_Toc32673651"/>
      <w:bookmarkStart w:id="541" w:name="_Toc32845793"/>
      <w:bookmarkStart w:id="542" w:name="_Toc32846516"/>
      <w:bookmarkStart w:id="543" w:name="_Toc32913759"/>
      <w:bookmarkStart w:id="544" w:name="_Toc32918435"/>
      <w:bookmarkStart w:id="545" w:name="_Toc33011728"/>
      <w:r w:rsidRPr="00D41D30">
        <w:rPr>
          <w:rFonts w:hint="eastAsia"/>
          <w:color w:val="000000" w:themeColor="text1"/>
        </w:rPr>
        <w:t>起源</w:t>
      </w:r>
      <w:bookmarkEnd w:id="535"/>
      <w:bookmarkEnd w:id="536"/>
      <w:bookmarkEnd w:id="537"/>
      <w:bookmarkEnd w:id="538"/>
      <w:bookmarkEnd w:id="539"/>
      <w:bookmarkEnd w:id="540"/>
      <w:bookmarkEnd w:id="541"/>
      <w:bookmarkEnd w:id="542"/>
      <w:bookmarkEnd w:id="543"/>
      <w:bookmarkEnd w:id="544"/>
      <w:bookmarkEnd w:id="545"/>
    </w:p>
    <w:p w:rsidR="00D7741A" w:rsidRPr="00D41D30" w:rsidRDefault="00D7741A" w:rsidP="003F4578">
      <w:pPr>
        <w:pStyle w:val="4"/>
        <w:rPr>
          <w:color w:val="000000" w:themeColor="text1"/>
        </w:rPr>
      </w:pPr>
      <w:r w:rsidRPr="00D41D30">
        <w:rPr>
          <w:rFonts w:hint="eastAsia"/>
          <w:color w:val="000000" w:themeColor="text1"/>
        </w:rPr>
        <w:t>因應高齡及少子女化，教育部於97年參仿美國之「老人寄宿所」及法國之「第三年齡大學」成功經驗，聯合13所大學推出「老人短期寄宿學習試辦計畫」。本計畫試辦後，參與過的老年人都會想繼續參加，「大學」對於現在年輕人而言，可能不算什麼，但是對於這些銀髮長者來說，卻是他們實現夢想地方及可以繼續學習的地方。基於「老人短期寄宿學習計畫」的成功經驗，該部於98年7月公布「補助大學校院辦理『樂齡學堂』專案計畫」，延續「老人短期寄宿學習計畫」之辦理方式，惟每學期需規劃3梯次，規劃以1至3週為實施期程，並至少於學期中實施2梯次，另1梯可於暑假或寒假辦理。</w:t>
      </w:r>
    </w:p>
    <w:p w:rsidR="00D7741A" w:rsidRPr="00D41D30" w:rsidRDefault="00D7741A" w:rsidP="003F4578">
      <w:pPr>
        <w:pStyle w:val="4"/>
        <w:rPr>
          <w:color w:val="000000" w:themeColor="text1"/>
        </w:rPr>
      </w:pPr>
      <w:r w:rsidRPr="00D41D30">
        <w:rPr>
          <w:rFonts w:hint="eastAsia"/>
          <w:color w:val="000000" w:themeColor="text1"/>
        </w:rPr>
        <w:t>99年教育部將「樂齡學堂」改為「樂齡大學」，並訂定樂齡大學實施計畫，擴大宣傳效益。考量短期式體驗學習對於長者增進知能助益不大，且學員反應課程時間太短、課程應加長等意見，爰仿大學校院將執行型態改採學期制（上、下學期），每學期12-18週，每學年合計216小時，讓55歲以上樂齡者有機會進入校園和</w:t>
      </w:r>
      <w:r w:rsidRPr="00D41D30">
        <w:rPr>
          <w:rFonts w:hint="eastAsia"/>
          <w:color w:val="000000" w:themeColor="text1"/>
        </w:rPr>
        <w:lastRenderedPageBreak/>
        <w:t>大學生學習，活動課程以高齡相關、健康休閒、學校特色、生活新知等課程為主軸，辦理模式以班級、代間及參訪為主，各類型之課程比例，可按照各辦理學校之發展特色規劃。另，為落實高齡教育政策，在課程內容方面分4大主軸：以老化及高齡化、健康管理及休閒、學校特色、生活新知等課程為主，並依規定規劃一定之課程比率，如：老化及高齡化相關課程（占25-30</w:t>
      </w:r>
      <w:r w:rsidR="00AA037A" w:rsidRPr="00D41D30">
        <w:rPr>
          <w:rFonts w:hint="eastAsia"/>
          <w:color w:val="000000" w:themeColor="text1"/>
        </w:rPr>
        <w:t>%</w:t>
      </w:r>
      <w:r w:rsidRPr="00D41D30">
        <w:rPr>
          <w:rFonts w:hint="eastAsia"/>
          <w:color w:val="000000" w:themeColor="text1"/>
        </w:rPr>
        <w:t>）、健康管理及休閒課程（占15-30</w:t>
      </w:r>
      <w:r w:rsidR="00AA037A" w:rsidRPr="00D41D30">
        <w:rPr>
          <w:rFonts w:hint="eastAsia"/>
          <w:color w:val="000000" w:themeColor="text1"/>
        </w:rPr>
        <w:t>%</w:t>
      </w:r>
      <w:r w:rsidRPr="00D41D30">
        <w:rPr>
          <w:rFonts w:hint="eastAsia"/>
          <w:color w:val="000000" w:themeColor="text1"/>
        </w:rPr>
        <w:t>）、學校特色課程（占30-45</w:t>
      </w:r>
      <w:r w:rsidR="00AA037A" w:rsidRPr="00D41D30">
        <w:rPr>
          <w:rFonts w:hint="eastAsia"/>
          <w:color w:val="000000" w:themeColor="text1"/>
        </w:rPr>
        <w:t>%</w:t>
      </w:r>
      <w:r w:rsidRPr="00D41D30">
        <w:rPr>
          <w:rFonts w:hint="eastAsia"/>
          <w:color w:val="000000" w:themeColor="text1"/>
        </w:rPr>
        <w:t>）、生活新知課程（占10-20</w:t>
      </w:r>
      <w:r w:rsidR="00AA037A" w:rsidRPr="00D41D30">
        <w:rPr>
          <w:rFonts w:hint="eastAsia"/>
          <w:color w:val="000000" w:themeColor="text1"/>
        </w:rPr>
        <w:t>%</w:t>
      </w:r>
      <w:r w:rsidRPr="00D41D30">
        <w:rPr>
          <w:rFonts w:hint="eastAsia"/>
          <w:color w:val="000000" w:themeColor="text1"/>
        </w:rPr>
        <w:t>），所設計之課程可採單一議題課程逐漸深入，或採多元學習課程串聯，並須於其中加入高齡者與承辦學校學生交流之課程或議題，以促進代間互動。</w:t>
      </w:r>
    </w:p>
    <w:p w:rsidR="00D7741A" w:rsidRPr="00D41D30" w:rsidRDefault="00D7741A" w:rsidP="00500498">
      <w:pPr>
        <w:pStyle w:val="3"/>
        <w:rPr>
          <w:color w:val="000000" w:themeColor="text1"/>
        </w:rPr>
      </w:pPr>
      <w:bookmarkStart w:id="546" w:name="_Toc16588722"/>
      <w:bookmarkStart w:id="547" w:name="_Toc16693352"/>
      <w:bookmarkStart w:id="548" w:name="_Toc30512481"/>
      <w:bookmarkStart w:id="549" w:name="_Toc30581189"/>
      <w:bookmarkStart w:id="550" w:name="_Toc32392462"/>
      <w:bookmarkStart w:id="551" w:name="_Toc32673652"/>
      <w:bookmarkStart w:id="552" w:name="_Toc32845794"/>
      <w:bookmarkStart w:id="553" w:name="_Toc32846517"/>
      <w:bookmarkStart w:id="554" w:name="_Toc32913760"/>
      <w:bookmarkStart w:id="555" w:name="_Toc32918436"/>
      <w:bookmarkStart w:id="556" w:name="_Toc33011729"/>
      <w:r w:rsidRPr="00D41D30">
        <w:rPr>
          <w:rFonts w:hint="eastAsia"/>
          <w:color w:val="000000" w:themeColor="text1"/>
        </w:rPr>
        <w:t>計畫目的：</w:t>
      </w:r>
      <w:bookmarkEnd w:id="546"/>
      <w:bookmarkEnd w:id="547"/>
      <w:bookmarkEnd w:id="548"/>
      <w:bookmarkEnd w:id="549"/>
      <w:bookmarkEnd w:id="550"/>
      <w:bookmarkEnd w:id="551"/>
      <w:bookmarkEnd w:id="552"/>
      <w:bookmarkEnd w:id="553"/>
      <w:bookmarkEnd w:id="554"/>
      <w:bookmarkEnd w:id="555"/>
      <w:bookmarkEnd w:id="556"/>
    </w:p>
    <w:p w:rsidR="00D7741A" w:rsidRPr="00D41D30" w:rsidRDefault="00D7741A" w:rsidP="003C3BA0">
      <w:pPr>
        <w:pStyle w:val="32"/>
        <w:ind w:left="1361" w:firstLine="680"/>
        <w:rPr>
          <w:color w:val="000000" w:themeColor="text1"/>
        </w:rPr>
      </w:pPr>
      <w:r w:rsidRPr="00D41D30">
        <w:rPr>
          <w:rFonts w:hint="eastAsia"/>
          <w:color w:val="000000" w:themeColor="text1"/>
        </w:rPr>
        <w:t>為因應高齡及少子女化的衝擊，大學招生數日減，校內空間及設備閒置，而高齡者日增，辦理樂齡大學計畫是希望能開放大學校園，應用大學豐富的人力與物力資源，提供55歲以上的高齡者系統性與知識性的學習，可以使學校師資及資源持續發揮其功用。</w:t>
      </w:r>
    </w:p>
    <w:p w:rsidR="00D7741A" w:rsidRPr="00D41D30" w:rsidRDefault="00D7741A" w:rsidP="00500498">
      <w:pPr>
        <w:pStyle w:val="3"/>
        <w:rPr>
          <w:color w:val="000000" w:themeColor="text1"/>
        </w:rPr>
      </w:pPr>
      <w:bookmarkStart w:id="557" w:name="_Toc16588723"/>
      <w:bookmarkStart w:id="558" w:name="_Toc16693353"/>
      <w:bookmarkStart w:id="559" w:name="_Toc30512482"/>
      <w:bookmarkStart w:id="560" w:name="_Toc30581190"/>
      <w:bookmarkStart w:id="561" w:name="_Toc32392463"/>
      <w:bookmarkStart w:id="562" w:name="_Toc32673653"/>
      <w:bookmarkStart w:id="563" w:name="_Toc32845795"/>
      <w:bookmarkStart w:id="564" w:name="_Toc32846518"/>
      <w:bookmarkStart w:id="565" w:name="_Toc32913761"/>
      <w:bookmarkStart w:id="566" w:name="_Toc32918437"/>
      <w:bookmarkStart w:id="567" w:name="_Toc33011730"/>
      <w:r w:rsidRPr="00D41D30">
        <w:rPr>
          <w:rFonts w:hint="eastAsia"/>
          <w:color w:val="000000" w:themeColor="text1"/>
        </w:rPr>
        <w:t>招收對象：</w:t>
      </w:r>
      <w:bookmarkEnd w:id="557"/>
      <w:bookmarkEnd w:id="558"/>
      <w:bookmarkEnd w:id="559"/>
      <w:bookmarkEnd w:id="560"/>
      <w:bookmarkEnd w:id="561"/>
      <w:bookmarkEnd w:id="562"/>
      <w:bookmarkEnd w:id="563"/>
      <w:bookmarkEnd w:id="564"/>
      <w:bookmarkEnd w:id="565"/>
      <w:bookmarkEnd w:id="566"/>
      <w:bookmarkEnd w:id="567"/>
    </w:p>
    <w:p w:rsidR="00D7741A" w:rsidRPr="00D41D30" w:rsidRDefault="00D7741A" w:rsidP="003C3BA0">
      <w:pPr>
        <w:pStyle w:val="32"/>
        <w:ind w:left="1361" w:firstLine="680"/>
        <w:rPr>
          <w:color w:val="000000" w:themeColor="text1"/>
        </w:rPr>
      </w:pPr>
      <w:r w:rsidRPr="00D41D30">
        <w:rPr>
          <w:rFonts w:hint="eastAsia"/>
          <w:color w:val="000000" w:themeColor="text1"/>
        </w:rPr>
        <w:t xml:space="preserve">年滿55歲者優先，惟學員年齡不得低於50歲 </w:t>
      </w:r>
      <w:r w:rsidR="00B562C7" w:rsidRPr="00D41D30">
        <w:rPr>
          <w:rFonts w:hint="eastAsia"/>
          <w:color w:val="000000" w:themeColor="text1"/>
        </w:rPr>
        <w:t>（</w:t>
      </w:r>
      <w:r w:rsidRPr="00D41D30">
        <w:rPr>
          <w:rFonts w:hint="eastAsia"/>
          <w:color w:val="000000" w:themeColor="text1"/>
        </w:rPr>
        <w:t>各校以招收55歲以上對象為主，鼓勵50-54歲對象擔任服務人員參加學習</w:t>
      </w:r>
      <w:r w:rsidR="006B5136" w:rsidRPr="00D41D30">
        <w:rPr>
          <w:rFonts w:hint="eastAsia"/>
          <w:color w:val="000000" w:themeColor="text1"/>
        </w:rPr>
        <w:t>）</w:t>
      </w:r>
      <w:r w:rsidRPr="00D41D30">
        <w:rPr>
          <w:rFonts w:hint="eastAsia"/>
          <w:color w:val="000000" w:themeColor="text1"/>
        </w:rPr>
        <w:t>。</w:t>
      </w:r>
    </w:p>
    <w:p w:rsidR="00D7741A" w:rsidRPr="00D41D30" w:rsidRDefault="00D7741A" w:rsidP="00500498">
      <w:pPr>
        <w:pStyle w:val="3"/>
        <w:rPr>
          <w:color w:val="000000" w:themeColor="text1"/>
        </w:rPr>
      </w:pPr>
      <w:bookmarkStart w:id="568" w:name="_Toc16588724"/>
      <w:bookmarkStart w:id="569" w:name="_Toc16693354"/>
      <w:bookmarkStart w:id="570" w:name="_Toc30512483"/>
      <w:bookmarkStart w:id="571" w:name="_Toc30581191"/>
      <w:bookmarkStart w:id="572" w:name="_Toc32392464"/>
      <w:bookmarkStart w:id="573" w:name="_Toc32673654"/>
      <w:bookmarkStart w:id="574" w:name="_Toc32845796"/>
      <w:bookmarkStart w:id="575" w:name="_Toc32846519"/>
      <w:bookmarkStart w:id="576" w:name="_Toc32913762"/>
      <w:bookmarkStart w:id="577" w:name="_Toc32918438"/>
      <w:bookmarkStart w:id="578" w:name="_Toc33011731"/>
      <w:r w:rsidRPr="00D41D30">
        <w:rPr>
          <w:rFonts w:hint="eastAsia"/>
          <w:color w:val="000000" w:themeColor="text1"/>
        </w:rPr>
        <w:t>經費補助：</w:t>
      </w:r>
      <w:bookmarkEnd w:id="568"/>
      <w:bookmarkEnd w:id="569"/>
      <w:bookmarkEnd w:id="570"/>
      <w:bookmarkEnd w:id="571"/>
      <w:bookmarkEnd w:id="572"/>
      <w:bookmarkEnd w:id="573"/>
      <w:bookmarkEnd w:id="574"/>
      <w:bookmarkEnd w:id="575"/>
      <w:bookmarkEnd w:id="576"/>
      <w:bookmarkEnd w:id="577"/>
      <w:bookmarkEnd w:id="578"/>
    </w:p>
    <w:p w:rsidR="00D7741A" w:rsidRPr="00D41D30" w:rsidRDefault="00D7741A" w:rsidP="00FE0288">
      <w:pPr>
        <w:pStyle w:val="4"/>
        <w:rPr>
          <w:color w:val="000000" w:themeColor="text1"/>
        </w:rPr>
      </w:pPr>
      <w:r w:rsidRPr="00D41D30">
        <w:rPr>
          <w:rFonts w:hint="eastAsia"/>
          <w:color w:val="000000" w:themeColor="text1"/>
        </w:rPr>
        <w:t>每校以補助1班為原則，以補助2班為上限，第1班補助上限為33萬元，得全額補助。各校得依據所需經費自行籌措，並編列配合款。</w:t>
      </w:r>
    </w:p>
    <w:p w:rsidR="00D7741A" w:rsidRPr="00D41D30" w:rsidRDefault="00D7741A" w:rsidP="00FE0288">
      <w:pPr>
        <w:pStyle w:val="4"/>
        <w:rPr>
          <w:color w:val="000000" w:themeColor="text1"/>
        </w:rPr>
      </w:pPr>
      <w:r w:rsidRPr="00D41D30">
        <w:rPr>
          <w:rFonts w:hint="eastAsia"/>
          <w:color w:val="000000" w:themeColor="text1"/>
        </w:rPr>
        <w:t>學校得依據實際支用經費情形，向學員收取合</w:t>
      </w:r>
      <w:r w:rsidRPr="00D41D30">
        <w:rPr>
          <w:rFonts w:hint="eastAsia"/>
          <w:color w:val="000000" w:themeColor="text1"/>
        </w:rPr>
        <w:lastRenderedPageBreak/>
        <w:t>理之代辦費用，上述收費項目及標準，應載明於招生簡章中，並明定退費條件及方式。目前多數學校每學期收費</w:t>
      </w:r>
      <w:r w:rsidRPr="00D41D30">
        <w:rPr>
          <w:color w:val="000000" w:themeColor="text1"/>
        </w:rPr>
        <w:t>1</w:t>
      </w:r>
      <w:r w:rsidR="00472F81" w:rsidRPr="00D41D30">
        <w:rPr>
          <w:color w:val="000000" w:themeColor="text1"/>
        </w:rPr>
        <w:t>,</w:t>
      </w:r>
      <w:r w:rsidRPr="00D41D30">
        <w:rPr>
          <w:color w:val="000000" w:themeColor="text1"/>
        </w:rPr>
        <w:t>000</w:t>
      </w:r>
      <w:r w:rsidRPr="00D41D30">
        <w:rPr>
          <w:rFonts w:hint="eastAsia"/>
          <w:color w:val="000000" w:themeColor="text1"/>
        </w:rPr>
        <w:t>元</w:t>
      </w:r>
      <w:r w:rsidRPr="00D41D30">
        <w:rPr>
          <w:color w:val="000000" w:themeColor="text1"/>
        </w:rPr>
        <w:t>-6</w:t>
      </w:r>
      <w:r w:rsidR="00472F81" w:rsidRPr="00D41D30">
        <w:rPr>
          <w:color w:val="000000" w:themeColor="text1"/>
        </w:rPr>
        <w:t>,</w:t>
      </w:r>
      <w:r w:rsidRPr="00D41D30">
        <w:rPr>
          <w:color w:val="000000" w:themeColor="text1"/>
        </w:rPr>
        <w:t>000</w:t>
      </w:r>
      <w:r w:rsidRPr="00D41D30">
        <w:rPr>
          <w:rFonts w:hint="eastAsia"/>
          <w:color w:val="000000" w:themeColor="text1"/>
        </w:rPr>
        <w:t>元不等（多係運用於參訪費用、較高額之材料費等），部分學校免費，但會收保證金，參訪活動費用多由學員自付。</w:t>
      </w:r>
    </w:p>
    <w:p w:rsidR="00D7741A" w:rsidRPr="00D41D30" w:rsidRDefault="00D7741A" w:rsidP="00FE0288">
      <w:pPr>
        <w:pStyle w:val="3"/>
        <w:rPr>
          <w:color w:val="000000" w:themeColor="text1"/>
        </w:rPr>
      </w:pPr>
      <w:bookmarkStart w:id="579" w:name="_Toc16588725"/>
      <w:bookmarkStart w:id="580" w:name="_Toc16693355"/>
      <w:bookmarkStart w:id="581" w:name="_Toc30512484"/>
      <w:bookmarkStart w:id="582" w:name="_Toc30581192"/>
      <w:bookmarkStart w:id="583" w:name="_Toc32392465"/>
      <w:bookmarkStart w:id="584" w:name="_Toc32673655"/>
      <w:bookmarkStart w:id="585" w:name="_Toc32845797"/>
      <w:bookmarkStart w:id="586" w:name="_Toc32846520"/>
      <w:bookmarkStart w:id="587" w:name="_Toc32913763"/>
      <w:bookmarkStart w:id="588" w:name="_Toc32918439"/>
      <w:bookmarkStart w:id="589" w:name="_Toc33011732"/>
      <w:r w:rsidRPr="00D41D30">
        <w:rPr>
          <w:rFonts w:hint="eastAsia"/>
          <w:color w:val="000000" w:themeColor="text1"/>
        </w:rPr>
        <w:t>課程方式</w:t>
      </w:r>
      <w:r w:rsidRPr="00D41D30">
        <w:rPr>
          <w:rFonts w:hAnsi="標楷體" w:hint="eastAsia"/>
          <w:color w:val="000000" w:themeColor="text1"/>
        </w:rPr>
        <w:t>：</w:t>
      </w:r>
      <w:bookmarkEnd w:id="579"/>
      <w:bookmarkEnd w:id="580"/>
      <w:bookmarkEnd w:id="581"/>
      <w:bookmarkEnd w:id="582"/>
      <w:bookmarkEnd w:id="583"/>
      <w:bookmarkEnd w:id="584"/>
      <w:bookmarkEnd w:id="585"/>
      <w:bookmarkEnd w:id="586"/>
      <w:bookmarkEnd w:id="587"/>
      <w:bookmarkEnd w:id="588"/>
      <w:bookmarkEnd w:id="589"/>
    </w:p>
    <w:p w:rsidR="00D7741A" w:rsidRPr="00D41D30" w:rsidRDefault="00D7741A" w:rsidP="00FE0288">
      <w:pPr>
        <w:pStyle w:val="4"/>
        <w:rPr>
          <w:color w:val="000000" w:themeColor="text1"/>
        </w:rPr>
      </w:pPr>
      <w:r w:rsidRPr="00D41D30">
        <w:rPr>
          <w:rFonts w:hint="eastAsia"/>
          <w:color w:val="000000" w:themeColor="text1"/>
        </w:rPr>
        <w:t>本計畫課程特色仿大學校院，採學年制，每學期12-18週，每學年合計216小時，讓55歲以上樂齡者有機會進入校園和大學生學習，活動課程以高齡相關、健康休閒、學校特色、生活新知等課程為主軸，辦理模式以班級、代間及參訪為主。</w:t>
      </w:r>
    </w:p>
    <w:p w:rsidR="00D7741A" w:rsidRPr="00D41D30" w:rsidRDefault="00D7741A" w:rsidP="00FE0288">
      <w:pPr>
        <w:pStyle w:val="4"/>
        <w:rPr>
          <w:color w:val="000000" w:themeColor="text1"/>
        </w:rPr>
      </w:pPr>
      <w:r w:rsidRPr="00D41D30">
        <w:rPr>
          <w:rFonts w:hint="eastAsia"/>
          <w:color w:val="000000" w:themeColor="text1"/>
        </w:rPr>
        <w:t>採學期制</w:t>
      </w:r>
      <w:r w:rsidRPr="00D41D30">
        <w:rPr>
          <w:rFonts w:hAnsi="標楷體" w:hint="eastAsia"/>
          <w:color w:val="000000" w:themeColor="text1"/>
        </w:rPr>
        <w:t>，</w:t>
      </w:r>
      <w:r w:rsidRPr="00D41D30">
        <w:rPr>
          <w:rFonts w:hint="eastAsia"/>
          <w:color w:val="000000" w:themeColor="text1"/>
        </w:rPr>
        <w:t>每學期授課12-18週，每週以安排6節為原則，每學年216小時。開課時間配合大學學期制，於每年9月至隔年7月間，由各校彈性規劃開設課程。</w:t>
      </w:r>
    </w:p>
    <w:p w:rsidR="00D7741A" w:rsidRPr="00D41D30" w:rsidRDefault="00D7741A" w:rsidP="00FE0288">
      <w:pPr>
        <w:pStyle w:val="4"/>
        <w:rPr>
          <w:color w:val="000000" w:themeColor="text1"/>
        </w:rPr>
      </w:pPr>
      <w:r w:rsidRPr="00D41D30">
        <w:rPr>
          <w:rFonts w:hint="eastAsia"/>
          <w:color w:val="000000" w:themeColor="text1"/>
        </w:rPr>
        <w:t>課程內容涵蓋高齡相關課程、健康休閒課程、學校特色課程、生活新知課程4類，由學校參照下列原則進行規劃（105學年度為例）：</w:t>
      </w:r>
    </w:p>
    <w:p w:rsidR="00D7741A" w:rsidRPr="00D41D30" w:rsidRDefault="00D7741A" w:rsidP="006C4734">
      <w:pPr>
        <w:pStyle w:val="5"/>
        <w:rPr>
          <w:color w:val="000000" w:themeColor="text1"/>
        </w:rPr>
      </w:pPr>
      <w:r w:rsidRPr="00D41D30">
        <w:rPr>
          <w:color w:val="000000" w:themeColor="text1"/>
        </w:rPr>
        <w:t>課程進行方式包括：班級課程、代間課程及參訪課程等三類，可按照各承辦學校之發展特色規劃。</w:t>
      </w:r>
    </w:p>
    <w:p w:rsidR="00D7741A" w:rsidRPr="00D41D30" w:rsidRDefault="00D7741A" w:rsidP="006C4734">
      <w:pPr>
        <w:pStyle w:val="5"/>
        <w:rPr>
          <w:color w:val="000000" w:themeColor="text1"/>
        </w:rPr>
      </w:pPr>
      <w:r w:rsidRPr="00D41D30">
        <w:rPr>
          <w:color w:val="000000" w:themeColor="text1"/>
        </w:rPr>
        <w:t xml:space="preserve">106新增創新課程-樂齡活力營：為鼓勵續辦大學校院開創多元學習模式，活絡校園空間，發展各校特色，進行旅遊寄宿學習，強化代間共同創作及學員貢獻服務，促進校際之間活動交流，利用學期中、寒暑假期間以20人 </w:t>
      </w:r>
      <w:r w:rsidR="00B562C7" w:rsidRPr="00D41D30">
        <w:rPr>
          <w:color w:val="000000" w:themeColor="text1"/>
        </w:rPr>
        <w:t>（</w:t>
      </w:r>
      <w:r w:rsidRPr="00D41D30">
        <w:rPr>
          <w:color w:val="000000" w:themeColor="text1"/>
        </w:rPr>
        <w:t>含以上</w:t>
      </w:r>
      <w:r w:rsidR="006B5136" w:rsidRPr="00D41D30">
        <w:rPr>
          <w:color w:val="000000" w:themeColor="text1"/>
        </w:rPr>
        <w:t>）</w:t>
      </w:r>
      <w:r w:rsidRPr="00D41D30">
        <w:rPr>
          <w:color w:val="000000" w:themeColor="text1"/>
        </w:rPr>
        <w:t xml:space="preserve"> 為開班人數，未曾參與樂齡大學計畫者占1/2為原則，學習</w:t>
      </w:r>
      <w:r w:rsidRPr="00D41D30">
        <w:rPr>
          <w:color w:val="000000" w:themeColor="text1"/>
        </w:rPr>
        <w:lastRenderedPageBreak/>
        <w:t>活動規劃以3-5天的營隊為主。</w:t>
      </w:r>
    </w:p>
    <w:p w:rsidR="00D7741A" w:rsidRPr="00D41D30" w:rsidRDefault="00D7741A" w:rsidP="00175231">
      <w:pPr>
        <w:pStyle w:val="a4"/>
        <w:ind w:left="697" w:firstLine="1004"/>
        <w:rPr>
          <w:b/>
          <w:color w:val="000000" w:themeColor="text1"/>
        </w:rPr>
      </w:pPr>
      <w:r w:rsidRPr="00D41D30">
        <w:rPr>
          <w:rFonts w:hint="eastAsia"/>
          <w:b/>
          <w:color w:val="000000" w:themeColor="text1"/>
        </w:rPr>
        <w:t>103</w:t>
      </w:r>
      <w:r w:rsidRPr="00D41D30">
        <w:rPr>
          <w:b/>
          <w:color w:val="000000" w:themeColor="text1"/>
        </w:rPr>
        <w:t>-1</w:t>
      </w:r>
      <w:r w:rsidRPr="00D41D30">
        <w:rPr>
          <w:rFonts w:hint="eastAsia"/>
          <w:b/>
          <w:color w:val="000000" w:themeColor="text1"/>
        </w:rPr>
        <w:t>07學年度樂齡</w:t>
      </w:r>
      <w:r w:rsidR="002D073B" w:rsidRPr="00D41D30">
        <w:rPr>
          <w:rFonts w:hint="eastAsia"/>
          <w:b/>
          <w:color w:val="000000" w:themeColor="text1"/>
        </w:rPr>
        <w:t>大學</w:t>
      </w:r>
      <w:r w:rsidRPr="00D41D30">
        <w:rPr>
          <w:rFonts w:hint="eastAsia"/>
          <w:b/>
          <w:color w:val="000000" w:themeColor="text1"/>
        </w:rPr>
        <w:t>辦理情形表</w:t>
      </w:r>
    </w:p>
    <w:tbl>
      <w:tblPr>
        <w:tblW w:w="37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6"/>
        <w:gridCol w:w="1442"/>
        <w:gridCol w:w="3523"/>
      </w:tblGrid>
      <w:tr w:rsidR="00175231" w:rsidRPr="00D41D30" w:rsidTr="002532DE">
        <w:trPr>
          <w:trHeight w:val="63"/>
          <w:tblHeader/>
          <w:jc w:val="center"/>
        </w:trPr>
        <w:tc>
          <w:tcPr>
            <w:tcW w:w="1205" w:type="pct"/>
            <w:tcBorders>
              <w:bottom w:val="single" w:sz="4" w:space="0" w:color="auto"/>
            </w:tcBorders>
            <w:tcMar>
              <w:top w:w="0" w:type="dxa"/>
              <w:left w:w="108" w:type="dxa"/>
              <w:bottom w:w="0" w:type="dxa"/>
              <w:right w:w="108" w:type="dxa"/>
            </w:tcMar>
            <w:vAlign w:val="center"/>
            <w:hideMark/>
          </w:tcPr>
          <w:p w:rsidR="00175231" w:rsidRPr="00D41D30" w:rsidRDefault="00175231" w:rsidP="00E55784">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學年度</w:t>
            </w:r>
          </w:p>
        </w:tc>
        <w:tc>
          <w:tcPr>
            <w:tcW w:w="1102" w:type="pct"/>
            <w:tcBorders>
              <w:bottom w:val="single" w:sz="4" w:space="0" w:color="auto"/>
            </w:tcBorders>
            <w:tcMar>
              <w:top w:w="0" w:type="dxa"/>
              <w:left w:w="108" w:type="dxa"/>
              <w:bottom w:w="0" w:type="dxa"/>
              <w:right w:w="108" w:type="dxa"/>
            </w:tcMar>
            <w:vAlign w:val="center"/>
            <w:hideMark/>
          </w:tcPr>
          <w:p w:rsidR="00175231" w:rsidRPr="00D41D30" w:rsidRDefault="00175231" w:rsidP="00E55784">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校數</w:t>
            </w:r>
          </w:p>
        </w:tc>
        <w:tc>
          <w:tcPr>
            <w:tcW w:w="2693" w:type="pct"/>
            <w:tcBorders>
              <w:bottom w:val="single" w:sz="4" w:space="0" w:color="auto"/>
            </w:tcBorders>
            <w:tcMar>
              <w:top w:w="0" w:type="dxa"/>
              <w:left w:w="108" w:type="dxa"/>
              <w:bottom w:w="0" w:type="dxa"/>
              <w:right w:w="108" w:type="dxa"/>
            </w:tcMar>
            <w:vAlign w:val="center"/>
            <w:hideMark/>
          </w:tcPr>
          <w:p w:rsidR="00175231" w:rsidRPr="00D41D30" w:rsidRDefault="00175231" w:rsidP="00E55784">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人數</w:t>
            </w:r>
          </w:p>
        </w:tc>
      </w:tr>
      <w:tr w:rsidR="00175231" w:rsidRPr="00D41D30" w:rsidTr="002532DE">
        <w:trPr>
          <w:trHeight w:hRule="exact" w:val="454"/>
          <w:jc w:val="center"/>
        </w:trPr>
        <w:tc>
          <w:tcPr>
            <w:tcW w:w="1205" w:type="pct"/>
            <w:shd w:val="clear" w:color="auto" w:fill="auto"/>
            <w:tcMar>
              <w:top w:w="0" w:type="dxa"/>
              <w:left w:w="108" w:type="dxa"/>
              <w:bottom w:w="0" w:type="dxa"/>
              <w:right w:w="108" w:type="dxa"/>
            </w:tcMar>
            <w:vAlign w:val="center"/>
            <w:hideMark/>
          </w:tcPr>
          <w:p w:rsidR="00175231" w:rsidRPr="00D41D30" w:rsidRDefault="00175231" w:rsidP="001036B6">
            <w:pPr>
              <w:adjustRightInd w:val="0"/>
              <w:snapToGrid w:val="0"/>
              <w:spacing w:before="50" w:after="50" w:line="300" w:lineRule="auto"/>
              <w:jc w:val="center"/>
              <w:rPr>
                <w:rFonts w:hAnsi="標楷體"/>
                <w:b/>
                <w:color w:val="000000" w:themeColor="text1"/>
                <w:sz w:val="28"/>
                <w:szCs w:val="28"/>
              </w:rPr>
            </w:pPr>
            <w:r w:rsidRPr="00D41D30">
              <w:rPr>
                <w:rFonts w:hAnsi="標楷體"/>
                <w:b/>
                <w:color w:val="000000" w:themeColor="text1"/>
                <w:sz w:val="28"/>
                <w:szCs w:val="28"/>
              </w:rPr>
              <w:t>103</w:t>
            </w:r>
          </w:p>
        </w:tc>
        <w:tc>
          <w:tcPr>
            <w:tcW w:w="1102" w:type="pct"/>
            <w:shd w:val="clear" w:color="auto" w:fill="auto"/>
            <w:tcMar>
              <w:top w:w="0" w:type="dxa"/>
              <w:left w:w="108" w:type="dxa"/>
              <w:bottom w:w="0" w:type="dxa"/>
              <w:right w:w="108" w:type="dxa"/>
            </w:tcMar>
            <w:vAlign w:val="center"/>
            <w:hideMark/>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100</w:t>
            </w:r>
          </w:p>
        </w:tc>
        <w:tc>
          <w:tcPr>
            <w:tcW w:w="2693" w:type="pct"/>
            <w:shd w:val="clear" w:color="auto" w:fill="auto"/>
            <w:tcMar>
              <w:top w:w="0" w:type="dxa"/>
              <w:left w:w="108" w:type="dxa"/>
              <w:bottom w:w="0" w:type="dxa"/>
              <w:right w:w="108" w:type="dxa"/>
            </w:tcMar>
            <w:vAlign w:val="center"/>
            <w:hideMark/>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3,375</w:t>
            </w:r>
          </w:p>
        </w:tc>
      </w:tr>
      <w:tr w:rsidR="00175231" w:rsidRPr="00D41D30" w:rsidTr="002532DE">
        <w:trPr>
          <w:trHeight w:hRule="exact" w:val="454"/>
          <w:jc w:val="center"/>
        </w:trPr>
        <w:tc>
          <w:tcPr>
            <w:tcW w:w="1205"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104</w:t>
            </w:r>
          </w:p>
        </w:tc>
        <w:tc>
          <w:tcPr>
            <w:tcW w:w="1102"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103</w:t>
            </w:r>
          </w:p>
        </w:tc>
        <w:tc>
          <w:tcPr>
            <w:tcW w:w="2693"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3,500</w:t>
            </w:r>
          </w:p>
        </w:tc>
      </w:tr>
      <w:tr w:rsidR="00175231" w:rsidRPr="00D41D30" w:rsidTr="002532DE">
        <w:trPr>
          <w:trHeight w:hRule="exact" w:val="454"/>
          <w:jc w:val="center"/>
        </w:trPr>
        <w:tc>
          <w:tcPr>
            <w:tcW w:w="1205"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105</w:t>
            </w:r>
          </w:p>
        </w:tc>
        <w:tc>
          <w:tcPr>
            <w:tcW w:w="1102"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107</w:t>
            </w:r>
          </w:p>
        </w:tc>
        <w:tc>
          <w:tcPr>
            <w:tcW w:w="2693"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3,908</w:t>
            </w:r>
          </w:p>
        </w:tc>
      </w:tr>
      <w:tr w:rsidR="00175231" w:rsidRPr="00D41D30" w:rsidTr="002532DE">
        <w:trPr>
          <w:trHeight w:hRule="exact" w:val="454"/>
          <w:jc w:val="center"/>
        </w:trPr>
        <w:tc>
          <w:tcPr>
            <w:tcW w:w="1205"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106</w:t>
            </w:r>
          </w:p>
        </w:tc>
        <w:tc>
          <w:tcPr>
            <w:tcW w:w="1102"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106</w:t>
            </w:r>
          </w:p>
        </w:tc>
        <w:tc>
          <w:tcPr>
            <w:tcW w:w="2693" w:type="pct"/>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4,325</w:t>
            </w:r>
          </w:p>
        </w:tc>
      </w:tr>
      <w:tr w:rsidR="00175231" w:rsidRPr="00D41D30" w:rsidTr="002532DE">
        <w:trPr>
          <w:trHeight w:hRule="exact" w:val="454"/>
          <w:jc w:val="center"/>
        </w:trPr>
        <w:tc>
          <w:tcPr>
            <w:tcW w:w="1205" w:type="pct"/>
            <w:tcBorders>
              <w:bottom w:val="single" w:sz="4" w:space="0" w:color="auto"/>
            </w:tcBorders>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107</w:t>
            </w:r>
          </w:p>
        </w:tc>
        <w:tc>
          <w:tcPr>
            <w:tcW w:w="1102" w:type="pct"/>
            <w:tcBorders>
              <w:bottom w:val="single" w:sz="4" w:space="0" w:color="auto"/>
            </w:tcBorders>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107</w:t>
            </w:r>
          </w:p>
        </w:tc>
        <w:tc>
          <w:tcPr>
            <w:tcW w:w="2693" w:type="pct"/>
            <w:tcBorders>
              <w:bottom w:val="single" w:sz="4" w:space="0" w:color="auto"/>
            </w:tcBorders>
            <w:shd w:val="clear" w:color="auto" w:fill="auto"/>
            <w:tcMar>
              <w:top w:w="0" w:type="dxa"/>
              <w:left w:w="108" w:type="dxa"/>
              <w:bottom w:w="0" w:type="dxa"/>
              <w:right w:w="108" w:type="dxa"/>
            </w:tcMar>
            <w:vAlign w:val="center"/>
          </w:tcPr>
          <w:p w:rsidR="00175231" w:rsidRPr="00D41D30" w:rsidRDefault="00175231" w:rsidP="001036B6">
            <w:pPr>
              <w:adjustRightInd w:val="0"/>
              <w:snapToGrid w:val="0"/>
              <w:spacing w:before="50" w:after="50" w:line="300" w:lineRule="auto"/>
              <w:jc w:val="center"/>
              <w:rPr>
                <w:rFonts w:hAnsi="標楷體"/>
                <w:color w:val="000000" w:themeColor="text1"/>
                <w:sz w:val="28"/>
                <w:szCs w:val="28"/>
              </w:rPr>
            </w:pPr>
            <w:r w:rsidRPr="00D41D30">
              <w:rPr>
                <w:rFonts w:hAnsi="標楷體"/>
                <w:color w:val="000000" w:themeColor="text1"/>
                <w:sz w:val="28"/>
                <w:szCs w:val="28"/>
              </w:rPr>
              <w:t>4,415</w:t>
            </w:r>
          </w:p>
        </w:tc>
      </w:tr>
      <w:tr w:rsidR="00175231" w:rsidRPr="00D41D30" w:rsidTr="002532DE">
        <w:trPr>
          <w:trHeight w:hRule="exact" w:val="454"/>
          <w:jc w:val="center"/>
        </w:trPr>
        <w:tc>
          <w:tcPr>
            <w:tcW w:w="1205" w:type="pct"/>
            <w:tcBorders>
              <w:bottom w:val="single" w:sz="4" w:space="0" w:color="auto"/>
            </w:tcBorders>
            <w:shd w:val="clear" w:color="auto" w:fill="auto"/>
            <w:tcMar>
              <w:top w:w="0" w:type="dxa"/>
              <w:left w:w="108" w:type="dxa"/>
              <w:bottom w:w="0" w:type="dxa"/>
              <w:right w:w="108" w:type="dxa"/>
            </w:tcMar>
            <w:vAlign w:val="center"/>
          </w:tcPr>
          <w:p w:rsidR="00175231" w:rsidRPr="00D41D30" w:rsidRDefault="00175231" w:rsidP="001E02FE">
            <w:pPr>
              <w:adjustRightInd w:val="0"/>
              <w:snapToGrid w:val="0"/>
              <w:spacing w:before="50" w:after="50" w:line="300" w:lineRule="auto"/>
              <w:jc w:val="center"/>
              <w:rPr>
                <w:rFonts w:hAnsi="標楷體"/>
                <w:b/>
                <w:color w:val="000000" w:themeColor="text1"/>
                <w:sz w:val="28"/>
                <w:szCs w:val="28"/>
              </w:rPr>
            </w:pPr>
            <w:r w:rsidRPr="00D41D30">
              <w:rPr>
                <w:rFonts w:hAnsi="標楷體" w:hint="eastAsia"/>
                <w:b/>
                <w:color w:val="000000" w:themeColor="text1"/>
                <w:sz w:val="28"/>
                <w:szCs w:val="28"/>
              </w:rPr>
              <w:t>108</w:t>
            </w:r>
          </w:p>
        </w:tc>
        <w:tc>
          <w:tcPr>
            <w:tcW w:w="1102" w:type="pct"/>
            <w:tcBorders>
              <w:bottom w:val="single" w:sz="4" w:space="0" w:color="auto"/>
            </w:tcBorders>
            <w:shd w:val="clear" w:color="auto" w:fill="auto"/>
            <w:tcMar>
              <w:top w:w="0" w:type="dxa"/>
              <w:left w:w="108" w:type="dxa"/>
              <w:bottom w:w="0" w:type="dxa"/>
              <w:right w:w="108" w:type="dxa"/>
            </w:tcMar>
            <w:vAlign w:val="center"/>
          </w:tcPr>
          <w:p w:rsidR="00175231" w:rsidRPr="00D41D30" w:rsidRDefault="00175231" w:rsidP="001E02FE">
            <w:pPr>
              <w:adjustRightInd w:val="0"/>
              <w:snapToGrid w:val="0"/>
              <w:spacing w:before="50" w:after="50" w:line="300" w:lineRule="auto"/>
              <w:jc w:val="center"/>
              <w:rPr>
                <w:rFonts w:hAnsi="標楷體"/>
                <w:color w:val="000000" w:themeColor="text1"/>
                <w:sz w:val="28"/>
                <w:szCs w:val="28"/>
              </w:rPr>
            </w:pPr>
            <w:r w:rsidRPr="00D41D30">
              <w:rPr>
                <w:rFonts w:hAnsi="標楷體" w:hint="eastAsia"/>
                <w:color w:val="000000" w:themeColor="text1"/>
                <w:sz w:val="28"/>
                <w:szCs w:val="28"/>
              </w:rPr>
              <w:t>102</w:t>
            </w:r>
          </w:p>
        </w:tc>
        <w:tc>
          <w:tcPr>
            <w:tcW w:w="2693" w:type="pct"/>
            <w:tcBorders>
              <w:bottom w:val="single" w:sz="4" w:space="0" w:color="auto"/>
            </w:tcBorders>
            <w:shd w:val="clear" w:color="auto" w:fill="auto"/>
            <w:tcMar>
              <w:top w:w="0" w:type="dxa"/>
              <w:left w:w="108" w:type="dxa"/>
              <w:bottom w:w="0" w:type="dxa"/>
              <w:right w:w="108" w:type="dxa"/>
            </w:tcMar>
            <w:vAlign w:val="center"/>
          </w:tcPr>
          <w:p w:rsidR="00175231" w:rsidRPr="00D41D30" w:rsidRDefault="00175231" w:rsidP="001E02FE">
            <w:pPr>
              <w:adjustRightInd w:val="0"/>
              <w:snapToGrid w:val="0"/>
              <w:spacing w:before="50" w:after="50" w:line="300" w:lineRule="auto"/>
              <w:jc w:val="center"/>
              <w:rPr>
                <w:rFonts w:hAnsi="標楷體"/>
                <w:color w:val="000000" w:themeColor="text1"/>
                <w:sz w:val="28"/>
                <w:szCs w:val="28"/>
              </w:rPr>
            </w:pPr>
            <w:r w:rsidRPr="00D41D30">
              <w:rPr>
                <w:rFonts w:hAnsi="標楷體" w:hint="eastAsia"/>
                <w:color w:val="000000" w:themeColor="text1"/>
                <w:sz w:val="28"/>
                <w:szCs w:val="28"/>
              </w:rPr>
              <w:t>4</w:t>
            </w:r>
            <w:r w:rsidRPr="00D41D30">
              <w:rPr>
                <w:rFonts w:hAnsi="標楷體"/>
                <w:color w:val="000000" w:themeColor="text1"/>
                <w:sz w:val="28"/>
                <w:szCs w:val="28"/>
              </w:rPr>
              <w:t>,</w:t>
            </w:r>
            <w:r w:rsidRPr="00D41D30">
              <w:rPr>
                <w:rFonts w:hAnsi="標楷體" w:hint="eastAsia"/>
                <w:color w:val="000000" w:themeColor="text1"/>
                <w:sz w:val="28"/>
                <w:szCs w:val="28"/>
              </w:rPr>
              <w:t>492</w:t>
            </w:r>
          </w:p>
        </w:tc>
      </w:tr>
    </w:tbl>
    <w:p w:rsidR="00D7741A" w:rsidRPr="00D41D30" w:rsidRDefault="00D7741A" w:rsidP="008B3156">
      <w:pPr>
        <w:pStyle w:val="aff9"/>
        <w:rPr>
          <w:rFonts w:ascii="標楷體" w:eastAsia="標楷體" w:hAnsi="標楷體"/>
          <w:color w:val="000000" w:themeColor="text1"/>
          <w:lang w:eastAsia="zh-TW"/>
        </w:rPr>
      </w:pPr>
      <w:r w:rsidRPr="00D41D30">
        <w:rPr>
          <w:rFonts w:hint="eastAsia"/>
          <w:color w:val="000000" w:themeColor="text1"/>
          <w:lang w:eastAsia="zh-TW"/>
        </w:rPr>
        <w:t xml:space="preserve">　　　</w:t>
      </w:r>
      <w:r w:rsidR="008B3156" w:rsidRPr="00D41D30">
        <w:rPr>
          <w:rFonts w:hint="eastAsia"/>
          <w:color w:val="000000" w:themeColor="text1"/>
          <w:lang w:eastAsia="zh-TW"/>
        </w:rPr>
        <w:t xml:space="preserve">   </w:t>
      </w:r>
      <w:r w:rsidR="00175231" w:rsidRPr="00D41D30">
        <w:rPr>
          <w:rFonts w:hint="eastAsia"/>
          <w:color w:val="000000" w:themeColor="text1"/>
          <w:lang w:eastAsia="zh-TW"/>
        </w:rPr>
        <w:t xml:space="preserve">    </w:t>
      </w:r>
      <w:r w:rsidRPr="00D41D30">
        <w:rPr>
          <w:rFonts w:ascii="標楷體" w:eastAsia="標楷體" w:hAnsi="標楷體" w:hint="eastAsia"/>
          <w:color w:val="000000" w:themeColor="text1"/>
          <w:lang w:eastAsia="zh-TW"/>
        </w:rPr>
        <w:t>資料來源：教育部提供</w:t>
      </w:r>
      <w:r w:rsidR="00622DB3" w:rsidRPr="00D41D30">
        <w:rPr>
          <w:rFonts w:ascii="標楷體" w:eastAsia="標楷體" w:hAnsi="標楷體" w:hint="eastAsia"/>
          <w:color w:val="000000" w:themeColor="text1"/>
          <w:lang w:eastAsia="zh-TW"/>
        </w:rPr>
        <w:t>。</w:t>
      </w:r>
    </w:p>
    <w:p w:rsidR="00D7741A" w:rsidRPr="00D41D30" w:rsidRDefault="00D7741A" w:rsidP="006C4734">
      <w:pPr>
        <w:pStyle w:val="4"/>
        <w:rPr>
          <w:color w:val="000000" w:themeColor="text1"/>
        </w:rPr>
      </w:pPr>
      <w:r w:rsidRPr="00D41D30">
        <w:rPr>
          <w:rFonts w:hint="eastAsia"/>
          <w:color w:val="000000" w:themeColor="text1"/>
        </w:rPr>
        <w:t>成效評估：</w:t>
      </w:r>
    </w:p>
    <w:p w:rsidR="00D7741A" w:rsidRPr="00D41D30" w:rsidRDefault="00D7741A" w:rsidP="00D62D90">
      <w:pPr>
        <w:pStyle w:val="5"/>
        <w:rPr>
          <w:color w:val="000000" w:themeColor="text1"/>
        </w:rPr>
      </w:pPr>
      <w:r w:rsidRPr="00D41D30">
        <w:rPr>
          <w:rFonts w:hint="eastAsia"/>
          <w:color w:val="000000" w:themeColor="text1"/>
        </w:rPr>
        <w:t>教育部於102年及103年進行大學校院辦理樂齡大學之訪視工作，採抽訪方式進行。</w:t>
      </w:r>
    </w:p>
    <w:p w:rsidR="00D7741A" w:rsidRPr="00D41D30" w:rsidRDefault="00D7741A" w:rsidP="006C4734">
      <w:pPr>
        <w:pStyle w:val="5"/>
        <w:rPr>
          <w:color w:val="000000" w:themeColor="text1"/>
        </w:rPr>
      </w:pPr>
      <w:r w:rsidRPr="00D41D30">
        <w:rPr>
          <w:rFonts w:hint="eastAsia"/>
          <w:color w:val="000000" w:themeColor="text1"/>
        </w:rPr>
        <w:t>104年起進行「教育部大專校院統合視導工作」，綜覽訪視委員訪視樂齡大學之意見，發現</w:t>
      </w:r>
      <w:r w:rsidR="00B562C7" w:rsidRPr="00D41D30">
        <w:rPr>
          <w:rFonts w:hint="eastAsia"/>
          <w:color w:val="000000" w:themeColor="text1"/>
        </w:rPr>
        <w:t>（</w:t>
      </w:r>
      <w:r w:rsidRPr="00D41D30">
        <w:rPr>
          <w:rFonts w:hint="eastAsia"/>
          <w:color w:val="000000" w:themeColor="text1"/>
        </w:rPr>
        <w:t>1</w:t>
      </w:r>
      <w:r w:rsidR="006B5136" w:rsidRPr="00D41D30">
        <w:rPr>
          <w:rFonts w:hint="eastAsia"/>
          <w:color w:val="000000" w:themeColor="text1"/>
        </w:rPr>
        <w:t>）</w:t>
      </w:r>
      <w:r w:rsidRPr="00D41D30">
        <w:rPr>
          <w:rFonts w:hint="eastAsia"/>
          <w:color w:val="000000" w:themeColor="text1"/>
        </w:rPr>
        <w:t>大學校院對於樂齡大學經營展現高度支持；</w:t>
      </w:r>
      <w:r w:rsidR="00B562C7" w:rsidRPr="00D41D30">
        <w:rPr>
          <w:rFonts w:hint="eastAsia"/>
          <w:color w:val="000000" w:themeColor="text1"/>
        </w:rPr>
        <w:t>（</w:t>
      </w:r>
      <w:r w:rsidRPr="00D41D30">
        <w:rPr>
          <w:rFonts w:hint="eastAsia"/>
          <w:color w:val="000000" w:themeColor="text1"/>
        </w:rPr>
        <w:t>2</w:t>
      </w:r>
      <w:r w:rsidR="006B5136" w:rsidRPr="00D41D30">
        <w:rPr>
          <w:rFonts w:hint="eastAsia"/>
          <w:color w:val="000000" w:themeColor="text1"/>
        </w:rPr>
        <w:t>）</w:t>
      </w:r>
      <w:r w:rsidRPr="00D41D30">
        <w:rPr>
          <w:rFonts w:hint="eastAsia"/>
          <w:color w:val="000000" w:themeColor="text1"/>
        </w:rPr>
        <w:t>團隊服務用心；</w:t>
      </w:r>
      <w:r w:rsidR="00B562C7" w:rsidRPr="00D41D30">
        <w:rPr>
          <w:rFonts w:hint="eastAsia"/>
          <w:color w:val="000000" w:themeColor="text1"/>
        </w:rPr>
        <w:t>（</w:t>
      </w:r>
      <w:r w:rsidRPr="00D41D30">
        <w:rPr>
          <w:rFonts w:hint="eastAsia"/>
          <w:color w:val="000000" w:themeColor="text1"/>
        </w:rPr>
        <w:t>3</w:t>
      </w:r>
      <w:r w:rsidR="006B5136" w:rsidRPr="00D41D30">
        <w:rPr>
          <w:rFonts w:hint="eastAsia"/>
          <w:color w:val="000000" w:themeColor="text1"/>
        </w:rPr>
        <w:t>）</w:t>
      </w:r>
      <w:r w:rsidRPr="00D41D30">
        <w:rPr>
          <w:rFonts w:hint="eastAsia"/>
          <w:color w:val="000000" w:themeColor="text1"/>
        </w:rPr>
        <w:t>課程多元，結合社會資源，融入在地生活；</w:t>
      </w:r>
      <w:r w:rsidR="00B562C7" w:rsidRPr="00D41D30">
        <w:rPr>
          <w:rFonts w:hint="eastAsia"/>
          <w:color w:val="000000" w:themeColor="text1"/>
        </w:rPr>
        <w:t>（</w:t>
      </w:r>
      <w:r w:rsidRPr="00D41D30">
        <w:rPr>
          <w:rFonts w:hint="eastAsia"/>
          <w:color w:val="000000" w:themeColor="text1"/>
        </w:rPr>
        <w:t>4</w:t>
      </w:r>
      <w:r w:rsidR="006B5136" w:rsidRPr="00D41D30">
        <w:rPr>
          <w:rFonts w:hint="eastAsia"/>
          <w:color w:val="000000" w:themeColor="text1"/>
        </w:rPr>
        <w:t>）</w:t>
      </w:r>
      <w:r w:rsidRPr="00D41D30">
        <w:rPr>
          <w:rFonts w:hint="eastAsia"/>
          <w:color w:val="000000" w:themeColor="text1"/>
        </w:rPr>
        <w:t>自主學習團體之運作已初具雛形。 從學員對於樂齡大學的滿意度分析，包括：硬體設備、辦學理念、開學（結業）活動、學員證、結業證書、課程內容、代間課程、參與課程、授課老師、服務團隊、收費情形等項，每一題的平均數都在</w:t>
      </w:r>
      <w:r w:rsidRPr="00D41D30">
        <w:rPr>
          <w:color w:val="000000" w:themeColor="text1"/>
        </w:rPr>
        <w:t>4</w:t>
      </w:r>
      <w:r w:rsidRPr="00D41D30">
        <w:rPr>
          <w:rFonts w:hint="eastAsia"/>
          <w:color w:val="000000" w:themeColor="text1"/>
        </w:rPr>
        <w:t>分以上，在五點量表中，表示樂齡大學的參與學員有相當高的滿意程度。進一步從各題之平均數來看，以「樂齡大學的辦學理念」居第一位，平均數為</w:t>
      </w:r>
      <w:r w:rsidRPr="00D41D30">
        <w:rPr>
          <w:color w:val="000000" w:themeColor="text1"/>
        </w:rPr>
        <w:t>4.53</w:t>
      </w:r>
      <w:r w:rsidRPr="00D41D30">
        <w:rPr>
          <w:rFonts w:hint="eastAsia"/>
          <w:color w:val="000000" w:themeColor="text1"/>
        </w:rPr>
        <w:t>；第二位為「服務團</w:t>
      </w:r>
      <w:r w:rsidRPr="00D41D30">
        <w:rPr>
          <w:rFonts w:hint="eastAsia"/>
          <w:color w:val="000000" w:themeColor="text1"/>
        </w:rPr>
        <w:lastRenderedPageBreak/>
        <w:t>隊」，平均數為</w:t>
      </w:r>
      <w:r w:rsidRPr="00D41D30">
        <w:rPr>
          <w:color w:val="000000" w:themeColor="text1"/>
        </w:rPr>
        <w:t>4.46</w:t>
      </w:r>
      <w:r w:rsidRPr="00D41D30">
        <w:rPr>
          <w:rFonts w:hint="eastAsia"/>
          <w:color w:val="000000" w:themeColor="text1"/>
        </w:rPr>
        <w:t>，第三位則是「授課老師」，平均數為</w:t>
      </w:r>
      <w:r w:rsidRPr="00D41D30">
        <w:rPr>
          <w:color w:val="000000" w:themeColor="text1"/>
        </w:rPr>
        <w:t>4.43</w:t>
      </w:r>
      <w:r w:rsidRPr="00D41D30">
        <w:rPr>
          <w:rFonts w:hint="eastAsia"/>
          <w:color w:val="000000" w:themeColor="text1"/>
        </w:rPr>
        <w:t>。由此可瞭解學員大多數認同樂齡大學的辦學理念，亦對承辦之學校所提供之師資及服務團隊感到滿意。 而有關於學員學習遷移之分析，瞭解學員在學習後改變之情形，此方面每一題的平均數都在</w:t>
      </w:r>
      <w:r w:rsidRPr="00D41D30">
        <w:rPr>
          <w:color w:val="000000" w:themeColor="text1"/>
        </w:rPr>
        <w:t>4</w:t>
      </w:r>
      <w:r w:rsidRPr="00D41D30">
        <w:rPr>
          <w:rFonts w:hint="eastAsia"/>
          <w:color w:val="000000" w:themeColor="text1"/>
        </w:rPr>
        <w:t>分以上，在五點量表中，表示樂齡大學的參與學員在學習後有正向的改變。進一步從各題之平均數來看，以「結交更多志同道合的朋友」與「晚年生活更有意義與價值」併居第一位，平均數為</w:t>
      </w:r>
      <w:r w:rsidRPr="00D41D30">
        <w:rPr>
          <w:color w:val="000000" w:themeColor="text1"/>
        </w:rPr>
        <w:t>4.32</w:t>
      </w:r>
      <w:r w:rsidRPr="00D41D30">
        <w:rPr>
          <w:rFonts w:hint="eastAsia"/>
          <w:color w:val="000000" w:themeColor="text1"/>
        </w:rPr>
        <w:t>；第二位以「心情更加愉快」與「生活更有重心和目標」併居第二位，平均數為</w:t>
      </w:r>
      <w:r w:rsidRPr="00D41D30">
        <w:rPr>
          <w:color w:val="000000" w:themeColor="text1"/>
        </w:rPr>
        <w:t>4.29</w:t>
      </w:r>
      <w:r w:rsidRPr="00D41D30">
        <w:rPr>
          <w:rFonts w:hint="eastAsia"/>
          <w:color w:val="000000" w:themeColor="text1"/>
        </w:rPr>
        <w:t>；第三位則是「增進我與家人的溝通、互動」，平均數為</w:t>
      </w:r>
      <w:r w:rsidRPr="00D41D30">
        <w:rPr>
          <w:color w:val="000000" w:themeColor="text1"/>
        </w:rPr>
        <w:t>4.25</w:t>
      </w:r>
      <w:r w:rsidRPr="00D41D30">
        <w:rPr>
          <w:rFonts w:hint="eastAsia"/>
          <w:color w:val="000000" w:themeColor="text1"/>
        </w:rPr>
        <w:t>。由此可見，大多數的學員在參與學習之後產生正向的改變。</w:t>
      </w:r>
    </w:p>
    <w:p w:rsidR="00D7741A" w:rsidRPr="00D41D30" w:rsidRDefault="00D7741A" w:rsidP="00E55784">
      <w:pPr>
        <w:pStyle w:val="2"/>
        <w:spacing w:beforeLines="100" w:before="457"/>
        <w:ind w:left="1020" w:hanging="680"/>
        <w:rPr>
          <w:b/>
          <w:color w:val="000000" w:themeColor="text1"/>
        </w:rPr>
      </w:pPr>
      <w:bookmarkStart w:id="590" w:name="_Toc33011733"/>
      <w:r w:rsidRPr="00D41D30">
        <w:rPr>
          <w:rFonts w:hint="eastAsia"/>
          <w:b/>
          <w:color w:val="000000" w:themeColor="text1"/>
        </w:rPr>
        <w:t>高齡自主學習團體之運作狀況</w:t>
      </w:r>
      <w:bookmarkEnd w:id="590"/>
    </w:p>
    <w:p w:rsidR="00782CE3" w:rsidRPr="00D41D30" w:rsidRDefault="00782CE3" w:rsidP="00782CE3">
      <w:pPr>
        <w:pStyle w:val="3"/>
        <w:rPr>
          <w:color w:val="000000" w:themeColor="text1"/>
        </w:rPr>
      </w:pPr>
      <w:bookmarkStart w:id="591" w:name="_Toc30512486"/>
      <w:bookmarkStart w:id="592" w:name="_Toc30581194"/>
      <w:bookmarkStart w:id="593" w:name="_Toc32392467"/>
      <w:bookmarkStart w:id="594" w:name="_Toc32673657"/>
      <w:bookmarkStart w:id="595" w:name="_Toc32845799"/>
      <w:bookmarkStart w:id="596" w:name="_Toc32846522"/>
      <w:bookmarkStart w:id="597" w:name="_Toc32913765"/>
      <w:bookmarkStart w:id="598" w:name="_Toc32918441"/>
      <w:bookmarkStart w:id="599" w:name="_Toc33011734"/>
      <w:bookmarkStart w:id="600" w:name="_Toc16588727"/>
      <w:bookmarkStart w:id="601" w:name="_Toc16693357"/>
      <w:r w:rsidRPr="00D41D30">
        <w:rPr>
          <w:rFonts w:hint="eastAsia"/>
          <w:color w:val="000000" w:themeColor="text1"/>
        </w:rPr>
        <w:t>依據</w:t>
      </w:r>
      <w:bookmarkEnd w:id="591"/>
      <w:bookmarkEnd w:id="592"/>
      <w:bookmarkEnd w:id="593"/>
      <w:bookmarkEnd w:id="594"/>
      <w:bookmarkEnd w:id="595"/>
      <w:bookmarkEnd w:id="596"/>
      <w:bookmarkEnd w:id="597"/>
      <w:bookmarkEnd w:id="598"/>
      <w:bookmarkEnd w:id="599"/>
    </w:p>
    <w:p w:rsidR="00782CE3" w:rsidRPr="00D41D30" w:rsidRDefault="001750ED" w:rsidP="00786083">
      <w:pPr>
        <w:pStyle w:val="4"/>
        <w:rPr>
          <w:color w:val="000000" w:themeColor="text1"/>
        </w:rPr>
      </w:pPr>
      <w:r w:rsidRPr="00D41D30">
        <w:rPr>
          <w:rFonts w:hint="eastAsia"/>
          <w:color w:val="000000" w:themeColor="text1"/>
        </w:rPr>
        <w:t>終身學習法</w:t>
      </w:r>
      <w:r w:rsidR="00782CE3" w:rsidRPr="00D41D30">
        <w:rPr>
          <w:rFonts w:hint="eastAsia"/>
          <w:color w:val="000000" w:themeColor="text1"/>
        </w:rPr>
        <w:t>第14及第15條及108年4月19</w:t>
      </w:r>
      <w:r w:rsidR="00BD338A" w:rsidRPr="00D41D30">
        <w:rPr>
          <w:rFonts w:hint="eastAsia"/>
          <w:color w:val="000000" w:themeColor="text1"/>
        </w:rPr>
        <w:t>日教育</w:t>
      </w:r>
      <w:r w:rsidR="00782CE3" w:rsidRPr="00D41D30">
        <w:rPr>
          <w:rFonts w:hint="eastAsia"/>
          <w:color w:val="000000" w:themeColor="text1"/>
        </w:rPr>
        <w:t>部108年高齡自主學習團體運作協商會議決議辦理。</w:t>
      </w:r>
    </w:p>
    <w:p w:rsidR="00786083" w:rsidRPr="00D41D30" w:rsidRDefault="00786083" w:rsidP="00786083">
      <w:pPr>
        <w:pStyle w:val="4"/>
        <w:rPr>
          <w:color w:val="000000" w:themeColor="text1"/>
        </w:rPr>
      </w:pPr>
      <w:r w:rsidRPr="00D41D30">
        <w:rPr>
          <w:rFonts w:hint="eastAsia"/>
          <w:color w:val="000000" w:themeColor="text1"/>
        </w:rPr>
        <w:t>推動高齡自主學習團體終身學習活動試辦計畫期程：107年5月1日至107年12月31日止。</w:t>
      </w:r>
    </w:p>
    <w:p w:rsidR="00D7741A" w:rsidRPr="00D41D30" w:rsidRDefault="00D7741A" w:rsidP="0075285F">
      <w:pPr>
        <w:pStyle w:val="3"/>
        <w:rPr>
          <w:color w:val="000000" w:themeColor="text1"/>
        </w:rPr>
      </w:pPr>
      <w:bookmarkStart w:id="602" w:name="_Toc30512487"/>
      <w:bookmarkStart w:id="603" w:name="_Toc30581195"/>
      <w:bookmarkStart w:id="604" w:name="_Toc32392468"/>
      <w:bookmarkStart w:id="605" w:name="_Toc32673658"/>
      <w:bookmarkStart w:id="606" w:name="_Toc32845800"/>
      <w:bookmarkStart w:id="607" w:name="_Toc32846523"/>
      <w:bookmarkStart w:id="608" w:name="_Toc32913766"/>
      <w:bookmarkStart w:id="609" w:name="_Toc32918442"/>
      <w:bookmarkStart w:id="610" w:name="_Toc33011735"/>
      <w:r w:rsidRPr="00D41D30">
        <w:rPr>
          <w:rFonts w:hint="eastAsia"/>
          <w:color w:val="000000" w:themeColor="text1"/>
        </w:rPr>
        <w:t>起源</w:t>
      </w:r>
      <w:bookmarkEnd w:id="600"/>
      <w:bookmarkEnd w:id="601"/>
      <w:bookmarkEnd w:id="602"/>
      <w:bookmarkEnd w:id="603"/>
      <w:bookmarkEnd w:id="604"/>
      <w:bookmarkEnd w:id="605"/>
      <w:bookmarkEnd w:id="606"/>
      <w:bookmarkEnd w:id="607"/>
      <w:bookmarkEnd w:id="608"/>
      <w:bookmarkEnd w:id="609"/>
      <w:bookmarkEnd w:id="610"/>
    </w:p>
    <w:p w:rsidR="00D7741A" w:rsidRPr="00D41D30" w:rsidRDefault="000E336A" w:rsidP="00805787">
      <w:pPr>
        <w:pStyle w:val="4"/>
        <w:rPr>
          <w:color w:val="000000" w:themeColor="text1"/>
        </w:rPr>
      </w:pPr>
      <w:r w:rsidRPr="00D41D30">
        <w:rPr>
          <w:rFonts w:hint="eastAsia"/>
          <w:color w:val="000000" w:themeColor="text1"/>
        </w:rPr>
        <w:t>104至107年「推動高齡自主學習團體終身學習活動試辦計畫」，108年起推動「高齡自主學習團體實施計畫」</w:t>
      </w:r>
      <w:r w:rsidRPr="00D41D30">
        <w:rPr>
          <w:rFonts w:hAnsi="標楷體" w:hint="eastAsia"/>
          <w:color w:val="000000" w:themeColor="text1"/>
        </w:rPr>
        <w:t>：</w:t>
      </w:r>
      <w:r w:rsidR="00D7741A" w:rsidRPr="00D41D30">
        <w:rPr>
          <w:rFonts w:hint="eastAsia"/>
          <w:color w:val="000000" w:themeColor="text1"/>
        </w:rPr>
        <w:t>教育</w:t>
      </w:r>
      <w:r w:rsidR="00D7741A" w:rsidRPr="00D41D30">
        <w:rPr>
          <w:color w:val="000000" w:themeColor="text1"/>
        </w:rPr>
        <w:t>部為推動高齡學習，增進高齡者互動與連結，激發高齡者終身學習，培</w:t>
      </w:r>
      <w:r w:rsidR="00D7741A" w:rsidRPr="00D41D30">
        <w:rPr>
          <w:color w:val="000000" w:themeColor="text1"/>
        </w:rPr>
        <w:lastRenderedPageBreak/>
        <w:t>植高齡自主學習團體帶領人</w:t>
      </w:r>
      <w:r w:rsidR="00D7741A" w:rsidRPr="00D41D30">
        <w:rPr>
          <w:rFonts w:hint="eastAsia"/>
          <w:color w:val="000000" w:themeColor="text1"/>
        </w:rPr>
        <w:t>，</w:t>
      </w:r>
      <w:r w:rsidR="00D7741A" w:rsidRPr="00D41D30">
        <w:rPr>
          <w:color w:val="000000" w:themeColor="text1"/>
        </w:rPr>
        <w:t>補助及輔導帶領人成立高齡自主學習團體</w:t>
      </w:r>
      <w:r w:rsidR="00D7741A" w:rsidRPr="00D41D30">
        <w:rPr>
          <w:rFonts w:hint="eastAsia"/>
          <w:color w:val="000000" w:themeColor="text1"/>
        </w:rPr>
        <w:t>，</w:t>
      </w:r>
      <w:r w:rsidR="00D7741A" w:rsidRPr="00D41D30">
        <w:rPr>
          <w:color w:val="000000" w:themeColor="text1"/>
        </w:rPr>
        <w:t>以使高齡者身心健康快樂</w:t>
      </w:r>
      <w:r w:rsidR="00D7741A" w:rsidRPr="00D41D30">
        <w:rPr>
          <w:rFonts w:hint="eastAsia"/>
          <w:color w:val="000000" w:themeColor="text1"/>
        </w:rPr>
        <w:t>。104年首次以新型態高齡者學習自主自助取向方式辦理「推動高齡自主學習團體終身學習活動試辦計畫」</w:t>
      </w:r>
      <w:r w:rsidR="00D7741A" w:rsidRPr="00D41D30">
        <w:rPr>
          <w:color w:val="000000" w:themeColor="text1"/>
        </w:rPr>
        <w:t>，並於107年底試辦期滿</w:t>
      </w:r>
      <w:r w:rsidR="00D7741A" w:rsidRPr="00D41D30">
        <w:rPr>
          <w:rFonts w:hint="eastAsia"/>
          <w:color w:val="000000" w:themeColor="text1"/>
        </w:rPr>
        <w:t>。</w:t>
      </w:r>
    </w:p>
    <w:p w:rsidR="00A87573" w:rsidRPr="00D41D30" w:rsidRDefault="00A87573" w:rsidP="00A87573">
      <w:pPr>
        <w:pStyle w:val="4"/>
        <w:rPr>
          <w:color w:val="000000" w:themeColor="text1"/>
        </w:rPr>
      </w:pPr>
      <w:r w:rsidRPr="00D41D30">
        <w:rPr>
          <w:rFonts w:hint="eastAsia"/>
          <w:color w:val="000000" w:themeColor="text1"/>
        </w:rPr>
        <w:t>104-107年試辦期間:為推廣偏鄉高齡教育，透過自主學習團體帶領人之培植，深耕偏鄉及離島地區，推動高齡學習；另輔導高齡者組成自主學習團體，遴定多元學習主題，以自主、自助運作方式進行學習。試辦期間共計組成348個自主團體，將高齡教育資源及理念推動至偏鄉，累計有8,527位長輩參與高齡自主學習團體的終身學習活動。</w:t>
      </w:r>
    </w:p>
    <w:p w:rsidR="009F2E86" w:rsidRPr="00D41D30" w:rsidRDefault="009F2E86" w:rsidP="009F2E86">
      <w:pPr>
        <w:pStyle w:val="3"/>
        <w:rPr>
          <w:color w:val="000000" w:themeColor="text1"/>
        </w:rPr>
      </w:pPr>
      <w:bookmarkStart w:id="611" w:name="_Toc32673659"/>
      <w:bookmarkStart w:id="612" w:name="_Toc32845801"/>
      <w:bookmarkStart w:id="613" w:name="_Toc32846524"/>
      <w:bookmarkStart w:id="614" w:name="_Toc32913767"/>
      <w:bookmarkStart w:id="615" w:name="_Toc32918443"/>
      <w:bookmarkStart w:id="616" w:name="_Toc33011736"/>
      <w:bookmarkStart w:id="617" w:name="_Toc16588728"/>
      <w:bookmarkStart w:id="618" w:name="_Toc16693359"/>
      <w:bookmarkStart w:id="619" w:name="_Toc30512488"/>
      <w:bookmarkStart w:id="620" w:name="_Toc30581196"/>
      <w:bookmarkStart w:id="621" w:name="_Toc32392469"/>
      <w:r w:rsidRPr="00D41D30">
        <w:rPr>
          <w:rFonts w:hint="eastAsia"/>
          <w:color w:val="000000" w:themeColor="text1"/>
        </w:rPr>
        <w:t>計畫目標</w:t>
      </w:r>
      <w:bookmarkEnd w:id="611"/>
      <w:bookmarkEnd w:id="612"/>
      <w:bookmarkEnd w:id="613"/>
      <w:bookmarkEnd w:id="614"/>
      <w:bookmarkEnd w:id="615"/>
      <w:bookmarkEnd w:id="616"/>
    </w:p>
    <w:p w:rsidR="009F2E86" w:rsidRPr="00D41D30" w:rsidRDefault="009F2E86" w:rsidP="009F2E86">
      <w:pPr>
        <w:pStyle w:val="4"/>
        <w:rPr>
          <w:color w:val="000000" w:themeColor="text1"/>
        </w:rPr>
      </w:pPr>
      <w:r w:rsidRPr="00D41D30">
        <w:rPr>
          <w:rFonts w:hint="eastAsia"/>
          <w:color w:val="000000" w:themeColor="text1"/>
        </w:rPr>
        <w:t>促進高齡者自主、自發之學習機會，以增進其社會參與及終身學習。</w:t>
      </w:r>
    </w:p>
    <w:p w:rsidR="009F2E86" w:rsidRPr="00D41D30" w:rsidRDefault="009F2E86" w:rsidP="00986CCB">
      <w:pPr>
        <w:pStyle w:val="4"/>
        <w:rPr>
          <w:color w:val="000000" w:themeColor="text1"/>
        </w:rPr>
      </w:pPr>
      <w:r w:rsidRPr="00D41D30">
        <w:rPr>
          <w:rFonts w:hint="eastAsia"/>
          <w:color w:val="000000" w:themeColor="text1"/>
        </w:rPr>
        <w:t>輔導高齡者組成自主團體，遴定多元學習主題，以自主、自助運作方式進行學習。</w:t>
      </w:r>
    </w:p>
    <w:p w:rsidR="009F2E86" w:rsidRPr="00D41D30" w:rsidRDefault="009F2E86" w:rsidP="00986CCB">
      <w:pPr>
        <w:pStyle w:val="4"/>
        <w:rPr>
          <w:color w:val="000000" w:themeColor="text1"/>
        </w:rPr>
      </w:pPr>
      <w:r w:rsidRPr="00D41D30">
        <w:rPr>
          <w:rFonts w:hint="eastAsia"/>
          <w:color w:val="000000" w:themeColor="text1"/>
        </w:rPr>
        <w:t>鼓勵高齡者設計自主學習課程、教材及教案，提升學習品質，增進學習效果。</w:t>
      </w:r>
    </w:p>
    <w:p w:rsidR="009F2E86" w:rsidRPr="00D41D30" w:rsidRDefault="009F2E86" w:rsidP="009F2E86">
      <w:pPr>
        <w:pStyle w:val="4"/>
        <w:rPr>
          <w:color w:val="000000" w:themeColor="text1"/>
        </w:rPr>
      </w:pPr>
      <w:r w:rsidRPr="00D41D30">
        <w:rPr>
          <w:rFonts w:hint="eastAsia"/>
          <w:color w:val="000000" w:themeColor="text1"/>
        </w:rPr>
        <w:t>鼓勵自主團體帶領人，深耕偏鄉及離島地區，推動高齡學習。</w:t>
      </w:r>
    </w:p>
    <w:p w:rsidR="009F2E86" w:rsidRPr="00D41D30" w:rsidRDefault="009F2E86" w:rsidP="00986CCB">
      <w:pPr>
        <w:pStyle w:val="4"/>
        <w:rPr>
          <w:color w:val="000000" w:themeColor="text1"/>
        </w:rPr>
      </w:pPr>
      <w:r w:rsidRPr="00D41D30">
        <w:rPr>
          <w:rFonts w:hint="eastAsia"/>
          <w:color w:val="000000" w:themeColor="text1"/>
        </w:rPr>
        <w:t>結合警政、交通、衛生與社政機關</w:t>
      </w:r>
      <w:r w:rsidR="00B562C7" w:rsidRPr="00D41D30">
        <w:rPr>
          <w:rFonts w:hint="eastAsia"/>
          <w:color w:val="000000" w:themeColor="text1"/>
        </w:rPr>
        <w:t>（</w:t>
      </w:r>
      <w:r w:rsidRPr="00D41D30">
        <w:rPr>
          <w:rFonts w:hint="eastAsia"/>
          <w:color w:val="000000" w:themeColor="text1"/>
        </w:rPr>
        <w:t>構</w:t>
      </w:r>
      <w:r w:rsidR="006B5136" w:rsidRPr="00D41D30">
        <w:rPr>
          <w:rFonts w:hint="eastAsia"/>
          <w:color w:val="000000" w:themeColor="text1"/>
        </w:rPr>
        <w:t>）</w:t>
      </w:r>
      <w:r w:rsidRPr="00D41D30">
        <w:rPr>
          <w:rFonts w:hint="eastAsia"/>
          <w:color w:val="000000" w:themeColor="text1"/>
        </w:rPr>
        <w:t>及社區、家庭之教育資源，發揮資源共享之效益。</w:t>
      </w:r>
    </w:p>
    <w:p w:rsidR="009F2E86" w:rsidRPr="00D41D30" w:rsidRDefault="009F2E86" w:rsidP="009F2E86">
      <w:pPr>
        <w:pStyle w:val="4"/>
        <w:rPr>
          <w:color w:val="000000" w:themeColor="text1"/>
        </w:rPr>
      </w:pPr>
      <w:r w:rsidRPr="00D41D30">
        <w:rPr>
          <w:rFonts w:hint="eastAsia"/>
          <w:color w:val="000000" w:themeColor="text1"/>
        </w:rPr>
        <w:t>促進高齡者身心健康，節省全民健康保險醫藥與老人照顧人力之支出。</w:t>
      </w:r>
    </w:p>
    <w:p w:rsidR="00D7741A" w:rsidRPr="00D41D30" w:rsidRDefault="00D7741A" w:rsidP="0075285F">
      <w:pPr>
        <w:pStyle w:val="3"/>
        <w:rPr>
          <w:color w:val="000000" w:themeColor="text1"/>
        </w:rPr>
      </w:pPr>
      <w:bookmarkStart w:id="622" w:name="_Toc32673660"/>
      <w:bookmarkStart w:id="623" w:name="_Toc32845802"/>
      <w:bookmarkStart w:id="624" w:name="_Toc32846525"/>
      <w:bookmarkStart w:id="625" w:name="_Toc32913768"/>
      <w:bookmarkStart w:id="626" w:name="_Toc32918444"/>
      <w:bookmarkStart w:id="627" w:name="_Toc33011737"/>
      <w:r w:rsidRPr="00D41D30">
        <w:rPr>
          <w:rFonts w:hint="eastAsia"/>
          <w:color w:val="000000" w:themeColor="text1"/>
        </w:rPr>
        <w:t>推動情形</w:t>
      </w:r>
      <w:bookmarkEnd w:id="617"/>
      <w:bookmarkEnd w:id="618"/>
      <w:bookmarkEnd w:id="619"/>
      <w:bookmarkEnd w:id="620"/>
      <w:bookmarkEnd w:id="621"/>
      <w:bookmarkEnd w:id="622"/>
      <w:bookmarkEnd w:id="623"/>
      <w:bookmarkEnd w:id="624"/>
      <w:bookmarkEnd w:id="625"/>
      <w:bookmarkEnd w:id="626"/>
      <w:bookmarkEnd w:id="627"/>
    </w:p>
    <w:p w:rsidR="00502422" w:rsidRPr="00D41D30" w:rsidRDefault="00D7741A" w:rsidP="00367F3A">
      <w:pPr>
        <w:pStyle w:val="4"/>
        <w:rPr>
          <w:color w:val="000000" w:themeColor="text1"/>
        </w:rPr>
      </w:pPr>
      <w:r w:rsidRPr="00D41D30">
        <w:rPr>
          <w:rFonts w:hint="eastAsia"/>
          <w:color w:val="000000" w:themeColor="text1"/>
        </w:rPr>
        <w:t>帶領人</w:t>
      </w:r>
      <w:r w:rsidRPr="00D41D30">
        <w:rPr>
          <w:color w:val="000000" w:themeColor="text1"/>
        </w:rPr>
        <w:t>培訓</w:t>
      </w:r>
    </w:p>
    <w:p w:rsidR="00502422" w:rsidRPr="00D41D30" w:rsidRDefault="00D7741A" w:rsidP="00502422">
      <w:pPr>
        <w:pStyle w:val="5"/>
        <w:rPr>
          <w:color w:val="000000" w:themeColor="text1"/>
        </w:rPr>
      </w:pPr>
      <w:r w:rsidRPr="00D41D30">
        <w:rPr>
          <w:rFonts w:hint="eastAsia"/>
          <w:color w:val="000000" w:themeColor="text1"/>
        </w:rPr>
        <w:t>分區委由</w:t>
      </w:r>
      <w:r w:rsidRPr="00D41D30">
        <w:rPr>
          <w:color w:val="000000" w:themeColor="text1"/>
        </w:rPr>
        <w:t>新北市政府教育局（北區）、國立自然科學博物館（中區）、國立科學工藝博</w:t>
      </w:r>
      <w:r w:rsidRPr="00D41D30">
        <w:rPr>
          <w:color w:val="000000" w:themeColor="text1"/>
        </w:rPr>
        <w:lastRenderedPageBreak/>
        <w:t>物館（南區）、臺東縣政府</w:t>
      </w:r>
      <w:r w:rsidR="00B562C7" w:rsidRPr="00D41D30">
        <w:rPr>
          <w:color w:val="000000" w:themeColor="text1"/>
        </w:rPr>
        <w:t>（</w:t>
      </w:r>
      <w:r w:rsidRPr="00D41D30">
        <w:rPr>
          <w:color w:val="000000" w:themeColor="text1"/>
        </w:rPr>
        <w:t>東區</w:t>
      </w:r>
      <w:r w:rsidR="006B5136" w:rsidRPr="00D41D30">
        <w:rPr>
          <w:color w:val="000000" w:themeColor="text1"/>
        </w:rPr>
        <w:t>）</w:t>
      </w:r>
      <w:r w:rsidRPr="00D41D30">
        <w:rPr>
          <w:rFonts w:hint="eastAsia"/>
          <w:color w:val="000000" w:themeColor="text1"/>
        </w:rPr>
        <w:t>辦理高</w:t>
      </w:r>
      <w:r w:rsidR="00B046CC" w:rsidRPr="00D41D30">
        <w:rPr>
          <w:rFonts w:hint="eastAsia"/>
          <w:color w:val="000000" w:themeColor="text1"/>
        </w:rPr>
        <w:t>齡自主學習團體帶領人培訓，帶領人培訓需完成基礎與進階課程共60小時、實作實體演練44</w:t>
      </w:r>
      <w:r w:rsidR="00337134" w:rsidRPr="00D41D30">
        <w:rPr>
          <w:rFonts w:hint="eastAsia"/>
          <w:color w:val="000000" w:themeColor="text1"/>
        </w:rPr>
        <w:t>小時</w:t>
      </w:r>
      <w:r w:rsidRPr="00D41D30">
        <w:rPr>
          <w:color w:val="000000" w:themeColor="text1"/>
        </w:rPr>
        <w:t>，深入社區或偏遠地區辦理</w:t>
      </w:r>
      <w:r w:rsidRPr="00D41D30">
        <w:rPr>
          <w:rFonts w:hint="eastAsia"/>
          <w:color w:val="000000" w:themeColor="text1"/>
        </w:rPr>
        <w:t>自主團體，並以</w:t>
      </w:r>
      <w:r w:rsidRPr="00D41D30">
        <w:rPr>
          <w:color w:val="000000" w:themeColor="text1"/>
        </w:rPr>
        <w:t>生命教育、預防失智、防止自殺等</w:t>
      </w:r>
      <w:r w:rsidRPr="00D41D30">
        <w:rPr>
          <w:rFonts w:hint="eastAsia"/>
          <w:color w:val="000000" w:themeColor="text1"/>
        </w:rPr>
        <w:t>議題及</w:t>
      </w:r>
      <w:r w:rsidRPr="00D41D30">
        <w:rPr>
          <w:color w:val="000000" w:themeColor="text1"/>
        </w:rPr>
        <w:t>活動</w:t>
      </w:r>
      <w:r w:rsidRPr="00D41D30">
        <w:rPr>
          <w:rFonts w:hint="eastAsia"/>
          <w:color w:val="000000" w:themeColor="text1"/>
        </w:rPr>
        <w:t>為主</w:t>
      </w:r>
      <w:r w:rsidRPr="00D41D30">
        <w:rPr>
          <w:color w:val="000000" w:themeColor="text1"/>
        </w:rPr>
        <w:t>。</w:t>
      </w:r>
    </w:p>
    <w:p w:rsidR="00D7741A" w:rsidRPr="00D41D30" w:rsidRDefault="00502422" w:rsidP="00502422">
      <w:pPr>
        <w:pStyle w:val="5"/>
        <w:rPr>
          <w:color w:val="000000" w:themeColor="text1"/>
        </w:rPr>
      </w:pPr>
      <w:r w:rsidRPr="00D41D30">
        <w:rPr>
          <w:rFonts w:hint="eastAsia"/>
          <w:color w:val="000000" w:themeColor="text1"/>
        </w:rPr>
        <w:t>結訓後籌組自主學習團體，以自助自主方式，深入社區或偏遠區辦理老人、生命教育、預防失智等多元教育課程及活動，105年培訓238名，106年培訓117名，107年培訓136名，累計完成培訓491名。</w:t>
      </w:r>
    </w:p>
    <w:p w:rsidR="00AE6A12" w:rsidRPr="00D41D30" w:rsidRDefault="00AE6A12" w:rsidP="00471512">
      <w:pPr>
        <w:pStyle w:val="a4"/>
        <w:ind w:left="697" w:hanging="697"/>
        <w:rPr>
          <w:b/>
          <w:color w:val="000000" w:themeColor="text1"/>
        </w:rPr>
      </w:pPr>
      <w:r w:rsidRPr="00D41D30">
        <w:rPr>
          <w:rFonts w:hint="eastAsia"/>
          <w:b/>
          <w:color w:val="000000" w:themeColor="text1"/>
        </w:rPr>
        <w:t>帶領人應具備條件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763"/>
        <w:gridCol w:w="4122"/>
        <w:gridCol w:w="1110"/>
      </w:tblGrid>
      <w:tr w:rsidR="00AE6A12" w:rsidRPr="00D41D30" w:rsidTr="00270E6C">
        <w:trPr>
          <w:trHeight w:val="66"/>
          <w:tblHeader/>
          <w:jc w:val="center"/>
        </w:trPr>
        <w:tc>
          <w:tcPr>
            <w:tcW w:w="852" w:type="dxa"/>
            <w:shd w:val="clear" w:color="auto" w:fill="auto"/>
          </w:tcPr>
          <w:p w:rsidR="00AE6A12" w:rsidRPr="00D41D30" w:rsidRDefault="00AE6A12" w:rsidP="00B65D52">
            <w:pPr>
              <w:widowControl/>
              <w:adjustRightInd w:val="0"/>
              <w:snapToGrid w:val="0"/>
              <w:spacing w:line="300" w:lineRule="auto"/>
              <w:jc w:val="center"/>
              <w:rPr>
                <w:rFonts w:hAnsi="標楷體"/>
                <w:b/>
                <w:bCs/>
                <w:color w:val="000000" w:themeColor="text1"/>
                <w:sz w:val="26"/>
                <w:szCs w:val="26"/>
                <w:lang w:val="x-none"/>
              </w:rPr>
            </w:pPr>
            <w:r w:rsidRPr="00D41D30">
              <w:rPr>
                <w:rFonts w:hAnsi="標楷體"/>
                <w:b/>
                <w:bCs/>
                <w:color w:val="000000" w:themeColor="text1"/>
                <w:sz w:val="26"/>
                <w:szCs w:val="26"/>
                <w:lang w:val="x-none"/>
              </w:rPr>
              <w:br w:type="page"/>
              <w:t>序號</w:t>
            </w:r>
          </w:p>
        </w:tc>
        <w:tc>
          <w:tcPr>
            <w:tcW w:w="2835" w:type="dxa"/>
            <w:shd w:val="clear" w:color="auto" w:fill="auto"/>
          </w:tcPr>
          <w:p w:rsidR="00AE6A12" w:rsidRPr="00D41D30" w:rsidRDefault="00AE6A12" w:rsidP="00B65D52">
            <w:pPr>
              <w:widowControl/>
              <w:adjustRightInd w:val="0"/>
              <w:snapToGrid w:val="0"/>
              <w:spacing w:line="300" w:lineRule="auto"/>
              <w:jc w:val="center"/>
              <w:rPr>
                <w:rFonts w:hAnsi="標楷體"/>
                <w:b/>
                <w:bCs/>
                <w:color w:val="000000" w:themeColor="text1"/>
                <w:sz w:val="26"/>
                <w:szCs w:val="26"/>
                <w:lang w:val="x-none"/>
              </w:rPr>
            </w:pPr>
            <w:r w:rsidRPr="00D41D30">
              <w:rPr>
                <w:rFonts w:hAnsi="標楷體"/>
                <w:b/>
                <w:bCs/>
                <w:color w:val="000000" w:themeColor="text1"/>
                <w:sz w:val="26"/>
                <w:szCs w:val="26"/>
                <w:lang w:val="x-none"/>
              </w:rPr>
              <w:t>資格</w:t>
            </w:r>
          </w:p>
        </w:tc>
        <w:tc>
          <w:tcPr>
            <w:tcW w:w="4252" w:type="dxa"/>
            <w:shd w:val="clear" w:color="auto" w:fill="auto"/>
          </w:tcPr>
          <w:p w:rsidR="00AE6A12" w:rsidRPr="00D41D30" w:rsidRDefault="00AE6A12" w:rsidP="00B65D52">
            <w:pPr>
              <w:widowControl/>
              <w:adjustRightInd w:val="0"/>
              <w:snapToGrid w:val="0"/>
              <w:spacing w:line="300" w:lineRule="auto"/>
              <w:jc w:val="center"/>
              <w:rPr>
                <w:rFonts w:hAnsi="標楷體"/>
                <w:b/>
                <w:bCs/>
                <w:color w:val="000000" w:themeColor="text1"/>
                <w:sz w:val="26"/>
                <w:szCs w:val="26"/>
                <w:lang w:val="x-none"/>
              </w:rPr>
            </w:pPr>
            <w:r w:rsidRPr="00D41D30">
              <w:rPr>
                <w:rFonts w:hAnsi="標楷體"/>
                <w:b/>
                <w:bCs/>
                <w:color w:val="000000" w:themeColor="text1"/>
                <w:sz w:val="26"/>
                <w:szCs w:val="26"/>
                <w:lang w:val="x-none"/>
              </w:rPr>
              <w:t>培訓課程</w:t>
            </w:r>
          </w:p>
        </w:tc>
        <w:tc>
          <w:tcPr>
            <w:tcW w:w="1134" w:type="dxa"/>
            <w:shd w:val="clear" w:color="auto" w:fill="auto"/>
          </w:tcPr>
          <w:p w:rsidR="00AE6A12" w:rsidRPr="00D41D30" w:rsidRDefault="00AE6A12" w:rsidP="00B65D52">
            <w:pPr>
              <w:widowControl/>
              <w:adjustRightInd w:val="0"/>
              <w:snapToGrid w:val="0"/>
              <w:spacing w:line="300" w:lineRule="auto"/>
              <w:jc w:val="center"/>
              <w:rPr>
                <w:rFonts w:hAnsi="標楷體"/>
                <w:b/>
                <w:bCs/>
                <w:color w:val="000000" w:themeColor="text1"/>
                <w:sz w:val="26"/>
                <w:szCs w:val="26"/>
                <w:lang w:val="x-none"/>
              </w:rPr>
            </w:pPr>
            <w:r w:rsidRPr="00D41D30">
              <w:rPr>
                <w:rFonts w:hAnsi="標楷體"/>
                <w:b/>
                <w:bCs/>
                <w:color w:val="000000" w:themeColor="text1"/>
                <w:sz w:val="26"/>
                <w:szCs w:val="26"/>
                <w:lang w:val="x-none"/>
              </w:rPr>
              <w:t>備註</w:t>
            </w:r>
          </w:p>
        </w:tc>
      </w:tr>
      <w:tr w:rsidR="00AE6A12" w:rsidRPr="00D41D30" w:rsidTr="00E55784">
        <w:trPr>
          <w:jc w:val="center"/>
        </w:trPr>
        <w:tc>
          <w:tcPr>
            <w:tcW w:w="852" w:type="dxa"/>
            <w:shd w:val="clear" w:color="auto" w:fill="auto"/>
            <w:vAlign w:val="center"/>
          </w:tcPr>
          <w:p w:rsidR="00AE6A12" w:rsidRPr="00D41D30" w:rsidRDefault="00AE6A12" w:rsidP="00E55784">
            <w:pPr>
              <w:spacing w:line="440" w:lineRule="exact"/>
              <w:jc w:val="center"/>
              <w:rPr>
                <w:rFonts w:hAnsi="標楷體"/>
                <w:color w:val="000000" w:themeColor="text1"/>
                <w:kern w:val="0"/>
                <w:sz w:val="26"/>
                <w:szCs w:val="26"/>
              </w:rPr>
            </w:pPr>
            <w:r w:rsidRPr="00D41D30">
              <w:rPr>
                <w:rFonts w:hAnsi="標楷體"/>
                <w:color w:val="000000" w:themeColor="text1"/>
                <w:kern w:val="0"/>
                <w:sz w:val="26"/>
                <w:szCs w:val="26"/>
              </w:rPr>
              <w:t>1</w:t>
            </w:r>
          </w:p>
        </w:tc>
        <w:tc>
          <w:tcPr>
            <w:tcW w:w="2835"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取得</w:t>
            </w:r>
            <w:r w:rsidR="00E178DB" w:rsidRPr="00D41D30">
              <w:rPr>
                <w:rFonts w:hAnsi="標楷體" w:hint="eastAsia"/>
                <w:bCs/>
                <w:color w:val="000000" w:themeColor="text1"/>
                <w:sz w:val="26"/>
                <w:szCs w:val="26"/>
                <w:lang w:val="x-none"/>
              </w:rPr>
              <w:t>該</w:t>
            </w:r>
            <w:r w:rsidRPr="00D41D30">
              <w:rPr>
                <w:rFonts w:hAnsi="標楷體"/>
                <w:bCs/>
                <w:color w:val="000000" w:themeColor="text1"/>
                <w:sz w:val="26"/>
                <w:szCs w:val="26"/>
                <w:lang w:val="x-none"/>
              </w:rPr>
              <w:t>部104、106年自主團體帶領人及格證明書者。</w:t>
            </w:r>
          </w:p>
        </w:tc>
        <w:tc>
          <w:tcPr>
            <w:tcW w:w="4252"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免接受培訓課程</w:t>
            </w:r>
          </w:p>
        </w:tc>
        <w:tc>
          <w:tcPr>
            <w:tcW w:w="1134" w:type="dxa"/>
            <w:shd w:val="clear" w:color="auto" w:fill="auto"/>
          </w:tcPr>
          <w:p w:rsidR="00AE6A12" w:rsidRPr="00D41D30" w:rsidRDefault="00AE6A12" w:rsidP="00920B66">
            <w:pPr>
              <w:spacing w:line="440" w:lineRule="exact"/>
              <w:rPr>
                <w:rFonts w:hAnsi="標楷體"/>
                <w:color w:val="000000" w:themeColor="text1"/>
                <w:kern w:val="0"/>
                <w:sz w:val="26"/>
                <w:szCs w:val="26"/>
              </w:rPr>
            </w:pPr>
          </w:p>
        </w:tc>
      </w:tr>
      <w:tr w:rsidR="00AE6A12" w:rsidRPr="00D41D30" w:rsidTr="00E55784">
        <w:trPr>
          <w:jc w:val="center"/>
        </w:trPr>
        <w:tc>
          <w:tcPr>
            <w:tcW w:w="852" w:type="dxa"/>
            <w:shd w:val="clear" w:color="auto" w:fill="auto"/>
            <w:vAlign w:val="center"/>
          </w:tcPr>
          <w:p w:rsidR="00AE6A12" w:rsidRPr="00D41D30" w:rsidRDefault="00AE6A12" w:rsidP="00E55784">
            <w:pPr>
              <w:spacing w:line="500" w:lineRule="exact"/>
              <w:jc w:val="center"/>
              <w:rPr>
                <w:rFonts w:hAnsi="標楷體"/>
                <w:color w:val="000000" w:themeColor="text1"/>
                <w:kern w:val="0"/>
                <w:sz w:val="26"/>
                <w:szCs w:val="26"/>
              </w:rPr>
            </w:pPr>
            <w:r w:rsidRPr="00D41D30">
              <w:rPr>
                <w:rFonts w:hAnsi="標楷體"/>
                <w:color w:val="000000" w:themeColor="text1"/>
                <w:kern w:val="0"/>
                <w:sz w:val="26"/>
                <w:szCs w:val="26"/>
              </w:rPr>
              <w:t>2</w:t>
            </w:r>
          </w:p>
        </w:tc>
        <w:tc>
          <w:tcPr>
            <w:tcW w:w="2835"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取得</w:t>
            </w:r>
            <w:r w:rsidR="00422F7B" w:rsidRPr="00D41D30">
              <w:rPr>
                <w:rFonts w:hAnsi="標楷體"/>
                <w:bCs/>
                <w:color w:val="000000" w:themeColor="text1"/>
                <w:sz w:val="26"/>
                <w:szCs w:val="26"/>
                <w:lang w:val="x-none"/>
              </w:rPr>
              <w:t>該部</w:t>
            </w:r>
            <w:r w:rsidRPr="00D41D30">
              <w:rPr>
                <w:rFonts w:hAnsi="標楷體"/>
                <w:bCs/>
                <w:color w:val="000000" w:themeColor="text1"/>
                <w:sz w:val="26"/>
                <w:szCs w:val="26"/>
                <w:lang w:val="x-none"/>
              </w:rPr>
              <w:t>101、102年自主團體帶領人及格證明書者</w:t>
            </w:r>
          </w:p>
        </w:tc>
        <w:tc>
          <w:tcPr>
            <w:tcW w:w="4252"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報名後經</w:t>
            </w:r>
            <w:r w:rsidR="00422F7B" w:rsidRPr="00D41D30">
              <w:rPr>
                <w:rFonts w:hAnsi="標楷體"/>
                <w:bCs/>
                <w:color w:val="000000" w:themeColor="text1"/>
                <w:sz w:val="26"/>
                <w:szCs w:val="26"/>
                <w:lang w:val="x-none"/>
              </w:rPr>
              <w:t>該部</w:t>
            </w:r>
            <w:r w:rsidRPr="00D41D30">
              <w:rPr>
                <w:rFonts w:hAnsi="標楷體"/>
                <w:bCs/>
                <w:color w:val="000000" w:themeColor="text1"/>
                <w:sz w:val="26"/>
                <w:szCs w:val="26"/>
                <w:lang w:val="x-none"/>
              </w:rPr>
              <w:t>面試甄選通過，再完成本次自</w:t>
            </w:r>
            <w:r w:rsidRPr="00D41D30">
              <w:rPr>
                <w:rFonts w:hAnsi="標楷體" w:hint="eastAsia"/>
                <w:bCs/>
                <w:color w:val="000000" w:themeColor="text1"/>
                <w:sz w:val="26"/>
                <w:szCs w:val="26"/>
                <w:lang w:val="x-none"/>
              </w:rPr>
              <w:t>主</w:t>
            </w:r>
            <w:r w:rsidRPr="00D41D30">
              <w:rPr>
                <w:rFonts w:hAnsi="標楷體"/>
                <w:bCs/>
                <w:color w:val="000000" w:themeColor="text1"/>
                <w:sz w:val="26"/>
                <w:szCs w:val="26"/>
                <w:lang w:val="x-none"/>
              </w:rPr>
              <w:t>團體帶領人共同科目培訓課程及實作課程，經評核通過，取得本計畫帶領人證明書。</w:t>
            </w:r>
          </w:p>
        </w:tc>
        <w:tc>
          <w:tcPr>
            <w:tcW w:w="1134"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優先甄試為接受培訓者</w:t>
            </w:r>
          </w:p>
        </w:tc>
      </w:tr>
      <w:tr w:rsidR="00AE6A12" w:rsidRPr="00D41D30" w:rsidTr="00E55784">
        <w:trPr>
          <w:jc w:val="center"/>
        </w:trPr>
        <w:tc>
          <w:tcPr>
            <w:tcW w:w="852" w:type="dxa"/>
            <w:shd w:val="clear" w:color="auto" w:fill="auto"/>
            <w:vAlign w:val="center"/>
          </w:tcPr>
          <w:p w:rsidR="00AE6A12" w:rsidRPr="00D41D30" w:rsidRDefault="00AE6A12" w:rsidP="00E55784">
            <w:pPr>
              <w:spacing w:line="500" w:lineRule="exact"/>
              <w:jc w:val="center"/>
              <w:rPr>
                <w:rFonts w:hAnsi="標楷體"/>
                <w:color w:val="000000" w:themeColor="text1"/>
                <w:kern w:val="0"/>
                <w:sz w:val="26"/>
                <w:szCs w:val="26"/>
              </w:rPr>
            </w:pPr>
            <w:r w:rsidRPr="00D41D30">
              <w:rPr>
                <w:rFonts w:hAnsi="標楷體"/>
                <w:color w:val="000000" w:themeColor="text1"/>
                <w:kern w:val="0"/>
                <w:sz w:val="26"/>
                <w:szCs w:val="26"/>
              </w:rPr>
              <w:t>3</w:t>
            </w:r>
          </w:p>
        </w:tc>
        <w:tc>
          <w:tcPr>
            <w:tcW w:w="2835"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取得</w:t>
            </w:r>
            <w:r w:rsidR="00422F7B" w:rsidRPr="00D41D30">
              <w:rPr>
                <w:rFonts w:hAnsi="標楷體"/>
                <w:bCs/>
                <w:color w:val="000000" w:themeColor="text1"/>
                <w:sz w:val="26"/>
                <w:szCs w:val="26"/>
                <w:lang w:val="x-none"/>
              </w:rPr>
              <w:t>該部</w:t>
            </w:r>
            <w:r w:rsidRPr="00D41D30">
              <w:rPr>
                <w:rFonts w:hAnsi="標楷體"/>
                <w:bCs/>
                <w:color w:val="000000" w:themeColor="text1"/>
                <w:sz w:val="26"/>
                <w:szCs w:val="26"/>
                <w:lang w:val="x-none"/>
              </w:rPr>
              <w:t>101、102年樂齡教育專業人員培訓通過之樂齡教育講師、樂齡教育導覽解說者或樂齡教育專案計畫管理人及格證明書者</w:t>
            </w:r>
          </w:p>
        </w:tc>
        <w:tc>
          <w:tcPr>
            <w:tcW w:w="4252"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報名後經</w:t>
            </w:r>
            <w:r w:rsidR="00422F7B" w:rsidRPr="00D41D30">
              <w:rPr>
                <w:rFonts w:hAnsi="標楷體"/>
                <w:bCs/>
                <w:color w:val="000000" w:themeColor="text1"/>
                <w:sz w:val="26"/>
                <w:szCs w:val="26"/>
                <w:lang w:val="x-none"/>
              </w:rPr>
              <w:t>該部</w:t>
            </w:r>
            <w:r w:rsidRPr="00D41D30">
              <w:rPr>
                <w:rFonts w:hAnsi="標楷體"/>
                <w:bCs/>
                <w:color w:val="000000" w:themeColor="text1"/>
                <w:sz w:val="26"/>
                <w:szCs w:val="26"/>
                <w:lang w:val="x-none"/>
              </w:rPr>
              <w:t>面試甄選通過，再完成自主團體帶領人初階、進階及實作培訓課程，經評核通過，取得本計畫帶領人證明書</w:t>
            </w:r>
          </w:p>
        </w:tc>
        <w:tc>
          <w:tcPr>
            <w:tcW w:w="1134"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優先甄試為接受培訓者</w:t>
            </w:r>
          </w:p>
        </w:tc>
      </w:tr>
      <w:tr w:rsidR="00AE6A12" w:rsidRPr="00D41D30" w:rsidTr="00E55784">
        <w:trPr>
          <w:jc w:val="center"/>
        </w:trPr>
        <w:tc>
          <w:tcPr>
            <w:tcW w:w="852" w:type="dxa"/>
            <w:shd w:val="clear" w:color="auto" w:fill="auto"/>
            <w:vAlign w:val="center"/>
          </w:tcPr>
          <w:p w:rsidR="00AE6A12" w:rsidRPr="00D41D30" w:rsidRDefault="00AE6A12" w:rsidP="00E55784">
            <w:pPr>
              <w:spacing w:line="500" w:lineRule="exact"/>
              <w:jc w:val="center"/>
              <w:rPr>
                <w:rFonts w:hAnsi="標楷體"/>
                <w:color w:val="000000" w:themeColor="text1"/>
                <w:kern w:val="0"/>
                <w:sz w:val="26"/>
                <w:szCs w:val="26"/>
              </w:rPr>
            </w:pPr>
            <w:r w:rsidRPr="00D41D30">
              <w:rPr>
                <w:rFonts w:hAnsi="標楷體"/>
                <w:color w:val="000000" w:themeColor="text1"/>
                <w:kern w:val="0"/>
                <w:sz w:val="26"/>
                <w:szCs w:val="26"/>
              </w:rPr>
              <w:t>4</w:t>
            </w:r>
          </w:p>
        </w:tc>
        <w:tc>
          <w:tcPr>
            <w:tcW w:w="2835"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有意從事高齡教育並具有服務熱忱者</w:t>
            </w:r>
          </w:p>
        </w:tc>
        <w:tc>
          <w:tcPr>
            <w:tcW w:w="4252" w:type="dxa"/>
            <w:shd w:val="clear" w:color="auto" w:fill="auto"/>
          </w:tcPr>
          <w:p w:rsidR="00AE6A12" w:rsidRPr="00D41D30" w:rsidRDefault="00AE6A12" w:rsidP="00F7775B">
            <w:pPr>
              <w:widowControl/>
              <w:adjustRightInd w:val="0"/>
              <w:snapToGrid w:val="0"/>
              <w:spacing w:line="300" w:lineRule="auto"/>
              <w:rPr>
                <w:rFonts w:hAnsi="標楷體"/>
                <w:bCs/>
                <w:color w:val="000000" w:themeColor="text1"/>
                <w:sz w:val="26"/>
                <w:szCs w:val="26"/>
                <w:lang w:val="x-none"/>
              </w:rPr>
            </w:pPr>
            <w:r w:rsidRPr="00D41D30">
              <w:rPr>
                <w:rFonts w:hAnsi="標楷體"/>
                <w:bCs/>
                <w:color w:val="000000" w:themeColor="text1"/>
                <w:sz w:val="26"/>
                <w:szCs w:val="26"/>
                <w:lang w:val="x-none"/>
              </w:rPr>
              <w:t>報名後經</w:t>
            </w:r>
            <w:r w:rsidR="00422F7B" w:rsidRPr="00D41D30">
              <w:rPr>
                <w:rFonts w:hAnsi="標楷體"/>
                <w:bCs/>
                <w:color w:val="000000" w:themeColor="text1"/>
                <w:sz w:val="26"/>
                <w:szCs w:val="26"/>
                <w:lang w:val="x-none"/>
              </w:rPr>
              <w:t>該部</w:t>
            </w:r>
            <w:r w:rsidRPr="00D41D30">
              <w:rPr>
                <w:rFonts w:hAnsi="標楷體"/>
                <w:bCs/>
                <w:color w:val="000000" w:themeColor="text1"/>
                <w:sz w:val="26"/>
                <w:szCs w:val="26"/>
                <w:lang w:val="x-none"/>
              </w:rPr>
              <w:t>面試甄選通過，再完成自主團體帶領人初階、進階</w:t>
            </w:r>
            <w:r w:rsidRPr="00D41D30">
              <w:rPr>
                <w:rFonts w:hAnsi="標楷體"/>
                <w:bCs/>
                <w:color w:val="000000" w:themeColor="text1"/>
                <w:sz w:val="26"/>
                <w:szCs w:val="26"/>
                <w:lang w:val="x-none"/>
              </w:rPr>
              <w:lastRenderedPageBreak/>
              <w:t>及實作培訓課程，經評核通過，取得本計畫帶領人證明書</w:t>
            </w:r>
          </w:p>
        </w:tc>
        <w:tc>
          <w:tcPr>
            <w:tcW w:w="1134" w:type="dxa"/>
            <w:shd w:val="clear" w:color="auto" w:fill="auto"/>
          </w:tcPr>
          <w:p w:rsidR="00AE6A12" w:rsidRPr="00D41D30" w:rsidRDefault="00AE6A12" w:rsidP="00920B66">
            <w:pPr>
              <w:spacing w:line="500" w:lineRule="exact"/>
              <w:rPr>
                <w:rFonts w:hAnsi="標楷體"/>
                <w:color w:val="000000" w:themeColor="text1"/>
                <w:kern w:val="0"/>
                <w:sz w:val="26"/>
                <w:szCs w:val="26"/>
              </w:rPr>
            </w:pPr>
          </w:p>
        </w:tc>
      </w:tr>
    </w:tbl>
    <w:p w:rsidR="00AE6A12" w:rsidRPr="00D41D30" w:rsidRDefault="00967BFA" w:rsidP="00AE6A12">
      <w:pPr>
        <w:rPr>
          <w:color w:val="000000" w:themeColor="text1"/>
          <w:sz w:val="24"/>
          <w:szCs w:val="24"/>
        </w:rPr>
      </w:pPr>
      <w:r w:rsidRPr="00D41D30">
        <w:rPr>
          <w:rFonts w:hint="eastAsia"/>
          <w:color w:val="000000" w:themeColor="text1"/>
          <w:sz w:val="24"/>
          <w:szCs w:val="24"/>
        </w:rPr>
        <w:lastRenderedPageBreak/>
        <w:t>資料來源：</w:t>
      </w:r>
      <w:r w:rsidR="00A23ED2" w:rsidRPr="00D41D30">
        <w:rPr>
          <w:rFonts w:hint="eastAsia"/>
          <w:color w:val="000000" w:themeColor="text1"/>
          <w:sz w:val="24"/>
          <w:szCs w:val="24"/>
        </w:rPr>
        <w:t>教育部</w:t>
      </w:r>
      <w:r w:rsidRPr="00D41D30">
        <w:rPr>
          <w:rFonts w:hint="eastAsia"/>
          <w:color w:val="000000" w:themeColor="text1"/>
          <w:sz w:val="24"/>
          <w:szCs w:val="24"/>
        </w:rPr>
        <w:t>107年度推動高齡自主學習團體終身學習活動試辦計畫</w:t>
      </w:r>
    </w:p>
    <w:p w:rsidR="005015AD" w:rsidRPr="00D41D30" w:rsidRDefault="005015AD" w:rsidP="005015AD">
      <w:pPr>
        <w:rPr>
          <w:color w:val="000000" w:themeColor="text1"/>
        </w:rPr>
      </w:pPr>
    </w:p>
    <w:p w:rsidR="00D7741A" w:rsidRPr="00D41D30" w:rsidRDefault="00D7741A" w:rsidP="00367F3A">
      <w:pPr>
        <w:pStyle w:val="4"/>
        <w:rPr>
          <w:color w:val="000000" w:themeColor="text1"/>
        </w:rPr>
      </w:pPr>
      <w:r w:rsidRPr="00D41D30">
        <w:rPr>
          <w:rFonts w:hint="eastAsia"/>
          <w:color w:val="000000" w:themeColor="text1"/>
        </w:rPr>
        <w:t>高齡自主學習團體</w:t>
      </w:r>
      <w:r w:rsidRPr="00D41D30">
        <w:rPr>
          <w:color w:val="000000" w:themeColor="text1"/>
        </w:rPr>
        <w:t>運作：輔導自主帶領人成立「高齡自主學習團體」，辦理終身學習課程及活動。</w:t>
      </w:r>
      <w:r w:rsidRPr="00D41D30">
        <w:rPr>
          <w:rFonts w:hint="eastAsia"/>
          <w:color w:val="000000" w:themeColor="text1"/>
        </w:rPr>
        <w:t>基於學習資源均等享有，該部在推展自主學習團體時，以不招收現在樂齡中心等學員為主，累積至107年已有348個自主團體在各地籌組運作，參與學員超過5,000人。這些人均非於長青學苑或樂齡中心、樂齡大學參與學習的學員。</w:t>
      </w:r>
      <w:r w:rsidRPr="00D41D30">
        <w:rPr>
          <w:color w:val="000000" w:themeColor="text1"/>
        </w:rPr>
        <w:t>105年成立80個團體</w:t>
      </w:r>
      <w:r w:rsidRPr="00D41D30">
        <w:rPr>
          <w:rFonts w:hint="eastAsia"/>
          <w:color w:val="000000" w:themeColor="text1"/>
        </w:rPr>
        <w:t>、</w:t>
      </w:r>
      <w:r w:rsidRPr="00D41D30">
        <w:rPr>
          <w:color w:val="000000" w:themeColor="text1"/>
        </w:rPr>
        <w:t>106年成立137個團體</w:t>
      </w:r>
      <w:r w:rsidRPr="00D41D30">
        <w:rPr>
          <w:rFonts w:hint="eastAsia"/>
          <w:color w:val="000000" w:themeColor="text1"/>
        </w:rPr>
        <w:t>、</w:t>
      </w:r>
      <w:r w:rsidRPr="00D41D30">
        <w:rPr>
          <w:color w:val="000000" w:themeColor="text1"/>
        </w:rPr>
        <w:t>107年成立1</w:t>
      </w:r>
      <w:r w:rsidRPr="00D41D30">
        <w:rPr>
          <w:rFonts w:hint="eastAsia"/>
          <w:color w:val="000000" w:themeColor="text1"/>
        </w:rPr>
        <w:t>31</w:t>
      </w:r>
      <w:r w:rsidRPr="00D41D30">
        <w:rPr>
          <w:color w:val="000000" w:themeColor="text1"/>
        </w:rPr>
        <w:t>個團體</w:t>
      </w:r>
      <w:r w:rsidRPr="00D41D30">
        <w:rPr>
          <w:rFonts w:hint="eastAsia"/>
          <w:color w:val="000000" w:themeColor="text1"/>
        </w:rPr>
        <w:t>，先後共計成立348團</w:t>
      </w:r>
      <w:r w:rsidRPr="00D41D30">
        <w:rPr>
          <w:color w:val="000000" w:themeColor="text1"/>
        </w:rPr>
        <w:t>。</w:t>
      </w:r>
    </w:p>
    <w:p w:rsidR="005A4C09" w:rsidRPr="00D41D30" w:rsidRDefault="005A4C09" w:rsidP="005A4C09">
      <w:pPr>
        <w:pStyle w:val="4"/>
        <w:rPr>
          <w:color w:val="000000" w:themeColor="text1"/>
        </w:rPr>
      </w:pPr>
      <w:r w:rsidRPr="00D41D30">
        <w:rPr>
          <w:rFonts w:hint="eastAsia"/>
          <w:color w:val="000000" w:themeColor="text1"/>
        </w:rPr>
        <w:tab/>
        <w:t>辦理單位</w:t>
      </w:r>
      <w:r w:rsidR="00AD42A0" w:rsidRPr="00D41D30">
        <w:rPr>
          <w:rStyle w:val="aff0"/>
          <w:color w:val="000000" w:themeColor="text1"/>
        </w:rPr>
        <w:footnoteReference w:id="2"/>
      </w:r>
      <w:r w:rsidRPr="00D41D30">
        <w:rPr>
          <w:rFonts w:hAnsi="標楷體" w:hint="eastAsia"/>
          <w:color w:val="000000" w:themeColor="text1"/>
        </w:rPr>
        <w:t>：</w:t>
      </w:r>
      <w:r w:rsidRPr="00D41D30">
        <w:rPr>
          <w:rFonts w:hint="eastAsia"/>
          <w:color w:val="000000" w:themeColor="text1"/>
        </w:rPr>
        <w:t xml:space="preserve">計畫委由新北市政府教育局、桃園市政府教育局、苗栗縣政府、臺中市政府教育局、嘉義縣政府、高雄市政府教育局、臺東縣政府、國立自然科學博物館、國立科學工藝博物館或專業民間團體 </w:t>
      </w:r>
      <w:r w:rsidR="00B562C7" w:rsidRPr="00D41D30">
        <w:rPr>
          <w:rFonts w:hint="eastAsia"/>
          <w:color w:val="000000" w:themeColor="text1"/>
        </w:rPr>
        <w:t>（</w:t>
      </w:r>
      <w:r w:rsidRPr="00D41D30">
        <w:rPr>
          <w:rFonts w:hint="eastAsia"/>
          <w:color w:val="000000" w:themeColor="text1"/>
        </w:rPr>
        <w:t>以下簡稱受託機關</w:t>
      </w:r>
      <w:r w:rsidR="006B5136" w:rsidRPr="00D41D30">
        <w:rPr>
          <w:rFonts w:hint="eastAsia"/>
          <w:color w:val="000000" w:themeColor="text1"/>
        </w:rPr>
        <w:t>）</w:t>
      </w:r>
      <w:r w:rsidRPr="00D41D30">
        <w:rPr>
          <w:rFonts w:hint="eastAsia"/>
          <w:color w:val="000000" w:themeColor="text1"/>
        </w:rPr>
        <w:t>辦理。</w:t>
      </w:r>
    </w:p>
    <w:p w:rsidR="00D7741A" w:rsidRPr="00D41D30" w:rsidRDefault="00D7741A" w:rsidP="00367F3A">
      <w:pPr>
        <w:pStyle w:val="3"/>
        <w:rPr>
          <w:color w:val="000000" w:themeColor="text1"/>
        </w:rPr>
      </w:pPr>
      <w:bookmarkStart w:id="628" w:name="_Toc16588729"/>
      <w:bookmarkStart w:id="629" w:name="_Toc16693360"/>
      <w:bookmarkStart w:id="630" w:name="_Toc30512489"/>
      <w:bookmarkStart w:id="631" w:name="_Toc30581197"/>
      <w:bookmarkStart w:id="632" w:name="_Toc32392470"/>
      <w:bookmarkStart w:id="633" w:name="_Toc32673661"/>
      <w:bookmarkStart w:id="634" w:name="_Toc32845803"/>
      <w:bookmarkStart w:id="635" w:name="_Toc32846526"/>
      <w:bookmarkStart w:id="636" w:name="_Toc32913769"/>
      <w:bookmarkStart w:id="637" w:name="_Toc32918445"/>
      <w:bookmarkStart w:id="638" w:name="_Toc33011738"/>
      <w:r w:rsidRPr="00D41D30">
        <w:rPr>
          <w:rFonts w:hint="eastAsia"/>
          <w:color w:val="000000" w:themeColor="text1"/>
        </w:rPr>
        <w:t>成效評估</w:t>
      </w:r>
      <w:bookmarkEnd w:id="628"/>
      <w:bookmarkEnd w:id="629"/>
      <w:bookmarkEnd w:id="630"/>
      <w:bookmarkEnd w:id="631"/>
      <w:bookmarkEnd w:id="632"/>
      <w:bookmarkEnd w:id="633"/>
      <w:bookmarkEnd w:id="634"/>
      <w:bookmarkEnd w:id="635"/>
      <w:bookmarkEnd w:id="636"/>
      <w:bookmarkEnd w:id="637"/>
      <w:bookmarkEnd w:id="638"/>
    </w:p>
    <w:p w:rsidR="00D7741A" w:rsidRPr="00D41D30" w:rsidRDefault="00D7741A" w:rsidP="00367F3A">
      <w:pPr>
        <w:pStyle w:val="4"/>
        <w:rPr>
          <w:color w:val="000000" w:themeColor="text1"/>
        </w:rPr>
      </w:pPr>
      <w:r w:rsidRPr="00D41D30">
        <w:rPr>
          <w:rFonts w:hint="eastAsia"/>
          <w:color w:val="000000" w:themeColor="text1"/>
        </w:rPr>
        <w:t>教育部委託中華民國成人及終身教育學會</w:t>
      </w:r>
      <w:r w:rsidR="00B562C7" w:rsidRPr="00D41D30">
        <w:rPr>
          <w:rFonts w:hint="eastAsia"/>
          <w:color w:val="000000" w:themeColor="text1"/>
        </w:rPr>
        <w:t>（</w:t>
      </w:r>
      <w:r w:rsidRPr="00D41D30">
        <w:rPr>
          <w:rFonts w:hint="eastAsia"/>
          <w:color w:val="000000" w:themeColor="text1"/>
        </w:rPr>
        <w:t>以下簡稱成教學會</w:t>
      </w:r>
      <w:r w:rsidR="006B5136" w:rsidRPr="00D41D30">
        <w:rPr>
          <w:rFonts w:hint="eastAsia"/>
          <w:color w:val="000000" w:themeColor="text1"/>
        </w:rPr>
        <w:t>）</w:t>
      </w:r>
      <w:r w:rsidRPr="00D41D30">
        <w:rPr>
          <w:rFonts w:hint="eastAsia"/>
          <w:color w:val="000000" w:themeColor="text1"/>
        </w:rPr>
        <w:t>調查顯示，105年度回收問卷之1</w:t>
      </w:r>
      <w:r w:rsidRPr="00D41D30">
        <w:rPr>
          <w:color w:val="000000" w:themeColor="text1"/>
        </w:rPr>
        <w:t>,</w:t>
      </w:r>
      <w:r w:rsidRPr="00D41D30">
        <w:rPr>
          <w:rFonts w:hint="eastAsia"/>
          <w:color w:val="000000" w:themeColor="text1"/>
        </w:rPr>
        <w:t>572位自主學習團體高齡學習者中，第1次走出家門參與學習活動者計有1</w:t>
      </w:r>
      <w:r w:rsidRPr="00D41D30">
        <w:rPr>
          <w:color w:val="000000" w:themeColor="text1"/>
        </w:rPr>
        <w:t>,</w:t>
      </w:r>
      <w:r w:rsidRPr="00D41D30">
        <w:rPr>
          <w:rFonts w:hint="eastAsia"/>
          <w:color w:val="000000" w:themeColor="text1"/>
        </w:rPr>
        <w:t>144人，占72.77%，106年度回收問卷，在參與2</w:t>
      </w:r>
      <w:r w:rsidRPr="00D41D30">
        <w:rPr>
          <w:color w:val="000000" w:themeColor="text1"/>
        </w:rPr>
        <w:t>,</w:t>
      </w:r>
      <w:r w:rsidRPr="00D41D30">
        <w:rPr>
          <w:rFonts w:hint="eastAsia"/>
          <w:color w:val="000000" w:themeColor="text1"/>
        </w:rPr>
        <w:t>579位高齡者中，首次走出家門參與學習活動者達1</w:t>
      </w:r>
      <w:r w:rsidRPr="00D41D30">
        <w:rPr>
          <w:color w:val="000000" w:themeColor="text1"/>
        </w:rPr>
        <w:t>,</w:t>
      </w:r>
      <w:r w:rsidRPr="00D41D30">
        <w:rPr>
          <w:rFonts w:hint="eastAsia"/>
          <w:color w:val="000000" w:themeColor="text1"/>
        </w:rPr>
        <w:t>244</w:t>
      </w:r>
      <w:r w:rsidRPr="00D41D30">
        <w:rPr>
          <w:rFonts w:hint="eastAsia"/>
          <w:color w:val="000000" w:themeColor="text1"/>
        </w:rPr>
        <w:lastRenderedPageBreak/>
        <w:t>人，占48.2</w:t>
      </w:r>
      <w:r w:rsidRPr="00D41D30">
        <w:rPr>
          <w:color w:val="000000" w:themeColor="text1"/>
        </w:rPr>
        <w:t>4</w:t>
      </w:r>
      <w:r w:rsidRPr="00D41D30">
        <w:rPr>
          <w:rFonts w:hint="eastAsia"/>
          <w:color w:val="000000" w:themeColor="text1"/>
        </w:rPr>
        <w:t>%。</w:t>
      </w:r>
    </w:p>
    <w:p w:rsidR="00D7741A" w:rsidRPr="00D41D30" w:rsidRDefault="00D7741A" w:rsidP="00367F3A">
      <w:pPr>
        <w:pStyle w:val="4"/>
        <w:rPr>
          <w:color w:val="000000" w:themeColor="text1"/>
        </w:rPr>
      </w:pPr>
      <w:r w:rsidRPr="00D41D30">
        <w:rPr>
          <w:rFonts w:hint="eastAsia"/>
          <w:color w:val="000000" w:themeColor="text1"/>
        </w:rPr>
        <w:t>從105年度至106年度，累計參與人數達4</w:t>
      </w:r>
      <w:r w:rsidRPr="00D41D30">
        <w:rPr>
          <w:color w:val="000000" w:themeColor="text1"/>
        </w:rPr>
        <w:t>,</w:t>
      </w:r>
      <w:r w:rsidRPr="00D41D30">
        <w:rPr>
          <w:rFonts w:hint="eastAsia"/>
          <w:color w:val="000000" w:themeColor="text1"/>
        </w:rPr>
        <w:t>151人，影響2</w:t>
      </w:r>
      <w:r w:rsidRPr="00D41D30">
        <w:rPr>
          <w:color w:val="000000" w:themeColor="text1"/>
        </w:rPr>
        <w:t>,</w:t>
      </w:r>
      <w:r w:rsidRPr="00D41D30">
        <w:rPr>
          <w:rFonts w:hint="eastAsia"/>
          <w:color w:val="000000" w:themeColor="text1"/>
        </w:rPr>
        <w:t>388位高齡者走出家門並開始重視學習。可見本計畫透過非機構式自主學習模式，的確能方便提供未曾參與學習活動的高齡者走出家門學習，進而與其他高齡者互動與連結，促進身心健康。</w:t>
      </w:r>
    </w:p>
    <w:p w:rsidR="00D7741A" w:rsidRPr="00D41D30" w:rsidRDefault="00D7741A" w:rsidP="00367F3A">
      <w:pPr>
        <w:pStyle w:val="4"/>
        <w:rPr>
          <w:color w:val="000000" w:themeColor="text1"/>
        </w:rPr>
      </w:pPr>
      <w:r w:rsidRPr="00D41D30">
        <w:rPr>
          <w:rFonts w:hint="eastAsia"/>
          <w:color w:val="000000" w:themeColor="text1"/>
        </w:rPr>
        <w:t>申請通過高齡自主學習團體所在區域多屬於偏鄉或原住民族地區者，占總核定團數四分之一以上，比例相當高，都可發現本計畫所培訓之帶領人，主動至偏鄉地區照顧眾多高齡者，此亦為本計畫目的之一，讓退休者有機會再走入社區、進到偏鄉，引領許多未曾參與的高齡者體驗終身學習樂趣。</w:t>
      </w:r>
    </w:p>
    <w:p w:rsidR="00D7741A" w:rsidRPr="00D41D30" w:rsidRDefault="00D7741A" w:rsidP="00367F3A">
      <w:pPr>
        <w:pStyle w:val="4"/>
        <w:rPr>
          <w:color w:val="000000" w:themeColor="text1"/>
        </w:rPr>
      </w:pPr>
      <w:r w:rsidRPr="00D41D30">
        <w:rPr>
          <w:rFonts w:hint="eastAsia"/>
          <w:color w:val="000000" w:themeColor="text1"/>
        </w:rPr>
        <w:t>105-107年計畫試辦期間，由各縣市召開輔導交流會，由成教學會派員依縣市排定日程前往參與，給予計畫實施前及期中的輔導與建議，帶領人認為訪視活動對其有鼓勵及對團體正向指導的效益。</w:t>
      </w:r>
    </w:p>
    <w:p w:rsidR="00D7741A" w:rsidRPr="00D41D30" w:rsidRDefault="00D7741A" w:rsidP="00367F3A">
      <w:pPr>
        <w:pStyle w:val="4"/>
        <w:rPr>
          <w:rFonts w:hAnsi="標楷體"/>
          <w:color w:val="000000" w:themeColor="text1"/>
          <w:sz w:val="28"/>
          <w:szCs w:val="28"/>
        </w:rPr>
      </w:pPr>
      <w:r w:rsidRPr="00D41D30">
        <w:rPr>
          <w:rFonts w:hint="eastAsia"/>
          <w:color w:val="000000" w:themeColor="text1"/>
        </w:rPr>
        <w:t>試辦期間該部曾就未來辦理方向討論研商，並</w:t>
      </w:r>
      <w:r w:rsidRPr="00D41D30">
        <w:rPr>
          <w:color w:val="000000" w:themeColor="text1"/>
        </w:rPr>
        <w:t>根據原試辦計畫內容</w:t>
      </w:r>
      <w:r w:rsidRPr="00D41D30">
        <w:rPr>
          <w:rFonts w:hint="eastAsia"/>
          <w:color w:val="000000" w:themeColor="text1"/>
        </w:rPr>
        <w:t>及執行經驗，並</w:t>
      </w:r>
      <w:r w:rsidRPr="00D41D30">
        <w:rPr>
          <w:color w:val="000000" w:themeColor="text1"/>
        </w:rPr>
        <w:t>參考會議討論</w:t>
      </w:r>
      <w:r w:rsidRPr="00D41D30">
        <w:rPr>
          <w:rFonts w:hint="eastAsia"/>
          <w:color w:val="000000" w:themeColor="text1"/>
        </w:rPr>
        <w:t>重點與</w:t>
      </w:r>
      <w:r w:rsidRPr="00D41D30">
        <w:rPr>
          <w:color w:val="000000" w:themeColor="text1"/>
        </w:rPr>
        <w:t>建議，</w:t>
      </w:r>
      <w:r w:rsidRPr="00D41D30">
        <w:rPr>
          <w:rFonts w:hint="eastAsia"/>
          <w:color w:val="000000" w:themeColor="text1"/>
        </w:rPr>
        <w:t>朝建立制度方向永續經營。</w:t>
      </w:r>
    </w:p>
    <w:p w:rsidR="009C29B7" w:rsidRPr="00D41D30" w:rsidRDefault="009C29B7" w:rsidP="00471512">
      <w:pPr>
        <w:pStyle w:val="a4"/>
        <w:ind w:left="697" w:hanging="697"/>
        <w:rPr>
          <w:b/>
          <w:color w:val="000000" w:themeColor="text1"/>
        </w:rPr>
      </w:pPr>
      <w:r w:rsidRPr="00D41D30">
        <w:rPr>
          <w:rFonts w:hAnsi="標楷體" w:hint="eastAsia"/>
          <w:b/>
          <w:color w:val="000000" w:themeColor="text1"/>
        </w:rPr>
        <w:t>歷年高齡自主學習團體之</w:t>
      </w:r>
      <w:r w:rsidRPr="00D41D30">
        <w:rPr>
          <w:rFonts w:hint="eastAsia"/>
          <w:b/>
          <w:color w:val="000000" w:themeColor="text1"/>
        </w:rPr>
        <w:t>相關資料</w:t>
      </w:r>
      <w:r w:rsidR="00284135" w:rsidRPr="00D41D30">
        <w:rPr>
          <w:rFonts w:hAnsi="標楷體" w:hint="eastAsia"/>
          <w:b/>
          <w:color w:val="000000" w:themeColor="text1"/>
        </w:rPr>
        <w:t>彙整表</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2126"/>
        <w:gridCol w:w="1701"/>
        <w:gridCol w:w="1985"/>
      </w:tblGrid>
      <w:tr w:rsidR="001E2B02" w:rsidRPr="00D41D30" w:rsidTr="00472F81">
        <w:trPr>
          <w:trHeight w:val="567"/>
          <w:tblHeader/>
        </w:trPr>
        <w:tc>
          <w:tcPr>
            <w:tcW w:w="709" w:type="dxa"/>
          </w:tcPr>
          <w:p w:rsidR="001E2B02" w:rsidRPr="00D41D30" w:rsidRDefault="001E2B02" w:rsidP="00B25ED4">
            <w:pPr>
              <w:widowControl/>
              <w:adjustRightInd w:val="0"/>
              <w:snapToGrid w:val="0"/>
              <w:spacing w:line="300" w:lineRule="auto"/>
              <w:rPr>
                <w:rFonts w:hAnsi="標楷體"/>
                <w:b/>
                <w:bCs/>
                <w:color w:val="000000" w:themeColor="text1"/>
                <w:sz w:val="26"/>
                <w:szCs w:val="26"/>
                <w:lang w:val="x-none"/>
              </w:rPr>
            </w:pPr>
            <w:r w:rsidRPr="00D41D30">
              <w:rPr>
                <w:rFonts w:hAnsi="標楷體" w:hint="eastAsia"/>
                <w:b/>
                <w:bCs/>
                <w:color w:val="000000" w:themeColor="text1"/>
                <w:sz w:val="26"/>
                <w:szCs w:val="26"/>
                <w:lang w:val="x-none"/>
              </w:rPr>
              <w:t>年度</w:t>
            </w:r>
          </w:p>
        </w:tc>
        <w:tc>
          <w:tcPr>
            <w:tcW w:w="2835" w:type="dxa"/>
          </w:tcPr>
          <w:p w:rsidR="001E2B02" w:rsidRPr="00D41D30" w:rsidRDefault="001E2B02" w:rsidP="00E55784">
            <w:pPr>
              <w:widowControl/>
              <w:adjustRightInd w:val="0"/>
              <w:snapToGrid w:val="0"/>
              <w:spacing w:line="300" w:lineRule="auto"/>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取得高齡自主學習團帶領人證書之人數</w:t>
            </w:r>
          </w:p>
        </w:tc>
        <w:tc>
          <w:tcPr>
            <w:tcW w:w="2126" w:type="dxa"/>
          </w:tcPr>
          <w:p w:rsidR="001E2B02" w:rsidRPr="00D41D30" w:rsidRDefault="001E2B02" w:rsidP="00E55784">
            <w:pPr>
              <w:widowControl/>
              <w:adjustRightInd w:val="0"/>
              <w:snapToGrid w:val="0"/>
              <w:spacing w:line="300" w:lineRule="auto"/>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成立高齡自主學習團數</w:t>
            </w:r>
          </w:p>
        </w:tc>
        <w:tc>
          <w:tcPr>
            <w:tcW w:w="1701" w:type="dxa"/>
          </w:tcPr>
          <w:p w:rsidR="001E2B02" w:rsidRPr="00D41D30" w:rsidRDefault="001E2B02" w:rsidP="00E55784">
            <w:pPr>
              <w:widowControl/>
              <w:adjustRightInd w:val="0"/>
              <w:snapToGrid w:val="0"/>
              <w:spacing w:line="300" w:lineRule="auto"/>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屬偏遠地區鄉鎮之團數</w:t>
            </w:r>
          </w:p>
        </w:tc>
        <w:tc>
          <w:tcPr>
            <w:tcW w:w="1985" w:type="dxa"/>
          </w:tcPr>
          <w:p w:rsidR="001E2B02" w:rsidRPr="00D41D30" w:rsidRDefault="001E2B02" w:rsidP="00E55784">
            <w:pPr>
              <w:widowControl/>
              <w:adjustRightInd w:val="0"/>
              <w:snapToGrid w:val="0"/>
              <w:spacing w:line="300" w:lineRule="auto"/>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活動參與人次</w:t>
            </w:r>
          </w:p>
        </w:tc>
      </w:tr>
      <w:tr w:rsidR="001E2B02" w:rsidRPr="00D41D30" w:rsidTr="00472F81">
        <w:tc>
          <w:tcPr>
            <w:tcW w:w="709"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105</w:t>
            </w:r>
          </w:p>
        </w:tc>
        <w:tc>
          <w:tcPr>
            <w:tcW w:w="2835"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238人</w:t>
            </w:r>
          </w:p>
        </w:tc>
        <w:tc>
          <w:tcPr>
            <w:tcW w:w="2126"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80團</w:t>
            </w:r>
          </w:p>
        </w:tc>
        <w:tc>
          <w:tcPr>
            <w:tcW w:w="1701"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14團</w:t>
            </w:r>
          </w:p>
        </w:tc>
        <w:tc>
          <w:tcPr>
            <w:tcW w:w="1985" w:type="dxa"/>
          </w:tcPr>
          <w:p w:rsidR="001E2B02" w:rsidRPr="00D41D30" w:rsidRDefault="001E2B0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w:t>
            </w:r>
            <w:r w:rsidRPr="00D41D30">
              <w:rPr>
                <w:rFonts w:hAnsi="標楷體"/>
                <w:bCs/>
                <w:color w:val="000000" w:themeColor="text1"/>
                <w:sz w:val="26"/>
                <w:szCs w:val="26"/>
                <w:lang w:val="x-none"/>
              </w:rPr>
              <w:t>,</w:t>
            </w:r>
            <w:r w:rsidRPr="00D41D30">
              <w:rPr>
                <w:rFonts w:hAnsi="標楷體" w:hint="eastAsia"/>
                <w:bCs/>
                <w:color w:val="000000" w:themeColor="text1"/>
                <w:sz w:val="26"/>
                <w:szCs w:val="26"/>
                <w:lang w:val="x-none"/>
              </w:rPr>
              <w:t>617人</w:t>
            </w:r>
          </w:p>
        </w:tc>
      </w:tr>
      <w:tr w:rsidR="001E2B02" w:rsidRPr="00D41D30" w:rsidTr="00472F81">
        <w:tc>
          <w:tcPr>
            <w:tcW w:w="709"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106</w:t>
            </w:r>
          </w:p>
        </w:tc>
        <w:tc>
          <w:tcPr>
            <w:tcW w:w="2835"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117人</w:t>
            </w:r>
          </w:p>
        </w:tc>
        <w:tc>
          <w:tcPr>
            <w:tcW w:w="2126"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137團</w:t>
            </w:r>
          </w:p>
        </w:tc>
        <w:tc>
          <w:tcPr>
            <w:tcW w:w="1701"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18團</w:t>
            </w:r>
          </w:p>
        </w:tc>
        <w:tc>
          <w:tcPr>
            <w:tcW w:w="1985" w:type="dxa"/>
          </w:tcPr>
          <w:p w:rsidR="001E2B02" w:rsidRPr="00D41D30" w:rsidRDefault="001E2B0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3</w:t>
            </w:r>
            <w:r w:rsidRPr="00D41D30">
              <w:rPr>
                <w:rFonts w:hAnsi="標楷體"/>
                <w:bCs/>
                <w:color w:val="000000" w:themeColor="text1"/>
                <w:sz w:val="26"/>
                <w:szCs w:val="26"/>
                <w:lang w:val="x-none"/>
              </w:rPr>
              <w:t>,</w:t>
            </w:r>
            <w:r w:rsidRPr="00D41D30">
              <w:rPr>
                <w:rFonts w:hAnsi="標楷體" w:hint="eastAsia"/>
                <w:bCs/>
                <w:color w:val="000000" w:themeColor="text1"/>
                <w:sz w:val="26"/>
                <w:szCs w:val="26"/>
                <w:lang w:val="x-none"/>
              </w:rPr>
              <w:t>505人</w:t>
            </w:r>
          </w:p>
        </w:tc>
      </w:tr>
      <w:tr w:rsidR="001E2B02" w:rsidRPr="00D41D30" w:rsidTr="00472F81">
        <w:tc>
          <w:tcPr>
            <w:tcW w:w="709"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107</w:t>
            </w:r>
          </w:p>
        </w:tc>
        <w:tc>
          <w:tcPr>
            <w:tcW w:w="2835"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136人</w:t>
            </w:r>
          </w:p>
        </w:tc>
        <w:tc>
          <w:tcPr>
            <w:tcW w:w="2126"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131團</w:t>
            </w:r>
          </w:p>
        </w:tc>
        <w:tc>
          <w:tcPr>
            <w:tcW w:w="1701" w:type="dxa"/>
            <w:vAlign w:val="center"/>
          </w:tcPr>
          <w:p w:rsidR="001E2B02" w:rsidRPr="00D41D30" w:rsidRDefault="001E2B02" w:rsidP="00E55784">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22團</w:t>
            </w:r>
          </w:p>
        </w:tc>
        <w:tc>
          <w:tcPr>
            <w:tcW w:w="1985" w:type="dxa"/>
          </w:tcPr>
          <w:p w:rsidR="001E2B02" w:rsidRPr="00D41D30" w:rsidRDefault="001E2B0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3</w:t>
            </w:r>
            <w:r w:rsidRPr="00D41D30">
              <w:rPr>
                <w:rFonts w:hAnsi="標楷體"/>
                <w:bCs/>
                <w:color w:val="000000" w:themeColor="text1"/>
                <w:sz w:val="26"/>
                <w:szCs w:val="26"/>
                <w:lang w:val="x-none"/>
              </w:rPr>
              <w:t>,</w:t>
            </w:r>
            <w:r w:rsidRPr="00D41D30">
              <w:rPr>
                <w:rFonts w:hAnsi="標楷體" w:hint="eastAsia"/>
                <w:bCs/>
                <w:color w:val="000000" w:themeColor="text1"/>
                <w:sz w:val="26"/>
                <w:szCs w:val="26"/>
                <w:lang w:val="x-none"/>
              </w:rPr>
              <w:t>405人</w:t>
            </w:r>
          </w:p>
        </w:tc>
      </w:tr>
      <w:tr w:rsidR="00A62012" w:rsidRPr="00D41D30" w:rsidTr="00412555">
        <w:trPr>
          <w:trHeight w:val="66"/>
        </w:trPr>
        <w:tc>
          <w:tcPr>
            <w:tcW w:w="709" w:type="dxa"/>
            <w:vAlign w:val="center"/>
          </w:tcPr>
          <w:p w:rsidR="00A62012" w:rsidRPr="00D41D30" w:rsidRDefault="00A6201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108</w:t>
            </w:r>
          </w:p>
        </w:tc>
        <w:tc>
          <w:tcPr>
            <w:tcW w:w="2835" w:type="dxa"/>
          </w:tcPr>
          <w:p w:rsidR="00A62012" w:rsidRPr="00D41D30" w:rsidRDefault="00A6201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回流培訓233人</w:t>
            </w:r>
          </w:p>
        </w:tc>
        <w:tc>
          <w:tcPr>
            <w:tcW w:w="2126" w:type="dxa"/>
          </w:tcPr>
          <w:p w:rsidR="00A62012" w:rsidRPr="00D41D30" w:rsidRDefault="00A6201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121團</w:t>
            </w:r>
          </w:p>
        </w:tc>
        <w:tc>
          <w:tcPr>
            <w:tcW w:w="1701" w:type="dxa"/>
          </w:tcPr>
          <w:p w:rsidR="00A62012" w:rsidRPr="00D41D30" w:rsidRDefault="00A6201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15團</w:t>
            </w:r>
          </w:p>
        </w:tc>
        <w:tc>
          <w:tcPr>
            <w:tcW w:w="1985" w:type="dxa"/>
          </w:tcPr>
          <w:p w:rsidR="00A62012" w:rsidRPr="00D41D30" w:rsidRDefault="00A62012" w:rsidP="00A62012">
            <w:pPr>
              <w:widowControl/>
              <w:adjustRightInd w:val="0"/>
              <w:snapToGrid w:val="0"/>
              <w:spacing w:line="300" w:lineRule="auto"/>
              <w:jc w:val="center"/>
              <w:rPr>
                <w:rFonts w:hAnsi="標楷體"/>
                <w:bCs/>
                <w:color w:val="000000" w:themeColor="text1"/>
                <w:sz w:val="26"/>
                <w:szCs w:val="26"/>
                <w:lang w:val="x-none"/>
              </w:rPr>
            </w:pPr>
            <w:r w:rsidRPr="00D41D30">
              <w:rPr>
                <w:rFonts w:hAnsi="標楷體" w:hint="eastAsia"/>
                <w:bCs/>
                <w:color w:val="000000" w:themeColor="text1"/>
                <w:sz w:val="26"/>
                <w:szCs w:val="26"/>
                <w:lang w:val="x-none"/>
              </w:rPr>
              <w:t>2</w:t>
            </w:r>
            <w:r w:rsidRPr="00D41D30">
              <w:rPr>
                <w:rFonts w:hAnsi="標楷體"/>
                <w:bCs/>
                <w:color w:val="000000" w:themeColor="text1"/>
                <w:sz w:val="26"/>
                <w:szCs w:val="26"/>
                <w:lang w:val="x-none"/>
              </w:rPr>
              <w:t>,</w:t>
            </w:r>
            <w:r w:rsidRPr="00D41D30">
              <w:rPr>
                <w:rFonts w:hAnsi="標楷體" w:hint="eastAsia"/>
                <w:bCs/>
                <w:color w:val="000000" w:themeColor="text1"/>
                <w:sz w:val="26"/>
                <w:szCs w:val="26"/>
                <w:lang w:val="x-none"/>
              </w:rPr>
              <w:t>653人</w:t>
            </w:r>
          </w:p>
        </w:tc>
      </w:tr>
    </w:tbl>
    <w:p w:rsidR="009C29B7" w:rsidRPr="00D41D30" w:rsidRDefault="00F6164B" w:rsidP="009C29B7">
      <w:pPr>
        <w:rPr>
          <w:color w:val="000000" w:themeColor="text1"/>
          <w:sz w:val="24"/>
          <w:szCs w:val="24"/>
        </w:rPr>
      </w:pPr>
      <w:r w:rsidRPr="00D41D30">
        <w:rPr>
          <w:rFonts w:hint="eastAsia"/>
          <w:color w:val="000000" w:themeColor="text1"/>
          <w:sz w:val="24"/>
          <w:szCs w:val="24"/>
        </w:rPr>
        <w:t>資料來源</w:t>
      </w:r>
      <w:r w:rsidR="00E66020" w:rsidRPr="00D41D30">
        <w:rPr>
          <w:rFonts w:hAnsi="標楷體" w:hint="eastAsia"/>
          <w:color w:val="000000" w:themeColor="text1"/>
          <w:sz w:val="24"/>
          <w:szCs w:val="24"/>
        </w:rPr>
        <w:t>：</w:t>
      </w:r>
      <w:r w:rsidRPr="00D41D30">
        <w:rPr>
          <w:rFonts w:hint="eastAsia"/>
          <w:color w:val="000000" w:themeColor="text1"/>
          <w:sz w:val="24"/>
          <w:szCs w:val="24"/>
        </w:rPr>
        <w:t>教育部調卷資料。</w:t>
      </w:r>
    </w:p>
    <w:p w:rsidR="00F6164B" w:rsidRPr="00D41D30" w:rsidRDefault="00B9365B" w:rsidP="00471512">
      <w:pPr>
        <w:pStyle w:val="a4"/>
        <w:ind w:left="697" w:hanging="697"/>
        <w:rPr>
          <w:b/>
          <w:color w:val="000000" w:themeColor="text1"/>
        </w:rPr>
      </w:pPr>
      <w:r w:rsidRPr="00D41D30">
        <w:rPr>
          <w:rFonts w:hint="eastAsia"/>
          <w:b/>
          <w:color w:val="000000" w:themeColor="text1"/>
        </w:rPr>
        <w:lastRenderedPageBreak/>
        <w:t>補助情形</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444"/>
        <w:gridCol w:w="4523"/>
      </w:tblGrid>
      <w:tr w:rsidR="00DE3D31" w:rsidRPr="00D41D30" w:rsidTr="002D073B">
        <w:trPr>
          <w:trHeight w:val="66"/>
        </w:trPr>
        <w:tc>
          <w:tcPr>
            <w:tcW w:w="1418" w:type="dxa"/>
          </w:tcPr>
          <w:p w:rsidR="0042433C" w:rsidRPr="00D41D30" w:rsidRDefault="0042433C" w:rsidP="0042433C">
            <w:pPr>
              <w:spacing w:line="460" w:lineRule="exact"/>
              <w:ind w:left="601" w:hanging="601"/>
              <w:rPr>
                <w:rFonts w:hAnsi="標楷體"/>
                <w:b/>
                <w:color w:val="000000" w:themeColor="text1"/>
                <w:sz w:val="28"/>
                <w:szCs w:val="28"/>
              </w:rPr>
            </w:pPr>
            <w:r w:rsidRPr="00D41D30">
              <w:rPr>
                <w:rFonts w:hAnsi="標楷體" w:hint="eastAsia"/>
                <w:b/>
                <w:color w:val="000000" w:themeColor="text1"/>
                <w:sz w:val="28"/>
                <w:szCs w:val="28"/>
              </w:rPr>
              <w:t xml:space="preserve">  年度</w:t>
            </w:r>
          </w:p>
        </w:tc>
        <w:tc>
          <w:tcPr>
            <w:tcW w:w="3444" w:type="dxa"/>
          </w:tcPr>
          <w:p w:rsidR="0042433C" w:rsidRPr="00D41D30" w:rsidRDefault="0042433C" w:rsidP="00805787">
            <w:pPr>
              <w:spacing w:line="460" w:lineRule="exact"/>
              <w:ind w:left="561" w:hanging="561"/>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核定補助案件</w:t>
            </w:r>
          </w:p>
        </w:tc>
        <w:tc>
          <w:tcPr>
            <w:tcW w:w="4523" w:type="dxa"/>
          </w:tcPr>
          <w:p w:rsidR="0042433C" w:rsidRPr="00D41D30" w:rsidRDefault="0042433C" w:rsidP="00FE0AC1">
            <w:pPr>
              <w:spacing w:line="460" w:lineRule="exact"/>
              <w:ind w:left="561" w:hanging="561"/>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核定補助金額</w:t>
            </w:r>
          </w:p>
        </w:tc>
      </w:tr>
      <w:tr w:rsidR="0042433C" w:rsidRPr="00D41D30" w:rsidTr="002D073B">
        <w:tc>
          <w:tcPr>
            <w:tcW w:w="1418" w:type="dxa"/>
          </w:tcPr>
          <w:p w:rsidR="0042433C" w:rsidRPr="00D41D30" w:rsidRDefault="0042433C" w:rsidP="0042433C">
            <w:pPr>
              <w:spacing w:line="460" w:lineRule="exact"/>
              <w:ind w:left="601" w:hanging="601"/>
              <w:rPr>
                <w:rFonts w:hAnsi="標楷體"/>
                <w:b/>
                <w:color w:val="000000" w:themeColor="text1"/>
                <w:sz w:val="24"/>
                <w:szCs w:val="24"/>
              </w:rPr>
            </w:pPr>
            <w:r w:rsidRPr="00D41D30">
              <w:rPr>
                <w:rFonts w:hAnsi="標楷體" w:hint="eastAsia"/>
                <w:b/>
                <w:color w:val="000000" w:themeColor="text1"/>
                <w:sz w:val="24"/>
                <w:szCs w:val="24"/>
              </w:rPr>
              <w:t xml:space="preserve">  105年</w:t>
            </w:r>
          </w:p>
        </w:tc>
        <w:tc>
          <w:tcPr>
            <w:tcW w:w="3444"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80團</w:t>
            </w:r>
          </w:p>
        </w:tc>
        <w:tc>
          <w:tcPr>
            <w:tcW w:w="4523"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250萬3</w:t>
            </w:r>
            <w:r w:rsidRPr="00D41D30">
              <w:rPr>
                <w:rFonts w:hAnsi="標楷體"/>
                <w:bCs/>
                <w:color w:val="000000" w:themeColor="text1"/>
                <w:sz w:val="24"/>
                <w:szCs w:val="24"/>
                <w:lang w:val="x-none"/>
              </w:rPr>
              <w:t>,</w:t>
            </w:r>
            <w:r w:rsidRPr="00D41D30">
              <w:rPr>
                <w:rFonts w:hAnsi="標楷體" w:hint="eastAsia"/>
                <w:bCs/>
                <w:color w:val="000000" w:themeColor="text1"/>
                <w:sz w:val="24"/>
                <w:szCs w:val="24"/>
                <w:lang w:val="x-none"/>
              </w:rPr>
              <w:t>010元</w:t>
            </w:r>
          </w:p>
        </w:tc>
      </w:tr>
      <w:tr w:rsidR="0042433C" w:rsidRPr="00D41D30" w:rsidTr="002D073B">
        <w:tc>
          <w:tcPr>
            <w:tcW w:w="1418" w:type="dxa"/>
          </w:tcPr>
          <w:p w:rsidR="0042433C" w:rsidRPr="00D41D30" w:rsidRDefault="0042433C" w:rsidP="0042433C">
            <w:pPr>
              <w:spacing w:line="460" w:lineRule="exact"/>
              <w:ind w:left="601" w:hanging="601"/>
              <w:rPr>
                <w:rFonts w:hAnsi="標楷體"/>
                <w:b/>
                <w:color w:val="000000" w:themeColor="text1"/>
                <w:sz w:val="24"/>
                <w:szCs w:val="24"/>
              </w:rPr>
            </w:pPr>
            <w:r w:rsidRPr="00D41D30">
              <w:rPr>
                <w:rFonts w:hAnsi="標楷體" w:hint="eastAsia"/>
                <w:b/>
                <w:color w:val="000000" w:themeColor="text1"/>
                <w:sz w:val="24"/>
                <w:szCs w:val="24"/>
              </w:rPr>
              <w:t xml:space="preserve">  106年</w:t>
            </w:r>
          </w:p>
        </w:tc>
        <w:tc>
          <w:tcPr>
            <w:tcW w:w="3444"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137團</w:t>
            </w:r>
          </w:p>
        </w:tc>
        <w:tc>
          <w:tcPr>
            <w:tcW w:w="4523"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445萬4</w:t>
            </w:r>
            <w:r w:rsidRPr="00D41D30">
              <w:rPr>
                <w:rFonts w:hAnsi="標楷體"/>
                <w:bCs/>
                <w:color w:val="000000" w:themeColor="text1"/>
                <w:sz w:val="24"/>
                <w:szCs w:val="24"/>
                <w:lang w:val="x-none"/>
              </w:rPr>
              <w:t>,</w:t>
            </w:r>
            <w:r w:rsidRPr="00D41D30">
              <w:rPr>
                <w:rFonts w:hAnsi="標楷體" w:hint="eastAsia"/>
                <w:bCs/>
                <w:color w:val="000000" w:themeColor="text1"/>
                <w:sz w:val="24"/>
                <w:szCs w:val="24"/>
                <w:lang w:val="x-none"/>
              </w:rPr>
              <w:t>517元</w:t>
            </w:r>
          </w:p>
        </w:tc>
      </w:tr>
      <w:tr w:rsidR="0042433C" w:rsidRPr="00D41D30" w:rsidTr="002D073B">
        <w:tc>
          <w:tcPr>
            <w:tcW w:w="1418" w:type="dxa"/>
          </w:tcPr>
          <w:p w:rsidR="0042433C" w:rsidRPr="00D41D30" w:rsidRDefault="0042433C" w:rsidP="0042433C">
            <w:pPr>
              <w:spacing w:line="460" w:lineRule="exact"/>
              <w:ind w:left="601" w:hanging="601"/>
              <w:rPr>
                <w:rFonts w:hAnsi="標楷體"/>
                <w:b/>
                <w:color w:val="000000" w:themeColor="text1"/>
                <w:sz w:val="24"/>
                <w:szCs w:val="24"/>
              </w:rPr>
            </w:pPr>
            <w:r w:rsidRPr="00D41D30">
              <w:rPr>
                <w:rFonts w:hAnsi="標楷體" w:hint="eastAsia"/>
                <w:b/>
                <w:color w:val="000000" w:themeColor="text1"/>
                <w:sz w:val="24"/>
                <w:szCs w:val="24"/>
              </w:rPr>
              <w:t xml:space="preserve">  107年</w:t>
            </w:r>
          </w:p>
        </w:tc>
        <w:tc>
          <w:tcPr>
            <w:tcW w:w="3444"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131團</w:t>
            </w:r>
          </w:p>
        </w:tc>
        <w:tc>
          <w:tcPr>
            <w:tcW w:w="4523"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447萬8</w:t>
            </w:r>
            <w:r w:rsidRPr="00D41D30">
              <w:rPr>
                <w:rFonts w:hAnsi="標楷體"/>
                <w:bCs/>
                <w:color w:val="000000" w:themeColor="text1"/>
                <w:sz w:val="24"/>
                <w:szCs w:val="24"/>
                <w:lang w:val="x-none"/>
              </w:rPr>
              <w:t>,</w:t>
            </w:r>
            <w:r w:rsidRPr="00D41D30">
              <w:rPr>
                <w:rFonts w:hAnsi="標楷體" w:hint="eastAsia"/>
                <w:bCs/>
                <w:color w:val="000000" w:themeColor="text1"/>
                <w:sz w:val="24"/>
                <w:szCs w:val="24"/>
                <w:lang w:val="x-none"/>
              </w:rPr>
              <w:t>353元</w:t>
            </w:r>
          </w:p>
        </w:tc>
      </w:tr>
      <w:tr w:rsidR="0042433C" w:rsidRPr="00D41D30" w:rsidTr="002D073B">
        <w:tc>
          <w:tcPr>
            <w:tcW w:w="1418" w:type="dxa"/>
          </w:tcPr>
          <w:p w:rsidR="0042433C" w:rsidRPr="00D41D30" w:rsidRDefault="0042433C" w:rsidP="0042433C">
            <w:pPr>
              <w:spacing w:line="460" w:lineRule="exact"/>
              <w:ind w:left="601" w:hanging="601"/>
              <w:rPr>
                <w:rFonts w:hAnsi="標楷體"/>
                <w:b/>
                <w:color w:val="000000" w:themeColor="text1"/>
                <w:sz w:val="24"/>
                <w:szCs w:val="24"/>
              </w:rPr>
            </w:pPr>
            <w:r w:rsidRPr="00D41D30">
              <w:rPr>
                <w:rFonts w:hAnsi="標楷體" w:hint="eastAsia"/>
                <w:b/>
                <w:color w:val="000000" w:themeColor="text1"/>
                <w:sz w:val="24"/>
                <w:szCs w:val="24"/>
              </w:rPr>
              <w:t xml:space="preserve">  108年</w:t>
            </w:r>
          </w:p>
        </w:tc>
        <w:tc>
          <w:tcPr>
            <w:tcW w:w="3444"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121團</w:t>
            </w:r>
          </w:p>
        </w:tc>
        <w:tc>
          <w:tcPr>
            <w:tcW w:w="4523" w:type="dxa"/>
          </w:tcPr>
          <w:p w:rsidR="0042433C" w:rsidRPr="00D41D30" w:rsidRDefault="0042433C" w:rsidP="00805787">
            <w:pPr>
              <w:spacing w:line="460" w:lineRule="exact"/>
              <w:ind w:left="560" w:hanging="560"/>
              <w:jc w:val="center"/>
              <w:rPr>
                <w:rFonts w:hAnsi="標楷體"/>
                <w:bCs/>
                <w:color w:val="000000" w:themeColor="text1"/>
                <w:sz w:val="24"/>
                <w:szCs w:val="24"/>
                <w:lang w:val="x-none"/>
              </w:rPr>
            </w:pPr>
            <w:r w:rsidRPr="00D41D30">
              <w:rPr>
                <w:rFonts w:hAnsi="標楷體" w:hint="eastAsia"/>
                <w:bCs/>
                <w:color w:val="000000" w:themeColor="text1"/>
                <w:sz w:val="24"/>
                <w:szCs w:val="24"/>
                <w:lang w:val="x-none"/>
              </w:rPr>
              <w:t>3</w:t>
            </w:r>
            <w:r w:rsidRPr="00D41D30">
              <w:rPr>
                <w:rFonts w:hAnsi="標楷體"/>
                <w:bCs/>
                <w:color w:val="000000" w:themeColor="text1"/>
                <w:sz w:val="24"/>
                <w:szCs w:val="24"/>
                <w:lang w:val="x-none"/>
              </w:rPr>
              <w:t>78</w:t>
            </w:r>
            <w:r w:rsidRPr="00D41D30">
              <w:rPr>
                <w:rFonts w:hAnsi="標楷體" w:hint="eastAsia"/>
                <w:bCs/>
                <w:color w:val="000000" w:themeColor="text1"/>
                <w:sz w:val="24"/>
                <w:szCs w:val="24"/>
                <w:lang w:val="x-none"/>
              </w:rPr>
              <w:t>萬</w:t>
            </w:r>
            <w:r w:rsidRPr="00D41D30">
              <w:rPr>
                <w:rFonts w:hAnsi="標楷體"/>
                <w:bCs/>
                <w:color w:val="000000" w:themeColor="text1"/>
                <w:sz w:val="24"/>
                <w:szCs w:val="24"/>
                <w:lang w:val="x-none"/>
              </w:rPr>
              <w:t>6,450</w:t>
            </w:r>
            <w:r w:rsidRPr="00D41D30">
              <w:rPr>
                <w:rFonts w:hAnsi="標楷體" w:hint="eastAsia"/>
                <w:bCs/>
                <w:color w:val="000000" w:themeColor="text1"/>
                <w:sz w:val="24"/>
                <w:szCs w:val="24"/>
                <w:lang w:val="x-none"/>
              </w:rPr>
              <w:t>元</w:t>
            </w:r>
          </w:p>
        </w:tc>
      </w:tr>
    </w:tbl>
    <w:p w:rsidR="00E66020" w:rsidRPr="00D41D30" w:rsidRDefault="00E66020" w:rsidP="00E66020">
      <w:pPr>
        <w:rPr>
          <w:color w:val="000000" w:themeColor="text1"/>
          <w:sz w:val="24"/>
          <w:szCs w:val="24"/>
        </w:rPr>
      </w:pPr>
      <w:r w:rsidRPr="00D41D30">
        <w:rPr>
          <w:rFonts w:hint="eastAsia"/>
          <w:color w:val="000000" w:themeColor="text1"/>
          <w:sz w:val="24"/>
          <w:szCs w:val="24"/>
        </w:rPr>
        <w:t>資料來源</w:t>
      </w:r>
      <w:r w:rsidRPr="00D41D30">
        <w:rPr>
          <w:rFonts w:hAnsi="標楷體" w:hint="eastAsia"/>
          <w:color w:val="000000" w:themeColor="text1"/>
          <w:sz w:val="24"/>
          <w:szCs w:val="24"/>
        </w:rPr>
        <w:t>：</w:t>
      </w:r>
      <w:r w:rsidRPr="00D41D30">
        <w:rPr>
          <w:rFonts w:hint="eastAsia"/>
          <w:color w:val="000000" w:themeColor="text1"/>
          <w:sz w:val="24"/>
          <w:szCs w:val="24"/>
        </w:rPr>
        <w:t>教育部調卷資料。</w:t>
      </w:r>
    </w:p>
    <w:p w:rsidR="00D7741A" w:rsidRPr="00D41D30" w:rsidRDefault="00D7741A" w:rsidP="00472F81">
      <w:pPr>
        <w:pStyle w:val="3"/>
        <w:spacing w:beforeLines="100" w:before="457"/>
        <w:ind w:left="1360" w:hanging="680"/>
        <w:rPr>
          <w:rFonts w:hAnsi="標楷體"/>
          <w:color w:val="000000" w:themeColor="text1"/>
          <w:sz w:val="28"/>
          <w:szCs w:val="28"/>
        </w:rPr>
      </w:pPr>
      <w:bookmarkStart w:id="639" w:name="_Toc16588730"/>
      <w:bookmarkStart w:id="640" w:name="_Toc16693361"/>
      <w:bookmarkStart w:id="641" w:name="_Toc30512490"/>
      <w:bookmarkStart w:id="642" w:name="_Toc30581198"/>
      <w:bookmarkStart w:id="643" w:name="_Toc32392471"/>
      <w:bookmarkStart w:id="644" w:name="_Toc32673662"/>
      <w:bookmarkStart w:id="645" w:name="_Toc32845804"/>
      <w:bookmarkStart w:id="646" w:name="_Toc32846527"/>
      <w:bookmarkStart w:id="647" w:name="_Toc32913770"/>
      <w:bookmarkStart w:id="648" w:name="_Toc32918446"/>
      <w:bookmarkStart w:id="649" w:name="_Toc33011739"/>
      <w:r w:rsidRPr="00D41D30">
        <w:rPr>
          <w:rFonts w:hint="eastAsia"/>
          <w:color w:val="000000" w:themeColor="text1"/>
        </w:rPr>
        <w:t>108年進入轉型期，</w:t>
      </w:r>
      <w:r w:rsidR="00722365" w:rsidRPr="00D41D30">
        <w:rPr>
          <w:rFonts w:hint="eastAsia"/>
          <w:color w:val="000000" w:themeColor="text1"/>
        </w:rPr>
        <w:t>轉型過渡期</w:t>
      </w:r>
      <w:r w:rsidRPr="00D41D30">
        <w:rPr>
          <w:rFonts w:hint="eastAsia"/>
          <w:color w:val="000000" w:themeColor="text1"/>
        </w:rPr>
        <w:t>將採多元辦理方式</w:t>
      </w:r>
      <w:bookmarkEnd w:id="639"/>
      <w:bookmarkEnd w:id="640"/>
      <w:bookmarkEnd w:id="641"/>
      <w:bookmarkEnd w:id="642"/>
      <w:bookmarkEnd w:id="643"/>
      <w:bookmarkEnd w:id="644"/>
      <w:bookmarkEnd w:id="645"/>
      <w:bookmarkEnd w:id="646"/>
      <w:bookmarkEnd w:id="647"/>
      <w:bookmarkEnd w:id="648"/>
      <w:bookmarkEnd w:id="649"/>
    </w:p>
    <w:p w:rsidR="00722365" w:rsidRPr="00D41D30" w:rsidRDefault="00722365" w:rsidP="00367F3A">
      <w:pPr>
        <w:pStyle w:val="4"/>
        <w:rPr>
          <w:color w:val="000000" w:themeColor="text1"/>
        </w:rPr>
      </w:pPr>
      <w:r w:rsidRPr="00D41D30">
        <w:rPr>
          <w:rFonts w:hint="eastAsia"/>
          <w:color w:val="000000" w:themeColor="text1"/>
        </w:rPr>
        <w:t>試辦計畫除每年召開檢討會議滾動修正計畫內容，於107年底試辦期滿，為延續自主自助精神，使高齡教育推動模式永續發展，並鼓勵帶領人以自主自助方式辦理高齡教育課程及活動，針對未來調整方向，已召開相關討論會議，重點希朝建立制度之方向永續經營。</w:t>
      </w:r>
    </w:p>
    <w:p w:rsidR="00D7741A" w:rsidRPr="00D41D30" w:rsidRDefault="00E47C48" w:rsidP="00367F3A">
      <w:pPr>
        <w:pStyle w:val="4"/>
        <w:rPr>
          <w:color w:val="000000" w:themeColor="text1"/>
        </w:rPr>
      </w:pPr>
      <w:r w:rsidRPr="00D41D30">
        <w:rPr>
          <w:rFonts w:hint="eastAsia"/>
          <w:color w:val="000000" w:themeColor="text1"/>
        </w:rPr>
        <w:t>高齡自主學習團體「培訓」及「訪視輔導」：將採委託辦理方式以自主團體帶領人之回流或進修增能為主。目前刻正修訂樂齡教育專業人員培訓要點，朝高齡教育人力專業化方向調整</w:t>
      </w:r>
      <w:r w:rsidR="00D7741A" w:rsidRPr="00D41D30">
        <w:rPr>
          <w:color w:val="000000" w:themeColor="text1"/>
        </w:rPr>
        <w:t>。</w:t>
      </w:r>
    </w:p>
    <w:p w:rsidR="00EF74A6" w:rsidRPr="00D41D30" w:rsidRDefault="00EF74A6" w:rsidP="00EF74A6">
      <w:pPr>
        <w:pStyle w:val="4"/>
        <w:rPr>
          <w:color w:val="000000" w:themeColor="text1"/>
        </w:rPr>
      </w:pPr>
      <w:r w:rsidRPr="00D41D30">
        <w:rPr>
          <w:rFonts w:hint="eastAsia"/>
          <w:color w:val="000000" w:themeColor="text1"/>
        </w:rPr>
        <w:t>高齡自主學習團體「經費補助」：採多元方式進行，轉型期間，</w:t>
      </w:r>
      <w:r w:rsidR="00CC490E" w:rsidRPr="00D41D30">
        <w:rPr>
          <w:rFonts w:hint="eastAsia"/>
          <w:color w:val="000000" w:themeColor="text1"/>
        </w:rPr>
        <w:t>該部</w:t>
      </w:r>
      <w:r w:rsidRPr="00D41D30">
        <w:rPr>
          <w:rFonts w:hint="eastAsia"/>
          <w:color w:val="000000" w:themeColor="text1"/>
        </w:rPr>
        <w:t>鼓勵經由培訓合格之高齡自主學習團體帶領人，可依「教育部補助辦理終身學習活動實施要點」，由立案民間團體於108年4月30日前申請經費補助。108下半年至109年，則可向</w:t>
      </w:r>
      <w:r w:rsidR="00CC490E" w:rsidRPr="00D41D30">
        <w:rPr>
          <w:rFonts w:hint="eastAsia"/>
          <w:color w:val="000000" w:themeColor="text1"/>
        </w:rPr>
        <w:t>該部</w:t>
      </w:r>
      <w:r w:rsidRPr="00D41D30">
        <w:rPr>
          <w:rFonts w:hint="eastAsia"/>
          <w:color w:val="000000" w:themeColor="text1"/>
        </w:rPr>
        <w:t>委辦單位提出年度申請計畫。</w:t>
      </w:r>
    </w:p>
    <w:p w:rsidR="004F17BE" w:rsidRPr="00D41D30" w:rsidRDefault="004F17BE" w:rsidP="00EF74A6">
      <w:pPr>
        <w:pStyle w:val="4"/>
        <w:rPr>
          <w:color w:val="000000" w:themeColor="text1"/>
        </w:rPr>
      </w:pPr>
      <w:r w:rsidRPr="00D41D30">
        <w:rPr>
          <w:rFonts w:hAnsi="標楷體" w:hint="eastAsia"/>
          <w:color w:val="000000" w:themeColor="text1"/>
          <w:szCs w:val="32"/>
        </w:rPr>
        <w:t>專業委託辦理:</w:t>
      </w:r>
      <w:r w:rsidRPr="00D41D30">
        <w:rPr>
          <w:rFonts w:hint="eastAsia"/>
          <w:color w:val="000000" w:themeColor="text1"/>
          <w:szCs w:val="32"/>
        </w:rPr>
        <w:t>基於計畫推動之專業考量，委請國立大學</w:t>
      </w:r>
      <w:r w:rsidRPr="00D41D30">
        <w:rPr>
          <w:rFonts w:hint="eastAsia"/>
          <w:color w:val="000000" w:themeColor="text1"/>
          <w:kern w:val="0"/>
          <w:szCs w:val="32"/>
        </w:rPr>
        <w:t>統籌規劃自主運作帶領人之運作機制、辦理說明會、審查、訪視規劃、自主帶領人增能培訓、成效調查、自主團體故事專輯及</w:t>
      </w:r>
      <w:r w:rsidRPr="00D41D30">
        <w:rPr>
          <w:rFonts w:hint="eastAsia"/>
          <w:color w:val="000000" w:themeColor="text1"/>
          <w:kern w:val="0"/>
          <w:szCs w:val="32"/>
        </w:rPr>
        <w:lastRenderedPageBreak/>
        <w:t>成果發表。此外，考量區域特性及各區帶領人運作之在地需求，分4區委請地方政府協助辦理</w:t>
      </w:r>
      <w:r w:rsidRPr="00D41D30">
        <w:rPr>
          <w:rFonts w:hint="eastAsia"/>
          <w:color w:val="000000" w:themeColor="text1"/>
          <w:szCs w:val="32"/>
        </w:rPr>
        <w:t>申請收件、聯繫會議、運作及訪視、經費核撥及核結</w:t>
      </w:r>
      <w:r w:rsidRPr="00D41D30">
        <w:rPr>
          <w:rFonts w:hint="eastAsia"/>
          <w:color w:val="000000" w:themeColor="text1"/>
          <w:kern w:val="0"/>
          <w:szCs w:val="32"/>
        </w:rPr>
        <w:t>等事宜</w:t>
      </w:r>
    </w:p>
    <w:p w:rsidR="00AB0521" w:rsidRPr="00D41D30" w:rsidRDefault="00AB0521" w:rsidP="00AB0521">
      <w:pPr>
        <w:pStyle w:val="3"/>
        <w:rPr>
          <w:color w:val="000000" w:themeColor="text1"/>
        </w:rPr>
      </w:pPr>
      <w:bookmarkStart w:id="650" w:name="_Toc16693362"/>
      <w:bookmarkStart w:id="651" w:name="_Toc30512491"/>
      <w:bookmarkStart w:id="652" w:name="_Toc30581199"/>
      <w:bookmarkStart w:id="653" w:name="_Toc32392472"/>
      <w:bookmarkStart w:id="654" w:name="_Toc32673663"/>
      <w:bookmarkStart w:id="655" w:name="_Toc32845805"/>
      <w:bookmarkStart w:id="656" w:name="_Toc32846528"/>
      <w:bookmarkStart w:id="657" w:name="_Toc32913771"/>
      <w:bookmarkStart w:id="658" w:name="_Toc32918447"/>
      <w:bookmarkStart w:id="659" w:name="_Toc33011740"/>
      <w:r w:rsidRPr="00D41D30">
        <w:rPr>
          <w:rFonts w:hint="eastAsia"/>
          <w:color w:val="000000" w:themeColor="text1"/>
        </w:rPr>
        <w:t>未來方向</w:t>
      </w:r>
      <w:bookmarkEnd w:id="650"/>
      <w:bookmarkEnd w:id="651"/>
      <w:bookmarkEnd w:id="652"/>
      <w:bookmarkEnd w:id="653"/>
      <w:bookmarkEnd w:id="654"/>
      <w:bookmarkEnd w:id="655"/>
      <w:bookmarkEnd w:id="656"/>
      <w:bookmarkEnd w:id="657"/>
      <w:bookmarkEnd w:id="658"/>
      <w:bookmarkEnd w:id="659"/>
    </w:p>
    <w:p w:rsidR="00AB0521" w:rsidRPr="00D41D30" w:rsidRDefault="00605DEA" w:rsidP="00AB0521">
      <w:pPr>
        <w:pStyle w:val="4"/>
        <w:rPr>
          <w:color w:val="000000" w:themeColor="text1"/>
        </w:rPr>
      </w:pPr>
      <w:r w:rsidRPr="00D41D30">
        <w:rPr>
          <w:rFonts w:hint="eastAsia"/>
          <w:color w:val="000000" w:themeColor="text1"/>
        </w:rPr>
        <w:t>教育</w:t>
      </w:r>
      <w:r w:rsidR="00AB0521" w:rsidRPr="00D41D30">
        <w:rPr>
          <w:rFonts w:hint="eastAsia"/>
          <w:color w:val="000000" w:themeColor="text1"/>
        </w:rPr>
        <w:t>部刻正修正「教育部補助辦理樂齡學習活動及獎勵直轄市縣（市）政府辦理樂齡學習業務實施要點」，增列高齡自主學習團體項目，凡政府立案之民間團體與地方政府均可提出申請。未來將鼓勵地方政府將高齡自主學習團體活動納入年度樂齡學習活動規劃，以符合在地之需求。</w:t>
      </w:r>
    </w:p>
    <w:p w:rsidR="00AB0521" w:rsidRPr="00D41D30" w:rsidRDefault="00AB0521" w:rsidP="00AB0521">
      <w:pPr>
        <w:pStyle w:val="4"/>
        <w:rPr>
          <w:color w:val="000000" w:themeColor="text1"/>
        </w:rPr>
      </w:pPr>
      <w:r w:rsidRPr="00D41D30">
        <w:rPr>
          <w:rFonts w:hint="eastAsia"/>
          <w:color w:val="000000" w:themeColor="text1"/>
        </w:rPr>
        <w:t>未來將視108-109年轉型過渡期之運作情形持續滾動調整推動方式，並藉由地方政府共同協力推動，促進高齡者在終身學習參與。</w:t>
      </w:r>
    </w:p>
    <w:p w:rsidR="00D7741A" w:rsidRPr="00D41D30" w:rsidRDefault="00D7741A" w:rsidP="00472F81">
      <w:pPr>
        <w:pStyle w:val="2"/>
        <w:spacing w:beforeLines="100" w:before="457"/>
        <w:ind w:left="1020" w:hanging="680"/>
        <w:rPr>
          <w:b/>
          <w:color w:val="000000" w:themeColor="text1"/>
        </w:rPr>
      </w:pPr>
      <w:bookmarkStart w:id="660" w:name="_Toc33011741"/>
      <w:r w:rsidRPr="00D41D30">
        <w:rPr>
          <w:rFonts w:hint="eastAsia"/>
          <w:b/>
          <w:color w:val="000000" w:themeColor="text1"/>
        </w:rPr>
        <w:t>樂齡教育師資培育情形</w:t>
      </w:r>
      <w:bookmarkEnd w:id="660"/>
    </w:p>
    <w:p w:rsidR="00D7741A" w:rsidRPr="00D41D30" w:rsidRDefault="00D7741A" w:rsidP="00F641DF">
      <w:pPr>
        <w:pStyle w:val="3"/>
        <w:rPr>
          <w:color w:val="000000" w:themeColor="text1"/>
        </w:rPr>
      </w:pPr>
      <w:bookmarkStart w:id="661" w:name="_Toc16588732"/>
      <w:bookmarkStart w:id="662" w:name="_Toc16693364"/>
      <w:bookmarkStart w:id="663" w:name="_Toc30512493"/>
      <w:bookmarkStart w:id="664" w:name="_Toc30581201"/>
      <w:bookmarkStart w:id="665" w:name="_Toc32392474"/>
      <w:bookmarkStart w:id="666" w:name="_Toc32673665"/>
      <w:bookmarkStart w:id="667" w:name="_Toc32845807"/>
      <w:bookmarkStart w:id="668" w:name="_Toc32846530"/>
      <w:bookmarkStart w:id="669" w:name="_Toc32913773"/>
      <w:bookmarkStart w:id="670" w:name="_Toc32918449"/>
      <w:bookmarkStart w:id="671" w:name="_Toc33011742"/>
      <w:r w:rsidRPr="00D41D30">
        <w:rPr>
          <w:rFonts w:hint="eastAsia"/>
          <w:color w:val="000000" w:themeColor="text1"/>
        </w:rPr>
        <w:t>相關依據</w:t>
      </w:r>
      <w:bookmarkEnd w:id="661"/>
      <w:bookmarkEnd w:id="662"/>
      <w:bookmarkEnd w:id="663"/>
      <w:bookmarkEnd w:id="664"/>
      <w:bookmarkEnd w:id="665"/>
      <w:bookmarkEnd w:id="666"/>
      <w:bookmarkEnd w:id="667"/>
      <w:bookmarkEnd w:id="668"/>
      <w:bookmarkEnd w:id="669"/>
      <w:bookmarkEnd w:id="670"/>
      <w:bookmarkEnd w:id="671"/>
    </w:p>
    <w:p w:rsidR="00D7741A" w:rsidRPr="00D41D30" w:rsidRDefault="00806A57" w:rsidP="00806A57">
      <w:pPr>
        <w:pStyle w:val="4"/>
        <w:numPr>
          <w:ilvl w:val="0"/>
          <w:numId w:val="0"/>
        </w:numPr>
        <w:ind w:leftChars="375" w:left="1558" w:hangingChars="83" w:hanging="282"/>
        <w:rPr>
          <w:color w:val="000000" w:themeColor="text1"/>
        </w:rPr>
      </w:pPr>
      <w:r w:rsidRPr="00D41D30">
        <w:rPr>
          <w:rFonts w:hint="eastAsia"/>
          <w:color w:val="000000" w:themeColor="text1"/>
        </w:rPr>
        <w:t xml:space="preserve">    </w:t>
      </w:r>
      <w:r w:rsidR="00D7741A" w:rsidRPr="00D41D30">
        <w:rPr>
          <w:rFonts w:hint="eastAsia"/>
          <w:color w:val="000000" w:themeColor="text1"/>
        </w:rPr>
        <w:t>教育部</w:t>
      </w:r>
      <w:r w:rsidR="00D7741A" w:rsidRPr="00D41D30">
        <w:rPr>
          <w:color w:val="000000" w:themeColor="text1"/>
        </w:rPr>
        <w:t>101</w:t>
      </w:r>
      <w:r w:rsidR="00D7741A" w:rsidRPr="00D41D30">
        <w:rPr>
          <w:rFonts w:hint="eastAsia"/>
          <w:color w:val="000000" w:themeColor="text1"/>
        </w:rPr>
        <w:t>年訂定「教育部樂齡教育專業人員培</w:t>
      </w:r>
      <w:r w:rsidRPr="00D41D30">
        <w:rPr>
          <w:rFonts w:hint="eastAsia"/>
          <w:color w:val="000000" w:themeColor="text1"/>
        </w:rPr>
        <w:t xml:space="preserve"> </w:t>
      </w:r>
      <w:r w:rsidR="00D7741A" w:rsidRPr="00D41D30">
        <w:rPr>
          <w:rFonts w:hint="eastAsia"/>
          <w:color w:val="000000" w:themeColor="text1"/>
        </w:rPr>
        <w:t>訓要點」，並依據該要點於同年公布「教育部樂齡教育專業人員培訓實施計畫」。樂齡教育專業人員之培訓，</w:t>
      </w:r>
      <w:r w:rsidR="00587212" w:rsidRPr="00D41D30">
        <w:rPr>
          <w:rFonts w:hint="eastAsia"/>
          <w:color w:val="000000" w:themeColor="text1"/>
        </w:rPr>
        <w:t>以教育部現有之課程教材及講師提供之教材為主，分3階段</w:t>
      </w:r>
      <w:r w:rsidR="00B562C7" w:rsidRPr="00D41D30">
        <w:rPr>
          <w:rFonts w:hint="eastAsia"/>
          <w:color w:val="000000" w:themeColor="text1"/>
        </w:rPr>
        <w:t>（</w:t>
      </w:r>
      <w:r w:rsidR="00587212" w:rsidRPr="00D41D30">
        <w:rPr>
          <w:rFonts w:hint="eastAsia"/>
          <w:color w:val="000000" w:themeColor="text1"/>
        </w:rPr>
        <w:t>初階、進階及實作研習</w:t>
      </w:r>
      <w:r w:rsidR="006B5136" w:rsidRPr="00D41D30">
        <w:rPr>
          <w:rFonts w:hint="eastAsia"/>
          <w:color w:val="000000" w:themeColor="text1"/>
        </w:rPr>
        <w:t>）</w:t>
      </w:r>
      <w:r w:rsidR="00275F7F" w:rsidRPr="00D41D30">
        <w:rPr>
          <w:rFonts w:hint="eastAsia"/>
          <w:color w:val="000000" w:themeColor="text1"/>
        </w:rPr>
        <w:t xml:space="preserve"> ，每一階段課程均聘請國內成人教育專業講師授課，教學方式強調多元與互動，包括：小組研討、分組演練、主題講述等。培訓流程包含「研習訓練」、「實地實作」、「交流座談」、「成果發表」，每個階段受訓者應繳交心得報告、教材教案等成果，送各評核委員評分，評分通過才可進入下一個階段，進行方式如下</w:t>
      </w:r>
      <w:r w:rsidR="00D7741A" w:rsidRPr="00D41D30">
        <w:rPr>
          <w:rFonts w:hint="eastAsia"/>
          <w:color w:val="000000" w:themeColor="text1"/>
        </w:rPr>
        <w:t>：</w:t>
      </w:r>
    </w:p>
    <w:p w:rsidR="00D7741A" w:rsidRPr="00D41D30" w:rsidRDefault="00D7741A" w:rsidP="00806A57">
      <w:pPr>
        <w:pStyle w:val="4"/>
        <w:rPr>
          <w:color w:val="000000" w:themeColor="text1"/>
          <w:szCs w:val="32"/>
        </w:rPr>
      </w:pPr>
      <w:r w:rsidRPr="00D41D30">
        <w:rPr>
          <w:rFonts w:hint="eastAsia"/>
          <w:color w:val="000000" w:themeColor="text1"/>
        </w:rPr>
        <w:lastRenderedPageBreak/>
        <w:t>初階：</w:t>
      </w:r>
      <w:r w:rsidRPr="00D41D30">
        <w:rPr>
          <w:rFonts w:hint="eastAsia"/>
          <w:color w:val="000000" w:themeColor="text1"/>
          <w:szCs w:val="32"/>
        </w:rPr>
        <w:t>由直轄市、縣（市）政府辦理初階培訓；通過初階培訓者，發給初階樂齡教育專業人員證明書。</w:t>
      </w:r>
    </w:p>
    <w:p w:rsidR="00D7741A" w:rsidRPr="00D41D30" w:rsidRDefault="00D7741A" w:rsidP="00806A57">
      <w:pPr>
        <w:pStyle w:val="4"/>
        <w:rPr>
          <w:color w:val="000000" w:themeColor="text1"/>
          <w:szCs w:val="32"/>
        </w:rPr>
      </w:pPr>
      <w:r w:rsidRPr="00D41D30">
        <w:rPr>
          <w:rFonts w:hint="eastAsia"/>
          <w:color w:val="000000" w:themeColor="text1"/>
          <w:szCs w:val="32"/>
        </w:rPr>
        <w:t>進階：取得前款初階樂齡教育專業人員證明書者，由培訓機構辦理進階培訓；通過進階培訓者，由培訓機構發給進階樂齡教育專業人員證明書。</w:t>
      </w:r>
    </w:p>
    <w:p w:rsidR="00D7741A" w:rsidRPr="00D41D30" w:rsidRDefault="00D7741A" w:rsidP="00806A57">
      <w:pPr>
        <w:pStyle w:val="4"/>
        <w:rPr>
          <w:color w:val="000000" w:themeColor="text1"/>
        </w:rPr>
      </w:pPr>
      <w:r w:rsidRPr="00D41D30">
        <w:rPr>
          <w:rFonts w:hint="eastAsia"/>
          <w:color w:val="000000" w:themeColor="text1"/>
          <w:szCs w:val="32"/>
        </w:rPr>
        <w:t>實作：</w:t>
      </w:r>
      <w:r w:rsidRPr="00D41D30">
        <w:rPr>
          <w:rFonts w:hint="eastAsia"/>
          <w:color w:val="000000" w:themeColor="text1"/>
        </w:rPr>
        <w:t>取得進階樂齡教育專業人員證明書者，得至樂齡教育機構或培訓機構進行實作培訓；經培訓機構實測通過者，由培訓機構發給各類樂齡教育專業人員證明書。</w:t>
      </w:r>
    </w:p>
    <w:p w:rsidR="00D7741A" w:rsidRPr="00D41D30" w:rsidRDefault="00D7741A" w:rsidP="00C530B7">
      <w:pPr>
        <w:pStyle w:val="3"/>
        <w:rPr>
          <w:color w:val="000000" w:themeColor="text1"/>
        </w:rPr>
      </w:pPr>
      <w:bookmarkStart w:id="672" w:name="_Toc16588733"/>
      <w:bookmarkStart w:id="673" w:name="_Toc16693365"/>
      <w:bookmarkStart w:id="674" w:name="_Toc30512494"/>
      <w:bookmarkStart w:id="675" w:name="_Toc30581202"/>
      <w:bookmarkStart w:id="676" w:name="_Toc32392475"/>
      <w:bookmarkStart w:id="677" w:name="_Toc32673666"/>
      <w:bookmarkStart w:id="678" w:name="_Toc32845808"/>
      <w:bookmarkStart w:id="679" w:name="_Toc32846531"/>
      <w:bookmarkStart w:id="680" w:name="_Toc32913774"/>
      <w:bookmarkStart w:id="681" w:name="_Toc32918450"/>
      <w:bookmarkStart w:id="682" w:name="_Toc33011743"/>
      <w:r w:rsidRPr="00D41D30">
        <w:rPr>
          <w:rFonts w:hint="eastAsia"/>
          <w:color w:val="000000" w:themeColor="text1"/>
        </w:rPr>
        <w:t>辦理方式</w:t>
      </w:r>
      <w:bookmarkEnd w:id="672"/>
      <w:bookmarkEnd w:id="673"/>
      <w:bookmarkEnd w:id="674"/>
      <w:bookmarkEnd w:id="675"/>
      <w:bookmarkEnd w:id="676"/>
      <w:bookmarkEnd w:id="677"/>
      <w:bookmarkEnd w:id="678"/>
      <w:bookmarkEnd w:id="679"/>
      <w:bookmarkEnd w:id="680"/>
      <w:bookmarkEnd w:id="681"/>
      <w:bookmarkEnd w:id="682"/>
    </w:p>
    <w:p w:rsidR="00587212" w:rsidRPr="00D41D30" w:rsidRDefault="00587212" w:rsidP="00587212">
      <w:pPr>
        <w:pStyle w:val="4"/>
        <w:rPr>
          <w:rFonts w:hAnsi="標楷體"/>
          <w:bCs/>
          <w:color w:val="000000" w:themeColor="text1"/>
          <w:szCs w:val="32"/>
        </w:rPr>
      </w:pPr>
      <w:r w:rsidRPr="00D41D30">
        <w:rPr>
          <w:rFonts w:hAnsi="標楷體" w:hint="eastAsia"/>
          <w:bCs/>
          <w:color w:val="000000" w:themeColor="text1"/>
          <w:szCs w:val="32"/>
        </w:rPr>
        <w:t>樂齡教育</w:t>
      </w:r>
      <w:r w:rsidRPr="00D41D30">
        <w:rPr>
          <w:rFonts w:hint="eastAsia"/>
          <w:color w:val="000000" w:themeColor="text1"/>
          <w:szCs w:val="32"/>
        </w:rPr>
        <w:t>專業人員</w:t>
      </w:r>
      <w:r w:rsidRPr="00D41D30">
        <w:rPr>
          <w:rFonts w:hAnsi="標楷體" w:hint="eastAsia"/>
          <w:bCs/>
          <w:color w:val="000000" w:themeColor="text1"/>
          <w:szCs w:val="32"/>
        </w:rPr>
        <w:t>培訓第1期計畫</w:t>
      </w:r>
      <w:r w:rsidR="00B562C7" w:rsidRPr="00D41D30">
        <w:rPr>
          <w:rFonts w:hAnsi="標楷體" w:hint="eastAsia"/>
          <w:bCs/>
          <w:color w:val="000000" w:themeColor="text1"/>
          <w:szCs w:val="32"/>
        </w:rPr>
        <w:t>（</w:t>
      </w:r>
      <w:r w:rsidRPr="00D41D30">
        <w:rPr>
          <w:rFonts w:hAnsi="標楷體"/>
          <w:bCs/>
          <w:color w:val="000000" w:themeColor="text1"/>
          <w:szCs w:val="32"/>
        </w:rPr>
        <w:t>101</w:t>
      </w:r>
      <w:r w:rsidRPr="00D41D30">
        <w:rPr>
          <w:rFonts w:hAnsi="標楷體" w:hint="eastAsia"/>
          <w:bCs/>
          <w:color w:val="000000" w:themeColor="text1"/>
          <w:szCs w:val="32"/>
        </w:rPr>
        <w:t>-102</w:t>
      </w:r>
      <w:r w:rsidR="006B5136" w:rsidRPr="00D41D30">
        <w:rPr>
          <w:rFonts w:hAnsi="標楷體" w:hint="eastAsia"/>
          <w:bCs/>
          <w:color w:val="000000" w:themeColor="text1"/>
          <w:szCs w:val="32"/>
        </w:rPr>
        <w:t>）</w:t>
      </w:r>
      <w:r w:rsidRPr="00D41D30">
        <w:rPr>
          <w:rFonts w:hAnsi="標楷體" w:hint="eastAsia"/>
          <w:bCs/>
          <w:color w:val="000000" w:themeColor="text1"/>
          <w:szCs w:val="32"/>
        </w:rPr>
        <w:t>年</w:t>
      </w:r>
    </w:p>
    <w:p w:rsidR="00587212" w:rsidRPr="00D41D30" w:rsidRDefault="00587212" w:rsidP="00587212">
      <w:pPr>
        <w:pStyle w:val="5"/>
        <w:rPr>
          <w:color w:val="000000" w:themeColor="text1"/>
        </w:rPr>
      </w:pPr>
      <w:r w:rsidRPr="00D41D30">
        <w:rPr>
          <w:rFonts w:hint="eastAsia"/>
          <w:color w:val="000000" w:themeColor="text1"/>
        </w:rPr>
        <w:t>本培訓包含樂齡講師、樂齡自主學習團體帶領人、樂齡教育導覽解說員、樂齡教育專案計畫管理人</w:t>
      </w:r>
      <w:r w:rsidRPr="00D41D30">
        <w:rPr>
          <w:color w:val="000000" w:themeColor="text1"/>
        </w:rPr>
        <w:t>4</w:t>
      </w:r>
      <w:r w:rsidRPr="00D41D30">
        <w:rPr>
          <w:rFonts w:hint="eastAsia"/>
          <w:color w:val="000000" w:themeColor="text1"/>
        </w:rPr>
        <w:t>類，初階培訓由直轄市、縣</w:t>
      </w:r>
      <w:r w:rsidR="00B562C7" w:rsidRPr="00D41D30">
        <w:rPr>
          <w:rFonts w:hint="eastAsia"/>
          <w:color w:val="000000" w:themeColor="text1"/>
        </w:rPr>
        <w:t>（</w:t>
      </w:r>
      <w:r w:rsidRPr="00D41D30">
        <w:rPr>
          <w:rFonts w:hint="eastAsia"/>
          <w:color w:val="000000" w:themeColor="text1"/>
        </w:rPr>
        <w:t>市</w:t>
      </w:r>
      <w:r w:rsidR="006B5136" w:rsidRPr="00D41D30">
        <w:rPr>
          <w:rFonts w:hint="eastAsia"/>
          <w:color w:val="000000" w:themeColor="text1"/>
        </w:rPr>
        <w:t>）</w:t>
      </w:r>
      <w:r w:rsidRPr="00D41D30">
        <w:rPr>
          <w:rFonts w:hint="eastAsia"/>
          <w:color w:val="000000" w:themeColor="text1"/>
        </w:rPr>
        <w:t>政府承辦</w:t>
      </w:r>
      <w:r w:rsidR="00B562C7" w:rsidRPr="00D41D30">
        <w:rPr>
          <w:rFonts w:hint="eastAsia"/>
          <w:color w:val="000000" w:themeColor="text1"/>
        </w:rPr>
        <w:t>（</w:t>
      </w:r>
      <w:r w:rsidRPr="00D41D30">
        <w:rPr>
          <w:rFonts w:hint="eastAsia"/>
          <w:color w:val="000000" w:themeColor="text1"/>
        </w:rPr>
        <w:t>包含臺北市、新北市、桃園縣、新竹縣、臺中市、嘉義縣、臺南市、屏東縣及花蓮縣等9縣市</w:t>
      </w:r>
      <w:r w:rsidR="006B5136" w:rsidRPr="00D41D30">
        <w:rPr>
          <w:rFonts w:hint="eastAsia"/>
          <w:color w:val="000000" w:themeColor="text1"/>
        </w:rPr>
        <w:t>）</w:t>
      </w:r>
      <w:r w:rsidRPr="00D41D30">
        <w:rPr>
          <w:rFonts w:hint="eastAsia"/>
          <w:color w:val="000000" w:themeColor="text1"/>
        </w:rPr>
        <w:t>，進階培訓由受委託單位</w:t>
      </w:r>
      <w:r w:rsidR="00B562C7" w:rsidRPr="00D41D30">
        <w:rPr>
          <w:rFonts w:hint="eastAsia"/>
          <w:color w:val="000000" w:themeColor="text1"/>
        </w:rPr>
        <w:t>（</w:t>
      </w:r>
      <w:r w:rsidRPr="00D41D30">
        <w:rPr>
          <w:rFonts w:hint="eastAsia"/>
          <w:color w:val="000000" w:themeColor="text1"/>
        </w:rPr>
        <w:t>國立臺灣師範大學、國立暨南國際大學、國立中正大學、國立高雄師範大學及國立臺東大學</w:t>
      </w:r>
      <w:r w:rsidR="006B5136" w:rsidRPr="00D41D30">
        <w:rPr>
          <w:rFonts w:hint="eastAsia"/>
          <w:color w:val="000000" w:themeColor="text1"/>
        </w:rPr>
        <w:t>）</w:t>
      </w:r>
      <w:r w:rsidRPr="00D41D30">
        <w:rPr>
          <w:rFonts w:hint="eastAsia"/>
          <w:color w:val="000000" w:themeColor="text1"/>
        </w:rPr>
        <w:t>承辦。</w:t>
      </w:r>
    </w:p>
    <w:p w:rsidR="00587212" w:rsidRPr="00D41D30" w:rsidRDefault="00587212" w:rsidP="00587212">
      <w:pPr>
        <w:pStyle w:val="5"/>
        <w:rPr>
          <w:color w:val="000000" w:themeColor="text1"/>
        </w:rPr>
      </w:pPr>
      <w:r w:rsidRPr="00D41D30">
        <w:rPr>
          <w:color w:val="000000" w:themeColor="text1"/>
        </w:rPr>
        <w:t>另為持續強化101年樂齡教育專業人員培訓通過人員</w:t>
      </w:r>
      <w:r w:rsidRPr="00D41D30">
        <w:rPr>
          <w:rFonts w:hint="eastAsia"/>
          <w:color w:val="000000" w:themeColor="text1"/>
        </w:rPr>
        <w:t>之</w:t>
      </w:r>
      <w:r w:rsidRPr="00D41D30">
        <w:rPr>
          <w:color w:val="000000" w:themeColor="text1"/>
        </w:rPr>
        <w:t>專業知能，</w:t>
      </w:r>
      <w:r w:rsidRPr="00D41D30">
        <w:rPr>
          <w:rFonts w:hint="eastAsia"/>
          <w:color w:val="000000" w:themeColor="text1"/>
        </w:rPr>
        <w:t>於</w:t>
      </w:r>
      <w:r w:rsidRPr="00D41D30">
        <w:rPr>
          <w:color w:val="000000" w:themeColor="text1"/>
        </w:rPr>
        <w:t>國家教育研究院三峽院區辦理2梯次及</w:t>
      </w:r>
      <w:r w:rsidRPr="00D41D30">
        <w:rPr>
          <w:rFonts w:hint="eastAsia"/>
          <w:color w:val="000000" w:themeColor="text1"/>
        </w:rPr>
        <w:t>國立</w:t>
      </w:r>
      <w:r w:rsidRPr="00D41D30">
        <w:rPr>
          <w:color w:val="000000" w:themeColor="text1"/>
        </w:rPr>
        <w:t>高雄科</w:t>
      </w:r>
      <w:r w:rsidRPr="00D41D30">
        <w:rPr>
          <w:rFonts w:hint="eastAsia"/>
          <w:color w:val="000000" w:themeColor="text1"/>
        </w:rPr>
        <w:t>學</w:t>
      </w:r>
      <w:r w:rsidRPr="00D41D30">
        <w:rPr>
          <w:color w:val="000000" w:themeColor="text1"/>
        </w:rPr>
        <w:t>工</w:t>
      </w:r>
      <w:r w:rsidRPr="00D41D30">
        <w:rPr>
          <w:rFonts w:hint="eastAsia"/>
          <w:color w:val="000000" w:themeColor="text1"/>
        </w:rPr>
        <w:t>藝博物</w:t>
      </w:r>
      <w:r w:rsidRPr="00D41D30">
        <w:rPr>
          <w:color w:val="000000" w:themeColor="text1"/>
        </w:rPr>
        <w:t>館辦理南部場1梯次之在職訓練。</w:t>
      </w:r>
    </w:p>
    <w:p w:rsidR="00D7741A" w:rsidRPr="00D41D30" w:rsidRDefault="00D7741A" w:rsidP="00587212">
      <w:pPr>
        <w:pStyle w:val="5"/>
        <w:rPr>
          <w:color w:val="000000" w:themeColor="text1"/>
        </w:rPr>
      </w:pPr>
      <w:r w:rsidRPr="00D41D30">
        <w:rPr>
          <w:color w:val="000000" w:themeColor="text1"/>
        </w:rPr>
        <w:t>101年</w:t>
      </w:r>
      <w:r w:rsidR="00B562C7" w:rsidRPr="00D41D30">
        <w:rPr>
          <w:rFonts w:hint="eastAsia"/>
          <w:color w:val="000000" w:themeColor="text1"/>
        </w:rPr>
        <w:t>（</w:t>
      </w:r>
      <w:r w:rsidRPr="00D41D30">
        <w:rPr>
          <w:rFonts w:hint="eastAsia"/>
          <w:color w:val="000000" w:themeColor="text1"/>
        </w:rPr>
        <w:t>第1期</w:t>
      </w:r>
      <w:r w:rsidR="006B5136" w:rsidRPr="00D41D30">
        <w:rPr>
          <w:rFonts w:hint="eastAsia"/>
          <w:color w:val="000000" w:themeColor="text1"/>
        </w:rPr>
        <w:t>）</w:t>
      </w:r>
      <w:r w:rsidRPr="00D41D30">
        <w:rPr>
          <w:color w:val="000000" w:themeColor="text1"/>
        </w:rPr>
        <w:t>樂齡教育專業人員培訓合計478人通過並取得證明書</w:t>
      </w:r>
      <w:r w:rsidRPr="00D41D30">
        <w:rPr>
          <w:rFonts w:hint="eastAsia"/>
          <w:color w:val="000000" w:themeColor="text1"/>
        </w:rPr>
        <w:t>，提供全國高齡教育相關單位運用。</w:t>
      </w:r>
    </w:p>
    <w:p w:rsidR="00275F7F" w:rsidRPr="00D41D30" w:rsidRDefault="00275F7F" w:rsidP="00275F7F">
      <w:pPr>
        <w:pStyle w:val="5"/>
        <w:rPr>
          <w:color w:val="000000" w:themeColor="text1"/>
        </w:rPr>
      </w:pPr>
      <w:r w:rsidRPr="00D41D30">
        <w:rPr>
          <w:rFonts w:hint="eastAsia"/>
          <w:color w:val="000000" w:themeColor="text1"/>
        </w:rPr>
        <w:lastRenderedPageBreak/>
        <w:t>培訓對象：</w:t>
      </w:r>
    </w:p>
    <w:p w:rsidR="00275F7F" w:rsidRPr="00D41D30" w:rsidRDefault="00275F7F" w:rsidP="00275F7F">
      <w:pPr>
        <w:pStyle w:val="6"/>
        <w:rPr>
          <w:color w:val="000000" w:themeColor="text1"/>
        </w:rPr>
      </w:pPr>
      <w:r w:rsidRPr="00D41D30">
        <w:rPr>
          <w:rFonts w:hint="eastAsia"/>
          <w:color w:val="000000" w:themeColor="text1"/>
        </w:rPr>
        <w:t>教育部所屬之社教機關（構）、直轄市及縣（市）政府轄屬樂齡學習中心、社區多功能學習中心、社區大學之樂齡教育人員。</w:t>
      </w:r>
    </w:p>
    <w:p w:rsidR="00275F7F" w:rsidRPr="00D41D30" w:rsidRDefault="00275F7F" w:rsidP="00275F7F">
      <w:pPr>
        <w:pStyle w:val="6"/>
        <w:rPr>
          <w:color w:val="000000" w:themeColor="text1"/>
        </w:rPr>
      </w:pPr>
      <w:r w:rsidRPr="00D41D30">
        <w:rPr>
          <w:rFonts w:hint="eastAsia"/>
          <w:color w:val="000000" w:themeColor="text1"/>
        </w:rPr>
        <w:t>各直轄市、縣（市）樂齡教育主管機關之主管、承辦人員及家庭教育中心之主管、承辦人員。</w:t>
      </w:r>
    </w:p>
    <w:p w:rsidR="00275F7F" w:rsidRPr="00D41D30" w:rsidRDefault="00275F7F" w:rsidP="00275F7F">
      <w:pPr>
        <w:pStyle w:val="6"/>
        <w:rPr>
          <w:color w:val="000000" w:themeColor="text1"/>
        </w:rPr>
      </w:pPr>
      <w:r w:rsidRPr="00D41D30">
        <w:rPr>
          <w:rFonts w:hint="eastAsia"/>
          <w:color w:val="000000" w:themeColor="text1"/>
        </w:rPr>
        <w:t>其他終身學習或老人相關領域之工作人員、高級中等學校、國中及國小現職教職員、已（屆）退休之公教人員、有意從事樂齡教育講師或服務人員。</w:t>
      </w:r>
    </w:p>
    <w:p w:rsidR="00275F7F" w:rsidRPr="00D41D30" w:rsidRDefault="00275F7F" w:rsidP="00275F7F">
      <w:pPr>
        <w:pStyle w:val="6"/>
        <w:rPr>
          <w:color w:val="000000" w:themeColor="text1"/>
        </w:rPr>
      </w:pPr>
      <w:r w:rsidRPr="00D41D30">
        <w:rPr>
          <w:rFonts w:hint="eastAsia"/>
          <w:color w:val="000000" w:themeColor="text1"/>
        </w:rPr>
        <w:t>修畢國內或符合教育部採認規定之國外大學校院高齡教育相關系所博、碩士班高齡教育相關專業課程、學分者。</w:t>
      </w:r>
    </w:p>
    <w:p w:rsidR="00D7741A" w:rsidRPr="00D41D30" w:rsidRDefault="00D7741A" w:rsidP="003C768A">
      <w:pPr>
        <w:pStyle w:val="4"/>
        <w:rPr>
          <w:color w:val="000000" w:themeColor="text1"/>
        </w:rPr>
      </w:pPr>
      <w:r w:rsidRPr="00D41D30">
        <w:rPr>
          <w:rFonts w:hint="eastAsia"/>
          <w:color w:val="000000" w:themeColor="text1"/>
        </w:rPr>
        <w:t>102-103年辦理方式</w:t>
      </w:r>
      <w:r w:rsidR="00B562C7" w:rsidRPr="00D41D30">
        <w:rPr>
          <w:color w:val="000000" w:themeColor="text1"/>
        </w:rPr>
        <w:t>（</w:t>
      </w:r>
      <w:r w:rsidRPr="00D41D30">
        <w:rPr>
          <w:rFonts w:hint="eastAsia"/>
          <w:color w:val="000000" w:themeColor="text1"/>
        </w:rPr>
        <w:t>第2期</w:t>
      </w:r>
      <w:r w:rsidR="006B5136" w:rsidRPr="00D41D30">
        <w:rPr>
          <w:color w:val="000000" w:themeColor="text1"/>
        </w:rPr>
        <w:t>）</w:t>
      </w:r>
      <w:r w:rsidRPr="00D41D30">
        <w:rPr>
          <w:rFonts w:hAnsi="標楷體" w:hint="eastAsia"/>
          <w:color w:val="000000" w:themeColor="text1"/>
        </w:rPr>
        <w:t>：</w:t>
      </w:r>
      <w:r w:rsidRPr="00D41D30">
        <w:rPr>
          <w:rFonts w:hint="eastAsia"/>
          <w:color w:val="000000" w:themeColor="text1"/>
        </w:rPr>
        <w:t>102年修正</w:t>
      </w:r>
      <w:r w:rsidRPr="00D41D30">
        <w:rPr>
          <w:color w:val="000000" w:themeColor="text1"/>
        </w:rPr>
        <w:t>發布「教育部樂齡</w:t>
      </w:r>
      <w:r w:rsidRPr="00D41D30">
        <w:rPr>
          <w:color w:val="000000" w:themeColor="text1"/>
          <w:szCs w:val="32"/>
        </w:rPr>
        <w:t>教育專業人員</w:t>
      </w:r>
      <w:r w:rsidRPr="00D41D30">
        <w:rPr>
          <w:color w:val="000000" w:themeColor="text1"/>
        </w:rPr>
        <w:t>培訓要點」並於102</w:t>
      </w:r>
      <w:r w:rsidRPr="00D41D30">
        <w:rPr>
          <w:rFonts w:hint="eastAsia"/>
          <w:color w:val="000000" w:themeColor="text1"/>
        </w:rPr>
        <w:t>年</w:t>
      </w:r>
      <w:r w:rsidRPr="00D41D30">
        <w:rPr>
          <w:color w:val="000000" w:themeColor="text1"/>
        </w:rPr>
        <w:t>發布「102年教育部樂齡教育專業人員第二期培訓實施計畫」。</w:t>
      </w:r>
      <w:r w:rsidRPr="00D41D30">
        <w:rPr>
          <w:rFonts w:hint="eastAsia"/>
          <w:color w:val="000000" w:themeColor="text1"/>
        </w:rPr>
        <w:t>計210人通過培訓，並於國立新竹教育大學辦理成果交流會議。</w:t>
      </w:r>
    </w:p>
    <w:p w:rsidR="00D7741A" w:rsidRPr="00D41D30" w:rsidRDefault="00D7741A" w:rsidP="003C768A">
      <w:pPr>
        <w:pStyle w:val="5"/>
        <w:rPr>
          <w:color w:val="000000" w:themeColor="text1"/>
        </w:rPr>
      </w:pPr>
      <w:r w:rsidRPr="00D41D30">
        <w:rPr>
          <w:color w:val="000000" w:themeColor="text1"/>
        </w:rPr>
        <w:t>102年度修正部分主要調整專業人員分類如下</w:t>
      </w:r>
      <w:r w:rsidRPr="00D41D30">
        <w:rPr>
          <w:rFonts w:hAnsi="標楷體" w:hint="eastAsia"/>
          <w:color w:val="000000" w:themeColor="text1"/>
        </w:rPr>
        <w:t>：</w:t>
      </w:r>
    </w:p>
    <w:p w:rsidR="00D7741A" w:rsidRPr="00D41D30" w:rsidRDefault="00D7741A" w:rsidP="003C768A">
      <w:pPr>
        <w:pStyle w:val="6"/>
        <w:rPr>
          <w:color w:val="000000" w:themeColor="text1"/>
        </w:rPr>
      </w:pPr>
      <w:r w:rsidRPr="00D41D30">
        <w:rPr>
          <w:color w:val="000000" w:themeColor="text1"/>
        </w:rPr>
        <w:t>樂齡教育講師</w:t>
      </w:r>
      <w:r w:rsidRPr="00D41D30">
        <w:rPr>
          <w:rFonts w:hint="eastAsia"/>
          <w:color w:val="000000" w:themeColor="text1"/>
        </w:rPr>
        <w:t>:</w:t>
      </w:r>
      <w:r w:rsidRPr="00D41D30">
        <w:rPr>
          <w:color w:val="000000" w:themeColor="text1"/>
        </w:rPr>
        <w:t>a.直轄市、縣（市）政府所屬樂齡學習中心，且年滿</w:t>
      </w:r>
      <w:r w:rsidRPr="00D41D30">
        <w:rPr>
          <w:rFonts w:hint="eastAsia"/>
          <w:color w:val="000000" w:themeColor="text1"/>
        </w:rPr>
        <w:t>50</w:t>
      </w:r>
      <w:r w:rsidRPr="00D41D30">
        <w:rPr>
          <w:color w:val="000000" w:themeColor="text1"/>
        </w:rPr>
        <w:t>歲以上之現任講師。其中未滿</w:t>
      </w:r>
      <w:r w:rsidRPr="00D41D30">
        <w:rPr>
          <w:rFonts w:hint="eastAsia"/>
          <w:color w:val="000000" w:themeColor="text1"/>
        </w:rPr>
        <w:t>65</w:t>
      </w:r>
      <w:r w:rsidRPr="00D41D30">
        <w:rPr>
          <w:color w:val="000000" w:themeColor="text1"/>
        </w:rPr>
        <w:t>歲者，以具備高級中等以上學校畢業資格，且退休者為優先</w:t>
      </w:r>
      <w:r w:rsidRPr="00D41D30">
        <w:rPr>
          <w:rFonts w:hint="eastAsia"/>
          <w:color w:val="000000" w:themeColor="text1"/>
        </w:rPr>
        <w:t>；</w:t>
      </w:r>
      <w:r w:rsidRPr="00D41D30">
        <w:rPr>
          <w:color w:val="000000" w:themeColor="text1"/>
        </w:rPr>
        <w:t>b. 政府機關主管樂齡教育、家庭教育之單位主管及承辦人員。</w:t>
      </w:r>
    </w:p>
    <w:p w:rsidR="00D7741A" w:rsidRPr="00D41D30" w:rsidRDefault="00D7741A" w:rsidP="003C768A">
      <w:pPr>
        <w:pStyle w:val="6"/>
        <w:rPr>
          <w:color w:val="000000" w:themeColor="text1"/>
        </w:rPr>
      </w:pPr>
      <w:r w:rsidRPr="00D41D30">
        <w:rPr>
          <w:color w:val="000000" w:themeColor="text1"/>
        </w:rPr>
        <w:t>樂齡自主學習團體帶領人（以下簡稱自主帶領人）：年滿</w:t>
      </w:r>
      <w:r w:rsidRPr="00D41D30">
        <w:rPr>
          <w:rFonts w:hint="eastAsia"/>
          <w:color w:val="000000" w:themeColor="text1"/>
        </w:rPr>
        <w:t>50</w:t>
      </w:r>
      <w:r w:rsidRPr="00D41D30">
        <w:rPr>
          <w:color w:val="000000" w:themeColor="text1"/>
        </w:rPr>
        <w:t>歲以上，有意從事樂齡自主學習團體領導者（以退休人員為優先）。</w:t>
      </w:r>
    </w:p>
    <w:p w:rsidR="00D7741A" w:rsidRPr="00D41D30" w:rsidRDefault="00D7741A" w:rsidP="003C768A">
      <w:pPr>
        <w:pStyle w:val="6"/>
        <w:rPr>
          <w:color w:val="000000" w:themeColor="text1"/>
        </w:rPr>
      </w:pPr>
      <w:r w:rsidRPr="00D41D30">
        <w:rPr>
          <w:color w:val="000000" w:themeColor="text1"/>
        </w:rPr>
        <w:lastRenderedPageBreak/>
        <w:t>前</w:t>
      </w:r>
      <w:r w:rsidRPr="00D41D30">
        <w:rPr>
          <w:rFonts w:hint="eastAsia"/>
          <w:color w:val="000000" w:themeColor="text1"/>
        </w:rPr>
        <w:t>2</w:t>
      </w:r>
      <w:r w:rsidRPr="00D41D30">
        <w:rPr>
          <w:color w:val="000000" w:themeColor="text1"/>
        </w:rPr>
        <w:t>款人員，應具備熱心、友善、幽默、耐性等人格特質，並樂意為樂齡者服務奉獻與持績學習增能。</w:t>
      </w:r>
    </w:p>
    <w:p w:rsidR="00D7741A" w:rsidRPr="00D41D30" w:rsidRDefault="00D7741A" w:rsidP="003C768A">
      <w:pPr>
        <w:pStyle w:val="5"/>
        <w:rPr>
          <w:color w:val="000000" w:themeColor="text1"/>
        </w:rPr>
      </w:pPr>
      <w:r w:rsidRPr="00D41D30">
        <w:rPr>
          <w:rFonts w:hint="eastAsia"/>
          <w:color w:val="000000" w:themeColor="text1"/>
        </w:rPr>
        <w:t>培訓階段:包含</w:t>
      </w:r>
      <w:r w:rsidRPr="00D41D30">
        <w:rPr>
          <w:color w:val="000000" w:themeColor="text1"/>
        </w:rPr>
        <w:t>初階階段</w:t>
      </w:r>
      <w:r w:rsidR="00B562C7" w:rsidRPr="00D41D30">
        <w:rPr>
          <w:color w:val="000000" w:themeColor="text1"/>
        </w:rPr>
        <w:t>（</w:t>
      </w:r>
      <w:r w:rsidRPr="00D41D30">
        <w:rPr>
          <w:color w:val="000000" w:themeColor="text1"/>
        </w:rPr>
        <w:t>36小時</w:t>
      </w:r>
      <w:r w:rsidR="006B5136" w:rsidRPr="00D41D30">
        <w:rPr>
          <w:color w:val="000000" w:themeColor="text1"/>
        </w:rPr>
        <w:t>）</w:t>
      </w:r>
      <w:r w:rsidRPr="00D41D30">
        <w:rPr>
          <w:rFonts w:hint="eastAsia"/>
          <w:color w:val="000000" w:themeColor="text1"/>
        </w:rPr>
        <w:t>、</w:t>
      </w:r>
      <w:r w:rsidRPr="00D41D30">
        <w:rPr>
          <w:color w:val="000000" w:themeColor="text1"/>
        </w:rPr>
        <w:t>進階階段</w:t>
      </w:r>
      <w:r w:rsidR="00B562C7" w:rsidRPr="00D41D30">
        <w:rPr>
          <w:color w:val="000000" w:themeColor="text1"/>
        </w:rPr>
        <w:t>（</w:t>
      </w:r>
      <w:r w:rsidRPr="00D41D30">
        <w:rPr>
          <w:color w:val="000000" w:themeColor="text1"/>
        </w:rPr>
        <w:t>42小時</w:t>
      </w:r>
      <w:r w:rsidR="006B5136" w:rsidRPr="00D41D30">
        <w:rPr>
          <w:color w:val="000000" w:themeColor="text1"/>
        </w:rPr>
        <w:t>）</w:t>
      </w:r>
      <w:r w:rsidRPr="00D41D30">
        <w:rPr>
          <w:rFonts w:hint="eastAsia"/>
          <w:color w:val="000000" w:themeColor="text1"/>
        </w:rPr>
        <w:t>、</w:t>
      </w:r>
      <w:r w:rsidRPr="00D41D30">
        <w:rPr>
          <w:color w:val="000000" w:themeColor="text1"/>
        </w:rPr>
        <w:t>實作階段</w:t>
      </w:r>
      <w:r w:rsidR="00B562C7" w:rsidRPr="00D41D30">
        <w:rPr>
          <w:color w:val="000000" w:themeColor="text1"/>
        </w:rPr>
        <w:t>（</w:t>
      </w:r>
      <w:r w:rsidRPr="00D41D30">
        <w:rPr>
          <w:color w:val="000000" w:themeColor="text1"/>
        </w:rPr>
        <w:t>48小時</w:t>
      </w:r>
      <w:r w:rsidR="006B5136" w:rsidRPr="00D41D30">
        <w:rPr>
          <w:color w:val="000000" w:themeColor="text1"/>
        </w:rPr>
        <w:t>）</w:t>
      </w:r>
    </w:p>
    <w:p w:rsidR="00D7741A" w:rsidRPr="00D41D30" w:rsidRDefault="009D2FDD" w:rsidP="003C768A">
      <w:pPr>
        <w:pStyle w:val="5"/>
        <w:rPr>
          <w:color w:val="000000" w:themeColor="text1"/>
        </w:rPr>
      </w:pPr>
      <w:r w:rsidRPr="00D41D30">
        <w:rPr>
          <w:rFonts w:hint="eastAsia"/>
          <w:color w:val="000000" w:themeColor="text1"/>
        </w:rPr>
        <w:t>「樂齡體適能種籽教師基礎培訓實施計畫」:</w:t>
      </w:r>
      <w:r w:rsidR="00D7741A" w:rsidRPr="00D41D30">
        <w:rPr>
          <w:rFonts w:hint="eastAsia"/>
          <w:color w:val="000000" w:themeColor="text1"/>
        </w:rPr>
        <w:t>102年為協助樂齡中心強化專業知能，提供適合樂齡中心推廣之體適能課程，以強化高齡者肌耐力，避免高齡者跌倒及增進身體健康，爰委請國立高雄應用科技大學辦理</w:t>
      </w:r>
      <w:r w:rsidRPr="00D41D30">
        <w:rPr>
          <w:rFonts w:hint="eastAsia"/>
          <w:color w:val="000000" w:themeColor="text1"/>
        </w:rPr>
        <w:t>本計畫</w:t>
      </w:r>
      <w:r w:rsidR="00D7741A" w:rsidRPr="00D41D30">
        <w:rPr>
          <w:rFonts w:hint="eastAsia"/>
          <w:color w:val="000000" w:themeColor="text1"/>
        </w:rPr>
        <w:t>，</w:t>
      </w:r>
      <w:r w:rsidRPr="00D41D30">
        <w:rPr>
          <w:rFonts w:hint="eastAsia"/>
          <w:color w:val="000000" w:themeColor="text1"/>
        </w:rPr>
        <w:t>係為在職訓練，以專業主題訓練為主。</w:t>
      </w:r>
      <w:r w:rsidR="00D7741A" w:rsidRPr="00D41D30">
        <w:rPr>
          <w:rFonts w:hint="eastAsia"/>
          <w:color w:val="000000" w:themeColor="text1"/>
        </w:rPr>
        <w:t>參加者以中心推動銀髮體適能、健康操等相關課程之講師為優先參與之對象，另其他類別之講師、樂齡中心之主任（負責人）及經營（志工）團隊，對樂齡運動教學有興趣者都可報名。</w:t>
      </w:r>
      <w:r w:rsidRPr="00D41D30">
        <w:rPr>
          <w:rFonts w:hint="eastAsia"/>
          <w:color w:val="000000" w:themeColor="text1"/>
        </w:rPr>
        <w:t>計240人參與並取得研習證明。</w:t>
      </w:r>
    </w:p>
    <w:p w:rsidR="00D7741A" w:rsidRPr="00D41D30" w:rsidRDefault="00D7741A" w:rsidP="00EE1F8B">
      <w:pPr>
        <w:pStyle w:val="4"/>
        <w:rPr>
          <w:color w:val="000000" w:themeColor="text1"/>
        </w:rPr>
      </w:pPr>
      <w:r w:rsidRPr="00D41D30">
        <w:rPr>
          <w:rFonts w:hint="eastAsia"/>
          <w:color w:val="000000" w:themeColor="text1"/>
        </w:rPr>
        <w:t>103-107年樂齡學習輔導團講師在職訓練</w:t>
      </w:r>
    </w:p>
    <w:p w:rsidR="006D2B72" w:rsidRPr="00D41D30" w:rsidRDefault="00D7741A" w:rsidP="000742A6">
      <w:pPr>
        <w:pStyle w:val="5"/>
        <w:rPr>
          <w:rFonts w:hAnsi="標楷體"/>
          <w:bCs w:val="0"/>
          <w:color w:val="000000" w:themeColor="text1"/>
          <w:sz w:val="28"/>
          <w:szCs w:val="28"/>
        </w:rPr>
      </w:pPr>
      <w:r w:rsidRPr="00D41D30">
        <w:rPr>
          <w:rFonts w:hint="eastAsia"/>
          <w:color w:val="000000" w:themeColor="text1"/>
        </w:rPr>
        <w:t>為強化全國樂齡中心之講師，對於長者退休前</w:t>
      </w:r>
      <w:r w:rsidR="00B562C7" w:rsidRPr="00D41D30">
        <w:rPr>
          <w:rFonts w:hint="eastAsia"/>
          <w:color w:val="000000" w:themeColor="text1"/>
        </w:rPr>
        <w:t>（</w:t>
      </w:r>
      <w:r w:rsidRPr="00D41D30">
        <w:rPr>
          <w:rFonts w:hint="eastAsia"/>
          <w:color w:val="000000" w:themeColor="text1"/>
        </w:rPr>
        <w:t>後</w:t>
      </w:r>
      <w:r w:rsidR="006B5136" w:rsidRPr="00D41D30">
        <w:rPr>
          <w:rFonts w:hint="eastAsia"/>
          <w:color w:val="000000" w:themeColor="text1"/>
        </w:rPr>
        <w:t>）</w:t>
      </w:r>
      <w:r w:rsidRPr="00D41D30">
        <w:rPr>
          <w:rFonts w:hint="eastAsia"/>
          <w:color w:val="000000" w:themeColor="text1"/>
        </w:rPr>
        <w:t>所需核心課程之教學進行策略教法，爰於103年委請國立中正大學於執行總輔導團計畫中納入辦理「103年活躍樂齡核心課程暨樂齡學習規劃師培訓計畫」</w:t>
      </w:r>
      <w:r w:rsidR="006D2B72" w:rsidRPr="00D41D30">
        <w:rPr>
          <w:rFonts w:hint="eastAsia"/>
          <w:color w:val="000000" w:themeColor="text1"/>
        </w:rPr>
        <w:t>。</w:t>
      </w:r>
    </w:p>
    <w:p w:rsidR="006D2B72" w:rsidRPr="00D41D30" w:rsidRDefault="00D7741A" w:rsidP="000742A6">
      <w:pPr>
        <w:pStyle w:val="5"/>
        <w:rPr>
          <w:rFonts w:hAnsi="標楷體"/>
          <w:bCs w:val="0"/>
          <w:color w:val="000000" w:themeColor="text1"/>
          <w:sz w:val="28"/>
          <w:szCs w:val="28"/>
        </w:rPr>
      </w:pPr>
      <w:r w:rsidRPr="00D41D30">
        <w:rPr>
          <w:rFonts w:hint="eastAsia"/>
          <w:color w:val="000000" w:themeColor="text1"/>
        </w:rPr>
        <w:t>參加對象以全國樂齡中心現任主任、各類課程老師（教授「基礎生活課程」及「政策宣導課程」之類別講師尤佳）及志工，具有2年（含）以上之樂齡學習中心授課經驗，培訓典範核心課程之種子人才</w:t>
      </w:r>
      <w:r w:rsidR="006D2B72" w:rsidRPr="00D41D30">
        <w:rPr>
          <w:rFonts w:hint="eastAsia"/>
          <w:color w:val="000000" w:themeColor="text1"/>
        </w:rPr>
        <w:t>。</w:t>
      </w:r>
    </w:p>
    <w:p w:rsidR="00D7741A" w:rsidRPr="00D41D30" w:rsidRDefault="00D7741A" w:rsidP="000742A6">
      <w:pPr>
        <w:pStyle w:val="5"/>
        <w:rPr>
          <w:rFonts w:hAnsi="標楷體"/>
          <w:bCs w:val="0"/>
          <w:color w:val="000000" w:themeColor="text1"/>
          <w:sz w:val="28"/>
          <w:szCs w:val="28"/>
        </w:rPr>
      </w:pPr>
      <w:r w:rsidRPr="00D41D30">
        <w:rPr>
          <w:rFonts w:hint="eastAsia"/>
          <w:color w:val="000000" w:themeColor="text1"/>
        </w:rPr>
        <w:t>培訓內容課程包含活躍樂齡核心課程的理論基礎、活躍樂齡核心課程的基本理念、</w:t>
      </w:r>
      <w:r w:rsidRPr="00D41D30">
        <w:rPr>
          <w:rFonts w:hint="eastAsia"/>
          <w:color w:val="000000" w:themeColor="text1"/>
        </w:rPr>
        <w:lastRenderedPageBreak/>
        <w:t>活躍樂齡核心課程的教學</w:t>
      </w:r>
      <w:r w:rsidRPr="00D41D30">
        <w:rPr>
          <w:color w:val="000000" w:themeColor="text1"/>
        </w:rPr>
        <w:t>SOP</w:t>
      </w:r>
      <w:r w:rsidRPr="00D41D30">
        <w:rPr>
          <w:rFonts w:hint="eastAsia"/>
          <w:color w:val="000000" w:themeColor="text1"/>
        </w:rPr>
        <w:t>、活躍樂齡核心課程的教材運用、活躍樂齡核心課程的教學工作坊、如何成為樂齡學習規劃師、活躍樂齡核心課程的教學演示。</w:t>
      </w:r>
    </w:p>
    <w:p w:rsidR="00D7741A" w:rsidRPr="00D41D30" w:rsidRDefault="00D7741A" w:rsidP="000742A6">
      <w:pPr>
        <w:pStyle w:val="5"/>
        <w:rPr>
          <w:color w:val="000000" w:themeColor="text1"/>
        </w:rPr>
      </w:pPr>
      <w:r w:rsidRPr="00D41D30">
        <w:rPr>
          <w:rFonts w:hint="eastAsia"/>
          <w:color w:val="000000" w:themeColor="text1"/>
        </w:rPr>
        <w:t>樂齡學習規劃師的課程，係以長者學習為出發點，以簡單、易懂的教學方法，讓長者將所學用於日常生活，各參與學員均為樂齡中心講師，為訓用合一，通過培訓者，需於樂齡學習中心執行至少</w:t>
      </w:r>
      <w:r w:rsidRPr="00D41D30">
        <w:rPr>
          <w:color w:val="000000" w:themeColor="text1"/>
        </w:rPr>
        <w:t>16</w:t>
      </w:r>
      <w:r w:rsidRPr="00D41D30">
        <w:rPr>
          <w:rFonts w:hint="eastAsia"/>
          <w:color w:val="000000" w:themeColor="text1"/>
        </w:rPr>
        <w:t>小時之創新教學核心課程，通過培訓之樂老師，並參與核心課程交流會議，繳交核心課程教材、教具及其他創新設計等資料。</w:t>
      </w:r>
    </w:p>
    <w:p w:rsidR="00D7741A" w:rsidRPr="00D41D30" w:rsidRDefault="00D7741A" w:rsidP="000742A6">
      <w:pPr>
        <w:pStyle w:val="5"/>
        <w:rPr>
          <w:color w:val="000000" w:themeColor="text1"/>
        </w:rPr>
      </w:pPr>
      <w:r w:rsidRPr="00D41D30">
        <w:rPr>
          <w:rFonts w:hint="eastAsia"/>
          <w:color w:val="000000" w:themeColor="text1"/>
        </w:rPr>
        <w:t>106年因應各地講師需求及加強講師多元性，結合全國11個縣市政府</w:t>
      </w:r>
      <w:r w:rsidR="00B562C7" w:rsidRPr="00D41D30">
        <w:rPr>
          <w:rFonts w:hint="eastAsia"/>
          <w:color w:val="000000" w:themeColor="text1"/>
        </w:rPr>
        <w:t>（</w:t>
      </w:r>
      <w:r w:rsidRPr="00D41D30">
        <w:rPr>
          <w:rFonts w:hint="eastAsia"/>
          <w:color w:val="000000" w:themeColor="text1"/>
        </w:rPr>
        <w:t>新北市、桃園市、新竹縣、苗栗縣、彰化縣、嘉義縣、臺南市、高雄市、屏東縣、臺東縣、宜蘭縣</w:t>
      </w:r>
      <w:r w:rsidR="006B5136" w:rsidRPr="00D41D30">
        <w:rPr>
          <w:rFonts w:hint="eastAsia"/>
          <w:color w:val="000000" w:themeColor="text1"/>
        </w:rPr>
        <w:t>）</w:t>
      </w:r>
      <w:r w:rsidRPr="00D41D30">
        <w:rPr>
          <w:rFonts w:hint="eastAsia"/>
          <w:color w:val="000000" w:themeColor="text1"/>
        </w:rPr>
        <w:t>辦理培訓，課程內容包含高齡教育政策的現況與未來、</w:t>
      </w:r>
      <w:r w:rsidRPr="00D41D30">
        <w:rPr>
          <w:color w:val="000000" w:themeColor="text1"/>
        </w:rPr>
        <w:t>樂齡學習與核心課程之理念</w:t>
      </w:r>
      <w:r w:rsidRPr="00D41D30">
        <w:rPr>
          <w:rFonts w:hint="eastAsia"/>
          <w:color w:val="000000" w:themeColor="text1"/>
        </w:rPr>
        <w:t>、</w:t>
      </w:r>
      <w:r w:rsidRPr="00D41D30">
        <w:rPr>
          <w:color w:val="000000" w:themeColor="text1"/>
        </w:rPr>
        <w:t>樂齡學習核心課程教學</w:t>
      </w:r>
      <w:r w:rsidRPr="00D41D30">
        <w:rPr>
          <w:rFonts w:hint="eastAsia"/>
          <w:color w:val="000000" w:themeColor="text1"/>
        </w:rPr>
        <w:t>策略、</w:t>
      </w:r>
      <w:r w:rsidRPr="00D41D30">
        <w:rPr>
          <w:color w:val="000000" w:themeColor="text1"/>
        </w:rPr>
        <w:t>樂齡學習核心課程教學演練</w:t>
      </w:r>
      <w:r w:rsidRPr="00D41D30">
        <w:rPr>
          <w:rFonts w:hint="eastAsia"/>
          <w:color w:val="000000" w:themeColor="text1"/>
        </w:rPr>
        <w:t>、</w:t>
      </w:r>
      <w:r w:rsidRPr="00D41D30">
        <w:rPr>
          <w:color w:val="000000" w:themeColor="text1"/>
        </w:rPr>
        <w:t>樂齡學習核心課程教學</w:t>
      </w:r>
      <w:r w:rsidRPr="00D41D30">
        <w:rPr>
          <w:rFonts w:hint="eastAsia"/>
          <w:color w:val="000000" w:themeColor="text1"/>
        </w:rPr>
        <w:t>設計與模</w:t>
      </w:r>
      <w:r w:rsidRPr="00D41D30">
        <w:rPr>
          <w:color w:val="000000" w:themeColor="text1"/>
        </w:rPr>
        <w:t>式</w:t>
      </w:r>
      <w:r w:rsidRPr="00D41D30">
        <w:rPr>
          <w:rFonts w:hint="eastAsia"/>
          <w:color w:val="000000" w:themeColor="text1"/>
        </w:rPr>
        <w:t>。培訓對象如下：</w:t>
      </w:r>
    </w:p>
    <w:p w:rsidR="00D7741A" w:rsidRPr="00D41D30" w:rsidRDefault="00D7741A" w:rsidP="000742A6">
      <w:pPr>
        <w:pStyle w:val="6"/>
        <w:rPr>
          <w:color w:val="000000" w:themeColor="text1"/>
        </w:rPr>
      </w:pPr>
      <w:r w:rsidRPr="00D41D30">
        <w:rPr>
          <w:rFonts w:hint="eastAsia"/>
          <w:color w:val="000000" w:themeColor="text1"/>
        </w:rPr>
        <w:t>領有該部辦理102年與103年樂齡講師培訓研習證書且具備大專校院以上學歷者。</w:t>
      </w:r>
    </w:p>
    <w:p w:rsidR="00D7741A" w:rsidRPr="00D41D30" w:rsidRDefault="00D7741A" w:rsidP="000742A6">
      <w:pPr>
        <w:pStyle w:val="6"/>
        <w:rPr>
          <w:color w:val="000000" w:themeColor="text1"/>
        </w:rPr>
      </w:pPr>
      <w:r w:rsidRPr="00D41D30">
        <w:rPr>
          <w:rFonts w:hint="eastAsia"/>
          <w:color w:val="000000" w:themeColor="text1"/>
        </w:rPr>
        <w:t>有意願擔任樂齡學習核心課程授講師且具備大專校院以上學歷者。</w:t>
      </w:r>
    </w:p>
    <w:p w:rsidR="00D7741A" w:rsidRPr="00D41D30" w:rsidRDefault="00D7741A" w:rsidP="000742A6">
      <w:pPr>
        <w:pStyle w:val="6"/>
        <w:rPr>
          <w:color w:val="000000" w:themeColor="text1"/>
        </w:rPr>
      </w:pPr>
      <w:r w:rsidRPr="00D41D30">
        <w:rPr>
          <w:rFonts w:hint="eastAsia"/>
          <w:color w:val="000000" w:themeColor="text1"/>
        </w:rPr>
        <w:t>具有樂齡學習核心課程相關專業知識背景之大院校在生，且意願至樂齡中心或其他相關高齡教育機構授課服務者。</w:t>
      </w:r>
    </w:p>
    <w:p w:rsidR="00D7741A" w:rsidRPr="00D41D30" w:rsidRDefault="00D7741A" w:rsidP="00E97C2C">
      <w:pPr>
        <w:pStyle w:val="5"/>
        <w:rPr>
          <w:color w:val="000000" w:themeColor="text1"/>
        </w:rPr>
      </w:pPr>
      <w:r w:rsidRPr="00D41D30">
        <w:rPr>
          <w:rFonts w:hint="eastAsia"/>
          <w:color w:val="000000" w:themeColor="text1"/>
        </w:rPr>
        <w:t>因應各樂齡中心講師對於培訓需求殷切，106年教育部於召開樂齡學習輔導團期中</w:t>
      </w:r>
      <w:r w:rsidRPr="00D41D30">
        <w:rPr>
          <w:rFonts w:hint="eastAsia"/>
          <w:color w:val="000000" w:themeColor="text1"/>
        </w:rPr>
        <w:lastRenderedPageBreak/>
        <w:t>會議，請各區輔導團納入核心課程規劃師培訓，並於107年實施，因本培訓屬各樂齡中心講師在職訓練，爰有關課程之設計及時數，由各辦理之輔導團規劃。</w:t>
      </w:r>
    </w:p>
    <w:p w:rsidR="00144AF5" w:rsidRPr="00D41D30" w:rsidRDefault="00144AF5" w:rsidP="00144AF5">
      <w:pPr>
        <w:pStyle w:val="6"/>
        <w:rPr>
          <w:color w:val="000000" w:themeColor="text1"/>
        </w:rPr>
      </w:pPr>
      <w:r w:rsidRPr="00D41D30">
        <w:rPr>
          <w:rFonts w:hint="eastAsia"/>
          <w:color w:val="000000" w:themeColor="text1"/>
        </w:rPr>
        <w:t>樂齡學習核心課程規劃師之培訓，分為下列幾類共同內容，由培訓單位參照本內容規劃培訓課程：</w:t>
      </w:r>
    </w:p>
    <w:p w:rsidR="00144AF5" w:rsidRPr="00D41D30" w:rsidRDefault="00144AF5" w:rsidP="00144AF5">
      <w:pPr>
        <w:pStyle w:val="7"/>
        <w:rPr>
          <w:color w:val="000000" w:themeColor="text1"/>
          <w:szCs w:val="32"/>
        </w:rPr>
      </w:pPr>
      <w:r w:rsidRPr="00D41D30">
        <w:rPr>
          <w:rFonts w:ascii="Times New Roman" w:hAnsi="Times New Roman" w:hint="eastAsia"/>
          <w:color w:val="000000" w:themeColor="text1"/>
          <w:szCs w:val="32"/>
        </w:rPr>
        <w:t>認識老化：內</w:t>
      </w:r>
      <w:r w:rsidRPr="00D41D30">
        <w:rPr>
          <w:rFonts w:hint="eastAsia"/>
          <w:color w:val="000000" w:themeColor="text1"/>
          <w:szCs w:val="32"/>
        </w:rPr>
        <w:t>容可包括高齡社會趨勢、老化理論、老化現象與特徵、老化問題與預防等；</w:t>
      </w:r>
    </w:p>
    <w:p w:rsidR="00144AF5" w:rsidRPr="00D41D30" w:rsidRDefault="00144AF5" w:rsidP="00144AF5">
      <w:pPr>
        <w:pStyle w:val="7"/>
        <w:rPr>
          <w:color w:val="000000" w:themeColor="text1"/>
          <w:szCs w:val="32"/>
        </w:rPr>
      </w:pPr>
      <w:r w:rsidRPr="00D41D30">
        <w:rPr>
          <w:rFonts w:hint="eastAsia"/>
          <w:color w:val="000000" w:themeColor="text1"/>
          <w:szCs w:val="32"/>
        </w:rPr>
        <w:t>認識樂齡：內容可包括樂齡教育趨勢、樂齡精神與核心課程意義、核心課程教學現況（如教學123）等；</w:t>
      </w:r>
    </w:p>
    <w:p w:rsidR="00144AF5" w:rsidRPr="00D41D30" w:rsidRDefault="00144AF5" w:rsidP="00144AF5">
      <w:pPr>
        <w:pStyle w:val="7"/>
        <w:rPr>
          <w:color w:val="000000" w:themeColor="text1"/>
          <w:szCs w:val="32"/>
        </w:rPr>
      </w:pPr>
      <w:r w:rsidRPr="00D41D30">
        <w:rPr>
          <w:rFonts w:hint="eastAsia"/>
          <w:color w:val="000000" w:themeColor="text1"/>
          <w:szCs w:val="32"/>
        </w:rPr>
        <w:t>樂齡教學設計：內容可包括樂齡教學專業化趨勢、教學設計基本原理與架構、樂齡教案設計等；</w:t>
      </w:r>
    </w:p>
    <w:p w:rsidR="00144AF5" w:rsidRPr="00D41D30" w:rsidRDefault="00144AF5" w:rsidP="00144AF5">
      <w:pPr>
        <w:pStyle w:val="7"/>
        <w:rPr>
          <w:rFonts w:ascii="Times New Roman" w:hAnsi="Times New Roman"/>
          <w:color w:val="000000" w:themeColor="text1"/>
          <w:szCs w:val="32"/>
        </w:rPr>
      </w:pPr>
      <w:r w:rsidRPr="00D41D30">
        <w:rPr>
          <w:rFonts w:hint="eastAsia"/>
          <w:color w:val="000000" w:themeColor="text1"/>
          <w:szCs w:val="32"/>
        </w:rPr>
        <w:t>樂齡教學實施：內容可包括樂齡教學模式、教學策略、方法、技巧、活動、演練與教學成</w:t>
      </w:r>
      <w:r w:rsidRPr="00D41D30">
        <w:rPr>
          <w:rFonts w:ascii="Times New Roman" w:hAnsi="Times New Roman" w:hint="eastAsia"/>
          <w:color w:val="000000" w:themeColor="text1"/>
          <w:szCs w:val="32"/>
        </w:rPr>
        <w:t>效評估等。</w:t>
      </w:r>
    </w:p>
    <w:p w:rsidR="00144AF5" w:rsidRPr="00D41D30" w:rsidRDefault="00144AF5" w:rsidP="00144AF5">
      <w:pPr>
        <w:pStyle w:val="6"/>
        <w:rPr>
          <w:color w:val="000000" w:themeColor="text1"/>
        </w:rPr>
      </w:pPr>
      <w:r w:rsidRPr="00D41D30">
        <w:rPr>
          <w:rFonts w:hint="eastAsia"/>
          <w:color w:val="000000" w:themeColor="text1"/>
        </w:rPr>
        <w:t>實際認證通過人數為670人</w:t>
      </w:r>
      <w:r w:rsidR="00B562C7" w:rsidRPr="00D41D30">
        <w:rPr>
          <w:rFonts w:hint="eastAsia"/>
          <w:color w:val="000000" w:themeColor="text1"/>
        </w:rPr>
        <w:t>（</w:t>
      </w:r>
      <w:r w:rsidRPr="00D41D30">
        <w:rPr>
          <w:rFonts w:hint="eastAsia"/>
          <w:color w:val="000000" w:themeColor="text1"/>
        </w:rPr>
        <w:t>不含進階及專業訓練</w:t>
      </w:r>
      <w:r w:rsidR="006B5136" w:rsidRPr="00D41D30">
        <w:rPr>
          <w:rFonts w:hint="eastAsia"/>
          <w:color w:val="000000" w:themeColor="text1"/>
        </w:rPr>
        <w:t>）</w:t>
      </w:r>
    </w:p>
    <w:p w:rsidR="00144AF5" w:rsidRPr="00D41D30" w:rsidRDefault="00144AF5" w:rsidP="00144AF5">
      <w:pPr>
        <w:pStyle w:val="6"/>
        <w:rPr>
          <w:rFonts w:ascii="Times New Roman" w:hAnsi="Times New Roman"/>
          <w:color w:val="000000" w:themeColor="text1"/>
          <w:szCs w:val="32"/>
        </w:rPr>
      </w:pPr>
      <w:r w:rsidRPr="00D41D30">
        <w:rPr>
          <w:rFonts w:ascii="Times New Roman" w:hAnsi="Times New Roman" w:hint="eastAsia"/>
          <w:color w:val="000000" w:themeColor="text1"/>
          <w:szCs w:val="32"/>
        </w:rPr>
        <w:t>樂齡學習</w:t>
      </w:r>
      <w:r w:rsidRPr="00D41D30">
        <w:rPr>
          <w:rFonts w:hint="eastAsia"/>
          <w:color w:val="000000" w:themeColor="text1"/>
          <w:szCs w:val="32"/>
        </w:rPr>
        <w:t>課程</w:t>
      </w:r>
      <w:r w:rsidRPr="00D41D30">
        <w:rPr>
          <w:rFonts w:ascii="Times New Roman" w:hAnsi="Times New Roman" w:hint="eastAsia"/>
          <w:color w:val="000000" w:themeColor="text1"/>
          <w:szCs w:val="32"/>
        </w:rPr>
        <w:t>多元，講師需求多</w:t>
      </w:r>
    </w:p>
    <w:p w:rsidR="00144AF5" w:rsidRPr="00D41D30" w:rsidRDefault="00144AF5" w:rsidP="00144AF5">
      <w:pPr>
        <w:pStyle w:val="7"/>
        <w:rPr>
          <w:rFonts w:hAnsi="標楷體"/>
          <w:color w:val="000000" w:themeColor="text1"/>
          <w:szCs w:val="32"/>
        </w:rPr>
      </w:pPr>
      <w:r w:rsidRPr="00D41D30">
        <w:rPr>
          <w:rFonts w:hint="eastAsia"/>
          <w:color w:val="000000" w:themeColor="text1"/>
        </w:rPr>
        <w:t>全國樂齡中心核心課程多元，多達39項主題，教育部鼓勵中心講師</w:t>
      </w:r>
      <w:r w:rsidRPr="00D41D30">
        <w:rPr>
          <w:rFonts w:hAnsi="標楷體" w:hint="eastAsia"/>
          <w:color w:val="000000" w:themeColor="text1"/>
        </w:rPr>
        <w:t>參與培訓，非</w:t>
      </w:r>
      <w:r w:rsidRPr="00D41D30">
        <w:rPr>
          <w:rFonts w:hAnsi="標楷體" w:hint="eastAsia"/>
          <w:color w:val="000000" w:themeColor="text1"/>
          <w:szCs w:val="32"/>
        </w:rPr>
        <w:t>以1所中心配置1位核心課程規劃師為目的，係為讓課程及講師更臻多元，且該部於樂齡中心計畫亦設有每中心每位講師授課之比率，無法由1位講師主講39個專業主題。</w:t>
      </w:r>
    </w:p>
    <w:p w:rsidR="00144AF5" w:rsidRPr="00D41D30" w:rsidRDefault="00144AF5" w:rsidP="00144AF5">
      <w:pPr>
        <w:pStyle w:val="7"/>
        <w:rPr>
          <w:rFonts w:hAnsi="標楷體"/>
          <w:color w:val="000000" w:themeColor="text1"/>
          <w:szCs w:val="32"/>
        </w:rPr>
      </w:pPr>
      <w:r w:rsidRPr="00D41D30">
        <w:rPr>
          <w:rFonts w:hAnsi="標楷體" w:hint="eastAsia"/>
          <w:color w:val="000000" w:themeColor="text1"/>
          <w:szCs w:val="32"/>
        </w:rPr>
        <w:t>107年全國樂齡中心辦理場次為10萬</w:t>
      </w:r>
      <w:r w:rsidRPr="00D41D30">
        <w:rPr>
          <w:rFonts w:hAnsi="標楷體" w:hint="eastAsia"/>
          <w:color w:val="000000" w:themeColor="text1"/>
          <w:szCs w:val="32"/>
        </w:rPr>
        <w:lastRenderedPageBreak/>
        <w:t>4</w:t>
      </w:r>
      <w:r w:rsidRPr="00D41D30">
        <w:rPr>
          <w:rFonts w:hAnsi="標楷體"/>
          <w:color w:val="000000" w:themeColor="text1"/>
          <w:szCs w:val="32"/>
        </w:rPr>
        <w:t>,</w:t>
      </w:r>
      <w:r w:rsidRPr="00D41D30">
        <w:rPr>
          <w:rFonts w:hAnsi="標楷體" w:hint="eastAsia"/>
          <w:color w:val="000000" w:themeColor="text1"/>
          <w:szCs w:val="32"/>
        </w:rPr>
        <w:t>409場，總時數達21萬1</w:t>
      </w:r>
      <w:r w:rsidRPr="00D41D30">
        <w:rPr>
          <w:rFonts w:hAnsi="標楷體"/>
          <w:color w:val="000000" w:themeColor="text1"/>
          <w:szCs w:val="32"/>
        </w:rPr>
        <w:t>¸</w:t>
      </w:r>
      <w:r w:rsidRPr="00D41D30">
        <w:rPr>
          <w:rFonts w:hAnsi="標楷體" w:hint="eastAsia"/>
          <w:color w:val="000000" w:themeColor="text1"/>
          <w:szCs w:val="32"/>
        </w:rPr>
        <w:t>316小時，平均每中心執行283場次，574小時課程，各類型講師需求量大。</w:t>
      </w:r>
    </w:p>
    <w:p w:rsidR="00144AF5" w:rsidRPr="00D41D30" w:rsidRDefault="00144AF5" w:rsidP="00144AF5">
      <w:pPr>
        <w:pStyle w:val="7"/>
        <w:rPr>
          <w:color w:val="000000" w:themeColor="text1"/>
          <w:szCs w:val="32"/>
        </w:rPr>
      </w:pPr>
      <w:r w:rsidRPr="00D41D30">
        <w:rPr>
          <w:rFonts w:hAnsi="標楷體" w:hint="eastAsia"/>
          <w:color w:val="000000" w:themeColor="text1"/>
          <w:szCs w:val="32"/>
        </w:rPr>
        <w:t>講師接受培訓後返回樂齡中心，運用所學教學策略，實施樂齡核心課程</w:t>
      </w:r>
      <w:r w:rsidRPr="00D41D30">
        <w:rPr>
          <w:rFonts w:ascii="Times New Roman" w:hAnsi="Times New Roman" w:hint="eastAsia"/>
          <w:color w:val="000000" w:themeColor="text1"/>
          <w:szCs w:val="32"/>
        </w:rPr>
        <w:t>。另依據該部</w:t>
      </w:r>
      <w:r w:rsidRPr="00D41D30">
        <w:rPr>
          <w:rFonts w:ascii="Times New Roman" w:hAnsi="Times New Roman" w:hint="eastAsia"/>
          <w:color w:val="000000" w:themeColor="text1"/>
          <w:szCs w:val="32"/>
        </w:rPr>
        <w:t>105</w:t>
      </w:r>
      <w:r w:rsidRPr="00D41D30">
        <w:rPr>
          <w:rFonts w:ascii="Times New Roman" w:hAnsi="Times New Roman" w:hint="eastAsia"/>
          <w:color w:val="000000" w:themeColor="text1"/>
          <w:szCs w:val="32"/>
        </w:rPr>
        <w:t>年調查，全國樂齡中心參與學員教育程度國小占</w:t>
      </w:r>
      <w:r w:rsidRPr="00D41D30">
        <w:rPr>
          <w:rFonts w:ascii="Times New Roman" w:hAnsi="Times New Roman" w:hint="eastAsia"/>
          <w:color w:val="000000" w:themeColor="text1"/>
          <w:szCs w:val="32"/>
        </w:rPr>
        <w:t>29.7%</w:t>
      </w:r>
      <w:r w:rsidRPr="00D41D30">
        <w:rPr>
          <w:rFonts w:ascii="Times New Roman" w:hAnsi="Times New Roman" w:hint="eastAsia"/>
          <w:color w:val="000000" w:themeColor="text1"/>
          <w:szCs w:val="32"/>
        </w:rPr>
        <w:t>，至</w:t>
      </w:r>
      <w:r w:rsidRPr="00D41D30">
        <w:rPr>
          <w:rFonts w:ascii="Times New Roman" w:hAnsi="Times New Roman" w:hint="eastAsia"/>
          <w:color w:val="000000" w:themeColor="text1"/>
          <w:szCs w:val="32"/>
        </w:rPr>
        <w:t>108</w:t>
      </w:r>
      <w:r w:rsidRPr="00D41D30">
        <w:rPr>
          <w:rFonts w:ascii="Times New Roman" w:hAnsi="Times New Roman" w:hint="eastAsia"/>
          <w:color w:val="000000" w:themeColor="text1"/>
          <w:szCs w:val="32"/>
        </w:rPr>
        <w:t>年調查，國小學歷已成長至</w:t>
      </w:r>
      <w:r w:rsidRPr="00D41D30">
        <w:rPr>
          <w:rFonts w:ascii="Times New Roman" w:hAnsi="Times New Roman" w:hint="eastAsia"/>
          <w:color w:val="000000" w:themeColor="text1"/>
          <w:szCs w:val="32"/>
        </w:rPr>
        <w:t>36.1%</w:t>
      </w:r>
      <w:r w:rsidRPr="00D41D30">
        <w:rPr>
          <w:rFonts w:ascii="Times New Roman" w:hAnsi="Times New Roman" w:hint="eastAsia"/>
          <w:color w:val="000000" w:themeColor="text1"/>
          <w:szCs w:val="32"/>
        </w:rPr>
        <w:t>，顯見樂齡學習規劃師之課程，係以</w:t>
      </w:r>
      <w:r w:rsidRPr="00D41D30">
        <w:rPr>
          <w:rFonts w:hAnsi="標楷體" w:hint="eastAsia"/>
          <w:color w:val="000000" w:themeColor="text1"/>
          <w:szCs w:val="32"/>
        </w:rPr>
        <w:t>長者學習為出發點，以簡單、易懂之教學方法，製作隨手可得之教具</w:t>
      </w:r>
      <w:r w:rsidR="00B562C7" w:rsidRPr="00D41D30">
        <w:rPr>
          <w:rFonts w:hAnsi="標楷體" w:hint="eastAsia"/>
          <w:color w:val="000000" w:themeColor="text1"/>
          <w:szCs w:val="32"/>
        </w:rPr>
        <w:t>（</w:t>
      </w:r>
      <w:r w:rsidRPr="00D41D30">
        <w:rPr>
          <w:rFonts w:hAnsi="標楷體" w:hint="eastAsia"/>
          <w:color w:val="000000" w:themeColor="text1"/>
          <w:szCs w:val="32"/>
        </w:rPr>
        <w:t>如教長者將報紙捲成紙球，練習手眼協調及腿部肌肉運動</w:t>
      </w:r>
      <w:r w:rsidR="006B5136" w:rsidRPr="00D41D30">
        <w:rPr>
          <w:rFonts w:hAnsi="標楷體" w:hint="eastAsia"/>
          <w:color w:val="000000" w:themeColor="text1"/>
          <w:szCs w:val="32"/>
        </w:rPr>
        <w:t>）</w:t>
      </w:r>
      <w:r w:rsidRPr="00D41D30">
        <w:rPr>
          <w:rFonts w:hAnsi="標楷體" w:hint="eastAsia"/>
          <w:color w:val="000000" w:themeColor="text1"/>
          <w:szCs w:val="32"/>
        </w:rPr>
        <w:t>，</w:t>
      </w:r>
      <w:r w:rsidRPr="00D41D30">
        <w:rPr>
          <w:rFonts w:ascii="Times New Roman" w:hAnsi="Times New Roman" w:hint="eastAsia"/>
          <w:color w:val="000000" w:themeColor="text1"/>
          <w:szCs w:val="32"/>
        </w:rPr>
        <w:t>讓長者將所學用</w:t>
      </w:r>
      <w:r w:rsidRPr="00D41D30">
        <w:rPr>
          <w:rFonts w:hAnsi="標楷體" w:hint="eastAsia"/>
          <w:color w:val="000000" w:themeColor="text1"/>
          <w:szCs w:val="32"/>
        </w:rPr>
        <w:t>於日常生活，有助於長者加深對於課程的印象及實踐課程內容。</w:t>
      </w:r>
    </w:p>
    <w:p w:rsidR="009D2FDD" w:rsidRPr="00D41D30" w:rsidRDefault="009D2FDD" w:rsidP="009D2FDD">
      <w:pPr>
        <w:pStyle w:val="4"/>
        <w:rPr>
          <w:rFonts w:hAnsi="標楷體"/>
          <w:bCs/>
          <w:color w:val="000000" w:themeColor="text1"/>
          <w:szCs w:val="32"/>
        </w:rPr>
      </w:pPr>
      <w:r w:rsidRPr="00D41D30">
        <w:rPr>
          <w:rFonts w:hAnsi="標楷體" w:hint="eastAsia"/>
          <w:bCs/>
          <w:color w:val="000000" w:themeColor="text1"/>
          <w:szCs w:val="32"/>
        </w:rPr>
        <w:t>104</w:t>
      </w:r>
      <w:r w:rsidRPr="00D41D30">
        <w:rPr>
          <w:rFonts w:hAnsi="標楷體"/>
          <w:bCs/>
          <w:color w:val="000000" w:themeColor="text1"/>
          <w:szCs w:val="32"/>
        </w:rPr>
        <w:t>-</w:t>
      </w:r>
      <w:r w:rsidRPr="00D41D30">
        <w:rPr>
          <w:color w:val="000000" w:themeColor="text1"/>
          <w:szCs w:val="32"/>
        </w:rPr>
        <w:t>107</w:t>
      </w:r>
      <w:r w:rsidRPr="00D41D30">
        <w:rPr>
          <w:rFonts w:hAnsi="標楷體" w:hint="eastAsia"/>
          <w:bCs/>
          <w:color w:val="000000" w:themeColor="text1"/>
          <w:szCs w:val="32"/>
        </w:rPr>
        <w:t>年高齡自主學習團體帶領人</w:t>
      </w:r>
    </w:p>
    <w:p w:rsidR="009D2FDD" w:rsidRPr="00D41D30" w:rsidRDefault="009D2FDD" w:rsidP="00806A57">
      <w:pPr>
        <w:pStyle w:val="21"/>
        <w:ind w:leftChars="500" w:left="1701" w:firstLineChars="208" w:firstLine="708"/>
        <w:rPr>
          <w:rFonts w:hAnsi="標楷體"/>
          <w:bCs/>
          <w:color w:val="000000" w:themeColor="text1"/>
          <w:szCs w:val="32"/>
        </w:rPr>
      </w:pPr>
      <w:r w:rsidRPr="00D41D30">
        <w:rPr>
          <w:rFonts w:hAnsi="標楷體" w:hint="eastAsia"/>
          <w:color w:val="000000" w:themeColor="text1"/>
          <w:szCs w:val="32"/>
        </w:rPr>
        <w:t>教育部為激發高齡者終身學習，培植高齡自主學習團體帶領人，補助及輔導帶領人成立高齡自主學習團體，以使高齡者身心健康快樂。104年首次以新型態高齡者學習自主自助取向方式辦理「推動高齡自主學習團體終身學習活動試辦計畫」，至107年，總計培訓491位高齡自主學習團體帶領人。</w:t>
      </w:r>
    </w:p>
    <w:p w:rsidR="00D7741A" w:rsidRPr="00D41D30" w:rsidRDefault="00D7741A" w:rsidP="0020473F">
      <w:pPr>
        <w:pStyle w:val="3"/>
        <w:rPr>
          <w:color w:val="000000" w:themeColor="text1"/>
        </w:rPr>
      </w:pPr>
      <w:bookmarkStart w:id="683" w:name="_Toc16588734"/>
      <w:bookmarkStart w:id="684" w:name="_Toc16693366"/>
      <w:bookmarkStart w:id="685" w:name="_Toc30512495"/>
      <w:bookmarkStart w:id="686" w:name="_Toc30581203"/>
      <w:bookmarkStart w:id="687" w:name="_Toc32392476"/>
      <w:bookmarkStart w:id="688" w:name="_Toc32673667"/>
      <w:bookmarkStart w:id="689" w:name="_Toc32845809"/>
      <w:bookmarkStart w:id="690" w:name="_Toc32846532"/>
      <w:bookmarkStart w:id="691" w:name="_Toc32913775"/>
      <w:bookmarkStart w:id="692" w:name="_Toc32918451"/>
      <w:bookmarkStart w:id="693" w:name="_Toc33011744"/>
      <w:r w:rsidRPr="00D41D30">
        <w:rPr>
          <w:rFonts w:hint="eastAsia"/>
          <w:color w:val="000000" w:themeColor="text1"/>
        </w:rPr>
        <w:t>遴選與考核</w:t>
      </w:r>
      <w:bookmarkEnd w:id="683"/>
      <w:bookmarkEnd w:id="684"/>
      <w:bookmarkEnd w:id="685"/>
      <w:bookmarkEnd w:id="686"/>
      <w:bookmarkEnd w:id="687"/>
      <w:bookmarkEnd w:id="688"/>
      <w:bookmarkEnd w:id="689"/>
      <w:bookmarkEnd w:id="690"/>
      <w:bookmarkEnd w:id="691"/>
      <w:bookmarkEnd w:id="692"/>
      <w:bookmarkEnd w:id="693"/>
    </w:p>
    <w:p w:rsidR="00D7741A" w:rsidRPr="00D41D30" w:rsidRDefault="00D7741A" w:rsidP="00D1411B">
      <w:pPr>
        <w:pStyle w:val="4"/>
        <w:rPr>
          <w:color w:val="000000" w:themeColor="text1"/>
        </w:rPr>
      </w:pPr>
      <w:r w:rsidRPr="00D41D30">
        <w:rPr>
          <w:rFonts w:hint="eastAsia"/>
          <w:color w:val="000000" w:themeColor="text1"/>
        </w:rPr>
        <w:t>依據</w:t>
      </w:r>
      <w:r w:rsidRPr="00D41D30">
        <w:rPr>
          <w:rFonts w:hAnsi="標楷體" w:hint="eastAsia"/>
          <w:color w:val="000000" w:themeColor="text1"/>
        </w:rPr>
        <w:t>：</w:t>
      </w:r>
      <w:r w:rsidRPr="00D41D30">
        <w:rPr>
          <w:rFonts w:hint="eastAsia"/>
          <w:color w:val="000000" w:themeColor="text1"/>
        </w:rPr>
        <w:t>自101年起至105年辦理樂齡教育專業人員培訓或在職進修，初階培訓依教育部「教育部樂齡教育專業人員培訓要點」由直轄市、縣（市）政府辦理初階培訓，進階培訓則由該部委託之全國各區熟稔國內外高齡教育政策或設有成人教育相關系所或教育專業領域之大學校</w:t>
      </w:r>
      <w:r w:rsidRPr="00D41D30">
        <w:rPr>
          <w:rFonts w:hint="eastAsia"/>
          <w:color w:val="000000" w:themeColor="text1"/>
        </w:rPr>
        <w:lastRenderedPageBreak/>
        <w:t>院及該部所屬館所辦理。考核方式依成果報告就行政協議書應完成辦理事項進行檢核。</w:t>
      </w:r>
    </w:p>
    <w:p w:rsidR="00D7741A" w:rsidRPr="00D41D30" w:rsidRDefault="00D7741A" w:rsidP="00D1411B">
      <w:pPr>
        <w:pStyle w:val="4"/>
        <w:rPr>
          <w:color w:val="000000" w:themeColor="text1"/>
        </w:rPr>
      </w:pPr>
      <w:r w:rsidRPr="00D41D30">
        <w:rPr>
          <w:rFonts w:hint="eastAsia"/>
          <w:color w:val="000000" w:themeColor="text1"/>
        </w:rPr>
        <w:t>103年至107年之培訓，係納入各區輔導團之子計畫辦理，由國立臺灣師範大學、國立暨南國際大學、國立中正大學、國立高雄師範大學執行。完成子計畫之考核方式，教育部依行政協議書之委辦事項事項逐一進行檢視，並定期召開期初、期中及期末會議檢核。</w:t>
      </w:r>
    </w:p>
    <w:p w:rsidR="00587212" w:rsidRPr="00D41D30" w:rsidRDefault="00AC17FD" w:rsidP="00587212">
      <w:pPr>
        <w:pStyle w:val="3"/>
        <w:rPr>
          <w:color w:val="000000" w:themeColor="text1"/>
        </w:rPr>
      </w:pPr>
      <w:bookmarkStart w:id="694" w:name="_Toc30512496"/>
      <w:bookmarkStart w:id="695" w:name="_Toc30581204"/>
      <w:bookmarkStart w:id="696" w:name="_Toc32392477"/>
      <w:bookmarkStart w:id="697" w:name="_Toc32673668"/>
      <w:bookmarkStart w:id="698" w:name="_Toc32845810"/>
      <w:bookmarkStart w:id="699" w:name="_Toc32846533"/>
      <w:bookmarkStart w:id="700" w:name="_Toc32913776"/>
      <w:bookmarkStart w:id="701" w:name="_Toc32918452"/>
      <w:bookmarkStart w:id="702" w:name="_Toc33011745"/>
      <w:r w:rsidRPr="00D41D30">
        <w:rPr>
          <w:rFonts w:hint="eastAsia"/>
          <w:color w:val="000000" w:themeColor="text1"/>
        </w:rPr>
        <w:t>歷年培訓師資</w:t>
      </w:r>
      <w:r w:rsidR="009D2FDD" w:rsidRPr="00D41D30">
        <w:rPr>
          <w:rFonts w:hint="eastAsia"/>
          <w:color w:val="000000" w:themeColor="text1"/>
        </w:rPr>
        <w:t>人數</w:t>
      </w:r>
      <w:r w:rsidRPr="00D41D30">
        <w:rPr>
          <w:rFonts w:hint="eastAsia"/>
          <w:color w:val="000000" w:themeColor="text1"/>
        </w:rPr>
        <w:t>，詳表22。</w:t>
      </w:r>
      <w:bookmarkEnd w:id="694"/>
      <w:bookmarkEnd w:id="695"/>
      <w:bookmarkEnd w:id="696"/>
      <w:bookmarkEnd w:id="697"/>
      <w:bookmarkEnd w:id="698"/>
      <w:bookmarkEnd w:id="699"/>
      <w:bookmarkEnd w:id="700"/>
      <w:bookmarkEnd w:id="701"/>
      <w:bookmarkEnd w:id="702"/>
    </w:p>
    <w:p w:rsidR="009D2FDD" w:rsidRPr="00D41D30" w:rsidRDefault="0075634C" w:rsidP="00471512">
      <w:pPr>
        <w:pStyle w:val="a4"/>
        <w:ind w:left="697" w:hanging="697"/>
        <w:rPr>
          <w:b/>
          <w:color w:val="000000" w:themeColor="text1"/>
        </w:rPr>
      </w:pPr>
      <w:r w:rsidRPr="00D41D30">
        <w:rPr>
          <w:rFonts w:hint="eastAsia"/>
          <w:b/>
          <w:color w:val="000000" w:themeColor="text1"/>
        </w:rPr>
        <w:t>101-</w:t>
      </w:r>
      <w:r w:rsidR="00B37FCA" w:rsidRPr="00D41D30">
        <w:rPr>
          <w:rFonts w:hint="eastAsia"/>
          <w:b/>
          <w:color w:val="000000" w:themeColor="text1"/>
        </w:rPr>
        <w:t>108</w:t>
      </w:r>
      <w:r w:rsidRPr="00D41D30">
        <w:rPr>
          <w:rFonts w:hint="eastAsia"/>
          <w:b/>
          <w:color w:val="000000" w:themeColor="text1"/>
        </w:rPr>
        <w:t>年培訓師資類別與人數統計</w:t>
      </w:r>
    </w:p>
    <w:p w:rsidR="00AC17FD" w:rsidRPr="00D41D30" w:rsidRDefault="00AC17FD" w:rsidP="00FF2073">
      <w:pPr>
        <w:jc w:val="right"/>
        <w:rPr>
          <w:color w:val="000000" w:themeColor="text1"/>
          <w:sz w:val="24"/>
          <w:szCs w:val="24"/>
        </w:rPr>
      </w:pPr>
      <w:bookmarkStart w:id="703" w:name="_Toc30512497"/>
      <w:bookmarkStart w:id="704" w:name="_Toc30581205"/>
      <w:bookmarkStart w:id="705" w:name="_Toc32392478"/>
      <w:bookmarkStart w:id="706" w:name="_Toc32673669"/>
      <w:r w:rsidRPr="00D41D30">
        <w:rPr>
          <w:rFonts w:hint="eastAsia"/>
          <w:color w:val="000000" w:themeColor="text1"/>
          <w:sz w:val="24"/>
          <w:szCs w:val="24"/>
        </w:rPr>
        <w:t>單位:人數</w:t>
      </w:r>
      <w:bookmarkEnd w:id="703"/>
      <w:bookmarkEnd w:id="704"/>
      <w:bookmarkEnd w:id="705"/>
      <w:bookmarkEnd w:id="706"/>
    </w:p>
    <w:tbl>
      <w:tblPr>
        <w:tblW w:w="88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689"/>
        <w:gridCol w:w="690"/>
        <w:gridCol w:w="693"/>
        <w:gridCol w:w="919"/>
        <w:gridCol w:w="804"/>
        <w:gridCol w:w="737"/>
        <w:gridCol w:w="758"/>
        <w:gridCol w:w="686"/>
      </w:tblGrid>
      <w:tr w:rsidR="00002070" w:rsidRPr="00D41D30" w:rsidTr="00002070">
        <w:trPr>
          <w:trHeight w:val="349"/>
          <w:tblHeader/>
        </w:trPr>
        <w:tc>
          <w:tcPr>
            <w:tcW w:w="2863"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年度</w:t>
            </w:r>
          </w:p>
        </w:tc>
        <w:tc>
          <w:tcPr>
            <w:tcW w:w="689"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101</w:t>
            </w:r>
          </w:p>
        </w:tc>
        <w:tc>
          <w:tcPr>
            <w:tcW w:w="690"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102</w:t>
            </w:r>
          </w:p>
        </w:tc>
        <w:tc>
          <w:tcPr>
            <w:tcW w:w="693"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103</w:t>
            </w:r>
          </w:p>
        </w:tc>
        <w:tc>
          <w:tcPr>
            <w:tcW w:w="919"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104</w:t>
            </w:r>
          </w:p>
        </w:tc>
        <w:tc>
          <w:tcPr>
            <w:tcW w:w="804"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105</w:t>
            </w:r>
          </w:p>
        </w:tc>
        <w:tc>
          <w:tcPr>
            <w:tcW w:w="737"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106</w:t>
            </w:r>
          </w:p>
        </w:tc>
        <w:tc>
          <w:tcPr>
            <w:tcW w:w="758"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107</w:t>
            </w:r>
          </w:p>
        </w:tc>
        <w:tc>
          <w:tcPr>
            <w:tcW w:w="686" w:type="dxa"/>
          </w:tcPr>
          <w:p w:rsidR="00002070" w:rsidRPr="00D41D30" w:rsidRDefault="00002070" w:rsidP="0064224E">
            <w:pPr>
              <w:spacing w:line="380" w:lineRule="exact"/>
              <w:ind w:left="521" w:hanging="521"/>
              <w:jc w:val="center"/>
              <w:rPr>
                <w:rFonts w:hAnsi="標楷體"/>
                <w:b/>
                <w:color w:val="000000" w:themeColor="text1"/>
                <w:sz w:val="24"/>
                <w:szCs w:val="24"/>
              </w:rPr>
            </w:pPr>
            <w:r w:rsidRPr="00D41D30">
              <w:rPr>
                <w:rFonts w:hAnsi="標楷體" w:hint="eastAsia"/>
                <w:b/>
                <w:color w:val="000000" w:themeColor="text1"/>
                <w:sz w:val="24"/>
                <w:szCs w:val="24"/>
              </w:rPr>
              <w:t>108</w:t>
            </w:r>
          </w:p>
        </w:tc>
      </w:tr>
      <w:tr w:rsidR="00002070" w:rsidRPr="00D41D30" w:rsidTr="00002070">
        <w:trPr>
          <w:trHeight w:val="370"/>
        </w:trPr>
        <w:tc>
          <w:tcPr>
            <w:tcW w:w="2863"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樂齡教育專業人員</w:t>
            </w:r>
          </w:p>
        </w:tc>
        <w:tc>
          <w:tcPr>
            <w:tcW w:w="1379" w:type="dxa"/>
            <w:gridSpan w:val="2"/>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478</w:t>
            </w:r>
          </w:p>
        </w:tc>
        <w:tc>
          <w:tcPr>
            <w:tcW w:w="1612" w:type="dxa"/>
            <w:gridSpan w:val="2"/>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210</w:t>
            </w:r>
          </w:p>
        </w:tc>
        <w:tc>
          <w:tcPr>
            <w:tcW w:w="804"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737"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758"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86" w:type="dxa"/>
          </w:tcPr>
          <w:p w:rsidR="00002070" w:rsidRPr="00D41D30" w:rsidRDefault="00002070" w:rsidP="0064224E">
            <w:pPr>
              <w:spacing w:line="380" w:lineRule="exact"/>
              <w:ind w:left="520" w:hanging="520"/>
              <w:jc w:val="center"/>
              <w:rPr>
                <w:rFonts w:hAnsi="標楷體"/>
                <w:color w:val="000000" w:themeColor="text1"/>
                <w:sz w:val="24"/>
                <w:szCs w:val="24"/>
              </w:rPr>
            </w:pPr>
          </w:p>
        </w:tc>
      </w:tr>
      <w:tr w:rsidR="00002070" w:rsidRPr="00D41D30" w:rsidTr="00002070">
        <w:trPr>
          <w:trHeight w:val="687"/>
        </w:trPr>
        <w:tc>
          <w:tcPr>
            <w:tcW w:w="2863"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樂齡體適能種籽教師基礎培訓</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在職</w:t>
            </w:r>
            <w:r w:rsidR="006B5136" w:rsidRPr="00D41D30">
              <w:rPr>
                <w:rFonts w:hAnsi="標楷體" w:hint="eastAsia"/>
                <w:color w:val="000000" w:themeColor="text1"/>
                <w:sz w:val="24"/>
                <w:szCs w:val="24"/>
              </w:rPr>
              <w:t>）</w:t>
            </w:r>
          </w:p>
        </w:tc>
        <w:tc>
          <w:tcPr>
            <w:tcW w:w="689"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90"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93"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240</w:t>
            </w:r>
          </w:p>
        </w:tc>
        <w:tc>
          <w:tcPr>
            <w:tcW w:w="919"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804"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737"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758"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86" w:type="dxa"/>
          </w:tcPr>
          <w:p w:rsidR="00002070" w:rsidRPr="00D41D30" w:rsidRDefault="00002070" w:rsidP="0064224E">
            <w:pPr>
              <w:spacing w:line="380" w:lineRule="exact"/>
              <w:ind w:left="520" w:hanging="520"/>
              <w:jc w:val="center"/>
              <w:rPr>
                <w:rFonts w:hAnsi="標楷體"/>
                <w:color w:val="000000" w:themeColor="text1"/>
                <w:sz w:val="24"/>
                <w:szCs w:val="24"/>
              </w:rPr>
            </w:pPr>
          </w:p>
        </w:tc>
      </w:tr>
      <w:tr w:rsidR="00002070" w:rsidRPr="00D41D30" w:rsidTr="00002070">
        <w:trPr>
          <w:trHeight w:val="342"/>
        </w:trPr>
        <w:tc>
          <w:tcPr>
            <w:tcW w:w="2863"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樂齡學習規劃師</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初階</w:t>
            </w:r>
            <w:r w:rsidR="006B5136" w:rsidRPr="00D41D30">
              <w:rPr>
                <w:rFonts w:hAnsi="標楷體" w:hint="eastAsia"/>
                <w:color w:val="000000" w:themeColor="text1"/>
                <w:sz w:val="24"/>
                <w:szCs w:val="24"/>
              </w:rPr>
              <w:t>）</w:t>
            </w:r>
          </w:p>
        </w:tc>
        <w:tc>
          <w:tcPr>
            <w:tcW w:w="689"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p>
        </w:tc>
        <w:tc>
          <w:tcPr>
            <w:tcW w:w="690"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p>
        </w:tc>
        <w:tc>
          <w:tcPr>
            <w:tcW w:w="693"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74</w:t>
            </w:r>
          </w:p>
        </w:tc>
        <w:tc>
          <w:tcPr>
            <w:tcW w:w="919"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804"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79</w:t>
            </w:r>
          </w:p>
        </w:tc>
        <w:tc>
          <w:tcPr>
            <w:tcW w:w="737"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272</w:t>
            </w:r>
          </w:p>
        </w:tc>
        <w:tc>
          <w:tcPr>
            <w:tcW w:w="758"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137</w:t>
            </w:r>
          </w:p>
        </w:tc>
        <w:tc>
          <w:tcPr>
            <w:tcW w:w="686" w:type="dxa"/>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142</w:t>
            </w:r>
          </w:p>
        </w:tc>
      </w:tr>
      <w:tr w:rsidR="00002070" w:rsidRPr="00D41D30" w:rsidTr="00002070">
        <w:trPr>
          <w:trHeight w:val="377"/>
        </w:trPr>
        <w:tc>
          <w:tcPr>
            <w:tcW w:w="2863" w:type="dxa"/>
            <w:vAlign w:val="center"/>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樂齡學習規劃師</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進階</w:t>
            </w:r>
            <w:r w:rsidR="006B5136" w:rsidRPr="00D41D30">
              <w:rPr>
                <w:rFonts w:hAnsi="標楷體" w:hint="eastAsia"/>
                <w:color w:val="000000" w:themeColor="text1"/>
                <w:sz w:val="24"/>
                <w:szCs w:val="24"/>
              </w:rPr>
              <w:t>）</w:t>
            </w:r>
          </w:p>
        </w:tc>
        <w:tc>
          <w:tcPr>
            <w:tcW w:w="689" w:type="dxa"/>
          </w:tcPr>
          <w:p w:rsidR="00002070" w:rsidRPr="00D41D30" w:rsidRDefault="00002070" w:rsidP="00002070">
            <w:pPr>
              <w:spacing w:line="380" w:lineRule="exact"/>
              <w:ind w:left="520" w:hanging="520"/>
              <w:jc w:val="center"/>
              <w:rPr>
                <w:rFonts w:hAnsi="標楷體"/>
                <w:color w:val="000000" w:themeColor="text1"/>
                <w:sz w:val="24"/>
                <w:szCs w:val="24"/>
              </w:rPr>
            </w:pPr>
          </w:p>
        </w:tc>
        <w:tc>
          <w:tcPr>
            <w:tcW w:w="690" w:type="dxa"/>
          </w:tcPr>
          <w:p w:rsidR="00002070" w:rsidRPr="00D41D30" w:rsidRDefault="00002070" w:rsidP="00002070">
            <w:pPr>
              <w:spacing w:line="380" w:lineRule="exact"/>
              <w:ind w:left="520" w:hanging="520"/>
              <w:jc w:val="center"/>
              <w:rPr>
                <w:rFonts w:hAnsi="標楷體"/>
                <w:color w:val="000000" w:themeColor="text1"/>
                <w:sz w:val="24"/>
                <w:szCs w:val="24"/>
              </w:rPr>
            </w:pPr>
          </w:p>
        </w:tc>
        <w:tc>
          <w:tcPr>
            <w:tcW w:w="693" w:type="dxa"/>
          </w:tcPr>
          <w:p w:rsidR="00002070" w:rsidRPr="00D41D30" w:rsidRDefault="00002070" w:rsidP="00002070">
            <w:pPr>
              <w:spacing w:line="380" w:lineRule="exact"/>
              <w:ind w:left="520" w:hanging="520"/>
              <w:jc w:val="center"/>
              <w:rPr>
                <w:rFonts w:hAnsi="標楷體"/>
                <w:color w:val="000000" w:themeColor="text1"/>
                <w:sz w:val="24"/>
                <w:szCs w:val="24"/>
              </w:rPr>
            </w:pPr>
          </w:p>
        </w:tc>
        <w:tc>
          <w:tcPr>
            <w:tcW w:w="919" w:type="dxa"/>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36</w:t>
            </w:r>
          </w:p>
        </w:tc>
        <w:tc>
          <w:tcPr>
            <w:tcW w:w="804" w:type="dxa"/>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54</w:t>
            </w:r>
          </w:p>
        </w:tc>
        <w:tc>
          <w:tcPr>
            <w:tcW w:w="737" w:type="dxa"/>
          </w:tcPr>
          <w:p w:rsidR="00002070" w:rsidRPr="00D41D30" w:rsidRDefault="00002070" w:rsidP="00002070">
            <w:pPr>
              <w:spacing w:line="380" w:lineRule="exact"/>
              <w:ind w:left="520" w:hanging="520"/>
              <w:jc w:val="center"/>
              <w:rPr>
                <w:rFonts w:hAnsi="標楷體"/>
                <w:color w:val="000000" w:themeColor="text1"/>
                <w:sz w:val="24"/>
                <w:szCs w:val="24"/>
              </w:rPr>
            </w:pPr>
          </w:p>
        </w:tc>
        <w:tc>
          <w:tcPr>
            <w:tcW w:w="758" w:type="dxa"/>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w:t>
            </w:r>
            <w:r w:rsidRPr="00D41D30">
              <w:rPr>
                <w:rFonts w:hAnsi="標楷體"/>
                <w:color w:val="000000" w:themeColor="text1"/>
                <w:sz w:val="24"/>
                <w:szCs w:val="24"/>
              </w:rPr>
              <w:t>4</w:t>
            </w:r>
          </w:p>
        </w:tc>
        <w:tc>
          <w:tcPr>
            <w:tcW w:w="686" w:type="dxa"/>
          </w:tcPr>
          <w:p w:rsidR="00002070" w:rsidRPr="00D41D30" w:rsidRDefault="00002070" w:rsidP="00002070">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56</w:t>
            </w:r>
          </w:p>
        </w:tc>
      </w:tr>
      <w:tr w:rsidR="00002070" w:rsidRPr="00D41D30" w:rsidTr="00002070">
        <w:trPr>
          <w:trHeight w:val="283"/>
        </w:trPr>
        <w:tc>
          <w:tcPr>
            <w:tcW w:w="2863"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樂齡學習規劃師</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在職</w:t>
            </w:r>
            <w:r w:rsidR="006B5136" w:rsidRPr="00D41D30">
              <w:rPr>
                <w:rFonts w:hAnsi="標楷體" w:hint="eastAsia"/>
                <w:color w:val="000000" w:themeColor="text1"/>
                <w:sz w:val="24"/>
                <w:szCs w:val="24"/>
              </w:rPr>
              <w:t>）</w:t>
            </w:r>
          </w:p>
        </w:tc>
        <w:tc>
          <w:tcPr>
            <w:tcW w:w="689"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90"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93"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919"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804"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737"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758" w:type="dxa"/>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6</w:t>
            </w:r>
            <w:r w:rsidRPr="00D41D30">
              <w:rPr>
                <w:rFonts w:hAnsi="標楷體"/>
                <w:color w:val="000000" w:themeColor="text1"/>
                <w:sz w:val="24"/>
                <w:szCs w:val="24"/>
              </w:rPr>
              <w:t>4</w:t>
            </w:r>
          </w:p>
        </w:tc>
        <w:tc>
          <w:tcPr>
            <w:tcW w:w="686" w:type="dxa"/>
          </w:tcPr>
          <w:p w:rsidR="00002070" w:rsidRPr="00D41D30" w:rsidRDefault="00002070" w:rsidP="0064224E">
            <w:pPr>
              <w:spacing w:line="380" w:lineRule="exact"/>
              <w:ind w:left="520" w:hanging="520"/>
              <w:jc w:val="center"/>
              <w:rPr>
                <w:rFonts w:hAnsi="標楷體"/>
                <w:color w:val="000000" w:themeColor="text1"/>
                <w:sz w:val="24"/>
                <w:szCs w:val="24"/>
              </w:rPr>
            </w:pPr>
          </w:p>
        </w:tc>
      </w:tr>
      <w:tr w:rsidR="00002070" w:rsidRPr="00D41D30" w:rsidTr="00002070">
        <w:trPr>
          <w:trHeight w:val="403"/>
        </w:trPr>
        <w:tc>
          <w:tcPr>
            <w:tcW w:w="2863"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高齡自主學習團體帶領人</w:t>
            </w:r>
          </w:p>
        </w:tc>
        <w:tc>
          <w:tcPr>
            <w:tcW w:w="689"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90"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693"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919" w:type="dxa"/>
          </w:tcPr>
          <w:p w:rsidR="00002070" w:rsidRPr="00D41D30" w:rsidRDefault="00002070" w:rsidP="0064224E">
            <w:pPr>
              <w:spacing w:line="380" w:lineRule="exact"/>
              <w:ind w:left="520" w:hanging="520"/>
              <w:jc w:val="center"/>
              <w:rPr>
                <w:rFonts w:hAnsi="標楷體"/>
                <w:color w:val="000000" w:themeColor="text1"/>
                <w:sz w:val="24"/>
                <w:szCs w:val="24"/>
              </w:rPr>
            </w:pPr>
          </w:p>
        </w:tc>
        <w:tc>
          <w:tcPr>
            <w:tcW w:w="804"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238</w:t>
            </w:r>
          </w:p>
        </w:tc>
        <w:tc>
          <w:tcPr>
            <w:tcW w:w="737"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117</w:t>
            </w:r>
          </w:p>
        </w:tc>
        <w:tc>
          <w:tcPr>
            <w:tcW w:w="758" w:type="dxa"/>
            <w:vAlign w:val="center"/>
          </w:tcPr>
          <w:p w:rsidR="00002070" w:rsidRPr="00D41D30" w:rsidRDefault="00002070" w:rsidP="0064224E">
            <w:pPr>
              <w:spacing w:line="38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136</w:t>
            </w:r>
          </w:p>
        </w:tc>
        <w:tc>
          <w:tcPr>
            <w:tcW w:w="686" w:type="dxa"/>
          </w:tcPr>
          <w:p w:rsidR="00002070" w:rsidRPr="00D41D30" w:rsidRDefault="00002070" w:rsidP="0064224E">
            <w:pPr>
              <w:spacing w:line="380" w:lineRule="exact"/>
              <w:ind w:left="520" w:hanging="520"/>
              <w:jc w:val="center"/>
              <w:rPr>
                <w:rFonts w:hAnsi="標楷體"/>
                <w:color w:val="000000" w:themeColor="text1"/>
                <w:sz w:val="24"/>
                <w:szCs w:val="24"/>
              </w:rPr>
            </w:pPr>
          </w:p>
        </w:tc>
      </w:tr>
    </w:tbl>
    <w:p w:rsidR="009D2FDD" w:rsidRPr="00D41D30" w:rsidRDefault="0075634C" w:rsidP="005E6401">
      <w:pPr>
        <w:pStyle w:val="af8"/>
        <w:rPr>
          <w:color w:val="000000" w:themeColor="text1"/>
          <w:sz w:val="24"/>
          <w:szCs w:val="24"/>
        </w:rPr>
      </w:pPr>
      <w:bookmarkStart w:id="707" w:name="_Toc30512498"/>
      <w:bookmarkStart w:id="708" w:name="_Toc30581206"/>
      <w:bookmarkStart w:id="709" w:name="_Toc32673670"/>
      <w:r w:rsidRPr="00D41D30">
        <w:rPr>
          <w:rFonts w:hint="eastAsia"/>
          <w:color w:val="000000" w:themeColor="text1"/>
          <w:sz w:val="24"/>
          <w:szCs w:val="24"/>
        </w:rPr>
        <w:t>資料來源:教育部。</w:t>
      </w:r>
      <w:bookmarkEnd w:id="707"/>
      <w:bookmarkEnd w:id="708"/>
      <w:bookmarkEnd w:id="709"/>
    </w:p>
    <w:p w:rsidR="003C7764" w:rsidRPr="00D41D30" w:rsidRDefault="003C7764" w:rsidP="00806A57">
      <w:pPr>
        <w:pStyle w:val="2"/>
        <w:spacing w:beforeLines="100" w:before="457"/>
        <w:ind w:left="1020" w:hanging="680"/>
        <w:rPr>
          <w:b/>
          <w:color w:val="000000" w:themeColor="text1"/>
        </w:rPr>
      </w:pPr>
      <w:bookmarkStart w:id="710" w:name="_Toc33011746"/>
      <w:r w:rsidRPr="00D41D30">
        <w:rPr>
          <w:rFonts w:hint="eastAsia"/>
          <w:b/>
          <w:color w:val="000000" w:themeColor="text1"/>
        </w:rPr>
        <w:t>樂齡教育專業輔導團推動情形</w:t>
      </w:r>
      <w:bookmarkEnd w:id="710"/>
    </w:p>
    <w:p w:rsidR="003C7764" w:rsidRPr="00D41D30" w:rsidRDefault="003C7764" w:rsidP="003C7764">
      <w:pPr>
        <w:pStyle w:val="3"/>
        <w:rPr>
          <w:color w:val="000000" w:themeColor="text1"/>
        </w:rPr>
      </w:pPr>
      <w:bookmarkStart w:id="711" w:name="_Toc16588736"/>
      <w:bookmarkStart w:id="712" w:name="_Toc16693368"/>
      <w:bookmarkStart w:id="713" w:name="_Toc30512500"/>
      <w:bookmarkStart w:id="714" w:name="_Toc30581208"/>
      <w:bookmarkStart w:id="715" w:name="_Toc32392481"/>
      <w:bookmarkStart w:id="716" w:name="_Toc32673672"/>
      <w:bookmarkStart w:id="717" w:name="_Toc32846535"/>
      <w:bookmarkStart w:id="718" w:name="_Toc32913778"/>
      <w:bookmarkStart w:id="719" w:name="_Toc32918454"/>
      <w:bookmarkStart w:id="720" w:name="_Toc33011747"/>
      <w:r w:rsidRPr="00D41D30">
        <w:rPr>
          <w:rFonts w:hint="eastAsia"/>
          <w:color w:val="000000" w:themeColor="text1"/>
        </w:rPr>
        <w:t>成立目的</w:t>
      </w:r>
      <w:bookmarkEnd w:id="711"/>
      <w:bookmarkEnd w:id="712"/>
      <w:bookmarkEnd w:id="713"/>
      <w:bookmarkEnd w:id="714"/>
      <w:bookmarkEnd w:id="715"/>
      <w:bookmarkEnd w:id="716"/>
      <w:bookmarkEnd w:id="717"/>
      <w:bookmarkEnd w:id="718"/>
      <w:bookmarkEnd w:id="719"/>
      <w:bookmarkEnd w:id="720"/>
    </w:p>
    <w:p w:rsidR="003C7764" w:rsidRPr="00D41D30" w:rsidRDefault="003C7764" w:rsidP="003C7764">
      <w:pPr>
        <w:pStyle w:val="32"/>
        <w:ind w:left="1361" w:firstLine="680"/>
        <w:rPr>
          <w:color w:val="000000" w:themeColor="text1"/>
        </w:rPr>
      </w:pPr>
      <w:r w:rsidRPr="00D41D30">
        <w:rPr>
          <w:rFonts w:hint="eastAsia"/>
          <w:color w:val="000000" w:themeColor="text1"/>
        </w:rPr>
        <w:t>基於全國樂齡中心成長速度逐年增加，為落實樂齡教育工作，亟需建立一套專業化的督導系統及系統化的培訓機制。教育部101年底採取專業委託的方式，運用國立大學具備高齡、成人教育及社會教育之學校協助該部推動樂齡學習輔導團工作，國立大學與該部有隸屬關係，師資齊備、設備完善，因應高齡社會，協助該部推動輔</w:t>
      </w:r>
      <w:r w:rsidRPr="00D41D30">
        <w:rPr>
          <w:rFonts w:hint="eastAsia"/>
          <w:color w:val="000000" w:themeColor="text1"/>
        </w:rPr>
        <w:lastRenderedPageBreak/>
        <w:t>導團工作，責無旁貸。目前國內具備前述條件僅國立臺灣師範大學、國立暨南國際大學、國立中正大學、國立高雄師範大學，爰該部每年採行政協助方式委託前述4所學校執行樂齡學習輔導團計畫。</w:t>
      </w:r>
    </w:p>
    <w:p w:rsidR="003C7764" w:rsidRPr="00D41D30" w:rsidRDefault="003C7764" w:rsidP="003C7764">
      <w:pPr>
        <w:pStyle w:val="3"/>
        <w:rPr>
          <w:color w:val="000000" w:themeColor="text1"/>
        </w:rPr>
      </w:pPr>
      <w:bookmarkStart w:id="721" w:name="_Toc30512501"/>
      <w:bookmarkStart w:id="722" w:name="_Toc30581209"/>
      <w:bookmarkStart w:id="723" w:name="_Toc32392482"/>
      <w:bookmarkStart w:id="724" w:name="_Toc32673673"/>
      <w:bookmarkStart w:id="725" w:name="_Toc32846536"/>
      <w:bookmarkStart w:id="726" w:name="_Toc32913779"/>
      <w:bookmarkStart w:id="727" w:name="_Toc32918455"/>
      <w:bookmarkStart w:id="728" w:name="_Toc33011748"/>
      <w:bookmarkStart w:id="729" w:name="_Toc16588737"/>
      <w:bookmarkStart w:id="730" w:name="_Toc16693369"/>
      <w:r w:rsidRPr="00D41D30">
        <w:rPr>
          <w:rFonts w:hint="eastAsia"/>
          <w:color w:val="000000" w:themeColor="text1"/>
        </w:rPr>
        <w:t>輔導團設置架構及相關法令依據</w:t>
      </w:r>
      <w:bookmarkEnd w:id="721"/>
      <w:bookmarkEnd w:id="722"/>
      <w:bookmarkEnd w:id="723"/>
      <w:bookmarkEnd w:id="724"/>
      <w:bookmarkEnd w:id="725"/>
      <w:bookmarkEnd w:id="726"/>
      <w:bookmarkEnd w:id="727"/>
      <w:bookmarkEnd w:id="728"/>
    </w:p>
    <w:p w:rsidR="003C7764" w:rsidRPr="00D41D30" w:rsidRDefault="003C7764" w:rsidP="003C7764">
      <w:pPr>
        <w:pStyle w:val="32"/>
        <w:ind w:left="1361" w:firstLine="680"/>
        <w:rPr>
          <w:color w:val="000000" w:themeColor="text1"/>
        </w:rPr>
      </w:pPr>
      <w:r w:rsidRPr="00D41D30">
        <w:rPr>
          <w:rFonts w:hint="eastAsia"/>
          <w:color w:val="000000" w:themeColor="text1"/>
        </w:rPr>
        <w:t>教育部於95年公布「教育部邁向高齡社會老人教育政策白皮書」，為落實執行策略9「提昇老人教育人員之專業素養」及策略10：「建立老人教育評鑑及獎勵機制」中之方案9：提升老人教育人員之專業素養、方案11：建立老人教育評鑑及獎勵機制，於相關計畫或要點明</w:t>
      </w:r>
      <w:r w:rsidR="00472F81" w:rsidRPr="00D41D30">
        <w:rPr>
          <w:rFonts w:hint="eastAsia"/>
          <w:color w:val="000000" w:themeColor="text1"/>
        </w:rPr>
        <w:t>訂</w:t>
      </w:r>
      <w:r w:rsidRPr="00D41D30">
        <w:rPr>
          <w:rFonts w:hint="eastAsia"/>
          <w:color w:val="000000" w:themeColor="text1"/>
        </w:rPr>
        <w:t>輔導團機制，委託專業團體成立「樂齡銀髮教育行動輔導團」，藉由專業團體協助各縣市政府輔導各鄉鎮市區樂齡中心，說明如下：</w:t>
      </w:r>
    </w:p>
    <w:p w:rsidR="003C7764" w:rsidRPr="00D41D30" w:rsidRDefault="003C7764" w:rsidP="003C7764">
      <w:pPr>
        <w:pStyle w:val="4"/>
        <w:rPr>
          <w:color w:val="000000" w:themeColor="text1"/>
        </w:rPr>
      </w:pPr>
      <w:r w:rsidRPr="00D41D30">
        <w:rPr>
          <w:rFonts w:hint="eastAsia"/>
          <w:color w:val="000000" w:themeColor="text1"/>
        </w:rPr>
        <w:t>97年「教育部設置各鄉鎮市區樂齡學習資源中心實施計畫」第柒項「輔導機制」敘明「為輔導直轄市、縣（市）政府成立資源中心，及整合鄉鎮市區內所轄老人教育資源</w:t>
      </w:r>
      <w:r w:rsidR="00711923" w:rsidRPr="00D41D30">
        <w:rPr>
          <w:rFonts w:hint="eastAsia"/>
          <w:color w:val="000000" w:themeColor="text1"/>
        </w:rPr>
        <w:t>」</w:t>
      </w:r>
      <w:r w:rsidRPr="00D41D30">
        <w:rPr>
          <w:rFonts w:hint="eastAsia"/>
          <w:color w:val="000000" w:themeColor="text1"/>
        </w:rPr>
        <w:t>，輔導機制如下：</w:t>
      </w:r>
    </w:p>
    <w:p w:rsidR="003C7764" w:rsidRPr="00D41D30" w:rsidRDefault="003C7764" w:rsidP="003C7764">
      <w:pPr>
        <w:pStyle w:val="5"/>
        <w:rPr>
          <w:color w:val="000000" w:themeColor="text1"/>
        </w:rPr>
      </w:pPr>
      <w:r w:rsidRPr="00D41D30">
        <w:rPr>
          <w:rFonts w:hint="eastAsia"/>
          <w:color w:val="000000" w:themeColor="text1"/>
        </w:rPr>
        <w:t>教育部</w:t>
      </w:r>
    </w:p>
    <w:p w:rsidR="003C7764" w:rsidRPr="00D41D30" w:rsidRDefault="003C7764" w:rsidP="003C7764">
      <w:pPr>
        <w:pStyle w:val="6"/>
        <w:rPr>
          <w:color w:val="000000" w:themeColor="text1"/>
        </w:rPr>
      </w:pPr>
      <w:r w:rsidRPr="00D41D30">
        <w:rPr>
          <w:rFonts w:hint="eastAsia"/>
          <w:color w:val="000000" w:themeColor="text1"/>
        </w:rPr>
        <w:t>教育部得成立樂齡銀髮教育行動輔導團總團部，並於北</w:t>
      </w:r>
      <w:r w:rsidR="00711923" w:rsidRPr="00D41D30">
        <w:rPr>
          <w:rFonts w:hint="eastAsia"/>
          <w:color w:val="000000" w:themeColor="text1"/>
        </w:rPr>
        <w:t>、</w:t>
      </w:r>
      <w:r w:rsidRPr="00D41D30">
        <w:rPr>
          <w:rFonts w:hint="eastAsia"/>
          <w:color w:val="000000" w:themeColor="text1"/>
        </w:rPr>
        <w:t>中</w:t>
      </w:r>
      <w:r w:rsidR="00711923" w:rsidRPr="00D41D30">
        <w:rPr>
          <w:rFonts w:hint="eastAsia"/>
          <w:color w:val="000000" w:themeColor="text1"/>
        </w:rPr>
        <w:t>、</w:t>
      </w:r>
      <w:r w:rsidRPr="00D41D30">
        <w:rPr>
          <w:rFonts w:hint="eastAsia"/>
          <w:color w:val="000000" w:themeColor="text1"/>
        </w:rPr>
        <w:t>南</w:t>
      </w:r>
      <w:r w:rsidR="00711923" w:rsidRPr="00D41D30">
        <w:rPr>
          <w:rFonts w:hint="eastAsia"/>
          <w:color w:val="000000" w:themeColor="text1"/>
        </w:rPr>
        <w:t>、</w:t>
      </w:r>
      <w:r w:rsidRPr="00D41D30">
        <w:rPr>
          <w:rFonts w:hint="eastAsia"/>
          <w:color w:val="000000" w:themeColor="text1"/>
        </w:rPr>
        <w:t>東四區成立區域性輔導中心。其任務為協助各直轄市、縣（市）政府進行各項老人教育工作推動。</w:t>
      </w:r>
    </w:p>
    <w:p w:rsidR="003C7764" w:rsidRPr="00D41D30" w:rsidRDefault="003C7764" w:rsidP="003C7764">
      <w:pPr>
        <w:pStyle w:val="6"/>
        <w:rPr>
          <w:color w:val="000000" w:themeColor="text1"/>
        </w:rPr>
      </w:pPr>
      <w:r w:rsidRPr="00D41D30">
        <w:rPr>
          <w:rFonts w:hint="eastAsia"/>
          <w:color w:val="000000" w:themeColor="text1"/>
        </w:rPr>
        <w:t>委託相關單位培訓社區種子教師。</w:t>
      </w:r>
    </w:p>
    <w:p w:rsidR="003C7764" w:rsidRPr="00D41D30" w:rsidRDefault="003C7764" w:rsidP="003C7764">
      <w:pPr>
        <w:pStyle w:val="6"/>
        <w:rPr>
          <w:color w:val="000000" w:themeColor="text1"/>
        </w:rPr>
      </w:pPr>
      <w:r w:rsidRPr="00D41D30">
        <w:rPr>
          <w:rFonts w:hint="eastAsia"/>
          <w:color w:val="000000" w:themeColor="text1"/>
        </w:rPr>
        <w:t>每年定期邀集直轄市、縣（市）政府、資源中心代表及輔導團成員召開全國性聯繫會報，以促進經驗交流。</w:t>
      </w:r>
    </w:p>
    <w:p w:rsidR="003C7764" w:rsidRPr="00D41D30" w:rsidRDefault="003C7764" w:rsidP="003C7764">
      <w:pPr>
        <w:pStyle w:val="6"/>
        <w:rPr>
          <w:color w:val="000000" w:themeColor="text1"/>
        </w:rPr>
      </w:pPr>
      <w:r w:rsidRPr="00D41D30">
        <w:rPr>
          <w:rFonts w:hint="eastAsia"/>
          <w:color w:val="000000" w:themeColor="text1"/>
        </w:rPr>
        <w:t>研發適合之教材及教案。</w:t>
      </w:r>
    </w:p>
    <w:p w:rsidR="003C7764" w:rsidRPr="00D41D30" w:rsidRDefault="003C7764" w:rsidP="003C7764">
      <w:pPr>
        <w:pStyle w:val="5"/>
        <w:rPr>
          <w:color w:val="000000" w:themeColor="text1"/>
        </w:rPr>
      </w:pPr>
      <w:r w:rsidRPr="00D41D30">
        <w:rPr>
          <w:rFonts w:hint="eastAsia"/>
          <w:color w:val="000000" w:themeColor="text1"/>
        </w:rPr>
        <w:lastRenderedPageBreak/>
        <w:t>直轄市、縣（市）政府</w:t>
      </w:r>
    </w:p>
    <w:p w:rsidR="003C7764" w:rsidRPr="00D41D30" w:rsidRDefault="003C7764" w:rsidP="003C7764">
      <w:pPr>
        <w:pStyle w:val="6"/>
        <w:rPr>
          <w:color w:val="000000" w:themeColor="text1"/>
        </w:rPr>
      </w:pPr>
      <w:r w:rsidRPr="00D41D30">
        <w:rPr>
          <w:rFonts w:hint="eastAsia"/>
          <w:color w:val="000000" w:themeColor="text1"/>
        </w:rPr>
        <w:t>定期邀集各資源中心召開聯繫會議，深入了解辦理情形。</w:t>
      </w:r>
    </w:p>
    <w:p w:rsidR="003C7764" w:rsidRPr="00D41D30" w:rsidRDefault="003C7764" w:rsidP="003C7764">
      <w:pPr>
        <w:pStyle w:val="6"/>
        <w:rPr>
          <w:color w:val="000000" w:themeColor="text1"/>
        </w:rPr>
      </w:pPr>
      <w:r w:rsidRPr="00D41D30">
        <w:rPr>
          <w:rFonts w:hint="eastAsia"/>
          <w:color w:val="000000" w:themeColor="text1"/>
        </w:rPr>
        <w:t>邀集專家學者成立老人教育輔導委員會（或小組），定期訪視各樂齡學習資源中心（含設於國中小之高齡學習中心與社區玩具工坊）運作情形，以適時提供諮詢。</w:t>
      </w:r>
    </w:p>
    <w:p w:rsidR="003C7764" w:rsidRPr="00D41D30" w:rsidRDefault="003C7764" w:rsidP="003C7764">
      <w:pPr>
        <w:pStyle w:val="6"/>
        <w:rPr>
          <w:color w:val="000000" w:themeColor="text1"/>
        </w:rPr>
      </w:pPr>
      <w:r w:rsidRPr="00D41D30">
        <w:rPr>
          <w:rFonts w:hint="eastAsia"/>
          <w:color w:val="000000" w:themeColor="text1"/>
        </w:rPr>
        <w:t>按月填報各資源中心執行情形，於每月10日前上傳教育部老人教育學習網站。」</w:t>
      </w:r>
    </w:p>
    <w:p w:rsidR="003C7764" w:rsidRPr="00D41D30" w:rsidRDefault="003C7764" w:rsidP="003C7764">
      <w:pPr>
        <w:pStyle w:val="5"/>
        <w:rPr>
          <w:color w:val="000000" w:themeColor="text1"/>
        </w:rPr>
      </w:pPr>
      <w:r w:rsidRPr="00D41D30">
        <w:rPr>
          <w:rFonts w:hint="eastAsia"/>
          <w:color w:val="000000" w:themeColor="text1"/>
        </w:rPr>
        <w:t>教育部依據上揭實施計畫規定，於98年成立銀髮行動輔導團，協助進行全國104所樂齡學習資源中心之訪視工作。</w:t>
      </w:r>
    </w:p>
    <w:p w:rsidR="003C7764" w:rsidRPr="00D41D30" w:rsidRDefault="003C7764" w:rsidP="003C7764">
      <w:pPr>
        <w:pStyle w:val="4"/>
        <w:rPr>
          <w:color w:val="000000" w:themeColor="text1"/>
        </w:rPr>
      </w:pPr>
      <w:r w:rsidRPr="00D41D30">
        <w:rPr>
          <w:rFonts w:hint="eastAsia"/>
          <w:color w:val="000000" w:themeColor="text1"/>
        </w:rPr>
        <w:t>98年5月15日令發布「教育部補助設置各鄉鎮市區樂齡學習資源中心實施要點」，其中第8點「督導考核」中亦明</w:t>
      </w:r>
      <w:r w:rsidR="00472F81" w:rsidRPr="00D41D30">
        <w:rPr>
          <w:rFonts w:hint="eastAsia"/>
          <w:color w:val="000000" w:themeColor="text1"/>
        </w:rPr>
        <w:t>訂</w:t>
      </w:r>
      <w:r w:rsidRPr="00D41D30">
        <w:rPr>
          <w:rFonts w:hint="eastAsia"/>
          <w:color w:val="000000" w:themeColor="text1"/>
        </w:rPr>
        <w:t>：</w:t>
      </w:r>
    </w:p>
    <w:p w:rsidR="003C7764" w:rsidRPr="00D41D30" w:rsidRDefault="003C7764" w:rsidP="003C7764">
      <w:pPr>
        <w:pStyle w:val="5"/>
        <w:rPr>
          <w:color w:val="000000" w:themeColor="text1"/>
        </w:rPr>
      </w:pPr>
      <w:r w:rsidRPr="00D41D30">
        <w:rPr>
          <w:rFonts w:hint="eastAsia"/>
          <w:color w:val="000000" w:themeColor="text1"/>
        </w:rPr>
        <w:t>教育部得委請專業團體成立輔導團，並成立區域性輔導中心，其任務為協助進行各項老人教育工作推動。</w:t>
      </w:r>
    </w:p>
    <w:p w:rsidR="003C7764" w:rsidRPr="00D41D30" w:rsidRDefault="003C7764" w:rsidP="003C7764">
      <w:pPr>
        <w:pStyle w:val="5"/>
        <w:rPr>
          <w:color w:val="000000" w:themeColor="text1"/>
        </w:rPr>
      </w:pPr>
      <w:r w:rsidRPr="00D41D30">
        <w:rPr>
          <w:rFonts w:hint="eastAsia"/>
          <w:color w:val="000000" w:themeColor="text1"/>
        </w:rPr>
        <w:t>補助對象應邀集專家學者成立老人教育輔導委員會（或小組），訂定「○○縣（市）老人教育輔導計畫」，其任務為落實推動老人教育、定期輔導及訪視各資源中心、召開聯繫會議等。</w:t>
      </w:r>
    </w:p>
    <w:p w:rsidR="003C7764" w:rsidRPr="00D41D30" w:rsidRDefault="003C7764" w:rsidP="003C7764">
      <w:pPr>
        <w:pStyle w:val="5"/>
        <w:rPr>
          <w:color w:val="000000" w:themeColor="text1"/>
        </w:rPr>
      </w:pPr>
      <w:r w:rsidRPr="00D41D30">
        <w:rPr>
          <w:rFonts w:hint="eastAsia"/>
          <w:color w:val="000000" w:themeColor="text1"/>
        </w:rPr>
        <w:t>教育部依據上開要點之規定，98年續成立輔導團。</w:t>
      </w:r>
    </w:p>
    <w:p w:rsidR="003C7764" w:rsidRPr="00D41D30" w:rsidRDefault="003C7764" w:rsidP="00711923">
      <w:pPr>
        <w:pStyle w:val="4"/>
        <w:rPr>
          <w:color w:val="000000" w:themeColor="text1"/>
        </w:rPr>
      </w:pPr>
      <w:r w:rsidRPr="00D41D30">
        <w:rPr>
          <w:rFonts w:hint="eastAsia"/>
          <w:color w:val="000000" w:themeColor="text1"/>
        </w:rPr>
        <w:t>99年「教育部補助直轄市及縣（市）政府設置樂齡學習中心實施要點」，其中第10點「輔導及督導」規定：</w:t>
      </w:r>
    </w:p>
    <w:p w:rsidR="003C7764" w:rsidRPr="00D41D30" w:rsidRDefault="003C7764" w:rsidP="003C7764">
      <w:pPr>
        <w:pStyle w:val="5"/>
        <w:rPr>
          <w:color w:val="000000" w:themeColor="text1"/>
        </w:rPr>
      </w:pPr>
      <w:r w:rsidRPr="00D41D30">
        <w:rPr>
          <w:rFonts w:hint="eastAsia"/>
          <w:color w:val="000000" w:themeColor="text1"/>
        </w:rPr>
        <w:t>教育部得成立中央輔導團推動相關業務，其組織任務，由</w:t>
      </w:r>
      <w:r w:rsidR="00711923" w:rsidRPr="00D41D30">
        <w:rPr>
          <w:rFonts w:hint="eastAsia"/>
          <w:color w:val="000000" w:themeColor="text1"/>
        </w:rPr>
        <w:t>該</w:t>
      </w:r>
      <w:r w:rsidRPr="00D41D30">
        <w:rPr>
          <w:rFonts w:hint="eastAsia"/>
          <w:color w:val="000000" w:themeColor="text1"/>
        </w:rPr>
        <w:t>部召開相關會議另定之。</w:t>
      </w:r>
    </w:p>
    <w:p w:rsidR="003C7764" w:rsidRPr="00D41D30" w:rsidRDefault="003C7764" w:rsidP="003C7764">
      <w:pPr>
        <w:pStyle w:val="5"/>
        <w:rPr>
          <w:color w:val="000000" w:themeColor="text1"/>
        </w:rPr>
      </w:pPr>
      <w:r w:rsidRPr="00D41D30">
        <w:rPr>
          <w:rFonts w:hint="eastAsia"/>
          <w:color w:val="000000" w:themeColor="text1"/>
        </w:rPr>
        <w:lastRenderedPageBreak/>
        <w:t>直轄市、縣（市）政府得邀集督學、學者專家成立地方輔導團，或應用現有之相關教育輔導團辦理，其任務如下：A.辦理該直轄市、縣（市）政府樂齡志工、講師培訓、交流觀摩及自主學習社團經營活動。</w:t>
      </w:r>
      <w:r w:rsidRPr="00D41D30">
        <w:rPr>
          <w:color w:val="000000" w:themeColor="text1"/>
        </w:rPr>
        <w:t>B</w:t>
      </w:r>
      <w:r w:rsidRPr="00D41D30">
        <w:rPr>
          <w:rFonts w:hint="eastAsia"/>
          <w:color w:val="000000" w:themeColor="text1"/>
        </w:rPr>
        <w:t>.訪視輔導及評鑑該直轄市、縣（市）政府樂齡中心。C.每年至少召開二次該直轄市、縣（市）政府樂齡中心聯繫會報。</w:t>
      </w:r>
    </w:p>
    <w:p w:rsidR="003C7764" w:rsidRPr="00D41D30" w:rsidRDefault="003C7764" w:rsidP="003C7764">
      <w:pPr>
        <w:pStyle w:val="5"/>
        <w:rPr>
          <w:color w:val="000000" w:themeColor="text1"/>
        </w:rPr>
      </w:pPr>
      <w:r w:rsidRPr="00D41D30">
        <w:rPr>
          <w:rFonts w:hint="eastAsia"/>
          <w:color w:val="000000" w:themeColor="text1"/>
        </w:rPr>
        <w:t>99年因樂齡中心數量已擴展為202所，考量輔導團業務量爰開始分為2個輔導團。</w:t>
      </w:r>
    </w:p>
    <w:p w:rsidR="003C7764" w:rsidRPr="00D41D30" w:rsidRDefault="003C7764" w:rsidP="003C7764">
      <w:pPr>
        <w:pStyle w:val="4"/>
        <w:rPr>
          <w:color w:val="000000" w:themeColor="text1"/>
        </w:rPr>
      </w:pPr>
      <w:r w:rsidRPr="00D41D30">
        <w:rPr>
          <w:rFonts w:hint="eastAsia"/>
          <w:color w:val="000000" w:themeColor="text1"/>
        </w:rPr>
        <w:t>101年「教育部補助直轄市及縣（市）政府設置樂齡學習中心實施要點」，其中第9點輔導及督導規定︰</w:t>
      </w:r>
    </w:p>
    <w:p w:rsidR="003C7764" w:rsidRPr="00D41D30" w:rsidRDefault="003C7764" w:rsidP="003C7764">
      <w:pPr>
        <w:pStyle w:val="5"/>
        <w:rPr>
          <w:color w:val="000000" w:themeColor="text1"/>
        </w:rPr>
      </w:pPr>
      <w:r w:rsidRPr="00D41D30">
        <w:rPr>
          <w:rFonts w:hint="eastAsia"/>
          <w:color w:val="000000" w:themeColor="text1"/>
        </w:rPr>
        <w:t>教育部得成立中央輔導團推動相關業務，其組織任務，由</w:t>
      </w:r>
      <w:r w:rsidR="00711923" w:rsidRPr="00D41D30">
        <w:rPr>
          <w:rFonts w:hint="eastAsia"/>
          <w:color w:val="000000" w:themeColor="text1"/>
        </w:rPr>
        <w:t>該</w:t>
      </w:r>
      <w:r w:rsidRPr="00D41D30">
        <w:rPr>
          <w:rFonts w:hint="eastAsia"/>
          <w:color w:val="000000" w:themeColor="text1"/>
        </w:rPr>
        <w:t>部召開相關會議另定之。</w:t>
      </w:r>
    </w:p>
    <w:p w:rsidR="003C7764" w:rsidRPr="00D41D30" w:rsidRDefault="003C7764" w:rsidP="003C7764">
      <w:pPr>
        <w:pStyle w:val="5"/>
        <w:rPr>
          <w:color w:val="000000" w:themeColor="text1"/>
        </w:rPr>
      </w:pPr>
      <w:r w:rsidRPr="00D41D30">
        <w:rPr>
          <w:rFonts w:hint="eastAsia"/>
          <w:color w:val="000000" w:themeColor="text1"/>
        </w:rPr>
        <w:t>直轄市、縣（市）政府得邀集督學、學者專家成立地方輔導團，或應用現有之相關教育輔導團辦理，其任務如下：</w:t>
      </w:r>
    </w:p>
    <w:p w:rsidR="003C7764" w:rsidRPr="00D41D30" w:rsidRDefault="003C7764" w:rsidP="00711923">
      <w:pPr>
        <w:pStyle w:val="6"/>
        <w:rPr>
          <w:color w:val="000000" w:themeColor="text1"/>
        </w:rPr>
      </w:pPr>
      <w:r w:rsidRPr="00D41D30">
        <w:rPr>
          <w:rFonts w:hint="eastAsia"/>
          <w:color w:val="000000" w:themeColor="text1"/>
        </w:rPr>
        <w:t>辦理該直轄市、縣（市）政府樂齡志工、講師培訓、交流觀摩及自主學習社團經營活動。</w:t>
      </w:r>
    </w:p>
    <w:p w:rsidR="003C7764" w:rsidRPr="00D41D30" w:rsidRDefault="003C7764" w:rsidP="00711923">
      <w:pPr>
        <w:pStyle w:val="6"/>
        <w:rPr>
          <w:color w:val="000000" w:themeColor="text1"/>
        </w:rPr>
      </w:pPr>
      <w:r w:rsidRPr="00D41D30">
        <w:rPr>
          <w:rFonts w:hint="eastAsia"/>
          <w:color w:val="000000" w:themeColor="text1"/>
        </w:rPr>
        <w:t>訪視輔導及評鑑該直轄市、縣（市）政府樂齡中心。</w:t>
      </w:r>
    </w:p>
    <w:p w:rsidR="003C7764" w:rsidRPr="00D41D30" w:rsidRDefault="003C7764" w:rsidP="00711923">
      <w:pPr>
        <w:pStyle w:val="6"/>
        <w:rPr>
          <w:color w:val="000000" w:themeColor="text1"/>
        </w:rPr>
      </w:pPr>
      <w:r w:rsidRPr="00D41D30">
        <w:rPr>
          <w:rFonts w:hint="eastAsia"/>
          <w:color w:val="000000" w:themeColor="text1"/>
        </w:rPr>
        <w:t>每年至少召開</w:t>
      </w:r>
      <w:r w:rsidR="00711923" w:rsidRPr="00D41D30">
        <w:rPr>
          <w:rFonts w:hint="eastAsia"/>
          <w:color w:val="000000" w:themeColor="text1"/>
        </w:rPr>
        <w:t>2</w:t>
      </w:r>
      <w:r w:rsidRPr="00D41D30">
        <w:rPr>
          <w:rFonts w:hint="eastAsia"/>
          <w:color w:val="000000" w:themeColor="text1"/>
        </w:rPr>
        <w:t>次該直轄市、縣（市）政府樂齡中心聯繫會報。</w:t>
      </w:r>
    </w:p>
    <w:p w:rsidR="003C7764" w:rsidRPr="00D41D30" w:rsidRDefault="003C7764" w:rsidP="003C7764">
      <w:pPr>
        <w:pStyle w:val="4"/>
        <w:rPr>
          <w:color w:val="000000" w:themeColor="text1"/>
        </w:rPr>
      </w:pPr>
      <w:r w:rsidRPr="00D41D30">
        <w:rPr>
          <w:rFonts w:hint="eastAsia"/>
          <w:color w:val="000000" w:themeColor="text1"/>
        </w:rPr>
        <w:t>基於樂齡中心數量逐年增加，且為將培訓在地化，爰依據101年要點規定及參酌97年所設計之輔導團架構，並盤點國內有成人教育相關系所之國立大學，依要點成立輔導團，並於總輔導團下分為北區、中區、中南區、南區四區。</w:t>
      </w:r>
    </w:p>
    <w:p w:rsidR="003C7764" w:rsidRPr="00D41D30" w:rsidRDefault="003C7764" w:rsidP="003C7764">
      <w:pPr>
        <w:pStyle w:val="4"/>
        <w:rPr>
          <w:color w:val="000000" w:themeColor="text1"/>
        </w:rPr>
      </w:pPr>
      <w:r w:rsidRPr="00D41D30">
        <w:rPr>
          <w:rFonts w:hint="eastAsia"/>
          <w:color w:val="000000" w:themeColor="text1"/>
        </w:rPr>
        <w:lastRenderedPageBreak/>
        <w:t>102年迄今則依據「教育部補助辦理樂齡學習活動及獎勵直轄市縣（市）政府辦理樂齡學習業務實施要點」第8點「補助成效考核」，及103年通過之「終身學習法」第14條「訪視與輔導」，與「樂齡學習活動補助與訪視輔導及獎勵辦法」第 8 條「終身學習機構依本辦法規定受補助者，中央主管機關得進行實地訪視、輔導，檢視其執行進度、經費支用情形及業務推動成效等事項」等相關規定，持續以行政協助委託各校辦理輔導團業務。</w:t>
      </w:r>
    </w:p>
    <w:p w:rsidR="003C7764" w:rsidRPr="00D41D30" w:rsidRDefault="003C7764" w:rsidP="003C7764">
      <w:pPr>
        <w:pStyle w:val="3"/>
        <w:rPr>
          <w:color w:val="000000" w:themeColor="text1"/>
        </w:rPr>
      </w:pPr>
      <w:bookmarkStart w:id="731" w:name="_Toc30512502"/>
      <w:bookmarkStart w:id="732" w:name="_Toc30581210"/>
      <w:bookmarkStart w:id="733" w:name="_Toc32392483"/>
      <w:bookmarkStart w:id="734" w:name="_Toc32673674"/>
      <w:bookmarkStart w:id="735" w:name="_Toc32846537"/>
      <w:bookmarkStart w:id="736" w:name="_Toc32913780"/>
      <w:bookmarkStart w:id="737" w:name="_Toc32918456"/>
      <w:bookmarkStart w:id="738" w:name="_Toc33011749"/>
      <w:r w:rsidRPr="00D41D30">
        <w:rPr>
          <w:rFonts w:hint="eastAsia"/>
          <w:color w:val="000000" w:themeColor="text1"/>
        </w:rPr>
        <w:t>輔導團之產生方式及相關遴選辦理情形</w:t>
      </w:r>
      <w:bookmarkEnd w:id="731"/>
      <w:bookmarkEnd w:id="732"/>
      <w:bookmarkEnd w:id="733"/>
      <w:bookmarkEnd w:id="734"/>
      <w:bookmarkEnd w:id="735"/>
      <w:bookmarkEnd w:id="736"/>
      <w:bookmarkEnd w:id="737"/>
      <w:bookmarkEnd w:id="738"/>
    </w:p>
    <w:p w:rsidR="003C7764" w:rsidRPr="00D41D30" w:rsidRDefault="003C7764" w:rsidP="003C7764">
      <w:pPr>
        <w:pStyle w:val="4"/>
        <w:rPr>
          <w:color w:val="000000" w:themeColor="text1"/>
        </w:rPr>
      </w:pPr>
      <w:r w:rsidRPr="00D41D30">
        <w:rPr>
          <w:rFonts w:hint="eastAsia"/>
          <w:color w:val="000000" w:themeColor="text1"/>
        </w:rPr>
        <w:t>教育部自97年起成立輔導團，協助各縣市推動高齡教育及輔導全國各樂齡中心之運作，以下謹就各年度輔導團成立及遴選作業辦理情形說明如下:</w:t>
      </w:r>
    </w:p>
    <w:p w:rsidR="003C7764" w:rsidRPr="00D41D30" w:rsidRDefault="003C7764" w:rsidP="003C7764">
      <w:pPr>
        <w:pStyle w:val="5"/>
        <w:rPr>
          <w:color w:val="000000" w:themeColor="text1"/>
        </w:rPr>
      </w:pPr>
      <w:r w:rsidRPr="00D41D30">
        <w:rPr>
          <w:rFonts w:hint="eastAsia"/>
          <w:color w:val="000000" w:themeColor="text1"/>
        </w:rPr>
        <w:t>97-98年依據政府採購法委請國立中正大學辦理。</w:t>
      </w:r>
    </w:p>
    <w:p w:rsidR="003C7764" w:rsidRPr="00D41D30" w:rsidRDefault="003C7764" w:rsidP="003C7764">
      <w:pPr>
        <w:pStyle w:val="5"/>
        <w:rPr>
          <w:color w:val="000000" w:themeColor="text1"/>
        </w:rPr>
      </w:pPr>
      <w:r w:rsidRPr="00D41D30">
        <w:rPr>
          <w:rFonts w:hint="eastAsia"/>
          <w:color w:val="000000" w:themeColor="text1"/>
        </w:rPr>
        <w:t>99年依政府採購法委請國立中正大學及成教學會協助。</w:t>
      </w:r>
    </w:p>
    <w:p w:rsidR="00711923" w:rsidRPr="00D41D30" w:rsidRDefault="003C7764" w:rsidP="003C7764">
      <w:pPr>
        <w:pStyle w:val="5"/>
        <w:rPr>
          <w:color w:val="000000" w:themeColor="text1"/>
        </w:rPr>
      </w:pPr>
      <w:r w:rsidRPr="00D41D30">
        <w:rPr>
          <w:rFonts w:hint="eastAsia"/>
          <w:color w:val="000000" w:themeColor="text1"/>
        </w:rPr>
        <w:t>101年起因應全國樂齡中心數量大幅成長至225所，考量後續仍將逐年持續成長，且樂齡中心分散全國各鄉鎮市區，基於人力及經費與交通因素，無法由1個或2個單位進行輔導，爰依據「教育部補助直轄市及縣（市）政府設置樂齡學習中心實施要點」規定及參酌97年所設計之輔導團架構，並盤點國內有成人教育相關系所之國立大學為國立臺灣師範大學（成人教育研究中心）、國立暨南國際大學（成人教育研究所，後改為諮商心理與人力資源發展學</w:t>
      </w:r>
      <w:r w:rsidRPr="00D41D30">
        <w:rPr>
          <w:rFonts w:hint="eastAsia"/>
          <w:color w:val="000000" w:themeColor="text1"/>
        </w:rPr>
        <w:lastRenderedPageBreak/>
        <w:t>系）、國立中正大學（高齡教育研究中心、成人及繼續教育學系）、國立高雄師範大學（成人教育研究中心），恰分布於北</w:t>
      </w:r>
      <w:r w:rsidR="00711923" w:rsidRPr="00D41D30">
        <w:rPr>
          <w:rFonts w:hint="eastAsia"/>
          <w:color w:val="000000" w:themeColor="text1"/>
        </w:rPr>
        <w:t>、</w:t>
      </w:r>
      <w:r w:rsidRPr="00D41D30">
        <w:rPr>
          <w:rFonts w:hint="eastAsia"/>
          <w:color w:val="000000" w:themeColor="text1"/>
        </w:rPr>
        <w:t>中</w:t>
      </w:r>
      <w:r w:rsidR="00711923" w:rsidRPr="00D41D30">
        <w:rPr>
          <w:rFonts w:hint="eastAsia"/>
          <w:color w:val="000000" w:themeColor="text1"/>
        </w:rPr>
        <w:t>、</w:t>
      </w:r>
      <w:r w:rsidRPr="00D41D30">
        <w:rPr>
          <w:rFonts w:hint="eastAsia"/>
          <w:color w:val="000000" w:themeColor="text1"/>
        </w:rPr>
        <w:t>南地區，考量教育部因人員、設備不足等因素下，依行政程序法第19條第2項規定</w:t>
      </w:r>
      <w:r w:rsidRPr="00D41D30">
        <w:rPr>
          <w:rStyle w:val="aff0"/>
          <w:color w:val="000000" w:themeColor="text1"/>
        </w:rPr>
        <w:footnoteReference w:id="3"/>
      </w:r>
      <w:r w:rsidRPr="00D41D30">
        <w:rPr>
          <w:rFonts w:hint="eastAsia"/>
          <w:color w:val="000000" w:themeColor="text1"/>
        </w:rPr>
        <w:t>及「教育部業務採行政協助辦理原則」，委請設有專業系所及熟稔專業領域之國立大學協助執行，爰於總輔導團下分為北區、中區、中南區、南區四區。</w:t>
      </w:r>
    </w:p>
    <w:p w:rsidR="003C7764" w:rsidRPr="00D41D30" w:rsidRDefault="003C7764" w:rsidP="003C7764">
      <w:pPr>
        <w:pStyle w:val="5"/>
        <w:rPr>
          <w:color w:val="000000" w:themeColor="text1"/>
        </w:rPr>
      </w:pPr>
      <w:r w:rsidRPr="00D41D30">
        <w:rPr>
          <w:rFonts w:hint="eastAsia"/>
          <w:color w:val="000000" w:themeColor="text1"/>
        </w:rPr>
        <w:t>另97年計畫原擬成立東部輔導團，惟評估東部地區國立東華大學及國立臺東大學，並無相關系所中心，離島之澎湖縣及金門縣亦同，爰將東部、離島依地域、交通方便性及各輔導團輔導縣市數量之衡平性，分別劃入北區及南區輔導團。</w:t>
      </w:r>
    </w:p>
    <w:p w:rsidR="003C7764" w:rsidRPr="00D41D30" w:rsidRDefault="003C7764" w:rsidP="003C7764">
      <w:pPr>
        <w:pStyle w:val="5"/>
        <w:rPr>
          <w:color w:val="000000" w:themeColor="text1"/>
        </w:rPr>
      </w:pPr>
      <w:r w:rsidRPr="00D41D30">
        <w:rPr>
          <w:rFonts w:hint="eastAsia"/>
          <w:color w:val="000000" w:themeColor="text1"/>
        </w:rPr>
        <w:t>教育部自101年開始委請國立臺灣師範大學等4所大學承辦輔導之原因，係基於本案結合大學相關專業系所及中心，有助於輔導各縣市政府及全國樂齡學習中心（含示範中心）提升整體專業水平，且考量該部因人員、設備不足等事實原因，不能獨立執行職務，衡諸旨揭大學長期協助該部推動及辦理各項高齡學習培訓及研習等相關業務，並熟稔國內外高齡教育各項方案，爰請協助執行；本案對於上述學校而言，</w:t>
      </w:r>
      <w:r w:rsidRPr="00D41D30">
        <w:rPr>
          <w:rFonts w:hint="eastAsia"/>
          <w:color w:val="000000" w:themeColor="text1"/>
        </w:rPr>
        <w:lastRenderedPageBreak/>
        <w:t>非屬該部對該校之指揮監督事項，而仍為其權責範圍，爰依行政程序法第19條第2項之規定及依「教育部業務採行政協助辦理原則」，請學校協助辦理。</w:t>
      </w:r>
    </w:p>
    <w:p w:rsidR="003C7764" w:rsidRPr="00D41D30" w:rsidRDefault="003C7764" w:rsidP="003C7764">
      <w:pPr>
        <w:pStyle w:val="5"/>
        <w:rPr>
          <w:color w:val="000000" w:themeColor="text1"/>
        </w:rPr>
      </w:pPr>
      <w:r w:rsidRPr="00D41D30">
        <w:rPr>
          <w:rFonts w:hint="eastAsia"/>
          <w:color w:val="000000" w:themeColor="text1"/>
        </w:rPr>
        <w:t>該部鑒於國立中正大學於97年起即受委託辦理輔導工作，且成教及高齡相關科系師資齊備，依該部97年計畫規劃「成立輔導團總團部，並於北中南東四區成立區域性輔導中心」之構想，國立中正大學受其他3所大學推薦擔任總輔導團工作，執行全國性各項行政會議、培訓、成果展、國際研討會、研編基礎教材等工作，以提升整體國內高齡教育水平，另彰化縣、雲林縣、嘉義縣市及臺南市之縣市輔導，屬於區域性工作，國立中正大學師資齊備，有成人教育系、所、中心，亦請該校另一行政單位，擔任中南區輔導團工作。</w:t>
      </w:r>
    </w:p>
    <w:p w:rsidR="003C7764" w:rsidRPr="00D41D30" w:rsidRDefault="003C7764" w:rsidP="003C7764">
      <w:pPr>
        <w:pStyle w:val="5"/>
        <w:rPr>
          <w:color w:val="000000" w:themeColor="text1"/>
        </w:rPr>
      </w:pPr>
      <w:r w:rsidRPr="00D41D30">
        <w:rPr>
          <w:rFonts w:hint="eastAsia"/>
          <w:color w:val="000000" w:themeColor="text1"/>
        </w:rPr>
        <w:t>國內4所大學成立5個輔導團，同時進行分區輔導工作，推動各項在地化的高齡教育工作、發展樂齡中心的特色、研編教材、辦理聯繫及座談會議、規劃各經營團隊之培訓工作，並訪評樂齡中心，透過實際訪視瞭解中心運作狀況，提供經營運作所需之諮詢輔導意見，形成政策建議，其完善之輔導架構，讓其他部會</w:t>
      </w:r>
      <w:r w:rsidR="00B562C7" w:rsidRPr="00D41D30">
        <w:rPr>
          <w:rFonts w:hint="eastAsia"/>
          <w:color w:val="000000" w:themeColor="text1"/>
        </w:rPr>
        <w:t>（</w:t>
      </w:r>
      <w:r w:rsidRPr="00D41D30">
        <w:rPr>
          <w:rFonts w:hint="eastAsia"/>
          <w:color w:val="000000" w:themeColor="text1"/>
        </w:rPr>
        <w:t>衛福部</w:t>
      </w:r>
      <w:r w:rsidR="006B5136" w:rsidRPr="00D41D30">
        <w:rPr>
          <w:rFonts w:hint="eastAsia"/>
          <w:color w:val="000000" w:themeColor="text1"/>
        </w:rPr>
        <w:t>）</w:t>
      </w:r>
      <w:r w:rsidRPr="00D41D30">
        <w:rPr>
          <w:rFonts w:hint="eastAsia"/>
          <w:color w:val="000000" w:themeColor="text1"/>
        </w:rPr>
        <w:t>頻頻詢問如何成立輔導團，而輔導團帶動各縣市政府首長重視推動樂齡中心，並輔導各樂齡中心承辦單位學習如何營運中心，及設計不同於長青學苑、社區老人團體唱跳課程之樂齡學習課程</w:t>
      </w:r>
      <w:r w:rsidR="00B562C7" w:rsidRPr="00D41D30">
        <w:rPr>
          <w:rFonts w:hint="eastAsia"/>
          <w:color w:val="000000" w:themeColor="text1"/>
        </w:rPr>
        <w:t>（</w:t>
      </w:r>
      <w:r w:rsidRPr="00D41D30">
        <w:rPr>
          <w:rFonts w:hint="eastAsia"/>
          <w:color w:val="000000" w:themeColor="text1"/>
        </w:rPr>
        <w:t>分為樂齡核心課</w:t>
      </w:r>
      <w:r w:rsidRPr="00D41D30">
        <w:rPr>
          <w:rFonts w:hint="eastAsia"/>
          <w:color w:val="000000" w:themeColor="text1"/>
        </w:rPr>
        <w:lastRenderedPageBreak/>
        <w:t>程、自主規劃及貢獻服務課程</w:t>
      </w:r>
      <w:r w:rsidR="006B5136" w:rsidRPr="00D41D30">
        <w:rPr>
          <w:rFonts w:hint="eastAsia"/>
          <w:color w:val="000000" w:themeColor="text1"/>
        </w:rPr>
        <w:t>）</w:t>
      </w:r>
      <w:r w:rsidRPr="00D41D30">
        <w:rPr>
          <w:rFonts w:hint="eastAsia"/>
          <w:color w:val="000000" w:themeColor="text1"/>
        </w:rPr>
        <w:t>，為國內的高齡教育工作推動建立良好典範。</w:t>
      </w:r>
    </w:p>
    <w:p w:rsidR="003C7764" w:rsidRPr="00D41D30" w:rsidRDefault="003C7764" w:rsidP="003C7764">
      <w:pPr>
        <w:pStyle w:val="3"/>
        <w:rPr>
          <w:color w:val="000000" w:themeColor="text1"/>
        </w:rPr>
      </w:pPr>
      <w:bookmarkStart w:id="739" w:name="_Toc30512503"/>
      <w:bookmarkStart w:id="740" w:name="_Toc30581211"/>
      <w:bookmarkStart w:id="741" w:name="_Toc32392484"/>
      <w:bookmarkStart w:id="742" w:name="_Toc32673675"/>
      <w:bookmarkStart w:id="743" w:name="_Toc32846538"/>
      <w:bookmarkStart w:id="744" w:name="_Toc32913781"/>
      <w:bookmarkStart w:id="745" w:name="_Toc32918457"/>
      <w:bookmarkStart w:id="746" w:name="_Toc33011750"/>
      <w:r w:rsidRPr="00D41D30">
        <w:rPr>
          <w:rFonts w:hint="eastAsia"/>
          <w:color w:val="000000" w:themeColor="text1"/>
        </w:rPr>
        <w:t>經費補助</w:t>
      </w:r>
      <w:bookmarkEnd w:id="729"/>
      <w:bookmarkEnd w:id="730"/>
      <w:bookmarkEnd w:id="739"/>
      <w:bookmarkEnd w:id="740"/>
      <w:bookmarkEnd w:id="741"/>
      <w:bookmarkEnd w:id="742"/>
      <w:bookmarkEnd w:id="743"/>
      <w:bookmarkEnd w:id="744"/>
      <w:bookmarkEnd w:id="745"/>
      <w:bookmarkEnd w:id="746"/>
    </w:p>
    <w:p w:rsidR="003C7764" w:rsidRPr="00D41D30" w:rsidRDefault="003C7764" w:rsidP="003C7764">
      <w:pPr>
        <w:pStyle w:val="4"/>
        <w:rPr>
          <w:rFonts w:hAnsi="Times New Roman"/>
          <w:color w:val="000000" w:themeColor="text1"/>
          <w:szCs w:val="20"/>
        </w:rPr>
      </w:pPr>
      <w:r w:rsidRPr="00D41D30">
        <w:rPr>
          <w:rFonts w:hint="eastAsia"/>
          <w:color w:val="000000" w:themeColor="text1"/>
        </w:rPr>
        <w:t>來源</w:t>
      </w:r>
      <w:r w:rsidRPr="00D41D30">
        <w:rPr>
          <w:rFonts w:hAnsi="標楷體" w:hint="eastAsia"/>
          <w:color w:val="000000" w:themeColor="text1"/>
        </w:rPr>
        <w:t>：</w:t>
      </w:r>
      <w:r w:rsidRPr="00D41D30">
        <w:rPr>
          <w:rFonts w:hint="eastAsia"/>
          <w:color w:val="000000" w:themeColor="text1"/>
        </w:rPr>
        <w:t>教育</w:t>
      </w:r>
      <w:r w:rsidRPr="00D41D30">
        <w:rPr>
          <w:rFonts w:hAnsi="Times New Roman" w:hint="eastAsia"/>
          <w:color w:val="000000" w:themeColor="text1"/>
          <w:szCs w:val="20"/>
        </w:rPr>
        <w:t>部自101年12月委託4所大學推動樂齡學習輔導團工作，協助縣市政府及樂齡中心從旁專業輔導，所需經費經由各校配合各項工作、輔導區域</w:t>
      </w:r>
      <w:r w:rsidR="00B562C7" w:rsidRPr="00D41D30">
        <w:rPr>
          <w:rFonts w:hAnsi="Times New Roman" w:hint="eastAsia"/>
          <w:color w:val="000000" w:themeColor="text1"/>
          <w:szCs w:val="20"/>
        </w:rPr>
        <w:t>（</w:t>
      </w:r>
      <w:r w:rsidRPr="00D41D30">
        <w:rPr>
          <w:rFonts w:hAnsi="Times New Roman" w:hint="eastAsia"/>
          <w:color w:val="000000" w:themeColor="text1"/>
          <w:szCs w:val="20"/>
        </w:rPr>
        <w:t>如偏鄉、離島地區</w:t>
      </w:r>
      <w:r w:rsidR="006B5136" w:rsidRPr="00D41D30">
        <w:rPr>
          <w:rFonts w:hAnsi="Times New Roman" w:hint="eastAsia"/>
          <w:color w:val="000000" w:themeColor="text1"/>
          <w:szCs w:val="20"/>
        </w:rPr>
        <w:t>）</w:t>
      </w:r>
      <w:r w:rsidRPr="00D41D30">
        <w:rPr>
          <w:rFonts w:hAnsi="Times New Roman" w:hint="eastAsia"/>
          <w:color w:val="000000" w:themeColor="text1"/>
          <w:szCs w:val="20"/>
        </w:rPr>
        <w:t>、樂齡中心數、培訓場次多寡、拍攝樂齡故事影片</w:t>
      </w:r>
      <w:r w:rsidR="00B562C7" w:rsidRPr="00D41D30">
        <w:rPr>
          <w:rFonts w:hAnsi="Times New Roman" w:hint="eastAsia"/>
          <w:color w:val="000000" w:themeColor="text1"/>
          <w:szCs w:val="20"/>
        </w:rPr>
        <w:t>（</w:t>
      </w:r>
      <w:r w:rsidRPr="00D41D30">
        <w:rPr>
          <w:rFonts w:hAnsi="Times New Roman" w:hint="eastAsia"/>
          <w:color w:val="000000" w:themeColor="text1"/>
          <w:szCs w:val="20"/>
        </w:rPr>
        <w:t>如南區拍攝原住民樂齡中心長者學習故事、中區拍攝客家地區樂齡中心學習故事</w:t>
      </w:r>
      <w:r w:rsidR="006B5136" w:rsidRPr="00D41D30">
        <w:rPr>
          <w:rFonts w:hAnsi="Times New Roman" w:hint="eastAsia"/>
          <w:color w:val="000000" w:themeColor="text1"/>
          <w:szCs w:val="20"/>
        </w:rPr>
        <w:t>）</w:t>
      </w:r>
      <w:r w:rsidRPr="00D41D30">
        <w:rPr>
          <w:rFonts w:hAnsi="Times New Roman" w:hint="eastAsia"/>
          <w:color w:val="000000" w:themeColor="text1"/>
          <w:szCs w:val="20"/>
        </w:rPr>
        <w:t>、數位教材</w:t>
      </w:r>
      <w:r w:rsidR="00B562C7" w:rsidRPr="00D41D30">
        <w:rPr>
          <w:rFonts w:hAnsi="Times New Roman" w:hint="eastAsia"/>
          <w:color w:val="000000" w:themeColor="text1"/>
          <w:szCs w:val="20"/>
        </w:rPr>
        <w:t>（</w:t>
      </w:r>
      <w:r w:rsidRPr="00D41D30">
        <w:rPr>
          <w:rFonts w:hAnsi="Times New Roman" w:hint="eastAsia"/>
          <w:color w:val="000000" w:themeColor="text1"/>
          <w:szCs w:val="20"/>
        </w:rPr>
        <w:t>中南區輔導團製作交通安全、北區輔導團製作體適能</w:t>
      </w:r>
      <w:r w:rsidR="006B5136" w:rsidRPr="00D41D30">
        <w:rPr>
          <w:rFonts w:hAnsi="Times New Roman" w:hint="eastAsia"/>
          <w:color w:val="000000" w:themeColor="text1"/>
          <w:szCs w:val="20"/>
        </w:rPr>
        <w:t>）</w:t>
      </w:r>
      <w:r w:rsidRPr="00D41D30">
        <w:rPr>
          <w:rFonts w:hAnsi="Times New Roman" w:hint="eastAsia"/>
          <w:color w:val="000000" w:themeColor="text1"/>
          <w:szCs w:val="20"/>
        </w:rPr>
        <w:t>、樂齡微電影</w:t>
      </w:r>
      <w:r w:rsidR="00B562C7" w:rsidRPr="00D41D30">
        <w:rPr>
          <w:rFonts w:hAnsi="Times New Roman" w:hint="eastAsia"/>
          <w:color w:val="000000" w:themeColor="text1"/>
          <w:szCs w:val="20"/>
        </w:rPr>
        <w:t>（</w:t>
      </w:r>
      <w:r w:rsidRPr="00D41D30">
        <w:rPr>
          <w:rFonts w:hAnsi="Times New Roman" w:hint="eastAsia"/>
          <w:color w:val="000000" w:themeColor="text1"/>
          <w:szCs w:val="20"/>
        </w:rPr>
        <w:t>如總區拍攝從「齡」開始、「樂」在其中等</w:t>
      </w:r>
      <w:r w:rsidR="006B5136" w:rsidRPr="00D41D30">
        <w:rPr>
          <w:rFonts w:hAnsi="Times New Roman" w:hint="eastAsia"/>
          <w:color w:val="000000" w:themeColor="text1"/>
          <w:szCs w:val="20"/>
        </w:rPr>
        <w:t>）</w:t>
      </w:r>
      <w:r w:rsidRPr="00D41D30">
        <w:rPr>
          <w:rFonts w:hAnsi="Times New Roman" w:hint="eastAsia"/>
          <w:color w:val="000000" w:themeColor="text1"/>
          <w:szCs w:val="20"/>
        </w:rPr>
        <w:t>及配合該部執行政策宣導</w:t>
      </w:r>
      <w:r w:rsidR="00B562C7" w:rsidRPr="00D41D30">
        <w:rPr>
          <w:rFonts w:hAnsi="Times New Roman" w:hint="eastAsia"/>
          <w:color w:val="000000" w:themeColor="text1"/>
          <w:szCs w:val="20"/>
        </w:rPr>
        <w:t>（</w:t>
      </w:r>
      <w:r w:rsidRPr="00D41D30">
        <w:rPr>
          <w:rFonts w:hAnsi="Times New Roman" w:hint="eastAsia"/>
          <w:color w:val="000000" w:themeColor="text1"/>
          <w:szCs w:val="20"/>
        </w:rPr>
        <w:t>如107年各輔導團均配合該部實施樂齡拾穗辦理相關論壇、國際研討會、代間教育研討會</w:t>
      </w:r>
      <w:r w:rsidR="006B5136" w:rsidRPr="00D41D30">
        <w:rPr>
          <w:rFonts w:hAnsi="Times New Roman" w:hint="eastAsia"/>
          <w:color w:val="000000" w:themeColor="text1"/>
          <w:szCs w:val="20"/>
        </w:rPr>
        <w:t>）</w:t>
      </w:r>
      <w:r w:rsidRPr="00D41D30">
        <w:rPr>
          <w:rFonts w:hAnsi="Times New Roman" w:hint="eastAsia"/>
          <w:color w:val="000000" w:themeColor="text1"/>
          <w:szCs w:val="20"/>
        </w:rPr>
        <w:t>等，每年經費均會酌做調整。</w:t>
      </w:r>
    </w:p>
    <w:p w:rsidR="003C7764" w:rsidRPr="00D41D30" w:rsidRDefault="003C7764" w:rsidP="003C7764">
      <w:pPr>
        <w:pStyle w:val="4"/>
        <w:rPr>
          <w:rFonts w:hAnsi="Times New Roman"/>
          <w:color w:val="000000" w:themeColor="text1"/>
          <w:szCs w:val="20"/>
        </w:rPr>
      </w:pPr>
      <w:r w:rsidRPr="00D41D30">
        <w:rPr>
          <w:rFonts w:hAnsi="Times New Roman" w:hint="eastAsia"/>
          <w:color w:val="000000" w:themeColor="text1"/>
          <w:szCs w:val="20"/>
        </w:rPr>
        <w:t>101至108年教育部委託4所大學辦理樂齡學習輔導團經費。</w:t>
      </w:r>
    </w:p>
    <w:p w:rsidR="003C7764" w:rsidRPr="00D41D30" w:rsidRDefault="003C7764" w:rsidP="00471512">
      <w:pPr>
        <w:pStyle w:val="a4"/>
        <w:ind w:left="697" w:hanging="697"/>
        <w:rPr>
          <w:b/>
          <w:color w:val="000000" w:themeColor="text1"/>
        </w:rPr>
      </w:pPr>
      <w:r w:rsidRPr="00D41D30">
        <w:rPr>
          <w:rFonts w:hint="eastAsia"/>
          <w:b/>
          <w:color w:val="000000" w:themeColor="text1"/>
        </w:rPr>
        <w:t xml:space="preserve">101至108年教育部委託4所大學辦理樂齡學習輔導團經費一覽表　</w:t>
      </w:r>
    </w:p>
    <w:p w:rsidR="003C7764" w:rsidRPr="00D41D30" w:rsidRDefault="00B562C7" w:rsidP="003C7764">
      <w:pPr>
        <w:jc w:val="right"/>
        <w:rPr>
          <w:b/>
          <w:color w:val="000000" w:themeColor="text1"/>
          <w:sz w:val="24"/>
          <w:szCs w:val="24"/>
        </w:rPr>
      </w:pPr>
      <w:r w:rsidRPr="00D41D30">
        <w:rPr>
          <w:rFonts w:hint="eastAsia"/>
          <w:color w:val="000000" w:themeColor="text1"/>
          <w:sz w:val="24"/>
          <w:szCs w:val="24"/>
        </w:rPr>
        <w:t>（</w:t>
      </w:r>
      <w:r w:rsidR="003C7764" w:rsidRPr="00D41D30">
        <w:rPr>
          <w:rFonts w:hint="eastAsia"/>
          <w:color w:val="000000" w:themeColor="text1"/>
          <w:sz w:val="24"/>
          <w:szCs w:val="24"/>
        </w:rPr>
        <w:t>單位:元</w:t>
      </w:r>
      <w:r w:rsidR="006B5136" w:rsidRPr="00D41D30">
        <w:rPr>
          <w:rFonts w:hint="eastAsia"/>
          <w:color w:val="000000" w:themeColor="text1"/>
          <w:sz w:val="24"/>
          <w:szCs w:val="24"/>
        </w:rPr>
        <w:t>）</w:t>
      </w:r>
    </w:p>
    <w:tbl>
      <w:tblPr>
        <w:tblW w:w="10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5"/>
        <w:gridCol w:w="1088"/>
        <w:gridCol w:w="1088"/>
        <w:gridCol w:w="1202"/>
        <w:gridCol w:w="1202"/>
        <w:gridCol w:w="1202"/>
        <w:gridCol w:w="1202"/>
        <w:gridCol w:w="1202"/>
        <w:gridCol w:w="1350"/>
      </w:tblGrid>
      <w:tr w:rsidR="003C7764" w:rsidRPr="00D41D30" w:rsidTr="004762AF">
        <w:trPr>
          <w:trHeight w:val="324"/>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p>
        </w:tc>
        <w:tc>
          <w:tcPr>
            <w:tcW w:w="1088"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101-102</w:t>
            </w:r>
          </w:p>
        </w:tc>
        <w:tc>
          <w:tcPr>
            <w:tcW w:w="1088"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102-103</w:t>
            </w:r>
          </w:p>
        </w:tc>
        <w:tc>
          <w:tcPr>
            <w:tcW w:w="1202"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103-104</w:t>
            </w:r>
          </w:p>
        </w:tc>
        <w:tc>
          <w:tcPr>
            <w:tcW w:w="1202"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104-105</w:t>
            </w:r>
          </w:p>
        </w:tc>
        <w:tc>
          <w:tcPr>
            <w:tcW w:w="1202"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105-106</w:t>
            </w:r>
          </w:p>
        </w:tc>
        <w:tc>
          <w:tcPr>
            <w:tcW w:w="1202"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107</w:t>
            </w:r>
          </w:p>
        </w:tc>
        <w:tc>
          <w:tcPr>
            <w:tcW w:w="1202"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108</w:t>
            </w:r>
          </w:p>
        </w:tc>
        <w:tc>
          <w:tcPr>
            <w:tcW w:w="1350"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合計</w:t>
            </w:r>
          </w:p>
        </w:tc>
      </w:tr>
      <w:tr w:rsidR="003C7764" w:rsidRPr="00D41D30" w:rsidTr="004762AF">
        <w:trPr>
          <w:trHeight w:val="324"/>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總輔團</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2,000,000</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2,860,000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3,500,000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3,860,000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4,030,000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4,280,000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3,850,000</w:t>
            </w:r>
          </w:p>
        </w:tc>
        <w:tc>
          <w:tcPr>
            <w:tcW w:w="1350" w:type="dxa"/>
            <w:vMerge w:val="restart"/>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2"/>
                <w:szCs w:val="22"/>
              </w:rPr>
            </w:pPr>
            <w:r w:rsidRPr="00D41D30">
              <w:rPr>
                <w:rFonts w:hAnsi="標楷體" w:cs="新細明體" w:hint="eastAsia"/>
                <w:color w:val="000000" w:themeColor="text1"/>
                <w:kern w:val="0"/>
                <w:sz w:val="22"/>
                <w:szCs w:val="22"/>
              </w:rPr>
              <w:t>78,182,327</w:t>
            </w:r>
          </w:p>
        </w:tc>
      </w:tr>
      <w:tr w:rsidR="003C7764" w:rsidRPr="00D41D30" w:rsidTr="004762AF">
        <w:trPr>
          <w:trHeight w:val="324"/>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北區</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1,713,000</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1,713,000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1,848,327</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1,940,000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1,950,000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2,600,000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2,360,000</w:t>
            </w:r>
          </w:p>
        </w:tc>
        <w:tc>
          <w:tcPr>
            <w:tcW w:w="1350" w:type="dxa"/>
            <w:vMerge/>
            <w:vAlign w:val="center"/>
            <w:hideMark/>
          </w:tcPr>
          <w:p w:rsidR="003C7764" w:rsidRPr="00D41D30" w:rsidRDefault="003C7764" w:rsidP="004762AF">
            <w:pPr>
              <w:widowControl/>
              <w:rPr>
                <w:rFonts w:hAnsi="標楷體" w:cs="新細明體"/>
                <w:color w:val="000000" w:themeColor="text1"/>
                <w:kern w:val="0"/>
                <w:sz w:val="24"/>
                <w:szCs w:val="24"/>
              </w:rPr>
            </w:pPr>
          </w:p>
        </w:tc>
      </w:tr>
      <w:tr w:rsidR="003C7764" w:rsidRPr="00D41D30" w:rsidTr="004762AF">
        <w:trPr>
          <w:trHeight w:val="324"/>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中區</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1,567,000</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1,560,000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1,604,000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1,711,000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1,711,000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2,250,000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2,150,000</w:t>
            </w:r>
          </w:p>
        </w:tc>
        <w:tc>
          <w:tcPr>
            <w:tcW w:w="1350" w:type="dxa"/>
            <w:vMerge/>
            <w:vAlign w:val="center"/>
            <w:hideMark/>
          </w:tcPr>
          <w:p w:rsidR="003C7764" w:rsidRPr="00D41D30" w:rsidRDefault="003C7764" w:rsidP="004762AF">
            <w:pPr>
              <w:widowControl/>
              <w:rPr>
                <w:rFonts w:hAnsi="標楷體" w:cs="新細明體"/>
                <w:color w:val="000000" w:themeColor="text1"/>
                <w:kern w:val="0"/>
                <w:sz w:val="24"/>
                <w:szCs w:val="24"/>
              </w:rPr>
            </w:pPr>
          </w:p>
        </w:tc>
      </w:tr>
      <w:tr w:rsidR="003C7764" w:rsidRPr="00D41D30" w:rsidTr="004762AF">
        <w:trPr>
          <w:trHeight w:val="324"/>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中南區</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1,582,000</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1,582,000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1,722,000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1,940,000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2,000,000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2,500,000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2,300,000</w:t>
            </w:r>
          </w:p>
        </w:tc>
        <w:tc>
          <w:tcPr>
            <w:tcW w:w="1350" w:type="dxa"/>
            <w:vMerge/>
            <w:vAlign w:val="center"/>
            <w:hideMark/>
          </w:tcPr>
          <w:p w:rsidR="003C7764" w:rsidRPr="00D41D30" w:rsidRDefault="003C7764" w:rsidP="004762AF">
            <w:pPr>
              <w:widowControl/>
              <w:rPr>
                <w:rFonts w:hAnsi="標楷體" w:cs="新細明體"/>
                <w:color w:val="000000" w:themeColor="text1"/>
                <w:kern w:val="0"/>
                <w:sz w:val="24"/>
                <w:szCs w:val="24"/>
              </w:rPr>
            </w:pPr>
          </w:p>
        </w:tc>
      </w:tr>
      <w:tr w:rsidR="003C7764" w:rsidRPr="00D41D30" w:rsidTr="004762AF">
        <w:trPr>
          <w:trHeight w:val="324"/>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南區</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1,602,000</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1,602,000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1,726,000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1,926,000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1,926,000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2,541,000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2,176,000</w:t>
            </w:r>
          </w:p>
        </w:tc>
        <w:tc>
          <w:tcPr>
            <w:tcW w:w="1350" w:type="dxa"/>
            <w:vMerge/>
            <w:vAlign w:val="center"/>
            <w:hideMark/>
          </w:tcPr>
          <w:p w:rsidR="003C7764" w:rsidRPr="00D41D30" w:rsidRDefault="003C7764" w:rsidP="004762AF">
            <w:pPr>
              <w:widowControl/>
              <w:rPr>
                <w:rFonts w:hAnsi="標楷體" w:cs="新細明體"/>
                <w:color w:val="000000" w:themeColor="text1"/>
                <w:kern w:val="0"/>
                <w:sz w:val="24"/>
                <w:szCs w:val="24"/>
              </w:rPr>
            </w:pPr>
          </w:p>
        </w:tc>
      </w:tr>
      <w:tr w:rsidR="003C7764" w:rsidRPr="00D41D30" w:rsidTr="004762AF">
        <w:trPr>
          <w:trHeight w:val="324"/>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總計</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8,464,000</w:t>
            </w:r>
          </w:p>
        </w:tc>
        <w:tc>
          <w:tcPr>
            <w:tcW w:w="1088"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9,317,000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10,400,327</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11,377,000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11,617,000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14,171,000</w:t>
            </w:r>
          </w:p>
        </w:tc>
        <w:tc>
          <w:tcPr>
            <w:tcW w:w="1202" w:type="dxa"/>
            <w:shd w:val="clear" w:color="auto" w:fill="auto"/>
            <w:noWrap/>
            <w:vAlign w:val="center"/>
            <w:hideMark/>
          </w:tcPr>
          <w:p w:rsidR="003C7764" w:rsidRPr="00D41D30" w:rsidRDefault="003C7764" w:rsidP="004762A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12,836,000</w:t>
            </w:r>
          </w:p>
        </w:tc>
        <w:tc>
          <w:tcPr>
            <w:tcW w:w="1350" w:type="dxa"/>
            <w:vMerge/>
            <w:vAlign w:val="center"/>
            <w:hideMark/>
          </w:tcPr>
          <w:p w:rsidR="003C7764" w:rsidRPr="00D41D30" w:rsidRDefault="003C7764" w:rsidP="004762AF">
            <w:pPr>
              <w:widowControl/>
              <w:rPr>
                <w:rFonts w:hAnsi="標楷體" w:cs="新細明體"/>
                <w:color w:val="000000" w:themeColor="text1"/>
                <w:kern w:val="0"/>
                <w:sz w:val="24"/>
                <w:szCs w:val="24"/>
              </w:rPr>
            </w:pPr>
          </w:p>
        </w:tc>
      </w:tr>
      <w:tr w:rsidR="003C7764" w:rsidRPr="00D41D30" w:rsidTr="004762AF">
        <w:trPr>
          <w:trHeight w:val="552"/>
          <w:jc w:val="center"/>
        </w:trPr>
        <w:tc>
          <w:tcPr>
            <w:tcW w:w="835" w:type="dxa"/>
            <w:shd w:val="clear" w:color="auto" w:fill="auto"/>
            <w:noWrap/>
            <w:vAlign w:val="center"/>
            <w:hideMark/>
          </w:tcPr>
          <w:p w:rsidR="003C7764" w:rsidRPr="00D41D30" w:rsidRDefault="003C7764" w:rsidP="004762A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備註</w:t>
            </w:r>
          </w:p>
        </w:tc>
        <w:tc>
          <w:tcPr>
            <w:tcW w:w="9536" w:type="dxa"/>
            <w:gridSpan w:val="8"/>
            <w:shd w:val="clear" w:color="auto" w:fill="auto"/>
            <w:noWrap/>
            <w:vAlign w:val="center"/>
            <w:hideMark/>
          </w:tcPr>
          <w:p w:rsidR="003C7764" w:rsidRPr="00D41D30" w:rsidRDefault="003C7764" w:rsidP="004762AF">
            <w:pPr>
              <w:widowControl/>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教育部輔導團係採跨年度的方式撥付，此經費係協議書經費</w:t>
            </w:r>
          </w:p>
        </w:tc>
      </w:tr>
    </w:tbl>
    <w:p w:rsidR="003C7764" w:rsidRPr="00D41D30" w:rsidRDefault="003C7764" w:rsidP="003C7764">
      <w:pPr>
        <w:rPr>
          <w:color w:val="000000" w:themeColor="text1"/>
        </w:rPr>
      </w:pPr>
      <w:r w:rsidRPr="00D41D30">
        <w:rPr>
          <w:rFonts w:hint="eastAsia"/>
          <w:color w:val="000000" w:themeColor="text1"/>
        </w:rPr>
        <w:t xml:space="preserve">  </w:t>
      </w:r>
      <w:r w:rsidRPr="00D41D30">
        <w:rPr>
          <w:rFonts w:hint="eastAsia"/>
          <w:color w:val="000000" w:themeColor="text1"/>
          <w:sz w:val="24"/>
          <w:szCs w:val="24"/>
        </w:rPr>
        <w:t>資料來源：教育部提供</w:t>
      </w:r>
    </w:p>
    <w:p w:rsidR="003C7764" w:rsidRPr="00D41D30" w:rsidRDefault="003C7764" w:rsidP="003C7764">
      <w:pPr>
        <w:pStyle w:val="3"/>
        <w:spacing w:beforeLines="50" w:before="228"/>
        <w:ind w:left="1360" w:hanging="680"/>
        <w:rPr>
          <w:color w:val="000000" w:themeColor="text1"/>
        </w:rPr>
      </w:pPr>
      <w:bookmarkStart w:id="747" w:name="_Toc30512504"/>
      <w:bookmarkStart w:id="748" w:name="_Toc30581212"/>
      <w:bookmarkStart w:id="749" w:name="_Toc32392485"/>
      <w:bookmarkStart w:id="750" w:name="_Toc32673676"/>
      <w:bookmarkStart w:id="751" w:name="_Toc32846539"/>
      <w:bookmarkStart w:id="752" w:name="_Toc32913782"/>
      <w:bookmarkStart w:id="753" w:name="_Toc32918458"/>
      <w:bookmarkStart w:id="754" w:name="_Toc33011751"/>
      <w:r w:rsidRPr="00D41D30">
        <w:rPr>
          <w:rFonts w:hint="eastAsia"/>
          <w:color w:val="000000" w:themeColor="text1"/>
        </w:rPr>
        <w:t>總團與分區輔導團辦理之業務</w:t>
      </w:r>
      <w:bookmarkEnd w:id="747"/>
      <w:bookmarkEnd w:id="748"/>
      <w:bookmarkEnd w:id="749"/>
      <w:bookmarkEnd w:id="750"/>
      <w:bookmarkEnd w:id="751"/>
      <w:bookmarkEnd w:id="752"/>
      <w:bookmarkEnd w:id="753"/>
      <w:bookmarkEnd w:id="754"/>
    </w:p>
    <w:p w:rsidR="003C7764" w:rsidRPr="00D41D30" w:rsidRDefault="003C7764" w:rsidP="00806A57">
      <w:pPr>
        <w:pStyle w:val="21"/>
        <w:ind w:leftChars="417" w:left="1418" w:firstLine="680"/>
        <w:rPr>
          <w:color w:val="000000" w:themeColor="text1"/>
        </w:rPr>
      </w:pPr>
      <w:r w:rsidRPr="00D41D30">
        <w:rPr>
          <w:rFonts w:hint="eastAsia"/>
          <w:color w:val="000000" w:themeColor="text1"/>
        </w:rPr>
        <w:lastRenderedPageBreak/>
        <w:t>國內4所大學成立5個輔導團，同時進行分區輔導工作，推動各項在地化的高齡教育工作、發展樂齡學習中心的特色、研編教材、辦理聯繫及座談會議、規劃各經營團隊之培訓工作，並訪評樂齡學習中心，透過實際訪視瞭解中心運作狀況，提供經營運作所需之諮詢輔導意見，形成政策建議。輔導團帶動各縣市政府首長重視推動樂齡學習中心，並且輔導各樂齡中心承辦單位學習如何營運中心，及設計不同於長青學苑、社區老人團體唱跳課程之樂齡學習課程</w:t>
      </w:r>
      <w:r w:rsidR="00B562C7" w:rsidRPr="00D41D30">
        <w:rPr>
          <w:rFonts w:hint="eastAsia"/>
          <w:color w:val="000000" w:themeColor="text1"/>
        </w:rPr>
        <w:t>（</w:t>
      </w:r>
      <w:r w:rsidRPr="00D41D30">
        <w:rPr>
          <w:rFonts w:hint="eastAsia"/>
          <w:color w:val="000000" w:themeColor="text1"/>
        </w:rPr>
        <w:t>分為樂齡核心課程、自主規劃及貢獻服務課程</w:t>
      </w:r>
      <w:r w:rsidR="006B5136" w:rsidRPr="00D41D30">
        <w:rPr>
          <w:rFonts w:hint="eastAsia"/>
          <w:color w:val="000000" w:themeColor="text1"/>
        </w:rPr>
        <w:t>）</w:t>
      </w:r>
      <w:r w:rsidRPr="00D41D30">
        <w:rPr>
          <w:rFonts w:hint="eastAsia"/>
          <w:color w:val="000000" w:themeColor="text1"/>
        </w:rPr>
        <w:t>，也為國內的高齡教育工作推動建立良好典範。執行工作如下：</w:t>
      </w:r>
    </w:p>
    <w:p w:rsidR="003C7764" w:rsidRPr="00D41D30" w:rsidRDefault="003C7764" w:rsidP="003C7764">
      <w:pPr>
        <w:pStyle w:val="4"/>
        <w:rPr>
          <w:color w:val="000000" w:themeColor="text1"/>
        </w:rPr>
      </w:pPr>
      <w:r w:rsidRPr="00D41D30">
        <w:rPr>
          <w:rFonts w:hint="eastAsia"/>
          <w:color w:val="000000" w:themeColor="text1"/>
        </w:rPr>
        <w:t>樂齡學習總輔導團：由國立中正大學執行，執行工作以：</w:t>
      </w:r>
      <w:r w:rsidR="00B562C7" w:rsidRPr="00D41D30">
        <w:rPr>
          <w:rFonts w:hint="eastAsia"/>
          <w:color w:val="000000" w:themeColor="text1"/>
        </w:rPr>
        <w:t>（</w:t>
      </w:r>
      <w:r w:rsidRPr="00D41D30">
        <w:rPr>
          <w:rFonts w:hint="eastAsia"/>
          <w:color w:val="000000" w:themeColor="text1"/>
        </w:rPr>
        <w:t>1</w:t>
      </w:r>
      <w:r w:rsidR="006B5136" w:rsidRPr="00D41D30">
        <w:rPr>
          <w:rFonts w:hint="eastAsia"/>
          <w:color w:val="000000" w:themeColor="text1"/>
        </w:rPr>
        <w:t>）</w:t>
      </w:r>
      <w:r w:rsidRPr="00D41D30">
        <w:rPr>
          <w:rFonts w:hint="eastAsia"/>
          <w:color w:val="000000" w:themeColor="text1"/>
        </w:rPr>
        <w:t>擬訂各區訪視評鑑與輔導計畫</w:t>
      </w:r>
      <w:r w:rsidR="00B562C7" w:rsidRPr="00D41D30">
        <w:rPr>
          <w:rFonts w:hint="eastAsia"/>
          <w:color w:val="000000" w:themeColor="text1"/>
        </w:rPr>
        <w:t>（</w:t>
      </w:r>
      <w:r w:rsidRPr="00D41D30">
        <w:rPr>
          <w:rFonts w:hint="eastAsia"/>
          <w:color w:val="000000" w:themeColor="text1"/>
        </w:rPr>
        <w:t>後轉型為抽訪計畫</w:t>
      </w:r>
      <w:r w:rsidR="006B5136" w:rsidRPr="00D41D30">
        <w:rPr>
          <w:rFonts w:hint="eastAsia"/>
          <w:color w:val="000000" w:themeColor="text1"/>
        </w:rPr>
        <w:t>）</w:t>
      </w:r>
      <w:r w:rsidRPr="00D41D30">
        <w:rPr>
          <w:rFonts w:hint="eastAsia"/>
          <w:color w:val="000000" w:themeColor="text1"/>
        </w:rPr>
        <w:t>；</w:t>
      </w:r>
      <w:r w:rsidR="00B562C7" w:rsidRPr="00D41D30">
        <w:rPr>
          <w:rFonts w:hint="eastAsia"/>
          <w:color w:val="000000" w:themeColor="text1"/>
        </w:rPr>
        <w:t>（</w:t>
      </w:r>
      <w:r w:rsidRPr="00D41D30">
        <w:rPr>
          <w:rFonts w:hint="eastAsia"/>
          <w:color w:val="000000" w:themeColor="text1"/>
        </w:rPr>
        <w:t>2</w:t>
      </w:r>
      <w:r w:rsidR="006B5136" w:rsidRPr="00D41D30">
        <w:rPr>
          <w:rFonts w:hint="eastAsia"/>
          <w:color w:val="000000" w:themeColor="text1"/>
        </w:rPr>
        <w:t>）</w:t>
      </w:r>
      <w:r w:rsidRPr="00D41D30">
        <w:rPr>
          <w:rFonts w:hint="eastAsia"/>
          <w:color w:val="000000" w:themeColor="text1"/>
        </w:rPr>
        <w:t>研擬樂齡學習中心高齡</w:t>
      </w:r>
      <w:r w:rsidRPr="00D41D30">
        <w:rPr>
          <w:rFonts w:hAnsi="Times New Roman" w:hint="eastAsia"/>
          <w:color w:val="000000" w:themeColor="text1"/>
          <w:szCs w:val="20"/>
        </w:rPr>
        <w:t>教育</w:t>
      </w:r>
      <w:r w:rsidRPr="00D41D30">
        <w:rPr>
          <w:rFonts w:hint="eastAsia"/>
          <w:color w:val="000000" w:themeColor="text1"/>
        </w:rPr>
        <w:t>核心課程主題及編撰基礎教材</w:t>
      </w:r>
      <w:r w:rsidR="00B562C7" w:rsidRPr="00D41D30">
        <w:rPr>
          <w:rFonts w:hint="eastAsia"/>
          <w:color w:val="000000" w:themeColor="text1"/>
        </w:rPr>
        <w:t>（</w:t>
      </w:r>
      <w:r w:rsidRPr="00D41D30">
        <w:rPr>
          <w:rFonts w:hint="eastAsia"/>
          <w:color w:val="000000" w:themeColor="text1"/>
        </w:rPr>
        <w:t>共編撰12本教材</w:t>
      </w:r>
      <w:r w:rsidR="006B5136" w:rsidRPr="00D41D30">
        <w:rPr>
          <w:rFonts w:hint="eastAsia"/>
          <w:color w:val="000000" w:themeColor="text1"/>
        </w:rPr>
        <w:t>）</w:t>
      </w:r>
      <w:r w:rsidRPr="00D41D30">
        <w:rPr>
          <w:rFonts w:hint="eastAsia"/>
          <w:color w:val="000000" w:themeColor="text1"/>
        </w:rPr>
        <w:t>；</w:t>
      </w:r>
      <w:r w:rsidR="00B562C7" w:rsidRPr="00D41D30">
        <w:rPr>
          <w:rFonts w:hint="eastAsia"/>
          <w:color w:val="000000" w:themeColor="text1"/>
        </w:rPr>
        <w:t>（</w:t>
      </w:r>
      <w:r w:rsidRPr="00D41D30">
        <w:rPr>
          <w:rFonts w:hint="eastAsia"/>
          <w:color w:val="000000" w:themeColor="text1"/>
        </w:rPr>
        <w:t>3</w:t>
      </w:r>
      <w:r w:rsidR="006B5136" w:rsidRPr="00D41D30">
        <w:rPr>
          <w:rFonts w:hint="eastAsia"/>
          <w:color w:val="000000" w:themeColor="text1"/>
        </w:rPr>
        <w:t>）</w:t>
      </w:r>
      <w:r w:rsidRPr="00D41D30">
        <w:rPr>
          <w:rFonts w:hint="eastAsia"/>
          <w:color w:val="000000" w:themeColor="text1"/>
        </w:rPr>
        <w:t>定期召開示範中心聯繫會議；</w:t>
      </w:r>
      <w:r w:rsidR="00B562C7" w:rsidRPr="00D41D30">
        <w:rPr>
          <w:rFonts w:hint="eastAsia"/>
          <w:color w:val="000000" w:themeColor="text1"/>
        </w:rPr>
        <w:t>（</w:t>
      </w:r>
      <w:r w:rsidRPr="00D41D30">
        <w:rPr>
          <w:rFonts w:hint="eastAsia"/>
          <w:color w:val="000000" w:themeColor="text1"/>
        </w:rPr>
        <w:t>4</w:t>
      </w:r>
      <w:r w:rsidR="006B5136" w:rsidRPr="00D41D30">
        <w:rPr>
          <w:rFonts w:hint="eastAsia"/>
          <w:color w:val="000000" w:themeColor="text1"/>
        </w:rPr>
        <w:t>）</w:t>
      </w:r>
      <w:r w:rsidRPr="00D41D30">
        <w:rPr>
          <w:rFonts w:hint="eastAsia"/>
          <w:color w:val="000000" w:themeColor="text1"/>
        </w:rPr>
        <w:t>籌辦全國各縣市訪視委員及各縣市行政人員研習會；</w:t>
      </w:r>
      <w:r w:rsidR="00B562C7" w:rsidRPr="00D41D30">
        <w:rPr>
          <w:rFonts w:hint="eastAsia"/>
          <w:color w:val="000000" w:themeColor="text1"/>
        </w:rPr>
        <w:t>（</w:t>
      </w:r>
      <w:r w:rsidRPr="00D41D30">
        <w:rPr>
          <w:rFonts w:hint="eastAsia"/>
          <w:color w:val="000000" w:themeColor="text1"/>
        </w:rPr>
        <w:t>5</w:t>
      </w:r>
      <w:r w:rsidR="006B5136" w:rsidRPr="00D41D30">
        <w:rPr>
          <w:rFonts w:hint="eastAsia"/>
          <w:color w:val="000000" w:themeColor="text1"/>
        </w:rPr>
        <w:t>）</w:t>
      </w:r>
      <w:r w:rsidRPr="00D41D30">
        <w:rPr>
          <w:rFonts w:hint="eastAsia"/>
          <w:color w:val="000000" w:themeColor="text1"/>
        </w:rPr>
        <w:t>辦理年度成果觀摩交流會；</w:t>
      </w:r>
      <w:r w:rsidR="00B562C7" w:rsidRPr="00D41D30">
        <w:rPr>
          <w:rFonts w:hint="eastAsia"/>
          <w:color w:val="000000" w:themeColor="text1"/>
        </w:rPr>
        <w:t>（</w:t>
      </w:r>
      <w:r w:rsidRPr="00D41D30">
        <w:rPr>
          <w:rFonts w:hint="eastAsia"/>
          <w:color w:val="000000" w:themeColor="text1"/>
        </w:rPr>
        <w:t>6</w:t>
      </w:r>
      <w:r w:rsidR="006B5136" w:rsidRPr="00D41D30">
        <w:rPr>
          <w:rFonts w:hint="eastAsia"/>
          <w:color w:val="000000" w:themeColor="text1"/>
        </w:rPr>
        <w:t>）</w:t>
      </w:r>
      <w:r w:rsidRPr="00D41D30">
        <w:rPr>
          <w:rFonts w:hint="eastAsia"/>
          <w:color w:val="000000" w:themeColor="text1"/>
        </w:rPr>
        <w:t>不定期辦理國際研討會；</w:t>
      </w:r>
      <w:r w:rsidR="00B562C7" w:rsidRPr="00D41D30">
        <w:rPr>
          <w:rFonts w:hint="eastAsia"/>
          <w:color w:val="000000" w:themeColor="text1"/>
        </w:rPr>
        <w:t>（</w:t>
      </w:r>
      <w:r w:rsidRPr="00D41D30">
        <w:rPr>
          <w:rFonts w:hint="eastAsia"/>
          <w:color w:val="000000" w:themeColor="text1"/>
        </w:rPr>
        <w:t>7</w:t>
      </w:r>
      <w:r w:rsidR="006B5136" w:rsidRPr="00D41D30">
        <w:rPr>
          <w:rFonts w:hint="eastAsia"/>
          <w:color w:val="000000" w:themeColor="text1"/>
        </w:rPr>
        <w:t>）</w:t>
      </w:r>
      <w:r w:rsidRPr="00D41D30">
        <w:rPr>
          <w:rFonts w:hint="eastAsia"/>
          <w:color w:val="000000" w:themeColor="text1"/>
        </w:rPr>
        <w:t>策劃創新教學模式；</w:t>
      </w:r>
      <w:r w:rsidR="00B562C7" w:rsidRPr="00D41D30">
        <w:rPr>
          <w:rFonts w:hint="eastAsia"/>
          <w:color w:val="000000" w:themeColor="text1"/>
        </w:rPr>
        <w:t>（</w:t>
      </w:r>
      <w:r w:rsidRPr="00D41D30">
        <w:rPr>
          <w:rFonts w:hint="eastAsia"/>
          <w:color w:val="000000" w:themeColor="text1"/>
        </w:rPr>
        <w:t>8</w:t>
      </w:r>
      <w:r w:rsidR="006B5136" w:rsidRPr="00D41D30">
        <w:rPr>
          <w:rFonts w:hint="eastAsia"/>
          <w:color w:val="000000" w:themeColor="text1"/>
        </w:rPr>
        <w:t>）</w:t>
      </w:r>
      <w:r w:rsidRPr="00D41D30">
        <w:rPr>
          <w:rFonts w:hint="eastAsia"/>
          <w:color w:val="000000" w:themeColor="text1"/>
        </w:rPr>
        <w:t>蒐集及建立全國樂齡中心基本資料、成果檢視；</w:t>
      </w:r>
      <w:r w:rsidR="00B562C7" w:rsidRPr="00D41D30">
        <w:rPr>
          <w:rFonts w:hint="eastAsia"/>
          <w:color w:val="000000" w:themeColor="text1"/>
        </w:rPr>
        <w:t>（</w:t>
      </w:r>
      <w:r w:rsidRPr="00D41D30">
        <w:rPr>
          <w:rFonts w:hint="eastAsia"/>
          <w:color w:val="000000" w:themeColor="text1"/>
        </w:rPr>
        <w:t>9</w:t>
      </w:r>
      <w:r w:rsidR="006B5136" w:rsidRPr="00D41D30">
        <w:rPr>
          <w:rFonts w:hint="eastAsia"/>
          <w:color w:val="000000" w:themeColor="text1"/>
        </w:rPr>
        <w:t>）</w:t>
      </w:r>
      <w:r w:rsidRPr="00D41D30">
        <w:rPr>
          <w:rFonts w:hint="eastAsia"/>
          <w:color w:val="000000" w:themeColor="text1"/>
        </w:rPr>
        <w:t>甄選及輔導各縣市樂齡學習示範、優質中心進行特色方案；</w:t>
      </w:r>
      <w:r w:rsidR="00B562C7" w:rsidRPr="00D41D30">
        <w:rPr>
          <w:rFonts w:hint="eastAsia"/>
          <w:color w:val="000000" w:themeColor="text1"/>
        </w:rPr>
        <w:t>（</w:t>
      </w:r>
      <w:r w:rsidRPr="00D41D30">
        <w:rPr>
          <w:rFonts w:hint="eastAsia"/>
          <w:color w:val="000000" w:themeColor="text1"/>
        </w:rPr>
        <w:t>10</w:t>
      </w:r>
      <w:r w:rsidR="006B5136" w:rsidRPr="00D41D30">
        <w:rPr>
          <w:rFonts w:hint="eastAsia"/>
          <w:color w:val="000000" w:themeColor="text1"/>
        </w:rPr>
        <w:t>）</w:t>
      </w:r>
      <w:r w:rsidRPr="00D41D30">
        <w:rPr>
          <w:rFonts w:hint="eastAsia"/>
          <w:color w:val="000000" w:themeColor="text1"/>
        </w:rPr>
        <w:t>進行全國樂齡中心研究調查；</w:t>
      </w:r>
      <w:r w:rsidR="00B562C7" w:rsidRPr="00D41D30">
        <w:rPr>
          <w:rFonts w:hint="eastAsia"/>
          <w:color w:val="000000" w:themeColor="text1"/>
        </w:rPr>
        <w:t>（</w:t>
      </w:r>
      <w:r w:rsidRPr="00D41D30">
        <w:rPr>
          <w:rFonts w:hint="eastAsia"/>
          <w:color w:val="000000" w:themeColor="text1"/>
        </w:rPr>
        <w:t>11</w:t>
      </w:r>
      <w:r w:rsidR="006B5136" w:rsidRPr="00D41D30">
        <w:rPr>
          <w:rFonts w:hint="eastAsia"/>
          <w:color w:val="000000" w:themeColor="text1"/>
        </w:rPr>
        <w:t>）</w:t>
      </w:r>
      <w:r w:rsidRPr="00D41D30">
        <w:rPr>
          <w:rFonts w:hint="eastAsia"/>
          <w:color w:val="000000" w:themeColor="text1"/>
        </w:rPr>
        <w:t>新辦中心經營團隊培訓。</w:t>
      </w:r>
    </w:p>
    <w:p w:rsidR="003C7764" w:rsidRPr="00D41D30" w:rsidRDefault="003C7764" w:rsidP="003C7764">
      <w:pPr>
        <w:pStyle w:val="4"/>
        <w:rPr>
          <w:color w:val="000000" w:themeColor="text1"/>
        </w:rPr>
      </w:pPr>
      <w:r w:rsidRPr="00D41D30">
        <w:rPr>
          <w:rFonts w:hint="eastAsia"/>
          <w:color w:val="000000" w:themeColor="text1"/>
        </w:rPr>
        <w:t>樂齡學習分區輔導團：委請國立臺灣師範大學（北區）、國立暨南國際大學（中區）、國立中正大學（中南區）、國立高雄師範大學（南區），協助輔導全國各縣市4個分區的樂齡學習中心</w:t>
      </w:r>
      <w:r w:rsidRPr="00D41D30">
        <w:rPr>
          <w:rFonts w:hint="eastAsia"/>
          <w:color w:val="000000" w:themeColor="text1"/>
        </w:rPr>
        <w:lastRenderedPageBreak/>
        <w:t>經營與課程教學活動，讓高齡者在活躍老化中實踐樂齡學習的理想。4個分區輔導團的主要任務及工作項目包括有：（1）協助審查及輔導樂齡中心撰寫相關方案計畫；（2）協助團隊成員提升樂齡專業素養；（3）提升樂齡教育專業人員之課程規劃與教學專業素養；（4）建立縣市樂齡教育專業人員之溝通平臺與專業成長社群；（5）增進區域內樂齡學習相關資源之充分運用，建立樂齡學習之夥伴關係；（6）帶動偏鄉地區樂齡資源之成長，鼓勵偏鄉樂齡之均衡發展；（7）引進樂齡學習國際思潮與組織運作經驗；（8）激勵樂齡中心及相關團體，鼓舞樂齡中心士氣；（9）協助樂齡中心整合與發展特色，強化樂齡中心之成果行銷。</w:t>
      </w:r>
    </w:p>
    <w:p w:rsidR="003C7764" w:rsidRPr="00D41D30" w:rsidRDefault="003C7764" w:rsidP="003C7764">
      <w:pPr>
        <w:pStyle w:val="3"/>
        <w:rPr>
          <w:color w:val="000000" w:themeColor="text1"/>
        </w:rPr>
      </w:pPr>
      <w:bookmarkStart w:id="755" w:name="_Toc16693371"/>
      <w:bookmarkStart w:id="756" w:name="_Toc30512505"/>
      <w:bookmarkStart w:id="757" w:name="_Toc30581213"/>
      <w:bookmarkStart w:id="758" w:name="_Toc32392486"/>
      <w:bookmarkStart w:id="759" w:name="_Toc32673677"/>
      <w:bookmarkStart w:id="760" w:name="_Toc32846540"/>
      <w:bookmarkStart w:id="761" w:name="_Toc32913783"/>
      <w:bookmarkStart w:id="762" w:name="_Toc32918459"/>
      <w:bookmarkStart w:id="763" w:name="_Toc33011752"/>
      <w:bookmarkStart w:id="764" w:name="_Toc16588739"/>
      <w:r w:rsidRPr="00D41D30">
        <w:rPr>
          <w:rFonts w:hint="eastAsia"/>
          <w:color w:val="000000" w:themeColor="text1"/>
        </w:rPr>
        <w:t>訪視輔導情形</w:t>
      </w:r>
      <w:bookmarkEnd w:id="755"/>
      <w:bookmarkEnd w:id="756"/>
      <w:bookmarkEnd w:id="757"/>
      <w:bookmarkEnd w:id="758"/>
      <w:bookmarkEnd w:id="759"/>
      <w:bookmarkEnd w:id="760"/>
      <w:bookmarkEnd w:id="761"/>
      <w:bookmarkEnd w:id="762"/>
      <w:bookmarkEnd w:id="763"/>
    </w:p>
    <w:p w:rsidR="003C7764" w:rsidRPr="00D41D30" w:rsidRDefault="003C7764" w:rsidP="003C7764">
      <w:pPr>
        <w:pStyle w:val="4"/>
        <w:rPr>
          <w:color w:val="000000" w:themeColor="text1"/>
        </w:rPr>
      </w:pPr>
      <w:r w:rsidRPr="00D41D30">
        <w:rPr>
          <w:rFonts w:hint="eastAsia"/>
          <w:color w:val="000000" w:themeColor="text1"/>
        </w:rPr>
        <w:t>樂齡學習</w:t>
      </w:r>
      <w:r w:rsidRPr="00D41D30">
        <w:rPr>
          <w:rFonts w:hAnsi="標楷體" w:hint="eastAsia"/>
          <w:color w:val="000000" w:themeColor="text1"/>
          <w:szCs w:val="32"/>
        </w:rPr>
        <w:t>中心</w:t>
      </w:r>
    </w:p>
    <w:p w:rsidR="003C7764" w:rsidRPr="00D41D30" w:rsidRDefault="003C7764" w:rsidP="003C7764">
      <w:pPr>
        <w:pStyle w:val="5"/>
        <w:rPr>
          <w:color w:val="000000" w:themeColor="text1"/>
        </w:rPr>
      </w:pPr>
      <w:r w:rsidRPr="00D41D30">
        <w:rPr>
          <w:rFonts w:hint="eastAsia"/>
          <w:color w:val="000000" w:themeColor="text1"/>
        </w:rPr>
        <w:t>每年並開會檢討訪視機制，除新設置之樂齡中心進行期初訪視</w:t>
      </w:r>
      <w:r w:rsidR="00B562C7" w:rsidRPr="00D41D30">
        <w:rPr>
          <w:rFonts w:hint="eastAsia"/>
          <w:color w:val="000000" w:themeColor="text1"/>
        </w:rPr>
        <w:t>（</w:t>
      </w:r>
      <w:r w:rsidRPr="00D41D30">
        <w:rPr>
          <w:rFonts w:hint="eastAsia"/>
          <w:color w:val="000000" w:themeColor="text1"/>
        </w:rPr>
        <w:t>以了解環境空間、</w:t>
      </w:r>
      <w:r w:rsidRPr="00D41D30">
        <w:rPr>
          <w:rFonts w:hint="eastAsia"/>
          <w:color w:val="000000" w:themeColor="text1"/>
        </w:rPr>
        <w:tab/>
        <w:t>經營團隊運作、課程排定及結合附近資源情形</w:t>
      </w:r>
      <w:r w:rsidR="006B5136" w:rsidRPr="00D41D30">
        <w:rPr>
          <w:rFonts w:hint="eastAsia"/>
          <w:color w:val="000000" w:themeColor="text1"/>
        </w:rPr>
        <w:t>）</w:t>
      </w:r>
      <w:r w:rsidRPr="00D41D30">
        <w:rPr>
          <w:rFonts w:hint="eastAsia"/>
          <w:color w:val="000000" w:themeColor="text1"/>
        </w:rPr>
        <w:t>、期中訪視外，餘採抽訪、集中訪視方式進行。</w:t>
      </w:r>
    </w:p>
    <w:p w:rsidR="003C7764" w:rsidRPr="00D41D30" w:rsidRDefault="003C7764" w:rsidP="003C7764">
      <w:pPr>
        <w:pStyle w:val="5"/>
        <w:rPr>
          <w:color w:val="000000" w:themeColor="text1"/>
        </w:rPr>
      </w:pPr>
      <w:r w:rsidRPr="00D41D30">
        <w:rPr>
          <w:rFonts w:hAnsi="標楷體" w:hint="eastAsia"/>
          <w:color w:val="000000" w:themeColor="text1"/>
          <w:szCs w:val="32"/>
        </w:rPr>
        <w:t>105年起，為簡化行政程序，併同縣市政府進行訪視，除新設置之中心由輔導團委員實地進行2次訪視</w:t>
      </w:r>
      <w:r w:rsidR="00B562C7" w:rsidRPr="00D41D30">
        <w:rPr>
          <w:rFonts w:hAnsi="標楷體" w:hint="eastAsia"/>
          <w:color w:val="000000" w:themeColor="text1"/>
          <w:szCs w:val="32"/>
        </w:rPr>
        <w:t>（</w:t>
      </w:r>
      <w:r w:rsidRPr="00D41D30">
        <w:rPr>
          <w:rFonts w:hAnsi="標楷體" w:hint="eastAsia"/>
          <w:color w:val="000000" w:themeColor="text1"/>
          <w:szCs w:val="32"/>
        </w:rPr>
        <w:t>期初訪視、期中訪視</w:t>
      </w:r>
      <w:r w:rsidR="006B5136" w:rsidRPr="00D41D30">
        <w:rPr>
          <w:rFonts w:hAnsi="標楷體" w:hint="eastAsia"/>
          <w:color w:val="000000" w:themeColor="text1"/>
          <w:szCs w:val="32"/>
        </w:rPr>
        <w:t>）</w:t>
      </w:r>
      <w:r w:rsidRPr="00D41D30">
        <w:rPr>
          <w:rFonts w:hAnsi="標楷體" w:hint="eastAsia"/>
          <w:color w:val="000000" w:themeColor="text1"/>
          <w:szCs w:val="32"/>
        </w:rPr>
        <w:t>外，餘續辦中心採配合縣市進行實地抽訪，避免樂齡中心疲於奔命，爰後續訪視委員，以輔導團之主持人或協同主持人為主，不另邀請其他領域專家參與，實際抽訪之中心數如表</w:t>
      </w:r>
      <w:r w:rsidR="00144AF5" w:rsidRPr="00D41D30">
        <w:rPr>
          <w:rFonts w:hAnsi="標楷體" w:hint="eastAsia"/>
          <w:color w:val="000000" w:themeColor="text1"/>
          <w:szCs w:val="32"/>
        </w:rPr>
        <w:t>24</w:t>
      </w:r>
      <w:r w:rsidRPr="00D41D30">
        <w:rPr>
          <w:rFonts w:hAnsi="標楷體" w:hint="eastAsia"/>
          <w:color w:val="000000" w:themeColor="text1"/>
          <w:szCs w:val="32"/>
        </w:rPr>
        <w:t>。</w:t>
      </w:r>
    </w:p>
    <w:p w:rsidR="003C7764" w:rsidRPr="00D41D30" w:rsidRDefault="008737BC" w:rsidP="00DF53E6">
      <w:pPr>
        <w:pStyle w:val="a4"/>
        <w:ind w:left="697" w:hanging="697"/>
        <w:rPr>
          <w:b/>
          <w:color w:val="000000" w:themeColor="text1"/>
        </w:rPr>
      </w:pPr>
      <w:r w:rsidRPr="00D41D30">
        <w:rPr>
          <w:rFonts w:hAnsi="標楷體" w:cs="新細明體" w:hint="eastAsia"/>
          <w:b/>
          <w:color w:val="000000" w:themeColor="text1"/>
          <w:kern w:val="0"/>
        </w:rPr>
        <w:lastRenderedPageBreak/>
        <w:t>102至108年教育部委託各樂齡學習輔導團實地抽訪數量一覽表</w:t>
      </w:r>
    </w:p>
    <w:tbl>
      <w:tblPr>
        <w:tblStyle w:val="13"/>
        <w:tblW w:w="7938" w:type="dxa"/>
        <w:jc w:val="center"/>
        <w:tblLook w:val="04A0" w:firstRow="1" w:lastRow="0" w:firstColumn="1" w:lastColumn="0" w:noHBand="0" w:noVBand="1"/>
      </w:tblPr>
      <w:tblGrid>
        <w:gridCol w:w="1049"/>
        <w:gridCol w:w="936"/>
        <w:gridCol w:w="992"/>
        <w:gridCol w:w="992"/>
        <w:gridCol w:w="993"/>
        <w:gridCol w:w="992"/>
        <w:gridCol w:w="992"/>
        <w:gridCol w:w="992"/>
      </w:tblGrid>
      <w:tr w:rsidR="006D7B45" w:rsidRPr="00D41D30" w:rsidTr="002F3F22">
        <w:trPr>
          <w:trHeight w:val="70"/>
          <w:jc w:val="center"/>
        </w:trPr>
        <w:tc>
          <w:tcPr>
            <w:tcW w:w="1049"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輔導團</w:t>
            </w:r>
          </w:p>
        </w:tc>
        <w:tc>
          <w:tcPr>
            <w:tcW w:w="936"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102年</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103年</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104年</w:t>
            </w:r>
          </w:p>
        </w:tc>
        <w:tc>
          <w:tcPr>
            <w:tcW w:w="993"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105年</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106年</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107年</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108年</w:t>
            </w:r>
          </w:p>
        </w:tc>
      </w:tr>
      <w:tr w:rsidR="006D7B45" w:rsidRPr="00D41D30" w:rsidTr="002F3F22">
        <w:trPr>
          <w:trHeight w:val="70"/>
          <w:jc w:val="center"/>
        </w:trPr>
        <w:tc>
          <w:tcPr>
            <w:tcW w:w="1049"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北區</w:t>
            </w:r>
          </w:p>
        </w:tc>
        <w:tc>
          <w:tcPr>
            <w:tcW w:w="936"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51</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13</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13</w:t>
            </w:r>
          </w:p>
        </w:tc>
        <w:tc>
          <w:tcPr>
            <w:tcW w:w="993"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47</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51</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40</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41</w:t>
            </w:r>
          </w:p>
        </w:tc>
      </w:tr>
      <w:tr w:rsidR="006D7B45" w:rsidRPr="00D41D30" w:rsidTr="002F3F22">
        <w:trPr>
          <w:trHeight w:val="70"/>
          <w:jc w:val="center"/>
        </w:trPr>
        <w:tc>
          <w:tcPr>
            <w:tcW w:w="1049"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中區</w:t>
            </w:r>
          </w:p>
        </w:tc>
        <w:tc>
          <w:tcPr>
            <w:tcW w:w="936"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57</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22</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15</w:t>
            </w:r>
          </w:p>
        </w:tc>
        <w:tc>
          <w:tcPr>
            <w:tcW w:w="993"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43</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53</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40</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32</w:t>
            </w:r>
          </w:p>
        </w:tc>
      </w:tr>
      <w:tr w:rsidR="006D7B45" w:rsidRPr="00D41D30" w:rsidTr="002F3F22">
        <w:trPr>
          <w:trHeight w:val="70"/>
          <w:jc w:val="center"/>
        </w:trPr>
        <w:tc>
          <w:tcPr>
            <w:tcW w:w="1049"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中南區</w:t>
            </w:r>
          </w:p>
        </w:tc>
        <w:tc>
          <w:tcPr>
            <w:tcW w:w="936"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37</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12</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24</w:t>
            </w:r>
          </w:p>
        </w:tc>
        <w:tc>
          <w:tcPr>
            <w:tcW w:w="993"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14</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25</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27</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15</w:t>
            </w:r>
          </w:p>
        </w:tc>
      </w:tr>
      <w:tr w:rsidR="006D7B45" w:rsidRPr="00D41D30" w:rsidTr="002F3F22">
        <w:trPr>
          <w:trHeight w:val="70"/>
          <w:jc w:val="center"/>
        </w:trPr>
        <w:tc>
          <w:tcPr>
            <w:tcW w:w="1049"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南區</w:t>
            </w:r>
          </w:p>
        </w:tc>
        <w:tc>
          <w:tcPr>
            <w:tcW w:w="936"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49</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19</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11</w:t>
            </w:r>
          </w:p>
        </w:tc>
        <w:tc>
          <w:tcPr>
            <w:tcW w:w="993"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54</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38</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31</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78</w:t>
            </w:r>
          </w:p>
        </w:tc>
      </w:tr>
      <w:tr w:rsidR="006D7B45" w:rsidRPr="00D41D30" w:rsidTr="002F3F22">
        <w:trPr>
          <w:trHeight w:val="70"/>
          <w:jc w:val="center"/>
        </w:trPr>
        <w:tc>
          <w:tcPr>
            <w:tcW w:w="1049"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總區</w:t>
            </w:r>
          </w:p>
        </w:tc>
        <w:tc>
          <w:tcPr>
            <w:tcW w:w="936"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7</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2</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3</w:t>
            </w:r>
          </w:p>
        </w:tc>
        <w:tc>
          <w:tcPr>
            <w:tcW w:w="993"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0</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13</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14</w:t>
            </w:r>
          </w:p>
        </w:tc>
        <w:tc>
          <w:tcPr>
            <w:tcW w:w="992" w:type="dxa"/>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8</w:t>
            </w:r>
          </w:p>
        </w:tc>
      </w:tr>
      <w:tr w:rsidR="006D7B45" w:rsidRPr="00D41D30" w:rsidTr="002F3F22">
        <w:trPr>
          <w:trHeight w:val="70"/>
          <w:jc w:val="center"/>
        </w:trPr>
        <w:tc>
          <w:tcPr>
            <w:tcW w:w="1049" w:type="dxa"/>
            <w:hideMark/>
          </w:tcPr>
          <w:p w:rsidR="006D7B45" w:rsidRPr="00D41D30" w:rsidRDefault="006D7B45" w:rsidP="0059353E">
            <w:pPr>
              <w:widowControl/>
              <w:overflowPunct/>
              <w:autoSpaceDE/>
              <w:autoSpaceDN/>
              <w:adjustRightInd w:val="0"/>
              <w:snapToGrid w:val="0"/>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總計</w:t>
            </w:r>
          </w:p>
        </w:tc>
        <w:tc>
          <w:tcPr>
            <w:tcW w:w="936" w:type="dxa"/>
            <w:noWrap/>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201</w:t>
            </w:r>
          </w:p>
        </w:tc>
        <w:tc>
          <w:tcPr>
            <w:tcW w:w="992" w:type="dxa"/>
            <w:noWrap/>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68</w:t>
            </w:r>
          </w:p>
        </w:tc>
        <w:tc>
          <w:tcPr>
            <w:tcW w:w="992" w:type="dxa"/>
            <w:noWrap/>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66</w:t>
            </w:r>
          </w:p>
        </w:tc>
        <w:tc>
          <w:tcPr>
            <w:tcW w:w="993" w:type="dxa"/>
            <w:noWrap/>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158</w:t>
            </w:r>
          </w:p>
        </w:tc>
        <w:tc>
          <w:tcPr>
            <w:tcW w:w="992" w:type="dxa"/>
            <w:noWrap/>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180</w:t>
            </w:r>
          </w:p>
        </w:tc>
        <w:tc>
          <w:tcPr>
            <w:tcW w:w="992" w:type="dxa"/>
            <w:noWrap/>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152</w:t>
            </w:r>
          </w:p>
        </w:tc>
        <w:tc>
          <w:tcPr>
            <w:tcW w:w="992" w:type="dxa"/>
            <w:noWrap/>
            <w:hideMark/>
          </w:tcPr>
          <w:p w:rsidR="006D7B45" w:rsidRPr="00D41D30" w:rsidRDefault="006D7B45" w:rsidP="0059353E">
            <w:pPr>
              <w:widowControl/>
              <w:overflowPunct/>
              <w:autoSpaceDE/>
              <w:autoSpaceDN/>
              <w:adjustRightInd w:val="0"/>
              <w:snapToGrid w:val="0"/>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174</w:t>
            </w:r>
          </w:p>
        </w:tc>
      </w:tr>
      <w:tr w:rsidR="00940D1F" w:rsidRPr="00D41D30" w:rsidTr="0059353E">
        <w:trPr>
          <w:trHeight w:val="70"/>
          <w:jc w:val="center"/>
        </w:trPr>
        <w:tc>
          <w:tcPr>
            <w:tcW w:w="7938" w:type="dxa"/>
            <w:gridSpan w:val="8"/>
          </w:tcPr>
          <w:p w:rsidR="00940D1F" w:rsidRPr="00D41D30" w:rsidRDefault="00940D1F" w:rsidP="00940D1F">
            <w:pPr>
              <w:widowControl/>
              <w:overflowPunct/>
              <w:autoSpaceDE/>
              <w:autoSpaceDN/>
              <w:adjustRightInd w:val="0"/>
              <w:snapToGrid w:val="0"/>
              <w:rPr>
                <w:rFonts w:ascii="新細明體" w:eastAsia="新細明體" w:hAnsi="新細明體" w:cs="新細明體"/>
                <w:color w:val="000000" w:themeColor="text1"/>
                <w:kern w:val="0"/>
                <w:sz w:val="24"/>
                <w:szCs w:val="24"/>
              </w:rPr>
            </w:pPr>
            <w:r w:rsidRPr="00D41D30">
              <w:rPr>
                <w:rFonts w:hAnsi="標楷體" w:cs="新細明體" w:hint="eastAsia"/>
                <w:color w:val="000000" w:themeColor="text1"/>
                <w:kern w:val="0"/>
                <w:sz w:val="24"/>
                <w:szCs w:val="24"/>
              </w:rPr>
              <w:t>102年各區輔導團初成立，訪視中心數較多。</w:t>
            </w:r>
            <w:r w:rsidRPr="00D41D30">
              <w:rPr>
                <w:rFonts w:hAnsi="標楷體" w:cs="新細明體" w:hint="eastAsia"/>
                <w:color w:val="000000" w:themeColor="text1"/>
                <w:kern w:val="0"/>
                <w:sz w:val="24"/>
                <w:szCs w:val="24"/>
              </w:rPr>
              <w:br/>
              <w:t>103-104年部分中心實地訪視，及配合縣市進行集中訪視。</w:t>
            </w:r>
            <w:r w:rsidRPr="00D41D30">
              <w:rPr>
                <w:rFonts w:hAnsi="標楷體" w:cs="新細明體" w:hint="eastAsia"/>
                <w:color w:val="000000" w:themeColor="text1"/>
                <w:kern w:val="0"/>
                <w:sz w:val="24"/>
                <w:szCs w:val="24"/>
              </w:rPr>
              <w:br/>
              <w:t>105年起配合縣市政府進行實地抽訪。</w:t>
            </w:r>
            <w:r w:rsidRPr="00D41D30">
              <w:rPr>
                <w:rFonts w:hAnsi="標楷體" w:cs="新細明體" w:hint="eastAsia"/>
                <w:color w:val="000000" w:themeColor="text1"/>
                <w:kern w:val="0"/>
                <w:sz w:val="24"/>
                <w:szCs w:val="24"/>
              </w:rPr>
              <w:br/>
              <w:t>108年南區有配合縣市進行集中訪視，爰訪視數量較多。</w:t>
            </w:r>
          </w:p>
        </w:tc>
      </w:tr>
    </w:tbl>
    <w:p w:rsidR="003C7764" w:rsidRPr="00D41D30" w:rsidRDefault="00561B82" w:rsidP="003C7764">
      <w:pPr>
        <w:rPr>
          <w:color w:val="000000" w:themeColor="text1"/>
          <w:sz w:val="24"/>
          <w:szCs w:val="24"/>
        </w:rPr>
      </w:pPr>
      <w:r w:rsidRPr="00D41D30">
        <w:rPr>
          <w:rFonts w:hint="eastAsia"/>
          <w:color w:val="000000" w:themeColor="text1"/>
          <w:sz w:val="24"/>
          <w:szCs w:val="24"/>
        </w:rPr>
        <w:t xml:space="preserve">   </w:t>
      </w:r>
      <w:r w:rsidR="003C7764" w:rsidRPr="00D41D30">
        <w:rPr>
          <w:rFonts w:hint="eastAsia"/>
          <w:color w:val="000000" w:themeColor="text1"/>
          <w:sz w:val="24"/>
          <w:szCs w:val="24"/>
        </w:rPr>
        <w:t>資料來源：教育部補充說明。</w:t>
      </w:r>
    </w:p>
    <w:p w:rsidR="003C7764" w:rsidRPr="00D41D30" w:rsidRDefault="003C7764" w:rsidP="008053FB">
      <w:pPr>
        <w:pStyle w:val="5"/>
        <w:spacing w:beforeLines="50" w:before="228"/>
        <w:ind w:hanging="851"/>
        <w:rPr>
          <w:color w:val="000000" w:themeColor="text1"/>
        </w:rPr>
      </w:pPr>
      <w:r w:rsidRPr="00D41D30">
        <w:rPr>
          <w:rFonts w:hAnsi="標楷體" w:hint="eastAsia"/>
          <w:color w:val="000000" w:themeColor="text1"/>
          <w:szCs w:val="32"/>
        </w:rPr>
        <w:t>教育部補助全國樂齡中心，分散於全國358個鄉鎮市區，各區輔導團教授均親自到達偏鄉離島地區，如澎湖七美鄉、望安鄉，臺東縣的綠島鄉及原住民地區，傳遞該部推動樂齡學習政策理念及樂齡中心運作方式，並將承辦單位建議、運作困境等，提供該部作為後續滾動修正參考，且中心均屬在地化組織，分區輔導機制有助於中心在地輔導，避免樂齡中心人員長途跋涉到定點進行培訓。</w:t>
      </w:r>
    </w:p>
    <w:p w:rsidR="003C7764" w:rsidRPr="00D41D30" w:rsidRDefault="003C7764" w:rsidP="003C7764">
      <w:pPr>
        <w:pStyle w:val="4"/>
        <w:rPr>
          <w:color w:val="000000" w:themeColor="text1"/>
        </w:rPr>
      </w:pPr>
      <w:r w:rsidRPr="00D41D30">
        <w:rPr>
          <w:rFonts w:hAnsi="標楷體" w:hint="eastAsia"/>
          <w:color w:val="000000" w:themeColor="text1"/>
          <w:szCs w:val="32"/>
        </w:rPr>
        <w:t>樂齡大學自103年由該部自辦訪視輔導，共訪視8所學校，</w:t>
      </w:r>
      <w:r w:rsidRPr="00D41D30">
        <w:rPr>
          <w:rFonts w:hint="eastAsia"/>
          <w:color w:val="000000" w:themeColor="text1"/>
        </w:rPr>
        <w:t>104</w:t>
      </w:r>
      <w:r w:rsidRPr="00D41D30">
        <w:rPr>
          <w:rFonts w:hAnsi="標楷體" w:hint="eastAsia"/>
          <w:color w:val="000000" w:themeColor="text1"/>
          <w:szCs w:val="32"/>
        </w:rPr>
        <w:t>年及105年配合該部行政簡化由該部委請財團法人高等教育評鑑中心基金會統一辦理「教育部大專校院統合視導工作」，106、107年依據105年9月22日召開「簡化教育部大專校院統合視導大學校院辦理垃齡大學執行成效訪視工作討論會議紀錄」由實地訪視改為書面審查。</w:t>
      </w:r>
    </w:p>
    <w:p w:rsidR="003C7764" w:rsidRPr="00D41D30" w:rsidRDefault="003C7764" w:rsidP="003C7764">
      <w:pPr>
        <w:pStyle w:val="4"/>
        <w:rPr>
          <w:color w:val="000000" w:themeColor="text1"/>
        </w:rPr>
      </w:pPr>
      <w:r w:rsidRPr="00D41D30">
        <w:rPr>
          <w:rFonts w:hAnsi="標楷體" w:hint="eastAsia"/>
          <w:color w:val="000000" w:themeColor="text1"/>
          <w:szCs w:val="32"/>
        </w:rPr>
        <w:t>有關高齡自主團體訪視，由該部邀集相關專家</w:t>
      </w:r>
      <w:r w:rsidRPr="00D41D30">
        <w:rPr>
          <w:rFonts w:hAnsi="標楷體" w:hint="eastAsia"/>
          <w:color w:val="000000" w:themeColor="text1"/>
          <w:szCs w:val="32"/>
        </w:rPr>
        <w:lastRenderedPageBreak/>
        <w:t>學者進行輔導訪視，以協助各自主學習團執行。105-107年試辦期間，考量本計畫係為試辦計畫，為瞭解各高齡自主團體辦理狀況，且讓執行者掌握高齡自主學習團體運作之精神，依據高齡自主學習團體輔導訪視原則第3點略以，每一自主團體於每案執行期，至少接受1次輔導訪視。由該部統一規劃，並請試辦縣市政府協助訪視之實務行政工作。</w:t>
      </w:r>
    </w:p>
    <w:p w:rsidR="003C7764" w:rsidRPr="00D41D30" w:rsidRDefault="003C7764" w:rsidP="003C7764">
      <w:pPr>
        <w:pStyle w:val="3"/>
        <w:rPr>
          <w:color w:val="000000" w:themeColor="text1"/>
        </w:rPr>
      </w:pPr>
      <w:bookmarkStart w:id="765" w:name="_Toc16693372"/>
      <w:bookmarkStart w:id="766" w:name="_Toc30512506"/>
      <w:bookmarkStart w:id="767" w:name="_Toc30581214"/>
      <w:bookmarkStart w:id="768" w:name="_Toc32392487"/>
      <w:bookmarkStart w:id="769" w:name="_Toc32673678"/>
      <w:bookmarkStart w:id="770" w:name="_Toc32846541"/>
      <w:bookmarkStart w:id="771" w:name="_Toc32913784"/>
      <w:bookmarkStart w:id="772" w:name="_Toc32918460"/>
      <w:bookmarkStart w:id="773" w:name="_Toc33011753"/>
      <w:r w:rsidRPr="00D41D30">
        <w:rPr>
          <w:rFonts w:hint="eastAsia"/>
          <w:color w:val="000000" w:themeColor="text1"/>
        </w:rPr>
        <w:t>輔導成效</w:t>
      </w:r>
      <w:bookmarkEnd w:id="764"/>
      <w:bookmarkEnd w:id="765"/>
      <w:bookmarkEnd w:id="766"/>
      <w:bookmarkEnd w:id="767"/>
      <w:bookmarkEnd w:id="768"/>
      <w:bookmarkEnd w:id="769"/>
      <w:bookmarkEnd w:id="770"/>
      <w:bookmarkEnd w:id="771"/>
      <w:bookmarkEnd w:id="772"/>
      <w:bookmarkEnd w:id="773"/>
    </w:p>
    <w:p w:rsidR="003C7764" w:rsidRPr="00D41D30" w:rsidRDefault="003C7764" w:rsidP="003C7764">
      <w:pPr>
        <w:pStyle w:val="4"/>
        <w:rPr>
          <w:color w:val="000000" w:themeColor="text1"/>
        </w:rPr>
      </w:pPr>
      <w:r w:rsidRPr="00D41D30">
        <w:rPr>
          <w:rFonts w:hint="eastAsia"/>
          <w:color w:val="000000" w:themeColor="text1"/>
        </w:rPr>
        <w:t>輔導樂齡成效：教育部自101年委請之4所大學，係目前國內成人教育、社會教育及高齡教育相關系所中心之國立大學，以區域性在地化為考量，有助於促進樂齡中心的凝聚力及藉由鄰近區域中心執行模式互相觀摩，共同精進。為了解各樂齡中心對於輔導團的訪視輔導滿意情形，依據該部調查顯示，整體而言，樂齡中心對於輔導團訪視的滿意度很高，在</w:t>
      </w:r>
      <w:r w:rsidRPr="00D41D30">
        <w:rPr>
          <w:color w:val="000000" w:themeColor="text1"/>
        </w:rPr>
        <w:t>5</w:t>
      </w:r>
      <w:r w:rsidRPr="00D41D30">
        <w:rPr>
          <w:rFonts w:hint="eastAsia"/>
          <w:color w:val="000000" w:themeColor="text1"/>
        </w:rPr>
        <w:t>點量表中，平均數皆在</w:t>
      </w:r>
      <w:r w:rsidRPr="00D41D30">
        <w:rPr>
          <w:color w:val="000000" w:themeColor="text1"/>
        </w:rPr>
        <w:t>4</w:t>
      </w:r>
      <w:r w:rsidRPr="00D41D30">
        <w:rPr>
          <w:rFonts w:hint="eastAsia"/>
          <w:color w:val="000000" w:themeColor="text1"/>
        </w:rPr>
        <w:t>以上；其中又以「訪視委員的輔導諮詢態度」的滿意度最高（平均數達</w:t>
      </w:r>
      <w:r w:rsidRPr="00D41D30">
        <w:rPr>
          <w:color w:val="000000" w:themeColor="text1"/>
        </w:rPr>
        <w:t>4.24</w:t>
      </w:r>
      <w:r w:rsidRPr="00D41D30">
        <w:rPr>
          <w:rFonts w:hint="eastAsia"/>
          <w:color w:val="000000" w:themeColor="text1"/>
        </w:rPr>
        <w:t>）、訪視委員的專業協助感到滿意（平均數達</w:t>
      </w:r>
      <w:r w:rsidRPr="00D41D30">
        <w:rPr>
          <w:color w:val="000000" w:themeColor="text1"/>
        </w:rPr>
        <w:t>4.</w:t>
      </w:r>
      <w:r w:rsidRPr="00D41D30">
        <w:rPr>
          <w:rFonts w:hint="eastAsia"/>
          <w:color w:val="000000" w:themeColor="text1"/>
        </w:rPr>
        <w:t>16）訪視輔導後，可以提升樂齡中心的經營效能</w:t>
      </w:r>
      <w:r w:rsidR="00B562C7" w:rsidRPr="00D41D30">
        <w:rPr>
          <w:rFonts w:hint="eastAsia"/>
          <w:color w:val="000000" w:themeColor="text1"/>
        </w:rPr>
        <w:t>（</w:t>
      </w:r>
      <w:r w:rsidRPr="00D41D30">
        <w:rPr>
          <w:rFonts w:hint="eastAsia"/>
          <w:color w:val="000000" w:themeColor="text1"/>
        </w:rPr>
        <w:t>平均數達</w:t>
      </w:r>
      <w:r w:rsidRPr="00D41D30">
        <w:rPr>
          <w:color w:val="000000" w:themeColor="text1"/>
        </w:rPr>
        <w:t>4.1</w:t>
      </w:r>
      <w:r w:rsidRPr="00D41D30">
        <w:rPr>
          <w:rFonts w:hint="eastAsia"/>
          <w:color w:val="000000" w:themeColor="text1"/>
        </w:rPr>
        <w:t>2），彰顯各分區輔導團與其分區內的樂齡學習中心建立了良好的夥伴關係。</w:t>
      </w:r>
    </w:p>
    <w:p w:rsidR="003C7764" w:rsidRPr="00D41D30" w:rsidRDefault="003C7764" w:rsidP="003C7764">
      <w:pPr>
        <w:pStyle w:val="4"/>
        <w:rPr>
          <w:color w:val="000000" w:themeColor="text1"/>
        </w:rPr>
      </w:pPr>
      <w:r w:rsidRPr="00D41D30">
        <w:rPr>
          <w:rFonts w:hint="eastAsia"/>
          <w:color w:val="000000" w:themeColor="text1"/>
        </w:rPr>
        <w:t>辦理專業研習：教育部為強化各縣市政府、樂齡中心經營團隊及講師專業知能，及推廣ㄧ般民眾重視高齡教育，每年委託輔導團辦理相關培訓、研習、論壇或國際研討會、成果觀摩會等，各區輔導團藉由培訓研習，傳遞該部推動理念及強化中心專業，輔導團每年均依據轄內</w:t>
      </w:r>
      <w:r w:rsidRPr="00D41D30">
        <w:rPr>
          <w:rFonts w:hint="eastAsia"/>
          <w:color w:val="000000" w:themeColor="text1"/>
        </w:rPr>
        <w:lastRenderedPageBreak/>
        <w:t>各樂齡中心特色，規劃專業的在職訓練課程，例如南區輔導團因應臺東縣、高雄市及屏東縣之偏鄉地區及學校執行單位，辦理偏鄉地區樂齡服務團隊增能培力及代間教育研習活動，中南區輔導團則因所督導之地區民間團體較多，推動社會企業培訓工作，中區則規劃</w:t>
      </w:r>
      <w:r w:rsidRPr="00D41D30">
        <w:rPr>
          <w:color w:val="000000" w:themeColor="text1"/>
        </w:rPr>
        <w:t>樂齡人力資源發展工作</w:t>
      </w:r>
      <w:r w:rsidRPr="00D41D30">
        <w:rPr>
          <w:rFonts w:hint="eastAsia"/>
          <w:color w:val="000000" w:themeColor="text1"/>
        </w:rPr>
        <w:t>坊、北區則因應幅員較廣，協助宜蘭縣、花蓮縣、連江縣及金門縣另外規劃培訓課程，總區則配合該部政策每年辦理成果觀摩會，107年配合該部樂齡十年，各區均規劃辦理樂齡拾穗活動</w:t>
      </w:r>
      <w:r w:rsidR="00B562C7" w:rsidRPr="00D41D30">
        <w:rPr>
          <w:rFonts w:hint="eastAsia"/>
          <w:color w:val="000000" w:themeColor="text1"/>
        </w:rPr>
        <w:t>（</w:t>
      </w:r>
      <w:r w:rsidRPr="00D41D30">
        <w:rPr>
          <w:rFonts w:hint="eastAsia"/>
          <w:color w:val="000000" w:themeColor="text1"/>
        </w:rPr>
        <w:t>國際研討會及跨域論壇等</w:t>
      </w:r>
      <w:r w:rsidR="006B5136" w:rsidRPr="00D41D30">
        <w:rPr>
          <w:rFonts w:hint="eastAsia"/>
          <w:color w:val="000000" w:themeColor="text1"/>
        </w:rPr>
        <w:t>）</w:t>
      </w:r>
      <w:r w:rsidRPr="00D41D30">
        <w:rPr>
          <w:rFonts w:hint="eastAsia"/>
          <w:color w:val="000000" w:themeColor="text1"/>
        </w:rPr>
        <w:t>，近2年的培訓場次及人數，106年辦理61場次，共有4</w:t>
      </w:r>
      <w:r w:rsidRPr="00D41D30">
        <w:rPr>
          <w:color w:val="000000" w:themeColor="text1"/>
        </w:rPr>
        <w:t>,</w:t>
      </w:r>
      <w:r w:rsidRPr="00D41D30">
        <w:rPr>
          <w:rFonts w:hint="eastAsia"/>
          <w:color w:val="000000" w:themeColor="text1"/>
        </w:rPr>
        <w:t>568人參與，107年52場次，共有4</w:t>
      </w:r>
      <w:r w:rsidRPr="00D41D30">
        <w:rPr>
          <w:color w:val="000000" w:themeColor="text1"/>
        </w:rPr>
        <w:t>,</w:t>
      </w:r>
      <w:r w:rsidRPr="00D41D30">
        <w:rPr>
          <w:rFonts w:hint="eastAsia"/>
          <w:color w:val="000000" w:themeColor="text1"/>
        </w:rPr>
        <w:t>229人參與。</w:t>
      </w:r>
    </w:p>
    <w:p w:rsidR="003C7764" w:rsidRPr="00D41D30" w:rsidRDefault="003C7764" w:rsidP="003C7764">
      <w:pPr>
        <w:pStyle w:val="4"/>
        <w:rPr>
          <w:color w:val="000000" w:themeColor="text1"/>
        </w:rPr>
      </w:pPr>
      <w:r w:rsidRPr="00D41D30">
        <w:rPr>
          <w:rFonts w:hint="eastAsia"/>
          <w:color w:val="000000" w:themeColor="text1"/>
        </w:rPr>
        <w:t>研編專業教材：高齡者之學習，並不同於正規教育之學習方式，該部委請輔導團研發有關樂齡學習基礎教材、退休生涯規劃、樂齡學習、祖孫關係、樂齡學習中心工作手冊、志工手冊及樂齡中心創意教材、樂齡自主學習團體等議題之教材，累計至今年已出版28種教材，除依政府出版品規定販售外，更提供全國樂齡中心與相關單位運用。</w:t>
      </w:r>
    </w:p>
    <w:p w:rsidR="003C7764" w:rsidRPr="00D41D30" w:rsidRDefault="003C7764" w:rsidP="003C7764">
      <w:pPr>
        <w:pStyle w:val="4"/>
        <w:rPr>
          <w:color w:val="000000" w:themeColor="text1"/>
        </w:rPr>
      </w:pPr>
      <w:r w:rsidRPr="00D41D30">
        <w:rPr>
          <w:rFonts w:hint="eastAsia"/>
          <w:color w:val="000000" w:themeColor="text1"/>
        </w:rPr>
        <w:t>建立訪視機制</w:t>
      </w:r>
    </w:p>
    <w:p w:rsidR="003C7764" w:rsidRPr="00D41D30" w:rsidRDefault="003C7764" w:rsidP="003C7764">
      <w:pPr>
        <w:pStyle w:val="5"/>
        <w:rPr>
          <w:color w:val="000000" w:themeColor="text1"/>
        </w:rPr>
      </w:pPr>
      <w:r w:rsidRPr="00D41D30">
        <w:rPr>
          <w:rFonts w:hint="eastAsia"/>
          <w:color w:val="000000" w:themeColor="text1"/>
        </w:rPr>
        <w:t>全國樂齡中心雖為縣市政府推薦成立，惟所補助之經費大部分由該部補助，為強化全國各樂齡中心發揮功能，該部每年均辦理全國樂齡中心訪視計畫，藉由實地訪視，審視各中心在管理創新、課程創新、軟硬體設備、行銷宣傳等能力，並據此滾動修正相關補助要點，協助解決行政層面</w:t>
      </w:r>
      <w:r w:rsidRPr="00D41D30">
        <w:rPr>
          <w:rFonts w:hint="eastAsia"/>
          <w:color w:val="000000" w:themeColor="text1"/>
        </w:rPr>
        <w:lastRenderedPageBreak/>
        <w:t>問題，且審計單位多年來均關切該部如何管理300多所中心執行成效，該部101</w:t>
      </w:r>
      <w:r w:rsidR="0087164C" w:rsidRPr="00D41D30">
        <w:rPr>
          <w:rFonts w:hint="eastAsia"/>
          <w:color w:val="000000" w:themeColor="text1"/>
        </w:rPr>
        <w:t>至</w:t>
      </w:r>
      <w:r w:rsidRPr="00D41D30">
        <w:rPr>
          <w:color w:val="000000" w:themeColor="text1"/>
        </w:rPr>
        <w:t>102</w:t>
      </w:r>
      <w:r w:rsidRPr="00D41D30">
        <w:rPr>
          <w:rFonts w:hint="eastAsia"/>
          <w:color w:val="000000" w:themeColor="text1"/>
        </w:rPr>
        <w:t>年委請輔導團協助進行樂齡中心實地訪視，後續改為集中訪視及抽訪，隨時檢核及輔導中心成效。</w:t>
      </w:r>
    </w:p>
    <w:p w:rsidR="003C7764" w:rsidRPr="00D41D30" w:rsidRDefault="003C7764" w:rsidP="003C7764">
      <w:pPr>
        <w:pStyle w:val="5"/>
        <w:rPr>
          <w:rFonts w:hAnsi="標楷體"/>
          <w:color w:val="000000" w:themeColor="text1"/>
          <w:sz w:val="28"/>
          <w:szCs w:val="28"/>
        </w:rPr>
      </w:pPr>
      <w:r w:rsidRPr="00D41D30">
        <w:rPr>
          <w:rFonts w:hint="eastAsia"/>
          <w:color w:val="000000" w:themeColor="text1"/>
        </w:rPr>
        <w:t>各區輔導團教授均親自到達偏鄉離島地區，如澎湖七美鄉、望安鄉，臺東縣的綠島鄉及原住民地區，將該部推動樂齡學習政策理念及樂齡中心運作方式與承辦單位建議、運作困境等，提供該部作為後續滾動修正參據，且中心均屬在地化組織，分區輔導機制有助於中心在地輔導，避免樂齡中心長途跋涉到定點進行培訓。</w:t>
      </w:r>
    </w:p>
    <w:p w:rsidR="00711923" w:rsidRPr="00D41D30" w:rsidRDefault="00E152B5" w:rsidP="00711923">
      <w:pPr>
        <w:pStyle w:val="3"/>
        <w:rPr>
          <w:rFonts w:hAnsi="標楷體"/>
          <w:color w:val="000000" w:themeColor="text1"/>
          <w:szCs w:val="32"/>
        </w:rPr>
      </w:pPr>
      <w:bookmarkStart w:id="774" w:name="_Toc30512507"/>
      <w:bookmarkStart w:id="775" w:name="_Toc30581215"/>
      <w:bookmarkStart w:id="776" w:name="_Toc32392488"/>
      <w:bookmarkStart w:id="777" w:name="_Toc32673679"/>
      <w:bookmarkStart w:id="778" w:name="_Toc32846542"/>
      <w:bookmarkStart w:id="779" w:name="_Toc32913785"/>
      <w:bookmarkStart w:id="780" w:name="_Toc32918461"/>
      <w:bookmarkStart w:id="781" w:name="_Toc33011754"/>
      <w:r w:rsidRPr="00D41D30">
        <w:rPr>
          <w:rFonts w:hAnsi="標楷體" w:hint="eastAsia"/>
          <w:color w:val="000000" w:themeColor="text1"/>
          <w:szCs w:val="32"/>
        </w:rPr>
        <w:t>教育部對於「</w:t>
      </w:r>
      <w:r w:rsidR="00711923" w:rsidRPr="00D41D30">
        <w:rPr>
          <w:rFonts w:hAnsi="標楷體" w:hint="eastAsia"/>
          <w:color w:val="000000" w:themeColor="text1"/>
          <w:szCs w:val="32"/>
        </w:rPr>
        <w:t>據悉，</w:t>
      </w:r>
      <w:bookmarkStart w:id="782" w:name="_Hlk22047051"/>
      <w:r w:rsidR="00711923" w:rsidRPr="00D41D30">
        <w:rPr>
          <w:rFonts w:hAnsi="標楷體" w:hint="eastAsia"/>
          <w:color w:val="000000" w:themeColor="text1"/>
          <w:szCs w:val="32"/>
        </w:rPr>
        <w:t>輔導團每年辦理4次輔導訪視</w:t>
      </w:r>
      <w:bookmarkEnd w:id="782"/>
      <w:r w:rsidR="00711923" w:rsidRPr="00D41D30">
        <w:rPr>
          <w:rFonts w:hAnsi="標楷體" w:hint="eastAsia"/>
          <w:color w:val="000000" w:themeColor="text1"/>
          <w:szCs w:val="32"/>
        </w:rPr>
        <w:t>，業已造成中心基層疲於奔命，</w:t>
      </w:r>
      <w:r w:rsidRPr="00D41D30">
        <w:rPr>
          <w:rFonts w:hAnsi="標楷體" w:hint="eastAsia"/>
          <w:color w:val="000000" w:themeColor="text1"/>
          <w:szCs w:val="32"/>
        </w:rPr>
        <w:t>該</w:t>
      </w:r>
      <w:r w:rsidR="00711923" w:rsidRPr="00D41D30">
        <w:rPr>
          <w:rFonts w:hAnsi="標楷體" w:hint="eastAsia"/>
          <w:color w:val="000000" w:themeColor="text1"/>
          <w:szCs w:val="32"/>
        </w:rPr>
        <w:t>政策行政體制有無疊床架屋</w:t>
      </w:r>
      <w:r w:rsidRPr="00D41D30">
        <w:rPr>
          <w:rFonts w:hAnsi="標楷體" w:hint="eastAsia"/>
          <w:color w:val="000000" w:themeColor="text1"/>
          <w:szCs w:val="32"/>
        </w:rPr>
        <w:t>等情」之說明</w:t>
      </w:r>
      <w:bookmarkEnd w:id="774"/>
      <w:bookmarkEnd w:id="775"/>
      <w:bookmarkEnd w:id="776"/>
      <w:bookmarkEnd w:id="777"/>
      <w:bookmarkEnd w:id="778"/>
      <w:bookmarkEnd w:id="779"/>
      <w:bookmarkEnd w:id="780"/>
      <w:bookmarkEnd w:id="781"/>
    </w:p>
    <w:p w:rsidR="00E152B5" w:rsidRPr="00D41D30" w:rsidRDefault="00E152B5" w:rsidP="00E152B5">
      <w:pPr>
        <w:pStyle w:val="4"/>
        <w:rPr>
          <w:rFonts w:hAnsi="標楷體"/>
          <w:color w:val="000000" w:themeColor="text1"/>
          <w:szCs w:val="32"/>
        </w:rPr>
      </w:pPr>
      <w:r w:rsidRPr="00D41D30">
        <w:rPr>
          <w:rFonts w:hAnsi="標楷體" w:hint="eastAsia"/>
          <w:color w:val="000000" w:themeColor="text1"/>
          <w:szCs w:val="32"/>
        </w:rPr>
        <w:t>關於</w:t>
      </w:r>
      <w:r w:rsidRPr="00D41D30">
        <w:rPr>
          <w:rFonts w:hAnsi="標楷體" w:hint="eastAsia"/>
          <w:color w:val="000000" w:themeColor="text1"/>
          <w:szCs w:val="32"/>
        </w:rPr>
        <w:tab/>
        <w:t>「輔導團每年辦理4次輔導訪視，造成中心基層疲於奔命」一節</w:t>
      </w:r>
    </w:p>
    <w:p w:rsidR="00711923" w:rsidRPr="00D41D30" w:rsidRDefault="00711923" w:rsidP="00E152B5">
      <w:pPr>
        <w:pStyle w:val="5"/>
        <w:rPr>
          <w:color w:val="000000" w:themeColor="text1"/>
        </w:rPr>
      </w:pPr>
      <w:r w:rsidRPr="00D41D30">
        <w:rPr>
          <w:rFonts w:hint="eastAsia"/>
          <w:color w:val="000000" w:themeColor="text1"/>
        </w:rPr>
        <w:t>教育部除98年曾全面訪視當年度104所樂齡資源中心，以了解中心現場實施樂齡學習模式及作法外，餘年度因樂齡中心數量逐年成長，均採抽訪方式進行，訪視涉及交通安排、委員聯繫、經費支出等因素，</w:t>
      </w:r>
      <w:r w:rsidR="00E152B5" w:rsidRPr="00D41D30">
        <w:rPr>
          <w:rFonts w:hint="eastAsia"/>
          <w:color w:val="000000" w:themeColor="text1"/>
        </w:rPr>
        <w:t>該</w:t>
      </w:r>
      <w:r w:rsidRPr="00D41D30">
        <w:rPr>
          <w:rFonts w:hint="eastAsia"/>
          <w:color w:val="000000" w:themeColor="text1"/>
        </w:rPr>
        <w:t>部委託之輔導團於人力及經費上尚無法每年辦理4次輔導訪視。</w:t>
      </w:r>
    </w:p>
    <w:p w:rsidR="00711923" w:rsidRPr="00D41D30" w:rsidRDefault="00E152B5" w:rsidP="00E152B5">
      <w:pPr>
        <w:pStyle w:val="5"/>
        <w:rPr>
          <w:rFonts w:hAnsi="標楷體"/>
          <w:color w:val="000000" w:themeColor="text1"/>
          <w:sz w:val="28"/>
          <w:szCs w:val="28"/>
        </w:rPr>
      </w:pPr>
      <w:r w:rsidRPr="00D41D30">
        <w:rPr>
          <w:rFonts w:hAnsi="標楷體" w:hint="eastAsia"/>
          <w:color w:val="000000" w:themeColor="text1"/>
          <w:szCs w:val="32"/>
        </w:rPr>
        <w:t>該</w:t>
      </w:r>
      <w:r w:rsidR="00711923" w:rsidRPr="00D41D30">
        <w:rPr>
          <w:rFonts w:hAnsi="標楷體" w:hint="eastAsia"/>
          <w:color w:val="000000" w:themeColor="text1"/>
          <w:szCs w:val="32"/>
        </w:rPr>
        <w:t>部委託輔導團之訪視，均由各區輔導團教授親自到達樂齡中心</w:t>
      </w:r>
      <w:r w:rsidR="00711923" w:rsidRPr="00D41D30">
        <w:rPr>
          <w:rFonts w:hint="eastAsia"/>
          <w:color w:val="000000" w:themeColor="text1"/>
        </w:rPr>
        <w:t>現場</w:t>
      </w:r>
      <w:r w:rsidR="00711923" w:rsidRPr="00D41D30">
        <w:rPr>
          <w:rFonts w:hAnsi="標楷體" w:hint="eastAsia"/>
          <w:color w:val="000000" w:themeColor="text1"/>
          <w:szCs w:val="32"/>
        </w:rPr>
        <w:t>進行實地了解，全國樂齡中心範圍涵蓋80多個偏鄉、52個原民地區及離島與都會地區，如澎湖縣七美鄉、望安鄉、臺東縣綠島鄉、長濱</w:t>
      </w:r>
      <w:r w:rsidR="00711923" w:rsidRPr="00D41D30">
        <w:rPr>
          <w:rFonts w:hAnsi="標楷體" w:hint="eastAsia"/>
          <w:color w:val="000000" w:themeColor="text1"/>
          <w:szCs w:val="32"/>
        </w:rPr>
        <w:lastRenderedPageBreak/>
        <w:t>鄉、大武鄉及高雄市桃源區、納瑪夏區等，如為新辦中心，均由各區輔導團教授們克服交通問題前往，傳遞</w:t>
      </w:r>
      <w:r w:rsidRPr="00D41D30">
        <w:rPr>
          <w:rFonts w:hAnsi="標楷體" w:hint="eastAsia"/>
          <w:color w:val="000000" w:themeColor="text1"/>
          <w:szCs w:val="32"/>
        </w:rPr>
        <w:t>該</w:t>
      </w:r>
      <w:r w:rsidR="00711923" w:rsidRPr="00D41D30">
        <w:rPr>
          <w:rFonts w:hAnsi="標楷體" w:hint="eastAsia"/>
          <w:color w:val="000000" w:themeColor="text1"/>
          <w:szCs w:val="32"/>
        </w:rPr>
        <w:t>部推動樂齡學習政策理念。並將樂齡中心運作方式、偏遠地區承辦單位之運作困境等，及時提供</w:t>
      </w:r>
      <w:r w:rsidRPr="00D41D30">
        <w:rPr>
          <w:rFonts w:hAnsi="標楷體" w:hint="eastAsia"/>
          <w:color w:val="000000" w:themeColor="text1"/>
          <w:szCs w:val="32"/>
        </w:rPr>
        <w:t>該</w:t>
      </w:r>
      <w:r w:rsidR="00711923" w:rsidRPr="00D41D30">
        <w:rPr>
          <w:rFonts w:hAnsi="標楷體" w:hint="eastAsia"/>
          <w:color w:val="000000" w:themeColor="text1"/>
          <w:szCs w:val="32"/>
        </w:rPr>
        <w:t>部作為政策修正參考，避免中央政策及地方執行有落差。</w:t>
      </w:r>
    </w:p>
    <w:p w:rsidR="00711923" w:rsidRPr="00D41D30" w:rsidRDefault="00E152B5" w:rsidP="00E152B5">
      <w:pPr>
        <w:pStyle w:val="4"/>
        <w:rPr>
          <w:rFonts w:hAnsi="標楷體"/>
          <w:color w:val="000000" w:themeColor="text1"/>
          <w:szCs w:val="32"/>
        </w:rPr>
      </w:pPr>
      <w:r w:rsidRPr="00D41D30">
        <w:rPr>
          <w:rFonts w:hAnsi="標楷體" w:hint="eastAsia"/>
          <w:color w:val="000000" w:themeColor="text1"/>
          <w:szCs w:val="32"/>
        </w:rPr>
        <w:t>關於</w:t>
      </w:r>
      <w:r w:rsidR="00711923" w:rsidRPr="00D41D30">
        <w:rPr>
          <w:rFonts w:hAnsi="標楷體" w:hint="eastAsia"/>
          <w:color w:val="000000" w:themeColor="text1"/>
          <w:szCs w:val="32"/>
        </w:rPr>
        <w:t>「行政體制有無疊床架屋」之說明</w:t>
      </w:r>
    </w:p>
    <w:p w:rsidR="00711923" w:rsidRPr="00D41D30" w:rsidRDefault="00E152B5" w:rsidP="00E152B5">
      <w:pPr>
        <w:pStyle w:val="21"/>
        <w:ind w:leftChars="500" w:left="1701" w:firstLineChars="208" w:firstLine="708"/>
        <w:rPr>
          <w:rFonts w:hAnsi="標楷體"/>
          <w:color w:val="000000" w:themeColor="text1"/>
          <w:szCs w:val="32"/>
        </w:rPr>
      </w:pPr>
      <w:r w:rsidRPr="00D41D30">
        <w:rPr>
          <w:rFonts w:hAnsi="標楷體" w:hint="eastAsia"/>
          <w:color w:val="000000" w:themeColor="text1"/>
          <w:szCs w:val="32"/>
        </w:rPr>
        <w:t>教育</w:t>
      </w:r>
      <w:r w:rsidR="00711923" w:rsidRPr="00D41D30">
        <w:rPr>
          <w:rFonts w:hAnsi="標楷體" w:hint="eastAsia"/>
          <w:color w:val="000000" w:themeColor="text1"/>
          <w:szCs w:val="32"/>
        </w:rPr>
        <w:t>部為建立及推動樂齡學習體系，以縣市教育局</w:t>
      </w:r>
      <w:r w:rsidR="00B562C7" w:rsidRPr="00D41D30">
        <w:rPr>
          <w:rFonts w:hAnsi="標楷體" w:hint="eastAsia"/>
          <w:color w:val="000000" w:themeColor="text1"/>
          <w:szCs w:val="32"/>
        </w:rPr>
        <w:t>（</w:t>
      </w:r>
      <w:r w:rsidR="00711923" w:rsidRPr="00D41D30">
        <w:rPr>
          <w:rFonts w:hAnsi="標楷體" w:hint="eastAsia"/>
          <w:color w:val="000000" w:themeColor="text1"/>
          <w:szCs w:val="32"/>
        </w:rPr>
        <w:t>處</w:t>
      </w:r>
      <w:r w:rsidR="006B5136" w:rsidRPr="00D41D30">
        <w:rPr>
          <w:rFonts w:hAnsi="標楷體" w:hint="eastAsia"/>
          <w:color w:val="000000" w:themeColor="text1"/>
          <w:szCs w:val="32"/>
        </w:rPr>
        <w:t>）</w:t>
      </w:r>
      <w:r w:rsidR="00711923" w:rsidRPr="00D41D30">
        <w:rPr>
          <w:rFonts w:hAnsi="標楷體" w:hint="eastAsia"/>
          <w:color w:val="000000" w:themeColor="text1"/>
          <w:szCs w:val="32"/>
        </w:rPr>
        <w:t>為</w:t>
      </w:r>
      <w:r w:rsidR="00711923" w:rsidRPr="00D41D30">
        <w:rPr>
          <w:rFonts w:hint="eastAsia"/>
          <w:color w:val="000000" w:themeColor="text1"/>
        </w:rPr>
        <w:t>縣市</w:t>
      </w:r>
      <w:r w:rsidR="00711923" w:rsidRPr="00D41D30">
        <w:rPr>
          <w:rFonts w:hAnsi="標楷體" w:hint="eastAsia"/>
          <w:color w:val="000000" w:themeColor="text1"/>
          <w:szCs w:val="32"/>
        </w:rPr>
        <w:t>窗口，係為將</w:t>
      </w:r>
      <w:r w:rsidR="006C4562" w:rsidRPr="00D41D30">
        <w:rPr>
          <w:rFonts w:hAnsi="標楷體" w:hint="eastAsia"/>
          <w:color w:val="000000" w:themeColor="text1"/>
          <w:szCs w:val="32"/>
        </w:rPr>
        <w:t>該部</w:t>
      </w:r>
      <w:r w:rsidR="00711923" w:rsidRPr="00D41D30">
        <w:rPr>
          <w:rFonts w:hAnsi="標楷體" w:hint="eastAsia"/>
          <w:color w:val="000000" w:themeColor="text1"/>
          <w:szCs w:val="32"/>
        </w:rPr>
        <w:t>政策落實於各鄉鎮市區，除縣市行政協助外，更需就推動高齡教育提供專業協助，協助各樂齡中心健全發展，原因說明如下：</w:t>
      </w:r>
    </w:p>
    <w:p w:rsidR="00E152B5" w:rsidRPr="00D41D30" w:rsidRDefault="00711923" w:rsidP="00E152B5">
      <w:pPr>
        <w:pStyle w:val="5"/>
        <w:rPr>
          <w:color w:val="000000" w:themeColor="text1"/>
        </w:rPr>
      </w:pPr>
      <w:r w:rsidRPr="00D41D30">
        <w:rPr>
          <w:rFonts w:hint="eastAsia"/>
          <w:color w:val="000000" w:themeColor="text1"/>
        </w:rPr>
        <w:t>中心承辦單位多元，需要專業協助</w:t>
      </w:r>
      <w:r w:rsidR="00E152B5" w:rsidRPr="00D41D30">
        <w:rPr>
          <w:rFonts w:hint="eastAsia"/>
          <w:color w:val="000000" w:themeColor="text1"/>
        </w:rPr>
        <w:t>:</w:t>
      </w:r>
    </w:p>
    <w:p w:rsidR="00711923" w:rsidRPr="00D41D30" w:rsidRDefault="00711923" w:rsidP="00E152B5">
      <w:pPr>
        <w:pStyle w:val="21"/>
        <w:ind w:leftChars="625" w:left="2126" w:firstLineChars="208" w:firstLine="708"/>
        <w:rPr>
          <w:color w:val="000000" w:themeColor="text1"/>
        </w:rPr>
      </w:pPr>
      <w:r w:rsidRPr="00D41D30">
        <w:rPr>
          <w:rFonts w:hint="eastAsia"/>
          <w:color w:val="000000" w:themeColor="text1"/>
        </w:rPr>
        <w:t>各樂齡中心承辦單位多元，且分散於全國各鄉鎮市區</w:t>
      </w:r>
      <w:r w:rsidR="00B562C7" w:rsidRPr="00D41D30">
        <w:rPr>
          <w:rFonts w:hint="eastAsia"/>
          <w:color w:val="000000" w:themeColor="text1"/>
        </w:rPr>
        <w:t>（</w:t>
      </w:r>
      <w:r w:rsidRPr="00D41D30">
        <w:rPr>
          <w:rFonts w:hint="eastAsia"/>
          <w:color w:val="000000" w:themeColor="text1"/>
        </w:rPr>
        <w:t>含原民地區及離島</w:t>
      </w:r>
      <w:r w:rsidR="006B5136" w:rsidRPr="00D41D30">
        <w:rPr>
          <w:rFonts w:hint="eastAsia"/>
          <w:color w:val="000000" w:themeColor="text1"/>
        </w:rPr>
        <w:t>）</w:t>
      </w:r>
      <w:r w:rsidRPr="00D41D30">
        <w:rPr>
          <w:rFonts w:hint="eastAsia"/>
          <w:color w:val="000000" w:themeColor="text1"/>
        </w:rPr>
        <w:t>，地方政府常因承辦人更迭，無法提供中心運作之專業諮詢，</w:t>
      </w:r>
      <w:r w:rsidR="00E152B5" w:rsidRPr="00D41D30">
        <w:rPr>
          <w:rFonts w:hint="eastAsia"/>
          <w:color w:val="000000" w:themeColor="text1"/>
        </w:rPr>
        <w:t>該</w:t>
      </w:r>
      <w:r w:rsidRPr="00D41D30">
        <w:rPr>
          <w:rFonts w:hint="eastAsia"/>
          <w:color w:val="000000" w:themeColor="text1"/>
        </w:rPr>
        <w:t>部委託國內高齡及成教相關系所專家學者前往協助，除可將</w:t>
      </w:r>
      <w:r w:rsidR="00E152B5" w:rsidRPr="00D41D30">
        <w:rPr>
          <w:rFonts w:hint="eastAsia"/>
          <w:color w:val="000000" w:themeColor="text1"/>
        </w:rPr>
        <w:t>該</w:t>
      </w:r>
      <w:r w:rsidRPr="00D41D30">
        <w:rPr>
          <w:rFonts w:hint="eastAsia"/>
          <w:color w:val="000000" w:themeColor="text1"/>
        </w:rPr>
        <w:t>部推動政策貫徹，更可將專業</w:t>
      </w:r>
      <w:r w:rsidRPr="00D41D30">
        <w:rPr>
          <w:rFonts w:hAnsi="Arial" w:hint="eastAsia"/>
          <w:color w:val="000000" w:themeColor="text1"/>
        </w:rPr>
        <w:t>知識</w:t>
      </w:r>
      <w:r w:rsidRPr="00D41D30">
        <w:rPr>
          <w:rFonts w:hint="eastAsia"/>
          <w:color w:val="000000" w:themeColor="text1"/>
        </w:rPr>
        <w:t>帶至偏鄉，部分輔導團更計畫於原民地區開課</w:t>
      </w:r>
      <w:r w:rsidR="00B562C7" w:rsidRPr="00D41D30">
        <w:rPr>
          <w:rFonts w:hint="eastAsia"/>
          <w:color w:val="000000" w:themeColor="text1"/>
        </w:rPr>
        <w:t>（</w:t>
      </w:r>
      <w:r w:rsidRPr="00D41D30">
        <w:rPr>
          <w:rFonts w:hint="eastAsia"/>
          <w:color w:val="000000" w:themeColor="text1"/>
        </w:rPr>
        <w:t>如南投縣國姓鄉、屏東縣霧台鄉</w:t>
      </w:r>
      <w:r w:rsidR="006B5136" w:rsidRPr="00D41D30">
        <w:rPr>
          <w:rFonts w:hint="eastAsia"/>
          <w:color w:val="000000" w:themeColor="text1"/>
        </w:rPr>
        <w:t>）</w:t>
      </w:r>
      <w:r w:rsidRPr="00D41D30">
        <w:rPr>
          <w:rFonts w:hint="eastAsia"/>
          <w:color w:val="000000" w:themeColor="text1"/>
        </w:rPr>
        <w:t>，避免原鄉地區講師，因交通不便，無法到定點學習。</w:t>
      </w:r>
    </w:p>
    <w:p w:rsidR="00711923" w:rsidRPr="00D41D30" w:rsidRDefault="00711923" w:rsidP="00E152B5">
      <w:pPr>
        <w:pStyle w:val="5"/>
        <w:rPr>
          <w:rFonts w:hAnsi="標楷體"/>
          <w:color w:val="000000" w:themeColor="text1"/>
          <w:szCs w:val="32"/>
        </w:rPr>
      </w:pPr>
      <w:r w:rsidRPr="00D41D30">
        <w:rPr>
          <w:rFonts w:hAnsi="標楷體" w:hint="eastAsia"/>
          <w:color w:val="000000" w:themeColor="text1"/>
          <w:szCs w:val="32"/>
        </w:rPr>
        <w:t>委託</w:t>
      </w:r>
      <w:r w:rsidRPr="00D41D30">
        <w:rPr>
          <w:rFonts w:hint="eastAsia"/>
          <w:color w:val="000000" w:themeColor="text1"/>
        </w:rPr>
        <w:t>專業</w:t>
      </w:r>
      <w:r w:rsidRPr="00D41D30">
        <w:rPr>
          <w:rFonts w:hAnsi="標楷體" w:hint="eastAsia"/>
          <w:color w:val="000000" w:themeColor="text1"/>
          <w:szCs w:val="32"/>
        </w:rPr>
        <w:t>團體，發展創新多元模式</w:t>
      </w:r>
    </w:p>
    <w:p w:rsidR="00711923" w:rsidRPr="00D41D30" w:rsidRDefault="00711923" w:rsidP="00E152B5">
      <w:pPr>
        <w:pStyle w:val="21"/>
        <w:ind w:leftChars="625" w:left="2126" w:firstLineChars="208" w:firstLine="708"/>
        <w:rPr>
          <w:rFonts w:hAnsi="標楷體"/>
          <w:color w:val="000000" w:themeColor="text1"/>
          <w:szCs w:val="32"/>
        </w:rPr>
      </w:pPr>
      <w:r w:rsidRPr="00D41D30">
        <w:rPr>
          <w:rFonts w:hAnsi="標楷體" w:hint="eastAsia"/>
          <w:color w:val="000000" w:themeColor="text1"/>
          <w:szCs w:val="32"/>
        </w:rPr>
        <w:t>全國樂齡中心雖為縣市政府推薦成立，惟所補助之</w:t>
      </w:r>
      <w:r w:rsidRPr="00D41D30">
        <w:rPr>
          <w:rFonts w:hint="eastAsia"/>
          <w:color w:val="000000" w:themeColor="text1"/>
        </w:rPr>
        <w:t>經費</w:t>
      </w:r>
      <w:r w:rsidRPr="00D41D30">
        <w:rPr>
          <w:rFonts w:hAnsi="標楷體" w:hint="eastAsia"/>
          <w:color w:val="000000" w:themeColor="text1"/>
          <w:szCs w:val="32"/>
        </w:rPr>
        <w:t>多來自</w:t>
      </w:r>
      <w:r w:rsidR="00E152B5" w:rsidRPr="00D41D30">
        <w:rPr>
          <w:rFonts w:hAnsi="標楷體" w:hint="eastAsia"/>
          <w:color w:val="000000" w:themeColor="text1"/>
          <w:szCs w:val="32"/>
        </w:rPr>
        <w:t>該</w:t>
      </w:r>
      <w:r w:rsidRPr="00D41D30">
        <w:rPr>
          <w:rFonts w:hAnsi="標楷體" w:hint="eastAsia"/>
          <w:color w:val="000000" w:themeColor="text1"/>
          <w:szCs w:val="32"/>
        </w:rPr>
        <w:t>部提供，多數各縣市政府囿於財源，無餘裕之經費聘用相關專業教授進行訪視及培訓等工作</w:t>
      </w:r>
      <w:r w:rsidR="00B562C7" w:rsidRPr="00D41D30">
        <w:rPr>
          <w:rFonts w:hAnsi="標楷體" w:hint="eastAsia"/>
          <w:color w:val="000000" w:themeColor="text1"/>
          <w:szCs w:val="32"/>
        </w:rPr>
        <w:t>（</w:t>
      </w:r>
      <w:r w:rsidRPr="00D41D30">
        <w:rPr>
          <w:rFonts w:hAnsi="標楷體" w:hint="eastAsia"/>
          <w:color w:val="000000" w:themeColor="text1"/>
          <w:szCs w:val="32"/>
        </w:rPr>
        <w:t>多數縣市運用退休教職人員</w:t>
      </w:r>
      <w:r w:rsidR="006B5136" w:rsidRPr="00D41D30">
        <w:rPr>
          <w:rFonts w:hAnsi="標楷體" w:hint="eastAsia"/>
          <w:color w:val="000000" w:themeColor="text1"/>
          <w:szCs w:val="32"/>
        </w:rPr>
        <w:t>）</w:t>
      </w:r>
      <w:r w:rsidRPr="00D41D30">
        <w:rPr>
          <w:rFonts w:hAnsi="標楷體" w:hint="eastAsia"/>
          <w:color w:val="000000" w:themeColor="text1"/>
          <w:szCs w:val="32"/>
        </w:rPr>
        <w:t>，更無法自行發展教材、教案，</w:t>
      </w:r>
      <w:r w:rsidR="00E152B5" w:rsidRPr="00D41D30">
        <w:rPr>
          <w:rFonts w:hAnsi="標楷體" w:hint="eastAsia"/>
          <w:color w:val="000000" w:themeColor="text1"/>
          <w:szCs w:val="32"/>
        </w:rPr>
        <w:t>該</w:t>
      </w:r>
      <w:r w:rsidRPr="00D41D30">
        <w:rPr>
          <w:rFonts w:hAnsi="標楷體" w:hint="eastAsia"/>
          <w:color w:val="000000" w:themeColor="text1"/>
          <w:szCs w:val="32"/>
        </w:rPr>
        <w:t>部委請輔導團協助專業輔導，</w:t>
      </w:r>
      <w:r w:rsidRPr="00D41D30">
        <w:rPr>
          <w:rFonts w:hAnsi="標楷體" w:hint="eastAsia"/>
          <w:color w:val="000000" w:themeColor="text1"/>
          <w:szCs w:val="32"/>
        </w:rPr>
        <w:lastRenderedPageBreak/>
        <w:t>規劃系列性培訓課程，發展樂齡中心核心課程、輔導成立樂齡自組學習團體</w:t>
      </w:r>
      <w:r w:rsidR="00B562C7" w:rsidRPr="00D41D30">
        <w:rPr>
          <w:rFonts w:hAnsi="標楷體" w:hint="eastAsia"/>
          <w:color w:val="000000" w:themeColor="text1"/>
          <w:szCs w:val="32"/>
        </w:rPr>
        <w:t>（</w:t>
      </w:r>
      <w:r w:rsidRPr="00D41D30">
        <w:rPr>
          <w:rFonts w:hAnsi="標楷體" w:hint="eastAsia"/>
          <w:color w:val="000000" w:themeColor="text1"/>
          <w:szCs w:val="32"/>
        </w:rPr>
        <w:t>後改為樂齡學習社團</w:t>
      </w:r>
      <w:r w:rsidR="006B5136" w:rsidRPr="00D41D30">
        <w:rPr>
          <w:rFonts w:hAnsi="標楷體" w:hint="eastAsia"/>
          <w:color w:val="000000" w:themeColor="text1"/>
          <w:szCs w:val="32"/>
        </w:rPr>
        <w:t>）</w:t>
      </w:r>
      <w:r w:rsidRPr="00D41D30">
        <w:rPr>
          <w:rFonts w:hAnsi="標楷體" w:hint="eastAsia"/>
          <w:color w:val="000000" w:themeColor="text1"/>
          <w:szCs w:val="32"/>
        </w:rPr>
        <w:t>、進行村里拓點、盤點資源連結等，並隨時檢核樂齡中心執行成效，維持高齡教育推動之品質。</w:t>
      </w:r>
    </w:p>
    <w:p w:rsidR="0087164C" w:rsidRPr="00D41D30" w:rsidRDefault="00DA231C" w:rsidP="00DA231C">
      <w:pPr>
        <w:pStyle w:val="3"/>
        <w:rPr>
          <w:rFonts w:hAnsi="標楷體"/>
          <w:color w:val="000000" w:themeColor="text1"/>
          <w:szCs w:val="32"/>
        </w:rPr>
      </w:pPr>
      <w:bookmarkStart w:id="783" w:name="_Toc30512508"/>
      <w:bookmarkStart w:id="784" w:name="_Toc30581216"/>
      <w:bookmarkStart w:id="785" w:name="_Toc32392489"/>
      <w:bookmarkStart w:id="786" w:name="_Toc32673680"/>
      <w:bookmarkStart w:id="787" w:name="_Toc32846543"/>
      <w:bookmarkStart w:id="788" w:name="_Toc32913786"/>
      <w:bookmarkStart w:id="789" w:name="_Toc32918462"/>
      <w:bookmarkStart w:id="790" w:name="_Toc33011755"/>
      <w:r w:rsidRPr="00D41D30">
        <w:rPr>
          <w:rFonts w:hAnsi="標楷體" w:hint="eastAsia"/>
          <w:color w:val="000000" w:themeColor="text1"/>
          <w:szCs w:val="32"/>
        </w:rPr>
        <w:t>教育</w:t>
      </w:r>
      <w:r w:rsidR="0087164C" w:rsidRPr="00D41D30">
        <w:rPr>
          <w:rFonts w:hAnsi="標楷體" w:hint="eastAsia"/>
          <w:color w:val="000000" w:themeColor="text1"/>
          <w:szCs w:val="32"/>
        </w:rPr>
        <w:t>部自106年度開始進行行政減量，大量減少對地方的訪視輔導工作，</w:t>
      </w:r>
      <w:r w:rsidRPr="00D41D30">
        <w:rPr>
          <w:rFonts w:hAnsi="標楷體" w:hint="eastAsia"/>
          <w:color w:val="000000" w:themeColor="text1"/>
          <w:szCs w:val="32"/>
        </w:rPr>
        <w:t>對於</w:t>
      </w:r>
      <w:r w:rsidR="0087164C" w:rsidRPr="00D41D30">
        <w:rPr>
          <w:rFonts w:hAnsi="標楷體" w:hint="eastAsia"/>
          <w:color w:val="000000" w:themeColor="text1"/>
          <w:szCs w:val="32"/>
        </w:rPr>
        <w:t>樂齡輔導團近年來訪視輔導工作與過往相較有無亦配合進行減量辦理</w:t>
      </w:r>
      <w:bookmarkEnd w:id="783"/>
      <w:bookmarkEnd w:id="784"/>
      <w:bookmarkEnd w:id="785"/>
      <w:bookmarkEnd w:id="786"/>
      <w:bookmarkEnd w:id="787"/>
      <w:bookmarkEnd w:id="788"/>
      <w:bookmarkEnd w:id="789"/>
      <w:bookmarkEnd w:id="790"/>
    </w:p>
    <w:p w:rsidR="0087164C" w:rsidRPr="00D41D30" w:rsidRDefault="00AD26EF" w:rsidP="00DA231C">
      <w:pPr>
        <w:pStyle w:val="21"/>
        <w:ind w:leftChars="417" w:left="1418" w:firstLineChars="208" w:firstLine="708"/>
        <w:rPr>
          <w:rFonts w:hAnsi="Arial"/>
          <w:color w:val="000000" w:themeColor="text1"/>
          <w:szCs w:val="32"/>
        </w:rPr>
      </w:pPr>
      <w:r w:rsidRPr="00D41D30">
        <w:rPr>
          <w:rFonts w:hAnsi="標楷體" w:hint="eastAsia"/>
          <w:color w:val="000000" w:themeColor="text1"/>
          <w:szCs w:val="32"/>
        </w:rPr>
        <w:t>教育</w:t>
      </w:r>
      <w:r w:rsidR="0087164C" w:rsidRPr="00D41D30">
        <w:rPr>
          <w:rFonts w:hAnsi="標楷體" w:hint="eastAsia"/>
          <w:color w:val="000000" w:themeColor="text1"/>
          <w:szCs w:val="32"/>
        </w:rPr>
        <w:t>部委託各區輔導團於102至104年邀請相關領域專家學者及實務工作者協助，藉由不同領域的專家學者，提供樂齡中心不同層面建議。為簡化行政程序，105年起併同縣市政府進行訪視，每1所中心訪視次數，除為新辦</w:t>
      </w:r>
      <w:r w:rsidR="00B562C7" w:rsidRPr="00D41D30">
        <w:rPr>
          <w:rFonts w:hAnsi="標楷體" w:hint="eastAsia"/>
          <w:color w:val="000000" w:themeColor="text1"/>
          <w:szCs w:val="32"/>
        </w:rPr>
        <w:t>（</w:t>
      </w:r>
      <w:r w:rsidR="0087164C" w:rsidRPr="00D41D30">
        <w:rPr>
          <w:rFonts w:hAnsi="標楷體" w:hint="eastAsia"/>
          <w:color w:val="000000" w:themeColor="text1"/>
          <w:szCs w:val="32"/>
        </w:rPr>
        <w:t>或更換團隊</w:t>
      </w:r>
      <w:r w:rsidR="006B5136" w:rsidRPr="00D41D30">
        <w:rPr>
          <w:rFonts w:hAnsi="標楷體" w:hint="eastAsia"/>
          <w:color w:val="000000" w:themeColor="text1"/>
          <w:szCs w:val="32"/>
        </w:rPr>
        <w:t>）</w:t>
      </w:r>
      <w:r w:rsidR="0087164C" w:rsidRPr="00D41D30">
        <w:rPr>
          <w:rFonts w:hAnsi="標楷體" w:hint="eastAsia"/>
          <w:color w:val="000000" w:themeColor="text1"/>
          <w:szCs w:val="32"/>
        </w:rPr>
        <w:t>之樂齡中心採期初及期中訪視外，其餘中心為期中訪視1次，透過實際訪視，瞭解中心運作狀況，提供各中心經營運作所需之諮詢輔導建議，已減少行政工作。</w:t>
      </w:r>
    </w:p>
    <w:p w:rsidR="003C7764" w:rsidRPr="00D41D30" w:rsidRDefault="00D230D2" w:rsidP="002E4F7E">
      <w:pPr>
        <w:pStyle w:val="2"/>
        <w:spacing w:beforeLines="100" w:before="457"/>
        <w:ind w:left="1020" w:hanging="680"/>
        <w:rPr>
          <w:b/>
          <w:color w:val="000000" w:themeColor="text1"/>
        </w:rPr>
      </w:pPr>
      <w:bookmarkStart w:id="791" w:name="_Toc33011756"/>
      <w:r w:rsidRPr="00D41D30">
        <w:rPr>
          <w:rFonts w:hint="eastAsia"/>
          <w:b/>
          <w:color w:val="000000" w:themeColor="text1"/>
        </w:rPr>
        <w:t>教育部</w:t>
      </w:r>
      <w:r w:rsidR="003C7764" w:rsidRPr="00D41D30">
        <w:rPr>
          <w:rFonts w:hint="eastAsia"/>
          <w:b/>
          <w:color w:val="000000" w:themeColor="text1"/>
        </w:rPr>
        <w:t>「訪視各直轄市及縣（市）政府執行樂齡學習政策實施計畫」辦理情形</w:t>
      </w:r>
      <w:bookmarkEnd w:id="791"/>
    </w:p>
    <w:p w:rsidR="003C7764" w:rsidRPr="00D41D30" w:rsidRDefault="003C7764" w:rsidP="003C7764">
      <w:pPr>
        <w:pStyle w:val="3"/>
        <w:rPr>
          <w:color w:val="000000" w:themeColor="text1"/>
        </w:rPr>
      </w:pPr>
      <w:bookmarkStart w:id="792" w:name="_Toc30512510"/>
      <w:bookmarkStart w:id="793" w:name="_Toc30581218"/>
      <w:bookmarkStart w:id="794" w:name="_Toc32392491"/>
      <w:bookmarkStart w:id="795" w:name="_Toc32673682"/>
      <w:bookmarkStart w:id="796" w:name="_Toc32846545"/>
      <w:bookmarkStart w:id="797" w:name="_Toc32913788"/>
      <w:bookmarkStart w:id="798" w:name="_Toc32918464"/>
      <w:bookmarkStart w:id="799" w:name="_Toc33011757"/>
      <w:r w:rsidRPr="00D41D30">
        <w:rPr>
          <w:rFonts w:hint="eastAsia"/>
          <w:color w:val="000000" w:themeColor="text1"/>
        </w:rPr>
        <w:t>教育部每年編列補助各地方政府執行樂齡學習計畫約1億餘元，各縣市政府之分配額度，係依據該部年度預算及各鄉鎮市區樂齡中心之申請額度進行審核，為督導地方政府落實執行樂齡學習政策，並激勵辦理績效良好之地方政府，爰依終身學習法第14條訂定</w:t>
      </w:r>
      <w:r w:rsidRPr="00D41D30">
        <w:rPr>
          <w:rFonts w:hint="eastAsia"/>
          <w:color w:val="000000" w:themeColor="text1"/>
          <w:szCs w:val="32"/>
        </w:rPr>
        <w:t>之「樂齡學習活動補助與訪視輔導及獎勵辦法」第9、10及11條規定進行訪視</w:t>
      </w:r>
      <w:r w:rsidRPr="00D41D30">
        <w:rPr>
          <w:rFonts w:hint="eastAsia"/>
          <w:color w:val="000000" w:themeColor="text1"/>
        </w:rPr>
        <w:t>，為實地了解各直轄市、縣</w:t>
      </w:r>
      <w:r w:rsidR="00B562C7" w:rsidRPr="00D41D30">
        <w:rPr>
          <w:rFonts w:hint="eastAsia"/>
          <w:color w:val="000000" w:themeColor="text1"/>
        </w:rPr>
        <w:t>（</w:t>
      </w:r>
      <w:r w:rsidRPr="00D41D30">
        <w:rPr>
          <w:rFonts w:hint="eastAsia"/>
          <w:color w:val="000000" w:themeColor="text1"/>
        </w:rPr>
        <w:t>市</w:t>
      </w:r>
      <w:r w:rsidR="006B5136" w:rsidRPr="00D41D30">
        <w:rPr>
          <w:rFonts w:hint="eastAsia"/>
          <w:color w:val="000000" w:themeColor="text1"/>
        </w:rPr>
        <w:t>）</w:t>
      </w:r>
      <w:r w:rsidRPr="00D41D30">
        <w:rPr>
          <w:rFonts w:hint="eastAsia"/>
          <w:color w:val="000000" w:themeColor="text1"/>
        </w:rPr>
        <w:t>政府推動樂齡學習現況、成效，而擬定「訪視各直轄市及縣</w:t>
      </w:r>
      <w:r w:rsidRPr="00D41D30">
        <w:rPr>
          <w:rFonts w:hint="eastAsia"/>
          <w:color w:val="000000" w:themeColor="text1"/>
        </w:rPr>
        <w:lastRenderedPageBreak/>
        <w:t>（市）政府執行樂齡學習政策實施計畫」，並據以辦理各地方政府執行樂齡學習訪視計畫，訪視對象以各縣市政府為單位，訪視組別原105年分為整體政策、督導機制、經費成效、創新特色、輔導改進5組，於107年修改為整體政策、督導機制、計畫成效、創新特色4個層面，沿用至今。</w:t>
      </w:r>
      <w:bookmarkEnd w:id="792"/>
      <w:bookmarkEnd w:id="793"/>
      <w:bookmarkEnd w:id="794"/>
      <w:bookmarkEnd w:id="795"/>
      <w:bookmarkEnd w:id="796"/>
      <w:bookmarkEnd w:id="797"/>
      <w:bookmarkEnd w:id="798"/>
      <w:bookmarkEnd w:id="799"/>
    </w:p>
    <w:p w:rsidR="003C7764" w:rsidRPr="00D41D30" w:rsidRDefault="003C7764" w:rsidP="003C7764">
      <w:pPr>
        <w:pStyle w:val="3"/>
        <w:rPr>
          <w:color w:val="000000" w:themeColor="text1"/>
        </w:rPr>
      </w:pPr>
      <w:bookmarkStart w:id="800" w:name="_Toc30512511"/>
      <w:bookmarkStart w:id="801" w:name="_Toc30581219"/>
      <w:bookmarkStart w:id="802" w:name="_Toc32392492"/>
      <w:bookmarkStart w:id="803" w:name="_Toc32673683"/>
      <w:bookmarkStart w:id="804" w:name="_Toc32846546"/>
      <w:bookmarkStart w:id="805" w:name="_Toc32913789"/>
      <w:bookmarkStart w:id="806" w:name="_Toc32918465"/>
      <w:bookmarkStart w:id="807" w:name="_Toc33011758"/>
      <w:r w:rsidRPr="00D41D30">
        <w:rPr>
          <w:rFonts w:hint="eastAsia"/>
          <w:color w:val="000000" w:themeColor="text1"/>
        </w:rPr>
        <w:t>並依「中央對直轄市及縣（市）政府補助辦法」及「樂齡學習活動補助與訪視輔導及獎勵辦法」訂定「教育部補助辦理樂齡學習活動及獎勵直轄市縣（市）政府辦理樂齡學習業務實施要點」三-</w:t>
      </w:r>
      <w:r w:rsidR="00B562C7" w:rsidRPr="00D41D30">
        <w:rPr>
          <w:rFonts w:hint="eastAsia"/>
          <w:color w:val="000000" w:themeColor="text1"/>
        </w:rPr>
        <w:t>（</w:t>
      </w:r>
      <w:r w:rsidRPr="00D41D30">
        <w:rPr>
          <w:rFonts w:hint="eastAsia"/>
          <w:color w:val="000000" w:themeColor="text1"/>
        </w:rPr>
        <w:t>三</w:t>
      </w:r>
      <w:r w:rsidR="006B5136" w:rsidRPr="00D41D30">
        <w:rPr>
          <w:rFonts w:hint="eastAsia"/>
          <w:color w:val="000000" w:themeColor="text1"/>
        </w:rPr>
        <w:t>）</w:t>
      </w:r>
      <w:r w:rsidRPr="00D41D30">
        <w:rPr>
          <w:rFonts w:hint="eastAsia"/>
          <w:color w:val="000000" w:themeColor="text1"/>
        </w:rPr>
        <w:t>針對獎勵直轄市、縣（市）政府基準及原則規定，辦理績效優良且具發展特色者，予以表揚，並發給獎牌及獎金；辦理績效不彰者，予以輔導。而訪視成績評為特優、優等之直轄市、縣（市）政府，得免進行次年之訪視，並得比照成績等第核給次年之獎勵經費。</w:t>
      </w:r>
      <w:bookmarkEnd w:id="800"/>
      <w:bookmarkEnd w:id="801"/>
      <w:bookmarkEnd w:id="802"/>
      <w:bookmarkEnd w:id="803"/>
      <w:bookmarkEnd w:id="804"/>
      <w:bookmarkEnd w:id="805"/>
      <w:bookmarkEnd w:id="806"/>
      <w:bookmarkEnd w:id="807"/>
    </w:p>
    <w:p w:rsidR="003C7764" w:rsidRPr="00D41D30" w:rsidRDefault="006C4562" w:rsidP="003C7764">
      <w:pPr>
        <w:pStyle w:val="3"/>
        <w:rPr>
          <w:color w:val="000000" w:themeColor="text1"/>
          <w:szCs w:val="32"/>
        </w:rPr>
      </w:pPr>
      <w:bookmarkStart w:id="808" w:name="_Toc30512512"/>
      <w:bookmarkStart w:id="809" w:name="_Toc30581220"/>
      <w:bookmarkStart w:id="810" w:name="_Toc32392493"/>
      <w:bookmarkStart w:id="811" w:name="_Toc32673684"/>
      <w:bookmarkStart w:id="812" w:name="_Toc32846547"/>
      <w:bookmarkStart w:id="813" w:name="_Toc32913790"/>
      <w:bookmarkStart w:id="814" w:name="_Toc32918466"/>
      <w:bookmarkStart w:id="815" w:name="_Toc33011759"/>
      <w:r w:rsidRPr="00D41D30">
        <w:rPr>
          <w:rFonts w:hint="eastAsia"/>
          <w:color w:val="000000" w:themeColor="text1"/>
          <w:szCs w:val="32"/>
        </w:rPr>
        <w:t>該</w:t>
      </w:r>
      <w:r w:rsidR="003C7764" w:rsidRPr="00D41D30">
        <w:rPr>
          <w:rFonts w:hint="eastAsia"/>
          <w:color w:val="000000" w:themeColor="text1"/>
          <w:szCs w:val="32"/>
        </w:rPr>
        <w:t>部完成訪視後，依據「中央對直轄市及縣（市）政府補助辦法」第15條規定，將結果公告於該部相關網站，並依據訪視結果作為核定獎勵金額度之參據。另本計畫對於執行本計畫之有功人員，由</w:t>
      </w:r>
      <w:r w:rsidRPr="00D41D30">
        <w:rPr>
          <w:rFonts w:hint="eastAsia"/>
          <w:color w:val="000000" w:themeColor="text1"/>
          <w:szCs w:val="32"/>
        </w:rPr>
        <w:t>該部</w:t>
      </w:r>
      <w:r w:rsidR="003C7764" w:rsidRPr="00D41D30">
        <w:rPr>
          <w:rFonts w:hint="eastAsia"/>
          <w:color w:val="000000" w:themeColor="text1"/>
          <w:szCs w:val="32"/>
        </w:rPr>
        <w:t>函請獲獎縣市本權責進行敘獎，對於縣市政府承辦同仁及主管給予鼓勵。</w:t>
      </w:r>
      <w:bookmarkEnd w:id="808"/>
      <w:bookmarkEnd w:id="809"/>
      <w:bookmarkEnd w:id="810"/>
      <w:bookmarkEnd w:id="811"/>
      <w:bookmarkEnd w:id="812"/>
      <w:bookmarkEnd w:id="813"/>
      <w:bookmarkEnd w:id="814"/>
      <w:bookmarkEnd w:id="815"/>
    </w:p>
    <w:p w:rsidR="003C7764" w:rsidRPr="00D41D30" w:rsidRDefault="003C7764" w:rsidP="003C7764">
      <w:pPr>
        <w:pStyle w:val="3"/>
        <w:rPr>
          <w:color w:val="000000" w:themeColor="text1"/>
          <w:szCs w:val="32"/>
        </w:rPr>
      </w:pPr>
      <w:bookmarkStart w:id="816" w:name="_Toc30512513"/>
      <w:bookmarkStart w:id="817" w:name="_Toc30581221"/>
      <w:bookmarkStart w:id="818" w:name="_Toc32392494"/>
      <w:bookmarkStart w:id="819" w:name="_Toc32673685"/>
      <w:bookmarkStart w:id="820" w:name="_Toc32846548"/>
      <w:bookmarkStart w:id="821" w:name="_Toc32913791"/>
      <w:bookmarkStart w:id="822" w:name="_Toc32918467"/>
      <w:bookmarkStart w:id="823" w:name="_Toc33011760"/>
      <w:r w:rsidRPr="00D41D30">
        <w:rPr>
          <w:rFonts w:hint="eastAsia"/>
          <w:color w:val="000000" w:themeColor="text1"/>
          <w:szCs w:val="32"/>
        </w:rPr>
        <w:t>依前述各項辦法及要點，</w:t>
      </w:r>
      <w:r w:rsidR="006C4562" w:rsidRPr="00D41D30">
        <w:rPr>
          <w:rFonts w:hint="eastAsia"/>
          <w:color w:val="000000" w:themeColor="text1"/>
          <w:szCs w:val="32"/>
        </w:rPr>
        <w:t>該部</w:t>
      </w:r>
      <w:r w:rsidRPr="00D41D30">
        <w:rPr>
          <w:rFonts w:hint="eastAsia"/>
          <w:color w:val="000000" w:themeColor="text1"/>
          <w:szCs w:val="32"/>
        </w:rPr>
        <w:t>自105年起，每年均進行地方政府訪視，並辦理頒獎儀式，有效激勵縣市政府重視高齡教育，以花蓮縣政府為例，該府原連續3年均評為甲等，於該府積極重視下，於107年大力推動各項工作，運用樂齡學習北區輔導團專業師資及地方輔導委員，協助盤點資源，該府協助樂齡中心連結師資、專業技術、場地協調、行銷宣傳等，提升各樂齡中心之創新特</w:t>
      </w:r>
      <w:r w:rsidRPr="00D41D30">
        <w:rPr>
          <w:rFonts w:hint="eastAsia"/>
          <w:color w:val="000000" w:themeColor="text1"/>
          <w:szCs w:val="32"/>
        </w:rPr>
        <w:lastRenderedPageBreak/>
        <w:t>色發展，各項層面獲得平衡發展，於108年評為「特優等獎」。</w:t>
      </w:r>
      <w:bookmarkEnd w:id="816"/>
      <w:bookmarkEnd w:id="817"/>
      <w:bookmarkEnd w:id="818"/>
      <w:bookmarkEnd w:id="819"/>
      <w:bookmarkEnd w:id="820"/>
      <w:bookmarkEnd w:id="821"/>
      <w:bookmarkEnd w:id="822"/>
      <w:bookmarkEnd w:id="823"/>
    </w:p>
    <w:p w:rsidR="003C7764" w:rsidRPr="00D41D30" w:rsidRDefault="003C7764" w:rsidP="003C7764">
      <w:pPr>
        <w:pStyle w:val="3"/>
        <w:rPr>
          <w:color w:val="000000" w:themeColor="text1"/>
          <w:szCs w:val="32"/>
        </w:rPr>
      </w:pPr>
      <w:bookmarkStart w:id="824" w:name="_Toc30512514"/>
      <w:bookmarkStart w:id="825" w:name="_Toc30581222"/>
      <w:bookmarkStart w:id="826" w:name="_Toc32392495"/>
      <w:bookmarkStart w:id="827" w:name="_Toc32673686"/>
      <w:bookmarkStart w:id="828" w:name="_Toc32846549"/>
      <w:bookmarkStart w:id="829" w:name="_Toc32913792"/>
      <w:bookmarkStart w:id="830" w:name="_Toc32918468"/>
      <w:bookmarkStart w:id="831" w:name="_Toc33011761"/>
      <w:r w:rsidRPr="00D41D30">
        <w:rPr>
          <w:rFonts w:hAnsi="標楷體" w:hint="eastAsia"/>
          <w:color w:val="000000" w:themeColor="text1"/>
          <w:szCs w:val="32"/>
        </w:rPr>
        <w:t>105至108年各縣市政府訪視成績等第、訪視結果（核發獎金）如下，另有關審查委員訪視意見及建議改善事項</w:t>
      </w:r>
      <w:bookmarkEnd w:id="824"/>
      <w:bookmarkEnd w:id="825"/>
      <w:bookmarkEnd w:id="826"/>
      <w:bookmarkEnd w:id="827"/>
      <w:bookmarkEnd w:id="828"/>
      <w:bookmarkEnd w:id="829"/>
      <w:bookmarkEnd w:id="830"/>
      <w:bookmarkEnd w:id="831"/>
    </w:p>
    <w:p w:rsidR="003C7764" w:rsidRPr="00D41D30" w:rsidRDefault="003C7764" w:rsidP="00DF53E6">
      <w:pPr>
        <w:pStyle w:val="a4"/>
        <w:ind w:left="697" w:hanging="697"/>
        <w:rPr>
          <w:rFonts w:hAnsi="標楷體"/>
          <w:b/>
          <w:color w:val="000000" w:themeColor="text1"/>
        </w:rPr>
      </w:pPr>
      <w:r w:rsidRPr="00D41D30">
        <w:rPr>
          <w:rFonts w:hAnsi="標楷體" w:hint="eastAsia"/>
          <w:b/>
          <w:color w:val="000000" w:themeColor="text1"/>
        </w:rPr>
        <w:t>105年至108年訪視各直轄市及縣（市）政府執行樂齡學習政策實施計畫結果</w:t>
      </w:r>
    </w:p>
    <w:tbl>
      <w:tblPr>
        <w:tblStyle w:val="af9"/>
        <w:tblW w:w="9782" w:type="dxa"/>
        <w:jc w:val="center"/>
        <w:tblLayout w:type="fixed"/>
        <w:tblCellMar>
          <w:left w:w="0" w:type="dxa"/>
          <w:right w:w="0" w:type="dxa"/>
        </w:tblCellMar>
        <w:tblLook w:val="04A0" w:firstRow="1" w:lastRow="0" w:firstColumn="1" w:lastColumn="0" w:noHBand="0" w:noVBand="1"/>
      </w:tblPr>
      <w:tblGrid>
        <w:gridCol w:w="993"/>
        <w:gridCol w:w="851"/>
        <w:gridCol w:w="992"/>
        <w:gridCol w:w="1134"/>
        <w:gridCol w:w="703"/>
        <w:gridCol w:w="992"/>
        <w:gridCol w:w="993"/>
        <w:gridCol w:w="992"/>
        <w:gridCol w:w="1281"/>
        <w:gridCol w:w="851"/>
      </w:tblGrid>
      <w:tr w:rsidR="004D5BD7" w:rsidRPr="00D41D30" w:rsidTr="004D5BD7">
        <w:trPr>
          <w:jc w:val="center"/>
        </w:trPr>
        <w:tc>
          <w:tcPr>
            <w:tcW w:w="993"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縣市別</w:t>
            </w:r>
          </w:p>
        </w:tc>
        <w:tc>
          <w:tcPr>
            <w:tcW w:w="851"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年度</w:t>
            </w:r>
          </w:p>
        </w:tc>
        <w:tc>
          <w:tcPr>
            <w:tcW w:w="992"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等地</w:t>
            </w:r>
          </w:p>
        </w:tc>
        <w:tc>
          <w:tcPr>
            <w:tcW w:w="1134" w:type="dxa"/>
            <w:vAlign w:val="center"/>
          </w:tcPr>
          <w:p w:rsidR="00FB5298"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訪視</w:t>
            </w:r>
          </w:p>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結果</w:t>
            </w:r>
          </w:p>
        </w:tc>
        <w:tc>
          <w:tcPr>
            <w:tcW w:w="703"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備註</w:t>
            </w:r>
          </w:p>
        </w:tc>
        <w:tc>
          <w:tcPr>
            <w:tcW w:w="992"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縣市別</w:t>
            </w:r>
          </w:p>
        </w:tc>
        <w:tc>
          <w:tcPr>
            <w:tcW w:w="993"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年度</w:t>
            </w:r>
          </w:p>
        </w:tc>
        <w:tc>
          <w:tcPr>
            <w:tcW w:w="992"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等地</w:t>
            </w:r>
          </w:p>
        </w:tc>
        <w:tc>
          <w:tcPr>
            <w:tcW w:w="1281" w:type="dxa"/>
            <w:vAlign w:val="center"/>
          </w:tcPr>
          <w:p w:rsidR="00FB5298"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訪視</w:t>
            </w:r>
          </w:p>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結果</w:t>
            </w:r>
          </w:p>
        </w:tc>
        <w:tc>
          <w:tcPr>
            <w:tcW w:w="851" w:type="dxa"/>
            <w:vAlign w:val="center"/>
          </w:tcPr>
          <w:p w:rsidR="003C7764" w:rsidRPr="00D41D30" w:rsidRDefault="003C7764" w:rsidP="00E451DC">
            <w:pPr>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備註</w:t>
            </w:r>
          </w:p>
        </w:tc>
      </w:tr>
      <w:tr w:rsidR="004D5BD7" w:rsidRPr="00D41D30" w:rsidTr="004D5BD7">
        <w:trPr>
          <w:trHeight w:val="70"/>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臺北市</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嘉義市</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新北市</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臺南市</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基隆市</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乙等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0</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高雄市</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40萬元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桃園市</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屏東縣</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40萬元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40萬元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新竹縣</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宜蘭縣</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新竹市</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花蓮縣</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20萬元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特優</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b/>
                <w:color w:val="000000" w:themeColor="text1"/>
                <w:sz w:val="24"/>
                <w:szCs w:val="24"/>
              </w:rPr>
              <w:br w:type="page"/>
            </w:r>
            <w:r w:rsidRPr="00D41D30">
              <w:rPr>
                <w:rFonts w:hAnsi="標楷體" w:hint="eastAsia"/>
                <w:b/>
                <w:color w:val="000000" w:themeColor="text1"/>
                <w:sz w:val="24"/>
                <w:szCs w:val="24"/>
              </w:rPr>
              <w:t>苗栗縣</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臺東縣</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臺中市</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40萬元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澎湖縣</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乙等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70萬元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乙等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40萬元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10萬元</w:t>
            </w: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彰化縣</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金門縣</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南投縣</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restart"/>
            <w:vAlign w:val="center"/>
          </w:tcPr>
          <w:p w:rsidR="003C7764" w:rsidRPr="00D41D30" w:rsidRDefault="003C7764" w:rsidP="00E451DC">
            <w:pPr>
              <w:spacing w:line="30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連江縣</w:t>
            </w: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乙等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乙等</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未評</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Merge/>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未評</w:t>
            </w: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雲林縣</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甲等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30萬元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restart"/>
            <w:vAlign w:val="center"/>
          </w:tcPr>
          <w:p w:rsidR="003C7764" w:rsidRPr="00D41D30" w:rsidRDefault="003C7764" w:rsidP="00E451DC">
            <w:pPr>
              <w:spacing w:line="460" w:lineRule="exact"/>
              <w:ind w:left="520" w:hanging="520"/>
              <w:jc w:val="center"/>
              <w:rPr>
                <w:rFonts w:hAnsi="標楷體"/>
                <w:b/>
                <w:color w:val="000000" w:themeColor="text1"/>
                <w:sz w:val="24"/>
                <w:szCs w:val="24"/>
              </w:rPr>
            </w:pPr>
            <w:r w:rsidRPr="00D41D30">
              <w:rPr>
                <w:rFonts w:hAnsi="標楷體" w:hint="eastAsia"/>
                <w:b/>
                <w:color w:val="000000" w:themeColor="text1"/>
                <w:sz w:val="24"/>
                <w:szCs w:val="24"/>
              </w:rPr>
              <w:t>嘉義縣</w:t>
            </w: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105</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106</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107</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r w:rsidR="004D5BD7" w:rsidRPr="00D41D30" w:rsidTr="004D5BD7">
        <w:trPr>
          <w:jc w:val="center"/>
        </w:trPr>
        <w:tc>
          <w:tcPr>
            <w:tcW w:w="993" w:type="dxa"/>
            <w:vMerge/>
            <w:vAlign w:val="center"/>
          </w:tcPr>
          <w:p w:rsidR="003C7764" w:rsidRPr="00D41D30" w:rsidRDefault="003C7764" w:rsidP="00E451DC">
            <w:pPr>
              <w:spacing w:line="460" w:lineRule="exact"/>
              <w:ind w:left="520" w:hanging="520"/>
              <w:jc w:val="center"/>
              <w:rPr>
                <w:rFonts w:hAnsi="標楷體"/>
                <w:b/>
                <w:color w:val="000000" w:themeColor="text1"/>
                <w:sz w:val="24"/>
                <w:szCs w:val="24"/>
              </w:rPr>
            </w:pPr>
          </w:p>
        </w:tc>
        <w:tc>
          <w:tcPr>
            <w:tcW w:w="85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108</w:t>
            </w: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優等</w:t>
            </w:r>
          </w:p>
        </w:tc>
        <w:tc>
          <w:tcPr>
            <w:tcW w:w="1134"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50萬元</w:t>
            </w:r>
          </w:p>
        </w:tc>
        <w:tc>
          <w:tcPr>
            <w:tcW w:w="70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r w:rsidRPr="00D41D30">
              <w:rPr>
                <w:rFonts w:hAnsi="標楷體" w:hint="eastAsia"/>
                <w:color w:val="000000" w:themeColor="text1"/>
                <w:sz w:val="24"/>
                <w:szCs w:val="24"/>
              </w:rPr>
              <w:t>免評</w:t>
            </w:r>
          </w:p>
        </w:tc>
        <w:tc>
          <w:tcPr>
            <w:tcW w:w="992" w:type="dxa"/>
            <w:vAlign w:val="center"/>
          </w:tcPr>
          <w:p w:rsidR="003C7764" w:rsidRPr="00D41D30" w:rsidRDefault="003C7764" w:rsidP="00E451DC">
            <w:pPr>
              <w:spacing w:line="300" w:lineRule="exact"/>
              <w:ind w:left="520" w:hanging="520"/>
              <w:jc w:val="center"/>
              <w:rPr>
                <w:rFonts w:hAnsi="標楷體"/>
                <w:b/>
                <w:color w:val="000000" w:themeColor="text1"/>
                <w:sz w:val="24"/>
                <w:szCs w:val="24"/>
              </w:rPr>
            </w:pPr>
          </w:p>
        </w:tc>
        <w:tc>
          <w:tcPr>
            <w:tcW w:w="993"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992"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1281" w:type="dxa"/>
            <w:vAlign w:val="center"/>
          </w:tcPr>
          <w:p w:rsidR="003C7764" w:rsidRPr="00D41D30" w:rsidRDefault="003C7764" w:rsidP="00E451DC">
            <w:pPr>
              <w:spacing w:line="300" w:lineRule="exact"/>
              <w:ind w:left="520" w:hanging="520"/>
              <w:jc w:val="center"/>
              <w:rPr>
                <w:rFonts w:hAnsi="標楷體"/>
                <w:color w:val="000000" w:themeColor="text1"/>
                <w:sz w:val="24"/>
                <w:szCs w:val="24"/>
              </w:rPr>
            </w:pPr>
          </w:p>
        </w:tc>
        <w:tc>
          <w:tcPr>
            <w:tcW w:w="851" w:type="dxa"/>
          </w:tcPr>
          <w:p w:rsidR="003C7764" w:rsidRPr="00D41D30" w:rsidRDefault="003C7764" w:rsidP="00E451DC">
            <w:pPr>
              <w:spacing w:line="300" w:lineRule="exact"/>
              <w:ind w:left="520" w:hanging="520"/>
              <w:jc w:val="center"/>
              <w:rPr>
                <w:rFonts w:hAnsi="標楷體"/>
                <w:color w:val="000000" w:themeColor="text1"/>
                <w:sz w:val="24"/>
                <w:szCs w:val="24"/>
              </w:rPr>
            </w:pPr>
          </w:p>
        </w:tc>
      </w:tr>
    </w:tbl>
    <w:p w:rsidR="003C7764" w:rsidRPr="00D41D30" w:rsidRDefault="003C7764" w:rsidP="009D6D39">
      <w:pPr>
        <w:rPr>
          <w:color w:val="000000" w:themeColor="text1"/>
          <w:sz w:val="24"/>
          <w:szCs w:val="24"/>
        </w:rPr>
      </w:pPr>
      <w:bookmarkStart w:id="832" w:name="_Toc30512515"/>
      <w:bookmarkStart w:id="833" w:name="_Toc30581223"/>
      <w:bookmarkStart w:id="834" w:name="_Toc32392496"/>
      <w:bookmarkStart w:id="835" w:name="_Toc32673687"/>
      <w:bookmarkStart w:id="836" w:name="_Toc32846550"/>
      <w:bookmarkStart w:id="837" w:name="_Toc32913793"/>
      <w:bookmarkStart w:id="838" w:name="_Toc32918469"/>
      <w:bookmarkStart w:id="839" w:name="_Toc33011762"/>
      <w:r w:rsidRPr="00D41D30">
        <w:rPr>
          <w:rFonts w:hint="eastAsia"/>
          <w:color w:val="000000" w:themeColor="text1"/>
          <w:sz w:val="24"/>
          <w:szCs w:val="24"/>
        </w:rPr>
        <w:t>資料來源:教育部。</w:t>
      </w:r>
      <w:bookmarkEnd w:id="832"/>
      <w:bookmarkEnd w:id="833"/>
      <w:bookmarkEnd w:id="834"/>
      <w:bookmarkEnd w:id="835"/>
      <w:bookmarkEnd w:id="836"/>
      <w:bookmarkEnd w:id="837"/>
      <w:bookmarkEnd w:id="838"/>
      <w:bookmarkEnd w:id="839"/>
    </w:p>
    <w:p w:rsidR="003C7764" w:rsidRPr="00D41D30" w:rsidRDefault="003C7764" w:rsidP="002E4F7E">
      <w:pPr>
        <w:pStyle w:val="2"/>
        <w:spacing w:beforeLines="100" w:before="457"/>
        <w:ind w:left="1020" w:hanging="680"/>
        <w:rPr>
          <w:rFonts w:hAnsi="標楷體"/>
          <w:b/>
          <w:color w:val="000000" w:themeColor="text1"/>
          <w:szCs w:val="32"/>
        </w:rPr>
      </w:pPr>
      <w:bookmarkStart w:id="840" w:name="_Toc33011763"/>
      <w:r w:rsidRPr="00D41D30">
        <w:rPr>
          <w:rFonts w:hAnsi="標楷體" w:hint="eastAsia"/>
          <w:b/>
          <w:color w:val="000000" w:themeColor="text1"/>
          <w:szCs w:val="32"/>
        </w:rPr>
        <w:t>縣市政府成立輔導團及建立督導訪視及輔導機制辦理情形</w:t>
      </w:r>
      <w:bookmarkEnd w:id="840"/>
    </w:p>
    <w:p w:rsidR="003C7764" w:rsidRPr="00D41D30" w:rsidRDefault="003C7764" w:rsidP="003C7764">
      <w:pPr>
        <w:pStyle w:val="3"/>
        <w:rPr>
          <w:rFonts w:hAnsi="標楷體"/>
          <w:b/>
          <w:color w:val="000000" w:themeColor="text1"/>
          <w:sz w:val="28"/>
          <w:szCs w:val="28"/>
        </w:rPr>
      </w:pPr>
      <w:bookmarkStart w:id="841" w:name="_Toc30512517"/>
      <w:bookmarkStart w:id="842" w:name="_Toc30581225"/>
      <w:bookmarkStart w:id="843" w:name="_Toc32392498"/>
      <w:bookmarkStart w:id="844" w:name="_Toc32673689"/>
      <w:bookmarkStart w:id="845" w:name="_Toc32846552"/>
      <w:bookmarkStart w:id="846" w:name="_Toc32913795"/>
      <w:bookmarkStart w:id="847" w:name="_Toc32918471"/>
      <w:bookmarkStart w:id="848" w:name="_Toc33011764"/>
      <w:r w:rsidRPr="00D41D30">
        <w:rPr>
          <w:rFonts w:hAnsi="標楷體" w:hint="eastAsia"/>
          <w:b/>
          <w:color w:val="000000" w:themeColor="text1"/>
          <w:szCs w:val="32"/>
        </w:rPr>
        <w:t>「成立縣市政府輔導團及建立樂齡中心督導訪視及輔導機制」部分之定位及任務異同</w:t>
      </w:r>
      <w:bookmarkEnd w:id="841"/>
      <w:bookmarkEnd w:id="842"/>
      <w:bookmarkEnd w:id="843"/>
      <w:bookmarkEnd w:id="844"/>
      <w:bookmarkEnd w:id="845"/>
      <w:bookmarkEnd w:id="846"/>
      <w:bookmarkEnd w:id="847"/>
      <w:bookmarkEnd w:id="848"/>
    </w:p>
    <w:p w:rsidR="003C7764" w:rsidRPr="00D41D30" w:rsidRDefault="003C7764" w:rsidP="003C7764">
      <w:pPr>
        <w:pStyle w:val="32"/>
        <w:ind w:left="1361" w:firstLine="680"/>
        <w:rPr>
          <w:rFonts w:hAnsi="標楷體"/>
          <w:b/>
          <w:color w:val="000000" w:themeColor="text1"/>
          <w:sz w:val="28"/>
          <w:szCs w:val="28"/>
        </w:rPr>
      </w:pPr>
      <w:r w:rsidRPr="00D41D30">
        <w:rPr>
          <w:rFonts w:hint="eastAsia"/>
          <w:color w:val="000000" w:themeColor="text1"/>
        </w:rPr>
        <w:t>依據108</w:t>
      </w:r>
      <w:r w:rsidRPr="00D41D30">
        <w:rPr>
          <w:rFonts w:hint="eastAsia"/>
          <w:color w:val="000000" w:themeColor="text1"/>
          <w:szCs w:val="48"/>
        </w:rPr>
        <w:t>年度教育部訪</w:t>
      </w:r>
      <w:r w:rsidRPr="00D41D30">
        <w:rPr>
          <w:rFonts w:hint="eastAsia"/>
          <w:color w:val="000000" w:themeColor="text1"/>
        </w:rPr>
        <w:t>視各直轄市及縣（市）政府執行樂齡學習政策實施計畫七、訪視層面-評分層面-督導機制-評分指標：成立縣市政府輔導團及建立樂齡中心督導訪視及輔導機制（10分），</w:t>
      </w:r>
      <w:r w:rsidRPr="00D41D30">
        <w:rPr>
          <w:rFonts w:hAnsi="標楷體" w:hint="eastAsia"/>
          <w:b/>
          <w:color w:val="000000" w:themeColor="text1"/>
          <w:szCs w:val="32"/>
        </w:rPr>
        <w:t>此機制與貴部成立樂齡學習輔導團（含總團及分區輔導團）之異同及業務內容是否重複</w:t>
      </w:r>
    </w:p>
    <w:p w:rsidR="003C7764" w:rsidRPr="00D41D30" w:rsidRDefault="003C7764" w:rsidP="003C7764">
      <w:pPr>
        <w:pStyle w:val="4"/>
        <w:rPr>
          <w:color w:val="000000" w:themeColor="text1"/>
        </w:rPr>
      </w:pPr>
      <w:r w:rsidRPr="00D41D30">
        <w:rPr>
          <w:rFonts w:hint="eastAsia"/>
          <w:color w:val="000000" w:themeColor="text1"/>
        </w:rPr>
        <w:t>成員組成不同</w:t>
      </w:r>
    </w:p>
    <w:p w:rsidR="004762AF" w:rsidRPr="00D41D30" w:rsidRDefault="003C7764" w:rsidP="004762AF">
      <w:pPr>
        <w:pStyle w:val="5"/>
        <w:rPr>
          <w:color w:val="000000" w:themeColor="text1"/>
        </w:rPr>
      </w:pPr>
      <w:r w:rsidRPr="00D41D30">
        <w:rPr>
          <w:rFonts w:hint="eastAsia"/>
          <w:color w:val="000000" w:themeColor="text1"/>
        </w:rPr>
        <w:t>經</w:t>
      </w:r>
      <w:r w:rsidR="004762AF" w:rsidRPr="00D41D30">
        <w:rPr>
          <w:rFonts w:hint="eastAsia"/>
          <w:color w:val="000000" w:themeColor="text1"/>
        </w:rPr>
        <w:t>教育</w:t>
      </w:r>
      <w:r w:rsidRPr="00D41D30">
        <w:rPr>
          <w:rFonts w:hint="eastAsia"/>
          <w:color w:val="000000" w:themeColor="text1"/>
        </w:rPr>
        <w:t>部調查，各地方政府共聘請218位各界專家學者，組成輔導團或訪視小組，協助推動樂齡輔導團業務，其聘請之成員多為縣市內首長、督學或現職/退休校長主任等，其中具有成人教育相關經驗有23位</w:t>
      </w:r>
      <w:r w:rsidR="00B562C7" w:rsidRPr="00D41D30">
        <w:rPr>
          <w:rFonts w:hint="eastAsia"/>
          <w:color w:val="000000" w:themeColor="text1"/>
        </w:rPr>
        <w:t>（</w:t>
      </w:r>
      <w:r w:rsidRPr="00D41D30">
        <w:rPr>
          <w:rFonts w:hint="eastAsia"/>
          <w:color w:val="000000" w:themeColor="text1"/>
        </w:rPr>
        <w:t>尚</w:t>
      </w:r>
      <w:r w:rsidRPr="00D41D30">
        <w:rPr>
          <w:rFonts w:hint="eastAsia"/>
          <w:color w:val="000000" w:themeColor="text1"/>
        </w:rPr>
        <w:lastRenderedPageBreak/>
        <w:t>有擔任多個縣市委員者</w:t>
      </w:r>
      <w:r w:rsidR="006B5136" w:rsidRPr="00D41D30">
        <w:rPr>
          <w:rFonts w:hint="eastAsia"/>
          <w:color w:val="000000" w:themeColor="text1"/>
        </w:rPr>
        <w:t>）</w:t>
      </w:r>
      <w:r w:rsidR="004762AF" w:rsidRPr="00D41D30">
        <w:rPr>
          <w:rFonts w:hint="eastAsia"/>
          <w:color w:val="000000" w:themeColor="text1"/>
        </w:rPr>
        <w:t>。</w:t>
      </w:r>
    </w:p>
    <w:p w:rsidR="003C7764" w:rsidRPr="00D41D30" w:rsidRDefault="004762AF" w:rsidP="004762AF">
      <w:pPr>
        <w:pStyle w:val="5"/>
        <w:rPr>
          <w:color w:val="000000" w:themeColor="text1"/>
        </w:rPr>
      </w:pPr>
      <w:r w:rsidRPr="00D41D30">
        <w:rPr>
          <w:rFonts w:hint="eastAsia"/>
          <w:color w:val="000000" w:themeColor="text1"/>
        </w:rPr>
        <w:t>該</w:t>
      </w:r>
      <w:r w:rsidR="003C7764" w:rsidRPr="00D41D30">
        <w:rPr>
          <w:rFonts w:hint="eastAsia"/>
          <w:color w:val="000000" w:themeColor="text1"/>
        </w:rPr>
        <w:t>部所委託之輔導團業務，係以國內高齡及成人教育專業背景之大學為主，藉由不同學校及專業領域專家，提供樂齡中心發展不同層面思考，及引導規劃適合在地高齡長者之學習活動。</w:t>
      </w:r>
    </w:p>
    <w:p w:rsidR="003C7764" w:rsidRPr="00D41D30" w:rsidRDefault="003C7764" w:rsidP="003C7764">
      <w:pPr>
        <w:pStyle w:val="4"/>
        <w:rPr>
          <w:color w:val="000000" w:themeColor="text1"/>
          <w:szCs w:val="48"/>
        </w:rPr>
      </w:pPr>
      <w:r w:rsidRPr="00D41D30">
        <w:rPr>
          <w:rFonts w:hint="eastAsia"/>
          <w:color w:val="000000" w:themeColor="text1"/>
          <w:szCs w:val="48"/>
        </w:rPr>
        <w:t>輔導</w:t>
      </w:r>
      <w:r w:rsidRPr="00D41D30">
        <w:rPr>
          <w:rFonts w:hint="eastAsia"/>
          <w:color w:val="000000" w:themeColor="text1"/>
        </w:rPr>
        <w:t>任務</w:t>
      </w:r>
      <w:r w:rsidRPr="00D41D30">
        <w:rPr>
          <w:rFonts w:hint="eastAsia"/>
          <w:color w:val="000000" w:themeColor="text1"/>
          <w:szCs w:val="48"/>
        </w:rPr>
        <w:t>不同</w:t>
      </w:r>
    </w:p>
    <w:p w:rsidR="003C7764" w:rsidRPr="00D41D30" w:rsidRDefault="003C7764" w:rsidP="003C7764">
      <w:pPr>
        <w:pStyle w:val="5"/>
        <w:rPr>
          <w:color w:val="000000" w:themeColor="text1"/>
        </w:rPr>
      </w:pPr>
      <w:r w:rsidRPr="00D41D30">
        <w:rPr>
          <w:rFonts w:hint="eastAsia"/>
          <w:color w:val="000000" w:themeColor="text1"/>
        </w:rPr>
        <w:t>地方輔導委員係就該縣市規劃、整合、審議與輔導樂齡</w:t>
      </w:r>
      <w:r w:rsidRPr="00D41D30">
        <w:rPr>
          <w:rFonts w:hAnsi="Times New Roman" w:hint="eastAsia"/>
          <w:color w:val="000000" w:themeColor="text1"/>
          <w:szCs w:val="20"/>
        </w:rPr>
        <w:t>教育</w:t>
      </w:r>
      <w:r w:rsidRPr="00D41D30">
        <w:rPr>
          <w:rFonts w:hint="eastAsia"/>
          <w:color w:val="000000" w:themeColor="text1"/>
        </w:rPr>
        <w:t>業務，就各樂齡中心經營、組織、行政等層面進行輔導，屬較基礎實際經營面之建議，各委員分配負責之區域，以雲林縣為例，每位輔導委員負責2至3個樂齡中心進行分組分區輔導，協助及支援樂齡中心。</w:t>
      </w:r>
      <w:bookmarkStart w:id="849" w:name="_Hlk22047829"/>
    </w:p>
    <w:p w:rsidR="003C7764" w:rsidRPr="00D41D30" w:rsidRDefault="003C7764" w:rsidP="003C7764">
      <w:pPr>
        <w:pStyle w:val="5"/>
        <w:rPr>
          <w:color w:val="000000" w:themeColor="text1"/>
        </w:rPr>
      </w:pPr>
      <w:r w:rsidRPr="00D41D30">
        <w:rPr>
          <w:rFonts w:hint="eastAsia"/>
          <w:color w:val="000000" w:themeColor="text1"/>
        </w:rPr>
        <w:t>該部所委託輔導團之訪視督導，係經召開相關會議，由總輔導團協助綜整各區建議方向，修改訪視項目，訂定公布之訪視計畫據以執行，各區輔導團教授均親自到達偏鄉離島地區，如澎湖七美鄉、望安鄉，臺東縣綠島鄉及原住民地區，傳遞</w:t>
      </w:r>
      <w:r w:rsidR="004762AF" w:rsidRPr="00D41D30">
        <w:rPr>
          <w:rFonts w:hint="eastAsia"/>
          <w:color w:val="000000" w:themeColor="text1"/>
        </w:rPr>
        <w:t>教育</w:t>
      </w:r>
      <w:r w:rsidRPr="00D41D30">
        <w:rPr>
          <w:rFonts w:hint="eastAsia"/>
          <w:color w:val="000000" w:themeColor="text1"/>
        </w:rPr>
        <w:t>部推動樂齡學習政策理念及樂齡中心正確運作方式，並將承辦單位建議、運作困境、在地學習現況等，提供</w:t>
      </w:r>
      <w:r w:rsidR="004762AF" w:rsidRPr="00D41D30">
        <w:rPr>
          <w:rFonts w:hint="eastAsia"/>
          <w:color w:val="000000" w:themeColor="text1"/>
        </w:rPr>
        <w:t>該</w:t>
      </w:r>
      <w:r w:rsidRPr="00D41D30">
        <w:rPr>
          <w:rFonts w:hint="eastAsia"/>
          <w:color w:val="000000" w:themeColor="text1"/>
        </w:rPr>
        <w:t>部作為後續滾動修正參考，以強化政策落實，避免中央政策及地方執行產生落差。</w:t>
      </w:r>
      <w:bookmarkEnd w:id="849"/>
    </w:p>
    <w:p w:rsidR="003C7764" w:rsidRPr="00D41D30" w:rsidRDefault="003C7764" w:rsidP="003C7764">
      <w:pPr>
        <w:pStyle w:val="4"/>
        <w:rPr>
          <w:rFonts w:hAnsi="標楷體"/>
          <w:color w:val="000000" w:themeColor="text1"/>
          <w:szCs w:val="32"/>
        </w:rPr>
      </w:pPr>
      <w:r w:rsidRPr="00D41D30">
        <w:rPr>
          <w:rFonts w:hAnsi="標楷體" w:hint="eastAsia"/>
          <w:color w:val="000000" w:themeColor="text1"/>
          <w:szCs w:val="32"/>
        </w:rPr>
        <w:t>研究</w:t>
      </w:r>
      <w:r w:rsidRPr="00D41D30">
        <w:rPr>
          <w:rFonts w:hint="eastAsia"/>
          <w:color w:val="000000" w:themeColor="text1"/>
          <w:szCs w:val="32"/>
        </w:rPr>
        <w:t>發展</w:t>
      </w:r>
      <w:r w:rsidRPr="00D41D30">
        <w:rPr>
          <w:rFonts w:hAnsi="標楷體" w:hint="eastAsia"/>
          <w:color w:val="000000" w:themeColor="text1"/>
          <w:szCs w:val="32"/>
        </w:rPr>
        <w:t>功能不同</w:t>
      </w:r>
    </w:p>
    <w:p w:rsidR="004762AF" w:rsidRPr="00D41D30" w:rsidRDefault="003C7764" w:rsidP="004762AF">
      <w:pPr>
        <w:pStyle w:val="5"/>
        <w:rPr>
          <w:color w:val="000000" w:themeColor="text1"/>
        </w:rPr>
      </w:pPr>
      <w:r w:rsidRPr="00D41D30">
        <w:rPr>
          <w:rFonts w:hint="eastAsia"/>
          <w:color w:val="000000" w:themeColor="text1"/>
        </w:rPr>
        <w:t>各地方政府除新北市政府仿國教體系，下設「終身學習輔導團」，除協助各樂齡中心訪視工作外，亦協助出版終身學習刊物、評選社教個人暨團體有功人員評選、國內</w:t>
      </w:r>
      <w:r w:rsidRPr="00D41D30">
        <w:rPr>
          <w:rFonts w:hint="eastAsia"/>
          <w:color w:val="000000" w:themeColor="text1"/>
        </w:rPr>
        <w:lastRenderedPageBreak/>
        <w:t>外進修參訪計畫、執行新北市終身教育與高齡教育相關研究案，並進行各項終身教育主題之行銷工作，其餘縣市尚無樂齡學習訪視外之研究、出版等相關編組。</w:t>
      </w:r>
    </w:p>
    <w:p w:rsidR="003C7764" w:rsidRPr="00D41D30" w:rsidRDefault="004762AF" w:rsidP="004762AF">
      <w:pPr>
        <w:pStyle w:val="5"/>
        <w:rPr>
          <w:color w:val="000000" w:themeColor="text1"/>
        </w:rPr>
      </w:pPr>
      <w:r w:rsidRPr="00D41D30">
        <w:rPr>
          <w:rFonts w:hint="eastAsia"/>
          <w:color w:val="000000" w:themeColor="text1"/>
        </w:rPr>
        <w:t>教育</w:t>
      </w:r>
      <w:r w:rsidR="003C7764" w:rsidRPr="00D41D30">
        <w:rPr>
          <w:rFonts w:hint="eastAsia"/>
          <w:color w:val="000000" w:themeColor="text1"/>
        </w:rPr>
        <w:t>部所委託之樂齡學習輔導團，均為大學相關成教、高齡教育等學系、所或中心，於輔導及協助區域縣市樂齡學習工作同時，亦發展全國及區域等相關高齡研究、教材及教案等，並提供縣市發展出之優質模式供其他樂齡中心觀摩學習。</w:t>
      </w:r>
    </w:p>
    <w:p w:rsidR="000C4D8C" w:rsidRPr="00D41D30" w:rsidRDefault="008F1C22" w:rsidP="000C4D8C">
      <w:pPr>
        <w:pStyle w:val="3"/>
        <w:rPr>
          <w:color w:val="000000" w:themeColor="text1"/>
        </w:rPr>
      </w:pPr>
      <w:bookmarkStart w:id="850" w:name="_Toc30512518"/>
      <w:bookmarkStart w:id="851" w:name="_Toc30581226"/>
      <w:bookmarkStart w:id="852" w:name="_Toc32392499"/>
      <w:bookmarkStart w:id="853" w:name="_Toc32673690"/>
      <w:bookmarkStart w:id="854" w:name="_Toc32846553"/>
      <w:bookmarkStart w:id="855" w:name="_Toc32913796"/>
      <w:bookmarkStart w:id="856" w:name="_Toc32918472"/>
      <w:bookmarkStart w:id="857" w:name="_Toc33011765"/>
      <w:r w:rsidRPr="00D41D30">
        <w:rPr>
          <w:rFonts w:hint="eastAsia"/>
          <w:color w:val="000000" w:themeColor="text1"/>
        </w:rPr>
        <w:t>教育部提供</w:t>
      </w:r>
      <w:r w:rsidR="000C4D8C" w:rsidRPr="00D41D30">
        <w:rPr>
          <w:rFonts w:hint="eastAsia"/>
          <w:color w:val="000000" w:themeColor="text1"/>
        </w:rPr>
        <w:t>已成立輔導團及建立督導訪視及輔導機制之縣市政府</w:t>
      </w:r>
      <w:r w:rsidRPr="00D41D30">
        <w:rPr>
          <w:rFonts w:hint="eastAsia"/>
          <w:color w:val="000000" w:themeColor="text1"/>
        </w:rPr>
        <w:t>，詳如表26。</w:t>
      </w:r>
      <w:bookmarkEnd w:id="850"/>
      <w:bookmarkEnd w:id="851"/>
      <w:bookmarkEnd w:id="852"/>
      <w:bookmarkEnd w:id="853"/>
      <w:bookmarkEnd w:id="854"/>
      <w:bookmarkEnd w:id="855"/>
      <w:bookmarkEnd w:id="856"/>
      <w:bookmarkEnd w:id="857"/>
    </w:p>
    <w:p w:rsidR="000C4D8C" w:rsidRPr="00D41D30" w:rsidRDefault="008F1C22" w:rsidP="008F1C22">
      <w:pPr>
        <w:pStyle w:val="a4"/>
        <w:ind w:left="697" w:hanging="697"/>
        <w:rPr>
          <w:color w:val="000000" w:themeColor="text1"/>
        </w:rPr>
      </w:pPr>
      <w:r w:rsidRPr="00D41D30">
        <w:rPr>
          <w:rFonts w:hint="eastAsia"/>
          <w:color w:val="000000" w:themeColor="text1"/>
        </w:rPr>
        <w:t>縣市政府成立輔導團、建立督導訪視及輔導機制情形</w:t>
      </w:r>
    </w:p>
    <w:tbl>
      <w:tblPr>
        <w:tblStyle w:val="af9"/>
        <w:tblW w:w="10258" w:type="dxa"/>
        <w:tblInd w:w="-624" w:type="dxa"/>
        <w:tblLook w:val="04A0" w:firstRow="1" w:lastRow="0" w:firstColumn="1" w:lastColumn="0" w:noHBand="0" w:noVBand="1"/>
      </w:tblPr>
      <w:tblGrid>
        <w:gridCol w:w="1045"/>
        <w:gridCol w:w="2268"/>
        <w:gridCol w:w="3260"/>
        <w:gridCol w:w="3685"/>
      </w:tblGrid>
      <w:tr w:rsidR="000C4D8C" w:rsidRPr="00D41D30" w:rsidTr="002D79E9">
        <w:trPr>
          <w:tblHeader/>
        </w:trPr>
        <w:tc>
          <w:tcPr>
            <w:tcW w:w="1045" w:type="dxa"/>
          </w:tcPr>
          <w:p w:rsidR="000C4D8C" w:rsidRPr="00D41D30" w:rsidRDefault="000C4D8C" w:rsidP="005C71FD">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縣市別</w:t>
            </w:r>
          </w:p>
        </w:tc>
        <w:tc>
          <w:tcPr>
            <w:tcW w:w="2268" w:type="dxa"/>
          </w:tcPr>
          <w:p w:rsidR="000C4D8C" w:rsidRPr="00D41D30" w:rsidRDefault="000C4D8C" w:rsidP="005C71FD">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成立地方輔導團</w:t>
            </w:r>
          </w:p>
        </w:tc>
        <w:tc>
          <w:tcPr>
            <w:tcW w:w="3260" w:type="dxa"/>
          </w:tcPr>
          <w:p w:rsidR="000C4D8C" w:rsidRPr="00D41D30" w:rsidRDefault="000C4D8C" w:rsidP="005C71FD">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建立督導訪視及輔導機制</w:t>
            </w:r>
          </w:p>
        </w:tc>
        <w:tc>
          <w:tcPr>
            <w:tcW w:w="3685" w:type="dxa"/>
          </w:tcPr>
          <w:p w:rsidR="000C4D8C" w:rsidRPr="00D41D30" w:rsidRDefault="000C4D8C" w:rsidP="005C71FD">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備註</w:t>
            </w: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臺北市</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新北市</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x</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r w:rsidRPr="00D41D30">
              <w:rPr>
                <w:rFonts w:hAnsi="標楷體" w:hint="eastAsia"/>
                <w:color w:val="000000" w:themeColor="text1"/>
                <w:sz w:val="24"/>
                <w:szCs w:val="24"/>
              </w:rPr>
              <w:t>以終身學習輔導團取代</w:t>
            </w: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基隆市</w:t>
            </w:r>
          </w:p>
        </w:tc>
        <w:tc>
          <w:tcPr>
            <w:tcW w:w="2268" w:type="dxa"/>
          </w:tcPr>
          <w:p w:rsidR="000C4D8C" w:rsidRPr="00D41D30" w:rsidRDefault="000C4D8C" w:rsidP="000C4D8C">
            <w:pPr>
              <w:adjustRightInd w:val="0"/>
              <w:snapToGrid w:val="0"/>
              <w:spacing w:beforeLines="100" w:before="457"/>
              <w:jc w:val="center"/>
              <w:rPr>
                <w:rFonts w:hAnsi="標楷體"/>
                <w:color w:val="000000" w:themeColor="text1"/>
                <w:sz w:val="24"/>
                <w:szCs w:val="24"/>
              </w:rPr>
            </w:pPr>
            <w:r w:rsidRPr="00D41D30">
              <w:rPr>
                <w:rFonts w:hAnsi="標楷體" w:hint="eastAsia"/>
                <w:color w:val="000000" w:themeColor="text1"/>
                <w:sz w:val="24"/>
                <w:szCs w:val="24"/>
              </w:rPr>
              <w:t>x</w:t>
            </w:r>
          </w:p>
        </w:tc>
        <w:tc>
          <w:tcPr>
            <w:tcW w:w="3260" w:type="dxa"/>
          </w:tcPr>
          <w:p w:rsidR="000C4D8C" w:rsidRPr="00D41D30" w:rsidRDefault="000C4D8C" w:rsidP="000C4D8C">
            <w:pPr>
              <w:adjustRightInd w:val="0"/>
              <w:snapToGrid w:val="0"/>
              <w:spacing w:beforeLines="100" w:before="457"/>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r w:rsidRPr="00D41D30">
              <w:rPr>
                <w:rFonts w:hAnsi="標楷體" w:hint="eastAsia"/>
                <w:color w:val="000000" w:themeColor="text1"/>
                <w:sz w:val="24"/>
                <w:szCs w:val="24"/>
              </w:rPr>
              <w:t>未明訂樂齡輔導團設立要點，但訂有訪視計畫及建立輔導訪視委員名單。</w:t>
            </w: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桃園市</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新竹縣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rPr>
          <w:trHeight w:val="116"/>
        </w:trPr>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新竹市</w:t>
            </w:r>
          </w:p>
        </w:tc>
        <w:tc>
          <w:tcPr>
            <w:tcW w:w="2268" w:type="dxa"/>
            <w:vAlign w:val="center"/>
          </w:tcPr>
          <w:p w:rsidR="000C4D8C" w:rsidRPr="00D41D30" w:rsidRDefault="000C4D8C" w:rsidP="00AE5DFD">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X</w:t>
            </w:r>
          </w:p>
        </w:tc>
        <w:tc>
          <w:tcPr>
            <w:tcW w:w="3260" w:type="dxa"/>
            <w:vAlign w:val="center"/>
          </w:tcPr>
          <w:p w:rsidR="000C4D8C" w:rsidRPr="00D41D30" w:rsidRDefault="000C4D8C" w:rsidP="00AE5DFD">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vAlign w:val="center"/>
          </w:tcPr>
          <w:p w:rsidR="000C4D8C" w:rsidRPr="00D41D30" w:rsidRDefault="000C4D8C" w:rsidP="00AE5DFD">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以「終身學習推展委員會」及「老人福利推動小組」協助。</w:t>
            </w: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苗栗縣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臺中市</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彰化縣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雲林縣</w:t>
            </w:r>
          </w:p>
        </w:tc>
        <w:tc>
          <w:tcPr>
            <w:tcW w:w="2268" w:type="dxa"/>
          </w:tcPr>
          <w:p w:rsidR="000C4D8C" w:rsidRPr="00D41D30" w:rsidRDefault="000C4D8C" w:rsidP="000C4D8C">
            <w:pPr>
              <w:spacing w:line="460" w:lineRule="exact"/>
              <w:jc w:val="center"/>
              <w:rPr>
                <w:rFonts w:hAnsi="標楷體"/>
                <w:color w:val="000000" w:themeColor="text1"/>
                <w:sz w:val="24"/>
                <w:szCs w:val="24"/>
              </w:rPr>
            </w:pPr>
            <w:r w:rsidRPr="00D41D30">
              <w:rPr>
                <w:rFonts w:hAnsi="標楷體"/>
                <w:color w:val="000000" w:themeColor="text1"/>
                <w:sz w:val="24"/>
                <w:szCs w:val="24"/>
              </w:rPr>
              <w:t>V</w:t>
            </w:r>
          </w:p>
        </w:tc>
        <w:tc>
          <w:tcPr>
            <w:tcW w:w="3260" w:type="dxa"/>
          </w:tcPr>
          <w:p w:rsidR="000C4D8C" w:rsidRPr="00D41D30" w:rsidRDefault="000C4D8C" w:rsidP="000C4D8C">
            <w:pPr>
              <w:spacing w:line="460" w:lineRule="exact"/>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spacing w:line="460" w:lineRule="exact"/>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嘉義市</w:t>
            </w:r>
          </w:p>
        </w:tc>
        <w:tc>
          <w:tcPr>
            <w:tcW w:w="2268" w:type="dxa"/>
          </w:tcPr>
          <w:p w:rsidR="000C4D8C" w:rsidRPr="00D41D30" w:rsidRDefault="000C4D8C" w:rsidP="000C4D8C">
            <w:pPr>
              <w:spacing w:line="460" w:lineRule="exact"/>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spacing w:line="460" w:lineRule="exact"/>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spacing w:line="460" w:lineRule="exact"/>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嘉義縣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臺南市</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高雄市</w:t>
            </w:r>
          </w:p>
        </w:tc>
        <w:tc>
          <w:tcPr>
            <w:tcW w:w="2268" w:type="dxa"/>
          </w:tcPr>
          <w:p w:rsidR="000C4D8C" w:rsidRPr="00D41D30" w:rsidRDefault="000C4D8C" w:rsidP="000C4D8C">
            <w:pPr>
              <w:adjustRightInd w:val="0"/>
              <w:snapToGrid w:val="0"/>
              <w:spacing w:beforeLines="200" w:before="914"/>
              <w:jc w:val="center"/>
              <w:rPr>
                <w:rFonts w:hAnsi="標楷體"/>
                <w:color w:val="000000" w:themeColor="text1"/>
                <w:sz w:val="24"/>
                <w:szCs w:val="24"/>
              </w:rPr>
            </w:pPr>
            <w:r w:rsidRPr="00D41D30">
              <w:rPr>
                <w:rFonts w:hAnsi="標楷體" w:hint="eastAsia"/>
                <w:color w:val="000000" w:themeColor="text1"/>
                <w:sz w:val="24"/>
                <w:szCs w:val="24"/>
              </w:rPr>
              <w:t>X</w:t>
            </w:r>
          </w:p>
        </w:tc>
        <w:tc>
          <w:tcPr>
            <w:tcW w:w="3260" w:type="dxa"/>
          </w:tcPr>
          <w:p w:rsidR="000C4D8C" w:rsidRPr="00D41D30" w:rsidRDefault="000C4D8C" w:rsidP="000C4D8C">
            <w:pPr>
              <w:adjustRightInd w:val="0"/>
              <w:snapToGrid w:val="0"/>
              <w:spacing w:beforeLines="200" w:before="914"/>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rPr>
                <w:rFonts w:hAnsi="標楷體"/>
                <w:color w:val="000000" w:themeColor="text1"/>
                <w:sz w:val="24"/>
                <w:szCs w:val="24"/>
              </w:rPr>
            </w:pPr>
            <w:r w:rsidRPr="00D41D30">
              <w:rPr>
                <w:rFonts w:hAnsi="標楷體" w:hint="eastAsia"/>
                <w:color w:val="000000" w:themeColor="text1"/>
                <w:sz w:val="24"/>
                <w:szCs w:val="24"/>
              </w:rPr>
              <w:t>現階段無成立地方輔導團組織，但每年仍會遴聘對本市樂齡中心業務熟稔之輔導訪視委員</w:t>
            </w: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屏東縣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jc w:val="center"/>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lastRenderedPageBreak/>
              <w:t>宜蘭縣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jc w:val="center"/>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花蓮縣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jc w:val="center"/>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臺東縣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jc w:val="center"/>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澎湖縣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685" w:type="dxa"/>
          </w:tcPr>
          <w:p w:rsidR="000C4D8C" w:rsidRPr="00D41D30" w:rsidRDefault="000C4D8C" w:rsidP="000C4D8C">
            <w:pPr>
              <w:adjustRightInd w:val="0"/>
              <w:snapToGrid w:val="0"/>
              <w:jc w:val="center"/>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金門縣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color w:val="000000" w:themeColor="text1"/>
                <w:sz w:val="24"/>
                <w:szCs w:val="24"/>
              </w:rPr>
              <w:t>V</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V</w:t>
            </w:r>
          </w:p>
        </w:tc>
        <w:tc>
          <w:tcPr>
            <w:tcW w:w="3685" w:type="dxa"/>
          </w:tcPr>
          <w:p w:rsidR="000C4D8C" w:rsidRPr="00D41D30" w:rsidRDefault="000C4D8C" w:rsidP="000C4D8C">
            <w:pPr>
              <w:adjustRightInd w:val="0"/>
              <w:snapToGrid w:val="0"/>
              <w:jc w:val="center"/>
              <w:rPr>
                <w:rFonts w:hAnsi="標楷體"/>
                <w:color w:val="000000" w:themeColor="text1"/>
                <w:sz w:val="24"/>
                <w:szCs w:val="24"/>
              </w:rPr>
            </w:pPr>
          </w:p>
        </w:tc>
      </w:tr>
      <w:tr w:rsidR="000C4D8C" w:rsidRPr="00D41D30" w:rsidTr="00ED13B5">
        <w:tc>
          <w:tcPr>
            <w:tcW w:w="1045" w:type="dxa"/>
            <w:vAlign w:val="center"/>
          </w:tcPr>
          <w:p w:rsidR="000C4D8C" w:rsidRPr="00D41D30" w:rsidRDefault="000C4D8C" w:rsidP="00ED13B5">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連江縣</w:t>
            </w:r>
          </w:p>
        </w:tc>
        <w:tc>
          <w:tcPr>
            <w:tcW w:w="2268"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x</w:t>
            </w:r>
          </w:p>
        </w:tc>
        <w:tc>
          <w:tcPr>
            <w:tcW w:w="3260" w:type="dxa"/>
          </w:tcPr>
          <w:p w:rsidR="000C4D8C" w:rsidRPr="00D41D30" w:rsidRDefault="000C4D8C" w:rsidP="000C4D8C">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x</w:t>
            </w:r>
          </w:p>
        </w:tc>
        <w:tc>
          <w:tcPr>
            <w:tcW w:w="3685" w:type="dxa"/>
          </w:tcPr>
          <w:p w:rsidR="000C4D8C" w:rsidRPr="00D41D30" w:rsidRDefault="000C4D8C" w:rsidP="000C4D8C">
            <w:pPr>
              <w:adjustRightInd w:val="0"/>
              <w:snapToGrid w:val="0"/>
              <w:jc w:val="center"/>
              <w:rPr>
                <w:rFonts w:hAnsi="標楷體"/>
                <w:color w:val="000000" w:themeColor="text1"/>
                <w:sz w:val="24"/>
                <w:szCs w:val="24"/>
              </w:rPr>
            </w:pPr>
          </w:p>
        </w:tc>
      </w:tr>
    </w:tbl>
    <w:p w:rsidR="000C4D8C" w:rsidRPr="00D41D30" w:rsidRDefault="008F1C22" w:rsidP="00A52A0B">
      <w:pPr>
        <w:rPr>
          <w:color w:val="000000" w:themeColor="text1"/>
          <w:sz w:val="24"/>
          <w:szCs w:val="24"/>
        </w:rPr>
      </w:pPr>
      <w:bookmarkStart w:id="858" w:name="_Toc30512519"/>
      <w:bookmarkStart w:id="859" w:name="_Toc30581227"/>
      <w:bookmarkStart w:id="860" w:name="_Toc32392500"/>
      <w:bookmarkStart w:id="861" w:name="_Toc32673691"/>
      <w:bookmarkStart w:id="862" w:name="_Toc32846554"/>
      <w:bookmarkStart w:id="863" w:name="_Toc32913797"/>
      <w:bookmarkStart w:id="864" w:name="_Toc32918473"/>
      <w:bookmarkStart w:id="865" w:name="_Toc33011766"/>
      <w:r w:rsidRPr="00D41D30">
        <w:rPr>
          <w:rFonts w:hint="eastAsia"/>
          <w:color w:val="000000" w:themeColor="text1"/>
          <w:sz w:val="24"/>
          <w:szCs w:val="24"/>
        </w:rPr>
        <w:t>資料來源：教育部。</w:t>
      </w:r>
      <w:bookmarkEnd w:id="858"/>
      <w:bookmarkEnd w:id="859"/>
      <w:bookmarkEnd w:id="860"/>
      <w:bookmarkEnd w:id="861"/>
      <w:bookmarkEnd w:id="862"/>
      <w:bookmarkEnd w:id="863"/>
      <w:bookmarkEnd w:id="864"/>
      <w:bookmarkEnd w:id="865"/>
    </w:p>
    <w:p w:rsidR="005000E8" w:rsidRPr="00D41D30" w:rsidRDefault="00D32A98" w:rsidP="002E4F7E">
      <w:pPr>
        <w:pStyle w:val="2"/>
        <w:spacing w:beforeLines="100" w:before="457"/>
        <w:ind w:left="1020" w:hanging="680"/>
        <w:rPr>
          <w:rFonts w:hAnsi="標楷體"/>
          <w:b/>
          <w:color w:val="000000" w:themeColor="text1"/>
          <w:szCs w:val="32"/>
        </w:rPr>
      </w:pPr>
      <w:bookmarkStart w:id="866" w:name="_Toc33011767"/>
      <w:r w:rsidRPr="00D41D30">
        <w:rPr>
          <w:rFonts w:hAnsi="標楷體" w:hint="eastAsia"/>
          <w:b/>
          <w:color w:val="000000" w:themeColor="text1"/>
          <w:szCs w:val="32"/>
        </w:rPr>
        <w:t>國家教育研究院</w:t>
      </w:r>
      <w:r w:rsidR="000E0ECA" w:rsidRPr="00D41D30">
        <w:rPr>
          <w:rFonts w:hAnsi="標楷體" w:hint="eastAsia"/>
          <w:b/>
          <w:color w:val="000000" w:themeColor="text1"/>
          <w:szCs w:val="32"/>
        </w:rPr>
        <w:t>於樂齡教育之</w:t>
      </w:r>
      <w:r w:rsidR="000F0303" w:rsidRPr="00D41D30">
        <w:rPr>
          <w:rFonts w:hAnsi="標楷體" w:hint="eastAsia"/>
          <w:b/>
          <w:color w:val="000000" w:themeColor="text1"/>
          <w:szCs w:val="32"/>
        </w:rPr>
        <w:t>相關</w:t>
      </w:r>
      <w:r w:rsidR="009F5FED" w:rsidRPr="00D41D30">
        <w:rPr>
          <w:rFonts w:hAnsi="標楷體" w:hint="eastAsia"/>
          <w:b/>
          <w:color w:val="000000" w:themeColor="text1"/>
          <w:szCs w:val="32"/>
        </w:rPr>
        <w:t>定位</w:t>
      </w:r>
      <w:bookmarkEnd w:id="866"/>
    </w:p>
    <w:p w:rsidR="000E0ECA" w:rsidRPr="00D41D30" w:rsidRDefault="006A7428" w:rsidP="006A7428">
      <w:pPr>
        <w:pStyle w:val="3"/>
        <w:rPr>
          <w:color w:val="000000" w:themeColor="text1"/>
        </w:rPr>
      </w:pPr>
      <w:bookmarkStart w:id="867" w:name="_Toc16693374"/>
      <w:bookmarkStart w:id="868" w:name="_Toc30512521"/>
      <w:bookmarkStart w:id="869" w:name="_Toc30581229"/>
      <w:bookmarkStart w:id="870" w:name="_Toc32392502"/>
      <w:bookmarkStart w:id="871" w:name="_Toc32673693"/>
      <w:bookmarkStart w:id="872" w:name="_Toc32846556"/>
      <w:bookmarkStart w:id="873" w:name="_Toc32913799"/>
      <w:bookmarkStart w:id="874" w:name="_Toc32918475"/>
      <w:bookmarkStart w:id="875" w:name="_Toc33011768"/>
      <w:r w:rsidRPr="00D41D30">
        <w:rPr>
          <w:rFonts w:hint="eastAsia"/>
          <w:color w:val="000000" w:themeColor="text1"/>
        </w:rPr>
        <w:t>國家教育研究院</w:t>
      </w:r>
      <w:r w:rsidR="00E01DCD" w:rsidRPr="00D41D30">
        <w:rPr>
          <w:rFonts w:hint="eastAsia"/>
          <w:color w:val="000000" w:themeColor="text1"/>
        </w:rPr>
        <w:t>之定位</w:t>
      </w:r>
      <w:bookmarkEnd w:id="867"/>
      <w:bookmarkEnd w:id="868"/>
      <w:bookmarkEnd w:id="869"/>
      <w:bookmarkEnd w:id="870"/>
      <w:bookmarkEnd w:id="871"/>
      <w:bookmarkEnd w:id="872"/>
      <w:bookmarkEnd w:id="873"/>
      <w:bookmarkEnd w:id="874"/>
      <w:bookmarkEnd w:id="875"/>
    </w:p>
    <w:p w:rsidR="005000E8" w:rsidRPr="00D41D30" w:rsidRDefault="005000E8" w:rsidP="00E01DCD">
      <w:pPr>
        <w:pStyle w:val="4"/>
        <w:rPr>
          <w:color w:val="000000" w:themeColor="text1"/>
        </w:rPr>
      </w:pPr>
      <w:r w:rsidRPr="00D41D30">
        <w:rPr>
          <w:rFonts w:hint="eastAsia"/>
          <w:color w:val="000000" w:themeColor="text1"/>
        </w:rPr>
        <w:t>國教院依據組織法，長期從事整體性、系統性之教育研究，促進國家教育之永續發展；期以證據為本提供建言，發揮政策影響力。</w:t>
      </w:r>
    </w:p>
    <w:p w:rsidR="005000E8" w:rsidRPr="00D41D30" w:rsidRDefault="005000E8" w:rsidP="00E01DCD">
      <w:pPr>
        <w:pStyle w:val="4"/>
        <w:rPr>
          <w:color w:val="000000" w:themeColor="text1"/>
        </w:rPr>
      </w:pPr>
      <w:r w:rsidRPr="00D41D30">
        <w:rPr>
          <w:rFonts w:hint="eastAsia"/>
          <w:color w:val="000000" w:themeColor="text1"/>
        </w:rPr>
        <w:t>國教院已與教育部共同討論決定「課程教學」、「教育人力」、「公平/素質」及「績效責任」等四項研究主軸，目前均由研究人員依據研究主軸，自主提出研究計畫。而執行各項研究計畫之前，必先了解現行政策，釐清問題意識，再以證據為本提出配套與建言，因此，各研究主軸之進行，既有由上而下的交辦性質業務，亦有由下而上的前瞻與突破之精神，環環相扣。</w:t>
      </w:r>
    </w:p>
    <w:p w:rsidR="005000E8" w:rsidRPr="00D41D30" w:rsidRDefault="005000E8" w:rsidP="00E01DCD">
      <w:pPr>
        <w:pStyle w:val="5"/>
        <w:rPr>
          <w:color w:val="000000" w:themeColor="text1"/>
        </w:rPr>
      </w:pPr>
      <w:r w:rsidRPr="00D41D30">
        <w:rPr>
          <w:rFonts w:hint="eastAsia"/>
          <w:color w:val="000000" w:themeColor="text1"/>
        </w:rPr>
        <w:t>就體制而言：教育部及國教院例行召開各協調或協作會議，國教院主管參與教育部部務會報及其他重要會議，聚焦理念共識、提出政策建言或規劃研究方向。</w:t>
      </w:r>
    </w:p>
    <w:p w:rsidR="005000E8" w:rsidRPr="00D41D30" w:rsidRDefault="005000E8" w:rsidP="00E01DCD">
      <w:pPr>
        <w:pStyle w:val="5"/>
        <w:rPr>
          <w:color w:val="000000" w:themeColor="text1"/>
        </w:rPr>
      </w:pPr>
      <w:r w:rsidRPr="00D41D30">
        <w:rPr>
          <w:rFonts w:hint="eastAsia"/>
          <w:color w:val="000000" w:themeColor="text1"/>
        </w:rPr>
        <w:t>就實務而言：以「課程教學」為例，由課程綱要的基礎性研究、總綱及學科領域綱要發展與審議、不同教育階段教科書審定、評量方式研發、學校行政人才儲訓，以至於教學現場的落實，植基於部分例行性業務（如教科書審定），且為解決實際的</w:t>
      </w:r>
      <w:r w:rsidRPr="00D41D30">
        <w:rPr>
          <w:rFonts w:hint="eastAsia"/>
          <w:color w:val="000000" w:themeColor="text1"/>
        </w:rPr>
        <w:lastRenderedPageBreak/>
        <w:t>問題（如政策落實情形），由其中創發新興議題，修正、規劃與啟動下一波1</w:t>
      </w:r>
      <w:r w:rsidRPr="00D41D30">
        <w:rPr>
          <w:color w:val="000000" w:themeColor="text1"/>
        </w:rPr>
        <w:t>18</w:t>
      </w:r>
      <w:r w:rsidRPr="00D41D30">
        <w:rPr>
          <w:rFonts w:hint="eastAsia"/>
          <w:color w:val="000000" w:themeColor="text1"/>
        </w:rPr>
        <w:t>年課綱之研修。</w:t>
      </w:r>
    </w:p>
    <w:p w:rsidR="005000E8" w:rsidRPr="00D41D30" w:rsidRDefault="005000E8" w:rsidP="00E01DCD">
      <w:pPr>
        <w:pStyle w:val="4"/>
        <w:rPr>
          <w:color w:val="000000" w:themeColor="text1"/>
        </w:rPr>
      </w:pPr>
      <w:r w:rsidRPr="00D41D30">
        <w:rPr>
          <w:rFonts w:hint="eastAsia"/>
          <w:color w:val="000000" w:themeColor="text1"/>
        </w:rPr>
        <w:t>教育部相關政策之研擬或修訂，均參考國教院研究成果，例如：</w:t>
      </w:r>
    </w:p>
    <w:p w:rsidR="005000E8" w:rsidRPr="00D41D30" w:rsidRDefault="005000E8" w:rsidP="00E01DCD">
      <w:pPr>
        <w:pStyle w:val="5"/>
        <w:rPr>
          <w:color w:val="000000" w:themeColor="text1"/>
        </w:rPr>
      </w:pPr>
      <w:r w:rsidRPr="00D41D30">
        <w:rPr>
          <w:rFonts w:hint="eastAsia"/>
          <w:color w:val="000000" w:themeColor="text1"/>
        </w:rPr>
        <w:t>偏遠地區學校界定指標：配合《偏鄉</w:t>
      </w:r>
      <w:r w:rsidRPr="00D41D30">
        <w:rPr>
          <w:color w:val="000000" w:themeColor="text1"/>
        </w:rPr>
        <w:t>地區學校教育發展</w:t>
      </w:r>
      <w:r w:rsidRPr="00D41D30">
        <w:rPr>
          <w:rFonts w:hint="eastAsia"/>
          <w:color w:val="000000" w:themeColor="text1"/>
        </w:rPr>
        <w:t>條例》，為改善現有偏遠地區學校認定標準未考量學生不利、數位環境與少子女化等問題，國教院研擬適合現況的偏鄉指標，教育部已參採該指標</w:t>
      </w:r>
      <w:r w:rsidRPr="00D41D30">
        <w:rPr>
          <w:color w:val="000000" w:themeColor="text1"/>
        </w:rPr>
        <w:t>界定</w:t>
      </w:r>
      <w:r w:rsidRPr="00D41D30">
        <w:rPr>
          <w:rFonts w:hint="eastAsia"/>
          <w:color w:val="000000" w:themeColor="text1"/>
        </w:rPr>
        <w:t>偏遠</w:t>
      </w:r>
      <w:r w:rsidRPr="00D41D30">
        <w:rPr>
          <w:color w:val="000000" w:themeColor="text1"/>
        </w:rPr>
        <w:t>地</w:t>
      </w:r>
      <w:r w:rsidRPr="00D41D30">
        <w:rPr>
          <w:rFonts w:hint="eastAsia"/>
          <w:color w:val="000000" w:themeColor="text1"/>
        </w:rPr>
        <w:t>區</w:t>
      </w:r>
      <w:r w:rsidRPr="00D41D30">
        <w:rPr>
          <w:color w:val="000000" w:themeColor="text1"/>
        </w:rPr>
        <w:t>學校</w:t>
      </w:r>
      <w:r w:rsidRPr="00D41D30">
        <w:rPr>
          <w:rFonts w:hint="eastAsia"/>
          <w:color w:val="000000" w:themeColor="text1"/>
        </w:rPr>
        <w:t>。</w:t>
      </w:r>
    </w:p>
    <w:p w:rsidR="005000E8" w:rsidRPr="00D41D30" w:rsidRDefault="005000E8" w:rsidP="00E01DCD">
      <w:pPr>
        <w:pStyle w:val="5"/>
        <w:rPr>
          <w:color w:val="000000" w:themeColor="text1"/>
        </w:rPr>
      </w:pPr>
      <w:r w:rsidRPr="00D41D30">
        <w:rPr>
          <w:rFonts w:hint="eastAsia"/>
          <w:color w:val="000000" w:themeColor="text1"/>
        </w:rPr>
        <w:t>國民中小學計價制度：為改善教科書定價問題，國教院研擬教科書計價審議機制及計價公式，教育部教科書</w:t>
      </w:r>
      <w:r w:rsidRPr="00D41D30">
        <w:rPr>
          <w:color w:val="000000" w:themeColor="text1"/>
        </w:rPr>
        <w:t>計價小組</w:t>
      </w:r>
      <w:r w:rsidRPr="00D41D30">
        <w:rPr>
          <w:rFonts w:hint="eastAsia"/>
          <w:color w:val="000000" w:themeColor="text1"/>
        </w:rPr>
        <w:t>已參採該機制。</w:t>
      </w:r>
    </w:p>
    <w:p w:rsidR="005000E8" w:rsidRPr="00D41D30" w:rsidRDefault="005000E8" w:rsidP="00E01DCD">
      <w:pPr>
        <w:pStyle w:val="5"/>
        <w:rPr>
          <w:color w:val="000000" w:themeColor="text1"/>
        </w:rPr>
      </w:pPr>
      <w:r w:rsidRPr="00D41D30">
        <w:rPr>
          <w:rFonts w:hint="eastAsia"/>
          <w:color w:val="000000" w:themeColor="text1"/>
        </w:rPr>
        <w:t>戶外教育資源平臺：國教院完成戶外教育五大支持系統（課程發展、教學輔導、安全管理、場域資源、行政）盤點及平臺建置，教育部國教署已參採並對外公開。</w:t>
      </w:r>
    </w:p>
    <w:p w:rsidR="00E01DCD" w:rsidRPr="00D41D30" w:rsidRDefault="00E01DCD" w:rsidP="00E01DCD">
      <w:pPr>
        <w:pStyle w:val="3"/>
        <w:rPr>
          <w:color w:val="000000" w:themeColor="text1"/>
        </w:rPr>
      </w:pPr>
      <w:bookmarkStart w:id="876" w:name="_Toc16693375"/>
      <w:bookmarkStart w:id="877" w:name="_Toc30512522"/>
      <w:bookmarkStart w:id="878" w:name="_Toc30581230"/>
      <w:bookmarkStart w:id="879" w:name="_Toc32392503"/>
      <w:bookmarkStart w:id="880" w:name="_Toc32673694"/>
      <w:bookmarkStart w:id="881" w:name="_Toc32846557"/>
      <w:bookmarkStart w:id="882" w:name="_Toc32913800"/>
      <w:bookmarkStart w:id="883" w:name="_Toc32918476"/>
      <w:bookmarkStart w:id="884" w:name="_Toc33011769"/>
      <w:r w:rsidRPr="00D41D30">
        <w:rPr>
          <w:rFonts w:hint="eastAsia"/>
          <w:color w:val="000000" w:themeColor="text1"/>
        </w:rPr>
        <w:t>研究員</w:t>
      </w:r>
      <w:r w:rsidR="00431432" w:rsidRPr="00D41D30">
        <w:rPr>
          <w:rFonts w:hint="eastAsia"/>
          <w:color w:val="000000" w:themeColor="text1"/>
        </w:rPr>
        <w:t>自</w:t>
      </w:r>
      <w:r w:rsidRPr="00D41D30">
        <w:rPr>
          <w:rFonts w:hint="eastAsia"/>
          <w:color w:val="000000" w:themeColor="text1"/>
        </w:rPr>
        <w:t>主性研究</w:t>
      </w:r>
      <w:r w:rsidR="003D5630" w:rsidRPr="00D41D30">
        <w:rPr>
          <w:rFonts w:hint="eastAsia"/>
          <w:color w:val="000000" w:themeColor="text1"/>
        </w:rPr>
        <w:t>之相關說明</w:t>
      </w:r>
      <w:bookmarkEnd w:id="876"/>
      <w:bookmarkEnd w:id="877"/>
      <w:bookmarkEnd w:id="878"/>
      <w:bookmarkEnd w:id="879"/>
      <w:bookmarkEnd w:id="880"/>
      <w:bookmarkEnd w:id="881"/>
      <w:bookmarkEnd w:id="882"/>
      <w:bookmarkEnd w:id="883"/>
      <w:bookmarkEnd w:id="884"/>
    </w:p>
    <w:p w:rsidR="005000E8" w:rsidRPr="00D41D30" w:rsidRDefault="005000E8" w:rsidP="007A54F0">
      <w:pPr>
        <w:pStyle w:val="4"/>
        <w:rPr>
          <w:color w:val="000000" w:themeColor="text1"/>
        </w:rPr>
      </w:pPr>
      <w:r w:rsidRPr="00D41D30">
        <w:rPr>
          <w:rFonts w:hint="eastAsia"/>
          <w:color w:val="000000" w:themeColor="text1"/>
        </w:rPr>
        <w:t>國教院致力於</w:t>
      </w:r>
      <w:r w:rsidRPr="00D41D30">
        <w:rPr>
          <w:color w:val="000000" w:themeColor="text1"/>
        </w:rPr>
        <w:t>長期、系統</w:t>
      </w:r>
      <w:r w:rsidRPr="00D41D30">
        <w:rPr>
          <w:rFonts w:hint="eastAsia"/>
          <w:color w:val="000000" w:themeColor="text1"/>
        </w:rPr>
        <w:t>性蒐集與整合各類實徵性教育資料，</w:t>
      </w:r>
      <w:r w:rsidRPr="00D41D30">
        <w:rPr>
          <w:color w:val="000000" w:themeColor="text1"/>
        </w:rPr>
        <w:t>持續整合並長期投入重要教育政策研究與課程測評研發：包括學生學力長期追蹤（TASA-L）、課程綱要研發及推動等整合型研究計畫</w:t>
      </w:r>
      <w:r w:rsidRPr="00D41D30">
        <w:rPr>
          <w:rFonts w:hint="eastAsia"/>
          <w:color w:val="000000" w:themeColor="text1"/>
        </w:rPr>
        <w:t>、教育類</w:t>
      </w:r>
      <w:r w:rsidRPr="00D41D30">
        <w:rPr>
          <w:color w:val="000000" w:themeColor="text1"/>
        </w:rPr>
        <w:t>國際評比</w:t>
      </w:r>
      <w:r w:rsidRPr="00D41D30">
        <w:rPr>
          <w:rFonts w:hint="eastAsia"/>
          <w:color w:val="000000" w:themeColor="text1"/>
        </w:rPr>
        <w:t>，以</w:t>
      </w:r>
      <w:r w:rsidRPr="00D41D30">
        <w:rPr>
          <w:color w:val="000000" w:themeColor="text1"/>
        </w:rPr>
        <w:t>及教科書審定等重要工作，據此提供</w:t>
      </w:r>
      <w:r w:rsidRPr="00D41D30">
        <w:rPr>
          <w:rFonts w:hint="eastAsia"/>
          <w:color w:val="000000" w:themeColor="text1"/>
        </w:rPr>
        <w:t>「</w:t>
      </w:r>
      <w:r w:rsidRPr="00D41D30">
        <w:rPr>
          <w:color w:val="000000" w:themeColor="text1"/>
        </w:rPr>
        <w:t>以證據為本</w:t>
      </w:r>
      <w:r w:rsidRPr="00D41D30">
        <w:rPr>
          <w:rFonts w:hint="eastAsia"/>
          <w:color w:val="000000" w:themeColor="text1"/>
        </w:rPr>
        <w:t>（e</w:t>
      </w:r>
      <w:r w:rsidRPr="00D41D30">
        <w:rPr>
          <w:color w:val="000000" w:themeColor="text1"/>
        </w:rPr>
        <w:t>vidence-based</w:t>
      </w:r>
      <w:r w:rsidRPr="00D41D30">
        <w:rPr>
          <w:rFonts w:hint="eastAsia"/>
          <w:color w:val="000000" w:themeColor="text1"/>
        </w:rPr>
        <w:t>）」</w:t>
      </w:r>
      <w:r w:rsidRPr="00D41D30">
        <w:rPr>
          <w:color w:val="000000" w:themeColor="text1"/>
        </w:rPr>
        <w:t>的政策建言</w:t>
      </w:r>
      <w:r w:rsidRPr="00D41D30">
        <w:rPr>
          <w:rFonts w:hint="eastAsia"/>
          <w:color w:val="000000" w:themeColor="text1"/>
        </w:rPr>
        <w:t>，發揮智庫功能。</w:t>
      </w:r>
    </w:p>
    <w:p w:rsidR="005000E8" w:rsidRPr="00D41D30" w:rsidRDefault="005000E8" w:rsidP="007A54F0">
      <w:pPr>
        <w:pStyle w:val="4"/>
        <w:rPr>
          <w:color w:val="000000" w:themeColor="text1"/>
        </w:rPr>
      </w:pPr>
      <w:r w:rsidRPr="00D41D30">
        <w:rPr>
          <w:rFonts w:hint="eastAsia"/>
          <w:color w:val="000000" w:themeColor="text1"/>
        </w:rPr>
        <w:t>國教院</w:t>
      </w:r>
      <w:r w:rsidRPr="00D41D30">
        <w:rPr>
          <w:color w:val="000000" w:themeColor="text1"/>
        </w:rPr>
        <w:t>於106年與教育部共同討論決定研究主軸，包含「課程教學」、「教育人力」</w:t>
      </w:r>
      <w:r w:rsidRPr="00D41D30">
        <w:rPr>
          <w:rFonts w:hint="eastAsia"/>
          <w:color w:val="000000" w:themeColor="text1"/>
        </w:rPr>
        <w:t>、</w:t>
      </w:r>
      <w:r w:rsidRPr="00D41D30">
        <w:rPr>
          <w:color w:val="000000" w:themeColor="text1"/>
        </w:rPr>
        <w:t>「公平/</w:t>
      </w:r>
      <w:r w:rsidRPr="00D41D30">
        <w:rPr>
          <w:color w:val="000000" w:themeColor="text1"/>
        </w:rPr>
        <w:lastRenderedPageBreak/>
        <w:t>素質」</w:t>
      </w:r>
      <w:r w:rsidRPr="00D41D30">
        <w:rPr>
          <w:rFonts w:hint="eastAsia"/>
          <w:color w:val="000000" w:themeColor="text1"/>
        </w:rPr>
        <w:t>及</w:t>
      </w:r>
      <w:r w:rsidRPr="00D41D30">
        <w:rPr>
          <w:color w:val="000000" w:themeColor="text1"/>
        </w:rPr>
        <w:t>「績效責任」等四大面向，作為十年（107～116）長期性發展方向，以聚焦</w:t>
      </w:r>
      <w:r w:rsidRPr="00D41D30">
        <w:rPr>
          <w:rFonts w:hint="eastAsia"/>
          <w:color w:val="000000" w:themeColor="text1"/>
        </w:rPr>
        <w:t>國教院</w:t>
      </w:r>
      <w:r w:rsidRPr="00D41D30">
        <w:rPr>
          <w:color w:val="000000" w:themeColor="text1"/>
        </w:rPr>
        <w:t>研究能量</w:t>
      </w:r>
      <w:r w:rsidRPr="00D41D30">
        <w:rPr>
          <w:rFonts w:hint="eastAsia"/>
          <w:color w:val="000000" w:themeColor="text1"/>
        </w:rPr>
        <w:t>，</w:t>
      </w:r>
      <w:r w:rsidRPr="00D41D30">
        <w:rPr>
          <w:color w:val="000000" w:themeColor="text1"/>
        </w:rPr>
        <w:t>四大面向</w:t>
      </w:r>
      <w:r w:rsidRPr="00D41D30">
        <w:rPr>
          <w:rFonts w:hint="eastAsia"/>
          <w:color w:val="000000" w:themeColor="text1"/>
        </w:rPr>
        <w:t>重點如下</w:t>
      </w:r>
      <w:r w:rsidRPr="00D41D30">
        <w:rPr>
          <w:color w:val="000000" w:themeColor="text1"/>
        </w:rPr>
        <w:t>：</w:t>
      </w:r>
    </w:p>
    <w:p w:rsidR="005000E8" w:rsidRPr="00D41D30" w:rsidRDefault="005000E8" w:rsidP="007B6E5E">
      <w:pPr>
        <w:pStyle w:val="5"/>
        <w:rPr>
          <w:color w:val="000000" w:themeColor="text1"/>
        </w:rPr>
      </w:pPr>
      <w:r w:rsidRPr="00D41D30">
        <w:rPr>
          <w:color w:val="000000" w:themeColor="text1"/>
        </w:rPr>
        <w:t>課程教學：含研發與落實課程綱要、精進教科書品質、建立知識基礎等。</w:t>
      </w:r>
    </w:p>
    <w:p w:rsidR="005000E8" w:rsidRPr="00D41D30" w:rsidRDefault="005000E8" w:rsidP="007B6E5E">
      <w:pPr>
        <w:pStyle w:val="5"/>
        <w:rPr>
          <w:color w:val="000000" w:themeColor="text1"/>
        </w:rPr>
      </w:pPr>
      <w:r w:rsidRPr="00D41D30">
        <w:rPr>
          <w:color w:val="000000" w:themeColor="text1"/>
        </w:rPr>
        <w:t>教育人力：含發展教師遴選與檢定機制，以及優化校長遴選與培訓等。</w:t>
      </w:r>
    </w:p>
    <w:p w:rsidR="005000E8" w:rsidRPr="00D41D30" w:rsidRDefault="005000E8" w:rsidP="007B6E5E">
      <w:pPr>
        <w:pStyle w:val="5"/>
        <w:rPr>
          <w:color w:val="000000" w:themeColor="text1"/>
        </w:rPr>
      </w:pPr>
      <w:r w:rsidRPr="00D41D30">
        <w:rPr>
          <w:color w:val="000000" w:themeColor="text1"/>
        </w:rPr>
        <w:t>公平/素質：含建置自主學習資源、規劃縮短學習落差方案，以及規劃推動原住民教育相關研究計畫。</w:t>
      </w:r>
    </w:p>
    <w:p w:rsidR="005000E8" w:rsidRPr="00D41D30" w:rsidRDefault="005000E8" w:rsidP="007B6E5E">
      <w:pPr>
        <w:pStyle w:val="5"/>
        <w:rPr>
          <w:color w:val="000000" w:themeColor="text1"/>
        </w:rPr>
      </w:pPr>
      <w:r w:rsidRPr="00D41D30">
        <w:rPr>
          <w:color w:val="000000" w:themeColor="text1"/>
        </w:rPr>
        <w:t>績效責任：含評量中小學生學力，並追蹤大專學生學習成效等。</w:t>
      </w:r>
    </w:p>
    <w:p w:rsidR="00D7741A" w:rsidRPr="00D41D30" w:rsidRDefault="005000E8" w:rsidP="007B6E5E">
      <w:pPr>
        <w:pStyle w:val="4"/>
        <w:rPr>
          <w:color w:val="000000" w:themeColor="text1"/>
        </w:rPr>
      </w:pPr>
      <w:r w:rsidRPr="00D41D30">
        <w:rPr>
          <w:rFonts w:hint="eastAsia"/>
          <w:color w:val="000000" w:themeColor="text1"/>
        </w:rPr>
        <w:t>國教院於1</w:t>
      </w:r>
      <w:r w:rsidRPr="00D41D30">
        <w:rPr>
          <w:color w:val="000000" w:themeColor="text1"/>
        </w:rPr>
        <w:t>08</w:t>
      </w:r>
      <w:r w:rsidRPr="00D41D30">
        <w:rPr>
          <w:rFonts w:hint="eastAsia"/>
          <w:color w:val="000000" w:themeColor="text1"/>
        </w:rPr>
        <w:t>年與教育部研商啟動整合型研究計畫，並訂有管考作業要點，</w:t>
      </w:r>
      <w:r w:rsidRPr="00D41D30">
        <w:rPr>
          <w:color w:val="000000" w:themeColor="text1"/>
        </w:rPr>
        <w:t>各項研究計畫於研擬與執行階段，結合外部學者專家，建立嚴謹審查機制</w:t>
      </w:r>
      <w:r w:rsidRPr="00D41D30">
        <w:rPr>
          <w:rFonts w:hint="eastAsia"/>
          <w:color w:val="000000" w:themeColor="text1"/>
        </w:rPr>
        <w:t>，以確保研究品質。</w:t>
      </w:r>
    </w:p>
    <w:p w:rsidR="00CA53DE" w:rsidRPr="00D41D30" w:rsidRDefault="00CA53DE" w:rsidP="002E4F7E">
      <w:pPr>
        <w:pStyle w:val="2"/>
        <w:spacing w:beforeLines="100" w:before="457"/>
        <w:ind w:left="1020" w:hanging="680"/>
        <w:rPr>
          <w:color w:val="000000" w:themeColor="text1"/>
          <w:szCs w:val="32"/>
        </w:rPr>
      </w:pPr>
      <w:bookmarkStart w:id="885" w:name="_Toc33011770"/>
      <w:r w:rsidRPr="00D41D30">
        <w:rPr>
          <w:rFonts w:hAnsi="標楷體" w:hint="eastAsia"/>
          <w:b/>
          <w:color w:val="000000" w:themeColor="text1"/>
          <w:szCs w:val="32"/>
        </w:rPr>
        <w:t>高齡教育經費</w:t>
      </w:r>
      <w:r w:rsidR="007876CF" w:rsidRPr="00D41D30">
        <w:rPr>
          <w:rFonts w:hAnsi="標楷體" w:hint="eastAsia"/>
          <w:b/>
          <w:color w:val="000000" w:themeColor="text1"/>
          <w:szCs w:val="32"/>
        </w:rPr>
        <w:t>概況</w:t>
      </w:r>
      <w:bookmarkEnd w:id="885"/>
    </w:p>
    <w:p w:rsidR="00CA53DE" w:rsidRPr="00D41D30" w:rsidRDefault="00CA53DE" w:rsidP="00CA53DE">
      <w:pPr>
        <w:pStyle w:val="3"/>
        <w:rPr>
          <w:rFonts w:hAnsi="標楷體"/>
          <w:color w:val="000000" w:themeColor="text1"/>
          <w:szCs w:val="32"/>
        </w:rPr>
      </w:pPr>
      <w:bookmarkStart w:id="886" w:name="_Toc30512524"/>
      <w:bookmarkStart w:id="887" w:name="_Toc30581232"/>
      <w:bookmarkStart w:id="888" w:name="_Toc32392505"/>
      <w:bookmarkStart w:id="889" w:name="_Toc32673696"/>
      <w:bookmarkStart w:id="890" w:name="_Toc32846559"/>
      <w:bookmarkStart w:id="891" w:name="_Toc32913802"/>
      <w:bookmarkStart w:id="892" w:name="_Toc32918478"/>
      <w:bookmarkStart w:id="893" w:name="_Toc33011771"/>
      <w:r w:rsidRPr="00D41D30">
        <w:rPr>
          <w:rFonts w:hAnsi="標楷體" w:hint="eastAsia"/>
          <w:color w:val="000000" w:themeColor="text1"/>
          <w:szCs w:val="32"/>
        </w:rPr>
        <w:t>97</w:t>
      </w:r>
      <w:r w:rsidR="00471512" w:rsidRPr="00D41D30">
        <w:rPr>
          <w:rFonts w:hAnsi="標楷體" w:hint="eastAsia"/>
          <w:color w:val="000000" w:themeColor="text1"/>
          <w:szCs w:val="32"/>
        </w:rPr>
        <w:t>年迄今高齡教育相關費用，經教育部統計如表2</w:t>
      </w:r>
      <w:r w:rsidR="0067417F" w:rsidRPr="00D41D30">
        <w:rPr>
          <w:rFonts w:hAnsi="標楷體"/>
          <w:color w:val="000000" w:themeColor="text1"/>
          <w:szCs w:val="32"/>
        </w:rPr>
        <w:t>7</w:t>
      </w:r>
      <w:bookmarkEnd w:id="886"/>
      <w:bookmarkEnd w:id="887"/>
      <w:bookmarkEnd w:id="888"/>
      <w:bookmarkEnd w:id="889"/>
      <w:r w:rsidR="00693E41" w:rsidRPr="00D41D30">
        <w:rPr>
          <w:rFonts w:hAnsi="標楷體" w:hint="eastAsia"/>
          <w:color w:val="000000" w:themeColor="text1"/>
          <w:szCs w:val="32"/>
        </w:rPr>
        <w:t>。</w:t>
      </w:r>
      <w:bookmarkEnd w:id="890"/>
      <w:bookmarkEnd w:id="891"/>
      <w:bookmarkEnd w:id="892"/>
      <w:bookmarkEnd w:id="893"/>
    </w:p>
    <w:p w:rsidR="00CA53DE" w:rsidRPr="00D41D30" w:rsidRDefault="00344026" w:rsidP="00DF53E6">
      <w:pPr>
        <w:pStyle w:val="a4"/>
        <w:ind w:left="697" w:hanging="697"/>
        <w:rPr>
          <w:b/>
          <w:color w:val="000000" w:themeColor="text1"/>
        </w:rPr>
      </w:pPr>
      <w:r w:rsidRPr="00D41D30">
        <w:rPr>
          <w:rFonts w:hint="eastAsia"/>
          <w:b/>
          <w:color w:val="000000" w:themeColor="text1"/>
        </w:rPr>
        <w:t>97-108年歷年高齡教育占終身教育及教育部主管預算比</w:t>
      </w:r>
    </w:p>
    <w:p w:rsidR="00CA53DE" w:rsidRPr="00D41D30" w:rsidRDefault="000C5DDA" w:rsidP="00A52A0B">
      <w:pPr>
        <w:jc w:val="right"/>
        <w:rPr>
          <w:color w:val="000000" w:themeColor="text1"/>
          <w:sz w:val="24"/>
          <w:szCs w:val="24"/>
        </w:rPr>
      </w:pPr>
      <w:bookmarkStart w:id="894" w:name="_Toc30512525"/>
      <w:bookmarkStart w:id="895" w:name="_Toc30581233"/>
      <w:bookmarkStart w:id="896" w:name="_Toc32392506"/>
      <w:bookmarkStart w:id="897" w:name="_Toc32673697"/>
      <w:bookmarkStart w:id="898" w:name="_Toc32846560"/>
      <w:bookmarkStart w:id="899" w:name="_Toc32913803"/>
      <w:bookmarkStart w:id="900" w:name="_Toc32918479"/>
      <w:bookmarkStart w:id="901" w:name="_Toc33011772"/>
      <w:r w:rsidRPr="00D41D30">
        <w:rPr>
          <w:rFonts w:hint="eastAsia"/>
          <w:color w:val="000000" w:themeColor="text1"/>
          <w:sz w:val="24"/>
          <w:szCs w:val="24"/>
        </w:rPr>
        <w:t>單位:</w:t>
      </w:r>
      <w:r w:rsidR="00344026" w:rsidRPr="00D41D30">
        <w:rPr>
          <w:rFonts w:hint="eastAsia"/>
          <w:color w:val="000000" w:themeColor="text1"/>
          <w:sz w:val="24"/>
          <w:szCs w:val="24"/>
        </w:rPr>
        <w:t>億</w:t>
      </w:r>
      <w:r w:rsidRPr="00D41D30">
        <w:rPr>
          <w:rFonts w:hint="eastAsia"/>
          <w:color w:val="000000" w:themeColor="text1"/>
          <w:sz w:val="24"/>
          <w:szCs w:val="24"/>
        </w:rPr>
        <w:t>元</w:t>
      </w:r>
      <w:bookmarkEnd w:id="894"/>
      <w:bookmarkEnd w:id="895"/>
      <w:bookmarkEnd w:id="896"/>
      <w:bookmarkEnd w:id="897"/>
      <w:bookmarkEnd w:id="898"/>
      <w:bookmarkEnd w:id="899"/>
      <w:bookmarkEnd w:id="900"/>
      <w:bookmarkEnd w:id="901"/>
    </w:p>
    <w:tbl>
      <w:tblPr>
        <w:tblW w:w="5215" w:type="pct"/>
        <w:tblInd w:w="-5" w:type="dxa"/>
        <w:tblCellMar>
          <w:left w:w="28" w:type="dxa"/>
          <w:right w:w="28" w:type="dxa"/>
        </w:tblCellMar>
        <w:tblLook w:val="04A0" w:firstRow="1" w:lastRow="0" w:firstColumn="1" w:lastColumn="0" w:noHBand="0" w:noVBand="1"/>
      </w:tblPr>
      <w:tblGrid>
        <w:gridCol w:w="447"/>
        <w:gridCol w:w="1489"/>
        <w:gridCol w:w="1437"/>
        <w:gridCol w:w="1532"/>
        <w:gridCol w:w="1379"/>
        <w:gridCol w:w="1386"/>
        <w:gridCol w:w="1377"/>
      </w:tblGrid>
      <w:tr w:rsidR="00592FD7" w:rsidRPr="00D41D30" w:rsidTr="00F86B16">
        <w:trPr>
          <w:trHeight w:val="620"/>
        </w:trPr>
        <w:tc>
          <w:tcPr>
            <w:tcW w:w="243" w:type="pct"/>
            <w:vMerge w:val="restart"/>
            <w:tcBorders>
              <w:top w:val="single" w:sz="4" w:space="0" w:color="auto"/>
              <w:left w:val="single" w:sz="4" w:space="0" w:color="auto"/>
              <w:bottom w:val="single" w:sz="6" w:space="0" w:color="auto"/>
              <w:right w:val="single" w:sz="4" w:space="0" w:color="auto"/>
            </w:tcBorders>
            <w:shd w:val="clear" w:color="auto" w:fill="auto"/>
            <w:vAlign w:val="center"/>
            <w:hideMark/>
          </w:tcPr>
          <w:p w:rsidR="00592FD7" w:rsidRPr="00D41D30" w:rsidRDefault="00592FD7" w:rsidP="00036B7A">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年度</w:t>
            </w:r>
          </w:p>
        </w:tc>
        <w:tc>
          <w:tcPr>
            <w:tcW w:w="1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FD7" w:rsidRPr="00D41D30" w:rsidRDefault="00592FD7" w:rsidP="00344026">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高齡教育</w:t>
            </w:r>
          </w:p>
        </w:tc>
        <w:tc>
          <w:tcPr>
            <w:tcW w:w="8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2FD7" w:rsidRPr="00D41D30" w:rsidRDefault="00592FD7" w:rsidP="00036B7A">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終身教育司主管</w:t>
            </w:r>
            <w:r w:rsidR="00B562C7" w:rsidRPr="00D41D30">
              <w:rPr>
                <w:rFonts w:hAnsi="標楷體" w:hint="eastAsia"/>
                <w:b/>
                <w:bCs/>
                <w:color w:val="000000" w:themeColor="text1"/>
                <w:sz w:val="24"/>
                <w:szCs w:val="24"/>
              </w:rPr>
              <w:t>（</w:t>
            </w:r>
            <w:r w:rsidRPr="00D41D30">
              <w:rPr>
                <w:rFonts w:hAnsi="標楷體" w:hint="eastAsia"/>
                <w:b/>
                <w:bCs/>
                <w:color w:val="000000" w:themeColor="text1"/>
                <w:sz w:val="24"/>
                <w:szCs w:val="24"/>
              </w:rPr>
              <w:t>B</w:t>
            </w:r>
            <w:r w:rsidR="006B5136" w:rsidRPr="00D41D30">
              <w:rPr>
                <w:rFonts w:hAnsi="標楷體" w:hint="eastAsia"/>
                <w:b/>
                <w:bCs/>
                <w:color w:val="000000" w:themeColor="text1"/>
                <w:sz w:val="24"/>
                <w:szCs w:val="24"/>
              </w:rPr>
              <w:t>）</w:t>
            </w:r>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6B16" w:rsidRPr="00D41D30" w:rsidRDefault="00592FD7" w:rsidP="00036B7A">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占比</w:t>
            </w:r>
            <w:r w:rsidR="00F86B16" w:rsidRPr="00D41D30">
              <w:rPr>
                <w:rFonts w:hAnsi="標楷體" w:hint="eastAsia"/>
                <w:b/>
                <w:bCs/>
                <w:color w:val="000000" w:themeColor="text1"/>
                <w:sz w:val="24"/>
                <w:szCs w:val="24"/>
              </w:rPr>
              <w:t>*</w:t>
            </w:r>
          </w:p>
          <w:p w:rsidR="00592FD7" w:rsidRPr="00D41D30" w:rsidRDefault="00B562C7" w:rsidP="00F86B16">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w:t>
            </w:r>
            <w:r w:rsidR="00592FD7" w:rsidRPr="00D41D30">
              <w:rPr>
                <w:rFonts w:hAnsi="標楷體" w:hint="eastAsia"/>
                <w:b/>
                <w:bCs/>
                <w:color w:val="000000" w:themeColor="text1"/>
                <w:sz w:val="24"/>
                <w:szCs w:val="24"/>
              </w:rPr>
              <w:t>A/B</w:t>
            </w:r>
            <w:r w:rsidR="006B5136" w:rsidRPr="00D41D30">
              <w:rPr>
                <w:rFonts w:hAnsi="標楷體" w:hint="eastAsia"/>
                <w:b/>
                <w:bCs/>
                <w:color w:val="000000" w:themeColor="text1"/>
                <w:sz w:val="24"/>
                <w:szCs w:val="24"/>
              </w:rPr>
              <w:t>）</w:t>
            </w:r>
            <w:r w:rsidR="00592FD7" w:rsidRPr="00D41D30">
              <w:rPr>
                <w:rFonts w:hAnsi="標楷體"/>
                <w:color w:val="000000" w:themeColor="text1"/>
                <w:sz w:val="24"/>
                <w:szCs w:val="24"/>
              </w:rPr>
              <w:t>%</w:t>
            </w:r>
          </w:p>
        </w:tc>
        <w:tc>
          <w:tcPr>
            <w:tcW w:w="772" w:type="pct"/>
            <w:vMerge w:val="restart"/>
            <w:tcBorders>
              <w:top w:val="single" w:sz="4" w:space="0" w:color="auto"/>
              <w:left w:val="single" w:sz="4" w:space="0" w:color="auto"/>
              <w:bottom w:val="single" w:sz="4" w:space="0" w:color="auto"/>
              <w:right w:val="single" w:sz="4" w:space="0" w:color="auto"/>
            </w:tcBorders>
            <w:vAlign w:val="center"/>
          </w:tcPr>
          <w:p w:rsidR="00592FD7" w:rsidRPr="00D41D30" w:rsidRDefault="00592FD7" w:rsidP="00036B7A">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教育部預算</w:t>
            </w:r>
            <w:r w:rsidR="00B562C7" w:rsidRPr="00D41D30">
              <w:rPr>
                <w:rFonts w:hAnsi="標楷體" w:hint="eastAsia"/>
                <w:b/>
                <w:bCs/>
                <w:color w:val="000000" w:themeColor="text1"/>
                <w:sz w:val="24"/>
                <w:szCs w:val="24"/>
              </w:rPr>
              <w:t>（</w:t>
            </w:r>
            <w:r w:rsidRPr="00D41D30">
              <w:rPr>
                <w:rFonts w:hAnsi="標楷體" w:hint="eastAsia"/>
                <w:b/>
                <w:bCs/>
                <w:color w:val="000000" w:themeColor="text1"/>
                <w:sz w:val="24"/>
                <w:szCs w:val="24"/>
              </w:rPr>
              <w:t>C</w:t>
            </w:r>
            <w:r w:rsidR="006B5136" w:rsidRPr="00D41D30">
              <w:rPr>
                <w:rFonts w:hAnsi="標楷體" w:hint="eastAsia"/>
                <w:b/>
                <w:bCs/>
                <w:color w:val="000000" w:themeColor="text1"/>
                <w:sz w:val="24"/>
                <w:szCs w:val="24"/>
              </w:rPr>
              <w:t>）</w:t>
            </w:r>
          </w:p>
        </w:tc>
        <w:tc>
          <w:tcPr>
            <w:tcW w:w="767" w:type="pct"/>
            <w:vMerge w:val="restart"/>
            <w:tcBorders>
              <w:top w:val="single" w:sz="4" w:space="0" w:color="auto"/>
              <w:left w:val="single" w:sz="4" w:space="0" w:color="auto"/>
              <w:bottom w:val="single" w:sz="4" w:space="0" w:color="auto"/>
              <w:right w:val="single" w:sz="4" w:space="0" w:color="auto"/>
            </w:tcBorders>
            <w:vAlign w:val="center"/>
          </w:tcPr>
          <w:p w:rsidR="00BF57E5" w:rsidRPr="00D41D30" w:rsidRDefault="00592FD7" w:rsidP="00BF57E5">
            <w:pPr>
              <w:spacing w:line="400" w:lineRule="exact"/>
              <w:ind w:rightChars="-71" w:right="-242"/>
              <w:jc w:val="left"/>
              <w:rPr>
                <w:rFonts w:hAnsi="標楷體"/>
                <w:b/>
                <w:bCs/>
                <w:color w:val="000000" w:themeColor="text1"/>
                <w:sz w:val="24"/>
                <w:szCs w:val="24"/>
              </w:rPr>
            </w:pPr>
            <w:r w:rsidRPr="00D41D30">
              <w:rPr>
                <w:rFonts w:hAnsi="標楷體" w:hint="eastAsia"/>
                <w:b/>
                <w:bCs/>
                <w:color w:val="000000" w:themeColor="text1"/>
                <w:sz w:val="24"/>
                <w:szCs w:val="24"/>
              </w:rPr>
              <w:t>占比</w:t>
            </w:r>
            <w:r w:rsidR="00BF57E5" w:rsidRPr="00D41D30">
              <w:rPr>
                <w:rFonts w:hAnsi="標楷體" w:hint="eastAsia"/>
                <w:b/>
                <w:bCs/>
                <w:color w:val="000000" w:themeColor="text1"/>
                <w:sz w:val="24"/>
                <w:szCs w:val="24"/>
              </w:rPr>
              <w:t>*</w:t>
            </w:r>
            <w:r w:rsidR="00BF57E5" w:rsidRPr="00D41D30">
              <w:rPr>
                <w:rFonts w:hAnsi="標楷體"/>
                <w:b/>
                <w:bCs/>
                <w:color w:val="000000" w:themeColor="text1"/>
                <w:sz w:val="24"/>
                <w:szCs w:val="24"/>
              </w:rPr>
              <w:t>*</w:t>
            </w:r>
          </w:p>
          <w:p w:rsidR="00592FD7" w:rsidRPr="00D41D30" w:rsidRDefault="00B562C7" w:rsidP="00BF57E5">
            <w:pPr>
              <w:spacing w:line="400" w:lineRule="exact"/>
              <w:ind w:rightChars="-71" w:right="-242"/>
              <w:jc w:val="left"/>
              <w:rPr>
                <w:rFonts w:hAnsi="標楷體"/>
                <w:b/>
                <w:bCs/>
                <w:color w:val="000000" w:themeColor="text1"/>
                <w:sz w:val="24"/>
                <w:szCs w:val="24"/>
              </w:rPr>
            </w:pPr>
            <w:r w:rsidRPr="00D41D30">
              <w:rPr>
                <w:rFonts w:hAnsi="標楷體" w:hint="eastAsia"/>
                <w:b/>
                <w:bCs/>
                <w:color w:val="000000" w:themeColor="text1"/>
                <w:sz w:val="24"/>
                <w:szCs w:val="24"/>
              </w:rPr>
              <w:t>（</w:t>
            </w:r>
            <w:r w:rsidR="00592FD7" w:rsidRPr="00D41D30">
              <w:rPr>
                <w:rFonts w:hAnsi="標楷體" w:hint="eastAsia"/>
                <w:b/>
                <w:bCs/>
                <w:color w:val="000000" w:themeColor="text1"/>
                <w:sz w:val="24"/>
                <w:szCs w:val="24"/>
              </w:rPr>
              <w:t>B/C</w:t>
            </w:r>
            <w:r w:rsidR="006B5136" w:rsidRPr="00D41D30">
              <w:rPr>
                <w:rFonts w:hAnsi="標楷體" w:hint="eastAsia"/>
                <w:b/>
                <w:bCs/>
                <w:color w:val="000000" w:themeColor="text1"/>
                <w:sz w:val="24"/>
                <w:szCs w:val="24"/>
              </w:rPr>
              <w:t>）</w:t>
            </w:r>
            <w:r w:rsidR="00592FD7" w:rsidRPr="00D41D30">
              <w:rPr>
                <w:rFonts w:hAnsi="標楷體"/>
                <w:color w:val="000000" w:themeColor="text1"/>
                <w:sz w:val="24"/>
                <w:szCs w:val="24"/>
              </w:rPr>
              <w:t>%</w:t>
            </w:r>
          </w:p>
        </w:tc>
      </w:tr>
      <w:tr w:rsidR="00853DDE" w:rsidRPr="00D41D30" w:rsidTr="00F86B16">
        <w:trPr>
          <w:trHeight w:val="463"/>
        </w:trPr>
        <w:tc>
          <w:tcPr>
            <w:tcW w:w="243" w:type="pct"/>
            <w:vMerge/>
            <w:tcBorders>
              <w:top w:val="single" w:sz="6" w:space="0" w:color="auto"/>
              <w:left w:val="single" w:sz="4" w:space="0" w:color="auto"/>
              <w:bottom w:val="single" w:sz="6" w:space="0" w:color="auto"/>
              <w:right w:val="single" w:sz="4" w:space="0" w:color="auto"/>
            </w:tcBorders>
            <w:vAlign w:val="center"/>
            <w:hideMark/>
          </w:tcPr>
          <w:p w:rsidR="00592FD7" w:rsidRPr="00D41D30" w:rsidRDefault="00592FD7" w:rsidP="00036B7A">
            <w:pPr>
              <w:spacing w:line="400" w:lineRule="exact"/>
              <w:jc w:val="center"/>
              <w:rPr>
                <w:rFonts w:hAnsi="標楷體"/>
                <w:b/>
                <w:bCs/>
                <w:color w:val="000000" w:themeColor="text1"/>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FD7" w:rsidRPr="00D41D30" w:rsidRDefault="00592FD7" w:rsidP="00036B7A">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預算數</w:t>
            </w:r>
            <w:r w:rsidR="00B562C7" w:rsidRPr="00D41D30">
              <w:rPr>
                <w:rFonts w:hAnsi="標楷體" w:hint="eastAsia"/>
                <w:b/>
                <w:bCs/>
                <w:color w:val="000000" w:themeColor="text1"/>
                <w:sz w:val="24"/>
                <w:szCs w:val="24"/>
              </w:rPr>
              <w:t>（</w:t>
            </w:r>
            <w:r w:rsidR="00344026" w:rsidRPr="00D41D30">
              <w:rPr>
                <w:rFonts w:hAnsi="標楷體" w:hint="eastAsia"/>
                <w:b/>
                <w:bCs/>
                <w:color w:val="000000" w:themeColor="text1"/>
                <w:sz w:val="24"/>
                <w:szCs w:val="24"/>
              </w:rPr>
              <w:t>A</w:t>
            </w:r>
            <w:r w:rsidR="006B5136" w:rsidRPr="00D41D30">
              <w:rPr>
                <w:rFonts w:hAnsi="標楷體" w:hint="eastAsia"/>
                <w:b/>
                <w:bCs/>
                <w:color w:val="000000" w:themeColor="text1"/>
                <w:sz w:val="24"/>
                <w:szCs w:val="24"/>
              </w:rPr>
              <w:t>）</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FD7" w:rsidRPr="00D41D30" w:rsidRDefault="00592FD7" w:rsidP="00036B7A">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執行數</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FD7" w:rsidRPr="00D41D30" w:rsidRDefault="00592FD7" w:rsidP="00036B7A">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預算數</w:t>
            </w:r>
          </w:p>
        </w:tc>
        <w:tc>
          <w:tcPr>
            <w:tcW w:w="768" w:type="pct"/>
            <w:vMerge/>
            <w:tcBorders>
              <w:top w:val="single" w:sz="4" w:space="0" w:color="auto"/>
              <w:left w:val="single" w:sz="4" w:space="0" w:color="auto"/>
              <w:bottom w:val="single" w:sz="4" w:space="0" w:color="auto"/>
              <w:right w:val="single" w:sz="4" w:space="0" w:color="auto"/>
            </w:tcBorders>
            <w:vAlign w:val="center"/>
            <w:hideMark/>
          </w:tcPr>
          <w:p w:rsidR="00592FD7" w:rsidRPr="00D41D30" w:rsidRDefault="00592FD7" w:rsidP="00036B7A">
            <w:pPr>
              <w:spacing w:line="400" w:lineRule="exact"/>
              <w:jc w:val="center"/>
              <w:rPr>
                <w:rFonts w:hAnsi="標楷體"/>
                <w:b/>
                <w:bCs/>
                <w:color w:val="000000" w:themeColor="text1"/>
                <w:sz w:val="24"/>
                <w:szCs w:val="24"/>
              </w:rPr>
            </w:pPr>
          </w:p>
        </w:tc>
        <w:tc>
          <w:tcPr>
            <w:tcW w:w="772" w:type="pct"/>
            <w:vMerge/>
            <w:tcBorders>
              <w:top w:val="single" w:sz="4" w:space="0" w:color="auto"/>
              <w:left w:val="single" w:sz="4" w:space="0" w:color="auto"/>
              <w:bottom w:val="single" w:sz="4" w:space="0" w:color="auto"/>
              <w:right w:val="single" w:sz="4" w:space="0" w:color="auto"/>
            </w:tcBorders>
          </w:tcPr>
          <w:p w:rsidR="00592FD7" w:rsidRPr="00D41D30" w:rsidRDefault="00592FD7" w:rsidP="00036B7A">
            <w:pPr>
              <w:spacing w:line="400" w:lineRule="exact"/>
              <w:jc w:val="center"/>
              <w:rPr>
                <w:rFonts w:hAnsi="標楷體"/>
                <w:b/>
                <w:bCs/>
                <w:color w:val="000000" w:themeColor="text1"/>
                <w:sz w:val="24"/>
                <w:szCs w:val="24"/>
              </w:rPr>
            </w:pPr>
          </w:p>
        </w:tc>
        <w:tc>
          <w:tcPr>
            <w:tcW w:w="767" w:type="pct"/>
            <w:vMerge/>
            <w:tcBorders>
              <w:top w:val="single" w:sz="4" w:space="0" w:color="auto"/>
              <w:left w:val="single" w:sz="4" w:space="0" w:color="auto"/>
              <w:bottom w:val="single" w:sz="4" w:space="0" w:color="auto"/>
              <w:right w:val="single" w:sz="4" w:space="0" w:color="auto"/>
            </w:tcBorders>
          </w:tcPr>
          <w:p w:rsidR="00592FD7" w:rsidRPr="00D41D30" w:rsidRDefault="00592FD7" w:rsidP="00036B7A">
            <w:pPr>
              <w:spacing w:line="400" w:lineRule="exact"/>
              <w:jc w:val="center"/>
              <w:rPr>
                <w:rFonts w:hAnsi="標楷體"/>
                <w:b/>
                <w:bCs/>
                <w:color w:val="000000" w:themeColor="text1"/>
                <w:sz w:val="24"/>
                <w:szCs w:val="24"/>
              </w:rPr>
            </w:pPr>
          </w:p>
        </w:tc>
      </w:tr>
      <w:tr w:rsidR="00853DDE" w:rsidRPr="00D41D30" w:rsidTr="00F86B16">
        <w:trPr>
          <w:trHeight w:val="46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97</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overflowPunct/>
              <w:autoSpaceDE/>
              <w:autoSpaceDN/>
              <w:jc w:val="center"/>
              <w:rPr>
                <w:rFonts w:hAnsi="標楷體"/>
                <w:color w:val="000000" w:themeColor="text1"/>
                <w:kern w:val="0"/>
                <w:sz w:val="24"/>
                <w:szCs w:val="24"/>
              </w:rPr>
            </w:pPr>
            <w:r w:rsidRPr="00D41D30">
              <w:rPr>
                <w:rFonts w:hAnsi="標楷體" w:hint="eastAsia"/>
                <w:color w:val="000000" w:themeColor="text1"/>
                <w:sz w:val="24"/>
                <w:szCs w:val="24"/>
              </w:rPr>
              <w:t>0.46</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overflowPunct/>
              <w:autoSpaceDE/>
              <w:autoSpaceDN/>
              <w:jc w:val="center"/>
              <w:rPr>
                <w:rFonts w:hAnsi="標楷體"/>
                <w:color w:val="000000" w:themeColor="text1"/>
                <w:kern w:val="0"/>
                <w:sz w:val="24"/>
                <w:szCs w:val="24"/>
              </w:rPr>
            </w:pPr>
            <w:r w:rsidRPr="00D41D30">
              <w:rPr>
                <w:rFonts w:hAnsi="標楷體" w:hint="eastAsia"/>
                <w:color w:val="000000" w:themeColor="text1"/>
                <w:sz w:val="24"/>
                <w:szCs w:val="24"/>
              </w:rPr>
              <w:t>0.67</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27.60</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.6</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widowControl/>
              <w:overflowPunct/>
              <w:autoSpaceDE/>
              <w:autoSpaceDN/>
              <w:jc w:val="center"/>
              <w:rPr>
                <w:rFonts w:hAnsi="標楷體"/>
                <w:color w:val="000000" w:themeColor="text1"/>
                <w:kern w:val="0"/>
                <w:sz w:val="24"/>
                <w:szCs w:val="24"/>
              </w:rPr>
            </w:pPr>
            <w:r w:rsidRPr="00D41D30">
              <w:rPr>
                <w:rFonts w:hAnsi="標楷體" w:hint="eastAsia"/>
                <w:color w:val="000000" w:themeColor="text1"/>
                <w:sz w:val="24"/>
                <w:szCs w:val="24"/>
              </w:rPr>
              <w:t>1,504.59</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widowControl/>
              <w:jc w:val="center"/>
              <w:rPr>
                <w:rFonts w:hAnsi="標楷體"/>
                <w:color w:val="000000" w:themeColor="text1"/>
                <w:sz w:val="24"/>
                <w:szCs w:val="24"/>
              </w:rPr>
            </w:pPr>
            <w:r w:rsidRPr="00D41D30">
              <w:rPr>
                <w:rFonts w:hAnsi="標楷體" w:hint="eastAsia"/>
                <w:color w:val="000000" w:themeColor="text1"/>
                <w:sz w:val="24"/>
                <w:szCs w:val="24"/>
              </w:rPr>
              <w:t>1.83</w:t>
            </w:r>
          </w:p>
        </w:tc>
      </w:tr>
      <w:tr w:rsidR="00853DDE" w:rsidRPr="00D41D30" w:rsidTr="00F86B16">
        <w:trPr>
          <w:trHeight w:val="33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98</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1.00</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1.20</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27.65</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3</w:t>
            </w:r>
            <w:r w:rsidRPr="00D41D30">
              <w:rPr>
                <w:rFonts w:hAnsi="標楷體"/>
                <w:color w:val="000000" w:themeColor="text1"/>
                <w:sz w:val="24"/>
                <w:szCs w:val="24"/>
              </w:rPr>
              <w:t>.6</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664.13</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1.66</w:t>
            </w:r>
          </w:p>
        </w:tc>
      </w:tr>
      <w:tr w:rsidR="00853DDE" w:rsidRPr="00D41D30" w:rsidTr="00F86B16">
        <w:trPr>
          <w:trHeight w:val="33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99</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1.14</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1.04</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22.51</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w:t>
            </w:r>
            <w:r w:rsidRPr="00D41D30">
              <w:rPr>
                <w:rFonts w:hAnsi="標楷體"/>
                <w:color w:val="000000" w:themeColor="text1"/>
                <w:sz w:val="24"/>
                <w:szCs w:val="24"/>
              </w:rPr>
              <w:t>.1</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654.94</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1.36</w:t>
            </w:r>
          </w:p>
        </w:tc>
      </w:tr>
      <w:tr w:rsidR="00853DDE" w:rsidRPr="00D41D30" w:rsidTr="00F86B16">
        <w:trPr>
          <w:trHeight w:val="484"/>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100</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0.91</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0.87</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19.25</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w:t>
            </w:r>
            <w:r w:rsidRPr="00D41D30">
              <w:rPr>
                <w:rFonts w:hAnsi="標楷體"/>
                <w:color w:val="000000" w:themeColor="text1"/>
                <w:sz w:val="24"/>
                <w:szCs w:val="24"/>
              </w:rPr>
              <w:t>.7</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767.22</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1.09</w:t>
            </w:r>
          </w:p>
        </w:tc>
      </w:tr>
      <w:tr w:rsidR="00853DDE" w:rsidRPr="00D41D30" w:rsidTr="00F86B16">
        <w:trPr>
          <w:trHeight w:val="405"/>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lastRenderedPageBreak/>
              <w:t>101</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0.76</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1.11</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16.29</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w:t>
            </w:r>
            <w:r w:rsidRPr="00D41D30">
              <w:rPr>
                <w:rFonts w:hAnsi="標楷體"/>
                <w:color w:val="000000" w:themeColor="text1"/>
                <w:sz w:val="24"/>
                <w:szCs w:val="24"/>
              </w:rPr>
              <w:t>.7</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909.53</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0.85</w:t>
            </w:r>
          </w:p>
        </w:tc>
      </w:tr>
      <w:tr w:rsidR="00853DDE" w:rsidRPr="00D41D30" w:rsidTr="00F86B16">
        <w:trPr>
          <w:trHeight w:val="411"/>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102</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0.85</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1.48</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17.03</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w:t>
            </w:r>
            <w:r w:rsidRPr="00D41D30">
              <w:rPr>
                <w:rFonts w:hAnsi="標楷體"/>
                <w:color w:val="000000" w:themeColor="text1"/>
                <w:sz w:val="24"/>
                <w:szCs w:val="24"/>
              </w:rPr>
              <w:t>.0</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134.01</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1.50</w:t>
            </w:r>
          </w:p>
        </w:tc>
      </w:tr>
      <w:tr w:rsidR="00853DDE" w:rsidRPr="00D41D30" w:rsidTr="00F86B16">
        <w:trPr>
          <w:trHeight w:val="26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103</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1.49</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1.71</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20.69</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7.2</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150.88</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1.80</w:t>
            </w:r>
          </w:p>
        </w:tc>
      </w:tr>
      <w:tr w:rsidR="00853DDE" w:rsidRPr="00D41D30" w:rsidTr="00F86B16">
        <w:trPr>
          <w:trHeight w:val="424"/>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104</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1.59</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1.87</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16.41</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9.7</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200.11</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1.37</w:t>
            </w:r>
          </w:p>
        </w:tc>
      </w:tr>
      <w:tr w:rsidR="00853DDE" w:rsidRPr="00D41D30" w:rsidTr="00F86B16">
        <w:trPr>
          <w:trHeight w:val="401"/>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105</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1.72</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1.81</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17.31</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9.9</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271.56</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1.36</w:t>
            </w:r>
          </w:p>
        </w:tc>
      </w:tr>
      <w:tr w:rsidR="00853DDE" w:rsidRPr="00D41D30" w:rsidTr="00F86B16">
        <w:trPr>
          <w:trHeight w:val="407"/>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106</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2.02</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1.95</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22.25</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9.1</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336.39</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1.66</w:t>
            </w:r>
          </w:p>
        </w:tc>
      </w:tr>
      <w:tr w:rsidR="00853DDE" w:rsidRPr="00D41D30" w:rsidTr="00F86B16">
        <w:trPr>
          <w:trHeight w:val="414"/>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107</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2.44</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2.62</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19.39</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12.6</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324.29</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1.46</w:t>
            </w:r>
          </w:p>
        </w:tc>
      </w:tr>
      <w:tr w:rsidR="00853DDE" w:rsidRPr="00D41D30" w:rsidTr="00BD5E0B">
        <w:trPr>
          <w:trHeight w:val="65"/>
        </w:trPr>
        <w:tc>
          <w:tcPr>
            <w:tcW w:w="243" w:type="pct"/>
            <w:tcBorders>
              <w:top w:val="single" w:sz="6"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108</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1.90</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1.43</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19.96</w:t>
            </w:r>
          </w:p>
        </w:tc>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44026" w:rsidRPr="00D41D30" w:rsidRDefault="00344026" w:rsidP="00344026">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9.5</w:t>
            </w:r>
          </w:p>
        </w:tc>
        <w:tc>
          <w:tcPr>
            <w:tcW w:w="772"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298.37</w:t>
            </w:r>
          </w:p>
        </w:tc>
        <w:tc>
          <w:tcPr>
            <w:tcW w:w="767" w:type="pct"/>
            <w:tcBorders>
              <w:top w:val="single" w:sz="4" w:space="0" w:color="auto"/>
              <w:left w:val="single" w:sz="4" w:space="0" w:color="auto"/>
              <w:bottom w:val="single" w:sz="4" w:space="0" w:color="auto"/>
              <w:right w:val="single" w:sz="4" w:space="0" w:color="auto"/>
            </w:tcBorders>
            <w:vAlign w:val="center"/>
          </w:tcPr>
          <w:p w:rsidR="00344026" w:rsidRPr="00D41D30" w:rsidRDefault="00344026" w:rsidP="00344026">
            <w:pPr>
              <w:jc w:val="center"/>
              <w:rPr>
                <w:rFonts w:hAnsi="標楷體"/>
                <w:color w:val="000000" w:themeColor="text1"/>
                <w:sz w:val="24"/>
                <w:szCs w:val="24"/>
              </w:rPr>
            </w:pPr>
            <w:r w:rsidRPr="00D41D30">
              <w:rPr>
                <w:rFonts w:hAnsi="標楷體" w:hint="eastAsia"/>
                <w:color w:val="000000" w:themeColor="text1"/>
                <w:sz w:val="24"/>
                <w:szCs w:val="24"/>
              </w:rPr>
              <w:t>1.53</w:t>
            </w:r>
          </w:p>
        </w:tc>
      </w:tr>
    </w:tbl>
    <w:p w:rsidR="00CA53DE" w:rsidRPr="00D41D30" w:rsidRDefault="00592FD7" w:rsidP="00A52A0B">
      <w:pPr>
        <w:rPr>
          <w:color w:val="000000" w:themeColor="text1"/>
          <w:sz w:val="24"/>
          <w:szCs w:val="24"/>
        </w:rPr>
      </w:pPr>
      <w:bookmarkStart w:id="902" w:name="_Toc30512526"/>
      <w:bookmarkStart w:id="903" w:name="_Toc30581234"/>
      <w:bookmarkStart w:id="904" w:name="_Toc32392507"/>
      <w:bookmarkStart w:id="905" w:name="_Toc32673698"/>
      <w:bookmarkStart w:id="906" w:name="_Toc32846561"/>
      <w:bookmarkStart w:id="907" w:name="_Toc32913804"/>
      <w:bookmarkStart w:id="908" w:name="_Toc32918480"/>
      <w:r w:rsidRPr="00D41D30">
        <w:rPr>
          <w:rFonts w:hint="eastAsia"/>
          <w:color w:val="000000" w:themeColor="text1"/>
          <w:sz w:val="24"/>
          <w:szCs w:val="24"/>
        </w:rPr>
        <w:t>資料來源:教育部。</w:t>
      </w:r>
      <w:bookmarkEnd w:id="902"/>
      <w:bookmarkEnd w:id="903"/>
      <w:bookmarkEnd w:id="904"/>
      <w:bookmarkEnd w:id="905"/>
      <w:bookmarkEnd w:id="906"/>
      <w:bookmarkEnd w:id="907"/>
      <w:bookmarkEnd w:id="908"/>
    </w:p>
    <w:p w:rsidR="00BF57E5" w:rsidRPr="00D41D30" w:rsidRDefault="00BF57E5" w:rsidP="00A52A0B">
      <w:pPr>
        <w:rPr>
          <w:color w:val="000000" w:themeColor="text1"/>
          <w:sz w:val="24"/>
          <w:szCs w:val="24"/>
        </w:rPr>
      </w:pPr>
      <w:bookmarkStart w:id="909" w:name="_Toc30512527"/>
      <w:bookmarkStart w:id="910" w:name="_Toc30581235"/>
      <w:bookmarkStart w:id="911" w:name="_Toc32392508"/>
      <w:bookmarkStart w:id="912" w:name="_Toc32673699"/>
      <w:bookmarkStart w:id="913" w:name="_Toc32846562"/>
      <w:bookmarkStart w:id="914" w:name="_Toc32913805"/>
      <w:bookmarkStart w:id="915" w:name="_Toc32918481"/>
      <w:r w:rsidRPr="00D41D30">
        <w:rPr>
          <w:rFonts w:hint="eastAsia"/>
          <w:color w:val="000000" w:themeColor="text1"/>
          <w:sz w:val="24"/>
          <w:szCs w:val="24"/>
        </w:rPr>
        <w:t>*高齡教育預算占終身教育司主管預算比率</w:t>
      </w:r>
      <w:bookmarkEnd w:id="909"/>
      <w:bookmarkEnd w:id="910"/>
      <w:bookmarkEnd w:id="911"/>
      <w:bookmarkEnd w:id="912"/>
      <w:bookmarkEnd w:id="913"/>
      <w:bookmarkEnd w:id="914"/>
      <w:bookmarkEnd w:id="915"/>
    </w:p>
    <w:p w:rsidR="00BF57E5" w:rsidRPr="00D41D30" w:rsidRDefault="00BF57E5" w:rsidP="00A52A0B">
      <w:pPr>
        <w:rPr>
          <w:bCs/>
          <w:color w:val="000000" w:themeColor="text1"/>
          <w:spacing w:val="-10"/>
          <w:kern w:val="0"/>
          <w:sz w:val="24"/>
          <w:szCs w:val="24"/>
        </w:rPr>
      </w:pPr>
      <w:bookmarkStart w:id="916" w:name="_Toc30512528"/>
      <w:bookmarkStart w:id="917" w:name="_Toc30581236"/>
      <w:bookmarkStart w:id="918" w:name="_Toc32392509"/>
      <w:bookmarkStart w:id="919" w:name="_Toc32673700"/>
      <w:bookmarkStart w:id="920" w:name="_Toc32846563"/>
      <w:bookmarkStart w:id="921" w:name="_Toc32913806"/>
      <w:bookmarkStart w:id="922" w:name="_Toc32918482"/>
      <w:bookmarkStart w:id="923" w:name="_Toc33011773"/>
      <w:r w:rsidRPr="00D41D30">
        <w:rPr>
          <w:rFonts w:hint="eastAsia"/>
          <w:color w:val="000000" w:themeColor="text1"/>
          <w:spacing w:val="-10"/>
          <w:kern w:val="0"/>
          <w:sz w:val="24"/>
          <w:szCs w:val="24"/>
        </w:rPr>
        <w:t>**終身教育經費占教育部經費比率</w:t>
      </w:r>
      <w:bookmarkEnd w:id="916"/>
      <w:bookmarkEnd w:id="917"/>
      <w:bookmarkEnd w:id="918"/>
      <w:bookmarkEnd w:id="919"/>
      <w:bookmarkEnd w:id="920"/>
      <w:bookmarkEnd w:id="921"/>
      <w:bookmarkEnd w:id="922"/>
      <w:bookmarkEnd w:id="923"/>
    </w:p>
    <w:p w:rsidR="00036B7A" w:rsidRPr="00D41D30" w:rsidRDefault="00036B7A" w:rsidP="000C5DDA">
      <w:pPr>
        <w:pStyle w:val="3"/>
        <w:spacing w:beforeLines="50" w:before="228"/>
        <w:ind w:left="1360" w:hanging="680"/>
        <w:rPr>
          <w:color w:val="000000" w:themeColor="text1"/>
        </w:rPr>
      </w:pPr>
      <w:bookmarkStart w:id="924" w:name="_Toc30512529"/>
      <w:bookmarkStart w:id="925" w:name="_Toc30581237"/>
      <w:bookmarkStart w:id="926" w:name="_Toc32392510"/>
      <w:bookmarkStart w:id="927" w:name="_Toc32673701"/>
      <w:bookmarkStart w:id="928" w:name="_Toc32846564"/>
      <w:bookmarkStart w:id="929" w:name="_Toc32913807"/>
      <w:bookmarkStart w:id="930" w:name="_Toc32918483"/>
      <w:bookmarkStart w:id="931" w:name="_Toc33011774"/>
      <w:r w:rsidRPr="00D41D30">
        <w:rPr>
          <w:rFonts w:hint="eastAsia"/>
          <w:color w:val="000000" w:themeColor="text1"/>
        </w:rPr>
        <w:t>教育部對於</w:t>
      </w:r>
      <w:r w:rsidRPr="00D41D30">
        <w:rPr>
          <w:rFonts w:hAnsi="標楷體" w:hint="eastAsia"/>
          <w:color w:val="000000" w:themeColor="text1"/>
          <w:szCs w:val="32"/>
        </w:rPr>
        <w:t>擴增高齡教育經費之必要性</w:t>
      </w:r>
      <w:r w:rsidRPr="00D41D30">
        <w:rPr>
          <w:rFonts w:hint="eastAsia"/>
          <w:color w:val="000000" w:themeColor="text1"/>
        </w:rPr>
        <w:t>分析說明</w:t>
      </w:r>
      <w:bookmarkEnd w:id="924"/>
      <w:bookmarkEnd w:id="925"/>
      <w:bookmarkEnd w:id="926"/>
      <w:bookmarkEnd w:id="927"/>
      <w:bookmarkEnd w:id="928"/>
      <w:bookmarkEnd w:id="929"/>
      <w:bookmarkEnd w:id="930"/>
      <w:bookmarkEnd w:id="931"/>
    </w:p>
    <w:p w:rsidR="00036B7A" w:rsidRPr="00D41D30" w:rsidRDefault="00036B7A" w:rsidP="00036B7A">
      <w:pPr>
        <w:pStyle w:val="4"/>
        <w:rPr>
          <w:color w:val="000000" w:themeColor="text1"/>
        </w:rPr>
      </w:pPr>
      <w:r w:rsidRPr="00D41D30">
        <w:rPr>
          <w:rFonts w:hint="eastAsia"/>
          <w:color w:val="000000" w:themeColor="text1"/>
        </w:rPr>
        <w:t>教育部樂齡</w:t>
      </w:r>
      <w:r w:rsidRPr="00D41D30">
        <w:rPr>
          <w:rFonts w:hint="eastAsia"/>
          <w:color w:val="000000" w:themeColor="text1"/>
          <w:szCs w:val="32"/>
        </w:rPr>
        <w:t>學習</w:t>
      </w:r>
      <w:r w:rsidRPr="00D41D30">
        <w:rPr>
          <w:rFonts w:hint="eastAsia"/>
          <w:color w:val="000000" w:themeColor="text1"/>
        </w:rPr>
        <w:t>所服務之國民，係以55歲以上為實施對象，依據內政部108年9月統計，全國55歲以上中高齡者為739萬6</w:t>
      </w:r>
      <w:r w:rsidRPr="00D41D30">
        <w:rPr>
          <w:color w:val="000000" w:themeColor="text1"/>
        </w:rPr>
        <w:t>,</w:t>
      </w:r>
      <w:r w:rsidRPr="00D41D30">
        <w:rPr>
          <w:rFonts w:hint="eastAsia"/>
          <w:color w:val="000000" w:themeColor="text1"/>
        </w:rPr>
        <w:t>018人，占總人口數31.35%，高齡教育相關推動經費應按人口比率逐年調整。</w:t>
      </w:r>
    </w:p>
    <w:p w:rsidR="00036B7A" w:rsidRPr="00D41D30" w:rsidRDefault="00036B7A" w:rsidP="00036B7A">
      <w:pPr>
        <w:pStyle w:val="4"/>
        <w:rPr>
          <w:rFonts w:hAnsi="標楷體"/>
          <w:color w:val="000000" w:themeColor="text1"/>
          <w:szCs w:val="32"/>
        </w:rPr>
      </w:pPr>
      <w:r w:rsidRPr="00D41D30">
        <w:rPr>
          <w:rFonts w:hAnsi="標楷體" w:hint="eastAsia"/>
          <w:color w:val="000000" w:themeColor="text1"/>
          <w:szCs w:val="32"/>
        </w:rPr>
        <w:t>有關高齡服務對象及正規教育學生人數</w:t>
      </w:r>
      <w:r w:rsidR="000C5DDA" w:rsidRPr="00D41D30">
        <w:rPr>
          <w:rFonts w:hAnsi="標楷體" w:hint="eastAsia"/>
          <w:color w:val="000000" w:themeColor="text1"/>
          <w:szCs w:val="32"/>
        </w:rPr>
        <w:t>及使用經費及占比等</w:t>
      </w:r>
      <w:r w:rsidRPr="00D41D30">
        <w:rPr>
          <w:rFonts w:hAnsi="標楷體" w:hint="eastAsia"/>
          <w:color w:val="000000" w:themeColor="text1"/>
          <w:szCs w:val="32"/>
        </w:rPr>
        <w:t>，詳表</w:t>
      </w:r>
      <w:r w:rsidR="000C5DDA" w:rsidRPr="00D41D30">
        <w:rPr>
          <w:rFonts w:hAnsi="標楷體" w:hint="eastAsia"/>
          <w:color w:val="000000" w:themeColor="text1"/>
          <w:szCs w:val="32"/>
        </w:rPr>
        <w:t>2</w:t>
      </w:r>
      <w:r w:rsidR="0067417F" w:rsidRPr="00D41D30">
        <w:rPr>
          <w:rFonts w:hAnsi="標楷體"/>
          <w:color w:val="000000" w:themeColor="text1"/>
          <w:szCs w:val="32"/>
        </w:rPr>
        <w:t>8</w:t>
      </w:r>
      <w:r w:rsidRPr="00D41D30">
        <w:rPr>
          <w:rFonts w:hAnsi="標楷體" w:hint="eastAsia"/>
          <w:color w:val="000000" w:themeColor="text1"/>
          <w:szCs w:val="32"/>
        </w:rPr>
        <w:t>。</w:t>
      </w:r>
    </w:p>
    <w:p w:rsidR="00036B7A" w:rsidRPr="00D41D30" w:rsidRDefault="000C5DDA" w:rsidP="00DF53E6">
      <w:pPr>
        <w:pStyle w:val="a4"/>
        <w:ind w:left="697" w:hanging="697"/>
        <w:rPr>
          <w:b/>
          <w:color w:val="000000" w:themeColor="text1"/>
        </w:rPr>
      </w:pPr>
      <w:r w:rsidRPr="00D41D30">
        <w:rPr>
          <w:rFonts w:hAnsi="標楷體" w:hint="eastAsia"/>
          <w:b/>
          <w:color w:val="000000" w:themeColor="text1"/>
        </w:rPr>
        <w:t>有關高齡服務對象及正規教育學生人數及使用經費</w:t>
      </w:r>
    </w:p>
    <w:tbl>
      <w:tblPr>
        <w:tblW w:w="9784" w:type="dxa"/>
        <w:tblInd w:w="-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1701"/>
        <w:gridCol w:w="4394"/>
        <w:gridCol w:w="1701"/>
        <w:gridCol w:w="1560"/>
      </w:tblGrid>
      <w:tr w:rsidR="00036B7A" w:rsidRPr="00D41D30" w:rsidTr="005B0BEF">
        <w:trPr>
          <w:tblHeader/>
        </w:trPr>
        <w:tc>
          <w:tcPr>
            <w:tcW w:w="2129" w:type="dxa"/>
            <w:gridSpan w:val="2"/>
            <w:tcBorders>
              <w:bottom w:val="single" w:sz="4" w:space="0" w:color="auto"/>
            </w:tcBorders>
            <w:vAlign w:val="center"/>
          </w:tcPr>
          <w:p w:rsidR="00036B7A" w:rsidRPr="00D41D30" w:rsidRDefault="00036B7A" w:rsidP="00036B7A">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教育階段</w:t>
            </w:r>
          </w:p>
        </w:tc>
        <w:tc>
          <w:tcPr>
            <w:tcW w:w="4394" w:type="dxa"/>
            <w:tcBorders>
              <w:bottom w:val="single" w:sz="4" w:space="0" w:color="auto"/>
            </w:tcBorders>
            <w:shd w:val="clear" w:color="auto" w:fill="auto"/>
            <w:vAlign w:val="center"/>
          </w:tcPr>
          <w:p w:rsidR="00036B7A" w:rsidRPr="00D41D30" w:rsidRDefault="00036B7A" w:rsidP="000C5DDA">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學生人數</w:t>
            </w:r>
            <w:r w:rsidR="00B562C7" w:rsidRPr="00D41D30">
              <w:rPr>
                <w:rFonts w:hAnsi="標楷體" w:hint="eastAsia"/>
                <w:b/>
                <w:color w:val="000000" w:themeColor="text1"/>
                <w:sz w:val="24"/>
                <w:szCs w:val="24"/>
              </w:rPr>
              <w:t>（</w:t>
            </w:r>
            <w:r w:rsidRPr="00D41D30">
              <w:rPr>
                <w:rFonts w:hAnsi="標楷體" w:hint="eastAsia"/>
                <w:b/>
                <w:color w:val="000000" w:themeColor="text1"/>
                <w:sz w:val="24"/>
                <w:szCs w:val="24"/>
                <w:lang w:eastAsia="zh-HK"/>
              </w:rPr>
              <w:t>人</w:t>
            </w:r>
            <w:r w:rsidR="006B5136" w:rsidRPr="00D41D30">
              <w:rPr>
                <w:rFonts w:hAnsi="標楷體" w:hint="eastAsia"/>
                <w:b/>
                <w:color w:val="000000" w:themeColor="text1"/>
                <w:sz w:val="24"/>
                <w:szCs w:val="24"/>
              </w:rPr>
              <w:t>）</w:t>
            </w:r>
          </w:p>
        </w:tc>
        <w:tc>
          <w:tcPr>
            <w:tcW w:w="1701" w:type="dxa"/>
            <w:tcBorders>
              <w:bottom w:val="single" w:sz="4" w:space="0" w:color="auto"/>
            </w:tcBorders>
            <w:shd w:val="clear" w:color="auto" w:fill="auto"/>
            <w:vAlign w:val="center"/>
          </w:tcPr>
          <w:p w:rsidR="00036B7A" w:rsidRPr="00D41D30" w:rsidRDefault="00036B7A" w:rsidP="000C5DDA">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經費</w:t>
            </w:r>
            <w:r w:rsidR="00B562C7" w:rsidRPr="00D41D30">
              <w:rPr>
                <w:rFonts w:hAnsi="標楷體" w:hint="eastAsia"/>
                <w:b/>
                <w:color w:val="000000" w:themeColor="text1"/>
                <w:sz w:val="24"/>
                <w:szCs w:val="24"/>
              </w:rPr>
              <w:t>（</w:t>
            </w:r>
            <w:r w:rsidR="000C5DDA" w:rsidRPr="00D41D30">
              <w:rPr>
                <w:rFonts w:hAnsi="標楷體" w:hint="eastAsia"/>
                <w:b/>
                <w:color w:val="000000" w:themeColor="text1"/>
                <w:sz w:val="24"/>
                <w:szCs w:val="24"/>
              </w:rPr>
              <w:t>億</w:t>
            </w:r>
            <w:r w:rsidRPr="00D41D30">
              <w:rPr>
                <w:rFonts w:hAnsi="標楷體" w:hint="eastAsia"/>
                <w:b/>
                <w:color w:val="000000" w:themeColor="text1"/>
                <w:sz w:val="24"/>
                <w:szCs w:val="24"/>
              </w:rPr>
              <w:t>元</w:t>
            </w:r>
            <w:r w:rsidR="006B5136" w:rsidRPr="00D41D30">
              <w:rPr>
                <w:rFonts w:hAnsi="標楷體" w:hint="eastAsia"/>
                <w:b/>
                <w:color w:val="000000" w:themeColor="text1"/>
                <w:sz w:val="24"/>
                <w:szCs w:val="24"/>
              </w:rPr>
              <w:t>）</w:t>
            </w:r>
          </w:p>
        </w:tc>
        <w:tc>
          <w:tcPr>
            <w:tcW w:w="1560" w:type="dxa"/>
            <w:tcBorders>
              <w:bottom w:val="single" w:sz="4" w:space="0" w:color="auto"/>
            </w:tcBorders>
            <w:shd w:val="clear" w:color="auto" w:fill="auto"/>
            <w:vAlign w:val="center"/>
          </w:tcPr>
          <w:p w:rsidR="00036B7A" w:rsidRPr="00D41D30" w:rsidRDefault="00036B7A" w:rsidP="00036B7A">
            <w:pPr>
              <w:adjustRightInd w:val="0"/>
              <w:snapToGrid w:val="0"/>
              <w:jc w:val="center"/>
              <w:rPr>
                <w:rFonts w:hAnsi="標楷體"/>
                <w:b/>
                <w:color w:val="000000" w:themeColor="text1"/>
                <w:sz w:val="24"/>
                <w:szCs w:val="24"/>
              </w:rPr>
            </w:pPr>
            <w:r w:rsidRPr="00D41D30">
              <w:rPr>
                <w:rFonts w:hAnsi="標楷體" w:hint="eastAsia"/>
                <w:b/>
                <w:color w:val="000000" w:themeColor="text1"/>
                <w:sz w:val="24"/>
                <w:szCs w:val="24"/>
              </w:rPr>
              <w:t>占整體教育經費比率</w:t>
            </w:r>
          </w:p>
        </w:tc>
      </w:tr>
      <w:tr w:rsidR="00036B7A" w:rsidRPr="00D41D30" w:rsidTr="005B0BEF">
        <w:trPr>
          <w:trHeight w:val="511"/>
        </w:trPr>
        <w:tc>
          <w:tcPr>
            <w:tcW w:w="428" w:type="dxa"/>
            <w:vMerge w:val="restart"/>
            <w:vAlign w:val="center"/>
          </w:tcPr>
          <w:p w:rsidR="00036B7A" w:rsidRPr="00D41D30" w:rsidRDefault="00036B7A" w:rsidP="00036B7A">
            <w:pPr>
              <w:adjustRightInd w:val="0"/>
              <w:snapToGrid w:val="0"/>
              <w:jc w:val="center"/>
              <w:rPr>
                <w:rFonts w:hAnsi="標楷體"/>
                <w:color w:val="000000" w:themeColor="text1"/>
                <w:sz w:val="24"/>
                <w:szCs w:val="24"/>
              </w:rPr>
            </w:pPr>
            <w:r w:rsidRPr="00D41D30">
              <w:rPr>
                <w:rFonts w:hAnsi="標楷體" w:hint="eastAsia"/>
                <w:bCs/>
                <w:color w:val="000000" w:themeColor="text1"/>
                <w:sz w:val="24"/>
                <w:szCs w:val="24"/>
              </w:rPr>
              <w:t>國民及學前教育</w:t>
            </w:r>
          </w:p>
        </w:tc>
        <w:tc>
          <w:tcPr>
            <w:tcW w:w="1701" w:type="dxa"/>
            <w:tcBorders>
              <w:bottom w:val="single" w:sz="4" w:space="0" w:color="auto"/>
            </w:tcBorders>
            <w:shd w:val="clear" w:color="auto" w:fill="auto"/>
            <w:vAlign w:val="center"/>
          </w:tcPr>
          <w:p w:rsidR="00036B7A" w:rsidRPr="00D41D30" w:rsidRDefault="00036B7A" w:rsidP="00036B7A">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學前教育</w:t>
            </w:r>
          </w:p>
        </w:tc>
        <w:tc>
          <w:tcPr>
            <w:tcW w:w="4394" w:type="dxa"/>
            <w:tcBorders>
              <w:bottom w:val="single" w:sz="4" w:space="0" w:color="auto"/>
            </w:tcBorders>
            <w:shd w:val="clear" w:color="auto" w:fill="auto"/>
            <w:vAlign w:val="center"/>
          </w:tcPr>
          <w:p w:rsidR="00036B7A" w:rsidRPr="00D41D30" w:rsidRDefault="00036B7A" w:rsidP="008F5F43">
            <w:pPr>
              <w:adjustRightInd w:val="0"/>
              <w:snapToGrid w:val="0"/>
              <w:rPr>
                <w:rFonts w:hAnsi="標楷體"/>
                <w:color w:val="000000" w:themeColor="text1"/>
                <w:sz w:val="24"/>
                <w:szCs w:val="24"/>
              </w:rPr>
            </w:pPr>
            <w:r w:rsidRPr="00D41D30">
              <w:rPr>
                <w:rFonts w:hAnsi="標楷體" w:hint="eastAsia"/>
                <w:color w:val="000000" w:themeColor="text1"/>
                <w:sz w:val="24"/>
                <w:szCs w:val="24"/>
                <w:lang w:eastAsia="zh-HK"/>
              </w:rPr>
              <w:t>幼兒園</w:t>
            </w:r>
            <w:r w:rsidR="000C5DDA" w:rsidRPr="00D41D30">
              <w:rPr>
                <w:rFonts w:hAnsi="標楷體" w:hint="eastAsia"/>
                <w:color w:val="000000" w:themeColor="text1"/>
                <w:sz w:val="24"/>
                <w:szCs w:val="24"/>
                <w:lang w:eastAsia="zh-HK"/>
              </w:rPr>
              <w:t>：</w:t>
            </w:r>
            <w:r w:rsidRPr="00D41D30">
              <w:rPr>
                <w:rFonts w:hAnsi="標楷體" w:hint="eastAsia"/>
                <w:color w:val="000000" w:themeColor="text1"/>
                <w:sz w:val="24"/>
                <w:szCs w:val="24"/>
              </w:rPr>
              <w:t>539,404</w:t>
            </w:r>
          </w:p>
        </w:tc>
        <w:tc>
          <w:tcPr>
            <w:tcW w:w="1701" w:type="dxa"/>
            <w:tcBorders>
              <w:bottom w:val="single" w:sz="4" w:space="0" w:color="auto"/>
            </w:tcBorders>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kern w:val="0"/>
                <w:sz w:val="24"/>
                <w:szCs w:val="24"/>
              </w:rPr>
              <w:t>219</w:t>
            </w:r>
            <w:r w:rsidR="000C5DDA" w:rsidRPr="00D41D30">
              <w:rPr>
                <w:rFonts w:hAnsi="標楷體" w:hint="eastAsia"/>
                <w:color w:val="000000" w:themeColor="text1"/>
                <w:kern w:val="0"/>
                <w:sz w:val="24"/>
                <w:szCs w:val="24"/>
              </w:rPr>
              <w:t>.</w:t>
            </w:r>
            <w:r w:rsidRPr="00D41D30">
              <w:rPr>
                <w:rFonts w:hAnsi="標楷體" w:hint="eastAsia"/>
                <w:color w:val="000000" w:themeColor="text1"/>
                <w:kern w:val="0"/>
                <w:sz w:val="24"/>
                <w:szCs w:val="24"/>
              </w:rPr>
              <w:t>32</w:t>
            </w:r>
          </w:p>
        </w:tc>
        <w:tc>
          <w:tcPr>
            <w:tcW w:w="1560" w:type="dxa"/>
            <w:tcBorders>
              <w:bottom w:val="single" w:sz="4" w:space="0" w:color="auto"/>
            </w:tcBorders>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sz w:val="24"/>
                <w:szCs w:val="24"/>
              </w:rPr>
              <w:t>9.05%</w:t>
            </w:r>
          </w:p>
        </w:tc>
      </w:tr>
      <w:tr w:rsidR="00036B7A" w:rsidRPr="00D41D30" w:rsidTr="005B0BEF">
        <w:trPr>
          <w:trHeight w:val="606"/>
        </w:trPr>
        <w:tc>
          <w:tcPr>
            <w:tcW w:w="428" w:type="dxa"/>
            <w:vMerge/>
          </w:tcPr>
          <w:p w:rsidR="00036B7A" w:rsidRPr="00D41D30" w:rsidRDefault="00036B7A" w:rsidP="00036B7A">
            <w:pPr>
              <w:adjustRightInd w:val="0"/>
              <w:snapToGrid w:val="0"/>
              <w:rPr>
                <w:rFonts w:hAnsi="標楷體"/>
                <w:color w:val="000000" w:themeColor="text1"/>
                <w:sz w:val="24"/>
                <w:szCs w:val="24"/>
              </w:rPr>
            </w:pPr>
          </w:p>
        </w:tc>
        <w:tc>
          <w:tcPr>
            <w:tcW w:w="1701" w:type="dxa"/>
            <w:shd w:val="clear" w:color="auto" w:fill="auto"/>
            <w:vAlign w:val="center"/>
          </w:tcPr>
          <w:p w:rsidR="00036B7A" w:rsidRPr="00D41D30" w:rsidRDefault="00036B7A" w:rsidP="00036B7A">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國民小學</w:t>
            </w:r>
          </w:p>
        </w:tc>
        <w:tc>
          <w:tcPr>
            <w:tcW w:w="4394" w:type="dxa"/>
            <w:shd w:val="clear" w:color="auto" w:fill="auto"/>
            <w:vAlign w:val="center"/>
          </w:tcPr>
          <w:p w:rsidR="00036B7A" w:rsidRPr="00D41D30" w:rsidRDefault="00036B7A" w:rsidP="008F5F43">
            <w:pPr>
              <w:adjustRightInd w:val="0"/>
              <w:snapToGrid w:val="0"/>
              <w:ind w:left="780" w:hangingChars="300" w:hanging="780"/>
              <w:rPr>
                <w:rFonts w:hAnsi="標楷體"/>
                <w:color w:val="000000" w:themeColor="text1"/>
                <w:sz w:val="24"/>
                <w:szCs w:val="24"/>
              </w:rPr>
            </w:pPr>
            <w:r w:rsidRPr="00D41D30">
              <w:rPr>
                <w:rFonts w:hAnsi="標楷體" w:hint="eastAsia"/>
                <w:color w:val="000000" w:themeColor="text1"/>
                <w:sz w:val="24"/>
                <w:szCs w:val="24"/>
                <w:lang w:eastAsia="zh-HK"/>
              </w:rPr>
              <w:t>國小</w:t>
            </w:r>
            <w:r w:rsidR="000C5DDA" w:rsidRPr="00D41D30">
              <w:rPr>
                <w:rFonts w:hAnsi="標楷體" w:hint="eastAsia"/>
                <w:color w:val="000000" w:themeColor="text1"/>
                <w:sz w:val="24"/>
                <w:szCs w:val="24"/>
                <w:lang w:eastAsia="zh-HK"/>
              </w:rPr>
              <w:t>：</w:t>
            </w:r>
            <w:r w:rsidRPr="00D41D30">
              <w:rPr>
                <w:rFonts w:hAnsi="標楷體" w:hint="eastAsia"/>
                <w:color w:val="000000" w:themeColor="text1"/>
                <w:sz w:val="24"/>
                <w:szCs w:val="24"/>
              </w:rPr>
              <w:t>1,158,557</w:t>
            </w:r>
          </w:p>
          <w:p w:rsidR="00036B7A" w:rsidRPr="00D41D30" w:rsidRDefault="00036B7A" w:rsidP="008F5F43">
            <w:pPr>
              <w:adjustRightInd w:val="0"/>
              <w:snapToGrid w:val="0"/>
              <w:rPr>
                <w:rFonts w:hAnsi="標楷體"/>
                <w:color w:val="000000" w:themeColor="text1"/>
                <w:sz w:val="24"/>
                <w:szCs w:val="24"/>
              </w:rPr>
            </w:pPr>
            <w:r w:rsidRPr="00D41D30">
              <w:rPr>
                <w:rFonts w:hAnsi="標楷體" w:hint="eastAsia"/>
                <w:color w:val="000000" w:themeColor="text1"/>
                <w:sz w:val="24"/>
                <w:szCs w:val="24"/>
                <w:lang w:eastAsia="zh-HK"/>
              </w:rPr>
              <w:t>國小補校</w:t>
            </w:r>
            <w:r w:rsidRPr="00D41D30">
              <w:rPr>
                <w:rFonts w:hAnsi="標楷體" w:hint="eastAsia"/>
                <w:color w:val="000000" w:themeColor="text1"/>
                <w:sz w:val="24"/>
                <w:szCs w:val="24"/>
              </w:rPr>
              <w:t>：9,708</w:t>
            </w:r>
          </w:p>
        </w:tc>
        <w:tc>
          <w:tcPr>
            <w:tcW w:w="1701" w:type="dxa"/>
            <w:vMerge w:val="restart"/>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kern w:val="0"/>
                <w:sz w:val="24"/>
                <w:szCs w:val="24"/>
              </w:rPr>
              <w:t>2</w:t>
            </w:r>
            <w:r w:rsidR="000C5DDA" w:rsidRPr="00D41D30">
              <w:rPr>
                <w:rFonts w:hAnsi="標楷體" w:hint="eastAsia"/>
                <w:color w:val="000000" w:themeColor="text1"/>
                <w:kern w:val="0"/>
                <w:sz w:val="24"/>
                <w:szCs w:val="24"/>
              </w:rPr>
              <w:t>,</w:t>
            </w:r>
            <w:r w:rsidRPr="00D41D30">
              <w:rPr>
                <w:rFonts w:hAnsi="標楷體" w:hint="eastAsia"/>
                <w:color w:val="000000" w:themeColor="text1"/>
                <w:kern w:val="0"/>
                <w:sz w:val="24"/>
                <w:szCs w:val="24"/>
              </w:rPr>
              <w:t>741</w:t>
            </w:r>
            <w:r w:rsidR="000C5DDA" w:rsidRPr="00D41D30">
              <w:rPr>
                <w:rFonts w:hAnsi="標楷體" w:hint="eastAsia"/>
                <w:color w:val="000000" w:themeColor="text1"/>
                <w:kern w:val="0"/>
                <w:sz w:val="24"/>
                <w:szCs w:val="24"/>
              </w:rPr>
              <w:t>.1</w:t>
            </w:r>
          </w:p>
        </w:tc>
        <w:tc>
          <w:tcPr>
            <w:tcW w:w="1560" w:type="dxa"/>
            <w:vMerge w:val="restart"/>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sz w:val="24"/>
                <w:szCs w:val="24"/>
              </w:rPr>
              <w:t>11.31%</w:t>
            </w:r>
          </w:p>
        </w:tc>
      </w:tr>
      <w:tr w:rsidR="00036B7A" w:rsidRPr="00D41D30" w:rsidTr="005B0BEF">
        <w:trPr>
          <w:trHeight w:val="698"/>
        </w:trPr>
        <w:tc>
          <w:tcPr>
            <w:tcW w:w="428" w:type="dxa"/>
            <w:vMerge/>
          </w:tcPr>
          <w:p w:rsidR="00036B7A" w:rsidRPr="00D41D30" w:rsidRDefault="00036B7A" w:rsidP="00036B7A">
            <w:pPr>
              <w:adjustRightInd w:val="0"/>
              <w:snapToGrid w:val="0"/>
              <w:rPr>
                <w:rFonts w:hAnsi="標楷體"/>
                <w:color w:val="000000" w:themeColor="text1"/>
                <w:sz w:val="24"/>
                <w:szCs w:val="24"/>
              </w:rPr>
            </w:pPr>
          </w:p>
        </w:tc>
        <w:tc>
          <w:tcPr>
            <w:tcW w:w="1701" w:type="dxa"/>
            <w:shd w:val="clear" w:color="auto" w:fill="auto"/>
            <w:vAlign w:val="center"/>
          </w:tcPr>
          <w:p w:rsidR="00036B7A" w:rsidRPr="00D41D30" w:rsidRDefault="00036B7A" w:rsidP="00036B7A">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國民中學</w:t>
            </w:r>
          </w:p>
        </w:tc>
        <w:tc>
          <w:tcPr>
            <w:tcW w:w="4394" w:type="dxa"/>
            <w:shd w:val="clear" w:color="auto" w:fill="auto"/>
            <w:vAlign w:val="center"/>
          </w:tcPr>
          <w:p w:rsidR="00036B7A" w:rsidRPr="00D41D30" w:rsidRDefault="00036B7A" w:rsidP="008F5F43">
            <w:pPr>
              <w:adjustRightInd w:val="0"/>
              <w:snapToGrid w:val="0"/>
              <w:rPr>
                <w:rFonts w:hAnsi="標楷體"/>
                <w:color w:val="000000" w:themeColor="text1"/>
                <w:sz w:val="24"/>
                <w:szCs w:val="24"/>
              </w:rPr>
            </w:pPr>
            <w:r w:rsidRPr="00D41D30">
              <w:rPr>
                <w:rFonts w:hAnsi="標楷體" w:hint="eastAsia"/>
                <w:color w:val="000000" w:themeColor="text1"/>
                <w:sz w:val="24"/>
                <w:szCs w:val="24"/>
                <w:lang w:eastAsia="zh-HK"/>
              </w:rPr>
              <w:t>國中</w:t>
            </w:r>
            <w:r w:rsidR="000C5DDA" w:rsidRPr="00D41D30">
              <w:rPr>
                <w:rFonts w:hAnsi="標楷體" w:hint="eastAsia"/>
                <w:color w:val="000000" w:themeColor="text1"/>
                <w:sz w:val="24"/>
                <w:szCs w:val="24"/>
                <w:lang w:eastAsia="zh-HK"/>
              </w:rPr>
              <w:t>：</w:t>
            </w:r>
            <w:r w:rsidRPr="00D41D30">
              <w:rPr>
                <w:rFonts w:hAnsi="標楷體" w:hint="eastAsia"/>
                <w:color w:val="000000" w:themeColor="text1"/>
                <w:sz w:val="24"/>
                <w:szCs w:val="24"/>
              </w:rPr>
              <w:t>624,407</w:t>
            </w:r>
          </w:p>
          <w:p w:rsidR="00036B7A" w:rsidRPr="00D41D30" w:rsidRDefault="00036B7A" w:rsidP="008F5F43">
            <w:pPr>
              <w:adjustRightInd w:val="0"/>
              <w:snapToGrid w:val="0"/>
              <w:rPr>
                <w:rFonts w:hAnsi="標楷體"/>
                <w:color w:val="000000" w:themeColor="text1"/>
                <w:sz w:val="24"/>
                <w:szCs w:val="24"/>
              </w:rPr>
            </w:pPr>
            <w:r w:rsidRPr="00D41D30">
              <w:rPr>
                <w:rFonts w:hAnsi="標楷體" w:hint="eastAsia"/>
                <w:color w:val="000000" w:themeColor="text1"/>
                <w:sz w:val="24"/>
                <w:szCs w:val="24"/>
                <w:lang w:eastAsia="zh-HK"/>
              </w:rPr>
              <w:t>國中補校</w:t>
            </w:r>
            <w:r w:rsidR="000C5DDA" w:rsidRPr="00D41D30">
              <w:rPr>
                <w:rFonts w:hAnsi="標楷體" w:hint="eastAsia"/>
                <w:color w:val="000000" w:themeColor="text1"/>
                <w:sz w:val="24"/>
                <w:szCs w:val="24"/>
                <w:lang w:eastAsia="zh-HK"/>
              </w:rPr>
              <w:t>：</w:t>
            </w:r>
            <w:r w:rsidRPr="00D41D30">
              <w:rPr>
                <w:rFonts w:hAnsi="標楷體" w:hint="eastAsia"/>
                <w:color w:val="000000" w:themeColor="text1"/>
                <w:sz w:val="24"/>
                <w:szCs w:val="24"/>
              </w:rPr>
              <w:t>5,818</w:t>
            </w:r>
          </w:p>
        </w:tc>
        <w:tc>
          <w:tcPr>
            <w:tcW w:w="1701" w:type="dxa"/>
            <w:vMerge/>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p>
        </w:tc>
        <w:tc>
          <w:tcPr>
            <w:tcW w:w="1560" w:type="dxa"/>
            <w:vMerge/>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p>
        </w:tc>
      </w:tr>
      <w:tr w:rsidR="00036B7A" w:rsidRPr="00D41D30" w:rsidTr="005B0BEF">
        <w:trPr>
          <w:trHeight w:val="743"/>
        </w:trPr>
        <w:tc>
          <w:tcPr>
            <w:tcW w:w="428" w:type="dxa"/>
            <w:vMerge/>
          </w:tcPr>
          <w:p w:rsidR="00036B7A" w:rsidRPr="00D41D30" w:rsidRDefault="00036B7A" w:rsidP="00036B7A">
            <w:pPr>
              <w:adjustRightInd w:val="0"/>
              <w:snapToGrid w:val="0"/>
              <w:rPr>
                <w:rFonts w:hAnsi="標楷體"/>
                <w:color w:val="000000" w:themeColor="text1"/>
                <w:sz w:val="24"/>
                <w:szCs w:val="24"/>
              </w:rPr>
            </w:pPr>
          </w:p>
        </w:tc>
        <w:tc>
          <w:tcPr>
            <w:tcW w:w="1701" w:type="dxa"/>
            <w:shd w:val="clear" w:color="auto" w:fill="auto"/>
            <w:vAlign w:val="center"/>
          </w:tcPr>
          <w:p w:rsidR="00036B7A" w:rsidRPr="00D41D30" w:rsidRDefault="00036B7A" w:rsidP="00036B7A">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高中職</w:t>
            </w:r>
          </w:p>
        </w:tc>
        <w:tc>
          <w:tcPr>
            <w:tcW w:w="4394" w:type="dxa"/>
            <w:shd w:val="clear" w:color="auto" w:fill="auto"/>
            <w:vAlign w:val="center"/>
          </w:tcPr>
          <w:p w:rsidR="00036B7A" w:rsidRPr="00D41D30" w:rsidRDefault="00036B7A" w:rsidP="008F5F43">
            <w:pPr>
              <w:adjustRightInd w:val="0"/>
              <w:snapToGrid w:val="0"/>
              <w:rPr>
                <w:rFonts w:hAnsi="標楷體"/>
                <w:color w:val="000000" w:themeColor="text1"/>
                <w:sz w:val="24"/>
                <w:szCs w:val="24"/>
              </w:rPr>
            </w:pPr>
            <w:r w:rsidRPr="00D41D30">
              <w:rPr>
                <w:rFonts w:hAnsi="標楷體" w:hint="eastAsia"/>
                <w:color w:val="000000" w:themeColor="text1"/>
                <w:sz w:val="24"/>
                <w:szCs w:val="24"/>
                <w:lang w:eastAsia="zh-HK"/>
              </w:rPr>
              <w:t>高級中等學校</w:t>
            </w:r>
            <w:r w:rsidR="000C5DDA" w:rsidRPr="00D41D30">
              <w:rPr>
                <w:rFonts w:hAnsi="標楷體" w:hint="eastAsia"/>
                <w:color w:val="000000" w:themeColor="text1"/>
                <w:sz w:val="24"/>
                <w:szCs w:val="24"/>
                <w:lang w:eastAsia="zh-HK"/>
              </w:rPr>
              <w:t>：</w:t>
            </w:r>
            <w:r w:rsidRPr="00D41D30">
              <w:rPr>
                <w:rFonts w:hAnsi="標楷體" w:hint="eastAsia"/>
                <w:color w:val="000000" w:themeColor="text1"/>
                <w:sz w:val="24"/>
                <w:szCs w:val="24"/>
              </w:rPr>
              <w:t>696,875</w:t>
            </w:r>
          </w:p>
        </w:tc>
        <w:tc>
          <w:tcPr>
            <w:tcW w:w="1701" w:type="dxa"/>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kern w:val="0"/>
                <w:sz w:val="24"/>
                <w:szCs w:val="24"/>
              </w:rPr>
              <w:t>567</w:t>
            </w:r>
            <w:r w:rsidR="000C5DDA" w:rsidRPr="00D41D30">
              <w:rPr>
                <w:rFonts w:hAnsi="標楷體" w:hint="eastAsia"/>
                <w:color w:val="000000" w:themeColor="text1"/>
                <w:kern w:val="0"/>
                <w:sz w:val="24"/>
                <w:szCs w:val="24"/>
              </w:rPr>
              <w:t>.</w:t>
            </w:r>
            <w:r w:rsidRPr="00D41D30">
              <w:rPr>
                <w:rFonts w:hAnsi="標楷體" w:hint="eastAsia"/>
                <w:color w:val="000000" w:themeColor="text1"/>
                <w:kern w:val="0"/>
                <w:sz w:val="24"/>
                <w:szCs w:val="24"/>
              </w:rPr>
              <w:t>11</w:t>
            </w:r>
          </w:p>
        </w:tc>
        <w:tc>
          <w:tcPr>
            <w:tcW w:w="1560" w:type="dxa"/>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sz w:val="24"/>
                <w:szCs w:val="24"/>
              </w:rPr>
              <w:t>23.41%</w:t>
            </w:r>
          </w:p>
        </w:tc>
      </w:tr>
      <w:tr w:rsidR="00036B7A" w:rsidRPr="00D41D30" w:rsidTr="005B0BEF">
        <w:trPr>
          <w:trHeight w:val="936"/>
        </w:trPr>
        <w:tc>
          <w:tcPr>
            <w:tcW w:w="2129" w:type="dxa"/>
            <w:gridSpan w:val="2"/>
            <w:vAlign w:val="center"/>
          </w:tcPr>
          <w:p w:rsidR="00036B7A" w:rsidRPr="00D41D30" w:rsidRDefault="00036B7A" w:rsidP="000C5DDA">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高等教育</w:t>
            </w:r>
          </w:p>
        </w:tc>
        <w:tc>
          <w:tcPr>
            <w:tcW w:w="4394" w:type="dxa"/>
            <w:shd w:val="clear" w:color="auto" w:fill="auto"/>
            <w:vAlign w:val="center"/>
          </w:tcPr>
          <w:p w:rsidR="00036B7A" w:rsidRPr="00D41D30" w:rsidRDefault="00036B7A" w:rsidP="008F5F43">
            <w:pPr>
              <w:adjustRightInd w:val="0"/>
              <w:snapToGrid w:val="0"/>
              <w:rPr>
                <w:rFonts w:hAnsi="標楷體"/>
                <w:color w:val="000000" w:themeColor="text1"/>
                <w:sz w:val="24"/>
                <w:szCs w:val="24"/>
              </w:rPr>
            </w:pPr>
            <w:r w:rsidRPr="00D41D30">
              <w:rPr>
                <w:rFonts w:hAnsi="標楷體"/>
                <w:color w:val="000000" w:themeColor="text1"/>
                <w:sz w:val="24"/>
                <w:szCs w:val="24"/>
              </w:rPr>
              <w:t>124</w:t>
            </w:r>
            <w:r w:rsidRPr="00D41D30">
              <w:rPr>
                <w:rFonts w:hAnsi="標楷體" w:hint="eastAsia"/>
                <w:color w:val="000000" w:themeColor="text1"/>
                <w:sz w:val="24"/>
                <w:szCs w:val="24"/>
              </w:rPr>
              <w:t>萬</w:t>
            </w:r>
            <w:r w:rsidRPr="00D41D30">
              <w:rPr>
                <w:rFonts w:hAnsi="標楷體"/>
                <w:color w:val="000000" w:themeColor="text1"/>
                <w:sz w:val="24"/>
                <w:szCs w:val="24"/>
              </w:rPr>
              <w:t>4,822</w:t>
            </w:r>
            <w:r w:rsidRPr="00D41D30">
              <w:rPr>
                <w:rFonts w:hAnsi="標楷體" w:hint="eastAsia"/>
                <w:color w:val="000000" w:themeColor="text1"/>
                <w:sz w:val="24"/>
                <w:szCs w:val="24"/>
              </w:rPr>
              <w:t>（備註1）</w:t>
            </w:r>
          </w:p>
        </w:tc>
        <w:tc>
          <w:tcPr>
            <w:tcW w:w="1701" w:type="dxa"/>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color w:val="000000" w:themeColor="text1"/>
                <w:sz w:val="24"/>
                <w:szCs w:val="24"/>
              </w:rPr>
              <w:t>1,00</w:t>
            </w:r>
            <w:r w:rsidRPr="00D41D30">
              <w:rPr>
                <w:rFonts w:hAnsi="標楷體" w:hint="eastAsia"/>
                <w:color w:val="000000" w:themeColor="text1"/>
                <w:sz w:val="24"/>
                <w:szCs w:val="24"/>
              </w:rPr>
              <w:t>5</w:t>
            </w:r>
            <w:r w:rsidR="000C5DDA" w:rsidRPr="00D41D30">
              <w:rPr>
                <w:rFonts w:hAnsi="標楷體" w:hint="eastAsia"/>
                <w:color w:val="000000" w:themeColor="text1"/>
                <w:sz w:val="24"/>
                <w:szCs w:val="24"/>
              </w:rPr>
              <w:t>.82</w:t>
            </w:r>
            <w:r w:rsidRPr="00D41D30">
              <w:rPr>
                <w:rFonts w:hAnsi="標楷體" w:hint="eastAsia"/>
                <w:color w:val="000000" w:themeColor="text1"/>
                <w:sz w:val="24"/>
                <w:szCs w:val="24"/>
              </w:rPr>
              <w:t>（備註2）</w:t>
            </w:r>
          </w:p>
        </w:tc>
        <w:tc>
          <w:tcPr>
            <w:tcW w:w="1560" w:type="dxa"/>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sz w:val="24"/>
                <w:szCs w:val="24"/>
              </w:rPr>
              <w:t>41.51%</w:t>
            </w:r>
          </w:p>
        </w:tc>
      </w:tr>
      <w:tr w:rsidR="00036B7A" w:rsidRPr="00D41D30" w:rsidTr="005B0BEF">
        <w:trPr>
          <w:trHeight w:val="1020"/>
        </w:trPr>
        <w:tc>
          <w:tcPr>
            <w:tcW w:w="2129" w:type="dxa"/>
            <w:gridSpan w:val="2"/>
            <w:vAlign w:val="center"/>
          </w:tcPr>
          <w:p w:rsidR="00036B7A" w:rsidRPr="00D41D30" w:rsidRDefault="00036B7A" w:rsidP="00036B7A">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lastRenderedPageBreak/>
              <w:t>終身教育</w:t>
            </w:r>
          </w:p>
          <w:p w:rsidR="00036B7A" w:rsidRPr="00D41D30" w:rsidRDefault="00B562C7" w:rsidP="00036B7A">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w:t>
            </w:r>
            <w:r w:rsidR="00036B7A" w:rsidRPr="00D41D30">
              <w:rPr>
                <w:rFonts w:hAnsi="標楷體" w:hint="eastAsia"/>
                <w:color w:val="000000" w:themeColor="text1"/>
                <w:sz w:val="24"/>
                <w:szCs w:val="24"/>
              </w:rPr>
              <w:t>高齡教育經費</w:t>
            </w:r>
            <w:r w:rsidR="006B5136" w:rsidRPr="00D41D30">
              <w:rPr>
                <w:rFonts w:hAnsi="標楷體" w:hint="eastAsia"/>
                <w:color w:val="000000" w:themeColor="text1"/>
                <w:sz w:val="24"/>
                <w:szCs w:val="24"/>
              </w:rPr>
              <w:t>）</w:t>
            </w:r>
          </w:p>
        </w:tc>
        <w:tc>
          <w:tcPr>
            <w:tcW w:w="4394" w:type="dxa"/>
            <w:shd w:val="clear" w:color="auto" w:fill="auto"/>
          </w:tcPr>
          <w:p w:rsidR="000C5DDA" w:rsidRPr="00D41D30" w:rsidRDefault="00036B7A" w:rsidP="00036B7A">
            <w:pPr>
              <w:adjustRightInd w:val="0"/>
              <w:snapToGrid w:val="0"/>
              <w:rPr>
                <w:rFonts w:hAnsi="標楷體"/>
                <w:color w:val="000000" w:themeColor="text1"/>
                <w:sz w:val="24"/>
                <w:szCs w:val="24"/>
              </w:rPr>
            </w:pPr>
            <w:r w:rsidRPr="00D41D30">
              <w:rPr>
                <w:rFonts w:hAnsi="標楷體" w:hint="eastAsia"/>
                <w:color w:val="000000" w:themeColor="text1"/>
                <w:sz w:val="24"/>
                <w:szCs w:val="24"/>
              </w:rPr>
              <w:t>樂齡中心</w:t>
            </w:r>
            <w:r w:rsidR="000C5DDA" w:rsidRPr="00D41D30">
              <w:rPr>
                <w:rFonts w:hAnsi="標楷體" w:hint="eastAsia"/>
                <w:color w:val="000000" w:themeColor="text1"/>
                <w:sz w:val="24"/>
                <w:szCs w:val="24"/>
              </w:rPr>
              <w:t>：</w:t>
            </w:r>
            <w:r w:rsidRPr="00D41D30">
              <w:rPr>
                <w:rFonts w:hAnsi="標楷體" w:hint="eastAsia"/>
                <w:color w:val="000000" w:themeColor="text1"/>
                <w:sz w:val="24"/>
                <w:szCs w:val="24"/>
              </w:rPr>
              <w:t>14萬3</w:t>
            </w:r>
            <w:r w:rsidRPr="00D41D30">
              <w:rPr>
                <w:rFonts w:hAnsi="標楷體"/>
                <w:color w:val="000000" w:themeColor="text1"/>
                <w:sz w:val="24"/>
                <w:szCs w:val="24"/>
              </w:rPr>
              <w:t>,</w:t>
            </w:r>
            <w:r w:rsidRPr="00D41D30">
              <w:rPr>
                <w:rFonts w:hAnsi="標楷體" w:hint="eastAsia"/>
                <w:color w:val="000000" w:themeColor="text1"/>
                <w:sz w:val="24"/>
                <w:szCs w:val="24"/>
              </w:rPr>
              <w:t>881</w:t>
            </w:r>
            <w:r w:rsidR="00B562C7" w:rsidRPr="00D41D30">
              <w:rPr>
                <w:rFonts w:hAnsi="標楷體" w:hint="eastAsia"/>
                <w:color w:val="000000" w:themeColor="text1"/>
                <w:sz w:val="24"/>
                <w:szCs w:val="24"/>
              </w:rPr>
              <w:t>（</w:t>
            </w:r>
            <w:r w:rsidRPr="00D41D30">
              <w:rPr>
                <w:rFonts w:hAnsi="標楷體" w:hint="eastAsia"/>
                <w:color w:val="000000" w:themeColor="text1"/>
                <w:sz w:val="24"/>
                <w:szCs w:val="24"/>
              </w:rPr>
              <w:t>系列課程學員數，不含單場次推廣及服務人數</w:t>
            </w:r>
            <w:r w:rsidR="006B5136" w:rsidRPr="00D41D30">
              <w:rPr>
                <w:rFonts w:hAnsi="標楷體" w:hint="eastAsia"/>
                <w:color w:val="000000" w:themeColor="text1"/>
                <w:sz w:val="24"/>
                <w:szCs w:val="24"/>
              </w:rPr>
              <w:t>）</w:t>
            </w:r>
          </w:p>
          <w:p w:rsidR="000C5DDA" w:rsidRPr="00D41D30" w:rsidRDefault="00036B7A" w:rsidP="00036B7A">
            <w:pPr>
              <w:adjustRightInd w:val="0"/>
              <w:snapToGrid w:val="0"/>
              <w:rPr>
                <w:rFonts w:hAnsi="標楷體"/>
                <w:color w:val="000000" w:themeColor="text1"/>
                <w:sz w:val="24"/>
                <w:szCs w:val="24"/>
              </w:rPr>
            </w:pPr>
            <w:r w:rsidRPr="00D41D30">
              <w:rPr>
                <w:rFonts w:hAnsi="標楷體" w:hint="eastAsia"/>
                <w:color w:val="000000" w:themeColor="text1"/>
                <w:sz w:val="24"/>
                <w:szCs w:val="24"/>
              </w:rPr>
              <w:t>樂齡大學</w:t>
            </w:r>
            <w:r w:rsidR="000C5DDA" w:rsidRPr="00D41D30">
              <w:rPr>
                <w:rFonts w:hAnsi="標楷體" w:hint="eastAsia"/>
                <w:color w:val="000000" w:themeColor="text1"/>
                <w:sz w:val="24"/>
                <w:szCs w:val="24"/>
              </w:rPr>
              <w:t>：</w:t>
            </w:r>
            <w:r w:rsidRPr="00D41D30">
              <w:rPr>
                <w:rFonts w:hAnsi="標楷體" w:hint="eastAsia"/>
                <w:color w:val="000000" w:themeColor="text1"/>
                <w:sz w:val="24"/>
                <w:szCs w:val="24"/>
              </w:rPr>
              <w:t>4</w:t>
            </w:r>
            <w:r w:rsidRPr="00D41D30">
              <w:rPr>
                <w:rFonts w:hAnsi="標楷體"/>
                <w:color w:val="000000" w:themeColor="text1"/>
                <w:sz w:val="24"/>
                <w:szCs w:val="24"/>
              </w:rPr>
              <w:t>,</w:t>
            </w:r>
            <w:r w:rsidRPr="00D41D30">
              <w:rPr>
                <w:rFonts w:hAnsi="標楷體" w:hint="eastAsia"/>
                <w:color w:val="000000" w:themeColor="text1"/>
                <w:sz w:val="24"/>
                <w:szCs w:val="24"/>
              </w:rPr>
              <w:t>492</w:t>
            </w:r>
          </w:p>
          <w:p w:rsidR="00036B7A" w:rsidRPr="00D41D30" w:rsidRDefault="00036B7A" w:rsidP="000C5DDA">
            <w:pPr>
              <w:adjustRightInd w:val="0"/>
              <w:snapToGrid w:val="0"/>
              <w:rPr>
                <w:rFonts w:hAnsi="標楷體"/>
                <w:color w:val="000000" w:themeColor="text1"/>
                <w:sz w:val="24"/>
                <w:szCs w:val="24"/>
              </w:rPr>
            </w:pPr>
            <w:r w:rsidRPr="00D41D30">
              <w:rPr>
                <w:rFonts w:hAnsi="標楷體" w:hint="eastAsia"/>
                <w:color w:val="000000" w:themeColor="text1"/>
                <w:sz w:val="24"/>
                <w:szCs w:val="24"/>
              </w:rPr>
              <w:t>高齡自主學習團體</w:t>
            </w:r>
            <w:r w:rsidR="000C5DDA" w:rsidRPr="00D41D30">
              <w:rPr>
                <w:rFonts w:hAnsi="標楷體" w:hint="eastAsia"/>
                <w:color w:val="000000" w:themeColor="text1"/>
                <w:sz w:val="24"/>
                <w:szCs w:val="24"/>
              </w:rPr>
              <w:t>：</w:t>
            </w: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60</w:t>
            </w:r>
            <w:r w:rsidRPr="00D41D30">
              <w:rPr>
                <w:rFonts w:hAnsi="標楷體"/>
                <w:color w:val="000000" w:themeColor="text1"/>
                <w:sz w:val="24"/>
                <w:szCs w:val="24"/>
              </w:rPr>
              <w:t>5</w:t>
            </w:r>
          </w:p>
        </w:tc>
        <w:tc>
          <w:tcPr>
            <w:tcW w:w="1701" w:type="dxa"/>
            <w:shd w:val="clear" w:color="auto" w:fill="auto"/>
            <w:vAlign w:val="center"/>
          </w:tcPr>
          <w:p w:rsidR="00036B7A" w:rsidRPr="00D41D30" w:rsidRDefault="00036B7A" w:rsidP="005B0BEF">
            <w:pPr>
              <w:adjustRightInd w:val="0"/>
              <w:snapToGrid w:val="0"/>
              <w:jc w:val="right"/>
              <w:rPr>
                <w:rFonts w:hAnsi="標楷體"/>
                <w:color w:val="000000" w:themeColor="text1"/>
                <w:sz w:val="24"/>
                <w:szCs w:val="24"/>
              </w:rPr>
            </w:pPr>
            <w:r w:rsidRPr="00D41D30">
              <w:rPr>
                <w:rFonts w:hAnsi="標楷體" w:cs="新細明體" w:hint="eastAsia"/>
                <w:color w:val="000000" w:themeColor="text1"/>
                <w:kern w:val="0"/>
                <w:sz w:val="24"/>
                <w:szCs w:val="24"/>
              </w:rPr>
              <w:t>1</w:t>
            </w:r>
            <w:r w:rsidR="000C5DDA" w:rsidRPr="00D41D30">
              <w:rPr>
                <w:rFonts w:hAnsi="標楷體" w:cs="新細明體" w:hint="eastAsia"/>
                <w:color w:val="000000" w:themeColor="text1"/>
                <w:kern w:val="0"/>
                <w:sz w:val="24"/>
                <w:szCs w:val="24"/>
              </w:rPr>
              <w:t>.</w:t>
            </w:r>
            <w:r w:rsidRPr="00D41D30">
              <w:rPr>
                <w:rFonts w:hAnsi="標楷體" w:cs="新細明體" w:hint="eastAsia"/>
                <w:color w:val="000000" w:themeColor="text1"/>
                <w:kern w:val="0"/>
                <w:sz w:val="24"/>
                <w:szCs w:val="24"/>
              </w:rPr>
              <w:t>9</w:t>
            </w:r>
            <w:r w:rsidR="00B562C7" w:rsidRPr="00D41D30">
              <w:rPr>
                <w:rFonts w:hAnsi="標楷體" w:cs="新細明體" w:hint="eastAsia"/>
                <w:color w:val="000000" w:themeColor="text1"/>
                <w:kern w:val="0"/>
                <w:sz w:val="24"/>
                <w:szCs w:val="24"/>
              </w:rPr>
              <w:t>（</w:t>
            </w:r>
            <w:r w:rsidRPr="00D41D30">
              <w:rPr>
                <w:rFonts w:hAnsi="標楷體" w:cs="新細明體" w:hint="eastAsia"/>
                <w:color w:val="000000" w:themeColor="text1"/>
                <w:kern w:val="0"/>
                <w:sz w:val="24"/>
                <w:szCs w:val="24"/>
              </w:rPr>
              <w:t>備註5</w:t>
            </w:r>
            <w:r w:rsidR="006B5136" w:rsidRPr="00D41D30">
              <w:rPr>
                <w:rFonts w:hAnsi="標楷體" w:cs="新細明體" w:hint="eastAsia"/>
                <w:color w:val="000000" w:themeColor="text1"/>
                <w:kern w:val="0"/>
                <w:sz w:val="24"/>
                <w:szCs w:val="24"/>
              </w:rPr>
              <w:t>）</w:t>
            </w:r>
          </w:p>
        </w:tc>
        <w:tc>
          <w:tcPr>
            <w:tcW w:w="1560" w:type="dxa"/>
            <w:shd w:val="clear" w:color="auto" w:fill="auto"/>
            <w:vAlign w:val="center"/>
          </w:tcPr>
          <w:p w:rsidR="00036B7A" w:rsidRPr="00D41D30" w:rsidRDefault="00036B7A" w:rsidP="000C5DDA">
            <w:pPr>
              <w:adjustRightInd w:val="0"/>
              <w:snapToGrid w:val="0"/>
              <w:jc w:val="right"/>
              <w:rPr>
                <w:rFonts w:hAnsi="標楷體"/>
                <w:color w:val="000000" w:themeColor="text1"/>
                <w:sz w:val="24"/>
                <w:szCs w:val="24"/>
              </w:rPr>
            </w:pPr>
            <w:r w:rsidRPr="00D41D30">
              <w:rPr>
                <w:rFonts w:hAnsi="標楷體" w:hint="eastAsia"/>
                <w:color w:val="000000" w:themeColor="text1"/>
                <w:sz w:val="24"/>
                <w:szCs w:val="24"/>
              </w:rPr>
              <w:t>0</w:t>
            </w:r>
            <w:r w:rsidRPr="00D41D30">
              <w:rPr>
                <w:rFonts w:hAnsi="標楷體"/>
                <w:color w:val="000000" w:themeColor="text1"/>
                <w:sz w:val="24"/>
                <w:szCs w:val="24"/>
              </w:rPr>
              <w:t>.82</w:t>
            </w:r>
            <w:r w:rsidRPr="00D41D30">
              <w:rPr>
                <w:rFonts w:hAnsi="標楷體" w:hint="eastAsia"/>
                <w:color w:val="000000" w:themeColor="text1"/>
                <w:sz w:val="24"/>
                <w:szCs w:val="24"/>
              </w:rPr>
              <w:t>%</w:t>
            </w:r>
          </w:p>
        </w:tc>
      </w:tr>
      <w:tr w:rsidR="00036B7A" w:rsidRPr="00D41D30" w:rsidTr="00036B7A">
        <w:trPr>
          <w:trHeight w:val="1020"/>
        </w:trPr>
        <w:tc>
          <w:tcPr>
            <w:tcW w:w="9784" w:type="dxa"/>
            <w:gridSpan w:val="5"/>
            <w:vAlign w:val="center"/>
          </w:tcPr>
          <w:p w:rsidR="00036B7A" w:rsidRPr="00D41D30" w:rsidRDefault="00036B7A" w:rsidP="000C5DDA">
            <w:pPr>
              <w:adjustRightInd w:val="0"/>
              <w:spacing w:line="300" w:lineRule="exact"/>
              <w:ind w:leftChars="-7" w:left="865" w:hangingChars="404" w:hanging="889"/>
              <w:rPr>
                <w:rFonts w:hAnsi="標楷體" w:cs="Arial"/>
                <w:color w:val="000000" w:themeColor="text1"/>
                <w:sz w:val="20"/>
              </w:rPr>
            </w:pPr>
            <w:r w:rsidRPr="00D41D30">
              <w:rPr>
                <w:rFonts w:hAnsi="標楷體" w:hint="eastAsia"/>
                <w:color w:val="000000" w:themeColor="text1"/>
                <w:sz w:val="20"/>
              </w:rPr>
              <w:t>備註1：學生人數係依據統計處公布之</w:t>
            </w:r>
            <w:r w:rsidRPr="00D41D30">
              <w:rPr>
                <w:rFonts w:hAnsi="標楷體" w:cs="Arial"/>
                <w:color w:val="000000" w:themeColor="text1"/>
                <w:sz w:val="20"/>
              </w:rPr>
              <w:t>107學年度大專校院校別學生數</w:t>
            </w:r>
            <w:r w:rsidRPr="00D41D30">
              <w:rPr>
                <w:rFonts w:hAnsi="標楷體" w:cs="Arial" w:hint="eastAsia"/>
                <w:color w:val="000000" w:themeColor="text1"/>
                <w:sz w:val="20"/>
              </w:rPr>
              <w:t>總計。</w:t>
            </w:r>
          </w:p>
          <w:p w:rsidR="00036B7A" w:rsidRPr="00D41D30" w:rsidRDefault="00036B7A" w:rsidP="000C5DDA">
            <w:pPr>
              <w:adjustRightInd w:val="0"/>
              <w:spacing w:line="300" w:lineRule="exact"/>
              <w:ind w:leftChars="-7" w:left="815" w:hangingChars="381" w:hanging="839"/>
              <w:rPr>
                <w:rFonts w:hAnsi="標楷體" w:cs="Arial"/>
                <w:color w:val="000000" w:themeColor="text1"/>
                <w:sz w:val="20"/>
              </w:rPr>
            </w:pPr>
            <w:r w:rsidRPr="00D41D30">
              <w:rPr>
                <w:rFonts w:hAnsi="標楷體" w:hint="eastAsia"/>
                <w:color w:val="000000" w:themeColor="text1"/>
                <w:sz w:val="20"/>
              </w:rPr>
              <w:t>備註2：依據會計處每年向立法院教文會委員說明</w:t>
            </w:r>
            <w:r w:rsidR="00AD26EF" w:rsidRPr="00D41D30">
              <w:rPr>
                <w:rFonts w:hAnsi="標楷體" w:hint="eastAsia"/>
                <w:color w:val="000000" w:themeColor="text1"/>
                <w:sz w:val="20"/>
              </w:rPr>
              <w:t>該</w:t>
            </w:r>
            <w:r w:rsidRPr="00D41D30">
              <w:rPr>
                <w:rFonts w:hAnsi="標楷體" w:hint="eastAsia"/>
                <w:color w:val="000000" w:themeColor="text1"/>
                <w:sz w:val="20"/>
              </w:rPr>
              <w:t>部預算案之資料定義，高等教育經費係包含高等教育行政及督導、</w:t>
            </w:r>
            <w:r w:rsidRPr="00D41D30">
              <w:rPr>
                <w:rFonts w:hAnsi="標楷體" w:cs="微軟正黑體" w:hint="eastAsia"/>
                <w:color w:val="000000" w:themeColor="text1"/>
                <w:kern w:val="0"/>
                <w:sz w:val="20"/>
                <w:lang w:val="zh-TW"/>
              </w:rPr>
              <w:t>技術職業教育行政及督</w:t>
            </w:r>
            <w:r w:rsidRPr="00D41D30">
              <w:rPr>
                <w:rFonts w:hAnsi="標楷體" w:cs="Segoe UI"/>
                <w:color w:val="000000" w:themeColor="text1"/>
                <w:kern w:val="0"/>
                <w:sz w:val="20"/>
                <w:lang w:val="zh-TW"/>
              </w:rPr>
              <w:t>導</w:t>
            </w:r>
            <w:r w:rsidRPr="00D41D30">
              <w:rPr>
                <w:rFonts w:hAnsi="標楷體" w:hint="eastAsia"/>
                <w:color w:val="000000" w:themeColor="text1"/>
                <w:sz w:val="20"/>
              </w:rPr>
              <w:t>、</w:t>
            </w:r>
            <w:r w:rsidRPr="00D41D30">
              <w:rPr>
                <w:rFonts w:hAnsi="標楷體" w:cs="微軟正黑體" w:hint="eastAsia"/>
                <w:color w:val="000000" w:themeColor="text1"/>
                <w:kern w:val="0"/>
                <w:sz w:val="20"/>
                <w:lang w:val="zh-TW"/>
              </w:rPr>
              <w:t>國立</w:t>
            </w:r>
            <w:r w:rsidRPr="00D41D30">
              <w:rPr>
                <w:rFonts w:hAnsi="標楷體" w:cs="Segoe UI"/>
                <w:color w:val="000000" w:themeColor="text1"/>
                <w:kern w:val="0"/>
                <w:sz w:val="20"/>
                <w:lang w:val="zh-TW"/>
              </w:rPr>
              <w:t>大學校院教學與研究輔助</w:t>
            </w:r>
            <w:r w:rsidRPr="00D41D30">
              <w:rPr>
                <w:rFonts w:hAnsi="標楷體" w:cs="Segoe UI" w:hint="eastAsia"/>
                <w:color w:val="000000" w:themeColor="text1"/>
                <w:kern w:val="0"/>
                <w:sz w:val="20"/>
                <w:lang w:val="zh-TW"/>
              </w:rPr>
              <w:t>、</w:t>
            </w:r>
            <w:r w:rsidRPr="00D41D30">
              <w:rPr>
                <w:rFonts w:hAnsi="標楷體" w:cs="微軟正黑體" w:hint="eastAsia"/>
                <w:color w:val="000000" w:themeColor="text1"/>
                <w:kern w:val="0"/>
                <w:sz w:val="20"/>
                <w:lang w:val="zh-TW"/>
              </w:rPr>
              <w:t>國立</w:t>
            </w:r>
            <w:r w:rsidRPr="00D41D30">
              <w:rPr>
                <w:rFonts w:hAnsi="標楷體" w:cs="Segoe UI"/>
                <w:color w:val="000000" w:themeColor="text1"/>
                <w:kern w:val="0"/>
                <w:sz w:val="20"/>
                <w:lang w:val="zh-TW"/>
              </w:rPr>
              <w:t>大學校院校務及附設醫院基金</w:t>
            </w:r>
            <w:r w:rsidRPr="00D41D30">
              <w:rPr>
                <w:rFonts w:hAnsi="標楷體" w:hint="eastAsia"/>
                <w:color w:val="000000" w:themeColor="text1"/>
                <w:sz w:val="20"/>
              </w:rPr>
              <w:t>、大專校院轉型及退場基金、私立學校教學獎助等6項工作計畫（跨7司處），為求對外資料一致，故依會計處定義提供。</w:t>
            </w:r>
          </w:p>
          <w:p w:rsidR="00036B7A" w:rsidRPr="00D41D30" w:rsidRDefault="00036B7A" w:rsidP="000C5DDA">
            <w:pPr>
              <w:adjustRightInd w:val="0"/>
              <w:spacing w:line="300" w:lineRule="exact"/>
              <w:ind w:leftChars="17" w:left="776" w:hangingChars="326" w:hanging="718"/>
              <w:rPr>
                <w:rFonts w:hAnsi="標楷體"/>
                <w:color w:val="000000" w:themeColor="text1"/>
                <w:sz w:val="20"/>
              </w:rPr>
            </w:pPr>
            <w:r w:rsidRPr="00D41D30">
              <w:rPr>
                <w:rFonts w:hAnsi="標楷體" w:hint="eastAsia"/>
                <w:color w:val="000000" w:themeColor="text1"/>
                <w:sz w:val="20"/>
              </w:rPr>
              <w:t>備註3：108年度教育部主管教育經費</w:t>
            </w:r>
            <w:r w:rsidRPr="00D41D30">
              <w:rPr>
                <w:rFonts w:hAnsi="標楷體"/>
                <w:color w:val="000000" w:themeColor="text1"/>
                <w:sz w:val="20"/>
              </w:rPr>
              <w:t>2</w:t>
            </w:r>
            <w:r w:rsidRPr="00D41D30">
              <w:rPr>
                <w:rFonts w:hAnsi="標楷體" w:hint="eastAsia"/>
                <w:color w:val="000000" w:themeColor="text1"/>
                <w:sz w:val="20"/>
              </w:rPr>
              <w:t>42</w:t>
            </w:r>
            <w:r w:rsidRPr="00D41D30">
              <w:rPr>
                <w:rFonts w:hAnsi="標楷體"/>
                <w:color w:val="000000" w:themeColor="text1"/>
                <w:sz w:val="20"/>
              </w:rPr>
              <w:t>,</w:t>
            </w:r>
            <w:r w:rsidRPr="00D41D30">
              <w:rPr>
                <w:rFonts w:hAnsi="標楷體" w:hint="eastAsia"/>
                <w:color w:val="000000" w:themeColor="text1"/>
                <w:sz w:val="20"/>
              </w:rPr>
              <w:t>274</w:t>
            </w:r>
            <w:r w:rsidRPr="00D41D30">
              <w:rPr>
                <w:rFonts w:hAnsi="標楷體"/>
                <w:color w:val="000000" w:themeColor="text1"/>
                <w:sz w:val="20"/>
              </w:rPr>
              <w:t>,</w:t>
            </w:r>
            <w:r w:rsidRPr="00D41D30">
              <w:rPr>
                <w:rFonts w:hAnsi="標楷體" w:hint="eastAsia"/>
                <w:color w:val="000000" w:themeColor="text1"/>
                <w:sz w:val="20"/>
              </w:rPr>
              <w:t>399千元。</w:t>
            </w:r>
            <w:r w:rsidR="00B562C7" w:rsidRPr="00D41D30">
              <w:rPr>
                <w:rFonts w:hAnsi="標楷體" w:hint="eastAsia"/>
                <w:color w:val="000000" w:themeColor="text1"/>
                <w:sz w:val="20"/>
              </w:rPr>
              <w:t>（</w:t>
            </w:r>
            <w:r w:rsidRPr="00D41D30">
              <w:rPr>
                <w:rFonts w:hAnsi="標楷體" w:hint="eastAsia"/>
                <w:color w:val="000000" w:themeColor="text1"/>
                <w:sz w:val="20"/>
              </w:rPr>
              <w:t>含三署及館所</w:t>
            </w:r>
            <w:r w:rsidR="006B5136" w:rsidRPr="00D41D30">
              <w:rPr>
                <w:rFonts w:hAnsi="標楷體" w:hint="eastAsia"/>
                <w:color w:val="000000" w:themeColor="text1"/>
                <w:sz w:val="20"/>
              </w:rPr>
              <w:t>）</w:t>
            </w:r>
          </w:p>
          <w:p w:rsidR="00036B7A" w:rsidRPr="00D41D30" w:rsidRDefault="00036B7A" w:rsidP="000C5DDA">
            <w:pPr>
              <w:adjustRightInd w:val="0"/>
              <w:spacing w:line="300" w:lineRule="exact"/>
              <w:ind w:leftChars="17" w:left="895" w:hangingChars="380" w:hanging="837"/>
              <w:rPr>
                <w:rFonts w:hAnsi="標楷體"/>
                <w:color w:val="000000" w:themeColor="text1"/>
                <w:sz w:val="20"/>
              </w:rPr>
            </w:pPr>
            <w:r w:rsidRPr="00D41D30">
              <w:rPr>
                <w:rFonts w:hAnsi="標楷體" w:hint="eastAsia"/>
                <w:color w:val="000000" w:themeColor="text1"/>
                <w:sz w:val="20"/>
              </w:rPr>
              <w:t>備註4：高等教育經費包含：高等教育行政及督導、技術職業教育行政及督導、補助國立大學校院經費、私立學校教學獎助、大專校院轉型及退場基金。</w:t>
            </w:r>
          </w:p>
          <w:p w:rsidR="00036B7A" w:rsidRPr="00D41D30" w:rsidRDefault="00036B7A" w:rsidP="00AD26EF">
            <w:pPr>
              <w:adjustRightInd w:val="0"/>
              <w:spacing w:line="300" w:lineRule="exact"/>
              <w:ind w:leftChars="17" w:left="776" w:hangingChars="326" w:hanging="718"/>
              <w:rPr>
                <w:rFonts w:hAnsi="標楷體"/>
                <w:color w:val="000000" w:themeColor="text1"/>
                <w:sz w:val="26"/>
                <w:szCs w:val="26"/>
              </w:rPr>
            </w:pPr>
            <w:r w:rsidRPr="00D41D30">
              <w:rPr>
                <w:rFonts w:hAnsi="標楷體" w:hint="eastAsia"/>
                <w:color w:val="000000" w:themeColor="text1"/>
                <w:sz w:val="20"/>
              </w:rPr>
              <w:t>備註5</w:t>
            </w:r>
            <w:r w:rsidR="00AD26EF" w:rsidRPr="00D41D30">
              <w:rPr>
                <w:rFonts w:hAnsi="標楷體" w:hint="eastAsia"/>
                <w:color w:val="000000" w:themeColor="text1"/>
                <w:sz w:val="20"/>
              </w:rPr>
              <w:t>：教育部</w:t>
            </w:r>
            <w:r w:rsidRPr="00D41D30">
              <w:rPr>
                <w:rFonts w:hAnsi="標楷體" w:hint="eastAsia"/>
                <w:color w:val="000000" w:themeColor="text1"/>
                <w:sz w:val="20"/>
              </w:rPr>
              <w:t>編列「高齡教育經費」，尚包含委託計畫及民間團體補助經費。</w:t>
            </w:r>
          </w:p>
        </w:tc>
      </w:tr>
    </w:tbl>
    <w:p w:rsidR="000C5DDA" w:rsidRPr="00D41D30" w:rsidRDefault="00036B7A" w:rsidP="008F325A">
      <w:pPr>
        <w:pStyle w:val="af8"/>
        <w:rPr>
          <w:color w:val="000000" w:themeColor="text1"/>
          <w:sz w:val="24"/>
          <w:szCs w:val="24"/>
        </w:rPr>
      </w:pPr>
      <w:r w:rsidRPr="00D41D30">
        <w:rPr>
          <w:rFonts w:hint="eastAsia"/>
          <w:color w:val="000000" w:themeColor="text1"/>
        </w:rPr>
        <w:t xml:space="preserve"> </w:t>
      </w:r>
      <w:bookmarkStart w:id="932" w:name="_Toc30512530"/>
      <w:bookmarkStart w:id="933" w:name="_Toc30581238"/>
      <w:bookmarkStart w:id="934" w:name="_Toc32392511"/>
      <w:bookmarkStart w:id="935" w:name="_Toc32673702"/>
      <w:bookmarkStart w:id="936" w:name="_Toc32846565"/>
      <w:bookmarkStart w:id="937" w:name="_Toc32913808"/>
      <w:bookmarkStart w:id="938" w:name="_Toc32918484"/>
      <w:r w:rsidR="000C5DDA" w:rsidRPr="00D41D30">
        <w:rPr>
          <w:rFonts w:hint="eastAsia"/>
          <w:color w:val="000000" w:themeColor="text1"/>
          <w:sz w:val="24"/>
          <w:szCs w:val="24"/>
        </w:rPr>
        <w:t>資料來源:教育部。</w:t>
      </w:r>
      <w:bookmarkEnd w:id="932"/>
      <w:bookmarkEnd w:id="933"/>
      <w:bookmarkEnd w:id="934"/>
      <w:bookmarkEnd w:id="935"/>
      <w:bookmarkEnd w:id="936"/>
      <w:bookmarkEnd w:id="937"/>
      <w:bookmarkEnd w:id="938"/>
    </w:p>
    <w:p w:rsidR="00E77A97" w:rsidRPr="00D41D30" w:rsidRDefault="00B119DF" w:rsidP="00FF45A2">
      <w:pPr>
        <w:pStyle w:val="4"/>
        <w:spacing w:beforeLines="50" w:before="228"/>
        <w:rPr>
          <w:rFonts w:hAnsi="標楷體"/>
          <w:color w:val="000000" w:themeColor="text1"/>
          <w:sz w:val="28"/>
          <w:szCs w:val="28"/>
        </w:rPr>
      </w:pPr>
      <w:r w:rsidRPr="00D41D30">
        <w:rPr>
          <w:rFonts w:hAnsi="標楷體" w:hint="eastAsia"/>
          <w:color w:val="000000" w:themeColor="text1"/>
          <w:szCs w:val="32"/>
        </w:rPr>
        <w:t>教育部說明</w:t>
      </w:r>
      <w:r w:rsidR="00E77A97" w:rsidRPr="00D41D30">
        <w:rPr>
          <w:rFonts w:hAnsi="標楷體" w:hint="eastAsia"/>
          <w:color w:val="000000" w:themeColor="text1"/>
          <w:szCs w:val="32"/>
        </w:rPr>
        <w:t>擴增高齡教育經費之必要性</w:t>
      </w:r>
    </w:p>
    <w:p w:rsidR="00E77A97" w:rsidRPr="00D41D30" w:rsidRDefault="00E77A97" w:rsidP="00E77A97">
      <w:pPr>
        <w:pStyle w:val="32"/>
        <w:ind w:leftChars="500" w:left="1701" w:firstLineChars="189" w:firstLine="643"/>
        <w:rPr>
          <w:rFonts w:hAnsi="標楷體"/>
          <w:color w:val="000000" w:themeColor="text1"/>
          <w:szCs w:val="32"/>
        </w:rPr>
      </w:pPr>
      <w:r w:rsidRPr="00D41D30">
        <w:rPr>
          <w:rFonts w:hAnsi="標楷體" w:hint="eastAsia"/>
          <w:color w:val="000000" w:themeColor="text1"/>
          <w:szCs w:val="32"/>
        </w:rPr>
        <w:t>教育部各司署依據所服務之對象，核實編列經費專款推動，惟</w:t>
      </w:r>
      <w:r w:rsidRPr="00D41D30">
        <w:rPr>
          <w:rFonts w:hint="eastAsia"/>
          <w:color w:val="000000" w:themeColor="text1"/>
          <w:szCs w:val="32"/>
        </w:rPr>
        <w:t>近年來</w:t>
      </w:r>
      <w:r w:rsidRPr="00D41D30">
        <w:rPr>
          <w:rFonts w:hAnsi="標楷體" w:hint="eastAsia"/>
          <w:color w:val="000000" w:themeColor="text1"/>
          <w:szCs w:val="32"/>
        </w:rPr>
        <w:t>國內高齡化的趨勢嚴峻，因應人口增加及讓民眾提早因應超高齡社會的趨勢，高齡教育經費可考量逐年酌調。</w:t>
      </w:r>
    </w:p>
    <w:p w:rsidR="00D73DDB" w:rsidRPr="00D41D30" w:rsidRDefault="00D73DDB" w:rsidP="00D73DDB">
      <w:pPr>
        <w:pStyle w:val="3"/>
        <w:spacing w:beforeLines="50" w:before="228"/>
        <w:ind w:left="1360" w:hanging="680"/>
        <w:rPr>
          <w:rFonts w:hAnsi="標楷體"/>
          <w:color w:val="000000" w:themeColor="text1"/>
          <w:szCs w:val="32"/>
        </w:rPr>
      </w:pPr>
      <w:bookmarkStart w:id="939" w:name="_Toc30512531"/>
      <w:bookmarkStart w:id="940" w:name="_Toc30581239"/>
      <w:bookmarkStart w:id="941" w:name="_Toc32392512"/>
      <w:bookmarkStart w:id="942" w:name="_Toc32673703"/>
      <w:bookmarkStart w:id="943" w:name="_Toc32846566"/>
      <w:bookmarkStart w:id="944" w:name="_Toc32913809"/>
      <w:bookmarkStart w:id="945" w:name="_Toc32918485"/>
      <w:bookmarkStart w:id="946" w:name="_Toc33011775"/>
      <w:r w:rsidRPr="00D41D30">
        <w:rPr>
          <w:rFonts w:hAnsi="標楷體" w:hint="eastAsia"/>
          <w:color w:val="000000" w:themeColor="text1"/>
          <w:szCs w:val="32"/>
        </w:rPr>
        <w:t>樂齡學習所服務之國民，係以55歲以上為實施對象，依據內政部108年9月統計，全國55歲以上中高齡者為739萬6,018人，占總人口數31.35%，高齡教育相關推動經費應按人口比率逐年調整。相關規劃或預期作為為何？除因應高齡人口增加而有擴增高齡教育經費之必要外，請就業務推動上規劃分析說明擴增高齡教育經費之必要性。</w:t>
      </w:r>
      <w:bookmarkEnd w:id="939"/>
      <w:bookmarkEnd w:id="940"/>
      <w:bookmarkEnd w:id="941"/>
      <w:bookmarkEnd w:id="942"/>
      <w:bookmarkEnd w:id="943"/>
      <w:bookmarkEnd w:id="944"/>
      <w:bookmarkEnd w:id="945"/>
      <w:bookmarkEnd w:id="946"/>
    </w:p>
    <w:p w:rsidR="00D73DDB" w:rsidRPr="00D41D30" w:rsidRDefault="00D73DDB" w:rsidP="00D73DDB">
      <w:pPr>
        <w:pStyle w:val="4"/>
        <w:rPr>
          <w:rFonts w:hAnsi="標楷體"/>
          <w:color w:val="000000" w:themeColor="text1"/>
          <w:szCs w:val="32"/>
        </w:rPr>
      </w:pPr>
      <w:r w:rsidRPr="00D41D30">
        <w:rPr>
          <w:rFonts w:hAnsi="標楷體" w:hint="eastAsia"/>
          <w:color w:val="000000" w:themeColor="text1"/>
          <w:szCs w:val="32"/>
        </w:rPr>
        <w:t>國內中高齡人口約近84%為</w:t>
      </w:r>
      <w:r w:rsidR="00B562C7" w:rsidRPr="00D41D30">
        <w:rPr>
          <w:rFonts w:hAnsi="標楷體" w:hint="eastAsia"/>
          <w:color w:val="000000" w:themeColor="text1"/>
          <w:szCs w:val="32"/>
        </w:rPr>
        <w:t>（</w:t>
      </w:r>
      <w:r w:rsidRPr="00D41D30">
        <w:rPr>
          <w:rFonts w:hAnsi="標楷體" w:hint="eastAsia"/>
          <w:color w:val="000000" w:themeColor="text1"/>
          <w:szCs w:val="32"/>
        </w:rPr>
        <w:t>亞</w:t>
      </w:r>
      <w:r w:rsidR="006B5136" w:rsidRPr="00D41D30">
        <w:rPr>
          <w:rFonts w:hAnsi="標楷體" w:hint="eastAsia"/>
          <w:color w:val="000000" w:themeColor="text1"/>
          <w:szCs w:val="32"/>
        </w:rPr>
        <w:t>）</w:t>
      </w:r>
      <w:r w:rsidRPr="00D41D30">
        <w:rPr>
          <w:rFonts w:hAnsi="標楷體" w:hint="eastAsia"/>
          <w:color w:val="000000" w:themeColor="text1"/>
          <w:szCs w:val="32"/>
        </w:rPr>
        <w:t>健康人口，透過終身學習，有助於延長個人第三年齡及減少醫療支出，樂齡學習涉及廣大高齡者學習權益，包含偏鄉及離島與原民地區，且已納入終身學習法推動範疇，為匯聚115年臺灣超高齡社會創意構想及前瞻教育策略，加強各中央部會</w:t>
      </w:r>
      <w:r w:rsidRPr="00D41D30">
        <w:rPr>
          <w:rFonts w:hAnsi="標楷體" w:hint="eastAsia"/>
          <w:color w:val="000000" w:themeColor="text1"/>
          <w:szCs w:val="32"/>
        </w:rPr>
        <w:lastRenderedPageBreak/>
        <w:t>之間的橫向聯繫及民間組織合作交流，</w:t>
      </w:r>
      <w:r w:rsidR="00AD26EF" w:rsidRPr="00D41D30">
        <w:rPr>
          <w:rFonts w:hAnsi="標楷體" w:hint="eastAsia"/>
          <w:color w:val="000000" w:themeColor="text1"/>
          <w:szCs w:val="32"/>
        </w:rPr>
        <w:t>該</w:t>
      </w:r>
      <w:r w:rsidRPr="00D41D30">
        <w:rPr>
          <w:rFonts w:hAnsi="標楷體" w:hint="eastAsia"/>
          <w:color w:val="000000" w:themeColor="text1"/>
          <w:szCs w:val="32"/>
        </w:rPr>
        <w:t>部於108年9月辦理「高齡教育高峰會議：迎向超高齡臺灣，建構全樂齡社會」，就如何完善高齡教育體系、如何創新高齡教育課程與實施模式、如何提升高齡教育專業人力、高齡教育計畫跨域創新、如何跨領域推廣超高齡社會前瞻教育理念等5個主題進行相關討論。</w:t>
      </w:r>
    </w:p>
    <w:p w:rsidR="00D73DDB" w:rsidRPr="00D41D30" w:rsidRDefault="00D73DDB" w:rsidP="00D73DDB">
      <w:pPr>
        <w:pStyle w:val="4"/>
        <w:rPr>
          <w:rFonts w:hAnsi="標楷體"/>
          <w:color w:val="000000" w:themeColor="text1"/>
          <w:szCs w:val="32"/>
        </w:rPr>
      </w:pPr>
      <w:r w:rsidRPr="00D41D30">
        <w:rPr>
          <w:rFonts w:hAnsi="標楷體" w:hint="eastAsia"/>
          <w:color w:val="000000" w:themeColor="text1"/>
          <w:szCs w:val="32"/>
        </w:rPr>
        <w:t>因應臺灣即將邁入超高齡社會，各界對於提高高齡教育預算以提升講師鐘點費及補助專人辦理樂齡學習工作，呼聲甚高。為預為未來準備，教育部於有限之經費下，致力推動高齡教育，未來仍將持續爭取增編高齡教育經費，在整體教育政策推動考量下若能增編高齡教育預算，規劃朝下列方向推動：</w:t>
      </w:r>
    </w:p>
    <w:p w:rsidR="00D73DDB" w:rsidRPr="00D41D30" w:rsidRDefault="00D73DDB" w:rsidP="00D73DDB">
      <w:pPr>
        <w:pStyle w:val="5"/>
        <w:rPr>
          <w:color w:val="000000" w:themeColor="text1"/>
        </w:rPr>
      </w:pPr>
      <w:r w:rsidRPr="00D41D30">
        <w:rPr>
          <w:rFonts w:hint="eastAsia"/>
          <w:color w:val="000000" w:themeColor="text1"/>
        </w:rPr>
        <w:t>顧及高齡長者學習權益，持續深化推動樂齡學習現有體系及強化高齡自主學習團體帶領人人才培訓，機構及非機構之模式通力合作，以打造友善高齡學習環境為目標。</w:t>
      </w:r>
    </w:p>
    <w:p w:rsidR="00D73DDB" w:rsidRPr="00D41D30" w:rsidRDefault="00D73DDB" w:rsidP="00D73DDB">
      <w:pPr>
        <w:pStyle w:val="5"/>
        <w:rPr>
          <w:color w:val="000000" w:themeColor="text1"/>
        </w:rPr>
      </w:pPr>
      <w:r w:rsidRPr="00D41D30">
        <w:rPr>
          <w:rFonts w:hAnsi="標楷體" w:hint="eastAsia"/>
          <w:color w:val="000000" w:themeColor="text1"/>
          <w:szCs w:val="32"/>
        </w:rPr>
        <w:t>因應國人壽命愈來愈長，未來願景將以邁向百年人生的教育設計為主軸，退休學習、失智預防、科技數位、自主學習及服務學習之趨勢相對重要，為落實推動，須培植提升國內各領域質量併重的高齡教育專業人力、推動高齡教育多元學習模式，另可加強推動整合性跨領域合作計畫及相關研究發展計畫，鼓勵高齡自主學習，擴增高齡自主學習團體，從老有所學到老有所用，加強樂齡學習應用服務，以長遠規劃推動高齡教育工作。</w:t>
      </w:r>
    </w:p>
    <w:p w:rsidR="00B119DF" w:rsidRPr="00D41D30" w:rsidRDefault="008E188A" w:rsidP="002E4F7E">
      <w:pPr>
        <w:pStyle w:val="2"/>
        <w:spacing w:beforeLines="100" w:before="457"/>
        <w:ind w:left="1020" w:hanging="680"/>
        <w:rPr>
          <w:rFonts w:hAnsi="標楷體"/>
          <w:b/>
          <w:color w:val="000000" w:themeColor="text1"/>
          <w:szCs w:val="32"/>
        </w:rPr>
      </w:pPr>
      <w:bookmarkStart w:id="947" w:name="_Toc30512532"/>
      <w:bookmarkStart w:id="948" w:name="_Toc30581240"/>
      <w:bookmarkStart w:id="949" w:name="_Toc32392513"/>
      <w:bookmarkStart w:id="950" w:name="_Toc32673704"/>
      <w:bookmarkStart w:id="951" w:name="_Toc33011776"/>
      <w:bookmarkEnd w:id="947"/>
      <w:bookmarkEnd w:id="948"/>
      <w:bookmarkEnd w:id="949"/>
      <w:bookmarkEnd w:id="950"/>
      <w:r w:rsidRPr="00D41D30">
        <w:rPr>
          <w:rFonts w:hAnsi="標楷體" w:hint="eastAsia"/>
          <w:b/>
          <w:color w:val="000000" w:themeColor="text1"/>
          <w:szCs w:val="32"/>
        </w:rPr>
        <w:lastRenderedPageBreak/>
        <w:t>衛福部長照費用編列</w:t>
      </w:r>
      <w:r w:rsidR="00A04C79" w:rsidRPr="00D41D30">
        <w:rPr>
          <w:rFonts w:hAnsi="標楷體" w:hint="eastAsia"/>
          <w:b/>
          <w:color w:val="000000" w:themeColor="text1"/>
          <w:szCs w:val="32"/>
        </w:rPr>
        <w:t>及執行概況</w:t>
      </w:r>
      <w:bookmarkEnd w:id="951"/>
    </w:p>
    <w:p w:rsidR="008E188A" w:rsidRPr="00D41D30" w:rsidRDefault="008E188A" w:rsidP="008E188A">
      <w:pPr>
        <w:pStyle w:val="3"/>
        <w:rPr>
          <w:color w:val="000000" w:themeColor="text1"/>
        </w:rPr>
      </w:pPr>
      <w:bookmarkStart w:id="952" w:name="_Toc30512534"/>
      <w:bookmarkStart w:id="953" w:name="_Toc30581242"/>
      <w:bookmarkStart w:id="954" w:name="_Toc32392515"/>
      <w:bookmarkStart w:id="955" w:name="_Toc32673706"/>
      <w:bookmarkStart w:id="956" w:name="_Toc32846568"/>
      <w:bookmarkStart w:id="957" w:name="_Toc32918487"/>
      <w:bookmarkStart w:id="958" w:name="_Toc33011777"/>
      <w:r w:rsidRPr="00D41D30">
        <w:rPr>
          <w:color w:val="000000" w:themeColor="text1"/>
        </w:rPr>
        <w:t>長照10年計畫2.0之預算編列與經費執行情形，如表</w:t>
      </w:r>
      <w:r w:rsidR="00D73DDB" w:rsidRPr="00D41D30">
        <w:rPr>
          <w:rFonts w:hint="eastAsia"/>
          <w:color w:val="000000" w:themeColor="text1"/>
        </w:rPr>
        <w:t>2</w:t>
      </w:r>
      <w:r w:rsidR="0067417F" w:rsidRPr="00D41D30">
        <w:rPr>
          <w:color w:val="000000" w:themeColor="text1"/>
        </w:rPr>
        <w:t>9</w:t>
      </w:r>
      <w:r w:rsidR="00D73DDB" w:rsidRPr="00D41D30">
        <w:rPr>
          <w:rFonts w:hint="eastAsia"/>
          <w:color w:val="000000" w:themeColor="text1"/>
        </w:rPr>
        <w:t>。</w:t>
      </w:r>
      <w:bookmarkEnd w:id="952"/>
      <w:bookmarkEnd w:id="953"/>
      <w:bookmarkEnd w:id="954"/>
      <w:bookmarkEnd w:id="955"/>
      <w:bookmarkEnd w:id="956"/>
      <w:bookmarkEnd w:id="957"/>
      <w:bookmarkEnd w:id="958"/>
    </w:p>
    <w:p w:rsidR="008E188A" w:rsidRPr="00D41D30" w:rsidRDefault="008E188A" w:rsidP="002E4F7E">
      <w:pPr>
        <w:pStyle w:val="a4"/>
        <w:ind w:left="697" w:firstLine="11"/>
        <w:rPr>
          <w:b/>
          <w:color w:val="000000" w:themeColor="text1"/>
        </w:rPr>
      </w:pPr>
      <w:r w:rsidRPr="00D41D30">
        <w:rPr>
          <w:rFonts w:ascii="Times New Roman" w:hAnsi="Times New Roman"/>
          <w:b/>
          <w:color w:val="000000" w:themeColor="text1"/>
        </w:rPr>
        <w:t>長照</w:t>
      </w:r>
      <w:r w:rsidRPr="00D41D30">
        <w:rPr>
          <w:rFonts w:ascii="Times New Roman" w:hAnsi="Times New Roman"/>
          <w:b/>
          <w:color w:val="000000" w:themeColor="text1"/>
        </w:rPr>
        <w:t>10</w:t>
      </w:r>
      <w:r w:rsidRPr="00D41D30">
        <w:rPr>
          <w:rFonts w:ascii="Times New Roman" w:hAnsi="Times New Roman"/>
          <w:b/>
          <w:color w:val="000000" w:themeColor="text1"/>
        </w:rPr>
        <w:t>年計畫</w:t>
      </w:r>
      <w:r w:rsidRPr="00D41D30">
        <w:rPr>
          <w:rFonts w:ascii="Times New Roman" w:hAnsi="Times New Roman"/>
          <w:b/>
          <w:color w:val="000000" w:themeColor="text1"/>
        </w:rPr>
        <w:t>2.0</w:t>
      </w:r>
      <w:r w:rsidRPr="00D41D30">
        <w:rPr>
          <w:rFonts w:ascii="Times New Roman" w:hAnsi="Times New Roman"/>
          <w:b/>
          <w:color w:val="000000" w:themeColor="text1"/>
        </w:rPr>
        <w:t>之預算編列與經費執行情形</w:t>
      </w:r>
    </w:p>
    <w:p w:rsidR="008E188A" w:rsidRPr="00D41D30" w:rsidRDefault="008E188A" w:rsidP="008E188A">
      <w:pPr>
        <w:pBdr>
          <w:top w:val="nil"/>
          <w:left w:val="nil"/>
          <w:bottom w:val="nil"/>
          <w:right w:val="nil"/>
          <w:between w:val="nil"/>
        </w:pBdr>
        <w:spacing w:line="480" w:lineRule="exact"/>
        <w:ind w:left="720"/>
        <w:rPr>
          <w:rFonts w:ascii="Times New Roman"/>
          <w:color w:val="000000" w:themeColor="text1"/>
          <w:sz w:val="24"/>
          <w:szCs w:val="24"/>
        </w:rPr>
      </w:pPr>
      <w:r w:rsidRPr="00D41D30">
        <w:rPr>
          <w:rFonts w:ascii="Times New Roman"/>
          <w:color w:val="000000" w:themeColor="text1"/>
          <w:szCs w:val="32"/>
        </w:rPr>
        <w:t xml:space="preserve">                                  </w:t>
      </w:r>
      <w:r w:rsidRPr="00D41D30">
        <w:rPr>
          <w:rFonts w:ascii="Times New Roman"/>
          <w:color w:val="000000" w:themeColor="text1"/>
          <w:sz w:val="24"/>
          <w:szCs w:val="24"/>
        </w:rPr>
        <w:t>單位：千元</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5"/>
        <w:gridCol w:w="3119"/>
      </w:tblGrid>
      <w:tr w:rsidR="008E188A" w:rsidRPr="00D41D30" w:rsidTr="008E188A">
        <w:trPr>
          <w:trHeight w:val="433"/>
          <w:tblHeader/>
        </w:trPr>
        <w:tc>
          <w:tcPr>
            <w:tcW w:w="112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年度</w:t>
            </w:r>
          </w:p>
        </w:tc>
        <w:tc>
          <w:tcPr>
            <w:tcW w:w="2835"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預算數</w:t>
            </w:r>
          </w:p>
        </w:tc>
        <w:tc>
          <w:tcPr>
            <w:tcW w:w="311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執行數</w:t>
            </w:r>
          </w:p>
        </w:tc>
      </w:tr>
      <w:tr w:rsidR="008E188A" w:rsidRPr="00D41D30" w:rsidTr="008E188A">
        <w:trPr>
          <w:trHeight w:val="301"/>
        </w:trPr>
        <w:tc>
          <w:tcPr>
            <w:tcW w:w="112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106</w:t>
            </w:r>
          </w:p>
        </w:tc>
        <w:tc>
          <w:tcPr>
            <w:tcW w:w="2835"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16,190,386</w:t>
            </w:r>
          </w:p>
        </w:tc>
        <w:tc>
          <w:tcPr>
            <w:tcW w:w="311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8,735,774</w:t>
            </w:r>
          </w:p>
        </w:tc>
      </w:tr>
      <w:tr w:rsidR="008E188A" w:rsidRPr="00D41D30" w:rsidTr="008E188A">
        <w:tc>
          <w:tcPr>
            <w:tcW w:w="112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107</w:t>
            </w:r>
          </w:p>
        </w:tc>
        <w:tc>
          <w:tcPr>
            <w:tcW w:w="2835"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31,949,434</w:t>
            </w:r>
          </w:p>
        </w:tc>
        <w:tc>
          <w:tcPr>
            <w:tcW w:w="311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16,315,553</w:t>
            </w:r>
          </w:p>
        </w:tc>
      </w:tr>
      <w:tr w:rsidR="008E188A" w:rsidRPr="00D41D30" w:rsidTr="008E188A">
        <w:tc>
          <w:tcPr>
            <w:tcW w:w="112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108</w:t>
            </w:r>
          </w:p>
        </w:tc>
        <w:tc>
          <w:tcPr>
            <w:tcW w:w="2835"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33,807,291</w:t>
            </w:r>
          </w:p>
        </w:tc>
        <w:tc>
          <w:tcPr>
            <w:tcW w:w="3119" w:type="dxa"/>
            <w:shd w:val="clear" w:color="auto" w:fill="auto"/>
            <w:vAlign w:val="center"/>
          </w:tcPr>
          <w:p w:rsidR="008E188A" w:rsidRPr="00D41D30" w:rsidRDefault="008E188A" w:rsidP="008E188A">
            <w:pPr>
              <w:spacing w:line="500" w:lineRule="exact"/>
              <w:jc w:val="center"/>
              <w:rPr>
                <w:rFonts w:ascii="Times New Roman"/>
                <w:color w:val="000000" w:themeColor="text1"/>
                <w:sz w:val="28"/>
                <w:szCs w:val="28"/>
              </w:rPr>
            </w:pPr>
            <w:r w:rsidRPr="00D41D30">
              <w:rPr>
                <w:rFonts w:ascii="Times New Roman"/>
                <w:color w:val="000000" w:themeColor="text1"/>
                <w:sz w:val="28"/>
                <w:szCs w:val="28"/>
              </w:rPr>
              <w:t>26,270,583</w:t>
            </w:r>
          </w:p>
        </w:tc>
      </w:tr>
    </w:tbl>
    <w:p w:rsidR="008E188A" w:rsidRPr="00D41D30" w:rsidRDefault="008E188A" w:rsidP="006D6C1A">
      <w:pPr>
        <w:pStyle w:val="af8"/>
        <w:rPr>
          <w:color w:val="000000" w:themeColor="text1"/>
          <w:sz w:val="24"/>
          <w:szCs w:val="24"/>
        </w:rPr>
      </w:pPr>
      <w:r w:rsidRPr="00D41D30">
        <w:rPr>
          <w:rFonts w:hint="eastAsia"/>
          <w:color w:val="000000" w:themeColor="text1"/>
          <w:sz w:val="24"/>
          <w:szCs w:val="24"/>
        </w:rPr>
        <w:t xml:space="preserve">    </w:t>
      </w:r>
      <w:bookmarkStart w:id="959" w:name="_Toc30512535"/>
      <w:bookmarkStart w:id="960" w:name="_Toc30581243"/>
      <w:bookmarkStart w:id="961" w:name="_Toc32392516"/>
      <w:bookmarkStart w:id="962" w:name="_Toc32673707"/>
      <w:r w:rsidR="006D6C1A" w:rsidRPr="00D41D30">
        <w:rPr>
          <w:rFonts w:hint="eastAsia"/>
          <w:color w:val="000000" w:themeColor="text1"/>
          <w:sz w:val="24"/>
          <w:szCs w:val="24"/>
        </w:rPr>
        <w:t xml:space="preserve">  </w:t>
      </w:r>
      <w:r w:rsidRPr="00D41D30">
        <w:rPr>
          <w:rFonts w:hint="eastAsia"/>
          <w:color w:val="000000" w:themeColor="text1"/>
          <w:sz w:val="24"/>
          <w:szCs w:val="24"/>
        </w:rPr>
        <w:t>資料來源:衛福部。</w:t>
      </w:r>
      <w:bookmarkEnd w:id="959"/>
      <w:bookmarkEnd w:id="960"/>
      <w:bookmarkEnd w:id="961"/>
      <w:bookmarkEnd w:id="962"/>
    </w:p>
    <w:p w:rsidR="008E188A" w:rsidRPr="00D41D30" w:rsidRDefault="008E188A" w:rsidP="00670B7B">
      <w:pPr>
        <w:pStyle w:val="3"/>
        <w:spacing w:beforeLines="50" w:before="228"/>
        <w:ind w:left="1360" w:hanging="680"/>
        <w:rPr>
          <w:rFonts w:ascii="Times New Roman" w:hAnsi="Times New Roman"/>
          <w:color w:val="000000" w:themeColor="text1"/>
          <w:szCs w:val="32"/>
        </w:rPr>
      </w:pPr>
      <w:bookmarkStart w:id="963" w:name="_Toc30512536"/>
      <w:bookmarkStart w:id="964" w:name="_Toc30581244"/>
      <w:bookmarkStart w:id="965" w:name="_Toc32392517"/>
      <w:bookmarkStart w:id="966" w:name="_Toc32673708"/>
      <w:bookmarkStart w:id="967" w:name="_Toc32846569"/>
      <w:bookmarkStart w:id="968" w:name="_Toc32918488"/>
      <w:bookmarkStart w:id="969" w:name="_Toc33011778"/>
      <w:r w:rsidRPr="00D41D30">
        <w:rPr>
          <w:rFonts w:ascii="Times New Roman" w:hAnsi="Times New Roman" w:hint="eastAsia"/>
          <w:color w:val="000000" w:themeColor="text1"/>
          <w:szCs w:val="32"/>
        </w:rPr>
        <w:t>該</w:t>
      </w:r>
      <w:r w:rsidRPr="00D41D30">
        <w:rPr>
          <w:rFonts w:ascii="Times New Roman" w:hAnsi="Times New Roman"/>
          <w:color w:val="000000" w:themeColor="text1"/>
          <w:szCs w:val="32"/>
        </w:rPr>
        <w:t>部推動長期照顧服務，針對「健康、亞健康、衰弱」及「失智、失能、重病末期、臥病在床」兩者間經費編列</w:t>
      </w:r>
      <w:r w:rsidRPr="00D41D30">
        <w:rPr>
          <w:rFonts w:ascii="Times New Roman" w:hAnsi="Times New Roman" w:hint="eastAsia"/>
          <w:color w:val="000000" w:themeColor="text1"/>
          <w:szCs w:val="32"/>
        </w:rPr>
        <w:t>情形詳下表</w:t>
      </w:r>
      <w:r w:rsidR="0067417F" w:rsidRPr="00D41D30">
        <w:rPr>
          <w:rFonts w:ascii="Times New Roman" w:hAnsi="Times New Roman"/>
          <w:color w:val="000000" w:themeColor="text1"/>
          <w:szCs w:val="32"/>
        </w:rPr>
        <w:t>30</w:t>
      </w:r>
      <w:r w:rsidR="00670B7B" w:rsidRPr="00D41D30">
        <w:rPr>
          <w:rFonts w:ascii="Times New Roman" w:hAnsi="Times New Roman" w:hint="eastAsia"/>
          <w:color w:val="000000" w:themeColor="text1"/>
          <w:szCs w:val="32"/>
        </w:rPr>
        <w:t>、</w:t>
      </w:r>
      <w:r w:rsidR="00670B7B" w:rsidRPr="00D41D30">
        <w:rPr>
          <w:rFonts w:ascii="Times New Roman" w:hAnsi="Times New Roman" w:hint="eastAsia"/>
          <w:color w:val="000000" w:themeColor="text1"/>
          <w:szCs w:val="32"/>
        </w:rPr>
        <w:t>3</w:t>
      </w:r>
      <w:r w:rsidR="0067417F" w:rsidRPr="00D41D30">
        <w:rPr>
          <w:rFonts w:ascii="Times New Roman" w:hAnsi="Times New Roman"/>
          <w:color w:val="000000" w:themeColor="text1"/>
          <w:szCs w:val="32"/>
        </w:rPr>
        <w:t>1</w:t>
      </w:r>
      <w:r w:rsidR="00670B7B" w:rsidRPr="00D41D30">
        <w:rPr>
          <w:rFonts w:ascii="Times New Roman" w:hAnsi="Times New Roman" w:hint="eastAsia"/>
          <w:color w:val="000000" w:themeColor="text1"/>
          <w:szCs w:val="32"/>
        </w:rPr>
        <w:t>。</w:t>
      </w:r>
      <w:bookmarkEnd w:id="963"/>
      <w:bookmarkEnd w:id="964"/>
      <w:bookmarkEnd w:id="965"/>
      <w:bookmarkEnd w:id="966"/>
      <w:bookmarkEnd w:id="967"/>
      <w:bookmarkEnd w:id="968"/>
      <w:bookmarkEnd w:id="969"/>
    </w:p>
    <w:p w:rsidR="00806A57" w:rsidRPr="00D41D30" w:rsidRDefault="00806A57" w:rsidP="00806A57">
      <w:pPr>
        <w:pStyle w:val="1"/>
        <w:numPr>
          <w:ilvl w:val="0"/>
          <w:numId w:val="0"/>
        </w:numPr>
        <w:ind w:left="2381" w:hanging="2381"/>
        <w:rPr>
          <w:color w:val="000000" w:themeColor="text1"/>
        </w:rPr>
      </w:pPr>
    </w:p>
    <w:p w:rsidR="00806A57" w:rsidRPr="00D41D30" w:rsidRDefault="00806A57" w:rsidP="00806A57">
      <w:pPr>
        <w:pStyle w:val="1"/>
        <w:numPr>
          <w:ilvl w:val="0"/>
          <w:numId w:val="0"/>
        </w:numPr>
        <w:ind w:left="2381" w:hanging="2381"/>
        <w:rPr>
          <w:color w:val="000000" w:themeColor="text1"/>
        </w:rPr>
      </w:pPr>
    </w:p>
    <w:p w:rsidR="00806A57" w:rsidRPr="00D41D30" w:rsidRDefault="00806A57" w:rsidP="00806A57">
      <w:pPr>
        <w:pStyle w:val="1"/>
        <w:numPr>
          <w:ilvl w:val="0"/>
          <w:numId w:val="0"/>
        </w:numPr>
        <w:ind w:left="2381" w:hanging="2381"/>
        <w:rPr>
          <w:color w:val="000000" w:themeColor="text1"/>
        </w:rPr>
      </w:pPr>
    </w:p>
    <w:p w:rsidR="008E188A" w:rsidRPr="00D41D30" w:rsidRDefault="00670B7B" w:rsidP="00670B7B">
      <w:pPr>
        <w:pStyle w:val="a4"/>
        <w:ind w:left="697" w:hanging="697"/>
        <w:rPr>
          <w:b/>
          <w:color w:val="000000" w:themeColor="text1"/>
        </w:rPr>
      </w:pPr>
      <w:r w:rsidRPr="00D41D30">
        <w:rPr>
          <w:rFonts w:ascii="Times New Roman" w:hAnsi="Times New Roman" w:hint="eastAsia"/>
          <w:b/>
          <w:color w:val="000000" w:themeColor="text1"/>
        </w:rPr>
        <w:t>衛福部長期照顧服務</w:t>
      </w:r>
      <w:r w:rsidRPr="00D41D30">
        <w:rPr>
          <w:rFonts w:ascii="Times New Roman" w:hAnsi="Times New Roman"/>
          <w:b/>
          <w:color w:val="000000" w:themeColor="text1"/>
        </w:rPr>
        <w:t>「健康、亞健康、衰弱」</w:t>
      </w:r>
      <w:r w:rsidRPr="00D41D30">
        <w:rPr>
          <w:rFonts w:ascii="Times New Roman" w:hAnsi="Times New Roman" w:hint="eastAsia"/>
          <w:b/>
          <w:color w:val="000000" w:themeColor="text1"/>
        </w:rPr>
        <w:t>經費編列</w:t>
      </w:r>
    </w:p>
    <w:p w:rsidR="008E188A" w:rsidRPr="00D41D30" w:rsidRDefault="00670B7B" w:rsidP="008F325A">
      <w:pPr>
        <w:jc w:val="right"/>
        <w:rPr>
          <w:color w:val="000000" w:themeColor="text1"/>
          <w:sz w:val="24"/>
          <w:szCs w:val="24"/>
        </w:rPr>
      </w:pPr>
      <w:r w:rsidRPr="00D41D30">
        <w:rPr>
          <w:rFonts w:hint="eastAsia"/>
          <w:color w:val="000000" w:themeColor="text1"/>
        </w:rPr>
        <w:t xml:space="preserve">                                             </w:t>
      </w:r>
      <w:bookmarkStart w:id="970" w:name="_Toc30512537"/>
      <w:bookmarkStart w:id="971" w:name="_Toc30581245"/>
      <w:bookmarkStart w:id="972" w:name="_Toc32673709"/>
      <w:bookmarkStart w:id="973" w:name="_Toc32846570"/>
      <w:bookmarkStart w:id="974" w:name="_Toc32918489"/>
      <w:r w:rsidRPr="00D41D30">
        <w:rPr>
          <w:rFonts w:hint="eastAsia"/>
          <w:color w:val="000000" w:themeColor="text1"/>
          <w:sz w:val="24"/>
          <w:szCs w:val="24"/>
        </w:rPr>
        <w:t>單位:千元</w:t>
      </w:r>
      <w:bookmarkEnd w:id="970"/>
      <w:bookmarkEnd w:id="971"/>
      <w:bookmarkEnd w:id="972"/>
      <w:bookmarkEnd w:id="973"/>
      <w:bookmarkEnd w:id="974"/>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134"/>
        <w:gridCol w:w="1417"/>
        <w:gridCol w:w="1418"/>
        <w:gridCol w:w="1984"/>
        <w:gridCol w:w="1843"/>
      </w:tblGrid>
      <w:tr w:rsidR="00670B7B" w:rsidRPr="00D41D30" w:rsidTr="00781C84">
        <w:trPr>
          <w:trHeight w:val="517"/>
          <w:tblHeader/>
        </w:trPr>
        <w:tc>
          <w:tcPr>
            <w:tcW w:w="1418" w:type="dxa"/>
            <w:vAlign w:val="center"/>
          </w:tcPr>
          <w:p w:rsidR="00670B7B" w:rsidRPr="00D41D30" w:rsidRDefault="00670B7B" w:rsidP="00781C84">
            <w:pPr>
              <w:jc w:val="center"/>
              <w:rPr>
                <w:b/>
                <w:color w:val="000000" w:themeColor="text1"/>
                <w:sz w:val="28"/>
                <w:szCs w:val="28"/>
              </w:rPr>
            </w:pPr>
            <w:bookmarkStart w:id="975" w:name="_Toc30512538"/>
            <w:bookmarkStart w:id="976" w:name="_Toc30581246"/>
            <w:bookmarkStart w:id="977" w:name="_Toc32392519"/>
            <w:bookmarkStart w:id="978" w:name="_Toc32673710"/>
            <w:bookmarkStart w:id="979" w:name="_Toc32846571"/>
            <w:r w:rsidRPr="00D41D30">
              <w:rPr>
                <w:rFonts w:hint="eastAsia"/>
                <w:b/>
                <w:color w:val="000000" w:themeColor="text1"/>
                <w:sz w:val="28"/>
                <w:szCs w:val="28"/>
              </w:rPr>
              <w:t>對象</w:t>
            </w:r>
            <w:bookmarkEnd w:id="975"/>
            <w:bookmarkEnd w:id="976"/>
            <w:bookmarkEnd w:id="977"/>
            <w:bookmarkEnd w:id="978"/>
            <w:bookmarkEnd w:id="979"/>
          </w:p>
        </w:tc>
        <w:tc>
          <w:tcPr>
            <w:tcW w:w="7796" w:type="dxa"/>
            <w:gridSpan w:val="5"/>
            <w:vAlign w:val="center"/>
          </w:tcPr>
          <w:p w:rsidR="00670B7B" w:rsidRPr="00D41D30" w:rsidRDefault="00670B7B" w:rsidP="00781C84">
            <w:pPr>
              <w:jc w:val="center"/>
              <w:rPr>
                <w:b/>
                <w:color w:val="000000" w:themeColor="text1"/>
                <w:sz w:val="28"/>
                <w:szCs w:val="28"/>
              </w:rPr>
            </w:pPr>
            <w:bookmarkStart w:id="980" w:name="_Toc30512539"/>
            <w:bookmarkStart w:id="981" w:name="_Toc30581247"/>
            <w:bookmarkStart w:id="982" w:name="_Toc32392520"/>
            <w:bookmarkStart w:id="983" w:name="_Toc32673711"/>
            <w:bookmarkStart w:id="984" w:name="_Toc32846572"/>
            <w:r w:rsidRPr="00D41D30">
              <w:rPr>
                <w:rFonts w:hint="eastAsia"/>
                <w:b/>
                <w:color w:val="000000" w:themeColor="text1"/>
                <w:sz w:val="28"/>
                <w:szCs w:val="28"/>
              </w:rPr>
              <w:t>健康、亞健康、衰弱</w:t>
            </w:r>
            <w:bookmarkEnd w:id="980"/>
            <w:bookmarkEnd w:id="981"/>
            <w:bookmarkEnd w:id="982"/>
            <w:bookmarkEnd w:id="983"/>
            <w:bookmarkEnd w:id="984"/>
          </w:p>
        </w:tc>
      </w:tr>
      <w:tr w:rsidR="00670B7B" w:rsidRPr="00D41D30" w:rsidTr="00781C84">
        <w:trPr>
          <w:trHeight w:val="1262"/>
        </w:trPr>
        <w:tc>
          <w:tcPr>
            <w:tcW w:w="1418" w:type="dxa"/>
            <w:vAlign w:val="center"/>
          </w:tcPr>
          <w:p w:rsidR="00670B7B" w:rsidRPr="00D41D30" w:rsidRDefault="00670B7B" w:rsidP="00781C84">
            <w:pPr>
              <w:jc w:val="center"/>
              <w:rPr>
                <w:b/>
                <w:color w:val="000000" w:themeColor="text1"/>
                <w:sz w:val="28"/>
                <w:szCs w:val="28"/>
              </w:rPr>
            </w:pPr>
            <w:r w:rsidRPr="00D41D30">
              <w:rPr>
                <w:rFonts w:hint="eastAsia"/>
                <w:b/>
                <w:color w:val="000000" w:themeColor="text1"/>
                <w:sz w:val="28"/>
                <w:szCs w:val="28"/>
              </w:rPr>
              <w:t>服務項目</w:t>
            </w:r>
          </w:p>
        </w:tc>
        <w:tc>
          <w:tcPr>
            <w:tcW w:w="1134" w:type="dxa"/>
            <w:vAlign w:val="center"/>
          </w:tcPr>
          <w:p w:rsidR="00781C84" w:rsidRPr="00D41D30" w:rsidRDefault="00670B7B" w:rsidP="00781C84">
            <w:pPr>
              <w:jc w:val="center"/>
              <w:rPr>
                <w:color w:val="000000" w:themeColor="text1"/>
                <w:sz w:val="28"/>
                <w:szCs w:val="28"/>
              </w:rPr>
            </w:pPr>
            <w:r w:rsidRPr="00D41D30">
              <w:rPr>
                <w:rFonts w:hint="eastAsia"/>
                <w:color w:val="000000" w:themeColor="text1"/>
                <w:sz w:val="28"/>
                <w:szCs w:val="28"/>
              </w:rPr>
              <w:t>健康</w:t>
            </w:r>
          </w:p>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促進</w:t>
            </w:r>
          </w:p>
        </w:tc>
        <w:tc>
          <w:tcPr>
            <w:tcW w:w="1417"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長青學苑及老人福利活動</w:t>
            </w:r>
          </w:p>
        </w:tc>
        <w:tc>
          <w:tcPr>
            <w:tcW w:w="1418"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社區照顧關懷據點</w:t>
            </w:r>
          </w:p>
        </w:tc>
        <w:tc>
          <w:tcPr>
            <w:tcW w:w="1984"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預防及延緩失能照護整合服務計畫*</w:t>
            </w:r>
          </w:p>
        </w:tc>
        <w:tc>
          <w:tcPr>
            <w:tcW w:w="1843"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社區整體照顧服務體系（C單位）</w:t>
            </w:r>
          </w:p>
        </w:tc>
      </w:tr>
      <w:tr w:rsidR="00670B7B" w:rsidRPr="00D41D30" w:rsidTr="00781C84">
        <w:tc>
          <w:tcPr>
            <w:tcW w:w="1418" w:type="dxa"/>
            <w:vAlign w:val="center"/>
          </w:tcPr>
          <w:p w:rsidR="00670B7B" w:rsidRPr="00D41D30" w:rsidRDefault="00670B7B" w:rsidP="00781C84">
            <w:pPr>
              <w:jc w:val="center"/>
              <w:rPr>
                <w:b/>
                <w:color w:val="000000" w:themeColor="text1"/>
                <w:sz w:val="28"/>
                <w:szCs w:val="28"/>
              </w:rPr>
            </w:pPr>
            <w:r w:rsidRPr="00D41D30">
              <w:rPr>
                <w:rFonts w:hint="eastAsia"/>
                <w:b/>
                <w:color w:val="000000" w:themeColor="text1"/>
                <w:sz w:val="28"/>
                <w:szCs w:val="28"/>
              </w:rPr>
              <w:t>108年度編列經費</w:t>
            </w:r>
          </w:p>
        </w:tc>
        <w:tc>
          <w:tcPr>
            <w:tcW w:w="1134"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75,884</w:t>
            </w:r>
          </w:p>
        </w:tc>
        <w:tc>
          <w:tcPr>
            <w:tcW w:w="1417"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30,000</w:t>
            </w:r>
          </w:p>
        </w:tc>
        <w:tc>
          <w:tcPr>
            <w:tcW w:w="1418"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728,338</w:t>
            </w:r>
          </w:p>
        </w:tc>
        <w:tc>
          <w:tcPr>
            <w:tcW w:w="1984"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979,520</w:t>
            </w:r>
          </w:p>
        </w:tc>
        <w:tc>
          <w:tcPr>
            <w:tcW w:w="1843" w:type="dxa"/>
            <w:vAlign w:val="center"/>
          </w:tcPr>
          <w:p w:rsidR="00670B7B" w:rsidRPr="00D41D30" w:rsidRDefault="00670B7B" w:rsidP="00781C84">
            <w:pPr>
              <w:jc w:val="center"/>
              <w:rPr>
                <w:color w:val="000000" w:themeColor="text1"/>
                <w:sz w:val="28"/>
                <w:szCs w:val="28"/>
              </w:rPr>
            </w:pPr>
            <w:r w:rsidRPr="00D41D30">
              <w:rPr>
                <w:rFonts w:hint="eastAsia"/>
                <w:color w:val="000000" w:themeColor="text1"/>
                <w:sz w:val="28"/>
                <w:szCs w:val="28"/>
              </w:rPr>
              <w:t>2,036,251</w:t>
            </w:r>
          </w:p>
        </w:tc>
      </w:tr>
    </w:tbl>
    <w:p w:rsidR="008E188A" w:rsidRPr="00D41D30" w:rsidRDefault="00670B7B" w:rsidP="00781C84">
      <w:pPr>
        <w:rPr>
          <w:color w:val="000000" w:themeColor="text1"/>
          <w:sz w:val="24"/>
          <w:szCs w:val="24"/>
        </w:rPr>
      </w:pPr>
      <w:r w:rsidRPr="00D41D30">
        <w:rPr>
          <w:rFonts w:hint="eastAsia"/>
          <w:color w:val="000000" w:themeColor="text1"/>
        </w:rPr>
        <w:t xml:space="preserve"> </w:t>
      </w:r>
      <w:bookmarkStart w:id="985" w:name="_Toc30512540"/>
      <w:bookmarkStart w:id="986" w:name="_Toc30581248"/>
      <w:bookmarkStart w:id="987" w:name="_Toc32392521"/>
      <w:bookmarkStart w:id="988" w:name="_Toc32673712"/>
      <w:bookmarkStart w:id="989" w:name="_Toc32846573"/>
      <w:r w:rsidRPr="00D41D30">
        <w:rPr>
          <w:rFonts w:hint="eastAsia"/>
          <w:color w:val="000000" w:themeColor="text1"/>
          <w:sz w:val="24"/>
          <w:szCs w:val="24"/>
        </w:rPr>
        <w:t>資料來源:衛福部。</w:t>
      </w:r>
      <w:bookmarkEnd w:id="985"/>
      <w:bookmarkEnd w:id="986"/>
      <w:bookmarkEnd w:id="987"/>
      <w:bookmarkEnd w:id="988"/>
      <w:bookmarkEnd w:id="989"/>
    </w:p>
    <w:p w:rsidR="00670B7B" w:rsidRPr="00D41D30" w:rsidRDefault="00670B7B" w:rsidP="00670B7B">
      <w:pPr>
        <w:tabs>
          <w:tab w:val="left" w:pos="709"/>
          <w:tab w:val="left" w:pos="1036"/>
          <w:tab w:val="left" w:pos="1148"/>
        </w:tabs>
        <w:spacing w:line="320" w:lineRule="exact"/>
        <w:ind w:leftChars="-1" w:left="-3"/>
        <w:rPr>
          <w:rFonts w:ascii="Times New Roman"/>
          <w:color w:val="000000" w:themeColor="text1"/>
          <w:sz w:val="24"/>
          <w:szCs w:val="24"/>
        </w:rPr>
      </w:pPr>
      <w:r w:rsidRPr="00D41D30">
        <w:rPr>
          <w:rFonts w:ascii="Times New Roman"/>
          <w:bCs/>
          <w:color w:val="000000" w:themeColor="text1"/>
          <w:sz w:val="24"/>
          <w:szCs w:val="24"/>
        </w:rPr>
        <w:t>*108</w:t>
      </w:r>
      <w:r w:rsidRPr="00D41D30">
        <w:rPr>
          <w:rFonts w:ascii="Times New Roman"/>
          <w:bCs/>
          <w:color w:val="000000" w:themeColor="text1"/>
          <w:sz w:val="24"/>
          <w:szCs w:val="24"/>
        </w:rPr>
        <w:t>年該計畫包括「預防及延緩失能照護整合服務計畫」、「延緩失能社區營養示範據點輔導暨補助計畫」及「失智友善示範社區試辦計畫」。</w:t>
      </w:r>
    </w:p>
    <w:p w:rsidR="008E188A" w:rsidRPr="00D41D30" w:rsidRDefault="008E188A" w:rsidP="008E188A">
      <w:pPr>
        <w:pStyle w:val="1"/>
        <w:numPr>
          <w:ilvl w:val="0"/>
          <w:numId w:val="0"/>
        </w:numPr>
        <w:ind w:left="2381" w:hanging="2381"/>
        <w:rPr>
          <w:color w:val="000000" w:themeColor="text1"/>
        </w:rPr>
      </w:pPr>
    </w:p>
    <w:p w:rsidR="00781C84" w:rsidRPr="00D41D30" w:rsidRDefault="00781C84" w:rsidP="008E188A">
      <w:pPr>
        <w:pStyle w:val="1"/>
        <w:numPr>
          <w:ilvl w:val="0"/>
          <w:numId w:val="0"/>
        </w:numPr>
        <w:ind w:left="2381" w:hanging="2381"/>
        <w:rPr>
          <w:color w:val="000000" w:themeColor="text1"/>
        </w:rPr>
      </w:pPr>
    </w:p>
    <w:p w:rsidR="008E188A" w:rsidRPr="00D41D30" w:rsidRDefault="00670B7B" w:rsidP="00670B7B">
      <w:pPr>
        <w:pStyle w:val="a4"/>
        <w:ind w:left="697" w:hanging="697"/>
        <w:rPr>
          <w:b/>
          <w:color w:val="000000" w:themeColor="text1"/>
        </w:rPr>
      </w:pPr>
      <w:r w:rsidRPr="00D41D30">
        <w:rPr>
          <w:rFonts w:ascii="Times New Roman" w:hAnsi="Times New Roman" w:hint="eastAsia"/>
          <w:b/>
          <w:color w:val="000000" w:themeColor="text1"/>
        </w:rPr>
        <w:t>衛福部長期照顧服務</w:t>
      </w:r>
      <w:r w:rsidRPr="00D41D30">
        <w:rPr>
          <w:rFonts w:ascii="Times New Roman" w:hAnsi="Times New Roman"/>
          <w:b/>
          <w:color w:val="000000" w:themeColor="text1"/>
        </w:rPr>
        <w:t>「</w:t>
      </w:r>
      <w:r w:rsidRPr="00D41D30">
        <w:rPr>
          <w:rFonts w:ascii="Times New Roman" w:hAnsi="Times New Roman" w:hint="eastAsia"/>
          <w:b/>
          <w:color w:val="000000" w:themeColor="text1"/>
        </w:rPr>
        <w:t>失智、失能、重病末期、臥病在床</w:t>
      </w:r>
      <w:r w:rsidRPr="00D41D30">
        <w:rPr>
          <w:rFonts w:ascii="Times New Roman" w:hAnsi="Times New Roman"/>
          <w:b/>
          <w:color w:val="000000" w:themeColor="text1"/>
        </w:rPr>
        <w:t>」</w:t>
      </w:r>
      <w:r w:rsidRPr="00D41D30">
        <w:rPr>
          <w:rFonts w:ascii="Times New Roman" w:hAnsi="Times New Roman" w:hint="eastAsia"/>
          <w:b/>
          <w:color w:val="000000" w:themeColor="text1"/>
        </w:rPr>
        <w:t>經費編列</w:t>
      </w:r>
    </w:p>
    <w:p w:rsidR="008E188A" w:rsidRPr="00D41D30" w:rsidRDefault="008E188A" w:rsidP="008E188A">
      <w:pPr>
        <w:spacing w:line="500" w:lineRule="exact"/>
        <w:jc w:val="right"/>
        <w:rPr>
          <w:rFonts w:ascii="Times New Roman"/>
          <w:color w:val="000000" w:themeColor="text1"/>
          <w:sz w:val="24"/>
          <w:szCs w:val="32"/>
        </w:rPr>
      </w:pPr>
      <w:r w:rsidRPr="00D41D30">
        <w:rPr>
          <w:rFonts w:ascii="Times New Roman"/>
          <w:b/>
          <w:color w:val="000000" w:themeColor="text1"/>
          <w:szCs w:val="32"/>
        </w:rPr>
        <w:t xml:space="preserve">　　　</w:t>
      </w:r>
      <w:r w:rsidRPr="00D41D30">
        <w:rPr>
          <w:rFonts w:ascii="Times New Roman"/>
          <w:color w:val="000000" w:themeColor="text1"/>
          <w:sz w:val="24"/>
          <w:szCs w:val="32"/>
        </w:rPr>
        <w:t>單位：千元</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1716"/>
        <w:gridCol w:w="1347"/>
        <w:gridCol w:w="1671"/>
        <w:gridCol w:w="1687"/>
        <w:gridCol w:w="1715"/>
      </w:tblGrid>
      <w:tr w:rsidR="00670B7B" w:rsidRPr="00D41D30" w:rsidTr="008F325A">
        <w:trPr>
          <w:trHeight w:val="70"/>
        </w:trPr>
        <w:tc>
          <w:tcPr>
            <w:tcW w:w="1504" w:type="dxa"/>
            <w:vAlign w:val="center"/>
          </w:tcPr>
          <w:p w:rsidR="00670B7B" w:rsidRPr="00D41D30" w:rsidRDefault="00670B7B" w:rsidP="008F325A">
            <w:pPr>
              <w:jc w:val="center"/>
              <w:rPr>
                <w:b/>
                <w:color w:val="000000" w:themeColor="text1"/>
                <w:sz w:val="26"/>
                <w:szCs w:val="26"/>
              </w:rPr>
            </w:pPr>
            <w:bookmarkStart w:id="990" w:name="_Toc30512541"/>
            <w:bookmarkStart w:id="991" w:name="_Toc30581249"/>
            <w:bookmarkStart w:id="992" w:name="_Toc32392522"/>
            <w:bookmarkStart w:id="993" w:name="_Toc32673713"/>
            <w:bookmarkStart w:id="994" w:name="_Toc32846574"/>
            <w:bookmarkStart w:id="995" w:name="_Toc32918490"/>
            <w:r w:rsidRPr="00D41D30">
              <w:rPr>
                <w:rFonts w:hint="eastAsia"/>
                <w:b/>
                <w:color w:val="000000" w:themeColor="text1"/>
                <w:sz w:val="26"/>
                <w:szCs w:val="26"/>
              </w:rPr>
              <w:t>對象</w:t>
            </w:r>
            <w:bookmarkEnd w:id="990"/>
            <w:bookmarkEnd w:id="991"/>
            <w:bookmarkEnd w:id="992"/>
            <w:bookmarkEnd w:id="993"/>
            <w:bookmarkEnd w:id="994"/>
            <w:bookmarkEnd w:id="995"/>
          </w:p>
        </w:tc>
        <w:tc>
          <w:tcPr>
            <w:tcW w:w="8136" w:type="dxa"/>
            <w:gridSpan w:val="5"/>
          </w:tcPr>
          <w:p w:rsidR="00670B7B" w:rsidRPr="00D41D30" w:rsidRDefault="00670B7B" w:rsidP="008F325A">
            <w:pPr>
              <w:jc w:val="center"/>
              <w:rPr>
                <w:b/>
                <w:color w:val="000000" w:themeColor="text1"/>
                <w:sz w:val="24"/>
                <w:szCs w:val="24"/>
              </w:rPr>
            </w:pPr>
            <w:bookmarkStart w:id="996" w:name="_Toc30512542"/>
            <w:bookmarkStart w:id="997" w:name="_Toc30581250"/>
            <w:bookmarkStart w:id="998" w:name="_Toc32392523"/>
            <w:bookmarkStart w:id="999" w:name="_Toc32673714"/>
            <w:bookmarkStart w:id="1000" w:name="_Toc32846575"/>
            <w:bookmarkStart w:id="1001" w:name="_Toc32918491"/>
            <w:r w:rsidRPr="00D41D30">
              <w:rPr>
                <w:rFonts w:hint="eastAsia"/>
                <w:b/>
                <w:color w:val="000000" w:themeColor="text1"/>
                <w:sz w:val="26"/>
                <w:szCs w:val="26"/>
              </w:rPr>
              <w:t>失智、失能、重病末期、臥病在床</w:t>
            </w:r>
            <w:bookmarkEnd w:id="996"/>
            <w:bookmarkEnd w:id="997"/>
            <w:bookmarkEnd w:id="998"/>
            <w:bookmarkEnd w:id="999"/>
            <w:bookmarkEnd w:id="1000"/>
            <w:bookmarkEnd w:id="1001"/>
          </w:p>
        </w:tc>
      </w:tr>
      <w:tr w:rsidR="00670B7B" w:rsidRPr="00D41D30" w:rsidTr="00781C84">
        <w:trPr>
          <w:trHeight w:val="1262"/>
        </w:trPr>
        <w:tc>
          <w:tcPr>
            <w:tcW w:w="1504" w:type="dxa"/>
            <w:vAlign w:val="center"/>
          </w:tcPr>
          <w:p w:rsidR="00670B7B" w:rsidRPr="00D41D30" w:rsidRDefault="00670B7B" w:rsidP="008F325A">
            <w:pPr>
              <w:jc w:val="center"/>
              <w:rPr>
                <w:b/>
                <w:color w:val="000000" w:themeColor="text1"/>
                <w:sz w:val="26"/>
                <w:szCs w:val="26"/>
              </w:rPr>
            </w:pPr>
            <w:r w:rsidRPr="00D41D30">
              <w:rPr>
                <w:rFonts w:hint="eastAsia"/>
                <w:b/>
                <w:color w:val="000000" w:themeColor="text1"/>
                <w:sz w:val="26"/>
                <w:szCs w:val="26"/>
              </w:rPr>
              <w:t>服務項目</w:t>
            </w:r>
          </w:p>
        </w:tc>
        <w:tc>
          <w:tcPr>
            <w:tcW w:w="1716" w:type="dxa"/>
            <w:vAlign w:val="center"/>
          </w:tcPr>
          <w:p w:rsidR="00781C84" w:rsidRPr="00D41D30" w:rsidRDefault="00670B7B" w:rsidP="00781C84">
            <w:pPr>
              <w:jc w:val="center"/>
              <w:rPr>
                <w:color w:val="000000" w:themeColor="text1"/>
                <w:sz w:val="26"/>
                <w:szCs w:val="26"/>
              </w:rPr>
            </w:pPr>
            <w:r w:rsidRPr="00D41D30">
              <w:rPr>
                <w:rFonts w:hint="eastAsia"/>
                <w:color w:val="000000" w:themeColor="text1"/>
                <w:sz w:val="26"/>
                <w:szCs w:val="26"/>
              </w:rPr>
              <w:t>長照服務</w:t>
            </w:r>
          </w:p>
          <w:p w:rsidR="00670B7B" w:rsidRPr="00D41D30" w:rsidRDefault="00670B7B" w:rsidP="00781C84">
            <w:pPr>
              <w:jc w:val="center"/>
              <w:rPr>
                <w:color w:val="000000" w:themeColor="text1"/>
                <w:sz w:val="26"/>
                <w:szCs w:val="26"/>
              </w:rPr>
            </w:pPr>
            <w:r w:rsidRPr="00D41D30">
              <w:rPr>
                <w:rFonts w:hint="eastAsia"/>
                <w:color w:val="000000" w:themeColor="text1"/>
                <w:sz w:val="26"/>
                <w:szCs w:val="26"/>
              </w:rPr>
              <w:t>給付及支付</w:t>
            </w:r>
          </w:p>
        </w:tc>
        <w:tc>
          <w:tcPr>
            <w:tcW w:w="1347" w:type="dxa"/>
            <w:vAlign w:val="center"/>
          </w:tcPr>
          <w:p w:rsidR="00670B7B" w:rsidRPr="00D41D30" w:rsidRDefault="00670B7B" w:rsidP="00781C84">
            <w:pPr>
              <w:jc w:val="center"/>
              <w:rPr>
                <w:color w:val="000000" w:themeColor="text1"/>
                <w:sz w:val="26"/>
                <w:szCs w:val="26"/>
              </w:rPr>
            </w:pPr>
            <w:r w:rsidRPr="00D41D30">
              <w:rPr>
                <w:rFonts w:hint="eastAsia"/>
                <w:color w:val="000000" w:themeColor="text1"/>
                <w:sz w:val="26"/>
                <w:szCs w:val="26"/>
              </w:rPr>
              <w:t>發展失智社區照護服務</w:t>
            </w:r>
          </w:p>
        </w:tc>
        <w:tc>
          <w:tcPr>
            <w:tcW w:w="1671" w:type="dxa"/>
            <w:vAlign w:val="center"/>
          </w:tcPr>
          <w:p w:rsidR="00781C84" w:rsidRPr="00D41D30" w:rsidRDefault="00670B7B" w:rsidP="00781C84">
            <w:pPr>
              <w:jc w:val="center"/>
              <w:rPr>
                <w:color w:val="000000" w:themeColor="text1"/>
                <w:sz w:val="26"/>
                <w:szCs w:val="26"/>
              </w:rPr>
            </w:pPr>
            <w:r w:rsidRPr="00D41D30">
              <w:rPr>
                <w:rFonts w:hint="eastAsia"/>
                <w:color w:val="000000" w:themeColor="text1"/>
                <w:sz w:val="26"/>
                <w:szCs w:val="26"/>
              </w:rPr>
              <w:t>獎助居家式</w:t>
            </w:r>
          </w:p>
          <w:p w:rsidR="00670B7B" w:rsidRPr="00D41D30" w:rsidRDefault="00670B7B" w:rsidP="00781C84">
            <w:pPr>
              <w:jc w:val="center"/>
              <w:rPr>
                <w:color w:val="000000" w:themeColor="text1"/>
                <w:sz w:val="26"/>
                <w:szCs w:val="26"/>
              </w:rPr>
            </w:pPr>
            <w:r w:rsidRPr="00D41D30">
              <w:rPr>
                <w:rFonts w:hint="eastAsia"/>
                <w:color w:val="000000" w:themeColor="text1"/>
                <w:sz w:val="26"/>
                <w:szCs w:val="26"/>
              </w:rPr>
              <w:t>服務機構</w:t>
            </w:r>
          </w:p>
        </w:tc>
        <w:tc>
          <w:tcPr>
            <w:tcW w:w="1687" w:type="dxa"/>
            <w:vAlign w:val="center"/>
          </w:tcPr>
          <w:p w:rsidR="00670B7B" w:rsidRPr="00D41D30" w:rsidRDefault="00670B7B" w:rsidP="00781C84">
            <w:pPr>
              <w:jc w:val="center"/>
              <w:rPr>
                <w:color w:val="000000" w:themeColor="text1"/>
                <w:sz w:val="26"/>
                <w:szCs w:val="26"/>
              </w:rPr>
            </w:pPr>
            <w:r w:rsidRPr="00D41D30">
              <w:rPr>
                <w:rFonts w:hint="eastAsia"/>
                <w:color w:val="000000" w:themeColor="text1"/>
                <w:sz w:val="26"/>
                <w:szCs w:val="26"/>
              </w:rPr>
              <w:t>獎助社區式服務機構</w:t>
            </w:r>
          </w:p>
        </w:tc>
        <w:tc>
          <w:tcPr>
            <w:tcW w:w="1715" w:type="dxa"/>
            <w:vAlign w:val="center"/>
          </w:tcPr>
          <w:p w:rsidR="00670B7B" w:rsidRPr="00D41D30" w:rsidRDefault="00670B7B" w:rsidP="00781C84">
            <w:pPr>
              <w:jc w:val="center"/>
              <w:rPr>
                <w:color w:val="000000" w:themeColor="text1"/>
                <w:sz w:val="26"/>
                <w:szCs w:val="26"/>
              </w:rPr>
            </w:pPr>
            <w:r w:rsidRPr="00D41D30">
              <w:rPr>
                <w:rFonts w:hint="eastAsia"/>
                <w:color w:val="000000" w:themeColor="text1"/>
                <w:sz w:val="26"/>
                <w:szCs w:val="26"/>
              </w:rPr>
              <w:t>社區整體照顧服務體系（A單位）</w:t>
            </w:r>
          </w:p>
        </w:tc>
      </w:tr>
      <w:tr w:rsidR="00670B7B" w:rsidRPr="00D41D30" w:rsidTr="00781C84">
        <w:tc>
          <w:tcPr>
            <w:tcW w:w="1504" w:type="dxa"/>
            <w:vAlign w:val="center"/>
          </w:tcPr>
          <w:p w:rsidR="00781C84" w:rsidRPr="00D41D30" w:rsidRDefault="00670B7B" w:rsidP="008F325A">
            <w:pPr>
              <w:jc w:val="center"/>
              <w:rPr>
                <w:b/>
                <w:color w:val="000000" w:themeColor="text1"/>
                <w:sz w:val="26"/>
                <w:szCs w:val="26"/>
              </w:rPr>
            </w:pPr>
            <w:r w:rsidRPr="00D41D30">
              <w:rPr>
                <w:rFonts w:hint="eastAsia"/>
                <w:b/>
                <w:color w:val="000000" w:themeColor="text1"/>
                <w:sz w:val="26"/>
                <w:szCs w:val="26"/>
              </w:rPr>
              <w:t>108年度</w:t>
            </w:r>
          </w:p>
          <w:p w:rsidR="00670B7B" w:rsidRPr="00D41D30" w:rsidRDefault="00670B7B" w:rsidP="008F325A">
            <w:pPr>
              <w:jc w:val="center"/>
              <w:rPr>
                <w:b/>
                <w:color w:val="000000" w:themeColor="text1"/>
                <w:sz w:val="26"/>
                <w:szCs w:val="26"/>
              </w:rPr>
            </w:pPr>
            <w:r w:rsidRPr="00D41D30">
              <w:rPr>
                <w:rFonts w:hint="eastAsia"/>
                <w:b/>
                <w:color w:val="000000" w:themeColor="text1"/>
                <w:sz w:val="26"/>
                <w:szCs w:val="26"/>
              </w:rPr>
              <w:t>編列經費</w:t>
            </w:r>
          </w:p>
        </w:tc>
        <w:tc>
          <w:tcPr>
            <w:tcW w:w="1716" w:type="dxa"/>
            <w:vAlign w:val="center"/>
          </w:tcPr>
          <w:p w:rsidR="00670B7B" w:rsidRPr="00D41D30" w:rsidRDefault="00670B7B" w:rsidP="00781C84">
            <w:pPr>
              <w:ind w:left="600" w:hanging="600"/>
              <w:jc w:val="center"/>
              <w:rPr>
                <w:color w:val="000000" w:themeColor="text1"/>
                <w:sz w:val="24"/>
                <w:szCs w:val="24"/>
              </w:rPr>
            </w:pPr>
            <w:r w:rsidRPr="00D41D30">
              <w:rPr>
                <w:color w:val="000000" w:themeColor="text1"/>
                <w:sz w:val="24"/>
                <w:szCs w:val="24"/>
              </w:rPr>
              <w:t>19,792,818</w:t>
            </w:r>
          </w:p>
        </w:tc>
        <w:tc>
          <w:tcPr>
            <w:tcW w:w="1347" w:type="dxa"/>
            <w:vAlign w:val="center"/>
          </w:tcPr>
          <w:p w:rsidR="00670B7B" w:rsidRPr="00D41D30" w:rsidRDefault="00670B7B" w:rsidP="00781C84">
            <w:pPr>
              <w:ind w:left="600" w:hanging="600"/>
              <w:jc w:val="center"/>
              <w:rPr>
                <w:color w:val="000000" w:themeColor="text1"/>
                <w:sz w:val="24"/>
                <w:szCs w:val="24"/>
              </w:rPr>
            </w:pPr>
            <w:r w:rsidRPr="00D41D30">
              <w:rPr>
                <w:color w:val="000000" w:themeColor="text1"/>
                <w:sz w:val="24"/>
                <w:szCs w:val="24"/>
              </w:rPr>
              <w:t>910,076</w:t>
            </w:r>
          </w:p>
        </w:tc>
        <w:tc>
          <w:tcPr>
            <w:tcW w:w="1671" w:type="dxa"/>
            <w:vAlign w:val="center"/>
          </w:tcPr>
          <w:p w:rsidR="00670B7B" w:rsidRPr="00D41D30" w:rsidRDefault="00670B7B" w:rsidP="00781C84">
            <w:pPr>
              <w:ind w:left="600" w:hanging="600"/>
              <w:jc w:val="center"/>
              <w:rPr>
                <w:color w:val="000000" w:themeColor="text1"/>
                <w:sz w:val="24"/>
                <w:szCs w:val="24"/>
              </w:rPr>
            </w:pPr>
            <w:r w:rsidRPr="00D41D30">
              <w:rPr>
                <w:color w:val="000000" w:themeColor="text1"/>
                <w:sz w:val="24"/>
                <w:szCs w:val="24"/>
              </w:rPr>
              <w:t>1,296,732</w:t>
            </w:r>
          </w:p>
        </w:tc>
        <w:tc>
          <w:tcPr>
            <w:tcW w:w="1687" w:type="dxa"/>
            <w:vAlign w:val="center"/>
          </w:tcPr>
          <w:p w:rsidR="00670B7B" w:rsidRPr="00D41D30" w:rsidRDefault="00670B7B" w:rsidP="00781C84">
            <w:pPr>
              <w:ind w:left="600" w:hanging="600"/>
              <w:jc w:val="center"/>
              <w:rPr>
                <w:color w:val="000000" w:themeColor="text1"/>
                <w:sz w:val="24"/>
                <w:szCs w:val="24"/>
              </w:rPr>
            </w:pPr>
            <w:r w:rsidRPr="00D41D30">
              <w:rPr>
                <w:color w:val="000000" w:themeColor="text1"/>
                <w:sz w:val="24"/>
                <w:szCs w:val="24"/>
              </w:rPr>
              <w:t>1,065,334</w:t>
            </w:r>
          </w:p>
        </w:tc>
        <w:tc>
          <w:tcPr>
            <w:tcW w:w="1715" w:type="dxa"/>
            <w:vAlign w:val="center"/>
          </w:tcPr>
          <w:p w:rsidR="00670B7B" w:rsidRPr="00D41D30" w:rsidRDefault="00670B7B" w:rsidP="00781C84">
            <w:pPr>
              <w:ind w:left="600" w:hanging="600"/>
              <w:jc w:val="center"/>
              <w:rPr>
                <w:color w:val="000000" w:themeColor="text1"/>
                <w:sz w:val="24"/>
                <w:szCs w:val="24"/>
              </w:rPr>
            </w:pPr>
            <w:r w:rsidRPr="00D41D30">
              <w:rPr>
                <w:color w:val="000000" w:themeColor="text1"/>
                <w:sz w:val="24"/>
                <w:szCs w:val="24"/>
              </w:rPr>
              <w:t>1,363,059</w:t>
            </w:r>
          </w:p>
        </w:tc>
      </w:tr>
    </w:tbl>
    <w:p w:rsidR="008E188A" w:rsidRPr="00D41D30" w:rsidRDefault="00670B7B" w:rsidP="00670B7B">
      <w:pPr>
        <w:spacing w:line="500" w:lineRule="exact"/>
        <w:jc w:val="left"/>
        <w:rPr>
          <w:rFonts w:ascii="Times New Roman"/>
          <w:color w:val="000000" w:themeColor="text1"/>
          <w:sz w:val="24"/>
          <w:szCs w:val="32"/>
        </w:rPr>
      </w:pPr>
      <w:r w:rsidRPr="00D41D30">
        <w:rPr>
          <w:rFonts w:ascii="Times New Roman" w:hint="eastAsia"/>
          <w:color w:val="000000" w:themeColor="text1"/>
          <w:sz w:val="24"/>
          <w:szCs w:val="32"/>
        </w:rPr>
        <w:t xml:space="preserve"> </w:t>
      </w:r>
      <w:r w:rsidRPr="00D41D30">
        <w:rPr>
          <w:rFonts w:ascii="Times New Roman" w:hint="eastAsia"/>
          <w:color w:val="000000" w:themeColor="text1"/>
          <w:sz w:val="24"/>
          <w:szCs w:val="32"/>
        </w:rPr>
        <w:t>資料來源</w:t>
      </w:r>
      <w:r w:rsidRPr="00D41D30">
        <w:rPr>
          <w:rFonts w:ascii="Times New Roman" w:hint="eastAsia"/>
          <w:color w:val="000000" w:themeColor="text1"/>
          <w:sz w:val="24"/>
          <w:szCs w:val="32"/>
        </w:rPr>
        <w:t>:</w:t>
      </w:r>
      <w:r w:rsidRPr="00D41D30">
        <w:rPr>
          <w:rFonts w:ascii="Times New Roman" w:hint="eastAsia"/>
          <w:color w:val="000000" w:themeColor="text1"/>
          <w:sz w:val="24"/>
          <w:szCs w:val="32"/>
        </w:rPr>
        <w:t>衛福部。</w:t>
      </w:r>
    </w:p>
    <w:p w:rsidR="008E188A" w:rsidRPr="00D41D30" w:rsidRDefault="004645AA" w:rsidP="004645AA">
      <w:pPr>
        <w:pStyle w:val="3"/>
        <w:spacing w:beforeLines="50" w:before="228"/>
        <w:ind w:left="1360" w:hanging="680"/>
        <w:rPr>
          <w:color w:val="000000" w:themeColor="text1"/>
        </w:rPr>
      </w:pPr>
      <w:bookmarkStart w:id="1002" w:name="_Toc30512543"/>
      <w:bookmarkStart w:id="1003" w:name="_Toc30581251"/>
      <w:bookmarkStart w:id="1004" w:name="_Toc32392524"/>
      <w:bookmarkStart w:id="1005" w:name="_Toc32673715"/>
      <w:bookmarkStart w:id="1006" w:name="_Toc32846576"/>
      <w:bookmarkStart w:id="1007" w:name="_Toc32918492"/>
      <w:bookmarkStart w:id="1008" w:name="_Toc33011779"/>
      <w:r w:rsidRPr="00D41D30">
        <w:rPr>
          <w:rFonts w:hint="eastAsia"/>
          <w:color w:val="000000" w:themeColor="text1"/>
        </w:rPr>
        <w:t>衛福部長期照顧服務，為延長第三年齡、縮短第四年齡</w:t>
      </w:r>
      <w:r w:rsidRPr="00D41D30">
        <w:rPr>
          <w:rStyle w:val="aff0"/>
          <w:color w:val="000000" w:themeColor="text1"/>
        </w:rPr>
        <w:footnoteReference w:id="4"/>
      </w:r>
      <w:r w:rsidRPr="00D41D30">
        <w:rPr>
          <w:rFonts w:hint="eastAsia"/>
          <w:color w:val="000000" w:themeColor="text1"/>
        </w:rPr>
        <w:t>，以減少醫療資源及長期照顧的支出之相關推動作為</w:t>
      </w:r>
      <w:bookmarkEnd w:id="1002"/>
      <w:bookmarkEnd w:id="1003"/>
      <w:bookmarkEnd w:id="1004"/>
      <w:bookmarkEnd w:id="1005"/>
      <w:bookmarkEnd w:id="1006"/>
      <w:bookmarkEnd w:id="1007"/>
      <w:bookmarkEnd w:id="1008"/>
    </w:p>
    <w:p w:rsidR="008E188A" w:rsidRPr="00D41D30" w:rsidRDefault="008E188A" w:rsidP="008E188A">
      <w:pPr>
        <w:pStyle w:val="4"/>
        <w:rPr>
          <w:rFonts w:hAnsi="標楷體"/>
          <w:color w:val="000000" w:themeColor="text1"/>
          <w:szCs w:val="32"/>
        </w:rPr>
      </w:pPr>
      <w:r w:rsidRPr="00D41D30">
        <w:rPr>
          <w:rFonts w:hAnsi="標楷體" w:hint="eastAsia"/>
          <w:color w:val="000000" w:themeColor="text1"/>
          <w:szCs w:val="32"/>
        </w:rPr>
        <w:t>健康、亞健康及失能老人之占比，依據2010年戶口普查資料，顯示我國老年人的長期照顧需要率為12.7%，推算健康、亞健康老人占比為83.3%。</w:t>
      </w:r>
    </w:p>
    <w:p w:rsidR="008E188A" w:rsidRPr="00D41D30" w:rsidRDefault="008E188A" w:rsidP="008E188A">
      <w:pPr>
        <w:pStyle w:val="4"/>
        <w:rPr>
          <w:rFonts w:ascii="Times New Roman" w:hAnsi="Times New Roman"/>
          <w:color w:val="000000" w:themeColor="text1"/>
          <w:szCs w:val="32"/>
        </w:rPr>
      </w:pPr>
      <w:r w:rsidRPr="00D41D30">
        <w:rPr>
          <w:rFonts w:ascii="Times New Roman" w:hAnsi="Times New Roman" w:hint="eastAsia"/>
          <w:color w:val="000000" w:themeColor="text1"/>
          <w:szCs w:val="32"/>
        </w:rPr>
        <w:t>衛福部</w:t>
      </w:r>
      <w:r w:rsidRPr="00D41D30">
        <w:rPr>
          <w:rFonts w:ascii="Times New Roman" w:hAnsi="Times New Roman"/>
          <w:color w:val="000000" w:themeColor="text1"/>
          <w:szCs w:val="32"/>
        </w:rPr>
        <w:t>推動長期照顧服務，</w:t>
      </w:r>
      <w:r w:rsidRPr="00D41D30">
        <w:rPr>
          <w:rFonts w:ascii="Times New Roman" w:hAnsi="Times New Roman" w:hint="eastAsia"/>
          <w:color w:val="000000" w:themeColor="text1"/>
          <w:szCs w:val="32"/>
        </w:rPr>
        <w:t>就</w:t>
      </w:r>
      <w:r w:rsidRPr="00D41D30">
        <w:rPr>
          <w:rFonts w:ascii="Times New Roman" w:hAnsi="Times New Roman"/>
          <w:color w:val="000000" w:themeColor="text1"/>
          <w:szCs w:val="32"/>
        </w:rPr>
        <w:t>延長第三年齡、縮短第四年齡，以減少醫療資源及長期照顧的支出，最後達到成功老化、健康老化及活躍老化目標</w:t>
      </w:r>
      <w:r w:rsidRPr="00D41D30">
        <w:rPr>
          <w:rFonts w:ascii="Times New Roman" w:hAnsi="Times New Roman" w:hint="eastAsia"/>
          <w:color w:val="000000" w:themeColor="text1"/>
          <w:szCs w:val="32"/>
        </w:rPr>
        <w:t>之相關作為</w:t>
      </w:r>
    </w:p>
    <w:p w:rsidR="008E188A" w:rsidRPr="00D41D30" w:rsidRDefault="008E188A" w:rsidP="008E188A">
      <w:pPr>
        <w:pStyle w:val="4"/>
        <w:rPr>
          <w:rFonts w:ascii="Times New Roman" w:hAnsi="Times New Roman"/>
          <w:color w:val="000000" w:themeColor="text1"/>
          <w:szCs w:val="32"/>
        </w:rPr>
      </w:pPr>
      <w:r w:rsidRPr="00D41D30">
        <w:rPr>
          <w:rFonts w:ascii="Times New Roman" w:hAnsi="Times New Roman"/>
          <w:color w:val="000000" w:themeColor="text1"/>
          <w:szCs w:val="32"/>
        </w:rPr>
        <w:t>為因應高齡社會的來臨，政府除積極推動失能者的長期照顧政策外，針對健康長輩亦以健康老化、在地老化、活力老化等面向推動相關友善老人服務。截</w:t>
      </w:r>
      <w:r w:rsidRPr="00D41D30">
        <w:rPr>
          <w:rFonts w:ascii="Times New Roman" w:hAnsi="Times New Roman"/>
          <w:color w:val="000000" w:themeColor="text1"/>
          <w:spacing w:val="-10"/>
          <w:szCs w:val="32"/>
        </w:rPr>
        <w:t>至</w:t>
      </w:r>
      <w:r w:rsidRPr="00D41D30">
        <w:rPr>
          <w:rFonts w:ascii="Times New Roman" w:hAnsi="Times New Roman"/>
          <w:color w:val="000000" w:themeColor="text1"/>
          <w:spacing w:val="-10"/>
          <w:szCs w:val="32"/>
        </w:rPr>
        <w:t>108</w:t>
      </w:r>
      <w:r w:rsidRPr="00D41D30">
        <w:rPr>
          <w:rFonts w:ascii="Times New Roman" w:hAnsi="Times New Roman"/>
          <w:color w:val="000000" w:themeColor="text1"/>
          <w:spacing w:val="-10"/>
          <w:szCs w:val="32"/>
        </w:rPr>
        <w:t>年</w:t>
      </w:r>
      <w:r w:rsidRPr="00D41D30">
        <w:rPr>
          <w:rFonts w:ascii="Times New Roman" w:hAnsi="Times New Roman"/>
          <w:color w:val="000000" w:themeColor="text1"/>
          <w:spacing w:val="-10"/>
          <w:szCs w:val="32"/>
        </w:rPr>
        <w:t>10</w:t>
      </w:r>
      <w:r w:rsidRPr="00D41D30">
        <w:rPr>
          <w:rFonts w:ascii="Times New Roman" w:hAnsi="Times New Roman"/>
          <w:color w:val="000000" w:themeColor="text1"/>
          <w:spacing w:val="-10"/>
          <w:szCs w:val="32"/>
        </w:rPr>
        <w:t>月底止我國計有</w:t>
      </w:r>
      <w:r w:rsidRPr="00D41D30">
        <w:rPr>
          <w:rFonts w:ascii="Times New Roman" w:hAnsi="Times New Roman"/>
          <w:color w:val="000000" w:themeColor="text1"/>
          <w:spacing w:val="-10"/>
          <w:szCs w:val="32"/>
        </w:rPr>
        <w:t>356</w:t>
      </w:r>
      <w:r w:rsidRPr="00D41D30">
        <w:rPr>
          <w:rFonts w:ascii="Times New Roman" w:hAnsi="Times New Roman"/>
          <w:color w:val="000000" w:themeColor="text1"/>
          <w:spacing w:val="-10"/>
          <w:szCs w:val="32"/>
        </w:rPr>
        <w:t>萬</w:t>
      </w:r>
      <w:r w:rsidRPr="00D41D30">
        <w:rPr>
          <w:rFonts w:ascii="Times New Roman" w:hAnsi="Times New Roman"/>
          <w:color w:val="000000" w:themeColor="text1"/>
          <w:spacing w:val="-10"/>
          <w:szCs w:val="32"/>
        </w:rPr>
        <w:t>9,905</w:t>
      </w:r>
      <w:r w:rsidRPr="00D41D30">
        <w:rPr>
          <w:rFonts w:ascii="Times New Roman" w:hAnsi="Times New Roman" w:hint="eastAsia"/>
          <w:color w:val="000000" w:themeColor="text1"/>
          <w:spacing w:val="-10"/>
          <w:szCs w:val="32"/>
        </w:rPr>
        <w:t>名</w:t>
      </w:r>
      <w:r w:rsidRPr="00D41D30">
        <w:rPr>
          <w:rFonts w:ascii="Times New Roman" w:hAnsi="Times New Roman"/>
          <w:color w:val="000000" w:themeColor="text1"/>
          <w:spacing w:val="-10"/>
          <w:szCs w:val="32"/>
        </w:rPr>
        <w:t>老人，依據</w:t>
      </w:r>
      <w:r w:rsidRPr="00D41D30">
        <w:rPr>
          <w:rFonts w:ascii="Times New Roman" w:hAnsi="Times New Roman"/>
          <w:color w:val="000000" w:themeColor="text1"/>
          <w:szCs w:val="32"/>
        </w:rPr>
        <w:t>99</w:t>
      </w:r>
      <w:r w:rsidRPr="00D41D30">
        <w:rPr>
          <w:rFonts w:ascii="Times New Roman" w:hAnsi="Times New Roman"/>
          <w:color w:val="000000" w:themeColor="text1"/>
          <w:szCs w:val="32"/>
        </w:rPr>
        <w:t>年人口及住宅普查報告我</w:t>
      </w:r>
      <w:r w:rsidRPr="00D41D30">
        <w:rPr>
          <w:rFonts w:ascii="Times New Roman" w:hAnsi="Times New Roman"/>
          <w:color w:val="000000" w:themeColor="text1"/>
          <w:szCs w:val="32"/>
        </w:rPr>
        <w:lastRenderedPageBreak/>
        <w:t>國老人失能率為</w:t>
      </w:r>
      <w:r w:rsidRPr="00D41D30">
        <w:rPr>
          <w:rFonts w:ascii="Times New Roman" w:hAnsi="Times New Roman"/>
          <w:color w:val="000000" w:themeColor="text1"/>
          <w:szCs w:val="32"/>
        </w:rPr>
        <w:t>12.7%</w:t>
      </w:r>
      <w:r w:rsidRPr="00D41D30">
        <w:rPr>
          <w:rFonts w:ascii="Times New Roman" w:hAnsi="Times New Roman"/>
          <w:color w:val="000000" w:themeColor="text1"/>
          <w:szCs w:val="32"/>
        </w:rPr>
        <w:t>，推估我國約有</w:t>
      </w:r>
      <w:r w:rsidRPr="00D41D30">
        <w:rPr>
          <w:rFonts w:ascii="Times New Roman" w:hAnsi="Times New Roman"/>
          <w:color w:val="000000" w:themeColor="text1"/>
          <w:szCs w:val="32"/>
        </w:rPr>
        <w:t>311</w:t>
      </w:r>
      <w:r w:rsidRPr="00D41D30">
        <w:rPr>
          <w:rFonts w:ascii="Times New Roman" w:hAnsi="Times New Roman"/>
          <w:color w:val="000000" w:themeColor="text1"/>
          <w:szCs w:val="32"/>
        </w:rPr>
        <w:t>萬</w:t>
      </w:r>
      <w:r w:rsidRPr="00D41D30">
        <w:rPr>
          <w:rFonts w:ascii="Times New Roman" w:hAnsi="Times New Roman"/>
          <w:color w:val="000000" w:themeColor="text1"/>
          <w:szCs w:val="32"/>
        </w:rPr>
        <w:t>6,000</w:t>
      </w:r>
      <w:r w:rsidRPr="00D41D30">
        <w:rPr>
          <w:rFonts w:ascii="Times New Roman" w:hAnsi="Times New Roman"/>
          <w:color w:val="000000" w:themeColor="text1"/>
          <w:szCs w:val="32"/>
        </w:rPr>
        <w:t>餘名老人</w:t>
      </w:r>
      <w:r w:rsidR="00B562C7" w:rsidRPr="00D41D30">
        <w:rPr>
          <w:rFonts w:ascii="Times New Roman" w:hAnsi="Times New Roman"/>
          <w:color w:val="000000" w:themeColor="text1"/>
          <w:szCs w:val="32"/>
          <w:lang w:val="x-none" w:eastAsia="x-none"/>
        </w:rPr>
        <w:t>（</w:t>
      </w:r>
      <w:r w:rsidRPr="00D41D30">
        <w:rPr>
          <w:rFonts w:ascii="Times New Roman" w:hAnsi="Times New Roman"/>
          <w:color w:val="000000" w:themeColor="text1"/>
          <w:spacing w:val="-10"/>
          <w:szCs w:val="32"/>
        </w:rPr>
        <w:t>356</w:t>
      </w:r>
      <w:r w:rsidRPr="00D41D30">
        <w:rPr>
          <w:rFonts w:ascii="Times New Roman" w:hAnsi="Times New Roman"/>
          <w:color w:val="000000" w:themeColor="text1"/>
          <w:spacing w:val="-10"/>
          <w:szCs w:val="32"/>
        </w:rPr>
        <w:t>萬</w:t>
      </w:r>
      <w:r w:rsidRPr="00D41D30">
        <w:rPr>
          <w:rFonts w:ascii="Times New Roman" w:hAnsi="Times New Roman"/>
          <w:color w:val="000000" w:themeColor="text1"/>
          <w:spacing w:val="-10"/>
          <w:szCs w:val="32"/>
        </w:rPr>
        <w:t>9,905</w:t>
      </w:r>
      <w:r w:rsidRPr="00D41D30">
        <w:rPr>
          <w:rFonts w:ascii="Times New Roman" w:hAnsi="Times New Roman" w:hint="eastAsia"/>
          <w:color w:val="000000" w:themeColor="text1"/>
          <w:spacing w:val="-10"/>
          <w:szCs w:val="32"/>
        </w:rPr>
        <w:t>人</w:t>
      </w:r>
      <w:r w:rsidRPr="00D41D30">
        <w:rPr>
          <w:rFonts w:ascii="Times New Roman" w:hAnsi="Times New Roman"/>
          <w:color w:val="000000" w:themeColor="text1"/>
          <w:spacing w:val="-10"/>
          <w:szCs w:val="32"/>
        </w:rPr>
        <w:t>*</w:t>
      </w:r>
      <w:r w:rsidRPr="00D41D30">
        <w:rPr>
          <w:rFonts w:ascii="Times New Roman" w:hAnsi="Times New Roman"/>
          <w:color w:val="000000" w:themeColor="text1"/>
          <w:szCs w:val="32"/>
        </w:rPr>
        <w:t>87.3%</w:t>
      </w:r>
      <w:r w:rsidR="006B5136" w:rsidRPr="00D41D30">
        <w:rPr>
          <w:rFonts w:ascii="Times New Roman" w:hAnsi="Times New Roman"/>
          <w:color w:val="000000" w:themeColor="text1"/>
          <w:szCs w:val="32"/>
          <w:lang w:val="x-none" w:eastAsia="x-none"/>
        </w:rPr>
        <w:t>）</w:t>
      </w:r>
      <w:r w:rsidRPr="00D41D30">
        <w:rPr>
          <w:rFonts w:ascii="Times New Roman" w:hAnsi="Times New Roman"/>
          <w:color w:val="000000" w:themeColor="text1"/>
          <w:szCs w:val="32"/>
        </w:rPr>
        <w:t>是健康或亞健康長輩。</w:t>
      </w:r>
    </w:p>
    <w:p w:rsidR="008E188A" w:rsidRPr="00D41D30" w:rsidRDefault="008E188A" w:rsidP="008E188A">
      <w:pPr>
        <w:pStyle w:val="4"/>
        <w:rPr>
          <w:rFonts w:ascii="Times New Roman" w:hAnsi="Times New Roman"/>
          <w:color w:val="000000" w:themeColor="text1"/>
          <w:szCs w:val="32"/>
        </w:rPr>
      </w:pPr>
      <w:r w:rsidRPr="00D41D30">
        <w:rPr>
          <w:rFonts w:ascii="Times New Roman" w:hAnsi="Times New Roman"/>
          <w:color w:val="000000" w:themeColor="text1"/>
          <w:szCs w:val="32"/>
        </w:rPr>
        <w:t>針對</w:t>
      </w:r>
      <w:r w:rsidRPr="00D41D30">
        <w:rPr>
          <w:rFonts w:ascii="Times New Roman" w:hAnsi="Times New Roman"/>
          <w:color w:val="000000" w:themeColor="text1"/>
          <w:spacing w:val="-10"/>
          <w:szCs w:val="32"/>
        </w:rPr>
        <w:t>全國</w:t>
      </w:r>
      <w:r w:rsidRPr="00D41D30">
        <w:rPr>
          <w:rFonts w:ascii="Times New Roman" w:hAnsi="Times New Roman"/>
          <w:color w:val="000000" w:themeColor="text1"/>
          <w:spacing w:val="-10"/>
          <w:szCs w:val="32"/>
        </w:rPr>
        <w:t>8</w:t>
      </w:r>
      <w:r w:rsidRPr="00D41D30">
        <w:rPr>
          <w:rFonts w:ascii="Times New Roman" w:hAnsi="Times New Roman"/>
          <w:color w:val="000000" w:themeColor="text1"/>
          <w:spacing w:val="-10"/>
          <w:szCs w:val="32"/>
        </w:rPr>
        <w:t>成</w:t>
      </w:r>
      <w:r w:rsidRPr="00D41D30">
        <w:rPr>
          <w:rFonts w:ascii="Times New Roman" w:hAnsi="Times New Roman"/>
          <w:color w:val="000000" w:themeColor="text1"/>
          <w:szCs w:val="32"/>
        </w:rPr>
        <w:t>以上</w:t>
      </w:r>
      <w:r w:rsidRPr="00D41D30">
        <w:rPr>
          <w:rFonts w:ascii="Times New Roman" w:hAnsi="Times New Roman"/>
          <w:color w:val="000000" w:themeColor="text1"/>
          <w:spacing w:val="-10"/>
          <w:szCs w:val="32"/>
        </w:rPr>
        <w:t>健康、亞健康或衰弱老人的多元需求，有賴各項服務的普及，讓長輩可就近接受服務：</w:t>
      </w:r>
    </w:p>
    <w:p w:rsidR="008E188A" w:rsidRPr="00D41D30" w:rsidRDefault="008E188A" w:rsidP="008E188A">
      <w:pPr>
        <w:pStyle w:val="5"/>
        <w:rPr>
          <w:color w:val="000000" w:themeColor="text1"/>
        </w:rPr>
      </w:pPr>
      <w:r w:rsidRPr="00D41D30">
        <w:rPr>
          <w:rFonts w:ascii="Times New Roman" w:hAnsi="Times New Roman" w:hint="eastAsia"/>
          <w:color w:val="000000" w:themeColor="text1"/>
          <w:lang w:val="x-none"/>
        </w:rPr>
        <w:t>該</w:t>
      </w:r>
      <w:r w:rsidRPr="00D41D30">
        <w:rPr>
          <w:rFonts w:ascii="Times New Roman" w:hAnsi="Times New Roman"/>
          <w:color w:val="000000" w:themeColor="text1"/>
          <w:lang w:val="x-none"/>
        </w:rPr>
        <w:t>部社會及家庭署</w:t>
      </w:r>
      <w:r w:rsidRPr="00D41D30">
        <w:rPr>
          <w:rFonts w:hint="eastAsia"/>
          <w:color w:val="000000" w:themeColor="text1"/>
          <w:lang w:val="x-none"/>
        </w:rPr>
        <w:t>除設置全國</w:t>
      </w:r>
      <w:r w:rsidRPr="00D41D30">
        <w:rPr>
          <w:rFonts w:hint="eastAsia"/>
          <w:color w:val="000000" w:themeColor="text1"/>
        </w:rPr>
        <w:t>社區照顧關懷據點</w:t>
      </w:r>
      <w:r w:rsidRPr="00D41D30">
        <w:rPr>
          <w:rFonts w:hint="eastAsia"/>
          <w:color w:val="000000" w:themeColor="text1"/>
          <w:lang w:val="x-none"/>
        </w:rPr>
        <w:t>，</w:t>
      </w:r>
      <w:r w:rsidRPr="00D41D30">
        <w:rPr>
          <w:rFonts w:hint="eastAsia"/>
          <w:color w:val="000000" w:themeColor="text1"/>
        </w:rPr>
        <w:t>提供健康長者服務外，並</w:t>
      </w:r>
      <w:r w:rsidRPr="00D41D30">
        <w:rPr>
          <w:rFonts w:hint="eastAsia"/>
          <w:snapToGrid w:val="0"/>
          <w:color w:val="000000" w:themeColor="text1"/>
        </w:rPr>
        <w:t>推動各項</w:t>
      </w:r>
      <w:r w:rsidRPr="00D41D30">
        <w:rPr>
          <w:rFonts w:hint="eastAsia"/>
          <w:color w:val="000000" w:themeColor="text1"/>
        </w:rPr>
        <w:t>策略與工作項目，增進老人社會參與，包含長青學苑、</w:t>
      </w:r>
      <w:r w:rsidRPr="00D41D30">
        <w:rPr>
          <w:rFonts w:hint="eastAsia"/>
          <w:color w:val="000000" w:themeColor="text1"/>
          <w:spacing w:val="-10"/>
        </w:rPr>
        <w:t>各項敬老活動，每年約可服務近50萬名老人，提供滿足健康、亞健康或衰弱長輩社會參與的多元需求，以達到在地安老的目標。</w:t>
      </w:r>
    </w:p>
    <w:p w:rsidR="008E188A" w:rsidRPr="00D41D30" w:rsidRDefault="008E188A" w:rsidP="008E188A">
      <w:pPr>
        <w:pStyle w:val="5"/>
        <w:rPr>
          <w:rFonts w:ascii="Times New Roman" w:hAnsi="Times New Roman"/>
          <w:color w:val="000000" w:themeColor="text1"/>
          <w:szCs w:val="32"/>
        </w:rPr>
      </w:pPr>
      <w:r w:rsidRPr="00D41D30">
        <w:rPr>
          <w:rFonts w:ascii="Times New Roman" w:hAnsi="Times New Roman" w:hint="eastAsia"/>
          <w:color w:val="000000" w:themeColor="text1"/>
          <w:szCs w:val="32"/>
          <w:lang w:val="x-none"/>
        </w:rPr>
        <w:t>該</w:t>
      </w:r>
      <w:r w:rsidRPr="00D41D30">
        <w:rPr>
          <w:rFonts w:ascii="Times New Roman" w:hAnsi="Times New Roman"/>
          <w:color w:val="000000" w:themeColor="text1"/>
          <w:szCs w:val="32"/>
          <w:lang w:val="x-none"/>
        </w:rPr>
        <w:t>部國民健康署</w:t>
      </w:r>
      <w:r w:rsidRPr="00D41D30">
        <w:rPr>
          <w:color w:val="000000" w:themeColor="text1"/>
        </w:rPr>
        <w:t>持續</w:t>
      </w:r>
      <w:r w:rsidRPr="00D41D30">
        <w:rPr>
          <w:rFonts w:ascii="Times New Roman" w:hAnsi="Times New Roman"/>
          <w:color w:val="000000" w:themeColor="text1"/>
          <w:szCs w:val="32"/>
          <w:lang w:val="x-none"/>
        </w:rPr>
        <w:t>推動高齡友善城市及社區計畫、長者活躍老化計畫、失智友善社區計畫、預防及延緩失能整合性計畫、長者居家科技互動平台計畫、高齡友善健康照護機構推動計畫等，以期達到提升長者生活品質、促進長者健康、延緩失能及鼓勵長者社會參與之政策目標。</w:t>
      </w:r>
    </w:p>
    <w:p w:rsidR="008E188A" w:rsidRPr="00D41D30" w:rsidRDefault="008E188A" w:rsidP="008E188A">
      <w:pPr>
        <w:pStyle w:val="4"/>
        <w:rPr>
          <w:rFonts w:ascii="Times New Roman" w:hAnsi="Times New Roman"/>
          <w:color w:val="000000" w:themeColor="text1"/>
          <w:spacing w:val="-10"/>
          <w:szCs w:val="32"/>
        </w:rPr>
      </w:pPr>
      <w:r w:rsidRPr="00D41D30">
        <w:rPr>
          <w:rFonts w:ascii="Times New Roman" w:hAnsi="Times New Roman"/>
          <w:color w:val="000000" w:themeColor="text1"/>
          <w:spacing w:val="-10"/>
          <w:szCs w:val="32"/>
        </w:rPr>
        <w:t>另對於失能、失智人口增長，為延緩老化過程所致失能或失智，</w:t>
      </w:r>
      <w:r w:rsidR="004645AA" w:rsidRPr="00D41D30">
        <w:rPr>
          <w:rFonts w:ascii="Times New Roman" w:hAnsi="Times New Roman" w:hint="eastAsia"/>
          <w:color w:val="000000" w:themeColor="text1"/>
          <w:spacing w:val="-10"/>
          <w:szCs w:val="32"/>
        </w:rPr>
        <w:t>該</w:t>
      </w:r>
      <w:r w:rsidRPr="00D41D30">
        <w:rPr>
          <w:rFonts w:ascii="Times New Roman" w:hAnsi="Times New Roman"/>
          <w:color w:val="000000" w:themeColor="text1"/>
          <w:spacing w:val="-10"/>
          <w:szCs w:val="32"/>
        </w:rPr>
        <w:t>部透過醫事及相關專業團體，針對引發失能（智）之因素，發展肌力強化、生活功能重建、社會參與、膳食營養及認知促進等單一或複合式照護方案，結合社區在地資源，鼓勵全國老人</w:t>
      </w:r>
      <w:r w:rsidR="00B562C7" w:rsidRPr="00D41D30">
        <w:rPr>
          <w:rFonts w:ascii="Times New Roman" w:hAnsi="Times New Roman"/>
          <w:color w:val="000000" w:themeColor="text1"/>
          <w:spacing w:val="-10"/>
          <w:szCs w:val="32"/>
        </w:rPr>
        <w:t>（</w:t>
      </w:r>
      <w:r w:rsidRPr="00D41D30">
        <w:rPr>
          <w:rFonts w:ascii="Times New Roman" w:hAnsi="Times New Roman"/>
          <w:color w:val="000000" w:themeColor="text1"/>
          <w:spacing w:val="-10"/>
          <w:szCs w:val="32"/>
        </w:rPr>
        <w:t>衰弱老人及輕、中度失能</w:t>
      </w:r>
      <w:r w:rsidR="00B562C7" w:rsidRPr="00D41D30">
        <w:rPr>
          <w:rFonts w:ascii="Times New Roman" w:hAnsi="Times New Roman"/>
          <w:color w:val="000000" w:themeColor="text1"/>
          <w:spacing w:val="-10"/>
          <w:szCs w:val="32"/>
        </w:rPr>
        <w:t>（</w:t>
      </w:r>
      <w:r w:rsidRPr="00D41D30">
        <w:rPr>
          <w:rFonts w:ascii="Times New Roman" w:hAnsi="Times New Roman"/>
          <w:color w:val="000000" w:themeColor="text1"/>
          <w:spacing w:val="-10"/>
          <w:szCs w:val="32"/>
        </w:rPr>
        <w:t>智</w:t>
      </w:r>
      <w:r w:rsidR="006B5136" w:rsidRPr="00D41D30">
        <w:rPr>
          <w:rFonts w:ascii="Times New Roman" w:hAnsi="Times New Roman"/>
          <w:color w:val="000000" w:themeColor="text1"/>
          <w:spacing w:val="-10"/>
          <w:szCs w:val="32"/>
        </w:rPr>
        <w:t>）</w:t>
      </w:r>
      <w:r w:rsidRPr="00D41D30">
        <w:rPr>
          <w:rFonts w:ascii="Times New Roman" w:hAnsi="Times New Roman"/>
          <w:color w:val="000000" w:themeColor="text1"/>
          <w:spacing w:val="-10"/>
          <w:szCs w:val="32"/>
        </w:rPr>
        <w:t>者</w:t>
      </w:r>
      <w:r w:rsidR="006B5136" w:rsidRPr="00D41D30">
        <w:rPr>
          <w:rFonts w:ascii="Times New Roman" w:hAnsi="Times New Roman"/>
          <w:color w:val="000000" w:themeColor="text1"/>
          <w:spacing w:val="-10"/>
          <w:szCs w:val="32"/>
        </w:rPr>
        <w:t>）</w:t>
      </w:r>
      <w:r w:rsidRPr="00D41D30">
        <w:rPr>
          <w:rFonts w:ascii="Times New Roman" w:hAnsi="Times New Roman"/>
          <w:color w:val="000000" w:themeColor="text1"/>
          <w:spacing w:val="-10"/>
          <w:szCs w:val="32"/>
        </w:rPr>
        <w:t>參與。</w:t>
      </w:r>
    </w:p>
    <w:p w:rsidR="008E32D9" w:rsidRPr="00D41D30" w:rsidRDefault="008E32D9" w:rsidP="002E4F7E">
      <w:pPr>
        <w:pStyle w:val="2"/>
        <w:spacing w:beforeLines="100" w:before="457"/>
        <w:ind w:left="1020" w:hanging="680"/>
        <w:rPr>
          <w:rFonts w:hAnsi="標楷體"/>
          <w:b/>
          <w:color w:val="000000" w:themeColor="text1"/>
          <w:szCs w:val="32"/>
        </w:rPr>
      </w:pPr>
      <w:bookmarkStart w:id="1009" w:name="_Toc33011780"/>
      <w:r w:rsidRPr="00D41D30">
        <w:rPr>
          <w:rFonts w:hAnsi="標楷體" w:hint="eastAsia"/>
          <w:b/>
          <w:color w:val="000000" w:themeColor="text1"/>
          <w:szCs w:val="32"/>
        </w:rPr>
        <w:t>本案相關中央、地方縣市政府及各目的事業主管機關之權責分工整合</w:t>
      </w:r>
      <w:r w:rsidR="005B6CD1" w:rsidRPr="00D41D30">
        <w:rPr>
          <w:rFonts w:hAnsi="標楷體" w:hint="eastAsia"/>
          <w:b/>
          <w:color w:val="000000" w:themeColor="text1"/>
          <w:szCs w:val="32"/>
        </w:rPr>
        <w:t>情形</w:t>
      </w:r>
      <w:bookmarkEnd w:id="1009"/>
    </w:p>
    <w:p w:rsidR="00C53C4D" w:rsidRPr="00D41D30" w:rsidRDefault="00C53C4D" w:rsidP="00D73DDB">
      <w:pPr>
        <w:pStyle w:val="3"/>
        <w:ind w:left="1360" w:hanging="680"/>
        <w:rPr>
          <w:color w:val="000000" w:themeColor="text1"/>
        </w:rPr>
      </w:pPr>
      <w:bookmarkStart w:id="1010" w:name="_Toc30512545"/>
      <w:bookmarkStart w:id="1011" w:name="_Toc30581253"/>
      <w:bookmarkStart w:id="1012" w:name="_Toc32392526"/>
      <w:bookmarkStart w:id="1013" w:name="_Toc32673717"/>
      <w:bookmarkStart w:id="1014" w:name="_Toc32846578"/>
      <w:bookmarkStart w:id="1015" w:name="_Toc32918494"/>
      <w:bookmarkStart w:id="1016" w:name="_Toc33011781"/>
      <w:r w:rsidRPr="00D41D30">
        <w:rPr>
          <w:rFonts w:hint="eastAsia"/>
          <w:color w:val="000000" w:themeColor="text1"/>
        </w:rPr>
        <w:lastRenderedPageBreak/>
        <w:t>社區照顧關懷據點</w:t>
      </w:r>
      <w:bookmarkEnd w:id="1010"/>
      <w:bookmarkEnd w:id="1011"/>
      <w:bookmarkEnd w:id="1012"/>
      <w:bookmarkEnd w:id="1013"/>
      <w:bookmarkEnd w:id="1014"/>
      <w:bookmarkEnd w:id="1015"/>
      <w:bookmarkEnd w:id="1016"/>
    </w:p>
    <w:p w:rsidR="00C53C4D" w:rsidRPr="00D41D30" w:rsidRDefault="00C53C4D" w:rsidP="00D73DDB">
      <w:pPr>
        <w:pStyle w:val="4"/>
        <w:rPr>
          <w:color w:val="000000" w:themeColor="text1"/>
        </w:rPr>
      </w:pPr>
      <w:r w:rsidRPr="00D41D30">
        <w:rPr>
          <w:rFonts w:hint="eastAsia"/>
          <w:color w:val="000000" w:themeColor="text1"/>
        </w:rPr>
        <w:t>政策目標與重點</w:t>
      </w:r>
    </w:p>
    <w:p w:rsidR="00C53C4D" w:rsidRPr="00D41D30" w:rsidRDefault="00C53C4D" w:rsidP="00D73DDB">
      <w:pPr>
        <w:pStyle w:val="5"/>
        <w:rPr>
          <w:color w:val="000000" w:themeColor="text1"/>
        </w:rPr>
      </w:pPr>
      <w:r w:rsidRPr="00D41D30">
        <w:rPr>
          <w:rFonts w:hint="eastAsia"/>
          <w:color w:val="000000" w:themeColor="text1"/>
        </w:rPr>
        <w:t>社區照顧關懷據點政策係為落實「在地老化、健康老化」理念，由在地人提供在地服務，建立社區自主運作模式，以貼近居民生活需求，營造永續成長、健康的社區環境。</w:t>
      </w:r>
    </w:p>
    <w:p w:rsidR="00C53C4D" w:rsidRPr="00D41D30" w:rsidRDefault="00C53C4D" w:rsidP="00D73DDB">
      <w:pPr>
        <w:pStyle w:val="5"/>
        <w:rPr>
          <w:color w:val="000000" w:themeColor="text1"/>
        </w:rPr>
      </w:pPr>
      <w:r w:rsidRPr="00D41D30">
        <w:rPr>
          <w:rFonts w:hint="eastAsia"/>
          <w:color w:val="000000" w:themeColor="text1"/>
        </w:rPr>
        <w:t>以社區互助之基本精神，於全國設置據點，提供關懷訪視、電話問安、餐飲服務及健康促進等多元社區預防照顧服務，建立初級預防照顧服務體系。</w:t>
      </w:r>
    </w:p>
    <w:p w:rsidR="004645AA" w:rsidRPr="00D41D30" w:rsidRDefault="00C53C4D" w:rsidP="00D73DDB">
      <w:pPr>
        <w:pStyle w:val="4"/>
        <w:rPr>
          <w:color w:val="000000" w:themeColor="text1"/>
        </w:rPr>
      </w:pPr>
      <w:r w:rsidRPr="00D41D30">
        <w:rPr>
          <w:rFonts w:hint="eastAsia"/>
          <w:color w:val="000000" w:themeColor="text1"/>
        </w:rPr>
        <w:t>據點政策係該部獎助業務費、志工相關費用及設施設備費，鼓勵社區各類型團體自主參與初級預防照顧服務工作，連結在地志工人力、物力、縣市政府，依老人需求規劃辦理各項活動。另為提供更多元的健康促進課程、活動及餐飲服務，據點可結合地方政府社會局（處）、衛生局（處）、行政院農委會、勞動部、教育部之相關服務方案或資源，提供老人多元服務選擇，其中亦包含教育部樂齡學習中心所開設之樂齡課程。</w:t>
      </w:r>
    </w:p>
    <w:p w:rsidR="00C53C4D" w:rsidRPr="00D41D30" w:rsidRDefault="00C53C4D" w:rsidP="00D73DDB">
      <w:pPr>
        <w:pStyle w:val="4"/>
        <w:rPr>
          <w:color w:val="000000" w:themeColor="text1"/>
        </w:rPr>
      </w:pPr>
      <w:r w:rsidRPr="00D41D30">
        <w:rPr>
          <w:rFonts w:hint="eastAsia"/>
          <w:color w:val="000000" w:themeColor="text1"/>
        </w:rPr>
        <w:t>據點提供之「健康促進」服務多元，主要係透過多樣化的課程與活動鼓勵老人走出家門，內容可含括健康講座、體適能活動、音樂、手工藝、烹飪、文化傳承、語文等各類動靜態課程與活動，提升老人健康識能，使參與之老人增進人際互動，提升社會參與機會，並達到身心健康的效果。</w:t>
      </w:r>
    </w:p>
    <w:p w:rsidR="00C53C4D" w:rsidRPr="00D41D30" w:rsidRDefault="00C53C4D" w:rsidP="00D73DDB">
      <w:pPr>
        <w:pStyle w:val="4"/>
        <w:rPr>
          <w:color w:val="000000" w:themeColor="text1"/>
        </w:rPr>
      </w:pPr>
      <w:r w:rsidRPr="00D41D30">
        <w:rPr>
          <w:rFonts w:hint="eastAsia"/>
          <w:color w:val="000000" w:themeColor="text1"/>
        </w:rPr>
        <w:t>截至108年6月30日止，已於全國設置3,619個社區照顧關懷據點，並補助其中525個據點相關</w:t>
      </w:r>
      <w:r w:rsidRPr="00D41D30">
        <w:rPr>
          <w:rFonts w:hint="eastAsia"/>
          <w:color w:val="000000" w:themeColor="text1"/>
        </w:rPr>
        <w:lastRenderedPageBreak/>
        <w:t>設施設備費用，營造友善高齡學習環境。</w:t>
      </w:r>
    </w:p>
    <w:p w:rsidR="00C53C4D" w:rsidRPr="00D41D30" w:rsidRDefault="00C53C4D" w:rsidP="00D73DDB">
      <w:pPr>
        <w:pStyle w:val="4"/>
        <w:rPr>
          <w:color w:val="000000" w:themeColor="text1"/>
        </w:rPr>
      </w:pPr>
      <w:r w:rsidRPr="00D41D30">
        <w:rPr>
          <w:rFonts w:hint="eastAsia"/>
          <w:color w:val="000000" w:themeColor="text1"/>
        </w:rPr>
        <w:t>另教育部推動樂齡教育推動體系於全國已有365所樂齡中心，全國樂齡學習中心實施「村里拓點工作」，結合當地村里長辦公室、宗教聚會所、醫院等單位，協助推動樂齡學習村里拓點工作，預計108年達3,006個村里，以落實在地學習。</w:t>
      </w:r>
    </w:p>
    <w:p w:rsidR="004645AA" w:rsidRPr="00D41D30" w:rsidRDefault="004645AA" w:rsidP="00D73DDB">
      <w:pPr>
        <w:pStyle w:val="4"/>
        <w:rPr>
          <w:color w:val="000000" w:themeColor="text1"/>
        </w:rPr>
      </w:pPr>
      <w:r w:rsidRPr="00D41D30">
        <w:rPr>
          <w:rFonts w:hint="eastAsia"/>
          <w:color w:val="000000" w:themeColor="text1"/>
        </w:rPr>
        <w:t>兩者間同為提供老人可近性之服務</w:t>
      </w:r>
      <w:r w:rsidR="00C53C4D" w:rsidRPr="00D41D30">
        <w:rPr>
          <w:rFonts w:hint="eastAsia"/>
          <w:color w:val="000000" w:themeColor="text1"/>
        </w:rPr>
        <w:t>，</w:t>
      </w:r>
      <w:r w:rsidRPr="00D41D30">
        <w:rPr>
          <w:rFonts w:hint="eastAsia"/>
          <w:color w:val="000000" w:themeColor="text1"/>
        </w:rPr>
        <w:t>資源間</w:t>
      </w:r>
      <w:r w:rsidR="008B3EA4" w:rsidRPr="00D41D30">
        <w:rPr>
          <w:rFonts w:hint="eastAsia"/>
          <w:color w:val="000000" w:themeColor="text1"/>
        </w:rPr>
        <w:t>之</w:t>
      </w:r>
      <w:r w:rsidRPr="00D41D30">
        <w:rPr>
          <w:rFonts w:hint="eastAsia"/>
          <w:color w:val="000000" w:themeColor="text1"/>
        </w:rPr>
        <w:t>共享</w:t>
      </w:r>
      <w:r w:rsidR="00C53C4D" w:rsidRPr="00D41D30">
        <w:rPr>
          <w:rFonts w:hint="eastAsia"/>
          <w:color w:val="000000" w:themeColor="text1"/>
        </w:rPr>
        <w:t>，</w:t>
      </w:r>
      <w:r w:rsidR="008B3EA4" w:rsidRPr="00D41D30">
        <w:rPr>
          <w:rFonts w:hint="eastAsia"/>
          <w:color w:val="000000" w:themeColor="text1"/>
        </w:rPr>
        <w:t>據衛福</w:t>
      </w:r>
      <w:r w:rsidR="00C53C4D" w:rsidRPr="00D41D30">
        <w:rPr>
          <w:rFonts w:hint="eastAsia"/>
          <w:color w:val="000000" w:themeColor="text1"/>
        </w:rPr>
        <w:t>部表示：</w:t>
      </w:r>
      <w:r w:rsidR="008B3EA4" w:rsidRPr="00D41D30">
        <w:rPr>
          <w:rFonts w:hint="eastAsia"/>
          <w:color w:val="000000" w:themeColor="text1"/>
        </w:rPr>
        <w:t>社區照顧關懷據點</w:t>
      </w:r>
      <w:r w:rsidR="00C53C4D" w:rsidRPr="00D41D30">
        <w:rPr>
          <w:rFonts w:hint="eastAsia"/>
          <w:color w:val="000000" w:themeColor="text1"/>
        </w:rPr>
        <w:t>與教育部推動樂齡學習中心之場域空間可共享，以達到服務相輔相成之目的。</w:t>
      </w:r>
    </w:p>
    <w:p w:rsidR="00D73DDB" w:rsidRPr="00D41D30" w:rsidRDefault="00D73DDB" w:rsidP="00D73DDB">
      <w:pPr>
        <w:pStyle w:val="3"/>
        <w:ind w:left="1360" w:hanging="680"/>
        <w:rPr>
          <w:rFonts w:hAnsi="標楷體"/>
          <w:color w:val="000000" w:themeColor="text1"/>
          <w:kern w:val="2"/>
          <w:szCs w:val="32"/>
        </w:rPr>
      </w:pPr>
      <w:bookmarkStart w:id="1017" w:name="_Toc30512546"/>
      <w:bookmarkStart w:id="1018" w:name="_Toc30581254"/>
      <w:bookmarkStart w:id="1019" w:name="_Toc32392527"/>
      <w:bookmarkStart w:id="1020" w:name="_Toc32673718"/>
      <w:bookmarkStart w:id="1021" w:name="_Toc32846579"/>
      <w:bookmarkStart w:id="1022" w:name="_Toc32918495"/>
      <w:bookmarkStart w:id="1023" w:name="_Toc33011782"/>
      <w:r w:rsidRPr="00D41D30">
        <w:rPr>
          <w:rFonts w:hAnsi="標楷體" w:hint="eastAsia"/>
          <w:color w:val="000000" w:themeColor="text1"/>
          <w:szCs w:val="32"/>
        </w:rPr>
        <w:t>社區</w:t>
      </w:r>
      <w:r w:rsidRPr="00D41D30">
        <w:rPr>
          <w:rFonts w:hint="eastAsia"/>
          <w:color w:val="000000" w:themeColor="text1"/>
        </w:rPr>
        <w:t>大學</w:t>
      </w:r>
      <w:r w:rsidRPr="00D41D30">
        <w:rPr>
          <w:rFonts w:hAnsi="標楷體" w:hint="eastAsia"/>
          <w:color w:val="000000" w:themeColor="text1"/>
          <w:szCs w:val="32"/>
        </w:rPr>
        <w:t>、樂齡中心及樂齡大學功能定位之比較</w:t>
      </w:r>
      <w:bookmarkEnd w:id="1017"/>
      <w:bookmarkEnd w:id="1018"/>
      <w:bookmarkEnd w:id="1019"/>
      <w:bookmarkEnd w:id="1020"/>
      <w:bookmarkEnd w:id="1021"/>
      <w:bookmarkEnd w:id="1022"/>
      <w:bookmarkEnd w:id="1023"/>
    </w:p>
    <w:p w:rsidR="00D73DDB" w:rsidRPr="00D41D30" w:rsidRDefault="00D73DDB" w:rsidP="00D73DDB">
      <w:pPr>
        <w:pStyle w:val="4"/>
        <w:rPr>
          <w:rFonts w:hAnsi="標楷體"/>
          <w:color w:val="000000" w:themeColor="text1"/>
          <w:kern w:val="2"/>
          <w:szCs w:val="32"/>
        </w:rPr>
      </w:pPr>
      <w:r w:rsidRPr="00D41D30">
        <w:rPr>
          <w:rFonts w:hAnsi="標楷體" w:hint="eastAsia"/>
          <w:color w:val="000000" w:themeColor="text1"/>
          <w:kern w:val="2"/>
          <w:szCs w:val="32"/>
        </w:rPr>
        <w:t>社區大學係</w:t>
      </w:r>
      <w:r w:rsidRPr="00D41D30">
        <w:rPr>
          <w:rFonts w:hint="eastAsia"/>
          <w:color w:val="000000" w:themeColor="text1"/>
        </w:rPr>
        <w:t>依據</w:t>
      </w:r>
      <w:r w:rsidRPr="00D41D30">
        <w:rPr>
          <w:rFonts w:hAnsi="標楷體" w:hint="eastAsia"/>
          <w:color w:val="000000" w:themeColor="text1"/>
          <w:kern w:val="2"/>
          <w:szCs w:val="32"/>
        </w:rPr>
        <w:t>「社區大學發展條例」第1條及第3條規定，社區大學為前開條例所定之終身學習機構，係由各直轄市、縣（市）自行設立或委託辦理，其設立目的在於提升人民現代公民素養及公共事務參與能力、協助推動地方公共事務、強化在地認同及地方創生、培育地方人才及促進社區永續發展等目的；且前開條例並無就學年齡之限制。又社區大學之課程開設多以學術、社團及生活藝能類型為主，其課程內容著重實踐前開條例之公共參與及地方實踐發展等立法精神。</w:t>
      </w:r>
    </w:p>
    <w:p w:rsidR="00D73DDB" w:rsidRPr="00D41D30" w:rsidRDefault="00D73DDB" w:rsidP="00D73DDB">
      <w:pPr>
        <w:pStyle w:val="4"/>
        <w:rPr>
          <w:rFonts w:hAnsi="標楷體"/>
          <w:color w:val="000000" w:themeColor="text1"/>
          <w:kern w:val="2"/>
          <w:szCs w:val="32"/>
        </w:rPr>
      </w:pPr>
      <w:r w:rsidRPr="00D41D30">
        <w:rPr>
          <w:rFonts w:hAnsi="標楷體" w:hint="eastAsia"/>
          <w:color w:val="000000" w:themeColor="text1"/>
          <w:kern w:val="2"/>
          <w:szCs w:val="32"/>
        </w:rPr>
        <w:t>教育部推動樂齡學習係依據終身學習法第3條、第14條及樂齡學習活動補助與訪視輔導及獎勵辦法辦理，為顧及社區高</w:t>
      </w:r>
      <w:r w:rsidR="00457BF5" w:rsidRPr="00D41D30">
        <w:rPr>
          <w:rFonts w:hAnsi="標楷體" w:hint="eastAsia"/>
          <w:color w:val="000000" w:themeColor="text1"/>
          <w:kern w:val="2"/>
          <w:szCs w:val="32"/>
        </w:rPr>
        <w:t>齡者學習權益及其多元性，該</w:t>
      </w:r>
      <w:r w:rsidRPr="00D41D30">
        <w:rPr>
          <w:rFonts w:hAnsi="標楷體" w:hint="eastAsia"/>
          <w:color w:val="000000" w:themeColor="text1"/>
          <w:kern w:val="2"/>
          <w:szCs w:val="32"/>
        </w:rPr>
        <w:t>部以多元學習管道提供國內55歲以上中高齡者不同模式的學習，樂齡中心運用在地組織，強化長者對於社區、家鄉的認同感，以各鄉鎮市區既有人文特色、地方資源，再配</w:t>
      </w:r>
      <w:r w:rsidRPr="00D41D30">
        <w:rPr>
          <w:rFonts w:hAnsi="標楷體" w:hint="eastAsia"/>
          <w:color w:val="000000" w:themeColor="text1"/>
          <w:kern w:val="2"/>
          <w:szCs w:val="32"/>
        </w:rPr>
        <w:lastRenderedPageBreak/>
        <w:t>合</w:t>
      </w:r>
      <w:r w:rsidR="00AD26EF" w:rsidRPr="00D41D30">
        <w:rPr>
          <w:rFonts w:hAnsi="標楷體" w:hint="eastAsia"/>
          <w:color w:val="000000" w:themeColor="text1"/>
          <w:kern w:val="2"/>
          <w:szCs w:val="32"/>
        </w:rPr>
        <w:t>該</w:t>
      </w:r>
      <w:r w:rsidRPr="00D41D30">
        <w:rPr>
          <w:rFonts w:hAnsi="標楷體" w:hint="eastAsia"/>
          <w:color w:val="000000" w:themeColor="text1"/>
          <w:kern w:val="2"/>
          <w:szCs w:val="32"/>
        </w:rPr>
        <w:t>部所規劃活躍老化核心課程及貢獻服務課程，讓民眾強化對於老化生活準備及拓展人際關係；樂齡大學則是運用學校優質校園環境及與年輕學子的互動，強化青銀共學、世代交流，課程方面依學校之發展特色規劃設計，課程類型應包含高齡相關課程、生活新知課程、健康休閒課程、學校特色課程。</w:t>
      </w:r>
    </w:p>
    <w:p w:rsidR="004645AA" w:rsidRPr="00D41D30" w:rsidRDefault="00D73DDB" w:rsidP="00D73DDB">
      <w:pPr>
        <w:pStyle w:val="4"/>
        <w:rPr>
          <w:color w:val="000000" w:themeColor="text1"/>
        </w:rPr>
      </w:pPr>
      <w:r w:rsidRPr="00D41D30">
        <w:rPr>
          <w:rFonts w:hAnsi="標楷體" w:hint="eastAsia"/>
          <w:color w:val="000000" w:themeColor="text1"/>
          <w:kern w:val="2"/>
          <w:szCs w:val="32"/>
        </w:rPr>
        <w:t>樂齡學習與其他終身學習體系最大的不同點在於，將長者視為可運用之人力，自開辦以來不斷鼓勵長者學習後貢獻服務，更強化長者的學習動力，以樂齡中心逐年成長的志工人數及樂齡學習社團，可窺見其成效。綜上，社區大學業有「社區大學發展條例」特別法之規定，其設置、參與對象、課程類型及內容有別於以年齡條件區分之其他終身學習機構；而樂齡學習係依據「終身學習法」規定設置，對象為55歲以上之中高齡者，提供中高齡者活躍老化的課程。兩者於對象、目的及課程類別均不同，且全國共有368個鄉鎮市區，政府提供民眾終身學習之機會，應顧及城鄉差距，其管道必然多元發展，而原住民及離島偏鄉地區更有迫切的在地學習需求。因此</w:t>
      </w:r>
      <w:r w:rsidRPr="00D41D30">
        <w:rPr>
          <w:rFonts w:ascii="新細明體" w:hAnsi="新細明體" w:hint="eastAsia"/>
          <w:color w:val="000000" w:themeColor="text1"/>
          <w:kern w:val="2"/>
          <w:szCs w:val="32"/>
        </w:rPr>
        <w:t>，</w:t>
      </w:r>
      <w:r w:rsidRPr="00D41D30">
        <w:rPr>
          <w:rFonts w:hAnsi="標楷體" w:hint="eastAsia"/>
          <w:color w:val="000000" w:themeColor="text1"/>
          <w:kern w:val="2"/>
          <w:szCs w:val="32"/>
        </w:rPr>
        <w:t>為落實憲法第159條「國民受教育之機會，一律平等」及第163條「國家應注重各地區教育之均衡發展，並推行社會教育」，政府應提供民眾近便及充足之學習機會。該部透過多元管道致力提供全國358個鄉鎮市區的長者公平接受樂齡學習的權益，並將樂齡學習資源推廣至3</w:t>
      </w:r>
      <w:r w:rsidRPr="00D41D30">
        <w:rPr>
          <w:rFonts w:hAnsi="標楷體"/>
          <w:color w:val="000000" w:themeColor="text1"/>
          <w:kern w:val="2"/>
          <w:szCs w:val="32"/>
        </w:rPr>
        <w:t>,</w:t>
      </w:r>
      <w:r w:rsidRPr="00D41D30">
        <w:rPr>
          <w:rFonts w:hAnsi="標楷體" w:hint="eastAsia"/>
          <w:color w:val="000000" w:themeColor="text1"/>
          <w:kern w:val="2"/>
          <w:szCs w:val="32"/>
        </w:rPr>
        <w:t>006個村里，鼓勵社區大學於偏鄉發展教學據點</w:t>
      </w:r>
      <w:r w:rsidRPr="00D41D30">
        <w:rPr>
          <w:rFonts w:ascii="新細明體" w:hAnsi="新細明體" w:hint="eastAsia"/>
          <w:color w:val="000000" w:themeColor="text1"/>
          <w:kern w:val="2"/>
          <w:szCs w:val="32"/>
        </w:rPr>
        <w:t>，</w:t>
      </w:r>
      <w:r w:rsidRPr="00D41D30">
        <w:rPr>
          <w:rFonts w:hAnsi="標楷體" w:hint="eastAsia"/>
          <w:color w:val="000000" w:themeColor="text1"/>
          <w:kern w:val="2"/>
          <w:szCs w:val="32"/>
        </w:rPr>
        <w:t>以及發展另一種高齡自主學習團體模式，均為鼓勵民眾參與終身學習活</w:t>
      </w:r>
      <w:r w:rsidRPr="00D41D30">
        <w:rPr>
          <w:rFonts w:hAnsi="標楷體" w:hint="eastAsia"/>
          <w:color w:val="000000" w:themeColor="text1"/>
          <w:kern w:val="2"/>
          <w:szCs w:val="32"/>
        </w:rPr>
        <w:lastRenderedPageBreak/>
        <w:t>動之必要措施</w:t>
      </w:r>
      <w:r w:rsidRPr="00D41D30">
        <w:rPr>
          <w:rFonts w:ascii="新細明體" w:hAnsi="新細明體" w:hint="eastAsia"/>
          <w:color w:val="000000" w:themeColor="text1"/>
          <w:kern w:val="2"/>
          <w:szCs w:val="32"/>
        </w:rPr>
        <w:t>。</w:t>
      </w:r>
    </w:p>
    <w:p w:rsidR="00D73DDB" w:rsidRPr="00D41D30" w:rsidRDefault="00D73DDB" w:rsidP="00D73DDB">
      <w:pPr>
        <w:pStyle w:val="3"/>
        <w:ind w:left="1360" w:hanging="680"/>
        <w:rPr>
          <w:color w:val="000000" w:themeColor="text1"/>
        </w:rPr>
      </w:pPr>
      <w:bookmarkStart w:id="1024" w:name="_Toc30512547"/>
      <w:bookmarkStart w:id="1025" w:name="_Toc30581255"/>
      <w:bookmarkStart w:id="1026" w:name="_Toc32392528"/>
      <w:bookmarkStart w:id="1027" w:name="_Toc32673719"/>
      <w:bookmarkStart w:id="1028" w:name="_Toc32846580"/>
      <w:bookmarkStart w:id="1029" w:name="_Toc32918496"/>
      <w:bookmarkStart w:id="1030" w:name="_Toc33011783"/>
      <w:r w:rsidRPr="00D41D30">
        <w:rPr>
          <w:rFonts w:hint="eastAsia"/>
          <w:color w:val="000000" w:themeColor="text1"/>
        </w:rPr>
        <w:t>長青學苑之政策目標與重點</w:t>
      </w:r>
      <w:bookmarkEnd w:id="1024"/>
      <w:bookmarkEnd w:id="1025"/>
      <w:bookmarkEnd w:id="1026"/>
      <w:bookmarkEnd w:id="1027"/>
      <w:bookmarkEnd w:id="1028"/>
      <w:bookmarkEnd w:id="1029"/>
      <w:bookmarkEnd w:id="1030"/>
    </w:p>
    <w:p w:rsidR="00D73DDB" w:rsidRPr="00D41D30" w:rsidRDefault="00D73DDB" w:rsidP="00D73DDB">
      <w:pPr>
        <w:pStyle w:val="4"/>
        <w:rPr>
          <w:color w:val="000000" w:themeColor="text1"/>
        </w:rPr>
      </w:pPr>
      <w:r w:rsidRPr="00D41D30">
        <w:rPr>
          <w:rFonts w:hint="eastAsia"/>
          <w:color w:val="000000" w:themeColor="text1"/>
        </w:rPr>
        <w:t>政策目標與重點</w:t>
      </w:r>
    </w:p>
    <w:p w:rsidR="00D73DDB" w:rsidRPr="00D41D30" w:rsidRDefault="00D73DDB" w:rsidP="00D73DDB">
      <w:pPr>
        <w:pStyle w:val="5"/>
        <w:rPr>
          <w:color w:val="000000" w:themeColor="text1"/>
        </w:rPr>
      </w:pPr>
      <w:r w:rsidRPr="00D41D30">
        <w:rPr>
          <w:rFonts w:hint="eastAsia"/>
          <w:color w:val="000000" w:themeColor="text1"/>
        </w:rPr>
        <w:t>增進老人生活安排與適應，鼓勵積極參與社會，充實精神生活及提升自我實現與自我價值。</w:t>
      </w:r>
    </w:p>
    <w:p w:rsidR="00D73DDB" w:rsidRPr="00D41D30" w:rsidRDefault="00D73DDB" w:rsidP="00D73DDB">
      <w:pPr>
        <w:pStyle w:val="5"/>
        <w:rPr>
          <w:color w:val="000000" w:themeColor="text1"/>
        </w:rPr>
      </w:pPr>
      <w:r w:rsidRPr="00D41D30">
        <w:rPr>
          <w:rFonts w:hint="eastAsia"/>
          <w:color w:val="000000" w:themeColor="text1"/>
        </w:rPr>
        <w:t>每班課程達24小時以上、連續12週為原則，課程內容兼具益智性、教育性、欣賞性、運動性等動靜態性質。</w:t>
      </w:r>
    </w:p>
    <w:p w:rsidR="00D73DDB" w:rsidRPr="00D41D30" w:rsidRDefault="00D73DDB" w:rsidP="00D73DDB">
      <w:pPr>
        <w:pStyle w:val="4"/>
        <w:rPr>
          <w:color w:val="000000" w:themeColor="text1"/>
        </w:rPr>
      </w:pPr>
      <w:r w:rsidRPr="00D41D30">
        <w:rPr>
          <w:rFonts w:hint="eastAsia"/>
          <w:color w:val="000000" w:themeColor="text1"/>
        </w:rPr>
        <w:t>有關</w:t>
      </w:r>
      <w:r w:rsidR="00350EB1" w:rsidRPr="00D41D30">
        <w:rPr>
          <w:rFonts w:hint="eastAsia"/>
          <w:color w:val="000000" w:themeColor="text1"/>
        </w:rPr>
        <w:t>衛福部</w:t>
      </w:r>
      <w:r w:rsidRPr="00D41D30">
        <w:rPr>
          <w:rFonts w:hint="eastAsia"/>
          <w:color w:val="000000" w:themeColor="text1"/>
        </w:rPr>
        <w:t>所辦理之長青學苑及新北市政府與臺南市政府所辦理之松年大學，均是由機關公務預算支用，如長青學苑由</w:t>
      </w:r>
      <w:r w:rsidR="00350EB1" w:rsidRPr="00D41D30">
        <w:rPr>
          <w:rFonts w:hint="eastAsia"/>
          <w:color w:val="000000" w:themeColor="text1"/>
        </w:rPr>
        <w:t>衛福部</w:t>
      </w:r>
      <w:r w:rsidRPr="00D41D30">
        <w:rPr>
          <w:rFonts w:hint="eastAsia"/>
          <w:color w:val="000000" w:themeColor="text1"/>
        </w:rPr>
        <w:t>公務預算-辦理延緩老人失能、失智之文康休閒活動支出；另教育部終身學習管道之經費，亦由貴部編列公務預算支應，以108年為例，社區大學法定預算2億8,493萬元、樂齡學習中心1億3,308萬8,000元、樂齡大學3,050萬元，上開各部會及地方政府係依職責及區域需求編列經費支持及推動高齡教育。然推動課程間同質性是否偏高及有無辦理資源整合之必要一節。</w:t>
      </w:r>
    </w:p>
    <w:p w:rsidR="00D73DDB" w:rsidRPr="00D41D30" w:rsidRDefault="00D73DDB" w:rsidP="00D73DDB">
      <w:pPr>
        <w:pStyle w:val="4"/>
        <w:rPr>
          <w:color w:val="000000" w:themeColor="text1"/>
        </w:rPr>
      </w:pPr>
      <w:r w:rsidRPr="00D41D30">
        <w:rPr>
          <w:rFonts w:hint="eastAsia"/>
          <w:color w:val="000000" w:themeColor="text1"/>
        </w:rPr>
        <w:t>由</w:t>
      </w:r>
      <w:r w:rsidR="00350EB1" w:rsidRPr="00D41D30">
        <w:rPr>
          <w:rFonts w:hint="eastAsia"/>
          <w:color w:val="000000" w:themeColor="text1"/>
        </w:rPr>
        <w:t>衛福部</w:t>
      </w:r>
      <w:r w:rsidRPr="00D41D30">
        <w:rPr>
          <w:rFonts w:hint="eastAsia"/>
          <w:color w:val="000000" w:themeColor="text1"/>
        </w:rPr>
        <w:t>、新北市政府教育局及基督教長老教會等辦理之長青學苑及松年大學等，其課程以益智性、教育性及運動等為主，長青學苑每年補助數及開班數與辦理單位並不固定，學員學習較難掌握；而松年大學目前僅有新北市及臺南市執行，所補助之相關活動，其廣度未若樂齡中心及樂齡大學。</w:t>
      </w:r>
    </w:p>
    <w:p w:rsidR="00471512" w:rsidRPr="00D41D30" w:rsidRDefault="00D73DDB" w:rsidP="00D73DDB">
      <w:pPr>
        <w:pStyle w:val="4"/>
        <w:rPr>
          <w:color w:val="000000" w:themeColor="text1"/>
        </w:rPr>
      </w:pPr>
      <w:r w:rsidRPr="00D41D30">
        <w:rPr>
          <w:rFonts w:hint="eastAsia"/>
          <w:color w:val="000000" w:themeColor="text1"/>
        </w:rPr>
        <w:t>綜上，目前從中央到地方、從衛福社政部門到教育部門、從政府到民間，均可見終身學習課程及活動之辦理，</w:t>
      </w:r>
      <w:r w:rsidR="00AD26EF" w:rsidRPr="00D41D30">
        <w:rPr>
          <w:rFonts w:hint="eastAsia"/>
          <w:color w:val="000000" w:themeColor="text1"/>
        </w:rPr>
        <w:t>該</w:t>
      </w:r>
      <w:r w:rsidRPr="00D41D30">
        <w:rPr>
          <w:rFonts w:hint="eastAsia"/>
          <w:color w:val="000000" w:themeColor="text1"/>
        </w:rPr>
        <w:t>部目前於進行「邁向學習</w:t>
      </w:r>
      <w:r w:rsidRPr="00D41D30">
        <w:rPr>
          <w:rFonts w:hint="eastAsia"/>
          <w:color w:val="000000" w:themeColor="text1"/>
        </w:rPr>
        <w:lastRenderedPageBreak/>
        <w:t>社會白皮書2.0暨終身學習中程發展計畫」研擬工作之過程，亦將加強跨部會及政府與民間之對話，俾促進終身學習資源之整合。</w:t>
      </w:r>
    </w:p>
    <w:p w:rsidR="00AC25FA" w:rsidRPr="00D41D30" w:rsidRDefault="00AC25FA" w:rsidP="002E4F7E">
      <w:pPr>
        <w:pStyle w:val="2"/>
        <w:spacing w:beforeLines="100" w:before="457"/>
        <w:ind w:left="1020" w:hanging="680"/>
        <w:rPr>
          <w:rFonts w:hAnsi="標楷體"/>
          <w:b/>
          <w:color w:val="000000" w:themeColor="text1"/>
          <w:szCs w:val="32"/>
        </w:rPr>
      </w:pPr>
      <w:bookmarkStart w:id="1031" w:name="_Toc33011784"/>
      <w:r w:rsidRPr="00D41D30">
        <w:rPr>
          <w:rFonts w:hAnsi="標楷體" w:hint="eastAsia"/>
          <w:b/>
          <w:color w:val="000000" w:themeColor="text1"/>
          <w:szCs w:val="32"/>
        </w:rPr>
        <w:t>國際相關趨勢及制度</w:t>
      </w:r>
      <w:r w:rsidR="0063179D" w:rsidRPr="00D41D30">
        <w:rPr>
          <w:rFonts w:hAnsi="標楷體" w:hint="eastAsia"/>
          <w:b/>
          <w:color w:val="000000" w:themeColor="text1"/>
          <w:szCs w:val="32"/>
        </w:rPr>
        <w:t>比較情形</w:t>
      </w:r>
      <w:bookmarkEnd w:id="1031"/>
    </w:p>
    <w:p w:rsidR="00AC25FA" w:rsidRPr="00D41D30" w:rsidRDefault="00AC25FA" w:rsidP="00AC25FA">
      <w:pPr>
        <w:pStyle w:val="3"/>
        <w:rPr>
          <w:color w:val="000000" w:themeColor="text1"/>
        </w:rPr>
      </w:pPr>
      <w:bookmarkStart w:id="1032" w:name="_Toc30512549"/>
      <w:bookmarkStart w:id="1033" w:name="_Toc30581257"/>
      <w:bookmarkStart w:id="1034" w:name="_Toc32392530"/>
      <w:bookmarkStart w:id="1035" w:name="_Toc32673721"/>
      <w:bookmarkStart w:id="1036" w:name="_Toc32846582"/>
      <w:bookmarkStart w:id="1037" w:name="_Toc32918498"/>
      <w:bookmarkStart w:id="1038" w:name="_Toc33011785"/>
      <w:r w:rsidRPr="00D41D30">
        <w:rPr>
          <w:rFonts w:hint="eastAsia"/>
          <w:color w:val="000000" w:themeColor="text1"/>
        </w:rPr>
        <w:t>聯合國教育、科學與文化組織（United Nations Educational, Scientific and Cultural Organization，以下簡稱UNESCO）於2019年12月4日發布第4次《成人學習與教育全球報告》（UNESCO’s fourth Global Report on Adult Learning and Education）</w:t>
      </w:r>
      <w:r w:rsidRPr="00D41D30">
        <w:rPr>
          <w:rStyle w:val="aff0"/>
          <w:color w:val="000000" w:themeColor="text1"/>
        </w:rPr>
        <w:footnoteReference w:id="5"/>
      </w:r>
      <w:r w:rsidRPr="00D41D30">
        <w:rPr>
          <w:rFonts w:hint="eastAsia"/>
          <w:color w:val="000000" w:themeColor="text1"/>
        </w:rPr>
        <w:t>，該報告指出</w:t>
      </w:r>
      <w:r w:rsidRPr="00D41D30">
        <w:rPr>
          <w:rFonts w:hAnsi="標楷體" w:hint="eastAsia"/>
          <w:color w:val="000000" w:themeColor="text1"/>
        </w:rPr>
        <w:t>：</w:t>
      </w:r>
      <w:bookmarkEnd w:id="1032"/>
      <w:bookmarkEnd w:id="1033"/>
      <w:bookmarkEnd w:id="1034"/>
      <w:bookmarkEnd w:id="1035"/>
      <w:bookmarkEnd w:id="1036"/>
      <w:bookmarkEnd w:id="1037"/>
      <w:bookmarkEnd w:id="1038"/>
    </w:p>
    <w:p w:rsidR="00AC25FA" w:rsidRPr="00D41D30" w:rsidRDefault="00AC25FA" w:rsidP="00AC25FA">
      <w:pPr>
        <w:pStyle w:val="4"/>
        <w:rPr>
          <w:color w:val="000000" w:themeColor="text1"/>
        </w:rPr>
      </w:pPr>
      <w:r w:rsidRPr="00D41D30">
        <w:rPr>
          <w:rFonts w:hint="eastAsia"/>
          <w:color w:val="000000" w:themeColor="text1"/>
        </w:rPr>
        <w:t>實踐聯合國2030年永續發展目標</w:t>
      </w:r>
      <w:r w:rsidRPr="00D41D30">
        <w:rPr>
          <w:rFonts w:hAnsi="標楷體" w:hint="eastAsia"/>
          <w:color w:val="000000" w:themeColor="text1"/>
        </w:rPr>
        <w:t>：</w:t>
      </w:r>
      <w:r w:rsidRPr="00D41D30">
        <w:rPr>
          <w:rFonts w:hint="eastAsia"/>
          <w:color w:val="000000" w:themeColor="text1"/>
        </w:rPr>
        <w:t>「成人學習與教育」是實踐聯合國2030年永續發展目標（Sustainable Development Goals，簡稱SDGs）的關鍵，因「成人學習與教育」所影響的領域包括「確保健康及促進福祉」、「提供工作機會」及「促進包容且永續的經濟成長」等，而透過成人教育將直接影響個人或團體的健康行為和態度、延長預期平均壽命、減少文明病（</w:t>
      </w:r>
      <w:r w:rsidRPr="00D41D30">
        <w:rPr>
          <w:color w:val="000000" w:themeColor="text1"/>
        </w:rPr>
        <w:t>lifestyle diseases</w:t>
      </w:r>
      <w:r w:rsidRPr="00D41D30">
        <w:rPr>
          <w:rFonts w:hint="eastAsia"/>
          <w:color w:val="000000" w:themeColor="text1"/>
        </w:rPr>
        <w:t>）及降低醫療保健支出。此外，投資成人教育對勞動力市場中的個人及雇主均有更廣泛的經濟利益，並可強化社會凝聚力和包容性，進而促進公民參與及增加社會資本。</w:t>
      </w:r>
    </w:p>
    <w:p w:rsidR="00AC25FA" w:rsidRPr="00D41D30" w:rsidRDefault="00AC25FA" w:rsidP="00AC25FA">
      <w:pPr>
        <w:pStyle w:val="4"/>
        <w:rPr>
          <w:color w:val="000000" w:themeColor="text1"/>
        </w:rPr>
      </w:pPr>
      <w:r w:rsidRPr="00D41D30">
        <w:rPr>
          <w:rFonts w:hint="eastAsia"/>
          <w:color w:val="000000" w:themeColor="text1"/>
        </w:rPr>
        <w:t>增加挹注於成人學習與教育的資金：在過去10年中，不僅在低收入國家，而且在中低收入和高收入國家，用於成人學習與教育的資金投入</w:t>
      </w:r>
      <w:r w:rsidRPr="00D41D30">
        <w:rPr>
          <w:rFonts w:hint="eastAsia"/>
          <w:color w:val="000000" w:themeColor="text1"/>
        </w:rPr>
        <w:lastRenderedPageBreak/>
        <w:t>也未能達到足夠的水準。將近20</w:t>
      </w:r>
      <w:r w:rsidR="00AA037A" w:rsidRPr="00D41D30">
        <w:rPr>
          <w:rFonts w:hint="eastAsia"/>
          <w:color w:val="000000" w:themeColor="text1"/>
        </w:rPr>
        <w:t>%</w:t>
      </w:r>
      <w:r w:rsidRPr="00D41D30">
        <w:rPr>
          <w:rFonts w:hint="eastAsia"/>
          <w:color w:val="000000" w:themeColor="text1"/>
        </w:rPr>
        <w:t>的會員國報告其在這一領域的預算支出不到其總預算的0.5</w:t>
      </w:r>
      <w:r w:rsidR="00AA037A" w:rsidRPr="00D41D30">
        <w:rPr>
          <w:rFonts w:hint="eastAsia"/>
          <w:color w:val="000000" w:themeColor="text1"/>
        </w:rPr>
        <w:t>%</w:t>
      </w:r>
      <w:r w:rsidRPr="00D41D30">
        <w:rPr>
          <w:rFonts w:hint="eastAsia"/>
          <w:color w:val="000000" w:themeColor="text1"/>
        </w:rPr>
        <w:t>，另外14</w:t>
      </w:r>
      <w:r w:rsidR="00AA037A" w:rsidRPr="00D41D30">
        <w:rPr>
          <w:rFonts w:hint="eastAsia"/>
          <w:color w:val="000000" w:themeColor="text1"/>
        </w:rPr>
        <w:t>%</w:t>
      </w:r>
      <w:r w:rsidRPr="00D41D30">
        <w:rPr>
          <w:rFonts w:hint="eastAsia"/>
          <w:color w:val="000000" w:themeColor="text1"/>
        </w:rPr>
        <w:t>的會員國報告的預算支出不到1</w:t>
      </w:r>
      <w:r w:rsidR="00AA037A" w:rsidRPr="00D41D30">
        <w:rPr>
          <w:rFonts w:hint="eastAsia"/>
          <w:color w:val="000000" w:themeColor="text1"/>
        </w:rPr>
        <w:t>%</w:t>
      </w:r>
      <w:r w:rsidRPr="00D41D30">
        <w:rPr>
          <w:rFonts w:hint="eastAsia"/>
          <w:color w:val="000000" w:themeColor="text1"/>
        </w:rPr>
        <w:t>。投資不足對處於社會弱勢地位的成年人打擊最大，同時缺乏資金亦阻礙國家新政策及實踐有效治理。各國需要增加對成人學習和教育的投資，降低參與成本，提高對收益的認識，並改善資料蒐集及監測之能力，尤其需要關注弱勢群體。在參與成人學習與教育方面存在長期、嚴重的不平等，身心障礙者、老年人、少數群體以及生活在受衝突影響國家的成年人等主要目標群體並未從中受益。</w:t>
      </w:r>
    </w:p>
    <w:p w:rsidR="00AC25FA" w:rsidRPr="00D41D30" w:rsidRDefault="00AC25FA" w:rsidP="00AC25FA">
      <w:pPr>
        <w:pStyle w:val="4"/>
        <w:rPr>
          <w:color w:val="000000" w:themeColor="text1"/>
        </w:rPr>
      </w:pPr>
      <w:r w:rsidRPr="00D41D30">
        <w:rPr>
          <w:rFonts w:hint="eastAsia"/>
          <w:color w:val="000000" w:themeColor="text1"/>
        </w:rPr>
        <w:t>參與成人學習和教育的進展不足</w:t>
      </w:r>
      <w:r w:rsidRPr="00D41D30">
        <w:rPr>
          <w:rFonts w:hAnsi="標楷體" w:hint="eastAsia"/>
          <w:color w:val="000000" w:themeColor="text1"/>
        </w:rPr>
        <w:t>：</w:t>
      </w:r>
      <w:r w:rsidRPr="00D41D30">
        <w:rPr>
          <w:rFonts w:hint="eastAsia"/>
          <w:color w:val="000000" w:themeColor="text1"/>
        </w:rPr>
        <w:t>在參與度方面，參與該研究的</w:t>
      </w:r>
      <w:r w:rsidRPr="00D41D30">
        <w:rPr>
          <w:color w:val="000000" w:themeColor="text1"/>
        </w:rPr>
        <w:t>152</w:t>
      </w:r>
      <w:r w:rsidRPr="00D41D30">
        <w:rPr>
          <w:rFonts w:hint="eastAsia"/>
          <w:color w:val="000000" w:themeColor="text1"/>
        </w:rPr>
        <w:t>個國家中有</w:t>
      </w:r>
      <w:r w:rsidRPr="00D41D30">
        <w:rPr>
          <w:color w:val="000000" w:themeColor="text1"/>
        </w:rPr>
        <w:t>57</w:t>
      </w:r>
      <w:r w:rsidR="00AA037A" w:rsidRPr="00D41D30">
        <w:rPr>
          <w:color w:val="000000" w:themeColor="text1"/>
        </w:rPr>
        <w:t>%</w:t>
      </w:r>
      <w:r w:rsidRPr="00D41D30">
        <w:rPr>
          <w:rFonts w:hint="eastAsia"/>
          <w:color w:val="000000" w:themeColor="text1"/>
        </w:rPr>
        <w:t>表示，成人學習和教育的總體參與率在</w:t>
      </w:r>
      <w:r w:rsidRPr="00D41D30">
        <w:rPr>
          <w:color w:val="000000" w:themeColor="text1"/>
        </w:rPr>
        <w:t>2015</w:t>
      </w:r>
      <w:r w:rsidRPr="00D41D30">
        <w:rPr>
          <w:rFonts w:hint="eastAsia"/>
          <w:color w:val="000000" w:themeColor="text1"/>
        </w:rPr>
        <w:t>年至</w:t>
      </w:r>
      <w:r w:rsidRPr="00D41D30">
        <w:rPr>
          <w:color w:val="000000" w:themeColor="text1"/>
        </w:rPr>
        <w:t>2018</w:t>
      </w:r>
      <w:r w:rsidRPr="00D41D30">
        <w:rPr>
          <w:rFonts w:hint="eastAsia"/>
          <w:color w:val="000000" w:themeColor="text1"/>
        </w:rPr>
        <w:t>年期間有所增加。惟低收入國家的參與率增幅最大，達</w:t>
      </w:r>
      <w:r w:rsidRPr="00D41D30">
        <w:rPr>
          <w:color w:val="000000" w:themeColor="text1"/>
        </w:rPr>
        <w:t>73</w:t>
      </w:r>
      <w:r w:rsidR="00AA037A" w:rsidRPr="00D41D30">
        <w:rPr>
          <w:color w:val="000000" w:themeColor="text1"/>
        </w:rPr>
        <w:t>%</w:t>
      </w:r>
      <w:r w:rsidRPr="00D41D30">
        <w:rPr>
          <w:rFonts w:hint="eastAsia"/>
          <w:color w:val="000000" w:themeColor="text1"/>
        </w:rPr>
        <w:t>，其次是低收入和中高收入國家，分別增加</w:t>
      </w:r>
      <w:r w:rsidRPr="00D41D30">
        <w:rPr>
          <w:color w:val="000000" w:themeColor="text1"/>
        </w:rPr>
        <w:t>61</w:t>
      </w:r>
      <w:r w:rsidR="00AA037A" w:rsidRPr="00D41D30">
        <w:rPr>
          <w:rFonts w:hint="eastAsia"/>
          <w:color w:val="000000" w:themeColor="text1"/>
        </w:rPr>
        <w:t>%</w:t>
      </w:r>
      <w:r w:rsidRPr="00D41D30">
        <w:rPr>
          <w:rFonts w:hint="eastAsia"/>
          <w:color w:val="000000" w:themeColor="text1"/>
        </w:rPr>
        <w:t>和</w:t>
      </w:r>
      <w:r w:rsidRPr="00D41D30">
        <w:rPr>
          <w:color w:val="000000" w:themeColor="text1"/>
        </w:rPr>
        <w:t>62</w:t>
      </w:r>
      <w:r w:rsidR="00AA037A" w:rsidRPr="00D41D30">
        <w:rPr>
          <w:rFonts w:hint="eastAsia"/>
          <w:color w:val="000000" w:themeColor="text1"/>
        </w:rPr>
        <w:t>%</w:t>
      </w:r>
      <w:r w:rsidRPr="00D41D30">
        <w:rPr>
          <w:rFonts w:hint="eastAsia"/>
          <w:color w:val="000000" w:themeColor="text1"/>
        </w:rPr>
        <w:t>。撒哈拉以南的非洲地區是成人學習和教育參與率增加最多之地區，占受訪者的</w:t>
      </w:r>
      <w:r w:rsidRPr="00D41D30">
        <w:rPr>
          <w:color w:val="000000" w:themeColor="text1"/>
        </w:rPr>
        <w:t>72</w:t>
      </w:r>
      <w:r w:rsidR="00AA037A" w:rsidRPr="00D41D30">
        <w:rPr>
          <w:rFonts w:hint="eastAsia"/>
          <w:color w:val="000000" w:themeColor="text1"/>
        </w:rPr>
        <w:t>%</w:t>
      </w:r>
      <w:r w:rsidRPr="00D41D30">
        <w:rPr>
          <w:rFonts w:hint="eastAsia"/>
          <w:color w:val="000000" w:themeColor="text1"/>
        </w:rPr>
        <w:t>，其次是阿拉伯地區，占</w:t>
      </w:r>
      <w:r w:rsidRPr="00D41D30">
        <w:rPr>
          <w:color w:val="000000" w:themeColor="text1"/>
        </w:rPr>
        <w:t>67</w:t>
      </w:r>
      <w:r w:rsidR="00AA037A" w:rsidRPr="00D41D30">
        <w:rPr>
          <w:rFonts w:hint="eastAsia"/>
          <w:color w:val="000000" w:themeColor="text1"/>
        </w:rPr>
        <w:t>%</w:t>
      </w:r>
      <w:r w:rsidRPr="00D41D30">
        <w:rPr>
          <w:rFonts w:hint="eastAsia"/>
          <w:color w:val="000000" w:themeColor="text1"/>
        </w:rPr>
        <w:t>，拉丁美洲和加勒比地區，占</w:t>
      </w:r>
      <w:r w:rsidRPr="00D41D30">
        <w:rPr>
          <w:color w:val="000000" w:themeColor="text1"/>
        </w:rPr>
        <w:t>60</w:t>
      </w:r>
      <w:r w:rsidR="00AA037A" w:rsidRPr="00D41D30">
        <w:rPr>
          <w:rFonts w:hint="eastAsia"/>
          <w:color w:val="000000" w:themeColor="text1"/>
        </w:rPr>
        <w:t>%</w:t>
      </w:r>
      <w:r w:rsidRPr="00D41D30">
        <w:rPr>
          <w:rFonts w:hint="eastAsia"/>
          <w:color w:val="000000" w:themeColor="text1"/>
        </w:rPr>
        <w:t>，以及亞洲及太平洋地區，占</w:t>
      </w:r>
      <w:r w:rsidRPr="00D41D30">
        <w:rPr>
          <w:color w:val="000000" w:themeColor="text1"/>
        </w:rPr>
        <w:t>49</w:t>
      </w:r>
      <w:r w:rsidR="00AA037A" w:rsidRPr="00D41D30">
        <w:rPr>
          <w:rFonts w:hint="eastAsia"/>
          <w:color w:val="000000" w:themeColor="text1"/>
        </w:rPr>
        <w:t>%</w:t>
      </w:r>
      <w:r w:rsidRPr="00D41D30">
        <w:rPr>
          <w:rFonts w:hint="eastAsia"/>
          <w:color w:val="000000" w:themeColor="text1"/>
        </w:rPr>
        <w:t>。北美和西歐在這方面的起點較高，因此增幅最小，為</w:t>
      </w:r>
      <w:r w:rsidRPr="00D41D30">
        <w:rPr>
          <w:color w:val="000000" w:themeColor="text1"/>
        </w:rPr>
        <w:t>38</w:t>
      </w:r>
      <w:r w:rsidR="00AA037A" w:rsidRPr="00D41D30">
        <w:rPr>
          <w:rFonts w:hint="eastAsia"/>
          <w:color w:val="000000" w:themeColor="text1"/>
        </w:rPr>
        <w:t>%</w:t>
      </w:r>
      <w:r w:rsidRPr="00D41D30">
        <w:rPr>
          <w:rFonts w:hint="eastAsia"/>
          <w:color w:val="000000" w:themeColor="text1"/>
        </w:rPr>
        <w:t>。</w:t>
      </w:r>
    </w:p>
    <w:p w:rsidR="00AC25FA" w:rsidRPr="00D41D30" w:rsidRDefault="00AC25FA" w:rsidP="00AC25FA">
      <w:pPr>
        <w:pStyle w:val="4"/>
        <w:rPr>
          <w:color w:val="000000" w:themeColor="text1"/>
        </w:rPr>
      </w:pPr>
      <w:r w:rsidRPr="00D41D30">
        <w:rPr>
          <w:rFonts w:hint="eastAsia"/>
          <w:color w:val="000000" w:themeColor="text1"/>
        </w:rPr>
        <w:t>必須進一步提高婦女參與率</w:t>
      </w:r>
      <w:r w:rsidRPr="00D41D30">
        <w:rPr>
          <w:rFonts w:hAnsi="標楷體" w:hint="eastAsia"/>
          <w:color w:val="000000" w:themeColor="text1"/>
        </w:rPr>
        <w:t>：</w:t>
      </w:r>
      <w:r w:rsidRPr="00D41D30">
        <w:rPr>
          <w:color w:val="000000" w:themeColor="text1"/>
        </w:rPr>
        <w:t>59</w:t>
      </w:r>
      <w:r w:rsidR="00AA037A" w:rsidRPr="00D41D30">
        <w:rPr>
          <w:rFonts w:hint="eastAsia"/>
          <w:color w:val="000000" w:themeColor="text1"/>
        </w:rPr>
        <w:t>%</w:t>
      </w:r>
      <w:r w:rsidRPr="00D41D30">
        <w:rPr>
          <w:rFonts w:hint="eastAsia"/>
          <w:color w:val="000000" w:themeColor="text1"/>
        </w:rPr>
        <w:t>的國家報告，自</w:t>
      </w:r>
      <w:r w:rsidRPr="00D41D30">
        <w:rPr>
          <w:color w:val="000000" w:themeColor="text1"/>
        </w:rPr>
        <w:t>2015</w:t>
      </w:r>
      <w:r w:rsidRPr="00D41D30">
        <w:rPr>
          <w:rFonts w:hint="eastAsia"/>
          <w:color w:val="000000" w:themeColor="text1"/>
        </w:rPr>
        <w:t>年以來，參與成人學習和教育的婦女人數有所增加，但在世界某些地區，女性仍然沒有獲得足夠的教育機會，特別是獲得職業培訓，導致其等幾乎沒有掌握謀生技能、不易謀職、難以為所處的社會做出貢獻，進而對國家造成經濟損失。</w:t>
      </w:r>
    </w:p>
    <w:p w:rsidR="00AC25FA" w:rsidRPr="00D41D30" w:rsidRDefault="00AC25FA" w:rsidP="00AC25FA">
      <w:pPr>
        <w:pStyle w:val="3"/>
        <w:rPr>
          <w:color w:val="000000" w:themeColor="text1"/>
        </w:rPr>
      </w:pPr>
      <w:bookmarkStart w:id="1039" w:name="_Toc30512550"/>
      <w:bookmarkStart w:id="1040" w:name="_Toc30581258"/>
      <w:bookmarkStart w:id="1041" w:name="_Toc32392531"/>
      <w:bookmarkStart w:id="1042" w:name="_Toc32673722"/>
      <w:bookmarkStart w:id="1043" w:name="_Toc32846583"/>
      <w:bookmarkStart w:id="1044" w:name="_Toc32918499"/>
      <w:bookmarkStart w:id="1045" w:name="_Toc33011786"/>
      <w:r w:rsidRPr="00D41D30">
        <w:rPr>
          <w:rFonts w:hint="eastAsia"/>
          <w:color w:val="000000" w:themeColor="text1"/>
        </w:rPr>
        <w:lastRenderedPageBreak/>
        <w:t>「臺灣永續發展目標」</w:t>
      </w:r>
      <w:r w:rsidRPr="00D41D30">
        <w:rPr>
          <w:rFonts w:hAnsi="標楷體" w:hint="eastAsia"/>
          <w:color w:val="000000" w:themeColor="text1"/>
        </w:rPr>
        <w:t>：</w:t>
      </w:r>
      <w:bookmarkEnd w:id="1039"/>
      <w:bookmarkEnd w:id="1040"/>
      <w:bookmarkEnd w:id="1041"/>
      <w:bookmarkEnd w:id="1042"/>
      <w:bookmarkEnd w:id="1043"/>
      <w:bookmarkEnd w:id="1044"/>
      <w:bookmarkEnd w:id="1045"/>
    </w:p>
    <w:p w:rsidR="00AC25FA" w:rsidRPr="00D41D30" w:rsidRDefault="00AC25FA" w:rsidP="00AC25FA">
      <w:pPr>
        <w:pStyle w:val="4"/>
        <w:rPr>
          <w:color w:val="000000" w:themeColor="text1"/>
        </w:rPr>
      </w:pPr>
      <w:r w:rsidRPr="00D41D30">
        <w:rPr>
          <w:rFonts w:hint="eastAsia"/>
          <w:color w:val="000000" w:themeColor="text1"/>
        </w:rPr>
        <w:t>為落實聯合國永續發展目標（SDGs），我國除於2017年發布「國家自願檢視報告」（Voluntary National Review，簡稱VNR），與各國分享相關經驗與成果外，亦於2018年通過與聯合國永續發展目標高度一致的「臺灣永續發展目標」，其中核心目標4即「確保全面、公平及高品質教育，提倡終身學習」。</w:t>
      </w:r>
    </w:p>
    <w:p w:rsidR="00AC25FA" w:rsidRPr="00D41D30" w:rsidRDefault="00AC25FA" w:rsidP="00AC25FA">
      <w:pPr>
        <w:pStyle w:val="4"/>
        <w:rPr>
          <w:color w:val="000000" w:themeColor="text1"/>
        </w:rPr>
      </w:pPr>
      <w:r w:rsidRPr="00D41D30">
        <w:rPr>
          <w:rFonts w:hint="eastAsia"/>
          <w:color w:val="000000" w:themeColor="text1"/>
        </w:rPr>
        <w:t>具體目標4.6：建立社區大學及學習型城市等多元終身學習管道、廣設樂齡學習據點提供高齡者在地學習機會，持續提供民眾及多元族群的教育服務，促進成人終身學習參與能力。</w:t>
      </w:r>
    </w:p>
    <w:p w:rsidR="00AC25FA" w:rsidRPr="00D41D30" w:rsidRDefault="00AC25FA" w:rsidP="00AC25FA">
      <w:pPr>
        <w:pStyle w:val="4"/>
        <w:rPr>
          <w:color w:val="000000" w:themeColor="text1"/>
        </w:rPr>
      </w:pPr>
      <w:r w:rsidRPr="00D41D30">
        <w:rPr>
          <w:rFonts w:hint="eastAsia"/>
          <w:color w:val="000000" w:themeColor="text1"/>
        </w:rPr>
        <w:t>指標4.6.1：促進18歲以上成人終身學習參與率。</w:t>
      </w:r>
    </w:p>
    <w:p w:rsidR="00AC25FA" w:rsidRPr="00D41D30" w:rsidRDefault="00AC25FA" w:rsidP="00AC25FA">
      <w:pPr>
        <w:pStyle w:val="5"/>
        <w:rPr>
          <w:color w:val="000000" w:themeColor="text1"/>
        </w:rPr>
      </w:pPr>
      <w:r w:rsidRPr="00D41D30">
        <w:rPr>
          <w:rFonts w:hint="eastAsia"/>
          <w:color w:val="000000" w:themeColor="text1"/>
        </w:rPr>
        <w:t>現況基礎值：成人學習參與率為30.73</w:t>
      </w:r>
      <w:r w:rsidR="00AA037A" w:rsidRPr="00D41D30">
        <w:rPr>
          <w:rFonts w:hint="eastAsia"/>
          <w:color w:val="000000" w:themeColor="text1"/>
        </w:rPr>
        <w:t>%</w:t>
      </w:r>
      <w:r w:rsidRPr="00D41D30">
        <w:rPr>
          <w:rFonts w:hint="eastAsia"/>
          <w:color w:val="000000" w:themeColor="text1"/>
        </w:rPr>
        <w:t>。（2016年）</w:t>
      </w:r>
    </w:p>
    <w:p w:rsidR="00AC25FA" w:rsidRPr="00D41D30" w:rsidRDefault="00AC25FA" w:rsidP="00AC25FA">
      <w:pPr>
        <w:pStyle w:val="5"/>
        <w:rPr>
          <w:color w:val="000000" w:themeColor="text1"/>
        </w:rPr>
      </w:pPr>
      <w:r w:rsidRPr="00D41D30">
        <w:rPr>
          <w:rFonts w:hint="eastAsia"/>
          <w:color w:val="000000" w:themeColor="text1"/>
        </w:rPr>
        <w:t>2020年量化目標：成人學習參與率達35</w:t>
      </w:r>
      <w:r w:rsidR="00AA037A" w:rsidRPr="00D41D30">
        <w:rPr>
          <w:rFonts w:hint="eastAsia"/>
          <w:color w:val="000000" w:themeColor="text1"/>
        </w:rPr>
        <w:t>%</w:t>
      </w:r>
      <w:r w:rsidRPr="00D41D30">
        <w:rPr>
          <w:rFonts w:hint="eastAsia"/>
          <w:color w:val="000000" w:themeColor="text1"/>
        </w:rPr>
        <w:t>。</w:t>
      </w:r>
    </w:p>
    <w:p w:rsidR="00AC25FA" w:rsidRPr="00D41D30" w:rsidRDefault="00AC25FA" w:rsidP="00AC25FA">
      <w:pPr>
        <w:pStyle w:val="3"/>
        <w:rPr>
          <w:color w:val="000000" w:themeColor="text1"/>
        </w:rPr>
      </w:pPr>
      <w:bookmarkStart w:id="1046" w:name="_Toc30512551"/>
      <w:bookmarkStart w:id="1047" w:name="_Toc30581259"/>
      <w:bookmarkStart w:id="1048" w:name="_Toc32392532"/>
      <w:bookmarkStart w:id="1049" w:name="_Toc32673723"/>
      <w:bookmarkStart w:id="1050" w:name="_Toc32846584"/>
      <w:bookmarkStart w:id="1051" w:name="_Toc32918500"/>
      <w:bookmarkStart w:id="1052" w:name="_Toc33011787"/>
      <w:r w:rsidRPr="00D41D30">
        <w:rPr>
          <w:rFonts w:hint="eastAsia"/>
          <w:color w:val="000000" w:themeColor="text1"/>
        </w:rPr>
        <w:t>教育部於2018年8月赴韓國考察終身學習專業人員與非正規學習成就認證推動情形，相關考察報告之建議事項納入法令增修及施政措施之參採情形如下 ：</w:t>
      </w:r>
      <w:bookmarkEnd w:id="1046"/>
      <w:bookmarkEnd w:id="1047"/>
      <w:bookmarkEnd w:id="1048"/>
      <w:bookmarkEnd w:id="1049"/>
      <w:bookmarkEnd w:id="1050"/>
      <w:bookmarkEnd w:id="1051"/>
      <w:bookmarkEnd w:id="1052"/>
    </w:p>
    <w:p w:rsidR="00AC25FA" w:rsidRPr="00D41D30" w:rsidRDefault="00AC25FA" w:rsidP="00AC25FA">
      <w:pPr>
        <w:pStyle w:val="4"/>
        <w:rPr>
          <w:color w:val="000000" w:themeColor="text1"/>
        </w:rPr>
      </w:pPr>
      <w:r w:rsidRPr="00D41D30">
        <w:rPr>
          <w:rFonts w:hint="eastAsia"/>
          <w:color w:val="000000" w:themeColor="text1"/>
        </w:rPr>
        <w:t>訂定發布「社區大學學習證書發給準則」</w:t>
      </w:r>
    </w:p>
    <w:p w:rsidR="00AC25FA" w:rsidRPr="00D41D30" w:rsidRDefault="00AC25FA" w:rsidP="00AC25FA">
      <w:pPr>
        <w:pStyle w:val="5"/>
        <w:rPr>
          <w:color w:val="000000" w:themeColor="text1"/>
        </w:rPr>
      </w:pPr>
      <w:r w:rsidRPr="00D41D30">
        <w:rPr>
          <w:rFonts w:hint="eastAsia"/>
          <w:color w:val="000000" w:themeColor="text1"/>
        </w:rPr>
        <w:t>民眾的學習不應受時間和地點的限制，為鼓勵民眾持續終身學習，爰於研訂社區大學發展條例相關子法時，參採「韓國學分銀行」之精神，於社區大學學習證書發給規範，讓民眾的終身學習成就可以累積並且帶著走。</w:t>
      </w:r>
    </w:p>
    <w:p w:rsidR="00AC25FA" w:rsidRPr="00D41D30" w:rsidRDefault="00AC25FA" w:rsidP="00AC25FA">
      <w:pPr>
        <w:pStyle w:val="5"/>
        <w:rPr>
          <w:color w:val="000000" w:themeColor="text1"/>
        </w:rPr>
      </w:pPr>
      <w:r w:rsidRPr="00D41D30">
        <w:rPr>
          <w:rFonts w:hint="eastAsia"/>
          <w:color w:val="000000" w:themeColor="text1"/>
        </w:rPr>
        <w:t>依「社區大學學習證書發給準則」規定，在同一直轄市、縣</w:t>
      </w:r>
      <w:r w:rsidR="00B562C7" w:rsidRPr="00D41D30">
        <w:rPr>
          <w:rFonts w:hint="eastAsia"/>
          <w:color w:val="000000" w:themeColor="text1"/>
        </w:rPr>
        <w:t>（</w:t>
      </w:r>
      <w:r w:rsidRPr="00D41D30">
        <w:rPr>
          <w:rFonts w:hint="eastAsia"/>
          <w:color w:val="000000" w:themeColor="text1"/>
        </w:rPr>
        <w:t>市</w:t>
      </w:r>
      <w:r w:rsidR="006B5136" w:rsidRPr="00D41D30">
        <w:rPr>
          <w:rFonts w:hint="eastAsia"/>
          <w:color w:val="000000" w:themeColor="text1"/>
        </w:rPr>
        <w:t>）</w:t>
      </w:r>
      <w:r w:rsidRPr="00D41D30">
        <w:rPr>
          <w:rFonts w:hint="eastAsia"/>
          <w:color w:val="000000" w:themeColor="text1"/>
        </w:rPr>
        <w:t>不同社區大學，</w:t>
      </w:r>
      <w:r w:rsidRPr="00D41D30">
        <w:rPr>
          <w:rFonts w:hint="eastAsia"/>
          <w:color w:val="000000" w:themeColor="text1"/>
        </w:rPr>
        <w:lastRenderedPageBreak/>
        <w:t>或跨直轄市、縣</w:t>
      </w:r>
      <w:r w:rsidR="00B562C7" w:rsidRPr="00D41D30">
        <w:rPr>
          <w:rFonts w:hint="eastAsia"/>
          <w:color w:val="000000" w:themeColor="text1"/>
        </w:rPr>
        <w:t>（</w:t>
      </w:r>
      <w:r w:rsidRPr="00D41D30">
        <w:rPr>
          <w:rFonts w:hint="eastAsia"/>
          <w:color w:val="000000" w:themeColor="text1"/>
        </w:rPr>
        <w:t>市</w:t>
      </w:r>
      <w:r w:rsidR="006B5136" w:rsidRPr="00D41D30">
        <w:rPr>
          <w:rFonts w:hint="eastAsia"/>
          <w:color w:val="000000" w:themeColor="text1"/>
        </w:rPr>
        <w:t>）</w:t>
      </w:r>
      <w:r w:rsidRPr="00D41D30">
        <w:rPr>
          <w:rFonts w:hint="eastAsia"/>
          <w:color w:val="000000" w:themeColor="text1"/>
        </w:rPr>
        <w:t>不同社區大學所發給的學習證明都可以累計，學習成就累積達一定程度，由直轄市、縣</w:t>
      </w:r>
      <w:r w:rsidR="00B562C7" w:rsidRPr="00D41D30">
        <w:rPr>
          <w:rFonts w:hint="eastAsia"/>
          <w:color w:val="000000" w:themeColor="text1"/>
        </w:rPr>
        <w:t>（</w:t>
      </w:r>
      <w:r w:rsidRPr="00D41D30">
        <w:rPr>
          <w:rFonts w:hint="eastAsia"/>
          <w:color w:val="000000" w:themeColor="text1"/>
        </w:rPr>
        <w:t>市</w:t>
      </w:r>
      <w:r w:rsidR="006B5136" w:rsidRPr="00D41D30">
        <w:rPr>
          <w:rFonts w:hint="eastAsia"/>
          <w:color w:val="000000" w:themeColor="text1"/>
        </w:rPr>
        <w:t>）</w:t>
      </w:r>
      <w:r w:rsidRPr="00D41D30">
        <w:rPr>
          <w:rFonts w:hint="eastAsia"/>
          <w:color w:val="000000" w:themeColor="text1"/>
        </w:rPr>
        <w:t>政府核發學習證書，包括取得16學分以上發給「學群證書」、32學分以上發給「領域證書」、128學分以上即可發給「畢業證書」。</w:t>
      </w:r>
    </w:p>
    <w:p w:rsidR="00AC25FA" w:rsidRPr="00D41D30" w:rsidRDefault="00AC25FA" w:rsidP="00AC25FA">
      <w:pPr>
        <w:pStyle w:val="5"/>
        <w:rPr>
          <w:color w:val="000000" w:themeColor="text1"/>
        </w:rPr>
      </w:pPr>
      <w:r w:rsidRPr="00D41D30">
        <w:rPr>
          <w:rFonts w:hint="eastAsia"/>
          <w:color w:val="000000" w:themeColor="text1"/>
        </w:rPr>
        <w:t>民眾只要能在社區大學持續參與各項學習課程及活動，除可依個人興趣與需求精進各領域專業知識及拓展人際關係外，其終身學習成就並將獲得累計及由地方政府首長發給各類學習證書，提供社區大學在發展上更加健全完善的法制基礎。</w:t>
      </w:r>
    </w:p>
    <w:p w:rsidR="00AC25FA" w:rsidRPr="00D41D30" w:rsidRDefault="00AC25FA" w:rsidP="00AC25FA">
      <w:pPr>
        <w:pStyle w:val="4"/>
        <w:rPr>
          <w:color w:val="000000" w:themeColor="text1"/>
        </w:rPr>
      </w:pPr>
      <w:r w:rsidRPr="00D41D30">
        <w:rPr>
          <w:rFonts w:hint="eastAsia"/>
          <w:color w:val="000000" w:themeColor="text1"/>
        </w:rPr>
        <w:t>研修「樂齡學習專業人員培訓要點」</w:t>
      </w:r>
    </w:p>
    <w:p w:rsidR="00AC25FA" w:rsidRPr="00D41D30" w:rsidRDefault="00AC25FA" w:rsidP="00AC25FA">
      <w:pPr>
        <w:pStyle w:val="5"/>
        <w:rPr>
          <w:color w:val="000000" w:themeColor="text1"/>
        </w:rPr>
      </w:pPr>
      <w:r w:rsidRPr="00D41D30">
        <w:rPr>
          <w:rFonts w:hint="eastAsia"/>
          <w:color w:val="000000" w:themeColor="text1"/>
        </w:rPr>
        <w:t>有鑒於韓國修法推動「終身教育師制度」，希冀藉由養成、配置及在職進修之方式，培訓具備實務能力及專業性的終身教育專門職員。</w:t>
      </w:r>
    </w:p>
    <w:p w:rsidR="00AC25FA" w:rsidRPr="00D41D30" w:rsidRDefault="00AC25FA" w:rsidP="00AC25FA">
      <w:pPr>
        <w:pStyle w:val="5"/>
        <w:rPr>
          <w:color w:val="000000" w:themeColor="text1"/>
        </w:rPr>
      </w:pPr>
      <w:r w:rsidRPr="00D41D30">
        <w:rPr>
          <w:rFonts w:hint="eastAsia"/>
          <w:color w:val="000000" w:themeColor="text1"/>
        </w:rPr>
        <w:t>教育部於全面建立終身學習機構人員專業制度之前，除透過相關培訓增能措施外，刻正研修「樂齡學習專業人員培訓要點」，期能就樂齡學習中心人員以行政規則明</w:t>
      </w:r>
      <w:r w:rsidR="00472F81" w:rsidRPr="00D41D30">
        <w:rPr>
          <w:rFonts w:hint="eastAsia"/>
          <w:color w:val="000000" w:themeColor="text1"/>
        </w:rPr>
        <w:t>訂</w:t>
      </w:r>
      <w:r w:rsidRPr="00D41D30">
        <w:rPr>
          <w:rFonts w:hint="eastAsia"/>
          <w:color w:val="000000" w:themeColor="text1"/>
        </w:rPr>
        <w:t>相關規範，俟建立專業培訓制度後，再逐步朝專業證照制度發展。</w:t>
      </w:r>
    </w:p>
    <w:p w:rsidR="00AC25FA" w:rsidRPr="00D41D30" w:rsidRDefault="00AC25FA" w:rsidP="00AC25FA">
      <w:pPr>
        <w:pStyle w:val="4"/>
        <w:rPr>
          <w:color w:val="000000" w:themeColor="text1"/>
        </w:rPr>
      </w:pPr>
      <w:r w:rsidRPr="00D41D30">
        <w:rPr>
          <w:rFonts w:hint="eastAsia"/>
          <w:color w:val="000000" w:themeColor="text1"/>
        </w:rPr>
        <w:t>強化相關研究並整體規劃終身學習中長程政策為整體規劃終身學習政策及完善終身學習體系，未來除透過國家教育研究院持續提供有關各國終身學習及高齡教育發展趨勢，教育部將結合大學校院研發能量擴展有關終身學習研究及議題規劃，並刻正進行「邁向學習社會白皮書2.0暨終身學習中程計畫」之研擬，將以全國</w:t>
      </w:r>
      <w:r w:rsidRPr="00D41D30">
        <w:rPr>
          <w:rFonts w:hint="eastAsia"/>
          <w:color w:val="000000" w:themeColor="text1"/>
        </w:rPr>
        <w:lastRenderedPageBreak/>
        <w:t>國民為對象，整合各界資源，共同推動終身學習，以期達成建立終身學習社會之願景。</w:t>
      </w:r>
    </w:p>
    <w:p w:rsidR="00AC25FA" w:rsidRPr="00D41D30" w:rsidRDefault="00AC25FA" w:rsidP="00AC25FA">
      <w:pPr>
        <w:pStyle w:val="3"/>
        <w:rPr>
          <w:color w:val="000000" w:themeColor="text1"/>
        </w:rPr>
      </w:pPr>
      <w:bookmarkStart w:id="1053" w:name="_Toc30512552"/>
      <w:bookmarkStart w:id="1054" w:name="_Toc30581260"/>
      <w:bookmarkStart w:id="1055" w:name="_Toc32392533"/>
      <w:bookmarkStart w:id="1056" w:name="_Toc32673724"/>
      <w:bookmarkStart w:id="1057" w:name="_Toc32846585"/>
      <w:bookmarkStart w:id="1058" w:name="_Toc32918501"/>
      <w:bookmarkStart w:id="1059" w:name="_Toc33011788"/>
      <w:r w:rsidRPr="00D41D30">
        <w:rPr>
          <w:rFonts w:hint="eastAsia"/>
          <w:color w:val="000000" w:themeColor="text1"/>
        </w:rPr>
        <w:t>「106年度成人教育調查報告」</w:t>
      </w:r>
      <w:r w:rsidRPr="00D41D30">
        <w:rPr>
          <w:rStyle w:val="aff0"/>
          <w:color w:val="000000" w:themeColor="text1"/>
        </w:rPr>
        <w:footnoteReference w:id="6"/>
      </w:r>
      <w:r w:rsidRPr="00D41D30">
        <w:rPr>
          <w:rFonts w:hint="eastAsia"/>
          <w:color w:val="000000" w:themeColor="text1"/>
        </w:rPr>
        <w:t>重點摘要</w:t>
      </w:r>
      <w:r w:rsidRPr="00D41D30">
        <w:rPr>
          <w:rFonts w:hAnsi="標楷體" w:hint="eastAsia"/>
          <w:color w:val="000000" w:themeColor="text1"/>
        </w:rPr>
        <w:t>：</w:t>
      </w:r>
      <w:bookmarkEnd w:id="1053"/>
      <w:bookmarkEnd w:id="1054"/>
      <w:bookmarkEnd w:id="1055"/>
      <w:bookmarkEnd w:id="1056"/>
      <w:bookmarkEnd w:id="1057"/>
      <w:bookmarkEnd w:id="1058"/>
      <w:bookmarkEnd w:id="1059"/>
    </w:p>
    <w:p w:rsidR="00AC25FA" w:rsidRPr="00D41D30" w:rsidRDefault="00AC25FA" w:rsidP="00AC25FA">
      <w:pPr>
        <w:pStyle w:val="4"/>
        <w:rPr>
          <w:color w:val="000000" w:themeColor="text1"/>
        </w:rPr>
      </w:pPr>
      <w:r w:rsidRPr="00D41D30">
        <w:rPr>
          <w:rFonts w:hint="eastAsia"/>
          <w:color w:val="000000" w:themeColor="text1"/>
        </w:rPr>
        <w:t>制定全民終身學習政策白皮書，以順應社會發展趨勢，全面提升終身學習</w:t>
      </w:r>
      <w:r w:rsidRPr="00D41D30">
        <w:rPr>
          <w:rFonts w:hAnsi="標楷體" w:hint="eastAsia"/>
          <w:color w:val="000000" w:themeColor="text1"/>
        </w:rPr>
        <w:t>：</w:t>
      </w:r>
    </w:p>
    <w:p w:rsidR="00AC25FA" w:rsidRPr="00D41D30" w:rsidRDefault="00AC25FA" w:rsidP="00AC25FA">
      <w:pPr>
        <w:pStyle w:val="5"/>
        <w:rPr>
          <w:color w:val="000000" w:themeColor="text1"/>
        </w:rPr>
      </w:pPr>
      <w:r w:rsidRPr="00D41D30">
        <w:rPr>
          <w:rFonts w:hint="eastAsia"/>
          <w:color w:val="000000" w:themeColor="text1"/>
        </w:rPr>
        <w:t>我國提倡成人教育已行之有年，於1998年推動《邁向學習社會白皮書》，由於成效顯著，使終身學習理念得以蓬勃發展，蔚為潮流。迄今已有20年，臺灣近年來積極推動成人參與正規與非正規學習，成人學習參與率已然呈現成長趨勢，惟成長幅度仍待持續擴展。</w:t>
      </w:r>
    </w:p>
    <w:p w:rsidR="00AC25FA" w:rsidRPr="00D41D30" w:rsidRDefault="00AC25FA" w:rsidP="00AC25FA">
      <w:pPr>
        <w:pStyle w:val="5"/>
        <w:rPr>
          <w:color w:val="000000" w:themeColor="text1"/>
        </w:rPr>
      </w:pPr>
      <w:r w:rsidRPr="00D41D30">
        <w:rPr>
          <w:rFonts w:hint="eastAsia"/>
          <w:color w:val="000000" w:themeColor="text1"/>
        </w:rPr>
        <w:t>檢視今年度調查結果，成人整體參與正規與非正規學習比例為32.84%，相較於105年度的31.84%，乃為提高一個百分點。未來實有需要順應現今社會發展趨勢及國際脈動，以宏觀的視野制定符合未來發展需要之全民終身學習政策白皮書，透過終身學習政策推展及相關配套措施，建構臺灣未來終身學習發展藍圖，進而全面促進終身學習的發展，實現學習社會的理想。</w:t>
      </w:r>
    </w:p>
    <w:p w:rsidR="00AC25FA" w:rsidRPr="00D41D30" w:rsidRDefault="00AC25FA" w:rsidP="00AC25FA">
      <w:pPr>
        <w:pStyle w:val="4"/>
        <w:rPr>
          <w:color w:val="000000" w:themeColor="text1"/>
        </w:rPr>
      </w:pPr>
      <w:r w:rsidRPr="00D41D30">
        <w:rPr>
          <w:rFonts w:hint="eastAsia"/>
          <w:color w:val="000000" w:themeColor="text1"/>
        </w:rPr>
        <w:t>持續深化學習型城市之推展，積極發展學習型組織，建構學習型臺灣</w:t>
      </w:r>
      <w:r w:rsidRPr="00D41D30">
        <w:rPr>
          <w:rFonts w:hAnsi="標楷體" w:hint="eastAsia"/>
          <w:color w:val="000000" w:themeColor="text1"/>
        </w:rPr>
        <w:t>：</w:t>
      </w:r>
    </w:p>
    <w:p w:rsidR="00AC25FA" w:rsidRPr="00D41D30" w:rsidRDefault="00AC25FA" w:rsidP="00AC25FA">
      <w:pPr>
        <w:pStyle w:val="5"/>
        <w:rPr>
          <w:color w:val="000000" w:themeColor="text1"/>
        </w:rPr>
      </w:pPr>
      <w:r w:rsidRPr="00D41D30">
        <w:rPr>
          <w:rFonts w:hint="eastAsia"/>
          <w:color w:val="000000" w:themeColor="text1"/>
        </w:rPr>
        <w:t>教育部自2015年開始推動「全國性學習型城市領航計畫」，成效已然持續顯現。藉由學習型城市領航計畫團隊，成為連結中央與地方垂直溝通、各縣市間水平溝通及外部溝通的重要對話及輔導窗口。</w:t>
      </w:r>
    </w:p>
    <w:p w:rsidR="00AC25FA" w:rsidRPr="00D41D30" w:rsidRDefault="00AC25FA" w:rsidP="00AC25FA">
      <w:pPr>
        <w:pStyle w:val="5"/>
        <w:rPr>
          <w:color w:val="000000" w:themeColor="text1"/>
        </w:rPr>
      </w:pPr>
      <w:r w:rsidRPr="00D41D30">
        <w:rPr>
          <w:rFonts w:hint="eastAsia"/>
          <w:color w:val="000000" w:themeColor="text1"/>
        </w:rPr>
        <w:lastRenderedPageBreak/>
        <w:t>根據調查發現，臺灣各居住地區中，以北部地區成人參與正規與非正規學習比例35.52%為最高，而南部地區30.14%最低，且北部、中部地區相較上一年度調查參與率有所提升，惟南部、東部及外島地區則有下降情形，顯見目前各地區存在成人學習落差問題。爰此，建議未來應持續運作輔導機制，並進行深度與廣度之強化，以學習型城市為重要策略，在深度層面，引導現已推動學習型城市之縣市地區，強化優勢並逐步解決地方問題；在廣度層面，持續將學習型城市擴展至全臺，以營造終身學習的友善環境為目標，積極塑造終身學習文化，進而建構學習型臺灣。</w:t>
      </w:r>
    </w:p>
    <w:p w:rsidR="00AC25FA" w:rsidRPr="00D41D30" w:rsidRDefault="00AC25FA" w:rsidP="00AC25FA">
      <w:pPr>
        <w:pStyle w:val="4"/>
        <w:rPr>
          <w:color w:val="000000" w:themeColor="text1"/>
        </w:rPr>
      </w:pPr>
      <w:r w:rsidRPr="00D41D30">
        <w:rPr>
          <w:rFonts w:hint="eastAsia"/>
          <w:color w:val="000000" w:themeColor="text1"/>
        </w:rPr>
        <w:t>韓國比較部分：「……以近年來積極推動終身學習且同為亞洲國家的韓國做為參照，每年亦均有針對成人學習情形進行調查，參與率2008年為26.4</w:t>
      </w:r>
      <w:r w:rsidR="00AA037A" w:rsidRPr="00D41D30">
        <w:rPr>
          <w:rFonts w:hint="eastAsia"/>
          <w:color w:val="000000" w:themeColor="text1"/>
        </w:rPr>
        <w:t>%</w:t>
      </w:r>
      <w:r w:rsidRPr="00D41D30">
        <w:rPr>
          <w:rFonts w:hint="eastAsia"/>
          <w:color w:val="000000" w:themeColor="text1"/>
        </w:rPr>
        <w:t>，而2017年為34.4</w:t>
      </w:r>
      <w:r w:rsidR="00AA037A" w:rsidRPr="00D41D30">
        <w:rPr>
          <w:rFonts w:hint="eastAsia"/>
          <w:color w:val="000000" w:themeColor="text1"/>
        </w:rPr>
        <w:t>%</w:t>
      </w:r>
      <w:r w:rsidRPr="00D41D30">
        <w:rPr>
          <w:rFonts w:hint="eastAsia"/>
          <w:color w:val="000000" w:themeColor="text1"/>
        </w:rPr>
        <w:t>，上升8個百分點，顯見韓國成人學習呈現持續穩定之成長，且成長速度較我國為大。」</w:t>
      </w:r>
    </w:p>
    <w:p w:rsidR="00582F4B" w:rsidRPr="00D41D30" w:rsidRDefault="00582F4B" w:rsidP="006371A1">
      <w:pPr>
        <w:pStyle w:val="2"/>
        <w:spacing w:beforeLines="50" w:before="228"/>
        <w:ind w:left="1020" w:hanging="680"/>
        <w:rPr>
          <w:rFonts w:hAnsi="標楷體"/>
          <w:b/>
          <w:color w:val="000000" w:themeColor="text1"/>
          <w:szCs w:val="32"/>
        </w:rPr>
      </w:pPr>
      <w:bookmarkStart w:id="1060" w:name="_Toc24962185"/>
      <w:bookmarkStart w:id="1061" w:name="_Toc26196207"/>
      <w:bookmarkStart w:id="1062" w:name="_Toc33011789"/>
      <w:r w:rsidRPr="00D41D30">
        <w:rPr>
          <w:rFonts w:hAnsi="標楷體" w:hint="eastAsia"/>
          <w:b/>
          <w:color w:val="000000" w:themeColor="text1"/>
          <w:szCs w:val="32"/>
        </w:rPr>
        <w:t>本</w:t>
      </w:r>
      <w:r w:rsidR="00882B6F" w:rsidRPr="00D41D30">
        <w:rPr>
          <w:rFonts w:hAnsi="標楷體" w:hint="eastAsia"/>
          <w:b/>
          <w:color w:val="000000" w:themeColor="text1"/>
          <w:szCs w:val="32"/>
        </w:rPr>
        <w:t>案</w:t>
      </w:r>
      <w:r w:rsidRPr="00D41D30">
        <w:rPr>
          <w:rFonts w:hAnsi="標楷體" w:hint="eastAsia"/>
          <w:b/>
          <w:color w:val="000000" w:themeColor="text1"/>
          <w:szCs w:val="32"/>
        </w:rPr>
        <w:t>專家諮詢會議</w:t>
      </w:r>
      <w:r w:rsidR="00F50301" w:rsidRPr="00D41D30">
        <w:rPr>
          <w:rFonts w:hAnsi="標楷體" w:hint="eastAsia"/>
          <w:b/>
          <w:color w:val="000000" w:themeColor="text1"/>
          <w:szCs w:val="32"/>
        </w:rPr>
        <w:t>及相關研討會參與</w:t>
      </w:r>
      <w:r w:rsidRPr="00D41D30">
        <w:rPr>
          <w:rFonts w:hAnsi="標楷體" w:hint="eastAsia"/>
          <w:b/>
          <w:color w:val="000000" w:themeColor="text1"/>
          <w:szCs w:val="32"/>
        </w:rPr>
        <w:t>情形摘要</w:t>
      </w:r>
      <w:bookmarkEnd w:id="1060"/>
      <w:bookmarkEnd w:id="1061"/>
      <w:bookmarkEnd w:id="1062"/>
    </w:p>
    <w:p w:rsidR="00582F4B" w:rsidRPr="00D41D30" w:rsidRDefault="00582F4B" w:rsidP="00BA5987">
      <w:pPr>
        <w:pStyle w:val="3"/>
        <w:numPr>
          <w:ilvl w:val="0"/>
          <w:numId w:val="21"/>
        </w:numPr>
        <w:overflowPunct/>
        <w:autoSpaceDE/>
        <w:autoSpaceDN/>
        <w:rPr>
          <w:rFonts w:hAnsi="標楷體"/>
          <w:color w:val="000000" w:themeColor="text1"/>
        </w:rPr>
      </w:pPr>
      <w:bookmarkStart w:id="1063" w:name="_Toc32846587"/>
      <w:bookmarkStart w:id="1064" w:name="_Toc32918503"/>
      <w:bookmarkStart w:id="1065" w:name="_Toc33011790"/>
      <w:r w:rsidRPr="00D41D30">
        <w:rPr>
          <w:rFonts w:hAnsi="標楷體" w:hint="eastAsia"/>
          <w:color w:val="000000" w:themeColor="text1"/>
        </w:rPr>
        <w:t>第1場諮詢會議基本資料：</w:t>
      </w:r>
      <w:bookmarkEnd w:id="1063"/>
      <w:bookmarkEnd w:id="1064"/>
      <w:bookmarkEnd w:id="1065"/>
    </w:p>
    <w:p w:rsidR="00582F4B" w:rsidRPr="00D41D30" w:rsidRDefault="00582F4B" w:rsidP="004F27F4">
      <w:pPr>
        <w:pStyle w:val="4"/>
        <w:overflowPunct/>
        <w:autoSpaceDE/>
        <w:autoSpaceDN/>
        <w:ind w:left="1560" w:hanging="426"/>
        <w:rPr>
          <w:rFonts w:hAnsi="標楷體"/>
          <w:color w:val="000000" w:themeColor="text1"/>
        </w:rPr>
      </w:pPr>
      <w:r w:rsidRPr="00D41D30">
        <w:rPr>
          <w:rFonts w:hAnsi="標楷體" w:hint="eastAsia"/>
          <w:color w:val="000000" w:themeColor="text1"/>
        </w:rPr>
        <w:t>時間：</w:t>
      </w:r>
      <w:r w:rsidR="005B7A6D" w:rsidRPr="00D41D30">
        <w:rPr>
          <w:rFonts w:ascii="Times New Roman" w:hAnsi="Times New Roman"/>
          <w:color w:val="000000" w:themeColor="text1"/>
          <w:szCs w:val="20"/>
        </w:rPr>
        <w:t>10</w:t>
      </w:r>
      <w:r w:rsidR="005B7A6D" w:rsidRPr="00D41D30">
        <w:rPr>
          <w:rFonts w:ascii="Times New Roman" w:hAnsi="Times New Roman" w:hint="eastAsia"/>
          <w:color w:val="000000" w:themeColor="text1"/>
          <w:szCs w:val="20"/>
        </w:rPr>
        <w:t>8</w:t>
      </w:r>
      <w:r w:rsidR="005B7A6D" w:rsidRPr="00D41D30">
        <w:rPr>
          <w:rFonts w:ascii="Times New Roman" w:hAnsi="Times New Roman"/>
          <w:color w:val="000000" w:themeColor="text1"/>
          <w:szCs w:val="20"/>
        </w:rPr>
        <w:t>年</w:t>
      </w:r>
      <w:r w:rsidR="005B7A6D" w:rsidRPr="00D41D30">
        <w:rPr>
          <w:rFonts w:ascii="Times New Roman" w:hAnsi="Times New Roman" w:hint="eastAsia"/>
          <w:color w:val="000000" w:themeColor="text1"/>
          <w:szCs w:val="20"/>
        </w:rPr>
        <w:t>9</w:t>
      </w:r>
      <w:r w:rsidR="005B7A6D" w:rsidRPr="00D41D30">
        <w:rPr>
          <w:rFonts w:ascii="Times New Roman" w:hAnsi="Times New Roman"/>
          <w:color w:val="000000" w:themeColor="text1"/>
          <w:szCs w:val="20"/>
        </w:rPr>
        <w:t>月</w:t>
      </w:r>
      <w:r w:rsidR="005B7A6D" w:rsidRPr="00D41D30">
        <w:rPr>
          <w:rFonts w:ascii="Times New Roman" w:hAnsi="Times New Roman" w:hint="eastAsia"/>
          <w:color w:val="000000" w:themeColor="text1"/>
          <w:szCs w:val="20"/>
        </w:rPr>
        <w:t>9</w:t>
      </w:r>
      <w:r w:rsidR="005B7A6D" w:rsidRPr="00D41D30">
        <w:rPr>
          <w:rFonts w:ascii="Times New Roman" w:hAnsi="Times New Roman"/>
          <w:color w:val="000000" w:themeColor="text1"/>
          <w:szCs w:val="20"/>
        </w:rPr>
        <w:t>日（</w:t>
      </w:r>
      <w:r w:rsidR="007144FD" w:rsidRPr="00D41D30">
        <w:rPr>
          <w:rFonts w:ascii="Times New Roman" w:hAnsi="Times New Roman" w:hint="eastAsia"/>
          <w:color w:val="000000" w:themeColor="text1"/>
          <w:szCs w:val="20"/>
        </w:rPr>
        <w:t>星期</w:t>
      </w:r>
      <w:r w:rsidR="005B7A6D" w:rsidRPr="00D41D30">
        <w:rPr>
          <w:rFonts w:ascii="Times New Roman" w:hAnsi="Times New Roman" w:hint="eastAsia"/>
          <w:color w:val="000000" w:themeColor="text1"/>
          <w:szCs w:val="20"/>
        </w:rPr>
        <w:t>四</w:t>
      </w:r>
      <w:r w:rsidR="005B7A6D" w:rsidRPr="00D41D30">
        <w:rPr>
          <w:rFonts w:ascii="Times New Roman" w:hAnsi="Times New Roman"/>
          <w:color w:val="000000" w:themeColor="text1"/>
          <w:szCs w:val="20"/>
        </w:rPr>
        <w:t>）</w:t>
      </w:r>
      <w:r w:rsidR="005B7A6D" w:rsidRPr="00D41D30">
        <w:rPr>
          <w:rFonts w:ascii="Times New Roman" w:hAnsi="Times New Roman" w:hint="eastAsia"/>
          <w:color w:val="000000" w:themeColor="text1"/>
          <w:szCs w:val="20"/>
        </w:rPr>
        <w:t>上</w:t>
      </w:r>
      <w:r w:rsidR="005B7A6D" w:rsidRPr="00D41D30">
        <w:rPr>
          <w:rFonts w:ascii="Times New Roman" w:hAnsi="Times New Roman"/>
          <w:color w:val="000000" w:themeColor="text1"/>
          <w:szCs w:val="20"/>
        </w:rPr>
        <w:t>午</w:t>
      </w:r>
      <w:r w:rsidR="005B7A6D" w:rsidRPr="00D41D30">
        <w:rPr>
          <w:rFonts w:ascii="Times New Roman" w:hAnsi="Times New Roman" w:hint="eastAsia"/>
          <w:color w:val="000000" w:themeColor="text1"/>
          <w:szCs w:val="20"/>
        </w:rPr>
        <w:t>10</w:t>
      </w:r>
      <w:r w:rsidR="005B7A6D" w:rsidRPr="00D41D30">
        <w:rPr>
          <w:rFonts w:ascii="Times New Roman" w:hAnsi="Times New Roman"/>
          <w:color w:val="000000" w:themeColor="text1"/>
          <w:szCs w:val="20"/>
        </w:rPr>
        <w:t>時</w:t>
      </w:r>
      <w:r w:rsidRPr="00D41D30">
        <w:rPr>
          <w:rFonts w:hAnsi="標楷體" w:hint="eastAsia"/>
          <w:color w:val="000000" w:themeColor="text1"/>
        </w:rPr>
        <w:t>。</w:t>
      </w:r>
    </w:p>
    <w:p w:rsidR="00582F4B" w:rsidRPr="00D41D30" w:rsidRDefault="00582F4B" w:rsidP="00582F4B">
      <w:pPr>
        <w:pStyle w:val="4"/>
        <w:overflowPunct/>
        <w:autoSpaceDE/>
        <w:autoSpaceDN/>
        <w:ind w:left="1832" w:hanging="698"/>
        <w:rPr>
          <w:rFonts w:hAnsi="標楷體"/>
          <w:color w:val="000000" w:themeColor="text1"/>
        </w:rPr>
      </w:pPr>
      <w:r w:rsidRPr="00D41D30">
        <w:rPr>
          <w:rFonts w:hAnsi="標楷體" w:hint="eastAsia"/>
          <w:color w:val="000000" w:themeColor="text1"/>
        </w:rPr>
        <w:t>地點：監察院</w:t>
      </w:r>
      <w:r w:rsidR="00D05270" w:rsidRPr="00D41D30">
        <w:rPr>
          <w:rFonts w:hAnsi="標楷體" w:hint="eastAsia"/>
          <w:color w:val="000000" w:themeColor="text1"/>
        </w:rPr>
        <w:t>8</w:t>
      </w:r>
      <w:r w:rsidRPr="00D41D30">
        <w:rPr>
          <w:rFonts w:hAnsi="標楷體" w:hint="eastAsia"/>
          <w:color w:val="000000" w:themeColor="text1"/>
        </w:rPr>
        <w:t>樓第</w:t>
      </w:r>
      <w:r w:rsidR="00D05270" w:rsidRPr="00D41D30">
        <w:rPr>
          <w:rFonts w:hAnsi="標楷體" w:hint="eastAsia"/>
          <w:color w:val="000000" w:themeColor="text1"/>
        </w:rPr>
        <w:t>8</w:t>
      </w:r>
      <w:r w:rsidRPr="00D41D30">
        <w:rPr>
          <w:rFonts w:hAnsi="標楷體" w:hint="eastAsia"/>
          <w:color w:val="000000" w:themeColor="text1"/>
        </w:rPr>
        <w:t>會議室。</w:t>
      </w:r>
    </w:p>
    <w:p w:rsidR="00582F4B" w:rsidRPr="00D41D30" w:rsidRDefault="00582F4B" w:rsidP="00921D0C">
      <w:pPr>
        <w:pStyle w:val="4"/>
        <w:ind w:hanging="567"/>
        <w:rPr>
          <w:color w:val="000000" w:themeColor="text1"/>
        </w:rPr>
      </w:pPr>
      <w:r w:rsidRPr="00D41D30">
        <w:rPr>
          <w:rFonts w:hint="eastAsia"/>
          <w:color w:val="000000" w:themeColor="text1"/>
        </w:rPr>
        <w:t>出席學者專家（按姓氏筆劃少至多排序）：</w:t>
      </w:r>
      <w:r w:rsidR="00D05270" w:rsidRPr="00D41D30">
        <w:rPr>
          <w:rFonts w:hAnsi="標楷體" w:hint="eastAsia"/>
          <w:color w:val="000000" w:themeColor="text1"/>
        </w:rPr>
        <w:t>國立高雄師範大學王政彥副校長、正修科技大學企業管理系周燦德教授、國立臺灣師範大學社會教育學系黃富順教授、朝陽科技大學銀髮產業管理系楊國德教授</w:t>
      </w:r>
      <w:r w:rsidRPr="00D41D30">
        <w:rPr>
          <w:rFonts w:hint="eastAsia"/>
          <w:color w:val="000000" w:themeColor="text1"/>
        </w:rPr>
        <w:t>。</w:t>
      </w:r>
    </w:p>
    <w:p w:rsidR="00582F4B" w:rsidRPr="00D41D30" w:rsidRDefault="00582F4B" w:rsidP="00582F4B">
      <w:pPr>
        <w:pStyle w:val="4"/>
        <w:overflowPunct/>
        <w:autoSpaceDE/>
        <w:autoSpaceDN/>
        <w:ind w:left="1832" w:hanging="698"/>
        <w:rPr>
          <w:color w:val="000000" w:themeColor="text1"/>
        </w:rPr>
      </w:pPr>
      <w:r w:rsidRPr="00D41D30">
        <w:rPr>
          <w:rFonts w:hint="eastAsia"/>
          <w:color w:val="000000" w:themeColor="text1"/>
        </w:rPr>
        <w:lastRenderedPageBreak/>
        <w:t>諮詢會議紀錄重點摘要詳如附件</w:t>
      </w:r>
      <w:r w:rsidR="00F17C68" w:rsidRPr="00D41D30">
        <w:rPr>
          <w:rFonts w:hint="eastAsia"/>
          <w:color w:val="000000" w:themeColor="text1"/>
        </w:rPr>
        <w:t>一</w:t>
      </w:r>
      <w:r w:rsidRPr="00D41D30">
        <w:rPr>
          <w:rFonts w:hint="eastAsia"/>
          <w:color w:val="000000" w:themeColor="text1"/>
        </w:rPr>
        <w:t>。</w:t>
      </w:r>
    </w:p>
    <w:p w:rsidR="00582F4B" w:rsidRPr="00D41D30" w:rsidRDefault="00582F4B" w:rsidP="00BA5987">
      <w:pPr>
        <w:pStyle w:val="3"/>
        <w:numPr>
          <w:ilvl w:val="0"/>
          <w:numId w:val="21"/>
        </w:numPr>
        <w:overflowPunct/>
        <w:autoSpaceDE/>
        <w:autoSpaceDN/>
        <w:rPr>
          <w:color w:val="000000" w:themeColor="text1"/>
        </w:rPr>
      </w:pPr>
      <w:bookmarkStart w:id="1066" w:name="_Toc32846588"/>
      <w:bookmarkStart w:id="1067" w:name="_Toc32918504"/>
      <w:bookmarkStart w:id="1068" w:name="_Toc33011791"/>
      <w:r w:rsidRPr="00D41D30">
        <w:rPr>
          <w:rFonts w:hint="eastAsia"/>
          <w:color w:val="000000" w:themeColor="text1"/>
        </w:rPr>
        <w:t>第2場</w:t>
      </w:r>
      <w:r w:rsidRPr="00D41D30">
        <w:rPr>
          <w:rFonts w:hAnsi="標楷體" w:hint="eastAsia"/>
          <w:color w:val="000000" w:themeColor="text1"/>
        </w:rPr>
        <w:t>諮詢會議基本資料：</w:t>
      </w:r>
      <w:bookmarkEnd w:id="1066"/>
      <w:bookmarkEnd w:id="1067"/>
      <w:bookmarkEnd w:id="1068"/>
    </w:p>
    <w:p w:rsidR="00582F4B" w:rsidRPr="00D41D30" w:rsidRDefault="00582F4B" w:rsidP="00BA5987">
      <w:pPr>
        <w:pStyle w:val="4"/>
        <w:numPr>
          <w:ilvl w:val="3"/>
          <w:numId w:val="15"/>
        </w:numPr>
        <w:overflowPunct/>
        <w:autoSpaceDE/>
        <w:autoSpaceDN/>
        <w:ind w:hanging="567"/>
        <w:rPr>
          <w:rFonts w:hAnsi="標楷體"/>
          <w:color w:val="000000" w:themeColor="text1"/>
        </w:rPr>
      </w:pPr>
      <w:r w:rsidRPr="00D41D30">
        <w:rPr>
          <w:rFonts w:hAnsi="標楷體" w:hint="eastAsia"/>
          <w:color w:val="000000" w:themeColor="text1"/>
        </w:rPr>
        <w:t>時間：108年</w:t>
      </w:r>
      <w:r w:rsidR="00C40D0D" w:rsidRPr="00D41D30">
        <w:rPr>
          <w:rFonts w:hAnsi="標楷體" w:hint="eastAsia"/>
          <w:color w:val="000000" w:themeColor="text1"/>
        </w:rPr>
        <w:t>9月25日（</w:t>
      </w:r>
      <w:r w:rsidR="007144FD" w:rsidRPr="00D41D30">
        <w:rPr>
          <w:rFonts w:hAnsi="標楷體" w:hint="eastAsia"/>
          <w:color w:val="000000" w:themeColor="text1"/>
        </w:rPr>
        <w:t>星期</w:t>
      </w:r>
      <w:r w:rsidR="00C40D0D" w:rsidRPr="00D41D30">
        <w:rPr>
          <w:rFonts w:hAnsi="標楷體" w:hint="eastAsia"/>
          <w:color w:val="000000" w:themeColor="text1"/>
        </w:rPr>
        <w:t>三）上午10時</w:t>
      </w:r>
      <w:r w:rsidRPr="00D41D30">
        <w:rPr>
          <w:rFonts w:hAnsi="標楷體" w:hint="eastAsia"/>
          <w:color w:val="000000" w:themeColor="text1"/>
        </w:rPr>
        <w:t>。</w:t>
      </w:r>
    </w:p>
    <w:p w:rsidR="00582F4B" w:rsidRPr="00D41D30" w:rsidRDefault="00582F4B" w:rsidP="00582F4B">
      <w:pPr>
        <w:pStyle w:val="4"/>
        <w:overflowPunct/>
        <w:autoSpaceDE/>
        <w:autoSpaceDN/>
        <w:ind w:left="1832" w:hanging="698"/>
        <w:rPr>
          <w:rFonts w:hAnsi="標楷體"/>
          <w:color w:val="000000" w:themeColor="text1"/>
        </w:rPr>
      </w:pPr>
      <w:r w:rsidRPr="00D41D30">
        <w:rPr>
          <w:rFonts w:hAnsi="標楷體" w:hint="eastAsia"/>
          <w:color w:val="000000" w:themeColor="text1"/>
        </w:rPr>
        <w:t>地點：監察院4樓第</w:t>
      </w:r>
      <w:r w:rsidR="00C40D0D" w:rsidRPr="00D41D30">
        <w:rPr>
          <w:rFonts w:hAnsi="標楷體" w:hint="eastAsia"/>
          <w:color w:val="000000" w:themeColor="text1"/>
        </w:rPr>
        <w:t>4</w:t>
      </w:r>
      <w:r w:rsidRPr="00D41D30">
        <w:rPr>
          <w:rFonts w:hAnsi="標楷體" w:hint="eastAsia"/>
          <w:color w:val="000000" w:themeColor="text1"/>
        </w:rPr>
        <w:t>會議室。</w:t>
      </w:r>
    </w:p>
    <w:p w:rsidR="00582F4B" w:rsidRPr="00D41D30" w:rsidRDefault="00582F4B" w:rsidP="00B4177C">
      <w:pPr>
        <w:pStyle w:val="4"/>
        <w:overflowPunct/>
        <w:autoSpaceDE/>
        <w:autoSpaceDN/>
        <w:ind w:hanging="567"/>
        <w:rPr>
          <w:rFonts w:hAnsi="標楷體"/>
          <w:color w:val="000000" w:themeColor="text1"/>
        </w:rPr>
      </w:pPr>
      <w:r w:rsidRPr="00D41D30">
        <w:rPr>
          <w:rFonts w:hAnsi="標楷體" w:hint="eastAsia"/>
          <w:color w:val="000000" w:themeColor="text1"/>
        </w:rPr>
        <w:t>出席學者專家：</w:t>
      </w:r>
      <w:r w:rsidR="00B92D0B" w:rsidRPr="00D41D30">
        <w:rPr>
          <w:rFonts w:ascii="Times New Roman" w:hAnsi="Times New Roman" w:hint="eastAsia"/>
          <w:color w:val="000000" w:themeColor="text1"/>
          <w:szCs w:val="20"/>
        </w:rPr>
        <w:t>臺灣高齡化政策暨產業發展協會</w:t>
      </w:r>
      <w:r w:rsidR="00B92D0B" w:rsidRPr="00D41D30">
        <w:rPr>
          <w:rFonts w:ascii="Times New Roman" w:hAnsi="Times New Roman" w:hint="eastAsia"/>
          <w:color w:val="000000" w:themeColor="text1"/>
          <w:szCs w:val="20"/>
        </w:rPr>
        <w:t xml:space="preserve"> </w:t>
      </w:r>
      <w:r w:rsidR="00B92D0B" w:rsidRPr="00D41D30">
        <w:rPr>
          <w:rFonts w:ascii="Times New Roman" w:hAnsi="Times New Roman" w:hint="eastAsia"/>
          <w:color w:val="000000" w:themeColor="text1"/>
          <w:szCs w:val="20"/>
        </w:rPr>
        <w:t>楊志良</w:t>
      </w:r>
      <w:r w:rsidR="00B92D0B" w:rsidRPr="00D41D30">
        <w:rPr>
          <w:rFonts w:hAnsi="標楷體" w:hint="eastAsia"/>
          <w:color w:val="000000" w:themeColor="text1"/>
        </w:rPr>
        <w:t>理事長</w:t>
      </w:r>
      <w:r w:rsidRPr="00D41D30">
        <w:rPr>
          <w:rFonts w:hAnsi="標楷體" w:hint="eastAsia"/>
          <w:color w:val="000000" w:themeColor="text1"/>
        </w:rPr>
        <w:t>。</w:t>
      </w:r>
    </w:p>
    <w:p w:rsidR="00582F4B" w:rsidRPr="00D41D30" w:rsidRDefault="00582F4B" w:rsidP="00582F4B">
      <w:pPr>
        <w:pStyle w:val="4"/>
        <w:overflowPunct/>
        <w:autoSpaceDE/>
        <w:autoSpaceDN/>
        <w:ind w:left="1832" w:hanging="698"/>
        <w:rPr>
          <w:rFonts w:hAnsi="標楷體"/>
          <w:color w:val="000000" w:themeColor="text1"/>
        </w:rPr>
      </w:pPr>
      <w:r w:rsidRPr="00D41D30">
        <w:rPr>
          <w:rFonts w:hint="eastAsia"/>
          <w:color w:val="000000" w:themeColor="text1"/>
        </w:rPr>
        <w:t>諮詢會議紀錄重點摘要詳如附件</w:t>
      </w:r>
      <w:r w:rsidR="00F17C68" w:rsidRPr="00D41D30">
        <w:rPr>
          <w:rFonts w:hint="eastAsia"/>
          <w:color w:val="000000" w:themeColor="text1"/>
        </w:rPr>
        <w:t>二</w:t>
      </w:r>
      <w:r w:rsidRPr="00D41D30">
        <w:rPr>
          <w:rFonts w:hint="eastAsia"/>
          <w:color w:val="000000" w:themeColor="text1"/>
        </w:rPr>
        <w:t>。</w:t>
      </w:r>
    </w:p>
    <w:p w:rsidR="009B22D0" w:rsidRPr="00D41D30" w:rsidRDefault="007144FD" w:rsidP="00BA5987">
      <w:pPr>
        <w:pStyle w:val="3"/>
        <w:numPr>
          <w:ilvl w:val="0"/>
          <w:numId w:val="21"/>
        </w:numPr>
        <w:overflowPunct/>
        <w:autoSpaceDE/>
        <w:autoSpaceDN/>
        <w:rPr>
          <w:color w:val="000000" w:themeColor="text1"/>
        </w:rPr>
      </w:pPr>
      <w:bookmarkStart w:id="1069" w:name="_Toc32846589"/>
      <w:bookmarkStart w:id="1070" w:name="_Toc32918505"/>
      <w:bookmarkStart w:id="1071" w:name="_Toc33011792"/>
      <w:r w:rsidRPr="00D41D30">
        <w:rPr>
          <w:rFonts w:hint="eastAsia"/>
          <w:color w:val="000000" w:themeColor="text1"/>
        </w:rPr>
        <w:t>108年</w:t>
      </w:r>
      <w:r w:rsidR="007A1F55" w:rsidRPr="00D41D30">
        <w:rPr>
          <w:rFonts w:hint="eastAsia"/>
          <w:color w:val="000000" w:themeColor="text1"/>
        </w:rPr>
        <w:t>9月27日（星期五）、28日（星期六）</w:t>
      </w:r>
      <w:r w:rsidRPr="00D41D30">
        <w:rPr>
          <w:rFonts w:hint="eastAsia"/>
          <w:color w:val="000000" w:themeColor="text1"/>
        </w:rPr>
        <w:t>由國立臺灣師範大學等主辦之「2019終身學習的傳承與創新暨楊國賜教授終身教育思想研討會」</w:t>
      </w:r>
      <w:r w:rsidR="0044617D" w:rsidRPr="00D41D30">
        <w:rPr>
          <w:rFonts w:hint="eastAsia"/>
          <w:color w:val="000000" w:themeColor="text1"/>
        </w:rPr>
        <w:t>，</w:t>
      </w:r>
      <w:r w:rsidR="0044617D" w:rsidRPr="00D41D30">
        <w:rPr>
          <w:rFonts w:hAnsi="標楷體" w:hint="eastAsia"/>
          <w:color w:val="000000" w:themeColor="text1"/>
          <w:szCs w:val="32"/>
        </w:rPr>
        <w:t>由本案協查人員</w:t>
      </w:r>
      <w:r w:rsidR="008074C1" w:rsidRPr="00D41D30">
        <w:rPr>
          <w:rFonts w:hAnsi="標楷體" w:hint="eastAsia"/>
          <w:color w:val="000000" w:themeColor="text1"/>
          <w:szCs w:val="32"/>
        </w:rPr>
        <w:t>出席聆聽</w:t>
      </w:r>
      <w:r w:rsidR="001445E3" w:rsidRPr="00D41D30">
        <w:rPr>
          <w:rFonts w:hAnsi="標楷體" w:hint="eastAsia"/>
          <w:color w:val="000000" w:themeColor="text1"/>
          <w:szCs w:val="32"/>
        </w:rPr>
        <w:t>，並蒐集本案相關資料</w:t>
      </w:r>
      <w:r w:rsidR="0044617D" w:rsidRPr="00D41D30">
        <w:rPr>
          <w:rFonts w:hAnsi="標楷體" w:hint="eastAsia"/>
          <w:color w:val="000000" w:themeColor="text1"/>
          <w:szCs w:val="32"/>
        </w:rPr>
        <w:t>。</w:t>
      </w:r>
      <w:bookmarkEnd w:id="1069"/>
      <w:bookmarkEnd w:id="1070"/>
      <w:bookmarkEnd w:id="1071"/>
    </w:p>
    <w:p w:rsidR="009B22D0" w:rsidRPr="00D41D30" w:rsidRDefault="00CD4C96" w:rsidP="00BA5987">
      <w:pPr>
        <w:pStyle w:val="3"/>
        <w:numPr>
          <w:ilvl w:val="0"/>
          <w:numId w:val="21"/>
        </w:numPr>
        <w:overflowPunct/>
        <w:autoSpaceDE/>
        <w:autoSpaceDN/>
        <w:rPr>
          <w:color w:val="000000" w:themeColor="text1"/>
        </w:rPr>
      </w:pPr>
      <w:bookmarkStart w:id="1072" w:name="_Toc32846590"/>
      <w:bookmarkStart w:id="1073" w:name="_Toc32918506"/>
      <w:bookmarkStart w:id="1074" w:name="_Toc33011793"/>
      <w:r w:rsidRPr="00D41D30">
        <w:rPr>
          <w:rFonts w:hAnsi="標楷體" w:hint="eastAsia"/>
          <w:color w:val="000000" w:themeColor="text1"/>
          <w:szCs w:val="32"/>
        </w:rPr>
        <w:t>108年10月18日</w:t>
      </w:r>
      <w:r w:rsidR="007A1F55" w:rsidRPr="00D41D30">
        <w:rPr>
          <w:rFonts w:hAnsi="標楷體" w:hint="eastAsia"/>
          <w:color w:val="000000" w:themeColor="text1"/>
          <w:szCs w:val="32"/>
        </w:rPr>
        <w:t>（星期五）</w:t>
      </w:r>
      <w:r w:rsidRPr="00D41D30">
        <w:rPr>
          <w:rFonts w:hAnsi="標楷體" w:hint="eastAsia"/>
          <w:color w:val="000000" w:themeColor="text1"/>
          <w:szCs w:val="32"/>
        </w:rPr>
        <w:t>由國立暨南國際大學主辦之「2019全民終身</w:t>
      </w:r>
      <w:r w:rsidRPr="00D41D30">
        <w:rPr>
          <w:rFonts w:hAnsi="標楷體" w:hint="eastAsia"/>
          <w:color w:val="000000" w:themeColor="text1"/>
        </w:rPr>
        <w:t>學習</w:t>
      </w:r>
      <w:r w:rsidRPr="00D41D30">
        <w:rPr>
          <w:rFonts w:hAnsi="標楷體" w:hint="eastAsia"/>
          <w:color w:val="000000" w:themeColor="text1"/>
          <w:szCs w:val="32"/>
        </w:rPr>
        <w:t>論壇：學習型城市的未來展望與永續發展」。</w:t>
      </w:r>
      <w:r w:rsidR="00BA0E27" w:rsidRPr="00D41D30">
        <w:rPr>
          <w:rFonts w:hAnsi="標楷體" w:hint="eastAsia"/>
          <w:color w:val="000000" w:themeColor="text1"/>
          <w:szCs w:val="32"/>
        </w:rPr>
        <w:t>由本案調查委員江綺雯委員</w:t>
      </w:r>
      <w:r w:rsidR="00DD2353" w:rsidRPr="00D41D30">
        <w:rPr>
          <w:rFonts w:hAnsi="標楷體" w:hint="eastAsia"/>
          <w:color w:val="000000" w:themeColor="text1"/>
          <w:szCs w:val="32"/>
        </w:rPr>
        <w:t>率</w:t>
      </w:r>
      <w:r w:rsidR="00BA0E27" w:rsidRPr="00D41D30">
        <w:rPr>
          <w:rFonts w:hAnsi="標楷體" w:hint="eastAsia"/>
          <w:color w:val="000000" w:themeColor="text1"/>
          <w:szCs w:val="32"/>
        </w:rPr>
        <w:t>協查人員出席聆聽</w:t>
      </w:r>
      <w:r w:rsidR="001445E3" w:rsidRPr="00D41D30">
        <w:rPr>
          <w:rFonts w:hAnsi="標楷體" w:hint="eastAsia"/>
          <w:color w:val="000000" w:themeColor="text1"/>
          <w:szCs w:val="32"/>
        </w:rPr>
        <w:t>，</w:t>
      </w:r>
      <w:r w:rsidR="00BA0E27" w:rsidRPr="00D41D30">
        <w:rPr>
          <w:rFonts w:hAnsi="標楷體" w:hint="eastAsia"/>
          <w:color w:val="000000" w:themeColor="text1"/>
          <w:szCs w:val="32"/>
        </w:rPr>
        <w:t>並蒐集</w:t>
      </w:r>
      <w:r w:rsidR="001445E3" w:rsidRPr="00D41D30">
        <w:rPr>
          <w:rFonts w:hAnsi="標楷體" w:hint="eastAsia"/>
          <w:color w:val="000000" w:themeColor="text1"/>
          <w:szCs w:val="32"/>
        </w:rPr>
        <w:t>本案</w:t>
      </w:r>
      <w:r w:rsidR="00BA0E27" w:rsidRPr="00D41D30">
        <w:rPr>
          <w:rFonts w:hAnsi="標楷體" w:hint="eastAsia"/>
          <w:color w:val="000000" w:themeColor="text1"/>
          <w:szCs w:val="32"/>
        </w:rPr>
        <w:t>相關資料。</w:t>
      </w:r>
      <w:r w:rsidR="00BA535C" w:rsidRPr="00D41D30">
        <w:rPr>
          <w:rFonts w:hint="eastAsia"/>
          <w:color w:val="000000" w:themeColor="text1"/>
        </w:rPr>
        <w:t>（</w:t>
      </w:r>
      <w:r w:rsidR="0018752C" w:rsidRPr="00D41D30">
        <w:rPr>
          <w:rFonts w:hint="eastAsia"/>
          <w:color w:val="000000" w:themeColor="text1"/>
        </w:rPr>
        <w:t>相關照片</w:t>
      </w:r>
      <w:r w:rsidR="00BB5EC8" w:rsidRPr="00D41D30">
        <w:rPr>
          <w:rFonts w:hint="eastAsia"/>
          <w:color w:val="000000" w:themeColor="text1"/>
        </w:rPr>
        <w:t>彙整紀錄</w:t>
      </w:r>
      <w:r w:rsidR="00BA535C" w:rsidRPr="00D41D30">
        <w:rPr>
          <w:rFonts w:hint="eastAsia"/>
          <w:color w:val="000000" w:themeColor="text1"/>
        </w:rPr>
        <w:t>如附件</w:t>
      </w:r>
      <w:r w:rsidR="005A1737" w:rsidRPr="00D41D30">
        <w:rPr>
          <w:rFonts w:hint="eastAsia"/>
          <w:color w:val="000000" w:themeColor="text1"/>
        </w:rPr>
        <w:t>三</w:t>
      </w:r>
      <w:r w:rsidR="0018752C" w:rsidRPr="00D41D30">
        <w:rPr>
          <w:rFonts w:hint="eastAsia"/>
          <w:color w:val="000000" w:themeColor="text1"/>
        </w:rPr>
        <w:t>）</w:t>
      </w:r>
      <w:r w:rsidR="005707B5" w:rsidRPr="00D41D30">
        <w:rPr>
          <w:rFonts w:hint="eastAsia"/>
          <w:color w:val="000000" w:themeColor="text1"/>
        </w:rPr>
        <w:t>。</w:t>
      </w:r>
      <w:bookmarkEnd w:id="1072"/>
      <w:bookmarkEnd w:id="1073"/>
      <w:bookmarkEnd w:id="1074"/>
    </w:p>
    <w:p w:rsidR="00582F4B" w:rsidRPr="00D41D30" w:rsidRDefault="00582F4B" w:rsidP="0037551B">
      <w:pPr>
        <w:pStyle w:val="2"/>
        <w:spacing w:beforeLines="50" w:before="228"/>
        <w:ind w:left="1020" w:hanging="680"/>
        <w:rPr>
          <w:rFonts w:hAnsi="標楷體"/>
          <w:b/>
          <w:color w:val="000000" w:themeColor="text1"/>
          <w:szCs w:val="32"/>
        </w:rPr>
      </w:pPr>
      <w:bookmarkStart w:id="1075" w:name="_Toc24962186"/>
      <w:bookmarkStart w:id="1076" w:name="_Toc26196208"/>
      <w:bookmarkStart w:id="1077" w:name="_Toc33011794"/>
      <w:r w:rsidRPr="00D41D30">
        <w:rPr>
          <w:rFonts w:hAnsi="標楷體" w:hint="eastAsia"/>
          <w:b/>
          <w:color w:val="000000" w:themeColor="text1"/>
          <w:szCs w:val="32"/>
        </w:rPr>
        <w:t>本</w:t>
      </w:r>
      <w:r w:rsidR="003E7AAC" w:rsidRPr="00D41D30">
        <w:rPr>
          <w:rFonts w:hAnsi="標楷體" w:hint="eastAsia"/>
          <w:b/>
          <w:color w:val="000000" w:themeColor="text1"/>
          <w:szCs w:val="32"/>
        </w:rPr>
        <w:t>案</w:t>
      </w:r>
      <w:r w:rsidRPr="00D41D30">
        <w:rPr>
          <w:rFonts w:hAnsi="標楷體" w:hint="eastAsia"/>
          <w:b/>
          <w:color w:val="000000" w:themeColor="text1"/>
          <w:szCs w:val="32"/>
        </w:rPr>
        <w:t>相關國內</w:t>
      </w:r>
      <w:r w:rsidR="00591FFF" w:rsidRPr="00D41D30">
        <w:rPr>
          <w:rFonts w:hAnsi="標楷體" w:hint="eastAsia"/>
          <w:b/>
          <w:color w:val="000000" w:themeColor="text1"/>
          <w:szCs w:val="32"/>
        </w:rPr>
        <w:t>履勘</w:t>
      </w:r>
      <w:r w:rsidRPr="00D41D30">
        <w:rPr>
          <w:rFonts w:hAnsi="標楷體" w:hint="eastAsia"/>
          <w:b/>
          <w:color w:val="000000" w:themeColor="text1"/>
          <w:szCs w:val="32"/>
        </w:rPr>
        <w:t>及座談會議情形</w:t>
      </w:r>
      <w:bookmarkEnd w:id="1075"/>
      <w:bookmarkEnd w:id="1076"/>
      <w:bookmarkEnd w:id="1077"/>
    </w:p>
    <w:p w:rsidR="003A595B" w:rsidRPr="00D41D30" w:rsidRDefault="003A595B" w:rsidP="00BA5987">
      <w:pPr>
        <w:pStyle w:val="3"/>
        <w:numPr>
          <w:ilvl w:val="0"/>
          <w:numId w:val="22"/>
        </w:numPr>
        <w:overflowPunct/>
        <w:autoSpaceDE/>
        <w:autoSpaceDN/>
        <w:rPr>
          <w:color w:val="000000" w:themeColor="text1"/>
          <w:szCs w:val="32"/>
        </w:rPr>
      </w:pPr>
      <w:bookmarkStart w:id="1078" w:name="_Toc32846592"/>
      <w:bookmarkStart w:id="1079" w:name="_Toc32918508"/>
      <w:bookmarkStart w:id="1080" w:name="_Toc33011795"/>
      <w:r w:rsidRPr="00D41D30">
        <w:rPr>
          <w:rFonts w:hint="eastAsia"/>
          <w:color w:val="000000" w:themeColor="text1"/>
        </w:rPr>
        <w:t>108年4月29日請該部終身教育司司長</w:t>
      </w:r>
      <w:r w:rsidR="00C85839" w:rsidRPr="00D41D30">
        <w:rPr>
          <w:rFonts w:hint="eastAsia"/>
          <w:color w:val="000000" w:themeColor="text1"/>
        </w:rPr>
        <w:t>黃月麗</w:t>
      </w:r>
      <w:r w:rsidRPr="00D41D30">
        <w:rPr>
          <w:rFonts w:hint="eastAsia"/>
          <w:color w:val="000000" w:themeColor="text1"/>
        </w:rPr>
        <w:t>及國家教育研究院課程及教學研究中心主任等主管人員到院簡報。</w:t>
      </w:r>
      <w:bookmarkEnd w:id="1078"/>
      <w:bookmarkEnd w:id="1079"/>
      <w:bookmarkEnd w:id="1080"/>
    </w:p>
    <w:p w:rsidR="00365DE3" w:rsidRPr="00D41D30" w:rsidRDefault="00C76D3E" w:rsidP="00BA5987">
      <w:pPr>
        <w:pStyle w:val="3"/>
        <w:numPr>
          <w:ilvl w:val="0"/>
          <w:numId w:val="22"/>
        </w:numPr>
        <w:overflowPunct/>
        <w:autoSpaceDE/>
        <w:autoSpaceDN/>
        <w:rPr>
          <w:color w:val="000000" w:themeColor="text1"/>
          <w:szCs w:val="32"/>
        </w:rPr>
      </w:pPr>
      <w:bookmarkStart w:id="1081" w:name="_Toc32846593"/>
      <w:bookmarkStart w:id="1082" w:name="_Toc32918509"/>
      <w:bookmarkStart w:id="1083" w:name="_Toc33011796"/>
      <w:r w:rsidRPr="00D41D30">
        <w:rPr>
          <w:rFonts w:hint="eastAsia"/>
          <w:color w:val="000000" w:themeColor="text1"/>
        </w:rPr>
        <w:t>108</w:t>
      </w:r>
      <w:r w:rsidR="00365DE3" w:rsidRPr="00D41D30">
        <w:rPr>
          <w:rFonts w:hint="eastAsia"/>
          <w:color w:val="000000" w:themeColor="text1"/>
        </w:rPr>
        <w:t>年6月13日履勘國立空中大學附辦樂齡大學、國立臺灣師範大學（樂齡北區輔導團），並與教育部相關業務主管人員、北區自主學習團體帶領人等座談</w:t>
      </w:r>
      <w:r w:rsidRPr="00D41D30">
        <w:rPr>
          <w:rFonts w:hint="eastAsia"/>
          <w:color w:val="000000" w:themeColor="text1"/>
        </w:rPr>
        <w:t>。</w:t>
      </w:r>
      <w:r w:rsidR="00F02D2C" w:rsidRPr="00D41D30">
        <w:rPr>
          <w:rFonts w:hint="eastAsia"/>
          <w:color w:val="000000" w:themeColor="text1"/>
        </w:rPr>
        <w:t>108年6月13日</w:t>
      </w:r>
      <w:r w:rsidR="00AF05FE" w:rsidRPr="00D41D30">
        <w:rPr>
          <w:rFonts w:hint="eastAsia"/>
          <w:color w:val="000000" w:themeColor="text1"/>
        </w:rPr>
        <w:t>（北區）</w:t>
      </w:r>
      <w:r w:rsidR="00F02D2C" w:rsidRPr="00D41D30">
        <w:rPr>
          <w:rFonts w:hint="eastAsia"/>
          <w:color w:val="000000" w:themeColor="text1"/>
        </w:rPr>
        <w:t>履勘</w:t>
      </w:r>
      <w:r w:rsidR="00AF05FE" w:rsidRPr="00D41D30">
        <w:rPr>
          <w:rFonts w:hint="eastAsia"/>
          <w:color w:val="000000" w:themeColor="text1"/>
        </w:rPr>
        <w:t>及</w:t>
      </w:r>
      <w:r w:rsidR="000D0BD2" w:rsidRPr="00D41D30">
        <w:rPr>
          <w:rFonts w:hint="eastAsia"/>
          <w:color w:val="000000" w:themeColor="text1"/>
        </w:rPr>
        <w:t>會議紀錄重點摘要詳如附件</w:t>
      </w:r>
      <w:r w:rsidR="002E4F7E" w:rsidRPr="00D41D30">
        <w:rPr>
          <w:rFonts w:hint="eastAsia"/>
          <w:color w:val="000000" w:themeColor="text1"/>
        </w:rPr>
        <w:t>四</w:t>
      </w:r>
      <w:r w:rsidR="000D0BD2" w:rsidRPr="00D41D30">
        <w:rPr>
          <w:rFonts w:hint="eastAsia"/>
          <w:color w:val="000000" w:themeColor="text1"/>
        </w:rPr>
        <w:t>。</w:t>
      </w:r>
      <w:bookmarkEnd w:id="1081"/>
      <w:bookmarkEnd w:id="1082"/>
      <w:bookmarkEnd w:id="1083"/>
    </w:p>
    <w:p w:rsidR="00F84B7F" w:rsidRPr="00D41D30" w:rsidRDefault="00E3301F" w:rsidP="00BA5987">
      <w:pPr>
        <w:pStyle w:val="3"/>
        <w:numPr>
          <w:ilvl w:val="0"/>
          <w:numId w:val="22"/>
        </w:numPr>
        <w:overflowPunct/>
        <w:autoSpaceDE/>
        <w:autoSpaceDN/>
        <w:rPr>
          <w:color w:val="000000" w:themeColor="text1"/>
          <w:szCs w:val="32"/>
        </w:rPr>
      </w:pPr>
      <w:bookmarkStart w:id="1084" w:name="_Toc32846594"/>
      <w:bookmarkStart w:id="1085" w:name="_Toc32918510"/>
      <w:bookmarkStart w:id="1086" w:name="_Toc33011797"/>
      <w:r w:rsidRPr="00D41D30">
        <w:rPr>
          <w:rFonts w:hint="eastAsia"/>
          <w:color w:val="000000" w:themeColor="text1"/>
          <w:szCs w:val="32"/>
        </w:rPr>
        <w:t>108年6月29日</w:t>
      </w:r>
      <w:r w:rsidR="0000576E" w:rsidRPr="00D41D30">
        <w:rPr>
          <w:rFonts w:hint="eastAsia"/>
          <w:color w:val="000000" w:themeColor="text1"/>
          <w:szCs w:val="32"/>
        </w:rPr>
        <w:t>：</w:t>
      </w:r>
      <w:r w:rsidR="00B021C4" w:rsidRPr="00D41D30">
        <w:rPr>
          <w:rFonts w:hint="eastAsia"/>
          <w:color w:val="000000" w:themeColor="text1"/>
          <w:szCs w:val="32"/>
        </w:rPr>
        <w:t>調查</w:t>
      </w:r>
      <w:r w:rsidRPr="00D41D30">
        <w:rPr>
          <w:rFonts w:hint="eastAsia"/>
          <w:color w:val="000000" w:themeColor="text1"/>
          <w:szCs w:val="32"/>
        </w:rPr>
        <w:t>委員</w:t>
      </w:r>
      <w:r w:rsidR="00B021C4" w:rsidRPr="00D41D30">
        <w:rPr>
          <w:rFonts w:hint="eastAsia"/>
          <w:color w:val="000000" w:themeColor="text1"/>
          <w:szCs w:val="32"/>
        </w:rPr>
        <w:t>於</w:t>
      </w:r>
      <w:r w:rsidR="009E532C" w:rsidRPr="00D41D30">
        <w:rPr>
          <w:rFonts w:ascii="Arial" w:cs="Arial"/>
          <w:color w:val="000000" w:themeColor="text1"/>
        </w:rPr>
        <w:t>巡察行程中</w:t>
      </w:r>
      <w:r w:rsidR="0056395A" w:rsidRPr="00D41D30">
        <w:rPr>
          <w:rStyle w:val="aff0"/>
          <w:rFonts w:ascii="Arial" w:cs="Arial"/>
          <w:color w:val="000000" w:themeColor="text1"/>
        </w:rPr>
        <w:footnoteReference w:id="7"/>
      </w:r>
      <w:r w:rsidR="009E532C" w:rsidRPr="00D41D30">
        <w:rPr>
          <w:rFonts w:ascii="Arial" w:cs="Arial"/>
          <w:color w:val="000000" w:themeColor="text1"/>
        </w:rPr>
        <w:t>，</w:t>
      </w:r>
      <w:r w:rsidR="009E532C" w:rsidRPr="00D41D30">
        <w:rPr>
          <w:rFonts w:ascii="Arial" w:cs="Arial" w:hint="eastAsia"/>
          <w:color w:val="000000" w:themeColor="text1"/>
        </w:rPr>
        <w:t>特別</w:t>
      </w:r>
      <w:r w:rsidRPr="00D41D30">
        <w:rPr>
          <w:rFonts w:hint="eastAsia"/>
          <w:color w:val="000000" w:themeColor="text1"/>
          <w:szCs w:val="32"/>
        </w:rPr>
        <w:t>蒞</w:t>
      </w:r>
      <w:r w:rsidR="00F84B7F" w:rsidRPr="00D41D30">
        <w:rPr>
          <w:rFonts w:hint="eastAsia"/>
          <w:color w:val="000000" w:themeColor="text1"/>
          <w:szCs w:val="32"/>
        </w:rPr>
        <w:t>金門訪視樂齡學習中心</w:t>
      </w:r>
      <w:r w:rsidRPr="00D41D30">
        <w:rPr>
          <w:rFonts w:hint="eastAsia"/>
          <w:color w:val="000000" w:themeColor="text1"/>
          <w:szCs w:val="32"/>
        </w:rPr>
        <w:t>。</w:t>
      </w:r>
      <w:r w:rsidR="001E4FA1" w:rsidRPr="00D41D30">
        <w:rPr>
          <w:rFonts w:hint="eastAsia"/>
          <w:color w:val="000000" w:themeColor="text1"/>
          <w:szCs w:val="32"/>
        </w:rPr>
        <w:t>金門縣政府</w:t>
      </w:r>
      <w:r w:rsidR="00D92D01" w:rsidRPr="00D41D30">
        <w:rPr>
          <w:rFonts w:hint="eastAsia"/>
          <w:color w:val="000000" w:themeColor="text1"/>
          <w:szCs w:val="32"/>
        </w:rPr>
        <w:t>安排至</w:t>
      </w:r>
      <w:r w:rsidRPr="00D41D30">
        <w:rPr>
          <w:rFonts w:hint="eastAsia"/>
          <w:color w:val="000000" w:themeColor="text1"/>
          <w:szCs w:val="32"/>
        </w:rPr>
        <w:t>各</w:t>
      </w:r>
      <w:r w:rsidRPr="00D41D30">
        <w:rPr>
          <w:rFonts w:hint="eastAsia"/>
          <w:color w:val="000000" w:themeColor="text1"/>
          <w:szCs w:val="32"/>
        </w:rPr>
        <w:lastRenderedPageBreak/>
        <w:t>鄉鎮訪視樂齡學習中心辦理業務概況，</w:t>
      </w:r>
      <w:r w:rsidR="00FF21B2" w:rsidRPr="00D41D30">
        <w:rPr>
          <w:rFonts w:hint="eastAsia"/>
          <w:color w:val="000000" w:themeColor="text1"/>
          <w:szCs w:val="32"/>
        </w:rPr>
        <w:t>26</w:t>
      </w:r>
      <w:r w:rsidR="00EB24C3" w:rsidRPr="00D41D30">
        <w:rPr>
          <w:rFonts w:hint="eastAsia"/>
          <w:color w:val="000000" w:themeColor="text1"/>
          <w:szCs w:val="32"/>
        </w:rPr>
        <w:t>日晚間</w:t>
      </w:r>
      <w:r w:rsidRPr="00D41D30">
        <w:rPr>
          <w:rFonts w:hint="eastAsia"/>
          <w:color w:val="000000" w:themeColor="text1"/>
          <w:szCs w:val="32"/>
        </w:rPr>
        <w:t>金城、金湖、金沙皆有辦理樂齡相關課程，選定金城鎮樂齡學習中心古崗拓點，金城鎮樂齡學習中心由金城鎮公所承辦，目前有9個固定拓點社區、7個非固定拓點社區，學習課程配合在地居民的需求，內容多元而豐富，當日古崗社區邀請烈嶼衛生所藥師許志誠講授「核心課程—用藥安全、食品安全」課程，學員有40人參與學習。期間並請江委員頒發樂齡分拓點學習徽章</w:t>
      </w:r>
      <w:r w:rsidR="00933D76" w:rsidRPr="00D41D30">
        <w:rPr>
          <w:rFonts w:hint="eastAsia"/>
          <w:color w:val="000000" w:themeColor="text1"/>
          <w:szCs w:val="32"/>
        </w:rPr>
        <w:t>。</w:t>
      </w:r>
      <w:bookmarkEnd w:id="1084"/>
      <w:bookmarkEnd w:id="1085"/>
      <w:bookmarkEnd w:id="1086"/>
    </w:p>
    <w:p w:rsidR="004C2F38" w:rsidRPr="00D41D30" w:rsidRDefault="00EA73F8" w:rsidP="00BA5987">
      <w:pPr>
        <w:pStyle w:val="3"/>
        <w:numPr>
          <w:ilvl w:val="0"/>
          <w:numId w:val="22"/>
        </w:numPr>
        <w:overflowPunct/>
        <w:autoSpaceDE/>
        <w:autoSpaceDN/>
        <w:rPr>
          <w:color w:val="000000" w:themeColor="text1"/>
          <w:szCs w:val="32"/>
        </w:rPr>
      </w:pPr>
      <w:bookmarkStart w:id="1087" w:name="_Toc32846595"/>
      <w:bookmarkStart w:id="1088" w:name="_Toc32918511"/>
      <w:bookmarkStart w:id="1089" w:name="_Toc33011798"/>
      <w:r w:rsidRPr="00D41D30">
        <w:rPr>
          <w:rFonts w:hint="eastAsia"/>
          <w:color w:val="000000" w:themeColor="text1"/>
          <w:szCs w:val="32"/>
        </w:rPr>
        <w:t>108年7月12日</w:t>
      </w:r>
      <w:r w:rsidR="00FE75EF" w:rsidRPr="00D41D30">
        <w:rPr>
          <w:rFonts w:hint="eastAsia"/>
          <w:color w:val="000000" w:themeColor="text1"/>
        </w:rPr>
        <w:t>履勘臺中市樂齡學習示範中心、臺中市西區樂齡學習中心，並與教育部、台中市政府教育局主管人員、中區輔導團成員、中國醫藥大學附辦樂齡大學、朝陽科技大學附辦樂齡大學、南開科技大學附辦樂齡大學、臺中市臺中市太平區</w:t>
      </w:r>
      <w:r w:rsidR="00B562C7" w:rsidRPr="00D41D30">
        <w:rPr>
          <w:rFonts w:hint="eastAsia"/>
          <w:color w:val="000000" w:themeColor="text1"/>
        </w:rPr>
        <w:t>（</w:t>
      </w:r>
      <w:r w:rsidR="00FE75EF" w:rsidRPr="00D41D30">
        <w:rPr>
          <w:rFonts w:hint="eastAsia"/>
          <w:color w:val="000000" w:themeColor="text1"/>
        </w:rPr>
        <w:t>國小承辦</w:t>
      </w:r>
      <w:r w:rsidR="006B5136" w:rsidRPr="00D41D30">
        <w:rPr>
          <w:rFonts w:hint="eastAsia"/>
          <w:color w:val="000000" w:themeColor="text1"/>
        </w:rPr>
        <w:t>）</w:t>
      </w:r>
      <w:r w:rsidR="00FE75EF" w:rsidRPr="00D41D30">
        <w:rPr>
          <w:rFonts w:hint="eastAsia"/>
          <w:color w:val="000000" w:themeColor="text1"/>
        </w:rPr>
        <w:t>、龍井區</w:t>
      </w:r>
      <w:r w:rsidR="00B562C7" w:rsidRPr="00D41D30">
        <w:rPr>
          <w:rFonts w:hint="eastAsia"/>
          <w:color w:val="000000" w:themeColor="text1"/>
        </w:rPr>
        <w:t>（</w:t>
      </w:r>
      <w:r w:rsidR="00FE75EF" w:rsidRPr="00D41D30">
        <w:rPr>
          <w:rFonts w:hint="eastAsia"/>
          <w:color w:val="000000" w:themeColor="text1"/>
        </w:rPr>
        <w:t>農會承辦</w:t>
      </w:r>
      <w:r w:rsidR="006B5136" w:rsidRPr="00D41D30">
        <w:rPr>
          <w:rFonts w:hint="eastAsia"/>
          <w:color w:val="000000" w:themeColor="text1"/>
        </w:rPr>
        <w:t>）</w:t>
      </w:r>
      <w:r w:rsidR="00FE75EF" w:rsidRPr="00D41D30">
        <w:rPr>
          <w:rFonts w:hint="eastAsia"/>
          <w:color w:val="000000" w:themeColor="text1"/>
        </w:rPr>
        <w:t>、外埔區</w:t>
      </w:r>
      <w:r w:rsidR="00B562C7" w:rsidRPr="00D41D30">
        <w:rPr>
          <w:rFonts w:hint="eastAsia"/>
          <w:color w:val="000000" w:themeColor="text1"/>
        </w:rPr>
        <w:t>（</w:t>
      </w:r>
      <w:r w:rsidR="00FE75EF" w:rsidRPr="00D41D30">
        <w:rPr>
          <w:rFonts w:hint="eastAsia"/>
          <w:color w:val="000000" w:themeColor="text1"/>
        </w:rPr>
        <w:t>國中承辦</w:t>
      </w:r>
      <w:r w:rsidR="006B5136" w:rsidRPr="00D41D30">
        <w:rPr>
          <w:rFonts w:hint="eastAsia"/>
          <w:color w:val="000000" w:themeColor="text1"/>
        </w:rPr>
        <w:t>）</w:t>
      </w:r>
      <w:r w:rsidR="00FE75EF" w:rsidRPr="00D41D30">
        <w:rPr>
          <w:rFonts w:hint="eastAsia"/>
          <w:color w:val="000000" w:themeColor="text1"/>
        </w:rPr>
        <w:t>、梧棲區</w:t>
      </w:r>
      <w:r w:rsidR="00B562C7" w:rsidRPr="00D41D30">
        <w:rPr>
          <w:rFonts w:hint="eastAsia"/>
          <w:color w:val="000000" w:themeColor="text1"/>
        </w:rPr>
        <w:t>（</w:t>
      </w:r>
      <w:r w:rsidR="00FE75EF" w:rsidRPr="00D41D30">
        <w:rPr>
          <w:rFonts w:hint="eastAsia"/>
          <w:color w:val="000000" w:themeColor="text1"/>
        </w:rPr>
        <w:t>醫院承辦</w:t>
      </w:r>
      <w:r w:rsidR="006B5136" w:rsidRPr="00D41D30">
        <w:rPr>
          <w:rFonts w:hint="eastAsia"/>
          <w:color w:val="000000" w:themeColor="text1"/>
        </w:rPr>
        <w:t>）</w:t>
      </w:r>
      <w:r w:rsidR="00FE75EF" w:rsidRPr="00D41D30">
        <w:rPr>
          <w:rFonts w:hint="eastAsia"/>
          <w:color w:val="000000" w:themeColor="text1"/>
        </w:rPr>
        <w:t>、西區</w:t>
      </w:r>
      <w:r w:rsidR="00B562C7" w:rsidRPr="00D41D30">
        <w:rPr>
          <w:rFonts w:hint="eastAsia"/>
          <w:color w:val="000000" w:themeColor="text1"/>
        </w:rPr>
        <w:t>（</w:t>
      </w:r>
      <w:r w:rsidR="00FE75EF" w:rsidRPr="00D41D30">
        <w:rPr>
          <w:rFonts w:hint="eastAsia"/>
          <w:color w:val="000000" w:themeColor="text1"/>
        </w:rPr>
        <w:t>民間團體承辦</w:t>
      </w:r>
      <w:r w:rsidR="006B5136" w:rsidRPr="00D41D30">
        <w:rPr>
          <w:rFonts w:hint="eastAsia"/>
          <w:color w:val="000000" w:themeColor="text1"/>
        </w:rPr>
        <w:t>）</w:t>
      </w:r>
      <w:r w:rsidR="00FE75EF" w:rsidRPr="00D41D30">
        <w:rPr>
          <w:rFonts w:hint="eastAsia"/>
          <w:color w:val="000000" w:themeColor="text1"/>
        </w:rPr>
        <w:t>等樂齡學習中心及中區自主學習團體帶領人等座談。</w:t>
      </w:r>
      <w:r w:rsidR="00DA79CB" w:rsidRPr="00D41D30">
        <w:rPr>
          <w:rFonts w:hint="eastAsia"/>
          <w:color w:val="000000" w:themeColor="text1"/>
        </w:rPr>
        <w:t>108年</w:t>
      </w:r>
      <w:r w:rsidR="00DA79CB" w:rsidRPr="00D41D30">
        <w:rPr>
          <w:rFonts w:hint="eastAsia"/>
          <w:color w:val="000000" w:themeColor="text1"/>
          <w:szCs w:val="32"/>
        </w:rPr>
        <w:t>7月12日</w:t>
      </w:r>
      <w:r w:rsidR="00DA79CB" w:rsidRPr="00D41D30">
        <w:rPr>
          <w:rFonts w:hint="eastAsia"/>
          <w:color w:val="000000" w:themeColor="text1"/>
        </w:rPr>
        <w:t>（中區）履勘及會議紀錄重點摘要</w:t>
      </w:r>
      <w:r w:rsidR="00DC7094" w:rsidRPr="00D41D30">
        <w:rPr>
          <w:rFonts w:hint="eastAsia"/>
          <w:color w:val="000000" w:themeColor="text1"/>
        </w:rPr>
        <w:t>如附件</w:t>
      </w:r>
      <w:r w:rsidR="002E4F7E" w:rsidRPr="00D41D30">
        <w:rPr>
          <w:rFonts w:hint="eastAsia"/>
          <w:color w:val="000000" w:themeColor="text1"/>
        </w:rPr>
        <w:t>五</w:t>
      </w:r>
      <w:r w:rsidR="00DC7094" w:rsidRPr="00D41D30">
        <w:rPr>
          <w:rFonts w:hint="eastAsia"/>
          <w:color w:val="000000" w:themeColor="text1"/>
        </w:rPr>
        <w:t>。</w:t>
      </w:r>
      <w:bookmarkEnd w:id="1087"/>
      <w:bookmarkEnd w:id="1088"/>
      <w:bookmarkEnd w:id="1089"/>
    </w:p>
    <w:p w:rsidR="00995A8B" w:rsidRPr="00D41D30" w:rsidRDefault="00995A8B" w:rsidP="00BA5987">
      <w:pPr>
        <w:pStyle w:val="3"/>
        <w:numPr>
          <w:ilvl w:val="0"/>
          <w:numId w:val="22"/>
        </w:numPr>
        <w:overflowPunct/>
        <w:autoSpaceDE/>
        <w:autoSpaceDN/>
        <w:rPr>
          <w:color w:val="000000" w:themeColor="text1"/>
          <w:szCs w:val="32"/>
        </w:rPr>
      </w:pPr>
      <w:bookmarkStart w:id="1090" w:name="_Toc32846596"/>
      <w:bookmarkStart w:id="1091" w:name="_Toc32918512"/>
      <w:bookmarkStart w:id="1092" w:name="_Toc33011799"/>
      <w:r w:rsidRPr="00D41D30">
        <w:rPr>
          <w:rFonts w:hint="eastAsia"/>
          <w:color w:val="000000" w:themeColor="text1"/>
          <w:szCs w:val="32"/>
        </w:rPr>
        <w:t>108年7月16日</w:t>
      </w:r>
      <w:r w:rsidR="006F3491" w:rsidRPr="00D41D30">
        <w:rPr>
          <w:rFonts w:hint="eastAsia"/>
          <w:color w:val="000000" w:themeColor="text1"/>
          <w:szCs w:val="32"/>
        </w:rPr>
        <w:t>：</w:t>
      </w:r>
      <w:r w:rsidR="000E158C" w:rsidRPr="00D41D30">
        <w:rPr>
          <w:rFonts w:hint="eastAsia"/>
          <w:color w:val="000000" w:themeColor="text1"/>
          <w:szCs w:val="32"/>
        </w:rPr>
        <w:t>調查委員</w:t>
      </w:r>
      <w:r w:rsidR="007D7F63" w:rsidRPr="00D41D30">
        <w:rPr>
          <w:rFonts w:hint="eastAsia"/>
          <w:color w:val="000000" w:themeColor="text1"/>
          <w:szCs w:val="32"/>
        </w:rPr>
        <w:t>於連江縣地方巡察行程中，特</w:t>
      </w:r>
      <w:r w:rsidR="000E158C" w:rsidRPr="00D41D30">
        <w:rPr>
          <w:rFonts w:hint="eastAsia"/>
          <w:color w:val="000000" w:themeColor="text1"/>
          <w:szCs w:val="32"/>
        </w:rPr>
        <w:t>參與</w:t>
      </w:r>
      <w:r w:rsidRPr="00D41D30">
        <w:rPr>
          <w:rFonts w:hint="eastAsia"/>
          <w:color w:val="000000" w:themeColor="text1"/>
          <w:szCs w:val="32"/>
        </w:rPr>
        <w:t>「連江縣政府高齡教育推動情形」座談會</w:t>
      </w:r>
      <w:r w:rsidR="000E158C" w:rsidRPr="00D41D30">
        <w:rPr>
          <w:rFonts w:hint="eastAsia"/>
          <w:color w:val="000000" w:themeColor="text1"/>
          <w:szCs w:val="32"/>
        </w:rPr>
        <w:t>。</w:t>
      </w:r>
      <w:bookmarkEnd w:id="1090"/>
      <w:bookmarkEnd w:id="1091"/>
      <w:bookmarkEnd w:id="1092"/>
    </w:p>
    <w:p w:rsidR="00CF2B07" w:rsidRPr="00D41D30" w:rsidRDefault="003E6CF7" w:rsidP="00BA5987">
      <w:pPr>
        <w:pStyle w:val="3"/>
        <w:numPr>
          <w:ilvl w:val="0"/>
          <w:numId w:val="22"/>
        </w:numPr>
        <w:overflowPunct/>
        <w:autoSpaceDE/>
        <w:autoSpaceDN/>
        <w:rPr>
          <w:color w:val="000000" w:themeColor="text1"/>
          <w:szCs w:val="32"/>
        </w:rPr>
      </w:pPr>
      <w:bookmarkStart w:id="1093" w:name="_Toc32846597"/>
      <w:bookmarkStart w:id="1094" w:name="_Toc32918513"/>
      <w:bookmarkStart w:id="1095" w:name="_Toc33011800"/>
      <w:r w:rsidRPr="00D41D30">
        <w:rPr>
          <w:rFonts w:hAnsi="標楷體"/>
          <w:color w:val="000000" w:themeColor="text1"/>
          <w:szCs w:val="32"/>
        </w:rPr>
        <w:t>10</w:t>
      </w:r>
      <w:r w:rsidRPr="00D41D30">
        <w:rPr>
          <w:rFonts w:hAnsi="標楷體" w:hint="eastAsia"/>
          <w:color w:val="000000" w:themeColor="text1"/>
          <w:szCs w:val="32"/>
        </w:rPr>
        <w:t>8</w:t>
      </w:r>
      <w:r w:rsidRPr="00D41D30">
        <w:rPr>
          <w:rFonts w:hAnsi="標楷體"/>
          <w:color w:val="000000" w:themeColor="text1"/>
          <w:szCs w:val="32"/>
        </w:rPr>
        <w:t>年</w:t>
      </w:r>
      <w:r w:rsidRPr="00D41D30">
        <w:rPr>
          <w:rFonts w:hAnsi="標楷體" w:hint="eastAsia"/>
          <w:color w:val="000000" w:themeColor="text1"/>
          <w:szCs w:val="32"/>
        </w:rPr>
        <w:t>8</w:t>
      </w:r>
      <w:r w:rsidRPr="00D41D30">
        <w:rPr>
          <w:rFonts w:hAnsi="標楷體"/>
          <w:color w:val="000000" w:themeColor="text1"/>
          <w:szCs w:val="32"/>
        </w:rPr>
        <w:t>月</w:t>
      </w:r>
      <w:r w:rsidRPr="00D41D30">
        <w:rPr>
          <w:rFonts w:hAnsi="標楷體" w:hint="eastAsia"/>
          <w:color w:val="000000" w:themeColor="text1"/>
          <w:szCs w:val="32"/>
        </w:rPr>
        <w:t>1</w:t>
      </w:r>
      <w:r w:rsidRPr="00D41D30">
        <w:rPr>
          <w:rFonts w:hAnsi="標楷體"/>
          <w:color w:val="000000" w:themeColor="text1"/>
          <w:szCs w:val="32"/>
        </w:rPr>
        <w:t>日</w:t>
      </w:r>
      <w:r w:rsidRPr="00D41D30">
        <w:rPr>
          <w:rFonts w:hAnsi="標楷體" w:hint="eastAsia"/>
          <w:color w:val="000000" w:themeColor="text1"/>
          <w:szCs w:val="32"/>
        </w:rPr>
        <w:t>至8月2日</w:t>
      </w:r>
      <w:r w:rsidR="00333B9D" w:rsidRPr="00D41D30">
        <w:rPr>
          <w:rFonts w:hint="eastAsia"/>
          <w:color w:val="000000" w:themeColor="text1"/>
        </w:rPr>
        <w:t>：</w:t>
      </w:r>
      <w:r w:rsidR="00144355" w:rsidRPr="00D41D30">
        <w:rPr>
          <w:rFonts w:hint="eastAsia"/>
          <w:color w:val="000000" w:themeColor="text1"/>
        </w:rPr>
        <w:t>於</w:t>
      </w:r>
      <w:r w:rsidR="00F36E95" w:rsidRPr="00D41D30">
        <w:rPr>
          <w:rFonts w:hint="eastAsia"/>
          <w:color w:val="000000" w:themeColor="text1"/>
        </w:rPr>
        <w:t>8月1日現場履勘高雄市樂齡學習示範中心、國立高雄師範大學樂齡大學，並與教育部</w:t>
      </w:r>
      <w:r w:rsidR="00F36E95" w:rsidRPr="00D41D30">
        <w:rPr>
          <w:rFonts w:ascii="新細明體" w:eastAsia="新細明體" w:hAnsi="新細明體" w:hint="eastAsia"/>
          <w:color w:val="000000" w:themeColor="text1"/>
        </w:rPr>
        <w:t>、</w:t>
      </w:r>
      <w:r w:rsidR="00F36E95" w:rsidRPr="00D41D30">
        <w:rPr>
          <w:rFonts w:hint="eastAsia"/>
          <w:color w:val="000000" w:themeColor="text1"/>
        </w:rPr>
        <w:t>該單位主管人員及南區輔導團成員舉辦座談會議，復於同年月2日履勘林園區樂齡學習中心、三地門鄉樂齡學習中心及屏東樂齡學習示範中心，並邀請南區自主學習團體帶領人等舉辦座談會議，以瞭解相關案情。</w:t>
      </w:r>
      <w:r w:rsidR="00591F62" w:rsidRPr="00D41D30">
        <w:rPr>
          <w:rFonts w:hint="eastAsia"/>
          <w:color w:val="000000" w:themeColor="text1"/>
        </w:rPr>
        <w:t>108年</w:t>
      </w:r>
      <w:r w:rsidR="0006339A" w:rsidRPr="00D41D30">
        <w:rPr>
          <w:rFonts w:hAnsi="標楷體" w:hint="eastAsia"/>
          <w:color w:val="000000" w:themeColor="text1"/>
          <w:szCs w:val="32"/>
        </w:rPr>
        <w:t>8</w:t>
      </w:r>
      <w:r w:rsidR="0006339A" w:rsidRPr="00D41D30">
        <w:rPr>
          <w:rFonts w:hAnsi="標楷體"/>
          <w:color w:val="000000" w:themeColor="text1"/>
          <w:szCs w:val="32"/>
        </w:rPr>
        <w:t>月</w:t>
      </w:r>
      <w:r w:rsidR="0006339A" w:rsidRPr="00D41D30">
        <w:rPr>
          <w:rFonts w:hAnsi="標楷體" w:hint="eastAsia"/>
          <w:color w:val="000000" w:themeColor="text1"/>
          <w:szCs w:val="32"/>
        </w:rPr>
        <w:t>1</w:t>
      </w:r>
      <w:r w:rsidR="0006339A" w:rsidRPr="00D41D30">
        <w:rPr>
          <w:rFonts w:hAnsi="標楷體"/>
          <w:color w:val="000000" w:themeColor="text1"/>
          <w:szCs w:val="32"/>
        </w:rPr>
        <w:t>日</w:t>
      </w:r>
      <w:r w:rsidR="00591F62" w:rsidRPr="00D41D30">
        <w:rPr>
          <w:rFonts w:hint="eastAsia"/>
          <w:color w:val="000000" w:themeColor="text1"/>
        </w:rPr>
        <w:t>（</w:t>
      </w:r>
      <w:r w:rsidR="0006339A" w:rsidRPr="00D41D30">
        <w:rPr>
          <w:rFonts w:hint="eastAsia"/>
          <w:color w:val="000000" w:themeColor="text1"/>
        </w:rPr>
        <w:t>南</w:t>
      </w:r>
      <w:r w:rsidR="00591F62" w:rsidRPr="00D41D30">
        <w:rPr>
          <w:rFonts w:hint="eastAsia"/>
          <w:color w:val="000000" w:themeColor="text1"/>
        </w:rPr>
        <w:t>區</w:t>
      </w:r>
      <w:r w:rsidR="0006339A" w:rsidRPr="00D41D30">
        <w:rPr>
          <w:rFonts w:hint="eastAsia"/>
          <w:color w:val="000000" w:themeColor="text1"/>
        </w:rPr>
        <w:t>Ｉ</w:t>
      </w:r>
      <w:r w:rsidR="00591F62" w:rsidRPr="00D41D30">
        <w:rPr>
          <w:rFonts w:hint="eastAsia"/>
          <w:color w:val="000000" w:themeColor="text1"/>
        </w:rPr>
        <w:t>）履勘及會議紀錄重點摘要</w:t>
      </w:r>
      <w:r w:rsidR="0028042E" w:rsidRPr="00D41D30">
        <w:rPr>
          <w:rFonts w:hint="eastAsia"/>
          <w:color w:val="000000" w:themeColor="text1"/>
        </w:rPr>
        <w:t>如附件</w:t>
      </w:r>
      <w:r w:rsidR="002E4F7E" w:rsidRPr="00D41D30">
        <w:rPr>
          <w:rFonts w:hint="eastAsia"/>
          <w:color w:val="000000" w:themeColor="text1"/>
        </w:rPr>
        <w:t>六</w:t>
      </w:r>
      <w:r w:rsidR="0028042E" w:rsidRPr="00D41D30">
        <w:rPr>
          <w:rFonts w:hAnsi="標楷體" w:hint="eastAsia"/>
          <w:color w:val="000000" w:themeColor="text1"/>
        </w:rPr>
        <w:t>、</w:t>
      </w:r>
      <w:r w:rsidR="00E16331" w:rsidRPr="00D41D30">
        <w:rPr>
          <w:rFonts w:hint="eastAsia"/>
          <w:color w:val="000000" w:themeColor="text1"/>
        </w:rPr>
        <w:t>同</w:t>
      </w:r>
      <w:r w:rsidR="00E16331" w:rsidRPr="00D41D30">
        <w:rPr>
          <w:rFonts w:hint="eastAsia"/>
          <w:color w:val="000000" w:themeColor="text1"/>
        </w:rPr>
        <w:lastRenderedPageBreak/>
        <w:t>年月2日履勘（南區II）履勘及會議紀錄重點摘要如附件</w:t>
      </w:r>
      <w:r w:rsidR="002E4F7E" w:rsidRPr="00D41D30">
        <w:rPr>
          <w:rFonts w:hint="eastAsia"/>
          <w:color w:val="000000" w:themeColor="text1"/>
        </w:rPr>
        <w:t>七</w:t>
      </w:r>
      <w:r w:rsidR="008F7ADA" w:rsidRPr="00D41D30">
        <w:rPr>
          <w:rFonts w:hint="eastAsia"/>
          <w:color w:val="000000" w:themeColor="text1"/>
        </w:rPr>
        <w:t>。</w:t>
      </w:r>
      <w:bookmarkEnd w:id="1093"/>
      <w:bookmarkEnd w:id="1094"/>
      <w:bookmarkEnd w:id="1095"/>
    </w:p>
    <w:p w:rsidR="00007EAB" w:rsidRPr="00D41D30" w:rsidRDefault="00DF7997" w:rsidP="00BA5987">
      <w:pPr>
        <w:pStyle w:val="3"/>
        <w:numPr>
          <w:ilvl w:val="0"/>
          <w:numId w:val="22"/>
        </w:numPr>
        <w:overflowPunct/>
        <w:autoSpaceDE/>
        <w:autoSpaceDN/>
        <w:rPr>
          <w:color w:val="000000" w:themeColor="text1"/>
          <w:szCs w:val="32"/>
        </w:rPr>
      </w:pPr>
      <w:bookmarkStart w:id="1096" w:name="_Toc32846598"/>
      <w:bookmarkStart w:id="1097" w:name="_Toc32918514"/>
      <w:bookmarkStart w:id="1098" w:name="_Toc33011801"/>
      <w:r w:rsidRPr="00D41D30">
        <w:rPr>
          <w:rFonts w:hint="eastAsia"/>
          <w:color w:val="000000" w:themeColor="text1"/>
        </w:rPr>
        <w:t>本案</w:t>
      </w:r>
      <w:r w:rsidR="00007EAB" w:rsidRPr="00D41D30">
        <w:rPr>
          <w:rFonts w:hint="eastAsia"/>
          <w:color w:val="000000" w:themeColor="text1"/>
        </w:rPr>
        <w:t>相關履勘</w:t>
      </w:r>
      <w:r w:rsidR="0060379C" w:rsidRPr="00D41D30">
        <w:rPr>
          <w:rFonts w:hint="eastAsia"/>
          <w:color w:val="000000" w:themeColor="text1"/>
        </w:rPr>
        <w:t>及</w:t>
      </w:r>
      <w:r w:rsidR="00007EAB" w:rsidRPr="00D41D30">
        <w:rPr>
          <w:rFonts w:hint="eastAsia"/>
          <w:color w:val="000000" w:themeColor="text1"/>
        </w:rPr>
        <w:t>座談</w:t>
      </w:r>
      <w:r w:rsidR="00781BDD" w:rsidRPr="00D41D30">
        <w:rPr>
          <w:rFonts w:hint="eastAsia"/>
          <w:color w:val="000000" w:themeColor="text1"/>
        </w:rPr>
        <w:t>會議</w:t>
      </w:r>
      <w:r w:rsidRPr="00D41D30">
        <w:rPr>
          <w:rFonts w:hint="eastAsia"/>
          <w:color w:val="000000" w:themeColor="text1"/>
        </w:rPr>
        <w:t>彙整</w:t>
      </w:r>
      <w:r w:rsidR="00007EAB" w:rsidRPr="00D41D30">
        <w:rPr>
          <w:rFonts w:hint="eastAsia"/>
          <w:color w:val="000000" w:themeColor="text1"/>
        </w:rPr>
        <w:t>照片如附件</w:t>
      </w:r>
      <w:r w:rsidR="002E4F7E" w:rsidRPr="00D41D30">
        <w:rPr>
          <w:rFonts w:hint="eastAsia"/>
          <w:color w:val="000000" w:themeColor="text1"/>
        </w:rPr>
        <w:t>八</w:t>
      </w:r>
      <w:r w:rsidR="00007EAB" w:rsidRPr="00D41D30">
        <w:rPr>
          <w:rFonts w:hint="eastAsia"/>
          <w:color w:val="000000" w:themeColor="text1"/>
        </w:rPr>
        <w:t>。</w:t>
      </w:r>
      <w:bookmarkEnd w:id="1096"/>
      <w:bookmarkEnd w:id="1097"/>
      <w:bookmarkEnd w:id="1098"/>
    </w:p>
    <w:p w:rsidR="008E1981" w:rsidRPr="00D41D30" w:rsidRDefault="006371A1" w:rsidP="006371A1">
      <w:pPr>
        <w:pStyle w:val="2"/>
        <w:spacing w:beforeLines="50" w:before="228"/>
        <w:ind w:left="1020" w:hanging="680"/>
        <w:rPr>
          <w:rFonts w:hAnsi="標楷體"/>
          <w:b/>
          <w:color w:val="000000" w:themeColor="text1"/>
          <w:szCs w:val="32"/>
        </w:rPr>
      </w:pPr>
      <w:bookmarkStart w:id="1099" w:name="_Toc32846599"/>
      <w:bookmarkStart w:id="1100" w:name="_Toc33011802"/>
      <w:r w:rsidRPr="00D41D30">
        <w:rPr>
          <w:rFonts w:hAnsi="標楷體" w:hint="eastAsia"/>
          <w:b/>
          <w:color w:val="000000" w:themeColor="text1"/>
          <w:szCs w:val="32"/>
        </w:rPr>
        <w:t>本案詢</w:t>
      </w:r>
      <w:r w:rsidR="006C2435" w:rsidRPr="00D41D30">
        <w:rPr>
          <w:rFonts w:hAnsi="標楷體" w:hint="eastAsia"/>
          <w:b/>
          <w:color w:val="000000" w:themeColor="text1"/>
          <w:szCs w:val="32"/>
        </w:rPr>
        <w:t>問</w:t>
      </w:r>
      <w:r w:rsidRPr="00D41D30">
        <w:rPr>
          <w:rFonts w:hAnsi="標楷體" w:hint="eastAsia"/>
          <w:b/>
          <w:color w:val="000000" w:themeColor="text1"/>
          <w:szCs w:val="32"/>
        </w:rPr>
        <w:t>會議基本資料</w:t>
      </w:r>
      <w:bookmarkEnd w:id="1099"/>
      <w:bookmarkEnd w:id="1100"/>
    </w:p>
    <w:p w:rsidR="008E1981" w:rsidRPr="00D41D30" w:rsidRDefault="008E1981" w:rsidP="00BA5987">
      <w:pPr>
        <w:pStyle w:val="3"/>
        <w:numPr>
          <w:ilvl w:val="0"/>
          <w:numId w:val="23"/>
        </w:numPr>
        <w:overflowPunct/>
        <w:autoSpaceDE/>
        <w:autoSpaceDN/>
        <w:rPr>
          <w:color w:val="000000" w:themeColor="text1"/>
        </w:rPr>
      </w:pPr>
      <w:bookmarkStart w:id="1101" w:name="_Toc32846600"/>
      <w:bookmarkStart w:id="1102" w:name="_Toc32918516"/>
      <w:bookmarkStart w:id="1103" w:name="_Toc33011803"/>
      <w:r w:rsidRPr="00D41D30">
        <w:rPr>
          <w:rFonts w:hint="eastAsia"/>
          <w:color w:val="000000" w:themeColor="text1"/>
        </w:rPr>
        <w:t>時間：108年12月26日（週四）下午2時30分。</w:t>
      </w:r>
      <w:bookmarkEnd w:id="1101"/>
      <w:bookmarkEnd w:id="1102"/>
      <w:bookmarkEnd w:id="1103"/>
    </w:p>
    <w:p w:rsidR="008E1981" w:rsidRPr="00D41D30" w:rsidRDefault="008E1981" w:rsidP="00BA5987">
      <w:pPr>
        <w:pStyle w:val="3"/>
        <w:numPr>
          <w:ilvl w:val="0"/>
          <w:numId w:val="23"/>
        </w:numPr>
        <w:overflowPunct/>
        <w:autoSpaceDE/>
        <w:autoSpaceDN/>
        <w:rPr>
          <w:color w:val="000000" w:themeColor="text1"/>
        </w:rPr>
      </w:pPr>
      <w:bookmarkStart w:id="1104" w:name="_Toc32846601"/>
      <w:bookmarkStart w:id="1105" w:name="_Toc32918517"/>
      <w:bookmarkStart w:id="1106" w:name="_Toc33011804"/>
      <w:r w:rsidRPr="00D41D30">
        <w:rPr>
          <w:rFonts w:hint="eastAsia"/>
          <w:color w:val="000000" w:themeColor="text1"/>
        </w:rPr>
        <w:t>地點：監察院3樓第3會議室。</w:t>
      </w:r>
      <w:bookmarkEnd w:id="1104"/>
      <w:bookmarkEnd w:id="1105"/>
      <w:bookmarkEnd w:id="1106"/>
    </w:p>
    <w:p w:rsidR="008E1981" w:rsidRPr="00D41D30" w:rsidRDefault="008E1981" w:rsidP="00BA5987">
      <w:pPr>
        <w:pStyle w:val="3"/>
        <w:numPr>
          <w:ilvl w:val="0"/>
          <w:numId w:val="23"/>
        </w:numPr>
        <w:overflowPunct/>
        <w:autoSpaceDE/>
        <w:autoSpaceDN/>
        <w:rPr>
          <w:color w:val="000000" w:themeColor="text1"/>
        </w:rPr>
      </w:pPr>
      <w:bookmarkStart w:id="1107" w:name="_Toc32846602"/>
      <w:bookmarkStart w:id="1108" w:name="_Toc32918518"/>
      <w:bookmarkStart w:id="1109" w:name="_Toc33011805"/>
      <w:r w:rsidRPr="00D41D30">
        <w:rPr>
          <w:rFonts w:hint="eastAsia"/>
          <w:color w:val="000000" w:themeColor="text1"/>
        </w:rPr>
        <w:t>出席人員：</w:t>
      </w:r>
      <w:bookmarkEnd w:id="1107"/>
      <w:bookmarkEnd w:id="1108"/>
      <w:bookmarkEnd w:id="1109"/>
    </w:p>
    <w:p w:rsidR="008E1981" w:rsidRPr="00D41D30" w:rsidRDefault="008E1981" w:rsidP="00667712">
      <w:pPr>
        <w:pStyle w:val="4"/>
        <w:rPr>
          <w:color w:val="000000" w:themeColor="text1"/>
        </w:rPr>
      </w:pPr>
      <w:r w:rsidRPr="00D41D30">
        <w:rPr>
          <w:rFonts w:hint="eastAsia"/>
          <w:color w:val="000000" w:themeColor="text1"/>
        </w:rPr>
        <w:t>教育部：林騰蛟常務次長</w:t>
      </w:r>
      <w:r w:rsidRPr="00D41D30">
        <w:rPr>
          <w:rFonts w:hAnsi="標楷體" w:hint="eastAsia"/>
          <w:color w:val="000000" w:themeColor="text1"/>
        </w:rPr>
        <w:t>、</w:t>
      </w:r>
      <w:r w:rsidRPr="00D41D30">
        <w:rPr>
          <w:rFonts w:hint="eastAsia"/>
          <w:color w:val="000000" w:themeColor="text1"/>
        </w:rPr>
        <w:t>終身教育司黃月麗司長、楊雅婷科長、潘逸真專員、黃慧芬研究助理；高等教育司宋雯倩科長；國教院副研究員兼任課程及教學研究中心洪詠善主任。</w:t>
      </w:r>
    </w:p>
    <w:p w:rsidR="008E1981" w:rsidRPr="00D41D30" w:rsidRDefault="00350EB1" w:rsidP="00667712">
      <w:pPr>
        <w:pStyle w:val="4"/>
        <w:rPr>
          <w:color w:val="000000" w:themeColor="text1"/>
        </w:rPr>
      </w:pPr>
      <w:r w:rsidRPr="00D41D30">
        <w:rPr>
          <w:rFonts w:hint="eastAsia"/>
          <w:color w:val="000000" w:themeColor="text1"/>
        </w:rPr>
        <w:t>衛福部</w:t>
      </w:r>
      <w:r w:rsidR="008E1981" w:rsidRPr="00D41D30">
        <w:rPr>
          <w:rFonts w:hint="eastAsia"/>
          <w:color w:val="000000" w:themeColor="text1"/>
        </w:rPr>
        <w:t>：薛瑞元常務次長</w:t>
      </w:r>
      <w:r w:rsidR="008E1981" w:rsidRPr="00D41D30">
        <w:rPr>
          <w:rFonts w:hAnsi="標楷體" w:hint="eastAsia"/>
          <w:color w:val="000000" w:themeColor="text1"/>
        </w:rPr>
        <w:t>、</w:t>
      </w:r>
      <w:r w:rsidR="008E1981" w:rsidRPr="00D41D30">
        <w:rPr>
          <w:rFonts w:hint="eastAsia"/>
          <w:color w:val="000000" w:themeColor="text1"/>
        </w:rPr>
        <w:t>長期照顧司副司長周道君、國民健康署研究員劉家秀；社會及家庭署副組長莊金珠。</w:t>
      </w:r>
    </w:p>
    <w:p w:rsidR="008E1981" w:rsidRPr="00D41D30" w:rsidRDefault="007B5EA3" w:rsidP="00BA5987">
      <w:pPr>
        <w:pStyle w:val="3"/>
        <w:numPr>
          <w:ilvl w:val="0"/>
          <w:numId w:val="23"/>
        </w:numPr>
        <w:overflowPunct/>
        <w:autoSpaceDE/>
        <w:autoSpaceDN/>
        <w:rPr>
          <w:rFonts w:hAnsi="標楷體"/>
          <w:color w:val="000000" w:themeColor="text1"/>
        </w:rPr>
      </w:pPr>
      <w:bookmarkStart w:id="1110" w:name="_Toc32846603"/>
      <w:bookmarkStart w:id="1111" w:name="_Toc32918519"/>
      <w:bookmarkStart w:id="1112" w:name="_Toc33011806"/>
      <w:r w:rsidRPr="00D41D30">
        <w:rPr>
          <w:rFonts w:hAnsi="標楷體" w:hint="eastAsia"/>
          <w:color w:val="000000" w:themeColor="text1"/>
        </w:rPr>
        <w:t>本次</w:t>
      </w:r>
      <w:r w:rsidR="006C2435" w:rsidRPr="00D41D30">
        <w:rPr>
          <w:rFonts w:hAnsi="標楷體" w:hint="eastAsia"/>
          <w:color w:val="000000" w:themeColor="text1"/>
        </w:rPr>
        <w:t>詢問</w:t>
      </w:r>
      <w:r w:rsidRPr="00D41D30">
        <w:rPr>
          <w:rFonts w:hAnsi="標楷體" w:hint="eastAsia"/>
          <w:color w:val="000000" w:themeColor="text1"/>
        </w:rPr>
        <w:t>會議重點紀錄：</w:t>
      </w:r>
      <w:bookmarkEnd w:id="1110"/>
      <w:bookmarkEnd w:id="1111"/>
      <w:bookmarkEnd w:id="1112"/>
    </w:p>
    <w:p w:rsidR="001D644E" w:rsidRPr="00D41D30" w:rsidRDefault="001D644E" w:rsidP="002E4F7E">
      <w:pPr>
        <w:pStyle w:val="4"/>
        <w:numPr>
          <w:ilvl w:val="3"/>
          <w:numId w:val="71"/>
        </w:numPr>
        <w:rPr>
          <w:rFonts w:hAnsi="標楷體"/>
          <w:color w:val="000000" w:themeColor="text1"/>
        </w:rPr>
      </w:pPr>
      <w:r w:rsidRPr="00D41D30">
        <w:rPr>
          <w:rFonts w:hAnsi="標楷體" w:hint="eastAsia"/>
          <w:color w:val="000000" w:themeColor="text1"/>
        </w:rPr>
        <w:t>教育部推動終身學習十分重視國際終身學習發展趨勢，在今年的「新課綱」中尤為明顯，希望藉由從小扎根，自國民小學到高中均有終身學習相關教學。教育部這些年推出非正規課程的認證，譬如</w:t>
      </w:r>
      <w:r w:rsidR="00A331A0" w:rsidRPr="00D41D30">
        <w:rPr>
          <w:rFonts w:hAnsi="標楷體" w:hint="eastAsia"/>
          <w:color w:val="000000" w:themeColor="text1"/>
        </w:rPr>
        <w:t>臺</w:t>
      </w:r>
      <w:r w:rsidRPr="00D41D30">
        <w:rPr>
          <w:rFonts w:hAnsi="標楷體" w:hint="eastAsia"/>
          <w:color w:val="000000" w:themeColor="text1"/>
        </w:rPr>
        <w:t>師大及空大均設有非正規課程認證中心。因應高齡社會來臨，本部</w:t>
      </w:r>
      <w:r w:rsidR="00F15995" w:rsidRPr="00D41D30">
        <w:rPr>
          <w:rFonts w:hAnsi="標楷體" w:hint="eastAsia"/>
          <w:color w:val="000000" w:themeColor="text1"/>
        </w:rPr>
        <w:t>（教育部）</w:t>
      </w:r>
      <w:r w:rsidRPr="00D41D30">
        <w:rPr>
          <w:rFonts w:hAnsi="標楷體" w:hint="eastAsia"/>
          <w:color w:val="000000" w:themeColor="text1"/>
        </w:rPr>
        <w:t>推動樂齡已逾11年，比如高齡自主學習團體，經過3個月培訓的自主學習團帶領人，希望能夠將終身學習普及推廣。</w:t>
      </w:r>
    </w:p>
    <w:p w:rsidR="00BD3343" w:rsidRPr="00D41D30" w:rsidRDefault="00BD3343" w:rsidP="002E4F7E">
      <w:pPr>
        <w:pStyle w:val="4"/>
        <w:numPr>
          <w:ilvl w:val="3"/>
          <w:numId w:val="71"/>
        </w:numPr>
        <w:rPr>
          <w:rFonts w:hAnsi="標楷體"/>
          <w:color w:val="000000" w:themeColor="text1"/>
        </w:rPr>
      </w:pPr>
      <w:r w:rsidRPr="00D41D30">
        <w:rPr>
          <w:rFonts w:hAnsi="標楷體" w:hint="eastAsia"/>
          <w:color w:val="000000" w:themeColor="text1"/>
        </w:rPr>
        <w:t>有關白皮書及大數據資料庫部分，需要上位整合思考，故教育部委託國立臺灣師範大學進行「邁向學習社會白皮書2.0暨終身學習中程發展計畫」，目前該計畫之進度正進行焦點團體座談，後續亦將加強跨部會及政府與民間之對</w:t>
      </w:r>
      <w:r w:rsidRPr="00D41D30">
        <w:rPr>
          <w:rFonts w:hAnsi="標楷體" w:hint="eastAsia"/>
          <w:color w:val="000000" w:themeColor="text1"/>
        </w:rPr>
        <w:lastRenderedPageBreak/>
        <w:t>話，俾促進終身學習資源之整合。而大數據資料庫，囿於個人資料保護法之限制，導致該大數據資料庫確實有所不足，故有關強化人才資料庫及大數據資料庫之建置等，列入109年網站委託案之規劃，未來希望大數據資料庫可以廣納各方資源，以達成效。</w:t>
      </w:r>
      <w:r w:rsidR="002F37A5" w:rsidRPr="00D41D30">
        <w:rPr>
          <w:rFonts w:hAnsi="標楷體"/>
          <w:color w:val="000000" w:themeColor="text1"/>
        </w:rPr>
        <w:t>……</w:t>
      </w:r>
      <w:r w:rsidR="002F37A5" w:rsidRPr="00D41D30">
        <w:rPr>
          <w:rFonts w:hAnsi="標楷體" w:hint="eastAsia"/>
          <w:color w:val="000000" w:themeColor="text1"/>
        </w:rPr>
        <w:t>未來會希望藉由大數據資料庫之建置進一步瞭解實際參與人數。</w:t>
      </w:r>
    </w:p>
    <w:p w:rsidR="00FB46CE" w:rsidRPr="00D41D30" w:rsidRDefault="00FB46CE" w:rsidP="002E4F7E">
      <w:pPr>
        <w:pStyle w:val="4"/>
        <w:numPr>
          <w:ilvl w:val="3"/>
          <w:numId w:val="71"/>
        </w:numPr>
        <w:rPr>
          <w:rFonts w:hAnsi="標楷體"/>
          <w:color w:val="000000" w:themeColor="text1"/>
        </w:rPr>
      </w:pPr>
      <w:r w:rsidRPr="00D41D30">
        <w:rPr>
          <w:rFonts w:hAnsi="標楷體" w:hint="eastAsia"/>
          <w:color w:val="000000" w:themeColor="text1"/>
        </w:rPr>
        <w:t>過去幾年，國教院之重點較偏12國教課綱等，而針對高齡教育的研究確實較為缺乏，國教院後續將配合教育部相關政策方向。</w:t>
      </w:r>
    </w:p>
    <w:p w:rsidR="00E756E0" w:rsidRPr="00D41D30" w:rsidRDefault="00E756E0" w:rsidP="002E4F7E">
      <w:pPr>
        <w:pStyle w:val="4"/>
        <w:numPr>
          <w:ilvl w:val="3"/>
          <w:numId w:val="71"/>
        </w:numPr>
        <w:rPr>
          <w:rFonts w:hAnsi="標楷體"/>
          <w:color w:val="000000" w:themeColor="text1"/>
        </w:rPr>
      </w:pPr>
      <w:r w:rsidRPr="00D41D30">
        <w:rPr>
          <w:rFonts w:hAnsi="標楷體" w:hint="eastAsia"/>
          <w:color w:val="000000" w:themeColor="text1"/>
        </w:rPr>
        <w:t>目前青銀共學可以看到老人和大學生共同使用大學硬體設施的成效，未來本部亦思考透過大學生服務學習制度來幫助樂齡學習的推展。此外，高師大的代間共學的推動成效佳，如先前委員訪視的林園國小即為一例。</w:t>
      </w:r>
    </w:p>
    <w:p w:rsidR="00FD0F95" w:rsidRPr="00D41D30" w:rsidRDefault="00FD0F95" w:rsidP="002E4F7E">
      <w:pPr>
        <w:pStyle w:val="4"/>
        <w:numPr>
          <w:ilvl w:val="3"/>
          <w:numId w:val="71"/>
        </w:numPr>
        <w:rPr>
          <w:rFonts w:hAnsi="標楷體"/>
          <w:color w:val="000000" w:themeColor="text1"/>
        </w:rPr>
      </w:pPr>
      <w:r w:rsidRPr="00D41D30">
        <w:rPr>
          <w:rFonts w:hAnsi="標楷體" w:hint="eastAsia"/>
          <w:color w:val="000000" w:themeColor="text1"/>
        </w:rPr>
        <w:t>樂齡大學的部分並不是教育部拜託來的，而係各大專校院依據本部</w:t>
      </w:r>
      <w:r w:rsidR="0093080E" w:rsidRPr="00D41D30">
        <w:rPr>
          <w:rFonts w:hAnsi="標楷體" w:hint="eastAsia"/>
          <w:color w:val="000000" w:themeColor="text1"/>
        </w:rPr>
        <w:t>（教育部）</w:t>
      </w:r>
      <w:r w:rsidRPr="00D41D30">
        <w:rPr>
          <w:rFonts w:hAnsi="標楷體" w:hint="eastAsia"/>
          <w:color w:val="000000" w:themeColor="text1"/>
        </w:rPr>
        <w:t>舉辦相關之說明會自行提出申請，其等申請後本部</w:t>
      </w:r>
      <w:r w:rsidR="0093080E" w:rsidRPr="00D41D30">
        <w:rPr>
          <w:rFonts w:hAnsi="標楷體" w:hint="eastAsia"/>
          <w:color w:val="000000" w:themeColor="text1"/>
        </w:rPr>
        <w:t>（教育部）</w:t>
      </w:r>
      <w:r w:rsidRPr="00D41D30">
        <w:rPr>
          <w:rFonts w:hAnsi="標楷體" w:hint="eastAsia"/>
          <w:color w:val="000000" w:themeColor="text1"/>
        </w:rPr>
        <w:t>尚有相關審核機制，並非每所學校均符合資格。另外補充，樂齡中心確實有些是地方政府拜託來的。</w:t>
      </w:r>
    </w:p>
    <w:p w:rsidR="001312B4" w:rsidRPr="00D41D30" w:rsidRDefault="001312B4" w:rsidP="002E4F7E">
      <w:pPr>
        <w:pStyle w:val="4"/>
        <w:numPr>
          <w:ilvl w:val="3"/>
          <w:numId w:val="71"/>
        </w:numPr>
        <w:rPr>
          <w:rFonts w:hAnsi="標楷體"/>
          <w:color w:val="000000" w:themeColor="text1"/>
        </w:rPr>
      </w:pPr>
      <w:r w:rsidRPr="00D41D30">
        <w:rPr>
          <w:rFonts w:hAnsi="標楷體" w:hint="eastAsia"/>
          <w:color w:val="000000" w:themeColor="text1"/>
        </w:rPr>
        <w:t>終身教育司的預算從1億多到現在超過2億，可說大幅成長，以109年本司預算為例，即較108年增加約6</w:t>
      </w:r>
      <w:r w:rsidRPr="00D41D30">
        <w:rPr>
          <w:rFonts w:hAnsi="標楷體"/>
          <w:color w:val="000000" w:themeColor="text1"/>
        </w:rPr>
        <w:t>,</w:t>
      </w:r>
      <w:r w:rsidRPr="00D41D30">
        <w:rPr>
          <w:rFonts w:hAnsi="標楷體" w:hint="eastAsia"/>
          <w:color w:val="000000" w:themeColor="text1"/>
        </w:rPr>
        <w:t>000萬元。</w:t>
      </w:r>
    </w:p>
    <w:p w:rsidR="00985953" w:rsidRPr="00D41D30" w:rsidRDefault="00985953" w:rsidP="002E4F7E">
      <w:pPr>
        <w:pStyle w:val="4"/>
        <w:numPr>
          <w:ilvl w:val="3"/>
          <w:numId w:val="71"/>
        </w:numPr>
        <w:rPr>
          <w:rFonts w:hAnsi="標楷體"/>
          <w:color w:val="000000" w:themeColor="text1"/>
        </w:rPr>
      </w:pPr>
      <w:r w:rsidRPr="00D41D30">
        <w:rPr>
          <w:rFonts w:hAnsi="標楷體" w:hint="eastAsia"/>
          <w:color w:val="000000" w:themeColor="text1"/>
        </w:rPr>
        <w:t>教育部將結合大學校院研發能量擴展有關終身學習研究及議題規劃，並刻正進行「邁向學習社會白皮書2.0暨終身學習中程計畫」之研擬，將以全國國民為對象，整合各界資源，共同推動終身學習，以期達成建立</w:t>
      </w:r>
      <w:r w:rsidR="004D3B52" w:rsidRPr="00D41D30">
        <w:rPr>
          <w:rFonts w:hAnsi="標楷體" w:hint="eastAsia"/>
          <w:color w:val="000000" w:themeColor="text1"/>
        </w:rPr>
        <w:t>終身學習社會</w:t>
      </w:r>
      <w:r w:rsidR="004D3B52" w:rsidRPr="00D41D30">
        <w:rPr>
          <w:rFonts w:hAnsi="標楷體" w:hint="eastAsia"/>
          <w:color w:val="000000" w:themeColor="text1"/>
        </w:rPr>
        <w:lastRenderedPageBreak/>
        <w:t>之願景，目前亦正盤點終身學習相關計畫，並針對既有計畫進行滾動式修正。另外，因家庭教育法的通過，預算亦已增加至3億</w:t>
      </w:r>
      <w:r w:rsidR="00B562C7" w:rsidRPr="00D41D30">
        <w:rPr>
          <w:rFonts w:hAnsi="標楷體" w:hint="eastAsia"/>
          <w:color w:val="000000" w:themeColor="text1"/>
        </w:rPr>
        <w:t>（</w:t>
      </w:r>
      <w:r w:rsidR="004D3B52" w:rsidRPr="00D41D30">
        <w:rPr>
          <w:rFonts w:hAnsi="標楷體" w:hint="eastAsia"/>
          <w:color w:val="000000" w:themeColor="text1"/>
        </w:rPr>
        <w:t>並非完全高齡教育業務</w:t>
      </w:r>
      <w:r w:rsidR="006B5136" w:rsidRPr="00D41D30">
        <w:rPr>
          <w:rFonts w:hAnsi="標楷體" w:hint="eastAsia"/>
          <w:color w:val="000000" w:themeColor="text1"/>
        </w:rPr>
        <w:t>）</w:t>
      </w:r>
      <w:r w:rsidR="004D3B52" w:rsidRPr="00D41D30">
        <w:rPr>
          <w:rFonts w:hAnsi="標楷體" w:hint="eastAsia"/>
          <w:color w:val="000000" w:themeColor="text1"/>
        </w:rPr>
        <w:t>。</w:t>
      </w:r>
    </w:p>
    <w:p w:rsidR="007F256E" w:rsidRPr="00D41D30" w:rsidRDefault="007F256E" w:rsidP="002E4F7E">
      <w:pPr>
        <w:pStyle w:val="4"/>
        <w:numPr>
          <w:ilvl w:val="3"/>
          <w:numId w:val="71"/>
        </w:numPr>
        <w:rPr>
          <w:rFonts w:hAnsi="標楷體"/>
          <w:color w:val="000000" w:themeColor="text1"/>
        </w:rPr>
      </w:pPr>
      <w:r w:rsidRPr="00D41D30">
        <w:rPr>
          <w:rFonts w:hAnsi="標楷體" w:hint="eastAsia"/>
          <w:color w:val="000000" w:themeColor="text1"/>
        </w:rPr>
        <w:t>目前尚未有全國性調查，本部</w:t>
      </w:r>
      <w:r w:rsidR="00F51E92" w:rsidRPr="00D41D30">
        <w:rPr>
          <w:rFonts w:hAnsi="標楷體" w:hint="eastAsia"/>
          <w:color w:val="000000" w:themeColor="text1"/>
        </w:rPr>
        <w:t>（教育部）</w:t>
      </w:r>
      <w:r w:rsidRPr="00D41D30">
        <w:rPr>
          <w:rFonts w:hAnsi="標楷體" w:hint="eastAsia"/>
          <w:color w:val="000000" w:themeColor="text1"/>
        </w:rPr>
        <w:t>將另外規劃其他委託案處理。</w:t>
      </w:r>
    </w:p>
    <w:p w:rsidR="00F51E92" w:rsidRPr="00D41D30" w:rsidRDefault="00F02D2A" w:rsidP="002E4F7E">
      <w:pPr>
        <w:pStyle w:val="4"/>
        <w:numPr>
          <w:ilvl w:val="3"/>
          <w:numId w:val="71"/>
        </w:numPr>
        <w:rPr>
          <w:rFonts w:hAnsi="標楷體"/>
          <w:color w:val="000000" w:themeColor="text1"/>
        </w:rPr>
      </w:pPr>
      <w:r w:rsidRPr="00D41D30">
        <w:rPr>
          <w:rFonts w:hAnsi="標楷體" w:hint="eastAsia"/>
          <w:color w:val="000000" w:themeColor="text1"/>
        </w:rPr>
        <w:t>本部（</w:t>
      </w:r>
      <w:r w:rsidR="00350EB1" w:rsidRPr="00D41D30">
        <w:rPr>
          <w:rFonts w:hAnsi="標楷體" w:hint="eastAsia"/>
          <w:color w:val="000000" w:themeColor="text1"/>
        </w:rPr>
        <w:t>衛福部</w:t>
      </w:r>
      <w:r w:rsidRPr="00D41D30">
        <w:rPr>
          <w:rFonts w:hAnsi="標楷體" w:hint="eastAsia"/>
          <w:color w:val="000000" w:themeColor="text1"/>
        </w:rPr>
        <w:t>）瞭解到教育部有關高齡教育的相關資源，本部所掌之長照10年計畫2.0主要目的是希望高齡者在「健康、亞健康、衰弱」時期，以期達到提升長者生活品質、促進長者健康、延緩失能及鼓勵長者社會參與之政策目標，並到最終程有尊嚴地離開。以目前本部</w:t>
      </w:r>
      <w:r w:rsidR="00193B19" w:rsidRPr="00D41D30">
        <w:rPr>
          <w:rFonts w:hAnsi="標楷體" w:hint="eastAsia"/>
          <w:color w:val="000000" w:themeColor="text1"/>
        </w:rPr>
        <w:t>（</w:t>
      </w:r>
      <w:r w:rsidR="00350EB1" w:rsidRPr="00D41D30">
        <w:rPr>
          <w:rFonts w:hAnsi="標楷體" w:hint="eastAsia"/>
          <w:color w:val="000000" w:themeColor="text1"/>
        </w:rPr>
        <w:t>衛福部</w:t>
      </w:r>
      <w:r w:rsidR="00193B19" w:rsidRPr="00D41D30">
        <w:rPr>
          <w:rFonts w:hAnsi="標楷體" w:hint="eastAsia"/>
          <w:color w:val="000000" w:themeColor="text1"/>
        </w:rPr>
        <w:t>）</w:t>
      </w:r>
      <w:r w:rsidRPr="00D41D30">
        <w:rPr>
          <w:rFonts w:hAnsi="標楷體" w:hint="eastAsia"/>
          <w:color w:val="000000" w:themeColor="text1"/>
        </w:rPr>
        <w:t>與教育部</w:t>
      </w:r>
      <w:r w:rsidR="00F51E92" w:rsidRPr="00D41D30">
        <w:rPr>
          <w:rFonts w:hAnsi="標楷體" w:hint="eastAsia"/>
          <w:color w:val="000000" w:themeColor="text1"/>
        </w:rPr>
        <w:t>相關的預算規模來看，本部（</w:t>
      </w:r>
      <w:r w:rsidR="00350EB1" w:rsidRPr="00D41D30">
        <w:rPr>
          <w:rFonts w:hAnsi="標楷體" w:hint="eastAsia"/>
          <w:color w:val="000000" w:themeColor="text1"/>
        </w:rPr>
        <w:t>衛福部</w:t>
      </w:r>
      <w:r w:rsidR="00F51E92" w:rsidRPr="00D41D30">
        <w:rPr>
          <w:rFonts w:hAnsi="標楷體" w:hint="eastAsia"/>
          <w:color w:val="000000" w:themeColor="text1"/>
        </w:rPr>
        <w:t>）經費較為充足，108年度編列長照10年計畫2.0之預算約338億元，至108年10月經費執行數約325億元，主要用於普及長照服務資源，增加照顧量能、提升社區多元預防性照顧服務量能，以及發展原鄉長照服務資源等。當然目標若與教育部有一致性，資源亦可以共享。補充芬蘭相關研究，非藥物治療失智的成效顯著，非藥物的方案內容包括認知促進與增進身體功能，日本亦朝此方向邁進。此外，面對超高齡社會即將來臨，本人認為我國整體社會應有共識，以達到未來對於老年化的想像趨於一致。</w:t>
      </w:r>
    </w:p>
    <w:p w:rsidR="00792CA4" w:rsidRPr="00D41D30" w:rsidRDefault="00792CA4"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本部</w:t>
      </w:r>
      <w:r w:rsidR="00FF1E20" w:rsidRPr="00D41D30">
        <w:rPr>
          <w:rFonts w:hAnsi="標楷體" w:hint="eastAsia"/>
          <w:color w:val="000000" w:themeColor="text1"/>
        </w:rPr>
        <w:t>（教育部）</w:t>
      </w:r>
      <w:r w:rsidRPr="00D41D30">
        <w:rPr>
          <w:rFonts w:hAnsi="標楷體" w:hint="eastAsia"/>
          <w:color w:val="000000" w:themeColor="text1"/>
        </w:rPr>
        <w:t>於108年11月15日召開「研商高齡教育政策後續推動作為諮詢會議」，會議中多數學者主張須訂定「老人教育專法」的構想，未來本部</w:t>
      </w:r>
      <w:r w:rsidR="00FF1E20" w:rsidRPr="00D41D30">
        <w:rPr>
          <w:rFonts w:hAnsi="標楷體" w:hint="eastAsia"/>
          <w:color w:val="000000" w:themeColor="text1"/>
        </w:rPr>
        <w:t>（教育部）</w:t>
      </w:r>
      <w:r w:rsidRPr="00D41D30">
        <w:rPr>
          <w:rFonts w:hAnsi="標楷體" w:hint="eastAsia"/>
          <w:color w:val="000000" w:themeColor="text1"/>
        </w:rPr>
        <w:t>可期待。</w:t>
      </w:r>
    </w:p>
    <w:p w:rsidR="00C13D7A" w:rsidRPr="00D41D30" w:rsidRDefault="00C13D7A"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考量本部</w:t>
      </w:r>
      <w:r w:rsidR="00B441FC" w:rsidRPr="00D41D30">
        <w:rPr>
          <w:rFonts w:hAnsi="標楷體" w:hint="eastAsia"/>
          <w:color w:val="000000" w:themeColor="text1"/>
        </w:rPr>
        <w:t>（教育部）</w:t>
      </w:r>
      <w:r w:rsidRPr="00D41D30">
        <w:rPr>
          <w:rFonts w:hAnsi="標楷體" w:hint="eastAsia"/>
          <w:color w:val="000000" w:themeColor="text1"/>
        </w:rPr>
        <w:t>因人員、設備不足等事實原因，不能獨立執行職務，衡諸輔導團長期</w:t>
      </w:r>
      <w:r w:rsidRPr="00D41D30">
        <w:rPr>
          <w:rFonts w:hAnsi="標楷體" w:hint="eastAsia"/>
          <w:color w:val="000000" w:themeColor="text1"/>
        </w:rPr>
        <w:lastRenderedPageBreak/>
        <w:t>協助本部推動及辦理各項高齡學習培訓及研習等相關業務，並熟稔國內外高齡教育各項方案，爰依行政程序法第19條第2項之規定及依「教育部業務採行政協助辦理原則」，請學校協助辦理。</w:t>
      </w:r>
    </w:p>
    <w:p w:rsidR="007B5EA3" w:rsidRPr="00D41D30" w:rsidRDefault="00A93584"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示範中心係以『特色』為挑選依據，最高峰曾達12個，後來有些經營團隊換人後績效不彰，本部即不再定額補助，目前亦不再拓展，目前有建議規劃為績優中心，另外新住民學習中心、社區多功能學習中心等，但若要整合上述這些中心，地方政府均認為不可行。</w:t>
      </w:r>
    </w:p>
    <w:p w:rsidR="008B6D11" w:rsidRPr="00D41D30" w:rsidRDefault="008B6D11"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本部</w:t>
      </w:r>
      <w:r w:rsidR="00AC21D1" w:rsidRPr="00D41D30">
        <w:rPr>
          <w:rFonts w:hAnsi="標楷體" w:hint="eastAsia"/>
          <w:color w:val="000000" w:themeColor="text1"/>
        </w:rPr>
        <w:t>（教育部）</w:t>
      </w:r>
      <w:r w:rsidRPr="00D41D30">
        <w:rPr>
          <w:rFonts w:hAnsi="標楷體" w:hint="eastAsia"/>
          <w:color w:val="000000" w:themeColor="text1"/>
        </w:rPr>
        <w:t>推動樂齡教育，社區講師鐘點費為500元，外聘講師800元、具大學教師資格1</w:t>
      </w:r>
      <w:r w:rsidRPr="00D41D30">
        <w:rPr>
          <w:rFonts w:hAnsi="標楷體"/>
          <w:color w:val="000000" w:themeColor="text1"/>
        </w:rPr>
        <w:t>,</w:t>
      </w:r>
      <w:r w:rsidRPr="00D41D30">
        <w:rPr>
          <w:rFonts w:hAnsi="標楷體" w:hint="eastAsia"/>
          <w:color w:val="000000" w:themeColor="text1"/>
        </w:rPr>
        <w:t>200元，以上鐘點費均為上限，有些中心考量成本會再壓低；聽聞衛福部長照據點鐘點費2</w:t>
      </w:r>
      <w:r w:rsidRPr="00D41D30">
        <w:rPr>
          <w:rFonts w:hAnsi="標楷體"/>
          <w:color w:val="000000" w:themeColor="text1"/>
        </w:rPr>
        <w:t>,</w:t>
      </w:r>
      <w:r w:rsidRPr="00D41D30">
        <w:rPr>
          <w:rFonts w:hAnsi="標楷體" w:hint="eastAsia"/>
          <w:color w:val="000000" w:themeColor="text1"/>
        </w:rPr>
        <w:t>000元，導致樂齡據點講師對於鐘點費有所抱怨。</w:t>
      </w:r>
    </w:p>
    <w:p w:rsidR="00761AA3" w:rsidRPr="00D41D30" w:rsidRDefault="00761AA3"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韓國有終身學習的專責機構，該國國家終身教育振興院於2008年成立，當時有借鏡我國制度，而該國終身教育法於2007年大修，對於該國終身教育師制度是重大關鍵</w:t>
      </w:r>
      <w:r w:rsidRPr="00D41D30">
        <w:rPr>
          <w:rFonts w:hAnsi="標楷體"/>
          <w:color w:val="000000" w:themeColor="text1"/>
        </w:rPr>
        <w:t>……</w:t>
      </w:r>
      <w:r w:rsidR="00BA17A2" w:rsidRPr="00D41D30">
        <w:rPr>
          <w:rFonts w:hAnsi="標楷體" w:hint="eastAsia"/>
          <w:color w:val="000000" w:themeColor="text1"/>
        </w:rPr>
        <w:t>。</w:t>
      </w:r>
    </w:p>
    <w:p w:rsidR="00BD3343" w:rsidRPr="00D41D30" w:rsidRDefault="00392FEB"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關於少子化衝擊各大學校院情形，內政部花次長有規劃學校閒置教學大樓改建為宿舍或高齡教育機構之構想。</w:t>
      </w:r>
    </w:p>
    <w:p w:rsidR="00C71AD8" w:rsidRPr="00D41D30" w:rsidRDefault="00C71AD8"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高齡自主學習團體僅有訪視輔導委員，並無輔導團，而係由審查該團體計畫的委員實地進行輔導，原則上多為</w:t>
      </w:r>
      <w:r w:rsidRPr="00D41D30">
        <w:rPr>
          <w:rFonts w:hAnsi="標楷體"/>
          <w:color w:val="000000" w:themeColor="text1"/>
        </w:rPr>
        <w:t>1</w:t>
      </w:r>
      <w:r w:rsidRPr="00D41D30">
        <w:rPr>
          <w:rFonts w:hAnsi="標楷體" w:hint="eastAsia"/>
          <w:color w:val="000000" w:themeColor="text1"/>
        </w:rPr>
        <w:t>次，藉此穩固帶領人之實務經營與運作品質，國內此作法乃係參考法國、英國經驗，但我國並非若該兩國是使用者付費，而係採政府補助，明年起最高補助</w:t>
      </w:r>
      <w:r w:rsidRPr="00D41D30">
        <w:rPr>
          <w:rFonts w:hAnsi="標楷體"/>
          <w:color w:val="000000" w:themeColor="text1"/>
        </w:rPr>
        <w:t>6</w:t>
      </w:r>
      <w:r w:rsidRPr="00D41D30">
        <w:rPr>
          <w:rFonts w:hAnsi="標楷體" w:hint="eastAsia"/>
          <w:color w:val="000000" w:themeColor="text1"/>
        </w:rPr>
        <w:t>萬</w:t>
      </w:r>
      <w:r w:rsidRPr="00D41D30">
        <w:rPr>
          <w:rFonts w:hAnsi="標楷體" w:hint="eastAsia"/>
          <w:color w:val="000000" w:themeColor="text1"/>
        </w:rPr>
        <w:lastRenderedPageBreak/>
        <w:t>元。本部</w:t>
      </w:r>
      <w:r w:rsidR="00812064" w:rsidRPr="00D41D30">
        <w:rPr>
          <w:rFonts w:hAnsi="標楷體" w:hint="eastAsia"/>
          <w:color w:val="000000" w:themeColor="text1"/>
        </w:rPr>
        <w:t>（教育部）</w:t>
      </w:r>
      <w:r w:rsidRPr="00D41D30">
        <w:rPr>
          <w:rFonts w:hAnsi="標楷體" w:hint="eastAsia"/>
          <w:color w:val="000000" w:themeColor="text1"/>
        </w:rPr>
        <w:t>已於</w:t>
      </w:r>
      <w:r w:rsidRPr="00D41D30">
        <w:rPr>
          <w:rFonts w:hAnsi="標楷體"/>
          <w:color w:val="000000" w:themeColor="text1"/>
        </w:rPr>
        <w:t>108</w:t>
      </w:r>
      <w:r w:rsidRPr="00D41D30">
        <w:rPr>
          <w:rFonts w:hAnsi="標楷體" w:hint="eastAsia"/>
          <w:color w:val="000000" w:themeColor="text1"/>
        </w:rPr>
        <w:t>年</w:t>
      </w:r>
      <w:r w:rsidRPr="00D41D30">
        <w:rPr>
          <w:rFonts w:hAnsi="標楷體"/>
          <w:color w:val="000000" w:themeColor="text1"/>
        </w:rPr>
        <w:t>5</w:t>
      </w:r>
      <w:r w:rsidRPr="00D41D30">
        <w:rPr>
          <w:rFonts w:hAnsi="標楷體" w:hint="eastAsia"/>
          <w:color w:val="000000" w:themeColor="text1"/>
        </w:rPr>
        <w:t>月</w:t>
      </w:r>
      <w:r w:rsidRPr="00D41D30">
        <w:rPr>
          <w:rFonts w:hAnsi="標楷體"/>
          <w:color w:val="000000" w:themeColor="text1"/>
        </w:rPr>
        <w:t>30</w:t>
      </w:r>
      <w:r w:rsidRPr="00D41D30">
        <w:rPr>
          <w:rFonts w:hAnsi="標楷體" w:hint="eastAsia"/>
          <w:color w:val="000000" w:themeColor="text1"/>
        </w:rPr>
        <w:t>日函請相關單位協助高齡自主學習團體場地借用及優免事宜。並於</w:t>
      </w:r>
      <w:r w:rsidRPr="00D41D30">
        <w:rPr>
          <w:rFonts w:hAnsi="標楷體"/>
          <w:color w:val="000000" w:themeColor="text1"/>
        </w:rPr>
        <w:t>109</w:t>
      </w:r>
      <w:r w:rsidRPr="00D41D30">
        <w:rPr>
          <w:rFonts w:hAnsi="標楷體" w:hint="eastAsia"/>
          <w:color w:val="000000" w:themeColor="text1"/>
        </w:rPr>
        <w:t>年實施計畫明</w:t>
      </w:r>
      <w:r w:rsidR="00472F81" w:rsidRPr="00D41D30">
        <w:rPr>
          <w:rFonts w:hAnsi="標楷體" w:hint="eastAsia"/>
          <w:color w:val="000000" w:themeColor="text1"/>
        </w:rPr>
        <w:t>訂</w:t>
      </w:r>
      <w:r w:rsidRPr="00D41D30">
        <w:rPr>
          <w:rFonts w:hAnsi="標楷體" w:hint="eastAsia"/>
          <w:color w:val="000000" w:themeColor="text1"/>
        </w:rPr>
        <w:t>主辦縣市應輔導或協助自主團體租用場地、設施與設備或其他相關事項。</w:t>
      </w:r>
      <w:r w:rsidRPr="00D41D30">
        <w:rPr>
          <w:rFonts w:hAnsi="標楷體"/>
          <w:color w:val="000000" w:themeColor="text1"/>
        </w:rPr>
        <w:t>108</w:t>
      </w:r>
      <w:r w:rsidRPr="00D41D30">
        <w:rPr>
          <w:rFonts w:hAnsi="標楷體" w:hint="eastAsia"/>
          <w:color w:val="000000" w:themeColor="text1"/>
        </w:rPr>
        <w:t>年、</w:t>
      </w:r>
      <w:r w:rsidRPr="00D41D30">
        <w:rPr>
          <w:rFonts w:hAnsi="標楷體"/>
          <w:color w:val="000000" w:themeColor="text1"/>
        </w:rPr>
        <w:t>109</w:t>
      </w:r>
      <w:r w:rsidRPr="00D41D30">
        <w:rPr>
          <w:rFonts w:hAnsi="標楷體" w:hint="eastAsia"/>
          <w:color w:val="000000" w:themeColor="text1"/>
        </w:rPr>
        <w:t>年為高齡自主學習團的轉型期，本部</w:t>
      </w:r>
      <w:r w:rsidR="007F38F4" w:rsidRPr="00D41D30">
        <w:rPr>
          <w:rFonts w:hAnsi="標楷體" w:hint="eastAsia"/>
          <w:color w:val="000000" w:themeColor="text1"/>
        </w:rPr>
        <w:t>（教育部）</w:t>
      </w:r>
      <w:r w:rsidRPr="00D41D30">
        <w:rPr>
          <w:rFonts w:hAnsi="標楷體" w:hint="eastAsia"/>
          <w:color w:val="000000" w:themeColor="text1"/>
        </w:rPr>
        <w:t>將透過與各地方政府協商，希望未來自主學習團</w:t>
      </w:r>
      <w:r w:rsidR="00EF1EBE" w:rsidRPr="00D41D30">
        <w:rPr>
          <w:rFonts w:hAnsi="標楷體" w:hint="eastAsia"/>
          <w:color w:val="000000" w:themeColor="text1"/>
        </w:rPr>
        <w:t>能擴展普及到22個縣市</w:t>
      </w:r>
      <w:r w:rsidRPr="00D41D30">
        <w:rPr>
          <w:rFonts w:hAnsi="標楷體" w:hint="eastAsia"/>
          <w:color w:val="000000" w:themeColor="text1"/>
        </w:rPr>
        <w:t>。</w:t>
      </w:r>
    </w:p>
    <w:p w:rsidR="00541DD6" w:rsidRPr="00D41D30" w:rsidRDefault="00541DD6" w:rsidP="002E4F7E">
      <w:pPr>
        <w:pStyle w:val="4"/>
        <w:numPr>
          <w:ilvl w:val="3"/>
          <w:numId w:val="71"/>
        </w:numPr>
        <w:ind w:left="1871" w:hanging="680"/>
        <w:rPr>
          <w:rFonts w:hAnsi="標楷體"/>
          <w:color w:val="000000" w:themeColor="text1"/>
        </w:rPr>
      </w:pPr>
      <w:r w:rsidRPr="00D41D30">
        <w:rPr>
          <w:rFonts w:hAnsi="標楷體" w:hint="eastAsia"/>
          <w:color w:val="000000" w:themeColor="text1"/>
        </w:rPr>
        <w:t>社區關懷據點的預防延緩失能的講師鐘點費為1</w:t>
      </w:r>
      <w:r w:rsidRPr="00D41D30">
        <w:rPr>
          <w:rFonts w:hAnsi="標楷體"/>
          <w:color w:val="000000" w:themeColor="text1"/>
        </w:rPr>
        <w:t>,</w:t>
      </w:r>
      <w:r w:rsidRPr="00D41D30">
        <w:rPr>
          <w:rFonts w:hAnsi="標楷體" w:hint="eastAsia"/>
          <w:color w:val="000000" w:themeColor="text1"/>
        </w:rPr>
        <w:t>200元，協助者是500元。而目前本部</w:t>
      </w:r>
      <w:r w:rsidR="00193B19" w:rsidRPr="00D41D30">
        <w:rPr>
          <w:rFonts w:hAnsi="標楷體" w:hint="eastAsia"/>
          <w:color w:val="000000" w:themeColor="text1"/>
        </w:rPr>
        <w:t>（</w:t>
      </w:r>
      <w:r w:rsidR="00350EB1" w:rsidRPr="00D41D30">
        <w:rPr>
          <w:rFonts w:hAnsi="標楷體" w:hint="eastAsia"/>
          <w:color w:val="000000" w:themeColor="text1"/>
        </w:rPr>
        <w:t>衛福部</w:t>
      </w:r>
      <w:r w:rsidR="00193B19" w:rsidRPr="00D41D30">
        <w:rPr>
          <w:rFonts w:hAnsi="標楷體" w:hint="eastAsia"/>
          <w:color w:val="000000" w:themeColor="text1"/>
        </w:rPr>
        <w:t>）</w:t>
      </w:r>
      <w:r w:rsidRPr="00D41D30">
        <w:rPr>
          <w:rFonts w:hAnsi="標楷體"/>
          <w:color w:val="000000" w:themeColor="text1"/>
        </w:rPr>
        <w:t>C級巷弄長照站</w:t>
      </w:r>
      <w:r w:rsidRPr="00D41D30">
        <w:rPr>
          <w:rFonts w:hAnsi="標楷體" w:hint="eastAsia"/>
          <w:color w:val="000000" w:themeColor="text1"/>
        </w:rPr>
        <w:t>或可與教育部合作。</w:t>
      </w:r>
    </w:p>
    <w:p w:rsidR="008F5F43" w:rsidRPr="00D41D30" w:rsidRDefault="008F5F43" w:rsidP="008F5F43">
      <w:pPr>
        <w:pStyle w:val="32"/>
        <w:ind w:leftChars="500" w:left="1701" w:firstLineChars="189" w:firstLine="643"/>
        <w:rPr>
          <w:color w:val="000000" w:themeColor="text1"/>
          <w:szCs w:val="32"/>
        </w:rPr>
      </w:pPr>
    </w:p>
    <w:p w:rsidR="00E25849" w:rsidRPr="00D41D30" w:rsidRDefault="00D7741A" w:rsidP="004E05A1">
      <w:pPr>
        <w:pStyle w:val="1"/>
        <w:ind w:left="2380" w:hanging="2380"/>
        <w:rPr>
          <w:color w:val="000000" w:themeColor="text1"/>
        </w:rPr>
      </w:pPr>
      <w:bookmarkStart w:id="1113" w:name="_Toc524895646"/>
      <w:bookmarkStart w:id="1114" w:name="_Toc524896192"/>
      <w:bookmarkStart w:id="1115" w:name="_Toc524896222"/>
      <w:bookmarkStart w:id="1116" w:name="_Toc524902729"/>
      <w:bookmarkStart w:id="1117" w:name="_Toc525066145"/>
      <w:bookmarkStart w:id="1118" w:name="_Toc525070836"/>
      <w:bookmarkStart w:id="1119" w:name="_Toc525938376"/>
      <w:bookmarkStart w:id="1120" w:name="_Toc525939224"/>
      <w:bookmarkStart w:id="1121" w:name="_Toc525939729"/>
      <w:bookmarkStart w:id="1122" w:name="_Toc529218269"/>
      <w:bookmarkEnd w:id="205"/>
      <w:bookmarkEnd w:id="206"/>
      <w:bookmarkEnd w:id="207"/>
      <w:bookmarkEnd w:id="208"/>
      <w:bookmarkEnd w:id="209"/>
      <w:bookmarkEnd w:id="210"/>
      <w:r w:rsidRPr="00D41D30">
        <w:rPr>
          <w:color w:val="000000" w:themeColor="text1"/>
        </w:rPr>
        <w:br w:type="page"/>
      </w:r>
      <w:bookmarkStart w:id="1123" w:name="_Toc529222686"/>
      <w:bookmarkStart w:id="1124" w:name="_Toc529223108"/>
      <w:bookmarkStart w:id="1125" w:name="_Toc529223859"/>
      <w:bookmarkStart w:id="1126" w:name="_Toc529228262"/>
      <w:bookmarkStart w:id="1127" w:name="_Toc2400392"/>
      <w:bookmarkStart w:id="1128" w:name="_Toc4316186"/>
      <w:bookmarkStart w:id="1129" w:name="_Toc4473327"/>
      <w:bookmarkStart w:id="1130" w:name="_Toc69556894"/>
      <w:bookmarkStart w:id="1131" w:name="_Toc69556943"/>
      <w:bookmarkStart w:id="1132" w:name="_Toc69609817"/>
      <w:bookmarkStart w:id="1133" w:name="_Toc70241813"/>
      <w:bookmarkStart w:id="1134" w:name="_Toc70242202"/>
      <w:bookmarkStart w:id="1135" w:name="_Toc421794872"/>
      <w:bookmarkStart w:id="1136" w:name="_Toc16693376"/>
      <w:bookmarkStart w:id="1137" w:name="_Toc33011807"/>
      <w:r w:rsidRPr="00D41D30">
        <w:rPr>
          <w:rFonts w:hint="eastAsia"/>
          <w:color w:val="000000" w:themeColor="text1"/>
        </w:rPr>
        <w:lastRenderedPageBreak/>
        <w:t>調查意見</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rsidR="00831BF5" w:rsidRPr="00D41D30" w:rsidRDefault="00471F72" w:rsidP="00471F72">
      <w:pPr>
        <w:pStyle w:val="11"/>
        <w:ind w:left="680" w:firstLine="680"/>
        <w:rPr>
          <w:rFonts w:hAnsi="標楷體"/>
          <w:color w:val="000000" w:themeColor="text1"/>
        </w:rPr>
      </w:pPr>
      <w:bookmarkStart w:id="1138" w:name="_Toc524902730"/>
      <w:r w:rsidRPr="00D41D30">
        <w:rPr>
          <w:rFonts w:hAnsi="標楷體" w:hint="eastAsia"/>
          <w:color w:val="000000" w:themeColor="text1"/>
        </w:rPr>
        <w:t>聯合國大會在</w:t>
      </w:r>
      <w:r w:rsidR="00924384" w:rsidRPr="00D41D30">
        <w:rPr>
          <w:rFonts w:hAnsi="標楷體" w:hint="eastAsia"/>
          <w:color w:val="000000" w:themeColor="text1"/>
        </w:rPr>
        <w:t>公元</w:t>
      </w:r>
      <w:r w:rsidR="00A74D46" w:rsidRPr="00D41D30">
        <w:rPr>
          <w:rStyle w:val="aff0"/>
          <w:rFonts w:hAnsi="標楷體"/>
          <w:color w:val="000000" w:themeColor="text1"/>
        </w:rPr>
        <w:footnoteReference w:id="8"/>
      </w:r>
      <w:r w:rsidRPr="00D41D30">
        <w:rPr>
          <w:rFonts w:hAnsi="標楷體" w:hint="eastAsia"/>
          <w:color w:val="000000" w:themeColor="text1"/>
        </w:rPr>
        <w:t>1991年通過「聯合國老人綱領」</w:t>
      </w:r>
      <w:r w:rsidR="0086043C" w:rsidRPr="00D41D30">
        <w:rPr>
          <w:rStyle w:val="aff0"/>
          <w:rFonts w:hAnsi="標楷體"/>
          <w:color w:val="000000" w:themeColor="text1"/>
        </w:rPr>
        <w:footnoteReference w:id="9"/>
      </w:r>
      <w:r w:rsidR="00293459" w:rsidRPr="00D41D30">
        <w:rPr>
          <w:rFonts w:hAnsi="標楷體" w:hint="eastAsia"/>
          <w:color w:val="000000" w:themeColor="text1"/>
        </w:rPr>
        <w:t>（</w:t>
      </w:r>
      <w:r w:rsidR="00293459" w:rsidRPr="00D41D30">
        <w:rPr>
          <w:rFonts w:hAnsi="標楷體"/>
          <w:color w:val="000000" w:themeColor="text1"/>
        </w:rPr>
        <w:t>United Nations Principles for Older Persons</w:t>
      </w:r>
      <w:r w:rsidR="00293459" w:rsidRPr="00D41D30">
        <w:rPr>
          <w:rFonts w:hAnsi="標楷體" w:hint="eastAsia"/>
          <w:color w:val="000000" w:themeColor="text1"/>
        </w:rPr>
        <w:t>）</w:t>
      </w:r>
      <w:r w:rsidRPr="00D41D30">
        <w:rPr>
          <w:rFonts w:hAnsi="標楷體" w:hint="eastAsia"/>
          <w:color w:val="000000" w:themeColor="text1"/>
        </w:rPr>
        <w:t>，提出老人應有充分參與教育、文化、休閒及公民活動的機會，並將</w:t>
      </w:r>
      <w:r w:rsidR="008B5F6E" w:rsidRPr="00D41D30">
        <w:rPr>
          <w:rFonts w:hAnsi="標楷體" w:hint="eastAsia"/>
          <w:color w:val="000000" w:themeColor="text1"/>
        </w:rPr>
        <w:t>1999</w:t>
      </w:r>
      <w:r w:rsidRPr="00D41D30">
        <w:rPr>
          <w:rFonts w:hAnsi="標楷體" w:hint="eastAsia"/>
          <w:color w:val="000000" w:themeColor="text1"/>
        </w:rPr>
        <w:t>年訂為「國際老人年」，要求各會員國提出針對老人的全國性與地方性的方案，除了落實國際老化行動，及聯合國關懷老人原則中的精神與內涵，以促進國際及各國對高齡者的重視與關懷。世界衛生組織（</w:t>
      </w:r>
      <w:r w:rsidR="00615B3B" w:rsidRPr="00D41D30">
        <w:rPr>
          <w:rFonts w:hAnsi="標楷體"/>
          <w:color w:val="000000" w:themeColor="text1"/>
        </w:rPr>
        <w:t>World Health Organization</w:t>
      </w:r>
      <w:r w:rsidR="00615B3B" w:rsidRPr="00D41D30">
        <w:rPr>
          <w:rFonts w:hAnsi="標楷體" w:hint="eastAsia"/>
          <w:color w:val="000000" w:themeColor="text1"/>
        </w:rPr>
        <w:t xml:space="preserve">, </w:t>
      </w:r>
      <w:r w:rsidRPr="00D41D30">
        <w:rPr>
          <w:rFonts w:hAnsi="標楷體" w:hint="eastAsia"/>
          <w:color w:val="000000" w:themeColor="text1"/>
        </w:rPr>
        <w:t>WHO）則在 2002年提出「活躍老化」（active ageing）觀念，已成為WHO、</w:t>
      </w:r>
      <w:r w:rsidR="00545FD0" w:rsidRPr="00D41D30">
        <w:rPr>
          <w:rFonts w:hAnsi="標楷體" w:hint="eastAsia"/>
          <w:color w:val="000000" w:themeColor="text1"/>
        </w:rPr>
        <w:t>經濟合作暨發展組織</w:t>
      </w:r>
      <w:r w:rsidR="00B562C7" w:rsidRPr="00D41D30">
        <w:rPr>
          <w:rFonts w:hAnsi="標楷體" w:hint="eastAsia"/>
          <w:color w:val="000000" w:themeColor="text1"/>
        </w:rPr>
        <w:t>（</w:t>
      </w:r>
      <w:r w:rsidR="00545FD0" w:rsidRPr="00D41D30">
        <w:rPr>
          <w:rFonts w:hAnsi="標楷體" w:hint="eastAsia"/>
          <w:color w:val="000000" w:themeColor="text1"/>
        </w:rPr>
        <w:t>Organization for Economic Cooperation and Development, OECD</w:t>
      </w:r>
      <w:r w:rsidR="006B5136" w:rsidRPr="00D41D30">
        <w:rPr>
          <w:rFonts w:hAnsi="標楷體"/>
          <w:color w:val="000000" w:themeColor="text1"/>
        </w:rPr>
        <w:t>）</w:t>
      </w:r>
      <w:r w:rsidRPr="00D41D30">
        <w:rPr>
          <w:rFonts w:hAnsi="標楷體" w:hint="eastAsia"/>
          <w:color w:val="000000" w:themeColor="text1"/>
        </w:rPr>
        <w:t>等國際組織對於老年健康政策擬定的主要參考架構。其中活躍老化的定義即為：健康、參與、和安全達到最適化機會的過程，以便促進民眾老年時的生活品質。</w:t>
      </w:r>
    </w:p>
    <w:p w:rsidR="00A532AD" w:rsidRPr="00D41D30" w:rsidRDefault="00471F72" w:rsidP="00471F72">
      <w:pPr>
        <w:pStyle w:val="11"/>
        <w:ind w:left="680" w:firstLine="680"/>
        <w:rPr>
          <w:bCs/>
          <w:color w:val="000000" w:themeColor="text1"/>
        </w:rPr>
      </w:pPr>
      <w:r w:rsidRPr="00D41D30">
        <w:rPr>
          <w:rFonts w:hint="eastAsia"/>
          <w:bCs/>
          <w:color w:val="000000" w:themeColor="text1"/>
        </w:rPr>
        <w:t>基此，</w:t>
      </w:r>
      <w:r w:rsidR="003D78C6" w:rsidRPr="00D41D30">
        <w:rPr>
          <w:rFonts w:hAnsi="標楷體" w:hint="eastAsia"/>
          <w:color w:val="000000" w:themeColor="text1"/>
        </w:rPr>
        <w:t>針對高齡者教育之建置</w:t>
      </w:r>
      <w:r w:rsidR="00E12E1C" w:rsidRPr="00D41D30">
        <w:rPr>
          <w:rFonts w:hAnsi="標楷體" w:hint="eastAsia"/>
          <w:color w:val="000000" w:themeColor="text1"/>
        </w:rPr>
        <w:t>及規劃</w:t>
      </w:r>
      <w:r w:rsidR="003D78C6" w:rsidRPr="00D41D30">
        <w:rPr>
          <w:rFonts w:hAnsi="標楷體" w:hint="eastAsia"/>
          <w:color w:val="000000" w:themeColor="text1"/>
        </w:rPr>
        <w:t>應屬我國終身學習環境之一環，</w:t>
      </w:r>
      <w:r w:rsidR="00FE0549" w:rsidRPr="00D41D30">
        <w:rPr>
          <w:rFonts w:hAnsi="標楷體" w:hint="eastAsia"/>
          <w:color w:val="000000" w:themeColor="text1"/>
        </w:rPr>
        <w:t>況</w:t>
      </w:r>
      <w:r w:rsidR="00E12E1C" w:rsidRPr="00D41D30">
        <w:rPr>
          <w:rFonts w:hAnsi="標楷體" w:hint="eastAsia"/>
          <w:color w:val="000000" w:themeColor="text1"/>
        </w:rPr>
        <w:t>我國推估將於2026年即將迎向超高齡社會</w:t>
      </w:r>
      <w:r w:rsidR="00586500" w:rsidRPr="00D41D30">
        <w:rPr>
          <w:rStyle w:val="aff0"/>
          <w:rFonts w:hAnsi="標楷體"/>
          <w:color w:val="000000" w:themeColor="text1"/>
        </w:rPr>
        <w:footnoteReference w:id="10"/>
      </w:r>
      <w:r w:rsidR="00E12E1C" w:rsidRPr="00D41D30">
        <w:rPr>
          <w:rFonts w:hAnsi="標楷體" w:hint="eastAsia"/>
          <w:color w:val="000000" w:themeColor="text1"/>
        </w:rPr>
        <w:t>，</w:t>
      </w:r>
      <w:r w:rsidR="00BC61CB" w:rsidRPr="00D41D30">
        <w:rPr>
          <w:rFonts w:hAnsi="標楷體" w:hint="eastAsia"/>
          <w:color w:val="000000" w:themeColor="text1"/>
        </w:rPr>
        <w:t>爰對於高齡者</w:t>
      </w:r>
      <w:r w:rsidR="00177FB1" w:rsidRPr="00D41D30">
        <w:rPr>
          <w:rFonts w:hAnsi="標楷體" w:hint="eastAsia"/>
          <w:color w:val="000000" w:themeColor="text1"/>
        </w:rPr>
        <w:t>教育之整體措施及檢討應屬</w:t>
      </w:r>
      <w:r w:rsidR="004133D2" w:rsidRPr="00D41D30">
        <w:rPr>
          <w:rFonts w:hAnsi="標楷體" w:hint="eastAsia"/>
          <w:color w:val="000000" w:themeColor="text1"/>
        </w:rPr>
        <w:t>政府</w:t>
      </w:r>
      <w:r w:rsidR="00177FB1" w:rsidRPr="00D41D30">
        <w:rPr>
          <w:rFonts w:hAnsi="標楷體" w:hint="eastAsia"/>
          <w:color w:val="000000" w:themeColor="text1"/>
        </w:rPr>
        <w:t>刻不容緩之議題</w:t>
      </w:r>
      <w:r w:rsidR="004D7A20" w:rsidRPr="00D41D30">
        <w:rPr>
          <w:rFonts w:hAnsi="標楷體" w:hint="eastAsia"/>
          <w:color w:val="000000" w:themeColor="text1"/>
        </w:rPr>
        <w:t>，</w:t>
      </w:r>
      <w:r w:rsidR="005C69BF" w:rsidRPr="00D41D30">
        <w:rPr>
          <w:rFonts w:hAnsi="標楷體" w:hint="eastAsia"/>
          <w:color w:val="000000" w:themeColor="text1"/>
        </w:rPr>
        <w:t>本案</w:t>
      </w:r>
      <w:r w:rsidR="004D7A20" w:rsidRPr="00D41D30">
        <w:rPr>
          <w:rFonts w:hAnsi="標楷體" w:hint="eastAsia"/>
          <w:color w:val="000000" w:themeColor="text1"/>
        </w:rPr>
        <w:t>調查範圍</w:t>
      </w:r>
      <w:r w:rsidR="00C253F8" w:rsidRPr="00D41D30">
        <w:rPr>
          <w:rFonts w:hAnsi="標楷體" w:hint="eastAsia"/>
          <w:color w:val="000000" w:themeColor="text1"/>
        </w:rPr>
        <w:t>雖</w:t>
      </w:r>
      <w:r w:rsidR="000673E7" w:rsidRPr="00D41D30">
        <w:rPr>
          <w:rFonts w:hAnsi="標楷體" w:hint="eastAsia"/>
          <w:color w:val="000000" w:themeColor="text1"/>
        </w:rPr>
        <w:t>關注</w:t>
      </w:r>
      <w:r w:rsidR="00C253F8" w:rsidRPr="00D41D30">
        <w:rPr>
          <w:rFonts w:hAnsi="標楷體" w:hint="eastAsia"/>
          <w:color w:val="000000" w:themeColor="text1"/>
        </w:rPr>
        <w:t>高齡教育置</w:t>
      </w:r>
      <w:r w:rsidR="00C66CFA" w:rsidRPr="00D41D30">
        <w:rPr>
          <w:rFonts w:hAnsi="標楷體" w:hint="eastAsia"/>
          <w:color w:val="000000" w:themeColor="text1"/>
        </w:rPr>
        <w:t>身</w:t>
      </w:r>
      <w:r w:rsidR="00C253F8" w:rsidRPr="00D41D30">
        <w:rPr>
          <w:rFonts w:hAnsi="標楷體" w:hint="eastAsia"/>
          <w:color w:val="000000" w:themeColor="text1"/>
        </w:rPr>
        <w:t>於我國及國際終身學習教育理念</w:t>
      </w:r>
      <w:r w:rsidR="00706880" w:rsidRPr="00D41D30">
        <w:rPr>
          <w:rFonts w:hAnsi="標楷體" w:hint="eastAsia"/>
          <w:color w:val="000000" w:themeColor="text1"/>
        </w:rPr>
        <w:t>及趨勢</w:t>
      </w:r>
      <w:r w:rsidR="00C253F8" w:rsidRPr="00D41D30">
        <w:rPr>
          <w:rFonts w:hAnsi="標楷體" w:hint="eastAsia"/>
          <w:color w:val="000000" w:themeColor="text1"/>
        </w:rPr>
        <w:t>下</w:t>
      </w:r>
      <w:r w:rsidR="003065DF" w:rsidRPr="00D41D30">
        <w:rPr>
          <w:rFonts w:hAnsi="標楷體" w:hint="eastAsia"/>
          <w:color w:val="000000" w:themeColor="text1"/>
        </w:rPr>
        <w:t>之</w:t>
      </w:r>
      <w:r w:rsidR="00361152" w:rsidRPr="00D41D30">
        <w:rPr>
          <w:rFonts w:hAnsi="標楷體" w:hint="eastAsia"/>
          <w:color w:val="000000" w:themeColor="text1"/>
        </w:rPr>
        <w:t>相關演進及</w:t>
      </w:r>
      <w:r w:rsidR="000673E7" w:rsidRPr="00D41D30">
        <w:rPr>
          <w:rFonts w:hAnsi="標楷體" w:hint="eastAsia"/>
          <w:color w:val="000000" w:themeColor="text1"/>
        </w:rPr>
        <w:t>運作</w:t>
      </w:r>
      <w:r w:rsidR="003065DF" w:rsidRPr="00D41D30">
        <w:rPr>
          <w:rFonts w:hAnsi="標楷體" w:hint="eastAsia"/>
          <w:color w:val="000000" w:themeColor="text1"/>
        </w:rPr>
        <w:t>脈絡</w:t>
      </w:r>
      <w:r w:rsidR="00C253F8" w:rsidRPr="00D41D30">
        <w:rPr>
          <w:rFonts w:hAnsi="標楷體" w:hint="eastAsia"/>
          <w:color w:val="000000" w:themeColor="text1"/>
        </w:rPr>
        <w:t>，</w:t>
      </w:r>
      <w:r w:rsidR="000673E7" w:rsidRPr="00D41D30">
        <w:rPr>
          <w:rFonts w:hAnsi="標楷體" w:hint="eastAsia"/>
          <w:color w:val="000000" w:themeColor="text1"/>
        </w:rPr>
        <w:t>惟</w:t>
      </w:r>
      <w:r w:rsidR="006E1A16" w:rsidRPr="00D41D30">
        <w:rPr>
          <w:rFonts w:hAnsi="標楷體" w:hint="eastAsia"/>
          <w:color w:val="000000" w:themeColor="text1"/>
        </w:rPr>
        <w:t>因應高齡社會</w:t>
      </w:r>
      <w:r w:rsidR="00654E85" w:rsidRPr="00D41D30">
        <w:rPr>
          <w:rFonts w:hAnsi="標楷體" w:hint="eastAsia"/>
          <w:color w:val="000000" w:themeColor="text1"/>
        </w:rPr>
        <w:t>之挑戰</w:t>
      </w:r>
      <w:r w:rsidR="006E1A16" w:rsidRPr="00D41D30">
        <w:rPr>
          <w:rFonts w:hAnsi="標楷體" w:hint="eastAsia"/>
          <w:color w:val="000000" w:themeColor="text1"/>
        </w:rPr>
        <w:t>迫在眉睫，</w:t>
      </w:r>
      <w:r w:rsidR="00950064" w:rsidRPr="00D41D30">
        <w:rPr>
          <w:rFonts w:hAnsi="標楷體" w:hint="eastAsia"/>
          <w:color w:val="000000" w:themeColor="text1"/>
        </w:rPr>
        <w:t>為聚焦於</w:t>
      </w:r>
      <w:r w:rsidR="003210A8" w:rsidRPr="00D41D30">
        <w:rPr>
          <w:rFonts w:hAnsi="標楷體" w:hint="eastAsia"/>
          <w:color w:val="000000" w:themeColor="text1"/>
        </w:rPr>
        <w:t>高齡教育</w:t>
      </w:r>
      <w:r w:rsidR="00E42893" w:rsidRPr="00D41D30">
        <w:rPr>
          <w:rFonts w:hAnsi="標楷體" w:hint="eastAsia"/>
          <w:color w:val="000000" w:themeColor="text1"/>
        </w:rPr>
        <w:t>相關</w:t>
      </w:r>
      <w:r w:rsidR="003210A8" w:rsidRPr="00D41D30">
        <w:rPr>
          <w:rFonts w:hAnsi="標楷體" w:hint="eastAsia"/>
          <w:color w:val="000000" w:themeColor="text1"/>
        </w:rPr>
        <w:t>議題，</w:t>
      </w:r>
      <w:r w:rsidR="00E6402A" w:rsidRPr="00D41D30">
        <w:rPr>
          <w:rFonts w:hAnsi="標楷體" w:hint="eastAsia"/>
          <w:color w:val="000000" w:themeColor="text1"/>
        </w:rPr>
        <w:t>本案</w:t>
      </w:r>
      <w:r w:rsidR="000673E7" w:rsidRPr="00D41D30">
        <w:rPr>
          <w:rFonts w:hAnsi="標楷體" w:hint="eastAsia"/>
          <w:color w:val="000000" w:themeColor="text1"/>
        </w:rPr>
        <w:t>主要調查</w:t>
      </w:r>
      <w:r w:rsidR="008E446B" w:rsidRPr="00D41D30">
        <w:rPr>
          <w:rFonts w:hAnsi="標楷體" w:hint="eastAsia"/>
          <w:color w:val="000000" w:themeColor="text1"/>
        </w:rPr>
        <w:t>範圍</w:t>
      </w:r>
      <w:r w:rsidR="00E6402A" w:rsidRPr="00D41D30">
        <w:rPr>
          <w:rFonts w:hAnsi="標楷體" w:hint="eastAsia"/>
          <w:color w:val="000000" w:themeColor="text1"/>
        </w:rPr>
        <w:t>仍</w:t>
      </w:r>
      <w:r w:rsidR="004D7A20" w:rsidRPr="00D41D30">
        <w:rPr>
          <w:rFonts w:hAnsi="標楷體" w:hint="eastAsia"/>
          <w:color w:val="000000" w:themeColor="text1"/>
        </w:rPr>
        <w:t>限於高齡者為主之終身教育體制</w:t>
      </w:r>
      <w:r w:rsidR="00820D35" w:rsidRPr="00D41D30">
        <w:rPr>
          <w:rFonts w:hAnsi="標楷體" w:hint="eastAsia"/>
          <w:color w:val="000000" w:themeColor="text1"/>
        </w:rPr>
        <w:t>及</w:t>
      </w:r>
      <w:r w:rsidR="00614A37" w:rsidRPr="00D41D30">
        <w:rPr>
          <w:rFonts w:hAnsi="標楷體" w:hint="eastAsia"/>
          <w:color w:val="000000" w:themeColor="text1"/>
        </w:rPr>
        <w:t>相關</w:t>
      </w:r>
      <w:r w:rsidR="00820D35" w:rsidRPr="00D41D30">
        <w:rPr>
          <w:rFonts w:hAnsi="標楷體" w:hint="eastAsia"/>
          <w:color w:val="000000" w:themeColor="text1"/>
        </w:rPr>
        <w:t>措施</w:t>
      </w:r>
      <w:r w:rsidR="00D25FEF" w:rsidRPr="00D41D30">
        <w:rPr>
          <w:rFonts w:hAnsi="標楷體" w:hint="eastAsia"/>
          <w:color w:val="000000" w:themeColor="text1"/>
        </w:rPr>
        <w:t>。</w:t>
      </w:r>
      <w:r w:rsidR="004D7A20" w:rsidRPr="00D41D30">
        <w:rPr>
          <w:rFonts w:hAnsi="標楷體" w:hint="eastAsia"/>
          <w:color w:val="000000" w:themeColor="text1"/>
        </w:rPr>
        <w:t>爰以</w:t>
      </w:r>
      <w:r w:rsidR="00762286" w:rsidRPr="00D41D30">
        <w:rPr>
          <w:rFonts w:hAnsi="標楷體" w:hint="eastAsia"/>
          <w:color w:val="000000" w:themeColor="text1"/>
        </w:rPr>
        <w:t>教育部等機關</w:t>
      </w:r>
      <w:r w:rsidR="00A12864" w:rsidRPr="00D41D30">
        <w:rPr>
          <w:rFonts w:hAnsi="標楷體" w:hint="eastAsia"/>
          <w:color w:val="000000" w:themeColor="text1"/>
        </w:rPr>
        <w:t>推動之</w:t>
      </w:r>
      <w:r w:rsidR="002934C1" w:rsidRPr="00D41D30">
        <w:rPr>
          <w:rFonts w:hAnsi="標楷體" w:hint="eastAsia"/>
          <w:color w:val="000000" w:themeColor="text1"/>
        </w:rPr>
        <w:t>樂齡</w:t>
      </w:r>
      <w:r w:rsidR="00073E6E" w:rsidRPr="00D41D30">
        <w:rPr>
          <w:rFonts w:hAnsi="標楷體" w:hint="eastAsia"/>
          <w:color w:val="000000" w:themeColor="text1"/>
        </w:rPr>
        <w:t>教育</w:t>
      </w:r>
      <w:r w:rsidR="002934C1" w:rsidRPr="00D41D30">
        <w:rPr>
          <w:rFonts w:hAnsi="標楷體" w:hint="eastAsia"/>
          <w:color w:val="000000" w:themeColor="text1"/>
        </w:rPr>
        <w:t>及相關</w:t>
      </w:r>
      <w:r w:rsidR="008D748B" w:rsidRPr="00D41D30">
        <w:rPr>
          <w:rFonts w:hAnsi="標楷體" w:hint="eastAsia"/>
          <w:color w:val="000000" w:themeColor="text1"/>
        </w:rPr>
        <w:t>政策</w:t>
      </w:r>
      <w:r w:rsidR="002934C1" w:rsidRPr="00D41D30">
        <w:rPr>
          <w:rFonts w:hAnsi="標楷體" w:hint="eastAsia"/>
          <w:color w:val="000000" w:themeColor="text1"/>
        </w:rPr>
        <w:t>為主</w:t>
      </w:r>
      <w:r w:rsidR="00106745" w:rsidRPr="00D41D30">
        <w:rPr>
          <w:rFonts w:hAnsi="標楷體" w:hint="eastAsia"/>
          <w:color w:val="000000" w:themeColor="text1"/>
        </w:rPr>
        <w:t>要</w:t>
      </w:r>
      <w:r w:rsidR="004B5043" w:rsidRPr="00D41D30">
        <w:rPr>
          <w:rFonts w:hAnsi="標楷體" w:hint="eastAsia"/>
          <w:color w:val="000000" w:themeColor="text1"/>
        </w:rPr>
        <w:t>調查</w:t>
      </w:r>
      <w:r w:rsidR="00106745" w:rsidRPr="00D41D30">
        <w:rPr>
          <w:rFonts w:hAnsi="標楷體" w:hint="eastAsia"/>
          <w:color w:val="000000" w:themeColor="text1"/>
        </w:rPr>
        <w:lastRenderedPageBreak/>
        <w:t>標的</w:t>
      </w:r>
      <w:r w:rsidR="006544BB" w:rsidRPr="00D41D30">
        <w:rPr>
          <w:rStyle w:val="aff0"/>
          <w:rFonts w:hAnsi="標楷體"/>
          <w:color w:val="000000" w:themeColor="text1"/>
        </w:rPr>
        <w:footnoteReference w:id="11"/>
      </w:r>
      <w:r w:rsidR="0068657D" w:rsidRPr="00D41D30">
        <w:rPr>
          <w:rFonts w:hAnsi="標楷體" w:hint="eastAsia"/>
          <w:color w:val="000000" w:themeColor="text1"/>
        </w:rPr>
        <w:t>，合先敘明</w:t>
      </w:r>
      <w:r w:rsidR="00177FB1" w:rsidRPr="00D41D30">
        <w:rPr>
          <w:rFonts w:hAnsi="標楷體" w:hint="eastAsia"/>
          <w:color w:val="000000" w:themeColor="text1"/>
        </w:rPr>
        <w:t>。</w:t>
      </w:r>
    </w:p>
    <w:p w:rsidR="00E216C0" w:rsidRPr="00D41D30" w:rsidRDefault="00495F3E" w:rsidP="00A639F4">
      <w:pPr>
        <w:pStyle w:val="11"/>
        <w:ind w:left="680" w:firstLine="680"/>
        <w:rPr>
          <w:color w:val="000000" w:themeColor="text1"/>
        </w:rPr>
      </w:pPr>
      <w:r w:rsidRPr="00D41D30">
        <w:rPr>
          <w:rFonts w:hint="eastAsia"/>
          <w:bCs/>
          <w:color w:val="000000" w:themeColor="text1"/>
        </w:rPr>
        <w:t>本調查報告包括二案。為瞭解教育部對於高齡教育推動情形，爰於</w:t>
      </w:r>
      <w:r w:rsidRPr="00D41D30">
        <w:rPr>
          <w:rFonts w:hint="eastAsia"/>
          <w:color w:val="000000" w:themeColor="text1"/>
        </w:rPr>
        <w:t>民國</w:t>
      </w:r>
      <w:r w:rsidR="00B74CBD" w:rsidRPr="00D41D30">
        <w:rPr>
          <w:rFonts w:hint="eastAsia"/>
          <w:color w:val="000000" w:themeColor="text1"/>
        </w:rPr>
        <w:t>（下同）</w:t>
      </w:r>
      <w:r w:rsidRPr="00D41D30">
        <w:rPr>
          <w:rFonts w:hint="eastAsia"/>
          <w:color w:val="000000" w:themeColor="text1"/>
        </w:rPr>
        <w:t>108</w:t>
      </w:r>
      <w:r w:rsidR="0076749F" w:rsidRPr="00D41D30">
        <w:rPr>
          <w:rFonts w:hint="eastAsia"/>
          <w:color w:val="000000" w:themeColor="text1"/>
        </w:rPr>
        <w:t>年</w:t>
      </w:r>
      <w:r w:rsidRPr="00D41D30">
        <w:rPr>
          <w:rFonts w:hint="eastAsia"/>
          <w:color w:val="000000" w:themeColor="text1"/>
        </w:rPr>
        <w:t>4月29日請該部終身教育司司長及國家教育研究院課程及教學研究中心主任等主管人員到院簡報，</w:t>
      </w:r>
      <w:r w:rsidR="00C22D5D" w:rsidRPr="00D41D30">
        <w:rPr>
          <w:rFonts w:hint="eastAsia"/>
          <w:color w:val="000000" w:themeColor="text1"/>
        </w:rPr>
        <w:t>本案調查委員</w:t>
      </w:r>
      <w:r w:rsidRPr="00D41D30">
        <w:rPr>
          <w:rFonts w:hint="eastAsia"/>
          <w:color w:val="000000" w:themeColor="text1"/>
        </w:rPr>
        <w:t>嗣於同年6月13日履勘國立空中大學附辦樂齡大學、國立臺灣師範大學（樂齡北區輔導團</w:t>
      </w:r>
      <w:r w:rsidR="006B5136" w:rsidRPr="00D41D30">
        <w:rPr>
          <w:rFonts w:hAnsi="標楷體" w:hint="eastAsia"/>
          <w:color w:val="000000" w:themeColor="text1"/>
        </w:rPr>
        <w:t>）</w:t>
      </w:r>
      <w:r w:rsidRPr="00D41D30">
        <w:rPr>
          <w:rFonts w:hint="eastAsia"/>
          <w:color w:val="000000" w:themeColor="text1"/>
        </w:rPr>
        <w:t>，並與教育部相關業務主管人員、北區自主學習團體帶領人等座談。</w:t>
      </w:r>
      <w:r w:rsidR="00C22D5D" w:rsidRPr="00D41D30">
        <w:rPr>
          <w:rFonts w:hint="eastAsia"/>
          <w:color w:val="000000" w:themeColor="text1"/>
        </w:rPr>
        <w:t>且</w:t>
      </w:r>
      <w:r w:rsidR="003F5D03" w:rsidRPr="00D41D30">
        <w:rPr>
          <w:rFonts w:hint="eastAsia"/>
          <w:color w:val="000000" w:themeColor="text1"/>
        </w:rPr>
        <w:t>於</w:t>
      </w:r>
      <w:r w:rsidR="00782A67" w:rsidRPr="00D41D30">
        <w:rPr>
          <w:rFonts w:hint="eastAsia"/>
          <w:color w:val="000000" w:themeColor="text1"/>
        </w:rPr>
        <w:t>同</w:t>
      </w:r>
      <w:r w:rsidR="00782A67" w:rsidRPr="00D41D30">
        <w:rPr>
          <w:rFonts w:hint="eastAsia"/>
          <w:color w:val="000000" w:themeColor="text1"/>
          <w:szCs w:val="32"/>
        </w:rPr>
        <w:t>年6月29日</w:t>
      </w:r>
      <w:r w:rsidR="002E6D9F" w:rsidRPr="00D41D30">
        <w:rPr>
          <w:rFonts w:hAnsi="標楷體" w:hint="eastAsia"/>
          <w:color w:val="000000" w:themeColor="text1"/>
          <w:szCs w:val="32"/>
        </w:rPr>
        <w:t>、</w:t>
      </w:r>
      <w:r w:rsidR="002E6D9F" w:rsidRPr="00D41D30">
        <w:rPr>
          <w:rFonts w:hint="eastAsia"/>
          <w:color w:val="000000" w:themeColor="text1"/>
          <w:szCs w:val="32"/>
        </w:rPr>
        <w:t>7月16日</w:t>
      </w:r>
      <w:r w:rsidR="00782A67" w:rsidRPr="00D41D30">
        <w:rPr>
          <w:rFonts w:hint="eastAsia"/>
          <w:color w:val="000000" w:themeColor="text1"/>
          <w:szCs w:val="32"/>
        </w:rPr>
        <w:t>，</w:t>
      </w:r>
      <w:r w:rsidR="002E6D9F" w:rsidRPr="00D41D30">
        <w:rPr>
          <w:rFonts w:hint="eastAsia"/>
          <w:color w:val="000000" w:themeColor="text1"/>
          <w:szCs w:val="32"/>
        </w:rPr>
        <w:t>分別</w:t>
      </w:r>
      <w:r w:rsidR="00782A67" w:rsidRPr="00D41D30">
        <w:rPr>
          <w:rFonts w:hint="eastAsia"/>
          <w:color w:val="000000" w:themeColor="text1"/>
          <w:szCs w:val="32"/>
        </w:rPr>
        <w:t>於金門縣</w:t>
      </w:r>
      <w:r w:rsidR="00383825" w:rsidRPr="00D41D30">
        <w:rPr>
          <w:rFonts w:hint="eastAsia"/>
          <w:color w:val="000000" w:themeColor="text1"/>
          <w:szCs w:val="32"/>
        </w:rPr>
        <w:t>及連江縣</w:t>
      </w:r>
      <w:r w:rsidR="00782A67" w:rsidRPr="00D41D30">
        <w:rPr>
          <w:rFonts w:hint="eastAsia"/>
          <w:color w:val="000000" w:themeColor="text1"/>
          <w:szCs w:val="32"/>
        </w:rPr>
        <w:t>地方</w:t>
      </w:r>
      <w:r w:rsidR="00782A67" w:rsidRPr="00D41D30">
        <w:rPr>
          <w:rFonts w:ascii="Arial" w:cs="Arial"/>
          <w:color w:val="000000" w:themeColor="text1"/>
        </w:rPr>
        <w:t>巡察行程中，</w:t>
      </w:r>
      <w:r w:rsidR="00A13F12" w:rsidRPr="00D41D30">
        <w:rPr>
          <w:rFonts w:ascii="Arial" w:cs="Arial" w:hint="eastAsia"/>
          <w:color w:val="000000" w:themeColor="text1"/>
        </w:rPr>
        <w:t>赴</w:t>
      </w:r>
      <w:r w:rsidR="00782A67" w:rsidRPr="00D41D30">
        <w:rPr>
          <w:rFonts w:hint="eastAsia"/>
          <w:color w:val="000000" w:themeColor="text1"/>
          <w:szCs w:val="32"/>
        </w:rPr>
        <w:t>金門</w:t>
      </w:r>
      <w:r w:rsidR="00A13F12" w:rsidRPr="00D41D30">
        <w:rPr>
          <w:rFonts w:hint="eastAsia"/>
          <w:color w:val="000000" w:themeColor="text1"/>
          <w:szCs w:val="32"/>
        </w:rPr>
        <w:t>訪視</w:t>
      </w:r>
      <w:r w:rsidR="00782A67" w:rsidRPr="00D41D30">
        <w:rPr>
          <w:rFonts w:hint="eastAsia"/>
          <w:color w:val="000000" w:themeColor="text1"/>
          <w:szCs w:val="32"/>
        </w:rPr>
        <w:t>樂齡學習中心</w:t>
      </w:r>
      <w:r w:rsidR="00A13F12" w:rsidRPr="00D41D30">
        <w:rPr>
          <w:rFonts w:hint="eastAsia"/>
          <w:color w:val="000000" w:themeColor="text1"/>
          <w:szCs w:val="32"/>
        </w:rPr>
        <w:t>並進行</w:t>
      </w:r>
      <w:r w:rsidR="00C01D13" w:rsidRPr="00D41D30">
        <w:rPr>
          <w:rFonts w:hint="eastAsia"/>
          <w:color w:val="000000" w:themeColor="text1"/>
          <w:szCs w:val="32"/>
        </w:rPr>
        <w:t>履勘及座談</w:t>
      </w:r>
      <w:r w:rsidR="002E6D9F" w:rsidRPr="00D41D30">
        <w:rPr>
          <w:rFonts w:hAnsi="標楷體" w:hint="eastAsia"/>
          <w:color w:val="000000" w:themeColor="text1"/>
          <w:szCs w:val="32"/>
        </w:rPr>
        <w:t>；</w:t>
      </w:r>
      <w:r w:rsidR="002E6D9F" w:rsidRPr="00D41D30">
        <w:rPr>
          <w:rFonts w:hint="eastAsia"/>
          <w:color w:val="000000" w:themeColor="text1"/>
          <w:szCs w:val="32"/>
        </w:rPr>
        <w:t>及</w:t>
      </w:r>
      <w:r w:rsidR="00383825" w:rsidRPr="00D41D30">
        <w:rPr>
          <w:rFonts w:hint="eastAsia"/>
          <w:color w:val="000000" w:themeColor="text1"/>
          <w:szCs w:val="32"/>
        </w:rPr>
        <w:t>參與「連江縣政府高齡教育推動情形」座談會等，以深入瞭解樂齡教育活動</w:t>
      </w:r>
      <w:r w:rsidR="00A13F12" w:rsidRPr="00D41D30">
        <w:rPr>
          <w:rFonts w:hint="eastAsia"/>
          <w:color w:val="000000" w:themeColor="text1"/>
          <w:szCs w:val="32"/>
        </w:rPr>
        <w:t>於離島地區</w:t>
      </w:r>
      <w:r w:rsidR="00383825" w:rsidRPr="00D41D30">
        <w:rPr>
          <w:rFonts w:hint="eastAsia"/>
          <w:color w:val="000000" w:themeColor="text1"/>
          <w:szCs w:val="32"/>
        </w:rPr>
        <w:t>之實務運作</w:t>
      </w:r>
      <w:r w:rsidR="00257A75" w:rsidRPr="00D41D30">
        <w:rPr>
          <w:rFonts w:hint="eastAsia"/>
          <w:color w:val="000000" w:themeColor="text1"/>
          <w:szCs w:val="32"/>
        </w:rPr>
        <w:t>現況</w:t>
      </w:r>
      <w:r w:rsidR="00782A67" w:rsidRPr="00D41D30">
        <w:rPr>
          <w:rFonts w:hint="eastAsia"/>
          <w:color w:val="000000" w:themeColor="text1"/>
        </w:rPr>
        <w:t>。</w:t>
      </w:r>
    </w:p>
    <w:p w:rsidR="00C22D5D" w:rsidRPr="00D41D30" w:rsidRDefault="00DE1FA1" w:rsidP="00A639F4">
      <w:pPr>
        <w:pStyle w:val="11"/>
        <w:ind w:left="680" w:firstLine="680"/>
        <w:rPr>
          <w:color w:val="000000" w:themeColor="text1"/>
        </w:rPr>
      </w:pPr>
      <w:r w:rsidRPr="00D41D30">
        <w:rPr>
          <w:rFonts w:hint="eastAsia"/>
          <w:color w:val="000000" w:themeColor="text1"/>
        </w:rPr>
        <w:t>本案</w:t>
      </w:r>
      <w:r w:rsidR="00E216C0" w:rsidRPr="00D41D30">
        <w:rPr>
          <w:rFonts w:hint="eastAsia"/>
          <w:color w:val="000000" w:themeColor="text1"/>
        </w:rPr>
        <w:t>調查委員</w:t>
      </w:r>
      <w:r w:rsidR="00495F3E" w:rsidRPr="00D41D30">
        <w:rPr>
          <w:rFonts w:hint="eastAsia"/>
          <w:color w:val="000000" w:themeColor="text1"/>
        </w:rPr>
        <w:t>再於同年7月12日履勘臺中市樂齡學習示範中心、臺中市西區樂齡學習中心，並與教育部、台中市政府教育局主管人員、中區輔導團成員、中國醫藥大學附辦樂齡大學、朝陽科技大學附辦樂齡大學、南開科技大學附辦樂齡大學、臺中市臺中市太平區</w:t>
      </w:r>
      <w:r w:rsidR="00B562C7" w:rsidRPr="00D41D30">
        <w:rPr>
          <w:rFonts w:hint="eastAsia"/>
          <w:color w:val="000000" w:themeColor="text1"/>
        </w:rPr>
        <w:t>（</w:t>
      </w:r>
      <w:r w:rsidR="00495F3E" w:rsidRPr="00D41D30">
        <w:rPr>
          <w:rFonts w:hint="eastAsia"/>
          <w:color w:val="000000" w:themeColor="text1"/>
        </w:rPr>
        <w:t>國小承辦</w:t>
      </w:r>
      <w:r w:rsidR="006B5136" w:rsidRPr="00D41D30">
        <w:rPr>
          <w:rFonts w:hint="eastAsia"/>
          <w:color w:val="000000" w:themeColor="text1"/>
        </w:rPr>
        <w:t>）</w:t>
      </w:r>
      <w:r w:rsidR="00495F3E" w:rsidRPr="00D41D30">
        <w:rPr>
          <w:rFonts w:hint="eastAsia"/>
          <w:color w:val="000000" w:themeColor="text1"/>
        </w:rPr>
        <w:t>、龍井區</w:t>
      </w:r>
      <w:r w:rsidR="00B562C7" w:rsidRPr="00D41D30">
        <w:rPr>
          <w:rFonts w:hint="eastAsia"/>
          <w:color w:val="000000" w:themeColor="text1"/>
        </w:rPr>
        <w:t>（</w:t>
      </w:r>
      <w:r w:rsidR="00495F3E" w:rsidRPr="00D41D30">
        <w:rPr>
          <w:rFonts w:hint="eastAsia"/>
          <w:color w:val="000000" w:themeColor="text1"/>
        </w:rPr>
        <w:t>農會承辦</w:t>
      </w:r>
      <w:r w:rsidR="006B5136" w:rsidRPr="00D41D30">
        <w:rPr>
          <w:rFonts w:hint="eastAsia"/>
          <w:color w:val="000000" w:themeColor="text1"/>
        </w:rPr>
        <w:t>）</w:t>
      </w:r>
      <w:r w:rsidR="00495F3E" w:rsidRPr="00D41D30">
        <w:rPr>
          <w:rFonts w:hint="eastAsia"/>
          <w:color w:val="000000" w:themeColor="text1"/>
        </w:rPr>
        <w:t>、外埔區</w:t>
      </w:r>
      <w:r w:rsidR="00B562C7" w:rsidRPr="00D41D30">
        <w:rPr>
          <w:rFonts w:hint="eastAsia"/>
          <w:color w:val="000000" w:themeColor="text1"/>
        </w:rPr>
        <w:t>（</w:t>
      </w:r>
      <w:r w:rsidR="00495F3E" w:rsidRPr="00D41D30">
        <w:rPr>
          <w:rFonts w:hint="eastAsia"/>
          <w:color w:val="000000" w:themeColor="text1"/>
        </w:rPr>
        <w:t>國中承辦</w:t>
      </w:r>
      <w:r w:rsidR="006B5136" w:rsidRPr="00D41D30">
        <w:rPr>
          <w:rFonts w:hint="eastAsia"/>
          <w:color w:val="000000" w:themeColor="text1"/>
        </w:rPr>
        <w:t>）</w:t>
      </w:r>
      <w:r w:rsidR="00495F3E" w:rsidRPr="00D41D30">
        <w:rPr>
          <w:rFonts w:hint="eastAsia"/>
          <w:color w:val="000000" w:themeColor="text1"/>
        </w:rPr>
        <w:t>、梧棲區</w:t>
      </w:r>
      <w:r w:rsidR="00B562C7" w:rsidRPr="00D41D30">
        <w:rPr>
          <w:rFonts w:hint="eastAsia"/>
          <w:color w:val="000000" w:themeColor="text1"/>
        </w:rPr>
        <w:t>（</w:t>
      </w:r>
      <w:r w:rsidR="00495F3E" w:rsidRPr="00D41D30">
        <w:rPr>
          <w:rFonts w:hint="eastAsia"/>
          <w:color w:val="000000" w:themeColor="text1"/>
        </w:rPr>
        <w:t>醫院承辦</w:t>
      </w:r>
      <w:r w:rsidR="006B5136" w:rsidRPr="00D41D30">
        <w:rPr>
          <w:rFonts w:hint="eastAsia"/>
          <w:color w:val="000000" w:themeColor="text1"/>
        </w:rPr>
        <w:t>）</w:t>
      </w:r>
      <w:r w:rsidR="00495F3E" w:rsidRPr="00D41D30">
        <w:rPr>
          <w:rFonts w:hint="eastAsia"/>
          <w:color w:val="000000" w:themeColor="text1"/>
        </w:rPr>
        <w:t>、西區</w:t>
      </w:r>
      <w:r w:rsidR="00B562C7" w:rsidRPr="00D41D30">
        <w:rPr>
          <w:rFonts w:hint="eastAsia"/>
          <w:color w:val="000000" w:themeColor="text1"/>
        </w:rPr>
        <w:t>（</w:t>
      </w:r>
      <w:r w:rsidR="00495F3E" w:rsidRPr="00D41D30">
        <w:rPr>
          <w:rFonts w:hint="eastAsia"/>
          <w:color w:val="000000" w:themeColor="text1"/>
        </w:rPr>
        <w:t>民間團體承辦</w:t>
      </w:r>
      <w:r w:rsidR="006B5136" w:rsidRPr="00D41D30">
        <w:rPr>
          <w:rFonts w:hint="eastAsia"/>
          <w:color w:val="000000" w:themeColor="text1"/>
        </w:rPr>
        <w:t>）</w:t>
      </w:r>
      <w:r w:rsidR="00495F3E" w:rsidRPr="00D41D30">
        <w:rPr>
          <w:rFonts w:hint="eastAsia"/>
          <w:color w:val="000000" w:themeColor="text1"/>
        </w:rPr>
        <w:t>等樂齡學習中心及中區自主學習團體帶領人等座談；於</w:t>
      </w:r>
      <w:r w:rsidR="000E53CC" w:rsidRPr="00D41D30">
        <w:rPr>
          <w:rFonts w:hint="eastAsia"/>
          <w:color w:val="000000" w:themeColor="text1"/>
        </w:rPr>
        <w:t>同年</w:t>
      </w:r>
      <w:r w:rsidR="00495F3E" w:rsidRPr="00D41D30">
        <w:rPr>
          <w:rFonts w:hint="eastAsia"/>
          <w:color w:val="000000" w:themeColor="text1"/>
        </w:rPr>
        <w:t>8月1日現場履勘高雄市樂齡學習示範中心、國立高雄師範大學樂齡大學，並與教育部</w:t>
      </w:r>
      <w:r w:rsidR="00495F3E" w:rsidRPr="00D41D30">
        <w:rPr>
          <w:rFonts w:ascii="新細明體" w:eastAsia="新細明體" w:hAnsi="新細明體" w:hint="eastAsia"/>
          <w:color w:val="000000" w:themeColor="text1"/>
        </w:rPr>
        <w:t>、</w:t>
      </w:r>
      <w:r w:rsidR="00495F3E" w:rsidRPr="00D41D30">
        <w:rPr>
          <w:rFonts w:hint="eastAsia"/>
          <w:color w:val="000000" w:themeColor="text1"/>
        </w:rPr>
        <w:t>該單位主管人員及南區輔導團成員舉辦座談會議，復</w:t>
      </w:r>
      <w:r w:rsidR="00A13F12" w:rsidRPr="00D41D30">
        <w:rPr>
          <w:rFonts w:hint="eastAsia"/>
          <w:color w:val="000000" w:themeColor="text1"/>
        </w:rPr>
        <w:t>為瞭解偏鄉高齡教育推展情形，</w:t>
      </w:r>
      <w:r w:rsidR="00495F3E" w:rsidRPr="00D41D30">
        <w:rPr>
          <w:rFonts w:hint="eastAsia"/>
          <w:color w:val="000000" w:themeColor="text1"/>
        </w:rPr>
        <w:t>於同年月2日履勘林園區樂齡學習中心、三地門鄉樂齡學習中心及屏東樂齡學習示範中心，並邀請南區自主學習團體帶領人等舉辦座談會議，以</w:t>
      </w:r>
      <w:r w:rsidR="000F52AD" w:rsidRPr="00D41D30">
        <w:rPr>
          <w:rFonts w:hint="eastAsia"/>
          <w:color w:val="000000" w:themeColor="text1"/>
        </w:rPr>
        <w:t>釐清</w:t>
      </w:r>
      <w:r w:rsidR="00495F3E" w:rsidRPr="00D41D30">
        <w:rPr>
          <w:rFonts w:hint="eastAsia"/>
          <w:color w:val="000000" w:themeColor="text1"/>
        </w:rPr>
        <w:t>相關案情。</w:t>
      </w:r>
    </w:p>
    <w:p w:rsidR="00C22D5D" w:rsidRPr="00D41D30" w:rsidRDefault="00E216C0" w:rsidP="00A639F4">
      <w:pPr>
        <w:pStyle w:val="11"/>
        <w:ind w:left="680" w:firstLine="680"/>
        <w:rPr>
          <w:color w:val="000000" w:themeColor="text1"/>
        </w:rPr>
      </w:pPr>
      <w:r w:rsidRPr="00D41D30">
        <w:rPr>
          <w:rFonts w:hint="eastAsia"/>
          <w:color w:val="000000" w:themeColor="text1"/>
        </w:rPr>
        <w:lastRenderedPageBreak/>
        <w:t>另</w:t>
      </w:r>
      <w:r w:rsidR="00F45ABF" w:rsidRPr="00D41D30">
        <w:rPr>
          <w:rFonts w:hint="eastAsia"/>
          <w:color w:val="000000" w:themeColor="text1"/>
        </w:rPr>
        <w:t>為</w:t>
      </w:r>
      <w:r w:rsidR="000F52AD" w:rsidRPr="00D41D30">
        <w:rPr>
          <w:rFonts w:hint="eastAsia"/>
          <w:color w:val="000000" w:themeColor="text1"/>
        </w:rPr>
        <w:t>瞭解</w:t>
      </w:r>
      <w:r w:rsidR="00F45ABF" w:rsidRPr="00D41D30">
        <w:rPr>
          <w:rFonts w:hint="eastAsia"/>
          <w:color w:val="000000" w:themeColor="text1"/>
        </w:rPr>
        <w:t>國內外樂齡教育相關學術及發展現況，本案調查委員及</w:t>
      </w:r>
      <w:r w:rsidR="004031DB" w:rsidRPr="00D41D30">
        <w:rPr>
          <w:rFonts w:hint="eastAsia"/>
          <w:color w:val="000000" w:themeColor="text1"/>
        </w:rPr>
        <w:t>協查人員分別出席</w:t>
      </w:r>
      <w:r w:rsidR="00205172" w:rsidRPr="00D41D30">
        <w:rPr>
          <w:rFonts w:hint="eastAsia"/>
          <w:color w:val="000000" w:themeColor="text1"/>
        </w:rPr>
        <w:t>108年9月27日、28日由國立臺灣師範大學等主辦之「2019終身學習的傳承與創新暨楊國賜教授終身教育思想研討會」及</w:t>
      </w:r>
      <w:r w:rsidR="00532171" w:rsidRPr="00D41D30">
        <w:rPr>
          <w:rFonts w:hint="eastAsia"/>
          <w:color w:val="000000" w:themeColor="text1"/>
        </w:rPr>
        <w:t>同</w:t>
      </w:r>
      <w:r w:rsidR="00323E6D" w:rsidRPr="00D41D30">
        <w:rPr>
          <w:rFonts w:hint="eastAsia"/>
          <w:color w:val="000000" w:themeColor="text1"/>
        </w:rPr>
        <w:t>年10月18</w:t>
      </w:r>
      <w:r w:rsidR="004770C8" w:rsidRPr="00D41D30">
        <w:rPr>
          <w:rFonts w:hint="eastAsia"/>
          <w:color w:val="000000" w:themeColor="text1"/>
        </w:rPr>
        <w:t>日</w:t>
      </w:r>
      <w:r w:rsidR="00323E6D" w:rsidRPr="00D41D30">
        <w:rPr>
          <w:rFonts w:hint="eastAsia"/>
          <w:color w:val="000000" w:themeColor="text1"/>
        </w:rPr>
        <w:t>由國立暨南國際大學主辦之「2019全民終身學習論壇：學習型城市的未來展望與永續發展」等學術交流活動，俾</w:t>
      </w:r>
      <w:r w:rsidR="000A67EE" w:rsidRPr="00D41D30">
        <w:rPr>
          <w:rFonts w:hint="eastAsia"/>
          <w:color w:val="000000" w:themeColor="text1"/>
        </w:rPr>
        <w:t>蒐集本案相關</w:t>
      </w:r>
      <w:r w:rsidR="00B3205C" w:rsidRPr="00D41D30">
        <w:rPr>
          <w:rFonts w:hint="eastAsia"/>
          <w:color w:val="000000" w:themeColor="text1"/>
        </w:rPr>
        <w:t>學術及國際發展</w:t>
      </w:r>
      <w:r w:rsidR="000A67EE" w:rsidRPr="00D41D30">
        <w:rPr>
          <w:rFonts w:hint="eastAsia"/>
          <w:color w:val="000000" w:themeColor="text1"/>
        </w:rPr>
        <w:t>資料</w:t>
      </w:r>
      <w:r w:rsidR="00DD4EFF" w:rsidRPr="00D41D30">
        <w:rPr>
          <w:rFonts w:hint="eastAsia"/>
          <w:color w:val="000000" w:themeColor="text1"/>
        </w:rPr>
        <w:t>，調查委員並擔任</w:t>
      </w:r>
      <w:r w:rsidR="0009301B" w:rsidRPr="00D41D30">
        <w:rPr>
          <w:rFonts w:hint="eastAsia"/>
          <w:color w:val="000000" w:themeColor="text1"/>
        </w:rPr>
        <w:t>全民終身學習論壇</w:t>
      </w:r>
      <w:r w:rsidR="00DD4D28" w:rsidRPr="00D41D30">
        <w:rPr>
          <w:rFonts w:hint="eastAsia"/>
          <w:color w:val="000000" w:themeColor="text1"/>
        </w:rPr>
        <w:t>《主題論壇二》「在地學習型城市的特色凝聚與深化發展」</w:t>
      </w:r>
      <w:r w:rsidR="003759C2" w:rsidRPr="00D41D30">
        <w:rPr>
          <w:rFonts w:hAnsi="標楷體" w:hint="eastAsia"/>
          <w:color w:val="000000" w:themeColor="text1"/>
        </w:rPr>
        <w:t>主持</w:t>
      </w:r>
      <w:r w:rsidR="003759C2" w:rsidRPr="00D41D30">
        <w:rPr>
          <w:rFonts w:hint="eastAsia"/>
          <w:color w:val="000000" w:themeColor="text1"/>
        </w:rPr>
        <w:t>人</w:t>
      </w:r>
      <w:r w:rsidR="0009301B" w:rsidRPr="00D41D30">
        <w:rPr>
          <w:rFonts w:hint="eastAsia"/>
          <w:color w:val="000000" w:themeColor="text1"/>
        </w:rPr>
        <w:t>及</w:t>
      </w:r>
      <w:r w:rsidR="00D06F85" w:rsidRPr="00D41D30">
        <w:rPr>
          <w:rFonts w:hAnsi="標楷體" w:hint="eastAsia"/>
          <w:color w:val="000000" w:themeColor="text1"/>
        </w:rPr>
        <w:t>「</w:t>
      </w:r>
      <w:r w:rsidR="00D06F85" w:rsidRPr="00D41D30">
        <w:rPr>
          <w:rFonts w:hint="eastAsia"/>
          <w:color w:val="000000" w:themeColor="text1"/>
        </w:rPr>
        <w:t>成果報告暨綜合座談</w:t>
      </w:r>
      <w:r w:rsidR="0009301B" w:rsidRPr="00D41D30">
        <w:rPr>
          <w:rFonts w:hint="eastAsia"/>
          <w:color w:val="000000" w:themeColor="text1"/>
        </w:rPr>
        <w:t>討論</w:t>
      </w:r>
      <w:r w:rsidR="00D06F85" w:rsidRPr="00D41D30">
        <w:rPr>
          <w:rFonts w:hAnsi="標楷體" w:hint="eastAsia"/>
          <w:color w:val="000000" w:themeColor="text1"/>
        </w:rPr>
        <w:t>」</w:t>
      </w:r>
      <w:r w:rsidR="003759C2" w:rsidRPr="00D41D30">
        <w:rPr>
          <w:rFonts w:hint="eastAsia"/>
          <w:color w:val="000000" w:themeColor="text1"/>
        </w:rPr>
        <w:t>與談人</w:t>
      </w:r>
      <w:r w:rsidR="00FC5B36" w:rsidRPr="00D41D30">
        <w:rPr>
          <w:rFonts w:hint="eastAsia"/>
          <w:color w:val="000000" w:themeColor="text1"/>
        </w:rPr>
        <w:t>，以深入探</w:t>
      </w:r>
      <w:r w:rsidR="00A13F12" w:rsidRPr="00D41D30">
        <w:rPr>
          <w:rFonts w:hint="eastAsia"/>
          <w:color w:val="000000" w:themeColor="text1"/>
        </w:rPr>
        <w:t>討</w:t>
      </w:r>
      <w:r w:rsidR="00FC5B36" w:rsidRPr="00D41D30">
        <w:rPr>
          <w:rFonts w:hint="eastAsia"/>
          <w:color w:val="000000" w:themeColor="text1"/>
        </w:rPr>
        <w:t>高齡者教育措施及相關國家政策</w:t>
      </w:r>
      <w:r w:rsidR="002F3B72" w:rsidRPr="00D41D30">
        <w:rPr>
          <w:rFonts w:hint="eastAsia"/>
          <w:color w:val="000000" w:themeColor="text1"/>
        </w:rPr>
        <w:t>。</w:t>
      </w:r>
    </w:p>
    <w:p w:rsidR="004F6710" w:rsidRPr="00D41D30" w:rsidRDefault="00006B8A" w:rsidP="00A639F4">
      <w:pPr>
        <w:pStyle w:val="11"/>
        <w:ind w:left="680" w:firstLine="680"/>
        <w:rPr>
          <w:color w:val="000000" w:themeColor="text1"/>
        </w:rPr>
      </w:pPr>
      <w:r w:rsidRPr="00D41D30">
        <w:rPr>
          <w:rFonts w:hint="eastAsia"/>
          <w:color w:val="000000" w:themeColor="text1"/>
        </w:rPr>
        <w:t>本案經</w:t>
      </w:r>
      <w:r w:rsidR="00EC7687" w:rsidRPr="00D41D30">
        <w:rPr>
          <w:rFonts w:hint="eastAsia"/>
          <w:color w:val="000000" w:themeColor="text1"/>
        </w:rPr>
        <w:t>彙</w:t>
      </w:r>
      <w:r w:rsidR="00057E6D" w:rsidRPr="00D41D30">
        <w:rPr>
          <w:rFonts w:hint="eastAsia"/>
          <w:color w:val="000000" w:themeColor="text1"/>
        </w:rPr>
        <w:t>整</w:t>
      </w:r>
      <w:r w:rsidR="009E5BB0" w:rsidRPr="00D41D30">
        <w:rPr>
          <w:rFonts w:hint="eastAsia"/>
          <w:color w:val="000000" w:themeColor="text1"/>
        </w:rPr>
        <w:t>上述歷程</w:t>
      </w:r>
      <w:r w:rsidR="0039467F" w:rsidRPr="00D41D30">
        <w:rPr>
          <w:rFonts w:hint="eastAsia"/>
          <w:color w:val="000000" w:themeColor="text1"/>
        </w:rPr>
        <w:t>與</w:t>
      </w:r>
      <w:r w:rsidR="00057E6D" w:rsidRPr="00D41D30">
        <w:rPr>
          <w:rFonts w:hint="eastAsia"/>
          <w:color w:val="000000" w:themeColor="text1"/>
        </w:rPr>
        <w:t>教育部、衛生福利部（下稱衛福部）等相關卷證資料；</w:t>
      </w:r>
      <w:r w:rsidR="000E53CC" w:rsidRPr="00D41D30">
        <w:rPr>
          <w:rFonts w:hint="eastAsia"/>
          <w:color w:val="000000" w:themeColor="text1"/>
        </w:rPr>
        <w:t>另於同年12月26日</w:t>
      </w:r>
      <w:r w:rsidR="00057E6D" w:rsidRPr="00D41D30">
        <w:rPr>
          <w:rFonts w:hint="eastAsia"/>
          <w:color w:val="000000" w:themeColor="text1"/>
        </w:rPr>
        <w:t>詢問教育部、衛福部業務主管人員</w:t>
      </w:r>
      <w:r w:rsidR="00057E6D" w:rsidRPr="00D41D30">
        <w:rPr>
          <w:rFonts w:hint="eastAsia"/>
          <w:color w:val="000000" w:themeColor="text1"/>
          <w:szCs w:val="32"/>
        </w:rPr>
        <w:t>，並經補充資料後，業已調查竣事，茲</w:t>
      </w:r>
      <w:r w:rsidR="00495F3E" w:rsidRPr="00D41D30">
        <w:rPr>
          <w:rFonts w:hint="eastAsia"/>
          <w:color w:val="000000" w:themeColor="text1"/>
        </w:rPr>
        <w:t>因乙案之基礎資料源自甲案，爰將二案之調查報告整合撰擬併提</w:t>
      </w:r>
      <w:r w:rsidR="00FB501B" w:rsidRPr="00D41D30">
        <w:rPr>
          <w:rFonts w:hint="eastAsia"/>
          <w:color w:val="000000" w:themeColor="text1"/>
        </w:rPr>
        <w:t>，綜整</w:t>
      </w:r>
      <w:r w:rsidR="00495F3E" w:rsidRPr="00D41D30">
        <w:rPr>
          <w:rFonts w:hint="eastAsia"/>
          <w:color w:val="000000" w:themeColor="text1"/>
        </w:rPr>
        <w:t>教育部</w:t>
      </w:r>
      <w:r w:rsidR="00FB501B" w:rsidRPr="00D41D30">
        <w:rPr>
          <w:rFonts w:hint="eastAsia"/>
          <w:color w:val="000000" w:themeColor="text1"/>
        </w:rPr>
        <w:t>有關缺失，列述調查意見如下：</w:t>
      </w:r>
    </w:p>
    <w:p w:rsidR="00073CB5" w:rsidRPr="00D41D30" w:rsidRDefault="00CC5F78" w:rsidP="000A50EC">
      <w:pPr>
        <w:pStyle w:val="2"/>
        <w:spacing w:beforeLines="50" w:before="228"/>
        <w:ind w:left="1020" w:hanging="680"/>
        <w:rPr>
          <w:b/>
          <w:color w:val="000000" w:themeColor="text1"/>
        </w:rPr>
      </w:pPr>
      <w:bookmarkStart w:id="1139" w:name="_Toc421794873"/>
      <w:bookmarkStart w:id="1140" w:name="_Toc16693377"/>
      <w:r w:rsidRPr="00D41D30">
        <w:rPr>
          <w:rFonts w:hint="eastAsia"/>
          <w:b/>
          <w:color w:val="000000" w:themeColor="text1"/>
        </w:rPr>
        <w:tab/>
      </w:r>
      <w:bookmarkStart w:id="1141" w:name="_Toc33011808"/>
      <w:r w:rsidRPr="00D41D30">
        <w:rPr>
          <w:rFonts w:hint="eastAsia"/>
          <w:b/>
          <w:color w:val="000000" w:themeColor="text1"/>
        </w:rPr>
        <w:t>1996年OECD</w:t>
      </w:r>
      <w:r w:rsidR="00923771" w:rsidRPr="00D41D30">
        <w:rPr>
          <w:rFonts w:hAnsi="標楷體" w:hint="eastAsia"/>
          <w:b/>
          <w:color w:val="000000" w:themeColor="text1"/>
        </w:rPr>
        <w:t>「</w:t>
      </w:r>
      <w:r w:rsidRPr="00D41D30">
        <w:rPr>
          <w:rFonts w:hint="eastAsia"/>
          <w:b/>
          <w:color w:val="000000" w:themeColor="text1"/>
        </w:rPr>
        <w:t>全民終身學習</w:t>
      </w:r>
      <w:r w:rsidR="00923771" w:rsidRPr="00D41D30">
        <w:rPr>
          <w:rFonts w:hint="eastAsia"/>
          <w:b/>
          <w:color w:val="000000" w:themeColor="text1"/>
        </w:rPr>
        <w:t>（Lifelong Learning for All）</w:t>
      </w:r>
      <w:r w:rsidR="00923771" w:rsidRPr="00D41D30">
        <w:rPr>
          <w:rFonts w:hAnsi="標楷體" w:hint="eastAsia"/>
          <w:b/>
          <w:color w:val="000000" w:themeColor="text1"/>
        </w:rPr>
        <w:t>」</w:t>
      </w:r>
      <w:r w:rsidR="00E367E5" w:rsidRPr="00D41D30">
        <w:rPr>
          <w:rFonts w:hint="eastAsia"/>
          <w:b/>
          <w:color w:val="000000" w:themeColor="text1"/>
        </w:rPr>
        <w:t>報告書，明確指出終身教育的目的，係</w:t>
      </w:r>
      <w:r w:rsidRPr="00D41D30">
        <w:rPr>
          <w:rFonts w:hint="eastAsia"/>
          <w:b/>
          <w:color w:val="000000" w:themeColor="text1"/>
        </w:rPr>
        <w:t>透過終身學習促進個人發展、社會凝聚和經濟成長，</w:t>
      </w:r>
      <w:r w:rsidR="00052F56" w:rsidRPr="00D41D30">
        <w:rPr>
          <w:rFonts w:hint="eastAsia"/>
          <w:b/>
          <w:color w:val="000000" w:themeColor="text1"/>
        </w:rPr>
        <w:t>讓所有人不論年齡或教育階段，都受到激勵並積極參與學習。基本觀念乃</w:t>
      </w:r>
      <w:r w:rsidRPr="00D41D30">
        <w:rPr>
          <w:rFonts w:hint="eastAsia"/>
          <w:b/>
          <w:color w:val="000000" w:themeColor="text1"/>
        </w:rPr>
        <w:t>強調個人處於文化與科技快速變遷的社會，過好生活必須終身不斷學習等理念</w:t>
      </w:r>
      <w:r w:rsidR="00B95AED" w:rsidRPr="00D41D30">
        <w:rPr>
          <w:rFonts w:hint="eastAsia"/>
          <w:b/>
          <w:color w:val="000000" w:themeColor="text1"/>
        </w:rPr>
        <w:t>，是以終身</w:t>
      </w:r>
      <w:r w:rsidR="00B95AED" w:rsidRPr="00D41D30">
        <w:rPr>
          <w:rFonts w:hAnsi="標楷體" w:hint="eastAsia"/>
          <w:b/>
          <w:color w:val="000000" w:themeColor="text1"/>
          <w:szCs w:val="32"/>
        </w:rPr>
        <w:t>學習</w:t>
      </w:r>
      <w:r w:rsidR="00B95AED" w:rsidRPr="00D41D30">
        <w:rPr>
          <w:rFonts w:hint="eastAsia"/>
          <w:b/>
          <w:color w:val="000000" w:themeColor="text1"/>
        </w:rPr>
        <w:t>應涵蓋年長者之學習</w:t>
      </w:r>
      <w:r w:rsidR="001D65D8" w:rsidRPr="00D41D30">
        <w:rPr>
          <w:rFonts w:hint="eastAsia"/>
          <w:b/>
          <w:color w:val="000000" w:themeColor="text1"/>
        </w:rPr>
        <w:t>。</w:t>
      </w:r>
      <w:r w:rsidR="00B654B4" w:rsidRPr="00D41D30">
        <w:rPr>
          <w:rFonts w:hint="eastAsia"/>
          <w:b/>
          <w:color w:val="000000" w:themeColor="text1"/>
        </w:rPr>
        <w:t>國際上</w:t>
      </w:r>
      <w:r w:rsidR="002F0B51" w:rsidRPr="00D41D30">
        <w:rPr>
          <w:rFonts w:hint="eastAsia"/>
          <w:b/>
          <w:color w:val="000000" w:themeColor="text1"/>
        </w:rPr>
        <w:t>多有針對</w:t>
      </w:r>
      <w:r w:rsidR="001F2394" w:rsidRPr="00D41D30">
        <w:rPr>
          <w:rFonts w:hint="eastAsia"/>
          <w:b/>
          <w:color w:val="000000" w:themeColor="text1"/>
        </w:rPr>
        <w:t>高齡</w:t>
      </w:r>
      <w:r w:rsidR="002F0B51" w:rsidRPr="00D41D30">
        <w:rPr>
          <w:rFonts w:hint="eastAsia"/>
          <w:b/>
          <w:color w:val="000000" w:themeColor="text1"/>
        </w:rPr>
        <w:t>教育需求及政策之推展</w:t>
      </w:r>
      <w:r w:rsidR="00B654B4" w:rsidRPr="00D41D30">
        <w:rPr>
          <w:rFonts w:hint="eastAsia"/>
          <w:b/>
          <w:color w:val="000000" w:themeColor="text1"/>
        </w:rPr>
        <w:t>，</w:t>
      </w:r>
      <w:r w:rsidR="00FD36B8" w:rsidRPr="00D41D30">
        <w:rPr>
          <w:rFonts w:hint="eastAsia"/>
          <w:b/>
          <w:color w:val="000000" w:themeColor="text1"/>
        </w:rPr>
        <w:t>而</w:t>
      </w:r>
      <w:r w:rsidR="00A80341" w:rsidRPr="00D41D30">
        <w:rPr>
          <w:rFonts w:hint="eastAsia"/>
          <w:b/>
          <w:color w:val="000000" w:themeColor="text1"/>
        </w:rPr>
        <w:t>我國</w:t>
      </w:r>
      <w:r w:rsidR="005D0D06" w:rsidRPr="00D41D30">
        <w:rPr>
          <w:rFonts w:hint="eastAsia"/>
          <w:b/>
          <w:color w:val="000000" w:themeColor="text1"/>
        </w:rPr>
        <w:t>將</w:t>
      </w:r>
      <w:r w:rsidR="00F658D0" w:rsidRPr="00D41D30">
        <w:rPr>
          <w:rFonts w:hint="eastAsia"/>
          <w:b/>
          <w:color w:val="000000" w:themeColor="text1"/>
        </w:rPr>
        <w:t>87年訂為</w:t>
      </w:r>
      <w:r w:rsidR="00307A64" w:rsidRPr="00D41D30">
        <w:rPr>
          <w:rFonts w:hAnsi="標楷體" w:hint="eastAsia"/>
          <w:b/>
          <w:color w:val="000000" w:themeColor="text1"/>
        </w:rPr>
        <w:t>「</w:t>
      </w:r>
      <w:r w:rsidR="00F658D0" w:rsidRPr="00D41D30">
        <w:rPr>
          <w:rFonts w:hint="eastAsia"/>
          <w:b/>
          <w:color w:val="000000" w:themeColor="text1"/>
        </w:rPr>
        <w:t>終身學習年</w:t>
      </w:r>
      <w:r w:rsidR="00307A64" w:rsidRPr="00D41D30">
        <w:rPr>
          <w:rFonts w:hAnsi="標楷體" w:hint="eastAsia"/>
          <w:b/>
          <w:color w:val="000000" w:themeColor="text1"/>
        </w:rPr>
        <w:t>」</w:t>
      </w:r>
      <w:r w:rsidR="00F658D0" w:rsidRPr="00D41D30">
        <w:rPr>
          <w:rFonts w:hint="eastAsia"/>
          <w:b/>
          <w:color w:val="000000" w:themeColor="text1"/>
        </w:rPr>
        <w:t>，</w:t>
      </w:r>
      <w:r w:rsidR="005D0D06" w:rsidRPr="00D41D30">
        <w:rPr>
          <w:rFonts w:hint="eastAsia"/>
          <w:b/>
          <w:color w:val="000000" w:themeColor="text1"/>
        </w:rPr>
        <w:t>同年</w:t>
      </w:r>
      <w:r w:rsidR="008C1702" w:rsidRPr="00D41D30">
        <w:rPr>
          <w:rFonts w:hint="eastAsia"/>
          <w:b/>
          <w:color w:val="000000" w:themeColor="text1"/>
        </w:rPr>
        <w:t>發表「邁向學習社會」白皮書</w:t>
      </w:r>
      <w:bookmarkEnd w:id="1139"/>
      <w:bookmarkEnd w:id="1140"/>
      <w:r w:rsidR="008C1702" w:rsidRPr="00D41D30">
        <w:rPr>
          <w:rFonts w:hint="eastAsia"/>
          <w:b/>
          <w:color w:val="000000" w:themeColor="text1"/>
        </w:rPr>
        <w:t>，</w:t>
      </w:r>
      <w:r w:rsidR="00E66040" w:rsidRPr="00D41D30">
        <w:rPr>
          <w:rFonts w:hint="eastAsia"/>
          <w:b/>
          <w:color w:val="000000" w:themeColor="text1"/>
        </w:rPr>
        <w:t>據以執行</w:t>
      </w:r>
      <w:r w:rsidR="001E16EA" w:rsidRPr="00D41D30">
        <w:rPr>
          <w:rFonts w:hint="eastAsia"/>
          <w:b/>
          <w:color w:val="000000" w:themeColor="text1"/>
        </w:rPr>
        <w:t>終身教育政策</w:t>
      </w:r>
      <w:r w:rsidR="009B5867" w:rsidRPr="00D41D30">
        <w:rPr>
          <w:rFonts w:hint="eastAsia"/>
          <w:b/>
          <w:color w:val="000000" w:themeColor="text1"/>
        </w:rPr>
        <w:t>，</w:t>
      </w:r>
      <w:r w:rsidR="00D735C3" w:rsidRPr="00D41D30">
        <w:rPr>
          <w:rFonts w:hint="eastAsia"/>
          <w:b/>
          <w:color w:val="000000" w:themeColor="text1"/>
        </w:rPr>
        <w:t>91年公布施行</w:t>
      </w:r>
      <w:r w:rsidR="00DB5F7C" w:rsidRPr="00D41D30">
        <w:rPr>
          <w:rFonts w:hAnsi="標楷體" w:hint="eastAsia"/>
          <w:b/>
          <w:color w:val="000000" w:themeColor="text1"/>
        </w:rPr>
        <w:t>「</w:t>
      </w:r>
      <w:r w:rsidR="00DB5F7C" w:rsidRPr="00D41D30">
        <w:rPr>
          <w:rFonts w:hint="eastAsia"/>
          <w:b/>
          <w:color w:val="000000" w:themeColor="text1"/>
        </w:rPr>
        <w:t>終身學習法</w:t>
      </w:r>
      <w:r w:rsidR="00D735C3" w:rsidRPr="00D41D30">
        <w:rPr>
          <w:rFonts w:hAnsi="標楷體" w:hint="eastAsia"/>
          <w:b/>
          <w:color w:val="000000" w:themeColor="text1"/>
        </w:rPr>
        <w:t>」</w:t>
      </w:r>
      <w:r w:rsidR="001E16EA" w:rsidRPr="00D41D30">
        <w:rPr>
          <w:rFonts w:hint="eastAsia"/>
          <w:b/>
          <w:color w:val="000000" w:themeColor="text1"/>
        </w:rPr>
        <w:t>，</w:t>
      </w:r>
      <w:r w:rsidR="001D1F8D" w:rsidRPr="00D41D30">
        <w:rPr>
          <w:rFonts w:hint="eastAsia"/>
          <w:b/>
          <w:color w:val="000000" w:themeColor="text1"/>
        </w:rPr>
        <w:t>反觀</w:t>
      </w:r>
      <w:r w:rsidR="00104ED6" w:rsidRPr="00D41D30">
        <w:rPr>
          <w:rFonts w:hint="eastAsia"/>
          <w:b/>
          <w:color w:val="000000" w:themeColor="text1"/>
        </w:rPr>
        <w:t>高齡教育</w:t>
      </w:r>
      <w:r w:rsidR="001E16EA" w:rsidRPr="00D41D30">
        <w:rPr>
          <w:rFonts w:hint="eastAsia"/>
          <w:b/>
          <w:color w:val="000000" w:themeColor="text1"/>
        </w:rPr>
        <w:t>部分</w:t>
      </w:r>
      <w:r w:rsidR="00875395" w:rsidRPr="00D41D30">
        <w:rPr>
          <w:rFonts w:hint="eastAsia"/>
          <w:b/>
          <w:color w:val="000000" w:themeColor="text1"/>
        </w:rPr>
        <w:t>，</w:t>
      </w:r>
      <w:r w:rsidR="003F4ECA" w:rsidRPr="00D41D30">
        <w:rPr>
          <w:rFonts w:hint="eastAsia"/>
          <w:b/>
          <w:color w:val="000000" w:themeColor="text1"/>
        </w:rPr>
        <w:t>我國</w:t>
      </w:r>
      <w:r w:rsidR="00FC7667" w:rsidRPr="00D41D30">
        <w:rPr>
          <w:rFonts w:hint="eastAsia"/>
          <w:b/>
          <w:color w:val="000000" w:themeColor="text1"/>
        </w:rPr>
        <w:t>雖</w:t>
      </w:r>
      <w:r w:rsidR="00FD2C60" w:rsidRPr="00D41D30">
        <w:rPr>
          <w:rFonts w:hint="eastAsia"/>
          <w:b/>
          <w:color w:val="000000" w:themeColor="text1"/>
        </w:rPr>
        <w:t>早在</w:t>
      </w:r>
      <w:r w:rsidR="001857F8" w:rsidRPr="00D41D30">
        <w:rPr>
          <w:rFonts w:hint="eastAsia"/>
          <w:b/>
          <w:color w:val="000000" w:themeColor="text1"/>
        </w:rPr>
        <w:t>82</w:t>
      </w:r>
      <w:r w:rsidR="00FD2C60" w:rsidRPr="00D41D30">
        <w:rPr>
          <w:rFonts w:hint="eastAsia"/>
          <w:b/>
          <w:color w:val="000000" w:themeColor="text1"/>
        </w:rPr>
        <w:t>年即</w:t>
      </w:r>
      <w:r w:rsidR="001857F8" w:rsidRPr="00D41D30">
        <w:rPr>
          <w:rFonts w:hint="eastAsia"/>
          <w:b/>
          <w:color w:val="000000" w:themeColor="text1"/>
        </w:rPr>
        <w:t>正式邁入聯合國定義</w:t>
      </w:r>
      <w:r w:rsidR="00135674" w:rsidRPr="00D41D30">
        <w:rPr>
          <w:rFonts w:hint="eastAsia"/>
          <w:b/>
          <w:color w:val="000000" w:themeColor="text1"/>
        </w:rPr>
        <w:t>之</w:t>
      </w:r>
      <w:r w:rsidR="001857F8" w:rsidRPr="00D41D30">
        <w:rPr>
          <w:rFonts w:hint="eastAsia"/>
          <w:b/>
          <w:color w:val="000000" w:themeColor="text1"/>
        </w:rPr>
        <w:t>高齡化社會</w:t>
      </w:r>
      <w:r w:rsidR="00F728B2" w:rsidRPr="00D41D30">
        <w:rPr>
          <w:rFonts w:hint="eastAsia"/>
          <w:b/>
          <w:color w:val="000000" w:themeColor="text1"/>
        </w:rPr>
        <w:t>，</w:t>
      </w:r>
      <w:r w:rsidR="00392CF8" w:rsidRPr="00D41D30">
        <w:rPr>
          <w:rFonts w:hint="eastAsia"/>
          <w:b/>
          <w:color w:val="000000" w:themeColor="text1"/>
        </w:rPr>
        <w:t>教育部</w:t>
      </w:r>
      <w:r w:rsidR="002B7C30" w:rsidRPr="00D41D30">
        <w:rPr>
          <w:rFonts w:hint="eastAsia"/>
          <w:b/>
          <w:color w:val="000000" w:themeColor="text1"/>
        </w:rPr>
        <w:t>於</w:t>
      </w:r>
      <w:r w:rsidR="00CB39DA" w:rsidRPr="00D41D30">
        <w:rPr>
          <w:rFonts w:hint="eastAsia"/>
          <w:b/>
          <w:color w:val="000000" w:themeColor="text1"/>
        </w:rPr>
        <w:t>95</w:t>
      </w:r>
      <w:r w:rsidR="00CB39DA" w:rsidRPr="00D41D30">
        <w:rPr>
          <w:rFonts w:hint="eastAsia"/>
          <w:b/>
          <w:color w:val="000000" w:themeColor="text1"/>
        </w:rPr>
        <w:lastRenderedPageBreak/>
        <w:t>年</w:t>
      </w:r>
      <w:r w:rsidR="00E63CC6" w:rsidRPr="00D41D30">
        <w:rPr>
          <w:rFonts w:hint="eastAsia"/>
          <w:b/>
          <w:color w:val="000000" w:themeColor="text1"/>
        </w:rPr>
        <w:t>方</w:t>
      </w:r>
      <w:r w:rsidR="00CB39DA" w:rsidRPr="00D41D30">
        <w:rPr>
          <w:rFonts w:hint="eastAsia"/>
          <w:b/>
          <w:color w:val="000000" w:themeColor="text1"/>
        </w:rPr>
        <w:t>發表老人教育政策白皮書</w:t>
      </w:r>
      <w:r w:rsidR="001E16EA" w:rsidRPr="00D41D30">
        <w:rPr>
          <w:rFonts w:hint="eastAsia"/>
          <w:b/>
          <w:color w:val="000000" w:themeColor="text1"/>
        </w:rPr>
        <w:t>，</w:t>
      </w:r>
      <w:r w:rsidR="00964CDB" w:rsidRPr="00D41D30">
        <w:rPr>
          <w:rFonts w:hint="eastAsia"/>
          <w:b/>
          <w:color w:val="000000" w:themeColor="text1"/>
        </w:rPr>
        <w:t>97年實施</w:t>
      </w:r>
      <w:r w:rsidR="002A73EC" w:rsidRPr="00D41D30">
        <w:rPr>
          <w:rFonts w:hint="eastAsia"/>
          <w:b/>
          <w:color w:val="000000" w:themeColor="text1"/>
        </w:rPr>
        <w:t>主要</w:t>
      </w:r>
      <w:r w:rsidR="00890272" w:rsidRPr="00D41D30">
        <w:rPr>
          <w:rFonts w:hint="eastAsia"/>
          <w:b/>
          <w:color w:val="000000" w:themeColor="text1"/>
        </w:rPr>
        <w:t>高齡終身</w:t>
      </w:r>
      <w:r w:rsidR="00964CDB" w:rsidRPr="00D41D30">
        <w:rPr>
          <w:rFonts w:hint="eastAsia"/>
          <w:b/>
          <w:color w:val="000000" w:themeColor="text1"/>
        </w:rPr>
        <w:t>學習計畫以</w:t>
      </w:r>
      <w:r w:rsidR="0011234A" w:rsidRPr="00D41D30">
        <w:rPr>
          <w:rFonts w:hint="eastAsia"/>
          <w:b/>
          <w:color w:val="000000" w:themeColor="text1"/>
        </w:rPr>
        <w:t>教育部</w:t>
      </w:r>
      <w:r w:rsidR="00613FFE" w:rsidRPr="00D41D30">
        <w:rPr>
          <w:rFonts w:hint="eastAsia"/>
          <w:b/>
          <w:color w:val="000000" w:themeColor="text1"/>
        </w:rPr>
        <w:t>樂齡學習體系</w:t>
      </w:r>
      <w:r w:rsidR="00964CDB" w:rsidRPr="00D41D30">
        <w:rPr>
          <w:rFonts w:hint="eastAsia"/>
          <w:b/>
          <w:color w:val="000000" w:themeColor="text1"/>
        </w:rPr>
        <w:t>為主</w:t>
      </w:r>
      <w:r w:rsidR="002A73EC" w:rsidRPr="00D41D30">
        <w:rPr>
          <w:rFonts w:hint="eastAsia"/>
          <w:b/>
          <w:color w:val="000000" w:themeColor="text1"/>
        </w:rPr>
        <w:t>，</w:t>
      </w:r>
      <w:r w:rsidR="001C3678" w:rsidRPr="00D41D30">
        <w:rPr>
          <w:rFonts w:hint="eastAsia"/>
          <w:b/>
          <w:color w:val="000000" w:themeColor="text1"/>
        </w:rPr>
        <w:t>相關</w:t>
      </w:r>
      <w:r w:rsidR="00613FFE" w:rsidRPr="00D41D30">
        <w:rPr>
          <w:rFonts w:hint="eastAsia"/>
          <w:b/>
          <w:color w:val="000000" w:themeColor="text1"/>
        </w:rPr>
        <w:t>措施包括樂齡中心、樂齡大學、高齡自主學習團體等</w:t>
      </w:r>
      <w:r w:rsidR="005A1519" w:rsidRPr="00D41D30">
        <w:rPr>
          <w:rFonts w:hint="eastAsia"/>
          <w:b/>
          <w:color w:val="000000" w:themeColor="text1"/>
        </w:rPr>
        <w:t>，分別針對高齡不同學習需求者</w:t>
      </w:r>
      <w:r w:rsidR="00FB54F5" w:rsidRPr="00D41D30">
        <w:rPr>
          <w:rFonts w:hint="eastAsia"/>
          <w:b/>
          <w:color w:val="000000" w:themeColor="text1"/>
        </w:rPr>
        <w:t>期</w:t>
      </w:r>
      <w:r w:rsidR="005A1519" w:rsidRPr="00D41D30">
        <w:rPr>
          <w:rFonts w:hint="eastAsia"/>
          <w:b/>
          <w:color w:val="000000" w:themeColor="text1"/>
        </w:rPr>
        <w:t>提供就近而普遍之學習機會，</w:t>
      </w:r>
      <w:r w:rsidR="00F37536" w:rsidRPr="00D41D30">
        <w:rPr>
          <w:rFonts w:hint="eastAsia"/>
          <w:b/>
          <w:color w:val="000000" w:themeColor="text1"/>
        </w:rPr>
        <w:t>期</w:t>
      </w:r>
      <w:r w:rsidR="00816396" w:rsidRPr="00D41D30">
        <w:rPr>
          <w:rFonts w:hint="eastAsia"/>
          <w:b/>
          <w:color w:val="000000" w:themeColor="text1"/>
        </w:rPr>
        <w:t>促使</w:t>
      </w:r>
      <w:r w:rsidR="005A1519" w:rsidRPr="00D41D30">
        <w:rPr>
          <w:rFonts w:hint="eastAsia"/>
          <w:b/>
          <w:color w:val="000000" w:themeColor="text1"/>
        </w:rPr>
        <w:t>老有所用</w:t>
      </w:r>
      <w:r w:rsidR="00FB54F5" w:rsidRPr="00D41D30">
        <w:rPr>
          <w:rFonts w:hAnsi="標楷體" w:hint="eastAsia"/>
          <w:b/>
          <w:color w:val="000000" w:themeColor="text1"/>
        </w:rPr>
        <w:t>；</w:t>
      </w:r>
      <w:r w:rsidR="00182878" w:rsidRPr="00D41D30">
        <w:rPr>
          <w:rFonts w:ascii="Verdana" w:hAnsi="Verdana"/>
          <w:b/>
          <w:color w:val="000000" w:themeColor="text1"/>
        </w:rPr>
        <w:t>建立學習</w:t>
      </w:r>
      <w:r w:rsidR="00182878" w:rsidRPr="00D41D30">
        <w:rPr>
          <w:rFonts w:ascii="Verdana" w:hAnsi="Verdana" w:hint="eastAsia"/>
          <w:b/>
          <w:color w:val="000000" w:themeColor="text1"/>
        </w:rPr>
        <w:t>型</w:t>
      </w:r>
      <w:r w:rsidR="00182878" w:rsidRPr="00D41D30">
        <w:rPr>
          <w:rFonts w:ascii="Verdana" w:hAnsi="Verdana"/>
          <w:b/>
          <w:color w:val="000000" w:themeColor="text1"/>
        </w:rPr>
        <w:t>社會</w:t>
      </w:r>
      <w:r w:rsidR="00182878" w:rsidRPr="00D41D30">
        <w:rPr>
          <w:rFonts w:ascii="Verdana" w:hAnsi="Verdana" w:hint="eastAsia"/>
          <w:b/>
          <w:color w:val="000000" w:themeColor="text1"/>
        </w:rPr>
        <w:t>雖富</w:t>
      </w:r>
      <w:r w:rsidR="00182878" w:rsidRPr="00D41D30">
        <w:rPr>
          <w:rFonts w:ascii="Verdana" w:hAnsi="Verdana"/>
          <w:b/>
          <w:color w:val="000000" w:themeColor="text1"/>
        </w:rPr>
        <w:t>相當理想性，</w:t>
      </w:r>
      <w:r w:rsidR="00182878" w:rsidRPr="00D41D30">
        <w:rPr>
          <w:rFonts w:hint="eastAsia"/>
          <w:b/>
          <w:color w:val="000000" w:themeColor="text1"/>
        </w:rPr>
        <w:t>惟</w:t>
      </w:r>
      <w:r w:rsidR="00182878" w:rsidRPr="00D41D30">
        <w:rPr>
          <w:rFonts w:ascii="Verdana" w:hAnsi="Verdana"/>
          <w:b/>
          <w:color w:val="000000" w:themeColor="text1"/>
        </w:rPr>
        <w:t>欠缺階段</w:t>
      </w:r>
      <w:r w:rsidR="00182878" w:rsidRPr="00D41D30">
        <w:rPr>
          <w:rFonts w:ascii="Verdana" w:hAnsi="Verdana" w:hint="eastAsia"/>
          <w:b/>
          <w:color w:val="000000" w:themeColor="text1"/>
        </w:rPr>
        <w:t>性</w:t>
      </w:r>
      <w:r w:rsidR="00182878" w:rsidRPr="00D41D30">
        <w:rPr>
          <w:rFonts w:ascii="Verdana" w:hAnsi="Verdana"/>
          <w:b/>
          <w:color w:val="000000" w:themeColor="text1"/>
        </w:rPr>
        <w:t>之策略性發展規劃</w:t>
      </w:r>
      <w:r w:rsidR="00062911" w:rsidRPr="00D41D30">
        <w:rPr>
          <w:rFonts w:ascii="Verdana" w:hAnsi="Verdana" w:hint="eastAsia"/>
          <w:b/>
          <w:color w:val="000000" w:themeColor="text1"/>
        </w:rPr>
        <w:t>及國家</w:t>
      </w:r>
      <w:r w:rsidR="00182878" w:rsidRPr="00D41D30">
        <w:rPr>
          <w:rFonts w:ascii="Verdana" w:hAnsi="Verdana" w:hint="eastAsia"/>
          <w:b/>
          <w:color w:val="000000" w:themeColor="text1"/>
        </w:rPr>
        <w:t>整體推動架構</w:t>
      </w:r>
      <w:r w:rsidR="00182878" w:rsidRPr="00D41D30">
        <w:rPr>
          <w:rFonts w:hint="eastAsia"/>
          <w:b/>
          <w:color w:val="000000" w:themeColor="text1"/>
        </w:rPr>
        <w:t>，</w:t>
      </w:r>
      <w:r w:rsidR="00505768" w:rsidRPr="00D41D30">
        <w:rPr>
          <w:rFonts w:hint="eastAsia"/>
          <w:b/>
          <w:color w:val="000000" w:themeColor="text1"/>
        </w:rPr>
        <w:t>且</w:t>
      </w:r>
      <w:r w:rsidR="004E77B4" w:rsidRPr="00D41D30">
        <w:rPr>
          <w:rFonts w:hint="eastAsia"/>
          <w:b/>
          <w:color w:val="000000" w:themeColor="text1"/>
        </w:rPr>
        <w:t>近年</w:t>
      </w:r>
      <w:r w:rsidR="009C4C74" w:rsidRPr="00D41D30">
        <w:rPr>
          <w:rFonts w:hint="eastAsia"/>
          <w:b/>
          <w:color w:val="000000" w:themeColor="text1"/>
        </w:rPr>
        <w:t>政策推展</w:t>
      </w:r>
      <w:r w:rsidR="00DF09A6" w:rsidRPr="00D41D30">
        <w:rPr>
          <w:rFonts w:hint="eastAsia"/>
          <w:b/>
          <w:color w:val="000000" w:themeColor="text1"/>
        </w:rPr>
        <w:t>亦</w:t>
      </w:r>
      <w:r w:rsidR="009C4C74" w:rsidRPr="00D41D30">
        <w:rPr>
          <w:rFonts w:hint="eastAsia"/>
          <w:b/>
          <w:color w:val="000000" w:themeColor="text1"/>
        </w:rPr>
        <w:t>有停滯</w:t>
      </w:r>
      <w:r w:rsidR="00671A28" w:rsidRPr="00D41D30">
        <w:rPr>
          <w:rFonts w:hint="eastAsia"/>
          <w:b/>
          <w:color w:val="000000" w:themeColor="text1"/>
        </w:rPr>
        <w:t>之勢</w:t>
      </w:r>
      <w:r w:rsidR="004E77B4" w:rsidRPr="00D41D30">
        <w:rPr>
          <w:rFonts w:hint="eastAsia"/>
          <w:b/>
          <w:color w:val="000000" w:themeColor="text1"/>
        </w:rPr>
        <w:t>，</w:t>
      </w:r>
      <w:r w:rsidR="00671A28" w:rsidRPr="00D41D30">
        <w:rPr>
          <w:rFonts w:hint="eastAsia"/>
          <w:b/>
          <w:color w:val="000000" w:themeColor="text1"/>
        </w:rPr>
        <w:t>計畫</w:t>
      </w:r>
      <w:r w:rsidR="007A25C5" w:rsidRPr="00D41D30">
        <w:rPr>
          <w:rFonts w:hint="eastAsia"/>
          <w:b/>
          <w:color w:val="000000" w:themeColor="text1"/>
        </w:rPr>
        <w:t>辦理迄今已</w:t>
      </w:r>
      <w:r w:rsidR="00CA1A62" w:rsidRPr="00D41D30">
        <w:rPr>
          <w:rFonts w:hint="eastAsia"/>
          <w:b/>
          <w:color w:val="000000" w:themeColor="text1"/>
        </w:rPr>
        <w:t>逾10</w:t>
      </w:r>
      <w:r w:rsidR="007A25C5" w:rsidRPr="00D41D30">
        <w:rPr>
          <w:rFonts w:hint="eastAsia"/>
          <w:b/>
          <w:color w:val="000000" w:themeColor="text1"/>
        </w:rPr>
        <w:t>年，</w:t>
      </w:r>
      <w:r w:rsidR="00B43728" w:rsidRPr="00D41D30">
        <w:rPr>
          <w:rFonts w:hint="eastAsia"/>
          <w:b/>
          <w:color w:val="000000" w:themeColor="text1"/>
        </w:rPr>
        <w:t>整體</w:t>
      </w:r>
      <w:r w:rsidR="00861A7D" w:rsidRPr="00D41D30">
        <w:rPr>
          <w:rFonts w:hint="eastAsia"/>
          <w:b/>
          <w:color w:val="000000" w:themeColor="text1"/>
        </w:rPr>
        <w:t>國家</w:t>
      </w:r>
      <w:r w:rsidR="00B022DA" w:rsidRPr="00D41D30">
        <w:rPr>
          <w:rFonts w:hint="eastAsia"/>
          <w:b/>
          <w:color w:val="000000" w:themeColor="text1"/>
        </w:rPr>
        <w:t>高齡教育</w:t>
      </w:r>
      <w:r w:rsidR="00B43728" w:rsidRPr="00D41D30">
        <w:rPr>
          <w:rFonts w:hint="eastAsia"/>
          <w:b/>
          <w:color w:val="000000" w:themeColor="text1"/>
        </w:rPr>
        <w:t>政策</w:t>
      </w:r>
      <w:r w:rsidR="00A31AF4" w:rsidRPr="00D41D30">
        <w:rPr>
          <w:rFonts w:hint="eastAsia"/>
          <w:b/>
          <w:color w:val="000000" w:themeColor="text1"/>
        </w:rPr>
        <w:t>之</w:t>
      </w:r>
      <w:r w:rsidR="00B43728" w:rsidRPr="00D41D30">
        <w:rPr>
          <w:rFonts w:hint="eastAsia"/>
          <w:b/>
          <w:color w:val="000000" w:themeColor="text1"/>
        </w:rPr>
        <w:t>定位</w:t>
      </w:r>
      <w:r w:rsidR="00F82488" w:rsidRPr="00D41D30">
        <w:rPr>
          <w:rFonts w:hint="eastAsia"/>
          <w:b/>
          <w:color w:val="000000" w:themeColor="text1"/>
        </w:rPr>
        <w:t>及體系</w:t>
      </w:r>
      <w:r w:rsidR="00B76D87" w:rsidRPr="00D41D30">
        <w:rPr>
          <w:rFonts w:hint="eastAsia"/>
          <w:b/>
          <w:color w:val="000000" w:themeColor="text1"/>
        </w:rPr>
        <w:t>尚</w:t>
      </w:r>
      <w:r w:rsidR="00B43728" w:rsidRPr="00D41D30">
        <w:rPr>
          <w:rFonts w:hint="eastAsia"/>
          <w:b/>
          <w:color w:val="000000" w:themeColor="text1"/>
        </w:rPr>
        <w:t>不明</w:t>
      </w:r>
      <w:r w:rsidR="000A5189" w:rsidRPr="00D41D30">
        <w:rPr>
          <w:rFonts w:hint="eastAsia"/>
          <w:b/>
          <w:color w:val="000000" w:themeColor="text1"/>
        </w:rPr>
        <w:t>確</w:t>
      </w:r>
      <w:r w:rsidR="00DA5A5B" w:rsidRPr="00D41D30">
        <w:rPr>
          <w:rFonts w:hint="eastAsia"/>
          <w:b/>
          <w:color w:val="000000" w:themeColor="text1"/>
        </w:rPr>
        <w:t>，</w:t>
      </w:r>
      <w:r w:rsidR="003A2E53" w:rsidRPr="00D41D30">
        <w:rPr>
          <w:rFonts w:hint="eastAsia"/>
          <w:b/>
          <w:color w:val="000000" w:themeColor="text1"/>
        </w:rPr>
        <w:t>整體</w:t>
      </w:r>
      <w:r w:rsidR="00D95FBA" w:rsidRPr="00D41D30">
        <w:rPr>
          <w:rFonts w:hint="eastAsia"/>
          <w:b/>
          <w:color w:val="000000" w:themeColor="text1"/>
        </w:rPr>
        <w:t>績效評核</w:t>
      </w:r>
      <w:r w:rsidR="005E3415" w:rsidRPr="00D41D30">
        <w:rPr>
          <w:rFonts w:hAnsi="標楷體" w:hint="eastAsia"/>
          <w:b/>
          <w:color w:val="000000" w:themeColor="text1"/>
        </w:rPr>
        <w:t>、</w:t>
      </w:r>
      <w:r w:rsidR="00FB494E" w:rsidRPr="00D41D30">
        <w:rPr>
          <w:rFonts w:hint="eastAsia"/>
          <w:b/>
          <w:color w:val="000000" w:themeColor="text1"/>
        </w:rPr>
        <w:t>退場</w:t>
      </w:r>
      <w:r w:rsidR="007A25C5" w:rsidRPr="00D41D30">
        <w:rPr>
          <w:rFonts w:hint="eastAsia"/>
          <w:b/>
          <w:color w:val="000000" w:themeColor="text1"/>
        </w:rPr>
        <w:t>機制</w:t>
      </w:r>
      <w:r w:rsidR="005E3415" w:rsidRPr="00D41D30">
        <w:rPr>
          <w:rFonts w:hint="eastAsia"/>
          <w:b/>
          <w:color w:val="000000" w:themeColor="text1"/>
        </w:rPr>
        <w:t>或永續經營計畫</w:t>
      </w:r>
      <w:r w:rsidR="00D95FBA" w:rsidRPr="00D41D30">
        <w:rPr>
          <w:rFonts w:hint="eastAsia"/>
          <w:b/>
          <w:color w:val="000000" w:themeColor="text1"/>
        </w:rPr>
        <w:t>闕如</w:t>
      </w:r>
      <w:r w:rsidR="007A25C5" w:rsidRPr="00D41D30">
        <w:rPr>
          <w:rFonts w:hint="eastAsia"/>
          <w:b/>
          <w:color w:val="000000" w:themeColor="text1"/>
        </w:rPr>
        <w:t>，外界相關批評及建議均不斷湧入，</w:t>
      </w:r>
      <w:r w:rsidR="00A346DA" w:rsidRPr="00D41D30">
        <w:rPr>
          <w:rFonts w:hint="eastAsia"/>
          <w:b/>
          <w:color w:val="000000" w:themeColor="text1"/>
        </w:rPr>
        <w:t>況</w:t>
      </w:r>
      <w:r w:rsidR="001012D7" w:rsidRPr="00D41D30">
        <w:rPr>
          <w:rFonts w:hint="eastAsia"/>
          <w:b/>
          <w:color w:val="000000" w:themeColor="text1"/>
        </w:rPr>
        <w:t>行政院</w:t>
      </w:r>
      <w:r w:rsidR="005E30E2" w:rsidRPr="00D41D30">
        <w:rPr>
          <w:rFonts w:hint="eastAsia"/>
          <w:b/>
          <w:color w:val="000000" w:themeColor="text1"/>
        </w:rPr>
        <w:t>國家發展委員會</w:t>
      </w:r>
      <w:r w:rsidR="00C1246D" w:rsidRPr="00D41D30">
        <w:rPr>
          <w:rFonts w:hint="eastAsia"/>
          <w:b/>
          <w:color w:val="000000" w:themeColor="text1"/>
        </w:rPr>
        <w:t>已</w:t>
      </w:r>
      <w:r w:rsidR="005B7557" w:rsidRPr="00D41D30">
        <w:rPr>
          <w:rFonts w:hint="eastAsia"/>
          <w:b/>
          <w:color w:val="000000" w:themeColor="text1"/>
        </w:rPr>
        <w:t>推估</w:t>
      </w:r>
      <w:r w:rsidR="005E30E2" w:rsidRPr="00D41D30">
        <w:rPr>
          <w:rFonts w:hint="eastAsia"/>
          <w:b/>
          <w:color w:val="000000" w:themeColor="text1"/>
        </w:rPr>
        <w:t>我國</w:t>
      </w:r>
      <w:r w:rsidR="005B7557" w:rsidRPr="00D41D30">
        <w:rPr>
          <w:rFonts w:hint="eastAsia"/>
          <w:b/>
          <w:color w:val="000000" w:themeColor="text1"/>
        </w:rPr>
        <w:t>將於2026</w:t>
      </w:r>
      <w:r w:rsidR="000132CB" w:rsidRPr="00D41D30">
        <w:rPr>
          <w:rFonts w:hint="eastAsia"/>
          <w:b/>
          <w:color w:val="000000" w:themeColor="text1"/>
        </w:rPr>
        <w:t>年</w:t>
      </w:r>
      <w:r w:rsidR="00DF5E40" w:rsidRPr="00D41D30">
        <w:rPr>
          <w:rFonts w:hint="eastAsia"/>
          <w:b/>
          <w:color w:val="000000" w:themeColor="text1"/>
        </w:rPr>
        <w:t>即將</w:t>
      </w:r>
      <w:r w:rsidR="001B66BD" w:rsidRPr="00D41D30">
        <w:rPr>
          <w:rFonts w:hint="eastAsia"/>
          <w:b/>
          <w:color w:val="000000" w:themeColor="text1"/>
        </w:rPr>
        <w:t>迎向超高齡社會</w:t>
      </w:r>
      <w:r w:rsidR="00A9030E" w:rsidRPr="00D41D30">
        <w:rPr>
          <w:rFonts w:hint="eastAsia"/>
          <w:b/>
          <w:color w:val="000000" w:themeColor="text1"/>
        </w:rPr>
        <w:t>，</w:t>
      </w:r>
      <w:r w:rsidR="00506894" w:rsidRPr="00D41D30">
        <w:rPr>
          <w:rFonts w:hint="eastAsia"/>
          <w:b/>
          <w:color w:val="000000" w:themeColor="text1"/>
        </w:rPr>
        <w:t>未來</w:t>
      </w:r>
      <w:r w:rsidR="00423602" w:rsidRPr="00D41D30">
        <w:rPr>
          <w:rFonts w:hint="eastAsia"/>
          <w:b/>
          <w:color w:val="000000" w:themeColor="text1"/>
        </w:rPr>
        <w:t>高齡教育</w:t>
      </w:r>
      <w:r w:rsidR="007601A4" w:rsidRPr="00D41D30">
        <w:rPr>
          <w:rFonts w:hint="eastAsia"/>
          <w:b/>
          <w:color w:val="000000" w:themeColor="text1"/>
        </w:rPr>
        <w:t>措施</w:t>
      </w:r>
      <w:r w:rsidR="00C770D5" w:rsidRPr="00D41D30">
        <w:rPr>
          <w:rFonts w:hint="eastAsia"/>
          <w:b/>
          <w:color w:val="000000" w:themeColor="text1"/>
        </w:rPr>
        <w:t>及</w:t>
      </w:r>
      <w:r w:rsidR="00423602" w:rsidRPr="00D41D30">
        <w:rPr>
          <w:rFonts w:hint="eastAsia"/>
          <w:b/>
          <w:color w:val="000000" w:themeColor="text1"/>
        </w:rPr>
        <w:t>相關需求恐緩不濟急</w:t>
      </w:r>
      <w:r w:rsidR="00DF5E40" w:rsidRPr="00D41D30">
        <w:rPr>
          <w:rFonts w:hint="eastAsia"/>
          <w:b/>
          <w:color w:val="000000" w:themeColor="text1"/>
        </w:rPr>
        <w:t>，</w:t>
      </w:r>
      <w:r w:rsidR="003F50DF" w:rsidRPr="00D41D30">
        <w:rPr>
          <w:rFonts w:hint="eastAsia"/>
          <w:b/>
          <w:color w:val="000000" w:themeColor="text1"/>
        </w:rPr>
        <w:t>亟待</w:t>
      </w:r>
      <w:r w:rsidR="009222E8" w:rsidRPr="00D41D30">
        <w:rPr>
          <w:rFonts w:hint="eastAsia"/>
          <w:b/>
          <w:color w:val="000000" w:themeColor="text1"/>
        </w:rPr>
        <w:t>行政院</w:t>
      </w:r>
      <w:r w:rsidR="0000010A" w:rsidRPr="00D41D30">
        <w:rPr>
          <w:rFonts w:hint="eastAsia"/>
          <w:b/>
          <w:color w:val="000000" w:themeColor="text1"/>
        </w:rPr>
        <w:t>儘速</w:t>
      </w:r>
      <w:r w:rsidR="007C02D4" w:rsidRPr="00D41D30">
        <w:rPr>
          <w:rFonts w:hint="eastAsia"/>
          <w:b/>
          <w:color w:val="000000" w:themeColor="text1"/>
        </w:rPr>
        <w:t>盤整</w:t>
      </w:r>
      <w:r w:rsidR="00AE2428" w:rsidRPr="00D41D30">
        <w:rPr>
          <w:rFonts w:hint="eastAsia"/>
          <w:b/>
          <w:color w:val="000000" w:themeColor="text1"/>
        </w:rPr>
        <w:t>檢討</w:t>
      </w:r>
      <w:r w:rsidR="007C02D4" w:rsidRPr="00D41D30">
        <w:rPr>
          <w:rFonts w:hint="eastAsia"/>
          <w:b/>
          <w:color w:val="000000" w:themeColor="text1"/>
        </w:rPr>
        <w:t>並</w:t>
      </w:r>
      <w:r w:rsidR="009222E8" w:rsidRPr="00D41D30">
        <w:rPr>
          <w:rFonts w:hint="eastAsia"/>
          <w:b/>
          <w:color w:val="000000" w:themeColor="text1"/>
        </w:rPr>
        <w:t>積極督導</w:t>
      </w:r>
      <w:r w:rsidR="00997619" w:rsidRPr="00D41D30">
        <w:rPr>
          <w:rFonts w:hint="eastAsia"/>
          <w:b/>
          <w:color w:val="000000" w:themeColor="text1"/>
        </w:rPr>
        <w:t>機關整合辦理</w:t>
      </w:r>
      <w:r w:rsidR="00F20C84" w:rsidRPr="00D41D30">
        <w:rPr>
          <w:rFonts w:hint="eastAsia"/>
          <w:b/>
          <w:color w:val="000000" w:themeColor="text1"/>
        </w:rPr>
        <w:t>，以</w:t>
      </w:r>
      <w:r w:rsidR="00FD652D" w:rsidRPr="00D41D30">
        <w:rPr>
          <w:rFonts w:hint="eastAsia"/>
          <w:b/>
          <w:color w:val="000000" w:themeColor="text1"/>
        </w:rPr>
        <w:t>提供具</w:t>
      </w:r>
      <w:r w:rsidR="00CC3AAA" w:rsidRPr="00D41D30">
        <w:rPr>
          <w:rFonts w:hint="eastAsia"/>
          <w:b/>
          <w:color w:val="000000" w:themeColor="text1"/>
        </w:rPr>
        <w:t>前瞻</w:t>
      </w:r>
      <w:r w:rsidR="000C387B" w:rsidRPr="00D41D30">
        <w:rPr>
          <w:rFonts w:hint="eastAsia"/>
          <w:b/>
          <w:color w:val="000000" w:themeColor="text1"/>
        </w:rPr>
        <w:t>而</w:t>
      </w:r>
      <w:r w:rsidR="00F20C84" w:rsidRPr="00D41D30">
        <w:rPr>
          <w:rFonts w:hint="eastAsia"/>
          <w:b/>
          <w:color w:val="000000" w:themeColor="text1"/>
        </w:rPr>
        <w:t>完整之</w:t>
      </w:r>
      <w:r w:rsidR="00CC3AAA" w:rsidRPr="00D41D30">
        <w:rPr>
          <w:rFonts w:hint="eastAsia"/>
          <w:b/>
          <w:color w:val="000000" w:themeColor="text1"/>
        </w:rPr>
        <w:t>高齡</w:t>
      </w:r>
      <w:r w:rsidR="00B96A98" w:rsidRPr="00D41D30">
        <w:rPr>
          <w:rFonts w:hint="eastAsia"/>
          <w:b/>
          <w:color w:val="000000" w:themeColor="text1"/>
        </w:rPr>
        <w:t>教育</w:t>
      </w:r>
      <w:r w:rsidR="00CC3AAA" w:rsidRPr="00D41D30">
        <w:rPr>
          <w:rFonts w:hint="eastAsia"/>
          <w:b/>
          <w:color w:val="000000" w:themeColor="text1"/>
        </w:rPr>
        <w:t>學習</w:t>
      </w:r>
      <w:r w:rsidR="00F20C84" w:rsidRPr="00D41D30">
        <w:rPr>
          <w:rFonts w:hint="eastAsia"/>
          <w:b/>
          <w:color w:val="000000" w:themeColor="text1"/>
        </w:rPr>
        <w:t>機會及</w:t>
      </w:r>
      <w:r w:rsidR="002B4F1E" w:rsidRPr="00D41D30">
        <w:rPr>
          <w:rFonts w:hint="eastAsia"/>
          <w:b/>
          <w:color w:val="000000" w:themeColor="text1"/>
        </w:rPr>
        <w:t>品質，</w:t>
      </w:r>
      <w:r w:rsidR="00F20C84" w:rsidRPr="00D41D30">
        <w:rPr>
          <w:rFonts w:hint="eastAsia"/>
          <w:b/>
          <w:color w:val="000000" w:themeColor="text1"/>
        </w:rPr>
        <w:t>正向迎接</w:t>
      </w:r>
      <w:r w:rsidR="005931D1" w:rsidRPr="00D41D30">
        <w:rPr>
          <w:rFonts w:hint="eastAsia"/>
          <w:b/>
          <w:color w:val="000000" w:themeColor="text1"/>
        </w:rPr>
        <w:t>超高齡社會</w:t>
      </w:r>
      <w:r w:rsidR="00F20C84" w:rsidRPr="00D41D30">
        <w:rPr>
          <w:rFonts w:hint="eastAsia"/>
          <w:b/>
          <w:color w:val="000000" w:themeColor="text1"/>
        </w:rPr>
        <w:t>之</w:t>
      </w:r>
      <w:r w:rsidR="00D251DC" w:rsidRPr="00D41D30">
        <w:rPr>
          <w:rFonts w:hint="eastAsia"/>
          <w:b/>
          <w:color w:val="000000" w:themeColor="text1"/>
        </w:rPr>
        <w:t>衝擊與</w:t>
      </w:r>
      <w:r w:rsidR="005F1AF4" w:rsidRPr="00D41D30">
        <w:rPr>
          <w:rFonts w:hint="eastAsia"/>
          <w:b/>
          <w:color w:val="000000" w:themeColor="text1"/>
        </w:rPr>
        <w:t>挑戰</w:t>
      </w:r>
      <w:bookmarkEnd w:id="1141"/>
    </w:p>
    <w:p w:rsidR="00725E09" w:rsidRPr="00D41D30" w:rsidRDefault="00725E09" w:rsidP="00725E09">
      <w:pPr>
        <w:pStyle w:val="3"/>
        <w:rPr>
          <w:rFonts w:hAnsi="標楷體"/>
          <w:color w:val="000000" w:themeColor="text1"/>
        </w:rPr>
      </w:pPr>
      <w:bookmarkStart w:id="1142" w:name="_Toc30512555"/>
      <w:bookmarkStart w:id="1143" w:name="_Toc30581263"/>
      <w:bookmarkStart w:id="1144" w:name="_Toc32392536"/>
      <w:bookmarkStart w:id="1145" w:name="_Toc32673727"/>
      <w:bookmarkStart w:id="1146" w:name="_Toc32846606"/>
      <w:bookmarkStart w:id="1147" w:name="_Toc32918522"/>
      <w:bookmarkStart w:id="1148" w:name="_Toc33011809"/>
      <w:bookmarkStart w:id="1149" w:name="_Toc30512556"/>
      <w:bookmarkStart w:id="1150" w:name="_Toc30581264"/>
      <w:bookmarkEnd w:id="1142"/>
      <w:bookmarkEnd w:id="1143"/>
      <w:r w:rsidRPr="00D41D30">
        <w:rPr>
          <w:rFonts w:hint="eastAsia"/>
          <w:color w:val="000000" w:themeColor="text1"/>
        </w:rPr>
        <w:t>1985年聯合國教科文組織（United Nations Educational, Scientific and Cultural Organization，簡稱 UNESCO）第4次國際成人教育會議宣言，特別強調學習權的概念，主張學習權是基本人權，不論種族、身分、地位，任何人皆擁有學習權，可以透過學習，不斷地發展自我。並對學習權的內涵的概念提出具體的界定，學習權是閱讀和寫字、提出問題與思考問題、想像和創造、瞭解人的環境和編寫歷史、接受教育資訊、發展個人和團體技能的權利</w:t>
      </w:r>
      <w:r w:rsidRPr="00D41D30">
        <w:rPr>
          <w:rStyle w:val="aff0"/>
          <w:color w:val="000000" w:themeColor="text1"/>
        </w:rPr>
        <w:footnoteReference w:id="12"/>
      </w:r>
      <w:r w:rsidRPr="00D41D30">
        <w:rPr>
          <w:rFonts w:hint="eastAsia"/>
          <w:color w:val="000000" w:themeColor="text1"/>
        </w:rPr>
        <w:t>。而</w:t>
      </w:r>
      <w:r w:rsidRPr="00D41D30">
        <w:rPr>
          <w:rFonts w:hAnsi="標楷體" w:hint="eastAsia"/>
          <w:color w:val="000000" w:themeColor="text1"/>
        </w:rPr>
        <w:t>「</w:t>
      </w:r>
      <w:r w:rsidRPr="00D41D30">
        <w:rPr>
          <w:rFonts w:hint="eastAsia"/>
          <w:color w:val="000000" w:themeColor="text1"/>
        </w:rPr>
        <w:t>終身學習的全然實踐，最終更體現在整體社會之中，</w:t>
      </w:r>
      <w:r w:rsidRPr="00D41D30">
        <w:rPr>
          <w:rFonts w:hint="eastAsia"/>
          <w:color w:val="000000" w:themeColor="text1"/>
        </w:rPr>
        <w:lastRenderedPageBreak/>
        <w:t>這個社會必須是一個永續成長的學習型社會，為個人提供適性發展的終身學習環境。</w:t>
      </w:r>
      <w:r w:rsidRPr="00D41D30">
        <w:rPr>
          <w:rFonts w:hAnsi="標楷體" w:hint="eastAsia"/>
          <w:color w:val="000000" w:themeColor="text1"/>
        </w:rPr>
        <w:t>」依此，為保障人民之終身學習權利，政府應提供各種管道，健全各種完備的終身學習環境及終身學習法制</w:t>
      </w:r>
      <w:r w:rsidRPr="00D41D30">
        <w:rPr>
          <w:rStyle w:val="aff0"/>
          <w:rFonts w:hAnsi="標楷體"/>
          <w:color w:val="000000" w:themeColor="text1"/>
        </w:rPr>
        <w:footnoteReference w:id="13"/>
      </w:r>
      <w:r w:rsidRPr="00D41D30">
        <w:rPr>
          <w:rFonts w:hAnsi="標楷體" w:hint="eastAsia"/>
          <w:color w:val="000000" w:themeColor="text1"/>
        </w:rPr>
        <w:t>。</w:t>
      </w:r>
      <w:r w:rsidR="00831BF5" w:rsidRPr="00D41D30">
        <w:rPr>
          <w:rFonts w:hint="eastAsia"/>
          <w:color w:val="000000" w:themeColor="text1"/>
        </w:rPr>
        <w:t>此外，</w:t>
      </w:r>
      <w:r w:rsidR="001A2A15" w:rsidRPr="00D41D30">
        <w:rPr>
          <w:rFonts w:hint="eastAsia"/>
          <w:color w:val="000000" w:themeColor="text1"/>
        </w:rPr>
        <w:t>1996年OECD</w:t>
      </w:r>
      <w:r w:rsidR="00210CB4" w:rsidRPr="00D41D30">
        <w:rPr>
          <w:rFonts w:hAnsi="標楷體" w:hint="eastAsia"/>
          <w:color w:val="000000" w:themeColor="text1"/>
        </w:rPr>
        <w:t>「</w:t>
      </w:r>
      <w:r w:rsidR="001A2A15" w:rsidRPr="00D41D30">
        <w:rPr>
          <w:rFonts w:hint="eastAsia"/>
          <w:color w:val="000000" w:themeColor="text1"/>
        </w:rPr>
        <w:t>全民終身學習</w:t>
      </w:r>
      <w:r w:rsidR="00210CB4" w:rsidRPr="00D41D30">
        <w:rPr>
          <w:rFonts w:hAnsi="標楷體" w:hint="eastAsia"/>
          <w:color w:val="000000" w:themeColor="text1"/>
        </w:rPr>
        <w:t>」</w:t>
      </w:r>
      <w:r w:rsidR="001A2A15" w:rsidRPr="00D41D30">
        <w:rPr>
          <w:rFonts w:hint="eastAsia"/>
          <w:color w:val="000000" w:themeColor="text1"/>
        </w:rPr>
        <w:t>（Lifelong Learning for All）報告書，明確指出終身教育的目的，係透過終身學習促進個人發展、社會凝聚和經濟成長，讓所有人不論年齡或教育階段，都受到激勵並積極參與學習。基本觀念乃強調個人處於文化與科技快速變遷的社會，過好生活必須終身不斷學習等理念，是以，終身學習應涵蓋年長者之學習。</w:t>
      </w:r>
      <w:r w:rsidRPr="00D41D30">
        <w:rPr>
          <w:rFonts w:hAnsi="標楷體" w:hint="eastAsia"/>
          <w:color w:val="000000" w:themeColor="text1"/>
        </w:rPr>
        <w:t>基此，</w:t>
      </w:r>
      <w:r w:rsidR="006E5413" w:rsidRPr="00D41D30">
        <w:rPr>
          <w:rFonts w:hAnsi="標楷體" w:hint="eastAsia"/>
          <w:color w:val="000000" w:themeColor="text1"/>
        </w:rPr>
        <w:t>在國際終身學習及成人教育之</w:t>
      </w:r>
      <w:r w:rsidR="00BB519E" w:rsidRPr="00D41D30">
        <w:rPr>
          <w:rFonts w:hAnsi="標楷體" w:hint="eastAsia"/>
          <w:color w:val="000000" w:themeColor="text1"/>
        </w:rPr>
        <w:t>發展</w:t>
      </w:r>
      <w:r w:rsidR="006E5413" w:rsidRPr="00D41D30">
        <w:rPr>
          <w:rFonts w:hAnsi="標楷體" w:hint="eastAsia"/>
          <w:color w:val="000000" w:themeColor="text1"/>
        </w:rPr>
        <w:t>趨勢</w:t>
      </w:r>
      <w:r w:rsidR="00BB519E" w:rsidRPr="00D41D30">
        <w:rPr>
          <w:rFonts w:hAnsi="標楷體" w:hint="eastAsia"/>
          <w:color w:val="000000" w:themeColor="text1"/>
        </w:rPr>
        <w:t>脈絡</w:t>
      </w:r>
      <w:r w:rsidR="006E5413" w:rsidRPr="00D41D30">
        <w:rPr>
          <w:rFonts w:hAnsi="標楷體" w:hint="eastAsia"/>
          <w:color w:val="000000" w:themeColor="text1"/>
        </w:rPr>
        <w:t>下，為</w:t>
      </w:r>
      <w:r w:rsidRPr="00D41D30">
        <w:rPr>
          <w:rFonts w:hAnsi="標楷體" w:hint="eastAsia"/>
          <w:color w:val="000000" w:themeColor="text1"/>
        </w:rPr>
        <w:t>建構完整終身教育體系及高齡者學習環境之基礎，</w:t>
      </w:r>
      <w:r w:rsidR="0006244E" w:rsidRPr="00D41D30">
        <w:rPr>
          <w:rFonts w:hAnsi="標楷體" w:hint="eastAsia"/>
          <w:color w:val="000000" w:themeColor="text1"/>
        </w:rPr>
        <w:t>政府</w:t>
      </w:r>
      <w:r w:rsidRPr="00D41D30">
        <w:rPr>
          <w:rFonts w:hAnsi="標楷體" w:hint="eastAsia"/>
          <w:color w:val="000000" w:themeColor="text1"/>
        </w:rPr>
        <w:t>應完備各項法</w:t>
      </w:r>
      <w:r w:rsidR="00505768" w:rsidRPr="00D41D30">
        <w:rPr>
          <w:rFonts w:hAnsi="標楷體" w:hint="eastAsia"/>
          <w:color w:val="000000" w:themeColor="text1"/>
        </w:rPr>
        <w:t>制</w:t>
      </w:r>
      <w:r w:rsidRPr="00D41D30">
        <w:rPr>
          <w:rFonts w:hAnsi="標楷體" w:hint="eastAsia"/>
          <w:color w:val="000000" w:themeColor="text1"/>
        </w:rPr>
        <w:t>及</w:t>
      </w:r>
      <w:r w:rsidR="00AB5880" w:rsidRPr="00D41D30">
        <w:rPr>
          <w:rFonts w:hAnsi="標楷體" w:hint="eastAsia"/>
          <w:color w:val="000000" w:themeColor="text1"/>
        </w:rPr>
        <w:t>各項</w:t>
      </w:r>
      <w:r w:rsidRPr="00D41D30">
        <w:rPr>
          <w:rFonts w:hAnsi="標楷體" w:hint="eastAsia"/>
          <w:color w:val="000000" w:themeColor="text1"/>
        </w:rPr>
        <w:t>學習環境，以期在國家</w:t>
      </w:r>
      <w:r w:rsidR="008B43DF" w:rsidRPr="00D41D30">
        <w:rPr>
          <w:rFonts w:hAnsi="標楷體" w:hint="eastAsia"/>
          <w:color w:val="000000" w:themeColor="text1"/>
        </w:rPr>
        <w:t>社會</w:t>
      </w:r>
      <w:r w:rsidRPr="00D41D30">
        <w:rPr>
          <w:rFonts w:hAnsi="標楷體" w:hint="eastAsia"/>
          <w:color w:val="000000" w:themeColor="text1"/>
        </w:rPr>
        <w:t>整體發展脈絡之下，以教育系統</w:t>
      </w:r>
      <w:r w:rsidR="008258D9" w:rsidRPr="00D41D30">
        <w:rPr>
          <w:rFonts w:hAnsi="標楷體" w:hint="eastAsia"/>
          <w:color w:val="000000" w:themeColor="text1"/>
        </w:rPr>
        <w:t>之</w:t>
      </w:r>
      <w:r w:rsidRPr="00D41D30">
        <w:rPr>
          <w:rFonts w:hAnsi="標楷體" w:hint="eastAsia"/>
          <w:color w:val="000000" w:themeColor="text1"/>
        </w:rPr>
        <w:t>方式面對</w:t>
      </w:r>
      <w:r w:rsidR="00BF6F85" w:rsidRPr="00D41D30">
        <w:rPr>
          <w:rFonts w:hAnsi="標楷體" w:hint="eastAsia"/>
          <w:color w:val="000000" w:themeColor="text1"/>
        </w:rPr>
        <w:t>人口</w:t>
      </w:r>
      <w:r w:rsidRPr="00D41D30">
        <w:rPr>
          <w:rFonts w:hAnsi="標楷體" w:hint="eastAsia"/>
          <w:color w:val="000000" w:themeColor="text1"/>
        </w:rPr>
        <w:t>高齡化的嚴峻挑戰。</w:t>
      </w:r>
      <w:bookmarkEnd w:id="1144"/>
      <w:bookmarkEnd w:id="1145"/>
      <w:bookmarkEnd w:id="1146"/>
      <w:bookmarkEnd w:id="1147"/>
      <w:bookmarkEnd w:id="1148"/>
    </w:p>
    <w:p w:rsidR="00E33131" w:rsidRPr="00D41D30" w:rsidRDefault="00E33131" w:rsidP="007D562B">
      <w:pPr>
        <w:pStyle w:val="3"/>
        <w:rPr>
          <w:rFonts w:hAnsi="標楷體"/>
          <w:color w:val="000000" w:themeColor="text1"/>
        </w:rPr>
      </w:pPr>
      <w:bookmarkStart w:id="1151" w:name="_Toc32392537"/>
      <w:bookmarkStart w:id="1152" w:name="_Toc32673728"/>
      <w:bookmarkStart w:id="1153" w:name="_Toc32846607"/>
      <w:bookmarkStart w:id="1154" w:name="_Toc32918523"/>
      <w:bookmarkStart w:id="1155" w:name="_Toc33011810"/>
      <w:r w:rsidRPr="00D41D30">
        <w:rPr>
          <w:rFonts w:hint="eastAsia"/>
          <w:color w:val="000000" w:themeColor="text1"/>
        </w:rPr>
        <w:t>而國際</w:t>
      </w:r>
      <w:r w:rsidR="00267462" w:rsidRPr="00D41D30">
        <w:rPr>
          <w:rFonts w:hint="eastAsia"/>
          <w:color w:val="000000" w:themeColor="text1"/>
        </w:rPr>
        <w:t>先進國家</w:t>
      </w:r>
      <w:r w:rsidR="00106A4C" w:rsidRPr="00D41D30">
        <w:rPr>
          <w:rFonts w:hint="eastAsia"/>
          <w:color w:val="000000" w:themeColor="text1"/>
        </w:rPr>
        <w:t>亦多有</w:t>
      </w:r>
      <w:r w:rsidR="00267462" w:rsidRPr="00D41D30">
        <w:rPr>
          <w:rFonts w:hint="eastAsia"/>
          <w:color w:val="000000" w:themeColor="text1"/>
        </w:rPr>
        <w:t>針對</w:t>
      </w:r>
      <w:r w:rsidRPr="00D41D30">
        <w:rPr>
          <w:rFonts w:hint="eastAsia"/>
          <w:color w:val="000000" w:themeColor="text1"/>
        </w:rPr>
        <w:t>老人教育</w:t>
      </w:r>
      <w:r w:rsidR="00EB24B0" w:rsidRPr="00D41D30">
        <w:rPr>
          <w:rFonts w:hint="eastAsia"/>
          <w:color w:val="000000" w:themeColor="text1"/>
        </w:rPr>
        <w:t>需求及政策</w:t>
      </w:r>
      <w:r w:rsidR="009427ED" w:rsidRPr="00D41D30">
        <w:rPr>
          <w:rFonts w:hint="eastAsia"/>
          <w:color w:val="000000" w:themeColor="text1"/>
        </w:rPr>
        <w:t>之</w:t>
      </w:r>
      <w:r w:rsidR="00106A4C" w:rsidRPr="00D41D30">
        <w:rPr>
          <w:rFonts w:hint="eastAsia"/>
          <w:color w:val="000000" w:themeColor="text1"/>
        </w:rPr>
        <w:t>推展</w:t>
      </w:r>
      <w:r w:rsidR="003C0EF6" w:rsidRPr="00D41D30">
        <w:rPr>
          <w:rStyle w:val="aff0"/>
          <w:color w:val="000000" w:themeColor="text1"/>
        </w:rPr>
        <w:footnoteReference w:id="14"/>
      </w:r>
      <w:r w:rsidRPr="00D41D30">
        <w:rPr>
          <w:rFonts w:hint="eastAsia"/>
          <w:color w:val="000000" w:themeColor="text1"/>
        </w:rPr>
        <w:t>，</w:t>
      </w:r>
      <w:r w:rsidR="0033305C" w:rsidRPr="00D41D30">
        <w:rPr>
          <w:rFonts w:hint="eastAsia"/>
          <w:color w:val="000000" w:themeColor="text1"/>
        </w:rPr>
        <w:t>如</w:t>
      </w:r>
      <w:r w:rsidRPr="00D41D30">
        <w:rPr>
          <w:color w:val="000000" w:themeColor="text1"/>
        </w:rPr>
        <w:t>1971</w:t>
      </w:r>
      <w:r w:rsidR="001A7547" w:rsidRPr="00D41D30">
        <w:rPr>
          <w:rFonts w:hint="eastAsia"/>
          <w:color w:val="000000" w:themeColor="text1"/>
        </w:rPr>
        <w:t>年美國</w:t>
      </w:r>
      <w:r w:rsidR="00C11ED2" w:rsidRPr="00D41D30">
        <w:rPr>
          <w:rFonts w:hAnsi="標楷體" w:hint="eastAsia"/>
          <w:color w:val="000000" w:themeColor="text1"/>
        </w:rPr>
        <w:t>「</w:t>
      </w:r>
      <w:r w:rsidR="001A7547" w:rsidRPr="00D41D30">
        <w:rPr>
          <w:rFonts w:hint="eastAsia"/>
          <w:color w:val="000000" w:themeColor="text1"/>
        </w:rPr>
        <w:t>白宮老</w:t>
      </w:r>
      <w:r w:rsidR="00B12FC0" w:rsidRPr="00D41D30">
        <w:rPr>
          <w:rFonts w:hint="eastAsia"/>
          <w:color w:val="000000" w:themeColor="text1"/>
        </w:rPr>
        <w:t>化</w:t>
      </w:r>
      <w:r w:rsidR="001A7547" w:rsidRPr="00D41D30">
        <w:rPr>
          <w:rFonts w:hint="eastAsia"/>
          <w:color w:val="000000" w:themeColor="text1"/>
        </w:rPr>
        <w:t>會議</w:t>
      </w:r>
      <w:r w:rsidR="00B562C7" w:rsidRPr="00D41D30">
        <w:rPr>
          <w:color w:val="000000" w:themeColor="text1"/>
        </w:rPr>
        <w:t>（</w:t>
      </w:r>
      <w:r w:rsidR="00412B2C" w:rsidRPr="00D41D30">
        <w:rPr>
          <w:color w:val="000000" w:themeColor="text1"/>
        </w:rPr>
        <w:t>White House Conference on Aging</w:t>
      </w:r>
      <w:r w:rsidR="006B5136" w:rsidRPr="00D41D30">
        <w:rPr>
          <w:color w:val="000000" w:themeColor="text1"/>
        </w:rPr>
        <w:t>）</w:t>
      </w:r>
      <w:r w:rsidR="00C11ED2" w:rsidRPr="00D41D30">
        <w:rPr>
          <w:rFonts w:hAnsi="標楷體" w:hint="eastAsia"/>
          <w:color w:val="000000" w:themeColor="text1"/>
        </w:rPr>
        <w:t>」</w:t>
      </w:r>
      <w:r w:rsidRPr="00D41D30">
        <w:rPr>
          <w:rFonts w:hint="eastAsia"/>
          <w:color w:val="000000" w:themeColor="text1"/>
        </w:rPr>
        <w:t>強調</w:t>
      </w:r>
      <w:r w:rsidR="00C250B5" w:rsidRPr="00D41D30">
        <w:rPr>
          <w:rFonts w:hint="eastAsia"/>
          <w:color w:val="000000" w:themeColor="text1"/>
        </w:rPr>
        <w:t>應</w:t>
      </w:r>
      <w:r w:rsidRPr="00D41D30">
        <w:rPr>
          <w:rFonts w:hint="eastAsia"/>
          <w:color w:val="000000" w:themeColor="text1"/>
        </w:rPr>
        <w:t>重視高齡學習者的需求</w:t>
      </w:r>
      <w:r w:rsidR="00095982" w:rsidRPr="00D41D30">
        <w:rPr>
          <w:rFonts w:hAnsi="標楷體" w:hint="eastAsia"/>
          <w:color w:val="000000" w:themeColor="text1"/>
        </w:rPr>
        <w:t>，</w:t>
      </w:r>
      <w:r w:rsidR="00095982" w:rsidRPr="00D41D30">
        <w:rPr>
          <w:rFonts w:hint="eastAsia"/>
          <w:color w:val="000000" w:themeColor="text1"/>
        </w:rPr>
        <w:t>提出作為政策研擬參考</w:t>
      </w:r>
      <w:r w:rsidR="001A7547" w:rsidRPr="00D41D30">
        <w:rPr>
          <w:rFonts w:hint="eastAsia"/>
          <w:color w:val="000000" w:themeColor="text1"/>
        </w:rPr>
        <w:t>，</w:t>
      </w:r>
      <w:r w:rsidR="00A9259A" w:rsidRPr="00D41D30">
        <w:rPr>
          <w:rFonts w:hint="eastAsia"/>
          <w:color w:val="000000" w:themeColor="text1"/>
        </w:rPr>
        <w:t>該會議</w:t>
      </w:r>
      <w:r w:rsidR="001A7547" w:rsidRPr="00D41D30">
        <w:rPr>
          <w:rFonts w:hint="eastAsia"/>
          <w:color w:val="000000" w:themeColor="text1"/>
        </w:rPr>
        <w:t>並</w:t>
      </w:r>
      <w:r w:rsidR="00A9259A" w:rsidRPr="00D41D30">
        <w:rPr>
          <w:rFonts w:hint="eastAsia"/>
          <w:color w:val="000000" w:themeColor="text1"/>
        </w:rPr>
        <w:t>於1978</w:t>
      </w:r>
      <w:r w:rsidR="00A9259A" w:rsidRPr="00D41D30">
        <w:rPr>
          <w:color w:val="000000" w:themeColor="text1"/>
        </w:rPr>
        <w:t>年</w:t>
      </w:r>
      <w:r w:rsidR="00A9259A" w:rsidRPr="00D41D30">
        <w:rPr>
          <w:rFonts w:hint="eastAsia"/>
          <w:color w:val="000000" w:themeColor="text1"/>
        </w:rPr>
        <w:t>提出</w:t>
      </w:r>
      <w:r w:rsidR="00A9259A" w:rsidRPr="00D41D30">
        <w:rPr>
          <w:color w:val="000000" w:themeColor="text1"/>
        </w:rPr>
        <w:t>聲明：「教育是所有年齡團體的基本權利，它是使老年人能享受完美和有意義生活的一種方式，也是促進老年人發揮潛能，貢獻社會的途徑」</w:t>
      </w:r>
      <w:r w:rsidRPr="00D41D30">
        <w:rPr>
          <w:rFonts w:hint="eastAsia"/>
          <w:color w:val="000000" w:themeColor="text1"/>
        </w:rPr>
        <w:t>；聯合國於1974年發表</w:t>
      </w:r>
      <w:r w:rsidR="00C11ED2" w:rsidRPr="00D41D30">
        <w:rPr>
          <w:rFonts w:hAnsi="標楷體" w:hint="eastAsia"/>
          <w:color w:val="000000" w:themeColor="text1"/>
        </w:rPr>
        <w:t>「</w:t>
      </w:r>
      <w:r w:rsidRPr="00D41D30">
        <w:rPr>
          <w:rFonts w:hint="eastAsia"/>
          <w:color w:val="000000" w:themeColor="text1"/>
        </w:rPr>
        <w:t>老年問題專家會議報告</w:t>
      </w:r>
      <w:r w:rsidR="00C11ED2" w:rsidRPr="00D41D30">
        <w:rPr>
          <w:rFonts w:hAnsi="標楷體" w:hint="eastAsia"/>
          <w:color w:val="000000" w:themeColor="text1"/>
        </w:rPr>
        <w:t>」</w:t>
      </w:r>
      <w:r w:rsidRPr="00D41D30">
        <w:rPr>
          <w:rFonts w:hint="eastAsia"/>
          <w:color w:val="000000" w:themeColor="text1"/>
        </w:rPr>
        <w:t>，建議重視老人的差異性，採取不同的教育方式，同時建議所有國家應制訂提高</w:t>
      </w:r>
      <w:r w:rsidRPr="00D41D30">
        <w:rPr>
          <w:rFonts w:hint="eastAsia"/>
          <w:color w:val="000000" w:themeColor="text1"/>
        </w:rPr>
        <w:lastRenderedPageBreak/>
        <w:t>老人生活品質的國家政策。英國於1981年成立「老人教育權力論壇</w:t>
      </w:r>
      <w:r w:rsidR="008A4BD1" w:rsidRPr="00D41D30">
        <w:rPr>
          <w:rFonts w:hint="eastAsia"/>
          <w:color w:val="000000" w:themeColor="text1"/>
        </w:rPr>
        <w:t>」（Forum</w:t>
      </w:r>
      <w:r w:rsidR="004369F7" w:rsidRPr="00D41D30">
        <w:rPr>
          <w:rFonts w:hint="eastAsia"/>
          <w:color w:val="000000" w:themeColor="text1"/>
        </w:rPr>
        <w:t xml:space="preserve"> </w:t>
      </w:r>
      <w:r w:rsidR="008A4BD1" w:rsidRPr="00D41D30">
        <w:rPr>
          <w:rFonts w:hint="eastAsia"/>
          <w:color w:val="000000" w:themeColor="text1"/>
        </w:rPr>
        <w:t>on the Rights of Elderly People to Education, FREE）</w:t>
      </w:r>
      <w:r w:rsidRPr="00D41D30">
        <w:rPr>
          <w:rFonts w:hint="eastAsia"/>
          <w:color w:val="000000" w:themeColor="text1"/>
        </w:rPr>
        <w:t>」，持續推動並促進英國老人教育的發展。日本則在1986年提出「長壽社會對策大綱」</w:t>
      </w:r>
      <w:r w:rsidR="00B562C7" w:rsidRPr="00D41D30">
        <w:rPr>
          <w:rFonts w:hint="eastAsia"/>
          <w:color w:val="000000" w:themeColor="text1"/>
        </w:rPr>
        <w:t>（</w:t>
      </w:r>
      <w:r w:rsidR="005C4829" w:rsidRPr="00D41D30">
        <w:rPr>
          <w:rFonts w:hint="eastAsia"/>
          <w:color w:val="000000" w:themeColor="text1"/>
        </w:rPr>
        <w:t>即後</w:t>
      </w:r>
      <w:r w:rsidR="00177887" w:rsidRPr="00D41D30">
        <w:rPr>
          <w:rFonts w:hint="eastAsia"/>
          <w:color w:val="000000" w:themeColor="text1"/>
        </w:rPr>
        <w:t>「高齡社會對策大綱」</w:t>
      </w:r>
      <w:r w:rsidR="006B5136" w:rsidRPr="00D41D30">
        <w:rPr>
          <w:rFonts w:hint="eastAsia"/>
          <w:color w:val="000000" w:themeColor="text1"/>
        </w:rPr>
        <w:t>）</w:t>
      </w:r>
      <w:r w:rsidRPr="00D41D30">
        <w:rPr>
          <w:rFonts w:hint="eastAsia"/>
          <w:color w:val="000000" w:themeColor="text1"/>
        </w:rPr>
        <w:t>，老人教育成為整體長壽社會對策的重要一環；1995年更頒布「高齡社會基本法」，更加重視有關老人的相關措施。1990年歐盟執委會也明確指出，老人教育與學習是促進歐洲統合的一項前提，在歐洲需要發展與保障老人的繼續教育型態事宜。聯合國亦於1991年通過「聯合國老人綱領</w:t>
      </w:r>
      <w:r w:rsidR="007D562B" w:rsidRPr="00D41D30">
        <w:rPr>
          <w:rFonts w:hint="eastAsia"/>
          <w:color w:val="000000" w:themeColor="text1"/>
        </w:rPr>
        <w:t>（</w:t>
      </w:r>
      <w:r w:rsidR="007D562B" w:rsidRPr="00D41D30">
        <w:rPr>
          <w:color w:val="000000" w:themeColor="text1"/>
        </w:rPr>
        <w:t>United Nations Principles for Older Persons</w:t>
      </w:r>
      <w:r w:rsidR="007D562B" w:rsidRPr="00D41D30">
        <w:rPr>
          <w:rFonts w:hint="eastAsia"/>
          <w:color w:val="000000" w:themeColor="text1"/>
        </w:rPr>
        <w:t>）</w:t>
      </w:r>
      <w:r w:rsidRPr="00D41D30">
        <w:rPr>
          <w:rFonts w:hint="eastAsia"/>
          <w:color w:val="000000" w:themeColor="text1"/>
        </w:rPr>
        <w:t>」，1992年發表</w:t>
      </w:r>
      <w:r w:rsidR="002F679E" w:rsidRPr="00D41D30">
        <w:rPr>
          <w:rFonts w:hint="eastAsia"/>
          <w:color w:val="000000" w:themeColor="text1"/>
        </w:rPr>
        <w:t>「老年宣言」</w:t>
      </w:r>
      <w:r w:rsidR="000E2ACA" w:rsidRPr="00D41D30">
        <w:rPr>
          <w:rFonts w:hint="eastAsia"/>
          <w:color w:val="000000" w:themeColor="text1"/>
        </w:rPr>
        <w:t>（proclamation on ageing）</w:t>
      </w:r>
      <w:r w:rsidRPr="00D41D30">
        <w:rPr>
          <w:rFonts w:hint="eastAsia"/>
          <w:color w:val="000000" w:themeColor="text1"/>
        </w:rPr>
        <w:t>」。1996年國際老人會議重提「老人人權宣言」，可見國際上對老人問題的重視。因應這股高齡化的國際潮流，聯合國將1999年訂為「國際老人年」，希望各國同心協力共同創造一個「不分年齡、人人共享的社會」；在各項統合性計畫中，加強老人教育即為其七大重點工作之一。</w:t>
      </w:r>
      <w:r w:rsidR="00AC5A71" w:rsidRPr="00D41D30">
        <w:rPr>
          <w:rFonts w:hint="eastAsia"/>
          <w:color w:val="000000" w:themeColor="text1"/>
        </w:rPr>
        <w:t>是以，隨社會快速發展與變遷，無論是知識汰舊換新的速度日益加快，或者因應人口變遷之挑戰，終身學習能力為現代國民重要能力之一，為提供個人不同階段教育需求，則有終身教育體系之建構，對象包括全民，尤其成人教育部分，又近年更以高齡者教育之需求及型態日益增加。</w:t>
      </w:r>
      <w:bookmarkEnd w:id="1151"/>
      <w:bookmarkEnd w:id="1152"/>
      <w:bookmarkEnd w:id="1153"/>
      <w:bookmarkEnd w:id="1154"/>
      <w:bookmarkEnd w:id="1155"/>
    </w:p>
    <w:p w:rsidR="00BE47D8" w:rsidRPr="00D41D30" w:rsidRDefault="00BE47D8" w:rsidP="00BE47D8">
      <w:pPr>
        <w:pStyle w:val="3"/>
        <w:rPr>
          <w:rFonts w:hAnsi="標楷體"/>
          <w:color w:val="000000" w:themeColor="text1"/>
          <w:szCs w:val="32"/>
        </w:rPr>
      </w:pPr>
      <w:bookmarkStart w:id="1156" w:name="_Toc32392538"/>
      <w:bookmarkStart w:id="1157" w:name="_Toc32673729"/>
      <w:bookmarkStart w:id="1158" w:name="_Toc32846608"/>
      <w:bookmarkStart w:id="1159" w:name="_Toc32918524"/>
      <w:bookmarkStart w:id="1160" w:name="_Toc33011811"/>
      <w:r w:rsidRPr="00D41D30">
        <w:rPr>
          <w:rFonts w:hAnsi="標楷體" w:hint="eastAsia"/>
          <w:color w:val="000000" w:themeColor="text1"/>
          <w:szCs w:val="32"/>
        </w:rPr>
        <w:t>經查</w:t>
      </w:r>
      <w:r w:rsidRPr="00D41D30">
        <w:rPr>
          <w:rFonts w:hAnsi="標楷體"/>
          <w:color w:val="000000" w:themeColor="text1"/>
          <w:szCs w:val="32"/>
        </w:rPr>
        <w:t>人口快速老化是世界各國人口結構變遷普遍的現象，惟各國從「高齡化社會」</w:t>
      </w:r>
      <w:r w:rsidRPr="00D41D30">
        <w:rPr>
          <w:rFonts w:hAnsi="標楷體" w:hint="eastAsia"/>
          <w:color w:val="000000" w:themeColor="text1"/>
          <w:szCs w:val="32"/>
        </w:rPr>
        <w:t>發展為</w:t>
      </w:r>
      <w:r w:rsidRPr="00D41D30">
        <w:rPr>
          <w:rFonts w:hAnsi="標楷體"/>
          <w:color w:val="000000" w:themeColor="text1"/>
          <w:szCs w:val="32"/>
        </w:rPr>
        <w:t>「高齡社會」之速度各有差異，如法國</w:t>
      </w:r>
      <w:r w:rsidRPr="00D41D30">
        <w:rPr>
          <w:rFonts w:hAnsi="標楷體" w:hint="eastAsia"/>
          <w:color w:val="000000" w:themeColor="text1"/>
          <w:szCs w:val="32"/>
        </w:rPr>
        <w:t>歷經127</w:t>
      </w:r>
      <w:r w:rsidRPr="00D41D30">
        <w:rPr>
          <w:rFonts w:hAnsi="標楷體"/>
          <w:color w:val="000000" w:themeColor="text1"/>
          <w:szCs w:val="32"/>
        </w:rPr>
        <w:t>年、瑞典</w:t>
      </w:r>
      <w:r w:rsidRPr="00D41D30">
        <w:rPr>
          <w:rFonts w:hAnsi="標楷體" w:hint="eastAsia"/>
          <w:color w:val="000000" w:themeColor="text1"/>
          <w:szCs w:val="32"/>
        </w:rPr>
        <w:t>85</w:t>
      </w:r>
      <w:r w:rsidRPr="00D41D30">
        <w:rPr>
          <w:rFonts w:hAnsi="標楷體"/>
          <w:color w:val="000000" w:themeColor="text1"/>
          <w:szCs w:val="32"/>
        </w:rPr>
        <w:t>年、美國71年、英國</w:t>
      </w:r>
      <w:r w:rsidRPr="00D41D30">
        <w:rPr>
          <w:rFonts w:hAnsi="標楷體" w:hint="eastAsia"/>
          <w:color w:val="000000" w:themeColor="text1"/>
          <w:szCs w:val="32"/>
        </w:rPr>
        <w:t>47</w:t>
      </w:r>
      <w:r w:rsidRPr="00D41D30">
        <w:rPr>
          <w:rFonts w:hAnsi="標楷體"/>
          <w:color w:val="000000" w:themeColor="text1"/>
          <w:szCs w:val="32"/>
        </w:rPr>
        <w:t>年、德國</w:t>
      </w:r>
      <w:r w:rsidRPr="00D41D30">
        <w:rPr>
          <w:rFonts w:hAnsi="標楷體" w:hint="eastAsia"/>
          <w:color w:val="000000" w:themeColor="text1"/>
          <w:szCs w:val="32"/>
        </w:rPr>
        <w:t>40</w:t>
      </w:r>
      <w:r w:rsidRPr="00D41D30">
        <w:rPr>
          <w:rFonts w:hAnsi="標楷體"/>
          <w:color w:val="000000" w:themeColor="text1"/>
          <w:szCs w:val="32"/>
        </w:rPr>
        <w:t>年，但我</w:t>
      </w:r>
      <w:r w:rsidRPr="00D41D30">
        <w:rPr>
          <w:rFonts w:hAnsi="標楷體"/>
          <w:color w:val="000000" w:themeColor="text1"/>
          <w:szCs w:val="32"/>
        </w:rPr>
        <w:lastRenderedPageBreak/>
        <w:t>國</w:t>
      </w:r>
      <w:r w:rsidRPr="00D41D30">
        <w:rPr>
          <w:rFonts w:hAnsi="標楷體" w:hint="eastAsia"/>
          <w:color w:val="000000" w:themeColor="text1"/>
          <w:szCs w:val="32"/>
        </w:rPr>
        <w:t>僅需</w:t>
      </w:r>
      <w:r w:rsidRPr="00D41D30">
        <w:rPr>
          <w:rFonts w:hAnsi="標楷體"/>
          <w:color w:val="000000" w:themeColor="text1"/>
          <w:szCs w:val="32"/>
        </w:rPr>
        <w:t>25年，與日本</w:t>
      </w:r>
      <w:r w:rsidRPr="00D41D30">
        <w:rPr>
          <w:rFonts w:hAnsi="標楷體" w:hint="eastAsia"/>
          <w:color w:val="000000" w:themeColor="text1"/>
          <w:szCs w:val="32"/>
        </w:rPr>
        <w:t>（24年）</w:t>
      </w:r>
      <w:r w:rsidRPr="00D41D30">
        <w:rPr>
          <w:rFonts w:hAnsi="標楷體"/>
          <w:color w:val="000000" w:themeColor="text1"/>
          <w:szCs w:val="32"/>
        </w:rPr>
        <w:t>相仿</w:t>
      </w:r>
      <w:r w:rsidRPr="00D41D30">
        <w:rPr>
          <w:rFonts w:hAnsi="標楷體" w:hint="eastAsia"/>
          <w:color w:val="000000" w:themeColor="text1"/>
          <w:szCs w:val="32"/>
        </w:rPr>
        <w:t>。</w:t>
      </w:r>
      <w:r w:rsidRPr="00D41D30">
        <w:rPr>
          <w:rFonts w:hAnsi="標楷體"/>
          <w:color w:val="000000" w:themeColor="text1"/>
          <w:szCs w:val="32"/>
        </w:rPr>
        <w:t>而從</w:t>
      </w:r>
      <w:r w:rsidRPr="00D41D30">
        <w:rPr>
          <w:rFonts w:hAnsi="標楷體" w:hint="eastAsia"/>
          <w:color w:val="000000" w:themeColor="text1"/>
          <w:szCs w:val="32"/>
        </w:rPr>
        <w:t>「</w:t>
      </w:r>
      <w:r w:rsidRPr="00D41D30">
        <w:rPr>
          <w:rFonts w:hAnsi="標楷體"/>
          <w:color w:val="000000" w:themeColor="text1"/>
          <w:szCs w:val="32"/>
        </w:rPr>
        <w:t>高齡社會</w:t>
      </w:r>
      <w:r w:rsidRPr="00D41D30">
        <w:rPr>
          <w:rFonts w:hAnsi="標楷體" w:hint="eastAsia"/>
          <w:color w:val="000000" w:themeColor="text1"/>
          <w:szCs w:val="32"/>
        </w:rPr>
        <w:t>」至「</w:t>
      </w:r>
      <w:r w:rsidRPr="00D41D30">
        <w:rPr>
          <w:rFonts w:hAnsi="標楷體"/>
          <w:color w:val="000000" w:themeColor="text1"/>
          <w:szCs w:val="32"/>
        </w:rPr>
        <w:t>超高齡社會</w:t>
      </w:r>
      <w:r w:rsidRPr="00D41D30">
        <w:rPr>
          <w:rFonts w:hAnsi="標楷體" w:hint="eastAsia"/>
          <w:color w:val="000000" w:themeColor="text1"/>
          <w:szCs w:val="32"/>
        </w:rPr>
        <w:t>」之速度</w:t>
      </w:r>
      <w:r w:rsidRPr="00D41D30">
        <w:rPr>
          <w:rFonts w:hAnsi="標楷體"/>
          <w:color w:val="000000" w:themeColor="text1"/>
          <w:szCs w:val="32"/>
        </w:rPr>
        <w:t>，日</w:t>
      </w:r>
      <w:r w:rsidRPr="00D41D30">
        <w:rPr>
          <w:rFonts w:hAnsi="標楷體" w:hint="eastAsia"/>
          <w:color w:val="000000" w:themeColor="text1"/>
          <w:szCs w:val="32"/>
        </w:rPr>
        <w:t>本</w:t>
      </w:r>
      <w:r w:rsidRPr="00D41D30">
        <w:rPr>
          <w:rFonts w:hAnsi="標楷體"/>
          <w:color w:val="000000" w:themeColor="text1"/>
          <w:szCs w:val="32"/>
        </w:rPr>
        <w:t>、德</w:t>
      </w:r>
      <w:r w:rsidRPr="00D41D30">
        <w:rPr>
          <w:rFonts w:hAnsi="標楷體" w:hint="eastAsia"/>
          <w:color w:val="000000" w:themeColor="text1"/>
          <w:szCs w:val="32"/>
        </w:rPr>
        <w:t>國</w:t>
      </w:r>
      <w:r w:rsidRPr="00D41D30">
        <w:rPr>
          <w:rFonts w:hAnsi="標楷體"/>
          <w:color w:val="000000" w:themeColor="text1"/>
          <w:szCs w:val="32"/>
        </w:rPr>
        <w:t>、義</w:t>
      </w:r>
      <w:r w:rsidRPr="00D41D30">
        <w:rPr>
          <w:rFonts w:hAnsi="標楷體" w:hint="eastAsia"/>
          <w:color w:val="000000" w:themeColor="text1"/>
          <w:szCs w:val="32"/>
        </w:rPr>
        <w:t>大利</w:t>
      </w:r>
      <w:r w:rsidRPr="00D41D30">
        <w:rPr>
          <w:rFonts w:hAnsi="標楷體"/>
          <w:color w:val="000000" w:themeColor="text1"/>
          <w:szCs w:val="32"/>
        </w:rPr>
        <w:t>分別需時11年、36年及19年，我國約8年，顯示我國人口高齡化的歷程將愈來愈快，人口老化的速度較歐美各國快</w:t>
      </w:r>
      <w:r w:rsidRPr="00D41D30">
        <w:rPr>
          <w:rFonts w:hAnsi="標楷體" w:hint="eastAsia"/>
          <w:color w:val="000000" w:themeColor="text1"/>
          <w:szCs w:val="32"/>
        </w:rPr>
        <w:t>。</w:t>
      </w:r>
    </w:p>
    <w:p w:rsidR="00BE47D8" w:rsidRPr="00D41D30" w:rsidRDefault="00BE47D8" w:rsidP="00BE47D8">
      <w:pPr>
        <w:pStyle w:val="a4"/>
        <w:ind w:left="697" w:hanging="697"/>
        <w:rPr>
          <w:b/>
          <w:color w:val="000000" w:themeColor="text1"/>
        </w:rPr>
      </w:pPr>
      <w:r w:rsidRPr="00D41D30">
        <w:rPr>
          <w:rFonts w:hint="eastAsia"/>
          <w:b/>
          <w:color w:val="000000" w:themeColor="text1"/>
        </w:rPr>
        <w:t>各國人口</w:t>
      </w:r>
      <w:r w:rsidRPr="00D41D30">
        <w:rPr>
          <w:rFonts w:hAnsi="標楷體" w:hint="eastAsia"/>
          <w:b/>
          <w:color w:val="000000" w:themeColor="text1"/>
        </w:rPr>
        <w:t>成長</w:t>
      </w:r>
      <w:r w:rsidRPr="00D41D30">
        <w:rPr>
          <w:rFonts w:hint="eastAsia"/>
          <w:b/>
          <w:color w:val="000000" w:themeColor="text1"/>
        </w:rPr>
        <w:t>推估</w:t>
      </w:r>
    </w:p>
    <w:tbl>
      <w:tblPr>
        <w:tblW w:w="5175" w:type="pct"/>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82"/>
        <w:gridCol w:w="1796"/>
        <w:gridCol w:w="1520"/>
        <w:gridCol w:w="1799"/>
        <w:gridCol w:w="1247"/>
        <w:gridCol w:w="1399"/>
      </w:tblGrid>
      <w:tr w:rsidR="00BE47D8" w:rsidRPr="00D41D30" w:rsidTr="00BE47D8">
        <w:trPr>
          <w:trHeight w:val="569"/>
          <w:tblHeader/>
        </w:trPr>
        <w:tc>
          <w:tcPr>
            <w:tcW w:w="756" w:type="pct"/>
            <w:vMerge w:val="restart"/>
            <w:tcBorders>
              <w:top w:val="single" w:sz="12" w:space="0" w:color="000000"/>
              <w:right w:val="single" w:sz="4" w:space="0" w:color="auto"/>
            </w:tcBorders>
            <w:shd w:val="clear" w:color="auto" w:fill="auto"/>
            <w:vAlign w:val="center"/>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國別</w:t>
            </w:r>
          </w:p>
        </w:tc>
        <w:tc>
          <w:tcPr>
            <w:tcW w:w="2796" w:type="pct"/>
            <w:gridSpan w:val="3"/>
            <w:tcBorders>
              <w:top w:val="single" w:sz="12" w:space="0" w:color="000000"/>
              <w:left w:val="single" w:sz="4" w:space="0" w:color="auto"/>
              <w:bottom w:val="single" w:sz="4" w:space="0" w:color="auto"/>
            </w:tcBorders>
            <w:shd w:val="clear" w:color="auto" w:fill="auto"/>
            <w:vAlign w:val="center"/>
          </w:tcPr>
          <w:p w:rsidR="00BE47D8" w:rsidRPr="00D41D30" w:rsidRDefault="00BE47D8" w:rsidP="00BE47D8">
            <w:pPr>
              <w:spacing w:line="300" w:lineRule="exact"/>
              <w:jc w:val="center"/>
              <w:rPr>
                <w:rFonts w:hAnsi="標楷體"/>
                <w:color w:val="000000" w:themeColor="text1"/>
                <w:sz w:val="28"/>
                <w:szCs w:val="28"/>
              </w:rPr>
            </w:pPr>
            <w:r w:rsidRPr="00D41D30">
              <w:rPr>
                <w:rFonts w:hAnsi="標楷體"/>
                <w:bCs/>
                <w:color w:val="000000" w:themeColor="text1"/>
                <w:sz w:val="28"/>
                <w:szCs w:val="28"/>
              </w:rPr>
              <w:t>65歲以上人口占</w:t>
            </w:r>
            <w:r w:rsidRPr="00D41D30">
              <w:rPr>
                <w:rFonts w:hAnsi="標楷體" w:hint="eastAsia"/>
                <w:bCs/>
                <w:color w:val="000000" w:themeColor="text1"/>
                <w:sz w:val="28"/>
                <w:szCs w:val="28"/>
              </w:rPr>
              <w:t>總人口</w:t>
            </w:r>
            <w:r w:rsidRPr="00D41D30">
              <w:rPr>
                <w:rFonts w:hAnsi="標楷體"/>
                <w:bCs/>
                <w:color w:val="000000" w:themeColor="text1"/>
                <w:sz w:val="28"/>
                <w:szCs w:val="28"/>
              </w:rPr>
              <w:t>比率到達年度（年）</w:t>
            </w:r>
          </w:p>
        </w:tc>
        <w:tc>
          <w:tcPr>
            <w:tcW w:w="1448" w:type="pct"/>
            <w:gridSpan w:val="2"/>
            <w:tcBorders>
              <w:top w:val="single" w:sz="12" w:space="0" w:color="000000"/>
              <w:right w:val="single" w:sz="12" w:space="0" w:color="auto"/>
            </w:tcBorders>
            <w:shd w:val="clear" w:color="auto" w:fill="auto"/>
            <w:vAlign w:val="center"/>
          </w:tcPr>
          <w:p w:rsidR="00BE47D8" w:rsidRPr="00D41D30" w:rsidRDefault="00BE47D8" w:rsidP="00BE47D8">
            <w:pPr>
              <w:spacing w:line="300" w:lineRule="exact"/>
              <w:jc w:val="center"/>
              <w:rPr>
                <w:rFonts w:hAnsi="標楷體"/>
                <w:color w:val="000000" w:themeColor="text1"/>
                <w:sz w:val="28"/>
                <w:szCs w:val="28"/>
              </w:rPr>
            </w:pPr>
            <w:r w:rsidRPr="00D41D30">
              <w:rPr>
                <w:rFonts w:hAnsi="標楷體"/>
                <w:bCs/>
                <w:color w:val="000000" w:themeColor="text1"/>
                <w:sz w:val="28"/>
                <w:szCs w:val="28"/>
              </w:rPr>
              <w:t>轉變所需時間（年）</w:t>
            </w:r>
          </w:p>
        </w:tc>
      </w:tr>
      <w:tr w:rsidR="00BE47D8" w:rsidRPr="00D41D30" w:rsidTr="00BE47D8">
        <w:trPr>
          <w:trHeight w:val="340"/>
          <w:tblHeader/>
        </w:trPr>
        <w:tc>
          <w:tcPr>
            <w:tcW w:w="756" w:type="pct"/>
            <w:vMerge/>
            <w:tcBorders>
              <w:bottom w:val="single" w:sz="6" w:space="0" w:color="000000"/>
              <w:right w:val="single" w:sz="4" w:space="0" w:color="auto"/>
            </w:tcBorders>
            <w:shd w:val="clear" w:color="auto" w:fill="auto"/>
          </w:tcPr>
          <w:p w:rsidR="00BE47D8" w:rsidRPr="00D41D30" w:rsidRDefault="00BE47D8" w:rsidP="00BE47D8">
            <w:pPr>
              <w:spacing w:line="300" w:lineRule="exact"/>
              <w:rPr>
                <w:rFonts w:hAnsi="標楷體"/>
                <w:color w:val="000000" w:themeColor="text1"/>
                <w:sz w:val="28"/>
                <w:szCs w:val="28"/>
              </w:rPr>
            </w:pPr>
          </w:p>
        </w:tc>
        <w:tc>
          <w:tcPr>
            <w:tcW w:w="982" w:type="pct"/>
            <w:tcBorders>
              <w:left w:val="single" w:sz="4" w:space="0" w:color="auto"/>
              <w:bottom w:val="single" w:sz="6" w:space="0" w:color="000000"/>
            </w:tcBorders>
            <w:shd w:val="clear" w:color="auto" w:fill="auto"/>
          </w:tcPr>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高齡化社會</w:t>
            </w:r>
          </w:p>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（7%）</w:t>
            </w:r>
          </w:p>
        </w:tc>
        <w:tc>
          <w:tcPr>
            <w:tcW w:w="831" w:type="pct"/>
            <w:tcBorders>
              <w:bottom w:val="single" w:sz="6" w:space="0" w:color="000000"/>
            </w:tcBorders>
            <w:shd w:val="clear" w:color="auto" w:fill="auto"/>
          </w:tcPr>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高齡社會</w:t>
            </w:r>
          </w:p>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（14%）</w:t>
            </w:r>
          </w:p>
        </w:tc>
        <w:tc>
          <w:tcPr>
            <w:tcW w:w="984" w:type="pct"/>
            <w:tcBorders>
              <w:bottom w:val="single" w:sz="6" w:space="0" w:color="000000"/>
            </w:tcBorders>
            <w:shd w:val="clear" w:color="auto" w:fill="auto"/>
          </w:tcPr>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超高齡社會</w:t>
            </w:r>
          </w:p>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（20%）</w:t>
            </w:r>
          </w:p>
        </w:tc>
        <w:tc>
          <w:tcPr>
            <w:tcW w:w="682" w:type="pct"/>
            <w:tcBorders>
              <w:bottom w:val="single" w:sz="6" w:space="0" w:color="000000"/>
            </w:tcBorders>
            <w:shd w:val="clear" w:color="auto" w:fill="auto"/>
            <w:vAlign w:val="center"/>
          </w:tcPr>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7%→14%</w:t>
            </w:r>
          </w:p>
        </w:tc>
        <w:tc>
          <w:tcPr>
            <w:tcW w:w="766" w:type="pct"/>
            <w:tcBorders>
              <w:bottom w:val="single" w:sz="6" w:space="0" w:color="000000"/>
            </w:tcBorders>
            <w:shd w:val="clear" w:color="auto" w:fill="auto"/>
            <w:vAlign w:val="center"/>
          </w:tcPr>
          <w:p w:rsidR="00BE47D8" w:rsidRPr="00D41D30" w:rsidRDefault="00BE47D8" w:rsidP="00BE47D8">
            <w:pPr>
              <w:spacing w:line="300" w:lineRule="exact"/>
              <w:jc w:val="center"/>
              <w:rPr>
                <w:rFonts w:hAnsi="標楷體"/>
                <w:color w:val="000000" w:themeColor="text1"/>
                <w:sz w:val="28"/>
                <w:szCs w:val="28"/>
              </w:rPr>
            </w:pPr>
            <w:r w:rsidRPr="00D41D30">
              <w:rPr>
                <w:rFonts w:hAnsi="標楷體"/>
                <w:color w:val="000000" w:themeColor="text1"/>
                <w:sz w:val="28"/>
                <w:szCs w:val="28"/>
              </w:rPr>
              <w:t>14%→20%</w:t>
            </w:r>
          </w:p>
        </w:tc>
      </w:tr>
      <w:tr w:rsidR="00BE47D8" w:rsidRPr="00D41D30" w:rsidTr="00BE47D8">
        <w:trPr>
          <w:trHeight w:val="425"/>
        </w:trPr>
        <w:tc>
          <w:tcPr>
            <w:tcW w:w="756" w:type="pct"/>
            <w:tcBorders>
              <w:top w:val="single" w:sz="6" w:space="0" w:color="000000"/>
              <w:bottom w:val="single" w:sz="4" w:space="0" w:color="auto"/>
            </w:tcBorders>
            <w:shd w:val="clear" w:color="auto" w:fill="FDE9D9" w:themeFill="accent6" w:themeFillTint="33"/>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中華民國</w:t>
            </w:r>
          </w:p>
        </w:tc>
        <w:tc>
          <w:tcPr>
            <w:tcW w:w="982" w:type="pct"/>
            <w:tcBorders>
              <w:top w:val="single" w:sz="6" w:space="0" w:color="000000"/>
              <w:bottom w:val="single" w:sz="4" w:space="0" w:color="auto"/>
            </w:tcBorders>
            <w:shd w:val="clear" w:color="auto" w:fill="FDE9D9" w:themeFill="accent6" w:themeFillTint="33"/>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1993</w:t>
            </w:r>
          </w:p>
        </w:tc>
        <w:tc>
          <w:tcPr>
            <w:tcW w:w="831" w:type="pct"/>
            <w:tcBorders>
              <w:top w:val="single" w:sz="6" w:space="0" w:color="000000"/>
              <w:bottom w:val="single" w:sz="4" w:space="0" w:color="auto"/>
            </w:tcBorders>
            <w:shd w:val="clear" w:color="auto" w:fill="FDE9D9" w:themeFill="accent6" w:themeFillTint="33"/>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2018*</w:t>
            </w:r>
          </w:p>
        </w:tc>
        <w:tc>
          <w:tcPr>
            <w:tcW w:w="984" w:type="pct"/>
            <w:tcBorders>
              <w:top w:val="single" w:sz="6" w:space="0" w:color="000000"/>
              <w:bottom w:val="single" w:sz="4" w:space="0" w:color="auto"/>
            </w:tcBorders>
            <w:shd w:val="clear" w:color="auto" w:fill="FDE9D9" w:themeFill="accent6" w:themeFillTint="33"/>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2026*</w:t>
            </w:r>
          </w:p>
        </w:tc>
        <w:tc>
          <w:tcPr>
            <w:tcW w:w="682" w:type="pct"/>
            <w:tcBorders>
              <w:top w:val="single" w:sz="6" w:space="0" w:color="000000"/>
              <w:bottom w:val="single" w:sz="4" w:space="0" w:color="auto"/>
            </w:tcBorders>
            <w:shd w:val="clear" w:color="auto" w:fill="FDE9D9" w:themeFill="accent6" w:themeFillTint="33"/>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25*</w:t>
            </w:r>
          </w:p>
        </w:tc>
        <w:tc>
          <w:tcPr>
            <w:tcW w:w="766" w:type="pct"/>
            <w:tcBorders>
              <w:top w:val="single" w:sz="6" w:space="0" w:color="000000"/>
              <w:bottom w:val="single" w:sz="4" w:space="0" w:color="auto"/>
            </w:tcBorders>
            <w:shd w:val="clear" w:color="auto" w:fill="FDE9D9" w:themeFill="accent6" w:themeFillTint="33"/>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8*</w:t>
            </w:r>
          </w:p>
        </w:tc>
      </w:tr>
      <w:tr w:rsidR="00BE47D8" w:rsidRPr="00D41D30" w:rsidTr="00BE47D8">
        <w:trPr>
          <w:trHeight w:val="425"/>
        </w:trPr>
        <w:tc>
          <w:tcPr>
            <w:tcW w:w="756" w:type="pct"/>
            <w:tcBorders>
              <w:top w:val="single" w:sz="4" w:space="0" w:color="auto"/>
            </w:tcBorders>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日本</w:t>
            </w:r>
          </w:p>
        </w:tc>
        <w:tc>
          <w:tcPr>
            <w:tcW w:w="982" w:type="pct"/>
            <w:tcBorders>
              <w:top w:val="single" w:sz="4" w:space="0" w:color="auto"/>
            </w:tcBorders>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1970</w:t>
            </w:r>
          </w:p>
        </w:tc>
        <w:tc>
          <w:tcPr>
            <w:tcW w:w="831" w:type="pct"/>
            <w:tcBorders>
              <w:top w:val="single" w:sz="4" w:space="0" w:color="auto"/>
            </w:tcBorders>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1994</w:t>
            </w:r>
          </w:p>
        </w:tc>
        <w:tc>
          <w:tcPr>
            <w:tcW w:w="984" w:type="pct"/>
            <w:tcBorders>
              <w:top w:val="single" w:sz="4" w:space="0" w:color="auto"/>
            </w:tcBorders>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2005</w:t>
            </w:r>
          </w:p>
        </w:tc>
        <w:tc>
          <w:tcPr>
            <w:tcW w:w="682" w:type="pct"/>
            <w:tcBorders>
              <w:top w:val="single" w:sz="4" w:space="0" w:color="auto"/>
            </w:tcBorders>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24</w:t>
            </w:r>
          </w:p>
        </w:tc>
        <w:tc>
          <w:tcPr>
            <w:tcW w:w="766" w:type="pct"/>
            <w:tcBorders>
              <w:top w:val="single" w:sz="4" w:space="0" w:color="auto"/>
            </w:tcBorders>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11</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韓國</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1999</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2018*</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5</w:t>
            </w:r>
            <w:r w:rsidRPr="00D41D30">
              <w:rPr>
                <w:rFonts w:hAnsi="標楷體"/>
                <w:bCs/>
                <w:color w:val="000000" w:themeColor="text1"/>
                <w:sz w:val="28"/>
                <w:szCs w:val="28"/>
              </w:rPr>
              <w:t>*</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新加坡</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1999</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2019*</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2026*</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7*</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香港</w:t>
            </w:r>
            <w:r w:rsidRPr="00D41D30">
              <w:rPr>
                <w:rFonts w:hAnsi="標楷體" w:hint="eastAsia"/>
                <w:bCs/>
                <w:color w:val="000000" w:themeColor="text1"/>
                <w:sz w:val="28"/>
                <w:szCs w:val="28"/>
                <w:vertAlign w:val="superscript"/>
              </w:rPr>
              <w:t>2</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1984</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2013</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2023*</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29</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10*</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美國</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1942</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2013</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2028*</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71</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15*</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加拿大</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1945</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2010</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2024*</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65</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14*</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英國</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1929</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1976</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2027*</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47</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51*</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德國</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1932</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1972</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2008</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40</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36</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法國</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1864</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1991</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2020*</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127</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29*</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挪威</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1885</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1977</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203</w:t>
            </w:r>
            <w:r w:rsidRPr="00D41D30">
              <w:rPr>
                <w:rFonts w:hAnsi="標楷體" w:hint="eastAsia"/>
                <w:bCs/>
                <w:color w:val="000000" w:themeColor="text1"/>
                <w:sz w:val="28"/>
                <w:szCs w:val="28"/>
              </w:rPr>
              <w:t>0</w:t>
            </w:r>
            <w:r w:rsidRPr="00D41D30">
              <w:rPr>
                <w:rFonts w:hAnsi="標楷體"/>
                <w:bCs/>
                <w:color w:val="000000" w:themeColor="text1"/>
                <w:sz w:val="28"/>
                <w:szCs w:val="28"/>
              </w:rPr>
              <w:t>*</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92</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5</w:t>
            </w:r>
            <w:r w:rsidRPr="00D41D30">
              <w:rPr>
                <w:rFonts w:hAnsi="標楷體" w:hint="eastAsia"/>
                <w:bCs/>
                <w:color w:val="000000" w:themeColor="text1"/>
                <w:sz w:val="28"/>
                <w:szCs w:val="28"/>
              </w:rPr>
              <w:t>3</w:t>
            </w:r>
            <w:r w:rsidRPr="00D41D30">
              <w:rPr>
                <w:rFonts w:hAnsi="標楷體"/>
                <w:bCs/>
                <w:color w:val="000000" w:themeColor="text1"/>
                <w:sz w:val="28"/>
                <w:szCs w:val="28"/>
              </w:rPr>
              <w:t>*</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瑞典</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1887</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1972</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w:t>
            </w:r>
            <w:r w:rsidRPr="00D41D30">
              <w:rPr>
                <w:rFonts w:hAnsi="標楷體" w:hint="eastAsia"/>
                <w:bCs/>
                <w:color w:val="000000" w:themeColor="text1"/>
                <w:sz w:val="28"/>
                <w:szCs w:val="28"/>
              </w:rPr>
              <w:t>9</w:t>
            </w:r>
            <w:r w:rsidRPr="00D41D30">
              <w:rPr>
                <w:rFonts w:hAnsi="標楷體"/>
                <w:bCs/>
                <w:color w:val="000000" w:themeColor="text1"/>
                <w:sz w:val="28"/>
                <w:szCs w:val="28"/>
              </w:rPr>
              <w:t>*</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85</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4</w:t>
            </w: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荷蘭</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1940</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2005</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2</w:t>
            </w:r>
            <w:r w:rsidRPr="00D41D30">
              <w:rPr>
                <w:rFonts w:hAnsi="標楷體"/>
                <w:bCs/>
                <w:color w:val="000000" w:themeColor="text1"/>
                <w:sz w:val="28"/>
                <w:szCs w:val="28"/>
              </w:rPr>
              <w:t>*</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65</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w:t>
            </w: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瑞士</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1931</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1985</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2025*</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54</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40*</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奧地利</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1929</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1970</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4</w:t>
            </w:r>
            <w:r w:rsidRPr="00D41D30">
              <w:rPr>
                <w:rFonts w:hAnsi="標楷體"/>
                <w:bCs/>
                <w:color w:val="000000" w:themeColor="text1"/>
                <w:sz w:val="28"/>
                <w:szCs w:val="28"/>
              </w:rPr>
              <w:t>*</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41</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5</w:t>
            </w:r>
            <w:r w:rsidRPr="00D41D30">
              <w:rPr>
                <w:rFonts w:hAnsi="標楷體" w:hint="eastAsia"/>
                <w:bCs/>
                <w:color w:val="000000" w:themeColor="text1"/>
                <w:sz w:val="28"/>
                <w:szCs w:val="28"/>
              </w:rPr>
              <w:t>4</w:t>
            </w:r>
            <w:r w:rsidRPr="00D41D30">
              <w:rPr>
                <w:rFonts w:hAnsi="標楷體"/>
                <w:bCs/>
                <w:color w:val="000000" w:themeColor="text1"/>
                <w:sz w:val="28"/>
                <w:szCs w:val="28"/>
              </w:rPr>
              <w:t>*</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義大利</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1927</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1988</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2007</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61</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西班牙</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1947</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1992</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0</w:t>
            </w:r>
            <w:r w:rsidRPr="00D41D30">
              <w:rPr>
                <w:rFonts w:hAnsi="標楷體"/>
                <w:bCs/>
                <w:color w:val="000000" w:themeColor="text1"/>
                <w:sz w:val="28"/>
                <w:szCs w:val="28"/>
              </w:rPr>
              <w:t>*</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45</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w:t>
            </w:r>
            <w:r w:rsidRPr="00D41D30">
              <w:rPr>
                <w:rFonts w:hAnsi="標楷體" w:hint="eastAsia"/>
                <w:bCs/>
                <w:color w:val="000000" w:themeColor="text1"/>
                <w:sz w:val="28"/>
                <w:szCs w:val="28"/>
              </w:rPr>
              <w:t>8</w:t>
            </w:r>
            <w:r w:rsidRPr="00D41D30">
              <w:rPr>
                <w:rFonts w:hAnsi="標楷體"/>
                <w:bCs/>
                <w:color w:val="000000" w:themeColor="text1"/>
                <w:sz w:val="28"/>
                <w:szCs w:val="28"/>
              </w:rPr>
              <w:t>*</w:t>
            </w:r>
          </w:p>
        </w:tc>
      </w:tr>
      <w:tr w:rsidR="00BE47D8" w:rsidRPr="00D41D30" w:rsidTr="00BE47D8">
        <w:trPr>
          <w:trHeight w:val="425"/>
        </w:trPr>
        <w:tc>
          <w:tcPr>
            <w:tcW w:w="756" w:type="pct"/>
            <w:shd w:val="clear" w:color="auto" w:fill="auto"/>
          </w:tcPr>
          <w:p w:rsidR="00BE47D8" w:rsidRPr="00D41D30" w:rsidRDefault="00BE47D8" w:rsidP="00BE47D8">
            <w:pPr>
              <w:spacing w:line="300" w:lineRule="exact"/>
              <w:rPr>
                <w:rFonts w:hAnsi="標楷體"/>
                <w:bCs/>
                <w:color w:val="000000" w:themeColor="text1"/>
                <w:sz w:val="28"/>
                <w:szCs w:val="28"/>
              </w:rPr>
            </w:pPr>
            <w:r w:rsidRPr="00D41D30">
              <w:rPr>
                <w:rFonts w:hAnsi="標楷體"/>
                <w:bCs/>
                <w:color w:val="000000" w:themeColor="text1"/>
                <w:sz w:val="28"/>
                <w:szCs w:val="28"/>
              </w:rPr>
              <w:t>澳洲</w:t>
            </w:r>
          </w:p>
        </w:tc>
        <w:tc>
          <w:tcPr>
            <w:tcW w:w="9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1939</w:t>
            </w:r>
          </w:p>
        </w:tc>
        <w:tc>
          <w:tcPr>
            <w:tcW w:w="831"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2011</w:t>
            </w:r>
          </w:p>
        </w:tc>
        <w:tc>
          <w:tcPr>
            <w:tcW w:w="984"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2034*</w:t>
            </w:r>
          </w:p>
        </w:tc>
        <w:tc>
          <w:tcPr>
            <w:tcW w:w="682"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72</w:t>
            </w:r>
          </w:p>
        </w:tc>
        <w:tc>
          <w:tcPr>
            <w:tcW w:w="766" w:type="pct"/>
            <w:shd w:val="clear" w:color="auto" w:fill="auto"/>
          </w:tcPr>
          <w:p w:rsidR="00BE47D8" w:rsidRPr="00D41D30" w:rsidRDefault="00BE47D8" w:rsidP="00BE47D8">
            <w:pPr>
              <w:spacing w:line="300" w:lineRule="exact"/>
              <w:jc w:val="center"/>
              <w:rPr>
                <w:rFonts w:hAnsi="標楷體"/>
                <w:bCs/>
                <w:color w:val="000000" w:themeColor="text1"/>
                <w:sz w:val="28"/>
                <w:szCs w:val="28"/>
              </w:rPr>
            </w:pPr>
            <w:r w:rsidRPr="00D41D30">
              <w:rPr>
                <w:rFonts w:hAnsi="標楷體"/>
                <w:bCs/>
                <w:color w:val="000000" w:themeColor="text1"/>
                <w:sz w:val="28"/>
                <w:szCs w:val="28"/>
              </w:rPr>
              <w:t>22*</w:t>
            </w:r>
          </w:p>
        </w:tc>
      </w:tr>
    </w:tbl>
    <w:p w:rsidR="00BE47D8" w:rsidRPr="00D41D30" w:rsidRDefault="00BE47D8" w:rsidP="00BE47D8">
      <w:pPr>
        <w:widowControl/>
        <w:tabs>
          <w:tab w:val="num" w:pos="1985"/>
        </w:tabs>
        <w:snapToGrid w:val="0"/>
        <w:ind w:left="520" w:hangingChars="200" w:hanging="520"/>
        <w:contextualSpacing/>
        <w:rPr>
          <w:rFonts w:hAnsi="標楷體"/>
          <w:color w:val="000000" w:themeColor="text1"/>
          <w:kern w:val="0"/>
          <w:sz w:val="24"/>
          <w:szCs w:val="24"/>
        </w:rPr>
      </w:pPr>
      <w:r w:rsidRPr="00D41D30">
        <w:rPr>
          <w:rFonts w:hAnsi="標楷體"/>
          <w:color w:val="000000" w:themeColor="text1"/>
          <w:kern w:val="0"/>
          <w:sz w:val="24"/>
          <w:szCs w:val="24"/>
        </w:rPr>
        <w:t>註</w:t>
      </w:r>
      <w:r w:rsidRPr="00D41D30">
        <w:rPr>
          <w:rFonts w:hAnsi="標楷體" w:hint="eastAsia"/>
          <w:color w:val="000000" w:themeColor="text1"/>
          <w:kern w:val="0"/>
          <w:sz w:val="24"/>
          <w:szCs w:val="24"/>
        </w:rPr>
        <w:t>1</w:t>
      </w:r>
      <w:r w:rsidRPr="00D41D30">
        <w:rPr>
          <w:rFonts w:hAnsi="標楷體"/>
          <w:color w:val="000000" w:themeColor="text1"/>
          <w:kern w:val="0"/>
          <w:sz w:val="24"/>
          <w:szCs w:val="24"/>
        </w:rPr>
        <w:t>：*表示中推估結果，其他無*表示為實際值。</w:t>
      </w:r>
    </w:p>
    <w:p w:rsidR="00BE47D8" w:rsidRPr="00D41D30" w:rsidRDefault="00BE47D8" w:rsidP="00BE47D8">
      <w:pPr>
        <w:widowControl/>
        <w:tabs>
          <w:tab w:val="num" w:pos="1985"/>
        </w:tabs>
        <w:snapToGrid w:val="0"/>
        <w:ind w:left="260" w:hangingChars="100" w:hanging="260"/>
        <w:contextualSpacing/>
        <w:rPr>
          <w:rFonts w:hAnsi="標楷體"/>
          <w:color w:val="000000" w:themeColor="text1"/>
          <w:kern w:val="0"/>
          <w:sz w:val="24"/>
          <w:szCs w:val="24"/>
        </w:rPr>
      </w:pPr>
      <w:r w:rsidRPr="00D41D30">
        <w:rPr>
          <w:rFonts w:hAnsi="標楷體" w:hint="eastAsia"/>
          <w:color w:val="000000" w:themeColor="text1"/>
          <w:kern w:val="0"/>
          <w:sz w:val="24"/>
          <w:szCs w:val="24"/>
        </w:rPr>
        <w:t>註</w:t>
      </w:r>
      <w:r w:rsidRPr="00D41D30">
        <w:rPr>
          <w:rFonts w:hAnsi="標楷體"/>
          <w:color w:val="000000" w:themeColor="text1"/>
          <w:kern w:val="0"/>
          <w:sz w:val="24"/>
          <w:szCs w:val="24"/>
        </w:rPr>
        <w:t>2</w:t>
      </w:r>
      <w:r w:rsidRPr="00D41D30">
        <w:rPr>
          <w:rFonts w:hAnsi="標楷體" w:hint="eastAsia"/>
          <w:color w:val="000000" w:themeColor="text1"/>
          <w:kern w:val="0"/>
          <w:sz w:val="24"/>
          <w:szCs w:val="24"/>
        </w:rPr>
        <w:t>：</w:t>
      </w:r>
      <w:r w:rsidRPr="00D41D30">
        <w:rPr>
          <w:rFonts w:hAnsi="標楷體"/>
          <w:color w:val="000000" w:themeColor="text1"/>
          <w:kern w:val="0"/>
          <w:sz w:val="24"/>
          <w:szCs w:val="24"/>
        </w:rPr>
        <w:t>特別行政區</w:t>
      </w:r>
    </w:p>
    <w:p w:rsidR="00BE47D8" w:rsidRPr="00D41D30" w:rsidRDefault="00BE47D8" w:rsidP="00BE47D8">
      <w:pPr>
        <w:widowControl/>
        <w:tabs>
          <w:tab w:val="num" w:pos="1985"/>
        </w:tabs>
        <w:snapToGrid w:val="0"/>
        <w:contextualSpacing/>
        <w:rPr>
          <w:rFonts w:hAnsi="標楷體"/>
          <w:color w:val="000000" w:themeColor="text1"/>
          <w:sz w:val="24"/>
          <w:szCs w:val="24"/>
        </w:rPr>
      </w:pPr>
      <w:r w:rsidRPr="00D41D30">
        <w:rPr>
          <w:rFonts w:hAnsi="標楷體"/>
          <w:color w:val="000000" w:themeColor="text1"/>
          <w:kern w:val="0"/>
          <w:sz w:val="24"/>
          <w:szCs w:val="24"/>
        </w:rPr>
        <w:t>資料來源：</w:t>
      </w:r>
      <w:r w:rsidRPr="00D41D30">
        <w:rPr>
          <w:rFonts w:hAnsi="標楷體" w:hint="eastAsia"/>
          <w:color w:val="000000" w:themeColor="text1"/>
          <w:sz w:val="24"/>
          <w:szCs w:val="24"/>
        </w:rPr>
        <w:t>國家發展委員會。2018。中華民國人口推估（2018至2065年）</w:t>
      </w:r>
    </w:p>
    <w:p w:rsidR="001941F1" w:rsidRPr="00D41D30" w:rsidRDefault="00BE47D8" w:rsidP="002532DE">
      <w:pPr>
        <w:pStyle w:val="3"/>
        <w:spacing w:beforeLines="50" w:before="228"/>
        <w:ind w:left="1360" w:hanging="680"/>
        <w:rPr>
          <w:color w:val="000000" w:themeColor="text1"/>
        </w:rPr>
      </w:pPr>
      <w:r w:rsidRPr="00D41D30">
        <w:rPr>
          <w:rFonts w:hint="eastAsia"/>
          <w:color w:val="000000" w:themeColor="text1"/>
        </w:rPr>
        <w:lastRenderedPageBreak/>
        <w:t>經查，我國38年老年人口比率為2.50%，82年時超過總人口7%以上，正式進入人口老化國家，至97年已達10.43%</w:t>
      </w:r>
      <w:r w:rsidRPr="00D41D30">
        <w:rPr>
          <w:rStyle w:val="aff0"/>
          <w:color w:val="000000" w:themeColor="text1"/>
        </w:rPr>
        <w:footnoteReference w:id="15"/>
      </w:r>
      <w:r w:rsidRPr="00D41D30">
        <w:rPr>
          <w:rFonts w:hint="eastAsia"/>
          <w:color w:val="000000" w:themeColor="text1"/>
        </w:rPr>
        <w:t>；且</w:t>
      </w:r>
      <w:r w:rsidRPr="00D41D30">
        <w:rPr>
          <w:rFonts w:hAnsi="標楷體" w:hint="eastAsia"/>
          <w:color w:val="000000" w:themeColor="text1"/>
          <w:szCs w:val="32"/>
        </w:rPr>
        <w:t>我國</w:t>
      </w:r>
      <w:r w:rsidRPr="00D41D30">
        <w:rPr>
          <w:rFonts w:hAnsi="標楷體" w:hint="eastAsia"/>
          <w:color w:val="000000" w:themeColor="text1"/>
          <w:spacing w:val="6"/>
          <w:szCs w:val="32"/>
        </w:rPr>
        <w:t>從進入高齡化國家至邁入</w:t>
      </w:r>
      <w:r w:rsidRPr="00D41D30">
        <w:rPr>
          <w:rFonts w:hAnsi="新細明體" w:hint="eastAsia"/>
          <w:color w:val="000000" w:themeColor="text1"/>
          <w:szCs w:val="32"/>
        </w:rPr>
        <w:t>高齡</w:t>
      </w:r>
      <w:r w:rsidRPr="00D41D30">
        <w:rPr>
          <w:rFonts w:hAnsi="標楷體" w:hint="eastAsia"/>
          <w:color w:val="000000" w:themeColor="text1"/>
          <w:spacing w:val="6"/>
          <w:szCs w:val="32"/>
        </w:rPr>
        <w:t>社會約24年</w:t>
      </w:r>
      <w:r w:rsidRPr="00D41D30">
        <w:rPr>
          <w:rFonts w:hint="eastAsia"/>
          <w:color w:val="000000" w:themeColor="text1"/>
        </w:rPr>
        <w:t>左右</w:t>
      </w:r>
      <w:r w:rsidRPr="00D41D30">
        <w:rPr>
          <w:rFonts w:hAnsi="標楷體" w:hint="eastAsia"/>
          <w:color w:val="000000" w:themeColor="text1"/>
          <w:spacing w:val="6"/>
          <w:szCs w:val="32"/>
        </w:rPr>
        <w:t>；歐美先進國家約為50~100年，故我國</w:t>
      </w:r>
      <w:r w:rsidRPr="00D41D30">
        <w:rPr>
          <w:rFonts w:hint="eastAsia"/>
          <w:color w:val="000000" w:themeColor="text1"/>
          <w:szCs w:val="32"/>
        </w:rPr>
        <w:t>因應</w:t>
      </w:r>
      <w:r w:rsidRPr="00D41D30">
        <w:rPr>
          <w:rFonts w:hAnsi="標楷體" w:hint="eastAsia"/>
          <w:color w:val="000000" w:themeColor="text1"/>
          <w:spacing w:val="6"/>
          <w:szCs w:val="32"/>
        </w:rPr>
        <w:t>人口</w:t>
      </w:r>
      <w:r w:rsidRPr="00D41D30">
        <w:rPr>
          <w:rFonts w:hint="eastAsia"/>
          <w:color w:val="000000" w:themeColor="text1"/>
        </w:rPr>
        <w:t>老化</w:t>
      </w:r>
      <w:r w:rsidRPr="00D41D30">
        <w:rPr>
          <w:rFonts w:hAnsi="標楷體" w:hint="eastAsia"/>
          <w:color w:val="000000" w:themeColor="text1"/>
          <w:spacing w:val="6"/>
          <w:szCs w:val="32"/>
        </w:rPr>
        <w:t>預作準備的</w:t>
      </w:r>
      <w:r w:rsidRPr="00D41D30">
        <w:rPr>
          <w:rFonts w:hAnsi="標楷體" w:hint="eastAsia"/>
          <w:color w:val="000000" w:themeColor="text1"/>
          <w:szCs w:val="32"/>
        </w:rPr>
        <w:t>時間較短</w:t>
      </w:r>
      <w:r w:rsidRPr="00D41D30">
        <w:rPr>
          <w:rStyle w:val="aff0"/>
          <w:rFonts w:hAnsi="標楷體"/>
          <w:bCs w:val="0"/>
          <w:color w:val="000000" w:themeColor="text1"/>
          <w:szCs w:val="32"/>
        </w:rPr>
        <w:footnoteReference w:id="16"/>
      </w:r>
      <w:r w:rsidRPr="00D41D30">
        <w:rPr>
          <w:rFonts w:hint="eastAsia"/>
          <w:color w:val="000000" w:themeColor="text1"/>
        </w:rPr>
        <w:t>。此外，依據國家發展委員會之最新推估</w:t>
      </w:r>
      <w:r w:rsidRPr="00D41D30">
        <w:rPr>
          <w:rStyle w:val="aff0"/>
          <w:color w:val="000000" w:themeColor="text1"/>
        </w:rPr>
        <w:footnoteReference w:id="17"/>
      </w:r>
      <w:r w:rsidRPr="00D41D30">
        <w:rPr>
          <w:rFonts w:hint="eastAsia"/>
          <w:color w:val="000000" w:themeColor="text1"/>
        </w:rPr>
        <w:t>，總扶養人口已於101年達最低點34.7人，107年增加為37.9人，爾後受到老年人口逐年攀升之影響，將再增加至154年101.4人，約增加1.7倍。另觀察生產者與老年人口之比，將由107年每5.0位生產者負擔1位老年人口，154年轉變為每1.2位生產者即需負擔1位老年人口，社會扶養負擔加重為人口結構老化下勢必面臨的一項挑戰，且</w:t>
      </w:r>
      <w:r w:rsidRPr="00D41D30">
        <w:rPr>
          <w:color w:val="000000" w:themeColor="text1"/>
        </w:rPr>
        <w:t>面對</w:t>
      </w:r>
      <w:r w:rsidRPr="00D41D30">
        <w:rPr>
          <w:rFonts w:hint="eastAsia"/>
          <w:color w:val="000000" w:themeColor="text1"/>
        </w:rPr>
        <w:t>我國高齡化速度加快之趨勢</w:t>
      </w:r>
      <w:r w:rsidRPr="00D41D30">
        <w:rPr>
          <w:color w:val="000000" w:themeColor="text1"/>
        </w:rPr>
        <w:t>，</w:t>
      </w:r>
      <w:r w:rsidRPr="00D41D30">
        <w:rPr>
          <w:rFonts w:hint="eastAsia"/>
          <w:color w:val="000000" w:themeColor="text1"/>
        </w:rPr>
        <w:t>政府應及早營造適合長者安居樂活的高齡友善社會，包括高齡者終身學習體系</w:t>
      </w:r>
      <w:r w:rsidRPr="00D41D30">
        <w:rPr>
          <w:rFonts w:hAnsi="標楷體" w:hint="eastAsia"/>
          <w:color w:val="000000" w:themeColor="text1"/>
        </w:rPr>
        <w:t>、</w:t>
      </w:r>
      <w:r w:rsidRPr="00D41D30">
        <w:rPr>
          <w:color w:val="000000" w:themeColor="text1"/>
        </w:rPr>
        <w:t>長期照護需求</w:t>
      </w:r>
      <w:r w:rsidRPr="00D41D30">
        <w:rPr>
          <w:rFonts w:hint="eastAsia"/>
          <w:color w:val="000000" w:themeColor="text1"/>
        </w:rPr>
        <w:t>、</w:t>
      </w:r>
      <w:r w:rsidRPr="00D41D30">
        <w:rPr>
          <w:color w:val="000000" w:themeColor="text1"/>
        </w:rPr>
        <w:t>老年經濟安全保障</w:t>
      </w:r>
      <w:r w:rsidRPr="00D41D30">
        <w:rPr>
          <w:rFonts w:hint="eastAsia"/>
          <w:color w:val="000000" w:themeColor="text1"/>
        </w:rPr>
        <w:t>、完善高齡職場環境，以及銀髮產業發展等相關政策，成為重要議題。</w:t>
      </w:r>
      <w:bookmarkEnd w:id="1156"/>
      <w:bookmarkEnd w:id="1157"/>
      <w:bookmarkEnd w:id="1158"/>
      <w:bookmarkEnd w:id="1159"/>
      <w:bookmarkEnd w:id="1160"/>
    </w:p>
    <w:p w:rsidR="00CD437C" w:rsidRPr="00D41D30" w:rsidRDefault="00CF0225" w:rsidP="00086DD5">
      <w:pPr>
        <w:pStyle w:val="3"/>
        <w:rPr>
          <w:color w:val="000000" w:themeColor="text1"/>
        </w:rPr>
      </w:pPr>
      <w:bookmarkStart w:id="1161" w:name="_Toc32392539"/>
      <w:bookmarkStart w:id="1162" w:name="_Toc32673730"/>
      <w:bookmarkStart w:id="1163" w:name="_Toc32846609"/>
      <w:bookmarkStart w:id="1164" w:name="_Toc32918525"/>
      <w:bookmarkStart w:id="1165" w:name="_Toc33011812"/>
      <w:r w:rsidRPr="00D41D30">
        <w:rPr>
          <w:rFonts w:hint="eastAsia"/>
          <w:color w:val="000000" w:themeColor="text1"/>
        </w:rPr>
        <w:t>依據教育部</w:t>
      </w:r>
      <w:r w:rsidR="00086DD5" w:rsidRPr="00D41D30">
        <w:rPr>
          <w:rFonts w:hint="eastAsia"/>
          <w:color w:val="000000" w:themeColor="text1"/>
        </w:rPr>
        <w:t>87年</w:t>
      </w:r>
      <w:r w:rsidR="00086DD5" w:rsidRPr="00D41D30">
        <w:rPr>
          <w:rFonts w:hAnsi="標楷體" w:hint="eastAsia"/>
          <w:color w:val="000000" w:themeColor="text1"/>
        </w:rPr>
        <w:t>「</w:t>
      </w:r>
      <w:r w:rsidR="00086DD5" w:rsidRPr="00D41D30">
        <w:rPr>
          <w:rFonts w:hint="eastAsia"/>
          <w:color w:val="000000" w:themeColor="text1"/>
        </w:rPr>
        <w:t>邁向學習社會白皮書</w:t>
      </w:r>
      <w:r w:rsidR="00086DD5" w:rsidRPr="00D41D30">
        <w:rPr>
          <w:rFonts w:hAnsi="標楷體" w:hint="eastAsia"/>
          <w:color w:val="000000" w:themeColor="text1"/>
        </w:rPr>
        <w:t>」</w:t>
      </w:r>
      <w:r w:rsidR="00086DD5" w:rsidRPr="00D41D30">
        <w:rPr>
          <w:rFonts w:hint="eastAsia"/>
          <w:color w:val="000000" w:themeColor="text1"/>
        </w:rPr>
        <w:t>載明，</w:t>
      </w:r>
      <w:r w:rsidR="00B56693" w:rsidRPr="00D41D30">
        <w:rPr>
          <w:rFonts w:hAnsi="標楷體" w:hint="eastAsia"/>
          <w:color w:val="000000" w:themeColor="text1"/>
        </w:rPr>
        <w:t>「</w:t>
      </w:r>
      <w:r w:rsidR="00673391" w:rsidRPr="00D41D30">
        <w:rPr>
          <w:rFonts w:hint="eastAsia"/>
          <w:color w:val="000000" w:themeColor="text1"/>
        </w:rPr>
        <w:t>終身學習社會的教育活動，從學前兒童到高齡者，形成繼續性的教育過程。在橫的方面，它包括正規、非正規及非正式的教育活動</w:t>
      </w:r>
      <w:r w:rsidR="00B56693" w:rsidRPr="00D41D30">
        <w:rPr>
          <w:rFonts w:hAnsi="標楷體" w:hint="eastAsia"/>
          <w:color w:val="000000" w:themeColor="text1"/>
        </w:rPr>
        <w:t>」</w:t>
      </w:r>
      <w:r w:rsidR="00673391" w:rsidRPr="00D41D30">
        <w:rPr>
          <w:rFonts w:hint="eastAsia"/>
          <w:color w:val="000000" w:themeColor="text1"/>
        </w:rPr>
        <w:t>。</w:t>
      </w:r>
      <w:r w:rsidR="004D344A" w:rsidRPr="00D41D30">
        <w:rPr>
          <w:rFonts w:hint="eastAsia"/>
          <w:color w:val="000000" w:themeColor="text1"/>
        </w:rPr>
        <w:t>然</w:t>
      </w:r>
      <w:r w:rsidR="00C44313" w:rsidRPr="00D41D30">
        <w:rPr>
          <w:rFonts w:hint="eastAsia"/>
          <w:color w:val="000000" w:themeColor="text1"/>
        </w:rPr>
        <w:t>而</w:t>
      </w:r>
      <w:r w:rsidR="001941F1" w:rsidRPr="00D41D30">
        <w:rPr>
          <w:rFonts w:hint="eastAsia"/>
          <w:color w:val="000000" w:themeColor="text1"/>
        </w:rPr>
        <w:t>，</w:t>
      </w:r>
      <w:r w:rsidR="00D455F4" w:rsidRPr="00D41D30">
        <w:rPr>
          <w:rFonts w:hint="eastAsia"/>
          <w:color w:val="000000" w:themeColor="text1"/>
        </w:rPr>
        <w:t>反觀</w:t>
      </w:r>
      <w:r w:rsidR="00FC362C" w:rsidRPr="00D41D30">
        <w:rPr>
          <w:rFonts w:hint="eastAsia"/>
          <w:color w:val="000000" w:themeColor="text1"/>
        </w:rPr>
        <w:t>我國</w:t>
      </w:r>
      <w:r w:rsidR="00274C5D" w:rsidRPr="00D41D30">
        <w:rPr>
          <w:rFonts w:hint="eastAsia"/>
          <w:color w:val="000000" w:themeColor="text1"/>
        </w:rPr>
        <w:t>因應</w:t>
      </w:r>
      <w:r w:rsidR="00FC362C" w:rsidRPr="00D41D30">
        <w:rPr>
          <w:rFonts w:hint="eastAsia"/>
          <w:color w:val="000000" w:themeColor="text1"/>
        </w:rPr>
        <w:t>高齡</w:t>
      </w:r>
      <w:r w:rsidR="00EA2E75" w:rsidRPr="00D41D30">
        <w:rPr>
          <w:rFonts w:hint="eastAsia"/>
          <w:color w:val="000000" w:themeColor="text1"/>
        </w:rPr>
        <w:t>者</w:t>
      </w:r>
      <w:r w:rsidR="005F3AD7" w:rsidRPr="00D41D30">
        <w:rPr>
          <w:rFonts w:hint="eastAsia"/>
          <w:color w:val="000000" w:themeColor="text1"/>
        </w:rPr>
        <w:t>終身</w:t>
      </w:r>
      <w:r w:rsidR="00FC362C" w:rsidRPr="00D41D30">
        <w:rPr>
          <w:rFonts w:hint="eastAsia"/>
          <w:color w:val="000000" w:themeColor="text1"/>
        </w:rPr>
        <w:t>教育</w:t>
      </w:r>
      <w:r w:rsidR="00274C5D" w:rsidRPr="00D41D30">
        <w:rPr>
          <w:rFonts w:hint="eastAsia"/>
          <w:color w:val="000000" w:themeColor="text1"/>
        </w:rPr>
        <w:t>之具體</w:t>
      </w:r>
      <w:r w:rsidR="00BB4EFA" w:rsidRPr="00D41D30">
        <w:rPr>
          <w:rFonts w:hint="eastAsia"/>
          <w:color w:val="000000" w:themeColor="text1"/>
        </w:rPr>
        <w:t>措施</w:t>
      </w:r>
      <w:r w:rsidR="00274C5D" w:rsidRPr="00D41D30">
        <w:rPr>
          <w:rFonts w:hint="eastAsia"/>
          <w:color w:val="000000" w:themeColor="text1"/>
        </w:rPr>
        <w:t>卻未</w:t>
      </w:r>
      <w:r w:rsidR="00357562" w:rsidRPr="00D41D30">
        <w:rPr>
          <w:rFonts w:hint="eastAsia"/>
          <w:color w:val="000000" w:themeColor="text1"/>
        </w:rPr>
        <w:t>能</w:t>
      </w:r>
      <w:r w:rsidR="00274C5D" w:rsidRPr="00D41D30">
        <w:rPr>
          <w:rFonts w:hint="eastAsia"/>
          <w:color w:val="000000" w:themeColor="text1"/>
        </w:rPr>
        <w:t>及早反應需求</w:t>
      </w:r>
      <w:r w:rsidR="003A535B" w:rsidRPr="00D41D30">
        <w:rPr>
          <w:rFonts w:hint="eastAsia"/>
          <w:color w:val="000000" w:themeColor="text1"/>
        </w:rPr>
        <w:t>，早期係以失學民眾為主，自</w:t>
      </w:r>
      <w:r w:rsidR="00CD437C" w:rsidRPr="00D41D30">
        <w:rPr>
          <w:rFonts w:hint="eastAsia"/>
          <w:color w:val="000000" w:themeColor="text1"/>
        </w:rPr>
        <w:t>教育部</w:t>
      </w:r>
      <w:r w:rsidR="001E0033" w:rsidRPr="00D41D30">
        <w:rPr>
          <w:rFonts w:hint="eastAsia"/>
          <w:color w:val="000000" w:themeColor="text1"/>
        </w:rPr>
        <w:t>於</w:t>
      </w:r>
      <w:r w:rsidR="00F17330" w:rsidRPr="00D41D30">
        <w:rPr>
          <w:rFonts w:hint="eastAsia"/>
          <w:color w:val="000000" w:themeColor="text1"/>
        </w:rPr>
        <w:t>87年發表「邁向學習社會」白皮書</w:t>
      </w:r>
      <w:r w:rsidR="003A535B" w:rsidRPr="00D41D30">
        <w:rPr>
          <w:rFonts w:hint="eastAsia"/>
          <w:color w:val="000000" w:themeColor="text1"/>
        </w:rPr>
        <w:t>後</w:t>
      </w:r>
      <w:r w:rsidR="00DE09AA" w:rsidRPr="00D41D30">
        <w:rPr>
          <w:rFonts w:hint="eastAsia"/>
          <w:color w:val="000000" w:themeColor="text1"/>
        </w:rPr>
        <w:t>，</w:t>
      </w:r>
      <w:r w:rsidR="00675179" w:rsidRPr="00D41D30">
        <w:rPr>
          <w:rFonts w:hint="eastAsia"/>
          <w:color w:val="000000" w:themeColor="text1"/>
        </w:rPr>
        <w:t>提出14項建立終身學習社會之具體方案</w:t>
      </w:r>
      <w:r w:rsidR="0087320F" w:rsidRPr="00D41D30">
        <w:rPr>
          <w:rFonts w:hint="eastAsia"/>
          <w:color w:val="000000" w:themeColor="text1"/>
        </w:rPr>
        <w:t>。</w:t>
      </w:r>
      <w:r w:rsidR="002D6032" w:rsidRPr="00D41D30">
        <w:rPr>
          <w:rFonts w:hint="eastAsia"/>
          <w:color w:val="000000" w:themeColor="text1"/>
        </w:rPr>
        <w:t>惟針對高齡者</w:t>
      </w:r>
      <w:r w:rsidR="002D6032" w:rsidRPr="00D41D30">
        <w:rPr>
          <w:rFonts w:hint="eastAsia"/>
          <w:color w:val="000000" w:themeColor="text1"/>
        </w:rPr>
        <w:lastRenderedPageBreak/>
        <w:t>部分，直</w:t>
      </w:r>
      <w:r w:rsidR="00EE3877" w:rsidRPr="00D41D30">
        <w:rPr>
          <w:rFonts w:hint="eastAsia"/>
          <w:color w:val="000000" w:themeColor="text1"/>
        </w:rPr>
        <w:t>至</w:t>
      </w:r>
      <w:r w:rsidR="00CD437C" w:rsidRPr="00D41D30">
        <w:rPr>
          <w:rFonts w:hint="eastAsia"/>
          <w:color w:val="000000" w:themeColor="text1"/>
        </w:rPr>
        <w:t>95年底</w:t>
      </w:r>
      <w:r w:rsidR="00E17F17" w:rsidRPr="00D41D30">
        <w:rPr>
          <w:rFonts w:hint="eastAsia"/>
          <w:color w:val="000000" w:themeColor="text1"/>
        </w:rPr>
        <w:t>，</w:t>
      </w:r>
      <w:r w:rsidR="00162D4C" w:rsidRPr="00D41D30">
        <w:rPr>
          <w:rFonts w:hint="eastAsia"/>
          <w:color w:val="000000" w:themeColor="text1"/>
        </w:rPr>
        <w:t>因應</w:t>
      </w:r>
      <w:r w:rsidR="00CD437C" w:rsidRPr="00D41D30">
        <w:rPr>
          <w:rFonts w:hint="eastAsia"/>
          <w:color w:val="000000" w:themeColor="text1"/>
        </w:rPr>
        <w:t>我國65歲以上人口占總人口數10</w:t>
      </w:r>
      <w:r w:rsidR="00BA75D2" w:rsidRPr="00D41D30">
        <w:rPr>
          <w:rFonts w:hint="eastAsia"/>
          <w:color w:val="000000" w:themeColor="text1"/>
        </w:rPr>
        <w:t>%</w:t>
      </w:r>
      <w:r w:rsidR="00CD437C" w:rsidRPr="00D41D30">
        <w:rPr>
          <w:rFonts w:hint="eastAsia"/>
          <w:color w:val="000000" w:themeColor="text1"/>
        </w:rPr>
        <w:t>前，</w:t>
      </w:r>
      <w:r w:rsidR="00432B95" w:rsidRPr="00D41D30">
        <w:rPr>
          <w:rFonts w:hint="eastAsia"/>
          <w:color w:val="000000" w:themeColor="text1"/>
        </w:rPr>
        <w:t>方</w:t>
      </w:r>
      <w:r w:rsidR="00CD437C" w:rsidRPr="00D41D30">
        <w:rPr>
          <w:rFonts w:hint="eastAsia"/>
          <w:color w:val="000000" w:themeColor="text1"/>
        </w:rPr>
        <w:t>公布「邁向高齡社會老人教育政策白皮書」，提出</w:t>
      </w:r>
      <w:r w:rsidR="00FA6552" w:rsidRPr="00D41D30">
        <w:rPr>
          <w:rFonts w:hAnsi="標楷體" w:hint="eastAsia"/>
          <w:color w:val="000000" w:themeColor="text1"/>
        </w:rPr>
        <w:t>「</w:t>
      </w:r>
      <w:r w:rsidR="00CD437C" w:rsidRPr="00D41D30">
        <w:rPr>
          <w:rFonts w:hint="eastAsia"/>
          <w:color w:val="000000" w:themeColor="text1"/>
        </w:rPr>
        <w:t>老人教育環境4大願景</w:t>
      </w:r>
      <w:r w:rsidR="00FA6552" w:rsidRPr="00D41D30">
        <w:rPr>
          <w:rFonts w:hAnsi="標楷體" w:hint="eastAsia"/>
          <w:color w:val="000000" w:themeColor="text1"/>
        </w:rPr>
        <w:t>」</w:t>
      </w:r>
      <w:r w:rsidR="00CD437C" w:rsidRPr="00D41D30">
        <w:rPr>
          <w:rFonts w:hint="eastAsia"/>
          <w:color w:val="000000" w:themeColor="text1"/>
        </w:rPr>
        <w:t>（終身學習、健康快樂、自主尊嚴、社會參與）、</w:t>
      </w:r>
      <w:r w:rsidR="00FA6552" w:rsidRPr="00D41D30">
        <w:rPr>
          <w:rFonts w:hAnsi="標楷體" w:hint="eastAsia"/>
          <w:color w:val="000000" w:themeColor="text1"/>
        </w:rPr>
        <w:t>「</w:t>
      </w:r>
      <w:r w:rsidR="00CD437C" w:rsidRPr="00D41D30">
        <w:rPr>
          <w:rFonts w:hint="eastAsia"/>
          <w:color w:val="000000" w:themeColor="text1"/>
        </w:rPr>
        <w:t>7大目標</w:t>
      </w:r>
      <w:r w:rsidR="00FA6552" w:rsidRPr="00D41D30">
        <w:rPr>
          <w:rFonts w:hAnsi="標楷體" w:hint="eastAsia"/>
          <w:color w:val="000000" w:themeColor="text1"/>
        </w:rPr>
        <w:t>」</w:t>
      </w:r>
      <w:r w:rsidR="00CD437C" w:rsidRPr="00D41D30">
        <w:rPr>
          <w:rFonts w:hint="eastAsia"/>
          <w:color w:val="000000" w:themeColor="text1"/>
        </w:rPr>
        <w:t>、</w:t>
      </w:r>
      <w:r w:rsidR="00FA6552" w:rsidRPr="00D41D30">
        <w:rPr>
          <w:rFonts w:hAnsi="標楷體" w:hint="eastAsia"/>
          <w:color w:val="000000" w:themeColor="text1"/>
        </w:rPr>
        <w:t>「</w:t>
      </w:r>
      <w:r w:rsidR="00CD437C" w:rsidRPr="00D41D30">
        <w:rPr>
          <w:rFonts w:hint="eastAsia"/>
          <w:color w:val="000000" w:themeColor="text1"/>
        </w:rPr>
        <w:t>11</w:t>
      </w:r>
      <w:r w:rsidR="004E4D16" w:rsidRPr="00D41D30">
        <w:rPr>
          <w:rFonts w:hint="eastAsia"/>
          <w:color w:val="000000" w:themeColor="text1"/>
        </w:rPr>
        <w:t>項推動策略及行動方案</w:t>
      </w:r>
      <w:r w:rsidR="00FA6552" w:rsidRPr="00D41D30">
        <w:rPr>
          <w:rFonts w:hAnsi="標楷體" w:hint="eastAsia"/>
          <w:color w:val="000000" w:themeColor="text1"/>
        </w:rPr>
        <w:t>」</w:t>
      </w:r>
      <w:r w:rsidR="004E4D16" w:rsidRPr="00D41D30">
        <w:rPr>
          <w:rFonts w:hint="eastAsia"/>
          <w:color w:val="000000" w:themeColor="text1"/>
        </w:rPr>
        <w:t>，藉以宣示我國老人教育政策的藍圖</w:t>
      </w:r>
      <w:r w:rsidR="00CD437C" w:rsidRPr="00D41D30">
        <w:rPr>
          <w:rFonts w:hint="eastAsia"/>
          <w:color w:val="000000" w:themeColor="text1"/>
        </w:rPr>
        <w:t>及終身學習社會的願景。</w:t>
      </w:r>
      <w:r w:rsidR="00035D7C" w:rsidRPr="00D41D30">
        <w:rPr>
          <w:rFonts w:hAnsi="標楷體" w:hint="eastAsia"/>
          <w:color w:val="000000" w:themeColor="text1"/>
          <w:szCs w:val="32"/>
        </w:rPr>
        <w:t>104年行政院提出「高齡社會白皮書」，以建構「健康、幸福、活力、友善」高齡社會新圖像為願景。其行動方案：推動高齡教育學習制度。</w:t>
      </w:r>
      <w:r w:rsidR="00F84156" w:rsidRPr="00D41D30">
        <w:rPr>
          <w:rFonts w:hAnsi="標楷體" w:hint="eastAsia"/>
          <w:color w:val="000000" w:themeColor="text1"/>
          <w:szCs w:val="32"/>
        </w:rPr>
        <w:t>此後，106年教育部復提出「高齡教育中程發展計畫」，以106年至109年為實施期間，目標對象為55歲以上之民眾，以「建立體系、創新學習、開發人力及跨域整合」等4大面向推動，提供民眾相關多元學習因應老化之管道。</w:t>
      </w:r>
      <w:r w:rsidR="001A5CC8" w:rsidRPr="00D41D30">
        <w:rPr>
          <w:rFonts w:hint="eastAsia"/>
          <w:color w:val="000000" w:themeColor="text1"/>
        </w:rPr>
        <w:t>爰</w:t>
      </w:r>
      <w:r w:rsidR="003B4446" w:rsidRPr="00D41D30">
        <w:rPr>
          <w:rFonts w:hint="eastAsia"/>
          <w:color w:val="000000" w:themeColor="text1"/>
        </w:rPr>
        <w:t>查</w:t>
      </w:r>
      <w:r w:rsidR="001A5CC8" w:rsidRPr="00D41D30">
        <w:rPr>
          <w:rFonts w:hint="eastAsia"/>
          <w:color w:val="000000" w:themeColor="text1"/>
        </w:rPr>
        <w:t>目前政府針對高齡教育</w:t>
      </w:r>
      <w:r w:rsidR="00096935" w:rsidRPr="00D41D30">
        <w:rPr>
          <w:rFonts w:hint="eastAsia"/>
          <w:color w:val="000000" w:themeColor="text1"/>
        </w:rPr>
        <w:t>之</w:t>
      </w:r>
      <w:r w:rsidR="00DC2B8E" w:rsidRPr="00D41D30">
        <w:rPr>
          <w:rFonts w:hint="eastAsia"/>
          <w:color w:val="000000" w:themeColor="text1"/>
        </w:rPr>
        <w:t>主要</w:t>
      </w:r>
      <w:r w:rsidR="00CD437C" w:rsidRPr="00D41D30">
        <w:rPr>
          <w:rFonts w:hint="eastAsia"/>
          <w:color w:val="000000" w:themeColor="text1"/>
        </w:rPr>
        <w:t>措施</w:t>
      </w:r>
      <w:r w:rsidR="004F3C49" w:rsidRPr="00D41D30">
        <w:rPr>
          <w:rFonts w:hint="eastAsia"/>
          <w:color w:val="000000" w:themeColor="text1"/>
        </w:rPr>
        <w:t>係樂齡學習體系，</w:t>
      </w:r>
      <w:r w:rsidR="00CD437C" w:rsidRPr="00D41D30">
        <w:rPr>
          <w:rFonts w:hint="eastAsia"/>
          <w:color w:val="000000" w:themeColor="text1"/>
        </w:rPr>
        <w:t>包括樂齡學習中心、樂齡大學、高齡自主學習團體等</w:t>
      </w:r>
      <w:r w:rsidR="00D10152" w:rsidRPr="00D41D30">
        <w:rPr>
          <w:rFonts w:hint="eastAsia"/>
          <w:color w:val="000000" w:themeColor="text1"/>
        </w:rPr>
        <w:t>，</w:t>
      </w:r>
      <w:r w:rsidR="00FC5C83" w:rsidRPr="00D41D30">
        <w:rPr>
          <w:rFonts w:hint="eastAsia"/>
          <w:color w:val="000000" w:themeColor="text1"/>
        </w:rPr>
        <w:t>相關</w:t>
      </w:r>
      <w:r w:rsidR="008978B0" w:rsidRPr="00D41D30">
        <w:rPr>
          <w:rFonts w:hint="eastAsia"/>
          <w:color w:val="000000" w:themeColor="text1"/>
        </w:rPr>
        <w:t>推動</w:t>
      </w:r>
      <w:r w:rsidR="00FC5C83" w:rsidRPr="00D41D30">
        <w:rPr>
          <w:rFonts w:hint="eastAsia"/>
          <w:color w:val="000000" w:themeColor="text1"/>
        </w:rPr>
        <w:t>概況</w:t>
      </w:r>
      <w:r w:rsidR="00D10152" w:rsidRPr="00D41D30">
        <w:rPr>
          <w:rFonts w:hint="eastAsia"/>
          <w:color w:val="000000" w:themeColor="text1"/>
        </w:rPr>
        <w:t>詳表</w:t>
      </w:r>
      <w:r w:rsidR="00CD437C" w:rsidRPr="00D41D30">
        <w:rPr>
          <w:rFonts w:hint="eastAsia"/>
          <w:color w:val="000000" w:themeColor="text1"/>
        </w:rPr>
        <w:t>。</w:t>
      </w:r>
      <w:bookmarkEnd w:id="1149"/>
      <w:bookmarkEnd w:id="1150"/>
      <w:bookmarkEnd w:id="1161"/>
      <w:bookmarkEnd w:id="1162"/>
      <w:bookmarkEnd w:id="1163"/>
      <w:bookmarkEnd w:id="1164"/>
      <w:bookmarkEnd w:id="1165"/>
    </w:p>
    <w:p w:rsidR="00D10152" w:rsidRPr="00D41D30" w:rsidRDefault="00D10152" w:rsidP="00D10152">
      <w:pPr>
        <w:pStyle w:val="a4"/>
        <w:ind w:left="697" w:hanging="697"/>
        <w:rPr>
          <w:color w:val="000000" w:themeColor="text1"/>
          <w:sz w:val="24"/>
          <w:szCs w:val="24"/>
        </w:rPr>
      </w:pPr>
      <w:r w:rsidRPr="00D41D30">
        <w:rPr>
          <w:rFonts w:hAnsi="標楷體" w:hint="eastAsia"/>
          <w:b/>
          <w:color w:val="000000" w:themeColor="text1"/>
        </w:rPr>
        <w:t>樂齡中心、樂齡學習示範及優質中心、村里拓點、樂齡大學及自主學習團體之家數統計</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129"/>
        <w:gridCol w:w="1349"/>
        <w:gridCol w:w="1418"/>
        <w:gridCol w:w="1417"/>
        <w:gridCol w:w="1418"/>
        <w:gridCol w:w="1417"/>
      </w:tblGrid>
      <w:tr w:rsidR="00D10152" w:rsidRPr="00D41D30" w:rsidTr="006B25AC">
        <w:trPr>
          <w:trHeight w:val="435"/>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年度</w:t>
            </w:r>
          </w:p>
        </w:tc>
        <w:tc>
          <w:tcPr>
            <w:tcW w:w="1129"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w:t>
            </w:r>
            <w:r w:rsidRPr="00D41D30">
              <w:rPr>
                <w:rFonts w:ascii="Times New Roman" w:hint="eastAsia"/>
                <w:b/>
                <w:color w:val="000000" w:themeColor="text1"/>
                <w:sz w:val="26"/>
                <w:szCs w:val="26"/>
              </w:rPr>
              <w:t>學習</w:t>
            </w:r>
            <w:r w:rsidRPr="00D41D30">
              <w:rPr>
                <w:rFonts w:ascii="Times New Roman"/>
                <w:b/>
                <w:color w:val="000000" w:themeColor="text1"/>
                <w:sz w:val="26"/>
                <w:szCs w:val="26"/>
              </w:rPr>
              <w:t>中心</w:t>
            </w:r>
          </w:p>
        </w:tc>
        <w:tc>
          <w:tcPr>
            <w:tcW w:w="1349"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樂齡學習示範中心</w:t>
            </w:r>
          </w:p>
        </w:tc>
        <w:tc>
          <w:tcPr>
            <w:tcW w:w="1418"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樂齡學習優質中心</w:t>
            </w:r>
          </w:p>
        </w:tc>
        <w:tc>
          <w:tcPr>
            <w:tcW w:w="1417" w:type="dxa"/>
            <w:tcBorders>
              <w:bottom w:val="single" w:sz="4" w:space="0" w:color="auto"/>
            </w:tcBorders>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村里拓點</w:t>
            </w:r>
          </w:p>
        </w:tc>
        <w:tc>
          <w:tcPr>
            <w:tcW w:w="1418" w:type="dxa"/>
            <w:tcBorders>
              <w:bottom w:val="single" w:sz="4" w:space="0" w:color="auto"/>
            </w:tcBorders>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樂齡大學</w:t>
            </w:r>
          </w:p>
        </w:tc>
        <w:tc>
          <w:tcPr>
            <w:tcW w:w="1417" w:type="dxa"/>
            <w:tcBorders>
              <w:bottom w:val="single" w:sz="4" w:space="0" w:color="auto"/>
            </w:tcBorders>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高齡自主學習社團</w:t>
            </w:r>
          </w:p>
        </w:tc>
      </w:tr>
      <w:tr w:rsidR="00D10152" w:rsidRPr="00D41D30" w:rsidTr="006B25AC">
        <w:trPr>
          <w:trHeight w:val="18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97</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104</w:t>
            </w:r>
          </w:p>
        </w:tc>
        <w:tc>
          <w:tcPr>
            <w:tcW w:w="1349" w:type="dxa"/>
            <w:vMerge w:val="restart"/>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vMerge w:val="restart"/>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vMerge w:val="restart"/>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vMerge w:val="restart"/>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vMerge w:val="restart"/>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6B25AC">
        <w:trPr>
          <w:trHeight w:val="18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98</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202</w:t>
            </w:r>
          </w:p>
        </w:tc>
        <w:tc>
          <w:tcPr>
            <w:tcW w:w="1349"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vMerge/>
            <w:tcBorders>
              <w:bottom w:val="single" w:sz="4" w:space="0" w:color="auto"/>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6B25AC">
        <w:trPr>
          <w:trHeight w:val="18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99</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202</w:t>
            </w:r>
          </w:p>
        </w:tc>
        <w:tc>
          <w:tcPr>
            <w:tcW w:w="1349"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tcBorders>
              <w:top w:val="single" w:sz="4" w:space="0" w:color="auto"/>
              <w:bottom w:val="single" w:sz="4" w:space="0" w:color="auto"/>
              <w:tr2bl w:val="nil"/>
            </w:tcBorders>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56</w:t>
            </w: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492781">
        <w:trPr>
          <w:trHeight w:val="292"/>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100</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209</w:t>
            </w:r>
          </w:p>
        </w:tc>
        <w:tc>
          <w:tcPr>
            <w:tcW w:w="1349" w:type="dxa"/>
            <w:vMerge/>
            <w:tcBorders>
              <w:bottom w:val="single" w:sz="4" w:space="0" w:color="auto"/>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tcBorders>
              <w:top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84</w:t>
            </w: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D251DC">
        <w:trPr>
          <w:trHeight w:val="18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101</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225</w:t>
            </w:r>
          </w:p>
        </w:tc>
        <w:tc>
          <w:tcPr>
            <w:tcW w:w="1349"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7</w:t>
            </w:r>
          </w:p>
        </w:tc>
        <w:tc>
          <w:tcPr>
            <w:tcW w:w="1418"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97</w:t>
            </w: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D251DC">
        <w:trPr>
          <w:trHeight w:val="18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102</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271</w:t>
            </w:r>
          </w:p>
        </w:tc>
        <w:tc>
          <w:tcPr>
            <w:tcW w:w="1349"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7</w:t>
            </w:r>
          </w:p>
        </w:tc>
        <w:tc>
          <w:tcPr>
            <w:tcW w:w="1418"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年底實施</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98</w:t>
            </w: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D251DC">
        <w:trPr>
          <w:trHeight w:val="18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103</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306</w:t>
            </w:r>
          </w:p>
        </w:tc>
        <w:tc>
          <w:tcPr>
            <w:tcW w:w="1349"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9</w:t>
            </w:r>
          </w:p>
        </w:tc>
        <w:tc>
          <w:tcPr>
            <w:tcW w:w="1418"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769</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100</w:t>
            </w: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D251DC">
        <w:trPr>
          <w:trHeight w:val="24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104</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313</w:t>
            </w:r>
          </w:p>
        </w:tc>
        <w:tc>
          <w:tcPr>
            <w:tcW w:w="1349"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11</w:t>
            </w:r>
          </w:p>
        </w:tc>
        <w:tc>
          <w:tcPr>
            <w:tcW w:w="1418"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1,766</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103</w:t>
            </w:r>
          </w:p>
        </w:tc>
        <w:tc>
          <w:tcPr>
            <w:tcW w:w="1417" w:type="dxa"/>
            <w:vMerge/>
            <w:tcBorders>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r>
      <w:tr w:rsidR="00D10152" w:rsidRPr="00D41D30" w:rsidTr="00D251DC">
        <w:trPr>
          <w:trHeight w:val="24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105</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339</w:t>
            </w:r>
          </w:p>
        </w:tc>
        <w:tc>
          <w:tcPr>
            <w:tcW w:w="1349"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12</w:t>
            </w:r>
          </w:p>
        </w:tc>
        <w:tc>
          <w:tcPr>
            <w:tcW w:w="1418" w:type="dxa"/>
            <w:vMerge/>
            <w:tcBorders>
              <w:bottom w:val="single" w:sz="4" w:space="0" w:color="auto"/>
              <w:tr2bl w:val="single" w:sz="4" w:space="0" w:color="auto"/>
            </w:tcBorders>
            <w:vAlign w:val="center"/>
          </w:tcPr>
          <w:p w:rsidR="00D10152" w:rsidRPr="00D41D30" w:rsidRDefault="00D10152" w:rsidP="006B25AC">
            <w:pPr>
              <w:spacing w:line="400" w:lineRule="exact"/>
              <w:jc w:val="center"/>
              <w:rPr>
                <w:rFonts w:ascii="Times New Roman"/>
                <w:color w:val="000000" w:themeColor="text1"/>
                <w:sz w:val="26"/>
                <w:szCs w:val="26"/>
              </w:rPr>
            </w:pPr>
          </w:p>
        </w:tc>
        <w:tc>
          <w:tcPr>
            <w:tcW w:w="1417"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2,494</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107</w:t>
            </w:r>
          </w:p>
        </w:tc>
        <w:tc>
          <w:tcPr>
            <w:tcW w:w="1417"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80</w:t>
            </w:r>
          </w:p>
        </w:tc>
      </w:tr>
      <w:tr w:rsidR="00D10152" w:rsidRPr="00D41D30" w:rsidTr="00D251DC">
        <w:trPr>
          <w:trHeight w:val="24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106</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362</w:t>
            </w:r>
          </w:p>
        </w:tc>
        <w:tc>
          <w:tcPr>
            <w:tcW w:w="1349"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12</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w:t>
            </w:r>
          </w:p>
        </w:tc>
        <w:tc>
          <w:tcPr>
            <w:tcW w:w="1417"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2,847</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106</w:t>
            </w:r>
          </w:p>
        </w:tc>
        <w:tc>
          <w:tcPr>
            <w:tcW w:w="1417"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137</w:t>
            </w:r>
          </w:p>
        </w:tc>
      </w:tr>
      <w:tr w:rsidR="00D10152" w:rsidRPr="00D41D30" w:rsidTr="00D251DC">
        <w:trPr>
          <w:trHeight w:val="247"/>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lastRenderedPageBreak/>
              <w:t>107</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368</w:t>
            </w:r>
          </w:p>
        </w:tc>
        <w:tc>
          <w:tcPr>
            <w:tcW w:w="1349"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11</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11</w:t>
            </w:r>
          </w:p>
        </w:tc>
        <w:tc>
          <w:tcPr>
            <w:tcW w:w="1417"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2,857</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107</w:t>
            </w:r>
          </w:p>
        </w:tc>
        <w:tc>
          <w:tcPr>
            <w:tcW w:w="1417"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131</w:t>
            </w:r>
          </w:p>
        </w:tc>
      </w:tr>
      <w:tr w:rsidR="00D10152" w:rsidRPr="00D41D30" w:rsidTr="006B25AC">
        <w:trPr>
          <w:trHeight w:val="105"/>
        </w:trPr>
        <w:tc>
          <w:tcPr>
            <w:tcW w:w="782" w:type="dxa"/>
            <w:vAlign w:val="center"/>
          </w:tcPr>
          <w:p w:rsidR="00D10152" w:rsidRPr="00D41D30" w:rsidRDefault="00D10152" w:rsidP="006B25AC">
            <w:pPr>
              <w:spacing w:line="400" w:lineRule="exact"/>
              <w:jc w:val="center"/>
              <w:rPr>
                <w:rFonts w:ascii="Times New Roman"/>
                <w:b/>
                <w:color w:val="000000" w:themeColor="text1"/>
                <w:sz w:val="26"/>
                <w:szCs w:val="26"/>
              </w:rPr>
            </w:pPr>
            <w:r w:rsidRPr="00D41D30">
              <w:rPr>
                <w:rFonts w:ascii="Times New Roman"/>
                <w:b/>
                <w:color w:val="000000" w:themeColor="text1"/>
                <w:sz w:val="26"/>
                <w:szCs w:val="26"/>
              </w:rPr>
              <w:t>108~</w:t>
            </w:r>
          </w:p>
        </w:tc>
        <w:tc>
          <w:tcPr>
            <w:tcW w:w="112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366</w:t>
            </w:r>
          </w:p>
        </w:tc>
        <w:tc>
          <w:tcPr>
            <w:tcW w:w="1349"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10</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13</w:t>
            </w:r>
          </w:p>
        </w:tc>
        <w:tc>
          <w:tcPr>
            <w:tcW w:w="1417" w:type="dxa"/>
            <w:shd w:val="clear" w:color="auto" w:fill="auto"/>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3,006</w:t>
            </w:r>
          </w:p>
        </w:tc>
        <w:tc>
          <w:tcPr>
            <w:tcW w:w="1418"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color w:val="000000" w:themeColor="text1"/>
                <w:sz w:val="26"/>
                <w:szCs w:val="26"/>
              </w:rPr>
              <w:t>102</w:t>
            </w:r>
          </w:p>
        </w:tc>
        <w:tc>
          <w:tcPr>
            <w:tcW w:w="1417" w:type="dxa"/>
            <w:vAlign w:val="center"/>
          </w:tcPr>
          <w:p w:rsidR="00D10152" w:rsidRPr="00D41D30" w:rsidRDefault="00D10152" w:rsidP="006B25AC">
            <w:pPr>
              <w:spacing w:line="400" w:lineRule="exact"/>
              <w:jc w:val="center"/>
              <w:rPr>
                <w:rFonts w:ascii="Times New Roman"/>
                <w:color w:val="000000" w:themeColor="text1"/>
                <w:sz w:val="26"/>
                <w:szCs w:val="26"/>
              </w:rPr>
            </w:pPr>
            <w:r w:rsidRPr="00D41D30">
              <w:rPr>
                <w:rFonts w:ascii="Times New Roman" w:hint="eastAsia"/>
                <w:color w:val="000000" w:themeColor="text1"/>
                <w:sz w:val="26"/>
                <w:szCs w:val="26"/>
              </w:rPr>
              <w:t>121</w:t>
            </w:r>
          </w:p>
        </w:tc>
      </w:tr>
    </w:tbl>
    <w:p w:rsidR="00D10152" w:rsidRPr="00D41D30" w:rsidRDefault="00D10152" w:rsidP="00D10152">
      <w:pPr>
        <w:rPr>
          <w:color w:val="000000" w:themeColor="text1"/>
          <w:sz w:val="24"/>
          <w:szCs w:val="24"/>
        </w:rPr>
      </w:pPr>
      <w:r w:rsidRPr="00D41D30">
        <w:rPr>
          <w:rFonts w:hint="eastAsia"/>
          <w:color w:val="000000" w:themeColor="text1"/>
          <w:sz w:val="24"/>
          <w:szCs w:val="24"/>
        </w:rPr>
        <w:t>資料來源：教育部。</w:t>
      </w:r>
    </w:p>
    <w:p w:rsidR="00F72255" w:rsidRPr="00D41D30" w:rsidRDefault="00290143" w:rsidP="00D251DC">
      <w:pPr>
        <w:pStyle w:val="3"/>
        <w:spacing w:beforeLines="100" w:before="457"/>
        <w:ind w:left="1360" w:hanging="680"/>
        <w:rPr>
          <w:color w:val="000000" w:themeColor="text1"/>
        </w:rPr>
      </w:pPr>
      <w:bookmarkStart w:id="1166" w:name="_Toc32918526"/>
      <w:bookmarkStart w:id="1167" w:name="_Toc33011813"/>
      <w:bookmarkStart w:id="1168" w:name="_Toc32392541"/>
      <w:bookmarkStart w:id="1169" w:name="_Toc32673732"/>
      <w:bookmarkStart w:id="1170" w:name="_Toc32846611"/>
      <w:bookmarkStart w:id="1171" w:name="_Toc30512558"/>
      <w:bookmarkStart w:id="1172" w:name="_Toc30581266"/>
      <w:r w:rsidRPr="00D41D30">
        <w:rPr>
          <w:rFonts w:hint="eastAsia"/>
          <w:color w:val="000000" w:themeColor="text1"/>
        </w:rPr>
        <w:t>復查，高齡終身學習之相關法制演進</w:t>
      </w:r>
      <w:r w:rsidR="003B5A59" w:rsidRPr="00D41D30">
        <w:rPr>
          <w:rFonts w:hint="eastAsia"/>
          <w:color w:val="000000" w:themeColor="text1"/>
        </w:rPr>
        <w:t>情形</w:t>
      </w:r>
      <w:r w:rsidRPr="00D41D30">
        <w:rPr>
          <w:rFonts w:hint="eastAsia"/>
          <w:color w:val="000000" w:themeColor="text1"/>
        </w:rPr>
        <w:t>，內政部於86年5月31日修正老人福利法第2條，將「老人」的定義從70歲調降為65歲，並於96年1月12日修正發布第3條，明定中央主管機關及各目的事業主管機關之權責，其中</w:t>
      </w:r>
      <w:r w:rsidRPr="00D41D30">
        <w:rPr>
          <w:rFonts w:hAnsi="標楷體" w:hint="eastAsia"/>
          <w:color w:val="000000" w:themeColor="text1"/>
        </w:rPr>
        <w:t>「</w:t>
      </w:r>
      <w:r w:rsidRPr="00D41D30">
        <w:rPr>
          <w:rFonts w:hint="eastAsia"/>
          <w:color w:val="000000" w:themeColor="text1"/>
        </w:rPr>
        <w:t>老人教育</w:t>
      </w:r>
      <w:r w:rsidRPr="00D41D30">
        <w:rPr>
          <w:rFonts w:hAnsi="標楷體" w:hint="eastAsia"/>
          <w:color w:val="000000" w:themeColor="text1"/>
        </w:rPr>
        <w:t>」</w:t>
      </w:r>
      <w:r w:rsidRPr="00D41D30">
        <w:rPr>
          <w:rFonts w:hint="eastAsia"/>
          <w:color w:val="000000" w:themeColor="text1"/>
        </w:rPr>
        <w:t>應由教育部主管。91年頒布</w:t>
      </w:r>
      <w:r w:rsidRPr="00D41D30">
        <w:rPr>
          <w:rFonts w:hAnsi="標楷體" w:hint="eastAsia"/>
          <w:color w:val="000000" w:themeColor="text1"/>
        </w:rPr>
        <w:t>「</w:t>
      </w:r>
      <w:r w:rsidRPr="00D41D30">
        <w:rPr>
          <w:rFonts w:hint="eastAsia"/>
          <w:color w:val="000000" w:themeColor="text1"/>
        </w:rPr>
        <w:t>終身教育法</w:t>
      </w:r>
      <w:r w:rsidRPr="00D41D30">
        <w:rPr>
          <w:rFonts w:hAnsi="標楷體" w:hint="eastAsia"/>
          <w:color w:val="000000" w:themeColor="text1"/>
        </w:rPr>
        <w:t>」，成為繼美、日、韓、英及德等之後專為終身學習立法的第6個國家</w:t>
      </w:r>
      <w:r w:rsidRPr="00D41D30">
        <w:rPr>
          <w:rFonts w:hint="eastAsia"/>
          <w:color w:val="000000" w:themeColor="text1"/>
        </w:rPr>
        <w:t>，該法第4條明定各級主管機關應整體規劃終身學習政策、計畫及活動，確保弱勢族群終身學習資源。基此，教育部始編列「推動老人教育」預算，執行部分社區老人教育活動。如樂齡教育體系之</w:t>
      </w:r>
      <w:r w:rsidRPr="00D41D30">
        <w:rPr>
          <w:rFonts w:hAnsi="標楷體" w:hint="eastAsia"/>
          <w:color w:val="000000" w:themeColor="text1"/>
          <w:szCs w:val="32"/>
        </w:rPr>
        <w:t>樂齡學習中心計畫</w:t>
      </w:r>
      <w:r w:rsidRPr="00D41D30">
        <w:rPr>
          <w:rFonts w:hint="eastAsia"/>
          <w:color w:val="000000" w:themeColor="text1"/>
        </w:rPr>
        <w:t>自97年開始編列預算執行，直至103年教育部修正「終身學習法」</w:t>
      </w:r>
      <w:r w:rsidRPr="00D41D30">
        <w:rPr>
          <w:rFonts w:hint="eastAsia"/>
          <w:color w:val="000000" w:themeColor="text1"/>
        </w:rPr>
        <w:tab/>
        <w:t>，於該法第3條明定「樂齡學習」係指「指終身學習機構所提供55歲以上人民從事之學習活動」，取義「快樂學習、樂而忘齡」，亦為英文字「learning」諧音；又第14條則規定：「各級主管機關應訂定樂齡學習推動計畫，編列預算，並鼓勵終身學習機構辦理樂齡學習活動。終身學習機構辦理前項樂齡學習活動，各級主管機關得酌予補助；其補助之對象、條件、方式、審查基準、訪視與輔導及其他應遵行事項之規定，由各級主管機關定之。」</w:t>
      </w:r>
      <w:r w:rsidR="00372143" w:rsidRPr="00D41D30">
        <w:rPr>
          <w:rFonts w:hint="eastAsia"/>
          <w:color w:val="000000" w:themeColor="text1"/>
        </w:rPr>
        <w:t>及學者</w:t>
      </w:r>
      <w:r w:rsidR="0043489A" w:rsidRPr="00D41D30">
        <w:rPr>
          <w:rFonts w:hint="eastAsia"/>
          <w:color w:val="000000" w:themeColor="text1"/>
        </w:rPr>
        <w:t>黃富順（民102）</w:t>
      </w:r>
      <w:r w:rsidR="00372143" w:rsidRPr="00D41D30">
        <w:rPr>
          <w:rFonts w:hint="eastAsia"/>
          <w:color w:val="000000" w:themeColor="text1"/>
        </w:rPr>
        <w:t>對於我國實施高齡教育乃至於終身教育之檢討意見指出</w:t>
      </w:r>
      <w:r w:rsidR="00DA4F41" w:rsidRPr="00D41D30">
        <w:rPr>
          <w:rStyle w:val="aff0"/>
          <w:color w:val="000000" w:themeColor="text1"/>
        </w:rPr>
        <w:footnoteReference w:id="18"/>
      </w:r>
      <w:r w:rsidR="00B4496A" w:rsidRPr="00D41D30">
        <w:rPr>
          <w:rFonts w:hAnsi="標楷體" w:hint="eastAsia"/>
          <w:color w:val="000000" w:themeColor="text1"/>
        </w:rPr>
        <w:t>「我國在終身學</w:t>
      </w:r>
      <w:r w:rsidR="00B4496A" w:rsidRPr="00D41D30">
        <w:rPr>
          <w:rFonts w:hAnsi="標楷體" w:hint="eastAsia"/>
          <w:color w:val="000000" w:themeColor="text1"/>
        </w:rPr>
        <w:lastRenderedPageBreak/>
        <w:t>習的推展上，雖有社區大學、高齡中心、各級學校、民間組織及宗教團體的加入，但屬於單項的、個別的，欠缺綜合而有系統的機制，雖在中央及地方有諮詢的終身學習委員會的成立，但並不受重視，聊備一格，成為形式存在的花瓶式任務編組單位，尤其在政府組織上，沒有完整的推動架構，難以發揮推動的實效」等語</w:t>
      </w:r>
      <w:r w:rsidR="00372143" w:rsidRPr="00D41D30">
        <w:rPr>
          <w:rFonts w:hint="eastAsia"/>
          <w:color w:val="000000" w:themeColor="text1"/>
        </w:rPr>
        <w:t>。</w:t>
      </w:r>
      <w:r w:rsidR="00F72255" w:rsidRPr="00D41D30">
        <w:rPr>
          <w:rFonts w:hint="eastAsia"/>
          <w:color w:val="000000" w:themeColor="text1"/>
        </w:rPr>
        <w:t>教育部主管人員108年12月26日於本院約詢亦稱</w:t>
      </w:r>
      <w:r w:rsidR="00F72255" w:rsidRPr="00D41D30">
        <w:rPr>
          <w:rFonts w:hAnsi="標楷體" w:hint="eastAsia"/>
          <w:color w:val="000000" w:themeColor="text1"/>
        </w:rPr>
        <w:t>，「本部於108年11月15日召開『研商高齡教育政策後續推動作為諮詢會議』，會議中多數學者主張須訂定「老人教育專法」的構想，未來本部可期待」等語。</w:t>
      </w:r>
      <w:bookmarkEnd w:id="1166"/>
      <w:bookmarkEnd w:id="1167"/>
    </w:p>
    <w:p w:rsidR="00290143" w:rsidRPr="00D41D30" w:rsidRDefault="00F72255" w:rsidP="00C515CE">
      <w:pPr>
        <w:pStyle w:val="3"/>
        <w:rPr>
          <w:color w:val="000000" w:themeColor="text1"/>
        </w:rPr>
      </w:pPr>
      <w:bookmarkStart w:id="1173" w:name="_Toc32918527"/>
      <w:bookmarkStart w:id="1174" w:name="_Toc33011814"/>
      <w:r w:rsidRPr="00D41D30">
        <w:rPr>
          <w:rFonts w:hint="eastAsia"/>
          <w:color w:val="000000" w:themeColor="text1"/>
        </w:rPr>
        <w:t>以上</w:t>
      </w:r>
      <w:r w:rsidR="00290143" w:rsidRPr="00D41D30">
        <w:rPr>
          <w:rFonts w:hint="eastAsia"/>
          <w:color w:val="000000" w:themeColor="text1"/>
        </w:rPr>
        <w:t>足見，</w:t>
      </w:r>
      <w:r w:rsidR="00213565" w:rsidRPr="00D41D30">
        <w:rPr>
          <w:rFonts w:hint="eastAsia"/>
          <w:color w:val="000000" w:themeColor="text1"/>
        </w:rPr>
        <w:t>就法制面而言，與國際趨勢相較，我國自古雖有活到老學到老之概念，</w:t>
      </w:r>
      <w:r w:rsidR="00290143" w:rsidRPr="00D41D30">
        <w:rPr>
          <w:rFonts w:hint="eastAsia"/>
          <w:color w:val="000000" w:themeColor="text1"/>
        </w:rPr>
        <w:t>自9</w:t>
      </w:r>
      <w:r w:rsidR="00290143" w:rsidRPr="00D41D30">
        <w:rPr>
          <w:color w:val="000000" w:themeColor="text1"/>
        </w:rPr>
        <w:t>7</w:t>
      </w:r>
      <w:r w:rsidR="00290143" w:rsidRPr="00D41D30">
        <w:rPr>
          <w:rFonts w:hint="eastAsia"/>
          <w:color w:val="000000" w:themeColor="text1"/>
        </w:rPr>
        <w:t>年推動樂齡教育迄今，雖整體趨勢已由部分失學補習教育逐漸轉向高齡民眾之多元學習模式，雖甚具</w:t>
      </w:r>
      <w:r w:rsidR="00CA7F5E" w:rsidRPr="00D41D30">
        <w:rPr>
          <w:rFonts w:hint="eastAsia"/>
          <w:color w:val="000000" w:themeColor="text1"/>
        </w:rPr>
        <w:t>時代</w:t>
      </w:r>
      <w:r w:rsidR="00290143" w:rsidRPr="00D41D30">
        <w:rPr>
          <w:rFonts w:hint="eastAsia"/>
          <w:color w:val="000000" w:themeColor="text1"/>
        </w:rPr>
        <w:t>意義，惟檢視整體推展發展高齡者終身學習（即樂齡教育）之起步及後續系統性規劃面向，顯示我國高齡者教育較缺乏國家長期政策完整架構，法制</w:t>
      </w:r>
      <w:r w:rsidR="002E26B4" w:rsidRPr="00D41D30">
        <w:rPr>
          <w:rFonts w:hint="eastAsia"/>
          <w:color w:val="000000" w:themeColor="text1"/>
        </w:rPr>
        <w:t>長期亦</w:t>
      </w:r>
      <w:r w:rsidR="00290143" w:rsidRPr="00D41D30">
        <w:rPr>
          <w:rFonts w:hint="eastAsia"/>
          <w:color w:val="000000" w:themeColor="text1"/>
        </w:rPr>
        <w:t>並未整合，相關政策定位及願景均不明確，難以符應我國人口快速變遷速度</w:t>
      </w:r>
      <w:r w:rsidR="005C7782" w:rsidRPr="00D41D30">
        <w:rPr>
          <w:rFonts w:hint="eastAsia"/>
          <w:color w:val="000000" w:themeColor="text1"/>
        </w:rPr>
        <w:t>後邁向超高齡社會之</w:t>
      </w:r>
      <w:r w:rsidR="00643304" w:rsidRPr="00D41D30">
        <w:rPr>
          <w:rFonts w:hint="eastAsia"/>
          <w:color w:val="000000" w:themeColor="text1"/>
        </w:rPr>
        <w:t>變化</w:t>
      </w:r>
      <w:r w:rsidR="00290143" w:rsidRPr="00D41D30">
        <w:rPr>
          <w:rFonts w:hint="eastAsia"/>
          <w:color w:val="000000" w:themeColor="text1"/>
        </w:rPr>
        <w:t>，況</w:t>
      </w:r>
      <w:r w:rsidR="00F0108D" w:rsidRPr="00D41D30">
        <w:rPr>
          <w:rFonts w:hint="eastAsia"/>
          <w:color w:val="000000" w:themeColor="text1"/>
        </w:rPr>
        <w:t>整體</w:t>
      </w:r>
      <w:r w:rsidR="00290143" w:rsidRPr="00D41D30">
        <w:rPr>
          <w:rFonts w:hint="eastAsia"/>
          <w:color w:val="000000" w:themeColor="text1"/>
        </w:rPr>
        <w:t>績效評核及檢討機制闕如，以及各項計畫或機構間仍較少整合與連繫等，外界相關批評及建議均不斷湧入，實施迄今已逾10年，均待</w:t>
      </w:r>
      <w:r w:rsidR="0000010A" w:rsidRPr="00D41D30">
        <w:rPr>
          <w:rFonts w:hint="eastAsia"/>
          <w:color w:val="000000" w:themeColor="text1"/>
        </w:rPr>
        <w:t>儘速</w:t>
      </w:r>
      <w:r w:rsidR="00290143" w:rsidRPr="00D41D30">
        <w:rPr>
          <w:rFonts w:hint="eastAsia"/>
          <w:color w:val="000000" w:themeColor="text1"/>
        </w:rPr>
        <w:t>檢討。</w:t>
      </w:r>
      <w:bookmarkEnd w:id="1168"/>
      <w:bookmarkEnd w:id="1169"/>
      <w:bookmarkEnd w:id="1170"/>
      <w:bookmarkEnd w:id="1173"/>
      <w:bookmarkEnd w:id="1174"/>
    </w:p>
    <w:p w:rsidR="00A8586B" w:rsidRPr="00D41D30" w:rsidRDefault="001C336A" w:rsidP="00ED5E12">
      <w:pPr>
        <w:pStyle w:val="3"/>
        <w:rPr>
          <w:color w:val="000000" w:themeColor="text1"/>
        </w:rPr>
      </w:pPr>
      <w:bookmarkStart w:id="1175" w:name="_Toc30512559"/>
      <w:bookmarkStart w:id="1176" w:name="_Toc30581267"/>
      <w:bookmarkStart w:id="1177" w:name="_Toc32392542"/>
      <w:bookmarkStart w:id="1178" w:name="_Toc32673733"/>
      <w:bookmarkStart w:id="1179" w:name="_Toc32846612"/>
      <w:bookmarkStart w:id="1180" w:name="_Toc32918528"/>
      <w:bookmarkStart w:id="1181" w:name="_Toc33011815"/>
      <w:r w:rsidRPr="00D41D30">
        <w:rPr>
          <w:rFonts w:hint="eastAsia"/>
          <w:color w:val="000000" w:themeColor="text1"/>
        </w:rPr>
        <w:t>究此議題，本院於</w:t>
      </w:r>
      <w:r w:rsidR="000D7042" w:rsidRPr="00D41D30">
        <w:rPr>
          <w:rFonts w:hint="eastAsia"/>
          <w:color w:val="000000" w:themeColor="text1"/>
        </w:rPr>
        <w:t>108年9月</w:t>
      </w:r>
      <w:r w:rsidR="009D36AA" w:rsidRPr="00D41D30">
        <w:rPr>
          <w:rFonts w:hint="eastAsia"/>
          <w:color w:val="000000" w:themeColor="text1"/>
        </w:rPr>
        <w:t>9日諮詢專家學者</w:t>
      </w:r>
      <w:r w:rsidR="00D251DC" w:rsidRPr="00D41D30">
        <w:rPr>
          <w:rFonts w:hint="eastAsia"/>
          <w:color w:val="000000" w:themeColor="text1"/>
        </w:rPr>
        <w:t>復提出</w:t>
      </w:r>
      <w:r w:rsidR="009D36AA" w:rsidRPr="00D41D30">
        <w:rPr>
          <w:rFonts w:hint="eastAsia"/>
          <w:color w:val="000000" w:themeColor="text1"/>
        </w:rPr>
        <w:t>相關意見稱</w:t>
      </w:r>
      <w:r w:rsidR="009D36AA" w:rsidRPr="00D41D30">
        <w:rPr>
          <w:rFonts w:hAnsi="標楷體" w:hint="eastAsia"/>
          <w:color w:val="000000" w:themeColor="text1"/>
        </w:rPr>
        <w:t>「</w:t>
      </w:r>
      <w:r w:rsidR="009D36AA" w:rsidRPr="00D41D30">
        <w:rPr>
          <w:rFonts w:ascii="Times New Roman" w:hAnsi="Times New Roman" w:hint="eastAsia"/>
          <w:color w:val="000000" w:themeColor="text1"/>
          <w:kern w:val="0"/>
          <w:szCs w:val="32"/>
        </w:rPr>
        <w:t>高齡者接受教育的主要目的在於促進身心健康，追求愉快的生活。有關高齡教育的預算</w:t>
      </w:r>
      <w:r w:rsidR="00851530" w:rsidRPr="00D41D30">
        <w:rPr>
          <w:rFonts w:ascii="Times New Roman" w:hAnsi="Times New Roman" w:hint="eastAsia"/>
          <w:color w:val="000000" w:themeColor="text1"/>
          <w:kern w:val="0"/>
          <w:szCs w:val="32"/>
        </w:rPr>
        <w:t>編列，目前教育部的做法是由科員層級的</w:t>
      </w:r>
      <w:r w:rsidR="00851530" w:rsidRPr="00D41D30">
        <w:rPr>
          <w:rFonts w:ascii="Times New Roman" w:hAnsi="Times New Roman" w:hint="eastAsia"/>
          <w:color w:val="000000" w:themeColor="text1"/>
          <w:kern w:val="0"/>
          <w:szCs w:val="32"/>
        </w:rPr>
        <w:lastRenderedPageBreak/>
        <w:t>同仁按往年的編列方式辦理，</w:t>
      </w:r>
      <w:r w:rsidR="00BF7CB0" w:rsidRPr="00D41D30">
        <w:rPr>
          <w:rFonts w:ascii="Times New Roman" w:hAnsi="Times New Roman" w:hint="eastAsia"/>
          <w:color w:val="000000" w:themeColor="text1"/>
          <w:kern w:val="0"/>
          <w:szCs w:val="32"/>
        </w:rPr>
        <w:t>……</w:t>
      </w:r>
      <w:r w:rsidR="009D36AA" w:rsidRPr="00D41D30">
        <w:rPr>
          <w:rFonts w:ascii="Times New Roman" w:hAnsi="Times New Roman" w:hint="eastAsia"/>
          <w:color w:val="000000" w:themeColor="text1"/>
          <w:kern w:val="0"/>
          <w:szCs w:val="32"/>
        </w:rPr>
        <w:t>未能切實考量社會實際需求，並導致做法年年相同，沒有改變。樂齡教育近</w:t>
      </w:r>
      <w:r w:rsidR="009D36AA" w:rsidRPr="00D41D30">
        <w:rPr>
          <w:rFonts w:ascii="Times New Roman" w:hAnsi="Times New Roman" w:hint="eastAsia"/>
          <w:color w:val="000000" w:themeColor="text1"/>
          <w:kern w:val="0"/>
          <w:szCs w:val="32"/>
        </w:rPr>
        <w:t>10</w:t>
      </w:r>
      <w:r w:rsidR="009D36AA" w:rsidRPr="00D41D30">
        <w:rPr>
          <w:rFonts w:ascii="Times New Roman" w:hAnsi="Times New Roman" w:hint="eastAsia"/>
          <w:color w:val="000000" w:themeColor="text1"/>
          <w:kern w:val="0"/>
          <w:szCs w:val="32"/>
        </w:rPr>
        <w:t>年相關做法也都一樣，未能配合社會人口結構改變而調整。個人認為這弊病須有較強外力才能影響決策。再者，論及社會人口結構改變，我國少子化現象人趨嚴重，相關機關卻無法提出有效的因應對策，反觀南韓、日本均在中央設有少子化對策辦公室，做整個少子化對策的因應事宜</w:t>
      </w:r>
      <w:r w:rsidR="00596F03" w:rsidRPr="00D41D30">
        <w:rPr>
          <w:rFonts w:hAnsi="標楷體" w:hint="eastAsia"/>
          <w:color w:val="000000" w:themeColor="text1"/>
          <w:kern w:val="0"/>
          <w:szCs w:val="32"/>
        </w:rPr>
        <w:t>」</w:t>
      </w:r>
      <w:r w:rsidR="00596F03" w:rsidRPr="00D41D30">
        <w:rPr>
          <w:rFonts w:ascii="Times New Roman" w:hAnsi="Times New Roman" w:hint="eastAsia"/>
          <w:color w:val="000000" w:themeColor="text1"/>
          <w:kern w:val="0"/>
          <w:szCs w:val="32"/>
        </w:rPr>
        <w:t>及</w:t>
      </w:r>
      <w:r w:rsidR="00596F03" w:rsidRPr="00D41D30">
        <w:rPr>
          <w:rFonts w:hAnsi="標楷體" w:hint="eastAsia"/>
          <w:color w:val="000000" w:themeColor="text1"/>
          <w:kern w:val="0"/>
          <w:szCs w:val="32"/>
        </w:rPr>
        <w:t>「</w:t>
      </w:r>
      <w:r w:rsidR="001F3581" w:rsidRPr="00D41D30">
        <w:rPr>
          <w:rFonts w:ascii="Times New Roman" w:hAnsi="Times New Roman" w:hint="eastAsia"/>
          <w:color w:val="000000" w:themeColor="text1"/>
          <w:kern w:val="0"/>
          <w:szCs w:val="32"/>
        </w:rPr>
        <w:tab/>
      </w:r>
      <w:r w:rsidR="001F3581" w:rsidRPr="00D41D30">
        <w:rPr>
          <w:rFonts w:ascii="Times New Roman" w:hAnsi="Times New Roman" w:hint="eastAsia"/>
          <w:color w:val="000000" w:themeColor="text1"/>
          <w:kern w:val="0"/>
          <w:szCs w:val="32"/>
        </w:rPr>
        <w:t>目前樂齡大學多數由大學的推廣處負責，教育部長期以來對樂齡大學又無任何輔導措施，只做分配經費的動作，形成所謂</w:t>
      </w:r>
      <w:r w:rsidR="001F3581" w:rsidRPr="00D41D30">
        <w:rPr>
          <w:rFonts w:hAnsi="標楷體" w:hint="eastAsia"/>
          <w:color w:val="000000" w:themeColor="text1"/>
          <w:kern w:val="0"/>
          <w:szCs w:val="32"/>
        </w:rPr>
        <w:t>『</w:t>
      </w:r>
      <w:r w:rsidR="001F3581" w:rsidRPr="00D41D30">
        <w:rPr>
          <w:rFonts w:ascii="Times New Roman" w:hAnsi="Times New Roman" w:hint="eastAsia"/>
          <w:color w:val="000000" w:themeColor="text1"/>
          <w:kern w:val="0"/>
          <w:szCs w:val="32"/>
        </w:rPr>
        <w:t>放牛吃草</w:t>
      </w:r>
      <w:r w:rsidR="001F3581" w:rsidRPr="00D41D30">
        <w:rPr>
          <w:rFonts w:hAnsi="標楷體" w:hint="eastAsia"/>
          <w:color w:val="000000" w:themeColor="text1"/>
          <w:kern w:val="0"/>
          <w:szCs w:val="32"/>
        </w:rPr>
        <w:t>』</w:t>
      </w:r>
      <w:r w:rsidR="001F3581" w:rsidRPr="00D41D30">
        <w:rPr>
          <w:rFonts w:ascii="Times New Roman" w:hAnsi="Times New Roman" w:hint="eastAsia"/>
          <w:color w:val="000000" w:themeColor="text1"/>
          <w:kern w:val="0"/>
          <w:szCs w:val="32"/>
        </w:rPr>
        <w:t>的現象，</w:t>
      </w:r>
      <w:r w:rsidR="001F3581" w:rsidRPr="00D41D30">
        <w:rPr>
          <w:rFonts w:ascii="Times New Roman" w:hAnsi="Times New Roman" w:hint="eastAsia"/>
          <w:color w:val="000000" w:themeColor="text1"/>
          <w:kern w:val="0"/>
          <w:szCs w:val="32"/>
        </w:rPr>
        <w:t>10</w:t>
      </w:r>
      <w:r w:rsidR="001F3581" w:rsidRPr="00D41D30">
        <w:rPr>
          <w:rFonts w:ascii="Times New Roman" w:hAnsi="Times New Roman" w:hint="eastAsia"/>
          <w:color w:val="000000" w:themeColor="text1"/>
          <w:kern w:val="0"/>
          <w:szCs w:val="32"/>
        </w:rPr>
        <w:t>年來均是如此，不會有進步，也難期能達到設置的目的</w:t>
      </w:r>
      <w:r w:rsidR="00D251DC" w:rsidRPr="00D41D30">
        <w:rPr>
          <w:rFonts w:ascii="Times New Roman" w:hAnsi="Times New Roman" w:hint="eastAsia"/>
          <w:color w:val="000000" w:themeColor="text1"/>
          <w:kern w:val="0"/>
          <w:szCs w:val="32"/>
        </w:rPr>
        <w:t>……</w:t>
      </w:r>
      <w:r w:rsidR="00D251DC" w:rsidRPr="00D41D30">
        <w:rPr>
          <w:rFonts w:hAnsi="標楷體" w:hint="eastAsia"/>
          <w:color w:val="000000" w:themeColor="text1"/>
          <w:kern w:val="0"/>
          <w:szCs w:val="32"/>
        </w:rPr>
        <w:t>等語</w:t>
      </w:r>
      <w:r w:rsidR="00596F03" w:rsidRPr="00D41D30">
        <w:rPr>
          <w:rFonts w:hAnsi="標楷體" w:hint="eastAsia"/>
          <w:color w:val="000000" w:themeColor="text1"/>
          <w:kern w:val="0"/>
          <w:szCs w:val="32"/>
        </w:rPr>
        <w:t>」</w:t>
      </w:r>
      <w:r w:rsidR="009D36AA" w:rsidRPr="00D41D30">
        <w:rPr>
          <w:rFonts w:ascii="Times New Roman" w:hAnsi="Times New Roman" w:hint="eastAsia"/>
          <w:color w:val="000000" w:themeColor="text1"/>
          <w:kern w:val="0"/>
          <w:szCs w:val="32"/>
        </w:rPr>
        <w:t>。</w:t>
      </w:r>
      <w:r w:rsidR="005A6C08" w:rsidRPr="00D41D30">
        <w:rPr>
          <w:rFonts w:ascii="Times New Roman" w:hAnsi="Times New Roman" w:hint="eastAsia"/>
          <w:color w:val="000000" w:themeColor="text1"/>
          <w:kern w:val="0"/>
          <w:szCs w:val="32"/>
        </w:rPr>
        <w:t>此與本案</w:t>
      </w:r>
      <w:r w:rsidR="00290904" w:rsidRPr="00D41D30">
        <w:rPr>
          <w:rFonts w:ascii="Times New Roman" w:hAnsi="Times New Roman" w:hint="eastAsia"/>
          <w:color w:val="000000" w:themeColor="text1"/>
          <w:kern w:val="0"/>
          <w:szCs w:val="32"/>
        </w:rPr>
        <w:t>調查卷證</w:t>
      </w:r>
      <w:r w:rsidR="002371B3" w:rsidRPr="00D41D30">
        <w:rPr>
          <w:rFonts w:ascii="Times New Roman" w:hAnsi="Times New Roman" w:hint="eastAsia"/>
          <w:color w:val="000000" w:themeColor="text1"/>
          <w:kern w:val="0"/>
          <w:szCs w:val="32"/>
        </w:rPr>
        <w:t>心證</w:t>
      </w:r>
      <w:r w:rsidR="005A6C08" w:rsidRPr="00D41D30">
        <w:rPr>
          <w:rFonts w:ascii="Times New Roman" w:hAnsi="Times New Roman" w:hint="eastAsia"/>
          <w:color w:val="000000" w:themeColor="text1"/>
          <w:kern w:val="0"/>
          <w:szCs w:val="32"/>
        </w:rPr>
        <w:t>及</w:t>
      </w:r>
      <w:r w:rsidR="00290904" w:rsidRPr="00D41D30">
        <w:rPr>
          <w:rFonts w:ascii="Times New Roman" w:hAnsi="Times New Roman" w:hint="eastAsia"/>
          <w:color w:val="000000" w:themeColor="text1"/>
          <w:kern w:val="0"/>
          <w:szCs w:val="32"/>
        </w:rPr>
        <w:t>履勘</w:t>
      </w:r>
      <w:r w:rsidR="005A6C08" w:rsidRPr="00D41D30">
        <w:rPr>
          <w:rFonts w:ascii="Times New Roman" w:hAnsi="Times New Roman" w:hint="eastAsia"/>
          <w:color w:val="000000" w:themeColor="text1"/>
          <w:kern w:val="0"/>
          <w:szCs w:val="32"/>
        </w:rPr>
        <w:t>座談意見</w:t>
      </w:r>
      <w:r w:rsidR="00D251DC" w:rsidRPr="00D41D30">
        <w:rPr>
          <w:rFonts w:ascii="Times New Roman" w:hAnsi="Times New Roman" w:hint="eastAsia"/>
          <w:color w:val="000000" w:themeColor="text1"/>
          <w:kern w:val="0"/>
          <w:szCs w:val="32"/>
        </w:rPr>
        <w:t>堪</w:t>
      </w:r>
      <w:r w:rsidR="005A6C08" w:rsidRPr="00D41D30">
        <w:rPr>
          <w:rFonts w:ascii="Times New Roman" w:hAnsi="Times New Roman" w:hint="eastAsia"/>
          <w:color w:val="000000" w:themeColor="text1"/>
          <w:kern w:val="0"/>
          <w:szCs w:val="32"/>
        </w:rPr>
        <w:t>符</w:t>
      </w:r>
      <w:r w:rsidR="009C0244" w:rsidRPr="00D41D30">
        <w:rPr>
          <w:rFonts w:ascii="Times New Roman" w:hAnsi="Times New Roman" w:hint="eastAsia"/>
          <w:color w:val="000000" w:themeColor="text1"/>
          <w:kern w:val="0"/>
          <w:szCs w:val="32"/>
        </w:rPr>
        <w:t>，殊值政府</w:t>
      </w:r>
      <w:r w:rsidR="00373DF5" w:rsidRPr="00D41D30">
        <w:rPr>
          <w:rFonts w:ascii="Times New Roman" w:hAnsi="Times New Roman" w:hint="eastAsia"/>
          <w:color w:val="000000" w:themeColor="text1"/>
          <w:kern w:val="0"/>
          <w:szCs w:val="32"/>
        </w:rPr>
        <w:t>審慎</w:t>
      </w:r>
      <w:r w:rsidR="009C0244" w:rsidRPr="00D41D30">
        <w:rPr>
          <w:rFonts w:ascii="Times New Roman" w:hAnsi="Times New Roman" w:hint="eastAsia"/>
          <w:color w:val="000000" w:themeColor="text1"/>
          <w:kern w:val="0"/>
          <w:szCs w:val="32"/>
        </w:rPr>
        <w:t>參酌</w:t>
      </w:r>
      <w:r w:rsidR="005A6C08" w:rsidRPr="00D41D30">
        <w:rPr>
          <w:rFonts w:ascii="Times New Roman" w:hAnsi="Times New Roman" w:hint="eastAsia"/>
          <w:color w:val="000000" w:themeColor="text1"/>
          <w:kern w:val="0"/>
          <w:szCs w:val="32"/>
        </w:rPr>
        <w:t>。</w:t>
      </w:r>
      <w:r w:rsidR="00596F03" w:rsidRPr="00D41D30">
        <w:rPr>
          <w:rFonts w:ascii="Times New Roman" w:hAnsi="Times New Roman" w:hint="eastAsia"/>
          <w:color w:val="000000" w:themeColor="text1"/>
          <w:kern w:val="0"/>
          <w:szCs w:val="32"/>
        </w:rPr>
        <w:t>是以，</w:t>
      </w:r>
      <w:r w:rsidR="003E1F49" w:rsidRPr="00D41D30">
        <w:rPr>
          <w:rFonts w:hint="eastAsia"/>
          <w:color w:val="000000" w:themeColor="text1"/>
        </w:rPr>
        <w:t>高齡教育辦理迄今已逾10年，整體國家政策之定位及願景均不明確，橫向聯繫不足，各類型績效評核</w:t>
      </w:r>
      <w:r w:rsidR="00D251DC" w:rsidRPr="00D41D30">
        <w:rPr>
          <w:rFonts w:hint="eastAsia"/>
          <w:color w:val="000000" w:themeColor="text1"/>
        </w:rPr>
        <w:t>、</w:t>
      </w:r>
      <w:r w:rsidR="003E1F49" w:rsidRPr="00D41D30">
        <w:rPr>
          <w:rFonts w:hint="eastAsia"/>
          <w:color w:val="000000" w:themeColor="text1"/>
        </w:rPr>
        <w:t>檢討機制</w:t>
      </w:r>
      <w:r w:rsidR="00D251DC" w:rsidRPr="00D41D30">
        <w:rPr>
          <w:rFonts w:hint="eastAsia"/>
          <w:color w:val="000000" w:themeColor="text1"/>
        </w:rPr>
        <w:t>及退場機制</w:t>
      </w:r>
      <w:r w:rsidR="003E1F49" w:rsidRPr="00D41D30">
        <w:rPr>
          <w:rFonts w:hint="eastAsia"/>
          <w:color w:val="000000" w:themeColor="text1"/>
        </w:rPr>
        <w:t>闕如，外界相關批評及建議均不斷湧入，</w:t>
      </w:r>
      <w:r w:rsidR="00A06C2A" w:rsidRPr="00D41D30">
        <w:rPr>
          <w:rFonts w:hint="eastAsia"/>
          <w:color w:val="000000" w:themeColor="text1"/>
        </w:rPr>
        <w:t>政府允應</w:t>
      </w:r>
      <w:r w:rsidR="00FD3CE2" w:rsidRPr="00D41D30">
        <w:rPr>
          <w:rFonts w:hint="eastAsia"/>
          <w:color w:val="000000" w:themeColor="text1"/>
        </w:rPr>
        <w:t>儘速</w:t>
      </w:r>
      <w:r w:rsidR="00A06C2A" w:rsidRPr="00D41D30">
        <w:rPr>
          <w:rFonts w:hint="eastAsia"/>
          <w:color w:val="000000" w:themeColor="text1"/>
        </w:rPr>
        <w:t>全盤檢討</w:t>
      </w:r>
      <w:r w:rsidR="00852576" w:rsidRPr="00D41D30">
        <w:rPr>
          <w:rFonts w:hint="eastAsia"/>
          <w:color w:val="000000" w:themeColor="text1"/>
        </w:rPr>
        <w:t>，作為後續</w:t>
      </w:r>
      <w:r w:rsidR="00A06C2A" w:rsidRPr="00D41D30">
        <w:rPr>
          <w:rFonts w:hint="eastAsia"/>
          <w:color w:val="000000" w:themeColor="text1"/>
        </w:rPr>
        <w:t>規劃因應</w:t>
      </w:r>
      <w:r w:rsidR="00852576" w:rsidRPr="00D41D30">
        <w:rPr>
          <w:rFonts w:hint="eastAsia"/>
          <w:color w:val="000000" w:themeColor="text1"/>
        </w:rPr>
        <w:t>措施基礎</w:t>
      </w:r>
      <w:r w:rsidR="00A06C2A" w:rsidRPr="00D41D30">
        <w:rPr>
          <w:rFonts w:hint="eastAsia"/>
          <w:color w:val="000000" w:themeColor="text1"/>
        </w:rPr>
        <w:t>，方為正辦</w:t>
      </w:r>
      <w:r w:rsidRPr="00D41D30">
        <w:rPr>
          <w:rFonts w:hint="eastAsia"/>
          <w:color w:val="000000" w:themeColor="text1"/>
        </w:rPr>
        <w:t>。</w:t>
      </w:r>
      <w:bookmarkEnd w:id="1175"/>
      <w:bookmarkEnd w:id="1176"/>
      <w:bookmarkEnd w:id="1177"/>
      <w:bookmarkEnd w:id="1178"/>
      <w:bookmarkEnd w:id="1179"/>
      <w:bookmarkEnd w:id="1180"/>
      <w:bookmarkEnd w:id="1181"/>
    </w:p>
    <w:p w:rsidR="00FD09A8" w:rsidRPr="00D41D30" w:rsidRDefault="00FD09A8" w:rsidP="00FD09A8">
      <w:pPr>
        <w:pStyle w:val="3"/>
        <w:rPr>
          <w:color w:val="000000" w:themeColor="text1"/>
        </w:rPr>
      </w:pPr>
      <w:bookmarkStart w:id="1182" w:name="_Toc32392543"/>
      <w:bookmarkStart w:id="1183" w:name="_Toc32673734"/>
      <w:bookmarkStart w:id="1184" w:name="_Toc32846613"/>
      <w:bookmarkStart w:id="1185" w:name="_Toc32918529"/>
      <w:bookmarkStart w:id="1186" w:name="_Toc33011816"/>
      <w:bookmarkEnd w:id="1171"/>
      <w:bookmarkEnd w:id="1172"/>
      <w:r w:rsidRPr="00D41D30">
        <w:rPr>
          <w:rFonts w:hint="eastAsia"/>
          <w:color w:val="000000" w:themeColor="text1"/>
        </w:rPr>
        <w:t>綜上論述，我國自古</w:t>
      </w:r>
      <w:r w:rsidR="007B07FA" w:rsidRPr="00D41D30">
        <w:rPr>
          <w:rFonts w:hint="eastAsia"/>
          <w:color w:val="000000" w:themeColor="text1"/>
        </w:rPr>
        <w:t>以來</w:t>
      </w:r>
      <w:r w:rsidRPr="00D41D30">
        <w:rPr>
          <w:rFonts w:hint="eastAsia"/>
          <w:color w:val="000000" w:themeColor="text1"/>
        </w:rPr>
        <w:t>雖有活到老學到老之觀念，然</w:t>
      </w:r>
      <w:r w:rsidR="00234995" w:rsidRPr="00D41D30">
        <w:rPr>
          <w:rFonts w:hint="eastAsia"/>
          <w:color w:val="000000" w:themeColor="text1"/>
        </w:rPr>
        <w:t>許多高齡者終身教育</w:t>
      </w:r>
      <w:r w:rsidRPr="00D41D30">
        <w:rPr>
          <w:rFonts w:hint="eastAsia"/>
          <w:color w:val="000000" w:themeColor="text1"/>
        </w:rPr>
        <w:t>政策仍多循國外趨勢演進，</w:t>
      </w:r>
      <w:r w:rsidR="00093B13" w:rsidRPr="00D41D30">
        <w:rPr>
          <w:rFonts w:hint="eastAsia"/>
          <w:color w:val="000000" w:themeColor="text1"/>
        </w:rPr>
        <w:t>未見整體國家政策系統性架構。</w:t>
      </w:r>
      <w:r w:rsidRPr="00D41D30">
        <w:rPr>
          <w:color w:val="000000" w:themeColor="text1"/>
        </w:rPr>
        <w:t>1996</w:t>
      </w:r>
      <w:r w:rsidRPr="00D41D30">
        <w:rPr>
          <w:rFonts w:hint="eastAsia"/>
          <w:color w:val="000000" w:themeColor="text1"/>
        </w:rPr>
        <w:t>年</w:t>
      </w:r>
      <w:r w:rsidRPr="00D41D30">
        <w:rPr>
          <w:color w:val="000000" w:themeColor="text1"/>
        </w:rPr>
        <w:t>OECD</w:t>
      </w:r>
      <w:r w:rsidRPr="00D41D30">
        <w:rPr>
          <w:rFonts w:hint="eastAsia"/>
          <w:color w:val="000000" w:themeColor="text1"/>
        </w:rPr>
        <w:t>《全民終身學習》（</w:t>
      </w:r>
      <w:r w:rsidRPr="00D41D30">
        <w:rPr>
          <w:color w:val="000000" w:themeColor="text1"/>
        </w:rPr>
        <w:t>Lifelong Learning for All</w:t>
      </w:r>
      <w:r w:rsidRPr="00D41D30">
        <w:rPr>
          <w:rFonts w:hint="eastAsia"/>
          <w:color w:val="000000" w:themeColor="text1"/>
        </w:rPr>
        <w:t>）報告書，明確指出終身教育的目的，係透過終身學習促進個人發展、社會凝聚和經濟成長，讓所有人不論年齡或教育階段，都受到激勵並積極參與學習。基本觀念乃強調個人處於文化與科技快速變遷的社會，過好生活必須終身不斷學習等理念，是以終身學習應涵</w:t>
      </w:r>
      <w:r w:rsidR="00FB411F" w:rsidRPr="00D41D30">
        <w:rPr>
          <w:rFonts w:hint="eastAsia"/>
          <w:color w:val="000000" w:themeColor="text1"/>
        </w:rPr>
        <w:t>蓋年長者之學</w:t>
      </w:r>
      <w:r w:rsidR="00FB411F" w:rsidRPr="00D41D30">
        <w:rPr>
          <w:rFonts w:hint="eastAsia"/>
          <w:color w:val="000000" w:themeColor="text1"/>
        </w:rPr>
        <w:lastRenderedPageBreak/>
        <w:t>習；而我國則將</w:t>
      </w:r>
      <w:r w:rsidRPr="00D41D30">
        <w:rPr>
          <w:color w:val="000000" w:themeColor="text1"/>
        </w:rPr>
        <w:t>87</w:t>
      </w:r>
      <w:r w:rsidRPr="00D41D30">
        <w:rPr>
          <w:rFonts w:hint="eastAsia"/>
          <w:color w:val="000000" w:themeColor="text1"/>
        </w:rPr>
        <w:t>年訂為終身學習年，同年發表「邁向學習社會」白皮書，據以執行終身教育政策，反觀高齡終身教育部分，我國雖早在82年即正式邁入聯合國定義之高齡化社會，教育部亦於95年發表老人教育政策白皮書，然現行主要高齡終身教育僅有教育部樂齡學習體系，相關措施包括樂齡中心、樂齡大學、高齡自主學習團體等，分別針對</w:t>
      </w:r>
      <w:r w:rsidR="003E1F49" w:rsidRPr="00D41D30">
        <w:rPr>
          <w:rFonts w:hint="eastAsia"/>
          <w:color w:val="000000" w:themeColor="text1"/>
        </w:rPr>
        <w:t>高齡不同學習需求者提供就近而普遍之學習機會，以期促使老有所用，</w:t>
      </w:r>
      <w:r w:rsidRPr="00D41D30">
        <w:rPr>
          <w:rFonts w:hint="eastAsia"/>
          <w:color w:val="000000" w:themeColor="text1"/>
        </w:rPr>
        <w:t>況國家發展委員會推估我國將於2026年即將迎向超高齡社會，屆時高齡教育措施及相關需求恐緩不濟急，爰行政院後續允應積極督導檢討辦理，以提供前瞻而完整之高齡學習機會及品質，促使正向迎接未來</w:t>
      </w:r>
      <w:r w:rsidR="00D251DC" w:rsidRPr="00D41D30">
        <w:rPr>
          <w:rFonts w:hint="eastAsia"/>
          <w:color w:val="000000" w:themeColor="text1"/>
        </w:rPr>
        <w:t>超</w:t>
      </w:r>
      <w:r w:rsidRPr="00D41D30">
        <w:rPr>
          <w:rFonts w:hint="eastAsia"/>
          <w:color w:val="000000" w:themeColor="text1"/>
        </w:rPr>
        <w:t>高齡人口社會之來臨</w:t>
      </w:r>
      <w:r w:rsidR="003E1F49" w:rsidRPr="00D41D30">
        <w:rPr>
          <w:rFonts w:hint="eastAsia"/>
          <w:color w:val="000000" w:themeColor="text1"/>
        </w:rPr>
        <w:t>。</w:t>
      </w:r>
      <w:bookmarkEnd w:id="1182"/>
      <w:bookmarkEnd w:id="1183"/>
      <w:bookmarkEnd w:id="1184"/>
      <w:bookmarkEnd w:id="1185"/>
      <w:bookmarkEnd w:id="1186"/>
    </w:p>
    <w:p w:rsidR="003872FF" w:rsidRPr="00D41D30" w:rsidRDefault="003872FF" w:rsidP="003872FF">
      <w:pPr>
        <w:pStyle w:val="2"/>
        <w:spacing w:beforeLines="100" w:before="457"/>
        <w:ind w:leftChars="101" w:left="1024" w:hanging="680"/>
        <w:rPr>
          <w:b/>
          <w:color w:val="000000" w:themeColor="text1"/>
        </w:rPr>
      </w:pPr>
      <w:bookmarkStart w:id="1187" w:name="_Toc33011828"/>
      <w:bookmarkStart w:id="1188" w:name="_Toc33011817"/>
      <w:r w:rsidRPr="00D41D30">
        <w:rPr>
          <w:rFonts w:hint="eastAsia"/>
          <w:b/>
          <w:color w:val="000000" w:themeColor="text1"/>
        </w:rPr>
        <w:t>教育部79年訂定「社會教育工作綱要」，內涵包括再就業、教育教材及生活調適課程等，涉及高齡者學習需求、經濟、福利及醫療等生活層面</w:t>
      </w:r>
      <w:r w:rsidRPr="00D41D30">
        <w:rPr>
          <w:rFonts w:hAnsi="標楷體" w:hint="eastAsia"/>
          <w:b/>
          <w:color w:val="000000" w:themeColor="text1"/>
        </w:rPr>
        <w:t>；又該部106年「</w:t>
      </w:r>
      <w:r w:rsidRPr="00D41D30">
        <w:rPr>
          <w:rFonts w:hAnsi="標楷體" w:hint="eastAsia"/>
          <w:b/>
          <w:color w:val="000000" w:themeColor="text1"/>
          <w:szCs w:val="32"/>
        </w:rPr>
        <w:t>高齡教育中程發展計畫」所涉之單位，包含</w:t>
      </w:r>
      <w:r w:rsidRPr="00D41D30">
        <w:rPr>
          <w:rFonts w:hAnsi="標楷體" w:hint="eastAsia"/>
          <w:b/>
          <w:bCs w:val="0"/>
          <w:color w:val="000000" w:themeColor="text1"/>
          <w:szCs w:val="32"/>
        </w:rPr>
        <w:t>內政部、勞動部、經濟部、行政院人事行政總處、原住民族委員會、農委會、文化部、退輔會、衛福部、交通部等10個部會、地方政府及教育部各相關單位</w:t>
      </w:r>
      <w:r w:rsidRPr="00D41D30">
        <w:rPr>
          <w:rFonts w:hint="eastAsia"/>
          <w:b/>
          <w:color w:val="000000" w:themeColor="text1"/>
        </w:rPr>
        <w:t>，顯見高齡者終身教育體系環環相扣，密不可分；而現行關於老人福利法係由衛福部主政、終身學習法由教育部統籌，部分地方自治事項如在地化終身學習則由直轄市(縣市)政府主管，惟針對整體人口老化及教育措施之相關國家發展政策，涉機構整合</w:t>
      </w:r>
      <w:r w:rsidRPr="00D41D30">
        <w:rPr>
          <w:rFonts w:hAnsi="標楷體" w:hint="eastAsia"/>
          <w:b/>
          <w:color w:val="000000" w:themeColor="text1"/>
        </w:rPr>
        <w:t>、</w:t>
      </w:r>
      <w:r w:rsidRPr="00D41D30">
        <w:rPr>
          <w:rFonts w:hint="eastAsia"/>
          <w:b/>
          <w:color w:val="000000" w:themeColor="text1"/>
        </w:rPr>
        <w:t>法制化、經濟穩定、勞動力發展</w:t>
      </w:r>
      <w:r w:rsidRPr="00D41D30">
        <w:rPr>
          <w:rFonts w:hAnsi="標楷體" w:hint="eastAsia"/>
          <w:b/>
          <w:color w:val="000000" w:themeColor="text1"/>
        </w:rPr>
        <w:t>、環境</w:t>
      </w:r>
      <w:r w:rsidRPr="00D41D30">
        <w:rPr>
          <w:rFonts w:hint="eastAsia"/>
          <w:b/>
          <w:color w:val="000000" w:themeColor="text1"/>
        </w:rPr>
        <w:t>設施及長期照護及健康促進發展等，高齡者教育措施顯難於國家發展架構之外單獨具體實踐，應立基於健</w:t>
      </w:r>
      <w:r w:rsidRPr="00D41D30">
        <w:rPr>
          <w:rFonts w:hint="eastAsia"/>
          <w:b/>
          <w:color w:val="000000" w:themeColor="text1"/>
        </w:rPr>
        <w:lastRenderedPageBreak/>
        <w:t>康安全、經濟穩定、與社會福利等國家整體政策基礎下運行，惟我國長期高齡教育相關事宜，竟未有政府跨部會統合機關，政出多門，各機關事權不一，肇致各項單一政策實施卻缺乏系統盤整、永續規劃，資源分散或重置之現象處處可見；本案外界建議多指政府仍有未見整合之情形，均不利於整體高齡教育資源配置及長期政策統籌發展，洵有未當，行政院後續允應確實檢討整合，俾國家有限資源能發揮整體運用之最大綜效</w:t>
      </w:r>
      <w:bookmarkEnd w:id="1187"/>
    </w:p>
    <w:p w:rsidR="003872FF" w:rsidRPr="00D41D30" w:rsidRDefault="003872FF" w:rsidP="003872FF">
      <w:pPr>
        <w:pStyle w:val="3"/>
        <w:rPr>
          <w:rFonts w:hAnsi="標楷體"/>
          <w:color w:val="000000" w:themeColor="text1"/>
        </w:rPr>
      </w:pPr>
      <w:bookmarkStart w:id="1189" w:name="_Toc32673756"/>
      <w:bookmarkStart w:id="1190" w:name="_Toc32846635"/>
      <w:bookmarkStart w:id="1191" w:name="_Toc32918542"/>
      <w:bookmarkStart w:id="1192" w:name="_Toc33011829"/>
      <w:bookmarkStart w:id="1193" w:name="_Toc30512581"/>
      <w:bookmarkStart w:id="1194" w:name="_Toc30581289"/>
      <w:bookmarkStart w:id="1195" w:name="_Toc32392565"/>
      <w:r w:rsidRPr="00D41D30">
        <w:rPr>
          <w:rFonts w:hint="eastAsia"/>
          <w:color w:val="000000" w:themeColor="text1"/>
        </w:rPr>
        <w:t>按憲法第162條規定：「全國公私立之教育文化機關，依法律受國家之監督。」次按老人福利法第1條明定立法目的，係為維護老人尊嚴與健康，延緩老人失能，安定老人生活，保障老人權益，增進老人福利法。又同法第3條第1項則規定，主管機關：在中央為衛福部；在直轄市為直轄市政府；在縣（市）為縣（市）政府；同條第3項針對主管機關及各目的事業主管機關權責劃分，規定如下：</w:t>
      </w:r>
      <w:r w:rsidRPr="00D41D30">
        <w:rPr>
          <w:rFonts w:hAnsi="標楷體" w:hint="eastAsia"/>
          <w:color w:val="000000" w:themeColor="text1"/>
        </w:rPr>
        <w:t>一、主管機關：主管老人權益保障之規劃、推動及監督等事項。二、衛生主管機關：主管老人預防保健、心理衛生、醫療、復健與連續性照護之規劃、推動及監督等事項。三、教育主管機關：主管老人教育、老人服務之人才培育與高齡化社會教育之規劃、推動及監督等事項。四、勞工主管機關：主管老人就業促進及免於歧視、支援員工照顧老人家屬與照顧服務員技能檢定之規劃、推動及監督等事項。五、都市計畫、建設、工務主管機關：主管老人住宅建築管理、老人服務設施、公共設施與建築物無障礙生活環境等相關事宜之規劃、推動及監督等事項。六、住宅主管機關：主管供老人居住之社會住宅、購</w:t>
      </w:r>
      <w:r w:rsidRPr="00D41D30">
        <w:rPr>
          <w:rFonts w:hAnsi="標楷體" w:hint="eastAsia"/>
          <w:color w:val="000000" w:themeColor="text1"/>
        </w:rPr>
        <w:lastRenderedPageBreak/>
        <w:t>租屋協助之規劃及推動事項。七、交通主管機關：主管老人搭乘大眾運輸工具、行人與駕駛安全之規劃、推動及監督等事項。八、金融主管機關：主管本法相關金融、商業保險、財產信託措施之規劃、推動及監督等事項。九、警政主管機關：主管老人失蹤協尋、預防詐騙及交通安全宣導之規劃、推動及監督等事項。十、消防主管機關：主管本法相關消防安全管理之規劃、推動及監督等事項。十一、其他措施由各相關目的事業主管機關依職權規劃辦理。另</w:t>
      </w:r>
      <w:r w:rsidRPr="00D41D30">
        <w:rPr>
          <w:rFonts w:hint="eastAsia"/>
          <w:color w:val="000000" w:themeColor="text1"/>
        </w:rPr>
        <w:t>按同第3條第3項第3款規定，教育主管機關主管老人教育、老人服務之人才培育與高齡化社會教育之規劃、推動及監督等事項。</w:t>
      </w:r>
      <w:r w:rsidRPr="00D41D30">
        <w:rPr>
          <w:rFonts w:hAnsi="標楷體" w:hint="eastAsia"/>
          <w:color w:val="000000" w:themeColor="text1"/>
        </w:rPr>
        <w:t>是以，關於「老人」福利事項（含高齡者教育政策及措施）難謂為一獨立之單項選擇，具有</w:t>
      </w:r>
      <w:r w:rsidRPr="00D41D30">
        <w:rPr>
          <w:rFonts w:hint="eastAsia"/>
          <w:color w:val="000000" w:themeColor="text1"/>
        </w:rPr>
        <w:t>連續、動態相互性關聯，</w:t>
      </w:r>
      <w:r w:rsidRPr="00D41D30">
        <w:rPr>
          <w:rFonts w:hAnsi="標楷體" w:hint="eastAsia"/>
          <w:color w:val="000000" w:themeColor="text1"/>
        </w:rPr>
        <w:t>應立基於健康安全、經濟穩定、與社會福利等國家整體政策基礎下運行，爰高齡者教育政策下更隱含著政府對於國家面對超高齡化市場之規模經濟、環境更新、長期照護及勞動力需求等國家政策結構性之根本考量，尚難以侷限單一主管機關業務或本位思考。</w:t>
      </w:r>
      <w:bookmarkEnd w:id="1189"/>
      <w:bookmarkEnd w:id="1190"/>
      <w:bookmarkEnd w:id="1191"/>
      <w:bookmarkEnd w:id="1192"/>
    </w:p>
    <w:p w:rsidR="003872FF" w:rsidRPr="00D41D30" w:rsidRDefault="003872FF" w:rsidP="003872FF">
      <w:pPr>
        <w:pStyle w:val="3"/>
        <w:rPr>
          <w:color w:val="000000" w:themeColor="text1"/>
        </w:rPr>
      </w:pPr>
      <w:bookmarkStart w:id="1196" w:name="_Toc32673757"/>
      <w:bookmarkStart w:id="1197" w:name="_Toc32846636"/>
      <w:bookmarkStart w:id="1198" w:name="_Toc32918543"/>
      <w:bookmarkStart w:id="1199" w:name="_Toc33011830"/>
      <w:r w:rsidRPr="00D41D30">
        <w:rPr>
          <w:rFonts w:hAnsi="標楷體" w:hint="eastAsia"/>
          <w:color w:val="000000" w:themeColor="text1"/>
        </w:rPr>
        <w:t>復按終身學習法立法目的包括鼓勵終身學習，推動終身教育，強化社會教育，增進學習機會，提升國民素質，此為該法第1條開宗明義揭櫫，</w:t>
      </w:r>
      <w:r w:rsidRPr="00D41D30">
        <w:rPr>
          <w:rFonts w:hint="eastAsia"/>
          <w:color w:val="000000" w:themeColor="text1"/>
        </w:rPr>
        <w:t>並說明所謂的終身教育是指「個人在生命全程中所從事之各類學習活動」。且按同法第2條規定：主管機關在中央為教育部；在直轄市為直轄市政府；在縣（市）為縣（市）政府。第5條規定：為促進終身學習，各級地方政府應結合民間非營利機構、組織及團體，並依該地區既有各類終身</w:t>
      </w:r>
      <w:r w:rsidRPr="00D41D30">
        <w:rPr>
          <w:rFonts w:hint="eastAsia"/>
          <w:color w:val="000000" w:themeColor="text1"/>
        </w:rPr>
        <w:lastRenderedPageBreak/>
        <w:t>學習活動，研擬終身學習整體計畫，送各主管機關之終身學習推展委員會審議通過後實施。第10條規定：各級政府應結合各級各類社會教育及文化機構，並利用民間非營利機構、組織及團體資源，建構學習網路體系，開拓國民終身學習機會。第12條規定：各級主管機關應建立各級各類回流教育制度，提供學習機會，以滿足國民終身學習需求。又102年1月1日起，配合教育部組織調整，過去「社會教育司」更名為「終身教育司」，下分4科，包括成人及社區教育科、家庭及高齡教育科、社教機構及教育基金會科、閱讀及語文教育科，負責各項業務，整體推展終身教育。是以，教育部為我國最高教育行政主管機關，對於目前高齡教育或終身學習及相關政策政出多門，各機關事權不一致資源分散或重置之現象處處可見之問題，實應扮演重要溝通機關。</w:t>
      </w:r>
      <w:bookmarkEnd w:id="1193"/>
      <w:bookmarkEnd w:id="1194"/>
      <w:bookmarkEnd w:id="1195"/>
      <w:bookmarkEnd w:id="1196"/>
      <w:bookmarkEnd w:id="1197"/>
      <w:bookmarkEnd w:id="1198"/>
      <w:bookmarkEnd w:id="1199"/>
    </w:p>
    <w:p w:rsidR="003872FF" w:rsidRPr="00D41D30" w:rsidRDefault="003872FF" w:rsidP="003872FF">
      <w:pPr>
        <w:pStyle w:val="3"/>
        <w:rPr>
          <w:color w:val="000000" w:themeColor="text1"/>
        </w:rPr>
      </w:pPr>
      <w:bookmarkStart w:id="1200" w:name="_Toc32392566"/>
      <w:bookmarkStart w:id="1201" w:name="_Toc32673758"/>
      <w:bookmarkStart w:id="1202" w:name="_Toc32846637"/>
      <w:bookmarkStart w:id="1203" w:name="_Toc32918544"/>
      <w:bookmarkStart w:id="1204" w:name="_Toc33011831"/>
      <w:r w:rsidRPr="00D41D30">
        <w:rPr>
          <w:rFonts w:hint="eastAsia"/>
          <w:color w:val="000000" w:themeColor="text1"/>
        </w:rPr>
        <w:t>此外，經查過去為我國重要的社會教育法令之一</w:t>
      </w:r>
      <w:r w:rsidRPr="00D41D30">
        <w:rPr>
          <w:rFonts w:hAnsi="標楷體" w:hint="eastAsia"/>
          <w:color w:val="000000" w:themeColor="text1"/>
        </w:rPr>
        <w:t>「</w:t>
      </w:r>
      <w:r w:rsidRPr="00D41D30">
        <w:rPr>
          <w:rFonts w:hint="eastAsia"/>
          <w:color w:val="000000" w:themeColor="text1"/>
        </w:rPr>
        <w:t>社會教育工作綱要</w:t>
      </w:r>
      <w:r w:rsidRPr="00D41D30">
        <w:rPr>
          <w:rFonts w:hAnsi="標楷體" w:hint="eastAsia"/>
          <w:color w:val="000000" w:themeColor="text1"/>
        </w:rPr>
        <w:t>」之</w:t>
      </w:r>
      <w:r w:rsidRPr="00D41D30">
        <w:rPr>
          <w:rFonts w:hint="eastAsia"/>
          <w:color w:val="000000" w:themeColor="text1"/>
        </w:rPr>
        <w:t>實施源起</w:t>
      </w:r>
      <w:r w:rsidRPr="00D41D30">
        <w:rPr>
          <w:rStyle w:val="aff0"/>
          <w:color w:val="000000" w:themeColor="text1"/>
        </w:rPr>
        <w:footnoteReference w:id="19"/>
      </w:r>
      <w:r w:rsidRPr="00D41D30">
        <w:rPr>
          <w:rFonts w:hint="eastAsia"/>
          <w:color w:val="000000" w:themeColor="text1"/>
        </w:rPr>
        <w:t>，係教育部為因應我國社會文化發展，配合國家整體建設與全民終身教育需求，依據社會教育法意旨所制定。此綱要於78年5月進行研擬工作，由是時教育部之社會教育司（現為終身教育司，下同）負責策劃，並邀請多位學者專家、行政主管共同參與，於79年2月14日正式發布實施。該綱要訂定原則、範圍及內容、實施要領及目標等，相關範圍及內容略以：(1)成人教育；(2)家庭教育；(3)</w:t>
      </w:r>
      <w:r w:rsidRPr="00D41D30">
        <w:rPr>
          <w:rFonts w:hint="eastAsia"/>
          <w:color w:val="000000" w:themeColor="text1"/>
        </w:rPr>
        <w:lastRenderedPageBreak/>
        <w:t>文化教育；(4)藝術教育；(5)大眾科技教育；(6)交通安全教育；(7)圖書館教育；(8)博物館教育；(9)視聽教育。其中，包含老人的實施要點如后：</w:t>
      </w:r>
      <w:r w:rsidRPr="00D41D30">
        <w:rPr>
          <w:color w:val="000000" w:themeColor="text1"/>
        </w:rPr>
        <w:t>1.</w:t>
      </w:r>
      <w:r w:rsidRPr="00D41D30">
        <w:rPr>
          <w:rFonts w:hint="eastAsia"/>
          <w:color w:val="000000" w:themeColor="text1"/>
        </w:rPr>
        <w:t>協調有關機關辦理老人再就業之訓練；</w:t>
      </w:r>
      <w:r w:rsidRPr="00D41D30">
        <w:rPr>
          <w:color w:val="000000" w:themeColor="text1"/>
        </w:rPr>
        <w:t>2.</w:t>
      </w:r>
      <w:r w:rsidRPr="00D41D30">
        <w:rPr>
          <w:rFonts w:hint="eastAsia"/>
          <w:color w:val="000000" w:themeColor="text1"/>
        </w:rPr>
        <w:t>利用廣播電視開辦老人教育課程；</w:t>
      </w:r>
      <w:r w:rsidRPr="00D41D30">
        <w:rPr>
          <w:color w:val="000000" w:themeColor="text1"/>
        </w:rPr>
        <w:t>3.</w:t>
      </w:r>
      <w:r w:rsidRPr="00D41D30">
        <w:rPr>
          <w:rFonts w:hint="eastAsia"/>
          <w:color w:val="000000" w:themeColor="text1"/>
        </w:rPr>
        <w:t>協調社教機構辦理老人退休前、後及生活調適系列講座；</w:t>
      </w:r>
      <w:r w:rsidRPr="00D41D30">
        <w:rPr>
          <w:color w:val="000000" w:themeColor="text1"/>
        </w:rPr>
        <w:t>4.</w:t>
      </w:r>
      <w:r w:rsidRPr="00D41D30">
        <w:rPr>
          <w:rFonts w:hint="eastAsia"/>
          <w:color w:val="000000" w:themeColor="text1"/>
        </w:rPr>
        <w:t>規劃老人教育課程，編訂教材。</w:t>
      </w:r>
      <w:bookmarkEnd w:id="1200"/>
      <w:bookmarkEnd w:id="1201"/>
      <w:bookmarkEnd w:id="1202"/>
      <w:bookmarkEnd w:id="1203"/>
      <w:r w:rsidRPr="00D41D30">
        <w:rPr>
          <w:rFonts w:hint="eastAsia"/>
          <w:color w:val="000000" w:themeColor="text1"/>
        </w:rPr>
        <w:t>基此，相關內涵包括再就業、教育教材及生活調適課程等，涉及高齡者學習需求、經濟、福利及醫療等生活層面。</w:t>
      </w:r>
      <w:bookmarkEnd w:id="1204"/>
    </w:p>
    <w:p w:rsidR="003872FF" w:rsidRPr="00D41D30" w:rsidRDefault="003872FF" w:rsidP="003872FF">
      <w:pPr>
        <w:pStyle w:val="3"/>
        <w:rPr>
          <w:color w:val="000000" w:themeColor="text1"/>
        </w:rPr>
      </w:pPr>
      <w:bookmarkStart w:id="1205" w:name="_Toc32392567"/>
      <w:bookmarkStart w:id="1206" w:name="_Toc32673759"/>
      <w:bookmarkStart w:id="1207" w:name="_Toc32846638"/>
      <w:bookmarkStart w:id="1208" w:name="_Toc32918545"/>
      <w:bookmarkStart w:id="1209" w:name="_Toc33011832"/>
      <w:r w:rsidRPr="00D41D30">
        <w:rPr>
          <w:rFonts w:hint="eastAsia"/>
          <w:color w:val="000000" w:themeColor="text1"/>
        </w:rPr>
        <w:t>另依行政院於58年發布，歷經103年12月27日院臺法字第1030073343號等核定修正之</w:t>
      </w:r>
      <w:r w:rsidRPr="00D41D30">
        <w:rPr>
          <w:rFonts w:hAnsi="標楷體" w:hint="eastAsia"/>
          <w:color w:val="000000" w:themeColor="text1"/>
        </w:rPr>
        <w:t>「</w:t>
      </w:r>
      <w:r w:rsidRPr="00D41D30">
        <w:rPr>
          <w:rFonts w:hint="eastAsia"/>
          <w:color w:val="000000" w:themeColor="text1"/>
        </w:rPr>
        <w:t>中華民國人口政策綱領</w:t>
      </w:r>
      <w:r w:rsidRPr="00D41D30">
        <w:rPr>
          <w:rFonts w:hAnsi="標楷體" w:hint="eastAsia"/>
          <w:color w:val="000000" w:themeColor="text1"/>
        </w:rPr>
        <w:t>」</w:t>
      </w:r>
      <w:r w:rsidRPr="00D41D30">
        <w:rPr>
          <w:rFonts w:hint="eastAsia"/>
          <w:color w:val="000000" w:themeColor="text1"/>
        </w:rPr>
        <w:t>載明</w:t>
      </w:r>
      <w:r w:rsidRPr="00D41D30">
        <w:rPr>
          <w:rStyle w:val="aff0"/>
          <w:color w:val="000000" w:themeColor="text1"/>
        </w:rPr>
        <w:footnoteReference w:id="20"/>
      </w:r>
      <w:r w:rsidRPr="00D41D30">
        <w:rPr>
          <w:rFonts w:hint="eastAsia"/>
          <w:color w:val="000000" w:themeColor="text1"/>
        </w:rPr>
        <w:t>：人口為國家基本要素之一，其組成、素質、分布、發展及遷徙等面向，關係國家之發展與社會福祉……等語。其中</w:t>
      </w:r>
      <w:r w:rsidRPr="00D41D30">
        <w:rPr>
          <w:rFonts w:hAnsi="標楷體" w:hint="eastAsia"/>
          <w:color w:val="000000" w:themeColor="text1"/>
        </w:rPr>
        <w:t>「</w:t>
      </w:r>
      <w:r w:rsidRPr="00D41D30">
        <w:rPr>
          <w:rFonts w:hint="eastAsia"/>
          <w:color w:val="000000" w:themeColor="text1"/>
        </w:rPr>
        <w:t>參</w:t>
      </w:r>
      <w:r w:rsidRPr="00D41D30">
        <w:rPr>
          <w:rFonts w:hAnsi="標楷體" w:hint="eastAsia"/>
          <w:color w:val="000000" w:themeColor="text1"/>
        </w:rPr>
        <w:t>、</w:t>
      </w:r>
      <w:r w:rsidRPr="00D41D30">
        <w:rPr>
          <w:rFonts w:hint="eastAsia"/>
          <w:color w:val="000000" w:themeColor="text1"/>
        </w:rPr>
        <w:t>政策內涵</w:t>
      </w:r>
      <w:r w:rsidRPr="00D41D30">
        <w:rPr>
          <w:rFonts w:hAnsi="標楷體" w:hint="eastAsia"/>
          <w:color w:val="000000" w:themeColor="text1"/>
        </w:rPr>
        <w:t>」</w:t>
      </w:r>
      <w:r w:rsidRPr="00D41D30">
        <w:rPr>
          <w:rFonts w:hint="eastAsia"/>
          <w:color w:val="000000" w:themeColor="text1"/>
        </w:rPr>
        <w:t>之</w:t>
      </w:r>
      <w:r w:rsidRPr="00D41D30">
        <w:rPr>
          <w:rFonts w:hAnsi="標楷體" w:hint="eastAsia"/>
          <w:color w:val="000000" w:themeColor="text1"/>
        </w:rPr>
        <w:t>「</w:t>
      </w:r>
      <w:r w:rsidRPr="00D41D30">
        <w:rPr>
          <w:rFonts w:hint="eastAsia"/>
          <w:color w:val="000000" w:themeColor="text1"/>
        </w:rPr>
        <w:t>三、保障勞動權益及擴大勞動參與</w:t>
      </w:r>
      <w:r w:rsidRPr="00D41D30">
        <w:rPr>
          <w:rFonts w:hAnsi="標楷體" w:hint="eastAsia"/>
          <w:color w:val="000000" w:themeColor="text1"/>
        </w:rPr>
        <w:t>」略以</w:t>
      </w:r>
      <w:r w:rsidRPr="00D41D30">
        <w:rPr>
          <w:rFonts w:hint="eastAsia"/>
          <w:color w:val="000000" w:themeColor="text1"/>
        </w:rPr>
        <w:t>：……（五）開發及運用中高齡及高齡者勞動力，並鼓勵「青銀共創」，促進世代融合與經驗傳承，以充分運用人力資源。（六）營造友善職場，研議漸進式及適齡退休制度，使中高齡在職延長。及</w:t>
      </w:r>
      <w:r w:rsidRPr="00D41D30">
        <w:rPr>
          <w:rFonts w:hAnsi="標楷體" w:hint="eastAsia"/>
          <w:color w:val="000000" w:themeColor="text1"/>
        </w:rPr>
        <w:t>「</w:t>
      </w:r>
      <w:r w:rsidRPr="00D41D30">
        <w:rPr>
          <w:rFonts w:hint="eastAsia"/>
          <w:color w:val="000000" w:themeColor="text1"/>
        </w:rPr>
        <w:t>四、健全社會安全網</w:t>
      </w:r>
      <w:r w:rsidRPr="00D41D30">
        <w:rPr>
          <w:rFonts w:hAnsi="標楷體" w:hint="eastAsia"/>
          <w:color w:val="000000" w:themeColor="text1"/>
        </w:rPr>
        <w:t>」略以</w:t>
      </w:r>
      <w:r w:rsidRPr="00D41D30">
        <w:rPr>
          <w:rFonts w:hint="eastAsia"/>
          <w:color w:val="000000" w:themeColor="text1"/>
        </w:rPr>
        <w:t>：……（四）強化高齡者預防保健知能與服務，提升高齡者生活調適能力，保障高齡者尊嚴自主與身心健康。（七）促進高齡者社會參與，鼓勵高齡者投入志願服務，增加高齡者終身學習，強化世代融合，活躍老年生活。（八）打造友善高齡者生活環境，增加高齡者數位機會，關注高齡者與高齡女性獨特需求，全面提升高齡者福祉。（九）</w:t>
      </w:r>
      <w:r w:rsidRPr="00D41D30">
        <w:rPr>
          <w:rFonts w:hint="eastAsia"/>
          <w:color w:val="000000" w:themeColor="text1"/>
        </w:rPr>
        <w:lastRenderedPageBreak/>
        <w:t>積極推動銀髮產業，充分運用先進科技，開發多元、優質、適齡之商品及服務，以滿足高齡化社會之需求。……。基此，鑒於我國少子化現象與平均壽命不斷延長，未來高齡化速度將更為明顯，而由於少子化及高齡化，工作年齡人口將逐年減少，然因應退休年齡改變，未來中高齡勞動力之運用亦將是重要的議題，此外伴隨高齡勞動力及教育議題，及高齡者身心健康及相關學習需求等，在在顯示未來針對高齡者相關需求之整體國家政策規劃及系統性發展，自中央至地方機關均為重要一環，顯難以僅憑單一部會單打獨鬥完成，相關健康照護</w:t>
      </w:r>
      <w:r w:rsidRPr="00D41D30">
        <w:rPr>
          <w:rFonts w:hAnsi="標楷體" w:hint="eastAsia"/>
          <w:color w:val="000000" w:themeColor="text1"/>
        </w:rPr>
        <w:t>、</w:t>
      </w:r>
      <w:r w:rsidRPr="00D41D30">
        <w:rPr>
          <w:rFonts w:hint="eastAsia"/>
          <w:color w:val="000000" w:themeColor="text1"/>
        </w:rPr>
        <w:t>經濟支持</w:t>
      </w:r>
      <w:r w:rsidRPr="00D41D30">
        <w:rPr>
          <w:rFonts w:hAnsi="標楷體" w:hint="eastAsia"/>
          <w:color w:val="000000" w:themeColor="text1"/>
        </w:rPr>
        <w:t>、</w:t>
      </w:r>
      <w:r w:rsidRPr="00D41D30">
        <w:rPr>
          <w:rFonts w:hint="eastAsia"/>
          <w:color w:val="000000" w:themeColor="text1"/>
        </w:rPr>
        <w:t>勞動力運用</w:t>
      </w:r>
      <w:r w:rsidRPr="00D41D30">
        <w:rPr>
          <w:rFonts w:hAnsi="標楷體" w:hint="eastAsia"/>
          <w:color w:val="000000" w:themeColor="text1"/>
        </w:rPr>
        <w:t>、</w:t>
      </w:r>
      <w:r w:rsidRPr="00D41D30">
        <w:rPr>
          <w:rFonts w:hint="eastAsia"/>
          <w:color w:val="000000" w:themeColor="text1"/>
        </w:rPr>
        <w:t>教育需求及產業發展均為重要議題，關於高齡者教育之擘劃執行亦繫於整體國家政策之運行，亟須行政院統籌各機關及早籌謀因應對策。是以，我國少子化、工作年齡人口減少、高齡化及移民現象變遷速度，均較西方國家為急促，對未來發展的挑戰也將更為嚴峻，此均有待行政院及早籌謀因應對策。</w:t>
      </w:r>
      <w:bookmarkEnd w:id="1205"/>
      <w:bookmarkEnd w:id="1206"/>
      <w:bookmarkEnd w:id="1207"/>
      <w:bookmarkEnd w:id="1208"/>
      <w:bookmarkEnd w:id="1209"/>
    </w:p>
    <w:p w:rsidR="003872FF" w:rsidRPr="00D41D30" w:rsidRDefault="003872FF" w:rsidP="003872FF">
      <w:pPr>
        <w:pStyle w:val="3"/>
        <w:rPr>
          <w:color w:val="000000" w:themeColor="text1"/>
        </w:rPr>
      </w:pPr>
      <w:bookmarkStart w:id="1210" w:name="_Toc32392568"/>
      <w:bookmarkStart w:id="1211" w:name="_Toc32673760"/>
      <w:bookmarkStart w:id="1212" w:name="_Toc32846639"/>
      <w:bookmarkStart w:id="1213" w:name="_Toc32918546"/>
      <w:bookmarkStart w:id="1214" w:name="_Toc33011833"/>
      <w:r w:rsidRPr="00D41D30">
        <w:rPr>
          <w:rFonts w:hint="eastAsia"/>
          <w:color w:val="000000" w:themeColor="text1"/>
        </w:rPr>
        <w:t>此外，行政院歷年雖陸續針對高齡化教育措施於相關政策中提示，如：97年公布「人口政策白皮書─少子女化，高齡化及新移民」，其中明列因應高齡化社會應「建構完整高齡教育系統」，以創新老人教育方式、培植專業人力、建立高齡教育輔導中心及增設空間為主。又於98年公布「友善關懷老人方案」，以活躍老化、友善老人及世代融合為三大核心整合資源推動相關策略。續於103年至105年推動第2期計畫，以健康老化、在地老化、智慧老化、活力老化和樂學老化5大目標，規劃執行策略與工作項目，以建立悅齡親老</w:t>
      </w:r>
      <w:r w:rsidRPr="00D41D30">
        <w:rPr>
          <w:rFonts w:hint="eastAsia"/>
          <w:color w:val="000000" w:themeColor="text1"/>
        </w:rPr>
        <w:lastRenderedPageBreak/>
        <w:t>的社會。104年10月公布「高齡社會白皮書」，將各項樂齡學習工作納入執行策略，逐年擬定實施計畫，亦將高齡教育從個人層面、家庭層面、學校層面及社會層面切入，讓國民具備終身學習理念，才能活到老、學到老，更能活得好，達到「活躍老化」的目標。同時，透過宣導及世代交流活動，以建構在地化的學習場所為主，提供高齡者再教育及再參與社會的機會，降低高齡者被社會排斥與隔離的處境，促進全民對老人及老化的認識，以達到無年齡歧視之敬老親老社會、建構在地化學習體系及強化高齡教育專業化之政策目標。準此，行政院針對整體國家高齡教育措施之擘劃雖有初步政策指引，惟仍缺乏具體事權分工。</w:t>
      </w:r>
      <w:bookmarkEnd w:id="1210"/>
      <w:r w:rsidRPr="00D41D30">
        <w:rPr>
          <w:rFonts w:hint="eastAsia"/>
          <w:color w:val="000000" w:themeColor="text1"/>
        </w:rPr>
        <w:t>此外，</w:t>
      </w:r>
      <w:bookmarkStart w:id="1215" w:name="_Toc30512582"/>
      <w:bookmarkStart w:id="1216" w:name="_Toc30581290"/>
      <w:bookmarkStart w:id="1217" w:name="_Toc32392569"/>
      <w:r w:rsidRPr="00D41D30">
        <w:rPr>
          <w:rFonts w:hint="eastAsia"/>
          <w:color w:val="000000" w:themeColor="text1"/>
        </w:rPr>
        <w:t>經檢視我國</w:t>
      </w:r>
      <w:r w:rsidRPr="00D41D30">
        <w:rPr>
          <w:rFonts w:hAnsi="標楷體" w:hint="eastAsia"/>
          <w:color w:val="000000" w:themeColor="text1"/>
          <w:szCs w:val="32"/>
        </w:rPr>
        <w:t>「高齡教育中程發展計畫」</w:t>
      </w:r>
      <w:r w:rsidRPr="00D41D30">
        <w:rPr>
          <w:rFonts w:hint="eastAsia"/>
          <w:color w:val="000000" w:themeColor="text1"/>
        </w:rPr>
        <w:t>目標四「強化跨域資源整合，營造友善高齡環境」主軸「4.整合高齡教育資源整合，營造世代融合教育」部分，檢視教育部提供4-1-1結合公私部門資源共同推動高齡教育活動等項目等之執行情形，仍多僅止於</w:t>
      </w:r>
      <w:r w:rsidRPr="00D41D30">
        <w:rPr>
          <w:rFonts w:hAnsi="標楷體" w:hint="eastAsia"/>
          <w:bCs w:val="0"/>
          <w:color w:val="000000" w:themeColor="text1"/>
          <w:szCs w:val="32"/>
        </w:rPr>
        <w:t>係採跨部會合作之方式辦理相關會議及經驗交流、業務分享等，仍未見具體長期而延續之</w:t>
      </w:r>
      <w:r w:rsidRPr="00D41D30">
        <w:rPr>
          <w:rFonts w:hAnsi="標楷體" w:hint="eastAsia"/>
          <w:color w:val="000000" w:themeColor="text1"/>
          <w:szCs w:val="32"/>
        </w:rPr>
        <w:t>跨域資源整合或統籌分工情形。</w:t>
      </w:r>
      <w:bookmarkEnd w:id="1211"/>
      <w:bookmarkEnd w:id="1212"/>
      <w:bookmarkEnd w:id="1213"/>
      <w:bookmarkEnd w:id="1214"/>
    </w:p>
    <w:p w:rsidR="003872FF" w:rsidRPr="00D41D30" w:rsidRDefault="003872FF" w:rsidP="003872FF">
      <w:pPr>
        <w:pStyle w:val="3"/>
        <w:rPr>
          <w:color w:val="000000" w:themeColor="text1"/>
        </w:rPr>
      </w:pPr>
      <w:bookmarkStart w:id="1218" w:name="_Toc32673761"/>
      <w:bookmarkStart w:id="1219" w:name="_Toc32846640"/>
      <w:bookmarkStart w:id="1220" w:name="_Toc32918547"/>
      <w:bookmarkStart w:id="1221" w:name="_Toc33011834"/>
      <w:r w:rsidRPr="00D41D30">
        <w:rPr>
          <w:rFonts w:hint="eastAsia"/>
          <w:color w:val="000000" w:themeColor="text1"/>
        </w:rPr>
        <w:t>又本案調查中，據部分縣市相關意見亦指出，「高齡學習網絡的整合，有待更完善的法規來引導」、「措施卻分散於中央部會間而各行其是，資源既未共享更不整合，反而紛至沓來加重基層負擔」等問題。爰本院請教育部說明「終身學習法」及「老人福利法」等相關法制整合，惟該部僅回應將與時俱進提出相關白皮書及中程計畫，如95年公布「邁向高齡社會老人教育政策白皮書」、106年1月公布高齡教育中程發展計畫、刻正規劃</w:t>
      </w:r>
      <w:r w:rsidRPr="00D41D30">
        <w:rPr>
          <w:rFonts w:hint="eastAsia"/>
          <w:color w:val="000000" w:themeColor="text1"/>
        </w:rPr>
        <w:lastRenderedPageBreak/>
        <w:t>「邁向學習社會白皮書2.0暨終身學習中程發展計畫」等，然仍未見法令修正或整合。且據該部108年辦理「高齡教育高峰會議：迎向超高齡臺灣，建構全樂齡社會」之結論：「各出席者提出因應樂齡學習發展及各類講師需求，講師分級分類、課程銜接、機會普及縣市，以及縣市自辦培訓如何連結等講師專業化面向，需要有人才庫及媒合機制，應分級分類培訓及如何擴大培訓；跨域整合方面，包括資源及人才；高齡教育法制化建議及大數據資料庫的建置等。」教育部於本案回應指稱，未有相關專法前，該部均以行政規則為之，行政規則雖非專法，但仍具行政效力執行 經驗並可作為未來法制化之參據。是以，關於高齡教育跨域整合及法制化之建議，政府長期未有計畫及具體因應作為，此均待行政院併予統籌規劃，積極督導教育部等相關機關進行溝通協調整合。</w:t>
      </w:r>
      <w:bookmarkEnd w:id="1215"/>
      <w:bookmarkEnd w:id="1216"/>
      <w:bookmarkEnd w:id="1217"/>
      <w:bookmarkEnd w:id="1218"/>
      <w:bookmarkEnd w:id="1219"/>
      <w:bookmarkEnd w:id="1220"/>
      <w:bookmarkEnd w:id="1221"/>
    </w:p>
    <w:p w:rsidR="003872FF" w:rsidRPr="00D41D30" w:rsidRDefault="003872FF" w:rsidP="003872FF">
      <w:pPr>
        <w:pStyle w:val="3"/>
        <w:rPr>
          <w:color w:val="000000" w:themeColor="text1"/>
        </w:rPr>
      </w:pPr>
      <w:bookmarkStart w:id="1222" w:name="_Toc30512583"/>
      <w:bookmarkStart w:id="1223" w:name="_Toc30581291"/>
      <w:bookmarkStart w:id="1224" w:name="_Toc32392570"/>
      <w:bookmarkStart w:id="1225" w:name="_Toc32673762"/>
      <w:bookmarkStart w:id="1226" w:name="_Toc32846641"/>
      <w:bookmarkStart w:id="1227" w:name="_Toc32918548"/>
      <w:bookmarkStart w:id="1228" w:name="_Toc33011835"/>
      <w:r w:rsidRPr="00D41D30">
        <w:rPr>
          <w:rFonts w:hint="eastAsia"/>
          <w:color w:val="000000" w:themeColor="text1"/>
        </w:rPr>
        <w:t>又，</w:t>
      </w:r>
      <w:r w:rsidRPr="00D41D30">
        <w:rPr>
          <w:color w:val="000000" w:themeColor="text1"/>
        </w:rPr>
        <w:t>106</w:t>
      </w:r>
      <w:r w:rsidRPr="00D41D30">
        <w:rPr>
          <w:rFonts w:hint="eastAsia"/>
          <w:color w:val="000000" w:themeColor="text1"/>
        </w:rPr>
        <w:t>年教育部高齡教育中程發展計畫現行相關政策及方案之檢討亦指出：「高齡教育資源分散有待統整，……跨域：推動跨域資源整合，營造友善學習環境有鑑於高齡社會的到來，高齡者的整體需求及相關議題日漸繁多，高齡學習的推動更需要跨領域與部門的合作與結合，始能克竟其功。因此，本計畫將秉持『資源整合、跨域合作』的理念，加強與高齡者有關的部會及民間組織合作，以導入更多資源，共同推動高齡教育，使高齡社會成為全國民眾共同關切的社會。</w:t>
      </w:r>
      <w:r w:rsidRPr="00D41D30">
        <w:rPr>
          <w:color w:val="000000" w:themeColor="text1"/>
        </w:rPr>
        <w:t xml:space="preserve"> </w:t>
      </w:r>
      <w:r w:rsidRPr="00D41D30">
        <w:rPr>
          <w:rFonts w:hint="eastAsia"/>
          <w:color w:val="000000" w:themeColor="text1"/>
        </w:rPr>
        <w:t>在跨部會合作方面，本計畫將結合相關部會與高齡者有關的政策，展開合作與統整。在退休準備議題上，也可與相關的政府部門、民間企業及社會各</w:t>
      </w:r>
      <w:r w:rsidRPr="00D41D30">
        <w:rPr>
          <w:rFonts w:hint="eastAsia"/>
          <w:color w:val="000000" w:themeColor="text1"/>
        </w:rPr>
        <w:lastRenderedPageBreak/>
        <w:t>類組織與團體進行合作……。」是以，教育部既知目前中央到地方、從衛福、社政部門到教育部門，從政府到民間均可見終身學習課程及活動之辦理，教育部亦希望促進終身學習資源之整合，然在各機關事權不一之情況下，如何整合，均未見研擬具體作為，更遑論整合成效。</w:t>
      </w:r>
      <w:bookmarkEnd w:id="1222"/>
      <w:bookmarkEnd w:id="1223"/>
      <w:bookmarkEnd w:id="1224"/>
      <w:bookmarkEnd w:id="1225"/>
      <w:bookmarkEnd w:id="1226"/>
      <w:bookmarkEnd w:id="1227"/>
      <w:bookmarkEnd w:id="1228"/>
    </w:p>
    <w:p w:rsidR="003872FF" w:rsidRPr="00D41D30" w:rsidRDefault="003872FF" w:rsidP="003872FF">
      <w:pPr>
        <w:pStyle w:val="3"/>
        <w:rPr>
          <w:b/>
          <w:color w:val="000000" w:themeColor="text1"/>
        </w:rPr>
      </w:pPr>
      <w:bookmarkStart w:id="1229" w:name="_Toc30512584"/>
      <w:bookmarkStart w:id="1230" w:name="_Toc30581292"/>
      <w:bookmarkStart w:id="1231" w:name="_Toc32392571"/>
      <w:bookmarkStart w:id="1232" w:name="_Toc32673763"/>
      <w:bookmarkStart w:id="1233" w:name="_Toc32846642"/>
      <w:bookmarkStart w:id="1234" w:name="_Toc32918549"/>
      <w:bookmarkStart w:id="1235" w:name="_Toc33011836"/>
      <w:r w:rsidRPr="00D41D30">
        <w:rPr>
          <w:rFonts w:hint="eastAsia"/>
          <w:color w:val="000000" w:themeColor="text1"/>
        </w:rPr>
        <w:t>另本院調查發現，衛福部補助民間團體設置「社區照顧關懷據點」，提供關懷訪視、電話問安、餐飲服務及健康促進等社區預防照顧服務。截至108年6月30日止，已於全國設置3,619個社區照顧關懷據點，並補助其中525個據點相關設施設備費用，營造友善高齡學習環境。另教育部推動樂齡教育推動體系於全國已有365所樂齡中心，全國樂齡學習中心實施「村里拓點工作」，結合當地村里長辦公室、宗教聚會所、醫院等單位，協助推動樂齡學習村里拓點工作，預計108年達3,006個村里，以落實在地學習。兩者間同為提供老人可近性之服務，資源間可否共享，經本院詢據衛福部代表表示：「社區照顧關懷據點可結合地方政府社會局（處）、衛生局（處）、行政院農委會、勞動部、教育部之相關服務方案或資源，提供老人多元服務選擇，其中亦包含教育部樂齡學習中心所開設之樂齡課程。</w:t>
      </w:r>
      <w:r w:rsidRPr="00D41D30">
        <w:rPr>
          <w:rFonts w:ascii="Times New Roman" w:hAnsi="Times New Roman" w:hint="eastAsia"/>
          <w:color w:val="000000" w:themeColor="text1"/>
          <w:szCs w:val="32"/>
        </w:rPr>
        <w:t>且</w:t>
      </w:r>
      <w:r w:rsidRPr="00D41D30">
        <w:rPr>
          <w:rFonts w:hint="eastAsia"/>
          <w:color w:val="000000" w:themeColor="text1"/>
        </w:rPr>
        <w:t>與教育部推動『樂齡學習中心』之場域空間可共享，以達到服務相輔相成之目的。」另衛福部所設置的關懷據點，欠缺學習成份，如能與教育部高齡自主學習團體帶領人相互結合，據點引進帶領人運作學習活動，更會使據點效能活躍，更直接嘉惠高齡人。此種結合模式，更屬具體可行，尤宜優先考慮。且偏鄉及原民地區之樂齡中心達94所，占全</w:t>
      </w:r>
      <w:r w:rsidRPr="00D41D30">
        <w:rPr>
          <w:rFonts w:hint="eastAsia"/>
          <w:color w:val="000000" w:themeColor="text1"/>
        </w:rPr>
        <w:lastRenderedPageBreak/>
        <w:t>國樂齡中心之25.68%，而多數高齡自主學習團體帶領人亦多在偏鄉運作學習活動，亦是相當良好的資源。教育部與原住民族委員會或地方原民局間之資源如何共享，亦待整合。足證政府機關間存在諸多資源得以共享，，此亦待行政院確實督導教育部本於教育主管機關權責，積極確實檢討全面盤點與相關機關進行資源整合，俾國家有限資源能發揮整體運用之最大綜效。</w:t>
      </w:r>
      <w:bookmarkEnd w:id="1229"/>
      <w:bookmarkEnd w:id="1230"/>
      <w:bookmarkEnd w:id="1231"/>
      <w:bookmarkEnd w:id="1232"/>
      <w:bookmarkEnd w:id="1233"/>
      <w:bookmarkEnd w:id="1234"/>
      <w:bookmarkEnd w:id="1235"/>
    </w:p>
    <w:p w:rsidR="003872FF" w:rsidRPr="00D41D30" w:rsidRDefault="003872FF" w:rsidP="003872FF">
      <w:pPr>
        <w:pStyle w:val="3"/>
        <w:rPr>
          <w:b/>
          <w:color w:val="000000" w:themeColor="text1"/>
        </w:rPr>
      </w:pPr>
      <w:bookmarkStart w:id="1236" w:name="_Toc32392572"/>
      <w:bookmarkStart w:id="1237" w:name="_Toc32673764"/>
      <w:bookmarkStart w:id="1238" w:name="_Toc32846643"/>
      <w:bookmarkStart w:id="1239" w:name="_Toc32918550"/>
      <w:bookmarkStart w:id="1240" w:name="_Toc33011837"/>
      <w:r w:rsidRPr="00D41D30">
        <w:rPr>
          <w:rFonts w:hint="eastAsia"/>
          <w:color w:val="000000" w:themeColor="text1"/>
        </w:rPr>
        <w:t>再者，參考本院諮詢專家意見指稱，</w:t>
      </w:r>
      <w:r w:rsidRPr="00D41D30">
        <w:rPr>
          <w:rFonts w:ascii="Times New Roman" w:hAnsi="Times New Roman" w:hint="eastAsia"/>
          <w:color w:val="000000" w:themeColor="text1"/>
          <w:kern w:val="0"/>
          <w:szCs w:val="32"/>
        </w:rPr>
        <w:t>高齡教育的討論應可分為應然面及實然面，應然面又分為</w:t>
      </w:r>
      <w:r w:rsidRPr="00D41D30">
        <w:rPr>
          <w:rFonts w:ascii="Times New Roman" w:hAnsi="Times New Roman" w:hint="eastAsia"/>
          <w:color w:val="000000" w:themeColor="text1"/>
          <w:kern w:val="0"/>
          <w:szCs w:val="32"/>
        </w:rPr>
        <w:t>2</w:t>
      </w:r>
      <w:r w:rsidRPr="00D41D30">
        <w:rPr>
          <w:rFonts w:ascii="Times New Roman" w:hAnsi="Times New Roman" w:hint="eastAsia"/>
          <w:color w:val="000000" w:themeColor="text1"/>
          <w:kern w:val="0"/>
          <w:szCs w:val="32"/>
        </w:rPr>
        <w:t>個區塊，其一為受教者（即高齡者）欲透過教育獲取之需求，其次則係政府如何設計出符合臺灣社會需求之高齡教育，當中包括高齡者的健康問題，我國人一生中的長期照護需求時段約為</w:t>
      </w:r>
      <w:r w:rsidRPr="00D41D30">
        <w:rPr>
          <w:rFonts w:ascii="Times New Roman" w:hAnsi="Times New Roman" w:hint="eastAsia"/>
          <w:color w:val="000000" w:themeColor="text1"/>
          <w:kern w:val="0"/>
          <w:szCs w:val="32"/>
        </w:rPr>
        <w:t>7</w:t>
      </w:r>
      <w:r w:rsidRPr="00D41D30">
        <w:rPr>
          <w:rFonts w:ascii="Times New Roman" w:hAnsi="Times New Roman" w:hint="eastAsia"/>
          <w:color w:val="000000" w:themeColor="text1"/>
          <w:kern w:val="0"/>
          <w:szCs w:val="32"/>
        </w:rPr>
        <w:t>年多，意即臨終前平均有</w:t>
      </w:r>
      <w:r w:rsidRPr="00D41D30">
        <w:rPr>
          <w:rFonts w:ascii="Times New Roman" w:hAnsi="Times New Roman" w:hint="eastAsia"/>
          <w:color w:val="000000" w:themeColor="text1"/>
          <w:kern w:val="0"/>
          <w:szCs w:val="32"/>
        </w:rPr>
        <w:t>7</w:t>
      </w:r>
      <w:r w:rsidRPr="00D41D30">
        <w:rPr>
          <w:rFonts w:ascii="Times New Roman" w:hAnsi="Times New Roman" w:hint="eastAsia"/>
          <w:color w:val="000000" w:themeColor="text1"/>
          <w:kern w:val="0"/>
          <w:szCs w:val="32"/>
        </w:rPr>
        <w:t>年需靠人照顧，相較歐洲地區平均約</w:t>
      </w:r>
      <w:r w:rsidRPr="00D41D30">
        <w:rPr>
          <w:rFonts w:ascii="Times New Roman" w:hAnsi="Times New Roman" w:hint="eastAsia"/>
          <w:color w:val="000000" w:themeColor="text1"/>
          <w:kern w:val="0"/>
          <w:szCs w:val="32"/>
        </w:rPr>
        <w:t>1</w:t>
      </w:r>
      <w:r w:rsidRPr="00D41D30">
        <w:rPr>
          <w:rFonts w:ascii="Times New Roman" w:hAnsi="Times New Roman" w:hint="eastAsia"/>
          <w:color w:val="000000" w:themeColor="text1"/>
          <w:kern w:val="0"/>
          <w:szCs w:val="32"/>
        </w:rPr>
        <w:t>年，日本是</w:t>
      </w:r>
      <w:r w:rsidRPr="00D41D30">
        <w:rPr>
          <w:rFonts w:ascii="Times New Roman" w:hAnsi="Times New Roman" w:hint="eastAsia"/>
          <w:color w:val="000000" w:themeColor="text1"/>
          <w:kern w:val="0"/>
          <w:szCs w:val="32"/>
        </w:rPr>
        <w:t>2</w:t>
      </w:r>
      <w:r w:rsidRPr="00D41D30">
        <w:rPr>
          <w:rFonts w:ascii="Times New Roman" w:hAnsi="Times New Roman" w:hint="eastAsia"/>
          <w:color w:val="000000" w:themeColor="text1"/>
          <w:kern w:val="0"/>
          <w:szCs w:val="32"/>
        </w:rPr>
        <w:t>年多，我國人所需時間顯然高出許多，除醫療問題外，高齡教育亦須扮演重要的角色。就經濟面來看，日本許多收費站的服務員均由高齡者擔任，因此如何讓退休後身心健康的高齡者，退而不休，整體社會和民間企業應該設計讓高齡者繼續服務的機會，提升整體社會生產人力。高齡教育的課程設計亦應顧及受教者之不同需求，透過納入受教者的需求，再用排序的方式分析，應能較妥適安排相關課程</w:t>
      </w:r>
      <w:r w:rsidRPr="00D41D30">
        <w:rPr>
          <w:rFonts w:hint="eastAsia"/>
          <w:color w:val="000000" w:themeColor="text1"/>
        </w:rPr>
        <w:t>……。又及學者黃富順（民102）指出</w:t>
      </w:r>
      <w:r w:rsidRPr="00D41D30">
        <w:rPr>
          <w:rStyle w:val="aff0"/>
          <w:color w:val="000000" w:themeColor="text1"/>
        </w:rPr>
        <w:footnoteReference w:id="21"/>
      </w:r>
      <w:r w:rsidRPr="00D41D30">
        <w:rPr>
          <w:rFonts w:hint="eastAsia"/>
          <w:color w:val="000000" w:themeColor="text1"/>
        </w:rPr>
        <w:t>，</w:t>
      </w:r>
      <w:r w:rsidRPr="00D41D30">
        <w:rPr>
          <w:rFonts w:hAnsi="標楷體" w:hint="eastAsia"/>
          <w:color w:val="000000" w:themeColor="text1"/>
        </w:rPr>
        <w:t>「自2002年後，我國在終身學習的推展，雖有社區大學的設置，老人教育的實施、非正規學習課程的</w:t>
      </w:r>
      <w:r w:rsidRPr="00D41D30">
        <w:rPr>
          <w:rFonts w:hAnsi="標楷體" w:hint="eastAsia"/>
          <w:color w:val="000000" w:themeColor="text1"/>
        </w:rPr>
        <w:lastRenderedPageBreak/>
        <w:t>認證、家庭教育的推展，但均為個別的、單項的作為，缺乏完整架構的建立，以及機構間有機的整合與連繫等，影響終身學習的推展頗巨，亟待改進」</w:t>
      </w:r>
      <w:r w:rsidRPr="00D41D30">
        <w:rPr>
          <w:rFonts w:hint="eastAsia"/>
          <w:color w:val="000000" w:themeColor="text1"/>
        </w:rPr>
        <w:t>。又研究國際經驗顯示</w:t>
      </w:r>
      <w:r w:rsidRPr="00D41D30">
        <w:rPr>
          <w:rStyle w:val="aff0"/>
          <w:color w:val="000000" w:themeColor="text1"/>
        </w:rPr>
        <w:footnoteReference w:id="22"/>
      </w:r>
      <w:r w:rsidRPr="00D41D30">
        <w:rPr>
          <w:rFonts w:hint="eastAsia"/>
          <w:color w:val="000000" w:themeColor="text1"/>
        </w:rPr>
        <w:t>，老人教育政策的實施內涵應具周延性與前瞻性，明示老人教育資源的整合與共享略以：</w:t>
      </w:r>
      <w:r w:rsidRPr="00D41D30">
        <w:rPr>
          <w:rFonts w:hAnsi="標楷體" w:hint="eastAsia"/>
          <w:color w:val="000000" w:themeColor="text1"/>
        </w:rPr>
        <w:t>「</w:t>
      </w:r>
      <w:r w:rsidRPr="00D41D30">
        <w:rPr>
          <w:rFonts w:hint="eastAsia"/>
          <w:color w:val="000000" w:themeColor="text1"/>
        </w:rPr>
        <w:t>依據對英、美、日等國老人教育政策的相關內涵，可知有關資源的整合與共享是相當重要，例如日本政府為了統整與協調各部門、各單位與各機關間的資源，並以長期性、整合性的角度來統籌辦理與發展終身學習的業務，於各個老人教育發展階段，均設有老人教育整合性的行政部門，藉由其統整、聯繫與協調，提供高齡者最便利且符合需求的學習資源與諮商服務，日本政府很早就針對其高齡社會的來臨，提出跨部會跨單位的政策，以利資源的整合與共享</w:t>
      </w:r>
      <w:r w:rsidRPr="00D41D30">
        <w:rPr>
          <w:rFonts w:hAnsi="標楷體" w:hint="eastAsia"/>
          <w:color w:val="000000" w:themeColor="text1"/>
        </w:rPr>
        <w:t>」</w:t>
      </w:r>
      <w:r w:rsidRPr="00D41D30">
        <w:rPr>
          <w:rFonts w:hint="eastAsia"/>
          <w:color w:val="000000" w:themeColor="text1"/>
        </w:rPr>
        <w:t>。準此，除終身學習系統外，</w:t>
      </w:r>
      <w:r w:rsidRPr="00D41D30">
        <w:rPr>
          <w:rFonts w:hAnsi="標楷體" w:hint="eastAsia"/>
          <w:color w:val="000000" w:themeColor="text1"/>
        </w:rPr>
        <w:t>我國在高齡教育政策之推展長期欠缺整體觀照，是以，</w:t>
      </w:r>
      <w:r w:rsidRPr="00D41D30">
        <w:rPr>
          <w:rFonts w:hint="eastAsia"/>
          <w:color w:val="000000" w:themeColor="text1"/>
        </w:rPr>
        <w:t>與高齡教育政策概念相關之設計及統籌規劃事項繁多，且於國際趨勢下，除政府機關外，亦涉民間單位，爰亟待行政院積極統籌督導規劃。</w:t>
      </w:r>
      <w:bookmarkEnd w:id="1236"/>
      <w:bookmarkEnd w:id="1237"/>
      <w:bookmarkEnd w:id="1238"/>
      <w:bookmarkEnd w:id="1239"/>
      <w:bookmarkEnd w:id="1240"/>
    </w:p>
    <w:p w:rsidR="003872FF" w:rsidRPr="00D41D30" w:rsidRDefault="003872FF" w:rsidP="003872FF">
      <w:pPr>
        <w:pStyle w:val="3"/>
        <w:rPr>
          <w:b/>
          <w:color w:val="000000" w:themeColor="text1"/>
        </w:rPr>
      </w:pPr>
      <w:bookmarkStart w:id="1241" w:name="_Toc30512585"/>
      <w:bookmarkStart w:id="1242" w:name="_Toc30581293"/>
      <w:bookmarkStart w:id="1243" w:name="_Toc32392573"/>
      <w:bookmarkStart w:id="1244" w:name="_Toc32673765"/>
      <w:bookmarkStart w:id="1245" w:name="_Toc32846644"/>
      <w:bookmarkStart w:id="1246" w:name="_Toc32918551"/>
      <w:bookmarkStart w:id="1247" w:name="_Toc33011838"/>
      <w:r w:rsidRPr="00D41D30">
        <w:rPr>
          <w:rFonts w:hint="eastAsia"/>
          <w:color w:val="000000" w:themeColor="text1"/>
        </w:rPr>
        <w:t>綜上論結，我國處在當代少子女化與高齡化的人口洪流交叉口，在教育方面萬不能忽略高齡者的學習需求，惟仍涉及經濟、福利及醫療等生活層面之整體國家政策。查79年訂定</w:t>
      </w:r>
      <w:r w:rsidRPr="00D41D30">
        <w:rPr>
          <w:rFonts w:hAnsi="標楷體" w:hint="eastAsia"/>
          <w:color w:val="000000" w:themeColor="text1"/>
        </w:rPr>
        <w:t>「</w:t>
      </w:r>
      <w:r w:rsidRPr="00D41D30">
        <w:rPr>
          <w:rFonts w:hint="eastAsia"/>
          <w:color w:val="000000" w:themeColor="text1"/>
        </w:rPr>
        <w:t>社會教育工作綱要</w:t>
      </w:r>
      <w:r w:rsidRPr="00D41D30">
        <w:rPr>
          <w:rFonts w:hAnsi="標楷體" w:hint="eastAsia"/>
          <w:color w:val="000000" w:themeColor="text1"/>
        </w:rPr>
        <w:t>」</w:t>
      </w:r>
      <w:r w:rsidRPr="00D41D30">
        <w:rPr>
          <w:rFonts w:hint="eastAsia"/>
          <w:color w:val="000000" w:themeColor="text1"/>
        </w:rPr>
        <w:t>迄今，內涵包括再就業</w:t>
      </w:r>
      <w:r w:rsidRPr="00D41D30">
        <w:rPr>
          <w:rFonts w:hAnsi="標楷體" w:hint="eastAsia"/>
          <w:color w:val="000000" w:themeColor="text1"/>
        </w:rPr>
        <w:t>、</w:t>
      </w:r>
      <w:r w:rsidRPr="00D41D30">
        <w:rPr>
          <w:rFonts w:hint="eastAsia"/>
          <w:color w:val="000000" w:themeColor="text1"/>
        </w:rPr>
        <w:t>教育教材</w:t>
      </w:r>
      <w:r w:rsidRPr="00D41D30">
        <w:rPr>
          <w:rFonts w:hAnsi="標楷體" w:hint="eastAsia"/>
          <w:color w:val="000000" w:themeColor="text1"/>
        </w:rPr>
        <w:t>、</w:t>
      </w:r>
      <w:r w:rsidRPr="00D41D30">
        <w:rPr>
          <w:rFonts w:hint="eastAsia"/>
          <w:color w:val="000000" w:themeColor="text1"/>
        </w:rPr>
        <w:t>生活調適課程等，涉及高齡者學習需求、經濟、福利及醫療等生活層面，環環相扣，缺一不可；而現行高齡者終身教育，關於老人福利法規範之應盡</w:t>
      </w:r>
      <w:r w:rsidRPr="00D41D30">
        <w:rPr>
          <w:rFonts w:hint="eastAsia"/>
          <w:color w:val="000000" w:themeColor="text1"/>
        </w:rPr>
        <w:lastRenderedPageBreak/>
        <w:t>事由係由內政部主政</w:t>
      </w:r>
      <w:r w:rsidRPr="00D41D30">
        <w:rPr>
          <w:rFonts w:hAnsi="標楷體" w:hint="eastAsia"/>
          <w:color w:val="000000" w:themeColor="text1"/>
        </w:rPr>
        <w:t>、終身學習法則由教育部統籌，部分事項如在地終身學習則委由地方政府辦理，惟針對整體人口老化之相關國家發展政策繁多，另涉機構法制化、經濟措施、勞動力發展及長期照護及健康促進事項，高齡者教育措施，應立基於健康安全、經濟穩定、與社會福利等國家整體政策基礎下運行，顯難獨立於國家發展架構之外具體實踐</w:t>
      </w:r>
      <w:r w:rsidRPr="00D41D30">
        <w:rPr>
          <w:rFonts w:hint="eastAsia"/>
          <w:color w:val="000000" w:themeColor="text1"/>
        </w:rPr>
        <w:t>，惟我國長期辦理高齡教育相關事宜竟未有政府跨部會統合機關，政出多門，各機關事權不一，肇致各項單一政策缺乏系統盤整</w:t>
      </w:r>
      <w:r w:rsidRPr="00D41D30">
        <w:rPr>
          <w:rFonts w:hAnsi="標楷體" w:hint="eastAsia"/>
          <w:color w:val="000000" w:themeColor="text1"/>
        </w:rPr>
        <w:t>、</w:t>
      </w:r>
      <w:r w:rsidRPr="00D41D30">
        <w:rPr>
          <w:rFonts w:hint="eastAsia"/>
          <w:color w:val="000000" w:themeColor="text1"/>
        </w:rPr>
        <w:t>永續規劃</w:t>
      </w:r>
      <w:r w:rsidRPr="00D41D30">
        <w:rPr>
          <w:rFonts w:hAnsi="標楷體" w:hint="eastAsia"/>
          <w:color w:val="000000" w:themeColor="text1"/>
        </w:rPr>
        <w:t>、</w:t>
      </w:r>
      <w:r w:rsidRPr="00D41D30">
        <w:rPr>
          <w:rFonts w:hint="eastAsia"/>
          <w:color w:val="000000" w:themeColor="text1"/>
        </w:rPr>
        <w:t>資源分散或重置之現象處處可見；況本院調查發現外界部分建議亦指仍有未見整合之情形，均</w:t>
      </w:r>
      <w:r w:rsidRPr="00D41D30">
        <w:rPr>
          <w:rFonts w:hAnsi="標楷體" w:hint="eastAsia"/>
          <w:color w:val="000000" w:themeColor="text1"/>
        </w:rPr>
        <w:t>不利於整體高齡教育資源配置及長期政策統籌發展，洵有未當</w:t>
      </w:r>
      <w:r w:rsidRPr="00D41D30">
        <w:rPr>
          <w:rFonts w:hint="eastAsia"/>
          <w:color w:val="000000" w:themeColor="text1"/>
        </w:rPr>
        <w:t>，行政院後續允應確實檢討全面盤點整合，俾國家有限資源能發揮整體運用之最大綜效。</w:t>
      </w:r>
      <w:bookmarkEnd w:id="1241"/>
      <w:bookmarkEnd w:id="1242"/>
      <w:bookmarkEnd w:id="1243"/>
      <w:bookmarkEnd w:id="1244"/>
      <w:bookmarkEnd w:id="1245"/>
      <w:bookmarkEnd w:id="1246"/>
      <w:bookmarkEnd w:id="1247"/>
      <w:r w:rsidRPr="00D41D30">
        <w:rPr>
          <w:rFonts w:hint="eastAsia"/>
          <w:color w:val="000000" w:themeColor="text1"/>
        </w:rPr>
        <w:t>尤其是衛福部現主管長青學苑、教育部辦理樂齡大學、樂齡學習中心及高齡自主學習團體等，長青學苑在辦學模式與樂齡大學、樂齡學習中心極為類似，均屬機構式學習型態，此二者允應考量整合，爰請行政院依老人福利法第3條規定參考辦理。</w:t>
      </w:r>
    </w:p>
    <w:p w:rsidR="003872FF" w:rsidRPr="00D41D30" w:rsidRDefault="003872FF" w:rsidP="003872FF">
      <w:pPr>
        <w:pStyle w:val="2"/>
        <w:spacing w:beforeLines="50" w:before="228"/>
        <w:ind w:left="1020" w:hanging="680"/>
        <w:rPr>
          <w:b/>
          <w:color w:val="000000" w:themeColor="text1"/>
        </w:rPr>
      </w:pPr>
      <w:r w:rsidRPr="00D41D30">
        <w:rPr>
          <w:rFonts w:hint="eastAsia"/>
          <w:b/>
          <w:color w:val="000000" w:themeColor="text1"/>
        </w:rPr>
        <w:t>我國已於1993年成為高齡化社會，2018年轉為高齡社會，依國家發展委員會推估，將於2026年邁入超高齡社會，且預計至2065年，每10人中，約有4位是65歲以上老年人口，整體老年政策已迫在眉睫；高齡教育係預防老化、活力老化並減緩失智症之預防措施之一，惟整體終身教育經費近幾年分別僅編列1至2億餘元不等，資源分配顯有不均，教育部實應統合檢討，妥善規劃；教育部終身教育司於本院</w:t>
      </w:r>
      <w:r w:rsidRPr="00D41D30">
        <w:rPr>
          <w:rFonts w:hint="eastAsia"/>
          <w:b/>
          <w:color w:val="000000" w:themeColor="text1"/>
        </w:rPr>
        <w:lastRenderedPageBreak/>
        <w:t>調查後，雖稱已於109年度增加編列約6千萬元經費用於推動高齡教育，然此增幅對照我國人口老化速度、高齡者之教育需求遽增及外在環境變化急遽問題，亦屬杯水車薪，難於因應所需，況相較於政府在長照工作挹注充沛資源，108年度預算編列高達3</w:t>
      </w:r>
      <w:r w:rsidRPr="00D41D30">
        <w:rPr>
          <w:b/>
          <w:color w:val="000000" w:themeColor="text1"/>
        </w:rPr>
        <w:t>38</w:t>
      </w:r>
      <w:r w:rsidRPr="00D41D30">
        <w:rPr>
          <w:rFonts w:hint="eastAsia"/>
          <w:b/>
          <w:color w:val="000000" w:themeColor="text1"/>
        </w:rPr>
        <w:t>億餘元，教育部以此杯水車薪之數顯難因應超高齡社會之來臨，實應持續積極爭取經費以改善高齡教育預算不足</w:t>
      </w:r>
      <w:r w:rsidRPr="00D41D30">
        <w:rPr>
          <w:rFonts w:hAnsi="標楷體" w:hint="eastAsia"/>
          <w:b/>
          <w:color w:val="000000" w:themeColor="text1"/>
        </w:rPr>
        <w:t>，並解</w:t>
      </w:r>
      <w:r w:rsidRPr="00D41D30">
        <w:rPr>
          <w:rFonts w:hint="eastAsia"/>
          <w:b/>
          <w:color w:val="000000" w:themeColor="text1"/>
        </w:rPr>
        <w:t>地方推動相關政策窒礙難行等窘境，宜積極與衛福部等機關研議針對</w:t>
      </w:r>
      <w:r w:rsidRPr="00D41D30">
        <w:rPr>
          <w:rFonts w:hAnsi="標楷體" w:hint="eastAsia"/>
          <w:b/>
          <w:color w:val="000000" w:themeColor="text1"/>
        </w:rPr>
        <w:t>「社區關懷據點」等</w:t>
      </w:r>
      <w:r w:rsidRPr="00D41D30">
        <w:rPr>
          <w:rFonts w:hint="eastAsia"/>
          <w:b/>
          <w:color w:val="000000" w:themeColor="text1"/>
        </w:rPr>
        <w:t>如何資源</w:t>
      </w:r>
      <w:r w:rsidRPr="00D41D30">
        <w:rPr>
          <w:rFonts w:hAnsi="標楷體" w:hint="eastAsia"/>
          <w:b/>
          <w:color w:val="000000" w:themeColor="text1"/>
        </w:rPr>
        <w:t>共享</w:t>
      </w:r>
      <w:r w:rsidRPr="00D41D30">
        <w:rPr>
          <w:rFonts w:hint="eastAsia"/>
          <w:b/>
          <w:color w:val="000000" w:themeColor="text1"/>
        </w:rPr>
        <w:t>，期能相輔相成，讓高齡者得以透過終身學習，以有助於延長個人第三年齡，縮短第四年齡及減少醫療支出，進而達到成功老化、健康老化及活躍老化之目標</w:t>
      </w:r>
      <w:bookmarkEnd w:id="1188"/>
    </w:p>
    <w:p w:rsidR="003872FF" w:rsidRPr="00D41D30" w:rsidRDefault="003872FF" w:rsidP="003872FF">
      <w:pPr>
        <w:pStyle w:val="3"/>
        <w:rPr>
          <w:color w:val="000000" w:themeColor="text1"/>
        </w:rPr>
      </w:pPr>
      <w:bookmarkStart w:id="1248" w:name="_Toc30512561"/>
      <w:bookmarkStart w:id="1249" w:name="_Toc30581269"/>
      <w:bookmarkStart w:id="1250" w:name="_Toc32392545"/>
      <w:bookmarkStart w:id="1251" w:name="_Toc32673736"/>
      <w:bookmarkStart w:id="1252" w:name="_Toc32846615"/>
      <w:bookmarkStart w:id="1253" w:name="_Toc32918531"/>
      <w:bookmarkStart w:id="1254" w:name="_Toc33011818"/>
      <w:r w:rsidRPr="00D41D30">
        <w:rPr>
          <w:rFonts w:hint="eastAsia"/>
          <w:color w:val="000000" w:themeColor="text1"/>
        </w:rPr>
        <w:t>按國家發展委員會於2018年8月「中華民國人口推估（2018至2065年）指出，我國已於1993年成為高齡化社會，2018年進入高齡社會，推估將於2026年邁入超高齡社會。2065年每10人中，約有4位是65歲以上老年人口，而此4位中則即有1位是85歲以上之超高齡老人。</w:t>
      </w:r>
      <w:r w:rsidRPr="00D41D30">
        <w:rPr>
          <w:rStyle w:val="aff0"/>
          <w:color w:val="000000" w:themeColor="text1"/>
        </w:rPr>
        <w:footnoteReference w:id="23"/>
      </w:r>
      <w:r w:rsidRPr="00D41D30">
        <w:rPr>
          <w:rFonts w:hint="eastAsia"/>
          <w:color w:val="000000" w:themeColor="text1"/>
        </w:rPr>
        <w:t>詳如圖1。在高齡化進程方面，我國於1993年成為高齡化社會，並於</w:t>
      </w:r>
      <w:r w:rsidRPr="00D41D30">
        <w:rPr>
          <w:color w:val="000000" w:themeColor="text1"/>
        </w:rPr>
        <w:t>2018</w:t>
      </w:r>
      <w:r w:rsidRPr="00D41D30">
        <w:rPr>
          <w:rFonts w:hint="eastAsia"/>
          <w:color w:val="000000" w:themeColor="text1"/>
        </w:rPr>
        <w:t>進入高齡社會，預估8年後（2026年），我國老年人口占比將超過20%，成為超高齡社會的一員，高齡化速度較歐、美、日等國為快。預估2030年老年人口將增至559萬人（增63.1%），2065年再增至715萬人（增108.4%），占總人口比重達41.2%。</w:t>
      </w:r>
      <w:r w:rsidRPr="00D41D30">
        <w:rPr>
          <w:rStyle w:val="aff0"/>
          <w:color w:val="000000" w:themeColor="text1"/>
        </w:rPr>
        <w:footnoteReference w:id="24"/>
      </w:r>
      <w:bookmarkEnd w:id="1248"/>
      <w:bookmarkEnd w:id="1249"/>
      <w:bookmarkEnd w:id="1250"/>
      <w:bookmarkEnd w:id="1251"/>
      <w:bookmarkEnd w:id="1252"/>
      <w:bookmarkEnd w:id="1253"/>
      <w:bookmarkEnd w:id="1254"/>
    </w:p>
    <w:p w:rsidR="003872FF" w:rsidRPr="00D41D30" w:rsidRDefault="003872FF" w:rsidP="003872FF">
      <w:pPr>
        <w:pStyle w:val="1"/>
        <w:numPr>
          <w:ilvl w:val="0"/>
          <w:numId w:val="0"/>
        </w:numPr>
        <w:ind w:left="2381" w:hanging="963"/>
        <w:rPr>
          <w:color w:val="000000" w:themeColor="text1"/>
        </w:rPr>
      </w:pPr>
      <w:bookmarkStart w:id="1255" w:name="_Toc30512562"/>
      <w:bookmarkStart w:id="1256" w:name="_Toc30581270"/>
      <w:bookmarkStart w:id="1257" w:name="_Toc32392546"/>
      <w:bookmarkStart w:id="1258" w:name="_Toc32673737"/>
      <w:bookmarkStart w:id="1259" w:name="_Toc32846616"/>
      <w:bookmarkStart w:id="1260" w:name="_Toc32918532"/>
      <w:bookmarkStart w:id="1261" w:name="_Toc33011819"/>
      <w:r w:rsidRPr="00D41D30">
        <w:rPr>
          <w:noProof/>
          <w:color w:val="000000" w:themeColor="text1"/>
        </w:rPr>
        <w:lastRenderedPageBreak/>
        <w:drawing>
          <wp:inline distT="0" distB="0" distL="0" distR="0" wp14:anchorId="6FE2EBE2" wp14:editId="6F803882">
            <wp:extent cx="4718425" cy="3006671"/>
            <wp:effectExtent l="0" t="0" r="635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0298" t="39706" r="9463" b="10369"/>
                    <a:stretch/>
                  </pic:blipFill>
                  <pic:spPr bwMode="auto">
                    <a:xfrm>
                      <a:off x="0" y="0"/>
                      <a:ext cx="4802032" cy="3059947"/>
                    </a:xfrm>
                    <a:prstGeom prst="rect">
                      <a:avLst/>
                    </a:prstGeom>
                    <a:ln>
                      <a:noFill/>
                    </a:ln>
                    <a:extLst>
                      <a:ext uri="{53640926-AAD7-44D8-BBD7-CCE9431645EC}">
                        <a14:shadowObscured xmlns:a14="http://schemas.microsoft.com/office/drawing/2010/main"/>
                      </a:ext>
                    </a:extLst>
                  </pic:spPr>
                </pic:pic>
              </a:graphicData>
            </a:graphic>
          </wp:inline>
        </w:drawing>
      </w:r>
      <w:bookmarkEnd w:id="1255"/>
      <w:bookmarkEnd w:id="1256"/>
      <w:bookmarkEnd w:id="1257"/>
      <w:bookmarkEnd w:id="1258"/>
      <w:bookmarkEnd w:id="1259"/>
      <w:bookmarkEnd w:id="1260"/>
      <w:bookmarkEnd w:id="1261"/>
    </w:p>
    <w:p w:rsidR="003872FF" w:rsidRPr="00D41D30" w:rsidRDefault="003872FF" w:rsidP="003872FF">
      <w:pPr>
        <w:pStyle w:val="a2"/>
        <w:spacing w:after="0"/>
        <w:rPr>
          <w:b/>
          <w:color w:val="000000" w:themeColor="text1"/>
        </w:rPr>
      </w:pPr>
      <w:bookmarkStart w:id="1262" w:name="_Toc30512563"/>
      <w:bookmarkStart w:id="1263" w:name="_Toc30581271"/>
      <w:bookmarkStart w:id="1264" w:name="_Toc32392547"/>
      <w:bookmarkStart w:id="1265" w:name="_Toc32673738"/>
      <w:bookmarkStart w:id="1266" w:name="_Toc32846617"/>
      <w:r w:rsidRPr="00D41D30">
        <w:rPr>
          <w:rFonts w:hint="eastAsia"/>
          <w:b/>
          <w:color w:val="000000" w:themeColor="text1"/>
        </w:rPr>
        <w:t>高齡化時程</w:t>
      </w:r>
      <w:bookmarkEnd w:id="1262"/>
      <w:bookmarkEnd w:id="1263"/>
      <w:bookmarkEnd w:id="1264"/>
      <w:bookmarkEnd w:id="1265"/>
      <w:bookmarkEnd w:id="1266"/>
    </w:p>
    <w:p w:rsidR="003872FF" w:rsidRPr="00D41D30" w:rsidRDefault="003872FF" w:rsidP="003872FF">
      <w:pPr>
        <w:pStyle w:val="af8"/>
        <w:spacing w:before="0" w:after="120"/>
        <w:rPr>
          <w:color w:val="000000" w:themeColor="text1"/>
          <w:sz w:val="24"/>
          <w:szCs w:val="24"/>
        </w:rPr>
      </w:pPr>
      <w:r w:rsidRPr="00D41D30">
        <w:rPr>
          <w:rFonts w:hint="eastAsia"/>
          <w:color w:val="000000" w:themeColor="text1"/>
        </w:rPr>
        <w:t xml:space="preserve">            </w:t>
      </w:r>
      <w:bookmarkStart w:id="1267" w:name="_Toc30512564"/>
      <w:bookmarkStart w:id="1268" w:name="_Toc30581272"/>
      <w:bookmarkStart w:id="1269" w:name="_Toc32392548"/>
      <w:bookmarkStart w:id="1270" w:name="_Toc32673739"/>
      <w:bookmarkStart w:id="1271" w:name="_Toc32846618"/>
      <w:r w:rsidRPr="00D41D30">
        <w:rPr>
          <w:rFonts w:hint="eastAsia"/>
          <w:color w:val="000000" w:themeColor="text1"/>
        </w:rPr>
        <w:t xml:space="preserve">         </w:t>
      </w:r>
      <w:r w:rsidRPr="00D41D30">
        <w:rPr>
          <w:rFonts w:hint="eastAsia"/>
          <w:color w:val="000000" w:themeColor="text1"/>
          <w:sz w:val="24"/>
          <w:szCs w:val="24"/>
        </w:rPr>
        <w:t xml:space="preserve">       資料來源：國家發展委員會。</w:t>
      </w:r>
      <w:bookmarkEnd w:id="1267"/>
      <w:bookmarkEnd w:id="1268"/>
      <w:bookmarkEnd w:id="1269"/>
      <w:bookmarkEnd w:id="1270"/>
      <w:bookmarkEnd w:id="1271"/>
      <w:r w:rsidRPr="00D41D30">
        <w:rPr>
          <w:rFonts w:hint="eastAsia"/>
          <w:color w:val="000000" w:themeColor="text1"/>
          <w:sz w:val="24"/>
          <w:szCs w:val="24"/>
        </w:rPr>
        <w:t xml:space="preserve"> </w:t>
      </w:r>
    </w:p>
    <w:p w:rsidR="003872FF" w:rsidRPr="00D41D30" w:rsidRDefault="003872FF" w:rsidP="003872FF">
      <w:pPr>
        <w:pStyle w:val="3"/>
        <w:spacing w:beforeLines="50" w:before="228"/>
        <w:ind w:left="1360" w:hanging="680"/>
        <w:rPr>
          <w:color w:val="000000" w:themeColor="text1"/>
        </w:rPr>
      </w:pPr>
      <w:bookmarkStart w:id="1272" w:name="_Toc30512565"/>
      <w:bookmarkStart w:id="1273" w:name="_Toc30581273"/>
      <w:bookmarkStart w:id="1274" w:name="_Toc32392549"/>
      <w:bookmarkStart w:id="1275" w:name="_Toc32673740"/>
      <w:bookmarkStart w:id="1276" w:name="_Toc32846619"/>
      <w:bookmarkStart w:id="1277" w:name="_Toc32918533"/>
      <w:bookmarkStart w:id="1278" w:name="_Toc33011820"/>
      <w:r w:rsidRPr="00D41D30">
        <w:rPr>
          <w:rFonts w:hint="eastAsia"/>
          <w:color w:val="000000" w:themeColor="text1"/>
        </w:rPr>
        <w:t>且依國家發展委員會「中華民國人口推估（2018至2065年）」老人人口成長趨勢將於2050年達到最高峰，詳圖2。</w:t>
      </w:r>
      <w:bookmarkEnd w:id="1272"/>
      <w:bookmarkEnd w:id="1273"/>
      <w:bookmarkEnd w:id="1274"/>
      <w:bookmarkEnd w:id="1275"/>
      <w:bookmarkEnd w:id="1276"/>
      <w:bookmarkEnd w:id="1277"/>
      <w:bookmarkEnd w:id="1278"/>
    </w:p>
    <w:p w:rsidR="003872FF" w:rsidRPr="00D41D30" w:rsidRDefault="003872FF" w:rsidP="003872FF">
      <w:pPr>
        <w:pStyle w:val="1"/>
        <w:numPr>
          <w:ilvl w:val="0"/>
          <w:numId w:val="0"/>
        </w:numPr>
        <w:ind w:left="2381" w:hanging="2381"/>
        <w:rPr>
          <w:color w:val="000000" w:themeColor="text1"/>
        </w:rPr>
      </w:pPr>
    </w:p>
    <w:p w:rsidR="003872FF" w:rsidRPr="00D41D30" w:rsidRDefault="003872FF" w:rsidP="003872FF">
      <w:pPr>
        <w:pStyle w:val="1"/>
        <w:numPr>
          <w:ilvl w:val="0"/>
          <w:numId w:val="0"/>
        </w:numPr>
        <w:ind w:left="2381" w:hanging="1105"/>
        <w:rPr>
          <w:color w:val="000000" w:themeColor="text1"/>
        </w:rPr>
      </w:pPr>
      <w:bookmarkStart w:id="1279" w:name="_Toc30512566"/>
      <w:bookmarkStart w:id="1280" w:name="_Toc30581274"/>
      <w:bookmarkStart w:id="1281" w:name="_Toc32392550"/>
      <w:bookmarkStart w:id="1282" w:name="_Toc32673741"/>
      <w:bookmarkStart w:id="1283" w:name="_Toc32846620"/>
      <w:bookmarkStart w:id="1284" w:name="_Toc32918534"/>
      <w:bookmarkStart w:id="1285" w:name="_Toc33011821"/>
      <w:r w:rsidRPr="00D41D30">
        <w:rPr>
          <w:noProof/>
          <w:color w:val="000000" w:themeColor="text1"/>
        </w:rPr>
        <w:drawing>
          <wp:inline distT="0" distB="0" distL="0" distR="0" wp14:anchorId="2504B35D" wp14:editId="4061AC0F">
            <wp:extent cx="4843221" cy="2703830"/>
            <wp:effectExtent l="0" t="0" r="0" b="12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0274" t="46755" r="9021" b="9090"/>
                    <a:stretch/>
                  </pic:blipFill>
                  <pic:spPr bwMode="auto">
                    <a:xfrm>
                      <a:off x="0" y="0"/>
                      <a:ext cx="4871825" cy="2719799"/>
                    </a:xfrm>
                    <a:prstGeom prst="rect">
                      <a:avLst/>
                    </a:prstGeom>
                    <a:ln>
                      <a:noFill/>
                    </a:ln>
                    <a:extLst>
                      <a:ext uri="{53640926-AAD7-44D8-BBD7-CCE9431645EC}">
                        <a14:shadowObscured xmlns:a14="http://schemas.microsoft.com/office/drawing/2010/main"/>
                      </a:ext>
                    </a:extLst>
                  </pic:spPr>
                </pic:pic>
              </a:graphicData>
            </a:graphic>
          </wp:inline>
        </w:drawing>
      </w:r>
      <w:bookmarkEnd w:id="1279"/>
      <w:bookmarkEnd w:id="1280"/>
      <w:bookmarkEnd w:id="1281"/>
      <w:bookmarkEnd w:id="1282"/>
      <w:bookmarkEnd w:id="1283"/>
      <w:bookmarkEnd w:id="1284"/>
      <w:bookmarkEnd w:id="1285"/>
    </w:p>
    <w:p w:rsidR="003872FF" w:rsidRPr="00D41D30" w:rsidRDefault="003872FF" w:rsidP="003872FF">
      <w:pPr>
        <w:pStyle w:val="a2"/>
        <w:spacing w:after="0"/>
        <w:ind w:left="697" w:hanging="697"/>
        <w:rPr>
          <w:color w:val="000000" w:themeColor="text1"/>
        </w:rPr>
      </w:pPr>
      <w:bookmarkStart w:id="1286" w:name="_Toc30512567"/>
      <w:bookmarkStart w:id="1287" w:name="_Toc30581275"/>
      <w:bookmarkStart w:id="1288" w:name="_Toc32392551"/>
      <w:bookmarkStart w:id="1289" w:name="_Toc32673742"/>
      <w:bookmarkStart w:id="1290" w:name="_Toc32846621"/>
      <w:r w:rsidRPr="00D41D30">
        <w:rPr>
          <w:rFonts w:hint="eastAsia"/>
          <w:b/>
          <w:color w:val="000000" w:themeColor="text1"/>
        </w:rPr>
        <w:t>老年人口變動趨勢</w:t>
      </w:r>
      <w:bookmarkEnd w:id="1286"/>
      <w:bookmarkEnd w:id="1287"/>
      <w:bookmarkEnd w:id="1288"/>
      <w:bookmarkEnd w:id="1289"/>
      <w:bookmarkEnd w:id="1290"/>
    </w:p>
    <w:p w:rsidR="003872FF" w:rsidRPr="00D41D30" w:rsidRDefault="003872FF" w:rsidP="003872FF">
      <w:pPr>
        <w:pStyle w:val="af8"/>
        <w:spacing w:before="0" w:after="120"/>
        <w:rPr>
          <w:color w:val="000000" w:themeColor="text1"/>
        </w:rPr>
      </w:pPr>
      <w:r w:rsidRPr="00D41D30">
        <w:rPr>
          <w:rFonts w:hint="eastAsia"/>
          <w:color w:val="000000" w:themeColor="text1"/>
        </w:rPr>
        <w:t xml:space="preserve">         </w:t>
      </w:r>
      <w:bookmarkStart w:id="1291" w:name="_Toc30512568"/>
      <w:bookmarkStart w:id="1292" w:name="_Toc30581276"/>
      <w:bookmarkStart w:id="1293" w:name="_Toc32392552"/>
      <w:bookmarkStart w:id="1294" w:name="_Toc32673743"/>
      <w:bookmarkStart w:id="1295" w:name="_Toc32846622"/>
      <w:r w:rsidRPr="00D41D30">
        <w:rPr>
          <w:rFonts w:hint="eastAsia"/>
          <w:color w:val="000000" w:themeColor="text1"/>
        </w:rPr>
        <w:t xml:space="preserve">                資料來源：國家發展委員會。</w:t>
      </w:r>
      <w:bookmarkEnd w:id="1291"/>
      <w:bookmarkEnd w:id="1292"/>
      <w:bookmarkEnd w:id="1293"/>
      <w:bookmarkEnd w:id="1294"/>
      <w:bookmarkEnd w:id="1295"/>
    </w:p>
    <w:p w:rsidR="003872FF" w:rsidRPr="00D41D30" w:rsidRDefault="003872FF" w:rsidP="003872FF">
      <w:pPr>
        <w:pStyle w:val="3"/>
        <w:spacing w:beforeLines="50" w:before="228"/>
        <w:ind w:left="1360" w:hanging="680"/>
        <w:rPr>
          <w:color w:val="000000" w:themeColor="text1"/>
        </w:rPr>
      </w:pPr>
      <w:bookmarkStart w:id="1296" w:name="_Toc30512569"/>
      <w:bookmarkStart w:id="1297" w:name="_Toc30581277"/>
      <w:bookmarkStart w:id="1298" w:name="_Toc32392553"/>
      <w:bookmarkStart w:id="1299" w:name="_Toc32673744"/>
      <w:bookmarkStart w:id="1300" w:name="_Toc32846623"/>
      <w:bookmarkStart w:id="1301" w:name="_Toc32918535"/>
      <w:bookmarkStart w:id="1302" w:name="_Toc33011822"/>
      <w:r w:rsidRPr="00D41D30">
        <w:rPr>
          <w:rFonts w:hint="eastAsia"/>
          <w:color w:val="000000" w:themeColor="text1"/>
        </w:rPr>
        <w:lastRenderedPageBreak/>
        <w:t>又我國人口呈現高齡化、少子女化趨勢，已於</w:t>
      </w:r>
      <w:r w:rsidRPr="00D41D30">
        <w:rPr>
          <w:color w:val="000000" w:themeColor="text1"/>
        </w:rPr>
        <w:t>107年3月正式邁入高齡社會。</w:t>
      </w:r>
      <w:r w:rsidRPr="00D41D30">
        <w:rPr>
          <w:rFonts w:hint="eastAsia"/>
          <w:color w:val="000000" w:themeColor="text1"/>
        </w:rPr>
        <w:t>以97年至108年度老人人口趨勢觀之，老年人口從97年之24</w:t>
      </w:r>
      <w:r w:rsidRPr="00D41D30">
        <w:rPr>
          <w:color w:val="000000" w:themeColor="text1"/>
        </w:rPr>
        <w:t>0</w:t>
      </w:r>
      <w:r w:rsidRPr="00D41D30">
        <w:rPr>
          <w:rFonts w:hint="eastAsia"/>
          <w:color w:val="000000" w:themeColor="text1"/>
        </w:rPr>
        <w:t>萬餘人，逐年成長，至105年已突破300萬人，</w:t>
      </w:r>
      <w:r w:rsidRPr="00D41D30">
        <w:rPr>
          <w:color w:val="000000" w:themeColor="text1"/>
        </w:rPr>
        <w:t>截至108年</w:t>
      </w:r>
      <w:r w:rsidRPr="00D41D30">
        <w:rPr>
          <w:rFonts w:hint="eastAsia"/>
          <w:color w:val="000000" w:themeColor="text1"/>
        </w:rPr>
        <w:t>9</w:t>
      </w:r>
      <w:r w:rsidRPr="00D41D30">
        <w:rPr>
          <w:color w:val="000000" w:themeColor="text1"/>
        </w:rPr>
        <w:t>月</w:t>
      </w:r>
      <w:r w:rsidRPr="00D41D30">
        <w:rPr>
          <w:rFonts w:hint="eastAsia"/>
          <w:color w:val="000000" w:themeColor="text1"/>
        </w:rPr>
        <w:t>止，</w:t>
      </w:r>
      <w:r w:rsidRPr="00D41D30">
        <w:rPr>
          <w:color w:val="000000" w:themeColor="text1"/>
        </w:rPr>
        <w:t>65歲以上老年人口計3</w:t>
      </w:r>
      <w:r w:rsidRPr="00D41D30">
        <w:rPr>
          <w:rFonts w:hint="eastAsia"/>
          <w:color w:val="000000" w:themeColor="text1"/>
        </w:rPr>
        <w:t>55</w:t>
      </w:r>
      <w:r w:rsidRPr="00D41D30">
        <w:rPr>
          <w:color w:val="000000" w:themeColor="text1"/>
        </w:rPr>
        <w:t>萬2,687人，</w:t>
      </w:r>
      <w:r w:rsidRPr="00D41D30">
        <w:rPr>
          <w:rFonts w:hint="eastAsia"/>
          <w:color w:val="000000" w:themeColor="text1"/>
        </w:rPr>
        <w:t>已</w:t>
      </w:r>
      <w:r w:rsidRPr="00D41D30">
        <w:rPr>
          <w:color w:val="000000" w:themeColor="text1"/>
        </w:rPr>
        <w:t>占全國</w:t>
      </w:r>
      <w:r w:rsidRPr="00D41D30">
        <w:rPr>
          <w:rFonts w:hint="eastAsia"/>
          <w:color w:val="000000" w:themeColor="text1"/>
        </w:rPr>
        <w:t>總人口</w:t>
      </w:r>
      <w:r w:rsidRPr="00D41D30">
        <w:rPr>
          <w:color w:val="000000" w:themeColor="text1"/>
        </w:rPr>
        <w:t>15.06%，</w:t>
      </w:r>
      <w:r w:rsidRPr="00D41D30">
        <w:rPr>
          <w:rFonts w:hint="eastAsia"/>
          <w:color w:val="000000" w:themeColor="text1"/>
        </w:rPr>
        <w:t>詳表3</w:t>
      </w:r>
      <w:r w:rsidRPr="00D41D30">
        <w:rPr>
          <w:color w:val="000000" w:themeColor="text1"/>
        </w:rPr>
        <w:t>4</w:t>
      </w:r>
      <w:r w:rsidRPr="00D41D30">
        <w:rPr>
          <w:rFonts w:hint="eastAsia"/>
          <w:color w:val="000000" w:themeColor="text1"/>
        </w:rPr>
        <w:t>。是以，面對人口高齡少子化之結構變遷，我政府各相關部會實應規劃推動相關高齡政策以因應。</w:t>
      </w:r>
      <w:bookmarkEnd w:id="1296"/>
      <w:bookmarkEnd w:id="1297"/>
      <w:bookmarkEnd w:id="1298"/>
      <w:bookmarkEnd w:id="1299"/>
      <w:bookmarkEnd w:id="1300"/>
      <w:bookmarkEnd w:id="1301"/>
      <w:bookmarkEnd w:id="1302"/>
    </w:p>
    <w:p w:rsidR="003872FF" w:rsidRPr="00D41D30" w:rsidRDefault="003872FF" w:rsidP="003872FF">
      <w:pPr>
        <w:pStyle w:val="a4"/>
        <w:spacing w:beforeLines="50" w:before="228" w:line="440" w:lineRule="exact"/>
        <w:ind w:leftChars="291" w:left="990" w:firstLineChars="202" w:firstLine="566"/>
        <w:jc w:val="left"/>
        <w:rPr>
          <w:rFonts w:hAnsi="標楷體" w:cs="BiauKai"/>
          <w:b/>
          <w:color w:val="000000" w:themeColor="text1"/>
          <w:szCs w:val="32"/>
        </w:rPr>
      </w:pPr>
      <w:r w:rsidRPr="00D41D30">
        <w:rPr>
          <w:rFonts w:hAnsi="標楷體" w:cs="BiauKai" w:hint="eastAsia"/>
          <w:b/>
          <w:color w:val="000000" w:themeColor="text1"/>
          <w:szCs w:val="32"/>
        </w:rPr>
        <w:t>97年度至108年度老人人口趨勢</w:t>
      </w:r>
    </w:p>
    <w:tbl>
      <w:tblPr>
        <w:tblW w:w="7229" w:type="dxa"/>
        <w:tblInd w:w="1413" w:type="dxa"/>
        <w:tblCellMar>
          <w:left w:w="28" w:type="dxa"/>
          <w:right w:w="28" w:type="dxa"/>
        </w:tblCellMar>
        <w:tblLook w:val="04A0" w:firstRow="1" w:lastRow="0" w:firstColumn="1" w:lastColumn="0" w:noHBand="0" w:noVBand="1"/>
      </w:tblPr>
      <w:tblGrid>
        <w:gridCol w:w="1276"/>
        <w:gridCol w:w="1984"/>
        <w:gridCol w:w="3969"/>
      </w:tblGrid>
      <w:tr w:rsidR="003872FF" w:rsidRPr="00D41D30" w:rsidTr="003872FF">
        <w:trPr>
          <w:trHeight w:val="191"/>
          <w:tblHeader/>
        </w:trPr>
        <w:tc>
          <w:tcPr>
            <w:tcW w:w="127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年度</w:t>
            </w:r>
          </w:p>
        </w:tc>
        <w:tc>
          <w:tcPr>
            <w:tcW w:w="1984" w:type="dxa"/>
            <w:tcBorders>
              <w:top w:val="single" w:sz="4" w:space="0" w:color="auto"/>
              <w:left w:val="nil"/>
              <w:right w:val="single" w:sz="4" w:space="0" w:color="auto"/>
            </w:tcBorders>
            <w:shd w:val="clear" w:color="auto" w:fill="auto"/>
            <w:vAlign w:val="center"/>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老人人數（人）</w:t>
            </w:r>
          </w:p>
        </w:tc>
        <w:tc>
          <w:tcPr>
            <w:tcW w:w="3969" w:type="dxa"/>
            <w:tcBorders>
              <w:top w:val="single" w:sz="4" w:space="0" w:color="auto"/>
              <w:left w:val="single" w:sz="4" w:space="0" w:color="auto"/>
              <w:right w:val="single" w:sz="4" w:space="0" w:color="000000"/>
            </w:tcBorders>
            <w:shd w:val="clear" w:color="auto" w:fill="auto"/>
            <w:vAlign w:val="center"/>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65歲以上人口占總人口比率（%）</w:t>
            </w:r>
          </w:p>
        </w:tc>
      </w:tr>
      <w:tr w:rsidR="003872FF" w:rsidRPr="00D41D30" w:rsidTr="003872FF">
        <w:trPr>
          <w:trHeight w:val="330"/>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97</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2,402,220</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10.43</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98</w:t>
            </w:r>
          </w:p>
        </w:tc>
        <w:tc>
          <w:tcPr>
            <w:tcW w:w="1984"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2,457,648</w:t>
            </w:r>
          </w:p>
        </w:tc>
        <w:tc>
          <w:tcPr>
            <w:tcW w:w="3969"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10.63</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99</w:t>
            </w:r>
          </w:p>
        </w:tc>
        <w:tc>
          <w:tcPr>
            <w:tcW w:w="1984"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2,487,893</w:t>
            </w:r>
          </w:p>
        </w:tc>
        <w:tc>
          <w:tcPr>
            <w:tcW w:w="3969"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10.74</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100</w:t>
            </w:r>
          </w:p>
        </w:tc>
        <w:tc>
          <w:tcPr>
            <w:tcW w:w="1984"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2,528,249</w:t>
            </w:r>
          </w:p>
        </w:tc>
        <w:tc>
          <w:tcPr>
            <w:tcW w:w="3969"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10.89</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101</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2,600,152</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11.15</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102</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2,694,406</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11.53</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103</w:t>
            </w:r>
          </w:p>
        </w:tc>
        <w:tc>
          <w:tcPr>
            <w:tcW w:w="1984"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2,808,690</w:t>
            </w:r>
          </w:p>
        </w:tc>
        <w:tc>
          <w:tcPr>
            <w:tcW w:w="3969"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11.99</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104</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2,938,579</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12.51</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105</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3,106,105</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13.20</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106</w:t>
            </w:r>
          </w:p>
        </w:tc>
        <w:tc>
          <w:tcPr>
            <w:tcW w:w="1984"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3,268,013</w:t>
            </w:r>
          </w:p>
        </w:tc>
        <w:tc>
          <w:tcPr>
            <w:tcW w:w="3969"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13.86</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107</w:t>
            </w:r>
          </w:p>
        </w:tc>
        <w:tc>
          <w:tcPr>
            <w:tcW w:w="1984"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3,433,517</w:t>
            </w:r>
          </w:p>
        </w:tc>
        <w:tc>
          <w:tcPr>
            <w:tcW w:w="3969"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14.56</w:t>
            </w:r>
          </w:p>
        </w:tc>
      </w:tr>
      <w:tr w:rsidR="003872FF" w:rsidRPr="00D41D30" w:rsidTr="003872FF">
        <w:trPr>
          <w:trHeight w:val="330"/>
        </w:trPr>
        <w:tc>
          <w:tcPr>
            <w:tcW w:w="1276" w:type="dxa"/>
            <w:tcBorders>
              <w:top w:val="nil"/>
              <w:left w:val="single" w:sz="4" w:space="0" w:color="auto"/>
              <w:bottom w:val="single" w:sz="4" w:space="0" w:color="auto"/>
              <w:right w:val="single" w:sz="4" w:space="0" w:color="auto"/>
            </w:tcBorders>
            <w:shd w:val="clear" w:color="auto" w:fill="auto"/>
            <w:vAlign w:val="bottom"/>
            <w:hideMark/>
          </w:tcPr>
          <w:p w:rsidR="003872FF" w:rsidRPr="00D41D30" w:rsidRDefault="003872FF" w:rsidP="003872FF">
            <w:pPr>
              <w:spacing w:line="240" w:lineRule="atLeast"/>
              <w:jc w:val="center"/>
              <w:rPr>
                <w:rFonts w:hAnsi="標楷體"/>
                <w:b/>
                <w:color w:val="000000" w:themeColor="text1"/>
                <w:sz w:val="26"/>
                <w:szCs w:val="26"/>
              </w:rPr>
            </w:pPr>
            <w:r w:rsidRPr="00D41D30">
              <w:rPr>
                <w:rFonts w:hAnsi="標楷體" w:hint="eastAsia"/>
                <w:b/>
                <w:color w:val="000000" w:themeColor="text1"/>
                <w:sz w:val="26"/>
                <w:szCs w:val="26"/>
              </w:rPr>
              <w:t>108年9月</w:t>
            </w:r>
          </w:p>
        </w:tc>
        <w:tc>
          <w:tcPr>
            <w:tcW w:w="1984"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3,55</w:t>
            </w:r>
            <w:r w:rsidRPr="00D41D30">
              <w:rPr>
                <w:rFonts w:hAnsi="標楷體"/>
                <w:color w:val="000000" w:themeColor="text1"/>
                <w:sz w:val="26"/>
                <w:szCs w:val="26"/>
              </w:rPr>
              <w:t>9</w:t>
            </w:r>
            <w:r w:rsidRPr="00D41D30">
              <w:rPr>
                <w:rFonts w:hAnsi="標楷體" w:hint="eastAsia"/>
                <w:color w:val="000000" w:themeColor="text1"/>
                <w:sz w:val="26"/>
                <w:szCs w:val="26"/>
              </w:rPr>
              <w:t>,</w:t>
            </w:r>
            <w:r w:rsidRPr="00D41D30">
              <w:rPr>
                <w:rFonts w:hAnsi="標楷體"/>
                <w:color w:val="000000" w:themeColor="text1"/>
                <w:sz w:val="26"/>
                <w:szCs w:val="26"/>
              </w:rPr>
              <w:t>905</w:t>
            </w:r>
          </w:p>
        </w:tc>
        <w:tc>
          <w:tcPr>
            <w:tcW w:w="3969" w:type="dxa"/>
            <w:tcBorders>
              <w:top w:val="nil"/>
              <w:left w:val="nil"/>
              <w:bottom w:val="single" w:sz="4" w:space="0" w:color="auto"/>
              <w:right w:val="single" w:sz="4" w:space="0" w:color="auto"/>
            </w:tcBorders>
            <w:shd w:val="clear" w:color="auto" w:fill="auto"/>
            <w:noWrap/>
            <w:vAlign w:val="bottom"/>
            <w:hideMark/>
          </w:tcPr>
          <w:p w:rsidR="003872FF" w:rsidRPr="00D41D30" w:rsidRDefault="003872FF" w:rsidP="003872FF">
            <w:pPr>
              <w:spacing w:line="240" w:lineRule="atLeast"/>
              <w:jc w:val="center"/>
              <w:rPr>
                <w:rFonts w:hAnsi="標楷體"/>
                <w:color w:val="000000" w:themeColor="text1"/>
                <w:sz w:val="26"/>
                <w:szCs w:val="26"/>
              </w:rPr>
            </w:pPr>
            <w:r w:rsidRPr="00D41D30">
              <w:rPr>
                <w:rFonts w:hAnsi="標楷體" w:hint="eastAsia"/>
                <w:color w:val="000000" w:themeColor="text1"/>
                <w:sz w:val="26"/>
                <w:szCs w:val="26"/>
              </w:rPr>
              <w:t>15.06</w:t>
            </w:r>
          </w:p>
        </w:tc>
      </w:tr>
    </w:tbl>
    <w:p w:rsidR="003872FF" w:rsidRPr="00D41D30" w:rsidRDefault="003872FF" w:rsidP="003872FF">
      <w:pPr>
        <w:pStyle w:val="af8"/>
        <w:rPr>
          <w:color w:val="000000" w:themeColor="text1"/>
        </w:rPr>
      </w:pPr>
      <w:r w:rsidRPr="00D41D30">
        <w:rPr>
          <w:rFonts w:hint="eastAsia"/>
          <w:color w:val="000000" w:themeColor="text1"/>
        </w:rPr>
        <w:t xml:space="preserve">          </w:t>
      </w:r>
      <w:bookmarkStart w:id="1303" w:name="_Toc30512570"/>
      <w:bookmarkStart w:id="1304" w:name="_Toc30581278"/>
      <w:bookmarkStart w:id="1305" w:name="_Toc32392554"/>
      <w:bookmarkStart w:id="1306" w:name="_Toc32673745"/>
      <w:bookmarkStart w:id="1307" w:name="_Toc32846624"/>
      <w:r w:rsidRPr="00D41D30">
        <w:rPr>
          <w:rFonts w:hint="eastAsia"/>
          <w:color w:val="000000" w:themeColor="text1"/>
        </w:rPr>
        <w:t xml:space="preserve">  </w:t>
      </w:r>
      <w:r w:rsidRPr="00D41D30">
        <w:rPr>
          <w:rFonts w:hAnsi="標楷體" w:cs="BiauKai" w:hint="eastAsia"/>
          <w:color w:val="000000" w:themeColor="text1"/>
          <w:sz w:val="24"/>
          <w:szCs w:val="24"/>
        </w:rPr>
        <w:t>資料來源：衛福部提供。</w:t>
      </w:r>
      <w:bookmarkEnd w:id="1303"/>
      <w:bookmarkEnd w:id="1304"/>
      <w:bookmarkEnd w:id="1305"/>
      <w:bookmarkEnd w:id="1306"/>
      <w:bookmarkEnd w:id="1307"/>
    </w:p>
    <w:p w:rsidR="003872FF" w:rsidRPr="00D41D30" w:rsidRDefault="003872FF" w:rsidP="003872FF">
      <w:pPr>
        <w:pStyle w:val="3"/>
        <w:spacing w:beforeLines="50" w:before="228"/>
        <w:ind w:left="1360" w:hanging="680"/>
        <w:rPr>
          <w:rFonts w:hAnsi="標楷體"/>
          <w:color w:val="000000" w:themeColor="text1"/>
          <w:szCs w:val="32"/>
        </w:rPr>
      </w:pPr>
      <w:bookmarkStart w:id="1308" w:name="_Toc30512571"/>
      <w:bookmarkStart w:id="1309" w:name="_Toc30581279"/>
      <w:bookmarkStart w:id="1310" w:name="_Toc32392555"/>
      <w:bookmarkStart w:id="1311" w:name="_Toc32673746"/>
      <w:bookmarkStart w:id="1312" w:name="_Toc32846625"/>
      <w:bookmarkStart w:id="1313" w:name="_Toc32918536"/>
      <w:bookmarkStart w:id="1314" w:name="_Toc33011823"/>
      <w:r w:rsidRPr="00D41D30">
        <w:rPr>
          <w:rFonts w:hint="eastAsia"/>
          <w:color w:val="000000" w:themeColor="text1"/>
        </w:rPr>
        <w:t>另人</w:t>
      </w:r>
      <w:r w:rsidRPr="00D41D30">
        <w:rPr>
          <w:rFonts w:hAnsi="標楷體"/>
          <w:color w:val="000000" w:themeColor="text1"/>
          <w:szCs w:val="32"/>
        </w:rPr>
        <w:t>口快速老化是世界各國人口結構變遷普遍的現象，惟各國從「高齡化社會」</w:t>
      </w:r>
      <w:r w:rsidRPr="00D41D30">
        <w:rPr>
          <w:rFonts w:hAnsi="標楷體" w:hint="eastAsia"/>
          <w:color w:val="000000" w:themeColor="text1"/>
          <w:szCs w:val="32"/>
        </w:rPr>
        <w:t>發展為</w:t>
      </w:r>
      <w:r w:rsidRPr="00D41D30">
        <w:rPr>
          <w:rFonts w:hAnsi="標楷體"/>
          <w:color w:val="000000" w:themeColor="text1"/>
          <w:szCs w:val="32"/>
        </w:rPr>
        <w:t>「高齡社會」之速度各有差異，如法國</w:t>
      </w:r>
      <w:r w:rsidRPr="00D41D30">
        <w:rPr>
          <w:rFonts w:hAnsi="標楷體" w:hint="eastAsia"/>
          <w:color w:val="000000" w:themeColor="text1"/>
          <w:szCs w:val="32"/>
        </w:rPr>
        <w:t>歷經127</w:t>
      </w:r>
      <w:r w:rsidRPr="00D41D30">
        <w:rPr>
          <w:rFonts w:hAnsi="標楷體"/>
          <w:color w:val="000000" w:themeColor="text1"/>
          <w:szCs w:val="32"/>
        </w:rPr>
        <w:t>年、瑞典</w:t>
      </w:r>
      <w:r w:rsidRPr="00D41D30">
        <w:rPr>
          <w:rFonts w:hAnsi="標楷體" w:hint="eastAsia"/>
          <w:color w:val="000000" w:themeColor="text1"/>
          <w:szCs w:val="32"/>
        </w:rPr>
        <w:t>85</w:t>
      </w:r>
      <w:r w:rsidRPr="00D41D30">
        <w:rPr>
          <w:rFonts w:hAnsi="標楷體"/>
          <w:color w:val="000000" w:themeColor="text1"/>
          <w:szCs w:val="32"/>
        </w:rPr>
        <w:t>年、美國71年、英國</w:t>
      </w:r>
      <w:r w:rsidRPr="00D41D30">
        <w:rPr>
          <w:rFonts w:hAnsi="標楷體" w:hint="eastAsia"/>
          <w:color w:val="000000" w:themeColor="text1"/>
          <w:szCs w:val="32"/>
        </w:rPr>
        <w:t>47</w:t>
      </w:r>
      <w:r w:rsidRPr="00D41D30">
        <w:rPr>
          <w:rFonts w:hAnsi="標楷體"/>
          <w:color w:val="000000" w:themeColor="text1"/>
          <w:szCs w:val="32"/>
        </w:rPr>
        <w:t>年、德國</w:t>
      </w:r>
      <w:r w:rsidRPr="00D41D30">
        <w:rPr>
          <w:rFonts w:hAnsi="標楷體" w:hint="eastAsia"/>
          <w:color w:val="000000" w:themeColor="text1"/>
          <w:szCs w:val="32"/>
        </w:rPr>
        <w:t>40</w:t>
      </w:r>
      <w:r w:rsidRPr="00D41D30">
        <w:rPr>
          <w:rFonts w:hAnsi="標楷體"/>
          <w:color w:val="000000" w:themeColor="text1"/>
          <w:szCs w:val="32"/>
        </w:rPr>
        <w:t>年，但我國</w:t>
      </w:r>
      <w:r w:rsidRPr="00D41D30">
        <w:rPr>
          <w:rFonts w:hAnsi="標楷體" w:hint="eastAsia"/>
          <w:color w:val="000000" w:themeColor="text1"/>
          <w:szCs w:val="32"/>
        </w:rPr>
        <w:t>僅需</w:t>
      </w:r>
      <w:r w:rsidRPr="00D41D30">
        <w:rPr>
          <w:rFonts w:hAnsi="標楷體"/>
          <w:color w:val="000000" w:themeColor="text1"/>
          <w:szCs w:val="32"/>
        </w:rPr>
        <w:t>25年，與日本</w:t>
      </w:r>
      <w:r w:rsidRPr="00D41D30">
        <w:rPr>
          <w:rFonts w:hAnsi="標楷體" w:hint="eastAsia"/>
          <w:color w:val="000000" w:themeColor="text1"/>
          <w:szCs w:val="32"/>
        </w:rPr>
        <w:t>（24年）</w:t>
      </w:r>
      <w:r w:rsidRPr="00D41D30">
        <w:rPr>
          <w:rFonts w:hAnsi="標楷體"/>
          <w:color w:val="000000" w:themeColor="text1"/>
          <w:szCs w:val="32"/>
        </w:rPr>
        <w:t>相仿</w:t>
      </w:r>
      <w:r w:rsidRPr="00D41D30">
        <w:rPr>
          <w:rFonts w:hAnsi="標楷體" w:hint="eastAsia"/>
          <w:color w:val="000000" w:themeColor="text1"/>
          <w:szCs w:val="32"/>
        </w:rPr>
        <w:t>。</w:t>
      </w:r>
      <w:r w:rsidRPr="00D41D30">
        <w:rPr>
          <w:rFonts w:hAnsi="標楷體"/>
          <w:color w:val="000000" w:themeColor="text1"/>
          <w:szCs w:val="32"/>
        </w:rPr>
        <w:t>而從</w:t>
      </w:r>
      <w:r w:rsidRPr="00D41D30">
        <w:rPr>
          <w:rFonts w:hAnsi="標楷體" w:hint="eastAsia"/>
          <w:color w:val="000000" w:themeColor="text1"/>
          <w:szCs w:val="32"/>
        </w:rPr>
        <w:t>「</w:t>
      </w:r>
      <w:r w:rsidRPr="00D41D30">
        <w:rPr>
          <w:rFonts w:hAnsi="標楷體"/>
          <w:color w:val="000000" w:themeColor="text1"/>
          <w:szCs w:val="32"/>
        </w:rPr>
        <w:t>高齡社會</w:t>
      </w:r>
      <w:r w:rsidRPr="00D41D30">
        <w:rPr>
          <w:rFonts w:hAnsi="標楷體" w:hint="eastAsia"/>
          <w:color w:val="000000" w:themeColor="text1"/>
          <w:szCs w:val="32"/>
        </w:rPr>
        <w:t>」至「</w:t>
      </w:r>
      <w:r w:rsidRPr="00D41D30">
        <w:rPr>
          <w:rFonts w:hAnsi="標楷體"/>
          <w:color w:val="000000" w:themeColor="text1"/>
          <w:szCs w:val="32"/>
        </w:rPr>
        <w:t>超高齡社會</w:t>
      </w:r>
      <w:r w:rsidRPr="00D41D30">
        <w:rPr>
          <w:rFonts w:hAnsi="標楷體" w:hint="eastAsia"/>
          <w:color w:val="000000" w:themeColor="text1"/>
          <w:szCs w:val="32"/>
        </w:rPr>
        <w:t>」之速度</w:t>
      </w:r>
      <w:r w:rsidRPr="00D41D30">
        <w:rPr>
          <w:rFonts w:hAnsi="標楷體"/>
          <w:color w:val="000000" w:themeColor="text1"/>
          <w:szCs w:val="32"/>
        </w:rPr>
        <w:t>，日</w:t>
      </w:r>
      <w:r w:rsidRPr="00D41D30">
        <w:rPr>
          <w:rFonts w:hAnsi="標楷體" w:hint="eastAsia"/>
          <w:color w:val="000000" w:themeColor="text1"/>
          <w:szCs w:val="32"/>
        </w:rPr>
        <w:t>本</w:t>
      </w:r>
      <w:r w:rsidRPr="00D41D30">
        <w:rPr>
          <w:rFonts w:hAnsi="標楷體"/>
          <w:color w:val="000000" w:themeColor="text1"/>
          <w:szCs w:val="32"/>
        </w:rPr>
        <w:t>、德</w:t>
      </w:r>
      <w:r w:rsidRPr="00D41D30">
        <w:rPr>
          <w:rFonts w:hAnsi="標楷體" w:hint="eastAsia"/>
          <w:color w:val="000000" w:themeColor="text1"/>
          <w:szCs w:val="32"/>
        </w:rPr>
        <w:t>國</w:t>
      </w:r>
      <w:r w:rsidRPr="00D41D30">
        <w:rPr>
          <w:rFonts w:hAnsi="標楷體"/>
          <w:color w:val="000000" w:themeColor="text1"/>
          <w:szCs w:val="32"/>
        </w:rPr>
        <w:t>、義</w:t>
      </w:r>
      <w:r w:rsidRPr="00D41D30">
        <w:rPr>
          <w:rFonts w:hAnsi="標楷體" w:hint="eastAsia"/>
          <w:color w:val="000000" w:themeColor="text1"/>
          <w:szCs w:val="32"/>
        </w:rPr>
        <w:t>大利</w:t>
      </w:r>
      <w:r w:rsidRPr="00D41D30">
        <w:rPr>
          <w:rFonts w:hAnsi="標楷體"/>
          <w:color w:val="000000" w:themeColor="text1"/>
          <w:szCs w:val="32"/>
        </w:rPr>
        <w:t>分別需時11年、36年及19年，我國</w:t>
      </w:r>
      <w:r w:rsidRPr="00D41D30">
        <w:rPr>
          <w:rFonts w:hAnsi="標楷體" w:hint="eastAsia"/>
          <w:color w:val="000000" w:themeColor="text1"/>
          <w:szCs w:val="32"/>
        </w:rPr>
        <w:t>預估</w:t>
      </w:r>
      <w:r w:rsidRPr="00D41D30">
        <w:rPr>
          <w:rFonts w:hAnsi="標楷體"/>
          <w:color w:val="000000" w:themeColor="text1"/>
          <w:szCs w:val="32"/>
        </w:rPr>
        <w:t>約</w:t>
      </w:r>
      <w:r w:rsidRPr="00D41D30">
        <w:rPr>
          <w:rFonts w:hAnsi="標楷體" w:hint="eastAsia"/>
          <w:color w:val="000000" w:themeColor="text1"/>
          <w:szCs w:val="32"/>
        </w:rPr>
        <w:t>為</w:t>
      </w:r>
      <w:r w:rsidRPr="00D41D30">
        <w:rPr>
          <w:rFonts w:hAnsi="標楷體"/>
          <w:color w:val="000000" w:themeColor="text1"/>
          <w:szCs w:val="32"/>
        </w:rPr>
        <w:t>8年，顯示我國人口高齡化的歷程將愈來愈快，人口老化的速度較歐美各國快</w:t>
      </w:r>
      <w:r w:rsidRPr="00D41D30">
        <w:rPr>
          <w:rFonts w:hAnsi="標楷體" w:hint="eastAsia"/>
          <w:color w:val="000000" w:themeColor="text1"/>
          <w:szCs w:val="32"/>
        </w:rPr>
        <w:t>速，詳如下表。</w:t>
      </w:r>
    </w:p>
    <w:p w:rsidR="003872FF" w:rsidRPr="00D41D30" w:rsidRDefault="003872FF" w:rsidP="003872FF">
      <w:pPr>
        <w:pStyle w:val="a4"/>
        <w:ind w:left="697" w:hanging="697"/>
        <w:rPr>
          <w:b/>
          <w:color w:val="000000" w:themeColor="text1"/>
        </w:rPr>
      </w:pPr>
      <w:r w:rsidRPr="00D41D30">
        <w:rPr>
          <w:rFonts w:hint="eastAsia"/>
          <w:b/>
          <w:color w:val="000000" w:themeColor="text1"/>
        </w:rPr>
        <w:lastRenderedPageBreak/>
        <w:t>各國人口</w:t>
      </w:r>
      <w:r w:rsidRPr="00D41D30">
        <w:rPr>
          <w:rFonts w:hAnsi="標楷體" w:hint="eastAsia"/>
          <w:b/>
          <w:color w:val="000000" w:themeColor="text1"/>
        </w:rPr>
        <w:t>成長</w:t>
      </w:r>
      <w:r w:rsidRPr="00D41D30">
        <w:rPr>
          <w:rFonts w:hint="eastAsia"/>
          <w:b/>
          <w:color w:val="000000" w:themeColor="text1"/>
        </w:rPr>
        <w:t>推估</w:t>
      </w:r>
    </w:p>
    <w:tbl>
      <w:tblPr>
        <w:tblW w:w="5175" w:type="pct"/>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382"/>
        <w:gridCol w:w="1796"/>
        <w:gridCol w:w="1520"/>
        <w:gridCol w:w="1799"/>
        <w:gridCol w:w="1247"/>
        <w:gridCol w:w="1399"/>
      </w:tblGrid>
      <w:tr w:rsidR="003872FF" w:rsidRPr="00D41D30" w:rsidTr="003872FF">
        <w:trPr>
          <w:trHeight w:val="569"/>
          <w:tblHeader/>
        </w:trPr>
        <w:tc>
          <w:tcPr>
            <w:tcW w:w="756" w:type="pct"/>
            <w:vMerge w:val="restart"/>
            <w:tcBorders>
              <w:top w:val="single" w:sz="12" w:space="0" w:color="000000"/>
              <w:right w:val="single" w:sz="4" w:space="0" w:color="auto"/>
            </w:tcBorders>
            <w:shd w:val="clear" w:color="auto" w:fill="auto"/>
            <w:vAlign w:val="center"/>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國別</w:t>
            </w:r>
          </w:p>
        </w:tc>
        <w:tc>
          <w:tcPr>
            <w:tcW w:w="2796" w:type="pct"/>
            <w:gridSpan w:val="3"/>
            <w:tcBorders>
              <w:top w:val="single" w:sz="12" w:space="0" w:color="000000"/>
              <w:left w:val="single" w:sz="4" w:space="0" w:color="auto"/>
              <w:bottom w:val="single" w:sz="4" w:space="0" w:color="auto"/>
            </w:tcBorders>
            <w:shd w:val="clear" w:color="auto" w:fill="auto"/>
            <w:vAlign w:val="center"/>
          </w:tcPr>
          <w:p w:rsidR="003872FF" w:rsidRPr="00D41D30" w:rsidRDefault="003872FF" w:rsidP="003872FF">
            <w:pPr>
              <w:spacing w:line="300" w:lineRule="exact"/>
              <w:jc w:val="center"/>
              <w:rPr>
                <w:rFonts w:hAnsi="標楷體"/>
                <w:color w:val="000000" w:themeColor="text1"/>
                <w:sz w:val="28"/>
                <w:szCs w:val="28"/>
              </w:rPr>
            </w:pPr>
            <w:r w:rsidRPr="00D41D30">
              <w:rPr>
                <w:rFonts w:hAnsi="標楷體"/>
                <w:bCs/>
                <w:color w:val="000000" w:themeColor="text1"/>
                <w:sz w:val="28"/>
                <w:szCs w:val="28"/>
              </w:rPr>
              <w:t>65歲以上人口占</w:t>
            </w:r>
            <w:r w:rsidRPr="00D41D30">
              <w:rPr>
                <w:rFonts w:hAnsi="標楷體" w:hint="eastAsia"/>
                <w:bCs/>
                <w:color w:val="000000" w:themeColor="text1"/>
                <w:sz w:val="28"/>
                <w:szCs w:val="28"/>
              </w:rPr>
              <w:t>總人口</w:t>
            </w:r>
            <w:r w:rsidRPr="00D41D30">
              <w:rPr>
                <w:rFonts w:hAnsi="標楷體"/>
                <w:bCs/>
                <w:color w:val="000000" w:themeColor="text1"/>
                <w:sz w:val="28"/>
                <w:szCs w:val="28"/>
              </w:rPr>
              <w:t>比率到達年度（年）</w:t>
            </w:r>
          </w:p>
        </w:tc>
        <w:tc>
          <w:tcPr>
            <w:tcW w:w="1448" w:type="pct"/>
            <w:gridSpan w:val="2"/>
            <w:tcBorders>
              <w:top w:val="single" w:sz="12" w:space="0" w:color="000000"/>
              <w:right w:val="single" w:sz="12" w:space="0" w:color="auto"/>
            </w:tcBorders>
            <w:shd w:val="clear" w:color="auto" w:fill="auto"/>
            <w:vAlign w:val="center"/>
          </w:tcPr>
          <w:p w:rsidR="003872FF" w:rsidRPr="00D41D30" w:rsidRDefault="003872FF" w:rsidP="003872FF">
            <w:pPr>
              <w:spacing w:line="300" w:lineRule="exact"/>
              <w:jc w:val="center"/>
              <w:rPr>
                <w:rFonts w:hAnsi="標楷體"/>
                <w:color w:val="000000" w:themeColor="text1"/>
                <w:sz w:val="28"/>
                <w:szCs w:val="28"/>
              </w:rPr>
            </w:pPr>
            <w:r w:rsidRPr="00D41D30">
              <w:rPr>
                <w:rFonts w:hAnsi="標楷體"/>
                <w:bCs/>
                <w:color w:val="000000" w:themeColor="text1"/>
                <w:sz w:val="28"/>
                <w:szCs w:val="28"/>
              </w:rPr>
              <w:t>轉變所需時間（年）</w:t>
            </w:r>
          </w:p>
        </w:tc>
      </w:tr>
      <w:tr w:rsidR="003872FF" w:rsidRPr="00D41D30" w:rsidTr="003872FF">
        <w:trPr>
          <w:trHeight w:val="340"/>
          <w:tblHeader/>
        </w:trPr>
        <w:tc>
          <w:tcPr>
            <w:tcW w:w="756" w:type="pct"/>
            <w:vMerge/>
            <w:tcBorders>
              <w:bottom w:val="single" w:sz="6" w:space="0" w:color="000000"/>
              <w:right w:val="single" w:sz="4" w:space="0" w:color="auto"/>
            </w:tcBorders>
            <w:shd w:val="clear" w:color="auto" w:fill="auto"/>
          </w:tcPr>
          <w:p w:rsidR="003872FF" w:rsidRPr="00D41D30" w:rsidRDefault="003872FF" w:rsidP="003872FF">
            <w:pPr>
              <w:spacing w:line="300" w:lineRule="exact"/>
              <w:rPr>
                <w:rFonts w:hAnsi="標楷體"/>
                <w:color w:val="000000" w:themeColor="text1"/>
                <w:sz w:val="28"/>
                <w:szCs w:val="28"/>
              </w:rPr>
            </w:pPr>
          </w:p>
        </w:tc>
        <w:tc>
          <w:tcPr>
            <w:tcW w:w="982" w:type="pct"/>
            <w:tcBorders>
              <w:left w:val="single" w:sz="4" w:space="0" w:color="auto"/>
              <w:bottom w:val="single" w:sz="6" w:space="0" w:color="000000"/>
            </w:tcBorders>
            <w:shd w:val="clear" w:color="auto" w:fill="auto"/>
          </w:tcPr>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高齡化社會</w:t>
            </w:r>
          </w:p>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（7%）</w:t>
            </w:r>
          </w:p>
        </w:tc>
        <w:tc>
          <w:tcPr>
            <w:tcW w:w="831" w:type="pct"/>
            <w:tcBorders>
              <w:bottom w:val="single" w:sz="6" w:space="0" w:color="000000"/>
            </w:tcBorders>
            <w:shd w:val="clear" w:color="auto" w:fill="auto"/>
          </w:tcPr>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高齡社會</w:t>
            </w:r>
          </w:p>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（14%）</w:t>
            </w:r>
          </w:p>
        </w:tc>
        <w:tc>
          <w:tcPr>
            <w:tcW w:w="984" w:type="pct"/>
            <w:tcBorders>
              <w:bottom w:val="single" w:sz="6" w:space="0" w:color="000000"/>
            </w:tcBorders>
            <w:shd w:val="clear" w:color="auto" w:fill="auto"/>
          </w:tcPr>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超高齡社會</w:t>
            </w:r>
          </w:p>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（20%）</w:t>
            </w:r>
          </w:p>
        </w:tc>
        <w:tc>
          <w:tcPr>
            <w:tcW w:w="682" w:type="pct"/>
            <w:tcBorders>
              <w:bottom w:val="single" w:sz="6" w:space="0" w:color="000000"/>
            </w:tcBorders>
            <w:shd w:val="clear" w:color="auto" w:fill="auto"/>
            <w:vAlign w:val="center"/>
          </w:tcPr>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7%→14%</w:t>
            </w:r>
          </w:p>
        </w:tc>
        <w:tc>
          <w:tcPr>
            <w:tcW w:w="766" w:type="pct"/>
            <w:tcBorders>
              <w:bottom w:val="single" w:sz="6" w:space="0" w:color="000000"/>
            </w:tcBorders>
            <w:shd w:val="clear" w:color="auto" w:fill="auto"/>
            <w:vAlign w:val="center"/>
          </w:tcPr>
          <w:p w:rsidR="003872FF" w:rsidRPr="00D41D30" w:rsidRDefault="003872FF" w:rsidP="003872FF">
            <w:pPr>
              <w:spacing w:line="300" w:lineRule="exact"/>
              <w:jc w:val="center"/>
              <w:rPr>
                <w:rFonts w:hAnsi="標楷體"/>
                <w:color w:val="000000" w:themeColor="text1"/>
                <w:sz w:val="28"/>
                <w:szCs w:val="28"/>
              </w:rPr>
            </w:pPr>
            <w:r w:rsidRPr="00D41D30">
              <w:rPr>
                <w:rFonts w:hAnsi="標楷體"/>
                <w:color w:val="000000" w:themeColor="text1"/>
                <w:sz w:val="28"/>
                <w:szCs w:val="28"/>
              </w:rPr>
              <w:t>14%→20%</w:t>
            </w:r>
          </w:p>
        </w:tc>
      </w:tr>
      <w:tr w:rsidR="003872FF" w:rsidRPr="00D41D30" w:rsidTr="003872FF">
        <w:trPr>
          <w:trHeight w:val="425"/>
        </w:trPr>
        <w:tc>
          <w:tcPr>
            <w:tcW w:w="756" w:type="pct"/>
            <w:tcBorders>
              <w:top w:val="single" w:sz="6" w:space="0" w:color="000000"/>
              <w:bottom w:val="single" w:sz="4" w:space="0" w:color="auto"/>
            </w:tcBorders>
            <w:shd w:val="clear" w:color="auto" w:fill="FDE9D9" w:themeFill="accent6" w:themeFillTint="33"/>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中華民國</w:t>
            </w:r>
          </w:p>
        </w:tc>
        <w:tc>
          <w:tcPr>
            <w:tcW w:w="982" w:type="pct"/>
            <w:tcBorders>
              <w:top w:val="single" w:sz="6" w:space="0" w:color="000000"/>
              <w:bottom w:val="single" w:sz="4" w:space="0" w:color="auto"/>
            </w:tcBorders>
            <w:shd w:val="clear" w:color="auto" w:fill="FDE9D9" w:themeFill="accent6" w:themeFillTint="33"/>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1993</w:t>
            </w:r>
          </w:p>
        </w:tc>
        <w:tc>
          <w:tcPr>
            <w:tcW w:w="831" w:type="pct"/>
            <w:tcBorders>
              <w:top w:val="single" w:sz="6" w:space="0" w:color="000000"/>
              <w:bottom w:val="single" w:sz="4" w:space="0" w:color="auto"/>
            </w:tcBorders>
            <w:shd w:val="clear" w:color="auto" w:fill="FDE9D9" w:themeFill="accent6" w:themeFillTint="33"/>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2018*</w:t>
            </w:r>
          </w:p>
        </w:tc>
        <w:tc>
          <w:tcPr>
            <w:tcW w:w="984" w:type="pct"/>
            <w:tcBorders>
              <w:top w:val="single" w:sz="6" w:space="0" w:color="000000"/>
              <w:bottom w:val="single" w:sz="4" w:space="0" w:color="auto"/>
            </w:tcBorders>
            <w:shd w:val="clear" w:color="auto" w:fill="FDE9D9" w:themeFill="accent6" w:themeFillTint="33"/>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2026*</w:t>
            </w:r>
          </w:p>
        </w:tc>
        <w:tc>
          <w:tcPr>
            <w:tcW w:w="682" w:type="pct"/>
            <w:tcBorders>
              <w:top w:val="single" w:sz="6" w:space="0" w:color="000000"/>
              <w:bottom w:val="single" w:sz="4" w:space="0" w:color="auto"/>
            </w:tcBorders>
            <w:shd w:val="clear" w:color="auto" w:fill="FDE9D9" w:themeFill="accent6" w:themeFillTint="33"/>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25*</w:t>
            </w:r>
          </w:p>
        </w:tc>
        <w:tc>
          <w:tcPr>
            <w:tcW w:w="766" w:type="pct"/>
            <w:tcBorders>
              <w:top w:val="single" w:sz="6" w:space="0" w:color="000000"/>
              <w:bottom w:val="single" w:sz="4" w:space="0" w:color="auto"/>
            </w:tcBorders>
            <w:shd w:val="clear" w:color="auto" w:fill="FDE9D9" w:themeFill="accent6" w:themeFillTint="33"/>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8*</w:t>
            </w:r>
          </w:p>
        </w:tc>
      </w:tr>
      <w:tr w:rsidR="003872FF" w:rsidRPr="00D41D30" w:rsidTr="003872FF">
        <w:trPr>
          <w:trHeight w:val="425"/>
        </w:trPr>
        <w:tc>
          <w:tcPr>
            <w:tcW w:w="756" w:type="pct"/>
            <w:tcBorders>
              <w:top w:val="single" w:sz="4" w:space="0" w:color="auto"/>
            </w:tcBorders>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日本</w:t>
            </w:r>
          </w:p>
        </w:tc>
        <w:tc>
          <w:tcPr>
            <w:tcW w:w="982" w:type="pct"/>
            <w:tcBorders>
              <w:top w:val="single" w:sz="4" w:space="0" w:color="auto"/>
            </w:tcBorders>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1970</w:t>
            </w:r>
          </w:p>
        </w:tc>
        <w:tc>
          <w:tcPr>
            <w:tcW w:w="831" w:type="pct"/>
            <w:tcBorders>
              <w:top w:val="single" w:sz="4" w:space="0" w:color="auto"/>
            </w:tcBorders>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1994</w:t>
            </w:r>
          </w:p>
        </w:tc>
        <w:tc>
          <w:tcPr>
            <w:tcW w:w="984" w:type="pct"/>
            <w:tcBorders>
              <w:top w:val="single" w:sz="4" w:space="0" w:color="auto"/>
            </w:tcBorders>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2005</w:t>
            </w:r>
          </w:p>
        </w:tc>
        <w:tc>
          <w:tcPr>
            <w:tcW w:w="682" w:type="pct"/>
            <w:tcBorders>
              <w:top w:val="single" w:sz="4" w:space="0" w:color="auto"/>
            </w:tcBorders>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24</w:t>
            </w:r>
          </w:p>
        </w:tc>
        <w:tc>
          <w:tcPr>
            <w:tcW w:w="766" w:type="pct"/>
            <w:tcBorders>
              <w:top w:val="single" w:sz="4" w:space="0" w:color="auto"/>
            </w:tcBorders>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11</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韓國</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1999</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2018*</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5</w:t>
            </w:r>
            <w:r w:rsidRPr="00D41D30">
              <w:rPr>
                <w:rFonts w:hAnsi="標楷體"/>
                <w:bCs/>
                <w:color w:val="000000" w:themeColor="text1"/>
                <w:sz w:val="28"/>
                <w:szCs w:val="28"/>
              </w:rPr>
              <w:t>*</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新加坡</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1999</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2019*</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2026*</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7*</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香港</w:t>
            </w:r>
            <w:r w:rsidRPr="00D41D30">
              <w:rPr>
                <w:rFonts w:hAnsi="標楷體" w:hint="eastAsia"/>
                <w:bCs/>
                <w:color w:val="000000" w:themeColor="text1"/>
                <w:sz w:val="28"/>
                <w:szCs w:val="28"/>
                <w:vertAlign w:val="superscript"/>
              </w:rPr>
              <w:t>2</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1984</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2013</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2023*</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29</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10*</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美國</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1942</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2013</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2028*</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71</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15*</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加拿大</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1945</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2010</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2024*</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65</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14*</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英國</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1929</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1976</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2027*</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47</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51*</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德國</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1932</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1972</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2008</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40</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36</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法國</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1864</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1991</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2020*</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127</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29*</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挪威</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1885</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1977</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203</w:t>
            </w:r>
            <w:r w:rsidRPr="00D41D30">
              <w:rPr>
                <w:rFonts w:hAnsi="標楷體" w:hint="eastAsia"/>
                <w:bCs/>
                <w:color w:val="000000" w:themeColor="text1"/>
                <w:sz w:val="28"/>
                <w:szCs w:val="28"/>
              </w:rPr>
              <w:t>0</w:t>
            </w:r>
            <w:r w:rsidRPr="00D41D30">
              <w:rPr>
                <w:rFonts w:hAnsi="標楷體"/>
                <w:bCs/>
                <w:color w:val="000000" w:themeColor="text1"/>
                <w:sz w:val="28"/>
                <w:szCs w:val="28"/>
              </w:rPr>
              <w:t>*</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92</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5</w:t>
            </w:r>
            <w:r w:rsidRPr="00D41D30">
              <w:rPr>
                <w:rFonts w:hAnsi="標楷體" w:hint="eastAsia"/>
                <w:bCs/>
                <w:color w:val="000000" w:themeColor="text1"/>
                <w:sz w:val="28"/>
                <w:szCs w:val="28"/>
              </w:rPr>
              <w:t>3</w:t>
            </w:r>
            <w:r w:rsidRPr="00D41D30">
              <w:rPr>
                <w:rFonts w:hAnsi="標楷體"/>
                <w:bCs/>
                <w:color w:val="000000" w:themeColor="text1"/>
                <w:sz w:val="28"/>
                <w:szCs w:val="28"/>
              </w:rPr>
              <w:t>*</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瑞典</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1887</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1972</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w:t>
            </w:r>
            <w:r w:rsidRPr="00D41D30">
              <w:rPr>
                <w:rFonts w:hAnsi="標楷體" w:hint="eastAsia"/>
                <w:bCs/>
                <w:color w:val="000000" w:themeColor="text1"/>
                <w:sz w:val="28"/>
                <w:szCs w:val="28"/>
              </w:rPr>
              <w:t>9</w:t>
            </w:r>
            <w:r w:rsidRPr="00D41D30">
              <w:rPr>
                <w:rFonts w:hAnsi="標楷體"/>
                <w:bCs/>
                <w:color w:val="000000" w:themeColor="text1"/>
                <w:sz w:val="28"/>
                <w:szCs w:val="28"/>
              </w:rPr>
              <w:t>*</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85</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4</w:t>
            </w: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荷蘭</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1940</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2005</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2</w:t>
            </w:r>
            <w:r w:rsidRPr="00D41D30">
              <w:rPr>
                <w:rFonts w:hAnsi="標楷體"/>
                <w:bCs/>
                <w:color w:val="000000" w:themeColor="text1"/>
                <w:sz w:val="28"/>
                <w:szCs w:val="28"/>
              </w:rPr>
              <w:t>*</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65</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w:t>
            </w:r>
            <w:r w:rsidRPr="00D41D30">
              <w:rPr>
                <w:rFonts w:hAnsi="標楷體" w:hint="eastAsia"/>
                <w:bCs/>
                <w:color w:val="000000" w:themeColor="text1"/>
                <w:sz w:val="28"/>
                <w:szCs w:val="28"/>
              </w:rPr>
              <w:t>7</w:t>
            </w:r>
            <w:r w:rsidRPr="00D41D30">
              <w:rPr>
                <w:rFonts w:hAnsi="標楷體"/>
                <w:bCs/>
                <w:color w:val="000000" w:themeColor="text1"/>
                <w:sz w:val="28"/>
                <w:szCs w:val="28"/>
              </w:rPr>
              <w:t>*</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瑞士</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1931</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1985</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2025*</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54</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40*</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奧地利</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1929</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1970</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4</w:t>
            </w:r>
            <w:r w:rsidRPr="00D41D30">
              <w:rPr>
                <w:rFonts w:hAnsi="標楷體"/>
                <w:bCs/>
                <w:color w:val="000000" w:themeColor="text1"/>
                <w:sz w:val="28"/>
                <w:szCs w:val="28"/>
              </w:rPr>
              <w:t>*</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41</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5</w:t>
            </w:r>
            <w:r w:rsidRPr="00D41D30">
              <w:rPr>
                <w:rFonts w:hAnsi="標楷體" w:hint="eastAsia"/>
                <w:bCs/>
                <w:color w:val="000000" w:themeColor="text1"/>
                <w:sz w:val="28"/>
                <w:szCs w:val="28"/>
              </w:rPr>
              <w:t>4</w:t>
            </w:r>
            <w:r w:rsidRPr="00D41D30">
              <w:rPr>
                <w:rFonts w:hAnsi="標楷體"/>
                <w:bCs/>
                <w:color w:val="000000" w:themeColor="text1"/>
                <w:sz w:val="28"/>
                <w:szCs w:val="28"/>
              </w:rPr>
              <w:t>*</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義大利</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1927</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1988</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2007</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61</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西班牙</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1947</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1992</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202</w:t>
            </w:r>
            <w:r w:rsidRPr="00D41D30">
              <w:rPr>
                <w:rFonts w:hAnsi="標楷體" w:hint="eastAsia"/>
                <w:bCs/>
                <w:color w:val="000000" w:themeColor="text1"/>
                <w:sz w:val="28"/>
                <w:szCs w:val="28"/>
              </w:rPr>
              <w:t>0</w:t>
            </w:r>
            <w:r w:rsidRPr="00D41D30">
              <w:rPr>
                <w:rFonts w:hAnsi="標楷體"/>
                <w:bCs/>
                <w:color w:val="000000" w:themeColor="text1"/>
                <w:sz w:val="28"/>
                <w:szCs w:val="28"/>
              </w:rPr>
              <w:t>*</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45</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w:t>
            </w:r>
            <w:r w:rsidRPr="00D41D30">
              <w:rPr>
                <w:rFonts w:hAnsi="標楷體" w:hint="eastAsia"/>
                <w:bCs/>
                <w:color w:val="000000" w:themeColor="text1"/>
                <w:sz w:val="28"/>
                <w:szCs w:val="28"/>
              </w:rPr>
              <w:t>8</w:t>
            </w:r>
            <w:r w:rsidRPr="00D41D30">
              <w:rPr>
                <w:rFonts w:hAnsi="標楷體"/>
                <w:bCs/>
                <w:color w:val="000000" w:themeColor="text1"/>
                <w:sz w:val="28"/>
                <w:szCs w:val="28"/>
              </w:rPr>
              <w:t>*</w:t>
            </w:r>
          </w:p>
        </w:tc>
      </w:tr>
      <w:tr w:rsidR="003872FF" w:rsidRPr="00D41D30" w:rsidTr="003872FF">
        <w:trPr>
          <w:trHeight w:val="425"/>
        </w:trPr>
        <w:tc>
          <w:tcPr>
            <w:tcW w:w="756" w:type="pct"/>
            <w:shd w:val="clear" w:color="auto" w:fill="auto"/>
          </w:tcPr>
          <w:p w:rsidR="003872FF" w:rsidRPr="00D41D30" w:rsidRDefault="003872FF" w:rsidP="003872FF">
            <w:pPr>
              <w:spacing w:line="300" w:lineRule="exact"/>
              <w:rPr>
                <w:rFonts w:hAnsi="標楷體"/>
                <w:bCs/>
                <w:color w:val="000000" w:themeColor="text1"/>
                <w:sz w:val="28"/>
                <w:szCs w:val="28"/>
              </w:rPr>
            </w:pPr>
            <w:r w:rsidRPr="00D41D30">
              <w:rPr>
                <w:rFonts w:hAnsi="標楷體"/>
                <w:bCs/>
                <w:color w:val="000000" w:themeColor="text1"/>
                <w:sz w:val="28"/>
                <w:szCs w:val="28"/>
              </w:rPr>
              <w:t>澳洲</w:t>
            </w:r>
          </w:p>
        </w:tc>
        <w:tc>
          <w:tcPr>
            <w:tcW w:w="9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1939</w:t>
            </w:r>
          </w:p>
        </w:tc>
        <w:tc>
          <w:tcPr>
            <w:tcW w:w="831"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2011</w:t>
            </w:r>
          </w:p>
        </w:tc>
        <w:tc>
          <w:tcPr>
            <w:tcW w:w="984"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2034*</w:t>
            </w:r>
          </w:p>
        </w:tc>
        <w:tc>
          <w:tcPr>
            <w:tcW w:w="682"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72</w:t>
            </w:r>
          </w:p>
        </w:tc>
        <w:tc>
          <w:tcPr>
            <w:tcW w:w="766" w:type="pct"/>
            <w:shd w:val="clear" w:color="auto" w:fill="auto"/>
          </w:tcPr>
          <w:p w:rsidR="003872FF" w:rsidRPr="00D41D30" w:rsidRDefault="003872FF" w:rsidP="003872FF">
            <w:pPr>
              <w:spacing w:line="300" w:lineRule="exact"/>
              <w:jc w:val="center"/>
              <w:rPr>
                <w:rFonts w:hAnsi="標楷體"/>
                <w:bCs/>
                <w:color w:val="000000" w:themeColor="text1"/>
                <w:sz w:val="28"/>
                <w:szCs w:val="28"/>
              </w:rPr>
            </w:pPr>
            <w:r w:rsidRPr="00D41D30">
              <w:rPr>
                <w:rFonts w:hAnsi="標楷體"/>
                <w:bCs/>
                <w:color w:val="000000" w:themeColor="text1"/>
                <w:sz w:val="28"/>
                <w:szCs w:val="28"/>
              </w:rPr>
              <w:t>22*</w:t>
            </w:r>
          </w:p>
        </w:tc>
      </w:tr>
    </w:tbl>
    <w:p w:rsidR="003872FF" w:rsidRPr="00D41D30" w:rsidRDefault="00D41D30" w:rsidP="003872FF">
      <w:pPr>
        <w:widowControl/>
        <w:tabs>
          <w:tab w:val="num" w:pos="1985"/>
        </w:tabs>
        <w:snapToGrid w:val="0"/>
        <w:ind w:left="520" w:hangingChars="200" w:hanging="520"/>
        <w:contextualSpacing/>
        <w:rPr>
          <w:rFonts w:hAnsi="標楷體"/>
          <w:color w:val="000000" w:themeColor="text1"/>
          <w:kern w:val="0"/>
          <w:sz w:val="24"/>
          <w:szCs w:val="24"/>
        </w:rPr>
      </w:pPr>
      <w:r>
        <w:rPr>
          <w:rFonts w:hAnsi="標楷體" w:hint="eastAsia"/>
          <w:color w:val="000000" w:themeColor="text1"/>
          <w:kern w:val="0"/>
          <w:sz w:val="24"/>
          <w:szCs w:val="24"/>
        </w:rPr>
        <w:t xml:space="preserve"> </w:t>
      </w:r>
      <w:r w:rsidR="003872FF" w:rsidRPr="00D41D30">
        <w:rPr>
          <w:rFonts w:hAnsi="標楷體"/>
          <w:color w:val="000000" w:themeColor="text1"/>
          <w:kern w:val="0"/>
          <w:sz w:val="24"/>
          <w:szCs w:val="24"/>
        </w:rPr>
        <w:t>註</w:t>
      </w:r>
      <w:r w:rsidR="003872FF" w:rsidRPr="00D41D30">
        <w:rPr>
          <w:rFonts w:hAnsi="標楷體" w:hint="eastAsia"/>
          <w:color w:val="000000" w:themeColor="text1"/>
          <w:kern w:val="0"/>
          <w:sz w:val="24"/>
          <w:szCs w:val="24"/>
        </w:rPr>
        <w:t>1</w:t>
      </w:r>
      <w:r w:rsidR="003872FF" w:rsidRPr="00D41D30">
        <w:rPr>
          <w:rFonts w:hAnsi="標楷體"/>
          <w:color w:val="000000" w:themeColor="text1"/>
          <w:kern w:val="0"/>
          <w:sz w:val="24"/>
          <w:szCs w:val="24"/>
        </w:rPr>
        <w:t>：*表示中推估結果，其他無*表示為實際值。</w:t>
      </w:r>
    </w:p>
    <w:p w:rsidR="003872FF" w:rsidRPr="00D41D30" w:rsidRDefault="00D41D30" w:rsidP="003872FF">
      <w:pPr>
        <w:widowControl/>
        <w:tabs>
          <w:tab w:val="num" w:pos="1985"/>
        </w:tabs>
        <w:snapToGrid w:val="0"/>
        <w:ind w:left="260" w:hangingChars="100" w:hanging="260"/>
        <w:contextualSpacing/>
        <w:rPr>
          <w:rFonts w:hAnsi="標楷體"/>
          <w:color w:val="000000" w:themeColor="text1"/>
          <w:kern w:val="0"/>
          <w:sz w:val="24"/>
          <w:szCs w:val="24"/>
        </w:rPr>
      </w:pPr>
      <w:r>
        <w:rPr>
          <w:rFonts w:hAnsi="標楷體" w:hint="eastAsia"/>
          <w:color w:val="000000" w:themeColor="text1"/>
          <w:kern w:val="0"/>
          <w:sz w:val="24"/>
          <w:szCs w:val="24"/>
        </w:rPr>
        <w:t xml:space="preserve"> </w:t>
      </w:r>
      <w:r w:rsidR="003872FF" w:rsidRPr="00D41D30">
        <w:rPr>
          <w:rFonts w:hAnsi="標楷體" w:hint="eastAsia"/>
          <w:color w:val="000000" w:themeColor="text1"/>
          <w:kern w:val="0"/>
          <w:sz w:val="24"/>
          <w:szCs w:val="24"/>
        </w:rPr>
        <w:t>註</w:t>
      </w:r>
      <w:r w:rsidR="003872FF" w:rsidRPr="00D41D30">
        <w:rPr>
          <w:rFonts w:hAnsi="標楷體"/>
          <w:color w:val="000000" w:themeColor="text1"/>
          <w:kern w:val="0"/>
          <w:sz w:val="24"/>
          <w:szCs w:val="24"/>
        </w:rPr>
        <w:t>2</w:t>
      </w:r>
      <w:r w:rsidR="003872FF" w:rsidRPr="00D41D30">
        <w:rPr>
          <w:rFonts w:hAnsi="標楷體" w:hint="eastAsia"/>
          <w:color w:val="000000" w:themeColor="text1"/>
          <w:kern w:val="0"/>
          <w:sz w:val="24"/>
          <w:szCs w:val="24"/>
        </w:rPr>
        <w:t>：</w:t>
      </w:r>
      <w:r w:rsidR="003872FF" w:rsidRPr="00D41D30">
        <w:rPr>
          <w:rFonts w:hAnsi="標楷體"/>
          <w:color w:val="000000" w:themeColor="text1"/>
          <w:kern w:val="0"/>
          <w:sz w:val="24"/>
          <w:szCs w:val="24"/>
        </w:rPr>
        <w:t>特別行政區</w:t>
      </w:r>
    </w:p>
    <w:p w:rsidR="003872FF" w:rsidRPr="00D41D30" w:rsidRDefault="00D41D30" w:rsidP="003872FF">
      <w:pPr>
        <w:widowControl/>
        <w:tabs>
          <w:tab w:val="num" w:pos="1985"/>
        </w:tabs>
        <w:snapToGrid w:val="0"/>
        <w:contextualSpacing/>
        <w:rPr>
          <w:rFonts w:hAnsi="標楷體"/>
          <w:color w:val="000000" w:themeColor="text1"/>
          <w:sz w:val="24"/>
          <w:szCs w:val="24"/>
        </w:rPr>
      </w:pPr>
      <w:r>
        <w:rPr>
          <w:rFonts w:hAnsi="標楷體" w:hint="eastAsia"/>
          <w:color w:val="000000" w:themeColor="text1"/>
          <w:kern w:val="0"/>
          <w:sz w:val="24"/>
          <w:szCs w:val="24"/>
        </w:rPr>
        <w:t xml:space="preserve"> </w:t>
      </w:r>
      <w:r w:rsidR="003872FF" w:rsidRPr="00D41D30">
        <w:rPr>
          <w:rFonts w:hAnsi="標楷體"/>
          <w:color w:val="000000" w:themeColor="text1"/>
          <w:kern w:val="0"/>
          <w:sz w:val="24"/>
          <w:szCs w:val="24"/>
        </w:rPr>
        <w:t>資料來源：</w:t>
      </w:r>
      <w:r w:rsidR="003872FF" w:rsidRPr="00D41D30">
        <w:rPr>
          <w:rFonts w:hAnsi="標楷體" w:hint="eastAsia"/>
          <w:color w:val="000000" w:themeColor="text1"/>
          <w:sz w:val="24"/>
          <w:szCs w:val="24"/>
        </w:rPr>
        <w:t>國家發展委員會。2018。中華民國人口推估（2018至2065年）</w:t>
      </w:r>
    </w:p>
    <w:p w:rsidR="003872FF" w:rsidRDefault="003872FF" w:rsidP="003872FF">
      <w:pPr>
        <w:pStyle w:val="3"/>
        <w:spacing w:beforeLines="50" w:before="228"/>
        <w:ind w:left="1360" w:hanging="680"/>
        <w:rPr>
          <w:color w:val="000000" w:themeColor="text1"/>
        </w:rPr>
      </w:pPr>
      <w:r w:rsidRPr="00D41D30">
        <w:rPr>
          <w:rFonts w:hint="eastAsia"/>
          <w:color w:val="000000" w:themeColor="text1"/>
        </w:rPr>
        <w:t>因應我國人口老化快速，高齡人口逐年快速成長，教育部為推動高齡教育已陸續研訂、修正與高齡者學習之社區終身學習中心、樂齡學習中心、樂齡大學、高齡自主學習團等相關計畫，經查教育部自97年度至108年度高齡教育經費編列情形，詳如表3</w:t>
      </w:r>
      <w:r w:rsidRPr="00D41D30">
        <w:rPr>
          <w:color w:val="000000" w:themeColor="text1"/>
        </w:rPr>
        <w:t>6</w:t>
      </w:r>
      <w:r w:rsidRPr="00D41D30">
        <w:rPr>
          <w:rFonts w:hint="eastAsia"/>
          <w:color w:val="000000" w:themeColor="text1"/>
        </w:rPr>
        <w:t>，由表中可見，終身教育司主管</w:t>
      </w:r>
      <w:r w:rsidRPr="00D41D30">
        <w:rPr>
          <w:rFonts w:hint="eastAsia"/>
          <w:color w:val="000000" w:themeColor="text1"/>
        </w:rPr>
        <w:lastRenderedPageBreak/>
        <w:t>經費每年編列預算約16至27億元間，占教育部預算每年均不及2%，其中高齡教育所編列之經費僅約0.46-2.44億元，占終身教育司經費比率約1.6%-12.6%，經費占比極低。對照目前老人人口高達350萬餘人，高齡教育經費之編列顯有不足。</w:t>
      </w:r>
      <w:bookmarkEnd w:id="1308"/>
      <w:bookmarkEnd w:id="1309"/>
      <w:bookmarkEnd w:id="1310"/>
      <w:bookmarkEnd w:id="1311"/>
      <w:bookmarkEnd w:id="1312"/>
      <w:bookmarkEnd w:id="1313"/>
      <w:bookmarkEnd w:id="1314"/>
    </w:p>
    <w:p w:rsidR="00D41D30" w:rsidRDefault="00D41D30" w:rsidP="00D41D30">
      <w:pPr>
        <w:pStyle w:val="1"/>
        <w:numPr>
          <w:ilvl w:val="0"/>
          <w:numId w:val="0"/>
        </w:numPr>
        <w:ind w:left="2381" w:hanging="2381"/>
      </w:pPr>
    </w:p>
    <w:p w:rsidR="00D41D30" w:rsidRDefault="00D41D30" w:rsidP="00D41D30">
      <w:pPr>
        <w:pStyle w:val="1"/>
        <w:numPr>
          <w:ilvl w:val="0"/>
          <w:numId w:val="0"/>
        </w:numPr>
        <w:ind w:left="2381" w:hanging="2381"/>
      </w:pPr>
    </w:p>
    <w:p w:rsidR="00D41D30" w:rsidRDefault="00D41D30" w:rsidP="00D41D30">
      <w:pPr>
        <w:pStyle w:val="1"/>
        <w:numPr>
          <w:ilvl w:val="0"/>
          <w:numId w:val="0"/>
        </w:numPr>
        <w:ind w:left="2381" w:hanging="2381"/>
      </w:pPr>
    </w:p>
    <w:p w:rsidR="00D41D30" w:rsidRPr="00D41D30" w:rsidRDefault="00D41D30" w:rsidP="00D41D30">
      <w:pPr>
        <w:pStyle w:val="1"/>
        <w:numPr>
          <w:ilvl w:val="0"/>
          <w:numId w:val="0"/>
        </w:numPr>
        <w:ind w:left="2381" w:hanging="2381"/>
      </w:pPr>
    </w:p>
    <w:p w:rsidR="003872FF" w:rsidRPr="00D41D30" w:rsidRDefault="003872FF" w:rsidP="003872FF">
      <w:pPr>
        <w:pStyle w:val="a4"/>
        <w:ind w:left="697" w:hanging="697"/>
        <w:rPr>
          <w:b/>
          <w:color w:val="000000" w:themeColor="text1"/>
        </w:rPr>
      </w:pPr>
      <w:r w:rsidRPr="00D41D30">
        <w:rPr>
          <w:rFonts w:hint="eastAsia"/>
          <w:b/>
          <w:color w:val="000000" w:themeColor="text1"/>
        </w:rPr>
        <w:t>97-108年歷年高齡教育占終身教育及教育部主管預算比</w:t>
      </w:r>
    </w:p>
    <w:p w:rsidR="003872FF" w:rsidRPr="00D41D30" w:rsidRDefault="003872FF" w:rsidP="003872FF">
      <w:pPr>
        <w:jc w:val="right"/>
        <w:rPr>
          <w:color w:val="000000" w:themeColor="text1"/>
          <w:sz w:val="24"/>
          <w:szCs w:val="24"/>
        </w:rPr>
      </w:pPr>
      <w:r w:rsidRPr="00D41D30">
        <w:rPr>
          <w:rFonts w:hint="eastAsia"/>
          <w:color w:val="000000" w:themeColor="text1"/>
        </w:rPr>
        <w:t xml:space="preserve"> </w:t>
      </w:r>
      <w:bookmarkStart w:id="1315" w:name="_Toc30512572"/>
      <w:bookmarkStart w:id="1316" w:name="_Toc30581280"/>
      <w:bookmarkStart w:id="1317" w:name="_Toc32392556"/>
      <w:bookmarkStart w:id="1318" w:name="_Toc32673747"/>
      <w:bookmarkStart w:id="1319" w:name="_Toc32846626"/>
      <w:bookmarkStart w:id="1320" w:name="_Toc32918537"/>
      <w:r w:rsidRPr="00D41D30">
        <w:rPr>
          <w:rFonts w:hint="eastAsia"/>
          <w:color w:val="000000" w:themeColor="text1"/>
          <w:sz w:val="24"/>
          <w:szCs w:val="24"/>
        </w:rPr>
        <w:t>單位:億元</w:t>
      </w:r>
      <w:bookmarkEnd w:id="1315"/>
      <w:bookmarkEnd w:id="1316"/>
      <w:bookmarkEnd w:id="1317"/>
      <w:bookmarkEnd w:id="1318"/>
      <w:bookmarkEnd w:id="1319"/>
      <w:bookmarkEnd w:id="1320"/>
    </w:p>
    <w:tbl>
      <w:tblPr>
        <w:tblW w:w="5215" w:type="pct"/>
        <w:tblInd w:w="-5" w:type="dxa"/>
        <w:tblCellMar>
          <w:left w:w="28" w:type="dxa"/>
          <w:right w:w="28" w:type="dxa"/>
        </w:tblCellMar>
        <w:tblLook w:val="04A0" w:firstRow="1" w:lastRow="0" w:firstColumn="1" w:lastColumn="0" w:noHBand="0" w:noVBand="1"/>
      </w:tblPr>
      <w:tblGrid>
        <w:gridCol w:w="447"/>
        <w:gridCol w:w="1489"/>
        <w:gridCol w:w="1438"/>
        <w:gridCol w:w="1809"/>
        <w:gridCol w:w="1102"/>
        <w:gridCol w:w="1800"/>
        <w:gridCol w:w="962"/>
      </w:tblGrid>
      <w:tr w:rsidR="003872FF" w:rsidRPr="00D41D30" w:rsidTr="003872FF">
        <w:trPr>
          <w:trHeight w:val="620"/>
          <w:tblHeader/>
        </w:trPr>
        <w:tc>
          <w:tcPr>
            <w:tcW w:w="243" w:type="pct"/>
            <w:vMerge w:val="restart"/>
            <w:tcBorders>
              <w:top w:val="single" w:sz="4" w:space="0" w:color="auto"/>
              <w:left w:val="single" w:sz="4" w:space="0" w:color="auto"/>
              <w:bottom w:val="single" w:sz="6" w:space="0" w:color="auto"/>
              <w:right w:val="single" w:sz="4" w:space="0" w:color="auto"/>
            </w:tcBorders>
            <w:shd w:val="clear" w:color="auto" w:fill="auto"/>
            <w:vAlign w:val="center"/>
            <w:hideMark/>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年度</w:t>
            </w:r>
          </w:p>
        </w:tc>
        <w:tc>
          <w:tcPr>
            <w:tcW w:w="1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高齡教育</w:t>
            </w:r>
          </w:p>
        </w:tc>
        <w:tc>
          <w:tcPr>
            <w:tcW w:w="10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終身教育司主管（B）</w:t>
            </w:r>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占比*</w:t>
            </w:r>
          </w:p>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（A/B）</w:t>
            </w:r>
          </w:p>
        </w:tc>
        <w:tc>
          <w:tcPr>
            <w:tcW w:w="1001" w:type="pct"/>
            <w:vMerge w:val="restar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教育部預算（C）</w:t>
            </w:r>
          </w:p>
        </w:tc>
        <w:tc>
          <w:tcPr>
            <w:tcW w:w="538" w:type="pct"/>
            <w:vMerge w:val="restar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line="400" w:lineRule="exact"/>
              <w:ind w:rightChars="-71" w:right="-242"/>
              <w:jc w:val="left"/>
              <w:rPr>
                <w:rFonts w:hAnsi="標楷體"/>
                <w:b/>
                <w:bCs/>
                <w:color w:val="000000" w:themeColor="text1"/>
                <w:sz w:val="24"/>
                <w:szCs w:val="24"/>
              </w:rPr>
            </w:pPr>
            <w:r w:rsidRPr="00D41D30">
              <w:rPr>
                <w:rFonts w:hAnsi="標楷體" w:hint="eastAsia"/>
                <w:b/>
                <w:bCs/>
                <w:color w:val="000000" w:themeColor="text1"/>
                <w:sz w:val="24"/>
                <w:szCs w:val="24"/>
              </w:rPr>
              <w:t>占比*</w:t>
            </w:r>
            <w:r w:rsidRPr="00D41D30">
              <w:rPr>
                <w:rFonts w:hAnsi="標楷體"/>
                <w:b/>
                <w:bCs/>
                <w:color w:val="000000" w:themeColor="text1"/>
                <w:sz w:val="24"/>
                <w:szCs w:val="24"/>
              </w:rPr>
              <w:t>*</w:t>
            </w:r>
          </w:p>
          <w:p w:rsidR="003872FF" w:rsidRPr="00D41D30" w:rsidRDefault="003872FF" w:rsidP="003872FF">
            <w:pPr>
              <w:spacing w:line="400" w:lineRule="exact"/>
              <w:ind w:rightChars="-71" w:right="-242"/>
              <w:jc w:val="left"/>
              <w:rPr>
                <w:rFonts w:hAnsi="標楷體"/>
                <w:b/>
                <w:bCs/>
                <w:color w:val="000000" w:themeColor="text1"/>
                <w:sz w:val="24"/>
                <w:szCs w:val="24"/>
              </w:rPr>
            </w:pPr>
            <w:r w:rsidRPr="00D41D30">
              <w:rPr>
                <w:rFonts w:hAnsi="標楷體" w:hint="eastAsia"/>
                <w:b/>
                <w:bCs/>
                <w:color w:val="000000" w:themeColor="text1"/>
                <w:sz w:val="24"/>
                <w:szCs w:val="24"/>
              </w:rPr>
              <w:t>（B/C）</w:t>
            </w:r>
            <w:r w:rsidRPr="00D41D30">
              <w:rPr>
                <w:rFonts w:hAnsi="標楷體"/>
                <w:color w:val="000000" w:themeColor="text1"/>
                <w:sz w:val="24"/>
                <w:szCs w:val="24"/>
              </w:rPr>
              <w:t>%</w:t>
            </w:r>
          </w:p>
        </w:tc>
      </w:tr>
      <w:tr w:rsidR="003872FF" w:rsidRPr="00D41D30" w:rsidTr="003872FF">
        <w:trPr>
          <w:trHeight w:val="463"/>
          <w:tblHeader/>
        </w:trPr>
        <w:tc>
          <w:tcPr>
            <w:tcW w:w="243" w:type="pct"/>
            <w:vMerge/>
            <w:tcBorders>
              <w:top w:val="single" w:sz="6" w:space="0" w:color="auto"/>
              <w:left w:val="single" w:sz="4" w:space="0" w:color="auto"/>
              <w:bottom w:val="single" w:sz="6" w:space="0" w:color="auto"/>
              <w:right w:val="single" w:sz="4" w:space="0" w:color="auto"/>
            </w:tcBorders>
            <w:vAlign w:val="center"/>
            <w:hideMark/>
          </w:tcPr>
          <w:p w:rsidR="003872FF" w:rsidRPr="00D41D30" w:rsidRDefault="003872FF" w:rsidP="003872FF">
            <w:pPr>
              <w:spacing w:line="400" w:lineRule="exact"/>
              <w:jc w:val="center"/>
              <w:rPr>
                <w:rFonts w:hAnsi="標楷體"/>
                <w:b/>
                <w:bCs/>
                <w:color w:val="000000" w:themeColor="text1"/>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預算數（A）</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執行數</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72FF" w:rsidRPr="00D41D30" w:rsidRDefault="003872FF" w:rsidP="003872FF">
            <w:pPr>
              <w:spacing w:line="400" w:lineRule="exact"/>
              <w:jc w:val="center"/>
              <w:rPr>
                <w:rFonts w:hAnsi="標楷體"/>
                <w:b/>
                <w:bCs/>
                <w:color w:val="000000" w:themeColor="text1"/>
                <w:sz w:val="24"/>
                <w:szCs w:val="24"/>
              </w:rPr>
            </w:pPr>
            <w:r w:rsidRPr="00D41D30">
              <w:rPr>
                <w:rFonts w:hAnsi="標楷體" w:hint="eastAsia"/>
                <w:b/>
                <w:bCs/>
                <w:color w:val="000000" w:themeColor="text1"/>
                <w:sz w:val="24"/>
                <w:szCs w:val="24"/>
              </w:rPr>
              <w:t>預算數</w:t>
            </w:r>
          </w:p>
        </w:tc>
        <w:tc>
          <w:tcPr>
            <w:tcW w:w="615" w:type="pct"/>
            <w:vMerge/>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spacing w:line="400" w:lineRule="exact"/>
              <w:jc w:val="center"/>
              <w:rPr>
                <w:rFonts w:hAnsi="標楷體"/>
                <w:b/>
                <w:bCs/>
                <w:color w:val="000000" w:themeColor="text1"/>
                <w:sz w:val="24"/>
                <w:szCs w:val="24"/>
              </w:rPr>
            </w:pPr>
          </w:p>
        </w:tc>
        <w:tc>
          <w:tcPr>
            <w:tcW w:w="1001" w:type="pct"/>
            <w:vMerge/>
            <w:tcBorders>
              <w:top w:val="single" w:sz="4" w:space="0" w:color="auto"/>
              <w:left w:val="single" w:sz="4" w:space="0" w:color="auto"/>
              <w:bottom w:val="single" w:sz="4" w:space="0" w:color="auto"/>
              <w:right w:val="single" w:sz="4" w:space="0" w:color="auto"/>
            </w:tcBorders>
          </w:tcPr>
          <w:p w:rsidR="003872FF" w:rsidRPr="00D41D30" w:rsidRDefault="003872FF" w:rsidP="003872FF">
            <w:pPr>
              <w:spacing w:line="400" w:lineRule="exact"/>
              <w:jc w:val="center"/>
              <w:rPr>
                <w:rFonts w:hAnsi="標楷體"/>
                <w:b/>
                <w:bCs/>
                <w:color w:val="000000" w:themeColor="text1"/>
                <w:sz w:val="24"/>
                <w:szCs w:val="24"/>
              </w:rPr>
            </w:pPr>
          </w:p>
        </w:tc>
        <w:tc>
          <w:tcPr>
            <w:tcW w:w="538" w:type="pct"/>
            <w:vMerge/>
            <w:tcBorders>
              <w:top w:val="single" w:sz="4" w:space="0" w:color="auto"/>
              <w:left w:val="single" w:sz="4" w:space="0" w:color="auto"/>
              <w:bottom w:val="single" w:sz="4" w:space="0" w:color="auto"/>
              <w:right w:val="single" w:sz="4" w:space="0" w:color="auto"/>
            </w:tcBorders>
          </w:tcPr>
          <w:p w:rsidR="003872FF" w:rsidRPr="00D41D30" w:rsidRDefault="003872FF" w:rsidP="003872FF">
            <w:pPr>
              <w:spacing w:line="400" w:lineRule="exact"/>
              <w:jc w:val="center"/>
              <w:rPr>
                <w:rFonts w:hAnsi="標楷體"/>
                <w:b/>
                <w:bCs/>
                <w:color w:val="000000" w:themeColor="text1"/>
                <w:sz w:val="24"/>
                <w:szCs w:val="24"/>
              </w:rPr>
            </w:pPr>
          </w:p>
        </w:tc>
      </w:tr>
      <w:tr w:rsidR="003872FF" w:rsidRPr="00D41D30" w:rsidTr="003872FF">
        <w:trPr>
          <w:trHeight w:val="46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97</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overflowPunct/>
              <w:autoSpaceDE/>
              <w:autoSpaceDN/>
              <w:jc w:val="center"/>
              <w:rPr>
                <w:rFonts w:hAnsi="標楷體"/>
                <w:color w:val="000000" w:themeColor="text1"/>
                <w:kern w:val="0"/>
                <w:sz w:val="24"/>
                <w:szCs w:val="24"/>
              </w:rPr>
            </w:pPr>
            <w:r w:rsidRPr="00D41D30">
              <w:rPr>
                <w:rFonts w:hAnsi="標楷體" w:hint="eastAsia"/>
                <w:color w:val="000000" w:themeColor="text1"/>
                <w:sz w:val="24"/>
                <w:szCs w:val="24"/>
              </w:rPr>
              <w:t>0.46</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overflowPunct/>
              <w:autoSpaceDE/>
              <w:autoSpaceDN/>
              <w:jc w:val="center"/>
              <w:rPr>
                <w:rFonts w:hAnsi="標楷體"/>
                <w:color w:val="000000" w:themeColor="text1"/>
                <w:kern w:val="0"/>
                <w:sz w:val="24"/>
                <w:szCs w:val="24"/>
              </w:rPr>
            </w:pPr>
            <w:r w:rsidRPr="00D41D30">
              <w:rPr>
                <w:rFonts w:hAnsi="標楷體" w:hint="eastAsia"/>
                <w:color w:val="000000" w:themeColor="text1"/>
                <w:sz w:val="24"/>
                <w:szCs w:val="24"/>
              </w:rPr>
              <w:t>0.67</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27.60</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.6</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widowControl/>
              <w:overflowPunct/>
              <w:autoSpaceDE/>
              <w:autoSpaceDN/>
              <w:jc w:val="center"/>
              <w:rPr>
                <w:rFonts w:hAnsi="標楷體"/>
                <w:color w:val="000000" w:themeColor="text1"/>
                <w:kern w:val="0"/>
                <w:sz w:val="24"/>
                <w:szCs w:val="24"/>
              </w:rPr>
            </w:pPr>
            <w:r w:rsidRPr="00D41D30">
              <w:rPr>
                <w:rFonts w:hAnsi="標楷體" w:hint="eastAsia"/>
                <w:color w:val="000000" w:themeColor="text1"/>
                <w:sz w:val="24"/>
                <w:szCs w:val="24"/>
              </w:rPr>
              <w:t>1,504.59</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widowControl/>
              <w:jc w:val="center"/>
              <w:rPr>
                <w:rFonts w:hAnsi="標楷體"/>
                <w:color w:val="000000" w:themeColor="text1"/>
                <w:sz w:val="24"/>
                <w:szCs w:val="24"/>
              </w:rPr>
            </w:pPr>
            <w:r w:rsidRPr="00D41D30">
              <w:rPr>
                <w:rFonts w:hAnsi="標楷體" w:hint="eastAsia"/>
                <w:color w:val="000000" w:themeColor="text1"/>
                <w:sz w:val="24"/>
                <w:szCs w:val="24"/>
              </w:rPr>
              <w:t>1.83</w:t>
            </w:r>
          </w:p>
        </w:tc>
      </w:tr>
      <w:tr w:rsidR="003872FF" w:rsidRPr="00D41D30" w:rsidTr="003872FF">
        <w:trPr>
          <w:trHeight w:val="33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98</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1.00</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1.20</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27.65</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3</w:t>
            </w:r>
            <w:r w:rsidRPr="00D41D30">
              <w:rPr>
                <w:rFonts w:hAnsi="標楷體"/>
                <w:color w:val="000000" w:themeColor="text1"/>
                <w:sz w:val="24"/>
                <w:szCs w:val="24"/>
              </w:rPr>
              <w:t>.6</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664.13</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1.66</w:t>
            </w:r>
          </w:p>
        </w:tc>
      </w:tr>
      <w:tr w:rsidR="003872FF" w:rsidRPr="00D41D30" w:rsidTr="003872FF">
        <w:trPr>
          <w:trHeight w:val="33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99</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1.14</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1.04</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22.51</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w:t>
            </w:r>
            <w:r w:rsidRPr="00D41D30">
              <w:rPr>
                <w:rFonts w:hAnsi="標楷體"/>
                <w:color w:val="000000" w:themeColor="text1"/>
                <w:sz w:val="24"/>
                <w:szCs w:val="24"/>
              </w:rPr>
              <w:t>.1</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654.94</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1.36</w:t>
            </w:r>
          </w:p>
        </w:tc>
      </w:tr>
      <w:tr w:rsidR="003872FF" w:rsidRPr="00D41D30" w:rsidTr="003872FF">
        <w:trPr>
          <w:trHeight w:val="484"/>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100</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0.91</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0.87</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19.25</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w:t>
            </w:r>
            <w:r w:rsidRPr="00D41D30">
              <w:rPr>
                <w:rFonts w:hAnsi="標楷體"/>
                <w:color w:val="000000" w:themeColor="text1"/>
                <w:sz w:val="24"/>
                <w:szCs w:val="24"/>
              </w:rPr>
              <w:t>.7</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767.22</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1.09</w:t>
            </w:r>
          </w:p>
        </w:tc>
      </w:tr>
      <w:tr w:rsidR="003872FF" w:rsidRPr="00D41D30" w:rsidTr="003872FF">
        <w:trPr>
          <w:trHeight w:val="405"/>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101</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0.76</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1.11</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16.29</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w:t>
            </w:r>
            <w:r w:rsidRPr="00D41D30">
              <w:rPr>
                <w:rFonts w:hAnsi="標楷體"/>
                <w:color w:val="000000" w:themeColor="text1"/>
                <w:sz w:val="24"/>
                <w:szCs w:val="24"/>
              </w:rPr>
              <w:t>.7</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909.53</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0.85</w:t>
            </w:r>
          </w:p>
        </w:tc>
      </w:tr>
      <w:tr w:rsidR="003872FF" w:rsidRPr="00D41D30" w:rsidTr="003872FF">
        <w:trPr>
          <w:trHeight w:val="411"/>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102</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0.85</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1.48</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17.03</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w:t>
            </w:r>
            <w:r w:rsidRPr="00D41D30">
              <w:rPr>
                <w:rFonts w:hAnsi="標楷體"/>
                <w:color w:val="000000" w:themeColor="text1"/>
                <w:sz w:val="24"/>
                <w:szCs w:val="24"/>
              </w:rPr>
              <w:t>.0</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134.01</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1.50</w:t>
            </w:r>
          </w:p>
        </w:tc>
      </w:tr>
      <w:tr w:rsidR="003872FF" w:rsidRPr="00D41D30" w:rsidTr="003872FF">
        <w:trPr>
          <w:trHeight w:val="262"/>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103</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1.49</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1.71</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20.69</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7.2</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150.88</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1.80</w:t>
            </w:r>
          </w:p>
        </w:tc>
      </w:tr>
      <w:tr w:rsidR="003872FF" w:rsidRPr="00D41D30" w:rsidTr="003872FF">
        <w:trPr>
          <w:trHeight w:val="424"/>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104</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1.59</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1.87</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16.41</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9.7</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200.11</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1.37</w:t>
            </w:r>
          </w:p>
        </w:tc>
      </w:tr>
      <w:tr w:rsidR="003872FF" w:rsidRPr="00D41D30" w:rsidTr="003872FF">
        <w:trPr>
          <w:trHeight w:val="401"/>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105</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1.72</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1.81</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17.31</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9.9</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271.56</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1.36</w:t>
            </w:r>
          </w:p>
        </w:tc>
      </w:tr>
      <w:tr w:rsidR="003872FF" w:rsidRPr="00D41D30" w:rsidTr="003872FF">
        <w:trPr>
          <w:trHeight w:val="407"/>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106</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2.02</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1.95</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22.25</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9.1</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336.39</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1.66</w:t>
            </w:r>
          </w:p>
        </w:tc>
      </w:tr>
      <w:tr w:rsidR="003872FF" w:rsidRPr="00D41D30" w:rsidTr="003872FF">
        <w:trPr>
          <w:trHeight w:val="414"/>
        </w:trPr>
        <w:tc>
          <w:tcPr>
            <w:tcW w:w="243" w:type="pct"/>
            <w:tcBorders>
              <w:top w:val="single" w:sz="6" w:space="0" w:color="auto"/>
              <w:left w:val="single" w:sz="4" w:space="0" w:color="auto"/>
              <w:bottom w:val="single" w:sz="6"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107</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2.44</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2.62</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19.39</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12.6</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324.29</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1.46</w:t>
            </w:r>
          </w:p>
        </w:tc>
      </w:tr>
      <w:tr w:rsidR="003872FF" w:rsidRPr="00D41D30" w:rsidTr="003872FF">
        <w:trPr>
          <w:trHeight w:val="548"/>
        </w:trPr>
        <w:tc>
          <w:tcPr>
            <w:tcW w:w="243" w:type="pct"/>
            <w:tcBorders>
              <w:top w:val="single" w:sz="6"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108</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1.90</w:t>
            </w:r>
          </w:p>
        </w:tc>
        <w:tc>
          <w:tcPr>
            <w:tcW w:w="80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1.43</w:t>
            </w:r>
          </w:p>
        </w:tc>
        <w:tc>
          <w:tcPr>
            <w:tcW w:w="10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19.96</w:t>
            </w:r>
          </w:p>
        </w:tc>
        <w:tc>
          <w:tcPr>
            <w:tcW w:w="6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72FF" w:rsidRPr="00D41D30" w:rsidRDefault="003872FF" w:rsidP="003872FF">
            <w:pPr>
              <w:widowControl/>
              <w:jc w:val="center"/>
              <w:rPr>
                <w:rFonts w:hAnsi="標楷體" w:cs="新細明體"/>
                <w:color w:val="000000" w:themeColor="text1"/>
                <w:kern w:val="0"/>
                <w:sz w:val="24"/>
                <w:szCs w:val="24"/>
              </w:rPr>
            </w:pPr>
            <w:r w:rsidRPr="00D41D30">
              <w:rPr>
                <w:rFonts w:hAnsi="標楷體" w:cs="新細明體" w:hint="eastAsia"/>
                <w:color w:val="000000" w:themeColor="text1"/>
                <w:kern w:val="0"/>
                <w:sz w:val="24"/>
                <w:szCs w:val="24"/>
              </w:rPr>
              <w:t>9.5</w:t>
            </w:r>
          </w:p>
        </w:tc>
        <w:tc>
          <w:tcPr>
            <w:tcW w:w="100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298.37</w:t>
            </w:r>
          </w:p>
        </w:tc>
        <w:tc>
          <w:tcPr>
            <w:tcW w:w="538"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jc w:val="center"/>
              <w:rPr>
                <w:rFonts w:hAnsi="標楷體"/>
                <w:color w:val="000000" w:themeColor="text1"/>
                <w:sz w:val="24"/>
                <w:szCs w:val="24"/>
              </w:rPr>
            </w:pPr>
            <w:r w:rsidRPr="00D41D30">
              <w:rPr>
                <w:rFonts w:hAnsi="標楷體" w:hint="eastAsia"/>
                <w:color w:val="000000" w:themeColor="text1"/>
                <w:sz w:val="24"/>
                <w:szCs w:val="24"/>
              </w:rPr>
              <w:t>1.53</w:t>
            </w:r>
          </w:p>
        </w:tc>
      </w:tr>
    </w:tbl>
    <w:p w:rsidR="003872FF" w:rsidRPr="00D41D30" w:rsidRDefault="003872FF" w:rsidP="003872FF">
      <w:pPr>
        <w:pStyle w:val="af8"/>
        <w:spacing w:after="0"/>
        <w:rPr>
          <w:color w:val="000000" w:themeColor="text1"/>
          <w:sz w:val="24"/>
          <w:szCs w:val="24"/>
        </w:rPr>
      </w:pPr>
      <w:bookmarkStart w:id="1321" w:name="_Toc30512573"/>
      <w:bookmarkStart w:id="1322" w:name="_Toc30581281"/>
      <w:bookmarkStart w:id="1323" w:name="_Toc32392557"/>
      <w:bookmarkStart w:id="1324" w:name="_Toc32673748"/>
      <w:bookmarkStart w:id="1325" w:name="_Toc32846627"/>
      <w:r w:rsidRPr="00D41D30">
        <w:rPr>
          <w:rFonts w:hint="eastAsia"/>
          <w:color w:val="000000" w:themeColor="text1"/>
          <w:sz w:val="24"/>
          <w:szCs w:val="24"/>
        </w:rPr>
        <w:t>資料來源:教育部。</w:t>
      </w:r>
      <w:bookmarkEnd w:id="1321"/>
      <w:bookmarkEnd w:id="1322"/>
      <w:bookmarkEnd w:id="1323"/>
      <w:bookmarkEnd w:id="1324"/>
      <w:bookmarkEnd w:id="1325"/>
    </w:p>
    <w:p w:rsidR="003872FF" w:rsidRPr="00D41D30" w:rsidRDefault="003872FF" w:rsidP="003872FF">
      <w:pPr>
        <w:pStyle w:val="af8"/>
        <w:spacing w:before="0" w:after="0"/>
        <w:rPr>
          <w:color w:val="000000" w:themeColor="text1"/>
          <w:sz w:val="24"/>
          <w:szCs w:val="24"/>
        </w:rPr>
      </w:pPr>
      <w:bookmarkStart w:id="1326" w:name="_Toc30512574"/>
      <w:bookmarkStart w:id="1327" w:name="_Toc30581282"/>
      <w:bookmarkStart w:id="1328" w:name="_Toc32392558"/>
      <w:bookmarkStart w:id="1329" w:name="_Toc32673749"/>
      <w:bookmarkStart w:id="1330" w:name="_Toc32846628"/>
      <w:r w:rsidRPr="00D41D30">
        <w:rPr>
          <w:rFonts w:hint="eastAsia"/>
          <w:color w:val="000000" w:themeColor="text1"/>
          <w:sz w:val="24"/>
          <w:szCs w:val="24"/>
        </w:rPr>
        <w:t>*高齡教育預算占終身教育司主管預算比率</w:t>
      </w:r>
      <w:bookmarkEnd w:id="1326"/>
      <w:bookmarkEnd w:id="1327"/>
      <w:bookmarkEnd w:id="1328"/>
      <w:bookmarkEnd w:id="1329"/>
      <w:bookmarkEnd w:id="1330"/>
    </w:p>
    <w:p w:rsidR="003872FF" w:rsidRPr="00D41D30" w:rsidRDefault="003872FF" w:rsidP="003872FF">
      <w:pPr>
        <w:pStyle w:val="af8"/>
        <w:rPr>
          <w:color w:val="000000" w:themeColor="text1"/>
          <w:sz w:val="24"/>
          <w:szCs w:val="24"/>
        </w:rPr>
      </w:pPr>
      <w:bookmarkStart w:id="1331" w:name="_Toc30512575"/>
      <w:bookmarkStart w:id="1332" w:name="_Toc30581283"/>
      <w:bookmarkStart w:id="1333" w:name="_Toc32392559"/>
      <w:bookmarkStart w:id="1334" w:name="_Toc32673750"/>
      <w:bookmarkStart w:id="1335" w:name="_Toc32846629"/>
      <w:r w:rsidRPr="00D41D30">
        <w:rPr>
          <w:rFonts w:hint="eastAsia"/>
          <w:color w:val="000000" w:themeColor="text1"/>
          <w:sz w:val="24"/>
          <w:szCs w:val="24"/>
        </w:rPr>
        <w:t>**終身教育經費占教育部經費比率</w:t>
      </w:r>
      <w:bookmarkEnd w:id="1331"/>
      <w:bookmarkEnd w:id="1332"/>
      <w:bookmarkEnd w:id="1333"/>
      <w:bookmarkEnd w:id="1334"/>
      <w:bookmarkEnd w:id="1335"/>
    </w:p>
    <w:p w:rsidR="003872FF" w:rsidRPr="00D41D30" w:rsidRDefault="003872FF" w:rsidP="003872FF">
      <w:pPr>
        <w:pStyle w:val="3"/>
        <w:spacing w:beforeLines="50" w:before="228"/>
        <w:ind w:left="1360" w:hanging="680"/>
        <w:rPr>
          <w:color w:val="000000" w:themeColor="text1"/>
        </w:rPr>
      </w:pPr>
      <w:bookmarkStart w:id="1336" w:name="_Toc33011824"/>
      <w:bookmarkStart w:id="1337" w:name="_Toc30512576"/>
      <w:bookmarkStart w:id="1338" w:name="_Toc30581284"/>
      <w:bookmarkStart w:id="1339" w:name="_Toc32392560"/>
      <w:bookmarkStart w:id="1340" w:name="_Toc32673751"/>
      <w:bookmarkStart w:id="1341" w:name="_Toc32846630"/>
      <w:bookmarkStart w:id="1342" w:name="_Toc32918538"/>
      <w:r w:rsidRPr="00D41D30">
        <w:rPr>
          <w:rFonts w:hint="eastAsia"/>
          <w:color w:val="000000" w:themeColor="text1"/>
        </w:rPr>
        <w:t>加上，審計部查核教育部105年度財務收支及決算</w:t>
      </w:r>
      <w:r w:rsidRPr="00D41D30">
        <w:rPr>
          <w:rFonts w:hint="eastAsia"/>
          <w:color w:val="000000" w:themeColor="text1"/>
        </w:rPr>
        <w:lastRenderedPageBreak/>
        <w:t>有關高齡教育執行情形，亦提出「教育部逐年編列預算推動高齡教育，有助於促進長者老年生活品質，惟我國人口老化快速，高齡教育經費仍顯不足，允宜整體思考研訂高齡教育中程發展計畫及寬籌預算，擴增高齡者學習機會，達成協助活躍老化之目標。」之意見。且</w:t>
      </w:r>
      <w:r w:rsidRPr="00D41D30">
        <w:rPr>
          <w:color w:val="000000" w:themeColor="text1"/>
        </w:rPr>
        <w:t>106</w:t>
      </w:r>
      <w:r w:rsidRPr="00D41D30">
        <w:rPr>
          <w:rFonts w:hint="eastAsia"/>
          <w:color w:val="000000" w:themeColor="text1"/>
        </w:rPr>
        <w:t>年</w:t>
      </w:r>
      <w:r w:rsidRPr="00D41D30">
        <w:rPr>
          <w:rFonts w:hAnsi="標楷體" w:hint="eastAsia"/>
          <w:color w:val="000000" w:themeColor="text1"/>
        </w:rPr>
        <w:t>「</w:t>
      </w:r>
      <w:r w:rsidRPr="00D41D30">
        <w:rPr>
          <w:rFonts w:hint="eastAsia"/>
          <w:color w:val="000000" w:themeColor="text1"/>
        </w:rPr>
        <w:t>教育部高齡教育中程發展計畫</w:t>
      </w:r>
      <w:r w:rsidRPr="00D41D30">
        <w:rPr>
          <w:rFonts w:hAnsi="標楷體" w:hint="eastAsia"/>
          <w:color w:val="000000" w:themeColor="text1"/>
        </w:rPr>
        <w:t>」</w:t>
      </w:r>
      <w:r w:rsidRPr="00D41D30">
        <w:rPr>
          <w:rFonts w:hint="eastAsia"/>
          <w:color w:val="000000" w:themeColor="text1"/>
        </w:rPr>
        <w:t>現行相關政策及方案之檢討，亦指出高齡教育經費不足之問題，該計畫說明，由於高齡人口增加，新一代高齡者的學習需求強烈，故高齡教育已從邊陲走向核心，成為政府在教育上要關注的新興族群。面對快速增加、數量龐大的高齡人口投入學習的行列，目前高齡教育經費的投入已顯不足。由於我國社會少子女化現象嚴重，已導致各級學校招生不足，正規教育逐漸萎縮，各級各地學校併班併校的現象，已形成社會的新問題，有鑑於此，在整體教育資源的分配與調整，亟待進行。此外，各級政府宜加強對高齡教育的重視，充實高齡教育的資源，擴充高齡教育經費，以保障高齡教育的實施。</w:t>
      </w:r>
      <w:bookmarkEnd w:id="1336"/>
    </w:p>
    <w:p w:rsidR="003872FF" w:rsidRPr="00D41D30" w:rsidRDefault="003872FF" w:rsidP="003872FF">
      <w:pPr>
        <w:pStyle w:val="3"/>
        <w:rPr>
          <w:color w:val="000000" w:themeColor="text1"/>
        </w:rPr>
      </w:pPr>
      <w:bookmarkStart w:id="1343" w:name="_Toc33011825"/>
      <w:r w:rsidRPr="00D41D30">
        <w:rPr>
          <w:rFonts w:hint="eastAsia"/>
          <w:color w:val="000000" w:themeColor="text1"/>
        </w:rPr>
        <w:t>惟查，教育部106年高齡教育經費僅編列2.02億元，較105年度（1.72億元）高出0.48億元，然占整體終身教育司主管經費比率下跌（9.9%下降至9.1%），107年度預算（2.44億元）雖較106年度（2.02億元）再增加0.42億元，然108年度預算（</w:t>
      </w:r>
      <w:r w:rsidRPr="00D41D30">
        <w:rPr>
          <w:color w:val="000000" w:themeColor="text1"/>
        </w:rPr>
        <w:t>1.9</w:t>
      </w:r>
      <w:r w:rsidRPr="00D41D30">
        <w:rPr>
          <w:rFonts w:hint="eastAsia"/>
          <w:color w:val="000000" w:themeColor="text1"/>
        </w:rPr>
        <w:t>億元）與107年度相較竟不增反降0.54億元。又教育部終身教育司108年12月26日於本院約詢會議雖稱</w:t>
      </w:r>
      <w:r w:rsidRPr="00D41D30">
        <w:rPr>
          <w:rFonts w:hAnsi="標楷體" w:hint="eastAsia"/>
          <w:color w:val="000000" w:themeColor="text1"/>
        </w:rPr>
        <w:t>「以109年本司預算為例，即較108年增加約新臺幣6</w:t>
      </w:r>
      <w:r w:rsidRPr="00D41D30">
        <w:rPr>
          <w:rFonts w:hAnsi="標楷體"/>
          <w:color w:val="000000" w:themeColor="text1"/>
        </w:rPr>
        <w:t>,</w:t>
      </w:r>
      <w:r w:rsidRPr="00D41D30">
        <w:rPr>
          <w:rFonts w:hAnsi="標楷體" w:hint="eastAsia"/>
          <w:color w:val="000000" w:themeColor="text1"/>
        </w:rPr>
        <w:t>000萬元……」云云，然此增幅對照我國人口老化速度、</w:t>
      </w:r>
      <w:r w:rsidRPr="00D41D30">
        <w:rPr>
          <w:rFonts w:hint="eastAsia"/>
          <w:color w:val="000000" w:themeColor="text1"/>
        </w:rPr>
        <w:t>高齡者之教育需求遽增及外在環境變化急遽等問題，恐顯不符發展所</w:t>
      </w:r>
      <w:r w:rsidRPr="00D41D30">
        <w:rPr>
          <w:rFonts w:hint="eastAsia"/>
          <w:color w:val="000000" w:themeColor="text1"/>
        </w:rPr>
        <w:lastRenderedPageBreak/>
        <w:t>需，足見教育部推動高齡教育執行迄今，未能積極統合檢討，復未能統籌規劃，該部實應因應未來超高齡社會來臨，應持續爭取經費以改善高齡教育預算不足之問題。</w:t>
      </w:r>
      <w:bookmarkEnd w:id="1337"/>
      <w:bookmarkEnd w:id="1338"/>
      <w:bookmarkEnd w:id="1339"/>
      <w:bookmarkEnd w:id="1340"/>
      <w:bookmarkEnd w:id="1341"/>
      <w:bookmarkEnd w:id="1342"/>
      <w:bookmarkEnd w:id="1343"/>
    </w:p>
    <w:p w:rsidR="003872FF" w:rsidRPr="00D41D30" w:rsidRDefault="003872FF" w:rsidP="003872FF">
      <w:pPr>
        <w:pStyle w:val="3"/>
        <w:rPr>
          <w:color w:val="000000" w:themeColor="text1"/>
        </w:rPr>
      </w:pPr>
      <w:bookmarkStart w:id="1344" w:name="_Toc30512577"/>
      <w:bookmarkStart w:id="1345" w:name="_Toc30581285"/>
      <w:bookmarkStart w:id="1346" w:name="_Toc32392561"/>
      <w:bookmarkStart w:id="1347" w:name="_Toc32673752"/>
      <w:bookmarkStart w:id="1348" w:name="_Toc32846631"/>
      <w:bookmarkStart w:id="1349" w:name="_Toc32918539"/>
      <w:bookmarkStart w:id="1350" w:name="_Toc33011826"/>
      <w:r w:rsidRPr="00D41D30">
        <w:rPr>
          <w:rFonts w:hint="eastAsia"/>
          <w:color w:val="000000" w:themeColor="text1"/>
        </w:rPr>
        <w:t>又，</w:t>
      </w:r>
      <w:r w:rsidRPr="00D41D30">
        <w:rPr>
          <w:color w:val="000000" w:themeColor="text1"/>
        </w:rPr>
        <w:t>聯合國世界衛生組織於2012年</w:t>
      </w:r>
      <w:r w:rsidRPr="00D41D30">
        <w:rPr>
          <w:rFonts w:hint="eastAsia"/>
          <w:color w:val="000000" w:themeColor="text1"/>
        </w:rPr>
        <w:t>世界衛生日以「高齡化與健康」（Ageing and Health） 為主題，</w:t>
      </w:r>
      <w:r w:rsidRPr="00D41D30">
        <w:rPr>
          <w:color w:val="000000" w:themeColor="text1"/>
        </w:rPr>
        <w:t>提出「活躍老化」概念，期望透過健康政策介入以及營造高齡友善環境，達到促進長者健康及延緩失能之目標</w:t>
      </w:r>
      <w:r w:rsidRPr="00D41D30">
        <w:rPr>
          <w:rFonts w:hint="eastAsia"/>
          <w:color w:val="000000" w:themeColor="text1"/>
        </w:rPr>
        <w:t>，堅信</w:t>
      </w:r>
      <w:r w:rsidRPr="00D41D30">
        <w:rPr>
          <w:color w:val="000000" w:themeColor="text1"/>
        </w:rPr>
        <w:t>保持健康才會長壽（Good health adds life to years）。強調在人口迅速老化的過程中，各國政府應採取積極有效的策略與行動，包含促進國人良好的健康行為，預防或延遲慢性病的發展，創造並強化老人健康生活及無障礙的友善環境，鼓勵老人多方參與社會，使人們得以最佳的健康狀況進入老年，延長健康壽命、活躍老化。</w:t>
      </w:r>
      <w:r w:rsidRPr="00D41D30">
        <w:rPr>
          <w:rFonts w:hint="eastAsia"/>
          <w:color w:val="000000" w:themeColor="text1"/>
        </w:rPr>
        <w:t>鑑於高齡教育係預防老化、延緩老化並減緩失智症之預防措施之一，透過終身學習，有助於延長個人第三年齡及縮短第四年齡，減少醫療支出，惟整體終身教育經費近幾年分別僅編列有1至2億餘元不等，預算顯有不足，前已敘明。且據衛福部指出依據</w:t>
      </w:r>
      <w:r w:rsidRPr="00D41D30">
        <w:rPr>
          <w:color w:val="000000" w:themeColor="text1"/>
        </w:rPr>
        <w:t>99</w:t>
      </w:r>
      <w:r w:rsidRPr="00D41D30">
        <w:rPr>
          <w:rFonts w:hint="eastAsia"/>
          <w:color w:val="000000" w:themeColor="text1"/>
        </w:rPr>
        <w:t>年戶口普查資料，顯示我國老年人的長期照顧需要率為12.7%，推算健康、亞健康老人占比為8</w:t>
      </w:r>
      <w:r w:rsidRPr="00D41D30">
        <w:rPr>
          <w:color w:val="000000" w:themeColor="text1"/>
        </w:rPr>
        <w:t>7</w:t>
      </w:r>
      <w:r w:rsidRPr="00D41D30">
        <w:rPr>
          <w:rFonts w:hint="eastAsia"/>
          <w:color w:val="000000" w:themeColor="text1"/>
        </w:rPr>
        <w:t>.3%。以截至108年10月底止我國計有356萬9,905名老人，推估約有311萬6,000餘名老人（356萬9,905人*87.3%）是健康或亞健康長輩。然政府近年編列之長期照顧費用，動輒高達百億餘元，108年度更高達338億餘元，詳如表3</w:t>
      </w:r>
      <w:r w:rsidRPr="00D41D30">
        <w:rPr>
          <w:color w:val="000000" w:themeColor="text1"/>
        </w:rPr>
        <w:t>7</w:t>
      </w:r>
      <w:r w:rsidRPr="00D41D30">
        <w:rPr>
          <w:rFonts w:hint="eastAsia"/>
          <w:color w:val="000000" w:themeColor="text1"/>
        </w:rPr>
        <w:t>。倘能從占87.3%的健康及亞健康的老人著手，積極推動終身教育，讓高齡者於生理、心理及社會各方面得到最</w:t>
      </w:r>
      <w:r w:rsidRPr="00D41D30">
        <w:rPr>
          <w:rFonts w:hint="eastAsia"/>
          <w:color w:val="000000" w:themeColor="text1"/>
        </w:rPr>
        <w:lastRenderedPageBreak/>
        <w:t>適老化，積極參與社會，維持健康狀態及良好生活品質，以延長第三年齡、縮短第四年齡，將可降低第四年齡者（占12.7%）的醫療及長期照護之支出及對於社會福利資源之依賴，進而達到成功老化、健康老化及活躍老化之目標。</w:t>
      </w:r>
      <w:bookmarkEnd w:id="1344"/>
      <w:bookmarkEnd w:id="1345"/>
      <w:bookmarkEnd w:id="1346"/>
      <w:bookmarkEnd w:id="1347"/>
      <w:bookmarkEnd w:id="1348"/>
    </w:p>
    <w:p w:rsidR="003872FF" w:rsidRPr="00D41D30" w:rsidRDefault="003872FF" w:rsidP="003872FF">
      <w:pPr>
        <w:pStyle w:val="a4"/>
        <w:ind w:left="697" w:firstLine="12"/>
        <w:rPr>
          <w:b/>
          <w:color w:val="000000" w:themeColor="text1"/>
        </w:rPr>
      </w:pPr>
      <w:r w:rsidRPr="00D41D30">
        <w:rPr>
          <w:rFonts w:ascii="Times New Roman" w:hAnsi="Times New Roman"/>
          <w:b/>
          <w:color w:val="000000" w:themeColor="text1"/>
        </w:rPr>
        <w:t>長照</w:t>
      </w:r>
      <w:r w:rsidRPr="00D41D30">
        <w:rPr>
          <w:rFonts w:ascii="Times New Roman" w:hAnsi="Times New Roman"/>
          <w:b/>
          <w:color w:val="000000" w:themeColor="text1"/>
        </w:rPr>
        <w:t>10</w:t>
      </w:r>
      <w:r w:rsidRPr="00D41D30">
        <w:rPr>
          <w:rFonts w:ascii="Times New Roman" w:hAnsi="Times New Roman"/>
          <w:b/>
          <w:color w:val="000000" w:themeColor="text1"/>
        </w:rPr>
        <w:t>年計畫</w:t>
      </w:r>
      <w:r w:rsidRPr="00D41D30">
        <w:rPr>
          <w:rFonts w:ascii="Times New Roman" w:hAnsi="Times New Roman"/>
          <w:b/>
          <w:color w:val="000000" w:themeColor="text1"/>
        </w:rPr>
        <w:t>2.0</w:t>
      </w:r>
      <w:r w:rsidRPr="00D41D30">
        <w:rPr>
          <w:rFonts w:ascii="Times New Roman" w:hAnsi="Times New Roman"/>
          <w:b/>
          <w:color w:val="000000" w:themeColor="text1"/>
        </w:rPr>
        <w:t>之預算編列與經費執行情形</w:t>
      </w:r>
    </w:p>
    <w:p w:rsidR="003872FF" w:rsidRPr="00D41D30" w:rsidRDefault="003872FF" w:rsidP="003872FF">
      <w:pPr>
        <w:pBdr>
          <w:top w:val="nil"/>
          <w:left w:val="nil"/>
          <w:bottom w:val="nil"/>
          <w:right w:val="nil"/>
          <w:between w:val="nil"/>
        </w:pBdr>
        <w:spacing w:line="480" w:lineRule="exact"/>
        <w:ind w:left="720"/>
        <w:rPr>
          <w:rFonts w:ascii="Times New Roman"/>
          <w:color w:val="000000" w:themeColor="text1"/>
          <w:sz w:val="24"/>
          <w:szCs w:val="24"/>
        </w:rPr>
      </w:pPr>
      <w:r w:rsidRPr="00D41D30">
        <w:rPr>
          <w:rFonts w:ascii="Times New Roman"/>
          <w:color w:val="000000" w:themeColor="text1"/>
          <w:szCs w:val="32"/>
        </w:rPr>
        <w:t xml:space="preserve">                                     </w:t>
      </w:r>
      <w:r w:rsidRPr="00D41D30">
        <w:rPr>
          <w:rFonts w:ascii="Times New Roman"/>
          <w:color w:val="000000" w:themeColor="text1"/>
          <w:sz w:val="24"/>
          <w:szCs w:val="24"/>
        </w:rPr>
        <w:t>單位：千元</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5"/>
        <w:gridCol w:w="3969"/>
      </w:tblGrid>
      <w:tr w:rsidR="003872FF" w:rsidRPr="00D41D30" w:rsidTr="003872FF">
        <w:trPr>
          <w:trHeight w:val="433"/>
          <w:tblHeader/>
        </w:trPr>
        <w:tc>
          <w:tcPr>
            <w:tcW w:w="1129" w:type="dxa"/>
            <w:shd w:val="clear" w:color="auto" w:fill="auto"/>
            <w:vAlign w:val="center"/>
          </w:tcPr>
          <w:p w:rsidR="003872FF" w:rsidRPr="00D41D30" w:rsidRDefault="003872FF" w:rsidP="003872FF">
            <w:pPr>
              <w:spacing w:line="500" w:lineRule="exact"/>
              <w:jc w:val="center"/>
              <w:rPr>
                <w:rFonts w:ascii="Times New Roman"/>
                <w:b/>
                <w:color w:val="000000" w:themeColor="text1"/>
                <w:sz w:val="28"/>
                <w:szCs w:val="28"/>
              </w:rPr>
            </w:pPr>
            <w:r w:rsidRPr="00D41D30">
              <w:rPr>
                <w:rFonts w:ascii="Times New Roman"/>
                <w:b/>
                <w:color w:val="000000" w:themeColor="text1"/>
                <w:sz w:val="28"/>
                <w:szCs w:val="28"/>
              </w:rPr>
              <w:t>年度</w:t>
            </w:r>
          </w:p>
        </w:tc>
        <w:tc>
          <w:tcPr>
            <w:tcW w:w="2835" w:type="dxa"/>
            <w:shd w:val="clear" w:color="auto" w:fill="auto"/>
            <w:vAlign w:val="center"/>
          </w:tcPr>
          <w:p w:rsidR="003872FF" w:rsidRPr="00D41D30" w:rsidRDefault="003872FF" w:rsidP="003872FF">
            <w:pPr>
              <w:spacing w:line="500" w:lineRule="exact"/>
              <w:jc w:val="center"/>
              <w:rPr>
                <w:rFonts w:ascii="Times New Roman"/>
                <w:b/>
                <w:color w:val="000000" w:themeColor="text1"/>
                <w:sz w:val="28"/>
                <w:szCs w:val="28"/>
              </w:rPr>
            </w:pPr>
            <w:r w:rsidRPr="00D41D30">
              <w:rPr>
                <w:rFonts w:ascii="Times New Roman"/>
                <w:b/>
                <w:color w:val="000000" w:themeColor="text1"/>
                <w:sz w:val="28"/>
                <w:szCs w:val="28"/>
              </w:rPr>
              <w:t>預算數</w:t>
            </w:r>
          </w:p>
        </w:tc>
        <w:tc>
          <w:tcPr>
            <w:tcW w:w="3969" w:type="dxa"/>
            <w:shd w:val="clear" w:color="auto" w:fill="auto"/>
            <w:vAlign w:val="center"/>
          </w:tcPr>
          <w:p w:rsidR="003872FF" w:rsidRPr="00D41D30" w:rsidRDefault="003872FF" w:rsidP="003872FF">
            <w:pPr>
              <w:spacing w:line="500" w:lineRule="exact"/>
              <w:jc w:val="center"/>
              <w:rPr>
                <w:rFonts w:ascii="Times New Roman"/>
                <w:b/>
                <w:color w:val="000000" w:themeColor="text1"/>
                <w:sz w:val="28"/>
                <w:szCs w:val="28"/>
              </w:rPr>
            </w:pPr>
            <w:r w:rsidRPr="00D41D30">
              <w:rPr>
                <w:rFonts w:ascii="Times New Roman"/>
                <w:b/>
                <w:color w:val="000000" w:themeColor="text1"/>
                <w:sz w:val="28"/>
                <w:szCs w:val="28"/>
              </w:rPr>
              <w:t>執行數</w:t>
            </w:r>
          </w:p>
        </w:tc>
      </w:tr>
      <w:tr w:rsidR="003872FF" w:rsidRPr="00D41D30" w:rsidTr="003872FF">
        <w:trPr>
          <w:trHeight w:val="301"/>
        </w:trPr>
        <w:tc>
          <w:tcPr>
            <w:tcW w:w="1129"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106</w:t>
            </w:r>
          </w:p>
        </w:tc>
        <w:tc>
          <w:tcPr>
            <w:tcW w:w="2835"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16,190,386</w:t>
            </w:r>
          </w:p>
        </w:tc>
        <w:tc>
          <w:tcPr>
            <w:tcW w:w="3969"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8,735,774</w:t>
            </w:r>
          </w:p>
        </w:tc>
      </w:tr>
      <w:tr w:rsidR="003872FF" w:rsidRPr="00D41D30" w:rsidTr="003872FF">
        <w:tc>
          <w:tcPr>
            <w:tcW w:w="1129"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107</w:t>
            </w:r>
          </w:p>
        </w:tc>
        <w:tc>
          <w:tcPr>
            <w:tcW w:w="2835"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31,949,434</w:t>
            </w:r>
          </w:p>
        </w:tc>
        <w:tc>
          <w:tcPr>
            <w:tcW w:w="3969"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16,315,553</w:t>
            </w:r>
          </w:p>
        </w:tc>
      </w:tr>
      <w:tr w:rsidR="003872FF" w:rsidRPr="00D41D30" w:rsidTr="003872FF">
        <w:tc>
          <w:tcPr>
            <w:tcW w:w="1129"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108</w:t>
            </w:r>
          </w:p>
        </w:tc>
        <w:tc>
          <w:tcPr>
            <w:tcW w:w="2835"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33,807,291</w:t>
            </w:r>
          </w:p>
        </w:tc>
        <w:tc>
          <w:tcPr>
            <w:tcW w:w="3969" w:type="dxa"/>
            <w:shd w:val="clear" w:color="auto" w:fill="auto"/>
            <w:vAlign w:val="center"/>
          </w:tcPr>
          <w:p w:rsidR="003872FF" w:rsidRPr="00D41D30" w:rsidRDefault="003872FF" w:rsidP="003872FF">
            <w:pPr>
              <w:spacing w:line="500" w:lineRule="exact"/>
              <w:jc w:val="center"/>
              <w:rPr>
                <w:rFonts w:ascii="Times New Roman"/>
                <w:color w:val="000000" w:themeColor="text1"/>
                <w:sz w:val="28"/>
                <w:szCs w:val="28"/>
              </w:rPr>
            </w:pPr>
            <w:r w:rsidRPr="00D41D30">
              <w:rPr>
                <w:rFonts w:ascii="Times New Roman"/>
                <w:color w:val="000000" w:themeColor="text1"/>
                <w:sz w:val="28"/>
                <w:szCs w:val="28"/>
              </w:rPr>
              <w:t>26,270,583</w:t>
            </w:r>
          </w:p>
        </w:tc>
      </w:tr>
    </w:tbl>
    <w:p w:rsidR="003872FF" w:rsidRPr="00D41D30" w:rsidRDefault="003872FF" w:rsidP="003872FF">
      <w:pPr>
        <w:pStyle w:val="1"/>
        <w:numPr>
          <w:ilvl w:val="0"/>
          <w:numId w:val="0"/>
        </w:numPr>
        <w:ind w:left="2381" w:hanging="2381"/>
        <w:rPr>
          <w:color w:val="000000" w:themeColor="text1"/>
        </w:rPr>
      </w:pPr>
      <w:r w:rsidRPr="00D41D30">
        <w:rPr>
          <w:rFonts w:hint="eastAsia"/>
          <w:color w:val="000000" w:themeColor="text1"/>
          <w:sz w:val="24"/>
          <w:szCs w:val="24"/>
        </w:rPr>
        <w:t xml:space="preserve">    </w:t>
      </w:r>
      <w:bookmarkStart w:id="1351" w:name="_Toc30512578"/>
      <w:bookmarkStart w:id="1352" w:name="_Toc30581286"/>
      <w:bookmarkStart w:id="1353" w:name="_Toc32392562"/>
      <w:bookmarkStart w:id="1354" w:name="_Toc32673753"/>
      <w:bookmarkStart w:id="1355" w:name="_Toc32846632"/>
      <w:r w:rsidRPr="00D41D30">
        <w:rPr>
          <w:rFonts w:hint="eastAsia"/>
          <w:color w:val="000000" w:themeColor="text1"/>
          <w:sz w:val="24"/>
          <w:szCs w:val="24"/>
        </w:rPr>
        <w:t xml:space="preserve">  資料來源:衛福部。</w:t>
      </w:r>
      <w:bookmarkEnd w:id="1351"/>
      <w:bookmarkEnd w:id="1352"/>
      <w:bookmarkEnd w:id="1353"/>
      <w:bookmarkEnd w:id="1354"/>
      <w:bookmarkEnd w:id="1355"/>
    </w:p>
    <w:p w:rsidR="003872FF" w:rsidRPr="00D41D30" w:rsidRDefault="003872FF" w:rsidP="003872FF">
      <w:pPr>
        <w:pStyle w:val="3"/>
        <w:spacing w:beforeLines="50" w:before="228"/>
        <w:ind w:left="1360" w:hanging="680"/>
        <w:rPr>
          <w:color w:val="000000" w:themeColor="text1"/>
          <w:sz w:val="24"/>
          <w:szCs w:val="24"/>
        </w:rPr>
      </w:pPr>
      <w:r w:rsidRPr="00D41D30">
        <w:rPr>
          <w:rFonts w:hint="eastAsia"/>
          <w:color w:val="000000" w:themeColor="text1"/>
        </w:rPr>
        <w:t>另據衛福部主管人員108年12月26日於本院約詢會議亦稱，「本部瞭解到教育部有關高齡教育的相關資源，本部所掌之長照10年計畫2.0主要目的是希望高齡者在『健康、亞健康、衰弱』時期，以期達到提升長者生活品質、促進長者健康、延緩失能及鼓勵長者社會參與之政策目標，並到最終程有尊嚴地離開。以目前本部與教育部相關的預算規模來看，本部經費較為充足，108年度編列長照10年計畫2.0之預算約338億元，至108年10月經費執行數約325億元，主要用於普及長照服務資源，增加照顧量能、提升社區多元預防性照顧服務量能，以及發展原鄉長照服務資源等。當然目標若與教育部有一致性，資源亦可以共享。補充芬蘭相關研究，非藥物治療失智的成效顯著，非藥物的方案內容包括認知促進與增進身體功能，日本亦朝此方向邁進。此外，面對超高齡社會即</w:t>
      </w:r>
      <w:r w:rsidRPr="00D41D30">
        <w:rPr>
          <w:rFonts w:hint="eastAsia"/>
          <w:color w:val="000000" w:themeColor="text1"/>
        </w:rPr>
        <w:lastRenderedPageBreak/>
        <w:t>將來臨，本人認為我國整體社會應有共識，以達到未來對於老年化的想像趨於一致……。」等語，足見</w:t>
      </w:r>
      <w:r w:rsidRPr="00D41D30">
        <w:rPr>
          <w:rFonts w:hAnsi="標楷體" w:hint="eastAsia"/>
          <w:color w:val="000000" w:themeColor="text1"/>
        </w:rPr>
        <w:t>相較於政府在長照工作挹注資源充沛，而教育部僅以每年1-2餘億元經費，推動占87.5%健康及亞健康的高齡者的高齡教育，顯屬杯水車薪不足以因應超高齡社會之來臨，教育部實應持續積極爭取經費以改善高齡教育預算不足、地方推動相關政策窒礙難行等窘境，並積極與衛福部等相關機關</w:t>
      </w:r>
      <w:r w:rsidRPr="00D41D30">
        <w:rPr>
          <w:rFonts w:hint="eastAsia"/>
          <w:color w:val="000000" w:themeColor="text1"/>
        </w:rPr>
        <w:t>資源共享，相輔相成，以發揮國家行政一體之綜效。</w:t>
      </w:r>
      <w:bookmarkEnd w:id="1349"/>
      <w:bookmarkEnd w:id="1350"/>
    </w:p>
    <w:p w:rsidR="003872FF" w:rsidRPr="00D41D30" w:rsidRDefault="003872FF" w:rsidP="003872FF">
      <w:pPr>
        <w:pStyle w:val="3"/>
        <w:rPr>
          <w:color w:val="000000" w:themeColor="text1"/>
        </w:rPr>
      </w:pPr>
      <w:bookmarkStart w:id="1356" w:name="_Toc30512579"/>
      <w:bookmarkStart w:id="1357" w:name="_Toc30581287"/>
      <w:bookmarkStart w:id="1358" w:name="_Toc32392563"/>
      <w:bookmarkStart w:id="1359" w:name="_Toc32673754"/>
      <w:bookmarkStart w:id="1360" w:name="_Toc32846633"/>
      <w:bookmarkStart w:id="1361" w:name="_Toc32918540"/>
      <w:bookmarkStart w:id="1362" w:name="_Toc33011827"/>
      <w:r w:rsidRPr="00D41D30">
        <w:rPr>
          <w:rFonts w:hint="eastAsia"/>
          <w:color w:val="000000" w:themeColor="text1"/>
        </w:rPr>
        <w:t>綜上論結，我國已於1993年成為高齡化社會，2018年進入高齡社會，依國家發展委員會推估，將於2026年邁入超高齡社會，且2065年每10人中，約有4位是65歲以上老年人口，整體老年政策已迫在眉睫；而高齡教育係預防老化、活力老化並減緩失智症之預防措施之一，惟整體高齡教育經費近幾年分別僅編列1至2億餘元不等，資源分配顯有不均，教育部實應統合檢討，妥善規劃；教育部終身教育司於本院調查後，雖稱已於109年度增加編列約6千萬元經費用於推動高齡教育，然此增幅對照我國人口老化速度、高齡者之教育需求遽增及外在環境變化急遽問題，恐顯杯水車薪，遠不敷所需，相較於政府在長照工作挹注之資源，108年度預算編列高達300餘億元，教育部實應因應未來超高齡社會之來臨，持續爭取經費以改善高齡教育預算不足之問題，並積極與協調衛福部等機關，以達資源共享</w:t>
      </w:r>
      <w:r w:rsidRPr="00D41D30">
        <w:rPr>
          <w:rFonts w:hAnsi="標楷體" w:hint="eastAsia"/>
          <w:color w:val="000000" w:themeColor="text1"/>
        </w:rPr>
        <w:t>、</w:t>
      </w:r>
      <w:r w:rsidRPr="00D41D30">
        <w:rPr>
          <w:rFonts w:hint="eastAsia"/>
          <w:color w:val="000000" w:themeColor="text1"/>
        </w:rPr>
        <w:t>相輔相成，讓高齡者得以透過終身學習，達到延長第三年齡，縮短第四年齡及減少醫療支出，進而實現成功老化、健康老化及活躍老化之目標。</w:t>
      </w:r>
      <w:bookmarkEnd w:id="1356"/>
      <w:bookmarkEnd w:id="1357"/>
      <w:bookmarkEnd w:id="1358"/>
      <w:bookmarkEnd w:id="1359"/>
      <w:bookmarkEnd w:id="1360"/>
      <w:bookmarkEnd w:id="1361"/>
      <w:bookmarkEnd w:id="1362"/>
    </w:p>
    <w:p w:rsidR="003872FF" w:rsidRPr="00D41D30" w:rsidRDefault="003872FF" w:rsidP="00D41D30">
      <w:pPr>
        <w:pStyle w:val="2"/>
        <w:spacing w:beforeLines="100" w:before="457"/>
        <w:ind w:leftChars="101" w:left="1024" w:hanging="680"/>
        <w:rPr>
          <w:b/>
          <w:color w:val="000000" w:themeColor="text1"/>
        </w:rPr>
      </w:pPr>
      <w:bookmarkStart w:id="1363" w:name="_Toc33011839"/>
      <w:r w:rsidRPr="00D41D30">
        <w:rPr>
          <w:rFonts w:hint="eastAsia"/>
          <w:b/>
          <w:color w:val="000000" w:themeColor="text1"/>
        </w:rPr>
        <w:lastRenderedPageBreak/>
        <w:t>教育部自97年起，以老人福利法第2條所定65歲為老人的前10年，即以55歲以上國民為主要學習族群，建構在地化高齡學習體系，執行高齡學習工作計畫，並以全國各鄉鎮市區至少設置1所「樂齡學習中心」為政策目標，採「一鄉鎮、一特色」的方式規劃，補助範圍遍及全國各鄉鎮市區，全國樂齡學習中心迄今已設立3</w:t>
      </w:r>
      <w:r w:rsidRPr="00D41D30">
        <w:rPr>
          <w:b/>
          <w:color w:val="000000" w:themeColor="text1"/>
        </w:rPr>
        <w:t>66</w:t>
      </w:r>
      <w:r w:rsidRPr="00D41D30">
        <w:rPr>
          <w:rFonts w:hint="eastAsia"/>
          <w:b/>
          <w:color w:val="000000" w:themeColor="text1"/>
        </w:rPr>
        <w:t>所，其中於</w:t>
      </w:r>
      <w:r w:rsidRPr="00D41D30">
        <w:rPr>
          <w:rFonts w:hint="eastAsia"/>
          <w:b/>
          <w:color w:val="000000" w:themeColor="text1"/>
        </w:rPr>
        <w:tab/>
        <w:t>偏鄉及原民地區達94所（占25.68%），期挹注平衡地方樂齡資源，發揚在地文化特色課程，落實「在地學習」之理念；該部為協助各縣市推動高齡教育及輔導全國各樂齡中心之運作，委請國立臺灣師範大學等4所大學承辦輔導業務，由國立中正大學擔任總輔導團，分別扮演輔導及協調角色，透過協助、檢視及輔導樂齡中心發展及運作，然各地方政府亦相繼成立地方輔導團，致外界針對各類型輔導團歷年工作項目仍有可能角色相互重疊或排擠之聲浪，甚衍伸批評浪費公帑、疊床架屋之疑慮，教育部實應積極因應，並全盤檢討監督輔導之權限劃分及功能，以避免疊床架屋，浪費行政資源</w:t>
      </w:r>
      <w:bookmarkEnd w:id="1363"/>
    </w:p>
    <w:p w:rsidR="003872FF" w:rsidRPr="00D41D30" w:rsidRDefault="003872FF" w:rsidP="003872FF">
      <w:pPr>
        <w:pStyle w:val="3"/>
        <w:rPr>
          <w:color w:val="000000" w:themeColor="text1"/>
        </w:rPr>
      </w:pPr>
      <w:bookmarkStart w:id="1364" w:name="_Toc30512587"/>
      <w:bookmarkStart w:id="1365" w:name="_Toc30581295"/>
      <w:bookmarkStart w:id="1366" w:name="_Toc32392575"/>
      <w:bookmarkStart w:id="1367" w:name="_Toc32673767"/>
      <w:bookmarkStart w:id="1368" w:name="_Toc32846646"/>
      <w:bookmarkStart w:id="1369" w:name="_Toc32918553"/>
      <w:bookmarkStart w:id="1370" w:name="_Toc33011840"/>
      <w:r w:rsidRPr="00D41D30">
        <w:rPr>
          <w:rFonts w:hint="eastAsia"/>
          <w:color w:val="000000" w:themeColor="text1"/>
        </w:rPr>
        <w:t>按教育部97年5月發布「教育部補助設置各鄉鎮市區樂齡學習資源中心實施要點」，以全國368個鄉鎮市區均成立1所中心為目標，後更名為「樂齡學習中心」（以下簡稱樂齡中心）」，以「一鄉鎮、一特色」的方式規劃，為建構本土化的樂齡學習典範，及開創更多元管道的樂齡學習創新方案，100年由全國200多所樂齡中心，選擇臺北市、新北市、臺中市、新竹縣、嘉義縣、臺南市及屏東縣等7個縣市，率先成立該縣市的「樂齡學習示範中心」，並進行國內首創樂齡學習空間改造，建構親善的長者學習環境，提供國內未來觀摩空</w:t>
      </w:r>
      <w:r w:rsidRPr="00D41D30">
        <w:rPr>
          <w:rFonts w:hint="eastAsia"/>
          <w:color w:val="000000" w:themeColor="text1"/>
        </w:rPr>
        <w:lastRenderedPageBreak/>
        <w:t>間的參考及典範，目前全國有11所示範中心，106年因應鄉鎮市區老年人口比率超過20%（含）以上，或該鄉鎮市區老年人口人數超過2萬人以上者，為「</w:t>
      </w:r>
      <w:r w:rsidRPr="00D41D30">
        <w:rPr>
          <w:rFonts w:hint="eastAsia"/>
          <w:color w:val="000000" w:themeColor="text1"/>
        </w:rPr>
        <w:tab/>
        <w:t>樂齡學習優先推動區」，該區得加設1所樂齡中心，提供55歲以上國民活躍老化核心課程，繼續學習及參與，促進其健康、安全，提升生活品質，達成樂齡學習目標。每年依據中心實際執行情形，滾動修正實施計畫，現將中心分為新辦、續辦、示範、優質及優先推動區，依類別補助經費。執行迄今，補助範圍遍及全國各鄉鎮市區，除連江縣尚未成立外，全國樂齡中心共成立366所，其中於</w:t>
      </w:r>
      <w:r w:rsidRPr="00D41D30">
        <w:rPr>
          <w:rFonts w:hint="eastAsia"/>
          <w:color w:val="000000" w:themeColor="text1"/>
        </w:rPr>
        <w:tab/>
        <w:t>偏鄉及原民地區成立94所（占25.68%），可有效挹注平衡地方樂齡資源，落實「在地學習」之理念。</w:t>
      </w:r>
      <w:bookmarkEnd w:id="1364"/>
      <w:bookmarkEnd w:id="1365"/>
      <w:bookmarkEnd w:id="1366"/>
      <w:bookmarkEnd w:id="1367"/>
      <w:bookmarkEnd w:id="1368"/>
      <w:bookmarkEnd w:id="1369"/>
      <w:bookmarkEnd w:id="1370"/>
    </w:p>
    <w:p w:rsidR="003872FF" w:rsidRPr="00D41D30" w:rsidRDefault="003872FF" w:rsidP="003872FF">
      <w:pPr>
        <w:pStyle w:val="3"/>
        <w:rPr>
          <w:color w:val="000000" w:themeColor="text1"/>
        </w:rPr>
      </w:pPr>
      <w:bookmarkStart w:id="1371" w:name="_Toc30512588"/>
      <w:bookmarkStart w:id="1372" w:name="_Toc30581296"/>
      <w:bookmarkStart w:id="1373" w:name="_Toc32392576"/>
      <w:bookmarkStart w:id="1374" w:name="_Toc32673768"/>
      <w:bookmarkStart w:id="1375" w:name="_Toc32846647"/>
      <w:bookmarkStart w:id="1376" w:name="_Toc32918554"/>
      <w:bookmarkStart w:id="1377" w:name="_Toc33011841"/>
      <w:r w:rsidRPr="00D41D30">
        <w:rPr>
          <w:rFonts w:hint="eastAsia"/>
          <w:color w:val="000000" w:themeColor="text1"/>
        </w:rPr>
        <w:t>教育部為協助各縣市推動高齡教育及輔導全國各樂齡中心之運作，自97年起成立輔導團，各年度輔導團之成立及遴選情形分述如下：</w:t>
      </w:r>
      <w:bookmarkEnd w:id="1371"/>
      <w:bookmarkEnd w:id="1372"/>
      <w:bookmarkEnd w:id="1373"/>
      <w:bookmarkEnd w:id="1374"/>
      <w:bookmarkEnd w:id="1375"/>
      <w:bookmarkEnd w:id="1376"/>
      <w:bookmarkEnd w:id="1377"/>
    </w:p>
    <w:p w:rsidR="003872FF" w:rsidRPr="00D41D30" w:rsidRDefault="003872FF" w:rsidP="003872FF">
      <w:pPr>
        <w:pStyle w:val="4"/>
        <w:rPr>
          <w:color w:val="000000" w:themeColor="text1"/>
        </w:rPr>
      </w:pPr>
      <w:r w:rsidRPr="00D41D30">
        <w:rPr>
          <w:rFonts w:hint="eastAsia"/>
          <w:color w:val="000000" w:themeColor="text1"/>
        </w:rPr>
        <w:t>97-98年依據政府採購法委請國立中正大學辦理。</w:t>
      </w:r>
    </w:p>
    <w:p w:rsidR="003872FF" w:rsidRPr="00D41D30" w:rsidRDefault="003872FF" w:rsidP="003872FF">
      <w:pPr>
        <w:pStyle w:val="4"/>
        <w:rPr>
          <w:color w:val="000000" w:themeColor="text1"/>
        </w:rPr>
      </w:pPr>
      <w:r w:rsidRPr="00D41D30">
        <w:rPr>
          <w:rFonts w:hint="eastAsia"/>
          <w:color w:val="000000" w:themeColor="text1"/>
        </w:rPr>
        <w:t>99年依政府採購法委請國立中正大學及中華民國成人教育學會協助。</w:t>
      </w:r>
    </w:p>
    <w:p w:rsidR="003872FF" w:rsidRPr="00D41D30" w:rsidRDefault="003872FF" w:rsidP="003872FF">
      <w:pPr>
        <w:pStyle w:val="4"/>
        <w:rPr>
          <w:color w:val="000000" w:themeColor="text1"/>
        </w:rPr>
      </w:pPr>
      <w:r w:rsidRPr="00D41D30">
        <w:rPr>
          <w:rFonts w:hint="eastAsia"/>
          <w:color w:val="000000" w:themeColor="text1"/>
        </w:rPr>
        <w:t>100年成立北區及南區輔導團。</w:t>
      </w:r>
    </w:p>
    <w:p w:rsidR="003872FF" w:rsidRPr="00D41D30" w:rsidRDefault="003872FF" w:rsidP="003872FF">
      <w:pPr>
        <w:pStyle w:val="4"/>
        <w:rPr>
          <w:color w:val="000000" w:themeColor="text1"/>
        </w:rPr>
      </w:pPr>
      <w:r w:rsidRPr="00D41D30">
        <w:rPr>
          <w:rFonts w:hint="eastAsia"/>
          <w:color w:val="000000" w:themeColor="text1"/>
        </w:rPr>
        <w:t>101年起因應全國樂齡中心數量大幅成長至225所，考量後續仍將逐年持續成長，且樂齡中心分散全國各鄉鎮市區，基於人力及經費與交通因素，無法由1個或2個單位進行輔導，爰依據「教育部補助直轄市及縣（市）政府設置樂齡學習中心實施要點」規定及參酌97年所設計之輔導團架構，並盤點國內有成人教育相關系所之國立大學為國立臺灣師範大學（成人教育</w:t>
      </w:r>
      <w:r w:rsidRPr="00D41D30">
        <w:rPr>
          <w:rFonts w:hint="eastAsia"/>
          <w:color w:val="000000" w:themeColor="text1"/>
        </w:rPr>
        <w:lastRenderedPageBreak/>
        <w:t>研究中心）、國立暨南國際大學（成人教育研究所，後改為諮商心理與人力資源發展學系）、國立中正大學（高齡教育研究中心、成人及繼續教育學系）、國立高雄師範大學（成人教育研究中心），恰分布於北、中、南地區，考量教育部因人員、設備不足等因素下，衡諸上開大學長期協助該部推動及辦理各項高齡學習培訓及研習等相關業務，並熟稔國內外高齡教育各項方案，爰依行政程序法第19條第2項規定</w:t>
      </w:r>
      <w:r w:rsidRPr="00D41D30">
        <w:rPr>
          <w:rStyle w:val="aff0"/>
          <w:color w:val="000000" w:themeColor="text1"/>
        </w:rPr>
        <w:footnoteReference w:id="25"/>
      </w:r>
      <w:r w:rsidRPr="00D41D30">
        <w:rPr>
          <w:rFonts w:hint="eastAsia"/>
          <w:color w:val="000000" w:themeColor="text1"/>
        </w:rPr>
        <w:t>及「教育部業務採行政協助辦理原則」，委請設有專業系所及熟稔專業領域之國立大學協助執行，共成立1個樂齡學習總輔導團及4個分區輔導團（北區、中區、中南區、南區）。本案對於上述學校而言，非屬該部對該校之指揮監督事項，而仍為其權責範圍，爰依行政程序法第19條第2項之規定及依「教育部業務採行政協助辦理原則」，請學校協助辦理。</w:t>
      </w:r>
    </w:p>
    <w:p w:rsidR="003872FF" w:rsidRPr="00D41D30" w:rsidRDefault="003872FF" w:rsidP="003872FF">
      <w:pPr>
        <w:pStyle w:val="4"/>
        <w:rPr>
          <w:color w:val="000000" w:themeColor="text1"/>
        </w:rPr>
      </w:pPr>
      <w:r w:rsidRPr="00D41D30">
        <w:rPr>
          <w:rFonts w:hint="eastAsia"/>
          <w:color w:val="000000" w:themeColor="text1"/>
        </w:rPr>
        <w:t>另97年計畫原擬成立東部輔導團，惟評估東部地區國立東華大學及國立臺東大學，並無相關系所中心，離島之澎湖縣及金門縣亦同，爰將東部、離島依地域、交通方便性及各輔導團輔導縣市數量之衡平性，分別劃入北區及南區輔導團。</w:t>
      </w:r>
    </w:p>
    <w:p w:rsidR="003872FF" w:rsidRPr="00D41D30" w:rsidRDefault="003872FF" w:rsidP="003872FF">
      <w:pPr>
        <w:pStyle w:val="3"/>
        <w:rPr>
          <w:color w:val="000000" w:themeColor="text1"/>
        </w:rPr>
      </w:pPr>
      <w:bookmarkStart w:id="1378" w:name="_Toc33011842"/>
      <w:bookmarkStart w:id="1379" w:name="_Toc30512589"/>
      <w:bookmarkStart w:id="1380" w:name="_Toc30581297"/>
      <w:bookmarkStart w:id="1381" w:name="_Toc32392577"/>
      <w:bookmarkStart w:id="1382" w:name="_Toc32673769"/>
      <w:bookmarkStart w:id="1383" w:name="_Toc32846648"/>
      <w:bookmarkStart w:id="1384" w:name="_Toc32918555"/>
      <w:r w:rsidRPr="00D41D30">
        <w:rPr>
          <w:rFonts w:hint="eastAsia"/>
          <w:color w:val="000000" w:themeColor="text1"/>
        </w:rPr>
        <w:t>本案專業諮詢意見指出，「有關目前樂齡輔導團架構，從設立開始就由較少數的人參與及負責，後</w:t>
      </w:r>
      <w:r w:rsidRPr="00D41D30">
        <w:rPr>
          <w:rFonts w:hint="eastAsia"/>
          <w:color w:val="000000" w:themeColor="text1"/>
        </w:rPr>
        <w:lastRenderedPageBreak/>
        <w:t>來分4區劃分輔導責任區，卻仍有總輔導團，形成疊床架屋、混雜的情形，表面是擴大參與，但卻產生層級概念，連輔導樂齡中心也分出示範中心、優質中心給總輔導團</w:t>
      </w:r>
      <w:r w:rsidRPr="00D41D30">
        <w:rPr>
          <w:color w:val="000000" w:themeColor="text1"/>
        </w:rPr>
        <w:t>……</w:t>
      </w:r>
      <w:r w:rsidRPr="00D41D30">
        <w:rPr>
          <w:rFonts w:hint="eastAsia"/>
          <w:color w:val="000000" w:themeColor="text1"/>
        </w:rPr>
        <w:t>。部分規劃方向受個人想法限制，較缺教育理念基礎及集思廣益效果，採行之多年的預算編列及訪視評鑑機制，雖然衍生不少問題，仍年年預算執行完畢，在稀少寶貴的高齡教育經費下，宜更加慎重思考。否則再增預算也無濟於改善」及「而建置樂齡學習示範中心、優質中心，宜從分期評選的方式辦理，同時不論輔導團、樂齡中心等方案都應有進退場機制，不能成為既得利益者把持的局面……」、</w:t>
      </w:r>
      <w:r w:rsidRPr="00D41D30">
        <w:rPr>
          <w:rFonts w:hAnsi="標楷體" w:hint="eastAsia"/>
          <w:color w:val="000000" w:themeColor="text1"/>
        </w:rPr>
        <w:t>「……目前教育部對於樂齡學習中心的訪視輔導，因縣市都已在做，不必再重複，且這是屬行政管理的業務，中央政府不宜也不必重複再做……」、</w:t>
      </w:r>
      <w:r w:rsidRPr="00D41D30">
        <w:rPr>
          <w:rFonts w:hint="eastAsia"/>
          <w:color w:val="000000" w:themeColor="text1"/>
        </w:rPr>
        <w:t>「另無論是樂齡示範中心、優質中心、一般中心（包括新辦及繼辦），均為教育部補助設置，是否要在名稱上給予區別化、差異化、優劣化的標籤，實有檢討空間……」等語，教育部應正視檢討。</w:t>
      </w:r>
      <w:bookmarkEnd w:id="1378"/>
    </w:p>
    <w:p w:rsidR="003872FF" w:rsidRPr="00D41D30" w:rsidRDefault="003872FF" w:rsidP="003872FF">
      <w:pPr>
        <w:pStyle w:val="3"/>
        <w:rPr>
          <w:color w:val="000000" w:themeColor="text1"/>
        </w:rPr>
      </w:pPr>
      <w:bookmarkStart w:id="1385" w:name="_Toc33011843"/>
      <w:r w:rsidRPr="00D41D30">
        <w:rPr>
          <w:rFonts w:hint="eastAsia"/>
          <w:color w:val="000000" w:themeColor="text1"/>
        </w:rPr>
        <w:t>況查上開輔導團運作模式行之有年，是否仍需辦理重覆審查，又，縣市政府亦已多數成立地方輔導團，依據教育部訪視各直轄市及縣（市）政府執行樂齡學習政策實施計畫，將成立縣市政府輔導團及建立樂齡中心督導訪視及輔導機制納入訪視評分指標中，本院請教育部提供已成立輔導團及建立督導訪視及輔導機制之縣市政府，詳如表3</w:t>
      </w:r>
      <w:r w:rsidRPr="00D41D30">
        <w:rPr>
          <w:color w:val="000000" w:themeColor="text1"/>
        </w:rPr>
        <w:t>8</w:t>
      </w:r>
      <w:r w:rsidRPr="00D41D30">
        <w:rPr>
          <w:rFonts w:hint="eastAsia"/>
          <w:color w:val="000000" w:themeColor="text1"/>
        </w:rPr>
        <w:t>，由表中可見，僅新北市、基隆市、新竹市、高雄縣未成立地方輔導團，其餘縣市均有設立；在督導訪視及輔導機制方面，所有縣市均有建</w:t>
      </w:r>
      <w:r w:rsidRPr="00D41D30">
        <w:rPr>
          <w:rFonts w:hint="eastAsia"/>
          <w:color w:val="000000" w:themeColor="text1"/>
        </w:rPr>
        <w:lastRenderedPageBreak/>
        <w:t>立。</w:t>
      </w:r>
      <w:bookmarkEnd w:id="1379"/>
      <w:bookmarkEnd w:id="1380"/>
      <w:bookmarkEnd w:id="1381"/>
      <w:bookmarkEnd w:id="1382"/>
      <w:bookmarkEnd w:id="1383"/>
      <w:bookmarkEnd w:id="1384"/>
      <w:bookmarkEnd w:id="1385"/>
      <w:r w:rsidRPr="00D41D30">
        <w:rPr>
          <w:rFonts w:hint="eastAsia"/>
          <w:color w:val="000000" w:themeColor="text1"/>
        </w:rPr>
        <w:t>連江縣部分，係因迄今尚未成立樂齡學習中心，故未成立地方政府團及建立督導訪視及輔導機制。</w:t>
      </w:r>
    </w:p>
    <w:p w:rsidR="003872FF" w:rsidRPr="00D41D30" w:rsidRDefault="003872FF" w:rsidP="003872FF">
      <w:pPr>
        <w:pStyle w:val="a4"/>
        <w:ind w:left="697" w:hanging="697"/>
        <w:rPr>
          <w:b/>
          <w:color w:val="000000" w:themeColor="text1"/>
        </w:rPr>
      </w:pPr>
      <w:r w:rsidRPr="00D41D30">
        <w:rPr>
          <w:rFonts w:hint="eastAsia"/>
          <w:b/>
          <w:color w:val="000000" w:themeColor="text1"/>
        </w:rPr>
        <w:t>縣市政府成立輔導團、建立督導訪視及輔導機制情形</w:t>
      </w:r>
    </w:p>
    <w:tbl>
      <w:tblPr>
        <w:tblStyle w:val="af9"/>
        <w:tblW w:w="10258" w:type="dxa"/>
        <w:tblInd w:w="-624" w:type="dxa"/>
        <w:tblLook w:val="04A0" w:firstRow="1" w:lastRow="0" w:firstColumn="1" w:lastColumn="0" w:noHBand="0" w:noVBand="1"/>
      </w:tblPr>
      <w:tblGrid>
        <w:gridCol w:w="2074"/>
        <w:gridCol w:w="2373"/>
        <w:gridCol w:w="2409"/>
        <w:gridCol w:w="3402"/>
      </w:tblGrid>
      <w:tr w:rsidR="003872FF" w:rsidRPr="00D41D30" w:rsidTr="003872FF">
        <w:trPr>
          <w:tblHeader/>
        </w:trPr>
        <w:tc>
          <w:tcPr>
            <w:tcW w:w="2074" w:type="dxa"/>
          </w:tcPr>
          <w:p w:rsidR="003872FF" w:rsidRPr="00D41D30" w:rsidRDefault="003872FF" w:rsidP="003872FF">
            <w:pPr>
              <w:spacing w:line="460" w:lineRule="exact"/>
              <w:jc w:val="center"/>
              <w:rPr>
                <w:rFonts w:hAnsi="標楷體"/>
                <w:b/>
                <w:color w:val="000000" w:themeColor="text1"/>
                <w:sz w:val="28"/>
                <w:szCs w:val="28"/>
              </w:rPr>
            </w:pPr>
            <w:r w:rsidRPr="00D41D30">
              <w:rPr>
                <w:rFonts w:hAnsi="標楷體" w:hint="eastAsia"/>
                <w:b/>
                <w:color w:val="000000" w:themeColor="text1"/>
                <w:sz w:val="28"/>
                <w:szCs w:val="28"/>
              </w:rPr>
              <w:t>縣市別</w:t>
            </w:r>
          </w:p>
        </w:tc>
        <w:tc>
          <w:tcPr>
            <w:tcW w:w="2373" w:type="dxa"/>
          </w:tcPr>
          <w:p w:rsidR="003872FF" w:rsidRPr="00D41D30" w:rsidRDefault="003872FF" w:rsidP="003872FF">
            <w:pPr>
              <w:spacing w:line="460" w:lineRule="exact"/>
              <w:jc w:val="center"/>
              <w:rPr>
                <w:rFonts w:hAnsi="標楷體"/>
                <w:b/>
                <w:color w:val="000000" w:themeColor="text1"/>
                <w:sz w:val="28"/>
                <w:szCs w:val="28"/>
              </w:rPr>
            </w:pPr>
            <w:r w:rsidRPr="00D41D30">
              <w:rPr>
                <w:rFonts w:hAnsi="標楷體" w:hint="eastAsia"/>
                <w:b/>
                <w:color w:val="000000" w:themeColor="text1"/>
                <w:sz w:val="28"/>
                <w:szCs w:val="28"/>
              </w:rPr>
              <w:t>成立地方輔導團</w:t>
            </w:r>
          </w:p>
        </w:tc>
        <w:tc>
          <w:tcPr>
            <w:tcW w:w="2409" w:type="dxa"/>
          </w:tcPr>
          <w:p w:rsidR="003872FF" w:rsidRPr="00D41D30" w:rsidRDefault="003872FF" w:rsidP="003872FF">
            <w:pPr>
              <w:spacing w:line="460" w:lineRule="exact"/>
              <w:jc w:val="center"/>
              <w:rPr>
                <w:rFonts w:hAnsi="標楷體"/>
                <w:b/>
                <w:color w:val="000000" w:themeColor="text1"/>
                <w:sz w:val="28"/>
                <w:szCs w:val="28"/>
              </w:rPr>
            </w:pPr>
            <w:r w:rsidRPr="00D41D30">
              <w:rPr>
                <w:rFonts w:hAnsi="標楷體" w:hint="eastAsia"/>
                <w:b/>
                <w:color w:val="000000" w:themeColor="text1"/>
                <w:sz w:val="28"/>
                <w:szCs w:val="28"/>
              </w:rPr>
              <w:t>建立督導訪視及輔導機制</w:t>
            </w:r>
          </w:p>
        </w:tc>
        <w:tc>
          <w:tcPr>
            <w:tcW w:w="3402" w:type="dxa"/>
          </w:tcPr>
          <w:p w:rsidR="003872FF" w:rsidRPr="00D41D30" w:rsidRDefault="003872FF" w:rsidP="003872FF">
            <w:pPr>
              <w:spacing w:line="460" w:lineRule="exact"/>
              <w:jc w:val="center"/>
              <w:rPr>
                <w:rFonts w:hAnsi="標楷體"/>
                <w:b/>
                <w:color w:val="000000" w:themeColor="text1"/>
                <w:sz w:val="28"/>
                <w:szCs w:val="28"/>
              </w:rPr>
            </w:pPr>
            <w:r w:rsidRPr="00D41D30">
              <w:rPr>
                <w:rFonts w:hAnsi="標楷體" w:hint="eastAsia"/>
                <w:b/>
                <w:color w:val="000000" w:themeColor="text1"/>
                <w:sz w:val="28"/>
                <w:szCs w:val="28"/>
              </w:rPr>
              <w:t>備註</w:t>
            </w: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臺北市</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新北市</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x</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r w:rsidRPr="00D41D30">
              <w:rPr>
                <w:rFonts w:hAnsi="標楷體" w:hint="eastAsia"/>
                <w:color w:val="000000" w:themeColor="text1"/>
                <w:sz w:val="28"/>
                <w:szCs w:val="28"/>
              </w:rPr>
              <w:t>以終身學習輔導團取代</w:t>
            </w:r>
          </w:p>
        </w:tc>
      </w:tr>
      <w:tr w:rsidR="003872FF" w:rsidRPr="00D41D30" w:rsidTr="003872FF">
        <w:tc>
          <w:tcPr>
            <w:tcW w:w="2074" w:type="dxa"/>
          </w:tcPr>
          <w:p w:rsidR="003872FF" w:rsidRPr="00D41D30" w:rsidRDefault="003872FF" w:rsidP="003872FF">
            <w:pPr>
              <w:adjustRightInd w:val="0"/>
              <w:snapToGrid w:val="0"/>
              <w:spacing w:beforeLines="100" w:before="457"/>
              <w:jc w:val="center"/>
              <w:rPr>
                <w:rFonts w:hAnsi="標楷體"/>
                <w:color w:val="000000" w:themeColor="text1"/>
                <w:sz w:val="28"/>
                <w:szCs w:val="28"/>
              </w:rPr>
            </w:pPr>
            <w:r w:rsidRPr="00D41D30">
              <w:rPr>
                <w:rFonts w:hAnsi="標楷體" w:hint="eastAsia"/>
                <w:color w:val="000000" w:themeColor="text1"/>
                <w:sz w:val="28"/>
                <w:szCs w:val="28"/>
              </w:rPr>
              <w:t>基隆市</w:t>
            </w:r>
          </w:p>
        </w:tc>
        <w:tc>
          <w:tcPr>
            <w:tcW w:w="2373" w:type="dxa"/>
          </w:tcPr>
          <w:p w:rsidR="003872FF" w:rsidRPr="00D41D30" w:rsidRDefault="003872FF" w:rsidP="003872FF">
            <w:pPr>
              <w:adjustRightInd w:val="0"/>
              <w:snapToGrid w:val="0"/>
              <w:spacing w:beforeLines="100" w:before="457"/>
              <w:jc w:val="center"/>
              <w:rPr>
                <w:rFonts w:hAnsi="標楷體"/>
                <w:color w:val="000000" w:themeColor="text1"/>
                <w:sz w:val="28"/>
                <w:szCs w:val="28"/>
              </w:rPr>
            </w:pPr>
            <w:r w:rsidRPr="00D41D30">
              <w:rPr>
                <w:rFonts w:hAnsi="標楷體" w:hint="eastAsia"/>
                <w:color w:val="000000" w:themeColor="text1"/>
                <w:sz w:val="28"/>
                <w:szCs w:val="28"/>
              </w:rPr>
              <w:t>x</w:t>
            </w:r>
          </w:p>
        </w:tc>
        <w:tc>
          <w:tcPr>
            <w:tcW w:w="2409" w:type="dxa"/>
          </w:tcPr>
          <w:p w:rsidR="003872FF" w:rsidRPr="00D41D30" w:rsidRDefault="003872FF" w:rsidP="003872FF">
            <w:pPr>
              <w:adjustRightInd w:val="0"/>
              <w:snapToGrid w:val="0"/>
              <w:spacing w:beforeLines="100" w:before="457"/>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r w:rsidRPr="00D41D30">
              <w:rPr>
                <w:rFonts w:hAnsi="標楷體" w:hint="eastAsia"/>
                <w:color w:val="000000" w:themeColor="text1"/>
                <w:sz w:val="28"/>
                <w:szCs w:val="28"/>
              </w:rPr>
              <w:t>未明訂樂齡輔導團設立要點，但訂有訪視計畫及建立輔導訪視委員名單。</w:t>
            </w: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桃園市</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新竹縣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spacing w:beforeLines="100" w:before="457"/>
              <w:jc w:val="center"/>
              <w:rPr>
                <w:rFonts w:hAnsi="標楷體"/>
                <w:color w:val="000000" w:themeColor="text1"/>
                <w:sz w:val="28"/>
                <w:szCs w:val="28"/>
              </w:rPr>
            </w:pPr>
            <w:r w:rsidRPr="00D41D30">
              <w:rPr>
                <w:rFonts w:hAnsi="標楷體" w:hint="eastAsia"/>
                <w:color w:val="000000" w:themeColor="text1"/>
                <w:sz w:val="28"/>
                <w:szCs w:val="28"/>
              </w:rPr>
              <w:t>新竹市</w:t>
            </w:r>
          </w:p>
        </w:tc>
        <w:tc>
          <w:tcPr>
            <w:tcW w:w="2373" w:type="dxa"/>
          </w:tcPr>
          <w:p w:rsidR="003872FF" w:rsidRPr="00D41D30" w:rsidRDefault="003872FF" w:rsidP="003872FF">
            <w:pPr>
              <w:adjustRightInd w:val="0"/>
              <w:snapToGrid w:val="0"/>
              <w:spacing w:beforeLines="100" w:before="457"/>
              <w:jc w:val="center"/>
              <w:rPr>
                <w:rFonts w:hAnsi="標楷體"/>
                <w:color w:val="000000" w:themeColor="text1"/>
                <w:sz w:val="28"/>
                <w:szCs w:val="28"/>
              </w:rPr>
            </w:pPr>
            <w:r w:rsidRPr="00D41D30">
              <w:rPr>
                <w:rFonts w:hAnsi="標楷體" w:hint="eastAsia"/>
                <w:color w:val="000000" w:themeColor="text1"/>
                <w:sz w:val="28"/>
                <w:szCs w:val="28"/>
              </w:rPr>
              <w:t>X</w:t>
            </w:r>
          </w:p>
        </w:tc>
        <w:tc>
          <w:tcPr>
            <w:tcW w:w="2409" w:type="dxa"/>
          </w:tcPr>
          <w:p w:rsidR="003872FF" w:rsidRPr="00D41D30" w:rsidRDefault="003872FF" w:rsidP="003872FF">
            <w:pPr>
              <w:adjustRightInd w:val="0"/>
              <w:snapToGrid w:val="0"/>
              <w:spacing w:beforeLines="100" w:before="457"/>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r w:rsidRPr="00D41D30">
              <w:rPr>
                <w:rFonts w:hAnsi="標楷體" w:hint="eastAsia"/>
                <w:color w:val="000000" w:themeColor="text1"/>
                <w:sz w:val="28"/>
                <w:szCs w:val="28"/>
              </w:rPr>
              <w:t>以「終身學習推展委員會」及「老人福利推動小組」協助。</w:t>
            </w: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苗栗縣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南投縣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臺中市</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彰化縣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spacing w:line="460" w:lineRule="exact"/>
              <w:jc w:val="center"/>
              <w:rPr>
                <w:rFonts w:hAnsi="標楷體"/>
                <w:color w:val="000000" w:themeColor="text1"/>
                <w:sz w:val="28"/>
                <w:szCs w:val="28"/>
              </w:rPr>
            </w:pPr>
            <w:r w:rsidRPr="00D41D30">
              <w:rPr>
                <w:rFonts w:hAnsi="標楷體" w:hint="eastAsia"/>
                <w:color w:val="000000" w:themeColor="text1"/>
                <w:sz w:val="28"/>
                <w:szCs w:val="28"/>
              </w:rPr>
              <w:t>雲林縣</w:t>
            </w:r>
          </w:p>
        </w:tc>
        <w:tc>
          <w:tcPr>
            <w:tcW w:w="2373" w:type="dxa"/>
          </w:tcPr>
          <w:p w:rsidR="003872FF" w:rsidRPr="00D41D30" w:rsidRDefault="003872FF" w:rsidP="003872FF">
            <w:pPr>
              <w:spacing w:line="460" w:lineRule="exact"/>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spacing w:line="460" w:lineRule="exact"/>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spacing w:line="460" w:lineRule="exact"/>
              <w:rPr>
                <w:rFonts w:hAnsi="標楷體"/>
                <w:color w:val="000000" w:themeColor="text1"/>
                <w:sz w:val="28"/>
                <w:szCs w:val="28"/>
              </w:rPr>
            </w:pPr>
          </w:p>
        </w:tc>
      </w:tr>
      <w:tr w:rsidR="003872FF" w:rsidRPr="00D41D30" w:rsidTr="003872FF">
        <w:tc>
          <w:tcPr>
            <w:tcW w:w="2074" w:type="dxa"/>
          </w:tcPr>
          <w:p w:rsidR="003872FF" w:rsidRPr="00D41D30" w:rsidRDefault="003872FF" w:rsidP="003872FF">
            <w:pPr>
              <w:spacing w:line="460" w:lineRule="exact"/>
              <w:jc w:val="center"/>
              <w:rPr>
                <w:rFonts w:hAnsi="標楷體"/>
                <w:color w:val="000000" w:themeColor="text1"/>
                <w:sz w:val="28"/>
                <w:szCs w:val="28"/>
              </w:rPr>
            </w:pPr>
            <w:r w:rsidRPr="00D41D30">
              <w:rPr>
                <w:rFonts w:hAnsi="標楷體" w:hint="eastAsia"/>
                <w:color w:val="000000" w:themeColor="text1"/>
                <w:sz w:val="28"/>
                <w:szCs w:val="28"/>
              </w:rPr>
              <w:t>嘉義市</w:t>
            </w:r>
          </w:p>
        </w:tc>
        <w:tc>
          <w:tcPr>
            <w:tcW w:w="2373" w:type="dxa"/>
          </w:tcPr>
          <w:p w:rsidR="003872FF" w:rsidRPr="00D41D30" w:rsidRDefault="003872FF" w:rsidP="003872FF">
            <w:pPr>
              <w:spacing w:line="460" w:lineRule="exact"/>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spacing w:line="460" w:lineRule="exact"/>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spacing w:line="460" w:lineRule="exact"/>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嘉義縣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臺南市</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spacing w:beforeLines="150" w:before="685"/>
              <w:jc w:val="center"/>
              <w:rPr>
                <w:rFonts w:hAnsi="標楷體"/>
                <w:color w:val="000000" w:themeColor="text1"/>
                <w:sz w:val="28"/>
                <w:szCs w:val="28"/>
              </w:rPr>
            </w:pPr>
            <w:r w:rsidRPr="00D41D30">
              <w:rPr>
                <w:rFonts w:hAnsi="標楷體" w:hint="eastAsia"/>
                <w:color w:val="000000" w:themeColor="text1"/>
                <w:sz w:val="28"/>
                <w:szCs w:val="28"/>
              </w:rPr>
              <w:t>高雄市</w:t>
            </w:r>
          </w:p>
        </w:tc>
        <w:tc>
          <w:tcPr>
            <w:tcW w:w="2373" w:type="dxa"/>
          </w:tcPr>
          <w:p w:rsidR="003872FF" w:rsidRPr="00D41D30" w:rsidRDefault="003872FF" w:rsidP="003872FF">
            <w:pPr>
              <w:adjustRightInd w:val="0"/>
              <w:snapToGrid w:val="0"/>
              <w:spacing w:beforeLines="200" w:before="914"/>
              <w:jc w:val="center"/>
              <w:rPr>
                <w:rFonts w:hAnsi="標楷體"/>
                <w:color w:val="000000" w:themeColor="text1"/>
                <w:sz w:val="28"/>
                <w:szCs w:val="28"/>
              </w:rPr>
            </w:pPr>
            <w:r w:rsidRPr="00D41D30">
              <w:rPr>
                <w:rFonts w:hAnsi="標楷體" w:hint="eastAsia"/>
                <w:color w:val="000000" w:themeColor="text1"/>
                <w:sz w:val="28"/>
                <w:szCs w:val="28"/>
              </w:rPr>
              <w:t>X</w:t>
            </w:r>
          </w:p>
        </w:tc>
        <w:tc>
          <w:tcPr>
            <w:tcW w:w="2409" w:type="dxa"/>
          </w:tcPr>
          <w:p w:rsidR="003872FF" w:rsidRPr="00D41D30" w:rsidRDefault="003872FF" w:rsidP="003872FF">
            <w:pPr>
              <w:adjustRightInd w:val="0"/>
              <w:snapToGrid w:val="0"/>
              <w:spacing w:beforeLines="200" w:before="914"/>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rPr>
                <w:rFonts w:hAnsi="標楷體"/>
                <w:color w:val="000000" w:themeColor="text1"/>
                <w:sz w:val="28"/>
                <w:szCs w:val="28"/>
              </w:rPr>
            </w:pPr>
            <w:r w:rsidRPr="00D41D30">
              <w:rPr>
                <w:rFonts w:hAnsi="標楷體" w:hint="eastAsia"/>
                <w:color w:val="000000" w:themeColor="text1"/>
                <w:sz w:val="28"/>
                <w:szCs w:val="28"/>
              </w:rPr>
              <w:t>現階段無成立地方輔導團組織，但每年仍會遴聘對本市樂齡中心業務熟稔之輔導訪視委員</w:t>
            </w: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屏東縣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jc w:val="center"/>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宜蘭縣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jc w:val="center"/>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花蓮縣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jc w:val="center"/>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臺東縣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jc w:val="center"/>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澎湖縣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3402" w:type="dxa"/>
          </w:tcPr>
          <w:p w:rsidR="003872FF" w:rsidRPr="00D41D30" w:rsidRDefault="003872FF" w:rsidP="003872FF">
            <w:pPr>
              <w:adjustRightInd w:val="0"/>
              <w:snapToGrid w:val="0"/>
              <w:jc w:val="center"/>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金門縣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color w:val="000000" w:themeColor="text1"/>
                <w:sz w:val="28"/>
                <w:szCs w:val="28"/>
              </w:rPr>
              <w:t>V</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V</w:t>
            </w:r>
          </w:p>
        </w:tc>
        <w:tc>
          <w:tcPr>
            <w:tcW w:w="3402" w:type="dxa"/>
          </w:tcPr>
          <w:p w:rsidR="003872FF" w:rsidRPr="00D41D30" w:rsidRDefault="003872FF" w:rsidP="003872FF">
            <w:pPr>
              <w:adjustRightInd w:val="0"/>
              <w:snapToGrid w:val="0"/>
              <w:jc w:val="center"/>
              <w:rPr>
                <w:rFonts w:hAnsi="標楷體"/>
                <w:color w:val="000000" w:themeColor="text1"/>
                <w:sz w:val="28"/>
                <w:szCs w:val="28"/>
              </w:rPr>
            </w:pPr>
          </w:p>
        </w:tc>
      </w:tr>
      <w:tr w:rsidR="003872FF" w:rsidRPr="00D41D30" w:rsidTr="003872FF">
        <w:tc>
          <w:tcPr>
            <w:tcW w:w="2074"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lastRenderedPageBreak/>
              <w:t>連江縣</w:t>
            </w:r>
          </w:p>
        </w:tc>
        <w:tc>
          <w:tcPr>
            <w:tcW w:w="2373"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x</w:t>
            </w:r>
          </w:p>
        </w:tc>
        <w:tc>
          <w:tcPr>
            <w:tcW w:w="2409"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x</w:t>
            </w:r>
          </w:p>
        </w:tc>
        <w:tc>
          <w:tcPr>
            <w:tcW w:w="3402" w:type="dxa"/>
          </w:tcPr>
          <w:p w:rsidR="003872FF" w:rsidRPr="00D41D30" w:rsidRDefault="003872FF" w:rsidP="003872FF">
            <w:pPr>
              <w:adjustRightInd w:val="0"/>
              <w:snapToGrid w:val="0"/>
              <w:jc w:val="center"/>
              <w:rPr>
                <w:rFonts w:hAnsi="標楷體"/>
                <w:color w:val="000000" w:themeColor="text1"/>
                <w:sz w:val="28"/>
                <w:szCs w:val="28"/>
              </w:rPr>
            </w:pPr>
            <w:r w:rsidRPr="00D41D30">
              <w:rPr>
                <w:rFonts w:hAnsi="標楷體" w:hint="eastAsia"/>
                <w:color w:val="000000" w:themeColor="text1"/>
                <w:sz w:val="28"/>
                <w:szCs w:val="28"/>
              </w:rPr>
              <w:t>（註）</w:t>
            </w:r>
          </w:p>
        </w:tc>
      </w:tr>
    </w:tbl>
    <w:p w:rsidR="003872FF" w:rsidRPr="00D41D30" w:rsidRDefault="003872FF" w:rsidP="003872FF">
      <w:pPr>
        <w:pStyle w:val="af8"/>
        <w:spacing w:after="0"/>
        <w:rPr>
          <w:color w:val="000000" w:themeColor="text1"/>
          <w:sz w:val="24"/>
          <w:szCs w:val="24"/>
        </w:rPr>
      </w:pPr>
      <w:bookmarkStart w:id="1386" w:name="_Toc30512590"/>
      <w:bookmarkStart w:id="1387" w:name="_Toc30581298"/>
      <w:bookmarkStart w:id="1388" w:name="_Toc32392578"/>
      <w:bookmarkStart w:id="1389" w:name="_Toc32673770"/>
      <w:bookmarkStart w:id="1390" w:name="_Toc32846649"/>
      <w:r w:rsidRPr="00D41D30">
        <w:rPr>
          <w:rFonts w:hint="eastAsia"/>
          <w:color w:val="000000" w:themeColor="text1"/>
          <w:sz w:val="24"/>
          <w:szCs w:val="24"/>
        </w:rPr>
        <w:t>註：本表含括全國各縣市，因連江縣政府迄今尚未成立樂齡學習中心，故未成立地方政府團及建立督導訪視及輔導機制。</w:t>
      </w:r>
    </w:p>
    <w:p w:rsidR="003872FF" w:rsidRPr="00D41D30" w:rsidRDefault="003872FF" w:rsidP="003872FF">
      <w:pPr>
        <w:pStyle w:val="af8"/>
        <w:spacing w:before="0" w:after="0"/>
        <w:rPr>
          <w:color w:val="000000" w:themeColor="text1"/>
          <w:sz w:val="24"/>
          <w:szCs w:val="24"/>
        </w:rPr>
      </w:pPr>
      <w:r w:rsidRPr="00D41D30">
        <w:rPr>
          <w:rFonts w:hint="eastAsia"/>
          <w:color w:val="000000" w:themeColor="text1"/>
          <w:sz w:val="24"/>
          <w:szCs w:val="24"/>
        </w:rPr>
        <w:t>資料來源：教育部。</w:t>
      </w:r>
      <w:bookmarkEnd w:id="1386"/>
      <w:bookmarkEnd w:id="1387"/>
      <w:bookmarkEnd w:id="1388"/>
      <w:bookmarkEnd w:id="1389"/>
      <w:bookmarkEnd w:id="1390"/>
    </w:p>
    <w:p w:rsidR="003872FF" w:rsidRPr="00D41D30" w:rsidRDefault="003872FF" w:rsidP="00D41D30">
      <w:pPr>
        <w:pStyle w:val="3"/>
        <w:spacing w:beforeLines="100" w:before="457"/>
        <w:ind w:left="1360" w:hanging="680"/>
        <w:rPr>
          <w:color w:val="000000" w:themeColor="text1"/>
        </w:rPr>
      </w:pPr>
      <w:bookmarkStart w:id="1391" w:name="_Toc30512591"/>
      <w:bookmarkStart w:id="1392" w:name="_Toc30581299"/>
      <w:bookmarkStart w:id="1393" w:name="_Toc32392579"/>
      <w:bookmarkStart w:id="1394" w:name="_Toc32673771"/>
      <w:bookmarkStart w:id="1395" w:name="_Toc32846650"/>
      <w:bookmarkStart w:id="1396" w:name="_Toc32918556"/>
      <w:bookmarkStart w:id="1397" w:name="_Toc33011844"/>
      <w:r w:rsidRPr="00D41D30">
        <w:rPr>
          <w:rFonts w:hint="eastAsia"/>
          <w:color w:val="000000" w:themeColor="text1"/>
        </w:rPr>
        <w:t>本院就地方輔導團與該部委託各大學成立之樂齡學習輔導團（含總團及分區輔導團）之異同及業務內容是否重複一節，請教育部說明如下，惟就相關說明觀之，各地方政府所設之地方輔導團除於研究發展功能較為欠缺外，在輔導任務部分，地方輔導團相較各區輔導團實更能貼近並瞭解在地高齡者學習之需求，且地方輔導團人員之組成，包含專家學者及地方政府官員，對於樂齡教育之規劃、整合、推動、審議等顯更具全面性且更能發揮推動樂齡教育之效果，加以，教育部與地方政府均為終身學習法之主管機關，對於推動終身教育之政策理念，地方政府實責無旁貸。</w:t>
      </w:r>
      <w:bookmarkEnd w:id="1391"/>
      <w:bookmarkEnd w:id="1392"/>
      <w:bookmarkEnd w:id="1393"/>
      <w:bookmarkEnd w:id="1394"/>
      <w:bookmarkEnd w:id="1395"/>
      <w:bookmarkEnd w:id="1396"/>
      <w:bookmarkEnd w:id="1397"/>
      <w:r w:rsidRPr="00D41D30">
        <w:rPr>
          <w:rFonts w:hint="eastAsia"/>
          <w:color w:val="000000" w:themeColor="text1"/>
        </w:rPr>
        <w:t>教育部提出二者不同處在於：</w:t>
      </w:r>
    </w:p>
    <w:p w:rsidR="003872FF" w:rsidRPr="00D41D30" w:rsidRDefault="003872FF" w:rsidP="003872FF">
      <w:pPr>
        <w:pStyle w:val="4"/>
        <w:rPr>
          <w:color w:val="000000" w:themeColor="text1"/>
        </w:rPr>
      </w:pPr>
      <w:r w:rsidRPr="00D41D30">
        <w:rPr>
          <w:rFonts w:hint="eastAsia"/>
          <w:color w:val="000000" w:themeColor="text1"/>
        </w:rPr>
        <w:t>成員組成不同</w:t>
      </w:r>
    </w:p>
    <w:p w:rsidR="003872FF" w:rsidRPr="00D41D30" w:rsidRDefault="003872FF" w:rsidP="003872FF">
      <w:pPr>
        <w:pStyle w:val="5"/>
        <w:rPr>
          <w:color w:val="000000" w:themeColor="text1"/>
        </w:rPr>
      </w:pPr>
      <w:r w:rsidRPr="00D41D30">
        <w:rPr>
          <w:rFonts w:hint="eastAsia"/>
          <w:color w:val="000000" w:themeColor="text1"/>
        </w:rPr>
        <w:t>經教育部調查，各地方政府共聘請218位各界專家學者，組成輔導團或訪視小組，協助推動樂齡輔導團業務，其聘請之成員多為縣市內首長、督學或現職/退休校長主任等，其中具有成人教育相關經驗有23位（尚有擔任多個縣市委員者）。</w:t>
      </w:r>
    </w:p>
    <w:p w:rsidR="003872FF" w:rsidRPr="00D41D30" w:rsidRDefault="003872FF" w:rsidP="003872FF">
      <w:pPr>
        <w:pStyle w:val="5"/>
        <w:rPr>
          <w:color w:val="000000" w:themeColor="text1"/>
        </w:rPr>
      </w:pPr>
      <w:r w:rsidRPr="00D41D30">
        <w:rPr>
          <w:rFonts w:hint="eastAsia"/>
          <w:color w:val="000000" w:themeColor="text1"/>
        </w:rPr>
        <w:t>該部所委託之輔導團業務，係以國內高齡及成人教育專業背景之大學為主，藉由不同學校及專業領域專家，提供樂齡中心發</w:t>
      </w:r>
      <w:r w:rsidRPr="00D41D30">
        <w:rPr>
          <w:rFonts w:hint="eastAsia"/>
          <w:color w:val="000000" w:themeColor="text1"/>
        </w:rPr>
        <w:lastRenderedPageBreak/>
        <w:t>展不同層面思考，及引導規劃適合在地高齡長者之學習活動。</w:t>
      </w:r>
    </w:p>
    <w:p w:rsidR="003872FF" w:rsidRPr="00D41D30" w:rsidRDefault="003872FF" w:rsidP="003872FF">
      <w:pPr>
        <w:pStyle w:val="4"/>
        <w:rPr>
          <w:color w:val="000000" w:themeColor="text1"/>
          <w:szCs w:val="48"/>
        </w:rPr>
      </w:pPr>
      <w:r w:rsidRPr="00D41D30">
        <w:rPr>
          <w:rFonts w:hint="eastAsia"/>
          <w:color w:val="000000" w:themeColor="text1"/>
          <w:szCs w:val="48"/>
        </w:rPr>
        <w:t>輔導</w:t>
      </w:r>
      <w:r w:rsidRPr="00D41D30">
        <w:rPr>
          <w:rFonts w:hint="eastAsia"/>
          <w:color w:val="000000" w:themeColor="text1"/>
        </w:rPr>
        <w:t>任務</w:t>
      </w:r>
      <w:r w:rsidRPr="00D41D30">
        <w:rPr>
          <w:rFonts w:hint="eastAsia"/>
          <w:color w:val="000000" w:themeColor="text1"/>
          <w:szCs w:val="48"/>
        </w:rPr>
        <w:t>不同</w:t>
      </w:r>
    </w:p>
    <w:p w:rsidR="003872FF" w:rsidRPr="00D41D30" w:rsidRDefault="003872FF" w:rsidP="003872FF">
      <w:pPr>
        <w:pStyle w:val="5"/>
        <w:rPr>
          <w:color w:val="000000" w:themeColor="text1"/>
        </w:rPr>
      </w:pPr>
      <w:r w:rsidRPr="00D41D30">
        <w:rPr>
          <w:rFonts w:hint="eastAsia"/>
          <w:color w:val="000000" w:themeColor="text1"/>
        </w:rPr>
        <w:t>地方輔導委員係就該縣市規劃、整合、審議與輔導樂齡</w:t>
      </w:r>
      <w:r w:rsidRPr="00D41D30">
        <w:rPr>
          <w:rFonts w:hAnsi="Times New Roman" w:hint="eastAsia"/>
          <w:color w:val="000000" w:themeColor="text1"/>
          <w:szCs w:val="20"/>
        </w:rPr>
        <w:t>教育</w:t>
      </w:r>
      <w:r w:rsidRPr="00D41D30">
        <w:rPr>
          <w:rFonts w:hint="eastAsia"/>
          <w:color w:val="000000" w:themeColor="text1"/>
        </w:rPr>
        <w:t>業務，就各樂齡中心經營、組織、行政等層面進行輔導，屬較基礎實際經營面之建議，各委員分配負責之區域，以雲林縣為例，每位輔導委員負責2至3個樂齡中心進行分組分區輔導，協助及支援樂齡中心。</w:t>
      </w:r>
    </w:p>
    <w:p w:rsidR="003872FF" w:rsidRPr="00D41D30" w:rsidRDefault="003872FF" w:rsidP="003872FF">
      <w:pPr>
        <w:pStyle w:val="5"/>
        <w:rPr>
          <w:color w:val="000000" w:themeColor="text1"/>
        </w:rPr>
      </w:pPr>
      <w:r w:rsidRPr="00D41D30">
        <w:rPr>
          <w:rFonts w:hint="eastAsia"/>
          <w:color w:val="000000" w:themeColor="text1"/>
        </w:rPr>
        <w:t>該部所委託輔導團之訪視督導，係經召開相關會議，由總輔導團協助綜整各區建議方向，修改訪視項目，訂定公布之訪視計畫據以執行，各區輔導團教授均親自到達偏鄉離島地區，如澎湖七美鄉、望安鄉，臺東縣綠島鄉及原住民地區，傳遞教育部推動樂齡學習政策理念及樂齡中心正確運作方式，並將承辦單位建議、運作困境、在地學習現況等，提供該部作為後續滾動修正參考，以強化政策落實，避免中央政策及地方執行產生落差。</w:t>
      </w:r>
    </w:p>
    <w:p w:rsidR="003872FF" w:rsidRPr="00D41D30" w:rsidRDefault="003872FF" w:rsidP="003872FF">
      <w:pPr>
        <w:pStyle w:val="4"/>
        <w:rPr>
          <w:rFonts w:hAnsi="標楷體"/>
          <w:color w:val="000000" w:themeColor="text1"/>
          <w:szCs w:val="32"/>
        </w:rPr>
      </w:pPr>
      <w:r w:rsidRPr="00D41D30">
        <w:rPr>
          <w:rFonts w:hAnsi="標楷體" w:hint="eastAsia"/>
          <w:color w:val="000000" w:themeColor="text1"/>
          <w:szCs w:val="32"/>
        </w:rPr>
        <w:t>研究</w:t>
      </w:r>
      <w:r w:rsidRPr="00D41D30">
        <w:rPr>
          <w:rFonts w:hint="eastAsia"/>
          <w:color w:val="000000" w:themeColor="text1"/>
          <w:szCs w:val="32"/>
        </w:rPr>
        <w:t>發展</w:t>
      </w:r>
      <w:r w:rsidRPr="00D41D30">
        <w:rPr>
          <w:rFonts w:hAnsi="標楷體" w:hint="eastAsia"/>
          <w:color w:val="000000" w:themeColor="text1"/>
          <w:szCs w:val="32"/>
        </w:rPr>
        <w:t>功能不同</w:t>
      </w:r>
    </w:p>
    <w:p w:rsidR="003872FF" w:rsidRPr="00D41D30" w:rsidRDefault="003872FF" w:rsidP="003872FF">
      <w:pPr>
        <w:pStyle w:val="5"/>
        <w:rPr>
          <w:color w:val="000000" w:themeColor="text1"/>
        </w:rPr>
      </w:pPr>
      <w:r w:rsidRPr="00D41D30">
        <w:rPr>
          <w:rFonts w:hint="eastAsia"/>
          <w:color w:val="000000" w:themeColor="text1"/>
        </w:rPr>
        <w:t>各地方政府除新北市政府仿國教體系，下設「終身學習輔導團」，除協助各樂齡中心訪視工作外，亦協助出版終身學習刊物、評選社教個人暨團體有功人員評選、國內外進修參訪計畫、執行新北市終身教育與高齡教育相關研究案，並進行各項終身教育主題之行銷工作，其餘縣市尚無樂齡學習訪視外之研究、出版等相關編組。</w:t>
      </w:r>
    </w:p>
    <w:p w:rsidR="003872FF" w:rsidRPr="00D41D30" w:rsidRDefault="003872FF" w:rsidP="00961D46">
      <w:pPr>
        <w:pStyle w:val="5"/>
        <w:rPr>
          <w:b/>
          <w:color w:val="000000" w:themeColor="text1"/>
        </w:rPr>
      </w:pPr>
      <w:r w:rsidRPr="00D41D30">
        <w:rPr>
          <w:rFonts w:hint="eastAsia"/>
          <w:color w:val="000000" w:themeColor="text1"/>
        </w:rPr>
        <w:lastRenderedPageBreak/>
        <w:t>教育部所委託之樂齡學習輔導團，均為大學相關成教、高齡教育等學系、所或中心，於輔導及協助區域縣市樂齡學習工作同時，亦發展全國及區域等相關高齡研究、教材及教案等，並提供縣市發展出之優質模式供其他樂齡中心觀摩學習。</w:t>
      </w:r>
    </w:p>
    <w:p w:rsidR="003872FF" w:rsidRPr="00D41D30" w:rsidRDefault="003872FF" w:rsidP="003872FF">
      <w:pPr>
        <w:pStyle w:val="5"/>
        <w:numPr>
          <w:ilvl w:val="0"/>
          <w:numId w:val="0"/>
        </w:numPr>
        <w:ind w:left="2268" w:firstLineChars="166" w:firstLine="565"/>
        <w:rPr>
          <w:color w:val="000000" w:themeColor="text1"/>
        </w:rPr>
      </w:pPr>
      <w:r w:rsidRPr="00D41D30">
        <w:rPr>
          <w:rFonts w:hint="eastAsia"/>
          <w:color w:val="000000" w:themeColor="text1"/>
        </w:rPr>
        <w:t>據本案專業諮詢委員意見指出，「教育部所提：(1)成員組成不同，教育部輔導團人員，僅限於其主持人等，人員相當有限，各縣市輔導團人員除具高齡教育背景人員外，亦有當地的督學、校長參與，不但人數更多，更接地氣；(2)各縣市在訪視輔導之進行，亦均有訪視會議之召開，商討訪視重點項目及表格之修訂等，更能與該縣發展重點契合，實無須教育部輔導團再研定全國一致遵循、一體適用之訪視表格。按各縣市社區大學的訪視輔導表格，均由各縣市自訂，並無須教育部統一訂定之必要，反不接地氣；(3)研究發展方面，教育部的五個輔導團所作的研究，相當有限，乏見成果提出與應用；另在編印教材，雖編有20餘種的教材，但高齡教師教學時，能應用者少，蓋教師教學時，其教學內容係依學習者需求、程度，已有經驗來決定。老人教育沒有既定教材，進行教材編製，並無實用價值，徒具浪費公帑之實。」</w:t>
      </w:r>
    </w:p>
    <w:p w:rsidR="003872FF" w:rsidRPr="00D41D30" w:rsidRDefault="003872FF" w:rsidP="003872FF">
      <w:pPr>
        <w:pStyle w:val="4"/>
        <w:numPr>
          <w:ilvl w:val="0"/>
          <w:numId w:val="0"/>
        </w:numPr>
        <w:ind w:left="1418" w:firstLineChars="150" w:firstLine="510"/>
        <w:rPr>
          <w:b/>
          <w:color w:val="000000" w:themeColor="text1"/>
        </w:rPr>
      </w:pPr>
      <w:r w:rsidRPr="00D41D30">
        <w:rPr>
          <w:rFonts w:hint="eastAsia"/>
          <w:color w:val="000000" w:themeColor="text1"/>
        </w:rPr>
        <w:t>綜上所述，對地方中心的訪視輔導工作，縣市均已在進行，教育部的輔導團與其功能重疊，形成疊床架屋，有無侵犯地方督導管理之權責，是否再有設置輔導團之必要，應予正視並檢討改</w:t>
      </w:r>
      <w:r w:rsidRPr="00D41D30">
        <w:rPr>
          <w:rFonts w:hint="eastAsia"/>
          <w:color w:val="000000" w:themeColor="text1"/>
        </w:rPr>
        <w:lastRenderedPageBreak/>
        <w:t>進。</w:t>
      </w:r>
    </w:p>
    <w:p w:rsidR="003872FF" w:rsidRPr="00D41D30" w:rsidRDefault="003872FF" w:rsidP="00961D46">
      <w:pPr>
        <w:pStyle w:val="3"/>
        <w:rPr>
          <w:color w:val="000000" w:themeColor="text1"/>
        </w:rPr>
      </w:pPr>
      <w:bookmarkStart w:id="1398" w:name="_Toc30512592"/>
      <w:bookmarkStart w:id="1399" w:name="_Toc30581300"/>
      <w:bookmarkStart w:id="1400" w:name="_Toc32392580"/>
      <w:bookmarkStart w:id="1401" w:name="_Toc32673772"/>
      <w:bookmarkStart w:id="1402" w:name="_Toc32846651"/>
      <w:bookmarkStart w:id="1403" w:name="_Toc32918557"/>
      <w:bookmarkStart w:id="1404" w:name="_Toc33011845"/>
      <w:r w:rsidRPr="00D41D30">
        <w:rPr>
          <w:rFonts w:hint="eastAsia"/>
          <w:color w:val="000000" w:themeColor="text1"/>
        </w:rPr>
        <w:t>又，除外界目前對於地方輔導團及各區輔導團歷年工作項目仍存有角色相互重疊或排擠</w:t>
      </w:r>
      <w:r w:rsidR="00961D46" w:rsidRPr="00D41D30">
        <w:rPr>
          <w:rFonts w:hint="eastAsia"/>
          <w:color w:val="000000" w:themeColor="text1"/>
        </w:rPr>
        <w:t>及輔導團負責規劃輔導及訪視地方政府辦理樂齡學習中心相關業務，外界質疑恐有身兼球員兼裁判現象之聲浪</w:t>
      </w:r>
      <w:r w:rsidRPr="00D41D30">
        <w:rPr>
          <w:rFonts w:hint="eastAsia"/>
          <w:color w:val="000000" w:themeColor="text1"/>
        </w:rPr>
        <w:t>，甚衍伸批評浪費公帑之疑慮，經本院統計自101年至108年教育部委託4所大學辦理輔導樂齡中心之費用，每年花費達千萬元上下，累計各年已近億元之經費，詳如下表，以108年度為例，各輔導團合計支出經費高達1,283萬餘元之鉅，佔該年教育部高齡教育經費7.46%。對照該部整體高齡教育經費近幾年分別僅編列1至2億餘元不等，經費顯已捉襟見肘。自101年至108年高齡教育總經費為10.33億，支應輔導團為78,182,327元，占7.56%。以教育部高齡教育經費有限，尚須以整體經費約1成支應輔導團費用，該部實應就監督輔導之權限劃分及功能進行全盤檢討檢，以杜絕疊床架屋浪費行政資源之訾議。</w:t>
      </w:r>
      <w:bookmarkEnd w:id="1398"/>
      <w:bookmarkEnd w:id="1399"/>
      <w:bookmarkEnd w:id="1400"/>
      <w:bookmarkEnd w:id="1401"/>
      <w:bookmarkEnd w:id="1402"/>
      <w:bookmarkEnd w:id="1403"/>
      <w:bookmarkEnd w:id="1404"/>
    </w:p>
    <w:p w:rsidR="00961D46" w:rsidRPr="00D41D30" w:rsidRDefault="00961D46" w:rsidP="00961D46">
      <w:pPr>
        <w:pStyle w:val="1"/>
        <w:numPr>
          <w:ilvl w:val="0"/>
          <w:numId w:val="0"/>
        </w:numPr>
        <w:ind w:left="2381" w:hanging="2381"/>
        <w:rPr>
          <w:color w:val="000000" w:themeColor="text1"/>
        </w:rPr>
      </w:pPr>
    </w:p>
    <w:p w:rsidR="003872FF" w:rsidRPr="00D41D30" w:rsidRDefault="003872FF" w:rsidP="003872FF">
      <w:pPr>
        <w:pStyle w:val="a4"/>
        <w:ind w:left="697" w:hanging="697"/>
        <w:rPr>
          <w:b/>
          <w:color w:val="000000" w:themeColor="text1"/>
        </w:rPr>
      </w:pPr>
      <w:r w:rsidRPr="00D41D30">
        <w:rPr>
          <w:rFonts w:hint="eastAsia"/>
          <w:b/>
          <w:color w:val="000000" w:themeColor="text1"/>
        </w:rPr>
        <w:t xml:space="preserve">101至108年教育部委託4所大學辦理樂齡學習輔導團經費一覽表　</w:t>
      </w:r>
    </w:p>
    <w:p w:rsidR="003872FF" w:rsidRPr="00D41D30" w:rsidRDefault="003872FF" w:rsidP="003872FF">
      <w:pPr>
        <w:jc w:val="right"/>
        <w:rPr>
          <w:b/>
          <w:color w:val="000000" w:themeColor="text1"/>
          <w:sz w:val="24"/>
          <w:szCs w:val="24"/>
        </w:rPr>
      </w:pPr>
      <w:r w:rsidRPr="00D41D30">
        <w:rPr>
          <w:rFonts w:hint="eastAsia"/>
          <w:color w:val="000000" w:themeColor="text1"/>
          <w:sz w:val="24"/>
          <w:szCs w:val="24"/>
        </w:rPr>
        <w:t>單位:元</w:t>
      </w:r>
    </w:p>
    <w:tbl>
      <w:tblPr>
        <w:tblW w:w="10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5"/>
        <w:gridCol w:w="1088"/>
        <w:gridCol w:w="1088"/>
        <w:gridCol w:w="1202"/>
        <w:gridCol w:w="1202"/>
        <w:gridCol w:w="1202"/>
        <w:gridCol w:w="1202"/>
        <w:gridCol w:w="1202"/>
        <w:gridCol w:w="1350"/>
      </w:tblGrid>
      <w:tr w:rsidR="003872FF" w:rsidRPr="00D41D30" w:rsidTr="003872FF">
        <w:trPr>
          <w:trHeight w:val="324"/>
          <w:jc w:val="center"/>
        </w:trPr>
        <w:tc>
          <w:tcPr>
            <w:tcW w:w="835"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0"/>
              </w:rPr>
            </w:pPr>
          </w:p>
        </w:tc>
        <w:tc>
          <w:tcPr>
            <w:tcW w:w="1088"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101-102</w:t>
            </w:r>
          </w:p>
        </w:tc>
        <w:tc>
          <w:tcPr>
            <w:tcW w:w="1088"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102-103</w:t>
            </w:r>
          </w:p>
        </w:tc>
        <w:tc>
          <w:tcPr>
            <w:tcW w:w="1202"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103-104</w:t>
            </w:r>
          </w:p>
        </w:tc>
        <w:tc>
          <w:tcPr>
            <w:tcW w:w="1202"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104-105</w:t>
            </w:r>
          </w:p>
        </w:tc>
        <w:tc>
          <w:tcPr>
            <w:tcW w:w="1202"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105-106</w:t>
            </w:r>
          </w:p>
        </w:tc>
        <w:tc>
          <w:tcPr>
            <w:tcW w:w="1202"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107</w:t>
            </w:r>
          </w:p>
        </w:tc>
        <w:tc>
          <w:tcPr>
            <w:tcW w:w="1202"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108</w:t>
            </w:r>
          </w:p>
        </w:tc>
        <w:tc>
          <w:tcPr>
            <w:tcW w:w="1350"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4"/>
                <w:szCs w:val="24"/>
              </w:rPr>
            </w:pPr>
            <w:r w:rsidRPr="00D41D30">
              <w:rPr>
                <w:rFonts w:hAnsi="標楷體" w:cs="新細明體" w:hint="eastAsia"/>
                <w:b/>
                <w:color w:val="000000" w:themeColor="text1"/>
                <w:kern w:val="0"/>
                <w:sz w:val="24"/>
                <w:szCs w:val="24"/>
              </w:rPr>
              <w:t>合計</w:t>
            </w:r>
          </w:p>
        </w:tc>
      </w:tr>
      <w:tr w:rsidR="003872FF" w:rsidRPr="00D41D30" w:rsidTr="003872FF">
        <w:trPr>
          <w:trHeight w:val="324"/>
          <w:jc w:val="center"/>
        </w:trPr>
        <w:tc>
          <w:tcPr>
            <w:tcW w:w="835"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總輔團</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2,000,000</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2,860,000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3,500,000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3,860,000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4,030,000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4,280,000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3,850,000</w:t>
            </w:r>
          </w:p>
        </w:tc>
        <w:tc>
          <w:tcPr>
            <w:tcW w:w="1350" w:type="dxa"/>
            <w:vMerge w:val="restart"/>
            <w:shd w:val="clear" w:color="auto" w:fill="auto"/>
            <w:noWrap/>
          </w:tcPr>
          <w:p w:rsidR="003872FF" w:rsidRPr="00D41D30" w:rsidRDefault="003872FF" w:rsidP="003872FF">
            <w:pPr>
              <w:widowControl/>
              <w:spacing w:beforeLines="10" w:before="45"/>
              <w:jc w:val="center"/>
              <w:rPr>
                <w:rFonts w:hAnsi="標楷體" w:cs="新細明體"/>
                <w:color w:val="000000" w:themeColor="text1"/>
                <w:kern w:val="0"/>
                <w:sz w:val="20"/>
              </w:rPr>
            </w:pPr>
            <w:r w:rsidRPr="00D41D30">
              <w:rPr>
                <w:rFonts w:hAnsi="標楷體" w:cs="新細明體" w:hint="eastAsia"/>
                <w:color w:val="000000" w:themeColor="text1"/>
                <w:kern w:val="0"/>
                <w:sz w:val="20"/>
              </w:rPr>
              <w:t>78,182,327</w:t>
            </w:r>
          </w:p>
        </w:tc>
      </w:tr>
      <w:tr w:rsidR="003872FF" w:rsidRPr="00D41D30" w:rsidTr="003872FF">
        <w:trPr>
          <w:trHeight w:val="324"/>
          <w:jc w:val="center"/>
        </w:trPr>
        <w:tc>
          <w:tcPr>
            <w:tcW w:w="835"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北區</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1,713,000</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1,713,000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1,848,327</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1,940,000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1,950,000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2,600,000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2,360,000</w:t>
            </w:r>
          </w:p>
        </w:tc>
        <w:tc>
          <w:tcPr>
            <w:tcW w:w="1350" w:type="dxa"/>
            <w:vMerge/>
            <w:shd w:val="clear" w:color="auto" w:fill="auto"/>
            <w:vAlign w:val="center"/>
          </w:tcPr>
          <w:p w:rsidR="003872FF" w:rsidRPr="00D41D30" w:rsidRDefault="003872FF" w:rsidP="003872FF">
            <w:pPr>
              <w:jc w:val="right"/>
              <w:rPr>
                <w:rFonts w:ascii="新細明體" w:eastAsia="新細明體" w:hAnsi="新細明體" w:cs="新細明體"/>
                <w:b/>
                <w:color w:val="000000" w:themeColor="text1"/>
                <w:sz w:val="20"/>
              </w:rPr>
            </w:pPr>
          </w:p>
        </w:tc>
      </w:tr>
      <w:tr w:rsidR="003872FF" w:rsidRPr="00D41D30" w:rsidTr="003872FF">
        <w:trPr>
          <w:trHeight w:val="324"/>
          <w:jc w:val="center"/>
        </w:trPr>
        <w:tc>
          <w:tcPr>
            <w:tcW w:w="835"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中區</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1,567,000</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1,560,000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1,604,000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1,711,000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1,711,000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2,250,000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2,150,000</w:t>
            </w:r>
          </w:p>
        </w:tc>
        <w:tc>
          <w:tcPr>
            <w:tcW w:w="1350" w:type="dxa"/>
            <w:vMerge/>
            <w:shd w:val="clear" w:color="auto" w:fill="auto"/>
            <w:vAlign w:val="center"/>
          </w:tcPr>
          <w:p w:rsidR="003872FF" w:rsidRPr="00D41D30" w:rsidRDefault="003872FF" w:rsidP="003872FF">
            <w:pPr>
              <w:jc w:val="right"/>
              <w:rPr>
                <w:rFonts w:ascii="新細明體" w:eastAsia="新細明體" w:hAnsi="新細明體" w:cs="新細明體"/>
                <w:b/>
                <w:color w:val="000000" w:themeColor="text1"/>
                <w:sz w:val="20"/>
              </w:rPr>
            </w:pPr>
          </w:p>
        </w:tc>
      </w:tr>
      <w:tr w:rsidR="003872FF" w:rsidRPr="00D41D30" w:rsidTr="003872FF">
        <w:trPr>
          <w:trHeight w:val="324"/>
          <w:jc w:val="center"/>
        </w:trPr>
        <w:tc>
          <w:tcPr>
            <w:tcW w:w="835"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中南區</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1,582,000</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1,582,000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1,722,000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1,940,000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2,000,000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2,500,000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2,300,000</w:t>
            </w:r>
          </w:p>
        </w:tc>
        <w:tc>
          <w:tcPr>
            <w:tcW w:w="1350" w:type="dxa"/>
            <w:vMerge/>
            <w:shd w:val="clear" w:color="auto" w:fill="auto"/>
            <w:vAlign w:val="center"/>
          </w:tcPr>
          <w:p w:rsidR="003872FF" w:rsidRPr="00D41D30" w:rsidRDefault="003872FF" w:rsidP="003872FF">
            <w:pPr>
              <w:jc w:val="right"/>
              <w:rPr>
                <w:rFonts w:ascii="新細明體" w:eastAsia="新細明體" w:hAnsi="新細明體" w:cs="新細明體"/>
                <w:b/>
                <w:color w:val="000000" w:themeColor="text1"/>
                <w:sz w:val="20"/>
              </w:rPr>
            </w:pPr>
          </w:p>
        </w:tc>
      </w:tr>
      <w:tr w:rsidR="003872FF" w:rsidRPr="00D41D30" w:rsidTr="003872FF">
        <w:trPr>
          <w:trHeight w:val="324"/>
          <w:jc w:val="center"/>
        </w:trPr>
        <w:tc>
          <w:tcPr>
            <w:tcW w:w="835"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南區</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1,602,000</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1,602,000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1,726,000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1,926,000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1,926,000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2,541,000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2,176,000</w:t>
            </w:r>
          </w:p>
        </w:tc>
        <w:tc>
          <w:tcPr>
            <w:tcW w:w="1350" w:type="dxa"/>
            <w:vMerge/>
            <w:shd w:val="clear" w:color="auto" w:fill="auto"/>
            <w:vAlign w:val="center"/>
          </w:tcPr>
          <w:p w:rsidR="003872FF" w:rsidRPr="00D41D30" w:rsidRDefault="003872FF" w:rsidP="003872FF">
            <w:pPr>
              <w:jc w:val="right"/>
              <w:rPr>
                <w:rFonts w:ascii="新細明體" w:eastAsia="新細明體" w:hAnsi="新細明體" w:cs="新細明體"/>
                <w:b/>
                <w:color w:val="000000" w:themeColor="text1"/>
                <w:sz w:val="20"/>
              </w:rPr>
            </w:pPr>
          </w:p>
        </w:tc>
      </w:tr>
      <w:tr w:rsidR="003872FF" w:rsidRPr="00D41D30" w:rsidTr="003872FF">
        <w:trPr>
          <w:trHeight w:val="324"/>
          <w:jc w:val="center"/>
        </w:trPr>
        <w:tc>
          <w:tcPr>
            <w:tcW w:w="835" w:type="dxa"/>
            <w:shd w:val="clear" w:color="auto" w:fill="auto"/>
            <w:noWrap/>
            <w:vAlign w:val="center"/>
            <w:hideMark/>
          </w:tcPr>
          <w:p w:rsidR="003872FF" w:rsidRPr="00D41D30" w:rsidRDefault="003872FF" w:rsidP="003872FF">
            <w:pPr>
              <w:widowControl/>
              <w:jc w:val="center"/>
              <w:rPr>
                <w:rFonts w:hAnsi="標楷體" w:cs="新細明體"/>
                <w:b/>
                <w:color w:val="000000" w:themeColor="text1"/>
                <w:kern w:val="0"/>
                <w:sz w:val="20"/>
              </w:rPr>
            </w:pPr>
            <w:r w:rsidRPr="00D41D30">
              <w:rPr>
                <w:rFonts w:hAnsi="標楷體" w:cs="新細明體" w:hint="eastAsia"/>
                <w:b/>
                <w:color w:val="000000" w:themeColor="text1"/>
                <w:kern w:val="0"/>
                <w:sz w:val="20"/>
              </w:rPr>
              <w:t>總計</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8,464,000</w:t>
            </w:r>
          </w:p>
        </w:tc>
        <w:tc>
          <w:tcPr>
            <w:tcW w:w="1088"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9,317,000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10,400,327</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11,377,000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11,617,000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14,171,000</w:t>
            </w:r>
          </w:p>
        </w:tc>
        <w:tc>
          <w:tcPr>
            <w:tcW w:w="1202" w:type="dxa"/>
            <w:shd w:val="clear" w:color="auto" w:fill="auto"/>
            <w:noWrap/>
            <w:vAlign w:val="center"/>
            <w:hideMark/>
          </w:tcPr>
          <w:p w:rsidR="003872FF" w:rsidRPr="00D41D30" w:rsidRDefault="003872FF" w:rsidP="003872FF">
            <w:pPr>
              <w:widowControl/>
              <w:jc w:val="center"/>
              <w:rPr>
                <w:rFonts w:hAnsi="標楷體" w:cs="新細明體"/>
                <w:color w:val="000000" w:themeColor="text1"/>
                <w:kern w:val="0"/>
                <w:sz w:val="20"/>
              </w:rPr>
            </w:pPr>
            <w:r w:rsidRPr="00D41D30">
              <w:rPr>
                <w:rFonts w:hAnsi="標楷體" w:cs="新細明體" w:hint="eastAsia"/>
                <w:color w:val="000000" w:themeColor="text1"/>
                <w:kern w:val="0"/>
                <w:sz w:val="20"/>
              </w:rPr>
              <w:t>12,836,000</w:t>
            </w:r>
          </w:p>
        </w:tc>
        <w:tc>
          <w:tcPr>
            <w:tcW w:w="1350" w:type="dxa"/>
            <w:vMerge/>
            <w:shd w:val="clear" w:color="auto" w:fill="auto"/>
            <w:vAlign w:val="center"/>
          </w:tcPr>
          <w:p w:rsidR="003872FF" w:rsidRPr="00D41D30" w:rsidRDefault="003872FF" w:rsidP="003872FF">
            <w:pPr>
              <w:jc w:val="right"/>
              <w:rPr>
                <w:rFonts w:ascii="新細明體" w:eastAsia="新細明體" w:hAnsi="新細明體" w:cs="新細明體"/>
                <w:b/>
                <w:color w:val="000000" w:themeColor="text1"/>
                <w:sz w:val="20"/>
              </w:rPr>
            </w:pPr>
          </w:p>
        </w:tc>
      </w:tr>
    </w:tbl>
    <w:p w:rsidR="003872FF" w:rsidRPr="00D41D30" w:rsidRDefault="003872FF" w:rsidP="003872FF">
      <w:pPr>
        <w:pStyle w:val="af8"/>
        <w:spacing w:after="0"/>
        <w:rPr>
          <w:color w:val="000000" w:themeColor="text1"/>
          <w:sz w:val="24"/>
          <w:szCs w:val="24"/>
        </w:rPr>
      </w:pPr>
      <w:r w:rsidRPr="00D41D30">
        <w:rPr>
          <w:rFonts w:hint="eastAsia"/>
          <w:color w:val="000000" w:themeColor="text1"/>
          <w:sz w:val="24"/>
          <w:szCs w:val="24"/>
        </w:rPr>
        <w:t>備註:教育部輔導團係採跨年度的方式撥付，此經費係協議書經費</w:t>
      </w:r>
    </w:p>
    <w:p w:rsidR="003872FF" w:rsidRPr="00D41D30" w:rsidRDefault="003872FF" w:rsidP="003872FF">
      <w:pPr>
        <w:pStyle w:val="af8"/>
        <w:spacing w:after="0"/>
        <w:rPr>
          <w:color w:val="000000" w:themeColor="text1"/>
          <w:sz w:val="24"/>
          <w:szCs w:val="24"/>
        </w:rPr>
      </w:pPr>
      <w:r w:rsidRPr="00D41D30">
        <w:rPr>
          <w:rFonts w:hint="eastAsia"/>
          <w:color w:val="000000" w:themeColor="text1"/>
          <w:sz w:val="24"/>
          <w:szCs w:val="24"/>
        </w:rPr>
        <w:t xml:space="preserve">  資料來源：教育部提供。</w:t>
      </w:r>
    </w:p>
    <w:p w:rsidR="003872FF" w:rsidRPr="00D41D30" w:rsidRDefault="003872FF" w:rsidP="00961D46">
      <w:pPr>
        <w:pStyle w:val="3"/>
        <w:spacing w:beforeLines="100" w:before="457"/>
        <w:ind w:left="1360" w:hanging="680"/>
        <w:rPr>
          <w:color w:val="000000" w:themeColor="text1"/>
        </w:rPr>
      </w:pPr>
      <w:bookmarkStart w:id="1405" w:name="_Toc30512593"/>
      <w:bookmarkStart w:id="1406" w:name="_Toc30581301"/>
      <w:bookmarkStart w:id="1407" w:name="_Toc32392581"/>
      <w:bookmarkStart w:id="1408" w:name="_Toc32673773"/>
      <w:bookmarkStart w:id="1409" w:name="_Toc32846652"/>
      <w:bookmarkStart w:id="1410" w:name="_Toc32918558"/>
      <w:bookmarkStart w:id="1411" w:name="_Toc33011846"/>
      <w:r w:rsidRPr="00D41D30">
        <w:rPr>
          <w:rFonts w:hint="eastAsia"/>
          <w:color w:val="000000" w:themeColor="text1"/>
        </w:rPr>
        <w:lastRenderedPageBreak/>
        <w:t>另，105年起，雖為簡化行政程序，輔導團併同縣市政府進行樂齡中心訪視作業，除新設置之中心由輔導團委員實地進行2次訪視（期初訪視、期中訪視）外，餘續辦中心採配合縣市進行實地抽訪，避免樂齡中心疲於奔命，爰後續訪視委員，以輔導團之主持人或協同主持人為主，不另邀請其他領域專家參與，實際抽訪之中心數如表</w:t>
      </w:r>
      <w:r w:rsidRPr="00D41D30">
        <w:rPr>
          <w:color w:val="000000" w:themeColor="text1"/>
        </w:rPr>
        <w:t>40</w:t>
      </w:r>
      <w:r w:rsidRPr="00D41D30">
        <w:rPr>
          <w:rFonts w:hint="eastAsia"/>
          <w:color w:val="000000" w:themeColor="text1"/>
        </w:rPr>
        <w:t>。然以107年看抽訪數量仍高達152家，</w:t>
      </w:r>
      <w:r w:rsidRPr="00D41D30">
        <w:rPr>
          <w:rFonts w:hAnsi="標楷體" w:hint="eastAsia"/>
          <w:color w:val="000000" w:themeColor="text1"/>
          <w:szCs w:val="32"/>
        </w:rPr>
        <w:t>相關訪查工作計畫已行之有年，且各縣市均已每年進行，教育部如要了解地方辦理情形，由地方政府函報訪視結果，或邀集地方開會提供，即可達成目的。是否仍需辦理重覆審查，仍待教育部通盤檢討。</w:t>
      </w:r>
      <w:bookmarkEnd w:id="1405"/>
      <w:bookmarkEnd w:id="1406"/>
      <w:bookmarkEnd w:id="1407"/>
      <w:bookmarkEnd w:id="1408"/>
      <w:bookmarkEnd w:id="1409"/>
      <w:bookmarkEnd w:id="1410"/>
      <w:bookmarkEnd w:id="1411"/>
      <w:r w:rsidRPr="00D41D30">
        <w:rPr>
          <w:rFonts w:hAnsi="標楷體"/>
          <w:color w:val="000000" w:themeColor="text1"/>
          <w:szCs w:val="32"/>
        </w:rPr>
        <w:br/>
      </w:r>
      <w:r w:rsidRPr="00D41D30">
        <w:rPr>
          <w:rFonts w:hAnsi="標楷體" w:hint="eastAsia"/>
          <w:color w:val="000000" w:themeColor="text1"/>
          <w:szCs w:val="32"/>
        </w:rPr>
        <w:t xml:space="preserve">　 </w:t>
      </w:r>
    </w:p>
    <w:p w:rsidR="003872FF" w:rsidRPr="00D41D30" w:rsidRDefault="003872FF" w:rsidP="003872FF">
      <w:pPr>
        <w:pStyle w:val="a4"/>
        <w:ind w:left="697" w:hanging="697"/>
        <w:rPr>
          <w:b/>
          <w:color w:val="000000" w:themeColor="text1"/>
        </w:rPr>
      </w:pPr>
      <w:r w:rsidRPr="00D41D30">
        <w:rPr>
          <w:rFonts w:hAnsi="標楷體" w:cs="新細明體" w:hint="eastAsia"/>
          <w:b/>
          <w:color w:val="000000" w:themeColor="text1"/>
          <w:kern w:val="0"/>
        </w:rPr>
        <w:t>各區輔導團實地抽訪樂齡中心數</w:t>
      </w:r>
    </w:p>
    <w:p w:rsidR="003872FF" w:rsidRPr="00D41D30" w:rsidRDefault="003872FF" w:rsidP="003872FF">
      <w:pPr>
        <w:rPr>
          <w:color w:val="000000" w:themeColor="text1"/>
        </w:rPr>
      </w:pPr>
      <w:r w:rsidRPr="00D41D30">
        <w:rPr>
          <w:noProof/>
          <w:color w:val="000000" w:themeColor="text1"/>
        </w:rPr>
        <w:drawing>
          <wp:inline distT="0" distB="0" distL="0" distR="0" wp14:anchorId="7E129AE8" wp14:editId="2ACD9FDB">
            <wp:extent cx="5615940" cy="2784374"/>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5940" cy="2784374"/>
                    </a:xfrm>
                    <a:prstGeom prst="rect">
                      <a:avLst/>
                    </a:prstGeom>
                    <a:noFill/>
                    <a:ln>
                      <a:noFill/>
                    </a:ln>
                  </pic:spPr>
                </pic:pic>
              </a:graphicData>
            </a:graphic>
          </wp:inline>
        </w:drawing>
      </w:r>
    </w:p>
    <w:p w:rsidR="003872FF" w:rsidRPr="00D41D30" w:rsidRDefault="003872FF" w:rsidP="003872FF">
      <w:pPr>
        <w:pStyle w:val="af8"/>
        <w:rPr>
          <w:color w:val="000000" w:themeColor="text1"/>
          <w:sz w:val="24"/>
          <w:szCs w:val="24"/>
        </w:rPr>
      </w:pPr>
      <w:r w:rsidRPr="00D41D30">
        <w:rPr>
          <w:rFonts w:hint="eastAsia"/>
          <w:color w:val="000000" w:themeColor="text1"/>
          <w:sz w:val="24"/>
          <w:szCs w:val="24"/>
        </w:rPr>
        <w:t>資料來源：教育部補充說明。</w:t>
      </w:r>
    </w:p>
    <w:p w:rsidR="003872FF" w:rsidRPr="00D41D30" w:rsidRDefault="003872FF" w:rsidP="003872FF">
      <w:pPr>
        <w:pStyle w:val="3"/>
        <w:spacing w:beforeLines="50" w:before="228"/>
        <w:ind w:left="1360" w:hanging="680"/>
        <w:rPr>
          <w:color w:val="000000" w:themeColor="text1"/>
        </w:rPr>
      </w:pPr>
      <w:bookmarkStart w:id="1412" w:name="_Toc30512594"/>
      <w:bookmarkStart w:id="1413" w:name="_Toc30581302"/>
      <w:bookmarkStart w:id="1414" w:name="_Toc32392582"/>
      <w:bookmarkStart w:id="1415" w:name="_Toc32673774"/>
      <w:bookmarkStart w:id="1416" w:name="_Toc32846653"/>
      <w:bookmarkStart w:id="1417" w:name="_Toc32918559"/>
      <w:bookmarkStart w:id="1418" w:name="_Toc33011847"/>
      <w:r w:rsidRPr="00D41D30">
        <w:rPr>
          <w:rFonts w:hint="eastAsia"/>
          <w:color w:val="000000" w:themeColor="text1"/>
        </w:rPr>
        <w:t>教育部為了解各縣市樂齡學習中心辦理績效，並自105年開始訪視各直轄市及縣（市）政府執行樂齡學習政策實施計畫，進行各縣市政府辦理樂齡學習成效的考評。訪視項目包括推動樂齡學習中</w:t>
      </w:r>
      <w:r w:rsidRPr="00D41D30">
        <w:rPr>
          <w:rFonts w:hint="eastAsia"/>
          <w:color w:val="000000" w:themeColor="text1"/>
        </w:rPr>
        <w:lastRenderedPageBreak/>
        <w:t>心成效、對分區輔導團或總輔導團訪視意見處理、經費核銷及建立特色等，依訪視層面給予評分評等，優良者頒給10萬至100萬的獎金，不佳者要求改進，再請縣市研提改進計畫，由各區輔導團輔導協助改善等。訪視委員由五個輔導團及教育人員組成</w:t>
      </w:r>
      <w:r w:rsidRPr="00D41D30">
        <w:rPr>
          <w:rStyle w:val="aff0"/>
          <w:rFonts w:ascii="Times New Roman" w:hAnsi="Times New Roman"/>
          <w:color w:val="000000" w:themeColor="text1"/>
        </w:rPr>
        <w:footnoteReference w:id="26"/>
      </w:r>
      <w:r w:rsidRPr="00D41D30">
        <w:rPr>
          <w:rFonts w:hint="eastAsia"/>
          <w:color w:val="000000" w:themeColor="text1"/>
        </w:rPr>
        <w:t>。此種做法，實有檢討餘地。蓋教育部自101年起設置五個輔導團，負責輔導縣市樂齡學習中心業務之推展，現教育部要了解推展績效，又請其進行訪視評鑑，形成自己評鑑自己負責業務之現象。訪視評鑑旨在了解績效，應由外部客觀公正人士擔任，內部成員參加，恐形成「球員兼裁判」。尤其教育部已自106年起進行行政檢討，特別重視訪視評鑑工作的減縮，以求行政減量。此種訪視評鑑，單就發出的獎金，以107年度為例，即達640萬元，三年來共約達2千萬元。在教育部高齡教育經費相當有限不足的情況，是否有必要辦理，爰有檢討空間。有關辦理縣市樂齡學習績效訪視輔導，應就辦理之必要性、訪視項目、實施方式、訪視委員及獎勵等，請教育部切實檢討，力求改善。</w:t>
      </w:r>
    </w:p>
    <w:p w:rsidR="003872FF" w:rsidRPr="00D41D30" w:rsidRDefault="003872FF" w:rsidP="003872FF">
      <w:pPr>
        <w:pStyle w:val="3"/>
        <w:spacing w:beforeLines="50" w:before="228"/>
        <w:ind w:left="1360" w:hanging="680"/>
        <w:rPr>
          <w:color w:val="000000" w:themeColor="text1"/>
        </w:rPr>
      </w:pPr>
      <w:r w:rsidRPr="00D41D30">
        <w:rPr>
          <w:rFonts w:hint="eastAsia"/>
          <w:color w:val="000000" w:themeColor="text1"/>
        </w:rPr>
        <w:t>綜上論結，樂齡學習工作計畫自9</w:t>
      </w:r>
      <w:r w:rsidRPr="00D41D30">
        <w:rPr>
          <w:color w:val="000000" w:themeColor="text1"/>
        </w:rPr>
        <w:t>7</w:t>
      </w:r>
      <w:r w:rsidRPr="00D41D30">
        <w:rPr>
          <w:rFonts w:hint="eastAsia"/>
          <w:color w:val="000000" w:themeColor="text1"/>
        </w:rPr>
        <w:t>年執行迄今，補助範圍遍及全國各鄉鎮市區，全國樂齡中心迄今已設立3</w:t>
      </w:r>
      <w:r w:rsidRPr="00D41D30">
        <w:rPr>
          <w:color w:val="000000" w:themeColor="text1"/>
        </w:rPr>
        <w:t>66</w:t>
      </w:r>
      <w:r w:rsidRPr="00D41D30">
        <w:rPr>
          <w:rFonts w:hint="eastAsia"/>
          <w:color w:val="000000" w:themeColor="text1"/>
        </w:rPr>
        <w:t>所，其中於</w:t>
      </w:r>
      <w:r w:rsidRPr="00D41D30">
        <w:rPr>
          <w:rFonts w:hint="eastAsia"/>
          <w:color w:val="000000" w:themeColor="text1"/>
        </w:rPr>
        <w:tab/>
        <w:t>偏鄉及原民地區達94所（占25.68%），可有效挹注平衡地方樂齡資源，落實「在地學習」之理念，教育部為協助各縣市推動高齡教育及輔導全國各樂齡中心之運作，委請國立臺灣師範大學等4所大學承辦輔導業務，由國</w:t>
      </w:r>
      <w:r w:rsidRPr="00D41D30">
        <w:rPr>
          <w:rFonts w:hint="eastAsia"/>
          <w:color w:val="000000" w:themeColor="text1"/>
        </w:rPr>
        <w:lastRenderedPageBreak/>
        <w:t>立中正大學擔任總輔導團，分別扮演輔導及協調角色，透過協助、檢視及輔導樂齡中心發展及運作，然各地方政府亦成立地方輔導團，致外界針對各類型輔導團歷年工作項目有可能角色相互重疊或排擠之聲浪，甚衍伸批評浪費公帑之疑慮，又每年辦理縣市樂齡學習中心訪視輔導事項，有球員兼裁判現象。以上這些事項，教育部實應積極因應，並全盤檢討監督輔導之權限劃分及功能，以避免疊床架屋，浪費行政資源。</w:t>
      </w:r>
      <w:bookmarkEnd w:id="1412"/>
      <w:bookmarkEnd w:id="1413"/>
      <w:bookmarkEnd w:id="1414"/>
      <w:bookmarkEnd w:id="1415"/>
      <w:bookmarkEnd w:id="1416"/>
      <w:bookmarkEnd w:id="1417"/>
      <w:bookmarkEnd w:id="1418"/>
    </w:p>
    <w:p w:rsidR="003872FF" w:rsidRPr="00D41D30" w:rsidRDefault="003872FF" w:rsidP="00D41D30">
      <w:pPr>
        <w:pStyle w:val="2"/>
        <w:spacing w:beforeLines="100" w:before="457"/>
        <w:ind w:left="1020" w:hanging="680"/>
        <w:rPr>
          <w:b/>
          <w:color w:val="000000" w:themeColor="text1"/>
        </w:rPr>
      </w:pPr>
      <w:bookmarkStart w:id="1419" w:name="_Toc33011848"/>
      <w:r w:rsidRPr="00D41D30">
        <w:rPr>
          <w:rFonts w:hint="eastAsia"/>
          <w:b/>
          <w:color w:val="000000" w:themeColor="text1"/>
        </w:rPr>
        <w:t>教育部為協助各縣市推動高齡教育及輔導全國各樂齡中心之運作，自97年起成立輔導團，依據政府採購法委請國立中正大學辦理，嗣101年起因應全國樂齡中心數量大幅成長至</w:t>
      </w:r>
      <w:r w:rsidRPr="00D41D30">
        <w:rPr>
          <w:b/>
          <w:color w:val="000000" w:themeColor="text1"/>
        </w:rPr>
        <w:t>225</w:t>
      </w:r>
      <w:r w:rsidRPr="00D41D30">
        <w:rPr>
          <w:rFonts w:hint="eastAsia"/>
          <w:b/>
          <w:color w:val="000000" w:themeColor="text1"/>
        </w:rPr>
        <w:t>所，且後續將逐年持續成長，考量人員、設備不足等因素下，爰依行政程序法第19條第2項規定及「教育部業務採行政協助辦理原則」，委請設有專業系所及熟稔專業領域之國立大學協助辦理輔導團業務，期發揮學術交流</w:t>
      </w:r>
      <w:r w:rsidRPr="00D41D30">
        <w:rPr>
          <w:rFonts w:hAnsi="標楷體" w:hint="eastAsia"/>
          <w:b/>
          <w:color w:val="000000" w:themeColor="text1"/>
        </w:rPr>
        <w:t>、</w:t>
      </w:r>
      <w:r w:rsidRPr="00D41D30">
        <w:rPr>
          <w:rFonts w:hint="eastAsia"/>
          <w:b/>
          <w:color w:val="000000" w:themeColor="text1"/>
        </w:rPr>
        <w:t>專業管理及人才培育之效</w:t>
      </w:r>
      <w:r w:rsidRPr="00D41D30">
        <w:rPr>
          <w:rFonts w:hAnsi="標楷體" w:hint="eastAsia"/>
          <w:b/>
          <w:color w:val="000000" w:themeColor="text1"/>
        </w:rPr>
        <w:t>，然長久以來未建立檢討評估機制，況以行政協助方式</w:t>
      </w:r>
      <w:r w:rsidRPr="00D41D30">
        <w:rPr>
          <w:rFonts w:hint="eastAsia"/>
          <w:b/>
          <w:color w:val="000000" w:themeColor="text1"/>
        </w:rPr>
        <w:t>執行迄今已逾8年之久，執行角色長期未見機制輪替，致外界多所訾議，又以行政協助方式由國立大學長期協助辦理輔導團業務，相關適法性問題，該部允應確實研議檢討改善</w:t>
      </w:r>
      <w:bookmarkEnd w:id="1419"/>
    </w:p>
    <w:p w:rsidR="003872FF" w:rsidRPr="00D41D30" w:rsidRDefault="003872FF" w:rsidP="003872FF">
      <w:pPr>
        <w:pStyle w:val="3"/>
        <w:rPr>
          <w:color w:val="000000" w:themeColor="text1"/>
        </w:rPr>
      </w:pPr>
      <w:bookmarkStart w:id="1420" w:name="_Toc30512596"/>
      <w:bookmarkStart w:id="1421" w:name="_Toc30581304"/>
      <w:bookmarkStart w:id="1422" w:name="_Toc32392584"/>
      <w:bookmarkStart w:id="1423" w:name="_Toc32673776"/>
      <w:bookmarkStart w:id="1424" w:name="_Toc32846655"/>
      <w:bookmarkStart w:id="1425" w:name="_Toc32918561"/>
      <w:bookmarkStart w:id="1426" w:name="_Toc33011849"/>
      <w:r w:rsidRPr="00D41D30">
        <w:rPr>
          <w:rFonts w:hint="eastAsia"/>
          <w:color w:val="000000" w:themeColor="text1"/>
        </w:rPr>
        <w:t>按教育部為協助各縣市推動高齡教育及輔導全國各樂齡中心之運作自97年起成立輔導團，歷年輔導團設置架構及相關法令依據分述如下：</w:t>
      </w:r>
      <w:bookmarkEnd w:id="1420"/>
      <w:bookmarkEnd w:id="1421"/>
      <w:bookmarkEnd w:id="1422"/>
      <w:bookmarkEnd w:id="1423"/>
      <w:bookmarkEnd w:id="1424"/>
      <w:bookmarkEnd w:id="1425"/>
      <w:bookmarkEnd w:id="1426"/>
    </w:p>
    <w:p w:rsidR="003872FF" w:rsidRPr="00D41D30" w:rsidRDefault="003872FF" w:rsidP="003872FF">
      <w:pPr>
        <w:pStyle w:val="4"/>
        <w:rPr>
          <w:color w:val="000000" w:themeColor="text1"/>
        </w:rPr>
      </w:pPr>
      <w:r w:rsidRPr="00D41D30">
        <w:rPr>
          <w:rFonts w:hint="eastAsia"/>
          <w:color w:val="000000" w:themeColor="text1"/>
        </w:rPr>
        <w:t>97年「教育部設置各鄉鎮市區樂齡學習資源中心實施計畫」第柒項「輔導機制」敘明「為輔導直轄市、縣（市）政府成立資源中心，及整</w:t>
      </w:r>
      <w:r w:rsidRPr="00D41D30">
        <w:rPr>
          <w:rFonts w:hint="eastAsia"/>
          <w:color w:val="000000" w:themeColor="text1"/>
        </w:rPr>
        <w:lastRenderedPageBreak/>
        <w:t>合鄉鎮市區內所轄老人教育資源」，輔導機制：</w:t>
      </w:r>
    </w:p>
    <w:p w:rsidR="003872FF" w:rsidRPr="00D41D30" w:rsidRDefault="003872FF" w:rsidP="003872FF">
      <w:pPr>
        <w:pStyle w:val="5"/>
        <w:spacing w:beforeLines="50" w:before="228"/>
        <w:ind w:hanging="851"/>
        <w:rPr>
          <w:color w:val="000000" w:themeColor="text1"/>
        </w:rPr>
      </w:pPr>
      <w:r w:rsidRPr="00D41D30">
        <w:rPr>
          <w:rFonts w:hint="eastAsia"/>
          <w:color w:val="000000" w:themeColor="text1"/>
        </w:rPr>
        <w:t>教育部</w:t>
      </w:r>
    </w:p>
    <w:p w:rsidR="003872FF" w:rsidRPr="00D41D30" w:rsidRDefault="003872FF" w:rsidP="003872FF">
      <w:pPr>
        <w:pStyle w:val="6"/>
        <w:rPr>
          <w:color w:val="000000" w:themeColor="text1"/>
        </w:rPr>
      </w:pPr>
      <w:r w:rsidRPr="00D41D30">
        <w:rPr>
          <w:rFonts w:hint="eastAsia"/>
          <w:color w:val="000000" w:themeColor="text1"/>
        </w:rPr>
        <w:t>教育部得成立樂齡銀髮教育行動輔導團總團部，並於北、中、南、東四區成立區域性輔導中心。其任務為協助各直轄市、縣（市）政府進行各項老人教育工作推動。</w:t>
      </w:r>
    </w:p>
    <w:p w:rsidR="003872FF" w:rsidRPr="00D41D30" w:rsidRDefault="003872FF" w:rsidP="003872FF">
      <w:pPr>
        <w:pStyle w:val="6"/>
        <w:rPr>
          <w:color w:val="000000" w:themeColor="text1"/>
        </w:rPr>
      </w:pPr>
      <w:r w:rsidRPr="00D41D30">
        <w:rPr>
          <w:rFonts w:hint="eastAsia"/>
          <w:color w:val="000000" w:themeColor="text1"/>
        </w:rPr>
        <w:t>委託相關單位培訓社區種子教師。</w:t>
      </w:r>
    </w:p>
    <w:p w:rsidR="003872FF" w:rsidRPr="00D41D30" w:rsidRDefault="003872FF" w:rsidP="003872FF">
      <w:pPr>
        <w:pStyle w:val="6"/>
        <w:rPr>
          <w:color w:val="000000" w:themeColor="text1"/>
        </w:rPr>
      </w:pPr>
      <w:r w:rsidRPr="00D41D30">
        <w:rPr>
          <w:rFonts w:hint="eastAsia"/>
          <w:color w:val="000000" w:themeColor="text1"/>
        </w:rPr>
        <w:t>每年定期邀集直轄市、縣（市）政府、資源中心代表及輔導團成員召開全國性聯繫會報，以促進經驗交流。</w:t>
      </w:r>
    </w:p>
    <w:p w:rsidR="003872FF" w:rsidRPr="00D41D30" w:rsidRDefault="003872FF" w:rsidP="003872FF">
      <w:pPr>
        <w:pStyle w:val="6"/>
        <w:rPr>
          <w:color w:val="000000" w:themeColor="text1"/>
        </w:rPr>
      </w:pPr>
      <w:r w:rsidRPr="00D41D30">
        <w:rPr>
          <w:rFonts w:hint="eastAsia"/>
          <w:color w:val="000000" w:themeColor="text1"/>
        </w:rPr>
        <w:t>研發適合之教材及教案。</w:t>
      </w:r>
    </w:p>
    <w:p w:rsidR="003872FF" w:rsidRPr="00D41D30" w:rsidRDefault="003872FF" w:rsidP="003872FF">
      <w:pPr>
        <w:pStyle w:val="5"/>
        <w:spacing w:beforeLines="50" w:before="228"/>
        <w:ind w:hanging="851"/>
        <w:rPr>
          <w:color w:val="000000" w:themeColor="text1"/>
        </w:rPr>
      </w:pPr>
      <w:r w:rsidRPr="00D41D30">
        <w:rPr>
          <w:rFonts w:hint="eastAsia"/>
          <w:color w:val="000000" w:themeColor="text1"/>
        </w:rPr>
        <w:t>直轄市、縣（市）政府</w:t>
      </w:r>
    </w:p>
    <w:p w:rsidR="003872FF" w:rsidRPr="00D41D30" w:rsidRDefault="003872FF" w:rsidP="003872FF">
      <w:pPr>
        <w:pStyle w:val="6"/>
        <w:rPr>
          <w:color w:val="000000" w:themeColor="text1"/>
        </w:rPr>
      </w:pPr>
      <w:r w:rsidRPr="00D41D30">
        <w:rPr>
          <w:rFonts w:hint="eastAsia"/>
          <w:color w:val="000000" w:themeColor="text1"/>
        </w:rPr>
        <w:t>定期邀集各資源中心召開聯繫會議，深入了解辦理情形。</w:t>
      </w:r>
    </w:p>
    <w:p w:rsidR="003872FF" w:rsidRPr="00D41D30" w:rsidRDefault="003872FF" w:rsidP="003872FF">
      <w:pPr>
        <w:pStyle w:val="6"/>
        <w:rPr>
          <w:color w:val="000000" w:themeColor="text1"/>
        </w:rPr>
      </w:pPr>
      <w:r w:rsidRPr="00D41D30">
        <w:rPr>
          <w:rFonts w:hint="eastAsia"/>
          <w:color w:val="000000" w:themeColor="text1"/>
        </w:rPr>
        <w:t>邀集專家學者成立老人教育輔導委員會（或小組），定期訪視各樂齡學習資源中心（含設於國中小之高齡學習中心與社區玩具工坊）運作情形，以適時提供諮詢。</w:t>
      </w:r>
    </w:p>
    <w:p w:rsidR="003872FF" w:rsidRPr="00D41D30" w:rsidRDefault="003872FF" w:rsidP="003872FF">
      <w:pPr>
        <w:pStyle w:val="6"/>
        <w:rPr>
          <w:color w:val="000000" w:themeColor="text1"/>
        </w:rPr>
      </w:pPr>
      <w:r w:rsidRPr="00D41D30">
        <w:rPr>
          <w:rFonts w:hint="eastAsia"/>
          <w:color w:val="000000" w:themeColor="text1"/>
        </w:rPr>
        <w:t>按月填報各資源中心執行情形，於每月10日前上傳教育部老人教育學習網站。」</w:t>
      </w:r>
    </w:p>
    <w:p w:rsidR="003872FF" w:rsidRPr="00D41D30" w:rsidRDefault="003872FF" w:rsidP="003872FF">
      <w:pPr>
        <w:pStyle w:val="5"/>
        <w:spacing w:beforeLines="50" w:before="228"/>
        <w:ind w:hanging="851"/>
        <w:rPr>
          <w:color w:val="000000" w:themeColor="text1"/>
        </w:rPr>
      </w:pPr>
      <w:r w:rsidRPr="00D41D30">
        <w:rPr>
          <w:rFonts w:hint="eastAsia"/>
          <w:color w:val="000000" w:themeColor="text1"/>
        </w:rPr>
        <w:t>教育部依據上揭實施計畫規定，於98年成立銀髮行動輔導團，協助進行全國104所樂齡學習資源中心之訪視工作。</w:t>
      </w:r>
    </w:p>
    <w:p w:rsidR="003872FF" w:rsidRPr="00D41D30" w:rsidRDefault="003872FF" w:rsidP="003872FF">
      <w:pPr>
        <w:pStyle w:val="4"/>
        <w:rPr>
          <w:color w:val="000000" w:themeColor="text1"/>
        </w:rPr>
      </w:pPr>
      <w:r w:rsidRPr="00D41D30">
        <w:rPr>
          <w:rFonts w:hint="eastAsia"/>
          <w:color w:val="000000" w:themeColor="text1"/>
        </w:rPr>
        <w:t>98年5月15日令發布「教育部補助設置各鄉鎮市區樂齡學習資源中心實施要點」，其中第8點「督導考核」中亦明訂：</w:t>
      </w:r>
    </w:p>
    <w:p w:rsidR="003872FF" w:rsidRPr="00D41D30" w:rsidRDefault="003872FF" w:rsidP="003872FF">
      <w:pPr>
        <w:pStyle w:val="5"/>
        <w:rPr>
          <w:color w:val="000000" w:themeColor="text1"/>
        </w:rPr>
      </w:pPr>
      <w:r w:rsidRPr="00D41D30">
        <w:rPr>
          <w:rFonts w:hint="eastAsia"/>
          <w:color w:val="000000" w:themeColor="text1"/>
        </w:rPr>
        <w:t>教育部得委請專業團體成立輔導團，並成立區域性輔導中心，其任務為協助進行各</w:t>
      </w:r>
      <w:r w:rsidRPr="00D41D30">
        <w:rPr>
          <w:rFonts w:hint="eastAsia"/>
          <w:color w:val="000000" w:themeColor="text1"/>
        </w:rPr>
        <w:lastRenderedPageBreak/>
        <w:t>項老人教育工作推動。</w:t>
      </w:r>
    </w:p>
    <w:p w:rsidR="003872FF" w:rsidRPr="00D41D30" w:rsidRDefault="003872FF" w:rsidP="003872FF">
      <w:pPr>
        <w:pStyle w:val="5"/>
        <w:rPr>
          <w:color w:val="000000" w:themeColor="text1"/>
        </w:rPr>
      </w:pPr>
      <w:r w:rsidRPr="00D41D30">
        <w:rPr>
          <w:rFonts w:hint="eastAsia"/>
          <w:color w:val="000000" w:themeColor="text1"/>
        </w:rPr>
        <w:t>補助對象應邀集專家學者成立老人教育輔導委員會（或小組），訂定「○○縣（市）老人教育輔導計畫」，其任務為落實推動老人教育、定期輔導及訪視各資源中心、召開聯繫會議等。</w:t>
      </w:r>
    </w:p>
    <w:p w:rsidR="003872FF" w:rsidRPr="00D41D30" w:rsidRDefault="003872FF" w:rsidP="003872FF">
      <w:pPr>
        <w:pStyle w:val="5"/>
        <w:rPr>
          <w:color w:val="000000" w:themeColor="text1"/>
        </w:rPr>
      </w:pPr>
      <w:r w:rsidRPr="00D41D30">
        <w:rPr>
          <w:rFonts w:hint="eastAsia"/>
          <w:color w:val="000000" w:themeColor="text1"/>
        </w:rPr>
        <w:t>教育部依據上開要點之規定，98年續成立輔導團。</w:t>
      </w:r>
    </w:p>
    <w:p w:rsidR="003872FF" w:rsidRPr="00D41D30" w:rsidRDefault="003872FF" w:rsidP="003872FF">
      <w:pPr>
        <w:pStyle w:val="4"/>
        <w:rPr>
          <w:color w:val="000000" w:themeColor="text1"/>
        </w:rPr>
      </w:pPr>
      <w:r w:rsidRPr="00D41D30">
        <w:rPr>
          <w:rFonts w:hint="eastAsia"/>
          <w:color w:val="000000" w:themeColor="text1"/>
        </w:rPr>
        <w:t>99年「教育部補助直轄市及縣（市）政府設置樂齡學習中心實施要點」，其中第10點「輔導及督導」規定：</w:t>
      </w:r>
    </w:p>
    <w:p w:rsidR="003872FF" w:rsidRPr="00D41D30" w:rsidRDefault="003872FF" w:rsidP="003872FF">
      <w:pPr>
        <w:pStyle w:val="5"/>
        <w:rPr>
          <w:color w:val="000000" w:themeColor="text1"/>
        </w:rPr>
      </w:pPr>
      <w:r w:rsidRPr="00D41D30">
        <w:rPr>
          <w:rFonts w:hint="eastAsia"/>
          <w:color w:val="000000" w:themeColor="text1"/>
        </w:rPr>
        <w:t>教育部得成立中央輔導團推動相關業務，其組織任務，由該部召開相關會議另定之。</w:t>
      </w:r>
    </w:p>
    <w:p w:rsidR="003872FF" w:rsidRPr="00D41D30" w:rsidRDefault="003872FF" w:rsidP="003872FF">
      <w:pPr>
        <w:pStyle w:val="5"/>
        <w:rPr>
          <w:color w:val="000000" w:themeColor="text1"/>
        </w:rPr>
      </w:pPr>
      <w:r w:rsidRPr="00D41D30">
        <w:rPr>
          <w:rFonts w:hint="eastAsia"/>
          <w:color w:val="000000" w:themeColor="text1"/>
        </w:rPr>
        <w:t>直轄市、縣（市）政府得邀集督學、學者專家成立地方輔導團，或應用現有之相關教育輔導團辦理，其任務如下：A.辦理該直轄市、縣（市）政府樂齡志工、講師培訓、交流觀摩及自主學習社團經營活動。</w:t>
      </w:r>
      <w:r w:rsidRPr="00D41D30">
        <w:rPr>
          <w:color w:val="000000" w:themeColor="text1"/>
        </w:rPr>
        <w:t>B</w:t>
      </w:r>
      <w:r w:rsidRPr="00D41D30">
        <w:rPr>
          <w:rFonts w:hint="eastAsia"/>
          <w:color w:val="000000" w:themeColor="text1"/>
        </w:rPr>
        <w:t>.訪視輔導及評鑑該直轄市、縣（市）政府樂齡中心。C.每年至少召開二次該直轄市、縣（市）政府樂齡中心聯繫會報。</w:t>
      </w:r>
    </w:p>
    <w:p w:rsidR="003872FF" w:rsidRPr="00D41D30" w:rsidRDefault="003872FF" w:rsidP="003872FF">
      <w:pPr>
        <w:pStyle w:val="5"/>
        <w:rPr>
          <w:color w:val="000000" w:themeColor="text1"/>
        </w:rPr>
      </w:pPr>
      <w:r w:rsidRPr="00D41D30">
        <w:rPr>
          <w:rFonts w:hint="eastAsia"/>
          <w:color w:val="000000" w:themeColor="text1"/>
        </w:rPr>
        <w:t>99年因樂齡中心數量已擴展為202所，考量輔導團業務量爰開始分為2個輔導團。</w:t>
      </w:r>
    </w:p>
    <w:p w:rsidR="003872FF" w:rsidRPr="00D41D30" w:rsidRDefault="003872FF" w:rsidP="003872FF">
      <w:pPr>
        <w:pStyle w:val="4"/>
        <w:rPr>
          <w:color w:val="000000" w:themeColor="text1"/>
        </w:rPr>
      </w:pPr>
      <w:r w:rsidRPr="00D41D30">
        <w:rPr>
          <w:rFonts w:hint="eastAsia"/>
          <w:color w:val="000000" w:themeColor="text1"/>
        </w:rPr>
        <w:t>101年「教育部補助直轄市及縣（市）政府設置樂齡學習中心實施要點」，其中第9點輔導及督導規定︰</w:t>
      </w:r>
    </w:p>
    <w:p w:rsidR="003872FF" w:rsidRPr="00D41D30" w:rsidRDefault="003872FF" w:rsidP="003872FF">
      <w:pPr>
        <w:pStyle w:val="5"/>
        <w:rPr>
          <w:color w:val="000000" w:themeColor="text1"/>
        </w:rPr>
      </w:pPr>
      <w:r w:rsidRPr="00D41D30">
        <w:rPr>
          <w:rFonts w:hint="eastAsia"/>
          <w:color w:val="000000" w:themeColor="text1"/>
        </w:rPr>
        <w:t>教育部得成立中央輔導團推動相關業務，其組織任務，由該部召開相關會議另定之。</w:t>
      </w:r>
    </w:p>
    <w:p w:rsidR="003872FF" w:rsidRPr="00D41D30" w:rsidRDefault="003872FF" w:rsidP="003872FF">
      <w:pPr>
        <w:pStyle w:val="5"/>
        <w:rPr>
          <w:color w:val="000000" w:themeColor="text1"/>
        </w:rPr>
      </w:pPr>
      <w:r w:rsidRPr="00D41D30">
        <w:rPr>
          <w:rFonts w:hint="eastAsia"/>
          <w:color w:val="000000" w:themeColor="text1"/>
        </w:rPr>
        <w:t>直轄市、縣（市）政府得邀集督學、學者專家成立地方輔導團，或應用現有之相關</w:t>
      </w:r>
      <w:r w:rsidRPr="00D41D30">
        <w:rPr>
          <w:rFonts w:hint="eastAsia"/>
          <w:color w:val="000000" w:themeColor="text1"/>
        </w:rPr>
        <w:lastRenderedPageBreak/>
        <w:t>教育輔導團辦理，其任務如下：</w:t>
      </w:r>
    </w:p>
    <w:p w:rsidR="003872FF" w:rsidRPr="00D41D30" w:rsidRDefault="003872FF" w:rsidP="003872FF">
      <w:pPr>
        <w:pStyle w:val="6"/>
        <w:rPr>
          <w:color w:val="000000" w:themeColor="text1"/>
        </w:rPr>
      </w:pPr>
      <w:r w:rsidRPr="00D41D30">
        <w:rPr>
          <w:rFonts w:hint="eastAsia"/>
          <w:color w:val="000000" w:themeColor="text1"/>
        </w:rPr>
        <w:t>辦理該直轄市、縣（市）政府樂齡志工、講師培訓、交流觀摩及自主學習社團經營活動。</w:t>
      </w:r>
    </w:p>
    <w:p w:rsidR="003872FF" w:rsidRPr="00D41D30" w:rsidRDefault="003872FF" w:rsidP="003872FF">
      <w:pPr>
        <w:pStyle w:val="6"/>
        <w:rPr>
          <w:color w:val="000000" w:themeColor="text1"/>
        </w:rPr>
      </w:pPr>
      <w:r w:rsidRPr="00D41D30">
        <w:rPr>
          <w:rFonts w:hint="eastAsia"/>
          <w:color w:val="000000" w:themeColor="text1"/>
        </w:rPr>
        <w:t>訪視輔導及評鑑該直轄市、縣（市）政府樂齡中心。</w:t>
      </w:r>
    </w:p>
    <w:p w:rsidR="003872FF" w:rsidRPr="00D41D30" w:rsidRDefault="003872FF" w:rsidP="003872FF">
      <w:pPr>
        <w:pStyle w:val="6"/>
        <w:rPr>
          <w:color w:val="000000" w:themeColor="text1"/>
        </w:rPr>
      </w:pPr>
      <w:r w:rsidRPr="00D41D30">
        <w:rPr>
          <w:rFonts w:hint="eastAsia"/>
          <w:color w:val="000000" w:themeColor="text1"/>
        </w:rPr>
        <w:t>每年至少召開2次該直轄市、縣（市）政府樂齡中心聯繫會報。</w:t>
      </w:r>
    </w:p>
    <w:p w:rsidR="003872FF" w:rsidRPr="00D41D30" w:rsidRDefault="003872FF" w:rsidP="003872FF">
      <w:pPr>
        <w:pStyle w:val="4"/>
        <w:rPr>
          <w:color w:val="000000" w:themeColor="text1"/>
        </w:rPr>
      </w:pPr>
      <w:r w:rsidRPr="00D41D30">
        <w:rPr>
          <w:rFonts w:hint="eastAsia"/>
          <w:color w:val="000000" w:themeColor="text1"/>
        </w:rPr>
        <w:t>教育部基於樂齡中心數量逐年增加，且為將培訓在地化，爰依據101年要點規定及參酌97年所設計之輔導團架構，並盤點國內有成人教育相關系所之國立大學，依要點成立輔導團，並於總輔導團下分為北區、中區、中南區、南區四區。</w:t>
      </w:r>
    </w:p>
    <w:p w:rsidR="003872FF" w:rsidRPr="00D41D30" w:rsidRDefault="003872FF" w:rsidP="003872FF">
      <w:pPr>
        <w:pStyle w:val="4"/>
        <w:rPr>
          <w:color w:val="000000" w:themeColor="text1"/>
        </w:rPr>
      </w:pPr>
      <w:r w:rsidRPr="00D41D30">
        <w:rPr>
          <w:rFonts w:hint="eastAsia"/>
          <w:color w:val="000000" w:themeColor="text1"/>
        </w:rPr>
        <w:t>102年迄今則依據「教育部補助辦理樂齡學習活動及獎勵直轄市縣（市）政府辦理樂齡學習業務實施要點」第8點「補助成效考核」，及103年通過之「終身學習法」第14條「訪視與輔導」，與「樂齡學習活動補助與訪視輔導及獎勵辦法」第8條「終身學習機構依本辦法規定受補助者，中央主管機關得進行實地訪視、輔導，檢視其執行進度、經費支用情形及業務推動成效等事項」等相關規定，持續以行政協助委託各校辦理輔導團業務。</w:t>
      </w:r>
    </w:p>
    <w:p w:rsidR="003872FF" w:rsidRPr="00D41D30" w:rsidRDefault="003872FF" w:rsidP="003872FF">
      <w:pPr>
        <w:pStyle w:val="3"/>
        <w:rPr>
          <w:color w:val="000000" w:themeColor="text1"/>
        </w:rPr>
      </w:pPr>
      <w:bookmarkStart w:id="1427" w:name="_Toc30512597"/>
      <w:bookmarkStart w:id="1428" w:name="_Toc30581305"/>
      <w:bookmarkStart w:id="1429" w:name="_Toc32392585"/>
      <w:bookmarkStart w:id="1430" w:name="_Toc32673777"/>
      <w:bookmarkStart w:id="1431" w:name="_Toc32846656"/>
      <w:bookmarkStart w:id="1432" w:name="_Toc32918562"/>
      <w:bookmarkStart w:id="1433" w:name="_Toc33011850"/>
      <w:r w:rsidRPr="00D41D30">
        <w:rPr>
          <w:rFonts w:hint="eastAsia"/>
          <w:color w:val="000000" w:themeColor="text1"/>
        </w:rPr>
        <w:t>輔導團之產生方式及相關遴選辦理情形</w:t>
      </w:r>
      <w:bookmarkEnd w:id="1427"/>
      <w:bookmarkEnd w:id="1428"/>
      <w:bookmarkEnd w:id="1429"/>
      <w:bookmarkEnd w:id="1430"/>
      <w:bookmarkEnd w:id="1431"/>
      <w:bookmarkEnd w:id="1432"/>
      <w:bookmarkEnd w:id="1433"/>
    </w:p>
    <w:p w:rsidR="003872FF" w:rsidRPr="00D41D30" w:rsidRDefault="003872FF" w:rsidP="003872FF">
      <w:pPr>
        <w:pStyle w:val="4"/>
        <w:rPr>
          <w:color w:val="000000" w:themeColor="text1"/>
        </w:rPr>
      </w:pPr>
      <w:r w:rsidRPr="00D41D30">
        <w:rPr>
          <w:rFonts w:hint="eastAsia"/>
          <w:color w:val="000000" w:themeColor="text1"/>
        </w:rPr>
        <w:t>教育部自97年起成立輔導團，協助各縣市推動高齡教育及輔導全國各樂齡中心之運作，各年度輔導團成立及遴選作業辦理情形如下:</w:t>
      </w:r>
    </w:p>
    <w:p w:rsidR="003872FF" w:rsidRPr="00D41D30" w:rsidRDefault="003872FF" w:rsidP="003872FF">
      <w:pPr>
        <w:pStyle w:val="5"/>
        <w:rPr>
          <w:color w:val="000000" w:themeColor="text1"/>
        </w:rPr>
      </w:pPr>
      <w:r w:rsidRPr="00D41D30">
        <w:rPr>
          <w:rFonts w:hint="eastAsia"/>
          <w:color w:val="000000" w:themeColor="text1"/>
        </w:rPr>
        <w:t>97-98年依據政府採購法委請國立中正大學辦理。</w:t>
      </w:r>
    </w:p>
    <w:p w:rsidR="003872FF" w:rsidRPr="00D41D30" w:rsidRDefault="003872FF" w:rsidP="003872FF">
      <w:pPr>
        <w:pStyle w:val="5"/>
        <w:rPr>
          <w:color w:val="000000" w:themeColor="text1"/>
        </w:rPr>
      </w:pPr>
      <w:r w:rsidRPr="00D41D30">
        <w:rPr>
          <w:rFonts w:hint="eastAsia"/>
          <w:color w:val="000000" w:themeColor="text1"/>
        </w:rPr>
        <w:lastRenderedPageBreak/>
        <w:t>99年依政府採購法委請國立中正大學及中華民國成人教育學會協助。</w:t>
      </w:r>
    </w:p>
    <w:p w:rsidR="003872FF" w:rsidRPr="00D41D30" w:rsidRDefault="003872FF" w:rsidP="003872FF">
      <w:pPr>
        <w:pStyle w:val="5"/>
        <w:rPr>
          <w:color w:val="000000" w:themeColor="text1"/>
        </w:rPr>
      </w:pPr>
      <w:r w:rsidRPr="00D41D30">
        <w:rPr>
          <w:rFonts w:hint="eastAsia"/>
          <w:color w:val="000000" w:themeColor="text1"/>
        </w:rPr>
        <w:t>101年起因應全國樂齡中心數量大幅成長至225所，考量後續仍將逐年持續成長，且樂齡中心分散全國各鄉鎮市區，基於人力及經費與交通因素，無法由1個或2個單位進行輔導，爰依據「教育部補助直轄市及縣（市）政府設置樂齡學習中心實施要點」規定及參酌97年所設計之輔導團架構，並盤點國內有成人教育相關系所之國立大學為國立臺灣師範大學（成人教育研究中心）、國立暨南國際大學（成人教育研究所，後改為諮商心理與人力資源發展學系）、國立中正大學（高齡教育研究中心、成人及繼續教育學系）、國立高雄師範大學（成人教育研究中心），恰分布於北、中、南地區，考量教育部因人員、設備不足等因素下，依行政程序法第19條第2項規定</w:t>
      </w:r>
      <w:r w:rsidRPr="00D41D30">
        <w:rPr>
          <w:rStyle w:val="aff0"/>
          <w:color w:val="000000" w:themeColor="text1"/>
        </w:rPr>
        <w:footnoteReference w:id="27"/>
      </w:r>
      <w:r w:rsidRPr="00D41D30">
        <w:rPr>
          <w:rFonts w:hint="eastAsia"/>
          <w:color w:val="000000" w:themeColor="text1"/>
        </w:rPr>
        <w:t>及「教育部業務採行政協助辦理原則」，委請設有專業系所及熟稔專業領域之國立大學協助執行，爰於總輔導團下分為北區、中區、中南區、南區四區。</w:t>
      </w:r>
    </w:p>
    <w:p w:rsidR="003872FF" w:rsidRPr="00D41D30" w:rsidRDefault="003872FF" w:rsidP="003872FF">
      <w:pPr>
        <w:pStyle w:val="5"/>
        <w:rPr>
          <w:color w:val="000000" w:themeColor="text1"/>
        </w:rPr>
      </w:pPr>
      <w:r w:rsidRPr="00D41D30">
        <w:rPr>
          <w:rFonts w:hint="eastAsia"/>
          <w:color w:val="000000" w:themeColor="text1"/>
        </w:rPr>
        <w:t>另97年計畫原擬成立東部輔導團，惟評估東部地區國立東華大學及國立臺東大學，並無相關系所中心，離島之澎湖縣及金門</w:t>
      </w:r>
      <w:r w:rsidRPr="00D41D30">
        <w:rPr>
          <w:rFonts w:hint="eastAsia"/>
          <w:color w:val="000000" w:themeColor="text1"/>
        </w:rPr>
        <w:lastRenderedPageBreak/>
        <w:t>縣亦同，爰將東部、離島依地域、交通方便性及各輔導團輔導縣市數量之衡平性，分別劃入北區及南區輔導團。</w:t>
      </w:r>
    </w:p>
    <w:p w:rsidR="003872FF" w:rsidRPr="00D41D30" w:rsidRDefault="003872FF" w:rsidP="003872FF">
      <w:pPr>
        <w:pStyle w:val="5"/>
        <w:rPr>
          <w:color w:val="000000" w:themeColor="text1"/>
        </w:rPr>
      </w:pPr>
      <w:r w:rsidRPr="00D41D30">
        <w:rPr>
          <w:rFonts w:hint="eastAsia"/>
          <w:color w:val="000000" w:themeColor="text1"/>
        </w:rPr>
        <w:t>教育部自101年開始委請國立臺灣師範大學等4所大學承辦輔導之原因，係基於本案結合大學相關專業系所及中心，有助於輔導各縣市政府及全國樂齡學習中心（含示範中心）提升整體專業水平，且考量該部因人員、設備不足等事實原因，不能獨立執行職務，衡諸旨揭大學長期協助該部推動及辦理各項高齡學習培訓及研習等相關業務，並熟稔國內外高齡教育各項方案，爰請協助執行；本案對於上述學校而言，非屬該部對該校之指揮監督事項，而仍為其權責範圍，爰依行政程序法第19條第2項之規定及依「教育部業務採行政協助辦理原則」，請學校協助辦理。</w:t>
      </w:r>
    </w:p>
    <w:p w:rsidR="003872FF" w:rsidRPr="00D41D30" w:rsidRDefault="003872FF" w:rsidP="003872FF">
      <w:pPr>
        <w:pStyle w:val="5"/>
        <w:rPr>
          <w:color w:val="000000" w:themeColor="text1"/>
        </w:rPr>
      </w:pPr>
      <w:r w:rsidRPr="00D41D30">
        <w:rPr>
          <w:rFonts w:hint="eastAsia"/>
          <w:color w:val="000000" w:themeColor="text1"/>
        </w:rPr>
        <w:t>該部鑒於國立中正大學於97年起即受委託辦理輔導工作，且成教及高齡相關科系師資齊備，依該部97年計畫規劃「成立輔導團總團部，並於北、中、南、東四區成立區域性輔導中心」之構想，國立中正大學受其他3所大學推薦擔任總輔導團工作，執行全國性各項行政會議、培訓、成果展、國際研討會、研編基礎教材等工作，以提升整體國內高齡教育水平，另彰化縣、雲林縣、嘉義縣市及臺南市之縣市輔導，屬於區域性工作，國立中正大學師資齊備，有成人教育系、所、中心，亦請該校另一行政單位，擔任中南區輔導團工作。</w:t>
      </w:r>
    </w:p>
    <w:p w:rsidR="003872FF" w:rsidRPr="00D41D30" w:rsidRDefault="003872FF" w:rsidP="00D41D30">
      <w:pPr>
        <w:pStyle w:val="5"/>
        <w:rPr>
          <w:color w:val="000000" w:themeColor="text1"/>
        </w:rPr>
      </w:pPr>
      <w:r w:rsidRPr="00D41D30">
        <w:rPr>
          <w:rFonts w:hint="eastAsia"/>
          <w:color w:val="000000" w:themeColor="text1"/>
        </w:rPr>
        <w:lastRenderedPageBreak/>
        <w:t>國內4所大學成立5個輔導團，同時進行分區輔導工作，推動各項在地化的高齡教育工作、發展樂齡中心的特色、研編教材、辦理聯繫及座談會議、規劃各經營團隊之培訓工作，並訪評樂齡中心，透過實際訪視瞭解中心運作狀況，提供經營運作所需之諮詢輔導意見，形成政策建議，其完善之輔導架構，讓其他部會（衛福部）頻頻詢問如何成立輔導團，而輔導團帶動各縣市政府首長重視推動樂齡中心，並輔導各樂齡中心承辦單位學習如何營運中心，及設計不同於長青學苑、社區老人團體唱跳課程之樂齡學習課程（分為樂齡核心課程、自主規劃及貢獻服務課程），為國內的高齡教育工作推動建立良好典範。</w:t>
      </w:r>
    </w:p>
    <w:p w:rsidR="003872FF" w:rsidRPr="00D41D30" w:rsidRDefault="003872FF" w:rsidP="003872FF">
      <w:pPr>
        <w:pStyle w:val="3"/>
        <w:rPr>
          <w:color w:val="000000" w:themeColor="text1"/>
        </w:rPr>
      </w:pPr>
      <w:bookmarkStart w:id="1434" w:name="_Toc30512598"/>
      <w:bookmarkStart w:id="1435" w:name="_Toc30581306"/>
      <w:bookmarkStart w:id="1436" w:name="_Toc32392586"/>
      <w:bookmarkStart w:id="1437" w:name="_Toc32673778"/>
      <w:bookmarkStart w:id="1438" w:name="_Toc32846657"/>
      <w:bookmarkStart w:id="1439" w:name="_Toc32918563"/>
      <w:bookmarkStart w:id="1440" w:name="_Toc33011851"/>
      <w:r w:rsidRPr="00D41D30">
        <w:rPr>
          <w:rFonts w:hint="eastAsia"/>
          <w:color w:val="000000" w:themeColor="text1"/>
        </w:rPr>
        <w:t>以上開輔導團之產生方式及相關遴選辦理情形觀之，據本院諮詢專家意見指出，「輔導團之設置，獨缺東部，教育部稱因東部無國立大學成教系所，故劃分給北區、南區。依本院諮詢相關學者的意見，指出依教育部所設輔導團之功能，並未涉及高齡教育知能之傳授與輔導，東部國立大學亦設有教育相關系所，即可擔當此項功能，又成人教育系所人員並非均屬高齡教育專長，以成教系所為設置輔導團之依據，亦有檢討之處。其次，中正大學設置二個輔導團，係委由高齡教育研究中心，而非成教系所。高齡教育研究中心並無編製員額，而成教系具有師資編制，此種做法是否要由特定人員長期主持，而逃避因系所主管更動而更換之制度。依中正大學總輔導團及南區輔導團之設置，8年來均由特定人員擔任主持</w:t>
      </w:r>
      <w:r w:rsidRPr="00D41D30">
        <w:rPr>
          <w:rFonts w:hint="eastAsia"/>
          <w:color w:val="000000" w:themeColor="text1"/>
        </w:rPr>
        <w:lastRenderedPageBreak/>
        <w:t>人，其他輔導團主持人則隨主任、所長更迭而易人。依此，在中正大學設置在沒有編制的單位二團，爰請教育部力以檢討；又四區分團之上，有無再設置總輔導團之必要？其依據何在？功能是否重疊重複等，應有檢討空間，請教育部一併再作研議改進。」</w:t>
      </w:r>
    </w:p>
    <w:p w:rsidR="003872FF" w:rsidRPr="00D41D30" w:rsidRDefault="003872FF" w:rsidP="003872FF">
      <w:pPr>
        <w:pStyle w:val="3"/>
        <w:rPr>
          <w:color w:val="000000" w:themeColor="text1"/>
        </w:rPr>
      </w:pPr>
      <w:r w:rsidRPr="00D41D30">
        <w:rPr>
          <w:rFonts w:hint="eastAsia"/>
          <w:color w:val="000000" w:themeColor="text1"/>
        </w:rPr>
        <w:t>有關輔導團之設置，該部於97年至9</w:t>
      </w:r>
      <w:r w:rsidRPr="00D41D30">
        <w:rPr>
          <w:color w:val="000000" w:themeColor="text1"/>
        </w:rPr>
        <w:t>8</w:t>
      </w:r>
      <w:r w:rsidRPr="00D41D30">
        <w:rPr>
          <w:rFonts w:hint="eastAsia"/>
          <w:color w:val="000000" w:themeColor="text1"/>
        </w:rPr>
        <w:t>年間，原均依據政府採購法規定，將樂齡專業輔導團業務委請國立中正大學辦理，99年亦依據政府採購法規定，將樂齡專業輔導團業務委請國立中正大學及中華民國成人教育學會辦理，100年教育部首度成立北區及南區輔導團，然並未依據政府採購法辦理，自101年起迄今長達8年餘，均改採行政程序法及</w:t>
      </w:r>
      <w:r w:rsidRPr="00D41D30">
        <w:rPr>
          <w:rFonts w:hAnsi="標楷體" w:hint="eastAsia"/>
          <w:color w:val="000000" w:themeColor="text1"/>
        </w:rPr>
        <w:t>「</w:t>
      </w:r>
      <w:r w:rsidRPr="00D41D30">
        <w:rPr>
          <w:rFonts w:hint="eastAsia"/>
          <w:color w:val="000000" w:themeColor="text1"/>
        </w:rPr>
        <w:t>教育部業務採行政協助辦理原則</w:t>
      </w:r>
      <w:r w:rsidRPr="00D41D30">
        <w:rPr>
          <w:rFonts w:hAnsi="標楷體" w:hint="eastAsia"/>
          <w:color w:val="000000" w:themeColor="text1"/>
        </w:rPr>
        <w:t>」</w:t>
      </w:r>
      <w:r w:rsidRPr="00D41D30">
        <w:rPr>
          <w:rFonts w:hint="eastAsia"/>
          <w:color w:val="000000" w:themeColor="text1"/>
        </w:rPr>
        <w:t>由國立臺灣師範大學等4所大學長期協助辦理，其中樂齡學習總輔導團由國立中正大學執行，樂齡學習分區輔導團則分別委請國立臺灣師範大學（北區）、國立暨南國際大學（中區）、國立中正大學（中南區）、國立高雄師範大學（南區），協助輔導全國各縣市4個分區的樂齡學習中心經營與課程教學活動。</w:t>
      </w:r>
      <w:bookmarkStart w:id="1441" w:name="_Toc33011852"/>
      <w:bookmarkEnd w:id="1434"/>
      <w:bookmarkEnd w:id="1435"/>
      <w:bookmarkEnd w:id="1436"/>
      <w:bookmarkEnd w:id="1437"/>
      <w:bookmarkEnd w:id="1438"/>
      <w:bookmarkEnd w:id="1439"/>
      <w:bookmarkEnd w:id="1440"/>
      <w:r w:rsidRPr="00D41D30">
        <w:rPr>
          <w:rFonts w:hint="eastAsia"/>
          <w:color w:val="000000" w:themeColor="text1"/>
        </w:rPr>
        <w:t>又教育部主管人員於本院108年12月26日約詢亦稱，</w:t>
      </w:r>
      <w:r w:rsidRPr="00D41D30">
        <w:rPr>
          <w:rFonts w:hAnsi="標楷體" w:hint="eastAsia"/>
          <w:color w:val="000000" w:themeColor="text1"/>
        </w:rPr>
        <w:t>「考量本部因人員、設備不足等事實原因，不能獨立執行職務，衡諸輔導團長期協助本部推動及辦理各項高齡學習培訓及研習等相關業務，並熟稔國內外高齡教育各項方案，爰依行政程序法第19條第2項之規定及依『教育部業務採行政協助辦理原則』，請學校協助辦理……」等語，關於該部由「輔導團長期協助」乙情，足堪認定，然長此以往，未見機制輪替，致外界多所訾議，實有未當。</w:t>
      </w:r>
      <w:bookmarkEnd w:id="1441"/>
    </w:p>
    <w:p w:rsidR="003872FF" w:rsidRPr="00D41D30" w:rsidRDefault="003872FF" w:rsidP="003872FF">
      <w:pPr>
        <w:pStyle w:val="3"/>
        <w:rPr>
          <w:color w:val="000000" w:themeColor="text1"/>
        </w:rPr>
      </w:pPr>
      <w:bookmarkStart w:id="1442" w:name="_Toc30512599"/>
      <w:bookmarkStart w:id="1443" w:name="_Toc30581307"/>
      <w:bookmarkStart w:id="1444" w:name="_Toc32392587"/>
      <w:bookmarkStart w:id="1445" w:name="_Toc32673779"/>
      <w:bookmarkStart w:id="1446" w:name="_Toc32846658"/>
      <w:bookmarkStart w:id="1447" w:name="_Toc32918564"/>
      <w:bookmarkStart w:id="1448" w:name="_Toc33011853"/>
      <w:r w:rsidRPr="00D41D30">
        <w:rPr>
          <w:rFonts w:hint="eastAsia"/>
          <w:color w:val="000000" w:themeColor="text1"/>
        </w:rPr>
        <w:lastRenderedPageBreak/>
        <w:t>又按行政程序法第19條規定，略以：行政機關為發揮共同一體之行政機能，應於其權限範圍內互相協助。行政機關執行職務時，有下列情形之一者，得向無隸屬關係之其他機關請求協助︰1、因法律上之原因，不能獨自執行職務者。2、因人員、設備不足等事實上之原因，不能獨自執行職務者。3、執行職務所必要認定之事實，不能獨自調查者。4、執行職務所必要之文書或其他資料，為被請求機關所持有者。5、由被請求機關協助執行，顯較經濟者。6、其他職務上有正當理由須請求協助者。前項請求，除緊急情形外，應以書面為之。……。另依據法務部 108年4月16日法律字第10803505130號函釋略以:「『行政協助』係指平行或不相隸屬之行政機關間，在其權限範圍內，具有補充性質之互相協助，被請求機關主要係提供輔助性行為，目的在協助請求機關完成行政行為，並不生管轄移轉情形。」由該上開函釋可知「行政協助」僅為補充輔助性質，應具臨時性、短期性、輔助性之協助性質，請求機關仍為程序主體，而非由被請求機關「全部包辦」。惟查教育部自101年起迄今均按行政程序法及「教育部業務採行政協助辦理原則」由國立臺灣師範大學等4所大學長期協助辦理輔導團業務，此是否適用行政程序法第19條第2項補充輔助性質，又以此方式辦理已逾多年，且委託方式由原依據政府採購法公開辦理，改採行政協助方式由國立大學長期協助辦理輔導團業務，相關適法性問題，教育部允應確實研議檢討改善。</w:t>
      </w:r>
      <w:bookmarkEnd w:id="1442"/>
      <w:bookmarkEnd w:id="1443"/>
      <w:bookmarkEnd w:id="1444"/>
      <w:bookmarkEnd w:id="1445"/>
      <w:bookmarkEnd w:id="1446"/>
      <w:bookmarkEnd w:id="1447"/>
      <w:bookmarkEnd w:id="1448"/>
    </w:p>
    <w:p w:rsidR="003872FF" w:rsidRPr="00D41D30" w:rsidRDefault="003872FF" w:rsidP="003872FF">
      <w:pPr>
        <w:pStyle w:val="3"/>
        <w:rPr>
          <w:color w:val="000000" w:themeColor="text1"/>
        </w:rPr>
      </w:pPr>
      <w:bookmarkStart w:id="1449" w:name="_Toc32673780"/>
      <w:bookmarkStart w:id="1450" w:name="_Toc32846659"/>
      <w:bookmarkStart w:id="1451" w:name="_Toc32918565"/>
      <w:bookmarkStart w:id="1452" w:name="_Toc33011854"/>
      <w:r w:rsidRPr="00D41D30">
        <w:rPr>
          <w:rFonts w:hint="eastAsia"/>
          <w:color w:val="000000" w:themeColor="text1"/>
        </w:rPr>
        <w:t>究此議題，本院於108年9月9日諮詢專家學者，相關意見指稱，</w:t>
      </w:r>
      <w:r w:rsidRPr="00D41D30">
        <w:rPr>
          <w:rFonts w:hAnsi="標楷體" w:hint="eastAsia"/>
          <w:color w:val="000000" w:themeColor="text1"/>
        </w:rPr>
        <w:t>「</w:t>
      </w:r>
      <w:r w:rsidRPr="00D41D30">
        <w:rPr>
          <w:rFonts w:hint="eastAsia"/>
          <w:color w:val="000000" w:themeColor="text1"/>
        </w:rPr>
        <w:t>教育部的做法將高齡教育的行政</w:t>
      </w:r>
      <w:r w:rsidRPr="00D41D30">
        <w:rPr>
          <w:rFonts w:hint="eastAsia"/>
          <w:color w:val="000000" w:themeColor="text1"/>
        </w:rPr>
        <w:lastRenderedPageBreak/>
        <w:t>管理權限一把抓，也沒有看到民間的資源，例如教育部相關的委託案都採行政委託的方式，直接委託國立大學的少數教授承接，不採取最具公開公正的招標程序，尤其在教育部終身教育司這3、4年中，許多委託案都以這種方式辦理，讓眾多的私立大學、其他公立大學、政府機構、民間組織等均無緣參與，沒有表達意見機會，也沒有磨練成長的機會</w:t>
      </w:r>
      <w:r w:rsidRPr="00D41D30">
        <w:rPr>
          <w:rFonts w:hAnsi="標楷體" w:hint="eastAsia"/>
          <w:color w:val="000000" w:themeColor="text1"/>
        </w:rPr>
        <w:t>」及「</w:t>
      </w:r>
      <w:r w:rsidRPr="00D41D30">
        <w:rPr>
          <w:rFonts w:hAnsi="標楷體" w:hint="eastAsia"/>
          <w:color w:val="000000" w:themeColor="text1"/>
          <w:kern w:val="0"/>
          <w:szCs w:val="32"/>
        </w:rPr>
        <w:t>輔導團編很多預算召開聯繫會報，這種聯繫會報地方政府即可承辦，亦在辦理，不需要到中央層級。依地方制度法第</w:t>
      </w:r>
      <w:r w:rsidRPr="00D41D30">
        <w:rPr>
          <w:rFonts w:hAnsi="標楷體"/>
          <w:color w:val="000000" w:themeColor="text1"/>
          <w:kern w:val="0"/>
          <w:szCs w:val="32"/>
        </w:rPr>
        <w:t>18</w:t>
      </w:r>
      <w:r w:rsidRPr="00D41D30">
        <w:rPr>
          <w:rFonts w:hAnsi="標楷體" w:hint="eastAsia"/>
          <w:color w:val="000000" w:themeColor="text1"/>
          <w:kern w:val="0"/>
          <w:szCs w:val="32"/>
        </w:rPr>
        <w:t>條及第</w:t>
      </w:r>
      <w:r w:rsidRPr="00D41D30">
        <w:rPr>
          <w:rFonts w:hAnsi="標楷體"/>
          <w:color w:val="000000" w:themeColor="text1"/>
          <w:kern w:val="0"/>
          <w:szCs w:val="32"/>
        </w:rPr>
        <w:t>19</w:t>
      </w:r>
      <w:r w:rsidRPr="00D41D30">
        <w:rPr>
          <w:rFonts w:hAnsi="標楷體" w:hint="eastAsia"/>
          <w:color w:val="000000" w:themeColor="text1"/>
          <w:kern w:val="0"/>
          <w:szCs w:val="32"/>
        </w:rPr>
        <w:t>條規定，皆屬地方自治事項，無庸教育部再設置輔導團代勞，疊床架屋，浪費行政資源。目前地方政府也有設置樂齡輔導團</w:t>
      </w:r>
      <w:r w:rsidRPr="00D41D30">
        <w:rPr>
          <w:rFonts w:hAnsi="標楷體"/>
          <w:color w:val="000000" w:themeColor="text1"/>
          <w:kern w:val="0"/>
          <w:szCs w:val="32"/>
        </w:rPr>
        <w:t>……</w:t>
      </w:r>
      <w:r w:rsidRPr="00D41D30">
        <w:rPr>
          <w:rFonts w:hAnsi="標楷體" w:hint="eastAsia"/>
          <w:color w:val="000000" w:themeColor="text1"/>
          <w:kern w:val="0"/>
          <w:szCs w:val="32"/>
        </w:rPr>
        <w:t>。地方已在辦理者，中央亦設，叠床架屋，行政紊亂，資源浪費。當前各輔導團相關聯繫座談或輔導會議，名目繁多，要求各中心或縣市政府派員出席，並將出席與否列為每年訪視輔導的項目，而各中心並無專任人員，面對出席要求，苦不堪言，私下怨言不斷</w:t>
      </w:r>
      <w:r w:rsidRPr="00D41D30">
        <w:rPr>
          <w:rFonts w:hAnsi="標楷體" w:hint="eastAsia"/>
          <w:color w:val="000000" w:themeColor="text1"/>
        </w:rPr>
        <w:t>」</w:t>
      </w:r>
      <w:bookmarkEnd w:id="1449"/>
      <w:bookmarkEnd w:id="1450"/>
      <w:bookmarkEnd w:id="1451"/>
      <w:r w:rsidRPr="00D41D30">
        <w:rPr>
          <w:rFonts w:hAnsi="標楷體" w:hint="eastAsia"/>
          <w:color w:val="000000" w:themeColor="text1"/>
        </w:rPr>
        <w:t>等實務困境，教育部亦應正視處理。</w:t>
      </w:r>
      <w:bookmarkEnd w:id="1452"/>
    </w:p>
    <w:p w:rsidR="003872FF" w:rsidRPr="00D41D30" w:rsidRDefault="003872FF" w:rsidP="003872FF">
      <w:pPr>
        <w:pStyle w:val="3"/>
        <w:rPr>
          <w:color w:val="000000" w:themeColor="text1"/>
        </w:rPr>
      </w:pPr>
      <w:bookmarkStart w:id="1453" w:name="_Toc30512600"/>
      <w:bookmarkStart w:id="1454" w:name="_Toc30581308"/>
      <w:bookmarkStart w:id="1455" w:name="_Toc32392588"/>
      <w:bookmarkStart w:id="1456" w:name="_Toc32673781"/>
      <w:bookmarkStart w:id="1457" w:name="_Toc32846660"/>
      <w:bookmarkStart w:id="1458" w:name="_Toc32918566"/>
      <w:bookmarkStart w:id="1459" w:name="_Toc33011855"/>
      <w:r w:rsidRPr="00D41D30">
        <w:rPr>
          <w:rFonts w:hint="eastAsia"/>
          <w:color w:val="000000" w:themeColor="text1"/>
        </w:rPr>
        <w:t>綜上，教育部為協助各縣市推動高齡教育及輔導全國各樂齡中心之運作，自97年起成立輔導團，依據政府採購法委請國立中正大學辦理，嗣101年起因應全國樂齡中心數量大幅成長至</w:t>
      </w:r>
      <w:r w:rsidRPr="00D41D30">
        <w:rPr>
          <w:color w:val="000000" w:themeColor="text1"/>
        </w:rPr>
        <w:t>225</w:t>
      </w:r>
      <w:r w:rsidRPr="00D41D30">
        <w:rPr>
          <w:rFonts w:hint="eastAsia"/>
          <w:color w:val="000000" w:themeColor="text1"/>
        </w:rPr>
        <w:t>所，且後續將逐年持續成長，考量人員、設備不足等因素下，依行政程序法第19條第2項規定及「教育部業務採行政協助辦理原則」，委請設有專業系所及熟稔專業領域之國立大學協助辦理，期發揮學術交流</w:t>
      </w:r>
      <w:r w:rsidRPr="00D41D30">
        <w:rPr>
          <w:rFonts w:hAnsi="標楷體" w:hint="eastAsia"/>
          <w:color w:val="000000" w:themeColor="text1"/>
        </w:rPr>
        <w:t>、</w:t>
      </w:r>
      <w:r w:rsidRPr="00D41D30">
        <w:rPr>
          <w:rFonts w:hint="eastAsia"/>
          <w:color w:val="000000" w:themeColor="text1"/>
        </w:rPr>
        <w:t>專業管理及人才培育之效</w:t>
      </w:r>
      <w:r w:rsidRPr="00D41D30">
        <w:rPr>
          <w:rFonts w:hAnsi="標楷體" w:hint="eastAsia"/>
          <w:color w:val="000000" w:themeColor="text1"/>
        </w:rPr>
        <w:t>，然長期未有檢討評估機制，況</w:t>
      </w:r>
      <w:r w:rsidRPr="00D41D30">
        <w:rPr>
          <w:rFonts w:hint="eastAsia"/>
          <w:color w:val="000000" w:themeColor="text1"/>
        </w:rPr>
        <w:t>執行迄今已逾多年，執行</w:t>
      </w:r>
      <w:r w:rsidRPr="00D41D30">
        <w:rPr>
          <w:rFonts w:hint="eastAsia"/>
          <w:color w:val="000000" w:themeColor="text1"/>
        </w:rPr>
        <w:lastRenderedPageBreak/>
        <w:t>角色長期未見機制輪替，致外界多所訾議，且以行政協助方式由國立大學長期協助辦理輔導團業務，相關適法性問題，該部允應確實研議檢討改善。</w:t>
      </w:r>
      <w:bookmarkEnd w:id="1453"/>
      <w:bookmarkEnd w:id="1454"/>
      <w:bookmarkEnd w:id="1455"/>
      <w:bookmarkEnd w:id="1456"/>
      <w:bookmarkEnd w:id="1457"/>
      <w:bookmarkEnd w:id="1458"/>
      <w:bookmarkEnd w:id="1459"/>
    </w:p>
    <w:p w:rsidR="003872FF" w:rsidRPr="00D41D30" w:rsidRDefault="003872FF" w:rsidP="00D41D30">
      <w:pPr>
        <w:pStyle w:val="2"/>
        <w:spacing w:beforeLines="100" w:before="457"/>
        <w:ind w:left="1020" w:hanging="680"/>
        <w:rPr>
          <w:color w:val="000000" w:themeColor="text1"/>
        </w:rPr>
      </w:pPr>
      <w:bookmarkStart w:id="1460" w:name="_Toc33011856"/>
      <w:r w:rsidRPr="00D41D30">
        <w:rPr>
          <w:rFonts w:hint="eastAsia"/>
          <w:b/>
          <w:color w:val="000000" w:themeColor="text1"/>
        </w:rPr>
        <w:t>教育部為建構本土化的樂齡學習典範，開創更多元管道的樂齡學習創新方案，全國樂齡學習中心數由97年總計104所至108年增加為366所，大幅擴增在地高齡者學習機會，惟</w:t>
      </w:r>
      <w:r w:rsidRPr="00D41D30">
        <w:rPr>
          <w:rFonts w:hAnsi="標楷體" w:hint="eastAsia"/>
          <w:b/>
          <w:color w:val="000000" w:themeColor="text1"/>
        </w:rPr>
        <w:t>課程參與及學習人數之統計方式未能呈現真實數據，</w:t>
      </w:r>
      <w:r w:rsidRPr="00D41D30">
        <w:rPr>
          <w:rFonts w:ascii="Verdana" w:hAnsi="Verdana" w:hint="eastAsia"/>
          <w:b/>
          <w:color w:val="000000" w:themeColor="text1"/>
        </w:rPr>
        <w:t>整體引入相關</w:t>
      </w:r>
      <w:r w:rsidRPr="00D41D30">
        <w:rPr>
          <w:rFonts w:hint="eastAsia"/>
          <w:b/>
          <w:color w:val="000000" w:themeColor="text1"/>
        </w:rPr>
        <w:t>民間能量或民間異業結盟形式等補充能量均有待強化；其中為提升縣（市）執行高齡教育政策能力，又於100-101年陸續自全國209所樂齡中心之列，選擇臺北市、新北市、臺中市、新竹縣、嘉義縣、臺南市及屏東縣等7個縣市，率先成立各縣市的「樂齡學習示範中心」，期成為未來其他樂齡中心觀摩空間的參考及典範；惟初期各樂齡示範中心之成立未有正式依據及評估，且繫於地方首長支持，雖有助於擴增地方民眾接受高齡學習教育之機會，部分示範中心亦具特色，然查各示範中心每年並未</w:t>
      </w:r>
      <w:r w:rsidRPr="00D41D30">
        <w:rPr>
          <w:rFonts w:hAnsi="標楷體" w:hint="eastAsia"/>
          <w:b/>
          <w:color w:val="000000" w:themeColor="text1"/>
        </w:rPr>
        <w:t>依</w:t>
      </w:r>
      <w:r w:rsidRPr="00D41D30">
        <w:rPr>
          <w:rFonts w:hint="eastAsia"/>
          <w:b/>
          <w:color w:val="000000" w:themeColor="text1"/>
        </w:rPr>
        <w:t>實際辦理績效及功能結果調整，退場</w:t>
      </w:r>
      <w:r w:rsidRPr="00D41D30">
        <w:rPr>
          <w:b/>
          <w:color w:val="000000" w:themeColor="text1"/>
        </w:rPr>
        <w:t>機制</w:t>
      </w:r>
      <w:r w:rsidRPr="00D41D30">
        <w:rPr>
          <w:rFonts w:hint="eastAsia"/>
          <w:b/>
          <w:color w:val="000000" w:themeColor="text1"/>
        </w:rPr>
        <w:t>闕如，其代表性及實際成效不明，衍伸外界疑慮，無助於提供</w:t>
      </w:r>
      <w:r w:rsidRPr="00D41D30">
        <w:rPr>
          <w:b/>
          <w:color w:val="000000" w:themeColor="text1"/>
        </w:rPr>
        <w:t>政策</w:t>
      </w:r>
      <w:r w:rsidRPr="00D41D30">
        <w:rPr>
          <w:rFonts w:hint="eastAsia"/>
          <w:b/>
          <w:color w:val="000000" w:themeColor="text1"/>
        </w:rPr>
        <w:t>延</w:t>
      </w:r>
      <w:r w:rsidRPr="00D41D30">
        <w:rPr>
          <w:b/>
          <w:color w:val="000000" w:themeColor="text1"/>
        </w:rPr>
        <w:t>續、修正</w:t>
      </w:r>
      <w:r w:rsidRPr="00D41D30">
        <w:rPr>
          <w:rFonts w:hint="eastAsia"/>
          <w:b/>
          <w:color w:val="000000" w:themeColor="text1"/>
        </w:rPr>
        <w:t>及</w:t>
      </w:r>
      <w:r w:rsidRPr="00D41D30">
        <w:rPr>
          <w:b/>
          <w:color w:val="000000" w:themeColor="text1"/>
        </w:rPr>
        <w:t>廢止</w:t>
      </w:r>
      <w:r w:rsidRPr="00D41D30">
        <w:rPr>
          <w:rFonts w:hint="eastAsia"/>
          <w:b/>
          <w:color w:val="000000" w:themeColor="text1"/>
        </w:rPr>
        <w:t>之依據，</w:t>
      </w:r>
      <w:r w:rsidRPr="00D41D30">
        <w:rPr>
          <w:rFonts w:ascii="Verdana" w:hAnsi="Verdana" w:hint="eastAsia"/>
          <w:b/>
          <w:color w:val="000000" w:themeColor="text1"/>
        </w:rPr>
        <w:t>顯</w:t>
      </w:r>
      <w:r w:rsidRPr="00D41D30">
        <w:rPr>
          <w:rFonts w:hint="eastAsia"/>
          <w:b/>
          <w:color w:val="000000" w:themeColor="text1"/>
        </w:rPr>
        <w:t>難謂能發揮</w:t>
      </w:r>
      <w:r w:rsidRPr="00D41D30">
        <w:rPr>
          <w:rFonts w:hAnsi="標楷體" w:hint="eastAsia"/>
          <w:b/>
          <w:color w:val="000000" w:themeColor="text1"/>
        </w:rPr>
        <w:t>「</w:t>
      </w:r>
      <w:r w:rsidRPr="00D41D30">
        <w:rPr>
          <w:rFonts w:hint="eastAsia"/>
          <w:b/>
          <w:color w:val="000000" w:themeColor="text1"/>
        </w:rPr>
        <w:t>示範</w:t>
      </w:r>
      <w:r w:rsidRPr="00D41D30">
        <w:rPr>
          <w:rFonts w:hAnsi="標楷體" w:hint="eastAsia"/>
          <w:b/>
          <w:color w:val="000000" w:themeColor="text1"/>
        </w:rPr>
        <w:t>」引導之</w:t>
      </w:r>
      <w:r w:rsidRPr="00D41D30">
        <w:rPr>
          <w:rFonts w:hint="eastAsia"/>
          <w:b/>
          <w:color w:val="000000" w:themeColor="text1"/>
        </w:rPr>
        <w:t>功能角色</w:t>
      </w:r>
      <w:r w:rsidRPr="00D41D30">
        <w:rPr>
          <w:rFonts w:hAnsi="標楷體" w:hint="eastAsia"/>
          <w:b/>
          <w:color w:val="000000" w:themeColor="text1"/>
        </w:rPr>
        <w:t>；</w:t>
      </w:r>
      <w:r w:rsidRPr="00D41D30">
        <w:rPr>
          <w:rFonts w:hint="eastAsia"/>
          <w:b/>
          <w:color w:val="000000" w:themeColor="text1"/>
        </w:rPr>
        <w:t>況本院諮詢會議及履勘蒐集意見均指出，各地示範中心之辦理成效</w:t>
      </w:r>
      <w:r w:rsidRPr="00D41D30">
        <w:rPr>
          <w:rFonts w:hAnsi="標楷體" w:hint="eastAsia"/>
          <w:b/>
          <w:color w:val="000000" w:themeColor="text1"/>
        </w:rPr>
        <w:t>、</w:t>
      </w:r>
      <w:r w:rsidRPr="00D41D30">
        <w:rPr>
          <w:rFonts w:hint="eastAsia"/>
          <w:b/>
          <w:color w:val="000000" w:themeColor="text1"/>
        </w:rPr>
        <w:t>人力</w:t>
      </w:r>
      <w:r w:rsidRPr="00D41D30">
        <w:rPr>
          <w:rFonts w:hAnsi="標楷體" w:hint="eastAsia"/>
          <w:b/>
          <w:color w:val="000000" w:themeColor="text1"/>
        </w:rPr>
        <w:t>、</w:t>
      </w:r>
      <w:r w:rsidRPr="00D41D30">
        <w:rPr>
          <w:rFonts w:hint="eastAsia"/>
          <w:b/>
          <w:color w:val="000000" w:themeColor="text1"/>
        </w:rPr>
        <w:t>需求及意願熱情落差參差不齊，且</w:t>
      </w:r>
      <w:r w:rsidRPr="00D41D30">
        <w:rPr>
          <w:rFonts w:ascii="Verdana" w:hAnsi="Verdana"/>
          <w:b/>
          <w:color w:val="000000" w:themeColor="text1"/>
        </w:rPr>
        <w:t>政策發展</w:t>
      </w:r>
      <w:r w:rsidRPr="00D41D30">
        <w:rPr>
          <w:rFonts w:ascii="Verdana" w:hAnsi="Verdana" w:hint="eastAsia"/>
          <w:b/>
          <w:color w:val="000000" w:themeColor="text1"/>
        </w:rPr>
        <w:t>恐</w:t>
      </w:r>
      <w:r w:rsidRPr="00D41D30">
        <w:rPr>
          <w:rFonts w:ascii="Verdana" w:hAnsi="Verdana"/>
          <w:b/>
          <w:color w:val="000000" w:themeColor="text1"/>
        </w:rPr>
        <w:t>受</w:t>
      </w:r>
      <w:r w:rsidRPr="00D41D30">
        <w:rPr>
          <w:rFonts w:ascii="Verdana" w:hAnsi="Verdana" w:hint="eastAsia"/>
          <w:b/>
          <w:color w:val="000000" w:themeColor="text1"/>
        </w:rPr>
        <w:t>地方</w:t>
      </w:r>
      <w:r w:rsidRPr="00D41D30">
        <w:rPr>
          <w:rFonts w:ascii="Verdana" w:hAnsi="Verdana"/>
          <w:b/>
          <w:color w:val="000000" w:themeColor="text1"/>
        </w:rPr>
        <w:t>施政理念</w:t>
      </w:r>
      <w:r w:rsidRPr="00D41D30">
        <w:rPr>
          <w:rFonts w:ascii="Verdana" w:hAnsi="Verdana" w:hint="eastAsia"/>
          <w:b/>
          <w:color w:val="000000" w:themeColor="text1"/>
        </w:rPr>
        <w:t>或人員流動</w:t>
      </w:r>
      <w:r w:rsidRPr="00D41D30">
        <w:rPr>
          <w:rFonts w:ascii="Verdana" w:hAnsi="Verdana"/>
          <w:b/>
          <w:color w:val="000000" w:themeColor="text1"/>
        </w:rPr>
        <w:t>影響，延續性</w:t>
      </w:r>
      <w:r w:rsidRPr="00D41D30">
        <w:rPr>
          <w:rFonts w:ascii="Verdana" w:hAnsi="Verdana" w:hint="eastAsia"/>
          <w:b/>
          <w:color w:val="000000" w:themeColor="text1"/>
        </w:rPr>
        <w:t>不足，中心</w:t>
      </w:r>
      <w:r w:rsidRPr="00D41D30">
        <w:rPr>
          <w:rFonts w:hint="eastAsia"/>
          <w:b/>
          <w:color w:val="000000" w:themeColor="text1"/>
        </w:rPr>
        <w:t>數量擴充之同時允應兼顧品質均衡發展，整體亟待教育部儘速檢討改善</w:t>
      </w:r>
      <w:bookmarkEnd w:id="1460"/>
    </w:p>
    <w:p w:rsidR="003872FF" w:rsidRPr="00D41D30" w:rsidRDefault="003872FF" w:rsidP="003872FF">
      <w:pPr>
        <w:pStyle w:val="3"/>
        <w:rPr>
          <w:color w:val="000000" w:themeColor="text1"/>
        </w:rPr>
      </w:pPr>
      <w:bookmarkStart w:id="1461" w:name="_Toc32673783"/>
      <w:bookmarkStart w:id="1462" w:name="_Toc32846662"/>
      <w:bookmarkStart w:id="1463" w:name="_Toc32918568"/>
      <w:bookmarkStart w:id="1464" w:name="_Toc33011857"/>
      <w:bookmarkStart w:id="1465" w:name="_Toc30512602"/>
      <w:bookmarkStart w:id="1466" w:name="_Toc30581310"/>
      <w:bookmarkStart w:id="1467" w:name="_Toc32392590"/>
      <w:r w:rsidRPr="00D41D30">
        <w:rPr>
          <w:rFonts w:hint="eastAsia"/>
          <w:color w:val="000000" w:themeColor="text1"/>
        </w:rPr>
        <w:t>按終身學習法第3條1項4款規定，</w:t>
      </w:r>
      <w:r w:rsidRPr="00D41D30">
        <w:rPr>
          <w:rFonts w:hAnsi="標楷體" w:hint="eastAsia"/>
          <w:color w:val="000000" w:themeColor="text1"/>
        </w:rPr>
        <w:t>「</w:t>
      </w:r>
      <w:r w:rsidRPr="00D41D30">
        <w:rPr>
          <w:rFonts w:hint="eastAsia"/>
          <w:color w:val="000000" w:themeColor="text1"/>
        </w:rPr>
        <w:t>……四、樂齡</w:t>
      </w:r>
      <w:r w:rsidRPr="00D41D30">
        <w:rPr>
          <w:rFonts w:hint="eastAsia"/>
          <w:color w:val="000000" w:themeColor="text1"/>
        </w:rPr>
        <w:lastRenderedPageBreak/>
        <w:t>學習：指終身學習機構所提供55歲以上人民從事之學習活動</w:t>
      </w:r>
      <w:r w:rsidRPr="00D41D30">
        <w:rPr>
          <w:rFonts w:hAnsi="標楷體" w:hint="eastAsia"/>
          <w:color w:val="000000" w:themeColor="text1"/>
        </w:rPr>
        <w:t>」</w:t>
      </w:r>
      <w:r w:rsidRPr="00D41D30">
        <w:rPr>
          <w:rFonts w:hint="eastAsia"/>
          <w:color w:val="000000" w:themeColor="text1"/>
        </w:rPr>
        <w:t>；同條第2項規定，</w:t>
      </w:r>
      <w:r w:rsidRPr="00D41D30">
        <w:rPr>
          <w:rFonts w:hAnsi="標楷體" w:hint="eastAsia"/>
          <w:color w:val="000000" w:themeColor="text1"/>
        </w:rPr>
        <w:t>「</w:t>
      </w:r>
      <w:r w:rsidRPr="00D41D30">
        <w:rPr>
          <w:rFonts w:hint="eastAsia"/>
          <w:color w:val="000000" w:themeColor="text1"/>
        </w:rPr>
        <w:t>終身學習機構辦理前項樂齡學習活動，各級主管機關得酌予補助；其補助之對象、條件、方式、審查基準、訪視與輔導及其他應遵行事項之規定，由各級主管機關定之</w:t>
      </w:r>
      <w:r w:rsidRPr="00D41D30">
        <w:rPr>
          <w:rFonts w:hAnsi="標楷體" w:hint="eastAsia"/>
          <w:color w:val="000000" w:themeColor="text1"/>
        </w:rPr>
        <w:t>」</w:t>
      </w:r>
      <w:r w:rsidRPr="00D41D30">
        <w:rPr>
          <w:rFonts w:hint="eastAsia"/>
          <w:color w:val="000000" w:themeColor="text1"/>
        </w:rPr>
        <w:t>同條第3項規定，</w:t>
      </w:r>
      <w:r w:rsidRPr="00D41D30">
        <w:rPr>
          <w:rFonts w:hAnsi="標楷體" w:hint="eastAsia"/>
          <w:color w:val="000000" w:themeColor="text1"/>
        </w:rPr>
        <w:t>「</w:t>
      </w:r>
      <w:r w:rsidRPr="00D41D30">
        <w:rPr>
          <w:rFonts w:hint="eastAsia"/>
          <w:color w:val="000000" w:themeColor="text1"/>
        </w:rPr>
        <w:t>直轄市、縣（市）主管機關辦理樂齡學習活動，績效優良，且具發展特色者，中央主管機關得酌予獎勵；其獎勵之對象、條件、方式、審查基準、訪視與輔導及其他應遵行事項之辦法，由中央主管機關定之</w:t>
      </w:r>
      <w:r w:rsidRPr="00D41D30">
        <w:rPr>
          <w:rFonts w:hAnsi="標楷體" w:hint="eastAsia"/>
          <w:color w:val="000000" w:themeColor="text1"/>
        </w:rPr>
        <w:t>」及</w:t>
      </w:r>
      <w:r w:rsidRPr="00D41D30">
        <w:rPr>
          <w:rFonts w:hint="eastAsia"/>
          <w:color w:val="000000" w:themeColor="text1"/>
        </w:rPr>
        <w:t>同法第14條第1項規定，</w:t>
      </w:r>
      <w:r w:rsidRPr="00D41D30">
        <w:rPr>
          <w:rFonts w:hAnsi="標楷體" w:hint="eastAsia"/>
          <w:color w:val="000000" w:themeColor="text1"/>
        </w:rPr>
        <w:t>「</w:t>
      </w:r>
      <w:r w:rsidRPr="00D41D30">
        <w:rPr>
          <w:rFonts w:hint="eastAsia"/>
          <w:color w:val="000000" w:themeColor="text1"/>
        </w:rPr>
        <w:t>各級主管機關應訂定樂齡學習推動計畫，編列預算，並鼓勵終身學習機構辦理樂齡學習活動。</w:t>
      </w:r>
      <w:r w:rsidRPr="00D41D30">
        <w:rPr>
          <w:rFonts w:hAnsi="標楷體" w:hint="eastAsia"/>
          <w:color w:val="000000" w:themeColor="text1"/>
        </w:rPr>
        <w:t>」</w:t>
      </w:r>
      <w:r w:rsidRPr="00D41D30">
        <w:rPr>
          <w:rFonts w:hint="eastAsia"/>
          <w:color w:val="000000" w:themeColor="text1"/>
        </w:rPr>
        <w:t>準此，教育部依上開法令應訂定辦理樂齡教育應遵行事項之相關辦法</w:t>
      </w:r>
      <w:r w:rsidRPr="00D41D30">
        <w:rPr>
          <w:rFonts w:hAnsi="標楷體" w:hint="eastAsia"/>
          <w:color w:val="000000" w:themeColor="text1"/>
        </w:rPr>
        <w:t>、</w:t>
      </w:r>
      <w:r w:rsidRPr="00D41D30">
        <w:rPr>
          <w:rFonts w:hint="eastAsia"/>
          <w:color w:val="000000" w:themeColor="text1"/>
        </w:rPr>
        <w:t>計畫，應屬責無旁貸。</w:t>
      </w:r>
      <w:bookmarkEnd w:id="1461"/>
      <w:bookmarkEnd w:id="1462"/>
      <w:bookmarkEnd w:id="1463"/>
      <w:bookmarkEnd w:id="1464"/>
    </w:p>
    <w:p w:rsidR="003872FF" w:rsidRPr="00D41D30" w:rsidRDefault="003872FF" w:rsidP="003872FF">
      <w:pPr>
        <w:pStyle w:val="3"/>
        <w:rPr>
          <w:color w:val="000000" w:themeColor="text1"/>
        </w:rPr>
      </w:pPr>
      <w:bookmarkStart w:id="1468" w:name="_Toc32673784"/>
      <w:bookmarkStart w:id="1469" w:name="_Toc32846663"/>
      <w:bookmarkStart w:id="1470" w:name="_Toc32918569"/>
      <w:bookmarkStart w:id="1471" w:name="_Toc33011858"/>
      <w:r w:rsidRPr="00D41D30">
        <w:rPr>
          <w:rFonts w:hint="eastAsia"/>
          <w:color w:val="000000" w:themeColor="text1"/>
        </w:rPr>
        <w:t>經查，關於樂齡示範中心之設立依據，教育部前於98年5月15日訂定</w:t>
      </w:r>
      <w:r w:rsidRPr="00D41D30">
        <w:rPr>
          <w:rFonts w:hAnsi="標楷體" w:hint="eastAsia"/>
          <w:color w:val="000000" w:themeColor="text1"/>
        </w:rPr>
        <w:t>「</w:t>
      </w:r>
      <w:r w:rsidRPr="00D41D30">
        <w:rPr>
          <w:rFonts w:hint="eastAsia"/>
          <w:color w:val="000000" w:themeColor="text1"/>
        </w:rPr>
        <w:t>補助設置各鄉鎮市區樂齡學習資源中心實施要點</w:t>
      </w:r>
      <w:r w:rsidRPr="00D41D30">
        <w:rPr>
          <w:rFonts w:hAnsi="標楷體" w:hint="eastAsia"/>
          <w:color w:val="000000" w:themeColor="text1"/>
        </w:rPr>
        <w:t>」，以補助縣市政府開設相關課程；該要點於99年9月1</w:t>
      </w:r>
      <w:r w:rsidRPr="00D41D30">
        <w:rPr>
          <w:rFonts w:hAnsi="標楷體"/>
          <w:color w:val="000000" w:themeColor="text1"/>
        </w:rPr>
        <w:t>3</w:t>
      </w:r>
      <w:r w:rsidRPr="00D41D30">
        <w:rPr>
          <w:rFonts w:hAnsi="標楷體" w:hint="eastAsia"/>
          <w:color w:val="000000" w:themeColor="text1"/>
        </w:rPr>
        <w:t>日、</w:t>
      </w:r>
      <w:r w:rsidRPr="00D41D30">
        <w:rPr>
          <w:rFonts w:hint="eastAsia"/>
          <w:color w:val="000000" w:themeColor="text1"/>
        </w:rPr>
        <w:t>101年</w:t>
      </w:r>
      <w:r w:rsidRPr="00D41D30">
        <w:rPr>
          <w:color w:val="000000" w:themeColor="text1"/>
        </w:rPr>
        <w:t>4</w:t>
      </w:r>
      <w:r w:rsidRPr="00D41D30">
        <w:rPr>
          <w:rFonts w:hint="eastAsia"/>
          <w:color w:val="000000" w:themeColor="text1"/>
        </w:rPr>
        <w:t>月</w:t>
      </w:r>
      <w:r w:rsidRPr="00D41D30">
        <w:rPr>
          <w:color w:val="000000" w:themeColor="text1"/>
        </w:rPr>
        <w:t>13</w:t>
      </w:r>
      <w:r w:rsidRPr="00D41D30">
        <w:rPr>
          <w:rFonts w:hint="eastAsia"/>
          <w:color w:val="000000" w:themeColor="text1"/>
        </w:rPr>
        <w:t>日</w:t>
      </w:r>
      <w:r w:rsidRPr="00D41D30">
        <w:rPr>
          <w:rFonts w:hAnsi="標楷體" w:hint="eastAsia"/>
          <w:color w:val="000000" w:themeColor="text1"/>
        </w:rPr>
        <w:t>陸續</w:t>
      </w:r>
      <w:r w:rsidRPr="00D41D30">
        <w:rPr>
          <w:rFonts w:hint="eastAsia"/>
          <w:color w:val="000000" w:themeColor="text1"/>
        </w:rPr>
        <w:t>修正，按其中第6點規定</w:t>
      </w:r>
      <w:r w:rsidRPr="00D41D30">
        <w:rPr>
          <w:rFonts w:hAnsi="標楷體" w:hint="eastAsia"/>
          <w:color w:val="000000" w:themeColor="text1"/>
        </w:rPr>
        <w:t>「</w:t>
      </w:r>
      <w:r w:rsidRPr="00D41D30">
        <w:rPr>
          <w:rFonts w:hint="eastAsia"/>
          <w:color w:val="000000" w:themeColor="text1"/>
        </w:rPr>
        <w:t>六、補助項目基準︰（三）直轄市、縣（市）政府得編列辦理樂齡志工培訓、觀摩及訪視之經費，並得視需要併同向本部提報申請專業研習、研編教材及志工培訓等相關費用。訪視結果成績為優等之樂齡學習中心及樂齡學習示範中心，除辦理中心業務外，得申請辦理志工培訓、自主學習社團經營、學習成果展示……</w:t>
      </w:r>
      <w:r w:rsidRPr="00D41D30">
        <w:rPr>
          <w:rFonts w:hAnsi="標楷體" w:hint="eastAsia"/>
          <w:color w:val="000000" w:themeColor="text1"/>
        </w:rPr>
        <w:t>」</w:t>
      </w:r>
      <w:r w:rsidRPr="00D41D30">
        <w:rPr>
          <w:rFonts w:hint="eastAsia"/>
          <w:color w:val="000000" w:themeColor="text1"/>
        </w:rPr>
        <w:t>，直至</w:t>
      </w:r>
      <w:r w:rsidRPr="00D41D30">
        <w:rPr>
          <w:color w:val="000000" w:themeColor="text1"/>
        </w:rPr>
        <w:t>106年9月28日</w:t>
      </w:r>
      <w:r w:rsidRPr="00D41D30">
        <w:rPr>
          <w:rFonts w:hint="eastAsia"/>
          <w:color w:val="000000" w:themeColor="text1"/>
        </w:rPr>
        <w:t>廢止該要點，仍未見關於教育部設立樂齡學習示範中心之設置條件及退場機制等具體內容規範。然該部復於101年12月</w:t>
      </w:r>
      <w:r w:rsidRPr="00D41D30">
        <w:rPr>
          <w:color w:val="000000" w:themeColor="text1"/>
        </w:rPr>
        <w:t>2</w:t>
      </w:r>
      <w:r w:rsidRPr="00D41D30">
        <w:rPr>
          <w:rFonts w:hint="eastAsia"/>
          <w:color w:val="000000" w:themeColor="text1"/>
        </w:rPr>
        <w:t>4日又訂定「教育部補助辦理樂</w:t>
      </w:r>
      <w:r w:rsidRPr="00D41D30">
        <w:rPr>
          <w:rFonts w:hint="eastAsia"/>
          <w:color w:val="000000" w:themeColor="text1"/>
        </w:rPr>
        <w:lastRenderedPageBreak/>
        <w:t>齡教育活動實施要點」</w:t>
      </w:r>
      <w:r w:rsidRPr="00D41D30">
        <w:rPr>
          <w:rStyle w:val="aff0"/>
          <w:color w:val="000000" w:themeColor="text1"/>
        </w:rPr>
        <w:footnoteReference w:id="28"/>
      </w:r>
      <w:r w:rsidRPr="00D41D30">
        <w:rPr>
          <w:rFonts w:hint="eastAsia"/>
          <w:color w:val="000000" w:themeColor="text1"/>
        </w:rPr>
        <w:t>，其中第4點規定</w:t>
      </w:r>
      <w:r w:rsidRPr="00D41D30">
        <w:rPr>
          <w:rFonts w:hAnsi="標楷體" w:hint="eastAsia"/>
          <w:color w:val="000000" w:themeColor="text1"/>
        </w:rPr>
        <w:t>「</w:t>
      </w:r>
      <w:r w:rsidRPr="00D41D30">
        <w:rPr>
          <w:rFonts w:hint="eastAsia"/>
          <w:color w:val="000000" w:themeColor="text1"/>
        </w:rPr>
        <w:t>四、補助計畫項目：……（一）直轄市、各縣（市）政府：年度推動樂齡學習工作計畫，其執行事項如下：……</w:t>
      </w:r>
      <w:r w:rsidRPr="00D41D30">
        <w:rPr>
          <w:rFonts w:hAnsi="標楷體" w:hint="eastAsia"/>
          <w:color w:val="000000" w:themeColor="text1"/>
        </w:rPr>
        <w:t>3</w:t>
      </w:r>
      <w:r w:rsidRPr="00D41D30">
        <w:rPr>
          <w:rFonts w:hint="eastAsia"/>
          <w:color w:val="000000" w:themeColor="text1"/>
        </w:rPr>
        <w:t>、設置直轄市、縣（市）樂齡學習示範中心：……</w:t>
      </w:r>
      <w:r w:rsidRPr="00D41D30">
        <w:rPr>
          <w:rFonts w:hAnsi="標楷體" w:hint="eastAsia"/>
          <w:color w:val="000000" w:themeColor="text1"/>
        </w:rPr>
        <w:t>」</w:t>
      </w:r>
      <w:r w:rsidRPr="00D41D30">
        <w:rPr>
          <w:rFonts w:hint="eastAsia"/>
          <w:color w:val="000000" w:themeColor="text1"/>
        </w:rPr>
        <w:t>及第5點規定</w:t>
      </w:r>
      <w:r w:rsidRPr="00D41D30">
        <w:rPr>
          <w:rFonts w:hAnsi="標楷體" w:hint="eastAsia"/>
          <w:color w:val="000000" w:themeColor="text1"/>
        </w:rPr>
        <w:t>「</w:t>
      </w:r>
      <w:r w:rsidRPr="00D41D30">
        <w:rPr>
          <w:rFonts w:hint="eastAsia"/>
          <w:color w:val="000000" w:themeColor="text1"/>
        </w:rPr>
        <w:t>五、申請及審查作業：……（2）直轄市、縣（市）樂齡學習示範中心：經直轄市、縣（市）政府評估轄屬樂齡學習中心近二年執行績效，其具備組織能力佳、有獨立空間、理念與配合度高，且歷年評鑑績效良好等資格要件，並獲得直轄市、縣（市）首長支持，得申請成立「直轄市、縣（市）樂齡學習示範中心」……。又該部於</w:t>
      </w:r>
      <w:r w:rsidRPr="00D41D30">
        <w:rPr>
          <w:color w:val="000000" w:themeColor="text1"/>
        </w:rPr>
        <w:t>104年10月22日</w:t>
      </w:r>
      <w:r w:rsidRPr="00D41D30">
        <w:rPr>
          <w:rFonts w:hint="eastAsia"/>
          <w:color w:val="000000" w:themeColor="text1"/>
        </w:rPr>
        <w:t>依據103年修正後之終身學習法第14條</w:t>
      </w:r>
      <w:r w:rsidRPr="00D41D30">
        <w:rPr>
          <w:rStyle w:val="aff0"/>
          <w:color w:val="000000" w:themeColor="text1"/>
        </w:rPr>
        <w:footnoteReference w:id="29"/>
      </w:r>
      <w:r w:rsidRPr="00D41D30">
        <w:rPr>
          <w:rFonts w:hint="eastAsia"/>
          <w:color w:val="000000" w:themeColor="text1"/>
        </w:rPr>
        <w:t>第2項及第3項規定，再訂定「樂齡學習活動補助與訪視輔導及獎勵辦法」，第8條及第9條規定相關訪視及輔導辦理內容。基此，教育部雖已訂有</w:t>
      </w:r>
      <w:r w:rsidRPr="00D41D30">
        <w:rPr>
          <w:rFonts w:hAnsi="標楷體" w:hint="eastAsia"/>
          <w:color w:val="000000" w:themeColor="text1"/>
        </w:rPr>
        <w:t>「</w:t>
      </w:r>
      <w:r w:rsidRPr="00D41D30">
        <w:rPr>
          <w:rFonts w:hint="eastAsia"/>
          <w:color w:val="000000" w:themeColor="text1"/>
        </w:rPr>
        <w:t>歷年評鑑績效良好等資格要件</w:t>
      </w:r>
      <w:r w:rsidRPr="00D41D30">
        <w:rPr>
          <w:rFonts w:hAnsi="標楷體" w:hint="eastAsia"/>
          <w:color w:val="000000" w:themeColor="text1"/>
        </w:rPr>
        <w:t>」，且104年即有相關</w:t>
      </w:r>
      <w:r w:rsidRPr="00D41D30">
        <w:rPr>
          <w:rFonts w:hint="eastAsia"/>
          <w:color w:val="000000" w:themeColor="text1"/>
        </w:rPr>
        <w:t>訪視及輔導辦理之規定</w:t>
      </w:r>
      <w:r w:rsidRPr="00D41D30">
        <w:rPr>
          <w:rFonts w:hAnsi="標楷體" w:hint="eastAsia"/>
          <w:color w:val="000000" w:themeColor="text1"/>
        </w:rPr>
        <w:t>，且教育部高齡教育中程發展計畫策略主軸一、「強化高齡教育運作機制，完善高齡教育體系」策略重點1-2、「完善高齡教育行政運作」中訂有</w:t>
      </w:r>
      <w:r w:rsidRPr="00D41D30">
        <w:rPr>
          <w:rFonts w:hAnsi="標楷體" w:cs="DFKaiShu-SB-Estd-BF" w:hint="eastAsia"/>
          <w:color w:val="000000" w:themeColor="text1"/>
          <w:kern w:val="0"/>
          <w:szCs w:val="32"/>
        </w:rPr>
        <w:t>強化績優獎</w:t>
      </w:r>
      <w:r w:rsidRPr="00D41D30">
        <w:rPr>
          <w:rFonts w:hAnsi="標楷體" w:cs="新細明體" w:hint="eastAsia"/>
          <w:color w:val="000000" w:themeColor="text1"/>
          <w:kern w:val="0"/>
          <w:szCs w:val="32"/>
        </w:rPr>
        <w:t>勵</w:t>
      </w:r>
      <w:r w:rsidRPr="00D41D30">
        <w:rPr>
          <w:rFonts w:hAnsi="標楷體" w:cs="Adobe 明體 Std L" w:hint="eastAsia"/>
          <w:color w:val="000000" w:themeColor="text1"/>
          <w:kern w:val="0"/>
          <w:szCs w:val="32"/>
        </w:rPr>
        <w:t>及進退場機制</w:t>
      </w:r>
      <w:r w:rsidRPr="00D41D30">
        <w:rPr>
          <w:rFonts w:ascii="Adobe 明體 Std L" w:eastAsia="Adobe 明體 Std L" w:hAnsi="Adobe 明體 Std L" w:cs="Adobe 明體 Std L" w:hint="eastAsia"/>
          <w:color w:val="000000" w:themeColor="text1"/>
          <w:kern w:val="0"/>
          <w:sz w:val="24"/>
          <w:szCs w:val="24"/>
        </w:rPr>
        <w:t>，</w:t>
      </w:r>
      <w:r w:rsidRPr="00D41D30">
        <w:rPr>
          <w:rFonts w:hAnsi="標楷體" w:cs="Adobe 明體 Std L" w:hint="eastAsia"/>
          <w:color w:val="000000" w:themeColor="text1"/>
          <w:kern w:val="0"/>
          <w:szCs w:val="32"/>
        </w:rPr>
        <w:t>惟</w:t>
      </w:r>
      <w:r w:rsidRPr="00D41D30">
        <w:rPr>
          <w:rFonts w:hAnsi="標楷體" w:hint="eastAsia"/>
          <w:color w:val="000000" w:themeColor="text1"/>
        </w:rPr>
        <w:t>該部整體關於樂齡示範中心或學習中心之</w:t>
      </w:r>
      <w:r w:rsidRPr="00D41D30">
        <w:rPr>
          <w:rFonts w:hAnsi="標楷體" w:hint="eastAsia"/>
          <w:color w:val="000000" w:themeColor="text1"/>
        </w:rPr>
        <w:lastRenderedPageBreak/>
        <w:t>相關退場機制調整措施仍闕如，加以，示範中心難與一般學習樂齡中心明顯區分；況前述兩</w:t>
      </w:r>
      <w:r w:rsidRPr="00D41D30">
        <w:rPr>
          <w:rFonts w:hint="eastAsia"/>
          <w:color w:val="000000" w:themeColor="text1"/>
        </w:rPr>
        <w:t>實施要點名稱不同</w:t>
      </w:r>
      <w:r w:rsidRPr="00D41D30">
        <w:rPr>
          <w:rFonts w:hAnsi="標楷體" w:hint="eastAsia"/>
          <w:color w:val="000000" w:themeColor="text1"/>
        </w:rPr>
        <w:t>、規範之範圍標的類似，然前後規定之時間、內容未盡一致，上述教育部法規相關施行期間重疊紊亂，衍生外界疑慮，而「</w:t>
      </w:r>
      <w:r w:rsidRPr="00D41D30">
        <w:rPr>
          <w:rFonts w:hint="eastAsia"/>
          <w:color w:val="000000" w:themeColor="text1"/>
        </w:rPr>
        <w:t>補助設置各鄉鎮市區樂齡學習資源中心實施要點」雖於</w:t>
      </w:r>
      <w:r w:rsidRPr="00D41D30">
        <w:rPr>
          <w:color w:val="000000" w:themeColor="text1"/>
        </w:rPr>
        <w:t>106年9月28日</w:t>
      </w:r>
      <w:r w:rsidRPr="00D41D30">
        <w:rPr>
          <w:rFonts w:hint="eastAsia"/>
          <w:color w:val="000000" w:themeColor="text1"/>
        </w:rPr>
        <w:t>廢止，惟後續仍待該部針對整體法規名稱及內容進行盤點檢討</w:t>
      </w:r>
      <w:r w:rsidRPr="00D41D30">
        <w:rPr>
          <w:rFonts w:hAnsi="標楷體" w:hint="eastAsia"/>
          <w:color w:val="000000" w:themeColor="text1"/>
        </w:rPr>
        <w:t>。</w:t>
      </w:r>
      <w:bookmarkEnd w:id="1468"/>
      <w:bookmarkEnd w:id="1469"/>
      <w:bookmarkEnd w:id="1470"/>
      <w:bookmarkEnd w:id="1471"/>
    </w:p>
    <w:p w:rsidR="003872FF" w:rsidRPr="00D41D30" w:rsidRDefault="003872FF" w:rsidP="003872FF">
      <w:pPr>
        <w:pStyle w:val="3"/>
        <w:rPr>
          <w:color w:val="000000" w:themeColor="text1"/>
        </w:rPr>
      </w:pPr>
      <w:bookmarkStart w:id="1472" w:name="_Toc32673785"/>
      <w:bookmarkStart w:id="1473" w:name="_Toc32846664"/>
      <w:bookmarkStart w:id="1474" w:name="_Toc32918570"/>
      <w:bookmarkStart w:id="1475" w:name="_Toc33011859"/>
      <w:r w:rsidRPr="00D41D30">
        <w:rPr>
          <w:rFonts w:hint="eastAsia"/>
          <w:color w:val="000000" w:themeColor="text1"/>
        </w:rPr>
        <w:t>經查，教育部為建構本土化的樂齡學習典範，及開創更多元管道的樂齡學習創新方案，100年由全國209所樂齡中心之中，選擇臺北市、新北市、臺中市、新竹縣、嘉義縣、臺南市及屏東縣等7個縣市，率先成立該縣市的「樂齡學習示範中心」，並進行國內首創樂齡學習空間改造，建構親善的長者學習環境，提供國內未來觀摩空間的參考及典範。102年再擇高雄市、苗栗縣、花蓮縣3個直轄市、縣（市）優質之樂齡學習中心轉型為「樂齡學習示範中心」，期能發展國內本土化之樂齡學習模式，強化地方特色之主軸課程，以協助教育部未來推動樂齡學習之觀摩典範。查</w:t>
      </w:r>
      <w:r w:rsidRPr="00D41D30">
        <w:rPr>
          <w:rFonts w:hAnsi="標楷體" w:hint="eastAsia"/>
          <w:color w:val="000000" w:themeColor="text1"/>
          <w:szCs w:val="32"/>
        </w:rPr>
        <w:t>教育部執行樂齡學習中心之「活躍樂齡、深耕拓點-教育部102年強化樂齡學習中心服務品質計畫」於103年獲得「第6屆行政院政府服務品質獎」的「服務規劃機關」獎項。據查，部分縣市樂齡示範中心亦甚具其地方特色，如臺南市樂齡學習示範中心成立於麻豆區，該中心目前共有4個特色的樂齡社團，「藝陣學堂」結合首府大學的學生至安養院進行服務學習活動；「陶玻學堂」自行在社區活動中心推廣在樂齡中心所學到的畫畫課程，並且在課後幫學員辦小型畫展；屏東縣</w:t>
      </w:r>
      <w:r w:rsidRPr="00D41D30">
        <w:rPr>
          <w:rFonts w:hAnsi="標楷體" w:hint="eastAsia"/>
          <w:color w:val="000000" w:themeColor="text1"/>
          <w:szCs w:val="32"/>
        </w:rPr>
        <w:lastRenderedPageBreak/>
        <w:t>樂齡學習示範中心規劃高齡者與年輕人進行代間學習</w:t>
      </w:r>
      <w:r w:rsidRPr="00D41D30">
        <w:rPr>
          <w:rFonts w:hint="eastAsia"/>
          <w:color w:val="000000" w:themeColor="text1"/>
        </w:rPr>
        <w:t>……等，突顯地區文化及高齡教育特色</w:t>
      </w:r>
      <w:r w:rsidRPr="00D41D30">
        <w:rPr>
          <w:rFonts w:hAnsi="標楷體" w:hint="eastAsia"/>
          <w:color w:val="000000" w:themeColor="text1"/>
          <w:szCs w:val="32"/>
        </w:rPr>
        <w:t>。</w:t>
      </w:r>
      <w:r w:rsidRPr="00D41D30">
        <w:rPr>
          <w:rFonts w:hint="eastAsia"/>
          <w:color w:val="000000" w:themeColor="text1"/>
        </w:rPr>
        <w:t>目前全國</w:t>
      </w:r>
      <w:r w:rsidRPr="00D41D30">
        <w:rPr>
          <w:color w:val="000000" w:themeColor="text1"/>
        </w:rPr>
        <w:t>10</w:t>
      </w:r>
      <w:r w:rsidRPr="00D41D30">
        <w:rPr>
          <w:rFonts w:hint="eastAsia"/>
          <w:color w:val="000000" w:themeColor="text1"/>
        </w:rPr>
        <w:t>所示範中心列表如后：</w:t>
      </w:r>
      <w:bookmarkEnd w:id="1472"/>
      <w:bookmarkEnd w:id="1473"/>
      <w:bookmarkEnd w:id="1474"/>
      <w:bookmarkEnd w:id="1475"/>
    </w:p>
    <w:p w:rsidR="003872FF" w:rsidRPr="00D41D30" w:rsidRDefault="003872FF" w:rsidP="003872FF">
      <w:pPr>
        <w:pStyle w:val="a4"/>
        <w:jc w:val="left"/>
        <w:rPr>
          <w:b/>
          <w:color w:val="000000" w:themeColor="text1"/>
        </w:rPr>
      </w:pPr>
      <w:r w:rsidRPr="00D41D30">
        <w:rPr>
          <w:rFonts w:hint="eastAsia"/>
          <w:b/>
          <w:color w:val="000000" w:themeColor="text1"/>
        </w:rPr>
        <w:t>全國1</w:t>
      </w:r>
      <w:r w:rsidRPr="00D41D30">
        <w:rPr>
          <w:b/>
          <w:color w:val="000000" w:themeColor="text1"/>
        </w:rPr>
        <w:t>0</w:t>
      </w:r>
      <w:r w:rsidRPr="00D41D30">
        <w:rPr>
          <w:rFonts w:hint="eastAsia"/>
          <w:b/>
          <w:color w:val="000000" w:themeColor="text1"/>
        </w:rPr>
        <w:t>所樂齡教育示範中心</w:t>
      </w:r>
    </w:p>
    <w:tbl>
      <w:tblPr>
        <w:tblW w:w="5085" w:type="pct"/>
        <w:jc w:val="center"/>
        <w:tblBorders>
          <w:top w:val="single" w:sz="18" w:space="0" w:color="CCCCCC"/>
          <w:left w:val="single" w:sz="18" w:space="0" w:color="CCCCCC"/>
          <w:bottom w:val="single" w:sz="18" w:space="0" w:color="CCCCCC"/>
          <w:right w:val="single" w:sz="18" w:space="0" w:color="CCCCCC"/>
        </w:tblBorders>
        <w:tblCellMar>
          <w:top w:w="120" w:type="dxa"/>
          <w:left w:w="120" w:type="dxa"/>
          <w:bottom w:w="120" w:type="dxa"/>
          <w:right w:w="120" w:type="dxa"/>
        </w:tblCellMar>
        <w:tblLook w:val="04A0" w:firstRow="1" w:lastRow="0" w:firstColumn="1" w:lastColumn="0" w:noHBand="0" w:noVBand="1"/>
      </w:tblPr>
      <w:tblGrid>
        <w:gridCol w:w="1160"/>
        <w:gridCol w:w="1218"/>
        <w:gridCol w:w="1456"/>
        <w:gridCol w:w="1847"/>
        <w:gridCol w:w="3328"/>
      </w:tblGrid>
      <w:tr w:rsidR="003872FF" w:rsidRPr="00D41D30" w:rsidTr="003872FF">
        <w:trPr>
          <w:trHeight w:val="18"/>
          <w:tblHeader/>
          <w:jc w:val="center"/>
        </w:trPr>
        <w:tc>
          <w:tcPr>
            <w:tcW w:w="644" w:type="pct"/>
            <w:tcBorders>
              <w:top w:val="outset" w:sz="6" w:space="0" w:color="auto"/>
              <w:left w:val="outset" w:sz="6" w:space="0" w:color="auto"/>
              <w:bottom w:val="outset" w:sz="6" w:space="0" w:color="auto"/>
              <w:right w:val="outset" w:sz="6" w:space="0" w:color="auto"/>
            </w:tcBorders>
            <w:shd w:val="clear" w:color="auto" w:fill="ADD8E6"/>
            <w:vAlign w:val="center"/>
            <w:hideMark/>
          </w:tcPr>
          <w:p w:rsidR="003872FF" w:rsidRPr="00D41D30" w:rsidRDefault="003872FF" w:rsidP="003872FF">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縣市</w:t>
            </w:r>
          </w:p>
        </w:tc>
        <w:tc>
          <w:tcPr>
            <w:tcW w:w="676" w:type="pct"/>
            <w:tcBorders>
              <w:top w:val="outset" w:sz="6" w:space="0" w:color="auto"/>
              <w:left w:val="outset" w:sz="6" w:space="0" w:color="auto"/>
              <w:bottom w:val="outset" w:sz="6" w:space="0" w:color="auto"/>
              <w:right w:val="outset" w:sz="6" w:space="0" w:color="auto"/>
            </w:tcBorders>
            <w:shd w:val="clear" w:color="auto" w:fill="ADD8E6"/>
            <w:vAlign w:val="center"/>
            <w:hideMark/>
          </w:tcPr>
          <w:p w:rsidR="003872FF" w:rsidRPr="00D41D30" w:rsidRDefault="003872FF" w:rsidP="003872FF">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鄉市鎮區</w:t>
            </w:r>
          </w:p>
        </w:tc>
        <w:tc>
          <w:tcPr>
            <w:tcW w:w="808" w:type="pct"/>
            <w:tcBorders>
              <w:top w:val="outset" w:sz="6" w:space="0" w:color="auto"/>
              <w:left w:val="outset" w:sz="6" w:space="0" w:color="auto"/>
              <w:bottom w:val="outset" w:sz="6" w:space="0" w:color="auto"/>
              <w:right w:val="outset" w:sz="6" w:space="0" w:color="auto"/>
            </w:tcBorders>
            <w:shd w:val="clear" w:color="auto" w:fill="ADD8E6"/>
            <w:vAlign w:val="center"/>
            <w:hideMark/>
          </w:tcPr>
          <w:p w:rsidR="003872FF" w:rsidRPr="00D41D30" w:rsidRDefault="003872FF" w:rsidP="003872FF">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中心名稱</w:t>
            </w:r>
          </w:p>
        </w:tc>
        <w:tc>
          <w:tcPr>
            <w:tcW w:w="1025" w:type="pct"/>
            <w:tcBorders>
              <w:top w:val="outset" w:sz="6" w:space="0" w:color="auto"/>
              <w:left w:val="outset" w:sz="6" w:space="0" w:color="auto"/>
              <w:bottom w:val="outset" w:sz="6" w:space="0" w:color="auto"/>
              <w:right w:val="outset" w:sz="6" w:space="0" w:color="auto"/>
            </w:tcBorders>
            <w:shd w:val="clear" w:color="auto" w:fill="ADD8E6"/>
            <w:vAlign w:val="center"/>
            <w:hideMark/>
          </w:tcPr>
          <w:p w:rsidR="003872FF" w:rsidRPr="00D41D30" w:rsidRDefault="003872FF" w:rsidP="003872FF">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承辦單位</w:t>
            </w:r>
          </w:p>
        </w:tc>
        <w:tc>
          <w:tcPr>
            <w:tcW w:w="1847" w:type="pct"/>
            <w:tcBorders>
              <w:top w:val="outset" w:sz="6" w:space="0" w:color="auto"/>
              <w:left w:val="outset" w:sz="6" w:space="0" w:color="auto"/>
              <w:bottom w:val="outset" w:sz="6" w:space="0" w:color="auto"/>
              <w:right w:val="outset" w:sz="6" w:space="0" w:color="auto"/>
            </w:tcBorders>
            <w:shd w:val="clear" w:color="auto" w:fill="ADD8E6"/>
          </w:tcPr>
          <w:p w:rsidR="003872FF" w:rsidRPr="00D41D30" w:rsidRDefault="003872FF" w:rsidP="003872FF">
            <w:pPr>
              <w:spacing w:line="240" w:lineRule="exact"/>
              <w:jc w:val="center"/>
              <w:rPr>
                <w:rFonts w:hAnsi="標楷體"/>
                <w:b/>
                <w:color w:val="000000" w:themeColor="text1"/>
                <w:sz w:val="24"/>
                <w:szCs w:val="24"/>
              </w:rPr>
            </w:pPr>
            <w:r w:rsidRPr="00D41D30">
              <w:rPr>
                <w:rFonts w:hAnsi="標楷體" w:hint="eastAsia"/>
                <w:b/>
                <w:color w:val="000000" w:themeColor="text1"/>
                <w:sz w:val="24"/>
                <w:szCs w:val="24"/>
              </w:rPr>
              <w:t>中心相關簡介摘要</w:t>
            </w:r>
          </w:p>
        </w:tc>
      </w:tr>
      <w:tr w:rsidR="003872FF" w:rsidRPr="00D41D30" w:rsidTr="003872FF">
        <w:trPr>
          <w:trHeight w:val="50"/>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color w:val="000000" w:themeColor="text1"/>
                <w:sz w:val="24"/>
                <w:szCs w:val="24"/>
              </w:rPr>
            </w:pPr>
            <w:r w:rsidRPr="00D41D30">
              <w:rPr>
                <w:rFonts w:hint="eastAsia"/>
                <w:color w:val="000000" w:themeColor="text1"/>
                <w:sz w:val="24"/>
                <w:szCs w:val="24"/>
              </w:rPr>
              <w:t>臺北市</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color w:val="000000" w:themeColor="text1"/>
                <w:sz w:val="24"/>
                <w:szCs w:val="24"/>
              </w:rPr>
            </w:pPr>
            <w:r w:rsidRPr="00D41D30">
              <w:rPr>
                <w:rFonts w:hint="eastAsia"/>
                <w:color w:val="000000" w:themeColor="text1"/>
                <w:sz w:val="24"/>
                <w:szCs w:val="24"/>
              </w:rPr>
              <w:t>大安區</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color w:val="000000" w:themeColor="text1"/>
                <w:sz w:val="24"/>
                <w:szCs w:val="24"/>
              </w:rPr>
            </w:pPr>
            <w:r w:rsidRPr="00D41D30">
              <w:rPr>
                <w:rFonts w:hint="eastAsia"/>
                <w:color w:val="000000" w:themeColor="text1"/>
                <w:sz w:val="24"/>
                <w:szCs w:val="24"/>
              </w:rPr>
              <w:t>臺北市樂齡學習示範中心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color w:val="000000" w:themeColor="text1"/>
                <w:sz w:val="24"/>
                <w:szCs w:val="24"/>
              </w:rPr>
            </w:pPr>
            <w:r w:rsidRPr="00D41D30">
              <w:rPr>
                <w:rFonts w:hint="eastAsia"/>
                <w:color w:val="000000" w:themeColor="text1"/>
                <w:sz w:val="24"/>
                <w:szCs w:val="24"/>
              </w:rPr>
              <w:t>臺北市立圖書館諮詢服務課</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color w:val="000000" w:themeColor="text1"/>
                <w:sz w:val="24"/>
                <w:szCs w:val="24"/>
              </w:rPr>
            </w:pPr>
            <w:r w:rsidRPr="00D41D30">
              <w:rPr>
                <w:rFonts w:hint="eastAsia"/>
                <w:color w:val="000000" w:themeColor="text1"/>
                <w:sz w:val="24"/>
                <w:szCs w:val="24"/>
              </w:rPr>
              <w:t>中心以培養「創意閱讀」為特色，期望設置於圖書館的示範中心，能夠扮演推廣長者閱讀興趣與習慣的角色。</w:t>
            </w:r>
          </w:p>
        </w:tc>
      </w:tr>
      <w:tr w:rsidR="003872FF" w:rsidRPr="00D41D30" w:rsidTr="003872FF">
        <w:trPr>
          <w:trHeight w:val="18"/>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新北市</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板橋區</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新北市樂齡學習示範中心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新北市板橋區後埔國民小學</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於105年榮獲教育部「第3屆樂齡教育奉獻獎」團體特優等獎。</w:t>
            </w:r>
          </w:p>
        </w:tc>
      </w:tr>
      <w:tr w:rsidR="003872FF" w:rsidRPr="00D41D30" w:rsidTr="003872FF">
        <w:trPr>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臺中市</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北區</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臺中市樂齡學習示範中心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財團法人天主教曉明社會福利基金會</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以「五感」為出發點，透過聽、觸、視、嗅、味的方式，帶入各主題的課程，翻轉現在生命的看見，運用各類媒材來創造寶貴的生命精華的呈現。</w:t>
            </w:r>
          </w:p>
        </w:tc>
      </w:tr>
      <w:tr w:rsidR="003872FF" w:rsidRPr="00D41D30" w:rsidTr="003872FF">
        <w:trPr>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南投縣</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魚池鄉</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南投縣樂齡學習示範中心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南投縣樂齡教育文化發展協會</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中心以「樂齡生活、產業文化」為主要的特色課程，用魚池鄉特有的紅茶、蘭花、香菇等在地產業，除了協助樂齡學員學習各種專業知能，並將特色產業化身為彩繪的素材發展社會企業，建立南投縣不同凡響的樂齡產業，讓樂齡族在大自然及藝術的薰陶中，快樂的學習。</w:t>
            </w:r>
          </w:p>
        </w:tc>
      </w:tr>
      <w:tr w:rsidR="003872FF" w:rsidRPr="00D41D30" w:rsidTr="003872FF">
        <w:trPr>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雲林縣</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古坑鄉</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雲林縣樂齡學習示範中心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雲林縣古坑鄉公所</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規劃「長樂融合方案」與長照2.0整合，結合社區資源，社區與樂齡中心協力，將樂齡課程宅配至各村落、社區便利民眾學習。</w:t>
            </w:r>
          </w:p>
        </w:tc>
      </w:tr>
      <w:tr w:rsidR="003872FF" w:rsidRPr="00D41D30" w:rsidTr="003872FF">
        <w:trPr>
          <w:trHeight w:val="388"/>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嘉義縣</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水上鄉</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嘉義縣樂齡學習示範中心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嘉義縣水上鄉公所</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由於人口結構高齡化為因應「高齡社會」的來臨，規劃一系列專為55歲以上之樂齡族量身訂製的各類課程及活動，提供更豐富、多元的學習，透過樂齡教育的學習、改變、增能，促進中高齡者成功活躍老化，達到快樂學習忘記年齡之願景。</w:t>
            </w:r>
          </w:p>
        </w:tc>
      </w:tr>
      <w:tr w:rsidR="003872FF" w:rsidRPr="00D41D30" w:rsidTr="003872FF">
        <w:trPr>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lastRenderedPageBreak/>
              <w:t>臺南市</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麻豆區</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臺南市樂齡學習示範中心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臺南市幸福樂齡推展協會</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98年自創「宅配學習」模式，帶領團隊將學習送到最方便社區長者學習的地方。99年成立「藝陣學堂／十二婆姐陣」，帶領團隊參與社區藝文活動的演出，並廣為行銷樂齡。成立「柚香學堂／樂齡劇團」，帶領團隊進入小學巡迴演出阿公阿嬤的生命故事。</w:t>
            </w:r>
          </w:p>
        </w:tc>
      </w:tr>
      <w:tr w:rsidR="003872FF" w:rsidRPr="00D41D30" w:rsidTr="003872FF">
        <w:trPr>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高雄市</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前鎮區</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高雄市樂齡學習示範中心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高雄市前鎮區仁愛國民國小</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中心願景:健康長青，舞動人生。銀華菁英，風華再現。</w:t>
            </w:r>
          </w:p>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健康樂活，終身學習。快樂學習，忘記年齡。</w:t>
            </w:r>
          </w:p>
        </w:tc>
      </w:tr>
      <w:tr w:rsidR="003872FF" w:rsidRPr="00D41D30" w:rsidTr="003872FF">
        <w:trPr>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屏東縣</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屏東市</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屏東縣樂齡學習示範中心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社團法人屏東縣屏東市長青學苑服務協會</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成立至今即以美學為主，創造最美、最具彈性的學習空間，並以手機課程發展樂齡科技課程，並利用課程講義發行適合樂齡族閱讀的APP相關的工具書，更首創樂齡遊學趣課程，帶領長者透過遊學更認識在地特色及文化，並將學員作品以社會企業發展精神，讓學員「學以致用」嘉惠樂齡。</w:t>
            </w:r>
          </w:p>
        </w:tc>
      </w:tr>
      <w:tr w:rsidR="003872FF" w:rsidRPr="00D41D30" w:rsidTr="003872FF">
        <w:trPr>
          <w:trHeight w:val="33"/>
          <w:jc w:val="center"/>
        </w:trPr>
        <w:tc>
          <w:tcPr>
            <w:tcW w:w="644"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澎湖縣</w:t>
            </w:r>
          </w:p>
        </w:tc>
        <w:tc>
          <w:tcPr>
            <w:tcW w:w="676"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jc w:val="center"/>
              <w:rPr>
                <w:rFonts w:hAnsi="標楷體"/>
                <w:color w:val="000000" w:themeColor="text1"/>
                <w:sz w:val="24"/>
                <w:szCs w:val="24"/>
              </w:rPr>
            </w:pPr>
            <w:r w:rsidRPr="00D41D30">
              <w:rPr>
                <w:rFonts w:hAnsi="標楷體" w:hint="eastAsia"/>
                <w:color w:val="000000" w:themeColor="text1"/>
                <w:sz w:val="24"/>
                <w:szCs w:val="24"/>
              </w:rPr>
              <w:t>湖西鄉</w:t>
            </w:r>
          </w:p>
        </w:tc>
        <w:tc>
          <w:tcPr>
            <w:tcW w:w="808"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澎湖縣樂齡學習示範中心</w:t>
            </w:r>
          </w:p>
        </w:tc>
        <w:tc>
          <w:tcPr>
            <w:tcW w:w="1025" w:type="pct"/>
            <w:tcBorders>
              <w:top w:val="outset" w:sz="6" w:space="0" w:color="auto"/>
              <w:left w:val="outset" w:sz="6" w:space="0" w:color="auto"/>
              <w:bottom w:val="outset" w:sz="6" w:space="0" w:color="auto"/>
              <w:right w:val="outset" w:sz="6" w:space="0" w:color="auto"/>
            </w:tcBorders>
            <w:vAlign w:val="center"/>
            <w:hideMark/>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澎湖縣湖西鄉公所</w:t>
            </w:r>
          </w:p>
        </w:tc>
        <w:tc>
          <w:tcPr>
            <w:tcW w:w="1847" w:type="pct"/>
            <w:tcBorders>
              <w:top w:val="outset" w:sz="6" w:space="0" w:color="auto"/>
              <w:left w:val="outset" w:sz="6" w:space="0" w:color="auto"/>
              <w:bottom w:val="outset" w:sz="6" w:space="0" w:color="auto"/>
              <w:right w:val="outset" w:sz="6" w:space="0" w:color="auto"/>
            </w:tcBorders>
          </w:tcPr>
          <w:p w:rsidR="003872FF" w:rsidRPr="00D41D30" w:rsidRDefault="003872FF" w:rsidP="003872FF">
            <w:pPr>
              <w:spacing w:line="240" w:lineRule="exact"/>
              <w:rPr>
                <w:rFonts w:hAnsi="標楷體"/>
                <w:color w:val="000000" w:themeColor="text1"/>
                <w:sz w:val="24"/>
                <w:szCs w:val="24"/>
              </w:rPr>
            </w:pPr>
            <w:r w:rsidRPr="00D41D30">
              <w:rPr>
                <w:rFonts w:hAnsi="標楷體" w:hint="eastAsia"/>
                <w:color w:val="000000" w:themeColor="text1"/>
                <w:sz w:val="24"/>
                <w:szCs w:val="24"/>
              </w:rPr>
              <w:t>中心前身是由沙港社區發展協會於97年由社區理事長陳國禎承辦，102年在鄉長陳振中的支持下，在湖西成立樂齡中心，103年獲教育部核准成立全國第 12 所樂齡學習示範中心，104 年進行相關之設備及準備工作並於 105年揭牌儀式，打造出湖西好鄉樂齡生活。</w:t>
            </w:r>
          </w:p>
        </w:tc>
      </w:tr>
    </w:tbl>
    <w:p w:rsidR="003872FF" w:rsidRPr="00D41D30" w:rsidRDefault="003872FF" w:rsidP="003872FF">
      <w:pPr>
        <w:pStyle w:val="aff9"/>
        <w:rPr>
          <w:rFonts w:ascii="標楷體" w:eastAsia="標楷體" w:hAnsi="標楷體"/>
          <w:color w:val="000000" w:themeColor="text1"/>
          <w:sz w:val="24"/>
          <w:szCs w:val="24"/>
          <w:lang w:eastAsia="zh-TW"/>
        </w:rPr>
      </w:pPr>
      <w:r w:rsidRPr="00D41D30">
        <w:rPr>
          <w:rFonts w:ascii="標楷體" w:eastAsia="標楷體" w:hAnsi="標楷體" w:hint="eastAsia"/>
          <w:color w:val="000000" w:themeColor="text1"/>
          <w:sz w:val="24"/>
          <w:szCs w:val="24"/>
          <w:lang w:eastAsia="zh-TW"/>
        </w:rPr>
        <w:t xml:space="preserve">     資料來源：教育部樂齡學習網。</w:t>
      </w:r>
    </w:p>
    <w:p w:rsidR="003872FF" w:rsidRPr="00D41D30" w:rsidRDefault="003872FF" w:rsidP="00D41D30">
      <w:pPr>
        <w:pStyle w:val="3"/>
        <w:spacing w:beforeLines="100" w:before="457"/>
        <w:ind w:left="1360" w:hanging="680"/>
        <w:rPr>
          <w:color w:val="000000" w:themeColor="text1"/>
        </w:rPr>
      </w:pPr>
      <w:bookmarkStart w:id="1476" w:name="_Toc32673786"/>
      <w:bookmarkStart w:id="1477" w:name="_Toc32846665"/>
      <w:bookmarkStart w:id="1478" w:name="_Toc32918571"/>
      <w:bookmarkStart w:id="1479" w:name="_Toc33011860"/>
      <w:r w:rsidRPr="00D41D30">
        <w:rPr>
          <w:rFonts w:hint="eastAsia"/>
          <w:color w:val="000000" w:themeColor="text1"/>
        </w:rPr>
        <w:t>針對此項重要問題，經本院啟動調查後，教育部業於本院調查期間，於10</w:t>
      </w:r>
      <w:r w:rsidRPr="00D41D30">
        <w:rPr>
          <w:color w:val="000000" w:themeColor="text1"/>
        </w:rPr>
        <w:t>8</w:t>
      </w:r>
      <w:r w:rsidRPr="00D41D30">
        <w:rPr>
          <w:rFonts w:hint="eastAsia"/>
          <w:color w:val="000000" w:themeColor="text1"/>
        </w:rPr>
        <w:t>年6月6日已動態修正「教育部補助辦理樂齡學習活動及獎勵直轄市、</w:t>
      </w:r>
      <w:r w:rsidRPr="00D41D30">
        <w:rPr>
          <w:rFonts w:hint="eastAsia"/>
          <w:color w:val="000000" w:themeColor="text1"/>
        </w:rPr>
        <w:lastRenderedPageBreak/>
        <w:t>縣（市）政府辦理樂齡學習業務實施要點」</w:t>
      </w:r>
      <w:r w:rsidRPr="00D41D30">
        <w:rPr>
          <w:rStyle w:val="aff0"/>
          <w:color w:val="000000" w:themeColor="text1"/>
        </w:rPr>
        <w:footnoteReference w:id="30"/>
      </w:r>
      <w:r w:rsidRPr="00D41D30">
        <w:rPr>
          <w:rFonts w:hint="eastAsia"/>
          <w:color w:val="000000" w:themeColor="text1"/>
        </w:rPr>
        <w:t>第4點，相關規定略以：「四、補助計畫項目：下列補助對象開設之課程或辦理之活動，應以提供55歲以上人民參與為主，離島、偏鄉或原住民族地區，應優先予以經費補助：……（一）直轄市、縣（市）政府：1、樂齡中心：（１）經各直轄市、縣（市）政府遴選通過之申請單位，得依下列規定成立樂齡學習中心：</w:t>
      </w:r>
      <w:r w:rsidRPr="00D41D30">
        <w:rPr>
          <w:rFonts w:ascii="新細明體" w:eastAsia="新細明體" w:hAnsi="新細明體" w:cs="新細明體" w:hint="eastAsia"/>
          <w:color w:val="000000" w:themeColor="text1"/>
        </w:rPr>
        <w:t>①</w:t>
      </w:r>
      <w:r w:rsidRPr="00D41D30">
        <w:rPr>
          <w:rFonts w:hint="eastAsia"/>
          <w:color w:val="000000" w:themeColor="text1"/>
        </w:rPr>
        <w:t>新辦樂齡中心：新承辦之團隊。續辦樂齡中心：由原承辦之團隊辦理，或由原樂齡中心策略聯盟單位接辦。</w:t>
      </w:r>
      <w:r w:rsidRPr="00D41D30">
        <w:rPr>
          <w:rFonts w:ascii="新細明體" w:eastAsia="新細明體" w:hAnsi="新細明體" w:cs="新細明體" w:hint="eastAsia"/>
          <w:color w:val="000000" w:themeColor="text1"/>
        </w:rPr>
        <w:t>②</w:t>
      </w:r>
      <w:r w:rsidRPr="00D41D30">
        <w:rPr>
          <w:rFonts w:hint="eastAsia"/>
          <w:color w:val="000000" w:themeColor="text1"/>
        </w:rPr>
        <w:t>優質樂齡中心：續辦樂齡中心於前一年執行成效良好，且直轄市、縣（市）訪視為優等以上者，得推薦為優質中心。執行成效檢核項目包括課程內容、課程比例、特色課程、服務社團及拓點辦理。各直轄市、縣（市）政府以推薦一所優質樂齡中心為限。</w:t>
      </w:r>
      <w:r w:rsidRPr="00D41D30">
        <w:rPr>
          <w:rFonts w:ascii="新細明體" w:eastAsia="新細明體" w:hAnsi="新細明體" w:cs="新細明體" w:hint="eastAsia"/>
          <w:color w:val="000000" w:themeColor="text1"/>
        </w:rPr>
        <w:t>③</w:t>
      </w:r>
      <w:r w:rsidRPr="00D41D30">
        <w:rPr>
          <w:rFonts w:hint="eastAsia"/>
          <w:color w:val="000000" w:themeColor="text1"/>
        </w:rPr>
        <w:t>樂齡示範中心：成立後未曾更換過承辦團隊，且申辦前2年經直轄市、縣（市）政府訪視均為優等以上，得推薦為該直轄市、縣（市）樂齡學習示範中心。直轄市、縣（市）政府推薦後，並經本部審查通過後成立。</w:t>
      </w:r>
      <w:r w:rsidRPr="00D41D30">
        <w:rPr>
          <w:rFonts w:ascii="新細明體" w:eastAsia="新細明體" w:hAnsi="新細明體" w:cs="新細明體" w:hint="eastAsia"/>
          <w:color w:val="000000" w:themeColor="text1"/>
        </w:rPr>
        <w:t>④</w:t>
      </w:r>
      <w:r w:rsidRPr="00D41D30">
        <w:rPr>
          <w:rFonts w:hint="eastAsia"/>
          <w:color w:val="000000" w:themeColor="text1"/>
        </w:rPr>
        <w:t>樂齡學習優先推動區之中心：該鄉鎮市區老年人口比率超過百分之20以上，或該鄉（鎮、市、區）老年人口人數超過2萬人者，得加設一所樂齡學習中心。</w:t>
      </w:r>
      <w:r w:rsidRPr="00D41D30">
        <w:rPr>
          <w:rFonts w:ascii="新細明體" w:eastAsia="新細明體" w:hAnsi="新細明體" w:cs="新細明體" w:hint="eastAsia"/>
          <w:color w:val="000000" w:themeColor="text1"/>
        </w:rPr>
        <w:t>⑤</w:t>
      </w:r>
      <w:r w:rsidRPr="00D41D30">
        <w:rPr>
          <w:rFonts w:hint="eastAsia"/>
          <w:color w:val="000000" w:themeColor="text1"/>
        </w:rPr>
        <w:t>樂齡示範中心及優質樂齡中心，應支援直轄市、縣（市）政府推動未成立樂齡學習中心之地區，辦理其他有關高齡教育之相關事宜……。」爰針對</w:t>
      </w:r>
      <w:r w:rsidRPr="00D41D30">
        <w:rPr>
          <w:rFonts w:hAnsi="標楷體" w:hint="eastAsia"/>
          <w:color w:val="000000" w:themeColor="text1"/>
        </w:rPr>
        <w:t>樂齡示範中心未來相</w:t>
      </w:r>
      <w:r w:rsidRPr="00D41D30">
        <w:rPr>
          <w:rFonts w:hAnsi="標楷體" w:hint="eastAsia"/>
          <w:color w:val="000000" w:themeColor="text1"/>
        </w:rPr>
        <w:lastRenderedPageBreak/>
        <w:t>關定位及改善措施，108年12月26日教育部主管人員於本院詢問會議中表示：「示範中心係以『特色』為挑選依據，最高峰曾達12個，後來有些經營團隊換人後績效不彰，本部即不再定額補助，目前亦不再拓展，目前有建議規劃為績優中心，另外新住民學習中心、社區多功能學習中心等，但若要整合上述這些中心，地方政府均認為不可行……</w:t>
      </w:r>
      <w:r w:rsidRPr="00D41D30">
        <w:rPr>
          <w:rFonts w:hint="eastAsia"/>
          <w:color w:val="000000" w:themeColor="text1"/>
        </w:rPr>
        <w:t>」及</w:t>
      </w:r>
      <w:r w:rsidRPr="00D41D30">
        <w:rPr>
          <w:rFonts w:hAnsi="標楷體" w:hint="eastAsia"/>
          <w:color w:val="000000" w:themeColor="text1"/>
        </w:rPr>
        <w:t>「</w:t>
      </w:r>
      <w:r w:rsidRPr="00D41D30">
        <w:rPr>
          <w:rFonts w:hint="eastAsia"/>
          <w:color w:val="000000" w:themeColor="text1"/>
        </w:rPr>
        <w:t>……</w:t>
      </w:r>
      <w:r w:rsidRPr="00D41D30">
        <w:rPr>
          <w:rFonts w:hAnsi="標楷體" w:hint="eastAsia"/>
          <w:color w:val="000000" w:themeColor="text1"/>
        </w:rPr>
        <w:t>另外補充，樂齡中心確實有些是地方政府拜託來的……」</w:t>
      </w:r>
      <w:r w:rsidRPr="00D41D30">
        <w:rPr>
          <w:rFonts w:hint="eastAsia"/>
          <w:color w:val="000000" w:themeColor="text1"/>
        </w:rPr>
        <w:t>等語，顯示相關實務上亟待處理問題，在卷可稽</w:t>
      </w:r>
      <w:r w:rsidRPr="00D41D30">
        <w:rPr>
          <w:rFonts w:hAnsi="標楷體" w:hint="eastAsia"/>
          <w:color w:val="000000" w:themeColor="text1"/>
        </w:rPr>
        <w:t>。準此，</w:t>
      </w:r>
      <w:r w:rsidRPr="00D41D30">
        <w:rPr>
          <w:rFonts w:hint="eastAsia"/>
          <w:color w:val="000000" w:themeColor="text1"/>
        </w:rPr>
        <w:t>後續仍有待該部持續積極辦理相關品質保證措施及輔導機制，以期在各地樂齡學習中心等高齡教育機構數量快速擴充，提供較多學習機會之同時，更能確保有效均衡教育品質及內涵之推展。</w:t>
      </w:r>
      <w:bookmarkEnd w:id="1476"/>
      <w:bookmarkEnd w:id="1477"/>
      <w:bookmarkEnd w:id="1478"/>
      <w:bookmarkEnd w:id="1479"/>
    </w:p>
    <w:p w:rsidR="003872FF" w:rsidRPr="00D41D30" w:rsidRDefault="003872FF" w:rsidP="003872FF">
      <w:pPr>
        <w:pStyle w:val="3"/>
        <w:rPr>
          <w:color w:val="000000" w:themeColor="text1"/>
        </w:rPr>
      </w:pPr>
      <w:bookmarkStart w:id="1480" w:name="_Toc30512603"/>
      <w:bookmarkStart w:id="1481" w:name="_Toc30581311"/>
      <w:bookmarkStart w:id="1482" w:name="_Toc32392591"/>
      <w:bookmarkStart w:id="1483" w:name="_Toc32673787"/>
      <w:bookmarkStart w:id="1484" w:name="_Toc32846666"/>
      <w:bookmarkStart w:id="1485" w:name="_Toc32918572"/>
      <w:bookmarkStart w:id="1486" w:name="_Toc33011861"/>
      <w:bookmarkEnd w:id="1465"/>
      <w:bookmarkEnd w:id="1466"/>
      <w:bookmarkEnd w:id="1467"/>
      <w:r w:rsidRPr="00D41D30">
        <w:rPr>
          <w:rFonts w:hint="eastAsia"/>
          <w:color w:val="000000" w:themeColor="text1"/>
        </w:rPr>
        <w:t>又查，各區樂齡學習中心於108年已設置366所，分布於358個鄉鎮，在地化策略濃厚，部分更具地方文化特色。此外，依本院諮詢會議學者提出：「政府的力量有限，民間力量無窮，教育部終身教育司的社教機構及教育基金會科，下轄約700多個基金會，……目前我國高齡教育的著力非常淺層，並不是那麼專業，建議教育部或可導入所轄相關民間（文教）基金會力量及資源，協助辦理高齡教育，以期強化各界參與並減少公帑及人力支出……。」等相關建議意見，堪值教育部深思。故本院同時關注樂齡學習中心相關民間資源配置及運用情形，據教育部回復：</w:t>
      </w:r>
      <w:r w:rsidRPr="00D41D30">
        <w:rPr>
          <w:rFonts w:hAnsi="標楷體" w:hint="eastAsia"/>
          <w:color w:val="000000" w:themeColor="text1"/>
        </w:rPr>
        <w:t>「</w:t>
      </w:r>
      <w:r w:rsidRPr="00D41D30">
        <w:rPr>
          <w:rFonts w:hAnsi="標楷體" w:hint="eastAsia"/>
          <w:color w:val="000000" w:themeColor="text1"/>
          <w:szCs w:val="32"/>
        </w:rPr>
        <w:t>全國各縣市樂齡中心辦理單位包含學校、基層行政機關及民間團體與農會、漁會等，各單位均運用所長結合課程，加乘推動樂齡學習工作之效能，例如鄉鎮公所執行之樂齡中心，除本部所規範之課程</w:t>
      </w:r>
      <w:r w:rsidRPr="00D41D30">
        <w:rPr>
          <w:rFonts w:hAnsi="標楷體" w:hint="eastAsia"/>
          <w:color w:val="000000" w:themeColor="text1"/>
          <w:szCs w:val="32"/>
        </w:rPr>
        <w:lastRenderedPageBreak/>
        <w:t>外，更透過自編配合款，加強所轄鄉鎮長者的多元學習活動；學校單位則透過課堂的代間學習，進行文化傳承或資訊互動學習；圖書館所辦理之樂齡中心，則培訓爺奶說故事，或以戲劇的方式表演故事；而民間團體所辦理之樂齡中心，展現其動能，廣結地方資源，提供長者學習機會，並運用管道將作品變成產品</w:t>
      </w:r>
      <w:r w:rsidRPr="00D41D30">
        <w:rPr>
          <w:rFonts w:hint="eastAsia"/>
          <w:color w:val="000000" w:themeColor="text1"/>
        </w:rPr>
        <w:t>。</w:t>
      </w:r>
      <w:r w:rsidRPr="00D41D30">
        <w:rPr>
          <w:rFonts w:hAnsi="標楷體" w:hint="eastAsia"/>
          <w:color w:val="000000" w:themeColor="text1"/>
        </w:rPr>
        <w:t>」</w:t>
      </w:r>
      <w:r w:rsidRPr="00D41D30">
        <w:rPr>
          <w:rFonts w:hint="eastAsia"/>
          <w:color w:val="000000" w:themeColor="text1"/>
        </w:rPr>
        <w:t>惟經本院檢視教育部提供103年度至108年度各縣市樂齡學習中心執行單位，經彙整如下表，由表中可見歷年樂齡中心執行單位原以學校為多，民間團體次之，自107年開始已呈現民間團體居多之趨勢，實已能呼應學者之建議意見，然仍有大幅改善空間，況相關異業結盟機制部分，歷年樂齡學習中心均僅占1-2%，教育部實應研議強化民間異業結盟。加以，本院經履勘各學校執行之樂齡中心及座談會議發現，各校承辦人意願及熱度落差不一，教育部實應確實評估各校承辦意願及可行性，建立相關退場機制，並積極引進民間力量參與高齡教育之推動。</w:t>
      </w:r>
      <w:bookmarkEnd w:id="1480"/>
      <w:bookmarkEnd w:id="1481"/>
      <w:bookmarkEnd w:id="1482"/>
      <w:r w:rsidRPr="00D41D30">
        <w:rPr>
          <w:rFonts w:hint="eastAsia"/>
          <w:color w:val="000000" w:themeColor="text1"/>
        </w:rPr>
        <w:t>現行民間參與情形如后：</w:t>
      </w:r>
      <w:bookmarkEnd w:id="1483"/>
      <w:bookmarkEnd w:id="1484"/>
      <w:bookmarkEnd w:id="1485"/>
      <w:bookmarkEnd w:id="1486"/>
    </w:p>
    <w:p w:rsidR="003872FF" w:rsidRPr="00D41D30" w:rsidRDefault="003872FF" w:rsidP="003872FF">
      <w:pPr>
        <w:pStyle w:val="a4"/>
        <w:ind w:left="697" w:firstLine="12"/>
        <w:rPr>
          <w:b/>
          <w:color w:val="000000" w:themeColor="text1"/>
        </w:rPr>
      </w:pPr>
      <w:r w:rsidRPr="00D41D30">
        <w:rPr>
          <w:rFonts w:hint="eastAsia"/>
          <w:b/>
          <w:color w:val="000000" w:themeColor="text1"/>
        </w:rPr>
        <w:t>103-108年樂齡學習中心之執行單位</w:t>
      </w:r>
    </w:p>
    <w:p w:rsidR="003872FF" w:rsidRPr="00D41D30" w:rsidRDefault="003872FF" w:rsidP="003872FF">
      <w:pPr>
        <w:rPr>
          <w:color w:val="000000" w:themeColor="text1"/>
          <w:sz w:val="24"/>
          <w:szCs w:val="24"/>
        </w:rPr>
      </w:pPr>
      <w:r w:rsidRPr="00D41D30">
        <w:rPr>
          <w:rFonts w:hint="eastAsia"/>
          <w:color w:val="000000" w:themeColor="text1"/>
        </w:rPr>
        <w:t xml:space="preserve">                                          </w:t>
      </w:r>
      <w:bookmarkStart w:id="1487" w:name="_Toc30512604"/>
      <w:bookmarkStart w:id="1488" w:name="_Toc30581312"/>
      <w:bookmarkStart w:id="1489" w:name="_Toc32392592"/>
      <w:bookmarkStart w:id="1490" w:name="_Toc32673788"/>
      <w:bookmarkStart w:id="1491" w:name="_Toc32846667"/>
      <w:bookmarkStart w:id="1492" w:name="_Toc32918573"/>
      <w:r w:rsidRPr="00D41D30">
        <w:rPr>
          <w:rFonts w:hint="eastAsia"/>
          <w:color w:val="000000" w:themeColor="text1"/>
          <w:sz w:val="24"/>
          <w:szCs w:val="24"/>
        </w:rPr>
        <w:t>單位：家；%</w:t>
      </w:r>
      <w:bookmarkEnd w:id="1487"/>
      <w:bookmarkEnd w:id="1488"/>
      <w:bookmarkEnd w:id="1489"/>
      <w:bookmarkEnd w:id="1490"/>
      <w:bookmarkEnd w:id="1491"/>
      <w:bookmarkEnd w:id="1492"/>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59"/>
        <w:gridCol w:w="1134"/>
        <w:gridCol w:w="1276"/>
        <w:gridCol w:w="1541"/>
        <w:gridCol w:w="1276"/>
        <w:gridCol w:w="978"/>
        <w:gridCol w:w="599"/>
      </w:tblGrid>
      <w:tr w:rsidR="003872FF" w:rsidRPr="00D41D30" w:rsidTr="003872FF">
        <w:trPr>
          <w:trHeight w:val="972"/>
          <w:tblHeader/>
          <w:jc w:val="center"/>
        </w:trPr>
        <w:tc>
          <w:tcPr>
            <w:tcW w:w="846" w:type="dxa"/>
            <w:shd w:val="clear" w:color="auto" w:fill="auto"/>
            <w:noWrap/>
            <w:vAlign w:val="center"/>
            <w:hideMark/>
          </w:tcPr>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年度</w:t>
            </w:r>
          </w:p>
        </w:tc>
        <w:tc>
          <w:tcPr>
            <w:tcW w:w="1559" w:type="dxa"/>
            <w:shd w:val="clear" w:color="auto" w:fill="auto"/>
            <w:vAlign w:val="center"/>
            <w:hideMark/>
          </w:tcPr>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中心總數及占比</w:t>
            </w:r>
          </w:p>
        </w:tc>
        <w:tc>
          <w:tcPr>
            <w:tcW w:w="1134" w:type="dxa"/>
            <w:shd w:val="clear" w:color="auto" w:fill="auto"/>
            <w:noWrap/>
            <w:hideMark/>
          </w:tcPr>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學校</w:t>
            </w:r>
          </w:p>
        </w:tc>
        <w:tc>
          <w:tcPr>
            <w:tcW w:w="1276" w:type="dxa"/>
            <w:shd w:val="clear" w:color="auto" w:fill="auto"/>
            <w:noWrap/>
            <w:hideMark/>
          </w:tcPr>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民間</w:t>
            </w:r>
          </w:p>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團體</w:t>
            </w:r>
          </w:p>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（註1）</w:t>
            </w:r>
          </w:p>
        </w:tc>
        <w:tc>
          <w:tcPr>
            <w:tcW w:w="1541" w:type="dxa"/>
            <w:shd w:val="clear" w:color="auto" w:fill="auto"/>
            <w:hideMark/>
          </w:tcPr>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政府機關及所屬單位</w:t>
            </w:r>
          </w:p>
        </w:tc>
        <w:tc>
          <w:tcPr>
            <w:tcW w:w="1276" w:type="dxa"/>
            <w:shd w:val="clear" w:color="auto" w:fill="auto"/>
            <w:noWrap/>
            <w:hideMark/>
          </w:tcPr>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異業結盟機制</w:t>
            </w:r>
          </w:p>
          <w:p w:rsidR="003872FF" w:rsidRPr="00D41D30" w:rsidRDefault="003872FF" w:rsidP="003872FF">
            <w:pPr>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（註2）</w:t>
            </w:r>
          </w:p>
        </w:tc>
        <w:tc>
          <w:tcPr>
            <w:tcW w:w="978" w:type="dxa"/>
          </w:tcPr>
          <w:p w:rsidR="003872FF" w:rsidRPr="00D41D30" w:rsidRDefault="003872FF" w:rsidP="003872FF">
            <w:pPr>
              <w:adjustRightInd w:val="0"/>
              <w:snapToGrid w:val="0"/>
              <w:spacing w:beforeLines="50" w:before="228"/>
              <w:jc w:val="center"/>
              <w:rPr>
                <w:rFonts w:hAnsi="標楷體"/>
                <w:b/>
                <w:color w:val="000000" w:themeColor="text1"/>
                <w:sz w:val="24"/>
                <w:szCs w:val="24"/>
              </w:rPr>
            </w:pPr>
            <w:r w:rsidRPr="00D41D30">
              <w:rPr>
                <w:rFonts w:hAnsi="標楷體" w:hint="eastAsia"/>
                <w:b/>
                <w:color w:val="000000" w:themeColor="text1"/>
                <w:sz w:val="24"/>
                <w:szCs w:val="24"/>
              </w:rPr>
              <w:t>宗教組織</w:t>
            </w:r>
          </w:p>
        </w:tc>
        <w:tc>
          <w:tcPr>
            <w:tcW w:w="599" w:type="dxa"/>
          </w:tcPr>
          <w:p w:rsidR="003872FF" w:rsidRPr="00D41D30" w:rsidRDefault="003872FF" w:rsidP="003872FF">
            <w:pPr>
              <w:adjustRightInd w:val="0"/>
              <w:snapToGrid w:val="0"/>
              <w:spacing w:beforeLines="50" w:before="228"/>
              <w:jc w:val="center"/>
              <w:rPr>
                <w:rFonts w:hAnsi="標楷體"/>
                <w:b/>
                <w:color w:val="000000" w:themeColor="text1"/>
                <w:sz w:val="24"/>
                <w:szCs w:val="24"/>
              </w:rPr>
            </w:pPr>
            <w:r w:rsidRPr="00D41D30">
              <w:rPr>
                <w:rFonts w:hAnsi="標楷體" w:hint="eastAsia"/>
                <w:b/>
                <w:color w:val="000000" w:themeColor="text1"/>
                <w:sz w:val="24"/>
                <w:szCs w:val="24"/>
              </w:rPr>
              <w:t>其他</w:t>
            </w:r>
          </w:p>
        </w:tc>
      </w:tr>
      <w:tr w:rsidR="003872FF" w:rsidRPr="00D41D30" w:rsidTr="003872FF">
        <w:trPr>
          <w:trHeight w:val="324"/>
          <w:jc w:val="center"/>
        </w:trPr>
        <w:tc>
          <w:tcPr>
            <w:tcW w:w="846" w:type="dxa"/>
            <w:vMerge w:val="restart"/>
            <w:shd w:val="clear" w:color="auto" w:fill="auto"/>
            <w:noWrap/>
            <w:vAlign w:val="center"/>
            <w:hideMark/>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103</w:t>
            </w:r>
          </w:p>
        </w:tc>
        <w:tc>
          <w:tcPr>
            <w:tcW w:w="1559" w:type="dxa"/>
            <w:shd w:val="clear" w:color="auto" w:fill="auto"/>
            <w:noWrap/>
            <w:hideMark/>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306</w:t>
            </w:r>
          </w:p>
        </w:tc>
        <w:tc>
          <w:tcPr>
            <w:tcW w:w="1134" w:type="dxa"/>
            <w:shd w:val="clear" w:color="auto" w:fill="auto"/>
            <w:noWrap/>
            <w:hideMark/>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147</w:t>
            </w:r>
          </w:p>
        </w:tc>
        <w:tc>
          <w:tcPr>
            <w:tcW w:w="1276" w:type="dxa"/>
            <w:shd w:val="clear" w:color="auto" w:fill="auto"/>
            <w:noWrap/>
            <w:hideMark/>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118</w:t>
            </w:r>
          </w:p>
        </w:tc>
        <w:tc>
          <w:tcPr>
            <w:tcW w:w="1541" w:type="dxa"/>
            <w:shd w:val="clear" w:color="auto" w:fill="auto"/>
            <w:noWrap/>
            <w:hideMark/>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36</w:t>
            </w:r>
          </w:p>
        </w:tc>
        <w:tc>
          <w:tcPr>
            <w:tcW w:w="1276" w:type="dxa"/>
            <w:shd w:val="clear" w:color="auto" w:fill="auto"/>
            <w:noWrap/>
            <w:hideMark/>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4</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0</w:t>
            </w:r>
          </w:p>
        </w:tc>
      </w:tr>
      <w:tr w:rsidR="003872FF" w:rsidRPr="00D41D30" w:rsidTr="003872FF">
        <w:trPr>
          <w:trHeight w:val="324"/>
          <w:jc w:val="center"/>
        </w:trPr>
        <w:tc>
          <w:tcPr>
            <w:tcW w:w="846" w:type="dxa"/>
            <w:vMerge/>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100%</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48.04%</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38.56%</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11.76%</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1.31%</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0.33%</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0</w:t>
            </w:r>
          </w:p>
        </w:tc>
      </w:tr>
      <w:tr w:rsidR="003872FF" w:rsidRPr="00D41D30" w:rsidTr="003872FF">
        <w:trPr>
          <w:trHeight w:val="324"/>
          <w:jc w:val="center"/>
        </w:trPr>
        <w:tc>
          <w:tcPr>
            <w:tcW w:w="846" w:type="dxa"/>
            <w:vMerge w:val="restart"/>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104</w:t>
            </w: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313</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142</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132</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35</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4</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0</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0</w:t>
            </w:r>
          </w:p>
        </w:tc>
      </w:tr>
      <w:tr w:rsidR="003872FF" w:rsidRPr="00D41D30" w:rsidTr="003872FF">
        <w:trPr>
          <w:trHeight w:val="324"/>
          <w:jc w:val="center"/>
        </w:trPr>
        <w:tc>
          <w:tcPr>
            <w:tcW w:w="846" w:type="dxa"/>
            <w:vMerge/>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100</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45.37%</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42.17%</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11.18%</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1.28%</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0</w:t>
            </w:r>
            <w:r w:rsidRPr="00D41D30">
              <w:rPr>
                <w:rFonts w:hAnsi="標楷體"/>
                <w:color w:val="000000" w:themeColor="text1"/>
                <w:sz w:val="24"/>
                <w:szCs w:val="24"/>
              </w:rPr>
              <w:t>%</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0</w:t>
            </w:r>
          </w:p>
        </w:tc>
      </w:tr>
      <w:tr w:rsidR="003872FF" w:rsidRPr="00D41D30" w:rsidTr="003872FF">
        <w:trPr>
          <w:trHeight w:val="324"/>
          <w:jc w:val="center"/>
        </w:trPr>
        <w:tc>
          <w:tcPr>
            <w:tcW w:w="846" w:type="dxa"/>
            <w:vMerge w:val="restart"/>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105</w:t>
            </w: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339</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148</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146</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39</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6</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r w:rsidR="003872FF" w:rsidRPr="00D41D30" w:rsidTr="003872FF">
        <w:trPr>
          <w:trHeight w:val="324"/>
          <w:jc w:val="center"/>
        </w:trPr>
        <w:tc>
          <w:tcPr>
            <w:tcW w:w="846" w:type="dxa"/>
            <w:vMerge/>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100%</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43.66%</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43.07%</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11.50%</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1.77%</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r w:rsidR="003872FF" w:rsidRPr="00D41D30" w:rsidTr="003872FF">
        <w:trPr>
          <w:trHeight w:val="324"/>
          <w:jc w:val="center"/>
        </w:trPr>
        <w:tc>
          <w:tcPr>
            <w:tcW w:w="846" w:type="dxa"/>
            <w:vMerge w:val="restart"/>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106</w:t>
            </w: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361</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155</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158</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41</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6</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r w:rsidR="003872FF" w:rsidRPr="00D41D30" w:rsidTr="003872FF">
        <w:trPr>
          <w:trHeight w:val="324"/>
          <w:jc w:val="center"/>
        </w:trPr>
        <w:tc>
          <w:tcPr>
            <w:tcW w:w="846" w:type="dxa"/>
            <w:vMerge/>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100%</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42.94%</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43.77%</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11.36%</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1.66%</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0.27%</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r w:rsidR="003872FF" w:rsidRPr="00D41D30" w:rsidTr="003872FF">
        <w:trPr>
          <w:trHeight w:val="324"/>
          <w:jc w:val="center"/>
        </w:trPr>
        <w:tc>
          <w:tcPr>
            <w:tcW w:w="846" w:type="dxa"/>
            <w:vMerge w:val="restart"/>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lastRenderedPageBreak/>
              <w:t>107</w:t>
            </w: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368</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154</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162</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45</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6</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r w:rsidR="003872FF" w:rsidRPr="00D41D30" w:rsidTr="003872FF">
        <w:trPr>
          <w:trHeight w:val="324"/>
          <w:jc w:val="center"/>
        </w:trPr>
        <w:tc>
          <w:tcPr>
            <w:tcW w:w="846" w:type="dxa"/>
            <w:vMerge/>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100%</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41.85%</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44.02%</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12.23%</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1.63%</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0.27%</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r w:rsidR="003872FF" w:rsidRPr="00D41D30" w:rsidTr="003872FF">
        <w:trPr>
          <w:trHeight w:val="324"/>
          <w:jc w:val="center"/>
        </w:trPr>
        <w:tc>
          <w:tcPr>
            <w:tcW w:w="846" w:type="dxa"/>
            <w:vMerge w:val="restart"/>
            <w:shd w:val="clear" w:color="auto" w:fill="auto"/>
            <w:noWrap/>
            <w:vAlign w:val="center"/>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hint="eastAsia"/>
                <w:color w:val="000000" w:themeColor="text1"/>
                <w:sz w:val="24"/>
                <w:szCs w:val="24"/>
              </w:rPr>
              <w:t>108</w:t>
            </w: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366</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154</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162</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43</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6</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r w:rsidR="003872FF" w:rsidRPr="00D41D30" w:rsidTr="003872FF">
        <w:trPr>
          <w:trHeight w:val="324"/>
          <w:jc w:val="center"/>
        </w:trPr>
        <w:tc>
          <w:tcPr>
            <w:tcW w:w="846" w:type="dxa"/>
            <w:vMerge/>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p>
        </w:tc>
        <w:tc>
          <w:tcPr>
            <w:tcW w:w="1559"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100%</w:t>
            </w:r>
          </w:p>
        </w:tc>
        <w:tc>
          <w:tcPr>
            <w:tcW w:w="1134"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42.08%</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44.26%</w:t>
            </w:r>
          </w:p>
        </w:tc>
        <w:tc>
          <w:tcPr>
            <w:tcW w:w="1541"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11.75%</w:t>
            </w:r>
          </w:p>
        </w:tc>
        <w:tc>
          <w:tcPr>
            <w:tcW w:w="1276" w:type="dxa"/>
            <w:shd w:val="clear" w:color="auto" w:fill="auto"/>
            <w:noWrap/>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1.64%</w:t>
            </w:r>
          </w:p>
        </w:tc>
        <w:tc>
          <w:tcPr>
            <w:tcW w:w="978"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0.27%</w:t>
            </w:r>
          </w:p>
        </w:tc>
        <w:tc>
          <w:tcPr>
            <w:tcW w:w="599" w:type="dxa"/>
          </w:tcPr>
          <w:p w:rsidR="003872FF" w:rsidRPr="00D41D30" w:rsidRDefault="003872FF" w:rsidP="003872FF">
            <w:pPr>
              <w:adjustRightInd w:val="0"/>
              <w:snapToGrid w:val="0"/>
              <w:jc w:val="center"/>
              <w:rPr>
                <w:rFonts w:hAnsi="標楷體"/>
                <w:color w:val="000000" w:themeColor="text1"/>
                <w:sz w:val="24"/>
                <w:szCs w:val="24"/>
              </w:rPr>
            </w:pPr>
            <w:r w:rsidRPr="00D41D30">
              <w:rPr>
                <w:rFonts w:hAnsi="標楷體"/>
                <w:color w:val="000000" w:themeColor="text1"/>
                <w:sz w:val="24"/>
                <w:szCs w:val="24"/>
              </w:rPr>
              <w:t>0</w:t>
            </w:r>
          </w:p>
        </w:tc>
      </w:tr>
    </w:tbl>
    <w:p w:rsidR="003872FF" w:rsidRPr="00D41D30" w:rsidRDefault="003872FF" w:rsidP="003872FF">
      <w:pPr>
        <w:pStyle w:val="af8"/>
        <w:spacing w:after="0"/>
        <w:rPr>
          <w:color w:val="000000" w:themeColor="text1"/>
          <w:sz w:val="24"/>
          <w:szCs w:val="24"/>
        </w:rPr>
      </w:pPr>
      <w:bookmarkStart w:id="1493" w:name="_Toc30512605"/>
      <w:bookmarkStart w:id="1494" w:name="_Toc30581313"/>
      <w:bookmarkStart w:id="1495" w:name="_Toc32392593"/>
      <w:bookmarkStart w:id="1496" w:name="_Toc32673789"/>
      <w:bookmarkStart w:id="1497" w:name="_Toc32846668"/>
      <w:bookmarkStart w:id="1498" w:name="_Toc32918574"/>
      <w:r w:rsidRPr="00D41D30">
        <w:rPr>
          <w:rFonts w:hint="eastAsia"/>
          <w:color w:val="000000" w:themeColor="text1"/>
          <w:sz w:val="24"/>
          <w:szCs w:val="24"/>
        </w:rPr>
        <w:t>資料來源：教育部。</w:t>
      </w:r>
      <w:bookmarkEnd w:id="1493"/>
      <w:bookmarkEnd w:id="1494"/>
      <w:bookmarkEnd w:id="1495"/>
      <w:bookmarkEnd w:id="1496"/>
      <w:bookmarkEnd w:id="1497"/>
      <w:bookmarkEnd w:id="1498"/>
    </w:p>
    <w:p w:rsidR="003872FF" w:rsidRPr="00D41D30" w:rsidRDefault="003872FF" w:rsidP="003872FF">
      <w:pPr>
        <w:pStyle w:val="af8"/>
        <w:spacing w:after="0"/>
        <w:ind w:left="480" w:hangingChars="200" w:hanging="480"/>
        <w:rPr>
          <w:color w:val="000000" w:themeColor="text1"/>
          <w:sz w:val="24"/>
          <w:szCs w:val="24"/>
        </w:rPr>
      </w:pPr>
      <w:bookmarkStart w:id="1499" w:name="_Toc30512606"/>
      <w:bookmarkStart w:id="1500" w:name="_Toc30581314"/>
      <w:bookmarkStart w:id="1501" w:name="_Toc32392594"/>
      <w:bookmarkStart w:id="1502" w:name="_Toc32673790"/>
      <w:bookmarkStart w:id="1503" w:name="_Toc32846669"/>
      <w:bookmarkStart w:id="1504" w:name="_Toc32918575"/>
      <w:r w:rsidRPr="00D41D30">
        <w:rPr>
          <w:rFonts w:hint="eastAsia"/>
          <w:color w:val="000000" w:themeColor="text1"/>
          <w:sz w:val="24"/>
          <w:szCs w:val="24"/>
        </w:rPr>
        <w:t xml:space="preserve">註：1.民間團體係以立案之民間組織為主，如財團法人、社團法人之基金會或協會。   </w:t>
      </w:r>
      <w:r w:rsidRPr="00D41D30">
        <w:rPr>
          <w:color w:val="000000" w:themeColor="text1"/>
          <w:sz w:val="24"/>
          <w:szCs w:val="24"/>
        </w:rPr>
        <w:t>2.</w:t>
      </w:r>
      <w:r w:rsidRPr="00D41D30">
        <w:rPr>
          <w:rFonts w:hint="eastAsia"/>
          <w:color w:val="000000" w:themeColor="text1"/>
          <w:sz w:val="24"/>
          <w:szCs w:val="24"/>
        </w:rPr>
        <w:t>異業結盟機制為農會與醫院（臺中市梧棲區）。</w:t>
      </w:r>
      <w:bookmarkEnd w:id="1499"/>
      <w:bookmarkEnd w:id="1500"/>
      <w:bookmarkEnd w:id="1501"/>
      <w:bookmarkEnd w:id="1502"/>
      <w:bookmarkEnd w:id="1503"/>
      <w:bookmarkEnd w:id="1504"/>
    </w:p>
    <w:p w:rsidR="003872FF" w:rsidRPr="00D41D30" w:rsidRDefault="003872FF" w:rsidP="003872FF">
      <w:pPr>
        <w:pStyle w:val="3"/>
        <w:spacing w:beforeLines="100" w:before="457"/>
        <w:ind w:left="1360" w:hanging="680"/>
        <w:rPr>
          <w:color w:val="000000" w:themeColor="text1"/>
        </w:rPr>
      </w:pPr>
      <w:bookmarkStart w:id="1505" w:name="_Toc30512607"/>
      <w:bookmarkStart w:id="1506" w:name="_Toc30581315"/>
      <w:bookmarkStart w:id="1507" w:name="_Toc32392595"/>
      <w:bookmarkStart w:id="1508" w:name="_Toc32673791"/>
      <w:bookmarkStart w:id="1509" w:name="_Toc32846670"/>
      <w:bookmarkStart w:id="1510" w:name="_Toc32918576"/>
      <w:bookmarkStart w:id="1511" w:name="_Toc33011862"/>
      <w:bookmarkEnd w:id="1505"/>
      <w:bookmarkEnd w:id="1506"/>
      <w:bookmarkEnd w:id="1507"/>
      <w:r w:rsidRPr="00D41D30">
        <w:rPr>
          <w:rFonts w:hint="eastAsia"/>
          <w:color w:val="000000" w:themeColor="text1"/>
        </w:rPr>
        <w:t>另查，關於調查樂齡學習中心之人力需求及意願落差情形，不乏充滿熱情意願之樂齡中心，如某樂齡中心承辦學校主任分享：「因為我是最年輕的主任，所以被交付此項工作，辦樂齡之前非常害怕老人家，被賦予使命後，我開始念成教所，開始背長輩的名字，發現老人家非常關心我，會提供喜歡的食物，她們會把我當成家人互相關心……。」等語，突顯地方學校在地經營樂齡教育熱忱，有助於長者對整體教育措施之投入。惟本院於中</w:t>
      </w:r>
      <w:r w:rsidRPr="00D41D30">
        <w:rPr>
          <w:rFonts w:hAnsi="標楷體" w:hint="eastAsia"/>
          <w:color w:val="000000" w:themeColor="text1"/>
        </w:rPr>
        <w:t>、</w:t>
      </w:r>
      <w:r w:rsidRPr="00D41D30">
        <w:rPr>
          <w:rFonts w:hint="eastAsia"/>
          <w:color w:val="000000" w:themeColor="text1"/>
        </w:rPr>
        <w:t>南區履勘簡報及座談會議亦有相關意見指稱：</w:t>
      </w:r>
      <w:r w:rsidRPr="00D41D30">
        <w:rPr>
          <w:rFonts w:hAnsi="標楷體" w:hint="eastAsia"/>
          <w:color w:val="000000" w:themeColor="text1"/>
        </w:rPr>
        <w:t>「偏鄉應該更關注，偏鄉有如此多的困難，終身教育司有解決之道嗎，人力還有經費都是困難，終身教育司只能給鐘點人力費用，有關樂齡中心的行政人力是否可請教育局（處）協助，學校讀書的人愈來愈少，是否可請學校相關人力協助，仰賴副局長提出看法、意見、突破、創新，看如何解決</w:t>
      </w:r>
      <w:r w:rsidRPr="00D41D30">
        <w:rPr>
          <w:rFonts w:hint="eastAsia"/>
          <w:color w:val="000000" w:themeColor="text1"/>
        </w:rPr>
        <w:t>……。</w:t>
      </w:r>
      <w:r w:rsidRPr="00D41D30">
        <w:rPr>
          <w:rFonts w:hAnsi="標楷體" w:hint="eastAsia"/>
          <w:color w:val="000000" w:themeColor="text1"/>
        </w:rPr>
        <w:t>」、「1、經費補助不穩定；2、拓點永續，稀釋課程；3、行政雜事繁多，易造成開課教學品質下降</w:t>
      </w:r>
      <w:r w:rsidRPr="00D41D30">
        <w:rPr>
          <w:rFonts w:hint="eastAsia"/>
          <w:color w:val="000000" w:themeColor="text1"/>
        </w:rPr>
        <w:t>……</w:t>
      </w:r>
      <w:r w:rsidRPr="00D41D30">
        <w:rPr>
          <w:rFonts w:hAnsi="標楷體" w:hint="eastAsia"/>
          <w:color w:val="000000" w:themeColor="text1"/>
        </w:rPr>
        <w:t>。」等意見</w:t>
      </w:r>
      <w:r w:rsidRPr="00D41D30">
        <w:rPr>
          <w:rFonts w:hint="eastAsia"/>
          <w:color w:val="000000" w:themeColor="text1"/>
        </w:rPr>
        <w:t>。惟此等相關制度性問題過去即已浮現，依101年度北區樂齡學習中心輔導計畫之檢討與建議</w:t>
      </w:r>
      <w:r w:rsidRPr="00D41D30">
        <w:rPr>
          <w:rFonts w:hAnsi="標楷體" w:hint="eastAsia"/>
          <w:color w:val="000000" w:themeColor="text1"/>
        </w:rPr>
        <w:t>（</w:t>
      </w:r>
      <w:r w:rsidRPr="00D41D30">
        <w:rPr>
          <w:rFonts w:hint="eastAsia"/>
          <w:color w:val="000000" w:themeColor="text1"/>
        </w:rPr>
        <w:t>張德永</w:t>
      </w:r>
      <w:r w:rsidRPr="00D41D30">
        <w:rPr>
          <w:rFonts w:hAnsi="標楷體" w:hint="eastAsia"/>
          <w:color w:val="000000" w:themeColor="text1"/>
        </w:rPr>
        <w:t>、劉采婷，</w:t>
      </w:r>
      <w:r w:rsidRPr="00D41D30">
        <w:rPr>
          <w:rFonts w:hAnsi="標楷體" w:hint="eastAsia"/>
          <w:color w:val="000000" w:themeColor="text1"/>
        </w:rPr>
        <w:lastRenderedPageBreak/>
        <w:t>民1</w:t>
      </w:r>
      <w:r w:rsidRPr="00D41D30">
        <w:rPr>
          <w:rFonts w:hAnsi="標楷體"/>
          <w:color w:val="000000" w:themeColor="text1"/>
        </w:rPr>
        <w:t>03</w:t>
      </w:r>
      <w:r w:rsidRPr="00D41D30">
        <w:rPr>
          <w:rFonts w:hAnsi="標楷體" w:hint="eastAsia"/>
          <w:color w:val="000000" w:themeColor="text1"/>
        </w:rPr>
        <w:t>）</w:t>
      </w:r>
      <w:r w:rsidRPr="00D41D30">
        <w:rPr>
          <w:rStyle w:val="aff0"/>
          <w:color w:val="000000" w:themeColor="text1"/>
        </w:rPr>
        <w:footnoteReference w:id="31"/>
      </w:r>
      <w:r w:rsidRPr="00D41D30">
        <w:rPr>
          <w:rFonts w:hint="eastAsia"/>
          <w:color w:val="000000" w:themeColor="text1"/>
        </w:rPr>
        <w:t>已提出相關人力資源之困境，略以：</w:t>
      </w:r>
      <w:r w:rsidRPr="00D41D30">
        <w:rPr>
          <w:rFonts w:hAnsi="標楷體" w:hint="eastAsia"/>
          <w:color w:val="000000" w:themeColor="text1"/>
        </w:rPr>
        <w:t>「</w:t>
      </w:r>
      <w:r w:rsidRPr="00D41D30">
        <w:rPr>
          <w:rFonts w:hint="eastAsia"/>
          <w:color w:val="000000" w:themeColor="text1"/>
        </w:rPr>
        <w:t>……若以中小學和社區為樂齡學習中心的重要基地，則強調跨世代共同學習的代間學習課程非常重要，然樂齡學習中心的教師對此類課程該如何設計，較缺乏理念與實作之經驗。</w:t>
      </w:r>
      <w:r w:rsidRPr="00D41D30">
        <w:rPr>
          <w:rFonts w:hAnsi="標楷體" w:hint="eastAsia"/>
          <w:color w:val="000000" w:themeColor="text1"/>
        </w:rPr>
        <w:t>」及「有關志工的徵選、招募以及培力、運用等過程亟待尋求更多的制度化協助與推展。</w:t>
      </w:r>
      <w:r w:rsidRPr="00D41D30">
        <w:rPr>
          <w:rFonts w:hint="eastAsia"/>
          <w:color w:val="000000" w:themeColor="text1"/>
        </w:rPr>
        <w:t>……從樂齡學習中心之設立到現在，只有志工組織長期在中心服務</w:t>
      </w:r>
      <w:r w:rsidRPr="00D41D30">
        <w:rPr>
          <w:rFonts w:hAnsi="標楷體" w:hint="eastAsia"/>
          <w:color w:val="000000" w:themeColor="text1"/>
        </w:rPr>
        <w:t>；樂齡學習中心要承辦單位執行，礙於編制人力有困難，對於未來進行管理仍有所限制……</w:t>
      </w:r>
      <w:r w:rsidRPr="00D41D30">
        <w:rPr>
          <w:rFonts w:hint="eastAsia"/>
          <w:color w:val="000000" w:themeColor="text1"/>
        </w:rPr>
        <w:t>。</w:t>
      </w:r>
      <w:r w:rsidRPr="00D41D30">
        <w:rPr>
          <w:rFonts w:hAnsi="標楷體" w:hint="eastAsia"/>
          <w:color w:val="000000" w:themeColor="text1"/>
        </w:rPr>
        <w:t>」等語，顯為各區樂齡學習中心共通且長期面臨之制度性管理問題。</w:t>
      </w:r>
      <w:bookmarkEnd w:id="1508"/>
      <w:bookmarkEnd w:id="1509"/>
      <w:bookmarkEnd w:id="1510"/>
      <w:bookmarkEnd w:id="1511"/>
    </w:p>
    <w:p w:rsidR="003872FF" w:rsidRPr="00D41D30" w:rsidRDefault="003872FF" w:rsidP="003872FF">
      <w:pPr>
        <w:pStyle w:val="3"/>
        <w:rPr>
          <w:color w:val="000000" w:themeColor="text1"/>
        </w:rPr>
      </w:pPr>
      <w:bookmarkStart w:id="1512" w:name="_Toc32673792"/>
      <w:bookmarkStart w:id="1513" w:name="_Toc32846671"/>
      <w:bookmarkStart w:id="1514" w:name="_Toc32918577"/>
      <w:bookmarkStart w:id="1515" w:name="_Toc33011863"/>
      <w:r w:rsidRPr="00D41D30">
        <w:rPr>
          <w:rFonts w:hAnsi="標楷體" w:hint="eastAsia"/>
          <w:color w:val="000000" w:themeColor="text1"/>
        </w:rPr>
        <w:t>爰針對本案履勘地區樂齡學習中心座談會議中迭經與會人員反應之人力及行政負荷問題，</w:t>
      </w:r>
      <w:r w:rsidRPr="00D41D30">
        <w:rPr>
          <w:rFonts w:hint="eastAsia"/>
          <w:color w:val="000000" w:themeColor="text1"/>
        </w:rPr>
        <w:t>本院函請教育部說明，據該部表示：</w:t>
      </w:r>
      <w:r w:rsidRPr="00D41D30">
        <w:rPr>
          <w:rFonts w:hAnsi="標楷體" w:hint="eastAsia"/>
          <w:color w:val="000000" w:themeColor="text1"/>
        </w:rPr>
        <w:t>「</w:t>
      </w:r>
      <w:r w:rsidRPr="00D41D30">
        <w:rPr>
          <w:rFonts w:hint="eastAsia"/>
          <w:color w:val="000000" w:themeColor="text1"/>
        </w:rPr>
        <w:t>因高齡教育年度預算有限，目前僅提供各樂齡中心申請活動所需工作費，其餘均運用志工人力協助，經查目前縣市政府提供承辦樂齡中心學校的支援有減授鐘點時數、增置餘額代理教師等方式，每年減授80節至160節不等，或配置1名代理教師。該部於108年6月於花蓮縣辦理108年全國終身教育行政會議，就有關地方政府辦理整合型終身學習中心之試辦規劃案進行研商，惟縣市並無意願試辦，有關學校缺乏人力方面，本部後續將協調各級學校運用服務學習機制，協助樂齡學習中心行政作業，或俟經費寬籌後再提供相關補助機制……云云。</w:t>
      </w:r>
      <w:r w:rsidRPr="00D41D30">
        <w:rPr>
          <w:rFonts w:hAnsi="標楷體" w:hint="eastAsia"/>
          <w:color w:val="000000" w:themeColor="text1"/>
        </w:rPr>
        <w:t>」及該部主管人員於本院108年12月26日詢問亦坦承「樂齡中心確實有些是地方政府拜託來</w:t>
      </w:r>
      <w:r w:rsidRPr="00D41D30">
        <w:rPr>
          <w:rFonts w:hAnsi="標楷體" w:hint="eastAsia"/>
          <w:color w:val="000000" w:themeColor="text1"/>
        </w:rPr>
        <w:lastRenderedPageBreak/>
        <w:t>的」等語。是以，各區樂齡學習中心面臨之相關困難，迄今仍未獲主管機關教育部積極處理及解決，洵堪認定。</w:t>
      </w:r>
      <w:bookmarkEnd w:id="1512"/>
      <w:bookmarkEnd w:id="1513"/>
      <w:bookmarkEnd w:id="1514"/>
      <w:bookmarkEnd w:id="1515"/>
    </w:p>
    <w:p w:rsidR="003872FF" w:rsidRPr="00D41D30" w:rsidRDefault="003872FF" w:rsidP="003872FF">
      <w:pPr>
        <w:pStyle w:val="3"/>
        <w:rPr>
          <w:color w:val="000000" w:themeColor="text1"/>
        </w:rPr>
      </w:pPr>
      <w:bookmarkStart w:id="1516" w:name="_Toc32673793"/>
      <w:bookmarkStart w:id="1517" w:name="_Toc32846672"/>
      <w:bookmarkStart w:id="1518" w:name="_Toc32918578"/>
      <w:bookmarkStart w:id="1519" w:name="_Toc33011864"/>
      <w:r w:rsidRPr="00D41D30">
        <w:rPr>
          <w:rFonts w:hint="eastAsia"/>
          <w:color w:val="000000" w:themeColor="text1"/>
        </w:rPr>
        <w:t>綜上，教育部推動</w:t>
      </w:r>
      <w:r w:rsidRPr="00D41D30">
        <w:rPr>
          <w:rFonts w:hAnsi="標楷體" w:hint="eastAsia"/>
          <w:color w:val="000000" w:themeColor="text1"/>
          <w:szCs w:val="32"/>
        </w:rPr>
        <w:t>推動高齡教育模式，其中係以補助設置在地化的樂齡學習中心為主，查</w:t>
      </w:r>
      <w:r w:rsidRPr="00D41D30">
        <w:rPr>
          <w:rFonts w:hint="eastAsia"/>
          <w:color w:val="000000" w:themeColor="text1"/>
        </w:rPr>
        <w:t>全國樂齡學習中心由97年104所至108年增加為366所，其中為提升縣（市）執行高齡教育政策能力，又於100-101年陸續自全國200多所樂齡中心，選擇臺北市、新北市、臺中市、新竹縣、嘉義縣、臺南市及屏東縣等7個縣市，由各縣市率先成立該縣市的「樂齡學習示範中心」，期成為未來其他樂齡中心觀摩空間的參考及典範；惟初期各樂齡示範中心之成立未有正式評估，且繫於地方首長支持，雖有助於擴增地方民眾接受高齡學習教育之機會，部分示範中心亦具特色，然查各縣市「示範中心」每年並未依實際辦理績效及功能結果調整，且退場</w:t>
      </w:r>
      <w:r w:rsidRPr="00D41D30">
        <w:rPr>
          <w:color w:val="000000" w:themeColor="text1"/>
        </w:rPr>
        <w:t>機制</w:t>
      </w:r>
      <w:r w:rsidRPr="00D41D30">
        <w:rPr>
          <w:rFonts w:hint="eastAsia"/>
          <w:color w:val="000000" w:themeColor="text1"/>
        </w:rPr>
        <w:t>闕如，衍伸外界疑慮，無助於相關</w:t>
      </w:r>
      <w:r w:rsidRPr="00D41D30">
        <w:rPr>
          <w:color w:val="000000" w:themeColor="text1"/>
        </w:rPr>
        <w:t>政策</w:t>
      </w:r>
      <w:r w:rsidRPr="00D41D30">
        <w:rPr>
          <w:rFonts w:hint="eastAsia"/>
          <w:color w:val="000000" w:themeColor="text1"/>
        </w:rPr>
        <w:t>延</w:t>
      </w:r>
      <w:r w:rsidRPr="00D41D30">
        <w:rPr>
          <w:color w:val="000000" w:themeColor="text1"/>
        </w:rPr>
        <w:t>續、修正</w:t>
      </w:r>
      <w:r w:rsidRPr="00D41D30">
        <w:rPr>
          <w:rFonts w:hint="eastAsia"/>
          <w:color w:val="000000" w:themeColor="text1"/>
        </w:rPr>
        <w:t>及</w:t>
      </w:r>
      <w:r w:rsidRPr="00D41D30">
        <w:rPr>
          <w:color w:val="000000" w:themeColor="text1"/>
        </w:rPr>
        <w:t>廢止</w:t>
      </w:r>
      <w:r w:rsidRPr="00D41D30">
        <w:rPr>
          <w:rFonts w:hint="eastAsia"/>
          <w:color w:val="000000" w:themeColor="text1"/>
        </w:rPr>
        <w:t>之依據，</w:t>
      </w:r>
      <w:r w:rsidRPr="00D41D30">
        <w:rPr>
          <w:rFonts w:ascii="Verdana" w:hAnsi="Verdana" w:hint="eastAsia"/>
          <w:color w:val="000000" w:themeColor="text1"/>
        </w:rPr>
        <w:t>顯</w:t>
      </w:r>
      <w:r w:rsidRPr="00D41D30">
        <w:rPr>
          <w:rFonts w:hint="eastAsia"/>
          <w:color w:val="000000" w:themeColor="text1"/>
        </w:rPr>
        <w:t>難謂能發揮各地</w:t>
      </w:r>
      <w:r w:rsidRPr="00D41D30">
        <w:rPr>
          <w:rFonts w:hAnsi="標楷體" w:hint="eastAsia"/>
          <w:color w:val="000000" w:themeColor="text1"/>
        </w:rPr>
        <w:t>「</w:t>
      </w:r>
      <w:r w:rsidRPr="00D41D30">
        <w:rPr>
          <w:rFonts w:hint="eastAsia"/>
          <w:color w:val="000000" w:themeColor="text1"/>
        </w:rPr>
        <w:t>示範</w:t>
      </w:r>
      <w:r w:rsidRPr="00D41D30">
        <w:rPr>
          <w:rFonts w:hAnsi="標楷體" w:hint="eastAsia"/>
          <w:color w:val="000000" w:themeColor="text1"/>
        </w:rPr>
        <w:t>」引導之</w:t>
      </w:r>
      <w:r w:rsidRPr="00D41D30">
        <w:rPr>
          <w:rFonts w:hint="eastAsia"/>
          <w:color w:val="000000" w:themeColor="text1"/>
        </w:rPr>
        <w:t>功能角色</w:t>
      </w:r>
      <w:r w:rsidRPr="00D41D30">
        <w:rPr>
          <w:rFonts w:hAnsi="標楷體" w:hint="eastAsia"/>
          <w:color w:val="000000" w:themeColor="text1"/>
        </w:rPr>
        <w:t>；</w:t>
      </w:r>
      <w:r w:rsidRPr="00D41D30">
        <w:rPr>
          <w:rFonts w:hint="eastAsia"/>
          <w:color w:val="000000" w:themeColor="text1"/>
        </w:rPr>
        <w:t>況本院諮詢會議及履勘蒐集意見均指出，各地示範中心之辦理成效</w:t>
      </w:r>
      <w:r w:rsidRPr="00D41D30">
        <w:rPr>
          <w:rFonts w:hAnsi="標楷體" w:hint="eastAsia"/>
          <w:color w:val="000000" w:themeColor="text1"/>
        </w:rPr>
        <w:t>、</w:t>
      </w:r>
      <w:r w:rsidRPr="00D41D30">
        <w:rPr>
          <w:rFonts w:hint="eastAsia"/>
          <w:color w:val="000000" w:themeColor="text1"/>
        </w:rPr>
        <w:t>人力</w:t>
      </w:r>
      <w:r w:rsidRPr="00D41D30">
        <w:rPr>
          <w:rFonts w:hAnsi="標楷體" w:hint="eastAsia"/>
          <w:color w:val="000000" w:themeColor="text1"/>
        </w:rPr>
        <w:t>、</w:t>
      </w:r>
      <w:r w:rsidRPr="00D41D30">
        <w:rPr>
          <w:rFonts w:hint="eastAsia"/>
          <w:color w:val="000000" w:themeColor="text1"/>
        </w:rPr>
        <w:t>需求及意願熱情落差參差不齊，且</w:t>
      </w:r>
      <w:r w:rsidRPr="00D41D30">
        <w:rPr>
          <w:rFonts w:ascii="Verdana" w:hAnsi="Verdana"/>
          <w:color w:val="000000" w:themeColor="text1"/>
        </w:rPr>
        <w:t>政策發展</w:t>
      </w:r>
      <w:r w:rsidRPr="00D41D30">
        <w:rPr>
          <w:rFonts w:ascii="Verdana" w:hAnsi="Verdana" w:hint="eastAsia"/>
          <w:color w:val="000000" w:themeColor="text1"/>
        </w:rPr>
        <w:t>恐</w:t>
      </w:r>
      <w:r w:rsidRPr="00D41D30">
        <w:rPr>
          <w:rFonts w:ascii="Verdana" w:hAnsi="Verdana"/>
          <w:color w:val="000000" w:themeColor="text1"/>
        </w:rPr>
        <w:t>受</w:t>
      </w:r>
      <w:r w:rsidRPr="00D41D30">
        <w:rPr>
          <w:rFonts w:ascii="Verdana" w:hAnsi="Verdana" w:hint="eastAsia"/>
          <w:color w:val="000000" w:themeColor="text1"/>
        </w:rPr>
        <w:t>地方</w:t>
      </w:r>
      <w:r w:rsidRPr="00D41D30">
        <w:rPr>
          <w:rFonts w:ascii="Verdana" w:hAnsi="Verdana"/>
          <w:color w:val="000000" w:themeColor="text1"/>
        </w:rPr>
        <w:t>施政理念</w:t>
      </w:r>
      <w:r w:rsidRPr="00D41D30">
        <w:rPr>
          <w:rFonts w:ascii="Verdana" w:hAnsi="Verdana" w:hint="eastAsia"/>
          <w:color w:val="000000" w:themeColor="text1"/>
        </w:rPr>
        <w:t>或人員流動</w:t>
      </w:r>
      <w:r w:rsidRPr="00D41D30">
        <w:rPr>
          <w:rFonts w:ascii="Verdana" w:hAnsi="Verdana"/>
          <w:color w:val="000000" w:themeColor="text1"/>
        </w:rPr>
        <w:t>影響，延續性</w:t>
      </w:r>
      <w:r w:rsidRPr="00D41D30">
        <w:rPr>
          <w:rFonts w:ascii="Verdana" w:hAnsi="Verdana" w:hint="eastAsia"/>
          <w:color w:val="000000" w:themeColor="text1"/>
        </w:rPr>
        <w:t>不足，又引入相關</w:t>
      </w:r>
      <w:r w:rsidRPr="00D41D30">
        <w:rPr>
          <w:rFonts w:hint="eastAsia"/>
          <w:color w:val="000000" w:themeColor="text1"/>
        </w:rPr>
        <w:t>民間能量或民間異業結盟形式等補充能量均有待強化，數量擴充之同時允應兼顧品質均衡發展，整體亟待教育部儘速檢討改善。</w:t>
      </w:r>
      <w:bookmarkEnd w:id="1516"/>
      <w:bookmarkEnd w:id="1517"/>
      <w:bookmarkEnd w:id="1518"/>
      <w:bookmarkEnd w:id="1519"/>
    </w:p>
    <w:p w:rsidR="003872FF" w:rsidRPr="00D41D30" w:rsidRDefault="003872FF" w:rsidP="00D41D30">
      <w:pPr>
        <w:pStyle w:val="2"/>
        <w:spacing w:beforeLines="100" w:before="457"/>
        <w:ind w:left="1020" w:hanging="680"/>
        <w:rPr>
          <w:b/>
          <w:color w:val="000000" w:themeColor="text1"/>
        </w:rPr>
      </w:pPr>
      <w:bookmarkStart w:id="1520" w:name="_Toc30581316"/>
      <w:bookmarkStart w:id="1521" w:name="_Toc33011865"/>
      <w:r w:rsidRPr="00D41D30">
        <w:rPr>
          <w:rFonts w:hint="eastAsia"/>
          <w:b/>
          <w:color w:val="000000" w:themeColor="text1"/>
        </w:rPr>
        <w:t>教育部於80年提出</w:t>
      </w:r>
      <w:bookmarkEnd w:id="1520"/>
      <w:r w:rsidRPr="00D41D30">
        <w:rPr>
          <w:rFonts w:hint="eastAsia"/>
          <w:b/>
          <w:color w:val="000000" w:themeColor="text1"/>
        </w:rPr>
        <w:t>「發展與改進成人教育五年計畫綱要」，逐漸鼓勵大學設置成人教育相關系所，為成教及高齡者教育挹注學術教育資源；而「樂齡大</w:t>
      </w:r>
      <w:r w:rsidRPr="00D41D30">
        <w:rPr>
          <w:rFonts w:hint="eastAsia"/>
          <w:b/>
          <w:color w:val="000000" w:themeColor="text1"/>
        </w:rPr>
        <w:lastRenderedPageBreak/>
        <w:t>學」計畫則源自97年結合國內13所大學推動5天4夜的「老人短期寄宿學習計畫」，98年轉型為2週的「樂齡學堂」，計有28所大學辦理，99年逐漸發展為學期制的樂齡大學計畫，迄108年設置102所樂齡大學（4,492人），鼓勵大專校院提供55歲以上國民進入校園與大學生共學之機會，活動課程以老化及高齡化、健康休閒、學校特色、生活新知等課程為主軸，推展代間學習活動，師資條件透過大學挹注，學習者滿意度頗高，使用者付費之概念相對清晰；惟樂齡大學106年至107年校數未達標，資源挹注恐侷限於特定少數族群，況因高齡者終身教育措施長期多以擴增學習機會為主要政策核心策略，缺乏相關績效評鑑機制，實際執行成效及內涵難以評估，難以回饋為政策調整依據</w:t>
      </w:r>
      <w:r w:rsidRPr="00D41D30">
        <w:rPr>
          <w:rFonts w:hAnsi="標楷體" w:hint="eastAsia"/>
          <w:b/>
          <w:color w:val="000000" w:themeColor="text1"/>
        </w:rPr>
        <w:t>；</w:t>
      </w:r>
      <w:r w:rsidRPr="00D41D30">
        <w:rPr>
          <w:rFonts w:hint="eastAsia"/>
          <w:b/>
          <w:color w:val="000000" w:themeColor="text1"/>
        </w:rPr>
        <w:t>教育部於本案調查期間雖已修正樂齡大學計畫書申請內容，然後續成效尚待評估，爰為均衡有限資源配置及教育品質，回應外界意見，針對樂齡大學發展定位、學習者資格條件及評估機制均亟待教育部積極統籌檢討，以期實踐國內高齡教育師資優質化，俾提供質量並重之高齡教育環境</w:t>
      </w:r>
      <w:bookmarkEnd w:id="1521"/>
    </w:p>
    <w:p w:rsidR="003872FF" w:rsidRPr="00D41D30" w:rsidRDefault="003872FF" w:rsidP="003872FF">
      <w:pPr>
        <w:pStyle w:val="3"/>
        <w:rPr>
          <w:color w:val="000000" w:themeColor="text1"/>
        </w:rPr>
      </w:pPr>
      <w:bookmarkStart w:id="1522" w:name="_Toc32673795"/>
      <w:bookmarkStart w:id="1523" w:name="_Toc32846674"/>
      <w:bookmarkStart w:id="1524" w:name="_Toc32918580"/>
      <w:bookmarkStart w:id="1525" w:name="_Toc33011866"/>
      <w:bookmarkStart w:id="1526" w:name="_Toc30512609"/>
      <w:bookmarkStart w:id="1527" w:name="_Toc30581317"/>
      <w:bookmarkStart w:id="1528" w:name="_Toc32392597"/>
      <w:r w:rsidRPr="00D41D30">
        <w:rPr>
          <w:rFonts w:hint="eastAsia"/>
          <w:color w:val="000000" w:themeColor="text1"/>
        </w:rPr>
        <w:t>當我國老年人口逐漸增加之際，如何提供高齡者適當的課程及教育，應為政府機關及民間團體共同的課題。查我國高齡者教育之發展演進大約可分為3期，依據</w:t>
      </w:r>
      <w:r w:rsidRPr="00D41D30">
        <w:rPr>
          <w:rFonts w:hAnsi="標楷體" w:hint="eastAsia"/>
          <w:color w:val="000000" w:themeColor="text1"/>
        </w:rPr>
        <w:t>「</w:t>
      </w:r>
      <w:r w:rsidRPr="00D41D30">
        <w:rPr>
          <w:rFonts w:hint="eastAsia"/>
          <w:color w:val="000000" w:themeColor="text1"/>
        </w:rPr>
        <w:t>第七次中華民國教育年鑑</w:t>
      </w:r>
      <w:r w:rsidRPr="00D41D30">
        <w:rPr>
          <w:rFonts w:hAnsi="標楷體" w:hint="eastAsia"/>
          <w:color w:val="000000" w:themeColor="text1"/>
        </w:rPr>
        <w:t>」</w:t>
      </w:r>
      <w:r w:rsidRPr="00D41D30">
        <w:rPr>
          <w:rFonts w:hint="eastAsia"/>
          <w:color w:val="000000" w:themeColor="text1"/>
        </w:rPr>
        <w:t>載明略以</w:t>
      </w:r>
      <w:r w:rsidRPr="00D41D30">
        <w:rPr>
          <w:rStyle w:val="aff0"/>
          <w:color w:val="000000" w:themeColor="text1"/>
        </w:rPr>
        <w:footnoteReference w:id="32"/>
      </w:r>
      <w:r w:rsidRPr="00D41D30">
        <w:rPr>
          <w:rFonts w:hint="eastAsia"/>
          <w:color w:val="000000" w:themeColor="text1"/>
        </w:rPr>
        <w:t>：</w:t>
      </w:r>
      <w:r w:rsidRPr="00D41D30">
        <w:rPr>
          <w:rFonts w:hAnsi="標楷體" w:hint="eastAsia"/>
          <w:color w:val="000000" w:themeColor="text1"/>
        </w:rPr>
        <w:t>「</w:t>
      </w:r>
      <w:r w:rsidRPr="00D41D30">
        <w:rPr>
          <w:rFonts w:hint="eastAsia"/>
          <w:color w:val="000000" w:themeColor="text1"/>
        </w:rPr>
        <w:t>早期宗教團體因敬老尊賢發起的</w:t>
      </w:r>
      <w:r w:rsidRPr="00D41D30">
        <w:rPr>
          <w:rFonts w:hAnsi="標楷體" w:hint="eastAsia"/>
          <w:color w:val="000000" w:themeColor="text1"/>
        </w:rPr>
        <w:t>『</w:t>
      </w:r>
      <w:r w:rsidRPr="00D41D30">
        <w:rPr>
          <w:rFonts w:hint="eastAsia"/>
          <w:color w:val="000000" w:themeColor="text1"/>
        </w:rPr>
        <w:t>愛心服務</w:t>
      </w:r>
      <w:r w:rsidRPr="00D41D30">
        <w:rPr>
          <w:rFonts w:hAnsi="標楷體" w:hint="eastAsia"/>
          <w:color w:val="000000" w:themeColor="text1"/>
        </w:rPr>
        <w:t>』</w:t>
      </w:r>
      <w:r w:rsidRPr="00D41D30">
        <w:rPr>
          <w:rFonts w:hint="eastAsia"/>
          <w:color w:val="000000" w:themeColor="text1"/>
        </w:rPr>
        <w:t>階段；繼之，因老人福利法施行後，由公部門的社政機構和私部門的社福團體有系統的推動</w:t>
      </w:r>
      <w:r w:rsidRPr="00D41D30">
        <w:rPr>
          <w:rFonts w:hAnsi="標楷體" w:hint="eastAsia"/>
          <w:color w:val="000000" w:themeColor="text1"/>
        </w:rPr>
        <w:t>『</w:t>
      </w:r>
      <w:r w:rsidRPr="00D41D30">
        <w:rPr>
          <w:rFonts w:hint="eastAsia"/>
          <w:color w:val="000000" w:themeColor="text1"/>
        </w:rPr>
        <w:t>福利服務</w:t>
      </w:r>
      <w:r w:rsidRPr="00D41D30">
        <w:rPr>
          <w:rFonts w:hAnsi="標楷體" w:hint="eastAsia"/>
          <w:color w:val="000000" w:themeColor="text1"/>
        </w:rPr>
        <w:t>』</w:t>
      </w:r>
      <w:r w:rsidRPr="00D41D30">
        <w:rPr>
          <w:rFonts w:hint="eastAsia"/>
          <w:color w:val="000000" w:themeColor="text1"/>
        </w:rPr>
        <w:t>階段；至目前，則是在終身</w:t>
      </w:r>
      <w:r w:rsidRPr="00D41D30">
        <w:rPr>
          <w:rFonts w:hint="eastAsia"/>
          <w:color w:val="000000" w:themeColor="text1"/>
        </w:rPr>
        <w:lastRenderedPageBreak/>
        <w:t>教育理念推展下，由教育部門結合社會福利等政府單位和民間團體全面推動之</w:t>
      </w:r>
      <w:r w:rsidRPr="00D41D30">
        <w:rPr>
          <w:rFonts w:hAnsi="標楷體" w:hint="eastAsia"/>
          <w:color w:val="000000" w:themeColor="text1"/>
        </w:rPr>
        <w:t>『</w:t>
      </w:r>
      <w:r w:rsidRPr="00D41D30">
        <w:rPr>
          <w:rFonts w:hint="eastAsia"/>
          <w:color w:val="000000" w:themeColor="text1"/>
        </w:rPr>
        <w:t>學習權益</w:t>
      </w:r>
      <w:r w:rsidRPr="00D41D30">
        <w:rPr>
          <w:rFonts w:hAnsi="標楷體" w:hint="eastAsia"/>
          <w:color w:val="000000" w:themeColor="text1"/>
        </w:rPr>
        <w:t>』</w:t>
      </w:r>
      <w:r w:rsidRPr="00D41D30">
        <w:rPr>
          <w:rFonts w:hint="eastAsia"/>
          <w:color w:val="000000" w:themeColor="text1"/>
        </w:rPr>
        <w:t>階段，各個階段皆有其發展特色。</w:t>
      </w:r>
      <w:r w:rsidRPr="00D41D30">
        <w:rPr>
          <w:rFonts w:hAnsi="標楷體" w:hint="eastAsia"/>
          <w:color w:val="000000" w:themeColor="text1"/>
        </w:rPr>
        <w:t>」其中，</w:t>
      </w:r>
      <w:r w:rsidRPr="00D41D30">
        <w:rPr>
          <w:rFonts w:hint="eastAsia"/>
          <w:color w:val="000000" w:themeColor="text1"/>
        </w:rPr>
        <w:t>為因應高齡社會的來臨，教育部依據</w:t>
      </w:r>
      <w:r w:rsidRPr="00D41D30">
        <w:rPr>
          <w:color w:val="000000" w:themeColor="text1"/>
        </w:rPr>
        <w:t>77</w:t>
      </w:r>
      <w:r w:rsidRPr="00D41D30">
        <w:rPr>
          <w:rFonts w:hint="eastAsia"/>
          <w:color w:val="000000" w:themeColor="text1"/>
        </w:rPr>
        <w:t>年第6次全國教育會議結論：「建立</w:t>
      </w:r>
      <w:r w:rsidRPr="00D41D30">
        <w:rPr>
          <w:rFonts w:hAnsi="標楷體" w:hint="eastAsia"/>
          <w:color w:val="000000" w:themeColor="text1"/>
        </w:rPr>
        <w:t>成人教育</w:t>
      </w:r>
      <w:r w:rsidRPr="00D41D30">
        <w:rPr>
          <w:rFonts w:hint="eastAsia"/>
          <w:color w:val="000000" w:themeColor="text1"/>
        </w:rPr>
        <w:t>體系，以達全民教育及終身教育目標」為理想，以因應社會潮流及變遷需要，提出研訂</w:t>
      </w:r>
      <w:r w:rsidRPr="00D41D30">
        <w:rPr>
          <w:rFonts w:hAnsi="標楷體" w:hint="eastAsia"/>
          <w:color w:val="000000" w:themeColor="text1"/>
        </w:rPr>
        <w:t>「</w:t>
      </w:r>
      <w:r w:rsidRPr="00D41D30">
        <w:rPr>
          <w:rFonts w:hint="eastAsia"/>
          <w:color w:val="000000" w:themeColor="text1"/>
        </w:rPr>
        <w:t>老人教育實施計畫</w:t>
      </w:r>
      <w:r w:rsidRPr="00D41D30">
        <w:rPr>
          <w:rFonts w:hAnsi="標楷體" w:hint="eastAsia"/>
          <w:color w:val="000000" w:themeColor="text1"/>
        </w:rPr>
        <w:t>」</w:t>
      </w:r>
      <w:r w:rsidRPr="00D41D30">
        <w:rPr>
          <w:rFonts w:hint="eastAsia"/>
          <w:color w:val="000000" w:themeColor="text1"/>
        </w:rPr>
        <w:t>3大目標，如下：</w:t>
      </w:r>
      <w:r w:rsidRPr="00D41D30">
        <w:rPr>
          <w:color w:val="000000" w:themeColor="text1"/>
        </w:rPr>
        <w:t>1.</w:t>
      </w:r>
      <w:r w:rsidRPr="00D41D30">
        <w:rPr>
          <w:rFonts w:hint="eastAsia"/>
          <w:color w:val="000000" w:themeColor="text1"/>
        </w:rPr>
        <w:t>協助老人經由再學習、再社會化的過程，達成良好社會適應，完成自我實現的目標。</w:t>
      </w:r>
      <w:r w:rsidRPr="00D41D30">
        <w:rPr>
          <w:color w:val="000000" w:themeColor="text1"/>
        </w:rPr>
        <w:t>2.</w:t>
      </w:r>
      <w:r w:rsidRPr="00D41D30">
        <w:rPr>
          <w:rFonts w:hint="eastAsia"/>
          <w:color w:val="000000" w:themeColor="text1"/>
        </w:rPr>
        <w:t>幫助有工作動機的老人，利用其豐富的人生體驗和專業智慧，再教育、再工作、再出發。</w:t>
      </w:r>
      <w:r w:rsidRPr="00D41D30">
        <w:rPr>
          <w:color w:val="000000" w:themeColor="text1"/>
        </w:rPr>
        <w:t>3.</w:t>
      </w:r>
      <w:r w:rsidRPr="00D41D30">
        <w:rPr>
          <w:rFonts w:hint="eastAsia"/>
          <w:color w:val="000000" w:themeColor="text1"/>
        </w:rPr>
        <w:t>培養老年人生活情趣、陶冶老人健康身心、擴充老人生活領域，以發揚傳統敬老尊賢的美德。80年4月24日依行政院核定頒布</w:t>
      </w:r>
      <w:r w:rsidRPr="00D41D30">
        <w:rPr>
          <w:rFonts w:hAnsi="標楷體" w:hint="eastAsia"/>
          <w:color w:val="000000" w:themeColor="text1"/>
        </w:rPr>
        <w:t>「</w:t>
      </w:r>
      <w:r w:rsidRPr="00D41D30">
        <w:rPr>
          <w:rFonts w:hint="eastAsia"/>
          <w:color w:val="000000" w:themeColor="text1"/>
        </w:rPr>
        <w:t>發展與改進成人教育五年計畫綱要</w:t>
      </w:r>
      <w:r w:rsidRPr="00D41D30">
        <w:rPr>
          <w:rFonts w:hAnsi="標楷體" w:hint="eastAsia"/>
          <w:color w:val="000000" w:themeColor="text1"/>
        </w:rPr>
        <w:t>」</w:t>
      </w:r>
      <w:r w:rsidRPr="00D41D30">
        <w:rPr>
          <w:rFonts w:hint="eastAsia"/>
          <w:color w:val="000000" w:themeColor="text1"/>
        </w:rPr>
        <w:t>，至此，正式將老人教育系統納入成人教育體系。</w:t>
      </w:r>
      <w:bookmarkEnd w:id="1522"/>
      <w:bookmarkEnd w:id="1523"/>
      <w:bookmarkEnd w:id="1524"/>
      <w:bookmarkEnd w:id="1525"/>
    </w:p>
    <w:p w:rsidR="003872FF" w:rsidRPr="00D41D30" w:rsidRDefault="003872FF" w:rsidP="003872FF">
      <w:pPr>
        <w:pStyle w:val="3"/>
        <w:rPr>
          <w:color w:val="000000" w:themeColor="text1"/>
        </w:rPr>
      </w:pPr>
      <w:bookmarkStart w:id="1529" w:name="_Toc32673796"/>
      <w:bookmarkStart w:id="1530" w:name="_Toc32846675"/>
      <w:bookmarkStart w:id="1531" w:name="_Toc32918581"/>
      <w:bookmarkStart w:id="1532" w:name="_Toc33011867"/>
      <w:r w:rsidRPr="00D41D30">
        <w:rPr>
          <w:rFonts w:hint="eastAsia"/>
          <w:color w:val="000000" w:themeColor="text1"/>
        </w:rPr>
        <w:t>復因應高齡及少子女化之衝擊，大學招生數日減，校內空間及設備閒置，改變校園經營策略，而高齡學習者日增，爰外界開始希望開放大學校園，應用大學豐富的人力與物力資源。教育部於97年參仿美國之「老人寄宿所」及法國之「第三年齡大學」成功經驗，聯合13所大學推出「老人短期寄宿學習試辦計畫」。立基於該計畫試辦經驗，該部於98年7月公布「補助大學校院辦理『樂齡學堂』專案計畫」，延續「老人短期寄宿學習計畫」之辦理方式，惟每學期需規劃3梯次，規劃以1至3週為實施期程，並至少於學期中實施2梯次，另1梯可於暑假或寒假辦理。</w:t>
      </w:r>
      <w:bookmarkStart w:id="1533" w:name="_Toc30512610"/>
      <w:bookmarkStart w:id="1534" w:name="_Toc30581318"/>
      <w:bookmarkStart w:id="1535" w:name="_Toc32392598"/>
      <w:bookmarkEnd w:id="1526"/>
      <w:bookmarkEnd w:id="1527"/>
      <w:bookmarkEnd w:id="1528"/>
      <w:r w:rsidRPr="00D41D30">
        <w:rPr>
          <w:rFonts w:hint="eastAsia"/>
          <w:color w:val="000000" w:themeColor="text1"/>
        </w:rPr>
        <w:t>99年教育部將「樂齡學堂」改為「樂齡大學」，訂定樂齡大學實施計畫，擴大宣傳效益。並仿大學校院將執</w:t>
      </w:r>
      <w:r w:rsidRPr="00D41D30">
        <w:rPr>
          <w:rFonts w:hint="eastAsia"/>
          <w:color w:val="000000" w:themeColor="text1"/>
        </w:rPr>
        <w:lastRenderedPageBreak/>
        <w:t>行型態改採學期制（上、下學期），每學期12-18週，每學年合計216小時，讓55歲以上樂齡者有機會進入校園和大學生學習，活動課程以高齡相關、健康休閒、學校特色、生活新知等課程為主軸，辦理模式以班級、代間及參訪為主，各類型之課程比例，可按照各辦理學校之發展特色規劃。另，為落實高齡教育政策，在課程內容方面分4大主軸：以老化及高齡化、健康管理及休閒、學校特色、生活新知等課程為主，並依規定規劃一定之課程比率，如：老化及高齡化相關課程（占25-30%）、健康管理及休閒課程（占15-30%）、學校特色課程（占30-45%）、生活新知課程（占10-20%），所設計之課程可採單一議題課程逐漸深入，或採多元學習課程串聯，並須於其中加入高齡者與承辦學校學生交流之課程或議題，以促進代間互動。</w:t>
      </w:r>
      <w:bookmarkEnd w:id="1533"/>
      <w:bookmarkEnd w:id="1534"/>
      <w:bookmarkEnd w:id="1535"/>
      <w:r w:rsidRPr="00D41D30">
        <w:rPr>
          <w:rFonts w:hint="eastAsia"/>
          <w:color w:val="000000" w:themeColor="text1"/>
        </w:rPr>
        <w:t>是以，於我國少子女化及高齡化之雙重挑戰趨勢下，樂齡大學除發展老化及高齡化等高齡教育多元課程外，其中又以推展係指「年輕世代與老年世代之間」互相學習之</w:t>
      </w:r>
      <w:r w:rsidRPr="00D41D30">
        <w:rPr>
          <w:rFonts w:hAnsi="標楷體" w:hint="eastAsia"/>
          <w:color w:val="000000" w:themeColor="text1"/>
        </w:rPr>
        <w:t>「</w:t>
      </w:r>
      <w:r w:rsidRPr="00D41D30">
        <w:rPr>
          <w:rFonts w:hint="eastAsia"/>
          <w:color w:val="000000" w:themeColor="text1"/>
        </w:rPr>
        <w:t>代間學習（</w:t>
      </w:r>
      <w:r w:rsidRPr="00D41D30">
        <w:rPr>
          <w:color w:val="000000" w:themeColor="text1"/>
        </w:rPr>
        <w:t>Intergenerational Learning</w:t>
      </w:r>
      <w:r w:rsidRPr="00D41D30">
        <w:rPr>
          <w:rFonts w:hint="eastAsia"/>
          <w:color w:val="000000" w:themeColor="text1"/>
        </w:rPr>
        <w:t>）</w:t>
      </w:r>
      <w:r w:rsidRPr="00D41D30">
        <w:rPr>
          <w:rFonts w:hAnsi="標楷體" w:hint="eastAsia"/>
          <w:color w:val="000000" w:themeColor="text1"/>
        </w:rPr>
        <w:t>」</w:t>
      </w:r>
      <w:r w:rsidRPr="00D41D30">
        <w:rPr>
          <w:rStyle w:val="aff0"/>
          <w:color w:val="000000" w:themeColor="text1"/>
        </w:rPr>
        <w:footnoteReference w:id="33"/>
      </w:r>
      <w:r w:rsidRPr="00D41D30">
        <w:rPr>
          <w:rFonts w:hint="eastAsia"/>
          <w:color w:val="000000" w:themeColor="text1"/>
        </w:rPr>
        <w:t>活動尤具特殊意義。</w:t>
      </w:r>
      <w:bookmarkEnd w:id="1529"/>
      <w:bookmarkEnd w:id="1530"/>
      <w:bookmarkEnd w:id="1531"/>
      <w:bookmarkEnd w:id="1532"/>
      <w:r w:rsidR="00961D46" w:rsidRPr="00D41D30">
        <w:rPr>
          <w:rFonts w:hint="eastAsia"/>
          <w:color w:val="000000" w:themeColor="text1"/>
        </w:rPr>
        <w:t>然本院諮詢專家意見指稱：「……樂齡大學課程重複性高，由於由學校某一系所或單位承辦師資群形成固定化，較固定開設某些課程，課程廣度及深度不足，失去了由大學校院辦理的真諦或精神……。」等語，亦有待教育部正視。</w:t>
      </w:r>
    </w:p>
    <w:p w:rsidR="003872FF" w:rsidRPr="00D41D30" w:rsidRDefault="003872FF" w:rsidP="003872FF">
      <w:pPr>
        <w:pStyle w:val="3"/>
        <w:rPr>
          <w:color w:val="000000" w:themeColor="text1"/>
        </w:rPr>
      </w:pPr>
      <w:bookmarkStart w:id="1536" w:name="_Toc32673797"/>
      <w:bookmarkStart w:id="1537" w:name="_Toc32846676"/>
      <w:bookmarkStart w:id="1538" w:name="_Toc32918582"/>
      <w:bookmarkStart w:id="1539" w:name="_Toc33011868"/>
      <w:r w:rsidRPr="00D41D30">
        <w:rPr>
          <w:rFonts w:hint="eastAsia"/>
          <w:color w:val="000000" w:themeColor="text1"/>
        </w:rPr>
        <w:t>經查，教育部於106年公布「高齡教育中程發展計畫」後，訂定關鍵績效指標檢核各年度執行情</w:t>
      </w:r>
      <w:r w:rsidRPr="00D41D30">
        <w:rPr>
          <w:rFonts w:hint="eastAsia"/>
          <w:color w:val="000000" w:themeColor="text1"/>
        </w:rPr>
        <w:lastRenderedPageBreak/>
        <w:t>形，106年至107年有「成立樂齡學習社團總數」、「設置樂齡大學之累計總數（所）」均未達標，後續有待教育部整體檢討相關項目實施目標妥適或具體解決策略。各項關鍵績效指標中之衡量標準達成情形如下表。</w:t>
      </w:r>
      <w:bookmarkEnd w:id="1536"/>
      <w:bookmarkEnd w:id="1537"/>
      <w:bookmarkEnd w:id="1538"/>
      <w:bookmarkEnd w:id="1539"/>
    </w:p>
    <w:p w:rsidR="003872FF" w:rsidRPr="00D41D30" w:rsidRDefault="003872FF" w:rsidP="003872FF">
      <w:pPr>
        <w:pStyle w:val="a4"/>
        <w:rPr>
          <w:color w:val="000000" w:themeColor="text1"/>
        </w:rPr>
      </w:pPr>
      <w:r w:rsidRPr="00D41D30">
        <w:rPr>
          <w:rFonts w:hAnsi="標楷體" w:hint="eastAsia"/>
          <w:b/>
          <w:color w:val="000000" w:themeColor="text1"/>
        </w:rPr>
        <w:t>樂齡大學關鍵績效指標達成情形</w:t>
      </w:r>
    </w:p>
    <w:tbl>
      <w:tblPr>
        <w:tblW w:w="569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311"/>
        <w:gridCol w:w="1703"/>
        <w:gridCol w:w="1329"/>
        <w:gridCol w:w="1333"/>
        <w:gridCol w:w="1331"/>
        <w:gridCol w:w="1484"/>
        <w:gridCol w:w="1097"/>
      </w:tblGrid>
      <w:tr w:rsidR="003872FF" w:rsidRPr="00D41D30" w:rsidTr="003872FF">
        <w:trPr>
          <w:trHeight w:val="63"/>
          <w:tblHeader/>
        </w:trPr>
        <w:tc>
          <w:tcPr>
            <w:tcW w:w="237" w:type="pct"/>
            <w:vMerge w:val="restart"/>
            <w:tcBorders>
              <w:top w:val="single" w:sz="4" w:space="0" w:color="auto"/>
              <w:left w:val="single" w:sz="4" w:space="0" w:color="auto"/>
              <w:right w:val="single" w:sz="4" w:space="0" w:color="auto"/>
            </w:tcBorders>
            <w:vAlign w:val="center"/>
            <w:hideMark/>
          </w:tcPr>
          <w:p w:rsidR="003872FF" w:rsidRPr="00D41D30" w:rsidRDefault="003872FF" w:rsidP="003872FF">
            <w:pPr>
              <w:adjustRightInd w:val="0"/>
              <w:snapToGrid w:val="0"/>
              <w:spacing w:line="300" w:lineRule="exact"/>
              <w:rPr>
                <w:rFonts w:hAnsi="標楷體"/>
                <w:color w:val="000000" w:themeColor="text1"/>
                <w:sz w:val="24"/>
                <w:szCs w:val="24"/>
              </w:rPr>
            </w:pPr>
            <w:bookmarkStart w:id="1540" w:name="_Toc30512611"/>
            <w:bookmarkStart w:id="1541" w:name="_Toc30581319"/>
            <w:bookmarkStart w:id="1542" w:name="_Toc32392599"/>
            <w:r w:rsidRPr="00D41D30">
              <w:rPr>
                <w:rFonts w:hAnsi="標楷體" w:hint="eastAsia"/>
                <w:b/>
                <w:color w:val="000000" w:themeColor="text1"/>
                <w:sz w:val="24"/>
                <w:szCs w:val="24"/>
              </w:rPr>
              <w:t>項次</w:t>
            </w:r>
          </w:p>
        </w:tc>
        <w:tc>
          <w:tcPr>
            <w:tcW w:w="652" w:type="pct"/>
            <w:vMerge w:val="restart"/>
            <w:tcBorders>
              <w:top w:val="single" w:sz="4" w:space="0" w:color="auto"/>
              <w:left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關鍵</w:t>
            </w:r>
          </w:p>
          <w:p w:rsidR="003872FF" w:rsidRPr="00D41D30" w:rsidRDefault="003872FF" w:rsidP="003872FF">
            <w:pPr>
              <w:tabs>
                <w:tab w:val="num" w:pos="720"/>
              </w:tabs>
              <w:adjustRightInd w:val="0"/>
              <w:snapToGrid w:val="0"/>
              <w:spacing w:line="300" w:lineRule="exact"/>
              <w:jc w:val="center"/>
              <w:rPr>
                <w:rFonts w:hAnsi="標楷體"/>
                <w:bCs/>
                <w:color w:val="000000" w:themeColor="text1"/>
                <w:sz w:val="24"/>
                <w:szCs w:val="24"/>
              </w:rPr>
            </w:pPr>
            <w:r w:rsidRPr="00D41D30">
              <w:rPr>
                <w:rFonts w:hAnsi="標楷體" w:hint="eastAsia"/>
                <w:b/>
                <w:color w:val="000000" w:themeColor="text1"/>
                <w:sz w:val="24"/>
                <w:szCs w:val="24"/>
              </w:rPr>
              <w:t>績效指標</w:t>
            </w:r>
          </w:p>
        </w:tc>
        <w:tc>
          <w:tcPr>
            <w:tcW w:w="846" w:type="pct"/>
            <w:vMerge w:val="restart"/>
            <w:tcBorders>
              <w:top w:val="single" w:sz="4" w:space="0" w:color="auto"/>
              <w:left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b/>
                <w:color w:val="000000" w:themeColor="text1"/>
                <w:sz w:val="24"/>
                <w:szCs w:val="24"/>
              </w:rPr>
              <w:t>衡量標準</w:t>
            </w:r>
          </w:p>
        </w:tc>
        <w:tc>
          <w:tcPr>
            <w:tcW w:w="2720" w:type="pct"/>
            <w:gridSpan w:val="4"/>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20" w:lineRule="exact"/>
              <w:jc w:val="center"/>
              <w:rPr>
                <w:rFonts w:hAnsi="標楷體"/>
                <w:color w:val="000000" w:themeColor="text1"/>
                <w:sz w:val="24"/>
                <w:szCs w:val="24"/>
              </w:rPr>
            </w:pPr>
            <w:r w:rsidRPr="00D41D30">
              <w:rPr>
                <w:rFonts w:hAnsi="標楷體" w:hint="eastAsia"/>
                <w:b/>
                <w:color w:val="000000" w:themeColor="text1"/>
                <w:sz w:val="24"/>
                <w:szCs w:val="24"/>
              </w:rPr>
              <w:t>各年度目標值</w:t>
            </w:r>
          </w:p>
        </w:tc>
        <w:tc>
          <w:tcPr>
            <w:tcW w:w="545" w:type="pct"/>
            <w:vMerge w:val="restart"/>
            <w:tcBorders>
              <w:top w:val="single" w:sz="4" w:space="0" w:color="auto"/>
              <w:left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備註</w:t>
            </w:r>
          </w:p>
        </w:tc>
      </w:tr>
      <w:tr w:rsidR="003872FF" w:rsidRPr="00D41D30" w:rsidTr="003872FF">
        <w:trPr>
          <w:trHeight w:val="63"/>
          <w:tblHeader/>
        </w:trPr>
        <w:tc>
          <w:tcPr>
            <w:tcW w:w="237" w:type="pct"/>
            <w:vMerge/>
            <w:tcBorders>
              <w:left w:val="single" w:sz="4" w:space="0" w:color="auto"/>
              <w:bottom w:val="single" w:sz="4" w:space="0" w:color="auto"/>
              <w:right w:val="single" w:sz="4" w:space="0" w:color="auto"/>
            </w:tcBorders>
            <w:vAlign w:val="center"/>
          </w:tcPr>
          <w:p w:rsidR="003872FF" w:rsidRPr="00D41D30" w:rsidRDefault="003872FF" w:rsidP="003872FF">
            <w:pPr>
              <w:adjustRightInd w:val="0"/>
              <w:snapToGrid w:val="0"/>
              <w:spacing w:line="300" w:lineRule="exact"/>
              <w:rPr>
                <w:rFonts w:hAnsi="標楷體"/>
                <w:b/>
                <w:color w:val="000000" w:themeColor="text1"/>
                <w:sz w:val="24"/>
                <w:szCs w:val="24"/>
              </w:rPr>
            </w:pPr>
          </w:p>
        </w:tc>
        <w:tc>
          <w:tcPr>
            <w:tcW w:w="652" w:type="pct"/>
            <w:vMerge/>
            <w:tcBorders>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rPr>
                <w:rFonts w:hAnsi="標楷體"/>
                <w:b/>
                <w:color w:val="000000" w:themeColor="text1"/>
                <w:sz w:val="24"/>
                <w:szCs w:val="24"/>
              </w:rPr>
            </w:pPr>
          </w:p>
        </w:tc>
        <w:tc>
          <w:tcPr>
            <w:tcW w:w="846" w:type="pct"/>
            <w:vMerge/>
            <w:tcBorders>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rPr>
                <w:rFonts w:hAnsi="標楷體"/>
                <w:b/>
                <w:color w:val="000000" w:themeColor="text1"/>
                <w:sz w:val="24"/>
                <w:szCs w:val="24"/>
              </w:rPr>
            </w:pPr>
          </w:p>
        </w:tc>
        <w:tc>
          <w:tcPr>
            <w:tcW w:w="660"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106</w:t>
            </w:r>
          </w:p>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目標值</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106</w:t>
            </w:r>
          </w:p>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達成值</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107</w:t>
            </w:r>
          </w:p>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目標值</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107</w:t>
            </w:r>
          </w:p>
          <w:p w:rsidR="003872FF" w:rsidRPr="00D41D30" w:rsidRDefault="003872FF" w:rsidP="003872FF">
            <w:pPr>
              <w:tabs>
                <w:tab w:val="num" w:pos="720"/>
              </w:tabs>
              <w:adjustRightInd w:val="0"/>
              <w:snapToGrid w:val="0"/>
              <w:spacing w:line="300" w:lineRule="exact"/>
              <w:jc w:val="center"/>
              <w:rPr>
                <w:rFonts w:hAnsi="標楷體"/>
                <w:b/>
                <w:color w:val="000000" w:themeColor="text1"/>
                <w:sz w:val="24"/>
                <w:szCs w:val="24"/>
              </w:rPr>
            </w:pPr>
            <w:r w:rsidRPr="00D41D30">
              <w:rPr>
                <w:rFonts w:hAnsi="標楷體" w:hint="eastAsia"/>
                <w:b/>
                <w:color w:val="000000" w:themeColor="text1"/>
                <w:sz w:val="24"/>
                <w:szCs w:val="24"/>
              </w:rPr>
              <w:t>達成值</w:t>
            </w:r>
          </w:p>
        </w:tc>
        <w:tc>
          <w:tcPr>
            <w:tcW w:w="545" w:type="pct"/>
            <w:vMerge/>
            <w:tcBorders>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p>
        </w:tc>
      </w:tr>
      <w:tr w:rsidR="003872FF" w:rsidRPr="00D41D30" w:rsidTr="003872FF">
        <w:trPr>
          <w:trHeight w:val="63"/>
        </w:trPr>
        <w:tc>
          <w:tcPr>
            <w:tcW w:w="237" w:type="pct"/>
            <w:vMerge w:val="restart"/>
            <w:tcBorders>
              <w:top w:val="single" w:sz="4" w:space="0" w:color="auto"/>
              <w:left w:val="single" w:sz="4" w:space="0" w:color="auto"/>
              <w:right w:val="single" w:sz="4" w:space="0" w:color="auto"/>
            </w:tcBorders>
            <w:vAlign w:val="center"/>
            <w:hideMark/>
          </w:tcPr>
          <w:p w:rsidR="003872FF" w:rsidRPr="00D41D30" w:rsidRDefault="003872FF" w:rsidP="003872FF">
            <w:pPr>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1</w:t>
            </w:r>
          </w:p>
        </w:tc>
        <w:tc>
          <w:tcPr>
            <w:tcW w:w="652" w:type="pct"/>
            <w:vMerge w:val="restart"/>
            <w:tcBorders>
              <w:top w:val="single" w:sz="4" w:space="0" w:color="auto"/>
              <w:left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bCs/>
                <w:color w:val="000000" w:themeColor="text1"/>
                <w:sz w:val="24"/>
                <w:szCs w:val="24"/>
              </w:rPr>
            </w:pPr>
            <w:r w:rsidRPr="00D41D30">
              <w:rPr>
                <w:rFonts w:hAnsi="標楷體" w:hint="eastAsia"/>
                <w:bCs/>
                <w:color w:val="000000" w:themeColor="text1"/>
                <w:sz w:val="24"/>
                <w:szCs w:val="24"/>
              </w:rPr>
              <w:t>普設高齡學習場所，提供高齡學習機會</w:t>
            </w:r>
          </w:p>
        </w:tc>
        <w:tc>
          <w:tcPr>
            <w:tcW w:w="846"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全國各鄉鎮市區設置樂齡中心之累計比率</w:t>
            </w:r>
          </w:p>
        </w:tc>
        <w:tc>
          <w:tcPr>
            <w:tcW w:w="660"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94%</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97%</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96%</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98%</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color w:val="000000" w:themeColor="text1"/>
                <w:sz w:val="24"/>
                <w:szCs w:val="24"/>
              </w:rPr>
              <w:t>達標</w:t>
            </w:r>
          </w:p>
        </w:tc>
      </w:tr>
      <w:tr w:rsidR="003872FF" w:rsidRPr="00D41D30" w:rsidTr="003872FF">
        <w:trPr>
          <w:trHeight w:val="63"/>
        </w:trPr>
        <w:tc>
          <w:tcPr>
            <w:tcW w:w="237" w:type="pct"/>
            <w:vMerge/>
            <w:tcBorders>
              <w:left w:val="single" w:sz="4" w:space="0" w:color="auto"/>
              <w:right w:val="single" w:sz="4" w:space="0" w:color="auto"/>
            </w:tcBorders>
            <w:vAlign w:val="center"/>
            <w:hideMark/>
          </w:tcPr>
          <w:p w:rsidR="003872FF" w:rsidRPr="00D41D30" w:rsidRDefault="003872FF" w:rsidP="003872FF">
            <w:pPr>
              <w:adjustRightInd w:val="0"/>
              <w:snapToGrid w:val="0"/>
              <w:spacing w:line="300" w:lineRule="exact"/>
              <w:rPr>
                <w:rFonts w:hAnsi="標楷體"/>
                <w:color w:val="000000" w:themeColor="text1"/>
                <w:sz w:val="24"/>
                <w:szCs w:val="24"/>
              </w:rPr>
            </w:pPr>
          </w:p>
        </w:tc>
        <w:tc>
          <w:tcPr>
            <w:tcW w:w="652" w:type="pct"/>
            <w:vMerge/>
            <w:tcBorders>
              <w:left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bCs/>
                <w:color w:val="000000" w:themeColor="text1"/>
                <w:sz w:val="24"/>
                <w:szCs w:val="24"/>
              </w:rPr>
            </w:pPr>
          </w:p>
        </w:tc>
        <w:tc>
          <w:tcPr>
            <w:tcW w:w="846"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拓展樂齡學習村里之累計總數</w:t>
            </w:r>
          </w:p>
        </w:tc>
        <w:tc>
          <w:tcPr>
            <w:tcW w:w="660"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1,750個</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2,847個</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1,800個</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2,8</w:t>
            </w:r>
            <w:r w:rsidRPr="00D41D30">
              <w:rPr>
                <w:rFonts w:hAnsi="標楷體"/>
                <w:color w:val="000000" w:themeColor="text1"/>
                <w:sz w:val="24"/>
                <w:szCs w:val="24"/>
              </w:rPr>
              <w:t>5</w:t>
            </w:r>
            <w:r w:rsidRPr="00D41D30">
              <w:rPr>
                <w:rFonts w:hAnsi="標楷體" w:hint="eastAsia"/>
                <w:color w:val="000000" w:themeColor="text1"/>
                <w:sz w:val="24"/>
                <w:szCs w:val="24"/>
              </w:rPr>
              <w:t>7個</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r w:rsidR="003872FF" w:rsidRPr="00D41D30" w:rsidTr="003872FF">
        <w:trPr>
          <w:trHeight w:val="63"/>
        </w:trPr>
        <w:tc>
          <w:tcPr>
            <w:tcW w:w="237" w:type="pct"/>
            <w:vMerge/>
            <w:tcBorders>
              <w:left w:val="single" w:sz="4" w:space="0" w:color="auto"/>
              <w:bottom w:val="single" w:sz="4" w:space="0" w:color="auto"/>
              <w:right w:val="single" w:sz="4" w:space="0" w:color="auto"/>
            </w:tcBorders>
            <w:vAlign w:val="center"/>
          </w:tcPr>
          <w:p w:rsidR="003872FF" w:rsidRPr="00D41D30" w:rsidRDefault="003872FF" w:rsidP="003872FF">
            <w:pPr>
              <w:adjustRightInd w:val="0"/>
              <w:snapToGrid w:val="0"/>
              <w:spacing w:line="300" w:lineRule="exact"/>
              <w:rPr>
                <w:rFonts w:hAnsi="標楷體"/>
                <w:color w:val="000000" w:themeColor="text1"/>
                <w:sz w:val="24"/>
                <w:szCs w:val="24"/>
              </w:rPr>
            </w:pPr>
          </w:p>
        </w:tc>
        <w:tc>
          <w:tcPr>
            <w:tcW w:w="652" w:type="pct"/>
            <w:vMerge/>
            <w:tcBorders>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rPr>
                <w:rFonts w:hAnsi="標楷體"/>
                <w:bCs/>
                <w:color w:val="000000" w:themeColor="text1"/>
                <w:sz w:val="24"/>
                <w:szCs w:val="24"/>
              </w:rPr>
            </w:pPr>
          </w:p>
        </w:tc>
        <w:tc>
          <w:tcPr>
            <w:tcW w:w="84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成立</w:t>
            </w:r>
            <w:r w:rsidRPr="00D41D30">
              <w:rPr>
                <w:rFonts w:hAnsi="標楷體"/>
                <w:color w:val="000000" w:themeColor="text1"/>
                <w:sz w:val="24"/>
                <w:szCs w:val="24"/>
              </w:rPr>
              <w:t>樂齡</w:t>
            </w:r>
            <w:r w:rsidRPr="00D41D30">
              <w:rPr>
                <w:rFonts w:hAnsi="標楷體" w:hint="eastAsia"/>
                <w:color w:val="000000" w:themeColor="text1"/>
                <w:sz w:val="24"/>
                <w:szCs w:val="24"/>
              </w:rPr>
              <w:t>學習</w:t>
            </w:r>
            <w:r w:rsidRPr="00D41D30">
              <w:rPr>
                <w:rFonts w:hAnsi="標楷體"/>
                <w:color w:val="000000" w:themeColor="text1"/>
                <w:sz w:val="24"/>
                <w:szCs w:val="24"/>
              </w:rPr>
              <w:t>社團</w:t>
            </w:r>
            <w:r w:rsidRPr="00D41D30">
              <w:rPr>
                <w:rFonts w:hAnsi="標楷體" w:hint="eastAsia"/>
                <w:color w:val="000000" w:themeColor="text1"/>
                <w:sz w:val="24"/>
                <w:szCs w:val="24"/>
              </w:rPr>
              <w:t>總數</w:t>
            </w:r>
          </w:p>
        </w:tc>
        <w:tc>
          <w:tcPr>
            <w:tcW w:w="660"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1,550個</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112個</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1,600個</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w:t>
            </w:r>
            <w:r w:rsidRPr="00D41D30">
              <w:rPr>
                <w:rFonts w:hAnsi="標楷體" w:hint="eastAsia"/>
                <w:color w:val="000000" w:themeColor="text1"/>
                <w:sz w:val="24"/>
                <w:szCs w:val="24"/>
              </w:rPr>
              <w:t>314個</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未達標</w:t>
            </w:r>
          </w:p>
        </w:tc>
      </w:tr>
      <w:tr w:rsidR="003872FF" w:rsidRPr="00D41D30" w:rsidTr="003872FF">
        <w:trPr>
          <w:trHeight w:val="63"/>
        </w:trPr>
        <w:tc>
          <w:tcPr>
            <w:tcW w:w="237"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2</w:t>
            </w:r>
          </w:p>
        </w:tc>
        <w:tc>
          <w:tcPr>
            <w:tcW w:w="652"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bCs/>
                <w:color w:val="000000" w:themeColor="text1"/>
                <w:sz w:val="24"/>
                <w:szCs w:val="24"/>
              </w:rPr>
            </w:pPr>
            <w:r w:rsidRPr="00D41D30">
              <w:rPr>
                <w:rFonts w:hAnsi="標楷體" w:hint="eastAsia"/>
                <w:bCs/>
                <w:color w:val="000000" w:themeColor="text1"/>
                <w:sz w:val="24"/>
                <w:szCs w:val="24"/>
              </w:rPr>
              <w:t>鼓勵大專校院提供高齡學習機會</w:t>
            </w:r>
          </w:p>
        </w:tc>
        <w:tc>
          <w:tcPr>
            <w:tcW w:w="846"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設置樂齡大學之累計總數（所）</w:t>
            </w:r>
          </w:p>
        </w:tc>
        <w:tc>
          <w:tcPr>
            <w:tcW w:w="660"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110所</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w:t>
            </w:r>
            <w:r w:rsidRPr="00D41D30">
              <w:rPr>
                <w:rFonts w:hAnsi="標楷體"/>
                <w:color w:val="000000" w:themeColor="text1"/>
                <w:sz w:val="24"/>
                <w:szCs w:val="24"/>
              </w:rPr>
              <w:t>06</w:t>
            </w:r>
            <w:r w:rsidRPr="00D41D30">
              <w:rPr>
                <w:rFonts w:hAnsi="標楷體" w:hint="eastAsia"/>
                <w:color w:val="000000" w:themeColor="text1"/>
                <w:sz w:val="24"/>
                <w:szCs w:val="24"/>
              </w:rPr>
              <w:t>所</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115所</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107所</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未達標</w:t>
            </w:r>
          </w:p>
        </w:tc>
      </w:tr>
      <w:tr w:rsidR="003872FF" w:rsidRPr="00D41D30" w:rsidTr="003872FF">
        <w:trPr>
          <w:trHeight w:val="63"/>
        </w:trPr>
        <w:tc>
          <w:tcPr>
            <w:tcW w:w="237" w:type="pct"/>
            <w:vMerge w:val="restart"/>
            <w:tcBorders>
              <w:top w:val="single" w:sz="4" w:space="0" w:color="auto"/>
              <w:left w:val="single" w:sz="4" w:space="0" w:color="auto"/>
              <w:right w:val="single" w:sz="4" w:space="0" w:color="auto"/>
            </w:tcBorders>
            <w:vAlign w:val="center"/>
            <w:hideMark/>
          </w:tcPr>
          <w:p w:rsidR="003872FF" w:rsidRPr="00D41D30" w:rsidRDefault="003872FF" w:rsidP="003872FF">
            <w:pPr>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3</w:t>
            </w:r>
          </w:p>
        </w:tc>
        <w:tc>
          <w:tcPr>
            <w:tcW w:w="652" w:type="pct"/>
            <w:vMerge w:val="restart"/>
            <w:tcBorders>
              <w:top w:val="single" w:sz="4" w:space="0" w:color="auto"/>
              <w:left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培育高齡教育人才，強化專業人力素質，提升學習滿意度</w:t>
            </w:r>
          </w:p>
        </w:tc>
        <w:tc>
          <w:tcPr>
            <w:tcW w:w="846"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當年度通過高齡教育專業人員培訓總人數</w:t>
            </w:r>
          </w:p>
        </w:tc>
        <w:tc>
          <w:tcPr>
            <w:tcW w:w="660"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200人</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272人</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230人</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235人</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r w:rsidR="003872FF" w:rsidRPr="00D41D30" w:rsidTr="003872FF">
        <w:trPr>
          <w:trHeight w:val="84"/>
        </w:trPr>
        <w:tc>
          <w:tcPr>
            <w:tcW w:w="237" w:type="pct"/>
            <w:vMerge/>
            <w:tcBorders>
              <w:left w:val="single" w:sz="4" w:space="0" w:color="auto"/>
              <w:bottom w:val="single" w:sz="4" w:space="0" w:color="auto"/>
              <w:right w:val="single" w:sz="4" w:space="0" w:color="auto"/>
            </w:tcBorders>
            <w:vAlign w:val="center"/>
          </w:tcPr>
          <w:p w:rsidR="003872FF" w:rsidRPr="00D41D30" w:rsidRDefault="003872FF" w:rsidP="003872FF">
            <w:pPr>
              <w:adjustRightInd w:val="0"/>
              <w:snapToGrid w:val="0"/>
              <w:spacing w:line="300" w:lineRule="exact"/>
              <w:rPr>
                <w:rFonts w:hAnsi="標楷體"/>
                <w:color w:val="000000" w:themeColor="text1"/>
                <w:sz w:val="24"/>
                <w:szCs w:val="24"/>
              </w:rPr>
            </w:pPr>
          </w:p>
        </w:tc>
        <w:tc>
          <w:tcPr>
            <w:tcW w:w="652" w:type="pct"/>
            <w:vMerge/>
            <w:tcBorders>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p>
        </w:tc>
        <w:tc>
          <w:tcPr>
            <w:tcW w:w="84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kern w:val="0"/>
                <w:sz w:val="24"/>
                <w:szCs w:val="24"/>
              </w:rPr>
              <w:t>參與高齡教育學習滿意度比率</w:t>
            </w:r>
          </w:p>
        </w:tc>
        <w:tc>
          <w:tcPr>
            <w:tcW w:w="660"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92%</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92.3%</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93%</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93.4%</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r w:rsidR="003872FF" w:rsidRPr="00D41D30" w:rsidTr="003872FF">
        <w:trPr>
          <w:trHeight w:val="1405"/>
        </w:trPr>
        <w:tc>
          <w:tcPr>
            <w:tcW w:w="237"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4</w:t>
            </w:r>
          </w:p>
        </w:tc>
        <w:tc>
          <w:tcPr>
            <w:tcW w:w="652"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活用中高齡者人力資源，成立自主學習團體</w:t>
            </w:r>
          </w:p>
        </w:tc>
        <w:tc>
          <w:tcPr>
            <w:tcW w:w="846"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bCs/>
                <w:color w:val="000000" w:themeColor="text1"/>
                <w:sz w:val="24"/>
                <w:szCs w:val="24"/>
              </w:rPr>
            </w:pPr>
            <w:r w:rsidRPr="00D41D30">
              <w:rPr>
                <w:rFonts w:hAnsi="標楷體" w:hint="eastAsia"/>
                <w:bCs/>
                <w:color w:val="000000" w:themeColor="text1"/>
                <w:sz w:val="24"/>
                <w:szCs w:val="24"/>
              </w:rPr>
              <w:t>成立自主學習團體之累計總數</w:t>
            </w:r>
          </w:p>
        </w:tc>
        <w:tc>
          <w:tcPr>
            <w:tcW w:w="660"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100團</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137團</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125團</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131團</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r w:rsidR="003872FF" w:rsidRPr="00D41D30" w:rsidTr="003872FF">
        <w:trPr>
          <w:trHeight w:val="63"/>
        </w:trPr>
        <w:tc>
          <w:tcPr>
            <w:tcW w:w="237"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adjustRightInd w:val="0"/>
              <w:snapToGrid w:val="0"/>
              <w:spacing w:line="300" w:lineRule="exact"/>
              <w:rPr>
                <w:rFonts w:ascii="Iskoola Pota" w:hAnsi="Iskoola Pota" w:cs="Iskoola Pota"/>
                <w:color w:val="000000" w:themeColor="text1"/>
                <w:sz w:val="24"/>
                <w:szCs w:val="24"/>
              </w:rPr>
            </w:pPr>
            <w:r w:rsidRPr="00D41D30">
              <w:rPr>
                <w:rFonts w:hAnsi="標楷體" w:hint="eastAsia"/>
                <w:color w:val="000000" w:themeColor="text1"/>
                <w:sz w:val="24"/>
                <w:szCs w:val="24"/>
              </w:rPr>
              <w:t>5</w:t>
            </w:r>
          </w:p>
        </w:tc>
        <w:tc>
          <w:tcPr>
            <w:tcW w:w="652"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color w:val="000000" w:themeColor="text1"/>
                <w:sz w:val="24"/>
                <w:szCs w:val="24"/>
              </w:rPr>
            </w:pPr>
            <w:r w:rsidRPr="00D41D30">
              <w:rPr>
                <w:rFonts w:hAnsi="標楷體" w:hint="eastAsia"/>
                <w:color w:val="000000" w:themeColor="text1"/>
                <w:sz w:val="24"/>
                <w:szCs w:val="24"/>
              </w:rPr>
              <w:t>推動退休準備教育，協助高齡者生涯規劃</w:t>
            </w:r>
          </w:p>
        </w:tc>
        <w:tc>
          <w:tcPr>
            <w:tcW w:w="846"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rPr>
                <w:rFonts w:hAnsi="標楷體"/>
                <w:bCs/>
                <w:color w:val="000000" w:themeColor="text1"/>
                <w:sz w:val="24"/>
                <w:szCs w:val="24"/>
              </w:rPr>
            </w:pPr>
            <w:r w:rsidRPr="00D41D30">
              <w:rPr>
                <w:rFonts w:hAnsi="標楷體" w:hint="eastAsia"/>
                <w:color w:val="000000" w:themeColor="text1"/>
                <w:sz w:val="24"/>
                <w:szCs w:val="24"/>
              </w:rPr>
              <w:t>辦理退休前準備課程</w:t>
            </w:r>
            <w:r w:rsidRPr="00D41D30">
              <w:rPr>
                <w:rFonts w:hAnsi="標楷體" w:hint="eastAsia"/>
                <w:bCs/>
                <w:color w:val="000000" w:themeColor="text1"/>
                <w:sz w:val="24"/>
                <w:szCs w:val="24"/>
              </w:rPr>
              <w:t>累計總數</w:t>
            </w:r>
          </w:p>
        </w:tc>
        <w:tc>
          <w:tcPr>
            <w:tcW w:w="660" w:type="pct"/>
            <w:tcBorders>
              <w:top w:val="single" w:sz="4" w:space="0" w:color="auto"/>
              <w:left w:val="single" w:sz="4" w:space="0" w:color="auto"/>
              <w:bottom w:val="single" w:sz="4" w:space="0" w:color="auto"/>
              <w:right w:val="single" w:sz="4" w:space="0" w:color="auto"/>
            </w:tcBorders>
            <w:vAlign w:val="center"/>
            <w:hideMark/>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30</w:t>
            </w:r>
            <w:r w:rsidRPr="00D41D30">
              <w:rPr>
                <w:rFonts w:hAnsi="標楷體" w:hint="eastAsia"/>
                <w:bCs/>
                <w:color w:val="000000" w:themeColor="text1"/>
                <w:sz w:val="24"/>
                <w:szCs w:val="24"/>
              </w:rPr>
              <w:t>門</w:t>
            </w:r>
          </w:p>
        </w:tc>
        <w:tc>
          <w:tcPr>
            <w:tcW w:w="66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270場次</w:t>
            </w:r>
          </w:p>
        </w:tc>
        <w:tc>
          <w:tcPr>
            <w:tcW w:w="661"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40</w:t>
            </w:r>
            <w:r w:rsidRPr="00D41D30">
              <w:rPr>
                <w:rFonts w:hAnsi="標楷體" w:hint="eastAsia"/>
                <w:bCs/>
                <w:color w:val="000000" w:themeColor="text1"/>
                <w:sz w:val="24"/>
                <w:szCs w:val="24"/>
              </w:rPr>
              <w:t>門</w:t>
            </w:r>
          </w:p>
        </w:tc>
        <w:tc>
          <w:tcPr>
            <w:tcW w:w="736"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216場次</w:t>
            </w:r>
          </w:p>
        </w:tc>
        <w:tc>
          <w:tcPr>
            <w:tcW w:w="545"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tabs>
                <w:tab w:val="num" w:pos="720"/>
              </w:tabs>
              <w:adjustRightInd w:val="0"/>
              <w:snapToGrid w:val="0"/>
              <w:spacing w:line="300" w:lineRule="exact"/>
              <w:jc w:val="center"/>
              <w:rPr>
                <w:rFonts w:hAnsi="標楷體"/>
                <w:color w:val="000000" w:themeColor="text1"/>
                <w:sz w:val="24"/>
                <w:szCs w:val="24"/>
              </w:rPr>
            </w:pPr>
            <w:r w:rsidRPr="00D41D30">
              <w:rPr>
                <w:rFonts w:hAnsi="標楷體" w:hint="eastAsia"/>
                <w:color w:val="000000" w:themeColor="text1"/>
                <w:sz w:val="24"/>
                <w:szCs w:val="24"/>
              </w:rPr>
              <w:t>達標</w:t>
            </w:r>
          </w:p>
        </w:tc>
      </w:tr>
    </w:tbl>
    <w:p w:rsidR="003872FF" w:rsidRPr="00D41D30" w:rsidRDefault="003872FF" w:rsidP="003872FF">
      <w:pPr>
        <w:pStyle w:val="aff9"/>
        <w:rPr>
          <w:rFonts w:ascii="標楷體" w:eastAsia="標楷體" w:hAnsi="標楷體"/>
          <w:color w:val="000000" w:themeColor="text1"/>
          <w:lang w:eastAsia="zh-TW"/>
        </w:rPr>
      </w:pPr>
      <w:r w:rsidRPr="00D41D30">
        <w:rPr>
          <w:rFonts w:ascii="標楷體" w:eastAsia="標楷體" w:hAnsi="標楷體" w:hint="eastAsia"/>
          <w:color w:val="000000" w:themeColor="text1"/>
          <w:lang w:eastAsia="zh-TW"/>
        </w:rPr>
        <w:t xml:space="preserve">　資料來源：</w:t>
      </w:r>
      <w:r w:rsidRPr="00D41D30">
        <w:rPr>
          <w:rFonts w:ascii="標楷體" w:eastAsia="標楷體" w:hAnsi="標楷體" w:cs="新細明體" w:hint="eastAsia"/>
          <w:color w:val="000000" w:themeColor="text1"/>
          <w:lang w:eastAsia="zh-TW"/>
        </w:rPr>
        <w:t>教</w:t>
      </w:r>
      <w:r w:rsidRPr="00D41D30">
        <w:rPr>
          <w:rFonts w:ascii="標楷體" w:eastAsia="標楷體" w:hAnsi="標楷體" w:cs="Adobe Myungjo Std M" w:hint="eastAsia"/>
          <w:color w:val="000000" w:themeColor="text1"/>
          <w:lang w:eastAsia="zh-TW"/>
        </w:rPr>
        <w:t>育部提供</w:t>
      </w:r>
      <w:r w:rsidRPr="00D41D30">
        <w:rPr>
          <w:rFonts w:ascii="標楷體" w:eastAsia="標楷體" w:hAnsi="標楷體" w:hint="eastAsia"/>
          <w:color w:val="000000" w:themeColor="text1"/>
          <w:lang w:eastAsia="zh-TW"/>
        </w:rPr>
        <w:t>。</w:t>
      </w:r>
    </w:p>
    <w:p w:rsidR="003872FF" w:rsidRPr="00D41D30" w:rsidRDefault="003872FF" w:rsidP="003872FF">
      <w:pPr>
        <w:pStyle w:val="3"/>
        <w:rPr>
          <w:color w:val="000000" w:themeColor="text1"/>
        </w:rPr>
      </w:pPr>
      <w:bookmarkStart w:id="1543" w:name="_Toc32673798"/>
      <w:bookmarkStart w:id="1544" w:name="_Toc32846677"/>
      <w:bookmarkStart w:id="1545" w:name="_Toc32918583"/>
      <w:bookmarkStart w:id="1546" w:name="_Toc33011869"/>
      <w:bookmarkEnd w:id="1540"/>
      <w:bookmarkEnd w:id="1541"/>
      <w:bookmarkEnd w:id="1542"/>
      <w:r w:rsidRPr="00D41D30">
        <w:rPr>
          <w:rFonts w:hint="eastAsia"/>
          <w:color w:val="000000" w:themeColor="text1"/>
        </w:rPr>
        <w:lastRenderedPageBreak/>
        <w:t>復查，關於高齡者教育之收費制度，相對於其他高齡教育計畫模式較為清晰。教育部補助部分，樂齡大學每校以補助1班為原則，以補助2班為上限，第1班補助上限為33萬元，得全額補助。各校得依據所需經費自行籌措，並編列配合款；學校得依據實際支用經費情形，向學員收取合理之代辦費用，上述收費項目及標準，應載明於招生簡章中，並明定退費條件及方式。而目前多數學校每學期收費</w:t>
      </w:r>
      <w:r w:rsidRPr="00D41D30">
        <w:rPr>
          <w:color w:val="000000" w:themeColor="text1"/>
        </w:rPr>
        <w:t>1,000</w:t>
      </w:r>
      <w:r w:rsidRPr="00D41D30">
        <w:rPr>
          <w:rFonts w:hint="eastAsia"/>
          <w:color w:val="000000" w:themeColor="text1"/>
        </w:rPr>
        <w:t>元</w:t>
      </w:r>
      <w:r w:rsidRPr="00D41D30">
        <w:rPr>
          <w:color w:val="000000" w:themeColor="text1"/>
        </w:rPr>
        <w:t>-6,000</w:t>
      </w:r>
      <w:r w:rsidRPr="00D41D30">
        <w:rPr>
          <w:rFonts w:hint="eastAsia"/>
          <w:color w:val="000000" w:themeColor="text1"/>
        </w:rPr>
        <w:t>元不等（多係運用於參訪費用、較高額之材料費等），部分學校免費，但會收保證金，參訪活動費用多由學員自付。</w:t>
      </w:r>
      <w:bookmarkEnd w:id="1543"/>
      <w:bookmarkEnd w:id="1544"/>
      <w:bookmarkEnd w:id="1545"/>
      <w:bookmarkEnd w:id="1546"/>
    </w:p>
    <w:p w:rsidR="003872FF" w:rsidRPr="00D41D30" w:rsidRDefault="003872FF" w:rsidP="003872FF">
      <w:pPr>
        <w:pStyle w:val="a4"/>
        <w:ind w:left="697" w:hanging="697"/>
        <w:rPr>
          <w:color w:val="000000" w:themeColor="text1"/>
          <w:sz w:val="24"/>
          <w:szCs w:val="24"/>
        </w:rPr>
      </w:pPr>
      <w:r w:rsidRPr="00D41D30">
        <w:rPr>
          <w:rFonts w:hint="eastAsia"/>
          <w:b/>
          <w:color w:val="000000" w:themeColor="text1"/>
        </w:rPr>
        <w:t>97年度</w:t>
      </w:r>
      <w:r w:rsidRPr="00D41D30">
        <w:rPr>
          <w:rFonts w:hAnsi="標楷體" w:hint="eastAsia"/>
          <w:b/>
          <w:color w:val="000000" w:themeColor="text1"/>
        </w:rPr>
        <w:t>迄今</w:t>
      </w:r>
      <w:r w:rsidRPr="00D41D30">
        <w:rPr>
          <w:rFonts w:hint="eastAsia"/>
          <w:b/>
          <w:color w:val="000000" w:themeColor="text1"/>
        </w:rPr>
        <w:t xml:space="preserve">各年度樂齡大學相關資料統計（配合大學校院以學年度方式呈現）　　　　　　　　　　　　　　       </w:t>
      </w:r>
      <w:r w:rsidRPr="00D41D30">
        <w:rPr>
          <w:rFonts w:hint="eastAsia"/>
          <w:b/>
          <w:color w:val="000000" w:themeColor="text1"/>
          <w:sz w:val="24"/>
          <w:szCs w:val="24"/>
        </w:rPr>
        <w:t xml:space="preserve"> </w:t>
      </w:r>
      <w:r w:rsidRPr="00D41D30">
        <w:rPr>
          <w:rFonts w:hint="eastAsia"/>
          <w:color w:val="000000" w:themeColor="text1"/>
          <w:sz w:val="24"/>
          <w:szCs w:val="24"/>
        </w:rPr>
        <w:t>單位：千元</w:t>
      </w:r>
    </w:p>
    <w:tbl>
      <w:tblPr>
        <w:tblW w:w="5937" w:type="pct"/>
        <w:jc w:val="center"/>
        <w:tblLayout w:type="fixed"/>
        <w:tblCellMar>
          <w:left w:w="28" w:type="dxa"/>
          <w:right w:w="28" w:type="dxa"/>
        </w:tblCellMar>
        <w:tblLook w:val="04A0" w:firstRow="1" w:lastRow="0" w:firstColumn="1" w:lastColumn="0" w:noHBand="0" w:noVBand="1"/>
      </w:tblPr>
      <w:tblGrid>
        <w:gridCol w:w="596"/>
        <w:gridCol w:w="1622"/>
        <w:gridCol w:w="807"/>
        <w:gridCol w:w="807"/>
        <w:gridCol w:w="808"/>
        <w:gridCol w:w="808"/>
        <w:gridCol w:w="810"/>
        <w:gridCol w:w="808"/>
        <w:gridCol w:w="808"/>
        <w:gridCol w:w="808"/>
        <w:gridCol w:w="808"/>
        <w:gridCol w:w="810"/>
      </w:tblGrid>
      <w:tr w:rsidR="003872FF" w:rsidRPr="00D41D30" w:rsidTr="003872FF">
        <w:trPr>
          <w:trHeight w:val="391"/>
          <w:jc w:val="center"/>
        </w:trPr>
        <w:tc>
          <w:tcPr>
            <w:tcW w:w="1078" w:type="pct"/>
            <w:gridSpan w:val="2"/>
            <w:tcBorders>
              <w:top w:val="single" w:sz="6" w:space="0" w:color="auto"/>
              <w:left w:val="single" w:sz="6" w:space="0" w:color="auto"/>
              <w:bottom w:val="single" w:sz="6" w:space="0" w:color="auto"/>
              <w:right w:val="single" w:sz="6" w:space="0" w:color="auto"/>
            </w:tcBorders>
            <w:shd w:val="clear" w:color="auto" w:fill="auto"/>
            <w:noWrap/>
            <w:vAlign w:val="center"/>
            <w:hideMark/>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年度</w:t>
            </w:r>
          </w:p>
        </w:tc>
        <w:tc>
          <w:tcPr>
            <w:tcW w:w="392" w:type="pct"/>
            <w:tcBorders>
              <w:top w:val="single" w:sz="6" w:space="0" w:color="auto"/>
              <w:left w:val="single" w:sz="6" w:space="0" w:color="auto"/>
              <w:bottom w:val="single" w:sz="4"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99</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100</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101</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102</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103</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104</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105</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106</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107</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108</w:t>
            </w:r>
          </w:p>
        </w:tc>
      </w:tr>
      <w:tr w:rsidR="003872FF" w:rsidRPr="00D41D30" w:rsidTr="003872FF">
        <w:trPr>
          <w:trHeight w:val="450"/>
          <w:jc w:val="center"/>
        </w:trPr>
        <w:tc>
          <w:tcPr>
            <w:tcW w:w="290" w:type="pct"/>
            <w:vMerge w:val="restart"/>
            <w:tcBorders>
              <w:top w:val="single" w:sz="6" w:space="0" w:color="auto"/>
              <w:left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學校</w:t>
            </w:r>
          </w:p>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性質</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tcPr>
          <w:p w:rsidR="003872FF" w:rsidRPr="00D41D30" w:rsidRDefault="003872FF" w:rsidP="003872FF">
            <w:pPr>
              <w:spacing w:line="300" w:lineRule="exact"/>
              <w:jc w:val="left"/>
              <w:rPr>
                <w:rFonts w:hAnsi="標楷體"/>
                <w:b/>
                <w:color w:val="000000" w:themeColor="text1"/>
                <w:sz w:val="24"/>
                <w:szCs w:val="24"/>
              </w:rPr>
            </w:pPr>
            <w:r w:rsidRPr="00D41D30">
              <w:rPr>
                <w:rFonts w:hAnsi="標楷體" w:hint="eastAsia"/>
                <w:b/>
                <w:color w:val="000000" w:themeColor="text1"/>
                <w:sz w:val="24"/>
                <w:szCs w:val="24"/>
              </w:rPr>
              <w:t>技專院校</w:t>
            </w:r>
          </w:p>
        </w:tc>
        <w:tc>
          <w:tcPr>
            <w:tcW w:w="39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32</w:t>
            </w:r>
          </w:p>
        </w:tc>
        <w:tc>
          <w:tcPr>
            <w:tcW w:w="392" w:type="pct"/>
            <w:tcBorders>
              <w:top w:val="single" w:sz="6" w:space="0" w:color="auto"/>
              <w:left w:val="single" w:sz="4"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50</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57</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56</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55</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60</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58</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56</w:t>
            </w:r>
          </w:p>
        </w:tc>
      </w:tr>
      <w:tr w:rsidR="003872FF" w:rsidRPr="00D41D30" w:rsidTr="003872FF">
        <w:trPr>
          <w:trHeight w:val="450"/>
          <w:jc w:val="center"/>
        </w:trPr>
        <w:tc>
          <w:tcPr>
            <w:tcW w:w="290" w:type="pct"/>
            <w:vMerge/>
            <w:tcBorders>
              <w:left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tcPr>
          <w:p w:rsidR="003872FF" w:rsidRPr="00D41D30" w:rsidRDefault="003872FF" w:rsidP="003872FF">
            <w:pPr>
              <w:spacing w:line="300" w:lineRule="exact"/>
              <w:jc w:val="left"/>
              <w:rPr>
                <w:rFonts w:hAnsi="標楷體"/>
                <w:b/>
                <w:color w:val="000000" w:themeColor="text1"/>
                <w:sz w:val="24"/>
                <w:szCs w:val="24"/>
              </w:rPr>
            </w:pPr>
            <w:r w:rsidRPr="00D41D30">
              <w:rPr>
                <w:rFonts w:hAnsi="標楷體" w:hint="eastAsia"/>
                <w:b/>
                <w:color w:val="000000" w:themeColor="text1"/>
                <w:sz w:val="24"/>
                <w:szCs w:val="24"/>
              </w:rPr>
              <w:t>一般大學</w:t>
            </w:r>
          </w:p>
        </w:tc>
        <w:tc>
          <w:tcPr>
            <w:tcW w:w="39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24</w:t>
            </w:r>
          </w:p>
        </w:tc>
        <w:tc>
          <w:tcPr>
            <w:tcW w:w="392" w:type="pct"/>
            <w:tcBorders>
              <w:top w:val="single" w:sz="6" w:space="0" w:color="auto"/>
              <w:left w:val="single" w:sz="4"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34</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40</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42</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45</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45</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47</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49</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46</w:t>
            </w:r>
          </w:p>
        </w:tc>
      </w:tr>
      <w:tr w:rsidR="003872FF" w:rsidRPr="00D41D30" w:rsidTr="003872FF">
        <w:trPr>
          <w:trHeight w:val="450"/>
          <w:jc w:val="center"/>
        </w:trPr>
        <w:tc>
          <w:tcPr>
            <w:tcW w:w="290" w:type="pct"/>
            <w:vMerge w:val="restart"/>
            <w:tcBorders>
              <w:top w:val="single" w:sz="6" w:space="0" w:color="auto"/>
              <w:left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地區</w:t>
            </w: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tcPr>
          <w:p w:rsidR="003872FF" w:rsidRPr="00D41D30" w:rsidRDefault="003872FF" w:rsidP="003872FF">
            <w:pPr>
              <w:spacing w:line="300" w:lineRule="exact"/>
              <w:jc w:val="left"/>
              <w:rPr>
                <w:rFonts w:hAnsi="標楷體"/>
                <w:b/>
                <w:color w:val="000000" w:themeColor="text1"/>
                <w:sz w:val="24"/>
                <w:szCs w:val="24"/>
              </w:rPr>
            </w:pPr>
            <w:r w:rsidRPr="00D41D30">
              <w:rPr>
                <w:rFonts w:hAnsi="標楷體" w:hint="eastAsia"/>
                <w:b/>
                <w:color w:val="000000" w:themeColor="text1"/>
                <w:sz w:val="24"/>
                <w:szCs w:val="24"/>
              </w:rPr>
              <w:t>北（臺北市、新北市、基隆市、新竹市、桃園市、新竹縣</w:t>
            </w:r>
            <w:r w:rsidRPr="00D41D30">
              <w:rPr>
                <w:rFonts w:hAnsi="標楷體"/>
                <w:b/>
                <w:color w:val="000000" w:themeColor="text1"/>
                <w:sz w:val="24"/>
                <w:szCs w:val="24"/>
              </w:rPr>
              <w:t>）</w:t>
            </w:r>
          </w:p>
        </w:tc>
        <w:tc>
          <w:tcPr>
            <w:tcW w:w="39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16</w:t>
            </w:r>
          </w:p>
        </w:tc>
        <w:tc>
          <w:tcPr>
            <w:tcW w:w="392" w:type="pct"/>
            <w:tcBorders>
              <w:top w:val="single" w:sz="6" w:space="0" w:color="auto"/>
              <w:left w:val="single" w:sz="4"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29</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31</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30</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29</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32</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35</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34</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35</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37</w:t>
            </w:r>
          </w:p>
        </w:tc>
      </w:tr>
      <w:tr w:rsidR="003872FF" w:rsidRPr="00D41D30" w:rsidTr="003872FF">
        <w:trPr>
          <w:trHeight w:val="450"/>
          <w:jc w:val="center"/>
        </w:trPr>
        <w:tc>
          <w:tcPr>
            <w:tcW w:w="290" w:type="pct"/>
            <w:vMerge/>
            <w:tcBorders>
              <w:left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tcPr>
          <w:p w:rsidR="003872FF" w:rsidRPr="00D41D30" w:rsidRDefault="003872FF" w:rsidP="003872FF">
            <w:pPr>
              <w:spacing w:line="300" w:lineRule="exact"/>
              <w:jc w:val="left"/>
              <w:rPr>
                <w:rFonts w:hAnsi="標楷體"/>
                <w:b/>
                <w:color w:val="000000" w:themeColor="text1"/>
                <w:sz w:val="24"/>
                <w:szCs w:val="24"/>
              </w:rPr>
            </w:pPr>
            <w:r w:rsidRPr="00D41D30">
              <w:rPr>
                <w:rFonts w:hAnsi="標楷體" w:hint="eastAsia"/>
                <w:b/>
                <w:color w:val="000000" w:themeColor="text1"/>
                <w:sz w:val="24"/>
                <w:szCs w:val="24"/>
              </w:rPr>
              <w:t>中（</w:t>
            </w:r>
            <w:r w:rsidRPr="00D41D30">
              <w:rPr>
                <w:rFonts w:hAnsi="標楷體"/>
                <w:b/>
                <w:color w:val="000000" w:themeColor="text1"/>
                <w:sz w:val="24"/>
                <w:szCs w:val="24"/>
              </w:rPr>
              <w:t>臺中市、苗栗縣、彰化縣、南投縣及雲林縣</w:t>
            </w:r>
            <w:r w:rsidRPr="00D41D30">
              <w:rPr>
                <w:rFonts w:hAnsi="標楷體" w:hint="eastAsia"/>
                <w:b/>
                <w:color w:val="000000" w:themeColor="text1"/>
                <w:sz w:val="24"/>
                <w:szCs w:val="24"/>
              </w:rPr>
              <w:t>）</w:t>
            </w:r>
          </w:p>
        </w:tc>
        <w:tc>
          <w:tcPr>
            <w:tcW w:w="39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14</w:t>
            </w:r>
          </w:p>
        </w:tc>
        <w:tc>
          <w:tcPr>
            <w:tcW w:w="392" w:type="pct"/>
            <w:tcBorders>
              <w:top w:val="single" w:sz="6" w:space="0" w:color="auto"/>
              <w:left w:val="single" w:sz="4"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15</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21</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22</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25</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26</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25</w:t>
            </w:r>
          </w:p>
        </w:tc>
      </w:tr>
      <w:tr w:rsidR="003872FF" w:rsidRPr="00D41D30" w:rsidTr="003872FF">
        <w:trPr>
          <w:trHeight w:val="450"/>
          <w:jc w:val="center"/>
        </w:trPr>
        <w:tc>
          <w:tcPr>
            <w:tcW w:w="290" w:type="pct"/>
            <w:vMerge/>
            <w:tcBorders>
              <w:left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tcPr>
          <w:p w:rsidR="003872FF" w:rsidRPr="00D41D30" w:rsidRDefault="003872FF" w:rsidP="003872FF">
            <w:pPr>
              <w:spacing w:line="300" w:lineRule="exact"/>
              <w:jc w:val="left"/>
              <w:rPr>
                <w:rFonts w:hAnsi="標楷體"/>
                <w:b/>
                <w:color w:val="000000" w:themeColor="text1"/>
                <w:sz w:val="24"/>
                <w:szCs w:val="24"/>
              </w:rPr>
            </w:pPr>
            <w:r w:rsidRPr="00D41D30">
              <w:rPr>
                <w:rFonts w:hAnsi="標楷體" w:hint="eastAsia"/>
                <w:b/>
                <w:color w:val="000000" w:themeColor="text1"/>
                <w:sz w:val="24"/>
                <w:szCs w:val="24"/>
              </w:rPr>
              <w:t>南（</w:t>
            </w:r>
            <w:r w:rsidRPr="00D41D30">
              <w:rPr>
                <w:rFonts w:hAnsi="標楷體"/>
                <w:b/>
                <w:color w:val="000000" w:themeColor="text1"/>
                <w:sz w:val="24"/>
                <w:szCs w:val="24"/>
              </w:rPr>
              <w:t>高雄市、臺南市、嘉義市、嘉義縣、屏東縣及澎湖縣</w:t>
            </w:r>
            <w:r w:rsidRPr="00D41D30">
              <w:rPr>
                <w:rFonts w:hAnsi="標楷體" w:hint="eastAsia"/>
                <w:b/>
                <w:color w:val="000000" w:themeColor="text1"/>
                <w:sz w:val="24"/>
                <w:szCs w:val="24"/>
              </w:rPr>
              <w:t>）</w:t>
            </w:r>
          </w:p>
        </w:tc>
        <w:tc>
          <w:tcPr>
            <w:tcW w:w="39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22</w:t>
            </w:r>
          </w:p>
        </w:tc>
        <w:tc>
          <w:tcPr>
            <w:tcW w:w="392" w:type="pct"/>
            <w:tcBorders>
              <w:top w:val="single" w:sz="6" w:space="0" w:color="auto"/>
              <w:left w:val="single" w:sz="4"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34</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37</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39</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38</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beforeLines="100" w:before="457" w:line="400" w:lineRule="exact"/>
              <w:jc w:val="center"/>
              <w:rPr>
                <w:rFonts w:hAnsi="標楷體"/>
                <w:color w:val="000000" w:themeColor="text1"/>
                <w:sz w:val="24"/>
                <w:szCs w:val="24"/>
              </w:rPr>
            </w:pPr>
            <w:r w:rsidRPr="00D41D30">
              <w:rPr>
                <w:rFonts w:hAnsi="標楷體" w:hint="eastAsia"/>
                <w:color w:val="000000" w:themeColor="text1"/>
                <w:sz w:val="24"/>
                <w:szCs w:val="24"/>
              </w:rPr>
              <w:t>32</w:t>
            </w:r>
          </w:p>
        </w:tc>
      </w:tr>
      <w:tr w:rsidR="003872FF" w:rsidRPr="00D41D30" w:rsidTr="003872FF">
        <w:trPr>
          <w:trHeight w:val="572"/>
          <w:jc w:val="center"/>
        </w:trPr>
        <w:tc>
          <w:tcPr>
            <w:tcW w:w="290" w:type="pct"/>
            <w:vMerge/>
            <w:tcBorders>
              <w:left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p>
        </w:tc>
        <w:tc>
          <w:tcPr>
            <w:tcW w:w="788" w:type="pct"/>
            <w:tcBorders>
              <w:top w:val="single" w:sz="6" w:space="0" w:color="auto"/>
              <w:left w:val="single" w:sz="6" w:space="0" w:color="auto"/>
              <w:bottom w:val="single" w:sz="6" w:space="0" w:color="auto"/>
              <w:right w:val="single" w:sz="6" w:space="0" w:color="auto"/>
            </w:tcBorders>
            <w:shd w:val="clear" w:color="auto" w:fill="auto"/>
            <w:vAlign w:val="center"/>
          </w:tcPr>
          <w:p w:rsidR="003872FF" w:rsidRPr="00D41D30" w:rsidRDefault="003872FF" w:rsidP="003872FF">
            <w:pPr>
              <w:spacing w:line="300" w:lineRule="exact"/>
              <w:jc w:val="left"/>
              <w:rPr>
                <w:rFonts w:hAnsi="標楷體"/>
                <w:b/>
                <w:color w:val="000000" w:themeColor="text1"/>
                <w:sz w:val="24"/>
                <w:szCs w:val="24"/>
              </w:rPr>
            </w:pPr>
            <w:r w:rsidRPr="00D41D30">
              <w:rPr>
                <w:rFonts w:hAnsi="標楷體" w:hint="eastAsia"/>
                <w:b/>
                <w:color w:val="000000" w:themeColor="text1"/>
                <w:sz w:val="24"/>
                <w:szCs w:val="24"/>
              </w:rPr>
              <w:t>東（花蓮縣及臺東縣、宜蘭縣）</w:t>
            </w:r>
          </w:p>
        </w:tc>
        <w:tc>
          <w:tcPr>
            <w:tcW w:w="392" w:type="pct"/>
            <w:tcBorders>
              <w:top w:val="single" w:sz="4" w:space="0" w:color="auto"/>
              <w:left w:val="single" w:sz="4" w:space="0" w:color="auto"/>
              <w:bottom w:val="single" w:sz="4" w:space="0" w:color="auto"/>
              <w:right w:val="single" w:sz="4"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4</w:t>
            </w:r>
          </w:p>
        </w:tc>
        <w:tc>
          <w:tcPr>
            <w:tcW w:w="392" w:type="pct"/>
            <w:tcBorders>
              <w:top w:val="single" w:sz="6" w:space="0" w:color="auto"/>
              <w:left w:val="single" w:sz="4"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6</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7</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7</w:t>
            </w:r>
          </w:p>
        </w:tc>
        <w:tc>
          <w:tcPr>
            <w:tcW w:w="392"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c>
          <w:tcPr>
            <w:tcW w:w="393" w:type="pct"/>
            <w:tcBorders>
              <w:top w:val="single" w:sz="6" w:space="0" w:color="auto"/>
              <w:left w:val="single" w:sz="6" w:space="0" w:color="auto"/>
              <w:bottom w:val="single" w:sz="6" w:space="0" w:color="auto"/>
              <w:right w:val="single" w:sz="6" w:space="0" w:color="auto"/>
            </w:tcBorders>
            <w:vAlign w:val="center"/>
          </w:tcPr>
          <w:p w:rsidR="003872FF" w:rsidRPr="00D41D30" w:rsidRDefault="003872FF" w:rsidP="003872FF">
            <w:pPr>
              <w:spacing w:line="400" w:lineRule="exact"/>
              <w:jc w:val="center"/>
              <w:rPr>
                <w:rFonts w:hAnsi="標楷體"/>
                <w:color w:val="000000" w:themeColor="text1"/>
                <w:sz w:val="24"/>
                <w:szCs w:val="24"/>
              </w:rPr>
            </w:pPr>
            <w:r w:rsidRPr="00D41D30">
              <w:rPr>
                <w:rFonts w:hAnsi="標楷體" w:hint="eastAsia"/>
                <w:color w:val="000000" w:themeColor="text1"/>
                <w:sz w:val="24"/>
                <w:szCs w:val="24"/>
              </w:rPr>
              <w:t>8</w:t>
            </w:r>
          </w:p>
        </w:tc>
      </w:tr>
      <w:tr w:rsidR="003872FF" w:rsidRPr="00D41D30" w:rsidTr="003872FF">
        <w:trPr>
          <w:trHeight w:val="450"/>
          <w:jc w:val="center"/>
        </w:trPr>
        <w:tc>
          <w:tcPr>
            <w:tcW w:w="1078"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學生人數</w:t>
            </w:r>
          </w:p>
        </w:tc>
        <w:tc>
          <w:tcPr>
            <w:tcW w:w="392" w:type="pct"/>
            <w:tcBorders>
              <w:top w:val="single" w:sz="4" w:space="0" w:color="auto"/>
              <w:left w:val="single" w:sz="4" w:space="0" w:color="auto"/>
              <w:bottom w:val="single" w:sz="4" w:space="0" w:color="auto"/>
              <w:right w:val="single" w:sz="4"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2</w:t>
            </w:r>
            <w:r w:rsidRPr="00D41D30">
              <w:rPr>
                <w:rFonts w:hAnsi="標楷體"/>
                <w:color w:val="000000" w:themeColor="text1"/>
                <w:sz w:val="20"/>
              </w:rPr>
              <w:t>,</w:t>
            </w:r>
            <w:r w:rsidRPr="00D41D30">
              <w:rPr>
                <w:rFonts w:hAnsi="標楷體" w:hint="eastAsia"/>
                <w:color w:val="000000" w:themeColor="text1"/>
                <w:sz w:val="20"/>
              </w:rPr>
              <w:t>320</w:t>
            </w:r>
          </w:p>
        </w:tc>
        <w:tc>
          <w:tcPr>
            <w:tcW w:w="392" w:type="pct"/>
            <w:tcBorders>
              <w:top w:val="single" w:sz="6" w:space="0" w:color="auto"/>
              <w:left w:val="single" w:sz="4"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2</w:t>
            </w:r>
            <w:r w:rsidRPr="00D41D30">
              <w:rPr>
                <w:rFonts w:hAnsi="標楷體"/>
                <w:color w:val="000000" w:themeColor="text1"/>
                <w:sz w:val="20"/>
              </w:rPr>
              <w:t>,</w:t>
            </w:r>
            <w:r w:rsidRPr="00D41D30">
              <w:rPr>
                <w:rFonts w:hAnsi="標楷體" w:hint="eastAsia"/>
                <w:color w:val="000000" w:themeColor="text1"/>
                <w:sz w:val="20"/>
              </w:rPr>
              <w:t>900</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270</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333</w:t>
            </w:r>
          </w:p>
        </w:tc>
        <w:tc>
          <w:tcPr>
            <w:tcW w:w="393"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375</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500</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w:t>
            </w:r>
            <w:r w:rsidRPr="00D41D30">
              <w:rPr>
                <w:rFonts w:hAnsi="標楷體"/>
                <w:color w:val="000000" w:themeColor="text1"/>
                <w:sz w:val="20"/>
              </w:rPr>
              <w:t>,</w:t>
            </w:r>
            <w:r w:rsidRPr="00D41D30">
              <w:rPr>
                <w:rFonts w:hAnsi="標楷體" w:hint="eastAsia"/>
                <w:color w:val="000000" w:themeColor="text1"/>
                <w:sz w:val="20"/>
              </w:rPr>
              <w:t>908</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4</w:t>
            </w:r>
            <w:r w:rsidRPr="00D41D30">
              <w:rPr>
                <w:rFonts w:hAnsi="標楷體"/>
                <w:color w:val="000000" w:themeColor="text1"/>
                <w:sz w:val="20"/>
              </w:rPr>
              <w:t>,</w:t>
            </w:r>
            <w:r w:rsidRPr="00D41D30">
              <w:rPr>
                <w:rFonts w:hAnsi="標楷體" w:hint="eastAsia"/>
                <w:color w:val="000000" w:themeColor="text1"/>
                <w:sz w:val="20"/>
              </w:rPr>
              <w:t>235</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4</w:t>
            </w:r>
            <w:r w:rsidRPr="00D41D30">
              <w:rPr>
                <w:rFonts w:hAnsi="標楷體"/>
                <w:color w:val="000000" w:themeColor="text1"/>
                <w:sz w:val="20"/>
              </w:rPr>
              <w:t>,</w:t>
            </w:r>
            <w:r w:rsidRPr="00D41D30">
              <w:rPr>
                <w:rFonts w:hAnsi="標楷體" w:hint="eastAsia"/>
                <w:color w:val="000000" w:themeColor="text1"/>
                <w:sz w:val="20"/>
              </w:rPr>
              <w:t>415</w:t>
            </w:r>
          </w:p>
        </w:tc>
        <w:tc>
          <w:tcPr>
            <w:tcW w:w="393"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4</w:t>
            </w:r>
            <w:r w:rsidRPr="00D41D30">
              <w:rPr>
                <w:rFonts w:hAnsi="標楷體"/>
                <w:color w:val="000000" w:themeColor="text1"/>
                <w:sz w:val="20"/>
              </w:rPr>
              <w:t>,492</w:t>
            </w:r>
          </w:p>
        </w:tc>
      </w:tr>
      <w:tr w:rsidR="003872FF" w:rsidRPr="00D41D30" w:rsidTr="003872FF">
        <w:trPr>
          <w:trHeight w:val="450"/>
          <w:jc w:val="center"/>
        </w:trPr>
        <w:tc>
          <w:tcPr>
            <w:tcW w:w="1078" w:type="pct"/>
            <w:gridSpan w:val="2"/>
            <w:tcBorders>
              <w:top w:val="single" w:sz="6" w:space="0" w:color="auto"/>
              <w:left w:val="single" w:sz="6" w:space="0" w:color="auto"/>
              <w:bottom w:val="single" w:sz="6" w:space="0" w:color="auto"/>
              <w:right w:val="single" w:sz="6" w:space="0" w:color="auto"/>
            </w:tcBorders>
            <w:shd w:val="clear" w:color="auto" w:fill="auto"/>
            <w:noWrap/>
            <w:vAlign w:val="center"/>
          </w:tcPr>
          <w:p w:rsidR="003872FF" w:rsidRPr="00D41D30" w:rsidRDefault="003872FF" w:rsidP="003872FF">
            <w:pPr>
              <w:spacing w:line="400" w:lineRule="exact"/>
              <w:jc w:val="center"/>
              <w:rPr>
                <w:rFonts w:hAnsi="標楷體"/>
                <w:b/>
                <w:color w:val="000000" w:themeColor="text1"/>
                <w:sz w:val="24"/>
                <w:szCs w:val="24"/>
              </w:rPr>
            </w:pPr>
            <w:r w:rsidRPr="00D41D30">
              <w:rPr>
                <w:rFonts w:hAnsi="標楷體" w:hint="eastAsia"/>
                <w:b/>
                <w:color w:val="000000" w:themeColor="text1"/>
                <w:sz w:val="24"/>
                <w:szCs w:val="24"/>
              </w:rPr>
              <w:t>補助金額</w:t>
            </w:r>
          </w:p>
        </w:tc>
        <w:tc>
          <w:tcPr>
            <w:tcW w:w="392" w:type="pct"/>
            <w:tcBorders>
              <w:top w:val="single" w:sz="4" w:space="0" w:color="auto"/>
              <w:left w:val="single" w:sz="4" w:space="0" w:color="auto"/>
              <w:bottom w:val="single" w:sz="4" w:space="0" w:color="auto"/>
              <w:right w:val="single" w:sz="4"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27,466</w:t>
            </w:r>
          </w:p>
        </w:tc>
        <w:tc>
          <w:tcPr>
            <w:tcW w:w="392" w:type="pct"/>
            <w:tcBorders>
              <w:top w:val="single" w:sz="6" w:space="0" w:color="auto"/>
              <w:left w:val="single" w:sz="4"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26,933</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32,671</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33,051</w:t>
            </w:r>
          </w:p>
        </w:tc>
        <w:tc>
          <w:tcPr>
            <w:tcW w:w="393"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33,838</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34,939</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36,446</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color w:val="000000" w:themeColor="text1"/>
                <w:sz w:val="20"/>
              </w:rPr>
              <w:t>3</w:t>
            </w:r>
            <w:r w:rsidRPr="00D41D30">
              <w:rPr>
                <w:rFonts w:hAnsi="標楷體" w:hint="eastAsia"/>
                <w:color w:val="000000" w:themeColor="text1"/>
                <w:sz w:val="20"/>
              </w:rPr>
              <w:t>7,516</w:t>
            </w:r>
          </w:p>
        </w:tc>
        <w:tc>
          <w:tcPr>
            <w:tcW w:w="392"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37,882</w:t>
            </w:r>
          </w:p>
        </w:tc>
        <w:tc>
          <w:tcPr>
            <w:tcW w:w="393" w:type="pct"/>
            <w:tcBorders>
              <w:top w:val="single" w:sz="6" w:space="0" w:color="auto"/>
              <w:left w:val="single" w:sz="6" w:space="0" w:color="auto"/>
              <w:bottom w:val="single" w:sz="6" w:space="0" w:color="auto"/>
              <w:right w:val="single" w:sz="6" w:space="0" w:color="auto"/>
            </w:tcBorders>
          </w:tcPr>
          <w:p w:rsidR="003872FF" w:rsidRPr="00D41D30" w:rsidRDefault="003872FF" w:rsidP="003872FF">
            <w:pPr>
              <w:spacing w:line="400" w:lineRule="exact"/>
              <w:jc w:val="center"/>
              <w:rPr>
                <w:rFonts w:hAnsi="標楷體"/>
                <w:color w:val="000000" w:themeColor="text1"/>
                <w:sz w:val="20"/>
              </w:rPr>
            </w:pPr>
            <w:r w:rsidRPr="00D41D30">
              <w:rPr>
                <w:rFonts w:hAnsi="標楷體" w:hint="eastAsia"/>
                <w:color w:val="000000" w:themeColor="text1"/>
                <w:sz w:val="20"/>
              </w:rPr>
              <w:t>36,86</w:t>
            </w:r>
            <w:r w:rsidRPr="00D41D30">
              <w:rPr>
                <w:rFonts w:hAnsi="標楷體"/>
                <w:color w:val="000000" w:themeColor="text1"/>
                <w:sz w:val="20"/>
              </w:rPr>
              <w:t>2</w:t>
            </w:r>
          </w:p>
        </w:tc>
      </w:tr>
    </w:tbl>
    <w:p w:rsidR="003872FF" w:rsidRPr="00D41D30" w:rsidRDefault="003872FF" w:rsidP="003872FF">
      <w:pPr>
        <w:pStyle w:val="aff9"/>
        <w:rPr>
          <w:rFonts w:ascii="標楷體" w:eastAsia="標楷體" w:hAnsi="標楷體"/>
          <w:color w:val="000000" w:themeColor="text1"/>
          <w:sz w:val="24"/>
          <w:szCs w:val="24"/>
          <w:lang w:eastAsia="zh-TW"/>
        </w:rPr>
      </w:pPr>
      <w:r w:rsidRPr="00D41D30">
        <w:rPr>
          <w:rFonts w:ascii="標楷體" w:eastAsia="標楷體" w:hAnsi="標楷體" w:hint="eastAsia"/>
          <w:color w:val="000000" w:themeColor="text1"/>
          <w:sz w:val="24"/>
          <w:szCs w:val="24"/>
          <w:lang w:eastAsia="zh-TW"/>
        </w:rPr>
        <w:lastRenderedPageBreak/>
        <w:t>資料來源：教育部調卷資料。</w:t>
      </w:r>
    </w:p>
    <w:p w:rsidR="003872FF" w:rsidRPr="00D41D30" w:rsidRDefault="003872FF" w:rsidP="003872FF">
      <w:pPr>
        <w:pStyle w:val="3"/>
        <w:rPr>
          <w:color w:val="000000" w:themeColor="text1"/>
        </w:rPr>
      </w:pPr>
      <w:bookmarkStart w:id="1547" w:name="_Toc32673799"/>
      <w:bookmarkStart w:id="1548" w:name="_Toc32846678"/>
      <w:bookmarkStart w:id="1549" w:name="_Toc32918584"/>
      <w:bookmarkStart w:id="1550" w:name="_Toc33011870"/>
      <w:r w:rsidRPr="00D41D30">
        <w:rPr>
          <w:rFonts w:hint="eastAsia"/>
          <w:color w:val="000000" w:themeColor="text1"/>
        </w:rPr>
        <w:t>為確保教育之成效，應實施教育評鑑，而相關制度之</w:t>
      </w:r>
      <w:r w:rsidRPr="00D41D30">
        <w:rPr>
          <w:rFonts w:ascii="Verdana" w:hAnsi="Verdana"/>
          <w:color w:val="000000" w:themeColor="text1"/>
        </w:rPr>
        <w:t>成效評估機制，</w:t>
      </w:r>
      <w:r w:rsidRPr="00D41D30">
        <w:rPr>
          <w:rFonts w:ascii="Verdana" w:hAnsi="Verdana" w:hint="eastAsia"/>
          <w:color w:val="000000" w:themeColor="text1"/>
        </w:rPr>
        <w:t>有助於提供政府</w:t>
      </w:r>
      <w:r w:rsidRPr="00D41D30">
        <w:rPr>
          <w:rFonts w:ascii="Verdana" w:hAnsi="Verdana"/>
          <w:color w:val="000000" w:themeColor="text1"/>
        </w:rPr>
        <w:t>作為政策改進及參考</w:t>
      </w:r>
      <w:r w:rsidRPr="00D41D30">
        <w:rPr>
          <w:rFonts w:ascii="Verdana" w:hAnsi="Verdana" w:hint="eastAsia"/>
          <w:color w:val="000000" w:themeColor="text1"/>
        </w:rPr>
        <w:t>之</w:t>
      </w:r>
      <w:r w:rsidRPr="00D41D30">
        <w:rPr>
          <w:rFonts w:ascii="Verdana" w:hAnsi="Verdana"/>
          <w:color w:val="000000" w:themeColor="text1"/>
        </w:rPr>
        <w:t>依據</w:t>
      </w:r>
      <w:r w:rsidRPr="00D41D30">
        <w:rPr>
          <w:rFonts w:hint="eastAsia"/>
          <w:color w:val="000000" w:themeColor="text1"/>
        </w:rPr>
        <w:t>。誠如國際知名學者</w:t>
      </w:r>
      <w:r w:rsidRPr="00D41D30">
        <w:rPr>
          <w:color w:val="000000" w:themeColor="text1"/>
        </w:rPr>
        <w:t>Dr. Dan Stufflebeam</w:t>
      </w:r>
      <w:r w:rsidRPr="00D41D30">
        <w:rPr>
          <w:rFonts w:hint="eastAsia"/>
          <w:color w:val="000000" w:themeColor="text1"/>
        </w:rPr>
        <w:t>於1971年揭示，評鑑的最重要目的在於改進，而不在於證明</w:t>
      </w:r>
      <w:r w:rsidRPr="00D41D30">
        <w:rPr>
          <w:rStyle w:val="aff0"/>
          <w:color w:val="000000" w:themeColor="text1"/>
        </w:rPr>
        <w:footnoteReference w:id="34"/>
      </w:r>
      <w:r w:rsidRPr="00D41D30">
        <w:rPr>
          <w:rFonts w:hint="eastAsia"/>
          <w:color w:val="000000" w:themeColor="text1"/>
        </w:rPr>
        <w:t>。經查，關於樂齡大學之評鑑機制，教育部歷年所自辦之訪視計畫計有102學年度及103學年度2次，數量顯少於該部針對樂齡學習中心之訪視次數或規模，況此2次相關結果並未作為績效評核退場機制回饋，爰衍伸外界諸多疑慮。本院於108年邀請諮詢專家學者蒞院指教，相關意見亦指出，</w:t>
      </w:r>
      <w:r w:rsidRPr="00D41D30">
        <w:rPr>
          <w:rFonts w:hAnsi="標楷體" w:hint="eastAsia"/>
          <w:color w:val="000000" w:themeColor="text1"/>
        </w:rPr>
        <w:t>「</w:t>
      </w:r>
      <w:r w:rsidRPr="00D41D30">
        <w:rPr>
          <w:rFonts w:hAnsi="標楷體" w:hint="eastAsia"/>
          <w:color w:val="000000" w:themeColor="text1"/>
          <w:kern w:val="0"/>
          <w:szCs w:val="32"/>
        </w:rPr>
        <w:t>從訪視輔導的角度來看，一樣是補助樂齡學習經費，樂齡大學訪視因大學反應就未辦理，樂齡中心則1年內地方政府、輔導團、中央政府要求的報告、會議、訪視無數次，有不少人不堪其擾。基本上，訪視輔導是過猶不及，其目的在思考如何幫助方案更加完善，而不在評等及獎懲。辦理可不同選擇，如透過遴選、表揚、研討會找到標竿大學進行經驗分享，作為樂齡大學輔導的方式</w:t>
      </w:r>
      <w:r w:rsidRPr="00D41D30">
        <w:rPr>
          <w:rFonts w:hAnsi="標楷體"/>
          <w:color w:val="000000" w:themeColor="text1"/>
          <w:kern w:val="0"/>
          <w:szCs w:val="32"/>
        </w:rPr>
        <w:t>……</w:t>
      </w:r>
      <w:r w:rsidRPr="00D41D30">
        <w:rPr>
          <w:rFonts w:hAnsi="標楷體" w:hint="eastAsia"/>
          <w:color w:val="000000" w:themeColor="text1"/>
          <w:kern w:val="0"/>
          <w:szCs w:val="32"/>
        </w:rPr>
        <w:t>」等語。基此，教育部針對樂齡大學之績效評核或具體執行回饋闕如，後續允應研議檢討改善，以作為相關</w:t>
      </w:r>
      <w:r w:rsidRPr="00D41D30">
        <w:rPr>
          <w:rFonts w:ascii="Verdana" w:hAnsi="Verdana"/>
          <w:color w:val="000000" w:themeColor="text1"/>
        </w:rPr>
        <w:t>政策規劃、實施</w:t>
      </w:r>
      <w:r w:rsidRPr="00D41D30">
        <w:rPr>
          <w:rFonts w:ascii="Verdana" w:hAnsi="Verdana" w:hint="eastAsia"/>
          <w:color w:val="000000" w:themeColor="text1"/>
        </w:rPr>
        <w:t>及評估參據。</w:t>
      </w:r>
      <w:bookmarkEnd w:id="1547"/>
      <w:bookmarkEnd w:id="1548"/>
      <w:bookmarkEnd w:id="1549"/>
      <w:bookmarkEnd w:id="1550"/>
    </w:p>
    <w:p w:rsidR="003872FF" w:rsidRPr="00D41D30" w:rsidRDefault="003872FF" w:rsidP="003872FF">
      <w:pPr>
        <w:pStyle w:val="a4"/>
        <w:rPr>
          <w:b/>
          <w:color w:val="000000" w:themeColor="text1"/>
        </w:rPr>
      </w:pPr>
      <w:r w:rsidRPr="00D41D30">
        <w:rPr>
          <w:rFonts w:hint="eastAsia"/>
          <w:b/>
          <w:color w:val="000000" w:themeColor="text1"/>
        </w:rPr>
        <w:t>教育部樂齡大學訪視一覽表</w:t>
      </w:r>
    </w:p>
    <w:tbl>
      <w:tblPr>
        <w:tblStyle w:val="af9"/>
        <w:tblW w:w="9515" w:type="dxa"/>
        <w:tblInd w:w="-147" w:type="dxa"/>
        <w:tblLook w:val="04A0" w:firstRow="1" w:lastRow="0" w:firstColumn="1" w:lastColumn="0" w:noHBand="0" w:noVBand="1"/>
      </w:tblPr>
      <w:tblGrid>
        <w:gridCol w:w="1135"/>
        <w:gridCol w:w="1559"/>
        <w:gridCol w:w="1559"/>
        <w:gridCol w:w="5262"/>
      </w:tblGrid>
      <w:tr w:rsidR="003872FF" w:rsidRPr="00D41D30" w:rsidTr="003872FF">
        <w:trPr>
          <w:trHeight w:val="63"/>
          <w:tblHeader/>
        </w:trPr>
        <w:tc>
          <w:tcPr>
            <w:tcW w:w="1135" w:type="dxa"/>
            <w:vAlign w:val="center"/>
          </w:tcPr>
          <w:p w:rsidR="003872FF" w:rsidRPr="00D41D30" w:rsidRDefault="003872FF" w:rsidP="003872FF">
            <w:pPr>
              <w:widowControl/>
              <w:adjustRightInd w:val="0"/>
              <w:snapToGrid w:val="0"/>
              <w:spacing w:line="300" w:lineRule="exact"/>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學年度</w:t>
            </w:r>
          </w:p>
        </w:tc>
        <w:tc>
          <w:tcPr>
            <w:tcW w:w="1559" w:type="dxa"/>
            <w:vAlign w:val="center"/>
          </w:tcPr>
          <w:p w:rsidR="003872FF" w:rsidRPr="00D41D30" w:rsidRDefault="003872FF" w:rsidP="003872FF">
            <w:pPr>
              <w:widowControl/>
              <w:adjustRightInd w:val="0"/>
              <w:snapToGrid w:val="0"/>
              <w:spacing w:line="300" w:lineRule="exact"/>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訪視目的</w:t>
            </w:r>
          </w:p>
        </w:tc>
        <w:tc>
          <w:tcPr>
            <w:tcW w:w="1559" w:type="dxa"/>
          </w:tcPr>
          <w:p w:rsidR="003872FF" w:rsidRPr="00D41D30" w:rsidRDefault="003872FF" w:rsidP="003872FF">
            <w:pPr>
              <w:widowControl/>
              <w:adjustRightInd w:val="0"/>
              <w:snapToGrid w:val="0"/>
              <w:spacing w:line="300" w:lineRule="exact"/>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訪視次數</w:t>
            </w:r>
          </w:p>
        </w:tc>
        <w:tc>
          <w:tcPr>
            <w:tcW w:w="5262" w:type="dxa"/>
          </w:tcPr>
          <w:p w:rsidR="003872FF" w:rsidRPr="00D41D30" w:rsidRDefault="003872FF" w:rsidP="003872FF">
            <w:pPr>
              <w:widowControl/>
              <w:adjustRightInd w:val="0"/>
              <w:snapToGrid w:val="0"/>
              <w:spacing w:line="300" w:lineRule="exact"/>
              <w:ind w:leftChars="70" w:left="238"/>
              <w:rPr>
                <w:rFonts w:hAnsi="標楷體"/>
                <w:b/>
                <w:bCs/>
                <w:color w:val="000000" w:themeColor="text1"/>
                <w:sz w:val="26"/>
                <w:szCs w:val="26"/>
                <w:lang w:val="x-none"/>
              </w:rPr>
            </w:pPr>
            <w:r w:rsidRPr="00D41D30">
              <w:rPr>
                <w:rFonts w:hAnsi="標楷體" w:hint="eastAsia"/>
                <w:b/>
                <w:bCs/>
                <w:color w:val="000000" w:themeColor="text1"/>
                <w:sz w:val="26"/>
                <w:szCs w:val="26"/>
                <w:lang w:val="x-none"/>
              </w:rPr>
              <w:t xml:space="preserve">        訪視結果</w:t>
            </w:r>
          </w:p>
        </w:tc>
      </w:tr>
      <w:tr w:rsidR="003872FF" w:rsidRPr="00D41D30" w:rsidTr="003872FF">
        <w:tc>
          <w:tcPr>
            <w:tcW w:w="1135" w:type="dxa"/>
            <w:vAlign w:val="center"/>
          </w:tcPr>
          <w:p w:rsidR="003872FF" w:rsidRPr="00D41D30" w:rsidRDefault="003872FF" w:rsidP="003872FF">
            <w:pPr>
              <w:widowControl/>
              <w:adjustRightInd w:val="0"/>
              <w:snapToGrid w:val="0"/>
              <w:spacing w:line="300" w:lineRule="exact"/>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t>102</w:t>
            </w:r>
          </w:p>
        </w:tc>
        <w:tc>
          <w:tcPr>
            <w:tcW w:w="1559" w:type="dxa"/>
          </w:tcPr>
          <w:p w:rsidR="003872FF" w:rsidRPr="00D41D30" w:rsidRDefault="003872FF" w:rsidP="003872FF">
            <w:pPr>
              <w:widowControl/>
              <w:adjustRightInd w:val="0"/>
              <w:snapToGrid w:val="0"/>
              <w:spacing w:line="300" w:lineRule="exact"/>
              <w:rPr>
                <w:rFonts w:hAnsi="標楷體"/>
                <w:bCs/>
                <w:color w:val="000000" w:themeColor="text1"/>
                <w:sz w:val="26"/>
                <w:szCs w:val="26"/>
                <w:lang w:val="x-none"/>
              </w:rPr>
            </w:pPr>
            <w:r w:rsidRPr="00D41D30">
              <w:rPr>
                <w:rFonts w:hAnsi="標楷體" w:hint="eastAsia"/>
                <w:bCs/>
                <w:color w:val="000000" w:themeColor="text1"/>
                <w:sz w:val="26"/>
                <w:szCs w:val="26"/>
                <w:lang w:val="x-none"/>
              </w:rPr>
              <w:t>為了解學校辦理單位及參與學員對執</w:t>
            </w:r>
            <w:r w:rsidRPr="00D41D30">
              <w:rPr>
                <w:rFonts w:hAnsi="標楷體" w:hint="eastAsia"/>
                <w:bCs/>
                <w:color w:val="000000" w:themeColor="text1"/>
                <w:sz w:val="26"/>
                <w:szCs w:val="26"/>
                <w:lang w:val="x-none"/>
              </w:rPr>
              <w:lastRenderedPageBreak/>
              <w:t>行計畫之建議事項。</w:t>
            </w:r>
          </w:p>
        </w:tc>
        <w:tc>
          <w:tcPr>
            <w:tcW w:w="1559" w:type="dxa"/>
          </w:tcPr>
          <w:p w:rsidR="003872FF" w:rsidRPr="00D41D30" w:rsidRDefault="003872FF" w:rsidP="003872FF">
            <w:pPr>
              <w:widowControl/>
              <w:adjustRightInd w:val="0"/>
              <w:snapToGrid w:val="0"/>
              <w:spacing w:line="300" w:lineRule="exact"/>
              <w:rPr>
                <w:rFonts w:hAnsi="標楷體"/>
                <w:bCs/>
                <w:color w:val="000000" w:themeColor="text1"/>
                <w:sz w:val="26"/>
                <w:szCs w:val="26"/>
                <w:lang w:val="x-none"/>
              </w:rPr>
            </w:pPr>
            <w:r w:rsidRPr="00D41D30">
              <w:rPr>
                <w:rFonts w:hAnsi="標楷體" w:hint="eastAsia"/>
                <w:bCs/>
                <w:color w:val="000000" w:themeColor="text1"/>
                <w:sz w:val="26"/>
                <w:szCs w:val="26"/>
                <w:lang w:val="x-none"/>
              </w:rPr>
              <w:lastRenderedPageBreak/>
              <w:t>101學年度新承辦學校、未訪視過學校及</w:t>
            </w:r>
            <w:r w:rsidRPr="00D41D30">
              <w:rPr>
                <w:rFonts w:hAnsi="標楷體" w:hint="eastAsia"/>
                <w:bCs/>
                <w:color w:val="000000" w:themeColor="text1"/>
                <w:sz w:val="26"/>
                <w:szCs w:val="26"/>
                <w:lang w:val="x-none"/>
              </w:rPr>
              <w:lastRenderedPageBreak/>
              <w:t>100學年度訪視有建議事項學校，計抽訪22所。</w:t>
            </w:r>
          </w:p>
        </w:tc>
        <w:tc>
          <w:tcPr>
            <w:tcW w:w="5262" w:type="dxa"/>
          </w:tcPr>
          <w:p w:rsidR="003872FF" w:rsidRPr="00D41D30" w:rsidRDefault="003872FF" w:rsidP="003872FF">
            <w:pPr>
              <w:widowControl/>
              <w:adjustRightInd w:val="0"/>
              <w:snapToGrid w:val="0"/>
              <w:spacing w:line="300" w:lineRule="exact"/>
              <w:ind w:firstLineChars="11" w:firstLine="31"/>
              <w:rPr>
                <w:rFonts w:hAnsi="標楷體"/>
                <w:bCs/>
                <w:color w:val="000000" w:themeColor="text1"/>
                <w:sz w:val="26"/>
                <w:szCs w:val="26"/>
                <w:lang w:val="x-none"/>
              </w:rPr>
            </w:pPr>
            <w:r w:rsidRPr="00D41D30">
              <w:rPr>
                <w:rFonts w:hAnsi="標楷體" w:hint="eastAsia"/>
                <w:bCs/>
                <w:color w:val="000000" w:themeColor="text1"/>
                <w:sz w:val="26"/>
                <w:szCs w:val="26"/>
                <w:lang w:val="x-none"/>
              </w:rPr>
              <w:lastRenderedPageBreak/>
              <w:t>委員建議</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1.代間課程及活動設計應深化。</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2.課程設計應符合規定並強化特色課程，辦理型態宜彈性多元化。</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lastRenderedPageBreak/>
              <w:t>3.增進教師高齡教學技巧。</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4.增加行銷樂齡大學的方式與管道。</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5.建立使用者付費之觀念以及收費制度。</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6.上課地點及設備應考量高齡者的需求。</w:t>
            </w:r>
          </w:p>
        </w:tc>
      </w:tr>
      <w:tr w:rsidR="003872FF" w:rsidRPr="00D41D30" w:rsidTr="003872FF">
        <w:tc>
          <w:tcPr>
            <w:tcW w:w="1135" w:type="dxa"/>
            <w:vAlign w:val="center"/>
          </w:tcPr>
          <w:p w:rsidR="003872FF" w:rsidRPr="00D41D30" w:rsidRDefault="003872FF" w:rsidP="003872FF">
            <w:pPr>
              <w:widowControl/>
              <w:adjustRightInd w:val="0"/>
              <w:snapToGrid w:val="0"/>
              <w:spacing w:line="300" w:lineRule="exact"/>
              <w:jc w:val="center"/>
              <w:rPr>
                <w:rFonts w:hAnsi="標楷體"/>
                <w:b/>
                <w:bCs/>
                <w:color w:val="000000" w:themeColor="text1"/>
                <w:sz w:val="26"/>
                <w:szCs w:val="26"/>
                <w:lang w:val="x-none"/>
              </w:rPr>
            </w:pPr>
            <w:r w:rsidRPr="00D41D30">
              <w:rPr>
                <w:rFonts w:hAnsi="標楷體" w:hint="eastAsia"/>
                <w:b/>
                <w:bCs/>
                <w:color w:val="000000" w:themeColor="text1"/>
                <w:sz w:val="26"/>
                <w:szCs w:val="26"/>
                <w:lang w:val="x-none"/>
              </w:rPr>
              <w:lastRenderedPageBreak/>
              <w:t>103</w:t>
            </w:r>
          </w:p>
        </w:tc>
        <w:tc>
          <w:tcPr>
            <w:tcW w:w="1559" w:type="dxa"/>
          </w:tcPr>
          <w:p w:rsidR="003872FF" w:rsidRPr="00D41D30" w:rsidRDefault="003872FF" w:rsidP="003872FF">
            <w:pPr>
              <w:widowControl/>
              <w:adjustRightInd w:val="0"/>
              <w:snapToGrid w:val="0"/>
              <w:spacing w:line="300" w:lineRule="exact"/>
              <w:rPr>
                <w:rFonts w:hAnsi="標楷體"/>
                <w:bCs/>
                <w:color w:val="000000" w:themeColor="text1"/>
                <w:sz w:val="26"/>
                <w:szCs w:val="26"/>
                <w:lang w:val="x-none"/>
              </w:rPr>
            </w:pPr>
            <w:r w:rsidRPr="00D41D30">
              <w:rPr>
                <w:rFonts w:hAnsi="標楷體" w:hint="eastAsia"/>
                <w:bCs/>
                <w:color w:val="000000" w:themeColor="text1"/>
                <w:sz w:val="26"/>
                <w:szCs w:val="26"/>
                <w:lang w:val="x-none"/>
              </w:rPr>
              <w:t>為了解學校辦理單位及參與學員對執行計畫之建議事項。</w:t>
            </w:r>
          </w:p>
        </w:tc>
        <w:tc>
          <w:tcPr>
            <w:tcW w:w="1559" w:type="dxa"/>
          </w:tcPr>
          <w:p w:rsidR="003872FF" w:rsidRPr="00D41D30" w:rsidRDefault="003872FF" w:rsidP="003872FF">
            <w:pPr>
              <w:widowControl/>
              <w:adjustRightInd w:val="0"/>
              <w:snapToGrid w:val="0"/>
              <w:spacing w:line="300" w:lineRule="exact"/>
              <w:rPr>
                <w:rFonts w:hAnsi="標楷體"/>
                <w:bCs/>
                <w:color w:val="000000" w:themeColor="text1"/>
                <w:sz w:val="26"/>
                <w:szCs w:val="26"/>
                <w:lang w:val="x-none"/>
              </w:rPr>
            </w:pPr>
            <w:r w:rsidRPr="00D41D30">
              <w:rPr>
                <w:rFonts w:hAnsi="標楷體" w:hint="eastAsia"/>
                <w:bCs/>
                <w:color w:val="000000" w:themeColor="text1"/>
                <w:sz w:val="26"/>
                <w:szCs w:val="26"/>
                <w:lang w:val="x-none"/>
              </w:rPr>
              <w:t>抽訪8所，每所1次。</w:t>
            </w:r>
          </w:p>
        </w:tc>
        <w:tc>
          <w:tcPr>
            <w:tcW w:w="5262" w:type="dxa"/>
          </w:tcPr>
          <w:p w:rsidR="003872FF" w:rsidRPr="00D41D30" w:rsidRDefault="003872FF" w:rsidP="003872FF">
            <w:pPr>
              <w:widowControl/>
              <w:adjustRightInd w:val="0"/>
              <w:snapToGrid w:val="0"/>
              <w:spacing w:line="300" w:lineRule="exact"/>
              <w:ind w:firstLineChars="11" w:firstLine="31"/>
              <w:rPr>
                <w:rFonts w:hAnsi="標楷體"/>
                <w:bCs/>
                <w:color w:val="000000" w:themeColor="text1"/>
                <w:sz w:val="26"/>
                <w:szCs w:val="26"/>
                <w:lang w:val="x-none"/>
              </w:rPr>
            </w:pPr>
            <w:r w:rsidRPr="00D41D30">
              <w:rPr>
                <w:rFonts w:hAnsi="標楷體" w:hint="eastAsia"/>
                <w:bCs/>
                <w:color w:val="000000" w:themeColor="text1"/>
                <w:sz w:val="26"/>
                <w:szCs w:val="26"/>
                <w:lang w:val="x-none"/>
              </w:rPr>
              <w:t>委員建議</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1.課程設計宜結合校務發展特色，並將學員需求融入其中。</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2.將辦學成果以影像、故事敘寫方式作成紀錄，以拓展宣傳行銷方式。</w:t>
            </w:r>
          </w:p>
          <w:p w:rsidR="003872FF" w:rsidRPr="00D41D30" w:rsidRDefault="003872FF" w:rsidP="003872FF">
            <w:pPr>
              <w:widowControl/>
              <w:adjustRightInd w:val="0"/>
              <w:snapToGrid w:val="0"/>
              <w:spacing w:line="300" w:lineRule="exact"/>
              <w:ind w:leftChars="13" w:left="327" w:hangingChars="101" w:hanging="283"/>
              <w:rPr>
                <w:rFonts w:hAnsi="標楷體"/>
                <w:bCs/>
                <w:color w:val="000000" w:themeColor="text1"/>
                <w:sz w:val="26"/>
                <w:szCs w:val="26"/>
                <w:lang w:val="x-none"/>
              </w:rPr>
            </w:pPr>
            <w:r w:rsidRPr="00D41D30">
              <w:rPr>
                <w:rFonts w:hAnsi="標楷體" w:hint="eastAsia"/>
                <w:bCs/>
                <w:color w:val="000000" w:themeColor="text1"/>
                <w:sz w:val="26"/>
                <w:szCs w:val="26"/>
                <w:lang w:val="x-none"/>
              </w:rPr>
              <w:t>3.以「學習」為元素，發展自主學習團體，拓展高齡學員自主運作之平臺。</w:t>
            </w:r>
          </w:p>
        </w:tc>
      </w:tr>
    </w:tbl>
    <w:p w:rsidR="003872FF" w:rsidRPr="00D41D30" w:rsidRDefault="003872FF" w:rsidP="003872FF">
      <w:pPr>
        <w:pStyle w:val="aff9"/>
        <w:rPr>
          <w:rFonts w:ascii="標楷體" w:eastAsia="標楷體" w:hAnsi="標楷體"/>
          <w:color w:val="000000" w:themeColor="text1"/>
          <w:sz w:val="24"/>
          <w:szCs w:val="24"/>
          <w:lang w:eastAsia="zh-TW"/>
        </w:rPr>
      </w:pPr>
      <w:r w:rsidRPr="00D41D30">
        <w:rPr>
          <w:rFonts w:ascii="標楷體" w:eastAsia="標楷體" w:hAnsi="標楷體" w:hint="eastAsia"/>
          <w:color w:val="000000" w:themeColor="text1"/>
          <w:sz w:val="24"/>
          <w:szCs w:val="24"/>
          <w:lang w:eastAsia="zh-TW"/>
        </w:rPr>
        <w:t>資料來源：教育部調卷資料。</w:t>
      </w:r>
    </w:p>
    <w:p w:rsidR="003872FF" w:rsidRPr="00D41D30" w:rsidRDefault="003872FF" w:rsidP="003872FF">
      <w:pPr>
        <w:pStyle w:val="3"/>
        <w:rPr>
          <w:color w:val="000000" w:themeColor="text1"/>
        </w:rPr>
      </w:pPr>
      <w:bookmarkStart w:id="1551" w:name="_Toc32673800"/>
      <w:bookmarkStart w:id="1552" w:name="_Toc32846679"/>
      <w:bookmarkStart w:id="1553" w:name="_Toc32918585"/>
      <w:bookmarkStart w:id="1554" w:name="_Toc33011871"/>
      <w:r w:rsidRPr="00D41D30">
        <w:rPr>
          <w:rFonts w:hint="eastAsia"/>
          <w:color w:val="000000" w:themeColor="text1"/>
        </w:rPr>
        <w:t>而本院於履勘及簡報座談會議中相關意見亦指出，樂齡大學學習者仍以女性占大宗，相關性別偏好屬性之課程有待研議調整；況由於樂齡大學高齡者終身學習資源之有限性，部分學習者恐有重複占用教育資源之疑慮等語。對此，教育部於本案調查過程中業已修正</w:t>
      </w:r>
      <w:r w:rsidRPr="00D41D30">
        <w:rPr>
          <w:rFonts w:hAnsi="標楷體" w:hint="eastAsia"/>
          <w:color w:val="000000" w:themeColor="text1"/>
        </w:rPr>
        <w:t>「</w:t>
      </w:r>
      <w:r w:rsidRPr="00D41D30">
        <w:rPr>
          <w:color w:val="000000" w:themeColor="text1"/>
        </w:rPr>
        <w:t>109學年度教育部補助大學校院辦理</w:t>
      </w:r>
      <w:r w:rsidRPr="00D41D30">
        <w:rPr>
          <w:rFonts w:hint="eastAsia"/>
          <w:color w:val="000000" w:themeColor="text1"/>
        </w:rPr>
        <w:t>樂齡大學實施計畫</w:t>
      </w:r>
      <w:r w:rsidRPr="00D41D30">
        <w:rPr>
          <w:rFonts w:hAnsi="標楷體" w:hint="eastAsia"/>
          <w:color w:val="000000" w:themeColor="text1"/>
        </w:rPr>
        <w:t>」，其中「伍、辦理方式</w:t>
      </w:r>
      <w:r w:rsidRPr="00D41D30">
        <w:rPr>
          <w:rFonts w:hAnsi="標楷體"/>
          <w:color w:val="000000" w:themeColor="text1"/>
          <w:kern w:val="0"/>
          <w:szCs w:val="32"/>
        </w:rPr>
        <w:t>……</w:t>
      </w:r>
      <w:r w:rsidRPr="00D41D30">
        <w:rPr>
          <w:rFonts w:hAnsi="標楷體" w:hint="eastAsia"/>
          <w:color w:val="000000" w:themeColor="text1"/>
        </w:rPr>
        <w:t>：一、招收對象：</w:t>
      </w:r>
      <w:r w:rsidRPr="00D41D30">
        <w:rPr>
          <w:rFonts w:hAnsi="標楷體"/>
          <w:color w:val="000000" w:themeColor="text1"/>
          <w:kern w:val="0"/>
          <w:szCs w:val="32"/>
        </w:rPr>
        <w:t>……</w:t>
      </w:r>
      <w:r w:rsidRPr="00D41D30">
        <w:rPr>
          <w:rFonts w:hAnsi="標楷體" w:hint="eastAsia"/>
          <w:color w:val="000000" w:themeColor="text1"/>
        </w:rPr>
        <w:t>（一）條件」載明：「4.各校招生時，應優先錄取未曾參與該校樂齡大學計畫者，並載明於招生訊息，基於政府資源有限及符合資源運用之妥善性，新生比例以不低於50%為原則，舊生之定義為曾具有該校樂齡大學就學紀錄者，並宜加強招募男性高齡者參與學習。」準此，針對上述疑慮，教育部雖已修改申請計畫內容，惟後續仍待該部積極督導並追蹤成效，以期確保資源合理使用，並提公平供適切之高齡者學習機會。</w:t>
      </w:r>
      <w:bookmarkEnd w:id="1551"/>
      <w:bookmarkEnd w:id="1552"/>
      <w:bookmarkEnd w:id="1553"/>
      <w:bookmarkEnd w:id="1554"/>
    </w:p>
    <w:p w:rsidR="003872FF" w:rsidRPr="00D41D30" w:rsidRDefault="003872FF" w:rsidP="003872FF">
      <w:pPr>
        <w:pStyle w:val="3"/>
        <w:rPr>
          <w:color w:val="000000" w:themeColor="text1"/>
        </w:rPr>
      </w:pPr>
      <w:bookmarkStart w:id="1555" w:name="_Toc32673801"/>
      <w:bookmarkStart w:id="1556" w:name="_Toc32846680"/>
      <w:bookmarkStart w:id="1557" w:name="_Toc32918586"/>
      <w:bookmarkStart w:id="1558" w:name="_Toc33011872"/>
      <w:r w:rsidRPr="00D41D30">
        <w:rPr>
          <w:rFonts w:hint="eastAsia"/>
          <w:color w:val="000000" w:themeColor="text1"/>
        </w:rPr>
        <w:t>此外，參考103年學者胡夢鯨考察美國樂齡教育政</w:t>
      </w:r>
      <w:r w:rsidRPr="00D41D30">
        <w:rPr>
          <w:rFonts w:hint="eastAsia"/>
          <w:color w:val="000000" w:themeColor="text1"/>
        </w:rPr>
        <w:lastRenderedPageBreak/>
        <w:t>策考察報告略以</w:t>
      </w:r>
      <w:r w:rsidRPr="00D41D30">
        <w:rPr>
          <w:rStyle w:val="aff0"/>
          <w:color w:val="000000" w:themeColor="text1"/>
        </w:rPr>
        <w:footnoteReference w:id="35"/>
      </w:r>
      <w:r w:rsidRPr="00D41D30">
        <w:rPr>
          <w:rFonts w:hint="eastAsia"/>
          <w:color w:val="000000" w:themeColor="text1"/>
        </w:rPr>
        <w:t>，</w:t>
      </w:r>
      <w:r w:rsidRPr="00D41D30">
        <w:rPr>
          <w:rFonts w:hAnsi="標楷體" w:hint="eastAsia"/>
          <w:color w:val="000000" w:themeColor="text1"/>
        </w:rPr>
        <w:t>「在高齡中心的評鑑制度方面，高齡中心協會已經發展出一套完善的標準與指標，可以提供高齡中心自我評估，也可以作為全國認證之用。另外就是最佳實務的徵選，其具體作法是分成「教育」、「表達與創意藝術」、「募款」、「領導」、「公民參與及社區發展」、「營養、體識能及健康」，以及「特殊活動」方案等個6項目，設定指標，公開徵求全國高齡中心參與提案，每年均有數以百計的提案參選，選出的最佳實務予以公開表揚，並且予以彙整出版，可以將其成功經驗分享給全國各個高齡中心」等語，於近年來我國大學因應相關評鑑次數及內容簡化趨勢下，亦值教育部參考其相關作法</w:t>
      </w:r>
      <w:r w:rsidRPr="00D41D30">
        <w:rPr>
          <w:rFonts w:hint="eastAsia"/>
          <w:color w:val="000000" w:themeColor="text1"/>
        </w:rPr>
        <w:t>。</w:t>
      </w:r>
      <w:bookmarkEnd w:id="1555"/>
      <w:bookmarkEnd w:id="1556"/>
      <w:bookmarkEnd w:id="1557"/>
      <w:bookmarkEnd w:id="1558"/>
    </w:p>
    <w:p w:rsidR="003872FF" w:rsidRPr="00D41D30" w:rsidRDefault="003872FF" w:rsidP="003872FF">
      <w:pPr>
        <w:pStyle w:val="3"/>
        <w:rPr>
          <w:color w:val="000000" w:themeColor="text1"/>
        </w:rPr>
      </w:pPr>
      <w:bookmarkStart w:id="1559" w:name="_Toc32673802"/>
      <w:bookmarkStart w:id="1560" w:name="_Toc32846681"/>
      <w:bookmarkStart w:id="1561" w:name="_Toc32918587"/>
      <w:bookmarkStart w:id="1562" w:name="_Toc33011873"/>
      <w:r w:rsidRPr="00D41D30">
        <w:rPr>
          <w:rFonts w:hint="eastAsia"/>
          <w:color w:val="000000" w:themeColor="text1"/>
        </w:rPr>
        <w:t>綜上論結，當我國老年人口逐漸增加之際，如何提供高齡者適當的課程及教育，應為政府機關及民間團體共同的課題。教育部於80年提出「發展與改進成人教育五年計畫綱要」，逐漸鼓勵大學系所設置成人教育相關系所，為成教及高齡者教育挹注學術教育資源，而「樂齡大學計畫」則源自97年結合國內13所大學推動5天4夜的「老人短期寄宿學習計畫」，98年轉型為2週的「樂齡學堂」，計有28所大學辦理，99年逐漸發展為學期制的樂齡大學計畫；迄107年已設置107所樂齡大學（4,415人）、108年設置102所樂齡大學（4,492人），鼓勵大專校院提供高齡學習機會，提供55歲以上國民進入校園和大學生學習之機會，有別於短期式體驗學習，活動課程以老化及高齡化、健康休閒、學校特色、生活新知等課程為主軸，</w:t>
      </w:r>
      <w:r w:rsidRPr="00D41D30">
        <w:rPr>
          <w:rFonts w:hint="eastAsia"/>
          <w:color w:val="000000" w:themeColor="text1"/>
        </w:rPr>
        <w:lastRenderedPageBreak/>
        <w:t>推展代間學習（Intergenerational Learning）活動，師資條件透過大學挹注，滿意度頗高，使用者付費之概念相對清晰；惟樂齡大學106年至107年校數未達標，資源挹注恐多侷限於特定少數族群，對樂齡大學之輔導措施尤待加強，如行政人員的增能、教師的高齡教學培訓及訪視輔導等。教育部高齡者終身教育的實施長期多以擴增學習機會為主要政策核心，對樂齡大學實際實施成效及內涵未進行評估，缺乏相關績效評核機制，為均衡有限資源配置及教育品質，樂齡大學發展定位、學習者之資格條件有待重新檢討，亟待教育部統籌研議，並強化有效的輔導機制，以期實踐國內高齡教育師資優質化，俾提供質量並重之高齡教育環境。</w:t>
      </w:r>
      <w:bookmarkEnd w:id="1559"/>
      <w:bookmarkEnd w:id="1560"/>
      <w:bookmarkEnd w:id="1561"/>
      <w:bookmarkEnd w:id="1562"/>
    </w:p>
    <w:p w:rsidR="003872FF" w:rsidRPr="00D41D30" w:rsidRDefault="003872FF" w:rsidP="00D41D30">
      <w:pPr>
        <w:pStyle w:val="2"/>
        <w:spacing w:beforeLines="100" w:before="457"/>
        <w:ind w:left="1020" w:hanging="680"/>
        <w:rPr>
          <w:b/>
          <w:color w:val="000000" w:themeColor="text1"/>
        </w:rPr>
      </w:pPr>
      <w:bookmarkStart w:id="1563" w:name="_Toc33011874"/>
      <w:r w:rsidRPr="00D41D30">
        <w:rPr>
          <w:rFonts w:ascii="Arial" w:cs="Arial" w:hint="eastAsia"/>
          <w:b/>
          <w:color w:val="000000" w:themeColor="text1"/>
        </w:rPr>
        <w:t>我國高齡者終身教育參與模式</w:t>
      </w:r>
      <w:r w:rsidRPr="00D41D30">
        <w:rPr>
          <w:rFonts w:ascii="Arial" w:cs="Arial"/>
          <w:b/>
          <w:color w:val="000000" w:themeColor="text1"/>
        </w:rPr>
        <w:t>除</w:t>
      </w:r>
      <w:r w:rsidRPr="00D41D30">
        <w:rPr>
          <w:rFonts w:ascii="Arial" w:cs="Arial" w:hint="eastAsia"/>
          <w:b/>
          <w:color w:val="000000" w:themeColor="text1"/>
        </w:rPr>
        <w:t>一般</w:t>
      </w:r>
      <w:r w:rsidRPr="00D41D30">
        <w:rPr>
          <w:rFonts w:ascii="Arial" w:cs="Arial"/>
          <w:b/>
          <w:color w:val="000000" w:themeColor="text1"/>
        </w:rPr>
        <w:t>機構式的樂齡學習中心及樂齡大學之外，</w:t>
      </w:r>
      <w:r w:rsidRPr="00D41D30">
        <w:rPr>
          <w:rFonts w:hint="eastAsia"/>
          <w:b/>
          <w:color w:val="000000" w:themeColor="text1"/>
        </w:rPr>
        <w:t>教育部於101年發行「樂齡自主學習團體實用手冊」。為提升樂齡教育師資及工作人員之專業，102年實施分級樂齡教育師資及各類工作人員培訓計畫，於104年</w:t>
      </w:r>
      <w:r w:rsidRPr="00D41D30">
        <w:rPr>
          <w:rFonts w:ascii="Arial" w:cs="Arial"/>
          <w:b/>
          <w:color w:val="000000" w:themeColor="text1"/>
        </w:rPr>
        <w:t>首創以</w:t>
      </w:r>
      <w:r w:rsidRPr="00D41D30">
        <w:rPr>
          <w:rFonts w:hAnsi="標楷體" w:hint="eastAsia"/>
          <w:b/>
          <w:color w:val="000000" w:themeColor="text1"/>
          <w:szCs w:val="32"/>
        </w:rPr>
        <w:t>以新型態高齡者學習自主自助取向方式辦理「推動高齡自主學習團體終身學習活動試辦計畫」</w:t>
      </w:r>
      <w:r w:rsidRPr="00D41D30">
        <w:rPr>
          <w:rFonts w:hAnsi="標楷體"/>
          <w:b/>
          <w:color w:val="000000" w:themeColor="text1"/>
          <w:szCs w:val="32"/>
        </w:rPr>
        <w:t>，</w:t>
      </w:r>
      <w:r w:rsidRPr="00D41D30">
        <w:rPr>
          <w:rFonts w:hAnsi="標楷體" w:hint="eastAsia"/>
          <w:b/>
          <w:color w:val="000000" w:themeColor="text1"/>
          <w:szCs w:val="32"/>
        </w:rPr>
        <w:t>105年至107年總計培訓491位高齡自主學習團體帶領人、補助348個自主學習團體深入社區或偏遠地區，</w:t>
      </w:r>
      <w:r w:rsidRPr="00D41D30">
        <w:rPr>
          <w:rFonts w:hint="eastAsia"/>
          <w:b/>
          <w:color w:val="000000" w:themeColor="text1"/>
        </w:rPr>
        <w:t>108年則為轉型期，後續亟待教育部全盤檢討研議及思考政策定位與整體發展；本院於各縣市履勘及座談會議之自主學習團體帶領人經驗分享顯示，民間高齡教育之能量活躍且日新月異，在地化發展有助於推動個別化學習模式，惟就國際比較，我國高齡自主學習團之政策內涵尚與國外先進國家經驗殊異，多</w:t>
      </w:r>
      <w:r w:rsidRPr="00D41D30">
        <w:rPr>
          <w:rFonts w:hint="eastAsia"/>
          <w:b/>
          <w:color w:val="000000" w:themeColor="text1"/>
        </w:rPr>
        <w:lastRenderedPageBreak/>
        <w:t>數團體之成員自主運作、專業互助及課程主導性質有待強化；又計畫後續整體配套措施及具體成效評估機制均未完整，況本院調查過程中，部分自主學習團帶領人所指相關資源待整合或經費窘境等實務辦理問題，均待教育部併予積極檢討規劃，以共享樂齡自主學習經驗，建立支持網絡，落實高齡者自我學習、自我成長及自我實現之能力</w:t>
      </w:r>
      <w:bookmarkEnd w:id="1563"/>
    </w:p>
    <w:p w:rsidR="003872FF" w:rsidRPr="00D41D30" w:rsidRDefault="003872FF" w:rsidP="003872FF">
      <w:pPr>
        <w:pStyle w:val="3"/>
        <w:rPr>
          <w:color w:val="000000" w:themeColor="text1"/>
        </w:rPr>
      </w:pPr>
      <w:bookmarkStart w:id="1564" w:name="_Toc30512616"/>
      <w:bookmarkStart w:id="1565" w:name="_Toc30581324"/>
      <w:bookmarkStart w:id="1566" w:name="_Toc32673804"/>
      <w:bookmarkStart w:id="1567" w:name="_Toc32846683"/>
      <w:bookmarkStart w:id="1568" w:name="_Toc32918589"/>
      <w:bookmarkStart w:id="1569" w:name="_Toc33011875"/>
      <w:bookmarkEnd w:id="1564"/>
      <w:bookmarkEnd w:id="1565"/>
      <w:r w:rsidRPr="00D41D30">
        <w:rPr>
          <w:rFonts w:hint="eastAsia"/>
          <w:color w:val="000000" w:themeColor="text1"/>
        </w:rPr>
        <w:t>按終身學習法第14第1項規定，各級主管機關應訂定樂齡學習推動計畫，編列預算，並鼓勵終身學習機構辦理樂齡學習活動。復按同法第20條第1項規定，各級主管機關應發展、普及終身學習機會，並考量不同族群、文化、經濟條件及身心狀況對象之特殊性，設計符合其需求之課程，提供具可近性之服務；其課程、教材、師資、補助及其他相關事項之規定，由各級主管機關定之。查教育部前於101年發行</w:t>
      </w:r>
      <w:r w:rsidRPr="00D41D30">
        <w:rPr>
          <w:rFonts w:hAnsi="標楷體" w:hint="eastAsia"/>
          <w:color w:val="000000" w:themeColor="text1"/>
        </w:rPr>
        <w:t>「</w:t>
      </w:r>
      <w:r w:rsidRPr="00D41D30">
        <w:rPr>
          <w:rFonts w:hint="eastAsia"/>
          <w:color w:val="000000" w:themeColor="text1"/>
        </w:rPr>
        <w:t>樂齡自主學習團體實用手冊</w:t>
      </w:r>
      <w:r w:rsidRPr="00D41D30">
        <w:rPr>
          <w:rFonts w:hAnsi="標楷體" w:hint="eastAsia"/>
          <w:color w:val="000000" w:themeColor="text1"/>
        </w:rPr>
        <w:t>」</w:t>
      </w:r>
      <w:r w:rsidRPr="00D41D30">
        <w:rPr>
          <w:rFonts w:hint="eastAsia"/>
          <w:color w:val="000000" w:themeColor="text1"/>
        </w:rPr>
        <w:t>載明</w:t>
      </w:r>
      <w:r w:rsidRPr="00D41D30">
        <w:rPr>
          <w:rStyle w:val="aff0"/>
          <w:color w:val="000000" w:themeColor="text1"/>
        </w:rPr>
        <w:footnoteReference w:id="36"/>
      </w:r>
      <w:r w:rsidRPr="00D41D30">
        <w:rPr>
          <w:rFonts w:hint="eastAsia"/>
          <w:color w:val="000000" w:themeColor="text1"/>
        </w:rPr>
        <w:t>，樂齡自主學習團體包括「樂齡」、「自主學習」及「學習團體」的概念，其意義係指「樂齡族為滿足多樣的學習需求所組成的學習團體，藉由他人或沒他人的協助，自己獨立引發對本身學習需要加以評斷，產生自己的學習目標，進而尋求可增進學習的資源及適合的學習策略，並對學習結果加以評鑑，不斷回饋修正與發展」等，早已提出對於樂齡自主學習團體之相關發展概念，惟尚未具體全面執行。</w:t>
      </w:r>
      <w:bookmarkEnd w:id="1566"/>
      <w:bookmarkEnd w:id="1567"/>
      <w:bookmarkEnd w:id="1568"/>
      <w:bookmarkEnd w:id="1569"/>
    </w:p>
    <w:p w:rsidR="003872FF" w:rsidRPr="00D41D30" w:rsidRDefault="003872FF" w:rsidP="003872FF">
      <w:pPr>
        <w:pStyle w:val="3"/>
        <w:rPr>
          <w:color w:val="000000" w:themeColor="text1"/>
        </w:rPr>
      </w:pPr>
      <w:bookmarkStart w:id="1570" w:name="_Toc32673805"/>
      <w:bookmarkStart w:id="1571" w:name="_Toc32846684"/>
      <w:bookmarkStart w:id="1572" w:name="_Toc32918590"/>
      <w:bookmarkStart w:id="1573" w:name="_Toc33011876"/>
      <w:r w:rsidRPr="00D41D30">
        <w:rPr>
          <w:rFonts w:hint="eastAsia"/>
          <w:color w:val="000000" w:themeColor="text1"/>
        </w:rPr>
        <w:t>而參考世界其他國家成功經驗顯示，殊不論機構或團體取向，以各類型高齡自主學習團體之理想</w:t>
      </w:r>
      <w:r w:rsidRPr="00D41D30">
        <w:rPr>
          <w:rFonts w:hint="eastAsia"/>
          <w:color w:val="000000" w:themeColor="text1"/>
        </w:rPr>
        <w:lastRenderedPageBreak/>
        <w:t>性，多為發展一種高度專業之學習模式，特色包括如同儕共學</w:t>
      </w:r>
      <w:r w:rsidRPr="00D41D30">
        <w:rPr>
          <w:rFonts w:hAnsi="標楷體" w:hint="eastAsia"/>
          <w:color w:val="000000" w:themeColor="text1"/>
        </w:rPr>
        <w:t>、</w:t>
      </w:r>
      <w:r w:rsidRPr="00D41D30">
        <w:rPr>
          <w:rFonts w:hint="eastAsia"/>
          <w:color w:val="000000" w:themeColor="text1"/>
        </w:rPr>
        <w:t>教學相長的機制，成員兼顧學習者及教學者雙重身分，透過自主規劃學習之方式，達成預定學習目標。茲引述相關研究案例略以</w:t>
      </w:r>
      <w:r w:rsidRPr="00D41D30">
        <w:rPr>
          <w:rStyle w:val="aff0"/>
          <w:color w:val="000000" w:themeColor="text1"/>
        </w:rPr>
        <w:footnoteReference w:id="37"/>
      </w:r>
      <w:r w:rsidRPr="00D41D30">
        <w:rPr>
          <w:rFonts w:hint="eastAsia"/>
          <w:color w:val="000000" w:themeColor="text1"/>
        </w:rPr>
        <w:t>：</w:t>
      </w:r>
      <w:bookmarkEnd w:id="1570"/>
      <w:bookmarkEnd w:id="1571"/>
      <w:bookmarkEnd w:id="1572"/>
      <w:bookmarkEnd w:id="1573"/>
    </w:p>
    <w:p w:rsidR="003872FF" w:rsidRPr="00D41D30" w:rsidRDefault="003872FF" w:rsidP="003872FF">
      <w:pPr>
        <w:pStyle w:val="4"/>
        <w:rPr>
          <w:color w:val="000000" w:themeColor="text1"/>
        </w:rPr>
      </w:pPr>
      <w:r w:rsidRPr="00D41D30">
        <w:rPr>
          <w:rFonts w:hint="eastAsia"/>
          <w:color w:val="000000" w:themeColor="text1"/>
        </w:rPr>
        <w:t>美國老人寄宿所（Elderhostel</w:t>
      </w:r>
      <w:r w:rsidRPr="00D41D30">
        <w:rPr>
          <w:rFonts w:hAnsi="標楷體" w:hint="eastAsia"/>
          <w:color w:val="000000" w:themeColor="text1"/>
        </w:rPr>
        <w:t>）</w:t>
      </w:r>
      <w:r w:rsidRPr="00D41D30">
        <w:rPr>
          <w:rFonts w:hint="eastAsia"/>
          <w:color w:val="000000" w:themeColor="text1"/>
        </w:rPr>
        <w:t>：老人寄宿所的活動因著不同學校或區域，其招生的對象與條件略有不同，大致以年滿55歲至65歲以上的老人為主要招生對象，通常於暑假在大學校院舉行，活動期間為一週至三週，住宿於學校宿舍。每週活動有三門課程，其中兩門為學術課程，另外一門為課外活動。學術課程一般包括博雅及人文類的，教學方式多採小團體討論與分組座談，經費由參與者繳交。</w:t>
      </w:r>
    </w:p>
    <w:p w:rsidR="003872FF" w:rsidRPr="00D41D30" w:rsidRDefault="003872FF" w:rsidP="003872FF">
      <w:pPr>
        <w:pStyle w:val="4"/>
        <w:rPr>
          <w:color w:val="000000" w:themeColor="text1"/>
        </w:rPr>
      </w:pPr>
      <w:r w:rsidRPr="00D41D30">
        <w:rPr>
          <w:rFonts w:hint="eastAsia"/>
          <w:color w:val="000000" w:themeColor="text1"/>
        </w:rPr>
        <w:t>美國退休學習學會（Learning in Retirement Institutes, LRIs</w:t>
      </w:r>
      <w:r w:rsidRPr="00D41D30">
        <w:rPr>
          <w:rFonts w:hAnsi="標楷體" w:hint="eastAsia"/>
          <w:color w:val="000000" w:themeColor="text1"/>
        </w:rPr>
        <w:t>）</w:t>
      </w:r>
      <w:r w:rsidRPr="00D41D30">
        <w:rPr>
          <w:rFonts w:hint="eastAsia"/>
          <w:color w:val="000000" w:themeColor="text1"/>
        </w:rPr>
        <w:t>：如北卡創造性退休中心 North Carolina　Center for Creative Retirement, NCCCR 於 1988 年 所設立的高齡學苑（ the College for　Seniors），就是相當著名的例子，退休學習學會屬於自治組織，以會員制的概念運作。他們在決定課程內容、學費和其他章則細節方面，擁有完全的自主權。相關工作的執行係由參與者一齊分攤，從教學到編印簡訊、辦理註冊及設計課程等，完全由學員自主管理經營。LRIs特色包括由成員參與課程計畫及執行教學評鑑等。</w:t>
      </w:r>
    </w:p>
    <w:p w:rsidR="003872FF" w:rsidRPr="00D41D30" w:rsidRDefault="003872FF" w:rsidP="003872FF">
      <w:pPr>
        <w:pStyle w:val="4"/>
        <w:rPr>
          <w:color w:val="000000" w:themeColor="text1"/>
        </w:rPr>
      </w:pPr>
      <w:r w:rsidRPr="00D41D30">
        <w:rPr>
          <w:rFonts w:hint="eastAsia"/>
          <w:color w:val="000000" w:themeColor="text1"/>
        </w:rPr>
        <w:t>英國第三年齡大學（University of the Third Age, U3A</w:t>
      </w:r>
      <w:r w:rsidRPr="00D41D30">
        <w:rPr>
          <w:rFonts w:hAnsi="標楷體" w:hint="eastAsia"/>
          <w:color w:val="000000" w:themeColor="text1"/>
        </w:rPr>
        <w:t>）：係為</w:t>
      </w:r>
      <w:r w:rsidRPr="00D41D30">
        <w:rPr>
          <w:rFonts w:hint="eastAsia"/>
          <w:color w:val="000000" w:themeColor="text1"/>
        </w:rPr>
        <w:t>老人自助式學習團體的典範。</w:t>
      </w:r>
      <w:r w:rsidRPr="00D41D30">
        <w:rPr>
          <w:rFonts w:hAnsi="標楷體" w:hint="eastAsia"/>
          <w:color w:val="000000" w:themeColor="text1"/>
        </w:rPr>
        <w:lastRenderedPageBreak/>
        <w:t>「</w:t>
      </w:r>
      <w:r w:rsidRPr="00D41D30">
        <w:rPr>
          <w:rFonts w:hint="eastAsia"/>
          <w:color w:val="000000" w:themeColor="text1"/>
        </w:rPr>
        <w:t>復活學校</w:t>
      </w:r>
      <w:r w:rsidRPr="00D41D30">
        <w:rPr>
          <w:rFonts w:hAnsi="標楷體" w:hint="eastAsia"/>
          <w:color w:val="000000" w:themeColor="text1"/>
        </w:rPr>
        <w:t>」則</w:t>
      </w:r>
      <w:r w:rsidRPr="00D41D30">
        <w:rPr>
          <w:rFonts w:hint="eastAsia"/>
          <w:color w:val="000000" w:themeColor="text1"/>
        </w:rPr>
        <w:t>係第三年齡大學發展階段的一個實驗機制，用一周的時間，讓參與者輪流教與學、輪流當學習領導人，實驗的結果，參與者都很認同高齡者自主學習的機制，並成為日後各地第三年齡大學的創辦者。想學的人可以找到相同興趣的人，找得到場地、有人可以指導，便可以開設學習課程，是一種同儕教學的模式。U3A特色包括強調同儕共學的機制，學習者也可以是教學者等。</w:t>
      </w:r>
    </w:p>
    <w:p w:rsidR="003872FF" w:rsidRPr="00D41D30" w:rsidRDefault="003872FF" w:rsidP="003872FF">
      <w:pPr>
        <w:pStyle w:val="4"/>
        <w:rPr>
          <w:color w:val="000000" w:themeColor="text1"/>
        </w:rPr>
      </w:pPr>
      <w:r w:rsidRPr="00D41D30">
        <w:rPr>
          <w:rFonts w:hint="eastAsia"/>
          <w:color w:val="000000" w:themeColor="text1"/>
        </w:rPr>
        <w:t>瑞典讀書會</w:t>
      </w:r>
      <w:r w:rsidRPr="00D41D30">
        <w:rPr>
          <w:rFonts w:hint="eastAsia"/>
          <w:color w:val="000000" w:themeColor="text1"/>
          <w:sz w:val="28"/>
          <w:szCs w:val="28"/>
        </w:rPr>
        <w:t>（</w:t>
      </w:r>
      <w:r w:rsidRPr="00D41D30">
        <w:rPr>
          <w:rFonts w:ascii="Times New Roman"/>
          <w:color w:val="000000" w:themeColor="text1"/>
          <w:sz w:val="28"/>
          <w:szCs w:val="28"/>
        </w:rPr>
        <w:t>St</w:t>
      </w:r>
      <w:r w:rsidRPr="00D41D30">
        <w:rPr>
          <w:color w:val="000000" w:themeColor="text1"/>
        </w:rPr>
        <w:t>udy circles</w:t>
      </w:r>
      <w:r w:rsidRPr="00D41D30">
        <w:rPr>
          <w:rFonts w:hint="eastAsia"/>
          <w:color w:val="000000" w:themeColor="text1"/>
        </w:rPr>
        <w:t>）：係一群朋友，根據事先預定的題目或議題，共同進行一種有方法、有組織的學習。特色內涵</w:t>
      </w:r>
      <w:r w:rsidRPr="00D41D30">
        <w:rPr>
          <w:rStyle w:val="aff0"/>
          <w:color w:val="000000" w:themeColor="text1"/>
        </w:rPr>
        <w:footnoteReference w:id="38"/>
      </w:r>
      <w:r w:rsidRPr="00D41D30">
        <w:rPr>
          <w:rFonts w:hint="eastAsia"/>
          <w:color w:val="000000" w:themeColor="text1"/>
        </w:rPr>
        <w:t>包括成員間具有民主平等的概念，成員同時具有老師和學生的身分，主要以對話和討論為學習方式，非依賴特定的講師或專家；</w:t>
      </w:r>
      <w:r w:rsidRPr="00D41D30">
        <w:rPr>
          <w:rFonts w:hAnsi="標楷體" w:hint="eastAsia"/>
          <w:color w:val="000000" w:themeColor="text1"/>
        </w:rPr>
        <w:t>依據自己的興趣與需求，共同決定讀書會的方向與內容結構</w:t>
      </w:r>
      <w:r w:rsidRPr="00D41D30">
        <w:rPr>
          <w:rFonts w:hAnsi="標楷體"/>
          <w:color w:val="000000" w:themeColor="text1"/>
          <w:kern w:val="0"/>
          <w:szCs w:val="32"/>
        </w:rPr>
        <w:t>……</w:t>
      </w:r>
      <w:r w:rsidRPr="00D41D30">
        <w:rPr>
          <w:rFonts w:hint="eastAsia"/>
          <w:color w:val="000000" w:themeColor="text1"/>
        </w:rPr>
        <w:t>等。</w:t>
      </w:r>
    </w:p>
    <w:p w:rsidR="003872FF" w:rsidRPr="00D41D30" w:rsidRDefault="003872FF" w:rsidP="003872FF">
      <w:pPr>
        <w:pStyle w:val="4"/>
        <w:rPr>
          <w:color w:val="000000" w:themeColor="text1"/>
        </w:rPr>
      </w:pPr>
      <w:r w:rsidRPr="00D41D30">
        <w:rPr>
          <w:rFonts w:hint="eastAsia"/>
          <w:color w:val="000000" w:themeColor="text1"/>
        </w:rPr>
        <w:t>澳洲第三年齡大學－社區老人自主學習模式：師資：由成員邀請具有專長的高齡者擔任教師或指導者的工作。多數師資是從會員群中發掘，課程講師必須具有專業知識與技能，無其他資格限制，也無鐘點費，教師同時也是學員身分，完全發揮同儕教與學的機制。</w:t>
      </w:r>
    </w:p>
    <w:p w:rsidR="003872FF" w:rsidRPr="00D41D30" w:rsidRDefault="003872FF" w:rsidP="003872FF">
      <w:pPr>
        <w:pStyle w:val="4"/>
        <w:rPr>
          <w:color w:val="000000" w:themeColor="text1"/>
        </w:rPr>
      </w:pPr>
      <w:r w:rsidRPr="00D41D30">
        <w:rPr>
          <w:rFonts w:hint="eastAsia"/>
          <w:color w:val="000000" w:themeColor="text1"/>
        </w:rPr>
        <w:t>東京朝島市公民館之高齡者團體教室運作模式</w:t>
      </w:r>
      <w:r w:rsidRPr="00D41D30">
        <w:rPr>
          <w:rFonts w:hAnsi="標楷體" w:hint="eastAsia"/>
          <w:color w:val="000000" w:themeColor="text1"/>
        </w:rPr>
        <w:t>：</w:t>
      </w:r>
      <w:r w:rsidRPr="00D41D30">
        <w:rPr>
          <w:rFonts w:hint="eastAsia"/>
          <w:color w:val="000000" w:themeColor="text1"/>
        </w:rPr>
        <w:t>公民館主要開設高齡者教室與高齡者團體教室兩類，提供60歲以上的高齡者參與。近年來透過開設高齡者團體教室的方式，主張由教育機構與高齡學習者共同合作，規劃課程及學習活動後，不僅促進高齡者團體間的互動關</w:t>
      </w:r>
      <w:r w:rsidRPr="00D41D30">
        <w:rPr>
          <w:rFonts w:hint="eastAsia"/>
          <w:color w:val="000000" w:themeColor="text1"/>
        </w:rPr>
        <w:lastRenderedPageBreak/>
        <w:t>係，自主團體式的經營模式，更讓參與者學習自主學習的能力，並擴展其人際關係。整體來說，朝島市的公民館之運作模式，高齡者先參與公民館所開設的高齡者教室，可自由參與生命史、文化藝術、教養和或休閒娛樂等的學習活動，結業後，進而參與高齡者團體教室，學習自主團體的經營與自主學習的能力，或參與高齡者團體自治活動，協助辦理各類活動等。</w:t>
      </w:r>
    </w:p>
    <w:p w:rsidR="003872FF" w:rsidRPr="00D41D30" w:rsidRDefault="003872FF" w:rsidP="003872FF">
      <w:pPr>
        <w:pStyle w:val="4"/>
        <w:rPr>
          <w:color w:val="000000" w:themeColor="text1"/>
        </w:rPr>
      </w:pPr>
      <w:r w:rsidRPr="00D41D30">
        <w:rPr>
          <w:rFonts w:hint="eastAsia"/>
          <w:color w:val="000000" w:themeColor="text1"/>
        </w:rPr>
        <w:t>又引述上述各國模式相關收費等機制如后：</w:t>
      </w:r>
    </w:p>
    <w:p w:rsidR="003872FF" w:rsidRPr="00D41D30" w:rsidRDefault="003872FF" w:rsidP="003872FF">
      <w:pPr>
        <w:pStyle w:val="a4"/>
        <w:ind w:hanging="1047"/>
        <w:rPr>
          <w:b/>
          <w:color w:val="000000" w:themeColor="text1"/>
        </w:rPr>
      </w:pPr>
      <w:r w:rsidRPr="00D41D30">
        <w:rPr>
          <w:rFonts w:hint="eastAsia"/>
          <w:b/>
          <w:color w:val="000000" w:themeColor="text1"/>
        </w:rPr>
        <w:t>各國自主學習團體入學資格、開班人數及收費方式之比較</w:t>
      </w:r>
    </w:p>
    <w:tbl>
      <w:tblPr>
        <w:tblStyle w:val="af9"/>
        <w:tblW w:w="0" w:type="auto"/>
        <w:jc w:val="center"/>
        <w:tblLayout w:type="fixed"/>
        <w:tblLook w:val="0000" w:firstRow="0" w:lastRow="0" w:firstColumn="0" w:lastColumn="0" w:noHBand="0" w:noVBand="0"/>
      </w:tblPr>
      <w:tblGrid>
        <w:gridCol w:w="2547"/>
        <w:gridCol w:w="1843"/>
        <w:gridCol w:w="1559"/>
        <w:gridCol w:w="1739"/>
      </w:tblGrid>
      <w:tr w:rsidR="003872FF" w:rsidRPr="00D41D30" w:rsidTr="003872FF">
        <w:trPr>
          <w:trHeight w:val="120"/>
          <w:jc w:val="center"/>
        </w:trPr>
        <w:tc>
          <w:tcPr>
            <w:tcW w:w="2547" w:type="dxa"/>
          </w:tcPr>
          <w:p w:rsidR="003872FF" w:rsidRPr="00D41D30" w:rsidRDefault="003872FF" w:rsidP="003872FF">
            <w:pPr>
              <w:overflowPunct/>
              <w:adjustRightInd w:val="0"/>
              <w:jc w:val="center"/>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自主學習團體</w:t>
            </w:r>
          </w:p>
        </w:tc>
        <w:tc>
          <w:tcPr>
            <w:tcW w:w="1843" w:type="dxa"/>
          </w:tcPr>
          <w:p w:rsidR="003872FF" w:rsidRPr="00D41D30" w:rsidRDefault="003872FF" w:rsidP="003872FF">
            <w:pPr>
              <w:overflowPunct/>
              <w:adjustRightInd w:val="0"/>
              <w:jc w:val="center"/>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入學資格</w:t>
            </w:r>
          </w:p>
        </w:tc>
        <w:tc>
          <w:tcPr>
            <w:tcW w:w="1559" w:type="dxa"/>
          </w:tcPr>
          <w:p w:rsidR="003872FF" w:rsidRPr="00D41D30" w:rsidRDefault="003872FF" w:rsidP="003872FF">
            <w:pPr>
              <w:overflowPunct/>
              <w:adjustRightInd w:val="0"/>
              <w:jc w:val="center"/>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開班人數</w:t>
            </w:r>
          </w:p>
        </w:tc>
        <w:tc>
          <w:tcPr>
            <w:tcW w:w="1739" w:type="dxa"/>
          </w:tcPr>
          <w:p w:rsidR="003872FF" w:rsidRPr="00D41D30" w:rsidRDefault="003872FF" w:rsidP="003872FF">
            <w:pPr>
              <w:overflowPunct/>
              <w:adjustRightInd w:val="0"/>
              <w:jc w:val="center"/>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收費</w:t>
            </w:r>
          </w:p>
        </w:tc>
      </w:tr>
      <w:tr w:rsidR="003872FF" w:rsidRPr="00D41D30" w:rsidTr="003872FF">
        <w:trPr>
          <w:trHeight w:val="122"/>
          <w:jc w:val="center"/>
        </w:trPr>
        <w:tc>
          <w:tcPr>
            <w:tcW w:w="2547" w:type="dxa"/>
          </w:tcPr>
          <w:p w:rsidR="003872FF" w:rsidRPr="00D41D30" w:rsidRDefault="003872FF" w:rsidP="003872FF">
            <w:pPr>
              <w:overflowPunct/>
              <w:adjustRightInd w:val="0"/>
              <w:jc w:val="left"/>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美國老人寄宿所</w:t>
            </w:r>
          </w:p>
        </w:tc>
        <w:tc>
          <w:tcPr>
            <w:tcW w:w="1843"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olor w:val="000000" w:themeColor="text1"/>
                <w:kern w:val="0"/>
                <w:sz w:val="26"/>
                <w:szCs w:val="26"/>
              </w:rPr>
              <w:t>65</w:t>
            </w:r>
            <w:r w:rsidRPr="00D41D30">
              <w:rPr>
                <w:rFonts w:hAnsi="標楷體" w:cs="標楷體" w:hint="eastAsia"/>
                <w:color w:val="000000" w:themeColor="text1"/>
                <w:kern w:val="0"/>
                <w:sz w:val="26"/>
                <w:szCs w:val="26"/>
              </w:rPr>
              <w:t>歲以上</w:t>
            </w:r>
          </w:p>
        </w:tc>
        <w:tc>
          <w:tcPr>
            <w:tcW w:w="155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olor w:val="000000" w:themeColor="text1"/>
                <w:kern w:val="0"/>
                <w:sz w:val="26"/>
                <w:szCs w:val="26"/>
              </w:rPr>
              <w:t>15-40</w:t>
            </w:r>
            <w:r w:rsidRPr="00D41D30">
              <w:rPr>
                <w:rFonts w:hAnsi="標楷體" w:cs="標楷體" w:hint="eastAsia"/>
                <w:color w:val="000000" w:themeColor="text1"/>
                <w:kern w:val="0"/>
                <w:sz w:val="26"/>
                <w:szCs w:val="26"/>
              </w:rPr>
              <w:t>人</w:t>
            </w:r>
          </w:p>
        </w:tc>
        <w:tc>
          <w:tcPr>
            <w:tcW w:w="173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使用者付費</w:t>
            </w:r>
          </w:p>
        </w:tc>
      </w:tr>
      <w:tr w:rsidR="003872FF" w:rsidRPr="00D41D30" w:rsidTr="003872FF">
        <w:trPr>
          <w:trHeight w:val="122"/>
          <w:jc w:val="center"/>
        </w:trPr>
        <w:tc>
          <w:tcPr>
            <w:tcW w:w="2547" w:type="dxa"/>
          </w:tcPr>
          <w:p w:rsidR="003872FF" w:rsidRPr="00D41D30" w:rsidRDefault="003872FF" w:rsidP="003872FF">
            <w:pPr>
              <w:overflowPunct/>
              <w:adjustRightInd w:val="0"/>
              <w:jc w:val="left"/>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美國退休學習學會</w:t>
            </w:r>
          </w:p>
        </w:tc>
        <w:tc>
          <w:tcPr>
            <w:tcW w:w="1843"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olor w:val="000000" w:themeColor="text1"/>
                <w:kern w:val="0"/>
                <w:sz w:val="26"/>
                <w:szCs w:val="26"/>
              </w:rPr>
              <w:t>55</w:t>
            </w:r>
            <w:r w:rsidRPr="00D41D30">
              <w:rPr>
                <w:rFonts w:hAnsi="標楷體" w:cs="標楷體" w:hint="eastAsia"/>
                <w:color w:val="000000" w:themeColor="text1"/>
                <w:kern w:val="0"/>
                <w:sz w:val="26"/>
                <w:szCs w:val="26"/>
              </w:rPr>
              <w:t>歲以上之會員</w:t>
            </w:r>
          </w:p>
        </w:tc>
        <w:tc>
          <w:tcPr>
            <w:tcW w:w="155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未限制</w:t>
            </w:r>
          </w:p>
        </w:tc>
        <w:tc>
          <w:tcPr>
            <w:tcW w:w="173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會員制</w:t>
            </w:r>
          </w:p>
        </w:tc>
      </w:tr>
      <w:tr w:rsidR="003872FF" w:rsidRPr="00D41D30" w:rsidTr="003872FF">
        <w:trPr>
          <w:trHeight w:val="120"/>
          <w:jc w:val="center"/>
        </w:trPr>
        <w:tc>
          <w:tcPr>
            <w:tcW w:w="2547" w:type="dxa"/>
          </w:tcPr>
          <w:p w:rsidR="003872FF" w:rsidRPr="00D41D30" w:rsidRDefault="003872FF" w:rsidP="003872FF">
            <w:pPr>
              <w:overflowPunct/>
              <w:adjustRightInd w:val="0"/>
              <w:jc w:val="left"/>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英國第三年齡大學</w:t>
            </w:r>
          </w:p>
        </w:tc>
        <w:tc>
          <w:tcPr>
            <w:tcW w:w="1843"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無限制</w:t>
            </w:r>
          </w:p>
        </w:tc>
        <w:tc>
          <w:tcPr>
            <w:tcW w:w="155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未限制</w:t>
            </w:r>
          </w:p>
        </w:tc>
        <w:tc>
          <w:tcPr>
            <w:tcW w:w="173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會員制</w:t>
            </w:r>
          </w:p>
        </w:tc>
      </w:tr>
      <w:tr w:rsidR="003872FF" w:rsidRPr="00D41D30" w:rsidTr="003872FF">
        <w:trPr>
          <w:trHeight w:val="122"/>
          <w:jc w:val="center"/>
        </w:trPr>
        <w:tc>
          <w:tcPr>
            <w:tcW w:w="2547" w:type="dxa"/>
          </w:tcPr>
          <w:p w:rsidR="003872FF" w:rsidRPr="00D41D30" w:rsidRDefault="003872FF" w:rsidP="003872FF">
            <w:pPr>
              <w:overflowPunct/>
              <w:adjustRightInd w:val="0"/>
              <w:jc w:val="left"/>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瑞典讀書會</w:t>
            </w:r>
          </w:p>
        </w:tc>
        <w:tc>
          <w:tcPr>
            <w:tcW w:w="1843"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無限制</w:t>
            </w:r>
          </w:p>
        </w:tc>
        <w:tc>
          <w:tcPr>
            <w:tcW w:w="155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olor w:val="000000" w:themeColor="text1"/>
                <w:kern w:val="0"/>
                <w:sz w:val="26"/>
                <w:szCs w:val="26"/>
              </w:rPr>
              <w:t>5-20</w:t>
            </w:r>
            <w:r w:rsidRPr="00D41D30">
              <w:rPr>
                <w:rFonts w:hAnsi="標楷體" w:cs="標楷體" w:hint="eastAsia"/>
                <w:color w:val="000000" w:themeColor="text1"/>
                <w:kern w:val="0"/>
                <w:sz w:val="26"/>
                <w:szCs w:val="26"/>
              </w:rPr>
              <w:t>人</w:t>
            </w:r>
          </w:p>
        </w:tc>
        <w:tc>
          <w:tcPr>
            <w:tcW w:w="173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使用者付費</w:t>
            </w:r>
          </w:p>
        </w:tc>
      </w:tr>
      <w:tr w:rsidR="003872FF" w:rsidRPr="00D41D30" w:rsidTr="003872FF">
        <w:trPr>
          <w:trHeight w:val="122"/>
          <w:jc w:val="center"/>
        </w:trPr>
        <w:tc>
          <w:tcPr>
            <w:tcW w:w="2547" w:type="dxa"/>
          </w:tcPr>
          <w:p w:rsidR="003872FF" w:rsidRPr="00D41D30" w:rsidRDefault="003872FF" w:rsidP="003872FF">
            <w:pPr>
              <w:overflowPunct/>
              <w:adjustRightInd w:val="0"/>
              <w:jc w:val="left"/>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澳洲第三年齡大學</w:t>
            </w:r>
          </w:p>
        </w:tc>
        <w:tc>
          <w:tcPr>
            <w:tcW w:w="1843"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olor w:val="000000" w:themeColor="text1"/>
                <w:kern w:val="0"/>
                <w:sz w:val="26"/>
                <w:szCs w:val="26"/>
              </w:rPr>
              <w:t>55</w:t>
            </w:r>
            <w:r w:rsidRPr="00D41D30">
              <w:rPr>
                <w:rFonts w:hAnsi="標楷體" w:cs="標楷體" w:hint="eastAsia"/>
                <w:color w:val="000000" w:themeColor="text1"/>
                <w:kern w:val="0"/>
                <w:sz w:val="26"/>
                <w:szCs w:val="26"/>
              </w:rPr>
              <w:t>歲以上之會員</w:t>
            </w:r>
          </w:p>
        </w:tc>
        <w:tc>
          <w:tcPr>
            <w:tcW w:w="155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未限制</w:t>
            </w:r>
          </w:p>
        </w:tc>
        <w:tc>
          <w:tcPr>
            <w:tcW w:w="173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會員制</w:t>
            </w:r>
          </w:p>
        </w:tc>
      </w:tr>
      <w:tr w:rsidR="003872FF" w:rsidRPr="00D41D30" w:rsidTr="003872FF">
        <w:trPr>
          <w:trHeight w:val="122"/>
          <w:jc w:val="center"/>
        </w:trPr>
        <w:tc>
          <w:tcPr>
            <w:tcW w:w="2547" w:type="dxa"/>
          </w:tcPr>
          <w:p w:rsidR="003872FF" w:rsidRPr="00D41D30" w:rsidRDefault="003872FF" w:rsidP="003872FF">
            <w:pPr>
              <w:overflowPunct/>
              <w:adjustRightInd w:val="0"/>
              <w:jc w:val="left"/>
              <w:rPr>
                <w:rFonts w:hAnsi="標楷體" w:cs="標楷體"/>
                <w:b/>
                <w:color w:val="000000" w:themeColor="text1"/>
                <w:kern w:val="0"/>
                <w:sz w:val="26"/>
                <w:szCs w:val="26"/>
              </w:rPr>
            </w:pPr>
            <w:r w:rsidRPr="00D41D30">
              <w:rPr>
                <w:rFonts w:hAnsi="標楷體" w:cs="標楷體" w:hint="eastAsia"/>
                <w:b/>
                <w:color w:val="000000" w:themeColor="text1"/>
                <w:kern w:val="0"/>
                <w:sz w:val="26"/>
                <w:szCs w:val="26"/>
              </w:rPr>
              <w:t>日本高齡者團體教室</w:t>
            </w:r>
          </w:p>
        </w:tc>
        <w:tc>
          <w:tcPr>
            <w:tcW w:w="1843"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olor w:val="000000" w:themeColor="text1"/>
                <w:kern w:val="0"/>
                <w:sz w:val="26"/>
                <w:szCs w:val="26"/>
              </w:rPr>
              <w:t>60</w:t>
            </w:r>
            <w:r w:rsidRPr="00D41D30">
              <w:rPr>
                <w:rFonts w:hAnsi="標楷體" w:cs="標楷體" w:hint="eastAsia"/>
                <w:color w:val="000000" w:themeColor="text1"/>
                <w:kern w:val="0"/>
                <w:sz w:val="26"/>
                <w:szCs w:val="26"/>
              </w:rPr>
              <w:t>歲以上之公民</w:t>
            </w:r>
          </w:p>
        </w:tc>
        <w:tc>
          <w:tcPr>
            <w:tcW w:w="155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olor w:val="000000" w:themeColor="text1"/>
                <w:kern w:val="0"/>
                <w:sz w:val="26"/>
                <w:szCs w:val="26"/>
              </w:rPr>
              <w:t>10</w:t>
            </w:r>
            <w:r w:rsidRPr="00D41D30">
              <w:rPr>
                <w:rFonts w:hAnsi="標楷體" w:cs="標楷體" w:hint="eastAsia"/>
                <w:color w:val="000000" w:themeColor="text1"/>
                <w:kern w:val="0"/>
                <w:sz w:val="26"/>
                <w:szCs w:val="26"/>
              </w:rPr>
              <w:t>人以上</w:t>
            </w:r>
          </w:p>
        </w:tc>
        <w:tc>
          <w:tcPr>
            <w:tcW w:w="1739" w:type="dxa"/>
          </w:tcPr>
          <w:p w:rsidR="003872FF" w:rsidRPr="00D41D30" w:rsidRDefault="003872FF" w:rsidP="003872FF">
            <w:pPr>
              <w:overflowPunct/>
              <w:adjustRightInd w:val="0"/>
              <w:jc w:val="left"/>
              <w:rPr>
                <w:rFonts w:hAnsi="標楷體" w:cs="標楷體"/>
                <w:color w:val="000000" w:themeColor="text1"/>
                <w:kern w:val="0"/>
                <w:sz w:val="26"/>
                <w:szCs w:val="26"/>
              </w:rPr>
            </w:pPr>
            <w:r w:rsidRPr="00D41D30">
              <w:rPr>
                <w:rFonts w:hAnsi="標楷體" w:cs="標楷體" w:hint="eastAsia"/>
                <w:color w:val="000000" w:themeColor="text1"/>
                <w:kern w:val="0"/>
                <w:sz w:val="26"/>
                <w:szCs w:val="26"/>
              </w:rPr>
              <w:t>使用者付費</w:t>
            </w:r>
          </w:p>
        </w:tc>
      </w:tr>
    </w:tbl>
    <w:p w:rsidR="003872FF" w:rsidRPr="00D41D30" w:rsidRDefault="003872FF" w:rsidP="003872FF">
      <w:pPr>
        <w:pStyle w:val="af8"/>
        <w:kinsoku/>
        <w:overflowPunct/>
        <w:rPr>
          <w:color w:val="000000" w:themeColor="text1"/>
          <w:sz w:val="24"/>
          <w:szCs w:val="24"/>
        </w:rPr>
      </w:pPr>
      <w:r w:rsidRPr="00D41D30">
        <w:rPr>
          <w:rFonts w:hint="eastAsia"/>
          <w:color w:val="000000" w:themeColor="text1"/>
        </w:rPr>
        <w:t xml:space="preserve">　　</w:t>
      </w:r>
      <w:r w:rsidRPr="00D41D30">
        <w:rPr>
          <w:rFonts w:hint="eastAsia"/>
          <w:color w:val="000000" w:themeColor="text1"/>
          <w:sz w:val="24"/>
          <w:szCs w:val="24"/>
        </w:rPr>
        <w:t>資料來源：教育部（民101）。</w:t>
      </w:r>
      <w:r w:rsidRPr="00D41D30">
        <w:rPr>
          <w:rFonts w:hint="eastAsia"/>
          <w:b/>
          <w:color w:val="000000" w:themeColor="text1"/>
          <w:sz w:val="24"/>
          <w:szCs w:val="24"/>
        </w:rPr>
        <w:t>樂齡自主學習團體的理念與實務運作</w:t>
      </w:r>
      <w:r w:rsidRPr="00D41D30">
        <w:rPr>
          <w:rFonts w:hint="eastAsia"/>
          <w:color w:val="000000" w:themeColor="text1"/>
          <w:sz w:val="24"/>
          <w:szCs w:val="24"/>
        </w:rPr>
        <w:t xml:space="preserve">。取自， </w:t>
      </w:r>
      <w:r w:rsidRPr="00D41D30">
        <w:rPr>
          <w:rFonts w:hint="eastAsia"/>
          <w:color w:val="000000" w:themeColor="text1"/>
          <w:sz w:val="22"/>
        </w:rPr>
        <w:t>https://lll.ntpc.edu.tw/Upload/Files/%E7%B5%82%E6%95%99%E6%9C%9F%E5%88%8A7.pdf</w:t>
      </w:r>
    </w:p>
    <w:p w:rsidR="003872FF" w:rsidRPr="00D41D30" w:rsidRDefault="003872FF" w:rsidP="003872FF">
      <w:pPr>
        <w:pStyle w:val="3"/>
        <w:rPr>
          <w:color w:val="000000" w:themeColor="text1"/>
        </w:rPr>
      </w:pPr>
      <w:bookmarkStart w:id="1574" w:name="_Toc32673806"/>
      <w:bookmarkStart w:id="1575" w:name="_Toc32846685"/>
      <w:bookmarkStart w:id="1576" w:name="_Toc32918591"/>
      <w:bookmarkStart w:id="1577" w:name="_Toc33011877"/>
      <w:bookmarkStart w:id="1578" w:name="_Toc32392605"/>
      <w:r w:rsidRPr="00D41D30">
        <w:rPr>
          <w:rFonts w:hint="eastAsia"/>
          <w:color w:val="000000" w:themeColor="text1"/>
        </w:rPr>
        <w:t>經查，我國發展高齡自主學習團之歷程演進其來已久，教育部為提升樂齡教育師資及工作人員之專業（包括樂齡自主學習團體帶領人部分），前於101年4月18日</w:t>
      </w:r>
      <w:r w:rsidRPr="00D41D30">
        <w:rPr>
          <w:rStyle w:val="aff0"/>
          <w:color w:val="000000" w:themeColor="text1"/>
        </w:rPr>
        <w:footnoteReference w:id="39"/>
      </w:r>
      <w:r w:rsidRPr="00D41D30">
        <w:rPr>
          <w:rFonts w:hint="eastAsia"/>
          <w:color w:val="000000" w:themeColor="text1"/>
        </w:rPr>
        <w:t>發布</w:t>
      </w:r>
      <w:r w:rsidRPr="00D41D30">
        <w:rPr>
          <w:rFonts w:hAnsi="標楷體" w:hint="eastAsia"/>
          <w:color w:val="000000" w:themeColor="text1"/>
        </w:rPr>
        <w:t>「</w:t>
      </w:r>
      <w:r w:rsidRPr="00D41D30">
        <w:rPr>
          <w:rFonts w:hint="eastAsia"/>
          <w:color w:val="000000" w:themeColor="text1"/>
        </w:rPr>
        <w:t>教育部樂齡教育專業人員培訓要點</w:t>
      </w:r>
      <w:r w:rsidRPr="00D41D30">
        <w:rPr>
          <w:rFonts w:hAnsi="標楷體" w:hint="eastAsia"/>
          <w:color w:val="000000" w:themeColor="text1"/>
        </w:rPr>
        <w:t>」</w:t>
      </w:r>
      <w:r w:rsidRPr="00D41D30">
        <w:rPr>
          <w:rFonts w:hint="eastAsia"/>
          <w:color w:val="000000" w:themeColor="text1"/>
        </w:rPr>
        <w:t>，訂定分級之樂齡教育師資及各類工作人員培訓計畫，並為持續辦理此計畫，教育部102年7月11日</w:t>
      </w:r>
      <w:r w:rsidRPr="00D41D30">
        <w:rPr>
          <w:rStyle w:val="aff0"/>
          <w:color w:val="000000" w:themeColor="text1"/>
        </w:rPr>
        <w:footnoteReference w:id="40"/>
      </w:r>
      <w:r w:rsidRPr="00D41D30">
        <w:rPr>
          <w:rFonts w:hint="eastAsia"/>
          <w:color w:val="000000" w:themeColor="text1"/>
        </w:rPr>
        <w:t>修正發布「教育部樂齡教育專</w:t>
      </w:r>
      <w:r w:rsidRPr="00D41D30">
        <w:rPr>
          <w:rFonts w:hint="eastAsia"/>
          <w:color w:val="000000" w:themeColor="text1"/>
        </w:rPr>
        <w:lastRenderedPageBreak/>
        <w:t>業人員培訓要點」，將培訓對象調整為樂齡教育講師及高齡自主學習團體帶領人。102年度樂齡教育專業人員培訓講師、自主帶領人，各直轄市、縣（市）政府推薦人數計632人，實際報名人數285人，進階培訓通過人數（講師類116人、第一期講師類進階培訓通過報名第二期實作培訓11人、自主類45人、第一期自主類進階培訓通過報名第二期實作培訓3人），共計175人。而後，教育部於107年5月1日至107年12月31日推動</w:t>
      </w:r>
      <w:r w:rsidRPr="00D41D30">
        <w:rPr>
          <w:rFonts w:hAnsi="標楷體" w:hint="eastAsia"/>
          <w:color w:val="000000" w:themeColor="text1"/>
        </w:rPr>
        <w:t>「</w:t>
      </w:r>
      <w:r w:rsidRPr="00D41D30">
        <w:rPr>
          <w:rFonts w:hint="eastAsia"/>
          <w:color w:val="000000" w:themeColor="text1"/>
        </w:rPr>
        <w:t>高齡自主學習團體終身學習活動試辦計畫期程</w:t>
      </w:r>
      <w:r w:rsidRPr="00D41D30">
        <w:rPr>
          <w:rFonts w:hAnsi="標楷體" w:hint="eastAsia"/>
          <w:color w:val="000000" w:themeColor="text1"/>
        </w:rPr>
        <w:t>」，歷年活動人數為</w:t>
      </w:r>
      <w:r w:rsidRPr="00D41D30">
        <w:rPr>
          <w:rFonts w:hAnsi="標楷體" w:hint="eastAsia"/>
          <w:color w:val="000000" w:themeColor="text1"/>
          <w:szCs w:val="32"/>
        </w:rPr>
        <w:t>105年1</w:t>
      </w:r>
      <w:r w:rsidRPr="00D41D30">
        <w:rPr>
          <w:rFonts w:hAnsi="標楷體"/>
          <w:color w:val="000000" w:themeColor="text1"/>
          <w:szCs w:val="32"/>
        </w:rPr>
        <w:t>,</w:t>
      </w:r>
      <w:r w:rsidRPr="00D41D30">
        <w:rPr>
          <w:rFonts w:hAnsi="標楷體" w:hint="eastAsia"/>
          <w:color w:val="000000" w:themeColor="text1"/>
          <w:szCs w:val="32"/>
        </w:rPr>
        <w:t>617人，106年3</w:t>
      </w:r>
      <w:r w:rsidRPr="00D41D30">
        <w:rPr>
          <w:rFonts w:hAnsi="標楷體"/>
          <w:color w:val="000000" w:themeColor="text1"/>
          <w:szCs w:val="32"/>
        </w:rPr>
        <w:t>,</w:t>
      </w:r>
      <w:r w:rsidRPr="00D41D30">
        <w:rPr>
          <w:rFonts w:hAnsi="標楷體" w:hint="eastAsia"/>
          <w:color w:val="000000" w:themeColor="text1"/>
          <w:szCs w:val="32"/>
        </w:rPr>
        <w:t>505人，107年3</w:t>
      </w:r>
      <w:r w:rsidRPr="00D41D30">
        <w:rPr>
          <w:rFonts w:hAnsi="標楷體"/>
          <w:color w:val="000000" w:themeColor="text1"/>
          <w:szCs w:val="32"/>
        </w:rPr>
        <w:t>,</w:t>
      </w:r>
      <w:r w:rsidRPr="00D41D30">
        <w:rPr>
          <w:rFonts w:hAnsi="標楷體" w:hint="eastAsia"/>
          <w:color w:val="000000" w:themeColor="text1"/>
          <w:szCs w:val="32"/>
        </w:rPr>
        <w:t>405人</w:t>
      </w:r>
      <w:r w:rsidRPr="00D41D30">
        <w:rPr>
          <w:rFonts w:hAnsi="標楷體" w:hint="eastAsia"/>
          <w:color w:val="000000" w:themeColor="text1"/>
        </w:rPr>
        <w:t>；</w:t>
      </w:r>
      <w:r w:rsidRPr="00D41D30">
        <w:rPr>
          <w:rFonts w:hint="eastAsia"/>
          <w:color w:val="000000" w:themeColor="text1"/>
        </w:rPr>
        <w:t>108年4月19日教育部又於108年高齡自主學習團體運作協商會議決議辦理。惟迄今整體發展模式及定位尚難謂清晰，亟待主管機關彙整檢討相關執行經驗及意見回饋，此有教育部主管人員108年8月1日於高雄市履勘及與高齡自主學習團帶領人座談會議相關意見指出：</w:t>
      </w:r>
      <w:r w:rsidRPr="00D41D30">
        <w:rPr>
          <w:rFonts w:hAnsi="標楷體" w:hint="eastAsia"/>
          <w:color w:val="000000" w:themeColor="text1"/>
        </w:rPr>
        <w:t>「</w:t>
      </w:r>
      <w:r w:rsidRPr="00D41D30">
        <w:rPr>
          <w:rFonts w:hint="eastAsia"/>
          <w:color w:val="000000" w:themeColor="text1"/>
        </w:rPr>
        <w:t>高齡自主團體從歐美引進，未來在臺灣應走向精緻化。三位帶領人的模式不盡相同，</w:t>
      </w:r>
      <w:r w:rsidRPr="00D41D30">
        <w:rPr>
          <w:rFonts w:hAnsi="標楷體" w:hint="eastAsia"/>
          <w:color w:val="000000" w:themeColor="text1"/>
        </w:rPr>
        <w:t>○○</w:t>
      </w:r>
      <w:r w:rsidRPr="00D41D30">
        <w:rPr>
          <w:rFonts w:hint="eastAsia"/>
          <w:color w:val="000000" w:themeColor="text1"/>
        </w:rPr>
        <w:t>老師傾向拓團，其他</w:t>
      </w:r>
      <w:r w:rsidRPr="00D41D30">
        <w:rPr>
          <w:color w:val="000000" w:themeColor="text1"/>
        </w:rPr>
        <w:t>2</w:t>
      </w:r>
      <w:r w:rsidRPr="00D41D30">
        <w:rPr>
          <w:rFonts w:hint="eastAsia"/>
          <w:color w:val="000000" w:themeColor="text1"/>
        </w:rPr>
        <w:t>位老師傾向持續學習、有足夠的經費人力進行。以國外經驗，有些偏向使用者付費，有些為團體成員互為講師來進行學習，自我潛能開發，臺灣是以仰賴自主帶領人來執行，以目前的發展來看，不會走向單一化，會朝向多元化發展……</w:t>
      </w:r>
      <w:r w:rsidRPr="00D41D30">
        <w:rPr>
          <w:rFonts w:hAnsi="標楷體" w:hint="eastAsia"/>
          <w:color w:val="000000" w:themeColor="text1"/>
        </w:rPr>
        <w:t>」等語在卷，可堪認定。</w:t>
      </w:r>
      <w:bookmarkEnd w:id="1574"/>
      <w:bookmarkEnd w:id="1575"/>
      <w:bookmarkEnd w:id="1576"/>
      <w:bookmarkEnd w:id="1577"/>
    </w:p>
    <w:p w:rsidR="003872FF" w:rsidRPr="00D41D30" w:rsidRDefault="003872FF" w:rsidP="003872FF">
      <w:pPr>
        <w:pStyle w:val="3"/>
        <w:overflowPunct/>
        <w:ind w:left="1360" w:hanging="680"/>
        <w:rPr>
          <w:color w:val="000000" w:themeColor="text1"/>
        </w:rPr>
      </w:pPr>
      <w:bookmarkStart w:id="1579" w:name="_Toc32673807"/>
      <w:bookmarkStart w:id="1580" w:name="_Toc32846686"/>
      <w:bookmarkStart w:id="1581" w:name="_Toc32918592"/>
      <w:bookmarkStart w:id="1582" w:name="_Toc33011878"/>
      <w:bookmarkEnd w:id="1578"/>
      <w:r w:rsidRPr="00D41D30">
        <w:rPr>
          <w:rFonts w:hint="eastAsia"/>
          <w:color w:val="000000" w:themeColor="text1"/>
        </w:rPr>
        <w:t>惟查，現行教育部針對</w:t>
      </w:r>
      <w:r w:rsidRPr="00D41D30">
        <w:rPr>
          <w:rFonts w:hAnsi="標楷體" w:hint="eastAsia"/>
          <w:color w:val="000000" w:themeColor="text1"/>
          <w:szCs w:val="32"/>
        </w:rPr>
        <w:t>高齡自主團體之輔導訪視，係由教育部邀集相關專家學者，以協助各自主學習團執行。105-107年試辦期間，為瞭解各高齡自主團體辦理狀況，且讓執行者掌握高齡自主學習團體運作之精神，依據高齡自主學習團體輔導訪</w:t>
      </w:r>
      <w:r w:rsidRPr="00D41D30">
        <w:rPr>
          <w:rFonts w:hAnsi="標楷體" w:hint="eastAsia"/>
          <w:color w:val="000000" w:themeColor="text1"/>
          <w:szCs w:val="32"/>
        </w:rPr>
        <w:lastRenderedPageBreak/>
        <w:t>視原則第3點略以，每一自主團體於每案執行期，至少接受1次輔導訪視，由該部統一規劃，並請試辦縣市政府協助訪視之實務行政工作，惟過去並未見相對明確之績效評核、退場或回饋機制，於後續如大量辦理或推動下，如何兼顧教育品質及帶領人之實際負荷，相關具體配套措施及發展定位，均亟待後續整體規劃考量。歷年教育部相關自辦</w:t>
      </w:r>
      <w:r w:rsidRPr="00D41D30">
        <w:rPr>
          <w:rFonts w:hint="eastAsia"/>
          <w:color w:val="000000" w:themeColor="text1"/>
        </w:rPr>
        <w:t>訪視情形一覽表如后：</w:t>
      </w:r>
      <w:bookmarkEnd w:id="1579"/>
      <w:bookmarkEnd w:id="1580"/>
      <w:bookmarkEnd w:id="1581"/>
      <w:bookmarkEnd w:id="1582"/>
    </w:p>
    <w:p w:rsidR="003872FF" w:rsidRPr="00D41D30" w:rsidRDefault="003872FF" w:rsidP="003872FF">
      <w:pPr>
        <w:pStyle w:val="a4"/>
        <w:ind w:left="567" w:hanging="567"/>
        <w:jc w:val="center"/>
        <w:rPr>
          <w:b/>
          <w:color w:val="000000" w:themeColor="text1"/>
        </w:rPr>
      </w:pPr>
      <w:r w:rsidRPr="00D41D30">
        <w:rPr>
          <w:rFonts w:hint="eastAsia"/>
          <w:b/>
          <w:color w:val="000000" w:themeColor="text1"/>
        </w:rPr>
        <w:t>106年-107年教育部高齡自主學習團體訪視情形一覽表</w:t>
      </w:r>
    </w:p>
    <w:tbl>
      <w:tblPr>
        <w:tblStyle w:val="13"/>
        <w:tblW w:w="8926" w:type="dxa"/>
        <w:tblLook w:val="04A0" w:firstRow="1" w:lastRow="0" w:firstColumn="1" w:lastColumn="0" w:noHBand="0" w:noVBand="1"/>
      </w:tblPr>
      <w:tblGrid>
        <w:gridCol w:w="988"/>
        <w:gridCol w:w="1134"/>
        <w:gridCol w:w="6804"/>
      </w:tblGrid>
      <w:tr w:rsidR="003872FF" w:rsidRPr="00D41D30" w:rsidTr="003872FF">
        <w:trPr>
          <w:tblHeader/>
        </w:trPr>
        <w:tc>
          <w:tcPr>
            <w:tcW w:w="988" w:type="dxa"/>
            <w:vAlign w:val="center"/>
          </w:tcPr>
          <w:p w:rsidR="003872FF" w:rsidRPr="00D41D30" w:rsidRDefault="003872FF" w:rsidP="003872FF">
            <w:pPr>
              <w:ind w:firstLineChars="9" w:firstLine="25"/>
              <w:jc w:val="center"/>
              <w:rPr>
                <w:rFonts w:hAnsi="標楷體"/>
                <w:b/>
                <w:color w:val="000000" w:themeColor="text1"/>
                <w:sz w:val="26"/>
                <w:szCs w:val="26"/>
              </w:rPr>
            </w:pPr>
            <w:r w:rsidRPr="00D41D30">
              <w:rPr>
                <w:rFonts w:hAnsi="標楷體" w:hint="eastAsia"/>
                <w:b/>
                <w:color w:val="000000" w:themeColor="text1"/>
                <w:sz w:val="26"/>
                <w:szCs w:val="26"/>
              </w:rPr>
              <w:t>年度</w:t>
            </w:r>
          </w:p>
        </w:tc>
        <w:tc>
          <w:tcPr>
            <w:tcW w:w="1134" w:type="dxa"/>
            <w:vAlign w:val="center"/>
          </w:tcPr>
          <w:p w:rsidR="003872FF" w:rsidRPr="00D41D30" w:rsidRDefault="003872FF" w:rsidP="003872FF">
            <w:pPr>
              <w:jc w:val="center"/>
              <w:rPr>
                <w:rFonts w:hAnsi="標楷體"/>
                <w:b/>
                <w:color w:val="000000" w:themeColor="text1"/>
                <w:sz w:val="26"/>
                <w:szCs w:val="26"/>
              </w:rPr>
            </w:pPr>
            <w:r w:rsidRPr="00D41D30">
              <w:rPr>
                <w:rFonts w:hAnsi="標楷體" w:hint="eastAsia"/>
                <w:b/>
                <w:color w:val="000000" w:themeColor="text1"/>
                <w:sz w:val="26"/>
                <w:szCs w:val="26"/>
              </w:rPr>
              <w:t>抽訪數</w:t>
            </w:r>
          </w:p>
        </w:tc>
        <w:tc>
          <w:tcPr>
            <w:tcW w:w="6804" w:type="dxa"/>
          </w:tcPr>
          <w:p w:rsidR="003872FF" w:rsidRPr="00D41D30" w:rsidRDefault="003872FF" w:rsidP="003872FF">
            <w:pPr>
              <w:ind w:firstLineChars="208" w:firstLine="583"/>
              <w:jc w:val="center"/>
              <w:rPr>
                <w:rFonts w:hAnsi="標楷體"/>
                <w:b/>
                <w:color w:val="000000" w:themeColor="text1"/>
                <w:sz w:val="26"/>
                <w:szCs w:val="26"/>
              </w:rPr>
            </w:pPr>
            <w:r w:rsidRPr="00D41D30">
              <w:rPr>
                <w:rFonts w:hAnsi="標楷體" w:hint="eastAsia"/>
                <w:b/>
                <w:color w:val="000000" w:themeColor="text1"/>
                <w:sz w:val="26"/>
                <w:szCs w:val="26"/>
              </w:rPr>
              <w:t>訪視項目</w:t>
            </w:r>
          </w:p>
        </w:tc>
      </w:tr>
      <w:tr w:rsidR="003872FF" w:rsidRPr="00D41D30" w:rsidTr="003872FF">
        <w:trPr>
          <w:trHeight w:val="5186"/>
          <w:tblHeader/>
        </w:trPr>
        <w:tc>
          <w:tcPr>
            <w:tcW w:w="988" w:type="dxa"/>
            <w:vAlign w:val="center"/>
          </w:tcPr>
          <w:p w:rsidR="003872FF" w:rsidRPr="00D41D30" w:rsidRDefault="003872FF" w:rsidP="003872FF">
            <w:pPr>
              <w:ind w:firstLineChars="8" w:firstLine="22"/>
              <w:jc w:val="center"/>
              <w:rPr>
                <w:rFonts w:hAnsi="標楷體"/>
                <w:b/>
                <w:color w:val="000000" w:themeColor="text1"/>
                <w:sz w:val="26"/>
                <w:szCs w:val="26"/>
              </w:rPr>
            </w:pPr>
            <w:r w:rsidRPr="00D41D30">
              <w:rPr>
                <w:rFonts w:hAnsi="標楷體" w:hint="eastAsia"/>
                <w:b/>
                <w:color w:val="000000" w:themeColor="text1"/>
                <w:sz w:val="26"/>
                <w:szCs w:val="26"/>
              </w:rPr>
              <w:t>106</w:t>
            </w:r>
          </w:p>
        </w:tc>
        <w:tc>
          <w:tcPr>
            <w:tcW w:w="1134" w:type="dxa"/>
            <w:vAlign w:val="center"/>
          </w:tcPr>
          <w:p w:rsidR="003872FF" w:rsidRPr="00D41D30" w:rsidRDefault="003872FF" w:rsidP="003872FF">
            <w:pPr>
              <w:ind w:leftChars="-43" w:left="-146" w:firstLineChars="40" w:firstLine="112"/>
              <w:jc w:val="center"/>
              <w:rPr>
                <w:rFonts w:hAnsi="標楷體"/>
                <w:b/>
                <w:color w:val="000000" w:themeColor="text1"/>
                <w:sz w:val="26"/>
                <w:szCs w:val="26"/>
              </w:rPr>
            </w:pPr>
            <w:r w:rsidRPr="00D41D30">
              <w:rPr>
                <w:rFonts w:hAnsi="標楷體" w:hint="eastAsia"/>
                <w:b/>
                <w:color w:val="000000" w:themeColor="text1"/>
                <w:sz w:val="26"/>
                <w:szCs w:val="26"/>
              </w:rPr>
              <w:t>40件</w:t>
            </w:r>
          </w:p>
        </w:tc>
        <w:tc>
          <w:tcPr>
            <w:tcW w:w="6804" w:type="dxa"/>
            <w:vMerge w:val="restart"/>
          </w:tcPr>
          <w:p w:rsidR="003872FF" w:rsidRPr="00D41D30" w:rsidRDefault="003872FF" w:rsidP="003872FF">
            <w:pPr>
              <w:numPr>
                <w:ilvl w:val="0"/>
                <w:numId w:val="16"/>
              </w:numPr>
              <w:overflowPunct/>
              <w:autoSpaceDE/>
              <w:autoSpaceDN/>
              <w:ind w:left="-576" w:firstLineChars="208" w:firstLine="541"/>
              <w:rPr>
                <w:rFonts w:hAnsi="標楷體"/>
                <w:bCs/>
                <w:color w:val="000000" w:themeColor="text1"/>
                <w:sz w:val="24"/>
                <w:szCs w:val="24"/>
              </w:rPr>
            </w:pPr>
            <w:r w:rsidRPr="00D41D30">
              <w:rPr>
                <w:rFonts w:hAnsi="標楷體"/>
                <w:bCs/>
                <w:color w:val="000000" w:themeColor="text1"/>
                <w:sz w:val="24"/>
                <w:szCs w:val="24"/>
              </w:rPr>
              <w:t>組織及成員</w:t>
            </w:r>
          </w:p>
          <w:p w:rsidR="003872FF" w:rsidRPr="00D41D30" w:rsidRDefault="003872FF" w:rsidP="003872FF">
            <w:pPr>
              <w:pStyle w:val="afa"/>
              <w:numPr>
                <w:ilvl w:val="0"/>
                <w:numId w:val="18"/>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組織建立、分工、檔案建立、出席及簽到情形。</w:t>
            </w:r>
          </w:p>
          <w:p w:rsidR="003872FF" w:rsidRPr="00D41D30" w:rsidRDefault="003872FF" w:rsidP="003872FF">
            <w:pPr>
              <w:pStyle w:val="afa"/>
              <w:numPr>
                <w:ilvl w:val="0"/>
                <w:numId w:val="18"/>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參加人數、對象。</w:t>
            </w:r>
          </w:p>
          <w:p w:rsidR="003872FF" w:rsidRPr="00D41D30" w:rsidRDefault="003872FF" w:rsidP="003872FF">
            <w:pPr>
              <w:pStyle w:val="afa"/>
              <w:numPr>
                <w:ilvl w:val="0"/>
                <w:numId w:val="18"/>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與樂齡學習中心或樂齡大學資源及學員重疊情形。</w:t>
            </w:r>
          </w:p>
          <w:p w:rsidR="003872FF" w:rsidRPr="00D41D30" w:rsidRDefault="003872FF" w:rsidP="003872FF">
            <w:pPr>
              <w:numPr>
                <w:ilvl w:val="0"/>
                <w:numId w:val="16"/>
              </w:numPr>
              <w:overflowPunct/>
              <w:autoSpaceDE/>
              <w:autoSpaceDN/>
              <w:ind w:left="-576" w:firstLineChars="208" w:firstLine="541"/>
              <w:rPr>
                <w:rFonts w:hAnsi="標楷體"/>
                <w:bCs/>
                <w:color w:val="000000" w:themeColor="text1"/>
                <w:sz w:val="24"/>
                <w:szCs w:val="24"/>
              </w:rPr>
            </w:pPr>
            <w:r w:rsidRPr="00D41D30">
              <w:rPr>
                <w:rFonts w:hAnsi="標楷體"/>
                <w:bCs/>
                <w:color w:val="000000" w:themeColor="text1"/>
                <w:sz w:val="24"/>
                <w:szCs w:val="24"/>
              </w:rPr>
              <w:t>活動運作</w:t>
            </w:r>
          </w:p>
          <w:p w:rsidR="003872FF" w:rsidRPr="00D41D30" w:rsidRDefault="003872FF" w:rsidP="003872FF">
            <w:pPr>
              <w:pStyle w:val="afa"/>
              <w:numPr>
                <w:ilvl w:val="0"/>
                <w:numId w:val="20"/>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依核定之活動或課程內容辦理情形（包括政策性之相關主題）。</w:t>
            </w:r>
          </w:p>
          <w:p w:rsidR="003872FF" w:rsidRPr="00D41D30" w:rsidRDefault="003872FF" w:rsidP="003872FF">
            <w:pPr>
              <w:pStyle w:val="afa"/>
              <w:numPr>
                <w:ilvl w:val="0"/>
                <w:numId w:val="20"/>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每期總時數、活動次數及每次時數。</w:t>
            </w:r>
          </w:p>
          <w:p w:rsidR="003872FF" w:rsidRPr="00D41D30" w:rsidRDefault="003872FF" w:rsidP="003872FF">
            <w:pPr>
              <w:pStyle w:val="afa"/>
              <w:numPr>
                <w:ilvl w:val="0"/>
                <w:numId w:val="20"/>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自籌經費情形。</w:t>
            </w:r>
          </w:p>
          <w:p w:rsidR="003872FF" w:rsidRPr="00D41D30" w:rsidRDefault="003872FF" w:rsidP="003872FF">
            <w:pPr>
              <w:numPr>
                <w:ilvl w:val="0"/>
                <w:numId w:val="16"/>
              </w:numPr>
              <w:overflowPunct/>
              <w:autoSpaceDE/>
              <w:autoSpaceDN/>
              <w:ind w:leftChars="6" w:left="283" w:hangingChars="101" w:hanging="263"/>
              <w:rPr>
                <w:rFonts w:hAnsi="標楷體"/>
                <w:bCs/>
                <w:color w:val="000000" w:themeColor="text1"/>
                <w:sz w:val="24"/>
                <w:szCs w:val="24"/>
              </w:rPr>
            </w:pPr>
            <w:r w:rsidRPr="00D41D30">
              <w:rPr>
                <w:rFonts w:hAnsi="標楷體"/>
                <w:bCs/>
                <w:color w:val="000000" w:themeColor="text1"/>
                <w:sz w:val="24"/>
                <w:szCs w:val="24"/>
              </w:rPr>
              <w:t>師資或帶領人</w:t>
            </w:r>
            <w:r w:rsidRPr="00D41D30">
              <w:rPr>
                <w:rFonts w:hAnsi="標楷體" w:hint="eastAsia"/>
                <w:bCs/>
                <w:color w:val="000000" w:themeColor="text1"/>
                <w:sz w:val="24"/>
                <w:szCs w:val="24"/>
              </w:rPr>
              <w:t>：</w:t>
            </w:r>
            <w:r w:rsidRPr="00D41D30">
              <w:rPr>
                <w:rFonts w:hAnsi="標楷體"/>
                <w:bCs/>
                <w:color w:val="000000" w:themeColor="text1"/>
                <w:sz w:val="24"/>
                <w:szCs w:val="24"/>
              </w:rPr>
              <w:t>由團體成員擔任，或由通過樂齡教育專業人員培訓者擔任，或聘請專業講師授課之比例。</w:t>
            </w:r>
          </w:p>
          <w:p w:rsidR="003872FF" w:rsidRPr="00D41D30" w:rsidRDefault="003872FF" w:rsidP="003872FF">
            <w:pPr>
              <w:numPr>
                <w:ilvl w:val="0"/>
                <w:numId w:val="16"/>
              </w:numPr>
              <w:overflowPunct/>
              <w:autoSpaceDE/>
              <w:autoSpaceDN/>
              <w:ind w:left="-576" w:firstLineChars="208" w:firstLine="541"/>
              <w:rPr>
                <w:rFonts w:hAnsi="標楷體"/>
                <w:bCs/>
                <w:color w:val="000000" w:themeColor="text1"/>
                <w:sz w:val="24"/>
                <w:szCs w:val="24"/>
              </w:rPr>
            </w:pPr>
            <w:r w:rsidRPr="00D41D30">
              <w:rPr>
                <w:rFonts w:hAnsi="標楷體"/>
                <w:bCs/>
                <w:color w:val="000000" w:themeColor="text1"/>
                <w:sz w:val="24"/>
                <w:szCs w:val="24"/>
              </w:rPr>
              <w:t>場地及資源連結</w:t>
            </w:r>
          </w:p>
          <w:p w:rsidR="003872FF" w:rsidRPr="00D41D30" w:rsidRDefault="003872FF" w:rsidP="003872FF">
            <w:pPr>
              <w:pStyle w:val="afa"/>
              <w:numPr>
                <w:ilvl w:val="0"/>
                <w:numId w:val="17"/>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活動場地來源。</w:t>
            </w:r>
          </w:p>
          <w:p w:rsidR="003872FF" w:rsidRPr="00D41D30" w:rsidRDefault="003872FF" w:rsidP="003872FF">
            <w:pPr>
              <w:pStyle w:val="afa"/>
              <w:numPr>
                <w:ilvl w:val="0"/>
                <w:numId w:val="17"/>
              </w:numPr>
              <w:overflowPunct/>
              <w:autoSpaceDE/>
              <w:autoSpaceDN/>
              <w:ind w:leftChars="0" w:left="448" w:hanging="425"/>
              <w:rPr>
                <w:color w:val="000000" w:themeColor="text1"/>
                <w:sz w:val="24"/>
                <w:szCs w:val="24"/>
              </w:rPr>
            </w:pPr>
            <w:r w:rsidRPr="00D41D30">
              <w:rPr>
                <w:color w:val="000000" w:themeColor="text1"/>
                <w:sz w:val="24"/>
                <w:szCs w:val="24"/>
              </w:rPr>
              <w:t>結合公部門或民間團體資源。</w:t>
            </w:r>
          </w:p>
          <w:p w:rsidR="003872FF" w:rsidRPr="00D41D30" w:rsidRDefault="003872FF" w:rsidP="003872FF">
            <w:pPr>
              <w:numPr>
                <w:ilvl w:val="0"/>
                <w:numId w:val="16"/>
              </w:numPr>
              <w:overflowPunct/>
              <w:autoSpaceDE/>
              <w:autoSpaceDN/>
              <w:ind w:left="-576" w:firstLineChars="208" w:firstLine="541"/>
              <w:rPr>
                <w:rFonts w:hAnsi="標楷體"/>
                <w:bCs/>
                <w:color w:val="000000" w:themeColor="text1"/>
                <w:sz w:val="24"/>
                <w:szCs w:val="24"/>
              </w:rPr>
            </w:pPr>
            <w:r w:rsidRPr="00D41D30">
              <w:rPr>
                <w:rFonts w:hAnsi="標楷體" w:hint="eastAsia"/>
                <w:bCs/>
                <w:color w:val="000000" w:themeColor="text1"/>
                <w:sz w:val="24"/>
                <w:szCs w:val="24"/>
              </w:rPr>
              <w:t>帶領人態度</w:t>
            </w:r>
          </w:p>
          <w:p w:rsidR="003872FF" w:rsidRPr="00D41D30" w:rsidRDefault="003872FF" w:rsidP="003872FF">
            <w:pPr>
              <w:pStyle w:val="afa"/>
              <w:numPr>
                <w:ilvl w:val="0"/>
                <w:numId w:val="19"/>
              </w:numPr>
              <w:overflowPunct/>
              <w:autoSpaceDE/>
              <w:autoSpaceDN/>
              <w:ind w:leftChars="0" w:left="448" w:hanging="425"/>
              <w:rPr>
                <w:rFonts w:hAnsi="標楷體"/>
                <w:bCs/>
                <w:color w:val="000000" w:themeColor="text1"/>
                <w:sz w:val="24"/>
                <w:szCs w:val="24"/>
              </w:rPr>
            </w:pPr>
            <w:r w:rsidRPr="00D41D30">
              <w:rPr>
                <w:rFonts w:hAnsi="標楷體"/>
                <w:bCs/>
                <w:color w:val="000000" w:themeColor="text1"/>
                <w:sz w:val="24"/>
                <w:szCs w:val="24"/>
              </w:rPr>
              <w:t>帶領人對團體發展活動態</w:t>
            </w:r>
            <w:r w:rsidRPr="00D41D30">
              <w:rPr>
                <w:rFonts w:hAnsi="標楷體" w:hint="eastAsia"/>
                <w:bCs/>
                <w:color w:val="000000" w:themeColor="text1"/>
                <w:sz w:val="24"/>
                <w:szCs w:val="24"/>
              </w:rPr>
              <w:t xml:space="preserve">度。 </w:t>
            </w:r>
          </w:p>
          <w:p w:rsidR="003872FF" w:rsidRPr="00D41D30" w:rsidRDefault="003872FF" w:rsidP="003872FF">
            <w:pPr>
              <w:pStyle w:val="afa"/>
              <w:numPr>
                <w:ilvl w:val="0"/>
                <w:numId w:val="19"/>
              </w:numPr>
              <w:overflowPunct/>
              <w:autoSpaceDE/>
              <w:autoSpaceDN/>
              <w:ind w:leftChars="0" w:left="448" w:hanging="425"/>
              <w:rPr>
                <w:rFonts w:hAnsi="標楷體"/>
                <w:color w:val="000000" w:themeColor="text1"/>
                <w:sz w:val="24"/>
                <w:szCs w:val="24"/>
              </w:rPr>
            </w:pPr>
            <w:r w:rsidRPr="00D41D30">
              <w:rPr>
                <w:rFonts w:hAnsi="標楷體"/>
                <w:bCs/>
                <w:color w:val="000000" w:themeColor="text1"/>
                <w:sz w:val="24"/>
                <w:szCs w:val="24"/>
              </w:rPr>
              <w:t>接受輔導改進情形。</w:t>
            </w:r>
          </w:p>
        </w:tc>
      </w:tr>
      <w:tr w:rsidR="003872FF" w:rsidRPr="00D41D30" w:rsidTr="003872FF">
        <w:trPr>
          <w:trHeight w:val="278"/>
          <w:tblHeader/>
        </w:trPr>
        <w:tc>
          <w:tcPr>
            <w:tcW w:w="988" w:type="dxa"/>
            <w:vAlign w:val="center"/>
          </w:tcPr>
          <w:p w:rsidR="003872FF" w:rsidRPr="00D41D30" w:rsidRDefault="003872FF" w:rsidP="003872FF">
            <w:pPr>
              <w:ind w:firstLineChars="8" w:firstLine="22"/>
              <w:jc w:val="center"/>
              <w:rPr>
                <w:rFonts w:hAnsi="標楷體"/>
                <w:b/>
                <w:color w:val="000000" w:themeColor="text1"/>
                <w:sz w:val="26"/>
                <w:szCs w:val="26"/>
              </w:rPr>
            </w:pPr>
            <w:r w:rsidRPr="00D41D30">
              <w:rPr>
                <w:rFonts w:hAnsi="標楷體" w:hint="eastAsia"/>
                <w:b/>
                <w:color w:val="000000" w:themeColor="text1"/>
                <w:sz w:val="26"/>
                <w:szCs w:val="26"/>
              </w:rPr>
              <w:t>107</w:t>
            </w:r>
          </w:p>
        </w:tc>
        <w:tc>
          <w:tcPr>
            <w:tcW w:w="1134" w:type="dxa"/>
            <w:vAlign w:val="center"/>
          </w:tcPr>
          <w:p w:rsidR="003872FF" w:rsidRPr="00D41D30" w:rsidRDefault="003872FF" w:rsidP="003872FF">
            <w:pPr>
              <w:ind w:leftChars="-43" w:left="-146" w:firstLineChars="40" w:firstLine="112"/>
              <w:jc w:val="center"/>
              <w:rPr>
                <w:rFonts w:hAnsi="標楷體"/>
                <w:b/>
                <w:color w:val="000000" w:themeColor="text1"/>
                <w:sz w:val="26"/>
                <w:szCs w:val="26"/>
              </w:rPr>
            </w:pPr>
            <w:r w:rsidRPr="00D41D30">
              <w:rPr>
                <w:rFonts w:hAnsi="標楷體" w:hint="eastAsia"/>
                <w:b/>
                <w:color w:val="000000" w:themeColor="text1"/>
                <w:sz w:val="26"/>
                <w:szCs w:val="26"/>
              </w:rPr>
              <w:t>79件</w:t>
            </w:r>
          </w:p>
        </w:tc>
        <w:tc>
          <w:tcPr>
            <w:tcW w:w="6804" w:type="dxa"/>
            <w:vMerge/>
          </w:tcPr>
          <w:p w:rsidR="003872FF" w:rsidRPr="00D41D30" w:rsidRDefault="003872FF" w:rsidP="003872FF">
            <w:pPr>
              <w:numPr>
                <w:ilvl w:val="0"/>
                <w:numId w:val="16"/>
              </w:numPr>
              <w:overflowPunct/>
              <w:autoSpaceDE/>
              <w:autoSpaceDN/>
              <w:ind w:left="-576" w:firstLineChars="208" w:firstLine="541"/>
              <w:rPr>
                <w:rFonts w:hAnsi="標楷體"/>
                <w:bCs/>
                <w:color w:val="000000" w:themeColor="text1"/>
                <w:sz w:val="24"/>
                <w:szCs w:val="24"/>
              </w:rPr>
            </w:pPr>
          </w:p>
        </w:tc>
      </w:tr>
    </w:tbl>
    <w:p w:rsidR="003872FF" w:rsidRPr="00D41D30" w:rsidRDefault="003872FF" w:rsidP="003872FF">
      <w:pPr>
        <w:pStyle w:val="af8"/>
        <w:kinsoku/>
        <w:overflowPunct/>
        <w:rPr>
          <w:color w:val="000000" w:themeColor="text1"/>
          <w:sz w:val="24"/>
          <w:szCs w:val="24"/>
        </w:rPr>
      </w:pPr>
      <w:r w:rsidRPr="00D41D30">
        <w:rPr>
          <w:rFonts w:hint="eastAsia"/>
          <w:color w:val="000000" w:themeColor="text1"/>
        </w:rPr>
        <w:t xml:space="preserve">　　</w:t>
      </w:r>
      <w:r w:rsidRPr="00D41D30">
        <w:rPr>
          <w:rFonts w:hint="eastAsia"/>
          <w:color w:val="000000" w:themeColor="text1"/>
          <w:sz w:val="24"/>
          <w:szCs w:val="24"/>
        </w:rPr>
        <w:t>資料來源：教育部調卷資料。</w:t>
      </w:r>
    </w:p>
    <w:p w:rsidR="003872FF" w:rsidRPr="00D41D30" w:rsidRDefault="003872FF" w:rsidP="003872FF">
      <w:pPr>
        <w:pStyle w:val="3"/>
        <w:overflowPunct/>
        <w:ind w:left="1360" w:hanging="680"/>
        <w:rPr>
          <w:color w:val="000000" w:themeColor="text1"/>
        </w:rPr>
      </w:pPr>
      <w:bookmarkStart w:id="1583" w:name="_Toc32673808"/>
      <w:bookmarkStart w:id="1584" w:name="_Toc32846687"/>
      <w:bookmarkStart w:id="1585" w:name="_Toc32918593"/>
      <w:bookmarkStart w:id="1586" w:name="_Toc33011879"/>
      <w:r w:rsidRPr="00D41D30">
        <w:rPr>
          <w:rFonts w:hint="eastAsia"/>
          <w:color w:val="000000" w:themeColor="text1"/>
        </w:rPr>
        <w:t>復查，教育部於105-107年計畫試辦期間，各縣市召開輔導交流會，由辦理縣市依縣市排定日程，邀請相關學者參與，相關計畫實施前及期中之相關輔導與建議，應作為後續整體政策規劃之重要參採，摘要如后：</w:t>
      </w:r>
      <w:bookmarkEnd w:id="1583"/>
      <w:bookmarkEnd w:id="1584"/>
      <w:bookmarkEnd w:id="1585"/>
      <w:bookmarkEnd w:id="1586"/>
    </w:p>
    <w:p w:rsidR="003872FF" w:rsidRPr="00D41D30" w:rsidRDefault="003872FF" w:rsidP="003872FF">
      <w:pPr>
        <w:pStyle w:val="4"/>
        <w:rPr>
          <w:color w:val="000000" w:themeColor="text1"/>
        </w:rPr>
      </w:pPr>
      <w:r w:rsidRPr="00D41D30">
        <w:rPr>
          <w:rFonts w:hint="eastAsia"/>
          <w:color w:val="000000" w:themeColor="text1"/>
        </w:rPr>
        <w:t>有關縣政府核銷基準，應釐清，避免承辦學校</w:t>
      </w:r>
      <w:r w:rsidRPr="00D41D30">
        <w:rPr>
          <w:rFonts w:hint="eastAsia"/>
          <w:color w:val="000000" w:themeColor="text1"/>
        </w:rPr>
        <w:lastRenderedPageBreak/>
        <w:t>混淆。</w:t>
      </w:r>
    </w:p>
    <w:p w:rsidR="003872FF" w:rsidRPr="00D41D30" w:rsidRDefault="003872FF" w:rsidP="003872FF">
      <w:pPr>
        <w:pStyle w:val="4"/>
        <w:rPr>
          <w:color w:val="000000" w:themeColor="text1"/>
        </w:rPr>
      </w:pPr>
      <w:r w:rsidRPr="00D41D30">
        <w:rPr>
          <w:rFonts w:hint="eastAsia"/>
          <w:color w:val="000000" w:themeColor="text1"/>
        </w:rPr>
        <w:t>為減低各自主學習團體帶領人因應實際運作自主學習團體時所遭遇之各種困境，建議以工作坊方式辦理進修增能計畫，以提升其知能。另有關經費核銷問題，請各承辦學校依其會計作業核銷方式之不同，於辦理各縣市之帶領人聯繫會議說明，避免各帶領人之困擾，增加申辦本計畫之意願。</w:t>
      </w:r>
    </w:p>
    <w:p w:rsidR="003872FF" w:rsidRPr="00D41D30" w:rsidRDefault="003872FF" w:rsidP="003872FF">
      <w:pPr>
        <w:pStyle w:val="4"/>
        <w:rPr>
          <w:color w:val="000000" w:themeColor="text1"/>
        </w:rPr>
      </w:pPr>
      <w:r w:rsidRPr="00D41D30">
        <w:rPr>
          <w:rFonts w:hint="eastAsia"/>
          <w:color w:val="000000" w:themeColor="text1"/>
        </w:rPr>
        <w:t>部分團體學習內容宜聚焦，學習內容扣緊學習主題。</w:t>
      </w:r>
    </w:p>
    <w:p w:rsidR="003872FF" w:rsidRPr="00D41D30" w:rsidRDefault="003872FF" w:rsidP="003872FF">
      <w:pPr>
        <w:pStyle w:val="4"/>
        <w:rPr>
          <w:color w:val="000000" w:themeColor="text1"/>
        </w:rPr>
      </w:pPr>
      <w:r w:rsidRPr="00D41D30">
        <w:rPr>
          <w:rFonts w:hint="eastAsia"/>
          <w:color w:val="000000" w:themeColor="text1"/>
        </w:rPr>
        <w:t>因活動主題較為專業，僅由帶領人主講，建議進一步了解學員之專長，未來可排入活動計畫，引導學員擔任主要分享者，以達永續經營之目標。</w:t>
      </w:r>
    </w:p>
    <w:p w:rsidR="003872FF" w:rsidRPr="00D41D30" w:rsidRDefault="003872FF" w:rsidP="003872FF">
      <w:pPr>
        <w:pStyle w:val="4"/>
        <w:rPr>
          <w:color w:val="000000" w:themeColor="text1"/>
        </w:rPr>
      </w:pPr>
      <w:r w:rsidRPr="00D41D30">
        <w:rPr>
          <w:rFonts w:hint="eastAsia"/>
          <w:color w:val="000000" w:themeColor="text1"/>
        </w:rPr>
        <w:t>場地設備較為不足。</w:t>
      </w:r>
    </w:p>
    <w:p w:rsidR="003872FF" w:rsidRPr="00D41D30" w:rsidRDefault="003872FF" w:rsidP="003872FF">
      <w:pPr>
        <w:pStyle w:val="4"/>
        <w:rPr>
          <w:color w:val="000000" w:themeColor="text1"/>
        </w:rPr>
      </w:pPr>
      <w:r w:rsidRPr="00D41D30">
        <w:rPr>
          <w:rFonts w:hint="eastAsia"/>
          <w:color w:val="000000" w:themeColor="text1"/>
        </w:rPr>
        <w:t>如何運用主題意涵設計相關學習活動（宜增辦工作坊協助帶領人增能培訓）。</w:t>
      </w:r>
    </w:p>
    <w:p w:rsidR="003872FF" w:rsidRPr="00D41D30" w:rsidRDefault="003872FF" w:rsidP="003872FF">
      <w:pPr>
        <w:pStyle w:val="4"/>
        <w:rPr>
          <w:color w:val="000000" w:themeColor="text1"/>
        </w:rPr>
      </w:pPr>
      <w:r w:rsidRPr="00D41D30">
        <w:rPr>
          <w:rFonts w:hint="eastAsia"/>
          <w:color w:val="000000" w:themeColor="text1"/>
        </w:rPr>
        <w:t>考量部分團體的學習活動可調整收費機制。</w:t>
      </w:r>
    </w:p>
    <w:p w:rsidR="003872FF" w:rsidRPr="00D41D30" w:rsidRDefault="003872FF" w:rsidP="003872FF">
      <w:pPr>
        <w:pStyle w:val="4"/>
        <w:rPr>
          <w:color w:val="000000" w:themeColor="text1"/>
        </w:rPr>
      </w:pPr>
      <w:r w:rsidRPr="00D41D30">
        <w:rPr>
          <w:rFonts w:hint="eastAsia"/>
          <w:color w:val="000000" w:themeColor="text1"/>
        </w:rPr>
        <w:t>上課時間可斟酌調整適合學員生活。</w:t>
      </w:r>
    </w:p>
    <w:p w:rsidR="003872FF" w:rsidRPr="00D41D30" w:rsidRDefault="003872FF" w:rsidP="003872FF">
      <w:pPr>
        <w:pStyle w:val="4"/>
        <w:rPr>
          <w:color w:val="000000" w:themeColor="text1"/>
        </w:rPr>
      </w:pPr>
      <w:r w:rsidRPr="00D41D30">
        <w:rPr>
          <w:rFonts w:hint="eastAsia"/>
          <w:color w:val="000000" w:themeColor="text1"/>
        </w:rPr>
        <w:t>建議規劃辦理系統性增能研習，除協助提升自主團體教學品質與帶領人方案設計能力外，並引導渠等朝取得終身學習專業人員證明書邁進。</w:t>
      </w:r>
    </w:p>
    <w:p w:rsidR="003872FF" w:rsidRPr="00D41D30" w:rsidRDefault="003872FF" w:rsidP="003872FF">
      <w:pPr>
        <w:pStyle w:val="4"/>
        <w:rPr>
          <w:color w:val="000000" w:themeColor="text1"/>
        </w:rPr>
      </w:pPr>
      <w:r w:rsidRPr="00D41D30">
        <w:rPr>
          <w:rFonts w:hint="eastAsia"/>
          <w:color w:val="000000" w:themeColor="text1"/>
        </w:rPr>
        <w:t>滾動式修正高齡自主團體試辦計畫彈性，以增加帶領人申請意願，並規劃相關輔導措施，落實對帶領人之輔導。</w:t>
      </w:r>
    </w:p>
    <w:p w:rsidR="003872FF" w:rsidRPr="00D41D30" w:rsidRDefault="003872FF" w:rsidP="003872FF">
      <w:pPr>
        <w:pStyle w:val="4"/>
        <w:rPr>
          <w:color w:val="000000" w:themeColor="text1"/>
        </w:rPr>
      </w:pPr>
      <w:r w:rsidRPr="00D41D30">
        <w:rPr>
          <w:rFonts w:hint="eastAsia"/>
          <w:color w:val="000000" w:themeColor="text1"/>
        </w:rPr>
        <w:t>建議地方政府協助開發帶領人跨單位及跨局處合作（如結合社區關懷據點、鄉鎮區公所、老人活動中心等相關衛福及社政單位），整合資源推動。</w:t>
      </w:r>
    </w:p>
    <w:p w:rsidR="003872FF" w:rsidRPr="00D41D30" w:rsidRDefault="003872FF" w:rsidP="003872FF">
      <w:pPr>
        <w:pStyle w:val="3"/>
        <w:rPr>
          <w:color w:val="000000" w:themeColor="text1"/>
        </w:rPr>
      </w:pPr>
      <w:bookmarkStart w:id="1587" w:name="_Toc32673809"/>
      <w:bookmarkStart w:id="1588" w:name="_Toc32846688"/>
      <w:bookmarkStart w:id="1589" w:name="_Toc32918594"/>
      <w:bookmarkStart w:id="1590" w:name="_Toc33011880"/>
      <w:r w:rsidRPr="00D41D30">
        <w:rPr>
          <w:rFonts w:hint="eastAsia"/>
          <w:color w:val="000000" w:themeColor="text1"/>
        </w:rPr>
        <w:lastRenderedPageBreak/>
        <w:t>上述意見針對整體樂齡自主學習團體之辦理措施均有實務性建議，應由教育部積極正視因應。又本院於履勘及邀請專家學者、自主學習團體帶領人之座談針對經費之意見指稱</w:t>
      </w:r>
      <w:r w:rsidRPr="00D41D30">
        <w:rPr>
          <w:rFonts w:hAnsi="標楷體" w:hint="eastAsia"/>
          <w:color w:val="000000" w:themeColor="text1"/>
        </w:rPr>
        <w:t>「若高齡自主團體要持續性的發展，要常態性的補助。且認為若是以協會或某些團隊來執行，課程內容與執行方式則會受到限制」等；其他如專業</w:t>
      </w:r>
      <w:r w:rsidRPr="00D41D30">
        <w:rPr>
          <w:rFonts w:hint="eastAsia"/>
          <w:color w:val="000000" w:themeColor="text1"/>
        </w:rPr>
        <w:t>意見復指出，「成人教育中有一個叫做自我導向學習，我們希望最後學習者能夠自己自主自發的成立學習社團，這也是為什麼樂齡大學、社區大學也都有自主學習團體，教育部非常好心培訓，在學理上方向是對的，就是將來有興趣，就可組成團體，不需要國家給錢，目前是初步階段，所以需要國家培訓一群人協助，就有點像是讀書會帶領人概念，目前比較期待提升樂齡中心講師素質及自主團體，但最後我們都是期待長輩可以受益，是不一樣的發展歷程」及「</w:t>
      </w:r>
      <w:r w:rsidRPr="00D41D30">
        <w:rPr>
          <w:rFonts w:hAnsi="標楷體" w:hint="eastAsia"/>
          <w:color w:val="000000" w:themeColor="text1"/>
        </w:rPr>
        <w:t>現在我們的中心是缺乏一些基本的架構，有些學校其實是不想辦，但是因為我們的行政力量要求他們辦，校長接了就交給主任，主任明年又換了別人，校長走了就說不辦了就換學校了，所以建請政府應該把一些社政單位、衛生單位、教育單位找一個固定的場所跟人員，讓他們變成就像我們在國外看到的高齡者中心，不會因為人事的異動或換場地就不知道去哪裡參加，對終身學習是一種阻礙，所以我們希望有一個機構是長期設計，現在讓這些機構去拓點是有點困難的，人已經很不足了，還要到別處去累積拓點，到最後人也不足、經費不足，所以就應該用自主學習社團……</w:t>
      </w:r>
      <w:r w:rsidRPr="00D41D30">
        <w:rPr>
          <w:rFonts w:hint="eastAsia"/>
          <w:color w:val="000000" w:themeColor="text1"/>
        </w:rPr>
        <w:t>」等語，均顯示各項高齡教育措施之互補性及整體政策連結性，未來尚待教</w:t>
      </w:r>
      <w:r w:rsidRPr="00D41D30">
        <w:rPr>
          <w:rFonts w:hint="eastAsia"/>
          <w:color w:val="000000" w:themeColor="text1"/>
        </w:rPr>
        <w:lastRenderedPageBreak/>
        <w:t>育部積極因應研議，以期發展更多元</w:t>
      </w:r>
      <w:r w:rsidRPr="00D41D30">
        <w:rPr>
          <w:rFonts w:hAnsi="標楷體" w:hint="eastAsia"/>
          <w:color w:val="000000" w:themeColor="text1"/>
        </w:rPr>
        <w:t>、</w:t>
      </w:r>
      <w:r w:rsidRPr="00D41D30">
        <w:rPr>
          <w:rFonts w:hint="eastAsia"/>
          <w:color w:val="000000" w:themeColor="text1"/>
        </w:rPr>
        <w:t>自主而優質之高齡者教育機會，落實高齡者自我學習、自我成長及自我實現之能力。</w:t>
      </w:r>
      <w:bookmarkEnd w:id="1587"/>
      <w:bookmarkEnd w:id="1588"/>
      <w:bookmarkEnd w:id="1589"/>
      <w:bookmarkEnd w:id="1590"/>
    </w:p>
    <w:p w:rsidR="003872FF" w:rsidRPr="00D41D30" w:rsidRDefault="003872FF" w:rsidP="003872FF">
      <w:pPr>
        <w:pStyle w:val="3"/>
        <w:overflowPunct/>
        <w:ind w:left="1360" w:hanging="680"/>
        <w:rPr>
          <w:color w:val="000000" w:themeColor="text1"/>
        </w:rPr>
      </w:pPr>
      <w:bookmarkStart w:id="1591" w:name="_Toc32673810"/>
      <w:bookmarkStart w:id="1592" w:name="_Toc32846689"/>
      <w:bookmarkStart w:id="1593" w:name="_Toc32918595"/>
      <w:bookmarkStart w:id="1594" w:name="_Toc33011881"/>
      <w:r w:rsidRPr="00D41D30">
        <w:rPr>
          <w:rFonts w:hint="eastAsia"/>
          <w:color w:val="000000" w:themeColor="text1"/>
        </w:rPr>
        <w:t>又依據本院108年9月9日專家諮詢會議相關意見指稱，</w:t>
      </w:r>
      <w:r w:rsidRPr="00D41D30">
        <w:rPr>
          <w:rFonts w:hAnsi="標楷體" w:hint="eastAsia"/>
          <w:color w:val="000000" w:themeColor="text1"/>
        </w:rPr>
        <w:t>「</w:t>
      </w:r>
      <w:r w:rsidRPr="00D41D30">
        <w:rPr>
          <w:rFonts w:ascii="Times New Roman" w:hAnsi="Times New Roman" w:hint="eastAsia"/>
          <w:color w:val="000000" w:themeColor="text1"/>
          <w:kern w:val="0"/>
          <w:szCs w:val="32"/>
        </w:rPr>
        <w:t>高齡自主學習團體為最能符應學習者的學習需求，以英國為例，該國並無機構式的學習中心，而係以自主學習團體為推行主體，可做為我國推展高齡學習的借鏡。而我國目前在樂齡學習中心的設置，採</w:t>
      </w:r>
      <w:r w:rsidRPr="00D41D30">
        <w:rPr>
          <w:rFonts w:hAnsi="標楷體" w:hint="eastAsia"/>
          <w:color w:val="000000" w:themeColor="text1"/>
          <w:kern w:val="0"/>
          <w:szCs w:val="32"/>
        </w:rPr>
        <w:t>『</w:t>
      </w:r>
      <w:r w:rsidRPr="00D41D30">
        <w:rPr>
          <w:rFonts w:ascii="Times New Roman" w:hAnsi="Times New Roman" w:hint="eastAsia"/>
          <w:color w:val="000000" w:themeColor="text1"/>
          <w:kern w:val="0"/>
          <w:szCs w:val="32"/>
        </w:rPr>
        <w:t>一鄉鎮區一樂齡</w:t>
      </w:r>
      <w:r w:rsidRPr="00D41D30">
        <w:rPr>
          <w:rFonts w:hAnsi="標楷體" w:hint="eastAsia"/>
          <w:color w:val="000000" w:themeColor="text1"/>
          <w:kern w:val="0"/>
          <w:szCs w:val="32"/>
        </w:rPr>
        <w:t>』</w:t>
      </w:r>
      <w:r w:rsidRPr="00D41D30">
        <w:rPr>
          <w:rFonts w:ascii="Times New Roman" w:hAnsi="Times New Roman" w:hint="eastAsia"/>
          <w:color w:val="000000" w:themeColor="text1"/>
          <w:kern w:val="0"/>
          <w:szCs w:val="32"/>
        </w:rPr>
        <w:t>的政策，因地區太廣或人口眾多，並不能滿足地區高齡人口的學習需求，形成資源為經濟優勢、資訊充足者所享用，不利於偏鄉弱勢者，故衡諸當前社會實況，偏遠及社會基層老人學習機會的提供，最宜強化</w:t>
      </w:r>
      <w:r w:rsidRPr="00D41D30">
        <w:rPr>
          <w:rFonts w:hAnsi="標楷體" w:hint="eastAsia"/>
          <w:color w:val="000000" w:themeColor="text1"/>
        </w:rPr>
        <w:t>」及「</w:t>
      </w:r>
      <w:r w:rsidRPr="00D41D30">
        <w:rPr>
          <w:rFonts w:hAnsi="標楷體" w:hint="eastAsia"/>
          <w:color w:val="000000" w:themeColor="text1"/>
          <w:szCs w:val="32"/>
        </w:rPr>
        <w:t>主張高齡自主學習團體，可惜試驗3年沒有延續，應該要續辦，續辦後亦應思考教育資源分配問題，以免造成不公平的現象</w:t>
      </w:r>
      <w:r w:rsidRPr="00D41D30">
        <w:rPr>
          <w:rFonts w:hAnsi="標楷體" w:hint="eastAsia"/>
          <w:color w:val="000000" w:themeColor="text1"/>
        </w:rPr>
        <w:t>」等語。另</w:t>
      </w:r>
      <w:r w:rsidRPr="00D41D30">
        <w:rPr>
          <w:rFonts w:hint="eastAsia"/>
          <w:color w:val="000000" w:themeColor="text1"/>
        </w:rPr>
        <w:t>，參考106年教育部公務出國歐洲地區</w:t>
      </w:r>
      <w:r w:rsidRPr="00D41D30">
        <w:rPr>
          <w:rFonts w:hAnsi="標楷體" w:hint="eastAsia"/>
          <w:color w:val="000000" w:themeColor="text1"/>
          <w:kern w:val="0"/>
          <w:szCs w:val="32"/>
        </w:rPr>
        <w:t>（</w:t>
      </w:r>
      <w:r w:rsidRPr="00D41D30">
        <w:rPr>
          <w:rFonts w:hint="eastAsia"/>
          <w:color w:val="000000" w:themeColor="text1"/>
        </w:rPr>
        <w:t>瑞典</w:t>
      </w:r>
      <w:r w:rsidRPr="00D41D30">
        <w:rPr>
          <w:rFonts w:hAnsi="標楷體" w:hint="eastAsia"/>
          <w:color w:val="000000" w:themeColor="text1"/>
          <w:kern w:val="0"/>
          <w:szCs w:val="32"/>
        </w:rPr>
        <w:t>）</w:t>
      </w:r>
      <w:r w:rsidRPr="00D41D30">
        <w:rPr>
          <w:rFonts w:hint="eastAsia"/>
          <w:color w:val="000000" w:themeColor="text1"/>
        </w:rPr>
        <w:t>有關高齡自主學習團體運作方式之考察報告略以</w:t>
      </w:r>
      <w:r w:rsidRPr="00D41D30">
        <w:rPr>
          <w:rStyle w:val="aff0"/>
          <w:color w:val="000000" w:themeColor="text1"/>
        </w:rPr>
        <w:footnoteReference w:id="41"/>
      </w:r>
      <w:r w:rsidRPr="00D41D30">
        <w:rPr>
          <w:rFonts w:hAnsi="標楷體" w:hint="eastAsia"/>
          <w:color w:val="000000" w:themeColor="text1"/>
        </w:rPr>
        <w:t>，「</w:t>
      </w:r>
      <w:r w:rsidRPr="00D41D30">
        <w:rPr>
          <w:rFonts w:hint="eastAsia"/>
          <w:color w:val="000000" w:themeColor="text1"/>
        </w:rPr>
        <w:t>瑞典讀書會為學習者自主自助取向方式，由學習者自主組成團體，進行多元課程規劃事宜，師資來源亦由團體成員擔任，經由少部分預算支持讓受益人口眾多。考量我國現階段高齡教育方式為機構取向學習方式，凡招生、課程、教學、師資、行政及經費等，概由機構決定及負責……</w:t>
      </w:r>
      <w:r w:rsidRPr="00D41D30">
        <w:rPr>
          <w:rFonts w:hAnsi="標楷體" w:hint="eastAsia"/>
          <w:color w:val="000000" w:themeColor="text1"/>
        </w:rPr>
        <w:t>」等語，殊值教育部併予檢討、參採評估。</w:t>
      </w:r>
      <w:bookmarkEnd w:id="1591"/>
      <w:bookmarkEnd w:id="1592"/>
      <w:bookmarkEnd w:id="1593"/>
      <w:bookmarkEnd w:id="1594"/>
    </w:p>
    <w:p w:rsidR="003872FF" w:rsidRPr="00D41D30" w:rsidRDefault="003872FF" w:rsidP="003872FF">
      <w:pPr>
        <w:pStyle w:val="3"/>
        <w:rPr>
          <w:rFonts w:hAnsi="標楷體"/>
          <w:color w:val="000000" w:themeColor="text1"/>
        </w:rPr>
      </w:pPr>
      <w:bookmarkStart w:id="1595" w:name="_Toc32918596"/>
      <w:bookmarkStart w:id="1596" w:name="_Toc33011882"/>
      <w:r w:rsidRPr="00D41D30">
        <w:rPr>
          <w:rFonts w:hint="eastAsia"/>
          <w:color w:val="000000" w:themeColor="text1"/>
        </w:rPr>
        <w:t>此外，針對高齡自主學習團相關經費試等辦情形，教育部於本院調查期間亦逐步檢討研議，該</w:t>
      </w:r>
      <w:r w:rsidRPr="00D41D30">
        <w:rPr>
          <w:rFonts w:hint="eastAsia"/>
          <w:color w:val="000000" w:themeColor="text1"/>
        </w:rPr>
        <w:lastRenderedPageBreak/>
        <w:t>部主管人員於本院約詢會議指稱，</w:t>
      </w:r>
      <w:r w:rsidRPr="00D41D30">
        <w:rPr>
          <w:rFonts w:hAnsi="標楷體" w:hint="eastAsia"/>
          <w:color w:val="000000" w:themeColor="text1"/>
        </w:rPr>
        <w:t>「高齡自主學習團體僅有訪視輔導委員，並無輔導團，而係由審查該團體計畫的委員實地進行輔導，原則上多為</w:t>
      </w:r>
      <w:r w:rsidRPr="00D41D30">
        <w:rPr>
          <w:rFonts w:hAnsi="標楷體"/>
          <w:color w:val="000000" w:themeColor="text1"/>
        </w:rPr>
        <w:t>1</w:t>
      </w:r>
      <w:r w:rsidRPr="00D41D30">
        <w:rPr>
          <w:rFonts w:hAnsi="標楷體" w:hint="eastAsia"/>
          <w:color w:val="000000" w:themeColor="text1"/>
        </w:rPr>
        <w:t>次，藉此穩固帶領人之實務經營與運作品質，國內此作法乃係參考法國、英國經驗，但我國並非若該兩國是使用者付費，而係採政府補助，明年起最高補助</w:t>
      </w:r>
      <w:r w:rsidRPr="00D41D30">
        <w:rPr>
          <w:rFonts w:hAnsi="標楷體"/>
          <w:color w:val="000000" w:themeColor="text1"/>
        </w:rPr>
        <w:t>6</w:t>
      </w:r>
      <w:r w:rsidRPr="00D41D30">
        <w:rPr>
          <w:rFonts w:hAnsi="標楷體" w:hint="eastAsia"/>
          <w:color w:val="000000" w:themeColor="text1"/>
        </w:rPr>
        <w:t>萬元。本部已於</w:t>
      </w:r>
      <w:r w:rsidRPr="00D41D30">
        <w:rPr>
          <w:rFonts w:hAnsi="標楷體"/>
          <w:color w:val="000000" w:themeColor="text1"/>
        </w:rPr>
        <w:t>108</w:t>
      </w:r>
      <w:r w:rsidRPr="00D41D30">
        <w:rPr>
          <w:rFonts w:hAnsi="標楷體" w:hint="eastAsia"/>
          <w:color w:val="000000" w:themeColor="text1"/>
        </w:rPr>
        <w:t>年</w:t>
      </w:r>
      <w:r w:rsidRPr="00D41D30">
        <w:rPr>
          <w:rFonts w:hAnsi="標楷體"/>
          <w:color w:val="000000" w:themeColor="text1"/>
        </w:rPr>
        <w:t>5</w:t>
      </w:r>
      <w:r w:rsidRPr="00D41D30">
        <w:rPr>
          <w:rFonts w:hAnsi="標楷體" w:hint="eastAsia"/>
          <w:color w:val="000000" w:themeColor="text1"/>
        </w:rPr>
        <w:t>月</w:t>
      </w:r>
      <w:r w:rsidRPr="00D41D30">
        <w:rPr>
          <w:rFonts w:hAnsi="標楷體"/>
          <w:color w:val="000000" w:themeColor="text1"/>
        </w:rPr>
        <w:t>30</w:t>
      </w:r>
      <w:r w:rsidRPr="00D41D30">
        <w:rPr>
          <w:rFonts w:hAnsi="標楷體" w:hint="eastAsia"/>
          <w:color w:val="000000" w:themeColor="text1"/>
        </w:rPr>
        <w:t>日函請相關單位協助高齡自主學習團體場地借用及優免事宜。並於</w:t>
      </w:r>
      <w:r w:rsidRPr="00D41D30">
        <w:rPr>
          <w:rFonts w:hAnsi="標楷體"/>
          <w:color w:val="000000" w:themeColor="text1"/>
        </w:rPr>
        <w:t>109</w:t>
      </w:r>
      <w:r w:rsidRPr="00D41D30">
        <w:rPr>
          <w:rFonts w:hAnsi="標楷體" w:hint="eastAsia"/>
          <w:color w:val="000000" w:themeColor="text1"/>
        </w:rPr>
        <w:t>年實施計畫明定主辦縣市應輔導或協助自主團體租用場地、設施與設備或其他相關事項。</w:t>
      </w:r>
      <w:r w:rsidRPr="00D41D30">
        <w:rPr>
          <w:rFonts w:hAnsi="標楷體"/>
          <w:color w:val="000000" w:themeColor="text1"/>
        </w:rPr>
        <w:t>108</w:t>
      </w:r>
      <w:r w:rsidRPr="00D41D30">
        <w:rPr>
          <w:rFonts w:hAnsi="標楷體" w:hint="eastAsia"/>
          <w:color w:val="000000" w:themeColor="text1"/>
        </w:rPr>
        <w:t>年、</w:t>
      </w:r>
      <w:r w:rsidRPr="00D41D30">
        <w:rPr>
          <w:rFonts w:hAnsi="標楷體"/>
          <w:color w:val="000000" w:themeColor="text1"/>
        </w:rPr>
        <w:t>109</w:t>
      </w:r>
      <w:r w:rsidRPr="00D41D30">
        <w:rPr>
          <w:rFonts w:hAnsi="標楷體" w:hint="eastAsia"/>
          <w:color w:val="000000" w:themeColor="text1"/>
        </w:rPr>
        <w:t>年為高齡自主學習團的轉型期，本部將透過與各地方政府協商，希望未來自主學習團能擴展普及到22個縣市」及「本部推動樂齡教育，社區講師鐘點費為500元，外聘講師800元、具大學教師資格1</w:t>
      </w:r>
      <w:r w:rsidRPr="00D41D30">
        <w:rPr>
          <w:rFonts w:hAnsi="標楷體"/>
          <w:color w:val="000000" w:themeColor="text1"/>
        </w:rPr>
        <w:t>,</w:t>
      </w:r>
      <w:r w:rsidRPr="00D41D30">
        <w:rPr>
          <w:rFonts w:hAnsi="標楷體" w:hint="eastAsia"/>
          <w:color w:val="000000" w:themeColor="text1"/>
        </w:rPr>
        <w:t>200元，以上鐘點費均為上限，有些中心考量成本會再壓低；聽聞衛福部長照據點鐘點費2</w:t>
      </w:r>
      <w:r w:rsidRPr="00D41D30">
        <w:rPr>
          <w:rFonts w:hAnsi="標楷體"/>
          <w:color w:val="000000" w:themeColor="text1"/>
        </w:rPr>
        <w:t>,</w:t>
      </w:r>
      <w:r w:rsidRPr="00D41D30">
        <w:rPr>
          <w:rFonts w:hAnsi="標楷體" w:hint="eastAsia"/>
          <w:color w:val="000000" w:themeColor="text1"/>
        </w:rPr>
        <w:t>000元，導致樂齡據點講師對於鐘點費有所抱怨……」等語，經詢衛福部人員則稱，「社區關懷據點的預防延緩失能的講師鐘點費為1</w:t>
      </w:r>
      <w:r w:rsidRPr="00D41D30">
        <w:rPr>
          <w:rFonts w:hAnsi="標楷體"/>
          <w:color w:val="000000" w:themeColor="text1"/>
        </w:rPr>
        <w:t>,</w:t>
      </w:r>
      <w:r w:rsidRPr="00D41D30">
        <w:rPr>
          <w:rFonts w:hAnsi="標楷體" w:hint="eastAsia"/>
          <w:color w:val="000000" w:themeColor="text1"/>
        </w:rPr>
        <w:t>200元，協助者是500元。而目前本部</w:t>
      </w:r>
      <w:r w:rsidRPr="00D41D30">
        <w:rPr>
          <w:rFonts w:hAnsi="標楷體"/>
          <w:color w:val="000000" w:themeColor="text1"/>
        </w:rPr>
        <w:t>C級巷弄長照站</w:t>
      </w:r>
      <w:r w:rsidRPr="00D41D30">
        <w:rPr>
          <w:rFonts w:hAnsi="標楷體" w:hint="eastAsia"/>
          <w:color w:val="000000" w:themeColor="text1"/>
        </w:rPr>
        <w:t>或可與教育部合作……」等語，顯示後續教育部應賡續檢討推動，以協助其正向推展。</w:t>
      </w:r>
      <w:bookmarkEnd w:id="1595"/>
      <w:bookmarkEnd w:id="1596"/>
    </w:p>
    <w:p w:rsidR="003872FF" w:rsidRPr="00D41D30" w:rsidRDefault="003872FF" w:rsidP="003872FF">
      <w:pPr>
        <w:pStyle w:val="3"/>
        <w:rPr>
          <w:color w:val="000000" w:themeColor="text1"/>
        </w:rPr>
      </w:pPr>
      <w:bookmarkStart w:id="1597" w:name="_Toc32673811"/>
      <w:bookmarkStart w:id="1598" w:name="_Toc32846690"/>
      <w:bookmarkStart w:id="1599" w:name="_Toc32918597"/>
      <w:bookmarkStart w:id="1600" w:name="_Toc33011883"/>
      <w:r w:rsidRPr="00D41D30">
        <w:rPr>
          <w:rFonts w:hint="eastAsia"/>
          <w:color w:val="000000" w:themeColor="text1"/>
        </w:rPr>
        <w:t>綜上論述，為提供高齡者多元學習需求，我國高齡者終身教育之模式除過去機構式的樂齡學習中心及樂齡大學之外，教育部於101年發行「樂齡自主學習團體實用手冊」，為提升樂齡教育師資及工作人員之專業，102年實施分級樂齡教育師資及各類工作人員培訓計畫，於104年首創以新型態高齡者學習自主自助取向方式辦理「推動</w:t>
      </w:r>
      <w:r w:rsidRPr="00D41D30">
        <w:rPr>
          <w:rFonts w:hint="eastAsia"/>
          <w:color w:val="000000" w:themeColor="text1"/>
        </w:rPr>
        <w:lastRenderedPageBreak/>
        <w:t>高齡自主學習團體終身學習活動試辦計畫」，105年至107年總計培訓491位高齡自主學習團體帶領人，補助348個自主學習團體深入社區或偏遠地區，108年則為轉型期，後續尚待全盤檢討研議及整體性政策規劃；本院於實際履勘及座談會議之自主學習團體帶領人經驗分享及意見顯示，民間高齡教育之能量活躍且日新月異，在地化發展有助於推動個別化學習模式，惟我國高齡自主學習團之政策內涵亦與國外先進國家經驗殊異，多數團體成員自主運作、互助性質有待強化；又計畫後續整體配套措施及具體成效評估機制均未完整，況本院調查過程中，部分自主學習團帶領人所指相關整合或經費等實務辦理困境，均待教育部併予積極檢討規劃，以共享樂齡自主學習經驗，建立支持網絡，落實高齡者自我學習、自我成長及自我實現之能力。</w:t>
      </w:r>
      <w:bookmarkEnd w:id="1597"/>
      <w:bookmarkEnd w:id="1598"/>
      <w:bookmarkEnd w:id="1599"/>
      <w:bookmarkEnd w:id="1600"/>
      <w:r w:rsidRPr="00D41D30">
        <w:rPr>
          <w:rFonts w:hint="eastAsia"/>
          <w:color w:val="000000" w:themeColor="text1"/>
        </w:rPr>
        <w:t>綜觀教育部目前對高齡教育之推動，以三種模式進行，三者間經費的分配懸殊，其中樂齡學習中心約佔1億多元，樂齡大學佔3至4千萬元，而高齡自主學習團體僅為數百萬元。請教育部就三類教育型態之經費分配，允宜覈實考量，以符實況。</w:t>
      </w:r>
    </w:p>
    <w:p w:rsidR="003872FF" w:rsidRPr="00D41D30" w:rsidRDefault="003872FF" w:rsidP="00D41D30">
      <w:pPr>
        <w:pStyle w:val="2"/>
        <w:spacing w:beforeLines="100" w:before="457"/>
        <w:ind w:left="1020" w:hanging="680"/>
        <w:rPr>
          <w:rFonts w:ascii="Arial" w:cs="Arial"/>
          <w:b/>
          <w:color w:val="000000" w:themeColor="text1"/>
        </w:rPr>
      </w:pPr>
      <w:bookmarkStart w:id="1601" w:name="_Toc33011884"/>
      <w:r w:rsidRPr="00D41D30">
        <w:rPr>
          <w:rFonts w:ascii="Arial" w:cs="Arial" w:hint="eastAsia"/>
          <w:b/>
          <w:color w:val="000000" w:themeColor="text1"/>
        </w:rPr>
        <w:t>國家教育研究院以長期從事整體性、系統教育研究，促進國家教育之永續發展為宗旨，自</w:t>
      </w:r>
      <w:r w:rsidRPr="00D41D30">
        <w:rPr>
          <w:rFonts w:hAnsi="標楷體" w:cs="Arial" w:hint="eastAsia"/>
          <w:b/>
          <w:color w:val="000000" w:themeColor="text1"/>
        </w:rPr>
        <w:t>100年成立以來應致力於長期、系統性蒐集與整合各類實徵性教育資料，持續整合並長期投入重要教育政策研究與課程測評研發；惟我國已於1993年成為高齡化社會，2018年轉為高齡社會，且依國家發展委員會推估，將於2026</w:t>
      </w:r>
      <w:r w:rsidRPr="00D41D30">
        <w:rPr>
          <w:rFonts w:ascii="Arial" w:cs="Arial" w:hint="eastAsia"/>
          <w:b/>
          <w:color w:val="000000" w:themeColor="text1"/>
        </w:rPr>
        <w:t>年邁入超高齡社會，未來相關重要教育政策及措施極具挑戰，有待前瞻性策略及國家</w:t>
      </w:r>
      <w:r w:rsidRPr="00D41D30">
        <w:rPr>
          <w:rFonts w:ascii="Arial" w:cs="Arial" w:hint="eastAsia"/>
          <w:b/>
          <w:color w:val="000000" w:themeColor="text1"/>
        </w:rPr>
        <w:lastRenderedPageBreak/>
        <w:t>整體政策引導催化，而國家教育研究院顯未發揮最高教育研究機構之專業角色，過往多數研究僅跟隨教育部政策，且研究重點偏重十二年國民基本教育課程綱要等現行教育政策研究，長期針對高齡教育之實證研究付之闕如，該院身為教育研究單位，實應強化研究功能，提供政策建言，俾予我國整體高齡教育政策明確定位，教育部亦應針對國家教育研究院之功能及定位進行整體檢討研議，以強化教育制度、教育需求評估、教育決策資訊及專業諮詢之能力，促進國家教育之永續發展</w:t>
      </w:r>
      <w:bookmarkEnd w:id="1601"/>
    </w:p>
    <w:p w:rsidR="003872FF" w:rsidRPr="00D41D30" w:rsidRDefault="003872FF" w:rsidP="003872FF">
      <w:pPr>
        <w:pStyle w:val="3"/>
        <w:rPr>
          <w:color w:val="000000" w:themeColor="text1"/>
        </w:rPr>
      </w:pPr>
      <w:bookmarkStart w:id="1602" w:name="_Toc30581326"/>
      <w:bookmarkStart w:id="1603" w:name="_Toc32392607"/>
      <w:bookmarkStart w:id="1604" w:name="_Toc32673813"/>
      <w:bookmarkStart w:id="1605" w:name="_Toc32846692"/>
      <w:bookmarkStart w:id="1606" w:name="_Toc32918599"/>
      <w:bookmarkStart w:id="1607" w:name="_Toc33011885"/>
      <w:bookmarkStart w:id="1608" w:name="_Toc30512618"/>
      <w:r w:rsidRPr="00D41D30">
        <w:rPr>
          <w:rFonts w:hint="eastAsia"/>
          <w:color w:val="000000" w:themeColor="text1"/>
        </w:rPr>
        <w:t>教育部為長期從事整體性、系統性之教育研究，促進國家教育之永續發展，特設國家教育研究院，此為該院組織法第1條所明定。又同法第2點指出國家教育研究院掌理：1、教育制度、教育政策及教育問題之研究。2、教育決策資訊及專業諮詢之提供。3、教育需求評估及教育政策意見之調查。……。又依據國家教育研究院處務規程第4條、第5條規定略以：「該院設有1、教育制度及政策研究中心……。」、「教育制度及政策研究中心掌理事項如下：1、各級教育制度、政策及問題之研究。2、鄉土及多元文化教育之研究。3、教育政策意見之調查及分析。4、教育決策資訊及專業諮詢之提供。5、教育指標之研究。6、教育需求評估之研究。7、各國教育制度及政策比較之研究。8、其他有關教育制度及政策研究事項。」足見該院擔負國家教育整體政策研究之重責大任。</w:t>
      </w:r>
      <w:bookmarkEnd w:id="1602"/>
      <w:bookmarkEnd w:id="1603"/>
      <w:bookmarkEnd w:id="1604"/>
      <w:bookmarkEnd w:id="1605"/>
      <w:bookmarkEnd w:id="1606"/>
      <w:bookmarkEnd w:id="1607"/>
    </w:p>
    <w:p w:rsidR="003872FF" w:rsidRPr="00D41D30" w:rsidRDefault="003872FF" w:rsidP="003872FF">
      <w:pPr>
        <w:pStyle w:val="3"/>
        <w:rPr>
          <w:rFonts w:ascii="Verdana" w:hAnsi="Verdana"/>
          <w:color w:val="000000" w:themeColor="text1"/>
          <w:szCs w:val="32"/>
        </w:rPr>
      </w:pPr>
      <w:bookmarkStart w:id="1609" w:name="_Toc30581327"/>
      <w:bookmarkStart w:id="1610" w:name="_Toc32392608"/>
      <w:bookmarkStart w:id="1611" w:name="_Toc32673814"/>
      <w:bookmarkStart w:id="1612" w:name="_Toc32846693"/>
      <w:bookmarkStart w:id="1613" w:name="_Toc32918600"/>
      <w:bookmarkStart w:id="1614" w:name="_Toc33011886"/>
      <w:r w:rsidRPr="00D41D30">
        <w:rPr>
          <w:rFonts w:hint="eastAsia"/>
          <w:color w:val="000000" w:themeColor="text1"/>
        </w:rPr>
        <w:t>查國家教育研究院</w:t>
      </w:r>
      <w:r w:rsidRPr="00D41D30">
        <w:rPr>
          <w:rFonts w:hAnsi="標楷體" w:hint="eastAsia"/>
          <w:color w:val="000000" w:themeColor="text1"/>
        </w:rPr>
        <w:t>（下稱國教院）</w:t>
      </w:r>
      <w:r w:rsidRPr="00D41D30">
        <w:rPr>
          <w:rFonts w:hint="eastAsia"/>
          <w:color w:val="000000" w:themeColor="text1"/>
        </w:rPr>
        <w:t>教育制度與政</w:t>
      </w:r>
      <w:r w:rsidRPr="00D41D30">
        <w:rPr>
          <w:rFonts w:hint="eastAsia"/>
          <w:color w:val="000000" w:themeColor="text1"/>
        </w:rPr>
        <w:lastRenderedPageBreak/>
        <w:t>策研究中心主要業務重點，略以</w:t>
      </w:r>
      <w:r w:rsidRPr="00D41D30">
        <w:rPr>
          <w:rStyle w:val="aff0"/>
          <w:color w:val="000000" w:themeColor="text1"/>
        </w:rPr>
        <w:footnoteReference w:id="42"/>
      </w:r>
      <w:r w:rsidRPr="00D41D30">
        <w:rPr>
          <w:rFonts w:hint="eastAsia"/>
          <w:color w:val="000000" w:themeColor="text1"/>
        </w:rPr>
        <w:t>：「1、各級教育制度、政策與問題之研究……。2、原住民、弱勢族群與多元文化教育之研究……。3、教育政策意見之調查與分析……6、各級各類教育需求評估之研究：依據人口結構之變遷，針對各級各類教育之需求，進行長期性與系統性之評估，提供教育決策參考。……。」基於上述業務重點，國家教育研究院教育制度與政策研究中心配合該院之願景與目標，為更系統性的針對國內外各級教育制度、各項教育政策問題與執行成效進行分析，更完整的蒐集教育決策所需資訊並提供各項專業諮詢服務，因此在該院1</w:t>
      </w:r>
      <w:r w:rsidRPr="00D41D30">
        <w:rPr>
          <w:color w:val="000000" w:themeColor="text1"/>
        </w:rPr>
        <w:t>0</w:t>
      </w:r>
      <w:r w:rsidRPr="00D41D30">
        <w:rPr>
          <w:rFonts w:hint="eastAsia"/>
          <w:color w:val="000000" w:themeColor="text1"/>
        </w:rPr>
        <w:t>年（100-109</w:t>
      </w:r>
      <w:r w:rsidRPr="00D41D30">
        <w:rPr>
          <w:color w:val="000000" w:themeColor="text1"/>
        </w:rPr>
        <w:t>年）的短、中、長程發展計畫中，設定各階段之發展目標</w:t>
      </w:r>
      <w:r w:rsidRPr="00D41D30">
        <w:rPr>
          <w:rFonts w:hint="eastAsia"/>
          <w:color w:val="000000" w:themeColor="text1"/>
        </w:rPr>
        <w:t>，</w:t>
      </w:r>
      <w:r w:rsidRPr="00D41D30">
        <w:rPr>
          <w:rFonts w:hint="eastAsia"/>
          <w:color w:val="000000" w:themeColor="text1"/>
          <w:szCs w:val="32"/>
        </w:rPr>
        <w:t>其中各級各類教育需求評估之研究業務重點，</w:t>
      </w:r>
      <w:r w:rsidRPr="00D41D30">
        <w:rPr>
          <w:rFonts w:hAnsi="標楷體"/>
          <w:color w:val="000000" w:themeColor="text1"/>
          <w:szCs w:val="32"/>
        </w:rPr>
        <w:t>100-109年長</w:t>
      </w:r>
      <w:r w:rsidRPr="00D41D30">
        <w:rPr>
          <w:rFonts w:ascii="Verdana" w:hAnsi="Verdana"/>
          <w:color w:val="000000" w:themeColor="text1"/>
          <w:szCs w:val="32"/>
        </w:rPr>
        <w:t>程發展目標</w:t>
      </w:r>
      <w:r w:rsidRPr="00D41D30">
        <w:rPr>
          <w:rFonts w:ascii="Verdana" w:hAnsi="Verdana" w:hint="eastAsia"/>
          <w:color w:val="000000" w:themeColor="text1"/>
          <w:szCs w:val="32"/>
        </w:rPr>
        <w:t>中，已提及將評估國內高齡者與各級各類補習教育需求，以提供教育決策參考。</w:t>
      </w:r>
      <w:bookmarkEnd w:id="1609"/>
      <w:bookmarkEnd w:id="1610"/>
      <w:bookmarkEnd w:id="1611"/>
      <w:bookmarkEnd w:id="1612"/>
      <w:bookmarkEnd w:id="1613"/>
      <w:bookmarkEnd w:id="1614"/>
    </w:p>
    <w:p w:rsidR="003872FF" w:rsidRPr="00D41D30" w:rsidRDefault="003872FF" w:rsidP="003872FF">
      <w:pPr>
        <w:pStyle w:val="3"/>
        <w:rPr>
          <w:color w:val="000000" w:themeColor="text1"/>
        </w:rPr>
      </w:pPr>
      <w:bookmarkStart w:id="1615" w:name="_Toc30512619"/>
      <w:bookmarkStart w:id="1616" w:name="_Toc30581328"/>
      <w:bookmarkStart w:id="1617" w:name="_Toc32392609"/>
      <w:bookmarkStart w:id="1618" w:name="_Toc32673815"/>
      <w:bookmarkStart w:id="1619" w:name="_Toc32846694"/>
      <w:bookmarkStart w:id="1620" w:name="_Toc32918601"/>
      <w:bookmarkStart w:id="1621" w:name="_Toc33011887"/>
      <w:bookmarkEnd w:id="1608"/>
      <w:r w:rsidRPr="00D41D30">
        <w:rPr>
          <w:rFonts w:hint="eastAsia"/>
          <w:color w:val="000000" w:themeColor="text1"/>
        </w:rPr>
        <w:t>然本院請國教院提供近3年研究計畫，共有101個整合型計畫及126個個別型研究計畫中，以計畫名稱觀之，其中涉及12年國教議題高達40個、高教議題亦頗多，反觀對於高齡教育議題之研究則付之闕如，鑑於我國已步入高齡社會，且正朝向超高齡社會邁進，高齡教育之需求實為迫切且至關重要，詎該院近3年，在高齡教育相關研究均未著墨，顯未能達成該中心業務重點提及，將依據人口結構之變遷，針對各級各類教育之需求，進行長期性與系統性之評估，提供教育決策參考。亦未達成前開提及評估國內高齡者與各級各</w:t>
      </w:r>
      <w:r w:rsidRPr="00D41D30">
        <w:rPr>
          <w:rFonts w:hint="eastAsia"/>
          <w:color w:val="000000" w:themeColor="text1"/>
        </w:rPr>
        <w:lastRenderedPageBreak/>
        <w:t>類補習教育需求之發展目標，實有未當。又，本院108年12月26日詢據教育部及國家教育研究院代表亦坦承：「過去幾年，國教院之重點較偏12國教課綱等，而針對高齡教育的研究確實較為缺乏，國教院後續將配合教育部相關政策方向。……」等語，惟國教院身為我國最高教育研究單位，實應借鏡國際上值得參考的國家進行研究，積極進行我國</w:t>
      </w:r>
      <w:r w:rsidRPr="00D41D30">
        <w:rPr>
          <w:rFonts w:ascii="Arial" w:cs="Arial" w:hint="eastAsia"/>
          <w:color w:val="000000" w:themeColor="text1"/>
          <w:szCs w:val="48"/>
        </w:rPr>
        <w:t>教育制度、</w:t>
      </w:r>
      <w:r w:rsidRPr="00D41D30">
        <w:rPr>
          <w:rFonts w:ascii="Arial" w:cs="Arial" w:hint="eastAsia"/>
          <w:color w:val="000000" w:themeColor="text1"/>
        </w:rPr>
        <w:t>教育</w:t>
      </w:r>
      <w:r w:rsidRPr="00D41D30">
        <w:rPr>
          <w:rFonts w:ascii="Arial" w:cs="Arial" w:hint="eastAsia"/>
          <w:color w:val="000000" w:themeColor="text1"/>
          <w:szCs w:val="48"/>
        </w:rPr>
        <w:t>需求評估等相關前瞻性研究</w:t>
      </w:r>
      <w:r w:rsidRPr="00D41D30">
        <w:rPr>
          <w:rFonts w:ascii="Arial" w:cs="Arial" w:hint="eastAsia"/>
          <w:color w:val="000000" w:themeColor="text1"/>
        </w:rPr>
        <w:t>，提供相關</w:t>
      </w:r>
      <w:r w:rsidRPr="00D41D30">
        <w:rPr>
          <w:rFonts w:ascii="Arial" w:cs="Arial" w:hint="eastAsia"/>
          <w:color w:val="000000" w:themeColor="text1"/>
          <w:szCs w:val="48"/>
        </w:rPr>
        <w:t>教育決策資訊</w:t>
      </w:r>
      <w:r w:rsidRPr="00D41D30">
        <w:rPr>
          <w:rFonts w:ascii="Arial" w:cs="Arial" w:hint="eastAsia"/>
          <w:color w:val="000000" w:themeColor="text1"/>
        </w:rPr>
        <w:t>及</w:t>
      </w:r>
      <w:r w:rsidRPr="00D41D30">
        <w:rPr>
          <w:rFonts w:ascii="Arial" w:cs="Arial" w:hint="eastAsia"/>
          <w:color w:val="000000" w:themeColor="text1"/>
          <w:szCs w:val="48"/>
        </w:rPr>
        <w:t>專業諮詢</w:t>
      </w:r>
      <w:r w:rsidRPr="00D41D30">
        <w:rPr>
          <w:rFonts w:hint="eastAsia"/>
          <w:color w:val="000000" w:themeColor="text1"/>
        </w:rPr>
        <w:t>，不應僅跟隨教育部政策方向，教育部亦應針對國家教育研究院之功能進行檢討，以強化其功能</w:t>
      </w:r>
      <w:bookmarkEnd w:id="1615"/>
      <w:r w:rsidRPr="00D41D30">
        <w:rPr>
          <w:rFonts w:hint="eastAsia"/>
          <w:color w:val="000000" w:themeColor="text1"/>
        </w:rPr>
        <w:t>。</w:t>
      </w:r>
      <w:bookmarkEnd w:id="1616"/>
      <w:bookmarkEnd w:id="1617"/>
      <w:bookmarkEnd w:id="1618"/>
      <w:bookmarkEnd w:id="1619"/>
      <w:bookmarkEnd w:id="1620"/>
      <w:bookmarkEnd w:id="1621"/>
    </w:p>
    <w:p w:rsidR="003872FF" w:rsidRPr="00D41D30" w:rsidRDefault="003872FF" w:rsidP="003872FF">
      <w:pPr>
        <w:pStyle w:val="3"/>
        <w:rPr>
          <w:color w:val="000000" w:themeColor="text1"/>
        </w:rPr>
      </w:pPr>
      <w:bookmarkStart w:id="1622" w:name="_Toc30581329"/>
      <w:bookmarkStart w:id="1623" w:name="_Toc32392610"/>
      <w:bookmarkStart w:id="1624" w:name="_Toc32673817"/>
      <w:bookmarkStart w:id="1625" w:name="_Toc32846695"/>
      <w:bookmarkStart w:id="1626" w:name="_Toc32918602"/>
      <w:bookmarkStart w:id="1627" w:name="_Toc33011888"/>
      <w:r w:rsidRPr="00D41D30">
        <w:rPr>
          <w:rFonts w:hint="eastAsia"/>
          <w:color w:val="000000" w:themeColor="text1"/>
        </w:rPr>
        <w:t>綜上，</w:t>
      </w:r>
      <w:r w:rsidRPr="00D41D30">
        <w:rPr>
          <w:rFonts w:ascii="Arial" w:cs="Arial" w:hint="eastAsia"/>
          <w:color w:val="000000" w:themeColor="text1"/>
        </w:rPr>
        <w:t>國家教育研究院以長期從事整體性、系統教育研究，促進國家教育之永續發展為宗旨，自</w:t>
      </w:r>
      <w:r w:rsidRPr="00D41D30">
        <w:rPr>
          <w:rFonts w:hAnsi="標楷體" w:cs="Arial" w:hint="eastAsia"/>
          <w:color w:val="000000" w:themeColor="text1"/>
        </w:rPr>
        <w:t>100</w:t>
      </w:r>
      <w:r w:rsidRPr="00D41D30">
        <w:rPr>
          <w:rFonts w:ascii="Arial" w:cs="Arial" w:hint="eastAsia"/>
          <w:color w:val="000000" w:themeColor="text1"/>
        </w:rPr>
        <w:t>年成立以來應致力於長期、系統性蒐集與整合各類實徵性教育資料，持續整合並長期投入重要教育政策研</w:t>
      </w:r>
      <w:r w:rsidRPr="00D41D30">
        <w:rPr>
          <w:rFonts w:hAnsi="標楷體" w:cs="Arial" w:hint="eastAsia"/>
          <w:color w:val="000000" w:themeColor="text1"/>
        </w:rPr>
        <w:t>究與課程測評研發；惟我國已於1993年成為高齡化社會，2018年轉為高齡社會，且依國家發展委員會推估，將於2026年邁</w:t>
      </w:r>
      <w:r w:rsidRPr="00D41D30">
        <w:rPr>
          <w:rFonts w:ascii="Arial" w:cs="Arial" w:hint="eastAsia"/>
          <w:color w:val="000000" w:themeColor="text1"/>
        </w:rPr>
        <w:t>入超高齡社會，未來相關重要教育政策及措施極具挑戰，有待前瞻性策略及國家整體政策引導催化，而國家教育研究院顯未發揮最高教育研究機構之專業角色，過往多數研究僅跟隨教育部政策，且研究重點偏重十二年國民基本教育課程綱要等現行教育政策研究，長期針對高齡教育之實證研究付之闕如，該院身為教育研究單位，實應強化研究功能，提供政策建言，俾予我國整體高齡教育政策明確定位，教育部亦應針對國家教育研究院之功能及定位進行整體檢討研議，以強化</w:t>
      </w:r>
      <w:r w:rsidRPr="00D41D30">
        <w:rPr>
          <w:rFonts w:ascii="Arial" w:cs="Arial" w:hint="eastAsia"/>
          <w:color w:val="000000" w:themeColor="text1"/>
          <w:szCs w:val="48"/>
        </w:rPr>
        <w:t>教育制度、</w:t>
      </w:r>
      <w:r w:rsidRPr="00D41D30">
        <w:rPr>
          <w:rFonts w:ascii="Arial" w:cs="Arial" w:hint="eastAsia"/>
          <w:color w:val="000000" w:themeColor="text1"/>
        </w:rPr>
        <w:t>教育</w:t>
      </w:r>
      <w:r w:rsidRPr="00D41D30">
        <w:rPr>
          <w:rFonts w:ascii="Arial" w:cs="Arial" w:hint="eastAsia"/>
          <w:color w:val="000000" w:themeColor="text1"/>
          <w:szCs w:val="48"/>
        </w:rPr>
        <w:t>需求評估</w:t>
      </w:r>
      <w:r w:rsidRPr="00D41D30">
        <w:rPr>
          <w:rFonts w:ascii="Arial" w:cs="Arial" w:hint="eastAsia"/>
          <w:color w:val="000000" w:themeColor="text1"/>
        </w:rPr>
        <w:t>、</w:t>
      </w:r>
      <w:r w:rsidRPr="00D41D30">
        <w:rPr>
          <w:rFonts w:ascii="Arial" w:cs="Arial" w:hint="eastAsia"/>
          <w:color w:val="000000" w:themeColor="text1"/>
          <w:szCs w:val="48"/>
        </w:rPr>
        <w:t>教育決策資訊</w:t>
      </w:r>
      <w:r w:rsidRPr="00D41D30">
        <w:rPr>
          <w:rFonts w:ascii="Arial" w:cs="Arial" w:hint="eastAsia"/>
          <w:color w:val="000000" w:themeColor="text1"/>
        </w:rPr>
        <w:t>及</w:t>
      </w:r>
      <w:r w:rsidRPr="00D41D30">
        <w:rPr>
          <w:rFonts w:ascii="Arial" w:cs="Arial" w:hint="eastAsia"/>
          <w:color w:val="000000" w:themeColor="text1"/>
          <w:szCs w:val="48"/>
        </w:rPr>
        <w:t>專業諮</w:t>
      </w:r>
      <w:r w:rsidRPr="00D41D30">
        <w:rPr>
          <w:rFonts w:ascii="Arial" w:cs="Arial" w:hint="eastAsia"/>
          <w:color w:val="000000" w:themeColor="text1"/>
          <w:szCs w:val="48"/>
        </w:rPr>
        <w:lastRenderedPageBreak/>
        <w:t>詢</w:t>
      </w:r>
      <w:r w:rsidRPr="00D41D30">
        <w:rPr>
          <w:rFonts w:ascii="Arial" w:cs="Arial" w:hint="eastAsia"/>
          <w:color w:val="000000" w:themeColor="text1"/>
        </w:rPr>
        <w:t>之能力，</w:t>
      </w:r>
      <w:r w:rsidRPr="00D41D30">
        <w:rPr>
          <w:rFonts w:ascii="Arial" w:cs="Arial" w:hint="eastAsia"/>
          <w:color w:val="000000" w:themeColor="text1"/>
          <w:szCs w:val="48"/>
        </w:rPr>
        <w:t>促進國家教育之永續發展</w:t>
      </w:r>
      <w:r w:rsidRPr="00D41D30">
        <w:rPr>
          <w:rFonts w:hint="eastAsia"/>
          <w:color w:val="000000" w:themeColor="text1"/>
        </w:rPr>
        <w:t>。</w:t>
      </w:r>
      <w:bookmarkEnd w:id="1622"/>
      <w:bookmarkEnd w:id="1623"/>
      <w:bookmarkEnd w:id="1624"/>
      <w:bookmarkEnd w:id="1625"/>
      <w:bookmarkEnd w:id="1626"/>
      <w:bookmarkEnd w:id="1627"/>
    </w:p>
    <w:p w:rsidR="003872FF" w:rsidRPr="00D41D30" w:rsidRDefault="003872FF" w:rsidP="00D41D30">
      <w:pPr>
        <w:pStyle w:val="2"/>
        <w:spacing w:beforeLines="100" w:before="457"/>
        <w:ind w:left="1020" w:hanging="680"/>
        <w:rPr>
          <w:rFonts w:hAnsi="標楷體"/>
          <w:b/>
          <w:color w:val="000000" w:themeColor="text1"/>
        </w:rPr>
      </w:pPr>
      <w:bookmarkStart w:id="1628" w:name="_Toc33011889"/>
      <w:r w:rsidRPr="00D41D30">
        <w:rPr>
          <w:rFonts w:hint="eastAsia"/>
          <w:b/>
          <w:color w:val="000000" w:themeColor="text1"/>
        </w:rPr>
        <w:t>教育部對於政府</w:t>
      </w:r>
      <w:r w:rsidRPr="00D41D30">
        <w:rPr>
          <w:b/>
          <w:color w:val="000000" w:themeColor="text1"/>
        </w:rPr>
        <w:t>針對不同</w:t>
      </w:r>
      <w:r w:rsidRPr="00D41D30">
        <w:rPr>
          <w:rFonts w:hint="eastAsia"/>
          <w:b/>
          <w:color w:val="000000" w:themeColor="text1"/>
        </w:rPr>
        <w:t>終身教育</w:t>
      </w:r>
      <w:r w:rsidRPr="00D41D30">
        <w:rPr>
          <w:b/>
          <w:color w:val="000000" w:themeColor="text1"/>
        </w:rPr>
        <w:t>目標人口及組織定位</w:t>
      </w:r>
      <w:r w:rsidRPr="00D41D30">
        <w:rPr>
          <w:rFonts w:hint="eastAsia"/>
          <w:b/>
          <w:color w:val="000000" w:themeColor="text1"/>
        </w:rPr>
        <w:t>應有相對應之學習需求及規劃，俾便提供高齡者教育措施之系統性評估及動態調整；依教育</w:t>
      </w:r>
      <w:r w:rsidRPr="00D41D30">
        <w:rPr>
          <w:rFonts w:hAnsi="標楷體" w:hint="eastAsia"/>
          <w:b/>
          <w:color w:val="000000" w:themeColor="text1"/>
        </w:rPr>
        <w:t>部108年「高齡教育高峰會議：迎向超高齡臺灣，建構全樂齡社會」結論及</w:t>
      </w:r>
      <w:r w:rsidRPr="00D41D30">
        <w:rPr>
          <w:rFonts w:hint="eastAsia"/>
          <w:b/>
          <w:color w:val="000000" w:themeColor="text1"/>
        </w:rPr>
        <w:t>106年</w:t>
      </w:r>
      <w:r w:rsidRPr="00D41D30">
        <w:rPr>
          <w:rFonts w:hAnsi="標楷體" w:hint="eastAsia"/>
          <w:b/>
          <w:color w:val="000000" w:themeColor="text1"/>
        </w:rPr>
        <w:t>「高齡教育中程發展計畫」均已明文指示大數據資料</w:t>
      </w:r>
      <w:r w:rsidRPr="00D41D30">
        <w:rPr>
          <w:rFonts w:ascii="Verdana" w:hAnsi="Verdana" w:hint="eastAsia"/>
          <w:b/>
          <w:color w:val="000000" w:themeColor="text1"/>
        </w:rPr>
        <w:t>庫建置之政策需求，惟針對我國高齡者非</w:t>
      </w:r>
      <w:r w:rsidRPr="00D41D30">
        <w:rPr>
          <w:rFonts w:ascii="Verdana" w:hAnsi="Verdana"/>
          <w:b/>
          <w:color w:val="000000" w:themeColor="text1"/>
        </w:rPr>
        <w:t>正規</w:t>
      </w:r>
      <w:r w:rsidRPr="00D41D30">
        <w:rPr>
          <w:rFonts w:ascii="Verdana" w:hAnsi="Verdana" w:hint="eastAsia"/>
          <w:b/>
          <w:color w:val="000000" w:themeColor="text1"/>
        </w:rPr>
        <w:t>教育政策及實施參與情形，教育部長期均未</w:t>
      </w:r>
      <w:r w:rsidRPr="00D41D30">
        <w:rPr>
          <w:rFonts w:ascii="Verdana" w:hAnsi="Verdana"/>
          <w:b/>
          <w:color w:val="000000" w:themeColor="text1"/>
        </w:rPr>
        <w:t>建立</w:t>
      </w:r>
      <w:r w:rsidRPr="00D41D30">
        <w:rPr>
          <w:rFonts w:ascii="Verdana" w:hAnsi="Verdana" w:hint="eastAsia"/>
          <w:b/>
          <w:color w:val="000000" w:themeColor="text1"/>
        </w:rPr>
        <w:t>相關大數據</w:t>
      </w:r>
      <w:r w:rsidRPr="00D41D30">
        <w:rPr>
          <w:rFonts w:ascii="Verdana" w:hAnsi="Verdana"/>
          <w:b/>
          <w:color w:val="000000" w:themeColor="text1"/>
        </w:rPr>
        <w:t>資料庫，</w:t>
      </w:r>
      <w:r w:rsidRPr="00D41D30">
        <w:rPr>
          <w:rFonts w:ascii="Verdana" w:hAnsi="Verdana" w:hint="eastAsia"/>
          <w:b/>
          <w:color w:val="000000" w:themeColor="text1"/>
        </w:rPr>
        <w:t>尤缺乏高齡者</w:t>
      </w:r>
      <w:r w:rsidRPr="00D41D30">
        <w:rPr>
          <w:rFonts w:ascii="Verdana" w:hAnsi="Verdana"/>
          <w:b/>
          <w:color w:val="000000" w:themeColor="text1"/>
        </w:rPr>
        <w:t>終身教育</w:t>
      </w:r>
      <w:r w:rsidRPr="00D41D30">
        <w:rPr>
          <w:rFonts w:ascii="Verdana" w:hAnsi="Verdana" w:hint="eastAsia"/>
          <w:b/>
          <w:color w:val="000000" w:themeColor="text1"/>
        </w:rPr>
        <w:t>政策實施之</w:t>
      </w:r>
      <w:r w:rsidRPr="00D41D30">
        <w:rPr>
          <w:rFonts w:ascii="Verdana" w:hAnsi="Verdana"/>
          <w:b/>
          <w:color w:val="000000" w:themeColor="text1"/>
        </w:rPr>
        <w:t>內涵分析</w:t>
      </w:r>
      <w:r w:rsidRPr="00D41D30">
        <w:rPr>
          <w:rFonts w:ascii="Verdana" w:hAnsi="Verdana" w:hint="eastAsia"/>
          <w:b/>
          <w:color w:val="000000" w:themeColor="text1"/>
        </w:rPr>
        <w:t>，以具體作</w:t>
      </w:r>
      <w:r w:rsidRPr="00D41D30">
        <w:rPr>
          <w:rFonts w:ascii="Verdana" w:hAnsi="Verdana"/>
          <w:b/>
          <w:color w:val="000000" w:themeColor="text1"/>
        </w:rPr>
        <w:t>為政策規劃、實施和評估</w:t>
      </w:r>
      <w:r w:rsidRPr="00D41D30">
        <w:rPr>
          <w:rFonts w:ascii="Verdana" w:hAnsi="Verdana" w:hint="eastAsia"/>
          <w:b/>
          <w:color w:val="000000" w:themeColor="text1"/>
        </w:rPr>
        <w:t>之</w:t>
      </w:r>
      <w:r w:rsidRPr="00D41D30">
        <w:rPr>
          <w:rFonts w:ascii="Verdana" w:hAnsi="Verdana"/>
          <w:b/>
          <w:color w:val="000000" w:themeColor="text1"/>
        </w:rPr>
        <w:t>檢核系統</w:t>
      </w:r>
      <w:r w:rsidRPr="00D41D30">
        <w:rPr>
          <w:rFonts w:ascii="Verdana" w:hAnsi="Verdana" w:hint="eastAsia"/>
          <w:b/>
          <w:color w:val="000000" w:themeColor="text1"/>
        </w:rPr>
        <w:t>，</w:t>
      </w:r>
      <w:r w:rsidRPr="00D41D30">
        <w:rPr>
          <w:rFonts w:hint="eastAsia"/>
          <w:b/>
          <w:color w:val="000000" w:themeColor="text1"/>
        </w:rPr>
        <w:t>長期實證研究闕如，均不利未來推展高齡者終身教育理念及成果之體現</w:t>
      </w:r>
      <w:r w:rsidRPr="00D41D30">
        <w:rPr>
          <w:rFonts w:ascii="Verdana" w:hAnsi="Verdana" w:hint="eastAsia"/>
          <w:b/>
          <w:color w:val="000000" w:themeColor="text1"/>
        </w:rPr>
        <w:t>，或強化各直轄市及縣（市）政府落實執行高齡教育</w:t>
      </w:r>
      <w:r w:rsidRPr="00D41D30">
        <w:rPr>
          <w:rFonts w:ascii="Verdana" w:hAnsi="Verdana"/>
          <w:b/>
          <w:color w:val="000000" w:themeColor="text1"/>
        </w:rPr>
        <w:t>架構</w:t>
      </w:r>
      <w:r w:rsidRPr="00D41D30">
        <w:rPr>
          <w:rFonts w:ascii="Verdana" w:hAnsi="Verdana" w:hint="eastAsia"/>
          <w:b/>
          <w:color w:val="000000" w:themeColor="text1"/>
        </w:rPr>
        <w:t>及改善機制；教育部雖於本院調查過程中雖因應案情，進行部分</w:t>
      </w:r>
      <w:r w:rsidRPr="00D41D30">
        <w:rPr>
          <w:rFonts w:hAnsi="標楷體" w:hint="eastAsia"/>
          <w:b/>
          <w:color w:val="000000" w:themeColor="text1"/>
        </w:rPr>
        <w:t>盤點及滾動式修正終身學習相關計畫</w:t>
      </w:r>
      <w:r w:rsidRPr="00D41D30">
        <w:rPr>
          <w:rFonts w:ascii="Verdana" w:hAnsi="Verdana" w:hint="eastAsia"/>
          <w:b/>
          <w:color w:val="000000" w:themeColor="text1"/>
        </w:rPr>
        <w:t>，並委託國立臺灣師範大學進行</w:t>
      </w:r>
      <w:r w:rsidRPr="00D41D30">
        <w:rPr>
          <w:rFonts w:hint="eastAsia"/>
          <w:b/>
          <w:color w:val="000000" w:themeColor="text1"/>
        </w:rPr>
        <w:t>「</w:t>
      </w:r>
      <w:r w:rsidRPr="00D41D30">
        <w:rPr>
          <w:rFonts w:ascii="Verdana" w:hAnsi="Verdana" w:hint="eastAsia"/>
          <w:b/>
          <w:color w:val="000000" w:themeColor="text1"/>
        </w:rPr>
        <w:t>邁向學習社會白皮書</w:t>
      </w:r>
      <w:r w:rsidRPr="00D41D30">
        <w:rPr>
          <w:rFonts w:hAnsi="標楷體" w:hint="eastAsia"/>
          <w:b/>
          <w:color w:val="000000" w:themeColor="text1"/>
        </w:rPr>
        <w:t>2.0</w:t>
      </w:r>
      <w:r w:rsidRPr="00D41D30">
        <w:rPr>
          <w:rFonts w:ascii="Verdana" w:hAnsi="Verdana" w:hint="eastAsia"/>
          <w:b/>
          <w:color w:val="000000" w:themeColor="text1"/>
        </w:rPr>
        <w:t>暨終身學習中程發展計畫」，期強化推動高齡教育大數據資料庫及「強化人才資料庫及運用」等政策架構，惟後續仍亟待教育部積極改檢討改進，以落實重要高齡教育政策及計畫之意旨</w:t>
      </w:r>
      <w:r w:rsidRPr="00D41D30">
        <w:rPr>
          <w:rFonts w:ascii="Verdana" w:hAnsi="Verdana"/>
          <w:b/>
          <w:color w:val="000000" w:themeColor="text1"/>
        </w:rPr>
        <w:t>，建立</w:t>
      </w:r>
      <w:r w:rsidRPr="00D41D30">
        <w:rPr>
          <w:rFonts w:ascii="Verdana" w:hAnsi="Verdana" w:hint="eastAsia"/>
          <w:b/>
          <w:color w:val="000000" w:themeColor="text1"/>
        </w:rPr>
        <w:t>相關</w:t>
      </w:r>
      <w:r w:rsidRPr="00D41D30">
        <w:rPr>
          <w:rFonts w:ascii="Verdana" w:hAnsi="Verdana"/>
          <w:b/>
          <w:color w:val="000000" w:themeColor="text1"/>
        </w:rPr>
        <w:t>政策發展之</w:t>
      </w:r>
      <w:r w:rsidRPr="00D41D30">
        <w:rPr>
          <w:rFonts w:ascii="Verdana" w:hAnsi="Verdana" w:hint="eastAsia"/>
          <w:b/>
          <w:color w:val="000000" w:themeColor="text1"/>
        </w:rPr>
        <w:t>資料庫</w:t>
      </w:r>
      <w:r w:rsidRPr="00D41D30">
        <w:rPr>
          <w:rFonts w:ascii="Verdana" w:hAnsi="Verdana"/>
          <w:b/>
          <w:color w:val="000000" w:themeColor="text1"/>
        </w:rPr>
        <w:t>機制</w:t>
      </w:r>
      <w:r w:rsidRPr="00D41D30">
        <w:rPr>
          <w:rFonts w:ascii="Verdana" w:hAnsi="Verdana" w:hint="eastAsia"/>
          <w:b/>
          <w:color w:val="000000" w:themeColor="text1"/>
        </w:rPr>
        <w:t>，共創中央、地方及學界共同發展質量並重之高齡教育體系</w:t>
      </w:r>
      <w:bookmarkEnd w:id="1628"/>
    </w:p>
    <w:p w:rsidR="003872FF" w:rsidRPr="00D41D30" w:rsidRDefault="003872FF" w:rsidP="003872FF">
      <w:pPr>
        <w:pStyle w:val="3"/>
        <w:rPr>
          <w:color w:val="000000" w:themeColor="text1"/>
        </w:rPr>
      </w:pPr>
      <w:bookmarkStart w:id="1629" w:name="_Toc32846697"/>
      <w:bookmarkStart w:id="1630" w:name="_Toc32918604"/>
      <w:bookmarkStart w:id="1631" w:name="_Toc33011890"/>
      <w:bookmarkStart w:id="1632" w:name="_Toc32673816"/>
      <w:r w:rsidRPr="00D41D30">
        <w:rPr>
          <w:rFonts w:hint="eastAsia"/>
          <w:color w:val="000000" w:themeColor="text1"/>
        </w:rPr>
        <w:t>因應107年高齡社會的來臨，</w:t>
      </w:r>
      <w:r w:rsidR="002F153F" w:rsidRPr="00D41D30">
        <w:rPr>
          <w:rFonts w:hint="eastAsia"/>
          <w:color w:val="000000" w:themeColor="text1"/>
        </w:rPr>
        <w:t>行政</w:t>
      </w:r>
      <w:r w:rsidRPr="00D41D30">
        <w:rPr>
          <w:rFonts w:hint="eastAsia"/>
          <w:color w:val="000000" w:themeColor="text1"/>
        </w:rPr>
        <w:t>院已於104年10月核定「高齡社會白皮書」，請教育部持續推動樂齡學習優先區、建立認證機制、設置退休準備教育中心等措施，並整合相關部會及民間資源續予推動，以充分提供高齡者進階學習的機會。」該部並將前述院會決定事項，邀集專家學者納入</w:t>
      </w:r>
      <w:r w:rsidRPr="00D41D30">
        <w:rPr>
          <w:rFonts w:hint="eastAsia"/>
          <w:color w:val="000000" w:themeColor="text1"/>
        </w:rPr>
        <w:lastRenderedPageBreak/>
        <w:t>106年該部研訂「迎向高齡社會樂齡學習中程計畫」辦理。</w:t>
      </w:r>
    </w:p>
    <w:p w:rsidR="003872FF" w:rsidRPr="00D41D30" w:rsidRDefault="003872FF" w:rsidP="003872FF">
      <w:pPr>
        <w:pStyle w:val="3"/>
        <w:rPr>
          <w:color w:val="000000" w:themeColor="text1"/>
        </w:rPr>
      </w:pPr>
      <w:r w:rsidRPr="00D41D30">
        <w:rPr>
          <w:rFonts w:hint="eastAsia"/>
          <w:color w:val="000000" w:themeColor="text1"/>
        </w:rPr>
        <w:t>按終身學習法第6條第1項規定，各級主管機關應整體規劃終身學習政策、計畫及活動。同條第2項規定，各級主管機關應依前項規定，協調、統整與督導所轄或所屬終身學習機構，並得結合個人、學校、機關、機構及團體，辦理終身學習活動。準此，教育部對於高齡者終身教育政策之實施內涵及實際參與情形應有具備明確清晰之解析，妥適評估執行效益，以針對政策系統性、發展規模、品質標準、經費或獎補助策略、政策預期效益暨方向等，提出前瞻性政策規劃，以協助多元型態或策略發展，爰相關實證或研究發展工作，教育部應責無旁貸。</w:t>
      </w:r>
      <w:bookmarkEnd w:id="1629"/>
      <w:bookmarkEnd w:id="1630"/>
      <w:bookmarkEnd w:id="1631"/>
    </w:p>
    <w:p w:rsidR="003872FF" w:rsidRPr="00D41D30" w:rsidRDefault="003872FF" w:rsidP="003872FF">
      <w:pPr>
        <w:pStyle w:val="3"/>
        <w:rPr>
          <w:color w:val="000000" w:themeColor="text1"/>
        </w:rPr>
      </w:pPr>
      <w:bookmarkStart w:id="1633" w:name="_Toc32846698"/>
      <w:bookmarkStart w:id="1634" w:name="_Toc32918605"/>
      <w:bookmarkStart w:id="1635" w:name="_Toc33011891"/>
      <w:r w:rsidRPr="00D41D30">
        <w:rPr>
          <w:rFonts w:hint="eastAsia"/>
          <w:color w:val="000000" w:themeColor="text1"/>
        </w:rPr>
        <w:t>復據教育部108年辦理「高齡教育高峰會議：迎向超高齡臺灣，建構全樂齡社會」之結論：「各出席者提出因應樂齡學習發展及各類講師需求，講師分級分類、課程銜接、機會普及縣市，以及縣市自辦培訓如何連結等講師專業化面向，需要有人才庫及媒合機制，應分級分類培訓及如何擴大培訓；跨域整合方面，包括資源及人才；高齡教育法制化建議及大數據資料庫的建置等。」惟教育部於本案回應指稱，有關學員大數據資料庫，涉及個人資料之隱密性，須經得當事人同意始得蒐集與運用，該部刻正委請專業團體協助評估，目前樂齡學習資料系統尚以執行單位填報相關執行數據為主，匯聚成大數據後，對於後續課程教學分析、研究及資料調查等有助益等語，及該部主管人員又於本院108年12月26日詢問會議復稱</w:t>
      </w:r>
      <w:r w:rsidRPr="00D41D30">
        <w:rPr>
          <w:rFonts w:hAnsi="標楷體" w:hint="eastAsia"/>
          <w:color w:val="000000" w:themeColor="text1"/>
        </w:rPr>
        <w:t>「有關白皮書及大數據資料庫部分，需要上位</w:t>
      </w:r>
      <w:r w:rsidRPr="00D41D30">
        <w:rPr>
          <w:rFonts w:hAnsi="標楷體" w:hint="eastAsia"/>
          <w:color w:val="000000" w:themeColor="text1"/>
        </w:rPr>
        <w:lastRenderedPageBreak/>
        <w:t>整合思考，故教育部委託國立臺灣師範大學進行『邁向學習社會白皮書2.0暨終身學習中程發展計畫』，目前該計畫之進度正進行焦點團體座談，後續亦將加強跨部會及政府與民間之對話，俾促進終身學習資源之整合」、「</w:t>
      </w:r>
      <w:r w:rsidRPr="00D41D30">
        <w:rPr>
          <w:rFonts w:hAnsi="標楷體"/>
          <w:color w:val="000000" w:themeColor="text1"/>
        </w:rPr>
        <w:t>……</w:t>
      </w:r>
      <w:r w:rsidRPr="00D41D30">
        <w:rPr>
          <w:rFonts w:hAnsi="標楷體" w:hint="eastAsia"/>
          <w:color w:val="000000" w:themeColor="text1"/>
        </w:rPr>
        <w:t>未來會希望藉由大數據資料庫之建置進一步瞭解實際參與人數」及「目前尚未有全國性調查，本部將另外規劃其他委託案處理」等語</w:t>
      </w:r>
      <w:r w:rsidRPr="00D41D30">
        <w:rPr>
          <w:rFonts w:hint="eastAsia"/>
          <w:color w:val="000000" w:themeColor="text1"/>
        </w:rPr>
        <w:t>，顯示相關高齡教育實證調查及研究均未按計畫完成，長期實證研究闕如，均不利未來推展高齡者終身教育理念及成果之體現，亟待教育部後續更為積極作為。</w:t>
      </w:r>
      <w:bookmarkEnd w:id="1632"/>
      <w:bookmarkEnd w:id="1633"/>
      <w:bookmarkEnd w:id="1634"/>
      <w:bookmarkEnd w:id="1635"/>
    </w:p>
    <w:p w:rsidR="003872FF" w:rsidRPr="00D41D30" w:rsidRDefault="003872FF" w:rsidP="003872FF">
      <w:pPr>
        <w:pStyle w:val="3"/>
        <w:rPr>
          <w:color w:val="000000" w:themeColor="text1"/>
        </w:rPr>
      </w:pPr>
      <w:bookmarkStart w:id="1636" w:name="_Toc32846699"/>
      <w:bookmarkStart w:id="1637" w:name="_Toc32918606"/>
      <w:bookmarkStart w:id="1638" w:name="_Toc33011892"/>
      <w:r w:rsidRPr="00D41D30">
        <w:rPr>
          <w:rFonts w:hint="eastAsia"/>
          <w:color w:val="000000" w:themeColor="text1"/>
        </w:rPr>
        <w:t>另查，經本院函詢教育部106年推動「高齡教育中程發展計畫」中，關於「1-4-1建置全國高齡教育資料庫，流通高齡教育資訊」部分之實際辦理具體情形，顯示目前該部具體作為僅多集中於辦理樂齡學習網站及相關營運擴充，並未見針對「全國高齡教育資料庫」之相關大數據調查規劃、成果、政策使用及實際資料提取情形。此有教育部相關作為回應摘要如后，洵勘認定：</w:t>
      </w:r>
      <w:bookmarkEnd w:id="1636"/>
      <w:bookmarkEnd w:id="1637"/>
      <w:bookmarkEnd w:id="1638"/>
    </w:p>
    <w:p w:rsidR="003872FF" w:rsidRPr="00D41D30" w:rsidRDefault="003872FF" w:rsidP="003872FF">
      <w:pPr>
        <w:pStyle w:val="4"/>
        <w:rPr>
          <w:color w:val="000000" w:themeColor="text1"/>
        </w:rPr>
      </w:pPr>
      <w:r w:rsidRPr="00D41D30">
        <w:rPr>
          <w:rFonts w:hint="eastAsia"/>
          <w:color w:val="000000" w:themeColor="text1"/>
        </w:rPr>
        <w:t>為使民眾能迅速獲得最新樂齡學習資訊、研習課程活動訊息、教育部委託建置「教育部樂齡學習網」及22縣市樂齡學習網之獨立網站。該網站係採取「母子網站連動系統」於母網站所發布之最新消息，可同步於各縣市政府子網站首頁專區揭露，另因全國樂齡中心分散於全國各鄉鎮市區，該部開發樂齡學習資料庫平臺，督促全國樂齡學習中心按期上傳成果資料，並經縣市政府及輔導團審核後，據此進行內部績效檢視辦理成效，作為年度補助參據。</w:t>
      </w:r>
    </w:p>
    <w:p w:rsidR="003872FF" w:rsidRPr="00D41D30" w:rsidRDefault="003872FF" w:rsidP="003872FF">
      <w:pPr>
        <w:pStyle w:val="4"/>
        <w:rPr>
          <w:color w:val="000000" w:themeColor="text1"/>
        </w:rPr>
      </w:pPr>
      <w:r w:rsidRPr="00D41D30">
        <w:rPr>
          <w:rFonts w:hint="eastAsia"/>
          <w:color w:val="000000" w:themeColor="text1"/>
        </w:rPr>
        <w:t>為維護及充實更新樂齡學習相關網站內容與</w:t>
      </w:r>
      <w:r w:rsidRPr="00D41D30">
        <w:rPr>
          <w:rFonts w:hint="eastAsia"/>
          <w:color w:val="000000" w:themeColor="text1"/>
        </w:rPr>
        <w:lastRenderedPageBreak/>
        <w:t>功能，並配合該部樂齡教育各項專案計畫，提供民眾更多元、即時之訊息，並強化資料庫，使系統永續利用，以利推廣樂齡教育相關業務，108年以政府採購法公開招標程序委由財團法人技專校院入學測驗中心基金會協助網站相關維運事宜。</w:t>
      </w:r>
    </w:p>
    <w:p w:rsidR="003872FF" w:rsidRPr="00D41D30" w:rsidRDefault="003872FF" w:rsidP="003872FF">
      <w:pPr>
        <w:pStyle w:val="3"/>
        <w:rPr>
          <w:color w:val="000000" w:themeColor="text1"/>
        </w:rPr>
      </w:pPr>
      <w:bookmarkStart w:id="1639" w:name="_Toc32846700"/>
      <w:bookmarkStart w:id="1640" w:name="_Toc32918607"/>
      <w:bookmarkStart w:id="1641" w:name="_Toc33011893"/>
      <w:r w:rsidRPr="00D41D30">
        <w:rPr>
          <w:rFonts w:hint="eastAsia"/>
          <w:color w:val="000000" w:themeColor="text1"/>
        </w:rPr>
        <w:t>另查，</w:t>
      </w:r>
      <w:r w:rsidRPr="00D41D30">
        <w:rPr>
          <w:rFonts w:hAnsi="標楷體" w:hint="eastAsia"/>
          <w:color w:val="000000" w:themeColor="text1"/>
          <w:szCs w:val="32"/>
        </w:rPr>
        <w:t>面對超高齡社會，</w:t>
      </w:r>
      <w:r w:rsidRPr="00D41D30">
        <w:rPr>
          <w:rFonts w:hint="eastAsia"/>
          <w:color w:val="000000" w:themeColor="text1"/>
        </w:rPr>
        <w:t>教育部於本院調查過程中指稱，</w:t>
      </w:r>
      <w:r w:rsidRPr="00D41D30">
        <w:rPr>
          <w:rFonts w:hAnsi="標楷體" w:hint="eastAsia"/>
          <w:color w:val="000000" w:themeColor="text1"/>
          <w:szCs w:val="32"/>
        </w:rPr>
        <w:t>針對未來整體終身學習、高齡社會或高齡工作者之相關學習趨勢、規模、需求預測等，</w:t>
      </w:r>
      <w:r w:rsidRPr="00D41D30">
        <w:rPr>
          <w:rFonts w:hint="eastAsia"/>
          <w:color w:val="000000" w:themeColor="text1"/>
        </w:rPr>
        <w:t>已委託國立臺灣師範大學進行「邁向學習社會白皮書2.0暨終身學習中程發展計畫」之研擬工作，將以全國國民為對象，範圍涵蓋個人、家庭、社區、學習型組織及學習型城市，結合終身學習機構及整合相關資源，共同推動終身學習。是以，未來相關高齡學習政策規劃與變革方向亦包括建置高齡教育大數據資料庫</w:t>
      </w:r>
      <w:r w:rsidRPr="00D41D30">
        <w:rPr>
          <w:rFonts w:hAnsi="標楷體" w:hint="eastAsia"/>
          <w:color w:val="000000" w:themeColor="text1"/>
        </w:rPr>
        <w:t>及「</w:t>
      </w:r>
      <w:r w:rsidRPr="00D41D30">
        <w:rPr>
          <w:rFonts w:hint="eastAsia"/>
          <w:color w:val="000000" w:themeColor="text1"/>
        </w:rPr>
        <w:t>強化人才資料庫及運用</w:t>
      </w:r>
      <w:r w:rsidRPr="00D41D30">
        <w:rPr>
          <w:rFonts w:hAnsi="標楷體" w:hint="eastAsia"/>
          <w:color w:val="000000" w:themeColor="text1"/>
        </w:rPr>
        <w:t>」</w:t>
      </w:r>
      <w:r w:rsidRPr="00D41D30">
        <w:rPr>
          <w:rFonts w:hint="eastAsia"/>
          <w:color w:val="000000" w:themeColor="text1"/>
        </w:rPr>
        <w:t>等相關政策內涵分析架構，亟待該部確實落實執行，俾利</w:t>
      </w:r>
      <w:r w:rsidRPr="00D41D30">
        <w:rPr>
          <w:rFonts w:ascii="Verdana" w:hAnsi="Verdana"/>
          <w:color w:val="000000" w:themeColor="text1"/>
        </w:rPr>
        <w:t>政策規劃、實施</w:t>
      </w:r>
      <w:r w:rsidRPr="00D41D30">
        <w:rPr>
          <w:rFonts w:ascii="Verdana" w:hAnsi="Verdana" w:hint="eastAsia"/>
          <w:color w:val="000000" w:themeColor="text1"/>
        </w:rPr>
        <w:t>及</w:t>
      </w:r>
      <w:r w:rsidRPr="00D41D30">
        <w:rPr>
          <w:rFonts w:ascii="Verdana" w:hAnsi="Verdana"/>
          <w:color w:val="000000" w:themeColor="text1"/>
        </w:rPr>
        <w:t>評估</w:t>
      </w:r>
      <w:r w:rsidRPr="00D41D30">
        <w:rPr>
          <w:rFonts w:ascii="Verdana" w:hAnsi="Verdana" w:hint="eastAsia"/>
          <w:color w:val="000000" w:themeColor="text1"/>
        </w:rPr>
        <w:t>之</w:t>
      </w:r>
      <w:r w:rsidRPr="00D41D30">
        <w:rPr>
          <w:rFonts w:ascii="Verdana" w:hAnsi="Verdana"/>
          <w:color w:val="000000" w:themeColor="text1"/>
        </w:rPr>
        <w:t>檢核系統，</w:t>
      </w:r>
      <w:r w:rsidRPr="00D41D30">
        <w:rPr>
          <w:rFonts w:ascii="Verdana" w:hAnsi="Verdana" w:hint="eastAsia"/>
          <w:color w:val="000000" w:themeColor="text1"/>
        </w:rPr>
        <w:t>具體瞭解</w:t>
      </w:r>
      <w:r w:rsidRPr="00D41D30">
        <w:rPr>
          <w:rFonts w:ascii="Verdana" w:hAnsi="Verdana"/>
          <w:color w:val="000000" w:themeColor="text1"/>
        </w:rPr>
        <w:t>我國</w:t>
      </w:r>
      <w:r w:rsidRPr="00D41D30">
        <w:rPr>
          <w:rFonts w:ascii="Verdana" w:hAnsi="Verdana" w:hint="eastAsia"/>
          <w:color w:val="000000" w:themeColor="text1"/>
        </w:rPr>
        <w:t>高齡者終身</w:t>
      </w:r>
      <w:r w:rsidRPr="00D41D30">
        <w:rPr>
          <w:rFonts w:ascii="Verdana" w:hAnsi="Verdana"/>
          <w:color w:val="000000" w:themeColor="text1"/>
        </w:rPr>
        <w:t>教育政策</w:t>
      </w:r>
      <w:r w:rsidRPr="00D41D30">
        <w:rPr>
          <w:rFonts w:ascii="Verdana" w:hAnsi="Verdana" w:hint="eastAsia"/>
          <w:color w:val="000000" w:themeColor="text1"/>
        </w:rPr>
        <w:t>及措施之參與情形</w:t>
      </w:r>
      <w:r w:rsidRPr="00D41D30">
        <w:rPr>
          <w:rFonts w:ascii="Verdana" w:hAnsi="Verdana"/>
          <w:color w:val="000000" w:themeColor="text1"/>
        </w:rPr>
        <w:t>，建立政策發展回饋機制</w:t>
      </w:r>
      <w:r w:rsidRPr="00D41D30">
        <w:rPr>
          <w:rFonts w:hint="eastAsia"/>
          <w:color w:val="000000" w:themeColor="text1"/>
        </w:rPr>
        <w:t>。該部相關說明略述如下，可堪認定</w:t>
      </w:r>
      <w:r w:rsidRPr="00D41D30">
        <w:rPr>
          <w:rFonts w:hAnsi="標楷體" w:hint="eastAsia"/>
          <w:color w:val="000000" w:themeColor="text1"/>
        </w:rPr>
        <w:t>：</w:t>
      </w:r>
      <w:bookmarkEnd w:id="1639"/>
      <w:bookmarkEnd w:id="1640"/>
      <w:bookmarkEnd w:id="1641"/>
    </w:p>
    <w:p w:rsidR="003872FF" w:rsidRPr="00D41D30" w:rsidRDefault="003872FF" w:rsidP="003872FF">
      <w:pPr>
        <w:pStyle w:val="4"/>
        <w:rPr>
          <w:color w:val="000000" w:themeColor="text1"/>
        </w:rPr>
      </w:pPr>
      <w:r w:rsidRPr="00D41D30">
        <w:rPr>
          <w:rFonts w:hint="eastAsia"/>
          <w:color w:val="000000" w:themeColor="text1"/>
        </w:rPr>
        <w:t>強化研發：建置高齡教育大數據資料庫、強化高齡教育相關研究、開發多元樂齡學習模式、鼓勵創新提案、規劃百年人生課程等。</w:t>
      </w:r>
    </w:p>
    <w:p w:rsidR="003872FF" w:rsidRPr="00D41D30" w:rsidRDefault="003872FF" w:rsidP="003872FF">
      <w:pPr>
        <w:pStyle w:val="4"/>
        <w:rPr>
          <w:color w:val="000000" w:themeColor="text1"/>
        </w:rPr>
      </w:pPr>
      <w:r w:rsidRPr="00D41D30">
        <w:rPr>
          <w:rFonts w:hint="eastAsia"/>
          <w:color w:val="000000" w:themeColor="text1"/>
        </w:rPr>
        <w:t>深耕發展：普及樂齡學習、強化中高齡人力再運用（老人服務老人）、強化退休準備教育、邁向百年人生的教育設計等。</w:t>
      </w:r>
    </w:p>
    <w:p w:rsidR="003872FF" w:rsidRPr="00D41D30" w:rsidRDefault="003872FF" w:rsidP="003872FF">
      <w:pPr>
        <w:pStyle w:val="4"/>
        <w:rPr>
          <w:color w:val="000000" w:themeColor="text1"/>
        </w:rPr>
      </w:pPr>
      <w:r w:rsidRPr="00D41D30">
        <w:rPr>
          <w:rFonts w:hint="eastAsia"/>
          <w:color w:val="000000" w:themeColor="text1"/>
        </w:rPr>
        <w:t>人員專業：加強專業人才培訓、建立樂齡學習講師專業制度、強化人才資料庫及運用。</w:t>
      </w:r>
    </w:p>
    <w:p w:rsidR="003872FF" w:rsidRPr="00D41D30" w:rsidRDefault="003872FF" w:rsidP="003872FF">
      <w:pPr>
        <w:pStyle w:val="4"/>
        <w:rPr>
          <w:color w:val="000000" w:themeColor="text1"/>
        </w:rPr>
      </w:pPr>
      <w:r w:rsidRPr="00D41D30">
        <w:rPr>
          <w:rFonts w:hint="eastAsia"/>
          <w:color w:val="000000" w:themeColor="text1"/>
        </w:rPr>
        <w:t>跨域合作：促進跨部會高齡政策合作、強化產</w:t>
      </w:r>
      <w:r w:rsidRPr="00D41D30">
        <w:rPr>
          <w:rFonts w:hint="eastAsia"/>
          <w:color w:val="000000" w:themeColor="text1"/>
        </w:rPr>
        <w:lastRenderedPageBreak/>
        <w:t>官學研跨域整合、鼓勵民間企業資源投入樂齡學習、推動青銀共創及代間共學、跨域打造友善高齡環境。</w:t>
      </w:r>
    </w:p>
    <w:p w:rsidR="003872FF" w:rsidRPr="00D41D30" w:rsidRDefault="003872FF" w:rsidP="003872FF">
      <w:pPr>
        <w:pStyle w:val="3"/>
        <w:rPr>
          <w:color w:val="000000" w:themeColor="text1"/>
        </w:rPr>
      </w:pPr>
      <w:bookmarkStart w:id="1642" w:name="_Toc32918608"/>
      <w:bookmarkStart w:id="1643" w:name="_Toc33011894"/>
      <w:bookmarkStart w:id="1644" w:name="_Toc32846701"/>
      <w:r w:rsidRPr="00D41D30">
        <w:rPr>
          <w:rFonts w:hint="eastAsia"/>
          <w:color w:val="000000" w:themeColor="text1"/>
        </w:rPr>
        <w:t>此外，教育部106年發布「高齡教育中程發展計畫」，執行期程自106年至109年止，重要內容包括應整合各政府機關高齡教育相關資源，提供民眾多元學習管道，並揭櫫培育專業教育人力，強化高齡教育品質；目標強化跨域資源整合，營造友善高齡環境，以「建立體系、創新學習、開發人力及跨域整合」4大面向、14項策略主軸及50項執行策略與方法推動計畫，總預算經費達2,228,198仟元。惟計畫執行迄今，部分辦理內容成效不明，且未見具體績效評估機制及永續經營措施；考量部分原樂齡學習計畫執行團隊本身能量即可達成相關指標，整體規模及資源規劃盤整不足，恐難區辨與原執行相關高齡教育計畫之產出及成果，國家政策主軸及脈絡闕如，況該計畫於109年即屆執行期限，後續整體檢討及因應措施亟待教育部積極整合妥處。</w:t>
      </w:r>
      <w:bookmarkEnd w:id="1642"/>
      <w:bookmarkEnd w:id="1643"/>
    </w:p>
    <w:p w:rsidR="003872FF" w:rsidRPr="00D41D30" w:rsidRDefault="003872FF" w:rsidP="003872FF">
      <w:pPr>
        <w:pStyle w:val="3"/>
        <w:ind w:leftChars="200"/>
        <w:rPr>
          <w:color w:val="000000" w:themeColor="text1"/>
        </w:rPr>
      </w:pPr>
      <w:bookmarkStart w:id="1645" w:name="_Toc32918609"/>
      <w:bookmarkStart w:id="1646" w:name="_Toc33011895"/>
      <w:r w:rsidRPr="00D41D30">
        <w:rPr>
          <w:rFonts w:hint="eastAsia"/>
          <w:color w:val="000000" w:themeColor="text1"/>
        </w:rPr>
        <w:t>綜上論結，政府</w:t>
      </w:r>
      <w:r w:rsidRPr="00D41D30">
        <w:rPr>
          <w:color w:val="000000" w:themeColor="text1"/>
        </w:rPr>
        <w:t>針對不同</w:t>
      </w:r>
      <w:r w:rsidRPr="00D41D30">
        <w:rPr>
          <w:rFonts w:hint="eastAsia"/>
          <w:color w:val="000000" w:themeColor="text1"/>
        </w:rPr>
        <w:t>終身教育</w:t>
      </w:r>
      <w:r w:rsidRPr="00D41D30">
        <w:rPr>
          <w:color w:val="000000" w:themeColor="text1"/>
        </w:rPr>
        <w:t>目標人口及組織定位</w:t>
      </w:r>
      <w:r w:rsidRPr="00D41D30">
        <w:rPr>
          <w:rFonts w:hint="eastAsia"/>
          <w:color w:val="000000" w:themeColor="text1"/>
        </w:rPr>
        <w:t>應有相對應之學習需求及規劃，俾便提供高齡者教育措施之系統性評估及動態調整。依教育部108年「高齡教育高峰會議：迎向超高齡臺灣，建構全樂齡社會」結論及106年「高齡教育中程發展計畫」內容，均提已示大數據資料庫建置之政策需求，惟我國針對高齡者非正規教育政策及實施參與情形，</w:t>
      </w:r>
      <w:r w:rsidRPr="00D41D30">
        <w:rPr>
          <w:rFonts w:ascii="Verdana" w:hAnsi="Verdana" w:hint="eastAsia"/>
          <w:color w:val="000000" w:themeColor="text1"/>
        </w:rPr>
        <w:t>長期均未</w:t>
      </w:r>
      <w:r w:rsidRPr="00D41D30">
        <w:rPr>
          <w:rFonts w:ascii="Verdana" w:hAnsi="Verdana"/>
          <w:color w:val="000000" w:themeColor="text1"/>
        </w:rPr>
        <w:t>建立</w:t>
      </w:r>
      <w:r w:rsidRPr="00D41D30">
        <w:rPr>
          <w:rFonts w:ascii="Verdana" w:hAnsi="Verdana" w:hint="eastAsia"/>
          <w:color w:val="000000" w:themeColor="text1"/>
        </w:rPr>
        <w:t>相關大數據</w:t>
      </w:r>
      <w:r w:rsidRPr="00D41D30">
        <w:rPr>
          <w:rFonts w:ascii="Verdana" w:hAnsi="Verdana"/>
          <w:color w:val="000000" w:themeColor="text1"/>
        </w:rPr>
        <w:t>資料庫，</w:t>
      </w:r>
      <w:r w:rsidRPr="00D41D30">
        <w:rPr>
          <w:rFonts w:ascii="Verdana" w:hAnsi="Verdana" w:hint="eastAsia"/>
          <w:color w:val="000000" w:themeColor="text1"/>
        </w:rPr>
        <w:t>尤缺乏高齡者</w:t>
      </w:r>
      <w:r w:rsidRPr="00D41D30">
        <w:rPr>
          <w:rFonts w:ascii="Verdana" w:hAnsi="Verdana"/>
          <w:color w:val="000000" w:themeColor="text1"/>
        </w:rPr>
        <w:t>終身教育</w:t>
      </w:r>
      <w:r w:rsidRPr="00D41D30">
        <w:rPr>
          <w:rFonts w:ascii="Verdana" w:hAnsi="Verdana" w:hint="eastAsia"/>
          <w:color w:val="000000" w:themeColor="text1"/>
        </w:rPr>
        <w:t>政策實施之</w:t>
      </w:r>
      <w:r w:rsidRPr="00D41D30">
        <w:rPr>
          <w:rFonts w:ascii="Verdana" w:hAnsi="Verdana"/>
          <w:color w:val="000000" w:themeColor="text1"/>
        </w:rPr>
        <w:t>內涵分析</w:t>
      </w:r>
      <w:r w:rsidRPr="00D41D30">
        <w:rPr>
          <w:rFonts w:ascii="Verdana" w:hAnsi="Verdana" w:hint="eastAsia"/>
          <w:color w:val="000000" w:themeColor="text1"/>
        </w:rPr>
        <w:t>以作</w:t>
      </w:r>
      <w:r w:rsidRPr="00D41D30">
        <w:rPr>
          <w:rFonts w:ascii="Verdana" w:hAnsi="Verdana"/>
          <w:color w:val="000000" w:themeColor="text1"/>
        </w:rPr>
        <w:t>為政策規劃、實施和評估</w:t>
      </w:r>
      <w:r w:rsidRPr="00D41D30">
        <w:rPr>
          <w:rFonts w:ascii="Verdana" w:hAnsi="Verdana" w:hint="eastAsia"/>
          <w:color w:val="000000" w:themeColor="text1"/>
        </w:rPr>
        <w:t>之</w:t>
      </w:r>
      <w:r w:rsidRPr="00D41D30">
        <w:rPr>
          <w:rFonts w:ascii="Verdana" w:hAnsi="Verdana"/>
          <w:color w:val="000000" w:themeColor="text1"/>
        </w:rPr>
        <w:t>檢核系統</w:t>
      </w:r>
      <w:r w:rsidRPr="00D41D30">
        <w:rPr>
          <w:rFonts w:ascii="Verdana" w:hAnsi="Verdana" w:hint="eastAsia"/>
          <w:color w:val="000000" w:themeColor="text1"/>
        </w:rPr>
        <w:t>，</w:t>
      </w:r>
      <w:r w:rsidRPr="00D41D30">
        <w:rPr>
          <w:rFonts w:hint="eastAsia"/>
          <w:color w:val="000000" w:themeColor="text1"/>
        </w:rPr>
        <w:t>實證研究闕如，均不利未來推展高齡者終身教育理</w:t>
      </w:r>
      <w:r w:rsidRPr="00D41D30">
        <w:rPr>
          <w:rFonts w:hint="eastAsia"/>
          <w:color w:val="000000" w:themeColor="text1"/>
        </w:rPr>
        <w:lastRenderedPageBreak/>
        <w:t>念及成果之體現</w:t>
      </w:r>
      <w:r w:rsidRPr="00D41D30">
        <w:rPr>
          <w:rFonts w:ascii="Verdana" w:hAnsi="Verdana" w:hint="eastAsia"/>
          <w:color w:val="000000" w:themeColor="text1"/>
        </w:rPr>
        <w:t>，或強化各直轄市及縣（市）政府落實執行高齡教育</w:t>
      </w:r>
      <w:r w:rsidRPr="00D41D30">
        <w:rPr>
          <w:rFonts w:ascii="Verdana" w:hAnsi="Verdana"/>
          <w:color w:val="000000" w:themeColor="text1"/>
        </w:rPr>
        <w:t>架構</w:t>
      </w:r>
      <w:r w:rsidRPr="00D41D30">
        <w:rPr>
          <w:rFonts w:ascii="Verdana" w:hAnsi="Verdana" w:hint="eastAsia"/>
          <w:color w:val="000000" w:themeColor="text1"/>
        </w:rPr>
        <w:t>及改善機制；該部雖於本院調查過程中刻</w:t>
      </w:r>
      <w:r w:rsidRPr="00D41D30">
        <w:rPr>
          <w:rFonts w:hAnsi="標楷體" w:hint="eastAsia"/>
          <w:color w:val="000000" w:themeColor="text1"/>
        </w:rPr>
        <w:t>正盤點及滾動式修正終身學習相關計畫</w:t>
      </w:r>
      <w:r w:rsidRPr="00D41D30">
        <w:rPr>
          <w:rFonts w:ascii="Verdana" w:hAnsi="Verdana" w:hint="eastAsia"/>
          <w:color w:val="000000" w:themeColor="text1"/>
        </w:rPr>
        <w:t>，並委託國立臺灣</w:t>
      </w:r>
      <w:r w:rsidR="00D177E9" w:rsidRPr="00D41D30">
        <w:rPr>
          <w:rFonts w:ascii="Verdana" w:hAnsi="Verdana" w:hint="eastAsia"/>
          <w:color w:val="000000" w:themeColor="text1"/>
        </w:rPr>
        <w:t>師</w:t>
      </w:r>
      <w:r w:rsidRPr="00D41D30">
        <w:rPr>
          <w:rFonts w:ascii="Verdana" w:hAnsi="Verdana" w:hint="eastAsia"/>
          <w:color w:val="000000" w:themeColor="text1"/>
        </w:rPr>
        <w:t>範大學進行</w:t>
      </w:r>
      <w:r w:rsidRPr="00D41D30">
        <w:rPr>
          <w:rFonts w:hint="eastAsia"/>
          <w:color w:val="000000" w:themeColor="text1"/>
        </w:rPr>
        <w:t>「</w:t>
      </w:r>
      <w:r w:rsidRPr="00D41D30">
        <w:rPr>
          <w:rFonts w:ascii="Verdana" w:hAnsi="Verdana" w:hint="eastAsia"/>
          <w:color w:val="000000" w:themeColor="text1"/>
        </w:rPr>
        <w:t>邁向學習社會白皮書</w:t>
      </w:r>
      <w:r w:rsidRPr="00D41D30">
        <w:rPr>
          <w:rFonts w:hAnsi="標楷體" w:hint="eastAsia"/>
          <w:color w:val="000000" w:themeColor="text1"/>
        </w:rPr>
        <w:t>2.0</w:t>
      </w:r>
      <w:r w:rsidRPr="00D41D30">
        <w:rPr>
          <w:rFonts w:ascii="Verdana" w:hAnsi="Verdana" w:hint="eastAsia"/>
          <w:color w:val="000000" w:themeColor="text1"/>
        </w:rPr>
        <w:t>暨終身學習中程發展計畫」，推動「樂齡大數據資料庫」及「強化人才資料庫及運用」等政策架構，惟後續仍亟待教育部積極改檢討改進，應以國家整體高齡教育之發展為思考架構，而非謹以目前該部所實施的樂齡教育為範圍，以建立高齡教育大數據資料庫，人才資料庫及運動等政策。以期落實重要政策之意旨</w:t>
      </w:r>
      <w:r w:rsidRPr="00D41D30">
        <w:rPr>
          <w:rFonts w:ascii="Verdana" w:hAnsi="Verdana"/>
          <w:color w:val="000000" w:themeColor="text1"/>
        </w:rPr>
        <w:t>，建立政策發展之</w:t>
      </w:r>
      <w:r w:rsidRPr="00D41D30">
        <w:rPr>
          <w:rFonts w:ascii="Verdana" w:hAnsi="Verdana" w:hint="eastAsia"/>
          <w:color w:val="000000" w:themeColor="text1"/>
        </w:rPr>
        <w:t>資料庫</w:t>
      </w:r>
      <w:r w:rsidRPr="00D41D30">
        <w:rPr>
          <w:rFonts w:ascii="Verdana" w:hAnsi="Verdana"/>
          <w:color w:val="000000" w:themeColor="text1"/>
        </w:rPr>
        <w:t>機制</w:t>
      </w:r>
      <w:r w:rsidRPr="00D41D30">
        <w:rPr>
          <w:rFonts w:ascii="Verdana" w:hAnsi="Verdana" w:hint="eastAsia"/>
          <w:color w:val="000000" w:themeColor="text1"/>
        </w:rPr>
        <w:t>，共創中央、地方及學界共同發展質量並重之高齡教育體系</w:t>
      </w:r>
      <w:r w:rsidRPr="00D41D30">
        <w:rPr>
          <w:rFonts w:hint="eastAsia"/>
          <w:color w:val="000000" w:themeColor="text1"/>
        </w:rPr>
        <w:t>。</w:t>
      </w:r>
      <w:bookmarkEnd w:id="1644"/>
      <w:bookmarkEnd w:id="1645"/>
      <w:bookmarkEnd w:id="1646"/>
    </w:p>
    <w:p w:rsidR="003872FF" w:rsidRPr="00D41D30" w:rsidRDefault="003872FF" w:rsidP="00D41D30">
      <w:pPr>
        <w:pStyle w:val="2"/>
        <w:spacing w:beforeLines="100" w:before="457"/>
        <w:ind w:left="1020" w:hanging="680"/>
        <w:rPr>
          <w:b/>
          <w:color w:val="000000" w:themeColor="text1"/>
        </w:rPr>
      </w:pPr>
      <w:bookmarkStart w:id="1647" w:name="_Toc33011896"/>
      <w:r w:rsidRPr="00D41D30">
        <w:rPr>
          <w:rFonts w:hint="eastAsia"/>
          <w:b/>
          <w:color w:val="000000" w:themeColor="text1"/>
        </w:rPr>
        <w:t>我國於107年通過與聯合國永續發展目標高度一致的「臺灣永續發展目標」，其中「提倡終身學習」之核心目標，不僅影響我國與國際社會達成全球永續發展目標之合作關係，亦攸關國內衛生醫療、經濟發展及整體公民社會成長甚鉅；我國即將於2026年邁入超高齡社會，過去我國雖為亞洲先行推動高齡者教育政策之國家，亦為許多國家考察仿效之對象，惟查近年推動終身教育之進度及國際視野卻幾近落後國際，成人學習之參與率亦不若同為亞洲國家且曾借鏡我國制度的韓國呈穩定增長，況教育部既已於</w:t>
      </w:r>
      <w:r w:rsidRPr="00D41D30">
        <w:rPr>
          <w:b/>
          <w:color w:val="000000" w:themeColor="text1"/>
        </w:rPr>
        <w:t>107</w:t>
      </w:r>
      <w:r w:rsidRPr="00D41D30">
        <w:rPr>
          <w:rFonts w:hint="eastAsia"/>
          <w:b/>
          <w:color w:val="000000" w:themeColor="text1"/>
        </w:rPr>
        <w:t>年赴韓國考察其「學分銀行」、「終身教育師」及</w:t>
      </w:r>
      <w:r w:rsidRPr="00D41D30">
        <w:rPr>
          <w:rFonts w:hAnsi="標楷體" w:hint="eastAsia"/>
          <w:b/>
          <w:color w:val="000000" w:themeColor="text1"/>
        </w:rPr>
        <w:t>非正規學習成就認證推動情形</w:t>
      </w:r>
      <w:r w:rsidRPr="00D41D30">
        <w:rPr>
          <w:rFonts w:hint="eastAsia"/>
          <w:b/>
          <w:color w:val="000000" w:themeColor="text1"/>
        </w:rPr>
        <w:t>等制度，並參照其經驗提出相關行政變革建議，自應積極正</w:t>
      </w:r>
      <w:r w:rsidR="00B126D1">
        <w:rPr>
          <w:rFonts w:hint="eastAsia"/>
          <w:b/>
          <w:color w:val="000000" w:themeColor="text1"/>
        </w:rPr>
        <w:t>視</w:t>
      </w:r>
      <w:r w:rsidRPr="00D41D30">
        <w:rPr>
          <w:rFonts w:hint="eastAsia"/>
          <w:b/>
          <w:color w:val="000000" w:themeColor="text1"/>
        </w:rPr>
        <w:t>其精神與內涵，審慎研議改善我國終身教育制度之困境；此外如國際上推動高齡教育所一併正視之高齡者職業教育</w:t>
      </w:r>
      <w:r w:rsidRPr="00D41D30">
        <w:rPr>
          <w:rFonts w:hAnsi="標楷體" w:hint="eastAsia"/>
          <w:b/>
          <w:color w:val="000000" w:themeColor="text1"/>
        </w:rPr>
        <w:t>、強化高齡</w:t>
      </w:r>
      <w:r w:rsidRPr="00D41D30">
        <w:rPr>
          <w:rFonts w:hint="eastAsia"/>
          <w:b/>
          <w:color w:val="000000" w:themeColor="text1"/>
        </w:rPr>
        <w:t>勞動力再運用及相關人力</w:t>
      </w:r>
      <w:r w:rsidRPr="00D41D30">
        <w:rPr>
          <w:rFonts w:hint="eastAsia"/>
          <w:b/>
          <w:color w:val="000000" w:themeColor="text1"/>
        </w:rPr>
        <w:lastRenderedPageBreak/>
        <w:t>資源措施，有待教育部後續積極掌握國際趨勢政策及推動措施可資參考借鏡之處，以落實教育永續發展</w:t>
      </w:r>
      <w:r w:rsidR="00D177E9" w:rsidRPr="00D41D30">
        <w:rPr>
          <w:rFonts w:hint="eastAsia"/>
          <w:b/>
          <w:color w:val="000000" w:themeColor="text1"/>
        </w:rPr>
        <w:t>之</w:t>
      </w:r>
      <w:r w:rsidRPr="00D41D30">
        <w:rPr>
          <w:rFonts w:hint="eastAsia"/>
          <w:b/>
          <w:color w:val="000000" w:themeColor="text1"/>
        </w:rPr>
        <w:t>目標</w:t>
      </w:r>
      <w:bookmarkEnd w:id="1647"/>
    </w:p>
    <w:p w:rsidR="003872FF" w:rsidRPr="00D41D30" w:rsidRDefault="003872FF" w:rsidP="003872FF">
      <w:pPr>
        <w:pStyle w:val="3"/>
        <w:widowControl/>
        <w:overflowPunct/>
        <w:autoSpaceDE/>
        <w:autoSpaceDN/>
        <w:ind w:leftChars="200"/>
        <w:rPr>
          <w:rFonts w:hAnsi="標楷體"/>
          <w:color w:val="000000" w:themeColor="text1"/>
        </w:rPr>
      </w:pPr>
      <w:bookmarkStart w:id="1648" w:name="_Toc30512621"/>
      <w:bookmarkStart w:id="1649" w:name="_Toc30581331"/>
      <w:bookmarkStart w:id="1650" w:name="_Toc32392612"/>
      <w:bookmarkStart w:id="1651" w:name="_Toc32673819"/>
      <w:bookmarkStart w:id="1652" w:name="_Toc32846703"/>
      <w:bookmarkStart w:id="1653" w:name="_Toc32918611"/>
      <w:bookmarkStart w:id="1654" w:name="_Toc33011897"/>
      <w:r w:rsidRPr="00D41D30">
        <w:rPr>
          <w:rFonts w:hAnsi="標楷體"/>
          <w:color w:val="000000" w:themeColor="text1"/>
        </w:rPr>
        <w:t>聯合國教育、科學與文化組織（United Nations Educational,Scientific</w:t>
      </w:r>
      <w:r w:rsidRPr="00D41D30">
        <w:rPr>
          <w:rFonts w:hAnsi="標楷體" w:hint="eastAsia"/>
          <w:color w:val="000000" w:themeColor="text1"/>
        </w:rPr>
        <w:t xml:space="preserve"> </w:t>
      </w:r>
      <w:r w:rsidRPr="00D41D30">
        <w:rPr>
          <w:rFonts w:hAnsi="標楷體"/>
          <w:color w:val="000000" w:themeColor="text1"/>
        </w:rPr>
        <w:t>and Cultural Organization，以下簡稱UNESCO）於2019年12月4日發布第4次《成人學習與教育全球報告》（UNESCO’s fourth Global Report on Adult Learning and Education）</w:t>
      </w:r>
      <w:r w:rsidRPr="00D41D30">
        <w:rPr>
          <w:rStyle w:val="aff0"/>
          <w:rFonts w:hAnsi="標楷體"/>
          <w:color w:val="000000" w:themeColor="text1"/>
        </w:rPr>
        <w:footnoteReference w:id="43"/>
      </w:r>
      <w:r w:rsidRPr="00D41D30">
        <w:rPr>
          <w:rFonts w:hAnsi="標楷體"/>
          <w:color w:val="000000" w:themeColor="text1"/>
        </w:rPr>
        <w:t>，該報告指出「成人學習與教育」是實踐聯合國2030年永續發展目標（Sustainable Development Goals，簡稱SDGs）的關鍵，因「成人學習與教育」所影響的領域包</w:t>
      </w:r>
      <w:r w:rsidRPr="00D41D30">
        <w:rPr>
          <w:rFonts w:hAnsi="標楷體" w:hint="eastAsia"/>
          <w:color w:val="000000" w:themeColor="text1"/>
        </w:rPr>
        <w:t>括「</w:t>
      </w:r>
      <w:r w:rsidRPr="00D41D30">
        <w:rPr>
          <w:rFonts w:hAnsi="標楷體"/>
          <w:color w:val="000000" w:themeColor="text1"/>
        </w:rPr>
        <w:t>確保健康及促進福祉</w:t>
      </w:r>
      <w:r w:rsidRPr="00D41D30">
        <w:rPr>
          <w:rFonts w:hAnsi="標楷體" w:hint="eastAsia"/>
          <w:color w:val="000000" w:themeColor="text1"/>
        </w:rPr>
        <w:t>」</w:t>
      </w:r>
      <w:r w:rsidRPr="00D41D30">
        <w:rPr>
          <w:rFonts w:hAnsi="標楷體"/>
          <w:color w:val="000000" w:themeColor="text1"/>
        </w:rPr>
        <w:t>、</w:t>
      </w:r>
      <w:r w:rsidRPr="00D41D30">
        <w:rPr>
          <w:rFonts w:hAnsi="標楷體" w:hint="eastAsia"/>
          <w:color w:val="000000" w:themeColor="text1"/>
        </w:rPr>
        <w:t>「</w:t>
      </w:r>
      <w:r w:rsidRPr="00D41D30">
        <w:rPr>
          <w:rFonts w:hAnsi="標楷體"/>
          <w:color w:val="000000" w:themeColor="text1"/>
        </w:rPr>
        <w:t>提供工作機會</w:t>
      </w:r>
      <w:r w:rsidRPr="00D41D30">
        <w:rPr>
          <w:rFonts w:hAnsi="標楷體" w:hint="eastAsia"/>
          <w:color w:val="000000" w:themeColor="text1"/>
        </w:rPr>
        <w:t>」</w:t>
      </w:r>
      <w:r w:rsidRPr="00D41D30">
        <w:rPr>
          <w:rFonts w:hAnsi="標楷體"/>
          <w:color w:val="000000" w:themeColor="text1"/>
        </w:rPr>
        <w:t>及</w:t>
      </w:r>
      <w:r w:rsidRPr="00D41D30">
        <w:rPr>
          <w:rFonts w:hAnsi="標楷體" w:hint="eastAsia"/>
          <w:color w:val="000000" w:themeColor="text1"/>
        </w:rPr>
        <w:t>「</w:t>
      </w:r>
      <w:r w:rsidRPr="00D41D30">
        <w:rPr>
          <w:rFonts w:hAnsi="標楷體"/>
          <w:color w:val="000000" w:themeColor="text1"/>
        </w:rPr>
        <w:t>促進包容且永續的經濟成長</w:t>
      </w:r>
      <w:r w:rsidRPr="00D41D30">
        <w:rPr>
          <w:rFonts w:hAnsi="標楷體" w:hint="eastAsia"/>
          <w:color w:val="000000" w:themeColor="text1"/>
        </w:rPr>
        <w:t>」</w:t>
      </w:r>
      <w:r w:rsidRPr="00D41D30">
        <w:rPr>
          <w:rFonts w:hAnsi="標楷體"/>
          <w:color w:val="000000" w:themeColor="text1"/>
        </w:rPr>
        <w:t>等，</w:t>
      </w:r>
      <w:r w:rsidRPr="00D41D30">
        <w:rPr>
          <w:rFonts w:hAnsi="標楷體" w:hint="eastAsia"/>
          <w:color w:val="000000" w:themeColor="text1"/>
        </w:rPr>
        <w:t>而</w:t>
      </w:r>
      <w:r w:rsidRPr="00D41D30">
        <w:rPr>
          <w:rFonts w:hAnsi="標楷體"/>
          <w:color w:val="000000" w:themeColor="text1"/>
        </w:rPr>
        <w:t>透過成人教育將直接影響</w:t>
      </w:r>
      <w:r w:rsidRPr="00D41D30">
        <w:rPr>
          <w:rFonts w:hAnsi="標楷體" w:hint="eastAsia"/>
          <w:color w:val="000000" w:themeColor="text1"/>
        </w:rPr>
        <w:t>個人或團體的</w:t>
      </w:r>
      <w:r w:rsidRPr="00D41D30">
        <w:rPr>
          <w:rFonts w:hAnsi="標楷體"/>
          <w:color w:val="000000" w:themeColor="text1"/>
        </w:rPr>
        <w:t>健康行為和態度、延長預期平均壽命、減少文明病（lifestyle diseases）及降低醫療保健支出。此外，投資成人教育對勞動力市場中的個人及雇主均有更廣泛的經濟利益，並可強化社會凝聚力和包容性，進而促進公民參與及增加社會資本；為落實聯合國永續發展目標（SDGs），我國除於2017年發布「國家自願檢視報告」（Voluntary National Review，簡稱VNR），與各國分享相關經驗與成果外，亦於2018年通過與聯合國永續發展目標高度一致的「臺灣永續發展目標」，其中核心目標4即「確保全面、公平及高品質教育，提倡終身學習」，是以，推動終身教育不僅</w:t>
      </w:r>
      <w:r w:rsidRPr="00D41D30">
        <w:rPr>
          <w:rFonts w:hAnsi="標楷體" w:hint="eastAsia"/>
          <w:color w:val="000000" w:themeColor="text1"/>
        </w:rPr>
        <w:t>關乎</w:t>
      </w:r>
      <w:r w:rsidRPr="00D41D30">
        <w:rPr>
          <w:rFonts w:hAnsi="標楷體" w:hint="eastAsia"/>
          <w:color w:val="000000" w:themeColor="text1"/>
        </w:rPr>
        <w:lastRenderedPageBreak/>
        <w:t>我國與</w:t>
      </w:r>
      <w:r w:rsidRPr="00D41D30">
        <w:rPr>
          <w:rFonts w:hAnsi="標楷體"/>
          <w:color w:val="000000" w:themeColor="text1"/>
        </w:rPr>
        <w:t>國際社會達成全球永續發展</w:t>
      </w:r>
      <w:r w:rsidRPr="00D41D30">
        <w:rPr>
          <w:rFonts w:hAnsi="標楷體" w:hint="eastAsia"/>
          <w:color w:val="000000" w:themeColor="text1"/>
        </w:rPr>
        <w:t>目標之合作關係，更影響</w:t>
      </w:r>
      <w:r w:rsidRPr="00D41D30">
        <w:rPr>
          <w:rFonts w:hAnsi="標楷體"/>
          <w:color w:val="000000" w:themeColor="text1"/>
        </w:rPr>
        <w:t>國</w:t>
      </w:r>
      <w:r w:rsidRPr="00D41D30">
        <w:rPr>
          <w:rFonts w:hAnsi="標楷體" w:hint="eastAsia"/>
          <w:color w:val="000000" w:themeColor="text1"/>
        </w:rPr>
        <w:t>內</w:t>
      </w:r>
      <w:r w:rsidRPr="00D41D30">
        <w:rPr>
          <w:rFonts w:hAnsi="標楷體"/>
          <w:color w:val="000000" w:themeColor="text1"/>
        </w:rPr>
        <w:t>衛生醫療、經濟發展及整體公民社會成長</w:t>
      </w:r>
      <w:r w:rsidRPr="00D41D30">
        <w:rPr>
          <w:rFonts w:hAnsi="標楷體" w:hint="eastAsia"/>
          <w:color w:val="000000" w:themeColor="text1"/>
        </w:rPr>
        <w:t>甚鉅</w:t>
      </w:r>
      <w:r w:rsidRPr="00D41D30">
        <w:rPr>
          <w:rFonts w:hAnsi="標楷體"/>
          <w:color w:val="000000" w:themeColor="text1"/>
        </w:rPr>
        <w:t>。</w:t>
      </w:r>
      <w:bookmarkEnd w:id="1648"/>
      <w:bookmarkEnd w:id="1649"/>
      <w:bookmarkEnd w:id="1650"/>
      <w:bookmarkEnd w:id="1651"/>
      <w:bookmarkEnd w:id="1652"/>
      <w:bookmarkEnd w:id="1653"/>
      <w:bookmarkEnd w:id="1654"/>
    </w:p>
    <w:p w:rsidR="003872FF" w:rsidRPr="00D41D30" w:rsidRDefault="003872FF" w:rsidP="003872FF">
      <w:pPr>
        <w:pStyle w:val="3"/>
        <w:rPr>
          <w:rFonts w:hAnsi="標楷體"/>
          <w:color w:val="000000" w:themeColor="text1"/>
        </w:rPr>
      </w:pPr>
      <w:bookmarkStart w:id="1655" w:name="_Toc30512622"/>
      <w:bookmarkStart w:id="1656" w:name="_Toc30581332"/>
      <w:bookmarkStart w:id="1657" w:name="_Toc32392613"/>
      <w:bookmarkStart w:id="1658" w:name="_Toc32673820"/>
      <w:bookmarkStart w:id="1659" w:name="_Toc32846704"/>
      <w:bookmarkStart w:id="1660" w:name="_Toc32918612"/>
      <w:bookmarkStart w:id="1661" w:name="_Toc33011898"/>
      <w:r w:rsidRPr="00D41D30">
        <w:rPr>
          <w:rFonts w:hAnsi="標楷體" w:hint="eastAsia"/>
          <w:color w:val="000000" w:themeColor="text1"/>
        </w:rPr>
        <w:t>查教育部於2018年8月赴韓國考察終身學習專業人員與非正規學習成就認證推動情形，相關考察報告之建議事項納入法令增修及施政措施之參採情形如下</w:t>
      </w:r>
      <w:r w:rsidRPr="00D41D30">
        <w:rPr>
          <w:rStyle w:val="aff0"/>
          <w:rFonts w:hAnsi="標楷體"/>
          <w:color w:val="000000" w:themeColor="text1"/>
        </w:rPr>
        <w:footnoteReference w:id="44"/>
      </w:r>
      <w:r w:rsidRPr="00D41D30">
        <w:rPr>
          <w:rFonts w:hAnsi="標楷體" w:hint="eastAsia"/>
          <w:color w:val="000000" w:themeColor="text1"/>
        </w:rPr>
        <w:t>：</w:t>
      </w:r>
      <w:bookmarkEnd w:id="1655"/>
      <w:bookmarkEnd w:id="1656"/>
      <w:bookmarkEnd w:id="1657"/>
      <w:bookmarkEnd w:id="1658"/>
      <w:bookmarkEnd w:id="1659"/>
      <w:bookmarkEnd w:id="1660"/>
      <w:bookmarkEnd w:id="1661"/>
    </w:p>
    <w:p w:rsidR="003872FF" w:rsidRPr="00D41D30" w:rsidRDefault="003872FF" w:rsidP="003872FF">
      <w:pPr>
        <w:pStyle w:val="4"/>
        <w:rPr>
          <w:rFonts w:hAnsi="標楷體"/>
          <w:color w:val="000000" w:themeColor="text1"/>
        </w:rPr>
      </w:pPr>
      <w:r w:rsidRPr="00D41D30">
        <w:rPr>
          <w:rFonts w:hAnsi="標楷體" w:hint="eastAsia"/>
          <w:color w:val="000000" w:themeColor="text1"/>
        </w:rPr>
        <w:t>訂定發布「社區大學學習證書發給準則」：</w:t>
      </w:r>
    </w:p>
    <w:p w:rsidR="003872FF" w:rsidRPr="00D41D30" w:rsidRDefault="003872FF" w:rsidP="003872FF">
      <w:pPr>
        <w:pStyle w:val="5"/>
        <w:ind w:left="2041"/>
        <w:rPr>
          <w:rFonts w:hAnsi="標楷體"/>
          <w:color w:val="000000" w:themeColor="text1"/>
        </w:rPr>
      </w:pPr>
      <w:r w:rsidRPr="00D41D30">
        <w:rPr>
          <w:rFonts w:hAnsi="標楷體" w:hint="eastAsia"/>
          <w:color w:val="000000" w:themeColor="text1"/>
        </w:rPr>
        <w:t>民眾的學習不應受時間和地點的限制，為鼓勵民眾持續終身學習，爰於研訂社區大學發展條例相關子法時，參採「韓國學分銀行」之精神，於社區大學學習證書發給規範，讓民眾的終身學習成就可以累積並且帶著走。</w:t>
      </w:r>
    </w:p>
    <w:p w:rsidR="003872FF" w:rsidRPr="00D41D30" w:rsidRDefault="003872FF" w:rsidP="003872FF">
      <w:pPr>
        <w:pStyle w:val="5"/>
        <w:ind w:left="2041"/>
        <w:rPr>
          <w:rFonts w:hAnsi="標楷體"/>
          <w:color w:val="000000" w:themeColor="text1"/>
        </w:rPr>
      </w:pPr>
      <w:r w:rsidRPr="00D41D30">
        <w:rPr>
          <w:rFonts w:hAnsi="標楷體" w:hint="eastAsia"/>
          <w:color w:val="000000" w:themeColor="text1"/>
        </w:rPr>
        <w:t>依「社區大學學習證書發給準則」規定，在同一直轄市、縣（市）不同社區大學，或跨直轄市、縣（市）不同社區大學所發給的學習證明都可以累計，學習成就累積達一定程度，由直轄市、縣（市）政府核發學習證書，包括取得16學分以上發給「學群證書」、32學分以上發給「領域證書」、128學分以上即可發給「畢業證書」。</w:t>
      </w:r>
    </w:p>
    <w:p w:rsidR="003872FF" w:rsidRPr="00D41D30" w:rsidRDefault="003872FF" w:rsidP="003872FF">
      <w:pPr>
        <w:pStyle w:val="5"/>
        <w:ind w:left="2041"/>
        <w:rPr>
          <w:rFonts w:hAnsi="標楷體"/>
          <w:color w:val="000000" w:themeColor="text1"/>
        </w:rPr>
      </w:pPr>
      <w:r w:rsidRPr="00D41D30">
        <w:rPr>
          <w:rFonts w:hAnsi="標楷體" w:hint="eastAsia"/>
          <w:color w:val="000000" w:themeColor="text1"/>
        </w:rPr>
        <w:t>民眾只要能在社區大學持續參與各項學習課程及活動，除可依個人興趣與需求精進各領域專業知識及拓展人際關係外，其終身學習成就並將獲得累計及由地方政府首長發給各類學習證書，提供社區大學在發展上更加健全完善的法制基礎。</w:t>
      </w:r>
    </w:p>
    <w:p w:rsidR="003872FF" w:rsidRPr="00D41D30" w:rsidRDefault="003872FF" w:rsidP="003872FF">
      <w:pPr>
        <w:pStyle w:val="4"/>
        <w:rPr>
          <w:rFonts w:hAnsi="標楷體"/>
          <w:color w:val="000000" w:themeColor="text1"/>
        </w:rPr>
      </w:pPr>
      <w:r w:rsidRPr="00D41D30">
        <w:rPr>
          <w:rFonts w:hAnsi="標楷體" w:hint="eastAsia"/>
          <w:color w:val="000000" w:themeColor="text1"/>
        </w:rPr>
        <w:t>研修「樂齡學習專業人員培訓要點」：</w:t>
      </w:r>
    </w:p>
    <w:p w:rsidR="003872FF" w:rsidRPr="00D41D30" w:rsidRDefault="003872FF" w:rsidP="003872FF">
      <w:pPr>
        <w:pStyle w:val="5"/>
        <w:ind w:left="2041"/>
        <w:rPr>
          <w:rFonts w:hAnsi="標楷體"/>
          <w:color w:val="000000" w:themeColor="text1"/>
        </w:rPr>
      </w:pPr>
      <w:r w:rsidRPr="00D41D30">
        <w:rPr>
          <w:rFonts w:hAnsi="標楷體" w:hint="eastAsia"/>
          <w:color w:val="000000" w:themeColor="text1"/>
        </w:rPr>
        <w:lastRenderedPageBreak/>
        <w:t>有鑒於韓國修法推動「終身教育師制度」，希冀藉由養成、配置及在職進修之方式，培訓具備實務能力及專業性的終身教育專門職員。</w:t>
      </w:r>
    </w:p>
    <w:p w:rsidR="003872FF" w:rsidRPr="00D41D30" w:rsidRDefault="003872FF" w:rsidP="00B26318">
      <w:pPr>
        <w:pStyle w:val="5"/>
        <w:ind w:left="2041"/>
        <w:rPr>
          <w:rFonts w:hAnsi="標楷體"/>
          <w:color w:val="000000" w:themeColor="text1"/>
        </w:rPr>
      </w:pPr>
      <w:r w:rsidRPr="00D41D30">
        <w:rPr>
          <w:rFonts w:hAnsi="標楷體" w:hint="eastAsia"/>
          <w:color w:val="000000" w:themeColor="text1"/>
        </w:rPr>
        <w:t>教育部於全面建立終身學習機構人員專業制度之前，除透過相關培訓增能措施外，刻正研修「樂齡學習專業人員培訓要點」，期能就樂齡學習中心人員以行政規則明定相關規範，俟建立專業培訓制度後，再逐步朝專業證照制度發展。</w:t>
      </w:r>
    </w:p>
    <w:p w:rsidR="003872FF" w:rsidRPr="00D41D30" w:rsidRDefault="003872FF" w:rsidP="003872FF">
      <w:pPr>
        <w:pStyle w:val="4"/>
        <w:rPr>
          <w:rFonts w:hAnsi="標楷體"/>
          <w:color w:val="000000" w:themeColor="text1"/>
        </w:rPr>
      </w:pPr>
      <w:r w:rsidRPr="00D41D30">
        <w:rPr>
          <w:rFonts w:hAnsi="標楷體" w:hint="eastAsia"/>
          <w:color w:val="000000" w:themeColor="text1"/>
        </w:rPr>
        <w:t>強化相關研究並整體規劃終身學習中長程政策：為整體規劃終身學習政策及完善終身學習體系，未來除透過國家教育研究院持續提供有關各國終身學習及高齡教育發展趨勢，教育部將結合大學校院研發能量擴展有關終身學習研究及議題規劃，並刻正進行「邁向學習社會白皮書2.0暨終身學習中程計畫」之研擬，將以全國國民為對象，整合各界資源，共同推動終身學習，以期達成建立終身學習社會之願景。</w:t>
      </w:r>
    </w:p>
    <w:p w:rsidR="003872FF" w:rsidRPr="00D41D30" w:rsidRDefault="003872FF" w:rsidP="003872FF">
      <w:pPr>
        <w:pStyle w:val="3"/>
        <w:rPr>
          <w:color w:val="000000" w:themeColor="text1"/>
        </w:rPr>
      </w:pPr>
      <w:bookmarkStart w:id="1662" w:name="_Toc30512623"/>
      <w:bookmarkStart w:id="1663" w:name="_Toc30581333"/>
      <w:bookmarkStart w:id="1664" w:name="_Toc32392614"/>
      <w:bookmarkStart w:id="1665" w:name="_Toc32673821"/>
      <w:bookmarkStart w:id="1666" w:name="_Toc32846705"/>
      <w:bookmarkStart w:id="1667" w:name="_Toc32918613"/>
      <w:bookmarkStart w:id="1668" w:name="_Toc33011899"/>
      <w:r w:rsidRPr="00D41D30">
        <w:rPr>
          <w:rFonts w:hint="eastAsia"/>
          <w:color w:val="000000" w:themeColor="text1"/>
        </w:rPr>
        <w:t>承前，韓國的「學分銀行」及「終身教育師」均為其推動終身教育之專業特色建制，而UNESCO第4次《成人學習與教育全球報告》中亦提及韓國的終身教育師制度（</w:t>
      </w:r>
      <w:r w:rsidRPr="00D41D30">
        <w:rPr>
          <w:rFonts w:hAnsi="標楷體"/>
          <w:color w:val="000000" w:themeColor="text1"/>
        </w:rPr>
        <w:t>lifelong educators</w:t>
      </w:r>
      <w:r w:rsidRPr="00D41D30">
        <w:rPr>
          <w:rFonts w:hint="eastAsia"/>
          <w:color w:val="000000" w:themeColor="text1"/>
        </w:rPr>
        <w:t>），該國的國家終身學習機構在2017年重新定義終身教育師的角色和職責，依能力分等級開設相關師資培訓課程，透過監測課程及評估師資培訓結果，翌年再修正培訓課程並進行試點，這種系統性的培訓課程將有助於提高終身教育師的專業技能，並維護終身教育服務的質量，故瞭解韓國整體推動終身教育制度之營運模式、策略及支持</w:t>
      </w:r>
      <w:r w:rsidRPr="00D41D30">
        <w:rPr>
          <w:rFonts w:hint="eastAsia"/>
          <w:color w:val="000000" w:themeColor="text1"/>
        </w:rPr>
        <w:lastRenderedPageBreak/>
        <w:t>系統將有利我國研訂終身學習相關政策之參考；縱使我國投入終身教育的預算與韓國差距極大</w:t>
      </w:r>
      <w:r w:rsidRPr="00D41D30">
        <w:rPr>
          <w:rStyle w:val="aff0"/>
          <w:rFonts w:hAnsi="標楷體"/>
          <w:color w:val="000000" w:themeColor="text1"/>
        </w:rPr>
        <w:footnoteReference w:id="45"/>
      </w:r>
      <w:r w:rsidRPr="00D41D30">
        <w:rPr>
          <w:rFonts w:hint="eastAsia"/>
          <w:color w:val="000000" w:themeColor="text1"/>
        </w:rPr>
        <w:t>，惟韓國老年人口占總人口比率與我國相似度卻極高，依國家發展委員會資料，我國與韓國同時於2018年邁入高齡社會（65歲以上人口超過14%），且預估分別將於2026年及2025年從「高齡社會」轉變至「超高齡社會」（65歲以上人口超過20%），如下圖：</w:t>
      </w:r>
      <w:bookmarkEnd w:id="1662"/>
      <w:bookmarkEnd w:id="1663"/>
      <w:bookmarkEnd w:id="1664"/>
      <w:bookmarkEnd w:id="1665"/>
      <w:bookmarkEnd w:id="1666"/>
      <w:bookmarkEnd w:id="1667"/>
      <w:bookmarkEnd w:id="1668"/>
    </w:p>
    <w:p w:rsidR="003872FF" w:rsidRPr="00D41D30" w:rsidRDefault="003872FF" w:rsidP="003872FF">
      <w:pPr>
        <w:pStyle w:val="1"/>
        <w:numPr>
          <w:ilvl w:val="0"/>
          <w:numId w:val="0"/>
        </w:numPr>
        <w:ind w:left="2381" w:hanging="2381"/>
        <w:rPr>
          <w:color w:val="000000" w:themeColor="text1"/>
        </w:rPr>
      </w:pPr>
      <w:bookmarkStart w:id="1669" w:name="_Toc30512624"/>
      <w:bookmarkStart w:id="1670" w:name="_Toc30581334"/>
      <w:bookmarkStart w:id="1671" w:name="_Toc32392615"/>
      <w:bookmarkStart w:id="1672" w:name="_Toc32673822"/>
      <w:bookmarkStart w:id="1673" w:name="_Toc32846706"/>
      <w:bookmarkStart w:id="1674" w:name="_Toc32918614"/>
      <w:bookmarkStart w:id="1675" w:name="_Toc33011900"/>
      <w:r w:rsidRPr="00D41D30">
        <w:rPr>
          <w:rFonts w:hAnsi="標楷體"/>
          <w:noProof/>
          <w:color w:val="000000" w:themeColor="text1"/>
        </w:rPr>
        <w:drawing>
          <wp:anchor distT="0" distB="0" distL="114300" distR="114300" simplePos="0" relativeHeight="251695104" behindDoc="0" locked="0" layoutInCell="1" allowOverlap="1" wp14:anchorId="2D7A6BDA" wp14:editId="4C885520">
            <wp:simplePos x="0" y="0"/>
            <wp:positionH relativeFrom="margin">
              <wp:align>left</wp:align>
            </wp:positionH>
            <wp:positionV relativeFrom="paragraph">
              <wp:posOffset>354330</wp:posOffset>
            </wp:positionV>
            <wp:extent cx="5822950" cy="2646680"/>
            <wp:effectExtent l="0" t="0" r="6350" b="127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0665" t="37628" r="11804" b="15900"/>
                    <a:stretch/>
                  </pic:blipFill>
                  <pic:spPr bwMode="auto">
                    <a:xfrm>
                      <a:off x="0" y="0"/>
                      <a:ext cx="5822950" cy="264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669"/>
      <w:bookmarkEnd w:id="1670"/>
      <w:bookmarkEnd w:id="1671"/>
      <w:bookmarkEnd w:id="1672"/>
      <w:bookmarkEnd w:id="1673"/>
      <w:bookmarkEnd w:id="1674"/>
      <w:bookmarkEnd w:id="1675"/>
    </w:p>
    <w:p w:rsidR="003872FF" w:rsidRPr="00D41D30" w:rsidRDefault="003872FF" w:rsidP="003872FF">
      <w:pPr>
        <w:pStyle w:val="a2"/>
        <w:ind w:left="1361" w:hanging="1361"/>
        <w:rPr>
          <w:rFonts w:hAnsi="標楷體"/>
          <w:color w:val="000000" w:themeColor="text1"/>
        </w:rPr>
      </w:pPr>
      <w:r w:rsidRPr="00D41D30">
        <w:rPr>
          <w:rFonts w:hAnsi="標楷體" w:hint="eastAsia"/>
          <w:color w:val="000000" w:themeColor="text1"/>
        </w:rPr>
        <w:t>主要國家老年人口占總人口比率預估圖</w:t>
      </w:r>
    </w:p>
    <w:p w:rsidR="003872FF" w:rsidRPr="00D41D30" w:rsidRDefault="003872FF" w:rsidP="003872FF">
      <w:pPr>
        <w:pStyle w:val="af8"/>
        <w:jc w:val="center"/>
        <w:rPr>
          <w:color w:val="000000" w:themeColor="text1"/>
          <w:sz w:val="24"/>
          <w:szCs w:val="24"/>
        </w:rPr>
      </w:pPr>
      <w:bookmarkStart w:id="1676" w:name="_Toc30512625"/>
      <w:bookmarkStart w:id="1677" w:name="_Toc30581335"/>
      <w:bookmarkStart w:id="1678" w:name="_Toc32392616"/>
      <w:bookmarkStart w:id="1679" w:name="_Toc32673823"/>
      <w:bookmarkStart w:id="1680" w:name="_Toc32846707"/>
      <w:r w:rsidRPr="00D41D30">
        <w:rPr>
          <w:rFonts w:hint="eastAsia"/>
          <w:color w:val="000000" w:themeColor="text1"/>
          <w:sz w:val="24"/>
          <w:szCs w:val="24"/>
        </w:rPr>
        <w:t>資料來源：國家發展委員會。</w:t>
      </w:r>
      <w:bookmarkEnd w:id="1676"/>
      <w:bookmarkEnd w:id="1677"/>
      <w:bookmarkEnd w:id="1678"/>
      <w:bookmarkEnd w:id="1679"/>
      <w:bookmarkEnd w:id="1680"/>
    </w:p>
    <w:p w:rsidR="003872FF" w:rsidRPr="00D41D30" w:rsidRDefault="003872FF" w:rsidP="003872FF">
      <w:pPr>
        <w:pStyle w:val="32"/>
        <w:spacing w:beforeLines="100" w:before="457"/>
        <w:ind w:left="1361" w:firstLine="680"/>
        <w:rPr>
          <w:rFonts w:hAnsi="標楷體"/>
          <w:color w:val="000000" w:themeColor="text1"/>
        </w:rPr>
      </w:pPr>
      <w:r w:rsidRPr="00D41D30">
        <w:rPr>
          <w:rFonts w:hAnsi="標楷體" w:hint="eastAsia"/>
          <w:color w:val="000000" w:themeColor="text1"/>
        </w:rPr>
        <w:t>由上圖可知，我國65歲以上人口占總人口比率，於2015至2065年間，由圖中國家最低之列，快速增加至高於其他國家。</w:t>
      </w:r>
    </w:p>
    <w:p w:rsidR="003872FF" w:rsidRPr="00D41D30" w:rsidRDefault="00D177E9" w:rsidP="003872FF">
      <w:pPr>
        <w:pStyle w:val="3"/>
        <w:rPr>
          <w:color w:val="000000" w:themeColor="text1"/>
        </w:rPr>
      </w:pPr>
      <w:bookmarkStart w:id="1681" w:name="_Toc30512626"/>
      <w:bookmarkStart w:id="1682" w:name="_Toc30581336"/>
      <w:bookmarkStart w:id="1683" w:name="_Toc32392617"/>
      <w:bookmarkStart w:id="1684" w:name="_Toc32673824"/>
      <w:bookmarkStart w:id="1685" w:name="_Toc32846708"/>
      <w:bookmarkStart w:id="1686" w:name="_Toc32918615"/>
      <w:bookmarkStart w:id="1687" w:name="_Toc33011901"/>
      <w:r w:rsidRPr="00D41D30">
        <w:rPr>
          <w:rFonts w:hint="eastAsia"/>
          <w:color w:val="000000" w:themeColor="text1"/>
        </w:rPr>
        <w:t>復依本院於108年9月9日諮詢相關學者專家意見</w:t>
      </w:r>
      <w:r w:rsidRPr="00D41D30">
        <w:rPr>
          <w:rFonts w:hint="eastAsia"/>
          <w:color w:val="000000" w:themeColor="text1"/>
        </w:rPr>
        <w:lastRenderedPageBreak/>
        <w:t>針對國內推動終身教育可運用之國際人力資源表示：「我國有許多曾派駐新南向國家的退休駐外人員，渠等具備優秀的外語能力及國際觀，尤熟知南向國家政經、法規、文化情勢，當前政府推行新南向政策，更應該思考善加運用這些退休人才……。」、「</w:t>
      </w:r>
      <w:r w:rsidRPr="00D41D30">
        <w:rPr>
          <w:color w:val="000000" w:themeColor="text1"/>
        </w:rPr>
        <w:t>……</w:t>
      </w:r>
      <w:r w:rsidRPr="00D41D30">
        <w:rPr>
          <w:rFonts w:hint="eastAsia"/>
          <w:color w:val="000000" w:themeColor="text1"/>
        </w:rPr>
        <w:t>8月底參加相關的國際研討會，發現我國高齡教育的發展落後國際許多，也可能整個政府志也不在此……。」顯見政府在整合終身教育相關國際人才及掌握國際趨勢上仍有進步空間。又依本院於同年12月26日詢問教育部相關主管人員，有關該部於107年8月赴韓國考察之相關發現與分析，</w:t>
      </w:r>
      <w:r w:rsidRPr="00D41D30">
        <w:rPr>
          <w:rFonts w:hAnsi="標楷體" w:hint="eastAsia"/>
          <w:color w:val="000000" w:themeColor="text1"/>
        </w:rPr>
        <w:t>教育部主管人員</w:t>
      </w:r>
      <w:r w:rsidRPr="00D41D30">
        <w:rPr>
          <w:rFonts w:hint="eastAsia"/>
          <w:color w:val="000000" w:themeColor="text1"/>
        </w:rPr>
        <w:t>指稱：「韓國有終身學習的專責機構，該國國家終身教育振興院於2008年成立，當時有借鏡我國制度，而該國終身教育法於2007年大修，對於該國終身教育師制度是重大關鍵</w:t>
      </w:r>
      <w:r w:rsidRPr="00D41D30">
        <w:rPr>
          <w:color w:val="000000" w:themeColor="text1"/>
        </w:rPr>
        <w:t>……</w:t>
      </w:r>
      <w:r w:rsidRPr="00D41D30">
        <w:rPr>
          <w:rFonts w:hint="eastAsia"/>
          <w:color w:val="000000" w:themeColor="text1"/>
        </w:rPr>
        <w:t>」等語。足徵我國於2008年推行終身教育時尚值韓國借鏡；然據「106年度成人教育調查報告」</w:t>
      </w:r>
      <w:r w:rsidRPr="00D41D30">
        <w:rPr>
          <w:rStyle w:val="aff0"/>
          <w:rFonts w:hAnsi="標楷體"/>
          <w:color w:val="000000" w:themeColor="text1"/>
        </w:rPr>
        <w:footnoteReference w:id="46"/>
      </w:r>
      <w:r w:rsidRPr="00D41D30">
        <w:rPr>
          <w:rFonts w:hint="eastAsia"/>
          <w:color w:val="000000" w:themeColor="text1"/>
        </w:rPr>
        <w:t>指出：「</w:t>
      </w:r>
      <w:r w:rsidRPr="00D41D30">
        <w:rPr>
          <w:color w:val="000000" w:themeColor="text1"/>
        </w:rPr>
        <w:t>……</w:t>
      </w:r>
      <w:r w:rsidRPr="00D41D30">
        <w:rPr>
          <w:rFonts w:hint="eastAsia"/>
          <w:color w:val="000000" w:themeColor="text1"/>
        </w:rPr>
        <w:t>以近年來積極推動終身學習且同為亞洲國家的韓國做為參照，每年亦均有針對成人學習情形進行調查，參與率2008年為26.4%，而2017年為34.4%，上升8個百分點，顯見韓國成人學習呈現持續穩定之成長，且成長速度較我國為大。」及108年12月26日教育部代表於本院約詢會議又稱「教育部這些年推出非正規課程的認證，譬如臺師大及空大均設有非正規課程認證中心……。」等語。再者，對照前揭</w:t>
      </w:r>
      <w:r w:rsidRPr="00D41D30">
        <w:rPr>
          <w:rFonts w:hint="eastAsia"/>
          <w:color w:val="000000" w:themeColor="text1"/>
        </w:rPr>
        <w:tab/>
      </w:r>
      <w:r w:rsidRPr="00D41D30">
        <w:rPr>
          <w:rFonts w:hint="eastAsia"/>
          <w:color w:val="000000" w:themeColor="text1"/>
        </w:rPr>
        <w:tab/>
        <w:t>教育部借鏡韓國「終身教育師制度」部分，我國推動終身教育確有落後該國之情；且由</w:t>
      </w:r>
      <w:r w:rsidRPr="00D41D30">
        <w:rPr>
          <w:rFonts w:hint="eastAsia"/>
          <w:color w:val="000000" w:themeColor="text1"/>
        </w:rPr>
        <w:lastRenderedPageBreak/>
        <w:t>韓國終身教育法曾分別於2008、2013、2014、2016及2019年數度修正以觀</w:t>
      </w:r>
      <w:r w:rsidRPr="00D41D30">
        <w:rPr>
          <w:rStyle w:val="aff0"/>
          <w:rFonts w:hAnsi="標楷體"/>
          <w:color w:val="000000" w:themeColor="text1"/>
        </w:rPr>
        <w:footnoteReference w:id="47"/>
      </w:r>
      <w:r w:rsidRPr="00D41D30">
        <w:rPr>
          <w:rFonts w:hint="eastAsia"/>
          <w:color w:val="000000" w:themeColor="text1"/>
        </w:rPr>
        <w:t>，可見該國針對終身教育相關規範係以滾動式檢討進行追蹤修正，以符社會變遷及貼近實際學習需求。</w:t>
      </w:r>
      <w:bookmarkEnd w:id="1681"/>
      <w:bookmarkEnd w:id="1682"/>
      <w:bookmarkEnd w:id="1683"/>
      <w:bookmarkEnd w:id="1684"/>
      <w:bookmarkEnd w:id="1685"/>
      <w:bookmarkEnd w:id="1686"/>
      <w:bookmarkEnd w:id="1687"/>
    </w:p>
    <w:p w:rsidR="003872FF" w:rsidRPr="00D41D30" w:rsidRDefault="003872FF" w:rsidP="003872FF">
      <w:pPr>
        <w:pStyle w:val="3"/>
        <w:rPr>
          <w:color w:val="000000" w:themeColor="text1"/>
        </w:rPr>
      </w:pPr>
      <w:bookmarkStart w:id="1688" w:name="_Toc33011902"/>
      <w:r w:rsidRPr="00D41D30">
        <w:rPr>
          <w:rFonts w:hint="eastAsia"/>
          <w:color w:val="000000" w:themeColor="text1"/>
        </w:rPr>
        <w:t>復參考研究針對國際推動高齡者教育政策，將高隆者職業教育訓練相關內涵，納為至關重要的一環趨勢，茲引述教育部資料略以</w:t>
      </w:r>
      <w:r w:rsidRPr="00D41D30">
        <w:rPr>
          <w:rStyle w:val="aff0"/>
          <w:color w:val="000000" w:themeColor="text1"/>
        </w:rPr>
        <w:footnoteReference w:id="48"/>
      </w:r>
      <w:r w:rsidRPr="00D41D30">
        <w:rPr>
          <w:rFonts w:hint="eastAsia"/>
          <w:color w:val="000000" w:themeColor="text1"/>
        </w:rPr>
        <w:t>：「英國在『老人教育權利論壇宣言』中，主張雇主、企業聯盟、退休前組織及會議、地方政府教育機構、勞工教育協會、大學推廣中心及成人及繼續教育部門等，應該訂定協助高齡者的再就業與促進高齡者的職業發展相關的措施」、「美國依據職業教育法、綜合就業訓練法的規定，對高齡者的職業發展政策包括：</w:t>
      </w:r>
      <w:r w:rsidRPr="00D41D30">
        <w:rPr>
          <w:color w:val="000000" w:themeColor="text1"/>
        </w:rPr>
        <w:t>1.</w:t>
      </w:r>
      <w:r w:rsidRPr="00D41D30">
        <w:rPr>
          <w:rFonts w:hint="eastAsia"/>
          <w:color w:val="000000" w:themeColor="text1"/>
        </w:rPr>
        <w:t>對於退休後仍有意願就業的高齡人口，提供職業教育與訓練的課程；</w:t>
      </w:r>
      <w:r w:rsidRPr="00D41D30">
        <w:rPr>
          <w:color w:val="000000" w:themeColor="text1"/>
        </w:rPr>
        <w:t>2.</w:t>
      </w:r>
      <w:r w:rsidRPr="00D41D30">
        <w:rPr>
          <w:rFonts w:hint="eastAsia"/>
          <w:color w:val="000000" w:themeColor="text1"/>
        </w:rPr>
        <w:t>提供五十歲以上高齡者接受職業訓練及就業輔導課程的機會，受訓期間並享有生活津貼，交通補助津貼，意外險保障及各項優惠福利；</w:t>
      </w:r>
      <w:r w:rsidRPr="00D41D30">
        <w:rPr>
          <w:color w:val="000000" w:themeColor="text1"/>
        </w:rPr>
        <w:t>3.</w:t>
      </w:r>
      <w:r w:rsidRPr="00D41D30">
        <w:rPr>
          <w:rFonts w:hint="eastAsia"/>
          <w:color w:val="000000" w:themeColor="text1"/>
        </w:rPr>
        <w:t>對社經地位較低、貧戶、原住民及少數族群的獨居高齡者，安排接受相關工作技能訓練，並至社區企業所提供的工作場所就業」及「</w:t>
      </w:r>
      <w:r w:rsidRPr="00D41D30">
        <w:rPr>
          <w:rFonts w:hAnsi="標楷體" w:hint="eastAsia"/>
          <w:color w:val="000000" w:themeColor="text1"/>
        </w:rPr>
        <w:t>日本在推動高齡者職業發展的措施，顯示在</w:t>
      </w:r>
      <w:r w:rsidRPr="00D41D30">
        <w:rPr>
          <w:rFonts w:hAnsi="標楷體"/>
          <w:color w:val="000000" w:themeColor="text1"/>
        </w:rPr>
        <w:t>1994</w:t>
      </w:r>
      <w:r w:rsidRPr="00D41D30">
        <w:rPr>
          <w:rFonts w:hAnsi="標楷體" w:hint="eastAsia"/>
          <w:color w:val="000000" w:themeColor="text1"/>
        </w:rPr>
        <w:t>年修訂『高齡者雇用安定法』，主張改善高齡者的就業環境、推動高齡者的繼續雇用及建立六十五歲退休制度，並結合『公共職業安定所』、『銀髮族人資中心』、『高齡者職業經驗活用中心』等機構，共同推動高齡者</w:t>
      </w:r>
      <w:r w:rsidRPr="00D41D30">
        <w:rPr>
          <w:rFonts w:hAnsi="標楷體" w:hint="eastAsia"/>
          <w:color w:val="000000" w:themeColor="text1"/>
        </w:rPr>
        <w:lastRenderedPageBreak/>
        <w:t>就業機會，並提高六十歲以上已經退休的高齡者，發展再就業的職能與訓練</w:t>
      </w:r>
      <w:r w:rsidRPr="00D41D30">
        <w:rPr>
          <w:rFonts w:hint="eastAsia"/>
          <w:color w:val="000000" w:themeColor="text1"/>
        </w:rPr>
        <w:t>」。惟檢視我國長期高齡者教育措施之演進，則較缺乏相關上述勞動力架構概念，有待教育部整體參酌考量因應。</w:t>
      </w:r>
      <w:bookmarkEnd w:id="1688"/>
    </w:p>
    <w:p w:rsidR="003872FF" w:rsidRPr="00D41D30" w:rsidRDefault="003872FF" w:rsidP="003872FF">
      <w:pPr>
        <w:pStyle w:val="3"/>
        <w:rPr>
          <w:color w:val="000000" w:themeColor="text1"/>
        </w:rPr>
      </w:pPr>
      <w:bookmarkStart w:id="1689" w:name="_Toc30512627"/>
      <w:bookmarkStart w:id="1690" w:name="_Toc30581337"/>
      <w:bookmarkStart w:id="1691" w:name="_Toc32392618"/>
      <w:bookmarkStart w:id="1692" w:name="_Toc32673825"/>
      <w:bookmarkStart w:id="1693" w:name="_Toc32846709"/>
      <w:bookmarkStart w:id="1694" w:name="_Toc32918616"/>
      <w:bookmarkStart w:id="1695" w:name="_Toc33011903"/>
      <w:r w:rsidRPr="00D41D30">
        <w:rPr>
          <w:rFonts w:hint="eastAsia"/>
          <w:color w:val="000000" w:themeColor="text1"/>
        </w:rPr>
        <w:t>綜上，我國於2018年通過與聯合國永續發展目標高度一致的「臺灣永續發展目標」，其中「提倡終身學習」之核心目標不僅影響我國與國際社會達成全球永續發展目標之合作關係，亦攸關國內衛生醫療、經濟發展及整體公民社會成長甚鉅；我國即將於2026年邁入超高齡社會，惟查過去我國雖屬亞洲先行推動高齡者教育政策之國家，亦為許多國家考察仿效之對象，惟查近年推動終身教育之進度及國際視野卻幾近落後國際，成人學習之參與率亦不若同為亞洲國家且曾借鏡我國制度的韓國呈穩定增長，況教育部既已於107年赴韓國考察其「學分銀行」、「終身教育師」及非正規學習成就認證推動情形等制度，並參照其經驗提出相關行政變革建議，自應積極正視其精神與內涵，邀請相關學者協助，審慎研議改善我國終身教育制度之困境；此外如國際上推動高齡教育所一併正視之高齡者職業教育、高齡者人力再運用及相關人力資源措施，有待教育部後續積極掌握國際趨勢政策及推動措施可資參考借鏡之處。</w:t>
      </w:r>
      <w:bookmarkEnd w:id="1689"/>
      <w:bookmarkEnd w:id="1690"/>
      <w:bookmarkEnd w:id="1691"/>
      <w:bookmarkEnd w:id="1692"/>
      <w:bookmarkEnd w:id="1693"/>
      <w:bookmarkEnd w:id="1694"/>
      <w:bookmarkEnd w:id="1695"/>
    </w:p>
    <w:p w:rsidR="0054233B" w:rsidRPr="00D41D30" w:rsidRDefault="0054233B" w:rsidP="0054233B">
      <w:pPr>
        <w:rPr>
          <w:color w:val="000000" w:themeColor="text1"/>
        </w:rPr>
      </w:pPr>
    </w:p>
    <w:p w:rsidR="00073CB5" w:rsidRPr="00D41D30" w:rsidRDefault="00073CB5" w:rsidP="00DE4238">
      <w:pPr>
        <w:pStyle w:val="32"/>
        <w:ind w:left="1361" w:firstLine="680"/>
        <w:rPr>
          <w:color w:val="000000" w:themeColor="text1"/>
        </w:rPr>
      </w:pPr>
    </w:p>
    <w:p w:rsidR="00E25849" w:rsidRPr="00D41D30" w:rsidRDefault="00E25849" w:rsidP="004E05A1">
      <w:pPr>
        <w:pStyle w:val="1"/>
        <w:ind w:left="2380" w:hanging="2380"/>
        <w:rPr>
          <w:color w:val="000000" w:themeColor="text1"/>
        </w:rPr>
      </w:pPr>
      <w:bookmarkStart w:id="1696" w:name="_Toc524895648"/>
      <w:bookmarkStart w:id="1697" w:name="_Toc524896194"/>
      <w:bookmarkStart w:id="1698" w:name="_Toc524896224"/>
      <w:bookmarkStart w:id="1699" w:name="_Toc524902734"/>
      <w:bookmarkStart w:id="1700" w:name="_Toc525066148"/>
      <w:bookmarkStart w:id="1701" w:name="_Toc525070839"/>
      <w:bookmarkStart w:id="1702" w:name="_Toc525938379"/>
      <w:bookmarkStart w:id="1703" w:name="_Toc525939227"/>
      <w:bookmarkStart w:id="1704" w:name="_Toc525939732"/>
      <w:bookmarkStart w:id="1705" w:name="_Toc529218272"/>
      <w:bookmarkEnd w:id="1138"/>
      <w:r w:rsidRPr="00D41D30">
        <w:rPr>
          <w:color w:val="000000" w:themeColor="text1"/>
        </w:rPr>
        <w:br w:type="page"/>
      </w:r>
      <w:bookmarkStart w:id="1706" w:name="_Toc529222689"/>
      <w:bookmarkStart w:id="1707" w:name="_Toc529223111"/>
      <w:bookmarkStart w:id="1708" w:name="_Toc529223862"/>
      <w:bookmarkStart w:id="1709" w:name="_Toc529228265"/>
      <w:bookmarkStart w:id="1710" w:name="_Toc2400395"/>
      <w:bookmarkStart w:id="1711" w:name="_Toc4316189"/>
      <w:bookmarkStart w:id="1712" w:name="_Toc4473330"/>
      <w:bookmarkStart w:id="1713" w:name="_Toc69556897"/>
      <w:bookmarkStart w:id="1714" w:name="_Toc69556946"/>
      <w:bookmarkStart w:id="1715" w:name="_Toc69609820"/>
      <w:bookmarkStart w:id="1716" w:name="_Toc70241816"/>
      <w:bookmarkStart w:id="1717" w:name="_Toc70242205"/>
      <w:bookmarkStart w:id="1718" w:name="_Toc421794875"/>
      <w:bookmarkStart w:id="1719" w:name="_Toc16693379"/>
      <w:bookmarkStart w:id="1720" w:name="_Toc33011904"/>
      <w:r w:rsidRPr="00D41D30">
        <w:rPr>
          <w:rFonts w:hint="eastAsia"/>
          <w:color w:val="000000" w:themeColor="text1"/>
        </w:rPr>
        <w:lastRenderedPageBreak/>
        <w:t>處理辦法</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rsidR="00E25849" w:rsidRPr="00D41D30" w:rsidRDefault="00E25849" w:rsidP="005F4E1B">
      <w:pPr>
        <w:pStyle w:val="2"/>
        <w:spacing w:line="500" w:lineRule="exact"/>
        <w:ind w:left="1020" w:hanging="680"/>
        <w:rPr>
          <w:color w:val="000000" w:themeColor="text1"/>
        </w:rPr>
      </w:pPr>
      <w:bookmarkStart w:id="1721" w:name="_Toc524895649"/>
      <w:bookmarkStart w:id="1722" w:name="_Toc524896195"/>
      <w:bookmarkStart w:id="1723" w:name="_Toc524896225"/>
      <w:bookmarkStart w:id="1724" w:name="_Toc2400396"/>
      <w:bookmarkStart w:id="1725" w:name="_Toc4316190"/>
      <w:bookmarkStart w:id="1726" w:name="_Toc4473331"/>
      <w:bookmarkStart w:id="1727" w:name="_Toc69556898"/>
      <w:bookmarkStart w:id="1728" w:name="_Toc69556947"/>
      <w:bookmarkStart w:id="1729" w:name="_Toc69609821"/>
      <w:bookmarkStart w:id="1730" w:name="_Toc70241817"/>
      <w:bookmarkStart w:id="1731" w:name="_Toc70242206"/>
      <w:bookmarkStart w:id="1732" w:name="_Toc421794877"/>
      <w:bookmarkStart w:id="1733" w:name="_Toc421795443"/>
      <w:bookmarkStart w:id="1734" w:name="_Toc421796024"/>
      <w:bookmarkStart w:id="1735" w:name="_Toc422728959"/>
      <w:bookmarkStart w:id="1736" w:name="_Toc422834162"/>
      <w:bookmarkStart w:id="1737" w:name="_Toc16693381"/>
      <w:bookmarkStart w:id="1738" w:name="_Toc30581339"/>
      <w:bookmarkStart w:id="1739" w:name="_Toc32392620"/>
      <w:bookmarkStart w:id="1740" w:name="_Toc33011905"/>
      <w:bookmarkStart w:id="1741" w:name="_Toc524902735"/>
      <w:bookmarkStart w:id="1742" w:name="_Toc525066149"/>
      <w:bookmarkStart w:id="1743" w:name="_Toc525070840"/>
      <w:bookmarkStart w:id="1744" w:name="_Toc525938380"/>
      <w:bookmarkStart w:id="1745" w:name="_Toc525939228"/>
      <w:bookmarkStart w:id="1746" w:name="_Toc525939733"/>
      <w:bookmarkStart w:id="1747" w:name="_Toc529218273"/>
      <w:bookmarkStart w:id="1748" w:name="_Toc529222690"/>
      <w:bookmarkStart w:id="1749" w:name="_Toc529223112"/>
      <w:bookmarkStart w:id="1750" w:name="_Toc529223863"/>
      <w:bookmarkStart w:id="1751" w:name="_Toc529228266"/>
      <w:bookmarkEnd w:id="1721"/>
      <w:bookmarkEnd w:id="1722"/>
      <w:bookmarkEnd w:id="1723"/>
      <w:r w:rsidRPr="00D41D30">
        <w:rPr>
          <w:rFonts w:hint="eastAsia"/>
          <w:color w:val="000000" w:themeColor="text1"/>
        </w:rPr>
        <w:t>調查意見</w:t>
      </w:r>
      <w:r w:rsidR="00C85EEF" w:rsidRPr="00D41D30">
        <w:rPr>
          <w:rFonts w:hint="eastAsia"/>
          <w:color w:val="000000" w:themeColor="text1"/>
        </w:rPr>
        <w:t>一至</w:t>
      </w:r>
      <w:r w:rsidR="00993DF1" w:rsidRPr="00D41D30">
        <w:rPr>
          <w:rFonts w:hint="eastAsia"/>
          <w:color w:val="000000" w:themeColor="text1"/>
        </w:rPr>
        <w:t>二</w:t>
      </w:r>
      <w:r w:rsidR="00C85EEF" w:rsidRPr="00D41D30">
        <w:rPr>
          <w:rFonts w:hint="eastAsia"/>
          <w:color w:val="000000" w:themeColor="text1"/>
        </w:rPr>
        <w:t>，函請行政院</w:t>
      </w:r>
      <w:r w:rsidR="005E4359" w:rsidRPr="00D41D30">
        <w:rPr>
          <w:rFonts w:hint="eastAsia"/>
          <w:color w:val="000000" w:themeColor="text1"/>
        </w:rPr>
        <w:t>會</w:t>
      </w:r>
      <w:r w:rsidR="00A93B57" w:rsidRPr="00D41D30">
        <w:rPr>
          <w:rFonts w:hint="eastAsia"/>
          <w:color w:val="000000" w:themeColor="text1"/>
        </w:rPr>
        <w:t>同所屬機關</w:t>
      </w:r>
      <w:r w:rsidRPr="00D41D30">
        <w:rPr>
          <w:rFonts w:hint="eastAsia"/>
          <w:color w:val="000000" w:themeColor="text1"/>
        </w:rPr>
        <w:t>確實檢討改進見復。</w:t>
      </w:r>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rsidR="00801B7A" w:rsidRPr="00D41D30" w:rsidRDefault="00801B7A" w:rsidP="005F4E1B">
      <w:pPr>
        <w:pStyle w:val="2"/>
        <w:spacing w:line="500" w:lineRule="exact"/>
        <w:ind w:left="1020" w:hanging="680"/>
        <w:rPr>
          <w:color w:val="000000" w:themeColor="text1"/>
        </w:rPr>
      </w:pPr>
      <w:bookmarkStart w:id="1752" w:name="_Toc33011906"/>
      <w:r w:rsidRPr="00D41D30">
        <w:rPr>
          <w:rFonts w:hint="eastAsia"/>
          <w:color w:val="000000" w:themeColor="text1"/>
        </w:rPr>
        <w:t>調查意見</w:t>
      </w:r>
      <w:r w:rsidR="00993DF1" w:rsidRPr="00D41D30">
        <w:rPr>
          <w:rFonts w:hint="eastAsia"/>
          <w:color w:val="000000" w:themeColor="text1"/>
        </w:rPr>
        <w:t>三</w:t>
      </w:r>
      <w:r w:rsidRPr="00D41D30">
        <w:rPr>
          <w:rFonts w:hint="eastAsia"/>
          <w:color w:val="000000" w:themeColor="text1"/>
        </w:rPr>
        <w:t>至十，函請</w:t>
      </w:r>
      <w:r w:rsidR="00A95BE5" w:rsidRPr="00D41D30">
        <w:rPr>
          <w:rFonts w:hint="eastAsia"/>
          <w:color w:val="000000" w:themeColor="text1"/>
        </w:rPr>
        <w:t>教育部</w:t>
      </w:r>
      <w:r w:rsidRPr="00D41D30">
        <w:rPr>
          <w:rFonts w:hint="eastAsia"/>
          <w:color w:val="000000" w:themeColor="text1"/>
        </w:rPr>
        <w:t>確實檢討改進見復</w:t>
      </w:r>
      <w:r w:rsidR="00C672E0" w:rsidRPr="00D41D30">
        <w:rPr>
          <w:rFonts w:hint="eastAsia"/>
          <w:color w:val="000000" w:themeColor="text1"/>
        </w:rPr>
        <w:t>。</w:t>
      </w:r>
      <w:bookmarkEnd w:id="1752"/>
    </w:p>
    <w:p w:rsidR="004B6D31" w:rsidRPr="00D41D30" w:rsidRDefault="004B6D31" w:rsidP="005F4E1B">
      <w:pPr>
        <w:pStyle w:val="2"/>
        <w:spacing w:line="500" w:lineRule="exact"/>
        <w:ind w:left="1020" w:hanging="680"/>
        <w:rPr>
          <w:color w:val="000000" w:themeColor="text1"/>
        </w:rPr>
      </w:pPr>
      <w:bookmarkStart w:id="1753" w:name="_Toc33011907"/>
      <w:r w:rsidRPr="00D41D30">
        <w:rPr>
          <w:rFonts w:hint="eastAsia"/>
          <w:color w:val="000000" w:themeColor="text1"/>
        </w:rPr>
        <w:t>調查意見十一，函請教育部參處。</w:t>
      </w:r>
      <w:bookmarkEnd w:id="1753"/>
    </w:p>
    <w:bookmarkEnd w:id="1741"/>
    <w:bookmarkEnd w:id="1742"/>
    <w:bookmarkEnd w:id="1743"/>
    <w:bookmarkEnd w:id="1744"/>
    <w:bookmarkEnd w:id="1745"/>
    <w:bookmarkEnd w:id="1746"/>
    <w:bookmarkEnd w:id="1747"/>
    <w:bookmarkEnd w:id="1748"/>
    <w:bookmarkEnd w:id="1749"/>
    <w:bookmarkEnd w:id="1750"/>
    <w:bookmarkEnd w:id="1751"/>
    <w:p w:rsidR="00E25849" w:rsidRPr="00D41D30" w:rsidRDefault="00E25849" w:rsidP="00320CA1">
      <w:pPr>
        <w:pStyle w:val="2"/>
        <w:numPr>
          <w:ilvl w:val="0"/>
          <w:numId w:val="0"/>
        </w:numPr>
        <w:spacing w:line="500" w:lineRule="exact"/>
        <w:ind w:left="1020"/>
        <w:rPr>
          <w:color w:val="000000" w:themeColor="text1"/>
        </w:rPr>
      </w:pPr>
    </w:p>
    <w:p w:rsidR="007703A8" w:rsidRPr="00D41D30" w:rsidRDefault="007703A8" w:rsidP="00AE067D">
      <w:pPr>
        <w:pStyle w:val="ab"/>
        <w:spacing w:beforeLines="50" w:before="228" w:after="0"/>
        <w:ind w:leftChars="1100" w:left="3742"/>
        <w:rPr>
          <w:b w:val="0"/>
          <w:bCs/>
          <w:snapToGrid/>
          <w:color w:val="000000" w:themeColor="text1"/>
          <w:spacing w:val="12"/>
          <w:kern w:val="0"/>
          <w:sz w:val="40"/>
        </w:rPr>
      </w:pPr>
    </w:p>
    <w:p w:rsidR="00E25849" w:rsidRDefault="00E25849" w:rsidP="00AE067D">
      <w:pPr>
        <w:pStyle w:val="ab"/>
        <w:spacing w:beforeLines="50" w:before="228" w:after="0"/>
        <w:ind w:leftChars="1100" w:left="3742"/>
        <w:rPr>
          <w:b w:val="0"/>
          <w:bCs/>
          <w:snapToGrid/>
          <w:color w:val="000000" w:themeColor="text1"/>
          <w:spacing w:val="12"/>
          <w:kern w:val="0"/>
          <w:sz w:val="40"/>
        </w:rPr>
      </w:pPr>
      <w:r w:rsidRPr="00D41D30">
        <w:rPr>
          <w:rFonts w:hint="eastAsia"/>
          <w:b w:val="0"/>
          <w:bCs/>
          <w:snapToGrid/>
          <w:color w:val="000000" w:themeColor="text1"/>
          <w:spacing w:val="12"/>
          <w:kern w:val="0"/>
          <w:sz w:val="40"/>
        </w:rPr>
        <w:t>調查委員：</w:t>
      </w:r>
      <w:r w:rsidR="00320CA1">
        <w:rPr>
          <w:rFonts w:hint="eastAsia"/>
          <w:b w:val="0"/>
          <w:bCs/>
          <w:snapToGrid/>
          <w:color w:val="000000" w:themeColor="text1"/>
          <w:spacing w:val="12"/>
          <w:kern w:val="0"/>
          <w:sz w:val="40"/>
        </w:rPr>
        <w:t>江綺雯</w:t>
      </w:r>
    </w:p>
    <w:p w:rsidR="00320CA1" w:rsidRPr="00D41D30" w:rsidRDefault="00320CA1" w:rsidP="00320CA1">
      <w:pPr>
        <w:pStyle w:val="ab"/>
        <w:spacing w:beforeLines="50" w:before="228" w:after="0"/>
        <w:ind w:leftChars="1751" w:left="5956"/>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包宗和</w:t>
      </w:r>
    </w:p>
    <w:p w:rsidR="00E25849" w:rsidRPr="00D41D30" w:rsidRDefault="00E25849">
      <w:pPr>
        <w:pStyle w:val="ab"/>
        <w:spacing w:before="0" w:after="0"/>
        <w:ind w:leftChars="1100" w:left="3742" w:firstLineChars="500" w:firstLine="2021"/>
        <w:rPr>
          <w:b w:val="0"/>
          <w:bCs/>
          <w:snapToGrid/>
          <w:color w:val="000000" w:themeColor="text1"/>
          <w:spacing w:val="12"/>
          <w:kern w:val="0"/>
        </w:rPr>
      </w:pPr>
    </w:p>
    <w:p w:rsidR="00855D58" w:rsidRPr="00D41D30" w:rsidRDefault="00855D58">
      <w:pPr>
        <w:pStyle w:val="ab"/>
        <w:spacing w:before="0" w:after="0"/>
        <w:ind w:leftChars="1100" w:left="3742" w:firstLineChars="500" w:firstLine="2021"/>
        <w:rPr>
          <w:b w:val="0"/>
          <w:bCs/>
          <w:snapToGrid/>
          <w:color w:val="000000" w:themeColor="text1"/>
          <w:spacing w:val="12"/>
          <w:kern w:val="0"/>
        </w:rPr>
      </w:pPr>
    </w:p>
    <w:p w:rsidR="00855D58" w:rsidRPr="00D41D30" w:rsidRDefault="00855D58">
      <w:pPr>
        <w:pStyle w:val="ab"/>
        <w:spacing w:before="0" w:after="0"/>
        <w:ind w:leftChars="1100" w:left="3742" w:firstLineChars="500" w:firstLine="2021"/>
        <w:rPr>
          <w:b w:val="0"/>
          <w:bCs/>
          <w:snapToGrid/>
          <w:color w:val="000000" w:themeColor="text1"/>
          <w:spacing w:val="12"/>
          <w:kern w:val="0"/>
        </w:rPr>
      </w:pPr>
    </w:p>
    <w:p w:rsidR="00855D58" w:rsidRPr="00D41D30" w:rsidRDefault="00855D58">
      <w:pPr>
        <w:pStyle w:val="ab"/>
        <w:spacing w:before="0" w:after="0"/>
        <w:ind w:leftChars="1100" w:left="3742" w:firstLineChars="500" w:firstLine="2021"/>
        <w:rPr>
          <w:b w:val="0"/>
          <w:bCs/>
          <w:snapToGrid/>
          <w:color w:val="000000" w:themeColor="text1"/>
          <w:spacing w:val="12"/>
          <w:kern w:val="0"/>
        </w:rPr>
      </w:pPr>
    </w:p>
    <w:p w:rsidR="00E25849" w:rsidRPr="00D41D30" w:rsidRDefault="00E25849">
      <w:pPr>
        <w:pStyle w:val="ab"/>
        <w:spacing w:before="0" w:after="0"/>
        <w:ind w:leftChars="1100" w:left="3742" w:firstLineChars="500" w:firstLine="2021"/>
        <w:rPr>
          <w:b w:val="0"/>
          <w:bCs/>
          <w:snapToGrid/>
          <w:color w:val="000000" w:themeColor="text1"/>
          <w:spacing w:val="12"/>
          <w:kern w:val="0"/>
        </w:rPr>
      </w:pPr>
    </w:p>
    <w:sectPr w:rsidR="00E25849" w:rsidRPr="00D41D30" w:rsidSect="00BC16A9">
      <w:footerReference w:type="default" r:id="rId14"/>
      <w:pgSz w:w="11907" w:h="16840" w:code="9"/>
      <w:pgMar w:top="1701" w:right="1531" w:bottom="1418" w:left="1531"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DFB" w:rsidRDefault="00CE3DFB">
      <w:r>
        <w:separator/>
      </w:r>
    </w:p>
  </w:endnote>
  <w:endnote w:type="continuationSeparator" w:id="0">
    <w:p w:rsidR="00CE3DFB" w:rsidRDefault="00CE3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華康細明體">
    <w:charset w:val="88"/>
    <w:family w:val="modern"/>
    <w:pitch w:val="fixed"/>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dobeMingStd-Light">
    <w:altName w:val="細明體"/>
    <w:panose1 w:val="00000000000000000000"/>
    <w:charset w:val="88"/>
    <w:family w:val="auto"/>
    <w:notTrueType/>
    <w:pitch w:val="default"/>
    <w:sig w:usb0="00000001" w:usb1="08080000" w:usb2="00000010" w:usb3="00000000" w:csb0="00100000" w:csb1="00000000"/>
  </w:font>
  <w:font w:name="BiauKai">
    <w:altName w:val="Times New Roman"/>
    <w:charset w:val="51"/>
    <w:family w:val="auto"/>
    <w:pitch w:val="variable"/>
    <w:sig w:usb0="00000000" w:usb1="08080000" w:usb2="00000010" w:usb3="00000000" w:csb0="00100000" w:csb1="00000000"/>
  </w:font>
  <w:font w:name="Iskoola Pota">
    <w:altName w:val="Malgun Gothic"/>
    <w:charset w:val="00"/>
    <w:family w:val="swiss"/>
    <w:pitch w:val="variable"/>
    <w:sig w:usb0="00000003" w:usb1="00000000" w:usb2="00000200" w:usb3="00000000" w:csb0="00000001" w:csb1="00000000"/>
  </w:font>
  <w:font w:name="標楷體p..">
    <w:altName w:val="標楷體"/>
    <w:panose1 w:val="00000000000000000000"/>
    <w:charset w:val="88"/>
    <w:family w:val="roman"/>
    <w:notTrueType/>
    <w:pitch w:val="default"/>
    <w:sig w:usb0="00000001" w:usb1="08080000" w:usb2="00000010" w:usb3="00000000" w:csb0="00100000" w:csb1="00000000"/>
  </w:font>
  <w:font w:name="標楷體...畀.">
    <w:altName w:val="標楷體"/>
    <w:panose1 w:val="00000000000000000000"/>
    <w:charset w:val="88"/>
    <w:family w:val="roman"/>
    <w:notTrueType/>
    <w:pitch w:val="default"/>
    <w:sig w:usb0="00000001" w:usb1="08080000" w:usb2="00000010" w:usb3="00000000" w:csb0="00100000" w:csb1="00000000"/>
  </w:font>
  <w:font w:name="標楷體...瑀.">
    <w:altName w:val="標楷體"/>
    <w:panose1 w:val="00000000000000000000"/>
    <w:charset w:val="88"/>
    <w:family w:val="roman"/>
    <w:notTrueType/>
    <w:pitch w:val="default"/>
    <w:sig w:usb0="00000001" w:usb1="08080000" w:usb2="00000010" w:usb3="00000000" w:csb0="00100000" w:csb1="00000000"/>
  </w:font>
  <w:font w:name="標楷體藫范">
    <w:altName w:val="標楷體"/>
    <w:panose1 w:val="00000000000000000000"/>
    <w:charset w:val="88"/>
    <w:family w:val="roman"/>
    <w:notTrueType/>
    <w:pitch w:val="default"/>
    <w:sig w:usb0="00000001" w:usb1="08080000" w:usb2="00000010" w:usb3="00000000" w:csb0="00100000" w:csb1="00000000"/>
  </w:font>
  <w:font w:name="標楷體﹐..">
    <w:altName w:val="標楷體"/>
    <w:panose1 w:val="00000000000000000000"/>
    <w:charset w:val="88"/>
    <w:family w:val="roman"/>
    <w:notTrueType/>
    <w:pitch w:val="default"/>
    <w:sig w:usb0="00000001" w:usb1="08080000" w:usb2="00000010" w:usb3="00000000" w:csb0="00100000" w:csb1="00000000"/>
  </w:font>
  <w:font w:name="標楷體﹐.噀.">
    <w:altName w:val="標楷體"/>
    <w:panose1 w:val="00000000000000000000"/>
    <w:charset w:val="88"/>
    <w:family w:val="roman"/>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DFKaiShu-SB-Estd-BF">
    <w:altName w:val="Adobe 明體 Std L"/>
    <w:panose1 w:val="00000000000000000000"/>
    <w:charset w:val="88"/>
    <w:family w:val="auto"/>
    <w:notTrueType/>
    <w:pitch w:val="default"/>
    <w:sig w:usb0="00000001" w:usb1="08080000" w:usb2="00000010" w:usb3="00000000" w:csb0="00100000" w:csb1="00000000"/>
  </w:font>
  <w:font w:name="Adobe 明體 Std L">
    <w:altName w:val="Arial Unicode MS"/>
    <w:panose1 w:val="00000000000000000000"/>
    <w:charset w:val="88"/>
    <w:family w:val="roman"/>
    <w:notTrueType/>
    <w:pitch w:val="variable"/>
    <w:sig w:usb0="00000203" w:usb1="1A0F1900" w:usb2="00000016" w:usb3="00000000" w:csb0="00120005" w:csb1="00000000"/>
  </w:font>
  <w:font w:name="Adobe Myungjo Std M">
    <w:panose1 w:val="00000000000000000000"/>
    <w:charset w:val="80"/>
    <w:family w:val="roman"/>
    <w:notTrueType/>
    <w:pitch w:val="variable"/>
    <w:sig w:usb0="00000203" w:usb1="29D72C10" w:usb2="00000010" w:usb3="00000000" w:csb0="002A0005"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DFB" w:rsidRDefault="00CE3DF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9143A">
      <w:rPr>
        <w:rStyle w:val="ad"/>
        <w:noProof/>
        <w:sz w:val="24"/>
      </w:rPr>
      <w:t>X</w:t>
    </w:r>
    <w:r>
      <w:rPr>
        <w:rStyle w:val="ad"/>
        <w:sz w:val="24"/>
      </w:rPr>
      <w:fldChar w:fldCharType="end"/>
    </w:r>
  </w:p>
  <w:p w:rsidR="00CE3DFB" w:rsidRDefault="00CE3DFB">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DFB" w:rsidRDefault="00CE3DF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9143A">
      <w:rPr>
        <w:rStyle w:val="ad"/>
        <w:noProof/>
        <w:sz w:val="24"/>
      </w:rPr>
      <w:t>221</w:t>
    </w:r>
    <w:r>
      <w:rPr>
        <w:rStyle w:val="ad"/>
        <w:sz w:val="24"/>
      </w:rPr>
      <w:fldChar w:fldCharType="end"/>
    </w:r>
  </w:p>
  <w:p w:rsidR="00CE3DFB" w:rsidRDefault="00CE3DF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DFB" w:rsidRDefault="00CE3DFB">
      <w:r>
        <w:separator/>
      </w:r>
    </w:p>
  </w:footnote>
  <w:footnote w:type="continuationSeparator" w:id="0">
    <w:p w:rsidR="00CE3DFB" w:rsidRDefault="00CE3DFB">
      <w:r>
        <w:continuationSeparator/>
      </w:r>
    </w:p>
  </w:footnote>
  <w:footnote w:id="1">
    <w:p w:rsidR="00CE3DFB" w:rsidRDefault="00CE3DFB">
      <w:pPr>
        <w:pStyle w:val="afe"/>
      </w:pPr>
      <w:r>
        <w:rPr>
          <w:rStyle w:val="aff0"/>
        </w:rPr>
        <w:footnoteRef/>
      </w:r>
      <w:r>
        <w:t xml:space="preserve"> </w:t>
      </w:r>
      <w:r w:rsidRPr="006F6B6B">
        <w:rPr>
          <w:rFonts w:hint="eastAsia"/>
        </w:rPr>
        <w:t>「邁向高齡社會老人教育政策白皮書」為</w:t>
      </w:r>
      <w:r>
        <w:rPr>
          <w:rFonts w:hint="eastAsia"/>
        </w:rPr>
        <w:t>教育</w:t>
      </w:r>
      <w:r w:rsidRPr="006F6B6B">
        <w:rPr>
          <w:rFonts w:hint="eastAsia"/>
        </w:rPr>
        <w:t>部在推動高齡教育工作之政策依據，讓各教育部門在推動老人教育業務有政策的依循，</w:t>
      </w:r>
    </w:p>
  </w:footnote>
  <w:footnote w:id="2">
    <w:p w:rsidR="00CE3DFB" w:rsidRPr="00AD42A0" w:rsidRDefault="00CE3DFB">
      <w:pPr>
        <w:pStyle w:val="afe"/>
      </w:pPr>
      <w:r>
        <w:rPr>
          <w:rStyle w:val="aff0"/>
        </w:rPr>
        <w:footnoteRef/>
      </w:r>
      <w:r>
        <w:t xml:space="preserve"> </w:t>
      </w:r>
      <w:r>
        <w:rPr>
          <w:rFonts w:hint="eastAsia"/>
        </w:rPr>
        <w:t>教育部</w:t>
      </w:r>
      <w:r w:rsidRPr="00AD42A0">
        <w:rPr>
          <w:rFonts w:hint="eastAsia"/>
        </w:rPr>
        <w:t>107</w:t>
      </w:r>
      <w:r w:rsidRPr="00AD42A0">
        <w:rPr>
          <w:rFonts w:hint="eastAsia"/>
        </w:rPr>
        <w:t>年度推動高齡自主學習團體終身學習活動試辦計畫</w:t>
      </w:r>
      <w:r>
        <w:rPr>
          <w:rFonts w:hint="eastAsia"/>
        </w:rPr>
        <w:t>。</w:t>
      </w:r>
    </w:p>
  </w:footnote>
  <w:footnote w:id="3">
    <w:p w:rsidR="00CE3DFB" w:rsidRDefault="00CE3DFB" w:rsidP="003C7764">
      <w:pPr>
        <w:pStyle w:val="afe"/>
      </w:pPr>
      <w:r>
        <w:rPr>
          <w:rStyle w:val="aff0"/>
        </w:rPr>
        <w:footnoteRef/>
      </w:r>
      <w:r w:rsidRPr="001C7D7A">
        <w:rPr>
          <w:rFonts w:hint="eastAsia"/>
        </w:rPr>
        <w:tab/>
      </w:r>
      <w:r w:rsidRPr="001C7D7A">
        <w:rPr>
          <w:rFonts w:hint="eastAsia"/>
        </w:rPr>
        <w:t>行政程序法第</w:t>
      </w:r>
      <w:r w:rsidRPr="001C7D7A">
        <w:rPr>
          <w:rFonts w:hint="eastAsia"/>
        </w:rPr>
        <w:t>19</w:t>
      </w:r>
      <w:r w:rsidRPr="001C7D7A">
        <w:rPr>
          <w:rFonts w:hint="eastAsia"/>
        </w:rPr>
        <w:t>條第</w:t>
      </w:r>
      <w:r w:rsidRPr="001C7D7A">
        <w:rPr>
          <w:rFonts w:hint="eastAsia"/>
        </w:rPr>
        <w:t>2</w:t>
      </w:r>
      <w:r w:rsidRPr="001C7D7A">
        <w:rPr>
          <w:rFonts w:hint="eastAsia"/>
        </w:rPr>
        <w:t>項</w:t>
      </w:r>
      <w:r w:rsidRPr="001C7D7A">
        <w:rPr>
          <w:rFonts w:hint="eastAsia"/>
        </w:rPr>
        <w:t>:</w:t>
      </w:r>
      <w:r w:rsidRPr="001C7D7A">
        <w:rPr>
          <w:rFonts w:hint="eastAsia"/>
        </w:rPr>
        <w:t>「行政機關執行職務時，有下列情形之一者，得向無隸屬關係之其他機關請求協助</w:t>
      </w:r>
      <w:r>
        <w:rPr>
          <w:rFonts w:hint="eastAsia"/>
        </w:rPr>
        <w:t>:</w:t>
      </w:r>
      <w:r w:rsidRPr="001C7D7A">
        <w:rPr>
          <w:rFonts w:hint="eastAsia"/>
        </w:rPr>
        <w:t xml:space="preserve"> </w:t>
      </w:r>
      <w:r>
        <w:rPr>
          <w:rFonts w:hint="eastAsia"/>
        </w:rPr>
        <w:t>行政機關執行職務時，有下列情形之一者，得向無隸屬關係之其他機關請求協助︰</w:t>
      </w:r>
      <w:r>
        <w:rPr>
          <w:rFonts w:hint="eastAsia"/>
        </w:rPr>
        <w:t>1</w:t>
      </w:r>
      <w:r>
        <w:rPr>
          <w:rFonts w:hint="eastAsia"/>
        </w:rPr>
        <w:t>、因法律上之原因，不能獨自執行職務者。</w:t>
      </w:r>
      <w:r>
        <w:rPr>
          <w:rFonts w:hint="eastAsia"/>
        </w:rPr>
        <w:t>2</w:t>
      </w:r>
      <w:r>
        <w:rPr>
          <w:rFonts w:hint="eastAsia"/>
        </w:rPr>
        <w:t>、因人員、設備不足等事實上之原因，不能獨自執行職務者。</w:t>
      </w:r>
      <w:r>
        <w:rPr>
          <w:rFonts w:hint="eastAsia"/>
        </w:rPr>
        <w:t>3</w:t>
      </w:r>
      <w:r>
        <w:rPr>
          <w:rFonts w:hint="eastAsia"/>
        </w:rPr>
        <w:t>、執行職務所必要認定之事實，不能獨自調查者。</w:t>
      </w:r>
      <w:r>
        <w:rPr>
          <w:rFonts w:hint="eastAsia"/>
        </w:rPr>
        <w:t>4</w:t>
      </w:r>
      <w:r>
        <w:rPr>
          <w:rFonts w:hint="eastAsia"/>
        </w:rPr>
        <w:t>、執行職務所必要之文書或其他資料，為被請求機關所持有者。</w:t>
      </w:r>
      <w:r>
        <w:rPr>
          <w:rFonts w:hint="eastAsia"/>
        </w:rPr>
        <w:t>5</w:t>
      </w:r>
      <w:r>
        <w:rPr>
          <w:rFonts w:hint="eastAsia"/>
        </w:rPr>
        <w:t>、由被請求機關協助執行，顯較經濟者。</w:t>
      </w:r>
      <w:r>
        <w:rPr>
          <w:rFonts w:hint="eastAsia"/>
        </w:rPr>
        <w:t>6</w:t>
      </w:r>
      <w:r>
        <w:rPr>
          <w:rFonts w:hint="eastAsia"/>
        </w:rPr>
        <w:t>、其他職務上有正當理由須請求協助者。</w:t>
      </w:r>
      <w:r w:rsidRPr="001C7D7A">
        <w:rPr>
          <w:rFonts w:hint="eastAsia"/>
        </w:rPr>
        <w:t>」</w:t>
      </w:r>
    </w:p>
  </w:footnote>
  <w:footnote w:id="4">
    <w:p w:rsidR="00CE3DFB" w:rsidRPr="004645AA" w:rsidRDefault="00CE3DFB">
      <w:pPr>
        <w:pStyle w:val="afe"/>
      </w:pPr>
      <w:r>
        <w:rPr>
          <w:rStyle w:val="aff0"/>
        </w:rPr>
        <w:footnoteRef/>
      </w:r>
      <w:r>
        <w:t xml:space="preserve"> </w:t>
      </w:r>
      <w:r w:rsidRPr="001157C1">
        <w:rPr>
          <w:rFonts w:ascii="標楷體" w:hAnsi="標楷體" w:hint="eastAsia"/>
        </w:rPr>
        <w:t>第三年齡係指一個人離開工作場所（主要指不再從事全時的工作），並且停止許多家庭上的責任，得以自由地滿足個人的想法與需要，其特性是屬於個人成就的年齡。第四年齡係指依賴和衰老以及死亡的年齡。</w:t>
      </w:r>
    </w:p>
  </w:footnote>
  <w:footnote w:id="5">
    <w:p w:rsidR="00CE3DFB" w:rsidRPr="00B04F2C" w:rsidRDefault="00CE3DFB" w:rsidP="00AC25FA">
      <w:pPr>
        <w:pStyle w:val="afe"/>
        <w:overflowPunct w:val="0"/>
        <w:jc w:val="both"/>
      </w:pPr>
      <w:r w:rsidRPr="00E306E5">
        <w:rPr>
          <w:rStyle w:val="aff0"/>
          <w:color w:val="FF0000"/>
        </w:rPr>
        <w:footnoteRef/>
      </w:r>
      <w:r w:rsidRPr="00E306E5">
        <w:rPr>
          <w:color w:val="FF0000"/>
        </w:rPr>
        <w:t xml:space="preserve">UNESCO Institute for Lifelong Learning. (2019). 4th GLOBAL REPORT ON ADULT LEARNING </w:t>
      </w:r>
      <w:r w:rsidRPr="003019BD">
        <w:rPr>
          <w:color w:val="7030A0"/>
        </w:rPr>
        <w:t>AND EDUCATION. LEAVE NO ONE BEHIND: PARTICIPATION, EQUITY AND INCLUSION. Retrieved January 15, 2020, from https://unesdoc.unesco.org/ark:/48223/pf0000372274</w:t>
      </w:r>
    </w:p>
  </w:footnote>
  <w:footnote w:id="6">
    <w:p w:rsidR="00CE3DFB" w:rsidRPr="00E92AB6" w:rsidRDefault="00CE3DFB" w:rsidP="00AC25FA">
      <w:pPr>
        <w:pStyle w:val="afe"/>
      </w:pPr>
      <w:r w:rsidRPr="00E142B8">
        <w:rPr>
          <w:rStyle w:val="aff0"/>
          <w:color w:val="000000" w:themeColor="text1"/>
        </w:rPr>
        <w:footnoteRef/>
      </w:r>
      <w:r w:rsidRPr="00E142B8">
        <w:rPr>
          <w:color w:val="000000" w:themeColor="text1"/>
        </w:rPr>
        <w:t xml:space="preserve"> </w:t>
      </w:r>
      <w:r w:rsidRPr="00E142B8">
        <w:rPr>
          <w:rFonts w:hint="eastAsia"/>
          <w:color w:val="000000" w:themeColor="text1"/>
        </w:rPr>
        <w:t>吳明烈、李藹慈、林芳誼、張育禎（</w:t>
      </w:r>
      <w:r>
        <w:rPr>
          <w:rFonts w:hint="eastAsia"/>
          <w:color w:val="000000" w:themeColor="text1"/>
        </w:rPr>
        <w:t>民</w:t>
      </w:r>
      <w:r>
        <w:rPr>
          <w:rFonts w:hint="eastAsia"/>
          <w:color w:val="000000" w:themeColor="text1"/>
        </w:rPr>
        <w:t>107</w:t>
      </w:r>
      <w:r w:rsidRPr="00E142B8">
        <w:rPr>
          <w:rFonts w:hint="eastAsia"/>
          <w:color w:val="000000" w:themeColor="text1"/>
        </w:rPr>
        <w:t>）。</w:t>
      </w:r>
      <w:r w:rsidRPr="003E0A86">
        <w:rPr>
          <w:rFonts w:hint="eastAsia"/>
          <w:b/>
          <w:color w:val="000000" w:themeColor="text1"/>
        </w:rPr>
        <w:t>106</w:t>
      </w:r>
      <w:r w:rsidRPr="003E0A86">
        <w:rPr>
          <w:rFonts w:hint="eastAsia"/>
          <w:b/>
          <w:color w:val="000000" w:themeColor="text1"/>
        </w:rPr>
        <w:t>年度成人教育調查報告</w:t>
      </w:r>
      <w:r w:rsidRPr="00E142B8">
        <w:rPr>
          <w:rFonts w:hint="eastAsia"/>
          <w:color w:val="000000" w:themeColor="text1"/>
        </w:rPr>
        <w:t>。教育部委託之專題研究成果報告。臺北市：教育部。</w:t>
      </w:r>
    </w:p>
  </w:footnote>
  <w:footnote w:id="7">
    <w:p w:rsidR="00CE3DFB" w:rsidRDefault="00CE3DFB" w:rsidP="00507EBB">
      <w:pPr>
        <w:pStyle w:val="afe"/>
        <w:wordWrap w:val="0"/>
      </w:pPr>
      <w:r>
        <w:rPr>
          <w:rStyle w:val="aff0"/>
        </w:rPr>
        <w:footnoteRef/>
      </w:r>
      <w:r>
        <w:t xml:space="preserve"> </w:t>
      </w:r>
      <w:r>
        <w:rPr>
          <w:rFonts w:hint="eastAsia"/>
        </w:rPr>
        <w:t>資料來源</w:t>
      </w:r>
      <w:r>
        <w:rPr>
          <w:rFonts w:hint="eastAsia"/>
        </w:rPr>
        <w:t>:</w:t>
      </w:r>
      <w:r w:rsidRPr="0056395A">
        <w:t>https://www.kinmen.gov.tw/News_Content2.aspx?n=98E3CA7358C89100&amp;sms=BF7D6D478B935644&amp;s=DDE924F4FA6E6102</w:t>
      </w:r>
    </w:p>
  </w:footnote>
  <w:footnote w:id="8">
    <w:p w:rsidR="00CE3DFB" w:rsidRDefault="00CE3DFB">
      <w:pPr>
        <w:pStyle w:val="afe"/>
      </w:pPr>
      <w:r>
        <w:rPr>
          <w:rStyle w:val="aff0"/>
        </w:rPr>
        <w:footnoteRef/>
      </w:r>
      <w:r>
        <w:t xml:space="preserve"> </w:t>
      </w:r>
      <w:r>
        <w:rPr>
          <w:rFonts w:hint="eastAsia"/>
        </w:rPr>
        <w:t>本案國際性質</w:t>
      </w:r>
      <w:r>
        <w:rPr>
          <w:rFonts w:ascii="標楷體" w:hAnsi="標楷體" w:hint="eastAsia"/>
        </w:rPr>
        <w:t>、</w:t>
      </w:r>
      <w:r>
        <w:rPr>
          <w:rFonts w:hint="eastAsia"/>
        </w:rPr>
        <w:t>涉外事物及人口推估資料以公元</w:t>
      </w:r>
      <w:r>
        <w:rPr>
          <w:rStyle w:val="e24kjd"/>
          <w:rFonts w:ascii="Arial" w:hAnsi="Arial" w:cs="Arial" w:hint="eastAsia"/>
          <w:color w:val="222222"/>
          <w:sz w:val="21"/>
          <w:szCs w:val="21"/>
        </w:rPr>
        <w:t>紀年</w:t>
      </w:r>
      <w:r>
        <w:rPr>
          <w:rFonts w:hint="eastAsia"/>
        </w:rPr>
        <w:t>，餘均以民國</w:t>
      </w:r>
      <w:r>
        <w:rPr>
          <w:rStyle w:val="e24kjd"/>
          <w:rFonts w:ascii="Arial" w:hAnsi="Arial" w:cs="Arial" w:hint="eastAsia"/>
          <w:color w:val="222222"/>
          <w:sz w:val="21"/>
          <w:szCs w:val="21"/>
        </w:rPr>
        <w:t>紀年</w:t>
      </w:r>
      <w:r>
        <w:rPr>
          <w:rFonts w:hint="eastAsia"/>
        </w:rPr>
        <w:t>。</w:t>
      </w:r>
    </w:p>
  </w:footnote>
  <w:footnote w:id="9">
    <w:p w:rsidR="00CE3DFB" w:rsidRPr="00F44F10" w:rsidRDefault="00CE3DFB" w:rsidP="0086043C">
      <w:pPr>
        <w:pStyle w:val="afe"/>
      </w:pPr>
      <w:r>
        <w:rPr>
          <w:rStyle w:val="aff0"/>
        </w:rPr>
        <w:footnoteRef/>
      </w:r>
      <w:r>
        <w:t xml:space="preserve"> </w:t>
      </w:r>
      <w:r>
        <w:rPr>
          <w:rFonts w:hint="eastAsia"/>
        </w:rPr>
        <w:t>教育部樂齡學習政策。取自</w:t>
      </w:r>
      <w:r w:rsidRPr="00FE0549">
        <w:rPr>
          <w:sz w:val="18"/>
          <w:szCs w:val="18"/>
        </w:rPr>
        <w:t>https://moe.senioredu.moe.gov.tw/UploadFiles/20160727094441933.pdf</w:t>
      </w:r>
    </w:p>
  </w:footnote>
  <w:footnote w:id="10">
    <w:p w:rsidR="00CE3DFB" w:rsidRPr="00586500" w:rsidRDefault="00CE3DFB" w:rsidP="00E77FE5">
      <w:pPr>
        <w:pStyle w:val="afe"/>
        <w:jc w:val="both"/>
      </w:pPr>
      <w:r>
        <w:rPr>
          <w:rStyle w:val="aff0"/>
        </w:rPr>
        <w:footnoteRef/>
      </w:r>
      <w:r>
        <w:t xml:space="preserve"> </w:t>
      </w:r>
      <w:r>
        <w:rPr>
          <w:rFonts w:hint="eastAsia"/>
        </w:rPr>
        <w:t>根據世界衛生組織</w:t>
      </w:r>
      <w:r w:rsidRPr="00471F72">
        <w:rPr>
          <w:rFonts w:hAnsi="標楷體" w:hint="eastAsia"/>
        </w:rPr>
        <w:t>（</w:t>
      </w:r>
      <w:r>
        <w:rPr>
          <w:rFonts w:hAnsi="標楷體" w:hint="eastAsia"/>
        </w:rPr>
        <w:t>WHO</w:t>
      </w:r>
      <w:r w:rsidRPr="00471F72">
        <w:rPr>
          <w:rFonts w:hAnsi="標楷體" w:hint="eastAsia"/>
        </w:rPr>
        <w:t>）</w:t>
      </w:r>
      <w:r>
        <w:rPr>
          <w:rFonts w:hint="eastAsia"/>
        </w:rPr>
        <w:t>的定義，</w:t>
      </w:r>
      <w:r>
        <w:rPr>
          <w:rFonts w:hint="eastAsia"/>
        </w:rPr>
        <w:t>65</w:t>
      </w:r>
      <w:r>
        <w:rPr>
          <w:rFonts w:hint="eastAsia"/>
        </w:rPr>
        <w:t>歲以上人口視為老年人口，而此歲數者佔比之於社會總人口代表的含意分別為：高齡化社會─</w:t>
      </w:r>
      <w:r>
        <w:t>65</w:t>
      </w:r>
      <w:r>
        <w:rPr>
          <w:rFonts w:hint="eastAsia"/>
        </w:rPr>
        <w:t>歲以上老年人口佔總人口比率達</w:t>
      </w:r>
      <w:r>
        <w:t>7%</w:t>
      </w:r>
      <w:r>
        <w:rPr>
          <w:rFonts w:hint="eastAsia"/>
        </w:rPr>
        <w:t>；高齡社會</w:t>
      </w:r>
      <w:r>
        <w:t xml:space="preserve"> </w:t>
      </w:r>
      <w:r>
        <w:rPr>
          <w:rFonts w:hint="eastAsia"/>
        </w:rPr>
        <w:t>─</w:t>
      </w:r>
      <w:r>
        <w:t xml:space="preserve"> 65 </w:t>
      </w:r>
      <w:r>
        <w:rPr>
          <w:rFonts w:hint="eastAsia"/>
        </w:rPr>
        <w:t>歲以上老年人口佔總人口比率達</w:t>
      </w:r>
      <w:r>
        <w:t xml:space="preserve"> 14%</w:t>
      </w:r>
      <w:r>
        <w:rPr>
          <w:rFonts w:hint="eastAsia"/>
        </w:rPr>
        <w:t>；超高齡社會─</w:t>
      </w:r>
      <w:r>
        <w:t>65</w:t>
      </w:r>
      <w:r>
        <w:rPr>
          <w:rFonts w:hint="eastAsia"/>
        </w:rPr>
        <w:t>歲以上老年人口佔總人口比率達</w:t>
      </w:r>
      <w:r>
        <w:t>20%</w:t>
      </w:r>
      <w:r>
        <w:rPr>
          <w:rFonts w:hint="eastAsia"/>
        </w:rPr>
        <w:t>。爰我</w:t>
      </w:r>
      <w:r w:rsidRPr="00586500">
        <w:rPr>
          <w:rFonts w:hint="eastAsia"/>
        </w:rPr>
        <w:t>國已於</w:t>
      </w:r>
      <w:r w:rsidRPr="00586500">
        <w:rPr>
          <w:rFonts w:hint="eastAsia"/>
        </w:rPr>
        <w:t>1993</w:t>
      </w:r>
      <w:r w:rsidRPr="00586500">
        <w:rPr>
          <w:rFonts w:hint="eastAsia"/>
        </w:rPr>
        <w:t>年成為高齡化社會，</w:t>
      </w:r>
      <w:r w:rsidRPr="00586500">
        <w:rPr>
          <w:rFonts w:hint="eastAsia"/>
        </w:rPr>
        <w:t>2018</w:t>
      </w:r>
      <w:r w:rsidRPr="00586500">
        <w:rPr>
          <w:rFonts w:hint="eastAsia"/>
        </w:rPr>
        <w:t>年轉為高齡社會，</w:t>
      </w:r>
      <w:r>
        <w:rPr>
          <w:rFonts w:hint="eastAsia"/>
        </w:rPr>
        <w:t>國家發展委員會</w:t>
      </w:r>
      <w:r w:rsidRPr="00586500">
        <w:rPr>
          <w:rFonts w:hint="eastAsia"/>
        </w:rPr>
        <w:t>推估將於</w:t>
      </w:r>
      <w:r w:rsidRPr="00586500">
        <w:rPr>
          <w:rFonts w:hint="eastAsia"/>
        </w:rPr>
        <w:t>2026</w:t>
      </w:r>
      <w:r w:rsidRPr="00586500">
        <w:rPr>
          <w:rFonts w:hint="eastAsia"/>
        </w:rPr>
        <w:t>年邁入超高齡社會。</w:t>
      </w:r>
    </w:p>
  </w:footnote>
  <w:footnote w:id="11">
    <w:p w:rsidR="00CE3DFB" w:rsidRPr="006544BB" w:rsidRDefault="00CE3DFB">
      <w:pPr>
        <w:pStyle w:val="afe"/>
      </w:pPr>
      <w:r>
        <w:rPr>
          <w:rStyle w:val="aff0"/>
        </w:rPr>
        <w:footnoteRef/>
      </w:r>
      <w:r>
        <w:rPr>
          <w:rFonts w:hint="eastAsia"/>
        </w:rPr>
        <w:t>本案主要標的既設定為高齡者終身教育措施及相關政策，爰關於終身學習法所定之社區大學</w:t>
      </w:r>
      <w:r>
        <w:rPr>
          <w:rFonts w:ascii="標楷體" w:hAnsi="標楷體" w:hint="eastAsia"/>
        </w:rPr>
        <w:t>、</w:t>
      </w:r>
      <w:r w:rsidRPr="005578C1">
        <w:rPr>
          <w:rFonts w:ascii="標楷體" w:hAnsi="標楷體" w:hint="eastAsia"/>
        </w:rPr>
        <w:t>社會教育機構</w:t>
      </w:r>
      <w:r>
        <w:rPr>
          <w:rFonts w:ascii="標楷體" w:hAnsi="標楷體" w:hint="eastAsia"/>
        </w:rPr>
        <w:t>等非以高齡者為主要服務對象，是以多未屬本案主要關注議題。</w:t>
      </w:r>
    </w:p>
  </w:footnote>
  <w:footnote w:id="12">
    <w:p w:rsidR="00CE3DFB" w:rsidRDefault="00CE3DFB" w:rsidP="00154635">
      <w:pPr>
        <w:pStyle w:val="afe"/>
        <w:jc w:val="both"/>
      </w:pPr>
      <w:r>
        <w:rPr>
          <w:rStyle w:val="aff0"/>
        </w:rPr>
        <w:footnoteRef/>
      </w:r>
      <w:r>
        <w:rPr>
          <w:rFonts w:hint="eastAsia"/>
        </w:rPr>
        <w:t>“</w:t>
      </w:r>
      <w:r>
        <w:t xml:space="preserve"> The right to learn is: the right to read and write;</w:t>
      </w:r>
      <w:r>
        <w:rPr>
          <w:rFonts w:hint="eastAsia"/>
        </w:rPr>
        <w:t xml:space="preserve"> </w:t>
      </w:r>
      <w:r>
        <w:t>the right to question and analyse; the right to imagine and create; the right to read one's own world and to write history;</w:t>
      </w:r>
      <w:r>
        <w:rPr>
          <w:rFonts w:hint="eastAsia"/>
        </w:rPr>
        <w:t xml:space="preserve"> </w:t>
      </w:r>
      <w:r>
        <w:t>the right to have access to educational resources;</w:t>
      </w:r>
      <w:r>
        <w:rPr>
          <w:rFonts w:hint="eastAsia"/>
        </w:rPr>
        <w:t xml:space="preserve"> </w:t>
      </w:r>
      <w:r>
        <w:t>the right to develop individual and collective skills. ”</w:t>
      </w:r>
    </w:p>
    <w:p w:rsidR="00CE3DFB" w:rsidRPr="00636C2F" w:rsidRDefault="00CE3DFB" w:rsidP="00725E09">
      <w:pPr>
        <w:pStyle w:val="afe"/>
      </w:pPr>
      <w:r>
        <w:rPr>
          <w:rFonts w:hint="eastAsia"/>
        </w:rPr>
        <w:t>資料來源：吳清山</w:t>
      </w:r>
      <w:r>
        <w:rPr>
          <w:rFonts w:ascii="標楷體" w:hAnsi="標楷體" w:hint="eastAsia"/>
        </w:rPr>
        <w:t>、</w:t>
      </w:r>
      <w:r>
        <w:rPr>
          <w:rFonts w:hint="eastAsia"/>
        </w:rPr>
        <w:t>林天佑（民</w:t>
      </w:r>
      <w:r>
        <w:rPr>
          <w:rFonts w:hint="eastAsia"/>
        </w:rPr>
        <w:t>98</w:t>
      </w:r>
      <w:r>
        <w:rPr>
          <w:rFonts w:hint="eastAsia"/>
        </w:rPr>
        <w:t>）。</w:t>
      </w:r>
      <w:r w:rsidRPr="00574253">
        <w:rPr>
          <w:rFonts w:hint="eastAsia"/>
          <w:b/>
        </w:rPr>
        <w:t>教育小辭書</w:t>
      </w:r>
      <w:r>
        <w:rPr>
          <w:rFonts w:hint="eastAsia"/>
        </w:rPr>
        <w:t>。</w:t>
      </w:r>
    </w:p>
  </w:footnote>
  <w:footnote w:id="13">
    <w:p w:rsidR="00CE3DFB" w:rsidRPr="00DB3292" w:rsidRDefault="00CE3DFB" w:rsidP="00725E09">
      <w:pPr>
        <w:pStyle w:val="afe"/>
      </w:pPr>
      <w:r>
        <w:rPr>
          <w:rStyle w:val="aff0"/>
        </w:rPr>
        <w:footnoteRef/>
      </w:r>
      <w:r>
        <w:t xml:space="preserve"> </w:t>
      </w:r>
      <w:r>
        <w:rPr>
          <w:rFonts w:hint="eastAsia"/>
        </w:rPr>
        <w:t>許育典（民</w:t>
      </w:r>
      <w:r>
        <w:rPr>
          <w:rFonts w:hint="eastAsia"/>
        </w:rPr>
        <w:t>103</w:t>
      </w:r>
      <w:r>
        <w:rPr>
          <w:rFonts w:hint="eastAsia"/>
        </w:rPr>
        <w:t>）。</w:t>
      </w:r>
      <w:r w:rsidRPr="00F30BC8">
        <w:rPr>
          <w:rFonts w:hint="eastAsia"/>
          <w:b/>
        </w:rPr>
        <w:t>跨領域的教育法制與教育行政</w:t>
      </w:r>
      <w:r w:rsidRPr="002F5A1F">
        <w:rPr>
          <w:rFonts w:hint="eastAsia"/>
        </w:rPr>
        <w:t>。</w:t>
      </w:r>
    </w:p>
  </w:footnote>
  <w:footnote w:id="14">
    <w:p w:rsidR="00CE3DFB" w:rsidRDefault="00CE3DFB" w:rsidP="004C72B1">
      <w:pPr>
        <w:pStyle w:val="afe"/>
        <w:wordWrap w:val="0"/>
      </w:pPr>
      <w:r>
        <w:rPr>
          <w:rStyle w:val="aff0"/>
        </w:rPr>
        <w:footnoteRef/>
      </w:r>
      <w:r>
        <w:t xml:space="preserve"> </w:t>
      </w:r>
      <w:r>
        <w:rPr>
          <w:rFonts w:hint="eastAsia"/>
        </w:rPr>
        <w:t>資料來源：</w:t>
      </w:r>
      <w:r>
        <w:rPr>
          <w:rFonts w:hint="eastAsia"/>
        </w:rPr>
        <w:t>1.</w:t>
      </w:r>
      <w:r>
        <w:rPr>
          <w:rFonts w:hint="eastAsia"/>
        </w:rPr>
        <w:t>國家教育研究院（民</w:t>
      </w:r>
      <w:r>
        <w:rPr>
          <w:rFonts w:hint="eastAsia"/>
        </w:rPr>
        <w:t>89</w:t>
      </w:r>
      <w:r>
        <w:rPr>
          <w:rFonts w:hint="eastAsia"/>
        </w:rPr>
        <w:t>年）。</w:t>
      </w:r>
      <w:r w:rsidRPr="00C70DB8">
        <w:rPr>
          <w:rFonts w:hint="eastAsia"/>
          <w:b/>
        </w:rPr>
        <w:t>教育大辭書</w:t>
      </w:r>
      <w:r>
        <w:rPr>
          <w:rFonts w:hint="eastAsia"/>
          <w:b/>
        </w:rPr>
        <w:t>。</w:t>
      </w:r>
      <w:r>
        <w:rPr>
          <w:rFonts w:hint="eastAsia"/>
        </w:rPr>
        <w:t>取自</w:t>
      </w:r>
      <w:hyperlink r:id="rId1" w:history="1">
        <w:r w:rsidRPr="006D45DE">
          <w:t>http://terms.naer.edu.tw/detail/1305071/</w:t>
        </w:r>
        <w:r w:rsidRPr="006D45DE">
          <w:rPr>
            <w:rFonts w:hint="eastAsia"/>
          </w:rPr>
          <w:t>；</w:t>
        </w:r>
        <w:r w:rsidRPr="006D45DE">
          <w:rPr>
            <w:rFonts w:hint="eastAsia"/>
          </w:rPr>
          <w:t>2.</w:t>
        </w:r>
        <w:r w:rsidRPr="006D45DE">
          <w:rPr>
            <w:rFonts w:hint="eastAsia"/>
          </w:rPr>
          <w:t>教育部（民</w:t>
        </w:r>
        <w:r w:rsidRPr="006D45DE">
          <w:rPr>
            <w:rFonts w:hint="eastAsia"/>
          </w:rPr>
          <w:t>95</w:t>
        </w:r>
      </w:hyperlink>
      <w:r w:rsidRPr="006D45DE">
        <w:rPr>
          <w:rFonts w:hint="eastAsia"/>
        </w:rPr>
        <w:t>年）</w:t>
      </w:r>
      <w:r>
        <w:rPr>
          <w:rFonts w:hint="eastAsia"/>
          <w:color w:val="000000" w:themeColor="text1"/>
        </w:rPr>
        <w:t>。</w:t>
      </w:r>
      <w:r w:rsidRPr="00C70DB8">
        <w:rPr>
          <w:rFonts w:hint="eastAsia"/>
          <w:b/>
          <w:color w:val="000000" w:themeColor="text1"/>
        </w:rPr>
        <w:t>邁向高齡社會老人教育政策白皮書</w:t>
      </w:r>
      <w:r>
        <w:rPr>
          <w:rFonts w:hint="eastAsia"/>
        </w:rPr>
        <w:t>。</w:t>
      </w:r>
    </w:p>
  </w:footnote>
  <w:footnote w:id="15">
    <w:p w:rsidR="00CE3DFB" w:rsidRPr="002B06BB" w:rsidRDefault="00CE3DFB">
      <w:pPr>
        <w:pStyle w:val="afe"/>
      </w:pPr>
      <w:r>
        <w:rPr>
          <w:rStyle w:val="aff0"/>
        </w:rPr>
        <w:footnoteRef/>
      </w:r>
      <w:r>
        <w:t xml:space="preserve"> </w:t>
      </w:r>
      <w:r w:rsidRPr="00F14F3F">
        <w:rPr>
          <w:rFonts w:hint="eastAsia"/>
        </w:rPr>
        <w:t>內政部</w:t>
      </w:r>
      <w:r>
        <w:rPr>
          <w:rFonts w:hint="eastAsia"/>
        </w:rPr>
        <w:t>（民</w:t>
      </w:r>
      <w:r>
        <w:rPr>
          <w:rFonts w:hint="eastAsia"/>
        </w:rPr>
        <w:t>97</w:t>
      </w:r>
      <w:r>
        <w:rPr>
          <w:rFonts w:hint="eastAsia"/>
        </w:rPr>
        <w:t>）。</w:t>
      </w:r>
      <w:r w:rsidRPr="00FE54D5">
        <w:rPr>
          <w:rFonts w:hint="eastAsia"/>
          <w:b/>
        </w:rPr>
        <w:t>人口政策資料及內政部戶政司統計資料</w:t>
      </w:r>
      <w:r>
        <w:rPr>
          <w:rFonts w:hint="eastAsia"/>
        </w:rPr>
        <w:t>。</w:t>
      </w:r>
    </w:p>
  </w:footnote>
  <w:footnote w:id="16">
    <w:p w:rsidR="00CE3DFB" w:rsidRPr="006A4155" w:rsidRDefault="00CE3DFB">
      <w:pPr>
        <w:pStyle w:val="afe"/>
      </w:pPr>
      <w:r>
        <w:rPr>
          <w:rStyle w:val="aff0"/>
        </w:rPr>
        <w:footnoteRef/>
      </w:r>
      <w:r>
        <w:t xml:space="preserve"> </w:t>
      </w:r>
      <w:r>
        <w:rPr>
          <w:rFonts w:hint="eastAsia"/>
        </w:rPr>
        <w:t>監察院（民</w:t>
      </w:r>
      <w:r>
        <w:rPr>
          <w:rFonts w:hint="eastAsia"/>
        </w:rPr>
        <w:t>99</w:t>
      </w:r>
      <w:r>
        <w:rPr>
          <w:rFonts w:hint="eastAsia"/>
        </w:rPr>
        <w:t>）。</w:t>
      </w:r>
      <w:r w:rsidRPr="00FE54D5">
        <w:rPr>
          <w:rFonts w:hint="eastAsia"/>
          <w:b/>
        </w:rPr>
        <w:t>臺灣老人人權與實踐之探討專案調查研究報告</w:t>
      </w:r>
      <w:r>
        <w:rPr>
          <w:rFonts w:hint="eastAsia"/>
        </w:rPr>
        <w:t>。</w:t>
      </w:r>
    </w:p>
  </w:footnote>
  <w:footnote w:id="17">
    <w:p w:rsidR="00CE3DFB" w:rsidRPr="00B10D77" w:rsidRDefault="00CE3DFB" w:rsidP="00BD1F42">
      <w:pPr>
        <w:pStyle w:val="afe"/>
        <w:wordWrap w:val="0"/>
      </w:pPr>
      <w:r>
        <w:rPr>
          <w:rStyle w:val="aff0"/>
        </w:rPr>
        <w:footnoteRef/>
      </w:r>
      <w:r>
        <w:t xml:space="preserve"> </w:t>
      </w:r>
      <w:r>
        <w:rPr>
          <w:rFonts w:hint="eastAsia"/>
        </w:rPr>
        <w:t>行政院國家發展委員會（民</w:t>
      </w:r>
      <w:r>
        <w:rPr>
          <w:rFonts w:hint="eastAsia"/>
        </w:rPr>
        <w:t>107</w:t>
      </w:r>
      <w:r>
        <w:rPr>
          <w:rFonts w:hint="eastAsia"/>
        </w:rPr>
        <w:t>）。</w:t>
      </w:r>
      <w:r w:rsidRPr="00315852">
        <w:rPr>
          <w:rFonts w:hint="eastAsia"/>
          <w:b/>
        </w:rPr>
        <w:t>中華民國人口推估</w:t>
      </w:r>
      <w:r w:rsidRPr="00315852">
        <w:rPr>
          <w:rFonts w:hint="eastAsia"/>
          <w:b/>
        </w:rPr>
        <w:t>(2018</w:t>
      </w:r>
      <w:r w:rsidRPr="00315852">
        <w:rPr>
          <w:rFonts w:hint="eastAsia"/>
          <w:b/>
        </w:rPr>
        <w:t>至</w:t>
      </w:r>
      <w:r w:rsidRPr="00315852">
        <w:rPr>
          <w:rFonts w:hint="eastAsia"/>
          <w:b/>
        </w:rPr>
        <w:t>2065</w:t>
      </w:r>
      <w:r w:rsidRPr="00315852">
        <w:rPr>
          <w:rFonts w:hint="eastAsia"/>
          <w:b/>
        </w:rPr>
        <w:t>年</w:t>
      </w:r>
      <w:r w:rsidRPr="00315852">
        <w:rPr>
          <w:rFonts w:hint="eastAsia"/>
          <w:b/>
        </w:rPr>
        <w:t>)</w:t>
      </w:r>
      <w:r>
        <w:rPr>
          <w:rFonts w:hint="eastAsia"/>
        </w:rPr>
        <w:t>。取自</w:t>
      </w:r>
      <w:r w:rsidRPr="00BD1F42">
        <w:t>https://www.ndc.gov.tw/Content_List.aspx?n=84223C65B6F94D72</w:t>
      </w:r>
    </w:p>
  </w:footnote>
  <w:footnote w:id="18">
    <w:p w:rsidR="00CE3DFB" w:rsidRPr="009D056A" w:rsidRDefault="00CE3DFB" w:rsidP="009D056A">
      <w:pPr>
        <w:pStyle w:val="afe"/>
        <w:jc w:val="both"/>
      </w:pPr>
      <w:r>
        <w:rPr>
          <w:rStyle w:val="aff0"/>
        </w:rPr>
        <w:footnoteRef/>
      </w:r>
      <w:r>
        <w:t xml:space="preserve"> </w:t>
      </w:r>
      <w:r>
        <w:rPr>
          <w:rFonts w:hint="eastAsia"/>
        </w:rPr>
        <w:t>黃富順</w:t>
      </w:r>
      <w:r>
        <w:rPr>
          <w:rFonts w:hint="eastAsia"/>
        </w:rPr>
        <w:t>(</w:t>
      </w:r>
      <w:r>
        <w:rPr>
          <w:rFonts w:hint="eastAsia"/>
        </w:rPr>
        <w:t>民</w:t>
      </w:r>
      <w:r>
        <w:rPr>
          <w:rFonts w:hint="eastAsia"/>
        </w:rPr>
        <w:t>102)</w:t>
      </w:r>
      <w:r>
        <w:rPr>
          <w:rFonts w:hint="eastAsia"/>
        </w:rPr>
        <w:t>。</w:t>
      </w:r>
      <w:r w:rsidRPr="00654018">
        <w:rPr>
          <w:rFonts w:hint="eastAsia"/>
          <w:b/>
        </w:rPr>
        <w:t>我國終身學習推展的回顧與前瞻</w:t>
      </w:r>
      <w:r>
        <w:rPr>
          <w:rFonts w:hint="eastAsia"/>
        </w:rPr>
        <w:t>。載於</w:t>
      </w:r>
      <w:r>
        <w:rPr>
          <w:rFonts w:ascii="標楷體" w:hAnsi="標楷體" w:hint="eastAsia"/>
        </w:rPr>
        <w:t>《</w:t>
      </w:r>
      <w:r>
        <w:rPr>
          <w:rFonts w:hint="eastAsia"/>
        </w:rPr>
        <w:t>新北市終身學習期刊</w:t>
      </w:r>
      <w:r>
        <w:rPr>
          <w:rFonts w:ascii="標楷體" w:hAnsi="標楷體" w:hint="eastAsia"/>
        </w:rPr>
        <w:t>》</w:t>
      </w:r>
      <w:r>
        <w:rPr>
          <w:rFonts w:hint="eastAsia"/>
        </w:rPr>
        <w:t>，頁</w:t>
      </w:r>
      <w:r>
        <w:rPr>
          <w:rFonts w:hint="eastAsia"/>
        </w:rPr>
        <w:t>4-15</w:t>
      </w:r>
      <w:r>
        <w:rPr>
          <w:rFonts w:hint="eastAsia"/>
        </w:rPr>
        <w:t>。取自</w:t>
      </w:r>
      <w:r w:rsidRPr="00CF3ED3">
        <w:rPr>
          <w:sz w:val="18"/>
          <w:szCs w:val="18"/>
        </w:rPr>
        <w:t>https://lll.ntpc.edu.tw/Upload/Files/%E7%B5%82%E6%95%99%E6%9C%9F%E5%88%8A7.pdf</w:t>
      </w:r>
    </w:p>
  </w:footnote>
  <w:footnote w:id="19">
    <w:p w:rsidR="00CE3DFB" w:rsidRDefault="00CE3DFB" w:rsidP="003872FF">
      <w:pPr>
        <w:pStyle w:val="afe"/>
        <w:wordWrap w:val="0"/>
        <w:jc w:val="both"/>
      </w:pPr>
      <w:r>
        <w:rPr>
          <w:rStyle w:val="aff0"/>
        </w:rPr>
        <w:footnoteRef/>
      </w:r>
      <w:r>
        <w:rPr>
          <w:rFonts w:hint="eastAsia"/>
        </w:rPr>
        <w:t xml:space="preserve"> </w:t>
      </w:r>
      <w:r>
        <w:rPr>
          <w:rFonts w:hint="eastAsia"/>
        </w:rPr>
        <w:t>國家教育研究院</w:t>
      </w:r>
      <w:r>
        <w:rPr>
          <w:rFonts w:hint="eastAsia"/>
        </w:rPr>
        <w:t>(</w:t>
      </w:r>
      <w:r>
        <w:rPr>
          <w:rFonts w:hint="eastAsia"/>
        </w:rPr>
        <w:t>民</w:t>
      </w:r>
      <w:r>
        <w:rPr>
          <w:rFonts w:hint="eastAsia"/>
        </w:rPr>
        <w:t>89)</w:t>
      </w:r>
      <w:r>
        <w:rPr>
          <w:rFonts w:hint="eastAsia"/>
        </w:rPr>
        <w:t>。</w:t>
      </w:r>
      <w:r w:rsidRPr="00AD6C0A">
        <w:rPr>
          <w:rFonts w:hint="eastAsia"/>
          <w:b/>
        </w:rPr>
        <w:t>社會教育工作綱要</w:t>
      </w:r>
      <w:r>
        <w:rPr>
          <w:rFonts w:hint="eastAsia"/>
        </w:rPr>
        <w:t>。</w:t>
      </w:r>
      <w:r w:rsidRPr="00590AE4">
        <w:t>https://pedia.cloud.edu.tw/Entry/Detail/?title=%E3%80%94%E7%A4%BE%E6%9C%83%E6%95%99%E8%82%B2%E5%B7%A5%E4%BD%9C%E7%B6%B1%E8%A6%81%E3%80%95</w:t>
      </w:r>
      <w:r>
        <w:rPr>
          <w:rFonts w:ascii="標楷體" w:hAnsi="標楷體" w:hint="eastAsia"/>
        </w:rPr>
        <w:t>；</w:t>
      </w:r>
      <w:r w:rsidRPr="00727174">
        <w:rPr>
          <w:rFonts w:ascii="標楷體" w:hAnsi="標楷體" w:hint="eastAsia"/>
        </w:rPr>
        <w:t>教育部（</w:t>
      </w:r>
      <w:r>
        <w:rPr>
          <w:rFonts w:ascii="標楷體" w:hAnsi="標楷體" w:hint="eastAsia"/>
        </w:rPr>
        <w:t>民93</w:t>
      </w:r>
      <w:r w:rsidRPr="00727174">
        <w:rPr>
          <w:rFonts w:ascii="標楷體" w:hAnsi="標楷體" w:hint="eastAsia"/>
        </w:rPr>
        <w:t>）。</w:t>
      </w:r>
      <w:r w:rsidRPr="00727174">
        <w:rPr>
          <w:rFonts w:ascii="標楷體" w:hAnsi="標楷體" w:hint="eastAsia"/>
          <w:b/>
        </w:rPr>
        <w:t>社會教育工作綱要</w:t>
      </w:r>
      <w:r w:rsidRPr="00727174">
        <w:rPr>
          <w:rFonts w:ascii="標楷體" w:hAnsi="標楷體" w:hint="eastAsia"/>
        </w:rPr>
        <w:t>。</w:t>
      </w:r>
      <w:r>
        <w:rPr>
          <w:rFonts w:ascii="標楷體" w:hAnsi="標楷體" w:hint="eastAsia"/>
        </w:rPr>
        <w:t>臺北市</w:t>
      </w:r>
      <w:r w:rsidRPr="00727174">
        <w:rPr>
          <w:rFonts w:ascii="標楷體" w:hAnsi="標楷體" w:hint="eastAsia"/>
        </w:rPr>
        <w:t>。</w:t>
      </w:r>
    </w:p>
  </w:footnote>
  <w:footnote w:id="20">
    <w:p w:rsidR="00CE3DFB" w:rsidRDefault="00CE3DFB" w:rsidP="003872FF">
      <w:pPr>
        <w:pStyle w:val="afe"/>
        <w:wordWrap w:val="0"/>
      </w:pPr>
      <w:r>
        <w:rPr>
          <w:rStyle w:val="aff0"/>
        </w:rPr>
        <w:footnoteRef/>
      </w:r>
      <w:r>
        <w:t xml:space="preserve"> </w:t>
      </w:r>
      <w:r>
        <w:rPr>
          <w:rFonts w:hint="eastAsia"/>
        </w:rPr>
        <w:t>行政院</w:t>
      </w:r>
      <w:r>
        <w:rPr>
          <w:rFonts w:hint="eastAsia"/>
        </w:rPr>
        <w:t>(</w:t>
      </w:r>
      <w:r>
        <w:rPr>
          <w:rFonts w:hint="eastAsia"/>
        </w:rPr>
        <w:t>民</w:t>
      </w:r>
      <w:r w:rsidRPr="002A741E">
        <w:t>103</w:t>
      </w:r>
      <w:r>
        <w:rPr>
          <w:rFonts w:hint="eastAsia"/>
        </w:rPr>
        <w:t>)</w:t>
      </w:r>
      <w:r>
        <w:rPr>
          <w:rFonts w:hint="eastAsia"/>
        </w:rPr>
        <w:t>。</w:t>
      </w:r>
      <w:r w:rsidRPr="004270D8">
        <w:rPr>
          <w:rFonts w:hint="eastAsia"/>
          <w:b/>
        </w:rPr>
        <w:t>中華民國人口政策綱領</w:t>
      </w:r>
      <w:r>
        <w:rPr>
          <w:rFonts w:hint="eastAsia"/>
        </w:rPr>
        <w:t>。取自，</w:t>
      </w:r>
      <w:r w:rsidRPr="005A4539">
        <w:t>https://www.ndc.gov.tw/cp.aspx?n=6868882E351206A5</w:t>
      </w:r>
    </w:p>
  </w:footnote>
  <w:footnote w:id="21">
    <w:p w:rsidR="00CE3DFB" w:rsidRDefault="00CE3DFB" w:rsidP="003872FF">
      <w:pPr>
        <w:pStyle w:val="afe"/>
        <w:jc w:val="both"/>
      </w:pPr>
      <w:r>
        <w:rPr>
          <w:rStyle w:val="aff0"/>
        </w:rPr>
        <w:footnoteRef/>
      </w:r>
      <w:r>
        <w:t xml:space="preserve"> </w:t>
      </w:r>
      <w:r>
        <w:rPr>
          <w:rFonts w:hint="eastAsia"/>
        </w:rPr>
        <w:t>黃富順</w:t>
      </w:r>
      <w:r>
        <w:rPr>
          <w:rFonts w:hint="eastAsia"/>
        </w:rPr>
        <w:t>(</w:t>
      </w:r>
      <w:r>
        <w:rPr>
          <w:rFonts w:hint="eastAsia"/>
        </w:rPr>
        <w:t>民</w:t>
      </w:r>
      <w:r>
        <w:rPr>
          <w:rFonts w:hint="eastAsia"/>
        </w:rPr>
        <w:t>102)</w:t>
      </w:r>
      <w:r>
        <w:rPr>
          <w:rFonts w:hint="eastAsia"/>
        </w:rPr>
        <w:t>。</w:t>
      </w:r>
      <w:r w:rsidRPr="00654018">
        <w:rPr>
          <w:rFonts w:hint="eastAsia"/>
          <w:b/>
        </w:rPr>
        <w:t>我國終身學習推展的回顧與前瞻</w:t>
      </w:r>
      <w:r>
        <w:rPr>
          <w:rFonts w:hint="eastAsia"/>
        </w:rPr>
        <w:t>。載於</w:t>
      </w:r>
      <w:r>
        <w:rPr>
          <w:rFonts w:ascii="標楷體" w:hAnsi="標楷體" w:hint="eastAsia"/>
        </w:rPr>
        <w:t>《</w:t>
      </w:r>
      <w:r>
        <w:rPr>
          <w:rFonts w:hint="eastAsia"/>
        </w:rPr>
        <w:t>新北市終身學習期刊</w:t>
      </w:r>
      <w:r>
        <w:rPr>
          <w:rFonts w:ascii="標楷體" w:hAnsi="標楷體" w:hint="eastAsia"/>
        </w:rPr>
        <w:t>》</w:t>
      </w:r>
      <w:r>
        <w:rPr>
          <w:rFonts w:hint="eastAsia"/>
        </w:rPr>
        <w:t>，頁</w:t>
      </w:r>
      <w:r>
        <w:rPr>
          <w:rFonts w:hint="eastAsia"/>
        </w:rPr>
        <w:t>4-15</w:t>
      </w:r>
      <w:r>
        <w:rPr>
          <w:rFonts w:hint="eastAsia"/>
        </w:rPr>
        <w:t>。取自</w:t>
      </w:r>
      <w:r w:rsidRPr="00CF3ED3">
        <w:rPr>
          <w:sz w:val="18"/>
          <w:szCs w:val="18"/>
        </w:rPr>
        <w:t>https://lll.ntpc.edu.tw/Upload/Files/%E7%B5%82%E6%95%99%E6%9C%9F%E5%88%8A7.pdf</w:t>
      </w:r>
    </w:p>
  </w:footnote>
  <w:footnote w:id="22">
    <w:p w:rsidR="00CE3DFB" w:rsidRDefault="00CE3DFB" w:rsidP="003872FF">
      <w:pPr>
        <w:pStyle w:val="afe"/>
      </w:pPr>
      <w:r>
        <w:rPr>
          <w:rStyle w:val="aff0"/>
        </w:rPr>
        <w:footnoteRef/>
      </w:r>
      <w:r>
        <w:t xml:space="preserve"> </w:t>
      </w:r>
      <w:r>
        <w:rPr>
          <w:rFonts w:hint="eastAsia"/>
        </w:rPr>
        <w:t>教育部</w:t>
      </w:r>
      <w:r>
        <w:rPr>
          <w:rFonts w:hint="eastAsia"/>
        </w:rPr>
        <w:t>(</w:t>
      </w:r>
      <w:r>
        <w:rPr>
          <w:rFonts w:hint="eastAsia"/>
        </w:rPr>
        <w:t>民</w:t>
      </w:r>
      <w:r>
        <w:rPr>
          <w:rFonts w:hint="eastAsia"/>
        </w:rPr>
        <w:t>93)</w:t>
      </w:r>
      <w:r>
        <w:rPr>
          <w:rFonts w:hint="eastAsia"/>
        </w:rPr>
        <w:t>。</w:t>
      </w:r>
      <w:r w:rsidRPr="003D2E22">
        <w:rPr>
          <w:rFonts w:hint="eastAsia"/>
          <w:b/>
        </w:rPr>
        <w:t>我國老人教育政策專案研究計畫</w:t>
      </w:r>
      <w:r>
        <w:rPr>
          <w:rFonts w:hint="eastAsia"/>
        </w:rPr>
        <w:t>。取自，</w:t>
      </w:r>
      <w:r w:rsidRPr="005363B7">
        <w:t>https://moe.senioredu.moe.gov.tw/UploadFiles/20160328101401195.pdf</w:t>
      </w:r>
      <w:r>
        <w:rPr>
          <w:rFonts w:hint="eastAsia"/>
        </w:rPr>
        <w:t>。</w:t>
      </w:r>
    </w:p>
  </w:footnote>
  <w:footnote w:id="23">
    <w:p w:rsidR="00CE3DFB" w:rsidRDefault="00CE3DFB" w:rsidP="003872FF">
      <w:pPr>
        <w:pStyle w:val="afe"/>
      </w:pPr>
      <w:r>
        <w:rPr>
          <w:rStyle w:val="aff0"/>
        </w:rPr>
        <w:footnoteRef/>
      </w:r>
      <w:r>
        <w:t xml:space="preserve"> </w:t>
      </w:r>
      <w:r w:rsidRPr="00D764F2">
        <w:rPr>
          <w:rFonts w:hint="eastAsia"/>
        </w:rPr>
        <w:t>國際上將</w:t>
      </w:r>
      <w:r w:rsidRPr="00D764F2">
        <w:rPr>
          <w:rFonts w:hint="eastAsia"/>
        </w:rPr>
        <w:t>65</w:t>
      </w:r>
      <w:r w:rsidRPr="00D764F2">
        <w:rPr>
          <w:rFonts w:hint="eastAsia"/>
        </w:rPr>
        <w:t>歲以上人口占總人口比率達到</w:t>
      </w:r>
      <w:r w:rsidRPr="00D764F2">
        <w:rPr>
          <w:rFonts w:hint="eastAsia"/>
        </w:rPr>
        <w:t>7%</w:t>
      </w:r>
      <w:r w:rsidRPr="00D764F2">
        <w:rPr>
          <w:rFonts w:hint="eastAsia"/>
        </w:rPr>
        <w:t>、</w:t>
      </w:r>
      <w:r w:rsidRPr="00D764F2">
        <w:rPr>
          <w:rFonts w:hint="eastAsia"/>
        </w:rPr>
        <w:t>14%</w:t>
      </w:r>
      <w:r w:rsidRPr="00D764F2">
        <w:rPr>
          <w:rFonts w:hint="eastAsia"/>
        </w:rPr>
        <w:t>及</w:t>
      </w:r>
      <w:r w:rsidRPr="00D764F2">
        <w:rPr>
          <w:rFonts w:hint="eastAsia"/>
        </w:rPr>
        <w:t>20%</w:t>
      </w:r>
      <w:r w:rsidRPr="00D764F2">
        <w:rPr>
          <w:rFonts w:hint="eastAsia"/>
        </w:rPr>
        <w:t>，分別稱為高齡化社會、高齡社會及超高齡社會。</w:t>
      </w:r>
    </w:p>
  </w:footnote>
  <w:footnote w:id="24">
    <w:p w:rsidR="00CE3DFB" w:rsidRDefault="00CE3DFB" w:rsidP="003872FF">
      <w:pPr>
        <w:pStyle w:val="afe"/>
      </w:pPr>
      <w:r>
        <w:rPr>
          <w:rStyle w:val="aff0"/>
        </w:rPr>
        <w:footnoteRef/>
      </w:r>
      <w:r>
        <w:t xml:space="preserve"> </w:t>
      </w:r>
      <w:r>
        <w:rPr>
          <w:rFonts w:hint="eastAsia"/>
        </w:rPr>
        <w:t>引自國家發展委員會</w:t>
      </w:r>
      <w:r w:rsidRPr="00651F80">
        <w:rPr>
          <w:rFonts w:hint="eastAsia"/>
        </w:rPr>
        <w:t>「人口推估報告</w:t>
      </w:r>
      <w:r w:rsidRPr="00651F80">
        <w:rPr>
          <w:rFonts w:hint="eastAsia"/>
        </w:rPr>
        <w:t>(2018</w:t>
      </w:r>
      <w:r w:rsidRPr="00651F80">
        <w:rPr>
          <w:rFonts w:hint="eastAsia"/>
        </w:rPr>
        <w:t>至</w:t>
      </w:r>
      <w:r w:rsidRPr="00651F80">
        <w:rPr>
          <w:rFonts w:hint="eastAsia"/>
        </w:rPr>
        <w:t>2065</w:t>
      </w:r>
      <w:r w:rsidRPr="00651F80">
        <w:rPr>
          <w:rFonts w:hint="eastAsia"/>
        </w:rPr>
        <w:t>年</w:t>
      </w:r>
      <w:r w:rsidRPr="00651F80">
        <w:rPr>
          <w:rFonts w:hint="eastAsia"/>
        </w:rPr>
        <w:t>)</w:t>
      </w:r>
      <w:r w:rsidRPr="00651F80">
        <w:rPr>
          <w:rFonts w:hint="eastAsia"/>
        </w:rPr>
        <w:t>」新聞稿</w:t>
      </w:r>
      <w:r>
        <w:rPr>
          <w:rFonts w:hint="eastAsia"/>
        </w:rPr>
        <w:t>。</w:t>
      </w:r>
    </w:p>
  </w:footnote>
  <w:footnote w:id="25">
    <w:p w:rsidR="00CE3DFB" w:rsidRDefault="00CE3DFB" w:rsidP="003872FF">
      <w:pPr>
        <w:pStyle w:val="afe"/>
      </w:pPr>
      <w:r>
        <w:rPr>
          <w:rStyle w:val="aff0"/>
        </w:rPr>
        <w:footnoteRef/>
      </w:r>
      <w:r w:rsidRPr="001C7D7A">
        <w:rPr>
          <w:rFonts w:hint="eastAsia"/>
        </w:rPr>
        <w:tab/>
      </w:r>
      <w:r w:rsidRPr="001C7D7A">
        <w:rPr>
          <w:rFonts w:hint="eastAsia"/>
        </w:rPr>
        <w:t>行政程序法第</w:t>
      </w:r>
      <w:r w:rsidRPr="001C7D7A">
        <w:rPr>
          <w:rFonts w:hint="eastAsia"/>
        </w:rPr>
        <w:t>19</w:t>
      </w:r>
      <w:r w:rsidRPr="001C7D7A">
        <w:rPr>
          <w:rFonts w:hint="eastAsia"/>
        </w:rPr>
        <w:t>條第</w:t>
      </w:r>
      <w:r w:rsidRPr="001C7D7A">
        <w:rPr>
          <w:rFonts w:hint="eastAsia"/>
        </w:rPr>
        <w:t>2</w:t>
      </w:r>
      <w:r w:rsidRPr="001C7D7A">
        <w:rPr>
          <w:rFonts w:hint="eastAsia"/>
        </w:rPr>
        <w:t>項</w:t>
      </w:r>
      <w:r w:rsidRPr="001C7D7A">
        <w:rPr>
          <w:rFonts w:hint="eastAsia"/>
        </w:rPr>
        <w:t>:</w:t>
      </w:r>
      <w:r w:rsidRPr="001C7D7A">
        <w:rPr>
          <w:rFonts w:hint="eastAsia"/>
        </w:rPr>
        <w:t>「行政機關執行職務時，有下列情形之一者，得向無隸屬關係之其他機關請求協助</w:t>
      </w:r>
      <w:r>
        <w:rPr>
          <w:rFonts w:hint="eastAsia"/>
        </w:rPr>
        <w:t>:</w:t>
      </w:r>
      <w:r w:rsidRPr="001C7D7A">
        <w:rPr>
          <w:rFonts w:hint="eastAsia"/>
        </w:rPr>
        <w:t xml:space="preserve"> </w:t>
      </w:r>
      <w:r>
        <w:rPr>
          <w:rFonts w:hint="eastAsia"/>
        </w:rPr>
        <w:t>行政機關執行職務時，有下列情形之一者，得向無隸屬關係之其他機關請求協助︰</w:t>
      </w:r>
      <w:r>
        <w:rPr>
          <w:rFonts w:hint="eastAsia"/>
        </w:rPr>
        <w:t>1</w:t>
      </w:r>
      <w:r>
        <w:rPr>
          <w:rFonts w:hint="eastAsia"/>
        </w:rPr>
        <w:t>、因法律上之原因，不能獨自執行職務者。</w:t>
      </w:r>
      <w:r>
        <w:rPr>
          <w:rFonts w:hint="eastAsia"/>
        </w:rPr>
        <w:t>2</w:t>
      </w:r>
      <w:r>
        <w:rPr>
          <w:rFonts w:hint="eastAsia"/>
        </w:rPr>
        <w:t>、因人員、設備不足等事實上之原因，不能獨自執行職務者。</w:t>
      </w:r>
      <w:r>
        <w:rPr>
          <w:rFonts w:hint="eastAsia"/>
        </w:rPr>
        <w:t>3</w:t>
      </w:r>
      <w:r>
        <w:rPr>
          <w:rFonts w:hint="eastAsia"/>
        </w:rPr>
        <w:t>、執行職務所必要認定之事實，不能獨自調查者。</w:t>
      </w:r>
      <w:r>
        <w:rPr>
          <w:rFonts w:hint="eastAsia"/>
        </w:rPr>
        <w:t>4</w:t>
      </w:r>
      <w:r>
        <w:rPr>
          <w:rFonts w:hint="eastAsia"/>
        </w:rPr>
        <w:t>、執行職務所必要之文書或其他資料，為被請求機關所持有者。</w:t>
      </w:r>
      <w:r>
        <w:rPr>
          <w:rFonts w:hint="eastAsia"/>
        </w:rPr>
        <w:t>5</w:t>
      </w:r>
      <w:r>
        <w:rPr>
          <w:rFonts w:hint="eastAsia"/>
        </w:rPr>
        <w:t>、由被請求機關協助執行，顯較經濟者。</w:t>
      </w:r>
      <w:r>
        <w:rPr>
          <w:rFonts w:hint="eastAsia"/>
        </w:rPr>
        <w:t>6</w:t>
      </w:r>
      <w:r>
        <w:rPr>
          <w:rFonts w:hint="eastAsia"/>
        </w:rPr>
        <w:t>、其他職務上有正當理由須請求協助者。</w:t>
      </w:r>
      <w:r w:rsidRPr="001C7D7A">
        <w:rPr>
          <w:rFonts w:hint="eastAsia"/>
        </w:rPr>
        <w:t>」</w:t>
      </w:r>
    </w:p>
  </w:footnote>
  <w:footnote w:id="26">
    <w:p w:rsidR="00CE3DFB" w:rsidRPr="0063423B" w:rsidRDefault="00CE3DFB" w:rsidP="003872FF">
      <w:pPr>
        <w:pStyle w:val="afe"/>
        <w:rPr>
          <w:color w:val="0070C0"/>
          <w:shd w:val="pct15" w:color="auto" w:fill="FFFFFF"/>
        </w:rPr>
      </w:pPr>
      <w:r w:rsidRPr="00D41D30">
        <w:rPr>
          <w:rStyle w:val="aff0"/>
          <w:color w:val="000000" w:themeColor="text1"/>
        </w:rPr>
        <w:footnoteRef/>
      </w:r>
      <w:r w:rsidRPr="00D41D30">
        <w:rPr>
          <w:color w:val="000000" w:themeColor="text1"/>
        </w:rPr>
        <w:t xml:space="preserve"> </w:t>
      </w:r>
      <w:r w:rsidRPr="00D41D30">
        <w:rPr>
          <w:rFonts w:hint="eastAsia"/>
          <w:color w:val="000000" w:themeColor="text1"/>
        </w:rPr>
        <w:t>見</w:t>
      </w:r>
      <w:r w:rsidRPr="00D41D30">
        <w:rPr>
          <w:rFonts w:hint="eastAsia"/>
          <w:color w:val="000000" w:themeColor="text1"/>
        </w:rPr>
        <w:t>108</w:t>
      </w:r>
      <w:r w:rsidRPr="00D41D30">
        <w:rPr>
          <w:rFonts w:hint="eastAsia"/>
          <w:color w:val="000000" w:themeColor="text1"/>
        </w:rPr>
        <w:t>年度教育部訪視各直轄市及縣（市）政府執行樂齡學習政策實施計畫。</w:t>
      </w:r>
      <w:hyperlink r:id="rId2" w:history="1">
        <w:r w:rsidRPr="00D41D30">
          <w:rPr>
            <w:rStyle w:val="af0"/>
            <w:color w:val="000000" w:themeColor="text1"/>
          </w:rPr>
          <w:t>https://moe.senioredu.moe.gov.tw/UploadFiles/20190130062203743.pdf</w:t>
        </w:r>
      </w:hyperlink>
    </w:p>
  </w:footnote>
  <w:footnote w:id="27">
    <w:p w:rsidR="00CE3DFB" w:rsidRDefault="00CE3DFB" w:rsidP="003872FF">
      <w:pPr>
        <w:pStyle w:val="afe"/>
      </w:pPr>
      <w:r>
        <w:rPr>
          <w:rStyle w:val="aff0"/>
        </w:rPr>
        <w:footnoteRef/>
      </w:r>
      <w:r w:rsidRPr="001C7D7A">
        <w:rPr>
          <w:rFonts w:hint="eastAsia"/>
        </w:rPr>
        <w:tab/>
      </w:r>
      <w:r>
        <w:rPr>
          <w:rFonts w:hint="eastAsia"/>
        </w:rPr>
        <w:t xml:space="preserve"> </w:t>
      </w:r>
      <w:r w:rsidRPr="001C7D7A">
        <w:rPr>
          <w:rFonts w:hint="eastAsia"/>
        </w:rPr>
        <w:t>行政程序法第</w:t>
      </w:r>
      <w:r w:rsidRPr="001C7D7A">
        <w:rPr>
          <w:rFonts w:hint="eastAsia"/>
        </w:rPr>
        <w:t>19</w:t>
      </w:r>
      <w:r w:rsidRPr="001C7D7A">
        <w:rPr>
          <w:rFonts w:hint="eastAsia"/>
        </w:rPr>
        <w:t>條第</w:t>
      </w:r>
      <w:r w:rsidRPr="001C7D7A">
        <w:rPr>
          <w:rFonts w:hint="eastAsia"/>
        </w:rPr>
        <w:t>2</w:t>
      </w:r>
      <w:r w:rsidRPr="001C7D7A">
        <w:rPr>
          <w:rFonts w:hint="eastAsia"/>
        </w:rPr>
        <w:t>項</w:t>
      </w:r>
      <w:r w:rsidRPr="001C7D7A">
        <w:rPr>
          <w:rFonts w:hint="eastAsia"/>
        </w:rPr>
        <w:t>:</w:t>
      </w:r>
      <w:r w:rsidRPr="001C7D7A">
        <w:rPr>
          <w:rFonts w:hint="eastAsia"/>
        </w:rPr>
        <w:t>「行政機關執行職務時，有下列情形之一者，得向無隸屬關係之其他機關請求協助</w:t>
      </w:r>
      <w:r>
        <w:rPr>
          <w:rFonts w:hint="eastAsia"/>
        </w:rPr>
        <w:t>:</w:t>
      </w:r>
      <w:r w:rsidRPr="001C7D7A">
        <w:rPr>
          <w:rFonts w:hint="eastAsia"/>
        </w:rPr>
        <w:t xml:space="preserve"> </w:t>
      </w:r>
      <w:r>
        <w:rPr>
          <w:rFonts w:hint="eastAsia"/>
        </w:rPr>
        <w:t>行政機關執行職務時，有下列情形之一者，得向無隸屬關係之其他機關請求協助︰</w:t>
      </w:r>
      <w:r>
        <w:rPr>
          <w:rFonts w:hint="eastAsia"/>
        </w:rPr>
        <w:t>1</w:t>
      </w:r>
      <w:r>
        <w:rPr>
          <w:rFonts w:hint="eastAsia"/>
        </w:rPr>
        <w:t>、因法律上之原因，不能獨自執行職務者。</w:t>
      </w:r>
      <w:r>
        <w:rPr>
          <w:rFonts w:hint="eastAsia"/>
        </w:rPr>
        <w:t>2</w:t>
      </w:r>
      <w:r>
        <w:rPr>
          <w:rFonts w:hint="eastAsia"/>
        </w:rPr>
        <w:t>、因人員、設備不足等事實上之原因，不能獨自執行職務者。</w:t>
      </w:r>
      <w:r>
        <w:rPr>
          <w:rFonts w:hint="eastAsia"/>
        </w:rPr>
        <w:t>3</w:t>
      </w:r>
      <w:r>
        <w:rPr>
          <w:rFonts w:hint="eastAsia"/>
        </w:rPr>
        <w:t>、執行職務所必要認定之事實，不能獨自調查者。</w:t>
      </w:r>
      <w:r>
        <w:rPr>
          <w:rFonts w:hint="eastAsia"/>
        </w:rPr>
        <w:t>4</w:t>
      </w:r>
      <w:r>
        <w:rPr>
          <w:rFonts w:hint="eastAsia"/>
        </w:rPr>
        <w:t>、執行職務所必要之文書或其他資料，為被請求機關所持有者。</w:t>
      </w:r>
      <w:r>
        <w:rPr>
          <w:rFonts w:hint="eastAsia"/>
        </w:rPr>
        <w:t>5</w:t>
      </w:r>
      <w:r>
        <w:rPr>
          <w:rFonts w:hint="eastAsia"/>
        </w:rPr>
        <w:t>、由被請求機關協助執行，顯較經濟者。</w:t>
      </w:r>
      <w:r>
        <w:rPr>
          <w:rFonts w:hint="eastAsia"/>
        </w:rPr>
        <w:t>6</w:t>
      </w:r>
      <w:r>
        <w:rPr>
          <w:rFonts w:hint="eastAsia"/>
        </w:rPr>
        <w:t>、其他職務上有正當理由須請求協助者。</w:t>
      </w:r>
      <w:r w:rsidRPr="001C7D7A">
        <w:rPr>
          <w:rFonts w:hint="eastAsia"/>
        </w:rPr>
        <w:t>」</w:t>
      </w:r>
    </w:p>
  </w:footnote>
  <w:footnote w:id="28">
    <w:p w:rsidR="00CE3DFB" w:rsidRPr="000030C4" w:rsidRDefault="00CE3DFB" w:rsidP="003872FF">
      <w:pPr>
        <w:pStyle w:val="afe"/>
      </w:pPr>
      <w:r>
        <w:rPr>
          <w:rStyle w:val="aff0"/>
        </w:rPr>
        <w:footnoteRef/>
      </w:r>
      <w:r>
        <w:t xml:space="preserve"> </w:t>
      </w:r>
      <w:r>
        <w:rPr>
          <w:rFonts w:hint="eastAsia"/>
        </w:rPr>
        <w:t>該要點第</w:t>
      </w:r>
      <w:r>
        <w:rPr>
          <w:rFonts w:hint="eastAsia"/>
        </w:rPr>
        <w:t>1</w:t>
      </w:r>
      <w:r>
        <w:rPr>
          <w:rFonts w:hint="eastAsia"/>
        </w:rPr>
        <w:t>點明定，教育部為提供中高齡者學習機會，促進其身心健康，規劃以研發教材、培植專業人員及志工，並結合社會資源深耕社區中高齡教育工作，共同營造無年齡歧視之社區學習文化，另結合大學校院，提供高齡者與大學生學習互動平臺，促進世代交流，以落實高齡者學習權益，特訂定本要點。</w:t>
      </w:r>
    </w:p>
  </w:footnote>
  <w:footnote w:id="29">
    <w:p w:rsidR="00CE3DFB" w:rsidRDefault="00CE3DFB" w:rsidP="003872FF">
      <w:pPr>
        <w:pStyle w:val="afe"/>
      </w:pPr>
      <w:r>
        <w:rPr>
          <w:rStyle w:val="aff0"/>
        </w:rPr>
        <w:footnoteRef/>
      </w:r>
      <w:r>
        <w:t xml:space="preserve"> </w:t>
      </w:r>
      <w:r>
        <w:rPr>
          <w:rFonts w:hint="eastAsia"/>
        </w:rPr>
        <w:t>各級主管機關應訂定樂齡學習推動計畫，編列預算，並鼓勵終身學習機構辦理樂齡學習活動。</w:t>
      </w:r>
    </w:p>
    <w:p w:rsidR="00CE3DFB" w:rsidRDefault="00CE3DFB" w:rsidP="003872FF">
      <w:pPr>
        <w:pStyle w:val="afe"/>
      </w:pPr>
      <w:r>
        <w:rPr>
          <w:rFonts w:hint="eastAsia"/>
        </w:rPr>
        <w:t>終身學習機構辦理前項樂齡學習活動，各級主管機關得酌予補助；其補助之對象、條件、方式、審查基準、訪視與輔導及其他應遵行事項之規定，由各級主管機關定之。</w:t>
      </w:r>
    </w:p>
    <w:p w:rsidR="00CE3DFB" w:rsidRPr="00864AC2" w:rsidRDefault="00CE3DFB" w:rsidP="003872FF">
      <w:pPr>
        <w:pStyle w:val="afe"/>
      </w:pPr>
      <w:r>
        <w:rPr>
          <w:rFonts w:hint="eastAsia"/>
        </w:rPr>
        <w:t>直轄市、縣（市）主管機關辦理樂齡學習活動，績效優良，且具發展特色者，中央主管機關得酌予獎勵；其獎勵之對象、條件、方式、審查基準、訪視與輔導及其他應遵行事項之辦法，由中央主管機關定之。</w:t>
      </w:r>
    </w:p>
  </w:footnote>
  <w:footnote w:id="30">
    <w:p w:rsidR="00CE3DFB" w:rsidRPr="000030C4" w:rsidRDefault="00CE3DFB" w:rsidP="003872FF">
      <w:pPr>
        <w:pStyle w:val="afe"/>
        <w:jc w:val="both"/>
      </w:pPr>
      <w:r>
        <w:rPr>
          <w:rStyle w:val="aff0"/>
        </w:rPr>
        <w:footnoteRef/>
      </w:r>
      <w:r>
        <w:t xml:space="preserve"> </w:t>
      </w:r>
      <w:r>
        <w:rPr>
          <w:rFonts w:hint="eastAsia"/>
        </w:rPr>
        <w:t>該要點第</w:t>
      </w:r>
      <w:r>
        <w:rPr>
          <w:rFonts w:hint="eastAsia"/>
        </w:rPr>
        <w:t>1</w:t>
      </w:r>
      <w:r>
        <w:rPr>
          <w:rFonts w:hint="eastAsia"/>
        </w:rPr>
        <w:t>點明定，教育部為提供中高齡者學習機會，促進其身心健康，規劃以研發教材、培植專業人員及志工，並結合社會資源深耕社區中高齡教育工作，共同營造無年齡歧視之社區學習文化，及結合大學，提供高齡者與大學生學習互動平臺，促進世代交流，以落實高齡者學習權益，特訂定本要點。</w:t>
      </w:r>
    </w:p>
  </w:footnote>
  <w:footnote w:id="31">
    <w:p w:rsidR="00CE3DFB" w:rsidRPr="000E060C" w:rsidRDefault="00CE3DFB" w:rsidP="003872FF">
      <w:pPr>
        <w:pStyle w:val="afe"/>
      </w:pPr>
      <w:r>
        <w:rPr>
          <w:rStyle w:val="aff0"/>
        </w:rPr>
        <w:footnoteRef/>
      </w:r>
      <w:r>
        <w:t xml:space="preserve"> </w:t>
      </w:r>
      <w:r>
        <w:rPr>
          <w:rFonts w:hint="eastAsia"/>
        </w:rPr>
        <w:t>張德永</w:t>
      </w:r>
      <w:r>
        <w:rPr>
          <w:rFonts w:ascii="標楷體" w:hAnsi="標楷體" w:hint="eastAsia"/>
        </w:rPr>
        <w:t>、劉采婷（民1</w:t>
      </w:r>
      <w:r>
        <w:rPr>
          <w:rFonts w:ascii="標楷體" w:hAnsi="標楷體"/>
        </w:rPr>
        <w:t>03</w:t>
      </w:r>
      <w:r>
        <w:rPr>
          <w:rFonts w:ascii="標楷體" w:hAnsi="標楷體" w:hint="eastAsia"/>
        </w:rPr>
        <w:t>）。</w:t>
      </w:r>
      <w:r w:rsidRPr="00A94189">
        <w:rPr>
          <w:rFonts w:ascii="標楷體" w:hAnsi="標楷體" w:hint="eastAsia"/>
          <w:b/>
          <w:i/>
        </w:rPr>
        <w:t>教育部</w:t>
      </w:r>
      <w:r w:rsidRPr="00A94189">
        <w:rPr>
          <w:rFonts w:hint="eastAsia"/>
          <w:b/>
          <w:i/>
          <w:color w:val="000000" w:themeColor="text1"/>
        </w:rPr>
        <w:t>101</w:t>
      </w:r>
      <w:r w:rsidRPr="00A94189">
        <w:rPr>
          <w:rFonts w:hint="eastAsia"/>
          <w:b/>
          <w:i/>
          <w:color w:val="000000" w:themeColor="text1"/>
        </w:rPr>
        <w:t>年度北區樂齡學習中心輔導計畫之檢討與建議</w:t>
      </w:r>
      <w:r>
        <w:rPr>
          <w:rFonts w:hint="eastAsia"/>
          <w:color w:val="000000" w:themeColor="text1"/>
        </w:rPr>
        <w:t>。載於</w:t>
      </w:r>
      <w:r>
        <w:rPr>
          <w:rFonts w:ascii="標楷體" w:hAnsi="標楷體" w:hint="eastAsia"/>
          <w:color w:val="000000" w:themeColor="text1"/>
        </w:rPr>
        <w:t>《</w:t>
      </w:r>
      <w:r>
        <w:rPr>
          <w:rFonts w:hint="eastAsia"/>
          <w:color w:val="000000" w:themeColor="text1"/>
        </w:rPr>
        <w:t>創意樂齡與社區學習</w:t>
      </w:r>
      <w:r>
        <w:rPr>
          <w:rFonts w:ascii="標楷體" w:hAnsi="標楷體" w:hint="eastAsia"/>
          <w:color w:val="000000" w:themeColor="text1"/>
        </w:rPr>
        <w:t>》一書，頁21-46</w:t>
      </w:r>
      <w:r>
        <w:rPr>
          <w:rFonts w:hint="eastAsia"/>
          <w:color w:val="000000" w:themeColor="text1"/>
        </w:rPr>
        <w:t>。臺北市：施大書苑。</w:t>
      </w:r>
    </w:p>
  </w:footnote>
  <w:footnote w:id="32">
    <w:p w:rsidR="00CE3DFB" w:rsidRPr="00581EA1" w:rsidRDefault="00CE3DFB" w:rsidP="003872FF">
      <w:pPr>
        <w:pStyle w:val="afe"/>
      </w:pPr>
      <w:r>
        <w:rPr>
          <w:rStyle w:val="aff0"/>
        </w:rPr>
        <w:footnoteRef/>
      </w:r>
      <w:r>
        <w:t xml:space="preserve"> </w:t>
      </w:r>
      <w:r w:rsidRPr="007B51F1">
        <w:rPr>
          <w:rFonts w:hint="eastAsia"/>
        </w:rPr>
        <w:t>國家教育研究院（</w:t>
      </w:r>
      <w:r>
        <w:rPr>
          <w:rFonts w:hint="eastAsia"/>
        </w:rPr>
        <w:t>民</w:t>
      </w:r>
      <w:r>
        <w:rPr>
          <w:rFonts w:hint="eastAsia"/>
        </w:rPr>
        <w:t>103</w:t>
      </w:r>
      <w:r w:rsidRPr="007B51F1">
        <w:rPr>
          <w:rFonts w:hint="eastAsia"/>
        </w:rPr>
        <w:t>）。</w:t>
      </w:r>
      <w:r w:rsidRPr="00482D1F">
        <w:rPr>
          <w:rFonts w:hint="eastAsia"/>
          <w:b/>
        </w:rPr>
        <w:t>第七次中華民國教育年鑑：第玖篇終身教育</w:t>
      </w:r>
      <w:r w:rsidRPr="007B51F1">
        <w:rPr>
          <w:rFonts w:hint="eastAsia"/>
        </w:rPr>
        <w:t>。取</w:t>
      </w:r>
      <w:r>
        <w:rPr>
          <w:rFonts w:hint="eastAsia"/>
        </w:rPr>
        <w:t>自，</w:t>
      </w:r>
      <w:r w:rsidRPr="00581EA1">
        <w:t>https://www.naer.edu.tw/ezfiles/0/1000/attach/32/pta_5458_3166594_23798.pdf</w:t>
      </w:r>
    </w:p>
  </w:footnote>
  <w:footnote w:id="33">
    <w:p w:rsidR="00CE3DFB" w:rsidRDefault="00CE3DFB" w:rsidP="003872FF">
      <w:pPr>
        <w:pStyle w:val="afe"/>
        <w:jc w:val="both"/>
      </w:pPr>
      <w:r>
        <w:rPr>
          <w:rStyle w:val="aff0"/>
        </w:rPr>
        <w:footnoteRef/>
      </w:r>
      <w:r>
        <w:rPr>
          <w:rFonts w:hint="eastAsia"/>
        </w:rPr>
        <w:t xml:space="preserve"> </w:t>
      </w:r>
      <w:r>
        <w:rPr>
          <w:rFonts w:hint="eastAsia"/>
        </w:rPr>
        <w:t>代間學習係指安排不同世代，一起進行學習活動，它強調在不同情境中進行溝通、互動、分享彼此感受與意見，藉由彼此的合作，而完成有意義的任務。</w:t>
      </w:r>
    </w:p>
    <w:p w:rsidR="00CE3DFB" w:rsidRPr="00544205" w:rsidRDefault="00CE3DFB" w:rsidP="003872FF">
      <w:pPr>
        <w:pStyle w:val="afe"/>
        <w:jc w:val="both"/>
      </w:pPr>
      <w:r>
        <w:rPr>
          <w:rFonts w:hint="eastAsia"/>
        </w:rPr>
        <w:t>資料來源：黃富順（，民</w:t>
      </w:r>
      <w:r>
        <w:rPr>
          <w:rFonts w:hint="eastAsia"/>
        </w:rPr>
        <w:t>93</w:t>
      </w:r>
      <w:r>
        <w:rPr>
          <w:rFonts w:hint="eastAsia"/>
        </w:rPr>
        <w:t>）。</w:t>
      </w:r>
      <w:r w:rsidRPr="00294FBC">
        <w:rPr>
          <w:rFonts w:hint="eastAsia"/>
          <w:b/>
        </w:rPr>
        <w:t>高齡學習</w:t>
      </w:r>
      <w:r>
        <w:rPr>
          <w:rFonts w:hint="eastAsia"/>
        </w:rPr>
        <w:t>。臺北市：五南</w:t>
      </w:r>
      <w:r w:rsidRPr="007027C6">
        <w:rPr>
          <w:rFonts w:hint="eastAsia"/>
        </w:rPr>
        <w:t>。</w:t>
      </w:r>
    </w:p>
  </w:footnote>
  <w:footnote w:id="34">
    <w:p w:rsidR="00CE3DFB" w:rsidRPr="00E6146C" w:rsidRDefault="00CE3DFB" w:rsidP="003872FF">
      <w:pPr>
        <w:pStyle w:val="afe"/>
      </w:pPr>
      <w:r>
        <w:rPr>
          <w:rStyle w:val="aff0"/>
        </w:rPr>
        <w:footnoteRef/>
      </w:r>
      <w:r>
        <w:t xml:space="preserve"> </w:t>
      </w:r>
      <w:r w:rsidRPr="00E6146C">
        <w:rPr>
          <w:rFonts w:hint="eastAsia"/>
        </w:rPr>
        <w:t>evaluation</w:t>
      </w:r>
      <w:r w:rsidRPr="00E6146C">
        <w:rPr>
          <w:rFonts w:hint="eastAsia"/>
        </w:rPr>
        <w:t>’</w:t>
      </w:r>
      <w:r w:rsidRPr="00E6146C">
        <w:rPr>
          <w:rFonts w:hint="eastAsia"/>
        </w:rPr>
        <w:t xml:space="preserve">s most important purpose </w:t>
      </w:r>
      <w:r>
        <w:rPr>
          <w:rFonts w:hint="eastAsia"/>
        </w:rPr>
        <w:t>is not to prove, but to improve</w:t>
      </w:r>
      <w:r w:rsidRPr="00E6146C">
        <w:rPr>
          <w:rFonts w:hint="eastAsia"/>
        </w:rPr>
        <w:t>。</w:t>
      </w:r>
    </w:p>
  </w:footnote>
  <w:footnote w:id="35">
    <w:p w:rsidR="00CE3DFB" w:rsidRPr="00AE365E" w:rsidRDefault="00CE3DFB" w:rsidP="003872FF">
      <w:pPr>
        <w:pStyle w:val="afe"/>
      </w:pPr>
      <w:r>
        <w:rPr>
          <w:rStyle w:val="aff0"/>
        </w:rPr>
        <w:footnoteRef/>
      </w:r>
      <w:r>
        <w:t xml:space="preserve"> </w:t>
      </w:r>
      <w:r>
        <w:rPr>
          <w:rFonts w:hint="eastAsia"/>
        </w:rPr>
        <w:t>胡夢鯨</w:t>
      </w:r>
      <w:r>
        <w:rPr>
          <w:rFonts w:hint="eastAsia"/>
        </w:rPr>
        <w:t>(</w:t>
      </w:r>
      <w:r>
        <w:rPr>
          <w:rFonts w:hint="eastAsia"/>
        </w:rPr>
        <w:t>民</w:t>
      </w:r>
      <w:r>
        <w:rPr>
          <w:rFonts w:hint="eastAsia"/>
        </w:rPr>
        <w:t>103)</w:t>
      </w:r>
      <w:r>
        <w:rPr>
          <w:rFonts w:hint="eastAsia"/>
        </w:rPr>
        <w:t>。</w:t>
      </w:r>
      <w:r w:rsidRPr="003D37B7">
        <w:rPr>
          <w:rFonts w:hint="eastAsia"/>
          <w:b/>
        </w:rPr>
        <w:t>考察美國樂齡教育政策之創新方案與整合策略計畫</w:t>
      </w:r>
      <w:r>
        <w:rPr>
          <w:rFonts w:hint="eastAsia"/>
        </w:rPr>
        <w:t>。取自，</w:t>
      </w:r>
      <w:r w:rsidRPr="0008039A">
        <w:t>https://report.nat.gov.tw/ReportFront/PageSystem/reportFileDownload/C10202452/001</w:t>
      </w:r>
    </w:p>
  </w:footnote>
  <w:footnote w:id="36">
    <w:p w:rsidR="00CE3DFB" w:rsidRPr="00BA6534" w:rsidRDefault="00CE3DFB" w:rsidP="003872FF">
      <w:pPr>
        <w:pStyle w:val="afe"/>
        <w:wordWrap w:val="0"/>
      </w:pPr>
      <w:r>
        <w:rPr>
          <w:rStyle w:val="aff0"/>
        </w:rPr>
        <w:footnoteRef/>
      </w:r>
      <w:r>
        <w:t xml:space="preserve"> </w:t>
      </w:r>
      <w:r w:rsidRPr="00DB5813">
        <w:rPr>
          <w:rFonts w:hint="eastAsia"/>
        </w:rPr>
        <w:t>中華民國成人及終身教育學會</w:t>
      </w:r>
      <w:r>
        <w:rPr>
          <w:rFonts w:ascii="標楷體" w:hAnsi="標楷體" w:hint="eastAsia"/>
        </w:rPr>
        <w:t>、</w:t>
      </w:r>
      <w:r>
        <w:rPr>
          <w:rFonts w:hint="eastAsia"/>
        </w:rPr>
        <w:t>教育部</w:t>
      </w:r>
      <w:r>
        <w:rPr>
          <w:rFonts w:hint="eastAsia"/>
        </w:rPr>
        <w:t>(</w:t>
      </w:r>
      <w:r>
        <w:rPr>
          <w:rFonts w:hint="eastAsia"/>
        </w:rPr>
        <w:t>民</w:t>
      </w:r>
      <w:r>
        <w:rPr>
          <w:rFonts w:hint="eastAsia"/>
        </w:rPr>
        <w:t>101)</w:t>
      </w:r>
      <w:r w:rsidRPr="002D08B3">
        <w:rPr>
          <w:rFonts w:hint="eastAsia"/>
        </w:rPr>
        <w:t xml:space="preserve"> </w:t>
      </w:r>
      <w:r>
        <w:rPr>
          <w:rFonts w:hint="eastAsia"/>
        </w:rPr>
        <w:t>。</w:t>
      </w:r>
      <w:r w:rsidRPr="00E04C06">
        <w:rPr>
          <w:rFonts w:hint="eastAsia"/>
          <w:b/>
        </w:rPr>
        <w:t>樂齡自主學習團體的理念與實務運作</w:t>
      </w:r>
      <w:r>
        <w:rPr>
          <w:rFonts w:hint="eastAsia"/>
        </w:rPr>
        <w:t>。取自，</w:t>
      </w:r>
      <w:r w:rsidRPr="00BA6534">
        <w:t>https://lll.ntpc.edu.tw/Upload/Files/%E7%B5%82%E6%95%99%E6%9C%9F%E5%88%8A7.pdf</w:t>
      </w:r>
    </w:p>
  </w:footnote>
  <w:footnote w:id="37">
    <w:p w:rsidR="00CE3DFB" w:rsidRPr="000A29C0" w:rsidRDefault="00CE3DFB" w:rsidP="003872FF">
      <w:pPr>
        <w:pStyle w:val="afe"/>
      </w:pPr>
      <w:r>
        <w:rPr>
          <w:rStyle w:val="aff0"/>
        </w:rPr>
        <w:footnoteRef/>
      </w:r>
      <w:r>
        <w:t xml:space="preserve"> </w:t>
      </w:r>
      <w:r>
        <w:rPr>
          <w:rFonts w:hint="eastAsia"/>
        </w:rPr>
        <w:t>同上註。</w:t>
      </w:r>
    </w:p>
  </w:footnote>
  <w:footnote w:id="38">
    <w:p w:rsidR="00CE3DFB" w:rsidRDefault="00CE3DFB" w:rsidP="003872FF">
      <w:pPr>
        <w:pStyle w:val="afe"/>
      </w:pPr>
      <w:r>
        <w:rPr>
          <w:rStyle w:val="aff0"/>
        </w:rPr>
        <w:footnoteRef/>
      </w:r>
      <w:r>
        <w:t xml:space="preserve"> </w:t>
      </w:r>
      <w:r>
        <w:rPr>
          <w:rFonts w:hint="eastAsia"/>
        </w:rPr>
        <w:t>邱宣智（民</w:t>
      </w:r>
      <w:r>
        <w:rPr>
          <w:rFonts w:hint="eastAsia"/>
        </w:rPr>
        <w:t>92</w:t>
      </w:r>
      <w:r>
        <w:rPr>
          <w:rFonts w:hint="eastAsia"/>
        </w:rPr>
        <w:t>）。</w:t>
      </w:r>
      <w:r w:rsidRPr="00E720D5">
        <w:rPr>
          <w:rFonts w:hint="eastAsia"/>
          <w:b/>
        </w:rPr>
        <w:t>瑞典成人教育系統及其補助方案之研究</w:t>
      </w:r>
      <w:r>
        <w:rPr>
          <w:rFonts w:hint="eastAsia"/>
        </w:rPr>
        <w:t>。國立暨南國際大學比較教育</w:t>
      </w:r>
    </w:p>
    <w:p w:rsidR="00CE3DFB" w:rsidRPr="008C2E0E" w:rsidRDefault="00CE3DFB" w:rsidP="003872FF">
      <w:pPr>
        <w:pStyle w:val="afe"/>
        <w:jc w:val="both"/>
      </w:pPr>
      <w:r>
        <w:rPr>
          <w:rFonts w:hint="eastAsia"/>
        </w:rPr>
        <w:t>學系碩士論文，未出版。</w:t>
      </w:r>
    </w:p>
  </w:footnote>
  <w:footnote w:id="39">
    <w:p w:rsidR="00CE3DFB" w:rsidRDefault="00CE3DFB" w:rsidP="003872FF">
      <w:pPr>
        <w:pStyle w:val="afe"/>
      </w:pPr>
      <w:r>
        <w:rPr>
          <w:rStyle w:val="aff0"/>
        </w:rPr>
        <w:footnoteRef/>
      </w:r>
      <w:r>
        <w:t xml:space="preserve"> </w:t>
      </w:r>
      <w:r>
        <w:rPr>
          <w:rFonts w:hint="eastAsia"/>
        </w:rPr>
        <w:t>臺社（二）字第</w:t>
      </w:r>
      <w:r>
        <w:rPr>
          <w:rFonts w:hint="eastAsia"/>
        </w:rPr>
        <w:t xml:space="preserve"> 1010062354C</w:t>
      </w:r>
      <w:r>
        <w:rPr>
          <w:rFonts w:hint="eastAsia"/>
        </w:rPr>
        <w:t>號令。</w:t>
      </w:r>
    </w:p>
  </w:footnote>
  <w:footnote w:id="40">
    <w:p w:rsidR="00CE3DFB" w:rsidRPr="00115C3F" w:rsidRDefault="00CE3DFB" w:rsidP="003872FF">
      <w:pPr>
        <w:pStyle w:val="afe"/>
      </w:pPr>
      <w:r>
        <w:rPr>
          <w:rStyle w:val="aff0"/>
        </w:rPr>
        <w:footnoteRef/>
      </w:r>
      <w:r>
        <w:t xml:space="preserve"> </w:t>
      </w:r>
      <w:r>
        <w:rPr>
          <w:rFonts w:hint="eastAsia"/>
        </w:rPr>
        <w:t>臺教社（二）字第</w:t>
      </w:r>
      <w:r>
        <w:rPr>
          <w:rFonts w:hint="eastAsia"/>
        </w:rPr>
        <w:t>1020097475B</w:t>
      </w:r>
      <w:r>
        <w:rPr>
          <w:rFonts w:hint="eastAsia"/>
        </w:rPr>
        <w:t>號令。</w:t>
      </w:r>
    </w:p>
  </w:footnote>
  <w:footnote w:id="41">
    <w:p w:rsidR="00CE3DFB" w:rsidRPr="00380C45" w:rsidRDefault="00CE3DFB" w:rsidP="003872FF">
      <w:pPr>
        <w:pStyle w:val="afe"/>
      </w:pPr>
      <w:r>
        <w:rPr>
          <w:rStyle w:val="aff0"/>
        </w:rPr>
        <w:footnoteRef/>
      </w:r>
      <w:r>
        <w:t xml:space="preserve"> </w:t>
      </w:r>
      <w:r>
        <w:rPr>
          <w:rFonts w:hint="eastAsia"/>
        </w:rPr>
        <w:t>陳雪玉、陳</w:t>
      </w:r>
      <w:r w:rsidRPr="00E4439D">
        <w:rPr>
          <w:rFonts w:hint="eastAsia"/>
        </w:rPr>
        <w:t>明昌</w:t>
      </w:r>
      <w:r>
        <w:rPr>
          <w:rFonts w:hint="eastAsia"/>
        </w:rPr>
        <w:t>(</w:t>
      </w:r>
      <w:r>
        <w:rPr>
          <w:rFonts w:hint="eastAsia"/>
        </w:rPr>
        <w:t>民</w:t>
      </w:r>
      <w:r>
        <w:rPr>
          <w:rFonts w:hint="eastAsia"/>
        </w:rPr>
        <w:t>106)</w:t>
      </w:r>
      <w:r>
        <w:rPr>
          <w:rFonts w:hint="eastAsia"/>
        </w:rPr>
        <w:t>。</w:t>
      </w:r>
      <w:r w:rsidRPr="00E11B00">
        <w:rPr>
          <w:rFonts w:hint="eastAsia"/>
          <w:b/>
        </w:rPr>
        <w:t>考察歐洲地區</w:t>
      </w:r>
      <w:r w:rsidRPr="00E11B00">
        <w:rPr>
          <w:rFonts w:hint="eastAsia"/>
          <w:b/>
        </w:rPr>
        <w:t>(</w:t>
      </w:r>
      <w:r w:rsidRPr="00E11B00">
        <w:rPr>
          <w:rFonts w:hint="eastAsia"/>
          <w:b/>
        </w:rPr>
        <w:t>瑞典</w:t>
      </w:r>
      <w:r w:rsidRPr="00E11B00">
        <w:rPr>
          <w:rFonts w:hint="eastAsia"/>
          <w:b/>
        </w:rPr>
        <w:t>)</w:t>
      </w:r>
      <w:r w:rsidRPr="00E11B00">
        <w:rPr>
          <w:rFonts w:hint="eastAsia"/>
          <w:b/>
        </w:rPr>
        <w:t>有關高齡自主學習團體運作方式計畫服務</w:t>
      </w:r>
      <w:r>
        <w:rPr>
          <w:rFonts w:hint="eastAsia"/>
        </w:rPr>
        <w:t>。取自，</w:t>
      </w:r>
      <w:r w:rsidRPr="00380C45">
        <w:t>ttps://report.nat.gov.tw/ReportFront/PageSystem/reportFileDownload/C10601640/001</w:t>
      </w:r>
    </w:p>
  </w:footnote>
  <w:footnote w:id="42">
    <w:p w:rsidR="00CE3DFB" w:rsidRPr="00FB2B89" w:rsidRDefault="00CE3DFB" w:rsidP="003872FF">
      <w:pPr>
        <w:pStyle w:val="afe"/>
      </w:pPr>
      <w:r>
        <w:rPr>
          <w:rStyle w:val="aff0"/>
        </w:rPr>
        <w:footnoteRef/>
      </w:r>
      <w:r>
        <w:t xml:space="preserve"> </w:t>
      </w:r>
      <w:r w:rsidRPr="00FB2B89">
        <w:rPr>
          <w:rFonts w:hint="eastAsia"/>
        </w:rPr>
        <w:t>引自國家教育研究院教育制度與政策研究中心單位介紹</w:t>
      </w:r>
      <w:r w:rsidRPr="00FB2B89">
        <w:rPr>
          <w:rFonts w:hint="eastAsia"/>
        </w:rPr>
        <w:t>https://www.naer.edu.tw/files/11-1000-301.php?Lang=zh-tw</w:t>
      </w:r>
      <w:r w:rsidRPr="00FB2B89">
        <w:rPr>
          <w:rFonts w:hint="eastAsia"/>
        </w:rPr>
        <w:t>。</w:t>
      </w:r>
    </w:p>
  </w:footnote>
  <w:footnote w:id="43">
    <w:p w:rsidR="00CE3DFB" w:rsidRDefault="00CE3DFB" w:rsidP="003872FF">
      <w:pPr>
        <w:pStyle w:val="afe"/>
        <w:overflowPunct w:val="0"/>
        <w:jc w:val="both"/>
      </w:pPr>
      <w:r>
        <w:rPr>
          <w:rStyle w:val="aff0"/>
        </w:rPr>
        <w:footnoteRef/>
      </w:r>
      <w:r>
        <w:t xml:space="preserve"> </w:t>
      </w:r>
      <w:r w:rsidRPr="004356FE">
        <w:t>UNESCO Institute for Lifelong Learning. (2</w:t>
      </w:r>
      <w:r>
        <w:t>01</w:t>
      </w:r>
      <w:r w:rsidRPr="004356FE">
        <w:t>9). 4</w:t>
      </w:r>
      <w:r w:rsidRPr="004356FE">
        <w:rPr>
          <w:rFonts w:hint="eastAsia"/>
          <w:vertAlign w:val="superscript"/>
        </w:rPr>
        <w:t>th</w:t>
      </w:r>
      <w:r>
        <w:rPr>
          <w:vertAlign w:val="superscript"/>
        </w:rPr>
        <w:t xml:space="preserve"> </w:t>
      </w:r>
      <w:r w:rsidRPr="004356FE">
        <w:t>GLOBAL REPORT ON ADULT</w:t>
      </w:r>
      <w:r>
        <w:t xml:space="preserve"> </w:t>
      </w:r>
      <w:r w:rsidRPr="004356FE">
        <w:t>LEARNING</w:t>
      </w:r>
      <w:r>
        <w:t xml:space="preserve"> </w:t>
      </w:r>
      <w:r w:rsidRPr="004356FE">
        <w:t>AND EDUCATION.</w:t>
      </w:r>
      <w:r w:rsidRPr="00C9008F">
        <w:t xml:space="preserve"> LEAVE NO ONE BEHIND: PARTICIPATION, EQUITY AND INCLUSION</w:t>
      </w:r>
      <w:r>
        <w:t>.</w:t>
      </w:r>
      <w:r w:rsidRPr="004356FE">
        <w:t xml:space="preserve"> Retrieved </w:t>
      </w:r>
      <w:r>
        <w:t>January</w:t>
      </w:r>
      <w:r w:rsidRPr="004356FE">
        <w:t xml:space="preserve"> 1</w:t>
      </w:r>
      <w:r>
        <w:t>5</w:t>
      </w:r>
      <w:r w:rsidRPr="004356FE">
        <w:t>, 20</w:t>
      </w:r>
      <w:r>
        <w:t>20</w:t>
      </w:r>
      <w:r w:rsidRPr="004356FE">
        <w:t>, from https://unesdoc.unesco.org/ark:/48223/pf0000372274</w:t>
      </w:r>
    </w:p>
  </w:footnote>
  <w:footnote w:id="44">
    <w:p w:rsidR="00CE3DFB" w:rsidRPr="00692A8A" w:rsidRDefault="00CE3DFB" w:rsidP="003872FF">
      <w:pPr>
        <w:pStyle w:val="afe"/>
      </w:pPr>
      <w:r>
        <w:rPr>
          <w:rStyle w:val="aff0"/>
        </w:rPr>
        <w:footnoteRef/>
      </w:r>
      <w:r>
        <w:t xml:space="preserve"> </w:t>
      </w:r>
      <w:r>
        <w:rPr>
          <w:rFonts w:hint="eastAsia"/>
        </w:rPr>
        <w:t>依教育部</w:t>
      </w:r>
      <w:r w:rsidRPr="00692A8A">
        <w:t>2019</w:t>
      </w:r>
      <w:r>
        <w:rPr>
          <w:rFonts w:hint="eastAsia"/>
        </w:rPr>
        <w:t>年</w:t>
      </w:r>
      <w:r w:rsidRPr="00692A8A">
        <w:t>12</w:t>
      </w:r>
      <w:r>
        <w:rPr>
          <w:rFonts w:hint="eastAsia"/>
        </w:rPr>
        <w:t>月</w:t>
      </w:r>
      <w:r w:rsidRPr="00692A8A">
        <w:t>23</w:t>
      </w:r>
      <w:r>
        <w:rPr>
          <w:rFonts w:hint="eastAsia"/>
        </w:rPr>
        <w:t>日電子郵件函復本院資料。</w:t>
      </w:r>
    </w:p>
  </w:footnote>
  <w:footnote w:id="45">
    <w:p w:rsidR="00CE3DFB" w:rsidRPr="00A978D4" w:rsidRDefault="00CE3DFB" w:rsidP="003872FF">
      <w:pPr>
        <w:pStyle w:val="afe"/>
        <w:overflowPunct w:val="0"/>
        <w:jc w:val="both"/>
      </w:pPr>
      <w:r w:rsidRPr="00A978D4">
        <w:rPr>
          <w:rStyle w:val="aff0"/>
        </w:rPr>
        <w:footnoteRef/>
      </w:r>
      <w:r w:rsidRPr="00A978D4">
        <w:t xml:space="preserve"> </w:t>
      </w:r>
      <w:r w:rsidRPr="00A978D4">
        <w:t>韓國教育部自</w:t>
      </w:r>
      <w:r w:rsidRPr="00A978D4">
        <w:t>2014</w:t>
      </w:r>
      <w:r w:rsidRPr="00A978D4">
        <w:t>年起逐步增加在終身</w:t>
      </w:r>
      <w:r w:rsidRPr="00A978D4">
        <w:t>/</w:t>
      </w:r>
      <w:r w:rsidRPr="00A978D4">
        <w:t>職業培訓（</w:t>
      </w:r>
      <w:r w:rsidRPr="00A978D4">
        <w:t>lifelong/vocational training</w:t>
      </w:r>
      <w:r w:rsidRPr="00A978D4">
        <w:t>）的預算，如</w:t>
      </w:r>
      <w:r w:rsidRPr="00A978D4">
        <w:t>2014</w:t>
      </w:r>
      <w:r w:rsidRPr="00A978D4">
        <w:t>年的預算為</w:t>
      </w:r>
      <w:r w:rsidRPr="00A978D4">
        <w:t>5,384</w:t>
      </w:r>
      <w:r w:rsidRPr="00A978D4">
        <w:t>億韓元，之後</w:t>
      </w:r>
      <w:r w:rsidRPr="00A978D4">
        <w:t>2015</w:t>
      </w:r>
      <w:r w:rsidRPr="00A978D4">
        <w:t>年、</w:t>
      </w:r>
      <w:r w:rsidRPr="00A978D4">
        <w:t>2016</w:t>
      </w:r>
      <w:r w:rsidRPr="00A978D4">
        <w:t>年及</w:t>
      </w:r>
      <w:r w:rsidRPr="00A978D4">
        <w:t>2017</w:t>
      </w:r>
      <w:r w:rsidRPr="00A978D4">
        <w:t>年分別增加至</w:t>
      </w:r>
      <w:r w:rsidRPr="00A978D4">
        <w:t>5,704</w:t>
      </w:r>
      <w:r w:rsidRPr="00A978D4">
        <w:t>億韓元、</w:t>
      </w:r>
      <w:r w:rsidRPr="00A978D4">
        <w:t>5,894</w:t>
      </w:r>
      <w:r w:rsidRPr="00A978D4">
        <w:t>億韓元及</w:t>
      </w:r>
      <w:r w:rsidRPr="00A978D4">
        <w:t>6,195</w:t>
      </w:r>
      <w:r w:rsidRPr="00A978D4">
        <w:t>億韓元（折合新臺幣約</w:t>
      </w:r>
      <w:r w:rsidRPr="00A978D4">
        <w:t>160</w:t>
      </w:r>
      <w:r w:rsidRPr="00A978D4">
        <w:t>億元）。資料來源：</w:t>
      </w:r>
      <w:r w:rsidRPr="00A978D4">
        <w:t xml:space="preserve">UNESCO Institute for Lifelong Learning. (2019). 4th GLOBAL REPORT ON ADULT LEARNING AND EDUCATION.p.59.  </w:t>
      </w:r>
    </w:p>
  </w:footnote>
  <w:footnote w:id="46">
    <w:p w:rsidR="00CE3DFB" w:rsidRDefault="00CE3DFB" w:rsidP="00D177E9">
      <w:pPr>
        <w:pStyle w:val="afe"/>
        <w:jc w:val="both"/>
      </w:pPr>
      <w:r>
        <w:rPr>
          <w:rStyle w:val="aff0"/>
        </w:rPr>
        <w:footnoteRef/>
      </w:r>
      <w:r>
        <w:rPr>
          <w:rFonts w:hint="eastAsia"/>
        </w:rPr>
        <w:t xml:space="preserve"> </w:t>
      </w:r>
      <w:r>
        <w:rPr>
          <w:rFonts w:hint="eastAsia"/>
        </w:rPr>
        <w:t>吳明烈、李藹慈、林芳誼、張育禎（民</w:t>
      </w:r>
      <w:r>
        <w:rPr>
          <w:rFonts w:hint="eastAsia"/>
        </w:rPr>
        <w:t>107</w:t>
      </w:r>
      <w:r>
        <w:rPr>
          <w:rFonts w:hint="eastAsia"/>
        </w:rPr>
        <w:t>）。</w:t>
      </w:r>
      <w:r w:rsidRPr="000125A0">
        <w:rPr>
          <w:rFonts w:hint="eastAsia"/>
          <w:b/>
        </w:rPr>
        <w:t>106</w:t>
      </w:r>
      <w:r w:rsidRPr="000125A0">
        <w:rPr>
          <w:rFonts w:hint="eastAsia"/>
          <w:b/>
        </w:rPr>
        <w:t>年度成人教育調查報告</w:t>
      </w:r>
      <w:r>
        <w:rPr>
          <w:rFonts w:hint="eastAsia"/>
        </w:rPr>
        <w:t>。教育部委託之專題研究成果報告。臺北市：教育部。</w:t>
      </w:r>
    </w:p>
  </w:footnote>
  <w:footnote w:id="47">
    <w:p w:rsidR="00CE3DFB" w:rsidRDefault="00CE3DFB" w:rsidP="00D177E9">
      <w:pPr>
        <w:pStyle w:val="afe"/>
        <w:jc w:val="both"/>
      </w:pPr>
      <w:r>
        <w:rPr>
          <w:rStyle w:val="aff0"/>
        </w:rPr>
        <w:footnoteRef/>
      </w:r>
      <w:r>
        <w:t xml:space="preserve"> </w:t>
      </w:r>
      <w:r>
        <w:rPr>
          <w:rFonts w:hint="eastAsia"/>
        </w:rPr>
        <w:t>韓國國家法律資訊中心，</w:t>
      </w:r>
      <w:r>
        <w:rPr>
          <w:rFonts w:ascii="標楷體" w:hAnsi="標楷體" w:hint="eastAsia"/>
        </w:rPr>
        <w:t>《</w:t>
      </w:r>
      <w:r>
        <w:rPr>
          <w:rFonts w:hint="eastAsia"/>
        </w:rPr>
        <w:t>終身教育法</w:t>
      </w:r>
      <w:r w:rsidRPr="006D2F46">
        <w:rPr>
          <w:rFonts w:hint="eastAsia"/>
        </w:rPr>
        <w:t>》</w:t>
      </w:r>
      <w:r w:rsidRPr="006D2F46">
        <w:rPr>
          <w:rFonts w:hint="eastAsia"/>
        </w:rPr>
        <w:t>(</w:t>
      </w:r>
      <w:r w:rsidRPr="006D2F46">
        <w:rPr>
          <w:rFonts w:ascii="Malgun Gothic" w:eastAsia="Malgun Gothic" w:hAnsi="Malgun Gothic" w:cs="Malgun Gothic" w:hint="eastAsia"/>
        </w:rPr>
        <w:t>평생교육법</w:t>
      </w:r>
      <w:r w:rsidRPr="006D2F46">
        <w:rPr>
          <w:rFonts w:hint="eastAsia"/>
        </w:rPr>
        <w:t>)</w:t>
      </w:r>
      <w:r>
        <w:rPr>
          <w:rFonts w:hint="eastAsia"/>
        </w:rPr>
        <w:t>，瀏覽日期</w:t>
      </w:r>
      <w:r>
        <w:rPr>
          <w:rFonts w:ascii="標楷體" w:hAnsi="標楷體" w:hint="eastAsia"/>
        </w:rPr>
        <w:t>：</w:t>
      </w:r>
      <w:r>
        <w:rPr>
          <w:rFonts w:hint="eastAsia"/>
        </w:rPr>
        <w:t>109</w:t>
      </w:r>
      <w:r>
        <w:rPr>
          <w:rFonts w:hint="eastAsia"/>
        </w:rPr>
        <w:t>年</w:t>
      </w:r>
      <w:r w:rsidRPr="006B4F3E">
        <w:rPr>
          <w:rFonts w:hint="eastAsia"/>
          <w:color w:val="000000" w:themeColor="text1"/>
        </w:rPr>
        <w:t>1</w:t>
      </w:r>
      <w:r w:rsidRPr="006B4F3E">
        <w:rPr>
          <w:rFonts w:hint="eastAsia"/>
          <w:color w:val="000000" w:themeColor="text1"/>
        </w:rPr>
        <w:t>月</w:t>
      </w:r>
      <w:r w:rsidRPr="006B4F3E">
        <w:rPr>
          <w:rFonts w:hint="eastAsia"/>
          <w:color w:val="000000" w:themeColor="text1"/>
        </w:rPr>
        <w:t>17</w:t>
      </w:r>
      <w:r w:rsidRPr="006B4F3E">
        <w:rPr>
          <w:rFonts w:hint="eastAsia"/>
          <w:color w:val="000000" w:themeColor="text1"/>
        </w:rPr>
        <w:t>日</w:t>
      </w:r>
      <w:r>
        <w:rPr>
          <w:rFonts w:ascii="標楷體" w:hAnsi="標楷體" w:hint="eastAsia"/>
        </w:rPr>
        <w:t xml:space="preserve">： </w:t>
      </w:r>
      <w:r w:rsidRPr="003F0BA5">
        <w:t>http://www.law.go.kr/lsSc.do?tabMenuId=tab18&amp;query=%ED%8F%89%EC%83%9D%20%EA%B5%90%EC%9C%A1%EB%B2%95#undefined</w:t>
      </w:r>
    </w:p>
  </w:footnote>
  <w:footnote w:id="48">
    <w:p w:rsidR="00CE3DFB" w:rsidRDefault="00CE3DFB" w:rsidP="003872FF">
      <w:pPr>
        <w:pStyle w:val="afe"/>
      </w:pPr>
      <w:r>
        <w:rPr>
          <w:rStyle w:val="aff0"/>
        </w:rPr>
        <w:footnoteRef/>
      </w:r>
      <w:r>
        <w:t xml:space="preserve"> </w:t>
      </w:r>
      <w:r>
        <w:rPr>
          <w:rFonts w:hint="eastAsia"/>
        </w:rPr>
        <w:t>教育部</w:t>
      </w:r>
      <w:r>
        <w:rPr>
          <w:rFonts w:hint="eastAsia"/>
        </w:rPr>
        <w:t>(</w:t>
      </w:r>
      <w:r>
        <w:rPr>
          <w:rFonts w:hint="eastAsia"/>
        </w:rPr>
        <w:t>民</w:t>
      </w:r>
      <w:r>
        <w:rPr>
          <w:rFonts w:hint="eastAsia"/>
        </w:rPr>
        <w:t>93)</w:t>
      </w:r>
      <w:r>
        <w:rPr>
          <w:rFonts w:hint="eastAsia"/>
        </w:rPr>
        <w:t>。</w:t>
      </w:r>
      <w:r w:rsidRPr="003D2E22">
        <w:rPr>
          <w:rFonts w:hint="eastAsia"/>
          <w:b/>
        </w:rPr>
        <w:t>我國老人教育政策專案研究計畫</w:t>
      </w:r>
      <w:r>
        <w:rPr>
          <w:rFonts w:hint="eastAsia"/>
        </w:rPr>
        <w:t>。取自，</w:t>
      </w:r>
      <w:r w:rsidRPr="005363B7">
        <w:t>https://moe.senioredu.moe.gov.tw/UploadFiles/20160328101401195.pdf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11675E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000001"/>
    <w:multiLevelType w:val="hybridMultilevel"/>
    <w:tmpl w:val="00062D6D"/>
    <w:lvl w:ilvl="0" w:tplc="0000FFA4">
      <w:start w:val="1"/>
      <w:numFmt w:val="decimal"/>
      <w:lvlText w:val="%1."/>
      <w:lvlJc w:val="left"/>
      <w:pPr>
        <w:tabs>
          <w:tab w:val="num" w:pos="372"/>
        </w:tabs>
        <w:ind w:left="372" w:hanging="36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2">
    <w:nsid w:val="00000006"/>
    <w:multiLevelType w:val="hybridMultilevel"/>
    <w:tmpl w:val="00062D6F"/>
    <w:lvl w:ilvl="0" w:tplc="0000FFA8">
      <w:start w:val="1"/>
      <w:numFmt w:val="decimal"/>
      <w:lvlText w:val="%1."/>
      <w:lvlJc w:val="left"/>
      <w:pPr>
        <w:tabs>
          <w:tab w:val="num" w:pos="994"/>
        </w:tabs>
        <w:ind w:left="994" w:hanging="36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3">
    <w:nsid w:val="00000008"/>
    <w:multiLevelType w:val="hybridMultilevel"/>
    <w:tmpl w:val="00062D71"/>
    <w:lvl w:ilvl="0" w:tplc="0000FFAC">
      <w:start w:val="1"/>
      <w:numFmt w:val="decimal"/>
      <w:lvlText w:val="%1."/>
      <w:lvlJc w:val="left"/>
      <w:pPr>
        <w:tabs>
          <w:tab w:val="num" w:pos="708"/>
        </w:tabs>
        <w:ind w:left="620" w:hanging="272"/>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4">
    <w:nsid w:val="0000000A"/>
    <w:multiLevelType w:val="hybridMultilevel"/>
    <w:tmpl w:val="00062D72"/>
    <w:lvl w:ilvl="0" w:tplc="0000FFAE">
      <w:start w:val="1"/>
      <w:numFmt w:val="decimal"/>
      <w:lvlText w:val="(%1)"/>
      <w:lvlJc w:val="left"/>
      <w:pPr>
        <w:tabs>
          <w:tab w:val="num" w:pos="1682"/>
        </w:tabs>
        <w:ind w:left="1682" w:hanging="72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5">
    <w:nsid w:val="0000000D"/>
    <w:multiLevelType w:val="hybridMultilevel"/>
    <w:tmpl w:val="00062D75"/>
    <w:lvl w:ilvl="0" w:tplc="0000FFB4">
      <w:start w:val="1"/>
      <w:numFmt w:val="taiwaneseCounting"/>
      <w:lvlText w:val="(%1)"/>
      <w:lvlJc w:val="left"/>
      <w:pPr>
        <w:tabs>
          <w:tab w:val="num" w:pos="960"/>
        </w:tabs>
        <w:ind w:left="852" w:hanging="48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6">
    <w:nsid w:val="0000000F"/>
    <w:multiLevelType w:val="hybridMultilevel"/>
    <w:tmpl w:val="00062D76"/>
    <w:lvl w:ilvl="0" w:tplc="0000FFB6">
      <w:start w:val="1"/>
      <w:numFmt w:val="taiwaneseCounting"/>
      <w:lvlText w:val="(%1)"/>
      <w:lvlJc w:val="left"/>
      <w:pPr>
        <w:tabs>
          <w:tab w:val="num" w:pos="859"/>
        </w:tabs>
        <w:ind w:left="859" w:hanging="72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7">
    <w:nsid w:val="00000011"/>
    <w:multiLevelType w:val="hybridMultilevel"/>
    <w:tmpl w:val="00062D77"/>
    <w:lvl w:ilvl="0" w:tplc="0000FFB8">
      <w:start w:val="1"/>
      <w:numFmt w:val="decimal"/>
      <w:lvlText w:val="%1."/>
      <w:lvlJc w:val="left"/>
      <w:pPr>
        <w:tabs>
          <w:tab w:val="num" w:pos="979"/>
        </w:tabs>
        <w:ind w:left="979" w:hanging="36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8">
    <w:nsid w:val="00000012"/>
    <w:multiLevelType w:val="hybridMultilevel"/>
    <w:tmpl w:val="00062D78"/>
    <w:lvl w:ilvl="0" w:tplc="0000FFBA">
      <w:start w:val="1"/>
      <w:numFmt w:val="decimal"/>
      <w:lvlText w:val="%1."/>
      <w:lvlJc w:val="left"/>
      <w:pPr>
        <w:tabs>
          <w:tab w:val="num" w:pos="979"/>
        </w:tabs>
        <w:ind w:left="979" w:hanging="36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9">
    <w:nsid w:val="00000013"/>
    <w:multiLevelType w:val="hybridMultilevel"/>
    <w:tmpl w:val="00062D79"/>
    <w:lvl w:ilvl="0" w:tplc="0000FFBC">
      <w:start w:val="1"/>
      <w:numFmt w:val="decimal"/>
      <w:lvlText w:val="%1."/>
      <w:lvlJc w:val="left"/>
      <w:pPr>
        <w:tabs>
          <w:tab w:val="num" w:pos="708"/>
        </w:tabs>
        <w:ind w:left="708" w:hanging="36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10">
    <w:nsid w:val="00000015"/>
    <w:multiLevelType w:val="hybridMultilevel"/>
    <w:tmpl w:val="00062D7B"/>
    <w:lvl w:ilvl="0" w:tplc="0000FFC0">
      <w:start w:val="1"/>
      <w:numFmt w:val="decimal"/>
      <w:lvlText w:val="%1."/>
      <w:lvlJc w:val="left"/>
      <w:pPr>
        <w:tabs>
          <w:tab w:val="num" w:pos="840"/>
        </w:tabs>
        <w:ind w:left="840" w:hanging="36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11">
    <w:nsid w:val="00000016"/>
    <w:multiLevelType w:val="hybridMultilevel"/>
    <w:tmpl w:val="00062D7C"/>
    <w:lvl w:ilvl="0" w:tplc="0000FFC2">
      <w:start w:val="1"/>
      <w:numFmt w:val="taiwaneseCounting"/>
      <w:lvlText w:val="(%1)"/>
      <w:lvlJc w:val="left"/>
      <w:pPr>
        <w:tabs>
          <w:tab w:val="num" w:pos="960"/>
        </w:tabs>
        <w:ind w:left="960" w:hanging="96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12">
    <w:nsid w:val="0000001C"/>
    <w:multiLevelType w:val="hybridMultilevel"/>
    <w:tmpl w:val="00062D7D"/>
    <w:lvl w:ilvl="0" w:tplc="0000FFC4">
      <w:start w:val="1"/>
      <w:numFmt w:val="decimal"/>
      <w:lvlText w:val="%1."/>
      <w:lvlJc w:val="left"/>
      <w:pPr>
        <w:tabs>
          <w:tab w:val="num" w:pos="955"/>
        </w:tabs>
        <w:ind w:left="955" w:hanging="389"/>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13">
    <w:nsid w:val="005207F4"/>
    <w:multiLevelType w:val="hybridMultilevel"/>
    <w:tmpl w:val="95D813FC"/>
    <w:lvl w:ilvl="0" w:tplc="B8FC32F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0ED3204"/>
    <w:multiLevelType w:val="hybridMultilevel"/>
    <w:tmpl w:val="A126A134"/>
    <w:lvl w:ilvl="0" w:tplc="716A4A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17B025F"/>
    <w:multiLevelType w:val="hybridMultilevel"/>
    <w:tmpl w:val="2146C4B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3FF0C2E"/>
    <w:multiLevelType w:val="hybridMultilevel"/>
    <w:tmpl w:val="DCAE82AE"/>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6995799"/>
    <w:multiLevelType w:val="hybridMultilevel"/>
    <w:tmpl w:val="8606FDBC"/>
    <w:lvl w:ilvl="0" w:tplc="27DEC114">
      <w:start w:val="1"/>
      <w:numFmt w:val="decimal"/>
      <w:lvlText w:val="(%1)"/>
      <w:lvlJc w:val="left"/>
      <w:pPr>
        <w:ind w:left="852" w:hanging="720"/>
      </w:pPr>
      <w:rPr>
        <w:rFonts w:hint="default"/>
      </w:rPr>
    </w:lvl>
    <w:lvl w:ilvl="1" w:tplc="04090019" w:tentative="1">
      <w:start w:val="1"/>
      <w:numFmt w:val="ideographTraditional"/>
      <w:lvlText w:val="%2、"/>
      <w:lvlJc w:val="left"/>
      <w:pPr>
        <w:ind w:left="1092" w:hanging="480"/>
      </w:pPr>
    </w:lvl>
    <w:lvl w:ilvl="2" w:tplc="0409001B" w:tentative="1">
      <w:start w:val="1"/>
      <w:numFmt w:val="lowerRoman"/>
      <w:lvlText w:val="%3."/>
      <w:lvlJc w:val="right"/>
      <w:pPr>
        <w:ind w:left="1572" w:hanging="480"/>
      </w:pPr>
    </w:lvl>
    <w:lvl w:ilvl="3" w:tplc="0409000F" w:tentative="1">
      <w:start w:val="1"/>
      <w:numFmt w:val="decimal"/>
      <w:lvlText w:val="%4."/>
      <w:lvlJc w:val="left"/>
      <w:pPr>
        <w:ind w:left="2052" w:hanging="480"/>
      </w:pPr>
    </w:lvl>
    <w:lvl w:ilvl="4" w:tplc="04090019" w:tentative="1">
      <w:start w:val="1"/>
      <w:numFmt w:val="ideographTraditional"/>
      <w:lvlText w:val="%5、"/>
      <w:lvlJc w:val="left"/>
      <w:pPr>
        <w:ind w:left="2532" w:hanging="480"/>
      </w:pPr>
    </w:lvl>
    <w:lvl w:ilvl="5" w:tplc="0409001B" w:tentative="1">
      <w:start w:val="1"/>
      <w:numFmt w:val="lowerRoman"/>
      <w:lvlText w:val="%6."/>
      <w:lvlJc w:val="right"/>
      <w:pPr>
        <w:ind w:left="3012" w:hanging="480"/>
      </w:pPr>
    </w:lvl>
    <w:lvl w:ilvl="6" w:tplc="0409000F" w:tentative="1">
      <w:start w:val="1"/>
      <w:numFmt w:val="decimal"/>
      <w:lvlText w:val="%7."/>
      <w:lvlJc w:val="left"/>
      <w:pPr>
        <w:ind w:left="3492" w:hanging="480"/>
      </w:pPr>
    </w:lvl>
    <w:lvl w:ilvl="7" w:tplc="04090019" w:tentative="1">
      <w:start w:val="1"/>
      <w:numFmt w:val="ideographTraditional"/>
      <w:lvlText w:val="%8、"/>
      <w:lvlJc w:val="left"/>
      <w:pPr>
        <w:ind w:left="3972" w:hanging="480"/>
      </w:pPr>
    </w:lvl>
    <w:lvl w:ilvl="8" w:tplc="0409001B" w:tentative="1">
      <w:start w:val="1"/>
      <w:numFmt w:val="lowerRoman"/>
      <w:lvlText w:val="%9."/>
      <w:lvlJc w:val="right"/>
      <w:pPr>
        <w:ind w:left="4452" w:hanging="480"/>
      </w:pPr>
    </w:lvl>
  </w:abstractNum>
  <w:abstractNum w:abstractNumId="18">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0C886230"/>
    <w:multiLevelType w:val="hybridMultilevel"/>
    <w:tmpl w:val="C97C4A9A"/>
    <w:lvl w:ilvl="0" w:tplc="B8FC32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2341765"/>
    <w:multiLevelType w:val="hybridMultilevel"/>
    <w:tmpl w:val="C6D20F14"/>
    <w:lvl w:ilvl="0" w:tplc="061CD6EC">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1">
    <w:nsid w:val="13124CBC"/>
    <w:multiLevelType w:val="hybridMultilevel"/>
    <w:tmpl w:val="9DA65054"/>
    <w:lvl w:ilvl="0" w:tplc="A300B156">
      <w:start w:val="1"/>
      <w:numFmt w:val="decimal"/>
      <w:lvlText w:val="%1."/>
      <w:lvlJc w:val="left"/>
      <w:pPr>
        <w:ind w:left="360" w:hanging="360"/>
      </w:pPr>
      <w:rPr>
        <w:rFonts w:hint="default"/>
      </w:rPr>
    </w:lvl>
    <w:lvl w:ilvl="1" w:tplc="2CAE94AC">
      <w:start w:val="1"/>
      <w:numFmt w:val="decimal"/>
      <w:lvlText w:val="%2."/>
      <w:lvlJc w:val="left"/>
      <w:pPr>
        <w:ind w:left="840" w:hanging="360"/>
      </w:pPr>
      <w:rPr>
        <w:rFonts w:cs="Times New Roman" w:hint="default"/>
        <w:b/>
      </w:rPr>
    </w:lvl>
    <w:lvl w:ilvl="2" w:tplc="0409000F">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40E010C"/>
    <w:multiLevelType w:val="multilevel"/>
    <w:tmpl w:val="E408CAA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269" w:hanging="850"/>
      </w:pPr>
      <w:rPr>
        <w:rFonts w:ascii="標楷體" w:eastAsia="標楷體" w:hint="eastAsia"/>
        <w:b w:val="0"/>
        <w:i w:val="0"/>
        <w:snapToGrid/>
        <w:spacing w:val="0"/>
        <w:w w:val="100"/>
        <w:kern w:val="32"/>
        <w:position w:val="0"/>
        <w:sz w:val="32"/>
        <w:szCs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15290C05"/>
    <w:multiLevelType w:val="hybridMultilevel"/>
    <w:tmpl w:val="8746EF4E"/>
    <w:lvl w:ilvl="0" w:tplc="FC7A5AA4">
      <w:start w:val="1"/>
      <w:numFmt w:val="decimal"/>
      <w:lvlText w:val="%1."/>
      <w:lvlJc w:val="left"/>
      <w:pPr>
        <w:ind w:left="360" w:hanging="360"/>
      </w:pPr>
      <w:rPr>
        <w:rFonts w:hint="default"/>
      </w:rPr>
    </w:lvl>
    <w:lvl w:ilvl="1" w:tplc="FCFE538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15923DAD"/>
    <w:multiLevelType w:val="hybridMultilevel"/>
    <w:tmpl w:val="C66E13AA"/>
    <w:lvl w:ilvl="0" w:tplc="42C60882">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5">
    <w:nsid w:val="17677B6C"/>
    <w:multiLevelType w:val="hybridMultilevel"/>
    <w:tmpl w:val="46EE91D6"/>
    <w:lvl w:ilvl="0" w:tplc="3FFABB2E">
      <w:start w:val="1"/>
      <w:numFmt w:val="taiwaneseCountingThousand"/>
      <w:lvlText w:val="(%1)"/>
      <w:lvlJc w:val="left"/>
      <w:pPr>
        <w:ind w:left="1160" w:hanging="480"/>
      </w:pPr>
      <w:rPr>
        <w:rFonts w:cs="Times New Roman" w:hint="eastAsia"/>
        <w:b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6">
    <w:nsid w:val="17E26D92"/>
    <w:multiLevelType w:val="hybridMultilevel"/>
    <w:tmpl w:val="00062D72"/>
    <w:lvl w:ilvl="0" w:tplc="0000FFAE">
      <w:start w:val="1"/>
      <w:numFmt w:val="decimal"/>
      <w:lvlText w:val="(%1)"/>
      <w:lvlJc w:val="left"/>
      <w:pPr>
        <w:tabs>
          <w:tab w:val="num" w:pos="1682"/>
        </w:tabs>
        <w:ind w:left="1682" w:hanging="72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27">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1C0B75BE"/>
    <w:multiLevelType w:val="hybridMultilevel"/>
    <w:tmpl w:val="DDE05690"/>
    <w:lvl w:ilvl="0" w:tplc="D5B8B0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EF006A6"/>
    <w:multiLevelType w:val="hybridMultilevel"/>
    <w:tmpl w:val="A02E81A6"/>
    <w:lvl w:ilvl="0" w:tplc="D8B4FA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6BB061C"/>
    <w:multiLevelType w:val="hybridMultilevel"/>
    <w:tmpl w:val="E0B64F5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7EA7A6C"/>
    <w:multiLevelType w:val="hybridMultilevel"/>
    <w:tmpl w:val="9CBC720C"/>
    <w:lvl w:ilvl="0" w:tplc="5DA29492">
      <w:start w:val="1"/>
      <w:numFmt w:val="decimal"/>
      <w:lvlText w:val="%1."/>
      <w:lvlJc w:val="left"/>
      <w:pPr>
        <w:tabs>
          <w:tab w:val="num" w:pos="708"/>
        </w:tabs>
        <w:ind w:left="708"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B5806A4"/>
    <w:multiLevelType w:val="hybridMultilevel"/>
    <w:tmpl w:val="00062D72"/>
    <w:lvl w:ilvl="0" w:tplc="0000FFAE">
      <w:start w:val="1"/>
      <w:numFmt w:val="decimal"/>
      <w:lvlText w:val="(%1)"/>
      <w:lvlJc w:val="left"/>
      <w:pPr>
        <w:tabs>
          <w:tab w:val="num" w:pos="1682"/>
        </w:tabs>
        <w:ind w:left="1682" w:hanging="720"/>
      </w:pPr>
    </w:lvl>
    <w:lvl w:ilvl="1" w:tplc="00004E27">
      <w:start w:val="1"/>
      <w:numFmt w:val="lowerLetter"/>
      <w:lvlText w:val="%2)"/>
      <w:lvlJc w:val="left"/>
      <w:pPr>
        <w:ind w:left="840" w:hanging="420"/>
      </w:pPr>
    </w:lvl>
    <w:lvl w:ilvl="2" w:tplc="00004E28">
      <w:start w:val="1"/>
      <w:numFmt w:val="lowerRoman"/>
      <w:lvlText w:val="%3."/>
      <w:lvlJc w:val="right"/>
      <w:pPr>
        <w:ind w:left="1260" w:hanging="420"/>
      </w:pPr>
    </w:lvl>
    <w:lvl w:ilvl="3" w:tplc="00004E26">
      <w:start w:val="1"/>
      <w:numFmt w:val="decimal"/>
      <w:lvlText w:val="%4."/>
      <w:lvlJc w:val="left"/>
      <w:pPr>
        <w:ind w:left="1680" w:hanging="420"/>
      </w:pPr>
    </w:lvl>
    <w:lvl w:ilvl="4" w:tplc="00004E27">
      <w:start w:val="1"/>
      <w:numFmt w:val="lowerLetter"/>
      <w:lvlText w:val="%5)"/>
      <w:lvlJc w:val="left"/>
      <w:pPr>
        <w:ind w:left="2100" w:hanging="420"/>
      </w:pPr>
    </w:lvl>
    <w:lvl w:ilvl="5" w:tplc="00004E28">
      <w:start w:val="1"/>
      <w:numFmt w:val="lowerRoman"/>
      <w:lvlText w:val="%6."/>
      <w:lvlJc w:val="right"/>
      <w:pPr>
        <w:ind w:left="2520" w:hanging="420"/>
      </w:pPr>
    </w:lvl>
    <w:lvl w:ilvl="6" w:tplc="00004E26">
      <w:start w:val="1"/>
      <w:numFmt w:val="decimal"/>
      <w:lvlText w:val="%7."/>
      <w:lvlJc w:val="left"/>
      <w:pPr>
        <w:ind w:left="2940" w:hanging="420"/>
      </w:pPr>
    </w:lvl>
    <w:lvl w:ilvl="7" w:tplc="00004E27">
      <w:start w:val="1"/>
      <w:numFmt w:val="lowerLetter"/>
      <w:lvlText w:val="%8)"/>
      <w:lvlJc w:val="left"/>
      <w:pPr>
        <w:ind w:left="3360" w:hanging="420"/>
      </w:pPr>
    </w:lvl>
    <w:lvl w:ilvl="8" w:tplc="00004E28">
      <w:start w:val="1"/>
      <w:numFmt w:val="lowerRoman"/>
      <w:lvlText w:val="%9."/>
      <w:lvlJc w:val="right"/>
      <w:pPr>
        <w:ind w:left="3780" w:hanging="420"/>
      </w:pPr>
    </w:lvl>
  </w:abstractNum>
  <w:abstractNum w:abstractNumId="33">
    <w:nsid w:val="2E273F5A"/>
    <w:multiLevelType w:val="hybridMultilevel"/>
    <w:tmpl w:val="1AC2FC0C"/>
    <w:lvl w:ilvl="0" w:tplc="FBDA5D70">
      <w:start w:val="1"/>
      <w:numFmt w:val="ideographLegalTraditional"/>
      <w:lvlText w:val="%1、"/>
      <w:lvlJc w:val="left"/>
      <w:pPr>
        <w:ind w:left="720" w:hanging="720"/>
      </w:pPr>
      <w:rPr>
        <w:rFonts w:hint="default"/>
      </w:rPr>
    </w:lvl>
    <w:lvl w:ilvl="1" w:tplc="966AD9F0">
      <w:start w:val="1"/>
      <w:numFmt w:val="decimal"/>
      <w:lvlText w:val="%2."/>
      <w:lvlJc w:val="left"/>
      <w:pPr>
        <w:ind w:left="1044" w:hanging="564"/>
      </w:pPr>
      <w:rPr>
        <w:rFonts w:hint="default"/>
      </w:rPr>
    </w:lvl>
    <w:lvl w:ilvl="2" w:tplc="ABF2EA78">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ECE4A23"/>
    <w:multiLevelType w:val="hybridMultilevel"/>
    <w:tmpl w:val="30D0EE7E"/>
    <w:lvl w:ilvl="0" w:tplc="B8FC32F0">
      <w:start w:val="1"/>
      <w:numFmt w:val="taiwaneseCountingThousand"/>
      <w:lvlText w:val="(%1)"/>
      <w:lvlJc w:val="left"/>
      <w:pPr>
        <w:ind w:left="860" w:hanging="72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5">
    <w:nsid w:val="2F434FFE"/>
    <w:multiLevelType w:val="hybridMultilevel"/>
    <w:tmpl w:val="81DA0F70"/>
    <w:lvl w:ilvl="0" w:tplc="A300B156">
      <w:start w:val="1"/>
      <w:numFmt w:val="decimal"/>
      <w:lvlText w:val="%1."/>
      <w:lvlJc w:val="left"/>
      <w:pPr>
        <w:ind w:left="360" w:hanging="360"/>
      </w:pPr>
      <w:rPr>
        <w:rFonts w:hint="default"/>
      </w:rPr>
    </w:lvl>
    <w:lvl w:ilvl="1" w:tplc="2CAE94AC">
      <w:start w:val="1"/>
      <w:numFmt w:val="decimal"/>
      <w:lvlText w:val="%2."/>
      <w:lvlJc w:val="left"/>
      <w:pPr>
        <w:ind w:left="840" w:hanging="360"/>
      </w:pPr>
      <w:rPr>
        <w:rFonts w:cs="Times New Roman" w:hint="default"/>
        <w:b/>
      </w:rPr>
    </w:lvl>
    <w:lvl w:ilvl="2" w:tplc="F45E3CD0">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1245BED"/>
    <w:multiLevelType w:val="hybridMultilevel"/>
    <w:tmpl w:val="5BDA5036"/>
    <w:lvl w:ilvl="0" w:tplc="91B698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1BE0152"/>
    <w:multiLevelType w:val="hybridMultilevel"/>
    <w:tmpl w:val="8606FDBC"/>
    <w:lvl w:ilvl="0" w:tplc="27DEC114">
      <w:start w:val="1"/>
      <w:numFmt w:val="decimal"/>
      <w:lvlText w:val="(%1)"/>
      <w:lvlJc w:val="left"/>
      <w:pPr>
        <w:ind w:left="852" w:hanging="720"/>
      </w:pPr>
      <w:rPr>
        <w:rFonts w:hint="default"/>
      </w:rPr>
    </w:lvl>
    <w:lvl w:ilvl="1" w:tplc="04090019" w:tentative="1">
      <w:start w:val="1"/>
      <w:numFmt w:val="ideographTraditional"/>
      <w:lvlText w:val="%2、"/>
      <w:lvlJc w:val="left"/>
      <w:pPr>
        <w:ind w:left="1092" w:hanging="480"/>
      </w:pPr>
    </w:lvl>
    <w:lvl w:ilvl="2" w:tplc="0409001B" w:tentative="1">
      <w:start w:val="1"/>
      <w:numFmt w:val="lowerRoman"/>
      <w:lvlText w:val="%3."/>
      <w:lvlJc w:val="right"/>
      <w:pPr>
        <w:ind w:left="1572" w:hanging="480"/>
      </w:pPr>
    </w:lvl>
    <w:lvl w:ilvl="3" w:tplc="0409000F" w:tentative="1">
      <w:start w:val="1"/>
      <w:numFmt w:val="decimal"/>
      <w:lvlText w:val="%4."/>
      <w:lvlJc w:val="left"/>
      <w:pPr>
        <w:ind w:left="2052" w:hanging="480"/>
      </w:pPr>
    </w:lvl>
    <w:lvl w:ilvl="4" w:tplc="04090019" w:tentative="1">
      <w:start w:val="1"/>
      <w:numFmt w:val="ideographTraditional"/>
      <w:lvlText w:val="%5、"/>
      <w:lvlJc w:val="left"/>
      <w:pPr>
        <w:ind w:left="2532" w:hanging="480"/>
      </w:pPr>
    </w:lvl>
    <w:lvl w:ilvl="5" w:tplc="0409001B" w:tentative="1">
      <w:start w:val="1"/>
      <w:numFmt w:val="lowerRoman"/>
      <w:lvlText w:val="%6."/>
      <w:lvlJc w:val="right"/>
      <w:pPr>
        <w:ind w:left="3012" w:hanging="480"/>
      </w:pPr>
    </w:lvl>
    <w:lvl w:ilvl="6" w:tplc="0409000F" w:tentative="1">
      <w:start w:val="1"/>
      <w:numFmt w:val="decimal"/>
      <w:lvlText w:val="%7."/>
      <w:lvlJc w:val="left"/>
      <w:pPr>
        <w:ind w:left="3492" w:hanging="480"/>
      </w:pPr>
    </w:lvl>
    <w:lvl w:ilvl="7" w:tplc="04090019" w:tentative="1">
      <w:start w:val="1"/>
      <w:numFmt w:val="ideographTraditional"/>
      <w:lvlText w:val="%8、"/>
      <w:lvlJc w:val="left"/>
      <w:pPr>
        <w:ind w:left="3972" w:hanging="480"/>
      </w:pPr>
    </w:lvl>
    <w:lvl w:ilvl="8" w:tplc="0409001B" w:tentative="1">
      <w:start w:val="1"/>
      <w:numFmt w:val="lowerRoman"/>
      <w:lvlText w:val="%9."/>
      <w:lvlJc w:val="right"/>
      <w:pPr>
        <w:ind w:left="4452" w:hanging="480"/>
      </w:pPr>
    </w:lvl>
  </w:abstractNum>
  <w:abstractNum w:abstractNumId="38">
    <w:nsid w:val="31D02D49"/>
    <w:multiLevelType w:val="hybridMultilevel"/>
    <w:tmpl w:val="6262DCE2"/>
    <w:lvl w:ilvl="0" w:tplc="403237E6">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9">
    <w:nsid w:val="3979106B"/>
    <w:multiLevelType w:val="hybridMultilevel"/>
    <w:tmpl w:val="F20C7374"/>
    <w:lvl w:ilvl="0" w:tplc="D0A834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E5B75FB"/>
    <w:multiLevelType w:val="hybridMultilevel"/>
    <w:tmpl w:val="575CD3C2"/>
    <w:lvl w:ilvl="0" w:tplc="716A4AE2">
      <w:start w:val="1"/>
      <w:numFmt w:val="taiwaneseCountingThousand"/>
      <w:lvlText w:val="(%1)"/>
      <w:lvlJc w:val="left"/>
      <w:pPr>
        <w:ind w:left="1044" w:hanging="5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4087453A"/>
    <w:multiLevelType w:val="hybridMultilevel"/>
    <w:tmpl w:val="648EF3AC"/>
    <w:lvl w:ilvl="0" w:tplc="CA20B1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421D03BD"/>
    <w:multiLevelType w:val="hybridMultilevel"/>
    <w:tmpl w:val="2F08CA6E"/>
    <w:lvl w:ilvl="0" w:tplc="00B68F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441523EB"/>
    <w:multiLevelType w:val="hybridMultilevel"/>
    <w:tmpl w:val="01A42C86"/>
    <w:lvl w:ilvl="0" w:tplc="70FCEC4E">
      <w:start w:val="1"/>
      <w:numFmt w:val="taiwaneseCountingThousand"/>
      <w:pStyle w:val="a3"/>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47C1EE7"/>
    <w:multiLevelType w:val="hybridMultilevel"/>
    <w:tmpl w:val="6BCE44C4"/>
    <w:lvl w:ilvl="0" w:tplc="E64698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45F92E68"/>
    <w:multiLevelType w:val="hybridMultilevel"/>
    <w:tmpl w:val="4C4699B0"/>
    <w:lvl w:ilvl="0" w:tplc="6414BDB2">
      <w:start w:val="1"/>
      <w:numFmt w:val="decimal"/>
      <w:lvlText w:val="%1."/>
      <w:lvlJc w:val="left"/>
      <w:pPr>
        <w:ind w:left="465" w:hanging="465"/>
      </w:pPr>
      <w:rPr>
        <w:rFonts w:hint="default"/>
        <w:sz w:val="26"/>
        <w:szCs w:val="26"/>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6421D44"/>
    <w:multiLevelType w:val="hybridMultilevel"/>
    <w:tmpl w:val="8606FDBC"/>
    <w:lvl w:ilvl="0" w:tplc="27DEC114">
      <w:start w:val="1"/>
      <w:numFmt w:val="decimal"/>
      <w:lvlText w:val="(%1)"/>
      <w:lvlJc w:val="left"/>
      <w:pPr>
        <w:ind w:left="852" w:hanging="720"/>
      </w:pPr>
      <w:rPr>
        <w:rFonts w:hint="default"/>
      </w:rPr>
    </w:lvl>
    <w:lvl w:ilvl="1" w:tplc="04090019" w:tentative="1">
      <w:start w:val="1"/>
      <w:numFmt w:val="ideographTraditional"/>
      <w:lvlText w:val="%2、"/>
      <w:lvlJc w:val="left"/>
      <w:pPr>
        <w:ind w:left="1092" w:hanging="480"/>
      </w:pPr>
    </w:lvl>
    <w:lvl w:ilvl="2" w:tplc="0409001B" w:tentative="1">
      <w:start w:val="1"/>
      <w:numFmt w:val="lowerRoman"/>
      <w:lvlText w:val="%3."/>
      <w:lvlJc w:val="right"/>
      <w:pPr>
        <w:ind w:left="1572" w:hanging="480"/>
      </w:pPr>
    </w:lvl>
    <w:lvl w:ilvl="3" w:tplc="0409000F" w:tentative="1">
      <w:start w:val="1"/>
      <w:numFmt w:val="decimal"/>
      <w:lvlText w:val="%4."/>
      <w:lvlJc w:val="left"/>
      <w:pPr>
        <w:ind w:left="2052" w:hanging="480"/>
      </w:pPr>
    </w:lvl>
    <w:lvl w:ilvl="4" w:tplc="04090019" w:tentative="1">
      <w:start w:val="1"/>
      <w:numFmt w:val="ideographTraditional"/>
      <w:lvlText w:val="%5、"/>
      <w:lvlJc w:val="left"/>
      <w:pPr>
        <w:ind w:left="2532" w:hanging="480"/>
      </w:pPr>
    </w:lvl>
    <w:lvl w:ilvl="5" w:tplc="0409001B" w:tentative="1">
      <w:start w:val="1"/>
      <w:numFmt w:val="lowerRoman"/>
      <w:lvlText w:val="%6."/>
      <w:lvlJc w:val="right"/>
      <w:pPr>
        <w:ind w:left="3012" w:hanging="480"/>
      </w:pPr>
    </w:lvl>
    <w:lvl w:ilvl="6" w:tplc="0409000F" w:tentative="1">
      <w:start w:val="1"/>
      <w:numFmt w:val="decimal"/>
      <w:lvlText w:val="%7."/>
      <w:lvlJc w:val="left"/>
      <w:pPr>
        <w:ind w:left="3492" w:hanging="480"/>
      </w:pPr>
    </w:lvl>
    <w:lvl w:ilvl="7" w:tplc="04090019" w:tentative="1">
      <w:start w:val="1"/>
      <w:numFmt w:val="ideographTraditional"/>
      <w:lvlText w:val="%8、"/>
      <w:lvlJc w:val="left"/>
      <w:pPr>
        <w:ind w:left="3972" w:hanging="480"/>
      </w:pPr>
    </w:lvl>
    <w:lvl w:ilvl="8" w:tplc="0409001B" w:tentative="1">
      <w:start w:val="1"/>
      <w:numFmt w:val="lowerRoman"/>
      <w:lvlText w:val="%9."/>
      <w:lvlJc w:val="right"/>
      <w:pPr>
        <w:ind w:left="4452" w:hanging="480"/>
      </w:pPr>
    </w:lvl>
  </w:abstractNum>
  <w:abstractNum w:abstractNumId="48">
    <w:nsid w:val="47C17E10"/>
    <w:multiLevelType w:val="hybridMultilevel"/>
    <w:tmpl w:val="8606FDBC"/>
    <w:lvl w:ilvl="0" w:tplc="27DEC114">
      <w:start w:val="1"/>
      <w:numFmt w:val="decimal"/>
      <w:lvlText w:val="(%1)"/>
      <w:lvlJc w:val="left"/>
      <w:pPr>
        <w:ind w:left="852" w:hanging="720"/>
      </w:pPr>
      <w:rPr>
        <w:rFonts w:hint="default"/>
      </w:rPr>
    </w:lvl>
    <w:lvl w:ilvl="1" w:tplc="04090019" w:tentative="1">
      <w:start w:val="1"/>
      <w:numFmt w:val="ideographTraditional"/>
      <w:lvlText w:val="%2、"/>
      <w:lvlJc w:val="left"/>
      <w:pPr>
        <w:ind w:left="1092" w:hanging="480"/>
      </w:pPr>
    </w:lvl>
    <w:lvl w:ilvl="2" w:tplc="0409001B" w:tentative="1">
      <w:start w:val="1"/>
      <w:numFmt w:val="lowerRoman"/>
      <w:lvlText w:val="%3."/>
      <w:lvlJc w:val="right"/>
      <w:pPr>
        <w:ind w:left="1572" w:hanging="480"/>
      </w:pPr>
    </w:lvl>
    <w:lvl w:ilvl="3" w:tplc="0409000F" w:tentative="1">
      <w:start w:val="1"/>
      <w:numFmt w:val="decimal"/>
      <w:lvlText w:val="%4."/>
      <w:lvlJc w:val="left"/>
      <w:pPr>
        <w:ind w:left="2052" w:hanging="480"/>
      </w:pPr>
    </w:lvl>
    <w:lvl w:ilvl="4" w:tplc="04090019" w:tentative="1">
      <w:start w:val="1"/>
      <w:numFmt w:val="ideographTraditional"/>
      <w:lvlText w:val="%5、"/>
      <w:lvlJc w:val="left"/>
      <w:pPr>
        <w:ind w:left="2532" w:hanging="480"/>
      </w:pPr>
    </w:lvl>
    <w:lvl w:ilvl="5" w:tplc="0409001B" w:tentative="1">
      <w:start w:val="1"/>
      <w:numFmt w:val="lowerRoman"/>
      <w:lvlText w:val="%6."/>
      <w:lvlJc w:val="right"/>
      <w:pPr>
        <w:ind w:left="3012" w:hanging="480"/>
      </w:pPr>
    </w:lvl>
    <w:lvl w:ilvl="6" w:tplc="0409000F" w:tentative="1">
      <w:start w:val="1"/>
      <w:numFmt w:val="decimal"/>
      <w:lvlText w:val="%7."/>
      <w:lvlJc w:val="left"/>
      <w:pPr>
        <w:ind w:left="3492" w:hanging="480"/>
      </w:pPr>
    </w:lvl>
    <w:lvl w:ilvl="7" w:tplc="04090019" w:tentative="1">
      <w:start w:val="1"/>
      <w:numFmt w:val="ideographTraditional"/>
      <w:lvlText w:val="%8、"/>
      <w:lvlJc w:val="left"/>
      <w:pPr>
        <w:ind w:left="3972" w:hanging="480"/>
      </w:pPr>
    </w:lvl>
    <w:lvl w:ilvl="8" w:tplc="0409001B" w:tentative="1">
      <w:start w:val="1"/>
      <w:numFmt w:val="lowerRoman"/>
      <w:lvlText w:val="%9."/>
      <w:lvlJc w:val="right"/>
      <w:pPr>
        <w:ind w:left="4452" w:hanging="480"/>
      </w:pPr>
    </w:lvl>
  </w:abstractNum>
  <w:abstractNum w:abstractNumId="49">
    <w:nsid w:val="48C04371"/>
    <w:multiLevelType w:val="hybridMultilevel"/>
    <w:tmpl w:val="35348F68"/>
    <w:lvl w:ilvl="0" w:tplc="7098097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91A26E2"/>
    <w:multiLevelType w:val="hybridMultilevel"/>
    <w:tmpl w:val="B6CC3C20"/>
    <w:lvl w:ilvl="0" w:tplc="F45E3CD0">
      <w:start w:val="1"/>
      <w:numFmt w:val="decimal"/>
      <w:lvlText w:val="(%1)"/>
      <w:lvlJc w:val="left"/>
      <w:pPr>
        <w:ind w:left="905" w:hanging="480"/>
      </w:pPr>
      <w:rPr>
        <w:rFonts w:hint="default"/>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1">
    <w:nsid w:val="4A5F5684"/>
    <w:multiLevelType w:val="hybridMultilevel"/>
    <w:tmpl w:val="8248A4FC"/>
    <w:lvl w:ilvl="0" w:tplc="E87C72D6">
      <w:start w:val="1"/>
      <w:numFmt w:val="decimal"/>
      <w:pStyle w:val="a4"/>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nsid w:val="4AAD209C"/>
    <w:multiLevelType w:val="hybridMultilevel"/>
    <w:tmpl w:val="D86C2042"/>
    <w:lvl w:ilvl="0" w:tplc="B8FC32F0">
      <w:start w:val="1"/>
      <w:numFmt w:val="taiwaneseCountingThousand"/>
      <w:lvlText w:val="(%1)"/>
      <w:lvlJc w:val="left"/>
      <w:pPr>
        <w:ind w:left="785" w:hanging="360"/>
      </w:pPr>
      <w:rPr>
        <w:rFonts w:hint="default"/>
        <w:b/>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3">
    <w:nsid w:val="4B8D1C30"/>
    <w:multiLevelType w:val="hybridMultilevel"/>
    <w:tmpl w:val="D0A036F4"/>
    <w:lvl w:ilvl="0" w:tplc="B8FC32F0">
      <w:start w:val="1"/>
      <w:numFmt w:val="taiwaneseCountingThousand"/>
      <w:lvlText w:val="(%1)"/>
      <w:lvlJc w:val="left"/>
      <w:pPr>
        <w:ind w:left="807" w:hanging="720"/>
      </w:pPr>
      <w:rPr>
        <w:rFonts w:hint="default"/>
      </w:rPr>
    </w:lvl>
    <w:lvl w:ilvl="1" w:tplc="04090019" w:tentative="1">
      <w:start w:val="1"/>
      <w:numFmt w:val="ideographTraditional"/>
      <w:lvlText w:val="%2、"/>
      <w:lvlJc w:val="left"/>
      <w:pPr>
        <w:ind w:left="1047" w:hanging="480"/>
      </w:pPr>
    </w:lvl>
    <w:lvl w:ilvl="2" w:tplc="0409001B" w:tentative="1">
      <w:start w:val="1"/>
      <w:numFmt w:val="lowerRoman"/>
      <w:lvlText w:val="%3."/>
      <w:lvlJc w:val="right"/>
      <w:pPr>
        <w:ind w:left="1527" w:hanging="480"/>
      </w:pPr>
    </w:lvl>
    <w:lvl w:ilvl="3" w:tplc="0409000F" w:tentative="1">
      <w:start w:val="1"/>
      <w:numFmt w:val="decimal"/>
      <w:lvlText w:val="%4."/>
      <w:lvlJc w:val="left"/>
      <w:pPr>
        <w:ind w:left="2007" w:hanging="480"/>
      </w:pPr>
    </w:lvl>
    <w:lvl w:ilvl="4" w:tplc="04090019" w:tentative="1">
      <w:start w:val="1"/>
      <w:numFmt w:val="ideographTraditional"/>
      <w:lvlText w:val="%5、"/>
      <w:lvlJc w:val="left"/>
      <w:pPr>
        <w:ind w:left="2487" w:hanging="480"/>
      </w:pPr>
    </w:lvl>
    <w:lvl w:ilvl="5" w:tplc="0409001B" w:tentative="1">
      <w:start w:val="1"/>
      <w:numFmt w:val="lowerRoman"/>
      <w:lvlText w:val="%6."/>
      <w:lvlJc w:val="right"/>
      <w:pPr>
        <w:ind w:left="2967" w:hanging="480"/>
      </w:pPr>
    </w:lvl>
    <w:lvl w:ilvl="6" w:tplc="0409000F" w:tentative="1">
      <w:start w:val="1"/>
      <w:numFmt w:val="decimal"/>
      <w:lvlText w:val="%7."/>
      <w:lvlJc w:val="left"/>
      <w:pPr>
        <w:ind w:left="3447" w:hanging="480"/>
      </w:pPr>
    </w:lvl>
    <w:lvl w:ilvl="7" w:tplc="04090019" w:tentative="1">
      <w:start w:val="1"/>
      <w:numFmt w:val="ideographTraditional"/>
      <w:lvlText w:val="%8、"/>
      <w:lvlJc w:val="left"/>
      <w:pPr>
        <w:ind w:left="3927" w:hanging="480"/>
      </w:pPr>
    </w:lvl>
    <w:lvl w:ilvl="8" w:tplc="0409001B" w:tentative="1">
      <w:start w:val="1"/>
      <w:numFmt w:val="lowerRoman"/>
      <w:lvlText w:val="%9."/>
      <w:lvlJc w:val="right"/>
      <w:pPr>
        <w:ind w:left="4407" w:hanging="480"/>
      </w:pPr>
    </w:lvl>
  </w:abstractNum>
  <w:abstractNum w:abstractNumId="54">
    <w:nsid w:val="4DBB5679"/>
    <w:multiLevelType w:val="hybridMultilevel"/>
    <w:tmpl w:val="3BE2A040"/>
    <w:lvl w:ilvl="0" w:tplc="6E6A6D46">
      <w:start w:val="1"/>
      <w:numFmt w:val="decimal"/>
      <w:lvlText w:val="%1."/>
      <w:lvlJc w:val="left"/>
      <w:pPr>
        <w:ind w:left="3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E444AEC"/>
    <w:multiLevelType w:val="hybridMultilevel"/>
    <w:tmpl w:val="13D42D20"/>
    <w:lvl w:ilvl="0" w:tplc="7CDA5AFA">
      <w:start w:val="1"/>
      <w:numFmt w:val="decimal"/>
      <w:lvlText w:val="%1."/>
      <w:lvlJc w:val="left"/>
      <w:pPr>
        <w:ind w:left="91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58F917F2"/>
    <w:multiLevelType w:val="hybridMultilevel"/>
    <w:tmpl w:val="909C5682"/>
    <w:lvl w:ilvl="0" w:tplc="37BC84AC">
      <w:start w:val="1"/>
      <w:numFmt w:val="taiwaneseCountingThousand"/>
      <w:lvlText w:val="%1、"/>
      <w:lvlJc w:val="left"/>
      <w:pPr>
        <w:ind w:left="851" w:hanging="720"/>
      </w:pPr>
      <w:rPr>
        <w:rFonts w:hint="default"/>
      </w:rPr>
    </w:lvl>
    <w:lvl w:ilvl="1" w:tplc="B8FC32F0">
      <w:start w:val="1"/>
      <w:numFmt w:val="taiwaneseCountingThousand"/>
      <w:lvlText w:val="(%2)"/>
      <w:lvlJc w:val="left"/>
      <w:pPr>
        <w:ind w:left="1331" w:hanging="720"/>
      </w:pPr>
      <w:rPr>
        <w:rFonts w:hint="default"/>
      </w:rPr>
    </w:lvl>
    <w:lvl w:ilvl="2" w:tplc="0409001B" w:tentative="1">
      <w:start w:val="1"/>
      <w:numFmt w:val="lowerRoman"/>
      <w:lvlText w:val="%3."/>
      <w:lvlJc w:val="right"/>
      <w:pPr>
        <w:ind w:left="1571" w:hanging="480"/>
      </w:pPr>
    </w:lvl>
    <w:lvl w:ilvl="3" w:tplc="0409000F" w:tentative="1">
      <w:start w:val="1"/>
      <w:numFmt w:val="decimal"/>
      <w:lvlText w:val="%4."/>
      <w:lvlJc w:val="left"/>
      <w:pPr>
        <w:ind w:left="2051" w:hanging="480"/>
      </w:pPr>
    </w:lvl>
    <w:lvl w:ilvl="4" w:tplc="04090019" w:tentative="1">
      <w:start w:val="1"/>
      <w:numFmt w:val="ideographTraditional"/>
      <w:lvlText w:val="%5、"/>
      <w:lvlJc w:val="left"/>
      <w:pPr>
        <w:ind w:left="2531" w:hanging="480"/>
      </w:pPr>
    </w:lvl>
    <w:lvl w:ilvl="5" w:tplc="0409001B" w:tentative="1">
      <w:start w:val="1"/>
      <w:numFmt w:val="lowerRoman"/>
      <w:lvlText w:val="%6."/>
      <w:lvlJc w:val="right"/>
      <w:pPr>
        <w:ind w:left="3011" w:hanging="480"/>
      </w:pPr>
    </w:lvl>
    <w:lvl w:ilvl="6" w:tplc="0409000F" w:tentative="1">
      <w:start w:val="1"/>
      <w:numFmt w:val="decimal"/>
      <w:lvlText w:val="%7."/>
      <w:lvlJc w:val="left"/>
      <w:pPr>
        <w:ind w:left="3491" w:hanging="480"/>
      </w:pPr>
    </w:lvl>
    <w:lvl w:ilvl="7" w:tplc="04090019" w:tentative="1">
      <w:start w:val="1"/>
      <w:numFmt w:val="ideographTraditional"/>
      <w:lvlText w:val="%8、"/>
      <w:lvlJc w:val="left"/>
      <w:pPr>
        <w:ind w:left="3971" w:hanging="480"/>
      </w:pPr>
    </w:lvl>
    <w:lvl w:ilvl="8" w:tplc="0409001B" w:tentative="1">
      <w:start w:val="1"/>
      <w:numFmt w:val="lowerRoman"/>
      <w:lvlText w:val="%9."/>
      <w:lvlJc w:val="right"/>
      <w:pPr>
        <w:ind w:left="4451" w:hanging="480"/>
      </w:pPr>
    </w:lvl>
  </w:abstractNum>
  <w:abstractNum w:abstractNumId="59">
    <w:nsid w:val="59B120D5"/>
    <w:multiLevelType w:val="hybridMultilevel"/>
    <w:tmpl w:val="9DA096F6"/>
    <w:lvl w:ilvl="0" w:tplc="29C4CD5A">
      <w:start w:val="1"/>
      <w:numFmt w:val="taiwaneseCountingThousand"/>
      <w:lvlText w:val="(%1)"/>
      <w:lvlJc w:val="left"/>
      <w:pPr>
        <w:ind w:left="807"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B145B5D"/>
    <w:multiLevelType w:val="hybridMultilevel"/>
    <w:tmpl w:val="B33ED77C"/>
    <w:lvl w:ilvl="0" w:tplc="0409000F">
      <w:start w:val="1"/>
      <w:numFmt w:val="decimal"/>
      <w:lvlText w:val="%1."/>
      <w:lvlJc w:val="left"/>
      <w:pPr>
        <w:ind w:left="807" w:hanging="720"/>
      </w:pPr>
      <w:rPr>
        <w:rFonts w:hint="default"/>
      </w:rPr>
    </w:lvl>
    <w:lvl w:ilvl="1" w:tplc="04090019" w:tentative="1">
      <w:start w:val="1"/>
      <w:numFmt w:val="ideographTraditional"/>
      <w:lvlText w:val="%2、"/>
      <w:lvlJc w:val="left"/>
      <w:pPr>
        <w:ind w:left="1047" w:hanging="480"/>
      </w:pPr>
    </w:lvl>
    <w:lvl w:ilvl="2" w:tplc="0409001B" w:tentative="1">
      <w:start w:val="1"/>
      <w:numFmt w:val="lowerRoman"/>
      <w:lvlText w:val="%3."/>
      <w:lvlJc w:val="right"/>
      <w:pPr>
        <w:ind w:left="1527" w:hanging="480"/>
      </w:pPr>
    </w:lvl>
    <w:lvl w:ilvl="3" w:tplc="0409000F" w:tentative="1">
      <w:start w:val="1"/>
      <w:numFmt w:val="decimal"/>
      <w:lvlText w:val="%4."/>
      <w:lvlJc w:val="left"/>
      <w:pPr>
        <w:ind w:left="2007" w:hanging="480"/>
      </w:pPr>
    </w:lvl>
    <w:lvl w:ilvl="4" w:tplc="04090019" w:tentative="1">
      <w:start w:val="1"/>
      <w:numFmt w:val="ideographTraditional"/>
      <w:lvlText w:val="%5、"/>
      <w:lvlJc w:val="left"/>
      <w:pPr>
        <w:ind w:left="2487" w:hanging="480"/>
      </w:pPr>
    </w:lvl>
    <w:lvl w:ilvl="5" w:tplc="0409001B" w:tentative="1">
      <w:start w:val="1"/>
      <w:numFmt w:val="lowerRoman"/>
      <w:lvlText w:val="%6."/>
      <w:lvlJc w:val="right"/>
      <w:pPr>
        <w:ind w:left="2967" w:hanging="480"/>
      </w:pPr>
    </w:lvl>
    <w:lvl w:ilvl="6" w:tplc="0409000F" w:tentative="1">
      <w:start w:val="1"/>
      <w:numFmt w:val="decimal"/>
      <w:lvlText w:val="%7."/>
      <w:lvlJc w:val="left"/>
      <w:pPr>
        <w:ind w:left="3447" w:hanging="480"/>
      </w:pPr>
    </w:lvl>
    <w:lvl w:ilvl="7" w:tplc="04090019" w:tentative="1">
      <w:start w:val="1"/>
      <w:numFmt w:val="ideographTraditional"/>
      <w:lvlText w:val="%8、"/>
      <w:lvlJc w:val="left"/>
      <w:pPr>
        <w:ind w:left="3927" w:hanging="480"/>
      </w:pPr>
    </w:lvl>
    <w:lvl w:ilvl="8" w:tplc="0409001B" w:tentative="1">
      <w:start w:val="1"/>
      <w:numFmt w:val="lowerRoman"/>
      <w:lvlText w:val="%9."/>
      <w:lvlJc w:val="right"/>
      <w:pPr>
        <w:ind w:left="4407" w:hanging="480"/>
      </w:pPr>
    </w:lvl>
  </w:abstractNum>
  <w:abstractNum w:abstractNumId="61">
    <w:nsid w:val="5CDE6952"/>
    <w:multiLevelType w:val="hybridMultilevel"/>
    <w:tmpl w:val="B882F7B0"/>
    <w:lvl w:ilvl="0" w:tplc="6CC8A200">
      <w:start w:val="1"/>
      <w:numFmt w:val="taiwaneseCountingThousand"/>
      <w:lvlText w:val="%1、"/>
      <w:lvlJc w:val="left"/>
      <w:pPr>
        <w:ind w:left="960" w:hanging="9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D321590"/>
    <w:multiLevelType w:val="hybridMultilevel"/>
    <w:tmpl w:val="F4785750"/>
    <w:lvl w:ilvl="0" w:tplc="0409000F">
      <w:start w:val="1"/>
      <w:numFmt w:val="decim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3">
    <w:nsid w:val="5DEC68F4"/>
    <w:multiLevelType w:val="hybridMultilevel"/>
    <w:tmpl w:val="46EE91D6"/>
    <w:lvl w:ilvl="0" w:tplc="3FFABB2E">
      <w:start w:val="1"/>
      <w:numFmt w:val="taiwaneseCountingThousand"/>
      <w:lvlText w:val="(%1)"/>
      <w:lvlJc w:val="left"/>
      <w:pPr>
        <w:ind w:left="1160" w:hanging="480"/>
      </w:pPr>
      <w:rPr>
        <w:rFonts w:cs="Times New Roman" w:hint="eastAsia"/>
        <w:b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64">
    <w:nsid w:val="5FAC267E"/>
    <w:multiLevelType w:val="hybridMultilevel"/>
    <w:tmpl w:val="F3F47246"/>
    <w:lvl w:ilvl="0" w:tplc="FBDA5D70">
      <w:start w:val="1"/>
      <w:numFmt w:val="ideographLegalTraditional"/>
      <w:lvlText w:val="%1、"/>
      <w:lvlJc w:val="left"/>
      <w:pPr>
        <w:ind w:left="720" w:hanging="720"/>
      </w:pPr>
      <w:rPr>
        <w:rFonts w:hint="default"/>
      </w:rPr>
    </w:lvl>
    <w:lvl w:ilvl="1" w:tplc="966AD9F0">
      <w:start w:val="1"/>
      <w:numFmt w:val="decimal"/>
      <w:lvlText w:val="%2."/>
      <w:lvlJc w:val="left"/>
      <w:pPr>
        <w:ind w:left="1044" w:hanging="564"/>
      </w:pPr>
      <w:rPr>
        <w:rFonts w:hint="default"/>
      </w:rPr>
    </w:lvl>
    <w:lvl w:ilvl="2" w:tplc="0409000F">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65BB7C37"/>
    <w:multiLevelType w:val="hybridMultilevel"/>
    <w:tmpl w:val="4C06E4B0"/>
    <w:lvl w:ilvl="0" w:tplc="E0B4F97A">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6">
    <w:nsid w:val="665F25E8"/>
    <w:multiLevelType w:val="hybridMultilevel"/>
    <w:tmpl w:val="A1549FF6"/>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9192FAF"/>
    <w:multiLevelType w:val="hybridMultilevel"/>
    <w:tmpl w:val="8E90966C"/>
    <w:lvl w:ilvl="0" w:tplc="21CABD34">
      <w:start w:val="1"/>
      <w:numFmt w:val="decimalEnclosedCircle"/>
      <w:lvlText w:val="%1"/>
      <w:lvlJc w:val="left"/>
      <w:pPr>
        <w:ind w:left="622" w:hanging="480"/>
      </w:pPr>
      <w:rPr>
        <w:rFonts w:ascii="新細明體" w:eastAsia="新細明體" w:hAnsi="新細明體" w:cs="新細明體" w:hint="default"/>
        <w:color w:val="000000"/>
        <w:sz w:val="28"/>
        <w:szCs w:val="44"/>
      </w:rPr>
    </w:lvl>
    <w:lvl w:ilvl="1" w:tplc="44F4CD52">
      <w:start w:val="1"/>
      <w:numFmt w:val="decimal"/>
      <w:lvlText w:val="(%2)"/>
      <w:lvlJc w:val="left"/>
      <w:pPr>
        <w:ind w:left="1102" w:hanging="480"/>
      </w:pPr>
      <w:rPr>
        <w:rFonts w:hint="eastAsia"/>
        <w:color w:val="000000"/>
        <w:sz w:val="28"/>
        <w:szCs w:val="44"/>
      </w:rPr>
    </w:lvl>
    <w:lvl w:ilvl="2" w:tplc="0409000F">
      <w:start w:val="1"/>
      <w:numFmt w:val="decimal"/>
      <w:lvlText w:val="%3."/>
      <w:lvlJc w:val="left"/>
      <w:pPr>
        <w:ind w:left="1822" w:hanging="720"/>
      </w:pPr>
      <w:rPr>
        <w:rFonts w:hint="default"/>
      </w:rPr>
    </w:lvl>
    <w:lvl w:ilvl="3" w:tplc="0409000F">
      <w:start w:val="1"/>
      <w:numFmt w:val="decimal"/>
      <w:lvlText w:val="%4."/>
      <w:lvlJc w:val="left"/>
      <w:pPr>
        <w:ind w:left="2302" w:hanging="72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8">
    <w:nsid w:val="69280331"/>
    <w:multiLevelType w:val="hybridMultilevel"/>
    <w:tmpl w:val="4E9AE9EA"/>
    <w:lvl w:ilvl="0" w:tplc="E0B4F97A">
      <w:start w:val="1"/>
      <w:numFmt w:val="decimal"/>
      <w:lvlText w:val="%1."/>
      <w:lvlJc w:val="left"/>
      <w:pPr>
        <w:ind w:left="360" w:hanging="360"/>
      </w:pPr>
      <w:rPr>
        <w:rFonts w:hint="default"/>
      </w:rPr>
    </w:lvl>
    <w:lvl w:ilvl="1" w:tplc="7CDA5AFA">
      <w:start w:val="1"/>
      <w:numFmt w:val="decimal"/>
      <w:lvlText w:val="%2."/>
      <w:lvlJc w:val="left"/>
      <w:pPr>
        <w:ind w:left="912" w:hanging="432"/>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6C4603D0"/>
    <w:multiLevelType w:val="hybridMultilevel"/>
    <w:tmpl w:val="6A9E94FC"/>
    <w:lvl w:ilvl="0" w:tplc="716A4AE2">
      <w:start w:val="1"/>
      <w:numFmt w:val="taiwaneseCountingThousand"/>
      <w:lvlText w:val="(%1)"/>
      <w:lvlJc w:val="left"/>
      <w:pPr>
        <w:ind w:left="338" w:hanging="48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70">
    <w:nsid w:val="6D121191"/>
    <w:multiLevelType w:val="hybridMultilevel"/>
    <w:tmpl w:val="3EFA530A"/>
    <w:lvl w:ilvl="0" w:tplc="206C2272">
      <w:start w:val="1"/>
      <w:numFmt w:val="decimal"/>
      <w:lvlText w:val="%1."/>
      <w:lvlJc w:val="left"/>
      <w:pPr>
        <w:tabs>
          <w:tab w:val="num" w:pos="994"/>
        </w:tabs>
        <w:ind w:left="994"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6DC73FB9"/>
    <w:multiLevelType w:val="hybridMultilevel"/>
    <w:tmpl w:val="968E30D0"/>
    <w:lvl w:ilvl="0" w:tplc="B8AC4238">
      <w:start w:val="1"/>
      <w:numFmt w:val="decimal"/>
      <w:lvlText w:val="%1."/>
      <w:lvlJc w:val="left"/>
      <w:pPr>
        <w:ind w:left="3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769C0077"/>
    <w:multiLevelType w:val="hybridMultilevel"/>
    <w:tmpl w:val="E9DC3192"/>
    <w:lvl w:ilvl="0" w:tplc="8714B1DC">
      <w:start w:val="1"/>
      <w:numFmt w:val="decimal"/>
      <w:lvlText w:val="%1."/>
      <w:lvlJc w:val="left"/>
      <w:pPr>
        <w:ind w:left="35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76DA4AEE"/>
    <w:multiLevelType w:val="hybridMultilevel"/>
    <w:tmpl w:val="76F2BC44"/>
    <w:lvl w:ilvl="0" w:tplc="0409000F">
      <w:start w:val="1"/>
      <w:numFmt w:val="decimal"/>
      <w:lvlText w:val="%1."/>
      <w:lvlJc w:val="left"/>
      <w:pPr>
        <w:ind w:left="986" w:hanging="420"/>
      </w:pPr>
      <w:rPr>
        <w:rFonts w:hint="default"/>
        <w:b/>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74">
    <w:nsid w:val="77C2271E"/>
    <w:multiLevelType w:val="hybridMultilevel"/>
    <w:tmpl w:val="DAC40DF6"/>
    <w:lvl w:ilvl="0" w:tplc="F5D0F078">
      <w:start w:val="1"/>
      <w:numFmt w:val="decimal"/>
      <w:lvlText w:val="%1."/>
      <w:lvlJc w:val="left"/>
      <w:pPr>
        <w:ind w:left="91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79323B73"/>
    <w:multiLevelType w:val="hybridMultilevel"/>
    <w:tmpl w:val="725A60CE"/>
    <w:lvl w:ilvl="0" w:tplc="1DBE5F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7B1520C4"/>
    <w:multiLevelType w:val="hybridMultilevel"/>
    <w:tmpl w:val="E12879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7">
    <w:nsid w:val="7CF526D3"/>
    <w:multiLevelType w:val="hybridMultilevel"/>
    <w:tmpl w:val="2EE8CA4A"/>
    <w:lvl w:ilvl="0" w:tplc="0FEC17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7EC068F4"/>
    <w:multiLevelType w:val="hybridMultilevel"/>
    <w:tmpl w:val="6FB61776"/>
    <w:lvl w:ilvl="0" w:tplc="FBDA5D70">
      <w:start w:val="1"/>
      <w:numFmt w:val="ideographLegalTraditional"/>
      <w:lvlText w:val="%1、"/>
      <w:lvlJc w:val="left"/>
      <w:pPr>
        <w:ind w:left="720" w:hanging="720"/>
      </w:pPr>
      <w:rPr>
        <w:rFonts w:hint="default"/>
      </w:rPr>
    </w:lvl>
    <w:lvl w:ilvl="1" w:tplc="13D8C3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7EEA25C3"/>
    <w:multiLevelType w:val="hybridMultilevel"/>
    <w:tmpl w:val="3DB00316"/>
    <w:lvl w:ilvl="0" w:tplc="53703F3A">
      <w:start w:val="1"/>
      <w:numFmt w:val="taiwaneseCountingThousand"/>
      <w:lvlText w:val="%1、"/>
      <w:lvlJc w:val="left"/>
      <w:pPr>
        <w:ind w:left="1286" w:hanging="720"/>
      </w:pPr>
      <w:rPr>
        <w:rFonts w:hint="default"/>
      </w:rPr>
    </w:lvl>
    <w:lvl w:ilvl="1" w:tplc="5BE84D3C">
      <w:start w:val="1"/>
      <w:numFmt w:val="taiwaneseCountingThousand"/>
      <w:lvlText w:val="(%2)"/>
      <w:lvlJc w:val="left"/>
      <w:pPr>
        <w:ind w:left="1766" w:hanging="720"/>
      </w:pPr>
      <w:rPr>
        <w:rFonts w:hint="default"/>
      </w:rPr>
    </w:lvl>
    <w:lvl w:ilvl="2" w:tplc="B3042C50">
      <w:start w:val="1"/>
      <w:numFmt w:val="decimal"/>
      <w:lvlText w:val="%3."/>
      <w:lvlJc w:val="left"/>
      <w:pPr>
        <w:ind w:left="1886" w:hanging="360"/>
      </w:pPr>
      <w:rPr>
        <w:rFonts w:hint="default"/>
      </w:rPr>
    </w:lvl>
    <w:lvl w:ilvl="3" w:tplc="B0683258">
      <w:start w:val="2"/>
      <w:numFmt w:val="taiwaneseCountingThousand"/>
      <w:lvlText w:val="（%4）"/>
      <w:lvlJc w:val="left"/>
      <w:pPr>
        <w:ind w:left="2726" w:hanging="720"/>
      </w:pPr>
      <w:rPr>
        <w:rFonts w:hint="default"/>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27"/>
  </w:num>
  <w:num w:numId="2">
    <w:abstractNumId w:val="18"/>
  </w:num>
  <w:num w:numId="3">
    <w:abstractNumId w:val="51"/>
  </w:num>
  <w:num w:numId="4">
    <w:abstractNumId w:val="40"/>
  </w:num>
  <w:num w:numId="5">
    <w:abstractNumId w:val="56"/>
  </w:num>
  <w:num w:numId="6">
    <w:abstractNumId w:val="22"/>
  </w:num>
  <w:num w:numId="7">
    <w:abstractNumId w:val="57"/>
  </w:num>
  <w:num w:numId="8">
    <w:abstractNumId w:val="44"/>
  </w:num>
  <w:num w:numId="9">
    <w:abstractNumId w:val="79"/>
  </w:num>
  <w:num w:numId="10">
    <w:abstractNumId w:val="76"/>
  </w:num>
  <w:num w:numId="11">
    <w:abstractNumId w:val="67"/>
  </w:num>
  <w:num w:numId="12">
    <w:abstractNumId w:val="28"/>
  </w:num>
  <w:num w:numId="13">
    <w:abstractNumId w:val="0"/>
  </w:num>
  <w:num w:numId="14">
    <w:abstractNumId w:val="45"/>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num>
  <w:num w:numId="17">
    <w:abstractNumId w:val="37"/>
  </w:num>
  <w:num w:numId="18">
    <w:abstractNumId w:val="17"/>
  </w:num>
  <w:num w:numId="19">
    <w:abstractNumId w:val="48"/>
  </w:num>
  <w:num w:numId="20">
    <w:abstractNumId w:val="47"/>
  </w:num>
  <w:num w:numId="21">
    <w:abstractNumId w:val="25"/>
    <w:lvlOverride w:ilvl="0">
      <w:startOverride w:val="1"/>
    </w:lvlOverride>
  </w:num>
  <w:num w:numId="22">
    <w:abstractNumId w:val="25"/>
    <w:lvlOverride w:ilvl="0">
      <w:startOverride w:val="1"/>
    </w:lvlOverride>
  </w:num>
  <w:num w:numId="23">
    <w:abstractNumId w:val="63"/>
  </w:num>
  <w:num w:numId="24">
    <w:abstractNumId w:val="42"/>
  </w:num>
  <w:num w:numId="25">
    <w:abstractNumId w:val="34"/>
  </w:num>
  <w:num w:numId="26">
    <w:abstractNumId w:val="53"/>
  </w:num>
  <w:num w:numId="27">
    <w:abstractNumId w:val="58"/>
  </w:num>
  <w:num w:numId="28">
    <w:abstractNumId w:val="60"/>
  </w:num>
  <w:num w:numId="29">
    <w:abstractNumId w:val="16"/>
  </w:num>
  <w:num w:numId="30">
    <w:abstractNumId w:val="66"/>
  </w:num>
  <w:num w:numId="31">
    <w:abstractNumId w:val="30"/>
  </w:num>
  <w:num w:numId="32">
    <w:abstractNumId w:val="19"/>
  </w:num>
  <w:num w:numId="33">
    <w:abstractNumId w:val="24"/>
  </w:num>
  <w:num w:numId="34">
    <w:abstractNumId w:val="20"/>
  </w:num>
  <w:num w:numId="35">
    <w:abstractNumId w:val="52"/>
  </w:num>
  <w:num w:numId="36">
    <w:abstractNumId w:val="13"/>
  </w:num>
  <w:num w:numId="37">
    <w:abstractNumId w:val="1"/>
  </w:num>
  <w:num w:numId="38">
    <w:abstractNumId w:val="2"/>
  </w:num>
  <w:num w:numId="39">
    <w:abstractNumId w:val="3"/>
  </w:num>
  <w:num w:numId="40">
    <w:abstractNumId w:val="4"/>
  </w:num>
  <w:num w:numId="41">
    <w:abstractNumId w:val="5"/>
  </w:num>
  <w:num w:numId="42">
    <w:abstractNumId w:val="6"/>
  </w:num>
  <w:num w:numId="43">
    <w:abstractNumId w:val="7"/>
  </w:num>
  <w:num w:numId="44">
    <w:abstractNumId w:val="8"/>
  </w:num>
  <w:num w:numId="45">
    <w:abstractNumId w:val="9"/>
  </w:num>
  <w:num w:numId="46">
    <w:abstractNumId w:val="10"/>
  </w:num>
  <w:num w:numId="47">
    <w:abstractNumId w:val="11"/>
  </w:num>
  <w:num w:numId="48">
    <w:abstractNumId w:val="12"/>
  </w:num>
  <w:num w:numId="49">
    <w:abstractNumId w:val="32"/>
  </w:num>
  <w:num w:numId="50">
    <w:abstractNumId w:val="26"/>
  </w:num>
  <w:num w:numId="51">
    <w:abstractNumId w:val="78"/>
  </w:num>
  <w:num w:numId="52">
    <w:abstractNumId w:val="14"/>
  </w:num>
  <w:num w:numId="53">
    <w:abstractNumId w:val="35"/>
  </w:num>
  <w:num w:numId="54">
    <w:abstractNumId w:val="73"/>
  </w:num>
  <w:num w:numId="55">
    <w:abstractNumId w:val="38"/>
  </w:num>
  <w:num w:numId="56">
    <w:abstractNumId w:val="61"/>
  </w:num>
  <w:num w:numId="57">
    <w:abstractNumId w:val="68"/>
  </w:num>
  <w:num w:numId="58">
    <w:abstractNumId w:val="23"/>
  </w:num>
  <w:num w:numId="59">
    <w:abstractNumId w:val="15"/>
  </w:num>
  <w:num w:numId="60">
    <w:abstractNumId w:val="33"/>
  </w:num>
  <w:num w:numId="61">
    <w:abstractNumId w:val="36"/>
  </w:num>
  <w:num w:numId="62">
    <w:abstractNumId w:val="21"/>
  </w:num>
  <w:num w:numId="63">
    <w:abstractNumId w:val="64"/>
  </w:num>
  <w:num w:numId="64">
    <w:abstractNumId w:val="41"/>
  </w:num>
  <w:num w:numId="65">
    <w:abstractNumId w:val="75"/>
  </w:num>
  <w:num w:numId="66">
    <w:abstractNumId w:val="65"/>
  </w:num>
  <w:num w:numId="67">
    <w:abstractNumId w:val="55"/>
  </w:num>
  <w:num w:numId="68">
    <w:abstractNumId w:val="69"/>
  </w:num>
  <w:num w:numId="69">
    <w:abstractNumId w:val="62"/>
  </w:num>
  <w:num w:numId="70">
    <w:abstractNumId w:val="50"/>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9"/>
  </w:num>
  <w:num w:numId="73">
    <w:abstractNumId w:val="49"/>
  </w:num>
  <w:num w:numId="74">
    <w:abstractNumId w:val="77"/>
  </w:num>
  <w:num w:numId="75">
    <w:abstractNumId w:val="59"/>
  </w:num>
  <w:num w:numId="76">
    <w:abstractNumId w:val="70"/>
  </w:num>
  <w:num w:numId="77">
    <w:abstractNumId w:val="31"/>
  </w:num>
  <w:num w:numId="78">
    <w:abstractNumId w:val="43"/>
  </w:num>
  <w:num w:numId="79">
    <w:abstractNumId w:val="29"/>
  </w:num>
  <w:num w:numId="80">
    <w:abstractNumId w:val="54"/>
  </w:num>
  <w:num w:numId="81">
    <w:abstractNumId w:val="72"/>
  </w:num>
  <w:num w:numId="82">
    <w:abstractNumId w:val="74"/>
  </w:num>
  <w:num w:numId="83">
    <w:abstractNumId w:val="71"/>
  </w:num>
  <w:num w:numId="84">
    <w:abstractNumId w:val="22"/>
  </w:num>
  <w:num w:numId="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2"/>
  </w:num>
  <w:num w:numId="87">
    <w:abstractNumId w:val="22"/>
  </w:num>
  <w:num w:numId="88">
    <w:abstractNumId w:val="22"/>
  </w:num>
  <w:num w:numId="89">
    <w:abstractNumId w:val="22"/>
  </w:num>
  <w:num w:numId="90">
    <w:abstractNumId w:val="22"/>
  </w:num>
  <w:numIdMacAtCleanup w:val="83"/>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1749262107"/>
  </wne:recipientData>
  <wne:recipientData>
    <wne:active wne:val="1"/>
    <wne:hash wne:val="659855686"/>
  </wne:recipientData>
  <wne:recipientData>
    <wne:active wne:val="1"/>
    <wne:hash wne:val="-928853896"/>
  </wne:recipientData>
  <wne:recipientData>
    <wne:active wne:val="1"/>
    <wne:hash wne:val="1863128444"/>
  </wne:recipientData>
  <wne:recipientData>
    <wne:active wne:val="1"/>
    <wne:hash wne:val="-1108915073"/>
  </wne:recipientData>
  <wne:recipientData>
    <wne:active wne:val="1"/>
    <wne:hash wne:val="-1225848075"/>
  </wne:recipientData>
  <wne:recipientData>
    <wne:active wne:val="1"/>
    <wne:hash wne:val="2053766920"/>
  </wne:recipientData>
  <wne:recipientData>
    <wne:active wne:val="1"/>
    <wne:hash wne:val="-1037732873"/>
  </wne:recipientData>
  <wne:recipientData>
    <wne:active wne:val="1"/>
    <wne:hash wne:val="-56028242"/>
  </wne:recipientData>
  <wne:recipientData>
    <wne:active wne:val="1"/>
    <wne:hash wne:val="1637559029"/>
  </wne:recipientData>
  <wne:recipientData>
    <wne:active wne:val="1"/>
    <wne:hash wne:val="966024168"/>
  </wne:recipientData>
  <wne:recipientData>
    <wne:active wne:val="1"/>
    <wne:hash wne:val="-1972553004"/>
  </wne:recipientData>
  <wne:recipientData>
    <wne:active wne:val="1"/>
    <wne:hash wne:val="299275065"/>
  </wne:recipientData>
  <wne:recipientData>
    <wne:active wne:val="1"/>
    <wne:hash wne:val="-999509704"/>
  </wne:recipientData>
  <wne:recipientData>
    <wne:active wne:val="1"/>
    <wne:hash wne:val="712020860"/>
  </wne:recipientData>
  <wne:recipientData>
    <wne:active wne:val="1"/>
    <wne:hash wne:val="-35612933"/>
  </wne:recipientData>
  <wne:recipientData>
    <wne:active wne:val="1"/>
    <wne:hash wne:val="1789426008"/>
  </wne:recipientData>
  <wne:recipientData>
    <wne:active wne:val="1"/>
    <wne:hash wne:val="954390112"/>
  </wne:recipientData>
  <wne:recipientData>
    <wne:active wne:val="1"/>
    <wne:hash wne:val="1932106216"/>
  </wne:recipientData>
  <wne:recipientData>
    <wne:active wne:val="1"/>
    <wne:hash wne:val="1255013294"/>
  </wne:recipientData>
  <wne:recipientData>
    <wne:active wne:val="1"/>
    <wne:hash wne:val="-950456388"/>
  </wne:recipientData>
  <wne:recipientData>
    <wne:active wne:val="1"/>
    <wne:hash wne:val="-1998207136"/>
  </wne:recipientData>
  <wne:recipientData>
    <wne:active wne:val="1"/>
    <wne:hash wne:val="1357217193"/>
  </wne:recipientData>
  <wne:recipientData>
    <wne:active wne:val="1"/>
    <wne:hash wne:val="423891055"/>
  </wne:recipientData>
  <wne:recipientData>
    <wne:active wne:val="1"/>
    <wne:hash wne:val="-1404087992"/>
  </wne:recipientData>
  <wne:recipientData>
    <wne:active wne:val="1"/>
    <wne:hash wne:val="-1901144079"/>
  </wne:recipientData>
  <wne:recipientData>
    <wne:active wne:val="1"/>
    <wne:hash wne:val="822474258"/>
  </wne:recipientData>
  <wne:recipientData>
    <wne:active wne:val="1"/>
    <wne:hash wne:val="1260543865"/>
  </wne:recipientData>
  <wne:recipientData>
    <wne:active wne:val="1"/>
    <wne:hash wne:val="-545709062"/>
  </wne:recipientData>
  <wne:recipientData>
    <wne:active wne:val="1"/>
    <wne:hash wne:val="-1213357030"/>
  </wne:recipientData>
  <wne:recipientData>
    <wne:active wne:val="1"/>
    <wne:hash wne:val="65640873"/>
  </wne:recipientData>
  <wne:recipientData>
    <wne:active wne:val="1"/>
    <wne:hash wne:val="1733042079"/>
  </wne:recipientData>
  <wne:recipientData>
    <wne:active wne:val="1"/>
    <wne:hash wne:val="1960786687"/>
  </wne:recipientData>
  <wne:recipientData>
    <wne:active wne:val="1"/>
    <wne:hash wne:val="-1569962866"/>
  </wne:recipientData>
  <wne:recipientData>
    <wne:active wne:val="1"/>
    <wne:hash wne:val="357589238"/>
  </wne:recipientData>
  <wne:recipientData>
    <wne:active wne:val="1"/>
    <wne:hash wne:val="-914122380"/>
  </wne:recipientData>
  <wne:recipientData>
    <wne:active wne:val="1"/>
    <wne:hash wne:val="1868627279"/>
  </wne:recipientData>
  <wne:recipientData>
    <wne:active wne:val="1"/>
    <wne:hash wne:val="-796365037"/>
  </wne:recipientData>
  <wne:recipientData>
    <wne:active wne:val="1"/>
    <wne:hash wne:val="-449098534"/>
  </wne:recipientData>
  <wne:recipientData>
    <wne:active wne:val="1"/>
    <wne:hash wne:val="991686272"/>
  </wne:recipientData>
  <wne:recipientData>
    <wne:active wne:val="1"/>
    <wne:hash wne:val="1669178469"/>
  </wne:recipientData>
  <wne:recipientData>
    <wne:active wne:val="1"/>
    <wne:hash wne:val="-992992579"/>
  </wne:recipientData>
  <wne:recipientData>
    <wne:active wne:val="1"/>
    <wne:hash wne:val="519909212"/>
  </wne:recipientData>
  <wne:recipientData>
    <wne:active wne:val="1"/>
    <wne:hash wne:val="1887507577"/>
  </wne:recipientData>
  <wne:recipientData>
    <wne:active wne:val="1"/>
    <wne:hash wne:val="1567681012"/>
  </wne:recipientData>
  <wne:recipientData>
    <wne:active wne:val="1"/>
    <wne:hash wne:val="346410827"/>
  </wne:recipientData>
  <wne:recipientData>
    <wne:active wne:val="1"/>
    <wne:hash wne:val="-385925863"/>
  </wne:recipientData>
  <wne:recipientData>
    <wne:active wne:val="1"/>
    <wne:hash wne:val="-954464092"/>
  </wne:recipientData>
  <wne:recipientData>
    <wne:active wne:val="1"/>
    <wne:hash wne:val="-1595184177"/>
  </wne:recipientData>
  <wne:recipientData>
    <wne:active wne:val="1"/>
    <wne:hash wne:val="1237618099"/>
  </wne:recipientData>
  <wne:recipientData>
    <wne:active wne:val="1"/>
    <wne:hash wne:val="-294197821"/>
  </wne:recipientData>
  <wne:recipientData>
    <wne:active wne:val="1"/>
    <wne:hash wne:val="-1669088203"/>
  </wne:recipientData>
  <wne:recipientData>
    <wne:active wne:val="1"/>
    <wne:hash wne:val="-1923806883"/>
  </wne:recipientData>
  <wne:recipientData>
    <wne:active wne:val="1"/>
    <wne:hash wne:val="346577641"/>
  </wne:recipientData>
  <wne:recipientData>
    <wne:active wne:val="1"/>
    <wne:hash wne:val="1004682265"/>
  </wne:recipientData>
  <wne:recipientData>
    <wne:active wne:val="1"/>
    <wne:hash wne:val="-112543713"/>
  </wne:recipientData>
  <wne:recipientData>
    <wne:active wne:val="1"/>
    <wne:hash wne:val="233817696"/>
  </wne:recipientData>
  <wne:recipientData>
    <wne:active wne:val="1"/>
    <wne:hash wne:val="2022635425"/>
  </wne:recipientData>
  <wne:recipientData>
    <wne:active wne:val="1"/>
    <wne:hash wne:val="315087057"/>
  </wne:recipientData>
  <wne:recipientData>
    <wne:active wne:val="1"/>
    <wne:hash wne:val="-372331718"/>
  </wne:recipientData>
  <wne:recipientData>
    <wne:active wne:val="1"/>
    <wne:hash wne:val="-762451004"/>
  </wne:recipientData>
  <wne:recipientData>
    <wne:active wne:val="1"/>
    <wne:hash wne:val="-1573358954"/>
  </wne:recipientData>
  <wne:recipientData>
    <wne:active wne:val="1"/>
    <wne:hash wne:val="518627647"/>
  </wne:recipientData>
  <wne:recipientData>
    <wne:active wne:val="1"/>
    <wne:hash wne:val="-160534461"/>
  </wne:recipientData>
  <wne:recipientData>
    <wne:active wne:val="1"/>
    <wne:hash wne:val="-1622669110"/>
  </wne:recipientData>
  <wne:recipientData>
    <wne:active wne:val="1"/>
    <wne:hash wne:val="1685317044"/>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query w:val="SELECT * FROM D:\派查資料.doc"/>
    <w:activeRecord w:val="64"/>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recipientData r:id="rId2"/>
    </w:odso>
  </w:mailMerge>
  <w:defaultTabStop w:val="0"/>
  <w:drawingGridHorizontalSpacing w:val="170"/>
  <w:drawingGridVerticalSpacing w:val="457"/>
  <w:displayHorizontalDrawingGridEvery w:val="0"/>
  <w:characterSpacingControl w:val="compressPunctuation"/>
  <w:hdrShapeDefaults>
    <o:shapedefaults v:ext="edit" spidmax="10137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DBF"/>
    <w:rsid w:val="0000010A"/>
    <w:rsid w:val="00000916"/>
    <w:rsid w:val="000010C4"/>
    <w:rsid w:val="0000117B"/>
    <w:rsid w:val="000013FA"/>
    <w:rsid w:val="00001E5F"/>
    <w:rsid w:val="00002070"/>
    <w:rsid w:val="00002785"/>
    <w:rsid w:val="00002FFB"/>
    <w:rsid w:val="000030C4"/>
    <w:rsid w:val="00003396"/>
    <w:rsid w:val="00003683"/>
    <w:rsid w:val="000038C6"/>
    <w:rsid w:val="000041A1"/>
    <w:rsid w:val="00004232"/>
    <w:rsid w:val="000049C5"/>
    <w:rsid w:val="00004BCD"/>
    <w:rsid w:val="000050B6"/>
    <w:rsid w:val="000053E0"/>
    <w:rsid w:val="0000576E"/>
    <w:rsid w:val="00005E22"/>
    <w:rsid w:val="00006553"/>
    <w:rsid w:val="00006654"/>
    <w:rsid w:val="00006961"/>
    <w:rsid w:val="00006974"/>
    <w:rsid w:val="00006B8A"/>
    <w:rsid w:val="00006F82"/>
    <w:rsid w:val="00007496"/>
    <w:rsid w:val="00007EAB"/>
    <w:rsid w:val="000112BF"/>
    <w:rsid w:val="00012233"/>
    <w:rsid w:val="0001259F"/>
    <w:rsid w:val="000125A0"/>
    <w:rsid w:val="000132CB"/>
    <w:rsid w:val="00013460"/>
    <w:rsid w:val="00013536"/>
    <w:rsid w:val="000135E9"/>
    <w:rsid w:val="00014718"/>
    <w:rsid w:val="000153C6"/>
    <w:rsid w:val="000158F0"/>
    <w:rsid w:val="00015AC2"/>
    <w:rsid w:val="00015B0A"/>
    <w:rsid w:val="000161A4"/>
    <w:rsid w:val="0001644F"/>
    <w:rsid w:val="00016EF3"/>
    <w:rsid w:val="00017318"/>
    <w:rsid w:val="00020A7A"/>
    <w:rsid w:val="0002102D"/>
    <w:rsid w:val="0002123C"/>
    <w:rsid w:val="00022030"/>
    <w:rsid w:val="000228DD"/>
    <w:rsid w:val="00022DCD"/>
    <w:rsid w:val="0002312A"/>
    <w:rsid w:val="000236C2"/>
    <w:rsid w:val="00024190"/>
    <w:rsid w:val="0002426E"/>
    <w:rsid w:val="000246F7"/>
    <w:rsid w:val="00025087"/>
    <w:rsid w:val="00025E39"/>
    <w:rsid w:val="000267DC"/>
    <w:rsid w:val="000269D7"/>
    <w:rsid w:val="00026B24"/>
    <w:rsid w:val="00027266"/>
    <w:rsid w:val="000278D2"/>
    <w:rsid w:val="00027C82"/>
    <w:rsid w:val="000302CE"/>
    <w:rsid w:val="00030B24"/>
    <w:rsid w:val="0003114D"/>
    <w:rsid w:val="00032145"/>
    <w:rsid w:val="00032279"/>
    <w:rsid w:val="00032877"/>
    <w:rsid w:val="0003367F"/>
    <w:rsid w:val="00034190"/>
    <w:rsid w:val="000346A1"/>
    <w:rsid w:val="000354A1"/>
    <w:rsid w:val="00035D7C"/>
    <w:rsid w:val="00035F47"/>
    <w:rsid w:val="0003671F"/>
    <w:rsid w:val="00036B7A"/>
    <w:rsid w:val="00036D76"/>
    <w:rsid w:val="00037524"/>
    <w:rsid w:val="000402B8"/>
    <w:rsid w:val="000403B8"/>
    <w:rsid w:val="00040B65"/>
    <w:rsid w:val="00041CB5"/>
    <w:rsid w:val="00041E82"/>
    <w:rsid w:val="0004217D"/>
    <w:rsid w:val="000421DC"/>
    <w:rsid w:val="000430FC"/>
    <w:rsid w:val="00044858"/>
    <w:rsid w:val="0004525C"/>
    <w:rsid w:val="00045314"/>
    <w:rsid w:val="000464D4"/>
    <w:rsid w:val="00046A71"/>
    <w:rsid w:val="00046CBA"/>
    <w:rsid w:val="000470BB"/>
    <w:rsid w:val="000470F9"/>
    <w:rsid w:val="000472C1"/>
    <w:rsid w:val="0004784F"/>
    <w:rsid w:val="00050392"/>
    <w:rsid w:val="0005092A"/>
    <w:rsid w:val="00051391"/>
    <w:rsid w:val="00052F56"/>
    <w:rsid w:val="0005335B"/>
    <w:rsid w:val="00053881"/>
    <w:rsid w:val="00053E32"/>
    <w:rsid w:val="00053F3C"/>
    <w:rsid w:val="0005408D"/>
    <w:rsid w:val="00054B3C"/>
    <w:rsid w:val="000552A7"/>
    <w:rsid w:val="0005533F"/>
    <w:rsid w:val="000556CC"/>
    <w:rsid w:val="000558A8"/>
    <w:rsid w:val="00056249"/>
    <w:rsid w:val="0005647F"/>
    <w:rsid w:val="00056540"/>
    <w:rsid w:val="00057ABA"/>
    <w:rsid w:val="00057E6D"/>
    <w:rsid w:val="00057F32"/>
    <w:rsid w:val="000604FC"/>
    <w:rsid w:val="00061009"/>
    <w:rsid w:val="00062292"/>
    <w:rsid w:val="0006244E"/>
    <w:rsid w:val="00062619"/>
    <w:rsid w:val="0006285C"/>
    <w:rsid w:val="00062911"/>
    <w:rsid w:val="00062A0A"/>
    <w:rsid w:val="00062A25"/>
    <w:rsid w:val="00062DE7"/>
    <w:rsid w:val="0006339A"/>
    <w:rsid w:val="00063511"/>
    <w:rsid w:val="00063D34"/>
    <w:rsid w:val="00063D46"/>
    <w:rsid w:val="00064639"/>
    <w:rsid w:val="00064C2B"/>
    <w:rsid w:val="00064E1E"/>
    <w:rsid w:val="00064F26"/>
    <w:rsid w:val="000652AD"/>
    <w:rsid w:val="000653A2"/>
    <w:rsid w:val="000655CA"/>
    <w:rsid w:val="0006607F"/>
    <w:rsid w:val="000661EE"/>
    <w:rsid w:val="000673E7"/>
    <w:rsid w:val="00067C5C"/>
    <w:rsid w:val="00070079"/>
    <w:rsid w:val="000701EB"/>
    <w:rsid w:val="00070594"/>
    <w:rsid w:val="00071AB3"/>
    <w:rsid w:val="00071E5F"/>
    <w:rsid w:val="00073679"/>
    <w:rsid w:val="00073CB5"/>
    <w:rsid w:val="00073CD3"/>
    <w:rsid w:val="00073E6E"/>
    <w:rsid w:val="0007425C"/>
    <w:rsid w:val="000742A6"/>
    <w:rsid w:val="00074E0C"/>
    <w:rsid w:val="00074E40"/>
    <w:rsid w:val="000755CD"/>
    <w:rsid w:val="00075840"/>
    <w:rsid w:val="0007654A"/>
    <w:rsid w:val="00076675"/>
    <w:rsid w:val="000766F9"/>
    <w:rsid w:val="000771FE"/>
    <w:rsid w:val="00077553"/>
    <w:rsid w:val="00077D89"/>
    <w:rsid w:val="0008039A"/>
    <w:rsid w:val="00080562"/>
    <w:rsid w:val="000805E3"/>
    <w:rsid w:val="0008061E"/>
    <w:rsid w:val="00080C90"/>
    <w:rsid w:val="0008146B"/>
    <w:rsid w:val="000817E2"/>
    <w:rsid w:val="000820A7"/>
    <w:rsid w:val="00083503"/>
    <w:rsid w:val="0008375D"/>
    <w:rsid w:val="000840A0"/>
    <w:rsid w:val="000846D8"/>
    <w:rsid w:val="0008473A"/>
    <w:rsid w:val="000851A2"/>
    <w:rsid w:val="00085233"/>
    <w:rsid w:val="0008535C"/>
    <w:rsid w:val="00085FE7"/>
    <w:rsid w:val="00086800"/>
    <w:rsid w:val="00086DD5"/>
    <w:rsid w:val="00091046"/>
    <w:rsid w:val="000910BB"/>
    <w:rsid w:val="0009143A"/>
    <w:rsid w:val="0009169C"/>
    <w:rsid w:val="00091C59"/>
    <w:rsid w:val="00092342"/>
    <w:rsid w:val="0009301B"/>
    <w:rsid w:val="000930FC"/>
    <w:rsid w:val="000931E0"/>
    <w:rsid w:val="0009352E"/>
    <w:rsid w:val="00093B13"/>
    <w:rsid w:val="00093DBF"/>
    <w:rsid w:val="000948C2"/>
    <w:rsid w:val="00094E4B"/>
    <w:rsid w:val="00094E67"/>
    <w:rsid w:val="00095982"/>
    <w:rsid w:val="00096293"/>
    <w:rsid w:val="00096935"/>
    <w:rsid w:val="00096B96"/>
    <w:rsid w:val="00096D54"/>
    <w:rsid w:val="00096DF9"/>
    <w:rsid w:val="0009707A"/>
    <w:rsid w:val="00097624"/>
    <w:rsid w:val="000976EA"/>
    <w:rsid w:val="000A0CC0"/>
    <w:rsid w:val="000A0E4C"/>
    <w:rsid w:val="000A11E7"/>
    <w:rsid w:val="000A1B6E"/>
    <w:rsid w:val="000A1E18"/>
    <w:rsid w:val="000A29C0"/>
    <w:rsid w:val="000A2BA9"/>
    <w:rsid w:val="000A2BE3"/>
    <w:rsid w:val="000A2F3F"/>
    <w:rsid w:val="000A3857"/>
    <w:rsid w:val="000A408F"/>
    <w:rsid w:val="000A458D"/>
    <w:rsid w:val="000A4F47"/>
    <w:rsid w:val="000A50EC"/>
    <w:rsid w:val="000A5189"/>
    <w:rsid w:val="000A5C27"/>
    <w:rsid w:val="000A62AD"/>
    <w:rsid w:val="000A67EE"/>
    <w:rsid w:val="000A69FF"/>
    <w:rsid w:val="000A70D7"/>
    <w:rsid w:val="000A70E4"/>
    <w:rsid w:val="000A7679"/>
    <w:rsid w:val="000B08EB"/>
    <w:rsid w:val="000B0B4A"/>
    <w:rsid w:val="000B1F9B"/>
    <w:rsid w:val="000B2098"/>
    <w:rsid w:val="000B2733"/>
    <w:rsid w:val="000B279A"/>
    <w:rsid w:val="000B3A48"/>
    <w:rsid w:val="000B4025"/>
    <w:rsid w:val="000B4851"/>
    <w:rsid w:val="000B489B"/>
    <w:rsid w:val="000B4D88"/>
    <w:rsid w:val="000B5089"/>
    <w:rsid w:val="000B586C"/>
    <w:rsid w:val="000B61D2"/>
    <w:rsid w:val="000B6F5C"/>
    <w:rsid w:val="000B70A7"/>
    <w:rsid w:val="000C1202"/>
    <w:rsid w:val="000C18E7"/>
    <w:rsid w:val="000C29C4"/>
    <w:rsid w:val="000C32D3"/>
    <w:rsid w:val="000C387B"/>
    <w:rsid w:val="000C3A9E"/>
    <w:rsid w:val="000C3BD4"/>
    <w:rsid w:val="000C495F"/>
    <w:rsid w:val="000C4A36"/>
    <w:rsid w:val="000C4D8C"/>
    <w:rsid w:val="000C507C"/>
    <w:rsid w:val="000C5BCC"/>
    <w:rsid w:val="000C5DDA"/>
    <w:rsid w:val="000C645D"/>
    <w:rsid w:val="000C651C"/>
    <w:rsid w:val="000C6A68"/>
    <w:rsid w:val="000C6BBD"/>
    <w:rsid w:val="000C6F20"/>
    <w:rsid w:val="000C6FB8"/>
    <w:rsid w:val="000C7CE3"/>
    <w:rsid w:val="000D0263"/>
    <w:rsid w:val="000D0405"/>
    <w:rsid w:val="000D0451"/>
    <w:rsid w:val="000D0834"/>
    <w:rsid w:val="000D0BD2"/>
    <w:rsid w:val="000D0F99"/>
    <w:rsid w:val="000D1C15"/>
    <w:rsid w:val="000D1CCE"/>
    <w:rsid w:val="000D1E8B"/>
    <w:rsid w:val="000D2114"/>
    <w:rsid w:val="000D2981"/>
    <w:rsid w:val="000D310D"/>
    <w:rsid w:val="000D316F"/>
    <w:rsid w:val="000D3272"/>
    <w:rsid w:val="000D4312"/>
    <w:rsid w:val="000D4966"/>
    <w:rsid w:val="000D59E4"/>
    <w:rsid w:val="000D5B53"/>
    <w:rsid w:val="000D65CC"/>
    <w:rsid w:val="000D7042"/>
    <w:rsid w:val="000D70E5"/>
    <w:rsid w:val="000D74A2"/>
    <w:rsid w:val="000D74B7"/>
    <w:rsid w:val="000D7A2B"/>
    <w:rsid w:val="000E0032"/>
    <w:rsid w:val="000E060C"/>
    <w:rsid w:val="000E0ECA"/>
    <w:rsid w:val="000E0F34"/>
    <w:rsid w:val="000E158C"/>
    <w:rsid w:val="000E2ACA"/>
    <w:rsid w:val="000E336A"/>
    <w:rsid w:val="000E53CC"/>
    <w:rsid w:val="000E579F"/>
    <w:rsid w:val="000E5A97"/>
    <w:rsid w:val="000E6431"/>
    <w:rsid w:val="000E6575"/>
    <w:rsid w:val="000E6B6B"/>
    <w:rsid w:val="000E7019"/>
    <w:rsid w:val="000F0303"/>
    <w:rsid w:val="000F0536"/>
    <w:rsid w:val="000F05D9"/>
    <w:rsid w:val="000F0835"/>
    <w:rsid w:val="000F0A92"/>
    <w:rsid w:val="000F18A9"/>
    <w:rsid w:val="000F21A5"/>
    <w:rsid w:val="000F2A29"/>
    <w:rsid w:val="000F37CB"/>
    <w:rsid w:val="000F3E0D"/>
    <w:rsid w:val="000F5224"/>
    <w:rsid w:val="000F52AD"/>
    <w:rsid w:val="000F70D6"/>
    <w:rsid w:val="00100C4E"/>
    <w:rsid w:val="001012D7"/>
    <w:rsid w:val="00101B8C"/>
    <w:rsid w:val="00102299"/>
    <w:rsid w:val="00102B9F"/>
    <w:rsid w:val="00102DDF"/>
    <w:rsid w:val="00102F58"/>
    <w:rsid w:val="001036B6"/>
    <w:rsid w:val="00104006"/>
    <w:rsid w:val="001042F6"/>
    <w:rsid w:val="00104ED6"/>
    <w:rsid w:val="001054BB"/>
    <w:rsid w:val="00105F1E"/>
    <w:rsid w:val="00106745"/>
    <w:rsid w:val="00106A4C"/>
    <w:rsid w:val="00106ACF"/>
    <w:rsid w:val="00106E4C"/>
    <w:rsid w:val="0010706D"/>
    <w:rsid w:val="001072C8"/>
    <w:rsid w:val="00107B31"/>
    <w:rsid w:val="00110288"/>
    <w:rsid w:val="00110753"/>
    <w:rsid w:val="001107E2"/>
    <w:rsid w:val="00110815"/>
    <w:rsid w:val="001109B0"/>
    <w:rsid w:val="00111E74"/>
    <w:rsid w:val="0011234A"/>
    <w:rsid w:val="00112350"/>
    <w:rsid w:val="0011250E"/>
    <w:rsid w:val="00112637"/>
    <w:rsid w:val="00112ABC"/>
    <w:rsid w:val="001134C2"/>
    <w:rsid w:val="00113840"/>
    <w:rsid w:val="00113A4E"/>
    <w:rsid w:val="00113DBE"/>
    <w:rsid w:val="0011408C"/>
    <w:rsid w:val="00114D21"/>
    <w:rsid w:val="00115C3F"/>
    <w:rsid w:val="00117306"/>
    <w:rsid w:val="00117565"/>
    <w:rsid w:val="00117B5B"/>
    <w:rsid w:val="00117FF8"/>
    <w:rsid w:val="0012001E"/>
    <w:rsid w:val="00120186"/>
    <w:rsid w:val="00121A6C"/>
    <w:rsid w:val="00121C4C"/>
    <w:rsid w:val="001226F1"/>
    <w:rsid w:val="00122892"/>
    <w:rsid w:val="00122A9A"/>
    <w:rsid w:val="00122CA2"/>
    <w:rsid w:val="001246C6"/>
    <w:rsid w:val="00125383"/>
    <w:rsid w:val="001256CF"/>
    <w:rsid w:val="00125C25"/>
    <w:rsid w:val="00125C6E"/>
    <w:rsid w:val="00126080"/>
    <w:rsid w:val="00126255"/>
    <w:rsid w:val="00126A55"/>
    <w:rsid w:val="00126D96"/>
    <w:rsid w:val="001272AB"/>
    <w:rsid w:val="0012733B"/>
    <w:rsid w:val="00127D94"/>
    <w:rsid w:val="00127EA3"/>
    <w:rsid w:val="0013020D"/>
    <w:rsid w:val="001312B4"/>
    <w:rsid w:val="00132EE1"/>
    <w:rsid w:val="0013392A"/>
    <w:rsid w:val="0013394B"/>
    <w:rsid w:val="00133F08"/>
    <w:rsid w:val="001345E6"/>
    <w:rsid w:val="0013523C"/>
    <w:rsid w:val="00135674"/>
    <w:rsid w:val="00135CD3"/>
    <w:rsid w:val="001362E8"/>
    <w:rsid w:val="00136649"/>
    <w:rsid w:val="001367D6"/>
    <w:rsid w:val="001378B0"/>
    <w:rsid w:val="00140229"/>
    <w:rsid w:val="001417C6"/>
    <w:rsid w:val="00141FD1"/>
    <w:rsid w:val="00142E00"/>
    <w:rsid w:val="001434ED"/>
    <w:rsid w:val="001438AE"/>
    <w:rsid w:val="00144355"/>
    <w:rsid w:val="001445E3"/>
    <w:rsid w:val="00144AF5"/>
    <w:rsid w:val="00144B62"/>
    <w:rsid w:val="00145190"/>
    <w:rsid w:val="00145DFE"/>
    <w:rsid w:val="00146A74"/>
    <w:rsid w:val="00146C17"/>
    <w:rsid w:val="001475C4"/>
    <w:rsid w:val="00147B53"/>
    <w:rsid w:val="00147DDA"/>
    <w:rsid w:val="001500C5"/>
    <w:rsid w:val="00150426"/>
    <w:rsid w:val="00150FBF"/>
    <w:rsid w:val="001519EB"/>
    <w:rsid w:val="00152793"/>
    <w:rsid w:val="001530A3"/>
    <w:rsid w:val="001532D2"/>
    <w:rsid w:val="0015338B"/>
    <w:rsid w:val="00153B7E"/>
    <w:rsid w:val="001545A9"/>
    <w:rsid w:val="00154635"/>
    <w:rsid w:val="00154A58"/>
    <w:rsid w:val="00154E1E"/>
    <w:rsid w:val="0015522A"/>
    <w:rsid w:val="001552A2"/>
    <w:rsid w:val="00155659"/>
    <w:rsid w:val="00156232"/>
    <w:rsid w:val="00156401"/>
    <w:rsid w:val="00156A6F"/>
    <w:rsid w:val="001572B4"/>
    <w:rsid w:val="001573CA"/>
    <w:rsid w:val="001606EE"/>
    <w:rsid w:val="00160D13"/>
    <w:rsid w:val="00162550"/>
    <w:rsid w:val="001628E3"/>
    <w:rsid w:val="00162D4C"/>
    <w:rsid w:val="00162EB8"/>
    <w:rsid w:val="001637C7"/>
    <w:rsid w:val="001642BB"/>
    <w:rsid w:val="0016480E"/>
    <w:rsid w:val="00164A73"/>
    <w:rsid w:val="00165082"/>
    <w:rsid w:val="00165C3F"/>
    <w:rsid w:val="00166291"/>
    <w:rsid w:val="001670A5"/>
    <w:rsid w:val="001670AF"/>
    <w:rsid w:val="00167F42"/>
    <w:rsid w:val="00170654"/>
    <w:rsid w:val="00170BF4"/>
    <w:rsid w:val="001715DC"/>
    <w:rsid w:val="00172746"/>
    <w:rsid w:val="00173158"/>
    <w:rsid w:val="0017335C"/>
    <w:rsid w:val="00174297"/>
    <w:rsid w:val="001747CD"/>
    <w:rsid w:val="00174B84"/>
    <w:rsid w:val="00174C19"/>
    <w:rsid w:val="001750ED"/>
    <w:rsid w:val="00175231"/>
    <w:rsid w:val="00175449"/>
    <w:rsid w:val="001768B9"/>
    <w:rsid w:val="00176C09"/>
    <w:rsid w:val="00176CDA"/>
    <w:rsid w:val="00177433"/>
    <w:rsid w:val="00177595"/>
    <w:rsid w:val="00177887"/>
    <w:rsid w:val="00177FB1"/>
    <w:rsid w:val="00180D4C"/>
    <w:rsid w:val="00180E06"/>
    <w:rsid w:val="00181295"/>
    <w:rsid w:val="001812AB"/>
    <w:rsid w:val="001815FC"/>
    <w:rsid w:val="001817B3"/>
    <w:rsid w:val="001819D9"/>
    <w:rsid w:val="001820B6"/>
    <w:rsid w:val="001820CC"/>
    <w:rsid w:val="00182526"/>
    <w:rsid w:val="0018257B"/>
    <w:rsid w:val="00182878"/>
    <w:rsid w:val="00182C5F"/>
    <w:rsid w:val="00183014"/>
    <w:rsid w:val="0018351A"/>
    <w:rsid w:val="00183960"/>
    <w:rsid w:val="00183C75"/>
    <w:rsid w:val="00184434"/>
    <w:rsid w:val="001857F8"/>
    <w:rsid w:val="00186A2A"/>
    <w:rsid w:val="0018752C"/>
    <w:rsid w:val="001906A2"/>
    <w:rsid w:val="001912FB"/>
    <w:rsid w:val="001917E9"/>
    <w:rsid w:val="00193B19"/>
    <w:rsid w:val="001941F1"/>
    <w:rsid w:val="0019420F"/>
    <w:rsid w:val="001945C1"/>
    <w:rsid w:val="00194789"/>
    <w:rsid w:val="00195162"/>
    <w:rsid w:val="00195431"/>
    <w:rsid w:val="0019545A"/>
    <w:rsid w:val="001959C2"/>
    <w:rsid w:val="00196D26"/>
    <w:rsid w:val="0019733D"/>
    <w:rsid w:val="00197B60"/>
    <w:rsid w:val="001A0451"/>
    <w:rsid w:val="001A1238"/>
    <w:rsid w:val="001A140B"/>
    <w:rsid w:val="001A147A"/>
    <w:rsid w:val="001A17C0"/>
    <w:rsid w:val="001A27BD"/>
    <w:rsid w:val="001A2A15"/>
    <w:rsid w:val="001A4137"/>
    <w:rsid w:val="001A422A"/>
    <w:rsid w:val="001A4AD8"/>
    <w:rsid w:val="001A51E3"/>
    <w:rsid w:val="001A5446"/>
    <w:rsid w:val="001A59AE"/>
    <w:rsid w:val="001A5CC8"/>
    <w:rsid w:val="001A69E1"/>
    <w:rsid w:val="001A7547"/>
    <w:rsid w:val="001A7968"/>
    <w:rsid w:val="001A7C6D"/>
    <w:rsid w:val="001A7E01"/>
    <w:rsid w:val="001B273D"/>
    <w:rsid w:val="001B2E98"/>
    <w:rsid w:val="001B3161"/>
    <w:rsid w:val="001B3483"/>
    <w:rsid w:val="001B386E"/>
    <w:rsid w:val="001B3C1E"/>
    <w:rsid w:val="001B3C47"/>
    <w:rsid w:val="001B3EDC"/>
    <w:rsid w:val="001B4494"/>
    <w:rsid w:val="001B560A"/>
    <w:rsid w:val="001B5691"/>
    <w:rsid w:val="001B60E8"/>
    <w:rsid w:val="001B625F"/>
    <w:rsid w:val="001B62C2"/>
    <w:rsid w:val="001B66BD"/>
    <w:rsid w:val="001B6C6E"/>
    <w:rsid w:val="001B7DBB"/>
    <w:rsid w:val="001C0325"/>
    <w:rsid w:val="001C046A"/>
    <w:rsid w:val="001C0D8B"/>
    <w:rsid w:val="001C0DA8"/>
    <w:rsid w:val="001C2565"/>
    <w:rsid w:val="001C27EB"/>
    <w:rsid w:val="001C2B1C"/>
    <w:rsid w:val="001C336A"/>
    <w:rsid w:val="001C3497"/>
    <w:rsid w:val="001C3559"/>
    <w:rsid w:val="001C3678"/>
    <w:rsid w:val="001C4C20"/>
    <w:rsid w:val="001C5439"/>
    <w:rsid w:val="001C5B67"/>
    <w:rsid w:val="001C5FA2"/>
    <w:rsid w:val="001C6023"/>
    <w:rsid w:val="001C6C20"/>
    <w:rsid w:val="001C6EF7"/>
    <w:rsid w:val="001C7738"/>
    <w:rsid w:val="001D0482"/>
    <w:rsid w:val="001D1719"/>
    <w:rsid w:val="001D1C53"/>
    <w:rsid w:val="001D1F8D"/>
    <w:rsid w:val="001D278E"/>
    <w:rsid w:val="001D3B43"/>
    <w:rsid w:val="001D3ECE"/>
    <w:rsid w:val="001D3FF2"/>
    <w:rsid w:val="001D438F"/>
    <w:rsid w:val="001D4AD7"/>
    <w:rsid w:val="001D4B5E"/>
    <w:rsid w:val="001D4EF0"/>
    <w:rsid w:val="001D5F64"/>
    <w:rsid w:val="001D6327"/>
    <w:rsid w:val="001D644E"/>
    <w:rsid w:val="001D65D8"/>
    <w:rsid w:val="001D680C"/>
    <w:rsid w:val="001D6AAF"/>
    <w:rsid w:val="001D7816"/>
    <w:rsid w:val="001E0033"/>
    <w:rsid w:val="001E01E7"/>
    <w:rsid w:val="001E02FE"/>
    <w:rsid w:val="001E0BAD"/>
    <w:rsid w:val="001E0D8A"/>
    <w:rsid w:val="001E16EA"/>
    <w:rsid w:val="001E1984"/>
    <w:rsid w:val="001E2924"/>
    <w:rsid w:val="001E2B02"/>
    <w:rsid w:val="001E2D1B"/>
    <w:rsid w:val="001E3C85"/>
    <w:rsid w:val="001E4FA1"/>
    <w:rsid w:val="001E67BA"/>
    <w:rsid w:val="001E68BA"/>
    <w:rsid w:val="001E71C0"/>
    <w:rsid w:val="001E74C2"/>
    <w:rsid w:val="001E782A"/>
    <w:rsid w:val="001E793C"/>
    <w:rsid w:val="001F0744"/>
    <w:rsid w:val="001F0EED"/>
    <w:rsid w:val="001F0F57"/>
    <w:rsid w:val="001F130C"/>
    <w:rsid w:val="001F1F59"/>
    <w:rsid w:val="001F2394"/>
    <w:rsid w:val="001F3581"/>
    <w:rsid w:val="001F59D9"/>
    <w:rsid w:val="001F5A48"/>
    <w:rsid w:val="001F6260"/>
    <w:rsid w:val="001F728E"/>
    <w:rsid w:val="00200007"/>
    <w:rsid w:val="00201BF8"/>
    <w:rsid w:val="00203036"/>
    <w:rsid w:val="002030A5"/>
    <w:rsid w:val="00203131"/>
    <w:rsid w:val="00203A62"/>
    <w:rsid w:val="002046B7"/>
    <w:rsid w:val="0020473F"/>
    <w:rsid w:val="00204992"/>
    <w:rsid w:val="002049BC"/>
    <w:rsid w:val="00205172"/>
    <w:rsid w:val="002056E3"/>
    <w:rsid w:val="002056F2"/>
    <w:rsid w:val="00205A45"/>
    <w:rsid w:val="00205B69"/>
    <w:rsid w:val="00205D17"/>
    <w:rsid w:val="002068C9"/>
    <w:rsid w:val="00207868"/>
    <w:rsid w:val="00210661"/>
    <w:rsid w:val="00210C7C"/>
    <w:rsid w:val="00210CB4"/>
    <w:rsid w:val="00211121"/>
    <w:rsid w:val="002125DC"/>
    <w:rsid w:val="00212E3D"/>
    <w:rsid w:val="00212E88"/>
    <w:rsid w:val="00212F83"/>
    <w:rsid w:val="0021340C"/>
    <w:rsid w:val="00213565"/>
    <w:rsid w:val="00213BA7"/>
    <w:rsid w:val="00213C9C"/>
    <w:rsid w:val="0021415D"/>
    <w:rsid w:val="002147C7"/>
    <w:rsid w:val="00214A16"/>
    <w:rsid w:val="002152B2"/>
    <w:rsid w:val="002153B7"/>
    <w:rsid w:val="00215AE7"/>
    <w:rsid w:val="00215F73"/>
    <w:rsid w:val="0021676A"/>
    <w:rsid w:val="0022009E"/>
    <w:rsid w:val="002202AC"/>
    <w:rsid w:val="002202D3"/>
    <w:rsid w:val="002208B4"/>
    <w:rsid w:val="00220B8E"/>
    <w:rsid w:val="00221D7B"/>
    <w:rsid w:val="00222110"/>
    <w:rsid w:val="00222151"/>
    <w:rsid w:val="0022281A"/>
    <w:rsid w:val="00222B72"/>
    <w:rsid w:val="00223241"/>
    <w:rsid w:val="0022356F"/>
    <w:rsid w:val="00223A64"/>
    <w:rsid w:val="0022425C"/>
    <w:rsid w:val="00224302"/>
    <w:rsid w:val="00224388"/>
    <w:rsid w:val="002246DE"/>
    <w:rsid w:val="00225BA9"/>
    <w:rsid w:val="00226803"/>
    <w:rsid w:val="002277E0"/>
    <w:rsid w:val="00230352"/>
    <w:rsid w:val="00230626"/>
    <w:rsid w:val="00231CDA"/>
    <w:rsid w:val="00232583"/>
    <w:rsid w:val="0023388A"/>
    <w:rsid w:val="00233D2B"/>
    <w:rsid w:val="00234324"/>
    <w:rsid w:val="002343B4"/>
    <w:rsid w:val="00234995"/>
    <w:rsid w:val="0023564C"/>
    <w:rsid w:val="002358E8"/>
    <w:rsid w:val="00235C2D"/>
    <w:rsid w:val="00236BCC"/>
    <w:rsid w:val="002371B3"/>
    <w:rsid w:val="0023724D"/>
    <w:rsid w:val="002376E5"/>
    <w:rsid w:val="00240513"/>
    <w:rsid w:val="00240A6D"/>
    <w:rsid w:val="002415C7"/>
    <w:rsid w:val="00241F25"/>
    <w:rsid w:val="00242960"/>
    <w:rsid w:val="00243785"/>
    <w:rsid w:val="002445BA"/>
    <w:rsid w:val="00244910"/>
    <w:rsid w:val="00244D6F"/>
    <w:rsid w:val="002454CF"/>
    <w:rsid w:val="0024673C"/>
    <w:rsid w:val="00246779"/>
    <w:rsid w:val="00247022"/>
    <w:rsid w:val="00250A4C"/>
    <w:rsid w:val="0025268D"/>
    <w:rsid w:val="00252755"/>
    <w:rsid w:val="00252BC4"/>
    <w:rsid w:val="002531B8"/>
    <w:rsid w:val="002532DE"/>
    <w:rsid w:val="00253407"/>
    <w:rsid w:val="00254014"/>
    <w:rsid w:val="00255CA2"/>
    <w:rsid w:val="002565B4"/>
    <w:rsid w:val="00256AAA"/>
    <w:rsid w:val="00256B3C"/>
    <w:rsid w:val="00256C34"/>
    <w:rsid w:val="00256CDF"/>
    <w:rsid w:val="0025711E"/>
    <w:rsid w:val="002572CF"/>
    <w:rsid w:val="0025753C"/>
    <w:rsid w:val="00257A75"/>
    <w:rsid w:val="00257E27"/>
    <w:rsid w:val="00260240"/>
    <w:rsid w:val="0026058A"/>
    <w:rsid w:val="002612F2"/>
    <w:rsid w:val="002619EA"/>
    <w:rsid w:val="00262A61"/>
    <w:rsid w:val="00262F63"/>
    <w:rsid w:val="00263A2C"/>
    <w:rsid w:val="00264825"/>
    <w:rsid w:val="00264CCC"/>
    <w:rsid w:val="00264E46"/>
    <w:rsid w:val="0026504D"/>
    <w:rsid w:val="002653FB"/>
    <w:rsid w:val="002659EA"/>
    <w:rsid w:val="00265A54"/>
    <w:rsid w:val="00265D55"/>
    <w:rsid w:val="00265EC3"/>
    <w:rsid w:val="0026644C"/>
    <w:rsid w:val="00266471"/>
    <w:rsid w:val="002664B4"/>
    <w:rsid w:val="002664C4"/>
    <w:rsid w:val="00266781"/>
    <w:rsid w:val="00266A57"/>
    <w:rsid w:val="00266AF0"/>
    <w:rsid w:val="00267462"/>
    <w:rsid w:val="00267D99"/>
    <w:rsid w:val="002700D8"/>
    <w:rsid w:val="002701FF"/>
    <w:rsid w:val="00270E6C"/>
    <w:rsid w:val="00271FCD"/>
    <w:rsid w:val="002729B3"/>
    <w:rsid w:val="0027371D"/>
    <w:rsid w:val="00273794"/>
    <w:rsid w:val="00273A2F"/>
    <w:rsid w:val="00273C03"/>
    <w:rsid w:val="00273EBD"/>
    <w:rsid w:val="00274C5D"/>
    <w:rsid w:val="002750F3"/>
    <w:rsid w:val="00275255"/>
    <w:rsid w:val="0027532D"/>
    <w:rsid w:val="0027571F"/>
    <w:rsid w:val="00275E30"/>
    <w:rsid w:val="00275F7F"/>
    <w:rsid w:val="00276351"/>
    <w:rsid w:val="0027667C"/>
    <w:rsid w:val="00276CFF"/>
    <w:rsid w:val="00277A91"/>
    <w:rsid w:val="002803E7"/>
    <w:rsid w:val="0028042E"/>
    <w:rsid w:val="00280974"/>
    <w:rsid w:val="00280986"/>
    <w:rsid w:val="00280BE9"/>
    <w:rsid w:val="00281ECE"/>
    <w:rsid w:val="0028225C"/>
    <w:rsid w:val="00282452"/>
    <w:rsid w:val="00282930"/>
    <w:rsid w:val="002831C7"/>
    <w:rsid w:val="0028379C"/>
    <w:rsid w:val="00283C6A"/>
    <w:rsid w:val="002840C6"/>
    <w:rsid w:val="00284135"/>
    <w:rsid w:val="00284875"/>
    <w:rsid w:val="002866D9"/>
    <w:rsid w:val="00287048"/>
    <w:rsid w:val="00290143"/>
    <w:rsid w:val="00290481"/>
    <w:rsid w:val="00290904"/>
    <w:rsid w:val="00290AFA"/>
    <w:rsid w:val="00290B08"/>
    <w:rsid w:val="0029177B"/>
    <w:rsid w:val="00292A33"/>
    <w:rsid w:val="00293109"/>
    <w:rsid w:val="00293459"/>
    <w:rsid w:val="002934C1"/>
    <w:rsid w:val="00293A9D"/>
    <w:rsid w:val="00293C1C"/>
    <w:rsid w:val="00294BDF"/>
    <w:rsid w:val="00294FBC"/>
    <w:rsid w:val="00295174"/>
    <w:rsid w:val="00295DE8"/>
    <w:rsid w:val="00296172"/>
    <w:rsid w:val="00296362"/>
    <w:rsid w:val="00296B4E"/>
    <w:rsid w:val="00296B92"/>
    <w:rsid w:val="00296DE9"/>
    <w:rsid w:val="00297373"/>
    <w:rsid w:val="002978CA"/>
    <w:rsid w:val="002A07A5"/>
    <w:rsid w:val="002A089E"/>
    <w:rsid w:val="002A0D6A"/>
    <w:rsid w:val="002A1278"/>
    <w:rsid w:val="002A2242"/>
    <w:rsid w:val="002A22B5"/>
    <w:rsid w:val="002A2955"/>
    <w:rsid w:val="002A2C22"/>
    <w:rsid w:val="002A34A2"/>
    <w:rsid w:val="002A3805"/>
    <w:rsid w:val="002A4869"/>
    <w:rsid w:val="002A4DD0"/>
    <w:rsid w:val="002A622E"/>
    <w:rsid w:val="002A73EC"/>
    <w:rsid w:val="002A741E"/>
    <w:rsid w:val="002A7B75"/>
    <w:rsid w:val="002A7DFD"/>
    <w:rsid w:val="002A7F37"/>
    <w:rsid w:val="002B007C"/>
    <w:rsid w:val="002B02EB"/>
    <w:rsid w:val="002B06BB"/>
    <w:rsid w:val="002B10AD"/>
    <w:rsid w:val="002B1129"/>
    <w:rsid w:val="002B1240"/>
    <w:rsid w:val="002B169D"/>
    <w:rsid w:val="002B195E"/>
    <w:rsid w:val="002B1ADA"/>
    <w:rsid w:val="002B1EFC"/>
    <w:rsid w:val="002B20B3"/>
    <w:rsid w:val="002B21F1"/>
    <w:rsid w:val="002B22DB"/>
    <w:rsid w:val="002B2936"/>
    <w:rsid w:val="002B35B2"/>
    <w:rsid w:val="002B363E"/>
    <w:rsid w:val="002B3760"/>
    <w:rsid w:val="002B4304"/>
    <w:rsid w:val="002B484D"/>
    <w:rsid w:val="002B4A81"/>
    <w:rsid w:val="002B4F1E"/>
    <w:rsid w:val="002B5FD6"/>
    <w:rsid w:val="002B768D"/>
    <w:rsid w:val="002B77C3"/>
    <w:rsid w:val="002B791A"/>
    <w:rsid w:val="002B7A3F"/>
    <w:rsid w:val="002B7C30"/>
    <w:rsid w:val="002B7EFF"/>
    <w:rsid w:val="002C0602"/>
    <w:rsid w:val="002C1251"/>
    <w:rsid w:val="002C146F"/>
    <w:rsid w:val="002C2B22"/>
    <w:rsid w:val="002C5CD6"/>
    <w:rsid w:val="002C6855"/>
    <w:rsid w:val="002C6C96"/>
    <w:rsid w:val="002C72FA"/>
    <w:rsid w:val="002D0176"/>
    <w:rsid w:val="002D03B1"/>
    <w:rsid w:val="002D073B"/>
    <w:rsid w:val="002D08B3"/>
    <w:rsid w:val="002D08EA"/>
    <w:rsid w:val="002D1225"/>
    <w:rsid w:val="002D1593"/>
    <w:rsid w:val="002D15B2"/>
    <w:rsid w:val="002D172C"/>
    <w:rsid w:val="002D17B1"/>
    <w:rsid w:val="002D1987"/>
    <w:rsid w:val="002D1DFA"/>
    <w:rsid w:val="002D28EB"/>
    <w:rsid w:val="002D3B9F"/>
    <w:rsid w:val="002D4945"/>
    <w:rsid w:val="002D4D93"/>
    <w:rsid w:val="002D5168"/>
    <w:rsid w:val="002D54FB"/>
    <w:rsid w:val="002D5C16"/>
    <w:rsid w:val="002D6032"/>
    <w:rsid w:val="002D6214"/>
    <w:rsid w:val="002D6514"/>
    <w:rsid w:val="002D74F2"/>
    <w:rsid w:val="002D79E9"/>
    <w:rsid w:val="002D7C9A"/>
    <w:rsid w:val="002D7D98"/>
    <w:rsid w:val="002E022E"/>
    <w:rsid w:val="002E06BB"/>
    <w:rsid w:val="002E0A8C"/>
    <w:rsid w:val="002E2056"/>
    <w:rsid w:val="002E2246"/>
    <w:rsid w:val="002E26B4"/>
    <w:rsid w:val="002E27B2"/>
    <w:rsid w:val="002E2962"/>
    <w:rsid w:val="002E2CC2"/>
    <w:rsid w:val="002E2EA3"/>
    <w:rsid w:val="002E4B68"/>
    <w:rsid w:val="002E4F7E"/>
    <w:rsid w:val="002E51FC"/>
    <w:rsid w:val="002E53BF"/>
    <w:rsid w:val="002E5505"/>
    <w:rsid w:val="002E5774"/>
    <w:rsid w:val="002E6D9F"/>
    <w:rsid w:val="002E7611"/>
    <w:rsid w:val="002E7C92"/>
    <w:rsid w:val="002F018D"/>
    <w:rsid w:val="002F0B51"/>
    <w:rsid w:val="002F153F"/>
    <w:rsid w:val="002F1A59"/>
    <w:rsid w:val="002F2675"/>
    <w:rsid w:val="002F2BA1"/>
    <w:rsid w:val="002F37A5"/>
    <w:rsid w:val="002F37E2"/>
    <w:rsid w:val="002F3981"/>
    <w:rsid w:val="002F3B72"/>
    <w:rsid w:val="002F3DFF"/>
    <w:rsid w:val="002F3F15"/>
    <w:rsid w:val="002F3F22"/>
    <w:rsid w:val="002F4514"/>
    <w:rsid w:val="002F4704"/>
    <w:rsid w:val="002F50C7"/>
    <w:rsid w:val="002F544D"/>
    <w:rsid w:val="002F58EA"/>
    <w:rsid w:val="002F5A1F"/>
    <w:rsid w:val="002F5B58"/>
    <w:rsid w:val="002F5E05"/>
    <w:rsid w:val="002F612C"/>
    <w:rsid w:val="002F679E"/>
    <w:rsid w:val="002F6ECB"/>
    <w:rsid w:val="002F70F0"/>
    <w:rsid w:val="002F73E5"/>
    <w:rsid w:val="00300C90"/>
    <w:rsid w:val="003010B4"/>
    <w:rsid w:val="00301668"/>
    <w:rsid w:val="003019BD"/>
    <w:rsid w:val="00301FD8"/>
    <w:rsid w:val="00302988"/>
    <w:rsid w:val="00302F12"/>
    <w:rsid w:val="003038AA"/>
    <w:rsid w:val="00303BAD"/>
    <w:rsid w:val="00305588"/>
    <w:rsid w:val="00305719"/>
    <w:rsid w:val="0030625E"/>
    <w:rsid w:val="00306493"/>
    <w:rsid w:val="003065DF"/>
    <w:rsid w:val="00306B2F"/>
    <w:rsid w:val="00306FE1"/>
    <w:rsid w:val="00307080"/>
    <w:rsid w:val="00307A64"/>
    <w:rsid w:val="00310264"/>
    <w:rsid w:val="00311EDB"/>
    <w:rsid w:val="00311FDC"/>
    <w:rsid w:val="00312217"/>
    <w:rsid w:val="00312D85"/>
    <w:rsid w:val="00313038"/>
    <w:rsid w:val="003144AF"/>
    <w:rsid w:val="00315491"/>
    <w:rsid w:val="00315852"/>
    <w:rsid w:val="00315A16"/>
    <w:rsid w:val="003162EC"/>
    <w:rsid w:val="00316E26"/>
    <w:rsid w:val="00316F6A"/>
    <w:rsid w:val="00317053"/>
    <w:rsid w:val="00317ADA"/>
    <w:rsid w:val="0032014F"/>
    <w:rsid w:val="00320609"/>
    <w:rsid w:val="003209C2"/>
    <w:rsid w:val="00320C51"/>
    <w:rsid w:val="00320CA1"/>
    <w:rsid w:val="0032109C"/>
    <w:rsid w:val="003210A8"/>
    <w:rsid w:val="00321794"/>
    <w:rsid w:val="00322621"/>
    <w:rsid w:val="00322B45"/>
    <w:rsid w:val="00322CA6"/>
    <w:rsid w:val="00323809"/>
    <w:rsid w:val="0032390E"/>
    <w:rsid w:val="00323D08"/>
    <w:rsid w:val="00323D41"/>
    <w:rsid w:val="00323E6D"/>
    <w:rsid w:val="00324C14"/>
    <w:rsid w:val="00325256"/>
    <w:rsid w:val="00325414"/>
    <w:rsid w:val="003254ED"/>
    <w:rsid w:val="00325C4F"/>
    <w:rsid w:val="00325D09"/>
    <w:rsid w:val="00326161"/>
    <w:rsid w:val="0032646C"/>
    <w:rsid w:val="00326DA1"/>
    <w:rsid w:val="003274E2"/>
    <w:rsid w:val="003302F1"/>
    <w:rsid w:val="00331604"/>
    <w:rsid w:val="00332D72"/>
    <w:rsid w:val="0033305C"/>
    <w:rsid w:val="00333B9D"/>
    <w:rsid w:val="00333D86"/>
    <w:rsid w:val="00334311"/>
    <w:rsid w:val="00334A10"/>
    <w:rsid w:val="00334CE3"/>
    <w:rsid w:val="00334F10"/>
    <w:rsid w:val="00335535"/>
    <w:rsid w:val="0033562D"/>
    <w:rsid w:val="00336293"/>
    <w:rsid w:val="003367A4"/>
    <w:rsid w:val="00336DC9"/>
    <w:rsid w:val="00336FDF"/>
    <w:rsid w:val="00337134"/>
    <w:rsid w:val="003375C9"/>
    <w:rsid w:val="00337D3D"/>
    <w:rsid w:val="00337ED2"/>
    <w:rsid w:val="00342025"/>
    <w:rsid w:val="00342F55"/>
    <w:rsid w:val="00343259"/>
    <w:rsid w:val="00344026"/>
    <w:rsid w:val="0034437A"/>
    <w:rsid w:val="0034470E"/>
    <w:rsid w:val="00344F61"/>
    <w:rsid w:val="00344F90"/>
    <w:rsid w:val="003456C8"/>
    <w:rsid w:val="00347156"/>
    <w:rsid w:val="003479F0"/>
    <w:rsid w:val="00350EB1"/>
    <w:rsid w:val="00351114"/>
    <w:rsid w:val="003513DD"/>
    <w:rsid w:val="00351B18"/>
    <w:rsid w:val="00352120"/>
    <w:rsid w:val="0035239F"/>
    <w:rsid w:val="00352B89"/>
    <w:rsid w:val="00352DB0"/>
    <w:rsid w:val="00353E4D"/>
    <w:rsid w:val="003550D0"/>
    <w:rsid w:val="003568D2"/>
    <w:rsid w:val="00357562"/>
    <w:rsid w:val="00357F2F"/>
    <w:rsid w:val="00360C7A"/>
    <w:rsid w:val="00361063"/>
    <w:rsid w:val="00361152"/>
    <w:rsid w:val="003612C6"/>
    <w:rsid w:val="00361D33"/>
    <w:rsid w:val="00361EBD"/>
    <w:rsid w:val="00361F38"/>
    <w:rsid w:val="0036211F"/>
    <w:rsid w:val="00362D7D"/>
    <w:rsid w:val="003650AD"/>
    <w:rsid w:val="00365C0C"/>
    <w:rsid w:val="00365DE3"/>
    <w:rsid w:val="00366CB2"/>
    <w:rsid w:val="0036704F"/>
    <w:rsid w:val="003678F4"/>
    <w:rsid w:val="00367F3A"/>
    <w:rsid w:val="0037094A"/>
    <w:rsid w:val="00371D70"/>
    <w:rsid w:val="00371ED3"/>
    <w:rsid w:val="00372104"/>
    <w:rsid w:val="00372143"/>
    <w:rsid w:val="00372B08"/>
    <w:rsid w:val="00372FFC"/>
    <w:rsid w:val="00373DF5"/>
    <w:rsid w:val="00374235"/>
    <w:rsid w:val="0037488D"/>
    <w:rsid w:val="00374B52"/>
    <w:rsid w:val="00374B87"/>
    <w:rsid w:val="00375448"/>
    <w:rsid w:val="00375489"/>
    <w:rsid w:val="00375490"/>
    <w:rsid w:val="0037551B"/>
    <w:rsid w:val="00375901"/>
    <w:rsid w:val="003759C2"/>
    <w:rsid w:val="00375C40"/>
    <w:rsid w:val="003760F1"/>
    <w:rsid w:val="0037728A"/>
    <w:rsid w:val="00380444"/>
    <w:rsid w:val="003808A2"/>
    <w:rsid w:val="00380B7D"/>
    <w:rsid w:val="00380C45"/>
    <w:rsid w:val="0038119A"/>
    <w:rsid w:val="003812C6"/>
    <w:rsid w:val="003813DA"/>
    <w:rsid w:val="00381A99"/>
    <w:rsid w:val="00382872"/>
    <w:rsid w:val="003829C2"/>
    <w:rsid w:val="00382A71"/>
    <w:rsid w:val="00382AE2"/>
    <w:rsid w:val="00382BBE"/>
    <w:rsid w:val="003830B2"/>
    <w:rsid w:val="00383390"/>
    <w:rsid w:val="00383825"/>
    <w:rsid w:val="00383D94"/>
    <w:rsid w:val="003844AE"/>
    <w:rsid w:val="003846B0"/>
    <w:rsid w:val="00384724"/>
    <w:rsid w:val="0038568F"/>
    <w:rsid w:val="00385866"/>
    <w:rsid w:val="00385C1E"/>
    <w:rsid w:val="00386279"/>
    <w:rsid w:val="0038681B"/>
    <w:rsid w:val="00386F4B"/>
    <w:rsid w:val="003872FF"/>
    <w:rsid w:val="0038732D"/>
    <w:rsid w:val="0038772C"/>
    <w:rsid w:val="003901E4"/>
    <w:rsid w:val="003902C5"/>
    <w:rsid w:val="003919B7"/>
    <w:rsid w:val="00391A6B"/>
    <w:rsid w:val="00391BAF"/>
    <w:rsid w:val="00391D57"/>
    <w:rsid w:val="00391D99"/>
    <w:rsid w:val="00391F79"/>
    <w:rsid w:val="00392292"/>
    <w:rsid w:val="00392887"/>
    <w:rsid w:val="00392CF8"/>
    <w:rsid w:val="00392FEB"/>
    <w:rsid w:val="0039304A"/>
    <w:rsid w:val="00393355"/>
    <w:rsid w:val="00393DC8"/>
    <w:rsid w:val="00393FE0"/>
    <w:rsid w:val="0039467F"/>
    <w:rsid w:val="00394C83"/>
    <w:rsid w:val="00394E66"/>
    <w:rsid w:val="0039512D"/>
    <w:rsid w:val="00395552"/>
    <w:rsid w:val="00395DE5"/>
    <w:rsid w:val="00396390"/>
    <w:rsid w:val="0039645D"/>
    <w:rsid w:val="00397101"/>
    <w:rsid w:val="003A048A"/>
    <w:rsid w:val="003A0BA5"/>
    <w:rsid w:val="003A0C82"/>
    <w:rsid w:val="003A194D"/>
    <w:rsid w:val="003A1BE2"/>
    <w:rsid w:val="003A2BA9"/>
    <w:rsid w:val="003A2E53"/>
    <w:rsid w:val="003A432B"/>
    <w:rsid w:val="003A49F5"/>
    <w:rsid w:val="003A4A47"/>
    <w:rsid w:val="003A535B"/>
    <w:rsid w:val="003A595B"/>
    <w:rsid w:val="003A60D1"/>
    <w:rsid w:val="003A65F9"/>
    <w:rsid w:val="003A68AF"/>
    <w:rsid w:val="003A73D3"/>
    <w:rsid w:val="003A74AA"/>
    <w:rsid w:val="003B07D5"/>
    <w:rsid w:val="003B0B4F"/>
    <w:rsid w:val="003B0FDB"/>
    <w:rsid w:val="003B1017"/>
    <w:rsid w:val="003B1847"/>
    <w:rsid w:val="003B1E61"/>
    <w:rsid w:val="003B36DC"/>
    <w:rsid w:val="003B3C07"/>
    <w:rsid w:val="003B3F05"/>
    <w:rsid w:val="003B3FB2"/>
    <w:rsid w:val="003B4417"/>
    <w:rsid w:val="003B4446"/>
    <w:rsid w:val="003B45B7"/>
    <w:rsid w:val="003B4C76"/>
    <w:rsid w:val="003B5130"/>
    <w:rsid w:val="003B5A59"/>
    <w:rsid w:val="003B6775"/>
    <w:rsid w:val="003B7968"/>
    <w:rsid w:val="003B7AD6"/>
    <w:rsid w:val="003B7B5F"/>
    <w:rsid w:val="003C00C2"/>
    <w:rsid w:val="003C07AC"/>
    <w:rsid w:val="003C0C0B"/>
    <w:rsid w:val="003C0DC1"/>
    <w:rsid w:val="003C0EF6"/>
    <w:rsid w:val="003C2725"/>
    <w:rsid w:val="003C27A0"/>
    <w:rsid w:val="003C29C5"/>
    <w:rsid w:val="003C2BDB"/>
    <w:rsid w:val="003C2BFA"/>
    <w:rsid w:val="003C3006"/>
    <w:rsid w:val="003C3017"/>
    <w:rsid w:val="003C3BA0"/>
    <w:rsid w:val="003C49D8"/>
    <w:rsid w:val="003C4A0F"/>
    <w:rsid w:val="003C4F4E"/>
    <w:rsid w:val="003C5424"/>
    <w:rsid w:val="003C5CA0"/>
    <w:rsid w:val="003C5FE2"/>
    <w:rsid w:val="003C768A"/>
    <w:rsid w:val="003C7764"/>
    <w:rsid w:val="003D05FB"/>
    <w:rsid w:val="003D0BD4"/>
    <w:rsid w:val="003D1026"/>
    <w:rsid w:val="003D10BC"/>
    <w:rsid w:val="003D1580"/>
    <w:rsid w:val="003D15A8"/>
    <w:rsid w:val="003D1A80"/>
    <w:rsid w:val="003D1B16"/>
    <w:rsid w:val="003D1D4C"/>
    <w:rsid w:val="003D223B"/>
    <w:rsid w:val="003D2E22"/>
    <w:rsid w:val="003D37B7"/>
    <w:rsid w:val="003D4484"/>
    <w:rsid w:val="003D45BF"/>
    <w:rsid w:val="003D4715"/>
    <w:rsid w:val="003D4AEA"/>
    <w:rsid w:val="003D508A"/>
    <w:rsid w:val="003D50E6"/>
    <w:rsid w:val="003D537F"/>
    <w:rsid w:val="003D5630"/>
    <w:rsid w:val="003D567B"/>
    <w:rsid w:val="003D5FA1"/>
    <w:rsid w:val="003D78B9"/>
    <w:rsid w:val="003D78C6"/>
    <w:rsid w:val="003D7B23"/>
    <w:rsid w:val="003D7B75"/>
    <w:rsid w:val="003D7C7F"/>
    <w:rsid w:val="003D7FB4"/>
    <w:rsid w:val="003E0208"/>
    <w:rsid w:val="003E0A86"/>
    <w:rsid w:val="003E0E85"/>
    <w:rsid w:val="003E1F49"/>
    <w:rsid w:val="003E3ADD"/>
    <w:rsid w:val="003E446B"/>
    <w:rsid w:val="003E46D7"/>
    <w:rsid w:val="003E494E"/>
    <w:rsid w:val="003E4A82"/>
    <w:rsid w:val="003E4B57"/>
    <w:rsid w:val="003E4D69"/>
    <w:rsid w:val="003E516F"/>
    <w:rsid w:val="003E5B36"/>
    <w:rsid w:val="003E6780"/>
    <w:rsid w:val="003E6CF7"/>
    <w:rsid w:val="003E6DD7"/>
    <w:rsid w:val="003E7AAC"/>
    <w:rsid w:val="003E7CA3"/>
    <w:rsid w:val="003F0506"/>
    <w:rsid w:val="003F0DFC"/>
    <w:rsid w:val="003F18D1"/>
    <w:rsid w:val="003F212C"/>
    <w:rsid w:val="003F27E1"/>
    <w:rsid w:val="003F315D"/>
    <w:rsid w:val="003F3928"/>
    <w:rsid w:val="003F437A"/>
    <w:rsid w:val="003F4578"/>
    <w:rsid w:val="003F4ECA"/>
    <w:rsid w:val="003F4F74"/>
    <w:rsid w:val="003F50DF"/>
    <w:rsid w:val="003F5B37"/>
    <w:rsid w:val="003F5C2B"/>
    <w:rsid w:val="003F5D03"/>
    <w:rsid w:val="003F6BBF"/>
    <w:rsid w:val="003F7357"/>
    <w:rsid w:val="003F7825"/>
    <w:rsid w:val="003F7B76"/>
    <w:rsid w:val="0040025D"/>
    <w:rsid w:val="00400DBD"/>
    <w:rsid w:val="0040103B"/>
    <w:rsid w:val="004019F8"/>
    <w:rsid w:val="00401FD0"/>
    <w:rsid w:val="0040224B"/>
    <w:rsid w:val="004023E9"/>
    <w:rsid w:val="004029F9"/>
    <w:rsid w:val="004031DB"/>
    <w:rsid w:val="004032BC"/>
    <w:rsid w:val="00403ED2"/>
    <w:rsid w:val="0040432D"/>
    <w:rsid w:val="0040454A"/>
    <w:rsid w:val="00404729"/>
    <w:rsid w:val="00404900"/>
    <w:rsid w:val="0040567B"/>
    <w:rsid w:val="00405CB1"/>
    <w:rsid w:val="00406E3A"/>
    <w:rsid w:val="00407760"/>
    <w:rsid w:val="004078B3"/>
    <w:rsid w:val="00410314"/>
    <w:rsid w:val="00410D9B"/>
    <w:rsid w:val="00411C27"/>
    <w:rsid w:val="00412555"/>
    <w:rsid w:val="00412B2C"/>
    <w:rsid w:val="0041302E"/>
    <w:rsid w:val="004133D2"/>
    <w:rsid w:val="00413687"/>
    <w:rsid w:val="00413F83"/>
    <w:rsid w:val="00413FC3"/>
    <w:rsid w:val="0041490C"/>
    <w:rsid w:val="00415914"/>
    <w:rsid w:val="00415D33"/>
    <w:rsid w:val="00415EE9"/>
    <w:rsid w:val="00416191"/>
    <w:rsid w:val="00416456"/>
    <w:rsid w:val="00416721"/>
    <w:rsid w:val="00416C22"/>
    <w:rsid w:val="00416CD3"/>
    <w:rsid w:val="00416F16"/>
    <w:rsid w:val="004203A7"/>
    <w:rsid w:val="00420862"/>
    <w:rsid w:val="0042092B"/>
    <w:rsid w:val="00420AB9"/>
    <w:rsid w:val="00420E3B"/>
    <w:rsid w:val="00420FBF"/>
    <w:rsid w:val="004211A8"/>
    <w:rsid w:val="00421377"/>
    <w:rsid w:val="004218B3"/>
    <w:rsid w:val="00421C61"/>
    <w:rsid w:val="00421EF0"/>
    <w:rsid w:val="004224FA"/>
    <w:rsid w:val="00422F7B"/>
    <w:rsid w:val="00423602"/>
    <w:rsid w:val="00423D07"/>
    <w:rsid w:val="0042433C"/>
    <w:rsid w:val="00424521"/>
    <w:rsid w:val="004246EF"/>
    <w:rsid w:val="004248CB"/>
    <w:rsid w:val="00425232"/>
    <w:rsid w:val="00425770"/>
    <w:rsid w:val="00425C5E"/>
    <w:rsid w:val="00426474"/>
    <w:rsid w:val="0042647A"/>
    <w:rsid w:val="00426B19"/>
    <w:rsid w:val="004270D8"/>
    <w:rsid w:val="00427201"/>
    <w:rsid w:val="00427B45"/>
    <w:rsid w:val="004301ED"/>
    <w:rsid w:val="00430208"/>
    <w:rsid w:val="00430CB8"/>
    <w:rsid w:val="00431432"/>
    <w:rsid w:val="0043148F"/>
    <w:rsid w:val="004314E0"/>
    <w:rsid w:val="00432B95"/>
    <w:rsid w:val="00433467"/>
    <w:rsid w:val="0043489A"/>
    <w:rsid w:val="00434E15"/>
    <w:rsid w:val="00436271"/>
    <w:rsid w:val="00436536"/>
    <w:rsid w:val="004369F7"/>
    <w:rsid w:val="00436CDF"/>
    <w:rsid w:val="00437217"/>
    <w:rsid w:val="00437E1F"/>
    <w:rsid w:val="004401AA"/>
    <w:rsid w:val="004404AB"/>
    <w:rsid w:val="0044054B"/>
    <w:rsid w:val="004407EF"/>
    <w:rsid w:val="00440B90"/>
    <w:rsid w:val="00441876"/>
    <w:rsid w:val="004423DE"/>
    <w:rsid w:val="00442D34"/>
    <w:rsid w:val="0044346F"/>
    <w:rsid w:val="004436DF"/>
    <w:rsid w:val="00445195"/>
    <w:rsid w:val="00445EEF"/>
    <w:rsid w:val="00445F0E"/>
    <w:rsid w:val="00445FAA"/>
    <w:rsid w:val="0044617D"/>
    <w:rsid w:val="0044684D"/>
    <w:rsid w:val="00446C93"/>
    <w:rsid w:val="00447234"/>
    <w:rsid w:val="004476BA"/>
    <w:rsid w:val="00450F0E"/>
    <w:rsid w:val="00451292"/>
    <w:rsid w:val="004513E1"/>
    <w:rsid w:val="0045169E"/>
    <w:rsid w:val="004525C8"/>
    <w:rsid w:val="0045369D"/>
    <w:rsid w:val="00454208"/>
    <w:rsid w:val="00454340"/>
    <w:rsid w:val="00454505"/>
    <w:rsid w:val="00454771"/>
    <w:rsid w:val="00454B72"/>
    <w:rsid w:val="00457256"/>
    <w:rsid w:val="004574EB"/>
    <w:rsid w:val="00457BF5"/>
    <w:rsid w:val="00457CCC"/>
    <w:rsid w:val="00460179"/>
    <w:rsid w:val="00460447"/>
    <w:rsid w:val="004614F3"/>
    <w:rsid w:val="00461579"/>
    <w:rsid w:val="00461A6E"/>
    <w:rsid w:val="0046218F"/>
    <w:rsid w:val="00462DD0"/>
    <w:rsid w:val="00463130"/>
    <w:rsid w:val="00463643"/>
    <w:rsid w:val="00463A29"/>
    <w:rsid w:val="004645AA"/>
    <w:rsid w:val="0046480A"/>
    <w:rsid w:val="0046520A"/>
    <w:rsid w:val="00465F39"/>
    <w:rsid w:val="00466045"/>
    <w:rsid w:val="0046636D"/>
    <w:rsid w:val="004668B5"/>
    <w:rsid w:val="004672AB"/>
    <w:rsid w:val="004675A6"/>
    <w:rsid w:val="0047013B"/>
    <w:rsid w:val="004706BD"/>
    <w:rsid w:val="00471442"/>
    <w:rsid w:val="004714FE"/>
    <w:rsid w:val="00471512"/>
    <w:rsid w:val="004715BC"/>
    <w:rsid w:val="00471F72"/>
    <w:rsid w:val="00471FE3"/>
    <w:rsid w:val="00472AD5"/>
    <w:rsid w:val="00472F81"/>
    <w:rsid w:val="004739A6"/>
    <w:rsid w:val="00474451"/>
    <w:rsid w:val="00474763"/>
    <w:rsid w:val="00475157"/>
    <w:rsid w:val="004762AF"/>
    <w:rsid w:val="004770C8"/>
    <w:rsid w:val="0047773C"/>
    <w:rsid w:val="00477BAA"/>
    <w:rsid w:val="00477C2B"/>
    <w:rsid w:val="00477CDC"/>
    <w:rsid w:val="00480170"/>
    <w:rsid w:val="00480599"/>
    <w:rsid w:val="00480B4C"/>
    <w:rsid w:val="0048126A"/>
    <w:rsid w:val="00481390"/>
    <w:rsid w:val="00481453"/>
    <w:rsid w:val="004816F4"/>
    <w:rsid w:val="004817FD"/>
    <w:rsid w:val="00481D40"/>
    <w:rsid w:val="00481E09"/>
    <w:rsid w:val="00482D1F"/>
    <w:rsid w:val="004831C5"/>
    <w:rsid w:val="00483285"/>
    <w:rsid w:val="0048387E"/>
    <w:rsid w:val="00484104"/>
    <w:rsid w:val="00484302"/>
    <w:rsid w:val="004860E9"/>
    <w:rsid w:val="0048624A"/>
    <w:rsid w:val="00486B9B"/>
    <w:rsid w:val="00486F49"/>
    <w:rsid w:val="0048755B"/>
    <w:rsid w:val="00487667"/>
    <w:rsid w:val="00487EF2"/>
    <w:rsid w:val="00490708"/>
    <w:rsid w:val="00490D29"/>
    <w:rsid w:val="00490E5B"/>
    <w:rsid w:val="00490FF8"/>
    <w:rsid w:val="00491CF8"/>
    <w:rsid w:val="00492781"/>
    <w:rsid w:val="004932C2"/>
    <w:rsid w:val="004938D5"/>
    <w:rsid w:val="00493CC9"/>
    <w:rsid w:val="00495053"/>
    <w:rsid w:val="0049583F"/>
    <w:rsid w:val="004959DF"/>
    <w:rsid w:val="00495BEF"/>
    <w:rsid w:val="00495F3E"/>
    <w:rsid w:val="004963B1"/>
    <w:rsid w:val="004968A6"/>
    <w:rsid w:val="00496E8E"/>
    <w:rsid w:val="004A0F40"/>
    <w:rsid w:val="004A11FA"/>
    <w:rsid w:val="004A1984"/>
    <w:rsid w:val="004A1A4D"/>
    <w:rsid w:val="004A1F59"/>
    <w:rsid w:val="004A22DF"/>
    <w:rsid w:val="004A27D2"/>
    <w:rsid w:val="004A29BE"/>
    <w:rsid w:val="004A3225"/>
    <w:rsid w:val="004A32FB"/>
    <w:rsid w:val="004A33EE"/>
    <w:rsid w:val="004A3A74"/>
    <w:rsid w:val="004A3AA8"/>
    <w:rsid w:val="004A3BF7"/>
    <w:rsid w:val="004A408E"/>
    <w:rsid w:val="004A4491"/>
    <w:rsid w:val="004A5840"/>
    <w:rsid w:val="004A713C"/>
    <w:rsid w:val="004A775A"/>
    <w:rsid w:val="004A7DEA"/>
    <w:rsid w:val="004B004C"/>
    <w:rsid w:val="004B046F"/>
    <w:rsid w:val="004B0773"/>
    <w:rsid w:val="004B0888"/>
    <w:rsid w:val="004B13C7"/>
    <w:rsid w:val="004B1749"/>
    <w:rsid w:val="004B17B6"/>
    <w:rsid w:val="004B2D96"/>
    <w:rsid w:val="004B3228"/>
    <w:rsid w:val="004B3631"/>
    <w:rsid w:val="004B3968"/>
    <w:rsid w:val="004B3F3B"/>
    <w:rsid w:val="004B412E"/>
    <w:rsid w:val="004B49F9"/>
    <w:rsid w:val="004B5043"/>
    <w:rsid w:val="004B5145"/>
    <w:rsid w:val="004B689E"/>
    <w:rsid w:val="004B6D31"/>
    <w:rsid w:val="004B7041"/>
    <w:rsid w:val="004B778F"/>
    <w:rsid w:val="004B7B2B"/>
    <w:rsid w:val="004B7D7E"/>
    <w:rsid w:val="004C1882"/>
    <w:rsid w:val="004C218A"/>
    <w:rsid w:val="004C2F38"/>
    <w:rsid w:val="004C32F8"/>
    <w:rsid w:val="004C47E6"/>
    <w:rsid w:val="004C4EEE"/>
    <w:rsid w:val="004C5963"/>
    <w:rsid w:val="004C5EF0"/>
    <w:rsid w:val="004C63C4"/>
    <w:rsid w:val="004C6BA6"/>
    <w:rsid w:val="004C6F9A"/>
    <w:rsid w:val="004C7186"/>
    <w:rsid w:val="004C72B1"/>
    <w:rsid w:val="004D002F"/>
    <w:rsid w:val="004D141F"/>
    <w:rsid w:val="004D1439"/>
    <w:rsid w:val="004D1975"/>
    <w:rsid w:val="004D1B0E"/>
    <w:rsid w:val="004D1EF9"/>
    <w:rsid w:val="004D23D6"/>
    <w:rsid w:val="004D2742"/>
    <w:rsid w:val="004D3024"/>
    <w:rsid w:val="004D344A"/>
    <w:rsid w:val="004D3B52"/>
    <w:rsid w:val="004D3B98"/>
    <w:rsid w:val="004D4DD4"/>
    <w:rsid w:val="004D54A1"/>
    <w:rsid w:val="004D5BD7"/>
    <w:rsid w:val="004D6210"/>
    <w:rsid w:val="004D6310"/>
    <w:rsid w:val="004D67B4"/>
    <w:rsid w:val="004D7109"/>
    <w:rsid w:val="004D7A20"/>
    <w:rsid w:val="004D7AC5"/>
    <w:rsid w:val="004D7E00"/>
    <w:rsid w:val="004E0062"/>
    <w:rsid w:val="004E05A1"/>
    <w:rsid w:val="004E0664"/>
    <w:rsid w:val="004E08A6"/>
    <w:rsid w:val="004E1336"/>
    <w:rsid w:val="004E1554"/>
    <w:rsid w:val="004E1564"/>
    <w:rsid w:val="004E15BE"/>
    <w:rsid w:val="004E19AB"/>
    <w:rsid w:val="004E2525"/>
    <w:rsid w:val="004E277F"/>
    <w:rsid w:val="004E4D16"/>
    <w:rsid w:val="004E6310"/>
    <w:rsid w:val="004E6538"/>
    <w:rsid w:val="004E680F"/>
    <w:rsid w:val="004E7111"/>
    <w:rsid w:val="004E77B4"/>
    <w:rsid w:val="004E79F6"/>
    <w:rsid w:val="004F03BF"/>
    <w:rsid w:val="004F0A63"/>
    <w:rsid w:val="004F17BE"/>
    <w:rsid w:val="004F2218"/>
    <w:rsid w:val="004F24C6"/>
    <w:rsid w:val="004F27F4"/>
    <w:rsid w:val="004F2BD3"/>
    <w:rsid w:val="004F3975"/>
    <w:rsid w:val="004F3C49"/>
    <w:rsid w:val="004F3C9E"/>
    <w:rsid w:val="004F49F4"/>
    <w:rsid w:val="004F5E57"/>
    <w:rsid w:val="004F6710"/>
    <w:rsid w:val="004F75CC"/>
    <w:rsid w:val="004F789A"/>
    <w:rsid w:val="004F7909"/>
    <w:rsid w:val="004F7DFB"/>
    <w:rsid w:val="005000E8"/>
    <w:rsid w:val="0050022E"/>
    <w:rsid w:val="00500498"/>
    <w:rsid w:val="00500C3E"/>
    <w:rsid w:val="00500CB6"/>
    <w:rsid w:val="0050102C"/>
    <w:rsid w:val="005015AD"/>
    <w:rsid w:val="00502422"/>
    <w:rsid w:val="00502455"/>
    <w:rsid w:val="0050271D"/>
    <w:rsid w:val="00502849"/>
    <w:rsid w:val="0050312E"/>
    <w:rsid w:val="00503385"/>
    <w:rsid w:val="00503760"/>
    <w:rsid w:val="005037CD"/>
    <w:rsid w:val="00503920"/>
    <w:rsid w:val="00504334"/>
    <w:rsid w:val="0050498D"/>
    <w:rsid w:val="00505768"/>
    <w:rsid w:val="00506894"/>
    <w:rsid w:val="00506953"/>
    <w:rsid w:val="005070AD"/>
    <w:rsid w:val="00507B91"/>
    <w:rsid w:val="00507DC6"/>
    <w:rsid w:val="00507EBB"/>
    <w:rsid w:val="005104D7"/>
    <w:rsid w:val="00510B9E"/>
    <w:rsid w:val="00510E77"/>
    <w:rsid w:val="005110F3"/>
    <w:rsid w:val="00511191"/>
    <w:rsid w:val="0051124A"/>
    <w:rsid w:val="005113F7"/>
    <w:rsid w:val="005121D7"/>
    <w:rsid w:val="00512642"/>
    <w:rsid w:val="00512A59"/>
    <w:rsid w:val="00512C33"/>
    <w:rsid w:val="00513DC6"/>
    <w:rsid w:val="00513DEE"/>
    <w:rsid w:val="0051576B"/>
    <w:rsid w:val="00516532"/>
    <w:rsid w:val="005179BF"/>
    <w:rsid w:val="005211AF"/>
    <w:rsid w:val="005211CF"/>
    <w:rsid w:val="0052137F"/>
    <w:rsid w:val="00521B5F"/>
    <w:rsid w:val="00522D15"/>
    <w:rsid w:val="00523BB2"/>
    <w:rsid w:val="0052434A"/>
    <w:rsid w:val="0052436F"/>
    <w:rsid w:val="00524F4B"/>
    <w:rsid w:val="005250C0"/>
    <w:rsid w:val="00525BDE"/>
    <w:rsid w:val="00525D4B"/>
    <w:rsid w:val="00525DAC"/>
    <w:rsid w:val="00525E9D"/>
    <w:rsid w:val="005260BE"/>
    <w:rsid w:val="0053072E"/>
    <w:rsid w:val="00530ACF"/>
    <w:rsid w:val="00530C05"/>
    <w:rsid w:val="00531F39"/>
    <w:rsid w:val="00531FBA"/>
    <w:rsid w:val="00532171"/>
    <w:rsid w:val="005326F7"/>
    <w:rsid w:val="00533495"/>
    <w:rsid w:val="00533998"/>
    <w:rsid w:val="00533F15"/>
    <w:rsid w:val="005342E5"/>
    <w:rsid w:val="005345A0"/>
    <w:rsid w:val="005353B7"/>
    <w:rsid w:val="005359C3"/>
    <w:rsid w:val="005362D4"/>
    <w:rsid w:val="005363B7"/>
    <w:rsid w:val="00536BC2"/>
    <w:rsid w:val="005376E7"/>
    <w:rsid w:val="005376EA"/>
    <w:rsid w:val="00537DF6"/>
    <w:rsid w:val="00537F4B"/>
    <w:rsid w:val="005413F0"/>
    <w:rsid w:val="00541DD6"/>
    <w:rsid w:val="0054233B"/>
    <w:rsid w:val="005425E1"/>
    <w:rsid w:val="005427C5"/>
    <w:rsid w:val="00542CF6"/>
    <w:rsid w:val="005439F7"/>
    <w:rsid w:val="00543F22"/>
    <w:rsid w:val="00544052"/>
    <w:rsid w:val="00544205"/>
    <w:rsid w:val="005453E7"/>
    <w:rsid w:val="005458F5"/>
    <w:rsid w:val="00545957"/>
    <w:rsid w:val="00545FD0"/>
    <w:rsid w:val="005460BC"/>
    <w:rsid w:val="0054712B"/>
    <w:rsid w:val="00547EE3"/>
    <w:rsid w:val="00550232"/>
    <w:rsid w:val="0055041B"/>
    <w:rsid w:val="00550598"/>
    <w:rsid w:val="00550A4B"/>
    <w:rsid w:val="00551923"/>
    <w:rsid w:val="0055266A"/>
    <w:rsid w:val="00552BF3"/>
    <w:rsid w:val="00553008"/>
    <w:rsid w:val="0055322C"/>
    <w:rsid w:val="00553344"/>
    <w:rsid w:val="00553662"/>
    <w:rsid w:val="005536E5"/>
    <w:rsid w:val="00553C03"/>
    <w:rsid w:val="00554354"/>
    <w:rsid w:val="005546A2"/>
    <w:rsid w:val="00554E50"/>
    <w:rsid w:val="00555646"/>
    <w:rsid w:val="005556F4"/>
    <w:rsid w:val="00557515"/>
    <w:rsid w:val="005578C1"/>
    <w:rsid w:val="0056092B"/>
    <w:rsid w:val="005618DF"/>
    <w:rsid w:val="00561B82"/>
    <w:rsid w:val="00562928"/>
    <w:rsid w:val="00562AF9"/>
    <w:rsid w:val="00562C88"/>
    <w:rsid w:val="00562E7E"/>
    <w:rsid w:val="00563418"/>
    <w:rsid w:val="00563692"/>
    <w:rsid w:val="0056395A"/>
    <w:rsid w:val="00563D70"/>
    <w:rsid w:val="00564C29"/>
    <w:rsid w:val="00565133"/>
    <w:rsid w:val="00565323"/>
    <w:rsid w:val="005653A3"/>
    <w:rsid w:val="00565420"/>
    <w:rsid w:val="0056544B"/>
    <w:rsid w:val="005659D1"/>
    <w:rsid w:val="00565D90"/>
    <w:rsid w:val="005663C5"/>
    <w:rsid w:val="005707B5"/>
    <w:rsid w:val="005708AE"/>
    <w:rsid w:val="00570A8A"/>
    <w:rsid w:val="00570BDD"/>
    <w:rsid w:val="00571116"/>
    <w:rsid w:val="00571679"/>
    <w:rsid w:val="00571A94"/>
    <w:rsid w:val="00572BD8"/>
    <w:rsid w:val="00574253"/>
    <w:rsid w:val="00575782"/>
    <w:rsid w:val="00575AE0"/>
    <w:rsid w:val="0057604F"/>
    <w:rsid w:val="0057729D"/>
    <w:rsid w:val="00577413"/>
    <w:rsid w:val="00577F5F"/>
    <w:rsid w:val="00580AC7"/>
    <w:rsid w:val="0058126F"/>
    <w:rsid w:val="0058133A"/>
    <w:rsid w:val="00581DB5"/>
    <w:rsid w:val="00581EA1"/>
    <w:rsid w:val="00582115"/>
    <w:rsid w:val="0058280C"/>
    <w:rsid w:val="00582F4B"/>
    <w:rsid w:val="00584000"/>
    <w:rsid w:val="005844E7"/>
    <w:rsid w:val="0058466E"/>
    <w:rsid w:val="00584BB4"/>
    <w:rsid w:val="0058552E"/>
    <w:rsid w:val="00585A24"/>
    <w:rsid w:val="00585A25"/>
    <w:rsid w:val="0058618E"/>
    <w:rsid w:val="005862F2"/>
    <w:rsid w:val="00586500"/>
    <w:rsid w:val="00586930"/>
    <w:rsid w:val="00586A18"/>
    <w:rsid w:val="00587212"/>
    <w:rsid w:val="00587D69"/>
    <w:rsid w:val="00587DFD"/>
    <w:rsid w:val="00587FAD"/>
    <w:rsid w:val="005908B8"/>
    <w:rsid w:val="00590AE4"/>
    <w:rsid w:val="00591F62"/>
    <w:rsid w:val="00591FFF"/>
    <w:rsid w:val="005926EF"/>
    <w:rsid w:val="00592FD7"/>
    <w:rsid w:val="005931D1"/>
    <w:rsid w:val="0059353E"/>
    <w:rsid w:val="005938B5"/>
    <w:rsid w:val="005946FF"/>
    <w:rsid w:val="0059512E"/>
    <w:rsid w:val="005963D2"/>
    <w:rsid w:val="00596CCC"/>
    <w:rsid w:val="00596F03"/>
    <w:rsid w:val="00597362"/>
    <w:rsid w:val="00597425"/>
    <w:rsid w:val="0059763D"/>
    <w:rsid w:val="00597768"/>
    <w:rsid w:val="005A1031"/>
    <w:rsid w:val="005A1311"/>
    <w:rsid w:val="005A1519"/>
    <w:rsid w:val="005A1737"/>
    <w:rsid w:val="005A1F0C"/>
    <w:rsid w:val="005A1FF3"/>
    <w:rsid w:val="005A21C2"/>
    <w:rsid w:val="005A2B99"/>
    <w:rsid w:val="005A2F70"/>
    <w:rsid w:val="005A3CFF"/>
    <w:rsid w:val="005A4404"/>
    <w:rsid w:val="005A4539"/>
    <w:rsid w:val="005A4C09"/>
    <w:rsid w:val="005A51C5"/>
    <w:rsid w:val="005A67B6"/>
    <w:rsid w:val="005A6AD3"/>
    <w:rsid w:val="005A6C08"/>
    <w:rsid w:val="005A6DD2"/>
    <w:rsid w:val="005A707B"/>
    <w:rsid w:val="005A7C07"/>
    <w:rsid w:val="005B08F9"/>
    <w:rsid w:val="005B0BEF"/>
    <w:rsid w:val="005B0CA0"/>
    <w:rsid w:val="005B0DBC"/>
    <w:rsid w:val="005B31AC"/>
    <w:rsid w:val="005B349D"/>
    <w:rsid w:val="005B351B"/>
    <w:rsid w:val="005B35E2"/>
    <w:rsid w:val="005B3FC9"/>
    <w:rsid w:val="005B4BB6"/>
    <w:rsid w:val="005B5068"/>
    <w:rsid w:val="005B514D"/>
    <w:rsid w:val="005B567A"/>
    <w:rsid w:val="005B57FD"/>
    <w:rsid w:val="005B5B3E"/>
    <w:rsid w:val="005B5E4B"/>
    <w:rsid w:val="005B5E83"/>
    <w:rsid w:val="005B6665"/>
    <w:rsid w:val="005B6A86"/>
    <w:rsid w:val="005B6CD1"/>
    <w:rsid w:val="005B752C"/>
    <w:rsid w:val="005B7557"/>
    <w:rsid w:val="005B79A2"/>
    <w:rsid w:val="005B7A6D"/>
    <w:rsid w:val="005B7B9D"/>
    <w:rsid w:val="005C20A5"/>
    <w:rsid w:val="005C2DC3"/>
    <w:rsid w:val="005C314A"/>
    <w:rsid w:val="005C356C"/>
    <w:rsid w:val="005C385D"/>
    <w:rsid w:val="005C3F4E"/>
    <w:rsid w:val="005C44FC"/>
    <w:rsid w:val="005C4829"/>
    <w:rsid w:val="005C560C"/>
    <w:rsid w:val="005C607D"/>
    <w:rsid w:val="005C65CF"/>
    <w:rsid w:val="005C69BF"/>
    <w:rsid w:val="005C6C51"/>
    <w:rsid w:val="005C6F88"/>
    <w:rsid w:val="005C71FD"/>
    <w:rsid w:val="005C7432"/>
    <w:rsid w:val="005C7782"/>
    <w:rsid w:val="005D009C"/>
    <w:rsid w:val="005D025B"/>
    <w:rsid w:val="005D0523"/>
    <w:rsid w:val="005D08F6"/>
    <w:rsid w:val="005D0D06"/>
    <w:rsid w:val="005D1379"/>
    <w:rsid w:val="005D1514"/>
    <w:rsid w:val="005D3B20"/>
    <w:rsid w:val="005D48DA"/>
    <w:rsid w:val="005D4BA3"/>
    <w:rsid w:val="005D528C"/>
    <w:rsid w:val="005D53F9"/>
    <w:rsid w:val="005D5860"/>
    <w:rsid w:val="005D5ABD"/>
    <w:rsid w:val="005D643F"/>
    <w:rsid w:val="005D6C19"/>
    <w:rsid w:val="005D739C"/>
    <w:rsid w:val="005E08D7"/>
    <w:rsid w:val="005E09C2"/>
    <w:rsid w:val="005E1820"/>
    <w:rsid w:val="005E1F3C"/>
    <w:rsid w:val="005E30E2"/>
    <w:rsid w:val="005E3415"/>
    <w:rsid w:val="005E4258"/>
    <w:rsid w:val="005E4359"/>
    <w:rsid w:val="005E4759"/>
    <w:rsid w:val="005E4F06"/>
    <w:rsid w:val="005E55D0"/>
    <w:rsid w:val="005E5C68"/>
    <w:rsid w:val="005E6401"/>
    <w:rsid w:val="005E65C0"/>
    <w:rsid w:val="005E70CD"/>
    <w:rsid w:val="005E7A44"/>
    <w:rsid w:val="005E7DD3"/>
    <w:rsid w:val="005E7F58"/>
    <w:rsid w:val="005F0390"/>
    <w:rsid w:val="005F03C1"/>
    <w:rsid w:val="005F09AD"/>
    <w:rsid w:val="005F1AF4"/>
    <w:rsid w:val="005F2C9E"/>
    <w:rsid w:val="005F2F9D"/>
    <w:rsid w:val="005F31EA"/>
    <w:rsid w:val="005F3828"/>
    <w:rsid w:val="005F3AD7"/>
    <w:rsid w:val="005F3D5A"/>
    <w:rsid w:val="005F43AA"/>
    <w:rsid w:val="005F465C"/>
    <w:rsid w:val="005F4772"/>
    <w:rsid w:val="005F4E1B"/>
    <w:rsid w:val="005F53A7"/>
    <w:rsid w:val="005F5685"/>
    <w:rsid w:val="005F605C"/>
    <w:rsid w:val="005F68AA"/>
    <w:rsid w:val="005F68D8"/>
    <w:rsid w:val="005F717D"/>
    <w:rsid w:val="005F7598"/>
    <w:rsid w:val="00601098"/>
    <w:rsid w:val="00601713"/>
    <w:rsid w:val="00601873"/>
    <w:rsid w:val="00601D7E"/>
    <w:rsid w:val="00602668"/>
    <w:rsid w:val="00602D1D"/>
    <w:rsid w:val="00602E23"/>
    <w:rsid w:val="00603232"/>
    <w:rsid w:val="00603322"/>
    <w:rsid w:val="0060362F"/>
    <w:rsid w:val="0060379C"/>
    <w:rsid w:val="00603B0D"/>
    <w:rsid w:val="00603D76"/>
    <w:rsid w:val="006045F0"/>
    <w:rsid w:val="006049C3"/>
    <w:rsid w:val="0060551A"/>
    <w:rsid w:val="00605DEA"/>
    <w:rsid w:val="006065B4"/>
    <w:rsid w:val="00606841"/>
    <w:rsid w:val="00606B55"/>
    <w:rsid w:val="006070F8"/>
    <w:rsid w:val="006072CD"/>
    <w:rsid w:val="00607BB6"/>
    <w:rsid w:val="00607D0E"/>
    <w:rsid w:val="00610E01"/>
    <w:rsid w:val="00610E1D"/>
    <w:rsid w:val="00611492"/>
    <w:rsid w:val="00612023"/>
    <w:rsid w:val="00612435"/>
    <w:rsid w:val="00612CDE"/>
    <w:rsid w:val="006130BA"/>
    <w:rsid w:val="00613FFE"/>
    <w:rsid w:val="00614190"/>
    <w:rsid w:val="00614220"/>
    <w:rsid w:val="00614A2A"/>
    <w:rsid w:val="00614A37"/>
    <w:rsid w:val="00614FF6"/>
    <w:rsid w:val="00615669"/>
    <w:rsid w:val="0061587A"/>
    <w:rsid w:val="00615B3B"/>
    <w:rsid w:val="00615F45"/>
    <w:rsid w:val="0061670D"/>
    <w:rsid w:val="00616817"/>
    <w:rsid w:val="00617451"/>
    <w:rsid w:val="0062031C"/>
    <w:rsid w:val="006217E9"/>
    <w:rsid w:val="00621981"/>
    <w:rsid w:val="00621D5C"/>
    <w:rsid w:val="00622A99"/>
    <w:rsid w:val="00622ACF"/>
    <w:rsid w:val="00622DB3"/>
    <w:rsid w:val="00622E67"/>
    <w:rsid w:val="00625D4A"/>
    <w:rsid w:val="00626EDC"/>
    <w:rsid w:val="006304CD"/>
    <w:rsid w:val="0063179D"/>
    <w:rsid w:val="0063254A"/>
    <w:rsid w:val="00633109"/>
    <w:rsid w:val="00633294"/>
    <w:rsid w:val="00633363"/>
    <w:rsid w:val="00633CC9"/>
    <w:rsid w:val="00634A30"/>
    <w:rsid w:val="0063505D"/>
    <w:rsid w:val="00635F5E"/>
    <w:rsid w:val="006361FF"/>
    <w:rsid w:val="006366E2"/>
    <w:rsid w:val="00636C2F"/>
    <w:rsid w:val="00637062"/>
    <w:rsid w:val="006371A1"/>
    <w:rsid w:val="00640962"/>
    <w:rsid w:val="00640C62"/>
    <w:rsid w:val="0064224E"/>
    <w:rsid w:val="0064250F"/>
    <w:rsid w:val="0064251D"/>
    <w:rsid w:val="00643304"/>
    <w:rsid w:val="0064332D"/>
    <w:rsid w:val="00643354"/>
    <w:rsid w:val="0064373D"/>
    <w:rsid w:val="006443CD"/>
    <w:rsid w:val="0064484C"/>
    <w:rsid w:val="00644C51"/>
    <w:rsid w:val="00645472"/>
    <w:rsid w:val="006458E4"/>
    <w:rsid w:val="00645DE7"/>
    <w:rsid w:val="00645F62"/>
    <w:rsid w:val="006463F5"/>
    <w:rsid w:val="006470EC"/>
    <w:rsid w:val="00647A24"/>
    <w:rsid w:val="00647C61"/>
    <w:rsid w:val="0065015F"/>
    <w:rsid w:val="0065105F"/>
    <w:rsid w:val="00651F80"/>
    <w:rsid w:val="006527C6"/>
    <w:rsid w:val="00653A68"/>
    <w:rsid w:val="00654018"/>
    <w:rsid w:val="006542D6"/>
    <w:rsid w:val="006544BB"/>
    <w:rsid w:val="006548F2"/>
    <w:rsid w:val="00654ACC"/>
    <w:rsid w:val="00654E85"/>
    <w:rsid w:val="0065598E"/>
    <w:rsid w:val="00655AF2"/>
    <w:rsid w:val="00655BC5"/>
    <w:rsid w:val="00655C43"/>
    <w:rsid w:val="00656643"/>
    <w:rsid w:val="006568BE"/>
    <w:rsid w:val="006569DF"/>
    <w:rsid w:val="0066025D"/>
    <w:rsid w:val="00660621"/>
    <w:rsid w:val="006606F9"/>
    <w:rsid w:val="0066091A"/>
    <w:rsid w:val="00661DCA"/>
    <w:rsid w:val="00661E61"/>
    <w:rsid w:val="006622E4"/>
    <w:rsid w:val="00662AC9"/>
    <w:rsid w:val="00663198"/>
    <w:rsid w:val="0066331A"/>
    <w:rsid w:val="00663CF1"/>
    <w:rsid w:val="006641CD"/>
    <w:rsid w:val="0066493E"/>
    <w:rsid w:val="006649E7"/>
    <w:rsid w:val="00664A05"/>
    <w:rsid w:val="0066543B"/>
    <w:rsid w:val="00665793"/>
    <w:rsid w:val="00665F86"/>
    <w:rsid w:val="00667335"/>
    <w:rsid w:val="00667712"/>
    <w:rsid w:val="00667AA0"/>
    <w:rsid w:val="00667F05"/>
    <w:rsid w:val="00670348"/>
    <w:rsid w:val="0067099C"/>
    <w:rsid w:val="00670B7B"/>
    <w:rsid w:val="006714A4"/>
    <w:rsid w:val="00671A28"/>
    <w:rsid w:val="00672154"/>
    <w:rsid w:val="00672379"/>
    <w:rsid w:val="00673067"/>
    <w:rsid w:val="00673391"/>
    <w:rsid w:val="006737BA"/>
    <w:rsid w:val="00673CE9"/>
    <w:rsid w:val="0067417F"/>
    <w:rsid w:val="0067419C"/>
    <w:rsid w:val="00674348"/>
    <w:rsid w:val="006745F0"/>
    <w:rsid w:val="0067499F"/>
    <w:rsid w:val="00674D67"/>
    <w:rsid w:val="00674E89"/>
    <w:rsid w:val="00675179"/>
    <w:rsid w:val="00675610"/>
    <w:rsid w:val="0067587B"/>
    <w:rsid w:val="00675F9C"/>
    <w:rsid w:val="0067603A"/>
    <w:rsid w:val="006767C4"/>
    <w:rsid w:val="00676B90"/>
    <w:rsid w:val="006773EC"/>
    <w:rsid w:val="00677426"/>
    <w:rsid w:val="00677D4C"/>
    <w:rsid w:val="00680504"/>
    <w:rsid w:val="00680978"/>
    <w:rsid w:val="00681CD9"/>
    <w:rsid w:val="00682296"/>
    <w:rsid w:val="00682D87"/>
    <w:rsid w:val="00683AF0"/>
    <w:rsid w:val="00683E30"/>
    <w:rsid w:val="00683FAC"/>
    <w:rsid w:val="00684060"/>
    <w:rsid w:val="0068432C"/>
    <w:rsid w:val="006854F4"/>
    <w:rsid w:val="0068568B"/>
    <w:rsid w:val="00685F9E"/>
    <w:rsid w:val="0068657D"/>
    <w:rsid w:val="00687024"/>
    <w:rsid w:val="00687CC2"/>
    <w:rsid w:val="00690B57"/>
    <w:rsid w:val="00690C6B"/>
    <w:rsid w:val="00690DF0"/>
    <w:rsid w:val="006914F9"/>
    <w:rsid w:val="00693743"/>
    <w:rsid w:val="006938DD"/>
    <w:rsid w:val="00693E41"/>
    <w:rsid w:val="00694355"/>
    <w:rsid w:val="006944F0"/>
    <w:rsid w:val="006949A9"/>
    <w:rsid w:val="00694A5D"/>
    <w:rsid w:val="00694ADC"/>
    <w:rsid w:val="00694FD4"/>
    <w:rsid w:val="00694FD8"/>
    <w:rsid w:val="00695059"/>
    <w:rsid w:val="0069587A"/>
    <w:rsid w:val="00695A8B"/>
    <w:rsid w:val="00695C09"/>
    <w:rsid w:val="00695E22"/>
    <w:rsid w:val="00695E29"/>
    <w:rsid w:val="00696EB8"/>
    <w:rsid w:val="00697152"/>
    <w:rsid w:val="00697B03"/>
    <w:rsid w:val="006A153C"/>
    <w:rsid w:val="006A1E41"/>
    <w:rsid w:val="006A33DA"/>
    <w:rsid w:val="006A4155"/>
    <w:rsid w:val="006A45D2"/>
    <w:rsid w:val="006A4925"/>
    <w:rsid w:val="006A49CA"/>
    <w:rsid w:val="006A4BF3"/>
    <w:rsid w:val="006A4DAE"/>
    <w:rsid w:val="006A4EC5"/>
    <w:rsid w:val="006A541F"/>
    <w:rsid w:val="006A5CDB"/>
    <w:rsid w:val="006A5DD8"/>
    <w:rsid w:val="006A68DE"/>
    <w:rsid w:val="006A6C10"/>
    <w:rsid w:val="006A73D8"/>
    <w:rsid w:val="006A7428"/>
    <w:rsid w:val="006A7B5E"/>
    <w:rsid w:val="006B1CAA"/>
    <w:rsid w:val="006B25AC"/>
    <w:rsid w:val="006B2C28"/>
    <w:rsid w:val="006B3380"/>
    <w:rsid w:val="006B367B"/>
    <w:rsid w:val="006B3D8C"/>
    <w:rsid w:val="006B414D"/>
    <w:rsid w:val="006B4737"/>
    <w:rsid w:val="006B4F3E"/>
    <w:rsid w:val="006B5136"/>
    <w:rsid w:val="006B560F"/>
    <w:rsid w:val="006B6134"/>
    <w:rsid w:val="006B6485"/>
    <w:rsid w:val="006B6BE4"/>
    <w:rsid w:val="006B7093"/>
    <w:rsid w:val="006B7417"/>
    <w:rsid w:val="006C0CA0"/>
    <w:rsid w:val="006C2435"/>
    <w:rsid w:val="006C33A3"/>
    <w:rsid w:val="006C3606"/>
    <w:rsid w:val="006C42E3"/>
    <w:rsid w:val="006C4562"/>
    <w:rsid w:val="006C4734"/>
    <w:rsid w:val="006C4811"/>
    <w:rsid w:val="006C4C99"/>
    <w:rsid w:val="006C55F1"/>
    <w:rsid w:val="006C5DA6"/>
    <w:rsid w:val="006C6315"/>
    <w:rsid w:val="006C6546"/>
    <w:rsid w:val="006D0FEC"/>
    <w:rsid w:val="006D1215"/>
    <w:rsid w:val="006D15A5"/>
    <w:rsid w:val="006D1E49"/>
    <w:rsid w:val="006D297F"/>
    <w:rsid w:val="006D2B59"/>
    <w:rsid w:val="006D2B72"/>
    <w:rsid w:val="006D2F46"/>
    <w:rsid w:val="006D313E"/>
    <w:rsid w:val="006D3691"/>
    <w:rsid w:val="006D3ABF"/>
    <w:rsid w:val="006D3DD0"/>
    <w:rsid w:val="006D45DE"/>
    <w:rsid w:val="006D4964"/>
    <w:rsid w:val="006D6C1A"/>
    <w:rsid w:val="006D6D50"/>
    <w:rsid w:val="006D7A81"/>
    <w:rsid w:val="006D7B45"/>
    <w:rsid w:val="006D7FB4"/>
    <w:rsid w:val="006E0594"/>
    <w:rsid w:val="006E059F"/>
    <w:rsid w:val="006E0E8B"/>
    <w:rsid w:val="006E1A16"/>
    <w:rsid w:val="006E1A93"/>
    <w:rsid w:val="006E20CA"/>
    <w:rsid w:val="006E2D35"/>
    <w:rsid w:val="006E3C83"/>
    <w:rsid w:val="006E4570"/>
    <w:rsid w:val="006E4B53"/>
    <w:rsid w:val="006E51BC"/>
    <w:rsid w:val="006E5298"/>
    <w:rsid w:val="006E5413"/>
    <w:rsid w:val="006E5A39"/>
    <w:rsid w:val="006E5A65"/>
    <w:rsid w:val="006E5D0C"/>
    <w:rsid w:val="006E5EF0"/>
    <w:rsid w:val="006E6340"/>
    <w:rsid w:val="006F022D"/>
    <w:rsid w:val="006F035C"/>
    <w:rsid w:val="006F3464"/>
    <w:rsid w:val="006F3491"/>
    <w:rsid w:val="006F3563"/>
    <w:rsid w:val="006F37B5"/>
    <w:rsid w:val="006F42B9"/>
    <w:rsid w:val="006F4367"/>
    <w:rsid w:val="006F444B"/>
    <w:rsid w:val="006F4B4D"/>
    <w:rsid w:val="006F5550"/>
    <w:rsid w:val="006F564D"/>
    <w:rsid w:val="006F6103"/>
    <w:rsid w:val="006F6348"/>
    <w:rsid w:val="006F66AE"/>
    <w:rsid w:val="006F6B6B"/>
    <w:rsid w:val="006F70C8"/>
    <w:rsid w:val="00700695"/>
    <w:rsid w:val="007007B3"/>
    <w:rsid w:val="0070091B"/>
    <w:rsid w:val="00700D35"/>
    <w:rsid w:val="00700F1A"/>
    <w:rsid w:val="00701185"/>
    <w:rsid w:val="00701229"/>
    <w:rsid w:val="007027C6"/>
    <w:rsid w:val="0070332D"/>
    <w:rsid w:val="00703F89"/>
    <w:rsid w:val="00704E00"/>
    <w:rsid w:val="007059C3"/>
    <w:rsid w:val="00705D93"/>
    <w:rsid w:val="00706395"/>
    <w:rsid w:val="00706880"/>
    <w:rsid w:val="007069EE"/>
    <w:rsid w:val="0070732C"/>
    <w:rsid w:val="007077CF"/>
    <w:rsid w:val="00710447"/>
    <w:rsid w:val="0071049D"/>
    <w:rsid w:val="007113CB"/>
    <w:rsid w:val="007115BB"/>
    <w:rsid w:val="00711923"/>
    <w:rsid w:val="00711E16"/>
    <w:rsid w:val="00711E30"/>
    <w:rsid w:val="0071208A"/>
    <w:rsid w:val="007127EC"/>
    <w:rsid w:val="00712806"/>
    <w:rsid w:val="00712C23"/>
    <w:rsid w:val="00713EE6"/>
    <w:rsid w:val="007140DB"/>
    <w:rsid w:val="007144FD"/>
    <w:rsid w:val="00714C95"/>
    <w:rsid w:val="00714F55"/>
    <w:rsid w:val="00716A94"/>
    <w:rsid w:val="00717E7C"/>
    <w:rsid w:val="00720543"/>
    <w:rsid w:val="007209E7"/>
    <w:rsid w:val="00720B44"/>
    <w:rsid w:val="00720EF6"/>
    <w:rsid w:val="00721C5C"/>
    <w:rsid w:val="00721CE7"/>
    <w:rsid w:val="00722365"/>
    <w:rsid w:val="007225D0"/>
    <w:rsid w:val="00722B39"/>
    <w:rsid w:val="007243CF"/>
    <w:rsid w:val="00724608"/>
    <w:rsid w:val="00724CA8"/>
    <w:rsid w:val="00725250"/>
    <w:rsid w:val="00725E09"/>
    <w:rsid w:val="00725E21"/>
    <w:rsid w:val="00726012"/>
    <w:rsid w:val="00726182"/>
    <w:rsid w:val="007264D4"/>
    <w:rsid w:val="00726635"/>
    <w:rsid w:val="00726B81"/>
    <w:rsid w:val="00726E7E"/>
    <w:rsid w:val="007270F8"/>
    <w:rsid w:val="00727174"/>
    <w:rsid w:val="00727237"/>
    <w:rsid w:val="00727635"/>
    <w:rsid w:val="00730598"/>
    <w:rsid w:val="00730BB4"/>
    <w:rsid w:val="00730FDF"/>
    <w:rsid w:val="007312BF"/>
    <w:rsid w:val="00731EE9"/>
    <w:rsid w:val="00732329"/>
    <w:rsid w:val="007328E9"/>
    <w:rsid w:val="00732C06"/>
    <w:rsid w:val="00732E92"/>
    <w:rsid w:val="00733102"/>
    <w:rsid w:val="00733431"/>
    <w:rsid w:val="007337CA"/>
    <w:rsid w:val="00734CE4"/>
    <w:rsid w:val="00735123"/>
    <w:rsid w:val="00735773"/>
    <w:rsid w:val="00735A80"/>
    <w:rsid w:val="0074087B"/>
    <w:rsid w:val="00741050"/>
    <w:rsid w:val="00741199"/>
    <w:rsid w:val="00741837"/>
    <w:rsid w:val="0074298E"/>
    <w:rsid w:val="00743107"/>
    <w:rsid w:val="007432FF"/>
    <w:rsid w:val="007437AB"/>
    <w:rsid w:val="007453E6"/>
    <w:rsid w:val="00745AA6"/>
    <w:rsid w:val="00746420"/>
    <w:rsid w:val="00746549"/>
    <w:rsid w:val="0074669C"/>
    <w:rsid w:val="00747050"/>
    <w:rsid w:val="007472AF"/>
    <w:rsid w:val="00747B01"/>
    <w:rsid w:val="00750BF0"/>
    <w:rsid w:val="00751846"/>
    <w:rsid w:val="007526D2"/>
    <w:rsid w:val="0075285F"/>
    <w:rsid w:val="007535C1"/>
    <w:rsid w:val="00754130"/>
    <w:rsid w:val="00754227"/>
    <w:rsid w:val="00754446"/>
    <w:rsid w:val="00754E9D"/>
    <w:rsid w:val="007554F5"/>
    <w:rsid w:val="007555B4"/>
    <w:rsid w:val="0075634C"/>
    <w:rsid w:val="00756B7F"/>
    <w:rsid w:val="00757ADD"/>
    <w:rsid w:val="00757F46"/>
    <w:rsid w:val="007601A4"/>
    <w:rsid w:val="0076070E"/>
    <w:rsid w:val="00761897"/>
    <w:rsid w:val="007619CD"/>
    <w:rsid w:val="00761AA3"/>
    <w:rsid w:val="00762286"/>
    <w:rsid w:val="00762339"/>
    <w:rsid w:val="007627F7"/>
    <w:rsid w:val="00763363"/>
    <w:rsid w:val="00763779"/>
    <w:rsid w:val="00764850"/>
    <w:rsid w:val="0076519C"/>
    <w:rsid w:val="0076597C"/>
    <w:rsid w:val="00765B67"/>
    <w:rsid w:val="007661BB"/>
    <w:rsid w:val="00766A65"/>
    <w:rsid w:val="007670DF"/>
    <w:rsid w:val="0076749F"/>
    <w:rsid w:val="00767786"/>
    <w:rsid w:val="007678C0"/>
    <w:rsid w:val="007703A8"/>
    <w:rsid w:val="00770BE1"/>
    <w:rsid w:val="00770E0E"/>
    <w:rsid w:val="007711BD"/>
    <w:rsid w:val="00771581"/>
    <w:rsid w:val="00771661"/>
    <w:rsid w:val="0077309D"/>
    <w:rsid w:val="007735B5"/>
    <w:rsid w:val="00773807"/>
    <w:rsid w:val="00774237"/>
    <w:rsid w:val="00774718"/>
    <w:rsid w:val="007747BB"/>
    <w:rsid w:val="00774821"/>
    <w:rsid w:val="00774B33"/>
    <w:rsid w:val="00775050"/>
    <w:rsid w:val="00775891"/>
    <w:rsid w:val="00775E10"/>
    <w:rsid w:val="007774EE"/>
    <w:rsid w:val="00777986"/>
    <w:rsid w:val="00780076"/>
    <w:rsid w:val="007805E8"/>
    <w:rsid w:val="00781822"/>
    <w:rsid w:val="00781BDD"/>
    <w:rsid w:val="00781C84"/>
    <w:rsid w:val="00781D99"/>
    <w:rsid w:val="00781F65"/>
    <w:rsid w:val="00782A67"/>
    <w:rsid w:val="00782CE3"/>
    <w:rsid w:val="00782E24"/>
    <w:rsid w:val="0078356B"/>
    <w:rsid w:val="00783F21"/>
    <w:rsid w:val="00784973"/>
    <w:rsid w:val="0078511C"/>
    <w:rsid w:val="007858CF"/>
    <w:rsid w:val="00785A24"/>
    <w:rsid w:val="00786083"/>
    <w:rsid w:val="00787159"/>
    <w:rsid w:val="007876CF"/>
    <w:rsid w:val="0079028A"/>
    <w:rsid w:val="0079043A"/>
    <w:rsid w:val="007913EF"/>
    <w:rsid w:val="00791668"/>
    <w:rsid w:val="00791772"/>
    <w:rsid w:val="00791924"/>
    <w:rsid w:val="00791A1D"/>
    <w:rsid w:val="00791AA1"/>
    <w:rsid w:val="00791E28"/>
    <w:rsid w:val="007925DD"/>
    <w:rsid w:val="00792776"/>
    <w:rsid w:val="0079288B"/>
    <w:rsid w:val="00792953"/>
    <w:rsid w:val="00792CA4"/>
    <w:rsid w:val="00793889"/>
    <w:rsid w:val="007939E5"/>
    <w:rsid w:val="00794FCA"/>
    <w:rsid w:val="007953AD"/>
    <w:rsid w:val="00795B45"/>
    <w:rsid w:val="0079638A"/>
    <w:rsid w:val="00796AD6"/>
    <w:rsid w:val="00796D7E"/>
    <w:rsid w:val="00797630"/>
    <w:rsid w:val="00797DEE"/>
    <w:rsid w:val="007A0052"/>
    <w:rsid w:val="007A0283"/>
    <w:rsid w:val="007A0328"/>
    <w:rsid w:val="007A0364"/>
    <w:rsid w:val="007A07D4"/>
    <w:rsid w:val="007A08A5"/>
    <w:rsid w:val="007A1F55"/>
    <w:rsid w:val="007A25C5"/>
    <w:rsid w:val="007A25C8"/>
    <w:rsid w:val="007A2DD3"/>
    <w:rsid w:val="007A3793"/>
    <w:rsid w:val="007A3865"/>
    <w:rsid w:val="007A3E75"/>
    <w:rsid w:val="007A427E"/>
    <w:rsid w:val="007A4598"/>
    <w:rsid w:val="007A4899"/>
    <w:rsid w:val="007A4B98"/>
    <w:rsid w:val="007A54F0"/>
    <w:rsid w:val="007A55F0"/>
    <w:rsid w:val="007A56BD"/>
    <w:rsid w:val="007A584D"/>
    <w:rsid w:val="007A5916"/>
    <w:rsid w:val="007A7567"/>
    <w:rsid w:val="007A788A"/>
    <w:rsid w:val="007B07FA"/>
    <w:rsid w:val="007B0CFE"/>
    <w:rsid w:val="007B103C"/>
    <w:rsid w:val="007B1B02"/>
    <w:rsid w:val="007B3563"/>
    <w:rsid w:val="007B4311"/>
    <w:rsid w:val="007B449B"/>
    <w:rsid w:val="007B51F1"/>
    <w:rsid w:val="007B5C9D"/>
    <w:rsid w:val="007B5EA3"/>
    <w:rsid w:val="007B6E5E"/>
    <w:rsid w:val="007B727B"/>
    <w:rsid w:val="007C02D4"/>
    <w:rsid w:val="007C052D"/>
    <w:rsid w:val="007C0CCB"/>
    <w:rsid w:val="007C12A5"/>
    <w:rsid w:val="007C1A2B"/>
    <w:rsid w:val="007C1BA2"/>
    <w:rsid w:val="007C1EC7"/>
    <w:rsid w:val="007C2A6B"/>
    <w:rsid w:val="007C2B48"/>
    <w:rsid w:val="007C302E"/>
    <w:rsid w:val="007C31A8"/>
    <w:rsid w:val="007C32B1"/>
    <w:rsid w:val="007C4FFC"/>
    <w:rsid w:val="007C5159"/>
    <w:rsid w:val="007C5460"/>
    <w:rsid w:val="007C57F5"/>
    <w:rsid w:val="007C62EA"/>
    <w:rsid w:val="007C6441"/>
    <w:rsid w:val="007C735B"/>
    <w:rsid w:val="007D13D8"/>
    <w:rsid w:val="007D1A10"/>
    <w:rsid w:val="007D1A65"/>
    <w:rsid w:val="007D1B9A"/>
    <w:rsid w:val="007D1ED2"/>
    <w:rsid w:val="007D20E9"/>
    <w:rsid w:val="007D312C"/>
    <w:rsid w:val="007D4325"/>
    <w:rsid w:val="007D562B"/>
    <w:rsid w:val="007D5D19"/>
    <w:rsid w:val="007D5E9E"/>
    <w:rsid w:val="007D6607"/>
    <w:rsid w:val="007D672E"/>
    <w:rsid w:val="007D714C"/>
    <w:rsid w:val="007D7881"/>
    <w:rsid w:val="007D78B1"/>
    <w:rsid w:val="007D7E10"/>
    <w:rsid w:val="007D7E3A"/>
    <w:rsid w:val="007D7F63"/>
    <w:rsid w:val="007E0DC3"/>
    <w:rsid w:val="007E0E10"/>
    <w:rsid w:val="007E0FFE"/>
    <w:rsid w:val="007E1186"/>
    <w:rsid w:val="007E1337"/>
    <w:rsid w:val="007E138D"/>
    <w:rsid w:val="007E181C"/>
    <w:rsid w:val="007E187C"/>
    <w:rsid w:val="007E188B"/>
    <w:rsid w:val="007E1945"/>
    <w:rsid w:val="007E2ABA"/>
    <w:rsid w:val="007E2CA6"/>
    <w:rsid w:val="007E3B3E"/>
    <w:rsid w:val="007E460E"/>
    <w:rsid w:val="007E4768"/>
    <w:rsid w:val="007E537D"/>
    <w:rsid w:val="007E68F8"/>
    <w:rsid w:val="007E69BA"/>
    <w:rsid w:val="007E777B"/>
    <w:rsid w:val="007F2070"/>
    <w:rsid w:val="007F23C7"/>
    <w:rsid w:val="007F256E"/>
    <w:rsid w:val="007F2C37"/>
    <w:rsid w:val="007F38F4"/>
    <w:rsid w:val="007F402D"/>
    <w:rsid w:val="007F5232"/>
    <w:rsid w:val="007F5741"/>
    <w:rsid w:val="007F71C1"/>
    <w:rsid w:val="007F7BB0"/>
    <w:rsid w:val="007F7D6C"/>
    <w:rsid w:val="008008A9"/>
    <w:rsid w:val="00801B7A"/>
    <w:rsid w:val="00803045"/>
    <w:rsid w:val="00803616"/>
    <w:rsid w:val="008044B9"/>
    <w:rsid w:val="00804545"/>
    <w:rsid w:val="00804953"/>
    <w:rsid w:val="00804F30"/>
    <w:rsid w:val="00805159"/>
    <w:rsid w:val="008053F5"/>
    <w:rsid w:val="008053FB"/>
    <w:rsid w:val="0080570B"/>
    <w:rsid w:val="00805787"/>
    <w:rsid w:val="00805AEC"/>
    <w:rsid w:val="008061CE"/>
    <w:rsid w:val="00806370"/>
    <w:rsid w:val="008069D1"/>
    <w:rsid w:val="00806A57"/>
    <w:rsid w:val="00806B2D"/>
    <w:rsid w:val="0080735F"/>
    <w:rsid w:val="008074C1"/>
    <w:rsid w:val="0080777C"/>
    <w:rsid w:val="008077A4"/>
    <w:rsid w:val="00807AF7"/>
    <w:rsid w:val="00810198"/>
    <w:rsid w:val="00810801"/>
    <w:rsid w:val="00811C99"/>
    <w:rsid w:val="00812064"/>
    <w:rsid w:val="008123FC"/>
    <w:rsid w:val="00812591"/>
    <w:rsid w:val="0081377C"/>
    <w:rsid w:val="00813AD0"/>
    <w:rsid w:val="008142E7"/>
    <w:rsid w:val="008149C6"/>
    <w:rsid w:val="00814CCF"/>
    <w:rsid w:val="008151E6"/>
    <w:rsid w:val="0081528A"/>
    <w:rsid w:val="008159C3"/>
    <w:rsid w:val="00815A29"/>
    <w:rsid w:val="00815DA8"/>
    <w:rsid w:val="00816197"/>
    <w:rsid w:val="00816396"/>
    <w:rsid w:val="008163D8"/>
    <w:rsid w:val="00816732"/>
    <w:rsid w:val="00816853"/>
    <w:rsid w:val="00816BAB"/>
    <w:rsid w:val="008170CA"/>
    <w:rsid w:val="0081765B"/>
    <w:rsid w:val="00817737"/>
    <w:rsid w:val="00820D35"/>
    <w:rsid w:val="00821182"/>
    <w:rsid w:val="00821582"/>
    <w:rsid w:val="0082194D"/>
    <w:rsid w:val="00821B63"/>
    <w:rsid w:val="00823E56"/>
    <w:rsid w:val="008247B8"/>
    <w:rsid w:val="00824938"/>
    <w:rsid w:val="00825080"/>
    <w:rsid w:val="00825326"/>
    <w:rsid w:val="008258D9"/>
    <w:rsid w:val="00825A6E"/>
    <w:rsid w:val="00825B18"/>
    <w:rsid w:val="00825B8B"/>
    <w:rsid w:val="0082651C"/>
    <w:rsid w:val="00826CDC"/>
    <w:rsid w:val="00826EF5"/>
    <w:rsid w:val="0082707D"/>
    <w:rsid w:val="00827479"/>
    <w:rsid w:val="008308F5"/>
    <w:rsid w:val="008313F2"/>
    <w:rsid w:val="00831693"/>
    <w:rsid w:val="00831BF5"/>
    <w:rsid w:val="00831E51"/>
    <w:rsid w:val="00832DFB"/>
    <w:rsid w:val="00833A48"/>
    <w:rsid w:val="00834121"/>
    <w:rsid w:val="00834EE9"/>
    <w:rsid w:val="008352DF"/>
    <w:rsid w:val="008358A5"/>
    <w:rsid w:val="008358FF"/>
    <w:rsid w:val="008365D1"/>
    <w:rsid w:val="00836670"/>
    <w:rsid w:val="00837356"/>
    <w:rsid w:val="0083783D"/>
    <w:rsid w:val="00840104"/>
    <w:rsid w:val="008402A4"/>
    <w:rsid w:val="00840529"/>
    <w:rsid w:val="0084078F"/>
    <w:rsid w:val="00840C1F"/>
    <w:rsid w:val="00841FC5"/>
    <w:rsid w:val="008420C6"/>
    <w:rsid w:val="008422DE"/>
    <w:rsid w:val="00842BA7"/>
    <w:rsid w:val="00842E24"/>
    <w:rsid w:val="0084336D"/>
    <w:rsid w:val="00844E60"/>
    <w:rsid w:val="00845158"/>
    <w:rsid w:val="008453DB"/>
    <w:rsid w:val="00845575"/>
    <w:rsid w:val="00845709"/>
    <w:rsid w:val="00845C67"/>
    <w:rsid w:val="00850264"/>
    <w:rsid w:val="0085099C"/>
    <w:rsid w:val="00850D87"/>
    <w:rsid w:val="00851530"/>
    <w:rsid w:val="00852576"/>
    <w:rsid w:val="0085308B"/>
    <w:rsid w:val="008533E4"/>
    <w:rsid w:val="00853BA0"/>
    <w:rsid w:val="00853D17"/>
    <w:rsid w:val="00853DDE"/>
    <w:rsid w:val="00854495"/>
    <w:rsid w:val="00854AE9"/>
    <w:rsid w:val="00854AFC"/>
    <w:rsid w:val="00855D58"/>
    <w:rsid w:val="008563FB"/>
    <w:rsid w:val="008568FC"/>
    <w:rsid w:val="008576BD"/>
    <w:rsid w:val="00857740"/>
    <w:rsid w:val="00860242"/>
    <w:rsid w:val="0086043C"/>
    <w:rsid w:val="00860463"/>
    <w:rsid w:val="008605AB"/>
    <w:rsid w:val="00861301"/>
    <w:rsid w:val="008613A0"/>
    <w:rsid w:val="00861A7D"/>
    <w:rsid w:val="00861C6F"/>
    <w:rsid w:val="00862BE5"/>
    <w:rsid w:val="00862D2D"/>
    <w:rsid w:val="0086302F"/>
    <w:rsid w:val="00863190"/>
    <w:rsid w:val="00863520"/>
    <w:rsid w:val="008646C0"/>
    <w:rsid w:val="00864A8B"/>
    <w:rsid w:val="00864AC2"/>
    <w:rsid w:val="00864B46"/>
    <w:rsid w:val="0086584F"/>
    <w:rsid w:val="008659E4"/>
    <w:rsid w:val="00866966"/>
    <w:rsid w:val="00866979"/>
    <w:rsid w:val="00866E42"/>
    <w:rsid w:val="008703DF"/>
    <w:rsid w:val="008703F3"/>
    <w:rsid w:val="0087164C"/>
    <w:rsid w:val="00871909"/>
    <w:rsid w:val="00872614"/>
    <w:rsid w:val="0087320F"/>
    <w:rsid w:val="008733DA"/>
    <w:rsid w:val="008737BC"/>
    <w:rsid w:val="0087421E"/>
    <w:rsid w:val="0087459F"/>
    <w:rsid w:val="00875395"/>
    <w:rsid w:val="00876525"/>
    <w:rsid w:val="00876C79"/>
    <w:rsid w:val="00876FFE"/>
    <w:rsid w:val="0087746E"/>
    <w:rsid w:val="008777F4"/>
    <w:rsid w:val="00880DB2"/>
    <w:rsid w:val="00881847"/>
    <w:rsid w:val="00881A66"/>
    <w:rsid w:val="00882B6F"/>
    <w:rsid w:val="00882CFC"/>
    <w:rsid w:val="00883083"/>
    <w:rsid w:val="00883123"/>
    <w:rsid w:val="00883AF5"/>
    <w:rsid w:val="008844CF"/>
    <w:rsid w:val="00884E9A"/>
    <w:rsid w:val="008850E4"/>
    <w:rsid w:val="00885EFD"/>
    <w:rsid w:val="008860EA"/>
    <w:rsid w:val="008870D6"/>
    <w:rsid w:val="008878D5"/>
    <w:rsid w:val="00890272"/>
    <w:rsid w:val="00890D64"/>
    <w:rsid w:val="00891665"/>
    <w:rsid w:val="0089167F"/>
    <w:rsid w:val="00891BC2"/>
    <w:rsid w:val="00891FF9"/>
    <w:rsid w:val="0089365D"/>
    <w:rsid w:val="008939AB"/>
    <w:rsid w:val="00894079"/>
    <w:rsid w:val="008943EE"/>
    <w:rsid w:val="00894589"/>
    <w:rsid w:val="00894AF1"/>
    <w:rsid w:val="00895035"/>
    <w:rsid w:val="008953AC"/>
    <w:rsid w:val="0089586A"/>
    <w:rsid w:val="00895F2C"/>
    <w:rsid w:val="0089608C"/>
    <w:rsid w:val="008961E5"/>
    <w:rsid w:val="00896C86"/>
    <w:rsid w:val="00896DDF"/>
    <w:rsid w:val="00896F0C"/>
    <w:rsid w:val="0089702D"/>
    <w:rsid w:val="008977BB"/>
    <w:rsid w:val="008978B0"/>
    <w:rsid w:val="0089796E"/>
    <w:rsid w:val="00897CF5"/>
    <w:rsid w:val="00897E1B"/>
    <w:rsid w:val="008A095F"/>
    <w:rsid w:val="008A0B3E"/>
    <w:rsid w:val="008A0D10"/>
    <w:rsid w:val="008A12F5"/>
    <w:rsid w:val="008A1994"/>
    <w:rsid w:val="008A30CC"/>
    <w:rsid w:val="008A329D"/>
    <w:rsid w:val="008A3496"/>
    <w:rsid w:val="008A3971"/>
    <w:rsid w:val="008A43F1"/>
    <w:rsid w:val="008A4848"/>
    <w:rsid w:val="008A4BD1"/>
    <w:rsid w:val="008A4C28"/>
    <w:rsid w:val="008A589E"/>
    <w:rsid w:val="008A5BE1"/>
    <w:rsid w:val="008A6352"/>
    <w:rsid w:val="008A68F6"/>
    <w:rsid w:val="008A7AA7"/>
    <w:rsid w:val="008A7E20"/>
    <w:rsid w:val="008B05D1"/>
    <w:rsid w:val="008B0A86"/>
    <w:rsid w:val="008B0DBF"/>
    <w:rsid w:val="008B1587"/>
    <w:rsid w:val="008B1B01"/>
    <w:rsid w:val="008B1CAE"/>
    <w:rsid w:val="008B29EE"/>
    <w:rsid w:val="008B2F78"/>
    <w:rsid w:val="008B306E"/>
    <w:rsid w:val="008B30AE"/>
    <w:rsid w:val="008B3156"/>
    <w:rsid w:val="008B3ABF"/>
    <w:rsid w:val="008B3BCD"/>
    <w:rsid w:val="008B3BEB"/>
    <w:rsid w:val="008B3EA4"/>
    <w:rsid w:val="008B3F15"/>
    <w:rsid w:val="008B40AB"/>
    <w:rsid w:val="008B43DF"/>
    <w:rsid w:val="008B466A"/>
    <w:rsid w:val="008B4694"/>
    <w:rsid w:val="008B58CA"/>
    <w:rsid w:val="008B5D0E"/>
    <w:rsid w:val="008B5F6E"/>
    <w:rsid w:val="008B6D11"/>
    <w:rsid w:val="008B6DF8"/>
    <w:rsid w:val="008B6F8E"/>
    <w:rsid w:val="008B77DD"/>
    <w:rsid w:val="008B7E70"/>
    <w:rsid w:val="008C106C"/>
    <w:rsid w:val="008C10F1"/>
    <w:rsid w:val="008C1702"/>
    <w:rsid w:val="008C173C"/>
    <w:rsid w:val="008C1926"/>
    <w:rsid w:val="008C1BBF"/>
    <w:rsid w:val="008C1E99"/>
    <w:rsid w:val="008C2E0E"/>
    <w:rsid w:val="008C2E96"/>
    <w:rsid w:val="008C5094"/>
    <w:rsid w:val="008C6C38"/>
    <w:rsid w:val="008C6DFD"/>
    <w:rsid w:val="008C711A"/>
    <w:rsid w:val="008C7EE0"/>
    <w:rsid w:val="008D0177"/>
    <w:rsid w:val="008D02FB"/>
    <w:rsid w:val="008D0CF9"/>
    <w:rsid w:val="008D0D8E"/>
    <w:rsid w:val="008D166C"/>
    <w:rsid w:val="008D280C"/>
    <w:rsid w:val="008D35C3"/>
    <w:rsid w:val="008D3AA4"/>
    <w:rsid w:val="008D3DB6"/>
    <w:rsid w:val="008D5972"/>
    <w:rsid w:val="008D620F"/>
    <w:rsid w:val="008D62EB"/>
    <w:rsid w:val="008D748B"/>
    <w:rsid w:val="008D77EE"/>
    <w:rsid w:val="008E0085"/>
    <w:rsid w:val="008E188A"/>
    <w:rsid w:val="008E1981"/>
    <w:rsid w:val="008E1BC5"/>
    <w:rsid w:val="008E1BF4"/>
    <w:rsid w:val="008E2114"/>
    <w:rsid w:val="008E244F"/>
    <w:rsid w:val="008E2AA6"/>
    <w:rsid w:val="008E2B90"/>
    <w:rsid w:val="008E311B"/>
    <w:rsid w:val="008E32D9"/>
    <w:rsid w:val="008E3642"/>
    <w:rsid w:val="008E3BFA"/>
    <w:rsid w:val="008E446B"/>
    <w:rsid w:val="008E4B0E"/>
    <w:rsid w:val="008E4D70"/>
    <w:rsid w:val="008E4DCA"/>
    <w:rsid w:val="008E5385"/>
    <w:rsid w:val="008E57AE"/>
    <w:rsid w:val="008E5815"/>
    <w:rsid w:val="008E5877"/>
    <w:rsid w:val="008E69E1"/>
    <w:rsid w:val="008E6C11"/>
    <w:rsid w:val="008E734A"/>
    <w:rsid w:val="008E74E0"/>
    <w:rsid w:val="008E7928"/>
    <w:rsid w:val="008E7BD2"/>
    <w:rsid w:val="008E7E77"/>
    <w:rsid w:val="008F11B4"/>
    <w:rsid w:val="008F1C22"/>
    <w:rsid w:val="008F2908"/>
    <w:rsid w:val="008F2A0F"/>
    <w:rsid w:val="008F325A"/>
    <w:rsid w:val="008F33A5"/>
    <w:rsid w:val="008F40F6"/>
    <w:rsid w:val="008F4377"/>
    <w:rsid w:val="008F46E7"/>
    <w:rsid w:val="008F5325"/>
    <w:rsid w:val="008F5F43"/>
    <w:rsid w:val="008F60C6"/>
    <w:rsid w:val="008F6421"/>
    <w:rsid w:val="008F6F0B"/>
    <w:rsid w:val="008F7278"/>
    <w:rsid w:val="008F7ADA"/>
    <w:rsid w:val="008F7E46"/>
    <w:rsid w:val="008F7F66"/>
    <w:rsid w:val="0090185B"/>
    <w:rsid w:val="00902B77"/>
    <w:rsid w:val="00903030"/>
    <w:rsid w:val="00904E18"/>
    <w:rsid w:val="00904FC1"/>
    <w:rsid w:val="00907BA7"/>
    <w:rsid w:val="00910419"/>
    <w:rsid w:val="0091064E"/>
    <w:rsid w:val="009108B9"/>
    <w:rsid w:val="00911DCD"/>
    <w:rsid w:val="00911F6A"/>
    <w:rsid w:val="00911FC5"/>
    <w:rsid w:val="0091210F"/>
    <w:rsid w:val="009122D2"/>
    <w:rsid w:val="00912513"/>
    <w:rsid w:val="009125DF"/>
    <w:rsid w:val="00912D37"/>
    <w:rsid w:val="00913A67"/>
    <w:rsid w:val="009162E9"/>
    <w:rsid w:val="0091644C"/>
    <w:rsid w:val="00916FE7"/>
    <w:rsid w:val="009206D5"/>
    <w:rsid w:val="0092093E"/>
    <w:rsid w:val="00920997"/>
    <w:rsid w:val="00920B66"/>
    <w:rsid w:val="00920E81"/>
    <w:rsid w:val="009211AB"/>
    <w:rsid w:val="00921A16"/>
    <w:rsid w:val="00921D0C"/>
    <w:rsid w:val="00921F8E"/>
    <w:rsid w:val="009222E8"/>
    <w:rsid w:val="00923058"/>
    <w:rsid w:val="00923771"/>
    <w:rsid w:val="00924384"/>
    <w:rsid w:val="00924705"/>
    <w:rsid w:val="00924D31"/>
    <w:rsid w:val="00925CC8"/>
    <w:rsid w:val="00926534"/>
    <w:rsid w:val="0092738A"/>
    <w:rsid w:val="00927394"/>
    <w:rsid w:val="00927D9A"/>
    <w:rsid w:val="00927F5B"/>
    <w:rsid w:val="00930065"/>
    <w:rsid w:val="0093080E"/>
    <w:rsid w:val="009316B8"/>
    <w:rsid w:val="009316E8"/>
    <w:rsid w:val="00931A10"/>
    <w:rsid w:val="00933399"/>
    <w:rsid w:val="009337AA"/>
    <w:rsid w:val="00933AC5"/>
    <w:rsid w:val="00933D76"/>
    <w:rsid w:val="0093471B"/>
    <w:rsid w:val="00934971"/>
    <w:rsid w:val="00934F7C"/>
    <w:rsid w:val="00935B73"/>
    <w:rsid w:val="00936032"/>
    <w:rsid w:val="00936447"/>
    <w:rsid w:val="009366CC"/>
    <w:rsid w:val="009379FB"/>
    <w:rsid w:val="00940818"/>
    <w:rsid w:val="00940BFA"/>
    <w:rsid w:val="00940D1F"/>
    <w:rsid w:val="00941348"/>
    <w:rsid w:val="00941A11"/>
    <w:rsid w:val="00941FB7"/>
    <w:rsid w:val="009424A6"/>
    <w:rsid w:val="00942509"/>
    <w:rsid w:val="009427ED"/>
    <w:rsid w:val="009433AC"/>
    <w:rsid w:val="0094362C"/>
    <w:rsid w:val="009459A5"/>
    <w:rsid w:val="009463E1"/>
    <w:rsid w:val="00946699"/>
    <w:rsid w:val="00946728"/>
    <w:rsid w:val="00946B7D"/>
    <w:rsid w:val="00946E5D"/>
    <w:rsid w:val="0094753C"/>
    <w:rsid w:val="009478B1"/>
    <w:rsid w:val="00947967"/>
    <w:rsid w:val="00950064"/>
    <w:rsid w:val="0095096A"/>
    <w:rsid w:val="00950CCB"/>
    <w:rsid w:val="00951CAD"/>
    <w:rsid w:val="00952126"/>
    <w:rsid w:val="00952E16"/>
    <w:rsid w:val="009531CF"/>
    <w:rsid w:val="009539C3"/>
    <w:rsid w:val="00953AD6"/>
    <w:rsid w:val="00953CD8"/>
    <w:rsid w:val="00954B36"/>
    <w:rsid w:val="00955201"/>
    <w:rsid w:val="00955C25"/>
    <w:rsid w:val="00957AC8"/>
    <w:rsid w:val="00957CC9"/>
    <w:rsid w:val="0096006A"/>
    <w:rsid w:val="0096096F"/>
    <w:rsid w:val="0096151A"/>
    <w:rsid w:val="00961B92"/>
    <w:rsid w:val="00961D46"/>
    <w:rsid w:val="00962672"/>
    <w:rsid w:val="009632C9"/>
    <w:rsid w:val="00963CF5"/>
    <w:rsid w:val="00964739"/>
    <w:rsid w:val="00964CDB"/>
    <w:rsid w:val="00964FBD"/>
    <w:rsid w:val="00965133"/>
    <w:rsid w:val="00965200"/>
    <w:rsid w:val="00965BDB"/>
    <w:rsid w:val="00965E90"/>
    <w:rsid w:val="00965F42"/>
    <w:rsid w:val="009668B3"/>
    <w:rsid w:val="00966A44"/>
    <w:rsid w:val="0096707E"/>
    <w:rsid w:val="00967BFA"/>
    <w:rsid w:val="00967E2C"/>
    <w:rsid w:val="00970578"/>
    <w:rsid w:val="00970663"/>
    <w:rsid w:val="00971471"/>
    <w:rsid w:val="00972A82"/>
    <w:rsid w:val="00972CE1"/>
    <w:rsid w:val="00972DB5"/>
    <w:rsid w:val="00972EEF"/>
    <w:rsid w:val="00973098"/>
    <w:rsid w:val="0097318E"/>
    <w:rsid w:val="0097371F"/>
    <w:rsid w:val="00973902"/>
    <w:rsid w:val="00973911"/>
    <w:rsid w:val="00973B50"/>
    <w:rsid w:val="00973D3B"/>
    <w:rsid w:val="00973E46"/>
    <w:rsid w:val="009756A6"/>
    <w:rsid w:val="00976A07"/>
    <w:rsid w:val="00977BF0"/>
    <w:rsid w:val="00980210"/>
    <w:rsid w:val="00980319"/>
    <w:rsid w:val="0098051A"/>
    <w:rsid w:val="009807E7"/>
    <w:rsid w:val="00980B35"/>
    <w:rsid w:val="00980BAE"/>
    <w:rsid w:val="00982118"/>
    <w:rsid w:val="009823BD"/>
    <w:rsid w:val="00983B18"/>
    <w:rsid w:val="009849C2"/>
    <w:rsid w:val="00984D24"/>
    <w:rsid w:val="00984E4E"/>
    <w:rsid w:val="009858EB"/>
    <w:rsid w:val="00985953"/>
    <w:rsid w:val="00986CCB"/>
    <w:rsid w:val="0098709B"/>
    <w:rsid w:val="00987309"/>
    <w:rsid w:val="009877DD"/>
    <w:rsid w:val="00990B47"/>
    <w:rsid w:val="00991070"/>
    <w:rsid w:val="009929E2"/>
    <w:rsid w:val="00993B7A"/>
    <w:rsid w:val="00993DF1"/>
    <w:rsid w:val="00995596"/>
    <w:rsid w:val="00995A8B"/>
    <w:rsid w:val="00996B70"/>
    <w:rsid w:val="00997619"/>
    <w:rsid w:val="009A0366"/>
    <w:rsid w:val="009A1461"/>
    <w:rsid w:val="009A17BE"/>
    <w:rsid w:val="009A20E9"/>
    <w:rsid w:val="009A2835"/>
    <w:rsid w:val="009A2A26"/>
    <w:rsid w:val="009A2A94"/>
    <w:rsid w:val="009A45F3"/>
    <w:rsid w:val="009A46E4"/>
    <w:rsid w:val="009A47EF"/>
    <w:rsid w:val="009A543C"/>
    <w:rsid w:val="009A747D"/>
    <w:rsid w:val="009A760D"/>
    <w:rsid w:val="009B0046"/>
    <w:rsid w:val="009B03A9"/>
    <w:rsid w:val="009B0436"/>
    <w:rsid w:val="009B1DFB"/>
    <w:rsid w:val="009B227E"/>
    <w:rsid w:val="009B22D0"/>
    <w:rsid w:val="009B31BA"/>
    <w:rsid w:val="009B3481"/>
    <w:rsid w:val="009B4597"/>
    <w:rsid w:val="009B53AE"/>
    <w:rsid w:val="009B5867"/>
    <w:rsid w:val="009B6CFD"/>
    <w:rsid w:val="009B706F"/>
    <w:rsid w:val="009C01BD"/>
    <w:rsid w:val="009C0244"/>
    <w:rsid w:val="009C0D5C"/>
    <w:rsid w:val="009C1440"/>
    <w:rsid w:val="009C2107"/>
    <w:rsid w:val="009C28F8"/>
    <w:rsid w:val="009C29B7"/>
    <w:rsid w:val="009C2BA1"/>
    <w:rsid w:val="009C3C53"/>
    <w:rsid w:val="009C3E35"/>
    <w:rsid w:val="009C3F8C"/>
    <w:rsid w:val="009C4580"/>
    <w:rsid w:val="009C4C74"/>
    <w:rsid w:val="009C5D9E"/>
    <w:rsid w:val="009C6833"/>
    <w:rsid w:val="009C71AF"/>
    <w:rsid w:val="009D056A"/>
    <w:rsid w:val="009D19D4"/>
    <w:rsid w:val="009D1A4C"/>
    <w:rsid w:val="009D2C3E"/>
    <w:rsid w:val="009D2D58"/>
    <w:rsid w:val="009D2FDD"/>
    <w:rsid w:val="009D36AA"/>
    <w:rsid w:val="009D4246"/>
    <w:rsid w:val="009D584E"/>
    <w:rsid w:val="009D6D39"/>
    <w:rsid w:val="009D759B"/>
    <w:rsid w:val="009E0625"/>
    <w:rsid w:val="009E09AB"/>
    <w:rsid w:val="009E0CFB"/>
    <w:rsid w:val="009E1022"/>
    <w:rsid w:val="009E2210"/>
    <w:rsid w:val="009E3034"/>
    <w:rsid w:val="009E3564"/>
    <w:rsid w:val="009E4822"/>
    <w:rsid w:val="009E532C"/>
    <w:rsid w:val="009E549F"/>
    <w:rsid w:val="009E55C5"/>
    <w:rsid w:val="009E5BB0"/>
    <w:rsid w:val="009E5BBA"/>
    <w:rsid w:val="009E6684"/>
    <w:rsid w:val="009E6F73"/>
    <w:rsid w:val="009E7044"/>
    <w:rsid w:val="009E786D"/>
    <w:rsid w:val="009F0429"/>
    <w:rsid w:val="009F0666"/>
    <w:rsid w:val="009F0705"/>
    <w:rsid w:val="009F10E9"/>
    <w:rsid w:val="009F20FC"/>
    <w:rsid w:val="009F2575"/>
    <w:rsid w:val="009F28A8"/>
    <w:rsid w:val="009F2BB2"/>
    <w:rsid w:val="009F2E86"/>
    <w:rsid w:val="009F3C46"/>
    <w:rsid w:val="009F3CEA"/>
    <w:rsid w:val="009F3DA0"/>
    <w:rsid w:val="009F3E17"/>
    <w:rsid w:val="009F473E"/>
    <w:rsid w:val="009F4A34"/>
    <w:rsid w:val="009F5587"/>
    <w:rsid w:val="009F5FED"/>
    <w:rsid w:val="009F682A"/>
    <w:rsid w:val="009F69E4"/>
    <w:rsid w:val="009F6A0E"/>
    <w:rsid w:val="009F6F5B"/>
    <w:rsid w:val="00A000F4"/>
    <w:rsid w:val="00A00F81"/>
    <w:rsid w:val="00A0126C"/>
    <w:rsid w:val="00A022BE"/>
    <w:rsid w:val="00A02C1F"/>
    <w:rsid w:val="00A02F7D"/>
    <w:rsid w:val="00A0398F"/>
    <w:rsid w:val="00A041D2"/>
    <w:rsid w:val="00A043C0"/>
    <w:rsid w:val="00A0458B"/>
    <w:rsid w:val="00A04C79"/>
    <w:rsid w:val="00A04D63"/>
    <w:rsid w:val="00A06550"/>
    <w:rsid w:val="00A06C2A"/>
    <w:rsid w:val="00A07290"/>
    <w:rsid w:val="00A1015E"/>
    <w:rsid w:val="00A10322"/>
    <w:rsid w:val="00A1036D"/>
    <w:rsid w:val="00A11D58"/>
    <w:rsid w:val="00A123E6"/>
    <w:rsid w:val="00A12864"/>
    <w:rsid w:val="00A1299B"/>
    <w:rsid w:val="00A132D6"/>
    <w:rsid w:val="00A134B4"/>
    <w:rsid w:val="00A13E77"/>
    <w:rsid w:val="00A13F12"/>
    <w:rsid w:val="00A14C40"/>
    <w:rsid w:val="00A156B5"/>
    <w:rsid w:val="00A15B98"/>
    <w:rsid w:val="00A16323"/>
    <w:rsid w:val="00A16B32"/>
    <w:rsid w:val="00A1741A"/>
    <w:rsid w:val="00A17704"/>
    <w:rsid w:val="00A17DE9"/>
    <w:rsid w:val="00A20DDA"/>
    <w:rsid w:val="00A20EF3"/>
    <w:rsid w:val="00A2118C"/>
    <w:rsid w:val="00A21899"/>
    <w:rsid w:val="00A218F5"/>
    <w:rsid w:val="00A21C40"/>
    <w:rsid w:val="00A2200A"/>
    <w:rsid w:val="00A223E5"/>
    <w:rsid w:val="00A225D0"/>
    <w:rsid w:val="00A22B2A"/>
    <w:rsid w:val="00A232BF"/>
    <w:rsid w:val="00A23ED2"/>
    <w:rsid w:val="00A23FBB"/>
    <w:rsid w:val="00A2455E"/>
    <w:rsid w:val="00A24C63"/>
    <w:rsid w:val="00A24C95"/>
    <w:rsid w:val="00A2511E"/>
    <w:rsid w:val="00A25175"/>
    <w:rsid w:val="00A2537D"/>
    <w:rsid w:val="00A2599A"/>
    <w:rsid w:val="00A25AB3"/>
    <w:rsid w:val="00A26094"/>
    <w:rsid w:val="00A2631D"/>
    <w:rsid w:val="00A264AA"/>
    <w:rsid w:val="00A26513"/>
    <w:rsid w:val="00A26781"/>
    <w:rsid w:val="00A27F9B"/>
    <w:rsid w:val="00A301BF"/>
    <w:rsid w:val="00A302B2"/>
    <w:rsid w:val="00A30ADA"/>
    <w:rsid w:val="00A310A3"/>
    <w:rsid w:val="00A3183F"/>
    <w:rsid w:val="00A31AF4"/>
    <w:rsid w:val="00A31D50"/>
    <w:rsid w:val="00A323E5"/>
    <w:rsid w:val="00A32C39"/>
    <w:rsid w:val="00A331A0"/>
    <w:rsid w:val="00A331B4"/>
    <w:rsid w:val="00A33951"/>
    <w:rsid w:val="00A34297"/>
    <w:rsid w:val="00A346DA"/>
    <w:rsid w:val="00A3484E"/>
    <w:rsid w:val="00A35336"/>
    <w:rsid w:val="00A356D3"/>
    <w:rsid w:val="00A360BA"/>
    <w:rsid w:val="00A362C5"/>
    <w:rsid w:val="00A36ADA"/>
    <w:rsid w:val="00A376F8"/>
    <w:rsid w:val="00A400D3"/>
    <w:rsid w:val="00A403BF"/>
    <w:rsid w:val="00A4121D"/>
    <w:rsid w:val="00A414CA"/>
    <w:rsid w:val="00A41EEF"/>
    <w:rsid w:val="00A42EA5"/>
    <w:rsid w:val="00A43142"/>
    <w:rsid w:val="00A43697"/>
    <w:rsid w:val="00A438D8"/>
    <w:rsid w:val="00A43D91"/>
    <w:rsid w:val="00A443F5"/>
    <w:rsid w:val="00A448EE"/>
    <w:rsid w:val="00A45082"/>
    <w:rsid w:val="00A451D2"/>
    <w:rsid w:val="00A45768"/>
    <w:rsid w:val="00A4691A"/>
    <w:rsid w:val="00A473F5"/>
    <w:rsid w:val="00A47B99"/>
    <w:rsid w:val="00A5065A"/>
    <w:rsid w:val="00A50AB2"/>
    <w:rsid w:val="00A51196"/>
    <w:rsid w:val="00A5178A"/>
    <w:rsid w:val="00A51BDF"/>
    <w:rsid w:val="00A51F9D"/>
    <w:rsid w:val="00A52A0B"/>
    <w:rsid w:val="00A532AD"/>
    <w:rsid w:val="00A5386B"/>
    <w:rsid w:val="00A53FBC"/>
    <w:rsid w:val="00A5416A"/>
    <w:rsid w:val="00A56408"/>
    <w:rsid w:val="00A577B6"/>
    <w:rsid w:val="00A57E8A"/>
    <w:rsid w:val="00A57EAE"/>
    <w:rsid w:val="00A601F8"/>
    <w:rsid w:val="00A611D6"/>
    <w:rsid w:val="00A61ABE"/>
    <w:rsid w:val="00A62012"/>
    <w:rsid w:val="00A62E20"/>
    <w:rsid w:val="00A634F1"/>
    <w:rsid w:val="00A639F4"/>
    <w:rsid w:val="00A63F48"/>
    <w:rsid w:val="00A64CCE"/>
    <w:rsid w:val="00A653F6"/>
    <w:rsid w:val="00A65AC7"/>
    <w:rsid w:val="00A66110"/>
    <w:rsid w:val="00A66204"/>
    <w:rsid w:val="00A66E67"/>
    <w:rsid w:val="00A672CE"/>
    <w:rsid w:val="00A67366"/>
    <w:rsid w:val="00A67E7B"/>
    <w:rsid w:val="00A704AC"/>
    <w:rsid w:val="00A7083C"/>
    <w:rsid w:val="00A70C84"/>
    <w:rsid w:val="00A7209B"/>
    <w:rsid w:val="00A73030"/>
    <w:rsid w:val="00A73447"/>
    <w:rsid w:val="00A736D6"/>
    <w:rsid w:val="00A744C3"/>
    <w:rsid w:val="00A7473B"/>
    <w:rsid w:val="00A74D46"/>
    <w:rsid w:val="00A74FF7"/>
    <w:rsid w:val="00A756BA"/>
    <w:rsid w:val="00A774DC"/>
    <w:rsid w:val="00A80341"/>
    <w:rsid w:val="00A80521"/>
    <w:rsid w:val="00A80AE2"/>
    <w:rsid w:val="00A80CBE"/>
    <w:rsid w:val="00A81368"/>
    <w:rsid w:val="00A81A32"/>
    <w:rsid w:val="00A81E1D"/>
    <w:rsid w:val="00A82344"/>
    <w:rsid w:val="00A828D7"/>
    <w:rsid w:val="00A82D5B"/>
    <w:rsid w:val="00A8356F"/>
    <w:rsid w:val="00A835BD"/>
    <w:rsid w:val="00A839A8"/>
    <w:rsid w:val="00A83AB6"/>
    <w:rsid w:val="00A83E46"/>
    <w:rsid w:val="00A840BC"/>
    <w:rsid w:val="00A84690"/>
    <w:rsid w:val="00A84721"/>
    <w:rsid w:val="00A84A7F"/>
    <w:rsid w:val="00A84DD2"/>
    <w:rsid w:val="00A8586B"/>
    <w:rsid w:val="00A86155"/>
    <w:rsid w:val="00A87573"/>
    <w:rsid w:val="00A9030E"/>
    <w:rsid w:val="00A90C40"/>
    <w:rsid w:val="00A9201E"/>
    <w:rsid w:val="00A92573"/>
    <w:rsid w:val="00A9259A"/>
    <w:rsid w:val="00A9289A"/>
    <w:rsid w:val="00A92F25"/>
    <w:rsid w:val="00A93584"/>
    <w:rsid w:val="00A93B57"/>
    <w:rsid w:val="00A93F7A"/>
    <w:rsid w:val="00A94189"/>
    <w:rsid w:val="00A94583"/>
    <w:rsid w:val="00A9474F"/>
    <w:rsid w:val="00A95BE5"/>
    <w:rsid w:val="00A96612"/>
    <w:rsid w:val="00A973DD"/>
    <w:rsid w:val="00A97A45"/>
    <w:rsid w:val="00A97B15"/>
    <w:rsid w:val="00AA014D"/>
    <w:rsid w:val="00AA037A"/>
    <w:rsid w:val="00AA133B"/>
    <w:rsid w:val="00AA299B"/>
    <w:rsid w:val="00AA35A0"/>
    <w:rsid w:val="00AA4156"/>
    <w:rsid w:val="00AA42D5"/>
    <w:rsid w:val="00AA446D"/>
    <w:rsid w:val="00AA5F37"/>
    <w:rsid w:val="00AA5F49"/>
    <w:rsid w:val="00AA6B54"/>
    <w:rsid w:val="00AA7BA4"/>
    <w:rsid w:val="00AB0058"/>
    <w:rsid w:val="00AB0521"/>
    <w:rsid w:val="00AB0724"/>
    <w:rsid w:val="00AB0820"/>
    <w:rsid w:val="00AB2FAB"/>
    <w:rsid w:val="00AB30C9"/>
    <w:rsid w:val="00AB3919"/>
    <w:rsid w:val="00AB3BC8"/>
    <w:rsid w:val="00AB4BE9"/>
    <w:rsid w:val="00AB585D"/>
    <w:rsid w:val="00AB5880"/>
    <w:rsid w:val="00AB5A57"/>
    <w:rsid w:val="00AB5C14"/>
    <w:rsid w:val="00AB5D04"/>
    <w:rsid w:val="00AB5ED2"/>
    <w:rsid w:val="00AB6626"/>
    <w:rsid w:val="00AB79E1"/>
    <w:rsid w:val="00AC06E0"/>
    <w:rsid w:val="00AC17FD"/>
    <w:rsid w:val="00AC1B3F"/>
    <w:rsid w:val="00AC1EE7"/>
    <w:rsid w:val="00AC21D1"/>
    <w:rsid w:val="00AC23FA"/>
    <w:rsid w:val="00AC25FA"/>
    <w:rsid w:val="00AC2E9E"/>
    <w:rsid w:val="00AC2F70"/>
    <w:rsid w:val="00AC301C"/>
    <w:rsid w:val="00AC333F"/>
    <w:rsid w:val="00AC44EF"/>
    <w:rsid w:val="00AC4A9D"/>
    <w:rsid w:val="00AC52D3"/>
    <w:rsid w:val="00AC5402"/>
    <w:rsid w:val="00AC585C"/>
    <w:rsid w:val="00AC5A71"/>
    <w:rsid w:val="00AC7829"/>
    <w:rsid w:val="00AC7F6C"/>
    <w:rsid w:val="00AD14B1"/>
    <w:rsid w:val="00AD1925"/>
    <w:rsid w:val="00AD1FAA"/>
    <w:rsid w:val="00AD2579"/>
    <w:rsid w:val="00AD26EF"/>
    <w:rsid w:val="00AD2FA1"/>
    <w:rsid w:val="00AD3796"/>
    <w:rsid w:val="00AD394B"/>
    <w:rsid w:val="00AD39AE"/>
    <w:rsid w:val="00AD3BAC"/>
    <w:rsid w:val="00AD3F1A"/>
    <w:rsid w:val="00AD4140"/>
    <w:rsid w:val="00AD42A0"/>
    <w:rsid w:val="00AD511F"/>
    <w:rsid w:val="00AD585E"/>
    <w:rsid w:val="00AD5C60"/>
    <w:rsid w:val="00AD6153"/>
    <w:rsid w:val="00AD6B45"/>
    <w:rsid w:val="00AD6C0A"/>
    <w:rsid w:val="00AE030D"/>
    <w:rsid w:val="00AE03BD"/>
    <w:rsid w:val="00AE066C"/>
    <w:rsid w:val="00AE067D"/>
    <w:rsid w:val="00AE0A4B"/>
    <w:rsid w:val="00AE1890"/>
    <w:rsid w:val="00AE2428"/>
    <w:rsid w:val="00AE2E2E"/>
    <w:rsid w:val="00AE365E"/>
    <w:rsid w:val="00AE5370"/>
    <w:rsid w:val="00AE5425"/>
    <w:rsid w:val="00AE5DFD"/>
    <w:rsid w:val="00AE6A12"/>
    <w:rsid w:val="00AE7212"/>
    <w:rsid w:val="00AE75C9"/>
    <w:rsid w:val="00AE787D"/>
    <w:rsid w:val="00AE79D0"/>
    <w:rsid w:val="00AE7F72"/>
    <w:rsid w:val="00AF0254"/>
    <w:rsid w:val="00AF05FE"/>
    <w:rsid w:val="00AF0B11"/>
    <w:rsid w:val="00AF1181"/>
    <w:rsid w:val="00AF2F79"/>
    <w:rsid w:val="00AF367F"/>
    <w:rsid w:val="00AF3CB8"/>
    <w:rsid w:val="00AF4653"/>
    <w:rsid w:val="00AF4963"/>
    <w:rsid w:val="00AF4BC5"/>
    <w:rsid w:val="00AF4D4B"/>
    <w:rsid w:val="00AF5FD2"/>
    <w:rsid w:val="00AF5FFE"/>
    <w:rsid w:val="00AF6164"/>
    <w:rsid w:val="00AF6917"/>
    <w:rsid w:val="00AF7DB7"/>
    <w:rsid w:val="00B001E6"/>
    <w:rsid w:val="00B021C4"/>
    <w:rsid w:val="00B022DA"/>
    <w:rsid w:val="00B02522"/>
    <w:rsid w:val="00B02BBB"/>
    <w:rsid w:val="00B035E4"/>
    <w:rsid w:val="00B042F6"/>
    <w:rsid w:val="00B046CC"/>
    <w:rsid w:val="00B054CF"/>
    <w:rsid w:val="00B06375"/>
    <w:rsid w:val="00B065F5"/>
    <w:rsid w:val="00B066F3"/>
    <w:rsid w:val="00B071CE"/>
    <w:rsid w:val="00B10D77"/>
    <w:rsid w:val="00B111B0"/>
    <w:rsid w:val="00B11730"/>
    <w:rsid w:val="00B119DF"/>
    <w:rsid w:val="00B11FCF"/>
    <w:rsid w:val="00B12100"/>
    <w:rsid w:val="00B12549"/>
    <w:rsid w:val="00B126D1"/>
    <w:rsid w:val="00B12FC0"/>
    <w:rsid w:val="00B13BFD"/>
    <w:rsid w:val="00B13E95"/>
    <w:rsid w:val="00B141C1"/>
    <w:rsid w:val="00B14ADB"/>
    <w:rsid w:val="00B14AFC"/>
    <w:rsid w:val="00B14B2A"/>
    <w:rsid w:val="00B14C63"/>
    <w:rsid w:val="00B15431"/>
    <w:rsid w:val="00B17E05"/>
    <w:rsid w:val="00B201E2"/>
    <w:rsid w:val="00B20861"/>
    <w:rsid w:val="00B21611"/>
    <w:rsid w:val="00B21F60"/>
    <w:rsid w:val="00B231B2"/>
    <w:rsid w:val="00B23A0F"/>
    <w:rsid w:val="00B242A6"/>
    <w:rsid w:val="00B252C9"/>
    <w:rsid w:val="00B256BF"/>
    <w:rsid w:val="00B25ED4"/>
    <w:rsid w:val="00B26318"/>
    <w:rsid w:val="00B26ACD"/>
    <w:rsid w:val="00B276B2"/>
    <w:rsid w:val="00B27CF6"/>
    <w:rsid w:val="00B306F9"/>
    <w:rsid w:val="00B30F2E"/>
    <w:rsid w:val="00B30FEB"/>
    <w:rsid w:val="00B3205C"/>
    <w:rsid w:val="00B32162"/>
    <w:rsid w:val="00B34427"/>
    <w:rsid w:val="00B344EB"/>
    <w:rsid w:val="00B34E6E"/>
    <w:rsid w:val="00B35211"/>
    <w:rsid w:val="00B370F9"/>
    <w:rsid w:val="00B37126"/>
    <w:rsid w:val="00B37196"/>
    <w:rsid w:val="00B37355"/>
    <w:rsid w:val="00B37F1A"/>
    <w:rsid w:val="00B37FCA"/>
    <w:rsid w:val="00B40B8F"/>
    <w:rsid w:val="00B4177C"/>
    <w:rsid w:val="00B430A2"/>
    <w:rsid w:val="00B43728"/>
    <w:rsid w:val="00B441FC"/>
    <w:rsid w:val="00B443E4"/>
    <w:rsid w:val="00B4496A"/>
    <w:rsid w:val="00B44A1E"/>
    <w:rsid w:val="00B44E98"/>
    <w:rsid w:val="00B45E22"/>
    <w:rsid w:val="00B46F7B"/>
    <w:rsid w:val="00B47751"/>
    <w:rsid w:val="00B47B36"/>
    <w:rsid w:val="00B47D70"/>
    <w:rsid w:val="00B50272"/>
    <w:rsid w:val="00B5064D"/>
    <w:rsid w:val="00B50CFE"/>
    <w:rsid w:val="00B51307"/>
    <w:rsid w:val="00B51391"/>
    <w:rsid w:val="00B51EED"/>
    <w:rsid w:val="00B51F83"/>
    <w:rsid w:val="00B5217F"/>
    <w:rsid w:val="00B523B6"/>
    <w:rsid w:val="00B53620"/>
    <w:rsid w:val="00B53C11"/>
    <w:rsid w:val="00B54AE7"/>
    <w:rsid w:val="00B562C7"/>
    <w:rsid w:val="00B563EA"/>
    <w:rsid w:val="00B56693"/>
    <w:rsid w:val="00B566F8"/>
    <w:rsid w:val="00B576E1"/>
    <w:rsid w:val="00B57725"/>
    <w:rsid w:val="00B57817"/>
    <w:rsid w:val="00B600F0"/>
    <w:rsid w:val="00B60E51"/>
    <w:rsid w:val="00B61001"/>
    <w:rsid w:val="00B6153F"/>
    <w:rsid w:val="00B626AC"/>
    <w:rsid w:val="00B62830"/>
    <w:rsid w:val="00B62F94"/>
    <w:rsid w:val="00B63A54"/>
    <w:rsid w:val="00B63ECD"/>
    <w:rsid w:val="00B64419"/>
    <w:rsid w:val="00B64C51"/>
    <w:rsid w:val="00B654B4"/>
    <w:rsid w:val="00B65D52"/>
    <w:rsid w:val="00B65F93"/>
    <w:rsid w:val="00B67D82"/>
    <w:rsid w:val="00B710C5"/>
    <w:rsid w:val="00B71226"/>
    <w:rsid w:val="00B71AF0"/>
    <w:rsid w:val="00B71C6D"/>
    <w:rsid w:val="00B732FE"/>
    <w:rsid w:val="00B74355"/>
    <w:rsid w:val="00B74CBD"/>
    <w:rsid w:val="00B75FC2"/>
    <w:rsid w:val="00B760DC"/>
    <w:rsid w:val="00B76D87"/>
    <w:rsid w:val="00B77C27"/>
    <w:rsid w:val="00B77D18"/>
    <w:rsid w:val="00B80C21"/>
    <w:rsid w:val="00B82160"/>
    <w:rsid w:val="00B82172"/>
    <w:rsid w:val="00B82472"/>
    <w:rsid w:val="00B82712"/>
    <w:rsid w:val="00B82882"/>
    <w:rsid w:val="00B82885"/>
    <w:rsid w:val="00B8313A"/>
    <w:rsid w:val="00B838F5"/>
    <w:rsid w:val="00B840CB"/>
    <w:rsid w:val="00B84456"/>
    <w:rsid w:val="00B8598E"/>
    <w:rsid w:val="00B85B18"/>
    <w:rsid w:val="00B85CDC"/>
    <w:rsid w:val="00B8624C"/>
    <w:rsid w:val="00B86797"/>
    <w:rsid w:val="00B86BAD"/>
    <w:rsid w:val="00B8749D"/>
    <w:rsid w:val="00B90434"/>
    <w:rsid w:val="00B9093B"/>
    <w:rsid w:val="00B90C62"/>
    <w:rsid w:val="00B91A3A"/>
    <w:rsid w:val="00B9225E"/>
    <w:rsid w:val="00B92D0B"/>
    <w:rsid w:val="00B93503"/>
    <w:rsid w:val="00B9365B"/>
    <w:rsid w:val="00B93B1B"/>
    <w:rsid w:val="00B93CB0"/>
    <w:rsid w:val="00B949CF"/>
    <w:rsid w:val="00B95AED"/>
    <w:rsid w:val="00B95B0F"/>
    <w:rsid w:val="00B95B73"/>
    <w:rsid w:val="00B96403"/>
    <w:rsid w:val="00B9678E"/>
    <w:rsid w:val="00B96A98"/>
    <w:rsid w:val="00B96D7D"/>
    <w:rsid w:val="00B977E8"/>
    <w:rsid w:val="00BA0AB1"/>
    <w:rsid w:val="00BA0E27"/>
    <w:rsid w:val="00BA17A2"/>
    <w:rsid w:val="00BA317F"/>
    <w:rsid w:val="00BA31E8"/>
    <w:rsid w:val="00BA331C"/>
    <w:rsid w:val="00BA3447"/>
    <w:rsid w:val="00BA3969"/>
    <w:rsid w:val="00BA3A5E"/>
    <w:rsid w:val="00BA3EB8"/>
    <w:rsid w:val="00BA4712"/>
    <w:rsid w:val="00BA4D70"/>
    <w:rsid w:val="00BA535C"/>
    <w:rsid w:val="00BA53FC"/>
    <w:rsid w:val="00BA55E0"/>
    <w:rsid w:val="00BA5987"/>
    <w:rsid w:val="00BA5B63"/>
    <w:rsid w:val="00BA61D7"/>
    <w:rsid w:val="00BA61DE"/>
    <w:rsid w:val="00BA6534"/>
    <w:rsid w:val="00BA6A0E"/>
    <w:rsid w:val="00BA6BD4"/>
    <w:rsid w:val="00BA6C32"/>
    <w:rsid w:val="00BA6C7A"/>
    <w:rsid w:val="00BA75D2"/>
    <w:rsid w:val="00BB04A8"/>
    <w:rsid w:val="00BB2040"/>
    <w:rsid w:val="00BB2702"/>
    <w:rsid w:val="00BB3752"/>
    <w:rsid w:val="00BB3A30"/>
    <w:rsid w:val="00BB3C03"/>
    <w:rsid w:val="00BB4923"/>
    <w:rsid w:val="00BB4B17"/>
    <w:rsid w:val="00BB4C67"/>
    <w:rsid w:val="00BB4EFA"/>
    <w:rsid w:val="00BB519E"/>
    <w:rsid w:val="00BB5896"/>
    <w:rsid w:val="00BB5C20"/>
    <w:rsid w:val="00BB5EC8"/>
    <w:rsid w:val="00BB6688"/>
    <w:rsid w:val="00BB6FDC"/>
    <w:rsid w:val="00BC0189"/>
    <w:rsid w:val="00BC137F"/>
    <w:rsid w:val="00BC16A9"/>
    <w:rsid w:val="00BC1F1F"/>
    <w:rsid w:val="00BC1FE0"/>
    <w:rsid w:val="00BC2034"/>
    <w:rsid w:val="00BC2257"/>
    <w:rsid w:val="00BC23F5"/>
    <w:rsid w:val="00BC26D4"/>
    <w:rsid w:val="00BC2BF0"/>
    <w:rsid w:val="00BC2D42"/>
    <w:rsid w:val="00BC38B3"/>
    <w:rsid w:val="00BC5779"/>
    <w:rsid w:val="00BC5A54"/>
    <w:rsid w:val="00BC6069"/>
    <w:rsid w:val="00BC614D"/>
    <w:rsid w:val="00BC61CB"/>
    <w:rsid w:val="00BC61FB"/>
    <w:rsid w:val="00BC65CF"/>
    <w:rsid w:val="00BC66A0"/>
    <w:rsid w:val="00BC6A1C"/>
    <w:rsid w:val="00BC6EA6"/>
    <w:rsid w:val="00BC7E26"/>
    <w:rsid w:val="00BD05E5"/>
    <w:rsid w:val="00BD06C3"/>
    <w:rsid w:val="00BD082B"/>
    <w:rsid w:val="00BD0C25"/>
    <w:rsid w:val="00BD11DD"/>
    <w:rsid w:val="00BD1A97"/>
    <w:rsid w:val="00BD1DE7"/>
    <w:rsid w:val="00BD1F05"/>
    <w:rsid w:val="00BD1F42"/>
    <w:rsid w:val="00BD22D6"/>
    <w:rsid w:val="00BD26DD"/>
    <w:rsid w:val="00BD3343"/>
    <w:rsid w:val="00BD338A"/>
    <w:rsid w:val="00BD39F3"/>
    <w:rsid w:val="00BD3AA7"/>
    <w:rsid w:val="00BD3F4D"/>
    <w:rsid w:val="00BD4992"/>
    <w:rsid w:val="00BD53A4"/>
    <w:rsid w:val="00BD5544"/>
    <w:rsid w:val="00BD5E0B"/>
    <w:rsid w:val="00BD60AC"/>
    <w:rsid w:val="00BD6704"/>
    <w:rsid w:val="00BD7970"/>
    <w:rsid w:val="00BD7F9B"/>
    <w:rsid w:val="00BE0557"/>
    <w:rsid w:val="00BE0867"/>
    <w:rsid w:val="00BE0C80"/>
    <w:rsid w:val="00BE1025"/>
    <w:rsid w:val="00BE1478"/>
    <w:rsid w:val="00BE1CEF"/>
    <w:rsid w:val="00BE1DDB"/>
    <w:rsid w:val="00BE1E66"/>
    <w:rsid w:val="00BE294B"/>
    <w:rsid w:val="00BE2D05"/>
    <w:rsid w:val="00BE47D8"/>
    <w:rsid w:val="00BE5C24"/>
    <w:rsid w:val="00BE700D"/>
    <w:rsid w:val="00BE7815"/>
    <w:rsid w:val="00BF03D2"/>
    <w:rsid w:val="00BF06AA"/>
    <w:rsid w:val="00BF0F1D"/>
    <w:rsid w:val="00BF1C89"/>
    <w:rsid w:val="00BF1EC3"/>
    <w:rsid w:val="00BF224F"/>
    <w:rsid w:val="00BF2A42"/>
    <w:rsid w:val="00BF2BD1"/>
    <w:rsid w:val="00BF2C90"/>
    <w:rsid w:val="00BF389C"/>
    <w:rsid w:val="00BF39B7"/>
    <w:rsid w:val="00BF3F22"/>
    <w:rsid w:val="00BF57E5"/>
    <w:rsid w:val="00BF596D"/>
    <w:rsid w:val="00BF680C"/>
    <w:rsid w:val="00BF6DAC"/>
    <w:rsid w:val="00BF6F85"/>
    <w:rsid w:val="00BF78B4"/>
    <w:rsid w:val="00BF7908"/>
    <w:rsid w:val="00BF7CB0"/>
    <w:rsid w:val="00C01602"/>
    <w:rsid w:val="00C01D13"/>
    <w:rsid w:val="00C02250"/>
    <w:rsid w:val="00C02A47"/>
    <w:rsid w:val="00C03BA9"/>
    <w:rsid w:val="00C03D8C"/>
    <w:rsid w:val="00C055EC"/>
    <w:rsid w:val="00C05E90"/>
    <w:rsid w:val="00C0642F"/>
    <w:rsid w:val="00C0693D"/>
    <w:rsid w:val="00C06C38"/>
    <w:rsid w:val="00C06D07"/>
    <w:rsid w:val="00C074B0"/>
    <w:rsid w:val="00C07837"/>
    <w:rsid w:val="00C07AB1"/>
    <w:rsid w:val="00C103F4"/>
    <w:rsid w:val="00C10DC9"/>
    <w:rsid w:val="00C112ED"/>
    <w:rsid w:val="00C11C2B"/>
    <w:rsid w:val="00C11D76"/>
    <w:rsid w:val="00C11DCB"/>
    <w:rsid w:val="00C11ED2"/>
    <w:rsid w:val="00C12285"/>
    <w:rsid w:val="00C12435"/>
    <w:rsid w:val="00C1246D"/>
    <w:rsid w:val="00C12697"/>
    <w:rsid w:val="00C1295F"/>
    <w:rsid w:val="00C12AB0"/>
    <w:rsid w:val="00C12FB3"/>
    <w:rsid w:val="00C1374A"/>
    <w:rsid w:val="00C13B36"/>
    <w:rsid w:val="00C13D7A"/>
    <w:rsid w:val="00C145BD"/>
    <w:rsid w:val="00C148AD"/>
    <w:rsid w:val="00C15FD8"/>
    <w:rsid w:val="00C163DE"/>
    <w:rsid w:val="00C17341"/>
    <w:rsid w:val="00C17D7B"/>
    <w:rsid w:val="00C20501"/>
    <w:rsid w:val="00C20F3E"/>
    <w:rsid w:val="00C2227B"/>
    <w:rsid w:val="00C22D5D"/>
    <w:rsid w:val="00C22EE4"/>
    <w:rsid w:val="00C23583"/>
    <w:rsid w:val="00C23F7F"/>
    <w:rsid w:val="00C24B05"/>
    <w:rsid w:val="00C24EEF"/>
    <w:rsid w:val="00C250B5"/>
    <w:rsid w:val="00C253F8"/>
    <w:rsid w:val="00C25CF6"/>
    <w:rsid w:val="00C25E9F"/>
    <w:rsid w:val="00C25FFC"/>
    <w:rsid w:val="00C26A2E"/>
    <w:rsid w:val="00C26BCA"/>
    <w:rsid w:val="00C26C36"/>
    <w:rsid w:val="00C26F84"/>
    <w:rsid w:val="00C26FD2"/>
    <w:rsid w:val="00C276FA"/>
    <w:rsid w:val="00C27E7F"/>
    <w:rsid w:val="00C3007D"/>
    <w:rsid w:val="00C31C00"/>
    <w:rsid w:val="00C31C6C"/>
    <w:rsid w:val="00C326BE"/>
    <w:rsid w:val="00C32768"/>
    <w:rsid w:val="00C32D7E"/>
    <w:rsid w:val="00C3317F"/>
    <w:rsid w:val="00C339F5"/>
    <w:rsid w:val="00C33A3D"/>
    <w:rsid w:val="00C33B5F"/>
    <w:rsid w:val="00C34026"/>
    <w:rsid w:val="00C3442E"/>
    <w:rsid w:val="00C35F20"/>
    <w:rsid w:val="00C36BC7"/>
    <w:rsid w:val="00C36D7A"/>
    <w:rsid w:val="00C3770D"/>
    <w:rsid w:val="00C37924"/>
    <w:rsid w:val="00C37975"/>
    <w:rsid w:val="00C37AEE"/>
    <w:rsid w:val="00C37F3B"/>
    <w:rsid w:val="00C4012C"/>
    <w:rsid w:val="00C40508"/>
    <w:rsid w:val="00C40D0D"/>
    <w:rsid w:val="00C40DFC"/>
    <w:rsid w:val="00C4167B"/>
    <w:rsid w:val="00C42A91"/>
    <w:rsid w:val="00C430A4"/>
    <w:rsid w:val="00C431DF"/>
    <w:rsid w:val="00C43D06"/>
    <w:rsid w:val="00C442CB"/>
    <w:rsid w:val="00C44313"/>
    <w:rsid w:val="00C450D4"/>
    <w:rsid w:val="00C456BD"/>
    <w:rsid w:val="00C45B8E"/>
    <w:rsid w:val="00C47642"/>
    <w:rsid w:val="00C47941"/>
    <w:rsid w:val="00C51443"/>
    <w:rsid w:val="00C515CE"/>
    <w:rsid w:val="00C51CC1"/>
    <w:rsid w:val="00C52143"/>
    <w:rsid w:val="00C530B7"/>
    <w:rsid w:val="00C530DC"/>
    <w:rsid w:val="00C5350D"/>
    <w:rsid w:val="00C53950"/>
    <w:rsid w:val="00C53C4D"/>
    <w:rsid w:val="00C542D2"/>
    <w:rsid w:val="00C542E8"/>
    <w:rsid w:val="00C54623"/>
    <w:rsid w:val="00C54C82"/>
    <w:rsid w:val="00C54C91"/>
    <w:rsid w:val="00C54E51"/>
    <w:rsid w:val="00C55862"/>
    <w:rsid w:val="00C56594"/>
    <w:rsid w:val="00C56BD2"/>
    <w:rsid w:val="00C60377"/>
    <w:rsid w:val="00C60ED5"/>
    <w:rsid w:val="00C6123C"/>
    <w:rsid w:val="00C61259"/>
    <w:rsid w:val="00C6187A"/>
    <w:rsid w:val="00C623A2"/>
    <w:rsid w:val="00C62657"/>
    <w:rsid w:val="00C6311A"/>
    <w:rsid w:val="00C6329F"/>
    <w:rsid w:val="00C63398"/>
    <w:rsid w:val="00C638C2"/>
    <w:rsid w:val="00C64348"/>
    <w:rsid w:val="00C64E8F"/>
    <w:rsid w:val="00C64F26"/>
    <w:rsid w:val="00C66CFA"/>
    <w:rsid w:val="00C672E0"/>
    <w:rsid w:val="00C673F8"/>
    <w:rsid w:val="00C7084D"/>
    <w:rsid w:val="00C70C40"/>
    <w:rsid w:val="00C70DB8"/>
    <w:rsid w:val="00C71AD8"/>
    <w:rsid w:val="00C7315E"/>
    <w:rsid w:val="00C73865"/>
    <w:rsid w:val="00C73B1F"/>
    <w:rsid w:val="00C744EA"/>
    <w:rsid w:val="00C753B4"/>
    <w:rsid w:val="00C757DE"/>
    <w:rsid w:val="00C75895"/>
    <w:rsid w:val="00C760B3"/>
    <w:rsid w:val="00C7626E"/>
    <w:rsid w:val="00C76D3E"/>
    <w:rsid w:val="00C76EF3"/>
    <w:rsid w:val="00C770D5"/>
    <w:rsid w:val="00C7743E"/>
    <w:rsid w:val="00C7772C"/>
    <w:rsid w:val="00C80106"/>
    <w:rsid w:val="00C80660"/>
    <w:rsid w:val="00C81A0A"/>
    <w:rsid w:val="00C81F01"/>
    <w:rsid w:val="00C822BF"/>
    <w:rsid w:val="00C824C3"/>
    <w:rsid w:val="00C83C9F"/>
    <w:rsid w:val="00C857B8"/>
    <w:rsid w:val="00C85839"/>
    <w:rsid w:val="00C85EEF"/>
    <w:rsid w:val="00C86475"/>
    <w:rsid w:val="00C86675"/>
    <w:rsid w:val="00C8668D"/>
    <w:rsid w:val="00C86DF9"/>
    <w:rsid w:val="00C90106"/>
    <w:rsid w:val="00C90194"/>
    <w:rsid w:val="00C904D7"/>
    <w:rsid w:val="00C9153E"/>
    <w:rsid w:val="00C93040"/>
    <w:rsid w:val="00C94840"/>
    <w:rsid w:val="00C9536C"/>
    <w:rsid w:val="00C96009"/>
    <w:rsid w:val="00C963E4"/>
    <w:rsid w:val="00C967C9"/>
    <w:rsid w:val="00C979B0"/>
    <w:rsid w:val="00CA010A"/>
    <w:rsid w:val="00CA0D29"/>
    <w:rsid w:val="00CA14CB"/>
    <w:rsid w:val="00CA1981"/>
    <w:rsid w:val="00CA1A62"/>
    <w:rsid w:val="00CA2AFD"/>
    <w:rsid w:val="00CA33D9"/>
    <w:rsid w:val="00CA3C2A"/>
    <w:rsid w:val="00CA3EB2"/>
    <w:rsid w:val="00CA498A"/>
    <w:rsid w:val="00CA4EE3"/>
    <w:rsid w:val="00CA5179"/>
    <w:rsid w:val="00CA53DE"/>
    <w:rsid w:val="00CA58EB"/>
    <w:rsid w:val="00CA63E9"/>
    <w:rsid w:val="00CA7F5E"/>
    <w:rsid w:val="00CB027F"/>
    <w:rsid w:val="00CB0CF5"/>
    <w:rsid w:val="00CB267F"/>
    <w:rsid w:val="00CB2F0C"/>
    <w:rsid w:val="00CB37C6"/>
    <w:rsid w:val="00CB39DA"/>
    <w:rsid w:val="00CB48FC"/>
    <w:rsid w:val="00CB4A10"/>
    <w:rsid w:val="00CB4D1B"/>
    <w:rsid w:val="00CB5400"/>
    <w:rsid w:val="00CB59CC"/>
    <w:rsid w:val="00CB59F1"/>
    <w:rsid w:val="00CB5BB7"/>
    <w:rsid w:val="00CB5E1C"/>
    <w:rsid w:val="00CB60D0"/>
    <w:rsid w:val="00CB64EB"/>
    <w:rsid w:val="00CB66CC"/>
    <w:rsid w:val="00CB6766"/>
    <w:rsid w:val="00CB7076"/>
    <w:rsid w:val="00CB765D"/>
    <w:rsid w:val="00CC0266"/>
    <w:rsid w:val="00CC0B02"/>
    <w:rsid w:val="00CC0EBB"/>
    <w:rsid w:val="00CC1963"/>
    <w:rsid w:val="00CC1CA9"/>
    <w:rsid w:val="00CC377B"/>
    <w:rsid w:val="00CC39D5"/>
    <w:rsid w:val="00CC3AAA"/>
    <w:rsid w:val="00CC451B"/>
    <w:rsid w:val="00CC4651"/>
    <w:rsid w:val="00CC490E"/>
    <w:rsid w:val="00CC53C0"/>
    <w:rsid w:val="00CC5F78"/>
    <w:rsid w:val="00CC6297"/>
    <w:rsid w:val="00CC6E5E"/>
    <w:rsid w:val="00CC7690"/>
    <w:rsid w:val="00CC7A13"/>
    <w:rsid w:val="00CD08D0"/>
    <w:rsid w:val="00CD0948"/>
    <w:rsid w:val="00CD1986"/>
    <w:rsid w:val="00CD2083"/>
    <w:rsid w:val="00CD259B"/>
    <w:rsid w:val="00CD29CD"/>
    <w:rsid w:val="00CD437C"/>
    <w:rsid w:val="00CD4644"/>
    <w:rsid w:val="00CD4C96"/>
    <w:rsid w:val="00CD4D7A"/>
    <w:rsid w:val="00CD4E4A"/>
    <w:rsid w:val="00CD54BF"/>
    <w:rsid w:val="00CD5694"/>
    <w:rsid w:val="00CD59C3"/>
    <w:rsid w:val="00CD6311"/>
    <w:rsid w:val="00CD669B"/>
    <w:rsid w:val="00CD69F9"/>
    <w:rsid w:val="00CD729F"/>
    <w:rsid w:val="00CD7394"/>
    <w:rsid w:val="00CD740E"/>
    <w:rsid w:val="00CD77B8"/>
    <w:rsid w:val="00CD78B9"/>
    <w:rsid w:val="00CE02E5"/>
    <w:rsid w:val="00CE091A"/>
    <w:rsid w:val="00CE1444"/>
    <w:rsid w:val="00CE16C6"/>
    <w:rsid w:val="00CE1A6A"/>
    <w:rsid w:val="00CE1BFE"/>
    <w:rsid w:val="00CE26FD"/>
    <w:rsid w:val="00CE2950"/>
    <w:rsid w:val="00CE37B1"/>
    <w:rsid w:val="00CE3A3D"/>
    <w:rsid w:val="00CE3DFB"/>
    <w:rsid w:val="00CE4447"/>
    <w:rsid w:val="00CE4A9D"/>
    <w:rsid w:val="00CE4D5C"/>
    <w:rsid w:val="00CE4E4E"/>
    <w:rsid w:val="00CE5149"/>
    <w:rsid w:val="00CE5F48"/>
    <w:rsid w:val="00CE727D"/>
    <w:rsid w:val="00CE7730"/>
    <w:rsid w:val="00CF0225"/>
    <w:rsid w:val="00CF04DA"/>
    <w:rsid w:val="00CF055B"/>
    <w:rsid w:val="00CF05DA"/>
    <w:rsid w:val="00CF0843"/>
    <w:rsid w:val="00CF101E"/>
    <w:rsid w:val="00CF1543"/>
    <w:rsid w:val="00CF257B"/>
    <w:rsid w:val="00CF260E"/>
    <w:rsid w:val="00CF2B07"/>
    <w:rsid w:val="00CF30C4"/>
    <w:rsid w:val="00CF340A"/>
    <w:rsid w:val="00CF3ED3"/>
    <w:rsid w:val="00CF484A"/>
    <w:rsid w:val="00CF5059"/>
    <w:rsid w:val="00CF58EB"/>
    <w:rsid w:val="00CF5D37"/>
    <w:rsid w:val="00CF5F18"/>
    <w:rsid w:val="00CF60C9"/>
    <w:rsid w:val="00CF6124"/>
    <w:rsid w:val="00CF6C62"/>
    <w:rsid w:val="00CF6FEC"/>
    <w:rsid w:val="00CF703C"/>
    <w:rsid w:val="00D00596"/>
    <w:rsid w:val="00D00E77"/>
    <w:rsid w:val="00D0106E"/>
    <w:rsid w:val="00D01154"/>
    <w:rsid w:val="00D0146A"/>
    <w:rsid w:val="00D01B21"/>
    <w:rsid w:val="00D030C2"/>
    <w:rsid w:val="00D044BF"/>
    <w:rsid w:val="00D04AE2"/>
    <w:rsid w:val="00D04C39"/>
    <w:rsid w:val="00D04C3C"/>
    <w:rsid w:val="00D05270"/>
    <w:rsid w:val="00D05441"/>
    <w:rsid w:val="00D055D6"/>
    <w:rsid w:val="00D0582C"/>
    <w:rsid w:val="00D05EBB"/>
    <w:rsid w:val="00D06383"/>
    <w:rsid w:val="00D06C46"/>
    <w:rsid w:val="00D06F85"/>
    <w:rsid w:val="00D07440"/>
    <w:rsid w:val="00D0780A"/>
    <w:rsid w:val="00D10152"/>
    <w:rsid w:val="00D10178"/>
    <w:rsid w:val="00D1051D"/>
    <w:rsid w:val="00D10649"/>
    <w:rsid w:val="00D10F43"/>
    <w:rsid w:val="00D114C1"/>
    <w:rsid w:val="00D11948"/>
    <w:rsid w:val="00D11B23"/>
    <w:rsid w:val="00D11E06"/>
    <w:rsid w:val="00D12400"/>
    <w:rsid w:val="00D134CF"/>
    <w:rsid w:val="00D1411B"/>
    <w:rsid w:val="00D14B4B"/>
    <w:rsid w:val="00D15110"/>
    <w:rsid w:val="00D151AE"/>
    <w:rsid w:val="00D152D6"/>
    <w:rsid w:val="00D172B9"/>
    <w:rsid w:val="00D173CA"/>
    <w:rsid w:val="00D174A4"/>
    <w:rsid w:val="00D17701"/>
    <w:rsid w:val="00D177E9"/>
    <w:rsid w:val="00D17CFE"/>
    <w:rsid w:val="00D2042F"/>
    <w:rsid w:val="00D20A53"/>
    <w:rsid w:val="00D20E85"/>
    <w:rsid w:val="00D21522"/>
    <w:rsid w:val="00D2154C"/>
    <w:rsid w:val="00D2159C"/>
    <w:rsid w:val="00D21D09"/>
    <w:rsid w:val="00D23098"/>
    <w:rsid w:val="00D230D2"/>
    <w:rsid w:val="00D23172"/>
    <w:rsid w:val="00D237A1"/>
    <w:rsid w:val="00D23A61"/>
    <w:rsid w:val="00D24615"/>
    <w:rsid w:val="00D24A1B"/>
    <w:rsid w:val="00D24D33"/>
    <w:rsid w:val="00D251DC"/>
    <w:rsid w:val="00D25C40"/>
    <w:rsid w:val="00D25FEF"/>
    <w:rsid w:val="00D2617D"/>
    <w:rsid w:val="00D27A01"/>
    <w:rsid w:val="00D27C48"/>
    <w:rsid w:val="00D30073"/>
    <w:rsid w:val="00D30590"/>
    <w:rsid w:val="00D310F5"/>
    <w:rsid w:val="00D31250"/>
    <w:rsid w:val="00D31505"/>
    <w:rsid w:val="00D32A98"/>
    <w:rsid w:val="00D32D45"/>
    <w:rsid w:val="00D33609"/>
    <w:rsid w:val="00D33A33"/>
    <w:rsid w:val="00D34E06"/>
    <w:rsid w:val="00D34E47"/>
    <w:rsid w:val="00D3512E"/>
    <w:rsid w:val="00D36845"/>
    <w:rsid w:val="00D36905"/>
    <w:rsid w:val="00D369DC"/>
    <w:rsid w:val="00D36CFB"/>
    <w:rsid w:val="00D373D5"/>
    <w:rsid w:val="00D37842"/>
    <w:rsid w:val="00D402DE"/>
    <w:rsid w:val="00D4036F"/>
    <w:rsid w:val="00D40D67"/>
    <w:rsid w:val="00D4124B"/>
    <w:rsid w:val="00D412FC"/>
    <w:rsid w:val="00D41836"/>
    <w:rsid w:val="00D418FC"/>
    <w:rsid w:val="00D41D30"/>
    <w:rsid w:val="00D4251F"/>
    <w:rsid w:val="00D42B46"/>
    <w:rsid w:val="00D42DC2"/>
    <w:rsid w:val="00D43182"/>
    <w:rsid w:val="00D435A8"/>
    <w:rsid w:val="00D43B94"/>
    <w:rsid w:val="00D44A4B"/>
    <w:rsid w:val="00D453F0"/>
    <w:rsid w:val="00D455F4"/>
    <w:rsid w:val="00D474A4"/>
    <w:rsid w:val="00D475A6"/>
    <w:rsid w:val="00D47805"/>
    <w:rsid w:val="00D47D76"/>
    <w:rsid w:val="00D47E02"/>
    <w:rsid w:val="00D50468"/>
    <w:rsid w:val="00D5244E"/>
    <w:rsid w:val="00D53375"/>
    <w:rsid w:val="00D537E1"/>
    <w:rsid w:val="00D541C1"/>
    <w:rsid w:val="00D54DDD"/>
    <w:rsid w:val="00D54E5A"/>
    <w:rsid w:val="00D5555B"/>
    <w:rsid w:val="00D55AAB"/>
    <w:rsid w:val="00D55BB2"/>
    <w:rsid w:val="00D562A6"/>
    <w:rsid w:val="00D56B59"/>
    <w:rsid w:val="00D57BF9"/>
    <w:rsid w:val="00D57E45"/>
    <w:rsid w:val="00D57F18"/>
    <w:rsid w:val="00D60697"/>
    <w:rsid w:val="00D6091A"/>
    <w:rsid w:val="00D61CA0"/>
    <w:rsid w:val="00D62861"/>
    <w:rsid w:val="00D62D90"/>
    <w:rsid w:val="00D62E2C"/>
    <w:rsid w:val="00D64751"/>
    <w:rsid w:val="00D65602"/>
    <w:rsid w:val="00D65879"/>
    <w:rsid w:val="00D6605A"/>
    <w:rsid w:val="00D66343"/>
    <w:rsid w:val="00D66384"/>
    <w:rsid w:val="00D6691A"/>
    <w:rsid w:val="00D6695F"/>
    <w:rsid w:val="00D67766"/>
    <w:rsid w:val="00D678ED"/>
    <w:rsid w:val="00D67C92"/>
    <w:rsid w:val="00D67D31"/>
    <w:rsid w:val="00D707B8"/>
    <w:rsid w:val="00D71E2E"/>
    <w:rsid w:val="00D72433"/>
    <w:rsid w:val="00D7289E"/>
    <w:rsid w:val="00D735C3"/>
    <w:rsid w:val="00D73DDB"/>
    <w:rsid w:val="00D74056"/>
    <w:rsid w:val="00D74511"/>
    <w:rsid w:val="00D74E4C"/>
    <w:rsid w:val="00D75556"/>
    <w:rsid w:val="00D75644"/>
    <w:rsid w:val="00D760C8"/>
    <w:rsid w:val="00D764F2"/>
    <w:rsid w:val="00D770DB"/>
    <w:rsid w:val="00D7741A"/>
    <w:rsid w:val="00D8059A"/>
    <w:rsid w:val="00D8090B"/>
    <w:rsid w:val="00D81656"/>
    <w:rsid w:val="00D8197A"/>
    <w:rsid w:val="00D82271"/>
    <w:rsid w:val="00D822F1"/>
    <w:rsid w:val="00D82424"/>
    <w:rsid w:val="00D8280A"/>
    <w:rsid w:val="00D82976"/>
    <w:rsid w:val="00D83508"/>
    <w:rsid w:val="00D83D87"/>
    <w:rsid w:val="00D83F9F"/>
    <w:rsid w:val="00D84A6D"/>
    <w:rsid w:val="00D85F4A"/>
    <w:rsid w:val="00D86A30"/>
    <w:rsid w:val="00D86AAA"/>
    <w:rsid w:val="00D871B7"/>
    <w:rsid w:val="00D87B76"/>
    <w:rsid w:val="00D87EBC"/>
    <w:rsid w:val="00D90400"/>
    <w:rsid w:val="00D9041E"/>
    <w:rsid w:val="00D9097F"/>
    <w:rsid w:val="00D9158F"/>
    <w:rsid w:val="00D917ED"/>
    <w:rsid w:val="00D91BAB"/>
    <w:rsid w:val="00D925F7"/>
    <w:rsid w:val="00D92A4C"/>
    <w:rsid w:val="00D92B5D"/>
    <w:rsid w:val="00D92D01"/>
    <w:rsid w:val="00D936E7"/>
    <w:rsid w:val="00D93DB8"/>
    <w:rsid w:val="00D94FB2"/>
    <w:rsid w:val="00D959FD"/>
    <w:rsid w:val="00D95D05"/>
    <w:rsid w:val="00D95FBA"/>
    <w:rsid w:val="00D96BCB"/>
    <w:rsid w:val="00D9700A"/>
    <w:rsid w:val="00D97879"/>
    <w:rsid w:val="00D978BD"/>
    <w:rsid w:val="00D97CB4"/>
    <w:rsid w:val="00D97DD4"/>
    <w:rsid w:val="00DA0176"/>
    <w:rsid w:val="00DA0EBC"/>
    <w:rsid w:val="00DA1035"/>
    <w:rsid w:val="00DA1230"/>
    <w:rsid w:val="00DA1CC7"/>
    <w:rsid w:val="00DA231C"/>
    <w:rsid w:val="00DA24D3"/>
    <w:rsid w:val="00DA2795"/>
    <w:rsid w:val="00DA2D1D"/>
    <w:rsid w:val="00DA33A7"/>
    <w:rsid w:val="00DA3877"/>
    <w:rsid w:val="00DA3DB5"/>
    <w:rsid w:val="00DA4336"/>
    <w:rsid w:val="00DA4F41"/>
    <w:rsid w:val="00DA5A5B"/>
    <w:rsid w:val="00DA5A8A"/>
    <w:rsid w:val="00DA5AA5"/>
    <w:rsid w:val="00DA61CD"/>
    <w:rsid w:val="00DA62EE"/>
    <w:rsid w:val="00DA77F0"/>
    <w:rsid w:val="00DA79CB"/>
    <w:rsid w:val="00DB1A03"/>
    <w:rsid w:val="00DB1E75"/>
    <w:rsid w:val="00DB2476"/>
    <w:rsid w:val="00DB26CD"/>
    <w:rsid w:val="00DB3292"/>
    <w:rsid w:val="00DB40E2"/>
    <w:rsid w:val="00DB4212"/>
    <w:rsid w:val="00DB441C"/>
    <w:rsid w:val="00DB44AF"/>
    <w:rsid w:val="00DB49E7"/>
    <w:rsid w:val="00DB4D3C"/>
    <w:rsid w:val="00DB5813"/>
    <w:rsid w:val="00DB58E1"/>
    <w:rsid w:val="00DB5F7C"/>
    <w:rsid w:val="00DB631A"/>
    <w:rsid w:val="00DB720F"/>
    <w:rsid w:val="00DB7523"/>
    <w:rsid w:val="00DB7E18"/>
    <w:rsid w:val="00DC0A1C"/>
    <w:rsid w:val="00DC0AF7"/>
    <w:rsid w:val="00DC0C77"/>
    <w:rsid w:val="00DC0D83"/>
    <w:rsid w:val="00DC129F"/>
    <w:rsid w:val="00DC16DA"/>
    <w:rsid w:val="00DC19C4"/>
    <w:rsid w:val="00DC1F58"/>
    <w:rsid w:val="00DC216A"/>
    <w:rsid w:val="00DC29CF"/>
    <w:rsid w:val="00DC2B8E"/>
    <w:rsid w:val="00DC339B"/>
    <w:rsid w:val="00DC5D40"/>
    <w:rsid w:val="00DC6837"/>
    <w:rsid w:val="00DC69A7"/>
    <w:rsid w:val="00DC7094"/>
    <w:rsid w:val="00DC765B"/>
    <w:rsid w:val="00DC7F43"/>
    <w:rsid w:val="00DD155C"/>
    <w:rsid w:val="00DD2158"/>
    <w:rsid w:val="00DD21C5"/>
    <w:rsid w:val="00DD2353"/>
    <w:rsid w:val="00DD30E9"/>
    <w:rsid w:val="00DD3335"/>
    <w:rsid w:val="00DD3749"/>
    <w:rsid w:val="00DD4D28"/>
    <w:rsid w:val="00DD4EFF"/>
    <w:rsid w:val="00DD4F47"/>
    <w:rsid w:val="00DD4FDC"/>
    <w:rsid w:val="00DD5922"/>
    <w:rsid w:val="00DD61DD"/>
    <w:rsid w:val="00DD6420"/>
    <w:rsid w:val="00DD7B00"/>
    <w:rsid w:val="00DD7FBB"/>
    <w:rsid w:val="00DE09AA"/>
    <w:rsid w:val="00DE0B9F"/>
    <w:rsid w:val="00DE1EE2"/>
    <w:rsid w:val="00DE1FA1"/>
    <w:rsid w:val="00DE3246"/>
    <w:rsid w:val="00DE333F"/>
    <w:rsid w:val="00DE3B17"/>
    <w:rsid w:val="00DE3D31"/>
    <w:rsid w:val="00DE4238"/>
    <w:rsid w:val="00DE4793"/>
    <w:rsid w:val="00DE49C3"/>
    <w:rsid w:val="00DE63FC"/>
    <w:rsid w:val="00DE6464"/>
    <w:rsid w:val="00DE657F"/>
    <w:rsid w:val="00DE71A2"/>
    <w:rsid w:val="00DF01F8"/>
    <w:rsid w:val="00DF0490"/>
    <w:rsid w:val="00DF09A6"/>
    <w:rsid w:val="00DF1088"/>
    <w:rsid w:val="00DF1218"/>
    <w:rsid w:val="00DF1455"/>
    <w:rsid w:val="00DF179E"/>
    <w:rsid w:val="00DF1939"/>
    <w:rsid w:val="00DF309B"/>
    <w:rsid w:val="00DF38E0"/>
    <w:rsid w:val="00DF3A04"/>
    <w:rsid w:val="00DF3D1D"/>
    <w:rsid w:val="00DF4786"/>
    <w:rsid w:val="00DF5303"/>
    <w:rsid w:val="00DF53E6"/>
    <w:rsid w:val="00DF5A20"/>
    <w:rsid w:val="00DF5E40"/>
    <w:rsid w:val="00DF6462"/>
    <w:rsid w:val="00DF6658"/>
    <w:rsid w:val="00DF7470"/>
    <w:rsid w:val="00DF7997"/>
    <w:rsid w:val="00E008F6"/>
    <w:rsid w:val="00E0127B"/>
    <w:rsid w:val="00E01408"/>
    <w:rsid w:val="00E01BED"/>
    <w:rsid w:val="00E01C2E"/>
    <w:rsid w:val="00E01DCD"/>
    <w:rsid w:val="00E01F55"/>
    <w:rsid w:val="00E01F87"/>
    <w:rsid w:val="00E0204F"/>
    <w:rsid w:val="00E02385"/>
    <w:rsid w:val="00E029FC"/>
    <w:rsid w:val="00E02FA0"/>
    <w:rsid w:val="00E03539"/>
    <w:rsid w:val="00E036DC"/>
    <w:rsid w:val="00E04378"/>
    <w:rsid w:val="00E04C06"/>
    <w:rsid w:val="00E04C57"/>
    <w:rsid w:val="00E053E2"/>
    <w:rsid w:val="00E0559E"/>
    <w:rsid w:val="00E05C71"/>
    <w:rsid w:val="00E05CE6"/>
    <w:rsid w:val="00E064BF"/>
    <w:rsid w:val="00E10454"/>
    <w:rsid w:val="00E10831"/>
    <w:rsid w:val="00E10DF9"/>
    <w:rsid w:val="00E112E5"/>
    <w:rsid w:val="00E115AA"/>
    <w:rsid w:val="00E11B00"/>
    <w:rsid w:val="00E12CC8"/>
    <w:rsid w:val="00E12E1C"/>
    <w:rsid w:val="00E134AC"/>
    <w:rsid w:val="00E142B8"/>
    <w:rsid w:val="00E14942"/>
    <w:rsid w:val="00E152B5"/>
    <w:rsid w:val="00E15352"/>
    <w:rsid w:val="00E16193"/>
    <w:rsid w:val="00E16271"/>
    <w:rsid w:val="00E162B6"/>
    <w:rsid w:val="00E16331"/>
    <w:rsid w:val="00E16570"/>
    <w:rsid w:val="00E1726F"/>
    <w:rsid w:val="00E178DB"/>
    <w:rsid w:val="00E17F17"/>
    <w:rsid w:val="00E20991"/>
    <w:rsid w:val="00E20C2E"/>
    <w:rsid w:val="00E2146A"/>
    <w:rsid w:val="00E216C0"/>
    <w:rsid w:val="00E21CC7"/>
    <w:rsid w:val="00E21DD0"/>
    <w:rsid w:val="00E21E93"/>
    <w:rsid w:val="00E21F4F"/>
    <w:rsid w:val="00E22C38"/>
    <w:rsid w:val="00E22F9C"/>
    <w:rsid w:val="00E23441"/>
    <w:rsid w:val="00E23522"/>
    <w:rsid w:val="00E2428E"/>
    <w:rsid w:val="00E2432F"/>
    <w:rsid w:val="00E24D9E"/>
    <w:rsid w:val="00E2544B"/>
    <w:rsid w:val="00E25849"/>
    <w:rsid w:val="00E261EE"/>
    <w:rsid w:val="00E26259"/>
    <w:rsid w:val="00E2661C"/>
    <w:rsid w:val="00E27287"/>
    <w:rsid w:val="00E276B3"/>
    <w:rsid w:val="00E306E5"/>
    <w:rsid w:val="00E3197E"/>
    <w:rsid w:val="00E31AB5"/>
    <w:rsid w:val="00E3301F"/>
    <w:rsid w:val="00E33131"/>
    <w:rsid w:val="00E338E3"/>
    <w:rsid w:val="00E33BEF"/>
    <w:rsid w:val="00E33DCE"/>
    <w:rsid w:val="00E342F8"/>
    <w:rsid w:val="00E351ED"/>
    <w:rsid w:val="00E363AF"/>
    <w:rsid w:val="00E367E5"/>
    <w:rsid w:val="00E3695A"/>
    <w:rsid w:val="00E36CB1"/>
    <w:rsid w:val="00E37828"/>
    <w:rsid w:val="00E37D28"/>
    <w:rsid w:val="00E40B1A"/>
    <w:rsid w:val="00E40FDE"/>
    <w:rsid w:val="00E4185B"/>
    <w:rsid w:val="00E426A1"/>
    <w:rsid w:val="00E42893"/>
    <w:rsid w:val="00E42A25"/>
    <w:rsid w:val="00E42CDC"/>
    <w:rsid w:val="00E433F9"/>
    <w:rsid w:val="00E43484"/>
    <w:rsid w:val="00E436E0"/>
    <w:rsid w:val="00E439D5"/>
    <w:rsid w:val="00E44033"/>
    <w:rsid w:val="00E4439D"/>
    <w:rsid w:val="00E44577"/>
    <w:rsid w:val="00E44C16"/>
    <w:rsid w:val="00E44C60"/>
    <w:rsid w:val="00E451DC"/>
    <w:rsid w:val="00E46F2D"/>
    <w:rsid w:val="00E4725E"/>
    <w:rsid w:val="00E47C48"/>
    <w:rsid w:val="00E50156"/>
    <w:rsid w:val="00E513CA"/>
    <w:rsid w:val="00E5180F"/>
    <w:rsid w:val="00E54316"/>
    <w:rsid w:val="00E54899"/>
    <w:rsid w:val="00E54CC1"/>
    <w:rsid w:val="00E54EBB"/>
    <w:rsid w:val="00E5526C"/>
    <w:rsid w:val="00E552C3"/>
    <w:rsid w:val="00E55784"/>
    <w:rsid w:val="00E55928"/>
    <w:rsid w:val="00E55937"/>
    <w:rsid w:val="00E55C59"/>
    <w:rsid w:val="00E56C81"/>
    <w:rsid w:val="00E575AF"/>
    <w:rsid w:val="00E6034B"/>
    <w:rsid w:val="00E603FE"/>
    <w:rsid w:val="00E60CE2"/>
    <w:rsid w:val="00E60EFA"/>
    <w:rsid w:val="00E6158E"/>
    <w:rsid w:val="00E61B5C"/>
    <w:rsid w:val="00E6209B"/>
    <w:rsid w:val="00E621DB"/>
    <w:rsid w:val="00E62657"/>
    <w:rsid w:val="00E63887"/>
    <w:rsid w:val="00E63CC6"/>
    <w:rsid w:val="00E63D8C"/>
    <w:rsid w:val="00E6402A"/>
    <w:rsid w:val="00E6475F"/>
    <w:rsid w:val="00E651E3"/>
    <w:rsid w:val="00E6549E"/>
    <w:rsid w:val="00E657AC"/>
    <w:rsid w:val="00E657E2"/>
    <w:rsid w:val="00E65BE0"/>
    <w:rsid w:val="00E65C73"/>
    <w:rsid w:val="00E65EDE"/>
    <w:rsid w:val="00E65F6D"/>
    <w:rsid w:val="00E66020"/>
    <w:rsid w:val="00E66040"/>
    <w:rsid w:val="00E667B2"/>
    <w:rsid w:val="00E6718E"/>
    <w:rsid w:val="00E671C1"/>
    <w:rsid w:val="00E67534"/>
    <w:rsid w:val="00E67DA5"/>
    <w:rsid w:val="00E70F81"/>
    <w:rsid w:val="00E71F1E"/>
    <w:rsid w:val="00E71F51"/>
    <w:rsid w:val="00E720D5"/>
    <w:rsid w:val="00E72D98"/>
    <w:rsid w:val="00E7316F"/>
    <w:rsid w:val="00E7334B"/>
    <w:rsid w:val="00E737B3"/>
    <w:rsid w:val="00E75054"/>
    <w:rsid w:val="00E756E0"/>
    <w:rsid w:val="00E75C97"/>
    <w:rsid w:val="00E761B0"/>
    <w:rsid w:val="00E76E8A"/>
    <w:rsid w:val="00E77055"/>
    <w:rsid w:val="00E77460"/>
    <w:rsid w:val="00E776AE"/>
    <w:rsid w:val="00E77A97"/>
    <w:rsid w:val="00E77FE5"/>
    <w:rsid w:val="00E8038E"/>
    <w:rsid w:val="00E83313"/>
    <w:rsid w:val="00E83ABC"/>
    <w:rsid w:val="00E83F35"/>
    <w:rsid w:val="00E844F2"/>
    <w:rsid w:val="00E8565A"/>
    <w:rsid w:val="00E85958"/>
    <w:rsid w:val="00E85AB6"/>
    <w:rsid w:val="00E87A7F"/>
    <w:rsid w:val="00E87C47"/>
    <w:rsid w:val="00E87F46"/>
    <w:rsid w:val="00E90475"/>
    <w:rsid w:val="00E90AD0"/>
    <w:rsid w:val="00E90FA5"/>
    <w:rsid w:val="00E91A62"/>
    <w:rsid w:val="00E92010"/>
    <w:rsid w:val="00E92C4C"/>
    <w:rsid w:val="00E92FCB"/>
    <w:rsid w:val="00E93070"/>
    <w:rsid w:val="00E94132"/>
    <w:rsid w:val="00E94425"/>
    <w:rsid w:val="00E9461F"/>
    <w:rsid w:val="00E94AF6"/>
    <w:rsid w:val="00E94EEF"/>
    <w:rsid w:val="00E95CAE"/>
    <w:rsid w:val="00E97021"/>
    <w:rsid w:val="00E9771E"/>
    <w:rsid w:val="00E97C2C"/>
    <w:rsid w:val="00EA0792"/>
    <w:rsid w:val="00EA0AD1"/>
    <w:rsid w:val="00EA0BBB"/>
    <w:rsid w:val="00EA0C65"/>
    <w:rsid w:val="00EA147F"/>
    <w:rsid w:val="00EA1A13"/>
    <w:rsid w:val="00EA2E75"/>
    <w:rsid w:val="00EA378E"/>
    <w:rsid w:val="00EA42F9"/>
    <w:rsid w:val="00EA4305"/>
    <w:rsid w:val="00EA43B0"/>
    <w:rsid w:val="00EA4476"/>
    <w:rsid w:val="00EA460A"/>
    <w:rsid w:val="00EA4A27"/>
    <w:rsid w:val="00EA4C59"/>
    <w:rsid w:val="00EA4E98"/>
    <w:rsid w:val="00EA4FA6"/>
    <w:rsid w:val="00EA506D"/>
    <w:rsid w:val="00EA73F8"/>
    <w:rsid w:val="00EB003B"/>
    <w:rsid w:val="00EB0313"/>
    <w:rsid w:val="00EB0F94"/>
    <w:rsid w:val="00EB1558"/>
    <w:rsid w:val="00EB15E2"/>
    <w:rsid w:val="00EB1752"/>
    <w:rsid w:val="00EB1A25"/>
    <w:rsid w:val="00EB2308"/>
    <w:rsid w:val="00EB2384"/>
    <w:rsid w:val="00EB24B0"/>
    <w:rsid w:val="00EB24C3"/>
    <w:rsid w:val="00EB24D9"/>
    <w:rsid w:val="00EB259F"/>
    <w:rsid w:val="00EB351E"/>
    <w:rsid w:val="00EB368A"/>
    <w:rsid w:val="00EB36BE"/>
    <w:rsid w:val="00EB3A41"/>
    <w:rsid w:val="00EB4BA8"/>
    <w:rsid w:val="00EB5E1D"/>
    <w:rsid w:val="00EB5EDC"/>
    <w:rsid w:val="00EB60A5"/>
    <w:rsid w:val="00EB7345"/>
    <w:rsid w:val="00EC00B3"/>
    <w:rsid w:val="00EC075A"/>
    <w:rsid w:val="00EC1712"/>
    <w:rsid w:val="00EC1F8F"/>
    <w:rsid w:val="00EC250A"/>
    <w:rsid w:val="00EC2B4B"/>
    <w:rsid w:val="00EC3E85"/>
    <w:rsid w:val="00EC43F5"/>
    <w:rsid w:val="00EC4976"/>
    <w:rsid w:val="00EC4A81"/>
    <w:rsid w:val="00EC50A6"/>
    <w:rsid w:val="00EC5B20"/>
    <w:rsid w:val="00EC5EBA"/>
    <w:rsid w:val="00EC6428"/>
    <w:rsid w:val="00EC680D"/>
    <w:rsid w:val="00EC70A2"/>
    <w:rsid w:val="00EC7687"/>
    <w:rsid w:val="00EC7A94"/>
    <w:rsid w:val="00ED03AB"/>
    <w:rsid w:val="00ED062B"/>
    <w:rsid w:val="00ED13B5"/>
    <w:rsid w:val="00ED1708"/>
    <w:rsid w:val="00ED18DE"/>
    <w:rsid w:val="00ED1CB3"/>
    <w:rsid w:val="00ED1CD4"/>
    <w:rsid w:val="00ED1D2B"/>
    <w:rsid w:val="00ED254D"/>
    <w:rsid w:val="00ED2CBC"/>
    <w:rsid w:val="00ED3CCC"/>
    <w:rsid w:val="00ED3DDB"/>
    <w:rsid w:val="00ED4321"/>
    <w:rsid w:val="00ED4FDF"/>
    <w:rsid w:val="00ED537C"/>
    <w:rsid w:val="00ED5E12"/>
    <w:rsid w:val="00ED5E22"/>
    <w:rsid w:val="00ED5FE8"/>
    <w:rsid w:val="00ED64B5"/>
    <w:rsid w:val="00ED66D8"/>
    <w:rsid w:val="00ED70F9"/>
    <w:rsid w:val="00ED7511"/>
    <w:rsid w:val="00ED7D65"/>
    <w:rsid w:val="00ED7DFC"/>
    <w:rsid w:val="00ED7F76"/>
    <w:rsid w:val="00EE0443"/>
    <w:rsid w:val="00EE1F8B"/>
    <w:rsid w:val="00EE25D7"/>
    <w:rsid w:val="00EE334D"/>
    <w:rsid w:val="00EE3877"/>
    <w:rsid w:val="00EE45B0"/>
    <w:rsid w:val="00EE4D22"/>
    <w:rsid w:val="00EE554C"/>
    <w:rsid w:val="00EE5BA1"/>
    <w:rsid w:val="00EE6270"/>
    <w:rsid w:val="00EE63CC"/>
    <w:rsid w:val="00EE7278"/>
    <w:rsid w:val="00EE78C8"/>
    <w:rsid w:val="00EE7CCA"/>
    <w:rsid w:val="00EF03F6"/>
    <w:rsid w:val="00EF086B"/>
    <w:rsid w:val="00EF10F8"/>
    <w:rsid w:val="00EF1548"/>
    <w:rsid w:val="00EF1B61"/>
    <w:rsid w:val="00EF1EBE"/>
    <w:rsid w:val="00EF2E69"/>
    <w:rsid w:val="00EF2FB6"/>
    <w:rsid w:val="00EF33F1"/>
    <w:rsid w:val="00EF34CC"/>
    <w:rsid w:val="00EF38DB"/>
    <w:rsid w:val="00EF3A35"/>
    <w:rsid w:val="00EF3D5B"/>
    <w:rsid w:val="00EF3DF1"/>
    <w:rsid w:val="00EF5074"/>
    <w:rsid w:val="00EF5F66"/>
    <w:rsid w:val="00EF5FB1"/>
    <w:rsid w:val="00EF607E"/>
    <w:rsid w:val="00EF6E08"/>
    <w:rsid w:val="00EF74A6"/>
    <w:rsid w:val="00EF7FB1"/>
    <w:rsid w:val="00F008D8"/>
    <w:rsid w:val="00F00ABE"/>
    <w:rsid w:val="00F00B2A"/>
    <w:rsid w:val="00F0108D"/>
    <w:rsid w:val="00F0207A"/>
    <w:rsid w:val="00F02876"/>
    <w:rsid w:val="00F02D2A"/>
    <w:rsid w:val="00F02D2C"/>
    <w:rsid w:val="00F03DD6"/>
    <w:rsid w:val="00F04399"/>
    <w:rsid w:val="00F0449F"/>
    <w:rsid w:val="00F04BAB"/>
    <w:rsid w:val="00F05651"/>
    <w:rsid w:val="00F05D88"/>
    <w:rsid w:val="00F0650D"/>
    <w:rsid w:val="00F07D71"/>
    <w:rsid w:val="00F102CD"/>
    <w:rsid w:val="00F11F4B"/>
    <w:rsid w:val="00F123D1"/>
    <w:rsid w:val="00F12D41"/>
    <w:rsid w:val="00F14D2B"/>
    <w:rsid w:val="00F14F3F"/>
    <w:rsid w:val="00F154EB"/>
    <w:rsid w:val="00F15995"/>
    <w:rsid w:val="00F16A14"/>
    <w:rsid w:val="00F17200"/>
    <w:rsid w:val="00F17330"/>
    <w:rsid w:val="00F17C68"/>
    <w:rsid w:val="00F20A0B"/>
    <w:rsid w:val="00F20C84"/>
    <w:rsid w:val="00F21067"/>
    <w:rsid w:val="00F218A7"/>
    <w:rsid w:val="00F21E0E"/>
    <w:rsid w:val="00F223CB"/>
    <w:rsid w:val="00F22684"/>
    <w:rsid w:val="00F22B1A"/>
    <w:rsid w:val="00F22E69"/>
    <w:rsid w:val="00F2321E"/>
    <w:rsid w:val="00F238E0"/>
    <w:rsid w:val="00F23A52"/>
    <w:rsid w:val="00F23AEF"/>
    <w:rsid w:val="00F25297"/>
    <w:rsid w:val="00F252FB"/>
    <w:rsid w:val="00F25419"/>
    <w:rsid w:val="00F256D8"/>
    <w:rsid w:val="00F259DA"/>
    <w:rsid w:val="00F25DC4"/>
    <w:rsid w:val="00F260DC"/>
    <w:rsid w:val="00F26405"/>
    <w:rsid w:val="00F27021"/>
    <w:rsid w:val="00F302D7"/>
    <w:rsid w:val="00F30BBA"/>
    <w:rsid w:val="00F30BC8"/>
    <w:rsid w:val="00F313F9"/>
    <w:rsid w:val="00F31B87"/>
    <w:rsid w:val="00F31FCB"/>
    <w:rsid w:val="00F3226C"/>
    <w:rsid w:val="00F336D8"/>
    <w:rsid w:val="00F33FBE"/>
    <w:rsid w:val="00F34427"/>
    <w:rsid w:val="00F34D0D"/>
    <w:rsid w:val="00F3583B"/>
    <w:rsid w:val="00F35FFE"/>
    <w:rsid w:val="00F362D7"/>
    <w:rsid w:val="00F3688D"/>
    <w:rsid w:val="00F36B46"/>
    <w:rsid w:val="00F36DEF"/>
    <w:rsid w:val="00F36E95"/>
    <w:rsid w:val="00F3715A"/>
    <w:rsid w:val="00F37536"/>
    <w:rsid w:val="00F37C75"/>
    <w:rsid w:val="00F37D7B"/>
    <w:rsid w:val="00F40D53"/>
    <w:rsid w:val="00F41567"/>
    <w:rsid w:val="00F4371F"/>
    <w:rsid w:val="00F4463C"/>
    <w:rsid w:val="00F44BE7"/>
    <w:rsid w:val="00F44F10"/>
    <w:rsid w:val="00F45808"/>
    <w:rsid w:val="00F45ABF"/>
    <w:rsid w:val="00F46965"/>
    <w:rsid w:val="00F47447"/>
    <w:rsid w:val="00F47AFC"/>
    <w:rsid w:val="00F47C62"/>
    <w:rsid w:val="00F47E9E"/>
    <w:rsid w:val="00F50301"/>
    <w:rsid w:val="00F506E5"/>
    <w:rsid w:val="00F50754"/>
    <w:rsid w:val="00F51B65"/>
    <w:rsid w:val="00F51E92"/>
    <w:rsid w:val="00F5245C"/>
    <w:rsid w:val="00F5314C"/>
    <w:rsid w:val="00F531AB"/>
    <w:rsid w:val="00F53949"/>
    <w:rsid w:val="00F540C5"/>
    <w:rsid w:val="00F54675"/>
    <w:rsid w:val="00F54B50"/>
    <w:rsid w:val="00F54EC6"/>
    <w:rsid w:val="00F5546A"/>
    <w:rsid w:val="00F55B06"/>
    <w:rsid w:val="00F5688C"/>
    <w:rsid w:val="00F56E2B"/>
    <w:rsid w:val="00F6164B"/>
    <w:rsid w:val="00F61EC7"/>
    <w:rsid w:val="00F61F87"/>
    <w:rsid w:val="00F62A70"/>
    <w:rsid w:val="00F62C16"/>
    <w:rsid w:val="00F632F4"/>
    <w:rsid w:val="00F635DD"/>
    <w:rsid w:val="00F641DF"/>
    <w:rsid w:val="00F650CF"/>
    <w:rsid w:val="00F658BD"/>
    <w:rsid w:val="00F658D0"/>
    <w:rsid w:val="00F6627B"/>
    <w:rsid w:val="00F6648A"/>
    <w:rsid w:val="00F6685E"/>
    <w:rsid w:val="00F67CF2"/>
    <w:rsid w:val="00F70BA4"/>
    <w:rsid w:val="00F71ACF"/>
    <w:rsid w:val="00F71C4B"/>
    <w:rsid w:val="00F72255"/>
    <w:rsid w:val="00F726E8"/>
    <w:rsid w:val="00F727AC"/>
    <w:rsid w:val="00F728B2"/>
    <w:rsid w:val="00F730F8"/>
    <w:rsid w:val="00F7336E"/>
    <w:rsid w:val="00F734F2"/>
    <w:rsid w:val="00F737B6"/>
    <w:rsid w:val="00F742B2"/>
    <w:rsid w:val="00F74452"/>
    <w:rsid w:val="00F74DCB"/>
    <w:rsid w:val="00F75052"/>
    <w:rsid w:val="00F75B3A"/>
    <w:rsid w:val="00F762AB"/>
    <w:rsid w:val="00F7694B"/>
    <w:rsid w:val="00F76FCF"/>
    <w:rsid w:val="00F7710E"/>
    <w:rsid w:val="00F7775B"/>
    <w:rsid w:val="00F77BFA"/>
    <w:rsid w:val="00F804D3"/>
    <w:rsid w:val="00F80D81"/>
    <w:rsid w:val="00F8115C"/>
    <w:rsid w:val="00F819B0"/>
    <w:rsid w:val="00F81A3C"/>
    <w:rsid w:val="00F81CD2"/>
    <w:rsid w:val="00F81EEF"/>
    <w:rsid w:val="00F82488"/>
    <w:rsid w:val="00F825FF"/>
    <w:rsid w:val="00F82641"/>
    <w:rsid w:val="00F82699"/>
    <w:rsid w:val="00F8329B"/>
    <w:rsid w:val="00F835D5"/>
    <w:rsid w:val="00F837E6"/>
    <w:rsid w:val="00F84156"/>
    <w:rsid w:val="00F84947"/>
    <w:rsid w:val="00F84B7F"/>
    <w:rsid w:val="00F863B0"/>
    <w:rsid w:val="00F86B16"/>
    <w:rsid w:val="00F870C5"/>
    <w:rsid w:val="00F90F18"/>
    <w:rsid w:val="00F911C5"/>
    <w:rsid w:val="00F91525"/>
    <w:rsid w:val="00F91C41"/>
    <w:rsid w:val="00F91CD9"/>
    <w:rsid w:val="00F91FD6"/>
    <w:rsid w:val="00F9213F"/>
    <w:rsid w:val="00F92BDA"/>
    <w:rsid w:val="00F930F3"/>
    <w:rsid w:val="00F937E4"/>
    <w:rsid w:val="00F9383C"/>
    <w:rsid w:val="00F94845"/>
    <w:rsid w:val="00F94E49"/>
    <w:rsid w:val="00F94E58"/>
    <w:rsid w:val="00F950A0"/>
    <w:rsid w:val="00F9548F"/>
    <w:rsid w:val="00F954E4"/>
    <w:rsid w:val="00F95B59"/>
    <w:rsid w:val="00F95EE7"/>
    <w:rsid w:val="00F9643E"/>
    <w:rsid w:val="00F964D5"/>
    <w:rsid w:val="00F96F9E"/>
    <w:rsid w:val="00F9791E"/>
    <w:rsid w:val="00FA0DEF"/>
    <w:rsid w:val="00FA0F03"/>
    <w:rsid w:val="00FA10B0"/>
    <w:rsid w:val="00FA1285"/>
    <w:rsid w:val="00FA16BC"/>
    <w:rsid w:val="00FA17B4"/>
    <w:rsid w:val="00FA1C63"/>
    <w:rsid w:val="00FA39E6"/>
    <w:rsid w:val="00FA40EA"/>
    <w:rsid w:val="00FA5A1A"/>
    <w:rsid w:val="00FA6552"/>
    <w:rsid w:val="00FA6BF5"/>
    <w:rsid w:val="00FA7419"/>
    <w:rsid w:val="00FA79AB"/>
    <w:rsid w:val="00FA7BC9"/>
    <w:rsid w:val="00FB052E"/>
    <w:rsid w:val="00FB0995"/>
    <w:rsid w:val="00FB1C53"/>
    <w:rsid w:val="00FB1D27"/>
    <w:rsid w:val="00FB25E2"/>
    <w:rsid w:val="00FB2B89"/>
    <w:rsid w:val="00FB378E"/>
    <w:rsid w:val="00FB37A0"/>
    <w:rsid w:val="00FB37F1"/>
    <w:rsid w:val="00FB411F"/>
    <w:rsid w:val="00FB43E7"/>
    <w:rsid w:val="00FB46A2"/>
    <w:rsid w:val="00FB46CE"/>
    <w:rsid w:val="00FB47C0"/>
    <w:rsid w:val="00FB494E"/>
    <w:rsid w:val="00FB4E46"/>
    <w:rsid w:val="00FB501B"/>
    <w:rsid w:val="00FB5298"/>
    <w:rsid w:val="00FB54F5"/>
    <w:rsid w:val="00FB56CB"/>
    <w:rsid w:val="00FB57C6"/>
    <w:rsid w:val="00FB621D"/>
    <w:rsid w:val="00FB638C"/>
    <w:rsid w:val="00FB696A"/>
    <w:rsid w:val="00FB6A99"/>
    <w:rsid w:val="00FB6EF1"/>
    <w:rsid w:val="00FB76F6"/>
    <w:rsid w:val="00FB7770"/>
    <w:rsid w:val="00FC24E2"/>
    <w:rsid w:val="00FC362C"/>
    <w:rsid w:val="00FC4DEC"/>
    <w:rsid w:val="00FC5216"/>
    <w:rsid w:val="00FC5379"/>
    <w:rsid w:val="00FC5B36"/>
    <w:rsid w:val="00FC5C83"/>
    <w:rsid w:val="00FC60CE"/>
    <w:rsid w:val="00FC68AC"/>
    <w:rsid w:val="00FC68CE"/>
    <w:rsid w:val="00FC69A1"/>
    <w:rsid w:val="00FC6F47"/>
    <w:rsid w:val="00FC7667"/>
    <w:rsid w:val="00FC7848"/>
    <w:rsid w:val="00FC7E67"/>
    <w:rsid w:val="00FD0302"/>
    <w:rsid w:val="00FD09A8"/>
    <w:rsid w:val="00FD0F95"/>
    <w:rsid w:val="00FD1367"/>
    <w:rsid w:val="00FD25FF"/>
    <w:rsid w:val="00FD2C60"/>
    <w:rsid w:val="00FD36B8"/>
    <w:rsid w:val="00FD3B91"/>
    <w:rsid w:val="00FD3CE2"/>
    <w:rsid w:val="00FD46A4"/>
    <w:rsid w:val="00FD4983"/>
    <w:rsid w:val="00FD517D"/>
    <w:rsid w:val="00FD576B"/>
    <w:rsid w:val="00FD579E"/>
    <w:rsid w:val="00FD600E"/>
    <w:rsid w:val="00FD652D"/>
    <w:rsid w:val="00FD67BC"/>
    <w:rsid w:val="00FD67C6"/>
    <w:rsid w:val="00FD6845"/>
    <w:rsid w:val="00FD69A8"/>
    <w:rsid w:val="00FD7EE0"/>
    <w:rsid w:val="00FE0094"/>
    <w:rsid w:val="00FE0288"/>
    <w:rsid w:val="00FE0549"/>
    <w:rsid w:val="00FE0AC1"/>
    <w:rsid w:val="00FE0AD8"/>
    <w:rsid w:val="00FE0BFD"/>
    <w:rsid w:val="00FE0F3A"/>
    <w:rsid w:val="00FE160B"/>
    <w:rsid w:val="00FE2B35"/>
    <w:rsid w:val="00FE2C44"/>
    <w:rsid w:val="00FE2E7B"/>
    <w:rsid w:val="00FE418F"/>
    <w:rsid w:val="00FE4214"/>
    <w:rsid w:val="00FE4516"/>
    <w:rsid w:val="00FE4769"/>
    <w:rsid w:val="00FE4C57"/>
    <w:rsid w:val="00FE4DCB"/>
    <w:rsid w:val="00FE51ED"/>
    <w:rsid w:val="00FE54D5"/>
    <w:rsid w:val="00FE5E75"/>
    <w:rsid w:val="00FE62B2"/>
    <w:rsid w:val="00FE64C8"/>
    <w:rsid w:val="00FE75EF"/>
    <w:rsid w:val="00FE75F9"/>
    <w:rsid w:val="00FF016F"/>
    <w:rsid w:val="00FF0857"/>
    <w:rsid w:val="00FF122D"/>
    <w:rsid w:val="00FF1587"/>
    <w:rsid w:val="00FF18CA"/>
    <w:rsid w:val="00FF1A8C"/>
    <w:rsid w:val="00FF1E20"/>
    <w:rsid w:val="00FF2073"/>
    <w:rsid w:val="00FF21B2"/>
    <w:rsid w:val="00FF28EA"/>
    <w:rsid w:val="00FF2CFB"/>
    <w:rsid w:val="00FF3484"/>
    <w:rsid w:val="00FF45A2"/>
    <w:rsid w:val="00FF49BF"/>
    <w:rsid w:val="00FF4C4A"/>
    <w:rsid w:val="00FF5081"/>
    <w:rsid w:val="00FF5CC2"/>
    <w:rsid w:val="00FF63AD"/>
    <w:rsid w:val="00FF68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1"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3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一"/>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題號1 字元"/>
    <w:link w:val="1"/>
    <w:rsid w:val="00096D54"/>
    <w:rPr>
      <w:rFonts w:ascii="標楷體" w:eastAsia="標楷體" w:hAnsi="Arial"/>
      <w:bCs/>
      <w:kern w:val="32"/>
      <w:sz w:val="32"/>
      <w:szCs w:val="52"/>
    </w:rPr>
  </w:style>
  <w:style w:type="character" w:customStyle="1" w:styleId="20">
    <w:name w:val="標題 2 字元"/>
    <w:aliases w:val="標題110/111 字元,節 字元,節1 字元"/>
    <w:link w:val="2"/>
    <w:rsid w:val="00096D54"/>
    <w:rPr>
      <w:rFonts w:ascii="標楷體" w:eastAsia="標楷體" w:hAnsi="Arial"/>
      <w:bCs/>
      <w:kern w:val="32"/>
      <w:sz w:val="32"/>
      <w:szCs w:val="48"/>
    </w:rPr>
  </w:style>
  <w:style w:type="character" w:customStyle="1" w:styleId="30">
    <w:name w:val="標題 3 字元"/>
    <w:aliases w:val="(一) 字元"/>
    <w:link w:val="3"/>
    <w:rsid w:val="00096D54"/>
    <w:rPr>
      <w:rFonts w:ascii="標楷體" w:eastAsia="標楷體" w:hAnsi="Arial"/>
      <w:bCs/>
      <w:kern w:val="32"/>
      <w:sz w:val="32"/>
      <w:szCs w:val="36"/>
    </w:rPr>
  </w:style>
  <w:style w:type="character" w:customStyle="1" w:styleId="40">
    <w:name w:val="標題 4 字元"/>
    <w:aliases w:val="一 字元"/>
    <w:link w:val="4"/>
    <w:rsid w:val="00096D54"/>
    <w:rPr>
      <w:rFonts w:ascii="標楷體" w:eastAsia="標楷體" w:hAnsi="Arial"/>
      <w:kern w:val="32"/>
      <w:sz w:val="32"/>
      <w:szCs w:val="36"/>
    </w:rPr>
  </w:style>
  <w:style w:type="character" w:customStyle="1" w:styleId="50">
    <w:name w:val="標題 5 字元"/>
    <w:basedOn w:val="a8"/>
    <w:link w:val="5"/>
    <w:rsid w:val="00E162B6"/>
    <w:rPr>
      <w:rFonts w:ascii="標楷體" w:eastAsia="標楷體" w:hAnsi="Arial"/>
      <w:bCs/>
      <w:kern w:val="32"/>
      <w:sz w:val="32"/>
      <w:szCs w:val="36"/>
    </w:rPr>
  </w:style>
  <w:style w:type="character" w:customStyle="1" w:styleId="60">
    <w:name w:val="標題 6 字元"/>
    <w:link w:val="6"/>
    <w:rsid w:val="00096D54"/>
    <w:rPr>
      <w:rFonts w:ascii="標楷體" w:eastAsia="標楷體" w:hAnsi="Arial"/>
      <w:kern w:val="32"/>
      <w:sz w:val="32"/>
      <w:szCs w:val="36"/>
    </w:rPr>
  </w:style>
  <w:style w:type="character" w:customStyle="1" w:styleId="70">
    <w:name w:val="標題 7 字元"/>
    <w:link w:val="7"/>
    <w:rsid w:val="00096D54"/>
    <w:rPr>
      <w:rFonts w:ascii="標楷體" w:eastAsia="標楷體" w:hAnsi="Arial"/>
      <w:bCs/>
      <w:kern w:val="32"/>
      <w:sz w:val="32"/>
      <w:szCs w:val="36"/>
    </w:rPr>
  </w:style>
  <w:style w:type="character" w:customStyle="1" w:styleId="80">
    <w:name w:val="標題 8 字元"/>
    <w:link w:val="8"/>
    <w:rsid w:val="00096D54"/>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5F4E1B"/>
    <w:pPr>
      <w:tabs>
        <w:tab w:val="left" w:pos="1484"/>
        <w:tab w:val="right" w:leader="hyphen" w:pos="8834"/>
      </w:tabs>
      <w:kinsoku w:val="0"/>
      <w:ind w:left="1361" w:rightChars="16" w:right="54" w:hangingChars="400" w:hanging="1361"/>
    </w:pPr>
    <w:rPr>
      <w:noProof/>
      <w:color w:val="000000" w:themeColor="text1"/>
      <w:szCs w:val="32"/>
    </w:rPr>
  </w:style>
  <w:style w:type="paragraph" w:styleId="22">
    <w:name w:val="toc 2"/>
    <w:basedOn w:val="a7"/>
    <w:next w:val="a7"/>
    <w:autoRedefine/>
    <w:uiPriority w:val="39"/>
    <w:rsid w:val="00AF4D4B"/>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A376F8"/>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link w:val="ae"/>
    <w:uiPriority w:val="99"/>
    <w:rsid w:val="00096D54"/>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link w:val="af5"/>
    <w:uiPriority w:val="99"/>
    <w:rsid w:val="00096D54"/>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
    <w:basedOn w:val="a7"/>
    <w:link w:val="afb"/>
    <w:uiPriority w:val="34"/>
    <w:qFormat/>
    <w:rsid w:val="00687024"/>
    <w:pPr>
      <w:ind w:leftChars="200" w:left="480"/>
    </w:pPr>
  </w:style>
  <w:style w:type="character" w:customStyle="1" w:styleId="afb">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a"/>
    <w:uiPriority w:val="34"/>
    <w:qFormat/>
    <w:rsid w:val="00CD740E"/>
    <w:rPr>
      <w:rFonts w:ascii="標楷體" w:eastAsia="標楷體"/>
      <w:kern w:val="2"/>
      <w:sz w:val="32"/>
    </w:r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styleId="afe">
    <w:name w:val="footnote text"/>
    <w:basedOn w:val="a7"/>
    <w:link w:val="aff"/>
    <w:uiPriority w:val="99"/>
    <w:unhideWhenUsed/>
    <w:rsid w:val="00FE160B"/>
    <w:pPr>
      <w:overflowPunct/>
      <w:autoSpaceDE/>
      <w:autoSpaceDN/>
      <w:snapToGrid w:val="0"/>
      <w:jc w:val="left"/>
    </w:pPr>
    <w:rPr>
      <w:rFonts w:ascii="Times New Roman"/>
      <w:sz w:val="20"/>
    </w:rPr>
  </w:style>
  <w:style w:type="character" w:customStyle="1" w:styleId="aff">
    <w:name w:val="註腳文字 字元"/>
    <w:basedOn w:val="a8"/>
    <w:link w:val="afe"/>
    <w:uiPriority w:val="99"/>
    <w:rsid w:val="00FE160B"/>
    <w:rPr>
      <w:rFonts w:eastAsia="標楷體"/>
      <w:kern w:val="2"/>
    </w:rPr>
  </w:style>
  <w:style w:type="character" w:styleId="aff0">
    <w:name w:val="footnote reference"/>
    <w:basedOn w:val="a8"/>
    <w:uiPriority w:val="99"/>
    <w:unhideWhenUsed/>
    <w:rsid w:val="00FE160B"/>
    <w:rPr>
      <w:vertAlign w:val="superscript"/>
    </w:rPr>
  </w:style>
  <w:style w:type="table" w:customStyle="1" w:styleId="13">
    <w:name w:val="表格格線1"/>
    <w:basedOn w:val="a9"/>
    <w:next w:val="af9"/>
    <w:uiPriority w:val="59"/>
    <w:rsid w:val="001E2B02"/>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分項段落"/>
    <w:basedOn w:val="a7"/>
    <w:rsid w:val="00CA53DE"/>
    <w:pPr>
      <w:overflowPunct/>
      <w:autoSpaceDE/>
      <w:autoSpaceDN/>
      <w:jc w:val="left"/>
    </w:pPr>
    <w:rPr>
      <w:rFonts w:ascii="Times New Roman" w:eastAsia="新細明體"/>
      <w:sz w:val="24"/>
    </w:rPr>
  </w:style>
  <w:style w:type="paragraph" w:styleId="aff2">
    <w:name w:val="caption"/>
    <w:basedOn w:val="a7"/>
    <w:next w:val="a7"/>
    <w:uiPriority w:val="35"/>
    <w:qFormat/>
    <w:rsid w:val="00096D54"/>
    <w:pPr>
      <w:widowControl/>
      <w:overflowPunct/>
      <w:autoSpaceDE/>
      <w:autoSpaceDN/>
      <w:spacing w:after="200"/>
      <w:jc w:val="left"/>
    </w:pPr>
    <w:rPr>
      <w:rFonts w:ascii="Cambria" w:eastAsia="新細明體" w:hAnsi="Cambria"/>
      <w:b/>
      <w:bCs/>
      <w:color w:val="4F81BD"/>
      <w:kern w:val="0"/>
      <w:sz w:val="18"/>
      <w:szCs w:val="18"/>
      <w:lang w:eastAsia="en-US" w:bidi="en-US"/>
    </w:rPr>
  </w:style>
  <w:style w:type="paragraph" w:styleId="aff3">
    <w:name w:val="Title"/>
    <w:basedOn w:val="a7"/>
    <w:next w:val="a7"/>
    <w:link w:val="aff4"/>
    <w:uiPriority w:val="10"/>
    <w:qFormat/>
    <w:rsid w:val="00096D54"/>
    <w:pPr>
      <w:widowControl/>
      <w:pBdr>
        <w:bottom w:val="single" w:sz="8" w:space="4" w:color="4F81BD"/>
      </w:pBdr>
      <w:overflowPunct/>
      <w:autoSpaceDE/>
      <w:autoSpaceDN/>
      <w:spacing w:after="300"/>
      <w:contextualSpacing/>
      <w:jc w:val="left"/>
    </w:pPr>
    <w:rPr>
      <w:rFonts w:ascii="Calibri" w:eastAsia="新細明體" w:hAnsi="Calibri"/>
      <w:color w:val="17365D"/>
      <w:spacing w:val="5"/>
      <w:kern w:val="28"/>
      <w:sz w:val="52"/>
      <w:szCs w:val="52"/>
      <w:lang w:eastAsia="en-US" w:bidi="en-US"/>
    </w:rPr>
  </w:style>
  <w:style w:type="character" w:customStyle="1" w:styleId="aff4">
    <w:name w:val="標題 字元"/>
    <w:basedOn w:val="a8"/>
    <w:link w:val="aff3"/>
    <w:uiPriority w:val="10"/>
    <w:rsid w:val="00096D54"/>
    <w:rPr>
      <w:rFonts w:ascii="Calibri" w:hAnsi="Calibri"/>
      <w:color w:val="17365D"/>
      <w:spacing w:val="5"/>
      <w:kern w:val="28"/>
      <w:sz w:val="52"/>
      <w:szCs w:val="52"/>
      <w:lang w:eastAsia="en-US" w:bidi="en-US"/>
    </w:rPr>
  </w:style>
  <w:style w:type="paragraph" w:styleId="aff5">
    <w:name w:val="Subtitle"/>
    <w:basedOn w:val="a7"/>
    <w:next w:val="a7"/>
    <w:link w:val="aff6"/>
    <w:uiPriority w:val="11"/>
    <w:qFormat/>
    <w:rsid w:val="00096D54"/>
    <w:pPr>
      <w:widowControl/>
      <w:numPr>
        <w:ilvl w:val="1"/>
      </w:numPr>
      <w:overflowPunct/>
      <w:autoSpaceDE/>
      <w:autoSpaceDN/>
      <w:spacing w:after="200" w:line="276" w:lineRule="auto"/>
      <w:jc w:val="left"/>
    </w:pPr>
    <w:rPr>
      <w:rFonts w:ascii="Calibri" w:eastAsia="新細明體" w:hAnsi="Calibri"/>
      <w:i/>
      <w:iCs/>
      <w:color w:val="4F81BD"/>
      <w:spacing w:val="15"/>
      <w:kern w:val="0"/>
      <w:sz w:val="24"/>
      <w:szCs w:val="24"/>
      <w:lang w:eastAsia="en-US" w:bidi="en-US"/>
    </w:rPr>
  </w:style>
  <w:style w:type="character" w:customStyle="1" w:styleId="aff6">
    <w:name w:val="副標題 字元"/>
    <w:basedOn w:val="a8"/>
    <w:link w:val="aff5"/>
    <w:uiPriority w:val="11"/>
    <w:rsid w:val="00096D54"/>
    <w:rPr>
      <w:rFonts w:ascii="Calibri" w:hAnsi="Calibri"/>
      <w:i/>
      <w:iCs/>
      <w:color w:val="4F81BD"/>
      <w:spacing w:val="15"/>
      <w:sz w:val="24"/>
      <w:szCs w:val="24"/>
      <w:lang w:eastAsia="en-US" w:bidi="en-US"/>
    </w:rPr>
  </w:style>
  <w:style w:type="character" w:styleId="aff7">
    <w:name w:val="Strong"/>
    <w:uiPriority w:val="22"/>
    <w:qFormat/>
    <w:rsid w:val="00096D54"/>
    <w:rPr>
      <w:b/>
      <w:bCs/>
    </w:rPr>
  </w:style>
  <w:style w:type="character" w:styleId="aff8">
    <w:name w:val="Emphasis"/>
    <w:uiPriority w:val="20"/>
    <w:qFormat/>
    <w:rsid w:val="00096D54"/>
    <w:rPr>
      <w:i/>
      <w:iCs/>
    </w:rPr>
  </w:style>
  <w:style w:type="character" w:customStyle="1" w:styleId="1-1">
    <w:name w:val="暗色網底 1 - 輔色 1 字元"/>
    <w:link w:val="1-10"/>
    <w:uiPriority w:val="1"/>
    <w:rsid w:val="00096D54"/>
    <w:rPr>
      <w:sz w:val="22"/>
      <w:szCs w:val="22"/>
      <w:lang w:val="en-US" w:eastAsia="en-US" w:bidi="en-US"/>
    </w:rPr>
  </w:style>
  <w:style w:type="table" w:styleId="1-10">
    <w:name w:val="Medium Shading 1 Accent 1"/>
    <w:basedOn w:val="a9"/>
    <w:link w:val="1-1"/>
    <w:uiPriority w:val="1"/>
    <w:semiHidden/>
    <w:unhideWhenUsed/>
    <w:rsid w:val="00096D54"/>
    <w:rPr>
      <w:sz w:val="22"/>
      <w:szCs w:val="22"/>
      <w:lang w:eastAsia="en-US" w:bidi="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2">
    <w:name w:val="暗色格線 2 - 輔色 2 字元"/>
    <w:link w:val="2-20"/>
    <w:uiPriority w:val="29"/>
    <w:rsid w:val="00096D54"/>
    <w:rPr>
      <w:i/>
      <w:iCs/>
      <w:color w:val="000000"/>
    </w:rPr>
  </w:style>
  <w:style w:type="table" w:styleId="2-20">
    <w:name w:val="Medium Grid 2 Accent 2"/>
    <w:basedOn w:val="a9"/>
    <w:link w:val="2-2"/>
    <w:uiPriority w:val="29"/>
    <w:semiHidden/>
    <w:unhideWhenUsed/>
    <w:rsid w:val="00096D54"/>
    <w:rPr>
      <w:i/>
      <w:iCs/>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character" w:customStyle="1" w:styleId="3-2">
    <w:name w:val="暗色格線 3 - 輔色 2 字元"/>
    <w:link w:val="3-20"/>
    <w:uiPriority w:val="30"/>
    <w:rsid w:val="00096D54"/>
    <w:rPr>
      <w:b/>
      <w:bCs/>
      <w:i/>
      <w:iCs/>
      <w:color w:val="4F81BD"/>
    </w:rPr>
  </w:style>
  <w:style w:type="table" w:styleId="3-20">
    <w:name w:val="Medium Grid 3 Accent 2"/>
    <w:basedOn w:val="a9"/>
    <w:link w:val="3-2"/>
    <w:uiPriority w:val="30"/>
    <w:semiHidden/>
    <w:unhideWhenUsed/>
    <w:rsid w:val="00096D54"/>
    <w:rPr>
      <w:b/>
      <w:bCs/>
      <w:i/>
      <w:iCs/>
      <w:color w:val="4F81BD"/>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aff9">
    <w:name w:val="annotation text"/>
    <w:basedOn w:val="a7"/>
    <w:link w:val="affa"/>
    <w:uiPriority w:val="99"/>
    <w:unhideWhenUsed/>
    <w:rsid w:val="00096D54"/>
    <w:pPr>
      <w:widowControl/>
      <w:overflowPunct/>
      <w:autoSpaceDE/>
      <w:autoSpaceDN/>
      <w:spacing w:after="200" w:line="276" w:lineRule="auto"/>
      <w:jc w:val="left"/>
    </w:pPr>
    <w:rPr>
      <w:rFonts w:ascii="Cambria" w:eastAsia="新細明體" w:hAnsi="Cambria"/>
      <w:kern w:val="0"/>
      <w:sz w:val="22"/>
      <w:szCs w:val="22"/>
      <w:lang w:eastAsia="en-US" w:bidi="en-US"/>
    </w:rPr>
  </w:style>
  <w:style w:type="character" w:customStyle="1" w:styleId="affa">
    <w:name w:val="註解文字 字元"/>
    <w:basedOn w:val="a8"/>
    <w:link w:val="aff9"/>
    <w:uiPriority w:val="99"/>
    <w:rsid w:val="00096D54"/>
    <w:rPr>
      <w:rFonts w:ascii="Cambria" w:hAnsi="Cambria"/>
      <w:sz w:val="22"/>
      <w:szCs w:val="22"/>
      <w:lang w:eastAsia="en-US" w:bidi="en-US"/>
    </w:rPr>
  </w:style>
  <w:style w:type="character" w:customStyle="1" w:styleId="affb">
    <w:name w:val="註解主旨 字元"/>
    <w:basedOn w:val="affa"/>
    <w:link w:val="affc"/>
    <w:uiPriority w:val="99"/>
    <w:semiHidden/>
    <w:rsid w:val="00096D54"/>
    <w:rPr>
      <w:rFonts w:ascii="Cambria" w:hAnsi="Cambria"/>
      <w:b/>
      <w:bCs/>
      <w:sz w:val="22"/>
      <w:szCs w:val="22"/>
      <w:lang w:eastAsia="en-US" w:bidi="en-US"/>
    </w:rPr>
  </w:style>
  <w:style w:type="paragraph" w:styleId="affc">
    <w:name w:val="annotation subject"/>
    <w:basedOn w:val="aff9"/>
    <w:next w:val="aff9"/>
    <w:link w:val="affb"/>
    <w:uiPriority w:val="99"/>
    <w:semiHidden/>
    <w:unhideWhenUsed/>
    <w:rsid w:val="00096D54"/>
    <w:rPr>
      <w:b/>
      <w:bCs/>
    </w:rPr>
  </w:style>
  <w:style w:type="paragraph" w:customStyle="1" w:styleId="affd">
    <w:name w:val="條"/>
    <w:basedOn w:val="a7"/>
    <w:rsid w:val="00096D54"/>
    <w:pPr>
      <w:kinsoku w:val="0"/>
      <w:ind w:left="500" w:hangingChars="500" w:hanging="500"/>
      <w:textAlignment w:val="center"/>
    </w:pPr>
    <w:rPr>
      <w:rFonts w:ascii="華康細明體" w:eastAsia="華康細明體" w:hAnsi="細明體"/>
      <w:bCs/>
      <w:sz w:val="21"/>
      <w:szCs w:val="24"/>
    </w:rPr>
  </w:style>
  <w:style w:type="paragraph" w:styleId="a">
    <w:name w:val="List Bullet"/>
    <w:basedOn w:val="a7"/>
    <w:uiPriority w:val="99"/>
    <w:unhideWhenUsed/>
    <w:rsid w:val="00096D54"/>
    <w:pPr>
      <w:widowControl/>
      <w:numPr>
        <w:numId w:val="13"/>
      </w:numPr>
      <w:overflowPunct/>
      <w:autoSpaceDE/>
      <w:autoSpaceDN/>
      <w:spacing w:after="200" w:line="276" w:lineRule="auto"/>
      <w:contextualSpacing/>
      <w:jc w:val="left"/>
    </w:pPr>
    <w:rPr>
      <w:rFonts w:ascii="Cambria" w:eastAsia="新細明體" w:hAnsi="Cambria"/>
      <w:kern w:val="0"/>
      <w:sz w:val="22"/>
      <w:szCs w:val="22"/>
      <w:lang w:eastAsia="en-US" w:bidi="en-US"/>
    </w:rPr>
  </w:style>
  <w:style w:type="paragraph" w:customStyle="1" w:styleId="Default">
    <w:name w:val="Default"/>
    <w:rsid w:val="00096D54"/>
    <w:pPr>
      <w:widowControl w:val="0"/>
      <w:autoSpaceDE w:val="0"/>
      <w:autoSpaceDN w:val="0"/>
      <w:adjustRightInd w:val="0"/>
    </w:pPr>
    <w:rPr>
      <w:rFonts w:ascii="標楷體" w:eastAsia="標楷體" w:hAnsi="Cambria" w:cs="標楷體"/>
      <w:color w:val="000000"/>
      <w:sz w:val="24"/>
      <w:szCs w:val="24"/>
    </w:rPr>
  </w:style>
  <w:style w:type="character" w:customStyle="1" w:styleId="affe">
    <w:name w:val="日期 字元"/>
    <w:basedOn w:val="a8"/>
    <w:link w:val="afff"/>
    <w:uiPriority w:val="99"/>
    <w:semiHidden/>
    <w:rsid w:val="00096D54"/>
    <w:rPr>
      <w:rFonts w:ascii="Cambria" w:hAnsi="Cambria"/>
      <w:sz w:val="22"/>
      <w:szCs w:val="22"/>
      <w:lang w:eastAsia="en-US" w:bidi="en-US"/>
    </w:rPr>
  </w:style>
  <w:style w:type="paragraph" w:styleId="afff">
    <w:name w:val="Date"/>
    <w:basedOn w:val="a7"/>
    <w:next w:val="a7"/>
    <w:link w:val="affe"/>
    <w:uiPriority w:val="99"/>
    <w:semiHidden/>
    <w:unhideWhenUsed/>
    <w:rsid w:val="00096D54"/>
    <w:pPr>
      <w:widowControl/>
      <w:overflowPunct/>
      <w:autoSpaceDE/>
      <w:autoSpaceDN/>
      <w:spacing w:after="200" w:line="276" w:lineRule="auto"/>
      <w:jc w:val="right"/>
    </w:pPr>
    <w:rPr>
      <w:rFonts w:ascii="Cambria" w:eastAsia="新細明體" w:hAnsi="Cambria"/>
      <w:kern w:val="0"/>
      <w:sz w:val="22"/>
      <w:szCs w:val="22"/>
      <w:lang w:eastAsia="en-US" w:bidi="en-US"/>
    </w:rPr>
  </w:style>
  <w:style w:type="character" w:customStyle="1" w:styleId="-1">
    <w:name w:val="彩色清單 - 輔色 1 字元"/>
    <w:link w:val="-10"/>
    <w:uiPriority w:val="34"/>
    <w:rsid w:val="00096D54"/>
    <w:rPr>
      <w:rFonts w:ascii="Calibri" w:hAnsi="Calibri"/>
      <w:kern w:val="2"/>
      <w:sz w:val="24"/>
      <w:szCs w:val="22"/>
    </w:rPr>
  </w:style>
  <w:style w:type="table" w:styleId="-10">
    <w:name w:val="Colorful List Accent 1"/>
    <w:basedOn w:val="a9"/>
    <w:link w:val="-1"/>
    <w:uiPriority w:val="34"/>
    <w:semiHidden/>
    <w:unhideWhenUsed/>
    <w:rsid w:val="00096D54"/>
    <w:rPr>
      <w:rFonts w:ascii="Calibri" w:hAnsi="Calibri"/>
      <w:kern w:val="2"/>
      <w:sz w:val="24"/>
      <w:szCs w:val="22"/>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afff0">
    <w:name w:val="未解析的提及項目"/>
    <w:uiPriority w:val="52"/>
    <w:rsid w:val="00096D54"/>
    <w:rPr>
      <w:color w:val="605E5C"/>
      <w:shd w:val="clear" w:color="auto" w:fill="E1DFDD"/>
    </w:rPr>
  </w:style>
  <w:style w:type="paragraph" w:styleId="Web">
    <w:name w:val="Normal (Web)"/>
    <w:basedOn w:val="a7"/>
    <w:uiPriority w:val="99"/>
    <w:semiHidden/>
    <w:unhideWhenUsed/>
    <w:rsid w:val="002D122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1">
    <w:name w:val="st1"/>
    <w:basedOn w:val="a8"/>
    <w:rsid w:val="0021676A"/>
  </w:style>
  <w:style w:type="character" w:customStyle="1" w:styleId="e24kjd">
    <w:name w:val="e24kjd"/>
    <w:basedOn w:val="a8"/>
    <w:rsid w:val="008635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1"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3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一"/>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題號1 字元"/>
    <w:link w:val="1"/>
    <w:rsid w:val="00096D54"/>
    <w:rPr>
      <w:rFonts w:ascii="標楷體" w:eastAsia="標楷體" w:hAnsi="Arial"/>
      <w:bCs/>
      <w:kern w:val="32"/>
      <w:sz w:val="32"/>
      <w:szCs w:val="52"/>
    </w:rPr>
  </w:style>
  <w:style w:type="character" w:customStyle="1" w:styleId="20">
    <w:name w:val="標題 2 字元"/>
    <w:aliases w:val="標題110/111 字元,節 字元,節1 字元"/>
    <w:link w:val="2"/>
    <w:rsid w:val="00096D54"/>
    <w:rPr>
      <w:rFonts w:ascii="標楷體" w:eastAsia="標楷體" w:hAnsi="Arial"/>
      <w:bCs/>
      <w:kern w:val="32"/>
      <w:sz w:val="32"/>
      <w:szCs w:val="48"/>
    </w:rPr>
  </w:style>
  <w:style w:type="character" w:customStyle="1" w:styleId="30">
    <w:name w:val="標題 3 字元"/>
    <w:aliases w:val="(一) 字元"/>
    <w:link w:val="3"/>
    <w:rsid w:val="00096D54"/>
    <w:rPr>
      <w:rFonts w:ascii="標楷體" w:eastAsia="標楷體" w:hAnsi="Arial"/>
      <w:bCs/>
      <w:kern w:val="32"/>
      <w:sz w:val="32"/>
      <w:szCs w:val="36"/>
    </w:rPr>
  </w:style>
  <w:style w:type="character" w:customStyle="1" w:styleId="40">
    <w:name w:val="標題 4 字元"/>
    <w:aliases w:val="一 字元"/>
    <w:link w:val="4"/>
    <w:rsid w:val="00096D54"/>
    <w:rPr>
      <w:rFonts w:ascii="標楷體" w:eastAsia="標楷體" w:hAnsi="Arial"/>
      <w:kern w:val="32"/>
      <w:sz w:val="32"/>
      <w:szCs w:val="36"/>
    </w:rPr>
  </w:style>
  <w:style w:type="character" w:customStyle="1" w:styleId="50">
    <w:name w:val="標題 5 字元"/>
    <w:basedOn w:val="a8"/>
    <w:link w:val="5"/>
    <w:rsid w:val="00E162B6"/>
    <w:rPr>
      <w:rFonts w:ascii="標楷體" w:eastAsia="標楷體" w:hAnsi="Arial"/>
      <w:bCs/>
      <w:kern w:val="32"/>
      <w:sz w:val="32"/>
      <w:szCs w:val="36"/>
    </w:rPr>
  </w:style>
  <w:style w:type="character" w:customStyle="1" w:styleId="60">
    <w:name w:val="標題 6 字元"/>
    <w:link w:val="6"/>
    <w:rsid w:val="00096D54"/>
    <w:rPr>
      <w:rFonts w:ascii="標楷體" w:eastAsia="標楷體" w:hAnsi="Arial"/>
      <w:kern w:val="32"/>
      <w:sz w:val="32"/>
      <w:szCs w:val="36"/>
    </w:rPr>
  </w:style>
  <w:style w:type="character" w:customStyle="1" w:styleId="70">
    <w:name w:val="標題 7 字元"/>
    <w:link w:val="7"/>
    <w:rsid w:val="00096D54"/>
    <w:rPr>
      <w:rFonts w:ascii="標楷體" w:eastAsia="標楷體" w:hAnsi="Arial"/>
      <w:bCs/>
      <w:kern w:val="32"/>
      <w:sz w:val="32"/>
      <w:szCs w:val="36"/>
    </w:rPr>
  </w:style>
  <w:style w:type="character" w:customStyle="1" w:styleId="80">
    <w:name w:val="標題 8 字元"/>
    <w:link w:val="8"/>
    <w:rsid w:val="00096D54"/>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5F4E1B"/>
    <w:pPr>
      <w:tabs>
        <w:tab w:val="left" w:pos="1484"/>
        <w:tab w:val="right" w:leader="hyphen" w:pos="8834"/>
      </w:tabs>
      <w:kinsoku w:val="0"/>
      <w:ind w:left="1361" w:rightChars="16" w:right="54" w:hangingChars="400" w:hanging="1361"/>
    </w:pPr>
    <w:rPr>
      <w:noProof/>
      <w:color w:val="000000" w:themeColor="text1"/>
      <w:szCs w:val="32"/>
    </w:rPr>
  </w:style>
  <w:style w:type="paragraph" w:styleId="22">
    <w:name w:val="toc 2"/>
    <w:basedOn w:val="a7"/>
    <w:next w:val="a7"/>
    <w:autoRedefine/>
    <w:uiPriority w:val="39"/>
    <w:rsid w:val="00AF4D4B"/>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A376F8"/>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character" w:customStyle="1" w:styleId="af">
    <w:name w:val="頁首 字元"/>
    <w:link w:val="ae"/>
    <w:uiPriority w:val="99"/>
    <w:rsid w:val="00096D54"/>
    <w:rPr>
      <w:rFonts w:ascii="標楷體" w:eastAsia="標楷體"/>
      <w:kern w:val="2"/>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character" w:customStyle="1" w:styleId="af6">
    <w:name w:val="頁尾 字元"/>
    <w:link w:val="af5"/>
    <w:uiPriority w:val="99"/>
    <w:rsid w:val="00096D54"/>
    <w:rPr>
      <w:rFonts w:ascii="標楷體" w:eastAsia="標楷體"/>
      <w:kern w:val="2"/>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9"/>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
    <w:basedOn w:val="a7"/>
    <w:link w:val="afb"/>
    <w:uiPriority w:val="34"/>
    <w:qFormat/>
    <w:rsid w:val="00687024"/>
    <w:pPr>
      <w:ind w:leftChars="200" w:left="480"/>
    </w:pPr>
  </w:style>
  <w:style w:type="character" w:customStyle="1" w:styleId="afb">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a"/>
    <w:uiPriority w:val="34"/>
    <w:qFormat/>
    <w:rsid w:val="00CD740E"/>
    <w:rPr>
      <w:rFonts w:ascii="標楷體" w:eastAsia="標楷體"/>
      <w:kern w:val="2"/>
      <w:sz w:val="32"/>
    </w:r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styleId="afe">
    <w:name w:val="footnote text"/>
    <w:basedOn w:val="a7"/>
    <w:link w:val="aff"/>
    <w:uiPriority w:val="99"/>
    <w:unhideWhenUsed/>
    <w:rsid w:val="00FE160B"/>
    <w:pPr>
      <w:overflowPunct/>
      <w:autoSpaceDE/>
      <w:autoSpaceDN/>
      <w:snapToGrid w:val="0"/>
      <w:jc w:val="left"/>
    </w:pPr>
    <w:rPr>
      <w:rFonts w:ascii="Times New Roman"/>
      <w:sz w:val="20"/>
    </w:rPr>
  </w:style>
  <w:style w:type="character" w:customStyle="1" w:styleId="aff">
    <w:name w:val="註腳文字 字元"/>
    <w:basedOn w:val="a8"/>
    <w:link w:val="afe"/>
    <w:uiPriority w:val="99"/>
    <w:rsid w:val="00FE160B"/>
    <w:rPr>
      <w:rFonts w:eastAsia="標楷體"/>
      <w:kern w:val="2"/>
    </w:rPr>
  </w:style>
  <w:style w:type="character" w:styleId="aff0">
    <w:name w:val="footnote reference"/>
    <w:basedOn w:val="a8"/>
    <w:uiPriority w:val="99"/>
    <w:unhideWhenUsed/>
    <w:rsid w:val="00FE160B"/>
    <w:rPr>
      <w:vertAlign w:val="superscript"/>
    </w:rPr>
  </w:style>
  <w:style w:type="table" w:customStyle="1" w:styleId="13">
    <w:name w:val="表格格線1"/>
    <w:basedOn w:val="a9"/>
    <w:next w:val="af9"/>
    <w:uiPriority w:val="59"/>
    <w:rsid w:val="001E2B02"/>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分項段落"/>
    <w:basedOn w:val="a7"/>
    <w:rsid w:val="00CA53DE"/>
    <w:pPr>
      <w:overflowPunct/>
      <w:autoSpaceDE/>
      <w:autoSpaceDN/>
      <w:jc w:val="left"/>
    </w:pPr>
    <w:rPr>
      <w:rFonts w:ascii="Times New Roman" w:eastAsia="新細明體"/>
      <w:sz w:val="24"/>
    </w:rPr>
  </w:style>
  <w:style w:type="paragraph" w:styleId="aff2">
    <w:name w:val="caption"/>
    <w:basedOn w:val="a7"/>
    <w:next w:val="a7"/>
    <w:uiPriority w:val="35"/>
    <w:qFormat/>
    <w:rsid w:val="00096D54"/>
    <w:pPr>
      <w:widowControl/>
      <w:overflowPunct/>
      <w:autoSpaceDE/>
      <w:autoSpaceDN/>
      <w:spacing w:after="200"/>
      <w:jc w:val="left"/>
    </w:pPr>
    <w:rPr>
      <w:rFonts w:ascii="Cambria" w:eastAsia="新細明體" w:hAnsi="Cambria"/>
      <w:b/>
      <w:bCs/>
      <w:color w:val="4F81BD"/>
      <w:kern w:val="0"/>
      <w:sz w:val="18"/>
      <w:szCs w:val="18"/>
      <w:lang w:eastAsia="en-US" w:bidi="en-US"/>
    </w:rPr>
  </w:style>
  <w:style w:type="paragraph" w:styleId="aff3">
    <w:name w:val="Title"/>
    <w:basedOn w:val="a7"/>
    <w:next w:val="a7"/>
    <w:link w:val="aff4"/>
    <w:uiPriority w:val="10"/>
    <w:qFormat/>
    <w:rsid w:val="00096D54"/>
    <w:pPr>
      <w:widowControl/>
      <w:pBdr>
        <w:bottom w:val="single" w:sz="8" w:space="4" w:color="4F81BD"/>
      </w:pBdr>
      <w:overflowPunct/>
      <w:autoSpaceDE/>
      <w:autoSpaceDN/>
      <w:spacing w:after="300"/>
      <w:contextualSpacing/>
      <w:jc w:val="left"/>
    </w:pPr>
    <w:rPr>
      <w:rFonts w:ascii="Calibri" w:eastAsia="新細明體" w:hAnsi="Calibri"/>
      <w:color w:val="17365D"/>
      <w:spacing w:val="5"/>
      <w:kern w:val="28"/>
      <w:sz w:val="52"/>
      <w:szCs w:val="52"/>
      <w:lang w:eastAsia="en-US" w:bidi="en-US"/>
    </w:rPr>
  </w:style>
  <w:style w:type="character" w:customStyle="1" w:styleId="aff4">
    <w:name w:val="標題 字元"/>
    <w:basedOn w:val="a8"/>
    <w:link w:val="aff3"/>
    <w:uiPriority w:val="10"/>
    <w:rsid w:val="00096D54"/>
    <w:rPr>
      <w:rFonts w:ascii="Calibri" w:hAnsi="Calibri"/>
      <w:color w:val="17365D"/>
      <w:spacing w:val="5"/>
      <w:kern w:val="28"/>
      <w:sz w:val="52"/>
      <w:szCs w:val="52"/>
      <w:lang w:eastAsia="en-US" w:bidi="en-US"/>
    </w:rPr>
  </w:style>
  <w:style w:type="paragraph" w:styleId="aff5">
    <w:name w:val="Subtitle"/>
    <w:basedOn w:val="a7"/>
    <w:next w:val="a7"/>
    <w:link w:val="aff6"/>
    <w:uiPriority w:val="11"/>
    <w:qFormat/>
    <w:rsid w:val="00096D54"/>
    <w:pPr>
      <w:widowControl/>
      <w:numPr>
        <w:ilvl w:val="1"/>
      </w:numPr>
      <w:overflowPunct/>
      <w:autoSpaceDE/>
      <w:autoSpaceDN/>
      <w:spacing w:after="200" w:line="276" w:lineRule="auto"/>
      <w:jc w:val="left"/>
    </w:pPr>
    <w:rPr>
      <w:rFonts w:ascii="Calibri" w:eastAsia="新細明體" w:hAnsi="Calibri"/>
      <w:i/>
      <w:iCs/>
      <w:color w:val="4F81BD"/>
      <w:spacing w:val="15"/>
      <w:kern w:val="0"/>
      <w:sz w:val="24"/>
      <w:szCs w:val="24"/>
      <w:lang w:eastAsia="en-US" w:bidi="en-US"/>
    </w:rPr>
  </w:style>
  <w:style w:type="character" w:customStyle="1" w:styleId="aff6">
    <w:name w:val="副標題 字元"/>
    <w:basedOn w:val="a8"/>
    <w:link w:val="aff5"/>
    <w:uiPriority w:val="11"/>
    <w:rsid w:val="00096D54"/>
    <w:rPr>
      <w:rFonts w:ascii="Calibri" w:hAnsi="Calibri"/>
      <w:i/>
      <w:iCs/>
      <w:color w:val="4F81BD"/>
      <w:spacing w:val="15"/>
      <w:sz w:val="24"/>
      <w:szCs w:val="24"/>
      <w:lang w:eastAsia="en-US" w:bidi="en-US"/>
    </w:rPr>
  </w:style>
  <w:style w:type="character" w:styleId="aff7">
    <w:name w:val="Strong"/>
    <w:uiPriority w:val="22"/>
    <w:qFormat/>
    <w:rsid w:val="00096D54"/>
    <w:rPr>
      <w:b/>
      <w:bCs/>
    </w:rPr>
  </w:style>
  <w:style w:type="character" w:styleId="aff8">
    <w:name w:val="Emphasis"/>
    <w:uiPriority w:val="20"/>
    <w:qFormat/>
    <w:rsid w:val="00096D54"/>
    <w:rPr>
      <w:i/>
      <w:iCs/>
    </w:rPr>
  </w:style>
  <w:style w:type="character" w:customStyle="1" w:styleId="1-1">
    <w:name w:val="暗色網底 1 - 輔色 1 字元"/>
    <w:link w:val="1-10"/>
    <w:uiPriority w:val="1"/>
    <w:rsid w:val="00096D54"/>
    <w:rPr>
      <w:sz w:val="22"/>
      <w:szCs w:val="22"/>
      <w:lang w:val="en-US" w:eastAsia="en-US" w:bidi="en-US"/>
    </w:rPr>
  </w:style>
  <w:style w:type="table" w:styleId="1-10">
    <w:name w:val="Medium Shading 1 Accent 1"/>
    <w:basedOn w:val="a9"/>
    <w:link w:val="1-1"/>
    <w:uiPriority w:val="1"/>
    <w:semiHidden/>
    <w:unhideWhenUsed/>
    <w:rsid w:val="00096D54"/>
    <w:rPr>
      <w:sz w:val="22"/>
      <w:szCs w:val="22"/>
      <w:lang w:eastAsia="en-US" w:bidi="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2-2">
    <w:name w:val="暗色格線 2 - 輔色 2 字元"/>
    <w:link w:val="2-20"/>
    <w:uiPriority w:val="29"/>
    <w:rsid w:val="00096D54"/>
    <w:rPr>
      <w:i/>
      <w:iCs/>
      <w:color w:val="000000"/>
    </w:rPr>
  </w:style>
  <w:style w:type="table" w:styleId="2-20">
    <w:name w:val="Medium Grid 2 Accent 2"/>
    <w:basedOn w:val="a9"/>
    <w:link w:val="2-2"/>
    <w:uiPriority w:val="29"/>
    <w:semiHidden/>
    <w:unhideWhenUsed/>
    <w:rsid w:val="00096D54"/>
    <w:rPr>
      <w:i/>
      <w:iCs/>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character" w:customStyle="1" w:styleId="3-2">
    <w:name w:val="暗色格線 3 - 輔色 2 字元"/>
    <w:link w:val="3-20"/>
    <w:uiPriority w:val="30"/>
    <w:rsid w:val="00096D54"/>
    <w:rPr>
      <w:b/>
      <w:bCs/>
      <w:i/>
      <w:iCs/>
      <w:color w:val="4F81BD"/>
    </w:rPr>
  </w:style>
  <w:style w:type="table" w:styleId="3-20">
    <w:name w:val="Medium Grid 3 Accent 2"/>
    <w:basedOn w:val="a9"/>
    <w:link w:val="3-2"/>
    <w:uiPriority w:val="30"/>
    <w:semiHidden/>
    <w:unhideWhenUsed/>
    <w:rsid w:val="00096D54"/>
    <w:rPr>
      <w:b/>
      <w:bCs/>
      <w:i/>
      <w:iCs/>
      <w:color w:val="4F81BD"/>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aff9">
    <w:name w:val="annotation text"/>
    <w:basedOn w:val="a7"/>
    <w:link w:val="affa"/>
    <w:uiPriority w:val="99"/>
    <w:unhideWhenUsed/>
    <w:rsid w:val="00096D54"/>
    <w:pPr>
      <w:widowControl/>
      <w:overflowPunct/>
      <w:autoSpaceDE/>
      <w:autoSpaceDN/>
      <w:spacing w:after="200" w:line="276" w:lineRule="auto"/>
      <w:jc w:val="left"/>
    </w:pPr>
    <w:rPr>
      <w:rFonts w:ascii="Cambria" w:eastAsia="新細明體" w:hAnsi="Cambria"/>
      <w:kern w:val="0"/>
      <w:sz w:val="22"/>
      <w:szCs w:val="22"/>
      <w:lang w:eastAsia="en-US" w:bidi="en-US"/>
    </w:rPr>
  </w:style>
  <w:style w:type="character" w:customStyle="1" w:styleId="affa">
    <w:name w:val="註解文字 字元"/>
    <w:basedOn w:val="a8"/>
    <w:link w:val="aff9"/>
    <w:uiPriority w:val="99"/>
    <w:rsid w:val="00096D54"/>
    <w:rPr>
      <w:rFonts w:ascii="Cambria" w:hAnsi="Cambria"/>
      <w:sz w:val="22"/>
      <w:szCs w:val="22"/>
      <w:lang w:eastAsia="en-US" w:bidi="en-US"/>
    </w:rPr>
  </w:style>
  <w:style w:type="character" w:customStyle="1" w:styleId="affb">
    <w:name w:val="註解主旨 字元"/>
    <w:basedOn w:val="affa"/>
    <w:link w:val="affc"/>
    <w:uiPriority w:val="99"/>
    <w:semiHidden/>
    <w:rsid w:val="00096D54"/>
    <w:rPr>
      <w:rFonts w:ascii="Cambria" w:hAnsi="Cambria"/>
      <w:b/>
      <w:bCs/>
      <w:sz w:val="22"/>
      <w:szCs w:val="22"/>
      <w:lang w:eastAsia="en-US" w:bidi="en-US"/>
    </w:rPr>
  </w:style>
  <w:style w:type="paragraph" w:styleId="affc">
    <w:name w:val="annotation subject"/>
    <w:basedOn w:val="aff9"/>
    <w:next w:val="aff9"/>
    <w:link w:val="affb"/>
    <w:uiPriority w:val="99"/>
    <w:semiHidden/>
    <w:unhideWhenUsed/>
    <w:rsid w:val="00096D54"/>
    <w:rPr>
      <w:b/>
      <w:bCs/>
    </w:rPr>
  </w:style>
  <w:style w:type="paragraph" w:customStyle="1" w:styleId="affd">
    <w:name w:val="條"/>
    <w:basedOn w:val="a7"/>
    <w:rsid w:val="00096D54"/>
    <w:pPr>
      <w:kinsoku w:val="0"/>
      <w:ind w:left="500" w:hangingChars="500" w:hanging="500"/>
      <w:textAlignment w:val="center"/>
    </w:pPr>
    <w:rPr>
      <w:rFonts w:ascii="華康細明體" w:eastAsia="華康細明體" w:hAnsi="細明體"/>
      <w:bCs/>
      <w:sz w:val="21"/>
      <w:szCs w:val="24"/>
    </w:rPr>
  </w:style>
  <w:style w:type="paragraph" w:styleId="a">
    <w:name w:val="List Bullet"/>
    <w:basedOn w:val="a7"/>
    <w:uiPriority w:val="99"/>
    <w:unhideWhenUsed/>
    <w:rsid w:val="00096D54"/>
    <w:pPr>
      <w:widowControl/>
      <w:numPr>
        <w:numId w:val="13"/>
      </w:numPr>
      <w:overflowPunct/>
      <w:autoSpaceDE/>
      <w:autoSpaceDN/>
      <w:spacing w:after="200" w:line="276" w:lineRule="auto"/>
      <w:contextualSpacing/>
      <w:jc w:val="left"/>
    </w:pPr>
    <w:rPr>
      <w:rFonts w:ascii="Cambria" w:eastAsia="新細明體" w:hAnsi="Cambria"/>
      <w:kern w:val="0"/>
      <w:sz w:val="22"/>
      <w:szCs w:val="22"/>
      <w:lang w:eastAsia="en-US" w:bidi="en-US"/>
    </w:rPr>
  </w:style>
  <w:style w:type="paragraph" w:customStyle="1" w:styleId="Default">
    <w:name w:val="Default"/>
    <w:rsid w:val="00096D54"/>
    <w:pPr>
      <w:widowControl w:val="0"/>
      <w:autoSpaceDE w:val="0"/>
      <w:autoSpaceDN w:val="0"/>
      <w:adjustRightInd w:val="0"/>
    </w:pPr>
    <w:rPr>
      <w:rFonts w:ascii="標楷體" w:eastAsia="標楷體" w:hAnsi="Cambria" w:cs="標楷體"/>
      <w:color w:val="000000"/>
      <w:sz w:val="24"/>
      <w:szCs w:val="24"/>
    </w:rPr>
  </w:style>
  <w:style w:type="character" w:customStyle="1" w:styleId="affe">
    <w:name w:val="日期 字元"/>
    <w:basedOn w:val="a8"/>
    <w:link w:val="afff"/>
    <w:uiPriority w:val="99"/>
    <w:semiHidden/>
    <w:rsid w:val="00096D54"/>
    <w:rPr>
      <w:rFonts w:ascii="Cambria" w:hAnsi="Cambria"/>
      <w:sz w:val="22"/>
      <w:szCs w:val="22"/>
      <w:lang w:eastAsia="en-US" w:bidi="en-US"/>
    </w:rPr>
  </w:style>
  <w:style w:type="paragraph" w:styleId="afff">
    <w:name w:val="Date"/>
    <w:basedOn w:val="a7"/>
    <w:next w:val="a7"/>
    <w:link w:val="affe"/>
    <w:uiPriority w:val="99"/>
    <w:semiHidden/>
    <w:unhideWhenUsed/>
    <w:rsid w:val="00096D54"/>
    <w:pPr>
      <w:widowControl/>
      <w:overflowPunct/>
      <w:autoSpaceDE/>
      <w:autoSpaceDN/>
      <w:spacing w:after="200" w:line="276" w:lineRule="auto"/>
      <w:jc w:val="right"/>
    </w:pPr>
    <w:rPr>
      <w:rFonts w:ascii="Cambria" w:eastAsia="新細明體" w:hAnsi="Cambria"/>
      <w:kern w:val="0"/>
      <w:sz w:val="22"/>
      <w:szCs w:val="22"/>
      <w:lang w:eastAsia="en-US" w:bidi="en-US"/>
    </w:rPr>
  </w:style>
  <w:style w:type="character" w:customStyle="1" w:styleId="-1">
    <w:name w:val="彩色清單 - 輔色 1 字元"/>
    <w:link w:val="-10"/>
    <w:uiPriority w:val="34"/>
    <w:rsid w:val="00096D54"/>
    <w:rPr>
      <w:rFonts w:ascii="Calibri" w:hAnsi="Calibri"/>
      <w:kern w:val="2"/>
      <w:sz w:val="24"/>
      <w:szCs w:val="22"/>
    </w:rPr>
  </w:style>
  <w:style w:type="table" w:styleId="-10">
    <w:name w:val="Colorful List Accent 1"/>
    <w:basedOn w:val="a9"/>
    <w:link w:val="-1"/>
    <w:uiPriority w:val="34"/>
    <w:semiHidden/>
    <w:unhideWhenUsed/>
    <w:rsid w:val="00096D54"/>
    <w:rPr>
      <w:rFonts w:ascii="Calibri" w:hAnsi="Calibri"/>
      <w:kern w:val="2"/>
      <w:sz w:val="24"/>
      <w:szCs w:val="22"/>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afff0">
    <w:name w:val="未解析的提及項目"/>
    <w:uiPriority w:val="52"/>
    <w:rsid w:val="00096D54"/>
    <w:rPr>
      <w:color w:val="605E5C"/>
      <w:shd w:val="clear" w:color="auto" w:fill="E1DFDD"/>
    </w:rPr>
  </w:style>
  <w:style w:type="paragraph" w:styleId="Web">
    <w:name w:val="Normal (Web)"/>
    <w:basedOn w:val="a7"/>
    <w:uiPriority w:val="99"/>
    <w:semiHidden/>
    <w:unhideWhenUsed/>
    <w:rsid w:val="002D122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1">
    <w:name w:val="st1"/>
    <w:basedOn w:val="a8"/>
    <w:rsid w:val="0021676A"/>
  </w:style>
  <w:style w:type="character" w:customStyle="1" w:styleId="e24kjd">
    <w:name w:val="e24kjd"/>
    <w:basedOn w:val="a8"/>
    <w:rsid w:val="00863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581">
      <w:bodyDiv w:val="1"/>
      <w:marLeft w:val="0"/>
      <w:marRight w:val="0"/>
      <w:marTop w:val="0"/>
      <w:marBottom w:val="0"/>
      <w:divBdr>
        <w:top w:val="none" w:sz="0" w:space="0" w:color="auto"/>
        <w:left w:val="none" w:sz="0" w:space="0" w:color="auto"/>
        <w:bottom w:val="none" w:sz="0" w:space="0" w:color="auto"/>
        <w:right w:val="none" w:sz="0" w:space="0" w:color="auto"/>
      </w:divBdr>
      <w:divsChild>
        <w:div w:id="2078043554">
          <w:marLeft w:val="0"/>
          <w:marRight w:val="0"/>
          <w:marTop w:val="0"/>
          <w:marBottom w:val="0"/>
          <w:divBdr>
            <w:top w:val="none" w:sz="0" w:space="0" w:color="auto"/>
            <w:left w:val="none" w:sz="0" w:space="0" w:color="auto"/>
            <w:bottom w:val="none" w:sz="0" w:space="0" w:color="auto"/>
            <w:right w:val="none" w:sz="0" w:space="0" w:color="auto"/>
          </w:divBdr>
          <w:divsChild>
            <w:div w:id="979306389">
              <w:marLeft w:val="0"/>
              <w:marRight w:val="0"/>
              <w:marTop w:val="0"/>
              <w:marBottom w:val="0"/>
              <w:divBdr>
                <w:top w:val="none" w:sz="0" w:space="0" w:color="auto"/>
                <w:left w:val="none" w:sz="0" w:space="0" w:color="auto"/>
                <w:bottom w:val="none" w:sz="0" w:space="0" w:color="auto"/>
                <w:right w:val="none" w:sz="0" w:space="0" w:color="auto"/>
              </w:divBdr>
              <w:divsChild>
                <w:div w:id="782115917">
                  <w:marLeft w:val="0"/>
                  <w:marRight w:val="0"/>
                  <w:marTop w:val="0"/>
                  <w:marBottom w:val="0"/>
                  <w:divBdr>
                    <w:top w:val="none" w:sz="0" w:space="0" w:color="auto"/>
                    <w:left w:val="none" w:sz="0" w:space="0" w:color="auto"/>
                    <w:bottom w:val="none" w:sz="0" w:space="0" w:color="auto"/>
                    <w:right w:val="none" w:sz="0" w:space="0" w:color="auto"/>
                  </w:divBdr>
                  <w:divsChild>
                    <w:div w:id="1754622090">
                      <w:marLeft w:val="0"/>
                      <w:marRight w:val="0"/>
                      <w:marTop w:val="0"/>
                      <w:marBottom w:val="0"/>
                      <w:divBdr>
                        <w:top w:val="none" w:sz="0" w:space="0" w:color="auto"/>
                        <w:left w:val="none" w:sz="0" w:space="0" w:color="auto"/>
                        <w:bottom w:val="none" w:sz="0" w:space="0" w:color="auto"/>
                        <w:right w:val="none" w:sz="0" w:space="0" w:color="auto"/>
                      </w:divBdr>
                      <w:divsChild>
                        <w:div w:id="1466503629">
                          <w:marLeft w:val="0"/>
                          <w:marRight w:val="0"/>
                          <w:marTop w:val="0"/>
                          <w:marBottom w:val="0"/>
                          <w:divBdr>
                            <w:top w:val="none" w:sz="0" w:space="0" w:color="auto"/>
                            <w:left w:val="none" w:sz="0" w:space="0" w:color="auto"/>
                            <w:bottom w:val="none" w:sz="0" w:space="0" w:color="auto"/>
                            <w:right w:val="none" w:sz="0" w:space="0" w:color="auto"/>
                          </w:divBdr>
                          <w:divsChild>
                            <w:div w:id="1976984515">
                              <w:marLeft w:val="0"/>
                              <w:marRight w:val="0"/>
                              <w:marTop w:val="0"/>
                              <w:marBottom w:val="0"/>
                              <w:divBdr>
                                <w:top w:val="none" w:sz="0" w:space="0" w:color="auto"/>
                                <w:left w:val="none" w:sz="0" w:space="0" w:color="auto"/>
                                <w:bottom w:val="none" w:sz="0" w:space="0" w:color="auto"/>
                                <w:right w:val="none" w:sz="0" w:space="0" w:color="auto"/>
                              </w:divBdr>
                              <w:divsChild>
                                <w:div w:id="5115266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571666">
      <w:bodyDiv w:val="1"/>
      <w:marLeft w:val="0"/>
      <w:marRight w:val="0"/>
      <w:marTop w:val="0"/>
      <w:marBottom w:val="0"/>
      <w:divBdr>
        <w:top w:val="none" w:sz="0" w:space="0" w:color="auto"/>
        <w:left w:val="none" w:sz="0" w:space="0" w:color="auto"/>
        <w:bottom w:val="none" w:sz="0" w:space="0" w:color="auto"/>
        <w:right w:val="none" w:sz="0" w:space="0" w:color="auto"/>
      </w:divBdr>
      <w:divsChild>
        <w:div w:id="1400589948">
          <w:marLeft w:val="0"/>
          <w:marRight w:val="0"/>
          <w:marTop w:val="0"/>
          <w:marBottom w:val="0"/>
          <w:divBdr>
            <w:top w:val="none" w:sz="0" w:space="0" w:color="auto"/>
            <w:left w:val="none" w:sz="0" w:space="0" w:color="auto"/>
            <w:bottom w:val="none" w:sz="0" w:space="0" w:color="auto"/>
            <w:right w:val="none" w:sz="0" w:space="0" w:color="auto"/>
          </w:divBdr>
          <w:divsChild>
            <w:div w:id="1953053112">
              <w:marLeft w:val="0"/>
              <w:marRight w:val="0"/>
              <w:marTop w:val="0"/>
              <w:marBottom w:val="0"/>
              <w:divBdr>
                <w:top w:val="none" w:sz="0" w:space="0" w:color="auto"/>
                <w:left w:val="none" w:sz="0" w:space="0" w:color="auto"/>
                <w:bottom w:val="none" w:sz="0" w:space="0" w:color="auto"/>
                <w:right w:val="none" w:sz="0" w:space="0" w:color="auto"/>
              </w:divBdr>
              <w:divsChild>
                <w:div w:id="1280919450">
                  <w:marLeft w:val="0"/>
                  <w:marRight w:val="0"/>
                  <w:marTop w:val="0"/>
                  <w:marBottom w:val="0"/>
                  <w:divBdr>
                    <w:top w:val="none" w:sz="0" w:space="0" w:color="auto"/>
                    <w:left w:val="none" w:sz="0" w:space="0" w:color="auto"/>
                    <w:bottom w:val="none" w:sz="0" w:space="0" w:color="auto"/>
                    <w:right w:val="none" w:sz="0" w:space="0" w:color="auto"/>
                  </w:divBdr>
                  <w:divsChild>
                    <w:div w:id="56888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85285">
      <w:bodyDiv w:val="1"/>
      <w:marLeft w:val="0"/>
      <w:marRight w:val="0"/>
      <w:marTop w:val="0"/>
      <w:marBottom w:val="0"/>
      <w:divBdr>
        <w:top w:val="none" w:sz="0" w:space="0" w:color="auto"/>
        <w:left w:val="none" w:sz="0" w:space="0" w:color="auto"/>
        <w:bottom w:val="none" w:sz="0" w:space="0" w:color="auto"/>
        <w:right w:val="none" w:sz="0" w:space="0" w:color="auto"/>
      </w:divBdr>
    </w:div>
    <w:div w:id="899636101">
      <w:bodyDiv w:val="1"/>
      <w:marLeft w:val="0"/>
      <w:marRight w:val="0"/>
      <w:marTop w:val="0"/>
      <w:marBottom w:val="0"/>
      <w:divBdr>
        <w:top w:val="none" w:sz="0" w:space="0" w:color="auto"/>
        <w:left w:val="none" w:sz="0" w:space="0" w:color="auto"/>
        <w:bottom w:val="none" w:sz="0" w:space="0" w:color="auto"/>
        <w:right w:val="none" w:sz="0" w:space="0" w:color="auto"/>
      </w:divBdr>
    </w:div>
    <w:div w:id="1320158872">
      <w:bodyDiv w:val="1"/>
      <w:marLeft w:val="0"/>
      <w:marRight w:val="0"/>
      <w:marTop w:val="0"/>
      <w:marBottom w:val="0"/>
      <w:divBdr>
        <w:top w:val="none" w:sz="0" w:space="0" w:color="auto"/>
        <w:left w:val="none" w:sz="0" w:space="0" w:color="auto"/>
        <w:bottom w:val="none" w:sz="0" w:space="0" w:color="auto"/>
        <w:right w:val="none" w:sz="0" w:space="0" w:color="auto"/>
      </w:divBdr>
    </w:div>
    <w:div w:id="1359812775">
      <w:bodyDiv w:val="1"/>
      <w:marLeft w:val="0"/>
      <w:marRight w:val="0"/>
      <w:marTop w:val="0"/>
      <w:marBottom w:val="0"/>
      <w:divBdr>
        <w:top w:val="none" w:sz="0" w:space="0" w:color="auto"/>
        <w:left w:val="none" w:sz="0" w:space="0" w:color="auto"/>
        <w:bottom w:val="none" w:sz="0" w:space="0" w:color="auto"/>
        <w:right w:val="none" w:sz="0" w:space="0" w:color="auto"/>
      </w:divBdr>
      <w:divsChild>
        <w:div w:id="389377811">
          <w:marLeft w:val="0"/>
          <w:marRight w:val="0"/>
          <w:marTop w:val="0"/>
          <w:marBottom w:val="0"/>
          <w:divBdr>
            <w:top w:val="none" w:sz="0" w:space="0" w:color="auto"/>
            <w:left w:val="none" w:sz="0" w:space="0" w:color="auto"/>
            <w:bottom w:val="none" w:sz="0" w:space="0" w:color="auto"/>
            <w:right w:val="none" w:sz="0" w:space="0" w:color="auto"/>
          </w:divBdr>
          <w:divsChild>
            <w:div w:id="2007513316">
              <w:marLeft w:val="0"/>
              <w:marRight w:val="0"/>
              <w:marTop w:val="0"/>
              <w:marBottom w:val="0"/>
              <w:divBdr>
                <w:top w:val="none" w:sz="0" w:space="0" w:color="auto"/>
                <w:left w:val="none" w:sz="0" w:space="0" w:color="auto"/>
                <w:bottom w:val="none" w:sz="0" w:space="0" w:color="auto"/>
                <w:right w:val="none" w:sz="0" w:space="0" w:color="auto"/>
              </w:divBdr>
              <w:divsChild>
                <w:div w:id="1196507815">
                  <w:marLeft w:val="0"/>
                  <w:marRight w:val="0"/>
                  <w:marTop w:val="0"/>
                  <w:marBottom w:val="0"/>
                  <w:divBdr>
                    <w:top w:val="none" w:sz="0" w:space="0" w:color="auto"/>
                    <w:left w:val="none" w:sz="0" w:space="0" w:color="auto"/>
                    <w:bottom w:val="none" w:sz="0" w:space="0" w:color="auto"/>
                    <w:right w:val="none" w:sz="0" w:space="0" w:color="auto"/>
                  </w:divBdr>
                  <w:divsChild>
                    <w:div w:id="2437155">
                      <w:marLeft w:val="0"/>
                      <w:marRight w:val="0"/>
                      <w:marTop w:val="0"/>
                      <w:marBottom w:val="0"/>
                      <w:divBdr>
                        <w:top w:val="none" w:sz="0" w:space="0" w:color="auto"/>
                        <w:left w:val="none" w:sz="0" w:space="0" w:color="auto"/>
                        <w:bottom w:val="none" w:sz="0" w:space="0" w:color="auto"/>
                        <w:right w:val="none" w:sz="0" w:space="0" w:color="auto"/>
                      </w:divBdr>
                      <w:divsChild>
                        <w:div w:id="419909838">
                          <w:marLeft w:val="0"/>
                          <w:marRight w:val="0"/>
                          <w:marTop w:val="0"/>
                          <w:marBottom w:val="0"/>
                          <w:divBdr>
                            <w:top w:val="none" w:sz="0" w:space="0" w:color="auto"/>
                            <w:left w:val="none" w:sz="0" w:space="0" w:color="auto"/>
                            <w:bottom w:val="none" w:sz="0" w:space="0" w:color="auto"/>
                            <w:right w:val="none" w:sz="0" w:space="0" w:color="auto"/>
                          </w:divBdr>
                          <w:divsChild>
                            <w:div w:id="1083798778">
                              <w:marLeft w:val="0"/>
                              <w:marRight w:val="0"/>
                              <w:marTop w:val="0"/>
                              <w:marBottom w:val="0"/>
                              <w:divBdr>
                                <w:top w:val="none" w:sz="0" w:space="0" w:color="auto"/>
                                <w:left w:val="none" w:sz="0" w:space="0" w:color="auto"/>
                                <w:bottom w:val="none" w:sz="0" w:space="0" w:color="auto"/>
                                <w:right w:val="none" w:sz="0" w:space="0" w:color="auto"/>
                              </w:divBdr>
                            </w:div>
                            <w:div w:id="1231844619">
                              <w:marLeft w:val="0"/>
                              <w:marRight w:val="0"/>
                              <w:marTop w:val="0"/>
                              <w:marBottom w:val="0"/>
                              <w:divBdr>
                                <w:top w:val="none" w:sz="0" w:space="0" w:color="auto"/>
                                <w:left w:val="none" w:sz="0" w:space="0" w:color="auto"/>
                                <w:bottom w:val="none" w:sz="0" w:space="0" w:color="auto"/>
                                <w:right w:val="none" w:sz="0" w:space="0" w:color="auto"/>
                              </w:divBdr>
                            </w:div>
                            <w:div w:id="1547258350">
                              <w:marLeft w:val="0"/>
                              <w:marRight w:val="0"/>
                              <w:marTop w:val="0"/>
                              <w:marBottom w:val="0"/>
                              <w:divBdr>
                                <w:top w:val="none" w:sz="0" w:space="0" w:color="auto"/>
                                <w:left w:val="none" w:sz="0" w:space="0" w:color="auto"/>
                                <w:bottom w:val="none" w:sz="0" w:space="0" w:color="auto"/>
                                <w:right w:val="none" w:sz="0" w:space="0" w:color="auto"/>
                              </w:divBdr>
                            </w:div>
                            <w:div w:id="1453789138">
                              <w:marLeft w:val="0"/>
                              <w:marRight w:val="0"/>
                              <w:marTop w:val="0"/>
                              <w:marBottom w:val="0"/>
                              <w:divBdr>
                                <w:top w:val="none" w:sz="0" w:space="0" w:color="auto"/>
                                <w:left w:val="none" w:sz="0" w:space="0" w:color="auto"/>
                                <w:bottom w:val="none" w:sz="0" w:space="0" w:color="auto"/>
                                <w:right w:val="none" w:sz="0" w:space="0" w:color="auto"/>
                              </w:divBdr>
                            </w:div>
                            <w:div w:id="204809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808764">
                  <w:marLeft w:val="0"/>
                  <w:marRight w:val="0"/>
                  <w:marTop w:val="0"/>
                  <w:marBottom w:val="0"/>
                  <w:divBdr>
                    <w:top w:val="none" w:sz="0" w:space="0" w:color="auto"/>
                    <w:left w:val="none" w:sz="0" w:space="0" w:color="auto"/>
                    <w:bottom w:val="none" w:sz="0" w:space="0" w:color="auto"/>
                    <w:right w:val="none" w:sz="0" w:space="0" w:color="auto"/>
                  </w:divBdr>
                  <w:divsChild>
                    <w:div w:id="814179711">
                      <w:marLeft w:val="0"/>
                      <w:marRight w:val="0"/>
                      <w:marTop w:val="0"/>
                      <w:marBottom w:val="0"/>
                      <w:divBdr>
                        <w:top w:val="none" w:sz="0" w:space="0" w:color="auto"/>
                        <w:left w:val="none" w:sz="0" w:space="0" w:color="auto"/>
                        <w:bottom w:val="none" w:sz="0" w:space="0" w:color="auto"/>
                        <w:right w:val="none" w:sz="0" w:space="0" w:color="auto"/>
                      </w:divBdr>
                      <w:divsChild>
                        <w:div w:id="76563578">
                          <w:marLeft w:val="0"/>
                          <w:marRight w:val="0"/>
                          <w:marTop w:val="0"/>
                          <w:marBottom w:val="0"/>
                          <w:divBdr>
                            <w:top w:val="none" w:sz="0" w:space="0" w:color="auto"/>
                            <w:left w:val="none" w:sz="0" w:space="0" w:color="auto"/>
                            <w:bottom w:val="none" w:sz="0" w:space="0" w:color="auto"/>
                            <w:right w:val="none" w:sz="0" w:space="0" w:color="auto"/>
                          </w:divBdr>
                          <w:divsChild>
                            <w:div w:id="924529467">
                              <w:marLeft w:val="0"/>
                              <w:marRight w:val="0"/>
                              <w:marTop w:val="0"/>
                              <w:marBottom w:val="270"/>
                              <w:divBdr>
                                <w:top w:val="single" w:sz="48" w:space="0" w:color="FF9E45"/>
                                <w:left w:val="none" w:sz="0" w:space="0" w:color="auto"/>
                                <w:bottom w:val="none" w:sz="0" w:space="0" w:color="auto"/>
                                <w:right w:val="none" w:sz="0" w:space="0" w:color="auto"/>
                              </w:divBdr>
                              <w:divsChild>
                                <w:div w:id="1043748895">
                                  <w:marLeft w:val="300"/>
                                  <w:marRight w:val="0"/>
                                  <w:marTop w:val="0"/>
                                  <w:marBottom w:val="0"/>
                                  <w:divBdr>
                                    <w:top w:val="none" w:sz="0" w:space="0" w:color="auto"/>
                                    <w:left w:val="none" w:sz="0" w:space="0" w:color="auto"/>
                                    <w:bottom w:val="none" w:sz="0" w:space="0" w:color="auto"/>
                                    <w:right w:val="none" w:sz="0" w:space="0" w:color="auto"/>
                                  </w:divBdr>
                                  <w:divsChild>
                                    <w:div w:id="118181736">
                                      <w:marLeft w:val="0"/>
                                      <w:marRight w:val="0"/>
                                      <w:marTop w:val="0"/>
                                      <w:marBottom w:val="240"/>
                                      <w:divBdr>
                                        <w:top w:val="none" w:sz="0" w:space="0" w:color="auto"/>
                                        <w:left w:val="none" w:sz="0" w:space="0" w:color="auto"/>
                                        <w:bottom w:val="none" w:sz="0" w:space="0" w:color="auto"/>
                                        <w:right w:val="none" w:sz="0" w:space="0" w:color="auto"/>
                                      </w:divBdr>
                                      <w:divsChild>
                                        <w:div w:id="1923249606">
                                          <w:marLeft w:val="0"/>
                                          <w:marRight w:val="0"/>
                                          <w:marTop w:val="0"/>
                                          <w:marBottom w:val="0"/>
                                          <w:divBdr>
                                            <w:top w:val="none" w:sz="0" w:space="0" w:color="auto"/>
                                            <w:left w:val="none" w:sz="0" w:space="0" w:color="auto"/>
                                            <w:bottom w:val="none" w:sz="0" w:space="0" w:color="auto"/>
                                            <w:right w:val="none" w:sz="0" w:space="0" w:color="auto"/>
                                          </w:divBdr>
                                          <w:divsChild>
                                            <w:div w:id="574900539">
                                              <w:marLeft w:val="0"/>
                                              <w:marRight w:val="0"/>
                                              <w:marTop w:val="0"/>
                                              <w:marBottom w:val="0"/>
                                              <w:divBdr>
                                                <w:top w:val="none" w:sz="0" w:space="0" w:color="auto"/>
                                                <w:left w:val="none" w:sz="0" w:space="0" w:color="auto"/>
                                                <w:bottom w:val="none" w:sz="0" w:space="0" w:color="auto"/>
                                                <w:right w:val="none" w:sz="0" w:space="0" w:color="auto"/>
                                              </w:divBdr>
                                            </w:div>
                                          </w:divsChild>
                                        </w:div>
                                        <w:div w:id="29962238">
                                          <w:marLeft w:val="0"/>
                                          <w:marRight w:val="0"/>
                                          <w:marTop w:val="0"/>
                                          <w:marBottom w:val="0"/>
                                          <w:divBdr>
                                            <w:top w:val="none" w:sz="0" w:space="0" w:color="auto"/>
                                            <w:left w:val="none" w:sz="0" w:space="0" w:color="auto"/>
                                            <w:bottom w:val="none" w:sz="0" w:space="0" w:color="auto"/>
                                            <w:right w:val="none" w:sz="0" w:space="0" w:color="auto"/>
                                          </w:divBdr>
                                          <w:divsChild>
                                            <w:div w:id="1716149975">
                                              <w:marLeft w:val="0"/>
                                              <w:marRight w:val="0"/>
                                              <w:marTop w:val="0"/>
                                              <w:marBottom w:val="0"/>
                                              <w:divBdr>
                                                <w:top w:val="none" w:sz="0" w:space="0" w:color="auto"/>
                                                <w:left w:val="none" w:sz="0" w:space="0" w:color="auto"/>
                                                <w:bottom w:val="none" w:sz="0" w:space="0" w:color="auto"/>
                                                <w:right w:val="none" w:sz="0" w:space="0" w:color="auto"/>
                                              </w:divBdr>
                                            </w:div>
                                          </w:divsChild>
                                        </w:div>
                                        <w:div w:id="976689401">
                                          <w:marLeft w:val="0"/>
                                          <w:marRight w:val="0"/>
                                          <w:marTop w:val="0"/>
                                          <w:marBottom w:val="0"/>
                                          <w:divBdr>
                                            <w:top w:val="none" w:sz="0" w:space="0" w:color="auto"/>
                                            <w:left w:val="none" w:sz="0" w:space="0" w:color="auto"/>
                                            <w:bottom w:val="none" w:sz="0" w:space="0" w:color="auto"/>
                                            <w:right w:val="none" w:sz="0" w:space="0" w:color="auto"/>
                                          </w:divBdr>
                                        </w:div>
                                      </w:divsChild>
                                    </w:div>
                                    <w:div w:id="1924365359">
                                      <w:marLeft w:val="0"/>
                                      <w:marRight w:val="0"/>
                                      <w:marTop w:val="0"/>
                                      <w:marBottom w:val="0"/>
                                      <w:divBdr>
                                        <w:top w:val="none" w:sz="0" w:space="0" w:color="auto"/>
                                        <w:left w:val="none" w:sz="0" w:space="0" w:color="auto"/>
                                        <w:bottom w:val="none" w:sz="0" w:space="0" w:color="auto"/>
                                        <w:right w:val="none" w:sz="0" w:space="0" w:color="auto"/>
                                      </w:divBdr>
                                      <w:divsChild>
                                        <w:div w:id="1925645782">
                                          <w:marLeft w:val="0"/>
                                          <w:marRight w:val="0"/>
                                          <w:marTop w:val="0"/>
                                          <w:marBottom w:val="0"/>
                                          <w:divBdr>
                                            <w:top w:val="none" w:sz="0" w:space="0" w:color="auto"/>
                                            <w:left w:val="none" w:sz="0" w:space="0" w:color="auto"/>
                                            <w:bottom w:val="none" w:sz="0" w:space="0" w:color="auto"/>
                                            <w:right w:val="none" w:sz="0" w:space="0" w:color="auto"/>
                                          </w:divBdr>
                                          <w:divsChild>
                                            <w:div w:id="150563269">
                                              <w:marLeft w:val="0"/>
                                              <w:marRight w:val="240"/>
                                              <w:marTop w:val="0"/>
                                              <w:marBottom w:val="0"/>
                                              <w:divBdr>
                                                <w:top w:val="none" w:sz="0" w:space="0" w:color="auto"/>
                                                <w:left w:val="none" w:sz="0" w:space="0" w:color="auto"/>
                                                <w:bottom w:val="none" w:sz="0" w:space="0" w:color="auto"/>
                                                <w:right w:val="none" w:sz="0" w:space="0" w:color="auto"/>
                                              </w:divBdr>
                                            </w:div>
                                            <w:div w:id="33774913">
                                              <w:marLeft w:val="0"/>
                                              <w:marRight w:val="0"/>
                                              <w:marTop w:val="0"/>
                                              <w:marBottom w:val="0"/>
                                              <w:divBdr>
                                                <w:top w:val="none" w:sz="0" w:space="0" w:color="auto"/>
                                                <w:left w:val="none" w:sz="0" w:space="0" w:color="auto"/>
                                                <w:bottom w:val="none" w:sz="0" w:space="0" w:color="auto"/>
                                                <w:right w:val="none" w:sz="0" w:space="0" w:color="auto"/>
                                              </w:divBdr>
                                            </w:div>
                                            <w:div w:id="1924147555">
                                              <w:marLeft w:val="0"/>
                                              <w:marRight w:val="0"/>
                                              <w:marTop w:val="0"/>
                                              <w:marBottom w:val="0"/>
                                              <w:divBdr>
                                                <w:top w:val="none" w:sz="0" w:space="0" w:color="auto"/>
                                                <w:left w:val="none" w:sz="0" w:space="0" w:color="auto"/>
                                                <w:bottom w:val="none" w:sz="0" w:space="0" w:color="auto"/>
                                                <w:right w:val="none" w:sz="0" w:space="0" w:color="auto"/>
                                              </w:divBdr>
                                              <w:divsChild>
                                                <w:div w:id="698508885">
                                                  <w:marLeft w:val="0"/>
                                                  <w:marRight w:val="0"/>
                                                  <w:marTop w:val="0"/>
                                                  <w:marBottom w:val="0"/>
                                                  <w:divBdr>
                                                    <w:top w:val="none" w:sz="0" w:space="0" w:color="auto"/>
                                                    <w:left w:val="none" w:sz="0" w:space="0" w:color="auto"/>
                                                    <w:bottom w:val="none" w:sz="0" w:space="0" w:color="auto"/>
                                                    <w:right w:val="none" w:sz="0" w:space="0" w:color="auto"/>
                                                  </w:divBdr>
                                                </w:div>
                                                <w:div w:id="1044865579">
                                                  <w:marLeft w:val="0"/>
                                                  <w:marRight w:val="0"/>
                                                  <w:marTop w:val="0"/>
                                                  <w:marBottom w:val="0"/>
                                                  <w:divBdr>
                                                    <w:top w:val="none" w:sz="0" w:space="0" w:color="auto"/>
                                                    <w:left w:val="none" w:sz="0" w:space="0" w:color="auto"/>
                                                    <w:bottom w:val="none" w:sz="0" w:space="0" w:color="auto"/>
                                                    <w:right w:val="none" w:sz="0" w:space="0" w:color="auto"/>
                                                  </w:divBdr>
                                                </w:div>
                                                <w:div w:id="513112270">
                                                  <w:marLeft w:val="0"/>
                                                  <w:marRight w:val="0"/>
                                                  <w:marTop w:val="0"/>
                                                  <w:marBottom w:val="0"/>
                                                  <w:divBdr>
                                                    <w:top w:val="none" w:sz="0" w:space="0" w:color="auto"/>
                                                    <w:left w:val="none" w:sz="0" w:space="0" w:color="auto"/>
                                                    <w:bottom w:val="none" w:sz="0" w:space="0" w:color="auto"/>
                                                    <w:right w:val="none" w:sz="0" w:space="0" w:color="auto"/>
                                                  </w:divBdr>
                                                </w:div>
                                                <w:div w:id="1650480532">
                                                  <w:marLeft w:val="0"/>
                                                  <w:marRight w:val="0"/>
                                                  <w:marTop w:val="0"/>
                                                  <w:marBottom w:val="0"/>
                                                  <w:divBdr>
                                                    <w:top w:val="none" w:sz="0" w:space="0" w:color="auto"/>
                                                    <w:left w:val="none" w:sz="0" w:space="0" w:color="auto"/>
                                                    <w:bottom w:val="none" w:sz="0" w:space="0" w:color="auto"/>
                                                    <w:right w:val="none" w:sz="0" w:space="0" w:color="auto"/>
                                                  </w:divBdr>
                                                </w:div>
                                                <w:div w:id="734428165">
                                                  <w:marLeft w:val="0"/>
                                                  <w:marRight w:val="0"/>
                                                  <w:marTop w:val="0"/>
                                                  <w:marBottom w:val="0"/>
                                                  <w:divBdr>
                                                    <w:top w:val="none" w:sz="0" w:space="0" w:color="auto"/>
                                                    <w:left w:val="none" w:sz="0" w:space="0" w:color="auto"/>
                                                    <w:bottom w:val="none" w:sz="0" w:space="0" w:color="auto"/>
                                                    <w:right w:val="none" w:sz="0" w:space="0" w:color="auto"/>
                                                  </w:divBdr>
                                                </w:div>
                                                <w:div w:id="647828648">
                                                  <w:marLeft w:val="0"/>
                                                  <w:marRight w:val="0"/>
                                                  <w:marTop w:val="0"/>
                                                  <w:marBottom w:val="0"/>
                                                  <w:divBdr>
                                                    <w:top w:val="none" w:sz="0" w:space="0" w:color="auto"/>
                                                    <w:left w:val="none" w:sz="0" w:space="0" w:color="auto"/>
                                                    <w:bottom w:val="none" w:sz="0" w:space="0" w:color="auto"/>
                                                    <w:right w:val="none" w:sz="0" w:space="0" w:color="auto"/>
                                                  </w:divBdr>
                                                </w:div>
                                                <w:div w:id="1870676005">
                                                  <w:marLeft w:val="0"/>
                                                  <w:marRight w:val="0"/>
                                                  <w:marTop w:val="0"/>
                                                  <w:marBottom w:val="0"/>
                                                  <w:divBdr>
                                                    <w:top w:val="none" w:sz="0" w:space="0" w:color="auto"/>
                                                    <w:left w:val="none" w:sz="0" w:space="0" w:color="auto"/>
                                                    <w:bottom w:val="none" w:sz="0" w:space="0" w:color="auto"/>
                                                    <w:right w:val="none" w:sz="0" w:space="0" w:color="auto"/>
                                                  </w:divBdr>
                                                </w:div>
                                              </w:divsChild>
                                            </w:div>
                                            <w:div w:id="1154566436">
                                              <w:marLeft w:val="0"/>
                                              <w:marRight w:val="0"/>
                                              <w:marTop w:val="0"/>
                                              <w:marBottom w:val="0"/>
                                              <w:divBdr>
                                                <w:top w:val="none" w:sz="0" w:space="0" w:color="auto"/>
                                                <w:left w:val="none" w:sz="0" w:space="0" w:color="auto"/>
                                                <w:bottom w:val="none" w:sz="0" w:space="0" w:color="auto"/>
                                                <w:right w:val="none" w:sz="0" w:space="0" w:color="auto"/>
                                              </w:divBdr>
                                              <w:divsChild>
                                                <w:div w:id="64882256">
                                                  <w:marLeft w:val="0"/>
                                                  <w:marRight w:val="0"/>
                                                  <w:marTop w:val="0"/>
                                                  <w:marBottom w:val="0"/>
                                                  <w:divBdr>
                                                    <w:top w:val="none" w:sz="0" w:space="0" w:color="auto"/>
                                                    <w:left w:val="none" w:sz="0" w:space="0" w:color="auto"/>
                                                    <w:bottom w:val="none" w:sz="0" w:space="0" w:color="auto"/>
                                                    <w:right w:val="none" w:sz="0" w:space="0" w:color="auto"/>
                                                  </w:divBdr>
                                                </w:div>
                                                <w:div w:id="1905875748">
                                                  <w:marLeft w:val="0"/>
                                                  <w:marRight w:val="0"/>
                                                  <w:marTop w:val="0"/>
                                                  <w:marBottom w:val="0"/>
                                                  <w:divBdr>
                                                    <w:top w:val="none" w:sz="0" w:space="0" w:color="auto"/>
                                                    <w:left w:val="none" w:sz="0" w:space="0" w:color="auto"/>
                                                    <w:bottom w:val="none" w:sz="0" w:space="0" w:color="auto"/>
                                                    <w:right w:val="none" w:sz="0" w:space="0" w:color="auto"/>
                                                  </w:divBdr>
                                                </w:div>
                                                <w:div w:id="1180194950">
                                                  <w:marLeft w:val="0"/>
                                                  <w:marRight w:val="0"/>
                                                  <w:marTop w:val="0"/>
                                                  <w:marBottom w:val="0"/>
                                                  <w:divBdr>
                                                    <w:top w:val="none" w:sz="0" w:space="0" w:color="auto"/>
                                                    <w:left w:val="none" w:sz="0" w:space="0" w:color="auto"/>
                                                    <w:bottom w:val="none" w:sz="0" w:space="0" w:color="auto"/>
                                                    <w:right w:val="none" w:sz="0" w:space="0" w:color="auto"/>
                                                  </w:divBdr>
                                                </w:div>
                                              </w:divsChild>
                                            </w:div>
                                            <w:div w:id="218518442">
                                              <w:marLeft w:val="0"/>
                                              <w:marRight w:val="0"/>
                                              <w:marTop w:val="0"/>
                                              <w:marBottom w:val="0"/>
                                              <w:divBdr>
                                                <w:top w:val="none" w:sz="0" w:space="0" w:color="auto"/>
                                                <w:left w:val="none" w:sz="0" w:space="0" w:color="auto"/>
                                                <w:bottom w:val="none" w:sz="0" w:space="0" w:color="auto"/>
                                                <w:right w:val="none" w:sz="0" w:space="0" w:color="auto"/>
                                              </w:divBdr>
                                            </w:div>
                                            <w:div w:id="1046298142">
                                              <w:marLeft w:val="0"/>
                                              <w:marRight w:val="0"/>
                                              <w:marTop w:val="0"/>
                                              <w:marBottom w:val="0"/>
                                              <w:divBdr>
                                                <w:top w:val="none" w:sz="0" w:space="0" w:color="auto"/>
                                                <w:left w:val="none" w:sz="0" w:space="0" w:color="auto"/>
                                                <w:bottom w:val="none" w:sz="0" w:space="0" w:color="auto"/>
                                                <w:right w:val="none" w:sz="0" w:space="0" w:color="auto"/>
                                              </w:divBdr>
                                            </w:div>
                                            <w:div w:id="1232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869739">
                          <w:marLeft w:val="450"/>
                          <w:marRight w:val="0"/>
                          <w:marTop w:val="0"/>
                          <w:marBottom w:val="0"/>
                          <w:divBdr>
                            <w:top w:val="none" w:sz="0" w:space="0" w:color="auto"/>
                            <w:left w:val="none" w:sz="0" w:space="0" w:color="auto"/>
                            <w:bottom w:val="none" w:sz="0" w:space="0" w:color="auto"/>
                            <w:right w:val="none" w:sz="0" w:space="0" w:color="auto"/>
                          </w:divBdr>
                          <w:divsChild>
                            <w:div w:id="1492059596">
                              <w:marLeft w:val="0"/>
                              <w:marRight w:val="0"/>
                              <w:marTop w:val="0"/>
                              <w:marBottom w:val="150"/>
                              <w:divBdr>
                                <w:top w:val="single" w:sz="48" w:space="14" w:color="F9B5B2"/>
                                <w:left w:val="single" w:sz="12" w:space="20" w:color="F9B5B2"/>
                                <w:bottom w:val="single" w:sz="12" w:space="14" w:color="F9B5B2"/>
                                <w:right w:val="single" w:sz="12" w:space="20" w:color="F9B5B2"/>
                              </w:divBdr>
                              <w:divsChild>
                                <w:div w:id="440606682">
                                  <w:marLeft w:val="225"/>
                                  <w:marRight w:val="0"/>
                                  <w:marTop w:val="0"/>
                                  <w:marBottom w:val="0"/>
                                  <w:divBdr>
                                    <w:top w:val="none" w:sz="0" w:space="0" w:color="auto"/>
                                    <w:left w:val="none" w:sz="0" w:space="0" w:color="auto"/>
                                    <w:bottom w:val="none" w:sz="0" w:space="0" w:color="auto"/>
                                    <w:right w:val="none" w:sz="0" w:space="0" w:color="auto"/>
                                  </w:divBdr>
                                </w:div>
                                <w:div w:id="69770650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17663">
      <w:bodyDiv w:val="1"/>
      <w:marLeft w:val="0"/>
      <w:marRight w:val="0"/>
      <w:marTop w:val="0"/>
      <w:marBottom w:val="0"/>
      <w:divBdr>
        <w:top w:val="none" w:sz="0" w:space="0" w:color="auto"/>
        <w:left w:val="none" w:sz="0" w:space="0" w:color="auto"/>
        <w:bottom w:val="none" w:sz="0" w:space="0" w:color="auto"/>
        <w:right w:val="none" w:sz="0" w:space="0" w:color="auto"/>
      </w:divBdr>
      <w:divsChild>
        <w:div w:id="1829783589">
          <w:marLeft w:val="0"/>
          <w:marRight w:val="0"/>
          <w:marTop w:val="0"/>
          <w:marBottom w:val="0"/>
          <w:divBdr>
            <w:top w:val="none" w:sz="0" w:space="0" w:color="auto"/>
            <w:left w:val="none" w:sz="0" w:space="0" w:color="auto"/>
            <w:bottom w:val="none" w:sz="0" w:space="0" w:color="auto"/>
            <w:right w:val="none" w:sz="0" w:space="0" w:color="auto"/>
          </w:divBdr>
          <w:divsChild>
            <w:div w:id="57214492">
              <w:marLeft w:val="0"/>
              <w:marRight w:val="0"/>
              <w:marTop w:val="0"/>
              <w:marBottom w:val="900"/>
              <w:divBdr>
                <w:top w:val="none" w:sz="0" w:space="0" w:color="auto"/>
                <w:left w:val="none" w:sz="0" w:space="0" w:color="auto"/>
                <w:bottom w:val="none" w:sz="0" w:space="0" w:color="auto"/>
                <w:right w:val="none" w:sz="0" w:space="0" w:color="auto"/>
              </w:divBdr>
              <w:divsChild>
                <w:div w:id="694187610">
                  <w:marLeft w:val="0"/>
                  <w:marRight w:val="0"/>
                  <w:marTop w:val="0"/>
                  <w:marBottom w:val="0"/>
                  <w:divBdr>
                    <w:top w:val="none" w:sz="0" w:space="0" w:color="auto"/>
                    <w:left w:val="none" w:sz="0" w:space="0" w:color="auto"/>
                    <w:bottom w:val="none" w:sz="0" w:space="0" w:color="auto"/>
                    <w:right w:val="none" w:sz="0" w:space="0" w:color="auto"/>
                  </w:divBdr>
                  <w:divsChild>
                    <w:div w:id="2002614909">
                      <w:marLeft w:val="0"/>
                      <w:marRight w:val="0"/>
                      <w:marTop w:val="0"/>
                      <w:marBottom w:val="0"/>
                      <w:divBdr>
                        <w:top w:val="none" w:sz="0" w:space="0" w:color="auto"/>
                        <w:left w:val="none" w:sz="0" w:space="0" w:color="auto"/>
                        <w:bottom w:val="none" w:sz="0" w:space="0" w:color="auto"/>
                        <w:right w:val="none" w:sz="0" w:space="0" w:color="auto"/>
                      </w:divBdr>
                      <w:divsChild>
                        <w:div w:id="1863204544">
                          <w:marLeft w:val="0"/>
                          <w:marRight w:val="0"/>
                          <w:marTop w:val="0"/>
                          <w:marBottom w:val="0"/>
                          <w:divBdr>
                            <w:top w:val="none" w:sz="0" w:space="0" w:color="auto"/>
                            <w:left w:val="none" w:sz="0" w:space="0" w:color="auto"/>
                            <w:bottom w:val="none" w:sz="0" w:space="0" w:color="auto"/>
                            <w:right w:val="none" w:sz="0" w:space="0" w:color="auto"/>
                          </w:divBdr>
                          <w:divsChild>
                            <w:div w:id="1254316651">
                              <w:marLeft w:val="0"/>
                              <w:marRight w:val="0"/>
                              <w:marTop w:val="0"/>
                              <w:marBottom w:val="0"/>
                              <w:divBdr>
                                <w:top w:val="none" w:sz="0" w:space="0" w:color="auto"/>
                                <w:left w:val="none" w:sz="0" w:space="0" w:color="auto"/>
                                <w:bottom w:val="none" w:sz="0" w:space="0" w:color="auto"/>
                                <w:right w:val="none" w:sz="0" w:space="0" w:color="auto"/>
                              </w:divBdr>
                              <w:divsChild>
                                <w:div w:id="1361542768">
                                  <w:marLeft w:val="0"/>
                                  <w:marRight w:val="0"/>
                                  <w:marTop w:val="0"/>
                                  <w:marBottom w:val="0"/>
                                  <w:divBdr>
                                    <w:top w:val="none" w:sz="0" w:space="0" w:color="auto"/>
                                    <w:left w:val="none" w:sz="0" w:space="0" w:color="auto"/>
                                    <w:bottom w:val="none" w:sz="0" w:space="0" w:color="auto"/>
                                    <w:right w:val="none" w:sz="0" w:space="0" w:color="auto"/>
                                  </w:divBdr>
                                  <w:divsChild>
                                    <w:div w:id="1260875275">
                                      <w:marLeft w:val="0"/>
                                      <w:marRight w:val="0"/>
                                      <w:marTop w:val="0"/>
                                      <w:marBottom w:val="0"/>
                                      <w:divBdr>
                                        <w:top w:val="none" w:sz="0" w:space="0" w:color="auto"/>
                                        <w:left w:val="none" w:sz="0" w:space="0" w:color="auto"/>
                                        <w:bottom w:val="none" w:sz="0" w:space="0" w:color="auto"/>
                                        <w:right w:val="none" w:sz="0" w:space="0" w:color="auto"/>
                                      </w:divBdr>
                                      <w:divsChild>
                                        <w:div w:id="18754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107511">
      <w:bodyDiv w:val="1"/>
      <w:marLeft w:val="0"/>
      <w:marRight w:val="0"/>
      <w:marTop w:val="0"/>
      <w:marBottom w:val="0"/>
      <w:divBdr>
        <w:top w:val="none" w:sz="0" w:space="0" w:color="auto"/>
        <w:left w:val="none" w:sz="0" w:space="0" w:color="auto"/>
        <w:bottom w:val="none" w:sz="0" w:space="0" w:color="auto"/>
        <w:right w:val="none" w:sz="0" w:space="0" w:color="auto"/>
      </w:divBdr>
      <w:divsChild>
        <w:div w:id="751967450">
          <w:marLeft w:val="0"/>
          <w:marRight w:val="0"/>
          <w:marTop w:val="0"/>
          <w:marBottom w:val="0"/>
          <w:divBdr>
            <w:top w:val="none" w:sz="0" w:space="0" w:color="auto"/>
            <w:left w:val="none" w:sz="0" w:space="0" w:color="auto"/>
            <w:bottom w:val="none" w:sz="0" w:space="0" w:color="auto"/>
            <w:right w:val="none" w:sz="0" w:space="0" w:color="auto"/>
          </w:divBdr>
          <w:divsChild>
            <w:div w:id="863135349">
              <w:marLeft w:val="0"/>
              <w:marRight w:val="0"/>
              <w:marTop w:val="0"/>
              <w:marBottom w:val="900"/>
              <w:divBdr>
                <w:top w:val="none" w:sz="0" w:space="0" w:color="auto"/>
                <w:left w:val="none" w:sz="0" w:space="0" w:color="auto"/>
                <w:bottom w:val="none" w:sz="0" w:space="0" w:color="auto"/>
                <w:right w:val="none" w:sz="0" w:space="0" w:color="auto"/>
              </w:divBdr>
              <w:divsChild>
                <w:div w:id="1269123048">
                  <w:marLeft w:val="0"/>
                  <w:marRight w:val="0"/>
                  <w:marTop w:val="0"/>
                  <w:marBottom w:val="0"/>
                  <w:divBdr>
                    <w:top w:val="none" w:sz="0" w:space="0" w:color="auto"/>
                    <w:left w:val="none" w:sz="0" w:space="0" w:color="auto"/>
                    <w:bottom w:val="none" w:sz="0" w:space="0" w:color="auto"/>
                    <w:right w:val="none" w:sz="0" w:space="0" w:color="auto"/>
                  </w:divBdr>
                  <w:divsChild>
                    <w:div w:id="1659335463">
                      <w:marLeft w:val="0"/>
                      <w:marRight w:val="0"/>
                      <w:marTop w:val="0"/>
                      <w:marBottom w:val="0"/>
                      <w:divBdr>
                        <w:top w:val="none" w:sz="0" w:space="0" w:color="auto"/>
                        <w:left w:val="none" w:sz="0" w:space="0" w:color="auto"/>
                        <w:bottom w:val="none" w:sz="0" w:space="0" w:color="auto"/>
                        <w:right w:val="none" w:sz="0" w:space="0" w:color="auto"/>
                      </w:divBdr>
                      <w:divsChild>
                        <w:div w:id="695890904">
                          <w:marLeft w:val="0"/>
                          <w:marRight w:val="0"/>
                          <w:marTop w:val="0"/>
                          <w:marBottom w:val="0"/>
                          <w:divBdr>
                            <w:top w:val="none" w:sz="0" w:space="0" w:color="auto"/>
                            <w:left w:val="none" w:sz="0" w:space="0" w:color="auto"/>
                            <w:bottom w:val="none" w:sz="0" w:space="0" w:color="auto"/>
                            <w:right w:val="none" w:sz="0" w:space="0" w:color="auto"/>
                          </w:divBdr>
                          <w:divsChild>
                            <w:div w:id="958989854">
                              <w:marLeft w:val="0"/>
                              <w:marRight w:val="0"/>
                              <w:marTop w:val="0"/>
                              <w:marBottom w:val="0"/>
                              <w:divBdr>
                                <w:top w:val="none" w:sz="0" w:space="0" w:color="auto"/>
                                <w:left w:val="none" w:sz="0" w:space="0" w:color="auto"/>
                                <w:bottom w:val="none" w:sz="0" w:space="0" w:color="auto"/>
                                <w:right w:val="none" w:sz="0" w:space="0" w:color="auto"/>
                              </w:divBdr>
                              <w:divsChild>
                                <w:div w:id="1195922176">
                                  <w:marLeft w:val="0"/>
                                  <w:marRight w:val="0"/>
                                  <w:marTop w:val="0"/>
                                  <w:marBottom w:val="0"/>
                                  <w:divBdr>
                                    <w:top w:val="none" w:sz="0" w:space="0" w:color="auto"/>
                                    <w:left w:val="none" w:sz="0" w:space="0" w:color="auto"/>
                                    <w:bottom w:val="none" w:sz="0" w:space="0" w:color="auto"/>
                                    <w:right w:val="none" w:sz="0" w:space="0" w:color="auto"/>
                                  </w:divBdr>
                                  <w:divsChild>
                                    <w:div w:id="1528517259">
                                      <w:marLeft w:val="0"/>
                                      <w:marRight w:val="0"/>
                                      <w:marTop w:val="0"/>
                                      <w:marBottom w:val="0"/>
                                      <w:divBdr>
                                        <w:top w:val="none" w:sz="0" w:space="0" w:color="auto"/>
                                        <w:left w:val="none" w:sz="0" w:space="0" w:color="auto"/>
                                        <w:bottom w:val="none" w:sz="0" w:space="0" w:color="auto"/>
                                        <w:right w:val="none" w:sz="0" w:space="0" w:color="auto"/>
                                      </w:divBdr>
                                      <w:divsChild>
                                        <w:div w:id="9722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22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moe.senioredu.moe.gov.tw/UploadFiles/20190130062203743.pdf" TargetMode="External"/><Relationship Id="rId1" Type="http://schemas.openxmlformats.org/officeDocument/2006/relationships/hyperlink" Target="http://terms.naer.edu.tw/detail/1305071/&#65307;2.&#25945;&#32946;&#37096;&#65288;&#27665;95" TargetMode="Externa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F138D-4F8D-4606-B88D-8B5135199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003調查報告_104.dotx</Template>
  <TotalTime>1</TotalTime>
  <Pages>3</Pages>
  <Words>20670</Words>
  <Characters>117820</Characters>
  <Application>Microsoft Office Word</Application>
  <DocSecurity>0</DocSecurity>
  <Lines>981</Lines>
  <Paragraphs>276</Paragraphs>
  <ScaleCrop>false</ScaleCrop>
  <Company>cy</Company>
  <LinksUpToDate>false</LinksUpToDate>
  <CharactersWithSpaces>138214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stud01</dc:creator>
  <cp:keywords/>
  <dc:description/>
  <cp:lastModifiedBy>wctsai</cp:lastModifiedBy>
  <cp:revision>3</cp:revision>
  <cp:lastPrinted>2021-04-09T09:00:00Z</cp:lastPrinted>
  <dcterms:created xsi:type="dcterms:W3CDTF">2020-05-20T03:10:00Z</dcterms:created>
  <dcterms:modified xsi:type="dcterms:W3CDTF">2021-04-09T09:00:00Z</dcterms:modified>
</cp:coreProperties>
</file>