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71B22" w:rsidRDefault="00D75644" w:rsidP="00F37D7B">
      <w:pPr>
        <w:pStyle w:val="af2"/>
        <w:rPr>
          <w:color w:val="000000" w:themeColor="text1"/>
        </w:rPr>
      </w:pPr>
      <w:bookmarkStart w:id="0" w:name="_GoBack"/>
      <w:bookmarkEnd w:id="0"/>
      <w:r w:rsidRPr="00C71B22">
        <w:rPr>
          <w:rFonts w:hint="eastAsia"/>
          <w:color w:val="000000" w:themeColor="text1"/>
        </w:rPr>
        <w:t>調查報告</w:t>
      </w:r>
    </w:p>
    <w:p w:rsidR="00E25849" w:rsidRPr="00C71B22"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71B22">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E80A8E" w:rsidRPr="00C71B22">
        <w:rPr>
          <w:rFonts w:hAnsi="標楷體" w:hint="eastAsia"/>
          <w:color w:val="000000" w:themeColor="text1"/>
        </w:rPr>
        <w:t>據訴，渠為退休公務員，因年金改革政策，遭重新審定退休金，渠不服該處分，因而向公務人員保障暨培訓委員會提起復審，詎該會復審決定書附記不服該決定之訴訟管轄機關為臺北高等行政法院，未考量渠居住臺中市，且此類事件非屬專屬管轄，救濟教示涉有不當，損及訴訟權益等情案。</w:t>
      </w:r>
    </w:p>
    <w:p w:rsidR="00E25849" w:rsidRPr="00C71B22"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C71B22">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Pr="00C71B22" w:rsidRDefault="00F1578F" w:rsidP="00A639F4">
      <w:pPr>
        <w:pStyle w:val="10"/>
        <w:ind w:left="680" w:firstLine="680"/>
        <w:rPr>
          <w:color w:val="000000" w:themeColor="text1"/>
        </w:rPr>
      </w:pPr>
      <w:bookmarkStart w:id="50" w:name="_Toc524902730"/>
      <w:r w:rsidRPr="00C71B22">
        <w:rPr>
          <w:rFonts w:hint="eastAsia"/>
          <w:color w:val="000000" w:themeColor="text1"/>
        </w:rPr>
        <w:t>本案緣於民眾陳訴略以：渠為退休公務人員，因年金改革政策遭重新審定退休金，</w:t>
      </w:r>
      <w:r w:rsidRPr="00C71B22">
        <w:rPr>
          <w:color w:val="000000" w:themeColor="text1"/>
        </w:rPr>
        <w:t>公務人員保障暨培訓委員會</w:t>
      </w:r>
      <w:r w:rsidRPr="00C71B22">
        <w:rPr>
          <w:rFonts w:hint="eastAsia"/>
          <w:color w:val="000000" w:themeColor="text1"/>
        </w:rPr>
        <w:t>（下稱保訓會）復審決定書僅附記臺北高等行政法院為訴訟管轄法院，造成應訴不便，損及訴訟權益等情。案經本院向考試院、行政院、教育部、國防部等機關調閱卷證資料，並於民國(下同)</w:t>
      </w:r>
      <w:r w:rsidRPr="00C71B22">
        <w:rPr>
          <w:color w:val="000000" w:themeColor="text1"/>
        </w:rPr>
        <w:t>109</w:t>
      </w:r>
      <w:r w:rsidRPr="00C71B22">
        <w:rPr>
          <w:rFonts w:hint="eastAsia"/>
          <w:color w:val="000000" w:themeColor="text1"/>
        </w:rPr>
        <w:t>年2月7日詢問</w:t>
      </w:r>
      <w:r w:rsidR="003E7E36" w:rsidRPr="00C71B22">
        <w:rPr>
          <w:rFonts w:hint="eastAsia"/>
          <w:color w:val="000000" w:themeColor="text1"/>
        </w:rPr>
        <w:t>復審機關</w:t>
      </w:r>
      <w:r w:rsidRPr="00C71B22">
        <w:rPr>
          <w:rFonts w:hint="eastAsia"/>
          <w:color w:val="000000" w:themeColor="text1"/>
        </w:rPr>
        <w:t>保訓會及</w:t>
      </w:r>
      <w:r w:rsidR="003E7E36" w:rsidRPr="00C71B22">
        <w:rPr>
          <w:rFonts w:hint="eastAsia"/>
          <w:color w:val="000000" w:themeColor="text1"/>
        </w:rPr>
        <w:t>訴願機關</w:t>
      </w:r>
      <w:r w:rsidRPr="00C71B22">
        <w:rPr>
          <w:rFonts w:hint="eastAsia"/>
          <w:color w:val="000000" w:themeColor="text1"/>
        </w:rPr>
        <w:t>行政院、教育部、國防部等</w:t>
      </w:r>
      <w:r w:rsidR="003E7E36" w:rsidRPr="00C71B22">
        <w:rPr>
          <w:rFonts w:hint="eastAsia"/>
          <w:color w:val="000000" w:themeColor="text1"/>
        </w:rPr>
        <w:t>相關</w:t>
      </w:r>
      <w:r w:rsidRPr="00C71B22">
        <w:rPr>
          <w:rFonts w:hint="eastAsia"/>
          <w:color w:val="000000" w:themeColor="text1"/>
        </w:rPr>
        <w:t>主管人員，</w:t>
      </w:r>
      <w:r w:rsidR="00FB501B" w:rsidRPr="00C71B22">
        <w:rPr>
          <w:rFonts w:hint="eastAsia"/>
          <w:color w:val="000000" w:themeColor="text1"/>
        </w:rPr>
        <w:t>已調查竣</w:t>
      </w:r>
      <w:r w:rsidR="00307A76" w:rsidRPr="00C71B22">
        <w:rPr>
          <w:rFonts w:hint="eastAsia"/>
          <w:color w:val="000000" w:themeColor="text1"/>
        </w:rPr>
        <w:t>事</w:t>
      </w:r>
      <w:r w:rsidR="00FB501B" w:rsidRPr="00C71B22">
        <w:rPr>
          <w:rFonts w:hint="eastAsia"/>
          <w:color w:val="000000" w:themeColor="text1"/>
        </w:rPr>
        <w:t>，</w:t>
      </w:r>
      <w:r w:rsidR="00307A76" w:rsidRPr="00C71B22">
        <w:rPr>
          <w:rFonts w:hint="eastAsia"/>
          <w:color w:val="000000" w:themeColor="text1"/>
        </w:rPr>
        <w:t>茲臚</w:t>
      </w:r>
      <w:r w:rsidR="00FB501B" w:rsidRPr="00C71B22">
        <w:rPr>
          <w:rFonts w:hint="eastAsia"/>
          <w:color w:val="000000" w:themeColor="text1"/>
        </w:rPr>
        <w:t>列調查意見如下：</w:t>
      </w:r>
    </w:p>
    <w:p w:rsidR="00073CB5" w:rsidRPr="00C71B22" w:rsidRDefault="002C438E" w:rsidP="00DE4238">
      <w:pPr>
        <w:pStyle w:val="2"/>
        <w:rPr>
          <w:rFonts w:hAnsi="標楷體"/>
          <w:b/>
          <w:color w:val="000000" w:themeColor="text1"/>
        </w:rPr>
      </w:pPr>
      <w:r w:rsidRPr="00C71B22">
        <w:rPr>
          <w:rFonts w:hAnsi="標楷體" w:hint="eastAsia"/>
          <w:b/>
          <w:color w:val="000000" w:themeColor="text1"/>
        </w:rPr>
        <w:t>年金改革實施後</w:t>
      </w:r>
      <w:r w:rsidRPr="00C71B22">
        <w:rPr>
          <w:rFonts w:ascii="新細明體" w:eastAsia="新細明體" w:hAnsi="新細明體" w:hint="eastAsia"/>
          <w:b/>
          <w:color w:val="000000" w:themeColor="text1"/>
        </w:rPr>
        <w:t>，</w:t>
      </w:r>
      <w:r w:rsidRPr="00C71B22">
        <w:rPr>
          <w:rFonts w:hAnsi="標楷體" w:hint="eastAsia"/>
          <w:b/>
          <w:color w:val="000000" w:themeColor="text1"/>
        </w:rPr>
        <w:t>「公務人員」退休所得</w:t>
      </w:r>
      <w:r w:rsidR="00E84A2B" w:rsidRPr="00C71B22">
        <w:rPr>
          <w:rFonts w:hAnsi="標楷體" w:hint="eastAsia"/>
          <w:b/>
          <w:color w:val="000000" w:themeColor="text1"/>
        </w:rPr>
        <w:t>重新審定</w:t>
      </w:r>
      <w:r w:rsidR="006D5E66" w:rsidRPr="00C71B22">
        <w:rPr>
          <w:rFonts w:hAnsi="標楷體" w:hint="eastAsia"/>
          <w:b/>
          <w:color w:val="000000" w:themeColor="text1"/>
        </w:rPr>
        <w:t>事件</w:t>
      </w:r>
      <w:r w:rsidR="00E84A2B" w:rsidRPr="00C71B22">
        <w:rPr>
          <w:rFonts w:hAnsi="標楷體" w:hint="eastAsia"/>
          <w:b/>
          <w:color w:val="000000" w:themeColor="text1"/>
        </w:rPr>
        <w:t>，保訓會</w:t>
      </w:r>
      <w:r w:rsidR="00D63B40" w:rsidRPr="00C71B22">
        <w:rPr>
          <w:rFonts w:hAnsi="標楷體" w:hint="eastAsia"/>
          <w:b/>
          <w:color w:val="000000" w:themeColor="text1"/>
        </w:rPr>
        <w:t>率</w:t>
      </w:r>
      <w:r w:rsidR="008E45A4" w:rsidRPr="00C71B22">
        <w:rPr>
          <w:rFonts w:hAnsi="標楷體" w:hint="eastAsia"/>
          <w:b/>
          <w:color w:val="000000" w:themeColor="text1"/>
        </w:rPr>
        <w:t>認退休公務人員與</w:t>
      </w:r>
      <w:r w:rsidR="00E50492" w:rsidRPr="00C71B22">
        <w:rPr>
          <w:rFonts w:hAnsi="標楷體" w:hint="eastAsia"/>
          <w:b/>
          <w:color w:val="000000" w:themeColor="text1"/>
        </w:rPr>
        <w:t>原</w:t>
      </w:r>
      <w:r w:rsidR="008E45A4" w:rsidRPr="00C71B22">
        <w:rPr>
          <w:rFonts w:hAnsi="標楷體" w:hint="eastAsia"/>
          <w:b/>
          <w:color w:val="000000" w:themeColor="text1"/>
        </w:rPr>
        <w:t>服務機關間已無職務關係，</w:t>
      </w:r>
      <w:r w:rsidR="006C2973" w:rsidRPr="00C71B22">
        <w:rPr>
          <w:rFonts w:hAnsi="標楷體" w:hint="eastAsia"/>
          <w:b/>
          <w:color w:val="000000" w:themeColor="text1"/>
        </w:rPr>
        <w:t>復審決定書有關訴訟管轄法院之救濟教示，</w:t>
      </w:r>
      <w:r w:rsidR="00EF0666" w:rsidRPr="00C71B22">
        <w:rPr>
          <w:rFonts w:hAnsi="標楷體" w:hint="eastAsia"/>
          <w:b/>
          <w:color w:val="000000" w:themeColor="text1"/>
        </w:rPr>
        <w:t>爰僅依行政訴訟</w:t>
      </w:r>
      <w:r w:rsidR="006C2973" w:rsidRPr="00C71B22">
        <w:rPr>
          <w:rFonts w:hAnsi="標楷體" w:hint="eastAsia"/>
          <w:b/>
          <w:color w:val="000000" w:themeColor="text1"/>
        </w:rPr>
        <w:t>法第13條第1項「以原就被」原則，</w:t>
      </w:r>
      <w:r w:rsidR="00E50492" w:rsidRPr="00C71B22">
        <w:rPr>
          <w:rFonts w:hAnsi="標楷體" w:hint="eastAsia"/>
          <w:b/>
          <w:color w:val="000000" w:themeColor="text1"/>
        </w:rPr>
        <w:t>單一</w:t>
      </w:r>
      <w:r w:rsidR="004B191E" w:rsidRPr="00C71B22">
        <w:rPr>
          <w:rFonts w:hAnsi="標楷體" w:hint="eastAsia"/>
          <w:b/>
          <w:color w:val="000000" w:themeColor="text1"/>
        </w:rPr>
        <w:t>附記</w:t>
      </w:r>
      <w:r w:rsidR="00BC00E8" w:rsidRPr="00C71B22">
        <w:rPr>
          <w:rFonts w:hAnsi="標楷體" w:hint="eastAsia"/>
          <w:b/>
          <w:color w:val="000000" w:themeColor="text1"/>
        </w:rPr>
        <w:t>以</w:t>
      </w:r>
      <w:r w:rsidR="006C2973" w:rsidRPr="00C71B22">
        <w:rPr>
          <w:rFonts w:hAnsi="標楷體" w:hint="eastAsia"/>
          <w:b/>
          <w:color w:val="000000" w:themeColor="text1"/>
        </w:rPr>
        <w:t>原處分機關銓敘部所在地之臺北高等行政法院為訴訟管轄法院，</w:t>
      </w:r>
      <w:r w:rsidR="00E50492" w:rsidRPr="00C71B22">
        <w:rPr>
          <w:rFonts w:hAnsi="標楷體" w:hint="eastAsia"/>
          <w:b/>
          <w:color w:val="000000" w:themeColor="text1"/>
        </w:rPr>
        <w:t>核</w:t>
      </w:r>
      <w:r w:rsidR="008E45A4" w:rsidRPr="00C71B22">
        <w:rPr>
          <w:rFonts w:hAnsi="標楷體" w:hint="eastAsia"/>
          <w:b/>
          <w:color w:val="000000" w:themeColor="text1"/>
        </w:rPr>
        <w:t>與行政訴訟法</w:t>
      </w:r>
      <w:r w:rsidR="00E36C03" w:rsidRPr="00C71B22">
        <w:rPr>
          <w:rFonts w:hAnsi="標楷體" w:hint="eastAsia"/>
          <w:b/>
          <w:color w:val="000000" w:themeColor="text1"/>
        </w:rPr>
        <w:t>為便</w:t>
      </w:r>
      <w:r w:rsidR="004D06D8" w:rsidRPr="00C71B22">
        <w:rPr>
          <w:rFonts w:hAnsi="標楷體" w:hint="eastAsia"/>
          <w:b/>
          <w:color w:val="000000" w:themeColor="text1"/>
        </w:rPr>
        <w:t>利</w:t>
      </w:r>
      <w:r w:rsidR="00E36C03" w:rsidRPr="00C71B22">
        <w:rPr>
          <w:rFonts w:hAnsi="標楷體" w:hint="eastAsia"/>
          <w:b/>
          <w:color w:val="000000" w:themeColor="text1"/>
        </w:rPr>
        <w:t>「民告官」，</w:t>
      </w:r>
      <w:r w:rsidR="00E50492" w:rsidRPr="00C71B22">
        <w:rPr>
          <w:rFonts w:hAnsi="標楷體" w:hint="eastAsia"/>
          <w:b/>
          <w:color w:val="000000" w:themeColor="text1"/>
        </w:rPr>
        <w:t>併</w:t>
      </w:r>
      <w:r w:rsidR="00E36C03" w:rsidRPr="00C71B22">
        <w:rPr>
          <w:rFonts w:hAnsi="標楷體" w:hint="eastAsia"/>
          <w:b/>
          <w:color w:val="000000" w:themeColor="text1"/>
        </w:rPr>
        <w:t>採「以被就原」原則</w:t>
      </w:r>
      <w:r w:rsidR="00EF0666" w:rsidRPr="00C71B22">
        <w:rPr>
          <w:rFonts w:hAnsi="標楷體" w:hint="eastAsia"/>
          <w:b/>
          <w:color w:val="000000" w:themeColor="text1"/>
        </w:rPr>
        <w:t>而</w:t>
      </w:r>
      <w:r w:rsidR="00E36C03" w:rsidRPr="00C71B22">
        <w:rPr>
          <w:rFonts w:hAnsi="標楷體" w:hint="eastAsia"/>
          <w:b/>
          <w:color w:val="000000" w:themeColor="text1"/>
        </w:rPr>
        <w:t>修法增訂</w:t>
      </w:r>
      <w:r w:rsidR="008E45A4" w:rsidRPr="00C71B22">
        <w:rPr>
          <w:rFonts w:hAnsi="標楷體" w:hint="eastAsia"/>
          <w:b/>
          <w:color w:val="000000" w:themeColor="text1"/>
        </w:rPr>
        <w:t>第15條之1</w:t>
      </w:r>
      <w:r w:rsidR="00E50492" w:rsidRPr="00C71B22">
        <w:rPr>
          <w:rFonts w:hAnsi="標楷體" w:hint="eastAsia"/>
          <w:b/>
          <w:color w:val="000000" w:themeColor="text1"/>
        </w:rPr>
        <w:t>明定得由</w:t>
      </w:r>
      <w:r w:rsidR="008E45A4" w:rsidRPr="00C71B22">
        <w:rPr>
          <w:rFonts w:hAnsi="標楷體" w:hint="eastAsia"/>
          <w:b/>
          <w:color w:val="000000" w:themeColor="text1"/>
        </w:rPr>
        <w:t>「公務員職務關係所在地」</w:t>
      </w:r>
      <w:r w:rsidR="00E50492" w:rsidRPr="00C71B22">
        <w:rPr>
          <w:rFonts w:hAnsi="標楷體" w:hint="eastAsia"/>
          <w:b/>
          <w:color w:val="000000" w:themeColor="text1"/>
        </w:rPr>
        <w:t>之行政法院管轄</w:t>
      </w:r>
      <w:r w:rsidR="004D06D8" w:rsidRPr="00C71B22">
        <w:rPr>
          <w:rFonts w:hAnsi="標楷體" w:hint="eastAsia"/>
          <w:b/>
          <w:color w:val="000000" w:themeColor="text1"/>
        </w:rPr>
        <w:t>，使其得以就近尋求司法救濟</w:t>
      </w:r>
      <w:r w:rsidR="00EF0666" w:rsidRPr="00C71B22">
        <w:rPr>
          <w:rFonts w:ascii="新細明體" w:eastAsia="新細明體" w:hAnsi="新細明體" w:hint="eastAsia"/>
          <w:b/>
          <w:color w:val="000000" w:themeColor="text1"/>
        </w:rPr>
        <w:t>，</w:t>
      </w:r>
      <w:r w:rsidR="00EF0666" w:rsidRPr="00C71B22">
        <w:rPr>
          <w:rFonts w:hAnsi="標楷體" w:hint="eastAsia"/>
          <w:b/>
          <w:color w:val="000000" w:themeColor="text1"/>
        </w:rPr>
        <w:t>以保障人民訴訟權</w:t>
      </w:r>
      <w:r w:rsidR="004D06D8" w:rsidRPr="00C71B22">
        <w:rPr>
          <w:rFonts w:hAnsi="標楷體" w:hint="eastAsia"/>
          <w:b/>
          <w:color w:val="000000" w:themeColor="text1"/>
        </w:rPr>
        <w:t>之立法意</w:t>
      </w:r>
      <w:r w:rsidR="00EF0666" w:rsidRPr="00C71B22">
        <w:rPr>
          <w:rFonts w:hAnsi="標楷體" w:hint="eastAsia"/>
          <w:b/>
          <w:color w:val="000000" w:themeColor="text1"/>
        </w:rPr>
        <w:t>旨</w:t>
      </w:r>
      <w:r w:rsidR="00095988" w:rsidRPr="00C71B22">
        <w:rPr>
          <w:rFonts w:ascii="新細明體" w:eastAsia="新細明體" w:hAnsi="新細明體" w:hint="eastAsia"/>
          <w:b/>
          <w:color w:val="000000" w:themeColor="text1"/>
        </w:rPr>
        <w:t>，</w:t>
      </w:r>
      <w:r w:rsidR="004D06D8" w:rsidRPr="00C71B22">
        <w:rPr>
          <w:rFonts w:hAnsi="標楷體" w:hint="eastAsia"/>
          <w:b/>
          <w:color w:val="000000" w:themeColor="text1"/>
        </w:rPr>
        <w:t>有所未合</w:t>
      </w:r>
      <w:r w:rsidR="008E45A4" w:rsidRPr="00C71B22">
        <w:rPr>
          <w:rFonts w:hAnsi="標楷體" w:hint="eastAsia"/>
          <w:b/>
          <w:color w:val="000000" w:themeColor="text1"/>
        </w:rPr>
        <w:t>，</w:t>
      </w:r>
      <w:r w:rsidR="006D5E66" w:rsidRPr="00C71B22">
        <w:rPr>
          <w:rFonts w:hAnsi="標楷體" w:hint="eastAsia"/>
          <w:b/>
          <w:color w:val="000000" w:themeColor="text1"/>
        </w:rPr>
        <w:t>宜請</w:t>
      </w:r>
      <w:r w:rsidR="006C2973" w:rsidRPr="00C71B22">
        <w:rPr>
          <w:rFonts w:hAnsi="標楷體" w:hint="eastAsia"/>
          <w:b/>
          <w:color w:val="000000" w:themeColor="text1"/>
        </w:rPr>
        <w:t>考試院督促所屬確實檢討</w:t>
      </w:r>
      <w:r w:rsidR="00E36C03" w:rsidRPr="00C71B22">
        <w:rPr>
          <w:rFonts w:hAnsi="標楷體" w:hint="eastAsia"/>
          <w:b/>
          <w:color w:val="000000" w:themeColor="text1"/>
        </w:rPr>
        <w:t>，以免爾後再生類此爭議，肇生民怨</w:t>
      </w:r>
      <w:r w:rsidR="006C2973" w:rsidRPr="00C71B22">
        <w:rPr>
          <w:rFonts w:hAnsi="標楷體" w:hint="eastAsia"/>
          <w:b/>
          <w:color w:val="000000" w:themeColor="text1"/>
        </w:rPr>
        <w:t>。</w:t>
      </w:r>
    </w:p>
    <w:p w:rsidR="00DC24FE" w:rsidRPr="00C71B22" w:rsidRDefault="004B191E" w:rsidP="00BF247F">
      <w:pPr>
        <w:pStyle w:val="3"/>
        <w:rPr>
          <w:rFonts w:hAnsi="標楷體"/>
          <w:color w:val="000000" w:themeColor="text1"/>
        </w:rPr>
      </w:pPr>
      <w:r w:rsidRPr="00C71B22">
        <w:rPr>
          <w:rFonts w:hint="eastAsia"/>
          <w:color w:val="000000" w:themeColor="text1"/>
        </w:rPr>
        <w:t>行政訴訟法</w:t>
      </w:r>
      <w:r w:rsidR="00DC24FE" w:rsidRPr="00C71B22">
        <w:rPr>
          <w:rFonts w:hint="eastAsia"/>
          <w:color w:val="000000" w:themeColor="text1"/>
        </w:rPr>
        <w:t>雖於</w:t>
      </w:r>
      <w:r w:rsidRPr="00C71B22">
        <w:rPr>
          <w:rFonts w:hint="eastAsia"/>
          <w:color w:val="000000" w:themeColor="text1"/>
        </w:rPr>
        <w:t>第13條第1項</w:t>
      </w:r>
      <w:r w:rsidR="00DC24FE" w:rsidRPr="00C71B22">
        <w:rPr>
          <w:rFonts w:hint="eastAsia"/>
          <w:color w:val="000000" w:themeColor="text1"/>
        </w:rPr>
        <w:t>規定</w:t>
      </w:r>
      <w:r w:rsidR="00DC24FE" w:rsidRPr="00C71B22">
        <w:rPr>
          <w:rFonts w:ascii="新細明體" w:eastAsia="新細明體" w:hAnsi="新細明體" w:hint="eastAsia"/>
          <w:color w:val="000000" w:themeColor="text1"/>
        </w:rPr>
        <w:t>：</w:t>
      </w:r>
      <w:r w:rsidR="00DC24FE" w:rsidRPr="00C71B22">
        <w:rPr>
          <w:rFonts w:hAnsi="標楷體" w:hint="eastAsia"/>
          <w:color w:val="000000" w:themeColor="text1"/>
        </w:rPr>
        <w:t>「對於公法人之</w:t>
      </w:r>
      <w:r w:rsidR="00DC24FE" w:rsidRPr="00C71B22">
        <w:rPr>
          <w:rFonts w:hAnsi="標楷體" w:hint="eastAsia"/>
          <w:color w:val="000000" w:themeColor="text1"/>
        </w:rPr>
        <w:lastRenderedPageBreak/>
        <w:t>訴訟，由其公務所所在地之行政法院管轄。其以公法人之機關為被告時，由該機關所在地之行政法院管轄。」</w:t>
      </w:r>
      <w:r w:rsidR="00083A46" w:rsidRPr="00C71B22">
        <w:rPr>
          <w:rFonts w:hAnsi="標楷體" w:hint="eastAsia"/>
          <w:color w:val="000000" w:themeColor="text1"/>
        </w:rPr>
        <w:t>然</w:t>
      </w:r>
      <w:r w:rsidR="00DC24FE" w:rsidRPr="00C71B22">
        <w:rPr>
          <w:rFonts w:hAnsi="標楷體" w:hint="eastAsia"/>
          <w:color w:val="000000" w:themeColor="text1"/>
        </w:rPr>
        <w:t>「以原就被」原則</w:t>
      </w:r>
      <w:r w:rsidR="00DC2234" w:rsidRPr="00C71B22">
        <w:rPr>
          <w:rFonts w:hAnsi="標楷體" w:hint="eastAsia"/>
          <w:color w:val="000000" w:themeColor="text1"/>
        </w:rPr>
        <w:t>旨在</w:t>
      </w:r>
      <w:r w:rsidR="008E1612" w:rsidRPr="00C71B22">
        <w:rPr>
          <w:rFonts w:hAnsi="標楷體" w:hint="eastAsia"/>
          <w:color w:val="000000" w:themeColor="text1"/>
        </w:rPr>
        <w:t>保護被告</w:t>
      </w:r>
      <w:r w:rsidR="008E1612" w:rsidRPr="00C71B22">
        <w:rPr>
          <w:rFonts w:ascii="新細明體" w:eastAsia="新細明體" w:hAnsi="新細明體" w:hint="eastAsia"/>
          <w:color w:val="000000" w:themeColor="text1"/>
        </w:rPr>
        <w:t>，</w:t>
      </w:r>
      <w:r w:rsidR="00DC24FE" w:rsidRPr="00C71B22">
        <w:rPr>
          <w:rFonts w:hAnsi="標楷體" w:hint="eastAsia"/>
          <w:color w:val="000000" w:themeColor="text1"/>
        </w:rPr>
        <w:t>避免濫訴</w:t>
      </w:r>
      <w:r w:rsidR="00DC2234" w:rsidRPr="00C71B22">
        <w:rPr>
          <w:rFonts w:ascii="新細明體" w:eastAsia="新細明體" w:hAnsi="新細明體" w:hint="eastAsia"/>
          <w:color w:val="000000" w:themeColor="text1"/>
        </w:rPr>
        <w:t>，</w:t>
      </w:r>
      <w:r w:rsidR="00083A46" w:rsidRPr="00C71B22">
        <w:rPr>
          <w:rFonts w:hAnsi="標楷體" w:hint="eastAsia"/>
          <w:color w:val="000000" w:themeColor="text1"/>
        </w:rPr>
        <w:t>而</w:t>
      </w:r>
      <w:r w:rsidR="00E634CF" w:rsidRPr="00C71B22">
        <w:rPr>
          <w:rFonts w:hAnsi="標楷體" w:hint="eastAsia"/>
          <w:color w:val="000000" w:themeColor="text1"/>
        </w:rPr>
        <w:t>行政訴訟基本上為「民告官」</w:t>
      </w:r>
      <w:r w:rsidR="00E634CF" w:rsidRPr="00C71B22">
        <w:rPr>
          <w:rFonts w:ascii="新細明體" w:eastAsia="新細明體" w:hAnsi="新細明體" w:hint="eastAsia"/>
          <w:color w:val="000000" w:themeColor="text1"/>
        </w:rPr>
        <w:t>，</w:t>
      </w:r>
      <w:r w:rsidR="00F10462" w:rsidRPr="00C71B22">
        <w:rPr>
          <w:rFonts w:hAnsi="標楷體" w:hint="eastAsia"/>
          <w:color w:val="000000" w:themeColor="text1"/>
        </w:rPr>
        <w:t>制度設計應以</w:t>
      </w:r>
      <w:r w:rsidR="00E634CF" w:rsidRPr="00C71B22">
        <w:rPr>
          <w:rFonts w:hAnsi="標楷體" w:hint="eastAsia"/>
          <w:color w:val="000000" w:themeColor="text1"/>
        </w:rPr>
        <w:t>方便原告</w:t>
      </w:r>
      <w:r w:rsidR="00E634CF" w:rsidRPr="00C71B22">
        <w:rPr>
          <w:rFonts w:ascii="新細明體" w:eastAsia="新細明體" w:hAnsi="新細明體" w:hint="eastAsia"/>
          <w:color w:val="000000" w:themeColor="text1"/>
        </w:rPr>
        <w:t>，</w:t>
      </w:r>
      <w:r w:rsidR="00E634CF" w:rsidRPr="00C71B22">
        <w:rPr>
          <w:rFonts w:hAnsi="標楷體" w:hint="eastAsia"/>
          <w:color w:val="000000" w:themeColor="text1"/>
        </w:rPr>
        <w:t>保護人民權益為重心</w:t>
      </w:r>
      <w:r w:rsidR="00E634CF" w:rsidRPr="00C71B22">
        <w:rPr>
          <w:rFonts w:ascii="新細明體" w:eastAsia="新細明體" w:hAnsi="新細明體" w:hint="eastAsia"/>
          <w:color w:val="000000" w:themeColor="text1"/>
        </w:rPr>
        <w:t>，</w:t>
      </w:r>
      <w:r w:rsidR="00E634CF" w:rsidRPr="00C71B22">
        <w:rPr>
          <w:rFonts w:hAnsi="標楷體" w:hint="eastAsia"/>
          <w:color w:val="000000" w:themeColor="text1"/>
        </w:rPr>
        <w:t>故外國立法例</w:t>
      </w:r>
      <w:r w:rsidR="00CC4A5B" w:rsidRPr="00C71B22">
        <w:rPr>
          <w:rFonts w:hAnsi="標楷體" w:hint="eastAsia"/>
          <w:color w:val="000000" w:themeColor="text1"/>
        </w:rPr>
        <w:t>係按</w:t>
      </w:r>
      <w:r w:rsidR="00E634CF" w:rsidRPr="00C71B22">
        <w:rPr>
          <w:rFonts w:hAnsi="標楷體" w:hint="eastAsia"/>
          <w:color w:val="000000" w:themeColor="text1"/>
        </w:rPr>
        <w:t>訴訟種類</w:t>
      </w:r>
      <w:r w:rsidR="00CC4A5B" w:rsidRPr="00C71B22">
        <w:rPr>
          <w:rFonts w:hAnsi="標楷體" w:hint="eastAsia"/>
          <w:color w:val="000000" w:themeColor="text1"/>
        </w:rPr>
        <w:t>及</w:t>
      </w:r>
      <w:r w:rsidR="00E634CF" w:rsidRPr="00C71B22">
        <w:rPr>
          <w:rFonts w:hAnsi="標楷體" w:hint="eastAsia"/>
          <w:color w:val="000000" w:themeColor="text1"/>
        </w:rPr>
        <w:t>行政行為為定審判</w:t>
      </w:r>
      <w:r w:rsidR="00CC4A5B" w:rsidRPr="00C71B22">
        <w:rPr>
          <w:rFonts w:hAnsi="標楷體" w:hint="eastAsia"/>
          <w:color w:val="000000" w:themeColor="text1"/>
        </w:rPr>
        <w:t>籍</w:t>
      </w:r>
      <w:r w:rsidR="00E634CF" w:rsidRPr="00C71B22">
        <w:rPr>
          <w:rFonts w:hAnsi="標楷體" w:hint="eastAsia"/>
          <w:color w:val="000000" w:themeColor="text1"/>
        </w:rPr>
        <w:t>之依據</w:t>
      </w:r>
      <w:r w:rsidR="00E634CF" w:rsidRPr="00C71B22">
        <w:rPr>
          <w:rStyle w:val="afe"/>
          <w:rFonts w:hAnsi="標楷體"/>
          <w:color w:val="000000" w:themeColor="text1"/>
        </w:rPr>
        <w:footnoteReference w:id="1"/>
      </w:r>
      <w:r w:rsidR="00E634CF" w:rsidRPr="00C71B22">
        <w:rPr>
          <w:rFonts w:hAnsi="標楷體" w:hint="eastAsia"/>
          <w:color w:val="000000" w:themeColor="text1"/>
        </w:rPr>
        <w:t>，</w:t>
      </w:r>
      <w:r w:rsidR="001151F1" w:rsidRPr="00C71B22">
        <w:rPr>
          <w:rFonts w:hAnsi="標楷體" w:hint="eastAsia"/>
          <w:color w:val="000000" w:themeColor="text1"/>
        </w:rPr>
        <w:t>法務部90年3月1日檢送該部對行政訴訟法修正意見彙整表函復司法院</w:t>
      </w:r>
      <w:r w:rsidR="005278DB" w:rsidRPr="00C71B22">
        <w:rPr>
          <w:rFonts w:hAnsi="標楷體" w:hint="eastAsia"/>
          <w:color w:val="000000" w:themeColor="text1"/>
        </w:rPr>
        <w:t>時即表示</w:t>
      </w:r>
      <w:r w:rsidR="00CC4A5B" w:rsidRPr="00C71B22">
        <w:rPr>
          <w:rFonts w:hAnsi="標楷體" w:hint="eastAsia"/>
          <w:color w:val="000000" w:themeColor="text1"/>
        </w:rPr>
        <w:t>「為便利人民實施訴訟，以保障人民之訴訟權</w:t>
      </w:r>
      <w:r w:rsidR="00CC4A5B" w:rsidRPr="00C71B22">
        <w:rPr>
          <w:rFonts w:ascii="新細明體" w:eastAsia="新細明體" w:hAnsi="新細明體" w:hint="eastAsia"/>
          <w:color w:val="000000" w:themeColor="text1"/>
        </w:rPr>
        <w:t>，</w:t>
      </w:r>
      <w:r w:rsidR="00CC4A5B" w:rsidRPr="00C71B22">
        <w:rPr>
          <w:rFonts w:hAnsi="標楷體" w:hint="eastAsia"/>
          <w:color w:val="000000" w:themeColor="text1"/>
        </w:rPr>
        <w:t>建議修正管轄權之『以原就被原則』為『以被就原原則』」</w:t>
      </w:r>
      <w:r w:rsidR="00EA4F67" w:rsidRPr="00C71B22">
        <w:rPr>
          <w:rStyle w:val="afe"/>
          <w:rFonts w:hAnsi="標楷體"/>
          <w:color w:val="000000" w:themeColor="text1"/>
        </w:rPr>
        <w:footnoteReference w:id="2"/>
      </w:r>
      <w:r w:rsidR="00CC4A5B" w:rsidRPr="00C71B22">
        <w:rPr>
          <w:rFonts w:hAnsi="標楷體" w:hint="eastAsia"/>
          <w:color w:val="000000" w:themeColor="text1"/>
        </w:rPr>
        <w:t>。</w:t>
      </w:r>
      <w:r w:rsidR="005278DB" w:rsidRPr="00C71B22">
        <w:rPr>
          <w:rFonts w:hAnsi="標楷體" w:hint="eastAsia"/>
          <w:color w:val="000000" w:themeColor="text1"/>
        </w:rPr>
        <w:t>行政訴訟法</w:t>
      </w:r>
      <w:r w:rsidR="00CC4A5B" w:rsidRPr="00C71B22">
        <w:rPr>
          <w:rFonts w:hAnsi="標楷體" w:hint="eastAsia"/>
          <w:color w:val="000000" w:themeColor="text1"/>
        </w:rPr>
        <w:t>嗣</w:t>
      </w:r>
      <w:r w:rsidR="00DC24FE" w:rsidRPr="00C71B22">
        <w:rPr>
          <w:rFonts w:hAnsi="標楷體" w:hint="eastAsia"/>
          <w:color w:val="000000" w:themeColor="text1"/>
        </w:rPr>
        <w:t>為方便證據調查及便利人民就近尋求行政法院之權利保護，</w:t>
      </w:r>
      <w:r w:rsidR="00A65AEE" w:rsidRPr="00C71B22">
        <w:rPr>
          <w:rFonts w:hAnsi="標楷體" w:hint="eastAsia"/>
          <w:color w:val="000000" w:themeColor="text1"/>
        </w:rPr>
        <w:t>修正部分管轄權規定</w:t>
      </w:r>
      <w:r w:rsidR="00CC4A5B" w:rsidRPr="00C71B22">
        <w:rPr>
          <w:rFonts w:hAnsi="標楷體" w:hint="eastAsia"/>
          <w:color w:val="000000" w:themeColor="text1"/>
        </w:rPr>
        <w:t>，</w:t>
      </w:r>
      <w:r w:rsidR="00BC181E" w:rsidRPr="00C71B22">
        <w:rPr>
          <w:rFonts w:hAnsi="標楷體" w:hint="eastAsia"/>
          <w:color w:val="000000" w:themeColor="text1"/>
        </w:rPr>
        <w:t>於99年1月13日</w:t>
      </w:r>
      <w:r w:rsidR="00A65AEE" w:rsidRPr="00C71B22">
        <w:rPr>
          <w:rFonts w:hAnsi="標楷體" w:hint="eastAsia"/>
          <w:color w:val="000000" w:themeColor="text1"/>
        </w:rPr>
        <w:t>增訂第15條之1</w:t>
      </w:r>
      <w:r w:rsidR="00F10462" w:rsidRPr="00C71B22">
        <w:rPr>
          <w:rFonts w:hAnsi="標楷體" w:hint="eastAsia"/>
          <w:color w:val="000000" w:themeColor="text1"/>
        </w:rPr>
        <w:t>明</w:t>
      </w:r>
      <w:r w:rsidR="00A65AEE" w:rsidRPr="00C71B22">
        <w:rPr>
          <w:rFonts w:hAnsi="標楷體" w:hint="eastAsia"/>
          <w:color w:val="000000" w:themeColor="text1"/>
        </w:rPr>
        <w:t>定</w:t>
      </w:r>
      <w:r w:rsidR="00A65AEE" w:rsidRPr="00C71B22">
        <w:rPr>
          <w:rFonts w:ascii="新細明體" w:eastAsia="新細明體" w:hAnsi="新細明體" w:hint="eastAsia"/>
          <w:color w:val="000000" w:themeColor="text1"/>
        </w:rPr>
        <w:t>：</w:t>
      </w:r>
      <w:r w:rsidR="00A65AEE" w:rsidRPr="00C71B22">
        <w:rPr>
          <w:rFonts w:hAnsi="標楷體" w:hint="eastAsia"/>
          <w:color w:val="000000" w:themeColor="text1"/>
        </w:rPr>
        <w:t>「關於公務員職務關係之訴訟，得由公務員職務所在地之行政法院管轄。」該條立法理由指出</w:t>
      </w:r>
      <w:r w:rsidR="00A65AEE" w:rsidRPr="00C71B22">
        <w:rPr>
          <w:rFonts w:ascii="新細明體" w:eastAsia="新細明體" w:hAnsi="新細明體" w:hint="eastAsia"/>
          <w:color w:val="000000" w:themeColor="text1"/>
        </w:rPr>
        <w:t>：</w:t>
      </w:r>
      <w:r w:rsidR="00A65AEE" w:rsidRPr="00C71B22">
        <w:rPr>
          <w:rFonts w:hAnsi="標楷體" w:hint="eastAsia"/>
          <w:color w:val="000000" w:themeColor="text1"/>
        </w:rPr>
        <w:t>「有關公務員職務關係之訴訟，包括公務員職務關係是否發生，及因職務關係所生之訴訟，諸多國家立法例規定由原告之職務所在地之行政法院管轄，例如德國行政法院法第52條第4款及法國行政法院法第56條之規定，爰參照該等立法例，增訂本條規定。」</w:t>
      </w:r>
      <w:r w:rsidR="0052042E" w:rsidRPr="00C71B22">
        <w:rPr>
          <w:rFonts w:hAnsi="標楷體" w:hint="eastAsia"/>
          <w:color w:val="000000" w:themeColor="text1"/>
        </w:rPr>
        <w:t>經查司法院謝秘書長文定為立法院審議該次行政訴訟法部分條文修正草案</w:t>
      </w:r>
      <w:r w:rsidR="0052042E" w:rsidRPr="00C71B22">
        <w:rPr>
          <w:rFonts w:ascii="新細明體" w:eastAsia="新細明體" w:hAnsi="新細明體" w:hint="eastAsia"/>
          <w:color w:val="000000" w:themeColor="text1"/>
        </w:rPr>
        <w:t>，</w:t>
      </w:r>
      <w:r w:rsidR="0052042E" w:rsidRPr="00C71B22">
        <w:rPr>
          <w:rFonts w:hAnsi="標楷體" w:hint="eastAsia"/>
          <w:color w:val="000000" w:themeColor="text1"/>
        </w:rPr>
        <w:t>而至</w:t>
      </w:r>
      <w:r w:rsidR="00474E8A" w:rsidRPr="00C71B22">
        <w:rPr>
          <w:rFonts w:hAnsi="標楷體" w:hint="eastAsia"/>
          <w:color w:val="000000" w:themeColor="text1"/>
        </w:rPr>
        <w:t>該院備詢時，即說明</w:t>
      </w:r>
      <w:r w:rsidR="003E7111" w:rsidRPr="00C71B22">
        <w:rPr>
          <w:rFonts w:ascii="新細明體" w:eastAsia="新細明體" w:hAnsi="新細明體" w:hint="eastAsia"/>
          <w:color w:val="000000" w:themeColor="text1"/>
        </w:rPr>
        <w:t>：</w:t>
      </w:r>
      <w:r w:rsidR="00474E8A" w:rsidRPr="00C71B22">
        <w:rPr>
          <w:rFonts w:hAnsi="標楷體" w:hint="eastAsia"/>
          <w:color w:val="000000" w:themeColor="text1"/>
        </w:rPr>
        <w:t>「行政訴訟之管轄法院，依現行法規定</w:t>
      </w:r>
      <w:r w:rsidR="00474E8A" w:rsidRPr="00C71B22">
        <w:rPr>
          <w:rFonts w:ascii="新細明體" w:eastAsia="新細明體" w:hAnsi="新細明體" w:hint="eastAsia"/>
          <w:color w:val="000000" w:themeColor="text1"/>
        </w:rPr>
        <w:t>，</w:t>
      </w:r>
      <w:r w:rsidR="00474E8A" w:rsidRPr="00C71B22">
        <w:rPr>
          <w:rFonts w:hAnsi="標楷體" w:hint="eastAsia"/>
          <w:color w:val="000000" w:themeColor="text1"/>
        </w:rPr>
        <w:t>原則上是被告公務所在地之行政法院</w:t>
      </w:r>
      <w:r w:rsidR="00474E8A" w:rsidRPr="00C71B22">
        <w:rPr>
          <w:rFonts w:ascii="新細明體" w:eastAsia="新細明體" w:hAnsi="新細明體" w:hint="eastAsia"/>
          <w:color w:val="000000" w:themeColor="text1"/>
        </w:rPr>
        <w:t>，</w:t>
      </w:r>
      <w:r w:rsidR="00474E8A" w:rsidRPr="00C71B22">
        <w:rPr>
          <w:rFonts w:hAnsi="標楷體"/>
          <w:color w:val="000000" w:themeColor="text1"/>
        </w:rPr>
        <w:t>……</w:t>
      </w:r>
      <w:r w:rsidR="00474E8A" w:rsidRPr="00C71B22">
        <w:rPr>
          <w:rFonts w:hAnsi="標楷體" w:hint="eastAsia"/>
          <w:color w:val="000000" w:themeColor="text1"/>
        </w:rPr>
        <w:t>修正草案就特定事件增加管轄法院</w:t>
      </w:r>
      <w:r w:rsidR="00474E8A" w:rsidRPr="00C71B22">
        <w:rPr>
          <w:rFonts w:ascii="新細明體" w:eastAsia="新細明體" w:hAnsi="新細明體" w:hint="eastAsia"/>
          <w:color w:val="000000" w:themeColor="text1"/>
        </w:rPr>
        <w:t>，</w:t>
      </w:r>
      <w:r w:rsidR="00474E8A" w:rsidRPr="00C71B22">
        <w:rPr>
          <w:rFonts w:hAnsi="標楷體" w:hint="eastAsia"/>
          <w:color w:val="000000" w:themeColor="text1"/>
        </w:rPr>
        <w:t>落實司法為民理念。</w:t>
      </w:r>
      <w:r w:rsidR="00474E8A" w:rsidRPr="00C71B22">
        <w:rPr>
          <w:rFonts w:hAnsi="標楷體"/>
          <w:color w:val="000000" w:themeColor="text1"/>
        </w:rPr>
        <w:t>……</w:t>
      </w:r>
      <w:r w:rsidR="00474E8A" w:rsidRPr="00C71B22">
        <w:rPr>
          <w:rFonts w:hAnsi="標楷體" w:hint="eastAsia"/>
          <w:color w:val="000000" w:themeColor="text1"/>
        </w:rPr>
        <w:t>在公務員任用</w:t>
      </w:r>
      <w:r w:rsidR="00474E8A" w:rsidRPr="00C71B22">
        <w:rPr>
          <w:rFonts w:ascii="新細明體" w:eastAsia="新細明體" w:hAnsi="新細明體" w:hint="eastAsia"/>
          <w:color w:val="000000" w:themeColor="text1"/>
        </w:rPr>
        <w:t>、</w:t>
      </w:r>
      <w:r w:rsidR="00474E8A" w:rsidRPr="00C71B22">
        <w:rPr>
          <w:rFonts w:hAnsi="標楷體" w:hint="eastAsia"/>
          <w:color w:val="000000" w:themeColor="text1"/>
        </w:rPr>
        <w:t>俸給</w:t>
      </w:r>
      <w:r w:rsidR="00474E8A" w:rsidRPr="00C71B22">
        <w:rPr>
          <w:rFonts w:ascii="新細明體" w:eastAsia="新細明體" w:hAnsi="新細明體" w:hint="eastAsia"/>
          <w:color w:val="000000" w:themeColor="text1"/>
        </w:rPr>
        <w:t>、</w:t>
      </w:r>
      <w:r w:rsidR="00474E8A" w:rsidRPr="00C71B22">
        <w:rPr>
          <w:rFonts w:hAnsi="標楷體" w:hint="eastAsia"/>
          <w:color w:val="000000" w:themeColor="text1"/>
        </w:rPr>
        <w:t>退休等職務關係的訴訟上</w:t>
      </w:r>
      <w:r w:rsidR="00474E8A" w:rsidRPr="00C71B22">
        <w:rPr>
          <w:rFonts w:ascii="新細明體" w:eastAsia="新細明體" w:hAnsi="新細明體" w:hint="eastAsia"/>
          <w:color w:val="000000" w:themeColor="text1"/>
        </w:rPr>
        <w:t>，</w:t>
      </w:r>
      <w:r w:rsidR="00474E8A" w:rsidRPr="00C71B22">
        <w:rPr>
          <w:rFonts w:hAnsi="標楷體" w:hint="eastAsia"/>
          <w:color w:val="000000" w:themeColor="text1"/>
        </w:rPr>
        <w:t>增訂可由公務員職務所在地的行政法院管轄」（參見立法院公報第98卷第76期委員會紀</w:t>
      </w:r>
      <w:r w:rsidR="00474E8A" w:rsidRPr="00C71B22">
        <w:rPr>
          <w:rFonts w:hAnsi="標楷體" w:hint="eastAsia"/>
          <w:color w:val="000000" w:themeColor="text1"/>
        </w:rPr>
        <w:lastRenderedPageBreak/>
        <w:t>錄）。</w:t>
      </w:r>
      <w:r w:rsidR="006B1F1F" w:rsidRPr="00C71B22">
        <w:rPr>
          <w:rFonts w:hAnsi="標楷體" w:hint="eastAsia"/>
          <w:color w:val="000000" w:themeColor="text1"/>
        </w:rPr>
        <w:t>至於</w:t>
      </w:r>
      <w:r w:rsidR="00932477" w:rsidRPr="00C71B22">
        <w:rPr>
          <w:rFonts w:hAnsi="標楷體" w:hint="eastAsia"/>
          <w:color w:val="000000" w:themeColor="text1"/>
        </w:rPr>
        <w:t>「</w:t>
      </w:r>
      <w:r w:rsidR="00E634CF" w:rsidRPr="00C71B22">
        <w:rPr>
          <w:rFonts w:hAnsi="標楷體" w:hint="eastAsia"/>
          <w:color w:val="000000" w:themeColor="text1"/>
        </w:rPr>
        <w:t>公務員職務關係</w:t>
      </w:r>
      <w:r w:rsidR="00932477" w:rsidRPr="00C71B22">
        <w:rPr>
          <w:rFonts w:hAnsi="標楷體" w:hint="eastAsia"/>
          <w:color w:val="000000" w:themeColor="text1"/>
        </w:rPr>
        <w:t>」</w:t>
      </w:r>
      <w:r w:rsidR="00E634CF" w:rsidRPr="00C71B22">
        <w:rPr>
          <w:rFonts w:hAnsi="標楷體" w:hint="eastAsia"/>
          <w:color w:val="000000" w:themeColor="text1"/>
        </w:rPr>
        <w:t>之範圍，學說認</w:t>
      </w:r>
      <w:r w:rsidR="00932477" w:rsidRPr="00C71B22">
        <w:rPr>
          <w:rFonts w:hAnsi="標楷體" w:hint="eastAsia"/>
          <w:color w:val="000000" w:themeColor="text1"/>
        </w:rPr>
        <w:t>為</w:t>
      </w:r>
      <w:r w:rsidR="00E634CF" w:rsidRPr="00C71B22">
        <w:rPr>
          <w:rFonts w:hAnsi="標楷體" w:hint="eastAsia"/>
          <w:color w:val="000000" w:themeColor="text1"/>
        </w:rPr>
        <w:t>包括「公務員職務關係是否發生」</w:t>
      </w:r>
      <w:r w:rsidR="00932477" w:rsidRPr="00C71B22">
        <w:rPr>
          <w:rFonts w:ascii="新細明體" w:eastAsia="新細明體" w:hAnsi="新細明體" w:hint="eastAsia"/>
          <w:color w:val="000000" w:themeColor="text1"/>
        </w:rPr>
        <w:t>，</w:t>
      </w:r>
      <w:r w:rsidR="00932477" w:rsidRPr="00C71B22">
        <w:rPr>
          <w:rFonts w:hAnsi="標楷體" w:hint="eastAsia"/>
          <w:color w:val="000000" w:themeColor="text1"/>
        </w:rPr>
        <w:t>例如公務員之任用</w:t>
      </w:r>
      <w:r w:rsidR="00932477" w:rsidRPr="00C71B22">
        <w:rPr>
          <w:rFonts w:ascii="新細明體" w:eastAsia="新細明體" w:hAnsi="新細明體" w:hint="eastAsia"/>
          <w:color w:val="000000" w:themeColor="text1"/>
        </w:rPr>
        <w:t>，</w:t>
      </w:r>
      <w:r w:rsidR="00E634CF" w:rsidRPr="00C71B22">
        <w:rPr>
          <w:rFonts w:hAnsi="標楷體" w:hint="eastAsia"/>
          <w:color w:val="000000" w:themeColor="text1"/>
        </w:rPr>
        <w:t>以及「職務關係所生之訴訟」</w:t>
      </w:r>
      <w:r w:rsidR="00374CCC" w:rsidRPr="00C71B22">
        <w:rPr>
          <w:rStyle w:val="afe"/>
          <w:rFonts w:hAnsi="標楷體"/>
          <w:color w:val="000000" w:themeColor="text1"/>
        </w:rPr>
        <w:footnoteReference w:id="3"/>
      </w:r>
      <w:r w:rsidR="00932477" w:rsidRPr="00C71B22">
        <w:rPr>
          <w:rFonts w:ascii="新細明體" w:eastAsia="新細明體" w:hAnsi="新細明體" w:hint="eastAsia"/>
          <w:color w:val="000000" w:themeColor="text1"/>
        </w:rPr>
        <w:t>，</w:t>
      </w:r>
      <w:r w:rsidR="00932477" w:rsidRPr="00C71B22">
        <w:rPr>
          <w:rFonts w:hAnsi="標楷體" w:hint="eastAsia"/>
          <w:color w:val="000000" w:themeColor="text1"/>
        </w:rPr>
        <w:t>例如俸給</w:t>
      </w:r>
      <w:r w:rsidR="00932477" w:rsidRPr="00C71B22">
        <w:rPr>
          <w:rFonts w:ascii="新細明體" w:eastAsia="新細明體" w:hAnsi="新細明體" w:hint="eastAsia"/>
          <w:color w:val="000000" w:themeColor="text1"/>
        </w:rPr>
        <w:t>、</w:t>
      </w:r>
      <w:r w:rsidR="00932477" w:rsidRPr="00C71B22">
        <w:rPr>
          <w:rFonts w:hAnsi="標楷體" w:hint="eastAsia"/>
          <w:color w:val="000000" w:themeColor="text1"/>
        </w:rPr>
        <w:t>銓敘</w:t>
      </w:r>
      <w:r w:rsidR="00932477" w:rsidRPr="00C71B22">
        <w:rPr>
          <w:rFonts w:ascii="新細明體" w:eastAsia="新細明體" w:hAnsi="新細明體" w:hint="eastAsia"/>
          <w:color w:val="000000" w:themeColor="text1"/>
        </w:rPr>
        <w:t>、</w:t>
      </w:r>
      <w:r w:rsidR="00932477" w:rsidRPr="00C71B22">
        <w:rPr>
          <w:rFonts w:hAnsi="標楷體" w:hint="eastAsia"/>
          <w:color w:val="000000" w:themeColor="text1"/>
        </w:rPr>
        <w:t>退休等訴訟。</w:t>
      </w:r>
      <w:r w:rsidR="00516959" w:rsidRPr="00C71B22">
        <w:rPr>
          <w:rFonts w:hAnsi="標楷體" w:hint="eastAsia"/>
          <w:color w:val="000000" w:themeColor="text1"/>
        </w:rPr>
        <w:t>另</w:t>
      </w:r>
      <w:r w:rsidR="003706BD" w:rsidRPr="00C71B22">
        <w:rPr>
          <w:rFonts w:hAnsi="標楷體" w:hint="eastAsia"/>
          <w:color w:val="000000" w:themeColor="text1"/>
        </w:rPr>
        <w:t>查</w:t>
      </w:r>
      <w:r w:rsidR="00516959" w:rsidRPr="00C71B22">
        <w:rPr>
          <w:rFonts w:ascii="新細明體" w:eastAsia="新細明體" w:hAnsi="新細明體" w:hint="eastAsia"/>
          <w:color w:val="000000" w:themeColor="text1"/>
        </w:rPr>
        <w:t>，</w:t>
      </w:r>
      <w:r w:rsidR="00516959" w:rsidRPr="00C71B22">
        <w:rPr>
          <w:rFonts w:hAnsi="標楷體" w:hint="eastAsia"/>
          <w:color w:val="000000" w:themeColor="text1"/>
        </w:rPr>
        <w:t>107年7月1</w:t>
      </w:r>
      <w:r w:rsidR="003706BD" w:rsidRPr="00C71B22">
        <w:rPr>
          <w:rFonts w:hAnsi="標楷體" w:hint="eastAsia"/>
          <w:color w:val="000000" w:themeColor="text1"/>
        </w:rPr>
        <w:t>日</w:t>
      </w:r>
      <w:r w:rsidR="00516959" w:rsidRPr="00C71B22">
        <w:rPr>
          <w:rFonts w:hAnsi="標楷體" w:hint="eastAsia"/>
          <w:color w:val="000000" w:themeColor="text1"/>
        </w:rPr>
        <w:t>年金改革</w:t>
      </w:r>
      <w:r w:rsidR="003706BD" w:rsidRPr="00C71B22">
        <w:rPr>
          <w:rFonts w:hAnsi="標楷體" w:hint="eastAsia"/>
          <w:color w:val="000000" w:themeColor="text1"/>
        </w:rPr>
        <w:t>實施</w:t>
      </w:r>
      <w:r w:rsidR="00516959" w:rsidRPr="00C71B22">
        <w:rPr>
          <w:rFonts w:hAnsi="標楷體" w:hint="eastAsia"/>
          <w:color w:val="000000" w:themeColor="text1"/>
        </w:rPr>
        <w:t>前</w:t>
      </w:r>
      <w:r w:rsidR="00516959" w:rsidRPr="00C71B22">
        <w:rPr>
          <w:rFonts w:ascii="新細明體" w:eastAsia="新細明體" w:hAnsi="新細明體" w:hint="eastAsia"/>
          <w:color w:val="000000" w:themeColor="text1"/>
        </w:rPr>
        <w:t>、</w:t>
      </w:r>
      <w:r w:rsidR="00516959" w:rsidRPr="00C71B22">
        <w:rPr>
          <w:rFonts w:hAnsi="標楷體" w:hint="eastAsia"/>
          <w:color w:val="000000" w:themeColor="text1"/>
        </w:rPr>
        <w:t>後</w:t>
      </w:r>
      <w:r w:rsidR="00516959" w:rsidRPr="00C71B22">
        <w:rPr>
          <w:rFonts w:ascii="新細明體" w:eastAsia="新細明體" w:hAnsi="新細明體" w:hint="eastAsia"/>
          <w:color w:val="000000" w:themeColor="text1"/>
        </w:rPr>
        <w:t>，</w:t>
      </w:r>
      <w:r w:rsidR="00516959" w:rsidRPr="00C71B22">
        <w:rPr>
          <w:rFonts w:hAnsi="標楷體" w:hint="eastAsia"/>
          <w:color w:val="000000" w:themeColor="text1"/>
        </w:rPr>
        <w:t>均有行政法院援引行政訴訟法第15條之1規定，認公務員職務所在地之行政法院有管轄權之裁判案例</w:t>
      </w:r>
      <w:r w:rsidR="00803A01" w:rsidRPr="00C71B22">
        <w:rPr>
          <w:rStyle w:val="afe"/>
          <w:rFonts w:hAnsi="標楷體"/>
          <w:color w:val="000000" w:themeColor="text1"/>
        </w:rPr>
        <w:footnoteReference w:id="4"/>
      </w:r>
      <w:r w:rsidR="00BC00E8" w:rsidRPr="00C71B22">
        <w:rPr>
          <w:rFonts w:ascii="新細明體" w:eastAsia="新細明體" w:hAnsi="新細明體" w:hint="eastAsia"/>
          <w:color w:val="000000" w:themeColor="text1"/>
        </w:rPr>
        <w:t>，</w:t>
      </w:r>
      <w:r w:rsidR="00BC00E8" w:rsidRPr="00C71B22">
        <w:rPr>
          <w:rFonts w:hAnsi="標楷體" w:hint="eastAsia"/>
          <w:color w:val="000000" w:themeColor="text1"/>
        </w:rPr>
        <w:t>相關裁判意旨指出</w:t>
      </w:r>
      <w:r w:rsidR="00BC00E8" w:rsidRPr="00C71B22">
        <w:rPr>
          <w:rFonts w:ascii="新細明體" w:eastAsia="新細明體" w:hAnsi="新細明體" w:hint="eastAsia"/>
          <w:color w:val="000000" w:themeColor="text1"/>
        </w:rPr>
        <w:t>，</w:t>
      </w:r>
      <w:r w:rsidR="00BC00E8" w:rsidRPr="00C71B22">
        <w:rPr>
          <w:rFonts w:hAnsi="標楷體" w:hint="eastAsia"/>
          <w:color w:val="000000" w:themeColor="text1"/>
        </w:rPr>
        <w:t>行政訴訟法第15條之1所稱關於公務員職務關係之訴訟，包括公務身分關係之發生及消滅相關訴訟，最高行政法院1</w:t>
      </w:r>
      <w:r w:rsidR="00BC00E8" w:rsidRPr="00C71B22">
        <w:rPr>
          <w:rFonts w:hAnsi="標楷體"/>
          <w:color w:val="000000" w:themeColor="text1"/>
        </w:rPr>
        <w:t>08</w:t>
      </w:r>
      <w:r w:rsidR="00BC00E8" w:rsidRPr="00C71B22">
        <w:rPr>
          <w:rFonts w:hAnsi="標楷體" w:hint="eastAsia"/>
          <w:color w:val="000000" w:themeColor="text1"/>
        </w:rPr>
        <w:t>年度裁字第858號裁定進一步闡釋，所謂職務關係之訴訟，包括公務員職務關係是否發生及因職務關係所生之訴訟，例如俸給、銓敘、退休（包含退休及退休金發給之審定）等；公務員於退休後，其與機關之關係在法定規定之範圍內，並未全然消滅，非謂公務員一退休，與機關即無任何關係存在。是</w:t>
      </w:r>
      <w:r w:rsidR="007906F8" w:rsidRPr="00C71B22">
        <w:rPr>
          <w:rFonts w:hAnsi="標楷體" w:hint="eastAsia"/>
          <w:color w:val="000000" w:themeColor="text1"/>
        </w:rPr>
        <w:t>依現行行政訴訟法規定，不服重新審定退休所得處分之公務人員，本得</w:t>
      </w:r>
      <w:r w:rsidR="00786A12" w:rsidRPr="00C71B22">
        <w:rPr>
          <w:rFonts w:hAnsi="標楷體" w:hint="eastAsia"/>
          <w:color w:val="000000" w:themeColor="text1"/>
        </w:rPr>
        <w:t>就近</w:t>
      </w:r>
      <w:r w:rsidR="007906F8" w:rsidRPr="00C71B22">
        <w:rPr>
          <w:rFonts w:hAnsi="標楷體" w:hint="eastAsia"/>
          <w:color w:val="000000" w:themeColor="text1"/>
        </w:rPr>
        <w:t>選擇「被告機關所在地」或「公務員職務所在地」之行政法院尋求救濟。</w:t>
      </w:r>
      <w:r w:rsidR="00B939CF" w:rsidRPr="00C71B22">
        <w:rPr>
          <w:rFonts w:hAnsi="標楷體" w:hint="eastAsia"/>
          <w:color w:val="000000" w:themeColor="text1"/>
        </w:rPr>
        <w:t>負有教示義務之相關機關</w:t>
      </w:r>
      <w:r w:rsidR="00B939CF" w:rsidRPr="00C71B22">
        <w:rPr>
          <w:rFonts w:ascii="新細明體" w:eastAsia="新細明體" w:hAnsi="新細明體" w:hint="eastAsia"/>
          <w:color w:val="000000" w:themeColor="text1"/>
        </w:rPr>
        <w:t>，</w:t>
      </w:r>
      <w:r w:rsidR="00B939CF" w:rsidRPr="00C71B22">
        <w:rPr>
          <w:rFonts w:hAnsi="標楷體" w:hint="eastAsia"/>
          <w:color w:val="000000" w:themeColor="text1"/>
        </w:rPr>
        <w:t>自應充分揭露</w:t>
      </w:r>
      <w:r w:rsidR="00B939CF" w:rsidRPr="00C71B22">
        <w:rPr>
          <w:rFonts w:ascii="新細明體" w:eastAsia="新細明體" w:hAnsi="新細明體" w:hint="eastAsia"/>
          <w:color w:val="000000" w:themeColor="text1"/>
        </w:rPr>
        <w:t>，</w:t>
      </w:r>
      <w:r w:rsidR="00B939CF" w:rsidRPr="00C71B22">
        <w:rPr>
          <w:rFonts w:hAnsi="標楷體" w:hint="eastAsia"/>
          <w:color w:val="000000" w:themeColor="text1"/>
        </w:rPr>
        <w:t>使人民知悉救濟途徑</w:t>
      </w:r>
      <w:r w:rsidR="003706BD" w:rsidRPr="00C71B22">
        <w:rPr>
          <w:rFonts w:hAnsi="標楷體" w:hint="eastAsia"/>
          <w:color w:val="000000" w:themeColor="text1"/>
        </w:rPr>
        <w:t>，以充分保障人民訴訟權</w:t>
      </w:r>
      <w:r w:rsidR="00B939CF" w:rsidRPr="00C71B22">
        <w:rPr>
          <w:rFonts w:hAnsi="標楷體" w:hint="eastAsia"/>
          <w:color w:val="000000" w:themeColor="text1"/>
        </w:rPr>
        <w:t>。</w:t>
      </w:r>
    </w:p>
    <w:p w:rsidR="00573012" w:rsidRPr="00C71B22" w:rsidRDefault="00CE522C" w:rsidP="00CC26DE">
      <w:pPr>
        <w:pStyle w:val="3"/>
        <w:rPr>
          <w:rFonts w:hAnsi="標楷體"/>
          <w:color w:val="000000" w:themeColor="text1"/>
        </w:rPr>
      </w:pPr>
      <w:r w:rsidRPr="00C71B22">
        <w:rPr>
          <w:rFonts w:hAnsi="標楷體" w:hint="eastAsia"/>
          <w:color w:val="000000" w:themeColor="text1"/>
        </w:rPr>
        <w:t>詢據保訓會表示</w:t>
      </w:r>
      <w:r w:rsidR="003706BD" w:rsidRPr="00C71B22">
        <w:rPr>
          <w:rFonts w:ascii="新細明體" w:eastAsia="新細明體" w:hAnsi="新細明體" w:hint="eastAsia"/>
          <w:color w:val="000000" w:themeColor="text1"/>
        </w:rPr>
        <w:t>，</w:t>
      </w:r>
      <w:r w:rsidR="003706BD" w:rsidRPr="00C71B22">
        <w:rPr>
          <w:rFonts w:hAnsi="標楷體" w:hint="eastAsia"/>
          <w:color w:val="000000" w:themeColor="text1"/>
        </w:rPr>
        <w:t>該會</w:t>
      </w:r>
      <w:r w:rsidRPr="00C71B22">
        <w:rPr>
          <w:rFonts w:hAnsi="標楷體" w:hint="eastAsia"/>
          <w:color w:val="000000" w:themeColor="text1"/>
        </w:rPr>
        <w:t>洽</w:t>
      </w:r>
      <w:r w:rsidR="003706BD" w:rsidRPr="00C71B22">
        <w:rPr>
          <w:rFonts w:hAnsi="標楷體" w:hint="eastAsia"/>
          <w:color w:val="000000" w:themeColor="text1"/>
        </w:rPr>
        <w:t>詢</w:t>
      </w:r>
      <w:r w:rsidRPr="00C71B22">
        <w:rPr>
          <w:rFonts w:hAnsi="標楷體" w:hint="eastAsia"/>
          <w:color w:val="000000" w:themeColor="text1"/>
        </w:rPr>
        <w:t>銓敘部退撫司統計</w:t>
      </w:r>
      <w:r w:rsidR="003706BD" w:rsidRPr="00C71B22">
        <w:rPr>
          <w:rFonts w:hAnsi="標楷體" w:hint="eastAsia"/>
          <w:color w:val="000000" w:themeColor="text1"/>
        </w:rPr>
        <w:t>結果</w:t>
      </w:r>
      <w:r w:rsidRPr="00C71B22">
        <w:rPr>
          <w:rFonts w:hAnsi="標楷體" w:hint="eastAsia"/>
          <w:color w:val="000000" w:themeColor="text1"/>
        </w:rPr>
        <w:t>，年金改革實施後</w:t>
      </w:r>
      <w:r w:rsidRPr="00C71B22">
        <w:rPr>
          <w:rFonts w:ascii="新細明體" w:eastAsia="新細明體" w:hAnsi="新細明體" w:hint="eastAsia"/>
          <w:color w:val="000000" w:themeColor="text1"/>
        </w:rPr>
        <w:t>，</w:t>
      </w:r>
      <w:r w:rsidRPr="00C71B22">
        <w:rPr>
          <w:rFonts w:hAnsi="標楷體" w:hint="eastAsia"/>
          <w:color w:val="000000" w:themeColor="text1"/>
        </w:rPr>
        <w:t>銓敘部自107年4月至同年8月18</w:t>
      </w:r>
      <w:r w:rsidR="006C667E" w:rsidRPr="00C71B22">
        <w:rPr>
          <w:rFonts w:hAnsi="標楷體" w:hint="eastAsia"/>
          <w:color w:val="000000" w:themeColor="text1"/>
        </w:rPr>
        <w:t>日止，重新審定公務人員退休所得人數</w:t>
      </w:r>
      <w:r w:rsidRPr="00C71B22">
        <w:rPr>
          <w:rFonts w:hAnsi="標楷體" w:hint="eastAsia"/>
          <w:color w:val="000000" w:themeColor="text1"/>
        </w:rPr>
        <w:t>15萬3</w:t>
      </w:r>
      <w:r w:rsidRPr="00C71B22">
        <w:rPr>
          <w:rFonts w:hAnsi="標楷體"/>
          <w:color w:val="000000" w:themeColor="text1"/>
        </w:rPr>
        <w:t>,729</w:t>
      </w:r>
      <w:r w:rsidRPr="00C71B22">
        <w:rPr>
          <w:rFonts w:hAnsi="標楷體" w:hint="eastAsia"/>
          <w:color w:val="000000" w:themeColor="text1"/>
        </w:rPr>
        <w:t>人，</w:t>
      </w:r>
      <w:r w:rsidR="006C667E" w:rsidRPr="00C71B22">
        <w:rPr>
          <w:rFonts w:hAnsi="標楷體" w:hint="eastAsia"/>
          <w:color w:val="000000" w:themeColor="text1"/>
        </w:rPr>
        <w:t>截至108年12</w:t>
      </w:r>
      <w:r w:rsidR="003706BD" w:rsidRPr="00C71B22">
        <w:rPr>
          <w:rFonts w:hAnsi="標楷體" w:hint="eastAsia"/>
          <w:color w:val="000000" w:themeColor="text1"/>
        </w:rPr>
        <w:t>月底，保訓</w:t>
      </w:r>
      <w:r w:rsidR="006C667E" w:rsidRPr="00C71B22">
        <w:rPr>
          <w:rFonts w:hAnsi="標楷體" w:hint="eastAsia"/>
          <w:color w:val="000000" w:themeColor="text1"/>
        </w:rPr>
        <w:t>會計受理9萬3,130件年金改革復審事件，已全數辦理完竣</w:t>
      </w:r>
      <w:r w:rsidR="006C667E" w:rsidRPr="00C71B22">
        <w:rPr>
          <w:rFonts w:ascii="新細明體" w:eastAsia="新細明體" w:hAnsi="新細明體" w:hint="eastAsia"/>
          <w:color w:val="000000" w:themeColor="text1"/>
        </w:rPr>
        <w:t>，</w:t>
      </w:r>
      <w:r w:rsidR="006C667E" w:rsidRPr="00C71B22">
        <w:rPr>
          <w:rFonts w:hAnsi="標楷體" w:hint="eastAsia"/>
          <w:color w:val="000000" w:themeColor="text1"/>
        </w:rPr>
        <w:t>上開案件除經當事人撤回48件及移轉管轄60</w:t>
      </w:r>
      <w:r w:rsidR="00BD349C" w:rsidRPr="00C71B22">
        <w:rPr>
          <w:rFonts w:hAnsi="標楷體" w:hint="eastAsia"/>
          <w:color w:val="000000" w:themeColor="text1"/>
        </w:rPr>
        <w:t>件者外，經該</w:t>
      </w:r>
      <w:r w:rsidR="006C667E" w:rsidRPr="00C71B22">
        <w:rPr>
          <w:rFonts w:hAnsi="標楷體" w:hint="eastAsia"/>
          <w:color w:val="000000" w:themeColor="text1"/>
        </w:rPr>
        <w:t>會作成</w:t>
      </w:r>
      <w:r w:rsidR="006C667E" w:rsidRPr="00C71B22">
        <w:rPr>
          <w:rFonts w:hAnsi="標楷體" w:hint="eastAsia"/>
          <w:color w:val="000000" w:themeColor="text1"/>
        </w:rPr>
        <w:lastRenderedPageBreak/>
        <w:t>復審決定者計9萬3</w:t>
      </w:r>
      <w:r w:rsidR="006C667E" w:rsidRPr="00C71B22">
        <w:rPr>
          <w:rFonts w:hAnsi="標楷體"/>
          <w:color w:val="000000" w:themeColor="text1"/>
        </w:rPr>
        <w:t>,022</w:t>
      </w:r>
      <w:r w:rsidR="006C667E" w:rsidRPr="00C71B22">
        <w:rPr>
          <w:rFonts w:hAnsi="標楷體" w:hint="eastAsia"/>
          <w:color w:val="000000" w:themeColor="text1"/>
        </w:rPr>
        <w:t>件，嗣提起行政訴訟者計4萬3</w:t>
      </w:r>
      <w:r w:rsidR="006C667E" w:rsidRPr="00C71B22">
        <w:rPr>
          <w:rFonts w:hAnsi="標楷體"/>
          <w:color w:val="000000" w:themeColor="text1"/>
        </w:rPr>
        <w:t>,264</w:t>
      </w:r>
      <w:r w:rsidR="00E31BA0" w:rsidRPr="00C71B22">
        <w:rPr>
          <w:rFonts w:hAnsi="標楷體" w:hint="eastAsia"/>
          <w:color w:val="000000" w:themeColor="text1"/>
        </w:rPr>
        <w:t>件，</w:t>
      </w:r>
      <w:r w:rsidR="006C667E" w:rsidRPr="00C71B22">
        <w:rPr>
          <w:rFonts w:hAnsi="標楷體" w:hint="eastAsia"/>
          <w:color w:val="000000" w:themeColor="text1"/>
        </w:rPr>
        <w:t>復審決定不服率</w:t>
      </w:r>
      <w:r w:rsidR="00E31BA0" w:rsidRPr="00C71B22">
        <w:rPr>
          <w:rFonts w:hAnsi="標楷體" w:hint="eastAsia"/>
          <w:color w:val="000000" w:themeColor="text1"/>
        </w:rPr>
        <w:t>約</w:t>
      </w:r>
      <w:r w:rsidR="006C667E" w:rsidRPr="00C71B22">
        <w:rPr>
          <w:rFonts w:hAnsi="標楷體" w:hint="eastAsia"/>
          <w:color w:val="000000" w:themeColor="text1"/>
        </w:rPr>
        <w:t>為46</w:t>
      </w:r>
      <w:r w:rsidR="006C667E" w:rsidRPr="00C71B22">
        <w:rPr>
          <w:rFonts w:hAnsi="標楷體"/>
          <w:color w:val="000000" w:themeColor="text1"/>
        </w:rPr>
        <w:t>.51</w:t>
      </w:r>
      <w:r w:rsidR="006C667E" w:rsidRPr="00C71B22">
        <w:rPr>
          <w:rFonts w:hAnsi="標楷體" w:hint="eastAsia"/>
          <w:color w:val="000000" w:themeColor="text1"/>
        </w:rPr>
        <w:t>％。</w:t>
      </w:r>
    </w:p>
    <w:p w:rsidR="00573012" w:rsidRPr="00C71B22" w:rsidRDefault="002C438E" w:rsidP="00CC26DE">
      <w:pPr>
        <w:pStyle w:val="3"/>
        <w:rPr>
          <w:rFonts w:hAnsi="標楷體"/>
          <w:color w:val="000000" w:themeColor="text1"/>
        </w:rPr>
      </w:pPr>
      <w:r w:rsidRPr="00C71B22">
        <w:rPr>
          <w:rFonts w:hAnsi="標楷體" w:hint="eastAsia"/>
          <w:color w:val="000000" w:themeColor="text1"/>
        </w:rPr>
        <w:t>經查，保</w:t>
      </w:r>
      <w:r w:rsidR="00BD349C" w:rsidRPr="00C71B22">
        <w:rPr>
          <w:rFonts w:hAnsi="標楷體" w:hint="eastAsia"/>
          <w:color w:val="000000" w:themeColor="text1"/>
        </w:rPr>
        <w:t>訓會復審決定書有關訴訟管轄法院之救濟教示</w:t>
      </w:r>
      <w:r w:rsidR="00BD349C" w:rsidRPr="00C71B22">
        <w:rPr>
          <w:rFonts w:ascii="新細明體" w:eastAsia="新細明體" w:hAnsi="新細明體" w:hint="eastAsia"/>
          <w:color w:val="000000" w:themeColor="text1"/>
        </w:rPr>
        <w:t>，</w:t>
      </w:r>
      <w:r w:rsidR="00852CA8" w:rsidRPr="00C71B22">
        <w:rPr>
          <w:rFonts w:hAnsi="標楷體" w:hint="eastAsia"/>
          <w:color w:val="000000" w:themeColor="text1"/>
        </w:rPr>
        <w:t>僅依行政訴訟法第13條第1項及第24條規定，以重新審定退休所得之原處分機關銓敘部（被告機關）所在地之臺北高等行政法院為唯一訴訟管轄法院。</w:t>
      </w:r>
      <w:r w:rsidR="008B6FE7" w:rsidRPr="00C71B22">
        <w:rPr>
          <w:rFonts w:hAnsi="標楷體" w:hint="eastAsia"/>
          <w:color w:val="000000" w:themeColor="text1"/>
        </w:rPr>
        <w:t>另查</w:t>
      </w:r>
      <w:r w:rsidR="003706BD" w:rsidRPr="00C71B22">
        <w:rPr>
          <w:rFonts w:ascii="新細明體" w:eastAsia="新細明體" w:hAnsi="新細明體" w:hint="eastAsia"/>
          <w:color w:val="000000" w:themeColor="text1"/>
        </w:rPr>
        <w:t>，</w:t>
      </w:r>
      <w:r w:rsidR="008B6FE7" w:rsidRPr="00C71B22">
        <w:rPr>
          <w:rFonts w:hAnsi="標楷體" w:hint="eastAsia"/>
          <w:color w:val="000000" w:themeColor="text1"/>
        </w:rPr>
        <w:t>保訓會</w:t>
      </w:r>
      <w:r w:rsidR="0000710A" w:rsidRPr="00C71B22">
        <w:rPr>
          <w:rFonts w:hAnsi="標楷體" w:hint="eastAsia"/>
          <w:color w:val="000000" w:themeColor="text1"/>
        </w:rPr>
        <w:t>曾就本案陳訴人質疑</w:t>
      </w:r>
      <w:r w:rsidR="003706BD" w:rsidRPr="00C71B22">
        <w:rPr>
          <w:rFonts w:hAnsi="標楷體" w:hint="eastAsia"/>
          <w:color w:val="000000" w:themeColor="text1"/>
        </w:rPr>
        <w:t>復審決定書</w:t>
      </w:r>
      <w:r w:rsidR="0000710A" w:rsidRPr="00C71B22">
        <w:rPr>
          <w:rFonts w:hAnsi="標楷體" w:hint="eastAsia"/>
          <w:color w:val="000000" w:themeColor="text1"/>
        </w:rPr>
        <w:t>救濟教示</w:t>
      </w:r>
      <w:r w:rsidR="003706BD" w:rsidRPr="00C71B22">
        <w:rPr>
          <w:rFonts w:hAnsi="標楷體" w:hint="eastAsia"/>
          <w:color w:val="000000" w:themeColor="text1"/>
        </w:rPr>
        <w:t>未完整附記訴訟管轄法院</w:t>
      </w:r>
      <w:r w:rsidR="0000710A" w:rsidRPr="00C71B22">
        <w:rPr>
          <w:rFonts w:hAnsi="標楷體" w:hint="eastAsia"/>
          <w:color w:val="000000" w:themeColor="text1"/>
        </w:rPr>
        <w:t>一事，以108年3月15日公保字第1080003051號函復考試院秘書長略以：退休公務人員與服務機關間已無職務關係，爰復審決定無從依行政訴訟法第15條之1規定為救濟教示等語</w:t>
      </w:r>
      <w:r w:rsidR="0000710A" w:rsidRPr="00C71B22">
        <w:rPr>
          <w:rFonts w:ascii="新細明體" w:eastAsia="新細明體" w:hAnsi="新細明體" w:hint="eastAsia"/>
          <w:color w:val="000000" w:themeColor="text1"/>
        </w:rPr>
        <w:t>，</w:t>
      </w:r>
      <w:r w:rsidR="00834442" w:rsidRPr="00C71B22">
        <w:rPr>
          <w:rFonts w:hAnsi="標楷體" w:hint="eastAsia"/>
          <w:color w:val="000000" w:themeColor="text1"/>
        </w:rPr>
        <w:t>顯見保訓會</w:t>
      </w:r>
      <w:r w:rsidR="0000710A" w:rsidRPr="00C71B22">
        <w:rPr>
          <w:rFonts w:hAnsi="標楷體" w:hint="eastAsia"/>
          <w:color w:val="000000" w:themeColor="text1"/>
        </w:rPr>
        <w:t>係認為退休公務人員並不適用行政訴訟法第15條之1規定。</w:t>
      </w:r>
      <w:r w:rsidR="00834442" w:rsidRPr="00C71B22">
        <w:rPr>
          <w:rFonts w:hAnsi="標楷體" w:hint="eastAsia"/>
          <w:color w:val="000000" w:themeColor="text1"/>
        </w:rPr>
        <w:t>惟</w:t>
      </w:r>
      <w:r w:rsidR="008B6FE7" w:rsidRPr="00C71B22">
        <w:rPr>
          <w:rFonts w:hAnsi="標楷體" w:hint="eastAsia"/>
          <w:color w:val="000000" w:themeColor="text1"/>
        </w:rPr>
        <w:t>參照前揭行政訴訟法</w:t>
      </w:r>
      <w:r w:rsidR="00834442" w:rsidRPr="00C71B22">
        <w:rPr>
          <w:rFonts w:hAnsi="標楷體" w:hint="eastAsia"/>
          <w:color w:val="000000" w:themeColor="text1"/>
        </w:rPr>
        <w:t>修法沿革</w:t>
      </w:r>
      <w:r w:rsidR="00834442" w:rsidRPr="00C71B22">
        <w:rPr>
          <w:rFonts w:ascii="新細明體" w:eastAsia="新細明體" w:hAnsi="新細明體" w:hint="eastAsia"/>
          <w:color w:val="000000" w:themeColor="text1"/>
        </w:rPr>
        <w:t>、</w:t>
      </w:r>
      <w:r w:rsidR="008B6FE7" w:rsidRPr="00C71B22">
        <w:rPr>
          <w:rFonts w:hAnsi="標楷體" w:hint="eastAsia"/>
          <w:color w:val="000000" w:themeColor="text1"/>
        </w:rPr>
        <w:t>增訂第15條1</w:t>
      </w:r>
      <w:r w:rsidR="00834442" w:rsidRPr="00C71B22">
        <w:rPr>
          <w:rFonts w:hAnsi="標楷體" w:hint="eastAsia"/>
          <w:color w:val="000000" w:themeColor="text1"/>
        </w:rPr>
        <w:t>規定之</w:t>
      </w:r>
      <w:r w:rsidR="008B6FE7" w:rsidRPr="00C71B22">
        <w:rPr>
          <w:rFonts w:hAnsi="標楷體" w:hint="eastAsia"/>
          <w:color w:val="000000" w:themeColor="text1"/>
        </w:rPr>
        <w:t>立法理由、</w:t>
      </w:r>
      <w:r w:rsidR="00CE2131" w:rsidRPr="00C71B22">
        <w:rPr>
          <w:rFonts w:hAnsi="標楷體" w:hint="eastAsia"/>
          <w:color w:val="000000" w:themeColor="text1"/>
        </w:rPr>
        <w:t>司法院謝秘書長文定於立法院審議該法部分條文修正草案時所為之說明</w:t>
      </w:r>
      <w:r w:rsidR="00CE2131" w:rsidRPr="00C71B22">
        <w:rPr>
          <w:rFonts w:ascii="新細明體" w:eastAsia="新細明體" w:hAnsi="新細明體" w:hint="eastAsia"/>
          <w:color w:val="000000" w:themeColor="text1"/>
        </w:rPr>
        <w:t>、</w:t>
      </w:r>
      <w:r w:rsidR="008B6FE7" w:rsidRPr="00C71B22">
        <w:rPr>
          <w:rFonts w:hAnsi="標楷體" w:hint="eastAsia"/>
          <w:color w:val="000000" w:themeColor="text1"/>
        </w:rPr>
        <w:t>學說與司法實務見解，保訓會以往所持見解，</w:t>
      </w:r>
      <w:r w:rsidR="00834442" w:rsidRPr="00C71B22">
        <w:rPr>
          <w:rFonts w:hAnsi="標楷體" w:hint="eastAsia"/>
          <w:color w:val="000000" w:themeColor="text1"/>
        </w:rPr>
        <w:t>實有待商榷</w:t>
      </w:r>
      <w:r w:rsidR="008B6FE7" w:rsidRPr="00C71B22">
        <w:rPr>
          <w:rFonts w:hAnsi="標楷體" w:hint="eastAsia"/>
          <w:color w:val="000000" w:themeColor="text1"/>
        </w:rPr>
        <w:t>。</w:t>
      </w:r>
    </w:p>
    <w:p w:rsidR="001D2BD4" w:rsidRPr="00C71B22" w:rsidRDefault="007264D6" w:rsidP="00CC26DE">
      <w:pPr>
        <w:pStyle w:val="3"/>
        <w:rPr>
          <w:rFonts w:hAnsi="標楷體"/>
          <w:color w:val="000000" w:themeColor="text1"/>
        </w:rPr>
      </w:pPr>
      <w:r w:rsidRPr="00C71B22">
        <w:rPr>
          <w:rFonts w:hAnsi="標楷體" w:hint="eastAsia"/>
          <w:color w:val="000000" w:themeColor="text1"/>
        </w:rPr>
        <w:t>有關考試院及</w:t>
      </w:r>
      <w:r w:rsidR="008B6FE7" w:rsidRPr="00C71B22">
        <w:rPr>
          <w:rFonts w:hAnsi="標楷體" w:hint="eastAsia"/>
          <w:color w:val="000000" w:themeColor="text1"/>
        </w:rPr>
        <w:t>其</w:t>
      </w:r>
      <w:r w:rsidRPr="00C71B22">
        <w:rPr>
          <w:rFonts w:hAnsi="標楷體" w:hint="eastAsia"/>
          <w:color w:val="000000" w:themeColor="text1"/>
        </w:rPr>
        <w:t>所屬於年金改革實施前，曾否研商重新審定退休金事件如何定訴訟管轄法院</w:t>
      </w:r>
      <w:r w:rsidRPr="00C71B22">
        <w:rPr>
          <w:rFonts w:ascii="新細明體" w:eastAsia="新細明體" w:hAnsi="新細明體" w:hint="eastAsia"/>
          <w:color w:val="000000" w:themeColor="text1"/>
        </w:rPr>
        <w:t>？</w:t>
      </w:r>
      <w:r w:rsidRPr="00C71B22">
        <w:rPr>
          <w:rFonts w:hAnsi="標楷體" w:hint="eastAsia"/>
          <w:color w:val="000000" w:themeColor="text1"/>
        </w:rPr>
        <w:t>未讓受</w:t>
      </w:r>
      <w:r w:rsidR="00834442" w:rsidRPr="00C71B22">
        <w:rPr>
          <w:rFonts w:hAnsi="標楷體" w:hint="eastAsia"/>
          <w:color w:val="000000" w:themeColor="text1"/>
        </w:rPr>
        <w:t>處分人知悉競合</w:t>
      </w:r>
      <w:r w:rsidRPr="00C71B22">
        <w:rPr>
          <w:rFonts w:hAnsi="標楷體" w:hint="eastAsia"/>
          <w:color w:val="000000" w:themeColor="text1"/>
        </w:rPr>
        <w:t>管轄法院</w:t>
      </w:r>
      <w:r w:rsidR="00834442" w:rsidRPr="00C71B22">
        <w:rPr>
          <w:rFonts w:hAnsi="標楷體" w:hint="eastAsia"/>
          <w:color w:val="000000" w:themeColor="text1"/>
        </w:rPr>
        <w:t>有無特別</w:t>
      </w:r>
      <w:r w:rsidRPr="00C71B22">
        <w:rPr>
          <w:rFonts w:hAnsi="標楷體" w:hint="eastAsia"/>
          <w:color w:val="000000" w:themeColor="text1"/>
        </w:rPr>
        <w:t>考量</w:t>
      </w:r>
      <w:r w:rsidR="00CC470E" w:rsidRPr="00C71B22">
        <w:rPr>
          <w:rFonts w:ascii="新細明體" w:eastAsia="新細明體" w:hAnsi="新細明體" w:hint="eastAsia"/>
          <w:color w:val="000000" w:themeColor="text1"/>
        </w:rPr>
        <w:t>？</w:t>
      </w:r>
      <w:r w:rsidR="00CC470E" w:rsidRPr="00C71B22">
        <w:rPr>
          <w:rFonts w:hAnsi="標楷體" w:hint="eastAsia"/>
          <w:color w:val="000000" w:themeColor="text1"/>
        </w:rPr>
        <w:t>保訓會於最高行政法院作出1</w:t>
      </w:r>
      <w:r w:rsidR="00CC470E" w:rsidRPr="00C71B22">
        <w:rPr>
          <w:rFonts w:hAnsi="標楷體"/>
          <w:color w:val="000000" w:themeColor="text1"/>
        </w:rPr>
        <w:t>08</w:t>
      </w:r>
      <w:r w:rsidR="00CC470E" w:rsidRPr="00C71B22">
        <w:rPr>
          <w:rFonts w:hAnsi="標楷體" w:hint="eastAsia"/>
          <w:color w:val="000000" w:themeColor="text1"/>
        </w:rPr>
        <w:t>年度裁字第858號裁定意旨後</w:t>
      </w:r>
      <w:r w:rsidR="00CC470E" w:rsidRPr="00C71B22">
        <w:rPr>
          <w:rFonts w:ascii="新細明體" w:eastAsia="新細明體" w:hAnsi="新細明體" w:hint="eastAsia"/>
          <w:color w:val="000000" w:themeColor="text1"/>
        </w:rPr>
        <w:t>，</w:t>
      </w:r>
      <w:r w:rsidR="00CC470E" w:rsidRPr="00C71B22">
        <w:rPr>
          <w:rFonts w:hAnsi="標楷體" w:hint="eastAsia"/>
          <w:color w:val="000000" w:themeColor="text1"/>
        </w:rPr>
        <w:t>以往所持退休公務人員與原服務機關已無職務關係之見解</w:t>
      </w:r>
      <w:r w:rsidR="00173759" w:rsidRPr="00C71B22">
        <w:rPr>
          <w:rFonts w:ascii="新細明體" w:eastAsia="新細明體" w:hAnsi="新細明體" w:hint="eastAsia"/>
          <w:color w:val="000000" w:themeColor="text1"/>
        </w:rPr>
        <w:t>，</w:t>
      </w:r>
      <w:r w:rsidR="00173759" w:rsidRPr="00C71B22">
        <w:rPr>
          <w:rFonts w:hAnsi="標楷體" w:hint="eastAsia"/>
          <w:color w:val="000000" w:themeColor="text1"/>
        </w:rPr>
        <w:t>是否擬</w:t>
      </w:r>
      <w:r w:rsidR="00CC470E" w:rsidRPr="00C71B22">
        <w:rPr>
          <w:rFonts w:hAnsi="標楷體" w:hint="eastAsia"/>
          <w:color w:val="000000" w:themeColor="text1"/>
        </w:rPr>
        <w:t>變</w:t>
      </w:r>
      <w:r w:rsidR="00834442" w:rsidRPr="00C71B22">
        <w:rPr>
          <w:rFonts w:hAnsi="標楷體" w:hint="eastAsia"/>
          <w:color w:val="000000" w:themeColor="text1"/>
        </w:rPr>
        <w:t>更？等</w:t>
      </w:r>
      <w:r w:rsidR="008B6FE7" w:rsidRPr="00C71B22">
        <w:rPr>
          <w:rFonts w:hAnsi="標楷體" w:hint="eastAsia"/>
          <w:color w:val="000000" w:themeColor="text1"/>
        </w:rPr>
        <w:t>疑義</w:t>
      </w:r>
      <w:r w:rsidR="002821DA" w:rsidRPr="00C71B22">
        <w:rPr>
          <w:rFonts w:hAnsi="標楷體" w:hint="eastAsia"/>
          <w:color w:val="000000" w:themeColor="text1"/>
        </w:rPr>
        <w:t>，</w:t>
      </w:r>
      <w:r w:rsidR="008B6FE7" w:rsidRPr="00C71B22">
        <w:rPr>
          <w:rFonts w:hAnsi="標楷體" w:hint="eastAsia"/>
          <w:color w:val="000000" w:themeColor="text1"/>
        </w:rPr>
        <w:t>該會於</w:t>
      </w:r>
      <w:r w:rsidR="00366092" w:rsidRPr="00C71B22">
        <w:rPr>
          <w:rFonts w:hAnsi="標楷體" w:hint="eastAsia"/>
          <w:color w:val="000000" w:themeColor="text1"/>
        </w:rPr>
        <w:t>本院</w:t>
      </w:r>
      <w:r w:rsidR="00BF247F" w:rsidRPr="00C71B22">
        <w:rPr>
          <w:rFonts w:hAnsi="標楷體" w:hint="eastAsia"/>
          <w:color w:val="000000" w:themeColor="text1"/>
        </w:rPr>
        <w:t>詢問時</w:t>
      </w:r>
      <w:r w:rsidR="006903C5" w:rsidRPr="00C71B22">
        <w:rPr>
          <w:rFonts w:hAnsi="標楷體" w:hint="eastAsia"/>
          <w:color w:val="000000" w:themeColor="text1"/>
        </w:rPr>
        <w:t>檢討</w:t>
      </w:r>
      <w:r w:rsidR="00656517" w:rsidRPr="00C71B22">
        <w:rPr>
          <w:rFonts w:hAnsi="標楷體" w:hint="eastAsia"/>
          <w:color w:val="000000" w:themeColor="text1"/>
        </w:rPr>
        <w:t>略</w:t>
      </w:r>
      <w:r w:rsidR="006903C5" w:rsidRPr="00C71B22">
        <w:rPr>
          <w:rFonts w:hAnsi="標楷體" w:hint="eastAsia"/>
          <w:color w:val="000000" w:themeColor="text1"/>
        </w:rPr>
        <w:t>稱</w:t>
      </w:r>
      <w:r w:rsidR="00656517" w:rsidRPr="00C71B22">
        <w:rPr>
          <w:rFonts w:hAnsi="標楷體" w:hint="eastAsia"/>
          <w:color w:val="000000" w:themeColor="text1"/>
        </w:rPr>
        <w:t>：</w:t>
      </w:r>
      <w:r w:rsidR="001D2BD4" w:rsidRPr="00C71B22">
        <w:rPr>
          <w:rFonts w:hAnsi="標楷體" w:hint="eastAsia"/>
          <w:color w:val="000000" w:themeColor="text1"/>
        </w:rPr>
        <w:t>「</w:t>
      </w:r>
      <w:r w:rsidR="00BF247F" w:rsidRPr="00C71B22">
        <w:rPr>
          <w:rFonts w:hAnsi="標楷體" w:hint="eastAsia"/>
          <w:color w:val="000000" w:themeColor="text1"/>
        </w:rPr>
        <w:t>該會歷來辦理各類復審事件，不論俸給、銓敘、免職等各類案件，均係依行政訴訟法第13條第1項後段規定，附記教示條款，而未併同附記行政訴訟法第15條之1規定之競合管轄法院</w:t>
      </w:r>
      <w:r w:rsidR="00BF247F" w:rsidRPr="00C71B22">
        <w:rPr>
          <w:rFonts w:ascii="新細明體" w:eastAsia="新細明體" w:hAnsi="新細明體" w:hint="eastAsia"/>
          <w:color w:val="000000" w:themeColor="text1"/>
        </w:rPr>
        <w:t>，</w:t>
      </w:r>
      <w:r w:rsidR="00BF247F" w:rsidRPr="00C71B22">
        <w:rPr>
          <w:rFonts w:hAnsi="標楷體" w:hint="eastAsia"/>
          <w:color w:val="000000" w:themeColor="text1"/>
        </w:rPr>
        <w:t>是該會辦理年</w:t>
      </w:r>
      <w:r w:rsidR="002821DA" w:rsidRPr="00C71B22">
        <w:rPr>
          <w:rFonts w:hAnsi="標楷體" w:hint="eastAsia"/>
          <w:color w:val="000000" w:themeColor="text1"/>
        </w:rPr>
        <w:t>金改革復審事件並無就退休公務人員為特別不利之對待</w:t>
      </w:r>
      <w:r w:rsidR="001D2BD4" w:rsidRPr="00C71B22">
        <w:rPr>
          <w:rFonts w:hAnsi="標楷體" w:hint="eastAsia"/>
          <w:color w:val="000000" w:themeColor="text1"/>
        </w:rPr>
        <w:t>」</w:t>
      </w:r>
      <w:r w:rsidR="001D2BD4" w:rsidRPr="00C71B22">
        <w:rPr>
          <w:rFonts w:ascii="新細明體" w:eastAsia="新細明體" w:hAnsi="新細明體" w:hint="eastAsia"/>
          <w:color w:val="000000" w:themeColor="text1"/>
        </w:rPr>
        <w:t>、</w:t>
      </w:r>
      <w:r w:rsidR="001D2BD4" w:rsidRPr="00C71B22">
        <w:rPr>
          <w:rFonts w:hAnsi="標楷體" w:hint="eastAsia"/>
          <w:color w:val="000000" w:themeColor="text1"/>
        </w:rPr>
        <w:t>「</w:t>
      </w:r>
      <w:r w:rsidR="002821DA" w:rsidRPr="00C71B22">
        <w:rPr>
          <w:rFonts w:hAnsi="標楷體" w:hint="eastAsia"/>
          <w:color w:val="000000" w:themeColor="text1"/>
        </w:rPr>
        <w:t>該會辦理年金改革復審案件時，尚無統一之司法實務見解，就退休期間之</w:t>
      </w:r>
      <w:r w:rsidR="002821DA" w:rsidRPr="00C71B22">
        <w:rPr>
          <w:rFonts w:hAnsi="標楷體" w:hint="eastAsia"/>
          <w:color w:val="000000" w:themeColor="text1"/>
        </w:rPr>
        <w:lastRenderedPageBreak/>
        <w:t>所得重新審定事件，認定確屬行政訴訟法第15條之1所定之情形，爰未併依該條規定附記救濟教示</w:t>
      </w:r>
      <w:r w:rsidR="002821DA" w:rsidRPr="00C71B22">
        <w:rPr>
          <w:rFonts w:ascii="新細明體" w:eastAsia="新細明體" w:hAnsi="新細明體" w:hint="eastAsia"/>
          <w:color w:val="000000" w:themeColor="text1"/>
        </w:rPr>
        <w:t>，</w:t>
      </w:r>
      <w:r w:rsidR="001274A8" w:rsidRPr="00C71B22">
        <w:rPr>
          <w:rFonts w:hAnsi="標楷體" w:hint="eastAsia"/>
          <w:color w:val="000000" w:themeColor="text1"/>
        </w:rPr>
        <w:t>如由該會預為判斷，並列舉所有可能具管轄權之行政法院，</w:t>
      </w:r>
      <w:r w:rsidR="002821DA" w:rsidRPr="00C71B22">
        <w:rPr>
          <w:rFonts w:hAnsi="標楷體" w:hint="eastAsia"/>
          <w:color w:val="000000" w:themeColor="text1"/>
        </w:rPr>
        <w:t>恐生僭越行政法院職權之疑慮</w:t>
      </w:r>
      <w:r w:rsidR="001D2BD4" w:rsidRPr="00C71B22">
        <w:rPr>
          <w:rFonts w:hAnsi="標楷體" w:hint="eastAsia"/>
          <w:color w:val="000000" w:themeColor="text1"/>
        </w:rPr>
        <w:t>」</w:t>
      </w:r>
      <w:r w:rsidR="001D2BD4" w:rsidRPr="00C71B22">
        <w:rPr>
          <w:rFonts w:ascii="新細明體" w:eastAsia="新細明體" w:hAnsi="新細明體" w:hint="eastAsia"/>
          <w:color w:val="000000" w:themeColor="text1"/>
        </w:rPr>
        <w:t>、</w:t>
      </w:r>
      <w:r w:rsidR="001D2BD4" w:rsidRPr="00C71B22">
        <w:rPr>
          <w:rFonts w:hAnsi="標楷體" w:hint="eastAsia"/>
          <w:color w:val="000000" w:themeColor="text1"/>
        </w:rPr>
        <w:t>「</w:t>
      </w:r>
      <w:r w:rsidR="002821DA" w:rsidRPr="00C71B22">
        <w:rPr>
          <w:rFonts w:hAnsi="標楷體" w:hint="eastAsia"/>
          <w:color w:val="000000" w:themeColor="text1"/>
        </w:rPr>
        <w:t>復審決定書所為救濟教示之記載，對復審人訴訟權能並無限制效果，是否屬合法起訴，應由法院職權調查並為裁判</w:t>
      </w:r>
      <w:r w:rsidR="001D2BD4" w:rsidRPr="00C71B22">
        <w:rPr>
          <w:rFonts w:hAnsi="標楷體" w:hint="eastAsia"/>
          <w:color w:val="000000" w:themeColor="text1"/>
        </w:rPr>
        <w:t>」</w:t>
      </w:r>
      <w:r w:rsidR="002B3DBA" w:rsidRPr="00C71B22">
        <w:rPr>
          <w:rFonts w:ascii="新細明體" w:eastAsia="新細明體" w:hAnsi="新細明體" w:hint="eastAsia"/>
          <w:color w:val="000000" w:themeColor="text1"/>
        </w:rPr>
        <w:t>、</w:t>
      </w:r>
      <w:r w:rsidR="001D2BD4" w:rsidRPr="00C71B22">
        <w:rPr>
          <w:rFonts w:hAnsi="標楷體" w:hint="eastAsia"/>
          <w:color w:val="000000" w:themeColor="text1"/>
        </w:rPr>
        <w:t>「年金改革後，各行政法院就公務人員退休關係所生之爭執，依行政訴訟法第15條之1認定由公務員職務關係所在地法院管轄者計7件；且該條之內涵業經最高行政法院1</w:t>
      </w:r>
      <w:r w:rsidR="001D2BD4" w:rsidRPr="00C71B22">
        <w:rPr>
          <w:rFonts w:hAnsi="標楷體"/>
          <w:color w:val="000000" w:themeColor="text1"/>
        </w:rPr>
        <w:t>08</w:t>
      </w:r>
      <w:r w:rsidR="001D2BD4" w:rsidRPr="00C71B22">
        <w:rPr>
          <w:rFonts w:hAnsi="標楷體" w:hint="eastAsia"/>
          <w:color w:val="000000" w:themeColor="text1"/>
        </w:rPr>
        <w:t>年度裁字第858號裁定闡明包含退休及退休金發給之審定在案，雖屬個案法律見解，仍值贊同。」</w:t>
      </w:r>
      <w:r w:rsidR="001D2BD4" w:rsidRPr="00C71B22">
        <w:rPr>
          <w:rFonts w:ascii="新細明體" w:eastAsia="新細明體" w:hAnsi="新細明體" w:hint="eastAsia"/>
          <w:color w:val="000000" w:themeColor="text1"/>
        </w:rPr>
        <w:t>、</w:t>
      </w:r>
      <w:r w:rsidR="001D2BD4" w:rsidRPr="00C71B22">
        <w:rPr>
          <w:rFonts w:hAnsi="標楷體" w:hint="eastAsia"/>
          <w:color w:val="000000" w:themeColor="text1"/>
        </w:rPr>
        <w:t>「訴願（復審）決定書有關訴訟管轄法院之附記，是否一併載明行政訴訟法第13條第1項及第15條之1，各訴願機關尚無一致作法；如有共識，該會將研提該會委員會議討論是否增列行政訴訟法第15條之1管轄法院」</w:t>
      </w:r>
      <w:r w:rsidR="00F84F19" w:rsidRPr="00C71B22">
        <w:rPr>
          <w:rFonts w:ascii="新細明體" w:eastAsia="新細明體" w:hAnsi="新細明體" w:hint="eastAsia"/>
          <w:color w:val="000000" w:themeColor="text1"/>
        </w:rPr>
        <w:t>、「</w:t>
      </w:r>
      <w:r w:rsidR="00F84F19" w:rsidRPr="00C71B22">
        <w:rPr>
          <w:rFonts w:hAnsi="標楷體" w:hint="eastAsia"/>
          <w:color w:val="000000" w:themeColor="text1"/>
        </w:rPr>
        <w:t>並未查詢該條之立法理由」</w:t>
      </w:r>
      <w:r w:rsidR="006D7D47" w:rsidRPr="00C71B22">
        <w:rPr>
          <w:rFonts w:hAnsi="標楷體" w:hint="eastAsia"/>
          <w:color w:val="000000" w:themeColor="text1"/>
        </w:rPr>
        <w:t>等語</w:t>
      </w:r>
      <w:r w:rsidR="001D2BD4" w:rsidRPr="00C71B22">
        <w:rPr>
          <w:rFonts w:hAnsi="標楷體" w:hint="eastAsia"/>
          <w:color w:val="000000" w:themeColor="text1"/>
        </w:rPr>
        <w:t>。</w:t>
      </w:r>
    </w:p>
    <w:p w:rsidR="006D7D47" w:rsidRPr="00C71B22" w:rsidRDefault="008B6FE7" w:rsidP="00BF247F">
      <w:pPr>
        <w:pStyle w:val="3"/>
        <w:rPr>
          <w:rFonts w:hAnsi="標楷體"/>
          <w:color w:val="000000" w:themeColor="text1"/>
        </w:rPr>
      </w:pPr>
      <w:r w:rsidRPr="00C71B22">
        <w:rPr>
          <w:rFonts w:hAnsi="標楷體" w:hint="eastAsia"/>
          <w:color w:val="000000" w:themeColor="text1"/>
        </w:rPr>
        <w:t>經</w:t>
      </w:r>
      <w:r w:rsidR="001D2BD4" w:rsidRPr="00C71B22">
        <w:rPr>
          <w:rFonts w:hAnsi="標楷體" w:hint="eastAsia"/>
          <w:color w:val="000000" w:themeColor="text1"/>
        </w:rPr>
        <w:t>核</w:t>
      </w:r>
      <w:r w:rsidR="006D7D47" w:rsidRPr="00C71B22">
        <w:rPr>
          <w:rFonts w:ascii="新細明體" w:eastAsia="新細明體" w:hAnsi="新細明體" w:hint="eastAsia"/>
          <w:color w:val="000000" w:themeColor="text1"/>
        </w:rPr>
        <w:t>：</w:t>
      </w:r>
    </w:p>
    <w:p w:rsidR="00F95A4F" w:rsidRPr="00C71B22" w:rsidRDefault="001D2BD4" w:rsidP="006D7D47">
      <w:pPr>
        <w:pStyle w:val="4"/>
        <w:rPr>
          <w:rFonts w:hAnsi="標楷體"/>
          <w:color w:val="000000" w:themeColor="text1"/>
        </w:rPr>
      </w:pPr>
      <w:r w:rsidRPr="00C71B22">
        <w:rPr>
          <w:rFonts w:hAnsi="標楷體" w:hint="eastAsia"/>
          <w:color w:val="000000" w:themeColor="text1"/>
        </w:rPr>
        <w:t>保訓會為公務人員權益保障事項之專責救濟機關，</w:t>
      </w:r>
      <w:r w:rsidR="002A2D4B" w:rsidRPr="00C71B22">
        <w:rPr>
          <w:rFonts w:hAnsi="標楷體" w:hint="eastAsia"/>
          <w:color w:val="000000" w:themeColor="text1"/>
        </w:rPr>
        <w:t>對於</w:t>
      </w:r>
      <w:r w:rsidRPr="00C71B22">
        <w:rPr>
          <w:rFonts w:hAnsi="標楷體" w:hint="eastAsia"/>
          <w:color w:val="000000" w:themeColor="text1"/>
        </w:rPr>
        <w:t>行政訴訟法第15條之1「公務員</w:t>
      </w:r>
      <w:r w:rsidR="002A2D4B" w:rsidRPr="00C71B22">
        <w:rPr>
          <w:rFonts w:hAnsi="標楷體" w:hint="eastAsia"/>
          <w:color w:val="000000" w:themeColor="text1"/>
        </w:rPr>
        <w:t>職務關</w:t>
      </w:r>
      <w:r w:rsidR="009C0FD3" w:rsidRPr="00C71B22">
        <w:rPr>
          <w:rFonts w:hAnsi="標楷體" w:hint="eastAsia"/>
          <w:color w:val="000000" w:themeColor="text1"/>
        </w:rPr>
        <w:t>係」之定義及適用範圍，本</w:t>
      </w:r>
      <w:r w:rsidR="001274A8" w:rsidRPr="00C71B22">
        <w:rPr>
          <w:rFonts w:hAnsi="標楷體" w:hint="eastAsia"/>
          <w:color w:val="000000" w:themeColor="text1"/>
        </w:rPr>
        <w:t>應確實釐清</w:t>
      </w:r>
      <w:r w:rsidR="002A2D4B" w:rsidRPr="00C71B22">
        <w:rPr>
          <w:rFonts w:hAnsi="標楷體" w:hint="eastAsia"/>
          <w:color w:val="000000" w:themeColor="text1"/>
        </w:rPr>
        <w:t>，該會</w:t>
      </w:r>
      <w:r w:rsidR="004C7BD4" w:rsidRPr="00C71B22">
        <w:rPr>
          <w:rFonts w:hAnsi="標楷體" w:hint="eastAsia"/>
          <w:color w:val="000000" w:themeColor="text1"/>
        </w:rPr>
        <w:t>自承</w:t>
      </w:r>
      <w:r w:rsidR="002A2D4B" w:rsidRPr="00C71B22">
        <w:rPr>
          <w:rFonts w:hAnsi="標楷體" w:hint="eastAsia"/>
          <w:color w:val="000000" w:themeColor="text1"/>
        </w:rPr>
        <w:t>歷來辦理各類復審事件，不論俸給、銓敘、免職</w:t>
      </w:r>
      <w:r w:rsidR="004C7BD4" w:rsidRPr="00C71B22">
        <w:rPr>
          <w:rFonts w:hAnsi="標楷體" w:hint="eastAsia"/>
          <w:color w:val="000000" w:themeColor="text1"/>
        </w:rPr>
        <w:t>、退休</w:t>
      </w:r>
      <w:r w:rsidR="006D7D47" w:rsidRPr="00C71B22">
        <w:rPr>
          <w:rFonts w:hAnsi="標楷體" w:hint="eastAsia"/>
          <w:color w:val="000000" w:themeColor="text1"/>
        </w:rPr>
        <w:t>等案件，均</w:t>
      </w:r>
      <w:r w:rsidR="002A2D4B" w:rsidRPr="00C71B22">
        <w:rPr>
          <w:rFonts w:hAnsi="標楷體" w:hint="eastAsia"/>
          <w:color w:val="000000" w:themeColor="text1"/>
        </w:rPr>
        <w:t>依行政訴訟法第13條第1項後段規定，附記教示條款，而未併同附記行政訴訟法第15條之1規定之競合管轄法院，</w:t>
      </w:r>
      <w:r w:rsidR="009C0FD3" w:rsidRPr="00C71B22">
        <w:rPr>
          <w:rFonts w:hAnsi="標楷體" w:hint="eastAsia"/>
          <w:color w:val="000000" w:themeColor="text1"/>
        </w:rPr>
        <w:t>僅能說明該會並未</w:t>
      </w:r>
      <w:r w:rsidR="006D7D47" w:rsidRPr="00C71B22">
        <w:rPr>
          <w:rFonts w:hAnsi="標楷體" w:hint="eastAsia"/>
          <w:color w:val="000000" w:themeColor="text1"/>
        </w:rPr>
        <w:t>刻意不利對待退休公務人員，</w:t>
      </w:r>
      <w:r w:rsidR="000C4C82" w:rsidRPr="00C71B22">
        <w:rPr>
          <w:rFonts w:hAnsi="標楷體" w:hint="eastAsia"/>
          <w:color w:val="000000" w:themeColor="text1"/>
        </w:rPr>
        <w:t>而</w:t>
      </w:r>
      <w:r w:rsidR="00722F9C" w:rsidRPr="00C71B22">
        <w:rPr>
          <w:rFonts w:hAnsi="標楷體" w:hint="eastAsia"/>
          <w:color w:val="000000" w:themeColor="text1"/>
        </w:rPr>
        <w:t>從</w:t>
      </w:r>
      <w:r w:rsidR="001274A8" w:rsidRPr="00C71B22">
        <w:rPr>
          <w:rFonts w:hAnsi="標楷體" w:hint="eastAsia"/>
          <w:color w:val="000000" w:themeColor="text1"/>
        </w:rPr>
        <w:t>該會不僅退休事件，甚連俸給、銓敘、免職等事件，均</w:t>
      </w:r>
      <w:r w:rsidR="00594594" w:rsidRPr="00C71B22">
        <w:rPr>
          <w:rFonts w:hAnsi="標楷體" w:hint="eastAsia"/>
          <w:color w:val="000000" w:themeColor="text1"/>
        </w:rPr>
        <w:t>僅以「以原就被」原則附記管轄之行政法院，顯</w:t>
      </w:r>
      <w:r w:rsidR="0027595F" w:rsidRPr="00C71B22">
        <w:rPr>
          <w:rFonts w:hAnsi="標楷體" w:hint="eastAsia"/>
          <w:color w:val="000000" w:themeColor="text1"/>
        </w:rPr>
        <w:t>見該會</w:t>
      </w:r>
      <w:r w:rsidR="009C0FD3" w:rsidRPr="00C71B22">
        <w:rPr>
          <w:rFonts w:hAnsi="標楷體" w:hint="eastAsia"/>
          <w:color w:val="000000" w:themeColor="text1"/>
        </w:rPr>
        <w:t>以往</w:t>
      </w:r>
      <w:r w:rsidR="000C4C82" w:rsidRPr="00C71B22">
        <w:rPr>
          <w:rFonts w:hAnsi="標楷體" w:hint="eastAsia"/>
          <w:color w:val="000000" w:themeColor="text1"/>
        </w:rPr>
        <w:t>並未注意考量</w:t>
      </w:r>
      <w:r w:rsidR="002A2D4B" w:rsidRPr="00C71B22">
        <w:rPr>
          <w:rFonts w:hAnsi="標楷體" w:hint="eastAsia"/>
          <w:color w:val="000000" w:themeColor="text1"/>
        </w:rPr>
        <w:t>行政訴訟法第15條之1</w:t>
      </w:r>
      <w:r w:rsidR="00594594" w:rsidRPr="00C71B22">
        <w:rPr>
          <w:rFonts w:hAnsi="標楷體" w:hint="eastAsia"/>
          <w:color w:val="000000" w:themeColor="text1"/>
        </w:rPr>
        <w:t>規定</w:t>
      </w:r>
      <w:r w:rsidR="000C4C82" w:rsidRPr="00C71B22">
        <w:rPr>
          <w:rFonts w:hAnsi="標楷體" w:hint="eastAsia"/>
          <w:color w:val="000000" w:themeColor="text1"/>
        </w:rPr>
        <w:t>之適用問題</w:t>
      </w:r>
      <w:r w:rsidR="002A2D4B" w:rsidRPr="00C71B22">
        <w:rPr>
          <w:rFonts w:hAnsi="標楷體" w:hint="eastAsia"/>
          <w:color w:val="000000" w:themeColor="text1"/>
        </w:rPr>
        <w:t>。</w:t>
      </w:r>
    </w:p>
    <w:p w:rsidR="006D7D47" w:rsidRPr="00C71B22" w:rsidRDefault="009C0FD3" w:rsidP="0074046D">
      <w:pPr>
        <w:pStyle w:val="4"/>
        <w:rPr>
          <w:rFonts w:hAnsi="標楷體"/>
          <w:color w:val="000000" w:themeColor="text1"/>
        </w:rPr>
      </w:pPr>
      <w:r w:rsidRPr="00C71B22">
        <w:rPr>
          <w:rFonts w:hAnsi="標楷體" w:hint="eastAsia"/>
          <w:color w:val="000000" w:themeColor="text1"/>
        </w:rPr>
        <w:lastRenderedPageBreak/>
        <w:t>保訓會復審決定書之救濟</w:t>
      </w:r>
      <w:r w:rsidRPr="00C71B22">
        <w:rPr>
          <w:rFonts w:hint="eastAsia"/>
          <w:color w:val="000000" w:themeColor="text1"/>
        </w:rPr>
        <w:t>教示</w:t>
      </w:r>
      <w:r w:rsidRPr="00C71B22">
        <w:rPr>
          <w:rFonts w:ascii="新細明體" w:eastAsia="新細明體" w:hAnsi="新細明體" w:hint="eastAsia"/>
          <w:color w:val="000000" w:themeColor="text1"/>
        </w:rPr>
        <w:t>，</w:t>
      </w:r>
      <w:r w:rsidRPr="00C71B22">
        <w:rPr>
          <w:rFonts w:hint="eastAsia"/>
          <w:color w:val="000000" w:themeColor="text1"/>
        </w:rPr>
        <w:t>雖</w:t>
      </w:r>
      <w:r w:rsidRPr="00C71B22">
        <w:rPr>
          <w:rFonts w:hAnsi="標楷體" w:hint="eastAsia"/>
          <w:color w:val="000000" w:themeColor="text1"/>
        </w:rPr>
        <w:t>無限制當事人訴訟權能之效果，惟救濟教示</w:t>
      </w:r>
      <w:r w:rsidR="00DC5AE9" w:rsidRPr="00C71B22">
        <w:rPr>
          <w:rFonts w:hAnsi="標楷體" w:hint="eastAsia"/>
          <w:color w:val="000000" w:themeColor="text1"/>
        </w:rPr>
        <w:t>之</w:t>
      </w:r>
      <w:r w:rsidR="001871FB" w:rsidRPr="00C71B22">
        <w:rPr>
          <w:rFonts w:hint="eastAsia"/>
          <w:color w:val="000000" w:themeColor="text1"/>
        </w:rPr>
        <w:t>制度</w:t>
      </w:r>
      <w:r w:rsidR="00F6723E" w:rsidRPr="00C71B22">
        <w:rPr>
          <w:rFonts w:hint="eastAsia"/>
          <w:color w:val="000000" w:themeColor="text1"/>
        </w:rPr>
        <w:t>目的，本在讓受處分人知悉救濟管道，使其得以就近尋求行政法院保障權益，</w:t>
      </w:r>
      <w:r w:rsidRPr="00C71B22">
        <w:rPr>
          <w:rFonts w:hint="eastAsia"/>
          <w:color w:val="000000" w:themeColor="text1"/>
        </w:rPr>
        <w:t>便利訴訟</w:t>
      </w:r>
      <w:r w:rsidRPr="00C71B22">
        <w:rPr>
          <w:rFonts w:ascii="新細明體" w:eastAsia="新細明體" w:hAnsi="新細明體" w:hint="eastAsia"/>
          <w:color w:val="000000" w:themeColor="text1"/>
        </w:rPr>
        <w:t>，</w:t>
      </w:r>
      <w:r w:rsidR="00F6723E" w:rsidRPr="00C71B22">
        <w:rPr>
          <w:rFonts w:hint="eastAsia"/>
          <w:color w:val="000000" w:themeColor="text1"/>
        </w:rPr>
        <w:t>保訓會為保障公務人</w:t>
      </w:r>
      <w:r w:rsidR="00DC5AE9" w:rsidRPr="00C71B22">
        <w:rPr>
          <w:rFonts w:hint="eastAsia"/>
          <w:color w:val="000000" w:themeColor="text1"/>
        </w:rPr>
        <w:t>員權益之專責機關，</w:t>
      </w:r>
      <w:r w:rsidR="00F6723E" w:rsidRPr="00C71B22">
        <w:rPr>
          <w:rFonts w:hint="eastAsia"/>
          <w:color w:val="000000" w:themeColor="text1"/>
        </w:rPr>
        <w:t>負有教示義務，</w:t>
      </w:r>
      <w:r w:rsidR="00693E1D" w:rsidRPr="00C71B22">
        <w:rPr>
          <w:rFonts w:hAnsi="標楷體" w:hint="eastAsia"/>
          <w:color w:val="000000" w:themeColor="text1"/>
        </w:rPr>
        <w:t>受處人或不知行政訴訟法第15條之1規定，或信任</w:t>
      </w:r>
      <w:r w:rsidR="00BD5D9A" w:rsidRPr="00C71B22">
        <w:rPr>
          <w:rFonts w:hAnsi="標楷體" w:hint="eastAsia"/>
          <w:color w:val="000000" w:themeColor="text1"/>
        </w:rPr>
        <w:t>復審決定書</w:t>
      </w:r>
      <w:r w:rsidR="0027595F" w:rsidRPr="00C71B22">
        <w:rPr>
          <w:rFonts w:hAnsi="標楷體" w:hint="eastAsia"/>
          <w:color w:val="000000" w:themeColor="text1"/>
        </w:rPr>
        <w:t>之</w:t>
      </w:r>
      <w:r w:rsidR="00693E1D" w:rsidRPr="00C71B22">
        <w:rPr>
          <w:rFonts w:hAnsi="標楷體" w:hint="eastAsia"/>
          <w:color w:val="000000" w:themeColor="text1"/>
        </w:rPr>
        <w:t>救濟教示，</w:t>
      </w:r>
      <w:r w:rsidR="002B3DBA" w:rsidRPr="00C71B22">
        <w:rPr>
          <w:rFonts w:hAnsi="標楷體" w:hint="eastAsia"/>
          <w:color w:val="000000" w:themeColor="text1"/>
        </w:rPr>
        <w:t>自難期待</w:t>
      </w:r>
      <w:r w:rsidR="00BD5D9A" w:rsidRPr="00C71B22">
        <w:rPr>
          <w:rFonts w:hAnsi="標楷體" w:hint="eastAsia"/>
          <w:color w:val="000000" w:themeColor="text1"/>
        </w:rPr>
        <w:t>其</w:t>
      </w:r>
      <w:r w:rsidR="002B3DBA" w:rsidRPr="00C71B22">
        <w:rPr>
          <w:rFonts w:hAnsi="標楷體" w:hint="eastAsia"/>
          <w:color w:val="000000" w:themeColor="text1"/>
        </w:rPr>
        <w:t>自行</w:t>
      </w:r>
      <w:r w:rsidR="004219D6" w:rsidRPr="00C71B22">
        <w:rPr>
          <w:rFonts w:hAnsi="標楷體" w:hint="eastAsia"/>
          <w:color w:val="000000" w:themeColor="text1"/>
        </w:rPr>
        <w:t>聲請移轉管轄。又</w:t>
      </w:r>
      <w:r w:rsidR="008351EB" w:rsidRPr="00C71B22">
        <w:rPr>
          <w:rFonts w:hAnsi="標楷體" w:hint="eastAsia"/>
          <w:color w:val="000000" w:themeColor="text1"/>
        </w:rPr>
        <w:t>救濟教示</w:t>
      </w:r>
      <w:r w:rsidR="00F6723E" w:rsidRPr="00C71B22">
        <w:rPr>
          <w:rFonts w:hAnsi="標楷體" w:hint="eastAsia"/>
          <w:color w:val="000000" w:themeColor="text1"/>
        </w:rPr>
        <w:t>既</w:t>
      </w:r>
      <w:r w:rsidR="008351EB" w:rsidRPr="00C71B22">
        <w:rPr>
          <w:rFonts w:hAnsi="標楷體" w:hint="eastAsia"/>
          <w:color w:val="000000" w:themeColor="text1"/>
        </w:rPr>
        <w:t>無限制當事人訴訟權能之效果，</w:t>
      </w:r>
      <w:r w:rsidR="00594594" w:rsidRPr="00C71B22">
        <w:rPr>
          <w:rFonts w:hAnsi="標楷體" w:hint="eastAsia"/>
          <w:color w:val="000000" w:themeColor="text1"/>
        </w:rPr>
        <w:t>縱未</w:t>
      </w:r>
      <w:r w:rsidR="00BD5D9A" w:rsidRPr="00C71B22">
        <w:rPr>
          <w:rFonts w:hAnsi="標楷體" w:hint="eastAsia"/>
          <w:color w:val="000000" w:themeColor="text1"/>
        </w:rPr>
        <w:t>為</w:t>
      </w:r>
      <w:r w:rsidR="00594594" w:rsidRPr="00C71B22">
        <w:rPr>
          <w:rFonts w:hAnsi="標楷體" w:hint="eastAsia"/>
          <w:color w:val="000000" w:themeColor="text1"/>
        </w:rPr>
        <w:t>行政法院所採，</w:t>
      </w:r>
      <w:r w:rsidR="00DC4AE0" w:rsidRPr="00C71B22">
        <w:rPr>
          <w:rFonts w:hAnsi="標楷體" w:hint="eastAsia"/>
          <w:color w:val="000000" w:themeColor="text1"/>
        </w:rPr>
        <w:t>似</w:t>
      </w:r>
      <w:r w:rsidR="00594594" w:rsidRPr="00C71B22">
        <w:rPr>
          <w:rFonts w:hAnsi="標楷體" w:hint="eastAsia"/>
          <w:color w:val="000000" w:themeColor="text1"/>
        </w:rPr>
        <w:t>亦</w:t>
      </w:r>
      <w:r w:rsidR="004219D6" w:rsidRPr="00C71B22">
        <w:rPr>
          <w:rFonts w:hAnsi="標楷體" w:hint="eastAsia"/>
          <w:color w:val="000000" w:themeColor="text1"/>
        </w:rPr>
        <w:t>無該會所稱僭越行政法院職權</w:t>
      </w:r>
      <w:r w:rsidR="00F6723E" w:rsidRPr="00C71B22">
        <w:rPr>
          <w:rFonts w:hAnsi="標楷體" w:hint="eastAsia"/>
          <w:color w:val="000000" w:themeColor="text1"/>
        </w:rPr>
        <w:t>問題</w:t>
      </w:r>
      <w:r w:rsidR="008351EB" w:rsidRPr="00C71B22">
        <w:rPr>
          <w:rFonts w:hAnsi="標楷體" w:hint="eastAsia"/>
          <w:color w:val="000000" w:themeColor="text1"/>
        </w:rPr>
        <w:t>。</w:t>
      </w:r>
    </w:p>
    <w:p w:rsidR="00261A64" w:rsidRPr="00C71B22" w:rsidRDefault="008837B0" w:rsidP="0074046D">
      <w:pPr>
        <w:pStyle w:val="4"/>
        <w:rPr>
          <w:rFonts w:hAnsi="標楷體"/>
          <w:color w:val="000000" w:themeColor="text1"/>
        </w:rPr>
      </w:pPr>
      <w:r w:rsidRPr="00C71B22">
        <w:rPr>
          <w:rFonts w:hAnsi="標楷體" w:hint="eastAsia"/>
          <w:color w:val="000000" w:themeColor="text1"/>
        </w:rPr>
        <w:t>年金改革實施後</w:t>
      </w:r>
      <w:r w:rsidRPr="00C71B22">
        <w:rPr>
          <w:rFonts w:ascii="新細明體" w:eastAsia="新細明體" w:hAnsi="新細明體" w:hint="eastAsia"/>
          <w:color w:val="000000" w:themeColor="text1"/>
        </w:rPr>
        <w:t>，</w:t>
      </w:r>
      <w:r w:rsidR="00BD5D9A" w:rsidRPr="00C71B22">
        <w:rPr>
          <w:rFonts w:hAnsi="標楷體" w:hint="eastAsia"/>
          <w:color w:val="000000" w:themeColor="text1"/>
        </w:rPr>
        <w:t>復審決定機關</w:t>
      </w:r>
      <w:r w:rsidR="000E16DC" w:rsidRPr="00C71B22">
        <w:rPr>
          <w:rFonts w:hAnsi="標楷體" w:hint="eastAsia"/>
          <w:color w:val="000000" w:themeColor="text1"/>
        </w:rPr>
        <w:t>案件量大，職務繁重</w:t>
      </w:r>
      <w:r w:rsidR="000E16DC" w:rsidRPr="00C71B22">
        <w:rPr>
          <w:rFonts w:ascii="新細明體" w:eastAsia="新細明體" w:hAnsi="新細明體" w:hint="eastAsia"/>
          <w:color w:val="000000" w:themeColor="text1"/>
        </w:rPr>
        <w:t>，</w:t>
      </w:r>
      <w:r w:rsidR="000E16DC" w:rsidRPr="00C71B22">
        <w:rPr>
          <w:rFonts w:hAnsi="標楷體" w:hint="eastAsia"/>
          <w:color w:val="000000" w:themeColor="text1"/>
        </w:rPr>
        <w:t>固為實情</w:t>
      </w:r>
      <w:r w:rsidR="004219D6" w:rsidRPr="00C71B22">
        <w:rPr>
          <w:rFonts w:hAnsi="標楷體" w:hint="eastAsia"/>
          <w:color w:val="000000" w:themeColor="text1"/>
        </w:rPr>
        <w:t>，惟公務人員係因年金改革被迫重新審定退休所得，因</w:t>
      </w:r>
      <w:r w:rsidR="00594594" w:rsidRPr="00C71B22">
        <w:rPr>
          <w:rFonts w:hAnsi="標楷體" w:hint="eastAsia"/>
          <w:color w:val="000000" w:themeColor="text1"/>
        </w:rPr>
        <w:t>認</w:t>
      </w:r>
      <w:r w:rsidR="000E16DC" w:rsidRPr="00C71B22">
        <w:rPr>
          <w:rFonts w:hAnsi="標楷體" w:hint="eastAsia"/>
          <w:color w:val="000000" w:themeColor="text1"/>
        </w:rPr>
        <w:t>損</w:t>
      </w:r>
      <w:r w:rsidR="00594594" w:rsidRPr="00C71B22">
        <w:rPr>
          <w:rFonts w:hAnsi="標楷體" w:hint="eastAsia"/>
          <w:color w:val="000000" w:themeColor="text1"/>
        </w:rPr>
        <w:t>及</w:t>
      </w:r>
      <w:r w:rsidR="000E16DC" w:rsidRPr="00C71B22">
        <w:rPr>
          <w:rFonts w:hAnsi="標楷體" w:hint="eastAsia"/>
          <w:color w:val="000000" w:themeColor="text1"/>
        </w:rPr>
        <w:t>權益，</w:t>
      </w:r>
      <w:r w:rsidR="00594594" w:rsidRPr="00C71B22">
        <w:rPr>
          <w:rFonts w:hAnsi="標楷體" w:hint="eastAsia"/>
          <w:color w:val="000000" w:themeColor="text1"/>
        </w:rPr>
        <w:t>而</w:t>
      </w:r>
      <w:r w:rsidR="002B3DBA" w:rsidRPr="00C71B22">
        <w:rPr>
          <w:rFonts w:hAnsi="標楷體" w:hint="eastAsia"/>
          <w:color w:val="000000" w:themeColor="text1"/>
        </w:rPr>
        <w:t>依法尋求救濟，</w:t>
      </w:r>
      <w:r w:rsidR="00594594" w:rsidRPr="00C71B22">
        <w:rPr>
          <w:rFonts w:hAnsi="標楷體" w:hint="eastAsia"/>
          <w:color w:val="000000" w:themeColor="text1"/>
        </w:rPr>
        <w:t>尚</w:t>
      </w:r>
      <w:r w:rsidR="002B3DBA" w:rsidRPr="00C71B22">
        <w:rPr>
          <w:rFonts w:hAnsi="標楷體" w:hint="eastAsia"/>
          <w:color w:val="000000" w:themeColor="text1"/>
        </w:rPr>
        <w:t>不宜逕</w:t>
      </w:r>
      <w:r w:rsidR="000E16DC" w:rsidRPr="00C71B22">
        <w:rPr>
          <w:rFonts w:hAnsi="標楷體" w:hint="eastAsia"/>
          <w:color w:val="000000" w:themeColor="text1"/>
        </w:rPr>
        <w:t>認</w:t>
      </w:r>
      <w:r w:rsidR="00BD5D9A" w:rsidRPr="00C71B22">
        <w:rPr>
          <w:rFonts w:hAnsi="標楷體" w:hint="eastAsia"/>
          <w:color w:val="000000" w:themeColor="text1"/>
        </w:rPr>
        <w:t>此類案件</w:t>
      </w:r>
      <w:r w:rsidR="000E16DC" w:rsidRPr="00C71B22">
        <w:rPr>
          <w:rFonts w:hAnsi="標楷體" w:hint="eastAsia"/>
          <w:color w:val="000000" w:themeColor="text1"/>
        </w:rPr>
        <w:t>有濫訴之虞</w:t>
      </w:r>
      <w:r w:rsidR="00391074" w:rsidRPr="00C71B22">
        <w:rPr>
          <w:rFonts w:hAnsi="標楷體" w:hint="eastAsia"/>
          <w:color w:val="000000" w:themeColor="text1"/>
        </w:rPr>
        <w:t>。保訓會於本院詢問時</w:t>
      </w:r>
      <w:r w:rsidR="00742AAD" w:rsidRPr="00C71B22">
        <w:rPr>
          <w:rFonts w:ascii="新細明體" w:eastAsia="新細明體" w:hAnsi="新細明體" w:hint="eastAsia"/>
          <w:color w:val="000000" w:themeColor="text1"/>
        </w:rPr>
        <w:t>，</w:t>
      </w:r>
      <w:r w:rsidR="00742AAD" w:rsidRPr="00C71B22">
        <w:rPr>
          <w:rFonts w:hAnsi="標楷體" w:hint="eastAsia"/>
          <w:color w:val="000000" w:themeColor="text1"/>
        </w:rPr>
        <w:t>雖</w:t>
      </w:r>
      <w:r w:rsidRPr="00C71B22">
        <w:rPr>
          <w:rFonts w:hAnsi="標楷體" w:hint="eastAsia"/>
          <w:color w:val="000000" w:themeColor="text1"/>
        </w:rPr>
        <w:t>認</w:t>
      </w:r>
      <w:r w:rsidR="00742AAD" w:rsidRPr="00C71B22">
        <w:rPr>
          <w:rFonts w:hAnsi="標楷體" w:hint="eastAsia"/>
          <w:color w:val="000000" w:themeColor="text1"/>
        </w:rPr>
        <w:t>同</w:t>
      </w:r>
      <w:r w:rsidR="00261A64" w:rsidRPr="00C71B22">
        <w:rPr>
          <w:rFonts w:hAnsi="標楷體" w:hint="eastAsia"/>
          <w:color w:val="000000" w:themeColor="text1"/>
        </w:rPr>
        <w:t>最高行政法院1</w:t>
      </w:r>
      <w:r w:rsidR="00261A64" w:rsidRPr="00C71B22">
        <w:rPr>
          <w:rFonts w:hAnsi="標楷體"/>
          <w:color w:val="000000" w:themeColor="text1"/>
        </w:rPr>
        <w:t>08</w:t>
      </w:r>
      <w:r w:rsidR="00261A64" w:rsidRPr="00C71B22">
        <w:rPr>
          <w:rFonts w:hAnsi="標楷體" w:hint="eastAsia"/>
          <w:color w:val="000000" w:themeColor="text1"/>
        </w:rPr>
        <w:t>年度裁字第858</w:t>
      </w:r>
      <w:r w:rsidR="00391074" w:rsidRPr="00C71B22">
        <w:rPr>
          <w:rFonts w:hAnsi="標楷體" w:hint="eastAsia"/>
          <w:color w:val="000000" w:themeColor="text1"/>
        </w:rPr>
        <w:t>號裁定</w:t>
      </w:r>
      <w:r w:rsidR="00762DC9" w:rsidRPr="00C71B22">
        <w:rPr>
          <w:rFonts w:hAnsi="標楷體" w:hint="eastAsia"/>
          <w:color w:val="000000" w:themeColor="text1"/>
        </w:rPr>
        <w:t>有關</w:t>
      </w:r>
      <w:r w:rsidR="002B3DBA" w:rsidRPr="00C71B22">
        <w:rPr>
          <w:rFonts w:hAnsi="標楷體" w:hint="eastAsia"/>
          <w:color w:val="000000" w:themeColor="text1"/>
        </w:rPr>
        <w:t>行政訴訟法第15條之1</w:t>
      </w:r>
      <w:r w:rsidR="00742AAD" w:rsidRPr="00C71B22">
        <w:rPr>
          <w:rFonts w:hAnsi="標楷體" w:hint="eastAsia"/>
          <w:color w:val="000000" w:themeColor="text1"/>
        </w:rPr>
        <w:t>之</w:t>
      </w:r>
      <w:r w:rsidR="00261A64" w:rsidRPr="00C71B22">
        <w:rPr>
          <w:rFonts w:hAnsi="標楷體" w:hint="eastAsia"/>
          <w:color w:val="000000" w:themeColor="text1"/>
        </w:rPr>
        <w:t>見解，</w:t>
      </w:r>
      <w:r w:rsidR="00BB1169" w:rsidRPr="00C71B22">
        <w:rPr>
          <w:rFonts w:hAnsi="標楷體" w:hint="eastAsia"/>
          <w:color w:val="000000" w:themeColor="text1"/>
        </w:rPr>
        <w:t>惟</w:t>
      </w:r>
      <w:r w:rsidR="00762DC9" w:rsidRPr="00C71B22">
        <w:rPr>
          <w:rFonts w:hAnsi="標楷體" w:hint="eastAsia"/>
          <w:color w:val="000000" w:themeColor="text1"/>
        </w:rPr>
        <w:t>又</w:t>
      </w:r>
      <w:r w:rsidR="00742AAD" w:rsidRPr="00C71B22">
        <w:rPr>
          <w:rFonts w:hAnsi="標楷體" w:hint="eastAsia"/>
          <w:color w:val="000000" w:themeColor="text1"/>
        </w:rPr>
        <w:t>稱</w:t>
      </w:r>
      <w:r w:rsidR="00594594" w:rsidRPr="00C71B22">
        <w:rPr>
          <w:rFonts w:ascii="新細明體" w:eastAsia="新細明體" w:hAnsi="新細明體" w:hint="eastAsia"/>
          <w:color w:val="000000" w:themeColor="text1"/>
        </w:rPr>
        <w:t>：</w:t>
      </w:r>
      <w:r w:rsidR="00742AAD" w:rsidRPr="00C71B22">
        <w:rPr>
          <w:rFonts w:hAnsi="標楷體" w:hint="eastAsia"/>
          <w:color w:val="000000" w:themeColor="text1"/>
        </w:rPr>
        <w:t>各訴願機關尚無一致作法，如有共識，該會將</w:t>
      </w:r>
      <w:r w:rsidR="00414B7F" w:rsidRPr="00C71B22">
        <w:rPr>
          <w:rFonts w:hAnsi="標楷體" w:hint="eastAsia"/>
          <w:color w:val="000000" w:themeColor="text1"/>
        </w:rPr>
        <w:t>提該會委員會討論</w:t>
      </w:r>
      <w:r w:rsidR="00183AEA" w:rsidRPr="00C71B22">
        <w:rPr>
          <w:rFonts w:hAnsi="標楷體" w:hint="eastAsia"/>
          <w:color w:val="000000" w:themeColor="text1"/>
        </w:rPr>
        <w:t>等語</w:t>
      </w:r>
      <w:r w:rsidR="002B3DBA" w:rsidRPr="00C71B22">
        <w:rPr>
          <w:rFonts w:hAnsi="標楷體" w:hint="eastAsia"/>
          <w:color w:val="000000" w:themeColor="text1"/>
        </w:rPr>
        <w:t>。為免爾後再生類似爭議，</w:t>
      </w:r>
      <w:r w:rsidR="00BB1169" w:rsidRPr="00C71B22">
        <w:rPr>
          <w:rFonts w:hAnsi="標楷體" w:hint="eastAsia"/>
          <w:color w:val="000000" w:themeColor="text1"/>
        </w:rPr>
        <w:t>仍</w:t>
      </w:r>
      <w:r w:rsidRPr="00C71B22">
        <w:rPr>
          <w:rFonts w:hAnsi="標楷體" w:hint="eastAsia"/>
          <w:color w:val="000000" w:themeColor="text1"/>
        </w:rPr>
        <w:t>應</w:t>
      </w:r>
      <w:r w:rsidR="00BB1169" w:rsidRPr="00C71B22">
        <w:rPr>
          <w:rFonts w:hAnsi="標楷體" w:hint="eastAsia"/>
          <w:color w:val="000000" w:themeColor="text1"/>
        </w:rPr>
        <w:t>請</w:t>
      </w:r>
      <w:r w:rsidR="00742AAD" w:rsidRPr="00C71B22">
        <w:rPr>
          <w:rFonts w:hAnsi="標楷體" w:hint="eastAsia"/>
          <w:color w:val="000000" w:themeColor="text1"/>
        </w:rPr>
        <w:t>保訓</w:t>
      </w:r>
      <w:r w:rsidR="00BB1169" w:rsidRPr="00C71B22">
        <w:rPr>
          <w:rFonts w:hAnsi="標楷體" w:hint="eastAsia"/>
          <w:color w:val="000000" w:themeColor="text1"/>
        </w:rPr>
        <w:t>會</w:t>
      </w:r>
      <w:r w:rsidR="00261A64" w:rsidRPr="00C71B22">
        <w:rPr>
          <w:rFonts w:hAnsi="標楷體" w:hint="eastAsia"/>
          <w:color w:val="000000" w:themeColor="text1"/>
        </w:rPr>
        <w:t>本於</w:t>
      </w:r>
      <w:r w:rsidR="00742AAD" w:rsidRPr="00C71B22">
        <w:rPr>
          <w:rFonts w:hAnsi="標楷體" w:hint="eastAsia"/>
          <w:color w:val="000000" w:themeColor="text1"/>
        </w:rPr>
        <w:t>行政訴訟法修法增訂第15條之1</w:t>
      </w:r>
      <w:r w:rsidR="00594594" w:rsidRPr="00C71B22">
        <w:rPr>
          <w:rFonts w:hAnsi="標楷體" w:hint="eastAsia"/>
          <w:color w:val="000000" w:themeColor="text1"/>
        </w:rPr>
        <w:t>立法意旨</w:t>
      </w:r>
      <w:r w:rsidR="00594594" w:rsidRPr="00C71B22">
        <w:rPr>
          <w:rFonts w:ascii="新細明體" w:eastAsia="新細明體" w:hAnsi="新細明體" w:hint="eastAsia"/>
          <w:color w:val="000000" w:themeColor="text1"/>
        </w:rPr>
        <w:t>，</w:t>
      </w:r>
      <w:r w:rsidR="00183AEA" w:rsidRPr="00C71B22">
        <w:rPr>
          <w:rFonts w:hAnsi="標楷體" w:hint="eastAsia"/>
          <w:color w:val="000000" w:themeColor="text1"/>
        </w:rPr>
        <w:t>積極</w:t>
      </w:r>
      <w:r w:rsidR="00261A64" w:rsidRPr="00C71B22">
        <w:rPr>
          <w:rFonts w:hAnsi="標楷體" w:hint="eastAsia"/>
          <w:color w:val="000000" w:themeColor="text1"/>
        </w:rPr>
        <w:t>研議</w:t>
      </w:r>
      <w:r w:rsidR="00594594" w:rsidRPr="00C71B22">
        <w:rPr>
          <w:rFonts w:hAnsi="標楷體" w:hint="eastAsia"/>
          <w:color w:val="000000" w:themeColor="text1"/>
        </w:rPr>
        <w:t>復審決定書如何教示訴訟管轄法院</w:t>
      </w:r>
      <w:r w:rsidR="00742AAD" w:rsidRPr="00C71B22">
        <w:rPr>
          <w:rFonts w:hAnsi="標楷體" w:hint="eastAsia"/>
          <w:color w:val="000000" w:themeColor="text1"/>
        </w:rPr>
        <w:t>為宜</w:t>
      </w:r>
      <w:r w:rsidR="00261A64" w:rsidRPr="00C71B22">
        <w:rPr>
          <w:rFonts w:hAnsi="標楷體" w:hint="eastAsia"/>
          <w:color w:val="000000" w:themeColor="text1"/>
        </w:rPr>
        <w:t>。</w:t>
      </w:r>
    </w:p>
    <w:p w:rsidR="00261A64" w:rsidRPr="00C71B22" w:rsidRDefault="00261A64" w:rsidP="00261A64">
      <w:pPr>
        <w:pStyle w:val="3"/>
        <w:rPr>
          <w:rFonts w:hAnsi="標楷體"/>
          <w:color w:val="000000" w:themeColor="text1"/>
        </w:rPr>
      </w:pPr>
      <w:r w:rsidRPr="00C71B22">
        <w:rPr>
          <w:rFonts w:hAnsi="標楷體" w:hint="eastAsia"/>
          <w:color w:val="000000" w:themeColor="text1"/>
        </w:rPr>
        <w:t>綜上，</w:t>
      </w:r>
      <w:r w:rsidR="00047EE6" w:rsidRPr="00C71B22">
        <w:rPr>
          <w:rFonts w:hAnsi="標楷體" w:hint="eastAsia"/>
          <w:color w:val="000000" w:themeColor="text1"/>
        </w:rPr>
        <w:t>年金改革實施後，「公務人員」退休所得重新審定事件，保訓會率認退休公務人員與原服務機關間已無職務關係，</w:t>
      </w:r>
      <w:r w:rsidR="00801B20" w:rsidRPr="00C71B22">
        <w:rPr>
          <w:rFonts w:hAnsi="標楷體" w:hint="eastAsia"/>
          <w:color w:val="000000" w:themeColor="text1"/>
        </w:rPr>
        <w:t>爰</w:t>
      </w:r>
      <w:r w:rsidR="00047EE6" w:rsidRPr="00C71B22">
        <w:rPr>
          <w:rFonts w:hAnsi="標楷體" w:hint="eastAsia"/>
          <w:color w:val="000000" w:themeColor="text1"/>
        </w:rPr>
        <w:t>復審決定書有關訴訟管轄法院之救濟教示，僅依同法第13條第1項「以原就被」原則，單一附記以原處分機關銓敘部所在地之臺北高等行政法院為訴訟管轄法院，核與行政訴訟法為便利「民告官」，併採「以被就原」原則</w:t>
      </w:r>
      <w:r w:rsidR="00095988" w:rsidRPr="00C71B22">
        <w:rPr>
          <w:rFonts w:ascii="新細明體" w:eastAsia="新細明體" w:hAnsi="新細明體" w:hint="eastAsia"/>
          <w:color w:val="000000" w:themeColor="text1"/>
        </w:rPr>
        <w:t>，</w:t>
      </w:r>
      <w:r w:rsidR="00047EE6" w:rsidRPr="00C71B22">
        <w:rPr>
          <w:rFonts w:hAnsi="標楷體" w:hint="eastAsia"/>
          <w:color w:val="000000" w:themeColor="text1"/>
        </w:rPr>
        <w:t>修法增訂第15條之1明定得由「公務員職務關係所在地」之行政法院管轄，使其得以就近尋求司法救濟</w:t>
      </w:r>
      <w:r w:rsidR="00801B20" w:rsidRPr="00C71B22">
        <w:rPr>
          <w:rFonts w:ascii="新細明體" w:eastAsia="新細明體" w:hAnsi="新細明體" w:hint="eastAsia"/>
          <w:color w:val="000000" w:themeColor="text1"/>
        </w:rPr>
        <w:t>，</w:t>
      </w:r>
      <w:r w:rsidR="00801B20" w:rsidRPr="00C71B22">
        <w:rPr>
          <w:rFonts w:hAnsi="標楷體" w:hint="eastAsia"/>
          <w:color w:val="000000" w:themeColor="text1"/>
        </w:rPr>
        <w:t>以充分保</w:t>
      </w:r>
      <w:r w:rsidR="00801B20" w:rsidRPr="00C71B22">
        <w:rPr>
          <w:rFonts w:hAnsi="標楷體" w:hint="eastAsia"/>
          <w:color w:val="000000" w:themeColor="text1"/>
        </w:rPr>
        <w:lastRenderedPageBreak/>
        <w:t>障人民訴訟權</w:t>
      </w:r>
      <w:r w:rsidR="00047EE6" w:rsidRPr="00C71B22">
        <w:rPr>
          <w:rFonts w:hAnsi="標楷體" w:hint="eastAsia"/>
          <w:color w:val="000000" w:themeColor="text1"/>
        </w:rPr>
        <w:t>之立法意</w:t>
      </w:r>
      <w:r w:rsidR="00801B20" w:rsidRPr="00C71B22">
        <w:rPr>
          <w:rFonts w:hAnsi="標楷體" w:hint="eastAsia"/>
          <w:color w:val="000000" w:themeColor="text1"/>
        </w:rPr>
        <w:t>旨</w:t>
      </w:r>
      <w:r w:rsidR="00095988" w:rsidRPr="00C71B22">
        <w:rPr>
          <w:rFonts w:ascii="新細明體" w:eastAsia="新細明體" w:hAnsi="新細明體" w:hint="eastAsia"/>
          <w:color w:val="000000" w:themeColor="text1"/>
        </w:rPr>
        <w:t>，</w:t>
      </w:r>
      <w:r w:rsidR="00047EE6" w:rsidRPr="00C71B22">
        <w:rPr>
          <w:rFonts w:hAnsi="標楷體" w:hint="eastAsia"/>
          <w:color w:val="000000" w:themeColor="text1"/>
        </w:rPr>
        <w:t>有所未合，宜請考試院督促所屬確實檢討，以免爾後再生類此爭議，肇生民怨。</w:t>
      </w:r>
    </w:p>
    <w:p w:rsidR="00030C8B" w:rsidRPr="00C71B22" w:rsidRDefault="00F349D2" w:rsidP="00261A64">
      <w:pPr>
        <w:pStyle w:val="2"/>
        <w:rPr>
          <w:rFonts w:hAnsi="標楷體"/>
          <w:b/>
          <w:color w:val="000000" w:themeColor="text1"/>
        </w:rPr>
      </w:pPr>
      <w:r w:rsidRPr="00C71B22">
        <w:rPr>
          <w:rFonts w:hAnsi="標楷體" w:hint="eastAsia"/>
          <w:b/>
          <w:color w:val="000000" w:themeColor="text1"/>
        </w:rPr>
        <w:t>年金改革實施後，</w:t>
      </w:r>
      <w:r w:rsidR="008770BD" w:rsidRPr="00C71B22">
        <w:rPr>
          <w:rFonts w:hAnsi="標楷體" w:hint="eastAsia"/>
          <w:b/>
          <w:color w:val="000000" w:themeColor="text1"/>
        </w:rPr>
        <w:t>「軍、教人員</w:t>
      </w:r>
      <w:r w:rsidR="002F5450" w:rsidRPr="00C71B22">
        <w:rPr>
          <w:rFonts w:hAnsi="標楷體" w:hint="eastAsia"/>
          <w:b/>
          <w:color w:val="000000" w:themeColor="text1"/>
        </w:rPr>
        <w:t>」</w:t>
      </w:r>
      <w:r w:rsidR="008770BD" w:rsidRPr="00C71B22">
        <w:rPr>
          <w:rFonts w:hAnsi="標楷體" w:hint="eastAsia"/>
          <w:b/>
          <w:color w:val="000000" w:themeColor="text1"/>
        </w:rPr>
        <w:t>重新審定退休所得事件，行政院暨國防</w:t>
      </w:r>
      <w:r w:rsidR="00FB76B9" w:rsidRPr="00C71B22">
        <w:rPr>
          <w:rFonts w:hAnsi="標楷體" w:hint="eastAsia"/>
          <w:b/>
          <w:color w:val="000000" w:themeColor="text1"/>
        </w:rPr>
        <w:t>部</w:t>
      </w:r>
      <w:r w:rsidR="00722F9C" w:rsidRPr="00C71B22">
        <w:rPr>
          <w:rFonts w:hAnsi="標楷體" w:hint="eastAsia"/>
          <w:b/>
          <w:color w:val="000000" w:themeColor="text1"/>
        </w:rPr>
        <w:t>等訴願</w:t>
      </w:r>
      <w:r w:rsidR="00335272" w:rsidRPr="00C71B22">
        <w:rPr>
          <w:rFonts w:hAnsi="標楷體" w:hint="eastAsia"/>
          <w:b/>
          <w:color w:val="000000" w:themeColor="text1"/>
        </w:rPr>
        <w:t>機關，率以「軍、教人員」與「公務人員」之身分</w:t>
      </w:r>
      <w:r w:rsidR="008770BD" w:rsidRPr="00C71B22">
        <w:rPr>
          <w:rFonts w:hAnsi="標楷體" w:hint="eastAsia"/>
          <w:b/>
          <w:color w:val="000000" w:themeColor="text1"/>
        </w:rPr>
        <w:t>不同</w:t>
      </w:r>
      <w:r w:rsidR="00EA0CF1" w:rsidRPr="00C71B22">
        <w:rPr>
          <w:rFonts w:hAnsi="標楷體" w:hint="eastAsia"/>
          <w:b/>
          <w:color w:val="000000" w:themeColor="text1"/>
        </w:rPr>
        <w:t>及</w:t>
      </w:r>
      <w:r w:rsidR="008770BD" w:rsidRPr="00C71B22">
        <w:rPr>
          <w:rFonts w:hAnsi="標楷體" w:hint="eastAsia"/>
          <w:b/>
          <w:color w:val="000000" w:themeColor="text1"/>
        </w:rPr>
        <w:t>救濟途徑有別，</w:t>
      </w:r>
      <w:r w:rsidR="003F4399" w:rsidRPr="00C71B22">
        <w:rPr>
          <w:rFonts w:hAnsi="標楷體" w:hint="eastAsia"/>
          <w:b/>
          <w:color w:val="000000" w:themeColor="text1"/>
        </w:rPr>
        <w:t>狹隘認</w:t>
      </w:r>
      <w:r w:rsidR="00EA3802" w:rsidRPr="00C71B22">
        <w:rPr>
          <w:rFonts w:hAnsi="標楷體" w:hint="eastAsia"/>
          <w:b/>
          <w:color w:val="000000" w:themeColor="text1"/>
        </w:rPr>
        <w:t>定</w:t>
      </w:r>
      <w:r w:rsidR="00E232D9" w:rsidRPr="00C71B22">
        <w:rPr>
          <w:rFonts w:hAnsi="標楷體" w:hint="eastAsia"/>
          <w:b/>
          <w:color w:val="000000" w:themeColor="text1"/>
        </w:rPr>
        <w:t>非屬</w:t>
      </w:r>
      <w:r w:rsidR="000E16DC" w:rsidRPr="00C71B22">
        <w:rPr>
          <w:rFonts w:hAnsi="標楷體" w:hint="eastAsia"/>
          <w:b/>
          <w:color w:val="000000" w:themeColor="text1"/>
        </w:rPr>
        <w:t>行政訴訟法</w:t>
      </w:r>
      <w:r w:rsidR="002F5450" w:rsidRPr="00C71B22">
        <w:rPr>
          <w:rFonts w:hAnsi="標楷體" w:hint="eastAsia"/>
          <w:b/>
          <w:color w:val="000000" w:themeColor="text1"/>
        </w:rPr>
        <w:t>第15條之1</w:t>
      </w:r>
      <w:r w:rsidR="00F677EF" w:rsidRPr="00C71B22">
        <w:rPr>
          <w:rFonts w:hAnsi="標楷體" w:hint="eastAsia"/>
          <w:b/>
          <w:color w:val="000000" w:themeColor="text1"/>
        </w:rPr>
        <w:t>之</w:t>
      </w:r>
      <w:r w:rsidR="002F5450" w:rsidRPr="00C71B22">
        <w:rPr>
          <w:rFonts w:hAnsi="標楷體" w:hint="eastAsia"/>
          <w:b/>
          <w:color w:val="000000" w:themeColor="text1"/>
        </w:rPr>
        <w:t>「公務員</w:t>
      </w:r>
      <w:r w:rsidR="00F677EF" w:rsidRPr="00C71B22">
        <w:rPr>
          <w:rFonts w:hAnsi="標楷體" w:hint="eastAsia"/>
          <w:b/>
          <w:color w:val="000000" w:themeColor="text1"/>
        </w:rPr>
        <w:t>」</w:t>
      </w:r>
      <w:r w:rsidR="00522B8A" w:rsidRPr="00C71B22">
        <w:rPr>
          <w:rFonts w:hAnsi="標楷體" w:hint="eastAsia"/>
          <w:b/>
          <w:color w:val="000000" w:themeColor="text1"/>
        </w:rPr>
        <w:t>，進</w:t>
      </w:r>
      <w:r w:rsidR="00DC2234" w:rsidRPr="00C71B22">
        <w:rPr>
          <w:rFonts w:hAnsi="標楷體" w:hint="eastAsia"/>
          <w:b/>
          <w:color w:val="000000" w:themeColor="text1"/>
        </w:rPr>
        <w:t>而</w:t>
      </w:r>
      <w:r w:rsidR="00522B8A" w:rsidRPr="00C71B22">
        <w:rPr>
          <w:rFonts w:hAnsi="標楷體" w:hint="eastAsia"/>
          <w:b/>
          <w:color w:val="000000" w:themeColor="text1"/>
        </w:rPr>
        <w:t>解讀</w:t>
      </w:r>
      <w:r w:rsidR="009B5F76" w:rsidRPr="00C71B22">
        <w:rPr>
          <w:rFonts w:hAnsi="標楷體" w:hint="eastAsia"/>
          <w:b/>
          <w:color w:val="000000" w:themeColor="text1"/>
        </w:rPr>
        <w:t>並</w:t>
      </w:r>
      <w:r w:rsidR="003E0DC1" w:rsidRPr="00C71B22">
        <w:rPr>
          <w:rFonts w:hAnsi="標楷體" w:hint="eastAsia"/>
          <w:b/>
          <w:color w:val="000000" w:themeColor="text1"/>
        </w:rPr>
        <w:t>無該條「公務員職務</w:t>
      </w:r>
      <w:r w:rsidR="00F677EF" w:rsidRPr="00C71B22">
        <w:rPr>
          <w:rFonts w:hAnsi="標楷體" w:hint="eastAsia"/>
          <w:b/>
          <w:color w:val="000000" w:themeColor="text1"/>
        </w:rPr>
        <w:t>所在地</w:t>
      </w:r>
      <w:r w:rsidR="003E0DC1" w:rsidRPr="00C71B22">
        <w:rPr>
          <w:rFonts w:hAnsi="標楷體" w:hint="eastAsia"/>
          <w:b/>
          <w:color w:val="000000" w:themeColor="text1"/>
        </w:rPr>
        <w:t>」之行政法院管轄</w:t>
      </w:r>
      <w:r w:rsidR="00F677EF" w:rsidRPr="00C71B22">
        <w:rPr>
          <w:rFonts w:hAnsi="標楷體" w:hint="eastAsia"/>
          <w:b/>
          <w:color w:val="000000" w:themeColor="text1"/>
        </w:rPr>
        <w:t>之適用</w:t>
      </w:r>
      <w:r w:rsidR="005C5C1B" w:rsidRPr="00C71B22">
        <w:rPr>
          <w:rFonts w:hAnsi="標楷體" w:hint="eastAsia"/>
          <w:b/>
          <w:color w:val="000000" w:themeColor="text1"/>
        </w:rPr>
        <w:t>，</w:t>
      </w:r>
      <w:r w:rsidR="002F5450" w:rsidRPr="00C71B22">
        <w:rPr>
          <w:rFonts w:hAnsi="標楷體" w:hint="eastAsia"/>
          <w:b/>
          <w:color w:val="000000" w:themeColor="text1"/>
        </w:rPr>
        <w:t>僅依行政訴訟法第</w:t>
      </w:r>
      <w:r w:rsidR="00E0102C" w:rsidRPr="00C71B22">
        <w:rPr>
          <w:rFonts w:hAnsi="標楷體" w:hint="eastAsia"/>
          <w:b/>
          <w:color w:val="000000" w:themeColor="text1"/>
        </w:rPr>
        <w:t>13條第1</w:t>
      </w:r>
      <w:r w:rsidR="00335272" w:rsidRPr="00C71B22">
        <w:rPr>
          <w:rFonts w:hAnsi="標楷體" w:hint="eastAsia"/>
          <w:b/>
          <w:color w:val="000000" w:themeColor="text1"/>
        </w:rPr>
        <w:t>項「以原就被」原則</w:t>
      </w:r>
      <w:r w:rsidR="00EA3802" w:rsidRPr="00C71B22">
        <w:rPr>
          <w:rFonts w:hAnsi="標楷體" w:hint="eastAsia"/>
          <w:b/>
          <w:color w:val="000000" w:themeColor="text1"/>
        </w:rPr>
        <w:t>單一</w:t>
      </w:r>
      <w:r w:rsidR="00335272" w:rsidRPr="00C71B22">
        <w:rPr>
          <w:rFonts w:hAnsi="標楷體" w:hint="eastAsia"/>
          <w:b/>
          <w:color w:val="000000" w:themeColor="text1"/>
        </w:rPr>
        <w:t>教示</w:t>
      </w:r>
      <w:r w:rsidR="00522B8A" w:rsidRPr="00C71B22">
        <w:rPr>
          <w:rFonts w:hAnsi="標楷體" w:hint="eastAsia"/>
          <w:b/>
          <w:color w:val="000000" w:themeColor="text1"/>
        </w:rPr>
        <w:t>管轄</w:t>
      </w:r>
      <w:r w:rsidR="00E0102C" w:rsidRPr="00C71B22">
        <w:rPr>
          <w:rFonts w:hAnsi="標楷體" w:hint="eastAsia"/>
          <w:b/>
          <w:color w:val="000000" w:themeColor="text1"/>
        </w:rPr>
        <w:t>法院，</w:t>
      </w:r>
      <w:r w:rsidR="00E76513" w:rsidRPr="00C71B22">
        <w:rPr>
          <w:rFonts w:hAnsi="標楷體" w:hint="eastAsia"/>
          <w:b/>
          <w:color w:val="000000" w:themeColor="text1"/>
        </w:rPr>
        <w:t>除</w:t>
      </w:r>
      <w:r w:rsidR="009B5F76" w:rsidRPr="00C71B22">
        <w:rPr>
          <w:rFonts w:hAnsi="標楷體" w:hint="eastAsia"/>
          <w:b/>
          <w:color w:val="000000" w:themeColor="text1"/>
        </w:rPr>
        <w:t>了</w:t>
      </w:r>
      <w:r w:rsidR="00E76513" w:rsidRPr="00C71B22">
        <w:rPr>
          <w:rFonts w:hAnsi="標楷體" w:hint="eastAsia"/>
          <w:b/>
          <w:color w:val="000000" w:themeColor="text1"/>
        </w:rPr>
        <w:t>地方政府重新審定教職人員退休所得事件，</w:t>
      </w:r>
      <w:r w:rsidR="00682FD1" w:rsidRPr="00C71B22">
        <w:rPr>
          <w:rFonts w:hAnsi="標楷體" w:hint="eastAsia"/>
          <w:b/>
          <w:color w:val="000000" w:themeColor="text1"/>
        </w:rPr>
        <w:t>因原處分</w:t>
      </w:r>
      <w:r w:rsidR="00E76513" w:rsidRPr="00C71B22">
        <w:rPr>
          <w:rFonts w:hAnsi="標楷體" w:hint="eastAsia"/>
          <w:b/>
          <w:color w:val="000000" w:themeColor="text1"/>
        </w:rPr>
        <w:t>機關</w:t>
      </w:r>
      <w:r w:rsidR="00682FD1" w:rsidRPr="00C71B22">
        <w:rPr>
          <w:rFonts w:hAnsi="標楷體" w:hint="eastAsia"/>
          <w:b/>
          <w:color w:val="000000" w:themeColor="text1"/>
        </w:rPr>
        <w:t>分散各地，而附記各地行政法院管轄外，其餘</w:t>
      </w:r>
      <w:r w:rsidR="00EA3802" w:rsidRPr="00C71B22">
        <w:rPr>
          <w:rFonts w:hAnsi="標楷體" w:hint="eastAsia"/>
          <w:b/>
          <w:color w:val="000000" w:themeColor="text1"/>
        </w:rPr>
        <w:t>軍</w:t>
      </w:r>
      <w:r w:rsidR="00EA3802" w:rsidRPr="00C71B22">
        <w:rPr>
          <w:rFonts w:ascii="新細明體" w:eastAsia="新細明體" w:hAnsi="新細明體" w:hint="eastAsia"/>
          <w:b/>
          <w:color w:val="000000" w:themeColor="text1"/>
        </w:rPr>
        <w:t>、</w:t>
      </w:r>
      <w:r w:rsidR="00EA3802" w:rsidRPr="00C71B22">
        <w:rPr>
          <w:rFonts w:hAnsi="標楷體" w:hint="eastAsia"/>
          <w:b/>
          <w:color w:val="000000" w:themeColor="text1"/>
        </w:rPr>
        <w:t>教人員</w:t>
      </w:r>
      <w:r w:rsidR="003E0DC1" w:rsidRPr="00C71B22">
        <w:rPr>
          <w:rFonts w:hAnsi="標楷體" w:hint="eastAsia"/>
          <w:b/>
          <w:color w:val="000000" w:themeColor="text1"/>
        </w:rPr>
        <w:t>重新審定退休所得事件，仍</w:t>
      </w:r>
      <w:r w:rsidR="00EA3802" w:rsidRPr="00C71B22">
        <w:rPr>
          <w:rFonts w:hAnsi="標楷體" w:hint="eastAsia"/>
          <w:b/>
          <w:color w:val="000000" w:themeColor="text1"/>
        </w:rPr>
        <w:t>單一</w:t>
      </w:r>
      <w:r w:rsidR="003E0DC1" w:rsidRPr="00C71B22">
        <w:rPr>
          <w:rFonts w:hAnsi="標楷體" w:hint="eastAsia"/>
          <w:b/>
          <w:color w:val="000000" w:themeColor="text1"/>
        </w:rPr>
        <w:t>教示</w:t>
      </w:r>
      <w:r w:rsidR="00E36C03" w:rsidRPr="00C71B22">
        <w:rPr>
          <w:rFonts w:hAnsi="標楷體" w:hint="eastAsia"/>
          <w:b/>
          <w:color w:val="000000" w:themeColor="text1"/>
        </w:rPr>
        <w:t>臺北高等行政法院管轄</w:t>
      </w:r>
      <w:r w:rsidR="00E36C03" w:rsidRPr="00C71B22">
        <w:rPr>
          <w:rFonts w:ascii="新細明體" w:eastAsia="新細明體" w:hAnsi="新細明體" w:hint="eastAsia"/>
          <w:b/>
          <w:color w:val="000000" w:themeColor="text1"/>
        </w:rPr>
        <w:t>，</w:t>
      </w:r>
      <w:r w:rsidR="003C71FB" w:rsidRPr="00C71B22">
        <w:rPr>
          <w:rFonts w:hAnsi="標楷體" w:hint="eastAsia"/>
          <w:b/>
          <w:color w:val="000000" w:themeColor="text1"/>
        </w:rPr>
        <w:t>核</w:t>
      </w:r>
      <w:r w:rsidR="00682FD1" w:rsidRPr="00C71B22">
        <w:rPr>
          <w:rFonts w:hAnsi="標楷體" w:hint="eastAsia"/>
          <w:b/>
          <w:color w:val="000000" w:themeColor="text1"/>
        </w:rPr>
        <w:t>與行政訴訟法為便利「民告官」</w:t>
      </w:r>
      <w:r w:rsidR="00335272" w:rsidRPr="00C71B22">
        <w:rPr>
          <w:rFonts w:ascii="新細明體" w:eastAsia="新細明體" w:hAnsi="新細明體" w:hint="eastAsia"/>
          <w:b/>
          <w:color w:val="000000" w:themeColor="text1"/>
        </w:rPr>
        <w:t>，</w:t>
      </w:r>
      <w:r w:rsidR="00D04734" w:rsidRPr="00C71B22">
        <w:rPr>
          <w:rFonts w:hAnsi="標楷體" w:hint="eastAsia"/>
          <w:b/>
          <w:color w:val="000000" w:themeColor="text1"/>
        </w:rPr>
        <w:t>修法</w:t>
      </w:r>
      <w:r w:rsidR="00F10495" w:rsidRPr="00C71B22">
        <w:rPr>
          <w:rFonts w:hAnsi="標楷體" w:hint="eastAsia"/>
          <w:b/>
          <w:color w:val="000000" w:themeColor="text1"/>
        </w:rPr>
        <w:t>併</w:t>
      </w:r>
      <w:r w:rsidR="003C71FB" w:rsidRPr="00C71B22">
        <w:rPr>
          <w:rFonts w:hAnsi="標楷體" w:hint="eastAsia"/>
          <w:b/>
          <w:color w:val="000000" w:themeColor="text1"/>
        </w:rPr>
        <w:t>採</w:t>
      </w:r>
      <w:r w:rsidR="00682FD1" w:rsidRPr="00C71B22">
        <w:rPr>
          <w:rFonts w:hAnsi="標楷體" w:hint="eastAsia"/>
          <w:b/>
          <w:color w:val="000000" w:themeColor="text1"/>
        </w:rPr>
        <w:t>「以被</w:t>
      </w:r>
      <w:r w:rsidR="00D04734" w:rsidRPr="00C71B22">
        <w:rPr>
          <w:rFonts w:hAnsi="標楷體" w:hint="eastAsia"/>
          <w:b/>
          <w:color w:val="000000" w:themeColor="text1"/>
        </w:rPr>
        <w:t>就原</w:t>
      </w:r>
      <w:r w:rsidR="00682FD1" w:rsidRPr="00C71B22">
        <w:rPr>
          <w:rFonts w:hAnsi="標楷體" w:hint="eastAsia"/>
          <w:b/>
          <w:color w:val="000000" w:themeColor="text1"/>
        </w:rPr>
        <w:t>」</w:t>
      </w:r>
      <w:r w:rsidR="00D04734" w:rsidRPr="00C71B22">
        <w:rPr>
          <w:rFonts w:hAnsi="標楷體" w:hint="eastAsia"/>
          <w:b/>
          <w:color w:val="000000" w:themeColor="text1"/>
        </w:rPr>
        <w:t>原則</w:t>
      </w:r>
      <w:r w:rsidR="00193E30" w:rsidRPr="00C71B22">
        <w:rPr>
          <w:rFonts w:hAnsi="標楷體" w:hint="eastAsia"/>
          <w:b/>
          <w:color w:val="000000" w:themeColor="text1"/>
        </w:rPr>
        <w:t>而</w:t>
      </w:r>
      <w:r w:rsidR="00682FD1" w:rsidRPr="00C71B22">
        <w:rPr>
          <w:rFonts w:hAnsi="標楷體" w:hint="eastAsia"/>
          <w:b/>
          <w:color w:val="000000" w:themeColor="text1"/>
        </w:rPr>
        <w:t>增訂第15條之1</w:t>
      </w:r>
      <w:r w:rsidR="00522B8A" w:rsidRPr="00C71B22">
        <w:rPr>
          <w:rFonts w:hAnsi="標楷體" w:hint="eastAsia"/>
          <w:b/>
          <w:color w:val="000000" w:themeColor="text1"/>
        </w:rPr>
        <w:t>規定</w:t>
      </w:r>
      <w:r w:rsidR="00EA3802" w:rsidRPr="00C71B22">
        <w:rPr>
          <w:rFonts w:hAnsi="標楷體" w:hint="eastAsia"/>
          <w:b/>
          <w:color w:val="000000" w:themeColor="text1"/>
        </w:rPr>
        <w:t>，</w:t>
      </w:r>
      <w:r w:rsidR="003E0DC1" w:rsidRPr="00C71B22">
        <w:rPr>
          <w:rFonts w:hAnsi="標楷體" w:hint="eastAsia"/>
          <w:b/>
          <w:color w:val="000000" w:themeColor="text1"/>
        </w:rPr>
        <w:t>便利人民</w:t>
      </w:r>
      <w:r w:rsidR="00F10495" w:rsidRPr="00C71B22">
        <w:rPr>
          <w:rFonts w:hAnsi="標楷體" w:hint="eastAsia"/>
          <w:b/>
          <w:color w:val="000000" w:themeColor="text1"/>
        </w:rPr>
        <w:t>就近尋求司法救濟</w:t>
      </w:r>
      <w:r w:rsidR="003E0DC1" w:rsidRPr="00C71B22">
        <w:rPr>
          <w:rFonts w:hAnsi="標楷體" w:hint="eastAsia"/>
          <w:b/>
          <w:color w:val="000000" w:themeColor="text1"/>
        </w:rPr>
        <w:t>，以充分保障人民訴訟權</w:t>
      </w:r>
      <w:r w:rsidR="003C71FB" w:rsidRPr="00C71B22">
        <w:rPr>
          <w:rFonts w:hAnsi="標楷體" w:hint="eastAsia"/>
          <w:b/>
          <w:color w:val="000000" w:themeColor="text1"/>
        </w:rPr>
        <w:t>之立法</w:t>
      </w:r>
      <w:r w:rsidR="00EA3802" w:rsidRPr="00C71B22">
        <w:rPr>
          <w:rFonts w:hAnsi="標楷體" w:hint="eastAsia"/>
          <w:b/>
          <w:color w:val="000000" w:themeColor="text1"/>
        </w:rPr>
        <w:t>意</w:t>
      </w:r>
      <w:r w:rsidR="003E0DC1" w:rsidRPr="00C71B22">
        <w:rPr>
          <w:rFonts w:hAnsi="標楷體" w:hint="eastAsia"/>
          <w:b/>
          <w:color w:val="000000" w:themeColor="text1"/>
        </w:rPr>
        <w:t>旨</w:t>
      </w:r>
      <w:r w:rsidR="00E36C03" w:rsidRPr="00C71B22">
        <w:rPr>
          <w:rFonts w:hAnsi="標楷體" w:hint="eastAsia"/>
          <w:b/>
          <w:color w:val="000000" w:themeColor="text1"/>
        </w:rPr>
        <w:t>，</w:t>
      </w:r>
      <w:r w:rsidR="005D4F2B" w:rsidRPr="00C71B22">
        <w:rPr>
          <w:rFonts w:hAnsi="標楷體" w:hint="eastAsia"/>
          <w:b/>
          <w:color w:val="000000" w:themeColor="text1"/>
        </w:rPr>
        <w:t>有</w:t>
      </w:r>
      <w:r w:rsidR="00EA0CF1" w:rsidRPr="00C71B22">
        <w:rPr>
          <w:rFonts w:hAnsi="標楷體" w:hint="eastAsia"/>
          <w:b/>
          <w:color w:val="000000" w:themeColor="text1"/>
        </w:rPr>
        <w:t>所</w:t>
      </w:r>
      <w:r w:rsidR="00D04734" w:rsidRPr="00C71B22">
        <w:rPr>
          <w:rFonts w:hAnsi="標楷體" w:hint="eastAsia"/>
          <w:b/>
          <w:color w:val="000000" w:themeColor="text1"/>
        </w:rPr>
        <w:t>未合，</w:t>
      </w:r>
      <w:r w:rsidR="00347B69" w:rsidRPr="00C71B22">
        <w:rPr>
          <w:rFonts w:hAnsi="標楷體" w:hint="eastAsia"/>
          <w:b/>
          <w:color w:val="000000" w:themeColor="text1"/>
        </w:rPr>
        <w:t>行政院允宜督促所屬確實檢討</w:t>
      </w:r>
      <w:r w:rsidR="00E36C03" w:rsidRPr="00C71B22">
        <w:rPr>
          <w:rFonts w:ascii="新細明體" w:eastAsia="新細明體" w:hAnsi="新細明體" w:hint="eastAsia"/>
          <w:b/>
          <w:color w:val="000000" w:themeColor="text1"/>
        </w:rPr>
        <w:t>，</w:t>
      </w:r>
      <w:r w:rsidR="00E36C03" w:rsidRPr="00C71B22">
        <w:rPr>
          <w:rFonts w:hAnsi="標楷體" w:hint="eastAsia"/>
          <w:b/>
          <w:color w:val="000000" w:themeColor="text1"/>
        </w:rPr>
        <w:t>以免爾後再生類此爭議</w:t>
      </w:r>
      <w:r w:rsidR="00F06A01" w:rsidRPr="00C71B22">
        <w:rPr>
          <w:rFonts w:ascii="新細明體" w:eastAsia="新細明體" w:hAnsi="新細明體" w:hint="eastAsia"/>
          <w:b/>
          <w:color w:val="000000" w:themeColor="text1"/>
        </w:rPr>
        <w:t>，</w:t>
      </w:r>
      <w:r w:rsidR="00F06A01" w:rsidRPr="00C71B22">
        <w:rPr>
          <w:rFonts w:hAnsi="標楷體" w:hint="eastAsia"/>
          <w:b/>
          <w:color w:val="000000" w:themeColor="text1"/>
        </w:rPr>
        <w:t>肇生民怨</w:t>
      </w:r>
      <w:r w:rsidR="00347B69" w:rsidRPr="00C71B22">
        <w:rPr>
          <w:rFonts w:hAnsi="標楷體" w:hint="eastAsia"/>
          <w:b/>
          <w:color w:val="000000" w:themeColor="text1"/>
        </w:rPr>
        <w:t>。</w:t>
      </w:r>
    </w:p>
    <w:p w:rsidR="00DB4D4D" w:rsidRPr="00C71B22" w:rsidRDefault="006C2A32" w:rsidP="003C71FB">
      <w:pPr>
        <w:pStyle w:val="3"/>
        <w:rPr>
          <w:color w:val="000000" w:themeColor="text1"/>
        </w:rPr>
      </w:pPr>
      <w:r w:rsidRPr="00C71B22">
        <w:rPr>
          <w:rFonts w:hint="eastAsia"/>
          <w:color w:val="000000" w:themeColor="text1"/>
        </w:rPr>
        <w:t>行政訴訟法</w:t>
      </w:r>
      <w:r w:rsidR="009D0AEB" w:rsidRPr="00C71B22">
        <w:rPr>
          <w:rFonts w:hint="eastAsia"/>
          <w:color w:val="000000" w:themeColor="text1"/>
        </w:rPr>
        <w:t>雖於</w:t>
      </w:r>
      <w:r w:rsidR="003C71FB" w:rsidRPr="00C71B22">
        <w:rPr>
          <w:rFonts w:hint="eastAsia"/>
          <w:color w:val="000000" w:themeColor="text1"/>
        </w:rPr>
        <w:t>第13條第1項規定：「對於公法人之訴訟，由其公務所所在地之行政法院管轄。其以公</w:t>
      </w:r>
      <w:r w:rsidR="00BC181E" w:rsidRPr="00C71B22">
        <w:rPr>
          <w:rFonts w:hint="eastAsia"/>
          <w:color w:val="000000" w:themeColor="text1"/>
        </w:rPr>
        <w:t>法人之機關為被告時，由該機關所在地之行政法院管轄。」然</w:t>
      </w:r>
      <w:r w:rsidR="00DC2234" w:rsidRPr="00C71B22">
        <w:rPr>
          <w:rFonts w:hAnsi="標楷體" w:hint="eastAsia"/>
          <w:color w:val="000000" w:themeColor="text1"/>
        </w:rPr>
        <w:t>「以原就被」原則旨在</w:t>
      </w:r>
      <w:r w:rsidR="005776F9" w:rsidRPr="00C71B22">
        <w:rPr>
          <w:rFonts w:hAnsi="標楷體" w:hint="eastAsia"/>
          <w:color w:val="000000" w:themeColor="text1"/>
        </w:rPr>
        <w:t>保護被告</w:t>
      </w:r>
      <w:r w:rsidR="005776F9" w:rsidRPr="00C71B22">
        <w:rPr>
          <w:rFonts w:ascii="新細明體" w:eastAsia="新細明體" w:hAnsi="新細明體" w:hint="eastAsia"/>
          <w:color w:val="000000" w:themeColor="text1"/>
        </w:rPr>
        <w:t>，</w:t>
      </w:r>
      <w:r w:rsidR="00D56401" w:rsidRPr="00C71B22">
        <w:rPr>
          <w:rFonts w:hint="eastAsia"/>
          <w:color w:val="000000" w:themeColor="text1"/>
        </w:rPr>
        <w:t>避免濫訴</w:t>
      </w:r>
      <w:r w:rsidR="00DC2234" w:rsidRPr="00C71B22">
        <w:rPr>
          <w:rFonts w:ascii="新細明體" w:eastAsia="新細明體" w:hAnsi="新細明體" w:hint="eastAsia"/>
          <w:color w:val="000000" w:themeColor="text1"/>
        </w:rPr>
        <w:t>，</w:t>
      </w:r>
      <w:r w:rsidR="00DC2234" w:rsidRPr="00C71B22">
        <w:rPr>
          <w:rFonts w:hint="eastAsia"/>
          <w:color w:val="000000" w:themeColor="text1"/>
        </w:rPr>
        <w:t>而</w:t>
      </w:r>
      <w:r w:rsidR="00D56401" w:rsidRPr="00C71B22">
        <w:rPr>
          <w:rFonts w:hint="eastAsia"/>
          <w:color w:val="000000" w:themeColor="text1"/>
        </w:rPr>
        <w:t>行政訴訟基本上為「民告官」，制度</w:t>
      </w:r>
      <w:r w:rsidRPr="00C71B22">
        <w:rPr>
          <w:rFonts w:hint="eastAsia"/>
          <w:color w:val="000000" w:themeColor="text1"/>
        </w:rPr>
        <w:t>設計</w:t>
      </w:r>
      <w:r w:rsidR="00D56401" w:rsidRPr="00C71B22">
        <w:rPr>
          <w:rFonts w:hint="eastAsia"/>
          <w:color w:val="000000" w:themeColor="text1"/>
        </w:rPr>
        <w:t>應以</w:t>
      </w:r>
      <w:r w:rsidR="003C71FB" w:rsidRPr="00C71B22">
        <w:rPr>
          <w:rFonts w:hint="eastAsia"/>
          <w:color w:val="000000" w:themeColor="text1"/>
        </w:rPr>
        <w:t>便</w:t>
      </w:r>
      <w:r w:rsidR="005278DB" w:rsidRPr="00C71B22">
        <w:rPr>
          <w:rFonts w:hint="eastAsia"/>
          <w:color w:val="000000" w:themeColor="text1"/>
        </w:rPr>
        <w:t>利</w:t>
      </w:r>
      <w:r w:rsidR="003C71FB" w:rsidRPr="00C71B22">
        <w:rPr>
          <w:rFonts w:hint="eastAsia"/>
          <w:color w:val="000000" w:themeColor="text1"/>
        </w:rPr>
        <w:t>原告，保護人民權益為重心，法務部</w:t>
      </w:r>
      <w:r w:rsidRPr="00C71B22">
        <w:rPr>
          <w:rFonts w:hint="eastAsia"/>
          <w:color w:val="000000" w:themeColor="text1"/>
        </w:rPr>
        <w:t>於</w:t>
      </w:r>
      <w:r w:rsidR="003C71FB" w:rsidRPr="00C71B22">
        <w:rPr>
          <w:rFonts w:hint="eastAsia"/>
          <w:color w:val="000000" w:themeColor="text1"/>
        </w:rPr>
        <w:t>90年3月1日檢送該部對行政訴訟法修正意見彙整表函復司法院</w:t>
      </w:r>
      <w:r w:rsidR="00D56401" w:rsidRPr="00C71B22">
        <w:rPr>
          <w:rFonts w:hint="eastAsia"/>
          <w:color w:val="000000" w:themeColor="text1"/>
        </w:rPr>
        <w:t>時</w:t>
      </w:r>
      <w:r w:rsidRPr="00C71B22">
        <w:rPr>
          <w:rFonts w:hint="eastAsia"/>
          <w:color w:val="000000" w:themeColor="text1"/>
        </w:rPr>
        <w:t>即</w:t>
      </w:r>
      <w:r w:rsidR="005278DB" w:rsidRPr="00C71B22">
        <w:rPr>
          <w:rFonts w:hint="eastAsia"/>
          <w:color w:val="000000" w:themeColor="text1"/>
        </w:rPr>
        <w:t>表示</w:t>
      </w:r>
      <w:r w:rsidR="003C71FB" w:rsidRPr="00C71B22">
        <w:rPr>
          <w:rFonts w:hint="eastAsia"/>
          <w:color w:val="000000" w:themeColor="text1"/>
        </w:rPr>
        <w:t>「為便利人民實施訴訟，以保障人民之訴訟權，建議修正管轄權之『以原就被原則』為『以被就原原則』」</w:t>
      </w:r>
      <w:r w:rsidRPr="00C71B22">
        <w:rPr>
          <w:rStyle w:val="afe"/>
          <w:color w:val="000000" w:themeColor="text1"/>
        </w:rPr>
        <w:footnoteReference w:id="5"/>
      </w:r>
      <w:r w:rsidR="003C71FB" w:rsidRPr="00C71B22">
        <w:rPr>
          <w:rFonts w:hint="eastAsia"/>
          <w:color w:val="000000" w:themeColor="text1"/>
        </w:rPr>
        <w:t>。</w:t>
      </w:r>
      <w:r w:rsidR="005278DB" w:rsidRPr="00C71B22">
        <w:rPr>
          <w:rFonts w:hint="eastAsia"/>
          <w:color w:val="000000" w:themeColor="text1"/>
        </w:rPr>
        <w:t>行政訴訟法</w:t>
      </w:r>
      <w:r w:rsidR="003C71FB" w:rsidRPr="00C71B22">
        <w:rPr>
          <w:rFonts w:hint="eastAsia"/>
          <w:color w:val="000000" w:themeColor="text1"/>
        </w:rPr>
        <w:t>嗣</w:t>
      </w:r>
      <w:r w:rsidRPr="00C71B22">
        <w:rPr>
          <w:rFonts w:hint="eastAsia"/>
          <w:color w:val="000000" w:themeColor="text1"/>
        </w:rPr>
        <w:t>為方便證據調</w:t>
      </w:r>
      <w:r w:rsidRPr="00C71B22">
        <w:rPr>
          <w:rFonts w:hint="eastAsia"/>
          <w:color w:val="000000" w:themeColor="text1"/>
        </w:rPr>
        <w:lastRenderedPageBreak/>
        <w:t>查及便利人民就近尋求行政法院之權利保護，</w:t>
      </w:r>
      <w:r w:rsidR="003C71FB" w:rsidRPr="00C71B22">
        <w:rPr>
          <w:rFonts w:hint="eastAsia"/>
          <w:color w:val="000000" w:themeColor="text1"/>
        </w:rPr>
        <w:t>修正部分管轄權規定，於99年1月13</w:t>
      </w:r>
      <w:r w:rsidR="00BC181E" w:rsidRPr="00C71B22">
        <w:rPr>
          <w:rFonts w:hint="eastAsia"/>
          <w:color w:val="000000" w:themeColor="text1"/>
        </w:rPr>
        <w:t>日</w:t>
      </w:r>
      <w:r w:rsidR="003C71FB" w:rsidRPr="00C71B22">
        <w:rPr>
          <w:rFonts w:hint="eastAsia"/>
          <w:color w:val="000000" w:themeColor="text1"/>
        </w:rPr>
        <w:t>增訂第15條之1</w:t>
      </w:r>
      <w:r w:rsidR="00F10462" w:rsidRPr="00C71B22">
        <w:rPr>
          <w:rFonts w:hint="eastAsia"/>
          <w:color w:val="000000" w:themeColor="text1"/>
        </w:rPr>
        <w:t>明</w:t>
      </w:r>
      <w:r w:rsidR="003C71FB" w:rsidRPr="00C71B22">
        <w:rPr>
          <w:rFonts w:hint="eastAsia"/>
          <w:color w:val="000000" w:themeColor="text1"/>
        </w:rPr>
        <w:t>定：「關於公務員職務關係之訴訟，得由公務員職務所在地之行政法院管轄。」該條立法理由指出：「有關公務員職務關係之訴訟，包括公務員職務關係是否發生，及因職務關係所生之訴訟，諸多國家立法例規定由原告之職務所在地之行政法院管轄，例如德國行政法院法第52條第4款及法國行政法院法第56</w:t>
      </w:r>
      <w:r w:rsidR="00803A01" w:rsidRPr="00C71B22">
        <w:rPr>
          <w:rFonts w:hint="eastAsia"/>
          <w:color w:val="000000" w:themeColor="text1"/>
        </w:rPr>
        <w:t>條之規定，爰參照該等立法例，增訂本條規定。」</w:t>
      </w:r>
      <w:r w:rsidR="006B1F1F" w:rsidRPr="00C71B22">
        <w:rPr>
          <w:rFonts w:hint="eastAsia"/>
          <w:color w:val="000000" w:themeColor="text1"/>
        </w:rPr>
        <w:t>經查司法院謝秘書長文定為立法院審議該次行政訴訟法部分條文修正草案，而至該院備詢時，即說明：「行政訴訟之管轄法院，依現行法規定，原則上是被告公務所在地之行政法院，</w:t>
      </w:r>
      <w:r w:rsidR="00B23764" w:rsidRPr="00C71B22">
        <w:rPr>
          <w:rFonts w:hint="eastAsia"/>
          <w:color w:val="000000" w:themeColor="text1"/>
        </w:rPr>
        <w:t>……</w:t>
      </w:r>
      <w:r w:rsidR="006B1F1F" w:rsidRPr="00C71B22">
        <w:rPr>
          <w:color w:val="000000" w:themeColor="text1"/>
        </w:rPr>
        <w:t>修正草案就特定事件增加管轄法院</w:t>
      </w:r>
      <w:r w:rsidR="006B1F1F" w:rsidRPr="00C71B22">
        <w:rPr>
          <w:rFonts w:hint="eastAsia"/>
          <w:color w:val="000000" w:themeColor="text1"/>
        </w:rPr>
        <w:t>，</w:t>
      </w:r>
      <w:r w:rsidR="006B1F1F" w:rsidRPr="00C71B22">
        <w:rPr>
          <w:color w:val="000000" w:themeColor="text1"/>
        </w:rPr>
        <w:t>落實</w:t>
      </w:r>
      <w:r w:rsidR="006B1F1F" w:rsidRPr="00C71B22">
        <w:rPr>
          <w:rFonts w:hint="eastAsia"/>
          <w:color w:val="000000" w:themeColor="text1"/>
        </w:rPr>
        <w:t>司法為民理念。</w:t>
      </w:r>
      <w:r w:rsidR="00B23764" w:rsidRPr="00C71B22">
        <w:rPr>
          <w:rFonts w:hint="eastAsia"/>
          <w:color w:val="000000" w:themeColor="text1"/>
        </w:rPr>
        <w:t>……</w:t>
      </w:r>
      <w:r w:rsidR="006B1F1F" w:rsidRPr="00C71B22">
        <w:rPr>
          <w:color w:val="000000" w:themeColor="text1"/>
        </w:rPr>
        <w:t>在公務員任用</w:t>
      </w:r>
      <w:r w:rsidR="006B1F1F" w:rsidRPr="00C71B22">
        <w:rPr>
          <w:rFonts w:hint="eastAsia"/>
          <w:color w:val="000000" w:themeColor="text1"/>
        </w:rPr>
        <w:t>、</w:t>
      </w:r>
      <w:r w:rsidR="006B1F1F" w:rsidRPr="00C71B22">
        <w:rPr>
          <w:color w:val="000000" w:themeColor="text1"/>
        </w:rPr>
        <w:t>俸給</w:t>
      </w:r>
      <w:r w:rsidR="006B1F1F" w:rsidRPr="00C71B22">
        <w:rPr>
          <w:rFonts w:hint="eastAsia"/>
          <w:color w:val="000000" w:themeColor="text1"/>
        </w:rPr>
        <w:t>、</w:t>
      </w:r>
      <w:r w:rsidR="006B1F1F" w:rsidRPr="00C71B22">
        <w:rPr>
          <w:color w:val="000000" w:themeColor="text1"/>
        </w:rPr>
        <w:t>退休等職務關係的訴訟上</w:t>
      </w:r>
      <w:r w:rsidR="006B1F1F" w:rsidRPr="00C71B22">
        <w:rPr>
          <w:rFonts w:hint="eastAsia"/>
          <w:color w:val="000000" w:themeColor="text1"/>
        </w:rPr>
        <w:t>，</w:t>
      </w:r>
      <w:r w:rsidR="006B1F1F" w:rsidRPr="00C71B22">
        <w:rPr>
          <w:color w:val="000000" w:themeColor="text1"/>
        </w:rPr>
        <w:t>增訂可由公務員職務所在地的行政法院管轄</w:t>
      </w:r>
      <w:r w:rsidR="006B1F1F" w:rsidRPr="00C71B22">
        <w:rPr>
          <w:rFonts w:hint="eastAsia"/>
          <w:color w:val="000000" w:themeColor="text1"/>
        </w:rPr>
        <w:t>」（參</w:t>
      </w:r>
      <w:r w:rsidR="006B1F1F" w:rsidRPr="00C71B22">
        <w:rPr>
          <w:color w:val="000000" w:themeColor="text1"/>
        </w:rPr>
        <w:t>見立法院公報第</w:t>
      </w:r>
      <w:r w:rsidR="006B1F1F" w:rsidRPr="00C71B22">
        <w:rPr>
          <w:rFonts w:hint="eastAsia"/>
          <w:color w:val="000000" w:themeColor="text1"/>
        </w:rPr>
        <w:t>98卷第76期委員會紀錄）。至於</w:t>
      </w:r>
      <w:r w:rsidR="003C71FB" w:rsidRPr="00C71B22">
        <w:rPr>
          <w:rFonts w:hint="eastAsia"/>
          <w:color w:val="000000" w:themeColor="text1"/>
        </w:rPr>
        <w:t>「公務員職務關係」之範圍，學說認為包括「公務員職務關係是否發生」，例如公務員之任用，以及「職務關係所生之訴訟」，例如俸給、銓敘、退休等訴訟。另司法實務上，107年7月1日實施年金改革前、後，均有行政法院援引行政訴訟法第15條之1規定，認公務員職務所在地之行政法院有管轄權之裁判案例</w:t>
      </w:r>
      <w:r w:rsidR="00803A01" w:rsidRPr="00C71B22">
        <w:rPr>
          <w:rStyle w:val="afe"/>
          <w:color w:val="000000" w:themeColor="text1"/>
        </w:rPr>
        <w:footnoteReference w:id="6"/>
      </w:r>
      <w:r w:rsidR="003C71FB" w:rsidRPr="00C71B22">
        <w:rPr>
          <w:rFonts w:hint="eastAsia"/>
          <w:color w:val="000000" w:themeColor="text1"/>
        </w:rPr>
        <w:t>，相關裁判意旨指出，行政訴訟法第15條之1所稱關於公務員職務關係之訴訟，包括公務身分關係之發生及消滅相關訴訟，最高行政法院108年度裁字第858號裁定進一步闡釋，所謂職務關係之訴訟，包括</w:t>
      </w:r>
      <w:r w:rsidR="003C71FB" w:rsidRPr="00C71B22">
        <w:rPr>
          <w:rFonts w:hint="eastAsia"/>
          <w:color w:val="000000" w:themeColor="text1"/>
        </w:rPr>
        <w:lastRenderedPageBreak/>
        <w:t>公務員職務關係是否發生及因職務關係所生之訴訟，例如俸給、銓敘、退休（包含退休及退休金發給之審定）等；公務員於退休後，其與機關之關係在法定規定之範圍內，並未全然消滅，非謂公務員一退休，與機關即無任何關係存在。</w:t>
      </w:r>
      <w:r w:rsidR="00DB4D4D" w:rsidRPr="00C71B22">
        <w:rPr>
          <w:rFonts w:hint="eastAsia"/>
          <w:color w:val="000000" w:themeColor="text1"/>
        </w:rPr>
        <w:t>是依現行行政訴訟法規定，不服重新審定退休所得處分之公務</w:t>
      </w:r>
      <w:r w:rsidR="003C71FB" w:rsidRPr="00C71B22">
        <w:rPr>
          <w:rFonts w:hint="eastAsia"/>
          <w:color w:val="000000" w:themeColor="text1"/>
        </w:rPr>
        <w:t>員，本得</w:t>
      </w:r>
      <w:r w:rsidR="00196A0C" w:rsidRPr="00C71B22">
        <w:rPr>
          <w:rFonts w:hint="eastAsia"/>
          <w:color w:val="000000" w:themeColor="text1"/>
        </w:rPr>
        <w:t>就</w:t>
      </w:r>
      <w:r w:rsidR="003C71FB" w:rsidRPr="00C71B22">
        <w:rPr>
          <w:rFonts w:hint="eastAsia"/>
          <w:color w:val="000000" w:themeColor="text1"/>
        </w:rPr>
        <w:t>近選擇「被告機關所在地」或「公務員職務所在地」之行政法院尋求救濟。負有教示義務之相關機關，自應充分揭露，使人民知悉救濟途徑</w:t>
      </w:r>
      <w:r w:rsidR="00627987" w:rsidRPr="00C71B22">
        <w:rPr>
          <w:rFonts w:ascii="新細明體" w:eastAsia="新細明體" w:hAnsi="新細明體" w:hint="eastAsia"/>
          <w:color w:val="000000" w:themeColor="text1"/>
        </w:rPr>
        <w:t>，</w:t>
      </w:r>
      <w:r w:rsidR="00627987" w:rsidRPr="00C71B22">
        <w:rPr>
          <w:rFonts w:hint="eastAsia"/>
          <w:color w:val="000000" w:themeColor="text1"/>
        </w:rPr>
        <w:t>以保障人民訴訟權</w:t>
      </w:r>
      <w:r w:rsidR="003C71FB" w:rsidRPr="00C71B22">
        <w:rPr>
          <w:rFonts w:hint="eastAsia"/>
          <w:color w:val="000000" w:themeColor="text1"/>
        </w:rPr>
        <w:t>。</w:t>
      </w:r>
    </w:p>
    <w:p w:rsidR="00B1421A" w:rsidRPr="00C71B22" w:rsidRDefault="00196A0C" w:rsidP="00863647">
      <w:pPr>
        <w:pStyle w:val="3"/>
        <w:rPr>
          <w:rFonts w:hAnsi="標楷體"/>
          <w:color w:val="000000" w:themeColor="text1"/>
        </w:rPr>
      </w:pPr>
      <w:r w:rsidRPr="00C71B22">
        <w:rPr>
          <w:rFonts w:hint="eastAsia"/>
          <w:color w:val="000000" w:themeColor="text1"/>
        </w:rPr>
        <w:t>據行政院統計</w:t>
      </w:r>
      <w:r w:rsidRPr="00C71B22">
        <w:rPr>
          <w:rFonts w:ascii="新細明體" w:eastAsia="新細明體" w:hAnsi="新細明體" w:hint="eastAsia"/>
          <w:color w:val="000000" w:themeColor="text1"/>
        </w:rPr>
        <w:t>，</w:t>
      </w:r>
      <w:r w:rsidRPr="00C71B22">
        <w:rPr>
          <w:rFonts w:hint="eastAsia"/>
          <w:color w:val="000000" w:themeColor="text1"/>
        </w:rPr>
        <w:t>年金改革實施後，截至108年12月底，</w:t>
      </w:r>
      <w:r w:rsidR="003A7F11" w:rsidRPr="00C71B22">
        <w:rPr>
          <w:rFonts w:hAnsi="標楷體" w:hint="eastAsia"/>
          <w:color w:val="000000" w:themeColor="text1"/>
        </w:rPr>
        <w:t>「</w:t>
      </w:r>
      <w:r w:rsidR="008B6FE7" w:rsidRPr="00C71B22">
        <w:rPr>
          <w:rFonts w:hint="eastAsia"/>
          <w:color w:val="000000" w:themeColor="text1"/>
        </w:rPr>
        <w:t>退休教育人員</w:t>
      </w:r>
      <w:r w:rsidR="003A7F11" w:rsidRPr="00C71B22">
        <w:rPr>
          <w:rFonts w:hAnsi="標楷體" w:hint="eastAsia"/>
          <w:color w:val="000000" w:themeColor="text1"/>
        </w:rPr>
        <w:t>」</w:t>
      </w:r>
      <w:r w:rsidR="008B6FE7" w:rsidRPr="00C71B22">
        <w:rPr>
          <w:rFonts w:hint="eastAsia"/>
          <w:color w:val="000000" w:themeColor="text1"/>
        </w:rPr>
        <w:t>部分</w:t>
      </w:r>
      <w:r w:rsidR="008B6FE7" w:rsidRPr="00C71B22">
        <w:rPr>
          <w:rFonts w:ascii="新細明體" w:eastAsia="新細明體" w:hAnsi="新細明體" w:hint="eastAsia"/>
          <w:color w:val="000000" w:themeColor="text1"/>
        </w:rPr>
        <w:t>，</w:t>
      </w:r>
      <w:r w:rsidR="008B6FE7" w:rsidRPr="00C71B22">
        <w:rPr>
          <w:rFonts w:hint="eastAsia"/>
          <w:color w:val="000000" w:themeColor="text1"/>
        </w:rPr>
        <w:t>教育部重新審定退休所得人數計27,432人</w:t>
      </w:r>
      <w:r w:rsidR="008B6FE7" w:rsidRPr="00C71B22">
        <w:rPr>
          <w:rFonts w:ascii="新細明體" w:eastAsia="新細明體" w:hAnsi="新細明體" w:hint="eastAsia"/>
          <w:color w:val="000000" w:themeColor="text1"/>
        </w:rPr>
        <w:t>，</w:t>
      </w:r>
      <w:r w:rsidR="008B6FE7" w:rsidRPr="00C71B22">
        <w:rPr>
          <w:rFonts w:hint="eastAsia"/>
          <w:color w:val="000000" w:themeColor="text1"/>
        </w:rPr>
        <w:t>各地方政府重新審定退休所得人數合</w:t>
      </w:r>
      <w:r w:rsidR="008B6FE7" w:rsidRPr="00C71B22">
        <w:rPr>
          <w:rFonts w:hAnsi="標楷體" w:hint="eastAsia"/>
          <w:color w:val="000000" w:themeColor="text1"/>
        </w:rPr>
        <w:t>計120,051人，其中，因不服重新審定處分，向教育部提起訴願計57,122件，</w:t>
      </w:r>
      <w:r w:rsidR="00B1421A" w:rsidRPr="00C71B22">
        <w:rPr>
          <w:rFonts w:hAnsi="標楷體" w:hint="eastAsia"/>
          <w:color w:val="000000" w:themeColor="text1"/>
        </w:rPr>
        <w:t>向行政院提起訴願計10,733件，不服</w:t>
      </w:r>
      <w:r w:rsidR="00982D14" w:rsidRPr="00C71B22">
        <w:rPr>
          <w:rFonts w:hAnsi="標楷體" w:hint="eastAsia"/>
          <w:color w:val="000000" w:themeColor="text1"/>
        </w:rPr>
        <w:t>教育部</w:t>
      </w:r>
      <w:r w:rsidR="00B1421A" w:rsidRPr="00C71B22">
        <w:rPr>
          <w:rFonts w:hAnsi="標楷體" w:hint="eastAsia"/>
          <w:color w:val="000000" w:themeColor="text1"/>
        </w:rPr>
        <w:t>訴願決定</w:t>
      </w:r>
      <w:r w:rsidR="00982D14" w:rsidRPr="00C71B22">
        <w:rPr>
          <w:rFonts w:hAnsi="標楷體" w:hint="eastAsia"/>
          <w:color w:val="000000" w:themeColor="text1"/>
        </w:rPr>
        <w:t>而</w:t>
      </w:r>
      <w:r w:rsidR="00B1421A" w:rsidRPr="00C71B22">
        <w:rPr>
          <w:rFonts w:hAnsi="標楷體" w:hint="eastAsia"/>
          <w:color w:val="000000" w:themeColor="text1"/>
        </w:rPr>
        <w:t>提起行政訴訟計</w:t>
      </w:r>
      <w:r w:rsidR="00982D14" w:rsidRPr="00C71B22">
        <w:rPr>
          <w:rFonts w:hAnsi="標楷體" w:hint="eastAsia"/>
          <w:color w:val="000000" w:themeColor="text1"/>
        </w:rPr>
        <w:t>512件</w:t>
      </w:r>
      <w:r w:rsidR="00982D14" w:rsidRPr="00C71B22">
        <w:rPr>
          <w:rFonts w:ascii="新細明體" w:eastAsia="新細明體" w:hAnsi="新細明體" w:hint="eastAsia"/>
          <w:color w:val="000000" w:themeColor="text1"/>
        </w:rPr>
        <w:t>，</w:t>
      </w:r>
      <w:r w:rsidR="00982D14" w:rsidRPr="00C71B22">
        <w:rPr>
          <w:rFonts w:hAnsi="標楷體" w:hint="eastAsia"/>
          <w:color w:val="000000" w:themeColor="text1"/>
        </w:rPr>
        <w:t>不服行政院訴願決定而提起行政訴訟計</w:t>
      </w:r>
      <w:r w:rsidR="00982D14" w:rsidRPr="00C71B22">
        <w:rPr>
          <w:rFonts w:hAnsi="標楷體"/>
          <w:color w:val="000000" w:themeColor="text1"/>
        </w:rPr>
        <w:t>1,729</w:t>
      </w:r>
      <w:r w:rsidR="00982D14" w:rsidRPr="00C71B22">
        <w:rPr>
          <w:rFonts w:hAnsi="標楷體" w:hint="eastAsia"/>
          <w:color w:val="000000" w:themeColor="text1"/>
        </w:rPr>
        <w:t>件。</w:t>
      </w:r>
      <w:r w:rsidR="003A7F11" w:rsidRPr="00C71B22">
        <w:rPr>
          <w:rFonts w:hAnsi="標楷體" w:hint="eastAsia"/>
          <w:color w:val="000000" w:themeColor="text1"/>
        </w:rPr>
        <w:t>「退伍軍人」部分，國防部重新審定退休所得計124,314件，三軍司令部重新審定退休所得合計</w:t>
      </w:r>
      <w:r w:rsidR="00930168" w:rsidRPr="00C71B22">
        <w:rPr>
          <w:rFonts w:hAnsi="標楷體" w:hint="eastAsia"/>
          <w:color w:val="000000" w:themeColor="text1"/>
        </w:rPr>
        <w:t>120</w:t>
      </w:r>
      <w:r w:rsidR="00930168" w:rsidRPr="00C71B22">
        <w:rPr>
          <w:rFonts w:hAnsi="標楷體"/>
          <w:color w:val="000000" w:themeColor="text1"/>
        </w:rPr>
        <w:t>,063</w:t>
      </w:r>
      <w:r w:rsidR="00930168" w:rsidRPr="00C71B22">
        <w:rPr>
          <w:rFonts w:hAnsi="標楷體" w:hint="eastAsia"/>
          <w:color w:val="000000" w:themeColor="text1"/>
        </w:rPr>
        <w:t>件，不服重新審定處分，向國防部提起訴願計43,639件，向行政院提起訴願計9,390件，不服國防部訴願決定，提起行政訴訟計272件，不服行政院訴願決定，提起行政訴訟計</w:t>
      </w:r>
      <w:r w:rsidR="00930168" w:rsidRPr="00C71B22">
        <w:rPr>
          <w:rFonts w:hAnsi="標楷體"/>
          <w:color w:val="000000" w:themeColor="text1"/>
        </w:rPr>
        <w:t>1,040</w:t>
      </w:r>
      <w:r w:rsidR="00930168" w:rsidRPr="00C71B22">
        <w:rPr>
          <w:rFonts w:hAnsi="標楷體" w:hint="eastAsia"/>
          <w:color w:val="000000" w:themeColor="text1"/>
        </w:rPr>
        <w:t>件</w:t>
      </w:r>
      <w:r w:rsidR="00930168" w:rsidRPr="00C71B22">
        <w:rPr>
          <w:rStyle w:val="afe"/>
          <w:rFonts w:hAnsi="標楷體"/>
          <w:color w:val="000000" w:themeColor="text1"/>
        </w:rPr>
        <w:footnoteReference w:id="7"/>
      </w:r>
      <w:r w:rsidR="00930168" w:rsidRPr="00C71B22">
        <w:rPr>
          <w:rFonts w:hAnsi="標楷體" w:hint="eastAsia"/>
          <w:color w:val="000000" w:themeColor="text1"/>
        </w:rPr>
        <w:t>。</w:t>
      </w:r>
    </w:p>
    <w:p w:rsidR="00573012" w:rsidRPr="00C71B22" w:rsidRDefault="00573012" w:rsidP="00863647">
      <w:pPr>
        <w:pStyle w:val="3"/>
        <w:rPr>
          <w:rFonts w:hAnsi="標楷體"/>
          <w:color w:val="000000" w:themeColor="text1"/>
        </w:rPr>
      </w:pPr>
      <w:r w:rsidRPr="00C71B22">
        <w:rPr>
          <w:rFonts w:hAnsi="標楷體" w:hint="eastAsia"/>
          <w:color w:val="000000" w:themeColor="text1"/>
        </w:rPr>
        <w:t>經查，</w:t>
      </w:r>
      <w:r w:rsidR="000D32C4" w:rsidRPr="00C71B22">
        <w:rPr>
          <w:rFonts w:hAnsi="標楷體" w:hint="eastAsia"/>
          <w:color w:val="000000" w:themeColor="text1"/>
        </w:rPr>
        <w:t>除</w:t>
      </w:r>
      <w:r w:rsidR="00CC26DE" w:rsidRPr="00C71B22">
        <w:rPr>
          <w:rFonts w:hAnsi="標楷體" w:hint="eastAsia"/>
          <w:color w:val="000000" w:themeColor="text1"/>
        </w:rPr>
        <w:t>教育部所為之訴願決定，因</w:t>
      </w:r>
      <w:r w:rsidR="000D32C4" w:rsidRPr="00C71B22">
        <w:rPr>
          <w:rFonts w:hAnsi="標楷體" w:hint="eastAsia"/>
          <w:color w:val="000000" w:themeColor="text1"/>
        </w:rPr>
        <w:t>係</w:t>
      </w:r>
      <w:r w:rsidR="00CC26DE" w:rsidRPr="00C71B22">
        <w:rPr>
          <w:rFonts w:hAnsi="標楷體" w:hint="eastAsia"/>
          <w:color w:val="000000" w:themeColor="text1"/>
        </w:rPr>
        <w:t>由各地方政府重新審定退休教職人員之退休所得</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原處分機</w:t>
      </w:r>
      <w:r w:rsidR="000D32C4" w:rsidRPr="00C71B22">
        <w:rPr>
          <w:rFonts w:hAnsi="標楷體" w:hint="eastAsia"/>
          <w:color w:val="000000" w:themeColor="text1"/>
        </w:rPr>
        <w:t>關分散各地，故</w:t>
      </w:r>
      <w:r w:rsidR="00CC26DE" w:rsidRPr="00C71B22">
        <w:rPr>
          <w:rFonts w:hAnsi="標楷體" w:hint="eastAsia"/>
          <w:color w:val="000000" w:themeColor="text1"/>
        </w:rPr>
        <w:t>附記以原處分機關所在之各地行政法院為管轄法院</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其餘「軍</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教」人員重新審定退休</w:t>
      </w:r>
      <w:r w:rsidR="00CC26DE" w:rsidRPr="00C71B22">
        <w:rPr>
          <w:rFonts w:hAnsi="標楷體" w:hint="eastAsia"/>
          <w:color w:val="000000" w:themeColor="text1"/>
        </w:rPr>
        <w:lastRenderedPageBreak/>
        <w:t>所得</w:t>
      </w:r>
      <w:r w:rsidR="000D32C4" w:rsidRPr="00C71B22">
        <w:rPr>
          <w:rFonts w:hAnsi="標楷體" w:hint="eastAsia"/>
          <w:color w:val="000000" w:themeColor="text1"/>
        </w:rPr>
        <w:t>事件</w:t>
      </w:r>
      <w:r w:rsidR="00CC26DE" w:rsidRPr="00C71B22">
        <w:rPr>
          <w:rFonts w:hAnsi="標楷體" w:hint="eastAsia"/>
          <w:color w:val="000000" w:themeColor="text1"/>
        </w:rPr>
        <w:t>之訴願決定書</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因原處分機關</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國防部</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三軍司令部</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教育部）地處臺北</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桃園</w:t>
      </w:r>
      <w:r w:rsidR="00CC26DE" w:rsidRPr="00C71B22">
        <w:rPr>
          <w:rFonts w:ascii="新細明體" w:eastAsia="新細明體" w:hAnsi="新細明體" w:hint="eastAsia"/>
          <w:color w:val="000000" w:themeColor="text1"/>
        </w:rPr>
        <w:t>，</w:t>
      </w:r>
      <w:r w:rsidR="00CC26DE" w:rsidRPr="00C71B22">
        <w:rPr>
          <w:rFonts w:hAnsi="標楷體" w:hint="eastAsia"/>
          <w:color w:val="000000" w:themeColor="text1"/>
        </w:rPr>
        <w:t>訴願決定書單採行政訴訟法第13條第1項「以原就被」原則</w:t>
      </w:r>
      <w:r w:rsidR="000D32C4" w:rsidRPr="00C71B22">
        <w:rPr>
          <w:rFonts w:hAnsi="標楷體" w:hint="eastAsia"/>
          <w:color w:val="000000" w:themeColor="text1"/>
        </w:rPr>
        <w:t>結果</w:t>
      </w:r>
      <w:r w:rsidR="00CC26DE" w:rsidRPr="00C71B22">
        <w:rPr>
          <w:rFonts w:hAnsi="標楷體" w:hint="eastAsia"/>
          <w:color w:val="000000" w:themeColor="text1"/>
        </w:rPr>
        <w:t>，</w:t>
      </w:r>
      <w:r w:rsidR="00833248" w:rsidRPr="00C71B22">
        <w:rPr>
          <w:rFonts w:hAnsi="標楷體" w:hint="eastAsia"/>
          <w:color w:val="000000" w:themeColor="text1"/>
        </w:rPr>
        <w:t>僅</w:t>
      </w:r>
      <w:r w:rsidR="00CC26DE" w:rsidRPr="00C71B22">
        <w:rPr>
          <w:rFonts w:hAnsi="標楷體" w:hint="eastAsia"/>
          <w:color w:val="000000" w:themeColor="text1"/>
        </w:rPr>
        <w:t>附記以臺北</w:t>
      </w:r>
      <w:r w:rsidR="00833248" w:rsidRPr="00C71B22">
        <w:rPr>
          <w:rFonts w:hAnsi="標楷體" w:hint="eastAsia"/>
          <w:color w:val="000000" w:themeColor="text1"/>
        </w:rPr>
        <w:t>高等行政法院為管轄法院，受處分人</w:t>
      </w:r>
      <w:r w:rsidR="000D32C4" w:rsidRPr="00C71B22">
        <w:rPr>
          <w:rFonts w:hAnsi="標楷體" w:hint="eastAsia"/>
          <w:color w:val="000000" w:themeColor="text1"/>
        </w:rPr>
        <w:t>或行政訴訟法第15條之1</w:t>
      </w:r>
      <w:r w:rsidR="000D32C4" w:rsidRPr="00C71B22">
        <w:rPr>
          <w:rFonts w:ascii="新細明體" w:eastAsia="新細明體" w:hAnsi="新細明體" w:hint="eastAsia"/>
          <w:color w:val="000000" w:themeColor="text1"/>
        </w:rPr>
        <w:t>，</w:t>
      </w:r>
      <w:r w:rsidR="000D32C4" w:rsidRPr="00C71B22">
        <w:rPr>
          <w:rFonts w:hAnsi="標楷體" w:hint="eastAsia"/>
          <w:color w:val="000000" w:themeColor="text1"/>
        </w:rPr>
        <w:t>或</w:t>
      </w:r>
      <w:r w:rsidR="00833248" w:rsidRPr="00C71B22">
        <w:rPr>
          <w:rFonts w:hAnsi="標楷體" w:hint="eastAsia"/>
          <w:color w:val="000000" w:themeColor="text1"/>
        </w:rPr>
        <w:t>信任訴願決定機關所為之</w:t>
      </w:r>
      <w:r w:rsidR="00CC26DE" w:rsidRPr="00C71B22">
        <w:rPr>
          <w:rFonts w:hAnsi="標楷體" w:hint="eastAsia"/>
          <w:color w:val="000000" w:themeColor="text1"/>
        </w:rPr>
        <w:t>救濟教示</w:t>
      </w:r>
      <w:r w:rsidR="00833248" w:rsidRPr="00C71B22">
        <w:rPr>
          <w:rFonts w:ascii="新細明體" w:eastAsia="新細明體" w:hAnsi="新細明體" w:hint="eastAsia"/>
          <w:color w:val="000000" w:themeColor="text1"/>
        </w:rPr>
        <w:t>，</w:t>
      </w:r>
      <w:r w:rsidR="00833248" w:rsidRPr="00C71B22">
        <w:rPr>
          <w:rFonts w:hAnsi="標楷體" w:hint="eastAsia"/>
          <w:color w:val="000000" w:themeColor="text1"/>
        </w:rPr>
        <w:t>而未聲請移轉管轄，</w:t>
      </w:r>
      <w:r w:rsidR="000D32C4" w:rsidRPr="00C71B22">
        <w:rPr>
          <w:rFonts w:hAnsi="標楷體" w:hint="eastAsia"/>
          <w:color w:val="000000" w:themeColor="text1"/>
        </w:rPr>
        <w:t>行政法院如</w:t>
      </w:r>
      <w:r w:rsidR="00833248" w:rsidRPr="00C71B22">
        <w:rPr>
          <w:rFonts w:hAnsi="標楷體" w:hint="eastAsia"/>
          <w:color w:val="000000" w:themeColor="text1"/>
        </w:rPr>
        <w:t>未依職權主動判斷</w:t>
      </w:r>
      <w:r w:rsidR="000D32C4" w:rsidRPr="00C71B22">
        <w:rPr>
          <w:rFonts w:hAnsi="標楷體" w:hint="eastAsia"/>
          <w:color w:val="000000" w:themeColor="text1"/>
        </w:rPr>
        <w:t>審認</w:t>
      </w:r>
      <w:r w:rsidR="00833248" w:rsidRPr="00C71B22">
        <w:rPr>
          <w:rFonts w:hAnsi="標楷體" w:hint="eastAsia"/>
          <w:color w:val="000000" w:themeColor="text1"/>
        </w:rPr>
        <w:t>有無行政訴訟法第15條之1「公務員職務所在地」管轄權</w:t>
      </w:r>
      <w:r w:rsidR="002336EB" w:rsidRPr="00C71B22">
        <w:rPr>
          <w:rFonts w:hAnsi="標楷體" w:hint="eastAsia"/>
          <w:color w:val="000000" w:themeColor="text1"/>
        </w:rPr>
        <w:t>之</w:t>
      </w:r>
      <w:r w:rsidR="00833248" w:rsidRPr="00C71B22">
        <w:rPr>
          <w:rFonts w:hAnsi="標楷體" w:hint="eastAsia"/>
          <w:color w:val="000000" w:themeColor="text1"/>
        </w:rPr>
        <w:t>適用，不免令住居中南部的受處分人南北奔波、應訴不便，</w:t>
      </w:r>
      <w:r w:rsidR="000D32C4" w:rsidRPr="00C71B22">
        <w:rPr>
          <w:rFonts w:hAnsi="標楷體" w:hint="eastAsia"/>
          <w:color w:val="000000" w:themeColor="text1"/>
        </w:rPr>
        <w:t>肇生民怨</w:t>
      </w:r>
      <w:r w:rsidR="00833248" w:rsidRPr="00C71B22">
        <w:rPr>
          <w:rFonts w:hAnsi="標楷體" w:hint="eastAsia"/>
          <w:color w:val="000000" w:themeColor="text1"/>
        </w:rPr>
        <w:t>。</w:t>
      </w:r>
    </w:p>
    <w:p w:rsidR="00311125" w:rsidRPr="00C71B22" w:rsidRDefault="00863647" w:rsidP="00863647">
      <w:pPr>
        <w:pStyle w:val="3"/>
        <w:rPr>
          <w:rFonts w:hAnsi="標楷體"/>
          <w:color w:val="000000" w:themeColor="text1"/>
        </w:rPr>
      </w:pPr>
      <w:r w:rsidRPr="00C71B22">
        <w:rPr>
          <w:rFonts w:hAnsi="標楷體" w:hint="eastAsia"/>
          <w:color w:val="000000" w:themeColor="text1"/>
        </w:rPr>
        <w:t>行政院</w:t>
      </w:r>
      <w:r w:rsidR="00D946A5" w:rsidRPr="00C71B22">
        <w:rPr>
          <w:rFonts w:hAnsi="標楷體" w:hint="eastAsia"/>
          <w:color w:val="000000" w:themeColor="text1"/>
        </w:rPr>
        <w:t>暨國防部等訴願機關對</w:t>
      </w:r>
      <w:r w:rsidR="004A76C9" w:rsidRPr="00C71B22">
        <w:rPr>
          <w:rFonts w:hAnsi="標楷體" w:hint="eastAsia"/>
          <w:color w:val="000000" w:themeColor="text1"/>
        </w:rPr>
        <w:t>於</w:t>
      </w:r>
      <w:r w:rsidR="002336EB" w:rsidRPr="00C71B22">
        <w:rPr>
          <w:rFonts w:hAnsi="標楷體" w:hint="eastAsia"/>
          <w:color w:val="000000" w:themeColor="text1"/>
        </w:rPr>
        <w:t>軍</w:t>
      </w:r>
      <w:r w:rsidR="002336EB" w:rsidRPr="00C71B22">
        <w:rPr>
          <w:rFonts w:ascii="新細明體" w:eastAsia="新細明體" w:hAnsi="新細明體" w:hint="eastAsia"/>
          <w:color w:val="000000" w:themeColor="text1"/>
        </w:rPr>
        <w:t>、</w:t>
      </w:r>
      <w:r w:rsidR="002336EB" w:rsidRPr="00C71B22">
        <w:rPr>
          <w:rFonts w:hAnsi="標楷體" w:hint="eastAsia"/>
          <w:color w:val="000000" w:themeColor="text1"/>
        </w:rPr>
        <w:t>教人員重新審定退休事件</w:t>
      </w:r>
      <w:r w:rsidR="002336EB" w:rsidRPr="00C71B22">
        <w:rPr>
          <w:rFonts w:ascii="新細明體" w:eastAsia="新細明體" w:hAnsi="新細明體" w:hint="eastAsia"/>
          <w:color w:val="000000" w:themeColor="text1"/>
        </w:rPr>
        <w:t>，</w:t>
      </w:r>
      <w:r w:rsidR="004A76C9" w:rsidRPr="00C71B22">
        <w:rPr>
          <w:rFonts w:hAnsi="標楷體" w:hint="eastAsia"/>
          <w:color w:val="000000" w:themeColor="text1"/>
        </w:rPr>
        <w:t>管轄法院</w:t>
      </w:r>
      <w:r w:rsidR="00311125" w:rsidRPr="00C71B22">
        <w:rPr>
          <w:rFonts w:hAnsi="標楷體" w:hint="eastAsia"/>
          <w:color w:val="000000" w:themeColor="text1"/>
        </w:rPr>
        <w:t>競合，如何教示問題</w:t>
      </w:r>
      <w:r w:rsidR="004A76C9" w:rsidRPr="00C71B22">
        <w:rPr>
          <w:rFonts w:hAnsi="標楷體" w:hint="eastAsia"/>
          <w:color w:val="000000" w:themeColor="text1"/>
        </w:rPr>
        <w:t>，於本院1</w:t>
      </w:r>
      <w:r w:rsidR="004A76C9" w:rsidRPr="00C71B22">
        <w:rPr>
          <w:rFonts w:hAnsi="標楷體"/>
          <w:color w:val="000000" w:themeColor="text1"/>
        </w:rPr>
        <w:t>09</w:t>
      </w:r>
      <w:r w:rsidR="004A76C9" w:rsidRPr="00C71B22">
        <w:rPr>
          <w:rFonts w:hAnsi="標楷體" w:hint="eastAsia"/>
          <w:color w:val="000000" w:themeColor="text1"/>
        </w:rPr>
        <w:t>年2月7日詢問時</w:t>
      </w:r>
      <w:r w:rsidR="00311125" w:rsidRPr="00C71B22">
        <w:rPr>
          <w:rFonts w:hAnsi="標楷體" w:hint="eastAsia"/>
          <w:color w:val="000000" w:themeColor="text1"/>
        </w:rPr>
        <w:t>檢討</w:t>
      </w:r>
      <w:r w:rsidR="000D32C4" w:rsidRPr="00C71B22">
        <w:rPr>
          <w:rFonts w:hAnsi="標楷體" w:hint="eastAsia"/>
          <w:color w:val="000000" w:themeColor="text1"/>
        </w:rPr>
        <w:t>時</w:t>
      </w:r>
      <w:r w:rsidR="004A76C9" w:rsidRPr="00C71B22">
        <w:rPr>
          <w:rFonts w:hAnsi="標楷體" w:hint="eastAsia"/>
          <w:color w:val="000000" w:themeColor="text1"/>
        </w:rPr>
        <w:t>略</w:t>
      </w:r>
      <w:r w:rsidRPr="00C71B22">
        <w:rPr>
          <w:rFonts w:hAnsi="標楷體" w:hint="eastAsia"/>
          <w:color w:val="000000" w:themeColor="text1"/>
        </w:rPr>
        <w:t>稱：</w:t>
      </w:r>
      <w:r w:rsidR="00311125" w:rsidRPr="00C71B22">
        <w:rPr>
          <w:rFonts w:hAnsi="標楷體" w:hint="eastAsia"/>
          <w:color w:val="000000" w:themeColor="text1"/>
        </w:rPr>
        <w:t>前揭行政法院依行政訴訟法第15條之1認「公務員職務關係所在地」之行政法院有管轄權</w:t>
      </w:r>
      <w:r w:rsidR="005E14A5" w:rsidRPr="00C71B22">
        <w:rPr>
          <w:rFonts w:hAnsi="標楷體" w:hint="eastAsia"/>
          <w:color w:val="000000" w:themeColor="text1"/>
        </w:rPr>
        <w:t>的</w:t>
      </w:r>
      <w:r w:rsidR="00311125" w:rsidRPr="00C71B22">
        <w:rPr>
          <w:rFonts w:hAnsi="標楷體" w:hint="eastAsia"/>
          <w:color w:val="000000" w:themeColor="text1"/>
        </w:rPr>
        <w:t>相關裁判</w:t>
      </w:r>
      <w:r w:rsidR="005E14A5" w:rsidRPr="00C71B22">
        <w:rPr>
          <w:rFonts w:hAnsi="標楷體" w:hint="eastAsia"/>
          <w:color w:val="000000" w:themeColor="text1"/>
        </w:rPr>
        <w:t>案例</w:t>
      </w:r>
      <w:r w:rsidR="00311125" w:rsidRPr="00C71B22">
        <w:rPr>
          <w:rFonts w:hAnsi="標楷體" w:hint="eastAsia"/>
          <w:color w:val="000000" w:themeColor="text1"/>
        </w:rPr>
        <w:t>，均係「公務人員」退休事件，</w:t>
      </w:r>
      <w:r w:rsidR="0065607F" w:rsidRPr="00C71B22">
        <w:rPr>
          <w:rFonts w:hAnsi="標楷體" w:hint="eastAsia"/>
          <w:color w:val="000000" w:themeColor="text1"/>
        </w:rPr>
        <w:t>我國並無公務員法，各個法律之公務員概念未必一致，「軍</w:t>
      </w:r>
      <w:r w:rsidR="0065607F" w:rsidRPr="00C71B22">
        <w:rPr>
          <w:rFonts w:ascii="新細明體" w:eastAsia="新細明體" w:hAnsi="新細明體" w:hint="eastAsia"/>
          <w:color w:val="000000" w:themeColor="text1"/>
        </w:rPr>
        <w:t>、</w:t>
      </w:r>
      <w:r w:rsidR="0065607F" w:rsidRPr="00C71B22">
        <w:rPr>
          <w:rFonts w:hAnsi="標楷體" w:hint="eastAsia"/>
          <w:color w:val="000000" w:themeColor="text1"/>
        </w:rPr>
        <w:t>教」人員係以聘任教師或軍職人員身分</w:t>
      </w:r>
      <w:r w:rsidR="000D32C4" w:rsidRPr="00C71B22">
        <w:rPr>
          <w:rFonts w:hAnsi="標楷體" w:hint="eastAsia"/>
          <w:color w:val="000000" w:themeColor="text1"/>
        </w:rPr>
        <w:t>，依公立學校教職員退休資遣撫卹條例、陸海空軍軍官士官服役條例等</w:t>
      </w:r>
      <w:r w:rsidR="0065607F" w:rsidRPr="00C71B22">
        <w:rPr>
          <w:rFonts w:hAnsi="標楷體" w:hint="eastAsia"/>
          <w:color w:val="000000" w:themeColor="text1"/>
        </w:rPr>
        <w:t>修</w:t>
      </w:r>
      <w:r w:rsidR="000D32C4" w:rsidRPr="00C71B22">
        <w:rPr>
          <w:rFonts w:hAnsi="標楷體" w:hint="eastAsia"/>
          <w:color w:val="000000" w:themeColor="text1"/>
        </w:rPr>
        <w:t>正</w:t>
      </w:r>
      <w:r w:rsidR="0065607F" w:rsidRPr="00C71B22">
        <w:rPr>
          <w:rFonts w:hAnsi="標楷體" w:hint="eastAsia"/>
          <w:color w:val="000000" w:themeColor="text1"/>
        </w:rPr>
        <w:t>前後之相關規定辦理退休，與公務人員係依公務人員退休資遣撫卹法修</w:t>
      </w:r>
      <w:r w:rsidR="000D32C4" w:rsidRPr="00C71B22">
        <w:rPr>
          <w:rFonts w:hAnsi="標楷體" w:hint="eastAsia"/>
          <w:color w:val="000000" w:themeColor="text1"/>
        </w:rPr>
        <w:t>正</w:t>
      </w:r>
      <w:r w:rsidR="0065607F" w:rsidRPr="00C71B22">
        <w:rPr>
          <w:rFonts w:hAnsi="標楷體" w:hint="eastAsia"/>
          <w:color w:val="000000" w:themeColor="text1"/>
        </w:rPr>
        <w:t>前後之相關規定辦理退休者不同，年金改革案件量大，受理訴願機關對於退休軍、教人員之職務所在地判斷較屬不易，爾後此類案件將依司法院之解釋及視後續多數裁判見解等情形再行研議是否於訴願決定書增列訴訟管轄法院之附記等語。</w:t>
      </w:r>
    </w:p>
    <w:p w:rsidR="0065607F" w:rsidRPr="00C71B22" w:rsidRDefault="0065607F" w:rsidP="00863647">
      <w:pPr>
        <w:pStyle w:val="3"/>
        <w:rPr>
          <w:rFonts w:hAnsi="標楷體"/>
          <w:color w:val="000000" w:themeColor="text1"/>
        </w:rPr>
      </w:pPr>
      <w:r w:rsidRPr="00C71B22">
        <w:rPr>
          <w:rFonts w:hAnsi="標楷體" w:hint="eastAsia"/>
          <w:color w:val="000000" w:themeColor="text1"/>
        </w:rPr>
        <w:t>經核</w:t>
      </w:r>
      <w:r w:rsidRPr="00C71B22">
        <w:rPr>
          <w:rFonts w:ascii="新細明體" w:eastAsia="新細明體" w:hAnsi="新細明體" w:hint="eastAsia"/>
          <w:color w:val="000000" w:themeColor="text1"/>
        </w:rPr>
        <w:t>：</w:t>
      </w:r>
    </w:p>
    <w:p w:rsidR="008E3D27" w:rsidRPr="00C71B22" w:rsidRDefault="0065607F" w:rsidP="00824C11">
      <w:pPr>
        <w:pStyle w:val="4"/>
        <w:rPr>
          <w:rFonts w:hAnsi="標楷體"/>
          <w:color w:val="000000" w:themeColor="text1"/>
        </w:rPr>
      </w:pPr>
      <w:r w:rsidRPr="00C71B22">
        <w:rPr>
          <w:rFonts w:hint="eastAsia"/>
          <w:color w:val="000000" w:themeColor="text1"/>
        </w:rPr>
        <w:t>退休「軍、教」人員不服重新審定退休所得之處分，雖係向訴願機關提起訴願，與「公務人員」不服重新審定退休所得之處分</w:t>
      </w:r>
      <w:r w:rsidRPr="00C71B22">
        <w:rPr>
          <w:rFonts w:ascii="新細明體" w:eastAsia="新細明體" w:hAnsi="新細明體" w:hint="eastAsia"/>
          <w:color w:val="000000" w:themeColor="text1"/>
        </w:rPr>
        <w:t>，</w:t>
      </w:r>
      <w:r w:rsidRPr="00C71B22">
        <w:rPr>
          <w:rFonts w:hint="eastAsia"/>
          <w:color w:val="000000" w:themeColor="text1"/>
        </w:rPr>
        <w:t>係向保訓會提起</w:t>
      </w:r>
      <w:r w:rsidRPr="00C71B22">
        <w:rPr>
          <w:rFonts w:hint="eastAsia"/>
          <w:color w:val="000000" w:themeColor="text1"/>
        </w:rPr>
        <w:lastRenderedPageBreak/>
        <w:t>復審，</w:t>
      </w:r>
      <w:r w:rsidR="002A36D2" w:rsidRPr="00C71B22">
        <w:rPr>
          <w:rFonts w:hint="eastAsia"/>
          <w:color w:val="000000" w:themeColor="text1"/>
        </w:rPr>
        <w:t>雖有</w:t>
      </w:r>
      <w:r w:rsidRPr="00C71B22">
        <w:rPr>
          <w:rFonts w:hint="eastAsia"/>
          <w:color w:val="000000" w:themeColor="text1"/>
        </w:rPr>
        <w:t>不同，然此僅為前階段</w:t>
      </w:r>
      <w:r w:rsidR="00DB4C05" w:rsidRPr="00C71B22">
        <w:rPr>
          <w:rFonts w:hint="eastAsia"/>
          <w:color w:val="000000" w:themeColor="text1"/>
        </w:rPr>
        <w:t>行政</w:t>
      </w:r>
      <w:r w:rsidRPr="00C71B22">
        <w:rPr>
          <w:rFonts w:hint="eastAsia"/>
          <w:color w:val="000000" w:themeColor="text1"/>
        </w:rPr>
        <w:t>救濟機關有別，「軍、教」人員不服訴願決定，及「公務人員」不服復審決定，其後</w:t>
      </w:r>
      <w:r w:rsidR="00DB4C05" w:rsidRPr="00C71B22">
        <w:rPr>
          <w:rFonts w:hint="eastAsia"/>
          <w:color w:val="000000" w:themeColor="text1"/>
        </w:rPr>
        <w:t>司法救濟同</w:t>
      </w:r>
      <w:r w:rsidRPr="00C71B22">
        <w:rPr>
          <w:rFonts w:hint="eastAsia"/>
          <w:color w:val="000000" w:themeColor="text1"/>
        </w:rPr>
        <w:t>向行政法院提起行政訴訟，行政訴訟法</w:t>
      </w:r>
      <w:r w:rsidR="00DB4C05" w:rsidRPr="00C71B22">
        <w:rPr>
          <w:rFonts w:hint="eastAsia"/>
          <w:color w:val="000000" w:themeColor="text1"/>
        </w:rPr>
        <w:t>之</w:t>
      </w:r>
      <w:r w:rsidRPr="00C71B22">
        <w:rPr>
          <w:rFonts w:hint="eastAsia"/>
          <w:color w:val="000000" w:themeColor="text1"/>
        </w:rPr>
        <w:t>管轄權規定並未區分軍、公、教人員</w:t>
      </w:r>
      <w:r w:rsidR="00DB4C05" w:rsidRPr="00C71B22">
        <w:rPr>
          <w:rFonts w:hint="eastAsia"/>
          <w:color w:val="000000" w:themeColor="text1"/>
        </w:rPr>
        <w:t>身分而</w:t>
      </w:r>
      <w:r w:rsidRPr="00C71B22">
        <w:rPr>
          <w:rFonts w:hint="eastAsia"/>
          <w:color w:val="000000" w:themeColor="text1"/>
        </w:rPr>
        <w:t>另為規範，是以，軍、公、教人員均為行政訴訟法上之「公務員」，而行政法院就退休所得審定事件有無行政訴訟法第15條之1特別管轄權適用之相關裁判意旨，自及於軍、公、教人員。</w:t>
      </w:r>
    </w:p>
    <w:p w:rsidR="008E3D27" w:rsidRPr="00C71B22" w:rsidRDefault="008E3D27" w:rsidP="00824C11">
      <w:pPr>
        <w:pStyle w:val="4"/>
        <w:rPr>
          <w:rFonts w:hAnsi="標楷體"/>
          <w:color w:val="000000" w:themeColor="text1"/>
        </w:rPr>
      </w:pPr>
      <w:r w:rsidRPr="00C71B22">
        <w:rPr>
          <w:rFonts w:hint="eastAsia"/>
          <w:color w:val="000000" w:themeColor="text1"/>
        </w:rPr>
        <w:t>倘認軍</w:t>
      </w:r>
      <w:r w:rsidRPr="00C71B22">
        <w:rPr>
          <w:rFonts w:ascii="新細明體" w:eastAsia="新細明體" w:hAnsi="新細明體" w:hint="eastAsia"/>
          <w:color w:val="000000" w:themeColor="text1"/>
        </w:rPr>
        <w:t>、</w:t>
      </w:r>
      <w:r w:rsidR="00DB4C05" w:rsidRPr="00C71B22">
        <w:rPr>
          <w:rFonts w:hint="eastAsia"/>
          <w:color w:val="000000" w:themeColor="text1"/>
        </w:rPr>
        <w:t>教人員非屬</w:t>
      </w:r>
      <w:r w:rsidRPr="00C71B22">
        <w:rPr>
          <w:rFonts w:hint="eastAsia"/>
          <w:color w:val="000000" w:themeColor="text1"/>
        </w:rPr>
        <w:t>行政訴訟法第15條之1</w:t>
      </w:r>
      <w:r w:rsidR="00DB4C05" w:rsidRPr="00C71B22">
        <w:rPr>
          <w:rFonts w:hint="eastAsia"/>
          <w:color w:val="000000" w:themeColor="text1"/>
        </w:rPr>
        <w:t>之</w:t>
      </w:r>
      <w:r w:rsidRPr="00C71B22">
        <w:rPr>
          <w:rFonts w:hAnsi="標楷體" w:hint="eastAsia"/>
          <w:color w:val="000000" w:themeColor="text1"/>
        </w:rPr>
        <w:t>「</w:t>
      </w:r>
      <w:r w:rsidRPr="00C71B22">
        <w:rPr>
          <w:rFonts w:hint="eastAsia"/>
          <w:color w:val="000000" w:themeColor="text1"/>
        </w:rPr>
        <w:t>公務員</w:t>
      </w:r>
      <w:r w:rsidRPr="00C71B22">
        <w:rPr>
          <w:rFonts w:hAnsi="標楷體" w:hint="eastAsia"/>
          <w:color w:val="000000" w:themeColor="text1"/>
        </w:rPr>
        <w:t>」</w:t>
      </w:r>
      <w:r w:rsidR="00DB4C05" w:rsidRPr="00C71B22">
        <w:rPr>
          <w:rFonts w:hAnsi="標楷體" w:hint="eastAsia"/>
          <w:color w:val="000000" w:themeColor="text1"/>
        </w:rPr>
        <w:t>從</w:t>
      </w:r>
      <w:r w:rsidR="00DB4C05" w:rsidRPr="00C71B22">
        <w:rPr>
          <w:rFonts w:hint="eastAsia"/>
          <w:color w:val="000000" w:themeColor="text1"/>
        </w:rPr>
        <w:t>而無該條</w:t>
      </w:r>
      <w:r w:rsidRPr="00C71B22">
        <w:rPr>
          <w:rFonts w:hint="eastAsia"/>
          <w:color w:val="000000" w:themeColor="text1"/>
        </w:rPr>
        <w:t>管轄權規定之適用</w:t>
      </w:r>
      <w:r w:rsidRPr="00C71B22">
        <w:rPr>
          <w:rFonts w:ascii="新細明體" w:eastAsia="新細明體" w:hAnsi="新細明體" w:hint="eastAsia"/>
          <w:color w:val="000000" w:themeColor="text1"/>
        </w:rPr>
        <w:t>，</w:t>
      </w:r>
      <w:r w:rsidRPr="00C71B22">
        <w:rPr>
          <w:rFonts w:hint="eastAsia"/>
          <w:color w:val="000000" w:themeColor="text1"/>
        </w:rPr>
        <w:t>是否增</w:t>
      </w:r>
      <w:r w:rsidRPr="00C71B22">
        <w:rPr>
          <w:rFonts w:hAnsi="標楷體" w:hint="eastAsia"/>
          <w:color w:val="000000" w:themeColor="text1"/>
        </w:rPr>
        <w:t>加法律所無之限制</w:t>
      </w:r>
      <w:r w:rsidRPr="00C71B22">
        <w:rPr>
          <w:rFonts w:ascii="新細明體" w:eastAsia="新細明體" w:hAnsi="新細明體" w:hint="eastAsia"/>
          <w:color w:val="000000" w:themeColor="text1"/>
        </w:rPr>
        <w:t>？</w:t>
      </w:r>
      <w:r w:rsidRPr="00C71B22">
        <w:rPr>
          <w:rFonts w:hAnsi="標楷體" w:hint="eastAsia"/>
          <w:color w:val="000000" w:themeColor="text1"/>
        </w:rPr>
        <w:t>又何以退休「軍</w:t>
      </w:r>
      <w:r w:rsidRPr="00C71B22">
        <w:rPr>
          <w:rFonts w:ascii="新細明體" w:eastAsia="新細明體" w:hAnsi="新細明體" w:hint="eastAsia"/>
          <w:color w:val="000000" w:themeColor="text1"/>
        </w:rPr>
        <w:t>、</w:t>
      </w:r>
      <w:r w:rsidR="00DB4C05" w:rsidRPr="00C71B22">
        <w:rPr>
          <w:rFonts w:hAnsi="標楷體" w:hint="eastAsia"/>
          <w:color w:val="000000" w:themeColor="text1"/>
        </w:rPr>
        <w:t>教」人員不能</w:t>
      </w:r>
      <w:r w:rsidRPr="00C71B22">
        <w:rPr>
          <w:rFonts w:hAnsi="標楷體" w:hint="eastAsia"/>
          <w:color w:val="000000" w:themeColor="text1"/>
        </w:rPr>
        <w:t>比照「公務人員」享有就近尋求法院救濟之訴訟權保障</w:t>
      </w:r>
      <w:r w:rsidRPr="00C71B22">
        <w:rPr>
          <w:rFonts w:ascii="新細明體" w:eastAsia="新細明體" w:hAnsi="新細明體" w:hint="eastAsia"/>
          <w:color w:val="000000" w:themeColor="text1"/>
        </w:rPr>
        <w:t>？</w:t>
      </w:r>
      <w:r w:rsidRPr="00C71B22">
        <w:rPr>
          <w:rFonts w:hAnsi="標楷體" w:hint="eastAsia"/>
          <w:color w:val="000000" w:themeColor="text1"/>
        </w:rPr>
        <w:t>均非無疑。</w:t>
      </w:r>
    </w:p>
    <w:p w:rsidR="0065607F" w:rsidRPr="00C71B22" w:rsidRDefault="00970D5A" w:rsidP="0065607F">
      <w:pPr>
        <w:pStyle w:val="4"/>
        <w:rPr>
          <w:rFonts w:hAnsi="標楷體"/>
          <w:color w:val="000000" w:themeColor="text1"/>
        </w:rPr>
      </w:pPr>
      <w:r w:rsidRPr="00C71B22">
        <w:rPr>
          <w:rFonts w:hAnsi="標楷體" w:hint="eastAsia"/>
          <w:color w:val="000000" w:themeColor="text1"/>
        </w:rPr>
        <w:t>如何認定</w:t>
      </w:r>
      <w:r w:rsidR="000562F0" w:rsidRPr="00C71B22">
        <w:rPr>
          <w:rFonts w:hAnsi="標楷體" w:hint="eastAsia"/>
          <w:color w:val="000000" w:themeColor="text1"/>
        </w:rPr>
        <w:t>公務員</w:t>
      </w:r>
      <w:r w:rsidRPr="00C71B22">
        <w:rPr>
          <w:rFonts w:hAnsi="標楷體" w:hint="eastAsia"/>
          <w:color w:val="000000" w:themeColor="text1"/>
        </w:rPr>
        <w:t>職務所在地，</w:t>
      </w:r>
      <w:r w:rsidR="002A36D2" w:rsidRPr="00C71B22">
        <w:rPr>
          <w:rFonts w:hAnsi="標楷體" w:hint="eastAsia"/>
          <w:color w:val="000000" w:themeColor="text1"/>
        </w:rPr>
        <w:t>乃</w:t>
      </w:r>
      <w:r w:rsidR="00C610A1" w:rsidRPr="00C71B22">
        <w:rPr>
          <w:rFonts w:hAnsi="標楷體" w:hint="eastAsia"/>
          <w:color w:val="000000" w:themeColor="text1"/>
        </w:rPr>
        <w:t>負有教示義務相關</w:t>
      </w:r>
      <w:r w:rsidRPr="00C71B22">
        <w:rPr>
          <w:rFonts w:hAnsi="標楷體" w:hint="eastAsia"/>
          <w:color w:val="000000" w:themeColor="text1"/>
        </w:rPr>
        <w:t>機關</w:t>
      </w:r>
      <w:r w:rsidR="000562F0" w:rsidRPr="00C71B22">
        <w:rPr>
          <w:rFonts w:hAnsi="標楷體" w:hint="eastAsia"/>
          <w:color w:val="000000" w:themeColor="text1"/>
        </w:rPr>
        <w:t>應</w:t>
      </w:r>
      <w:r w:rsidR="00C610A1" w:rsidRPr="00C71B22">
        <w:rPr>
          <w:rFonts w:hAnsi="標楷體" w:hint="eastAsia"/>
          <w:color w:val="000000" w:themeColor="text1"/>
        </w:rPr>
        <w:t>研議釐清之問題，</w:t>
      </w:r>
      <w:r w:rsidR="000562F0" w:rsidRPr="00C71B22">
        <w:rPr>
          <w:rFonts w:hAnsi="標楷體" w:hint="eastAsia"/>
          <w:color w:val="000000" w:themeColor="text1"/>
        </w:rPr>
        <w:t>以此為由</w:t>
      </w:r>
      <w:r w:rsidR="00C610A1" w:rsidRPr="00C71B22">
        <w:rPr>
          <w:rFonts w:hAnsi="標楷體" w:hint="eastAsia"/>
          <w:color w:val="000000" w:themeColor="text1"/>
        </w:rPr>
        <w:t>逕行排除行政訴訟法第15條之1之適用</w:t>
      </w:r>
      <w:r w:rsidR="00C610A1" w:rsidRPr="00C71B22">
        <w:rPr>
          <w:rFonts w:ascii="新細明體" w:eastAsia="新細明體" w:hAnsi="新細明體" w:hint="eastAsia"/>
          <w:color w:val="000000" w:themeColor="text1"/>
        </w:rPr>
        <w:t>，</w:t>
      </w:r>
      <w:r w:rsidR="00C610A1" w:rsidRPr="00C71B22">
        <w:rPr>
          <w:rFonts w:hAnsi="標楷體" w:hint="eastAsia"/>
          <w:color w:val="000000" w:themeColor="text1"/>
        </w:rPr>
        <w:t>尚難認</w:t>
      </w:r>
      <w:r w:rsidR="002A36D2" w:rsidRPr="00C71B22">
        <w:rPr>
          <w:rFonts w:hAnsi="標楷體" w:hint="eastAsia"/>
          <w:color w:val="000000" w:themeColor="text1"/>
        </w:rPr>
        <w:t>於法</w:t>
      </w:r>
      <w:r w:rsidR="00C610A1" w:rsidRPr="00C71B22">
        <w:rPr>
          <w:rFonts w:hAnsi="標楷體" w:hint="eastAsia"/>
          <w:color w:val="000000" w:themeColor="text1"/>
        </w:rPr>
        <w:t>有據。</w:t>
      </w:r>
    </w:p>
    <w:p w:rsidR="00A30510" w:rsidRPr="00C71B22" w:rsidRDefault="00A30510" w:rsidP="0065607F">
      <w:pPr>
        <w:pStyle w:val="4"/>
        <w:rPr>
          <w:rFonts w:hAnsi="標楷體"/>
          <w:color w:val="000000" w:themeColor="text1"/>
        </w:rPr>
      </w:pPr>
      <w:r w:rsidRPr="00C71B22">
        <w:rPr>
          <w:rFonts w:hAnsi="標楷體" w:hint="eastAsia"/>
          <w:color w:val="000000" w:themeColor="text1"/>
        </w:rPr>
        <w:t>年金改革實施前</w:t>
      </w:r>
      <w:r w:rsidRPr="00C71B22">
        <w:rPr>
          <w:rFonts w:ascii="新細明體" w:eastAsia="新細明體" w:hAnsi="新細明體" w:hint="eastAsia"/>
          <w:color w:val="000000" w:themeColor="text1"/>
        </w:rPr>
        <w:t>、</w:t>
      </w:r>
      <w:r w:rsidRPr="00C71B22">
        <w:rPr>
          <w:rFonts w:hAnsi="標楷體" w:hint="eastAsia"/>
          <w:color w:val="000000" w:themeColor="text1"/>
        </w:rPr>
        <w:t>後</w:t>
      </w:r>
      <w:r w:rsidRPr="00C71B22">
        <w:rPr>
          <w:rFonts w:ascii="新細明體" w:eastAsia="新細明體" w:hAnsi="新細明體" w:hint="eastAsia"/>
          <w:color w:val="000000" w:themeColor="text1"/>
        </w:rPr>
        <w:t>，</w:t>
      </w:r>
      <w:r w:rsidRPr="00C71B22">
        <w:rPr>
          <w:rFonts w:hAnsi="標楷體" w:hint="eastAsia"/>
          <w:color w:val="000000" w:themeColor="text1"/>
        </w:rPr>
        <w:t>均有行政法院援引行政訴訟法第15條之1規定，認公務員職務所在地之行政法院有管轄權之裁判案例</w:t>
      </w:r>
      <w:r w:rsidR="002A36D2" w:rsidRPr="00C71B22">
        <w:rPr>
          <w:rFonts w:ascii="新細明體" w:eastAsia="新細明體" w:hAnsi="新細明體" w:hint="eastAsia"/>
          <w:color w:val="000000" w:themeColor="text1"/>
        </w:rPr>
        <w:t>，</w:t>
      </w:r>
      <w:r w:rsidRPr="00C71B22">
        <w:rPr>
          <w:rFonts w:hAnsi="標楷體" w:hint="eastAsia"/>
          <w:color w:val="000000" w:themeColor="text1"/>
        </w:rPr>
        <w:t>已如前述</w:t>
      </w:r>
      <w:r w:rsidR="005E64E5">
        <w:rPr>
          <w:rStyle w:val="afe"/>
          <w:rFonts w:hAnsi="標楷體"/>
          <w:color w:val="000000" w:themeColor="text1"/>
        </w:rPr>
        <w:footnoteReference w:id="8"/>
      </w:r>
      <w:r w:rsidRPr="00C71B22">
        <w:rPr>
          <w:rFonts w:ascii="新細明體" w:eastAsia="新細明體" w:hAnsi="新細明體" w:hint="eastAsia"/>
          <w:color w:val="000000" w:themeColor="text1"/>
        </w:rPr>
        <w:t>，</w:t>
      </w:r>
      <w:r w:rsidRPr="00C71B22">
        <w:rPr>
          <w:rFonts w:hAnsi="標楷體" w:hint="eastAsia"/>
          <w:color w:val="000000" w:themeColor="text1"/>
        </w:rPr>
        <w:t>雖與提起行政訴訟之</w:t>
      </w:r>
      <w:r w:rsidR="00830070" w:rsidRPr="00C71B22">
        <w:rPr>
          <w:rFonts w:hAnsi="標楷體" w:hint="eastAsia"/>
          <w:color w:val="000000" w:themeColor="text1"/>
        </w:rPr>
        <w:t>總</w:t>
      </w:r>
      <w:r w:rsidRPr="00C71B22">
        <w:rPr>
          <w:rFonts w:hAnsi="標楷體" w:hint="eastAsia"/>
          <w:color w:val="000000" w:themeColor="text1"/>
        </w:rPr>
        <w:t>件數相較，</w:t>
      </w:r>
      <w:r w:rsidR="00830070" w:rsidRPr="00C71B22">
        <w:rPr>
          <w:rFonts w:hAnsi="標楷體" w:hint="eastAsia"/>
          <w:color w:val="000000" w:themeColor="text1"/>
        </w:rPr>
        <w:t>為數不多，惟似亦未見行政法院</w:t>
      </w:r>
      <w:r w:rsidR="00E21962" w:rsidRPr="00C71B22">
        <w:rPr>
          <w:rFonts w:hAnsi="標楷體" w:hint="eastAsia"/>
          <w:color w:val="000000" w:themeColor="text1"/>
        </w:rPr>
        <w:t>認</w:t>
      </w:r>
      <w:r w:rsidR="00830070" w:rsidRPr="00C71B22">
        <w:rPr>
          <w:rFonts w:hAnsi="標楷體" w:hint="eastAsia"/>
          <w:color w:val="000000" w:themeColor="text1"/>
        </w:rPr>
        <w:t>退休所得事件不適用行政訴訟法第15條之1</w:t>
      </w:r>
      <w:r w:rsidR="000562F0" w:rsidRPr="00C71B22">
        <w:rPr>
          <w:rFonts w:hAnsi="標楷體" w:hint="eastAsia"/>
          <w:color w:val="000000" w:themeColor="text1"/>
        </w:rPr>
        <w:t>規定</w:t>
      </w:r>
      <w:r w:rsidR="00830070" w:rsidRPr="00C71B22">
        <w:rPr>
          <w:rFonts w:hAnsi="標楷體" w:hint="eastAsia"/>
          <w:color w:val="000000" w:themeColor="text1"/>
        </w:rPr>
        <w:t>而駁</w:t>
      </w:r>
      <w:r w:rsidR="000562F0" w:rsidRPr="00C71B22">
        <w:rPr>
          <w:rFonts w:hAnsi="標楷體" w:hint="eastAsia"/>
          <w:color w:val="000000" w:themeColor="text1"/>
        </w:rPr>
        <w:t>回移轉管轄聲請之案例，是以，尚無訴願機關所稱多數見解或少數見解</w:t>
      </w:r>
      <w:r w:rsidR="00830070" w:rsidRPr="00C71B22">
        <w:rPr>
          <w:rFonts w:hAnsi="標楷體" w:hint="eastAsia"/>
          <w:color w:val="000000" w:themeColor="text1"/>
        </w:rPr>
        <w:t>問題。</w:t>
      </w:r>
      <w:r w:rsidR="000562F0" w:rsidRPr="00C71B22">
        <w:rPr>
          <w:rFonts w:hAnsi="標楷體" w:hint="eastAsia"/>
          <w:color w:val="000000" w:themeColor="text1"/>
        </w:rPr>
        <w:t>訴願機關</w:t>
      </w:r>
      <w:r w:rsidR="002A36D2" w:rsidRPr="00C71B22">
        <w:rPr>
          <w:rFonts w:hAnsi="標楷體" w:hint="eastAsia"/>
          <w:color w:val="000000" w:themeColor="text1"/>
        </w:rPr>
        <w:t>認</w:t>
      </w:r>
      <w:r w:rsidR="000562F0" w:rsidRPr="00C71B22">
        <w:rPr>
          <w:rFonts w:hAnsi="標楷體" w:hint="eastAsia"/>
          <w:color w:val="000000" w:themeColor="text1"/>
        </w:rPr>
        <w:t>為</w:t>
      </w:r>
      <w:r w:rsidR="002A36D2" w:rsidRPr="00C71B22">
        <w:rPr>
          <w:rFonts w:hAnsi="標楷體" w:hint="eastAsia"/>
          <w:color w:val="000000" w:themeColor="text1"/>
        </w:rPr>
        <w:t>軍</w:t>
      </w:r>
      <w:r w:rsidR="002A36D2" w:rsidRPr="00C71B22">
        <w:rPr>
          <w:rFonts w:ascii="新細明體" w:eastAsia="新細明體" w:hAnsi="新細明體" w:hint="eastAsia"/>
          <w:color w:val="000000" w:themeColor="text1"/>
        </w:rPr>
        <w:t>、</w:t>
      </w:r>
      <w:r w:rsidR="002A36D2" w:rsidRPr="00C71B22">
        <w:rPr>
          <w:rFonts w:hAnsi="標楷體" w:hint="eastAsia"/>
          <w:color w:val="000000" w:themeColor="text1"/>
        </w:rPr>
        <w:t>教人員並無上開管轄權條款之適用</w:t>
      </w:r>
      <w:r w:rsidR="002A36D2" w:rsidRPr="00C71B22">
        <w:rPr>
          <w:rFonts w:ascii="新細明體" w:eastAsia="新細明體" w:hAnsi="新細明體" w:hint="eastAsia"/>
          <w:color w:val="000000" w:themeColor="text1"/>
        </w:rPr>
        <w:t>，</w:t>
      </w:r>
      <w:r w:rsidR="000562F0" w:rsidRPr="00C71B22">
        <w:rPr>
          <w:rFonts w:hAnsi="標楷體" w:hint="eastAsia"/>
          <w:color w:val="000000" w:themeColor="text1"/>
        </w:rPr>
        <w:t>應</w:t>
      </w:r>
      <w:r w:rsidR="002A36D2" w:rsidRPr="00C71B22">
        <w:rPr>
          <w:rFonts w:hAnsi="標楷體" w:hint="eastAsia"/>
          <w:color w:val="000000" w:themeColor="text1"/>
        </w:rPr>
        <w:t>有更</w:t>
      </w:r>
      <w:r w:rsidR="000562F0" w:rsidRPr="00C71B22">
        <w:rPr>
          <w:rFonts w:hAnsi="標楷體" w:hint="eastAsia"/>
          <w:color w:val="000000" w:themeColor="text1"/>
        </w:rPr>
        <w:t>清楚的</w:t>
      </w:r>
      <w:r w:rsidR="00E21962" w:rsidRPr="00C71B22">
        <w:rPr>
          <w:rFonts w:hAnsi="標楷體" w:hint="eastAsia"/>
          <w:color w:val="000000" w:themeColor="text1"/>
        </w:rPr>
        <w:t>論理依據</w:t>
      </w:r>
      <w:r w:rsidR="002A36D2" w:rsidRPr="00C71B22">
        <w:rPr>
          <w:rFonts w:ascii="新細明體" w:eastAsia="新細明體" w:hAnsi="新細明體" w:hint="eastAsia"/>
          <w:color w:val="000000" w:themeColor="text1"/>
        </w:rPr>
        <w:t>，</w:t>
      </w:r>
      <w:r w:rsidR="000562F0" w:rsidRPr="00C71B22">
        <w:rPr>
          <w:rFonts w:hAnsi="標楷體" w:hint="eastAsia"/>
          <w:color w:val="000000" w:themeColor="text1"/>
        </w:rPr>
        <w:t>方能釋疑</w:t>
      </w:r>
      <w:r w:rsidR="002A36D2" w:rsidRPr="00C71B22">
        <w:rPr>
          <w:rFonts w:hAnsi="標楷體" w:hint="eastAsia"/>
          <w:color w:val="000000" w:themeColor="text1"/>
        </w:rPr>
        <w:t>。</w:t>
      </w:r>
    </w:p>
    <w:p w:rsidR="00863647" w:rsidRPr="00C71B22" w:rsidRDefault="000D0347" w:rsidP="00863647">
      <w:pPr>
        <w:pStyle w:val="3"/>
        <w:rPr>
          <w:color w:val="000000" w:themeColor="text1"/>
        </w:rPr>
      </w:pPr>
      <w:r w:rsidRPr="00C71B22">
        <w:rPr>
          <w:rFonts w:hAnsi="標楷體" w:hint="eastAsia"/>
          <w:color w:val="000000" w:themeColor="text1"/>
        </w:rPr>
        <w:t>綜上，年金改革實施後，「軍、教人員」重新審定退</w:t>
      </w:r>
      <w:r w:rsidR="00FB76B9" w:rsidRPr="00C71B22">
        <w:rPr>
          <w:rFonts w:hAnsi="標楷體" w:hint="eastAsia"/>
          <w:color w:val="000000" w:themeColor="text1"/>
        </w:rPr>
        <w:t>休所得事件，行政院暨國防部等訴願</w:t>
      </w:r>
      <w:r w:rsidRPr="00C71B22">
        <w:rPr>
          <w:rFonts w:hAnsi="標楷體" w:hint="eastAsia"/>
          <w:color w:val="000000" w:themeColor="text1"/>
        </w:rPr>
        <w:t>機關，率以</w:t>
      </w:r>
      <w:r w:rsidRPr="00C71B22">
        <w:rPr>
          <w:rFonts w:hAnsi="標楷體" w:hint="eastAsia"/>
          <w:color w:val="000000" w:themeColor="text1"/>
        </w:rPr>
        <w:lastRenderedPageBreak/>
        <w:t>「軍、教人員」與「公務人員」之身分不同及救濟途徑有別，狹隘認定非屬行政訴訟法第15條之1所稱之「公務員」，進而解讀並無該條「公務員職務所在地」管轄權規定之適用，僅依行政訴訟法第13條第1項「以原就被」原</w:t>
      </w:r>
      <w:r w:rsidR="00FB76B9" w:rsidRPr="00C71B22">
        <w:rPr>
          <w:rFonts w:hAnsi="標楷體" w:hint="eastAsia"/>
          <w:color w:val="000000" w:themeColor="text1"/>
        </w:rPr>
        <w:t>則單一教示管轄法院，除了地方政府重新審定教職人員退休所得事件，</w:t>
      </w:r>
      <w:r w:rsidRPr="00C71B22">
        <w:rPr>
          <w:rFonts w:hAnsi="標楷體" w:hint="eastAsia"/>
          <w:color w:val="000000" w:themeColor="text1"/>
        </w:rPr>
        <w:t>原處分機關分散各地，而附記各地行政法院管轄外，其餘軍</w:t>
      </w:r>
      <w:r w:rsidRPr="00C71B22">
        <w:rPr>
          <w:rFonts w:ascii="新細明體" w:eastAsia="新細明體" w:hAnsi="新細明體" w:hint="eastAsia"/>
          <w:color w:val="000000" w:themeColor="text1"/>
        </w:rPr>
        <w:t>、</w:t>
      </w:r>
      <w:r w:rsidR="00FB76B9" w:rsidRPr="00C71B22">
        <w:rPr>
          <w:rFonts w:hAnsi="標楷體" w:hint="eastAsia"/>
          <w:color w:val="000000" w:themeColor="text1"/>
        </w:rPr>
        <w:t>教人員重新審定退休所得事件，</w:t>
      </w:r>
      <w:r w:rsidR="00672746" w:rsidRPr="00C71B22">
        <w:rPr>
          <w:rFonts w:hAnsi="標楷體" w:hint="eastAsia"/>
          <w:color w:val="000000" w:themeColor="text1"/>
        </w:rPr>
        <w:t>仍</w:t>
      </w:r>
      <w:r w:rsidR="00FB76B9" w:rsidRPr="00C71B22">
        <w:rPr>
          <w:rFonts w:hAnsi="標楷體" w:hint="eastAsia"/>
          <w:color w:val="000000" w:themeColor="text1"/>
        </w:rPr>
        <w:t>單一教示</w:t>
      </w:r>
      <w:r w:rsidRPr="00C71B22">
        <w:rPr>
          <w:rFonts w:hAnsi="標楷體" w:hint="eastAsia"/>
          <w:color w:val="000000" w:themeColor="text1"/>
        </w:rPr>
        <w:t>由臺北高等行政法院管轄</w:t>
      </w:r>
      <w:r w:rsidRPr="00C71B22">
        <w:rPr>
          <w:rFonts w:ascii="新細明體" w:eastAsia="新細明體" w:hAnsi="新細明體" w:hint="eastAsia"/>
          <w:color w:val="000000" w:themeColor="text1"/>
        </w:rPr>
        <w:t>，</w:t>
      </w:r>
      <w:r w:rsidRPr="00C71B22">
        <w:rPr>
          <w:rFonts w:hAnsi="標楷體" w:hint="eastAsia"/>
          <w:color w:val="000000" w:themeColor="text1"/>
        </w:rPr>
        <w:t>核與行政訴訟法為便利「民告官」，修法併採「以被就原」原則</w:t>
      </w:r>
      <w:r w:rsidR="004665BF" w:rsidRPr="00C71B22">
        <w:rPr>
          <w:rFonts w:hAnsi="標楷體" w:hint="eastAsia"/>
          <w:color w:val="000000" w:themeColor="text1"/>
        </w:rPr>
        <w:t>而</w:t>
      </w:r>
      <w:r w:rsidRPr="00C71B22">
        <w:rPr>
          <w:rFonts w:hAnsi="標楷體" w:hint="eastAsia"/>
          <w:color w:val="000000" w:themeColor="text1"/>
        </w:rPr>
        <w:t>增訂第15條之1規定，</w:t>
      </w:r>
      <w:r w:rsidR="004665BF" w:rsidRPr="00C71B22">
        <w:rPr>
          <w:rFonts w:hAnsi="標楷體" w:hint="eastAsia"/>
          <w:color w:val="000000" w:themeColor="text1"/>
        </w:rPr>
        <w:t>便利</w:t>
      </w:r>
      <w:r w:rsidR="00CA7E13" w:rsidRPr="00C71B22">
        <w:rPr>
          <w:rFonts w:hAnsi="標楷體" w:hint="eastAsia"/>
          <w:color w:val="000000" w:themeColor="text1"/>
        </w:rPr>
        <w:t>人民</w:t>
      </w:r>
      <w:r w:rsidRPr="00C71B22">
        <w:rPr>
          <w:rFonts w:hAnsi="標楷體" w:hint="eastAsia"/>
          <w:color w:val="000000" w:themeColor="text1"/>
        </w:rPr>
        <w:t>就近尋求司法救濟</w:t>
      </w:r>
      <w:r w:rsidR="00FB76B9" w:rsidRPr="00C71B22">
        <w:rPr>
          <w:rFonts w:ascii="新細明體" w:eastAsia="新細明體" w:hAnsi="新細明體" w:hint="eastAsia"/>
          <w:color w:val="000000" w:themeColor="text1"/>
        </w:rPr>
        <w:t>，</w:t>
      </w:r>
      <w:r w:rsidR="00FB76B9" w:rsidRPr="00C71B22">
        <w:rPr>
          <w:rFonts w:hAnsi="標楷體" w:hint="eastAsia"/>
          <w:color w:val="000000" w:themeColor="text1"/>
        </w:rPr>
        <w:t>以充分保障人民訴訟權之立法</w:t>
      </w:r>
      <w:r w:rsidRPr="00C71B22">
        <w:rPr>
          <w:rFonts w:hAnsi="標楷體" w:hint="eastAsia"/>
          <w:color w:val="000000" w:themeColor="text1"/>
        </w:rPr>
        <w:t>意</w:t>
      </w:r>
      <w:r w:rsidR="00FB76B9" w:rsidRPr="00C71B22">
        <w:rPr>
          <w:rFonts w:hAnsi="標楷體" w:hint="eastAsia"/>
          <w:color w:val="000000" w:themeColor="text1"/>
        </w:rPr>
        <w:t>旨</w:t>
      </w:r>
      <w:r w:rsidRPr="00C71B22">
        <w:rPr>
          <w:rFonts w:ascii="新細明體" w:eastAsia="新細明體" w:hAnsi="新細明體" w:hint="eastAsia"/>
          <w:color w:val="000000" w:themeColor="text1"/>
        </w:rPr>
        <w:t>，</w:t>
      </w:r>
      <w:r w:rsidRPr="00C71B22">
        <w:rPr>
          <w:rFonts w:hAnsi="標楷體" w:hint="eastAsia"/>
          <w:color w:val="000000" w:themeColor="text1"/>
        </w:rPr>
        <w:t>有所未合，行政院允宜督促所屬確實檢討</w:t>
      </w:r>
      <w:r w:rsidRPr="00C71B22">
        <w:rPr>
          <w:rFonts w:ascii="新細明體" w:eastAsia="新細明體" w:hAnsi="新細明體" w:hint="eastAsia"/>
          <w:color w:val="000000" w:themeColor="text1"/>
        </w:rPr>
        <w:t>，</w:t>
      </w:r>
      <w:r w:rsidRPr="00C71B22">
        <w:rPr>
          <w:rFonts w:hAnsi="標楷體" w:hint="eastAsia"/>
          <w:color w:val="000000" w:themeColor="text1"/>
        </w:rPr>
        <w:t>以免爾後再生類此爭議</w:t>
      </w:r>
      <w:r w:rsidRPr="00C71B22">
        <w:rPr>
          <w:rFonts w:ascii="新細明體" w:eastAsia="新細明體" w:hAnsi="新細明體" w:hint="eastAsia"/>
          <w:color w:val="000000" w:themeColor="text1"/>
        </w:rPr>
        <w:t>，</w:t>
      </w:r>
      <w:r w:rsidRPr="00C71B22">
        <w:rPr>
          <w:rFonts w:hAnsi="標楷體" w:hint="eastAsia"/>
          <w:color w:val="000000" w:themeColor="text1"/>
        </w:rPr>
        <w:t>肇生民怨。</w:t>
      </w:r>
    </w:p>
    <w:p w:rsidR="003A5927" w:rsidRPr="00C71B22" w:rsidRDefault="003A5927" w:rsidP="00DE4238">
      <w:pPr>
        <w:pStyle w:val="31"/>
        <w:ind w:left="1361" w:firstLine="680"/>
        <w:rPr>
          <w:color w:val="000000" w:themeColor="text1"/>
        </w:rPr>
      </w:pPr>
    </w:p>
    <w:p w:rsidR="003A5927" w:rsidRPr="00C71B22" w:rsidRDefault="003A5927" w:rsidP="00DE4238">
      <w:pPr>
        <w:pStyle w:val="31"/>
        <w:ind w:left="1361" w:firstLine="680"/>
        <w:rPr>
          <w:color w:val="000000" w:themeColor="text1"/>
        </w:rPr>
      </w:pPr>
    </w:p>
    <w:p w:rsidR="003A5927" w:rsidRPr="00C71B22" w:rsidRDefault="003A5927" w:rsidP="00DE4238">
      <w:pPr>
        <w:pStyle w:val="31"/>
        <w:ind w:left="1361" w:firstLine="680"/>
        <w:rPr>
          <w:color w:val="000000" w:themeColor="text1"/>
        </w:rPr>
      </w:pPr>
    </w:p>
    <w:p w:rsidR="003A5927" w:rsidRPr="00C71B22" w:rsidRDefault="003A5927" w:rsidP="00DE4238">
      <w:pPr>
        <w:pStyle w:val="31"/>
        <w:ind w:left="1361" w:firstLine="680"/>
        <w:rPr>
          <w:color w:val="000000" w:themeColor="text1"/>
        </w:rPr>
      </w:pPr>
    </w:p>
    <w:p w:rsidR="003A5927" w:rsidRPr="00C71B22" w:rsidRDefault="003A5927" w:rsidP="00DE4238">
      <w:pPr>
        <w:pStyle w:val="31"/>
        <w:ind w:left="1361" w:firstLine="680"/>
        <w:rPr>
          <w:color w:val="000000" w:themeColor="text1"/>
        </w:rPr>
      </w:pPr>
    </w:p>
    <w:p w:rsidR="003A5927" w:rsidRPr="00C71B22" w:rsidRDefault="003A5927" w:rsidP="00DE4238">
      <w:pPr>
        <w:pStyle w:val="31"/>
        <w:ind w:left="1361" w:firstLine="680"/>
        <w:rPr>
          <w:color w:val="000000" w:themeColor="text1"/>
        </w:rPr>
      </w:pPr>
    </w:p>
    <w:p w:rsidR="00E25849" w:rsidRPr="00C71B22"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C71B22">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C71B22">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C71B22" w:rsidRDefault="008770BD" w:rsidP="00770453">
      <w:pPr>
        <w:pStyle w:val="2"/>
        <w:spacing w:beforeLines="25" w:before="114"/>
        <w:ind w:left="1020" w:hanging="680"/>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C71B22">
        <w:rPr>
          <w:rFonts w:hint="eastAsia"/>
          <w:color w:val="000000" w:themeColor="text1"/>
        </w:rPr>
        <w:t>調查意見一，函請考試院督促所屬檢討</w:t>
      </w:r>
      <w:r w:rsidR="006C2D3C" w:rsidRPr="00C71B22">
        <w:rPr>
          <w:rFonts w:hint="eastAsia"/>
          <w:color w:val="000000" w:themeColor="text1"/>
        </w:rPr>
        <w:t>研處</w:t>
      </w:r>
      <w:r w:rsidRPr="00C71B22">
        <w:rPr>
          <w:rFonts w:hint="eastAsia"/>
          <w:color w:val="000000" w:themeColor="text1"/>
        </w:rPr>
        <w:t>見復</w:t>
      </w:r>
      <w:r w:rsidR="00FB7770" w:rsidRPr="00C71B22">
        <w:rPr>
          <w:rFonts w:hAnsi="標楷體" w:hint="eastAsia"/>
          <w:color w:val="000000" w:themeColor="text1"/>
        </w:rPr>
        <w:t>。</w:t>
      </w:r>
      <w:bookmarkEnd w:id="78"/>
      <w:bookmarkEnd w:id="79"/>
      <w:bookmarkEnd w:id="80"/>
      <w:bookmarkEnd w:id="81"/>
      <w:bookmarkEnd w:id="82"/>
      <w:bookmarkEnd w:id="83"/>
      <w:bookmarkEnd w:id="84"/>
    </w:p>
    <w:p w:rsidR="00E25849" w:rsidRPr="00C71B22" w:rsidRDefault="008770BD">
      <w:pPr>
        <w:pStyle w:val="2"/>
        <w:rPr>
          <w:color w:val="000000" w:themeColor="text1"/>
        </w:rPr>
      </w:pPr>
      <w:bookmarkStart w:id="104" w:name="_Toc421794877"/>
      <w:bookmarkStart w:id="105" w:name="_Toc421795443"/>
      <w:bookmarkStart w:id="106" w:name="_Toc421796024"/>
      <w:bookmarkStart w:id="107" w:name="_Toc422728959"/>
      <w:bookmarkStart w:id="108" w:name="_Toc422834162"/>
      <w:r w:rsidRPr="00C71B22">
        <w:rPr>
          <w:rFonts w:hint="eastAsia"/>
          <w:color w:val="000000" w:themeColor="text1"/>
        </w:rPr>
        <w:t>調查意見二</w:t>
      </w:r>
      <w:r w:rsidR="00E25849" w:rsidRPr="00C71B22">
        <w:rPr>
          <w:rFonts w:hint="eastAsia"/>
          <w:color w:val="000000" w:themeColor="text1"/>
        </w:rPr>
        <w:t>，</w:t>
      </w:r>
      <w:r w:rsidRPr="00C71B22">
        <w:rPr>
          <w:rFonts w:hint="eastAsia"/>
          <w:color w:val="000000" w:themeColor="text1"/>
        </w:rPr>
        <w:t>函請行政院督促所屬檢討</w:t>
      </w:r>
      <w:r w:rsidR="006C2D3C" w:rsidRPr="00C71B22">
        <w:rPr>
          <w:rFonts w:hint="eastAsia"/>
          <w:color w:val="000000" w:themeColor="text1"/>
        </w:rPr>
        <w:t>研處</w:t>
      </w:r>
      <w:r w:rsidRPr="00C71B22">
        <w:rPr>
          <w:rFonts w:hint="eastAsia"/>
          <w:color w:val="000000" w:themeColor="text1"/>
        </w:rPr>
        <w:t>見復</w:t>
      </w:r>
      <w:r w:rsidR="00E25849" w:rsidRPr="00C71B22">
        <w:rPr>
          <w:rFonts w:hint="eastAsia"/>
          <w:color w:val="000000" w:themeColor="text1"/>
        </w:rPr>
        <w:t>。</w:t>
      </w:r>
      <w:bookmarkEnd w:id="85"/>
      <w:bookmarkEnd w:id="86"/>
      <w:bookmarkEnd w:id="87"/>
      <w:bookmarkEnd w:id="88"/>
      <w:bookmarkEnd w:id="89"/>
      <w:bookmarkEnd w:id="90"/>
      <w:bookmarkEnd w:id="91"/>
      <w:bookmarkEnd w:id="92"/>
      <w:bookmarkEnd w:id="104"/>
      <w:bookmarkEnd w:id="105"/>
      <w:bookmarkEnd w:id="106"/>
      <w:bookmarkEnd w:id="107"/>
      <w:bookmarkEnd w:id="108"/>
    </w:p>
    <w:p w:rsidR="008770BD" w:rsidRPr="00C71B22" w:rsidRDefault="008770BD" w:rsidP="00560DDA">
      <w:pPr>
        <w:pStyle w:val="2"/>
        <w:rPr>
          <w:color w:val="000000" w:themeColor="text1"/>
        </w:rPr>
      </w:pPr>
      <w:bookmarkStart w:id="109" w:name="_Toc70241818"/>
      <w:bookmarkStart w:id="110" w:name="_Toc70242207"/>
      <w:r w:rsidRPr="00C71B22">
        <w:rPr>
          <w:rFonts w:hint="eastAsia"/>
          <w:color w:val="000000" w:themeColor="text1"/>
        </w:rPr>
        <w:t>調查意見</w:t>
      </w:r>
      <w:r w:rsidRPr="00C71B22">
        <w:rPr>
          <w:rFonts w:ascii="新細明體" w:eastAsia="新細明體" w:hAnsi="新細明體" w:hint="eastAsia"/>
          <w:color w:val="000000" w:themeColor="text1"/>
        </w:rPr>
        <w:t>，</w:t>
      </w:r>
      <w:r w:rsidRPr="00C71B22">
        <w:rPr>
          <w:rFonts w:hint="eastAsia"/>
          <w:color w:val="000000" w:themeColor="text1"/>
        </w:rPr>
        <w:t>函復陳訴人</w:t>
      </w:r>
      <w:r w:rsidRPr="00C71B22">
        <w:rPr>
          <w:rFonts w:hAnsi="標楷體" w:hint="eastAsia"/>
          <w:color w:val="000000" w:themeColor="text1"/>
        </w:rPr>
        <w:t>。</w:t>
      </w:r>
    </w:p>
    <w:bookmarkEnd w:id="93"/>
    <w:bookmarkEnd w:id="94"/>
    <w:bookmarkEnd w:id="95"/>
    <w:bookmarkEnd w:id="96"/>
    <w:bookmarkEnd w:id="97"/>
    <w:bookmarkEnd w:id="98"/>
    <w:bookmarkEnd w:id="99"/>
    <w:bookmarkEnd w:id="100"/>
    <w:bookmarkEnd w:id="101"/>
    <w:bookmarkEnd w:id="102"/>
    <w:bookmarkEnd w:id="103"/>
    <w:bookmarkEnd w:id="109"/>
    <w:bookmarkEnd w:id="110"/>
    <w:p w:rsidR="00770453" w:rsidRPr="00C71B22"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C71B22">
        <w:rPr>
          <w:rFonts w:hint="eastAsia"/>
          <w:b w:val="0"/>
          <w:bCs/>
          <w:snapToGrid/>
          <w:color w:val="000000" w:themeColor="text1"/>
          <w:spacing w:val="12"/>
          <w:kern w:val="0"/>
          <w:sz w:val="40"/>
        </w:rPr>
        <w:t>調查委員：</w:t>
      </w:r>
      <w:r w:rsidR="005E64E5">
        <w:rPr>
          <w:rFonts w:hint="eastAsia"/>
          <w:b w:val="0"/>
          <w:bCs/>
          <w:snapToGrid/>
          <w:color w:val="000000" w:themeColor="text1"/>
          <w:spacing w:val="12"/>
          <w:kern w:val="0"/>
          <w:sz w:val="40"/>
        </w:rPr>
        <w:t>仉桂美</w:t>
      </w:r>
    </w:p>
    <w:p w:rsidR="005E64E5" w:rsidRPr="00C71B22" w:rsidRDefault="005E64E5" w:rsidP="00770453">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 xml:space="preserve">          劉德勳</w:t>
      </w:r>
    </w:p>
    <w:p w:rsidR="00770453" w:rsidRPr="00C71B22" w:rsidRDefault="00770453" w:rsidP="00770453">
      <w:pPr>
        <w:pStyle w:val="aa"/>
        <w:spacing w:before="0" w:after="0"/>
        <w:ind w:leftChars="1100" w:left="3742"/>
        <w:rPr>
          <w:rFonts w:ascii="Times New Roman"/>
          <w:b w:val="0"/>
          <w:bCs/>
          <w:snapToGrid/>
          <w:color w:val="000000" w:themeColor="text1"/>
          <w:spacing w:val="0"/>
          <w:kern w:val="0"/>
          <w:sz w:val="40"/>
        </w:rPr>
      </w:pPr>
    </w:p>
    <w:p w:rsidR="000D0931" w:rsidRPr="00C71B22" w:rsidRDefault="000D0931" w:rsidP="00770453">
      <w:pPr>
        <w:pStyle w:val="aa"/>
        <w:spacing w:before="0" w:after="0"/>
        <w:ind w:leftChars="1100" w:left="3742"/>
        <w:rPr>
          <w:rFonts w:ascii="Times New Roman"/>
          <w:b w:val="0"/>
          <w:bCs/>
          <w:snapToGrid/>
          <w:color w:val="000000" w:themeColor="text1"/>
          <w:spacing w:val="0"/>
          <w:kern w:val="0"/>
          <w:sz w:val="40"/>
        </w:rPr>
      </w:pPr>
    </w:p>
    <w:p w:rsidR="00E25849" w:rsidRPr="00C71B22" w:rsidRDefault="00E25849">
      <w:pPr>
        <w:pStyle w:val="af"/>
        <w:rPr>
          <w:rFonts w:hAnsi="標楷體"/>
          <w:bCs/>
          <w:color w:val="000000" w:themeColor="text1"/>
        </w:rPr>
      </w:pPr>
      <w:r w:rsidRPr="00C71B22">
        <w:rPr>
          <w:rFonts w:hAnsi="標楷體" w:hint="eastAsia"/>
          <w:bCs/>
          <w:color w:val="000000" w:themeColor="text1"/>
        </w:rPr>
        <w:t>中</w:t>
      </w:r>
      <w:r w:rsidR="00B5484D" w:rsidRPr="00C71B22">
        <w:rPr>
          <w:rFonts w:hAnsi="標楷體" w:hint="eastAsia"/>
          <w:bCs/>
          <w:color w:val="000000" w:themeColor="text1"/>
        </w:rPr>
        <w:t xml:space="preserve">  </w:t>
      </w:r>
      <w:r w:rsidRPr="00C71B22">
        <w:rPr>
          <w:rFonts w:hAnsi="標楷體" w:hint="eastAsia"/>
          <w:bCs/>
          <w:color w:val="000000" w:themeColor="text1"/>
        </w:rPr>
        <w:t>華</w:t>
      </w:r>
      <w:r w:rsidR="00B5484D" w:rsidRPr="00C71B22">
        <w:rPr>
          <w:rFonts w:hAnsi="標楷體" w:hint="eastAsia"/>
          <w:bCs/>
          <w:color w:val="000000" w:themeColor="text1"/>
        </w:rPr>
        <w:t xml:space="preserve">  </w:t>
      </w:r>
      <w:r w:rsidRPr="00C71B22">
        <w:rPr>
          <w:rFonts w:hAnsi="標楷體" w:hint="eastAsia"/>
          <w:bCs/>
          <w:color w:val="000000" w:themeColor="text1"/>
        </w:rPr>
        <w:t>民</w:t>
      </w:r>
      <w:r w:rsidR="00B5484D" w:rsidRPr="00C71B22">
        <w:rPr>
          <w:rFonts w:hAnsi="標楷體" w:hint="eastAsia"/>
          <w:bCs/>
          <w:color w:val="000000" w:themeColor="text1"/>
        </w:rPr>
        <w:t xml:space="preserve">  </w:t>
      </w:r>
      <w:r w:rsidRPr="00C71B22">
        <w:rPr>
          <w:rFonts w:hAnsi="標楷體" w:hint="eastAsia"/>
          <w:bCs/>
          <w:color w:val="000000" w:themeColor="text1"/>
        </w:rPr>
        <w:t xml:space="preserve">國　</w:t>
      </w:r>
      <w:r w:rsidR="001E74C2" w:rsidRPr="00C71B22">
        <w:rPr>
          <w:rFonts w:hAnsi="標楷體" w:hint="eastAsia"/>
          <w:bCs/>
          <w:color w:val="000000" w:themeColor="text1"/>
        </w:rPr>
        <w:t>10</w:t>
      </w:r>
      <w:r w:rsidR="000D0931" w:rsidRPr="00C71B22">
        <w:rPr>
          <w:rFonts w:hAnsi="標楷體" w:hint="eastAsia"/>
          <w:bCs/>
          <w:color w:val="000000" w:themeColor="text1"/>
        </w:rPr>
        <w:t>9</w:t>
      </w:r>
      <w:r w:rsidRPr="00C71B22">
        <w:rPr>
          <w:rFonts w:hAnsi="標楷體" w:hint="eastAsia"/>
          <w:bCs/>
          <w:color w:val="000000" w:themeColor="text1"/>
        </w:rPr>
        <w:t xml:space="preserve">　年　</w:t>
      </w:r>
      <w:r w:rsidR="00531634" w:rsidRPr="00C71B22">
        <w:rPr>
          <w:rFonts w:hAnsi="標楷體"/>
          <w:bCs/>
          <w:color w:val="000000" w:themeColor="text1"/>
        </w:rPr>
        <w:t>3</w:t>
      </w:r>
      <w:r w:rsidR="00A07B4B" w:rsidRPr="00C71B22">
        <w:rPr>
          <w:rFonts w:hAnsi="標楷體" w:hint="eastAsia"/>
          <w:bCs/>
          <w:color w:val="000000" w:themeColor="text1"/>
        </w:rPr>
        <w:t xml:space="preserve"> </w:t>
      </w:r>
      <w:r w:rsidRPr="00C71B22">
        <w:rPr>
          <w:rFonts w:hAnsi="標楷體" w:hint="eastAsia"/>
          <w:bCs/>
          <w:color w:val="000000" w:themeColor="text1"/>
        </w:rPr>
        <w:t xml:space="preserve">　月　</w:t>
      </w:r>
      <w:r w:rsidR="005E64E5">
        <w:rPr>
          <w:rFonts w:hAnsi="標楷體" w:hint="eastAsia"/>
          <w:bCs/>
          <w:color w:val="000000" w:themeColor="text1"/>
        </w:rPr>
        <w:t>12</w:t>
      </w:r>
      <w:r w:rsidRPr="00C71B22">
        <w:rPr>
          <w:rFonts w:hAnsi="標楷體" w:hint="eastAsia"/>
          <w:bCs/>
          <w:color w:val="000000" w:themeColor="text1"/>
        </w:rPr>
        <w:t xml:space="preserve">　日</w:t>
      </w:r>
    </w:p>
    <w:p w:rsidR="00416721" w:rsidRPr="008A5F3D" w:rsidRDefault="00416721">
      <w:pPr>
        <w:widowControl/>
        <w:overflowPunct/>
        <w:autoSpaceDE/>
        <w:autoSpaceDN/>
        <w:jc w:val="left"/>
        <w:rPr>
          <w:bCs/>
          <w:color w:val="000000" w:themeColor="text1"/>
          <w:kern w:val="0"/>
        </w:rPr>
      </w:pPr>
    </w:p>
    <w:sectPr w:rsidR="00416721" w:rsidRPr="008A5F3D" w:rsidSect="00417BBD">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28" w:rsidRDefault="00132928">
      <w:r>
        <w:separator/>
      </w:r>
    </w:p>
  </w:endnote>
  <w:endnote w:type="continuationSeparator" w:id="0">
    <w:p w:rsidR="00132928" w:rsidRDefault="0013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11" w:rsidRDefault="00824C1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9460E">
      <w:rPr>
        <w:rStyle w:val="ac"/>
        <w:noProof/>
        <w:sz w:val="24"/>
      </w:rPr>
      <w:t>1</w:t>
    </w:r>
    <w:r>
      <w:rPr>
        <w:rStyle w:val="ac"/>
        <w:sz w:val="24"/>
      </w:rPr>
      <w:fldChar w:fldCharType="end"/>
    </w:r>
  </w:p>
  <w:p w:rsidR="00824C11" w:rsidRDefault="00824C1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28" w:rsidRDefault="00132928">
      <w:r>
        <w:separator/>
      </w:r>
    </w:p>
  </w:footnote>
  <w:footnote w:type="continuationSeparator" w:id="0">
    <w:p w:rsidR="00132928" w:rsidRDefault="00132928">
      <w:r>
        <w:continuationSeparator/>
      </w:r>
    </w:p>
  </w:footnote>
  <w:footnote w:id="1">
    <w:p w:rsidR="00824C11" w:rsidRPr="00CC4A5B" w:rsidRDefault="00824C11">
      <w:pPr>
        <w:pStyle w:val="afc"/>
        <w:rPr>
          <w:rFonts w:hAnsi="標楷體"/>
        </w:rPr>
      </w:pPr>
      <w:r w:rsidRPr="00CC4A5B">
        <w:rPr>
          <w:rStyle w:val="afe"/>
          <w:rFonts w:hAnsi="標楷體"/>
        </w:rPr>
        <w:footnoteRef/>
      </w:r>
      <w:r w:rsidRPr="00CC4A5B">
        <w:rPr>
          <w:rFonts w:hAnsi="標楷體"/>
        </w:rPr>
        <w:t xml:space="preserve"> </w:t>
      </w:r>
      <w:r w:rsidRPr="00CC4A5B">
        <w:rPr>
          <w:rFonts w:hAnsi="標楷體" w:hint="eastAsia"/>
        </w:rPr>
        <w:t>參照吳庚，行政爭訟法論，2014年</w:t>
      </w:r>
      <w:r>
        <w:rPr>
          <w:rFonts w:hAnsi="標楷體" w:hint="eastAsia"/>
        </w:rPr>
        <w:t>七</w:t>
      </w:r>
      <w:r w:rsidRPr="00CC4A5B">
        <w:rPr>
          <w:rFonts w:hAnsi="標楷體" w:hint="eastAsia"/>
        </w:rPr>
        <w:t>版，頁49；陳清秀，行政訴訟法，2015年9月</w:t>
      </w:r>
      <w:r>
        <w:rPr>
          <w:rFonts w:hAnsi="標楷體" w:hint="eastAsia"/>
        </w:rPr>
        <w:t>七</w:t>
      </w:r>
      <w:r w:rsidRPr="00CC4A5B">
        <w:rPr>
          <w:rFonts w:hAnsi="標楷體" w:hint="eastAsia"/>
        </w:rPr>
        <w:t>版，頁309。</w:t>
      </w:r>
    </w:p>
  </w:footnote>
  <w:footnote w:id="2">
    <w:p w:rsidR="00824C11" w:rsidRDefault="00824C11">
      <w:pPr>
        <w:pStyle w:val="afc"/>
      </w:pPr>
      <w:r>
        <w:rPr>
          <w:rStyle w:val="afe"/>
        </w:rPr>
        <w:footnoteRef/>
      </w:r>
      <w:r>
        <w:t xml:space="preserve"> </w:t>
      </w:r>
      <w:r>
        <w:rPr>
          <w:rFonts w:hint="eastAsia"/>
        </w:rPr>
        <w:t>參見法務部90年3月1日</w:t>
      </w:r>
      <w:r>
        <w:rPr>
          <w:rFonts w:ascii="新細明體" w:eastAsia="新細明體" w:hAnsi="新細明體" w:hint="eastAsia"/>
        </w:rPr>
        <w:t>（</w:t>
      </w:r>
      <w:r>
        <w:rPr>
          <w:rFonts w:hint="eastAsia"/>
        </w:rPr>
        <w:t>90</w:t>
      </w:r>
      <w:r>
        <w:rPr>
          <w:rFonts w:hAnsi="標楷體" w:hint="eastAsia"/>
        </w:rPr>
        <w:t>）</w:t>
      </w:r>
      <w:r>
        <w:rPr>
          <w:rFonts w:hint="eastAsia"/>
        </w:rPr>
        <w:t>法律字第005602號函</w:t>
      </w:r>
      <w:r>
        <w:rPr>
          <w:rFonts w:hAnsi="標楷體" w:hint="eastAsia"/>
        </w:rPr>
        <w:t>。</w:t>
      </w:r>
    </w:p>
  </w:footnote>
  <w:footnote w:id="3">
    <w:p w:rsidR="00824C11" w:rsidRPr="00516959" w:rsidRDefault="00824C11" w:rsidP="00803A01">
      <w:pPr>
        <w:pStyle w:val="afc"/>
        <w:ind w:leftChars="-12" w:left="168" w:hangingChars="95" w:hanging="209"/>
        <w:rPr>
          <w:rFonts w:hAnsi="標楷體"/>
        </w:rPr>
      </w:pPr>
      <w:r w:rsidRPr="00516959">
        <w:rPr>
          <w:rStyle w:val="afe"/>
          <w:rFonts w:hAnsi="標楷體"/>
        </w:rPr>
        <w:footnoteRef/>
      </w:r>
      <w:r w:rsidRPr="00516959">
        <w:rPr>
          <w:rFonts w:hAnsi="標楷體"/>
        </w:rPr>
        <w:t xml:space="preserve"> </w:t>
      </w:r>
      <w:r w:rsidRPr="00516959">
        <w:rPr>
          <w:rFonts w:hAnsi="標楷體" w:hint="eastAsia"/>
        </w:rPr>
        <w:t>參見翁岳生主編，許宗力、張登科副主編，行政訴訟法逐條釋義，2018年7月二版，頁</w:t>
      </w:r>
      <w:r w:rsidR="00803A01">
        <w:rPr>
          <w:rFonts w:hAnsi="標楷體" w:hint="eastAsia"/>
        </w:rPr>
        <w:t>208</w:t>
      </w:r>
      <w:r w:rsidRPr="00516959">
        <w:rPr>
          <w:rFonts w:hAnsi="標楷體" w:hint="eastAsia"/>
        </w:rPr>
        <w:t>；行政法-基礎與理論實務，</w:t>
      </w:r>
      <w:r>
        <w:rPr>
          <w:rFonts w:hAnsi="標楷體" w:hint="eastAsia"/>
        </w:rPr>
        <w:t>2019年二版</w:t>
      </w:r>
      <w:r>
        <w:rPr>
          <w:rFonts w:ascii="新細明體" w:eastAsia="新細明體" w:hAnsi="新細明體" w:hint="eastAsia"/>
        </w:rPr>
        <w:t>，</w:t>
      </w:r>
      <w:r w:rsidRPr="00516959">
        <w:rPr>
          <w:rFonts w:hAnsi="標楷體" w:hint="eastAsia"/>
        </w:rPr>
        <w:t>頁711。</w:t>
      </w:r>
    </w:p>
  </w:footnote>
  <w:footnote w:id="4">
    <w:p w:rsidR="00803A01" w:rsidRPr="00803A01" w:rsidRDefault="00803A01" w:rsidP="00803A01">
      <w:pPr>
        <w:pStyle w:val="afc"/>
        <w:ind w:left="181" w:hangingChars="82" w:hanging="181"/>
      </w:pPr>
      <w:r>
        <w:rPr>
          <w:rStyle w:val="afe"/>
        </w:rPr>
        <w:footnoteRef/>
      </w:r>
      <w:r>
        <w:t xml:space="preserve"> </w:t>
      </w:r>
      <w:r w:rsidRPr="00803A01">
        <w:rPr>
          <w:rFonts w:hint="eastAsia"/>
        </w:rPr>
        <w:t>參見臺中高等行政法院100年度訴字第444號、第33</w:t>
      </w:r>
      <w:r w:rsidRPr="00803A01">
        <w:t>2</w:t>
      </w:r>
      <w:r w:rsidRPr="00803A01">
        <w:rPr>
          <w:rFonts w:hint="eastAsia"/>
        </w:rPr>
        <w:t>號判決、102年度訴字第383號判決；最高行政法院108年度裁字第858號裁定；高雄高等行政法院108年度訴字第107號、108年度年訴字第121號、第140號、第148、第196號判決。</w:t>
      </w:r>
    </w:p>
  </w:footnote>
  <w:footnote w:id="5">
    <w:p w:rsidR="00824C11" w:rsidRDefault="00824C11">
      <w:pPr>
        <w:pStyle w:val="afc"/>
      </w:pPr>
      <w:r>
        <w:rPr>
          <w:rStyle w:val="afe"/>
        </w:rPr>
        <w:footnoteRef/>
      </w:r>
      <w:r>
        <w:t xml:space="preserve"> </w:t>
      </w:r>
      <w:r>
        <w:rPr>
          <w:rFonts w:hint="eastAsia"/>
        </w:rPr>
        <w:t>參見法務部90年3月1日</w:t>
      </w:r>
      <w:r>
        <w:rPr>
          <w:rFonts w:ascii="新細明體" w:eastAsia="新細明體" w:hAnsi="新細明體" w:hint="eastAsia"/>
        </w:rPr>
        <w:t>（</w:t>
      </w:r>
      <w:r>
        <w:rPr>
          <w:rFonts w:hint="eastAsia"/>
        </w:rPr>
        <w:t>90</w:t>
      </w:r>
      <w:r>
        <w:rPr>
          <w:rFonts w:hAnsi="標楷體" w:hint="eastAsia"/>
        </w:rPr>
        <w:t>）</w:t>
      </w:r>
      <w:r>
        <w:rPr>
          <w:rFonts w:hint="eastAsia"/>
        </w:rPr>
        <w:t>法律字第005602號函</w:t>
      </w:r>
      <w:r>
        <w:rPr>
          <w:rFonts w:hAnsi="標楷體" w:hint="eastAsia"/>
        </w:rPr>
        <w:t>。</w:t>
      </w:r>
    </w:p>
  </w:footnote>
  <w:footnote w:id="6">
    <w:p w:rsidR="00803A01" w:rsidRPr="00803A01" w:rsidRDefault="00803A01" w:rsidP="00B75FF3">
      <w:pPr>
        <w:pStyle w:val="afc"/>
        <w:ind w:leftChars="5" w:left="239" w:hangingChars="101" w:hanging="222"/>
      </w:pPr>
      <w:r>
        <w:rPr>
          <w:rStyle w:val="afe"/>
        </w:rPr>
        <w:footnoteRef/>
      </w:r>
      <w:r>
        <w:t xml:space="preserve"> </w:t>
      </w:r>
      <w:r w:rsidRPr="00803A01">
        <w:rPr>
          <w:rFonts w:hint="eastAsia"/>
        </w:rPr>
        <w:t>參見臺中高等行政法院100年度訴字第444號、第33</w:t>
      </w:r>
      <w:r w:rsidRPr="00803A01">
        <w:t>2</w:t>
      </w:r>
      <w:r w:rsidRPr="00803A01">
        <w:rPr>
          <w:rFonts w:hint="eastAsia"/>
        </w:rPr>
        <w:t>號判決、102年度訴字第383號判決；最高行政法院108年度裁字第858號裁定；高雄高等行政法院108年度訴字第107號、108年度年訴字第121號、第140號、第148、第196號判決。</w:t>
      </w:r>
    </w:p>
  </w:footnote>
  <w:footnote w:id="7">
    <w:p w:rsidR="00824C11" w:rsidRPr="003A7F11" w:rsidRDefault="00824C11" w:rsidP="00930168">
      <w:pPr>
        <w:pStyle w:val="afc"/>
        <w:rPr>
          <w:rFonts w:hAnsi="標楷體"/>
        </w:rPr>
      </w:pPr>
      <w:r w:rsidRPr="003A7F11">
        <w:rPr>
          <w:rStyle w:val="afe"/>
          <w:rFonts w:hAnsi="標楷體"/>
        </w:rPr>
        <w:footnoteRef/>
      </w:r>
      <w:r w:rsidRPr="003A7F11">
        <w:rPr>
          <w:rFonts w:hAnsi="標楷體"/>
        </w:rPr>
        <w:t xml:space="preserve"> </w:t>
      </w:r>
      <w:r w:rsidRPr="003A7F11">
        <w:rPr>
          <w:rFonts w:hAnsi="標楷體" w:hint="eastAsia"/>
        </w:rPr>
        <w:t>據行政院</w:t>
      </w:r>
      <w:r>
        <w:rPr>
          <w:rFonts w:hAnsi="標楷體" w:hint="eastAsia"/>
        </w:rPr>
        <w:t>表示</w:t>
      </w:r>
      <w:r w:rsidRPr="003A7F11">
        <w:rPr>
          <w:rFonts w:hAnsi="標楷體" w:hint="eastAsia"/>
        </w:rPr>
        <w:t>，不服該院訴願決定</w:t>
      </w:r>
      <w:r>
        <w:rPr>
          <w:rFonts w:hAnsi="標楷體" w:hint="eastAsia"/>
        </w:rPr>
        <w:t>而</w:t>
      </w:r>
      <w:r w:rsidRPr="003A7F11">
        <w:rPr>
          <w:rFonts w:hAnsi="標楷體" w:hint="eastAsia"/>
        </w:rPr>
        <w:t>提起行政訴訟部分，因無從知悉個別訴願是否提起共同訴訟，或共同訴願是否個別提起訴訟，故無</w:t>
      </w:r>
      <w:r>
        <w:rPr>
          <w:rFonts w:hAnsi="標楷體" w:hint="eastAsia"/>
        </w:rPr>
        <w:t>法</w:t>
      </w:r>
      <w:r w:rsidRPr="003A7F11">
        <w:rPr>
          <w:rFonts w:hAnsi="標楷體" w:hint="eastAsia"/>
        </w:rPr>
        <w:t>統計人數。</w:t>
      </w:r>
    </w:p>
  </w:footnote>
  <w:footnote w:id="8">
    <w:p w:rsidR="005E64E5" w:rsidRDefault="005E64E5">
      <w:pPr>
        <w:pStyle w:val="afc"/>
      </w:pPr>
      <w:r>
        <w:rPr>
          <w:rStyle w:val="afe"/>
        </w:rPr>
        <w:footnoteRef/>
      </w:r>
      <w:r>
        <w:t xml:space="preserve"> </w:t>
      </w:r>
      <w:r>
        <w:rPr>
          <w:rFonts w:hint="eastAsia"/>
        </w:rPr>
        <w:t>同註6</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18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10A"/>
    <w:rsid w:val="000112BF"/>
    <w:rsid w:val="00012233"/>
    <w:rsid w:val="00017318"/>
    <w:rsid w:val="000229AD"/>
    <w:rsid w:val="000246F7"/>
    <w:rsid w:val="000267CD"/>
    <w:rsid w:val="00030C8B"/>
    <w:rsid w:val="0003114D"/>
    <w:rsid w:val="00036D76"/>
    <w:rsid w:val="0004519D"/>
    <w:rsid w:val="00047EE6"/>
    <w:rsid w:val="00053473"/>
    <w:rsid w:val="00054682"/>
    <w:rsid w:val="000562F0"/>
    <w:rsid w:val="00057F32"/>
    <w:rsid w:val="000606B6"/>
    <w:rsid w:val="00062A25"/>
    <w:rsid w:val="00062F65"/>
    <w:rsid w:val="00073CB5"/>
    <w:rsid w:val="0007425C"/>
    <w:rsid w:val="00077553"/>
    <w:rsid w:val="00083A46"/>
    <w:rsid w:val="000848C3"/>
    <w:rsid w:val="000851A2"/>
    <w:rsid w:val="00090CBA"/>
    <w:rsid w:val="00091420"/>
    <w:rsid w:val="00091D29"/>
    <w:rsid w:val="0009352E"/>
    <w:rsid w:val="00095988"/>
    <w:rsid w:val="00096B96"/>
    <w:rsid w:val="000A2F3F"/>
    <w:rsid w:val="000B0B4A"/>
    <w:rsid w:val="000B279A"/>
    <w:rsid w:val="000B61D2"/>
    <w:rsid w:val="000B70A7"/>
    <w:rsid w:val="000B723C"/>
    <w:rsid w:val="000B73DD"/>
    <w:rsid w:val="000C495F"/>
    <w:rsid w:val="000C4C82"/>
    <w:rsid w:val="000D0347"/>
    <w:rsid w:val="000D0931"/>
    <w:rsid w:val="000D32C4"/>
    <w:rsid w:val="000D3ECD"/>
    <w:rsid w:val="000D66D9"/>
    <w:rsid w:val="000E16DC"/>
    <w:rsid w:val="000E5842"/>
    <w:rsid w:val="000E633E"/>
    <w:rsid w:val="000E6431"/>
    <w:rsid w:val="000F21A5"/>
    <w:rsid w:val="00102B9F"/>
    <w:rsid w:val="00112637"/>
    <w:rsid w:val="00112ABC"/>
    <w:rsid w:val="001151F1"/>
    <w:rsid w:val="0012001E"/>
    <w:rsid w:val="00126A55"/>
    <w:rsid w:val="001274A8"/>
    <w:rsid w:val="00127B7F"/>
    <w:rsid w:val="00127FA6"/>
    <w:rsid w:val="00132928"/>
    <w:rsid w:val="00133F08"/>
    <w:rsid w:val="001345E6"/>
    <w:rsid w:val="0013624D"/>
    <w:rsid w:val="001378B0"/>
    <w:rsid w:val="00142E00"/>
    <w:rsid w:val="0014333A"/>
    <w:rsid w:val="00143DB1"/>
    <w:rsid w:val="00152793"/>
    <w:rsid w:val="00153B7E"/>
    <w:rsid w:val="001545A9"/>
    <w:rsid w:val="001637C7"/>
    <w:rsid w:val="0016480E"/>
    <w:rsid w:val="00173759"/>
    <w:rsid w:val="00174297"/>
    <w:rsid w:val="00180E06"/>
    <w:rsid w:val="001817B3"/>
    <w:rsid w:val="00183014"/>
    <w:rsid w:val="00183AEA"/>
    <w:rsid w:val="001871FB"/>
    <w:rsid w:val="00193E30"/>
    <w:rsid w:val="001959C2"/>
    <w:rsid w:val="00196A0C"/>
    <w:rsid w:val="00196BAF"/>
    <w:rsid w:val="001A51E3"/>
    <w:rsid w:val="001A7968"/>
    <w:rsid w:val="001B2E98"/>
    <w:rsid w:val="001B3483"/>
    <w:rsid w:val="001B3C1E"/>
    <w:rsid w:val="001B4494"/>
    <w:rsid w:val="001C0D8B"/>
    <w:rsid w:val="001C0DA8"/>
    <w:rsid w:val="001D0586"/>
    <w:rsid w:val="001D0E12"/>
    <w:rsid w:val="001D2BD4"/>
    <w:rsid w:val="001D4AD7"/>
    <w:rsid w:val="001E0D8A"/>
    <w:rsid w:val="001E4E53"/>
    <w:rsid w:val="001E5E4B"/>
    <w:rsid w:val="001E67BA"/>
    <w:rsid w:val="001E74C2"/>
    <w:rsid w:val="001F47C3"/>
    <w:rsid w:val="001F4F82"/>
    <w:rsid w:val="001F5A48"/>
    <w:rsid w:val="001F6260"/>
    <w:rsid w:val="001F6A74"/>
    <w:rsid w:val="00200007"/>
    <w:rsid w:val="002021B2"/>
    <w:rsid w:val="002030A5"/>
    <w:rsid w:val="00203131"/>
    <w:rsid w:val="00207196"/>
    <w:rsid w:val="00212E88"/>
    <w:rsid w:val="00213C9C"/>
    <w:rsid w:val="0022009E"/>
    <w:rsid w:val="0022162C"/>
    <w:rsid w:val="00223241"/>
    <w:rsid w:val="0022425C"/>
    <w:rsid w:val="002246DE"/>
    <w:rsid w:val="002336EB"/>
    <w:rsid w:val="002429E2"/>
    <w:rsid w:val="002433C6"/>
    <w:rsid w:val="00252BC4"/>
    <w:rsid w:val="00254014"/>
    <w:rsid w:val="00254A17"/>
    <w:rsid w:val="00254B39"/>
    <w:rsid w:val="00261A64"/>
    <w:rsid w:val="0026504D"/>
    <w:rsid w:val="00273A2F"/>
    <w:rsid w:val="00274299"/>
    <w:rsid w:val="0027595F"/>
    <w:rsid w:val="00280986"/>
    <w:rsid w:val="0028131E"/>
    <w:rsid w:val="00281ECE"/>
    <w:rsid w:val="002821DA"/>
    <w:rsid w:val="002831C7"/>
    <w:rsid w:val="002840C6"/>
    <w:rsid w:val="00292E2C"/>
    <w:rsid w:val="00295174"/>
    <w:rsid w:val="00296172"/>
    <w:rsid w:val="00296B92"/>
    <w:rsid w:val="002A2C22"/>
    <w:rsid w:val="002A2D4B"/>
    <w:rsid w:val="002A36D2"/>
    <w:rsid w:val="002B02EB"/>
    <w:rsid w:val="002B06A8"/>
    <w:rsid w:val="002B077C"/>
    <w:rsid w:val="002B3DBA"/>
    <w:rsid w:val="002C0602"/>
    <w:rsid w:val="002C438E"/>
    <w:rsid w:val="002C4804"/>
    <w:rsid w:val="002D3616"/>
    <w:rsid w:val="002D5C16"/>
    <w:rsid w:val="002D60F9"/>
    <w:rsid w:val="002F2476"/>
    <w:rsid w:val="002F3DFF"/>
    <w:rsid w:val="002F5450"/>
    <w:rsid w:val="002F5E05"/>
    <w:rsid w:val="002F683F"/>
    <w:rsid w:val="00307A76"/>
    <w:rsid w:val="00311125"/>
    <w:rsid w:val="0031455E"/>
    <w:rsid w:val="00315A16"/>
    <w:rsid w:val="00317053"/>
    <w:rsid w:val="0032109C"/>
    <w:rsid w:val="00322B45"/>
    <w:rsid w:val="00323809"/>
    <w:rsid w:val="00323D41"/>
    <w:rsid w:val="00325414"/>
    <w:rsid w:val="003302F1"/>
    <w:rsid w:val="00335272"/>
    <w:rsid w:val="00336786"/>
    <w:rsid w:val="0034470E"/>
    <w:rsid w:val="00347B69"/>
    <w:rsid w:val="00352DB0"/>
    <w:rsid w:val="00361063"/>
    <w:rsid w:val="00366092"/>
    <w:rsid w:val="003706BD"/>
    <w:rsid w:val="0037094A"/>
    <w:rsid w:val="00371ED3"/>
    <w:rsid w:val="00372659"/>
    <w:rsid w:val="00372FFC"/>
    <w:rsid w:val="00374CCC"/>
    <w:rsid w:val="0037728A"/>
    <w:rsid w:val="00380B7D"/>
    <w:rsid w:val="00381A99"/>
    <w:rsid w:val="003829C2"/>
    <w:rsid w:val="003830B2"/>
    <w:rsid w:val="00384724"/>
    <w:rsid w:val="00385911"/>
    <w:rsid w:val="00391074"/>
    <w:rsid w:val="003919B7"/>
    <w:rsid w:val="00391D57"/>
    <w:rsid w:val="00392292"/>
    <w:rsid w:val="00394F45"/>
    <w:rsid w:val="003969FC"/>
    <w:rsid w:val="003A32E7"/>
    <w:rsid w:val="003A5927"/>
    <w:rsid w:val="003A7F11"/>
    <w:rsid w:val="003B1017"/>
    <w:rsid w:val="003B3C07"/>
    <w:rsid w:val="003B6081"/>
    <w:rsid w:val="003B6775"/>
    <w:rsid w:val="003C219A"/>
    <w:rsid w:val="003C5FE2"/>
    <w:rsid w:val="003C6DCC"/>
    <w:rsid w:val="003C71FB"/>
    <w:rsid w:val="003D05FB"/>
    <w:rsid w:val="003D0D1D"/>
    <w:rsid w:val="003D1B16"/>
    <w:rsid w:val="003D45BF"/>
    <w:rsid w:val="003D508A"/>
    <w:rsid w:val="003D537F"/>
    <w:rsid w:val="003D7B75"/>
    <w:rsid w:val="003E0208"/>
    <w:rsid w:val="003E0DC1"/>
    <w:rsid w:val="003E4B57"/>
    <w:rsid w:val="003E7111"/>
    <w:rsid w:val="003E7E36"/>
    <w:rsid w:val="003F0950"/>
    <w:rsid w:val="003F27E1"/>
    <w:rsid w:val="003F437A"/>
    <w:rsid w:val="003F4399"/>
    <w:rsid w:val="003F5C2B"/>
    <w:rsid w:val="00402240"/>
    <w:rsid w:val="004023E9"/>
    <w:rsid w:val="0040454A"/>
    <w:rsid w:val="00413F83"/>
    <w:rsid w:val="0041490C"/>
    <w:rsid w:val="00414B7F"/>
    <w:rsid w:val="00416191"/>
    <w:rsid w:val="00416721"/>
    <w:rsid w:val="00417BBD"/>
    <w:rsid w:val="004219D6"/>
    <w:rsid w:val="00421EF0"/>
    <w:rsid w:val="004224FA"/>
    <w:rsid w:val="00423D07"/>
    <w:rsid w:val="00425077"/>
    <w:rsid w:val="0042522F"/>
    <w:rsid w:val="00427936"/>
    <w:rsid w:val="0044346F"/>
    <w:rsid w:val="00445964"/>
    <w:rsid w:val="00453FF6"/>
    <w:rsid w:val="00462EAE"/>
    <w:rsid w:val="0046520A"/>
    <w:rsid w:val="004665BF"/>
    <w:rsid w:val="004672AB"/>
    <w:rsid w:val="004714FE"/>
    <w:rsid w:val="00474E8A"/>
    <w:rsid w:val="00475C93"/>
    <w:rsid w:val="00477BAA"/>
    <w:rsid w:val="00493BCE"/>
    <w:rsid w:val="00495053"/>
    <w:rsid w:val="004A1F59"/>
    <w:rsid w:val="004A29BE"/>
    <w:rsid w:val="004A3225"/>
    <w:rsid w:val="004A33EE"/>
    <w:rsid w:val="004A3AA8"/>
    <w:rsid w:val="004A76C9"/>
    <w:rsid w:val="004B13C7"/>
    <w:rsid w:val="004B191E"/>
    <w:rsid w:val="004B778F"/>
    <w:rsid w:val="004C0609"/>
    <w:rsid w:val="004C2F3C"/>
    <w:rsid w:val="004C639F"/>
    <w:rsid w:val="004C7BD4"/>
    <w:rsid w:val="004D06D8"/>
    <w:rsid w:val="004D141F"/>
    <w:rsid w:val="004D2650"/>
    <w:rsid w:val="004D2742"/>
    <w:rsid w:val="004D6310"/>
    <w:rsid w:val="004E0062"/>
    <w:rsid w:val="004E05A1"/>
    <w:rsid w:val="004E3C48"/>
    <w:rsid w:val="004E7E7D"/>
    <w:rsid w:val="004F472A"/>
    <w:rsid w:val="004F5E57"/>
    <w:rsid w:val="004F6710"/>
    <w:rsid w:val="00500C3E"/>
    <w:rsid w:val="00502849"/>
    <w:rsid w:val="00504334"/>
    <w:rsid w:val="0050498D"/>
    <w:rsid w:val="005104D7"/>
    <w:rsid w:val="00510B9E"/>
    <w:rsid w:val="00516959"/>
    <w:rsid w:val="0052042E"/>
    <w:rsid w:val="00522B8A"/>
    <w:rsid w:val="005278DB"/>
    <w:rsid w:val="00531634"/>
    <w:rsid w:val="00536BC2"/>
    <w:rsid w:val="00537B93"/>
    <w:rsid w:val="005425E1"/>
    <w:rsid w:val="005427C5"/>
    <w:rsid w:val="00542CF6"/>
    <w:rsid w:val="00552620"/>
    <w:rsid w:val="00553C03"/>
    <w:rsid w:val="00560DDA"/>
    <w:rsid w:val="00563692"/>
    <w:rsid w:val="00567CDA"/>
    <w:rsid w:val="00571679"/>
    <w:rsid w:val="00573012"/>
    <w:rsid w:val="005776F9"/>
    <w:rsid w:val="00584235"/>
    <w:rsid w:val="005844E7"/>
    <w:rsid w:val="005908B8"/>
    <w:rsid w:val="00594594"/>
    <w:rsid w:val="0059512E"/>
    <w:rsid w:val="00595E30"/>
    <w:rsid w:val="005A6DD2"/>
    <w:rsid w:val="005A7D62"/>
    <w:rsid w:val="005C385D"/>
    <w:rsid w:val="005C5C1B"/>
    <w:rsid w:val="005D3B20"/>
    <w:rsid w:val="005D4D62"/>
    <w:rsid w:val="005D4F2B"/>
    <w:rsid w:val="005D5AE9"/>
    <w:rsid w:val="005D71B7"/>
    <w:rsid w:val="005E14A5"/>
    <w:rsid w:val="005E1ACE"/>
    <w:rsid w:val="005E4759"/>
    <w:rsid w:val="005E5C68"/>
    <w:rsid w:val="005E64E5"/>
    <w:rsid w:val="005E65C0"/>
    <w:rsid w:val="005F0390"/>
    <w:rsid w:val="00601304"/>
    <w:rsid w:val="006072CD"/>
    <w:rsid w:val="00612023"/>
    <w:rsid w:val="0061307E"/>
    <w:rsid w:val="00614190"/>
    <w:rsid w:val="00622A99"/>
    <w:rsid w:val="00622E67"/>
    <w:rsid w:val="00626B57"/>
    <w:rsid w:val="00626EDC"/>
    <w:rsid w:val="00627987"/>
    <w:rsid w:val="0064395F"/>
    <w:rsid w:val="006452D3"/>
    <w:rsid w:val="006470EC"/>
    <w:rsid w:val="00652251"/>
    <w:rsid w:val="006542D6"/>
    <w:rsid w:val="0065598E"/>
    <w:rsid w:val="00655AF2"/>
    <w:rsid w:val="00655BC5"/>
    <w:rsid w:val="0065607F"/>
    <w:rsid w:val="00656517"/>
    <w:rsid w:val="006568BE"/>
    <w:rsid w:val="0066025D"/>
    <w:rsid w:val="0066091A"/>
    <w:rsid w:val="00672746"/>
    <w:rsid w:val="006773EC"/>
    <w:rsid w:val="00680504"/>
    <w:rsid w:val="00681CD9"/>
    <w:rsid w:val="00682FD1"/>
    <w:rsid w:val="00683E30"/>
    <w:rsid w:val="0068555F"/>
    <w:rsid w:val="00687024"/>
    <w:rsid w:val="006903C5"/>
    <w:rsid w:val="00692737"/>
    <w:rsid w:val="00693E1D"/>
    <w:rsid w:val="006948FA"/>
    <w:rsid w:val="00694DC5"/>
    <w:rsid w:val="00695E22"/>
    <w:rsid w:val="006A662F"/>
    <w:rsid w:val="006B1F1F"/>
    <w:rsid w:val="006B59BA"/>
    <w:rsid w:val="006B5AA4"/>
    <w:rsid w:val="006B7093"/>
    <w:rsid w:val="006B7417"/>
    <w:rsid w:val="006C2973"/>
    <w:rsid w:val="006C2A32"/>
    <w:rsid w:val="006C2D3C"/>
    <w:rsid w:val="006C667E"/>
    <w:rsid w:val="006D31F9"/>
    <w:rsid w:val="006D3691"/>
    <w:rsid w:val="006D5DF3"/>
    <w:rsid w:val="006D5E66"/>
    <w:rsid w:val="006D7D47"/>
    <w:rsid w:val="006E5EF0"/>
    <w:rsid w:val="006F3563"/>
    <w:rsid w:val="006F42B9"/>
    <w:rsid w:val="006F6103"/>
    <w:rsid w:val="00704E00"/>
    <w:rsid w:val="00705F09"/>
    <w:rsid w:val="00715F97"/>
    <w:rsid w:val="007209E7"/>
    <w:rsid w:val="00722F9C"/>
    <w:rsid w:val="00726182"/>
    <w:rsid w:val="007264D6"/>
    <w:rsid w:val="00727635"/>
    <w:rsid w:val="00732329"/>
    <w:rsid w:val="00732F53"/>
    <w:rsid w:val="007337CA"/>
    <w:rsid w:val="00734CE4"/>
    <w:rsid w:val="00735123"/>
    <w:rsid w:val="007365C8"/>
    <w:rsid w:val="0074046D"/>
    <w:rsid w:val="00741837"/>
    <w:rsid w:val="00742AAD"/>
    <w:rsid w:val="00743990"/>
    <w:rsid w:val="007453E6"/>
    <w:rsid w:val="00746F79"/>
    <w:rsid w:val="00761947"/>
    <w:rsid w:val="00762DC9"/>
    <w:rsid w:val="00765488"/>
    <w:rsid w:val="00770453"/>
    <w:rsid w:val="0077309D"/>
    <w:rsid w:val="007774EE"/>
    <w:rsid w:val="00781822"/>
    <w:rsid w:val="00783F21"/>
    <w:rsid w:val="00786A12"/>
    <w:rsid w:val="00787159"/>
    <w:rsid w:val="0079043A"/>
    <w:rsid w:val="007906F8"/>
    <w:rsid w:val="007910CB"/>
    <w:rsid w:val="00791668"/>
    <w:rsid w:val="00791AA1"/>
    <w:rsid w:val="007A3793"/>
    <w:rsid w:val="007B5A24"/>
    <w:rsid w:val="007C1BA2"/>
    <w:rsid w:val="007C2B48"/>
    <w:rsid w:val="007D20E9"/>
    <w:rsid w:val="007D7881"/>
    <w:rsid w:val="007D7E3A"/>
    <w:rsid w:val="007E0E10"/>
    <w:rsid w:val="007E4768"/>
    <w:rsid w:val="007E777B"/>
    <w:rsid w:val="007F2070"/>
    <w:rsid w:val="007F63C1"/>
    <w:rsid w:val="00801B20"/>
    <w:rsid w:val="00803A01"/>
    <w:rsid w:val="008048C7"/>
    <w:rsid w:val="008053F5"/>
    <w:rsid w:val="00807AF7"/>
    <w:rsid w:val="00807DB2"/>
    <w:rsid w:val="00810198"/>
    <w:rsid w:val="00815DA8"/>
    <w:rsid w:val="00817005"/>
    <w:rsid w:val="0082194D"/>
    <w:rsid w:val="008221F9"/>
    <w:rsid w:val="00824C11"/>
    <w:rsid w:val="008250B0"/>
    <w:rsid w:val="00826EF5"/>
    <w:rsid w:val="00830070"/>
    <w:rsid w:val="00831693"/>
    <w:rsid w:val="00833248"/>
    <w:rsid w:val="00834442"/>
    <w:rsid w:val="008351EB"/>
    <w:rsid w:val="00840104"/>
    <w:rsid w:val="00840C1F"/>
    <w:rsid w:val="008411C9"/>
    <w:rsid w:val="00841FC5"/>
    <w:rsid w:val="00843D0F"/>
    <w:rsid w:val="00845709"/>
    <w:rsid w:val="00852CA8"/>
    <w:rsid w:val="00855E2D"/>
    <w:rsid w:val="008576BD"/>
    <w:rsid w:val="00860463"/>
    <w:rsid w:val="00863647"/>
    <w:rsid w:val="008733DA"/>
    <w:rsid w:val="00876979"/>
    <w:rsid w:val="008770BD"/>
    <w:rsid w:val="008837B0"/>
    <w:rsid w:val="008850E4"/>
    <w:rsid w:val="00887B8A"/>
    <w:rsid w:val="0089027E"/>
    <w:rsid w:val="0089345F"/>
    <w:rsid w:val="008939AB"/>
    <w:rsid w:val="008A12F5"/>
    <w:rsid w:val="008A5F3D"/>
    <w:rsid w:val="008B1587"/>
    <w:rsid w:val="008B1B01"/>
    <w:rsid w:val="008B3BCD"/>
    <w:rsid w:val="008B48AD"/>
    <w:rsid w:val="008B6DF8"/>
    <w:rsid w:val="008B6FE7"/>
    <w:rsid w:val="008B7CCD"/>
    <w:rsid w:val="008C106C"/>
    <w:rsid w:val="008C10F1"/>
    <w:rsid w:val="008C1926"/>
    <w:rsid w:val="008C1E99"/>
    <w:rsid w:val="008E0085"/>
    <w:rsid w:val="008E1612"/>
    <w:rsid w:val="008E2AA6"/>
    <w:rsid w:val="008E311B"/>
    <w:rsid w:val="008E3D27"/>
    <w:rsid w:val="008E45A4"/>
    <w:rsid w:val="008F46E7"/>
    <w:rsid w:val="008F64CA"/>
    <w:rsid w:val="008F6F0B"/>
    <w:rsid w:val="008F7E4B"/>
    <w:rsid w:val="00907BA7"/>
    <w:rsid w:val="0091064E"/>
    <w:rsid w:val="00911FC5"/>
    <w:rsid w:val="00917BC9"/>
    <w:rsid w:val="00930168"/>
    <w:rsid w:val="00931A10"/>
    <w:rsid w:val="00932477"/>
    <w:rsid w:val="00935360"/>
    <w:rsid w:val="00947967"/>
    <w:rsid w:val="00955201"/>
    <w:rsid w:val="00965200"/>
    <w:rsid w:val="009668B3"/>
    <w:rsid w:val="00970D5A"/>
    <w:rsid w:val="00971471"/>
    <w:rsid w:val="00974DB0"/>
    <w:rsid w:val="00982D14"/>
    <w:rsid w:val="009849C2"/>
    <w:rsid w:val="00984D24"/>
    <w:rsid w:val="009858EB"/>
    <w:rsid w:val="0099782D"/>
    <w:rsid w:val="009A3F47"/>
    <w:rsid w:val="009B0046"/>
    <w:rsid w:val="009B5F76"/>
    <w:rsid w:val="009C0664"/>
    <w:rsid w:val="009C0FD3"/>
    <w:rsid w:val="009C1440"/>
    <w:rsid w:val="009C2107"/>
    <w:rsid w:val="009C5D9E"/>
    <w:rsid w:val="009D0AEB"/>
    <w:rsid w:val="009D2C3E"/>
    <w:rsid w:val="009E0625"/>
    <w:rsid w:val="009E3034"/>
    <w:rsid w:val="009E4704"/>
    <w:rsid w:val="009E549F"/>
    <w:rsid w:val="009F28A8"/>
    <w:rsid w:val="009F473E"/>
    <w:rsid w:val="009F5247"/>
    <w:rsid w:val="009F5261"/>
    <w:rsid w:val="009F5BA6"/>
    <w:rsid w:val="009F682A"/>
    <w:rsid w:val="009F6DDD"/>
    <w:rsid w:val="009F7136"/>
    <w:rsid w:val="00A022BE"/>
    <w:rsid w:val="00A07B4B"/>
    <w:rsid w:val="00A128A1"/>
    <w:rsid w:val="00A21E1F"/>
    <w:rsid w:val="00A24C95"/>
    <w:rsid w:val="00A2599A"/>
    <w:rsid w:val="00A26094"/>
    <w:rsid w:val="00A301BF"/>
    <w:rsid w:val="00A302B2"/>
    <w:rsid w:val="00A30510"/>
    <w:rsid w:val="00A331B4"/>
    <w:rsid w:val="00A34629"/>
    <w:rsid w:val="00A3484E"/>
    <w:rsid w:val="00A356D3"/>
    <w:rsid w:val="00A36ADA"/>
    <w:rsid w:val="00A37C4D"/>
    <w:rsid w:val="00A438D8"/>
    <w:rsid w:val="00A44D1A"/>
    <w:rsid w:val="00A473F5"/>
    <w:rsid w:val="00A51F9D"/>
    <w:rsid w:val="00A5416A"/>
    <w:rsid w:val="00A639F4"/>
    <w:rsid w:val="00A64063"/>
    <w:rsid w:val="00A65864"/>
    <w:rsid w:val="00A65AEE"/>
    <w:rsid w:val="00A65FAE"/>
    <w:rsid w:val="00A72BFB"/>
    <w:rsid w:val="00A77A7E"/>
    <w:rsid w:val="00A8166F"/>
    <w:rsid w:val="00A81A32"/>
    <w:rsid w:val="00A83401"/>
    <w:rsid w:val="00A835BD"/>
    <w:rsid w:val="00A84A75"/>
    <w:rsid w:val="00A86441"/>
    <w:rsid w:val="00A9215B"/>
    <w:rsid w:val="00A97B15"/>
    <w:rsid w:val="00AA42D5"/>
    <w:rsid w:val="00AB2FAB"/>
    <w:rsid w:val="00AB5C14"/>
    <w:rsid w:val="00AC1EE7"/>
    <w:rsid w:val="00AC333F"/>
    <w:rsid w:val="00AC585C"/>
    <w:rsid w:val="00AD1925"/>
    <w:rsid w:val="00AE067D"/>
    <w:rsid w:val="00AF1181"/>
    <w:rsid w:val="00AF2F79"/>
    <w:rsid w:val="00AF4653"/>
    <w:rsid w:val="00AF508B"/>
    <w:rsid w:val="00AF7DB7"/>
    <w:rsid w:val="00B006DF"/>
    <w:rsid w:val="00B10D02"/>
    <w:rsid w:val="00B10F71"/>
    <w:rsid w:val="00B1421A"/>
    <w:rsid w:val="00B1708E"/>
    <w:rsid w:val="00B201E2"/>
    <w:rsid w:val="00B21CF7"/>
    <w:rsid w:val="00B23764"/>
    <w:rsid w:val="00B24110"/>
    <w:rsid w:val="00B443E4"/>
    <w:rsid w:val="00B5484D"/>
    <w:rsid w:val="00B563EA"/>
    <w:rsid w:val="00B56CDF"/>
    <w:rsid w:val="00B60E51"/>
    <w:rsid w:val="00B63A54"/>
    <w:rsid w:val="00B66151"/>
    <w:rsid w:val="00B7003C"/>
    <w:rsid w:val="00B75FF3"/>
    <w:rsid w:val="00B77D18"/>
    <w:rsid w:val="00B8313A"/>
    <w:rsid w:val="00B869F3"/>
    <w:rsid w:val="00B93503"/>
    <w:rsid w:val="00B939CF"/>
    <w:rsid w:val="00BA2057"/>
    <w:rsid w:val="00BA31E8"/>
    <w:rsid w:val="00BA55E0"/>
    <w:rsid w:val="00BA6BD4"/>
    <w:rsid w:val="00BA6C7A"/>
    <w:rsid w:val="00BB1169"/>
    <w:rsid w:val="00BB14A3"/>
    <w:rsid w:val="00BB17D1"/>
    <w:rsid w:val="00BB3752"/>
    <w:rsid w:val="00BB6688"/>
    <w:rsid w:val="00BB7626"/>
    <w:rsid w:val="00BC00E8"/>
    <w:rsid w:val="00BC181E"/>
    <w:rsid w:val="00BC26D4"/>
    <w:rsid w:val="00BC2AE1"/>
    <w:rsid w:val="00BD349C"/>
    <w:rsid w:val="00BD5D9A"/>
    <w:rsid w:val="00BE0C80"/>
    <w:rsid w:val="00BF247F"/>
    <w:rsid w:val="00BF2A42"/>
    <w:rsid w:val="00C03D8C"/>
    <w:rsid w:val="00C055EC"/>
    <w:rsid w:val="00C10396"/>
    <w:rsid w:val="00C10DC9"/>
    <w:rsid w:val="00C12FB3"/>
    <w:rsid w:val="00C17341"/>
    <w:rsid w:val="00C22500"/>
    <w:rsid w:val="00C24EEF"/>
    <w:rsid w:val="00C25CF6"/>
    <w:rsid w:val="00C26C36"/>
    <w:rsid w:val="00C31A10"/>
    <w:rsid w:val="00C32768"/>
    <w:rsid w:val="00C36659"/>
    <w:rsid w:val="00C431DF"/>
    <w:rsid w:val="00C456BD"/>
    <w:rsid w:val="00C460B3"/>
    <w:rsid w:val="00C530DC"/>
    <w:rsid w:val="00C5350D"/>
    <w:rsid w:val="00C610A1"/>
    <w:rsid w:val="00C6123C"/>
    <w:rsid w:val="00C6311A"/>
    <w:rsid w:val="00C7084D"/>
    <w:rsid w:val="00C71B22"/>
    <w:rsid w:val="00C7315E"/>
    <w:rsid w:val="00C75895"/>
    <w:rsid w:val="00C8112A"/>
    <w:rsid w:val="00C83C9F"/>
    <w:rsid w:val="00C94840"/>
    <w:rsid w:val="00CA4EE3"/>
    <w:rsid w:val="00CA7E13"/>
    <w:rsid w:val="00CB027F"/>
    <w:rsid w:val="00CC0EBB"/>
    <w:rsid w:val="00CC26DE"/>
    <w:rsid w:val="00CC470E"/>
    <w:rsid w:val="00CC4A5B"/>
    <w:rsid w:val="00CC60B6"/>
    <w:rsid w:val="00CC6297"/>
    <w:rsid w:val="00CC7690"/>
    <w:rsid w:val="00CD1986"/>
    <w:rsid w:val="00CD54BF"/>
    <w:rsid w:val="00CD5F30"/>
    <w:rsid w:val="00CE2131"/>
    <w:rsid w:val="00CE4D5C"/>
    <w:rsid w:val="00CE522C"/>
    <w:rsid w:val="00CF05DA"/>
    <w:rsid w:val="00CF58EB"/>
    <w:rsid w:val="00CF6FEC"/>
    <w:rsid w:val="00D0106E"/>
    <w:rsid w:val="00D023C6"/>
    <w:rsid w:val="00D04734"/>
    <w:rsid w:val="00D06383"/>
    <w:rsid w:val="00D14ACA"/>
    <w:rsid w:val="00D17AE7"/>
    <w:rsid w:val="00D20E85"/>
    <w:rsid w:val="00D240A7"/>
    <w:rsid w:val="00D24615"/>
    <w:rsid w:val="00D255B6"/>
    <w:rsid w:val="00D335A0"/>
    <w:rsid w:val="00D37842"/>
    <w:rsid w:val="00D42DC2"/>
    <w:rsid w:val="00D4302B"/>
    <w:rsid w:val="00D4535A"/>
    <w:rsid w:val="00D537E1"/>
    <w:rsid w:val="00D55BB2"/>
    <w:rsid w:val="00D56401"/>
    <w:rsid w:val="00D6091A"/>
    <w:rsid w:val="00D63B40"/>
    <w:rsid w:val="00D6605A"/>
    <w:rsid w:val="00D6695F"/>
    <w:rsid w:val="00D75644"/>
    <w:rsid w:val="00D81656"/>
    <w:rsid w:val="00D81FF7"/>
    <w:rsid w:val="00D8233F"/>
    <w:rsid w:val="00D83D87"/>
    <w:rsid w:val="00D84A6D"/>
    <w:rsid w:val="00D86A30"/>
    <w:rsid w:val="00D877FE"/>
    <w:rsid w:val="00D946A5"/>
    <w:rsid w:val="00D96FAD"/>
    <w:rsid w:val="00D97CB4"/>
    <w:rsid w:val="00D97DD4"/>
    <w:rsid w:val="00DA47C8"/>
    <w:rsid w:val="00DA5A8A"/>
    <w:rsid w:val="00DB1170"/>
    <w:rsid w:val="00DB26CD"/>
    <w:rsid w:val="00DB441C"/>
    <w:rsid w:val="00DB44AF"/>
    <w:rsid w:val="00DB4C05"/>
    <w:rsid w:val="00DB4D4D"/>
    <w:rsid w:val="00DC1F58"/>
    <w:rsid w:val="00DC2234"/>
    <w:rsid w:val="00DC24FE"/>
    <w:rsid w:val="00DC339B"/>
    <w:rsid w:val="00DC4AE0"/>
    <w:rsid w:val="00DC5AE9"/>
    <w:rsid w:val="00DC5D40"/>
    <w:rsid w:val="00DC6346"/>
    <w:rsid w:val="00DC69A7"/>
    <w:rsid w:val="00DD30E9"/>
    <w:rsid w:val="00DD4F47"/>
    <w:rsid w:val="00DD7FBB"/>
    <w:rsid w:val="00DE0B9F"/>
    <w:rsid w:val="00DE2A9E"/>
    <w:rsid w:val="00DE4238"/>
    <w:rsid w:val="00DE5052"/>
    <w:rsid w:val="00DE657F"/>
    <w:rsid w:val="00DF1218"/>
    <w:rsid w:val="00DF20F9"/>
    <w:rsid w:val="00DF6462"/>
    <w:rsid w:val="00DF727C"/>
    <w:rsid w:val="00E0102C"/>
    <w:rsid w:val="00E02FA0"/>
    <w:rsid w:val="00E036DC"/>
    <w:rsid w:val="00E10454"/>
    <w:rsid w:val="00E10A85"/>
    <w:rsid w:val="00E112E5"/>
    <w:rsid w:val="00E122D8"/>
    <w:rsid w:val="00E12CC8"/>
    <w:rsid w:val="00E12D47"/>
    <w:rsid w:val="00E14B9B"/>
    <w:rsid w:val="00E15352"/>
    <w:rsid w:val="00E21962"/>
    <w:rsid w:val="00E21CC7"/>
    <w:rsid w:val="00E232D9"/>
    <w:rsid w:val="00E24D9E"/>
    <w:rsid w:val="00E25849"/>
    <w:rsid w:val="00E3197E"/>
    <w:rsid w:val="00E31BA0"/>
    <w:rsid w:val="00E342F8"/>
    <w:rsid w:val="00E351ED"/>
    <w:rsid w:val="00E36C03"/>
    <w:rsid w:val="00E36EDE"/>
    <w:rsid w:val="00E422B5"/>
    <w:rsid w:val="00E42B19"/>
    <w:rsid w:val="00E50492"/>
    <w:rsid w:val="00E54736"/>
    <w:rsid w:val="00E6034B"/>
    <w:rsid w:val="00E62E00"/>
    <w:rsid w:val="00E634CF"/>
    <w:rsid w:val="00E6549E"/>
    <w:rsid w:val="00E65EDE"/>
    <w:rsid w:val="00E70F81"/>
    <w:rsid w:val="00E729E3"/>
    <w:rsid w:val="00E76513"/>
    <w:rsid w:val="00E77055"/>
    <w:rsid w:val="00E77460"/>
    <w:rsid w:val="00E80A8E"/>
    <w:rsid w:val="00E81E5B"/>
    <w:rsid w:val="00E83ABC"/>
    <w:rsid w:val="00E844F2"/>
    <w:rsid w:val="00E84A2B"/>
    <w:rsid w:val="00E90AD0"/>
    <w:rsid w:val="00E92FCB"/>
    <w:rsid w:val="00E9460E"/>
    <w:rsid w:val="00EA0CF1"/>
    <w:rsid w:val="00EA147F"/>
    <w:rsid w:val="00EA3802"/>
    <w:rsid w:val="00EA4A27"/>
    <w:rsid w:val="00EA4F67"/>
    <w:rsid w:val="00EA4FA6"/>
    <w:rsid w:val="00EB1A25"/>
    <w:rsid w:val="00EC7363"/>
    <w:rsid w:val="00ED03AB"/>
    <w:rsid w:val="00ED1853"/>
    <w:rsid w:val="00ED1963"/>
    <w:rsid w:val="00ED1CD4"/>
    <w:rsid w:val="00ED1D2B"/>
    <w:rsid w:val="00ED64B5"/>
    <w:rsid w:val="00EE50AD"/>
    <w:rsid w:val="00EE7CCA"/>
    <w:rsid w:val="00EF0666"/>
    <w:rsid w:val="00F06A01"/>
    <w:rsid w:val="00F06E53"/>
    <w:rsid w:val="00F10462"/>
    <w:rsid w:val="00F10495"/>
    <w:rsid w:val="00F1578F"/>
    <w:rsid w:val="00F16A14"/>
    <w:rsid w:val="00F26777"/>
    <w:rsid w:val="00F26C1F"/>
    <w:rsid w:val="00F31FC9"/>
    <w:rsid w:val="00F349D2"/>
    <w:rsid w:val="00F362D7"/>
    <w:rsid w:val="00F37D7B"/>
    <w:rsid w:val="00F5314C"/>
    <w:rsid w:val="00F5688C"/>
    <w:rsid w:val="00F57A1F"/>
    <w:rsid w:val="00F60048"/>
    <w:rsid w:val="00F635DD"/>
    <w:rsid w:val="00F6627B"/>
    <w:rsid w:val="00F6723E"/>
    <w:rsid w:val="00F677EF"/>
    <w:rsid w:val="00F71EFB"/>
    <w:rsid w:val="00F7336E"/>
    <w:rsid w:val="00F734F2"/>
    <w:rsid w:val="00F75052"/>
    <w:rsid w:val="00F804D3"/>
    <w:rsid w:val="00F816CB"/>
    <w:rsid w:val="00F81CD2"/>
    <w:rsid w:val="00F82641"/>
    <w:rsid w:val="00F84F19"/>
    <w:rsid w:val="00F90F18"/>
    <w:rsid w:val="00F937E4"/>
    <w:rsid w:val="00F95048"/>
    <w:rsid w:val="00F95A4F"/>
    <w:rsid w:val="00F95EE7"/>
    <w:rsid w:val="00FA39E6"/>
    <w:rsid w:val="00FA4E1A"/>
    <w:rsid w:val="00FA7945"/>
    <w:rsid w:val="00FA7BC9"/>
    <w:rsid w:val="00FB378E"/>
    <w:rsid w:val="00FB37F1"/>
    <w:rsid w:val="00FB47C0"/>
    <w:rsid w:val="00FB501B"/>
    <w:rsid w:val="00FB719A"/>
    <w:rsid w:val="00FB76B9"/>
    <w:rsid w:val="00FB7770"/>
    <w:rsid w:val="00FC59B9"/>
    <w:rsid w:val="00FC5F62"/>
    <w:rsid w:val="00FD1622"/>
    <w:rsid w:val="00FD313A"/>
    <w:rsid w:val="00FD3B91"/>
    <w:rsid w:val="00FD576B"/>
    <w:rsid w:val="00FD579E"/>
    <w:rsid w:val="00FD6845"/>
    <w:rsid w:val="00FE4516"/>
    <w:rsid w:val="00FE64C8"/>
    <w:rsid w:val="00FF4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00E7D-357C-4EA2-97F6-76997747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17BC9"/>
    <w:pPr>
      <w:snapToGrid w:val="0"/>
      <w:jc w:val="left"/>
    </w:pPr>
    <w:rPr>
      <w:sz w:val="20"/>
    </w:rPr>
  </w:style>
  <w:style w:type="character" w:customStyle="1" w:styleId="afd">
    <w:name w:val="註腳文字 字元"/>
    <w:basedOn w:val="a7"/>
    <w:link w:val="afc"/>
    <w:uiPriority w:val="99"/>
    <w:semiHidden/>
    <w:rsid w:val="00917BC9"/>
    <w:rPr>
      <w:rFonts w:ascii="標楷體" w:eastAsia="標楷體"/>
      <w:kern w:val="2"/>
    </w:rPr>
  </w:style>
  <w:style w:type="character" w:styleId="afe">
    <w:name w:val="footnote reference"/>
    <w:basedOn w:val="a7"/>
    <w:uiPriority w:val="99"/>
    <w:semiHidden/>
    <w:unhideWhenUsed/>
    <w:rsid w:val="00917BC9"/>
    <w:rPr>
      <w:vertAlign w:val="superscript"/>
    </w:rPr>
  </w:style>
  <w:style w:type="paragraph" w:styleId="HTML">
    <w:name w:val="HTML Preformatted"/>
    <w:basedOn w:val="a6"/>
    <w:link w:val="HTML0"/>
    <w:uiPriority w:val="99"/>
    <w:semiHidden/>
    <w:unhideWhenUsed/>
    <w:rsid w:val="00DC24FE"/>
    <w:rPr>
      <w:rFonts w:ascii="Courier New" w:hAnsi="Courier New" w:cs="Courier New"/>
      <w:sz w:val="20"/>
    </w:rPr>
  </w:style>
  <w:style w:type="character" w:customStyle="1" w:styleId="HTML0">
    <w:name w:val="HTML 預設格式 字元"/>
    <w:basedOn w:val="a7"/>
    <w:link w:val="HTML"/>
    <w:uiPriority w:val="99"/>
    <w:semiHidden/>
    <w:rsid w:val="00DC24FE"/>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91180678">
      <w:bodyDiv w:val="1"/>
      <w:marLeft w:val="0"/>
      <w:marRight w:val="0"/>
      <w:marTop w:val="0"/>
      <w:marBottom w:val="0"/>
      <w:divBdr>
        <w:top w:val="none" w:sz="0" w:space="0" w:color="auto"/>
        <w:left w:val="none" w:sz="0" w:space="0" w:color="auto"/>
        <w:bottom w:val="none" w:sz="0" w:space="0" w:color="auto"/>
        <w:right w:val="none" w:sz="0" w:space="0" w:color="auto"/>
      </w:divBdr>
      <w:divsChild>
        <w:div w:id="2071348063">
          <w:marLeft w:val="0"/>
          <w:marRight w:val="0"/>
          <w:marTop w:val="0"/>
          <w:marBottom w:val="0"/>
          <w:divBdr>
            <w:top w:val="none" w:sz="0" w:space="0" w:color="auto"/>
            <w:left w:val="none" w:sz="0" w:space="0" w:color="auto"/>
            <w:bottom w:val="none" w:sz="0" w:space="0" w:color="auto"/>
            <w:right w:val="none" w:sz="0" w:space="0" w:color="auto"/>
          </w:divBdr>
          <w:divsChild>
            <w:div w:id="975253684">
              <w:marLeft w:val="0"/>
              <w:marRight w:val="0"/>
              <w:marTop w:val="100"/>
              <w:marBottom w:val="100"/>
              <w:divBdr>
                <w:top w:val="none" w:sz="0" w:space="0" w:color="auto"/>
                <w:left w:val="none" w:sz="0" w:space="0" w:color="auto"/>
                <w:bottom w:val="none" w:sz="0" w:space="0" w:color="auto"/>
                <w:right w:val="none" w:sz="0" w:space="0" w:color="auto"/>
              </w:divBdr>
              <w:divsChild>
                <w:div w:id="1163859084">
                  <w:marLeft w:val="0"/>
                  <w:marRight w:val="0"/>
                  <w:marTop w:val="45"/>
                  <w:marBottom w:val="120"/>
                  <w:divBdr>
                    <w:top w:val="none" w:sz="0" w:space="0" w:color="auto"/>
                    <w:left w:val="none" w:sz="0" w:space="0" w:color="auto"/>
                    <w:bottom w:val="none" w:sz="0" w:space="0" w:color="auto"/>
                    <w:right w:val="none" w:sz="0" w:space="0" w:color="auto"/>
                  </w:divBdr>
                  <w:divsChild>
                    <w:div w:id="612321584">
                      <w:marLeft w:val="0"/>
                      <w:marRight w:val="0"/>
                      <w:marTop w:val="0"/>
                      <w:marBottom w:val="0"/>
                      <w:divBdr>
                        <w:top w:val="none" w:sz="0" w:space="0" w:color="auto"/>
                        <w:left w:val="none" w:sz="0" w:space="0" w:color="auto"/>
                        <w:bottom w:val="none" w:sz="0" w:space="0" w:color="auto"/>
                        <w:right w:val="none" w:sz="0" w:space="0" w:color="auto"/>
                      </w:divBdr>
                      <w:divsChild>
                        <w:div w:id="1039361853">
                          <w:marLeft w:val="0"/>
                          <w:marRight w:val="0"/>
                          <w:marTop w:val="180"/>
                          <w:marBottom w:val="180"/>
                          <w:divBdr>
                            <w:top w:val="single" w:sz="6" w:space="0" w:color="4EA3E9"/>
                            <w:left w:val="single" w:sz="6" w:space="0" w:color="4EA3E9"/>
                            <w:bottom w:val="single" w:sz="6" w:space="12" w:color="4EA3E9"/>
                            <w:right w:val="single" w:sz="6" w:space="0" w:color="4EA3E9"/>
                          </w:divBdr>
                          <w:divsChild>
                            <w:div w:id="1765804458">
                              <w:marLeft w:val="0"/>
                              <w:marRight w:val="0"/>
                              <w:marTop w:val="0"/>
                              <w:marBottom w:val="720"/>
                              <w:divBdr>
                                <w:top w:val="single" w:sz="6" w:space="10" w:color="FF9933"/>
                                <w:left w:val="single" w:sz="6" w:space="10" w:color="FF9933"/>
                                <w:bottom w:val="single" w:sz="6" w:space="10" w:color="FF9933"/>
                                <w:right w:val="single" w:sz="6" w:space="10" w:color="FF9933"/>
                              </w:divBdr>
                              <w:divsChild>
                                <w:div w:id="17615591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D3A8-2289-44DE-AE11-E9E1E985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1073</Words>
  <Characters>6121</Characters>
  <Application>Microsoft Office Word</Application>
  <DocSecurity>0</DocSecurity>
  <Lines>51</Lines>
  <Paragraphs>14</Paragraphs>
  <ScaleCrop>false</ScaleCrop>
  <Company>cy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曹錦芳</cp:lastModifiedBy>
  <cp:revision>2</cp:revision>
  <cp:lastPrinted>2020-03-05T10:26:00Z</cp:lastPrinted>
  <dcterms:created xsi:type="dcterms:W3CDTF">2020-03-13T01:37:00Z</dcterms:created>
  <dcterms:modified xsi:type="dcterms:W3CDTF">2020-03-13T01:37:00Z</dcterms:modified>
</cp:coreProperties>
</file>