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BE2" w:rsidRDefault="00074BE2" w:rsidP="00074BE2">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074BE2" w:rsidRDefault="00074BE2" w:rsidP="00074BE2">
      <w:pPr>
        <w:pStyle w:val="1"/>
        <w:ind w:left="2380" w:hanging="2380"/>
        <w:rPr>
          <w:color w:val="000000"/>
          <w:szCs w:val="32"/>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r>
        <w:rPr>
          <w:rFonts w:hint="eastAsia"/>
        </w:rPr>
        <w:t>調查緣起</w:t>
      </w:r>
      <w:bookmarkEnd w:id="0"/>
      <w:bookmarkEnd w:id="1"/>
      <w:bookmarkEnd w:id="2"/>
      <w:bookmarkEnd w:id="3"/>
      <w:bookmarkEnd w:id="4"/>
      <w:bookmarkEnd w:id="5"/>
      <w:bookmarkEnd w:id="6"/>
      <w:bookmarkEnd w:id="7"/>
      <w:bookmarkEnd w:id="8"/>
      <w:r>
        <w:rPr>
          <w:rFonts w:hint="eastAsia"/>
        </w:rPr>
        <w:t>：</w:t>
      </w:r>
      <w:r>
        <w:rPr>
          <w:rFonts w:hint="eastAsia"/>
          <w:color w:val="000000"/>
        </w:rPr>
        <w:t>本案係司法及獄政委員會決議推派調查</w:t>
      </w:r>
      <w:bookmarkEnd w:id="9"/>
      <w:bookmarkEnd w:id="10"/>
      <w:bookmarkEnd w:id="11"/>
      <w:bookmarkEnd w:id="12"/>
      <w:bookmarkEnd w:id="13"/>
      <w:bookmarkEnd w:id="14"/>
      <w:bookmarkEnd w:id="15"/>
      <w:bookmarkEnd w:id="16"/>
      <w:bookmarkEnd w:id="17"/>
      <w:bookmarkEnd w:id="18"/>
      <w:bookmarkEnd w:id="19"/>
      <w:bookmarkEnd w:id="20"/>
      <w:bookmarkEnd w:id="21"/>
      <w:r>
        <w:rPr>
          <w:rFonts w:hint="eastAsia"/>
          <w:color w:val="000000"/>
          <w:szCs w:val="32"/>
        </w:rPr>
        <w:t>。</w:t>
      </w:r>
    </w:p>
    <w:p w:rsidR="00074BE2" w:rsidRDefault="00074BE2" w:rsidP="00074BE2">
      <w:pPr>
        <w:pStyle w:val="1"/>
        <w:ind w:left="2380" w:hanging="2380"/>
      </w:pPr>
      <w:bookmarkStart w:id="22" w:name="_Toc524892367"/>
      <w:bookmarkStart w:id="23" w:name="_Toc524895637"/>
      <w:bookmarkStart w:id="24" w:name="_Toc524896183"/>
      <w:bookmarkStart w:id="25" w:name="_Toc524896213"/>
      <w:bookmarkStart w:id="26" w:name="_Toc524902719"/>
      <w:bookmarkStart w:id="27" w:name="_Toc525066138"/>
      <w:bookmarkStart w:id="28" w:name="_Toc525070828"/>
      <w:bookmarkStart w:id="29" w:name="_Toc525938368"/>
      <w:bookmarkStart w:id="30" w:name="_Toc525939216"/>
      <w:bookmarkStart w:id="31" w:name="_Toc525939721"/>
      <w:bookmarkStart w:id="32" w:name="_Toc529218255"/>
      <w:bookmarkStart w:id="33" w:name="_Toc529222678"/>
      <w:bookmarkStart w:id="34" w:name="_Toc529223100"/>
      <w:bookmarkStart w:id="35" w:name="_Toc529223851"/>
      <w:bookmarkStart w:id="36" w:name="_Toc529228247"/>
      <w:bookmarkStart w:id="37" w:name="_Toc2400383"/>
      <w:bookmarkStart w:id="38" w:name="_Toc4316178"/>
      <w:bookmarkStart w:id="39" w:name="_Toc4473319"/>
      <w:bookmarkStart w:id="40" w:name="_Toc69556886"/>
      <w:bookmarkStart w:id="41" w:name="_Toc69556935"/>
      <w:bookmarkStart w:id="42" w:name="_Toc69609809"/>
      <w:bookmarkStart w:id="43" w:name="_Toc70241805"/>
      <w:bookmarkStart w:id="44" w:name="_Toc70242194"/>
      <w:r>
        <w:rPr>
          <w:rFonts w:hint="eastAsia"/>
        </w:rPr>
        <w:t>調查對象</w:t>
      </w:r>
      <w:bookmarkEnd w:id="22"/>
      <w:bookmarkEnd w:id="23"/>
      <w:bookmarkEnd w:id="24"/>
      <w:bookmarkEnd w:id="25"/>
      <w:bookmarkEnd w:id="26"/>
      <w:bookmarkEnd w:id="27"/>
      <w:bookmarkEnd w:id="28"/>
      <w:bookmarkEnd w:id="29"/>
      <w:bookmarkEnd w:id="30"/>
      <w:bookmarkEnd w:id="31"/>
      <w:r>
        <w:rPr>
          <w:rFonts w:hint="eastAsia"/>
        </w:rPr>
        <w:t>：司法院、法務部。</w:t>
      </w:r>
      <w:bookmarkEnd w:id="32"/>
      <w:bookmarkEnd w:id="33"/>
      <w:bookmarkEnd w:id="34"/>
      <w:bookmarkEnd w:id="35"/>
      <w:bookmarkEnd w:id="36"/>
      <w:bookmarkEnd w:id="37"/>
      <w:bookmarkEnd w:id="38"/>
      <w:bookmarkEnd w:id="39"/>
      <w:bookmarkEnd w:id="40"/>
      <w:bookmarkEnd w:id="41"/>
      <w:bookmarkEnd w:id="42"/>
      <w:bookmarkEnd w:id="43"/>
      <w:bookmarkEnd w:id="44"/>
    </w:p>
    <w:p w:rsidR="00074BE2" w:rsidRDefault="00074BE2" w:rsidP="00074BE2">
      <w:pPr>
        <w:pStyle w:val="1"/>
        <w:ind w:left="2380" w:hanging="2380"/>
      </w:pPr>
      <w:bookmarkStart w:id="45" w:name="_Toc524892368"/>
      <w:bookmarkStart w:id="46" w:name="_Toc524895638"/>
      <w:bookmarkStart w:id="47" w:name="_Toc524896184"/>
      <w:bookmarkStart w:id="48" w:name="_Toc524896214"/>
      <w:bookmarkStart w:id="49" w:name="_Toc524902720"/>
      <w:bookmarkStart w:id="50" w:name="_Toc525066139"/>
      <w:bookmarkStart w:id="51" w:name="_Toc525070829"/>
      <w:bookmarkStart w:id="52" w:name="_Toc525938369"/>
      <w:bookmarkStart w:id="53" w:name="_Toc525939217"/>
      <w:bookmarkStart w:id="54" w:name="_Toc525939722"/>
      <w:bookmarkStart w:id="55" w:name="_Toc529218256"/>
      <w:bookmarkStart w:id="56" w:name="_Toc529222679"/>
      <w:bookmarkStart w:id="57" w:name="_Toc529223101"/>
      <w:bookmarkStart w:id="58" w:name="_Toc529223852"/>
      <w:bookmarkStart w:id="59" w:name="_Toc529228248"/>
      <w:bookmarkStart w:id="60" w:name="_Toc2400384"/>
      <w:bookmarkStart w:id="61" w:name="_Toc4316179"/>
      <w:bookmarkStart w:id="62" w:name="_Toc4473320"/>
      <w:bookmarkStart w:id="63" w:name="_Toc69556887"/>
      <w:bookmarkStart w:id="64" w:name="_Toc69556936"/>
      <w:bookmarkStart w:id="65" w:name="_Toc69609810"/>
      <w:bookmarkStart w:id="66" w:name="_Toc70241806"/>
      <w:bookmarkStart w:id="67" w:name="_Toc70242195"/>
      <w:r>
        <w:rPr>
          <w:rFonts w:hint="eastAsia"/>
        </w:rPr>
        <w:t>案　　由：</w:t>
      </w:r>
      <w:bookmarkEnd w:id="45"/>
      <w:bookmarkEnd w:id="46"/>
      <w:bookmarkEnd w:id="47"/>
      <w:bookmarkEnd w:id="48"/>
      <w:bookmarkEnd w:id="49"/>
      <w:bookmarkEnd w:id="50"/>
      <w:bookmarkEnd w:id="51"/>
      <w:bookmarkEnd w:id="52"/>
      <w:bookmarkEnd w:id="53"/>
      <w:bookmarkEnd w:id="54"/>
      <w:r w:rsidR="00FC57A8">
        <w:fldChar w:fldCharType="begin"/>
      </w:r>
      <w:r>
        <w:instrText xml:space="preserve"> MERGEFIELD </w:instrText>
      </w:r>
      <w:r>
        <w:rPr>
          <w:rFonts w:hint="eastAsia"/>
        </w:rPr>
        <w:instrText>案由</w:instrText>
      </w:r>
      <w:r>
        <w:instrText xml:space="preserve"> </w:instrText>
      </w:r>
      <w:r w:rsidR="00FC57A8">
        <w:fldChar w:fldCharType="separate"/>
      </w:r>
      <w:r w:rsidRPr="001911A6">
        <w:rPr>
          <w:rFonts w:hint="eastAsia"/>
          <w:noProof/>
        </w:rPr>
        <w:t>目前司法實務上屢見檢察官於起訴時具體求刑，違反檢、辯對等地位原則，及悖離刑事訴訟法無罪推定主義之精神，影響人民訴訟權益等情乙案。</w:t>
      </w:r>
      <w:r w:rsidR="00FC57A8">
        <w:fldChar w:fldCharType="end"/>
      </w:r>
      <w:bookmarkEnd w:id="55"/>
      <w:bookmarkEnd w:id="56"/>
      <w:bookmarkEnd w:id="57"/>
      <w:bookmarkEnd w:id="58"/>
      <w:bookmarkEnd w:id="59"/>
      <w:bookmarkEnd w:id="60"/>
      <w:bookmarkEnd w:id="61"/>
      <w:bookmarkEnd w:id="62"/>
      <w:bookmarkEnd w:id="63"/>
      <w:bookmarkEnd w:id="64"/>
      <w:bookmarkEnd w:id="65"/>
      <w:bookmarkEnd w:id="66"/>
      <w:bookmarkEnd w:id="67"/>
    </w:p>
    <w:p w:rsidR="00074BE2" w:rsidRDefault="00074BE2" w:rsidP="00074BE2">
      <w:pPr>
        <w:pStyle w:val="1"/>
        <w:ind w:left="2380" w:hanging="2380"/>
      </w:pPr>
      <w:bookmarkStart w:id="68" w:name="_Toc524892371"/>
      <w:bookmarkStart w:id="69" w:name="_Toc524895642"/>
      <w:bookmarkStart w:id="70" w:name="_Toc524896188"/>
      <w:bookmarkStart w:id="71" w:name="_Toc524896218"/>
      <w:bookmarkStart w:id="72" w:name="_Toc524902724"/>
      <w:bookmarkStart w:id="73" w:name="_Toc525066143"/>
      <w:bookmarkStart w:id="74" w:name="_Toc525070833"/>
      <w:bookmarkStart w:id="75" w:name="_Toc525938373"/>
      <w:bookmarkStart w:id="76" w:name="_Toc525939221"/>
      <w:bookmarkStart w:id="77" w:name="_Toc525939726"/>
      <w:bookmarkStart w:id="78" w:name="_Toc529218260"/>
      <w:bookmarkStart w:id="79" w:name="_Toc529222683"/>
      <w:bookmarkStart w:id="80" w:name="_Toc529223105"/>
      <w:bookmarkStart w:id="81" w:name="_Toc529223856"/>
      <w:bookmarkStart w:id="82" w:name="_Toc529228252"/>
      <w:bookmarkStart w:id="83" w:name="_Toc2400389"/>
      <w:bookmarkStart w:id="84" w:name="_Toc4316183"/>
      <w:r>
        <w:br w:type="page"/>
      </w:r>
      <w:bookmarkStart w:id="85" w:name="_Toc4473324"/>
      <w:bookmarkStart w:id="86" w:name="_Toc69556891"/>
      <w:bookmarkStart w:id="87" w:name="_Toc69556940"/>
      <w:bookmarkStart w:id="88" w:name="_Toc69609814"/>
      <w:bookmarkStart w:id="89" w:name="_Toc70241810"/>
      <w:bookmarkStart w:id="90" w:name="_Toc70242199"/>
      <w:r>
        <w:rPr>
          <w:rFonts w:hint="eastAsia"/>
        </w:rPr>
        <w:lastRenderedPageBreak/>
        <w:t>調查事實：</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074BE2" w:rsidRDefault="00074BE2" w:rsidP="00074BE2">
      <w:pPr>
        <w:pStyle w:val="21"/>
        <w:ind w:leftChars="200" w:left="680" w:firstLine="680"/>
        <w:rPr>
          <w:bCs/>
        </w:rPr>
      </w:pPr>
      <w:r w:rsidRPr="00896F26">
        <w:rPr>
          <w:rFonts w:hint="eastAsia"/>
          <w:bCs/>
        </w:rPr>
        <w:t>目前司法實務上屢見檢察官於起訴時具體求刑，違反檢、辯對等地位原則，及</w:t>
      </w:r>
      <w:proofErr w:type="gramStart"/>
      <w:r w:rsidRPr="00896F26">
        <w:rPr>
          <w:rFonts w:hint="eastAsia"/>
          <w:bCs/>
        </w:rPr>
        <w:t>悖離</w:t>
      </w:r>
      <w:proofErr w:type="gramEnd"/>
      <w:r w:rsidRPr="00896F26">
        <w:rPr>
          <w:rFonts w:hint="eastAsia"/>
          <w:bCs/>
        </w:rPr>
        <w:t>刑事訴訟法無罪推定主義之精神，影響人民訴訟權益</w:t>
      </w:r>
      <w:proofErr w:type="gramStart"/>
      <w:r w:rsidRPr="00896F26">
        <w:rPr>
          <w:rFonts w:hint="eastAsia"/>
          <w:bCs/>
        </w:rPr>
        <w:t>等情</w:t>
      </w:r>
      <w:r>
        <w:rPr>
          <w:rFonts w:hint="eastAsia"/>
          <w:bCs/>
        </w:rPr>
        <w:t>乙案</w:t>
      </w:r>
      <w:proofErr w:type="gramEnd"/>
      <w:r>
        <w:rPr>
          <w:rFonts w:hint="eastAsia"/>
          <w:bCs/>
        </w:rPr>
        <w:t>，</w:t>
      </w:r>
      <w:r w:rsidRPr="00824FB9">
        <w:rPr>
          <w:rFonts w:hint="eastAsia"/>
          <w:bCs/>
        </w:rPr>
        <w:t>經本院</w:t>
      </w:r>
      <w:r>
        <w:rPr>
          <w:rFonts w:hint="eastAsia"/>
          <w:bCs/>
        </w:rPr>
        <w:t>函請司法院及法務部說明，並於一○一年四月十三日約</w:t>
      </w:r>
      <w:proofErr w:type="gramStart"/>
      <w:r>
        <w:rPr>
          <w:rFonts w:hint="eastAsia"/>
          <w:bCs/>
        </w:rPr>
        <w:t>詢</w:t>
      </w:r>
      <w:proofErr w:type="gramEnd"/>
      <w:r>
        <w:rPr>
          <w:rFonts w:hint="eastAsia"/>
          <w:bCs/>
        </w:rPr>
        <w:t>相關主管人員，</w:t>
      </w:r>
      <w:r w:rsidRPr="00824FB9">
        <w:rPr>
          <w:rFonts w:hint="eastAsia"/>
          <w:bCs/>
        </w:rPr>
        <w:t>茲將</w:t>
      </w:r>
      <w:r>
        <w:rPr>
          <w:rFonts w:hint="eastAsia"/>
          <w:bCs/>
        </w:rPr>
        <w:t>調查事實</w:t>
      </w:r>
      <w:r w:rsidRPr="00824FB9">
        <w:rPr>
          <w:rFonts w:hint="eastAsia"/>
          <w:bCs/>
        </w:rPr>
        <w:t>分述如下</w:t>
      </w:r>
      <w:r>
        <w:rPr>
          <w:rFonts w:hint="eastAsia"/>
          <w:bCs/>
        </w:rPr>
        <w:t>：</w:t>
      </w:r>
    </w:p>
    <w:p w:rsidR="00074BE2" w:rsidRDefault="00074BE2" w:rsidP="00074BE2">
      <w:pPr>
        <w:pStyle w:val="2"/>
        <w:ind w:left="1020" w:hanging="680"/>
      </w:pPr>
      <w:bookmarkStart w:id="91" w:name="_Toc529218261"/>
      <w:bookmarkStart w:id="92" w:name="_Toc529222684"/>
      <w:bookmarkStart w:id="93" w:name="_Toc529223106"/>
      <w:bookmarkStart w:id="94" w:name="_Toc529223857"/>
      <w:bookmarkStart w:id="95" w:name="_Toc529228253"/>
      <w:bookmarkStart w:id="96" w:name="_Toc2400390"/>
      <w:bookmarkStart w:id="97" w:name="_Toc4316184"/>
      <w:bookmarkStart w:id="98" w:name="_Toc4473325"/>
      <w:bookmarkStart w:id="99" w:name="_Toc69556892"/>
      <w:bookmarkStart w:id="100" w:name="_Toc69556941"/>
      <w:bookmarkStart w:id="101" w:name="_Toc69609815"/>
      <w:bookmarkStart w:id="102" w:name="_Toc70241811"/>
      <w:bookmarkStart w:id="103" w:name="_Toc70242200"/>
      <w:bookmarkStart w:id="104" w:name="_Toc524892372"/>
      <w:bookmarkStart w:id="105" w:name="_Toc525066144"/>
      <w:r>
        <w:rPr>
          <w:rFonts w:hint="eastAsia"/>
        </w:rPr>
        <w:t>檢察官於起訴時為具體求刑之源由與法律依據</w:t>
      </w:r>
    </w:p>
    <w:p w:rsidR="00074BE2" w:rsidRDefault="00074BE2" w:rsidP="00074BE2">
      <w:pPr>
        <w:pStyle w:val="3"/>
        <w:ind w:left="1360" w:hanging="680"/>
      </w:pPr>
      <w:r w:rsidRPr="00C92F99">
        <w:rPr>
          <w:rFonts w:hint="eastAsia"/>
        </w:rPr>
        <w:t>檢察官代表國家對犯罪行為進行追訴，依法院組織法第</w:t>
      </w:r>
      <w:r>
        <w:rPr>
          <w:rFonts w:hint="eastAsia"/>
        </w:rPr>
        <w:t>六十</w:t>
      </w:r>
      <w:r w:rsidRPr="00C92F99">
        <w:rPr>
          <w:rFonts w:hint="eastAsia"/>
        </w:rPr>
        <w:t>條規定，檢察官之職權為實施偵查、提起公訴、實行公訴、協助自訴、擔當自訴、指揮刑事裁判之執行及執行其他法令所定職務。其中提起公訴、實行公訴乃檢察官實施偵查後，認被告有犯罪嫌疑，具有使法院為有罪判決之高度可能性時，為進行追訴權所生之公訴權，其具體內涵應包括「定罪請求權」及「量刑建議權(即</w:t>
      </w:r>
      <w:proofErr w:type="gramStart"/>
      <w:r w:rsidRPr="00C92F99">
        <w:rPr>
          <w:rFonts w:hint="eastAsia"/>
        </w:rPr>
        <w:t>求刑權</w:t>
      </w:r>
      <w:proofErr w:type="gramEnd"/>
      <w:r w:rsidRPr="00C92F99">
        <w:rPr>
          <w:rFonts w:hint="eastAsia"/>
        </w:rPr>
        <w:t>)」</w:t>
      </w:r>
      <w:r>
        <w:rPr>
          <w:rFonts w:hint="eastAsia"/>
        </w:rPr>
        <w:t>。所謂「求刑」，</w:t>
      </w:r>
      <w:r w:rsidRPr="006D4A47">
        <w:rPr>
          <w:rFonts w:hAnsi="標楷體" w:hint="eastAsia"/>
          <w:szCs w:val="32"/>
        </w:rPr>
        <w:t>屬訴訟法上當事人之請求</w:t>
      </w:r>
      <w:r>
        <w:rPr>
          <w:rFonts w:hAnsi="標楷體" w:hint="eastAsia"/>
          <w:szCs w:val="32"/>
        </w:rPr>
        <w:t>，檢察官於起訴或論告時，將對被告量刑之意見向法院表示之行為，</w:t>
      </w:r>
      <w:r w:rsidRPr="00C92F99">
        <w:rPr>
          <w:rFonts w:hAnsi="標楷體" w:hint="eastAsia"/>
          <w:szCs w:val="32"/>
        </w:rPr>
        <w:t>除刑事訴訟法第</w:t>
      </w:r>
      <w:r>
        <w:rPr>
          <w:rFonts w:hAnsi="標楷體" w:hint="eastAsia"/>
          <w:szCs w:val="32"/>
        </w:rPr>
        <w:t>四五一</w:t>
      </w:r>
      <w:r w:rsidRPr="00C92F99">
        <w:rPr>
          <w:rFonts w:hAnsi="標楷體" w:hint="eastAsia"/>
          <w:szCs w:val="32"/>
        </w:rPr>
        <w:t>條之</w:t>
      </w:r>
      <w:r>
        <w:rPr>
          <w:rFonts w:hAnsi="標楷體" w:hint="eastAsia"/>
          <w:szCs w:val="32"/>
        </w:rPr>
        <w:t>一</w:t>
      </w:r>
      <w:r w:rsidRPr="00C92F99">
        <w:rPr>
          <w:rFonts w:hAnsi="標楷體" w:hint="eastAsia"/>
          <w:szCs w:val="32"/>
        </w:rPr>
        <w:t>第</w:t>
      </w:r>
      <w:r>
        <w:rPr>
          <w:rFonts w:hAnsi="標楷體" w:hint="eastAsia"/>
          <w:szCs w:val="32"/>
        </w:rPr>
        <w:t>四</w:t>
      </w:r>
      <w:r w:rsidRPr="00C92F99">
        <w:rPr>
          <w:rFonts w:hAnsi="標楷體" w:hint="eastAsia"/>
          <w:szCs w:val="32"/>
        </w:rPr>
        <w:t>項規定由檢察官依被告表示願受科刑之範圍向法院聲請以簡易判決處刑，或依同法第</w:t>
      </w:r>
      <w:r>
        <w:rPr>
          <w:rFonts w:hAnsi="標楷體" w:hint="eastAsia"/>
          <w:szCs w:val="32"/>
        </w:rPr>
        <w:t>四五五</w:t>
      </w:r>
      <w:r w:rsidRPr="00C92F99">
        <w:rPr>
          <w:rFonts w:hAnsi="標楷體" w:hint="eastAsia"/>
          <w:szCs w:val="32"/>
        </w:rPr>
        <w:t>條之</w:t>
      </w:r>
      <w:r>
        <w:rPr>
          <w:rFonts w:hAnsi="標楷體" w:hint="eastAsia"/>
          <w:szCs w:val="32"/>
        </w:rPr>
        <w:t>二</w:t>
      </w:r>
      <w:r w:rsidRPr="00C92F99">
        <w:rPr>
          <w:rFonts w:hAnsi="標楷體" w:hint="eastAsia"/>
          <w:szCs w:val="32"/>
        </w:rPr>
        <w:t>規定由檢察官與被告進行量刑協商者外，並無拘束法院量刑之效力；惟當檢察官提出求刑或量刑建議，法院於審理時應加以注意，具有促使法院量刑精緻化之效果。</w:t>
      </w:r>
    </w:p>
    <w:p w:rsidR="00074BE2" w:rsidRDefault="00074BE2" w:rsidP="00074BE2">
      <w:pPr>
        <w:pStyle w:val="3"/>
        <w:ind w:left="1360" w:hanging="680"/>
      </w:pPr>
      <w:r w:rsidRPr="006D4A47">
        <w:rPr>
          <w:rFonts w:hAnsi="標楷體" w:hint="eastAsia"/>
          <w:szCs w:val="32"/>
        </w:rPr>
        <w:t>為使檢察官妥適運用</w:t>
      </w:r>
      <w:proofErr w:type="gramStart"/>
      <w:r w:rsidRPr="006D4A47">
        <w:rPr>
          <w:rFonts w:hAnsi="標楷體" w:hint="eastAsia"/>
          <w:szCs w:val="32"/>
        </w:rPr>
        <w:t>求刑權</w:t>
      </w:r>
      <w:proofErr w:type="gramEnd"/>
      <w:r w:rsidRPr="006D4A47">
        <w:rPr>
          <w:rFonts w:hAnsi="標楷體" w:hint="eastAsia"/>
          <w:szCs w:val="32"/>
        </w:rPr>
        <w:t>，以發揮檢察功能，</w:t>
      </w:r>
      <w:r>
        <w:rPr>
          <w:rFonts w:hAnsi="標楷體" w:hint="eastAsia"/>
          <w:szCs w:val="32"/>
        </w:rPr>
        <w:t>法務部七十四</w:t>
      </w:r>
      <w:r w:rsidRPr="006D4A47">
        <w:rPr>
          <w:rFonts w:hAnsi="標楷體" w:hint="eastAsia"/>
          <w:szCs w:val="32"/>
        </w:rPr>
        <w:t>年</w:t>
      </w:r>
      <w:r>
        <w:rPr>
          <w:rFonts w:hAnsi="標楷體" w:hint="eastAsia"/>
          <w:szCs w:val="32"/>
        </w:rPr>
        <w:t>十二</w:t>
      </w:r>
      <w:r w:rsidRPr="006D4A47">
        <w:rPr>
          <w:rFonts w:hAnsi="標楷體" w:hint="eastAsia"/>
          <w:szCs w:val="32"/>
        </w:rPr>
        <w:t>月</w:t>
      </w:r>
      <w:r>
        <w:rPr>
          <w:rFonts w:hAnsi="標楷體" w:hint="eastAsia"/>
          <w:szCs w:val="32"/>
        </w:rPr>
        <w:t>六</w:t>
      </w:r>
      <w:r w:rsidRPr="006D4A47">
        <w:rPr>
          <w:rFonts w:hAnsi="標楷體" w:hint="eastAsia"/>
          <w:szCs w:val="32"/>
        </w:rPr>
        <w:t>日即以法</w:t>
      </w:r>
      <w:r w:rsidRPr="006D4A47">
        <w:rPr>
          <w:rFonts w:hAnsi="標楷體"/>
          <w:szCs w:val="32"/>
        </w:rPr>
        <w:t>(74)</w:t>
      </w:r>
      <w:r w:rsidRPr="006D4A47">
        <w:rPr>
          <w:rFonts w:hAnsi="標楷體" w:hint="eastAsia"/>
          <w:szCs w:val="32"/>
        </w:rPr>
        <w:t>檢字第</w:t>
      </w:r>
      <w:r w:rsidRPr="006D4A47">
        <w:rPr>
          <w:rFonts w:hAnsi="標楷體"/>
          <w:szCs w:val="32"/>
        </w:rPr>
        <w:t>14825</w:t>
      </w:r>
      <w:r w:rsidRPr="006D4A47">
        <w:rPr>
          <w:rFonts w:hAnsi="標楷體" w:hint="eastAsia"/>
          <w:szCs w:val="32"/>
        </w:rPr>
        <w:t>號函提示「檢察官運用</w:t>
      </w:r>
      <w:proofErr w:type="gramStart"/>
      <w:r w:rsidRPr="006D4A47">
        <w:rPr>
          <w:rFonts w:hAnsi="標楷體" w:hint="eastAsia"/>
          <w:szCs w:val="32"/>
        </w:rPr>
        <w:t>求刑應行</w:t>
      </w:r>
      <w:proofErr w:type="gramEnd"/>
      <w:r w:rsidRPr="006D4A47">
        <w:rPr>
          <w:rFonts w:hAnsi="標楷體" w:hint="eastAsia"/>
          <w:szCs w:val="32"/>
        </w:rPr>
        <w:t>注意事項」略</w:t>
      </w:r>
      <w:proofErr w:type="gramStart"/>
      <w:r w:rsidRPr="006D4A47">
        <w:rPr>
          <w:rFonts w:hAnsi="標楷體" w:hint="eastAsia"/>
          <w:szCs w:val="32"/>
        </w:rPr>
        <w:t>以</w:t>
      </w:r>
      <w:proofErr w:type="gramEnd"/>
      <w:r w:rsidRPr="006D4A47">
        <w:rPr>
          <w:rFonts w:hAnsi="標楷體" w:hint="eastAsia"/>
          <w:szCs w:val="32"/>
        </w:rPr>
        <w:t>：檢察官偵查犯罪，對於應提起公訴案件，得審酌刑法第</w:t>
      </w:r>
      <w:r>
        <w:rPr>
          <w:rFonts w:hAnsi="標楷體" w:hint="eastAsia"/>
          <w:szCs w:val="32"/>
        </w:rPr>
        <w:t>五十七</w:t>
      </w:r>
      <w:r w:rsidRPr="006D4A47">
        <w:rPr>
          <w:rFonts w:hAnsi="標楷體" w:hint="eastAsia"/>
          <w:szCs w:val="32"/>
        </w:rPr>
        <w:t>條所列事項，於起訴或論告時，為適當求刑之表示；對於惡性重大，嚴重危害社會治安之犯罪，應促請法院</w:t>
      </w:r>
      <w:proofErr w:type="gramStart"/>
      <w:r w:rsidRPr="006D4A47">
        <w:rPr>
          <w:rFonts w:hAnsi="標楷體" w:hint="eastAsia"/>
          <w:szCs w:val="32"/>
        </w:rPr>
        <w:t>從重科刑</w:t>
      </w:r>
      <w:proofErr w:type="gramEnd"/>
      <w:r w:rsidRPr="006D4A47">
        <w:rPr>
          <w:rFonts w:hAnsi="標楷體" w:hint="eastAsia"/>
          <w:szCs w:val="32"/>
        </w:rPr>
        <w:t>，以期遏止。被告犯罪</w:t>
      </w:r>
      <w:r w:rsidRPr="006D4A47">
        <w:rPr>
          <w:rFonts w:hAnsi="標楷體" w:hint="eastAsia"/>
          <w:szCs w:val="32"/>
        </w:rPr>
        <w:lastRenderedPageBreak/>
        <w:t>事證及刑法第</w:t>
      </w:r>
      <w:r>
        <w:rPr>
          <w:rFonts w:hAnsi="標楷體" w:hint="eastAsia"/>
          <w:szCs w:val="32"/>
        </w:rPr>
        <w:t>五十七</w:t>
      </w:r>
      <w:r w:rsidRPr="006D4A47">
        <w:rPr>
          <w:rFonts w:hAnsi="標楷體" w:hint="eastAsia"/>
          <w:szCs w:val="32"/>
        </w:rPr>
        <w:t>條</w:t>
      </w:r>
      <w:proofErr w:type="gramStart"/>
      <w:r w:rsidRPr="006D4A47">
        <w:rPr>
          <w:rFonts w:hAnsi="標楷體" w:hint="eastAsia"/>
          <w:szCs w:val="32"/>
        </w:rPr>
        <w:t>所列科刑</w:t>
      </w:r>
      <w:proofErr w:type="gramEnd"/>
      <w:r w:rsidRPr="006D4A47">
        <w:rPr>
          <w:rFonts w:hAnsi="標楷體" w:hint="eastAsia"/>
          <w:szCs w:val="32"/>
        </w:rPr>
        <w:t>輕重標準事項，於起訴或論告</w:t>
      </w:r>
      <w:proofErr w:type="gramStart"/>
      <w:r w:rsidRPr="006D4A47">
        <w:rPr>
          <w:rFonts w:hAnsi="標楷體" w:hint="eastAsia"/>
          <w:szCs w:val="32"/>
        </w:rPr>
        <w:t>時均已調查</w:t>
      </w:r>
      <w:proofErr w:type="gramEnd"/>
      <w:r w:rsidRPr="006D4A47">
        <w:rPr>
          <w:rFonts w:hAnsi="標楷體" w:hint="eastAsia"/>
          <w:szCs w:val="32"/>
        </w:rPr>
        <w:t>明確者，亦可為具體求刑之表示。</w:t>
      </w:r>
      <w:r>
        <w:rPr>
          <w:rFonts w:hAnsi="標楷體" w:hint="eastAsia"/>
          <w:szCs w:val="32"/>
        </w:rPr>
        <w:t>法務</w:t>
      </w:r>
      <w:r w:rsidRPr="006D4A47">
        <w:rPr>
          <w:rFonts w:hAnsi="標楷體" w:hint="eastAsia"/>
          <w:szCs w:val="32"/>
        </w:rPr>
        <w:t>部於</w:t>
      </w:r>
      <w:r>
        <w:rPr>
          <w:rFonts w:hAnsi="標楷體" w:hint="eastAsia"/>
          <w:szCs w:val="32"/>
        </w:rPr>
        <w:t>八十五</w:t>
      </w:r>
      <w:r w:rsidRPr="006D4A47">
        <w:rPr>
          <w:rFonts w:hAnsi="標楷體" w:hint="eastAsia"/>
          <w:szCs w:val="32"/>
        </w:rPr>
        <w:t>年</w:t>
      </w:r>
      <w:r>
        <w:rPr>
          <w:rFonts w:hAnsi="標楷體" w:hint="eastAsia"/>
          <w:szCs w:val="32"/>
        </w:rPr>
        <w:t>二</w:t>
      </w:r>
      <w:r w:rsidRPr="006D4A47">
        <w:rPr>
          <w:rFonts w:hAnsi="標楷體" w:hint="eastAsia"/>
          <w:szCs w:val="32"/>
        </w:rPr>
        <w:t>月</w:t>
      </w:r>
      <w:r>
        <w:rPr>
          <w:rFonts w:hAnsi="標楷體" w:hint="eastAsia"/>
          <w:szCs w:val="32"/>
        </w:rPr>
        <w:t>二</w:t>
      </w:r>
      <w:r w:rsidRPr="006D4A47">
        <w:rPr>
          <w:rFonts w:hAnsi="標楷體" w:hint="eastAsia"/>
          <w:szCs w:val="32"/>
        </w:rPr>
        <w:t>日</w:t>
      </w:r>
      <w:r>
        <w:rPr>
          <w:rFonts w:hAnsi="標楷體" w:hint="eastAsia"/>
          <w:szCs w:val="32"/>
        </w:rPr>
        <w:t>，</w:t>
      </w:r>
      <w:r w:rsidRPr="006D4A47">
        <w:rPr>
          <w:rFonts w:hAnsi="標楷體" w:hint="eastAsia"/>
          <w:szCs w:val="32"/>
        </w:rPr>
        <w:t>修正「檢察機關辦理刑事訴訟案件應行注意事項」時，於第</w:t>
      </w:r>
      <w:r>
        <w:rPr>
          <w:rFonts w:hAnsi="標楷體" w:hint="eastAsia"/>
          <w:szCs w:val="32"/>
        </w:rPr>
        <w:t>六十八</w:t>
      </w:r>
      <w:r w:rsidRPr="006D4A47">
        <w:rPr>
          <w:rFonts w:hAnsi="標楷體" w:hint="eastAsia"/>
          <w:szCs w:val="32"/>
        </w:rPr>
        <w:t>點納入上揭「檢察官運用</w:t>
      </w:r>
      <w:proofErr w:type="gramStart"/>
      <w:r w:rsidRPr="006D4A47">
        <w:rPr>
          <w:rFonts w:hAnsi="標楷體" w:hint="eastAsia"/>
          <w:szCs w:val="32"/>
        </w:rPr>
        <w:t>求刑應行</w:t>
      </w:r>
      <w:proofErr w:type="gramEnd"/>
      <w:r w:rsidRPr="006D4A47">
        <w:rPr>
          <w:rFonts w:hAnsi="標楷體" w:hint="eastAsia"/>
          <w:szCs w:val="32"/>
        </w:rPr>
        <w:t>注意事項」之</w:t>
      </w:r>
      <w:r>
        <w:rPr>
          <w:rFonts w:hAnsi="標楷體" w:hint="eastAsia"/>
          <w:szCs w:val="32"/>
        </w:rPr>
        <w:t>相關</w:t>
      </w:r>
      <w:r w:rsidRPr="006D4A47">
        <w:rPr>
          <w:rFonts w:hAnsi="標楷體" w:hint="eastAsia"/>
          <w:szCs w:val="32"/>
        </w:rPr>
        <w:t>規定。現行「檢察機關辦理刑事訴訟案件應行注意事項」第</w:t>
      </w:r>
      <w:r>
        <w:rPr>
          <w:rFonts w:hAnsi="標楷體" w:hint="eastAsia"/>
          <w:szCs w:val="32"/>
        </w:rPr>
        <w:t>一○一</w:t>
      </w:r>
      <w:r w:rsidRPr="006D4A47">
        <w:rPr>
          <w:rFonts w:hAnsi="標楷體" w:hint="eastAsia"/>
          <w:szCs w:val="32"/>
        </w:rPr>
        <w:t>點第</w:t>
      </w:r>
      <w:r>
        <w:rPr>
          <w:rFonts w:hAnsi="標楷體" w:hint="eastAsia"/>
          <w:szCs w:val="32"/>
        </w:rPr>
        <w:t>二</w:t>
      </w:r>
      <w:r w:rsidRPr="006D4A47">
        <w:rPr>
          <w:rFonts w:hAnsi="標楷體" w:hint="eastAsia"/>
          <w:szCs w:val="32"/>
        </w:rPr>
        <w:t>項則規定：「起訴書除應記載本法第</w:t>
      </w:r>
      <w:r>
        <w:rPr>
          <w:rFonts w:hAnsi="標楷體" w:hint="eastAsia"/>
          <w:szCs w:val="32"/>
        </w:rPr>
        <w:t>二六四</w:t>
      </w:r>
      <w:r w:rsidRPr="006D4A47">
        <w:rPr>
          <w:rFonts w:hAnsi="標楷體" w:hint="eastAsia"/>
          <w:szCs w:val="32"/>
        </w:rPr>
        <w:t>條第</w:t>
      </w:r>
      <w:r>
        <w:rPr>
          <w:rFonts w:hAnsi="標楷體" w:hint="eastAsia"/>
          <w:szCs w:val="32"/>
        </w:rPr>
        <w:t>二</w:t>
      </w:r>
      <w:r w:rsidRPr="006D4A47">
        <w:rPr>
          <w:rFonts w:hAnsi="標楷體" w:hint="eastAsia"/>
          <w:szCs w:val="32"/>
        </w:rPr>
        <w:t>項所規定之事項外，對惡性重大，嚴重危害社會治安之犯罪，如認有具體求刑之必要，應於起訴書中就刑法第</w:t>
      </w:r>
      <w:r>
        <w:rPr>
          <w:rFonts w:hAnsi="標楷體" w:hint="eastAsia"/>
          <w:szCs w:val="32"/>
        </w:rPr>
        <w:t>五十七</w:t>
      </w:r>
      <w:r w:rsidRPr="006D4A47">
        <w:rPr>
          <w:rFonts w:hAnsi="標楷體" w:hint="eastAsia"/>
          <w:szCs w:val="32"/>
        </w:rPr>
        <w:t>條所列情狀事證，詳細說明求</w:t>
      </w:r>
      <w:proofErr w:type="gramStart"/>
      <w:r w:rsidRPr="006D4A47">
        <w:rPr>
          <w:rFonts w:hAnsi="標楷體" w:hint="eastAsia"/>
          <w:szCs w:val="32"/>
        </w:rPr>
        <w:t>處該刑度</w:t>
      </w:r>
      <w:proofErr w:type="gramEnd"/>
      <w:r w:rsidRPr="006D4A47">
        <w:rPr>
          <w:rFonts w:hAnsi="標楷體" w:hint="eastAsia"/>
          <w:szCs w:val="32"/>
        </w:rPr>
        <w:t>之理由；案件於法院審理時，公訴檢察官除就事實及法律舉證證明並為辯論外，並應就量刑部分，提出具體事證，表示意見。</w:t>
      </w:r>
      <w:proofErr w:type="gramStart"/>
      <w:r>
        <w:rPr>
          <w:rFonts w:hAnsi="標楷體" w:hint="eastAsia"/>
          <w:szCs w:val="32"/>
        </w:rPr>
        <w:t>另</w:t>
      </w:r>
      <w:proofErr w:type="gramEnd"/>
      <w:r>
        <w:rPr>
          <w:rFonts w:hAnsi="標楷體" w:hint="eastAsia"/>
          <w:szCs w:val="32"/>
        </w:rPr>
        <w:t>，法務部訂頒之「</w:t>
      </w:r>
      <w:r w:rsidRPr="009D1477">
        <w:rPr>
          <w:rFonts w:hAnsi="標楷體" w:hint="eastAsia"/>
          <w:szCs w:val="32"/>
        </w:rPr>
        <w:t>檢察機關辦理貪污案件應行注意事項」第</w:t>
      </w:r>
      <w:r>
        <w:rPr>
          <w:rFonts w:hAnsi="標楷體" w:hint="eastAsia"/>
          <w:szCs w:val="32"/>
        </w:rPr>
        <w:t>二十一</w:t>
      </w:r>
      <w:r w:rsidRPr="009D1477">
        <w:rPr>
          <w:rFonts w:hAnsi="標楷體" w:hint="eastAsia"/>
          <w:szCs w:val="32"/>
        </w:rPr>
        <w:t>點、「檢察機關辦理重大經濟犯罪案件注意事項」第</w:t>
      </w:r>
      <w:r>
        <w:rPr>
          <w:rFonts w:hAnsi="標楷體" w:hint="eastAsia"/>
          <w:szCs w:val="32"/>
        </w:rPr>
        <w:t>十</w:t>
      </w:r>
      <w:r w:rsidRPr="009D1477">
        <w:rPr>
          <w:rFonts w:hAnsi="標楷體" w:hint="eastAsia"/>
          <w:szCs w:val="32"/>
        </w:rPr>
        <w:t>點、「檢察機關辦理妨害性自主案件應行注意事項」第</w:t>
      </w:r>
      <w:r>
        <w:rPr>
          <w:rFonts w:hAnsi="標楷體" w:hint="eastAsia"/>
          <w:szCs w:val="32"/>
        </w:rPr>
        <w:t>十二</w:t>
      </w:r>
      <w:r w:rsidRPr="009D1477">
        <w:rPr>
          <w:rFonts w:hAnsi="標楷體" w:hint="eastAsia"/>
          <w:szCs w:val="32"/>
        </w:rPr>
        <w:t>點、「檢察機關打擊民生犯罪專案實施計畫」第</w:t>
      </w:r>
      <w:r>
        <w:rPr>
          <w:rFonts w:hAnsi="標楷體" w:hint="eastAsia"/>
          <w:szCs w:val="32"/>
        </w:rPr>
        <w:t>五</w:t>
      </w:r>
      <w:r w:rsidRPr="009D1477">
        <w:rPr>
          <w:rFonts w:hAnsi="標楷體" w:hint="eastAsia"/>
          <w:szCs w:val="32"/>
        </w:rPr>
        <w:t>點等</w:t>
      </w:r>
      <w:r>
        <w:rPr>
          <w:rFonts w:hAnsi="標楷體" w:hint="eastAsia"/>
          <w:szCs w:val="32"/>
        </w:rPr>
        <w:t>行政規則中</w:t>
      </w:r>
      <w:r w:rsidRPr="009D1477">
        <w:rPr>
          <w:rFonts w:hAnsi="標楷體" w:hint="eastAsia"/>
          <w:szCs w:val="32"/>
        </w:rPr>
        <w:t>，</w:t>
      </w:r>
      <w:proofErr w:type="gramStart"/>
      <w:r w:rsidRPr="009D1477">
        <w:rPr>
          <w:rFonts w:hAnsi="標楷體" w:hint="eastAsia"/>
          <w:szCs w:val="32"/>
        </w:rPr>
        <w:t>亦均有類似</w:t>
      </w:r>
      <w:proofErr w:type="gramEnd"/>
      <w:r w:rsidRPr="009D1477">
        <w:rPr>
          <w:rFonts w:hAnsi="標楷體" w:hint="eastAsia"/>
          <w:szCs w:val="32"/>
        </w:rPr>
        <w:t>規定。</w:t>
      </w:r>
    </w:p>
    <w:p w:rsidR="00074BE2" w:rsidRDefault="00074BE2" w:rsidP="00074BE2">
      <w:pPr>
        <w:pStyle w:val="2"/>
        <w:ind w:left="1020" w:hanging="680"/>
      </w:pPr>
      <w:r>
        <w:rPr>
          <w:rFonts w:hint="eastAsia"/>
        </w:rPr>
        <w:t>檢察官於起訴時為具體求刑與無罪推定原則之關係</w:t>
      </w:r>
      <w:bookmarkEnd w:id="91"/>
      <w:bookmarkEnd w:id="92"/>
      <w:bookmarkEnd w:id="93"/>
      <w:bookmarkEnd w:id="94"/>
      <w:bookmarkEnd w:id="95"/>
      <w:bookmarkEnd w:id="96"/>
    </w:p>
    <w:p w:rsidR="00074BE2" w:rsidRDefault="00074BE2" w:rsidP="00074BE2">
      <w:pPr>
        <w:pStyle w:val="3"/>
        <w:ind w:left="1360" w:hanging="680"/>
      </w:pPr>
      <w:r>
        <w:rPr>
          <w:rFonts w:hint="eastAsia"/>
        </w:rPr>
        <w:t>法務部查復說明：</w:t>
      </w:r>
    </w:p>
    <w:p w:rsidR="00074BE2" w:rsidRDefault="00074BE2" w:rsidP="00074BE2">
      <w:pPr>
        <w:pStyle w:val="4"/>
        <w:numPr>
          <w:ilvl w:val="0"/>
          <w:numId w:val="0"/>
        </w:numPr>
        <w:ind w:left="1700"/>
      </w:pPr>
      <w:r w:rsidRPr="00064336">
        <w:rPr>
          <w:rFonts w:hint="eastAsia"/>
        </w:rPr>
        <w:t>無罪推定原則之精神，主要係要求法院於審判程序中，應保持公正不偏的立場，且被告有緘默權，不負證明自己無罪之義務，而必須由檢察官舉證證明讓法院達到無合理懷疑確信被告為有罪之程度，法院始得判決被告有罪。因而</w:t>
      </w:r>
      <w:proofErr w:type="gramStart"/>
      <w:r w:rsidRPr="00064336">
        <w:rPr>
          <w:rFonts w:hint="eastAsia"/>
        </w:rPr>
        <w:t>縱</w:t>
      </w:r>
      <w:proofErr w:type="gramEnd"/>
      <w:r w:rsidRPr="00064336">
        <w:rPr>
          <w:rFonts w:hint="eastAsia"/>
        </w:rPr>
        <w:t>檢察官以通常程序起訴時，在起訴書中對被告具體求刑，僅屬檢察官</w:t>
      </w:r>
      <w:proofErr w:type="gramStart"/>
      <w:r w:rsidRPr="00064336">
        <w:rPr>
          <w:rFonts w:hint="eastAsia"/>
        </w:rPr>
        <w:t>求刑權之</w:t>
      </w:r>
      <w:proofErr w:type="gramEnd"/>
      <w:r w:rsidRPr="00064336">
        <w:rPr>
          <w:rFonts w:hint="eastAsia"/>
        </w:rPr>
        <w:t>行使，且為訴訟程序當事人</w:t>
      </w:r>
      <w:proofErr w:type="gramStart"/>
      <w:r w:rsidRPr="00064336">
        <w:rPr>
          <w:rFonts w:hint="eastAsia"/>
        </w:rPr>
        <w:t>一</w:t>
      </w:r>
      <w:proofErr w:type="gramEnd"/>
      <w:r w:rsidRPr="00064336">
        <w:rPr>
          <w:rFonts w:hint="eastAsia"/>
        </w:rPr>
        <w:t>方向法院就「量刑」部分所為之意見陳述，被告於審理過程中，仍受刑事訴訟法第</w:t>
      </w:r>
      <w:r>
        <w:rPr>
          <w:rFonts w:hint="eastAsia"/>
        </w:rPr>
        <w:t>一五四</w:t>
      </w:r>
      <w:r w:rsidRPr="00064336">
        <w:rPr>
          <w:rFonts w:hint="eastAsia"/>
        </w:rPr>
        <w:t>條第</w:t>
      </w:r>
      <w:r>
        <w:rPr>
          <w:rFonts w:hint="eastAsia"/>
        </w:rPr>
        <w:t>一</w:t>
      </w:r>
      <w:r w:rsidRPr="00064336">
        <w:rPr>
          <w:rFonts w:hint="eastAsia"/>
        </w:rPr>
        <w:lastRenderedPageBreak/>
        <w:t>項規定之保障，檢察官之</w:t>
      </w:r>
      <w:proofErr w:type="gramStart"/>
      <w:r w:rsidRPr="00064336">
        <w:rPr>
          <w:rFonts w:hint="eastAsia"/>
        </w:rPr>
        <w:t>求刑尚無</w:t>
      </w:r>
      <w:proofErr w:type="gramEnd"/>
      <w:r w:rsidRPr="00064336">
        <w:rPr>
          <w:rFonts w:hint="eastAsia"/>
        </w:rPr>
        <w:t>違反無罪推定原則。</w:t>
      </w:r>
    </w:p>
    <w:bookmarkEnd w:id="97"/>
    <w:bookmarkEnd w:id="98"/>
    <w:bookmarkEnd w:id="99"/>
    <w:bookmarkEnd w:id="100"/>
    <w:bookmarkEnd w:id="101"/>
    <w:bookmarkEnd w:id="102"/>
    <w:bookmarkEnd w:id="103"/>
    <w:p w:rsidR="00074BE2" w:rsidRDefault="00074BE2" w:rsidP="00074BE2">
      <w:pPr>
        <w:pStyle w:val="3"/>
        <w:ind w:left="1360" w:hanging="680"/>
      </w:pPr>
      <w:r>
        <w:rPr>
          <w:rFonts w:hint="eastAsia"/>
        </w:rPr>
        <w:t>司法院</w:t>
      </w:r>
      <w:proofErr w:type="gramStart"/>
      <w:r>
        <w:rPr>
          <w:rFonts w:hint="eastAsia"/>
        </w:rPr>
        <w:t>刑事廳查復</w:t>
      </w:r>
      <w:proofErr w:type="gramEnd"/>
      <w:r>
        <w:rPr>
          <w:rFonts w:hint="eastAsia"/>
        </w:rPr>
        <w:t>說明：</w:t>
      </w:r>
    </w:p>
    <w:p w:rsidR="00074BE2" w:rsidRDefault="00074BE2" w:rsidP="00074BE2">
      <w:pPr>
        <w:pStyle w:val="4"/>
        <w:numPr>
          <w:ilvl w:val="0"/>
          <w:numId w:val="0"/>
        </w:numPr>
        <w:ind w:left="1700"/>
      </w:pPr>
      <w:r w:rsidRPr="00064336">
        <w:rPr>
          <w:rFonts w:hint="eastAsia"/>
        </w:rPr>
        <w:t>起訴書應記載犯罪事實及</w:t>
      </w:r>
      <w:proofErr w:type="gramStart"/>
      <w:r w:rsidRPr="00064336">
        <w:rPr>
          <w:rFonts w:hint="eastAsia"/>
        </w:rPr>
        <w:t>證據並所犯法</w:t>
      </w:r>
      <w:proofErr w:type="gramEnd"/>
      <w:r w:rsidRPr="00064336">
        <w:rPr>
          <w:rFonts w:hint="eastAsia"/>
        </w:rPr>
        <w:t>條；審判期日於當事人及辯護人就事實及法律分別辯論後，審判長應予</w:t>
      </w:r>
      <w:proofErr w:type="gramStart"/>
      <w:r w:rsidRPr="00064336">
        <w:rPr>
          <w:rFonts w:hint="eastAsia"/>
        </w:rPr>
        <w:t>當事人就科刑</w:t>
      </w:r>
      <w:proofErr w:type="gramEnd"/>
      <w:r w:rsidRPr="00064336">
        <w:rPr>
          <w:rFonts w:hint="eastAsia"/>
        </w:rPr>
        <w:t>範圍表示意見之機會，刑事訴訟法第</w:t>
      </w:r>
      <w:r>
        <w:rPr>
          <w:rFonts w:hint="eastAsia"/>
        </w:rPr>
        <w:t>二六四</w:t>
      </w:r>
      <w:r w:rsidRPr="00064336">
        <w:rPr>
          <w:rFonts w:hint="eastAsia"/>
        </w:rPr>
        <w:t>條第</w:t>
      </w:r>
      <w:r>
        <w:rPr>
          <w:rFonts w:hint="eastAsia"/>
        </w:rPr>
        <w:t>二</w:t>
      </w:r>
      <w:r w:rsidRPr="00064336">
        <w:rPr>
          <w:rFonts w:hint="eastAsia"/>
        </w:rPr>
        <w:t>項第</w:t>
      </w:r>
      <w:r>
        <w:rPr>
          <w:rFonts w:hint="eastAsia"/>
        </w:rPr>
        <w:t>二</w:t>
      </w:r>
      <w:r w:rsidRPr="00064336">
        <w:rPr>
          <w:rFonts w:hint="eastAsia"/>
        </w:rPr>
        <w:t>款及第</w:t>
      </w:r>
      <w:r>
        <w:rPr>
          <w:rFonts w:hint="eastAsia"/>
        </w:rPr>
        <w:t>二八九</w:t>
      </w:r>
      <w:r w:rsidRPr="00064336">
        <w:rPr>
          <w:rFonts w:hint="eastAsia"/>
        </w:rPr>
        <w:t>條第</w:t>
      </w:r>
      <w:r>
        <w:rPr>
          <w:rFonts w:hint="eastAsia"/>
        </w:rPr>
        <w:t>三</w:t>
      </w:r>
      <w:r w:rsidRPr="00064336">
        <w:rPr>
          <w:rFonts w:hint="eastAsia"/>
        </w:rPr>
        <w:t>項分別定有明文。無罪推定原則是刑事訴訟基本原則，因此，被告雖然經檢察官提起公訴，然尚未經法院審判定罪前，不能即論斷被告有罪，仍應先推定被告無罪，檢察官為了追訴被告犯罪，則必須提出充分的證據，來證明被告確有犯罪。檢察官就案件提起公訴時具體求刑，與刑事訴訟法第</w:t>
      </w:r>
      <w:r>
        <w:rPr>
          <w:rFonts w:hint="eastAsia"/>
        </w:rPr>
        <w:t>一五四</w:t>
      </w:r>
      <w:r w:rsidRPr="00064336">
        <w:rPr>
          <w:rFonts w:hint="eastAsia"/>
        </w:rPr>
        <w:t>條無罪推定原則並無衝突。</w:t>
      </w:r>
    </w:p>
    <w:p w:rsidR="00074BE2" w:rsidRDefault="00074BE2" w:rsidP="00074BE2">
      <w:pPr>
        <w:pStyle w:val="2"/>
      </w:pPr>
      <w:r>
        <w:rPr>
          <w:rFonts w:hint="eastAsia"/>
        </w:rPr>
        <w:t>檢察官具體求刑之現況與成效</w:t>
      </w:r>
    </w:p>
    <w:p w:rsidR="00074BE2" w:rsidRDefault="00074BE2" w:rsidP="00074BE2">
      <w:pPr>
        <w:pStyle w:val="3"/>
        <w:ind w:left="1360" w:hanging="680"/>
      </w:pPr>
      <w:r>
        <w:rPr>
          <w:rFonts w:hint="eastAsia"/>
        </w:rPr>
        <w:t>法務部與司法院</w:t>
      </w:r>
      <w:proofErr w:type="gramStart"/>
      <w:r>
        <w:rPr>
          <w:rFonts w:hint="eastAsia"/>
        </w:rPr>
        <w:t>刑事廳查復</w:t>
      </w:r>
      <w:proofErr w:type="gramEnd"/>
      <w:r>
        <w:rPr>
          <w:rFonts w:hint="eastAsia"/>
        </w:rPr>
        <w:t>說明：</w:t>
      </w:r>
    </w:p>
    <w:p w:rsidR="00074BE2" w:rsidRDefault="00074BE2" w:rsidP="00074BE2">
      <w:pPr>
        <w:pStyle w:val="4"/>
        <w:ind w:left="1700" w:hanging="680"/>
      </w:pPr>
      <w:r>
        <w:rPr>
          <w:rFonts w:hint="eastAsia"/>
        </w:rPr>
        <w:t>法務部：</w:t>
      </w:r>
      <w:r w:rsidRPr="00847C6D">
        <w:rPr>
          <w:rFonts w:hint="eastAsia"/>
        </w:rPr>
        <w:t>檢察官於起訴書中為具體求刑之表示，係向法院為對被告量刑意見之表示，與法院審理後之量刑不同，社會大眾就此應非難以理解。檢察官之偵查結果如起訴時具體求刑，或可能因媒體報導而使社會大眾對該案件產生不同觀感；</w:t>
      </w:r>
      <w:proofErr w:type="gramStart"/>
      <w:r w:rsidRPr="00847C6D">
        <w:rPr>
          <w:rFonts w:hint="eastAsia"/>
        </w:rPr>
        <w:t>惟</w:t>
      </w:r>
      <w:proofErr w:type="gramEnd"/>
      <w:r w:rsidRPr="00847C6D">
        <w:rPr>
          <w:rFonts w:hint="eastAsia"/>
        </w:rPr>
        <w:t>法官係依據法律獨立審判，不受任何干涉，憲法</w:t>
      </w:r>
      <w:proofErr w:type="gramStart"/>
      <w:r w:rsidRPr="00847C6D">
        <w:rPr>
          <w:rFonts w:hint="eastAsia"/>
        </w:rPr>
        <w:t>第</w:t>
      </w:r>
      <w:r>
        <w:rPr>
          <w:rFonts w:hint="eastAsia"/>
        </w:rPr>
        <w:t>八十</w:t>
      </w:r>
      <w:r w:rsidRPr="00847C6D">
        <w:rPr>
          <w:rFonts w:hint="eastAsia"/>
        </w:rPr>
        <w:t>條定有</w:t>
      </w:r>
      <w:proofErr w:type="gramEnd"/>
      <w:r w:rsidRPr="00847C6D">
        <w:rPr>
          <w:rFonts w:hint="eastAsia"/>
        </w:rPr>
        <w:t>明文，且我國法官受有長期之法律專業訓練，應不致因媒體報導或社會輿論即</w:t>
      </w:r>
      <w:proofErr w:type="gramStart"/>
      <w:r w:rsidRPr="00847C6D">
        <w:rPr>
          <w:rFonts w:hint="eastAsia"/>
        </w:rPr>
        <w:t>形成預斷或</w:t>
      </w:r>
      <w:proofErr w:type="gramEnd"/>
      <w:r w:rsidRPr="00847C6D">
        <w:rPr>
          <w:rFonts w:hint="eastAsia"/>
        </w:rPr>
        <w:t>造成其審理之壓力。</w:t>
      </w:r>
    </w:p>
    <w:p w:rsidR="00074BE2" w:rsidRDefault="00074BE2" w:rsidP="00074BE2">
      <w:pPr>
        <w:pStyle w:val="4"/>
        <w:ind w:left="1700" w:hanging="680"/>
      </w:pPr>
      <w:r>
        <w:rPr>
          <w:rFonts w:hint="eastAsia"/>
        </w:rPr>
        <w:t>司法院刑事廳：</w:t>
      </w:r>
      <w:r w:rsidRPr="000856B0">
        <w:rPr>
          <w:rFonts w:hAnsi="標楷體" w:hint="eastAsia"/>
          <w:szCs w:val="32"/>
        </w:rPr>
        <w:t>檢察官於起訴書上之</w:t>
      </w:r>
      <w:r w:rsidRPr="006C629A">
        <w:rPr>
          <w:rFonts w:hAnsi="標楷體" w:hint="eastAsia"/>
          <w:szCs w:val="32"/>
        </w:rPr>
        <w:t>具體求刑</w:t>
      </w:r>
      <w:r w:rsidRPr="000856B0">
        <w:rPr>
          <w:rFonts w:hAnsi="標楷體" w:hint="eastAsia"/>
          <w:szCs w:val="32"/>
        </w:rPr>
        <w:t>，僅供法院參考，法官並不受其拘束，仍將本於法律確信獨立審判</w:t>
      </w:r>
      <w:r>
        <w:rPr>
          <w:rFonts w:hAnsi="標楷體" w:hint="eastAsia"/>
          <w:szCs w:val="32"/>
        </w:rPr>
        <w:t>。</w:t>
      </w:r>
    </w:p>
    <w:p w:rsidR="00074BE2" w:rsidRDefault="00074BE2" w:rsidP="00074BE2">
      <w:pPr>
        <w:pStyle w:val="3"/>
        <w:ind w:left="1360" w:hanging="680"/>
      </w:pPr>
      <w:r>
        <w:rPr>
          <w:rFonts w:hint="eastAsia"/>
        </w:rPr>
        <w:t>財團法人民間司法改革基金會查復說明：</w:t>
      </w:r>
    </w:p>
    <w:p w:rsidR="00074BE2" w:rsidRDefault="00074BE2" w:rsidP="00074BE2">
      <w:pPr>
        <w:pStyle w:val="4"/>
        <w:ind w:left="1700" w:hanging="680"/>
      </w:pPr>
      <w:r>
        <w:rPr>
          <w:rFonts w:hint="eastAsia"/>
        </w:rPr>
        <w:t>起訴時檢方求刑沒有標準，多依輿論或檢察官個</w:t>
      </w:r>
      <w:r>
        <w:rPr>
          <w:rFonts w:hint="eastAsia"/>
        </w:rPr>
        <w:lastRenderedPageBreak/>
        <w:t>人好惡為之。檢方無法具體說明，為何某些案件要具體求刑，某些案件卻不會具體求刑。案件既已遭檢察官起訴，顯已推定被告為有罪，若要深究對法院無罪推定原則難以落實之主因，卷證</w:t>
      </w:r>
      <w:proofErr w:type="gramStart"/>
      <w:r>
        <w:rPr>
          <w:rFonts w:hint="eastAsia"/>
        </w:rPr>
        <w:t>併</w:t>
      </w:r>
      <w:proofErr w:type="gramEnd"/>
      <w:r>
        <w:rPr>
          <w:rFonts w:hint="eastAsia"/>
        </w:rPr>
        <w:t>送制度之影響實有過之而無不及。</w:t>
      </w:r>
    </w:p>
    <w:p w:rsidR="00074BE2" w:rsidRDefault="00074BE2" w:rsidP="00074BE2">
      <w:pPr>
        <w:pStyle w:val="4"/>
        <w:ind w:left="1700" w:hanging="680"/>
      </w:pPr>
      <w:r w:rsidRPr="00064336">
        <w:rPr>
          <w:rFonts w:hint="eastAsia"/>
        </w:rPr>
        <w:t>檢方</w:t>
      </w:r>
      <w:r>
        <w:rPr>
          <w:rFonts w:hint="eastAsia"/>
        </w:rPr>
        <w:t>具</w:t>
      </w:r>
      <w:r w:rsidRPr="00064336">
        <w:rPr>
          <w:rFonts w:hint="eastAsia"/>
        </w:rPr>
        <w:t>體求刑或許會影響</w:t>
      </w:r>
      <w:r>
        <w:rPr>
          <w:rFonts w:hint="eastAsia"/>
        </w:rPr>
        <w:t>法</w:t>
      </w:r>
      <w:r w:rsidRPr="00064336">
        <w:rPr>
          <w:rFonts w:hint="eastAsia"/>
        </w:rPr>
        <w:t>官量刑</w:t>
      </w:r>
      <w:r>
        <w:rPr>
          <w:rFonts w:hint="eastAsia"/>
        </w:rPr>
        <w:t>，可解讀</w:t>
      </w:r>
      <w:r w:rsidRPr="00064336">
        <w:rPr>
          <w:rFonts w:hint="eastAsia"/>
        </w:rPr>
        <w:t>為不尊重法院</w:t>
      </w:r>
      <w:r>
        <w:rPr>
          <w:rFonts w:hint="eastAsia"/>
        </w:rPr>
        <w:t>，</w:t>
      </w:r>
      <w:r w:rsidRPr="00064336">
        <w:rPr>
          <w:rFonts w:hint="eastAsia"/>
        </w:rPr>
        <w:t>而當</w:t>
      </w:r>
      <w:r>
        <w:rPr>
          <w:rFonts w:hint="eastAsia"/>
        </w:rPr>
        <w:t>法</w:t>
      </w:r>
      <w:r w:rsidRPr="00064336">
        <w:rPr>
          <w:rFonts w:hint="eastAsia"/>
        </w:rPr>
        <w:t>院判決</w:t>
      </w:r>
      <w:r>
        <w:rPr>
          <w:rFonts w:hint="eastAsia"/>
        </w:rPr>
        <w:t>與</w:t>
      </w:r>
      <w:r w:rsidRPr="00064336">
        <w:rPr>
          <w:rFonts w:hint="eastAsia"/>
        </w:rPr>
        <w:t>檢方之求</w:t>
      </w:r>
      <w:r>
        <w:rPr>
          <w:rFonts w:hint="eastAsia"/>
        </w:rPr>
        <w:t>刑落差</w:t>
      </w:r>
      <w:r w:rsidRPr="00064336">
        <w:rPr>
          <w:rFonts w:hint="eastAsia"/>
        </w:rPr>
        <w:t>過大</w:t>
      </w:r>
      <w:r>
        <w:rPr>
          <w:rFonts w:hint="eastAsia"/>
        </w:rPr>
        <w:t>時</w:t>
      </w:r>
      <w:r w:rsidRPr="00064336">
        <w:rPr>
          <w:rFonts w:hint="eastAsia"/>
        </w:rPr>
        <w:t>，</w:t>
      </w:r>
      <w:r>
        <w:rPr>
          <w:rFonts w:hint="eastAsia"/>
        </w:rPr>
        <w:t>檢察官也不一定會上訴，亦可解讀為不受法院</w:t>
      </w:r>
      <w:r w:rsidRPr="00064336">
        <w:rPr>
          <w:rFonts w:hint="eastAsia"/>
        </w:rPr>
        <w:t>尊重，司法信譽</w:t>
      </w:r>
      <w:r>
        <w:rPr>
          <w:rFonts w:hint="eastAsia"/>
        </w:rPr>
        <w:t>亦會因此低落。具體求刑可能造成人民期待過度落空，多少會造成法院審理之壓力。</w:t>
      </w:r>
    </w:p>
    <w:p w:rsidR="00074BE2" w:rsidRDefault="00074BE2" w:rsidP="00074BE2">
      <w:pPr>
        <w:pStyle w:val="1"/>
        <w:ind w:left="2380" w:hanging="2380"/>
      </w:pPr>
      <w:bookmarkStart w:id="106" w:name="_Toc524895646"/>
      <w:bookmarkStart w:id="107" w:name="_Toc524896192"/>
      <w:bookmarkStart w:id="108" w:name="_Toc524896222"/>
      <w:bookmarkStart w:id="109" w:name="_Toc524902729"/>
      <w:bookmarkStart w:id="110" w:name="_Toc525066145"/>
      <w:bookmarkStart w:id="111" w:name="_Toc525070836"/>
      <w:bookmarkStart w:id="112" w:name="_Toc525938376"/>
      <w:bookmarkStart w:id="113" w:name="_Toc525939224"/>
      <w:bookmarkStart w:id="114" w:name="_Toc525939729"/>
      <w:bookmarkStart w:id="115" w:name="_Toc529218269"/>
      <w:bookmarkEnd w:id="104"/>
      <w:bookmarkEnd w:id="105"/>
      <w:r>
        <w:br w:type="page"/>
      </w:r>
      <w:bookmarkStart w:id="116" w:name="_Toc529222686"/>
      <w:bookmarkStart w:id="117" w:name="_Toc529223108"/>
      <w:bookmarkStart w:id="118" w:name="_Toc529223859"/>
      <w:bookmarkStart w:id="119" w:name="_Toc529228262"/>
      <w:bookmarkStart w:id="120" w:name="_Toc2400392"/>
      <w:bookmarkStart w:id="121" w:name="_Toc4316186"/>
      <w:bookmarkStart w:id="122" w:name="_Toc4473327"/>
      <w:bookmarkStart w:id="123" w:name="_Toc69556894"/>
      <w:bookmarkStart w:id="124" w:name="_Toc69556943"/>
      <w:bookmarkStart w:id="125" w:name="_Toc69609817"/>
      <w:bookmarkStart w:id="126" w:name="_Toc70241813"/>
      <w:bookmarkStart w:id="127" w:name="_Toc70242202"/>
      <w:r>
        <w:rPr>
          <w:rFonts w:hint="eastAsia"/>
        </w:rPr>
        <w:lastRenderedPageBreak/>
        <w:t>調查意見：</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00074BE2" w:rsidRDefault="00074BE2" w:rsidP="00074BE2">
      <w:pPr>
        <w:pStyle w:val="11"/>
        <w:ind w:left="680" w:firstLine="680"/>
        <w:rPr>
          <w:bCs/>
        </w:rPr>
      </w:pPr>
      <w:bookmarkStart w:id="128" w:name="_Toc524902730"/>
      <w:r>
        <w:rPr>
          <w:rFonts w:hint="eastAsia"/>
          <w:bCs/>
        </w:rPr>
        <w:t>目前</w:t>
      </w:r>
      <w:r w:rsidRPr="00896F26">
        <w:rPr>
          <w:rFonts w:hint="eastAsia"/>
          <w:bCs/>
        </w:rPr>
        <w:t>司法實務上屢見檢察官於起訴時具體求刑，</w:t>
      </w:r>
      <w:r>
        <w:rPr>
          <w:rFonts w:hint="eastAsia"/>
          <w:bCs/>
        </w:rPr>
        <w:t>有無</w:t>
      </w:r>
      <w:proofErr w:type="gramStart"/>
      <w:r w:rsidRPr="00896F26">
        <w:rPr>
          <w:rFonts w:hint="eastAsia"/>
          <w:bCs/>
        </w:rPr>
        <w:t>悖離</w:t>
      </w:r>
      <w:proofErr w:type="gramEnd"/>
      <w:r w:rsidRPr="00896F26">
        <w:rPr>
          <w:rFonts w:hint="eastAsia"/>
          <w:bCs/>
        </w:rPr>
        <w:t>刑事訴訟法無罪推定主義</w:t>
      </w:r>
      <w:r>
        <w:rPr>
          <w:rFonts w:hint="eastAsia"/>
          <w:bCs/>
        </w:rPr>
        <w:t>，並</w:t>
      </w:r>
      <w:r w:rsidRPr="00896F26">
        <w:rPr>
          <w:rFonts w:hint="eastAsia"/>
          <w:bCs/>
        </w:rPr>
        <w:t>影響人民訴訟權益</w:t>
      </w:r>
      <w:proofErr w:type="gramStart"/>
      <w:r w:rsidRPr="00896F26">
        <w:rPr>
          <w:rFonts w:hint="eastAsia"/>
          <w:bCs/>
        </w:rPr>
        <w:t>等情</w:t>
      </w:r>
      <w:r>
        <w:rPr>
          <w:rFonts w:hint="eastAsia"/>
          <w:bCs/>
        </w:rPr>
        <w:t>乙案</w:t>
      </w:r>
      <w:proofErr w:type="gramEnd"/>
      <w:r>
        <w:rPr>
          <w:rFonts w:hint="eastAsia"/>
          <w:bCs/>
        </w:rPr>
        <w:t>，經本院向司法院及法務部調取相關資料到院，並約</w:t>
      </w:r>
      <w:proofErr w:type="gramStart"/>
      <w:r>
        <w:rPr>
          <w:rFonts w:hint="eastAsia"/>
          <w:bCs/>
        </w:rPr>
        <w:t>詢</w:t>
      </w:r>
      <w:proofErr w:type="gramEnd"/>
      <w:r>
        <w:rPr>
          <w:rFonts w:hint="eastAsia"/>
          <w:bCs/>
        </w:rPr>
        <w:t>司法院、法務部相關主管人員，</w:t>
      </w:r>
      <w:r w:rsidRPr="00824FB9">
        <w:rPr>
          <w:rFonts w:hint="eastAsia"/>
          <w:bCs/>
        </w:rPr>
        <w:t>業經</w:t>
      </w:r>
      <w:proofErr w:type="gramStart"/>
      <w:r w:rsidRPr="00824FB9">
        <w:rPr>
          <w:rFonts w:hint="eastAsia"/>
          <w:bCs/>
        </w:rPr>
        <w:t>調查竣事</w:t>
      </w:r>
      <w:proofErr w:type="gramEnd"/>
      <w:r w:rsidRPr="00824FB9">
        <w:rPr>
          <w:rFonts w:hint="eastAsia"/>
          <w:bCs/>
        </w:rPr>
        <w:t>，茲將調查意見分述如下</w:t>
      </w:r>
      <w:r>
        <w:rPr>
          <w:rFonts w:hint="eastAsia"/>
          <w:bCs/>
        </w:rPr>
        <w:t>：</w:t>
      </w:r>
    </w:p>
    <w:p w:rsidR="00074BE2" w:rsidRDefault="00074BE2" w:rsidP="00074BE2">
      <w:pPr>
        <w:pStyle w:val="2"/>
        <w:ind w:left="1020" w:hanging="680"/>
      </w:pPr>
      <w:bookmarkStart w:id="129" w:name="_Toc525066147"/>
      <w:bookmarkStart w:id="130" w:name="_Toc525070838"/>
      <w:bookmarkStart w:id="131" w:name="_Toc525938378"/>
      <w:bookmarkStart w:id="132" w:name="_Toc525939226"/>
      <w:bookmarkStart w:id="133" w:name="_Toc525939731"/>
      <w:bookmarkStart w:id="134" w:name="_Toc529218271"/>
      <w:bookmarkStart w:id="135" w:name="_Toc529222688"/>
      <w:bookmarkStart w:id="136" w:name="_Toc529223110"/>
      <w:bookmarkStart w:id="137" w:name="_Toc529223861"/>
      <w:bookmarkStart w:id="138" w:name="_Toc529228264"/>
      <w:bookmarkStart w:id="139" w:name="_Toc2400394"/>
      <w:bookmarkStart w:id="140" w:name="_Toc4316188"/>
      <w:bookmarkStart w:id="141" w:name="_Toc4473329"/>
      <w:bookmarkStart w:id="142" w:name="_Toc69556896"/>
      <w:bookmarkStart w:id="143" w:name="_Toc69556945"/>
      <w:bookmarkStart w:id="144" w:name="_Toc69609819"/>
      <w:r>
        <w:rPr>
          <w:rFonts w:hint="eastAsia"/>
        </w:rPr>
        <w:t>現行檢察官起訴案件除簡易與協商程序外，具體</w:t>
      </w:r>
      <w:proofErr w:type="gramStart"/>
      <w:r>
        <w:rPr>
          <w:rFonts w:hint="eastAsia"/>
        </w:rPr>
        <w:t>求刑查無</w:t>
      </w:r>
      <w:proofErr w:type="gramEnd"/>
      <w:r>
        <w:rPr>
          <w:rFonts w:hint="eastAsia"/>
        </w:rPr>
        <w:t>法律依據。近來檢方對社會矚目</w:t>
      </w:r>
      <w:proofErr w:type="gramStart"/>
      <w:r>
        <w:rPr>
          <w:rFonts w:hint="eastAsia"/>
        </w:rPr>
        <w:t>案件輒於起訴</w:t>
      </w:r>
      <w:proofErr w:type="gramEnd"/>
      <w:r>
        <w:rPr>
          <w:rFonts w:hint="eastAsia"/>
        </w:rPr>
        <w:t>之時，即於起訴書中具體求刑，</w:t>
      </w:r>
      <w:proofErr w:type="gramStart"/>
      <w:r>
        <w:rPr>
          <w:rFonts w:hint="eastAsia"/>
        </w:rPr>
        <w:t>洵</w:t>
      </w:r>
      <w:proofErr w:type="gramEnd"/>
      <w:r>
        <w:rPr>
          <w:rFonts w:hint="eastAsia"/>
        </w:rPr>
        <w:t>有未當</w:t>
      </w:r>
    </w:p>
    <w:p w:rsidR="00074BE2" w:rsidRDefault="00074BE2" w:rsidP="00074BE2">
      <w:pPr>
        <w:pStyle w:val="3"/>
        <w:ind w:left="1360" w:hanging="680"/>
      </w:pPr>
      <w:r>
        <w:rPr>
          <w:rFonts w:hint="eastAsia"/>
        </w:rPr>
        <w:t>按中央法規標準法第五條：「</w:t>
      </w:r>
      <w:r w:rsidRPr="00D3282C">
        <w:rPr>
          <w:rFonts w:hint="eastAsia"/>
        </w:rPr>
        <w:t>應以法律規定之事項，不得以命令定之。左列事項應以法律定之：一、憲法或法律有明文規定，應以法律定之者。二、關於人民之權利、義務者。三、關於國家各機關之組織者。四、其他重要事項之應以法律定之者</w:t>
      </w:r>
      <w:r>
        <w:rPr>
          <w:rFonts w:hint="eastAsia"/>
        </w:rPr>
        <w:t>。」、第六條：「</w:t>
      </w:r>
      <w:r w:rsidRPr="00D3282C">
        <w:rPr>
          <w:rFonts w:hint="eastAsia"/>
        </w:rPr>
        <w:t>應以法律規定之事項，不得以命令定之。</w:t>
      </w:r>
      <w:r>
        <w:rPr>
          <w:rFonts w:hint="eastAsia"/>
        </w:rPr>
        <w:t>」；</w:t>
      </w:r>
      <w:r w:rsidRPr="006D4A47">
        <w:rPr>
          <w:rFonts w:hAnsi="標楷體" w:hint="eastAsia"/>
          <w:szCs w:val="32"/>
        </w:rPr>
        <w:t>檢察機關辦理刑事訴訟案件應行注意事項</w:t>
      </w:r>
      <w:r>
        <w:rPr>
          <w:rFonts w:hAnsi="標楷體" w:hint="eastAsia"/>
          <w:szCs w:val="32"/>
        </w:rPr>
        <w:t>(以下簡稱應行注意事項)第一○一條第二項：「</w:t>
      </w:r>
      <w:r w:rsidRPr="004A7265">
        <w:rPr>
          <w:rFonts w:hAnsi="標楷體" w:hint="eastAsia"/>
          <w:szCs w:val="32"/>
        </w:rPr>
        <w:t>起訴書除應記載本法第二百六十四條第二項所規定之事項外，對惡性重大，嚴重危害社會治安之犯罪，如認有具體求刑之必要，應於起訴書中就刑法第五十七條所列情狀事證，詳細說明求</w:t>
      </w:r>
      <w:proofErr w:type="gramStart"/>
      <w:r w:rsidRPr="004A7265">
        <w:rPr>
          <w:rFonts w:hAnsi="標楷體" w:hint="eastAsia"/>
          <w:szCs w:val="32"/>
        </w:rPr>
        <w:t>處該刑度</w:t>
      </w:r>
      <w:proofErr w:type="gramEnd"/>
      <w:r w:rsidRPr="004A7265">
        <w:rPr>
          <w:rFonts w:hAnsi="標楷體" w:hint="eastAsia"/>
          <w:szCs w:val="32"/>
        </w:rPr>
        <w:t>之理由；案件於法院審理時，公訴檢察官除就事實及法律舉證證明並為辯論外，並應就量刑部分，提出具體事證，表示意見。如被告合於刑法第七十四條之要件者，亦可為緩刑期間及條件之表示，惟應注意國家當前刑事政策及被告主觀情形，妥適運用。對於有犯罪習慣之被告，應注意請法院宣告保安處分，被告有自首、累犯等刑之減輕或加重之原因，以及應處以沒收、褫奪公權等從刑亦宜</w:t>
      </w:r>
      <w:proofErr w:type="gramStart"/>
      <w:r w:rsidRPr="004A7265">
        <w:rPr>
          <w:rFonts w:hAnsi="標楷體" w:hint="eastAsia"/>
          <w:szCs w:val="32"/>
        </w:rPr>
        <w:t>併</w:t>
      </w:r>
      <w:proofErr w:type="gramEnd"/>
      <w:r w:rsidRPr="004A7265">
        <w:rPr>
          <w:rFonts w:hAnsi="標楷體" w:hint="eastAsia"/>
          <w:szCs w:val="32"/>
        </w:rPr>
        <w:t>予表明，以促使法院注意。</w:t>
      </w:r>
      <w:r>
        <w:rPr>
          <w:rFonts w:hAnsi="標楷體" w:hint="eastAsia"/>
          <w:szCs w:val="32"/>
        </w:rPr>
        <w:t>」；</w:t>
      </w:r>
      <w:r>
        <w:rPr>
          <w:rFonts w:hint="eastAsia"/>
        </w:rPr>
        <w:t>法務部七十四年十二月六日</w:t>
      </w:r>
      <w:r w:rsidRPr="006D4A47">
        <w:rPr>
          <w:rFonts w:hAnsi="標楷體" w:hint="eastAsia"/>
          <w:szCs w:val="32"/>
        </w:rPr>
        <w:t>法</w:t>
      </w:r>
      <w:r w:rsidRPr="006D4A47">
        <w:rPr>
          <w:rFonts w:hAnsi="標楷體"/>
          <w:szCs w:val="32"/>
        </w:rPr>
        <w:t>(74)</w:t>
      </w:r>
      <w:r w:rsidRPr="006D4A47">
        <w:rPr>
          <w:rFonts w:hAnsi="標楷體" w:hint="eastAsia"/>
          <w:szCs w:val="32"/>
        </w:rPr>
        <w:t>檢字第</w:t>
      </w:r>
      <w:r w:rsidRPr="006D4A47">
        <w:rPr>
          <w:rFonts w:hAnsi="標楷體"/>
          <w:szCs w:val="32"/>
        </w:rPr>
        <w:lastRenderedPageBreak/>
        <w:t>14825</w:t>
      </w:r>
      <w:r w:rsidRPr="006D4A47">
        <w:rPr>
          <w:rFonts w:hAnsi="標楷體" w:hint="eastAsia"/>
          <w:szCs w:val="32"/>
        </w:rPr>
        <w:t>號函</w:t>
      </w:r>
      <w:r>
        <w:rPr>
          <w:rFonts w:hAnsi="標楷體" w:hint="eastAsia"/>
          <w:szCs w:val="32"/>
        </w:rPr>
        <w:t>：「</w:t>
      </w:r>
      <w:r w:rsidRPr="006D4A47">
        <w:rPr>
          <w:rFonts w:hAnsi="標楷體" w:hint="eastAsia"/>
          <w:szCs w:val="32"/>
        </w:rPr>
        <w:t>檢察官偵查犯罪，對於應提起公訴案件，得審酌刑法第</w:t>
      </w:r>
      <w:r>
        <w:rPr>
          <w:rFonts w:hAnsi="標楷體" w:hint="eastAsia"/>
          <w:szCs w:val="32"/>
        </w:rPr>
        <w:t>五十七</w:t>
      </w:r>
      <w:r w:rsidRPr="006D4A47">
        <w:rPr>
          <w:rFonts w:hAnsi="標楷體" w:hint="eastAsia"/>
          <w:szCs w:val="32"/>
        </w:rPr>
        <w:t>條所列事項，於起訴或論告時，為適當求刑之表示；對於惡性重大，嚴重危害社會治安之犯罪，應促請法院</w:t>
      </w:r>
      <w:proofErr w:type="gramStart"/>
      <w:r w:rsidRPr="006D4A47">
        <w:rPr>
          <w:rFonts w:hAnsi="標楷體" w:hint="eastAsia"/>
          <w:szCs w:val="32"/>
        </w:rPr>
        <w:t>從重科刑</w:t>
      </w:r>
      <w:proofErr w:type="gramEnd"/>
      <w:r w:rsidRPr="006D4A47">
        <w:rPr>
          <w:rFonts w:hAnsi="標楷體" w:hint="eastAsia"/>
          <w:szCs w:val="32"/>
        </w:rPr>
        <w:t>，以期遏止。被告犯罪事證及刑法第</w:t>
      </w:r>
      <w:r>
        <w:rPr>
          <w:rFonts w:hAnsi="標楷體" w:hint="eastAsia"/>
          <w:szCs w:val="32"/>
        </w:rPr>
        <w:t>五十七</w:t>
      </w:r>
      <w:r w:rsidRPr="006D4A47">
        <w:rPr>
          <w:rFonts w:hAnsi="標楷體" w:hint="eastAsia"/>
          <w:szCs w:val="32"/>
        </w:rPr>
        <w:t>條</w:t>
      </w:r>
      <w:proofErr w:type="gramStart"/>
      <w:r w:rsidRPr="006D4A47">
        <w:rPr>
          <w:rFonts w:hAnsi="標楷體" w:hint="eastAsia"/>
          <w:szCs w:val="32"/>
        </w:rPr>
        <w:t>所列科刑</w:t>
      </w:r>
      <w:proofErr w:type="gramEnd"/>
      <w:r w:rsidRPr="006D4A47">
        <w:rPr>
          <w:rFonts w:hAnsi="標楷體" w:hint="eastAsia"/>
          <w:szCs w:val="32"/>
        </w:rPr>
        <w:t>輕重標準事項，於起訴或論告</w:t>
      </w:r>
      <w:proofErr w:type="gramStart"/>
      <w:r w:rsidRPr="006D4A47">
        <w:rPr>
          <w:rFonts w:hAnsi="標楷體" w:hint="eastAsia"/>
          <w:szCs w:val="32"/>
        </w:rPr>
        <w:t>時均已調查</w:t>
      </w:r>
      <w:proofErr w:type="gramEnd"/>
      <w:r w:rsidRPr="006D4A47">
        <w:rPr>
          <w:rFonts w:hAnsi="標楷體" w:hint="eastAsia"/>
          <w:szCs w:val="32"/>
        </w:rPr>
        <w:t>明確者，亦可為具體求刑之表示</w:t>
      </w:r>
      <w:r>
        <w:rPr>
          <w:rFonts w:hAnsi="標楷體" w:hint="eastAsia"/>
          <w:szCs w:val="32"/>
        </w:rPr>
        <w:t>」</w:t>
      </w:r>
    </w:p>
    <w:p w:rsidR="00074BE2" w:rsidRDefault="00074BE2" w:rsidP="00074BE2">
      <w:pPr>
        <w:pStyle w:val="3"/>
        <w:ind w:left="1360" w:hanging="680"/>
      </w:pPr>
      <w:proofErr w:type="gramStart"/>
      <w:r>
        <w:rPr>
          <w:rFonts w:hint="eastAsia"/>
        </w:rPr>
        <w:t>洵</w:t>
      </w:r>
      <w:proofErr w:type="gramEnd"/>
      <w:r>
        <w:rPr>
          <w:rFonts w:hint="eastAsia"/>
        </w:rPr>
        <w:t>據法務部說明，檢察官依上開七十四年十二月六日</w:t>
      </w:r>
      <w:r w:rsidRPr="006D4A47">
        <w:rPr>
          <w:rFonts w:hAnsi="標楷體" w:hint="eastAsia"/>
          <w:szCs w:val="32"/>
        </w:rPr>
        <w:t>法</w:t>
      </w:r>
      <w:r w:rsidRPr="006D4A47">
        <w:rPr>
          <w:rFonts w:hAnsi="標楷體"/>
          <w:szCs w:val="32"/>
        </w:rPr>
        <w:t>(74)</w:t>
      </w:r>
      <w:r w:rsidRPr="006D4A47">
        <w:rPr>
          <w:rFonts w:hAnsi="標楷體" w:hint="eastAsia"/>
          <w:szCs w:val="32"/>
        </w:rPr>
        <w:t>檢字第</w:t>
      </w:r>
      <w:r w:rsidRPr="006D4A47">
        <w:rPr>
          <w:rFonts w:hAnsi="標楷體"/>
          <w:szCs w:val="32"/>
        </w:rPr>
        <w:t>14825</w:t>
      </w:r>
      <w:r w:rsidRPr="006D4A47">
        <w:rPr>
          <w:rFonts w:hAnsi="標楷體" w:hint="eastAsia"/>
          <w:szCs w:val="32"/>
        </w:rPr>
        <w:t>號函</w:t>
      </w:r>
      <w:r>
        <w:rPr>
          <w:rFonts w:hint="eastAsia"/>
        </w:rPr>
        <w:t>及</w:t>
      </w:r>
      <w:r w:rsidRPr="006D4A47">
        <w:rPr>
          <w:rFonts w:hAnsi="標楷體" w:hint="eastAsia"/>
          <w:szCs w:val="32"/>
        </w:rPr>
        <w:t>應行注意事項</w:t>
      </w:r>
      <w:r>
        <w:rPr>
          <w:rFonts w:hint="eastAsia"/>
        </w:rPr>
        <w:t>，作為對刑事訴訟法第四四九條簡易程序與第四五五條之二協商程序以外之一般案件，於提起公訴時具體求刑之依據</w:t>
      </w:r>
      <w:r>
        <w:rPr>
          <w:rFonts w:hAnsi="標楷體" w:hint="eastAsia"/>
          <w:szCs w:val="32"/>
        </w:rPr>
        <w:t>。</w:t>
      </w:r>
      <w:proofErr w:type="gramStart"/>
      <w:r>
        <w:rPr>
          <w:rFonts w:hAnsi="標楷體" w:hint="eastAsia"/>
          <w:szCs w:val="32"/>
        </w:rPr>
        <w:t>惟查</w:t>
      </w:r>
      <w:proofErr w:type="gramEnd"/>
      <w:r>
        <w:rPr>
          <w:rFonts w:hAnsi="標楷體" w:hint="eastAsia"/>
          <w:szCs w:val="32"/>
        </w:rPr>
        <w:t>，該函及應行注意事項</w:t>
      </w:r>
      <w:proofErr w:type="gramStart"/>
      <w:r>
        <w:rPr>
          <w:rFonts w:hAnsi="標楷體" w:hint="eastAsia"/>
          <w:szCs w:val="32"/>
        </w:rPr>
        <w:t>性質均非法律</w:t>
      </w:r>
      <w:proofErr w:type="gramEnd"/>
      <w:r>
        <w:rPr>
          <w:rFonts w:hAnsi="標楷體" w:hint="eastAsia"/>
          <w:szCs w:val="32"/>
        </w:rPr>
        <w:t>，檢察官依行政命令具體求刑，違反中央法規標準法第五條及第六條之規定，與法律保留原則不符。次查，</w:t>
      </w:r>
      <w:proofErr w:type="gramStart"/>
      <w:r>
        <w:rPr>
          <w:rFonts w:hAnsi="標楷體" w:hint="eastAsia"/>
          <w:szCs w:val="32"/>
        </w:rPr>
        <w:t>上開函及</w:t>
      </w:r>
      <w:proofErr w:type="gramEnd"/>
      <w:r>
        <w:rPr>
          <w:rFonts w:hAnsi="標楷體" w:hint="eastAsia"/>
          <w:szCs w:val="32"/>
        </w:rPr>
        <w:t>應行注意事項就</w:t>
      </w:r>
      <w:proofErr w:type="gramStart"/>
      <w:r>
        <w:rPr>
          <w:rFonts w:hAnsi="標楷體" w:hint="eastAsia"/>
          <w:szCs w:val="32"/>
        </w:rPr>
        <w:t>求刑所定</w:t>
      </w:r>
      <w:proofErr w:type="gramEnd"/>
      <w:r>
        <w:rPr>
          <w:rFonts w:hAnsi="標楷體" w:hint="eastAsia"/>
          <w:szCs w:val="32"/>
        </w:rPr>
        <w:t>範圍，僅限於「</w:t>
      </w:r>
      <w:r w:rsidRPr="004A7265">
        <w:rPr>
          <w:rFonts w:hAnsi="標楷體" w:hint="eastAsia"/>
          <w:szCs w:val="32"/>
        </w:rPr>
        <w:t>惡性重大，嚴重危害社會治安</w:t>
      </w:r>
      <w:r>
        <w:rPr>
          <w:rFonts w:hAnsi="標楷體" w:hint="eastAsia"/>
          <w:szCs w:val="32"/>
        </w:rPr>
        <w:t>」</w:t>
      </w:r>
      <w:r w:rsidRPr="004A7265">
        <w:rPr>
          <w:rFonts w:hAnsi="標楷體" w:hint="eastAsia"/>
          <w:szCs w:val="32"/>
        </w:rPr>
        <w:t>之犯罪</w:t>
      </w:r>
      <w:r>
        <w:rPr>
          <w:rFonts w:hAnsi="標楷體" w:hint="eastAsia"/>
          <w:szCs w:val="32"/>
        </w:rPr>
        <w:t>，亦非允許所有</w:t>
      </w:r>
      <w:proofErr w:type="gramStart"/>
      <w:r>
        <w:rPr>
          <w:rFonts w:hAnsi="標楷體" w:hint="eastAsia"/>
          <w:szCs w:val="32"/>
        </w:rPr>
        <w:t>案件均得為</w:t>
      </w:r>
      <w:proofErr w:type="gramEnd"/>
      <w:r>
        <w:rPr>
          <w:rFonts w:hAnsi="標楷體" w:hint="eastAsia"/>
          <w:szCs w:val="32"/>
        </w:rPr>
        <w:t>具體求刑。然何謂</w:t>
      </w:r>
      <w:r>
        <w:rPr>
          <w:rFonts w:hint="eastAsia"/>
        </w:rPr>
        <w:t>惡性重大嚴重危害社會治安？標準未盡明確。</w:t>
      </w:r>
    </w:p>
    <w:p w:rsidR="00074BE2" w:rsidRDefault="00074BE2" w:rsidP="00074BE2">
      <w:pPr>
        <w:pStyle w:val="3"/>
        <w:ind w:left="1360" w:hanging="680"/>
      </w:pPr>
      <w:r>
        <w:rPr>
          <w:rFonts w:hint="eastAsia"/>
        </w:rPr>
        <w:t>另查，據財團法人民間司法改革基金會函復略</w:t>
      </w:r>
      <w:proofErr w:type="gramStart"/>
      <w:r>
        <w:rPr>
          <w:rFonts w:hint="eastAsia"/>
        </w:rPr>
        <w:t>以</w:t>
      </w:r>
      <w:proofErr w:type="gramEnd"/>
      <w:r>
        <w:rPr>
          <w:rFonts w:hint="eastAsia"/>
        </w:rPr>
        <w:t>，檢察官就犯罪情狀相近案件所為具體求刑，輕重有別，</w:t>
      </w:r>
      <w:proofErr w:type="gramStart"/>
      <w:r>
        <w:rPr>
          <w:rFonts w:hint="eastAsia"/>
        </w:rPr>
        <w:t>足徵現行</w:t>
      </w:r>
      <w:proofErr w:type="gramEnd"/>
      <w:r>
        <w:rPr>
          <w:rFonts w:hint="eastAsia"/>
        </w:rPr>
        <w:t>檢察官所為具體求刑，未有明確統一之標準。再查，為因應刑事訴訟法修正採取交互詰問，除臺灣</w:t>
      </w:r>
      <w:proofErr w:type="gramStart"/>
      <w:r>
        <w:rPr>
          <w:rFonts w:hint="eastAsia"/>
        </w:rPr>
        <w:t>臺</w:t>
      </w:r>
      <w:proofErr w:type="gramEnd"/>
      <w:r>
        <w:rPr>
          <w:rFonts w:hint="eastAsia"/>
        </w:rPr>
        <w:t>東地方法院檢察署外，各地方及高等法院檢察署均分為公訴與偵查二組，案件經偵查組檢察官提起公訴後，由公訴組檢察官到庭實行公訴。偵查組檢察官未實際參與法庭審理活動與交互詰問，而係公訴組檢察官為之，惟因偵查組檢察官已於</w:t>
      </w:r>
      <w:r w:rsidRPr="00C50DB7">
        <w:rPr>
          <w:rFonts w:hint="eastAsia"/>
        </w:rPr>
        <w:t>起訴書</w:t>
      </w:r>
      <w:r>
        <w:rPr>
          <w:rFonts w:hint="eastAsia"/>
        </w:rPr>
        <w:t>對被告</w:t>
      </w:r>
      <w:r w:rsidRPr="00C50DB7">
        <w:rPr>
          <w:rFonts w:hint="eastAsia"/>
        </w:rPr>
        <w:t>為具體求刑，</w:t>
      </w:r>
      <w:r>
        <w:rPr>
          <w:rFonts w:hint="eastAsia"/>
        </w:rPr>
        <w:t>致公訴組</w:t>
      </w:r>
      <w:proofErr w:type="gramStart"/>
      <w:r>
        <w:rPr>
          <w:rFonts w:hint="eastAsia"/>
        </w:rPr>
        <w:t>檢察官倘對被告</w:t>
      </w:r>
      <w:proofErr w:type="gramEnd"/>
      <w:r>
        <w:rPr>
          <w:rFonts w:hint="eastAsia"/>
        </w:rPr>
        <w:t>求刑</w:t>
      </w:r>
      <w:proofErr w:type="gramStart"/>
      <w:r>
        <w:rPr>
          <w:rFonts w:hint="eastAsia"/>
        </w:rPr>
        <w:t>刑</w:t>
      </w:r>
      <w:proofErr w:type="gramEnd"/>
      <w:r>
        <w:rPr>
          <w:rFonts w:hint="eastAsia"/>
        </w:rPr>
        <w:t>度有意見，仍受偵查組檢察官於起訴書所記載之限制，</w:t>
      </w:r>
      <w:proofErr w:type="gramStart"/>
      <w:r>
        <w:rPr>
          <w:rFonts w:hint="eastAsia"/>
        </w:rPr>
        <w:t>足徵目前</w:t>
      </w:r>
      <w:proofErr w:type="gramEnd"/>
      <w:r>
        <w:rPr>
          <w:rFonts w:hint="eastAsia"/>
        </w:rPr>
        <w:t>檢察官具體求刑情形，亦未能</w:t>
      </w:r>
      <w:r>
        <w:rPr>
          <w:rFonts w:hint="eastAsia"/>
        </w:rPr>
        <w:lastRenderedPageBreak/>
        <w:t>與法庭活動完全相符。</w:t>
      </w:r>
    </w:p>
    <w:p w:rsidR="00074BE2" w:rsidRDefault="00074BE2" w:rsidP="00074BE2">
      <w:pPr>
        <w:pStyle w:val="3"/>
        <w:ind w:left="1360" w:hanging="680"/>
      </w:pPr>
      <w:r>
        <w:rPr>
          <w:rFonts w:hint="eastAsia"/>
        </w:rPr>
        <w:t>綜上，現行檢察官於簡易與協商程序外之一般案件所為具體求刑，不但無法律依據，且限於</w:t>
      </w:r>
      <w:r w:rsidRPr="004A7265">
        <w:rPr>
          <w:rFonts w:hAnsi="標楷體" w:hint="eastAsia"/>
          <w:szCs w:val="32"/>
        </w:rPr>
        <w:t>惡性重大嚴重危害社會治安之犯罪</w:t>
      </w:r>
      <w:r>
        <w:rPr>
          <w:rFonts w:hAnsi="標楷體" w:hint="eastAsia"/>
          <w:szCs w:val="32"/>
        </w:rPr>
        <w:t>，</w:t>
      </w:r>
      <w:r>
        <w:rPr>
          <w:rFonts w:hint="eastAsia"/>
        </w:rPr>
        <w:t>而非一體及於全部案件。然何謂</w:t>
      </w:r>
      <w:r w:rsidRPr="004A7265">
        <w:rPr>
          <w:rFonts w:hAnsi="標楷體" w:hint="eastAsia"/>
          <w:szCs w:val="32"/>
        </w:rPr>
        <w:t>惡性重大嚴重危害社會治安</w:t>
      </w:r>
      <w:r>
        <w:rPr>
          <w:rFonts w:hAnsi="標楷體" w:hint="eastAsia"/>
          <w:szCs w:val="32"/>
        </w:rPr>
        <w:t>？又人人言</w:t>
      </w:r>
      <w:proofErr w:type="gramStart"/>
      <w:r>
        <w:rPr>
          <w:rFonts w:hAnsi="標楷體" w:hint="eastAsia"/>
          <w:szCs w:val="32"/>
        </w:rPr>
        <w:t>殊</w:t>
      </w:r>
      <w:proofErr w:type="gramEnd"/>
      <w:r>
        <w:rPr>
          <w:rFonts w:hAnsi="標楷體" w:hint="eastAsia"/>
          <w:szCs w:val="32"/>
        </w:rPr>
        <w:t>。</w:t>
      </w:r>
      <w:proofErr w:type="gramStart"/>
      <w:r>
        <w:rPr>
          <w:rFonts w:hAnsi="標楷體" w:hint="eastAsia"/>
          <w:szCs w:val="32"/>
        </w:rPr>
        <w:t>此外，</w:t>
      </w:r>
      <w:proofErr w:type="gramEnd"/>
      <w:r>
        <w:rPr>
          <w:rFonts w:hint="eastAsia"/>
        </w:rPr>
        <w:t>所為具體</w:t>
      </w:r>
      <w:proofErr w:type="gramStart"/>
      <w:r>
        <w:rPr>
          <w:rFonts w:hint="eastAsia"/>
        </w:rPr>
        <w:t>求刑復標準</w:t>
      </w:r>
      <w:proofErr w:type="gramEnd"/>
      <w:r>
        <w:rPr>
          <w:rFonts w:hint="eastAsia"/>
        </w:rPr>
        <w:t>不一，而實際參與法庭活動與證據調查之公訴組檢察官，對於被告刑度之意見，卻受限於偵查組檢察官於起訴書之記載，</w:t>
      </w:r>
      <w:proofErr w:type="gramStart"/>
      <w:r>
        <w:rPr>
          <w:rFonts w:hint="eastAsia"/>
        </w:rPr>
        <w:t>致求刑</w:t>
      </w:r>
      <w:proofErr w:type="gramEnd"/>
      <w:r>
        <w:rPr>
          <w:rFonts w:hint="eastAsia"/>
        </w:rPr>
        <w:t>意見與實際法院審理情況恐未盡一致，</w:t>
      </w:r>
      <w:proofErr w:type="gramStart"/>
      <w:r>
        <w:rPr>
          <w:rFonts w:hint="eastAsia"/>
        </w:rPr>
        <w:t>均有未</w:t>
      </w:r>
      <w:proofErr w:type="gramEnd"/>
      <w:r>
        <w:rPr>
          <w:rFonts w:hint="eastAsia"/>
        </w:rPr>
        <w:t>當。</w:t>
      </w:r>
    </w:p>
    <w:p w:rsidR="00074BE2" w:rsidRDefault="00074BE2" w:rsidP="00074BE2">
      <w:pPr>
        <w:pStyle w:val="2"/>
        <w:ind w:left="1280" w:hanging="640"/>
      </w:pPr>
      <w:r>
        <w:rPr>
          <w:rFonts w:hint="eastAsia"/>
        </w:rPr>
        <w:t>現行檢察官對簡易與協商程序外之一般案件，於起訴書為具體求刑，容易形成社會大眾有</w:t>
      </w:r>
      <w:proofErr w:type="gramStart"/>
      <w:r>
        <w:rPr>
          <w:rFonts w:hint="eastAsia"/>
        </w:rPr>
        <w:t>罪預斷</w:t>
      </w:r>
      <w:proofErr w:type="gramEnd"/>
      <w:r>
        <w:rPr>
          <w:rFonts w:hint="eastAsia"/>
        </w:rPr>
        <w:t>，並形成法官審理壓力，倘審判結果與檢察官求刑形成重大落差，更恐導致民眾對司法之不信任</w:t>
      </w:r>
    </w:p>
    <w:p w:rsidR="00074BE2" w:rsidRDefault="00074BE2" w:rsidP="00074BE2">
      <w:pPr>
        <w:pStyle w:val="3"/>
        <w:ind w:left="1360" w:hanging="680"/>
      </w:pPr>
      <w:r>
        <w:rPr>
          <w:rFonts w:hint="eastAsia"/>
        </w:rPr>
        <w:t>按刑事訴訟法第一五四條第一項：「被告未經審判證明有罪確定前，推定其為無罪。」；公民與政治權利國際公約第十四條第二項：「</w:t>
      </w:r>
      <w:r w:rsidRPr="002D2D5A">
        <w:rPr>
          <w:rFonts w:hint="eastAsia"/>
        </w:rPr>
        <w:t>受刑事控告之人，未經依法確定有罪以前，應假定其無罪</w:t>
      </w:r>
      <w:r>
        <w:rPr>
          <w:rFonts w:hint="eastAsia"/>
        </w:rPr>
        <w:t>。」；</w:t>
      </w:r>
      <w:r w:rsidRPr="002657EB">
        <w:rPr>
          <w:rFonts w:hint="eastAsia"/>
        </w:rPr>
        <w:t>公民與政治權利國際公約及經濟社會文化權利國際公約施行法</w:t>
      </w:r>
      <w:r>
        <w:rPr>
          <w:rFonts w:hint="eastAsia"/>
        </w:rPr>
        <w:t>第二條：「</w:t>
      </w:r>
      <w:r w:rsidRPr="002657EB">
        <w:rPr>
          <w:rFonts w:hint="eastAsia"/>
        </w:rPr>
        <w:t>兩公約所揭示保障人權之規定，具有國內法律之效力。</w:t>
      </w:r>
      <w:r>
        <w:rPr>
          <w:rFonts w:hint="eastAsia"/>
        </w:rPr>
        <w:t>」</w:t>
      </w:r>
    </w:p>
    <w:p w:rsidR="00074BE2" w:rsidRDefault="00074BE2" w:rsidP="00074BE2">
      <w:pPr>
        <w:pStyle w:val="3"/>
        <w:ind w:left="1360" w:hanging="680"/>
      </w:pPr>
      <w:r>
        <w:rPr>
          <w:rFonts w:hint="eastAsia"/>
        </w:rPr>
        <w:t>目前新聞媒體對於社會矚目之刑事案件，多採取連續性大幅報導，且對於犯罪動機、背景、手法，甚至偵辦進度等，</w:t>
      </w:r>
      <w:proofErr w:type="gramStart"/>
      <w:r>
        <w:rPr>
          <w:rFonts w:hint="eastAsia"/>
        </w:rPr>
        <w:t>均為深入</w:t>
      </w:r>
      <w:proofErr w:type="gramEnd"/>
      <w:r>
        <w:rPr>
          <w:rFonts w:hint="eastAsia"/>
        </w:rPr>
        <w:t>大幅之報導，在此背景下，檢察官對被告所為具體求刑，不但是新聞媒體報導焦點，更是形成民眾對案件評價與判斷之重要來源。</w:t>
      </w:r>
    </w:p>
    <w:p w:rsidR="00074BE2" w:rsidRDefault="00074BE2" w:rsidP="00074BE2">
      <w:pPr>
        <w:pStyle w:val="3"/>
        <w:ind w:left="1360" w:hanging="680"/>
      </w:pPr>
      <w:proofErr w:type="gramStart"/>
      <w:r>
        <w:rPr>
          <w:rFonts w:hint="eastAsia"/>
        </w:rPr>
        <w:t>然查</w:t>
      </w:r>
      <w:proofErr w:type="gramEnd"/>
      <w:r>
        <w:rPr>
          <w:rFonts w:hint="eastAsia"/>
        </w:rPr>
        <w:t>，在法院依法作成裁判前，</w:t>
      </w:r>
      <w:proofErr w:type="gramStart"/>
      <w:r>
        <w:rPr>
          <w:rFonts w:hint="eastAsia"/>
        </w:rPr>
        <w:t>檢察官縱對被告</w:t>
      </w:r>
      <w:proofErr w:type="gramEnd"/>
      <w:r>
        <w:rPr>
          <w:rFonts w:hint="eastAsia"/>
        </w:rPr>
        <w:t>提起公訴甚至為具體求刑，究非終局事證，被告係受刑事訴訟法第一五四條第一項及公民與政治權利國</w:t>
      </w:r>
      <w:r>
        <w:rPr>
          <w:rFonts w:hint="eastAsia"/>
        </w:rPr>
        <w:lastRenderedPageBreak/>
        <w:t>際公約第十四條第二項無罪推定原則之保護。而法院在證據調查與交互詰問程序中，亟可能形式上排除檢察官起訴時</w:t>
      </w:r>
      <w:proofErr w:type="gramStart"/>
      <w:r>
        <w:rPr>
          <w:rFonts w:hint="eastAsia"/>
        </w:rPr>
        <w:t>所提事證</w:t>
      </w:r>
      <w:proofErr w:type="gramEnd"/>
      <w:r>
        <w:rPr>
          <w:rFonts w:hint="eastAsia"/>
        </w:rPr>
        <w:t>；證據</w:t>
      </w:r>
      <w:proofErr w:type="gramStart"/>
      <w:r>
        <w:rPr>
          <w:rFonts w:hint="eastAsia"/>
        </w:rPr>
        <w:t>能力尤待言詞</w:t>
      </w:r>
      <w:proofErr w:type="gramEnd"/>
      <w:r>
        <w:rPr>
          <w:rFonts w:hint="eastAsia"/>
        </w:rPr>
        <w:t>辯論後，方得認定。因此，法院審理結果與檢察官之起訴與求刑，自可能存在相當落差。</w:t>
      </w:r>
      <w:proofErr w:type="gramStart"/>
      <w:r>
        <w:rPr>
          <w:rFonts w:hint="eastAsia"/>
        </w:rPr>
        <w:t>惟</w:t>
      </w:r>
      <w:proofErr w:type="gramEnd"/>
      <w:r>
        <w:rPr>
          <w:rFonts w:hint="eastAsia"/>
        </w:rPr>
        <w:t>民眾已因媒體報導及檢察官所為具體求刑，對案件評價已形成在先，並對司法審判結果有所預期，形成法院不必要之審理壓力。倘法院最終裁判結果與檢察官起訴及求刑間存有重大落差，</w:t>
      </w:r>
      <w:proofErr w:type="gramStart"/>
      <w:r>
        <w:rPr>
          <w:rFonts w:hint="eastAsia"/>
        </w:rPr>
        <w:t>亟易導致</w:t>
      </w:r>
      <w:proofErr w:type="gramEnd"/>
      <w:r>
        <w:rPr>
          <w:rFonts w:hint="eastAsia"/>
        </w:rPr>
        <w:t>民眾對司法之不信任。</w:t>
      </w:r>
    </w:p>
    <w:p w:rsidR="00074BE2" w:rsidRDefault="00074BE2" w:rsidP="00074BE2">
      <w:pPr>
        <w:pStyle w:val="3"/>
        <w:ind w:left="1360" w:hanging="680"/>
        <w:rPr>
          <w:rFonts w:hint="eastAsia"/>
        </w:rPr>
      </w:pPr>
      <w:r>
        <w:rPr>
          <w:rFonts w:hint="eastAsia"/>
        </w:rPr>
        <w:t>綜上，依刑事訴訟法及公民與政治權利國際公約規定，被告應推定為無罪。目前媒體對於社會矚目刑事案件均</w:t>
      </w:r>
      <w:proofErr w:type="gramStart"/>
      <w:r>
        <w:rPr>
          <w:rFonts w:hint="eastAsia"/>
        </w:rPr>
        <w:t>採</w:t>
      </w:r>
      <w:proofErr w:type="gramEnd"/>
      <w:r>
        <w:rPr>
          <w:rFonts w:hint="eastAsia"/>
        </w:rPr>
        <w:t>連續性大幅報導，檢察官所為具體求刑，形塑了民眾對案件之評價與判斷，此造成民眾在司法審判前預設有罪之審判結果，且有具體之刑度，不僅造成法院不必要之審理壓力，倘嗣後法院裁判結果與檢察官起訴與求刑存有重大落差，徒生民眾對司法之不信任。法務部允宜深切檢討，回歸法律規定，落實無罪推定原則，並維護司法公正審判。</w:t>
      </w:r>
    </w:p>
    <w:p w:rsidR="00405AEC" w:rsidRDefault="00405AEC" w:rsidP="00405AEC">
      <w:pPr>
        <w:pStyle w:val="3"/>
        <w:numPr>
          <w:ilvl w:val="0"/>
          <w:numId w:val="0"/>
        </w:numPr>
        <w:ind w:left="680"/>
      </w:pPr>
    </w:p>
    <w:p w:rsidR="00405AEC" w:rsidRDefault="00405AEC" w:rsidP="00405AEC">
      <w:pPr>
        <w:pStyle w:val="1"/>
        <w:numPr>
          <w:ilvl w:val="0"/>
          <w:numId w:val="0"/>
        </w:numPr>
        <w:ind w:left="3742"/>
        <w:rPr>
          <w:rFonts w:hint="eastAsia"/>
          <w:spacing w:val="12"/>
          <w:sz w:val="40"/>
        </w:rPr>
      </w:pPr>
      <w:bookmarkStart w:id="145" w:name="_Toc524895648"/>
      <w:bookmarkStart w:id="146" w:name="_Toc524896194"/>
      <w:bookmarkStart w:id="147" w:name="_Toc524896224"/>
      <w:bookmarkStart w:id="148" w:name="_Toc524902734"/>
      <w:bookmarkStart w:id="149" w:name="_Toc525066148"/>
      <w:bookmarkStart w:id="150" w:name="_Toc525070839"/>
      <w:bookmarkStart w:id="151" w:name="_Toc525938379"/>
      <w:bookmarkStart w:id="152" w:name="_Toc525939227"/>
      <w:bookmarkStart w:id="153" w:name="_Toc525939732"/>
      <w:bookmarkStart w:id="154" w:name="_Toc529218272"/>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405AEC">
        <w:rPr>
          <w:rFonts w:hint="eastAsia"/>
          <w:spacing w:val="12"/>
          <w:sz w:val="40"/>
        </w:rPr>
        <w:t>調查委員：</w:t>
      </w:r>
      <w:r>
        <w:rPr>
          <w:rFonts w:hint="eastAsia"/>
          <w:spacing w:val="12"/>
          <w:sz w:val="40"/>
        </w:rPr>
        <w:t>趙昌平 李復</w:t>
      </w:r>
      <w:proofErr w:type="gramStart"/>
      <w:r>
        <w:rPr>
          <w:rFonts w:hint="eastAsia"/>
          <w:spacing w:val="12"/>
          <w:sz w:val="40"/>
        </w:rPr>
        <w:t>甸</w:t>
      </w:r>
      <w:proofErr w:type="gramEnd"/>
    </w:p>
    <w:bookmarkEnd w:id="145"/>
    <w:bookmarkEnd w:id="146"/>
    <w:bookmarkEnd w:id="147"/>
    <w:bookmarkEnd w:id="148"/>
    <w:bookmarkEnd w:id="149"/>
    <w:bookmarkEnd w:id="150"/>
    <w:bookmarkEnd w:id="151"/>
    <w:bookmarkEnd w:id="152"/>
    <w:bookmarkEnd w:id="153"/>
    <w:bookmarkEnd w:id="154"/>
    <w:p w:rsidR="00074BE2" w:rsidRPr="00405AEC" w:rsidRDefault="00405AEC" w:rsidP="00405AEC">
      <w:pPr>
        <w:pStyle w:val="1"/>
        <w:numPr>
          <w:ilvl w:val="0"/>
          <w:numId w:val="0"/>
        </w:numPr>
        <w:ind w:left="3742"/>
        <w:rPr>
          <w:rFonts w:ascii="Times New Roman"/>
          <w:sz w:val="40"/>
        </w:rPr>
      </w:pPr>
      <w:r w:rsidRPr="00405AEC">
        <w:rPr>
          <w:rFonts w:ascii="Times New Roman"/>
          <w:sz w:val="40"/>
        </w:rPr>
        <w:t xml:space="preserve"> </w:t>
      </w:r>
    </w:p>
    <w:p w:rsidR="00074BE2" w:rsidRDefault="00074BE2" w:rsidP="00074BE2">
      <w:pPr>
        <w:pStyle w:val="a4"/>
        <w:kinsoku w:val="0"/>
        <w:spacing w:before="0" w:after="0"/>
        <w:ind w:leftChars="1100" w:left="3742" w:firstLineChars="500" w:firstLine="2021"/>
        <w:jc w:val="both"/>
        <w:rPr>
          <w:b w:val="0"/>
          <w:bCs/>
          <w:snapToGrid/>
          <w:spacing w:val="12"/>
          <w:kern w:val="0"/>
        </w:rPr>
      </w:pPr>
    </w:p>
    <w:p w:rsidR="00074BE2" w:rsidRDefault="00074BE2" w:rsidP="00074BE2">
      <w:pPr>
        <w:pStyle w:val="a4"/>
        <w:kinsoku w:val="0"/>
        <w:spacing w:before="0" w:after="0"/>
        <w:ind w:leftChars="1100" w:left="3742" w:firstLineChars="500" w:firstLine="2021"/>
        <w:jc w:val="both"/>
        <w:rPr>
          <w:b w:val="0"/>
          <w:bCs/>
          <w:snapToGrid/>
          <w:spacing w:val="12"/>
          <w:kern w:val="0"/>
        </w:rPr>
      </w:pPr>
    </w:p>
    <w:p w:rsidR="00074BE2" w:rsidRDefault="00074BE2" w:rsidP="00074BE2">
      <w:pPr>
        <w:pStyle w:val="a"/>
        <w:numPr>
          <w:ilvl w:val="0"/>
          <w:numId w:val="0"/>
        </w:numPr>
        <w:rPr>
          <w:bCs/>
        </w:rPr>
      </w:pPr>
    </w:p>
    <w:p w:rsidR="00584E45" w:rsidRPr="00074BE2" w:rsidRDefault="00584E45"/>
    <w:sectPr w:rsidR="00584E45" w:rsidRPr="00074BE2" w:rsidSect="00FC57A8">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EF2" w:rsidRDefault="003D2EF2">
      <w:r>
        <w:separator/>
      </w:r>
    </w:p>
  </w:endnote>
  <w:endnote w:type="continuationSeparator" w:id="0">
    <w:p w:rsidR="003D2EF2" w:rsidRDefault="003D2EF2">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BE2" w:rsidRDefault="00FC57A8">
    <w:pPr>
      <w:pStyle w:val="ab"/>
      <w:framePr w:wrap="around" w:vAnchor="text" w:hAnchor="margin" w:xAlign="center" w:y="1"/>
      <w:rPr>
        <w:rStyle w:val="a8"/>
        <w:sz w:val="24"/>
      </w:rPr>
    </w:pPr>
    <w:r>
      <w:rPr>
        <w:rStyle w:val="a8"/>
        <w:sz w:val="24"/>
      </w:rPr>
      <w:fldChar w:fldCharType="begin"/>
    </w:r>
    <w:r w:rsidR="00074BE2">
      <w:rPr>
        <w:rStyle w:val="a8"/>
        <w:sz w:val="24"/>
      </w:rPr>
      <w:instrText xml:space="preserve">PAGE  </w:instrText>
    </w:r>
    <w:r>
      <w:rPr>
        <w:rStyle w:val="a8"/>
        <w:sz w:val="24"/>
      </w:rPr>
      <w:fldChar w:fldCharType="separate"/>
    </w:r>
    <w:r w:rsidR="00405AEC">
      <w:rPr>
        <w:rStyle w:val="a8"/>
        <w:noProof/>
        <w:sz w:val="24"/>
      </w:rPr>
      <w:t>1</w:t>
    </w:r>
    <w:r>
      <w:rPr>
        <w:rStyle w:val="a8"/>
        <w:sz w:val="24"/>
      </w:rPr>
      <w:fldChar w:fldCharType="end"/>
    </w:r>
  </w:p>
  <w:p w:rsidR="00074BE2" w:rsidRDefault="00074BE2">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EF2" w:rsidRDefault="003D2EF2">
      <w:r>
        <w:separator/>
      </w:r>
    </w:p>
  </w:footnote>
  <w:footnote w:type="continuationSeparator" w:id="0">
    <w:p w:rsidR="003D2EF2" w:rsidRDefault="003D2E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AABC8448"/>
    <w:lvl w:ilvl="0">
      <w:start w:val="1"/>
      <w:numFmt w:val="ideographLegalTraditional"/>
      <w:pStyle w:val="1"/>
      <w:suff w:val="nothing"/>
      <w:lvlText w:val="%1、"/>
      <w:lvlJc w:val="left"/>
      <w:pPr>
        <w:ind w:left="4385"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74BE2"/>
    <w:rsid w:val="0000761B"/>
    <w:rsid w:val="000179C6"/>
    <w:rsid w:val="00052EF6"/>
    <w:rsid w:val="00074BE2"/>
    <w:rsid w:val="000F0705"/>
    <w:rsid w:val="00231C2B"/>
    <w:rsid w:val="00273E2F"/>
    <w:rsid w:val="00312AB1"/>
    <w:rsid w:val="003414C7"/>
    <w:rsid w:val="003572E7"/>
    <w:rsid w:val="003D2EF2"/>
    <w:rsid w:val="00403DFB"/>
    <w:rsid w:val="00405AEC"/>
    <w:rsid w:val="00415ABF"/>
    <w:rsid w:val="00433355"/>
    <w:rsid w:val="004A4974"/>
    <w:rsid w:val="004C05A4"/>
    <w:rsid w:val="004D3DEE"/>
    <w:rsid w:val="004E39BB"/>
    <w:rsid w:val="004F4231"/>
    <w:rsid w:val="005462BF"/>
    <w:rsid w:val="00584E45"/>
    <w:rsid w:val="00585BCE"/>
    <w:rsid w:val="00587FF8"/>
    <w:rsid w:val="00604D76"/>
    <w:rsid w:val="00606724"/>
    <w:rsid w:val="00617C81"/>
    <w:rsid w:val="00653A75"/>
    <w:rsid w:val="006D7BDA"/>
    <w:rsid w:val="00700919"/>
    <w:rsid w:val="0072473E"/>
    <w:rsid w:val="00745715"/>
    <w:rsid w:val="00804AC5"/>
    <w:rsid w:val="0083566A"/>
    <w:rsid w:val="00841897"/>
    <w:rsid w:val="008625E1"/>
    <w:rsid w:val="008C1E11"/>
    <w:rsid w:val="008D4FB1"/>
    <w:rsid w:val="008D7522"/>
    <w:rsid w:val="009431EF"/>
    <w:rsid w:val="009A2725"/>
    <w:rsid w:val="00A3247C"/>
    <w:rsid w:val="00A85892"/>
    <w:rsid w:val="00A97687"/>
    <w:rsid w:val="00AD4A89"/>
    <w:rsid w:val="00AE17CB"/>
    <w:rsid w:val="00B07997"/>
    <w:rsid w:val="00B71747"/>
    <w:rsid w:val="00B772AC"/>
    <w:rsid w:val="00BA5E36"/>
    <w:rsid w:val="00BB08D4"/>
    <w:rsid w:val="00BC5FBF"/>
    <w:rsid w:val="00C324E9"/>
    <w:rsid w:val="00C6629F"/>
    <w:rsid w:val="00C81C3E"/>
    <w:rsid w:val="00CA0F69"/>
    <w:rsid w:val="00D01812"/>
    <w:rsid w:val="00D60584"/>
    <w:rsid w:val="00D64C98"/>
    <w:rsid w:val="00DA1F50"/>
    <w:rsid w:val="00E734F6"/>
    <w:rsid w:val="00E967D9"/>
    <w:rsid w:val="00EA3659"/>
    <w:rsid w:val="00ED367E"/>
    <w:rsid w:val="00F10E63"/>
    <w:rsid w:val="00F2457D"/>
    <w:rsid w:val="00F9250C"/>
    <w:rsid w:val="00FC57A8"/>
    <w:rsid w:val="00FD3A90"/>
    <w:rsid w:val="00FE797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74BE2"/>
    <w:pPr>
      <w:widowControl w:val="0"/>
    </w:pPr>
    <w:rPr>
      <w:rFonts w:ascii="Times New Roman" w:eastAsia="標楷體" w:hAnsi="Times New Roman"/>
      <w:kern w:val="2"/>
      <w:sz w:val="32"/>
    </w:rPr>
  </w:style>
  <w:style w:type="paragraph" w:styleId="1">
    <w:name w:val="heading 1"/>
    <w:basedOn w:val="a0"/>
    <w:link w:val="10"/>
    <w:qFormat/>
    <w:rsid w:val="00074BE2"/>
    <w:pPr>
      <w:numPr>
        <w:numId w:val="1"/>
      </w:numPr>
      <w:kinsoku w:val="0"/>
      <w:ind w:left="699"/>
      <w:jc w:val="both"/>
      <w:outlineLvl w:val="0"/>
    </w:pPr>
    <w:rPr>
      <w:rFonts w:ascii="標楷體" w:hAnsi="Arial"/>
      <w:bCs/>
      <w:kern w:val="0"/>
      <w:szCs w:val="52"/>
    </w:rPr>
  </w:style>
  <w:style w:type="paragraph" w:styleId="2">
    <w:name w:val="heading 2"/>
    <w:basedOn w:val="a0"/>
    <w:link w:val="20"/>
    <w:qFormat/>
    <w:rsid w:val="00074BE2"/>
    <w:pPr>
      <w:numPr>
        <w:ilvl w:val="1"/>
        <w:numId w:val="1"/>
      </w:numPr>
      <w:kinsoku w:val="0"/>
      <w:jc w:val="both"/>
      <w:outlineLvl w:val="1"/>
    </w:pPr>
    <w:rPr>
      <w:rFonts w:ascii="標楷體" w:hAnsi="Arial"/>
      <w:bCs/>
      <w:kern w:val="0"/>
      <w:szCs w:val="48"/>
    </w:rPr>
  </w:style>
  <w:style w:type="paragraph" w:styleId="3">
    <w:name w:val="heading 3"/>
    <w:basedOn w:val="a0"/>
    <w:link w:val="30"/>
    <w:qFormat/>
    <w:rsid w:val="00074BE2"/>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0"/>
    <w:link w:val="40"/>
    <w:qFormat/>
    <w:rsid w:val="00074BE2"/>
    <w:pPr>
      <w:numPr>
        <w:ilvl w:val="3"/>
        <w:numId w:val="1"/>
      </w:numPr>
      <w:ind w:leftChars="300" w:left="500" w:hangingChars="200" w:hanging="200"/>
      <w:jc w:val="both"/>
      <w:outlineLvl w:val="3"/>
    </w:pPr>
    <w:rPr>
      <w:rFonts w:ascii="標楷體" w:hAnsi="Arial"/>
      <w:szCs w:val="36"/>
    </w:rPr>
  </w:style>
  <w:style w:type="paragraph" w:styleId="5">
    <w:name w:val="heading 5"/>
    <w:basedOn w:val="a0"/>
    <w:link w:val="50"/>
    <w:qFormat/>
    <w:rsid w:val="00074BE2"/>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0"/>
    <w:link w:val="60"/>
    <w:qFormat/>
    <w:rsid w:val="00074BE2"/>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0"/>
    <w:link w:val="70"/>
    <w:qFormat/>
    <w:rsid w:val="00074BE2"/>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0"/>
    <w:link w:val="80"/>
    <w:qFormat/>
    <w:rsid w:val="00074BE2"/>
    <w:pPr>
      <w:numPr>
        <w:ilvl w:val="7"/>
        <w:numId w:val="1"/>
      </w:numPr>
      <w:kinsoku w:val="0"/>
      <w:ind w:leftChars="700" w:left="800" w:hangingChars="100" w:hanging="100"/>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074BE2"/>
    <w:rPr>
      <w:rFonts w:ascii="標楷體" w:eastAsia="標楷體" w:hAnsi="Arial" w:cs="Times New Roman"/>
      <w:bCs/>
      <w:kern w:val="0"/>
      <w:sz w:val="32"/>
      <w:szCs w:val="52"/>
    </w:rPr>
  </w:style>
  <w:style w:type="character" w:customStyle="1" w:styleId="20">
    <w:name w:val="標題 2 字元"/>
    <w:basedOn w:val="a1"/>
    <w:link w:val="2"/>
    <w:rsid w:val="00074BE2"/>
    <w:rPr>
      <w:rFonts w:ascii="標楷體" w:eastAsia="標楷體" w:hAnsi="Arial" w:cs="Times New Roman"/>
      <w:bCs/>
      <w:kern w:val="0"/>
      <w:sz w:val="32"/>
      <w:szCs w:val="48"/>
    </w:rPr>
  </w:style>
  <w:style w:type="character" w:customStyle="1" w:styleId="30">
    <w:name w:val="標題 3 字元"/>
    <w:basedOn w:val="a1"/>
    <w:link w:val="3"/>
    <w:rsid w:val="00074BE2"/>
    <w:rPr>
      <w:rFonts w:ascii="標楷體" w:eastAsia="標楷體" w:hAnsi="Arial" w:cs="Times New Roman"/>
      <w:bCs/>
      <w:kern w:val="0"/>
      <w:sz w:val="32"/>
      <w:szCs w:val="36"/>
    </w:rPr>
  </w:style>
  <w:style w:type="character" w:customStyle="1" w:styleId="40">
    <w:name w:val="標題 4 字元"/>
    <w:basedOn w:val="a1"/>
    <w:link w:val="4"/>
    <w:rsid w:val="00074BE2"/>
    <w:rPr>
      <w:rFonts w:ascii="標楷體" w:eastAsia="標楷體" w:hAnsi="Arial" w:cs="Times New Roman"/>
      <w:sz w:val="32"/>
      <w:szCs w:val="36"/>
    </w:rPr>
  </w:style>
  <w:style w:type="character" w:customStyle="1" w:styleId="50">
    <w:name w:val="標題 5 字元"/>
    <w:basedOn w:val="a1"/>
    <w:link w:val="5"/>
    <w:rsid w:val="00074BE2"/>
    <w:rPr>
      <w:rFonts w:ascii="標楷體" w:eastAsia="標楷體" w:hAnsi="Arial" w:cs="Times New Roman"/>
      <w:bCs/>
      <w:sz w:val="32"/>
      <w:szCs w:val="36"/>
    </w:rPr>
  </w:style>
  <w:style w:type="character" w:customStyle="1" w:styleId="60">
    <w:name w:val="標題 6 字元"/>
    <w:basedOn w:val="a1"/>
    <w:link w:val="6"/>
    <w:rsid w:val="00074BE2"/>
    <w:rPr>
      <w:rFonts w:ascii="標楷體" w:eastAsia="標楷體" w:hAnsi="Arial" w:cs="Times New Roman"/>
      <w:sz w:val="32"/>
      <w:szCs w:val="36"/>
    </w:rPr>
  </w:style>
  <w:style w:type="character" w:customStyle="1" w:styleId="70">
    <w:name w:val="標題 7 字元"/>
    <w:basedOn w:val="a1"/>
    <w:link w:val="7"/>
    <w:rsid w:val="00074BE2"/>
    <w:rPr>
      <w:rFonts w:ascii="標楷體" w:eastAsia="標楷體" w:hAnsi="Arial" w:cs="Times New Roman"/>
      <w:bCs/>
      <w:sz w:val="32"/>
      <w:szCs w:val="36"/>
    </w:rPr>
  </w:style>
  <w:style w:type="character" w:customStyle="1" w:styleId="80">
    <w:name w:val="標題 8 字元"/>
    <w:basedOn w:val="a1"/>
    <w:link w:val="8"/>
    <w:rsid w:val="00074BE2"/>
    <w:rPr>
      <w:rFonts w:ascii="標楷體" w:eastAsia="標楷體" w:hAnsi="Arial" w:cs="Times New Roman"/>
      <w:sz w:val="32"/>
      <w:szCs w:val="36"/>
    </w:rPr>
  </w:style>
  <w:style w:type="paragraph" w:styleId="a4">
    <w:name w:val="Signature"/>
    <w:basedOn w:val="a0"/>
    <w:link w:val="a5"/>
    <w:semiHidden/>
    <w:rsid w:val="00074BE2"/>
    <w:pPr>
      <w:spacing w:before="720" w:after="720"/>
      <w:ind w:left="7371"/>
    </w:pPr>
    <w:rPr>
      <w:rFonts w:ascii="標楷體"/>
      <w:b/>
      <w:snapToGrid w:val="0"/>
      <w:spacing w:val="10"/>
      <w:sz w:val="36"/>
    </w:rPr>
  </w:style>
  <w:style w:type="character" w:customStyle="1" w:styleId="a5">
    <w:name w:val="簽名 字元"/>
    <w:basedOn w:val="a1"/>
    <w:link w:val="a4"/>
    <w:semiHidden/>
    <w:rsid w:val="00074BE2"/>
    <w:rPr>
      <w:rFonts w:ascii="標楷體" w:eastAsia="標楷體" w:hAnsi="Times New Roman" w:cs="Times New Roman"/>
      <w:b/>
      <w:snapToGrid w:val="0"/>
      <w:spacing w:val="10"/>
      <w:sz w:val="36"/>
      <w:szCs w:val="20"/>
    </w:rPr>
  </w:style>
  <w:style w:type="paragraph" w:styleId="a6">
    <w:name w:val="endnote text"/>
    <w:basedOn w:val="a0"/>
    <w:link w:val="a7"/>
    <w:semiHidden/>
    <w:rsid w:val="00074BE2"/>
    <w:pPr>
      <w:spacing w:before="240"/>
      <w:ind w:left="1021" w:hanging="1021"/>
      <w:jc w:val="both"/>
    </w:pPr>
    <w:rPr>
      <w:rFonts w:ascii="標楷體"/>
      <w:snapToGrid w:val="0"/>
      <w:spacing w:val="10"/>
    </w:rPr>
  </w:style>
  <w:style w:type="character" w:customStyle="1" w:styleId="a7">
    <w:name w:val="章節附註文字 字元"/>
    <w:basedOn w:val="a1"/>
    <w:link w:val="a6"/>
    <w:semiHidden/>
    <w:rsid w:val="00074BE2"/>
    <w:rPr>
      <w:rFonts w:ascii="標楷體" w:eastAsia="標楷體" w:hAnsi="Times New Roman" w:cs="Times New Roman"/>
      <w:snapToGrid w:val="0"/>
      <w:spacing w:val="10"/>
      <w:sz w:val="32"/>
      <w:szCs w:val="20"/>
    </w:rPr>
  </w:style>
  <w:style w:type="character" w:styleId="a8">
    <w:name w:val="page number"/>
    <w:basedOn w:val="a1"/>
    <w:semiHidden/>
    <w:rsid w:val="00074BE2"/>
    <w:rPr>
      <w:rFonts w:ascii="標楷體" w:eastAsia="標楷體"/>
      <w:sz w:val="20"/>
    </w:rPr>
  </w:style>
  <w:style w:type="paragraph" w:customStyle="1" w:styleId="11">
    <w:name w:val="段落樣式1"/>
    <w:basedOn w:val="a0"/>
    <w:rsid w:val="00074BE2"/>
    <w:pPr>
      <w:tabs>
        <w:tab w:val="left" w:pos="567"/>
      </w:tabs>
      <w:kinsoku w:val="0"/>
      <w:ind w:leftChars="200" w:left="200" w:firstLineChars="200" w:firstLine="200"/>
      <w:jc w:val="both"/>
    </w:pPr>
    <w:rPr>
      <w:rFonts w:ascii="標楷體"/>
      <w:kern w:val="0"/>
    </w:rPr>
  </w:style>
  <w:style w:type="paragraph" w:customStyle="1" w:styleId="21">
    <w:name w:val="段落樣式2"/>
    <w:basedOn w:val="a0"/>
    <w:rsid w:val="00074BE2"/>
    <w:pPr>
      <w:tabs>
        <w:tab w:val="left" w:pos="567"/>
      </w:tabs>
      <w:ind w:leftChars="300" w:left="300" w:firstLineChars="200" w:firstLine="200"/>
      <w:jc w:val="both"/>
    </w:pPr>
    <w:rPr>
      <w:rFonts w:ascii="標楷體"/>
      <w:kern w:val="0"/>
    </w:rPr>
  </w:style>
  <w:style w:type="paragraph" w:customStyle="1" w:styleId="a9">
    <w:name w:val="簽名日期"/>
    <w:basedOn w:val="a0"/>
    <w:rsid w:val="00074BE2"/>
    <w:pPr>
      <w:kinsoku w:val="0"/>
      <w:jc w:val="distribute"/>
    </w:pPr>
    <w:rPr>
      <w:kern w:val="0"/>
    </w:rPr>
  </w:style>
  <w:style w:type="paragraph" w:customStyle="1" w:styleId="aa">
    <w:name w:val="附件"/>
    <w:basedOn w:val="a6"/>
    <w:rsid w:val="00074BE2"/>
    <w:pPr>
      <w:kinsoku w:val="0"/>
      <w:spacing w:before="0"/>
      <w:ind w:left="1047" w:hangingChars="300" w:hanging="1047"/>
    </w:pPr>
    <w:rPr>
      <w:snapToGrid/>
      <w:spacing w:val="0"/>
      <w:kern w:val="0"/>
    </w:rPr>
  </w:style>
  <w:style w:type="paragraph" w:customStyle="1" w:styleId="a">
    <w:name w:val="表樣式"/>
    <w:basedOn w:val="a0"/>
    <w:next w:val="a0"/>
    <w:rsid w:val="00074BE2"/>
    <w:pPr>
      <w:numPr>
        <w:numId w:val="2"/>
      </w:numPr>
      <w:jc w:val="both"/>
    </w:pPr>
    <w:rPr>
      <w:rFonts w:ascii="標楷體"/>
      <w:kern w:val="0"/>
    </w:rPr>
  </w:style>
  <w:style w:type="paragraph" w:styleId="ab">
    <w:name w:val="footer"/>
    <w:basedOn w:val="a0"/>
    <w:link w:val="ac"/>
    <w:semiHidden/>
    <w:rsid w:val="00074BE2"/>
    <w:pPr>
      <w:tabs>
        <w:tab w:val="center" w:pos="4153"/>
        <w:tab w:val="right" w:pos="8306"/>
      </w:tabs>
      <w:snapToGrid w:val="0"/>
    </w:pPr>
    <w:rPr>
      <w:sz w:val="20"/>
    </w:rPr>
  </w:style>
  <w:style w:type="character" w:customStyle="1" w:styleId="ac">
    <w:name w:val="頁尾 字元"/>
    <w:basedOn w:val="a1"/>
    <w:link w:val="ab"/>
    <w:semiHidden/>
    <w:rsid w:val="00074BE2"/>
    <w:rPr>
      <w:rFonts w:ascii="Times New Roman" w:eastAsia="標楷體" w:hAnsi="Times New Roman" w:cs="Times New Roman"/>
      <w:sz w:val="20"/>
      <w:szCs w:val="20"/>
    </w:rPr>
  </w:style>
  <w:style w:type="paragraph" w:styleId="ad">
    <w:name w:val="header"/>
    <w:basedOn w:val="a0"/>
    <w:link w:val="ae"/>
    <w:uiPriority w:val="99"/>
    <w:semiHidden/>
    <w:unhideWhenUsed/>
    <w:rsid w:val="004D3DEE"/>
    <w:pPr>
      <w:tabs>
        <w:tab w:val="center" w:pos="4153"/>
        <w:tab w:val="right" w:pos="8306"/>
      </w:tabs>
      <w:snapToGrid w:val="0"/>
    </w:pPr>
    <w:rPr>
      <w:sz w:val="20"/>
    </w:rPr>
  </w:style>
  <w:style w:type="character" w:customStyle="1" w:styleId="ae">
    <w:name w:val="頁首 字元"/>
    <w:basedOn w:val="a1"/>
    <w:link w:val="ad"/>
    <w:uiPriority w:val="99"/>
    <w:semiHidden/>
    <w:rsid w:val="004D3DEE"/>
    <w:rPr>
      <w:rFonts w:ascii="Times New Roman" w:eastAsia="標楷體" w:hAnsi="Times New Roman"/>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A13ABE-548C-4217-9DF9-4AE03A59A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673</Words>
  <Characters>3838</Characters>
  <Application>Microsoft Office Word</Application>
  <DocSecurity>0</DocSecurity>
  <Lines>31</Lines>
  <Paragraphs>9</Paragraphs>
  <ScaleCrop>false</ScaleCrop>
  <Company>Hewlett-Packard Company</Company>
  <LinksUpToDate>false</LinksUpToDate>
  <CharactersWithSpaces>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dcterms:created xsi:type="dcterms:W3CDTF">2012-05-11T04:55:00Z</dcterms:created>
  <dcterms:modified xsi:type="dcterms:W3CDTF">2012-05-11T04:58:00Z</dcterms:modified>
</cp:coreProperties>
</file>