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F542DE" w:rsidRDefault="00D75644" w:rsidP="00F37D7B">
      <w:pPr>
        <w:pStyle w:val="af3"/>
      </w:pPr>
      <w:r w:rsidRPr="00F542DE">
        <w:rPr>
          <w:rFonts w:hint="eastAsia"/>
        </w:rPr>
        <w:t>調查</w:t>
      </w:r>
      <w:r w:rsidR="00B17A8D">
        <w:rPr>
          <w:rFonts w:hint="eastAsia"/>
        </w:rPr>
        <w:t>報告</w:t>
      </w:r>
    </w:p>
    <w:p w:rsidR="00E25849" w:rsidRPr="00F542DE" w:rsidRDefault="00E25849" w:rsidP="00D04C45">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30496371"/>
      <w:r w:rsidRPr="00F542DE">
        <w:rPr>
          <w:rFonts w:hint="eastAsia"/>
          <w:b/>
        </w:rPr>
        <w:t>案　　由</w:t>
      </w:r>
      <w:r w:rsidRPr="00F542DE">
        <w:rPr>
          <w:rFonts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43172A" w:rsidRPr="00F542DE">
        <w:rPr>
          <w:rFonts w:hint="eastAsia"/>
        </w:rPr>
        <w:t>據悉，國家發展委員會為帶動國內投資能量，提升經濟成長動能，規劃由政府結合民間力量，成立國家級投資公司，爰由行政院國家發展基金、</w:t>
      </w:r>
      <w:r w:rsidR="00D04C45" w:rsidRPr="00F542DE">
        <w:rPr>
          <w:rFonts w:hint="eastAsia"/>
        </w:rPr>
        <w:t>臺灣銀行股份有限公司</w:t>
      </w:r>
      <w:r w:rsidR="0043172A" w:rsidRPr="00F542DE">
        <w:rPr>
          <w:rFonts w:hint="eastAsia"/>
        </w:rPr>
        <w:t>及創新工業技術移轉股份有限公司等出資設立台杉投資管理顧問股份有限公司，然因政府股份僅占約4成，故該公司屬民營企業，惟持股約6成之</w:t>
      </w:r>
      <w:r w:rsidR="00D04C45" w:rsidRPr="00F542DE">
        <w:rPr>
          <w:rFonts w:hint="eastAsia"/>
        </w:rPr>
        <w:t>創新工業技術移轉股份有限公司</w:t>
      </w:r>
      <w:r w:rsidR="0043172A" w:rsidRPr="00F542DE">
        <w:rPr>
          <w:rFonts w:hint="eastAsia"/>
        </w:rPr>
        <w:t>為政府可掌控人事之財團法人工業技術研究院</w:t>
      </w:r>
      <w:r w:rsidR="00013024" w:rsidRPr="00F542DE">
        <w:rPr>
          <w:rFonts w:hint="eastAsia"/>
        </w:rPr>
        <w:t>下設</w:t>
      </w:r>
      <w:r w:rsidR="0043172A" w:rsidRPr="00F542DE">
        <w:rPr>
          <w:rFonts w:hint="eastAsia"/>
        </w:rPr>
        <w:t>之子公司，輿論質疑政府刻意降低對</w:t>
      </w:r>
      <w:r w:rsidR="00D04C45" w:rsidRPr="00F542DE">
        <w:rPr>
          <w:rFonts w:hint="eastAsia"/>
        </w:rPr>
        <w:t>台杉投資管理顧問股份有限公司</w:t>
      </w:r>
      <w:r w:rsidR="0043172A" w:rsidRPr="00F542DE">
        <w:rPr>
          <w:rFonts w:hint="eastAsia"/>
        </w:rPr>
        <w:t>之持股比率，以規避監督。另該公司收取之管理費為基金規模之2.5%，似高於一般行情，而金融監督管理委員會竟配合修改相關規定，大幅放寬銀行轉投資創投事業之持股比率上限，及部分公股銀行行庫於投資決策不透明情形下配合投資該公司旗下之基金等諸多缺失。究實情如何？成立國家級投資公司之決策及執行過程是否過於草率？相關人事任用有無不當？有無違反相關法令規定？實有深入調查瞭解之必要案。</w:t>
      </w:r>
      <w:bookmarkEnd w:id="24"/>
    </w:p>
    <w:p w:rsidR="00C95C12" w:rsidRPr="00F542DE" w:rsidRDefault="00C95C12" w:rsidP="00C95C12">
      <w:pPr>
        <w:pStyle w:val="1"/>
        <w:rPr>
          <w:b/>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30496458"/>
      <w:r w:rsidRPr="00F542DE">
        <w:rPr>
          <w:rFonts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967139" w:rsidRPr="00F542DE" w:rsidRDefault="00967139" w:rsidP="009A4980">
      <w:pPr>
        <w:pStyle w:val="11"/>
        <w:ind w:left="680" w:firstLine="680"/>
      </w:pPr>
      <w:bookmarkStart w:id="39" w:name="_Toc484177895"/>
      <w:bookmarkStart w:id="40" w:name="_Toc484593444"/>
      <w:r w:rsidRPr="00F542DE">
        <w:rPr>
          <w:rFonts w:hint="eastAsia"/>
        </w:rPr>
        <w:t>國家發展委員會(下稱國發會)前主任委員陳添枝於</w:t>
      </w:r>
      <w:r w:rsidR="00825A23" w:rsidRPr="00F542DE">
        <w:rPr>
          <w:rFonts w:hint="eastAsia"/>
        </w:rPr>
        <w:t>民國(下同)</w:t>
      </w:r>
      <w:r w:rsidRPr="00F542DE">
        <w:rPr>
          <w:rFonts w:hint="eastAsia"/>
        </w:rPr>
        <w:t>106年5月9日簽陳行政院</w:t>
      </w:r>
      <w:r w:rsidR="00CB1486" w:rsidRPr="00F542DE">
        <w:rPr>
          <w:rFonts w:hint="eastAsia"/>
        </w:rPr>
        <w:t>前</w:t>
      </w:r>
      <w:r w:rsidRPr="00F542DE">
        <w:rPr>
          <w:rFonts w:hint="eastAsia"/>
        </w:rPr>
        <w:t>院長</w:t>
      </w:r>
      <w:r w:rsidR="00CB1486" w:rsidRPr="00F542DE">
        <w:rPr>
          <w:rFonts w:hint="eastAsia"/>
        </w:rPr>
        <w:t>林全</w:t>
      </w:r>
      <w:r w:rsidRPr="00F542DE">
        <w:rPr>
          <w:rFonts w:hint="eastAsia"/>
        </w:rPr>
        <w:t>同意由轄下國家發展基金管理會</w:t>
      </w:r>
      <w:r w:rsidR="00F04E2B" w:rsidRPr="00F542DE">
        <w:rPr>
          <w:rStyle w:val="aff1"/>
          <w:rFonts w:hAnsi="標楷體"/>
        </w:rPr>
        <w:footnoteReference w:id="1"/>
      </w:r>
      <w:r w:rsidRPr="00F542DE">
        <w:rPr>
          <w:rFonts w:hint="eastAsia"/>
        </w:rPr>
        <w:t>(下稱國發基金)參與投資國</w:t>
      </w:r>
      <w:r w:rsidRPr="00F542DE">
        <w:rPr>
          <w:rFonts w:hint="eastAsia"/>
        </w:rPr>
        <w:lastRenderedPageBreak/>
        <w:t>家級投資公司40%股權案。經行政院前院長林全於同年月12日同意</w:t>
      </w:r>
      <w:r w:rsidR="00526164" w:rsidRPr="00F542DE">
        <w:rPr>
          <w:rFonts w:hint="eastAsia"/>
        </w:rPr>
        <w:t>後，</w:t>
      </w:r>
      <w:r w:rsidRPr="00F542DE">
        <w:rPr>
          <w:rFonts w:hint="eastAsia"/>
        </w:rPr>
        <w:t>國發基金即</w:t>
      </w:r>
      <w:r w:rsidR="00CB1486" w:rsidRPr="00F542DE">
        <w:rPr>
          <w:rFonts w:hint="eastAsia"/>
        </w:rPr>
        <w:t>著手籌組</w:t>
      </w:r>
      <w:r w:rsidRPr="00F542DE">
        <w:rPr>
          <w:rFonts w:hint="eastAsia"/>
        </w:rPr>
        <w:t>國家級投資公司，於同年7月3日舉行首次董事籌備會，將國家級投資公司命名為「台杉投資管理顧問股份有限公司」(下稱</w:t>
      </w:r>
      <w:r w:rsidR="00CB1486" w:rsidRPr="00F542DE">
        <w:rPr>
          <w:rFonts w:hAnsi="標楷體" w:hint="eastAsia"/>
        </w:rPr>
        <w:t>「</w:t>
      </w:r>
      <w:r w:rsidRPr="00F542DE">
        <w:rPr>
          <w:rFonts w:hint="eastAsia"/>
        </w:rPr>
        <w:t>台杉投顧</w:t>
      </w:r>
      <w:r w:rsidR="00CB1486" w:rsidRPr="00F542DE">
        <w:rPr>
          <w:rFonts w:hAnsi="標楷體" w:hint="eastAsia"/>
        </w:rPr>
        <w:t>」</w:t>
      </w:r>
      <w:r w:rsidRPr="00F542DE">
        <w:rPr>
          <w:rFonts w:hint="eastAsia"/>
        </w:rPr>
        <w:t>)，</w:t>
      </w:r>
      <w:r w:rsidR="00526164" w:rsidRPr="00F542DE">
        <w:rPr>
          <w:rFonts w:hint="eastAsia"/>
        </w:rPr>
        <w:t>並</w:t>
      </w:r>
      <w:r w:rsidRPr="00F542DE">
        <w:rPr>
          <w:rFonts w:hint="eastAsia"/>
        </w:rPr>
        <w:t>擬由行政院前副院長吳榮義擔任董事長，亞洲矽谷投資長翁嘉盛擔任總經理，實收資本額預定為</w:t>
      </w:r>
      <w:r w:rsidR="00825A23" w:rsidRPr="00F542DE">
        <w:rPr>
          <w:rFonts w:hint="eastAsia"/>
        </w:rPr>
        <w:t>新臺幣(下同)</w:t>
      </w:r>
      <w:r w:rsidRPr="00F542DE">
        <w:rPr>
          <w:rFonts w:hint="eastAsia"/>
        </w:rPr>
        <w:t>2億5,000萬元。</w:t>
      </w:r>
      <w:r w:rsidR="00526164" w:rsidRPr="00F542DE">
        <w:rPr>
          <w:rFonts w:hint="eastAsia"/>
        </w:rPr>
        <w:t>此外，</w:t>
      </w:r>
      <w:r w:rsidRPr="00F542DE">
        <w:rPr>
          <w:rFonts w:hint="eastAsia"/>
        </w:rPr>
        <w:t>規劃3位發起人，分別係國發基金出資1億元，持股比率40%、</w:t>
      </w:r>
      <w:r w:rsidR="00526164" w:rsidRPr="00F542DE">
        <w:rPr>
          <w:rFonts w:hint="eastAsia"/>
        </w:rPr>
        <w:t>創新工業技術移轉股份有限公司(下稱創新公司)</w:t>
      </w:r>
      <w:r w:rsidRPr="00F542DE">
        <w:rPr>
          <w:rFonts w:hint="eastAsia"/>
        </w:rPr>
        <w:t>、耀華玻璃股份有限公司管理委員會(下稱耀華玻璃管理會)各出資7,500萬元，持股比率各為30%。惟耀華玻璃管理會因組織型態原因無法擔任發起人，且因國發會依</w:t>
      </w:r>
      <w:r w:rsidR="00CB1486" w:rsidRPr="00F542DE">
        <w:rPr>
          <w:rFonts w:hAnsi="標楷體" w:hint="eastAsia"/>
        </w:rPr>
        <w:t>「</w:t>
      </w:r>
      <w:r w:rsidRPr="00F542DE">
        <w:rPr>
          <w:rFonts w:hint="eastAsia"/>
        </w:rPr>
        <w:t>公司法</w:t>
      </w:r>
      <w:r w:rsidR="00CB1486" w:rsidRPr="00F542DE">
        <w:rPr>
          <w:rFonts w:hAnsi="標楷體" w:hint="eastAsia"/>
        </w:rPr>
        <w:t>」</w:t>
      </w:r>
      <w:r w:rsidRPr="00F542DE">
        <w:rPr>
          <w:rFonts w:hint="eastAsia"/>
        </w:rPr>
        <w:t>不能同時擔任董事及監察人。爰台杉投顧將實收資本調降為1億2,600萬元，並增加臺灣銀行股份有限公司(下稱臺灣銀行)擔任發起人，投資100萬元，持股比率0.8%，另國發基金投資金額降為5,000萬元，持股比率39.7%，</w:t>
      </w:r>
      <w:r w:rsidR="00526164" w:rsidRPr="00F542DE">
        <w:rPr>
          <w:rFonts w:hint="eastAsia"/>
        </w:rPr>
        <w:t>創新公司</w:t>
      </w:r>
      <w:r w:rsidRPr="00F542DE">
        <w:rPr>
          <w:rFonts w:hint="eastAsia"/>
        </w:rPr>
        <w:t>維持原投資額7,500萬元，持股比率升為59.5%。</w:t>
      </w:r>
    </w:p>
    <w:p w:rsidR="00967139" w:rsidRPr="00F542DE" w:rsidRDefault="00967139" w:rsidP="009A4980">
      <w:pPr>
        <w:pStyle w:val="11"/>
        <w:ind w:left="680" w:firstLine="680"/>
      </w:pPr>
      <w:r w:rsidRPr="00F542DE">
        <w:rPr>
          <w:rFonts w:hint="eastAsia"/>
        </w:rPr>
        <w:t>台杉投顧3位發起人於106年8月16日繳納完股款後，於同年月18日召開發起人會議及董事會，通過該公司之公司章程及選任5位董事與1位監察人，選任董事中有2位國發基金代表分別為龔明鑫、陳良基、3位自然人</w:t>
      </w:r>
      <w:r w:rsidR="00CB1486" w:rsidRPr="00F542DE">
        <w:rPr>
          <w:rFonts w:hint="eastAsia"/>
        </w:rPr>
        <w:t>擔任</w:t>
      </w:r>
      <w:r w:rsidRPr="00F542DE">
        <w:rPr>
          <w:rFonts w:hint="eastAsia"/>
        </w:rPr>
        <w:t>董事，分別為吳榮義、黃日燦、楊育民，並選任吳榮義擔任董事長，翁嘉盛擔任總經理後，正式成立運作。</w:t>
      </w:r>
      <w:bookmarkEnd w:id="39"/>
      <w:bookmarkEnd w:id="40"/>
    </w:p>
    <w:p w:rsidR="005B2570" w:rsidRPr="00F542DE" w:rsidRDefault="00967139" w:rsidP="009A4980">
      <w:pPr>
        <w:pStyle w:val="11"/>
        <w:ind w:left="680" w:firstLine="680"/>
        <w:rPr>
          <w:rFonts w:hAnsi="標楷體"/>
        </w:rPr>
      </w:pPr>
      <w:r w:rsidRPr="00F542DE">
        <w:rPr>
          <w:rFonts w:hAnsi="標楷體" w:hint="eastAsia"/>
        </w:rPr>
        <w:t>台杉投顧於106年8月25日完成設立登記，並陸續設立</w:t>
      </w:r>
      <w:r w:rsidR="00291DD8" w:rsidRPr="00F542DE">
        <w:rPr>
          <w:rFonts w:hAnsi="標楷體" w:hint="eastAsia"/>
        </w:rPr>
        <w:t>美國子公司Taiwania Capital Management USA, Inc.、台杉生物科技股份有限公司(下稱台杉生技)、台杉水牛投資股份有限公司(又稱台灣水牛公司，下稱台杉</w:t>
      </w:r>
      <w:r w:rsidR="00291DD8" w:rsidRPr="00F542DE">
        <w:rPr>
          <w:rFonts w:hAnsi="標楷體" w:hint="eastAsia"/>
        </w:rPr>
        <w:lastRenderedPageBreak/>
        <w:t>水牛一號基金)等</w:t>
      </w:r>
      <w:r w:rsidRPr="00F542DE">
        <w:rPr>
          <w:rFonts w:hAnsi="標楷體" w:hint="eastAsia"/>
        </w:rPr>
        <w:t>3家子公司，及</w:t>
      </w:r>
      <w:r w:rsidR="0063223B" w:rsidRPr="00F542DE">
        <w:rPr>
          <w:rFonts w:hAnsi="標楷體" w:hint="eastAsia"/>
        </w:rPr>
        <w:t>1家</w:t>
      </w:r>
      <w:r w:rsidR="005B2570" w:rsidRPr="00F542DE">
        <w:rPr>
          <w:rFonts w:hAnsi="標楷體" w:hint="eastAsia"/>
        </w:rPr>
        <w:t>有限合夥台杉水牛二號生技創投有限合夥(下稱台杉水牛二號基金)。台杉水牛一號基金為台杉投顧募集之第1檔物聯網基金，基金規模46.5億元；台杉水牛二號基金，主要投資於生物技術相關產業，基金規模59.01億元。</w:t>
      </w:r>
      <w:r w:rsidR="0063223B" w:rsidRPr="00F542DE">
        <w:rPr>
          <w:rFonts w:hAnsi="標楷體" w:hint="eastAsia"/>
        </w:rPr>
        <w:t>至於</w:t>
      </w:r>
      <w:r w:rsidR="005B2570" w:rsidRPr="00F542DE">
        <w:rPr>
          <w:rFonts w:hAnsi="標楷體" w:hint="eastAsia"/>
        </w:rPr>
        <w:t>台杉生技則</w:t>
      </w:r>
      <w:r w:rsidR="0063223B" w:rsidRPr="00F542DE">
        <w:rPr>
          <w:rFonts w:hAnsi="標楷體" w:hint="eastAsia"/>
        </w:rPr>
        <w:t>為</w:t>
      </w:r>
      <w:r w:rsidR="005B2570" w:rsidRPr="00F542DE">
        <w:rPr>
          <w:rFonts w:hAnsi="標楷體" w:hint="eastAsia"/>
        </w:rPr>
        <w:t>代表台杉投顧擔任台杉水牛二號基金普通合夥人之特殊目的(Special Purpose Vehicle)公司。</w:t>
      </w:r>
    </w:p>
    <w:p w:rsidR="00C95C12" w:rsidRPr="00F542DE" w:rsidRDefault="00D945CE" w:rsidP="00CB1486">
      <w:pPr>
        <w:pStyle w:val="11"/>
        <w:spacing w:afterLines="50" w:after="228"/>
        <w:ind w:left="680" w:firstLine="680"/>
      </w:pPr>
      <w:r w:rsidRPr="00F542DE">
        <w:rPr>
          <w:rFonts w:hint="eastAsia"/>
        </w:rPr>
        <w:t>本案調查委員申請自動調查後，曾銘宗等4位立法委員復於107年8月8日向本院陳訴</w:t>
      </w:r>
      <w:r w:rsidR="00F718D8" w:rsidRPr="00F542DE">
        <w:rPr>
          <w:rFonts w:hint="eastAsia"/>
        </w:rPr>
        <w:t>台杉投顧</w:t>
      </w:r>
      <w:r w:rsidRPr="00F542DE">
        <w:rPr>
          <w:rFonts w:hint="eastAsia"/>
        </w:rPr>
        <w:t>疑有「假民營、真搬錢」等情事</w:t>
      </w:r>
      <w:r w:rsidR="00DD6255" w:rsidRPr="00F542DE">
        <w:rPr>
          <w:rFonts w:hint="eastAsia"/>
        </w:rPr>
        <w:t>，遂併案調查</w:t>
      </w:r>
      <w:r w:rsidRPr="00F542DE">
        <w:rPr>
          <w:rFonts w:hint="eastAsia"/>
        </w:rPr>
        <w:t>。</w:t>
      </w:r>
      <w:r w:rsidR="00DD6255" w:rsidRPr="00F542DE">
        <w:rPr>
          <w:rFonts w:hint="eastAsia"/>
        </w:rPr>
        <w:t>嗣</w:t>
      </w:r>
      <w:r w:rsidRPr="00F542DE">
        <w:rPr>
          <w:rFonts w:hint="eastAsia"/>
        </w:rPr>
        <w:t>本院於同年9月11日函請國發會、經濟部、財政部、交通部、</w:t>
      </w:r>
      <w:r w:rsidR="00F718D8" w:rsidRPr="00F542DE">
        <w:rPr>
          <w:rFonts w:hint="eastAsia"/>
        </w:rPr>
        <w:t>金融監督管理委員會</w:t>
      </w:r>
      <w:r w:rsidR="00F718D8" w:rsidRPr="00F542DE">
        <w:rPr>
          <w:rFonts w:hAnsi="標楷體" w:hint="eastAsia"/>
        </w:rPr>
        <w:t>(下稱金管會)</w:t>
      </w:r>
      <w:r w:rsidRPr="00F542DE">
        <w:rPr>
          <w:rFonts w:hint="eastAsia"/>
        </w:rPr>
        <w:t>、</w:t>
      </w:r>
      <w:r w:rsidR="00F718D8" w:rsidRPr="00F542DE">
        <w:rPr>
          <w:rFonts w:hint="eastAsia"/>
        </w:rPr>
        <w:t>臺灣銀行</w:t>
      </w:r>
      <w:r w:rsidRPr="00F542DE">
        <w:rPr>
          <w:rFonts w:hint="eastAsia"/>
        </w:rPr>
        <w:t>就</w:t>
      </w:r>
      <w:r w:rsidR="00F718D8" w:rsidRPr="00F542DE">
        <w:rPr>
          <w:rFonts w:hAnsi="標楷體" w:hint="eastAsia"/>
        </w:rPr>
        <w:t>國發基金</w:t>
      </w:r>
      <w:r w:rsidRPr="00F542DE">
        <w:rPr>
          <w:rFonts w:hAnsi="標楷體" w:hint="eastAsia"/>
        </w:rPr>
        <w:t>等出資設立台杉投顧之投資決策及執行過程等情說明到院，復於同年月27日、108年3月25日、108年6月17日再次針對台杉投顧規劃之形成、內部評估程序等疑義函詢前</w:t>
      </w:r>
      <w:r w:rsidRPr="00F542DE">
        <w:rPr>
          <w:rFonts w:hint="eastAsia"/>
        </w:rPr>
        <w:t>開機關，</w:t>
      </w:r>
      <w:r w:rsidR="000F6426" w:rsidRPr="00F542DE">
        <w:rPr>
          <w:rFonts w:hint="eastAsia"/>
        </w:rPr>
        <w:t>且</w:t>
      </w:r>
      <w:r w:rsidRPr="00F542DE">
        <w:rPr>
          <w:rFonts w:hAnsi="標楷體" w:hint="eastAsia"/>
        </w:rPr>
        <w:t>於同年10月5日詢問</w:t>
      </w:r>
      <w:r w:rsidRPr="00F542DE">
        <w:rPr>
          <w:rFonts w:hint="eastAsia"/>
        </w:rPr>
        <w:t>行政院政務委員龔明鑫、行政院經濟能源農業處處長廖耀宗、國發會副主任委員鄭貞茂、國發基金副執行秘書蘇來守、經濟部次長林全能、財團法人工業技術研究院(下稱工研院) 副院長張培仁(亦為創新公司董事)、財政部國庫署署長蕭家旗、臺灣金融控股股份有限公司(下稱臺灣金控) 總經理魏江霖、臺灣銀行總經理邱月琴、臺銀人壽保險股份有限公司(下稱臺銀人壽)總經理周園藝、交通部郵電司司長王廷俊、中</w:t>
      </w:r>
      <w:r w:rsidR="00F718D8" w:rsidRPr="00F542DE">
        <w:rPr>
          <w:rFonts w:hint="eastAsia"/>
        </w:rPr>
        <w:t>華電信股份有限公司</w:t>
      </w:r>
      <w:r w:rsidR="00F718D8" w:rsidRPr="00F542DE">
        <w:rPr>
          <w:rFonts w:hAnsi="標楷體" w:hint="eastAsia"/>
        </w:rPr>
        <w:t>(下稱中華電信)</w:t>
      </w:r>
      <w:r w:rsidRPr="00F542DE">
        <w:rPr>
          <w:rFonts w:hint="eastAsia"/>
        </w:rPr>
        <w:t>投資事業處協理陳元凱、金管會銀行局局長邱淑貞等相關主管人員，並參酌</w:t>
      </w:r>
      <w:r w:rsidR="000F6426" w:rsidRPr="00F542DE">
        <w:rPr>
          <w:rFonts w:hint="eastAsia"/>
        </w:rPr>
        <w:t>各該機關(構)</w:t>
      </w:r>
      <w:r w:rsidRPr="00F542DE">
        <w:rPr>
          <w:rFonts w:hint="eastAsia"/>
        </w:rPr>
        <w:t>會後補充相關資料</w:t>
      </w:r>
      <w:r w:rsidR="00C95C12" w:rsidRPr="00F542DE">
        <w:rPr>
          <w:rFonts w:hint="eastAsia"/>
        </w:rPr>
        <w:t>，業已調查竣事，茲臚列調查意見如下：</w:t>
      </w:r>
    </w:p>
    <w:p w:rsidR="00C95C12" w:rsidRPr="00F542DE" w:rsidRDefault="00EE0730" w:rsidP="00E64A23">
      <w:pPr>
        <w:pStyle w:val="2"/>
        <w:rPr>
          <w:b/>
        </w:rPr>
      </w:pPr>
      <w:bookmarkStart w:id="41" w:name="_Toc30496459"/>
      <w:r w:rsidRPr="00F542DE">
        <w:rPr>
          <w:rFonts w:hint="eastAsia"/>
          <w:b/>
        </w:rPr>
        <w:t>提升經濟成長動能，</w:t>
      </w:r>
      <w:r w:rsidRPr="00F542DE">
        <w:rPr>
          <w:rFonts w:hint="eastAsia"/>
          <w:b/>
          <w:szCs w:val="32"/>
        </w:rPr>
        <w:t>帶動國內投資能量，本</w:t>
      </w:r>
      <w:r w:rsidR="00CB1486" w:rsidRPr="00F542DE">
        <w:rPr>
          <w:rFonts w:hint="eastAsia"/>
          <w:b/>
          <w:szCs w:val="32"/>
        </w:rPr>
        <w:t>即</w:t>
      </w:r>
      <w:r w:rsidRPr="00F542DE">
        <w:rPr>
          <w:rFonts w:hint="eastAsia"/>
          <w:b/>
          <w:szCs w:val="32"/>
        </w:rPr>
        <w:t>政府應有之職責，為</w:t>
      </w:r>
      <w:r w:rsidR="002E2A15" w:rsidRPr="00F542DE">
        <w:rPr>
          <w:rFonts w:hint="eastAsia"/>
          <w:b/>
          <w:szCs w:val="32"/>
        </w:rPr>
        <w:t>推升</w:t>
      </w:r>
      <w:r w:rsidRPr="00F542DE">
        <w:rPr>
          <w:rFonts w:hint="eastAsia"/>
          <w:b/>
          <w:szCs w:val="32"/>
        </w:rPr>
        <w:t>國內投資能量</w:t>
      </w:r>
      <w:r w:rsidR="002E2A15" w:rsidRPr="00F542DE">
        <w:rPr>
          <w:rFonts w:hint="eastAsia"/>
          <w:b/>
          <w:szCs w:val="32"/>
        </w:rPr>
        <w:t>，國發會</w:t>
      </w:r>
      <w:r w:rsidRPr="00F542DE">
        <w:rPr>
          <w:rFonts w:hint="eastAsia"/>
          <w:b/>
          <w:szCs w:val="32"/>
        </w:rPr>
        <w:t>結合</w:t>
      </w:r>
      <w:r w:rsidRPr="00F542DE">
        <w:rPr>
          <w:rFonts w:hint="eastAsia"/>
          <w:b/>
        </w:rPr>
        <w:t>公民營</w:t>
      </w:r>
      <w:r w:rsidR="00B82454" w:rsidRPr="00F542DE">
        <w:rPr>
          <w:rFonts w:hint="eastAsia"/>
          <w:b/>
          <w:lang w:eastAsia="zh-HK"/>
        </w:rPr>
        <w:lastRenderedPageBreak/>
        <w:t>機構</w:t>
      </w:r>
      <w:r w:rsidRPr="00F542DE">
        <w:rPr>
          <w:rFonts w:hint="eastAsia"/>
          <w:b/>
        </w:rPr>
        <w:t>力量</w:t>
      </w:r>
      <w:r w:rsidR="00431BC4" w:rsidRPr="00F542DE">
        <w:rPr>
          <w:rFonts w:hint="eastAsia"/>
          <w:b/>
        </w:rPr>
        <w:t>規劃</w:t>
      </w:r>
      <w:r w:rsidRPr="00F542DE">
        <w:rPr>
          <w:rFonts w:hint="eastAsia"/>
          <w:b/>
        </w:rPr>
        <w:t>成立國家級投資公司台杉投顧，然因執行過</w:t>
      </w:r>
      <w:r w:rsidR="00881C36" w:rsidRPr="00F542DE">
        <w:rPr>
          <w:rFonts w:hint="eastAsia"/>
          <w:b/>
        </w:rPr>
        <w:t>程過</w:t>
      </w:r>
      <w:r w:rsidRPr="00F542DE">
        <w:rPr>
          <w:rFonts w:hint="eastAsia"/>
          <w:b/>
        </w:rPr>
        <w:t>於匆促且未</w:t>
      </w:r>
      <w:r w:rsidR="00881C36" w:rsidRPr="00F542DE">
        <w:rPr>
          <w:rFonts w:hint="eastAsia"/>
          <w:b/>
        </w:rPr>
        <w:t>盡</w:t>
      </w:r>
      <w:r w:rsidRPr="00F542DE">
        <w:rPr>
          <w:rFonts w:hint="eastAsia"/>
          <w:b/>
          <w:szCs w:val="32"/>
        </w:rPr>
        <w:t>周妥，肇致配合政府投資之相關企業，因時間緊迫</w:t>
      </w:r>
      <w:r w:rsidR="00F00F07" w:rsidRPr="00F542DE">
        <w:rPr>
          <w:rFonts w:hint="eastAsia"/>
          <w:b/>
          <w:szCs w:val="32"/>
        </w:rPr>
        <w:t>，</w:t>
      </w:r>
      <w:r w:rsidRPr="00F542DE">
        <w:rPr>
          <w:rFonts w:hint="eastAsia"/>
          <w:b/>
          <w:szCs w:val="32"/>
        </w:rPr>
        <w:t>未能有效評估投資風險</w:t>
      </w:r>
      <w:r w:rsidR="00F00F07" w:rsidRPr="00F542DE">
        <w:rPr>
          <w:rFonts w:hint="eastAsia"/>
          <w:b/>
          <w:szCs w:val="32"/>
        </w:rPr>
        <w:t>，</w:t>
      </w:r>
      <w:r w:rsidR="009C08A7" w:rsidRPr="00F542DE">
        <w:rPr>
          <w:rFonts w:hint="eastAsia"/>
          <w:b/>
          <w:szCs w:val="32"/>
        </w:rPr>
        <w:t>且</w:t>
      </w:r>
      <w:r w:rsidR="00F00F07" w:rsidRPr="00F542DE">
        <w:rPr>
          <w:rFonts w:hint="eastAsia"/>
          <w:b/>
          <w:szCs w:val="32"/>
        </w:rPr>
        <w:t>相關作業疑有未符作業規範之情事</w:t>
      </w:r>
      <w:r w:rsidRPr="00F542DE">
        <w:rPr>
          <w:rFonts w:hint="eastAsia"/>
          <w:b/>
        </w:rPr>
        <w:t>，</w:t>
      </w:r>
      <w:r w:rsidR="00881C36" w:rsidRPr="00F542DE">
        <w:rPr>
          <w:rFonts w:hint="eastAsia"/>
          <w:b/>
        </w:rPr>
        <w:t>國發會</w:t>
      </w:r>
      <w:r w:rsidRPr="00F542DE">
        <w:rPr>
          <w:rFonts w:hint="eastAsia"/>
          <w:b/>
        </w:rPr>
        <w:t>允應深切檢討。</w:t>
      </w:r>
      <w:bookmarkEnd w:id="41"/>
    </w:p>
    <w:p w:rsidR="002753CD" w:rsidRPr="00F542DE" w:rsidRDefault="002753CD" w:rsidP="002753CD">
      <w:pPr>
        <w:pStyle w:val="3"/>
      </w:pPr>
      <w:bookmarkStart w:id="42" w:name="_Toc24448110"/>
      <w:bookmarkStart w:id="43" w:name="_Toc29903182"/>
      <w:bookmarkStart w:id="44" w:name="_Toc30496460"/>
      <w:r w:rsidRPr="00F542DE">
        <w:rPr>
          <w:rFonts w:hint="eastAsia"/>
        </w:rPr>
        <w:t>按</w:t>
      </w:r>
      <w:r w:rsidRPr="00F542DE">
        <w:rPr>
          <w:rFonts w:ascii="新細明體" w:eastAsia="新細明體" w:hAnsi="新細明體" w:hint="eastAsia"/>
        </w:rPr>
        <w:t>「</w:t>
      </w:r>
      <w:r w:rsidRPr="00F542DE">
        <w:rPr>
          <w:rFonts w:hint="eastAsia"/>
        </w:rPr>
        <w:t>國家發展委員會組織法」第2條規定：「本會掌理下列事項：「一、國家</w:t>
      </w:r>
      <w:r w:rsidRPr="00F542DE">
        <w:rPr>
          <w:rFonts w:hAnsi="標楷體" w:hint="eastAsia"/>
        </w:rPr>
        <w:t>發展政策之綜合性規劃、協調、審議及資源分配</w:t>
      </w:r>
      <w:r w:rsidRPr="00F542DE">
        <w:rPr>
          <w:rFonts w:hAnsi="標楷體"/>
        </w:rPr>
        <w:t>……</w:t>
      </w:r>
      <w:r w:rsidRPr="00F542DE">
        <w:rPr>
          <w:rFonts w:hAnsi="標楷體" w:hint="eastAsia"/>
        </w:rPr>
        <w:t>三、經濟發展政策之綜合性規劃、協調、審議及資源分配。</w:t>
      </w:r>
      <w:r w:rsidR="00775D28" w:rsidRPr="00F542DE">
        <w:rPr>
          <w:rFonts w:hAnsi="標楷體" w:hint="eastAsia"/>
        </w:rPr>
        <w:t>……</w:t>
      </w:r>
      <w:r w:rsidRPr="00F542DE">
        <w:rPr>
          <w:rFonts w:hAnsi="標楷體" w:hint="eastAsia"/>
        </w:rPr>
        <w:t>五、產業發展政策之綜合性規劃、協調、審議及資源分配</w:t>
      </w:r>
      <w:r w:rsidRPr="00F542DE">
        <w:rPr>
          <w:rFonts w:hAnsi="標楷體"/>
        </w:rPr>
        <w:t>……</w:t>
      </w:r>
      <w:r w:rsidRPr="00F542DE">
        <w:rPr>
          <w:rFonts w:hAnsi="標楷體" w:hint="eastAsia"/>
        </w:rPr>
        <w:t>。</w:t>
      </w:r>
      <w:r w:rsidRPr="00F542DE">
        <w:rPr>
          <w:rFonts w:hint="eastAsia"/>
        </w:rPr>
        <w:t>」是以，</w:t>
      </w:r>
      <w:r w:rsidRPr="00F542DE">
        <w:rPr>
          <w:rFonts w:hAnsi="標楷體" w:hint="eastAsia"/>
        </w:rPr>
        <w:t>提升經濟成長動能，帶動國內投資能量係屬</w:t>
      </w:r>
      <w:r w:rsidRPr="00F542DE">
        <w:rPr>
          <w:rFonts w:hint="eastAsia"/>
        </w:rPr>
        <w:t>國發會應盡之職責。</w:t>
      </w:r>
      <w:bookmarkEnd w:id="42"/>
      <w:bookmarkEnd w:id="43"/>
      <w:bookmarkEnd w:id="44"/>
    </w:p>
    <w:p w:rsidR="00822EB7" w:rsidRPr="00F542DE" w:rsidRDefault="00EE0730" w:rsidP="00EE0730">
      <w:pPr>
        <w:pStyle w:val="3"/>
      </w:pPr>
      <w:bookmarkStart w:id="45" w:name="_Toc24448111"/>
      <w:bookmarkStart w:id="46" w:name="_Toc29903183"/>
      <w:bookmarkStart w:id="47" w:name="_Toc30496461"/>
      <w:r w:rsidRPr="00F542DE">
        <w:rPr>
          <w:rFonts w:hint="eastAsia"/>
        </w:rPr>
        <w:t>查國發會於行政院核定後，即進行國家級投資公司</w:t>
      </w:r>
      <w:r w:rsidR="00D7497B" w:rsidRPr="00F542DE">
        <w:rPr>
          <w:rFonts w:hint="eastAsia"/>
        </w:rPr>
        <w:t>-台杉投顧</w:t>
      </w:r>
      <w:r w:rsidRPr="00F542DE">
        <w:rPr>
          <w:rFonts w:hint="eastAsia"/>
        </w:rPr>
        <w:t>之籌備</w:t>
      </w:r>
      <w:r w:rsidR="004D1AC2" w:rsidRPr="00F542DE">
        <w:rPr>
          <w:rFonts w:hint="eastAsia"/>
        </w:rPr>
        <w:t>，然</w:t>
      </w:r>
      <w:r w:rsidR="00D7497B" w:rsidRPr="00F542DE">
        <w:rPr>
          <w:rFonts w:hint="eastAsia"/>
        </w:rPr>
        <w:t>因籌設時間過於緊迫，肇致參與投資之臺灣銀行</w:t>
      </w:r>
      <w:r w:rsidR="00775D28" w:rsidRPr="00F542DE">
        <w:rPr>
          <w:rFonts w:hint="eastAsia"/>
        </w:rPr>
        <w:t>(詳後調查意見三)</w:t>
      </w:r>
      <w:r w:rsidR="00D7497B" w:rsidRPr="00F542DE">
        <w:rPr>
          <w:rFonts w:hint="eastAsia"/>
        </w:rPr>
        <w:t>及</w:t>
      </w:r>
      <w:r w:rsidR="004D1AC2" w:rsidRPr="00F542DE">
        <w:rPr>
          <w:rFonts w:hint="eastAsia"/>
        </w:rPr>
        <w:t>創新公司</w:t>
      </w:r>
      <w:r w:rsidR="00D7497B" w:rsidRPr="00F542DE">
        <w:rPr>
          <w:rFonts w:hint="eastAsia"/>
        </w:rPr>
        <w:t>，</w:t>
      </w:r>
      <w:r w:rsidR="004D1AC2" w:rsidRPr="00F542DE">
        <w:rPr>
          <w:rFonts w:hint="eastAsia"/>
        </w:rPr>
        <w:t>未能有效評估投資風險，且相關作業</w:t>
      </w:r>
      <w:r w:rsidR="004A2C8C" w:rsidRPr="00F542DE">
        <w:rPr>
          <w:rFonts w:hint="eastAsia"/>
        </w:rPr>
        <w:t>疑有</w:t>
      </w:r>
      <w:r w:rsidR="004D1AC2" w:rsidRPr="00F542DE">
        <w:rPr>
          <w:rFonts w:hint="eastAsia"/>
        </w:rPr>
        <w:t>未</w:t>
      </w:r>
      <w:r w:rsidR="002E2A15" w:rsidRPr="00F542DE">
        <w:rPr>
          <w:rFonts w:hint="eastAsia"/>
        </w:rPr>
        <w:t>盡</w:t>
      </w:r>
      <w:r w:rsidR="004D1AC2" w:rsidRPr="00F542DE">
        <w:rPr>
          <w:rFonts w:hint="eastAsia"/>
        </w:rPr>
        <w:t>符作業規範</w:t>
      </w:r>
      <w:r w:rsidR="004A2C8C" w:rsidRPr="00F542DE">
        <w:rPr>
          <w:rFonts w:hint="eastAsia"/>
        </w:rPr>
        <w:t>之情事</w:t>
      </w:r>
      <w:r w:rsidR="004D1AC2" w:rsidRPr="00F542DE">
        <w:rPr>
          <w:rFonts w:hint="eastAsia"/>
        </w:rPr>
        <w:t>，核有未妥：</w:t>
      </w:r>
      <w:bookmarkEnd w:id="45"/>
      <w:bookmarkEnd w:id="46"/>
      <w:bookmarkEnd w:id="47"/>
    </w:p>
    <w:p w:rsidR="00822EB7" w:rsidRPr="00F542DE" w:rsidRDefault="009C08A7" w:rsidP="004A2C8C">
      <w:pPr>
        <w:pStyle w:val="4"/>
      </w:pPr>
      <w:r w:rsidRPr="00F542DE">
        <w:rPr>
          <w:rFonts w:hint="eastAsia"/>
        </w:rPr>
        <w:t>國發會簽陳成立國家級投資公司一案</w:t>
      </w:r>
      <w:r w:rsidR="00AE730D" w:rsidRPr="00F542DE">
        <w:rPr>
          <w:rFonts w:hint="eastAsia"/>
        </w:rPr>
        <w:t>經行政院核定</w:t>
      </w:r>
      <w:r w:rsidRPr="00F542DE">
        <w:rPr>
          <w:rFonts w:hint="eastAsia"/>
        </w:rPr>
        <w:t>後</w:t>
      </w:r>
      <w:r w:rsidR="00AE730D" w:rsidRPr="00F542DE">
        <w:rPr>
          <w:rFonts w:hint="eastAsia"/>
        </w:rPr>
        <w:t>，</w:t>
      </w:r>
      <w:r w:rsidR="00EE0730" w:rsidRPr="00F542DE">
        <w:rPr>
          <w:rFonts w:hint="eastAsia"/>
        </w:rPr>
        <w:t>台杉投顧籌備處於106年8月1日分別以杉籌字第1060728001及1060728002號</w:t>
      </w:r>
      <w:r w:rsidR="006E5015" w:rsidRPr="00F542DE">
        <w:rPr>
          <w:rFonts w:hint="eastAsia"/>
        </w:rPr>
        <w:t>函</w:t>
      </w:r>
      <w:r w:rsidR="0074221F" w:rsidRPr="00F542DE">
        <w:rPr>
          <w:rFonts w:hint="eastAsia"/>
        </w:rPr>
        <w:t>，</w:t>
      </w:r>
      <w:r w:rsidR="00EE0730" w:rsidRPr="00F542DE">
        <w:rPr>
          <w:rFonts w:hint="eastAsia"/>
        </w:rPr>
        <w:t>函</w:t>
      </w:r>
      <w:r w:rsidR="0074221F" w:rsidRPr="00F542DE">
        <w:rPr>
          <w:rFonts w:hint="eastAsia"/>
        </w:rPr>
        <w:t>邀</w:t>
      </w:r>
      <w:r w:rsidR="00EE0730" w:rsidRPr="00F542DE">
        <w:rPr>
          <w:rFonts w:hint="eastAsia"/>
        </w:rPr>
        <w:t>耀華玻璃股份有限公司管理委員會(下稱耀華玻璃管理會)、創新公司擔任台杉投顧發起人，並說明</w:t>
      </w:r>
      <w:r w:rsidR="004A2C8C" w:rsidRPr="00F542DE">
        <w:rPr>
          <w:rFonts w:hint="eastAsia"/>
        </w:rPr>
        <w:t>台杉投顧第一次擬發行2億5,000萬股普通股，每股面額1元，發行價1元，</w:t>
      </w:r>
      <w:r w:rsidR="006E5015" w:rsidRPr="00F542DE">
        <w:rPr>
          <w:rFonts w:hint="eastAsia"/>
        </w:rPr>
        <w:t>且</w:t>
      </w:r>
      <w:r w:rsidR="00EE0730" w:rsidRPr="00F542DE">
        <w:rPr>
          <w:rFonts w:hint="eastAsia"/>
        </w:rPr>
        <w:t>國發基金已擬出資1億元認購1億股普通股</w:t>
      </w:r>
      <w:r w:rsidR="00EE0730" w:rsidRPr="00F542DE">
        <w:rPr>
          <w:rStyle w:val="aff1"/>
        </w:rPr>
        <w:footnoteReference w:id="2"/>
      </w:r>
      <w:r w:rsidR="00EE0730" w:rsidRPr="00F542DE">
        <w:rPr>
          <w:rFonts w:hint="eastAsia"/>
        </w:rPr>
        <w:t>，</w:t>
      </w:r>
      <w:r w:rsidR="004A2C8C" w:rsidRPr="00F542DE">
        <w:rPr>
          <w:rFonts w:hint="eastAsia"/>
        </w:rPr>
        <w:t>並</w:t>
      </w:r>
      <w:r w:rsidR="00EE0730" w:rsidRPr="00F542DE">
        <w:rPr>
          <w:rFonts w:hint="eastAsia"/>
        </w:rPr>
        <w:t>請</w:t>
      </w:r>
      <w:r w:rsidR="004A2C8C" w:rsidRPr="00F542DE">
        <w:rPr>
          <w:rFonts w:hint="eastAsia"/>
        </w:rPr>
        <w:t>其分別</w:t>
      </w:r>
      <w:r w:rsidR="00EE0730" w:rsidRPr="00F542DE">
        <w:rPr>
          <w:rFonts w:hint="eastAsia"/>
        </w:rPr>
        <w:t>認購</w:t>
      </w:r>
      <w:r w:rsidR="004A2C8C" w:rsidRPr="00F542DE">
        <w:rPr>
          <w:rFonts w:hint="eastAsia"/>
        </w:rPr>
        <w:t>台杉投顧</w:t>
      </w:r>
      <w:r w:rsidR="00EE0730" w:rsidRPr="00F542DE">
        <w:rPr>
          <w:rFonts w:hint="eastAsia"/>
        </w:rPr>
        <w:t>第一次發行股份7,500萬</w:t>
      </w:r>
      <w:r w:rsidR="006E5015" w:rsidRPr="00F542DE">
        <w:rPr>
          <w:rFonts w:hint="eastAsia"/>
        </w:rPr>
        <w:t>普通</w:t>
      </w:r>
      <w:r w:rsidR="00EE0730" w:rsidRPr="00F542DE">
        <w:rPr>
          <w:rFonts w:hint="eastAsia"/>
        </w:rPr>
        <w:t>股</w:t>
      </w:r>
      <w:r w:rsidR="004A2C8C" w:rsidRPr="00F542DE">
        <w:rPr>
          <w:rStyle w:val="aff1"/>
        </w:rPr>
        <w:footnoteReference w:id="3"/>
      </w:r>
      <w:r w:rsidR="00EE0730" w:rsidRPr="00F542DE">
        <w:rPr>
          <w:rFonts w:hint="eastAsia"/>
        </w:rPr>
        <w:t>，</w:t>
      </w:r>
      <w:r w:rsidR="006E5015" w:rsidRPr="00F542DE">
        <w:rPr>
          <w:rFonts w:hint="eastAsia"/>
        </w:rPr>
        <w:t>且</w:t>
      </w:r>
      <w:r w:rsidR="00EE0730" w:rsidRPr="00F542DE">
        <w:rPr>
          <w:rFonts w:hint="eastAsia"/>
        </w:rPr>
        <w:t>於</w:t>
      </w:r>
      <w:r w:rsidR="004A2C8C" w:rsidRPr="00F542DE">
        <w:rPr>
          <w:rFonts w:hint="eastAsia"/>
        </w:rPr>
        <w:t>同年</w:t>
      </w:r>
      <w:r w:rsidR="00EE0730" w:rsidRPr="00F542DE">
        <w:rPr>
          <w:rFonts w:hint="eastAsia"/>
        </w:rPr>
        <w:t>月16</w:t>
      </w:r>
      <w:r w:rsidR="00EE0730" w:rsidRPr="00F542DE">
        <w:rPr>
          <w:rFonts w:hint="eastAsia"/>
        </w:rPr>
        <w:lastRenderedPageBreak/>
        <w:t>日前將股款7,500萬元匯入台杉投顧籌備處銀行帳戶。然耀華玻璃管理會</w:t>
      </w:r>
      <w:r w:rsidR="006E5015" w:rsidRPr="00F542DE">
        <w:rPr>
          <w:rFonts w:hint="eastAsia"/>
        </w:rPr>
        <w:t>因</w:t>
      </w:r>
      <w:r w:rsidR="00EE0730" w:rsidRPr="00F542DE">
        <w:rPr>
          <w:rFonts w:hint="eastAsia"/>
        </w:rPr>
        <w:t>組職型態問題，不能擔任</w:t>
      </w:r>
      <w:r w:rsidR="006E5015" w:rsidRPr="00F542DE">
        <w:rPr>
          <w:rFonts w:hint="eastAsia"/>
        </w:rPr>
        <w:t>台杉投顧</w:t>
      </w:r>
      <w:r w:rsidR="00EE0730" w:rsidRPr="00F542DE">
        <w:rPr>
          <w:rFonts w:hint="eastAsia"/>
        </w:rPr>
        <w:t>發起人</w:t>
      </w:r>
      <w:r w:rsidR="00EE0730" w:rsidRPr="00F542DE">
        <w:rPr>
          <w:rStyle w:val="aff1"/>
        </w:rPr>
        <w:footnoteReference w:id="4"/>
      </w:r>
      <w:r w:rsidR="00EE0730" w:rsidRPr="00F542DE">
        <w:rPr>
          <w:rFonts w:hint="eastAsia"/>
        </w:rPr>
        <w:t>。</w:t>
      </w:r>
      <w:r w:rsidR="00E26521" w:rsidRPr="00F542DE">
        <w:rPr>
          <w:rFonts w:hint="eastAsia"/>
        </w:rPr>
        <w:t>詢據</w:t>
      </w:r>
      <w:r w:rsidR="00EE0730" w:rsidRPr="00F542DE">
        <w:rPr>
          <w:rFonts w:hint="eastAsia"/>
        </w:rPr>
        <w:t>國發基金</w:t>
      </w:r>
      <w:r w:rsidR="00E26521" w:rsidRPr="00F542DE">
        <w:rPr>
          <w:rFonts w:hint="eastAsia"/>
        </w:rPr>
        <w:t>副執行秘書</w:t>
      </w:r>
      <w:r w:rsidR="00EE0730" w:rsidRPr="00F542DE">
        <w:rPr>
          <w:rFonts w:hint="eastAsia"/>
        </w:rPr>
        <w:t>蘇來守表示：「當時集資對政府政策支持比較高的單位，我們就邀請他們，我所了解耀華是組職型態的問題，不能擔任發起人，所以就沒有參加。」</w:t>
      </w:r>
    </w:p>
    <w:p w:rsidR="00325D1B" w:rsidRPr="00F542DE" w:rsidRDefault="00325D1B" w:rsidP="00325D1B">
      <w:pPr>
        <w:pStyle w:val="4"/>
      </w:pPr>
      <w:r w:rsidRPr="00F542DE">
        <w:rPr>
          <w:rFonts w:hint="eastAsia"/>
        </w:rPr>
        <w:t>創新公司投資台杉投顧評估情形：</w:t>
      </w:r>
    </w:p>
    <w:p w:rsidR="00325D1B" w:rsidRPr="00F542DE" w:rsidRDefault="00B0411C" w:rsidP="00325D1B">
      <w:pPr>
        <w:pStyle w:val="5"/>
      </w:pPr>
      <w:r w:rsidRPr="00F542DE">
        <w:rPr>
          <w:rFonts w:hint="eastAsia"/>
        </w:rPr>
        <w:t>國發基金於106年7月初電話聯繫創新公司，邀請該公司參</w:t>
      </w:r>
      <w:r w:rsidR="005424D1" w:rsidRPr="00F542DE">
        <w:rPr>
          <w:rFonts w:hint="eastAsia"/>
        </w:rPr>
        <w:t>與</w:t>
      </w:r>
      <w:r w:rsidRPr="00F542DE">
        <w:rPr>
          <w:rFonts w:hint="eastAsia"/>
        </w:rPr>
        <w:t>國家級投資公司。</w:t>
      </w:r>
    </w:p>
    <w:p w:rsidR="00F44C6E" w:rsidRPr="00F542DE" w:rsidRDefault="00B0411C" w:rsidP="00325D1B">
      <w:pPr>
        <w:pStyle w:val="5"/>
      </w:pPr>
      <w:r w:rsidRPr="00F542DE">
        <w:rPr>
          <w:rFonts w:hint="eastAsia"/>
        </w:rPr>
        <w:t>106年7月27日</w:t>
      </w:r>
      <w:r w:rsidR="00325D1B" w:rsidRPr="00F542DE">
        <w:rPr>
          <w:rFonts w:hint="eastAsia"/>
        </w:rPr>
        <w:t>創新公司</w:t>
      </w:r>
      <w:r w:rsidRPr="00F542DE">
        <w:rPr>
          <w:rFonts w:hint="eastAsia"/>
        </w:rPr>
        <w:t>接獲國發基金</w:t>
      </w:r>
      <w:r w:rsidR="00F4233F" w:rsidRPr="00F542DE">
        <w:rPr>
          <w:rFonts w:hint="eastAsia"/>
        </w:rPr>
        <w:t>以電子郵件方式</w:t>
      </w:r>
      <w:r w:rsidRPr="00F542DE">
        <w:rPr>
          <w:rFonts w:hint="eastAsia"/>
        </w:rPr>
        <w:t>傳送</w:t>
      </w:r>
      <w:r w:rsidR="006E5015" w:rsidRPr="00F542DE">
        <w:rPr>
          <w:rFonts w:hint="eastAsia"/>
        </w:rPr>
        <w:t>包括行政院核准國發基金投資國</w:t>
      </w:r>
      <w:r w:rsidR="002E2A15" w:rsidRPr="00F542DE">
        <w:rPr>
          <w:rFonts w:hint="eastAsia"/>
        </w:rPr>
        <w:t>家</w:t>
      </w:r>
      <w:r w:rsidR="006E5015" w:rsidRPr="00F542DE">
        <w:rPr>
          <w:rFonts w:hint="eastAsia"/>
        </w:rPr>
        <w:t>級投資公司新聞稿及國發基金規劃成立國家級投資公司簡報之</w:t>
      </w:r>
      <w:r w:rsidRPr="00F542DE">
        <w:rPr>
          <w:rFonts w:hint="eastAsia"/>
        </w:rPr>
        <w:t>「國家級投資公司參考資料」。</w:t>
      </w:r>
      <w:r w:rsidR="0018414E" w:rsidRPr="00F542DE">
        <w:rPr>
          <w:rFonts w:hint="eastAsia"/>
        </w:rPr>
        <w:t>該公司基於配合與支持國家政策，進行投資評估</w:t>
      </w:r>
      <w:r w:rsidR="00232DBA" w:rsidRPr="00F542DE">
        <w:rPr>
          <w:rFonts w:hint="eastAsia"/>
        </w:rPr>
        <w:t>。</w:t>
      </w:r>
    </w:p>
    <w:p w:rsidR="00F32603" w:rsidRPr="00F542DE" w:rsidRDefault="00FD5473" w:rsidP="00325D1B">
      <w:pPr>
        <w:pStyle w:val="5"/>
      </w:pPr>
      <w:r w:rsidRPr="00F542DE">
        <w:rPr>
          <w:rFonts w:hint="eastAsia"/>
        </w:rPr>
        <w:t>106年7月31日</w:t>
      </w:r>
      <w:r w:rsidR="00F44C6E" w:rsidRPr="00F542DE">
        <w:rPr>
          <w:rFonts w:hint="eastAsia"/>
        </w:rPr>
        <w:t>創新公司</w:t>
      </w:r>
      <w:r w:rsidRPr="00F542DE">
        <w:rPr>
          <w:rFonts w:hint="eastAsia"/>
        </w:rPr>
        <w:t>召開投資審議</w:t>
      </w:r>
      <w:r w:rsidR="005424D1" w:rsidRPr="00F542DE">
        <w:rPr>
          <w:rFonts w:hint="eastAsia"/>
        </w:rPr>
        <w:t>委員</w:t>
      </w:r>
      <w:r w:rsidRPr="00F542DE">
        <w:rPr>
          <w:rFonts w:hint="eastAsia"/>
        </w:rPr>
        <w:t>會</w:t>
      </w:r>
      <w:r w:rsidR="005D0155" w:rsidRPr="00F542DE">
        <w:rPr>
          <w:rFonts w:hAnsi="標楷體" w:hint="eastAsia"/>
        </w:rPr>
        <w:t>(下稱投資審議會)</w:t>
      </w:r>
      <w:r w:rsidRPr="00F542DE">
        <w:rPr>
          <w:rFonts w:hint="eastAsia"/>
        </w:rPr>
        <w:t>審查該投資案</w:t>
      </w:r>
      <w:r w:rsidR="00695F86" w:rsidRPr="00F542DE">
        <w:rPr>
          <w:rFonts w:hint="eastAsia"/>
        </w:rPr>
        <w:t>。</w:t>
      </w:r>
    </w:p>
    <w:p w:rsidR="00695F86" w:rsidRPr="00F542DE" w:rsidRDefault="00F32603" w:rsidP="00F32603">
      <w:pPr>
        <w:pStyle w:val="6"/>
      </w:pPr>
      <w:r w:rsidRPr="00F542DE">
        <w:rPr>
          <w:rFonts w:hint="eastAsia"/>
        </w:rPr>
        <w:t>該次會議紀錄附有下列資料：</w:t>
      </w:r>
    </w:p>
    <w:p w:rsidR="00FD5473" w:rsidRPr="00F542DE" w:rsidRDefault="00E43F2C" w:rsidP="00695F86">
      <w:pPr>
        <w:pStyle w:val="7"/>
      </w:pPr>
      <w:r w:rsidRPr="00F542DE">
        <w:rPr>
          <w:rFonts w:hint="eastAsia"/>
        </w:rPr>
        <w:t>台杉投顧</w:t>
      </w:r>
      <w:r w:rsidR="00FD5473" w:rsidRPr="00F542DE">
        <w:rPr>
          <w:rFonts w:hint="eastAsia"/>
        </w:rPr>
        <w:t>於</w:t>
      </w:r>
      <w:r w:rsidRPr="00F542DE">
        <w:rPr>
          <w:rFonts w:hint="eastAsia"/>
        </w:rPr>
        <w:t>106年8月1日邀請</w:t>
      </w:r>
      <w:r w:rsidR="00FD5473" w:rsidRPr="00F542DE">
        <w:rPr>
          <w:rFonts w:hint="eastAsia"/>
        </w:rPr>
        <w:t>創新公司</w:t>
      </w:r>
      <w:r w:rsidRPr="00F542DE">
        <w:rPr>
          <w:rFonts w:hint="eastAsia"/>
        </w:rPr>
        <w:t>擔任發起人之</w:t>
      </w:r>
      <w:r w:rsidR="00FD5473" w:rsidRPr="00F542DE">
        <w:rPr>
          <w:rFonts w:hint="eastAsia"/>
        </w:rPr>
        <w:t>函文。</w:t>
      </w:r>
    </w:p>
    <w:p w:rsidR="00FD5473" w:rsidRPr="00F542DE" w:rsidRDefault="00D2606C" w:rsidP="00695F86">
      <w:pPr>
        <w:pStyle w:val="7"/>
      </w:pPr>
      <w:r w:rsidRPr="00F542DE">
        <w:rPr>
          <w:rFonts w:hint="eastAsia"/>
        </w:rPr>
        <w:t>財務面分析：</w:t>
      </w:r>
      <w:r w:rsidRPr="00F542DE">
        <w:rPr>
          <w:rFonts w:ascii="新細明體" w:eastAsia="新細明體" w:hAnsi="新細明體" w:hint="eastAsia"/>
        </w:rPr>
        <w:t>「</w:t>
      </w:r>
      <w:r w:rsidRPr="00F542DE">
        <w:rPr>
          <w:rFonts w:hint="eastAsia"/>
        </w:rPr>
        <w:t>國家級投資公司預計募集創新投資基金100億元，以每年2%-2.5%管理費預估，將有2億元至2.5億元之收入，足敷公司運作所需，公司治理上因係國發基金、經濟部參與投資，公司治理應可信賴，管理費應不致濫用。預計創新公司參</w:t>
      </w:r>
      <w:r w:rsidRPr="00F542DE">
        <w:rPr>
          <w:rFonts w:hint="eastAsia"/>
        </w:rPr>
        <w:lastRenderedPageBreak/>
        <w:t>與30%，採權益法基礎，帳上應有收益可認列。參與投資7,500萬元，在財務上亦屬創新公司資金能力所及。</w:t>
      </w:r>
      <w:r w:rsidRPr="00F542DE">
        <w:rPr>
          <w:rFonts w:hAnsi="標楷體" w:hint="eastAsia"/>
        </w:rPr>
        <w:t>」</w:t>
      </w:r>
    </w:p>
    <w:p w:rsidR="0018414E" w:rsidRPr="00F542DE" w:rsidRDefault="00D25574" w:rsidP="00695F86">
      <w:pPr>
        <w:pStyle w:val="7"/>
      </w:pPr>
      <w:r w:rsidRPr="00F542DE">
        <w:rPr>
          <w:rFonts w:hint="eastAsia"/>
        </w:rPr>
        <w:t>本案投資可能面對之問題：</w:t>
      </w:r>
    </w:p>
    <w:p w:rsidR="0018414E" w:rsidRPr="00F542DE" w:rsidRDefault="0018414E" w:rsidP="00695F86">
      <w:pPr>
        <w:pStyle w:val="8"/>
      </w:pPr>
      <w:r w:rsidRPr="00F542DE">
        <w:rPr>
          <w:rFonts w:hint="eastAsia"/>
        </w:rPr>
        <w:t>目前不知國家級投資公司期望創新公司在對外募資上扮演何種角色</w:t>
      </w:r>
      <w:r w:rsidR="00D2606C" w:rsidRPr="00F542DE">
        <w:rPr>
          <w:rFonts w:hAnsi="標楷體"/>
        </w:rPr>
        <w:t>……</w:t>
      </w:r>
      <w:r w:rsidRPr="00F542DE">
        <w:rPr>
          <w:rFonts w:hint="eastAsia"/>
        </w:rPr>
        <w:t>。</w:t>
      </w:r>
    </w:p>
    <w:p w:rsidR="0018414E" w:rsidRPr="00F542DE" w:rsidRDefault="0018414E" w:rsidP="00695F86">
      <w:pPr>
        <w:pStyle w:val="8"/>
      </w:pPr>
      <w:r w:rsidRPr="00F542DE">
        <w:rPr>
          <w:rFonts w:hint="eastAsia"/>
        </w:rPr>
        <w:t>國家級投資公司是新政府推動5+2政策的重要配套，或有立法委員問政關切之可能性，惟判斷主要應由國家級投資公司之董事長、執行長、政府派任在該公司的董事代表承擔答詢之責。</w:t>
      </w:r>
    </w:p>
    <w:p w:rsidR="004D1AC2" w:rsidRPr="00F542DE" w:rsidRDefault="0018414E" w:rsidP="00695F86">
      <w:pPr>
        <w:pStyle w:val="8"/>
      </w:pPr>
      <w:r w:rsidRPr="00F542DE">
        <w:rPr>
          <w:rFonts w:hint="eastAsia"/>
        </w:rPr>
        <w:t>國家級投資公司經營端賴其經營團隊實力，後續仍需觀察實際運作成效是否如預期。</w:t>
      </w:r>
    </w:p>
    <w:p w:rsidR="00325D1B" w:rsidRPr="00F542DE" w:rsidRDefault="006B040D" w:rsidP="00695F86">
      <w:pPr>
        <w:pStyle w:val="6"/>
      </w:pPr>
      <w:r w:rsidRPr="00F542DE">
        <w:rPr>
          <w:rFonts w:hint="eastAsia"/>
        </w:rPr>
        <w:t>依據</w:t>
      </w:r>
      <w:r w:rsidR="00F44C6E" w:rsidRPr="00F542DE">
        <w:rPr>
          <w:rFonts w:hint="eastAsia"/>
        </w:rPr>
        <w:t>創新公司</w:t>
      </w:r>
      <w:r w:rsidRPr="00F542DE">
        <w:rPr>
          <w:rFonts w:ascii="新細明體" w:eastAsia="新細明體" w:hAnsi="新細明體" w:hint="eastAsia"/>
        </w:rPr>
        <w:t>「</w:t>
      </w:r>
      <w:r w:rsidRPr="00F542DE">
        <w:rPr>
          <w:rFonts w:hint="eastAsia"/>
        </w:rPr>
        <w:t>長期投資審議委員會作業要點</w:t>
      </w:r>
      <w:r w:rsidRPr="00F542DE">
        <w:rPr>
          <w:rFonts w:hAnsi="標楷體" w:hint="eastAsia"/>
        </w:rPr>
        <w:t>」第4條規定：</w:t>
      </w:r>
      <w:r w:rsidRPr="00F542DE">
        <w:rPr>
          <w:rFonts w:ascii="新細明體" w:eastAsia="新細明體" w:hAnsi="新細明體" w:hint="eastAsia"/>
        </w:rPr>
        <w:t>「</w:t>
      </w:r>
      <w:r w:rsidRPr="00F542DE">
        <w:rPr>
          <w:rFonts w:hAnsi="標楷體" w:hint="eastAsia"/>
        </w:rPr>
        <w:t>投資審議委員會應有該次應出席委員人數一半以上出席，方可進行。評審意見以書面載明，由召集人徵詢委員意見後做成決議」</w:t>
      </w:r>
      <w:r w:rsidR="00695F86" w:rsidRPr="00F542DE">
        <w:rPr>
          <w:rFonts w:hAnsi="標楷體" w:hint="eastAsia"/>
        </w:rPr>
        <w:t>。</w:t>
      </w:r>
      <w:r w:rsidR="00CB64F4" w:rsidRPr="00F542DE">
        <w:rPr>
          <w:rFonts w:hAnsi="標楷體" w:hint="eastAsia"/>
        </w:rPr>
        <w:t>該次</w:t>
      </w:r>
      <w:r w:rsidRPr="00F542DE">
        <w:rPr>
          <w:rFonts w:hAnsi="標楷體" w:hint="eastAsia"/>
        </w:rPr>
        <w:t>會議</w:t>
      </w:r>
      <w:r w:rsidR="00F4233F" w:rsidRPr="00F542DE">
        <w:rPr>
          <w:rFonts w:hint="eastAsia"/>
        </w:rPr>
        <w:t>經3位審議委員審議</w:t>
      </w:r>
      <w:r w:rsidR="00F44B0B" w:rsidRPr="00F542DE">
        <w:rPr>
          <w:rFonts w:hint="eastAsia"/>
        </w:rPr>
        <w:t>相關評估內容，</w:t>
      </w:r>
      <w:r w:rsidR="00F44B0B" w:rsidRPr="00F542DE">
        <w:rPr>
          <w:rFonts w:ascii="新細明體" w:eastAsia="新細明體" w:hAnsi="新細明體" w:hint="eastAsia"/>
        </w:rPr>
        <w:t>「</w:t>
      </w:r>
      <w:r w:rsidR="00B0411C" w:rsidRPr="00F542DE">
        <w:rPr>
          <w:rFonts w:hint="eastAsia"/>
        </w:rPr>
        <w:t>同意</w:t>
      </w:r>
      <w:r w:rsidR="00F44B0B" w:rsidRPr="00F542DE">
        <w:rPr>
          <w:rFonts w:hAnsi="標楷體" w:hint="eastAsia"/>
        </w:rPr>
        <w:t>」</w:t>
      </w:r>
      <w:r w:rsidR="00F44B0B" w:rsidRPr="00F542DE">
        <w:rPr>
          <w:rFonts w:hint="eastAsia"/>
        </w:rPr>
        <w:t>參與投資台杉投顧，</w:t>
      </w:r>
      <w:r w:rsidR="00A31328" w:rsidRPr="00F542DE">
        <w:rPr>
          <w:rFonts w:hint="eastAsia"/>
        </w:rPr>
        <w:t>並送該公司董事會核備</w:t>
      </w:r>
      <w:r w:rsidR="00695F86" w:rsidRPr="00F542DE">
        <w:rPr>
          <w:rFonts w:hint="eastAsia"/>
        </w:rPr>
        <w:t>。惟</w:t>
      </w:r>
      <w:r w:rsidR="00B958B0" w:rsidRPr="00F542DE">
        <w:rPr>
          <w:rFonts w:hint="eastAsia"/>
        </w:rPr>
        <w:t>審議委員</w:t>
      </w:r>
      <w:r w:rsidR="00F44B0B" w:rsidRPr="00F542DE">
        <w:rPr>
          <w:rFonts w:hint="eastAsia"/>
        </w:rPr>
        <w:t>於</w:t>
      </w:r>
      <w:r w:rsidR="00B958B0" w:rsidRPr="00F542DE">
        <w:rPr>
          <w:rFonts w:hint="eastAsia"/>
        </w:rPr>
        <w:t>同意</w:t>
      </w:r>
      <w:r w:rsidR="00F44B0B" w:rsidRPr="00F542DE">
        <w:rPr>
          <w:rFonts w:hint="eastAsia"/>
        </w:rPr>
        <w:t>欄簽名日期</w:t>
      </w:r>
      <w:r w:rsidR="002E2A15" w:rsidRPr="00F542DE">
        <w:rPr>
          <w:rFonts w:hint="eastAsia"/>
        </w:rPr>
        <w:t>依序</w:t>
      </w:r>
      <w:r w:rsidR="00B958B0" w:rsidRPr="00F542DE">
        <w:rPr>
          <w:rFonts w:hint="eastAsia"/>
        </w:rPr>
        <w:t>分別</w:t>
      </w:r>
      <w:r w:rsidR="00F44B0B" w:rsidRPr="00F542DE">
        <w:rPr>
          <w:rFonts w:hint="eastAsia"/>
        </w:rPr>
        <w:t>註記</w:t>
      </w:r>
      <w:r w:rsidR="00B958B0" w:rsidRPr="00F542DE">
        <w:rPr>
          <w:rFonts w:hint="eastAsia"/>
        </w:rPr>
        <w:t>為8月4日、8月2日及7月31日</w:t>
      </w:r>
      <w:r w:rsidR="00695F86" w:rsidRPr="00F542DE">
        <w:rPr>
          <w:rFonts w:hint="eastAsia"/>
        </w:rPr>
        <w:t>。</w:t>
      </w:r>
      <w:r w:rsidR="0099334B" w:rsidRPr="00F542DE">
        <w:rPr>
          <w:rFonts w:hint="eastAsia"/>
        </w:rPr>
        <w:t>經濟部回復本院時</w:t>
      </w:r>
      <w:r w:rsidR="00695F86" w:rsidRPr="00F542DE">
        <w:rPr>
          <w:rFonts w:hint="eastAsia"/>
        </w:rPr>
        <w:t>雖</w:t>
      </w:r>
      <w:r w:rsidR="00F44B0B" w:rsidRPr="00F542DE">
        <w:rPr>
          <w:rFonts w:hint="eastAsia"/>
        </w:rPr>
        <w:t>說明</w:t>
      </w:r>
      <w:r w:rsidR="0099334B" w:rsidRPr="00F542DE">
        <w:rPr>
          <w:rFonts w:hint="eastAsia"/>
        </w:rPr>
        <w:t>「創新公司回復：在投審會後，該投資案負責同仁需花時間整理完成記錄，之後再分別送審議委員簽核。」</w:t>
      </w:r>
      <w:r w:rsidR="00F44B0B" w:rsidRPr="00F542DE">
        <w:rPr>
          <w:rFonts w:hint="eastAsia"/>
        </w:rPr>
        <w:t>惟</w:t>
      </w:r>
      <w:r w:rsidR="00695F86" w:rsidRPr="00F542DE">
        <w:rPr>
          <w:rFonts w:hint="eastAsia"/>
        </w:rPr>
        <w:t>會議</w:t>
      </w:r>
      <w:r w:rsidR="001B6E4E" w:rsidRPr="00F542DE">
        <w:rPr>
          <w:rFonts w:hint="eastAsia"/>
        </w:rPr>
        <w:t>決議日期為7月31日，審議委員相隔數日再簽名同意，是否符合上開審議作業要點</w:t>
      </w:r>
      <w:r w:rsidR="00A4371E" w:rsidRPr="00F542DE">
        <w:rPr>
          <w:rFonts w:hint="eastAsia"/>
        </w:rPr>
        <w:t>「評審意見以書面載明，由召集人徵詢委員意見後做成決議」</w:t>
      </w:r>
      <w:r w:rsidR="001B6E4E" w:rsidRPr="00F542DE">
        <w:rPr>
          <w:rFonts w:hint="eastAsia"/>
        </w:rPr>
        <w:t>之規範，</w:t>
      </w:r>
      <w:r w:rsidR="002E2A15" w:rsidRPr="00F542DE">
        <w:rPr>
          <w:rFonts w:hint="eastAsia"/>
        </w:rPr>
        <w:t>確</w:t>
      </w:r>
      <w:r w:rsidR="001B6E4E" w:rsidRPr="00F542DE">
        <w:rPr>
          <w:rFonts w:hint="eastAsia"/>
        </w:rPr>
        <w:t>有疑義。另，台杉投顧</w:t>
      </w:r>
      <w:r w:rsidR="00F970DF" w:rsidRPr="00F542DE">
        <w:rPr>
          <w:rFonts w:hint="eastAsia"/>
        </w:rPr>
        <w:t>106年8月1日</w:t>
      </w:r>
      <w:r w:rsidR="001B6E4E" w:rsidRPr="00F542DE">
        <w:rPr>
          <w:rFonts w:hint="eastAsia"/>
        </w:rPr>
        <w:t>正式發函</w:t>
      </w:r>
      <w:r w:rsidR="001B6E4E" w:rsidRPr="00F542DE">
        <w:rPr>
          <w:rFonts w:hint="eastAsia"/>
        </w:rPr>
        <w:lastRenderedPageBreak/>
        <w:t>邀請</w:t>
      </w:r>
      <w:r w:rsidR="00F970DF" w:rsidRPr="00F542DE">
        <w:rPr>
          <w:rFonts w:hint="eastAsia"/>
        </w:rPr>
        <w:t>創新</w:t>
      </w:r>
      <w:r w:rsidR="001B6E4E" w:rsidRPr="00F542DE">
        <w:rPr>
          <w:rFonts w:hint="eastAsia"/>
        </w:rPr>
        <w:t>公司擔任發起人前，</w:t>
      </w:r>
      <w:r w:rsidR="00F970DF" w:rsidRPr="00F542DE">
        <w:rPr>
          <w:rFonts w:hint="eastAsia"/>
        </w:rPr>
        <w:t>該</w:t>
      </w:r>
      <w:r w:rsidR="001B6E4E" w:rsidRPr="00F542DE">
        <w:rPr>
          <w:rFonts w:hint="eastAsia"/>
        </w:rPr>
        <w:t>公司即先</w:t>
      </w:r>
      <w:r w:rsidR="00F970DF" w:rsidRPr="00F542DE">
        <w:rPr>
          <w:rFonts w:hint="eastAsia"/>
        </w:rPr>
        <w:t>於106年7月31日</w:t>
      </w:r>
      <w:r w:rsidR="001B6E4E" w:rsidRPr="00F542DE">
        <w:rPr>
          <w:rFonts w:hint="eastAsia"/>
        </w:rPr>
        <w:t>召開</w:t>
      </w:r>
      <w:r w:rsidR="00F80B62" w:rsidRPr="00F542DE">
        <w:rPr>
          <w:rFonts w:hint="eastAsia"/>
        </w:rPr>
        <w:t>投資</w:t>
      </w:r>
      <w:r w:rsidR="001B6E4E" w:rsidRPr="00F542DE">
        <w:rPr>
          <w:rFonts w:hint="eastAsia"/>
        </w:rPr>
        <w:t>審議會，</w:t>
      </w:r>
      <w:r w:rsidR="00AB5FF3" w:rsidRPr="00F542DE">
        <w:rPr>
          <w:rFonts w:hint="eastAsia"/>
        </w:rPr>
        <w:t>致有該次</w:t>
      </w:r>
      <w:r w:rsidR="00F44B0B" w:rsidRPr="00F542DE">
        <w:rPr>
          <w:rFonts w:hint="eastAsia"/>
        </w:rPr>
        <w:t>審議會議</w:t>
      </w:r>
      <w:r w:rsidR="00F32603" w:rsidRPr="00F542DE">
        <w:rPr>
          <w:rFonts w:hint="eastAsia"/>
        </w:rPr>
        <w:t>紀錄</w:t>
      </w:r>
      <w:r w:rsidR="00AB5FF3" w:rsidRPr="00F542DE">
        <w:rPr>
          <w:rFonts w:hint="eastAsia"/>
        </w:rPr>
        <w:t>所</w:t>
      </w:r>
      <w:r w:rsidR="00F32603" w:rsidRPr="00F542DE">
        <w:rPr>
          <w:rFonts w:hint="eastAsia"/>
        </w:rPr>
        <w:t>附</w:t>
      </w:r>
      <w:r w:rsidR="00F44B0B" w:rsidRPr="00F542DE">
        <w:rPr>
          <w:rFonts w:hint="eastAsia"/>
        </w:rPr>
        <w:t>台杉投顧邀請該公司擔任發起人之函文</w:t>
      </w:r>
      <w:r w:rsidR="00AB5FF3" w:rsidRPr="00F542DE">
        <w:rPr>
          <w:rFonts w:hint="eastAsia"/>
        </w:rPr>
        <w:t>日期遲</w:t>
      </w:r>
      <w:r w:rsidR="00F44B0B" w:rsidRPr="00F542DE">
        <w:rPr>
          <w:rFonts w:hAnsi="標楷體" w:hint="eastAsia"/>
        </w:rPr>
        <w:t>於該公司開會日期</w:t>
      </w:r>
      <w:r w:rsidR="00AB5FF3" w:rsidRPr="00F542DE">
        <w:rPr>
          <w:rFonts w:hAnsi="標楷體" w:hint="eastAsia"/>
        </w:rPr>
        <w:t>之不合理現象</w:t>
      </w:r>
      <w:r w:rsidR="00F80B62" w:rsidRPr="00F542DE">
        <w:rPr>
          <w:rFonts w:hAnsi="標楷體" w:hint="eastAsia"/>
        </w:rPr>
        <w:t>。</w:t>
      </w:r>
      <w:r w:rsidR="001B6E4E" w:rsidRPr="00F542DE">
        <w:rPr>
          <w:rFonts w:hAnsi="標楷體" w:hint="eastAsia"/>
        </w:rPr>
        <w:t>顯見，創新</w:t>
      </w:r>
      <w:r w:rsidR="00033C4B" w:rsidRPr="00F542DE">
        <w:rPr>
          <w:rFonts w:hAnsi="標楷體" w:hint="eastAsia"/>
        </w:rPr>
        <w:t>公司為配合台杉投顧之設立期程，而有作業未盡周妥之情事。</w:t>
      </w:r>
    </w:p>
    <w:p w:rsidR="00132BCE" w:rsidRPr="00F542DE" w:rsidRDefault="00033C4B" w:rsidP="00F80B62">
      <w:pPr>
        <w:pStyle w:val="4"/>
      </w:pPr>
      <w:r w:rsidRPr="00F542DE">
        <w:rPr>
          <w:rFonts w:hint="eastAsia"/>
        </w:rPr>
        <w:t>再查</w:t>
      </w:r>
      <w:r w:rsidR="00325D1B" w:rsidRPr="00F542DE">
        <w:rPr>
          <w:rFonts w:hint="eastAsia"/>
        </w:rPr>
        <w:t>台杉投顧</w:t>
      </w:r>
      <w:r w:rsidR="00F80B62" w:rsidRPr="00F542DE">
        <w:rPr>
          <w:rFonts w:hint="eastAsia"/>
        </w:rPr>
        <w:t>籌備處</w:t>
      </w:r>
      <w:r w:rsidR="00325D1B" w:rsidRPr="00F542DE">
        <w:rPr>
          <w:rFonts w:hint="eastAsia"/>
        </w:rPr>
        <w:t>於106年8月14日再函</w:t>
      </w:r>
      <w:r w:rsidR="00F80B62" w:rsidRPr="00F542DE">
        <w:rPr>
          <w:rFonts w:hint="eastAsia"/>
        </w:rPr>
        <w:t>邀</w:t>
      </w:r>
      <w:r w:rsidR="00325D1B" w:rsidRPr="00F542DE">
        <w:rPr>
          <w:rFonts w:hint="eastAsia"/>
        </w:rPr>
        <w:t>創新公司擔任</w:t>
      </w:r>
      <w:r w:rsidR="00F80B62" w:rsidRPr="00F542DE">
        <w:rPr>
          <w:rFonts w:hint="eastAsia"/>
        </w:rPr>
        <w:t>該公司</w:t>
      </w:r>
      <w:r w:rsidR="00325D1B" w:rsidRPr="00F542DE">
        <w:rPr>
          <w:rFonts w:hint="eastAsia"/>
        </w:rPr>
        <w:t>發起人，</w:t>
      </w:r>
      <w:r w:rsidRPr="00F542DE">
        <w:rPr>
          <w:rFonts w:hint="eastAsia"/>
        </w:rPr>
        <w:t>係</w:t>
      </w:r>
      <w:r w:rsidR="002852DF" w:rsidRPr="00F542DE">
        <w:rPr>
          <w:rFonts w:hint="eastAsia"/>
        </w:rPr>
        <w:t>於</w:t>
      </w:r>
      <w:r w:rsidRPr="00F542DE">
        <w:rPr>
          <w:rFonts w:hint="eastAsia"/>
        </w:rPr>
        <w:t>台杉投顧請創新公司匯入投資款項</w:t>
      </w:r>
      <w:r w:rsidR="00F80B62" w:rsidRPr="00F542DE">
        <w:rPr>
          <w:rFonts w:hint="eastAsia"/>
        </w:rPr>
        <w:t>(106年8月16日)之</w:t>
      </w:r>
      <w:r w:rsidRPr="00F542DE">
        <w:rPr>
          <w:rFonts w:hint="eastAsia"/>
        </w:rPr>
        <w:t>前2日，該函說明</w:t>
      </w:r>
      <w:r w:rsidR="00F80B62" w:rsidRPr="00F542DE">
        <w:rPr>
          <w:rFonts w:hint="eastAsia"/>
        </w:rPr>
        <w:t>台杉投顧</w:t>
      </w:r>
      <w:r w:rsidR="00325D1B" w:rsidRPr="00F542DE">
        <w:rPr>
          <w:rFonts w:hint="eastAsia"/>
        </w:rPr>
        <w:t>實收資本已降為1億2,600萬元，仍請創新公司認購7,500萬元</w:t>
      </w:r>
      <w:r w:rsidR="006B0BF6" w:rsidRPr="00F542DE">
        <w:rPr>
          <w:rFonts w:hint="eastAsia"/>
        </w:rPr>
        <w:t>，並於106年8月16日前將股款7,500萬元匯入台杉投顧籌備處銀行帳戶。創新公司</w:t>
      </w:r>
      <w:r w:rsidRPr="00F542DE">
        <w:rPr>
          <w:rFonts w:hint="eastAsia"/>
        </w:rPr>
        <w:t>為配合政府政策，</w:t>
      </w:r>
      <w:r w:rsidR="006B0BF6" w:rsidRPr="00F542DE">
        <w:rPr>
          <w:rFonts w:hint="eastAsia"/>
        </w:rPr>
        <w:t>於106年8月16日</w:t>
      </w:r>
      <w:r w:rsidRPr="00F542DE">
        <w:rPr>
          <w:rFonts w:hint="eastAsia"/>
        </w:rPr>
        <w:t>即</w:t>
      </w:r>
      <w:r w:rsidR="00356F9E" w:rsidRPr="00F542DE">
        <w:rPr>
          <w:rFonts w:hint="eastAsia"/>
        </w:rPr>
        <w:t>將7,500萬元投資款項匯入</w:t>
      </w:r>
      <w:r w:rsidR="002852DF" w:rsidRPr="00F542DE">
        <w:rPr>
          <w:rFonts w:hint="eastAsia"/>
        </w:rPr>
        <w:t>該指定帳戶</w:t>
      </w:r>
      <w:r w:rsidR="00356F9E" w:rsidRPr="00F542DE">
        <w:rPr>
          <w:rFonts w:hint="eastAsia"/>
        </w:rPr>
        <w:t>，</w:t>
      </w:r>
      <w:r w:rsidR="00CE0BDF" w:rsidRPr="00F542DE">
        <w:rPr>
          <w:rFonts w:hint="eastAsia"/>
        </w:rPr>
        <w:t>而</w:t>
      </w:r>
      <w:r w:rsidRPr="00F542DE">
        <w:rPr>
          <w:rFonts w:hint="eastAsia"/>
        </w:rPr>
        <w:t>其同意投資之依據</w:t>
      </w:r>
      <w:r w:rsidR="00356F9E" w:rsidRPr="00F542DE">
        <w:rPr>
          <w:rFonts w:hint="eastAsia"/>
        </w:rPr>
        <w:t>係</w:t>
      </w:r>
      <w:r w:rsidRPr="00F542DE">
        <w:rPr>
          <w:rFonts w:hint="eastAsia"/>
        </w:rPr>
        <w:t>106年7月31日</w:t>
      </w:r>
      <w:r w:rsidR="00356F9E" w:rsidRPr="00F542DE">
        <w:rPr>
          <w:rFonts w:hint="eastAsia"/>
        </w:rPr>
        <w:t>該公司</w:t>
      </w:r>
      <w:r w:rsidR="006B0BF6" w:rsidRPr="00F542DE">
        <w:rPr>
          <w:rFonts w:hint="eastAsia"/>
        </w:rPr>
        <w:t>投資審議會。</w:t>
      </w:r>
      <w:r w:rsidR="00CE0BDF" w:rsidRPr="00F542DE">
        <w:rPr>
          <w:rFonts w:hint="eastAsia"/>
        </w:rPr>
        <w:t>惟</w:t>
      </w:r>
      <w:r w:rsidR="00356F9E" w:rsidRPr="00F542DE">
        <w:rPr>
          <w:rFonts w:hint="eastAsia"/>
        </w:rPr>
        <w:t>該次會議</w:t>
      </w:r>
      <w:r w:rsidR="00041D38" w:rsidRPr="00F542DE">
        <w:rPr>
          <w:rFonts w:hint="eastAsia"/>
        </w:rPr>
        <w:t>審議之主要內容包含發起人係國發基金投資1億元(持股40%)、耀華玻璃管理會及</w:t>
      </w:r>
      <w:r w:rsidR="00CE0BDF" w:rsidRPr="00F542DE">
        <w:rPr>
          <w:rFonts w:hint="eastAsia"/>
        </w:rPr>
        <w:t>創新公司</w:t>
      </w:r>
      <w:r w:rsidR="00041D38" w:rsidRPr="00F542DE">
        <w:rPr>
          <w:rFonts w:hint="eastAsia"/>
        </w:rPr>
        <w:t>各投資7,500萬元(各持股30%)，</w:t>
      </w:r>
      <w:r w:rsidR="00CE0BDF" w:rsidRPr="00F542DE">
        <w:rPr>
          <w:rFonts w:hint="eastAsia"/>
        </w:rPr>
        <w:t>而</w:t>
      </w:r>
      <w:r w:rsidR="005969CF" w:rsidRPr="00F542DE">
        <w:rPr>
          <w:rFonts w:hint="eastAsia"/>
        </w:rPr>
        <w:t>台杉投顧</w:t>
      </w:r>
      <w:r w:rsidR="00CE0BDF" w:rsidRPr="00F542DE">
        <w:rPr>
          <w:rFonts w:hint="eastAsia"/>
        </w:rPr>
        <w:t>106年8月14日</w:t>
      </w:r>
      <w:r w:rsidRPr="00F542DE">
        <w:rPr>
          <w:rFonts w:hint="eastAsia"/>
        </w:rPr>
        <w:t>函文</w:t>
      </w:r>
      <w:r w:rsidR="00041D38" w:rsidRPr="00F542DE">
        <w:rPr>
          <w:rFonts w:hint="eastAsia"/>
        </w:rPr>
        <w:t>則說明</w:t>
      </w:r>
      <w:r w:rsidR="005969CF" w:rsidRPr="00F542DE">
        <w:rPr>
          <w:rFonts w:hint="eastAsia"/>
        </w:rPr>
        <w:t>台杉投顧實收資本額由2.51億元降為1.26億元，並請創新公司仍維持原投資額。</w:t>
      </w:r>
      <w:r w:rsidR="00041D38" w:rsidRPr="00F542DE">
        <w:rPr>
          <w:rFonts w:hint="eastAsia"/>
        </w:rPr>
        <w:t>經調整後，</w:t>
      </w:r>
      <w:r w:rsidR="005969CF" w:rsidRPr="00F542DE">
        <w:rPr>
          <w:rFonts w:hint="eastAsia"/>
        </w:rPr>
        <w:t>創新</w:t>
      </w:r>
      <w:r w:rsidR="00041D38" w:rsidRPr="00F542DE">
        <w:rPr>
          <w:rFonts w:hint="eastAsia"/>
        </w:rPr>
        <w:t>公司持股</w:t>
      </w:r>
      <w:r w:rsidR="00356F9E" w:rsidRPr="00F542DE">
        <w:rPr>
          <w:rFonts w:hint="eastAsia"/>
        </w:rPr>
        <w:t>比率</w:t>
      </w:r>
      <w:r w:rsidR="005969CF" w:rsidRPr="00F542DE">
        <w:rPr>
          <w:rFonts w:hint="eastAsia"/>
        </w:rPr>
        <w:t>由30%</w:t>
      </w:r>
      <w:r w:rsidR="00356F9E" w:rsidRPr="00F542DE">
        <w:rPr>
          <w:rFonts w:hint="eastAsia"/>
        </w:rPr>
        <w:t>上升為59.5%，</w:t>
      </w:r>
      <w:r w:rsidR="0019051E" w:rsidRPr="00F542DE">
        <w:rPr>
          <w:rFonts w:hint="eastAsia"/>
        </w:rPr>
        <w:t>持股已過半，且成為第</w:t>
      </w:r>
      <w:r w:rsidR="005969CF" w:rsidRPr="00F542DE">
        <w:rPr>
          <w:rFonts w:hint="eastAsia"/>
        </w:rPr>
        <w:t>1</w:t>
      </w:r>
      <w:r w:rsidR="0019051E" w:rsidRPr="00F542DE">
        <w:rPr>
          <w:rFonts w:hint="eastAsia"/>
        </w:rPr>
        <w:t>大股東，</w:t>
      </w:r>
      <w:r w:rsidR="005969CF" w:rsidRPr="00F542DE">
        <w:rPr>
          <w:rFonts w:hint="eastAsia"/>
        </w:rPr>
        <w:t>已與</w:t>
      </w:r>
      <w:r w:rsidR="00041D38" w:rsidRPr="00F542DE">
        <w:rPr>
          <w:rFonts w:hint="eastAsia"/>
        </w:rPr>
        <w:t>原先審議時係</w:t>
      </w:r>
      <w:r w:rsidR="005969CF" w:rsidRPr="00F542DE">
        <w:rPr>
          <w:rFonts w:hint="eastAsia"/>
        </w:rPr>
        <w:t>由</w:t>
      </w:r>
      <w:r w:rsidR="006410DB" w:rsidRPr="00F542DE">
        <w:rPr>
          <w:rFonts w:hint="eastAsia"/>
        </w:rPr>
        <w:t>國發基金擔任最大股東</w:t>
      </w:r>
      <w:r w:rsidR="005969CF" w:rsidRPr="00F542DE">
        <w:rPr>
          <w:rFonts w:hint="eastAsia"/>
        </w:rPr>
        <w:t>不同</w:t>
      </w:r>
      <w:r w:rsidR="006410DB" w:rsidRPr="00F542DE">
        <w:rPr>
          <w:rFonts w:hint="eastAsia"/>
        </w:rPr>
        <w:t>，</w:t>
      </w:r>
      <w:r w:rsidR="00041D38" w:rsidRPr="00F542DE">
        <w:rPr>
          <w:rFonts w:hint="eastAsia"/>
        </w:rPr>
        <w:t>且</w:t>
      </w:r>
      <w:r w:rsidR="005969CF" w:rsidRPr="00F542DE">
        <w:rPr>
          <w:rFonts w:hint="eastAsia"/>
        </w:rPr>
        <w:t>創新</w:t>
      </w:r>
      <w:r w:rsidR="00041D38" w:rsidRPr="00F542DE">
        <w:rPr>
          <w:rFonts w:hint="eastAsia"/>
        </w:rPr>
        <w:t>公司當時尚面對</w:t>
      </w:r>
      <w:r w:rsidR="00041D38" w:rsidRPr="00F542DE">
        <w:rPr>
          <w:rFonts w:ascii="新細明體" w:eastAsia="新細明體" w:hAnsi="新細明體" w:hint="eastAsia"/>
        </w:rPr>
        <w:t>「</w:t>
      </w:r>
      <w:r w:rsidR="00041D38" w:rsidRPr="00F542DE">
        <w:rPr>
          <w:rFonts w:hint="eastAsia"/>
        </w:rPr>
        <w:t>目前不知國家級投資公司期望創新公司在對外募資上扮演何種角色</w:t>
      </w:r>
      <w:r w:rsidR="00041D38" w:rsidRPr="00F542DE">
        <w:rPr>
          <w:rFonts w:hAnsi="標楷體" w:hint="eastAsia"/>
        </w:rPr>
        <w:t>」</w:t>
      </w:r>
      <w:r w:rsidR="00EC4124" w:rsidRPr="00F542DE">
        <w:rPr>
          <w:rFonts w:hAnsi="標楷體" w:hint="eastAsia"/>
        </w:rPr>
        <w:t>、</w:t>
      </w:r>
      <w:r w:rsidR="00EC4124" w:rsidRPr="00F542DE">
        <w:rPr>
          <w:rFonts w:ascii="新細明體" w:eastAsia="新細明體" w:hAnsi="新細明體" w:hint="eastAsia"/>
        </w:rPr>
        <w:t>「</w:t>
      </w:r>
      <w:r w:rsidR="00EC4124" w:rsidRPr="00F542DE">
        <w:rPr>
          <w:rFonts w:hint="eastAsia"/>
        </w:rPr>
        <w:t>國家級投資公司經營端賴其經營團隊實力，後續仍需觀察實際運作成效是否如預期。</w:t>
      </w:r>
      <w:r w:rsidR="00EC4124" w:rsidRPr="00F542DE">
        <w:rPr>
          <w:rFonts w:hAnsi="標楷體" w:hint="eastAsia"/>
        </w:rPr>
        <w:t>」明</w:t>
      </w:r>
      <w:r w:rsidR="00EC4124" w:rsidRPr="00F542DE">
        <w:rPr>
          <w:rFonts w:hint="eastAsia"/>
        </w:rPr>
        <w:t>顯</w:t>
      </w:r>
      <w:r w:rsidR="0062182C" w:rsidRPr="00F542DE">
        <w:rPr>
          <w:rFonts w:hint="eastAsia"/>
        </w:rPr>
        <w:t>未能有效評估投資風險，</w:t>
      </w:r>
      <w:r w:rsidR="00EC4124" w:rsidRPr="00F542DE">
        <w:rPr>
          <w:rFonts w:hAnsi="標楷體" w:hint="eastAsia"/>
        </w:rPr>
        <w:t>係配合國發會規</w:t>
      </w:r>
      <w:r w:rsidR="005969CF" w:rsidRPr="00F542DE">
        <w:rPr>
          <w:rFonts w:hAnsi="標楷體" w:hint="eastAsia"/>
        </w:rPr>
        <w:t>劃</w:t>
      </w:r>
      <w:r w:rsidR="00EC4124" w:rsidRPr="00F542DE">
        <w:rPr>
          <w:rFonts w:hAnsi="標楷體" w:hint="eastAsia"/>
        </w:rPr>
        <w:t>，不主導台杉投顧之營運，然於</w:t>
      </w:r>
      <w:r w:rsidR="0087080E" w:rsidRPr="00F542DE">
        <w:rPr>
          <w:rFonts w:hint="eastAsia"/>
        </w:rPr>
        <w:t>撥款前2日，</w:t>
      </w:r>
      <w:r w:rsidR="00EC4124" w:rsidRPr="00F542DE">
        <w:rPr>
          <w:rFonts w:hint="eastAsia"/>
        </w:rPr>
        <w:t>台杉投顧</w:t>
      </w:r>
      <w:r w:rsidR="006410DB" w:rsidRPr="00F542DE">
        <w:rPr>
          <w:rFonts w:hint="eastAsia"/>
        </w:rPr>
        <w:t>重新邀請</w:t>
      </w:r>
      <w:r w:rsidR="005969CF" w:rsidRPr="00F542DE">
        <w:rPr>
          <w:rFonts w:hint="eastAsia"/>
        </w:rPr>
        <w:t>創新</w:t>
      </w:r>
      <w:r w:rsidR="006410DB" w:rsidRPr="00F542DE">
        <w:rPr>
          <w:rFonts w:hint="eastAsia"/>
        </w:rPr>
        <w:t>公司擔任發起人，並為持股</w:t>
      </w:r>
      <w:r w:rsidR="006410DB" w:rsidRPr="00F542DE">
        <w:rPr>
          <w:rFonts w:hint="eastAsia"/>
        </w:rPr>
        <w:lastRenderedPageBreak/>
        <w:t>過半之第1大股東，</w:t>
      </w:r>
      <w:r w:rsidR="0019051E" w:rsidRPr="00F542DE">
        <w:rPr>
          <w:rFonts w:hint="eastAsia"/>
        </w:rPr>
        <w:t>對於投資條件及</w:t>
      </w:r>
      <w:r w:rsidR="00FB475A" w:rsidRPr="00F542DE">
        <w:rPr>
          <w:rFonts w:hint="eastAsia"/>
        </w:rPr>
        <w:t>投資後</w:t>
      </w:r>
      <w:r w:rsidR="0019051E" w:rsidRPr="00F542DE">
        <w:rPr>
          <w:rFonts w:hint="eastAsia"/>
        </w:rPr>
        <w:t>管理已發生重大變動</w:t>
      </w:r>
      <w:r w:rsidR="005969CF" w:rsidRPr="00F542DE">
        <w:rPr>
          <w:rFonts w:hint="eastAsia"/>
        </w:rPr>
        <w:t>，</w:t>
      </w:r>
      <w:r w:rsidR="00FB475A" w:rsidRPr="00F542DE">
        <w:rPr>
          <w:rFonts w:hint="eastAsia"/>
        </w:rPr>
        <w:t>該公司雖稱</w:t>
      </w:r>
      <w:r w:rsidR="00BC1DF4" w:rsidRPr="00F542DE">
        <w:rPr>
          <w:rFonts w:hint="eastAsia"/>
        </w:rPr>
        <w:t>依據</w:t>
      </w:r>
      <w:r w:rsidR="000952D5" w:rsidRPr="00F542DE">
        <w:rPr>
          <w:rFonts w:hint="eastAsia"/>
        </w:rPr>
        <w:t>「取得或處分資產辦法」第3條第1項規定，公司投資係以金額為授權之依據</w:t>
      </w:r>
      <w:r w:rsidR="0087080E" w:rsidRPr="00F542DE">
        <w:rPr>
          <w:rFonts w:hint="eastAsia"/>
        </w:rPr>
        <w:t>，</w:t>
      </w:r>
      <w:r w:rsidR="000952D5" w:rsidRPr="00F542DE">
        <w:rPr>
          <w:rFonts w:hint="eastAsia"/>
        </w:rPr>
        <w:t>且金額仍在總經理授權權限內，基於支持政府之政策並促使「國家級投資公司」及早啟動，依原金額於106年8月16日繳款完成投資</w:t>
      </w:r>
      <w:r w:rsidR="00BC1DF4" w:rsidRPr="00F542DE">
        <w:rPr>
          <w:rFonts w:hint="eastAsia"/>
        </w:rPr>
        <w:t>，</w:t>
      </w:r>
      <w:r w:rsidR="006410DB" w:rsidRPr="00F542DE">
        <w:rPr>
          <w:rFonts w:hint="eastAsia"/>
        </w:rPr>
        <w:t>惟</w:t>
      </w:r>
      <w:r w:rsidR="00BC1DF4" w:rsidRPr="00F542DE">
        <w:rPr>
          <w:rFonts w:hint="eastAsia"/>
        </w:rPr>
        <w:t>依據</w:t>
      </w:r>
      <w:r w:rsidR="006410DB" w:rsidRPr="00F542DE">
        <w:rPr>
          <w:rFonts w:hint="eastAsia"/>
        </w:rPr>
        <w:t>該公司</w:t>
      </w:r>
      <w:r w:rsidR="00BC1DF4" w:rsidRPr="00F542DE">
        <w:rPr>
          <w:rFonts w:hint="eastAsia"/>
        </w:rPr>
        <w:t>「投資作業準則」第2條投資決策與程序：</w:t>
      </w:r>
      <w:r w:rsidR="00BC1DF4" w:rsidRPr="00F542DE">
        <w:rPr>
          <w:rFonts w:ascii="新細明體" w:eastAsia="新細明體" w:hAnsi="新細明體" w:hint="eastAsia"/>
        </w:rPr>
        <w:t>「</w:t>
      </w:r>
      <w:r w:rsidR="00BC1DF4" w:rsidRPr="00F542DE">
        <w:rPr>
          <w:rFonts w:hint="eastAsia"/>
        </w:rPr>
        <w:t>創新公司對於投資案之篩選、評估、推薦與投資後管理輔導等，由專案經理負責提報創新公司投資審議會議核決。</w:t>
      </w:r>
      <w:r w:rsidR="00BC1DF4" w:rsidRPr="00F542DE">
        <w:rPr>
          <w:rFonts w:hAnsi="標楷體" w:hint="eastAsia"/>
        </w:rPr>
        <w:t>」</w:t>
      </w:r>
      <w:r w:rsidR="006410DB" w:rsidRPr="00F542DE">
        <w:rPr>
          <w:rFonts w:hAnsi="標楷體" w:hint="eastAsia"/>
        </w:rPr>
        <w:t>本案係由</w:t>
      </w:r>
      <w:r w:rsidR="00BC1DF4" w:rsidRPr="00F542DE">
        <w:rPr>
          <w:rFonts w:hint="eastAsia"/>
        </w:rPr>
        <w:t>投資審議會議</w:t>
      </w:r>
      <w:r w:rsidR="006410DB" w:rsidRPr="00F542DE">
        <w:rPr>
          <w:rFonts w:hint="eastAsia"/>
        </w:rPr>
        <w:t>決議通過，</w:t>
      </w:r>
      <w:r w:rsidR="0087080E" w:rsidRPr="00F542DE">
        <w:rPr>
          <w:rFonts w:hint="eastAsia"/>
        </w:rPr>
        <w:t>惟</w:t>
      </w:r>
      <w:r w:rsidR="00BC1DF4" w:rsidRPr="00F542DE">
        <w:rPr>
          <w:rFonts w:hint="eastAsia"/>
        </w:rPr>
        <w:t>該公司</w:t>
      </w:r>
      <w:r w:rsidR="006410DB" w:rsidRPr="00F542DE">
        <w:rPr>
          <w:rFonts w:hint="eastAsia"/>
        </w:rPr>
        <w:t>對</w:t>
      </w:r>
      <w:r w:rsidR="00EC4124" w:rsidRPr="00F542DE">
        <w:rPr>
          <w:rFonts w:hint="eastAsia"/>
        </w:rPr>
        <w:t>此</w:t>
      </w:r>
      <w:r w:rsidR="006410DB" w:rsidRPr="00F542DE">
        <w:rPr>
          <w:rFonts w:hint="eastAsia"/>
        </w:rPr>
        <w:t>重大投資條件變動，</w:t>
      </w:r>
      <w:r w:rsidR="00EC4124" w:rsidRPr="00F542DE">
        <w:rPr>
          <w:rFonts w:hint="eastAsia"/>
        </w:rPr>
        <w:t>係</w:t>
      </w:r>
      <w:r w:rsidR="006410DB" w:rsidRPr="00F542DE">
        <w:rPr>
          <w:rFonts w:hint="eastAsia"/>
        </w:rPr>
        <w:t>以取得或處分資產權限之規定，由總經理核定，而未能重新提請投資審議會議同意後再進行投資，</w:t>
      </w:r>
      <w:r w:rsidR="00EC4124" w:rsidRPr="00F542DE">
        <w:rPr>
          <w:rFonts w:hint="eastAsia"/>
        </w:rPr>
        <w:t>似與該公司投資作業核定權責之規範未符。國發會未能妥善規劃國家及投資公司之設置程序，致使配合政府政策執行之創新公司，因時間迫切而產生投資作業未盡周妥之情事，國發會允應</w:t>
      </w:r>
      <w:r w:rsidR="00E35FB3" w:rsidRPr="00F542DE">
        <w:rPr>
          <w:rFonts w:hint="eastAsia"/>
        </w:rPr>
        <w:t>切實</w:t>
      </w:r>
      <w:r w:rsidR="00EC4124" w:rsidRPr="00F542DE">
        <w:rPr>
          <w:rFonts w:hint="eastAsia"/>
        </w:rPr>
        <w:t>檢討</w:t>
      </w:r>
      <w:r w:rsidR="00E35FB3" w:rsidRPr="00F542DE">
        <w:rPr>
          <w:rFonts w:hint="eastAsia"/>
        </w:rPr>
        <w:t>，以避免發生企業協助政府推行政策，反因規劃之爭議成為外界責難之對象，降低配合政府推行政策之意願</w:t>
      </w:r>
      <w:r w:rsidR="00EC4124" w:rsidRPr="00F542DE">
        <w:rPr>
          <w:rFonts w:hint="eastAsia"/>
        </w:rPr>
        <w:t>。</w:t>
      </w:r>
    </w:p>
    <w:p w:rsidR="00764DA6" w:rsidRPr="00F542DE" w:rsidRDefault="00764DA6" w:rsidP="00E4196E">
      <w:pPr>
        <w:pStyle w:val="3"/>
      </w:pPr>
      <w:bookmarkStart w:id="48" w:name="_Toc24448113"/>
      <w:bookmarkStart w:id="49" w:name="_Toc29903184"/>
      <w:bookmarkStart w:id="50" w:name="_Toc30496462"/>
      <w:r w:rsidRPr="00F542DE">
        <w:rPr>
          <w:rFonts w:hAnsi="標楷體" w:hint="eastAsia"/>
        </w:rPr>
        <w:t>綜上，</w:t>
      </w:r>
      <w:bookmarkEnd w:id="48"/>
      <w:r w:rsidR="00881C36" w:rsidRPr="00F542DE">
        <w:rPr>
          <w:rFonts w:hint="eastAsia"/>
        </w:rPr>
        <w:t>提升經濟成長動能，</w:t>
      </w:r>
      <w:r w:rsidR="00881C36" w:rsidRPr="00F542DE">
        <w:rPr>
          <w:rFonts w:hint="eastAsia"/>
          <w:szCs w:val="32"/>
        </w:rPr>
        <w:t>帶動國內投資能量，本為政府應有之職責，為</w:t>
      </w:r>
      <w:r w:rsidR="002E2A15" w:rsidRPr="00F542DE">
        <w:rPr>
          <w:rFonts w:hint="eastAsia"/>
          <w:szCs w:val="32"/>
        </w:rPr>
        <w:t>推升</w:t>
      </w:r>
      <w:r w:rsidR="00881C36" w:rsidRPr="00F542DE">
        <w:rPr>
          <w:rFonts w:hint="eastAsia"/>
          <w:szCs w:val="32"/>
        </w:rPr>
        <w:t>國內投資能量</w:t>
      </w:r>
      <w:r w:rsidR="002E2A15" w:rsidRPr="00F542DE">
        <w:rPr>
          <w:rFonts w:hint="eastAsia"/>
          <w:szCs w:val="32"/>
        </w:rPr>
        <w:t>，國發會</w:t>
      </w:r>
      <w:r w:rsidR="00881C36" w:rsidRPr="00F542DE">
        <w:rPr>
          <w:rFonts w:hint="eastAsia"/>
          <w:szCs w:val="32"/>
        </w:rPr>
        <w:t>結合</w:t>
      </w:r>
      <w:r w:rsidR="00881C36" w:rsidRPr="00F542DE">
        <w:rPr>
          <w:rFonts w:hint="eastAsia"/>
        </w:rPr>
        <w:t>公民營</w:t>
      </w:r>
      <w:r w:rsidR="00B82454" w:rsidRPr="00F542DE">
        <w:rPr>
          <w:rFonts w:hint="eastAsia"/>
          <w:lang w:eastAsia="zh-HK"/>
        </w:rPr>
        <w:t>機構</w:t>
      </w:r>
      <w:r w:rsidR="00881C36" w:rsidRPr="00F542DE">
        <w:rPr>
          <w:rFonts w:hint="eastAsia"/>
        </w:rPr>
        <w:t>力量規劃成立國家級投資公司台杉投顧，然因執行過程過於匆促且未盡</w:t>
      </w:r>
      <w:r w:rsidR="00881C36" w:rsidRPr="00F542DE">
        <w:rPr>
          <w:rFonts w:hint="eastAsia"/>
          <w:szCs w:val="32"/>
        </w:rPr>
        <w:t>周妥，肇致配合政府投資之相關企業，因時間緊迫，未能有效評估投資風險，且相關作業疑有未符作業規範之情事</w:t>
      </w:r>
      <w:r w:rsidR="00881C36" w:rsidRPr="00F542DE">
        <w:rPr>
          <w:rFonts w:hint="eastAsia"/>
        </w:rPr>
        <w:t>，國發會允應深切檢討。</w:t>
      </w:r>
      <w:bookmarkEnd w:id="49"/>
      <w:bookmarkEnd w:id="50"/>
    </w:p>
    <w:p w:rsidR="00064E50" w:rsidRPr="00F542DE" w:rsidRDefault="004A27B7" w:rsidP="00E35FB3">
      <w:pPr>
        <w:pStyle w:val="2"/>
        <w:spacing w:beforeLines="50" w:before="228"/>
        <w:ind w:left="1020" w:hanging="680"/>
      </w:pPr>
      <w:bookmarkStart w:id="51" w:name="_Toc30496463"/>
      <w:r w:rsidRPr="00F542DE">
        <w:rPr>
          <w:rFonts w:hint="eastAsia"/>
          <w:b/>
        </w:rPr>
        <w:t>國發會為帶動國內投資能量，規劃由政府結合民間力量，成立民營公司台杉投顧，期發揮</w:t>
      </w:r>
      <w:r w:rsidR="002E2A15" w:rsidRPr="00F542DE">
        <w:rPr>
          <w:rFonts w:hint="eastAsia"/>
          <w:b/>
        </w:rPr>
        <w:t>經</w:t>
      </w:r>
      <w:r w:rsidRPr="00F542DE">
        <w:rPr>
          <w:rFonts w:hint="eastAsia"/>
          <w:b/>
        </w:rPr>
        <w:t>營彈性，累積</w:t>
      </w:r>
      <w:r w:rsidRPr="00F542DE">
        <w:rPr>
          <w:rFonts w:hint="eastAsia"/>
          <w:b/>
        </w:rPr>
        <w:lastRenderedPageBreak/>
        <w:t>專業投資能量，並促成投資國內五大創新產業，以驅動我國產業成長動能，相關規劃</w:t>
      </w:r>
      <w:r w:rsidRPr="00F542DE">
        <w:rPr>
          <w:rFonts w:hint="eastAsia"/>
          <w:b/>
          <w:shd w:val="clear" w:color="auto" w:fill="FFFFFF" w:themeFill="background1"/>
        </w:rPr>
        <w:t>尚</w:t>
      </w:r>
      <w:r w:rsidR="002E2A15" w:rsidRPr="00F542DE">
        <w:rPr>
          <w:rFonts w:hint="eastAsia"/>
          <w:b/>
          <w:shd w:val="clear" w:color="auto" w:fill="FFFFFF" w:themeFill="background1"/>
        </w:rPr>
        <w:t>無</w:t>
      </w:r>
      <w:r w:rsidRPr="00F542DE">
        <w:rPr>
          <w:rFonts w:hint="eastAsia"/>
          <w:b/>
          <w:shd w:val="clear" w:color="auto" w:fill="FFFFFF" w:themeFill="background1"/>
        </w:rPr>
        <w:t>不妥</w:t>
      </w:r>
      <w:r w:rsidRPr="00F542DE">
        <w:rPr>
          <w:rFonts w:hint="eastAsia"/>
          <w:b/>
        </w:rPr>
        <w:t>，然</w:t>
      </w:r>
      <w:r w:rsidR="00881C36" w:rsidRPr="00F542DE">
        <w:rPr>
          <w:rFonts w:hint="eastAsia"/>
          <w:b/>
        </w:rPr>
        <w:t>國發會將</w:t>
      </w:r>
      <w:r w:rsidRPr="00F542DE">
        <w:rPr>
          <w:rFonts w:hint="eastAsia"/>
          <w:b/>
        </w:rPr>
        <w:t>台杉投顧</w:t>
      </w:r>
      <w:r w:rsidR="00D02609" w:rsidRPr="00F542DE">
        <w:rPr>
          <w:rFonts w:hint="eastAsia"/>
          <w:b/>
        </w:rPr>
        <w:t>經營模式</w:t>
      </w:r>
      <w:r w:rsidR="00F96699" w:rsidRPr="00F542DE">
        <w:rPr>
          <w:rFonts w:hint="eastAsia"/>
          <w:b/>
        </w:rPr>
        <w:t>設計為民營方式，</w:t>
      </w:r>
      <w:r w:rsidR="00D02609" w:rsidRPr="00F542DE">
        <w:rPr>
          <w:rFonts w:hint="eastAsia"/>
          <w:b/>
        </w:rPr>
        <w:t>民股係以政府可實質控制之創新公司擔任，</w:t>
      </w:r>
      <w:r w:rsidR="00F96699" w:rsidRPr="00F542DE">
        <w:rPr>
          <w:rFonts w:hint="eastAsia"/>
          <w:b/>
        </w:rPr>
        <w:t>並選任逾半之自然人擔任董事，</w:t>
      </w:r>
      <w:r w:rsidRPr="00F542DE">
        <w:rPr>
          <w:rFonts w:hint="eastAsia"/>
          <w:b/>
        </w:rPr>
        <w:t>致董事長、總經理等高階管理人員無須接受立法院</w:t>
      </w:r>
      <w:r w:rsidR="00D02609" w:rsidRPr="00F542DE">
        <w:rPr>
          <w:rFonts w:hint="eastAsia"/>
          <w:b/>
        </w:rPr>
        <w:t>等</w:t>
      </w:r>
      <w:r w:rsidR="00B82454" w:rsidRPr="00F542DE">
        <w:rPr>
          <w:rFonts w:hint="eastAsia"/>
          <w:b/>
          <w:lang w:eastAsia="zh-HK"/>
        </w:rPr>
        <w:t>之</w:t>
      </w:r>
      <w:r w:rsidR="00D02609" w:rsidRPr="00F542DE">
        <w:rPr>
          <w:rFonts w:hint="eastAsia"/>
          <w:b/>
        </w:rPr>
        <w:t>外部</w:t>
      </w:r>
      <w:r w:rsidRPr="00F542DE">
        <w:rPr>
          <w:rFonts w:hint="eastAsia"/>
          <w:b/>
        </w:rPr>
        <w:t>監督，</w:t>
      </w:r>
      <w:r w:rsidR="00D02609" w:rsidRPr="00F542DE">
        <w:rPr>
          <w:rFonts w:hint="eastAsia"/>
          <w:b/>
        </w:rPr>
        <w:t>並引發社會</w:t>
      </w:r>
      <w:r w:rsidR="00434033" w:rsidRPr="00F542DE">
        <w:rPr>
          <w:rFonts w:hint="eastAsia"/>
          <w:b/>
        </w:rPr>
        <w:t>質疑</w:t>
      </w:r>
      <w:r w:rsidR="00D02609" w:rsidRPr="00F542DE">
        <w:rPr>
          <w:rFonts w:hint="eastAsia"/>
          <w:b/>
        </w:rPr>
        <w:t>政府投入資金之流向與運用、投資績效與獎懲事項之合理性等，欠缺外部監督機制</w:t>
      </w:r>
      <w:r w:rsidR="00447763" w:rsidRPr="00F542DE">
        <w:rPr>
          <w:rFonts w:hint="eastAsia"/>
          <w:b/>
        </w:rPr>
        <w:t>，造成黑箱，有</w:t>
      </w:r>
      <w:r w:rsidR="004A51EE" w:rsidRPr="00F542DE">
        <w:rPr>
          <w:rFonts w:hint="eastAsia"/>
          <w:b/>
          <w:shd w:val="clear" w:color="auto" w:fill="FFFFFF" w:themeFill="background1"/>
        </w:rPr>
        <w:t>規</w:t>
      </w:r>
      <w:r w:rsidRPr="00F542DE">
        <w:rPr>
          <w:rFonts w:hint="eastAsia"/>
          <w:b/>
        </w:rPr>
        <w:t>避監督及假民營</w:t>
      </w:r>
      <w:r w:rsidR="009D261A" w:rsidRPr="00F542DE">
        <w:rPr>
          <w:rFonts w:hint="eastAsia"/>
          <w:b/>
        </w:rPr>
        <w:t>之</w:t>
      </w:r>
      <w:r w:rsidR="00434033" w:rsidRPr="00F542DE">
        <w:rPr>
          <w:rFonts w:hint="eastAsia"/>
          <w:b/>
        </w:rPr>
        <w:t>情事</w:t>
      </w:r>
      <w:r w:rsidRPr="00F542DE">
        <w:rPr>
          <w:rFonts w:hint="eastAsia"/>
          <w:b/>
        </w:rPr>
        <w:t>，</w:t>
      </w:r>
      <w:r w:rsidRPr="00F542DE">
        <w:rPr>
          <w:rFonts w:hint="eastAsia"/>
          <w:b/>
          <w:szCs w:val="32"/>
        </w:rPr>
        <w:t>顯有未</w:t>
      </w:r>
      <w:r w:rsidR="007374D2" w:rsidRPr="00F542DE">
        <w:rPr>
          <w:rFonts w:hint="eastAsia"/>
          <w:b/>
          <w:szCs w:val="32"/>
        </w:rPr>
        <w:t>當</w:t>
      </w:r>
      <w:r w:rsidR="00447763" w:rsidRPr="00F542DE">
        <w:rPr>
          <w:rFonts w:hint="eastAsia"/>
          <w:b/>
          <w:szCs w:val="32"/>
        </w:rPr>
        <w:t>。且創新公司雖為持股逾半之第一大股東，卻因配合</w:t>
      </w:r>
      <w:r w:rsidR="00447763" w:rsidRPr="00F542DE">
        <w:rPr>
          <w:rFonts w:hint="eastAsia"/>
          <w:b/>
          <w:szCs w:val="32"/>
          <w:shd w:val="clear" w:color="auto" w:fill="FFFFFF" w:themeFill="background1"/>
        </w:rPr>
        <w:t>政府政策，未指派法人董事，形同放棄股東權益，引起社會</w:t>
      </w:r>
      <w:r w:rsidR="00A93854" w:rsidRPr="00F542DE">
        <w:rPr>
          <w:rFonts w:hint="eastAsia"/>
          <w:b/>
          <w:szCs w:val="32"/>
          <w:shd w:val="clear" w:color="auto" w:fill="FFFFFF" w:themeFill="background1"/>
        </w:rPr>
        <w:t>質疑</w:t>
      </w:r>
      <w:r w:rsidR="00447763" w:rsidRPr="00F542DE">
        <w:rPr>
          <w:rFonts w:hint="eastAsia"/>
          <w:b/>
          <w:shd w:val="clear" w:color="auto" w:fill="FFFFFF" w:themeFill="background1"/>
        </w:rPr>
        <w:t>涉有背信之</w:t>
      </w:r>
      <w:r w:rsidR="00A93854" w:rsidRPr="00F542DE">
        <w:rPr>
          <w:rFonts w:hint="eastAsia"/>
          <w:b/>
          <w:shd w:val="clear" w:color="auto" w:fill="FFFFFF" w:themeFill="background1"/>
        </w:rPr>
        <w:t>虞</w:t>
      </w:r>
      <w:r w:rsidR="00447763" w:rsidRPr="00F542DE">
        <w:rPr>
          <w:rFonts w:hint="eastAsia"/>
          <w:b/>
          <w:shd w:val="clear" w:color="auto" w:fill="FFFFFF" w:themeFill="background1"/>
        </w:rPr>
        <w:t>。</w:t>
      </w:r>
      <w:r w:rsidRPr="00F542DE">
        <w:rPr>
          <w:rFonts w:hint="eastAsia"/>
          <w:b/>
          <w:szCs w:val="32"/>
          <w:shd w:val="clear" w:color="auto" w:fill="FFFFFF" w:themeFill="background1"/>
        </w:rPr>
        <w:t>政府允以本案為戒，審慎考量主導設立公民營公司時所採用之架構，</w:t>
      </w:r>
      <w:r w:rsidR="004E72C6" w:rsidRPr="00F542DE">
        <w:rPr>
          <w:rFonts w:hint="eastAsia"/>
          <w:b/>
          <w:szCs w:val="32"/>
          <w:shd w:val="clear" w:color="auto" w:fill="FFFFFF" w:themeFill="background1"/>
        </w:rPr>
        <w:t>俾</w:t>
      </w:r>
      <w:r w:rsidR="00434033" w:rsidRPr="00F542DE">
        <w:rPr>
          <w:rFonts w:hint="eastAsia"/>
          <w:b/>
          <w:szCs w:val="32"/>
          <w:shd w:val="clear" w:color="auto" w:fill="FFFFFF" w:themeFill="background1"/>
        </w:rPr>
        <w:t>於</w:t>
      </w:r>
      <w:r w:rsidRPr="00F542DE">
        <w:rPr>
          <w:rFonts w:hint="eastAsia"/>
          <w:b/>
          <w:szCs w:val="32"/>
          <w:shd w:val="clear" w:color="auto" w:fill="FFFFFF" w:themeFill="background1"/>
        </w:rPr>
        <w:t>企</w:t>
      </w:r>
      <w:r w:rsidRPr="00F542DE">
        <w:rPr>
          <w:rFonts w:hint="eastAsia"/>
          <w:b/>
          <w:szCs w:val="32"/>
        </w:rPr>
        <w:t>業彈性與立法院</w:t>
      </w:r>
      <w:r w:rsidR="00447763" w:rsidRPr="00F542DE">
        <w:rPr>
          <w:rFonts w:hint="eastAsia"/>
          <w:b/>
          <w:szCs w:val="32"/>
        </w:rPr>
        <w:t>等外部</w:t>
      </w:r>
      <w:r w:rsidRPr="00F542DE">
        <w:rPr>
          <w:rFonts w:hint="eastAsia"/>
          <w:b/>
          <w:szCs w:val="32"/>
        </w:rPr>
        <w:t>監督</w:t>
      </w:r>
      <w:r w:rsidR="00447763" w:rsidRPr="00F542DE">
        <w:rPr>
          <w:rFonts w:hint="eastAsia"/>
          <w:b/>
          <w:szCs w:val="32"/>
        </w:rPr>
        <w:t>檢視機制</w:t>
      </w:r>
      <w:r w:rsidRPr="00F542DE">
        <w:rPr>
          <w:rFonts w:hint="eastAsia"/>
          <w:b/>
          <w:szCs w:val="32"/>
        </w:rPr>
        <w:t>間取得平衡，</w:t>
      </w:r>
      <w:r w:rsidR="00DF6BF3" w:rsidRPr="00F542DE">
        <w:rPr>
          <w:rFonts w:hint="eastAsia"/>
          <w:b/>
          <w:szCs w:val="32"/>
        </w:rPr>
        <w:t>以</w:t>
      </w:r>
      <w:r w:rsidRPr="00F542DE">
        <w:rPr>
          <w:rFonts w:hint="eastAsia"/>
          <w:b/>
          <w:szCs w:val="32"/>
        </w:rPr>
        <w:t>制定可以長久</w:t>
      </w:r>
      <w:r w:rsidR="00D93D00" w:rsidRPr="00F542DE">
        <w:rPr>
          <w:rFonts w:hint="eastAsia"/>
          <w:b/>
          <w:szCs w:val="32"/>
        </w:rPr>
        <w:t>之</w:t>
      </w:r>
      <w:r w:rsidRPr="00F542DE">
        <w:rPr>
          <w:rFonts w:hint="eastAsia"/>
          <w:b/>
          <w:szCs w:val="32"/>
        </w:rPr>
        <w:t>運作態樣。</w:t>
      </w:r>
      <w:bookmarkEnd w:id="51"/>
    </w:p>
    <w:p w:rsidR="00064E50" w:rsidRPr="00F542DE" w:rsidRDefault="00064E50" w:rsidP="005A58B1">
      <w:pPr>
        <w:pStyle w:val="3"/>
      </w:pPr>
      <w:bookmarkStart w:id="52" w:name="_Toc24448115"/>
      <w:bookmarkStart w:id="53" w:name="_Toc29903186"/>
      <w:bookmarkStart w:id="54" w:name="_Toc30496464"/>
      <w:r w:rsidRPr="00F542DE">
        <w:rPr>
          <w:rFonts w:hint="eastAsia"/>
        </w:rPr>
        <w:t>查國發會為</w:t>
      </w:r>
      <w:r w:rsidR="007374D2" w:rsidRPr="00F542DE">
        <w:rPr>
          <w:rFonts w:hint="eastAsia"/>
        </w:rPr>
        <w:t>研議</w:t>
      </w:r>
      <w:r w:rsidRPr="00F542DE">
        <w:rPr>
          <w:rFonts w:hint="eastAsia"/>
        </w:rPr>
        <w:t>設置國家級投資公司</w:t>
      </w:r>
      <w:r w:rsidR="007374D2" w:rsidRPr="00F542DE">
        <w:rPr>
          <w:rFonts w:hint="eastAsia"/>
        </w:rPr>
        <w:t>之</w:t>
      </w:r>
      <w:r w:rsidRPr="00F542DE">
        <w:rPr>
          <w:rFonts w:hint="eastAsia"/>
        </w:rPr>
        <w:t>執行情形，略以：</w:t>
      </w:r>
      <w:bookmarkEnd w:id="52"/>
      <w:bookmarkEnd w:id="53"/>
      <w:bookmarkEnd w:id="54"/>
    </w:p>
    <w:p w:rsidR="00064E50" w:rsidRPr="00F542DE" w:rsidRDefault="00064E50" w:rsidP="005A58B1">
      <w:pPr>
        <w:pStyle w:val="4"/>
      </w:pPr>
      <w:r w:rsidRPr="00F542DE">
        <w:rPr>
          <w:rFonts w:hint="eastAsia"/>
        </w:rPr>
        <w:t>國發會前委託台灣金融研訓院就「我國成立主權基金之可行性」(計畫期間104年11月25日至105年9月24日)進行研究，該研究結案報告中建</w:t>
      </w:r>
      <w:r w:rsidRPr="00F542DE">
        <w:rPr>
          <w:rFonts w:hAnsi="標楷體" w:hint="eastAsia"/>
        </w:rPr>
        <w:t>議：</w:t>
      </w:r>
    </w:p>
    <w:p w:rsidR="00064E50" w:rsidRPr="00F542DE" w:rsidRDefault="00064E50" w:rsidP="005A58B1">
      <w:pPr>
        <w:pStyle w:val="5"/>
      </w:pPr>
      <w:r w:rsidRPr="00F542DE">
        <w:rPr>
          <w:rFonts w:hint="eastAsia"/>
        </w:rPr>
        <w:t>「中長期而言，仍應考慮成立國家級投資公司</w:t>
      </w:r>
      <w:r w:rsidRPr="00F542DE">
        <w:rPr>
          <w:rFonts w:hAnsi="標楷體"/>
        </w:rPr>
        <w:t>……</w:t>
      </w:r>
      <w:r w:rsidRPr="00F542DE">
        <w:rPr>
          <w:rFonts w:hAnsi="標楷體" w:hint="eastAsia"/>
        </w:rPr>
        <w:t>兼顧</w:t>
      </w:r>
      <w:r w:rsidRPr="00F542DE">
        <w:rPr>
          <w:rFonts w:hint="eastAsia"/>
        </w:rPr>
        <w:t>我國財政現況編列預算，並搭配若干民間資金。」</w:t>
      </w:r>
    </w:p>
    <w:p w:rsidR="00064E50" w:rsidRPr="00F542DE" w:rsidRDefault="00064E50" w:rsidP="005A58B1">
      <w:pPr>
        <w:pStyle w:val="5"/>
      </w:pPr>
      <w:r w:rsidRPr="00F542DE">
        <w:rPr>
          <w:rFonts w:hint="eastAsia"/>
        </w:rPr>
        <w:t>國家級投資公司宜採官民合資，且政府持股不過半，但須為最大股東，除促進國內長期投資及導引游資等考量外，政府出資</w:t>
      </w:r>
      <w:r w:rsidR="00E16B10" w:rsidRPr="00F542DE">
        <w:rPr>
          <w:rFonts w:hint="eastAsia"/>
        </w:rPr>
        <w:t>不</w:t>
      </w:r>
      <w:r w:rsidRPr="00F542DE">
        <w:rPr>
          <w:rFonts w:hint="eastAsia"/>
        </w:rPr>
        <w:t>過半，則不受國營事業管理法規範，於聘用人事與薪給制度皆有較大空間，有益於延攬國際專業人才，組成陣容堅強的投資管理團隊。考量國家級投資公司尚須肩負策略性投資的任務，因此政府出資雖未過半，仍應為最大股東。</w:t>
      </w:r>
    </w:p>
    <w:p w:rsidR="00064E50" w:rsidRPr="00F542DE" w:rsidRDefault="00064E50" w:rsidP="005A58B1">
      <w:pPr>
        <w:pStyle w:val="4"/>
      </w:pPr>
      <w:r w:rsidRPr="00F542DE">
        <w:rPr>
          <w:rFonts w:hint="eastAsia"/>
        </w:rPr>
        <w:lastRenderedPageBreak/>
        <w:t>國發會於105年6月赴立法院第9屆第1會期經濟委員會進行業務報告時表示</w:t>
      </w:r>
      <w:r w:rsidR="00E16B10" w:rsidRPr="00F542DE">
        <w:rPr>
          <w:rFonts w:hAnsi="標楷體" w:hint="eastAsia"/>
        </w:rPr>
        <w:t>：</w:t>
      </w:r>
      <w:r w:rsidRPr="00F542DE">
        <w:rPr>
          <w:rFonts w:ascii="新細明體" w:eastAsia="新細明體" w:hAnsi="新細明體" w:hint="eastAsia"/>
        </w:rPr>
        <w:t>「</w:t>
      </w:r>
      <w:r w:rsidRPr="00F542DE">
        <w:rPr>
          <w:rFonts w:hint="eastAsia"/>
        </w:rPr>
        <w:t>國家級投資貿易公司初步規劃公司資本額為新臺幣(下同)100億元，將採公私合營方式，總公司將設立於臺灣，並在海外主要市場設立分支機構。股東組成涵蓋國發基金、國營企業、政府特種基金，以及國內企業、外國大貿易商，其中，政府投資比重低於50%，但具經營主導權，以利推動相關政策。</w:t>
      </w:r>
      <w:r w:rsidRPr="00F542DE">
        <w:rPr>
          <w:rFonts w:hAnsi="標楷體" w:hint="eastAsia"/>
        </w:rPr>
        <w:t>」</w:t>
      </w:r>
    </w:p>
    <w:p w:rsidR="00064E50" w:rsidRPr="00F542DE" w:rsidRDefault="00064E50" w:rsidP="005A58B1">
      <w:pPr>
        <w:pStyle w:val="4"/>
      </w:pPr>
      <w:r w:rsidRPr="00F542DE">
        <w:rPr>
          <w:rFonts w:hint="eastAsia"/>
        </w:rPr>
        <w:t>前行政院院長林全於</w:t>
      </w:r>
      <w:r w:rsidR="00E16B10" w:rsidRPr="00F542DE">
        <w:rPr>
          <w:rFonts w:hint="eastAsia"/>
        </w:rPr>
        <w:t>105</w:t>
      </w:r>
      <w:r w:rsidRPr="00F542DE">
        <w:rPr>
          <w:rFonts w:hint="eastAsia"/>
        </w:rPr>
        <w:t>年9月1日主持「國家級投資公司規劃草案研商會議」，邀集財經部會首長及相關政務委員就國發會所報規劃草案</w:t>
      </w:r>
      <w:r w:rsidR="0088355D" w:rsidRPr="00F542DE">
        <w:rPr>
          <w:rFonts w:hint="eastAsia"/>
        </w:rPr>
        <w:t>進行研商，</w:t>
      </w:r>
      <w:r w:rsidR="00947CDA" w:rsidRPr="00F542DE">
        <w:rPr>
          <w:rFonts w:hint="eastAsia"/>
        </w:rPr>
        <w:t>該</w:t>
      </w:r>
      <w:r w:rsidR="0088355D" w:rsidRPr="00F542DE">
        <w:rPr>
          <w:rFonts w:hint="eastAsia"/>
        </w:rPr>
        <w:t>草案規劃略以</w:t>
      </w:r>
      <w:r w:rsidRPr="00F542DE">
        <w:rPr>
          <w:rFonts w:hint="eastAsia"/>
        </w:rPr>
        <w:t>：</w:t>
      </w:r>
    </w:p>
    <w:p w:rsidR="00064E50" w:rsidRPr="00F542DE" w:rsidRDefault="00064E50" w:rsidP="005A58B1">
      <w:pPr>
        <w:pStyle w:val="5"/>
      </w:pPr>
      <w:r w:rsidRPr="00F542DE">
        <w:rPr>
          <w:rFonts w:hint="eastAsia"/>
        </w:rPr>
        <w:t>為帶動國內投資能量，提升經濟成長動能，規劃由政府結合民間力量，成立國家級投資公司，促成投資國內五大創新產業，以驅動臺灣產業成長動能，為臺灣經濟注入活水。</w:t>
      </w:r>
    </w:p>
    <w:p w:rsidR="00064E50" w:rsidRPr="00F542DE" w:rsidRDefault="00064E50" w:rsidP="005A58B1">
      <w:pPr>
        <w:pStyle w:val="5"/>
      </w:pPr>
      <w:r w:rsidRPr="00F542DE">
        <w:rPr>
          <w:rFonts w:hint="eastAsia"/>
        </w:rPr>
        <w:t>國家級投資公司採民營企業組織型態運作，遴聘知名民間專業投資人組成經營團隊，以發揮彈性運作並累積專業投資能量。公司將聘請民間產業界具威望人士組成董事會，訂定相關投資策略，以確保投資布局符合國家產業政策方向。</w:t>
      </w:r>
    </w:p>
    <w:p w:rsidR="00CC0B32" w:rsidRPr="00F542DE" w:rsidRDefault="0088355D" w:rsidP="005A58B1">
      <w:pPr>
        <w:pStyle w:val="5"/>
        <w:numPr>
          <w:ilvl w:val="0"/>
          <w:numId w:val="0"/>
        </w:numPr>
        <w:ind w:left="1701" w:firstLineChars="208" w:firstLine="708"/>
      </w:pPr>
      <w:r w:rsidRPr="00F542DE">
        <w:rPr>
          <w:rFonts w:hint="eastAsia"/>
        </w:rPr>
        <w:t>該次</w:t>
      </w:r>
      <w:r w:rsidR="00064E50" w:rsidRPr="00F542DE">
        <w:rPr>
          <w:rFonts w:hint="eastAsia"/>
        </w:rPr>
        <w:t>會議結論略以：</w:t>
      </w:r>
      <w:r w:rsidR="00064E50" w:rsidRPr="00F542DE">
        <w:rPr>
          <w:rFonts w:ascii="新細明體" w:eastAsia="新細明體" w:hAnsi="新細明體" w:hint="eastAsia"/>
        </w:rPr>
        <w:t>「</w:t>
      </w:r>
      <w:r w:rsidR="00064E50" w:rsidRPr="00F542DE">
        <w:rPr>
          <w:rFonts w:hint="eastAsia"/>
        </w:rPr>
        <w:t>原則同意本案規劃方向。請國發會針對管理顧問公司架構、創業投資事業架構再行研議調整，以提升投資效益及募資功能；另規劃內容請進一步徵詢新創相關業者意見，俾使本案更臻周延。</w:t>
      </w:r>
      <w:r w:rsidR="00064E50" w:rsidRPr="00F542DE">
        <w:rPr>
          <w:rFonts w:hAnsi="標楷體" w:hint="eastAsia"/>
        </w:rPr>
        <w:t>」</w:t>
      </w:r>
    </w:p>
    <w:p w:rsidR="00064E50" w:rsidRPr="00F542DE" w:rsidRDefault="00064E50" w:rsidP="005A58B1">
      <w:pPr>
        <w:pStyle w:val="4"/>
      </w:pPr>
      <w:r w:rsidRPr="00F542DE">
        <w:rPr>
          <w:rFonts w:hint="eastAsia"/>
        </w:rPr>
        <w:t>國發會前主任委員陳添枝於106年5月9日簽陳行政院同意成立國家級投資公司案</w:t>
      </w:r>
      <w:r w:rsidR="00975153" w:rsidRPr="00F542DE">
        <w:rPr>
          <w:rFonts w:hint="eastAsia"/>
        </w:rPr>
        <w:t>略以</w:t>
      </w:r>
      <w:r w:rsidRPr="00F542DE">
        <w:rPr>
          <w:rFonts w:hint="eastAsia"/>
        </w:rPr>
        <w:t>：</w:t>
      </w:r>
    </w:p>
    <w:p w:rsidR="00064E50" w:rsidRPr="00F542DE" w:rsidRDefault="00064E50" w:rsidP="005A58B1">
      <w:pPr>
        <w:pStyle w:val="5"/>
      </w:pPr>
      <w:r w:rsidRPr="00F542DE">
        <w:rPr>
          <w:rFonts w:hint="eastAsia"/>
        </w:rPr>
        <w:t>國發會規劃募集5+2產業投資基金，預計募集</w:t>
      </w:r>
      <w:r w:rsidRPr="00F542DE">
        <w:rPr>
          <w:rFonts w:hint="eastAsia"/>
        </w:rPr>
        <w:lastRenderedPageBreak/>
        <w:t>規模100億元以上，期協助我國企業取得發展所需資金，並透過專業基金管理人及產業、技術、財務、行銷等投資人才協助，厚植國內企業國際競爭力。</w:t>
      </w:r>
    </w:p>
    <w:p w:rsidR="00064E50" w:rsidRPr="00F542DE" w:rsidRDefault="00064E50" w:rsidP="005A58B1">
      <w:pPr>
        <w:pStyle w:val="5"/>
      </w:pPr>
      <w:r w:rsidRPr="00F542DE">
        <w:rPr>
          <w:rFonts w:hint="eastAsia"/>
        </w:rPr>
        <w:t>國發基金參與投資國家級投資公司40%股權，未來參與投資國家級投資公司募集之5+2產業創新投資基金之投資、投資比率得以40%為上限且每檔基金投資不超過20億元。</w:t>
      </w:r>
    </w:p>
    <w:p w:rsidR="00064E50" w:rsidRPr="00F542DE" w:rsidRDefault="00064E50" w:rsidP="005A58B1">
      <w:pPr>
        <w:pStyle w:val="6"/>
        <w:numPr>
          <w:ilvl w:val="0"/>
          <w:numId w:val="0"/>
        </w:numPr>
        <w:tabs>
          <w:tab w:val="clear" w:pos="2094"/>
          <w:tab w:val="left" w:pos="1701"/>
        </w:tabs>
        <w:ind w:left="1701" w:firstLineChars="208" w:firstLine="708"/>
      </w:pPr>
      <w:r w:rsidRPr="00F542DE">
        <w:rPr>
          <w:rFonts w:hint="eastAsia"/>
        </w:rPr>
        <w:t>該案送經行政院經濟能源農業處處長廖耀宗、副秘書長宋餘俠及前秘書長陳美伶後，轉陳該院前副院長林錫耀，嗣經前院長林全於106年5月12日批「可」。</w:t>
      </w:r>
    </w:p>
    <w:p w:rsidR="00447763" w:rsidRPr="00F542DE" w:rsidRDefault="00447763" w:rsidP="00454C18">
      <w:pPr>
        <w:pStyle w:val="3"/>
      </w:pPr>
      <w:bookmarkStart w:id="55" w:name="_Toc29903187"/>
      <w:bookmarkStart w:id="56" w:name="_Toc30496465"/>
      <w:bookmarkStart w:id="57" w:name="_Toc24448112"/>
      <w:bookmarkStart w:id="58" w:name="_Toc24448116"/>
      <w:r w:rsidRPr="00F542DE">
        <w:rPr>
          <w:rFonts w:hint="eastAsia"/>
        </w:rPr>
        <w:t>再查創新公司為台杉投顧第一大股東，持股比率達59.5%，係工研院100%投資所成立之衍生公司，屬民營公司。然依據創新公司108年1月25日函請台杉投顧對於立法院主決議文及應辦理事項，要求該公司應依據股權比率選任台杉投顧董事席位，請台杉投顧依據</w:t>
      </w:r>
      <w:r w:rsidR="00166C17" w:rsidRPr="00F542DE">
        <w:rPr>
          <w:rFonts w:hAnsi="標楷體" w:hint="eastAsia"/>
        </w:rPr>
        <w:t>「</w:t>
      </w:r>
      <w:r w:rsidRPr="00F542DE">
        <w:rPr>
          <w:rFonts w:hint="eastAsia"/>
        </w:rPr>
        <w:t>公司法</w:t>
      </w:r>
      <w:r w:rsidR="00166C17" w:rsidRPr="00F542DE">
        <w:rPr>
          <w:rFonts w:hAnsi="標楷體" w:hint="eastAsia"/>
        </w:rPr>
        <w:t>」</w:t>
      </w:r>
      <w:r w:rsidRPr="00F542DE">
        <w:rPr>
          <w:rFonts w:hint="eastAsia"/>
        </w:rPr>
        <w:t>召開股東會配合辦理，並於該函說明二提及「立法院108年1月主決議文『要求經濟部責成工研院創新工業技術移轉公司投資台杉，應依股權比例派任董事。』本公司須依此決議文嚴謹執行」且本院就本案詢問相關主管機關，經濟部亦指派工研院副院長亦為創新公司董事張培仁到院備詢。另依據「工業技術研究院設置條例」第6條規定：「本院置董事11至15人，其中1人為董事長，均由行政院院長就左列人員遴聘之……」及「工業技術研究院衍生機構設立及監督管理辦法」第6條規定「衍生機構之控制權與管理權分離原則」：「對本院持股達實收股本50%以上之衍生機構，本院以指派法人代表並取得衍生機構過半數之董監事席位</w:t>
      </w:r>
      <w:r w:rsidRPr="00F542DE">
        <w:rPr>
          <w:rFonts w:hint="eastAsia"/>
        </w:rPr>
        <w:lastRenderedPageBreak/>
        <w:t>為原則。但基於尊重專業治理，除本辦法與其他規章或契約有特別規定者外，本院不參與衍生機構之經營管理。」是以，工研院董事均由行政院遴聘，創新公司之董監事亦由工研院指派。爰政府可透過董事之指派，實質控制創新公司，創新公司亦間接接受本院及立法院之監督。</w:t>
      </w:r>
      <w:bookmarkEnd w:id="55"/>
      <w:bookmarkEnd w:id="56"/>
    </w:p>
    <w:p w:rsidR="00077178" w:rsidRPr="00F542DE" w:rsidRDefault="00077178" w:rsidP="00454C18">
      <w:pPr>
        <w:pStyle w:val="3"/>
      </w:pPr>
      <w:bookmarkStart w:id="59" w:name="_Toc29903188"/>
      <w:bookmarkStart w:id="60" w:name="_Toc30496466"/>
      <w:r w:rsidRPr="00F542DE">
        <w:rPr>
          <w:rFonts w:hint="eastAsia"/>
        </w:rPr>
        <w:t>創新公司</w:t>
      </w:r>
      <w:r w:rsidR="00044D2C" w:rsidRPr="00F542DE">
        <w:rPr>
          <w:rFonts w:hint="eastAsia"/>
        </w:rPr>
        <w:t>投資台杉投顧進行評估</w:t>
      </w:r>
      <w:r w:rsidRPr="00F542DE">
        <w:rPr>
          <w:rFonts w:hint="eastAsia"/>
        </w:rPr>
        <w:t>時，即表示可能面對之問題有：</w:t>
      </w:r>
      <w:r w:rsidRPr="00F542DE">
        <w:rPr>
          <w:rFonts w:ascii="新細明體" w:eastAsia="新細明體" w:hAnsi="新細明體" w:hint="eastAsia"/>
        </w:rPr>
        <w:t>「</w:t>
      </w:r>
      <w:r w:rsidRPr="00F542DE">
        <w:rPr>
          <w:rFonts w:hint="eastAsia"/>
        </w:rPr>
        <w:t>不知國家級投資公司期望創新公司在對外募資上扮演何種角色</w:t>
      </w:r>
      <w:r w:rsidRPr="00F542DE">
        <w:rPr>
          <w:rFonts w:hAnsi="標楷體" w:hint="eastAsia"/>
        </w:rPr>
        <w:t>」</w:t>
      </w:r>
      <w:r w:rsidRPr="00F542DE">
        <w:rPr>
          <w:rFonts w:hint="eastAsia"/>
        </w:rPr>
        <w:t>、</w:t>
      </w:r>
      <w:r w:rsidRPr="00F542DE">
        <w:rPr>
          <w:rFonts w:ascii="新細明體" w:eastAsia="新細明體" w:hAnsi="新細明體" w:hint="eastAsia"/>
        </w:rPr>
        <w:t>「</w:t>
      </w:r>
      <w:r w:rsidRPr="00F542DE">
        <w:rPr>
          <w:rFonts w:hint="eastAsia"/>
        </w:rPr>
        <w:t>國家級投資公司是新政府推動5+2政策的重要配套，或有立法委員問政關切之可能性，惟判斷主要應由國家級投資公司之董事長、執行長、政府派任在該公司的董事代表承擔答詢之責。</w:t>
      </w:r>
      <w:r w:rsidRPr="00F542DE">
        <w:rPr>
          <w:rFonts w:hAnsi="標楷體" w:hint="eastAsia"/>
        </w:rPr>
        <w:t>」且經濟部函復本院</w:t>
      </w:r>
      <w:r w:rsidRPr="00F542DE">
        <w:rPr>
          <w:rStyle w:val="aff1"/>
        </w:rPr>
        <w:footnoteReference w:id="5"/>
      </w:r>
      <w:r w:rsidRPr="00F542DE">
        <w:rPr>
          <w:rFonts w:hAnsi="標楷體" w:hint="eastAsia"/>
        </w:rPr>
        <w:t>亦表示</w:t>
      </w:r>
      <w:r w:rsidRPr="00F542DE">
        <w:rPr>
          <w:rFonts w:ascii="新細明體" w:eastAsia="新細明體" w:hAnsi="新細明體" w:hint="eastAsia"/>
        </w:rPr>
        <w:t>「</w:t>
      </w:r>
      <w:r w:rsidRPr="00F542DE">
        <w:rPr>
          <w:rFonts w:ascii="新細明體" w:eastAsia="新細明體" w:hAnsi="新細明體"/>
        </w:rPr>
        <w:t>……</w:t>
      </w:r>
      <w:r w:rsidRPr="00F542DE">
        <w:rPr>
          <w:rFonts w:hAnsi="標楷體" w:hint="eastAsia"/>
        </w:rPr>
        <w:t>國發基金規劃該基金將扮演大股東監督者角色，已足以確保公司營運符合國家產業政策方向及公司治理規範。基於尊重專業，且國發基金已有監督，創新公司於提報該公司投審會時並無規劃參與其董監事。」顯示，國發基金係台杉投顧之主導人，然台杉投顧董事共計5人，其中國發基金指派2人，另3人為自然人董事，若依創新公司投資本案之宗旨，係配合國家政策，並由國發基金主導台杉投顧，然創新公司與國發基金持股比率已逾99%，已可完全主導台杉投顧之董事人選，</w:t>
      </w:r>
      <w:r w:rsidR="00044D2C" w:rsidRPr="00F542DE">
        <w:rPr>
          <w:rFonts w:hAnsi="標楷體" w:hint="eastAsia"/>
        </w:rPr>
        <w:t>理應以公股法人代表出任董事及董事長為常態，</w:t>
      </w:r>
      <w:r w:rsidR="00AC3100" w:rsidRPr="00F542DE">
        <w:rPr>
          <w:rFonts w:hAnsi="標楷體" w:hint="eastAsia"/>
        </w:rPr>
        <w:t>然</w:t>
      </w:r>
      <w:r w:rsidR="00044D2C" w:rsidRPr="00F542DE">
        <w:rPr>
          <w:rFonts w:hAnsi="標楷體" w:hint="eastAsia"/>
        </w:rPr>
        <w:t>卻在未與社會充分溝通下</w:t>
      </w:r>
      <w:r w:rsidR="00AC3100" w:rsidRPr="00F542DE">
        <w:rPr>
          <w:rFonts w:hAnsi="標楷體" w:hint="eastAsia"/>
        </w:rPr>
        <w:t>於</w:t>
      </w:r>
      <w:r w:rsidR="00AC3100" w:rsidRPr="00191639">
        <w:rPr>
          <w:rFonts w:hAnsi="標楷體" w:hint="eastAsia"/>
        </w:rPr>
        <w:t>106年8月18日</w:t>
      </w:r>
      <w:r w:rsidRPr="00F542DE">
        <w:rPr>
          <w:rFonts w:hAnsi="標楷體" w:hint="eastAsia"/>
        </w:rPr>
        <w:t>選任吳榮義董事長、黃日燦董事及楊育民董事等3席自然人董事，引發掏空國家資產之傳言，造成社會訾議</w:t>
      </w:r>
      <w:r w:rsidRPr="00F542DE">
        <w:rPr>
          <w:rFonts w:hint="eastAsia"/>
        </w:rPr>
        <w:t>，斲傷政府形象</w:t>
      </w:r>
      <w:r w:rsidR="00044D2C" w:rsidRPr="00F542DE">
        <w:rPr>
          <w:rFonts w:hAnsi="標楷體" w:hint="eastAsia"/>
        </w:rPr>
        <w:t>。又</w:t>
      </w:r>
      <w:r w:rsidR="003F4D87" w:rsidRPr="00F542DE">
        <w:rPr>
          <w:rFonts w:hAnsi="標楷體" w:hint="eastAsia"/>
        </w:rPr>
        <w:t>致</w:t>
      </w:r>
      <w:r w:rsidR="00044D2C" w:rsidRPr="00F542DE">
        <w:rPr>
          <w:rFonts w:hAnsi="標楷體" w:hint="eastAsia"/>
        </w:rPr>
        <w:lastRenderedPageBreak/>
        <w:t>工研院</w:t>
      </w:r>
      <w:r w:rsidR="003F4D87" w:rsidRPr="00F542DE">
        <w:rPr>
          <w:rFonts w:hAnsi="標楷體" w:hint="eastAsia"/>
        </w:rPr>
        <w:t>100%持股之創新公司因配合政府政策，持股過半，卻未派任董事，形同放棄對台杉投顧之法定</w:t>
      </w:r>
      <w:r w:rsidR="00AC3100" w:rsidRPr="00F542DE">
        <w:rPr>
          <w:rFonts w:hAnsi="標楷體" w:hint="eastAsia"/>
        </w:rPr>
        <w:t>權益</w:t>
      </w:r>
      <w:r w:rsidR="003F4D87" w:rsidRPr="00F542DE">
        <w:rPr>
          <w:rFonts w:hAnsi="標楷體" w:hint="eastAsia"/>
        </w:rPr>
        <w:t>，引發社會質疑有背信之虞，</w:t>
      </w:r>
      <w:r w:rsidRPr="00F542DE">
        <w:rPr>
          <w:rFonts w:hAnsi="標楷體" w:hint="eastAsia"/>
        </w:rPr>
        <w:t>實非妥適。雖台杉投顧已於108年9月17日召開臨時股東會，將上開3位自然人董事，改列為創新公司之法人董事代表，然國發會對於本案之相關規劃、評估及處置作為實應深切檢討。</w:t>
      </w:r>
      <w:bookmarkEnd w:id="57"/>
      <w:bookmarkEnd w:id="59"/>
      <w:bookmarkEnd w:id="60"/>
    </w:p>
    <w:p w:rsidR="00454C18" w:rsidRPr="00F542DE" w:rsidRDefault="00B12C4C" w:rsidP="00454C18">
      <w:pPr>
        <w:pStyle w:val="3"/>
      </w:pPr>
      <w:bookmarkStart w:id="61" w:name="_Toc24448117"/>
      <w:bookmarkStart w:id="62" w:name="_Toc29903189"/>
      <w:bookmarkStart w:id="63" w:name="_Toc30496467"/>
      <w:bookmarkEnd w:id="58"/>
      <w:r w:rsidRPr="00F542DE">
        <w:rPr>
          <w:rFonts w:hint="eastAsia"/>
        </w:rPr>
        <w:t>創新公司為配合國家政策，接受國發會之邀請，與</w:t>
      </w:r>
      <w:r w:rsidR="00454C18" w:rsidRPr="00F542DE">
        <w:rPr>
          <w:rFonts w:hint="eastAsia"/>
        </w:rPr>
        <w:t>國發基金(</w:t>
      </w:r>
      <w:r w:rsidRPr="00F542DE">
        <w:rPr>
          <w:rFonts w:hint="eastAsia"/>
        </w:rPr>
        <w:t>投資5,000萬元，</w:t>
      </w:r>
      <w:r w:rsidR="00454C18" w:rsidRPr="00F542DE">
        <w:rPr>
          <w:rFonts w:hint="eastAsia"/>
        </w:rPr>
        <w:t>持股39.7%)、臺灣銀行(</w:t>
      </w:r>
      <w:r w:rsidRPr="00F542DE">
        <w:rPr>
          <w:rFonts w:hint="eastAsia"/>
        </w:rPr>
        <w:t>投資100萬元，</w:t>
      </w:r>
      <w:r w:rsidR="00454C18" w:rsidRPr="00F542DE">
        <w:rPr>
          <w:rFonts w:hint="eastAsia"/>
        </w:rPr>
        <w:t>持股0.8%)</w:t>
      </w:r>
      <w:r w:rsidRPr="00F542DE">
        <w:rPr>
          <w:rFonts w:hint="eastAsia"/>
        </w:rPr>
        <w:t>合資成立台杉投顧</w:t>
      </w:r>
      <w:r w:rsidR="00454C18" w:rsidRPr="00F542DE">
        <w:rPr>
          <w:rFonts w:hint="eastAsia"/>
        </w:rPr>
        <w:t>，國發基金與臺灣銀行係屬公股，合計持股比率為40.5%，創新公司</w:t>
      </w:r>
      <w:r w:rsidRPr="00F542DE">
        <w:rPr>
          <w:rFonts w:hint="eastAsia"/>
        </w:rPr>
        <w:t>屬民營公司，投資7,500萬元，</w:t>
      </w:r>
      <w:r w:rsidR="00454C18" w:rsidRPr="00F542DE">
        <w:rPr>
          <w:rFonts w:hint="eastAsia"/>
        </w:rPr>
        <w:t>持股比率達59.5%，</w:t>
      </w:r>
      <w:r w:rsidRPr="00F542DE">
        <w:rPr>
          <w:rFonts w:hint="eastAsia"/>
        </w:rPr>
        <w:t>依其股權結構，</w:t>
      </w:r>
      <w:r w:rsidR="00454C18" w:rsidRPr="00F542DE">
        <w:rPr>
          <w:rFonts w:hint="eastAsia"/>
        </w:rPr>
        <w:t>台杉投顧為民營公司。</w:t>
      </w:r>
      <w:r w:rsidR="00BE3231" w:rsidRPr="00F542DE">
        <w:rPr>
          <w:rFonts w:hint="eastAsia"/>
        </w:rPr>
        <w:t>而</w:t>
      </w:r>
      <w:r w:rsidR="002524B2" w:rsidRPr="00F542DE">
        <w:rPr>
          <w:rFonts w:hint="eastAsia"/>
        </w:rPr>
        <w:t>創新公司雖為民營公司，實為政府可實質控制企業，惟本院及立法院並未能對</w:t>
      </w:r>
      <w:r w:rsidR="00166C17" w:rsidRPr="00F542DE">
        <w:rPr>
          <w:rFonts w:hint="eastAsia"/>
        </w:rPr>
        <w:t>台杉投顧</w:t>
      </w:r>
      <w:r w:rsidR="002524B2" w:rsidRPr="00F542DE">
        <w:rPr>
          <w:rFonts w:hint="eastAsia"/>
        </w:rPr>
        <w:t>進行實質監督</w:t>
      </w:r>
      <w:r w:rsidR="006E457F" w:rsidRPr="00F542DE">
        <w:rPr>
          <w:rFonts w:hint="eastAsia"/>
        </w:rPr>
        <w:t>。</w:t>
      </w:r>
      <w:r w:rsidRPr="00F542DE">
        <w:rPr>
          <w:rFonts w:hint="eastAsia"/>
        </w:rPr>
        <w:t>雖</w:t>
      </w:r>
      <w:r w:rsidR="00454C18" w:rsidRPr="00F542DE">
        <w:rPr>
          <w:rFonts w:hint="eastAsia"/>
        </w:rPr>
        <w:t>國發會於107年10月4日查復本院</w:t>
      </w:r>
      <w:r w:rsidRPr="00F542DE">
        <w:rPr>
          <w:rFonts w:hint="eastAsia"/>
        </w:rPr>
        <w:t>時</w:t>
      </w:r>
      <w:r w:rsidR="00454C18" w:rsidRPr="00F542DE">
        <w:rPr>
          <w:rFonts w:hint="eastAsia"/>
        </w:rPr>
        <w:t>表示：</w:t>
      </w:r>
      <w:bookmarkEnd w:id="61"/>
      <w:bookmarkEnd w:id="62"/>
      <w:bookmarkEnd w:id="63"/>
    </w:p>
    <w:p w:rsidR="00454C18" w:rsidRPr="00F542DE" w:rsidRDefault="00454C18" w:rsidP="00454C18">
      <w:pPr>
        <w:pStyle w:val="4"/>
      </w:pPr>
      <w:r w:rsidRPr="00F542DE">
        <w:rPr>
          <w:rFonts w:ascii="新細明體" w:eastAsia="新細明體" w:hAnsi="新細明體" w:hint="eastAsia"/>
        </w:rPr>
        <w:t>「</w:t>
      </w:r>
      <w:r w:rsidRPr="00F542DE">
        <w:rPr>
          <w:rFonts w:hint="eastAsia"/>
        </w:rPr>
        <w:t>台杉投顧公司之投資案件評估與投資管理事宜，皆訂有內部作業規範，並遵循</w:t>
      </w:r>
      <w:r w:rsidR="00166C17" w:rsidRPr="00F542DE">
        <w:rPr>
          <w:rFonts w:hAnsi="標楷體" w:hint="eastAsia"/>
        </w:rPr>
        <w:t>「</w:t>
      </w:r>
      <w:r w:rsidRPr="00F542DE">
        <w:rPr>
          <w:rFonts w:hint="eastAsia"/>
        </w:rPr>
        <w:t>公司法</w:t>
      </w:r>
      <w:r w:rsidR="00166C17" w:rsidRPr="00F542DE">
        <w:rPr>
          <w:rFonts w:hAnsi="標楷體" w:hint="eastAsia"/>
        </w:rPr>
        <w:t>」</w:t>
      </w:r>
      <w:r w:rsidRPr="00F542DE">
        <w:rPr>
          <w:rFonts w:hint="eastAsia"/>
        </w:rPr>
        <w:t>等相關規定辦理，也定期接受外部會計師查核，相關財務報告均須經投資人同意，充分保障投資人權利。</w:t>
      </w:r>
      <w:r w:rsidRPr="00F542DE">
        <w:rPr>
          <w:rFonts w:hAnsi="標楷體" w:hint="eastAsia"/>
        </w:rPr>
        <w:t>」</w:t>
      </w:r>
    </w:p>
    <w:p w:rsidR="00454C18" w:rsidRPr="00F542DE" w:rsidRDefault="00454C18" w:rsidP="00454C18">
      <w:pPr>
        <w:pStyle w:val="4"/>
      </w:pPr>
      <w:r w:rsidRPr="00F542DE">
        <w:rPr>
          <w:rFonts w:ascii="新細明體" w:eastAsia="新細明體" w:hAnsi="新細明體" w:hint="eastAsia"/>
        </w:rPr>
        <w:t>「</w:t>
      </w:r>
      <w:r w:rsidRPr="00F542DE">
        <w:rPr>
          <w:rFonts w:hint="eastAsia"/>
        </w:rPr>
        <w:t>國家發展基金與臺灣銀行合計投資台杉投顧公司超過40％，並分別擔任台杉投顧公司之董事與監察人，負責監督管理公司營運。</w:t>
      </w:r>
      <w:r w:rsidRPr="00F542DE">
        <w:rPr>
          <w:rFonts w:hAnsi="標楷體" w:hint="eastAsia"/>
        </w:rPr>
        <w:t>」</w:t>
      </w:r>
    </w:p>
    <w:p w:rsidR="00454C18" w:rsidRPr="00F542DE" w:rsidRDefault="00454C18" w:rsidP="00B12C4C">
      <w:pPr>
        <w:pStyle w:val="4"/>
      </w:pPr>
      <w:r w:rsidRPr="00F542DE">
        <w:rPr>
          <w:rFonts w:ascii="新細明體" w:eastAsia="新細明體" w:hAnsi="新細明體" w:hint="eastAsia"/>
        </w:rPr>
        <w:t>「</w:t>
      </w:r>
      <w:r w:rsidRPr="00F542DE">
        <w:rPr>
          <w:rFonts w:hint="eastAsia"/>
        </w:rPr>
        <w:t>國家發展基金與臺灣銀行均係受立法院與監察院所監督單位，台杉投顧公司自然受立法院與監察院所監督。」</w:t>
      </w:r>
    </w:p>
    <w:p w:rsidR="00075EF6" w:rsidRPr="00F542DE" w:rsidRDefault="002524B2" w:rsidP="0092720B">
      <w:pPr>
        <w:pStyle w:val="4"/>
        <w:numPr>
          <w:ilvl w:val="0"/>
          <w:numId w:val="0"/>
        </w:numPr>
        <w:ind w:left="1418" w:firstLineChars="166" w:firstLine="565"/>
      </w:pPr>
      <w:r w:rsidRPr="00F542DE">
        <w:rPr>
          <w:rFonts w:hint="eastAsia"/>
        </w:rPr>
        <w:t>然</w:t>
      </w:r>
      <w:r w:rsidR="0092720B" w:rsidRPr="00F542DE">
        <w:rPr>
          <w:rFonts w:hint="eastAsia"/>
        </w:rPr>
        <w:t>台杉投顧原本董事結構為3席係屬自然人董事、2席為國發基金代表，董事長及總經理等高階管理人員均無須受</w:t>
      </w:r>
      <w:r w:rsidRPr="00F542DE">
        <w:rPr>
          <w:rFonts w:hint="eastAsia"/>
        </w:rPr>
        <w:t>本院及立法院</w:t>
      </w:r>
      <w:r w:rsidR="0092720B" w:rsidRPr="00F542DE">
        <w:rPr>
          <w:rFonts w:hint="eastAsia"/>
        </w:rPr>
        <w:t>之</w:t>
      </w:r>
      <w:r w:rsidRPr="00F542DE">
        <w:rPr>
          <w:rFonts w:hint="eastAsia"/>
        </w:rPr>
        <w:t>監督</w:t>
      </w:r>
      <w:r w:rsidR="0092720B" w:rsidRPr="00F542DE">
        <w:rPr>
          <w:rFonts w:hint="eastAsia"/>
        </w:rPr>
        <w:t>，</w:t>
      </w:r>
      <w:r w:rsidR="006E457F" w:rsidRPr="00F542DE">
        <w:rPr>
          <w:rFonts w:hint="eastAsia"/>
        </w:rPr>
        <w:t>雖</w:t>
      </w:r>
      <w:r w:rsidR="0092720B" w:rsidRPr="00F542DE">
        <w:rPr>
          <w:rFonts w:hint="eastAsia"/>
        </w:rPr>
        <w:t>後續3席</w:t>
      </w:r>
      <w:r w:rsidR="0092720B" w:rsidRPr="00F542DE">
        <w:rPr>
          <w:rFonts w:hint="eastAsia"/>
        </w:rPr>
        <w:lastRenderedPageBreak/>
        <w:t>自然人董事，已改為創新公司董事席位之法人代表，業已強化相關機關對於台杉投顧之監督能力。惟</w:t>
      </w:r>
      <w:r w:rsidR="00735B6A" w:rsidRPr="00F542DE">
        <w:rPr>
          <w:rFonts w:hint="eastAsia"/>
        </w:rPr>
        <w:t>台杉投顧</w:t>
      </w:r>
      <w:r w:rsidR="00075EF6" w:rsidRPr="00F542DE">
        <w:rPr>
          <w:rFonts w:hint="eastAsia"/>
        </w:rPr>
        <w:t>原規劃係採民營企業組織型態運作，</w:t>
      </w:r>
      <w:r w:rsidR="00F117C8" w:rsidRPr="00F542DE">
        <w:rPr>
          <w:rFonts w:hint="eastAsia"/>
        </w:rPr>
        <w:t>股東組成涵蓋國發基金、國營企業、政府特種基金，以及國內企業、外國大貿易商，其中，政府投資比重低於50%，但具經營主導權，以利推動相關政策。並</w:t>
      </w:r>
      <w:r w:rsidR="00075EF6" w:rsidRPr="00F542DE">
        <w:rPr>
          <w:rFonts w:hint="eastAsia"/>
        </w:rPr>
        <w:t>遴聘知名民間專業投資人組成經營團隊，以發揮彈性運作並累積專業投資能量。</w:t>
      </w:r>
      <w:r w:rsidR="00F117C8" w:rsidRPr="00F542DE">
        <w:rPr>
          <w:rFonts w:hint="eastAsia"/>
        </w:rPr>
        <w:t>且</w:t>
      </w:r>
      <w:r w:rsidR="00075EF6" w:rsidRPr="00F542DE">
        <w:rPr>
          <w:rFonts w:hint="eastAsia"/>
        </w:rPr>
        <w:t>將聘請民間產業界具威望人士組成董事會，訂定相關投資策略，以確保投資布局符合國家產業政策方向，相關規</w:t>
      </w:r>
      <w:r w:rsidR="00BE3231" w:rsidRPr="00F542DE">
        <w:rPr>
          <w:rFonts w:hint="eastAsia"/>
        </w:rPr>
        <w:t>劃</w:t>
      </w:r>
      <w:r w:rsidR="00075EF6" w:rsidRPr="00F542DE">
        <w:rPr>
          <w:rFonts w:hint="eastAsia"/>
        </w:rPr>
        <w:t>尚</w:t>
      </w:r>
      <w:r w:rsidR="00753318" w:rsidRPr="00F542DE">
        <w:rPr>
          <w:rFonts w:hint="eastAsia"/>
        </w:rPr>
        <w:t>無</w:t>
      </w:r>
      <w:r w:rsidR="00075EF6" w:rsidRPr="00F542DE">
        <w:rPr>
          <w:rFonts w:hint="eastAsia"/>
        </w:rPr>
        <w:t>不妥，然執行過程，係以政府可實質控制之創新公司擔任民間股東，又指派過半之自然人擔任董事，</w:t>
      </w:r>
      <w:r w:rsidR="00F117C8" w:rsidRPr="00F542DE">
        <w:rPr>
          <w:rFonts w:hint="eastAsia"/>
        </w:rPr>
        <w:t>產生規避監督之疑義，並</w:t>
      </w:r>
      <w:r w:rsidR="00075EF6" w:rsidRPr="00F542DE">
        <w:rPr>
          <w:rFonts w:hint="eastAsia"/>
        </w:rPr>
        <w:t>引發</w:t>
      </w:r>
      <w:r w:rsidR="00075EF6" w:rsidRPr="00F542DE">
        <w:rPr>
          <w:rFonts w:ascii="新細明體" w:eastAsia="新細明體" w:hAnsi="新細明體" w:hint="eastAsia"/>
        </w:rPr>
        <w:t>「</w:t>
      </w:r>
      <w:r w:rsidR="00075EF6" w:rsidRPr="00F542DE">
        <w:rPr>
          <w:rFonts w:hint="eastAsia"/>
        </w:rPr>
        <w:t>假民營、真搬錢</w:t>
      </w:r>
      <w:r w:rsidR="00075EF6" w:rsidRPr="00F542DE">
        <w:rPr>
          <w:rFonts w:hAnsi="標楷體" w:hint="eastAsia"/>
        </w:rPr>
        <w:t>」之疑慮，顯有未妥，政府允以本案為戒，</w:t>
      </w:r>
      <w:r w:rsidR="004A27B7" w:rsidRPr="00F542DE">
        <w:rPr>
          <w:rFonts w:hint="eastAsia"/>
          <w:szCs w:val="32"/>
        </w:rPr>
        <w:t>審慎考量主導設立公民營公司時所採用之架構，</w:t>
      </w:r>
      <w:r w:rsidR="00DF6BF3" w:rsidRPr="00F542DE">
        <w:rPr>
          <w:rFonts w:hint="eastAsia"/>
          <w:szCs w:val="32"/>
        </w:rPr>
        <w:t>俾</w:t>
      </w:r>
      <w:r w:rsidR="004A27B7" w:rsidRPr="00F542DE">
        <w:rPr>
          <w:rFonts w:hint="eastAsia"/>
          <w:szCs w:val="32"/>
        </w:rPr>
        <w:t>於企業彈性與</w:t>
      </w:r>
      <w:r w:rsidR="00DF6BF3" w:rsidRPr="00F542DE">
        <w:rPr>
          <w:rFonts w:hint="eastAsia"/>
          <w:szCs w:val="32"/>
        </w:rPr>
        <w:t>立法院等外部監督檢視機制間</w:t>
      </w:r>
      <w:r w:rsidR="004A27B7" w:rsidRPr="00F542DE">
        <w:rPr>
          <w:rFonts w:hint="eastAsia"/>
          <w:szCs w:val="32"/>
        </w:rPr>
        <w:t>取得平衡，</w:t>
      </w:r>
      <w:r w:rsidR="00DF6BF3" w:rsidRPr="00F542DE">
        <w:rPr>
          <w:rFonts w:hint="eastAsia"/>
          <w:szCs w:val="32"/>
        </w:rPr>
        <w:t>以</w:t>
      </w:r>
      <w:r w:rsidR="004A27B7" w:rsidRPr="00F542DE">
        <w:rPr>
          <w:rFonts w:hint="eastAsia"/>
          <w:szCs w:val="32"/>
        </w:rPr>
        <w:t>制定可長</w:t>
      </w:r>
      <w:r w:rsidR="00166C17" w:rsidRPr="00F542DE">
        <w:rPr>
          <w:rFonts w:hint="eastAsia"/>
          <w:szCs w:val="32"/>
        </w:rPr>
        <w:t>可</w:t>
      </w:r>
      <w:r w:rsidR="004A27B7" w:rsidRPr="00F542DE">
        <w:rPr>
          <w:rFonts w:hint="eastAsia"/>
          <w:szCs w:val="32"/>
        </w:rPr>
        <w:t>久運作之態樣。</w:t>
      </w:r>
    </w:p>
    <w:p w:rsidR="00075EF6" w:rsidRPr="00F542DE" w:rsidRDefault="00075EF6" w:rsidP="004A27B7">
      <w:pPr>
        <w:pStyle w:val="3"/>
      </w:pPr>
      <w:bookmarkStart w:id="64" w:name="_Toc24448118"/>
      <w:bookmarkStart w:id="65" w:name="_Toc29903190"/>
      <w:bookmarkStart w:id="66" w:name="_Toc30496468"/>
      <w:r w:rsidRPr="00F542DE">
        <w:rPr>
          <w:rFonts w:hint="eastAsia"/>
        </w:rPr>
        <w:t>綜上，</w:t>
      </w:r>
      <w:bookmarkEnd w:id="64"/>
      <w:r w:rsidR="003F4D87" w:rsidRPr="00F542DE">
        <w:rPr>
          <w:rFonts w:hint="eastAsia"/>
        </w:rPr>
        <w:t>國發會為帶動國內投資能量，規劃由政府結合民間力量，成立民營公司台杉投顧，期發揮民營之彈性，累積專業投資能量，並促成投資國內五大創新產業，以驅動我國產業成長動能，相關規劃</w:t>
      </w:r>
      <w:r w:rsidR="00DF6BF3" w:rsidRPr="00F542DE">
        <w:rPr>
          <w:rFonts w:hint="eastAsia"/>
          <w:shd w:val="clear" w:color="auto" w:fill="FFFFFF" w:themeFill="background1"/>
        </w:rPr>
        <w:t>尚</w:t>
      </w:r>
      <w:r w:rsidR="00166C17" w:rsidRPr="00F542DE">
        <w:rPr>
          <w:rFonts w:hint="eastAsia"/>
          <w:shd w:val="clear" w:color="auto" w:fill="FFFFFF" w:themeFill="background1"/>
        </w:rPr>
        <w:t>無</w:t>
      </w:r>
      <w:r w:rsidR="00DF6BF3" w:rsidRPr="00F542DE">
        <w:rPr>
          <w:rFonts w:hint="eastAsia"/>
          <w:shd w:val="clear" w:color="auto" w:fill="FFFFFF" w:themeFill="background1"/>
        </w:rPr>
        <w:t>不妥</w:t>
      </w:r>
      <w:r w:rsidR="00DF6BF3" w:rsidRPr="00F542DE">
        <w:rPr>
          <w:rFonts w:hint="eastAsia"/>
        </w:rPr>
        <w:t>，然國發會將台杉投顧經營模式設計為民營方式，民股係以政府可實質控制之創新公司擔任，並選任逾半之自然人擔任董事，致董事長、總經理等高階管理人員無須接受立法院等</w:t>
      </w:r>
      <w:r w:rsidR="0074110B" w:rsidRPr="00F542DE">
        <w:rPr>
          <w:rFonts w:hint="eastAsia"/>
          <w:lang w:eastAsia="zh-HK"/>
        </w:rPr>
        <w:t>之</w:t>
      </w:r>
      <w:r w:rsidR="00DF6BF3" w:rsidRPr="00F542DE">
        <w:rPr>
          <w:rFonts w:hint="eastAsia"/>
        </w:rPr>
        <w:t>外部監督，並引發社會質疑政府投入資金之流向與運用、投資績效與獎懲事項之合理性等，欠缺外部監督機制，造成黑箱，有</w:t>
      </w:r>
      <w:r w:rsidR="00DF6BF3" w:rsidRPr="00F542DE">
        <w:rPr>
          <w:rFonts w:hint="eastAsia"/>
          <w:shd w:val="clear" w:color="auto" w:fill="FFFFFF" w:themeFill="background1"/>
        </w:rPr>
        <w:t>規</w:t>
      </w:r>
      <w:r w:rsidR="00DF6BF3" w:rsidRPr="00F542DE">
        <w:rPr>
          <w:rFonts w:hint="eastAsia"/>
        </w:rPr>
        <w:t>避監督及假民營之情事，</w:t>
      </w:r>
      <w:r w:rsidR="00DF6BF3" w:rsidRPr="00F542DE">
        <w:rPr>
          <w:rFonts w:hint="eastAsia"/>
          <w:szCs w:val="32"/>
        </w:rPr>
        <w:t>顯有未</w:t>
      </w:r>
      <w:r w:rsidR="00166C17" w:rsidRPr="00F542DE">
        <w:rPr>
          <w:rFonts w:hint="eastAsia"/>
          <w:szCs w:val="32"/>
        </w:rPr>
        <w:t>當</w:t>
      </w:r>
      <w:r w:rsidR="00DF6BF3" w:rsidRPr="00F542DE">
        <w:rPr>
          <w:rFonts w:hint="eastAsia"/>
          <w:szCs w:val="32"/>
        </w:rPr>
        <w:t>。且創新公司雖為持股逾半之第一大股東，卻因配合</w:t>
      </w:r>
      <w:r w:rsidR="00DF6BF3" w:rsidRPr="00F542DE">
        <w:rPr>
          <w:rFonts w:hint="eastAsia"/>
          <w:szCs w:val="32"/>
          <w:shd w:val="clear" w:color="auto" w:fill="FFFFFF" w:themeFill="background1"/>
        </w:rPr>
        <w:t>政府政策，未指派法人董事，形同放棄股東權益，</w:t>
      </w:r>
      <w:r w:rsidR="00DF6BF3" w:rsidRPr="00F542DE">
        <w:rPr>
          <w:rFonts w:hint="eastAsia"/>
          <w:szCs w:val="32"/>
          <w:shd w:val="clear" w:color="auto" w:fill="FFFFFF" w:themeFill="background1"/>
        </w:rPr>
        <w:lastRenderedPageBreak/>
        <w:t>引起社會質疑</w:t>
      </w:r>
      <w:r w:rsidR="00DF6BF3" w:rsidRPr="00F542DE">
        <w:rPr>
          <w:rFonts w:hint="eastAsia"/>
          <w:shd w:val="clear" w:color="auto" w:fill="FFFFFF" w:themeFill="background1"/>
        </w:rPr>
        <w:t>涉有背信之虞。</w:t>
      </w:r>
      <w:r w:rsidR="00DF6BF3" w:rsidRPr="00F542DE">
        <w:rPr>
          <w:rFonts w:hint="eastAsia"/>
          <w:szCs w:val="32"/>
          <w:shd w:val="clear" w:color="auto" w:fill="FFFFFF" w:themeFill="background1"/>
        </w:rPr>
        <w:t>政府允以本案為戒，審慎考量主導設立公民營公司時所採用之架構，俾於企</w:t>
      </w:r>
      <w:r w:rsidR="00DF6BF3" w:rsidRPr="00F542DE">
        <w:rPr>
          <w:rFonts w:hint="eastAsia"/>
          <w:szCs w:val="32"/>
        </w:rPr>
        <w:t>業彈性與立法院等外部監督檢視機制間取得平衡，以制定可以長久運作之態樣。</w:t>
      </w:r>
      <w:bookmarkEnd w:id="65"/>
      <w:bookmarkEnd w:id="66"/>
    </w:p>
    <w:p w:rsidR="00587787" w:rsidRPr="00F542DE" w:rsidRDefault="003A18AF" w:rsidP="00EB0EB1">
      <w:pPr>
        <w:pStyle w:val="2"/>
        <w:spacing w:beforeLines="50" w:before="228"/>
        <w:ind w:left="1020" w:hanging="680"/>
      </w:pPr>
      <w:bookmarkStart w:id="67" w:name="_Toc30496469"/>
      <w:r w:rsidRPr="00F542DE">
        <w:rPr>
          <w:rFonts w:hint="eastAsia"/>
          <w:b/>
        </w:rPr>
        <w:t>臺灣銀行投資台杉投顧時，迫於時間</w:t>
      </w:r>
      <w:r w:rsidR="00166C17" w:rsidRPr="00F542DE">
        <w:rPr>
          <w:rFonts w:hint="eastAsia"/>
          <w:b/>
        </w:rPr>
        <w:t>壓力</w:t>
      </w:r>
      <w:r w:rsidRPr="00F542DE">
        <w:rPr>
          <w:rFonts w:hint="eastAsia"/>
          <w:b/>
        </w:rPr>
        <w:t>，致常務董事會審議該投資案時，因</w:t>
      </w:r>
      <w:r w:rsidR="00166C17" w:rsidRPr="00F542DE">
        <w:rPr>
          <w:rFonts w:hint="eastAsia"/>
          <w:b/>
        </w:rPr>
        <w:t>欠缺</w:t>
      </w:r>
      <w:r w:rsidRPr="00F542DE">
        <w:rPr>
          <w:rFonts w:hint="eastAsia"/>
          <w:b/>
        </w:rPr>
        <w:t>資料，未就投資效益、風險分析及分年進度等項目進行審議，風險評估有欠周妥；臺灣銀行在行政院未核准前，先以墊款方式繳足投資股款，尚難謂符合</w:t>
      </w:r>
      <w:r w:rsidR="00D44AAC" w:rsidRPr="00F542DE">
        <w:rPr>
          <w:rFonts w:hAnsi="標楷體" w:hint="eastAsia"/>
          <w:b/>
        </w:rPr>
        <w:t>「</w:t>
      </w:r>
      <w:r w:rsidRPr="00F542DE">
        <w:rPr>
          <w:rFonts w:hint="eastAsia"/>
          <w:b/>
        </w:rPr>
        <w:t>預算法</w:t>
      </w:r>
      <w:r w:rsidR="00D44AAC" w:rsidRPr="00F542DE">
        <w:rPr>
          <w:rFonts w:hAnsi="標楷體" w:hint="eastAsia"/>
          <w:b/>
        </w:rPr>
        <w:t>」</w:t>
      </w:r>
      <w:r w:rsidR="00753318" w:rsidRPr="00F542DE">
        <w:rPr>
          <w:rFonts w:hint="eastAsia"/>
          <w:b/>
        </w:rPr>
        <w:t>第88條</w:t>
      </w:r>
      <w:r w:rsidRPr="00F542DE">
        <w:rPr>
          <w:rFonts w:hint="eastAsia"/>
          <w:b/>
        </w:rPr>
        <w:t>「經行政院核准者，得先行辦理」之規定</w:t>
      </w:r>
      <w:r w:rsidR="00EC4F0A" w:rsidRPr="00F542DE">
        <w:rPr>
          <w:rFonts w:hint="eastAsia"/>
          <w:b/>
        </w:rPr>
        <w:t>，允應檢討</w:t>
      </w:r>
      <w:r w:rsidRPr="00F542DE">
        <w:rPr>
          <w:rFonts w:hint="eastAsia"/>
          <w:b/>
        </w:rPr>
        <w:t>。</w:t>
      </w:r>
      <w:bookmarkEnd w:id="67"/>
    </w:p>
    <w:p w:rsidR="00587787" w:rsidRPr="00F542DE" w:rsidRDefault="00587787" w:rsidP="00587787">
      <w:pPr>
        <w:pStyle w:val="3"/>
        <w:ind w:left="1362"/>
      </w:pPr>
      <w:bookmarkStart w:id="68" w:name="_Toc24448120"/>
      <w:bookmarkStart w:id="69" w:name="_Toc29903192"/>
      <w:bookmarkStart w:id="70" w:name="_Toc30496470"/>
      <w:r w:rsidRPr="00F542DE">
        <w:rPr>
          <w:rFonts w:hAnsi="標楷體" w:hint="eastAsia"/>
        </w:rPr>
        <w:t>依「</w:t>
      </w:r>
      <w:r w:rsidRPr="00F542DE">
        <w:rPr>
          <w:rFonts w:hint="eastAsia"/>
        </w:rPr>
        <w:t>中央政府特種基金參加民營事業投資管理要點</w:t>
      </w:r>
      <w:r w:rsidRPr="00F542DE">
        <w:rPr>
          <w:rFonts w:hAnsi="標楷體" w:hint="eastAsia"/>
        </w:rPr>
        <w:t>」</w:t>
      </w:r>
      <w:r w:rsidRPr="00F542DE">
        <w:rPr>
          <w:rFonts w:hint="eastAsia"/>
        </w:rPr>
        <w:t>第3點規定：</w:t>
      </w:r>
      <w:r w:rsidRPr="00F542DE">
        <w:rPr>
          <w:rFonts w:hAnsi="標楷體" w:hint="eastAsia"/>
        </w:rPr>
        <w:t>「</w:t>
      </w:r>
      <w:r w:rsidRPr="00F542DE">
        <w:rPr>
          <w:rFonts w:hint="eastAsia"/>
        </w:rPr>
        <w:t>營業基金基於下列各款之需要，得投資於民營事業：……(六)其他基於政府政策之需要者。</w:t>
      </w:r>
      <w:r w:rsidRPr="00F542DE">
        <w:rPr>
          <w:rFonts w:hAnsi="標楷體" w:hint="eastAsia"/>
        </w:rPr>
        <w:t>」同要點</w:t>
      </w:r>
      <w:r w:rsidRPr="00F542DE">
        <w:rPr>
          <w:rFonts w:hint="eastAsia"/>
        </w:rPr>
        <w:t>第5點規定：</w:t>
      </w:r>
      <w:r w:rsidRPr="00F542DE">
        <w:rPr>
          <w:rFonts w:hAnsi="標楷體" w:hint="eastAsia"/>
        </w:rPr>
        <w:t>「</w:t>
      </w:r>
      <w:r w:rsidRPr="00F542DE">
        <w:rPr>
          <w:rFonts w:hint="eastAsia"/>
        </w:rPr>
        <w:t>各基金參加民營事業投資，應檢具</w:t>
      </w:r>
      <w:r w:rsidRPr="00F542DE">
        <w:rPr>
          <w:rFonts w:hint="eastAsia"/>
          <w:b/>
        </w:rPr>
        <w:t>投資計畫，報由主管機關確實審核</w:t>
      </w:r>
      <w:r w:rsidRPr="00F542DE">
        <w:rPr>
          <w:rFonts w:hint="eastAsia"/>
        </w:rPr>
        <w:t>後，依預算程序辦理。……</w:t>
      </w:r>
      <w:r w:rsidRPr="00F542DE">
        <w:rPr>
          <w:rFonts w:hAnsi="標楷體" w:hint="eastAsia"/>
        </w:rPr>
        <w:t>」又「</w:t>
      </w:r>
      <w:r w:rsidRPr="00F542DE">
        <w:rPr>
          <w:rFonts w:hint="eastAsia"/>
        </w:rPr>
        <w:t>預算法</w:t>
      </w:r>
      <w:r w:rsidRPr="00F542DE">
        <w:rPr>
          <w:rFonts w:hAnsi="標楷體" w:hint="eastAsia"/>
        </w:rPr>
        <w:t>」</w:t>
      </w:r>
      <w:r w:rsidRPr="00F542DE">
        <w:rPr>
          <w:rFonts w:hint="eastAsia"/>
        </w:rPr>
        <w:t>第88條規定：</w:t>
      </w:r>
      <w:r w:rsidRPr="00F542DE">
        <w:rPr>
          <w:rFonts w:hAnsi="標楷體" w:hint="eastAsia"/>
        </w:rPr>
        <w:t>「</w:t>
      </w:r>
      <w:r w:rsidRPr="00F542DE">
        <w:rPr>
          <w:rFonts w:hint="eastAsia"/>
        </w:rPr>
        <w:t>附屬單位預算之執行，如因經營環境發生重大變遷或正常業務之確實需要，</w:t>
      </w:r>
      <w:r w:rsidRPr="00F542DE">
        <w:rPr>
          <w:rFonts w:hint="eastAsia"/>
          <w:b/>
        </w:rPr>
        <w:t>報經行政院核准者，得先行辦理</w:t>
      </w:r>
      <w:r w:rsidRPr="00F542DE">
        <w:rPr>
          <w:rFonts w:hint="eastAsia"/>
        </w:rPr>
        <w:t>，並得不受第25條至第27條之限制。但其中有關固定資產之建設、改良、擴充及資金之轉投資、資產之變賣及長期債務之舉借、償還，仍應</w:t>
      </w:r>
      <w:r w:rsidRPr="00F542DE">
        <w:rPr>
          <w:rFonts w:hint="eastAsia"/>
          <w:b/>
        </w:rPr>
        <w:t>補辦預算</w:t>
      </w:r>
      <w:r w:rsidRPr="00F542DE">
        <w:rPr>
          <w:rFonts w:hint="eastAsia"/>
        </w:rPr>
        <w:t>。……</w:t>
      </w:r>
      <w:r w:rsidRPr="00F542DE">
        <w:rPr>
          <w:rFonts w:hAnsi="標楷體" w:hint="eastAsia"/>
        </w:rPr>
        <w:t>」營業基金基於政府政策之需要，得投資民營事業，惟應檢具投資計畫，報主管機關審核後，依預算程序辦理。其預算之執行如因正常業務之確實需要，報經行政院核准者，得先行辦理，但仍應補辦預算。</w:t>
      </w:r>
      <w:bookmarkEnd w:id="68"/>
      <w:bookmarkEnd w:id="69"/>
      <w:bookmarkEnd w:id="70"/>
    </w:p>
    <w:p w:rsidR="00587787" w:rsidRPr="00F542DE" w:rsidRDefault="00587787" w:rsidP="00587787">
      <w:pPr>
        <w:pStyle w:val="3"/>
        <w:ind w:left="1362"/>
      </w:pPr>
      <w:bookmarkStart w:id="71" w:name="_Toc24448121"/>
      <w:bookmarkStart w:id="72" w:name="_Toc29903193"/>
      <w:bookmarkStart w:id="73" w:name="_Toc30496471"/>
      <w:r w:rsidRPr="00F542DE">
        <w:rPr>
          <w:rFonts w:hAnsi="標楷體" w:hint="eastAsia"/>
        </w:rPr>
        <w:t>另「</w:t>
      </w:r>
      <w:r w:rsidRPr="00F542DE">
        <w:rPr>
          <w:rFonts w:hint="eastAsia"/>
        </w:rPr>
        <w:t>銀行法</w:t>
      </w:r>
      <w:r w:rsidRPr="00F542DE">
        <w:rPr>
          <w:rFonts w:hAnsi="標楷體" w:hint="eastAsia"/>
        </w:rPr>
        <w:t>」</w:t>
      </w:r>
      <w:r w:rsidRPr="00F542DE">
        <w:rPr>
          <w:rFonts w:hint="eastAsia"/>
        </w:rPr>
        <w:t>第74條第2項規定：</w:t>
      </w:r>
      <w:r w:rsidRPr="00F542DE">
        <w:rPr>
          <w:rFonts w:hAnsi="標楷體" w:hint="eastAsia"/>
        </w:rPr>
        <w:t>「</w:t>
      </w:r>
      <w:r w:rsidRPr="00F542DE">
        <w:rPr>
          <w:rFonts w:hint="eastAsia"/>
        </w:rPr>
        <w:t>商業銀行為配合政府經濟發展計畫，</w:t>
      </w:r>
      <w:r w:rsidRPr="00F542DE">
        <w:rPr>
          <w:rFonts w:hint="eastAsia"/>
          <w:b/>
        </w:rPr>
        <w:t>經主管機關核准者，得投資於非金融相關事業。……</w:t>
      </w:r>
      <w:r w:rsidRPr="00F542DE">
        <w:rPr>
          <w:rFonts w:hAnsi="標楷體" w:hint="eastAsia"/>
        </w:rPr>
        <w:t>」及「臺灣金融控股股份有</w:t>
      </w:r>
      <w:r w:rsidRPr="00F542DE">
        <w:rPr>
          <w:rFonts w:hAnsi="標楷體" w:hint="eastAsia"/>
        </w:rPr>
        <w:lastRenderedPageBreak/>
        <w:t>限公司子公司管理規則」第4條規定：「子公司辦理下列事項，應經其董事會通過後，陳報本公司審議：一、章程、組織規程之訂定與修正。二、與其他公司合併、策略聯盟。……五、</w:t>
      </w:r>
      <w:r w:rsidRPr="00F542DE">
        <w:rPr>
          <w:rFonts w:hAnsi="標楷體" w:hint="eastAsia"/>
          <w:b/>
        </w:rPr>
        <w:t>年度營業預算。</w:t>
      </w:r>
      <w:r w:rsidRPr="00F542DE">
        <w:rPr>
          <w:rFonts w:hAnsi="標楷體" w:hint="eastAsia"/>
        </w:rPr>
        <w:t>……十一、其他依法令或公司章程規定應由股東會決議之事項。……」</w:t>
      </w:r>
      <w:bookmarkEnd w:id="71"/>
      <w:bookmarkEnd w:id="72"/>
      <w:bookmarkEnd w:id="73"/>
    </w:p>
    <w:p w:rsidR="000D384A" w:rsidRPr="00F542DE" w:rsidRDefault="003A18AF" w:rsidP="003A18AF">
      <w:pPr>
        <w:pStyle w:val="3"/>
      </w:pPr>
      <w:bookmarkStart w:id="74" w:name="_Toc29903194"/>
      <w:bookmarkStart w:id="75" w:name="_Toc30496472"/>
      <w:r w:rsidRPr="00F542DE">
        <w:rPr>
          <w:rFonts w:hint="eastAsia"/>
          <w:b/>
        </w:rPr>
        <w:t>臺灣銀行常務董事會審議台杉投顧案時，因</w:t>
      </w:r>
      <w:r w:rsidR="005055D8" w:rsidRPr="00F542DE">
        <w:rPr>
          <w:rFonts w:hint="eastAsia"/>
          <w:b/>
        </w:rPr>
        <w:t>欠缺</w:t>
      </w:r>
      <w:r w:rsidRPr="00F542DE">
        <w:rPr>
          <w:rFonts w:hint="eastAsia"/>
          <w:b/>
        </w:rPr>
        <w:t>資料，未就投資效益、風險分析及分年進度等項目</w:t>
      </w:r>
      <w:r w:rsidR="005055D8" w:rsidRPr="00F542DE">
        <w:rPr>
          <w:rFonts w:hint="eastAsia"/>
          <w:b/>
          <w:lang w:eastAsia="zh-HK"/>
        </w:rPr>
        <w:t>先</w:t>
      </w:r>
      <w:r w:rsidRPr="00F542DE">
        <w:rPr>
          <w:rFonts w:hint="eastAsia"/>
          <w:b/>
        </w:rPr>
        <w:t>行審議：</w:t>
      </w:r>
      <w:bookmarkEnd w:id="74"/>
      <w:bookmarkEnd w:id="75"/>
    </w:p>
    <w:p w:rsidR="00587787" w:rsidRPr="00F542DE" w:rsidRDefault="00587787" w:rsidP="000D384A">
      <w:pPr>
        <w:pStyle w:val="4"/>
      </w:pPr>
      <w:r w:rsidRPr="00F542DE">
        <w:rPr>
          <w:rFonts w:hint="eastAsia"/>
        </w:rPr>
        <w:t>臺灣銀行於106年7月26日自國發會取得國家級投資公司資料前，國發基金副執行秘書蘇來守告知，因國發基金擬投資台杉投顧40%，規劃派</w:t>
      </w:r>
      <w:r w:rsidR="00812486" w:rsidRPr="00F542DE">
        <w:rPr>
          <w:rFonts w:hint="eastAsia"/>
        </w:rPr>
        <w:t>2席</w:t>
      </w:r>
      <w:r w:rsidRPr="00F542DE">
        <w:rPr>
          <w:rFonts w:hint="eastAsia"/>
        </w:rPr>
        <w:t>董事外，亦能派</w:t>
      </w:r>
      <w:r w:rsidR="009E1D0B" w:rsidRPr="00F542DE">
        <w:rPr>
          <w:rFonts w:hint="eastAsia"/>
        </w:rPr>
        <w:t>1</w:t>
      </w:r>
      <w:r w:rsidRPr="00F542DE">
        <w:rPr>
          <w:rFonts w:hint="eastAsia"/>
        </w:rPr>
        <w:t>席監察人，但同一法人不得同時派任董事及監察人，故邀請該行參與投資100萬元，並以公股名義派任</w:t>
      </w:r>
      <w:r w:rsidR="009E1D0B" w:rsidRPr="00F542DE">
        <w:rPr>
          <w:rFonts w:hint="eastAsia"/>
        </w:rPr>
        <w:t>1</w:t>
      </w:r>
      <w:r w:rsidRPr="00F542DE">
        <w:rPr>
          <w:rFonts w:hint="eastAsia"/>
        </w:rPr>
        <w:t>席監察人。時任臺灣銀行總經理魏江霖遂於106年7月27日臺灣金控第4屆第13次董事會以臨時動議方式報告，因時間緊迫，該投資案將提報臺灣銀行106年7月28日常務董事會(下稱常董會)，擬請金控董事會先授權辦理該項投資案，下次</w:t>
      </w:r>
      <w:r w:rsidR="00166C17" w:rsidRPr="00F542DE">
        <w:rPr>
          <w:rFonts w:hint="eastAsia"/>
        </w:rPr>
        <w:t>會議</w:t>
      </w:r>
      <w:r w:rsidRPr="00F542DE">
        <w:rPr>
          <w:rFonts w:hint="eastAsia"/>
        </w:rPr>
        <w:t>再行提案追認，該項臨時動議經金控董事會決議「全體出席董事同意通過」。嗣臺灣銀行106年7月28日常董會通過該投資案後，即檢具相關文件於106年8月1日陳報金管會，經該會</w:t>
      </w:r>
      <w:r w:rsidR="009E1D0B" w:rsidRPr="00F542DE">
        <w:rPr>
          <w:rFonts w:hint="eastAsia"/>
        </w:rPr>
        <w:t>於</w:t>
      </w:r>
      <w:r w:rsidRPr="00F542DE">
        <w:rPr>
          <w:rFonts w:hint="eastAsia"/>
        </w:rPr>
        <w:t>106年8月9日准予投資。</w:t>
      </w:r>
    </w:p>
    <w:p w:rsidR="00587787" w:rsidRPr="00F542DE" w:rsidRDefault="00587787" w:rsidP="000D384A">
      <w:pPr>
        <w:pStyle w:val="4"/>
      </w:pPr>
      <w:r w:rsidRPr="00F542DE">
        <w:rPr>
          <w:rFonts w:hint="eastAsia"/>
        </w:rPr>
        <w:t>臺灣金控查復本院表示，臺灣銀行於撰擬常董會提案稿時，經洽台杉投顧籌備處稱，有關投資效益、風險分析及分年進度等尚在製作中，該籌備處後於106年7月27日晚間7時提供「引資商業計畫書」初稿，</w:t>
      </w:r>
      <w:r w:rsidR="00166C17" w:rsidRPr="00F542DE">
        <w:rPr>
          <w:rFonts w:hint="eastAsia"/>
        </w:rPr>
        <w:t>臺灣銀行已未</w:t>
      </w:r>
      <w:r w:rsidRPr="00F542DE">
        <w:rPr>
          <w:rFonts w:hint="eastAsia"/>
        </w:rPr>
        <w:t>及於常務董事會提案稿中說明前揭項目。嗣臺灣銀行於106年8月1日</w:t>
      </w:r>
      <w:r w:rsidRPr="00F542DE">
        <w:rPr>
          <w:rFonts w:hint="eastAsia"/>
        </w:rPr>
        <w:lastRenderedPageBreak/>
        <w:t>函報金管會核准時，業依據台杉投顧籌備處提供之「引資商業計畫書」初稿，將投資效益可行性分析、該公司分支機構發展計畫、轉投資對臺灣銀行營運(包括流動性)之影響暨轉投資事業之管理及風險評估機制等項目予以說明。又詢據時任臺灣銀行總經理魏江霖表示</w:t>
      </w:r>
      <w:r w:rsidRPr="00F542DE">
        <w:rPr>
          <w:rFonts w:hAnsi="標楷體" w:hint="eastAsia"/>
          <w:szCs w:val="28"/>
        </w:rPr>
        <w:t>：</w:t>
      </w:r>
      <w:r w:rsidRPr="00F542DE">
        <w:rPr>
          <w:rFonts w:ascii="新細明體" w:eastAsia="新細明體" w:hAnsi="新細明體" w:hint="eastAsia"/>
          <w:szCs w:val="28"/>
        </w:rPr>
        <w:t>「</w:t>
      </w:r>
      <w:r w:rsidRPr="00F542DE">
        <w:rPr>
          <w:rFonts w:hAnsi="標楷體" w:hint="eastAsia"/>
          <w:szCs w:val="28"/>
        </w:rPr>
        <w:t>本行雖於</w:t>
      </w:r>
      <w:r w:rsidRPr="00F542DE">
        <w:rPr>
          <w:rFonts w:hAnsi="標楷體" w:cstheme="minorBidi" w:hint="eastAsia"/>
          <w:kern w:val="2"/>
          <w:szCs w:val="28"/>
        </w:rPr>
        <w:t>常務董事會提</w:t>
      </w:r>
      <w:r w:rsidRPr="00F542DE">
        <w:rPr>
          <w:rFonts w:hAnsi="標楷體" w:hint="eastAsia"/>
          <w:szCs w:val="28"/>
        </w:rPr>
        <w:t>案時未及敘明</w:t>
      </w:r>
      <w:r w:rsidRPr="00F542DE">
        <w:rPr>
          <w:rFonts w:hAnsi="標楷體" w:cstheme="minorBidi" w:hint="eastAsia"/>
          <w:kern w:val="2"/>
          <w:szCs w:val="28"/>
        </w:rPr>
        <w:t>投資效益、風險分析及分年進度</w:t>
      </w:r>
      <w:r w:rsidRPr="00F542DE">
        <w:rPr>
          <w:rFonts w:hAnsi="標楷體" w:hint="eastAsia"/>
          <w:szCs w:val="28"/>
        </w:rPr>
        <w:t>等</w:t>
      </w:r>
      <w:r w:rsidRPr="00F542DE">
        <w:rPr>
          <w:rFonts w:hAnsi="標楷體" w:cstheme="minorBidi" w:hint="eastAsia"/>
          <w:kern w:val="2"/>
          <w:szCs w:val="28"/>
        </w:rPr>
        <w:t>項目，</w:t>
      </w:r>
      <w:r w:rsidRPr="00F542DE">
        <w:rPr>
          <w:rFonts w:hAnsi="標楷體" w:hint="eastAsia"/>
          <w:kern w:val="2"/>
          <w:szCs w:val="28"/>
        </w:rPr>
        <w:t>惟</w:t>
      </w:r>
      <w:r w:rsidRPr="00F542DE">
        <w:rPr>
          <w:rFonts w:hAnsi="標楷體" w:hint="eastAsia"/>
          <w:szCs w:val="28"/>
        </w:rPr>
        <w:t>考量台杉投資管理顧問股份有限公司屬投資顧問公司，主要收入來自</w:t>
      </w:r>
      <w:r w:rsidRPr="00F542DE">
        <w:rPr>
          <w:rFonts w:hAnsi="標楷體" w:hint="eastAsia"/>
          <w:kern w:val="2"/>
          <w:szCs w:val="28"/>
        </w:rPr>
        <w:t>基金管理費</w:t>
      </w:r>
      <w:r w:rsidRPr="00F542DE">
        <w:rPr>
          <w:rFonts w:hAnsi="標楷體" w:hint="eastAsia"/>
          <w:szCs w:val="28"/>
        </w:rPr>
        <w:t>用，且據悉該公司將按</w:t>
      </w:r>
      <w:r w:rsidRPr="00F542DE">
        <w:rPr>
          <w:rFonts w:hAnsi="標楷體" w:hint="eastAsia"/>
          <w:kern w:val="2"/>
          <w:szCs w:val="28"/>
        </w:rPr>
        <w:t>募集基金規模</w:t>
      </w:r>
      <w:r w:rsidRPr="00F542DE">
        <w:rPr>
          <w:rFonts w:hAnsi="標楷體" w:hint="eastAsia"/>
          <w:szCs w:val="28"/>
        </w:rPr>
        <w:t>(台幣100億以上)</w:t>
      </w:r>
      <w:r w:rsidRPr="00F542DE">
        <w:rPr>
          <w:rFonts w:hAnsi="標楷體" w:hint="eastAsia"/>
          <w:kern w:val="2"/>
          <w:szCs w:val="28"/>
        </w:rPr>
        <w:t>每年收取</w:t>
      </w:r>
      <w:r w:rsidRPr="00F542DE">
        <w:rPr>
          <w:rFonts w:hAnsi="標楷體" w:hint="eastAsia"/>
          <w:szCs w:val="28"/>
        </w:rPr>
        <w:t>約</w:t>
      </w:r>
      <w:r w:rsidRPr="00F542DE">
        <w:rPr>
          <w:rFonts w:hAnsi="標楷體"/>
          <w:kern w:val="2"/>
          <w:szCs w:val="28"/>
        </w:rPr>
        <w:t>2.5%</w:t>
      </w:r>
      <w:r w:rsidRPr="00F542DE">
        <w:rPr>
          <w:rFonts w:hAnsi="標楷體" w:hint="eastAsia"/>
          <w:szCs w:val="28"/>
        </w:rPr>
        <w:t>之</w:t>
      </w:r>
      <w:r w:rsidRPr="00F542DE">
        <w:rPr>
          <w:rFonts w:hAnsi="標楷體" w:hint="eastAsia"/>
          <w:kern w:val="2"/>
          <w:szCs w:val="28"/>
        </w:rPr>
        <w:t>管理</w:t>
      </w:r>
      <w:r w:rsidRPr="00F542DE">
        <w:rPr>
          <w:rFonts w:hAnsi="標楷體" w:hint="eastAsia"/>
          <w:szCs w:val="28"/>
        </w:rPr>
        <w:t>費用</w:t>
      </w:r>
      <w:r w:rsidRPr="00F542DE">
        <w:rPr>
          <w:rFonts w:hAnsi="標楷體" w:hint="eastAsia"/>
          <w:kern w:val="2"/>
          <w:szCs w:val="28"/>
        </w:rPr>
        <w:t>，</w:t>
      </w:r>
      <w:r w:rsidRPr="00F542DE">
        <w:rPr>
          <w:rFonts w:hAnsi="標楷體" w:hint="eastAsia"/>
          <w:szCs w:val="28"/>
        </w:rPr>
        <w:t>評估其獲利是指日可待，本案除</w:t>
      </w:r>
      <w:r w:rsidRPr="00F542DE">
        <w:rPr>
          <w:rFonts w:hAnsi="標楷體" w:hint="eastAsia"/>
        </w:rPr>
        <w:t>蘇常務董事建榮發言表示支持，並獲全體出席常務董事同意通過。」縱使臺灣銀行認為投資台杉投顧風險有限，惟該行</w:t>
      </w:r>
      <w:r w:rsidRPr="00F542DE">
        <w:rPr>
          <w:rFonts w:hAnsi="標楷體" w:cstheme="minorBidi" w:hint="eastAsia"/>
          <w:kern w:val="2"/>
          <w:szCs w:val="28"/>
        </w:rPr>
        <w:t>常董會提</w:t>
      </w:r>
      <w:r w:rsidRPr="00F542DE">
        <w:rPr>
          <w:rFonts w:hAnsi="標楷體" w:hint="eastAsia"/>
          <w:szCs w:val="28"/>
        </w:rPr>
        <w:t>案時未及敘明</w:t>
      </w:r>
      <w:r w:rsidRPr="00F542DE">
        <w:rPr>
          <w:rFonts w:hAnsi="標楷體" w:cstheme="minorBidi" w:hint="eastAsia"/>
          <w:kern w:val="2"/>
          <w:szCs w:val="28"/>
        </w:rPr>
        <w:t>投資效益、風險分析及分年進度</w:t>
      </w:r>
      <w:r w:rsidRPr="00F542DE">
        <w:rPr>
          <w:rFonts w:hAnsi="標楷體" w:hint="eastAsia"/>
          <w:szCs w:val="28"/>
        </w:rPr>
        <w:t>等</w:t>
      </w:r>
      <w:r w:rsidRPr="00F542DE">
        <w:rPr>
          <w:rFonts w:hAnsi="標楷體" w:cstheme="minorBidi" w:hint="eastAsia"/>
          <w:kern w:val="2"/>
          <w:szCs w:val="28"/>
        </w:rPr>
        <w:t>項目，</w:t>
      </w:r>
      <w:r w:rsidR="000D384A" w:rsidRPr="00F542DE">
        <w:rPr>
          <w:rFonts w:hAnsi="標楷體" w:cstheme="minorBidi" w:hint="eastAsia"/>
          <w:kern w:val="2"/>
          <w:szCs w:val="28"/>
        </w:rPr>
        <w:t>投資程序</w:t>
      </w:r>
      <w:r w:rsidR="00166C17" w:rsidRPr="00F542DE">
        <w:rPr>
          <w:rFonts w:hAnsi="標楷體" w:cstheme="minorBidi" w:hint="eastAsia"/>
          <w:kern w:val="2"/>
          <w:szCs w:val="28"/>
        </w:rPr>
        <w:t>顯</w:t>
      </w:r>
      <w:r w:rsidRPr="00F542DE">
        <w:rPr>
          <w:rFonts w:hAnsi="標楷體" w:cstheme="minorBidi" w:hint="eastAsia"/>
          <w:kern w:val="2"/>
          <w:szCs w:val="28"/>
        </w:rPr>
        <w:t>有欠完備</w:t>
      </w:r>
      <w:r w:rsidRPr="00F542DE">
        <w:rPr>
          <w:rFonts w:hAnsi="標楷體" w:hint="eastAsia"/>
        </w:rPr>
        <w:t>。</w:t>
      </w:r>
    </w:p>
    <w:p w:rsidR="00587787" w:rsidRPr="00F542DE" w:rsidRDefault="00587787" w:rsidP="00587787">
      <w:pPr>
        <w:pStyle w:val="3"/>
        <w:ind w:left="1362"/>
      </w:pPr>
      <w:bookmarkStart w:id="76" w:name="_Toc24448123"/>
      <w:bookmarkStart w:id="77" w:name="_Toc29903195"/>
      <w:bookmarkStart w:id="78" w:name="_Toc30496473"/>
      <w:r w:rsidRPr="00F542DE">
        <w:rPr>
          <w:rFonts w:hint="eastAsia"/>
          <w:b/>
        </w:rPr>
        <w:t>臺灣銀行先以墊款方式繳足投資台杉投資案之股款</w:t>
      </w:r>
      <w:r w:rsidRPr="00F542DE">
        <w:rPr>
          <w:rFonts w:hAnsi="標楷體" w:hint="eastAsia"/>
          <w:b/>
        </w:rPr>
        <w:t>：</w:t>
      </w:r>
      <w:bookmarkEnd w:id="76"/>
      <w:bookmarkEnd w:id="77"/>
      <w:bookmarkEnd w:id="78"/>
    </w:p>
    <w:p w:rsidR="00587787" w:rsidRPr="00F542DE" w:rsidRDefault="00587787" w:rsidP="00587787">
      <w:pPr>
        <w:pStyle w:val="4"/>
        <w:ind w:left="1702"/>
      </w:pPr>
      <w:r w:rsidRPr="00F542DE">
        <w:rPr>
          <w:rFonts w:hAnsi="標楷體" w:hint="eastAsia"/>
        </w:rPr>
        <w:t>臺灣銀行106年7月28日常董會通過該行投資台杉投顧案後，</w:t>
      </w:r>
      <w:r w:rsidR="005C7A0A" w:rsidRPr="00F542DE">
        <w:rPr>
          <w:rFonts w:hAnsi="標楷體" w:hint="eastAsia"/>
        </w:rPr>
        <w:t>該</w:t>
      </w:r>
      <w:r w:rsidRPr="00F542DE">
        <w:rPr>
          <w:rFonts w:hAnsi="標楷體" w:hint="eastAsia"/>
        </w:rPr>
        <w:t>行於106年7月28日函報臺灣金控，臺灣金控並於同日函報財政部，財政部則於106年8月8日將該案函請行政院同意，並說明臺灣銀行擬投資台杉投顧100萬元，並納編107年度附屬單位預算，又該行為配合台杉投顧募資作業期程，該預算案如未完成審議程序，並請該院准依</w:t>
      </w:r>
      <w:r w:rsidR="00166C17" w:rsidRPr="00F542DE">
        <w:rPr>
          <w:rFonts w:hAnsi="標楷體" w:hint="eastAsia"/>
        </w:rPr>
        <w:t>「</w:t>
      </w:r>
      <w:r w:rsidRPr="00F542DE">
        <w:rPr>
          <w:rFonts w:hAnsi="標楷體" w:hint="eastAsia"/>
        </w:rPr>
        <w:t>預算法</w:t>
      </w:r>
      <w:r w:rsidR="00166C17" w:rsidRPr="00F542DE">
        <w:rPr>
          <w:rFonts w:hAnsi="標楷體" w:hint="eastAsia"/>
        </w:rPr>
        <w:t>」</w:t>
      </w:r>
      <w:r w:rsidRPr="00F542DE">
        <w:rPr>
          <w:rFonts w:hAnsi="標楷體" w:hint="eastAsia"/>
        </w:rPr>
        <w:t>第88條規定先行辦理。</w:t>
      </w:r>
      <w:r w:rsidR="005C7A0A" w:rsidRPr="00F542DE">
        <w:rPr>
          <w:rFonts w:hAnsi="標楷體" w:hint="eastAsia"/>
        </w:rPr>
        <w:t>嗣</w:t>
      </w:r>
      <w:r w:rsidRPr="00F542DE">
        <w:rPr>
          <w:rFonts w:hint="eastAsia"/>
        </w:rPr>
        <w:t>行政院財政主計金融處於106年8月11日</w:t>
      </w:r>
      <w:r w:rsidR="005C7A0A" w:rsidRPr="00F542DE">
        <w:rPr>
          <w:rFonts w:hint="eastAsia"/>
        </w:rPr>
        <w:t>以</w:t>
      </w:r>
      <w:r w:rsidRPr="00F542DE">
        <w:rPr>
          <w:rFonts w:hint="eastAsia"/>
        </w:rPr>
        <w:t>書函致行政院主計總處表示，臺灣銀行擬新增轉投資台杉投顧，請准同意納編107年度預算一案，係配合政府重要經濟政策需要，應可同意。</w:t>
      </w:r>
    </w:p>
    <w:p w:rsidR="00587787" w:rsidRPr="00F542DE" w:rsidRDefault="00587787" w:rsidP="00587787">
      <w:pPr>
        <w:pStyle w:val="4"/>
        <w:ind w:left="1702"/>
      </w:pPr>
      <w:r w:rsidRPr="00F542DE">
        <w:rPr>
          <w:rFonts w:hint="eastAsia"/>
        </w:rPr>
        <w:lastRenderedPageBreak/>
        <w:t>台杉投顧籌備處於106年8月14日函邀臺灣銀行擔任台杉投顧發起人，並認購其第</w:t>
      </w:r>
      <w:r w:rsidR="00D36392" w:rsidRPr="00F542DE">
        <w:rPr>
          <w:rFonts w:hint="eastAsia"/>
        </w:rPr>
        <w:t>1</w:t>
      </w:r>
      <w:r w:rsidRPr="00F542DE">
        <w:rPr>
          <w:rFonts w:hint="eastAsia"/>
        </w:rPr>
        <w:t>次發行股份100萬股，且於106年8月16日中午前匯股款100萬元。嗣臺灣銀行財務部簽辦該案，該簽案並說明</w:t>
      </w:r>
      <w:r w:rsidRPr="00F542DE">
        <w:rPr>
          <w:rFonts w:hAnsi="標楷體" w:hint="eastAsia"/>
        </w:rPr>
        <w:t>「囿於股款繳納日未逾8月底預算彙編完成送立法院，故不得提前動支，爰依本年7月28日第5屆第99次常務董事會決議以墊款方式先行辦理。」</w:t>
      </w:r>
      <w:r w:rsidRPr="00F542DE">
        <w:rPr>
          <w:rFonts w:hint="eastAsia"/>
        </w:rPr>
        <w:t>經時任總經理魏江霖代董事長於106年8月16日核定後，</w:t>
      </w:r>
      <w:r w:rsidRPr="00F542DE">
        <w:rPr>
          <w:rFonts w:hint="eastAsia"/>
          <w:b/>
        </w:rPr>
        <w:t>該行</w:t>
      </w:r>
      <w:r w:rsidR="00D36392" w:rsidRPr="00F542DE">
        <w:rPr>
          <w:rFonts w:hint="eastAsia"/>
          <w:b/>
        </w:rPr>
        <w:t>即</w:t>
      </w:r>
      <w:r w:rsidRPr="00F542DE">
        <w:rPr>
          <w:rFonts w:hint="eastAsia"/>
          <w:b/>
        </w:rPr>
        <w:t>在行政院未核准前，於106年8月16日以墊款方式繳足股款。</w:t>
      </w:r>
      <w:r w:rsidRPr="00F542DE">
        <w:rPr>
          <w:rFonts w:hint="eastAsia"/>
        </w:rPr>
        <w:t>其後，行政院主計總處於106年8月21日電郵臺灣銀行，請該行配合現況，儘速報請該院同意將該轉投資預算改以補辦預算方式辦理，該院將就兩案併同回復。臺灣銀行遂於106年8月22日依上開通知函報臺灣金控，臺灣金控並於同日去函財政部，財政部</w:t>
      </w:r>
      <w:r w:rsidR="00D36392" w:rsidRPr="00F542DE">
        <w:rPr>
          <w:rFonts w:hint="eastAsia"/>
        </w:rPr>
        <w:t>再</w:t>
      </w:r>
      <w:r w:rsidRPr="00F542DE">
        <w:rPr>
          <w:rFonts w:hint="eastAsia"/>
        </w:rPr>
        <w:t>於106年8月24日函報行政院表示，該投資案106年度未及編列預算，請准改為106年度辦理並補辦107年度預算。</w:t>
      </w:r>
      <w:r w:rsidRPr="00F542DE">
        <w:rPr>
          <w:rFonts w:hint="eastAsia"/>
          <w:b/>
        </w:rPr>
        <w:t>行政院於106年8月29日同意後</w:t>
      </w:r>
      <w:r w:rsidRPr="00F542DE">
        <w:rPr>
          <w:rFonts w:hint="eastAsia"/>
        </w:rPr>
        <w:t>，臺灣銀行即於106年8月31日將該投資案</w:t>
      </w:r>
      <w:r w:rsidRPr="00F542DE">
        <w:rPr>
          <w:rFonts w:hint="eastAsia"/>
          <w:b/>
        </w:rPr>
        <w:t>列為轉投資項目。</w:t>
      </w:r>
      <w:r w:rsidRPr="00F542DE">
        <w:rPr>
          <w:rFonts w:hint="eastAsia"/>
        </w:rPr>
        <w:t>另臺灣銀行及臺灣金控分別於106年8月25日常董會及106年8月31日董事會備查及追認該投資案改以補辦107年度預算方式辦理案。</w:t>
      </w:r>
    </w:p>
    <w:p w:rsidR="00587787" w:rsidRPr="00F542DE" w:rsidRDefault="00587787" w:rsidP="00587787">
      <w:pPr>
        <w:pStyle w:val="4"/>
        <w:ind w:left="1702"/>
      </w:pPr>
      <w:r w:rsidRPr="00F542DE">
        <w:rPr>
          <w:rFonts w:hint="eastAsia"/>
        </w:rPr>
        <w:t>臺灣銀行雖查復本院表示，因台杉投顧為儘速完成籌設事宜，訂於106年8月16日繳款，</w:t>
      </w:r>
      <w:r w:rsidRPr="00F542DE">
        <w:rPr>
          <w:rFonts w:hint="eastAsia"/>
          <w:b/>
        </w:rPr>
        <w:t>該行考量該案係配合政府重要投資政策，爰於期限內匯款</w:t>
      </w:r>
      <w:r w:rsidRPr="00F542DE">
        <w:rPr>
          <w:rFonts w:hint="eastAsia"/>
        </w:rPr>
        <w:t>。且詢據時任臺灣銀行總經理魏江霖(現臺灣金控總經理)表示，本案預算編列雖有轉折，該行仍遵奉</w:t>
      </w:r>
      <w:r w:rsidR="005055D8" w:rsidRPr="00F542DE">
        <w:rPr>
          <w:rFonts w:hAnsi="標楷體" w:hint="eastAsia"/>
        </w:rPr>
        <w:t>「</w:t>
      </w:r>
      <w:r w:rsidR="005055D8" w:rsidRPr="00F542DE">
        <w:rPr>
          <w:rFonts w:hint="eastAsia"/>
        </w:rPr>
        <w:t>預算法</w:t>
      </w:r>
      <w:r w:rsidR="005055D8" w:rsidRPr="00F542DE">
        <w:rPr>
          <w:rFonts w:hAnsi="標楷體" w:hint="eastAsia"/>
        </w:rPr>
        <w:t>」</w:t>
      </w:r>
      <w:r w:rsidRPr="00F542DE">
        <w:rPr>
          <w:rFonts w:hint="eastAsia"/>
        </w:rPr>
        <w:t>第88條規定，俟行政院核准後始將該投資案改列為轉投資項目等語。惟依據上開臺灣銀行財務部106年8月15日簽載</w:t>
      </w:r>
      <w:r w:rsidRPr="00F542DE">
        <w:rPr>
          <w:rFonts w:hAnsi="標楷體" w:hint="eastAsia"/>
        </w:rPr>
        <w:t>「依本年7</w:t>
      </w:r>
      <w:r w:rsidRPr="00F542DE">
        <w:rPr>
          <w:rFonts w:hAnsi="標楷體" w:hint="eastAsia"/>
        </w:rPr>
        <w:lastRenderedPageBreak/>
        <w:t>月28日第5屆第99次常務董事會決議以墊款方式先行辦理。」</w:t>
      </w:r>
      <w:r w:rsidR="00D36392" w:rsidRPr="00F542DE">
        <w:rPr>
          <w:rFonts w:hint="eastAsia"/>
        </w:rPr>
        <w:t>該行於行政院核准前，係依常董會決議即先行辦理，</w:t>
      </w:r>
      <w:r w:rsidR="00E929C3" w:rsidRPr="00F542DE">
        <w:rPr>
          <w:rFonts w:hint="eastAsia"/>
        </w:rPr>
        <w:t>實</w:t>
      </w:r>
      <w:r w:rsidRPr="00F542DE">
        <w:rPr>
          <w:rFonts w:hint="eastAsia"/>
        </w:rPr>
        <w:t>難謂符合經行政院核准者，得先行辦理之規定。且台杉投顧籌備處表示，臺灣銀行係屬初始股東，投資1年後才得撤資，則該案倘未獲核准，並無法立即撤資，自是影響該行資金之調度及運用。又財政部查復本院表示，該部所屬臺灣金控及轄下臺灣銀行及臺銀人壽103年至107年間參加8家民營事業投資，均經事前報核始動支年度預算，其中投資標的臺灣行動支付股份有限公司、中國信託金融控股股份有限公司及台杉投顧係奉行政院核准後，始正式列為其轉投資事業。縱使相關投資均於事前報核，惟行政院核准前動支預算，尚難</w:t>
      </w:r>
      <w:r w:rsidR="00E929C3" w:rsidRPr="00F542DE">
        <w:rPr>
          <w:rFonts w:hint="eastAsia"/>
        </w:rPr>
        <w:t>謂</w:t>
      </w:r>
      <w:r w:rsidRPr="00F542DE">
        <w:rPr>
          <w:rFonts w:hint="eastAsia"/>
        </w:rPr>
        <w:t>符</w:t>
      </w:r>
      <w:r w:rsidR="00E929C3" w:rsidRPr="00F542DE">
        <w:rPr>
          <w:rFonts w:hint="eastAsia"/>
        </w:rPr>
        <w:t>合</w:t>
      </w:r>
      <w:r w:rsidRPr="00F542DE">
        <w:rPr>
          <w:rFonts w:hint="eastAsia"/>
        </w:rPr>
        <w:t>上開</w:t>
      </w:r>
      <w:r w:rsidR="005055D8" w:rsidRPr="00F542DE">
        <w:rPr>
          <w:rFonts w:hAnsi="標楷體" w:hint="eastAsia"/>
        </w:rPr>
        <w:t>「</w:t>
      </w:r>
      <w:r w:rsidR="005055D8" w:rsidRPr="00F542DE">
        <w:rPr>
          <w:rFonts w:hint="eastAsia"/>
        </w:rPr>
        <w:t>預算法</w:t>
      </w:r>
      <w:r w:rsidR="005055D8" w:rsidRPr="00F542DE">
        <w:rPr>
          <w:rFonts w:hAnsi="標楷體" w:hint="eastAsia"/>
        </w:rPr>
        <w:t>」</w:t>
      </w:r>
      <w:r w:rsidRPr="00F542DE">
        <w:rPr>
          <w:rFonts w:hint="eastAsia"/>
        </w:rPr>
        <w:t>第88條經行政院核准者，得先行辦理之規定，而有未洽。</w:t>
      </w:r>
    </w:p>
    <w:p w:rsidR="00C97466" w:rsidRPr="00F542DE" w:rsidRDefault="00C97466" w:rsidP="00753318">
      <w:pPr>
        <w:pStyle w:val="3"/>
      </w:pPr>
      <w:bookmarkStart w:id="79" w:name="_Toc24448124"/>
      <w:bookmarkStart w:id="80" w:name="_Toc29903196"/>
      <w:bookmarkStart w:id="81" w:name="_Toc30496474"/>
      <w:r w:rsidRPr="00F542DE">
        <w:rPr>
          <w:rFonts w:hint="eastAsia"/>
        </w:rPr>
        <w:t>綜上，</w:t>
      </w:r>
      <w:bookmarkEnd w:id="79"/>
      <w:r w:rsidR="003A18AF" w:rsidRPr="00F542DE">
        <w:rPr>
          <w:rFonts w:hint="eastAsia"/>
        </w:rPr>
        <w:t>臺灣銀行投資台杉投顧時，迫於時間</w:t>
      </w:r>
      <w:r w:rsidR="00D44AAC" w:rsidRPr="00F542DE">
        <w:rPr>
          <w:rFonts w:hint="eastAsia"/>
        </w:rPr>
        <w:t>壓力</w:t>
      </w:r>
      <w:r w:rsidR="003A18AF" w:rsidRPr="00F542DE">
        <w:rPr>
          <w:rFonts w:hint="eastAsia"/>
        </w:rPr>
        <w:t>，致常務董事會審議該投資案時，因</w:t>
      </w:r>
      <w:r w:rsidR="005055D8" w:rsidRPr="00F542DE">
        <w:rPr>
          <w:rFonts w:hint="eastAsia"/>
        </w:rPr>
        <w:t>欠缺</w:t>
      </w:r>
      <w:r w:rsidR="003A18AF" w:rsidRPr="00F542DE">
        <w:rPr>
          <w:rFonts w:hint="eastAsia"/>
        </w:rPr>
        <w:t>資料，未就投資效益、風險分析及分年進度等項目進行審議，風險評估有欠周妥；臺灣銀行在行政院未核准前，先以墊款方式繳足投資股款，尚難謂符合</w:t>
      </w:r>
      <w:r w:rsidR="00D44AAC" w:rsidRPr="00F542DE">
        <w:rPr>
          <w:rFonts w:hAnsi="標楷體" w:hint="eastAsia"/>
        </w:rPr>
        <w:t>「</w:t>
      </w:r>
      <w:r w:rsidR="003A18AF" w:rsidRPr="00F542DE">
        <w:rPr>
          <w:rFonts w:hint="eastAsia"/>
        </w:rPr>
        <w:t>預算法</w:t>
      </w:r>
      <w:r w:rsidR="00D44AAC" w:rsidRPr="00F542DE">
        <w:rPr>
          <w:rFonts w:hAnsi="標楷體" w:hint="eastAsia"/>
        </w:rPr>
        <w:t>」</w:t>
      </w:r>
      <w:r w:rsidR="00753318" w:rsidRPr="00F542DE">
        <w:rPr>
          <w:rFonts w:hint="eastAsia"/>
        </w:rPr>
        <w:t>第88條</w:t>
      </w:r>
      <w:r w:rsidR="003A18AF" w:rsidRPr="00F542DE">
        <w:rPr>
          <w:rFonts w:hint="eastAsia"/>
        </w:rPr>
        <w:t>「經行政院核准者，得先行辦理」之規定</w:t>
      </w:r>
      <w:r w:rsidR="00EC4F0A" w:rsidRPr="00F542DE">
        <w:rPr>
          <w:rFonts w:hint="eastAsia"/>
          <w:b/>
        </w:rPr>
        <w:t>，允應檢討。</w:t>
      </w:r>
      <w:bookmarkEnd w:id="80"/>
      <w:bookmarkEnd w:id="81"/>
    </w:p>
    <w:p w:rsidR="00587787" w:rsidRPr="00F542DE" w:rsidRDefault="00587787" w:rsidP="00961D64">
      <w:pPr>
        <w:pStyle w:val="2"/>
        <w:spacing w:beforeLines="50" w:before="228"/>
        <w:ind w:left="1020" w:hanging="680"/>
        <w:rPr>
          <w:rFonts w:hAnsi="標楷體"/>
          <w:b/>
        </w:rPr>
      </w:pPr>
      <w:bookmarkStart w:id="82" w:name="_Toc30496475"/>
      <w:r w:rsidRPr="00F542DE">
        <w:rPr>
          <w:rFonts w:hint="eastAsia"/>
          <w:b/>
        </w:rPr>
        <w:t>90年公布之</w:t>
      </w:r>
      <w:r w:rsidR="00FF4492" w:rsidRPr="00F542DE">
        <w:rPr>
          <w:rFonts w:hAnsi="標楷體" w:hint="eastAsia"/>
          <w:b/>
        </w:rPr>
        <w:t>「</w:t>
      </w:r>
      <w:r w:rsidRPr="00F542DE">
        <w:rPr>
          <w:rFonts w:hint="eastAsia"/>
          <w:b/>
        </w:rPr>
        <w:t>金融控股公司</w:t>
      </w:r>
      <w:r w:rsidRPr="00F542DE">
        <w:rPr>
          <w:rFonts w:hint="eastAsia"/>
          <w:b/>
          <w:szCs w:val="36"/>
        </w:rPr>
        <w:t>法</w:t>
      </w:r>
      <w:r w:rsidR="00FF4492" w:rsidRPr="00F542DE">
        <w:rPr>
          <w:rFonts w:hAnsi="標楷體" w:hint="eastAsia"/>
          <w:b/>
          <w:szCs w:val="36"/>
        </w:rPr>
        <w:t>」</w:t>
      </w:r>
      <w:r w:rsidRPr="00F542DE">
        <w:rPr>
          <w:rFonts w:hint="eastAsia"/>
          <w:b/>
          <w:szCs w:val="36"/>
        </w:rPr>
        <w:t>已認定創</w:t>
      </w:r>
      <w:r w:rsidR="00B45907" w:rsidRPr="00F542DE">
        <w:rPr>
          <w:rFonts w:hint="eastAsia"/>
          <w:b/>
          <w:szCs w:val="36"/>
        </w:rPr>
        <w:t>業</w:t>
      </w:r>
      <w:r w:rsidRPr="00F542DE">
        <w:rPr>
          <w:rFonts w:hint="eastAsia"/>
          <w:b/>
          <w:szCs w:val="36"/>
        </w:rPr>
        <w:t>投</w:t>
      </w:r>
      <w:r w:rsidR="00B45907" w:rsidRPr="00F542DE">
        <w:rPr>
          <w:rFonts w:hint="eastAsia"/>
          <w:b/>
          <w:szCs w:val="36"/>
        </w:rPr>
        <w:t>資</w:t>
      </w:r>
      <w:r w:rsidRPr="00F542DE">
        <w:rPr>
          <w:rFonts w:hint="eastAsia"/>
          <w:b/>
          <w:szCs w:val="36"/>
        </w:rPr>
        <w:t>事業為與金融業務相關之附屬或輔助事業，惟財政部87年認定創業投資公司係屬非金融相關事業之函釋，卻</w:t>
      </w:r>
      <w:r w:rsidR="00961D64" w:rsidRPr="00F542DE">
        <w:rPr>
          <w:rFonts w:hint="eastAsia"/>
          <w:b/>
          <w:szCs w:val="36"/>
        </w:rPr>
        <w:t>迨</w:t>
      </w:r>
      <w:r w:rsidRPr="00F542DE">
        <w:rPr>
          <w:rFonts w:hint="eastAsia"/>
          <w:b/>
          <w:szCs w:val="36"/>
        </w:rPr>
        <w:t>至106年12月25日金管會訂定「商業銀行申請轉投資創業投資事業及管理顧問事業規定」，將</w:t>
      </w:r>
      <w:r w:rsidRPr="00F542DE">
        <w:rPr>
          <w:b/>
          <w:szCs w:val="36"/>
        </w:rPr>
        <w:t>創業投資事業</w:t>
      </w:r>
      <w:r w:rsidRPr="00F542DE">
        <w:rPr>
          <w:rFonts w:hint="eastAsia"/>
          <w:b/>
          <w:szCs w:val="36"/>
        </w:rPr>
        <w:t>及</w:t>
      </w:r>
      <w:r w:rsidRPr="00F542DE">
        <w:rPr>
          <w:b/>
          <w:szCs w:val="36"/>
        </w:rPr>
        <w:t>募集或設立創業投資事業之管理顧問事業</w:t>
      </w:r>
      <w:r w:rsidRPr="00F542DE">
        <w:rPr>
          <w:rFonts w:hint="eastAsia"/>
          <w:b/>
          <w:szCs w:val="36"/>
        </w:rPr>
        <w:t>列為</w:t>
      </w:r>
      <w:r w:rsidRPr="00F542DE">
        <w:rPr>
          <w:rFonts w:hint="eastAsia"/>
          <w:b/>
          <w:szCs w:val="36"/>
        </w:rPr>
        <w:lastRenderedPageBreak/>
        <w:t>「</w:t>
      </w:r>
      <w:r w:rsidRPr="00F542DE">
        <w:rPr>
          <w:b/>
          <w:szCs w:val="36"/>
        </w:rPr>
        <w:t>其他經主管機關認定之金融相關事業</w:t>
      </w:r>
      <w:r w:rsidRPr="00F542DE">
        <w:rPr>
          <w:rFonts w:hint="eastAsia"/>
          <w:b/>
          <w:szCs w:val="36"/>
        </w:rPr>
        <w:t>」後始</w:t>
      </w:r>
      <w:r w:rsidR="00961D64" w:rsidRPr="00F542DE">
        <w:rPr>
          <w:rFonts w:hint="eastAsia"/>
          <w:b/>
          <w:szCs w:val="36"/>
        </w:rPr>
        <w:t>停止適用</w:t>
      </w:r>
      <w:r w:rsidRPr="00F542DE">
        <w:rPr>
          <w:rFonts w:hint="eastAsia"/>
          <w:b/>
          <w:szCs w:val="36"/>
        </w:rPr>
        <w:t>，</w:t>
      </w:r>
      <w:r w:rsidRPr="00F542DE">
        <w:rPr>
          <w:rFonts w:hAnsi="標楷體" w:hint="eastAsia"/>
          <w:b/>
        </w:rPr>
        <w:t>致創業投資</w:t>
      </w:r>
      <w:r w:rsidR="00B45907" w:rsidRPr="00F542DE">
        <w:rPr>
          <w:rFonts w:hAnsi="標楷體" w:hint="eastAsia"/>
          <w:b/>
        </w:rPr>
        <w:t>事業</w:t>
      </w:r>
      <w:r w:rsidRPr="00F542DE">
        <w:rPr>
          <w:rFonts w:hAnsi="標楷體" w:hint="eastAsia"/>
          <w:b/>
        </w:rPr>
        <w:t>是否屬金融相關事業，財政部函釋與金控法長期欠缺一致性，實有未洽</w:t>
      </w:r>
      <w:r w:rsidR="006A09A7" w:rsidRPr="00F542DE">
        <w:rPr>
          <w:rFonts w:hAnsi="標楷體" w:hint="eastAsia"/>
          <w:b/>
        </w:rPr>
        <w:t>。</w:t>
      </w:r>
      <w:r w:rsidR="00931D87" w:rsidRPr="00F542DE">
        <w:rPr>
          <w:rFonts w:hAnsi="標楷體" w:hint="eastAsia"/>
          <w:b/>
        </w:rPr>
        <w:t>又106年12月25日金管會放寬銀行對創投事業持股比率後，台杉投顧即自107年3月起</w:t>
      </w:r>
      <w:r w:rsidR="00A93854" w:rsidRPr="00F542DE">
        <w:rPr>
          <w:rFonts w:hAnsi="標楷體" w:hint="eastAsia"/>
          <w:b/>
        </w:rPr>
        <w:t>展開募資作業</w:t>
      </w:r>
      <w:r w:rsidR="00931D87" w:rsidRPr="00F542DE">
        <w:rPr>
          <w:rFonts w:hAnsi="標楷體" w:hint="eastAsia"/>
          <w:b/>
        </w:rPr>
        <w:t>，引發</w:t>
      </w:r>
      <w:r w:rsidR="00931D87" w:rsidRPr="00F542DE">
        <w:rPr>
          <w:rFonts w:hint="eastAsia"/>
          <w:b/>
        </w:rPr>
        <w:t>外界質疑金管會放寬上開持股比率，係為台杉水牛二號基金得以募集資金，殊不值得，爰金管會允應隨時檢討相關規範之合宜性，避免造成誤解。</w:t>
      </w:r>
      <w:bookmarkEnd w:id="82"/>
    </w:p>
    <w:p w:rsidR="00587787" w:rsidRPr="00F542DE" w:rsidRDefault="00587787" w:rsidP="00587787">
      <w:pPr>
        <w:pStyle w:val="3"/>
        <w:ind w:left="1362"/>
      </w:pPr>
      <w:bookmarkStart w:id="83" w:name="_Toc24448126"/>
      <w:bookmarkStart w:id="84" w:name="_Toc29903198"/>
      <w:bookmarkStart w:id="85" w:name="_Toc30496476"/>
      <w:r w:rsidRPr="00F542DE">
        <w:rPr>
          <w:rFonts w:hint="eastAsia"/>
        </w:rPr>
        <w:t>財政部87年8月31日台財融字第87807892號函以</w:t>
      </w:r>
      <w:r w:rsidRPr="00F542DE">
        <w:rPr>
          <w:rFonts w:hAnsi="標楷體" w:hint="eastAsia"/>
        </w:rPr>
        <w:t>：「</w:t>
      </w:r>
      <w:r w:rsidRPr="00F542DE">
        <w:rPr>
          <w:rFonts w:hint="eastAsia"/>
        </w:rPr>
        <w:t>商業銀行得於實收資本額百分之五範圍內轉投資創業投資公司。……</w:t>
      </w:r>
      <w:r w:rsidRPr="00F542DE">
        <w:rPr>
          <w:rFonts w:hint="eastAsia"/>
          <w:b/>
        </w:rPr>
        <w:t>創業投資公司係屬非金融相關事業</w:t>
      </w:r>
      <w:r w:rsidRPr="00F542DE">
        <w:rPr>
          <w:rFonts w:hint="eastAsia"/>
        </w:rPr>
        <w:t>。……</w:t>
      </w:r>
      <w:r w:rsidRPr="00F542DE">
        <w:rPr>
          <w:rFonts w:hAnsi="標楷體" w:hint="eastAsia"/>
        </w:rPr>
        <w:t>」又90年7月9日公布之</w:t>
      </w:r>
      <w:r w:rsidR="00D40664" w:rsidRPr="00F542DE">
        <w:rPr>
          <w:rFonts w:hAnsi="標楷體" w:hint="eastAsia"/>
        </w:rPr>
        <w:t>「金融控股公司法」 (下稱</w:t>
      </w:r>
      <w:r w:rsidR="00D44AAC" w:rsidRPr="00F542DE">
        <w:rPr>
          <w:rFonts w:hAnsi="標楷體" w:hint="eastAsia"/>
        </w:rPr>
        <w:t>「</w:t>
      </w:r>
      <w:r w:rsidR="00D40664" w:rsidRPr="00F542DE">
        <w:rPr>
          <w:rFonts w:hAnsi="標楷體" w:hint="eastAsia"/>
        </w:rPr>
        <w:t>金控法</w:t>
      </w:r>
      <w:r w:rsidR="00D44AAC" w:rsidRPr="00F542DE">
        <w:rPr>
          <w:rFonts w:hAnsi="標楷體" w:hint="eastAsia"/>
        </w:rPr>
        <w:t>」</w:t>
      </w:r>
      <w:r w:rsidR="00D40664" w:rsidRPr="00F542DE">
        <w:rPr>
          <w:rFonts w:hAnsi="標楷體" w:hint="eastAsia"/>
        </w:rPr>
        <w:t>)</w:t>
      </w:r>
      <w:r w:rsidRPr="00F542DE">
        <w:rPr>
          <w:rFonts w:hAnsi="標楷體" w:hint="eastAsia"/>
        </w:rPr>
        <w:t>第36條規定：「</w:t>
      </w:r>
      <w:r w:rsidRPr="00F542DE">
        <w:rPr>
          <w:rFonts w:hint="eastAsia"/>
        </w:rPr>
        <w:t>(第1項)金融控股公司應確保其子公司業務之健全經營，其業務以投資及對被投資事業之管理為限。(第2項)金融控股公司得投資之事業如下：一</w:t>
      </w:r>
      <w:r w:rsidR="00D44AAC" w:rsidRPr="00F542DE">
        <w:rPr>
          <w:rFonts w:hint="eastAsia"/>
        </w:rPr>
        <w:t>、</w:t>
      </w:r>
      <w:r w:rsidRPr="00F542DE">
        <w:rPr>
          <w:rFonts w:hint="eastAsia"/>
        </w:rPr>
        <w:t>銀行業。二</w:t>
      </w:r>
      <w:r w:rsidR="00D44AAC" w:rsidRPr="00F542DE">
        <w:rPr>
          <w:rFonts w:hint="eastAsia"/>
        </w:rPr>
        <w:t>、</w:t>
      </w:r>
      <w:r w:rsidRPr="00F542DE">
        <w:rPr>
          <w:rFonts w:hint="eastAsia"/>
        </w:rPr>
        <w:t>票券金融業。三</w:t>
      </w:r>
      <w:r w:rsidR="00D44AAC" w:rsidRPr="00F542DE">
        <w:rPr>
          <w:rFonts w:hint="eastAsia"/>
        </w:rPr>
        <w:t>、</w:t>
      </w:r>
      <w:r w:rsidRPr="00F542DE">
        <w:rPr>
          <w:rFonts w:hint="eastAsia"/>
        </w:rPr>
        <w:t>信用卡業。四</w:t>
      </w:r>
      <w:r w:rsidR="00D44AAC" w:rsidRPr="00F542DE">
        <w:rPr>
          <w:rFonts w:hint="eastAsia"/>
        </w:rPr>
        <w:t>、</w:t>
      </w:r>
      <w:r w:rsidRPr="00F542DE">
        <w:rPr>
          <w:rFonts w:hint="eastAsia"/>
        </w:rPr>
        <w:t>信託業。五</w:t>
      </w:r>
      <w:r w:rsidR="00D44AAC" w:rsidRPr="00F542DE">
        <w:rPr>
          <w:rFonts w:hint="eastAsia"/>
        </w:rPr>
        <w:t>、</w:t>
      </w:r>
      <w:r w:rsidRPr="00F542DE">
        <w:rPr>
          <w:rFonts w:hint="eastAsia"/>
        </w:rPr>
        <w:t>保險業。六</w:t>
      </w:r>
      <w:r w:rsidR="00D44AAC" w:rsidRPr="00F542DE">
        <w:rPr>
          <w:rFonts w:hint="eastAsia"/>
        </w:rPr>
        <w:t>、</w:t>
      </w:r>
      <w:r w:rsidRPr="00F542DE">
        <w:rPr>
          <w:rFonts w:hint="eastAsia"/>
        </w:rPr>
        <w:t>證券業。七</w:t>
      </w:r>
      <w:r w:rsidR="00D44AAC" w:rsidRPr="00F542DE">
        <w:rPr>
          <w:rFonts w:hint="eastAsia"/>
        </w:rPr>
        <w:t>、</w:t>
      </w:r>
      <w:r w:rsidRPr="00F542DE">
        <w:rPr>
          <w:rFonts w:hint="eastAsia"/>
        </w:rPr>
        <w:t>期貨業。八</w:t>
      </w:r>
      <w:r w:rsidR="00D44AAC" w:rsidRPr="00F542DE">
        <w:rPr>
          <w:rFonts w:hint="eastAsia"/>
        </w:rPr>
        <w:t>、</w:t>
      </w:r>
      <w:r w:rsidRPr="00F542DE">
        <w:rPr>
          <w:rFonts w:hint="eastAsia"/>
          <w:b/>
        </w:rPr>
        <w:t>創業投資事業</w:t>
      </w:r>
      <w:r w:rsidRPr="00F542DE">
        <w:rPr>
          <w:rFonts w:hint="eastAsia"/>
        </w:rPr>
        <w:t>。……</w:t>
      </w:r>
      <w:r w:rsidRPr="00F542DE">
        <w:rPr>
          <w:rFonts w:hAnsi="標楷體" w:hint="eastAsia"/>
        </w:rPr>
        <w:t>」104</w:t>
      </w:r>
      <w:r w:rsidRPr="00F542DE">
        <w:rPr>
          <w:rFonts w:hint="eastAsia"/>
        </w:rPr>
        <w:t>年2月4日修正</w:t>
      </w:r>
      <w:r w:rsidRPr="00F542DE">
        <w:rPr>
          <w:rFonts w:hAnsi="標楷體" w:hint="eastAsia"/>
        </w:rPr>
        <w:t>「</w:t>
      </w:r>
      <w:r w:rsidRPr="00F542DE">
        <w:rPr>
          <w:rFonts w:hint="eastAsia"/>
        </w:rPr>
        <w:t>銀行法</w:t>
      </w:r>
      <w:r w:rsidRPr="00F542DE">
        <w:rPr>
          <w:rFonts w:hAnsi="標楷體" w:hint="eastAsia"/>
        </w:rPr>
        <w:t>」</w:t>
      </w:r>
      <w:r w:rsidRPr="00F542DE">
        <w:rPr>
          <w:rFonts w:hint="eastAsia"/>
        </w:rPr>
        <w:t>第74條規定：</w:t>
      </w:r>
      <w:r w:rsidRPr="00F542DE">
        <w:rPr>
          <w:rFonts w:hAnsi="標楷體" w:hint="eastAsia"/>
        </w:rPr>
        <w:t>「(第1項)</w:t>
      </w:r>
      <w:r w:rsidRPr="00F542DE">
        <w:rPr>
          <w:rFonts w:hint="eastAsia"/>
        </w:rPr>
        <w:t>商業銀行得向主管機關申請投資於金融相關事業。主管機關自申請書件送達之次日起15日內，未表示反對者，視為已核准。但於前揭期間內，銀行不得進行所申請之投資行為。(第2項)商業銀行為配合政府經濟發展計畫，經主管機關核准者，得投資於非金融相關事業。但不得參與該相關事業之經營。主管機關自申請書件送達之次日起30日內，未表示反對者，視為已核准。但於前揭期間內，銀行不得進行所申請之投資行為。(第3項)前二項之投資須符合下列規定：一、投資總額不得超過投資時銀行淨值之百分之四十，其中投資非金融相關</w:t>
      </w:r>
      <w:r w:rsidRPr="00F542DE">
        <w:rPr>
          <w:rFonts w:hint="eastAsia"/>
        </w:rPr>
        <w:lastRenderedPageBreak/>
        <w:t>事業之總額不得超過投資時淨值之百分之十。二、商業銀行投資金融相關事業，其屬同一業別者，除配合政府政策，經主管機關核准者外，以1家為限。三、商業銀行投資</w:t>
      </w:r>
      <w:r w:rsidRPr="00F542DE">
        <w:rPr>
          <w:rFonts w:hint="eastAsia"/>
          <w:b/>
        </w:rPr>
        <w:t>非金融相關事業</w:t>
      </w:r>
      <w:r w:rsidRPr="00F542DE">
        <w:rPr>
          <w:rFonts w:hint="eastAsia"/>
        </w:rPr>
        <w:t>，對每一事業之投資金額不得超過該被投資事業實收資本總額或已發行股份總數之百分之五。(第4項)第1項及前項第2款</w:t>
      </w:r>
      <w:r w:rsidRPr="00F542DE">
        <w:rPr>
          <w:rFonts w:hint="eastAsia"/>
          <w:b/>
        </w:rPr>
        <w:t>所稱金融相關事業，指銀行、票券、證券、期貨、信用卡、融資性租賃、保險、信託事業及其他經主管機關認定之金融相關事業</w:t>
      </w:r>
      <w:r w:rsidRPr="00F542DE">
        <w:rPr>
          <w:rFonts w:hint="eastAsia"/>
        </w:rPr>
        <w:t>。……</w:t>
      </w:r>
      <w:r w:rsidRPr="00F542DE">
        <w:rPr>
          <w:rFonts w:hAnsi="標楷體" w:hint="eastAsia"/>
        </w:rPr>
        <w:t>」金管會於106年12月25日</w:t>
      </w:r>
      <w:r w:rsidRPr="00F542DE">
        <w:rPr>
          <w:rFonts w:ascii="Verdana" w:hAnsi="Verdana"/>
        </w:rPr>
        <w:t>金管</w:t>
      </w:r>
      <w:r w:rsidRPr="00F542DE">
        <w:t>銀法字第10610006570號</w:t>
      </w:r>
      <w:r w:rsidRPr="00F542DE">
        <w:rPr>
          <w:rFonts w:hint="eastAsia"/>
        </w:rPr>
        <w:t>函</w:t>
      </w:r>
      <w:r w:rsidRPr="00F542DE">
        <w:rPr>
          <w:rFonts w:ascii="Verdana" w:hAnsi="Verdana" w:hint="eastAsia"/>
        </w:rPr>
        <w:t>發布</w:t>
      </w:r>
      <w:r w:rsidRPr="00F542DE">
        <w:rPr>
          <w:rFonts w:hAnsi="標楷體" w:hint="eastAsia"/>
        </w:rPr>
        <w:t>「</w:t>
      </w:r>
      <w:r w:rsidRPr="00F542DE">
        <w:rPr>
          <w:rFonts w:hint="eastAsia"/>
        </w:rPr>
        <w:t>商業銀行申請轉投資創業投資事業及管理顧問事業規定</w:t>
      </w:r>
      <w:r w:rsidRPr="00F542DE">
        <w:rPr>
          <w:rFonts w:hAnsi="標楷體" w:hint="eastAsia"/>
        </w:rPr>
        <w:t>」第2點規定：「</w:t>
      </w:r>
      <w:r w:rsidRPr="00F542DE">
        <w:rPr>
          <w:rFonts w:ascii="Verdana" w:hAnsi="Verdana"/>
        </w:rPr>
        <w:t>茲規定商業銀行申請轉投資下列</w:t>
      </w:r>
      <w:r w:rsidRPr="00F542DE">
        <w:t>事業屬</w:t>
      </w:r>
      <w:r w:rsidR="00D44AAC" w:rsidRPr="00F542DE">
        <w:rPr>
          <w:rFonts w:hAnsi="標楷體" w:hint="eastAsia"/>
        </w:rPr>
        <w:t>『</w:t>
      </w:r>
      <w:r w:rsidRPr="00F542DE">
        <w:t>銀行法</w:t>
      </w:r>
      <w:r w:rsidR="00D44AAC" w:rsidRPr="00F542DE">
        <w:rPr>
          <w:rFonts w:hAnsi="標楷體" w:hint="eastAsia"/>
        </w:rPr>
        <w:t>』</w:t>
      </w:r>
      <w:r w:rsidRPr="00F542DE">
        <w:t>第</w:t>
      </w:r>
      <w:r w:rsidRPr="00F542DE">
        <w:rPr>
          <w:rFonts w:hint="eastAsia"/>
        </w:rPr>
        <w:t>74</w:t>
      </w:r>
      <w:r w:rsidRPr="00F542DE">
        <w:t>條第</w:t>
      </w:r>
      <w:r w:rsidRPr="00F542DE">
        <w:rPr>
          <w:rFonts w:hint="eastAsia"/>
        </w:rPr>
        <w:t>4</w:t>
      </w:r>
      <w:r w:rsidRPr="00F542DE">
        <w:t>項所</w:t>
      </w:r>
      <w:r w:rsidRPr="00F542DE">
        <w:rPr>
          <w:rFonts w:ascii="Verdana" w:hAnsi="Verdana"/>
        </w:rPr>
        <w:t>稱</w:t>
      </w:r>
      <w:r w:rsidRPr="00F542DE">
        <w:rPr>
          <w:rFonts w:hAnsi="標楷體" w:hint="eastAsia"/>
        </w:rPr>
        <w:t>『</w:t>
      </w:r>
      <w:r w:rsidRPr="00F542DE">
        <w:rPr>
          <w:rFonts w:ascii="Verdana" w:hAnsi="Verdana"/>
        </w:rPr>
        <w:t>其他經主管機關認定之金融相關事業</w:t>
      </w:r>
      <w:r w:rsidRPr="00F542DE">
        <w:rPr>
          <w:rFonts w:hAnsi="標楷體" w:hint="eastAsia"/>
        </w:rPr>
        <w:t>』：(一)</w:t>
      </w:r>
      <w:r w:rsidRPr="00F542DE">
        <w:rPr>
          <w:rFonts w:ascii="Verdana" w:hAnsi="Verdana"/>
          <w:b/>
        </w:rPr>
        <w:t>創業投資事業</w:t>
      </w:r>
      <w:r w:rsidRPr="00F542DE">
        <w:rPr>
          <w:rFonts w:ascii="Verdana" w:hAnsi="Verdana"/>
        </w:rPr>
        <w:t>。</w:t>
      </w:r>
      <w:r w:rsidRPr="00F542DE">
        <w:rPr>
          <w:rFonts w:hAnsi="標楷體" w:hint="eastAsia"/>
        </w:rPr>
        <w:t>(二)</w:t>
      </w:r>
      <w:r w:rsidRPr="00F542DE">
        <w:rPr>
          <w:rFonts w:ascii="Verdana" w:hAnsi="Verdana"/>
        </w:rPr>
        <w:t>募集或設立創業投資事業之管理顧問事業。</w:t>
      </w:r>
      <w:r w:rsidRPr="00F542DE">
        <w:rPr>
          <w:rFonts w:hAnsi="標楷體" w:hint="eastAsia"/>
        </w:rPr>
        <w:t>」</w:t>
      </w:r>
      <w:r w:rsidR="00D40664" w:rsidRPr="00F542DE">
        <w:rPr>
          <w:rFonts w:hAnsi="標楷體" w:hint="eastAsia"/>
        </w:rPr>
        <w:t>同日，該會並以</w:t>
      </w:r>
      <w:r w:rsidRPr="00F542DE">
        <w:rPr>
          <w:rFonts w:hint="eastAsia"/>
        </w:rPr>
        <w:t>金管銀法字第10610006575號函，停止適用上開財政部87年8月31日台財融字第87807892號函。</w:t>
      </w:r>
      <w:bookmarkEnd w:id="83"/>
      <w:bookmarkEnd w:id="84"/>
      <w:bookmarkEnd w:id="85"/>
    </w:p>
    <w:p w:rsidR="00587787" w:rsidRPr="00F542DE" w:rsidRDefault="00D40664" w:rsidP="00587787">
      <w:pPr>
        <w:pStyle w:val="3"/>
        <w:ind w:left="1362"/>
      </w:pPr>
      <w:bookmarkStart w:id="86" w:name="_Toc24448127"/>
      <w:bookmarkStart w:id="87" w:name="_Toc29903199"/>
      <w:bookmarkStart w:id="88" w:name="_Toc30496477"/>
      <w:r w:rsidRPr="00F542DE">
        <w:rPr>
          <w:rFonts w:hint="eastAsia"/>
        </w:rPr>
        <w:t>有關修正銀行對創投</w:t>
      </w:r>
      <w:r w:rsidRPr="00F542DE">
        <w:rPr>
          <w:rFonts w:hAnsi="標楷體" w:hint="eastAsia"/>
        </w:rPr>
        <w:t>事業</w:t>
      </w:r>
      <w:r w:rsidRPr="00F542DE">
        <w:rPr>
          <w:rFonts w:hint="eastAsia"/>
        </w:rPr>
        <w:t>持股比率之經過，</w:t>
      </w:r>
      <w:r w:rsidR="000C2628" w:rsidRPr="00F542DE">
        <w:rPr>
          <w:rFonts w:hint="eastAsia"/>
        </w:rPr>
        <w:t>金管會於106年12月25日放寬銀行投資創投事業比率</w:t>
      </w:r>
      <w:r w:rsidR="00DF393C" w:rsidRPr="00F542DE">
        <w:rPr>
          <w:rFonts w:hint="eastAsia"/>
        </w:rPr>
        <w:t>後</w:t>
      </w:r>
      <w:r w:rsidR="000C2628" w:rsidRPr="00F542DE">
        <w:rPr>
          <w:rFonts w:hint="eastAsia"/>
        </w:rPr>
        <w:t>，</w:t>
      </w:r>
      <w:r w:rsidR="00DF393C" w:rsidRPr="00F542DE">
        <w:rPr>
          <w:rFonts w:hAnsi="標楷體" w:hint="eastAsia"/>
        </w:rPr>
        <w:t>台杉投顧即於107年3月提供台杉水牛二號基金募資計畫書予第一銀行並進行簡報，並於107年4月至合作金庫、華南金控進行募資簡報，且於</w:t>
      </w:r>
      <w:r w:rsidR="000C2628" w:rsidRPr="00F542DE">
        <w:rPr>
          <w:rFonts w:hint="eastAsia"/>
        </w:rPr>
        <w:t>107年5月11日成立</w:t>
      </w:r>
      <w:r w:rsidR="00C76CF7" w:rsidRPr="00F542DE">
        <w:rPr>
          <w:rFonts w:hint="eastAsia"/>
        </w:rPr>
        <w:t>台杉</w:t>
      </w:r>
      <w:r w:rsidR="000C2628" w:rsidRPr="00F542DE">
        <w:rPr>
          <w:rFonts w:hint="eastAsia"/>
        </w:rPr>
        <w:t>水牛二號基金開始募集資金，即有華南銀行等多家原本投資金額僅得為</w:t>
      </w:r>
      <w:r w:rsidR="00C76CF7" w:rsidRPr="00F542DE">
        <w:rPr>
          <w:rFonts w:hint="eastAsia"/>
        </w:rPr>
        <w:t>實收資本</w:t>
      </w:r>
      <w:r w:rsidR="000C2628" w:rsidRPr="00F542DE">
        <w:rPr>
          <w:rFonts w:hint="eastAsia"/>
        </w:rPr>
        <w:t>5%之銀行，</w:t>
      </w:r>
      <w:r w:rsidR="007D1048" w:rsidRPr="00F542DE">
        <w:rPr>
          <w:rFonts w:hint="eastAsia"/>
        </w:rPr>
        <w:t>不再受該限制，外界質疑金管會放寬銀行對創投事業之持股比率，係為</w:t>
      </w:r>
      <w:r w:rsidR="00C76CF7" w:rsidRPr="00F542DE">
        <w:rPr>
          <w:rFonts w:hint="eastAsia"/>
        </w:rPr>
        <w:t>台杉水牛二號基金得以募集資金乙節，據</w:t>
      </w:r>
      <w:r w:rsidR="00587787" w:rsidRPr="00F542DE">
        <w:rPr>
          <w:rFonts w:hint="eastAsia"/>
        </w:rPr>
        <w:t>金管會查復本院表示，隨著國內產業結構轉型及經濟金融環境變遷，我國工業銀行投資案源取得不易，且收受存款對象受限，業務發</w:t>
      </w:r>
      <w:r w:rsidR="00587787" w:rsidRPr="00F542DE">
        <w:rPr>
          <w:rFonts w:hint="eastAsia"/>
        </w:rPr>
        <w:lastRenderedPageBreak/>
        <w:t>展面臨困境，紛紛提出轉型。工業銀行主要業務係提供企業中長期信用及直接投資；有關直接投資部分，工業銀行可在限額內逕行投資生產事業或創業投資事業，無須經金管會核准。中華開發工業銀行已於104年5月1日將主要部分之營業及資產負債讓與「凱基商業銀行」，原有工銀業務調整為創業投資公司，並於106年4月13日更名為「中華開發資本公司」。臺灣工業銀行已於106年1月1日改制並更名為「王道商業銀行」。</w:t>
      </w:r>
      <w:r w:rsidR="00587787" w:rsidRPr="00F542DE">
        <w:rPr>
          <w:rFonts w:hint="eastAsia"/>
          <w:b/>
        </w:rPr>
        <w:t>在工業銀行完全退場後，為配合政府產業創新及長期持續性扶植產業政策之推動，並參酌立法委員建議，於工業銀行逐一退場之</w:t>
      </w:r>
      <w:r w:rsidR="00D44AAC" w:rsidRPr="00F542DE">
        <w:rPr>
          <w:rFonts w:hint="eastAsia"/>
          <w:b/>
        </w:rPr>
        <w:t>際</w:t>
      </w:r>
      <w:r w:rsidR="00587787" w:rsidRPr="00F542DE">
        <w:rPr>
          <w:rFonts w:hint="eastAsia"/>
          <w:b/>
        </w:rPr>
        <w:t>，宜研議未來如何引進金融資金參與投資生產事業及創業投資事業。又</w:t>
      </w:r>
      <w:r w:rsidR="00587787" w:rsidRPr="00F542DE">
        <w:rPr>
          <w:rFonts w:hint="eastAsia"/>
          <w:szCs w:val="32"/>
        </w:rPr>
        <w:t>亞洲．矽谷、智慧機械、綠能、生醫、國防、新農業及循環經濟等「</w:t>
      </w:r>
      <w:r w:rsidR="00D44AAC" w:rsidRPr="00F542DE">
        <w:rPr>
          <w:rFonts w:hint="eastAsia"/>
          <w:szCs w:val="32"/>
        </w:rPr>
        <w:t>5+2</w:t>
      </w:r>
      <w:r w:rsidR="00587787" w:rsidRPr="00F542DE">
        <w:rPr>
          <w:rFonts w:hint="eastAsia"/>
          <w:szCs w:val="32"/>
        </w:rPr>
        <w:t>」產業屬創新經濟的範疇，為增加經濟成長的新動能，行政院將以上產業列為積極推動產業。為強化金融機構提供產業資本性資金，</w:t>
      </w:r>
      <w:r w:rsidR="00587787" w:rsidRPr="00F542DE">
        <w:rPr>
          <w:rFonts w:hint="eastAsia"/>
          <w:b/>
          <w:szCs w:val="32"/>
        </w:rPr>
        <w:t>爰金管會盤點現行相關法令，參考</w:t>
      </w:r>
      <w:r w:rsidR="00D44AAC" w:rsidRPr="00F542DE">
        <w:rPr>
          <w:rFonts w:hAnsi="標楷體" w:hint="eastAsia"/>
          <w:b/>
          <w:szCs w:val="32"/>
        </w:rPr>
        <w:t>「</w:t>
      </w:r>
      <w:r w:rsidR="00587787" w:rsidRPr="00F542DE">
        <w:rPr>
          <w:rFonts w:hint="eastAsia"/>
          <w:b/>
          <w:szCs w:val="32"/>
        </w:rPr>
        <w:t>金控法</w:t>
      </w:r>
      <w:r w:rsidR="00D44AAC" w:rsidRPr="00F542DE">
        <w:rPr>
          <w:rFonts w:hAnsi="標楷體" w:hint="eastAsia"/>
          <w:b/>
          <w:szCs w:val="32"/>
        </w:rPr>
        <w:t>」</w:t>
      </w:r>
      <w:r w:rsidR="00587787" w:rsidRPr="00F542DE">
        <w:rPr>
          <w:rFonts w:hint="eastAsia"/>
          <w:b/>
          <w:szCs w:val="32"/>
        </w:rPr>
        <w:t>規定，研議商業銀行參與產業投資之法令</w:t>
      </w:r>
      <w:r w:rsidR="00587787" w:rsidRPr="00F542DE">
        <w:rPr>
          <w:rFonts w:hint="eastAsia"/>
          <w:szCs w:val="32"/>
        </w:rPr>
        <w:t>。</w:t>
      </w:r>
      <w:bookmarkEnd w:id="86"/>
      <w:bookmarkEnd w:id="87"/>
      <w:bookmarkEnd w:id="88"/>
    </w:p>
    <w:p w:rsidR="00587787" w:rsidRPr="00F542DE" w:rsidRDefault="00587787" w:rsidP="00587787">
      <w:pPr>
        <w:pStyle w:val="3"/>
        <w:ind w:left="1362"/>
      </w:pPr>
      <w:bookmarkStart w:id="89" w:name="_Toc24448128"/>
      <w:bookmarkStart w:id="90" w:name="_Toc29903200"/>
      <w:bookmarkStart w:id="91" w:name="_Toc30496478"/>
      <w:r w:rsidRPr="00F542DE">
        <w:rPr>
          <w:rFonts w:hint="eastAsia"/>
          <w:szCs w:val="32"/>
        </w:rPr>
        <w:t>金管會亦說明</w:t>
      </w:r>
      <w:r w:rsidR="00ED6C4F" w:rsidRPr="00F542DE">
        <w:rPr>
          <w:rFonts w:hint="eastAsia"/>
          <w:szCs w:val="32"/>
        </w:rPr>
        <w:t>上開</w:t>
      </w:r>
      <w:r w:rsidRPr="00F542DE">
        <w:rPr>
          <w:rFonts w:hint="eastAsia"/>
          <w:szCs w:val="32"/>
        </w:rPr>
        <w:t>修正之政策考量重點包括適應產業發展、因應金融環境變遷、促進商業銀行業務多樣化及法規一致性調適。其中法規一致性調適部分，該會表示，</w:t>
      </w:r>
      <w:r w:rsidRPr="00F542DE">
        <w:rPr>
          <w:rFonts w:ascii="Times New Roman" w:hAnsi="Times New Roman" w:hint="eastAsia"/>
          <w:szCs w:val="24"/>
        </w:rPr>
        <w:t>創投事業於金控法訂定前，被認為</w:t>
      </w:r>
      <w:r w:rsidRPr="00F542DE">
        <w:rPr>
          <w:rFonts w:ascii="Times New Roman" w:hAnsi="Times New Roman" w:hint="eastAsia"/>
          <w:b/>
          <w:szCs w:val="24"/>
        </w:rPr>
        <w:t>非屬</w:t>
      </w:r>
      <w:r w:rsidR="00D44AAC" w:rsidRPr="00F542DE">
        <w:rPr>
          <w:rFonts w:hAnsi="標楷體" w:hint="eastAsia"/>
          <w:b/>
          <w:szCs w:val="24"/>
        </w:rPr>
        <w:t>「</w:t>
      </w:r>
      <w:r w:rsidRPr="00F542DE">
        <w:rPr>
          <w:rFonts w:ascii="Times New Roman" w:hAnsi="Times New Roman" w:hint="eastAsia"/>
          <w:b/>
          <w:szCs w:val="24"/>
        </w:rPr>
        <w:t>銀行法</w:t>
      </w:r>
      <w:r w:rsidR="00D44AAC" w:rsidRPr="00F542DE">
        <w:rPr>
          <w:rFonts w:hAnsi="標楷體" w:hint="eastAsia"/>
          <w:b/>
          <w:szCs w:val="24"/>
        </w:rPr>
        <w:t>」</w:t>
      </w:r>
      <w:r w:rsidRPr="00F542DE">
        <w:rPr>
          <w:rFonts w:ascii="Times New Roman" w:hAnsi="Times New Roman" w:hint="eastAsia"/>
          <w:b/>
          <w:szCs w:val="24"/>
        </w:rPr>
        <w:t>第</w:t>
      </w:r>
      <w:r w:rsidRPr="00F542DE">
        <w:rPr>
          <w:rFonts w:ascii="Times New Roman" w:hAnsi="Times New Roman" w:hint="eastAsia"/>
          <w:b/>
          <w:szCs w:val="24"/>
        </w:rPr>
        <w:t>74</w:t>
      </w:r>
      <w:r w:rsidRPr="00F542DE">
        <w:rPr>
          <w:rFonts w:ascii="Times New Roman" w:hAnsi="Times New Roman" w:hint="eastAsia"/>
          <w:b/>
          <w:szCs w:val="24"/>
        </w:rPr>
        <w:t>條所稱之金融相關事業</w:t>
      </w:r>
      <w:r w:rsidRPr="00F542DE">
        <w:rPr>
          <w:rFonts w:ascii="Times New Roman" w:hAnsi="Times New Roman" w:hint="eastAsia"/>
          <w:szCs w:val="24"/>
        </w:rPr>
        <w:t>，故商業銀行對其持股比率不得逾</w:t>
      </w:r>
      <w:r w:rsidRPr="00F542DE">
        <w:rPr>
          <w:rFonts w:ascii="Times New Roman" w:hAnsi="Times New Roman" w:hint="eastAsia"/>
          <w:szCs w:val="24"/>
        </w:rPr>
        <w:t>5%</w:t>
      </w:r>
      <w:r w:rsidRPr="00F542DE">
        <w:rPr>
          <w:rFonts w:ascii="Times New Roman" w:hAnsi="Times New Roman" w:hint="eastAsia"/>
          <w:szCs w:val="24"/>
        </w:rPr>
        <w:t>，但</w:t>
      </w:r>
      <w:r w:rsidRPr="00F542DE">
        <w:rPr>
          <w:rFonts w:ascii="Times New Roman" w:hAnsi="Times New Roman" w:hint="eastAsia"/>
          <w:szCs w:val="24"/>
        </w:rPr>
        <w:t>90</w:t>
      </w:r>
      <w:r w:rsidRPr="00F542DE">
        <w:rPr>
          <w:rFonts w:ascii="Times New Roman" w:hAnsi="Times New Roman" w:hint="eastAsia"/>
          <w:szCs w:val="24"/>
        </w:rPr>
        <w:t>年間</w:t>
      </w:r>
      <w:r w:rsidR="00D44AAC" w:rsidRPr="00F542DE">
        <w:rPr>
          <w:rFonts w:hAnsi="標楷體" w:hint="eastAsia"/>
          <w:szCs w:val="24"/>
        </w:rPr>
        <w:t>「</w:t>
      </w:r>
      <w:r w:rsidRPr="00F542DE">
        <w:rPr>
          <w:rFonts w:ascii="Times New Roman" w:hAnsi="Times New Roman" w:hint="eastAsia"/>
          <w:szCs w:val="24"/>
        </w:rPr>
        <w:t>金控法</w:t>
      </w:r>
      <w:r w:rsidR="00D44AAC" w:rsidRPr="00F542DE">
        <w:rPr>
          <w:rFonts w:hAnsi="標楷體" w:hint="eastAsia"/>
          <w:szCs w:val="24"/>
        </w:rPr>
        <w:t>」</w:t>
      </w:r>
      <w:r w:rsidRPr="00F542DE">
        <w:rPr>
          <w:rFonts w:ascii="Times New Roman" w:hAnsi="Times New Roman" w:hint="eastAsia"/>
          <w:szCs w:val="24"/>
        </w:rPr>
        <w:t>訂定時，已將創投事業與銀行、保險、證券及期貨等事業，並列為金控公司可</w:t>
      </w:r>
      <w:r w:rsidRPr="00F542DE">
        <w:rPr>
          <w:rFonts w:ascii="Times New Roman" w:hAnsi="Times New Roman" w:hint="eastAsia"/>
          <w:szCs w:val="24"/>
        </w:rPr>
        <w:t>100%</w:t>
      </w:r>
      <w:r w:rsidRPr="00F542DE">
        <w:rPr>
          <w:rFonts w:ascii="Times New Roman" w:hAnsi="Times New Roman" w:hint="eastAsia"/>
          <w:szCs w:val="24"/>
        </w:rPr>
        <w:t>投資之事業，</w:t>
      </w:r>
      <w:r w:rsidRPr="00F542DE">
        <w:rPr>
          <w:rFonts w:ascii="Times New Roman" w:hAnsi="Times New Roman" w:hint="eastAsia"/>
          <w:b/>
          <w:szCs w:val="24"/>
        </w:rPr>
        <w:t>認定創投事業為與金融業務相關之附屬或輔助事業</w:t>
      </w:r>
      <w:r w:rsidRPr="00F542DE">
        <w:rPr>
          <w:rFonts w:ascii="Times New Roman" w:hAnsi="Times New Roman" w:hint="eastAsia"/>
          <w:szCs w:val="24"/>
        </w:rPr>
        <w:t>。另併考量創投事業實質上係可用來投資之資金，本質上與銀行法上所稱之非金融相關事業性質有間，爰</w:t>
      </w:r>
      <w:r w:rsidRPr="00F542DE">
        <w:rPr>
          <w:rFonts w:ascii="Times New Roman" w:hAnsi="Times New Roman" w:hint="eastAsia"/>
          <w:szCs w:val="24"/>
        </w:rPr>
        <w:lastRenderedPageBreak/>
        <w:t>予檢討以利法令間之調和。</w:t>
      </w:r>
      <w:bookmarkEnd w:id="89"/>
      <w:bookmarkEnd w:id="90"/>
      <w:bookmarkEnd w:id="91"/>
    </w:p>
    <w:p w:rsidR="00587787" w:rsidRPr="00F542DE" w:rsidRDefault="00587787" w:rsidP="00587787">
      <w:pPr>
        <w:pStyle w:val="3"/>
        <w:ind w:left="1362"/>
      </w:pPr>
      <w:bookmarkStart w:id="92" w:name="_Toc24448129"/>
      <w:bookmarkStart w:id="93" w:name="_Toc29903201"/>
      <w:bookmarkStart w:id="94" w:name="_Toc30496479"/>
      <w:r w:rsidRPr="00F542DE">
        <w:rPr>
          <w:rFonts w:hint="eastAsia"/>
        </w:rPr>
        <w:t>按上開說明，90年公布之</w:t>
      </w:r>
      <w:r w:rsidR="00D44AAC" w:rsidRPr="00F542DE">
        <w:rPr>
          <w:rFonts w:hAnsi="標楷體" w:hint="eastAsia"/>
        </w:rPr>
        <w:t>「</w:t>
      </w:r>
      <w:r w:rsidRPr="00F542DE">
        <w:rPr>
          <w:rFonts w:hint="eastAsia"/>
        </w:rPr>
        <w:t>金控法</w:t>
      </w:r>
      <w:r w:rsidR="00D44AAC" w:rsidRPr="00F542DE">
        <w:rPr>
          <w:rFonts w:hAnsi="標楷體" w:hint="eastAsia"/>
        </w:rPr>
        <w:t>」</w:t>
      </w:r>
      <w:r w:rsidRPr="00F542DE">
        <w:rPr>
          <w:rFonts w:hint="eastAsia"/>
        </w:rPr>
        <w:t>已認定創投事業為與金融業務相關之附屬或輔助事業，惟財政部87年認定創業投資公司係屬非金融相關事業之函釋，卻至106年12月25日金管會訂定</w:t>
      </w:r>
      <w:r w:rsidRPr="00F542DE">
        <w:rPr>
          <w:rFonts w:hAnsi="標楷體" w:hint="eastAsia"/>
        </w:rPr>
        <w:t>「</w:t>
      </w:r>
      <w:r w:rsidRPr="00F542DE">
        <w:rPr>
          <w:rFonts w:hint="eastAsia"/>
        </w:rPr>
        <w:t>商業銀行申請轉投資創業投資事業及管理顧問事業規定</w:t>
      </w:r>
      <w:r w:rsidRPr="00F542DE">
        <w:rPr>
          <w:rFonts w:hAnsi="標楷體" w:hint="eastAsia"/>
        </w:rPr>
        <w:t>」，將</w:t>
      </w:r>
      <w:r w:rsidRPr="00F542DE">
        <w:rPr>
          <w:rFonts w:ascii="Verdana" w:hAnsi="Verdana"/>
          <w:b/>
        </w:rPr>
        <w:t>創業投資事業</w:t>
      </w:r>
      <w:r w:rsidRPr="00F542DE">
        <w:rPr>
          <w:rFonts w:ascii="Verdana" w:hAnsi="Verdana" w:hint="eastAsia"/>
          <w:b/>
        </w:rPr>
        <w:t>及</w:t>
      </w:r>
      <w:r w:rsidRPr="00F542DE">
        <w:rPr>
          <w:rFonts w:ascii="Verdana" w:hAnsi="Verdana"/>
        </w:rPr>
        <w:t>募集或設立創業投資事業之管理顧問事業</w:t>
      </w:r>
      <w:r w:rsidRPr="00F542DE">
        <w:rPr>
          <w:rFonts w:ascii="Verdana" w:hAnsi="Verdana" w:hint="eastAsia"/>
        </w:rPr>
        <w:t>列為</w:t>
      </w:r>
      <w:r w:rsidRPr="00F542DE">
        <w:rPr>
          <w:rFonts w:hAnsi="標楷體" w:hint="eastAsia"/>
        </w:rPr>
        <w:t>「</w:t>
      </w:r>
      <w:r w:rsidRPr="00F542DE">
        <w:rPr>
          <w:rFonts w:ascii="Verdana" w:hAnsi="Verdana"/>
        </w:rPr>
        <w:t>其他經主管機關認定之金融相關事業</w:t>
      </w:r>
      <w:r w:rsidRPr="00F542DE">
        <w:rPr>
          <w:rFonts w:hAnsi="標楷體" w:hint="eastAsia"/>
        </w:rPr>
        <w:t>」後</w:t>
      </w:r>
      <w:r w:rsidR="005055D8" w:rsidRPr="00F542DE">
        <w:rPr>
          <w:rFonts w:hAnsi="標楷體" w:hint="eastAsia"/>
          <w:lang w:eastAsia="zh-HK"/>
        </w:rPr>
        <w:t>始</w:t>
      </w:r>
      <w:r w:rsidR="005055D8" w:rsidRPr="00F542DE">
        <w:rPr>
          <w:rFonts w:hint="eastAsia"/>
        </w:rPr>
        <w:t>停止適用</w:t>
      </w:r>
      <w:r w:rsidRPr="00F542DE">
        <w:rPr>
          <w:rFonts w:hAnsi="標楷體" w:hint="eastAsia"/>
        </w:rPr>
        <w:t>。雖然金管會係</w:t>
      </w:r>
      <w:r w:rsidRPr="00F542DE">
        <w:rPr>
          <w:rFonts w:hint="eastAsia"/>
          <w:b/>
        </w:rPr>
        <w:t>在工業銀行完全退場後，為配合政府產業創新及長期持續性扶植產業政策之推動，並參酌立法委員建議，於工業銀行逐一退場之</w:t>
      </w:r>
      <w:r w:rsidR="00D44AAC" w:rsidRPr="00F542DE">
        <w:rPr>
          <w:rFonts w:hint="eastAsia"/>
          <w:b/>
        </w:rPr>
        <w:t>際</w:t>
      </w:r>
      <w:r w:rsidRPr="00F542DE">
        <w:rPr>
          <w:rFonts w:hint="eastAsia"/>
          <w:b/>
        </w:rPr>
        <w:t>，宜研議未來如何引進金融資金參與投資生產事業及創業投資事業。及</w:t>
      </w:r>
      <w:r w:rsidRPr="00F542DE">
        <w:rPr>
          <w:rFonts w:hint="eastAsia"/>
          <w:szCs w:val="32"/>
        </w:rPr>
        <w:t>為強化金融機構提供產業資本性資金，</w:t>
      </w:r>
      <w:r w:rsidRPr="00F542DE">
        <w:rPr>
          <w:rFonts w:hint="eastAsia"/>
          <w:b/>
          <w:szCs w:val="32"/>
        </w:rPr>
        <w:t>爰盤點現行相關法令，參考金控法規定，研議商業銀行參與產業投資之法令而</w:t>
      </w:r>
      <w:r w:rsidRPr="00F542DE">
        <w:rPr>
          <w:rFonts w:hAnsi="標楷體" w:hint="eastAsia"/>
        </w:rPr>
        <w:t>訂定「</w:t>
      </w:r>
      <w:r w:rsidRPr="00F542DE">
        <w:rPr>
          <w:rFonts w:hint="eastAsia"/>
        </w:rPr>
        <w:t>商業銀行申請轉投資創業投資事業及管理顧問事業規定</w:t>
      </w:r>
      <w:r w:rsidRPr="00F542DE">
        <w:rPr>
          <w:rFonts w:hAnsi="標楷體" w:hint="eastAsia"/>
        </w:rPr>
        <w:t>」，惟</w:t>
      </w:r>
      <w:r w:rsidRPr="00F542DE">
        <w:rPr>
          <w:rFonts w:hint="eastAsia"/>
        </w:rPr>
        <w:t>創業投資</w:t>
      </w:r>
      <w:r w:rsidR="00ED6C4F" w:rsidRPr="00F542DE">
        <w:rPr>
          <w:rFonts w:hint="eastAsia"/>
        </w:rPr>
        <w:t>事業</w:t>
      </w:r>
      <w:r w:rsidRPr="00F542DE">
        <w:rPr>
          <w:rFonts w:hint="eastAsia"/>
        </w:rPr>
        <w:t>是否屬金融相關事業，財政部函釋與</w:t>
      </w:r>
      <w:r w:rsidR="00D44AAC" w:rsidRPr="00F542DE">
        <w:rPr>
          <w:rFonts w:hAnsi="標楷體" w:hint="eastAsia"/>
        </w:rPr>
        <w:t>「</w:t>
      </w:r>
      <w:r w:rsidRPr="00F542DE">
        <w:rPr>
          <w:rFonts w:hint="eastAsia"/>
        </w:rPr>
        <w:t>金控法</w:t>
      </w:r>
      <w:r w:rsidR="00D44AAC" w:rsidRPr="00F542DE">
        <w:rPr>
          <w:rFonts w:hAnsi="標楷體" w:hint="eastAsia"/>
        </w:rPr>
        <w:t>」</w:t>
      </w:r>
      <w:r w:rsidRPr="00F542DE">
        <w:rPr>
          <w:rFonts w:hint="eastAsia"/>
        </w:rPr>
        <w:t>長期欠缺一致性，實有未洽。</w:t>
      </w:r>
      <w:bookmarkEnd w:id="92"/>
      <w:bookmarkEnd w:id="93"/>
      <w:bookmarkEnd w:id="94"/>
    </w:p>
    <w:p w:rsidR="00587787" w:rsidRPr="00F542DE" w:rsidRDefault="00587787" w:rsidP="00587787">
      <w:pPr>
        <w:pStyle w:val="3"/>
        <w:rPr>
          <w:b/>
        </w:rPr>
      </w:pPr>
      <w:bookmarkStart w:id="95" w:name="_Toc24448130"/>
      <w:bookmarkStart w:id="96" w:name="_Toc29903202"/>
      <w:bookmarkStart w:id="97" w:name="_Toc30496480"/>
      <w:r w:rsidRPr="00F542DE">
        <w:rPr>
          <w:rFonts w:hint="eastAsia"/>
        </w:rPr>
        <w:t>另</w:t>
      </w:r>
      <w:r w:rsidR="00BC2C99" w:rsidRPr="00F542DE">
        <w:rPr>
          <w:rFonts w:hint="eastAsia"/>
        </w:rPr>
        <w:t>依國發會簽奉行政院核定規劃成立國家級投資公司案之各基金規模係以募集20至40億元為目標，且國發基金對每檔基金投資額不超過20億元。是以台杉水牛二號基金於107年7月30日募集完成59.01億元，扣除台新國際商業銀行股份有限公司、合作金庫、第一銀行</w:t>
      </w:r>
      <w:r w:rsidR="00BC2C99" w:rsidRPr="00F542DE">
        <w:rPr>
          <w:rFonts w:hAnsi="標楷體" w:hint="eastAsia"/>
        </w:rPr>
        <w:t>、</w:t>
      </w:r>
      <w:r w:rsidR="00BC2C99" w:rsidRPr="00F542DE">
        <w:rPr>
          <w:rFonts w:hint="eastAsia"/>
        </w:rPr>
        <w:t>華南銀行等4家承諾投資金額超過財政部所訂5%之</w:t>
      </w:r>
      <w:r w:rsidR="00745B86" w:rsidRPr="00F542DE">
        <w:rPr>
          <w:rFonts w:hint="eastAsia"/>
        </w:rPr>
        <w:t>銀行</w:t>
      </w:r>
      <w:r w:rsidR="007C6025" w:rsidRPr="00F542DE">
        <w:rPr>
          <w:rFonts w:hint="eastAsia"/>
        </w:rPr>
        <w:t>投資</w:t>
      </w:r>
      <w:r w:rsidR="00745B86" w:rsidRPr="00F542DE">
        <w:rPr>
          <w:rFonts w:hint="eastAsia"/>
        </w:rPr>
        <w:t>總</w:t>
      </w:r>
      <w:r w:rsidR="007C6025" w:rsidRPr="00F542DE">
        <w:rPr>
          <w:rFonts w:hint="eastAsia"/>
        </w:rPr>
        <w:t>額</w:t>
      </w:r>
      <w:r w:rsidR="00BC2C99" w:rsidRPr="00F542DE">
        <w:rPr>
          <w:rFonts w:hint="eastAsia"/>
        </w:rPr>
        <w:t>17.3億元後，已募集41.71億元，</w:t>
      </w:r>
      <w:r w:rsidR="007C6025" w:rsidRPr="00F542DE">
        <w:rPr>
          <w:rFonts w:hint="eastAsia"/>
        </w:rPr>
        <w:t>仍</w:t>
      </w:r>
      <w:r w:rsidR="00BC2C99" w:rsidRPr="00F542DE">
        <w:rPr>
          <w:rFonts w:hint="eastAsia"/>
        </w:rPr>
        <w:t>可</w:t>
      </w:r>
      <w:r w:rsidR="000E013B" w:rsidRPr="00F542DE">
        <w:rPr>
          <w:rFonts w:hint="eastAsia"/>
        </w:rPr>
        <w:t>開始運作</w:t>
      </w:r>
      <w:r w:rsidR="00745B86" w:rsidRPr="00F542DE">
        <w:rPr>
          <w:rFonts w:hint="eastAsia"/>
        </w:rPr>
        <w:t>，</w:t>
      </w:r>
      <w:r w:rsidR="000E013B" w:rsidRPr="00F542DE">
        <w:rPr>
          <w:rFonts w:hint="eastAsia"/>
        </w:rPr>
        <w:t>爰尚難</w:t>
      </w:r>
      <w:r w:rsidR="00C76CF7" w:rsidRPr="00F542DE">
        <w:rPr>
          <w:rFonts w:hint="eastAsia"/>
        </w:rPr>
        <w:t>遽</w:t>
      </w:r>
      <w:r w:rsidR="000E013B" w:rsidRPr="00F542DE">
        <w:rPr>
          <w:rFonts w:hint="eastAsia"/>
        </w:rPr>
        <w:t>認</w:t>
      </w:r>
      <w:r w:rsidRPr="00F542DE">
        <w:rPr>
          <w:rFonts w:hint="eastAsia"/>
        </w:rPr>
        <w:t>金管會</w:t>
      </w:r>
      <w:r w:rsidR="000E013B" w:rsidRPr="00F542DE">
        <w:rPr>
          <w:rFonts w:hint="eastAsia"/>
        </w:rPr>
        <w:t>配合修改相關規定，大幅放寬銀行轉投資創投事業之持股比率，</w:t>
      </w:r>
      <w:r w:rsidR="007C6025" w:rsidRPr="00F542DE">
        <w:rPr>
          <w:rFonts w:hint="eastAsia"/>
        </w:rPr>
        <w:t>以</w:t>
      </w:r>
      <w:r w:rsidR="000E013B" w:rsidRPr="00F542DE">
        <w:rPr>
          <w:rFonts w:hint="eastAsia"/>
        </w:rPr>
        <w:t>配合投資台杉投顧旗下之基金</w:t>
      </w:r>
      <w:r w:rsidRPr="00F542DE">
        <w:rPr>
          <w:rFonts w:hint="eastAsia"/>
        </w:rPr>
        <w:t>。</w:t>
      </w:r>
      <w:bookmarkEnd w:id="95"/>
      <w:bookmarkEnd w:id="96"/>
      <w:bookmarkEnd w:id="97"/>
    </w:p>
    <w:p w:rsidR="00AA54D5" w:rsidRPr="00F542DE" w:rsidRDefault="00AA54D5" w:rsidP="00AA54D5">
      <w:pPr>
        <w:pStyle w:val="3"/>
        <w:rPr>
          <w:rFonts w:hAnsi="標楷體"/>
        </w:rPr>
      </w:pPr>
      <w:bookmarkStart w:id="98" w:name="_Toc24448131"/>
      <w:bookmarkStart w:id="99" w:name="_Toc29903203"/>
      <w:bookmarkStart w:id="100" w:name="_Toc30496481"/>
      <w:r w:rsidRPr="00F542DE">
        <w:rPr>
          <w:rFonts w:hint="eastAsia"/>
        </w:rPr>
        <w:t>綜上，90年公布之金融控股公司法已認定創業投資</w:t>
      </w:r>
      <w:r w:rsidRPr="00F542DE">
        <w:rPr>
          <w:rFonts w:hint="eastAsia"/>
        </w:rPr>
        <w:lastRenderedPageBreak/>
        <w:t>事業為與金融業務相關之附屬或輔助事業，惟財政部87年認定創業投資公司係屬非金融相關事業之函釋，卻</w:t>
      </w:r>
      <w:r w:rsidR="001E5622" w:rsidRPr="00F542DE">
        <w:rPr>
          <w:rFonts w:hint="eastAsia"/>
        </w:rPr>
        <w:t>迨</w:t>
      </w:r>
      <w:r w:rsidRPr="00F542DE">
        <w:rPr>
          <w:rFonts w:hint="eastAsia"/>
        </w:rPr>
        <w:t>至106年12月25日金管會訂定</w:t>
      </w:r>
      <w:r w:rsidRPr="00F542DE">
        <w:rPr>
          <w:rFonts w:hAnsi="標楷體" w:hint="eastAsia"/>
        </w:rPr>
        <w:t>「</w:t>
      </w:r>
      <w:r w:rsidRPr="00F542DE">
        <w:rPr>
          <w:rFonts w:hint="eastAsia"/>
        </w:rPr>
        <w:t>商業銀行申請轉投資創業投資事業及管理顧問事業規定</w:t>
      </w:r>
      <w:r w:rsidRPr="00F542DE">
        <w:rPr>
          <w:rFonts w:hAnsi="標楷體" w:hint="eastAsia"/>
        </w:rPr>
        <w:t>」，將</w:t>
      </w:r>
      <w:r w:rsidRPr="00F542DE">
        <w:rPr>
          <w:rFonts w:ascii="Verdana" w:hAnsi="Verdana"/>
        </w:rPr>
        <w:t>創業投資事業</w:t>
      </w:r>
      <w:r w:rsidRPr="00F542DE">
        <w:rPr>
          <w:rFonts w:ascii="Verdana" w:hAnsi="Verdana" w:hint="eastAsia"/>
        </w:rPr>
        <w:t>及</w:t>
      </w:r>
      <w:r w:rsidRPr="00F542DE">
        <w:rPr>
          <w:rFonts w:ascii="Verdana" w:hAnsi="Verdana"/>
        </w:rPr>
        <w:t>募集或設立創業投資事業之管理顧問事業</w:t>
      </w:r>
      <w:r w:rsidRPr="00F542DE">
        <w:rPr>
          <w:rFonts w:hAnsi="標楷體" w:hint="eastAsia"/>
        </w:rPr>
        <w:t>列為「</w:t>
      </w:r>
      <w:r w:rsidRPr="00F542DE">
        <w:rPr>
          <w:rFonts w:hAnsi="標楷體"/>
        </w:rPr>
        <w:t>其他經主管機關認定之金融相關事業</w:t>
      </w:r>
      <w:r w:rsidRPr="00F542DE">
        <w:rPr>
          <w:rFonts w:hAnsi="標楷體" w:hint="eastAsia"/>
        </w:rPr>
        <w:t>」後始</w:t>
      </w:r>
      <w:r w:rsidR="0059336A" w:rsidRPr="00F542DE">
        <w:rPr>
          <w:rFonts w:hint="eastAsia"/>
        </w:rPr>
        <w:t>停止適用</w:t>
      </w:r>
      <w:r w:rsidRPr="00F542DE">
        <w:rPr>
          <w:rFonts w:hAnsi="標楷體" w:hint="eastAsia"/>
        </w:rPr>
        <w:t>，致創業投資事業是否屬金融相關事業，財政部函釋與金控法長期欠缺一致性，</w:t>
      </w:r>
      <w:r w:rsidR="00BD7B10" w:rsidRPr="00F542DE">
        <w:rPr>
          <w:rFonts w:hAnsi="標楷體" w:hint="eastAsia"/>
        </w:rPr>
        <w:t>實有未洽。</w:t>
      </w:r>
      <w:r w:rsidR="00D52D45" w:rsidRPr="00F542DE">
        <w:rPr>
          <w:rFonts w:hAnsi="標楷體" w:hint="eastAsia"/>
        </w:rPr>
        <w:t>又106年12月25日金管會放寬銀行對創投事業持股比率後，台杉投顧即自107年3月起展開募資作業，引發</w:t>
      </w:r>
      <w:r w:rsidR="00D52D45" w:rsidRPr="00F542DE">
        <w:rPr>
          <w:rFonts w:hint="eastAsia"/>
        </w:rPr>
        <w:t>外界質疑金管會放寬上開持股比率，係為台杉水牛二號基金得以募集資金，殊不值得，爰金管會允應隨時檢討相關規範之合宜性，避免造成誤解。</w:t>
      </w:r>
      <w:bookmarkEnd w:id="98"/>
      <w:bookmarkEnd w:id="99"/>
      <w:bookmarkEnd w:id="100"/>
    </w:p>
    <w:p w:rsidR="0092720B" w:rsidRPr="00F542DE" w:rsidRDefault="0092720B" w:rsidP="00EB44F3">
      <w:pPr>
        <w:pStyle w:val="2"/>
        <w:spacing w:beforeLines="50" w:before="228"/>
        <w:ind w:left="1020" w:hanging="680"/>
        <w:rPr>
          <w:b/>
        </w:rPr>
      </w:pPr>
      <w:bookmarkStart w:id="101" w:name="_Toc30496482"/>
      <w:r w:rsidRPr="00F542DE">
        <w:rPr>
          <w:rFonts w:hint="eastAsia"/>
          <w:b/>
        </w:rPr>
        <w:t>陳訴人就台杉投顧規劃執行疑義事項經本院調查，</w:t>
      </w:r>
      <w:r w:rsidR="002F7A5F" w:rsidRPr="00F542DE">
        <w:rPr>
          <w:rFonts w:hint="eastAsia"/>
          <w:b/>
        </w:rPr>
        <w:t>其他</w:t>
      </w:r>
      <w:r w:rsidRPr="00F542DE">
        <w:rPr>
          <w:rFonts w:hint="eastAsia"/>
          <w:b/>
        </w:rPr>
        <w:t>相關意見分述如下：</w:t>
      </w:r>
      <w:bookmarkEnd w:id="101"/>
    </w:p>
    <w:p w:rsidR="004A27B7" w:rsidRPr="00F542DE" w:rsidRDefault="001357C9" w:rsidP="004A27B7">
      <w:pPr>
        <w:pStyle w:val="3"/>
      </w:pPr>
      <w:bookmarkStart w:id="102" w:name="_Toc30496483"/>
      <w:r w:rsidRPr="00F542DE">
        <w:rPr>
          <w:rFonts w:hint="eastAsia"/>
          <w:b/>
        </w:rPr>
        <w:t>台杉投顧、台杉美國子公司、台杉生技、台杉水牛一號基金、台杉水牛二號基金相關董監事及高階</w:t>
      </w:r>
      <w:r w:rsidR="004264E9" w:rsidRPr="00F542DE">
        <w:rPr>
          <w:rFonts w:hint="eastAsia"/>
          <w:b/>
        </w:rPr>
        <w:t>經理人</w:t>
      </w:r>
      <w:r w:rsidRPr="00F542DE">
        <w:rPr>
          <w:rFonts w:hint="eastAsia"/>
          <w:b/>
        </w:rPr>
        <w:t>，經本院調閱相關</w:t>
      </w:r>
      <w:r w:rsidR="002F7A5F" w:rsidRPr="00F542DE">
        <w:rPr>
          <w:rFonts w:hint="eastAsia"/>
          <w:b/>
        </w:rPr>
        <w:t>人員</w:t>
      </w:r>
      <w:r w:rsidRPr="00F542DE">
        <w:rPr>
          <w:rFonts w:hint="eastAsia"/>
          <w:b/>
        </w:rPr>
        <w:t>資歷，</w:t>
      </w:r>
      <w:r w:rsidR="002F7A5F" w:rsidRPr="00F542DE">
        <w:rPr>
          <w:rFonts w:hint="eastAsia"/>
          <w:b/>
        </w:rPr>
        <w:t>依其</w:t>
      </w:r>
      <w:r w:rsidRPr="00F542DE">
        <w:rPr>
          <w:rFonts w:hint="eastAsia"/>
          <w:b/>
        </w:rPr>
        <w:t>專業背景或實務經驗，尚</w:t>
      </w:r>
      <w:r w:rsidR="00EC785C" w:rsidRPr="00F542DE">
        <w:rPr>
          <w:rFonts w:hint="eastAsia"/>
          <w:b/>
        </w:rPr>
        <w:t>難</w:t>
      </w:r>
      <w:r w:rsidRPr="00F542DE">
        <w:rPr>
          <w:rFonts w:hint="eastAsia"/>
          <w:b/>
        </w:rPr>
        <w:t>認定</w:t>
      </w:r>
      <w:r w:rsidR="002F7A5F" w:rsidRPr="00F542DE">
        <w:rPr>
          <w:rFonts w:hint="eastAsia"/>
          <w:b/>
        </w:rPr>
        <w:t>該</w:t>
      </w:r>
      <w:r w:rsidR="00852FEC" w:rsidRPr="00F542DE">
        <w:rPr>
          <w:rFonts w:hint="eastAsia"/>
          <w:b/>
        </w:rPr>
        <w:t>些</w:t>
      </w:r>
      <w:r w:rsidR="002F7A5F" w:rsidRPr="00F542DE">
        <w:rPr>
          <w:rFonts w:hint="eastAsia"/>
          <w:b/>
        </w:rPr>
        <w:t>人員</w:t>
      </w:r>
      <w:r w:rsidRPr="00F542DE">
        <w:rPr>
          <w:rFonts w:hint="eastAsia"/>
          <w:b/>
        </w:rPr>
        <w:t>有無法勝任職務之情事。</w:t>
      </w:r>
      <w:r w:rsidR="002677FF" w:rsidRPr="00F542DE">
        <w:rPr>
          <w:rFonts w:hint="eastAsia"/>
          <w:b/>
        </w:rPr>
        <w:t>且</w:t>
      </w:r>
      <w:r w:rsidRPr="00F542DE">
        <w:rPr>
          <w:rFonts w:hint="eastAsia"/>
          <w:b/>
        </w:rPr>
        <w:t>董監事薪酬、分紅及獎金等制度</w:t>
      </w:r>
      <w:r w:rsidR="002F7A5F" w:rsidRPr="00F542DE">
        <w:rPr>
          <w:rFonts w:hint="eastAsia"/>
          <w:b/>
        </w:rPr>
        <w:t>則尚</w:t>
      </w:r>
      <w:r w:rsidR="00084817" w:rsidRPr="00F542DE">
        <w:rPr>
          <w:rFonts w:hint="eastAsia"/>
          <w:b/>
        </w:rPr>
        <w:t>未發現</w:t>
      </w:r>
      <w:r w:rsidRPr="00F542DE">
        <w:rPr>
          <w:rFonts w:hint="eastAsia"/>
          <w:b/>
        </w:rPr>
        <w:t>有自肥之情事。另，</w:t>
      </w:r>
      <w:r w:rsidR="004264E9" w:rsidRPr="00F542DE">
        <w:rPr>
          <w:rFonts w:hint="eastAsia"/>
          <w:b/>
        </w:rPr>
        <w:t>台杉投顧</w:t>
      </w:r>
      <w:r w:rsidR="002677FF" w:rsidRPr="00F542DE">
        <w:rPr>
          <w:rFonts w:hint="eastAsia"/>
          <w:b/>
        </w:rPr>
        <w:t>嗣後若欲</w:t>
      </w:r>
      <w:r w:rsidRPr="00F542DE">
        <w:rPr>
          <w:rFonts w:hint="eastAsia"/>
          <w:b/>
        </w:rPr>
        <w:t>建立分紅制度時，國發會允應督導相關董事，</w:t>
      </w:r>
      <w:r w:rsidR="002677FF" w:rsidRPr="00F542DE">
        <w:rPr>
          <w:rFonts w:hint="eastAsia"/>
          <w:b/>
        </w:rPr>
        <w:t>在</w:t>
      </w:r>
      <w:r w:rsidRPr="00F542DE">
        <w:rPr>
          <w:rFonts w:hint="eastAsia"/>
          <w:b/>
        </w:rPr>
        <w:t>考量公司發展與公股權益</w:t>
      </w:r>
      <w:r w:rsidR="002677FF" w:rsidRPr="00F542DE">
        <w:rPr>
          <w:rFonts w:hint="eastAsia"/>
          <w:b/>
        </w:rPr>
        <w:t>之</w:t>
      </w:r>
      <w:r w:rsidR="00885631" w:rsidRPr="00F542DE">
        <w:rPr>
          <w:rFonts w:hint="eastAsia"/>
          <w:b/>
        </w:rPr>
        <w:t>衡平性</w:t>
      </w:r>
      <w:r w:rsidR="002677FF" w:rsidRPr="00F542DE">
        <w:rPr>
          <w:rFonts w:hint="eastAsia"/>
          <w:b/>
        </w:rPr>
        <w:t>間</w:t>
      </w:r>
      <w:r w:rsidR="00885631" w:rsidRPr="00F542DE">
        <w:rPr>
          <w:rFonts w:hint="eastAsia"/>
          <w:b/>
        </w:rPr>
        <w:t>，</w:t>
      </w:r>
      <w:r w:rsidRPr="00F542DE">
        <w:rPr>
          <w:rFonts w:hint="eastAsia"/>
          <w:b/>
        </w:rPr>
        <w:t>訂定合理之分紅制度。</w:t>
      </w:r>
      <w:bookmarkEnd w:id="102"/>
    </w:p>
    <w:p w:rsidR="00247694" w:rsidRPr="00F542DE" w:rsidRDefault="00247694" w:rsidP="00CA4FFC">
      <w:pPr>
        <w:pStyle w:val="4"/>
      </w:pPr>
      <w:r w:rsidRPr="00F542DE">
        <w:rPr>
          <w:rFonts w:hint="eastAsia"/>
        </w:rPr>
        <w:t>台杉投顧暨相關子公司、基金之董監事資歷：</w:t>
      </w:r>
    </w:p>
    <w:p w:rsidR="00247694" w:rsidRPr="00F542DE" w:rsidRDefault="00247694" w:rsidP="00247694">
      <w:pPr>
        <w:pStyle w:val="5"/>
      </w:pPr>
      <w:r w:rsidRPr="00F542DE">
        <w:rPr>
          <w:rFonts w:hint="eastAsia"/>
        </w:rPr>
        <w:t>台杉投顧：</w:t>
      </w:r>
    </w:p>
    <w:p w:rsidR="00CA4FFC" w:rsidRPr="00F542DE" w:rsidRDefault="00F63A80" w:rsidP="00247694">
      <w:pPr>
        <w:pStyle w:val="6"/>
      </w:pPr>
      <w:r w:rsidRPr="00F542DE">
        <w:rPr>
          <w:rFonts w:hint="eastAsia"/>
        </w:rPr>
        <w:t>台杉投顧</w:t>
      </w:r>
      <w:r w:rsidR="00CA4FFC" w:rsidRPr="00F542DE">
        <w:rPr>
          <w:rFonts w:hint="eastAsia"/>
        </w:rPr>
        <w:t>5席董事</w:t>
      </w:r>
      <w:r w:rsidR="00AE4FCC" w:rsidRPr="00F542DE">
        <w:rPr>
          <w:rFonts w:hint="eastAsia"/>
        </w:rPr>
        <w:t>，1席監察人及總經理資歷</w:t>
      </w:r>
      <w:r w:rsidR="00CA4FFC" w:rsidRPr="00F542DE">
        <w:rPr>
          <w:rFonts w:hint="eastAsia"/>
        </w:rPr>
        <w:t>：</w:t>
      </w:r>
    </w:p>
    <w:p w:rsidR="00CA4FFC" w:rsidRPr="00F542DE" w:rsidRDefault="00553010" w:rsidP="00247694">
      <w:pPr>
        <w:pStyle w:val="7"/>
      </w:pPr>
      <w:r w:rsidRPr="00F542DE">
        <w:rPr>
          <w:rFonts w:hint="eastAsia"/>
        </w:rPr>
        <w:t>董事長</w:t>
      </w:r>
      <w:r w:rsidR="00F63A80" w:rsidRPr="00F542DE">
        <w:rPr>
          <w:rFonts w:hint="eastAsia"/>
        </w:rPr>
        <w:t>吳榮義為比利時魯汶大學經濟學</w:t>
      </w:r>
      <w:r w:rsidR="00F63A80" w:rsidRPr="00F542DE">
        <w:rPr>
          <w:rFonts w:hint="eastAsia"/>
        </w:rPr>
        <w:lastRenderedPageBreak/>
        <w:t>博士，歷任總統府資政、行政院副院長、</w:t>
      </w:r>
      <w:r w:rsidR="00EC785C" w:rsidRPr="00F542DE">
        <w:rPr>
          <w:rFonts w:hint="eastAsia"/>
        </w:rPr>
        <w:t>臺灣期貨交易所股份有限公司</w:t>
      </w:r>
      <w:r w:rsidR="00F63A80" w:rsidRPr="00F542DE">
        <w:rPr>
          <w:rFonts w:hint="eastAsia"/>
        </w:rPr>
        <w:t>、</w:t>
      </w:r>
      <w:r w:rsidR="00EC785C" w:rsidRPr="00F542DE">
        <w:rPr>
          <w:rFonts w:hint="eastAsia"/>
        </w:rPr>
        <w:t>臺灣證券交易所股份有限公司</w:t>
      </w:r>
      <w:r w:rsidR="00F63A80" w:rsidRPr="00F542DE">
        <w:rPr>
          <w:rFonts w:hint="eastAsia"/>
        </w:rPr>
        <w:t>董事長、</w:t>
      </w:r>
      <w:r w:rsidR="00F57594" w:rsidRPr="00F542DE">
        <w:rPr>
          <w:rFonts w:hint="eastAsia"/>
        </w:rPr>
        <w:t>國立中興大學法商學院</w:t>
      </w:r>
      <w:r w:rsidR="00F63A80" w:rsidRPr="00F542DE">
        <w:rPr>
          <w:rFonts w:hint="eastAsia"/>
        </w:rPr>
        <w:t>(現國立臺北大學)經濟系教授兼主任</w:t>
      </w:r>
      <w:r w:rsidR="00D44AAC" w:rsidRPr="00F542DE">
        <w:rPr>
          <w:rFonts w:hint="eastAsia"/>
        </w:rPr>
        <w:t>及院長</w:t>
      </w:r>
      <w:r w:rsidR="00F63A80" w:rsidRPr="00F542DE">
        <w:rPr>
          <w:rFonts w:hint="eastAsia"/>
        </w:rPr>
        <w:t>、臺俄協會理事長等</w:t>
      </w:r>
      <w:r w:rsidR="00CA4FFC" w:rsidRPr="00F542DE">
        <w:rPr>
          <w:rFonts w:hint="eastAsia"/>
        </w:rPr>
        <w:t>。</w:t>
      </w:r>
    </w:p>
    <w:p w:rsidR="00F63A80" w:rsidRPr="00F542DE" w:rsidRDefault="00AE4FCC" w:rsidP="00247694">
      <w:pPr>
        <w:pStyle w:val="7"/>
      </w:pPr>
      <w:r w:rsidRPr="00F542DE">
        <w:rPr>
          <w:rFonts w:hint="eastAsia"/>
        </w:rPr>
        <w:t>董事</w:t>
      </w:r>
      <w:r w:rsidR="00CA4FFC" w:rsidRPr="00F542DE">
        <w:rPr>
          <w:rFonts w:hint="eastAsia"/>
        </w:rPr>
        <w:t>黃日燦為眾達國際法律事務所律師。</w:t>
      </w:r>
    </w:p>
    <w:p w:rsidR="00CA4FFC" w:rsidRPr="00F542DE" w:rsidRDefault="00AE4FCC" w:rsidP="00247694">
      <w:pPr>
        <w:pStyle w:val="7"/>
      </w:pPr>
      <w:r w:rsidRPr="00F542DE">
        <w:rPr>
          <w:rFonts w:hint="eastAsia"/>
        </w:rPr>
        <w:t>董事</w:t>
      </w:r>
      <w:r w:rsidR="00CA4FFC" w:rsidRPr="00F542DE">
        <w:rPr>
          <w:rFonts w:hint="eastAsia"/>
        </w:rPr>
        <w:t>楊育民為前羅氏(Roche)藥廠全球技術營運總裁。</w:t>
      </w:r>
    </w:p>
    <w:p w:rsidR="00CA4FFC" w:rsidRPr="00F542DE" w:rsidRDefault="00AE4FCC" w:rsidP="00247694">
      <w:pPr>
        <w:pStyle w:val="7"/>
      </w:pPr>
      <w:r w:rsidRPr="00F542DE">
        <w:rPr>
          <w:rFonts w:hint="eastAsia"/>
        </w:rPr>
        <w:t>董事</w:t>
      </w:r>
      <w:r w:rsidR="00CA4FFC" w:rsidRPr="00F542DE">
        <w:rPr>
          <w:rFonts w:hint="eastAsia"/>
        </w:rPr>
        <w:t>龔明鑫為國發基金</w:t>
      </w:r>
      <w:r w:rsidRPr="00F542DE">
        <w:rPr>
          <w:rFonts w:hint="eastAsia"/>
        </w:rPr>
        <w:t>管理會代表人，時任經濟部政務次長。</w:t>
      </w:r>
    </w:p>
    <w:p w:rsidR="00AE4FCC" w:rsidRPr="00F542DE" w:rsidRDefault="00AE4FCC" w:rsidP="00247694">
      <w:pPr>
        <w:pStyle w:val="7"/>
      </w:pPr>
      <w:r w:rsidRPr="00F542DE">
        <w:rPr>
          <w:rFonts w:hint="eastAsia"/>
        </w:rPr>
        <w:t>董事陳良基為國發基金管理會代表人，時任科技部部長。</w:t>
      </w:r>
    </w:p>
    <w:p w:rsidR="00AE4FCC" w:rsidRPr="00F542DE" w:rsidRDefault="00AE4FCC" w:rsidP="00247694">
      <w:pPr>
        <w:pStyle w:val="7"/>
      </w:pPr>
      <w:r w:rsidRPr="00F542DE">
        <w:rPr>
          <w:rFonts w:hint="eastAsia"/>
        </w:rPr>
        <w:t>監察人朱澤民為臺灣銀行代表人，行政院主計總處主計長。</w:t>
      </w:r>
    </w:p>
    <w:p w:rsidR="00F63A80" w:rsidRPr="00F542DE" w:rsidRDefault="00F63A80" w:rsidP="00247694">
      <w:pPr>
        <w:pStyle w:val="7"/>
      </w:pPr>
      <w:r w:rsidRPr="00F542DE">
        <w:rPr>
          <w:rFonts w:hint="eastAsia"/>
        </w:rPr>
        <w:t>翁嘉盛先生擔任總經理職務，聖荷西州立大學電腦工程碩士，擔任聖荷西州立大學董事與矽谷台灣天使團會長，曾任思科系統和惠普公司軟體工程總監職務，在軟體工程和互聯網技術方面擁有20多年的經驗，且為一位經驗豐富的天使投資人，累計投資約80家早期高科技公司。</w:t>
      </w:r>
    </w:p>
    <w:p w:rsidR="00051273" w:rsidRPr="00F542DE" w:rsidRDefault="00051273" w:rsidP="00247694">
      <w:pPr>
        <w:pStyle w:val="6"/>
      </w:pPr>
      <w:r w:rsidRPr="00F542DE">
        <w:rPr>
          <w:rFonts w:hint="eastAsia"/>
        </w:rPr>
        <w:t>台杉投顧其他主要經理人資歷詳如表</w:t>
      </w:r>
      <w:r w:rsidR="00D30FEB">
        <w:rPr>
          <w:rFonts w:hint="eastAsia"/>
        </w:rPr>
        <w:t>1</w:t>
      </w:r>
      <w:r w:rsidRPr="00F542DE">
        <w:rPr>
          <w:rFonts w:hint="eastAsia"/>
        </w:rPr>
        <w:t>：</w:t>
      </w:r>
    </w:p>
    <w:p w:rsidR="00051273" w:rsidRPr="00F542DE" w:rsidRDefault="00051273" w:rsidP="00051273">
      <w:pPr>
        <w:pStyle w:val="a4"/>
        <w:spacing w:after="120"/>
        <w:ind w:left="1541" w:right="680" w:hanging="521"/>
        <w:jc w:val="center"/>
        <w:rPr>
          <w:b/>
        </w:rPr>
      </w:pPr>
      <w:r w:rsidRPr="00F542DE">
        <w:rPr>
          <w:rFonts w:hint="eastAsia"/>
          <w:b/>
          <w:sz w:val="24"/>
          <w:szCs w:val="24"/>
        </w:rPr>
        <w:t xml:space="preserve"> </w:t>
      </w:r>
      <w:r w:rsidRPr="00F542DE">
        <w:rPr>
          <w:rFonts w:hint="eastAsia"/>
          <w:b/>
        </w:rPr>
        <w:t>台杉投顧主要經理人</w:t>
      </w:r>
    </w:p>
    <w:tbl>
      <w:tblPr>
        <w:tblStyle w:val="af8"/>
        <w:tblW w:w="8789" w:type="dxa"/>
        <w:tblInd w:w="108" w:type="dxa"/>
        <w:tblLook w:val="04A0" w:firstRow="1" w:lastRow="0" w:firstColumn="1" w:lastColumn="0" w:noHBand="0" w:noVBand="1"/>
      </w:tblPr>
      <w:tblGrid>
        <w:gridCol w:w="1701"/>
        <w:gridCol w:w="993"/>
        <w:gridCol w:w="6095"/>
      </w:tblGrid>
      <w:tr w:rsidR="00051273" w:rsidRPr="00F542DE" w:rsidTr="00553010">
        <w:trPr>
          <w:tblHeader/>
        </w:trPr>
        <w:tc>
          <w:tcPr>
            <w:tcW w:w="1701" w:type="dxa"/>
            <w:vAlign w:val="center"/>
          </w:tcPr>
          <w:p w:rsidR="00051273" w:rsidRPr="00F542DE" w:rsidRDefault="00051273" w:rsidP="00553010">
            <w:pPr>
              <w:pStyle w:val="33"/>
              <w:ind w:leftChars="0" w:left="0" w:firstLineChars="0" w:firstLine="0"/>
              <w:jc w:val="center"/>
              <w:rPr>
                <w:b/>
                <w:sz w:val="28"/>
                <w:szCs w:val="28"/>
              </w:rPr>
            </w:pPr>
            <w:r w:rsidRPr="00F542DE">
              <w:rPr>
                <w:rFonts w:hint="eastAsia"/>
                <w:b/>
                <w:sz w:val="28"/>
                <w:szCs w:val="28"/>
              </w:rPr>
              <w:t>職稱</w:t>
            </w:r>
          </w:p>
        </w:tc>
        <w:tc>
          <w:tcPr>
            <w:tcW w:w="993" w:type="dxa"/>
            <w:vAlign w:val="center"/>
          </w:tcPr>
          <w:p w:rsidR="00051273" w:rsidRPr="00F542DE" w:rsidRDefault="00051273" w:rsidP="00553010">
            <w:pPr>
              <w:pStyle w:val="33"/>
              <w:ind w:leftChars="0" w:left="0" w:firstLineChars="0" w:firstLine="0"/>
              <w:jc w:val="center"/>
              <w:rPr>
                <w:b/>
                <w:sz w:val="28"/>
                <w:szCs w:val="28"/>
              </w:rPr>
            </w:pPr>
            <w:r w:rsidRPr="00F542DE">
              <w:rPr>
                <w:rFonts w:hint="eastAsia"/>
                <w:b/>
                <w:sz w:val="28"/>
                <w:szCs w:val="28"/>
              </w:rPr>
              <w:t>姓名</w:t>
            </w:r>
          </w:p>
        </w:tc>
        <w:tc>
          <w:tcPr>
            <w:tcW w:w="6095" w:type="dxa"/>
            <w:vAlign w:val="center"/>
          </w:tcPr>
          <w:p w:rsidR="00051273" w:rsidRPr="00F542DE" w:rsidRDefault="00051273" w:rsidP="00553010">
            <w:pPr>
              <w:pStyle w:val="33"/>
              <w:ind w:leftChars="0" w:left="0" w:firstLineChars="0" w:firstLine="0"/>
              <w:jc w:val="center"/>
              <w:rPr>
                <w:b/>
                <w:sz w:val="28"/>
                <w:szCs w:val="28"/>
              </w:rPr>
            </w:pPr>
            <w:r w:rsidRPr="00F542DE">
              <w:rPr>
                <w:rFonts w:hint="eastAsia"/>
                <w:b/>
                <w:sz w:val="28"/>
                <w:szCs w:val="28"/>
              </w:rPr>
              <w:t>經歷</w:t>
            </w:r>
          </w:p>
        </w:tc>
      </w:tr>
      <w:tr w:rsidR="00051273" w:rsidRPr="00F542DE" w:rsidTr="00553010">
        <w:tc>
          <w:tcPr>
            <w:tcW w:w="1701" w:type="dxa"/>
          </w:tcPr>
          <w:p w:rsidR="00051273" w:rsidRPr="00F542DE" w:rsidRDefault="00051273" w:rsidP="00051273">
            <w:pPr>
              <w:pStyle w:val="33"/>
              <w:ind w:leftChars="-31" w:left="-105" w:rightChars="-31" w:right="-105" w:firstLineChars="0" w:firstLine="0"/>
              <w:rPr>
                <w:sz w:val="28"/>
                <w:szCs w:val="28"/>
              </w:rPr>
            </w:pPr>
            <w:r w:rsidRPr="00F542DE">
              <w:rPr>
                <w:rFonts w:hint="eastAsia"/>
                <w:sz w:val="28"/>
                <w:szCs w:val="28"/>
              </w:rPr>
              <w:t>管理合夥人</w:t>
            </w:r>
            <w:r w:rsidRPr="00F542DE">
              <w:rPr>
                <w:rFonts w:hint="eastAsia"/>
                <w:sz w:val="28"/>
                <w:szCs w:val="28"/>
                <w:vertAlign w:val="superscript"/>
              </w:rPr>
              <w:t>註</w:t>
            </w:r>
          </w:p>
        </w:tc>
        <w:tc>
          <w:tcPr>
            <w:tcW w:w="993" w:type="dxa"/>
          </w:tcPr>
          <w:p w:rsidR="00051273" w:rsidRPr="00F542DE" w:rsidRDefault="00051273" w:rsidP="00CD5BBC">
            <w:pPr>
              <w:pStyle w:val="33"/>
              <w:tabs>
                <w:tab w:val="clear" w:pos="567"/>
                <w:tab w:val="left" w:pos="1167"/>
              </w:tabs>
              <w:ind w:leftChars="-31" w:left="-105" w:rightChars="-31" w:right="-105" w:firstLineChars="0" w:firstLine="0"/>
              <w:jc w:val="center"/>
              <w:rPr>
                <w:sz w:val="28"/>
                <w:szCs w:val="28"/>
              </w:rPr>
            </w:pPr>
            <w:r w:rsidRPr="00F542DE">
              <w:rPr>
                <w:rFonts w:hint="eastAsia"/>
                <w:sz w:val="28"/>
                <w:szCs w:val="28"/>
              </w:rPr>
              <w:t>李</w:t>
            </w:r>
            <w:r w:rsidR="00CD5BBC">
              <w:rPr>
                <w:rFonts w:hAnsi="標楷體" w:hint="eastAsia"/>
                <w:sz w:val="28"/>
                <w:szCs w:val="28"/>
              </w:rPr>
              <w:t>○</w:t>
            </w:r>
          </w:p>
        </w:tc>
        <w:tc>
          <w:tcPr>
            <w:tcW w:w="6095" w:type="dxa"/>
          </w:tcPr>
          <w:p w:rsidR="00051273" w:rsidRPr="00F542DE" w:rsidRDefault="00051273" w:rsidP="00051273">
            <w:pPr>
              <w:pStyle w:val="33"/>
              <w:ind w:leftChars="0" w:left="300" w:hangingChars="100" w:hanging="300"/>
              <w:rPr>
                <w:sz w:val="28"/>
                <w:szCs w:val="28"/>
              </w:rPr>
            </w:pPr>
            <w:r w:rsidRPr="00F542DE">
              <w:rPr>
                <w:rFonts w:hint="eastAsia"/>
                <w:sz w:val="28"/>
                <w:szCs w:val="28"/>
              </w:rPr>
              <w:t>1.Boch Research &amp; Technology Center主導工程師</w:t>
            </w:r>
          </w:p>
          <w:p w:rsidR="00051273" w:rsidRPr="00F542DE" w:rsidRDefault="00051273" w:rsidP="00051273">
            <w:pPr>
              <w:pStyle w:val="33"/>
              <w:ind w:leftChars="0" w:left="300" w:hangingChars="100" w:hanging="300"/>
              <w:rPr>
                <w:sz w:val="28"/>
                <w:szCs w:val="28"/>
              </w:rPr>
            </w:pPr>
            <w:r w:rsidRPr="00F542DE">
              <w:rPr>
                <w:rFonts w:hint="eastAsia"/>
                <w:sz w:val="28"/>
                <w:szCs w:val="28"/>
              </w:rPr>
              <w:t>2.AT&amp;T實驗室網路系統工程資深技術研究員</w:t>
            </w:r>
          </w:p>
          <w:p w:rsidR="00051273" w:rsidRPr="00F542DE" w:rsidRDefault="00051273" w:rsidP="00051273">
            <w:pPr>
              <w:pStyle w:val="33"/>
              <w:ind w:leftChars="0" w:left="300" w:hangingChars="100" w:hanging="300"/>
              <w:rPr>
                <w:sz w:val="28"/>
                <w:szCs w:val="28"/>
              </w:rPr>
            </w:pPr>
            <w:r w:rsidRPr="00F542DE">
              <w:rPr>
                <w:rFonts w:hint="eastAsia"/>
                <w:sz w:val="28"/>
                <w:szCs w:val="28"/>
              </w:rPr>
              <w:t>3.史丹福大學無限感應網路實驗室研究員</w:t>
            </w:r>
          </w:p>
          <w:p w:rsidR="00051273" w:rsidRPr="00F542DE" w:rsidRDefault="00051273" w:rsidP="00051273">
            <w:pPr>
              <w:pStyle w:val="33"/>
              <w:ind w:leftChars="0" w:left="300" w:hangingChars="100" w:hanging="300"/>
              <w:rPr>
                <w:sz w:val="28"/>
                <w:szCs w:val="28"/>
              </w:rPr>
            </w:pPr>
            <w:r w:rsidRPr="00F542DE">
              <w:rPr>
                <w:rFonts w:hint="eastAsia"/>
                <w:sz w:val="28"/>
                <w:szCs w:val="28"/>
              </w:rPr>
              <w:t>4.矽谷台美產業科技協會(ATITA)會長</w:t>
            </w:r>
          </w:p>
          <w:p w:rsidR="00051273" w:rsidRPr="00F542DE" w:rsidRDefault="00051273" w:rsidP="00051273">
            <w:pPr>
              <w:pStyle w:val="33"/>
              <w:ind w:leftChars="0" w:left="300" w:hangingChars="100" w:hanging="300"/>
              <w:rPr>
                <w:sz w:val="28"/>
                <w:szCs w:val="28"/>
              </w:rPr>
            </w:pPr>
            <w:r w:rsidRPr="00F542DE">
              <w:rPr>
                <w:rFonts w:hint="eastAsia"/>
                <w:sz w:val="28"/>
                <w:szCs w:val="28"/>
              </w:rPr>
              <w:t>5.史丹福大學電機博士</w:t>
            </w:r>
          </w:p>
        </w:tc>
      </w:tr>
      <w:tr w:rsidR="00051273" w:rsidRPr="00F542DE" w:rsidTr="00553010">
        <w:tc>
          <w:tcPr>
            <w:tcW w:w="1701" w:type="dxa"/>
          </w:tcPr>
          <w:p w:rsidR="00051273" w:rsidRPr="00F542DE" w:rsidRDefault="00051273" w:rsidP="00553010">
            <w:pPr>
              <w:pStyle w:val="33"/>
              <w:ind w:leftChars="0" w:left="0" w:firstLineChars="0" w:firstLine="0"/>
              <w:rPr>
                <w:sz w:val="28"/>
                <w:szCs w:val="28"/>
              </w:rPr>
            </w:pPr>
            <w:r w:rsidRPr="00F542DE">
              <w:rPr>
                <w:rFonts w:hint="eastAsia"/>
                <w:sz w:val="28"/>
                <w:szCs w:val="28"/>
              </w:rPr>
              <w:lastRenderedPageBreak/>
              <w:t>營運長</w:t>
            </w:r>
          </w:p>
        </w:tc>
        <w:tc>
          <w:tcPr>
            <w:tcW w:w="993" w:type="dxa"/>
          </w:tcPr>
          <w:p w:rsidR="00051273" w:rsidRPr="00F542DE" w:rsidRDefault="00051273" w:rsidP="00051273">
            <w:pPr>
              <w:pStyle w:val="33"/>
              <w:tabs>
                <w:tab w:val="clear" w:pos="567"/>
                <w:tab w:val="left" w:pos="1167"/>
              </w:tabs>
              <w:ind w:leftChars="-31" w:left="-105" w:rightChars="-31" w:right="-105" w:firstLineChars="0" w:firstLine="0"/>
              <w:jc w:val="center"/>
              <w:rPr>
                <w:sz w:val="28"/>
                <w:szCs w:val="28"/>
              </w:rPr>
            </w:pPr>
            <w:r w:rsidRPr="00F542DE">
              <w:rPr>
                <w:rFonts w:hint="eastAsia"/>
                <w:sz w:val="28"/>
                <w:szCs w:val="28"/>
              </w:rPr>
              <w:t>林</w:t>
            </w:r>
            <w:r w:rsidR="00CD5BBC">
              <w:rPr>
                <w:rFonts w:hAnsi="標楷體" w:hint="eastAsia"/>
                <w:sz w:val="28"/>
                <w:szCs w:val="28"/>
              </w:rPr>
              <w:t>○</w:t>
            </w:r>
            <w:r w:rsidRPr="00F542DE">
              <w:rPr>
                <w:rFonts w:hint="eastAsia"/>
                <w:sz w:val="28"/>
                <w:szCs w:val="28"/>
              </w:rPr>
              <w:t>民</w:t>
            </w:r>
          </w:p>
        </w:tc>
        <w:tc>
          <w:tcPr>
            <w:tcW w:w="6095" w:type="dxa"/>
          </w:tcPr>
          <w:p w:rsidR="00051273" w:rsidRPr="00F542DE" w:rsidRDefault="00051273" w:rsidP="00051273">
            <w:pPr>
              <w:pStyle w:val="33"/>
              <w:ind w:leftChars="0" w:left="300" w:hangingChars="100" w:hanging="300"/>
              <w:rPr>
                <w:sz w:val="28"/>
                <w:szCs w:val="28"/>
              </w:rPr>
            </w:pPr>
            <w:r w:rsidRPr="00F542DE">
              <w:rPr>
                <w:rFonts w:hint="eastAsia"/>
                <w:sz w:val="28"/>
                <w:szCs w:val="28"/>
              </w:rPr>
              <w:t>1.香港商聯昌證券台灣分公司總經理</w:t>
            </w:r>
          </w:p>
          <w:p w:rsidR="00051273" w:rsidRPr="00F542DE" w:rsidRDefault="00051273" w:rsidP="00051273">
            <w:pPr>
              <w:pStyle w:val="33"/>
              <w:ind w:leftChars="0" w:left="300" w:hangingChars="100" w:hanging="300"/>
              <w:rPr>
                <w:sz w:val="28"/>
                <w:szCs w:val="28"/>
              </w:rPr>
            </w:pPr>
            <w:r w:rsidRPr="00F542DE">
              <w:rPr>
                <w:rFonts w:hint="eastAsia"/>
                <w:sz w:val="28"/>
                <w:szCs w:val="28"/>
              </w:rPr>
              <w:t>2.三星電子策略部副總經理</w:t>
            </w:r>
          </w:p>
          <w:p w:rsidR="00051273" w:rsidRPr="00F542DE" w:rsidRDefault="00051273" w:rsidP="00051273">
            <w:pPr>
              <w:pStyle w:val="33"/>
              <w:ind w:leftChars="0" w:left="300" w:hangingChars="100" w:hanging="300"/>
              <w:rPr>
                <w:sz w:val="28"/>
                <w:szCs w:val="28"/>
              </w:rPr>
            </w:pPr>
            <w:r w:rsidRPr="00F542DE">
              <w:rPr>
                <w:rFonts w:hint="eastAsia"/>
                <w:sz w:val="28"/>
                <w:szCs w:val="28"/>
              </w:rPr>
              <w:t>3.高盛證券及瑞銀證券執行董事</w:t>
            </w:r>
          </w:p>
          <w:p w:rsidR="00051273" w:rsidRPr="00F542DE" w:rsidRDefault="00051273" w:rsidP="00051273">
            <w:pPr>
              <w:pStyle w:val="33"/>
              <w:ind w:leftChars="0" w:left="300" w:hangingChars="100" w:hanging="300"/>
              <w:rPr>
                <w:sz w:val="28"/>
                <w:szCs w:val="28"/>
              </w:rPr>
            </w:pPr>
            <w:r w:rsidRPr="00F542DE">
              <w:rPr>
                <w:rFonts w:hint="eastAsia"/>
                <w:sz w:val="28"/>
                <w:szCs w:val="28"/>
              </w:rPr>
              <w:t>4.台灣大學國企所碩士</w:t>
            </w:r>
          </w:p>
        </w:tc>
      </w:tr>
      <w:tr w:rsidR="00051273" w:rsidRPr="00F542DE" w:rsidTr="00553010">
        <w:tc>
          <w:tcPr>
            <w:tcW w:w="1701" w:type="dxa"/>
          </w:tcPr>
          <w:p w:rsidR="00051273" w:rsidRPr="00F542DE" w:rsidRDefault="00051273" w:rsidP="00553010">
            <w:pPr>
              <w:pStyle w:val="33"/>
              <w:ind w:leftChars="0" w:left="0" w:firstLineChars="0" w:firstLine="0"/>
              <w:rPr>
                <w:sz w:val="28"/>
                <w:szCs w:val="28"/>
              </w:rPr>
            </w:pPr>
            <w:r w:rsidRPr="00F542DE">
              <w:rPr>
                <w:rFonts w:hint="eastAsia"/>
                <w:sz w:val="28"/>
                <w:szCs w:val="28"/>
              </w:rPr>
              <w:t>法務長</w:t>
            </w:r>
          </w:p>
        </w:tc>
        <w:tc>
          <w:tcPr>
            <w:tcW w:w="993" w:type="dxa"/>
          </w:tcPr>
          <w:p w:rsidR="00051273" w:rsidRPr="00F542DE" w:rsidRDefault="00051273" w:rsidP="00051273">
            <w:pPr>
              <w:pStyle w:val="33"/>
              <w:tabs>
                <w:tab w:val="clear" w:pos="567"/>
                <w:tab w:val="left" w:pos="1167"/>
              </w:tabs>
              <w:ind w:leftChars="-31" w:left="-105" w:rightChars="-31" w:right="-105" w:firstLineChars="0" w:firstLine="0"/>
              <w:jc w:val="center"/>
              <w:rPr>
                <w:sz w:val="28"/>
                <w:szCs w:val="28"/>
              </w:rPr>
            </w:pPr>
            <w:r w:rsidRPr="00F542DE">
              <w:rPr>
                <w:rFonts w:hint="eastAsia"/>
                <w:sz w:val="28"/>
                <w:szCs w:val="28"/>
              </w:rPr>
              <w:t>許</w:t>
            </w:r>
            <w:r w:rsidR="00CD5BBC">
              <w:rPr>
                <w:rFonts w:hAnsi="標楷體" w:hint="eastAsia"/>
                <w:sz w:val="28"/>
                <w:szCs w:val="28"/>
              </w:rPr>
              <w:t>○</w:t>
            </w:r>
            <w:r w:rsidRPr="00F542DE">
              <w:rPr>
                <w:rFonts w:hint="eastAsia"/>
                <w:sz w:val="28"/>
                <w:szCs w:val="28"/>
              </w:rPr>
              <w:t>宜</w:t>
            </w:r>
          </w:p>
        </w:tc>
        <w:tc>
          <w:tcPr>
            <w:tcW w:w="6095" w:type="dxa"/>
          </w:tcPr>
          <w:p w:rsidR="00051273" w:rsidRPr="00F542DE" w:rsidRDefault="00051273" w:rsidP="00051273">
            <w:pPr>
              <w:pStyle w:val="33"/>
              <w:ind w:leftChars="0" w:left="300" w:hangingChars="100" w:hanging="300"/>
              <w:rPr>
                <w:sz w:val="28"/>
                <w:szCs w:val="28"/>
              </w:rPr>
            </w:pPr>
            <w:r w:rsidRPr="00F542DE">
              <w:rPr>
                <w:rFonts w:hint="eastAsia"/>
                <w:sz w:val="28"/>
                <w:szCs w:val="28"/>
              </w:rPr>
              <w:t>1.奧諦斯法律事務所所長</w:t>
            </w:r>
          </w:p>
          <w:p w:rsidR="00051273" w:rsidRPr="00F542DE" w:rsidRDefault="00051273" w:rsidP="00051273">
            <w:pPr>
              <w:pStyle w:val="33"/>
              <w:ind w:leftChars="0" w:left="300" w:hangingChars="100" w:hanging="300"/>
              <w:rPr>
                <w:sz w:val="28"/>
                <w:szCs w:val="28"/>
              </w:rPr>
            </w:pPr>
            <w:r w:rsidRPr="00F542DE">
              <w:rPr>
                <w:rFonts w:hint="eastAsia"/>
                <w:sz w:val="28"/>
                <w:szCs w:val="28"/>
              </w:rPr>
              <w:t>2.Freshfields Bruckhaus Deringer香港辦公室律師</w:t>
            </w:r>
          </w:p>
          <w:p w:rsidR="00051273" w:rsidRPr="00F542DE" w:rsidRDefault="00051273" w:rsidP="00553010">
            <w:pPr>
              <w:pStyle w:val="33"/>
              <w:ind w:leftChars="0" w:left="0" w:firstLineChars="0" w:firstLine="0"/>
              <w:rPr>
                <w:sz w:val="28"/>
                <w:szCs w:val="28"/>
              </w:rPr>
            </w:pPr>
            <w:r w:rsidRPr="00F542DE">
              <w:rPr>
                <w:rFonts w:hint="eastAsia"/>
                <w:sz w:val="28"/>
                <w:szCs w:val="28"/>
              </w:rPr>
              <w:t>3.國際通商法律事務所律師</w:t>
            </w:r>
          </w:p>
          <w:p w:rsidR="00051273" w:rsidRPr="00F542DE" w:rsidRDefault="00051273" w:rsidP="00553010">
            <w:pPr>
              <w:pStyle w:val="33"/>
              <w:ind w:leftChars="0" w:left="0" w:firstLineChars="0" w:firstLine="0"/>
              <w:rPr>
                <w:sz w:val="28"/>
                <w:szCs w:val="28"/>
              </w:rPr>
            </w:pPr>
            <w:r w:rsidRPr="00F542DE">
              <w:rPr>
                <w:rFonts w:hint="eastAsia"/>
                <w:sz w:val="28"/>
                <w:szCs w:val="28"/>
              </w:rPr>
              <w:t>4.美國哥倫比亞大學法學碩士</w:t>
            </w:r>
          </w:p>
        </w:tc>
      </w:tr>
    </w:tbl>
    <w:p w:rsidR="00051273" w:rsidRPr="00F542DE" w:rsidRDefault="00051273" w:rsidP="00051273">
      <w:pPr>
        <w:pStyle w:val="33"/>
        <w:tabs>
          <w:tab w:val="clear" w:pos="567"/>
          <w:tab w:val="left" w:pos="709"/>
        </w:tabs>
        <w:spacing w:line="300" w:lineRule="exact"/>
        <w:ind w:leftChars="41" w:left="706" w:rightChars="-67" w:right="-228" w:hangingChars="218" w:hanging="567"/>
        <w:rPr>
          <w:sz w:val="24"/>
          <w:szCs w:val="24"/>
        </w:rPr>
      </w:pPr>
      <w:r w:rsidRPr="00F542DE">
        <w:rPr>
          <w:rFonts w:hint="eastAsia"/>
          <w:sz w:val="24"/>
          <w:szCs w:val="24"/>
        </w:rPr>
        <w:t>註：主要執掌為協助開發、評估、執行及管理台杉水牛一號基金投資案件。</w:t>
      </w:r>
    </w:p>
    <w:p w:rsidR="00051273" w:rsidRPr="00F542DE" w:rsidRDefault="00051273" w:rsidP="00051273">
      <w:pPr>
        <w:pStyle w:val="33"/>
        <w:spacing w:afterLines="50" w:after="228"/>
        <w:ind w:leftChars="42" w:left="341" w:hangingChars="76" w:hanging="198"/>
        <w:rPr>
          <w:sz w:val="24"/>
          <w:szCs w:val="24"/>
        </w:rPr>
      </w:pPr>
      <w:r w:rsidRPr="00F542DE">
        <w:rPr>
          <w:rFonts w:hint="eastAsia"/>
          <w:sz w:val="24"/>
          <w:szCs w:val="24"/>
        </w:rPr>
        <w:t>資料來源：國發會。</w:t>
      </w:r>
    </w:p>
    <w:p w:rsidR="00AE4FCC" w:rsidRPr="00F542DE" w:rsidRDefault="00051273" w:rsidP="00247694">
      <w:pPr>
        <w:pStyle w:val="5"/>
      </w:pPr>
      <w:r w:rsidRPr="00F542DE">
        <w:rPr>
          <w:rFonts w:hint="eastAsia"/>
        </w:rPr>
        <w:t>台杉投顧美國子公司</w:t>
      </w:r>
      <w:r w:rsidR="00247694" w:rsidRPr="00F542DE">
        <w:rPr>
          <w:rFonts w:hint="eastAsia"/>
        </w:rPr>
        <w:t>：</w:t>
      </w:r>
      <w:r w:rsidRPr="00F542DE">
        <w:rPr>
          <w:rFonts w:hint="eastAsia"/>
        </w:rPr>
        <w:t>3</w:t>
      </w:r>
      <w:r w:rsidR="00553010" w:rsidRPr="00F542DE">
        <w:rPr>
          <w:rFonts w:hint="eastAsia"/>
        </w:rPr>
        <w:t>位董事為吳榮義、楊育民及翁嘉盛(資歷同上)，並無監察人(外國公司無此職務設計)</w:t>
      </w:r>
      <w:r w:rsidRPr="00F542DE">
        <w:rPr>
          <w:rFonts w:hint="eastAsia"/>
        </w:rPr>
        <w:t>。</w:t>
      </w:r>
    </w:p>
    <w:p w:rsidR="00051273" w:rsidRPr="00F542DE" w:rsidRDefault="00051273" w:rsidP="00247694">
      <w:pPr>
        <w:pStyle w:val="5"/>
      </w:pPr>
      <w:r w:rsidRPr="00F542DE">
        <w:rPr>
          <w:rFonts w:hint="eastAsia"/>
        </w:rPr>
        <w:t>台</w:t>
      </w:r>
      <w:r w:rsidR="00F57594" w:rsidRPr="00F542DE">
        <w:rPr>
          <w:rFonts w:hint="eastAsia"/>
        </w:rPr>
        <w:t>杉</w:t>
      </w:r>
      <w:r w:rsidRPr="00F542DE">
        <w:rPr>
          <w:rFonts w:hint="eastAsia"/>
        </w:rPr>
        <w:t>生技：</w:t>
      </w:r>
    </w:p>
    <w:p w:rsidR="00DE253A" w:rsidRPr="00F542DE" w:rsidRDefault="00DE253A" w:rsidP="00247694">
      <w:pPr>
        <w:pStyle w:val="6"/>
      </w:pPr>
      <w:r w:rsidRPr="00F542DE">
        <w:rPr>
          <w:rFonts w:hint="eastAsia"/>
        </w:rPr>
        <w:t>台杉生技係代表台杉投顧擔任台杉水牛二號基金普通合夥人之特殊目的</w:t>
      </w:r>
      <w:r w:rsidRPr="00F542DE">
        <w:rPr>
          <w:rFonts w:hAnsi="標楷體" w:hint="eastAsia"/>
        </w:rPr>
        <w:t>(Special Purpose Vehicle)</w:t>
      </w:r>
      <w:r w:rsidRPr="00F542DE">
        <w:rPr>
          <w:rFonts w:hint="eastAsia"/>
        </w:rPr>
        <w:t>公司，代表合夥企業執行合夥事務，資本額50萬元，台杉投顧持股100%。</w:t>
      </w:r>
      <w:r w:rsidR="00553010" w:rsidRPr="00F542DE">
        <w:rPr>
          <w:rFonts w:hint="eastAsia"/>
        </w:rPr>
        <w:t>該公司</w:t>
      </w:r>
      <w:r w:rsidRPr="00F542DE">
        <w:rPr>
          <w:rFonts w:hint="eastAsia"/>
        </w:rPr>
        <w:t>並無員工，亦無資產設備。</w:t>
      </w:r>
    </w:p>
    <w:p w:rsidR="00DE253A" w:rsidRPr="00F542DE" w:rsidRDefault="00DE253A" w:rsidP="00247694">
      <w:pPr>
        <w:pStyle w:val="6"/>
      </w:pPr>
      <w:r w:rsidRPr="00F542DE">
        <w:rPr>
          <w:rFonts w:hint="eastAsia"/>
        </w:rPr>
        <w:t>台杉生技董監事名單</w:t>
      </w:r>
      <w:r w:rsidR="00553010" w:rsidRPr="00F542DE">
        <w:rPr>
          <w:rFonts w:hint="eastAsia"/>
        </w:rPr>
        <w:t>詳</w:t>
      </w:r>
      <w:r w:rsidRPr="00F542DE">
        <w:rPr>
          <w:rFonts w:hint="eastAsia"/>
        </w:rPr>
        <w:t>如表</w:t>
      </w:r>
      <w:r w:rsidR="00D30FEB">
        <w:rPr>
          <w:rFonts w:hint="eastAsia"/>
        </w:rPr>
        <w:t>2</w:t>
      </w:r>
      <w:r w:rsidRPr="00F542DE">
        <w:rPr>
          <w:rFonts w:hint="eastAsia"/>
        </w:rPr>
        <w:t>。國發會表示</w:t>
      </w:r>
      <w:r w:rsidRPr="00F542DE">
        <w:rPr>
          <w:rStyle w:val="aff1"/>
        </w:rPr>
        <w:footnoteReference w:id="6"/>
      </w:r>
      <w:r w:rsidRPr="00F542DE">
        <w:rPr>
          <w:rFonts w:hint="eastAsia"/>
        </w:rPr>
        <w:t>，因台杉水牛二號基金為有限合夥組織，並未設置董事會，國發基金為完備該公司之公司治理事宜，推薦台灣經濟研究院生物技術研究發展中心主任孫智麗擔任</w:t>
      </w:r>
      <w:r w:rsidR="00035AEE" w:rsidRPr="00F542DE">
        <w:rPr>
          <w:rFonts w:hint="eastAsia"/>
        </w:rPr>
        <w:t>台杉生技</w:t>
      </w:r>
      <w:r w:rsidRPr="00F542DE">
        <w:rPr>
          <w:rFonts w:hint="eastAsia"/>
        </w:rPr>
        <w:t>董事，</w:t>
      </w:r>
      <w:r w:rsidR="004428E3" w:rsidRPr="00F542DE">
        <w:rPr>
          <w:rFonts w:hint="eastAsia"/>
        </w:rPr>
        <w:t>另台杉投顧派任</w:t>
      </w:r>
      <w:r w:rsidRPr="00F542DE">
        <w:rPr>
          <w:rFonts w:hint="eastAsia"/>
        </w:rPr>
        <w:t>台杉水牛二號基金投資副總黃</w:t>
      </w:r>
      <w:r w:rsidR="00CD5BBC">
        <w:rPr>
          <w:rFonts w:hAnsi="標楷體" w:hint="eastAsia"/>
          <w:sz w:val="28"/>
          <w:szCs w:val="28"/>
        </w:rPr>
        <w:t>○</w:t>
      </w:r>
      <w:r w:rsidRPr="00F542DE">
        <w:rPr>
          <w:rFonts w:hint="eastAsia"/>
        </w:rPr>
        <w:t>鑫擔任</w:t>
      </w:r>
      <w:r w:rsidR="00035AEE" w:rsidRPr="00F542DE">
        <w:rPr>
          <w:rFonts w:hint="eastAsia"/>
        </w:rPr>
        <w:t>台杉生技</w:t>
      </w:r>
      <w:r w:rsidRPr="00F542DE">
        <w:rPr>
          <w:rFonts w:hint="eastAsia"/>
        </w:rPr>
        <w:t>監察人</w:t>
      </w:r>
      <w:r w:rsidR="00035AEE" w:rsidRPr="00F542DE">
        <w:rPr>
          <w:rFonts w:hint="eastAsia"/>
        </w:rPr>
        <w:t>。</w:t>
      </w:r>
    </w:p>
    <w:p w:rsidR="00DE253A" w:rsidRPr="00F542DE" w:rsidRDefault="00DE253A" w:rsidP="00DE253A">
      <w:pPr>
        <w:pStyle w:val="a4"/>
        <w:spacing w:after="120"/>
        <w:jc w:val="center"/>
        <w:rPr>
          <w:b/>
        </w:rPr>
      </w:pPr>
      <w:r w:rsidRPr="00F542DE">
        <w:rPr>
          <w:rFonts w:hint="eastAsia"/>
          <w:b/>
        </w:rPr>
        <w:lastRenderedPageBreak/>
        <w:t>台杉生技董事名單</w:t>
      </w:r>
    </w:p>
    <w:tbl>
      <w:tblPr>
        <w:tblStyle w:val="af8"/>
        <w:tblW w:w="9640" w:type="dxa"/>
        <w:tblInd w:w="-34" w:type="dxa"/>
        <w:tblLook w:val="04A0" w:firstRow="1" w:lastRow="0" w:firstColumn="1" w:lastColumn="0" w:noHBand="0" w:noVBand="1"/>
      </w:tblPr>
      <w:tblGrid>
        <w:gridCol w:w="993"/>
        <w:gridCol w:w="992"/>
        <w:gridCol w:w="3827"/>
        <w:gridCol w:w="3828"/>
      </w:tblGrid>
      <w:tr w:rsidR="00DE253A" w:rsidRPr="00F542DE" w:rsidTr="00DE253A">
        <w:trPr>
          <w:tblHeader/>
        </w:trPr>
        <w:tc>
          <w:tcPr>
            <w:tcW w:w="993" w:type="dxa"/>
          </w:tcPr>
          <w:p w:rsidR="00DE253A" w:rsidRPr="00F542DE" w:rsidRDefault="00DE253A" w:rsidP="00553010">
            <w:pPr>
              <w:jc w:val="center"/>
              <w:rPr>
                <w:b/>
                <w:sz w:val="28"/>
                <w:szCs w:val="28"/>
              </w:rPr>
            </w:pPr>
            <w:r w:rsidRPr="00F542DE">
              <w:rPr>
                <w:rFonts w:hint="eastAsia"/>
                <w:b/>
                <w:sz w:val="28"/>
                <w:szCs w:val="28"/>
              </w:rPr>
              <w:t>職稱</w:t>
            </w:r>
          </w:p>
        </w:tc>
        <w:tc>
          <w:tcPr>
            <w:tcW w:w="992" w:type="dxa"/>
          </w:tcPr>
          <w:p w:rsidR="00DE253A" w:rsidRPr="00F542DE" w:rsidRDefault="00DE253A" w:rsidP="00553010">
            <w:pPr>
              <w:jc w:val="center"/>
              <w:rPr>
                <w:b/>
                <w:sz w:val="28"/>
                <w:szCs w:val="28"/>
              </w:rPr>
            </w:pPr>
            <w:r w:rsidRPr="00F542DE">
              <w:rPr>
                <w:rFonts w:hint="eastAsia"/>
                <w:b/>
                <w:sz w:val="28"/>
                <w:szCs w:val="28"/>
              </w:rPr>
              <w:t>姓名</w:t>
            </w:r>
          </w:p>
        </w:tc>
        <w:tc>
          <w:tcPr>
            <w:tcW w:w="3827" w:type="dxa"/>
          </w:tcPr>
          <w:p w:rsidR="00DE253A" w:rsidRPr="00F542DE" w:rsidRDefault="00DE253A" w:rsidP="00553010">
            <w:pPr>
              <w:jc w:val="center"/>
              <w:rPr>
                <w:b/>
                <w:sz w:val="28"/>
                <w:szCs w:val="28"/>
              </w:rPr>
            </w:pPr>
            <w:r w:rsidRPr="00F542DE">
              <w:rPr>
                <w:rFonts w:hint="eastAsia"/>
                <w:b/>
                <w:sz w:val="28"/>
                <w:szCs w:val="28"/>
              </w:rPr>
              <w:t>經歷</w:t>
            </w:r>
          </w:p>
        </w:tc>
        <w:tc>
          <w:tcPr>
            <w:tcW w:w="3828" w:type="dxa"/>
          </w:tcPr>
          <w:p w:rsidR="00DE253A" w:rsidRPr="00F542DE" w:rsidRDefault="00DE253A" w:rsidP="00553010">
            <w:pPr>
              <w:jc w:val="center"/>
              <w:rPr>
                <w:b/>
                <w:sz w:val="28"/>
                <w:szCs w:val="28"/>
              </w:rPr>
            </w:pPr>
            <w:r w:rsidRPr="00F542DE">
              <w:rPr>
                <w:rFonts w:hint="eastAsia"/>
                <w:b/>
                <w:sz w:val="28"/>
                <w:szCs w:val="28"/>
              </w:rPr>
              <w:t>備註</w:t>
            </w:r>
          </w:p>
        </w:tc>
      </w:tr>
      <w:tr w:rsidR="00DE253A" w:rsidRPr="00F542DE" w:rsidTr="00DE253A">
        <w:tc>
          <w:tcPr>
            <w:tcW w:w="993" w:type="dxa"/>
          </w:tcPr>
          <w:p w:rsidR="00DE253A" w:rsidRPr="00F542DE" w:rsidRDefault="00DE253A" w:rsidP="00DE253A">
            <w:pPr>
              <w:ind w:leftChars="-31" w:left="18" w:rightChars="-31" w:right="-105" w:hangingChars="41" w:hanging="123"/>
              <w:jc w:val="center"/>
              <w:rPr>
                <w:sz w:val="28"/>
                <w:szCs w:val="28"/>
              </w:rPr>
            </w:pPr>
            <w:r w:rsidRPr="00F542DE">
              <w:rPr>
                <w:rFonts w:hint="eastAsia"/>
                <w:sz w:val="28"/>
                <w:szCs w:val="28"/>
              </w:rPr>
              <w:t>董事長</w:t>
            </w:r>
          </w:p>
        </w:tc>
        <w:tc>
          <w:tcPr>
            <w:tcW w:w="992" w:type="dxa"/>
          </w:tcPr>
          <w:p w:rsidR="00DE253A" w:rsidRPr="00F542DE" w:rsidRDefault="00DE253A" w:rsidP="00DE253A">
            <w:pPr>
              <w:ind w:leftChars="-31" w:left="18" w:rightChars="-31" w:right="-105" w:hangingChars="41" w:hanging="123"/>
              <w:jc w:val="center"/>
              <w:rPr>
                <w:sz w:val="28"/>
                <w:szCs w:val="28"/>
              </w:rPr>
            </w:pPr>
            <w:r w:rsidRPr="00F542DE">
              <w:rPr>
                <w:rFonts w:hint="eastAsia"/>
                <w:sz w:val="28"/>
                <w:szCs w:val="28"/>
              </w:rPr>
              <w:t>張鴻仁</w:t>
            </w:r>
          </w:p>
        </w:tc>
        <w:tc>
          <w:tcPr>
            <w:tcW w:w="3827" w:type="dxa"/>
          </w:tcPr>
          <w:p w:rsidR="00DE253A" w:rsidRPr="00F542DE" w:rsidRDefault="00DE253A" w:rsidP="00553010">
            <w:pPr>
              <w:rPr>
                <w:sz w:val="28"/>
                <w:szCs w:val="28"/>
              </w:rPr>
            </w:pPr>
            <w:r w:rsidRPr="00F542DE">
              <w:rPr>
                <w:rFonts w:hint="eastAsia"/>
                <w:sz w:val="28"/>
                <w:szCs w:val="28"/>
              </w:rPr>
              <w:t>上騰生技顧問公司董事長</w:t>
            </w:r>
          </w:p>
        </w:tc>
        <w:tc>
          <w:tcPr>
            <w:tcW w:w="3828" w:type="dxa"/>
          </w:tcPr>
          <w:p w:rsidR="00DE253A" w:rsidRPr="00F542DE" w:rsidRDefault="00DE253A" w:rsidP="00553010">
            <w:pPr>
              <w:rPr>
                <w:sz w:val="28"/>
                <w:szCs w:val="28"/>
              </w:rPr>
            </w:pPr>
            <w:r w:rsidRPr="00F542DE">
              <w:rPr>
                <w:rFonts w:hint="eastAsia"/>
                <w:sz w:val="28"/>
                <w:szCs w:val="28"/>
              </w:rPr>
              <w:t>台杉投顧管理委員會委員</w:t>
            </w:r>
          </w:p>
          <w:p w:rsidR="00DE253A" w:rsidRPr="00F542DE" w:rsidRDefault="00DE253A" w:rsidP="00553010">
            <w:pPr>
              <w:rPr>
                <w:sz w:val="28"/>
                <w:szCs w:val="28"/>
              </w:rPr>
            </w:pPr>
            <w:r w:rsidRPr="00F542DE">
              <w:rPr>
                <w:rFonts w:hint="eastAsia"/>
                <w:sz w:val="28"/>
                <w:szCs w:val="28"/>
              </w:rPr>
              <w:t>台杉水牛二號</w:t>
            </w:r>
            <w:r w:rsidR="00D9159E" w:rsidRPr="00F542DE">
              <w:rPr>
                <w:rFonts w:hint="eastAsia"/>
                <w:sz w:val="28"/>
                <w:szCs w:val="28"/>
              </w:rPr>
              <w:t>基金</w:t>
            </w:r>
            <w:r w:rsidRPr="00F542DE">
              <w:rPr>
                <w:rFonts w:hint="eastAsia"/>
                <w:sz w:val="28"/>
                <w:szCs w:val="28"/>
              </w:rPr>
              <w:t>投資顧問團隊</w:t>
            </w:r>
          </w:p>
        </w:tc>
      </w:tr>
      <w:tr w:rsidR="00DE253A" w:rsidRPr="00F542DE" w:rsidTr="00DE253A">
        <w:tc>
          <w:tcPr>
            <w:tcW w:w="993" w:type="dxa"/>
          </w:tcPr>
          <w:p w:rsidR="00DE253A" w:rsidRPr="00F542DE" w:rsidRDefault="00DE253A" w:rsidP="00DE253A">
            <w:pPr>
              <w:ind w:leftChars="-31" w:left="18" w:rightChars="-31" w:right="-105" w:hangingChars="41" w:hanging="123"/>
              <w:jc w:val="center"/>
              <w:rPr>
                <w:sz w:val="28"/>
                <w:szCs w:val="28"/>
              </w:rPr>
            </w:pPr>
            <w:r w:rsidRPr="00F542DE">
              <w:rPr>
                <w:rFonts w:hint="eastAsia"/>
                <w:sz w:val="28"/>
                <w:szCs w:val="28"/>
              </w:rPr>
              <w:t>董事</w:t>
            </w:r>
          </w:p>
        </w:tc>
        <w:tc>
          <w:tcPr>
            <w:tcW w:w="992" w:type="dxa"/>
          </w:tcPr>
          <w:p w:rsidR="00DE253A" w:rsidRPr="00F542DE" w:rsidRDefault="00DE253A" w:rsidP="00DE253A">
            <w:pPr>
              <w:ind w:leftChars="-31" w:left="18" w:rightChars="-31" w:right="-105" w:hangingChars="41" w:hanging="123"/>
              <w:jc w:val="center"/>
              <w:rPr>
                <w:sz w:val="28"/>
                <w:szCs w:val="28"/>
              </w:rPr>
            </w:pPr>
            <w:r w:rsidRPr="00F542DE">
              <w:rPr>
                <w:rFonts w:hint="eastAsia"/>
                <w:sz w:val="28"/>
                <w:szCs w:val="28"/>
              </w:rPr>
              <w:t>翁嘉盛</w:t>
            </w:r>
          </w:p>
        </w:tc>
        <w:tc>
          <w:tcPr>
            <w:tcW w:w="3827" w:type="dxa"/>
          </w:tcPr>
          <w:p w:rsidR="00DE253A" w:rsidRPr="00F542DE" w:rsidRDefault="00DE253A" w:rsidP="00553010">
            <w:pPr>
              <w:rPr>
                <w:sz w:val="28"/>
                <w:szCs w:val="28"/>
              </w:rPr>
            </w:pPr>
            <w:r w:rsidRPr="00F542DE">
              <w:rPr>
                <w:rFonts w:hint="eastAsia"/>
                <w:sz w:val="28"/>
                <w:szCs w:val="28"/>
              </w:rPr>
              <w:t>創新橋資本管理公司合夥人</w:t>
            </w:r>
          </w:p>
          <w:p w:rsidR="00DE253A" w:rsidRPr="00F542DE" w:rsidRDefault="00DE253A" w:rsidP="00553010">
            <w:pPr>
              <w:rPr>
                <w:sz w:val="28"/>
                <w:szCs w:val="28"/>
              </w:rPr>
            </w:pPr>
            <w:r w:rsidRPr="00F542DE">
              <w:rPr>
                <w:rFonts w:hint="eastAsia"/>
                <w:sz w:val="28"/>
                <w:szCs w:val="28"/>
              </w:rPr>
              <w:t>矽谷台灣天使協會主席</w:t>
            </w:r>
          </w:p>
          <w:p w:rsidR="00DE253A" w:rsidRPr="00F542DE" w:rsidRDefault="00DE253A" w:rsidP="00553010">
            <w:pPr>
              <w:rPr>
                <w:sz w:val="28"/>
                <w:szCs w:val="28"/>
              </w:rPr>
            </w:pPr>
            <w:r w:rsidRPr="00F542DE">
              <w:rPr>
                <w:rFonts w:hint="eastAsia"/>
                <w:sz w:val="28"/>
                <w:szCs w:val="28"/>
              </w:rPr>
              <w:t>北美工研院董事</w:t>
            </w:r>
          </w:p>
        </w:tc>
        <w:tc>
          <w:tcPr>
            <w:tcW w:w="3828" w:type="dxa"/>
          </w:tcPr>
          <w:p w:rsidR="00DE253A" w:rsidRPr="00F542DE" w:rsidRDefault="00DE253A" w:rsidP="00553010">
            <w:pPr>
              <w:rPr>
                <w:sz w:val="28"/>
                <w:szCs w:val="28"/>
              </w:rPr>
            </w:pPr>
            <w:r w:rsidRPr="00F542DE">
              <w:rPr>
                <w:rFonts w:hint="eastAsia"/>
                <w:sz w:val="28"/>
                <w:szCs w:val="28"/>
              </w:rPr>
              <w:t>台杉投顧總經理</w:t>
            </w:r>
          </w:p>
          <w:p w:rsidR="00DE253A" w:rsidRPr="00F542DE" w:rsidRDefault="00DE253A" w:rsidP="00553010">
            <w:pPr>
              <w:rPr>
                <w:sz w:val="28"/>
                <w:szCs w:val="28"/>
              </w:rPr>
            </w:pPr>
            <w:r w:rsidRPr="00F542DE">
              <w:rPr>
                <w:rFonts w:hint="eastAsia"/>
                <w:sz w:val="28"/>
                <w:szCs w:val="28"/>
              </w:rPr>
              <w:t>台杉投顧美國子公司董事</w:t>
            </w:r>
          </w:p>
        </w:tc>
      </w:tr>
      <w:tr w:rsidR="00DE253A" w:rsidRPr="00F542DE" w:rsidTr="00DE253A">
        <w:tc>
          <w:tcPr>
            <w:tcW w:w="993" w:type="dxa"/>
          </w:tcPr>
          <w:p w:rsidR="00DE253A" w:rsidRPr="00F542DE" w:rsidRDefault="00DE253A" w:rsidP="00DE253A">
            <w:pPr>
              <w:ind w:leftChars="-31" w:left="18" w:rightChars="-31" w:right="-105" w:hangingChars="41" w:hanging="123"/>
              <w:jc w:val="center"/>
              <w:rPr>
                <w:sz w:val="28"/>
                <w:szCs w:val="28"/>
              </w:rPr>
            </w:pPr>
            <w:r w:rsidRPr="00F542DE">
              <w:rPr>
                <w:rFonts w:hint="eastAsia"/>
                <w:sz w:val="28"/>
                <w:szCs w:val="28"/>
              </w:rPr>
              <w:t>董事</w:t>
            </w:r>
          </w:p>
        </w:tc>
        <w:tc>
          <w:tcPr>
            <w:tcW w:w="992" w:type="dxa"/>
          </w:tcPr>
          <w:p w:rsidR="00DE253A" w:rsidRPr="00F542DE" w:rsidRDefault="00DE253A" w:rsidP="00DE253A">
            <w:pPr>
              <w:ind w:leftChars="-31" w:left="18" w:rightChars="-31" w:right="-105" w:hangingChars="41" w:hanging="123"/>
              <w:jc w:val="center"/>
              <w:rPr>
                <w:sz w:val="28"/>
                <w:szCs w:val="28"/>
              </w:rPr>
            </w:pPr>
            <w:r w:rsidRPr="00F542DE">
              <w:rPr>
                <w:rFonts w:hint="eastAsia"/>
                <w:sz w:val="28"/>
                <w:szCs w:val="28"/>
              </w:rPr>
              <w:t>黃日燦</w:t>
            </w:r>
          </w:p>
        </w:tc>
        <w:tc>
          <w:tcPr>
            <w:tcW w:w="3827" w:type="dxa"/>
          </w:tcPr>
          <w:p w:rsidR="00DE253A" w:rsidRPr="00F542DE" w:rsidRDefault="00DE253A" w:rsidP="00553010">
            <w:pPr>
              <w:rPr>
                <w:sz w:val="28"/>
                <w:szCs w:val="28"/>
              </w:rPr>
            </w:pPr>
            <w:r w:rsidRPr="00F542DE">
              <w:rPr>
                <w:rFonts w:hint="eastAsia"/>
                <w:sz w:val="28"/>
                <w:szCs w:val="28"/>
              </w:rPr>
              <w:t>眾達國際法律事務所律師</w:t>
            </w:r>
          </w:p>
        </w:tc>
        <w:tc>
          <w:tcPr>
            <w:tcW w:w="3828" w:type="dxa"/>
          </w:tcPr>
          <w:p w:rsidR="00DE253A" w:rsidRPr="00F542DE" w:rsidRDefault="00DE253A" w:rsidP="00553010">
            <w:pPr>
              <w:rPr>
                <w:sz w:val="28"/>
                <w:szCs w:val="28"/>
              </w:rPr>
            </w:pPr>
            <w:r w:rsidRPr="00F542DE">
              <w:rPr>
                <w:rFonts w:hint="eastAsia"/>
                <w:sz w:val="28"/>
                <w:szCs w:val="28"/>
              </w:rPr>
              <w:t>台杉投顧董事</w:t>
            </w:r>
          </w:p>
        </w:tc>
      </w:tr>
      <w:tr w:rsidR="00DE253A" w:rsidRPr="00F542DE" w:rsidTr="00DE253A">
        <w:tc>
          <w:tcPr>
            <w:tcW w:w="993" w:type="dxa"/>
          </w:tcPr>
          <w:p w:rsidR="00DE253A" w:rsidRPr="00F542DE" w:rsidRDefault="00DE253A" w:rsidP="00DE253A">
            <w:pPr>
              <w:ind w:leftChars="-31" w:left="18" w:rightChars="-31" w:right="-105" w:hangingChars="41" w:hanging="123"/>
              <w:jc w:val="center"/>
              <w:rPr>
                <w:sz w:val="28"/>
                <w:szCs w:val="28"/>
              </w:rPr>
            </w:pPr>
            <w:r w:rsidRPr="00F542DE">
              <w:rPr>
                <w:rFonts w:hint="eastAsia"/>
                <w:sz w:val="28"/>
                <w:szCs w:val="28"/>
              </w:rPr>
              <w:t>董事</w:t>
            </w:r>
          </w:p>
        </w:tc>
        <w:tc>
          <w:tcPr>
            <w:tcW w:w="992" w:type="dxa"/>
          </w:tcPr>
          <w:p w:rsidR="00DE253A" w:rsidRPr="00F542DE" w:rsidRDefault="00DE253A" w:rsidP="00DE253A">
            <w:pPr>
              <w:ind w:leftChars="-31" w:left="18" w:rightChars="-31" w:right="-105" w:hangingChars="41" w:hanging="123"/>
              <w:jc w:val="center"/>
              <w:rPr>
                <w:sz w:val="28"/>
                <w:szCs w:val="28"/>
              </w:rPr>
            </w:pPr>
            <w:r w:rsidRPr="00F542DE">
              <w:rPr>
                <w:rFonts w:hint="eastAsia"/>
                <w:sz w:val="28"/>
                <w:szCs w:val="28"/>
              </w:rPr>
              <w:t>孫智麗</w:t>
            </w:r>
          </w:p>
        </w:tc>
        <w:tc>
          <w:tcPr>
            <w:tcW w:w="3827" w:type="dxa"/>
          </w:tcPr>
          <w:p w:rsidR="00DE253A" w:rsidRPr="00F542DE" w:rsidRDefault="00DE253A" w:rsidP="00DE253A">
            <w:pPr>
              <w:rPr>
                <w:sz w:val="28"/>
                <w:szCs w:val="28"/>
              </w:rPr>
            </w:pPr>
            <w:r w:rsidRPr="00F542DE">
              <w:rPr>
                <w:rFonts w:hint="eastAsia"/>
                <w:sz w:val="28"/>
                <w:szCs w:val="28"/>
              </w:rPr>
              <w:t>台經院生技發展中心主任</w:t>
            </w:r>
          </w:p>
        </w:tc>
        <w:tc>
          <w:tcPr>
            <w:tcW w:w="3828" w:type="dxa"/>
          </w:tcPr>
          <w:p w:rsidR="00DE253A" w:rsidRPr="00F542DE" w:rsidRDefault="00DE253A" w:rsidP="00DE253A">
            <w:pPr>
              <w:rPr>
                <w:sz w:val="28"/>
                <w:szCs w:val="28"/>
              </w:rPr>
            </w:pPr>
            <w:r w:rsidRPr="00F542DE">
              <w:rPr>
                <w:rFonts w:hint="eastAsia"/>
                <w:sz w:val="28"/>
                <w:szCs w:val="28"/>
              </w:rPr>
              <w:t>國發基金推薦</w:t>
            </w:r>
          </w:p>
        </w:tc>
      </w:tr>
      <w:tr w:rsidR="00DE253A" w:rsidRPr="00F542DE" w:rsidTr="00DE253A">
        <w:tc>
          <w:tcPr>
            <w:tcW w:w="993" w:type="dxa"/>
          </w:tcPr>
          <w:p w:rsidR="00DE253A" w:rsidRPr="00F542DE" w:rsidRDefault="00DE253A" w:rsidP="00DE253A">
            <w:pPr>
              <w:ind w:leftChars="-31" w:left="18" w:rightChars="-31" w:right="-105" w:hangingChars="41" w:hanging="123"/>
              <w:jc w:val="center"/>
              <w:rPr>
                <w:sz w:val="28"/>
                <w:szCs w:val="28"/>
              </w:rPr>
            </w:pPr>
            <w:r w:rsidRPr="00F542DE">
              <w:rPr>
                <w:rFonts w:hint="eastAsia"/>
                <w:sz w:val="28"/>
                <w:szCs w:val="28"/>
              </w:rPr>
              <w:t>監察人</w:t>
            </w:r>
          </w:p>
        </w:tc>
        <w:tc>
          <w:tcPr>
            <w:tcW w:w="992" w:type="dxa"/>
          </w:tcPr>
          <w:p w:rsidR="00DE253A" w:rsidRPr="00F542DE" w:rsidRDefault="00DE253A" w:rsidP="00DE253A">
            <w:pPr>
              <w:ind w:leftChars="-31" w:left="18" w:rightChars="-31" w:right="-105" w:hangingChars="41" w:hanging="123"/>
              <w:jc w:val="center"/>
              <w:rPr>
                <w:sz w:val="28"/>
                <w:szCs w:val="28"/>
              </w:rPr>
            </w:pPr>
            <w:r w:rsidRPr="00F542DE">
              <w:rPr>
                <w:rFonts w:hint="eastAsia"/>
                <w:sz w:val="28"/>
                <w:szCs w:val="28"/>
              </w:rPr>
              <w:t>黃立鑫</w:t>
            </w:r>
          </w:p>
        </w:tc>
        <w:tc>
          <w:tcPr>
            <w:tcW w:w="3827" w:type="dxa"/>
          </w:tcPr>
          <w:p w:rsidR="00DE253A" w:rsidRPr="00F542DE" w:rsidRDefault="00DE253A" w:rsidP="00553010">
            <w:pPr>
              <w:rPr>
                <w:sz w:val="28"/>
                <w:szCs w:val="28"/>
              </w:rPr>
            </w:pPr>
            <w:r w:rsidRPr="00F542DE">
              <w:rPr>
                <w:rFonts w:hint="eastAsia"/>
                <w:sz w:val="28"/>
                <w:szCs w:val="28"/>
              </w:rPr>
              <w:t>NeuroVive Pharmaceutical Taiwan, Inc.創辦人及CEO</w:t>
            </w:r>
          </w:p>
        </w:tc>
        <w:tc>
          <w:tcPr>
            <w:tcW w:w="3828" w:type="dxa"/>
          </w:tcPr>
          <w:p w:rsidR="00DE253A" w:rsidRPr="00F542DE" w:rsidRDefault="00D9159E" w:rsidP="00553010">
            <w:pPr>
              <w:rPr>
                <w:sz w:val="28"/>
                <w:szCs w:val="28"/>
              </w:rPr>
            </w:pPr>
            <w:r w:rsidRPr="00F542DE">
              <w:rPr>
                <w:rFonts w:hint="eastAsia"/>
                <w:sz w:val="28"/>
                <w:szCs w:val="28"/>
              </w:rPr>
              <w:t>台杉水牛二號基金</w:t>
            </w:r>
            <w:r w:rsidR="00FE58BD" w:rsidRPr="00F542DE">
              <w:rPr>
                <w:rFonts w:hint="eastAsia"/>
                <w:sz w:val="28"/>
                <w:szCs w:val="28"/>
              </w:rPr>
              <w:t>投資副總</w:t>
            </w:r>
          </w:p>
        </w:tc>
      </w:tr>
    </w:tbl>
    <w:p w:rsidR="00DE253A" w:rsidRPr="00F542DE" w:rsidRDefault="00DE253A" w:rsidP="00FE58BD">
      <w:pPr>
        <w:pStyle w:val="6"/>
        <w:numPr>
          <w:ilvl w:val="0"/>
          <w:numId w:val="0"/>
        </w:numPr>
        <w:spacing w:afterLines="50" w:after="228"/>
        <w:rPr>
          <w:sz w:val="24"/>
          <w:szCs w:val="24"/>
        </w:rPr>
      </w:pPr>
      <w:r w:rsidRPr="00F542DE">
        <w:rPr>
          <w:rFonts w:hint="eastAsia"/>
          <w:sz w:val="24"/>
          <w:szCs w:val="24"/>
        </w:rPr>
        <w:t>資料來源：</w:t>
      </w:r>
      <w:r w:rsidR="00FE58BD" w:rsidRPr="00F542DE">
        <w:rPr>
          <w:rFonts w:hint="eastAsia"/>
          <w:sz w:val="24"/>
          <w:szCs w:val="24"/>
        </w:rPr>
        <w:t>修正自國發會提供之資料。</w:t>
      </w:r>
    </w:p>
    <w:p w:rsidR="00DE253A" w:rsidRPr="00F542DE" w:rsidRDefault="00DE253A" w:rsidP="00247694">
      <w:pPr>
        <w:pStyle w:val="5"/>
      </w:pPr>
      <w:r w:rsidRPr="00F542DE">
        <w:rPr>
          <w:rFonts w:hint="eastAsia"/>
        </w:rPr>
        <w:t>台杉水牛一號基金</w:t>
      </w:r>
      <w:r w:rsidR="00247694" w:rsidRPr="00F542DE">
        <w:rPr>
          <w:rFonts w:hint="eastAsia"/>
        </w:rPr>
        <w:t>：</w:t>
      </w:r>
      <w:r w:rsidRPr="00F542DE">
        <w:rPr>
          <w:rFonts w:hint="eastAsia"/>
        </w:rPr>
        <w:t>董監事名單詳表</w:t>
      </w:r>
      <w:r w:rsidR="00D30FEB">
        <w:rPr>
          <w:rFonts w:hint="eastAsia"/>
        </w:rPr>
        <w:t>3</w:t>
      </w:r>
      <w:r w:rsidRPr="00F542DE">
        <w:rPr>
          <w:rFonts w:hint="eastAsia"/>
        </w:rPr>
        <w:t>，該公司並無員工，董事及監察人除支領車馬費外，均未支領薪酬、分紅與獎金。</w:t>
      </w:r>
    </w:p>
    <w:p w:rsidR="00DE253A" w:rsidRPr="00F542DE" w:rsidRDefault="00DE253A" w:rsidP="00DE253A">
      <w:pPr>
        <w:pStyle w:val="a4"/>
        <w:ind w:leftChars="800" w:left="3203" w:hanging="482"/>
        <w:rPr>
          <w:b/>
        </w:rPr>
      </w:pPr>
      <w:r w:rsidRPr="00F542DE">
        <w:rPr>
          <w:rFonts w:hint="eastAsia"/>
          <w:b/>
        </w:rPr>
        <w:t>台杉水牛一號基金董監事</w:t>
      </w:r>
    </w:p>
    <w:tbl>
      <w:tblPr>
        <w:tblStyle w:val="af8"/>
        <w:tblW w:w="7513" w:type="dxa"/>
        <w:tblInd w:w="1526" w:type="dxa"/>
        <w:tblLook w:val="04A0" w:firstRow="1" w:lastRow="0" w:firstColumn="1" w:lastColumn="0" w:noHBand="0" w:noVBand="1"/>
      </w:tblPr>
      <w:tblGrid>
        <w:gridCol w:w="1134"/>
        <w:gridCol w:w="1559"/>
        <w:gridCol w:w="4820"/>
      </w:tblGrid>
      <w:tr w:rsidR="00DE253A" w:rsidRPr="00F542DE" w:rsidTr="00553010">
        <w:trPr>
          <w:tblHeader/>
        </w:trPr>
        <w:tc>
          <w:tcPr>
            <w:tcW w:w="1134" w:type="dxa"/>
          </w:tcPr>
          <w:p w:rsidR="00DE253A" w:rsidRPr="00F542DE" w:rsidRDefault="00DE253A" w:rsidP="00553010">
            <w:pPr>
              <w:pStyle w:val="4"/>
              <w:numPr>
                <w:ilvl w:val="0"/>
                <w:numId w:val="0"/>
              </w:numPr>
              <w:jc w:val="center"/>
              <w:rPr>
                <w:b/>
                <w:sz w:val="28"/>
                <w:szCs w:val="28"/>
              </w:rPr>
            </w:pPr>
            <w:r w:rsidRPr="00F542DE">
              <w:rPr>
                <w:rFonts w:hint="eastAsia"/>
                <w:b/>
                <w:sz w:val="28"/>
                <w:szCs w:val="28"/>
              </w:rPr>
              <w:t>類別</w:t>
            </w:r>
          </w:p>
        </w:tc>
        <w:tc>
          <w:tcPr>
            <w:tcW w:w="1559" w:type="dxa"/>
          </w:tcPr>
          <w:p w:rsidR="00DE253A" w:rsidRPr="00F542DE" w:rsidRDefault="00DE253A" w:rsidP="00553010">
            <w:pPr>
              <w:pStyle w:val="4"/>
              <w:numPr>
                <w:ilvl w:val="0"/>
                <w:numId w:val="0"/>
              </w:numPr>
              <w:jc w:val="center"/>
              <w:rPr>
                <w:b/>
                <w:sz w:val="28"/>
                <w:szCs w:val="28"/>
              </w:rPr>
            </w:pPr>
            <w:r w:rsidRPr="00F542DE">
              <w:rPr>
                <w:rFonts w:hint="eastAsia"/>
                <w:b/>
                <w:sz w:val="28"/>
                <w:szCs w:val="28"/>
              </w:rPr>
              <w:t>姓名</w:t>
            </w:r>
          </w:p>
        </w:tc>
        <w:tc>
          <w:tcPr>
            <w:tcW w:w="4820" w:type="dxa"/>
          </w:tcPr>
          <w:p w:rsidR="00DE253A" w:rsidRPr="00F542DE" w:rsidRDefault="00DE253A" w:rsidP="00553010">
            <w:pPr>
              <w:pStyle w:val="4"/>
              <w:numPr>
                <w:ilvl w:val="0"/>
                <w:numId w:val="0"/>
              </w:numPr>
              <w:jc w:val="center"/>
              <w:rPr>
                <w:b/>
                <w:sz w:val="28"/>
                <w:szCs w:val="28"/>
              </w:rPr>
            </w:pPr>
            <w:r w:rsidRPr="00F542DE">
              <w:rPr>
                <w:rFonts w:hint="eastAsia"/>
                <w:b/>
                <w:sz w:val="28"/>
                <w:szCs w:val="28"/>
              </w:rPr>
              <w:t>備註</w:t>
            </w:r>
          </w:p>
        </w:tc>
      </w:tr>
      <w:tr w:rsidR="00DE253A" w:rsidRPr="00F542DE" w:rsidTr="00553010">
        <w:tc>
          <w:tcPr>
            <w:tcW w:w="1134" w:type="dxa"/>
          </w:tcPr>
          <w:p w:rsidR="00DE253A" w:rsidRPr="00F542DE" w:rsidRDefault="00DE253A" w:rsidP="00553010">
            <w:pPr>
              <w:pStyle w:val="4"/>
              <w:numPr>
                <w:ilvl w:val="0"/>
                <w:numId w:val="0"/>
              </w:numPr>
              <w:rPr>
                <w:sz w:val="28"/>
                <w:szCs w:val="28"/>
              </w:rPr>
            </w:pPr>
            <w:r w:rsidRPr="00F542DE">
              <w:rPr>
                <w:rFonts w:hint="eastAsia"/>
                <w:sz w:val="28"/>
                <w:szCs w:val="28"/>
              </w:rPr>
              <w:t>董事長</w:t>
            </w:r>
          </w:p>
        </w:tc>
        <w:tc>
          <w:tcPr>
            <w:tcW w:w="1559" w:type="dxa"/>
          </w:tcPr>
          <w:p w:rsidR="00DE253A" w:rsidRPr="00F542DE" w:rsidRDefault="00DE253A" w:rsidP="00553010">
            <w:pPr>
              <w:pStyle w:val="4"/>
              <w:numPr>
                <w:ilvl w:val="0"/>
                <w:numId w:val="0"/>
              </w:numPr>
              <w:jc w:val="center"/>
              <w:rPr>
                <w:sz w:val="28"/>
                <w:szCs w:val="28"/>
              </w:rPr>
            </w:pPr>
            <w:r w:rsidRPr="00F542DE">
              <w:rPr>
                <w:rFonts w:hint="eastAsia"/>
                <w:sz w:val="28"/>
                <w:szCs w:val="28"/>
              </w:rPr>
              <w:t>翁嘉盛</w:t>
            </w:r>
            <w:r w:rsidRPr="00F542DE">
              <w:rPr>
                <w:rFonts w:hint="eastAsia"/>
                <w:sz w:val="28"/>
                <w:szCs w:val="28"/>
                <w:vertAlign w:val="superscript"/>
              </w:rPr>
              <w:t>註</w:t>
            </w:r>
          </w:p>
        </w:tc>
        <w:tc>
          <w:tcPr>
            <w:tcW w:w="4820" w:type="dxa"/>
          </w:tcPr>
          <w:p w:rsidR="00DE253A" w:rsidRPr="00F542DE" w:rsidRDefault="00DE253A" w:rsidP="00553010">
            <w:pPr>
              <w:pStyle w:val="4"/>
              <w:numPr>
                <w:ilvl w:val="0"/>
                <w:numId w:val="0"/>
              </w:numPr>
              <w:rPr>
                <w:sz w:val="28"/>
                <w:szCs w:val="28"/>
              </w:rPr>
            </w:pPr>
            <w:r w:rsidRPr="00F542DE">
              <w:rPr>
                <w:rFonts w:hint="eastAsia"/>
                <w:sz w:val="28"/>
                <w:szCs w:val="28"/>
              </w:rPr>
              <w:t>台杉投顧總經理(台杉投顧代表)</w:t>
            </w:r>
          </w:p>
        </w:tc>
      </w:tr>
      <w:tr w:rsidR="00DE253A" w:rsidRPr="00F542DE" w:rsidTr="00553010">
        <w:tc>
          <w:tcPr>
            <w:tcW w:w="1134" w:type="dxa"/>
          </w:tcPr>
          <w:p w:rsidR="00DE253A" w:rsidRPr="00F542DE" w:rsidRDefault="00DE253A" w:rsidP="00553010">
            <w:pPr>
              <w:pStyle w:val="4"/>
              <w:numPr>
                <w:ilvl w:val="0"/>
                <w:numId w:val="0"/>
              </w:numPr>
              <w:rPr>
                <w:sz w:val="28"/>
                <w:szCs w:val="28"/>
              </w:rPr>
            </w:pPr>
            <w:r w:rsidRPr="00F542DE">
              <w:rPr>
                <w:rFonts w:hint="eastAsia"/>
                <w:sz w:val="28"/>
                <w:szCs w:val="28"/>
              </w:rPr>
              <w:t>董事</w:t>
            </w:r>
          </w:p>
        </w:tc>
        <w:tc>
          <w:tcPr>
            <w:tcW w:w="1559" w:type="dxa"/>
          </w:tcPr>
          <w:p w:rsidR="00DE253A" w:rsidRPr="00F542DE" w:rsidRDefault="00DE253A" w:rsidP="00553010">
            <w:pPr>
              <w:pStyle w:val="4"/>
              <w:numPr>
                <w:ilvl w:val="0"/>
                <w:numId w:val="0"/>
              </w:numPr>
              <w:jc w:val="center"/>
              <w:rPr>
                <w:sz w:val="28"/>
                <w:szCs w:val="28"/>
              </w:rPr>
            </w:pPr>
            <w:r w:rsidRPr="00F542DE">
              <w:rPr>
                <w:rFonts w:hint="eastAsia"/>
                <w:sz w:val="28"/>
                <w:szCs w:val="28"/>
              </w:rPr>
              <w:t>吳榮義</w:t>
            </w:r>
          </w:p>
        </w:tc>
        <w:tc>
          <w:tcPr>
            <w:tcW w:w="4820" w:type="dxa"/>
          </w:tcPr>
          <w:p w:rsidR="00DE253A" w:rsidRPr="00F542DE" w:rsidRDefault="00DE253A" w:rsidP="00553010">
            <w:pPr>
              <w:pStyle w:val="4"/>
              <w:numPr>
                <w:ilvl w:val="0"/>
                <w:numId w:val="0"/>
              </w:numPr>
              <w:rPr>
                <w:sz w:val="28"/>
                <w:szCs w:val="28"/>
              </w:rPr>
            </w:pPr>
            <w:r w:rsidRPr="00F542DE">
              <w:rPr>
                <w:rFonts w:hint="eastAsia"/>
                <w:sz w:val="28"/>
                <w:szCs w:val="28"/>
              </w:rPr>
              <w:t>台杉投顧董事長(台杉投顧代表)</w:t>
            </w:r>
          </w:p>
        </w:tc>
      </w:tr>
      <w:tr w:rsidR="00DE253A" w:rsidRPr="00F542DE" w:rsidTr="00553010">
        <w:trPr>
          <w:trHeight w:val="146"/>
        </w:trPr>
        <w:tc>
          <w:tcPr>
            <w:tcW w:w="1134" w:type="dxa"/>
          </w:tcPr>
          <w:p w:rsidR="00DE253A" w:rsidRPr="00F542DE" w:rsidRDefault="00DE253A" w:rsidP="00553010">
            <w:pPr>
              <w:pStyle w:val="4"/>
              <w:numPr>
                <w:ilvl w:val="0"/>
                <w:numId w:val="0"/>
              </w:numPr>
              <w:rPr>
                <w:sz w:val="28"/>
                <w:szCs w:val="28"/>
              </w:rPr>
            </w:pPr>
            <w:r w:rsidRPr="00F542DE">
              <w:rPr>
                <w:rFonts w:hint="eastAsia"/>
                <w:sz w:val="28"/>
                <w:szCs w:val="28"/>
              </w:rPr>
              <w:t>董事</w:t>
            </w:r>
          </w:p>
        </w:tc>
        <w:tc>
          <w:tcPr>
            <w:tcW w:w="1559" w:type="dxa"/>
          </w:tcPr>
          <w:p w:rsidR="00DE253A" w:rsidRPr="00F542DE" w:rsidRDefault="00DE253A" w:rsidP="00553010">
            <w:pPr>
              <w:pStyle w:val="4"/>
              <w:numPr>
                <w:ilvl w:val="0"/>
                <w:numId w:val="0"/>
              </w:numPr>
              <w:jc w:val="center"/>
              <w:rPr>
                <w:sz w:val="28"/>
                <w:szCs w:val="28"/>
              </w:rPr>
            </w:pPr>
            <w:r w:rsidRPr="00F542DE">
              <w:rPr>
                <w:rFonts w:hint="eastAsia"/>
                <w:sz w:val="28"/>
                <w:szCs w:val="28"/>
              </w:rPr>
              <w:t>黃日燦</w:t>
            </w:r>
          </w:p>
        </w:tc>
        <w:tc>
          <w:tcPr>
            <w:tcW w:w="4820" w:type="dxa"/>
          </w:tcPr>
          <w:p w:rsidR="00DE253A" w:rsidRPr="00F542DE" w:rsidRDefault="00DE253A" w:rsidP="00553010">
            <w:pPr>
              <w:pStyle w:val="4"/>
              <w:numPr>
                <w:ilvl w:val="0"/>
                <w:numId w:val="0"/>
              </w:numPr>
              <w:rPr>
                <w:sz w:val="28"/>
                <w:szCs w:val="28"/>
              </w:rPr>
            </w:pPr>
            <w:r w:rsidRPr="00F542DE">
              <w:rPr>
                <w:rFonts w:hint="eastAsia"/>
                <w:sz w:val="28"/>
                <w:szCs w:val="28"/>
              </w:rPr>
              <w:t>台杉投顧董事(台杉投顧代表)</w:t>
            </w:r>
          </w:p>
        </w:tc>
      </w:tr>
      <w:tr w:rsidR="00DE253A" w:rsidRPr="00F542DE" w:rsidTr="00553010">
        <w:trPr>
          <w:trHeight w:val="158"/>
        </w:trPr>
        <w:tc>
          <w:tcPr>
            <w:tcW w:w="1134" w:type="dxa"/>
          </w:tcPr>
          <w:p w:rsidR="00DE253A" w:rsidRPr="00F542DE" w:rsidRDefault="00DE253A" w:rsidP="00553010">
            <w:pPr>
              <w:pStyle w:val="4"/>
              <w:numPr>
                <w:ilvl w:val="0"/>
                <w:numId w:val="0"/>
              </w:numPr>
              <w:rPr>
                <w:sz w:val="28"/>
                <w:szCs w:val="28"/>
              </w:rPr>
            </w:pPr>
            <w:r w:rsidRPr="00F542DE">
              <w:rPr>
                <w:rFonts w:hint="eastAsia"/>
                <w:sz w:val="28"/>
                <w:szCs w:val="28"/>
              </w:rPr>
              <w:t>董事</w:t>
            </w:r>
          </w:p>
        </w:tc>
        <w:tc>
          <w:tcPr>
            <w:tcW w:w="1559" w:type="dxa"/>
          </w:tcPr>
          <w:p w:rsidR="00DE253A" w:rsidRPr="00F542DE" w:rsidRDefault="00DE253A" w:rsidP="00553010">
            <w:pPr>
              <w:pStyle w:val="4"/>
              <w:numPr>
                <w:ilvl w:val="0"/>
                <w:numId w:val="0"/>
              </w:numPr>
              <w:jc w:val="center"/>
              <w:rPr>
                <w:sz w:val="28"/>
                <w:szCs w:val="28"/>
              </w:rPr>
            </w:pPr>
            <w:r w:rsidRPr="00F542DE">
              <w:rPr>
                <w:rFonts w:hint="eastAsia"/>
                <w:sz w:val="28"/>
                <w:szCs w:val="28"/>
              </w:rPr>
              <w:t>陳宇紳</w:t>
            </w:r>
          </w:p>
        </w:tc>
        <w:tc>
          <w:tcPr>
            <w:tcW w:w="4820" w:type="dxa"/>
          </w:tcPr>
          <w:p w:rsidR="00DE253A" w:rsidRPr="00F542DE" w:rsidRDefault="00DE253A" w:rsidP="00553010">
            <w:pPr>
              <w:pStyle w:val="4"/>
              <w:numPr>
                <w:ilvl w:val="0"/>
                <w:numId w:val="0"/>
              </w:numPr>
              <w:rPr>
                <w:sz w:val="28"/>
                <w:szCs w:val="28"/>
              </w:rPr>
            </w:pPr>
            <w:r w:rsidRPr="00F542DE">
              <w:rPr>
                <w:rFonts w:hint="eastAsia"/>
                <w:sz w:val="28"/>
                <w:szCs w:val="28"/>
              </w:rPr>
              <w:t>國發基金代表</w:t>
            </w:r>
          </w:p>
        </w:tc>
      </w:tr>
      <w:tr w:rsidR="00DE253A" w:rsidRPr="00F542DE" w:rsidTr="00553010">
        <w:tc>
          <w:tcPr>
            <w:tcW w:w="1134" w:type="dxa"/>
            <w:shd w:val="clear" w:color="auto" w:fill="auto"/>
          </w:tcPr>
          <w:p w:rsidR="00DE253A" w:rsidRPr="00F542DE" w:rsidRDefault="00DE253A" w:rsidP="00553010">
            <w:pPr>
              <w:pStyle w:val="4"/>
              <w:numPr>
                <w:ilvl w:val="0"/>
                <w:numId w:val="0"/>
              </w:numPr>
              <w:rPr>
                <w:sz w:val="28"/>
                <w:szCs w:val="28"/>
              </w:rPr>
            </w:pPr>
            <w:r w:rsidRPr="00F542DE">
              <w:rPr>
                <w:rFonts w:hint="eastAsia"/>
                <w:sz w:val="28"/>
                <w:szCs w:val="28"/>
              </w:rPr>
              <w:t>監察人</w:t>
            </w:r>
          </w:p>
        </w:tc>
        <w:tc>
          <w:tcPr>
            <w:tcW w:w="1559" w:type="dxa"/>
            <w:shd w:val="clear" w:color="auto" w:fill="auto"/>
          </w:tcPr>
          <w:p w:rsidR="00DE253A" w:rsidRPr="00F542DE" w:rsidRDefault="00DE253A" w:rsidP="00553010">
            <w:pPr>
              <w:pStyle w:val="4"/>
              <w:numPr>
                <w:ilvl w:val="0"/>
                <w:numId w:val="0"/>
              </w:numPr>
              <w:jc w:val="center"/>
              <w:rPr>
                <w:sz w:val="28"/>
                <w:szCs w:val="28"/>
              </w:rPr>
            </w:pPr>
            <w:r w:rsidRPr="00F542DE">
              <w:rPr>
                <w:rFonts w:hint="eastAsia"/>
                <w:sz w:val="28"/>
                <w:szCs w:val="28"/>
              </w:rPr>
              <w:t>張兆順</w:t>
            </w:r>
          </w:p>
        </w:tc>
        <w:tc>
          <w:tcPr>
            <w:tcW w:w="4820" w:type="dxa"/>
            <w:shd w:val="clear" w:color="auto" w:fill="auto"/>
          </w:tcPr>
          <w:p w:rsidR="00DE253A" w:rsidRPr="00F542DE" w:rsidRDefault="00DE253A" w:rsidP="00553010">
            <w:pPr>
              <w:pStyle w:val="4"/>
              <w:numPr>
                <w:ilvl w:val="0"/>
                <w:numId w:val="0"/>
              </w:numPr>
              <w:rPr>
                <w:sz w:val="28"/>
                <w:szCs w:val="28"/>
              </w:rPr>
            </w:pPr>
            <w:r w:rsidRPr="00F542DE">
              <w:rPr>
                <w:rFonts w:hint="eastAsia"/>
                <w:sz w:val="28"/>
                <w:szCs w:val="28"/>
              </w:rPr>
              <w:t>兆豐銀行代表</w:t>
            </w:r>
          </w:p>
        </w:tc>
      </w:tr>
    </w:tbl>
    <w:p w:rsidR="00DE253A" w:rsidRPr="00F542DE" w:rsidRDefault="00DE253A" w:rsidP="00DE253A">
      <w:pPr>
        <w:pStyle w:val="4"/>
        <w:numPr>
          <w:ilvl w:val="0"/>
          <w:numId w:val="0"/>
        </w:numPr>
        <w:spacing w:afterLines="50" w:after="228"/>
        <w:ind w:leftChars="400" w:left="1361"/>
        <w:rPr>
          <w:sz w:val="24"/>
          <w:szCs w:val="24"/>
        </w:rPr>
      </w:pPr>
      <w:r w:rsidRPr="00F542DE">
        <w:rPr>
          <w:rFonts w:hint="eastAsia"/>
          <w:sz w:val="24"/>
          <w:szCs w:val="24"/>
        </w:rPr>
        <w:t>資料來源：經濟部工商登記查詢(107年3月7日)</w:t>
      </w:r>
      <w:r w:rsidR="00D44AAC" w:rsidRPr="00F542DE">
        <w:rPr>
          <w:rFonts w:hint="eastAsia"/>
          <w:sz w:val="24"/>
          <w:szCs w:val="24"/>
        </w:rPr>
        <w:t>。</w:t>
      </w:r>
    </w:p>
    <w:p w:rsidR="00DE253A" w:rsidRPr="00F542DE" w:rsidRDefault="00DE253A" w:rsidP="00247694">
      <w:pPr>
        <w:pStyle w:val="5"/>
      </w:pPr>
      <w:r w:rsidRPr="00F542DE">
        <w:rPr>
          <w:rFonts w:hint="eastAsia"/>
        </w:rPr>
        <w:t>台杉水牛二號基金：</w:t>
      </w:r>
    </w:p>
    <w:p w:rsidR="00DE253A" w:rsidRPr="00F542DE" w:rsidRDefault="00DE253A" w:rsidP="00247694">
      <w:pPr>
        <w:pStyle w:val="43"/>
        <w:ind w:leftChars="600" w:left="2041" w:firstLine="680"/>
      </w:pPr>
      <w:r w:rsidRPr="00F542DE">
        <w:rPr>
          <w:rFonts w:hint="eastAsia"/>
        </w:rPr>
        <w:t>台杉水牛二號基金為有限合夥，爰無董事會。係由台杉生技擔任普通合夥人。台杉生技與創始有限合夥人(詹</w:t>
      </w:r>
      <w:r w:rsidR="00CD5BBC">
        <w:rPr>
          <w:rFonts w:hAnsi="標楷體" w:hint="eastAsia"/>
          <w:sz w:val="28"/>
          <w:szCs w:val="28"/>
        </w:rPr>
        <w:t>○</w:t>
      </w:r>
      <w:r w:rsidRPr="00F542DE">
        <w:rPr>
          <w:rFonts w:hint="eastAsia"/>
        </w:rPr>
        <w:t>瑋律師)簽訂「台杉水牛二號生技創投有限合夥之有限合夥協議」。依據</w:t>
      </w:r>
      <w:r w:rsidR="00FD5F85" w:rsidRPr="00F542DE">
        <w:rPr>
          <w:rFonts w:hint="eastAsia"/>
        </w:rPr>
        <w:t>上開</w:t>
      </w:r>
      <w:r w:rsidRPr="00F542DE">
        <w:rPr>
          <w:rFonts w:hint="eastAsia"/>
        </w:rPr>
        <w:t>協議，首次新有限合夥人加入</w:t>
      </w:r>
      <w:r w:rsidR="00FD5F85" w:rsidRPr="00F542DE">
        <w:rPr>
          <w:rFonts w:hint="eastAsia"/>
        </w:rPr>
        <w:t>該</w:t>
      </w:r>
      <w:r w:rsidRPr="00F542DE">
        <w:rPr>
          <w:rFonts w:hint="eastAsia"/>
        </w:rPr>
        <w:t>基金同時，創始有限合夥人應當然退夥</w:t>
      </w:r>
      <w:r w:rsidR="00E32786" w:rsidRPr="00F542DE">
        <w:rPr>
          <w:rFonts w:hint="eastAsia"/>
        </w:rPr>
        <w:t>。</w:t>
      </w:r>
    </w:p>
    <w:p w:rsidR="00F63A80" w:rsidRPr="00F542DE" w:rsidRDefault="00166459" w:rsidP="00AE4FCC">
      <w:pPr>
        <w:pStyle w:val="4"/>
      </w:pPr>
      <w:r w:rsidRPr="00F542DE">
        <w:rPr>
          <w:rFonts w:hint="eastAsia"/>
        </w:rPr>
        <w:lastRenderedPageBreak/>
        <w:t xml:space="preserve">台杉投顧及相關公司薪酬及獎金部分： </w:t>
      </w:r>
    </w:p>
    <w:p w:rsidR="002D606A" w:rsidRPr="00F542DE" w:rsidRDefault="002D606A" w:rsidP="00166459">
      <w:pPr>
        <w:pStyle w:val="5"/>
      </w:pPr>
      <w:r w:rsidRPr="00F542DE">
        <w:rPr>
          <w:rFonts w:hint="eastAsia"/>
        </w:rPr>
        <w:t>酬勞：</w:t>
      </w:r>
    </w:p>
    <w:p w:rsidR="002D606A" w:rsidRPr="00F542DE" w:rsidRDefault="002D606A" w:rsidP="00166459">
      <w:pPr>
        <w:pStyle w:val="33"/>
        <w:ind w:leftChars="625" w:left="2126" w:firstLine="680"/>
      </w:pPr>
      <w:r w:rsidRPr="00F542DE">
        <w:rPr>
          <w:rFonts w:hint="eastAsia"/>
        </w:rPr>
        <w:t>依據台杉投顧108年6月24日章程第33條規定，公司分派盈餘前，應提撥年度獲利3%以下作為董事酬勞，及1%以上作為員工酬勞，但公司尚有累積虧損時，應預先保留彌補數額。員工酬勞由董事會以董事三分之二以上出席及出席董事過半數同意之決議行之，並報告股東會，其分配之對象，得包括符合董事會或其授權之人所訂條件之從屬員工。員工酬勞得以股票或現金發放之。</w:t>
      </w:r>
    </w:p>
    <w:p w:rsidR="002D606A" w:rsidRPr="00F542DE" w:rsidRDefault="002D606A" w:rsidP="00166459">
      <w:pPr>
        <w:pStyle w:val="5"/>
      </w:pPr>
      <w:r w:rsidRPr="00F542DE">
        <w:rPr>
          <w:rFonts w:hint="eastAsia"/>
        </w:rPr>
        <w:t>分紅：</w:t>
      </w:r>
      <w:r w:rsidR="00166459" w:rsidRPr="00F542DE">
        <w:rPr>
          <w:rFonts w:hint="eastAsia"/>
        </w:rPr>
        <w:t>關於董事分紅事宜，目前暫無急迫性，留待之後再研究。</w:t>
      </w:r>
    </w:p>
    <w:p w:rsidR="002D606A" w:rsidRPr="00F542DE" w:rsidRDefault="002D606A" w:rsidP="00166459">
      <w:pPr>
        <w:pStyle w:val="5"/>
      </w:pPr>
      <w:r w:rsidRPr="00F542DE">
        <w:rPr>
          <w:rFonts w:hint="eastAsia"/>
        </w:rPr>
        <w:t>台杉投顧所募集基金之董監事除每月支領車馬費8,000元外，並</w:t>
      </w:r>
      <w:r w:rsidR="00D44AAC" w:rsidRPr="00F542DE">
        <w:rPr>
          <w:rFonts w:hint="eastAsia"/>
        </w:rPr>
        <w:t>未</w:t>
      </w:r>
      <w:r w:rsidRPr="00F542DE">
        <w:rPr>
          <w:rFonts w:hint="eastAsia"/>
        </w:rPr>
        <w:t>支領酬勞，另</w:t>
      </w:r>
      <w:r w:rsidR="00553010" w:rsidRPr="00F542DE">
        <w:rPr>
          <w:rFonts w:hint="eastAsia"/>
        </w:rPr>
        <w:t>台杉投顧美國子公司、</w:t>
      </w:r>
      <w:r w:rsidRPr="00F542DE">
        <w:rPr>
          <w:rFonts w:hint="eastAsia"/>
        </w:rPr>
        <w:t>台杉生技董監事</w:t>
      </w:r>
      <w:r w:rsidR="00D44AAC" w:rsidRPr="00F542DE">
        <w:rPr>
          <w:rFonts w:hint="eastAsia"/>
        </w:rPr>
        <w:t>未</w:t>
      </w:r>
      <w:r w:rsidRPr="00F542DE">
        <w:rPr>
          <w:rFonts w:hint="eastAsia"/>
        </w:rPr>
        <w:t>支領酬勞、車馬費、分紅或其他金錢報酬。</w:t>
      </w:r>
    </w:p>
    <w:p w:rsidR="002D606A" w:rsidRPr="00F542DE" w:rsidRDefault="00166459" w:rsidP="00FD5F85">
      <w:pPr>
        <w:pStyle w:val="4"/>
      </w:pPr>
      <w:r w:rsidRPr="00F542DE">
        <w:rPr>
          <w:rFonts w:hint="eastAsia"/>
        </w:rPr>
        <w:t>綜上，</w:t>
      </w:r>
      <w:r w:rsidR="0069014F" w:rsidRPr="00F542DE">
        <w:rPr>
          <w:rFonts w:hint="eastAsia"/>
        </w:rPr>
        <w:t>台杉投顧、台杉美國子公司、台杉生技、台杉水牛一號基金、台杉水牛二號基金相關董監事及高階管理人，經本院調閱相關</w:t>
      </w:r>
      <w:r w:rsidR="002F7A5F" w:rsidRPr="00F542DE">
        <w:rPr>
          <w:rFonts w:hint="eastAsia"/>
        </w:rPr>
        <w:t>人員</w:t>
      </w:r>
      <w:r w:rsidR="0069014F" w:rsidRPr="00F542DE">
        <w:rPr>
          <w:rFonts w:hint="eastAsia"/>
        </w:rPr>
        <w:t>資歷，</w:t>
      </w:r>
      <w:r w:rsidR="002F7A5F" w:rsidRPr="00F542DE">
        <w:rPr>
          <w:rFonts w:hint="eastAsia"/>
        </w:rPr>
        <w:t>依其</w:t>
      </w:r>
      <w:r w:rsidR="0069014F" w:rsidRPr="00F542DE">
        <w:rPr>
          <w:rFonts w:hint="eastAsia"/>
        </w:rPr>
        <w:t>專業背景或實務經驗，尚難認定</w:t>
      </w:r>
      <w:r w:rsidR="002F7A5F" w:rsidRPr="00F542DE">
        <w:rPr>
          <w:rFonts w:hint="eastAsia"/>
        </w:rPr>
        <w:t>該些人員</w:t>
      </w:r>
      <w:r w:rsidR="0069014F" w:rsidRPr="00F542DE">
        <w:rPr>
          <w:rFonts w:hint="eastAsia"/>
        </w:rPr>
        <w:t>有無法勝任職務之情事。且董監事薪酬、分紅及獎金等制度</w:t>
      </w:r>
      <w:r w:rsidR="002F7A5F" w:rsidRPr="00F542DE">
        <w:rPr>
          <w:rFonts w:hint="eastAsia"/>
        </w:rPr>
        <w:t>則尚</w:t>
      </w:r>
      <w:r w:rsidR="0069014F" w:rsidRPr="00F542DE">
        <w:rPr>
          <w:rFonts w:hint="eastAsia"/>
        </w:rPr>
        <w:t>未發現有自肥之情事。另，該公司募集之2檔水牛基金額度已逾100億元，後續仍將持續募集相關基金，逐步達成經濟規模，獲利亦將逐步提升，該公司若為永續發展之需，建立分紅制度時，國發會允應督導相關董事，宜確實考量公司發展與公股權益間訂定合理之分紅制度。</w:t>
      </w:r>
    </w:p>
    <w:p w:rsidR="004A27B7" w:rsidRPr="00F542DE" w:rsidRDefault="00C81FB5" w:rsidP="00C81FB5">
      <w:pPr>
        <w:pStyle w:val="3"/>
        <w:spacing w:beforeLines="50" w:before="228"/>
        <w:ind w:left="1360" w:hanging="680"/>
      </w:pPr>
      <w:bookmarkStart w:id="103" w:name="_Toc30496484"/>
      <w:r w:rsidRPr="00F542DE">
        <w:rPr>
          <w:rFonts w:hint="eastAsia"/>
          <w:b/>
        </w:rPr>
        <w:t>台杉投顧受託管理台杉水牛一號及二號基金，投資</w:t>
      </w:r>
      <w:r w:rsidRPr="00F542DE">
        <w:rPr>
          <w:rFonts w:hint="eastAsia"/>
          <w:b/>
        </w:rPr>
        <w:lastRenderedPageBreak/>
        <w:t>期間收取之管理費分別為2.35%及2.5%，經本院調閱投資人之評估及實務上創投收取之管理費約介於2%-2.5%間，尚</w:t>
      </w:r>
      <w:r w:rsidR="00DE17F4" w:rsidRPr="00F542DE">
        <w:rPr>
          <w:rFonts w:hint="eastAsia"/>
          <w:b/>
        </w:rPr>
        <w:t>難認定</w:t>
      </w:r>
      <w:r w:rsidR="004264E9" w:rsidRPr="00F542DE">
        <w:rPr>
          <w:rFonts w:hint="eastAsia"/>
          <w:b/>
        </w:rPr>
        <w:t>該公司</w:t>
      </w:r>
      <w:r w:rsidRPr="00F542DE">
        <w:rPr>
          <w:rFonts w:hint="eastAsia"/>
          <w:b/>
        </w:rPr>
        <w:t>有</w:t>
      </w:r>
      <w:r w:rsidR="004264E9" w:rsidRPr="00F542DE">
        <w:rPr>
          <w:rFonts w:hint="eastAsia"/>
          <w:b/>
        </w:rPr>
        <w:t>收取超高管理費之情</w:t>
      </w:r>
      <w:r w:rsidR="00D44AAC" w:rsidRPr="00F542DE">
        <w:rPr>
          <w:rFonts w:hint="eastAsia"/>
          <w:b/>
        </w:rPr>
        <w:t>事</w:t>
      </w:r>
      <w:r w:rsidR="004264E9" w:rsidRPr="00F542DE">
        <w:rPr>
          <w:rFonts w:hint="eastAsia"/>
          <w:b/>
        </w:rPr>
        <w:t>。另，</w:t>
      </w:r>
      <w:r w:rsidRPr="00F542DE">
        <w:rPr>
          <w:rFonts w:hint="eastAsia"/>
          <w:b/>
        </w:rPr>
        <w:t>爭議發生後，</w:t>
      </w:r>
      <w:r w:rsidR="004264E9" w:rsidRPr="00F542DE">
        <w:rPr>
          <w:rFonts w:hint="eastAsia"/>
          <w:b/>
        </w:rPr>
        <w:t>該公司</w:t>
      </w:r>
      <w:r w:rsidRPr="00F542DE">
        <w:rPr>
          <w:rFonts w:hint="eastAsia"/>
          <w:b/>
        </w:rPr>
        <w:t>始將超過2%部分之管理費投入人才培訓、教育訓練與鏈結國內與國際產業等計畫，</w:t>
      </w:r>
      <w:r w:rsidR="004264E9" w:rsidRPr="00F542DE">
        <w:rPr>
          <w:rFonts w:hint="eastAsia"/>
          <w:b/>
        </w:rPr>
        <w:t>雖</w:t>
      </w:r>
      <w:r w:rsidRPr="00F542DE">
        <w:rPr>
          <w:rFonts w:hint="eastAsia"/>
          <w:b/>
        </w:rPr>
        <w:t>該公司</w:t>
      </w:r>
      <w:r w:rsidR="00DE17F4" w:rsidRPr="00F542DE">
        <w:rPr>
          <w:rFonts w:hint="eastAsia"/>
          <w:b/>
        </w:rPr>
        <w:t>已</w:t>
      </w:r>
      <w:r w:rsidRPr="00F542DE">
        <w:rPr>
          <w:rFonts w:hint="eastAsia"/>
          <w:b/>
        </w:rPr>
        <w:t>辦理多項人才培育計畫，國發會允應督導相關董事，依該會籌設該公司之宗旨，持續強化相關計畫之執行。</w:t>
      </w:r>
      <w:bookmarkEnd w:id="103"/>
    </w:p>
    <w:p w:rsidR="0076526E" w:rsidRPr="00F542DE" w:rsidRDefault="00FD5F85" w:rsidP="0076526E">
      <w:pPr>
        <w:pStyle w:val="4"/>
      </w:pPr>
      <w:r w:rsidRPr="00F542DE">
        <w:rPr>
          <w:rFonts w:hint="eastAsia"/>
        </w:rPr>
        <w:t>查</w:t>
      </w:r>
      <w:r w:rsidR="0076526E" w:rsidRPr="00F542DE">
        <w:rPr>
          <w:rFonts w:hint="eastAsia"/>
        </w:rPr>
        <w:t>台杉投顧受託經營管理</w:t>
      </w:r>
      <w:r w:rsidRPr="00F542DE">
        <w:rPr>
          <w:rFonts w:hint="eastAsia"/>
        </w:rPr>
        <w:t>台杉水牛一號基金及二號基金</w:t>
      </w:r>
      <w:r w:rsidR="0076526E" w:rsidRPr="00F542DE">
        <w:rPr>
          <w:rFonts w:hint="eastAsia"/>
        </w:rPr>
        <w:t>，該公司受託管理運作方式、主要投資項目及管理費收取情形，詳如表4。</w:t>
      </w:r>
    </w:p>
    <w:p w:rsidR="0076526E" w:rsidRPr="00F542DE" w:rsidRDefault="0076526E" w:rsidP="0076526E">
      <w:pPr>
        <w:pStyle w:val="a4"/>
        <w:spacing w:after="120"/>
        <w:jc w:val="center"/>
        <w:rPr>
          <w:b/>
        </w:rPr>
      </w:pPr>
      <w:r w:rsidRPr="00F542DE">
        <w:rPr>
          <w:rFonts w:hint="eastAsia"/>
          <w:b/>
        </w:rPr>
        <w:t>台杉投顧所募集基金之運作方式、投資項目及管理費</w:t>
      </w:r>
    </w:p>
    <w:tbl>
      <w:tblPr>
        <w:tblStyle w:val="af8"/>
        <w:tblW w:w="9214" w:type="dxa"/>
        <w:tblInd w:w="108" w:type="dxa"/>
        <w:tblLook w:val="04A0" w:firstRow="1" w:lastRow="0" w:firstColumn="1" w:lastColumn="0" w:noHBand="0" w:noVBand="1"/>
      </w:tblPr>
      <w:tblGrid>
        <w:gridCol w:w="1418"/>
        <w:gridCol w:w="1559"/>
        <w:gridCol w:w="1843"/>
        <w:gridCol w:w="4394"/>
      </w:tblGrid>
      <w:tr w:rsidR="0076526E" w:rsidRPr="00F542DE" w:rsidTr="0076526E">
        <w:trPr>
          <w:tblHeader/>
        </w:trPr>
        <w:tc>
          <w:tcPr>
            <w:tcW w:w="1418" w:type="dxa"/>
          </w:tcPr>
          <w:p w:rsidR="0076526E" w:rsidRPr="00F542DE" w:rsidRDefault="0076526E" w:rsidP="00BC60A6">
            <w:pPr>
              <w:pStyle w:val="21"/>
              <w:ind w:leftChars="-25" w:left="-85" w:rightChars="-25" w:right="-85" w:firstLineChars="0" w:firstLine="0"/>
              <w:jc w:val="center"/>
              <w:rPr>
                <w:b/>
                <w:sz w:val="28"/>
                <w:szCs w:val="28"/>
              </w:rPr>
            </w:pPr>
            <w:r w:rsidRPr="00F542DE">
              <w:rPr>
                <w:rFonts w:hint="eastAsia"/>
                <w:b/>
                <w:sz w:val="28"/>
                <w:szCs w:val="28"/>
              </w:rPr>
              <w:t>基金別</w:t>
            </w:r>
          </w:p>
        </w:tc>
        <w:tc>
          <w:tcPr>
            <w:tcW w:w="1559" w:type="dxa"/>
          </w:tcPr>
          <w:p w:rsidR="0076526E" w:rsidRPr="00F542DE" w:rsidRDefault="0076526E" w:rsidP="00BC60A6">
            <w:pPr>
              <w:pStyle w:val="21"/>
              <w:ind w:leftChars="0" w:left="0" w:firstLineChars="0" w:firstLine="0"/>
              <w:jc w:val="center"/>
              <w:rPr>
                <w:b/>
                <w:sz w:val="28"/>
                <w:szCs w:val="28"/>
              </w:rPr>
            </w:pPr>
            <w:r w:rsidRPr="00F542DE">
              <w:rPr>
                <w:rFonts w:hint="eastAsia"/>
                <w:b/>
                <w:sz w:val="28"/>
                <w:szCs w:val="28"/>
              </w:rPr>
              <w:t>運作方式</w:t>
            </w:r>
          </w:p>
        </w:tc>
        <w:tc>
          <w:tcPr>
            <w:tcW w:w="1843" w:type="dxa"/>
          </w:tcPr>
          <w:p w:rsidR="0076526E" w:rsidRPr="00F542DE" w:rsidRDefault="0076526E" w:rsidP="00BC60A6">
            <w:pPr>
              <w:pStyle w:val="21"/>
              <w:ind w:leftChars="0" w:left="0" w:firstLineChars="0" w:firstLine="0"/>
              <w:jc w:val="center"/>
              <w:rPr>
                <w:b/>
                <w:sz w:val="28"/>
                <w:szCs w:val="28"/>
              </w:rPr>
            </w:pPr>
            <w:r w:rsidRPr="00F542DE">
              <w:rPr>
                <w:rFonts w:hint="eastAsia"/>
                <w:b/>
                <w:sz w:val="28"/>
                <w:szCs w:val="28"/>
              </w:rPr>
              <w:t>投資項目</w:t>
            </w:r>
          </w:p>
        </w:tc>
        <w:tc>
          <w:tcPr>
            <w:tcW w:w="4394" w:type="dxa"/>
          </w:tcPr>
          <w:p w:rsidR="0076526E" w:rsidRPr="00F542DE" w:rsidRDefault="0076526E" w:rsidP="00BC60A6">
            <w:pPr>
              <w:pStyle w:val="21"/>
              <w:ind w:leftChars="0" w:left="0" w:firstLineChars="0" w:firstLine="0"/>
              <w:jc w:val="center"/>
              <w:rPr>
                <w:b/>
                <w:sz w:val="28"/>
                <w:szCs w:val="28"/>
              </w:rPr>
            </w:pPr>
            <w:r w:rsidRPr="00F542DE">
              <w:rPr>
                <w:rFonts w:hint="eastAsia"/>
                <w:b/>
                <w:sz w:val="28"/>
                <w:szCs w:val="28"/>
              </w:rPr>
              <w:t>管理費</w:t>
            </w:r>
          </w:p>
        </w:tc>
      </w:tr>
      <w:tr w:rsidR="0076526E" w:rsidRPr="00F542DE" w:rsidTr="0076526E">
        <w:tc>
          <w:tcPr>
            <w:tcW w:w="1418" w:type="dxa"/>
            <w:vAlign w:val="center"/>
          </w:tcPr>
          <w:p w:rsidR="0076526E" w:rsidRPr="00F542DE" w:rsidRDefault="0076526E" w:rsidP="0076526E">
            <w:pPr>
              <w:pStyle w:val="21"/>
              <w:ind w:leftChars="-25" w:left="-85" w:rightChars="-25" w:right="-85" w:firstLineChars="0" w:firstLine="0"/>
              <w:jc w:val="center"/>
              <w:rPr>
                <w:sz w:val="28"/>
                <w:szCs w:val="28"/>
              </w:rPr>
            </w:pPr>
            <w:r w:rsidRPr="00F542DE">
              <w:rPr>
                <w:rFonts w:hint="eastAsia"/>
                <w:sz w:val="28"/>
                <w:szCs w:val="28"/>
              </w:rPr>
              <w:t>台杉水牛</w:t>
            </w:r>
          </w:p>
          <w:p w:rsidR="0076526E" w:rsidRPr="00F542DE" w:rsidRDefault="0076526E" w:rsidP="0076526E">
            <w:pPr>
              <w:pStyle w:val="21"/>
              <w:ind w:leftChars="-25" w:left="-85" w:rightChars="-25" w:right="-85" w:firstLineChars="0" w:firstLine="0"/>
              <w:jc w:val="center"/>
              <w:rPr>
                <w:sz w:val="28"/>
                <w:szCs w:val="28"/>
              </w:rPr>
            </w:pPr>
            <w:r w:rsidRPr="00F542DE">
              <w:rPr>
                <w:rFonts w:hint="eastAsia"/>
                <w:sz w:val="28"/>
                <w:szCs w:val="28"/>
              </w:rPr>
              <w:t>一號基金</w:t>
            </w:r>
          </w:p>
        </w:tc>
        <w:tc>
          <w:tcPr>
            <w:tcW w:w="1559" w:type="dxa"/>
            <w:vMerge w:val="restart"/>
            <w:vAlign w:val="center"/>
          </w:tcPr>
          <w:p w:rsidR="0076526E" w:rsidRPr="00F542DE" w:rsidRDefault="0076526E" w:rsidP="0076526E">
            <w:pPr>
              <w:pStyle w:val="21"/>
              <w:ind w:leftChars="0" w:left="0" w:firstLineChars="0" w:firstLine="0"/>
              <w:rPr>
                <w:sz w:val="28"/>
                <w:szCs w:val="28"/>
              </w:rPr>
            </w:pPr>
            <w:r w:rsidRPr="00F542DE">
              <w:rPr>
                <w:rFonts w:hint="eastAsia"/>
                <w:sz w:val="28"/>
                <w:szCs w:val="28"/>
              </w:rPr>
              <w:t>委託台杉投顧經營管理</w:t>
            </w:r>
          </w:p>
        </w:tc>
        <w:tc>
          <w:tcPr>
            <w:tcW w:w="1843" w:type="dxa"/>
            <w:vAlign w:val="center"/>
          </w:tcPr>
          <w:p w:rsidR="0076526E" w:rsidRPr="00F542DE" w:rsidRDefault="0076526E" w:rsidP="0076526E">
            <w:pPr>
              <w:pStyle w:val="21"/>
              <w:ind w:leftChars="0" w:left="0" w:firstLineChars="0" w:firstLine="0"/>
              <w:rPr>
                <w:sz w:val="28"/>
                <w:szCs w:val="28"/>
              </w:rPr>
            </w:pPr>
            <w:r w:rsidRPr="00F542DE">
              <w:rPr>
                <w:rFonts w:hint="eastAsia"/>
                <w:sz w:val="28"/>
                <w:szCs w:val="28"/>
              </w:rPr>
              <w:t>物聯網及智慧機械相關企業</w:t>
            </w:r>
          </w:p>
        </w:tc>
        <w:tc>
          <w:tcPr>
            <w:tcW w:w="4394" w:type="dxa"/>
            <w:vAlign w:val="center"/>
          </w:tcPr>
          <w:p w:rsidR="0076526E" w:rsidRPr="00F542DE" w:rsidRDefault="0076526E" w:rsidP="0076526E">
            <w:pPr>
              <w:ind w:leftChars="-32" w:left="173" w:hangingChars="94" w:hanging="282"/>
              <w:rPr>
                <w:sz w:val="28"/>
                <w:szCs w:val="28"/>
              </w:rPr>
            </w:pPr>
            <w:r w:rsidRPr="00F542DE">
              <w:rPr>
                <w:rFonts w:hint="eastAsia"/>
                <w:sz w:val="28"/>
                <w:szCs w:val="28"/>
              </w:rPr>
              <w:t>1.1至3年按特別股承諾投資金額每年2.35%計算。</w:t>
            </w:r>
          </w:p>
          <w:p w:rsidR="0076526E" w:rsidRPr="00F542DE" w:rsidRDefault="0076526E" w:rsidP="0076526E">
            <w:pPr>
              <w:ind w:leftChars="-31" w:left="174" w:hangingChars="93" w:hanging="279"/>
              <w:rPr>
                <w:sz w:val="28"/>
                <w:szCs w:val="28"/>
              </w:rPr>
            </w:pPr>
            <w:r w:rsidRPr="00F542DE">
              <w:rPr>
                <w:rFonts w:hint="eastAsia"/>
                <w:sz w:val="28"/>
                <w:szCs w:val="28"/>
              </w:rPr>
              <w:t>2.4至7年按特別股承諾投資金額每年2%計算。</w:t>
            </w:r>
          </w:p>
          <w:p w:rsidR="0076526E" w:rsidRPr="00F542DE" w:rsidRDefault="0076526E" w:rsidP="0076526E">
            <w:pPr>
              <w:ind w:leftChars="-31" w:left="174" w:hangingChars="93" w:hanging="279"/>
              <w:rPr>
                <w:sz w:val="28"/>
                <w:szCs w:val="28"/>
              </w:rPr>
            </w:pPr>
            <w:r w:rsidRPr="00F542DE">
              <w:rPr>
                <w:rFonts w:hint="eastAsia"/>
                <w:sz w:val="28"/>
                <w:szCs w:val="28"/>
              </w:rPr>
              <w:t>3.第8年起至清算結束，按基金之投資餘額每年1%之費率計算。</w:t>
            </w:r>
          </w:p>
        </w:tc>
      </w:tr>
      <w:tr w:rsidR="0076526E" w:rsidRPr="00F542DE" w:rsidTr="0076526E">
        <w:tc>
          <w:tcPr>
            <w:tcW w:w="1418" w:type="dxa"/>
            <w:vAlign w:val="center"/>
          </w:tcPr>
          <w:p w:rsidR="0076526E" w:rsidRPr="00F542DE" w:rsidRDefault="0076526E" w:rsidP="0076526E">
            <w:pPr>
              <w:pStyle w:val="21"/>
              <w:ind w:leftChars="-25" w:left="-85" w:rightChars="-25" w:right="-85" w:firstLineChars="0" w:firstLine="0"/>
              <w:jc w:val="center"/>
              <w:rPr>
                <w:sz w:val="28"/>
                <w:szCs w:val="28"/>
              </w:rPr>
            </w:pPr>
            <w:r w:rsidRPr="00F542DE">
              <w:rPr>
                <w:rFonts w:hint="eastAsia"/>
                <w:sz w:val="28"/>
                <w:szCs w:val="28"/>
              </w:rPr>
              <w:t>台杉水牛</w:t>
            </w:r>
          </w:p>
          <w:p w:rsidR="0076526E" w:rsidRPr="00F542DE" w:rsidRDefault="0076526E" w:rsidP="0076526E">
            <w:pPr>
              <w:pStyle w:val="21"/>
              <w:ind w:leftChars="-25" w:left="-85" w:rightChars="-25" w:right="-85" w:firstLineChars="0" w:firstLine="0"/>
              <w:jc w:val="center"/>
              <w:rPr>
                <w:sz w:val="28"/>
                <w:szCs w:val="28"/>
              </w:rPr>
            </w:pPr>
            <w:r w:rsidRPr="00F542DE">
              <w:rPr>
                <w:rFonts w:hint="eastAsia"/>
                <w:sz w:val="28"/>
                <w:szCs w:val="28"/>
              </w:rPr>
              <w:t>二號基金</w:t>
            </w:r>
          </w:p>
        </w:tc>
        <w:tc>
          <w:tcPr>
            <w:tcW w:w="1559" w:type="dxa"/>
            <w:vMerge/>
            <w:vAlign w:val="center"/>
          </w:tcPr>
          <w:p w:rsidR="0076526E" w:rsidRPr="00F542DE" w:rsidRDefault="0076526E" w:rsidP="0076526E">
            <w:pPr>
              <w:pStyle w:val="21"/>
              <w:ind w:leftChars="0" w:left="0" w:firstLineChars="0" w:firstLine="0"/>
              <w:rPr>
                <w:sz w:val="28"/>
                <w:szCs w:val="28"/>
              </w:rPr>
            </w:pPr>
          </w:p>
        </w:tc>
        <w:tc>
          <w:tcPr>
            <w:tcW w:w="1843" w:type="dxa"/>
            <w:vAlign w:val="center"/>
          </w:tcPr>
          <w:p w:rsidR="0076526E" w:rsidRPr="00F542DE" w:rsidRDefault="0076526E" w:rsidP="0076526E">
            <w:pPr>
              <w:pStyle w:val="21"/>
              <w:ind w:leftChars="0" w:left="0" w:firstLineChars="0" w:firstLine="0"/>
              <w:rPr>
                <w:sz w:val="28"/>
                <w:szCs w:val="28"/>
              </w:rPr>
            </w:pPr>
            <w:r w:rsidRPr="00F542DE">
              <w:rPr>
                <w:rFonts w:hint="eastAsia"/>
                <w:sz w:val="28"/>
                <w:szCs w:val="28"/>
              </w:rPr>
              <w:t>生物醫療技術相關企業</w:t>
            </w:r>
          </w:p>
        </w:tc>
        <w:tc>
          <w:tcPr>
            <w:tcW w:w="4394" w:type="dxa"/>
            <w:vAlign w:val="center"/>
          </w:tcPr>
          <w:p w:rsidR="0076526E" w:rsidRPr="00F542DE" w:rsidRDefault="0076526E" w:rsidP="0076526E">
            <w:pPr>
              <w:ind w:leftChars="-31" w:left="177" w:hangingChars="94" w:hanging="282"/>
              <w:rPr>
                <w:sz w:val="28"/>
                <w:szCs w:val="28"/>
              </w:rPr>
            </w:pPr>
            <w:r w:rsidRPr="00F542DE">
              <w:rPr>
                <w:rFonts w:hint="eastAsia"/>
                <w:sz w:val="28"/>
                <w:szCs w:val="28"/>
              </w:rPr>
              <w:t>1.1至5年以有限合夥人總承諾金額每年2.5%計算。</w:t>
            </w:r>
          </w:p>
          <w:p w:rsidR="0076526E" w:rsidRPr="00F542DE" w:rsidRDefault="0076526E" w:rsidP="0076526E">
            <w:pPr>
              <w:ind w:leftChars="-31" w:left="177" w:hangingChars="94" w:hanging="282"/>
              <w:rPr>
                <w:sz w:val="28"/>
                <w:szCs w:val="28"/>
              </w:rPr>
            </w:pPr>
            <w:r w:rsidRPr="00F542DE">
              <w:rPr>
                <w:rFonts w:hint="eastAsia"/>
                <w:sz w:val="28"/>
                <w:szCs w:val="28"/>
              </w:rPr>
              <w:t>2.6至10年以有限合夥人總承諾金額每年2%計算。</w:t>
            </w:r>
          </w:p>
          <w:p w:rsidR="0076526E" w:rsidRPr="00F542DE" w:rsidRDefault="0076526E" w:rsidP="0076526E">
            <w:pPr>
              <w:ind w:leftChars="-31" w:left="177" w:hangingChars="94" w:hanging="282"/>
              <w:rPr>
                <w:sz w:val="28"/>
                <w:szCs w:val="28"/>
              </w:rPr>
            </w:pPr>
            <w:r w:rsidRPr="00F542DE">
              <w:rPr>
                <w:rFonts w:hint="eastAsia"/>
                <w:sz w:val="28"/>
                <w:szCs w:val="28"/>
              </w:rPr>
              <w:t>3.第11年起至清算結束，以基金投資餘額1%計算。</w:t>
            </w:r>
          </w:p>
        </w:tc>
      </w:tr>
    </w:tbl>
    <w:p w:rsidR="00FD5F85" w:rsidRPr="00F542DE" w:rsidRDefault="0076526E" w:rsidP="0076526E">
      <w:pPr>
        <w:pStyle w:val="4"/>
        <w:numPr>
          <w:ilvl w:val="0"/>
          <w:numId w:val="0"/>
        </w:numPr>
        <w:spacing w:afterLines="50" w:after="228"/>
      </w:pPr>
      <w:r w:rsidRPr="00F542DE">
        <w:rPr>
          <w:rFonts w:hint="eastAsia"/>
          <w:sz w:val="24"/>
          <w:szCs w:val="24"/>
        </w:rPr>
        <w:t>資料來源：國發會。</w:t>
      </w:r>
    </w:p>
    <w:p w:rsidR="00FD5F85" w:rsidRPr="00F542DE" w:rsidRDefault="003B4D18" w:rsidP="00FD5F85">
      <w:pPr>
        <w:pStyle w:val="4"/>
      </w:pPr>
      <w:r w:rsidRPr="00F542DE">
        <w:rPr>
          <w:rFonts w:hint="eastAsia"/>
        </w:rPr>
        <w:t>次</w:t>
      </w:r>
      <w:r w:rsidR="002D0E9D" w:rsidRPr="00F542DE">
        <w:rPr>
          <w:rFonts w:hint="eastAsia"/>
        </w:rPr>
        <w:t>查本院調閱台杉水牛一號、二號基金</w:t>
      </w:r>
      <w:r w:rsidR="00FB5AB3" w:rsidRPr="00F542DE">
        <w:rPr>
          <w:rFonts w:hint="eastAsia"/>
        </w:rPr>
        <w:t>之泛公股投資人，對於台杉投顧收取管理費之合理性分析：</w:t>
      </w:r>
    </w:p>
    <w:p w:rsidR="003B4D18" w:rsidRPr="00F542DE" w:rsidRDefault="003B4D18" w:rsidP="003B4D18">
      <w:pPr>
        <w:pStyle w:val="5"/>
      </w:pPr>
      <w:r w:rsidRPr="00F542DE">
        <w:rPr>
          <w:rFonts w:hint="eastAsia"/>
        </w:rPr>
        <w:t>106年12月16日台杉投顧第1屆第4次董事會，相關人員之發言略以：</w:t>
      </w:r>
    </w:p>
    <w:p w:rsidR="003B4D18" w:rsidRPr="00F542DE" w:rsidRDefault="003B4D18" w:rsidP="003B4D18">
      <w:pPr>
        <w:pStyle w:val="6"/>
      </w:pPr>
      <w:r w:rsidRPr="00F542DE">
        <w:rPr>
          <w:rFonts w:hint="eastAsia"/>
        </w:rPr>
        <w:lastRenderedPageBreak/>
        <w:t>翁嘉盛總經理：</w:t>
      </w:r>
      <w:r w:rsidRPr="00F542DE">
        <w:rPr>
          <w:rFonts w:ascii="新細明體" w:eastAsia="新細明體" w:hAnsi="新細明體" w:hint="eastAsia"/>
        </w:rPr>
        <w:t>「</w:t>
      </w:r>
      <w:r w:rsidRPr="00F542DE">
        <w:rPr>
          <w:rFonts w:hint="eastAsia"/>
        </w:rPr>
        <w:t>台灣的有些公司會省略DD(盡責調查)，國外會要求做完整的DD，且我們是國家級的公司</w:t>
      </w:r>
      <w:r w:rsidR="00E70382" w:rsidRPr="00F542DE">
        <w:rPr>
          <w:rFonts w:hint="eastAsia"/>
        </w:rPr>
        <w:t>，</w:t>
      </w:r>
      <w:r w:rsidRPr="00F542DE">
        <w:rPr>
          <w:rFonts w:hint="eastAsia"/>
        </w:rPr>
        <w:t>建議這方面制度要完善，尤其是投資國外公司DD(Legal DD, Financial DD)的費用會較高。</w:t>
      </w:r>
      <w:r w:rsidRPr="00F542DE">
        <w:rPr>
          <w:rFonts w:hAnsi="標楷體" w:hint="eastAsia"/>
        </w:rPr>
        <w:t>」</w:t>
      </w:r>
    </w:p>
    <w:p w:rsidR="003B4D18" w:rsidRPr="00F542DE" w:rsidRDefault="003B4D18" w:rsidP="003B4D18">
      <w:pPr>
        <w:pStyle w:val="6"/>
      </w:pPr>
      <w:r w:rsidRPr="00F542DE">
        <w:rPr>
          <w:rFonts w:hint="eastAsia"/>
        </w:rPr>
        <w:t>蕭</w:t>
      </w:r>
      <w:r w:rsidR="00CD5BBC">
        <w:rPr>
          <w:rFonts w:hAnsi="標楷體" w:hint="eastAsia"/>
          <w:sz w:val="28"/>
          <w:szCs w:val="28"/>
        </w:rPr>
        <w:t>○</w:t>
      </w:r>
      <w:r w:rsidRPr="00F542DE">
        <w:rPr>
          <w:rFonts w:hint="eastAsia"/>
        </w:rPr>
        <w:t>之(創新公司代表)：</w:t>
      </w:r>
      <w:r w:rsidRPr="00F542DE">
        <w:rPr>
          <w:rFonts w:ascii="新細明體" w:eastAsia="新細明體" w:hAnsi="新細明體" w:hint="eastAsia"/>
        </w:rPr>
        <w:t>「</w:t>
      </w:r>
      <w:r w:rsidRPr="00F542DE">
        <w:rPr>
          <w:rFonts w:hint="eastAsia"/>
        </w:rPr>
        <w:t>在執行基金時不太能向投資人收取DD費用，因為投資者委託管顧管理，要負起管理的責任，且投資人已付台杉管理費，就是希望我們能做完DD、評估等及投後管理，這些都要算台杉費用。</w:t>
      </w:r>
      <w:r w:rsidRPr="00F542DE">
        <w:rPr>
          <w:rFonts w:hAnsi="標楷體" w:hint="eastAsia"/>
        </w:rPr>
        <w:t>」</w:t>
      </w:r>
    </w:p>
    <w:p w:rsidR="003B4D18" w:rsidRPr="00F542DE" w:rsidRDefault="003B4D18" w:rsidP="003B4D18">
      <w:pPr>
        <w:pStyle w:val="6"/>
      </w:pPr>
      <w:r w:rsidRPr="00F542DE">
        <w:rPr>
          <w:rFonts w:hint="eastAsia"/>
        </w:rPr>
        <w:t>李坤忠(國發基金代表)：</w:t>
      </w:r>
      <w:r w:rsidRPr="00F542DE">
        <w:rPr>
          <w:rFonts w:ascii="新細明體" w:eastAsia="新細明體" w:hAnsi="新細明體" w:hint="eastAsia"/>
        </w:rPr>
        <w:t>「</w:t>
      </w:r>
      <w:r w:rsidRPr="00F542DE">
        <w:rPr>
          <w:rFonts w:hint="eastAsia"/>
        </w:rPr>
        <w:t>一般的慣例是這樣，我們給管顧公司2%或2.5%的管理費就是他們處理所有的費用，當然一個Fund一開始有個開辦費，這是可以談的，有一定行情。</w:t>
      </w:r>
      <w:r w:rsidRPr="00F542DE">
        <w:rPr>
          <w:rFonts w:hAnsi="標楷體" w:hint="eastAsia"/>
        </w:rPr>
        <w:t>」</w:t>
      </w:r>
    </w:p>
    <w:p w:rsidR="003B4D18" w:rsidRPr="00F542DE" w:rsidRDefault="003B4D18" w:rsidP="003B4D18">
      <w:pPr>
        <w:pStyle w:val="6"/>
      </w:pPr>
      <w:r w:rsidRPr="00F542DE">
        <w:rPr>
          <w:rFonts w:hint="eastAsia"/>
        </w:rPr>
        <w:t>林</w:t>
      </w:r>
      <w:r w:rsidR="00CD5BBC">
        <w:rPr>
          <w:rFonts w:hAnsi="標楷體" w:hint="eastAsia"/>
          <w:sz w:val="28"/>
          <w:szCs w:val="28"/>
        </w:rPr>
        <w:t>○</w:t>
      </w:r>
      <w:r w:rsidRPr="00F542DE">
        <w:rPr>
          <w:rFonts w:hint="eastAsia"/>
        </w:rPr>
        <w:t>民營運長：</w:t>
      </w:r>
      <w:r w:rsidRPr="00F542DE">
        <w:rPr>
          <w:rFonts w:ascii="新細明體" w:eastAsia="新細明體" w:hAnsi="新細明體" w:hint="eastAsia"/>
        </w:rPr>
        <w:t>「</w:t>
      </w:r>
      <w:r w:rsidRPr="00F542DE">
        <w:rPr>
          <w:rFonts w:hint="eastAsia"/>
        </w:rPr>
        <w:t>透過4大事務所在美國的案子所發生的DD費用來算，</w:t>
      </w:r>
      <w:r w:rsidRPr="00F542DE">
        <w:t>Legal</w:t>
      </w:r>
      <w:r w:rsidRPr="00F542DE">
        <w:rPr>
          <w:rFonts w:hint="eastAsia"/>
        </w:rPr>
        <w:t>和</w:t>
      </w:r>
      <w:r w:rsidRPr="00F542DE">
        <w:t>Financial</w:t>
      </w:r>
      <w:r w:rsidRPr="00F542DE">
        <w:rPr>
          <w:rFonts w:hint="eastAsia"/>
        </w:rPr>
        <w:t>委託給他們來做，以我們管顧所收到的2.3%管理費是無法Cover的。</w:t>
      </w:r>
      <w:r w:rsidRPr="00F542DE">
        <w:rPr>
          <w:rFonts w:hAnsi="標楷體" w:hint="eastAsia"/>
        </w:rPr>
        <w:t>」</w:t>
      </w:r>
    </w:p>
    <w:p w:rsidR="00FB5AB3" w:rsidRPr="00F542DE" w:rsidRDefault="00FB5AB3" w:rsidP="00FB5AB3">
      <w:pPr>
        <w:pStyle w:val="5"/>
      </w:pPr>
      <w:r w:rsidRPr="00F542DE">
        <w:rPr>
          <w:rFonts w:hint="eastAsia"/>
        </w:rPr>
        <w:t>國發會於107年10月4日表示，台杉投顧所募集產業創投基金之架構及管理均參照國內外商業慣例暨相關法令設計及執行。創投基金投資管理主要仰賴專業管理人之專業知識與經驗，台杉投顧管理費係依投資標的階段別、產業別及地區別，參酌國際市場行情及業界慣常費率範圍內按募集規模收取管理費。</w:t>
      </w:r>
      <w:r w:rsidRPr="00F542DE">
        <w:rPr>
          <w:rFonts w:hint="eastAsia"/>
          <w:b/>
          <w:u w:val="single"/>
        </w:rPr>
        <w:t>國內外創業投資事業大多依基金募資規模收取2%至3%之管理費</w:t>
      </w:r>
      <w:r w:rsidRPr="00F542DE">
        <w:rPr>
          <w:rFonts w:hint="eastAsia"/>
        </w:rPr>
        <w:t>，台杉水牛一號及二號基金分別收取2.35%及2.5%之管理費，尚符合目前一般創業投資事業商業慣例。</w:t>
      </w:r>
    </w:p>
    <w:p w:rsidR="00FB5AB3" w:rsidRPr="00F542DE" w:rsidRDefault="00FB5AB3" w:rsidP="00913A38">
      <w:pPr>
        <w:pStyle w:val="5"/>
      </w:pPr>
      <w:r w:rsidRPr="00F542DE">
        <w:rPr>
          <w:rFonts w:hint="eastAsia"/>
        </w:rPr>
        <w:t>中華電信表示，其過往投資之基金公司，</w:t>
      </w:r>
      <w:r w:rsidRPr="00F542DE">
        <w:rPr>
          <w:rFonts w:hint="eastAsia"/>
          <w:b/>
        </w:rPr>
        <w:t>如台</w:t>
      </w:r>
      <w:r w:rsidRPr="00F542DE">
        <w:rPr>
          <w:rFonts w:hint="eastAsia"/>
          <w:b/>
        </w:rPr>
        <w:lastRenderedPageBreak/>
        <w:t>灣工銀貳創業投資公司、智玖創業投資公司及IWDF創新工廠等，其管理費用為每年2.5%。</w:t>
      </w:r>
      <w:r w:rsidRPr="00F542DE">
        <w:rPr>
          <w:rFonts w:hint="eastAsia"/>
        </w:rPr>
        <w:t>台杉水牛一號基金支付管理費在投資期為2.35%、管理期為2%，尚屬合理。</w:t>
      </w:r>
      <w:r w:rsidRPr="00F542DE">
        <w:rPr>
          <w:rStyle w:val="aff1"/>
        </w:rPr>
        <w:footnoteReference w:id="7"/>
      </w:r>
    </w:p>
    <w:p w:rsidR="00FB5AB3" w:rsidRPr="00F542DE" w:rsidRDefault="00FB5AB3" w:rsidP="00913A38">
      <w:pPr>
        <w:pStyle w:val="5"/>
      </w:pPr>
      <w:r w:rsidRPr="00F542DE">
        <w:rPr>
          <w:rFonts w:hint="eastAsia"/>
        </w:rPr>
        <w:t>兆豐銀行表示，</w:t>
      </w:r>
      <w:r w:rsidR="00913A38" w:rsidRPr="00F542DE">
        <w:rPr>
          <w:rFonts w:hint="eastAsia"/>
        </w:rPr>
        <w:t>該</w:t>
      </w:r>
      <w:r w:rsidRPr="00F542DE">
        <w:rPr>
          <w:rFonts w:hint="eastAsia"/>
        </w:rPr>
        <w:t>行前於104年募集兆豐成長創業投資股份有限公司，其</w:t>
      </w:r>
      <w:r w:rsidRPr="00F542DE">
        <w:rPr>
          <w:rFonts w:hint="eastAsia"/>
          <w:b/>
        </w:rPr>
        <w:t>管理費收取方式為實收資本額2%。</w:t>
      </w:r>
      <w:r w:rsidRPr="00F542DE">
        <w:rPr>
          <w:rFonts w:hint="eastAsia"/>
        </w:rPr>
        <w:t>管理公司收取基金管理費係作為管理創投之必要成本及報酬。</w:t>
      </w:r>
    </w:p>
    <w:p w:rsidR="00FB5AB3" w:rsidRPr="00F542DE" w:rsidRDefault="00FB5AB3" w:rsidP="00913A38">
      <w:pPr>
        <w:pStyle w:val="5"/>
      </w:pPr>
      <w:r w:rsidRPr="00F542DE">
        <w:rPr>
          <w:rFonts w:hint="eastAsia"/>
        </w:rPr>
        <w:t>第一銀行於107年5月21日簽擬投資台杉水牛二號基金時略以：</w:t>
      </w:r>
      <w:r w:rsidR="00E70382" w:rsidRPr="00F542DE">
        <w:rPr>
          <w:rFonts w:hAnsi="標楷體" w:hint="eastAsia"/>
        </w:rPr>
        <w:t>「</w:t>
      </w:r>
      <w:r w:rsidRPr="00F542DE">
        <w:rPr>
          <w:rFonts w:hint="eastAsia"/>
        </w:rPr>
        <w:t>委託管理費將由投資額內扣，有限合夥人(該行)無需額外負擔，並以</w:t>
      </w:r>
      <w:r w:rsidR="00E70382" w:rsidRPr="00F542DE">
        <w:rPr>
          <w:rFonts w:hAnsi="標楷體" w:hint="eastAsia"/>
        </w:rPr>
        <w:t>『</w:t>
      </w:r>
      <w:r w:rsidR="00E70382" w:rsidRPr="00F542DE">
        <w:rPr>
          <w:rFonts w:hint="eastAsia"/>
        </w:rPr>
        <w:t>認繳出資總額</w:t>
      </w:r>
      <w:r w:rsidR="00E70382" w:rsidRPr="00F542DE">
        <w:rPr>
          <w:rFonts w:hAnsi="標楷體" w:hint="eastAsia"/>
        </w:rPr>
        <w:t>』</w:t>
      </w:r>
      <w:r w:rsidRPr="00F542DE">
        <w:rPr>
          <w:rFonts w:hint="eastAsia"/>
        </w:rPr>
        <w:t>做為計算基礎。經詢第一創業投資股份有限公司(下稱第一創投)表示，委託管理費在1.5%~2.5%範圍內尚屬合理，至於係以</w:t>
      </w:r>
      <w:r w:rsidR="00E70382" w:rsidRPr="00F542DE">
        <w:rPr>
          <w:rFonts w:hAnsi="標楷體" w:hint="eastAsia"/>
        </w:rPr>
        <w:t>『</w:t>
      </w:r>
      <w:r w:rsidRPr="00F542DE">
        <w:rPr>
          <w:rFonts w:hint="eastAsia"/>
        </w:rPr>
        <w:t>認繳出資總額</w:t>
      </w:r>
      <w:r w:rsidR="00E70382" w:rsidRPr="00F542DE">
        <w:rPr>
          <w:rFonts w:hAnsi="標楷體" w:hint="eastAsia"/>
        </w:rPr>
        <w:t>』</w:t>
      </w:r>
      <w:r w:rsidRPr="00F542DE">
        <w:rPr>
          <w:rFonts w:hint="eastAsia"/>
        </w:rPr>
        <w:t>或</w:t>
      </w:r>
      <w:r w:rsidR="00E70382" w:rsidRPr="00F542DE">
        <w:rPr>
          <w:rFonts w:hAnsi="標楷體" w:hint="eastAsia"/>
        </w:rPr>
        <w:t>『</w:t>
      </w:r>
      <w:r w:rsidRPr="00F542DE">
        <w:rPr>
          <w:rFonts w:hint="eastAsia"/>
        </w:rPr>
        <w:t>實繳出資總額</w:t>
      </w:r>
      <w:r w:rsidR="00E70382" w:rsidRPr="00F542DE">
        <w:rPr>
          <w:rFonts w:hAnsi="標楷體" w:hint="eastAsia"/>
        </w:rPr>
        <w:t>』</w:t>
      </w:r>
      <w:r w:rsidRPr="00F542DE">
        <w:rPr>
          <w:rFonts w:hint="eastAsia"/>
        </w:rPr>
        <w:t>為管理費計算基礎，業界實務上兩者均有採之。</w:t>
      </w:r>
      <w:r w:rsidR="00E70382" w:rsidRPr="00F542DE">
        <w:rPr>
          <w:rFonts w:hAnsi="標楷體" w:hint="eastAsia"/>
        </w:rPr>
        <w:t>」</w:t>
      </w:r>
    </w:p>
    <w:p w:rsidR="00FB5AB3" w:rsidRPr="00F542DE" w:rsidRDefault="00FB5AB3" w:rsidP="00913A38">
      <w:pPr>
        <w:pStyle w:val="5"/>
      </w:pPr>
      <w:r w:rsidRPr="00F542DE">
        <w:rPr>
          <w:rFonts w:hint="eastAsia"/>
        </w:rPr>
        <w:t>合作金庫等相關說明</w:t>
      </w:r>
      <w:r w:rsidRPr="00F542DE">
        <w:rPr>
          <w:rStyle w:val="aff1"/>
          <w:rFonts w:hAnsi="標楷體"/>
        </w:rPr>
        <w:footnoteReference w:id="8"/>
      </w:r>
      <w:r w:rsidR="002641EC" w:rsidRPr="00F542DE">
        <w:rPr>
          <w:rFonts w:hint="eastAsia"/>
        </w:rPr>
        <w:t>詳</w:t>
      </w:r>
      <w:r w:rsidRPr="00F542DE">
        <w:rPr>
          <w:rFonts w:hint="eastAsia"/>
        </w:rPr>
        <w:t>如表</w:t>
      </w:r>
      <w:r w:rsidR="00D30FEB">
        <w:rPr>
          <w:rFonts w:hint="eastAsia"/>
        </w:rPr>
        <w:t>5</w:t>
      </w:r>
      <w:r w:rsidRPr="00F542DE">
        <w:rPr>
          <w:rFonts w:hint="eastAsia"/>
        </w:rPr>
        <w:t>。</w:t>
      </w:r>
    </w:p>
    <w:p w:rsidR="00FB5AB3" w:rsidRPr="00F542DE" w:rsidRDefault="00FB5AB3" w:rsidP="00FB5AB3">
      <w:pPr>
        <w:pStyle w:val="a4"/>
        <w:spacing w:after="120"/>
        <w:jc w:val="center"/>
        <w:rPr>
          <w:b/>
        </w:rPr>
      </w:pPr>
      <w:r w:rsidRPr="00F542DE">
        <w:rPr>
          <w:rFonts w:hint="eastAsia"/>
          <w:b/>
        </w:rPr>
        <w:t>合作金庫等就台杉投顧所募集基金管理費之相關說明</w:t>
      </w:r>
    </w:p>
    <w:tbl>
      <w:tblPr>
        <w:tblStyle w:val="af8"/>
        <w:tblW w:w="9243" w:type="dxa"/>
        <w:tblInd w:w="108" w:type="dxa"/>
        <w:tblLook w:val="04A0" w:firstRow="1" w:lastRow="0" w:firstColumn="1" w:lastColumn="0" w:noHBand="0" w:noVBand="1"/>
      </w:tblPr>
      <w:tblGrid>
        <w:gridCol w:w="851"/>
        <w:gridCol w:w="3856"/>
        <w:gridCol w:w="4536"/>
      </w:tblGrid>
      <w:tr w:rsidR="00FB5AB3" w:rsidRPr="00F542DE" w:rsidTr="007612D7">
        <w:trPr>
          <w:tblHeader/>
        </w:trPr>
        <w:tc>
          <w:tcPr>
            <w:tcW w:w="851" w:type="dxa"/>
            <w:vAlign w:val="center"/>
          </w:tcPr>
          <w:p w:rsidR="003639C3" w:rsidRPr="00F542DE" w:rsidRDefault="00FB5AB3" w:rsidP="00913A38">
            <w:pPr>
              <w:ind w:leftChars="-31" w:left="-105" w:rightChars="-31" w:right="-105"/>
              <w:jc w:val="center"/>
              <w:rPr>
                <w:b/>
                <w:sz w:val="28"/>
                <w:szCs w:val="28"/>
              </w:rPr>
            </w:pPr>
            <w:r w:rsidRPr="00F542DE">
              <w:rPr>
                <w:rFonts w:hint="eastAsia"/>
                <w:b/>
                <w:sz w:val="28"/>
                <w:szCs w:val="28"/>
              </w:rPr>
              <w:t>事業</w:t>
            </w:r>
          </w:p>
          <w:p w:rsidR="00FB5AB3" w:rsidRPr="00F542DE" w:rsidRDefault="00FB5AB3" w:rsidP="00913A38">
            <w:pPr>
              <w:ind w:leftChars="-31" w:left="-105" w:rightChars="-31" w:right="-105"/>
              <w:jc w:val="center"/>
              <w:rPr>
                <w:b/>
                <w:sz w:val="28"/>
                <w:szCs w:val="28"/>
              </w:rPr>
            </w:pPr>
            <w:r w:rsidRPr="00F542DE">
              <w:rPr>
                <w:rFonts w:hint="eastAsia"/>
                <w:b/>
                <w:sz w:val="28"/>
                <w:szCs w:val="28"/>
              </w:rPr>
              <w:t>名稱</w:t>
            </w:r>
          </w:p>
        </w:tc>
        <w:tc>
          <w:tcPr>
            <w:tcW w:w="3856" w:type="dxa"/>
            <w:vAlign w:val="center"/>
          </w:tcPr>
          <w:p w:rsidR="00FB5AB3" w:rsidRPr="00F542DE" w:rsidRDefault="00FB5AB3" w:rsidP="00913A38">
            <w:pPr>
              <w:jc w:val="center"/>
              <w:rPr>
                <w:b/>
                <w:sz w:val="28"/>
                <w:szCs w:val="28"/>
              </w:rPr>
            </w:pPr>
            <w:r w:rsidRPr="00F542DE">
              <w:rPr>
                <w:rFonts w:hint="eastAsia"/>
                <w:b/>
                <w:sz w:val="28"/>
                <w:szCs w:val="28"/>
              </w:rPr>
              <w:t>管理費是否符合市場行情</w:t>
            </w:r>
          </w:p>
        </w:tc>
        <w:tc>
          <w:tcPr>
            <w:tcW w:w="4536" w:type="dxa"/>
            <w:vAlign w:val="center"/>
          </w:tcPr>
          <w:p w:rsidR="00FB5AB3" w:rsidRPr="00F542DE" w:rsidRDefault="00FB5AB3" w:rsidP="00913A38">
            <w:pPr>
              <w:jc w:val="center"/>
              <w:rPr>
                <w:b/>
                <w:sz w:val="28"/>
                <w:szCs w:val="28"/>
              </w:rPr>
            </w:pPr>
            <w:r w:rsidRPr="00F542DE">
              <w:rPr>
                <w:rFonts w:hint="eastAsia"/>
                <w:b/>
                <w:sz w:val="28"/>
                <w:szCs w:val="28"/>
              </w:rPr>
              <w:t>與各該事業關係企業募集基金、</w:t>
            </w:r>
          </w:p>
          <w:p w:rsidR="00FB5AB3" w:rsidRPr="00F542DE" w:rsidRDefault="00FB5AB3" w:rsidP="00913A38">
            <w:pPr>
              <w:jc w:val="center"/>
              <w:rPr>
                <w:b/>
                <w:sz w:val="28"/>
                <w:szCs w:val="28"/>
              </w:rPr>
            </w:pPr>
            <w:r w:rsidRPr="00F542DE">
              <w:rPr>
                <w:rFonts w:hint="eastAsia"/>
                <w:b/>
                <w:sz w:val="28"/>
                <w:szCs w:val="28"/>
              </w:rPr>
              <w:t>同類基金之管理費率差異性</w:t>
            </w:r>
          </w:p>
        </w:tc>
      </w:tr>
      <w:tr w:rsidR="00FB5AB3" w:rsidRPr="00F542DE" w:rsidTr="007612D7">
        <w:tc>
          <w:tcPr>
            <w:tcW w:w="851" w:type="dxa"/>
            <w:shd w:val="clear" w:color="auto" w:fill="FFFFFF" w:themeFill="background1"/>
            <w:vAlign w:val="center"/>
          </w:tcPr>
          <w:p w:rsidR="003639C3" w:rsidRPr="00F542DE" w:rsidRDefault="00FB5AB3" w:rsidP="007B46C1">
            <w:pPr>
              <w:ind w:leftChars="-31" w:left="-105" w:rightChars="-31" w:right="-105"/>
              <w:jc w:val="center"/>
              <w:rPr>
                <w:sz w:val="28"/>
                <w:szCs w:val="28"/>
              </w:rPr>
            </w:pPr>
            <w:r w:rsidRPr="00F542DE">
              <w:rPr>
                <w:rFonts w:hint="eastAsia"/>
                <w:sz w:val="28"/>
                <w:szCs w:val="28"/>
              </w:rPr>
              <w:t>合作</w:t>
            </w:r>
          </w:p>
          <w:p w:rsidR="00FB5AB3" w:rsidRPr="00F542DE" w:rsidRDefault="00FB5AB3" w:rsidP="007B46C1">
            <w:pPr>
              <w:ind w:leftChars="-31" w:left="-105" w:rightChars="-31" w:right="-105"/>
              <w:jc w:val="center"/>
              <w:rPr>
                <w:sz w:val="28"/>
                <w:szCs w:val="28"/>
              </w:rPr>
            </w:pPr>
            <w:r w:rsidRPr="00F542DE">
              <w:rPr>
                <w:rFonts w:hint="eastAsia"/>
                <w:sz w:val="28"/>
                <w:szCs w:val="28"/>
              </w:rPr>
              <w:t>金庫</w:t>
            </w:r>
          </w:p>
        </w:tc>
        <w:tc>
          <w:tcPr>
            <w:tcW w:w="3856" w:type="dxa"/>
          </w:tcPr>
          <w:p w:rsidR="00FB5AB3" w:rsidRPr="00F542DE" w:rsidRDefault="00FB5AB3" w:rsidP="00913A38">
            <w:pPr>
              <w:keepLines/>
              <w:rPr>
                <w:sz w:val="28"/>
                <w:szCs w:val="28"/>
              </w:rPr>
            </w:pPr>
            <w:r w:rsidRPr="00F542DE">
              <w:rPr>
                <w:rFonts w:hint="eastAsia"/>
                <w:sz w:val="28"/>
                <w:szCs w:val="28"/>
              </w:rPr>
              <w:t>國內外創業投資事業大多依基金募資規模收取2%至3%管理費，台杉水牛二號基金投資期(1-5年)收取2.5%之管理費，尚符合目前一般創業投資事業商業慣例。</w:t>
            </w:r>
          </w:p>
        </w:tc>
        <w:tc>
          <w:tcPr>
            <w:tcW w:w="4536" w:type="dxa"/>
          </w:tcPr>
          <w:p w:rsidR="00FB5AB3" w:rsidRPr="00F542DE" w:rsidRDefault="00FB5AB3" w:rsidP="00913A38">
            <w:pPr>
              <w:keepLines/>
              <w:rPr>
                <w:sz w:val="28"/>
                <w:szCs w:val="28"/>
              </w:rPr>
            </w:pPr>
            <w:r w:rsidRPr="00F542DE">
              <w:rPr>
                <w:rFonts w:hint="eastAsia"/>
                <w:sz w:val="28"/>
                <w:szCs w:val="28"/>
              </w:rPr>
              <w:t>合作金庫關係企業合作金庫證券投資信託(股)公司目前所募集基金皆為公募型證券投資信託基金，且無投資生物醫療相關類型股票型基金，尚無法比較其差異性。</w:t>
            </w:r>
          </w:p>
        </w:tc>
      </w:tr>
      <w:tr w:rsidR="00FB5AB3" w:rsidRPr="00F542DE" w:rsidTr="007612D7">
        <w:trPr>
          <w:trHeight w:val="2990"/>
        </w:trPr>
        <w:tc>
          <w:tcPr>
            <w:tcW w:w="851" w:type="dxa"/>
            <w:vAlign w:val="center"/>
          </w:tcPr>
          <w:p w:rsidR="003639C3" w:rsidRPr="00F542DE" w:rsidRDefault="00FB5AB3" w:rsidP="007B46C1">
            <w:pPr>
              <w:ind w:leftChars="-31" w:left="-105" w:rightChars="-31" w:right="-105"/>
              <w:jc w:val="center"/>
              <w:rPr>
                <w:sz w:val="28"/>
                <w:szCs w:val="28"/>
              </w:rPr>
            </w:pPr>
            <w:r w:rsidRPr="00F542DE">
              <w:rPr>
                <w:rFonts w:hint="eastAsia"/>
                <w:sz w:val="28"/>
                <w:szCs w:val="28"/>
              </w:rPr>
              <w:lastRenderedPageBreak/>
              <w:t>第一</w:t>
            </w:r>
          </w:p>
          <w:p w:rsidR="00FB5AB3" w:rsidRPr="00F542DE" w:rsidRDefault="00FB5AB3" w:rsidP="007B46C1">
            <w:pPr>
              <w:ind w:leftChars="-31" w:left="-105" w:rightChars="-31" w:right="-105"/>
              <w:jc w:val="center"/>
              <w:rPr>
                <w:sz w:val="28"/>
                <w:szCs w:val="28"/>
              </w:rPr>
            </w:pPr>
            <w:r w:rsidRPr="00F542DE">
              <w:rPr>
                <w:rFonts w:hint="eastAsia"/>
                <w:sz w:val="28"/>
                <w:szCs w:val="28"/>
              </w:rPr>
              <w:t>銀行</w:t>
            </w:r>
          </w:p>
        </w:tc>
        <w:tc>
          <w:tcPr>
            <w:tcW w:w="3856" w:type="dxa"/>
            <w:vMerge w:val="restart"/>
          </w:tcPr>
          <w:p w:rsidR="00E70382" w:rsidRPr="00F542DE" w:rsidRDefault="007B46C1" w:rsidP="00E70382">
            <w:pPr>
              <w:keepLines/>
              <w:ind w:leftChars="-32" w:left="176" w:hangingChars="95" w:hanging="285"/>
              <w:rPr>
                <w:rFonts w:hAnsi="標楷體"/>
                <w:sz w:val="28"/>
                <w:szCs w:val="28"/>
              </w:rPr>
            </w:pPr>
            <w:r w:rsidRPr="00F542DE">
              <w:rPr>
                <w:rFonts w:hint="eastAsia"/>
                <w:sz w:val="28"/>
                <w:szCs w:val="28"/>
              </w:rPr>
              <w:t>1.</w:t>
            </w:r>
            <w:r w:rsidR="00FB5AB3" w:rsidRPr="00F542DE">
              <w:rPr>
                <w:rFonts w:hint="eastAsia"/>
                <w:sz w:val="28"/>
                <w:szCs w:val="28"/>
              </w:rPr>
              <w:t>依理律法律事務所陳民強/詹致瑋合夥律師於106.9臺灣併購與私募股權協會出版之</w:t>
            </w:r>
            <w:r w:rsidR="00E70382" w:rsidRPr="00F542DE">
              <w:rPr>
                <w:rFonts w:hAnsi="標楷體" w:hint="eastAsia"/>
                <w:sz w:val="28"/>
                <w:szCs w:val="28"/>
              </w:rPr>
              <w:t>「</w:t>
            </w:r>
            <w:r w:rsidR="00FE3FF7" w:rsidRPr="00F542DE">
              <w:rPr>
                <w:rFonts w:hint="eastAsia"/>
                <w:sz w:val="28"/>
                <w:szCs w:val="28"/>
              </w:rPr>
              <w:t>私募股權基金剖析</w:t>
            </w:r>
            <w:r w:rsidR="00FE3FF7" w:rsidRPr="00F542DE">
              <w:rPr>
                <w:rFonts w:hAnsi="標楷體" w:hint="eastAsia"/>
                <w:sz w:val="28"/>
                <w:szCs w:val="28"/>
              </w:rPr>
              <w:t>：</w:t>
            </w:r>
            <w:r w:rsidR="00E70382" w:rsidRPr="00F542DE">
              <w:rPr>
                <w:rFonts w:hint="eastAsia"/>
                <w:sz w:val="28"/>
                <w:szCs w:val="28"/>
              </w:rPr>
              <w:t>從國際到臺灣本土</w:t>
            </w:r>
            <w:r w:rsidR="00E70382" w:rsidRPr="00F542DE">
              <w:rPr>
                <w:rFonts w:hAnsi="標楷體" w:hint="eastAsia"/>
                <w:sz w:val="28"/>
                <w:szCs w:val="28"/>
              </w:rPr>
              <w:t>」</w:t>
            </w:r>
            <w:r w:rsidR="00FB5AB3" w:rsidRPr="00F542DE">
              <w:rPr>
                <w:rFonts w:hint="eastAsia"/>
                <w:sz w:val="28"/>
                <w:szCs w:val="28"/>
              </w:rPr>
              <w:t>一文中述及</w:t>
            </w:r>
            <w:r w:rsidR="00FB5AB3" w:rsidRPr="00F542DE">
              <w:rPr>
                <w:rFonts w:hAnsi="標楷體" w:hint="eastAsia"/>
                <w:sz w:val="28"/>
                <w:szCs w:val="28"/>
              </w:rPr>
              <w:t>「管理費通常為投資人的投資承諾或基金投資金額之1%至2.5%，但實務上也不排除更高或更低比例之安排。」</w:t>
            </w:r>
          </w:p>
          <w:p w:rsidR="00FB5AB3" w:rsidRPr="00F542DE" w:rsidRDefault="007B46C1" w:rsidP="00E70382">
            <w:pPr>
              <w:keepLines/>
              <w:ind w:leftChars="-32" w:left="176" w:hangingChars="95" w:hanging="285"/>
              <w:rPr>
                <w:sz w:val="28"/>
                <w:szCs w:val="28"/>
              </w:rPr>
            </w:pPr>
            <w:r w:rsidRPr="00F542DE">
              <w:rPr>
                <w:rFonts w:hint="eastAsia"/>
                <w:sz w:val="28"/>
                <w:szCs w:val="28"/>
              </w:rPr>
              <w:t>2.</w:t>
            </w:r>
            <w:r w:rsidR="00FB5AB3" w:rsidRPr="00F542DE">
              <w:rPr>
                <w:rFonts w:hint="eastAsia"/>
                <w:sz w:val="28"/>
                <w:szCs w:val="28"/>
              </w:rPr>
              <w:t>台杉管顧提供107.8.15舉行</w:t>
            </w:r>
            <w:r w:rsidR="00FB5AB3" w:rsidRPr="00F542DE">
              <w:rPr>
                <w:rFonts w:hAnsi="標楷體" w:hint="eastAsia"/>
                <w:sz w:val="28"/>
                <w:szCs w:val="28"/>
              </w:rPr>
              <w:t>「台杉水生二號生技創投有限合夥管理費率及監督機制」討論會議備忘錄中提及將提撥管理費超過2%部分，專戶專款專用投入人才培訓、教育訓練與鏈結國內與國際產業等計畫，並將研議有限合夥人監督相關經費使用情形之機制。</w:t>
            </w:r>
          </w:p>
        </w:tc>
        <w:tc>
          <w:tcPr>
            <w:tcW w:w="4536" w:type="dxa"/>
            <w:vMerge w:val="restart"/>
          </w:tcPr>
          <w:p w:rsidR="00FB5AB3" w:rsidRPr="00F542DE" w:rsidRDefault="007B46C1" w:rsidP="007B46C1">
            <w:pPr>
              <w:keepLines/>
              <w:ind w:leftChars="2" w:left="286" w:hangingChars="93" w:hanging="279"/>
              <w:rPr>
                <w:sz w:val="28"/>
                <w:szCs w:val="28"/>
              </w:rPr>
            </w:pPr>
            <w:r w:rsidRPr="00F542DE">
              <w:rPr>
                <w:rFonts w:hint="eastAsia"/>
                <w:sz w:val="28"/>
                <w:szCs w:val="28"/>
              </w:rPr>
              <w:t>1.</w:t>
            </w:r>
            <w:r w:rsidR="00FB5AB3" w:rsidRPr="00F542DE">
              <w:rPr>
                <w:rFonts w:hint="eastAsia"/>
                <w:sz w:val="28"/>
                <w:szCs w:val="28"/>
              </w:rPr>
              <w:t>第一金控集團第一創投現有投資某檔有限合夥生技醫材基金，其協議約定收取之管理費率與台杉水牛二號基金之管理費率相當，列表說明如下：</w:t>
            </w:r>
          </w:p>
          <w:tbl>
            <w:tblPr>
              <w:tblStyle w:val="af8"/>
              <w:tblW w:w="4265" w:type="dxa"/>
              <w:tblInd w:w="16" w:type="dxa"/>
              <w:tblLook w:val="04A0" w:firstRow="1" w:lastRow="0" w:firstColumn="1" w:lastColumn="0" w:noHBand="0" w:noVBand="1"/>
            </w:tblPr>
            <w:tblGrid>
              <w:gridCol w:w="737"/>
              <w:gridCol w:w="1198"/>
              <w:gridCol w:w="2330"/>
            </w:tblGrid>
            <w:tr w:rsidR="00FB5AB3" w:rsidRPr="00F542DE" w:rsidTr="007B46C1">
              <w:tc>
                <w:tcPr>
                  <w:tcW w:w="737" w:type="dxa"/>
                </w:tcPr>
                <w:p w:rsidR="00FB5AB3" w:rsidRPr="00F542DE" w:rsidRDefault="00FB5AB3" w:rsidP="00913A38">
                  <w:pPr>
                    <w:rPr>
                      <w:sz w:val="24"/>
                      <w:szCs w:val="24"/>
                    </w:rPr>
                  </w:pPr>
                  <w:r w:rsidRPr="00F542DE">
                    <w:rPr>
                      <w:rFonts w:hint="eastAsia"/>
                      <w:sz w:val="24"/>
                      <w:szCs w:val="24"/>
                    </w:rPr>
                    <w:t>年度</w:t>
                  </w:r>
                </w:p>
              </w:tc>
              <w:tc>
                <w:tcPr>
                  <w:tcW w:w="1198" w:type="dxa"/>
                </w:tcPr>
                <w:p w:rsidR="00FB5AB3" w:rsidRPr="00F542DE" w:rsidRDefault="00FB5AB3" w:rsidP="00913A38">
                  <w:pPr>
                    <w:rPr>
                      <w:sz w:val="24"/>
                      <w:szCs w:val="24"/>
                    </w:rPr>
                  </w:pPr>
                  <w:r w:rsidRPr="00F542DE">
                    <w:rPr>
                      <w:rFonts w:hint="eastAsia"/>
                      <w:sz w:val="24"/>
                      <w:szCs w:val="24"/>
                    </w:rPr>
                    <w:t>期別</w:t>
                  </w:r>
                </w:p>
              </w:tc>
              <w:tc>
                <w:tcPr>
                  <w:tcW w:w="2330" w:type="dxa"/>
                </w:tcPr>
                <w:p w:rsidR="00FB5AB3" w:rsidRPr="00F542DE" w:rsidRDefault="00FB5AB3" w:rsidP="00913A38">
                  <w:pPr>
                    <w:rPr>
                      <w:sz w:val="24"/>
                      <w:szCs w:val="24"/>
                    </w:rPr>
                  </w:pPr>
                  <w:r w:rsidRPr="00F542DE">
                    <w:rPr>
                      <w:rFonts w:hint="eastAsia"/>
                      <w:sz w:val="24"/>
                      <w:szCs w:val="24"/>
                    </w:rPr>
                    <w:t>管理費(每年)</w:t>
                  </w:r>
                </w:p>
              </w:tc>
            </w:tr>
            <w:tr w:rsidR="00FB5AB3" w:rsidRPr="00F542DE" w:rsidTr="007B46C1">
              <w:tc>
                <w:tcPr>
                  <w:tcW w:w="737" w:type="dxa"/>
                  <w:vAlign w:val="center"/>
                </w:tcPr>
                <w:p w:rsidR="00FB5AB3" w:rsidRPr="00F542DE" w:rsidRDefault="00FB5AB3" w:rsidP="00913A38">
                  <w:pPr>
                    <w:rPr>
                      <w:sz w:val="24"/>
                      <w:szCs w:val="24"/>
                    </w:rPr>
                  </w:pPr>
                  <w:r w:rsidRPr="00F542DE">
                    <w:rPr>
                      <w:rFonts w:hint="eastAsia"/>
                      <w:sz w:val="24"/>
                      <w:szCs w:val="24"/>
                    </w:rPr>
                    <w:t>1~5</w:t>
                  </w:r>
                </w:p>
              </w:tc>
              <w:tc>
                <w:tcPr>
                  <w:tcW w:w="1198" w:type="dxa"/>
                  <w:vAlign w:val="center"/>
                </w:tcPr>
                <w:p w:rsidR="00FB5AB3" w:rsidRPr="00F542DE" w:rsidRDefault="00FB5AB3" w:rsidP="007B46C1">
                  <w:pPr>
                    <w:ind w:rightChars="-41" w:right="-139"/>
                    <w:rPr>
                      <w:sz w:val="24"/>
                      <w:szCs w:val="24"/>
                    </w:rPr>
                  </w:pPr>
                  <w:r w:rsidRPr="00F542DE">
                    <w:rPr>
                      <w:rFonts w:hint="eastAsia"/>
                      <w:sz w:val="24"/>
                      <w:szCs w:val="24"/>
                    </w:rPr>
                    <w:t>投資期</w:t>
                  </w:r>
                </w:p>
              </w:tc>
              <w:tc>
                <w:tcPr>
                  <w:tcW w:w="2330" w:type="dxa"/>
                </w:tcPr>
                <w:p w:rsidR="00FB5AB3" w:rsidRPr="00F542DE" w:rsidRDefault="00FB5AB3" w:rsidP="00913A38">
                  <w:pPr>
                    <w:rPr>
                      <w:sz w:val="24"/>
                      <w:szCs w:val="24"/>
                    </w:rPr>
                  </w:pPr>
                  <w:r w:rsidRPr="00F542DE">
                    <w:rPr>
                      <w:rFonts w:hint="eastAsia"/>
                      <w:sz w:val="24"/>
                      <w:szCs w:val="24"/>
                    </w:rPr>
                    <w:t>全體有限合夥人認繳出資總額2.5%</w:t>
                  </w:r>
                </w:p>
              </w:tc>
            </w:tr>
            <w:tr w:rsidR="00FB5AB3" w:rsidRPr="00F542DE" w:rsidTr="007B46C1">
              <w:tc>
                <w:tcPr>
                  <w:tcW w:w="737" w:type="dxa"/>
                  <w:vAlign w:val="center"/>
                </w:tcPr>
                <w:p w:rsidR="00FB5AB3" w:rsidRPr="00F542DE" w:rsidRDefault="00FB5AB3" w:rsidP="00913A38">
                  <w:pPr>
                    <w:rPr>
                      <w:sz w:val="24"/>
                      <w:szCs w:val="24"/>
                    </w:rPr>
                  </w:pPr>
                  <w:r w:rsidRPr="00F542DE">
                    <w:rPr>
                      <w:rFonts w:hint="eastAsia"/>
                      <w:sz w:val="24"/>
                      <w:szCs w:val="24"/>
                    </w:rPr>
                    <w:t>6~7</w:t>
                  </w:r>
                </w:p>
              </w:tc>
              <w:tc>
                <w:tcPr>
                  <w:tcW w:w="1198" w:type="dxa"/>
                  <w:vAlign w:val="center"/>
                </w:tcPr>
                <w:p w:rsidR="00FB5AB3" w:rsidRPr="00F542DE" w:rsidRDefault="00FB5AB3" w:rsidP="007B46C1">
                  <w:pPr>
                    <w:ind w:rightChars="-41" w:right="-139"/>
                    <w:rPr>
                      <w:sz w:val="24"/>
                      <w:szCs w:val="24"/>
                    </w:rPr>
                  </w:pPr>
                  <w:r w:rsidRPr="00F542DE">
                    <w:rPr>
                      <w:rFonts w:hint="eastAsia"/>
                      <w:sz w:val="24"/>
                      <w:szCs w:val="24"/>
                    </w:rPr>
                    <w:t>管理期</w:t>
                  </w:r>
                </w:p>
              </w:tc>
              <w:tc>
                <w:tcPr>
                  <w:tcW w:w="2330" w:type="dxa"/>
                </w:tcPr>
                <w:p w:rsidR="00FB5AB3" w:rsidRPr="00F542DE" w:rsidRDefault="00FB5AB3" w:rsidP="00913A38">
                  <w:pPr>
                    <w:rPr>
                      <w:sz w:val="24"/>
                      <w:szCs w:val="24"/>
                    </w:rPr>
                  </w:pPr>
                  <w:r w:rsidRPr="00F542DE">
                    <w:rPr>
                      <w:rFonts w:hint="eastAsia"/>
                      <w:sz w:val="24"/>
                      <w:szCs w:val="24"/>
                    </w:rPr>
                    <w:t>全體有限合夥人認繳出資總額2%</w:t>
                  </w:r>
                </w:p>
              </w:tc>
            </w:tr>
            <w:tr w:rsidR="00FB5AB3" w:rsidRPr="00F542DE" w:rsidTr="007B46C1">
              <w:tc>
                <w:tcPr>
                  <w:tcW w:w="737" w:type="dxa"/>
                  <w:vAlign w:val="center"/>
                </w:tcPr>
                <w:p w:rsidR="00FB5AB3" w:rsidRPr="00F542DE" w:rsidRDefault="00FB5AB3" w:rsidP="00913A38">
                  <w:pPr>
                    <w:rPr>
                      <w:sz w:val="24"/>
                      <w:szCs w:val="24"/>
                    </w:rPr>
                  </w:pPr>
                  <w:r w:rsidRPr="00F542DE">
                    <w:rPr>
                      <w:rFonts w:hint="eastAsia"/>
                      <w:sz w:val="24"/>
                      <w:szCs w:val="24"/>
                    </w:rPr>
                    <w:t>8~10</w:t>
                  </w:r>
                </w:p>
              </w:tc>
              <w:tc>
                <w:tcPr>
                  <w:tcW w:w="1198" w:type="dxa"/>
                  <w:vAlign w:val="center"/>
                </w:tcPr>
                <w:p w:rsidR="00FB5AB3" w:rsidRPr="00F542DE" w:rsidRDefault="00FB5AB3" w:rsidP="007B46C1">
                  <w:pPr>
                    <w:ind w:rightChars="-41" w:right="-139"/>
                    <w:rPr>
                      <w:sz w:val="24"/>
                      <w:szCs w:val="24"/>
                    </w:rPr>
                  </w:pPr>
                  <w:r w:rsidRPr="00F542DE">
                    <w:rPr>
                      <w:rFonts w:hint="eastAsia"/>
                      <w:sz w:val="24"/>
                      <w:szCs w:val="24"/>
                    </w:rPr>
                    <w:t>首次合夥期間延長</w:t>
                  </w:r>
                </w:p>
              </w:tc>
              <w:tc>
                <w:tcPr>
                  <w:tcW w:w="2330" w:type="dxa"/>
                </w:tcPr>
                <w:p w:rsidR="00FB5AB3" w:rsidRPr="00F542DE" w:rsidRDefault="00FB5AB3" w:rsidP="00913A38">
                  <w:pPr>
                    <w:rPr>
                      <w:sz w:val="24"/>
                      <w:szCs w:val="24"/>
                    </w:rPr>
                  </w:pPr>
                  <w:r w:rsidRPr="00F542DE">
                    <w:rPr>
                      <w:rFonts w:hint="eastAsia"/>
                      <w:sz w:val="24"/>
                      <w:szCs w:val="24"/>
                    </w:rPr>
                    <w:t>基金投資餘額2%</w:t>
                  </w:r>
                </w:p>
              </w:tc>
            </w:tr>
            <w:tr w:rsidR="00FB5AB3" w:rsidRPr="00F542DE" w:rsidTr="007B46C1">
              <w:tc>
                <w:tcPr>
                  <w:tcW w:w="737" w:type="dxa"/>
                  <w:vAlign w:val="center"/>
                </w:tcPr>
                <w:p w:rsidR="00FB5AB3" w:rsidRPr="00F542DE" w:rsidRDefault="00FB5AB3" w:rsidP="00913A38">
                  <w:pPr>
                    <w:rPr>
                      <w:sz w:val="24"/>
                      <w:szCs w:val="24"/>
                    </w:rPr>
                  </w:pPr>
                  <w:r w:rsidRPr="00F542DE">
                    <w:rPr>
                      <w:rFonts w:hint="eastAsia"/>
                      <w:sz w:val="24"/>
                      <w:szCs w:val="24"/>
                    </w:rPr>
                    <w:t>11年以後</w:t>
                  </w:r>
                </w:p>
              </w:tc>
              <w:tc>
                <w:tcPr>
                  <w:tcW w:w="1198" w:type="dxa"/>
                  <w:vAlign w:val="center"/>
                </w:tcPr>
                <w:p w:rsidR="00FB5AB3" w:rsidRPr="00F542DE" w:rsidRDefault="00FB5AB3" w:rsidP="00913A38">
                  <w:pPr>
                    <w:rPr>
                      <w:sz w:val="24"/>
                      <w:szCs w:val="24"/>
                    </w:rPr>
                  </w:pPr>
                  <w:r w:rsidRPr="00F542DE">
                    <w:rPr>
                      <w:rFonts w:hint="eastAsia"/>
                      <w:sz w:val="24"/>
                      <w:szCs w:val="24"/>
                    </w:rPr>
                    <w:t>第二次合夥期間延長</w:t>
                  </w:r>
                </w:p>
              </w:tc>
              <w:tc>
                <w:tcPr>
                  <w:tcW w:w="2330" w:type="dxa"/>
                </w:tcPr>
                <w:p w:rsidR="00FB5AB3" w:rsidRPr="00F542DE" w:rsidRDefault="00FB5AB3" w:rsidP="00913A38">
                  <w:pPr>
                    <w:rPr>
                      <w:sz w:val="24"/>
                      <w:szCs w:val="24"/>
                    </w:rPr>
                  </w:pPr>
                  <w:r w:rsidRPr="00F542DE">
                    <w:rPr>
                      <w:rFonts w:hint="eastAsia"/>
                      <w:sz w:val="24"/>
                      <w:szCs w:val="24"/>
                    </w:rPr>
                    <w:t>管理費率將由主合夥人與主要利益相關之有限公夥人共同決定</w:t>
                  </w:r>
                </w:p>
              </w:tc>
            </w:tr>
          </w:tbl>
          <w:p w:rsidR="00FB5AB3" w:rsidRPr="00F542DE" w:rsidRDefault="007B46C1" w:rsidP="007B46C1">
            <w:pPr>
              <w:keepLines/>
              <w:ind w:leftChars="1" w:left="285" w:hangingChars="94" w:hanging="282"/>
              <w:rPr>
                <w:sz w:val="28"/>
                <w:szCs w:val="28"/>
              </w:rPr>
            </w:pPr>
            <w:r w:rsidRPr="00F542DE">
              <w:rPr>
                <w:rFonts w:hint="eastAsia"/>
                <w:sz w:val="28"/>
                <w:szCs w:val="28"/>
              </w:rPr>
              <w:t>2.</w:t>
            </w:r>
            <w:r w:rsidR="00FB5AB3" w:rsidRPr="00F542DE">
              <w:rPr>
                <w:rFonts w:hint="eastAsia"/>
                <w:sz w:val="28"/>
                <w:szCs w:val="28"/>
              </w:rPr>
              <w:t>第一金控集團其餘關係企業並無私募生技醫藥相關基金之案例。</w:t>
            </w:r>
          </w:p>
        </w:tc>
      </w:tr>
      <w:tr w:rsidR="00FB5AB3" w:rsidRPr="00F542DE" w:rsidTr="007612D7">
        <w:trPr>
          <w:trHeight w:val="148"/>
        </w:trPr>
        <w:tc>
          <w:tcPr>
            <w:tcW w:w="851" w:type="dxa"/>
            <w:vAlign w:val="center"/>
          </w:tcPr>
          <w:p w:rsidR="003639C3" w:rsidRPr="00F542DE" w:rsidRDefault="00FB5AB3" w:rsidP="00913A38">
            <w:pPr>
              <w:pStyle w:val="4"/>
              <w:numPr>
                <w:ilvl w:val="0"/>
                <w:numId w:val="0"/>
              </w:numPr>
              <w:ind w:leftChars="-31" w:left="-105" w:rightChars="-31" w:right="-105"/>
              <w:jc w:val="center"/>
              <w:rPr>
                <w:spacing w:val="-20"/>
                <w:sz w:val="28"/>
                <w:szCs w:val="28"/>
              </w:rPr>
            </w:pPr>
            <w:r w:rsidRPr="00F542DE">
              <w:rPr>
                <w:rFonts w:hint="eastAsia"/>
                <w:spacing w:val="-20"/>
                <w:sz w:val="28"/>
                <w:szCs w:val="28"/>
              </w:rPr>
              <w:t>第一</w:t>
            </w:r>
          </w:p>
          <w:p w:rsidR="00FB5AB3" w:rsidRPr="00F542DE" w:rsidRDefault="00FB5AB3" w:rsidP="00913A38">
            <w:pPr>
              <w:pStyle w:val="4"/>
              <w:numPr>
                <w:ilvl w:val="0"/>
                <w:numId w:val="0"/>
              </w:numPr>
              <w:ind w:leftChars="-31" w:left="-105" w:rightChars="-31" w:right="-105"/>
              <w:jc w:val="center"/>
              <w:rPr>
                <w:spacing w:val="-20"/>
                <w:sz w:val="28"/>
                <w:szCs w:val="28"/>
              </w:rPr>
            </w:pPr>
            <w:r w:rsidRPr="00F542DE">
              <w:rPr>
                <w:rFonts w:hint="eastAsia"/>
                <w:spacing w:val="-20"/>
                <w:sz w:val="28"/>
                <w:szCs w:val="28"/>
              </w:rPr>
              <w:t>創投</w:t>
            </w:r>
          </w:p>
        </w:tc>
        <w:tc>
          <w:tcPr>
            <w:tcW w:w="3856" w:type="dxa"/>
            <w:vMerge/>
            <w:vAlign w:val="center"/>
          </w:tcPr>
          <w:p w:rsidR="00FB5AB3" w:rsidRPr="00F542DE" w:rsidRDefault="00FB5AB3" w:rsidP="00BC60A6">
            <w:pPr>
              <w:rPr>
                <w:sz w:val="28"/>
                <w:szCs w:val="28"/>
              </w:rPr>
            </w:pPr>
          </w:p>
        </w:tc>
        <w:tc>
          <w:tcPr>
            <w:tcW w:w="4536" w:type="dxa"/>
            <w:vMerge/>
            <w:vAlign w:val="center"/>
          </w:tcPr>
          <w:p w:rsidR="00FB5AB3" w:rsidRPr="00F542DE" w:rsidRDefault="00FB5AB3" w:rsidP="00BC60A6">
            <w:pPr>
              <w:rPr>
                <w:sz w:val="28"/>
                <w:szCs w:val="28"/>
              </w:rPr>
            </w:pPr>
          </w:p>
        </w:tc>
      </w:tr>
      <w:tr w:rsidR="00FB5AB3" w:rsidRPr="00F542DE" w:rsidTr="007612D7">
        <w:tc>
          <w:tcPr>
            <w:tcW w:w="851" w:type="dxa"/>
            <w:vAlign w:val="center"/>
          </w:tcPr>
          <w:p w:rsidR="003639C3" w:rsidRPr="00F542DE" w:rsidRDefault="00FB5AB3" w:rsidP="00913A38">
            <w:pPr>
              <w:pStyle w:val="4"/>
              <w:numPr>
                <w:ilvl w:val="0"/>
                <w:numId w:val="0"/>
              </w:numPr>
              <w:ind w:leftChars="-31" w:left="-105" w:rightChars="-31" w:right="-105"/>
              <w:jc w:val="center"/>
              <w:rPr>
                <w:spacing w:val="-20"/>
                <w:sz w:val="28"/>
                <w:szCs w:val="28"/>
              </w:rPr>
            </w:pPr>
            <w:r w:rsidRPr="00F542DE">
              <w:rPr>
                <w:rFonts w:hint="eastAsia"/>
                <w:spacing w:val="-20"/>
                <w:sz w:val="28"/>
                <w:szCs w:val="28"/>
              </w:rPr>
              <w:t>華南</w:t>
            </w:r>
          </w:p>
          <w:p w:rsidR="00FB5AB3" w:rsidRPr="00F542DE" w:rsidRDefault="00FB5AB3" w:rsidP="00913A38">
            <w:pPr>
              <w:pStyle w:val="4"/>
              <w:numPr>
                <w:ilvl w:val="0"/>
                <w:numId w:val="0"/>
              </w:numPr>
              <w:ind w:leftChars="-31" w:left="-105" w:rightChars="-31" w:right="-105"/>
              <w:jc w:val="center"/>
              <w:rPr>
                <w:spacing w:val="-20"/>
                <w:sz w:val="28"/>
                <w:szCs w:val="28"/>
              </w:rPr>
            </w:pPr>
            <w:r w:rsidRPr="00F542DE">
              <w:rPr>
                <w:rFonts w:hint="eastAsia"/>
                <w:spacing w:val="-20"/>
                <w:sz w:val="28"/>
                <w:szCs w:val="28"/>
              </w:rPr>
              <w:t>銀行</w:t>
            </w:r>
          </w:p>
        </w:tc>
        <w:tc>
          <w:tcPr>
            <w:tcW w:w="3856" w:type="dxa"/>
            <w:vAlign w:val="center"/>
          </w:tcPr>
          <w:p w:rsidR="00FB5AB3" w:rsidRPr="00F542DE" w:rsidRDefault="00FB5AB3" w:rsidP="00BC60A6">
            <w:pPr>
              <w:rPr>
                <w:sz w:val="28"/>
                <w:szCs w:val="28"/>
              </w:rPr>
            </w:pPr>
            <w:r w:rsidRPr="00F542DE">
              <w:rPr>
                <w:rFonts w:hint="eastAsia"/>
                <w:sz w:val="28"/>
                <w:szCs w:val="28"/>
              </w:rPr>
              <w:t>參考國發會公開資料及向兄弟公司華南金創投徵詢意見等，市場行情一般在1.5%~3%之間，該基金管理費尚符市場行情。</w:t>
            </w:r>
          </w:p>
        </w:tc>
        <w:tc>
          <w:tcPr>
            <w:tcW w:w="4536" w:type="dxa"/>
            <w:vMerge w:val="restart"/>
            <w:vAlign w:val="center"/>
          </w:tcPr>
          <w:p w:rsidR="00FB5AB3" w:rsidRPr="00F542DE" w:rsidRDefault="00FB5AB3" w:rsidP="00BC60A6">
            <w:pPr>
              <w:rPr>
                <w:sz w:val="28"/>
                <w:szCs w:val="28"/>
              </w:rPr>
            </w:pPr>
            <w:r w:rsidRPr="00F542DE">
              <w:rPr>
                <w:rFonts w:hint="eastAsia"/>
                <w:sz w:val="28"/>
                <w:szCs w:val="28"/>
              </w:rPr>
              <w:t>關係企業華南永昌投信，無募集發行生技基金，故亦無同類基金比較差異性。</w:t>
            </w:r>
          </w:p>
        </w:tc>
      </w:tr>
      <w:tr w:rsidR="00FB5AB3" w:rsidRPr="00F542DE" w:rsidTr="007612D7">
        <w:tc>
          <w:tcPr>
            <w:tcW w:w="851" w:type="dxa"/>
            <w:vAlign w:val="center"/>
          </w:tcPr>
          <w:p w:rsidR="003639C3" w:rsidRPr="00F542DE" w:rsidRDefault="00FB5AB3" w:rsidP="00913A38">
            <w:pPr>
              <w:pStyle w:val="4"/>
              <w:numPr>
                <w:ilvl w:val="0"/>
                <w:numId w:val="0"/>
              </w:numPr>
              <w:ind w:leftChars="-31" w:left="-105" w:rightChars="-31" w:right="-105"/>
              <w:jc w:val="center"/>
              <w:rPr>
                <w:spacing w:val="-20"/>
                <w:sz w:val="28"/>
                <w:szCs w:val="28"/>
              </w:rPr>
            </w:pPr>
            <w:r w:rsidRPr="00F542DE">
              <w:rPr>
                <w:rFonts w:hint="eastAsia"/>
                <w:spacing w:val="-20"/>
                <w:sz w:val="28"/>
                <w:szCs w:val="28"/>
              </w:rPr>
              <w:t>華南</w:t>
            </w:r>
          </w:p>
          <w:p w:rsidR="00FB5AB3" w:rsidRPr="00F542DE" w:rsidRDefault="00FB5AB3" w:rsidP="00913A38">
            <w:pPr>
              <w:pStyle w:val="4"/>
              <w:numPr>
                <w:ilvl w:val="0"/>
                <w:numId w:val="0"/>
              </w:numPr>
              <w:ind w:leftChars="-31" w:left="-105" w:rightChars="-31" w:right="-105"/>
              <w:jc w:val="center"/>
              <w:rPr>
                <w:spacing w:val="-20"/>
                <w:sz w:val="28"/>
                <w:szCs w:val="28"/>
              </w:rPr>
            </w:pPr>
            <w:r w:rsidRPr="00F542DE">
              <w:rPr>
                <w:rFonts w:hint="eastAsia"/>
                <w:spacing w:val="-20"/>
                <w:sz w:val="28"/>
                <w:szCs w:val="28"/>
              </w:rPr>
              <w:t>產險</w:t>
            </w:r>
          </w:p>
        </w:tc>
        <w:tc>
          <w:tcPr>
            <w:tcW w:w="3856" w:type="dxa"/>
            <w:vAlign w:val="center"/>
          </w:tcPr>
          <w:p w:rsidR="00FB5AB3" w:rsidRPr="00F542DE" w:rsidRDefault="00FB5AB3" w:rsidP="00BC60A6">
            <w:pPr>
              <w:rPr>
                <w:sz w:val="28"/>
                <w:szCs w:val="28"/>
              </w:rPr>
            </w:pPr>
            <w:r w:rsidRPr="00F542DE">
              <w:rPr>
                <w:rFonts w:hint="eastAsia"/>
                <w:sz w:val="28"/>
                <w:szCs w:val="28"/>
              </w:rPr>
              <w:t>該基金之費用收取情形與華南產險過往投資創投支付管理費率介於1.5%~2.5%及前</w:t>
            </w:r>
            <w:r w:rsidR="00913A38" w:rsidRPr="00F542DE">
              <w:rPr>
                <w:rFonts w:hint="eastAsia"/>
                <w:sz w:val="28"/>
                <w:szCs w:val="28"/>
              </w:rPr>
              <w:t>10</w:t>
            </w:r>
            <w:r w:rsidRPr="00F542DE">
              <w:rPr>
                <w:rFonts w:hint="eastAsia"/>
                <w:sz w:val="28"/>
                <w:szCs w:val="28"/>
              </w:rPr>
              <w:t>年總費用率介於20%~25%並無明</w:t>
            </w:r>
            <w:r w:rsidR="007B46C1" w:rsidRPr="00F542DE">
              <w:rPr>
                <w:rFonts w:hint="eastAsia"/>
                <w:sz w:val="28"/>
                <w:szCs w:val="28"/>
              </w:rPr>
              <w:t>顯</w:t>
            </w:r>
            <w:r w:rsidRPr="00F542DE">
              <w:rPr>
                <w:rFonts w:hint="eastAsia"/>
                <w:sz w:val="28"/>
                <w:szCs w:val="28"/>
              </w:rPr>
              <w:t>差異。</w:t>
            </w:r>
          </w:p>
        </w:tc>
        <w:tc>
          <w:tcPr>
            <w:tcW w:w="4536" w:type="dxa"/>
            <w:vMerge/>
            <w:vAlign w:val="center"/>
          </w:tcPr>
          <w:p w:rsidR="00FB5AB3" w:rsidRPr="00F542DE" w:rsidRDefault="00FB5AB3" w:rsidP="00BC60A6">
            <w:pPr>
              <w:rPr>
                <w:sz w:val="28"/>
                <w:szCs w:val="28"/>
              </w:rPr>
            </w:pPr>
          </w:p>
        </w:tc>
      </w:tr>
      <w:tr w:rsidR="00FB5AB3" w:rsidRPr="00F542DE" w:rsidTr="007612D7">
        <w:tc>
          <w:tcPr>
            <w:tcW w:w="851" w:type="dxa"/>
            <w:vAlign w:val="center"/>
          </w:tcPr>
          <w:p w:rsidR="003639C3" w:rsidRPr="00F542DE" w:rsidRDefault="00FB5AB3" w:rsidP="00913A38">
            <w:pPr>
              <w:pStyle w:val="4"/>
              <w:numPr>
                <w:ilvl w:val="0"/>
                <w:numId w:val="0"/>
              </w:numPr>
              <w:ind w:leftChars="-31" w:left="-105" w:rightChars="-31" w:right="-105"/>
              <w:jc w:val="center"/>
              <w:rPr>
                <w:spacing w:val="-20"/>
                <w:sz w:val="28"/>
                <w:szCs w:val="28"/>
              </w:rPr>
            </w:pPr>
            <w:r w:rsidRPr="00F542DE">
              <w:rPr>
                <w:rFonts w:hint="eastAsia"/>
                <w:spacing w:val="-20"/>
                <w:sz w:val="28"/>
                <w:szCs w:val="28"/>
              </w:rPr>
              <w:t>華南</w:t>
            </w:r>
          </w:p>
          <w:p w:rsidR="00FB5AB3" w:rsidRPr="00F542DE" w:rsidRDefault="00FB5AB3" w:rsidP="00913A38">
            <w:pPr>
              <w:pStyle w:val="4"/>
              <w:numPr>
                <w:ilvl w:val="0"/>
                <w:numId w:val="0"/>
              </w:numPr>
              <w:ind w:leftChars="-31" w:left="-105" w:rightChars="-31" w:right="-105"/>
              <w:jc w:val="center"/>
              <w:rPr>
                <w:spacing w:val="-20"/>
                <w:sz w:val="28"/>
                <w:szCs w:val="28"/>
              </w:rPr>
            </w:pPr>
            <w:r w:rsidRPr="00F542DE">
              <w:rPr>
                <w:rFonts w:hint="eastAsia"/>
                <w:spacing w:val="-20"/>
                <w:sz w:val="28"/>
                <w:szCs w:val="28"/>
              </w:rPr>
              <w:t>創投</w:t>
            </w:r>
          </w:p>
        </w:tc>
        <w:tc>
          <w:tcPr>
            <w:tcW w:w="3856" w:type="dxa"/>
            <w:vAlign w:val="center"/>
          </w:tcPr>
          <w:p w:rsidR="00FB5AB3" w:rsidRPr="00F542DE" w:rsidRDefault="00FB5AB3" w:rsidP="00BC60A6">
            <w:pPr>
              <w:rPr>
                <w:sz w:val="28"/>
                <w:szCs w:val="28"/>
              </w:rPr>
            </w:pPr>
            <w:r w:rsidRPr="00F542DE">
              <w:rPr>
                <w:rFonts w:hint="eastAsia"/>
                <w:sz w:val="28"/>
                <w:szCs w:val="28"/>
              </w:rPr>
              <w:t>創投管理費率通常視管理資產規模及創投公司過去績效差異而定，市場行情一般落在1%~3%之間，但通常會考量規模大小，規模越大管理費</w:t>
            </w:r>
            <w:r w:rsidRPr="00F542DE">
              <w:rPr>
                <w:rFonts w:hint="eastAsia"/>
                <w:sz w:val="28"/>
                <w:szCs w:val="28"/>
              </w:rPr>
              <w:lastRenderedPageBreak/>
              <w:t>則越低，平均約2%。</w:t>
            </w:r>
          </w:p>
        </w:tc>
        <w:tc>
          <w:tcPr>
            <w:tcW w:w="4536" w:type="dxa"/>
            <w:vMerge/>
            <w:vAlign w:val="center"/>
          </w:tcPr>
          <w:p w:rsidR="00FB5AB3" w:rsidRPr="00F542DE" w:rsidRDefault="00FB5AB3" w:rsidP="00BC60A6">
            <w:pPr>
              <w:rPr>
                <w:sz w:val="28"/>
                <w:szCs w:val="28"/>
              </w:rPr>
            </w:pPr>
          </w:p>
        </w:tc>
      </w:tr>
      <w:tr w:rsidR="00FB5AB3" w:rsidRPr="00F542DE" w:rsidTr="007612D7">
        <w:tc>
          <w:tcPr>
            <w:tcW w:w="851" w:type="dxa"/>
            <w:vAlign w:val="center"/>
          </w:tcPr>
          <w:p w:rsidR="00913A38" w:rsidRPr="00F542DE" w:rsidRDefault="00FB5AB3" w:rsidP="00913A38">
            <w:pPr>
              <w:pStyle w:val="4"/>
              <w:numPr>
                <w:ilvl w:val="0"/>
                <w:numId w:val="0"/>
              </w:numPr>
              <w:ind w:leftChars="-31" w:left="-105" w:rightChars="-31" w:right="-105"/>
              <w:jc w:val="center"/>
              <w:rPr>
                <w:spacing w:val="-20"/>
                <w:sz w:val="28"/>
                <w:szCs w:val="28"/>
              </w:rPr>
            </w:pPr>
            <w:r w:rsidRPr="00F542DE">
              <w:rPr>
                <w:rFonts w:hint="eastAsia"/>
                <w:spacing w:val="-20"/>
                <w:sz w:val="28"/>
                <w:szCs w:val="28"/>
              </w:rPr>
              <w:t>臺灣</w:t>
            </w:r>
          </w:p>
          <w:p w:rsidR="003639C3" w:rsidRPr="00F542DE" w:rsidRDefault="00FB5AB3" w:rsidP="00913A38">
            <w:pPr>
              <w:pStyle w:val="4"/>
              <w:numPr>
                <w:ilvl w:val="0"/>
                <w:numId w:val="0"/>
              </w:numPr>
              <w:ind w:leftChars="-31" w:left="-105" w:rightChars="-31" w:right="-105"/>
              <w:jc w:val="center"/>
              <w:rPr>
                <w:spacing w:val="-20"/>
                <w:sz w:val="28"/>
                <w:szCs w:val="28"/>
              </w:rPr>
            </w:pPr>
            <w:r w:rsidRPr="00F542DE">
              <w:rPr>
                <w:rFonts w:hint="eastAsia"/>
                <w:spacing w:val="-20"/>
                <w:sz w:val="28"/>
                <w:szCs w:val="28"/>
              </w:rPr>
              <w:t>中小</w:t>
            </w:r>
          </w:p>
          <w:p w:rsidR="00FB5AB3" w:rsidRPr="00F542DE" w:rsidRDefault="00FB5AB3" w:rsidP="00913A38">
            <w:pPr>
              <w:pStyle w:val="4"/>
              <w:numPr>
                <w:ilvl w:val="0"/>
                <w:numId w:val="0"/>
              </w:numPr>
              <w:ind w:leftChars="-31" w:left="-105" w:rightChars="-31" w:right="-105"/>
              <w:jc w:val="center"/>
              <w:rPr>
                <w:spacing w:val="-20"/>
                <w:sz w:val="28"/>
                <w:szCs w:val="28"/>
              </w:rPr>
            </w:pPr>
            <w:r w:rsidRPr="00F542DE">
              <w:rPr>
                <w:rFonts w:hint="eastAsia"/>
                <w:spacing w:val="-20"/>
                <w:sz w:val="28"/>
                <w:szCs w:val="28"/>
              </w:rPr>
              <w:t>企銀</w:t>
            </w:r>
          </w:p>
        </w:tc>
        <w:tc>
          <w:tcPr>
            <w:tcW w:w="3856" w:type="dxa"/>
            <w:vAlign w:val="center"/>
          </w:tcPr>
          <w:p w:rsidR="00FB5AB3" w:rsidRPr="00F542DE" w:rsidRDefault="00FB5AB3" w:rsidP="00BC60A6">
            <w:pPr>
              <w:rPr>
                <w:sz w:val="28"/>
                <w:szCs w:val="28"/>
              </w:rPr>
            </w:pPr>
            <w:r w:rsidRPr="00F542DE">
              <w:rPr>
                <w:rFonts w:hint="eastAsia"/>
                <w:sz w:val="28"/>
                <w:szCs w:val="28"/>
              </w:rPr>
              <w:t>國內外創業投資事業大多依基金募資規模收取2%~3%之管理費，台杉水牛二號基金收取2.5%之管理費，尚符合目前一般創業投資事業商業慣例範圍。</w:t>
            </w:r>
          </w:p>
        </w:tc>
        <w:tc>
          <w:tcPr>
            <w:tcW w:w="4536" w:type="dxa"/>
            <w:vAlign w:val="center"/>
          </w:tcPr>
          <w:p w:rsidR="00FB5AB3" w:rsidRPr="00F542DE" w:rsidRDefault="00FB5AB3" w:rsidP="00BC60A6">
            <w:pPr>
              <w:rPr>
                <w:sz w:val="28"/>
                <w:szCs w:val="28"/>
              </w:rPr>
            </w:pPr>
            <w:r w:rsidRPr="00F542DE">
              <w:rPr>
                <w:rFonts w:hint="eastAsia"/>
                <w:sz w:val="28"/>
                <w:szCs w:val="28"/>
              </w:rPr>
              <w:t>臺灣中小企銀無關係企業募集基金，爰無相關資料。</w:t>
            </w:r>
          </w:p>
        </w:tc>
      </w:tr>
    </w:tbl>
    <w:p w:rsidR="00FB5AB3" w:rsidRPr="00F542DE" w:rsidRDefault="00FB5AB3" w:rsidP="00FB5AB3">
      <w:pPr>
        <w:spacing w:afterLines="50" w:after="228"/>
        <w:rPr>
          <w:sz w:val="24"/>
          <w:szCs w:val="24"/>
        </w:rPr>
      </w:pPr>
      <w:r w:rsidRPr="00F542DE">
        <w:rPr>
          <w:rFonts w:hint="eastAsia"/>
          <w:sz w:val="24"/>
          <w:szCs w:val="24"/>
        </w:rPr>
        <w:t>資料來源：財政部</w:t>
      </w:r>
      <w:r w:rsidR="00E70382" w:rsidRPr="00F542DE">
        <w:rPr>
          <w:rFonts w:hint="eastAsia"/>
          <w:sz w:val="24"/>
          <w:szCs w:val="24"/>
        </w:rPr>
        <w:t>。</w:t>
      </w:r>
    </w:p>
    <w:p w:rsidR="007B46C1" w:rsidRPr="00F542DE" w:rsidRDefault="003B4D18" w:rsidP="003B4D18">
      <w:pPr>
        <w:pStyle w:val="5"/>
      </w:pPr>
      <w:r w:rsidRPr="00F542DE">
        <w:rPr>
          <w:rFonts w:hint="eastAsia"/>
        </w:rPr>
        <w:t>創新公司投資創投/管顧公司，該等公司收取管理費之情形，詳如表</w:t>
      </w:r>
      <w:r w:rsidR="00D30FEB">
        <w:rPr>
          <w:rFonts w:hint="eastAsia"/>
        </w:rPr>
        <w:t>6</w:t>
      </w:r>
      <w:r w:rsidRPr="00F542DE">
        <w:rPr>
          <w:rFonts w:hint="eastAsia"/>
        </w:rPr>
        <w:t>：</w:t>
      </w:r>
      <w:r w:rsidRPr="00F542DE">
        <w:t xml:space="preserve"> </w:t>
      </w:r>
    </w:p>
    <w:p w:rsidR="00FD5F85" w:rsidRPr="00F542DE" w:rsidRDefault="00FD5F85" w:rsidP="00FD5F85">
      <w:pPr>
        <w:pStyle w:val="a4"/>
        <w:jc w:val="center"/>
        <w:rPr>
          <w:b/>
        </w:rPr>
      </w:pPr>
      <w:r w:rsidRPr="00F542DE">
        <w:rPr>
          <w:rFonts w:hint="eastAsia"/>
          <w:b/>
        </w:rPr>
        <w:t>創新公司近5年投資創投事業概況</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2"/>
        <w:gridCol w:w="1276"/>
        <w:gridCol w:w="1275"/>
        <w:gridCol w:w="3969"/>
      </w:tblGrid>
      <w:tr w:rsidR="00FD5F85" w:rsidRPr="00F542DE" w:rsidTr="00CE38D9">
        <w:trPr>
          <w:trHeight w:val="186"/>
          <w:tblHeader/>
        </w:trPr>
        <w:tc>
          <w:tcPr>
            <w:tcW w:w="2552" w:type="dxa"/>
          </w:tcPr>
          <w:p w:rsidR="00FD5F85" w:rsidRPr="00F542DE" w:rsidRDefault="00FD5F85" w:rsidP="00BC60A6">
            <w:pPr>
              <w:pStyle w:val="5"/>
              <w:numPr>
                <w:ilvl w:val="0"/>
                <w:numId w:val="0"/>
              </w:numPr>
              <w:jc w:val="center"/>
              <w:rPr>
                <w:b/>
                <w:sz w:val="28"/>
                <w:szCs w:val="28"/>
              </w:rPr>
            </w:pPr>
            <w:r w:rsidRPr="00F542DE">
              <w:rPr>
                <w:rFonts w:hint="eastAsia"/>
                <w:b/>
                <w:sz w:val="28"/>
                <w:szCs w:val="28"/>
              </w:rPr>
              <w:t>創投/管顧公司</w:t>
            </w:r>
          </w:p>
        </w:tc>
        <w:tc>
          <w:tcPr>
            <w:tcW w:w="1276" w:type="dxa"/>
          </w:tcPr>
          <w:p w:rsidR="00FD5F85" w:rsidRPr="00F542DE" w:rsidRDefault="00FD5F85" w:rsidP="00BC60A6">
            <w:pPr>
              <w:pStyle w:val="5"/>
              <w:numPr>
                <w:ilvl w:val="0"/>
                <w:numId w:val="0"/>
              </w:numPr>
              <w:jc w:val="center"/>
              <w:rPr>
                <w:b/>
                <w:sz w:val="28"/>
                <w:szCs w:val="28"/>
              </w:rPr>
            </w:pPr>
            <w:r w:rsidRPr="00F542DE">
              <w:rPr>
                <w:rFonts w:hint="eastAsia"/>
                <w:b/>
                <w:sz w:val="28"/>
                <w:szCs w:val="28"/>
              </w:rPr>
              <w:t>投資年月</w:t>
            </w:r>
          </w:p>
        </w:tc>
        <w:tc>
          <w:tcPr>
            <w:tcW w:w="1275" w:type="dxa"/>
          </w:tcPr>
          <w:p w:rsidR="00FD5F85" w:rsidRPr="00F542DE" w:rsidRDefault="00FD5F85" w:rsidP="00BC60A6">
            <w:pPr>
              <w:pStyle w:val="5"/>
              <w:numPr>
                <w:ilvl w:val="0"/>
                <w:numId w:val="0"/>
              </w:numPr>
              <w:jc w:val="center"/>
              <w:rPr>
                <w:b/>
                <w:sz w:val="28"/>
                <w:szCs w:val="28"/>
              </w:rPr>
            </w:pPr>
            <w:r w:rsidRPr="00F542DE">
              <w:rPr>
                <w:rFonts w:hint="eastAsia"/>
                <w:b/>
                <w:sz w:val="28"/>
                <w:szCs w:val="28"/>
              </w:rPr>
              <w:t>持股比率</w:t>
            </w:r>
          </w:p>
        </w:tc>
        <w:tc>
          <w:tcPr>
            <w:tcW w:w="3969" w:type="dxa"/>
          </w:tcPr>
          <w:p w:rsidR="00FD5F85" w:rsidRPr="00F542DE" w:rsidRDefault="00FD5F85" w:rsidP="00BC60A6">
            <w:pPr>
              <w:pStyle w:val="5"/>
              <w:numPr>
                <w:ilvl w:val="0"/>
                <w:numId w:val="0"/>
              </w:numPr>
              <w:jc w:val="center"/>
              <w:rPr>
                <w:b/>
                <w:sz w:val="28"/>
                <w:szCs w:val="28"/>
              </w:rPr>
            </w:pPr>
            <w:r w:rsidRPr="00F542DE">
              <w:rPr>
                <w:rFonts w:hint="eastAsia"/>
                <w:b/>
                <w:sz w:val="28"/>
                <w:szCs w:val="28"/>
              </w:rPr>
              <w:t>年管理費</w:t>
            </w:r>
          </w:p>
        </w:tc>
      </w:tr>
      <w:tr w:rsidR="00FD5F85" w:rsidRPr="00F542DE" w:rsidTr="00CE38D9">
        <w:trPr>
          <w:trHeight w:val="158"/>
        </w:trPr>
        <w:tc>
          <w:tcPr>
            <w:tcW w:w="2552" w:type="dxa"/>
          </w:tcPr>
          <w:p w:rsidR="00FD5F85" w:rsidRPr="00F542DE" w:rsidRDefault="00FD5F85" w:rsidP="00BC60A6">
            <w:pPr>
              <w:pStyle w:val="5"/>
              <w:numPr>
                <w:ilvl w:val="0"/>
                <w:numId w:val="0"/>
              </w:numPr>
              <w:rPr>
                <w:sz w:val="28"/>
                <w:szCs w:val="28"/>
              </w:rPr>
            </w:pPr>
            <w:r w:rsidRPr="00F542DE">
              <w:rPr>
                <w:rFonts w:ascii="新細明體" w:eastAsia="新細明體" w:hAnsi="新細明體" w:hint="eastAsia"/>
                <w:sz w:val="28"/>
                <w:szCs w:val="28"/>
              </w:rPr>
              <w:t>○○</w:t>
            </w:r>
            <w:r w:rsidRPr="00F542DE">
              <w:rPr>
                <w:rFonts w:hint="eastAsia"/>
                <w:sz w:val="28"/>
                <w:szCs w:val="28"/>
              </w:rPr>
              <w:t>on Fund 111</w:t>
            </w:r>
          </w:p>
        </w:tc>
        <w:tc>
          <w:tcPr>
            <w:tcW w:w="1276" w:type="dxa"/>
          </w:tcPr>
          <w:p w:rsidR="00FD5F85" w:rsidRPr="00F542DE" w:rsidRDefault="00FD5F85" w:rsidP="00BC60A6">
            <w:pPr>
              <w:pStyle w:val="5"/>
              <w:numPr>
                <w:ilvl w:val="0"/>
                <w:numId w:val="0"/>
              </w:numPr>
              <w:jc w:val="center"/>
              <w:rPr>
                <w:sz w:val="28"/>
                <w:szCs w:val="28"/>
              </w:rPr>
            </w:pPr>
            <w:r w:rsidRPr="00F542DE">
              <w:rPr>
                <w:rFonts w:hint="eastAsia"/>
                <w:sz w:val="28"/>
                <w:szCs w:val="28"/>
              </w:rPr>
              <w:t>104.9</w:t>
            </w:r>
          </w:p>
        </w:tc>
        <w:tc>
          <w:tcPr>
            <w:tcW w:w="1275" w:type="dxa"/>
          </w:tcPr>
          <w:p w:rsidR="00FD5F85" w:rsidRPr="00F542DE" w:rsidRDefault="00FD5F85" w:rsidP="00BC60A6">
            <w:pPr>
              <w:pStyle w:val="5"/>
              <w:numPr>
                <w:ilvl w:val="0"/>
                <w:numId w:val="0"/>
              </w:numPr>
              <w:jc w:val="center"/>
              <w:rPr>
                <w:sz w:val="28"/>
                <w:szCs w:val="28"/>
              </w:rPr>
            </w:pPr>
            <w:r w:rsidRPr="00F542DE">
              <w:rPr>
                <w:rFonts w:hint="eastAsia"/>
                <w:sz w:val="28"/>
                <w:szCs w:val="28"/>
              </w:rPr>
              <w:t>0.99%</w:t>
            </w:r>
          </w:p>
        </w:tc>
        <w:tc>
          <w:tcPr>
            <w:tcW w:w="3969" w:type="dxa"/>
          </w:tcPr>
          <w:p w:rsidR="00FD5F85" w:rsidRPr="00F542DE" w:rsidRDefault="00FD5F85" w:rsidP="00BC60A6">
            <w:pPr>
              <w:pStyle w:val="5"/>
              <w:numPr>
                <w:ilvl w:val="0"/>
                <w:numId w:val="0"/>
              </w:numPr>
              <w:rPr>
                <w:sz w:val="28"/>
                <w:szCs w:val="28"/>
              </w:rPr>
            </w:pPr>
            <w:r w:rsidRPr="00F542DE">
              <w:rPr>
                <w:rFonts w:hint="eastAsia"/>
                <w:sz w:val="28"/>
                <w:szCs w:val="28"/>
              </w:rPr>
              <w:t>投資期間2.5%。</w:t>
            </w:r>
          </w:p>
        </w:tc>
      </w:tr>
      <w:tr w:rsidR="00FD5F85" w:rsidRPr="00F542DE" w:rsidTr="00CE38D9">
        <w:trPr>
          <w:trHeight w:val="146"/>
        </w:trPr>
        <w:tc>
          <w:tcPr>
            <w:tcW w:w="2552" w:type="dxa"/>
          </w:tcPr>
          <w:p w:rsidR="00FD5F85" w:rsidRPr="00F542DE" w:rsidRDefault="00FD5F85" w:rsidP="00BC60A6">
            <w:pPr>
              <w:pStyle w:val="5"/>
              <w:numPr>
                <w:ilvl w:val="0"/>
                <w:numId w:val="0"/>
              </w:numPr>
              <w:rPr>
                <w:sz w:val="28"/>
                <w:szCs w:val="28"/>
              </w:rPr>
            </w:pPr>
            <w:r w:rsidRPr="00F542DE">
              <w:rPr>
                <w:rFonts w:hint="eastAsia"/>
                <w:sz w:val="28"/>
                <w:szCs w:val="28"/>
              </w:rPr>
              <w:t>○</w:t>
            </w:r>
            <w:r w:rsidRPr="00F542DE">
              <w:rPr>
                <w:rFonts w:ascii="新細明體" w:eastAsia="新細明體" w:hAnsi="新細明體" w:hint="eastAsia"/>
                <w:sz w:val="28"/>
                <w:szCs w:val="28"/>
              </w:rPr>
              <w:t>○</w:t>
            </w:r>
            <w:r w:rsidRPr="00F542DE">
              <w:rPr>
                <w:rFonts w:hint="eastAsia"/>
                <w:sz w:val="28"/>
                <w:szCs w:val="28"/>
              </w:rPr>
              <w:t>(社會企業)</w:t>
            </w:r>
          </w:p>
        </w:tc>
        <w:tc>
          <w:tcPr>
            <w:tcW w:w="1276" w:type="dxa"/>
          </w:tcPr>
          <w:p w:rsidR="00FD5F85" w:rsidRPr="00F542DE" w:rsidRDefault="00FD5F85" w:rsidP="00BC60A6">
            <w:pPr>
              <w:pStyle w:val="5"/>
              <w:numPr>
                <w:ilvl w:val="0"/>
                <w:numId w:val="0"/>
              </w:numPr>
              <w:jc w:val="center"/>
              <w:rPr>
                <w:sz w:val="28"/>
                <w:szCs w:val="28"/>
              </w:rPr>
            </w:pPr>
            <w:r w:rsidRPr="00F542DE">
              <w:rPr>
                <w:rFonts w:hint="eastAsia"/>
                <w:sz w:val="28"/>
                <w:szCs w:val="28"/>
              </w:rPr>
              <w:t>106.6</w:t>
            </w:r>
          </w:p>
        </w:tc>
        <w:tc>
          <w:tcPr>
            <w:tcW w:w="1275" w:type="dxa"/>
          </w:tcPr>
          <w:p w:rsidR="00FD5F85" w:rsidRPr="00F542DE" w:rsidRDefault="00FD5F85" w:rsidP="00BC60A6">
            <w:pPr>
              <w:pStyle w:val="5"/>
              <w:numPr>
                <w:ilvl w:val="0"/>
                <w:numId w:val="0"/>
              </w:numPr>
              <w:jc w:val="center"/>
              <w:rPr>
                <w:sz w:val="28"/>
                <w:szCs w:val="28"/>
              </w:rPr>
            </w:pPr>
            <w:r w:rsidRPr="00F542DE">
              <w:rPr>
                <w:rFonts w:hint="eastAsia"/>
                <w:sz w:val="28"/>
                <w:szCs w:val="28"/>
              </w:rPr>
              <w:t>6.25%</w:t>
            </w:r>
          </w:p>
        </w:tc>
        <w:tc>
          <w:tcPr>
            <w:tcW w:w="3969" w:type="dxa"/>
          </w:tcPr>
          <w:p w:rsidR="00FD5F85" w:rsidRPr="00F542DE" w:rsidRDefault="00FD5F85" w:rsidP="00BC60A6">
            <w:pPr>
              <w:pStyle w:val="5"/>
              <w:numPr>
                <w:ilvl w:val="0"/>
                <w:numId w:val="0"/>
              </w:numPr>
              <w:rPr>
                <w:sz w:val="28"/>
                <w:szCs w:val="28"/>
              </w:rPr>
            </w:pPr>
            <w:r w:rsidRPr="00F542DE">
              <w:rPr>
                <w:rFonts w:hint="eastAsia"/>
                <w:sz w:val="28"/>
                <w:szCs w:val="28"/>
              </w:rPr>
              <w:t>第1-2年3.5%；第3年3%；第4年2.5%；第5年2%；第6年起1.5%。</w:t>
            </w:r>
          </w:p>
        </w:tc>
      </w:tr>
      <w:tr w:rsidR="00FD5F85" w:rsidRPr="00F542DE" w:rsidTr="00CE38D9">
        <w:trPr>
          <w:trHeight w:val="170"/>
        </w:trPr>
        <w:tc>
          <w:tcPr>
            <w:tcW w:w="2552" w:type="dxa"/>
          </w:tcPr>
          <w:p w:rsidR="00FD5F85" w:rsidRPr="00F542DE" w:rsidRDefault="00FD5F85" w:rsidP="00FD5F85">
            <w:pPr>
              <w:pStyle w:val="5"/>
              <w:numPr>
                <w:ilvl w:val="0"/>
                <w:numId w:val="0"/>
              </w:numPr>
              <w:rPr>
                <w:sz w:val="28"/>
                <w:szCs w:val="28"/>
              </w:rPr>
            </w:pPr>
            <w:r w:rsidRPr="00F542DE">
              <w:rPr>
                <w:rFonts w:ascii="新細明體" w:eastAsia="新細明體" w:hAnsi="新細明體" w:hint="eastAsia"/>
                <w:sz w:val="28"/>
                <w:szCs w:val="28"/>
              </w:rPr>
              <w:t>○○</w:t>
            </w:r>
            <w:r w:rsidRPr="00F542DE">
              <w:rPr>
                <w:rFonts w:hint="eastAsia"/>
                <w:sz w:val="28"/>
                <w:szCs w:val="28"/>
              </w:rPr>
              <w:t xml:space="preserve"> IV</w:t>
            </w:r>
          </w:p>
        </w:tc>
        <w:tc>
          <w:tcPr>
            <w:tcW w:w="1276" w:type="dxa"/>
          </w:tcPr>
          <w:p w:rsidR="00FD5F85" w:rsidRPr="00F542DE" w:rsidRDefault="00FD5F85" w:rsidP="00BC60A6">
            <w:pPr>
              <w:pStyle w:val="5"/>
              <w:numPr>
                <w:ilvl w:val="0"/>
                <w:numId w:val="0"/>
              </w:numPr>
              <w:jc w:val="center"/>
              <w:rPr>
                <w:sz w:val="28"/>
                <w:szCs w:val="28"/>
              </w:rPr>
            </w:pPr>
            <w:r w:rsidRPr="00F542DE">
              <w:rPr>
                <w:rFonts w:hint="eastAsia"/>
                <w:sz w:val="28"/>
                <w:szCs w:val="28"/>
              </w:rPr>
              <w:t>107.11</w:t>
            </w:r>
          </w:p>
        </w:tc>
        <w:tc>
          <w:tcPr>
            <w:tcW w:w="1275" w:type="dxa"/>
          </w:tcPr>
          <w:p w:rsidR="00FD5F85" w:rsidRPr="00F542DE" w:rsidRDefault="00FD5F85" w:rsidP="00BC60A6">
            <w:pPr>
              <w:pStyle w:val="5"/>
              <w:numPr>
                <w:ilvl w:val="0"/>
                <w:numId w:val="0"/>
              </w:numPr>
              <w:jc w:val="center"/>
              <w:rPr>
                <w:sz w:val="28"/>
                <w:szCs w:val="28"/>
              </w:rPr>
            </w:pPr>
            <w:r w:rsidRPr="00F542DE">
              <w:rPr>
                <w:rFonts w:hint="eastAsia"/>
                <w:sz w:val="28"/>
                <w:szCs w:val="28"/>
              </w:rPr>
              <w:t>0.6%</w:t>
            </w:r>
          </w:p>
        </w:tc>
        <w:tc>
          <w:tcPr>
            <w:tcW w:w="3969" w:type="dxa"/>
          </w:tcPr>
          <w:p w:rsidR="00FD5F85" w:rsidRPr="00F542DE" w:rsidRDefault="00FD5F85" w:rsidP="00BC60A6">
            <w:pPr>
              <w:pStyle w:val="5"/>
              <w:numPr>
                <w:ilvl w:val="0"/>
                <w:numId w:val="0"/>
              </w:numPr>
              <w:rPr>
                <w:sz w:val="28"/>
                <w:szCs w:val="28"/>
              </w:rPr>
            </w:pPr>
            <w:r w:rsidRPr="00F542DE">
              <w:rPr>
                <w:rFonts w:hint="eastAsia"/>
                <w:sz w:val="28"/>
                <w:szCs w:val="28"/>
              </w:rPr>
              <w:t>投資期間2.5%。</w:t>
            </w:r>
          </w:p>
        </w:tc>
      </w:tr>
      <w:tr w:rsidR="00FD5F85" w:rsidRPr="00F542DE" w:rsidTr="00CE38D9">
        <w:trPr>
          <w:trHeight w:val="158"/>
        </w:trPr>
        <w:tc>
          <w:tcPr>
            <w:tcW w:w="2552" w:type="dxa"/>
          </w:tcPr>
          <w:p w:rsidR="00FD5F85" w:rsidRPr="00F542DE" w:rsidRDefault="00FD5F85" w:rsidP="00BC60A6">
            <w:pPr>
              <w:pStyle w:val="5"/>
              <w:numPr>
                <w:ilvl w:val="0"/>
                <w:numId w:val="0"/>
              </w:numPr>
              <w:rPr>
                <w:sz w:val="28"/>
                <w:szCs w:val="28"/>
              </w:rPr>
            </w:pPr>
            <w:r w:rsidRPr="00F542DE">
              <w:rPr>
                <w:rFonts w:ascii="新細明體" w:eastAsia="新細明體" w:hAnsi="新細明體" w:hint="eastAsia"/>
                <w:sz w:val="28"/>
                <w:szCs w:val="28"/>
              </w:rPr>
              <w:t>○</w:t>
            </w:r>
            <w:r w:rsidRPr="00F542DE">
              <w:rPr>
                <w:rFonts w:hint="eastAsia"/>
                <w:sz w:val="28"/>
                <w:szCs w:val="28"/>
              </w:rPr>
              <w:t>P</w:t>
            </w:r>
            <w:r w:rsidRPr="00F542DE">
              <w:rPr>
                <w:rFonts w:ascii="新細明體" w:eastAsia="新細明體" w:hAnsi="新細明體" w:hint="eastAsia"/>
                <w:sz w:val="28"/>
                <w:szCs w:val="28"/>
              </w:rPr>
              <w:t>○</w:t>
            </w:r>
            <w:r w:rsidRPr="00F542DE">
              <w:rPr>
                <w:rFonts w:hint="eastAsia"/>
                <w:sz w:val="28"/>
                <w:szCs w:val="28"/>
              </w:rPr>
              <w:t>F Fund</w:t>
            </w:r>
          </w:p>
        </w:tc>
        <w:tc>
          <w:tcPr>
            <w:tcW w:w="1276" w:type="dxa"/>
          </w:tcPr>
          <w:p w:rsidR="00FD5F85" w:rsidRPr="00F542DE" w:rsidRDefault="00FD5F85" w:rsidP="00BC60A6">
            <w:pPr>
              <w:pStyle w:val="5"/>
              <w:numPr>
                <w:ilvl w:val="0"/>
                <w:numId w:val="0"/>
              </w:numPr>
              <w:jc w:val="center"/>
              <w:rPr>
                <w:sz w:val="28"/>
                <w:szCs w:val="28"/>
              </w:rPr>
            </w:pPr>
            <w:r w:rsidRPr="00F542DE">
              <w:rPr>
                <w:rFonts w:hint="eastAsia"/>
                <w:sz w:val="28"/>
                <w:szCs w:val="28"/>
              </w:rPr>
              <w:t>103.9</w:t>
            </w:r>
          </w:p>
        </w:tc>
        <w:tc>
          <w:tcPr>
            <w:tcW w:w="1275" w:type="dxa"/>
          </w:tcPr>
          <w:p w:rsidR="00FD5F85" w:rsidRPr="00F542DE" w:rsidRDefault="00FD5F85" w:rsidP="00BC60A6">
            <w:pPr>
              <w:pStyle w:val="5"/>
              <w:numPr>
                <w:ilvl w:val="0"/>
                <w:numId w:val="0"/>
              </w:numPr>
              <w:jc w:val="center"/>
              <w:rPr>
                <w:sz w:val="28"/>
                <w:szCs w:val="28"/>
              </w:rPr>
            </w:pPr>
            <w:r w:rsidRPr="00F542DE">
              <w:rPr>
                <w:rFonts w:hint="eastAsia"/>
                <w:sz w:val="28"/>
                <w:szCs w:val="28"/>
              </w:rPr>
              <w:t>26.5%</w:t>
            </w:r>
          </w:p>
        </w:tc>
        <w:tc>
          <w:tcPr>
            <w:tcW w:w="3969" w:type="dxa"/>
          </w:tcPr>
          <w:p w:rsidR="00FD5F85" w:rsidRPr="00F542DE" w:rsidRDefault="00FD5F85" w:rsidP="00BC60A6">
            <w:pPr>
              <w:pStyle w:val="5"/>
              <w:numPr>
                <w:ilvl w:val="0"/>
                <w:numId w:val="0"/>
              </w:numPr>
              <w:rPr>
                <w:sz w:val="28"/>
                <w:szCs w:val="28"/>
              </w:rPr>
            </w:pPr>
            <w:r w:rsidRPr="00F542DE">
              <w:rPr>
                <w:rFonts w:hint="eastAsia"/>
                <w:sz w:val="28"/>
                <w:szCs w:val="28"/>
              </w:rPr>
              <w:t>前6年2.5%。</w:t>
            </w:r>
          </w:p>
        </w:tc>
      </w:tr>
      <w:tr w:rsidR="00FD5F85" w:rsidRPr="00F542DE" w:rsidTr="00CE38D9">
        <w:trPr>
          <w:trHeight w:val="218"/>
        </w:trPr>
        <w:tc>
          <w:tcPr>
            <w:tcW w:w="2552" w:type="dxa"/>
          </w:tcPr>
          <w:p w:rsidR="00FD5F85" w:rsidRPr="00F542DE" w:rsidRDefault="00FD5F85" w:rsidP="00FD5F85">
            <w:pPr>
              <w:pStyle w:val="5"/>
              <w:numPr>
                <w:ilvl w:val="0"/>
                <w:numId w:val="0"/>
              </w:numPr>
              <w:rPr>
                <w:sz w:val="28"/>
                <w:szCs w:val="28"/>
              </w:rPr>
            </w:pPr>
            <w:r w:rsidRPr="00F542DE">
              <w:rPr>
                <w:rFonts w:ascii="新細明體" w:eastAsia="新細明體" w:hAnsi="新細明體" w:hint="eastAsia"/>
                <w:sz w:val="28"/>
                <w:szCs w:val="28"/>
              </w:rPr>
              <w:t>○○</w:t>
            </w:r>
            <w:r w:rsidRPr="00F542DE">
              <w:rPr>
                <w:rFonts w:hint="eastAsia"/>
                <w:sz w:val="28"/>
                <w:szCs w:val="28"/>
              </w:rPr>
              <w:t>F 11</w:t>
            </w:r>
          </w:p>
        </w:tc>
        <w:tc>
          <w:tcPr>
            <w:tcW w:w="1276" w:type="dxa"/>
          </w:tcPr>
          <w:p w:rsidR="00FD5F85" w:rsidRPr="00F542DE" w:rsidRDefault="00FD5F85" w:rsidP="00BC60A6">
            <w:pPr>
              <w:pStyle w:val="5"/>
              <w:numPr>
                <w:ilvl w:val="0"/>
                <w:numId w:val="0"/>
              </w:numPr>
              <w:jc w:val="center"/>
              <w:rPr>
                <w:sz w:val="28"/>
                <w:szCs w:val="28"/>
              </w:rPr>
            </w:pPr>
            <w:r w:rsidRPr="00F542DE">
              <w:rPr>
                <w:rFonts w:hint="eastAsia"/>
                <w:sz w:val="28"/>
                <w:szCs w:val="28"/>
              </w:rPr>
              <w:t>105.2</w:t>
            </w:r>
          </w:p>
        </w:tc>
        <w:tc>
          <w:tcPr>
            <w:tcW w:w="1275" w:type="dxa"/>
          </w:tcPr>
          <w:p w:rsidR="00FD5F85" w:rsidRPr="00F542DE" w:rsidRDefault="00FD5F85" w:rsidP="00BC60A6">
            <w:pPr>
              <w:pStyle w:val="5"/>
              <w:numPr>
                <w:ilvl w:val="0"/>
                <w:numId w:val="0"/>
              </w:numPr>
              <w:jc w:val="center"/>
              <w:rPr>
                <w:sz w:val="28"/>
                <w:szCs w:val="28"/>
              </w:rPr>
            </w:pPr>
            <w:r w:rsidRPr="00F542DE">
              <w:rPr>
                <w:rFonts w:hint="eastAsia"/>
                <w:sz w:val="28"/>
                <w:szCs w:val="28"/>
              </w:rPr>
              <w:t>49.3%</w:t>
            </w:r>
          </w:p>
        </w:tc>
        <w:tc>
          <w:tcPr>
            <w:tcW w:w="3969" w:type="dxa"/>
          </w:tcPr>
          <w:p w:rsidR="00FD5F85" w:rsidRPr="00F542DE" w:rsidRDefault="00FD5F85" w:rsidP="00BC60A6">
            <w:pPr>
              <w:pStyle w:val="5"/>
              <w:numPr>
                <w:ilvl w:val="0"/>
                <w:numId w:val="0"/>
              </w:numPr>
              <w:rPr>
                <w:sz w:val="28"/>
                <w:szCs w:val="28"/>
              </w:rPr>
            </w:pPr>
            <w:r w:rsidRPr="00F542DE">
              <w:rPr>
                <w:rFonts w:hint="eastAsia"/>
                <w:sz w:val="28"/>
                <w:szCs w:val="28"/>
              </w:rPr>
              <w:t>前6年2.5%。</w:t>
            </w:r>
          </w:p>
        </w:tc>
      </w:tr>
      <w:tr w:rsidR="00FD5F85" w:rsidRPr="00F542DE" w:rsidTr="00CE38D9">
        <w:trPr>
          <w:trHeight w:val="170"/>
        </w:trPr>
        <w:tc>
          <w:tcPr>
            <w:tcW w:w="2552" w:type="dxa"/>
          </w:tcPr>
          <w:p w:rsidR="00FD5F85" w:rsidRPr="00F542DE" w:rsidRDefault="00FD5F85" w:rsidP="00FD5F85">
            <w:pPr>
              <w:pStyle w:val="5"/>
              <w:numPr>
                <w:ilvl w:val="0"/>
                <w:numId w:val="0"/>
              </w:numPr>
              <w:rPr>
                <w:sz w:val="28"/>
                <w:szCs w:val="28"/>
              </w:rPr>
            </w:pPr>
            <w:r w:rsidRPr="00F542DE">
              <w:rPr>
                <w:rFonts w:ascii="新細明體" w:eastAsia="新細明體" w:hAnsi="新細明體" w:hint="eastAsia"/>
                <w:sz w:val="28"/>
                <w:szCs w:val="28"/>
              </w:rPr>
              <w:t>○○</w:t>
            </w:r>
            <w:r w:rsidRPr="00F542DE">
              <w:rPr>
                <w:rFonts w:hint="eastAsia"/>
                <w:sz w:val="28"/>
                <w:szCs w:val="28"/>
              </w:rPr>
              <w:t>F Fund</w:t>
            </w:r>
          </w:p>
        </w:tc>
        <w:tc>
          <w:tcPr>
            <w:tcW w:w="1276" w:type="dxa"/>
          </w:tcPr>
          <w:p w:rsidR="00FD5F85" w:rsidRPr="00F542DE" w:rsidRDefault="00FD5F85" w:rsidP="00BC60A6">
            <w:pPr>
              <w:pStyle w:val="5"/>
              <w:numPr>
                <w:ilvl w:val="0"/>
                <w:numId w:val="0"/>
              </w:numPr>
              <w:jc w:val="center"/>
              <w:rPr>
                <w:sz w:val="28"/>
                <w:szCs w:val="28"/>
              </w:rPr>
            </w:pPr>
            <w:r w:rsidRPr="00F542DE">
              <w:rPr>
                <w:rFonts w:hint="eastAsia"/>
                <w:sz w:val="28"/>
                <w:szCs w:val="28"/>
              </w:rPr>
              <w:t>105.5</w:t>
            </w:r>
          </w:p>
        </w:tc>
        <w:tc>
          <w:tcPr>
            <w:tcW w:w="1275" w:type="dxa"/>
          </w:tcPr>
          <w:p w:rsidR="00FD5F85" w:rsidRPr="00F542DE" w:rsidRDefault="00FD5F85" w:rsidP="00BC60A6">
            <w:pPr>
              <w:pStyle w:val="5"/>
              <w:numPr>
                <w:ilvl w:val="0"/>
                <w:numId w:val="0"/>
              </w:numPr>
              <w:jc w:val="center"/>
              <w:rPr>
                <w:sz w:val="28"/>
                <w:szCs w:val="28"/>
              </w:rPr>
            </w:pPr>
            <w:r w:rsidRPr="00F542DE">
              <w:rPr>
                <w:rFonts w:hint="eastAsia"/>
                <w:sz w:val="28"/>
                <w:szCs w:val="28"/>
              </w:rPr>
              <w:t>10.0%</w:t>
            </w:r>
          </w:p>
        </w:tc>
        <w:tc>
          <w:tcPr>
            <w:tcW w:w="3969" w:type="dxa"/>
          </w:tcPr>
          <w:p w:rsidR="00FD5F85" w:rsidRPr="00F542DE" w:rsidRDefault="00FD5F85" w:rsidP="00BC60A6">
            <w:pPr>
              <w:pStyle w:val="5"/>
              <w:numPr>
                <w:ilvl w:val="0"/>
                <w:numId w:val="0"/>
              </w:numPr>
              <w:rPr>
                <w:sz w:val="28"/>
                <w:szCs w:val="28"/>
              </w:rPr>
            </w:pPr>
            <w:r w:rsidRPr="00F542DE">
              <w:rPr>
                <w:rFonts w:hint="eastAsia"/>
                <w:sz w:val="28"/>
                <w:szCs w:val="28"/>
              </w:rPr>
              <w:t>2.0%。</w:t>
            </w:r>
          </w:p>
        </w:tc>
      </w:tr>
      <w:tr w:rsidR="00FD5F85" w:rsidRPr="00F542DE" w:rsidTr="00CE38D9">
        <w:trPr>
          <w:trHeight w:val="182"/>
        </w:trPr>
        <w:tc>
          <w:tcPr>
            <w:tcW w:w="2552" w:type="dxa"/>
          </w:tcPr>
          <w:p w:rsidR="00FD5F85" w:rsidRPr="00F542DE" w:rsidRDefault="00FD5F85" w:rsidP="00BC60A6">
            <w:pPr>
              <w:pStyle w:val="5"/>
              <w:numPr>
                <w:ilvl w:val="0"/>
                <w:numId w:val="0"/>
              </w:numPr>
              <w:rPr>
                <w:sz w:val="28"/>
                <w:szCs w:val="28"/>
              </w:rPr>
            </w:pPr>
            <w:r w:rsidRPr="00F542DE">
              <w:rPr>
                <w:rFonts w:ascii="新細明體" w:eastAsia="新細明體" w:hAnsi="新細明體" w:hint="eastAsia"/>
                <w:sz w:val="28"/>
                <w:szCs w:val="28"/>
              </w:rPr>
              <w:t>○○</w:t>
            </w:r>
            <w:r w:rsidRPr="00F542DE">
              <w:rPr>
                <w:rFonts w:hint="eastAsia"/>
                <w:sz w:val="28"/>
                <w:szCs w:val="28"/>
              </w:rPr>
              <w:t>有限合夥</w:t>
            </w:r>
          </w:p>
        </w:tc>
        <w:tc>
          <w:tcPr>
            <w:tcW w:w="1276" w:type="dxa"/>
          </w:tcPr>
          <w:p w:rsidR="00FD5F85" w:rsidRPr="00F542DE" w:rsidRDefault="00FD5F85" w:rsidP="00BC60A6">
            <w:pPr>
              <w:pStyle w:val="5"/>
              <w:numPr>
                <w:ilvl w:val="0"/>
                <w:numId w:val="0"/>
              </w:numPr>
              <w:jc w:val="center"/>
              <w:rPr>
                <w:sz w:val="28"/>
                <w:szCs w:val="28"/>
              </w:rPr>
            </w:pPr>
            <w:r w:rsidRPr="00F542DE">
              <w:rPr>
                <w:rFonts w:hint="eastAsia"/>
                <w:sz w:val="28"/>
                <w:szCs w:val="28"/>
              </w:rPr>
              <w:t>106.9</w:t>
            </w:r>
          </w:p>
        </w:tc>
        <w:tc>
          <w:tcPr>
            <w:tcW w:w="1275" w:type="dxa"/>
          </w:tcPr>
          <w:p w:rsidR="00FD5F85" w:rsidRPr="00F542DE" w:rsidRDefault="00FD5F85" w:rsidP="00BC60A6">
            <w:pPr>
              <w:pStyle w:val="5"/>
              <w:numPr>
                <w:ilvl w:val="0"/>
                <w:numId w:val="0"/>
              </w:numPr>
              <w:jc w:val="center"/>
              <w:rPr>
                <w:sz w:val="28"/>
                <w:szCs w:val="28"/>
              </w:rPr>
            </w:pPr>
            <w:r w:rsidRPr="00F542DE">
              <w:rPr>
                <w:rFonts w:hint="eastAsia"/>
                <w:sz w:val="28"/>
                <w:szCs w:val="28"/>
              </w:rPr>
              <w:t>37.7%</w:t>
            </w:r>
          </w:p>
        </w:tc>
        <w:tc>
          <w:tcPr>
            <w:tcW w:w="3969" w:type="dxa"/>
          </w:tcPr>
          <w:p w:rsidR="00FD5F85" w:rsidRPr="00F542DE" w:rsidRDefault="00FD5F85" w:rsidP="00BC60A6">
            <w:pPr>
              <w:pStyle w:val="5"/>
              <w:numPr>
                <w:ilvl w:val="0"/>
                <w:numId w:val="0"/>
              </w:numPr>
              <w:rPr>
                <w:sz w:val="28"/>
                <w:szCs w:val="28"/>
              </w:rPr>
            </w:pPr>
            <w:r w:rsidRPr="00F542DE">
              <w:rPr>
                <w:rFonts w:hint="eastAsia"/>
                <w:sz w:val="28"/>
                <w:szCs w:val="28"/>
              </w:rPr>
              <w:t>2.0%。</w:t>
            </w:r>
          </w:p>
        </w:tc>
      </w:tr>
      <w:tr w:rsidR="00FD5F85" w:rsidRPr="00F542DE" w:rsidTr="00CE38D9">
        <w:trPr>
          <w:trHeight w:val="170"/>
        </w:trPr>
        <w:tc>
          <w:tcPr>
            <w:tcW w:w="2552" w:type="dxa"/>
          </w:tcPr>
          <w:p w:rsidR="00FD5F85" w:rsidRPr="00F542DE" w:rsidRDefault="00FD5F85" w:rsidP="00BC60A6">
            <w:pPr>
              <w:pStyle w:val="5"/>
              <w:numPr>
                <w:ilvl w:val="0"/>
                <w:numId w:val="0"/>
              </w:numPr>
              <w:rPr>
                <w:sz w:val="28"/>
                <w:szCs w:val="28"/>
              </w:rPr>
            </w:pPr>
            <w:r w:rsidRPr="00F542DE">
              <w:rPr>
                <w:rFonts w:hint="eastAsia"/>
                <w:sz w:val="28"/>
                <w:szCs w:val="28"/>
              </w:rPr>
              <w:t>L</w:t>
            </w:r>
            <w:r w:rsidRPr="00F542DE">
              <w:rPr>
                <w:rFonts w:ascii="新細明體" w:eastAsia="新細明體" w:hAnsi="新細明體" w:hint="eastAsia"/>
                <w:sz w:val="28"/>
                <w:szCs w:val="28"/>
              </w:rPr>
              <w:t>○○P</w:t>
            </w:r>
            <w:r w:rsidRPr="00F542DE">
              <w:rPr>
                <w:rFonts w:hint="eastAsia"/>
                <w:sz w:val="28"/>
                <w:szCs w:val="28"/>
              </w:rPr>
              <w:t xml:space="preserve"> Fund</w:t>
            </w:r>
          </w:p>
        </w:tc>
        <w:tc>
          <w:tcPr>
            <w:tcW w:w="1276" w:type="dxa"/>
          </w:tcPr>
          <w:p w:rsidR="00FD5F85" w:rsidRPr="00F542DE" w:rsidRDefault="00FD5F85" w:rsidP="00BC60A6">
            <w:pPr>
              <w:pStyle w:val="5"/>
              <w:numPr>
                <w:ilvl w:val="0"/>
                <w:numId w:val="0"/>
              </w:numPr>
              <w:jc w:val="center"/>
              <w:rPr>
                <w:sz w:val="28"/>
                <w:szCs w:val="28"/>
              </w:rPr>
            </w:pPr>
            <w:r w:rsidRPr="00F542DE">
              <w:rPr>
                <w:rFonts w:hint="eastAsia"/>
                <w:sz w:val="28"/>
                <w:szCs w:val="28"/>
              </w:rPr>
              <w:t>107.4</w:t>
            </w:r>
          </w:p>
        </w:tc>
        <w:tc>
          <w:tcPr>
            <w:tcW w:w="1275" w:type="dxa"/>
          </w:tcPr>
          <w:p w:rsidR="00FD5F85" w:rsidRPr="00F542DE" w:rsidRDefault="00FD5F85" w:rsidP="00BC60A6">
            <w:pPr>
              <w:pStyle w:val="5"/>
              <w:numPr>
                <w:ilvl w:val="0"/>
                <w:numId w:val="0"/>
              </w:numPr>
              <w:jc w:val="center"/>
              <w:rPr>
                <w:sz w:val="28"/>
                <w:szCs w:val="28"/>
              </w:rPr>
            </w:pPr>
            <w:r w:rsidRPr="00F542DE">
              <w:rPr>
                <w:rFonts w:hint="eastAsia"/>
                <w:sz w:val="28"/>
                <w:szCs w:val="28"/>
              </w:rPr>
              <w:t>19.9%</w:t>
            </w:r>
          </w:p>
        </w:tc>
        <w:tc>
          <w:tcPr>
            <w:tcW w:w="3969" w:type="dxa"/>
          </w:tcPr>
          <w:p w:rsidR="00FD5F85" w:rsidRPr="00F542DE" w:rsidRDefault="00FD5F85" w:rsidP="00BC60A6">
            <w:pPr>
              <w:pStyle w:val="5"/>
              <w:numPr>
                <w:ilvl w:val="0"/>
                <w:numId w:val="0"/>
              </w:numPr>
              <w:rPr>
                <w:sz w:val="28"/>
                <w:szCs w:val="28"/>
              </w:rPr>
            </w:pPr>
            <w:r w:rsidRPr="00F542DE">
              <w:rPr>
                <w:rFonts w:hint="eastAsia"/>
                <w:sz w:val="28"/>
                <w:szCs w:val="28"/>
              </w:rPr>
              <w:t>前5年2.5%。</w:t>
            </w:r>
          </w:p>
        </w:tc>
      </w:tr>
    </w:tbl>
    <w:p w:rsidR="00FD5F85" w:rsidRPr="00F542DE" w:rsidRDefault="00FD5F85" w:rsidP="003B4D18">
      <w:pPr>
        <w:pStyle w:val="4"/>
        <w:numPr>
          <w:ilvl w:val="0"/>
          <w:numId w:val="0"/>
        </w:numPr>
        <w:spacing w:afterLines="50" w:after="228"/>
      </w:pPr>
      <w:r w:rsidRPr="00F542DE">
        <w:rPr>
          <w:rFonts w:hint="eastAsia"/>
          <w:sz w:val="24"/>
          <w:szCs w:val="24"/>
        </w:rPr>
        <w:t>資料來源：本院修正自經濟部提供資料。</w:t>
      </w:r>
    </w:p>
    <w:p w:rsidR="00FD5F85" w:rsidRPr="00F542DE" w:rsidRDefault="003B4D18" w:rsidP="00FD5F85">
      <w:pPr>
        <w:pStyle w:val="4"/>
      </w:pPr>
      <w:r w:rsidRPr="00F542DE">
        <w:rPr>
          <w:rFonts w:hint="eastAsia"/>
        </w:rPr>
        <w:t>末查台杉投顧雖稱</w:t>
      </w:r>
      <w:r w:rsidR="00913A38" w:rsidRPr="00F542DE">
        <w:rPr>
          <w:rFonts w:hint="eastAsia"/>
        </w:rPr>
        <w:t>目前已募集兩檔基金，投資期(第1~5年)之實際管理費率均為2%，超過2%之0.35%及0.5%管理費，將提撥專款專用，投入人才培訓、教育訓練與鏈結國內與國際產業等計畫，並以台杉</w:t>
      </w:r>
      <w:r w:rsidR="00E4784F" w:rsidRPr="00F542DE">
        <w:rPr>
          <w:rFonts w:hint="eastAsia"/>
        </w:rPr>
        <w:t>投</w:t>
      </w:r>
      <w:r w:rsidR="00913A38" w:rsidRPr="00F542DE">
        <w:rPr>
          <w:rFonts w:hint="eastAsia"/>
        </w:rPr>
        <w:t>顧儲才及有限合夥人需求為優先。</w:t>
      </w:r>
      <w:r w:rsidR="00913A38" w:rsidRPr="00F542DE">
        <w:rPr>
          <w:rStyle w:val="aff1"/>
          <w:rFonts w:hAnsi="標楷體"/>
        </w:rPr>
        <w:footnoteReference w:id="9"/>
      </w:r>
      <w:r w:rsidRPr="00F542DE">
        <w:rPr>
          <w:rFonts w:hint="eastAsia"/>
        </w:rPr>
        <w:t>然該公司</w:t>
      </w:r>
      <w:r w:rsidR="00EC407F" w:rsidRPr="00F542DE">
        <w:rPr>
          <w:rFonts w:hint="eastAsia"/>
        </w:rPr>
        <w:t>係</w:t>
      </w:r>
      <w:r w:rsidR="00FD5F85" w:rsidRPr="00F542DE">
        <w:rPr>
          <w:rFonts w:hint="eastAsia"/>
        </w:rPr>
        <w:t>於107年8月21日第1屆第7次董事會討</w:t>
      </w:r>
      <w:r w:rsidR="00FD5F85" w:rsidRPr="00F542DE">
        <w:rPr>
          <w:rFonts w:hint="eastAsia"/>
        </w:rPr>
        <w:lastRenderedPageBreak/>
        <w:t>論事項2，就「討論近日投資人對台杉水牛二號基金修約建議之因應</w:t>
      </w:r>
      <w:r w:rsidR="00FD5F85" w:rsidRPr="00F542DE">
        <w:rPr>
          <w:rFonts w:hAnsi="標楷體" w:hint="eastAsia"/>
        </w:rPr>
        <w:t>」</w:t>
      </w:r>
      <w:r w:rsidR="00FD5F85" w:rsidRPr="00F542DE">
        <w:rPr>
          <w:rFonts w:hint="eastAsia"/>
        </w:rPr>
        <w:t>(近日有投資人對台杉水牛二號基金之管理費率、投資人監督機制、組織架構等提出修約建議)</w:t>
      </w:r>
      <w:r w:rsidR="00EC407F" w:rsidRPr="00F542DE">
        <w:rPr>
          <w:rFonts w:hint="eastAsia"/>
        </w:rPr>
        <w:t>，始就管理費</w:t>
      </w:r>
      <w:r w:rsidR="00FD5F85" w:rsidRPr="00F542DE">
        <w:rPr>
          <w:rFonts w:ascii="新細明體" w:eastAsia="新細明體" w:hAnsi="新細明體" w:hint="eastAsia"/>
        </w:rPr>
        <w:t>「</w:t>
      </w:r>
      <w:r w:rsidR="00FD5F85" w:rsidRPr="00F542DE">
        <w:rPr>
          <w:rFonts w:hint="eastAsia"/>
        </w:rPr>
        <w:t>有超過2%部分要確實執行及落實人才培訓等等事項</w:t>
      </w:r>
      <w:r w:rsidR="00FD5F85" w:rsidRPr="00F542DE">
        <w:rPr>
          <w:rFonts w:hAnsi="標楷體" w:hint="eastAsia"/>
        </w:rPr>
        <w:t>」</w:t>
      </w:r>
      <w:r w:rsidR="00EC407F" w:rsidRPr="00F542DE">
        <w:rPr>
          <w:rFonts w:hAnsi="標楷體" w:hint="eastAsia"/>
        </w:rPr>
        <w:t>經</w:t>
      </w:r>
      <w:r w:rsidR="00FD5F85" w:rsidRPr="00F542DE">
        <w:rPr>
          <w:rFonts w:hint="eastAsia"/>
        </w:rPr>
        <w:t>全體董監事無異議通過。</w:t>
      </w:r>
      <w:r w:rsidR="00EC407F" w:rsidRPr="00F542DE">
        <w:rPr>
          <w:rFonts w:hint="eastAsia"/>
        </w:rPr>
        <w:t>該公司所進行之創投人才培訓，係以系統課程及論壇分享模式進行，除於107年11月成立「台杉青年創業學院」</w:t>
      </w:r>
      <w:r w:rsidR="004626B0" w:rsidRPr="00F542DE">
        <w:rPr>
          <w:rFonts w:hint="eastAsia"/>
        </w:rPr>
        <w:t>，</w:t>
      </w:r>
      <w:r w:rsidR="00EC407F" w:rsidRPr="00F542DE">
        <w:rPr>
          <w:rFonts w:hint="eastAsia"/>
        </w:rPr>
        <w:t>後陸續開辦下列課程：生醫投資與創業課程、創投共同課程、生技投資策略班外，並</w:t>
      </w:r>
      <w:r w:rsidR="00FD5F85" w:rsidRPr="00F542DE">
        <w:rPr>
          <w:rFonts w:hAnsi="Times New Roman" w:hint="eastAsia"/>
          <w:szCs w:val="20"/>
        </w:rPr>
        <w:t>分別就產業新知、新創互動、創投趨勢等主題，邀請國內產業、新創企業家、金融創投從業人員，參與演講論壇活動。台杉投顧108</w:t>
      </w:r>
      <w:r w:rsidR="00FD5F85" w:rsidRPr="00F542DE">
        <w:rPr>
          <w:rFonts w:hAnsi="Times New Roman" w:hint="eastAsia"/>
          <w:szCs w:val="20"/>
          <w:shd w:val="clear" w:color="auto" w:fill="FFFFFF" w:themeFill="background1"/>
        </w:rPr>
        <w:t>年</w:t>
      </w:r>
      <w:r w:rsidR="00FD5F85" w:rsidRPr="00F542DE">
        <w:rPr>
          <w:rFonts w:hAnsi="Times New Roman" w:hint="eastAsia"/>
          <w:szCs w:val="20"/>
        </w:rPr>
        <w:t>1月至9月舉辦之活動彙整如表</w:t>
      </w:r>
      <w:r w:rsidR="00D30FEB">
        <w:rPr>
          <w:rFonts w:hAnsi="Times New Roman" w:hint="eastAsia"/>
          <w:szCs w:val="20"/>
        </w:rPr>
        <w:t>7</w:t>
      </w:r>
      <w:r w:rsidR="000B291F" w:rsidRPr="00F542DE">
        <w:rPr>
          <w:rFonts w:hAnsi="Times New Roman" w:hint="eastAsia"/>
          <w:szCs w:val="20"/>
        </w:rPr>
        <w:t>。</w:t>
      </w:r>
    </w:p>
    <w:p w:rsidR="00FD5F85" w:rsidRPr="00F542DE" w:rsidRDefault="00FD5F85" w:rsidP="00FD5F85">
      <w:pPr>
        <w:pStyle w:val="a4"/>
        <w:jc w:val="center"/>
        <w:rPr>
          <w:b/>
        </w:rPr>
      </w:pPr>
      <w:r w:rsidRPr="00F542DE">
        <w:rPr>
          <w:rFonts w:hint="eastAsia"/>
          <w:b/>
        </w:rPr>
        <w:t>台杉投顧108年人才培訓概況(1至9月)</w:t>
      </w:r>
    </w:p>
    <w:tbl>
      <w:tblPr>
        <w:tblStyle w:val="af8"/>
        <w:tblW w:w="8960" w:type="dxa"/>
        <w:tblInd w:w="-34" w:type="dxa"/>
        <w:tblLook w:val="04A0" w:firstRow="1" w:lastRow="0" w:firstColumn="1" w:lastColumn="0" w:noHBand="0" w:noVBand="1"/>
      </w:tblPr>
      <w:tblGrid>
        <w:gridCol w:w="709"/>
        <w:gridCol w:w="4565"/>
        <w:gridCol w:w="3686"/>
      </w:tblGrid>
      <w:tr w:rsidR="00FD5F85" w:rsidRPr="00F542DE" w:rsidTr="007612D7">
        <w:trPr>
          <w:tblHeader/>
        </w:trPr>
        <w:tc>
          <w:tcPr>
            <w:tcW w:w="709" w:type="dxa"/>
          </w:tcPr>
          <w:p w:rsidR="00FD5F85" w:rsidRPr="00F542DE" w:rsidRDefault="00FD5F85" w:rsidP="00FD5F85">
            <w:pPr>
              <w:ind w:leftChars="-50" w:left="-66" w:rightChars="-50" w:right="-170" w:hangingChars="36" w:hanging="104"/>
              <w:jc w:val="center"/>
              <w:outlineLvl w:val="1"/>
              <w:rPr>
                <w:rFonts w:hAnsi="標楷體"/>
                <w:b/>
                <w:bCs/>
                <w:spacing w:val="-6"/>
                <w:kern w:val="32"/>
                <w:sz w:val="28"/>
                <w:szCs w:val="28"/>
              </w:rPr>
            </w:pPr>
            <w:r w:rsidRPr="00F542DE">
              <w:rPr>
                <w:rFonts w:hAnsi="標楷體" w:hint="eastAsia"/>
                <w:b/>
                <w:bCs/>
                <w:spacing w:val="-6"/>
                <w:kern w:val="32"/>
                <w:sz w:val="28"/>
                <w:szCs w:val="28"/>
              </w:rPr>
              <w:t>月份</w:t>
            </w:r>
          </w:p>
        </w:tc>
        <w:tc>
          <w:tcPr>
            <w:tcW w:w="4565" w:type="dxa"/>
          </w:tcPr>
          <w:p w:rsidR="00FD5F85" w:rsidRPr="00F542DE" w:rsidRDefault="00FD5F85" w:rsidP="00FD5F85">
            <w:pPr>
              <w:ind w:leftChars="-25" w:left="-85" w:rightChars="-25" w:right="-85"/>
              <w:jc w:val="center"/>
              <w:outlineLvl w:val="1"/>
              <w:rPr>
                <w:rFonts w:hAnsi="標楷體"/>
                <w:b/>
                <w:bCs/>
                <w:spacing w:val="-6"/>
                <w:kern w:val="32"/>
                <w:sz w:val="28"/>
                <w:szCs w:val="28"/>
              </w:rPr>
            </w:pPr>
            <w:r w:rsidRPr="00F542DE">
              <w:rPr>
                <w:rFonts w:hAnsi="標楷體" w:hint="eastAsia"/>
                <w:b/>
                <w:bCs/>
                <w:spacing w:val="-6"/>
                <w:kern w:val="32"/>
                <w:sz w:val="28"/>
                <w:szCs w:val="28"/>
              </w:rPr>
              <w:t>講者</w:t>
            </w:r>
          </w:p>
        </w:tc>
        <w:tc>
          <w:tcPr>
            <w:tcW w:w="3686" w:type="dxa"/>
          </w:tcPr>
          <w:p w:rsidR="00FD5F85" w:rsidRPr="00F542DE" w:rsidRDefault="00FD5F85" w:rsidP="00FD5F85">
            <w:pPr>
              <w:ind w:leftChars="-25" w:left="-85" w:rightChars="-25" w:right="-85"/>
              <w:jc w:val="center"/>
              <w:outlineLvl w:val="1"/>
              <w:rPr>
                <w:rFonts w:hAnsi="標楷體"/>
                <w:b/>
                <w:bCs/>
                <w:spacing w:val="-6"/>
                <w:kern w:val="32"/>
                <w:sz w:val="28"/>
                <w:szCs w:val="28"/>
              </w:rPr>
            </w:pPr>
            <w:r w:rsidRPr="00F542DE">
              <w:rPr>
                <w:rFonts w:hAnsi="標楷體" w:hint="eastAsia"/>
                <w:b/>
                <w:bCs/>
                <w:spacing w:val="-6"/>
                <w:kern w:val="32"/>
                <w:sz w:val="28"/>
                <w:szCs w:val="28"/>
              </w:rPr>
              <w:t>主題</w:t>
            </w:r>
          </w:p>
        </w:tc>
      </w:tr>
      <w:tr w:rsidR="00FD5F85" w:rsidRPr="00F542DE" w:rsidTr="007612D7">
        <w:tc>
          <w:tcPr>
            <w:tcW w:w="709" w:type="dxa"/>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r w:rsidRPr="00F542DE">
              <w:rPr>
                <w:rFonts w:hAnsi="標楷體" w:hint="eastAsia"/>
                <w:bCs/>
                <w:spacing w:val="-6"/>
                <w:kern w:val="32"/>
                <w:sz w:val="28"/>
                <w:szCs w:val="28"/>
              </w:rPr>
              <w:t>一</w:t>
            </w: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bCs/>
                <w:spacing w:val="-6"/>
                <w:kern w:val="32"/>
                <w:sz w:val="28"/>
                <w:szCs w:val="28"/>
              </w:rPr>
              <w:t>產業新知</w:t>
            </w:r>
            <w:r w:rsidRPr="00F542DE">
              <w:rPr>
                <w:rFonts w:hAnsi="標楷體" w:hint="eastAsia"/>
                <w:bCs/>
                <w:spacing w:val="-6"/>
                <w:kern w:val="32"/>
                <w:sz w:val="28"/>
                <w:szCs w:val="28"/>
              </w:rPr>
              <w:t>/美國福特汽車的策略投資主管</w:t>
            </w:r>
            <w:r w:rsidRPr="00F542DE">
              <w:rPr>
                <w:rFonts w:hAnsi="標楷體" w:hint="eastAsia"/>
                <w:b/>
                <w:bCs/>
                <w:spacing w:val="-6"/>
                <w:kern w:val="32"/>
                <w:sz w:val="28"/>
                <w:szCs w:val="28"/>
              </w:rPr>
              <w:t xml:space="preserve">Dr. </w:t>
            </w:r>
            <w:r w:rsidR="00CD5BBC">
              <w:rPr>
                <w:rFonts w:hAnsi="標楷體" w:hint="eastAsia"/>
                <w:sz w:val="28"/>
                <w:szCs w:val="28"/>
              </w:rPr>
              <w:t>○</w:t>
            </w:r>
            <w:r w:rsidRPr="00F542DE">
              <w:rPr>
                <w:rFonts w:hAnsi="標楷體" w:hint="eastAsia"/>
                <w:b/>
                <w:bCs/>
                <w:spacing w:val="-6"/>
                <w:kern w:val="32"/>
                <w:sz w:val="28"/>
                <w:szCs w:val="28"/>
              </w:rPr>
              <w:t xml:space="preserve">、Mr. </w:t>
            </w:r>
            <w:r w:rsidR="00CD5BBC">
              <w:rPr>
                <w:rFonts w:hAnsi="標楷體" w:hint="eastAsia"/>
                <w:sz w:val="28"/>
                <w:szCs w:val="28"/>
              </w:rPr>
              <w:t>○</w:t>
            </w:r>
          </w:p>
        </w:tc>
        <w:tc>
          <w:tcPr>
            <w:tcW w:w="3686" w:type="dxa"/>
            <w:vAlign w:val="center"/>
          </w:tcPr>
          <w:p w:rsidR="007D4FB0" w:rsidRPr="00F542DE" w:rsidRDefault="00FD5F85" w:rsidP="007D4FB0">
            <w:pPr>
              <w:ind w:leftChars="-25" w:left="-85" w:rightChars="-25" w:right="-85"/>
              <w:jc w:val="distribute"/>
              <w:outlineLvl w:val="1"/>
              <w:rPr>
                <w:rFonts w:hAnsi="標楷體"/>
                <w:b/>
                <w:bCs/>
                <w:spacing w:val="-6"/>
                <w:kern w:val="32"/>
                <w:sz w:val="28"/>
                <w:szCs w:val="28"/>
              </w:rPr>
            </w:pPr>
            <w:r w:rsidRPr="00F542DE">
              <w:rPr>
                <w:rFonts w:hAnsi="標楷體" w:hint="eastAsia"/>
                <w:b/>
                <w:bCs/>
                <w:spacing w:val="-6"/>
                <w:kern w:val="32"/>
                <w:sz w:val="28"/>
                <w:szCs w:val="28"/>
              </w:rPr>
              <w:t>福特汽車推動企業投資和</w:t>
            </w:r>
          </w:p>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創新的成功模式</w:t>
            </w:r>
          </w:p>
        </w:tc>
      </w:tr>
      <w:tr w:rsidR="00FD5F85" w:rsidRPr="00F542DE" w:rsidTr="007612D7">
        <w:tc>
          <w:tcPr>
            <w:tcW w:w="709" w:type="dxa"/>
            <w:vMerge w:val="restart"/>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r w:rsidRPr="00F542DE">
              <w:rPr>
                <w:rFonts w:hAnsi="標楷體" w:hint="eastAsia"/>
                <w:bCs/>
                <w:spacing w:val="-6"/>
                <w:kern w:val="32"/>
                <w:sz w:val="28"/>
                <w:szCs w:val="28"/>
              </w:rPr>
              <w:t>三</w:t>
            </w: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產業新知/台大特聘教授</w:t>
            </w:r>
            <w:r w:rsidRPr="00F542DE">
              <w:rPr>
                <w:rFonts w:hAnsi="標楷體" w:hint="eastAsia"/>
                <w:b/>
                <w:bCs/>
                <w:spacing w:val="-6"/>
                <w:kern w:val="32"/>
                <w:sz w:val="28"/>
                <w:szCs w:val="28"/>
              </w:rPr>
              <w:t>羅</w:t>
            </w:r>
            <w:r w:rsidR="00CD5BBC">
              <w:rPr>
                <w:rFonts w:hAnsi="標楷體" w:hint="eastAsia"/>
                <w:sz w:val="28"/>
                <w:szCs w:val="28"/>
              </w:rPr>
              <w:t>○</w:t>
            </w:r>
            <w:r w:rsidRPr="00F542DE">
              <w:rPr>
                <w:rFonts w:hAnsi="標楷體" w:hint="eastAsia"/>
                <w:b/>
                <w:bCs/>
                <w:spacing w:val="-6"/>
                <w:kern w:val="32"/>
                <w:sz w:val="28"/>
                <w:szCs w:val="28"/>
              </w:rPr>
              <w:t>權</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AIoT與機器人引領智慧製造發展新趨勢及新商機</w:t>
            </w:r>
          </w:p>
        </w:tc>
      </w:tr>
      <w:tr w:rsidR="00FD5F85" w:rsidRPr="00F542DE" w:rsidTr="007612D7">
        <w:tc>
          <w:tcPr>
            <w:tcW w:w="709" w:type="dxa"/>
            <w:vMerge/>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p>
        </w:tc>
        <w:tc>
          <w:tcPr>
            <w:tcW w:w="4565" w:type="dxa"/>
            <w:shd w:val="clear" w:color="auto" w:fill="auto"/>
          </w:tcPr>
          <w:p w:rsidR="00FD5F85" w:rsidRPr="00F542DE" w:rsidRDefault="00FD5F85" w:rsidP="00BC60A6">
            <w:pPr>
              <w:overflowPunct/>
              <w:autoSpaceDE/>
              <w:autoSpaceDN/>
              <w:jc w:val="left"/>
              <w:rPr>
                <w:rFonts w:hAnsi="標楷體"/>
                <w:bCs/>
                <w:sz w:val="28"/>
                <w:szCs w:val="28"/>
              </w:rPr>
            </w:pPr>
            <w:r w:rsidRPr="00F542DE">
              <w:rPr>
                <w:rFonts w:hAnsi="標楷體" w:hint="eastAsia"/>
                <w:bCs/>
                <w:sz w:val="28"/>
                <w:szCs w:val="28"/>
              </w:rPr>
              <w:t>產業新知/</w:t>
            </w:r>
          </w:p>
          <w:p w:rsidR="00FD5F85" w:rsidRPr="00F542DE" w:rsidRDefault="00FD5F85" w:rsidP="00BC60A6">
            <w:pPr>
              <w:overflowPunct/>
              <w:autoSpaceDE/>
              <w:autoSpaceDN/>
              <w:jc w:val="left"/>
              <w:rPr>
                <w:rFonts w:hAnsi="標楷體"/>
                <w:bCs/>
                <w:sz w:val="28"/>
                <w:szCs w:val="28"/>
              </w:rPr>
            </w:pPr>
            <w:r w:rsidRPr="00F542DE">
              <w:rPr>
                <w:rFonts w:hAnsi="標楷體" w:hint="eastAsia"/>
                <w:bCs/>
                <w:sz w:val="28"/>
                <w:szCs w:val="28"/>
              </w:rPr>
              <w:t>新源生物科技執行長與首席科學家：</w:t>
            </w:r>
            <w:r w:rsidRPr="00F542DE">
              <w:rPr>
                <w:rFonts w:hAnsi="標楷體" w:hint="eastAsia"/>
                <w:b/>
                <w:sz w:val="28"/>
                <w:szCs w:val="28"/>
              </w:rPr>
              <w:t>Dr</w:t>
            </w:r>
            <w:r w:rsidR="00CD5BBC">
              <w:rPr>
                <w:rFonts w:hAnsi="標楷體" w:hint="eastAsia"/>
                <w:b/>
                <w:sz w:val="28"/>
                <w:szCs w:val="28"/>
              </w:rPr>
              <w:t>.</w:t>
            </w:r>
            <w:r w:rsidR="00CD5BBC">
              <w:rPr>
                <w:rFonts w:hAnsi="標楷體" w:hint="eastAsia"/>
                <w:sz w:val="28"/>
                <w:szCs w:val="28"/>
              </w:rPr>
              <w:t>○</w:t>
            </w:r>
            <w:r w:rsidRPr="00F542DE">
              <w:rPr>
                <w:rFonts w:hAnsi="標楷體" w:hint="eastAsia"/>
                <w:b/>
                <w:sz w:val="28"/>
                <w:szCs w:val="28"/>
              </w:rPr>
              <w:t>、Dr.</w:t>
            </w:r>
            <w:r w:rsidR="00CD5BBC">
              <w:rPr>
                <w:rFonts w:hAnsi="標楷體" w:hint="eastAsia"/>
                <w:sz w:val="28"/>
                <w:szCs w:val="28"/>
              </w:rPr>
              <w:t>○</w:t>
            </w:r>
          </w:p>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kern w:val="32"/>
                <w:sz w:val="28"/>
                <w:szCs w:val="28"/>
              </w:rPr>
              <w:t>瑞穗證券投資事業部門董事。</w:t>
            </w:r>
            <w:r w:rsidRPr="00F542DE">
              <w:rPr>
                <w:rFonts w:hAnsi="標楷體" w:hint="eastAsia"/>
                <w:b/>
                <w:bCs/>
                <w:kern w:val="32"/>
                <w:sz w:val="28"/>
                <w:szCs w:val="28"/>
              </w:rPr>
              <w:t xml:space="preserve">Mr. </w:t>
            </w:r>
            <w:r w:rsidR="00CD5BBC">
              <w:rPr>
                <w:rFonts w:hAnsi="標楷體" w:hint="eastAsia"/>
                <w:sz w:val="28"/>
                <w:szCs w:val="28"/>
              </w:rPr>
              <w:t>○</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眼睛新藥的開發與挑戰</w:t>
            </w:r>
          </w:p>
        </w:tc>
      </w:tr>
      <w:tr w:rsidR="00FD5F85" w:rsidRPr="00F542DE" w:rsidTr="007612D7">
        <w:tc>
          <w:tcPr>
            <w:tcW w:w="709" w:type="dxa"/>
            <w:vMerge/>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新創分享/萊</w:t>
            </w:r>
            <w:r w:rsidR="00CD5BBC">
              <w:rPr>
                <w:rFonts w:hAnsi="標楷體" w:hint="eastAsia"/>
                <w:sz w:val="28"/>
                <w:szCs w:val="28"/>
              </w:rPr>
              <w:t>○</w:t>
            </w:r>
            <w:r w:rsidRPr="00F542DE">
              <w:rPr>
                <w:rFonts w:hAnsi="標楷體" w:hint="eastAsia"/>
                <w:bCs/>
                <w:spacing w:val="-6"/>
                <w:kern w:val="32"/>
                <w:sz w:val="28"/>
                <w:szCs w:val="28"/>
              </w:rPr>
              <w:t>醫療器材、鈦</w:t>
            </w:r>
            <w:r w:rsidR="00CD5BBC">
              <w:rPr>
                <w:rFonts w:hAnsi="標楷體" w:hint="eastAsia"/>
                <w:sz w:val="28"/>
                <w:szCs w:val="28"/>
              </w:rPr>
              <w:t>○</w:t>
            </w:r>
            <w:r w:rsidRPr="00F542DE">
              <w:rPr>
                <w:rFonts w:hAnsi="標楷體" w:hint="eastAsia"/>
                <w:bCs/>
                <w:spacing w:val="-6"/>
                <w:kern w:val="32"/>
                <w:sz w:val="28"/>
                <w:szCs w:val="28"/>
              </w:rPr>
              <w:t>生物科技、邦</w:t>
            </w:r>
            <w:r w:rsidR="00CD5BBC">
              <w:rPr>
                <w:rFonts w:hAnsi="標楷體" w:hint="eastAsia"/>
                <w:sz w:val="28"/>
                <w:szCs w:val="28"/>
              </w:rPr>
              <w:t>○</w:t>
            </w:r>
            <w:r w:rsidRPr="00F542DE">
              <w:rPr>
                <w:rFonts w:hAnsi="標楷體" w:hint="eastAsia"/>
                <w:bCs/>
                <w:spacing w:val="-6"/>
                <w:kern w:val="32"/>
                <w:sz w:val="28"/>
                <w:szCs w:val="28"/>
              </w:rPr>
              <w:t>生技、安</w:t>
            </w:r>
            <w:r w:rsidR="00CD5BBC">
              <w:rPr>
                <w:rFonts w:hAnsi="標楷體" w:hint="eastAsia"/>
                <w:sz w:val="28"/>
                <w:szCs w:val="28"/>
              </w:rPr>
              <w:t>○</w:t>
            </w:r>
            <w:r w:rsidRPr="00F542DE">
              <w:rPr>
                <w:rFonts w:hAnsi="標楷體" w:hint="eastAsia"/>
                <w:bCs/>
                <w:spacing w:val="-6"/>
                <w:kern w:val="32"/>
                <w:sz w:val="28"/>
                <w:szCs w:val="28"/>
              </w:rPr>
              <w:t>生科</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台杉新創企業分享會/科技部STB學員新創經驗分享</w:t>
            </w:r>
          </w:p>
        </w:tc>
      </w:tr>
      <w:tr w:rsidR="00FD5F85" w:rsidRPr="00F542DE" w:rsidTr="007612D7">
        <w:tc>
          <w:tcPr>
            <w:tcW w:w="709" w:type="dxa"/>
            <w:vMerge w:val="restart"/>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r w:rsidRPr="00F542DE">
              <w:rPr>
                <w:rFonts w:hAnsi="標楷體" w:hint="eastAsia"/>
                <w:bCs/>
                <w:spacing w:val="-6"/>
                <w:kern w:val="32"/>
                <w:sz w:val="28"/>
                <w:szCs w:val="28"/>
              </w:rPr>
              <w:t>四</w:t>
            </w:r>
          </w:p>
        </w:tc>
        <w:tc>
          <w:tcPr>
            <w:tcW w:w="4565" w:type="dxa"/>
          </w:tcPr>
          <w:p w:rsidR="007D4FB0" w:rsidRPr="00F542DE" w:rsidRDefault="00FD5F85" w:rsidP="007D4FB0">
            <w:pPr>
              <w:overflowPunct/>
              <w:autoSpaceDE/>
              <w:autoSpaceDN/>
              <w:ind w:leftChars="-25" w:left="-85" w:rightChars="-25" w:right="-85"/>
              <w:jc w:val="distribute"/>
              <w:rPr>
                <w:rFonts w:hAnsi="標楷體"/>
                <w:bCs/>
                <w:spacing w:val="-6"/>
                <w:sz w:val="28"/>
                <w:szCs w:val="28"/>
              </w:rPr>
            </w:pPr>
            <w:r w:rsidRPr="00F542DE">
              <w:rPr>
                <w:rFonts w:hAnsi="標楷體" w:hint="eastAsia"/>
                <w:bCs/>
                <w:spacing w:val="-6"/>
                <w:sz w:val="28"/>
                <w:szCs w:val="28"/>
              </w:rPr>
              <w:t>產業新知/中研院資訊科學所所長</w:t>
            </w:r>
          </w:p>
          <w:p w:rsidR="00FD5F85" w:rsidRPr="00F542DE" w:rsidRDefault="00FD5F85" w:rsidP="007D4FB0">
            <w:pPr>
              <w:overflowPunct/>
              <w:autoSpaceDE/>
              <w:autoSpaceDN/>
              <w:ind w:leftChars="-25" w:left="-85" w:rightChars="-25" w:right="-85"/>
              <w:jc w:val="left"/>
              <w:rPr>
                <w:rFonts w:hAnsi="標楷體"/>
                <w:bCs/>
                <w:spacing w:val="-6"/>
                <w:kern w:val="32"/>
                <w:sz w:val="28"/>
                <w:szCs w:val="28"/>
              </w:rPr>
            </w:pPr>
            <w:r w:rsidRPr="00F542DE">
              <w:rPr>
                <w:rFonts w:hAnsi="標楷體" w:hint="eastAsia"/>
                <w:b/>
                <w:bCs/>
                <w:spacing w:val="-6"/>
                <w:kern w:val="32"/>
                <w:sz w:val="28"/>
                <w:szCs w:val="28"/>
              </w:rPr>
              <w:t>廖</w:t>
            </w:r>
            <w:r w:rsidR="00CD5BBC">
              <w:rPr>
                <w:rFonts w:hAnsi="標楷體" w:hint="eastAsia"/>
                <w:sz w:val="28"/>
                <w:szCs w:val="28"/>
              </w:rPr>
              <w:t>○</w:t>
            </w:r>
            <w:r w:rsidRPr="00F542DE">
              <w:rPr>
                <w:rFonts w:hAnsi="標楷體" w:hint="eastAsia"/>
                <w:b/>
                <w:bCs/>
                <w:spacing w:val="-6"/>
                <w:kern w:val="32"/>
                <w:sz w:val="28"/>
                <w:szCs w:val="28"/>
              </w:rPr>
              <w:t>源博士</w:t>
            </w:r>
          </w:p>
        </w:tc>
        <w:tc>
          <w:tcPr>
            <w:tcW w:w="3686" w:type="dxa"/>
            <w:vAlign w:val="center"/>
          </w:tcPr>
          <w:p w:rsidR="007D4FB0" w:rsidRPr="00F542DE" w:rsidRDefault="00FD5F85" w:rsidP="007D4FB0">
            <w:pPr>
              <w:ind w:leftChars="-25" w:left="-85" w:rightChars="-25" w:right="-85"/>
              <w:jc w:val="distribute"/>
              <w:outlineLvl w:val="1"/>
              <w:rPr>
                <w:rFonts w:hAnsi="標楷體"/>
                <w:b/>
                <w:bCs/>
                <w:spacing w:val="-6"/>
                <w:kern w:val="32"/>
                <w:sz w:val="28"/>
                <w:szCs w:val="28"/>
              </w:rPr>
            </w:pPr>
            <w:r w:rsidRPr="00F542DE">
              <w:rPr>
                <w:rFonts w:hAnsi="標楷體" w:hint="eastAsia"/>
                <w:b/>
                <w:bCs/>
                <w:spacing w:val="-6"/>
                <w:kern w:val="32"/>
                <w:sz w:val="28"/>
                <w:szCs w:val="28"/>
              </w:rPr>
              <w:t>AI人工智慧的產業應用及</w:t>
            </w:r>
          </w:p>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帶來的社會貢獻</w:t>
            </w:r>
          </w:p>
        </w:tc>
      </w:tr>
      <w:tr w:rsidR="00FD5F85" w:rsidRPr="00F542DE" w:rsidTr="007612D7">
        <w:tc>
          <w:tcPr>
            <w:tcW w:w="709" w:type="dxa"/>
            <w:vMerge/>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野村總合證券首席經濟學家：</w:t>
            </w:r>
            <w:r w:rsidRPr="00F542DE">
              <w:rPr>
                <w:rFonts w:hAnsi="標楷體"/>
                <w:b/>
                <w:bCs/>
                <w:spacing w:val="-6"/>
                <w:kern w:val="32"/>
                <w:sz w:val="28"/>
                <w:szCs w:val="28"/>
              </w:rPr>
              <w:t>辜朝明</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 xml:space="preserve">兩強相對 </w:t>
            </w:r>
            <w:r w:rsidRPr="00F542DE">
              <w:rPr>
                <w:rFonts w:hAnsi="標楷體"/>
                <w:b/>
                <w:bCs/>
                <w:spacing w:val="-6"/>
                <w:kern w:val="32"/>
                <w:sz w:val="28"/>
                <w:szCs w:val="28"/>
              </w:rPr>
              <w:t>台灣經</w:t>
            </w:r>
            <w:r w:rsidRPr="00F542DE">
              <w:rPr>
                <w:rFonts w:hAnsi="標楷體" w:hint="eastAsia"/>
                <w:b/>
                <w:bCs/>
                <w:spacing w:val="-6"/>
                <w:kern w:val="32"/>
                <w:sz w:val="28"/>
                <w:szCs w:val="28"/>
              </w:rPr>
              <w:t>濟下一步</w:t>
            </w:r>
          </w:p>
        </w:tc>
      </w:tr>
      <w:tr w:rsidR="00FD5F85" w:rsidRPr="00F542DE" w:rsidTr="007612D7">
        <w:tc>
          <w:tcPr>
            <w:tcW w:w="709" w:type="dxa"/>
            <w:vMerge/>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產業新知/AEye公司總裁</w:t>
            </w:r>
            <w:r w:rsidR="00CD5BBC">
              <w:rPr>
                <w:rFonts w:hAnsi="標楷體" w:hint="eastAsia"/>
                <w:sz w:val="28"/>
                <w:szCs w:val="28"/>
              </w:rPr>
              <w:t>○</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光達(Lidar)在自駕車技術的發展與應用</w:t>
            </w:r>
          </w:p>
        </w:tc>
      </w:tr>
      <w:tr w:rsidR="00FD5F85" w:rsidRPr="00F542DE" w:rsidTr="007612D7">
        <w:tc>
          <w:tcPr>
            <w:tcW w:w="709" w:type="dxa"/>
            <w:vMerge w:val="restart"/>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r w:rsidRPr="00F542DE">
              <w:rPr>
                <w:rFonts w:hAnsi="標楷體" w:hint="eastAsia"/>
                <w:bCs/>
                <w:spacing w:val="-6"/>
                <w:kern w:val="32"/>
                <w:sz w:val="28"/>
                <w:szCs w:val="28"/>
              </w:rPr>
              <w:t>五</w:t>
            </w: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創投觀點/</w:t>
            </w:r>
            <w:r w:rsidRPr="00F542DE">
              <w:rPr>
                <w:rFonts w:hAnsi="標楷體" w:hint="eastAsia"/>
                <w:b/>
                <w:bCs/>
                <w:spacing w:val="-6"/>
                <w:kern w:val="32"/>
                <w:sz w:val="28"/>
                <w:szCs w:val="28"/>
              </w:rPr>
              <w:t>鄭</w:t>
            </w:r>
            <w:r w:rsidR="00CD5BBC">
              <w:rPr>
                <w:rFonts w:hAnsi="標楷體" w:hint="eastAsia"/>
                <w:sz w:val="28"/>
                <w:szCs w:val="28"/>
              </w:rPr>
              <w:t>○</w:t>
            </w:r>
            <w:r w:rsidRPr="00F542DE">
              <w:rPr>
                <w:rFonts w:hAnsi="標楷體" w:hint="eastAsia"/>
                <w:b/>
                <w:bCs/>
                <w:spacing w:val="-6"/>
                <w:kern w:val="32"/>
                <w:sz w:val="28"/>
                <w:szCs w:val="28"/>
              </w:rPr>
              <w:t>凱與楊</w:t>
            </w:r>
            <w:r w:rsidR="00CD5BBC">
              <w:rPr>
                <w:rFonts w:hAnsi="標楷體" w:hint="eastAsia"/>
                <w:sz w:val="28"/>
                <w:szCs w:val="28"/>
              </w:rPr>
              <w:t>○</w:t>
            </w:r>
            <w:r w:rsidRPr="00F542DE">
              <w:rPr>
                <w:rFonts w:hAnsi="標楷體" w:hint="eastAsia"/>
                <w:b/>
                <w:bCs/>
                <w:spacing w:val="-6"/>
                <w:kern w:val="32"/>
                <w:sz w:val="28"/>
                <w:szCs w:val="28"/>
              </w:rPr>
              <w:t>航</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從CVC到VC，產業轉型與新創投資</w:t>
            </w:r>
          </w:p>
        </w:tc>
      </w:tr>
      <w:tr w:rsidR="00FD5F85" w:rsidRPr="00F542DE" w:rsidTr="007612D7">
        <w:tc>
          <w:tcPr>
            <w:tcW w:w="709" w:type="dxa"/>
            <w:vMerge/>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bCs/>
                <w:spacing w:val="-6"/>
                <w:kern w:val="32"/>
                <w:sz w:val="28"/>
                <w:szCs w:val="28"/>
              </w:rPr>
              <w:t>新創分享</w:t>
            </w:r>
            <w:r w:rsidRPr="00F542DE">
              <w:rPr>
                <w:rFonts w:hAnsi="標楷體" w:hint="eastAsia"/>
                <w:bCs/>
                <w:spacing w:val="-6"/>
                <w:kern w:val="32"/>
                <w:sz w:val="28"/>
                <w:szCs w:val="28"/>
              </w:rPr>
              <w:t>/</w:t>
            </w:r>
            <w:r w:rsidRPr="00F542DE">
              <w:rPr>
                <w:rFonts w:hAnsi="標楷體"/>
                <w:bCs/>
                <w:spacing w:val="-6"/>
                <w:kern w:val="32"/>
                <w:sz w:val="28"/>
                <w:szCs w:val="28"/>
              </w:rPr>
              <w:t>矽谷天使投資人</w:t>
            </w:r>
            <w:r w:rsidRPr="00F542DE">
              <w:rPr>
                <w:rFonts w:hAnsi="標楷體" w:hint="eastAsia"/>
                <w:bCs/>
                <w:spacing w:val="-6"/>
                <w:kern w:val="32"/>
                <w:sz w:val="28"/>
                <w:szCs w:val="28"/>
              </w:rPr>
              <w:t>：</w:t>
            </w:r>
            <w:r w:rsidRPr="00F542DE">
              <w:rPr>
                <w:rFonts w:hAnsi="標楷體" w:hint="eastAsia"/>
                <w:b/>
                <w:bCs/>
                <w:spacing w:val="-6"/>
                <w:kern w:val="32"/>
                <w:sz w:val="28"/>
                <w:szCs w:val="28"/>
              </w:rPr>
              <w:t>鄭</w:t>
            </w:r>
            <w:r w:rsidR="00CD5BBC">
              <w:rPr>
                <w:rFonts w:hAnsi="標楷體" w:hint="eastAsia"/>
                <w:sz w:val="28"/>
                <w:szCs w:val="28"/>
              </w:rPr>
              <w:t>○</w:t>
            </w:r>
            <w:r w:rsidRPr="00F542DE">
              <w:rPr>
                <w:rFonts w:hAnsi="標楷體" w:hint="eastAsia"/>
                <w:b/>
                <w:bCs/>
                <w:spacing w:val="-6"/>
                <w:kern w:val="32"/>
                <w:sz w:val="28"/>
                <w:szCs w:val="28"/>
              </w:rPr>
              <w:t>凱</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VC如何看新創</w:t>
            </w:r>
          </w:p>
        </w:tc>
      </w:tr>
      <w:tr w:rsidR="00FD5F85" w:rsidRPr="00F542DE" w:rsidTr="007612D7">
        <w:tc>
          <w:tcPr>
            <w:tcW w:w="709" w:type="dxa"/>
            <w:vMerge/>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創投觀點/</w:t>
            </w:r>
            <w:r w:rsidRPr="00F542DE">
              <w:rPr>
                <w:rFonts w:hAnsi="標楷體" w:hint="eastAsia"/>
                <w:b/>
                <w:bCs/>
                <w:spacing w:val="-6"/>
                <w:kern w:val="32"/>
                <w:sz w:val="28"/>
                <w:szCs w:val="28"/>
              </w:rPr>
              <w:t>陳</w:t>
            </w:r>
            <w:r w:rsidR="00CD5BBC">
              <w:rPr>
                <w:rFonts w:hAnsi="標楷體" w:hint="eastAsia"/>
                <w:sz w:val="28"/>
                <w:szCs w:val="28"/>
              </w:rPr>
              <w:t>○</w:t>
            </w:r>
            <w:r w:rsidRPr="00F542DE">
              <w:rPr>
                <w:rFonts w:hAnsi="標楷體" w:hint="eastAsia"/>
                <w:b/>
                <w:bCs/>
                <w:spacing w:val="-6"/>
                <w:kern w:val="32"/>
                <w:sz w:val="28"/>
                <w:szCs w:val="28"/>
              </w:rPr>
              <w:t>福與翁</w:t>
            </w:r>
            <w:r w:rsidR="00CD5BBC">
              <w:rPr>
                <w:rFonts w:hAnsi="標楷體" w:hint="eastAsia"/>
                <w:sz w:val="28"/>
                <w:szCs w:val="28"/>
              </w:rPr>
              <w:t>○</w:t>
            </w:r>
            <w:r w:rsidRPr="00F542DE">
              <w:rPr>
                <w:rFonts w:hAnsi="標楷體" w:hint="eastAsia"/>
                <w:b/>
                <w:bCs/>
                <w:spacing w:val="-6"/>
                <w:kern w:val="32"/>
                <w:sz w:val="28"/>
                <w:szCs w:val="28"/>
              </w:rPr>
              <w:t>盛</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天使投資之必要</w:t>
            </w:r>
          </w:p>
        </w:tc>
      </w:tr>
      <w:tr w:rsidR="00FD5F85" w:rsidRPr="00F542DE" w:rsidTr="007612D7">
        <w:tc>
          <w:tcPr>
            <w:tcW w:w="709" w:type="dxa"/>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r w:rsidRPr="00F542DE">
              <w:rPr>
                <w:rFonts w:hAnsi="標楷體" w:hint="eastAsia"/>
                <w:bCs/>
                <w:spacing w:val="-6"/>
                <w:kern w:val="32"/>
                <w:sz w:val="28"/>
                <w:szCs w:val="28"/>
              </w:rPr>
              <w:t>六</w:t>
            </w: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創投觀點/</w:t>
            </w:r>
            <w:r w:rsidRPr="00F542DE">
              <w:rPr>
                <w:rFonts w:hAnsi="標楷體" w:hint="eastAsia"/>
                <w:b/>
                <w:bCs/>
                <w:spacing w:val="-6"/>
                <w:kern w:val="32"/>
                <w:sz w:val="28"/>
                <w:szCs w:val="28"/>
              </w:rPr>
              <w:t>方</w:t>
            </w:r>
            <w:r w:rsidR="00CD5BBC">
              <w:rPr>
                <w:rFonts w:hAnsi="標楷體" w:hint="eastAsia"/>
                <w:sz w:val="28"/>
                <w:szCs w:val="28"/>
              </w:rPr>
              <w:t>○</w:t>
            </w:r>
            <w:r w:rsidRPr="00F542DE">
              <w:rPr>
                <w:rFonts w:hAnsi="標楷體" w:hint="eastAsia"/>
                <w:b/>
                <w:bCs/>
                <w:spacing w:val="-6"/>
                <w:kern w:val="32"/>
                <w:sz w:val="28"/>
                <w:szCs w:val="28"/>
              </w:rPr>
              <w:t>仁與黃</w:t>
            </w:r>
            <w:r w:rsidR="00CD5BBC">
              <w:rPr>
                <w:rFonts w:hAnsi="標楷體" w:hint="eastAsia"/>
                <w:sz w:val="28"/>
                <w:szCs w:val="28"/>
              </w:rPr>
              <w:t>○</w:t>
            </w:r>
            <w:r w:rsidRPr="00F542DE">
              <w:rPr>
                <w:rFonts w:hAnsi="標楷體" w:hint="eastAsia"/>
                <w:b/>
                <w:bCs/>
                <w:spacing w:val="-6"/>
                <w:kern w:val="32"/>
                <w:sz w:val="28"/>
                <w:szCs w:val="28"/>
              </w:rPr>
              <w:t>燦</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I</w:t>
            </w:r>
            <w:r w:rsidRPr="00F542DE">
              <w:rPr>
                <w:rFonts w:hAnsi="標楷體"/>
                <w:b/>
                <w:bCs/>
                <w:spacing w:val="-6"/>
                <w:kern w:val="32"/>
                <w:sz w:val="28"/>
                <w:szCs w:val="28"/>
              </w:rPr>
              <w:t>PO魔法不再</w:t>
            </w:r>
            <w:r w:rsidRPr="00F542DE">
              <w:rPr>
                <w:rFonts w:hAnsi="標楷體" w:hint="eastAsia"/>
                <w:b/>
                <w:bCs/>
                <w:spacing w:val="-6"/>
                <w:kern w:val="32"/>
                <w:sz w:val="28"/>
                <w:szCs w:val="28"/>
              </w:rPr>
              <w:t>，C</w:t>
            </w:r>
            <w:r w:rsidRPr="00F542DE">
              <w:rPr>
                <w:rFonts w:hAnsi="標楷體"/>
                <w:b/>
                <w:bCs/>
                <w:spacing w:val="-6"/>
                <w:kern w:val="32"/>
                <w:sz w:val="28"/>
                <w:szCs w:val="28"/>
              </w:rPr>
              <w:t>VC趁勢崛起</w:t>
            </w:r>
          </w:p>
        </w:tc>
      </w:tr>
      <w:tr w:rsidR="00FD5F85" w:rsidRPr="00F542DE" w:rsidTr="007612D7">
        <w:tc>
          <w:tcPr>
            <w:tcW w:w="709" w:type="dxa"/>
            <w:vMerge w:val="restart"/>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r w:rsidRPr="00F542DE">
              <w:rPr>
                <w:rFonts w:hAnsi="標楷體" w:hint="eastAsia"/>
                <w:bCs/>
                <w:spacing w:val="-6"/>
                <w:kern w:val="32"/>
                <w:sz w:val="28"/>
                <w:szCs w:val="28"/>
              </w:rPr>
              <w:t>七</w:t>
            </w: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新創分享/</w:t>
            </w:r>
            <w:r w:rsidRPr="00F542DE">
              <w:rPr>
                <w:rFonts w:hAnsi="標楷體"/>
                <w:bCs/>
                <w:spacing w:val="-6"/>
                <w:kern w:val="32"/>
                <w:sz w:val="28"/>
                <w:szCs w:val="28"/>
              </w:rPr>
              <w:t>橡子園創投合夥人</w:t>
            </w:r>
            <w:r w:rsidRPr="00F542DE">
              <w:rPr>
                <w:rFonts w:hAnsi="標楷體"/>
                <w:b/>
                <w:bCs/>
                <w:spacing w:val="-6"/>
                <w:kern w:val="32"/>
                <w:sz w:val="28"/>
                <w:szCs w:val="28"/>
              </w:rPr>
              <w:t>瞿志豪</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VC如何看新創</w:t>
            </w:r>
          </w:p>
        </w:tc>
      </w:tr>
      <w:tr w:rsidR="00FD5F85" w:rsidRPr="00F542DE" w:rsidTr="007612D7">
        <w:trPr>
          <w:trHeight w:val="306"/>
        </w:trPr>
        <w:tc>
          <w:tcPr>
            <w:tcW w:w="709" w:type="dxa"/>
            <w:vMerge/>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創投觀點/IVP創投合夥人</w:t>
            </w:r>
            <w:r w:rsidR="00CD5BBC">
              <w:rPr>
                <w:rFonts w:hAnsi="標楷體" w:hint="eastAsia"/>
                <w:sz w:val="28"/>
                <w:szCs w:val="28"/>
              </w:rPr>
              <w:t>○</w:t>
            </w:r>
          </w:p>
        </w:tc>
        <w:tc>
          <w:tcPr>
            <w:tcW w:w="3686" w:type="dxa"/>
            <w:vAlign w:val="center"/>
          </w:tcPr>
          <w:p w:rsidR="007D4FB0" w:rsidRPr="00F542DE" w:rsidRDefault="00FD5F85" w:rsidP="007D4FB0">
            <w:pPr>
              <w:ind w:leftChars="-25" w:left="-85" w:rightChars="-25" w:right="-85"/>
              <w:jc w:val="distribute"/>
              <w:outlineLvl w:val="1"/>
              <w:rPr>
                <w:rFonts w:hAnsi="標楷體"/>
                <w:b/>
                <w:bCs/>
                <w:spacing w:val="-6"/>
                <w:kern w:val="32"/>
                <w:sz w:val="28"/>
                <w:szCs w:val="28"/>
              </w:rPr>
            </w:pPr>
            <w:r w:rsidRPr="00F542DE">
              <w:rPr>
                <w:rFonts w:hAnsi="標楷體" w:hint="eastAsia"/>
                <w:b/>
                <w:bCs/>
                <w:spacing w:val="-6"/>
                <w:kern w:val="32"/>
                <w:sz w:val="28"/>
                <w:szCs w:val="28"/>
              </w:rPr>
              <w:t>43%的IRR神話，1到100的</w:t>
            </w:r>
          </w:p>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成長法則</w:t>
            </w:r>
          </w:p>
        </w:tc>
      </w:tr>
      <w:tr w:rsidR="00FD5F85" w:rsidRPr="00F542DE" w:rsidTr="007612D7">
        <w:tc>
          <w:tcPr>
            <w:tcW w:w="709" w:type="dxa"/>
            <w:vMerge w:val="restart"/>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r w:rsidRPr="00F542DE">
              <w:rPr>
                <w:rFonts w:hAnsi="標楷體" w:hint="eastAsia"/>
                <w:bCs/>
                <w:spacing w:val="-6"/>
                <w:kern w:val="32"/>
                <w:sz w:val="28"/>
                <w:szCs w:val="28"/>
              </w:rPr>
              <w:t>八</w:t>
            </w:r>
          </w:p>
        </w:tc>
        <w:tc>
          <w:tcPr>
            <w:tcW w:w="4565" w:type="dxa"/>
          </w:tcPr>
          <w:p w:rsidR="007D4FB0" w:rsidRPr="00F542DE" w:rsidRDefault="00FD5F85" w:rsidP="007D4FB0">
            <w:pPr>
              <w:ind w:leftChars="-25" w:left="-85" w:rightChars="-25" w:right="-85"/>
              <w:jc w:val="distribute"/>
              <w:outlineLvl w:val="1"/>
              <w:rPr>
                <w:rFonts w:hAnsi="標楷體"/>
                <w:bCs/>
                <w:spacing w:val="-6"/>
                <w:kern w:val="32"/>
                <w:sz w:val="28"/>
                <w:szCs w:val="28"/>
              </w:rPr>
            </w:pPr>
            <w:r w:rsidRPr="00F542DE">
              <w:rPr>
                <w:rFonts w:hAnsi="標楷體" w:hint="eastAsia"/>
                <w:bCs/>
                <w:spacing w:val="-6"/>
                <w:kern w:val="32"/>
                <w:sz w:val="28"/>
                <w:szCs w:val="28"/>
              </w:rPr>
              <w:t>產業新知/加州大學柏克萊分校AI與</w:t>
            </w:r>
          </w:p>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自駕車研究中心</w:t>
            </w:r>
            <w:r w:rsidRPr="00F542DE">
              <w:rPr>
                <w:rFonts w:hAnsi="標楷體" w:hint="eastAsia"/>
                <w:b/>
                <w:bCs/>
                <w:spacing w:val="-6"/>
                <w:kern w:val="32"/>
                <w:sz w:val="28"/>
                <w:szCs w:val="28"/>
              </w:rPr>
              <w:t>詹</w:t>
            </w:r>
            <w:r w:rsidR="00CD5BBC">
              <w:rPr>
                <w:rFonts w:hAnsi="標楷體" w:hint="eastAsia"/>
                <w:sz w:val="28"/>
                <w:szCs w:val="28"/>
              </w:rPr>
              <w:t>○</w:t>
            </w:r>
            <w:r w:rsidRPr="00F542DE">
              <w:rPr>
                <w:rFonts w:hAnsi="標楷體"/>
                <w:b/>
                <w:bCs/>
                <w:spacing w:val="-6"/>
                <w:kern w:val="32"/>
                <w:sz w:val="28"/>
                <w:szCs w:val="28"/>
              </w:rPr>
              <w:t>堯博士</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自駕車之挑戰與機會</w:t>
            </w:r>
          </w:p>
        </w:tc>
      </w:tr>
      <w:tr w:rsidR="00FD5F85" w:rsidRPr="00F542DE" w:rsidTr="007612D7">
        <w:tc>
          <w:tcPr>
            <w:tcW w:w="709" w:type="dxa"/>
            <w:vMerge/>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p>
        </w:tc>
        <w:tc>
          <w:tcPr>
            <w:tcW w:w="4565" w:type="dxa"/>
          </w:tcPr>
          <w:p w:rsidR="007D4FB0" w:rsidRPr="00F542DE" w:rsidRDefault="00FD5F85" w:rsidP="007D4FB0">
            <w:pPr>
              <w:ind w:leftChars="-25" w:left="-85" w:rightChars="-25" w:right="-85"/>
              <w:jc w:val="distribute"/>
              <w:outlineLvl w:val="1"/>
              <w:rPr>
                <w:rFonts w:hAnsi="標楷體"/>
                <w:bCs/>
                <w:spacing w:val="-6"/>
                <w:kern w:val="32"/>
                <w:sz w:val="28"/>
                <w:szCs w:val="28"/>
              </w:rPr>
            </w:pPr>
            <w:r w:rsidRPr="00F542DE">
              <w:rPr>
                <w:rFonts w:hAnsi="標楷體" w:hint="eastAsia"/>
                <w:bCs/>
                <w:spacing w:val="-6"/>
                <w:kern w:val="32"/>
                <w:sz w:val="28"/>
                <w:szCs w:val="28"/>
              </w:rPr>
              <w:t>產業新知/史丹福大學計算機科學系、</w:t>
            </w:r>
          </w:p>
          <w:p w:rsidR="00FD5F85" w:rsidRPr="00F542DE" w:rsidRDefault="00FD5F85" w:rsidP="00CD5BBC">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電子工程系客座教授；在線教育平台Coursera聯合創始人</w:t>
            </w:r>
            <w:r w:rsidRPr="00F542DE">
              <w:rPr>
                <w:rFonts w:hAnsi="標楷體" w:hint="eastAsia"/>
                <w:b/>
                <w:bCs/>
                <w:spacing w:val="-6"/>
                <w:kern w:val="32"/>
                <w:sz w:val="28"/>
                <w:szCs w:val="28"/>
              </w:rPr>
              <w:t>吳</w:t>
            </w:r>
            <w:r w:rsidR="00CD5BBC">
              <w:rPr>
                <w:rFonts w:hAnsi="標楷體" w:hint="eastAsia"/>
                <w:sz w:val="28"/>
                <w:szCs w:val="28"/>
              </w:rPr>
              <w:t>○</w:t>
            </w:r>
            <w:r w:rsidRPr="00F542DE">
              <w:rPr>
                <w:rFonts w:hAnsi="標楷體" w:hint="eastAsia"/>
                <w:b/>
                <w:bCs/>
                <w:spacing w:val="-6"/>
                <w:kern w:val="32"/>
                <w:sz w:val="28"/>
                <w:szCs w:val="28"/>
              </w:rPr>
              <w:t xml:space="preserve">達 </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What's Next in AI</w:t>
            </w:r>
          </w:p>
        </w:tc>
      </w:tr>
      <w:tr w:rsidR="00FD5F85" w:rsidRPr="00F542DE" w:rsidTr="007612D7">
        <w:tc>
          <w:tcPr>
            <w:tcW w:w="709" w:type="dxa"/>
            <w:vMerge w:val="restart"/>
            <w:vAlign w:val="center"/>
          </w:tcPr>
          <w:p w:rsidR="00FD5F85" w:rsidRPr="00F542DE" w:rsidRDefault="00FD5F85" w:rsidP="00FD5F85">
            <w:pPr>
              <w:ind w:leftChars="-50" w:left="-170" w:rightChars="-50" w:right="-170"/>
              <w:jc w:val="center"/>
              <w:outlineLvl w:val="1"/>
              <w:rPr>
                <w:rFonts w:hAnsi="標楷體"/>
                <w:bCs/>
                <w:spacing w:val="-6"/>
                <w:kern w:val="32"/>
                <w:sz w:val="28"/>
                <w:szCs w:val="28"/>
              </w:rPr>
            </w:pPr>
            <w:r w:rsidRPr="00F542DE">
              <w:rPr>
                <w:rFonts w:hAnsi="標楷體" w:hint="eastAsia"/>
                <w:bCs/>
                <w:spacing w:val="-6"/>
                <w:kern w:val="32"/>
                <w:sz w:val="28"/>
                <w:szCs w:val="28"/>
              </w:rPr>
              <w:t>九</w:t>
            </w:r>
          </w:p>
        </w:tc>
        <w:tc>
          <w:tcPr>
            <w:tcW w:w="4565" w:type="dxa"/>
          </w:tcPr>
          <w:p w:rsidR="00FD5F85" w:rsidRPr="00F542DE" w:rsidRDefault="00FD5F85" w:rsidP="00CD5BBC">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新創分享/</w:t>
            </w:r>
            <w:r w:rsidRPr="00F542DE">
              <w:rPr>
                <w:rFonts w:hAnsi="標楷體"/>
                <w:bCs/>
                <w:spacing w:val="-6"/>
                <w:kern w:val="32"/>
                <w:sz w:val="28"/>
                <w:szCs w:val="28"/>
              </w:rPr>
              <w:t>KPMG會計師</w:t>
            </w:r>
            <w:r w:rsidRPr="00F542DE">
              <w:rPr>
                <w:rFonts w:hAnsi="標楷體"/>
                <w:b/>
                <w:bCs/>
                <w:spacing w:val="-6"/>
                <w:kern w:val="32"/>
                <w:sz w:val="28"/>
                <w:szCs w:val="28"/>
              </w:rPr>
              <w:t>張</w:t>
            </w:r>
            <w:r w:rsidR="00CD5BBC">
              <w:rPr>
                <w:rFonts w:hAnsi="標楷體" w:hint="eastAsia"/>
                <w:sz w:val="28"/>
                <w:szCs w:val="28"/>
              </w:rPr>
              <w:t>○</w:t>
            </w:r>
            <w:r w:rsidRPr="00F542DE">
              <w:rPr>
                <w:rFonts w:hAnsi="標楷體"/>
                <w:b/>
                <w:bCs/>
                <w:spacing w:val="-6"/>
                <w:kern w:val="32"/>
                <w:sz w:val="28"/>
                <w:szCs w:val="28"/>
              </w:rPr>
              <w:t>夫</w:t>
            </w:r>
            <w:r w:rsidRPr="00F542DE">
              <w:rPr>
                <w:rFonts w:hAnsi="標楷體" w:hint="eastAsia"/>
                <w:b/>
                <w:bCs/>
                <w:spacing w:val="-6"/>
                <w:kern w:val="32"/>
                <w:sz w:val="28"/>
                <w:szCs w:val="28"/>
              </w:rPr>
              <w:t>、</w:t>
            </w:r>
            <w:r w:rsidRPr="00F542DE">
              <w:rPr>
                <w:rFonts w:hAnsi="標楷體"/>
                <w:b/>
                <w:bCs/>
                <w:spacing w:val="-6"/>
                <w:kern w:val="32"/>
                <w:sz w:val="28"/>
                <w:szCs w:val="28"/>
              </w:rPr>
              <w:t>郭</w:t>
            </w:r>
            <w:r w:rsidR="00CD5BBC">
              <w:rPr>
                <w:rFonts w:hAnsi="標楷體" w:hint="eastAsia"/>
                <w:sz w:val="28"/>
                <w:szCs w:val="28"/>
              </w:rPr>
              <w:t>○</w:t>
            </w:r>
            <w:r w:rsidRPr="00F542DE">
              <w:rPr>
                <w:rFonts w:hAnsi="標楷體"/>
                <w:b/>
                <w:bCs/>
                <w:spacing w:val="-6"/>
                <w:kern w:val="32"/>
                <w:sz w:val="28"/>
                <w:szCs w:val="28"/>
              </w:rPr>
              <w:t>纓</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新創的財務規劃與風險管理</w:t>
            </w:r>
          </w:p>
        </w:tc>
      </w:tr>
      <w:tr w:rsidR="00FD5F85" w:rsidRPr="00F542DE" w:rsidTr="007612D7">
        <w:tc>
          <w:tcPr>
            <w:tcW w:w="709" w:type="dxa"/>
            <w:vMerge/>
          </w:tcPr>
          <w:p w:rsidR="00FD5F85" w:rsidRPr="00F542DE" w:rsidRDefault="00FD5F85" w:rsidP="00FD5F85">
            <w:pPr>
              <w:ind w:leftChars="-50" w:left="-170" w:rightChars="-50" w:right="-170"/>
              <w:outlineLvl w:val="1"/>
              <w:rPr>
                <w:rFonts w:hAnsi="標楷體"/>
                <w:bCs/>
                <w:spacing w:val="-6"/>
                <w:kern w:val="32"/>
                <w:sz w:val="28"/>
                <w:szCs w:val="28"/>
              </w:rPr>
            </w:pPr>
          </w:p>
        </w:tc>
        <w:tc>
          <w:tcPr>
            <w:tcW w:w="4565" w:type="dxa"/>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Cs/>
                <w:spacing w:val="-6"/>
                <w:kern w:val="32"/>
                <w:sz w:val="28"/>
                <w:szCs w:val="28"/>
              </w:rPr>
              <w:t>創投觀點/</w:t>
            </w:r>
            <w:r w:rsidRPr="00F542DE">
              <w:rPr>
                <w:rFonts w:hAnsi="標楷體" w:hint="eastAsia"/>
                <w:b/>
                <w:bCs/>
                <w:spacing w:val="-6"/>
                <w:kern w:val="32"/>
                <w:sz w:val="28"/>
                <w:szCs w:val="28"/>
              </w:rPr>
              <w:t>大亞電線電纜董事長沈</w:t>
            </w:r>
            <w:r w:rsidR="00CD5BBC">
              <w:rPr>
                <w:rFonts w:hAnsi="標楷體" w:hint="eastAsia"/>
                <w:sz w:val="28"/>
                <w:szCs w:val="28"/>
              </w:rPr>
              <w:t>○</w:t>
            </w:r>
            <w:r w:rsidRPr="00F542DE">
              <w:rPr>
                <w:rFonts w:hAnsi="標楷體" w:hint="eastAsia"/>
                <w:b/>
                <w:bCs/>
                <w:spacing w:val="-6"/>
                <w:kern w:val="32"/>
                <w:sz w:val="28"/>
                <w:szCs w:val="28"/>
              </w:rPr>
              <w:t>弘、佳世達總經理李</w:t>
            </w:r>
            <w:r w:rsidR="00CD5BBC">
              <w:rPr>
                <w:rFonts w:hAnsi="標楷體" w:hint="eastAsia"/>
                <w:sz w:val="28"/>
                <w:szCs w:val="28"/>
              </w:rPr>
              <w:t>○</w:t>
            </w:r>
            <w:r w:rsidRPr="00F542DE">
              <w:rPr>
                <w:rFonts w:hAnsi="標楷體" w:hint="eastAsia"/>
                <w:b/>
                <w:bCs/>
                <w:spacing w:val="-6"/>
                <w:kern w:val="32"/>
                <w:sz w:val="28"/>
                <w:szCs w:val="28"/>
              </w:rPr>
              <w:t>鴻、台杉投資董事黃</w:t>
            </w:r>
            <w:r w:rsidR="00CD5BBC">
              <w:rPr>
                <w:rFonts w:hAnsi="標楷體" w:hint="eastAsia"/>
                <w:sz w:val="28"/>
                <w:szCs w:val="28"/>
              </w:rPr>
              <w:t>○</w:t>
            </w:r>
            <w:r w:rsidRPr="00F542DE">
              <w:rPr>
                <w:rFonts w:hAnsi="標楷體" w:hint="eastAsia"/>
                <w:b/>
                <w:bCs/>
                <w:spacing w:val="-6"/>
                <w:kern w:val="32"/>
                <w:sz w:val="28"/>
                <w:szCs w:val="28"/>
              </w:rPr>
              <w:t>燦</w:t>
            </w:r>
          </w:p>
        </w:tc>
        <w:tc>
          <w:tcPr>
            <w:tcW w:w="3686" w:type="dxa"/>
            <w:vAlign w:val="center"/>
          </w:tcPr>
          <w:p w:rsidR="00FD5F85" w:rsidRPr="00F542DE" w:rsidRDefault="00FD5F85" w:rsidP="00FD5F85">
            <w:pPr>
              <w:ind w:leftChars="-25" w:left="-85" w:rightChars="-25" w:right="-85"/>
              <w:outlineLvl w:val="1"/>
              <w:rPr>
                <w:rFonts w:hAnsi="標楷體"/>
                <w:bCs/>
                <w:spacing w:val="-6"/>
                <w:kern w:val="32"/>
                <w:sz w:val="28"/>
                <w:szCs w:val="28"/>
              </w:rPr>
            </w:pPr>
            <w:r w:rsidRPr="00F542DE">
              <w:rPr>
                <w:rFonts w:hAnsi="標楷體" w:hint="eastAsia"/>
                <w:b/>
                <w:bCs/>
                <w:spacing w:val="-6"/>
                <w:kern w:val="32"/>
                <w:sz w:val="28"/>
                <w:szCs w:val="28"/>
              </w:rPr>
              <w:t xml:space="preserve">連結矽谷 </w:t>
            </w:r>
            <w:r w:rsidRPr="00F542DE">
              <w:rPr>
                <w:rFonts w:hAnsi="標楷體"/>
                <w:b/>
                <w:bCs/>
                <w:spacing w:val="-6"/>
                <w:kern w:val="32"/>
                <w:sz w:val="28"/>
                <w:szCs w:val="28"/>
              </w:rPr>
              <w:t>看見後天之旅</w:t>
            </w:r>
          </w:p>
        </w:tc>
      </w:tr>
    </w:tbl>
    <w:p w:rsidR="00FD5F85" w:rsidRPr="00F542DE" w:rsidRDefault="00FD5F85" w:rsidP="00FD5F85">
      <w:pPr>
        <w:pStyle w:val="4"/>
        <w:numPr>
          <w:ilvl w:val="0"/>
          <w:numId w:val="0"/>
        </w:numPr>
        <w:spacing w:afterLines="50" w:after="228"/>
        <w:ind w:leftChars="-41" w:left="1" w:hangingChars="54" w:hanging="140"/>
        <w:rPr>
          <w:sz w:val="24"/>
          <w:szCs w:val="24"/>
        </w:rPr>
      </w:pPr>
      <w:r w:rsidRPr="00F542DE">
        <w:rPr>
          <w:rFonts w:hint="eastAsia"/>
          <w:sz w:val="24"/>
          <w:szCs w:val="24"/>
        </w:rPr>
        <w:t>資料來源：國發會。</w:t>
      </w:r>
    </w:p>
    <w:p w:rsidR="00FD5F85" w:rsidRPr="00F542DE" w:rsidRDefault="00EC407F" w:rsidP="000B291F">
      <w:pPr>
        <w:pStyle w:val="4"/>
      </w:pPr>
      <w:r w:rsidRPr="00F542DE">
        <w:rPr>
          <w:rFonts w:hint="eastAsia"/>
        </w:rPr>
        <w:t>綜上，</w:t>
      </w:r>
      <w:r w:rsidR="000B291F" w:rsidRPr="00F542DE">
        <w:rPr>
          <w:rFonts w:hint="eastAsia"/>
        </w:rPr>
        <w:t>台杉投顧受託管理台杉水牛一號及二號基金，該公司投資期間收取之管理費分別為2.35%及2.5%，經本院調閱相關投資人之評估及實務上創投收取之管理費約介於2%-2.5%間，尚難認定有超高管理費之情形。另，該公司雖於爭議發生後，始將超過2%部分之管理費投入人才培訓、教育訓練與鏈結國內與國際產業等計畫，該公司亦已辦理多項人才培育計畫，國發會允應督導相關董事，依該會籌設該公司之宗旨，持續強化相關計畫之執行。</w:t>
      </w:r>
    </w:p>
    <w:p w:rsidR="00C81FB5" w:rsidRPr="00F542DE" w:rsidRDefault="00813B09" w:rsidP="00813B09">
      <w:pPr>
        <w:pStyle w:val="3"/>
        <w:spacing w:beforeLines="50" w:before="228"/>
        <w:ind w:left="1360" w:hanging="680"/>
      </w:pPr>
      <w:bookmarkStart w:id="104" w:name="_Toc30496485"/>
      <w:r w:rsidRPr="00F542DE">
        <w:rPr>
          <w:rFonts w:hint="eastAsia"/>
          <w:b/>
        </w:rPr>
        <w:t>本院調閱兆豐銀行等泛公股事業投資台杉水牛一號及二號基金評估情形，經查</w:t>
      </w:r>
      <w:r w:rsidR="007D4FB0" w:rsidRPr="00F542DE">
        <w:rPr>
          <w:rFonts w:hint="eastAsia"/>
          <w:b/>
        </w:rPr>
        <w:t>該等事業均有進行相關投資評估，且經董事會通過，尚非所稱決策過程</w:t>
      </w:r>
      <w:r w:rsidR="007D4FB0" w:rsidRPr="00F542DE">
        <w:rPr>
          <w:rFonts w:hint="eastAsia"/>
          <w:b/>
        </w:rPr>
        <w:lastRenderedPageBreak/>
        <w:t>均僅</w:t>
      </w:r>
      <w:r w:rsidRPr="00F542DE">
        <w:rPr>
          <w:rFonts w:hint="eastAsia"/>
          <w:b/>
        </w:rPr>
        <w:t>授權董事長決定。</w:t>
      </w:r>
      <w:bookmarkEnd w:id="104"/>
    </w:p>
    <w:p w:rsidR="00C81FB5" w:rsidRPr="00F542DE" w:rsidRDefault="004459F7" w:rsidP="004459F7">
      <w:pPr>
        <w:pStyle w:val="4"/>
      </w:pPr>
      <w:r w:rsidRPr="00F542DE">
        <w:rPr>
          <w:rFonts w:hint="eastAsia"/>
        </w:rPr>
        <w:t>台杉水牛一號</w:t>
      </w:r>
      <w:r w:rsidR="00A061F6" w:rsidRPr="00F542DE">
        <w:rPr>
          <w:rFonts w:hint="eastAsia"/>
        </w:rPr>
        <w:t>基金</w:t>
      </w:r>
      <w:r w:rsidRPr="00F542DE">
        <w:rPr>
          <w:rFonts w:hint="eastAsia"/>
        </w:rPr>
        <w:t>：</w:t>
      </w:r>
    </w:p>
    <w:p w:rsidR="008E2CD8" w:rsidRPr="00F542DE" w:rsidRDefault="008E2CD8" w:rsidP="004459F7">
      <w:pPr>
        <w:pStyle w:val="5"/>
      </w:pPr>
      <w:r w:rsidRPr="00F542DE">
        <w:rPr>
          <w:rFonts w:hint="eastAsia"/>
        </w:rPr>
        <w:t>中華電信：</w:t>
      </w:r>
    </w:p>
    <w:p w:rsidR="00C81FB5" w:rsidRPr="00F542DE" w:rsidRDefault="008E2CD8" w:rsidP="008E2CD8">
      <w:pPr>
        <w:pStyle w:val="6"/>
      </w:pPr>
      <w:r w:rsidRPr="00F542DE">
        <w:rPr>
          <w:rFonts w:hint="eastAsia"/>
        </w:rPr>
        <w:t>106年8月台杉投顧總經理翁嘉盛拜訪該公司。該公司即辦理台杉水牛一號基金之相關轉投資評估作業。</w:t>
      </w:r>
    </w:p>
    <w:p w:rsidR="008E2CD8" w:rsidRPr="00F542DE" w:rsidRDefault="008E2CD8" w:rsidP="008E2CD8">
      <w:pPr>
        <w:pStyle w:val="6"/>
      </w:pPr>
      <w:r w:rsidRPr="00F542DE">
        <w:rPr>
          <w:rFonts w:hint="eastAsia"/>
        </w:rPr>
        <w:t>106年10月25日完成複評報告，經陳報該公司董事長核准後，提送投資審議委員會審議。</w:t>
      </w:r>
    </w:p>
    <w:p w:rsidR="008E2CD8" w:rsidRPr="00F542DE" w:rsidRDefault="008E2CD8" w:rsidP="008E2CD8">
      <w:pPr>
        <w:pStyle w:val="6"/>
      </w:pPr>
      <w:r w:rsidRPr="00F542DE">
        <w:rPr>
          <w:rFonts w:hint="eastAsia"/>
        </w:rPr>
        <w:t>106年11月2日召開投資審議委員會，出席委員一致通過該案，並提報列入同日下午董事會策略委員會及審計委員會之討論議案，審議結果均為全體出席委同意通過該案。</w:t>
      </w:r>
    </w:p>
    <w:p w:rsidR="008E2CD8" w:rsidRPr="00F542DE" w:rsidRDefault="008E2CD8" w:rsidP="009B7534">
      <w:pPr>
        <w:pStyle w:val="6"/>
      </w:pPr>
      <w:r w:rsidRPr="00F542DE">
        <w:rPr>
          <w:rFonts w:hint="eastAsia"/>
        </w:rPr>
        <w:t>106年11月6日第8屆第8次董事會，該項投資案列入討論事項案由七提請公決，議決結果為全體出席董事同意通過。</w:t>
      </w:r>
      <w:r w:rsidR="009B7534" w:rsidRPr="00F542DE">
        <w:rPr>
          <w:rFonts w:hint="eastAsia"/>
        </w:rPr>
        <w:t>投資額度以6億元為上限，採兩階段投資，第1階段投資金額為3億元，共持股3億股(甲種特別股)，持股比例12.9%。</w:t>
      </w:r>
    </w:p>
    <w:p w:rsidR="009B7534" w:rsidRPr="00F542DE" w:rsidRDefault="009B7534" w:rsidP="009B7534">
      <w:pPr>
        <w:pStyle w:val="5"/>
      </w:pPr>
      <w:r w:rsidRPr="00F542DE">
        <w:rPr>
          <w:rFonts w:hint="eastAsia"/>
        </w:rPr>
        <w:t>兆豐銀行：</w:t>
      </w:r>
    </w:p>
    <w:p w:rsidR="009B7534" w:rsidRPr="00F542DE" w:rsidRDefault="009B7534" w:rsidP="009B7534">
      <w:pPr>
        <w:pStyle w:val="6"/>
      </w:pPr>
      <w:r w:rsidRPr="00F542DE">
        <w:t>106</w:t>
      </w:r>
      <w:r w:rsidRPr="00F542DE">
        <w:rPr>
          <w:rFonts w:hint="eastAsia"/>
        </w:rPr>
        <w:t>年</w:t>
      </w:r>
      <w:r w:rsidRPr="00F542DE">
        <w:t>9</w:t>
      </w:r>
      <w:r w:rsidRPr="00F542DE">
        <w:rPr>
          <w:rFonts w:hint="eastAsia"/>
        </w:rPr>
        <w:t>月</w:t>
      </w:r>
      <w:r w:rsidRPr="00F542DE">
        <w:t>27</w:t>
      </w:r>
      <w:r w:rsidRPr="00F542DE">
        <w:rPr>
          <w:rFonts w:hint="eastAsia"/>
        </w:rPr>
        <w:t>日台杉投顧總經理翁嘉盛邀請兆豐銀行投資台杉水牛一號基金。</w:t>
      </w:r>
    </w:p>
    <w:p w:rsidR="009B7534" w:rsidRPr="00F542DE" w:rsidRDefault="009B7534" w:rsidP="009B7534">
      <w:pPr>
        <w:pStyle w:val="6"/>
      </w:pPr>
      <w:r w:rsidRPr="00F542DE">
        <w:rPr>
          <w:rFonts w:hint="eastAsia"/>
        </w:rPr>
        <w:t>106年11月6日兆豐銀行完成徵信調查報告書。</w:t>
      </w:r>
    </w:p>
    <w:p w:rsidR="009B7534" w:rsidRPr="00F542DE" w:rsidRDefault="009B7534" w:rsidP="009B7534">
      <w:pPr>
        <w:pStyle w:val="6"/>
      </w:pPr>
      <w:r w:rsidRPr="00F542DE">
        <w:rPr>
          <w:rFonts w:hint="eastAsia"/>
        </w:rPr>
        <w:t>106年11月7日兆豐銀行投資部完成財務計畫可行性評估報告。</w:t>
      </w:r>
    </w:p>
    <w:p w:rsidR="009B7534" w:rsidRPr="00F542DE" w:rsidRDefault="009B7534" w:rsidP="009B7534">
      <w:pPr>
        <w:pStyle w:val="6"/>
      </w:pPr>
      <w:r w:rsidRPr="00F542DE">
        <w:rPr>
          <w:rFonts w:hint="eastAsia"/>
        </w:rPr>
        <w:t>106年11月10日兆豐銀行完成參與投資案件報核表。</w:t>
      </w:r>
    </w:p>
    <w:p w:rsidR="009B7534" w:rsidRPr="00F542DE" w:rsidRDefault="009B7534" w:rsidP="009B7534">
      <w:pPr>
        <w:pStyle w:val="6"/>
      </w:pPr>
      <w:r w:rsidRPr="00F542DE">
        <w:rPr>
          <w:rFonts w:hint="eastAsia"/>
        </w:rPr>
        <w:t>106年11月15日兆豐銀行第172次投資審議委員會決議通過，提常董會核議。</w:t>
      </w:r>
    </w:p>
    <w:p w:rsidR="009B7534" w:rsidRPr="00F542DE" w:rsidRDefault="009B7534" w:rsidP="009B7534">
      <w:pPr>
        <w:pStyle w:val="6"/>
      </w:pPr>
      <w:r w:rsidRPr="00F542DE">
        <w:rPr>
          <w:rFonts w:hint="eastAsia"/>
        </w:rPr>
        <w:t>106年11月24日兆豐銀行第15屆第69次常務</w:t>
      </w:r>
      <w:r w:rsidRPr="00F542DE">
        <w:rPr>
          <w:rFonts w:hint="eastAsia"/>
        </w:rPr>
        <w:lastRenderedPageBreak/>
        <w:t>董事會通過投資台杉水牛一號基金甲種特別股現金增資6億元，分次撥款，占增資後資本總額40.0001億元之15%(股權比率隨實際募資金額調整)。</w:t>
      </w:r>
    </w:p>
    <w:p w:rsidR="009B7534" w:rsidRPr="00F542DE" w:rsidRDefault="009B7534" w:rsidP="009B7534">
      <w:pPr>
        <w:pStyle w:val="4"/>
      </w:pPr>
      <w:r w:rsidRPr="00F542DE">
        <w:rPr>
          <w:rFonts w:hint="eastAsia"/>
        </w:rPr>
        <w:t>台杉水牛二號基金：</w:t>
      </w:r>
    </w:p>
    <w:p w:rsidR="009B7534" w:rsidRPr="00F542DE" w:rsidRDefault="009B7534" w:rsidP="009B7534">
      <w:pPr>
        <w:pStyle w:val="5"/>
      </w:pPr>
      <w:r w:rsidRPr="00F542DE">
        <w:rPr>
          <w:rFonts w:hint="eastAsia"/>
        </w:rPr>
        <w:t>兆豐銀行：</w:t>
      </w:r>
    </w:p>
    <w:p w:rsidR="00C81FB5" w:rsidRPr="00F542DE" w:rsidRDefault="009B7534" w:rsidP="009B7534">
      <w:pPr>
        <w:pStyle w:val="6"/>
      </w:pPr>
      <w:r w:rsidRPr="00F542DE">
        <w:t>107</w:t>
      </w:r>
      <w:r w:rsidRPr="00F542DE">
        <w:rPr>
          <w:rFonts w:hint="eastAsia"/>
        </w:rPr>
        <w:t>年</w:t>
      </w:r>
      <w:r w:rsidRPr="00F542DE">
        <w:t>4</w:t>
      </w:r>
      <w:r w:rsidRPr="00F542DE">
        <w:rPr>
          <w:rFonts w:hint="eastAsia"/>
        </w:rPr>
        <w:t>月</w:t>
      </w:r>
      <w:r w:rsidRPr="00F542DE">
        <w:t>13</w:t>
      </w:r>
      <w:r w:rsidRPr="00F542DE">
        <w:rPr>
          <w:rFonts w:hint="eastAsia"/>
        </w:rPr>
        <w:t>日台杉投顧翁嘉盛總經理邀請兆豐銀行投資台杉水牛二號基金。</w:t>
      </w:r>
    </w:p>
    <w:p w:rsidR="009B7534" w:rsidRPr="00F542DE" w:rsidRDefault="009B7534" w:rsidP="009B7534">
      <w:pPr>
        <w:pStyle w:val="6"/>
      </w:pPr>
      <w:r w:rsidRPr="00F542DE">
        <w:t>107</w:t>
      </w:r>
      <w:r w:rsidRPr="00F542DE">
        <w:rPr>
          <w:rFonts w:hint="eastAsia"/>
        </w:rPr>
        <w:t>年5月22日兆豐銀行投資部完成台杉水牛二號生技創投有限合夥財務計畫可行性評估報告。</w:t>
      </w:r>
    </w:p>
    <w:p w:rsidR="009B7534" w:rsidRPr="00F542DE" w:rsidRDefault="009B7534" w:rsidP="009B7534">
      <w:pPr>
        <w:pStyle w:val="6"/>
      </w:pPr>
      <w:r w:rsidRPr="00F542DE">
        <w:t>107</w:t>
      </w:r>
      <w:r w:rsidRPr="00F542DE">
        <w:rPr>
          <w:rFonts w:hint="eastAsia"/>
        </w:rPr>
        <w:t>年5月28日兆豐銀行取得資產價格合理意見書。該行並於次日(29日)完成投資台杉水牛二號生技創投有限合夥徵信調查報告書。</w:t>
      </w:r>
    </w:p>
    <w:p w:rsidR="009B7534" w:rsidRPr="00F542DE" w:rsidRDefault="009B7534" w:rsidP="009B7534">
      <w:pPr>
        <w:pStyle w:val="6"/>
      </w:pPr>
      <w:r w:rsidRPr="00F542DE">
        <w:t>107</w:t>
      </w:r>
      <w:r w:rsidRPr="00F542DE">
        <w:rPr>
          <w:rFonts w:hint="eastAsia"/>
        </w:rPr>
        <w:t>年6月11日兆豐銀行完成參與投資案件報核表-台杉水牛二號生技創投有限合夥案。</w:t>
      </w:r>
    </w:p>
    <w:p w:rsidR="009B7534" w:rsidRPr="00F542DE" w:rsidRDefault="009B7534" w:rsidP="009B7534">
      <w:pPr>
        <w:pStyle w:val="6"/>
      </w:pPr>
      <w:r w:rsidRPr="00F542DE">
        <w:t>107</w:t>
      </w:r>
      <w:r w:rsidRPr="00F542DE">
        <w:rPr>
          <w:rFonts w:hint="eastAsia"/>
        </w:rPr>
        <w:t>年6月12日兆豐銀行第180次投資審議委員會決議通過，該行投資台杉水牛二號案提常董會核議。</w:t>
      </w:r>
    </w:p>
    <w:p w:rsidR="009B7534" w:rsidRPr="00F542DE" w:rsidRDefault="009B7534" w:rsidP="009B7534">
      <w:pPr>
        <w:pStyle w:val="6"/>
      </w:pPr>
      <w:r w:rsidRPr="00F542DE">
        <w:t>107</w:t>
      </w:r>
      <w:r w:rsidRPr="00F542DE">
        <w:rPr>
          <w:rFonts w:hint="eastAsia"/>
        </w:rPr>
        <w:t>年6月22日兆豐銀行第15屆第37次董事會，通過參與台杉水牛二號生技創投有限合夥，投資金額6億元，分次撥款，占預定募集資金總額50.01億元之12%(投資比率隨實際募資金額調整)。</w:t>
      </w:r>
    </w:p>
    <w:p w:rsidR="009B7534" w:rsidRPr="00F542DE" w:rsidRDefault="009B7534" w:rsidP="009B7534">
      <w:pPr>
        <w:pStyle w:val="5"/>
      </w:pPr>
      <w:r w:rsidRPr="00F542DE">
        <w:rPr>
          <w:rFonts w:hint="eastAsia"/>
        </w:rPr>
        <w:t>合作金庫：</w:t>
      </w:r>
    </w:p>
    <w:p w:rsidR="009B7534" w:rsidRPr="00F542DE" w:rsidRDefault="009B7534" w:rsidP="009B7534">
      <w:pPr>
        <w:pStyle w:val="6"/>
      </w:pPr>
      <w:r w:rsidRPr="00F542DE">
        <w:t>107</w:t>
      </w:r>
      <w:r w:rsidRPr="00F542DE">
        <w:rPr>
          <w:rFonts w:hint="eastAsia"/>
        </w:rPr>
        <w:t>年</w:t>
      </w:r>
      <w:r w:rsidRPr="00F542DE">
        <w:t>4</w:t>
      </w:r>
      <w:r w:rsidRPr="00F542DE">
        <w:rPr>
          <w:rFonts w:hint="eastAsia"/>
        </w:rPr>
        <w:t>月合作金庫接獲台杉投顧邀請投資台杉水牛二號基金，並至合作金庫進行募資簡報。</w:t>
      </w:r>
    </w:p>
    <w:p w:rsidR="009B7534" w:rsidRPr="00F542DE" w:rsidRDefault="009B7534" w:rsidP="009B7534">
      <w:pPr>
        <w:pStyle w:val="6"/>
      </w:pPr>
      <w:r w:rsidRPr="00F542DE">
        <w:t>107</w:t>
      </w:r>
      <w:r w:rsidRPr="00F542DE">
        <w:rPr>
          <w:rFonts w:hint="eastAsia"/>
        </w:rPr>
        <w:t>年5月30日合作金庫電詢同業台杉水牛</w:t>
      </w:r>
      <w:r w:rsidRPr="00F542DE">
        <w:rPr>
          <w:rFonts w:hint="eastAsia"/>
        </w:rPr>
        <w:lastRenderedPageBreak/>
        <w:t>二號基金同業募資情形。</w:t>
      </w:r>
    </w:p>
    <w:p w:rsidR="009B7534" w:rsidRPr="00F542DE" w:rsidRDefault="009B7534" w:rsidP="009B7534">
      <w:pPr>
        <w:pStyle w:val="6"/>
      </w:pPr>
      <w:r w:rsidRPr="00F542DE">
        <w:t>107</w:t>
      </w:r>
      <w:r w:rsidRPr="00F542DE">
        <w:rPr>
          <w:rFonts w:hint="eastAsia"/>
        </w:rPr>
        <w:t>年5月31日合作金庫召開投資企業暨買賣有價證券審議委員會第107年第1次會議，審議該行投資台杉水牛二號基金，由副總經理陳美足主持，決議照案通過，並依</w:t>
      </w:r>
      <w:r w:rsidR="00FE3FF7" w:rsidRPr="00F542DE">
        <w:rPr>
          <w:rFonts w:hAnsi="標楷體" w:hint="eastAsia"/>
        </w:rPr>
        <w:t>「</w:t>
      </w:r>
      <w:r w:rsidR="00FE3FF7" w:rsidRPr="00F542DE">
        <w:rPr>
          <w:rFonts w:hint="eastAsia"/>
        </w:rPr>
        <w:t>金控子公司管理辦法</w:t>
      </w:r>
      <w:r w:rsidR="00FE3FF7" w:rsidRPr="00F542DE">
        <w:rPr>
          <w:rFonts w:hAnsi="標楷體" w:hint="eastAsia"/>
        </w:rPr>
        <w:t>」</w:t>
      </w:r>
      <w:r w:rsidRPr="00F542DE">
        <w:rPr>
          <w:rFonts w:hint="eastAsia"/>
        </w:rPr>
        <w:t>及該行</w:t>
      </w:r>
      <w:r w:rsidR="00FE3FF7" w:rsidRPr="00F542DE">
        <w:rPr>
          <w:rFonts w:hAnsi="標楷體" w:hint="eastAsia"/>
        </w:rPr>
        <w:t>「</w:t>
      </w:r>
      <w:r w:rsidR="00FE3FF7" w:rsidRPr="00F542DE">
        <w:rPr>
          <w:rFonts w:hint="eastAsia"/>
        </w:rPr>
        <w:t>轉投資作業要點</w:t>
      </w:r>
      <w:r w:rsidR="00FE3FF7" w:rsidRPr="00F542DE">
        <w:rPr>
          <w:rFonts w:hAnsi="標楷體" w:hint="eastAsia"/>
        </w:rPr>
        <w:t>」</w:t>
      </w:r>
      <w:r w:rsidRPr="00F542DE">
        <w:rPr>
          <w:rFonts w:hint="eastAsia"/>
        </w:rPr>
        <w:t>規定，報送金控母公司核准後，提報董事會審議。</w:t>
      </w:r>
    </w:p>
    <w:p w:rsidR="009B7534" w:rsidRPr="00F542DE" w:rsidRDefault="009B7534" w:rsidP="009B7534">
      <w:pPr>
        <w:pStyle w:val="6"/>
      </w:pPr>
      <w:r w:rsidRPr="00F542DE">
        <w:t>107</w:t>
      </w:r>
      <w:r w:rsidRPr="00F542DE">
        <w:rPr>
          <w:rFonts w:hint="eastAsia"/>
        </w:rPr>
        <w:t>年6月7日合作金庫函報合作金庫金融控股股份有限公司。</w:t>
      </w:r>
    </w:p>
    <w:p w:rsidR="009B7534" w:rsidRPr="00F542DE" w:rsidRDefault="009B7534" w:rsidP="009B7534">
      <w:pPr>
        <w:pStyle w:val="6"/>
      </w:pPr>
      <w:r w:rsidRPr="00F542DE">
        <w:t>107</w:t>
      </w:r>
      <w:r w:rsidRPr="00F542DE">
        <w:rPr>
          <w:rFonts w:hint="eastAsia"/>
        </w:rPr>
        <w:t>年6月12日會計師出具取得價格合理性意見書。依目前預計簽訂之有限合夥協議，有限合夥人以現金出資金額所表彰之權利與出資比例相當，會計師認為於此協議下之認購價格，其價格之決定就取得或處分資產處理程序而言，應無不合理之處。</w:t>
      </w:r>
    </w:p>
    <w:p w:rsidR="009B7534" w:rsidRPr="00F542DE" w:rsidRDefault="009B7534" w:rsidP="009B7534">
      <w:pPr>
        <w:pStyle w:val="6"/>
      </w:pPr>
      <w:r w:rsidRPr="00F542DE">
        <w:t>107</w:t>
      </w:r>
      <w:r w:rsidRPr="00F542DE">
        <w:rPr>
          <w:rFonts w:hint="eastAsia"/>
        </w:rPr>
        <w:t>年6月19日合作金庫第6屆第25次臨時董事會核准。同意該行投資台杉水牛二號基金5億元。</w:t>
      </w:r>
    </w:p>
    <w:p w:rsidR="009B7534" w:rsidRPr="00F542DE" w:rsidRDefault="009B7534" w:rsidP="009B7534">
      <w:pPr>
        <w:pStyle w:val="5"/>
      </w:pPr>
      <w:r w:rsidRPr="00F542DE">
        <w:rPr>
          <w:rFonts w:hint="eastAsia"/>
        </w:rPr>
        <w:t>第一銀行：</w:t>
      </w:r>
    </w:p>
    <w:p w:rsidR="009B7534" w:rsidRPr="00F542DE" w:rsidRDefault="009B7534" w:rsidP="009B7534">
      <w:pPr>
        <w:pStyle w:val="6"/>
      </w:pPr>
      <w:r w:rsidRPr="00F542DE">
        <w:rPr>
          <w:rFonts w:hint="eastAsia"/>
        </w:rPr>
        <w:t>107年3月8日台杉投顧提供募資計畫書予第一銀行。同年月20日該台杉投顧總經理翁嘉盛至第一銀行進行簡報。</w:t>
      </w:r>
    </w:p>
    <w:p w:rsidR="009B7534" w:rsidRPr="00F542DE" w:rsidRDefault="009B7534" w:rsidP="009B7534">
      <w:pPr>
        <w:pStyle w:val="6"/>
      </w:pPr>
      <w:r w:rsidRPr="00F542DE">
        <w:rPr>
          <w:rFonts w:hint="eastAsia"/>
        </w:rPr>
        <w:t>107年5月21日第一銀行金融市場業務處簽擬投資台杉水牛二號基金4.5億元。</w:t>
      </w:r>
    </w:p>
    <w:p w:rsidR="009B7534" w:rsidRPr="00F542DE" w:rsidRDefault="009B7534" w:rsidP="009B7534">
      <w:pPr>
        <w:pStyle w:val="6"/>
      </w:pPr>
      <w:r w:rsidRPr="00F542DE">
        <w:rPr>
          <w:rFonts w:hint="eastAsia"/>
        </w:rPr>
        <w:t>107年6月12日第一銀行第24屆第7次臨時董事會，其中第2案為投資台杉水牛二號基金4.5億元案，經主席徵詢全體出席董事意見，出席董事同意照案通過，</w:t>
      </w:r>
      <w:r w:rsidR="00205910" w:rsidRPr="00F542DE">
        <w:rPr>
          <w:rFonts w:hint="eastAsia"/>
        </w:rPr>
        <w:t>投資台杉水牛二號基金4.5億元，</w:t>
      </w:r>
      <w:r w:rsidRPr="00F542DE">
        <w:rPr>
          <w:rFonts w:hint="eastAsia"/>
        </w:rPr>
        <w:t>並授權董事長爭取較目前合約</w:t>
      </w:r>
      <w:r w:rsidRPr="00F542DE">
        <w:rPr>
          <w:rFonts w:hint="eastAsia"/>
        </w:rPr>
        <w:lastRenderedPageBreak/>
        <w:t>內容更優惠之條款。</w:t>
      </w:r>
    </w:p>
    <w:p w:rsidR="009B7534" w:rsidRPr="00F542DE" w:rsidRDefault="009B7534" w:rsidP="00205910">
      <w:pPr>
        <w:pStyle w:val="6"/>
      </w:pPr>
      <w:r w:rsidRPr="00F542DE">
        <w:rPr>
          <w:rFonts w:hint="eastAsia"/>
        </w:rPr>
        <w:t>107年6月20日</w:t>
      </w:r>
      <w:r w:rsidR="00205910" w:rsidRPr="00F542DE">
        <w:rPr>
          <w:rFonts w:hint="eastAsia"/>
        </w:rPr>
        <w:t>第一金控函復第一銀行，該行規劃投資台杉水牛二號基金部分，同意依相關規定程序辦理。</w:t>
      </w:r>
    </w:p>
    <w:p w:rsidR="00205910" w:rsidRPr="00F542DE" w:rsidRDefault="00205910" w:rsidP="00205910">
      <w:pPr>
        <w:pStyle w:val="5"/>
      </w:pPr>
      <w:r w:rsidRPr="00F542DE">
        <w:rPr>
          <w:rFonts w:hint="eastAsia"/>
        </w:rPr>
        <w:t>第一創投：</w:t>
      </w:r>
    </w:p>
    <w:p w:rsidR="00205910" w:rsidRPr="00F542DE" w:rsidRDefault="00205910" w:rsidP="00205910">
      <w:pPr>
        <w:pStyle w:val="6"/>
      </w:pPr>
      <w:r w:rsidRPr="00F542DE">
        <w:rPr>
          <w:rFonts w:hint="eastAsia"/>
        </w:rPr>
        <w:t>107年3月8日台杉投顧提供募資計畫書予第一創投。同年月20日該台杉投顧總經理翁嘉盛進行簡報。</w:t>
      </w:r>
    </w:p>
    <w:p w:rsidR="00205910" w:rsidRPr="00F542DE" w:rsidRDefault="00205910" w:rsidP="00205910">
      <w:pPr>
        <w:pStyle w:val="6"/>
      </w:pPr>
      <w:r w:rsidRPr="00F542DE">
        <w:rPr>
          <w:rFonts w:hint="eastAsia"/>
        </w:rPr>
        <w:t>107年5月21日第一銀行金融市場業務處簽擬投資台杉水牛二號基金4.5億元。</w:t>
      </w:r>
    </w:p>
    <w:p w:rsidR="009B7534" w:rsidRPr="00F542DE" w:rsidRDefault="009B7534" w:rsidP="00205910">
      <w:pPr>
        <w:pStyle w:val="6"/>
      </w:pPr>
      <w:r w:rsidRPr="00F542DE">
        <w:rPr>
          <w:rFonts w:hint="eastAsia"/>
        </w:rPr>
        <w:t>107年6月</w:t>
      </w:r>
      <w:r w:rsidR="00205910" w:rsidRPr="00F542DE">
        <w:rPr>
          <w:rFonts w:hint="eastAsia"/>
        </w:rPr>
        <w:t>6</w:t>
      </w:r>
      <w:r w:rsidRPr="00F542DE">
        <w:rPr>
          <w:rFonts w:hint="eastAsia"/>
        </w:rPr>
        <w:t>日</w:t>
      </w:r>
      <w:r w:rsidR="00205910" w:rsidRPr="00F542DE">
        <w:rPr>
          <w:rFonts w:hint="eastAsia"/>
        </w:rPr>
        <w:t>第一金融管理顧問股份有限公完成台杉水牛二號基金之投資評估報告，供第一創投董事會審查用。</w:t>
      </w:r>
    </w:p>
    <w:p w:rsidR="009B7534" w:rsidRPr="00F542DE" w:rsidRDefault="009B7534" w:rsidP="00205910">
      <w:pPr>
        <w:pStyle w:val="6"/>
      </w:pPr>
      <w:r w:rsidRPr="00F542DE">
        <w:rPr>
          <w:rFonts w:hint="eastAsia"/>
        </w:rPr>
        <w:t>107年6月</w:t>
      </w:r>
      <w:r w:rsidR="00205910" w:rsidRPr="00F542DE">
        <w:rPr>
          <w:rFonts w:hint="eastAsia"/>
        </w:rPr>
        <w:t>14</w:t>
      </w:r>
      <w:r w:rsidRPr="00F542DE">
        <w:rPr>
          <w:rFonts w:hint="eastAsia"/>
        </w:rPr>
        <w:t>日</w:t>
      </w:r>
      <w:r w:rsidR="00205910" w:rsidRPr="00F542DE">
        <w:rPr>
          <w:rFonts w:hint="eastAsia"/>
        </w:rPr>
        <w:t>依第一創投投資業務相關作業規範，依規定擬具投資評估報告，經第一管理顧問投資審查會審查通過。</w:t>
      </w:r>
    </w:p>
    <w:p w:rsidR="009B7534" w:rsidRPr="00F542DE" w:rsidRDefault="009B7534" w:rsidP="007612D7">
      <w:pPr>
        <w:pStyle w:val="6"/>
      </w:pPr>
      <w:r w:rsidRPr="00F542DE">
        <w:rPr>
          <w:rFonts w:hint="eastAsia"/>
        </w:rPr>
        <w:t>107年6月</w:t>
      </w:r>
      <w:r w:rsidR="00205910" w:rsidRPr="00F542DE">
        <w:rPr>
          <w:rFonts w:hint="eastAsia"/>
        </w:rPr>
        <w:t>25</w:t>
      </w:r>
      <w:r w:rsidRPr="00F542DE">
        <w:rPr>
          <w:rFonts w:hint="eastAsia"/>
        </w:rPr>
        <w:t>日</w:t>
      </w:r>
      <w:r w:rsidR="00205910" w:rsidRPr="00F542DE">
        <w:rPr>
          <w:rFonts w:hint="eastAsia"/>
        </w:rPr>
        <w:t>第一創投第5屆第9次臨時董事會議，其中第3案係該公司投資台杉水牛二號基金5千萬元案，經董事會2/3以上董事出席及出席董事3/4同意通過。</w:t>
      </w:r>
    </w:p>
    <w:p w:rsidR="00205910" w:rsidRPr="00F542DE" w:rsidRDefault="00205910" w:rsidP="00205910">
      <w:pPr>
        <w:pStyle w:val="5"/>
      </w:pPr>
      <w:r w:rsidRPr="00F542DE">
        <w:rPr>
          <w:rFonts w:hint="eastAsia"/>
        </w:rPr>
        <w:t>華南銀行：</w:t>
      </w:r>
    </w:p>
    <w:p w:rsidR="009B7534" w:rsidRPr="00F542DE" w:rsidRDefault="009B7534" w:rsidP="00205910">
      <w:pPr>
        <w:pStyle w:val="6"/>
      </w:pPr>
      <w:r w:rsidRPr="00F542DE">
        <w:rPr>
          <w:rFonts w:hint="eastAsia"/>
        </w:rPr>
        <w:t>107年</w:t>
      </w:r>
      <w:r w:rsidR="00205910" w:rsidRPr="00F542DE">
        <w:rPr>
          <w:rFonts w:hint="eastAsia"/>
        </w:rPr>
        <w:t>4</w:t>
      </w:r>
      <w:r w:rsidRPr="00F542DE">
        <w:rPr>
          <w:rFonts w:hint="eastAsia"/>
        </w:rPr>
        <w:t>月</w:t>
      </w:r>
      <w:r w:rsidR="00205910" w:rsidRPr="00F542DE">
        <w:rPr>
          <w:rFonts w:hint="eastAsia"/>
        </w:rPr>
        <w:t>12</w:t>
      </w:r>
      <w:r w:rsidRPr="00F542DE">
        <w:rPr>
          <w:rFonts w:hint="eastAsia"/>
        </w:rPr>
        <w:t>日</w:t>
      </w:r>
      <w:r w:rsidR="00205910" w:rsidRPr="00F542DE">
        <w:rPr>
          <w:rFonts w:hint="eastAsia"/>
        </w:rPr>
        <w:t>台杉投顧至華南金控進行募資簡報。</w:t>
      </w:r>
    </w:p>
    <w:p w:rsidR="009B7534" w:rsidRPr="00F542DE" w:rsidRDefault="009B7534" w:rsidP="00205910">
      <w:pPr>
        <w:pStyle w:val="6"/>
      </w:pPr>
      <w:r w:rsidRPr="00F542DE">
        <w:rPr>
          <w:rFonts w:hint="eastAsia"/>
        </w:rPr>
        <w:t>107年</w:t>
      </w:r>
      <w:r w:rsidR="00205910" w:rsidRPr="00F542DE">
        <w:rPr>
          <w:rFonts w:hint="eastAsia"/>
        </w:rPr>
        <w:t>4</w:t>
      </w:r>
      <w:r w:rsidRPr="00F542DE">
        <w:rPr>
          <w:rFonts w:hint="eastAsia"/>
        </w:rPr>
        <w:t>月19日</w:t>
      </w:r>
      <w:r w:rsidR="00205910" w:rsidRPr="00F542DE">
        <w:rPr>
          <w:rFonts w:hint="eastAsia"/>
        </w:rPr>
        <w:t>華南銀行由總經理召開投資業務委員會107年第2次會議審議，討論事項第3案係有關該行擬投資台杉水牛二號基金3.8億元案，</w:t>
      </w:r>
      <w:r w:rsidR="00503EE1" w:rsidRPr="00F542DE">
        <w:rPr>
          <w:rFonts w:hint="eastAsia"/>
        </w:rPr>
        <w:t>經決議全體委員同意通過。</w:t>
      </w:r>
    </w:p>
    <w:p w:rsidR="00503EE1" w:rsidRPr="00F542DE" w:rsidRDefault="00503EE1" w:rsidP="00205910">
      <w:pPr>
        <w:pStyle w:val="6"/>
      </w:pPr>
      <w:r w:rsidRPr="00F542DE">
        <w:rPr>
          <w:rFonts w:hint="eastAsia"/>
        </w:rPr>
        <w:t>107年4月26日華南銀行董事長吳當傑核准發函予母公司華南金控。</w:t>
      </w:r>
    </w:p>
    <w:p w:rsidR="009B7534" w:rsidRPr="00F542DE" w:rsidRDefault="009B7534" w:rsidP="00503EE1">
      <w:pPr>
        <w:pStyle w:val="6"/>
      </w:pPr>
      <w:r w:rsidRPr="00F542DE">
        <w:rPr>
          <w:rFonts w:hint="eastAsia"/>
        </w:rPr>
        <w:t>107年</w:t>
      </w:r>
      <w:r w:rsidR="00205910" w:rsidRPr="00F542DE">
        <w:rPr>
          <w:rFonts w:hint="eastAsia"/>
        </w:rPr>
        <w:t>5</w:t>
      </w:r>
      <w:r w:rsidRPr="00F542DE">
        <w:rPr>
          <w:rFonts w:hint="eastAsia"/>
        </w:rPr>
        <w:t>月</w:t>
      </w:r>
      <w:r w:rsidR="00205910" w:rsidRPr="00F542DE">
        <w:rPr>
          <w:rFonts w:hint="eastAsia"/>
        </w:rPr>
        <w:t>4</w:t>
      </w:r>
      <w:r w:rsidRPr="00F542DE">
        <w:rPr>
          <w:rFonts w:hint="eastAsia"/>
        </w:rPr>
        <w:t>日</w:t>
      </w:r>
      <w:r w:rsidR="00503EE1" w:rsidRPr="00F542DE">
        <w:rPr>
          <w:rFonts w:hint="eastAsia"/>
        </w:rPr>
        <w:t>華南金控召開107年度集團經</w:t>
      </w:r>
      <w:r w:rsidR="00503EE1" w:rsidRPr="00F542DE">
        <w:rPr>
          <w:rFonts w:hint="eastAsia"/>
        </w:rPr>
        <w:lastRenderedPageBreak/>
        <w:t>營策略委員會，討論有關華南銀行投資台杉水牛二號基金3.8億元案，經主席吳當傑董事長徵詢出席委員後，照案通過。</w:t>
      </w:r>
    </w:p>
    <w:p w:rsidR="009B7534" w:rsidRPr="00F542DE" w:rsidRDefault="009B7534" w:rsidP="009F6FF4">
      <w:pPr>
        <w:pStyle w:val="6"/>
      </w:pPr>
      <w:r w:rsidRPr="00F542DE">
        <w:rPr>
          <w:rFonts w:hint="eastAsia"/>
        </w:rPr>
        <w:t>107年</w:t>
      </w:r>
      <w:r w:rsidR="00205910" w:rsidRPr="00F542DE">
        <w:rPr>
          <w:rFonts w:hint="eastAsia"/>
        </w:rPr>
        <w:t>5</w:t>
      </w:r>
      <w:r w:rsidRPr="00F542DE">
        <w:rPr>
          <w:rFonts w:hint="eastAsia"/>
        </w:rPr>
        <w:t>月</w:t>
      </w:r>
      <w:r w:rsidR="00205910" w:rsidRPr="00F542DE">
        <w:rPr>
          <w:rFonts w:hint="eastAsia"/>
        </w:rPr>
        <w:t>25</w:t>
      </w:r>
      <w:r w:rsidRPr="00F542DE">
        <w:rPr>
          <w:rFonts w:hint="eastAsia"/>
        </w:rPr>
        <w:t>日</w:t>
      </w:r>
      <w:r w:rsidR="00205910" w:rsidRPr="00F542DE">
        <w:rPr>
          <w:rFonts w:hint="eastAsia"/>
        </w:rPr>
        <w:t>華南金控函復華南銀行原則同意提報董事會討論。</w:t>
      </w:r>
      <w:r w:rsidR="009F6FF4" w:rsidRPr="00F542DE">
        <w:rPr>
          <w:rFonts w:hint="eastAsia"/>
        </w:rPr>
        <w:t>同日會計師出具價格合理性意見書，該會計師認為華南銀行投資金額折現後之金額介於其分析之合理交易價格區間，故該行投資台杉水牛二號基金之交易價格，尚屬合理。</w:t>
      </w:r>
    </w:p>
    <w:p w:rsidR="009B7534" w:rsidRPr="00F542DE" w:rsidRDefault="00503EE1" w:rsidP="009F6FF4">
      <w:pPr>
        <w:pStyle w:val="6"/>
      </w:pPr>
      <w:r w:rsidRPr="00F542DE">
        <w:rPr>
          <w:rFonts w:hint="eastAsia"/>
        </w:rPr>
        <w:t>107年5月28日華南銀行召開第24屆第28次董事會議，其中討論第8案審議該行投資台杉水牛二號基金3.8億元案，經主席徵詢全體出席董事無異議同意通過。</w:t>
      </w:r>
      <w:r w:rsidR="009F6FF4" w:rsidRPr="00F542DE">
        <w:rPr>
          <w:rFonts w:hint="eastAsia"/>
        </w:rPr>
        <w:t>同日華南金控第6屆第24次董事會，討論事項第六案審議華南銀行投資台杉水牛二號基金3.8億元案，經主席徵詢全體出席董事無異議通過。</w:t>
      </w:r>
    </w:p>
    <w:p w:rsidR="009F6FF4" w:rsidRPr="00F542DE" w:rsidRDefault="009F6FF4" w:rsidP="009F6FF4">
      <w:pPr>
        <w:pStyle w:val="5"/>
      </w:pPr>
      <w:r w:rsidRPr="00F542DE">
        <w:rPr>
          <w:rFonts w:hint="eastAsia"/>
        </w:rPr>
        <w:t>華南產險：</w:t>
      </w:r>
    </w:p>
    <w:p w:rsidR="009F6FF4" w:rsidRPr="00F542DE" w:rsidRDefault="009F6FF4" w:rsidP="009B7534">
      <w:pPr>
        <w:pStyle w:val="6"/>
      </w:pPr>
      <w:r w:rsidRPr="00F542DE">
        <w:rPr>
          <w:rFonts w:hint="eastAsia"/>
        </w:rPr>
        <w:t>107年4月12日華南產險參與台杉投顧至華南金控進行募資簡報。</w:t>
      </w:r>
    </w:p>
    <w:p w:rsidR="009B7534" w:rsidRPr="00F542DE" w:rsidRDefault="009B7534" w:rsidP="008D2331">
      <w:pPr>
        <w:pStyle w:val="6"/>
      </w:pPr>
      <w:r w:rsidRPr="00F542DE">
        <w:rPr>
          <w:rFonts w:hint="eastAsia"/>
        </w:rPr>
        <w:t>107年</w:t>
      </w:r>
      <w:r w:rsidR="009F6FF4" w:rsidRPr="00F542DE">
        <w:rPr>
          <w:rFonts w:hint="eastAsia"/>
        </w:rPr>
        <w:t>5</w:t>
      </w:r>
      <w:r w:rsidRPr="00F542DE">
        <w:rPr>
          <w:rFonts w:hint="eastAsia"/>
        </w:rPr>
        <w:t>月</w:t>
      </w:r>
      <w:r w:rsidR="009F6FF4" w:rsidRPr="00F542DE">
        <w:rPr>
          <w:rFonts w:hint="eastAsia"/>
        </w:rPr>
        <w:t>10</w:t>
      </w:r>
      <w:r w:rsidRPr="00F542DE">
        <w:rPr>
          <w:rFonts w:hint="eastAsia"/>
        </w:rPr>
        <w:t>日</w:t>
      </w:r>
      <w:r w:rsidR="009F6FF4" w:rsidRPr="00F542DE">
        <w:rPr>
          <w:rFonts w:hint="eastAsia"/>
        </w:rPr>
        <w:t>華南產險完成台杉水牛二號投資評估報告。</w:t>
      </w:r>
      <w:r w:rsidR="008D2331" w:rsidRPr="00F542DE">
        <w:rPr>
          <w:rFonts w:hint="eastAsia"/>
        </w:rPr>
        <w:t>綜合考量台杉水牛二號基金之收益及風險評估後，擬於3千萬元內進行投資，投資金額採一次承諾分批投入。本案因屬關係人交易，應經該公司董事會2/3以上董事出席，出席董事3/4以上決議後為之。</w:t>
      </w:r>
    </w:p>
    <w:p w:rsidR="009B7534" w:rsidRPr="00F542DE" w:rsidRDefault="009F6FF4" w:rsidP="009F6FF4">
      <w:pPr>
        <w:pStyle w:val="6"/>
      </w:pPr>
      <w:r w:rsidRPr="00F542DE">
        <w:rPr>
          <w:rFonts w:hint="eastAsia"/>
        </w:rPr>
        <w:t>107年5月11日華南產險提出董事會提案單，經董事長於</w:t>
      </w:r>
      <w:r w:rsidR="008D2331" w:rsidRPr="00F542DE">
        <w:rPr>
          <w:rFonts w:hint="eastAsia"/>
        </w:rPr>
        <w:t>同年月</w:t>
      </w:r>
      <w:r w:rsidRPr="00F542DE">
        <w:rPr>
          <w:rFonts w:hint="eastAsia"/>
        </w:rPr>
        <w:t>17</w:t>
      </w:r>
      <w:r w:rsidR="008D2331" w:rsidRPr="00F542DE">
        <w:rPr>
          <w:rFonts w:hint="eastAsia"/>
        </w:rPr>
        <w:t>日</w:t>
      </w:r>
      <w:r w:rsidRPr="00F542DE">
        <w:rPr>
          <w:rFonts w:hint="eastAsia"/>
        </w:rPr>
        <w:t>簽名。</w:t>
      </w:r>
    </w:p>
    <w:p w:rsidR="00C81FB5" w:rsidRPr="00F542DE" w:rsidRDefault="009F6FF4" w:rsidP="008D2331">
      <w:pPr>
        <w:pStyle w:val="6"/>
      </w:pPr>
      <w:r w:rsidRPr="00F542DE">
        <w:rPr>
          <w:rFonts w:hint="eastAsia"/>
        </w:rPr>
        <w:t>107年5月24日</w:t>
      </w:r>
      <w:r w:rsidR="008D2331" w:rsidRPr="00F542DE">
        <w:rPr>
          <w:rFonts w:hint="eastAsia"/>
        </w:rPr>
        <w:t>華南產險由董事長吳崇權召開第2屆第19次風險管理委員會，其中討論事項二，研議該產險投資台杉水牛二號基金關</w:t>
      </w:r>
      <w:r w:rsidR="008D2331" w:rsidRPr="00F542DE">
        <w:rPr>
          <w:rFonts w:hint="eastAsia"/>
        </w:rPr>
        <w:lastRenderedPageBreak/>
        <w:t>係人交易事項。經全體出席委員研議通過，並依相關程序辦理後續提報。</w:t>
      </w:r>
      <w:r w:rsidRPr="00F542DE">
        <w:rPr>
          <w:rFonts w:hint="eastAsia"/>
        </w:rPr>
        <w:t>。</w:t>
      </w:r>
    </w:p>
    <w:p w:rsidR="00C81FB5" w:rsidRPr="00F542DE" w:rsidRDefault="009F6FF4" w:rsidP="009F6FF4">
      <w:pPr>
        <w:pStyle w:val="6"/>
        <w:rPr>
          <w:sz w:val="24"/>
          <w:szCs w:val="24"/>
        </w:rPr>
      </w:pPr>
      <w:r w:rsidRPr="00F542DE">
        <w:rPr>
          <w:rFonts w:hint="eastAsia"/>
        </w:rPr>
        <w:t>107年5月31日華南產險第18屆第22次董事會</w:t>
      </w:r>
      <w:r w:rsidR="008D2331" w:rsidRPr="00F542DE">
        <w:rPr>
          <w:rFonts w:hint="eastAsia"/>
        </w:rPr>
        <w:t>共計15位董事出席(親自出席13人、委託出席2人)，其中討論事項第4案就該產險公司投資台杉水牛二號基金3千萬元案，經主席徵詢出席董事(2位董事利益迴避，未參與討論及表決)全體無異議通過。</w:t>
      </w:r>
    </w:p>
    <w:p w:rsidR="00C81FB5" w:rsidRPr="00F542DE" w:rsidRDefault="00C81FB5" w:rsidP="008D2331">
      <w:pPr>
        <w:pStyle w:val="5"/>
      </w:pPr>
      <w:r w:rsidRPr="00F542DE">
        <w:rPr>
          <w:rFonts w:hint="eastAsia"/>
        </w:rPr>
        <w:t>華南創投</w:t>
      </w:r>
      <w:r w:rsidR="00B94DD3" w:rsidRPr="00F542DE">
        <w:rPr>
          <w:rFonts w:hAnsi="標楷體" w:hint="eastAsia"/>
        </w:rPr>
        <w:t>：</w:t>
      </w:r>
    </w:p>
    <w:p w:rsidR="008D2331" w:rsidRPr="00F542DE" w:rsidRDefault="008D2331" w:rsidP="008D2331">
      <w:pPr>
        <w:pStyle w:val="6"/>
      </w:pPr>
      <w:r w:rsidRPr="00F542DE">
        <w:rPr>
          <w:rFonts w:hint="eastAsia"/>
        </w:rPr>
        <w:t>107年4月12日華南創投參與台杉投顧至華南金控進行之募資簡報。</w:t>
      </w:r>
    </w:p>
    <w:p w:rsidR="008D2331" w:rsidRPr="00F542DE" w:rsidRDefault="008D2331" w:rsidP="0080295A">
      <w:pPr>
        <w:pStyle w:val="6"/>
      </w:pPr>
      <w:r w:rsidRPr="00F542DE">
        <w:rPr>
          <w:rFonts w:hint="eastAsia"/>
        </w:rPr>
        <w:t>華南創投提出可行性評估報告</w:t>
      </w:r>
      <w:r w:rsidR="0080295A" w:rsidRPr="00F542DE">
        <w:rPr>
          <w:rFonts w:hint="eastAsia"/>
        </w:rPr>
        <w:t>，建議該公司參與投資台杉水牛二號基金9千萬，期間10年，年化投資報酬率預估不低於15%，投資後將占該有限合夥50億元之1.8%。</w:t>
      </w:r>
    </w:p>
    <w:p w:rsidR="008D2331" w:rsidRPr="00F542DE" w:rsidRDefault="008D2331" w:rsidP="0080295A">
      <w:pPr>
        <w:pStyle w:val="6"/>
      </w:pPr>
      <w:r w:rsidRPr="00F542DE">
        <w:rPr>
          <w:rFonts w:hint="eastAsia"/>
        </w:rPr>
        <w:t>107年5月11日</w:t>
      </w:r>
      <w:r w:rsidR="0080295A" w:rsidRPr="00F542DE">
        <w:rPr>
          <w:rFonts w:hint="eastAsia"/>
        </w:rPr>
        <w:t>華南創投召開投資審議委員會，其中議題第2案係討論該公司於9千萬額度內投資台杉水牛二號基金。經主席徵詢投資審議委員意見，同意提報該公司董事會議審議。</w:t>
      </w:r>
    </w:p>
    <w:p w:rsidR="008D2331" w:rsidRPr="00F542DE" w:rsidRDefault="008D2331" w:rsidP="0080295A">
      <w:pPr>
        <w:pStyle w:val="6"/>
      </w:pPr>
      <w:r w:rsidRPr="00F542DE">
        <w:rPr>
          <w:rFonts w:hint="eastAsia"/>
        </w:rPr>
        <w:t>107年5月23日</w:t>
      </w:r>
      <w:r w:rsidR="0080295A" w:rsidRPr="00F542DE">
        <w:rPr>
          <w:rFonts w:hint="eastAsia"/>
        </w:rPr>
        <w:t>華南創投召開第5屆第22次董事會，其中討論事項第6案係審議該公司投資台杉水牛二號基金案。經主席徵詢全體出席董事同意通過。</w:t>
      </w:r>
    </w:p>
    <w:p w:rsidR="0080295A" w:rsidRPr="00F542DE" w:rsidRDefault="0080295A" w:rsidP="0080295A">
      <w:pPr>
        <w:pStyle w:val="5"/>
      </w:pPr>
      <w:r w:rsidRPr="00F542DE">
        <w:rPr>
          <w:rFonts w:hint="eastAsia"/>
        </w:rPr>
        <w:t>臺灣中小企銀：</w:t>
      </w:r>
    </w:p>
    <w:p w:rsidR="008D2331" w:rsidRPr="00F542DE" w:rsidRDefault="008D2331" w:rsidP="00E606E7">
      <w:pPr>
        <w:pStyle w:val="6"/>
      </w:pPr>
      <w:r w:rsidRPr="00F542DE">
        <w:rPr>
          <w:rFonts w:hint="eastAsia"/>
        </w:rPr>
        <w:t>107年</w:t>
      </w:r>
      <w:r w:rsidR="00E606E7" w:rsidRPr="00F542DE">
        <w:rPr>
          <w:rFonts w:hint="eastAsia"/>
        </w:rPr>
        <w:t>3</w:t>
      </w:r>
      <w:r w:rsidRPr="00F542DE">
        <w:rPr>
          <w:rFonts w:hint="eastAsia"/>
        </w:rPr>
        <w:t>月</w:t>
      </w:r>
      <w:r w:rsidR="00E606E7" w:rsidRPr="00F542DE">
        <w:rPr>
          <w:rFonts w:hint="eastAsia"/>
        </w:rPr>
        <w:t>7</w:t>
      </w:r>
      <w:r w:rsidRPr="00F542DE">
        <w:rPr>
          <w:rFonts w:hint="eastAsia"/>
        </w:rPr>
        <w:t>日</w:t>
      </w:r>
      <w:r w:rsidR="00E606E7" w:rsidRPr="00F542DE">
        <w:rPr>
          <w:rFonts w:hint="eastAsia"/>
        </w:rPr>
        <w:t>臺灣中小企銀接獲台杉投顧以電子郵件寄送之募資計畫書。</w:t>
      </w:r>
    </w:p>
    <w:p w:rsidR="00E606E7" w:rsidRPr="00F542DE" w:rsidRDefault="00E606E7" w:rsidP="00E606E7">
      <w:pPr>
        <w:pStyle w:val="6"/>
      </w:pPr>
      <w:r w:rsidRPr="00F542DE">
        <w:rPr>
          <w:rFonts w:hint="eastAsia"/>
        </w:rPr>
        <w:t>臺灣中小企銀投資台杉水牛二號基金投資計畫書分析，該行參與投資台杉水牛二號基金，將可配合政府推動5+2創新產業計畫，建</w:t>
      </w:r>
      <w:r w:rsidRPr="00F542DE">
        <w:rPr>
          <w:rFonts w:hint="eastAsia"/>
        </w:rPr>
        <w:lastRenderedPageBreak/>
        <w:t>置臺灣成為亞太生技醫藥產業重鎮，並可多元化該行資金運用，增加資金去化管道，提升資金運用效益，另透過投資該基金除配合政府政策外，將可擴大整體生技產業之發展，善盡企業社會責任及協助國內產業取得發展所需資金，以創造金融業與實體產業的雙贏局面。投資預計需至第7年始獲利，預估至第10年IRR為16%。</w:t>
      </w:r>
    </w:p>
    <w:p w:rsidR="008D2331" w:rsidRPr="00F542DE" w:rsidRDefault="008D2331" w:rsidP="00E606E7">
      <w:pPr>
        <w:pStyle w:val="6"/>
      </w:pPr>
      <w:r w:rsidRPr="00F542DE">
        <w:rPr>
          <w:rFonts w:hint="eastAsia"/>
        </w:rPr>
        <w:t>107年</w:t>
      </w:r>
      <w:r w:rsidR="00E606E7" w:rsidRPr="00F542DE">
        <w:rPr>
          <w:rFonts w:hint="eastAsia"/>
        </w:rPr>
        <w:t>6</w:t>
      </w:r>
      <w:r w:rsidRPr="00F542DE">
        <w:rPr>
          <w:rFonts w:hint="eastAsia"/>
        </w:rPr>
        <w:t>月1日</w:t>
      </w:r>
      <w:r w:rsidR="00E606E7" w:rsidRPr="00F542DE">
        <w:rPr>
          <w:rFonts w:hint="eastAsia"/>
        </w:rPr>
        <w:t>臺灣中小企銀財務部簽擬投資台杉水牛二號基金1億元，經董事長黃博怡於同年月6日批可。次日(7</w:t>
      </w:r>
      <w:r w:rsidRPr="00F542DE">
        <w:rPr>
          <w:rFonts w:hint="eastAsia"/>
        </w:rPr>
        <w:t>日</w:t>
      </w:r>
      <w:r w:rsidR="00E606E7" w:rsidRPr="00F542DE">
        <w:rPr>
          <w:rFonts w:hint="eastAsia"/>
        </w:rPr>
        <w:t>)該行提出「財政部派任公民營事業機構公股代表書面意見表」，同意該行擬轉投資台杉水牛二號基金1億元。</w:t>
      </w:r>
    </w:p>
    <w:p w:rsidR="00C81FB5" w:rsidRPr="00F542DE" w:rsidRDefault="00E606E7" w:rsidP="00E606E7">
      <w:pPr>
        <w:pStyle w:val="6"/>
      </w:pPr>
      <w:r w:rsidRPr="00F542DE">
        <w:rPr>
          <w:rFonts w:hint="eastAsia"/>
        </w:rPr>
        <w:t>107年6月14日臺灣中小企銀第14屆第22次董事會</w:t>
      </w:r>
      <w:r w:rsidR="00C81FB5" w:rsidRPr="00F542DE">
        <w:rPr>
          <w:rFonts w:hint="eastAsia"/>
        </w:rPr>
        <w:t>，其中討論事項第9案係討論該行投資台杉水牛二號基金1億元案。</w:t>
      </w:r>
      <w:r w:rsidR="00D75AD7" w:rsidRPr="00F542DE">
        <w:rPr>
          <w:rFonts w:hint="eastAsia"/>
        </w:rPr>
        <w:t>經討論後同意該行投資該基金1億元。</w:t>
      </w:r>
    </w:p>
    <w:p w:rsidR="00E64A23" w:rsidRPr="00F542DE" w:rsidRDefault="00D75AD7" w:rsidP="009B58C7">
      <w:pPr>
        <w:pStyle w:val="4"/>
      </w:pPr>
      <w:r w:rsidRPr="00F542DE">
        <w:rPr>
          <w:rFonts w:hint="eastAsia"/>
        </w:rPr>
        <w:t>綜上，本院調閱兆豐銀行等泛公股事業投資台杉水牛一號及二號基金評估情形，經查該等事業均有進行相關投資評估，</w:t>
      </w:r>
      <w:r w:rsidR="00813B09" w:rsidRPr="00F542DE">
        <w:rPr>
          <w:rFonts w:hint="eastAsia"/>
        </w:rPr>
        <w:t>且經董事會通過，尚非所稱</w:t>
      </w:r>
      <w:r w:rsidR="00C81FB5" w:rsidRPr="00F542DE">
        <w:rPr>
          <w:rFonts w:hint="eastAsia"/>
        </w:rPr>
        <w:t>決策過程</w:t>
      </w:r>
      <w:r w:rsidR="007D4FB0" w:rsidRPr="00F542DE">
        <w:rPr>
          <w:rFonts w:hint="eastAsia"/>
        </w:rPr>
        <w:t>均僅</w:t>
      </w:r>
      <w:r w:rsidR="00C81FB5" w:rsidRPr="00F542DE">
        <w:rPr>
          <w:rFonts w:hint="eastAsia"/>
        </w:rPr>
        <w:t>授權董事長決定。</w:t>
      </w:r>
    </w:p>
    <w:p w:rsidR="00C95C12" w:rsidRPr="00F542DE" w:rsidRDefault="00C95C12" w:rsidP="009B58C7">
      <w:pPr>
        <w:pStyle w:val="4"/>
        <w:numPr>
          <w:ilvl w:val="0"/>
          <w:numId w:val="0"/>
        </w:numPr>
        <w:sectPr w:rsidR="00C95C12" w:rsidRPr="00F542DE" w:rsidSect="00CF152F">
          <w:footerReference w:type="default" r:id="rId9"/>
          <w:pgSz w:w="11907" w:h="16840" w:code="9"/>
          <w:pgMar w:top="1701" w:right="1418" w:bottom="1418" w:left="1418" w:header="851" w:footer="851" w:gutter="227"/>
          <w:cols w:space="425"/>
          <w:docGrid w:type="linesAndChars" w:linePitch="457" w:charSpace="4127"/>
        </w:sectPr>
      </w:pPr>
    </w:p>
    <w:p w:rsidR="00C95C12" w:rsidRPr="00F542DE" w:rsidRDefault="00C95C12" w:rsidP="00C95C12">
      <w:pPr>
        <w:pStyle w:val="1"/>
        <w:ind w:left="2380" w:hanging="2380"/>
      </w:pPr>
      <w:bookmarkStart w:id="105" w:name="_Toc529222689"/>
      <w:bookmarkStart w:id="106" w:name="_Toc529223111"/>
      <w:bookmarkStart w:id="107" w:name="_Toc529223862"/>
      <w:bookmarkStart w:id="108" w:name="_Toc529228265"/>
      <w:bookmarkStart w:id="109" w:name="_Toc2400395"/>
      <w:bookmarkStart w:id="110" w:name="_Toc4316189"/>
      <w:bookmarkStart w:id="111" w:name="_Toc4473330"/>
      <w:bookmarkStart w:id="112" w:name="_Toc69556897"/>
      <w:bookmarkStart w:id="113" w:name="_Toc69556946"/>
      <w:bookmarkStart w:id="114" w:name="_Toc69609820"/>
      <w:bookmarkStart w:id="115" w:name="_Toc70241816"/>
      <w:bookmarkStart w:id="116" w:name="_Toc70242205"/>
      <w:bookmarkStart w:id="117" w:name="_Toc421794875"/>
      <w:bookmarkStart w:id="118" w:name="_Toc30496486"/>
      <w:r w:rsidRPr="00F542DE">
        <w:rPr>
          <w:rFonts w:hint="eastAsia"/>
          <w:b/>
        </w:rPr>
        <w:lastRenderedPageBreak/>
        <w:t>處理辦法：</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C95C12" w:rsidRPr="00F542DE" w:rsidRDefault="00C95C12" w:rsidP="00C95C12">
      <w:pPr>
        <w:pStyle w:val="2"/>
      </w:pPr>
      <w:bookmarkStart w:id="119" w:name="_Toc524895649"/>
      <w:bookmarkStart w:id="120" w:name="_Toc524896195"/>
      <w:bookmarkStart w:id="121" w:name="_Toc524896225"/>
      <w:bookmarkStart w:id="122" w:name="_Toc2400396"/>
      <w:bookmarkStart w:id="123" w:name="_Toc4316190"/>
      <w:bookmarkStart w:id="124" w:name="_Toc4473331"/>
      <w:bookmarkStart w:id="125" w:name="_Toc69556898"/>
      <w:bookmarkStart w:id="126" w:name="_Toc69556947"/>
      <w:bookmarkStart w:id="127" w:name="_Toc69609821"/>
      <w:bookmarkStart w:id="128" w:name="_Toc70241817"/>
      <w:bookmarkStart w:id="129" w:name="_Toc70242206"/>
      <w:bookmarkStart w:id="130" w:name="_Toc421794877"/>
      <w:bookmarkStart w:id="131" w:name="_Toc421795443"/>
      <w:bookmarkStart w:id="132" w:name="_Toc421796024"/>
      <w:bookmarkStart w:id="133" w:name="_Toc422728959"/>
      <w:bookmarkStart w:id="134" w:name="_Toc422834162"/>
      <w:bookmarkStart w:id="135" w:name="_Toc24448137"/>
      <w:bookmarkStart w:id="136" w:name="_Toc29903209"/>
      <w:bookmarkStart w:id="137" w:name="_Toc30496487"/>
      <w:bookmarkStart w:id="138" w:name="_Toc524902735"/>
      <w:bookmarkStart w:id="139" w:name="_Toc525066149"/>
      <w:bookmarkStart w:id="140" w:name="_Toc525070840"/>
      <w:bookmarkStart w:id="141" w:name="_Toc525938380"/>
      <w:bookmarkStart w:id="142" w:name="_Toc525939228"/>
      <w:bookmarkStart w:id="143" w:name="_Toc525939733"/>
      <w:bookmarkStart w:id="144" w:name="_Toc529218273"/>
      <w:bookmarkStart w:id="145" w:name="_Toc529222690"/>
      <w:bookmarkStart w:id="146" w:name="_Toc529223112"/>
      <w:bookmarkStart w:id="147" w:name="_Toc529223863"/>
      <w:bookmarkStart w:id="148" w:name="_Toc529228266"/>
      <w:bookmarkEnd w:id="119"/>
      <w:bookmarkEnd w:id="120"/>
      <w:bookmarkEnd w:id="121"/>
      <w:r w:rsidRPr="00F542DE">
        <w:rPr>
          <w:rFonts w:hint="eastAsia"/>
        </w:rPr>
        <w:t>調查意見一至</w:t>
      </w:r>
      <w:r w:rsidR="00EB44F3" w:rsidRPr="00F542DE">
        <w:rPr>
          <w:rFonts w:hint="eastAsia"/>
        </w:rPr>
        <w:t>二</w:t>
      </w:r>
      <w:r w:rsidRPr="00F542DE">
        <w:rPr>
          <w:rFonts w:hint="eastAsia"/>
        </w:rPr>
        <w:t>，函請</w:t>
      </w:r>
      <w:r w:rsidR="00EB44F3" w:rsidRPr="00F542DE">
        <w:rPr>
          <w:rFonts w:hint="eastAsia"/>
        </w:rPr>
        <w:t>國家發展委員會切實檢討改進見復</w:t>
      </w:r>
      <w:r w:rsidRPr="00F542DE">
        <w:rPr>
          <w:rFonts w:hint="eastAsia"/>
        </w:rPr>
        <w:t>。</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EB44F3" w:rsidRPr="00F542DE" w:rsidRDefault="00EB44F3" w:rsidP="00EB44F3">
      <w:pPr>
        <w:pStyle w:val="2"/>
      </w:pPr>
      <w:bookmarkStart w:id="149" w:name="_Toc24448138"/>
      <w:bookmarkStart w:id="150" w:name="_Toc29903210"/>
      <w:bookmarkStart w:id="151" w:name="_Toc30496488"/>
      <w:r w:rsidRPr="00F542DE">
        <w:rPr>
          <w:rFonts w:hint="eastAsia"/>
        </w:rPr>
        <w:t>調查意見一至二，函請經濟部研處見復。</w:t>
      </w:r>
      <w:bookmarkEnd w:id="149"/>
      <w:bookmarkEnd w:id="150"/>
      <w:bookmarkEnd w:id="151"/>
    </w:p>
    <w:p w:rsidR="00EB44F3" w:rsidRPr="00F542DE" w:rsidRDefault="00EB44F3" w:rsidP="00EB44F3">
      <w:pPr>
        <w:pStyle w:val="2"/>
      </w:pPr>
      <w:bookmarkStart w:id="152" w:name="_Toc24448139"/>
      <w:bookmarkStart w:id="153" w:name="_Toc29903211"/>
      <w:bookmarkStart w:id="154" w:name="_Toc30496489"/>
      <w:r w:rsidRPr="00F542DE">
        <w:rPr>
          <w:rFonts w:hint="eastAsia"/>
        </w:rPr>
        <w:t>調查意見三，函請臺灣金融控股股份有限公司切實檢討改進見復。</w:t>
      </w:r>
      <w:bookmarkEnd w:id="152"/>
      <w:bookmarkEnd w:id="153"/>
      <w:bookmarkEnd w:id="154"/>
    </w:p>
    <w:p w:rsidR="00EB44F3" w:rsidRPr="00F542DE" w:rsidRDefault="00EB44F3" w:rsidP="00EB44F3">
      <w:pPr>
        <w:pStyle w:val="2"/>
      </w:pPr>
      <w:bookmarkStart w:id="155" w:name="_Toc24448140"/>
      <w:bookmarkStart w:id="156" w:name="_Toc29903212"/>
      <w:bookmarkStart w:id="157" w:name="_Toc30496490"/>
      <w:r w:rsidRPr="00F542DE">
        <w:rPr>
          <w:rFonts w:hint="eastAsia"/>
        </w:rPr>
        <w:t>調查意見四，函請金融監督管理委員會切實檢討改進見復。</w:t>
      </w:r>
      <w:bookmarkEnd w:id="155"/>
      <w:bookmarkEnd w:id="156"/>
      <w:bookmarkEnd w:id="157"/>
    </w:p>
    <w:p w:rsidR="000A602C" w:rsidRPr="00F542DE" w:rsidRDefault="000A602C" w:rsidP="00C95C12">
      <w:pPr>
        <w:pStyle w:val="2"/>
      </w:pPr>
      <w:bookmarkStart w:id="158" w:name="_Toc24448141"/>
      <w:bookmarkStart w:id="159" w:name="_Toc29903213"/>
      <w:bookmarkStart w:id="160" w:name="_Toc30496491"/>
      <w:r w:rsidRPr="00F542DE">
        <w:rPr>
          <w:rFonts w:hint="eastAsia"/>
        </w:rPr>
        <w:t>調查意見</w:t>
      </w:r>
      <w:r w:rsidR="00EB44F3" w:rsidRPr="00F542DE">
        <w:rPr>
          <w:rFonts w:hint="eastAsia"/>
        </w:rPr>
        <w:t>五</w:t>
      </w:r>
      <w:r w:rsidRPr="00F542DE">
        <w:rPr>
          <w:rFonts w:hint="eastAsia"/>
        </w:rPr>
        <w:t>，函請</w:t>
      </w:r>
      <w:r w:rsidR="00EB44F3" w:rsidRPr="00F542DE">
        <w:rPr>
          <w:rFonts w:hint="eastAsia"/>
        </w:rPr>
        <w:t>國家發展委員會</w:t>
      </w:r>
      <w:r w:rsidRPr="00F542DE">
        <w:rPr>
          <w:rFonts w:hint="eastAsia"/>
        </w:rPr>
        <w:t>研處見復。</w:t>
      </w:r>
      <w:bookmarkEnd w:id="158"/>
      <w:bookmarkEnd w:id="159"/>
      <w:bookmarkEnd w:id="160"/>
    </w:p>
    <w:p w:rsidR="000A602C" w:rsidRPr="00F542DE" w:rsidRDefault="000A602C" w:rsidP="00C95C12">
      <w:pPr>
        <w:pStyle w:val="2"/>
      </w:pPr>
      <w:bookmarkStart w:id="161" w:name="_Toc24448142"/>
      <w:bookmarkStart w:id="162" w:name="_Toc29903214"/>
      <w:bookmarkStart w:id="163" w:name="_Toc30496492"/>
      <w:r w:rsidRPr="00F542DE">
        <w:rPr>
          <w:rFonts w:hint="eastAsia"/>
        </w:rPr>
        <w:t>調查意見一至</w:t>
      </w:r>
      <w:r w:rsidR="00EB44F3" w:rsidRPr="00F542DE">
        <w:rPr>
          <w:rFonts w:hint="eastAsia"/>
        </w:rPr>
        <w:t>五</w:t>
      </w:r>
      <w:r w:rsidRPr="00F542DE">
        <w:rPr>
          <w:rFonts w:hint="eastAsia"/>
        </w:rPr>
        <w:t>，函</w:t>
      </w:r>
      <w:r w:rsidR="00EB44F3" w:rsidRPr="00F542DE">
        <w:rPr>
          <w:rFonts w:hint="eastAsia"/>
        </w:rPr>
        <w:t>復陳訴人</w:t>
      </w:r>
      <w:r w:rsidRPr="00F542DE">
        <w:rPr>
          <w:rFonts w:hint="eastAsia"/>
        </w:rPr>
        <w:t>。</w:t>
      </w:r>
      <w:bookmarkEnd w:id="161"/>
      <w:bookmarkEnd w:id="162"/>
      <w:bookmarkEnd w:id="163"/>
    </w:p>
    <w:p w:rsidR="00C95C12" w:rsidRPr="00F542DE" w:rsidRDefault="00B17A8D" w:rsidP="00C95C12">
      <w:pPr>
        <w:pStyle w:val="2"/>
      </w:pPr>
      <w:bookmarkStart w:id="164" w:name="_Toc2400397"/>
      <w:bookmarkStart w:id="165" w:name="_Toc4316191"/>
      <w:bookmarkStart w:id="166" w:name="_Toc4473332"/>
      <w:bookmarkStart w:id="167" w:name="_Toc69556901"/>
      <w:bookmarkStart w:id="168" w:name="_Toc69556950"/>
      <w:bookmarkStart w:id="169" w:name="_Toc69609824"/>
      <w:bookmarkStart w:id="170" w:name="_Toc70241822"/>
      <w:bookmarkStart w:id="171" w:name="_Toc70242211"/>
      <w:bookmarkStart w:id="172" w:name="_Toc421794881"/>
      <w:bookmarkStart w:id="173" w:name="_Toc421795447"/>
      <w:bookmarkStart w:id="174" w:name="_Toc421796028"/>
      <w:bookmarkStart w:id="175" w:name="_Toc422728963"/>
      <w:bookmarkStart w:id="176" w:name="_Toc422834166"/>
      <w:bookmarkStart w:id="177" w:name="_Toc24448143"/>
      <w:bookmarkStart w:id="178" w:name="_Toc29903215"/>
      <w:bookmarkStart w:id="179" w:name="_Toc30496493"/>
      <w:bookmarkEnd w:id="138"/>
      <w:bookmarkEnd w:id="139"/>
      <w:bookmarkEnd w:id="140"/>
      <w:bookmarkEnd w:id="141"/>
      <w:bookmarkEnd w:id="142"/>
      <w:bookmarkEnd w:id="143"/>
      <w:bookmarkEnd w:id="144"/>
      <w:bookmarkEnd w:id="145"/>
      <w:bookmarkEnd w:id="146"/>
      <w:bookmarkEnd w:id="147"/>
      <w:bookmarkEnd w:id="148"/>
      <w:r>
        <w:rPr>
          <w:rFonts w:hint="eastAsia"/>
        </w:rPr>
        <w:t>調查報告之案由、調查意見及處理辦法上網公布</w:t>
      </w:r>
      <w:r w:rsidR="00C95C12" w:rsidRPr="00F542DE">
        <w:rPr>
          <w:rFonts w:hint="eastAsia"/>
        </w:rPr>
        <w:t>。</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C95C12" w:rsidRPr="00F542DE" w:rsidRDefault="00C95C12" w:rsidP="00C95C12">
      <w:pPr>
        <w:pStyle w:val="ab"/>
        <w:spacing w:beforeLines="150" w:before="685" w:after="0"/>
        <w:ind w:leftChars="1100" w:left="3520"/>
        <w:rPr>
          <w:rFonts w:ascii="Times New Roman"/>
          <w:b w:val="0"/>
          <w:bCs/>
          <w:snapToGrid/>
          <w:spacing w:val="0"/>
          <w:kern w:val="0"/>
          <w:sz w:val="40"/>
        </w:rPr>
      </w:pPr>
      <w:r w:rsidRPr="00F542DE">
        <w:rPr>
          <w:rFonts w:hint="eastAsia"/>
          <w:b w:val="0"/>
          <w:bCs/>
          <w:snapToGrid/>
          <w:spacing w:val="12"/>
          <w:kern w:val="0"/>
          <w:sz w:val="40"/>
        </w:rPr>
        <w:t>調查委員：</w:t>
      </w:r>
      <w:r w:rsidR="00A75104">
        <w:rPr>
          <w:rFonts w:hint="eastAsia"/>
          <w:b w:val="0"/>
          <w:bCs/>
          <w:snapToGrid/>
          <w:spacing w:val="12"/>
          <w:kern w:val="0"/>
          <w:sz w:val="40"/>
          <w:lang w:eastAsia="zh-HK"/>
        </w:rPr>
        <w:t>陳慶財</w:t>
      </w:r>
      <w:r w:rsidRPr="00F542DE">
        <w:rPr>
          <w:rFonts w:ascii="Times New Roman"/>
          <w:b w:val="0"/>
          <w:bCs/>
          <w:snapToGrid/>
          <w:spacing w:val="0"/>
          <w:kern w:val="0"/>
          <w:sz w:val="40"/>
        </w:rPr>
        <w:t xml:space="preserve"> </w:t>
      </w:r>
    </w:p>
    <w:p w:rsidR="00C95C12" w:rsidRPr="00B17A8D" w:rsidRDefault="00A75104" w:rsidP="00C95C12">
      <w:pPr>
        <w:pStyle w:val="ab"/>
        <w:spacing w:before="0" w:after="0"/>
        <w:ind w:leftChars="1100" w:left="3520" w:firstLineChars="500" w:firstLine="1920"/>
        <w:rPr>
          <w:b w:val="0"/>
          <w:bCs/>
          <w:snapToGrid/>
          <w:spacing w:val="12"/>
          <w:kern w:val="0"/>
          <w:sz w:val="40"/>
        </w:rPr>
      </w:pPr>
      <w:r>
        <w:rPr>
          <w:rFonts w:hint="eastAsia"/>
          <w:b w:val="0"/>
          <w:bCs/>
          <w:snapToGrid/>
          <w:spacing w:val="12"/>
          <w:kern w:val="0"/>
        </w:rPr>
        <w:t xml:space="preserve"> </w:t>
      </w:r>
      <w:r w:rsidRPr="00B17A8D">
        <w:rPr>
          <w:rFonts w:hint="eastAsia"/>
          <w:b w:val="0"/>
          <w:bCs/>
          <w:snapToGrid/>
          <w:spacing w:val="12"/>
          <w:kern w:val="0"/>
          <w:sz w:val="40"/>
          <w:lang w:eastAsia="zh-HK"/>
        </w:rPr>
        <w:t>方萬富</w:t>
      </w:r>
    </w:p>
    <w:p w:rsidR="00C95C12" w:rsidRPr="00B17A8D" w:rsidRDefault="00A75104" w:rsidP="00C95C12">
      <w:pPr>
        <w:pStyle w:val="ab"/>
        <w:spacing w:before="0" w:after="0"/>
        <w:ind w:leftChars="1100" w:left="3520" w:firstLineChars="500" w:firstLine="2120"/>
        <w:rPr>
          <w:b w:val="0"/>
          <w:bCs/>
          <w:snapToGrid/>
          <w:spacing w:val="12"/>
          <w:kern w:val="0"/>
          <w:sz w:val="40"/>
          <w:lang w:eastAsia="zh-HK"/>
        </w:rPr>
      </w:pPr>
      <w:r w:rsidRPr="00B17A8D">
        <w:rPr>
          <w:rFonts w:hint="eastAsia"/>
          <w:b w:val="0"/>
          <w:bCs/>
          <w:snapToGrid/>
          <w:spacing w:val="12"/>
          <w:kern w:val="0"/>
          <w:sz w:val="40"/>
          <w:lang w:eastAsia="zh-HK"/>
        </w:rPr>
        <w:t>楊美鈴</w:t>
      </w:r>
    </w:p>
    <w:p w:rsidR="00A75104" w:rsidRPr="00B17A8D" w:rsidRDefault="00A75104" w:rsidP="00C95C12">
      <w:pPr>
        <w:pStyle w:val="ab"/>
        <w:spacing w:before="0" w:after="0"/>
        <w:ind w:leftChars="1100" w:left="3520" w:firstLineChars="500" w:firstLine="2120"/>
        <w:rPr>
          <w:b w:val="0"/>
          <w:bCs/>
          <w:snapToGrid/>
          <w:spacing w:val="12"/>
          <w:kern w:val="0"/>
          <w:sz w:val="40"/>
        </w:rPr>
      </w:pPr>
      <w:r w:rsidRPr="00B17A8D">
        <w:rPr>
          <w:rFonts w:hint="eastAsia"/>
          <w:b w:val="0"/>
          <w:bCs/>
          <w:snapToGrid/>
          <w:spacing w:val="12"/>
          <w:kern w:val="0"/>
          <w:sz w:val="40"/>
          <w:lang w:eastAsia="zh-HK"/>
        </w:rPr>
        <w:t>陳小紅</w:t>
      </w:r>
    </w:p>
    <w:p w:rsidR="00C95C12" w:rsidRPr="00F542DE" w:rsidRDefault="00C95C12" w:rsidP="00C95C12">
      <w:pPr>
        <w:pStyle w:val="ab"/>
        <w:spacing w:before="0" w:after="0"/>
        <w:ind w:leftChars="1100" w:left="3520" w:firstLineChars="500" w:firstLine="1920"/>
        <w:rPr>
          <w:b w:val="0"/>
          <w:bCs/>
          <w:snapToGrid/>
          <w:spacing w:val="12"/>
          <w:kern w:val="0"/>
        </w:rPr>
      </w:pPr>
    </w:p>
    <w:p w:rsidR="00C95C12" w:rsidRPr="00F542DE" w:rsidRDefault="00C95C12" w:rsidP="00C95C12">
      <w:pPr>
        <w:pStyle w:val="ab"/>
        <w:spacing w:before="0" w:after="0"/>
        <w:ind w:leftChars="1100" w:left="3520" w:firstLineChars="500" w:firstLine="1920"/>
        <w:rPr>
          <w:b w:val="0"/>
          <w:bCs/>
          <w:snapToGrid/>
          <w:spacing w:val="12"/>
          <w:kern w:val="0"/>
        </w:rPr>
      </w:pPr>
    </w:p>
    <w:p w:rsidR="00C95C12" w:rsidRPr="00F542DE" w:rsidRDefault="00C95C12" w:rsidP="00C95C12">
      <w:pPr>
        <w:pStyle w:val="af0"/>
        <w:rPr>
          <w:rFonts w:hAnsi="標楷體"/>
          <w:bCs/>
        </w:rPr>
      </w:pPr>
      <w:r w:rsidRPr="00F542DE">
        <w:rPr>
          <w:rFonts w:hAnsi="標楷體" w:hint="eastAsia"/>
          <w:bCs/>
        </w:rPr>
        <w:t xml:space="preserve">中  華  民  國 </w:t>
      </w:r>
      <w:r w:rsidR="00E5110C" w:rsidRPr="00F542DE">
        <w:rPr>
          <w:rFonts w:hAnsi="標楷體" w:hint="eastAsia"/>
          <w:bCs/>
        </w:rPr>
        <w:t xml:space="preserve">  </w:t>
      </w:r>
      <w:r w:rsidRPr="00F542DE">
        <w:rPr>
          <w:rFonts w:hAnsi="標楷體" w:hint="eastAsia"/>
          <w:bCs/>
        </w:rPr>
        <w:t xml:space="preserve">　</w:t>
      </w:r>
      <w:r w:rsidR="00B17A8D">
        <w:rPr>
          <w:rFonts w:hAnsi="標楷體" w:hint="eastAsia"/>
          <w:bCs/>
        </w:rPr>
        <w:t>１０９</w:t>
      </w:r>
      <w:bookmarkStart w:id="180" w:name="_GoBack"/>
      <w:bookmarkEnd w:id="180"/>
      <w:r w:rsidRPr="00F542DE">
        <w:rPr>
          <w:rFonts w:hAnsi="標楷體" w:hint="eastAsia"/>
          <w:bCs/>
        </w:rPr>
        <w:t xml:space="preserve"> </w:t>
      </w:r>
      <w:r w:rsidR="00E5110C" w:rsidRPr="00F542DE">
        <w:rPr>
          <w:rFonts w:hAnsi="標楷體" w:hint="eastAsia"/>
          <w:bCs/>
        </w:rPr>
        <w:t xml:space="preserve">  </w:t>
      </w:r>
      <w:r w:rsidRPr="00F542DE">
        <w:rPr>
          <w:rFonts w:hAnsi="標楷體" w:hint="eastAsia"/>
          <w:bCs/>
        </w:rPr>
        <w:t xml:space="preserve">　年</w:t>
      </w:r>
      <w:r w:rsidR="00E5110C" w:rsidRPr="00F542DE">
        <w:rPr>
          <w:rFonts w:hAnsi="標楷體" w:hint="eastAsia"/>
          <w:bCs/>
        </w:rPr>
        <w:t xml:space="preserve"> </w:t>
      </w:r>
      <w:r w:rsidRPr="00F542DE">
        <w:rPr>
          <w:rFonts w:hAnsi="標楷體" w:hint="eastAsia"/>
          <w:bCs/>
        </w:rPr>
        <w:t xml:space="preserve"> </w:t>
      </w:r>
      <w:r w:rsidR="00E5110C" w:rsidRPr="00F542DE">
        <w:rPr>
          <w:rFonts w:hAnsi="標楷體" w:hint="eastAsia"/>
          <w:bCs/>
        </w:rPr>
        <w:t xml:space="preserve"> </w:t>
      </w:r>
      <w:r w:rsidR="00B17A8D">
        <w:rPr>
          <w:rFonts w:hAnsi="標楷體" w:hint="eastAsia"/>
          <w:bCs/>
        </w:rPr>
        <w:t>２</w:t>
      </w:r>
      <w:r w:rsidRPr="00F542DE">
        <w:rPr>
          <w:rFonts w:hAnsi="標楷體" w:hint="eastAsia"/>
          <w:bCs/>
        </w:rPr>
        <w:t xml:space="preserve"> </w:t>
      </w:r>
      <w:r w:rsidR="00E5110C" w:rsidRPr="00F542DE">
        <w:rPr>
          <w:rFonts w:hAnsi="標楷體" w:hint="eastAsia"/>
          <w:bCs/>
        </w:rPr>
        <w:t xml:space="preserve">  </w:t>
      </w:r>
      <w:r w:rsidRPr="00F542DE">
        <w:rPr>
          <w:rFonts w:hAnsi="標楷體" w:hint="eastAsia"/>
          <w:bCs/>
        </w:rPr>
        <w:t xml:space="preserve"> 月　</w:t>
      </w:r>
      <w:r w:rsidR="00B17A8D">
        <w:rPr>
          <w:rFonts w:hAnsi="標楷體" w:hint="eastAsia"/>
          <w:bCs/>
        </w:rPr>
        <w:t>５</w:t>
      </w:r>
      <w:r w:rsidR="00E5110C" w:rsidRPr="00F542DE">
        <w:rPr>
          <w:rFonts w:hAnsi="標楷體" w:hint="eastAsia"/>
          <w:bCs/>
        </w:rPr>
        <w:t xml:space="preserve"> </w:t>
      </w:r>
      <w:r w:rsidRPr="00F542DE">
        <w:rPr>
          <w:rFonts w:hAnsi="標楷體" w:hint="eastAsia"/>
          <w:bCs/>
        </w:rPr>
        <w:t xml:space="preserve"> 日</w:t>
      </w:r>
    </w:p>
    <w:p w:rsidR="00D570C3" w:rsidRPr="00F542DE" w:rsidRDefault="00D570C3" w:rsidP="00CD5BBC">
      <w:pPr>
        <w:pStyle w:val="af1"/>
        <w:kinsoku/>
        <w:autoSpaceDE w:val="0"/>
        <w:spacing w:beforeLines="50" w:before="228"/>
        <w:ind w:left="960" w:hanging="960"/>
        <w:rPr>
          <w:rFonts w:hAnsi="標楷體"/>
          <w:snapToGrid w:val="0"/>
        </w:rPr>
      </w:pPr>
    </w:p>
    <w:sectPr w:rsidR="00D570C3" w:rsidRPr="00F542DE" w:rsidSect="00CD5BBC">
      <w:footerReference w:type="default" r:id="rId10"/>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1EF" w:rsidRDefault="007721EF">
      <w:r>
        <w:separator/>
      </w:r>
    </w:p>
  </w:endnote>
  <w:endnote w:type="continuationSeparator" w:id="0">
    <w:p w:rsidR="007721EF" w:rsidRDefault="0077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B91" w:rsidRDefault="00BB4B9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17A8D">
      <w:rPr>
        <w:rStyle w:val="ad"/>
        <w:noProof/>
        <w:sz w:val="24"/>
      </w:rPr>
      <w:t>42</w:t>
    </w:r>
    <w:r>
      <w:rPr>
        <w:rStyle w:val="ad"/>
        <w:sz w:val="24"/>
      </w:rPr>
      <w:fldChar w:fldCharType="end"/>
    </w:r>
  </w:p>
  <w:p w:rsidR="00BB4B91" w:rsidRDefault="00BB4B91">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B91" w:rsidRDefault="00BB4B9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17A8D">
      <w:rPr>
        <w:rStyle w:val="ad"/>
        <w:noProof/>
        <w:sz w:val="24"/>
      </w:rPr>
      <w:t>43</w:t>
    </w:r>
    <w:r>
      <w:rPr>
        <w:rStyle w:val="ad"/>
        <w:sz w:val="24"/>
      </w:rPr>
      <w:fldChar w:fldCharType="end"/>
    </w:r>
  </w:p>
  <w:p w:rsidR="00BB4B91" w:rsidRDefault="00BB4B9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1EF" w:rsidRDefault="007721EF">
      <w:r>
        <w:separator/>
      </w:r>
    </w:p>
  </w:footnote>
  <w:footnote w:type="continuationSeparator" w:id="0">
    <w:p w:rsidR="007721EF" w:rsidRDefault="007721EF">
      <w:r>
        <w:continuationSeparator/>
      </w:r>
    </w:p>
  </w:footnote>
  <w:footnote w:id="1">
    <w:p w:rsidR="00BB4B91" w:rsidRPr="00F04E2B" w:rsidRDefault="00BB4B91" w:rsidP="00287AE3">
      <w:pPr>
        <w:pStyle w:val="aff"/>
        <w:ind w:left="220" w:hangingChars="100" w:hanging="220"/>
      </w:pPr>
      <w:r>
        <w:rPr>
          <w:rStyle w:val="aff1"/>
        </w:rPr>
        <w:footnoteRef/>
      </w:r>
      <w:r>
        <w:t xml:space="preserve"> </w:t>
      </w:r>
      <w:r w:rsidRPr="00291DD8">
        <w:rPr>
          <w:rFonts w:hAnsi="標楷體" w:hint="eastAsia"/>
          <w:color w:val="000000" w:themeColor="text1"/>
        </w:rPr>
        <w:t>「</w:t>
      </w:r>
      <w:hyperlink r:id="rId1" w:history="1">
        <w:r w:rsidRPr="00291DD8">
          <w:rPr>
            <w:rFonts w:hint="eastAsia"/>
            <w:color w:val="000000" w:themeColor="text1"/>
          </w:rPr>
          <w:t>行政院國家發展基金收支保管及運用辦法</w:t>
        </w:r>
      </w:hyperlink>
      <w:r w:rsidRPr="00291DD8">
        <w:rPr>
          <w:rFonts w:hAnsi="標楷體" w:hint="eastAsia"/>
          <w:color w:val="000000" w:themeColor="text1"/>
        </w:rPr>
        <w:t>」</w:t>
      </w:r>
      <w:r w:rsidRPr="00291DD8">
        <w:rPr>
          <w:rFonts w:hint="eastAsia"/>
          <w:color w:val="000000" w:themeColor="text1"/>
        </w:rPr>
        <w:t>第1條規定：「為加速產業創新加值，促進經濟轉型及國家發展，特依</w:t>
      </w:r>
      <w:r w:rsidRPr="00CB1486">
        <w:rPr>
          <w:rFonts w:hAnsi="標楷體" w:hint="eastAsia"/>
          <w:color w:val="00B0F0"/>
        </w:rPr>
        <w:t>『</w:t>
      </w:r>
      <w:r w:rsidRPr="00291DD8">
        <w:rPr>
          <w:rFonts w:hint="eastAsia"/>
          <w:color w:val="000000" w:themeColor="text1"/>
        </w:rPr>
        <w:t>產業創新條例</w:t>
      </w:r>
      <w:r w:rsidRPr="00CB1486">
        <w:rPr>
          <w:rFonts w:hAnsi="標楷體" w:hint="eastAsia"/>
          <w:color w:val="00B0F0"/>
        </w:rPr>
        <w:t>』</w:t>
      </w:r>
      <w:r w:rsidRPr="00291DD8">
        <w:rPr>
          <w:rFonts w:hint="eastAsia"/>
          <w:color w:val="000000" w:themeColor="text1"/>
        </w:rPr>
        <w:t>第39條規定，設置行政院國家發展基金（以下簡稱本基金）……」第3條第1項規定：「本基金之主管機關為行政院（以下簡稱本院），管理機關為國家發展委員會。」第6條規定：「本基金之收支、保管及運用，應設管理會（以下簡稱本會），……」</w:t>
      </w:r>
    </w:p>
  </w:footnote>
  <w:footnote w:id="2">
    <w:p w:rsidR="00BB4B91" w:rsidRDefault="00BB4B91" w:rsidP="00287AE3">
      <w:pPr>
        <w:pStyle w:val="aff"/>
        <w:ind w:left="220" w:hangingChars="100" w:hanging="220"/>
      </w:pPr>
      <w:r>
        <w:rPr>
          <w:rStyle w:val="aff1"/>
        </w:rPr>
        <w:footnoteRef/>
      </w:r>
      <w:r>
        <w:t xml:space="preserve"> </w:t>
      </w:r>
      <w:r w:rsidRPr="00AE730D">
        <w:rPr>
          <w:rFonts w:hint="eastAsia"/>
          <w:color w:val="000000" w:themeColor="text1"/>
        </w:rPr>
        <w:t>國發基金副執行秘書蘇來守於本院108年10月1日詢問時表示：「我們有邀請創新公司、兆豐銀行、耀華玻璃管理會，其他部分可能是台杉投顧邀請。」然依據台杉投顧106年8月1日發函邀請之發起人資料顯示，國發基金、創新公司、耀華玻璃管理會等三擬發起人之募集資本已達2.5億元，與擬募集資本2.5億元符合，故應無函邀兆豐銀行或其他單位。</w:t>
      </w:r>
    </w:p>
  </w:footnote>
  <w:footnote w:id="3">
    <w:p w:rsidR="00BB4B91" w:rsidRPr="00CD578F" w:rsidRDefault="00BB4B91" w:rsidP="004A2C8C">
      <w:pPr>
        <w:pStyle w:val="aff"/>
      </w:pPr>
      <w:r>
        <w:rPr>
          <w:rStyle w:val="aff1"/>
        </w:rPr>
        <w:footnoteRef/>
      </w:r>
      <w:r>
        <w:t xml:space="preserve"> </w:t>
      </w:r>
      <w:r>
        <w:rPr>
          <w:rFonts w:hint="eastAsia"/>
        </w:rPr>
        <w:t>占30%(7,500萬股/25,000萬股=30%)。</w:t>
      </w:r>
    </w:p>
  </w:footnote>
  <w:footnote w:id="4">
    <w:p w:rsidR="00BB4B91" w:rsidRPr="00376820" w:rsidRDefault="00BB4B91" w:rsidP="00287AE3">
      <w:pPr>
        <w:pStyle w:val="aff"/>
        <w:ind w:left="220" w:hangingChars="100" w:hanging="220"/>
      </w:pPr>
      <w:r>
        <w:rPr>
          <w:rStyle w:val="aff1"/>
        </w:rPr>
        <w:footnoteRef/>
      </w:r>
      <w:r>
        <w:rPr>
          <w:rFonts w:hint="eastAsia"/>
        </w:rPr>
        <w:t xml:space="preserve"> </w:t>
      </w:r>
      <w:r w:rsidRPr="00376820">
        <w:rPr>
          <w:rFonts w:hint="eastAsia"/>
        </w:rPr>
        <w:t>國發</w:t>
      </w:r>
      <w:r w:rsidRPr="00AE730D">
        <w:rPr>
          <w:rFonts w:hint="eastAsia"/>
          <w:color w:val="000000" w:themeColor="text1"/>
        </w:rPr>
        <w:t>基金副執行秘書蘇來</w:t>
      </w:r>
      <w:r w:rsidRPr="00376820">
        <w:rPr>
          <w:rFonts w:hint="eastAsia"/>
        </w:rPr>
        <w:t>守於本院詢問時</w:t>
      </w:r>
      <w:r>
        <w:rPr>
          <w:rFonts w:hint="eastAsia"/>
        </w:rPr>
        <w:t>表示</w:t>
      </w:r>
      <w:r w:rsidRPr="00376820">
        <w:rPr>
          <w:rFonts w:hint="eastAsia"/>
        </w:rPr>
        <w:t>：「當時集資對政府政策支持比較高的單位，我們就邀請他們，我所了解耀華是組職型態的問題，不能擔任發起人，所以就沒有參加。」</w:t>
      </w:r>
    </w:p>
  </w:footnote>
  <w:footnote w:id="5">
    <w:p w:rsidR="00BB4B91" w:rsidRDefault="00BB4B91" w:rsidP="00287AE3">
      <w:pPr>
        <w:pStyle w:val="aff"/>
        <w:ind w:left="220" w:hangingChars="100" w:hanging="220"/>
      </w:pPr>
      <w:r>
        <w:rPr>
          <w:rStyle w:val="aff1"/>
        </w:rPr>
        <w:footnoteRef/>
      </w:r>
      <w:r>
        <w:t xml:space="preserve"> </w:t>
      </w:r>
      <w:r>
        <w:rPr>
          <w:rFonts w:hint="eastAsia"/>
        </w:rPr>
        <w:t>參見經濟部107年10月2日經科字第10703470090號函及108年4月19日經科字第10803380830號函。</w:t>
      </w:r>
    </w:p>
  </w:footnote>
  <w:footnote w:id="6">
    <w:p w:rsidR="00BB4B91" w:rsidRPr="00AE27BF" w:rsidRDefault="00BB4B91" w:rsidP="00DE253A">
      <w:pPr>
        <w:pStyle w:val="aff"/>
      </w:pPr>
      <w:r>
        <w:rPr>
          <w:rStyle w:val="aff1"/>
        </w:rPr>
        <w:footnoteRef/>
      </w:r>
      <w:r>
        <w:t xml:space="preserve"> </w:t>
      </w:r>
      <w:r>
        <w:rPr>
          <w:rFonts w:hint="eastAsia"/>
        </w:rPr>
        <w:t>參見國發會108年4月12日發金字第1080006406號函。</w:t>
      </w:r>
    </w:p>
  </w:footnote>
  <w:footnote w:id="7">
    <w:p w:rsidR="00BB4B91" w:rsidRDefault="00BB4B91" w:rsidP="00FB5AB3">
      <w:pPr>
        <w:pStyle w:val="aff"/>
      </w:pPr>
      <w:r>
        <w:rPr>
          <w:rStyle w:val="aff1"/>
        </w:rPr>
        <w:footnoteRef/>
      </w:r>
      <w:r>
        <w:t xml:space="preserve"> </w:t>
      </w:r>
      <w:r>
        <w:rPr>
          <w:rFonts w:hint="eastAsia"/>
        </w:rPr>
        <w:t>參見中華電信107年9月21日信投一字第1070000137號函。</w:t>
      </w:r>
    </w:p>
  </w:footnote>
  <w:footnote w:id="8">
    <w:p w:rsidR="00BB4B91" w:rsidRPr="00652B19" w:rsidRDefault="00BB4B91" w:rsidP="00FB5AB3">
      <w:pPr>
        <w:pStyle w:val="aff"/>
      </w:pPr>
      <w:r>
        <w:rPr>
          <w:rStyle w:val="aff1"/>
        </w:rPr>
        <w:footnoteRef/>
      </w:r>
      <w:r>
        <w:rPr>
          <w:rFonts w:hint="eastAsia"/>
        </w:rPr>
        <w:t xml:space="preserve"> 參見財政部107年10月2日台財庫字第10700673440號函。</w:t>
      </w:r>
    </w:p>
  </w:footnote>
  <w:footnote w:id="9">
    <w:p w:rsidR="00BB4B91" w:rsidRPr="00E23219" w:rsidRDefault="00BB4B91" w:rsidP="00913A38">
      <w:pPr>
        <w:pStyle w:val="aff"/>
      </w:pPr>
      <w:r>
        <w:rPr>
          <w:rStyle w:val="aff1"/>
        </w:rPr>
        <w:footnoteRef/>
      </w:r>
      <w:r>
        <w:t xml:space="preserve"> </w:t>
      </w:r>
      <w:r>
        <w:rPr>
          <w:rFonts w:hint="eastAsia"/>
        </w:rPr>
        <w:t>參見財政部107年10月2日台財庫字第10700673440號函。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EDA477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053E79"/>
    <w:multiLevelType w:val="hybridMultilevel"/>
    <w:tmpl w:val="F5A0BBF2"/>
    <w:lvl w:ilvl="0" w:tplc="39DE58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A7C8579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98" w:hanging="851"/>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495231"/>
    <w:multiLevelType w:val="hybridMultilevel"/>
    <w:tmpl w:val="6038D312"/>
    <w:lvl w:ilvl="0" w:tplc="44609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331BE5"/>
    <w:multiLevelType w:val="hybridMultilevel"/>
    <w:tmpl w:val="9FA89FF8"/>
    <w:lvl w:ilvl="0" w:tplc="EE725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3CFE30A6"/>
    <w:lvl w:ilvl="0" w:tplc="A6EC3A04">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D68E843A"/>
    <w:lvl w:ilvl="0" w:tplc="3B8A893E">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5B2304"/>
    <w:multiLevelType w:val="hybridMultilevel"/>
    <w:tmpl w:val="429838F6"/>
    <w:lvl w:ilvl="0" w:tplc="4A2E1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4271CF"/>
    <w:multiLevelType w:val="hybridMultilevel"/>
    <w:tmpl w:val="5D24A874"/>
    <w:lvl w:ilvl="0" w:tplc="312AA60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980AB3"/>
    <w:multiLevelType w:val="hybridMultilevel"/>
    <w:tmpl w:val="F5A0BBF2"/>
    <w:lvl w:ilvl="0" w:tplc="39DE58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1B0ED2"/>
    <w:multiLevelType w:val="hybridMultilevel"/>
    <w:tmpl w:val="5D24A874"/>
    <w:lvl w:ilvl="0" w:tplc="312AA60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FD0326"/>
    <w:multiLevelType w:val="hybridMultilevel"/>
    <w:tmpl w:val="6EDEB78C"/>
    <w:lvl w:ilvl="0" w:tplc="3AF421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C1E63CE"/>
    <w:multiLevelType w:val="hybridMultilevel"/>
    <w:tmpl w:val="39EC991A"/>
    <w:lvl w:ilvl="0" w:tplc="76E21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5B4F69"/>
    <w:multiLevelType w:val="multilevel"/>
    <w:tmpl w:val="44D0410E"/>
    <w:lvl w:ilvl="0">
      <w:start w:val="1"/>
      <w:numFmt w:val="taiwaneseCountingThousand"/>
      <w:pStyle w:val="10"/>
      <w:lvlText w:val="(%1)"/>
      <w:lvlJc w:val="left"/>
      <w:pPr>
        <w:ind w:left="556" w:hanging="554"/>
      </w:pPr>
      <w:rPr>
        <w:rFonts w:hint="default"/>
        <w:b w:val="0"/>
        <w:i w:val="0"/>
        <w:caps w:val="0"/>
        <w:strike w:val="0"/>
        <w:dstrike w:val="0"/>
        <w:snapToGrid/>
        <w:vanish w:val="0"/>
        <w:color w:val="auto"/>
        <w:spacing w:val="0"/>
        <w:w w:val="100"/>
        <w:kern w:val="28"/>
        <w:position w:val="0"/>
        <w:sz w:val="28"/>
        <w:u w:val="none"/>
        <w:vertAlign w:val="baseline"/>
        <w:lang w:val="en-US"/>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4"/>
  </w:num>
  <w:num w:numId="2">
    <w:abstractNumId w:val="1"/>
  </w:num>
  <w:num w:numId="3">
    <w:abstractNumId w:val="9"/>
  </w:num>
  <w:num w:numId="4">
    <w:abstractNumId w:val="7"/>
  </w:num>
  <w:num w:numId="5">
    <w:abstractNumId w:val="11"/>
  </w:num>
  <w:num w:numId="6">
    <w:abstractNumId w:val="3"/>
  </w:num>
  <w:num w:numId="7">
    <w:abstractNumId w:val="12"/>
  </w:num>
  <w:num w:numId="8">
    <w:abstractNumId w:val="8"/>
  </w:num>
  <w:num w:numId="9">
    <w:abstractNumId w:val="5"/>
  </w:num>
  <w:num w:numId="10">
    <w:abstractNumId w:val="10"/>
  </w:num>
  <w:num w:numId="11">
    <w:abstractNumId w:val="6"/>
  </w:num>
  <w:num w:numId="12">
    <w:abstractNumId w:val="16"/>
  </w:num>
  <w:num w:numId="13">
    <w:abstractNumId w:val="17"/>
  </w:num>
  <w:num w:numId="14">
    <w:abstractNumId w:val="15"/>
  </w:num>
  <w:num w:numId="15">
    <w:abstractNumId w:val="13"/>
  </w:num>
  <w:num w:numId="16">
    <w:abstractNumId w:val="0"/>
  </w:num>
  <w:num w:numId="17">
    <w:abstractNumId w:val="2"/>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3"/>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 w:numId="2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4A1"/>
    <w:rsid w:val="00005FDE"/>
    <w:rsid w:val="00006961"/>
    <w:rsid w:val="000107D9"/>
    <w:rsid w:val="000112BF"/>
    <w:rsid w:val="00012233"/>
    <w:rsid w:val="00013024"/>
    <w:rsid w:val="00013892"/>
    <w:rsid w:val="000140E6"/>
    <w:rsid w:val="0001581D"/>
    <w:rsid w:val="00015D1C"/>
    <w:rsid w:val="00015D3B"/>
    <w:rsid w:val="000168C6"/>
    <w:rsid w:val="00017318"/>
    <w:rsid w:val="0001732F"/>
    <w:rsid w:val="000176F2"/>
    <w:rsid w:val="00017E03"/>
    <w:rsid w:val="00021211"/>
    <w:rsid w:val="000217F9"/>
    <w:rsid w:val="000242E2"/>
    <w:rsid w:val="000246F7"/>
    <w:rsid w:val="00025CDD"/>
    <w:rsid w:val="00030D3F"/>
    <w:rsid w:val="0003114D"/>
    <w:rsid w:val="00031702"/>
    <w:rsid w:val="00032619"/>
    <w:rsid w:val="0003374A"/>
    <w:rsid w:val="00033C4B"/>
    <w:rsid w:val="00034EF7"/>
    <w:rsid w:val="00035AAA"/>
    <w:rsid w:val="00035AEE"/>
    <w:rsid w:val="000366AC"/>
    <w:rsid w:val="00036D76"/>
    <w:rsid w:val="0004034E"/>
    <w:rsid w:val="00041D38"/>
    <w:rsid w:val="00042B60"/>
    <w:rsid w:val="00044011"/>
    <w:rsid w:val="00044243"/>
    <w:rsid w:val="00044AFE"/>
    <w:rsid w:val="00044D2C"/>
    <w:rsid w:val="0004515D"/>
    <w:rsid w:val="00045972"/>
    <w:rsid w:val="000462F1"/>
    <w:rsid w:val="000470E5"/>
    <w:rsid w:val="00050347"/>
    <w:rsid w:val="0005085B"/>
    <w:rsid w:val="00051273"/>
    <w:rsid w:val="00051B74"/>
    <w:rsid w:val="00051C66"/>
    <w:rsid w:val="00052D6C"/>
    <w:rsid w:val="00052FCD"/>
    <w:rsid w:val="00055E82"/>
    <w:rsid w:val="0005625B"/>
    <w:rsid w:val="0005665D"/>
    <w:rsid w:val="00056CBC"/>
    <w:rsid w:val="00057D7F"/>
    <w:rsid w:val="00057F32"/>
    <w:rsid w:val="000603A6"/>
    <w:rsid w:val="00060B3A"/>
    <w:rsid w:val="0006110D"/>
    <w:rsid w:val="00062A25"/>
    <w:rsid w:val="00064E50"/>
    <w:rsid w:val="000653C1"/>
    <w:rsid w:val="000668C3"/>
    <w:rsid w:val="000702AF"/>
    <w:rsid w:val="00070429"/>
    <w:rsid w:val="00072CAD"/>
    <w:rsid w:val="00073860"/>
    <w:rsid w:val="00073CB5"/>
    <w:rsid w:val="0007425C"/>
    <w:rsid w:val="00074549"/>
    <w:rsid w:val="00075EF6"/>
    <w:rsid w:val="00075F98"/>
    <w:rsid w:val="00076477"/>
    <w:rsid w:val="00076BDC"/>
    <w:rsid w:val="00077178"/>
    <w:rsid w:val="00077553"/>
    <w:rsid w:val="00080133"/>
    <w:rsid w:val="000821C6"/>
    <w:rsid w:val="00082393"/>
    <w:rsid w:val="00083CB0"/>
    <w:rsid w:val="00084817"/>
    <w:rsid w:val="000851A2"/>
    <w:rsid w:val="00085D96"/>
    <w:rsid w:val="00086723"/>
    <w:rsid w:val="000868BC"/>
    <w:rsid w:val="00086FC2"/>
    <w:rsid w:val="00087F99"/>
    <w:rsid w:val="000907FC"/>
    <w:rsid w:val="00090926"/>
    <w:rsid w:val="00091EAF"/>
    <w:rsid w:val="00092F6F"/>
    <w:rsid w:val="0009317D"/>
    <w:rsid w:val="0009352E"/>
    <w:rsid w:val="000952D5"/>
    <w:rsid w:val="00096B96"/>
    <w:rsid w:val="000A0DD4"/>
    <w:rsid w:val="000A1756"/>
    <w:rsid w:val="000A17CE"/>
    <w:rsid w:val="000A2B5B"/>
    <w:rsid w:val="000A2F3F"/>
    <w:rsid w:val="000A2FFC"/>
    <w:rsid w:val="000A31A6"/>
    <w:rsid w:val="000A4265"/>
    <w:rsid w:val="000A445C"/>
    <w:rsid w:val="000A48BC"/>
    <w:rsid w:val="000A549E"/>
    <w:rsid w:val="000A5D55"/>
    <w:rsid w:val="000A602C"/>
    <w:rsid w:val="000B0B4A"/>
    <w:rsid w:val="000B2324"/>
    <w:rsid w:val="000B279A"/>
    <w:rsid w:val="000B291F"/>
    <w:rsid w:val="000B2BF2"/>
    <w:rsid w:val="000B36F9"/>
    <w:rsid w:val="000B39DB"/>
    <w:rsid w:val="000B5A5B"/>
    <w:rsid w:val="000B61D2"/>
    <w:rsid w:val="000B661B"/>
    <w:rsid w:val="000B70A7"/>
    <w:rsid w:val="000B73DD"/>
    <w:rsid w:val="000C1A71"/>
    <w:rsid w:val="000C22FB"/>
    <w:rsid w:val="000C2628"/>
    <w:rsid w:val="000C393A"/>
    <w:rsid w:val="000C495F"/>
    <w:rsid w:val="000C4E1E"/>
    <w:rsid w:val="000C5854"/>
    <w:rsid w:val="000C5CC7"/>
    <w:rsid w:val="000C66EF"/>
    <w:rsid w:val="000D12EF"/>
    <w:rsid w:val="000D1F7F"/>
    <w:rsid w:val="000D23C6"/>
    <w:rsid w:val="000D295D"/>
    <w:rsid w:val="000D3317"/>
    <w:rsid w:val="000D384A"/>
    <w:rsid w:val="000D40B7"/>
    <w:rsid w:val="000D43B9"/>
    <w:rsid w:val="000D4A33"/>
    <w:rsid w:val="000D5C93"/>
    <w:rsid w:val="000D5DEF"/>
    <w:rsid w:val="000D7692"/>
    <w:rsid w:val="000E013B"/>
    <w:rsid w:val="000E208F"/>
    <w:rsid w:val="000E3848"/>
    <w:rsid w:val="000E418E"/>
    <w:rsid w:val="000E43BC"/>
    <w:rsid w:val="000E47D3"/>
    <w:rsid w:val="000E6431"/>
    <w:rsid w:val="000E769A"/>
    <w:rsid w:val="000F08F4"/>
    <w:rsid w:val="000F21A5"/>
    <w:rsid w:val="000F468B"/>
    <w:rsid w:val="000F556E"/>
    <w:rsid w:val="000F6426"/>
    <w:rsid w:val="000F6759"/>
    <w:rsid w:val="000F6D70"/>
    <w:rsid w:val="001023CF"/>
    <w:rsid w:val="00102604"/>
    <w:rsid w:val="00102B9F"/>
    <w:rsid w:val="00103439"/>
    <w:rsid w:val="0010355C"/>
    <w:rsid w:val="00103EB2"/>
    <w:rsid w:val="00105AA2"/>
    <w:rsid w:val="00105B0A"/>
    <w:rsid w:val="001062AC"/>
    <w:rsid w:val="0011025B"/>
    <w:rsid w:val="00110D04"/>
    <w:rsid w:val="001124AF"/>
    <w:rsid w:val="00112547"/>
    <w:rsid w:val="00112637"/>
    <w:rsid w:val="0011293D"/>
    <w:rsid w:val="00112ABC"/>
    <w:rsid w:val="00112B4D"/>
    <w:rsid w:val="00117CD0"/>
    <w:rsid w:val="0012001E"/>
    <w:rsid w:val="00120885"/>
    <w:rsid w:val="00120D28"/>
    <w:rsid w:val="0012199C"/>
    <w:rsid w:val="0012350A"/>
    <w:rsid w:val="001249EC"/>
    <w:rsid w:val="00126A55"/>
    <w:rsid w:val="001273E9"/>
    <w:rsid w:val="00132BCE"/>
    <w:rsid w:val="00132EE1"/>
    <w:rsid w:val="00133BDE"/>
    <w:rsid w:val="00133F08"/>
    <w:rsid w:val="001345E6"/>
    <w:rsid w:val="001357C9"/>
    <w:rsid w:val="00137055"/>
    <w:rsid w:val="001378B0"/>
    <w:rsid w:val="00140000"/>
    <w:rsid w:val="001405FA"/>
    <w:rsid w:val="00140F2C"/>
    <w:rsid w:val="0014170E"/>
    <w:rsid w:val="0014214F"/>
    <w:rsid w:val="00142E00"/>
    <w:rsid w:val="001432A1"/>
    <w:rsid w:val="00144CB0"/>
    <w:rsid w:val="00150CE8"/>
    <w:rsid w:val="001511F3"/>
    <w:rsid w:val="00151218"/>
    <w:rsid w:val="00152050"/>
    <w:rsid w:val="00152793"/>
    <w:rsid w:val="00153B7E"/>
    <w:rsid w:val="001545A9"/>
    <w:rsid w:val="001577CE"/>
    <w:rsid w:val="001615F4"/>
    <w:rsid w:val="00161C9E"/>
    <w:rsid w:val="00161D5F"/>
    <w:rsid w:val="00161E88"/>
    <w:rsid w:val="0016319E"/>
    <w:rsid w:val="001637C7"/>
    <w:rsid w:val="001637E1"/>
    <w:rsid w:val="00164220"/>
    <w:rsid w:val="001647B0"/>
    <w:rsid w:val="0016480E"/>
    <w:rsid w:val="001653B8"/>
    <w:rsid w:val="00166131"/>
    <w:rsid w:val="001663D1"/>
    <w:rsid w:val="001663FF"/>
    <w:rsid w:val="00166459"/>
    <w:rsid w:val="001664C0"/>
    <w:rsid w:val="00166B79"/>
    <w:rsid w:val="00166C17"/>
    <w:rsid w:val="00167C52"/>
    <w:rsid w:val="00170270"/>
    <w:rsid w:val="00171CD2"/>
    <w:rsid w:val="00171FCF"/>
    <w:rsid w:val="00171FFC"/>
    <w:rsid w:val="00174297"/>
    <w:rsid w:val="00174650"/>
    <w:rsid w:val="001748A8"/>
    <w:rsid w:val="001777DD"/>
    <w:rsid w:val="001809D8"/>
    <w:rsid w:val="00180E06"/>
    <w:rsid w:val="001817B3"/>
    <w:rsid w:val="00182A76"/>
    <w:rsid w:val="00182D69"/>
    <w:rsid w:val="00183014"/>
    <w:rsid w:val="001840F1"/>
    <w:rsid w:val="0018414E"/>
    <w:rsid w:val="001855B8"/>
    <w:rsid w:val="00186BAE"/>
    <w:rsid w:val="0019045C"/>
    <w:rsid w:val="0019051E"/>
    <w:rsid w:val="00190B85"/>
    <w:rsid w:val="00191639"/>
    <w:rsid w:val="00191917"/>
    <w:rsid w:val="00191E36"/>
    <w:rsid w:val="001922A4"/>
    <w:rsid w:val="00193086"/>
    <w:rsid w:val="0019324C"/>
    <w:rsid w:val="0019506D"/>
    <w:rsid w:val="001959C2"/>
    <w:rsid w:val="00195E4D"/>
    <w:rsid w:val="00195EB5"/>
    <w:rsid w:val="00196A77"/>
    <w:rsid w:val="001970B7"/>
    <w:rsid w:val="001A175C"/>
    <w:rsid w:val="001A23EE"/>
    <w:rsid w:val="001A4425"/>
    <w:rsid w:val="001A51E3"/>
    <w:rsid w:val="001A67BC"/>
    <w:rsid w:val="001A7968"/>
    <w:rsid w:val="001B09F5"/>
    <w:rsid w:val="001B20BD"/>
    <w:rsid w:val="001B2E98"/>
    <w:rsid w:val="001B3461"/>
    <w:rsid w:val="001B3483"/>
    <w:rsid w:val="001B37B1"/>
    <w:rsid w:val="001B389A"/>
    <w:rsid w:val="001B3C1E"/>
    <w:rsid w:val="001B4494"/>
    <w:rsid w:val="001B5590"/>
    <w:rsid w:val="001B6E4E"/>
    <w:rsid w:val="001C0D8B"/>
    <w:rsid w:val="001C0DA8"/>
    <w:rsid w:val="001C2B1D"/>
    <w:rsid w:val="001C30DD"/>
    <w:rsid w:val="001C3E1D"/>
    <w:rsid w:val="001C5185"/>
    <w:rsid w:val="001C57D4"/>
    <w:rsid w:val="001C6156"/>
    <w:rsid w:val="001C7B1B"/>
    <w:rsid w:val="001D0D7A"/>
    <w:rsid w:val="001D16B3"/>
    <w:rsid w:val="001D2AAC"/>
    <w:rsid w:val="001D38CB"/>
    <w:rsid w:val="001D4AD7"/>
    <w:rsid w:val="001D677A"/>
    <w:rsid w:val="001D7CDA"/>
    <w:rsid w:val="001E0D8A"/>
    <w:rsid w:val="001E164A"/>
    <w:rsid w:val="001E2132"/>
    <w:rsid w:val="001E2431"/>
    <w:rsid w:val="001E24C7"/>
    <w:rsid w:val="001E3C3F"/>
    <w:rsid w:val="001E5016"/>
    <w:rsid w:val="001E5622"/>
    <w:rsid w:val="001E59EA"/>
    <w:rsid w:val="001E67BA"/>
    <w:rsid w:val="001E74C2"/>
    <w:rsid w:val="001F1C75"/>
    <w:rsid w:val="001F33DA"/>
    <w:rsid w:val="001F4F82"/>
    <w:rsid w:val="001F507C"/>
    <w:rsid w:val="001F57FE"/>
    <w:rsid w:val="001F5A48"/>
    <w:rsid w:val="001F61B5"/>
    <w:rsid w:val="001F6260"/>
    <w:rsid w:val="001F7277"/>
    <w:rsid w:val="00200007"/>
    <w:rsid w:val="00201330"/>
    <w:rsid w:val="00201606"/>
    <w:rsid w:val="0020296A"/>
    <w:rsid w:val="00202D0D"/>
    <w:rsid w:val="002030A5"/>
    <w:rsid w:val="00203131"/>
    <w:rsid w:val="00203B67"/>
    <w:rsid w:val="00205910"/>
    <w:rsid w:val="00206C08"/>
    <w:rsid w:val="00206E85"/>
    <w:rsid w:val="0020716B"/>
    <w:rsid w:val="0021169F"/>
    <w:rsid w:val="00212E88"/>
    <w:rsid w:val="00213C9C"/>
    <w:rsid w:val="00216883"/>
    <w:rsid w:val="002172F1"/>
    <w:rsid w:val="0021746B"/>
    <w:rsid w:val="00217B47"/>
    <w:rsid w:val="00217CB5"/>
    <w:rsid w:val="0022009E"/>
    <w:rsid w:val="00220654"/>
    <w:rsid w:val="002208B6"/>
    <w:rsid w:val="00221694"/>
    <w:rsid w:val="00222E8B"/>
    <w:rsid w:val="00223241"/>
    <w:rsid w:val="00223925"/>
    <w:rsid w:val="0022425C"/>
    <w:rsid w:val="002242FB"/>
    <w:rsid w:val="002246DE"/>
    <w:rsid w:val="002258AB"/>
    <w:rsid w:val="00227067"/>
    <w:rsid w:val="00230206"/>
    <w:rsid w:val="00230C5C"/>
    <w:rsid w:val="00232CE9"/>
    <w:rsid w:val="00232DBA"/>
    <w:rsid w:val="00233A06"/>
    <w:rsid w:val="002347FA"/>
    <w:rsid w:val="00234F81"/>
    <w:rsid w:val="00235C2B"/>
    <w:rsid w:val="00236944"/>
    <w:rsid w:val="00237F11"/>
    <w:rsid w:val="00240049"/>
    <w:rsid w:val="0024063A"/>
    <w:rsid w:val="00240A7C"/>
    <w:rsid w:val="00241CFC"/>
    <w:rsid w:val="002434A6"/>
    <w:rsid w:val="002436D5"/>
    <w:rsid w:val="00245377"/>
    <w:rsid w:val="002456CB"/>
    <w:rsid w:val="0024669B"/>
    <w:rsid w:val="00247694"/>
    <w:rsid w:val="00247A5F"/>
    <w:rsid w:val="002500A0"/>
    <w:rsid w:val="002501D9"/>
    <w:rsid w:val="002524B2"/>
    <w:rsid w:val="00252BC4"/>
    <w:rsid w:val="00252EF9"/>
    <w:rsid w:val="0025329C"/>
    <w:rsid w:val="00253825"/>
    <w:rsid w:val="00253E02"/>
    <w:rsid w:val="00254014"/>
    <w:rsid w:val="002542FB"/>
    <w:rsid w:val="00254B39"/>
    <w:rsid w:val="00255AC6"/>
    <w:rsid w:val="00255D07"/>
    <w:rsid w:val="002560C6"/>
    <w:rsid w:val="002578E4"/>
    <w:rsid w:val="00263AAF"/>
    <w:rsid w:val="002641EC"/>
    <w:rsid w:val="0026504D"/>
    <w:rsid w:val="00265F4F"/>
    <w:rsid w:val="00265FDA"/>
    <w:rsid w:val="0026731D"/>
    <w:rsid w:val="002677FF"/>
    <w:rsid w:val="002712CD"/>
    <w:rsid w:val="002724F2"/>
    <w:rsid w:val="00272D60"/>
    <w:rsid w:val="002731DF"/>
    <w:rsid w:val="00273A2F"/>
    <w:rsid w:val="00273CAF"/>
    <w:rsid w:val="00274446"/>
    <w:rsid w:val="00274F69"/>
    <w:rsid w:val="002753CD"/>
    <w:rsid w:val="00275F2B"/>
    <w:rsid w:val="00276236"/>
    <w:rsid w:val="00277618"/>
    <w:rsid w:val="00277AF4"/>
    <w:rsid w:val="00277C89"/>
    <w:rsid w:val="00280986"/>
    <w:rsid w:val="00281ECE"/>
    <w:rsid w:val="00283152"/>
    <w:rsid w:val="002831C7"/>
    <w:rsid w:val="002840C6"/>
    <w:rsid w:val="002846F3"/>
    <w:rsid w:val="002852DF"/>
    <w:rsid w:val="002860E5"/>
    <w:rsid w:val="002863DC"/>
    <w:rsid w:val="00286574"/>
    <w:rsid w:val="00287AE3"/>
    <w:rsid w:val="00287E35"/>
    <w:rsid w:val="00290EFD"/>
    <w:rsid w:val="00291DD8"/>
    <w:rsid w:val="002923BC"/>
    <w:rsid w:val="00292D26"/>
    <w:rsid w:val="00293716"/>
    <w:rsid w:val="00293837"/>
    <w:rsid w:val="00293E73"/>
    <w:rsid w:val="00295174"/>
    <w:rsid w:val="0029534F"/>
    <w:rsid w:val="00296172"/>
    <w:rsid w:val="002961E3"/>
    <w:rsid w:val="00296B92"/>
    <w:rsid w:val="00296E65"/>
    <w:rsid w:val="0029711B"/>
    <w:rsid w:val="002A163C"/>
    <w:rsid w:val="002A2C22"/>
    <w:rsid w:val="002A30A2"/>
    <w:rsid w:val="002A31B2"/>
    <w:rsid w:val="002A320D"/>
    <w:rsid w:val="002A6670"/>
    <w:rsid w:val="002A6700"/>
    <w:rsid w:val="002A684E"/>
    <w:rsid w:val="002A7299"/>
    <w:rsid w:val="002B02EB"/>
    <w:rsid w:val="002B04C4"/>
    <w:rsid w:val="002B05A3"/>
    <w:rsid w:val="002B0AC1"/>
    <w:rsid w:val="002B10B0"/>
    <w:rsid w:val="002B1865"/>
    <w:rsid w:val="002B389F"/>
    <w:rsid w:val="002B39FB"/>
    <w:rsid w:val="002B4E63"/>
    <w:rsid w:val="002B56BD"/>
    <w:rsid w:val="002B5719"/>
    <w:rsid w:val="002B610C"/>
    <w:rsid w:val="002C0602"/>
    <w:rsid w:val="002C2586"/>
    <w:rsid w:val="002C26AE"/>
    <w:rsid w:val="002C282C"/>
    <w:rsid w:val="002C47FD"/>
    <w:rsid w:val="002C5640"/>
    <w:rsid w:val="002C5D4E"/>
    <w:rsid w:val="002C74E4"/>
    <w:rsid w:val="002D0E9D"/>
    <w:rsid w:val="002D281D"/>
    <w:rsid w:val="002D3395"/>
    <w:rsid w:val="002D3F24"/>
    <w:rsid w:val="002D4EF9"/>
    <w:rsid w:val="002D5C16"/>
    <w:rsid w:val="002D5C47"/>
    <w:rsid w:val="002D606A"/>
    <w:rsid w:val="002E00DD"/>
    <w:rsid w:val="002E0537"/>
    <w:rsid w:val="002E0F68"/>
    <w:rsid w:val="002E27CA"/>
    <w:rsid w:val="002E2A15"/>
    <w:rsid w:val="002E2FBD"/>
    <w:rsid w:val="002E33D3"/>
    <w:rsid w:val="002E386C"/>
    <w:rsid w:val="002E4A6A"/>
    <w:rsid w:val="002E52BD"/>
    <w:rsid w:val="002E5619"/>
    <w:rsid w:val="002E654A"/>
    <w:rsid w:val="002E6716"/>
    <w:rsid w:val="002E7119"/>
    <w:rsid w:val="002E7399"/>
    <w:rsid w:val="002E77D5"/>
    <w:rsid w:val="002F1377"/>
    <w:rsid w:val="002F169C"/>
    <w:rsid w:val="002F21F3"/>
    <w:rsid w:val="002F2476"/>
    <w:rsid w:val="002F29C7"/>
    <w:rsid w:val="002F3DFF"/>
    <w:rsid w:val="002F3F03"/>
    <w:rsid w:val="002F4EEC"/>
    <w:rsid w:val="002F5E05"/>
    <w:rsid w:val="002F7A5F"/>
    <w:rsid w:val="00301D36"/>
    <w:rsid w:val="00307A76"/>
    <w:rsid w:val="00307E76"/>
    <w:rsid w:val="003103A4"/>
    <w:rsid w:val="003113E0"/>
    <w:rsid w:val="003115A7"/>
    <w:rsid w:val="00313AEA"/>
    <w:rsid w:val="00314B44"/>
    <w:rsid w:val="00315A16"/>
    <w:rsid w:val="00316180"/>
    <w:rsid w:val="003167EC"/>
    <w:rsid w:val="00316F64"/>
    <w:rsid w:val="00317053"/>
    <w:rsid w:val="0032109C"/>
    <w:rsid w:val="0032162F"/>
    <w:rsid w:val="00322391"/>
    <w:rsid w:val="00322B45"/>
    <w:rsid w:val="00323809"/>
    <w:rsid w:val="00323D41"/>
    <w:rsid w:val="003245A2"/>
    <w:rsid w:val="00325414"/>
    <w:rsid w:val="00325D1B"/>
    <w:rsid w:val="00327278"/>
    <w:rsid w:val="00327BEF"/>
    <w:rsid w:val="003302F1"/>
    <w:rsid w:val="003305CB"/>
    <w:rsid w:val="00332D2D"/>
    <w:rsid w:val="0033376C"/>
    <w:rsid w:val="00333B89"/>
    <w:rsid w:val="003347D7"/>
    <w:rsid w:val="00335193"/>
    <w:rsid w:val="00335585"/>
    <w:rsid w:val="00335A4D"/>
    <w:rsid w:val="00335C3E"/>
    <w:rsid w:val="00335EC4"/>
    <w:rsid w:val="00336AD4"/>
    <w:rsid w:val="00340620"/>
    <w:rsid w:val="00342E72"/>
    <w:rsid w:val="00343382"/>
    <w:rsid w:val="0034470E"/>
    <w:rsid w:val="00344D62"/>
    <w:rsid w:val="00345F98"/>
    <w:rsid w:val="00346046"/>
    <w:rsid w:val="00347A6B"/>
    <w:rsid w:val="00352DB0"/>
    <w:rsid w:val="00353D96"/>
    <w:rsid w:val="003551B3"/>
    <w:rsid w:val="00356F9E"/>
    <w:rsid w:val="0035718B"/>
    <w:rsid w:val="0036092F"/>
    <w:rsid w:val="00361063"/>
    <w:rsid w:val="00361EFD"/>
    <w:rsid w:val="00362EE7"/>
    <w:rsid w:val="003639C3"/>
    <w:rsid w:val="00364FD7"/>
    <w:rsid w:val="0036606F"/>
    <w:rsid w:val="00366E06"/>
    <w:rsid w:val="00367B33"/>
    <w:rsid w:val="0037094A"/>
    <w:rsid w:val="00370AED"/>
    <w:rsid w:val="00371ED3"/>
    <w:rsid w:val="00372FFC"/>
    <w:rsid w:val="00373E2F"/>
    <w:rsid w:val="003740CD"/>
    <w:rsid w:val="003755FA"/>
    <w:rsid w:val="00375D64"/>
    <w:rsid w:val="0037728A"/>
    <w:rsid w:val="00377577"/>
    <w:rsid w:val="00380B7D"/>
    <w:rsid w:val="00381A99"/>
    <w:rsid w:val="003821FE"/>
    <w:rsid w:val="0038228E"/>
    <w:rsid w:val="003829C2"/>
    <w:rsid w:val="003830B2"/>
    <w:rsid w:val="00384724"/>
    <w:rsid w:val="003867BE"/>
    <w:rsid w:val="003870EF"/>
    <w:rsid w:val="00387C9B"/>
    <w:rsid w:val="0039068A"/>
    <w:rsid w:val="00390C9B"/>
    <w:rsid w:val="00390ECE"/>
    <w:rsid w:val="003919B7"/>
    <w:rsid w:val="00391D57"/>
    <w:rsid w:val="00392292"/>
    <w:rsid w:val="003922F3"/>
    <w:rsid w:val="0039386C"/>
    <w:rsid w:val="00394729"/>
    <w:rsid w:val="00394CD1"/>
    <w:rsid w:val="0039541E"/>
    <w:rsid w:val="0039569D"/>
    <w:rsid w:val="00395C03"/>
    <w:rsid w:val="00395DDC"/>
    <w:rsid w:val="003975C7"/>
    <w:rsid w:val="00397B08"/>
    <w:rsid w:val="003A07CD"/>
    <w:rsid w:val="003A12A7"/>
    <w:rsid w:val="003A18AF"/>
    <w:rsid w:val="003A1A9C"/>
    <w:rsid w:val="003A1B47"/>
    <w:rsid w:val="003A1D0C"/>
    <w:rsid w:val="003A20CB"/>
    <w:rsid w:val="003A2316"/>
    <w:rsid w:val="003A24B9"/>
    <w:rsid w:val="003A33AC"/>
    <w:rsid w:val="003A4AA1"/>
    <w:rsid w:val="003A5257"/>
    <w:rsid w:val="003A5839"/>
    <w:rsid w:val="003A5927"/>
    <w:rsid w:val="003A5A09"/>
    <w:rsid w:val="003A6646"/>
    <w:rsid w:val="003A689A"/>
    <w:rsid w:val="003A7299"/>
    <w:rsid w:val="003B1017"/>
    <w:rsid w:val="003B209D"/>
    <w:rsid w:val="003B31C8"/>
    <w:rsid w:val="003B3C07"/>
    <w:rsid w:val="003B4D18"/>
    <w:rsid w:val="003B5B27"/>
    <w:rsid w:val="003B5C0E"/>
    <w:rsid w:val="003B5D45"/>
    <w:rsid w:val="003B6081"/>
    <w:rsid w:val="003B661F"/>
    <w:rsid w:val="003B6775"/>
    <w:rsid w:val="003B6956"/>
    <w:rsid w:val="003C07D5"/>
    <w:rsid w:val="003C5FE2"/>
    <w:rsid w:val="003C6D64"/>
    <w:rsid w:val="003C6FDB"/>
    <w:rsid w:val="003D05FB"/>
    <w:rsid w:val="003D0CF6"/>
    <w:rsid w:val="003D1B16"/>
    <w:rsid w:val="003D1F2C"/>
    <w:rsid w:val="003D34FA"/>
    <w:rsid w:val="003D3656"/>
    <w:rsid w:val="003D3CCC"/>
    <w:rsid w:val="003D44DB"/>
    <w:rsid w:val="003D45BF"/>
    <w:rsid w:val="003D508A"/>
    <w:rsid w:val="003D537F"/>
    <w:rsid w:val="003D5A75"/>
    <w:rsid w:val="003D62DD"/>
    <w:rsid w:val="003D7B75"/>
    <w:rsid w:val="003D7FB7"/>
    <w:rsid w:val="003E0208"/>
    <w:rsid w:val="003E0F9F"/>
    <w:rsid w:val="003E137F"/>
    <w:rsid w:val="003E29FC"/>
    <w:rsid w:val="003E2BD3"/>
    <w:rsid w:val="003E4B57"/>
    <w:rsid w:val="003E536D"/>
    <w:rsid w:val="003E556D"/>
    <w:rsid w:val="003E58D6"/>
    <w:rsid w:val="003E64D8"/>
    <w:rsid w:val="003E696D"/>
    <w:rsid w:val="003E7201"/>
    <w:rsid w:val="003F0637"/>
    <w:rsid w:val="003F0DD6"/>
    <w:rsid w:val="003F27E1"/>
    <w:rsid w:val="003F3C62"/>
    <w:rsid w:val="003F3D94"/>
    <w:rsid w:val="003F437A"/>
    <w:rsid w:val="003F4D87"/>
    <w:rsid w:val="003F54B7"/>
    <w:rsid w:val="003F5C2B"/>
    <w:rsid w:val="003F5DD6"/>
    <w:rsid w:val="003F7134"/>
    <w:rsid w:val="003F732C"/>
    <w:rsid w:val="00401DF0"/>
    <w:rsid w:val="004020B2"/>
    <w:rsid w:val="00402240"/>
    <w:rsid w:val="004023E9"/>
    <w:rsid w:val="00402EE4"/>
    <w:rsid w:val="004031CF"/>
    <w:rsid w:val="004032FA"/>
    <w:rsid w:val="00404014"/>
    <w:rsid w:val="0040454A"/>
    <w:rsid w:val="004045C0"/>
    <w:rsid w:val="0040669D"/>
    <w:rsid w:val="004074DC"/>
    <w:rsid w:val="0041163D"/>
    <w:rsid w:val="004124FA"/>
    <w:rsid w:val="00413D35"/>
    <w:rsid w:val="00413F83"/>
    <w:rsid w:val="0041490C"/>
    <w:rsid w:val="00414BFE"/>
    <w:rsid w:val="00416191"/>
    <w:rsid w:val="0041647B"/>
    <w:rsid w:val="00416721"/>
    <w:rsid w:val="004176BA"/>
    <w:rsid w:val="004177A9"/>
    <w:rsid w:val="00417B7A"/>
    <w:rsid w:val="00420467"/>
    <w:rsid w:val="00420E7C"/>
    <w:rsid w:val="00421382"/>
    <w:rsid w:val="0042158D"/>
    <w:rsid w:val="00421D32"/>
    <w:rsid w:val="00421EF0"/>
    <w:rsid w:val="004224FA"/>
    <w:rsid w:val="00423D07"/>
    <w:rsid w:val="00423F9B"/>
    <w:rsid w:val="004264E9"/>
    <w:rsid w:val="00426CF0"/>
    <w:rsid w:val="00427936"/>
    <w:rsid w:val="00430C72"/>
    <w:rsid w:val="0043172A"/>
    <w:rsid w:val="00431BC4"/>
    <w:rsid w:val="00432008"/>
    <w:rsid w:val="00432753"/>
    <w:rsid w:val="00432F5B"/>
    <w:rsid w:val="00433105"/>
    <w:rsid w:val="004333C2"/>
    <w:rsid w:val="004335A7"/>
    <w:rsid w:val="00434033"/>
    <w:rsid w:val="00435E29"/>
    <w:rsid w:val="0043625D"/>
    <w:rsid w:val="004362D3"/>
    <w:rsid w:val="00436634"/>
    <w:rsid w:val="004408A8"/>
    <w:rsid w:val="00440C72"/>
    <w:rsid w:val="004424D9"/>
    <w:rsid w:val="004428E3"/>
    <w:rsid w:val="0044346F"/>
    <w:rsid w:val="00443E61"/>
    <w:rsid w:val="004459F7"/>
    <w:rsid w:val="00447763"/>
    <w:rsid w:val="00450D9E"/>
    <w:rsid w:val="00451B56"/>
    <w:rsid w:val="00452323"/>
    <w:rsid w:val="00454C18"/>
    <w:rsid w:val="004554D5"/>
    <w:rsid w:val="0045621E"/>
    <w:rsid w:val="0045666B"/>
    <w:rsid w:val="00456C78"/>
    <w:rsid w:val="00456D6B"/>
    <w:rsid w:val="00457977"/>
    <w:rsid w:val="004626B0"/>
    <w:rsid w:val="00462B9B"/>
    <w:rsid w:val="00463301"/>
    <w:rsid w:val="00464500"/>
    <w:rsid w:val="00464646"/>
    <w:rsid w:val="00464849"/>
    <w:rsid w:val="0046520A"/>
    <w:rsid w:val="00466E85"/>
    <w:rsid w:val="004672AB"/>
    <w:rsid w:val="0046731A"/>
    <w:rsid w:val="0047135E"/>
    <w:rsid w:val="004714FE"/>
    <w:rsid w:val="004717ED"/>
    <w:rsid w:val="00471F36"/>
    <w:rsid w:val="004723F0"/>
    <w:rsid w:val="00472533"/>
    <w:rsid w:val="00472C03"/>
    <w:rsid w:val="0047303B"/>
    <w:rsid w:val="004738ED"/>
    <w:rsid w:val="00474394"/>
    <w:rsid w:val="00474770"/>
    <w:rsid w:val="0047588C"/>
    <w:rsid w:val="004766F7"/>
    <w:rsid w:val="00477BAA"/>
    <w:rsid w:val="00477BF2"/>
    <w:rsid w:val="004818D4"/>
    <w:rsid w:val="00482DB2"/>
    <w:rsid w:val="0048396B"/>
    <w:rsid w:val="004845E6"/>
    <w:rsid w:val="004853E5"/>
    <w:rsid w:val="004858A7"/>
    <w:rsid w:val="004866CB"/>
    <w:rsid w:val="00486993"/>
    <w:rsid w:val="004876CF"/>
    <w:rsid w:val="00487B04"/>
    <w:rsid w:val="004905B8"/>
    <w:rsid w:val="00490A0B"/>
    <w:rsid w:val="0049108A"/>
    <w:rsid w:val="004912FA"/>
    <w:rsid w:val="00493661"/>
    <w:rsid w:val="00493C2C"/>
    <w:rsid w:val="00494AA1"/>
    <w:rsid w:val="00495053"/>
    <w:rsid w:val="00495907"/>
    <w:rsid w:val="00497476"/>
    <w:rsid w:val="004A1F59"/>
    <w:rsid w:val="004A23C7"/>
    <w:rsid w:val="004A27B7"/>
    <w:rsid w:val="004A29BE"/>
    <w:rsid w:val="004A2C8C"/>
    <w:rsid w:val="004A3225"/>
    <w:rsid w:val="004A33EE"/>
    <w:rsid w:val="004A3AA8"/>
    <w:rsid w:val="004A51EE"/>
    <w:rsid w:val="004B04F9"/>
    <w:rsid w:val="004B0ACE"/>
    <w:rsid w:val="004B13C7"/>
    <w:rsid w:val="004B1479"/>
    <w:rsid w:val="004B2CA6"/>
    <w:rsid w:val="004B4224"/>
    <w:rsid w:val="004B4528"/>
    <w:rsid w:val="004B4D32"/>
    <w:rsid w:val="004B4E21"/>
    <w:rsid w:val="004B5020"/>
    <w:rsid w:val="004B5240"/>
    <w:rsid w:val="004B6B93"/>
    <w:rsid w:val="004B778F"/>
    <w:rsid w:val="004B78F0"/>
    <w:rsid w:val="004C0609"/>
    <w:rsid w:val="004C3FBD"/>
    <w:rsid w:val="004C3FD0"/>
    <w:rsid w:val="004C509C"/>
    <w:rsid w:val="004C5332"/>
    <w:rsid w:val="004C5963"/>
    <w:rsid w:val="004C7302"/>
    <w:rsid w:val="004C791D"/>
    <w:rsid w:val="004D02FB"/>
    <w:rsid w:val="004D0D6F"/>
    <w:rsid w:val="004D141F"/>
    <w:rsid w:val="004D19C2"/>
    <w:rsid w:val="004D1AC2"/>
    <w:rsid w:val="004D2742"/>
    <w:rsid w:val="004D30FA"/>
    <w:rsid w:val="004D3EF4"/>
    <w:rsid w:val="004D5B3F"/>
    <w:rsid w:val="004D5FB6"/>
    <w:rsid w:val="004D6310"/>
    <w:rsid w:val="004D69B5"/>
    <w:rsid w:val="004D7465"/>
    <w:rsid w:val="004E0062"/>
    <w:rsid w:val="004E04B4"/>
    <w:rsid w:val="004E05A1"/>
    <w:rsid w:val="004E08C0"/>
    <w:rsid w:val="004E10C1"/>
    <w:rsid w:val="004E1545"/>
    <w:rsid w:val="004E1C5C"/>
    <w:rsid w:val="004E2821"/>
    <w:rsid w:val="004E35E8"/>
    <w:rsid w:val="004E72C6"/>
    <w:rsid w:val="004E7DD4"/>
    <w:rsid w:val="004F1238"/>
    <w:rsid w:val="004F14DC"/>
    <w:rsid w:val="004F2C17"/>
    <w:rsid w:val="004F5E57"/>
    <w:rsid w:val="004F6710"/>
    <w:rsid w:val="004F7C7E"/>
    <w:rsid w:val="00500C3E"/>
    <w:rsid w:val="005015F5"/>
    <w:rsid w:val="00502234"/>
    <w:rsid w:val="00502849"/>
    <w:rsid w:val="00503B7E"/>
    <w:rsid w:val="00503D98"/>
    <w:rsid w:val="00503EE1"/>
    <w:rsid w:val="00503FF8"/>
    <w:rsid w:val="00504334"/>
    <w:rsid w:val="00504435"/>
    <w:rsid w:val="0050498D"/>
    <w:rsid w:val="005055D8"/>
    <w:rsid w:val="005078C2"/>
    <w:rsid w:val="005079D0"/>
    <w:rsid w:val="00507DBC"/>
    <w:rsid w:val="005100CF"/>
    <w:rsid w:val="005104D7"/>
    <w:rsid w:val="00510B9E"/>
    <w:rsid w:val="00513731"/>
    <w:rsid w:val="00513F2E"/>
    <w:rsid w:val="00514169"/>
    <w:rsid w:val="00514866"/>
    <w:rsid w:val="00515504"/>
    <w:rsid w:val="005163ED"/>
    <w:rsid w:val="00516E56"/>
    <w:rsid w:val="005172DA"/>
    <w:rsid w:val="00520EF3"/>
    <w:rsid w:val="005216FE"/>
    <w:rsid w:val="00521FE1"/>
    <w:rsid w:val="00522249"/>
    <w:rsid w:val="0052297A"/>
    <w:rsid w:val="005248D4"/>
    <w:rsid w:val="00525222"/>
    <w:rsid w:val="00525419"/>
    <w:rsid w:val="00525BF5"/>
    <w:rsid w:val="00526164"/>
    <w:rsid w:val="005273CC"/>
    <w:rsid w:val="00527441"/>
    <w:rsid w:val="00527DD0"/>
    <w:rsid w:val="0053007A"/>
    <w:rsid w:val="00530F86"/>
    <w:rsid w:val="00531CA2"/>
    <w:rsid w:val="00532AB4"/>
    <w:rsid w:val="00532D58"/>
    <w:rsid w:val="005333F7"/>
    <w:rsid w:val="005354C8"/>
    <w:rsid w:val="005358E3"/>
    <w:rsid w:val="005359EA"/>
    <w:rsid w:val="005365A3"/>
    <w:rsid w:val="00536BC2"/>
    <w:rsid w:val="00537149"/>
    <w:rsid w:val="0054171B"/>
    <w:rsid w:val="00541E4F"/>
    <w:rsid w:val="005424D1"/>
    <w:rsid w:val="00542545"/>
    <w:rsid w:val="005425E1"/>
    <w:rsid w:val="005427C5"/>
    <w:rsid w:val="00542CF6"/>
    <w:rsid w:val="00543E4C"/>
    <w:rsid w:val="005448ED"/>
    <w:rsid w:val="0054587F"/>
    <w:rsid w:val="00546B4C"/>
    <w:rsid w:val="00546FB9"/>
    <w:rsid w:val="0055160F"/>
    <w:rsid w:val="00551B8E"/>
    <w:rsid w:val="005526A8"/>
    <w:rsid w:val="00552A75"/>
    <w:rsid w:val="00553010"/>
    <w:rsid w:val="00553745"/>
    <w:rsid w:val="00553C03"/>
    <w:rsid w:val="005549AF"/>
    <w:rsid w:val="0056163D"/>
    <w:rsid w:val="00561B7F"/>
    <w:rsid w:val="00561DDB"/>
    <w:rsid w:val="00562592"/>
    <w:rsid w:val="00563692"/>
    <w:rsid w:val="005639BA"/>
    <w:rsid w:val="00563AFF"/>
    <w:rsid w:val="00563F71"/>
    <w:rsid w:val="005641C8"/>
    <w:rsid w:val="0056444A"/>
    <w:rsid w:val="00564FF9"/>
    <w:rsid w:val="005658A1"/>
    <w:rsid w:val="0056602E"/>
    <w:rsid w:val="00566184"/>
    <w:rsid w:val="005668CC"/>
    <w:rsid w:val="00566F8D"/>
    <w:rsid w:val="00571679"/>
    <w:rsid w:val="00572B39"/>
    <w:rsid w:val="00572C78"/>
    <w:rsid w:val="0057472E"/>
    <w:rsid w:val="0057494F"/>
    <w:rsid w:val="0057667C"/>
    <w:rsid w:val="005767F1"/>
    <w:rsid w:val="0058017F"/>
    <w:rsid w:val="005802FA"/>
    <w:rsid w:val="005803CD"/>
    <w:rsid w:val="00581345"/>
    <w:rsid w:val="00581973"/>
    <w:rsid w:val="00582642"/>
    <w:rsid w:val="00583E3F"/>
    <w:rsid w:val="00583EAD"/>
    <w:rsid w:val="005844E7"/>
    <w:rsid w:val="00584D16"/>
    <w:rsid w:val="00584F81"/>
    <w:rsid w:val="00585135"/>
    <w:rsid w:val="00587787"/>
    <w:rsid w:val="005908B8"/>
    <w:rsid w:val="0059336A"/>
    <w:rsid w:val="0059512E"/>
    <w:rsid w:val="00595AFE"/>
    <w:rsid w:val="005969CF"/>
    <w:rsid w:val="00596CFC"/>
    <w:rsid w:val="00597AFB"/>
    <w:rsid w:val="00597E68"/>
    <w:rsid w:val="005A01A9"/>
    <w:rsid w:val="005A17A7"/>
    <w:rsid w:val="005A331F"/>
    <w:rsid w:val="005A3378"/>
    <w:rsid w:val="005A58B1"/>
    <w:rsid w:val="005A6DD2"/>
    <w:rsid w:val="005B0305"/>
    <w:rsid w:val="005B1312"/>
    <w:rsid w:val="005B18E2"/>
    <w:rsid w:val="005B2570"/>
    <w:rsid w:val="005B299F"/>
    <w:rsid w:val="005B2C57"/>
    <w:rsid w:val="005B3CF4"/>
    <w:rsid w:val="005B484F"/>
    <w:rsid w:val="005B4F37"/>
    <w:rsid w:val="005B629D"/>
    <w:rsid w:val="005B7A30"/>
    <w:rsid w:val="005B7D2C"/>
    <w:rsid w:val="005C1DB9"/>
    <w:rsid w:val="005C28BA"/>
    <w:rsid w:val="005C385D"/>
    <w:rsid w:val="005C3A0B"/>
    <w:rsid w:val="005C5FDC"/>
    <w:rsid w:val="005C630C"/>
    <w:rsid w:val="005C6459"/>
    <w:rsid w:val="005C7A0A"/>
    <w:rsid w:val="005D0155"/>
    <w:rsid w:val="005D26C6"/>
    <w:rsid w:val="005D2944"/>
    <w:rsid w:val="005D3B20"/>
    <w:rsid w:val="005D3EE7"/>
    <w:rsid w:val="005D6679"/>
    <w:rsid w:val="005D6AAC"/>
    <w:rsid w:val="005E3C77"/>
    <w:rsid w:val="005E3CE2"/>
    <w:rsid w:val="005E4358"/>
    <w:rsid w:val="005E4481"/>
    <w:rsid w:val="005E472A"/>
    <w:rsid w:val="005E4759"/>
    <w:rsid w:val="005E514D"/>
    <w:rsid w:val="005E5B59"/>
    <w:rsid w:val="005E5C68"/>
    <w:rsid w:val="005E65C0"/>
    <w:rsid w:val="005F0390"/>
    <w:rsid w:val="005F21CC"/>
    <w:rsid w:val="005F2B41"/>
    <w:rsid w:val="005F2BFE"/>
    <w:rsid w:val="005F2F53"/>
    <w:rsid w:val="005F3DFF"/>
    <w:rsid w:val="005F40B6"/>
    <w:rsid w:val="005F77D5"/>
    <w:rsid w:val="005F7C09"/>
    <w:rsid w:val="00600C04"/>
    <w:rsid w:val="00600F71"/>
    <w:rsid w:val="0060287F"/>
    <w:rsid w:val="00603AA4"/>
    <w:rsid w:val="00605D1D"/>
    <w:rsid w:val="00605D3E"/>
    <w:rsid w:val="00606437"/>
    <w:rsid w:val="006072CD"/>
    <w:rsid w:val="00607D36"/>
    <w:rsid w:val="0061070B"/>
    <w:rsid w:val="00610836"/>
    <w:rsid w:val="00610F4D"/>
    <w:rsid w:val="00611735"/>
    <w:rsid w:val="00611DF6"/>
    <w:rsid w:val="00612023"/>
    <w:rsid w:val="00614190"/>
    <w:rsid w:val="00615A11"/>
    <w:rsid w:val="006178F2"/>
    <w:rsid w:val="00620615"/>
    <w:rsid w:val="00620C7B"/>
    <w:rsid w:val="00620F85"/>
    <w:rsid w:val="0062182C"/>
    <w:rsid w:val="006219DF"/>
    <w:rsid w:val="00622A99"/>
    <w:rsid w:val="00622E67"/>
    <w:rsid w:val="00626EDC"/>
    <w:rsid w:val="0063223B"/>
    <w:rsid w:val="00632654"/>
    <w:rsid w:val="00632668"/>
    <w:rsid w:val="00632D0F"/>
    <w:rsid w:val="00633416"/>
    <w:rsid w:val="00633A30"/>
    <w:rsid w:val="00636B94"/>
    <w:rsid w:val="0064061A"/>
    <w:rsid w:val="006410DB"/>
    <w:rsid w:val="00642CE8"/>
    <w:rsid w:val="0064300C"/>
    <w:rsid w:val="00645DD2"/>
    <w:rsid w:val="006470EC"/>
    <w:rsid w:val="00647E96"/>
    <w:rsid w:val="006509C3"/>
    <w:rsid w:val="00650C79"/>
    <w:rsid w:val="00651EDA"/>
    <w:rsid w:val="00652B19"/>
    <w:rsid w:val="00652CE4"/>
    <w:rsid w:val="006542D6"/>
    <w:rsid w:val="0065598E"/>
    <w:rsid w:val="00655AF2"/>
    <w:rsid w:val="00655BC5"/>
    <w:rsid w:val="0065619C"/>
    <w:rsid w:val="00656403"/>
    <w:rsid w:val="006568BE"/>
    <w:rsid w:val="0066025D"/>
    <w:rsid w:val="006608B0"/>
    <w:rsid w:val="0066091A"/>
    <w:rsid w:val="00661B7B"/>
    <w:rsid w:val="006633A3"/>
    <w:rsid w:val="00664890"/>
    <w:rsid w:val="006649F7"/>
    <w:rsid w:val="00664A1A"/>
    <w:rsid w:val="0067044E"/>
    <w:rsid w:val="0067261C"/>
    <w:rsid w:val="00672A54"/>
    <w:rsid w:val="0067395F"/>
    <w:rsid w:val="00675543"/>
    <w:rsid w:val="00675DDA"/>
    <w:rsid w:val="006760E3"/>
    <w:rsid w:val="00676EC5"/>
    <w:rsid w:val="006773EC"/>
    <w:rsid w:val="00680504"/>
    <w:rsid w:val="0068079E"/>
    <w:rsid w:val="00680808"/>
    <w:rsid w:val="00681553"/>
    <w:rsid w:val="00681CD9"/>
    <w:rsid w:val="006826B9"/>
    <w:rsid w:val="00683E30"/>
    <w:rsid w:val="006844FD"/>
    <w:rsid w:val="00684BB8"/>
    <w:rsid w:val="006866EA"/>
    <w:rsid w:val="00687024"/>
    <w:rsid w:val="0069014F"/>
    <w:rsid w:val="00690FD1"/>
    <w:rsid w:val="00691042"/>
    <w:rsid w:val="00692172"/>
    <w:rsid w:val="006921DE"/>
    <w:rsid w:val="006924C9"/>
    <w:rsid w:val="00692ED4"/>
    <w:rsid w:val="006933A8"/>
    <w:rsid w:val="006937A1"/>
    <w:rsid w:val="00693878"/>
    <w:rsid w:val="00693F3E"/>
    <w:rsid w:val="0069475B"/>
    <w:rsid w:val="0069496A"/>
    <w:rsid w:val="00695E22"/>
    <w:rsid w:val="00695F86"/>
    <w:rsid w:val="00696311"/>
    <w:rsid w:val="006A080A"/>
    <w:rsid w:val="006A09A7"/>
    <w:rsid w:val="006A0D3E"/>
    <w:rsid w:val="006A3AB3"/>
    <w:rsid w:val="006A52AF"/>
    <w:rsid w:val="006A6A2E"/>
    <w:rsid w:val="006A6DBA"/>
    <w:rsid w:val="006B040D"/>
    <w:rsid w:val="006B0ACE"/>
    <w:rsid w:val="006B0BF6"/>
    <w:rsid w:val="006B1CF9"/>
    <w:rsid w:val="006B5AB8"/>
    <w:rsid w:val="006B5C15"/>
    <w:rsid w:val="006B6CD9"/>
    <w:rsid w:val="006B7093"/>
    <w:rsid w:val="006B7417"/>
    <w:rsid w:val="006C1EC7"/>
    <w:rsid w:val="006C235C"/>
    <w:rsid w:val="006C2634"/>
    <w:rsid w:val="006C4682"/>
    <w:rsid w:val="006C4AA6"/>
    <w:rsid w:val="006C52C9"/>
    <w:rsid w:val="006C6193"/>
    <w:rsid w:val="006C79D0"/>
    <w:rsid w:val="006D1FCD"/>
    <w:rsid w:val="006D2F8E"/>
    <w:rsid w:val="006D3691"/>
    <w:rsid w:val="006D49C7"/>
    <w:rsid w:val="006D5DFF"/>
    <w:rsid w:val="006E0EEF"/>
    <w:rsid w:val="006E2F54"/>
    <w:rsid w:val="006E3002"/>
    <w:rsid w:val="006E36D4"/>
    <w:rsid w:val="006E457F"/>
    <w:rsid w:val="006E4C0D"/>
    <w:rsid w:val="006E4EFC"/>
    <w:rsid w:val="006E5015"/>
    <w:rsid w:val="006E55B1"/>
    <w:rsid w:val="006E5EF0"/>
    <w:rsid w:val="006E6AF3"/>
    <w:rsid w:val="006E6C9D"/>
    <w:rsid w:val="006F0C69"/>
    <w:rsid w:val="006F3563"/>
    <w:rsid w:val="006F366E"/>
    <w:rsid w:val="006F42B9"/>
    <w:rsid w:val="006F6103"/>
    <w:rsid w:val="006F6CF8"/>
    <w:rsid w:val="00701696"/>
    <w:rsid w:val="00703A1D"/>
    <w:rsid w:val="00703D94"/>
    <w:rsid w:val="00704E00"/>
    <w:rsid w:val="00705BF7"/>
    <w:rsid w:val="00707478"/>
    <w:rsid w:val="007101D2"/>
    <w:rsid w:val="007111DC"/>
    <w:rsid w:val="00712812"/>
    <w:rsid w:val="0071320F"/>
    <w:rsid w:val="00715135"/>
    <w:rsid w:val="00715FE0"/>
    <w:rsid w:val="00717115"/>
    <w:rsid w:val="0071751F"/>
    <w:rsid w:val="007209E7"/>
    <w:rsid w:val="0072249C"/>
    <w:rsid w:val="00722798"/>
    <w:rsid w:val="0072547A"/>
    <w:rsid w:val="00725614"/>
    <w:rsid w:val="0072599C"/>
    <w:rsid w:val="00726182"/>
    <w:rsid w:val="00726EC8"/>
    <w:rsid w:val="00727635"/>
    <w:rsid w:val="007279AD"/>
    <w:rsid w:val="0073188A"/>
    <w:rsid w:val="00732329"/>
    <w:rsid w:val="00732AB4"/>
    <w:rsid w:val="007337CA"/>
    <w:rsid w:val="0073443D"/>
    <w:rsid w:val="00734CE4"/>
    <w:rsid w:val="00735123"/>
    <w:rsid w:val="007359A0"/>
    <w:rsid w:val="00735B6A"/>
    <w:rsid w:val="007372BF"/>
    <w:rsid w:val="007374D2"/>
    <w:rsid w:val="007379A1"/>
    <w:rsid w:val="007405EC"/>
    <w:rsid w:val="0074071D"/>
    <w:rsid w:val="00740867"/>
    <w:rsid w:val="0074110B"/>
    <w:rsid w:val="0074154D"/>
    <w:rsid w:val="00741837"/>
    <w:rsid w:val="0074221F"/>
    <w:rsid w:val="0074305E"/>
    <w:rsid w:val="007453E6"/>
    <w:rsid w:val="00745B86"/>
    <w:rsid w:val="00746D5E"/>
    <w:rsid w:val="00747C11"/>
    <w:rsid w:val="00747D7F"/>
    <w:rsid w:val="00750391"/>
    <w:rsid w:val="0075091C"/>
    <w:rsid w:val="00751B32"/>
    <w:rsid w:val="007523A7"/>
    <w:rsid w:val="00752D84"/>
    <w:rsid w:val="00753265"/>
    <w:rsid w:val="007532E5"/>
    <w:rsid w:val="00753318"/>
    <w:rsid w:val="00753C13"/>
    <w:rsid w:val="007571B6"/>
    <w:rsid w:val="00757C33"/>
    <w:rsid w:val="00757F2F"/>
    <w:rsid w:val="00760006"/>
    <w:rsid w:val="007612D7"/>
    <w:rsid w:val="007639C9"/>
    <w:rsid w:val="00764483"/>
    <w:rsid w:val="00764DA6"/>
    <w:rsid w:val="0076526E"/>
    <w:rsid w:val="007652A0"/>
    <w:rsid w:val="0076688E"/>
    <w:rsid w:val="00767E01"/>
    <w:rsid w:val="00770396"/>
    <w:rsid w:val="00770511"/>
    <w:rsid w:val="007721EF"/>
    <w:rsid w:val="00772FDA"/>
    <w:rsid w:val="0077309D"/>
    <w:rsid w:val="00773656"/>
    <w:rsid w:val="007736DB"/>
    <w:rsid w:val="007738D3"/>
    <w:rsid w:val="007742A3"/>
    <w:rsid w:val="0077456A"/>
    <w:rsid w:val="0077509B"/>
    <w:rsid w:val="00775D28"/>
    <w:rsid w:val="007763CD"/>
    <w:rsid w:val="007774EE"/>
    <w:rsid w:val="007775BF"/>
    <w:rsid w:val="00780B23"/>
    <w:rsid w:val="00781822"/>
    <w:rsid w:val="00781851"/>
    <w:rsid w:val="007820CB"/>
    <w:rsid w:val="00783E8A"/>
    <w:rsid w:val="00783F21"/>
    <w:rsid w:val="007847A1"/>
    <w:rsid w:val="007863E2"/>
    <w:rsid w:val="00787159"/>
    <w:rsid w:val="0079043A"/>
    <w:rsid w:val="007911FB"/>
    <w:rsid w:val="00791668"/>
    <w:rsid w:val="00791AA1"/>
    <w:rsid w:val="00791BBF"/>
    <w:rsid w:val="0079211A"/>
    <w:rsid w:val="00792EB8"/>
    <w:rsid w:val="007959EB"/>
    <w:rsid w:val="007971D0"/>
    <w:rsid w:val="007A27B0"/>
    <w:rsid w:val="007A3793"/>
    <w:rsid w:val="007A456E"/>
    <w:rsid w:val="007A4648"/>
    <w:rsid w:val="007A78BB"/>
    <w:rsid w:val="007A7B15"/>
    <w:rsid w:val="007B210C"/>
    <w:rsid w:val="007B3323"/>
    <w:rsid w:val="007B46C1"/>
    <w:rsid w:val="007B5146"/>
    <w:rsid w:val="007B522C"/>
    <w:rsid w:val="007B5A5C"/>
    <w:rsid w:val="007B6017"/>
    <w:rsid w:val="007B771F"/>
    <w:rsid w:val="007B7B11"/>
    <w:rsid w:val="007C18A0"/>
    <w:rsid w:val="007C1BA2"/>
    <w:rsid w:val="007C220E"/>
    <w:rsid w:val="007C2B48"/>
    <w:rsid w:val="007C34BD"/>
    <w:rsid w:val="007C5520"/>
    <w:rsid w:val="007C6025"/>
    <w:rsid w:val="007D0E6B"/>
    <w:rsid w:val="007D1048"/>
    <w:rsid w:val="007D1202"/>
    <w:rsid w:val="007D20E9"/>
    <w:rsid w:val="007D23A0"/>
    <w:rsid w:val="007D3137"/>
    <w:rsid w:val="007D381F"/>
    <w:rsid w:val="007D4FB0"/>
    <w:rsid w:val="007D71DE"/>
    <w:rsid w:val="007D7879"/>
    <w:rsid w:val="007D7881"/>
    <w:rsid w:val="007D7E3A"/>
    <w:rsid w:val="007E0489"/>
    <w:rsid w:val="007E0571"/>
    <w:rsid w:val="007E0612"/>
    <w:rsid w:val="007E0E10"/>
    <w:rsid w:val="007E3FB1"/>
    <w:rsid w:val="007E434C"/>
    <w:rsid w:val="007E4732"/>
    <w:rsid w:val="007E4768"/>
    <w:rsid w:val="007E4DEB"/>
    <w:rsid w:val="007E5C18"/>
    <w:rsid w:val="007E5F98"/>
    <w:rsid w:val="007E777B"/>
    <w:rsid w:val="007E784F"/>
    <w:rsid w:val="007F09F0"/>
    <w:rsid w:val="007F2070"/>
    <w:rsid w:val="007F2D93"/>
    <w:rsid w:val="007F3049"/>
    <w:rsid w:val="007F3201"/>
    <w:rsid w:val="007F32B0"/>
    <w:rsid w:val="007F47E5"/>
    <w:rsid w:val="007F5949"/>
    <w:rsid w:val="007F7465"/>
    <w:rsid w:val="007F794F"/>
    <w:rsid w:val="008000BF"/>
    <w:rsid w:val="008006E5"/>
    <w:rsid w:val="00800B49"/>
    <w:rsid w:val="0080146B"/>
    <w:rsid w:val="00802634"/>
    <w:rsid w:val="0080295A"/>
    <w:rsid w:val="00802EF8"/>
    <w:rsid w:val="008038BD"/>
    <w:rsid w:val="00803FC3"/>
    <w:rsid w:val="00804021"/>
    <w:rsid w:val="00804597"/>
    <w:rsid w:val="008053F5"/>
    <w:rsid w:val="00805DD2"/>
    <w:rsid w:val="0080625E"/>
    <w:rsid w:val="00807493"/>
    <w:rsid w:val="00807A9B"/>
    <w:rsid w:val="00807AF7"/>
    <w:rsid w:val="00807D6D"/>
    <w:rsid w:val="00810198"/>
    <w:rsid w:val="00812486"/>
    <w:rsid w:val="00813052"/>
    <w:rsid w:val="00813A55"/>
    <w:rsid w:val="00813B09"/>
    <w:rsid w:val="00813B87"/>
    <w:rsid w:val="00813C6F"/>
    <w:rsid w:val="008143C5"/>
    <w:rsid w:val="00815214"/>
    <w:rsid w:val="0081578C"/>
    <w:rsid w:val="00815DA8"/>
    <w:rsid w:val="008166CF"/>
    <w:rsid w:val="008213AD"/>
    <w:rsid w:val="0082194D"/>
    <w:rsid w:val="00822140"/>
    <w:rsid w:val="008221F9"/>
    <w:rsid w:val="00822EB7"/>
    <w:rsid w:val="00823C34"/>
    <w:rsid w:val="00825A23"/>
    <w:rsid w:val="00826C62"/>
    <w:rsid w:val="00826EF5"/>
    <w:rsid w:val="0083007C"/>
    <w:rsid w:val="00831693"/>
    <w:rsid w:val="00831B65"/>
    <w:rsid w:val="00832723"/>
    <w:rsid w:val="00834BC7"/>
    <w:rsid w:val="008357ED"/>
    <w:rsid w:val="00836DDE"/>
    <w:rsid w:val="00836EF0"/>
    <w:rsid w:val="0083732E"/>
    <w:rsid w:val="00840104"/>
    <w:rsid w:val="00840C1F"/>
    <w:rsid w:val="00841C67"/>
    <w:rsid w:val="00841FC5"/>
    <w:rsid w:val="008426D1"/>
    <w:rsid w:val="00845709"/>
    <w:rsid w:val="0084654A"/>
    <w:rsid w:val="008467F6"/>
    <w:rsid w:val="008477E4"/>
    <w:rsid w:val="00847950"/>
    <w:rsid w:val="00852424"/>
    <w:rsid w:val="00852FEC"/>
    <w:rsid w:val="008537EB"/>
    <w:rsid w:val="00855057"/>
    <w:rsid w:val="00855B73"/>
    <w:rsid w:val="008576BD"/>
    <w:rsid w:val="00857C20"/>
    <w:rsid w:val="00860463"/>
    <w:rsid w:val="00862F86"/>
    <w:rsid w:val="0086442C"/>
    <w:rsid w:val="00864842"/>
    <w:rsid w:val="008648A3"/>
    <w:rsid w:val="00864B6D"/>
    <w:rsid w:val="00866F71"/>
    <w:rsid w:val="008674DF"/>
    <w:rsid w:val="00867DEF"/>
    <w:rsid w:val="0087080E"/>
    <w:rsid w:val="00872E55"/>
    <w:rsid w:val="008733DA"/>
    <w:rsid w:val="00874308"/>
    <w:rsid w:val="00874CB7"/>
    <w:rsid w:val="00875894"/>
    <w:rsid w:val="00875FD9"/>
    <w:rsid w:val="00876129"/>
    <w:rsid w:val="00877D17"/>
    <w:rsid w:val="00880837"/>
    <w:rsid w:val="00881C36"/>
    <w:rsid w:val="0088355D"/>
    <w:rsid w:val="008850E4"/>
    <w:rsid w:val="008854BE"/>
    <w:rsid w:val="00885631"/>
    <w:rsid w:val="00885889"/>
    <w:rsid w:val="008865F6"/>
    <w:rsid w:val="008910E9"/>
    <w:rsid w:val="00891AFE"/>
    <w:rsid w:val="0089286D"/>
    <w:rsid w:val="008939AB"/>
    <w:rsid w:val="00893A62"/>
    <w:rsid w:val="00893CD6"/>
    <w:rsid w:val="00895864"/>
    <w:rsid w:val="00896443"/>
    <w:rsid w:val="00896772"/>
    <w:rsid w:val="00897E78"/>
    <w:rsid w:val="008A0A36"/>
    <w:rsid w:val="008A12F5"/>
    <w:rsid w:val="008A1C60"/>
    <w:rsid w:val="008A24E7"/>
    <w:rsid w:val="008A39D7"/>
    <w:rsid w:val="008A3E17"/>
    <w:rsid w:val="008A5CB7"/>
    <w:rsid w:val="008A5EC8"/>
    <w:rsid w:val="008B0C07"/>
    <w:rsid w:val="008B1587"/>
    <w:rsid w:val="008B1B01"/>
    <w:rsid w:val="008B2128"/>
    <w:rsid w:val="008B31C7"/>
    <w:rsid w:val="008B3BCD"/>
    <w:rsid w:val="008B4051"/>
    <w:rsid w:val="008B4346"/>
    <w:rsid w:val="008B6DF8"/>
    <w:rsid w:val="008B6FE1"/>
    <w:rsid w:val="008B79D8"/>
    <w:rsid w:val="008C02B7"/>
    <w:rsid w:val="008C0CB9"/>
    <w:rsid w:val="008C106C"/>
    <w:rsid w:val="008C10F1"/>
    <w:rsid w:val="008C1926"/>
    <w:rsid w:val="008C1988"/>
    <w:rsid w:val="008C1A60"/>
    <w:rsid w:val="008C1E99"/>
    <w:rsid w:val="008C1EAF"/>
    <w:rsid w:val="008C7B51"/>
    <w:rsid w:val="008C7BC9"/>
    <w:rsid w:val="008D06EC"/>
    <w:rsid w:val="008D1052"/>
    <w:rsid w:val="008D124E"/>
    <w:rsid w:val="008D1871"/>
    <w:rsid w:val="008D1E12"/>
    <w:rsid w:val="008D2331"/>
    <w:rsid w:val="008D341D"/>
    <w:rsid w:val="008D3D58"/>
    <w:rsid w:val="008D56BA"/>
    <w:rsid w:val="008D5E10"/>
    <w:rsid w:val="008D6385"/>
    <w:rsid w:val="008D6704"/>
    <w:rsid w:val="008D7B04"/>
    <w:rsid w:val="008D7C9D"/>
    <w:rsid w:val="008E0085"/>
    <w:rsid w:val="008E2AA6"/>
    <w:rsid w:val="008E2CD8"/>
    <w:rsid w:val="008E311B"/>
    <w:rsid w:val="008E4241"/>
    <w:rsid w:val="008E4817"/>
    <w:rsid w:val="008E50F2"/>
    <w:rsid w:val="008E51A8"/>
    <w:rsid w:val="008E6ABA"/>
    <w:rsid w:val="008E6BA5"/>
    <w:rsid w:val="008F0FF3"/>
    <w:rsid w:val="008F18BA"/>
    <w:rsid w:val="008F1C05"/>
    <w:rsid w:val="008F2D85"/>
    <w:rsid w:val="008F4269"/>
    <w:rsid w:val="008F46E7"/>
    <w:rsid w:val="008F4FE3"/>
    <w:rsid w:val="008F54FD"/>
    <w:rsid w:val="008F694E"/>
    <w:rsid w:val="008F6F0B"/>
    <w:rsid w:val="008F7881"/>
    <w:rsid w:val="008F7BB6"/>
    <w:rsid w:val="00903BE0"/>
    <w:rsid w:val="00905780"/>
    <w:rsid w:val="009077EC"/>
    <w:rsid w:val="009078A6"/>
    <w:rsid w:val="00907A1A"/>
    <w:rsid w:val="00907BA7"/>
    <w:rsid w:val="0091064E"/>
    <w:rsid w:val="00910D14"/>
    <w:rsid w:val="00911FC5"/>
    <w:rsid w:val="0091222C"/>
    <w:rsid w:val="00912CEF"/>
    <w:rsid w:val="00912E2D"/>
    <w:rsid w:val="009134BF"/>
    <w:rsid w:val="00913A38"/>
    <w:rsid w:val="0091441F"/>
    <w:rsid w:val="00916A33"/>
    <w:rsid w:val="00916AF5"/>
    <w:rsid w:val="00920300"/>
    <w:rsid w:val="00920BE8"/>
    <w:rsid w:val="009212B9"/>
    <w:rsid w:val="0092364E"/>
    <w:rsid w:val="0092462D"/>
    <w:rsid w:val="00924777"/>
    <w:rsid w:val="00924B8E"/>
    <w:rsid w:val="00924E79"/>
    <w:rsid w:val="00925322"/>
    <w:rsid w:val="0092720B"/>
    <w:rsid w:val="00927EE7"/>
    <w:rsid w:val="0093071A"/>
    <w:rsid w:val="00930754"/>
    <w:rsid w:val="009312F1"/>
    <w:rsid w:val="00931A10"/>
    <w:rsid w:val="00931BF2"/>
    <w:rsid w:val="00931D87"/>
    <w:rsid w:val="00931EB7"/>
    <w:rsid w:val="00934C8B"/>
    <w:rsid w:val="009352B1"/>
    <w:rsid w:val="00935ED9"/>
    <w:rsid w:val="00936C39"/>
    <w:rsid w:val="0094059C"/>
    <w:rsid w:val="0094179F"/>
    <w:rsid w:val="00944002"/>
    <w:rsid w:val="009447C0"/>
    <w:rsid w:val="0094516F"/>
    <w:rsid w:val="00947967"/>
    <w:rsid w:val="00947CDA"/>
    <w:rsid w:val="00952361"/>
    <w:rsid w:val="00952FB0"/>
    <w:rsid w:val="00954B7D"/>
    <w:rsid w:val="00955074"/>
    <w:rsid w:val="00955201"/>
    <w:rsid w:val="00955C5B"/>
    <w:rsid w:val="00956187"/>
    <w:rsid w:val="009561F6"/>
    <w:rsid w:val="0095674E"/>
    <w:rsid w:val="00957163"/>
    <w:rsid w:val="00960C38"/>
    <w:rsid w:val="00961D64"/>
    <w:rsid w:val="009633F2"/>
    <w:rsid w:val="00964BD8"/>
    <w:rsid w:val="00965200"/>
    <w:rsid w:val="009656FB"/>
    <w:rsid w:val="009657E6"/>
    <w:rsid w:val="009668B3"/>
    <w:rsid w:val="00966AAC"/>
    <w:rsid w:val="00966B81"/>
    <w:rsid w:val="00966FF4"/>
    <w:rsid w:val="00967139"/>
    <w:rsid w:val="00967887"/>
    <w:rsid w:val="00970092"/>
    <w:rsid w:val="009712A7"/>
    <w:rsid w:val="00971471"/>
    <w:rsid w:val="00973625"/>
    <w:rsid w:val="0097477F"/>
    <w:rsid w:val="00975153"/>
    <w:rsid w:val="00975891"/>
    <w:rsid w:val="00976125"/>
    <w:rsid w:val="00977821"/>
    <w:rsid w:val="00977856"/>
    <w:rsid w:val="00977EBD"/>
    <w:rsid w:val="009810AC"/>
    <w:rsid w:val="00981DED"/>
    <w:rsid w:val="00983207"/>
    <w:rsid w:val="00983278"/>
    <w:rsid w:val="00984146"/>
    <w:rsid w:val="0098487E"/>
    <w:rsid w:val="009849C2"/>
    <w:rsid w:val="00984D24"/>
    <w:rsid w:val="009853D3"/>
    <w:rsid w:val="009858EB"/>
    <w:rsid w:val="00986AF9"/>
    <w:rsid w:val="00987567"/>
    <w:rsid w:val="00987C70"/>
    <w:rsid w:val="00990F15"/>
    <w:rsid w:val="00993095"/>
    <w:rsid w:val="0099334B"/>
    <w:rsid w:val="00993CE6"/>
    <w:rsid w:val="0099487C"/>
    <w:rsid w:val="009963CD"/>
    <w:rsid w:val="009967C8"/>
    <w:rsid w:val="00996C83"/>
    <w:rsid w:val="009976F8"/>
    <w:rsid w:val="009A0810"/>
    <w:rsid w:val="009A3F47"/>
    <w:rsid w:val="009A4980"/>
    <w:rsid w:val="009A58AD"/>
    <w:rsid w:val="009A77BF"/>
    <w:rsid w:val="009A77E5"/>
    <w:rsid w:val="009B0046"/>
    <w:rsid w:val="009B01C3"/>
    <w:rsid w:val="009B1314"/>
    <w:rsid w:val="009B243E"/>
    <w:rsid w:val="009B3330"/>
    <w:rsid w:val="009B463F"/>
    <w:rsid w:val="009B58C7"/>
    <w:rsid w:val="009B7534"/>
    <w:rsid w:val="009C08A7"/>
    <w:rsid w:val="009C0EED"/>
    <w:rsid w:val="009C1440"/>
    <w:rsid w:val="009C2107"/>
    <w:rsid w:val="009C25AA"/>
    <w:rsid w:val="009C2818"/>
    <w:rsid w:val="009C4092"/>
    <w:rsid w:val="009C49EE"/>
    <w:rsid w:val="009C5D9E"/>
    <w:rsid w:val="009C6672"/>
    <w:rsid w:val="009C6B62"/>
    <w:rsid w:val="009C7A5A"/>
    <w:rsid w:val="009C7DDC"/>
    <w:rsid w:val="009D261A"/>
    <w:rsid w:val="009D2C3E"/>
    <w:rsid w:val="009E032E"/>
    <w:rsid w:val="009E0625"/>
    <w:rsid w:val="009E1D0B"/>
    <w:rsid w:val="009E2086"/>
    <w:rsid w:val="009E2163"/>
    <w:rsid w:val="009E2216"/>
    <w:rsid w:val="009E2277"/>
    <w:rsid w:val="009E3034"/>
    <w:rsid w:val="009E3907"/>
    <w:rsid w:val="009E3A69"/>
    <w:rsid w:val="009E4BD9"/>
    <w:rsid w:val="009E4E92"/>
    <w:rsid w:val="009E549F"/>
    <w:rsid w:val="009E5A73"/>
    <w:rsid w:val="009E66EF"/>
    <w:rsid w:val="009E6724"/>
    <w:rsid w:val="009E6E5D"/>
    <w:rsid w:val="009F1211"/>
    <w:rsid w:val="009F1C84"/>
    <w:rsid w:val="009F28A8"/>
    <w:rsid w:val="009F2DA1"/>
    <w:rsid w:val="009F42DD"/>
    <w:rsid w:val="009F4429"/>
    <w:rsid w:val="009F473E"/>
    <w:rsid w:val="009F507F"/>
    <w:rsid w:val="009F5F21"/>
    <w:rsid w:val="009F66CE"/>
    <w:rsid w:val="009F682A"/>
    <w:rsid w:val="009F6FF4"/>
    <w:rsid w:val="00A0052A"/>
    <w:rsid w:val="00A01558"/>
    <w:rsid w:val="00A022BE"/>
    <w:rsid w:val="00A02464"/>
    <w:rsid w:val="00A02E3A"/>
    <w:rsid w:val="00A031E5"/>
    <w:rsid w:val="00A03236"/>
    <w:rsid w:val="00A05382"/>
    <w:rsid w:val="00A054E8"/>
    <w:rsid w:val="00A061F6"/>
    <w:rsid w:val="00A07B4B"/>
    <w:rsid w:val="00A143FE"/>
    <w:rsid w:val="00A15536"/>
    <w:rsid w:val="00A155FA"/>
    <w:rsid w:val="00A15E26"/>
    <w:rsid w:val="00A2021B"/>
    <w:rsid w:val="00A20A92"/>
    <w:rsid w:val="00A23B0C"/>
    <w:rsid w:val="00A24BDB"/>
    <w:rsid w:val="00A24C95"/>
    <w:rsid w:val="00A2599A"/>
    <w:rsid w:val="00A26094"/>
    <w:rsid w:val="00A26B75"/>
    <w:rsid w:val="00A27193"/>
    <w:rsid w:val="00A300D3"/>
    <w:rsid w:val="00A301BF"/>
    <w:rsid w:val="00A30240"/>
    <w:rsid w:val="00A302B2"/>
    <w:rsid w:val="00A30913"/>
    <w:rsid w:val="00A30920"/>
    <w:rsid w:val="00A31328"/>
    <w:rsid w:val="00A31A44"/>
    <w:rsid w:val="00A331B4"/>
    <w:rsid w:val="00A33464"/>
    <w:rsid w:val="00A33ADE"/>
    <w:rsid w:val="00A344C7"/>
    <w:rsid w:val="00A345D6"/>
    <w:rsid w:val="00A3484E"/>
    <w:rsid w:val="00A34FCB"/>
    <w:rsid w:val="00A356D3"/>
    <w:rsid w:val="00A3597C"/>
    <w:rsid w:val="00A35E10"/>
    <w:rsid w:val="00A36ADA"/>
    <w:rsid w:val="00A36BF1"/>
    <w:rsid w:val="00A36D29"/>
    <w:rsid w:val="00A404AD"/>
    <w:rsid w:val="00A41AE1"/>
    <w:rsid w:val="00A41E80"/>
    <w:rsid w:val="00A428D8"/>
    <w:rsid w:val="00A429B1"/>
    <w:rsid w:val="00A4371E"/>
    <w:rsid w:val="00A43762"/>
    <w:rsid w:val="00A438D8"/>
    <w:rsid w:val="00A43D84"/>
    <w:rsid w:val="00A44A8F"/>
    <w:rsid w:val="00A468BF"/>
    <w:rsid w:val="00A473AA"/>
    <w:rsid w:val="00A473F5"/>
    <w:rsid w:val="00A51F9D"/>
    <w:rsid w:val="00A52759"/>
    <w:rsid w:val="00A52A53"/>
    <w:rsid w:val="00A538F4"/>
    <w:rsid w:val="00A54103"/>
    <w:rsid w:val="00A5416A"/>
    <w:rsid w:val="00A548E3"/>
    <w:rsid w:val="00A54C85"/>
    <w:rsid w:val="00A55CBA"/>
    <w:rsid w:val="00A55E96"/>
    <w:rsid w:val="00A56A2B"/>
    <w:rsid w:val="00A5759E"/>
    <w:rsid w:val="00A637AC"/>
    <w:rsid w:val="00A639F4"/>
    <w:rsid w:val="00A63E29"/>
    <w:rsid w:val="00A64080"/>
    <w:rsid w:val="00A660D5"/>
    <w:rsid w:val="00A665A9"/>
    <w:rsid w:val="00A67055"/>
    <w:rsid w:val="00A70101"/>
    <w:rsid w:val="00A70509"/>
    <w:rsid w:val="00A7068D"/>
    <w:rsid w:val="00A711A5"/>
    <w:rsid w:val="00A71228"/>
    <w:rsid w:val="00A7162D"/>
    <w:rsid w:val="00A72D30"/>
    <w:rsid w:val="00A73E59"/>
    <w:rsid w:val="00A74D6F"/>
    <w:rsid w:val="00A75104"/>
    <w:rsid w:val="00A779C5"/>
    <w:rsid w:val="00A802BE"/>
    <w:rsid w:val="00A81A32"/>
    <w:rsid w:val="00A82D08"/>
    <w:rsid w:val="00A835BD"/>
    <w:rsid w:val="00A84291"/>
    <w:rsid w:val="00A85F27"/>
    <w:rsid w:val="00A86BDA"/>
    <w:rsid w:val="00A8707C"/>
    <w:rsid w:val="00A874FB"/>
    <w:rsid w:val="00A9034C"/>
    <w:rsid w:val="00A9067C"/>
    <w:rsid w:val="00A90B5F"/>
    <w:rsid w:val="00A912E9"/>
    <w:rsid w:val="00A91CF5"/>
    <w:rsid w:val="00A9248A"/>
    <w:rsid w:val="00A9373A"/>
    <w:rsid w:val="00A93854"/>
    <w:rsid w:val="00A9388B"/>
    <w:rsid w:val="00A943F4"/>
    <w:rsid w:val="00A95657"/>
    <w:rsid w:val="00A96A15"/>
    <w:rsid w:val="00A96E4D"/>
    <w:rsid w:val="00A97939"/>
    <w:rsid w:val="00A97A41"/>
    <w:rsid w:val="00A97B15"/>
    <w:rsid w:val="00AA194C"/>
    <w:rsid w:val="00AA1E1F"/>
    <w:rsid w:val="00AA245C"/>
    <w:rsid w:val="00AA262F"/>
    <w:rsid w:val="00AA3534"/>
    <w:rsid w:val="00AA42D5"/>
    <w:rsid w:val="00AA54D5"/>
    <w:rsid w:val="00AA5759"/>
    <w:rsid w:val="00AA5A83"/>
    <w:rsid w:val="00AA5AD6"/>
    <w:rsid w:val="00AA6973"/>
    <w:rsid w:val="00AA6B27"/>
    <w:rsid w:val="00AA70F7"/>
    <w:rsid w:val="00AA7577"/>
    <w:rsid w:val="00AA75AE"/>
    <w:rsid w:val="00AA7865"/>
    <w:rsid w:val="00AA7C83"/>
    <w:rsid w:val="00AA7C87"/>
    <w:rsid w:val="00AB03EA"/>
    <w:rsid w:val="00AB2927"/>
    <w:rsid w:val="00AB2FAB"/>
    <w:rsid w:val="00AB4714"/>
    <w:rsid w:val="00AB53F9"/>
    <w:rsid w:val="00AB5C14"/>
    <w:rsid w:val="00AB5FF3"/>
    <w:rsid w:val="00AB6930"/>
    <w:rsid w:val="00AB7EEE"/>
    <w:rsid w:val="00AC049C"/>
    <w:rsid w:val="00AC05F5"/>
    <w:rsid w:val="00AC06B2"/>
    <w:rsid w:val="00AC0D09"/>
    <w:rsid w:val="00AC0F14"/>
    <w:rsid w:val="00AC105C"/>
    <w:rsid w:val="00AC1EE7"/>
    <w:rsid w:val="00AC28D2"/>
    <w:rsid w:val="00AC3100"/>
    <w:rsid w:val="00AC333F"/>
    <w:rsid w:val="00AC3FF6"/>
    <w:rsid w:val="00AC4CE1"/>
    <w:rsid w:val="00AC585C"/>
    <w:rsid w:val="00AC5D3E"/>
    <w:rsid w:val="00AC6C94"/>
    <w:rsid w:val="00AD0C80"/>
    <w:rsid w:val="00AD1015"/>
    <w:rsid w:val="00AD17FF"/>
    <w:rsid w:val="00AD1925"/>
    <w:rsid w:val="00AD27EA"/>
    <w:rsid w:val="00AD414B"/>
    <w:rsid w:val="00AD4DB2"/>
    <w:rsid w:val="00AD507E"/>
    <w:rsid w:val="00AD57FB"/>
    <w:rsid w:val="00AD6505"/>
    <w:rsid w:val="00AD6B18"/>
    <w:rsid w:val="00AD72A0"/>
    <w:rsid w:val="00AE0199"/>
    <w:rsid w:val="00AE067D"/>
    <w:rsid w:val="00AE09F3"/>
    <w:rsid w:val="00AE1F1F"/>
    <w:rsid w:val="00AE20F2"/>
    <w:rsid w:val="00AE221C"/>
    <w:rsid w:val="00AE27BF"/>
    <w:rsid w:val="00AE2E8E"/>
    <w:rsid w:val="00AE3050"/>
    <w:rsid w:val="00AE3A4A"/>
    <w:rsid w:val="00AE4FCC"/>
    <w:rsid w:val="00AE65DD"/>
    <w:rsid w:val="00AE6C47"/>
    <w:rsid w:val="00AE730D"/>
    <w:rsid w:val="00AF1181"/>
    <w:rsid w:val="00AF1270"/>
    <w:rsid w:val="00AF2ADD"/>
    <w:rsid w:val="00AF2D90"/>
    <w:rsid w:val="00AF2F79"/>
    <w:rsid w:val="00AF4283"/>
    <w:rsid w:val="00AF435E"/>
    <w:rsid w:val="00AF4653"/>
    <w:rsid w:val="00AF555B"/>
    <w:rsid w:val="00AF563C"/>
    <w:rsid w:val="00AF7A1A"/>
    <w:rsid w:val="00AF7A8F"/>
    <w:rsid w:val="00AF7DB7"/>
    <w:rsid w:val="00B01EC2"/>
    <w:rsid w:val="00B02272"/>
    <w:rsid w:val="00B029DA"/>
    <w:rsid w:val="00B0411C"/>
    <w:rsid w:val="00B0421C"/>
    <w:rsid w:val="00B05D1D"/>
    <w:rsid w:val="00B06905"/>
    <w:rsid w:val="00B10D02"/>
    <w:rsid w:val="00B12C4C"/>
    <w:rsid w:val="00B139A3"/>
    <w:rsid w:val="00B14750"/>
    <w:rsid w:val="00B167CC"/>
    <w:rsid w:val="00B17197"/>
    <w:rsid w:val="00B17A8D"/>
    <w:rsid w:val="00B201E2"/>
    <w:rsid w:val="00B20EAB"/>
    <w:rsid w:val="00B22634"/>
    <w:rsid w:val="00B260C2"/>
    <w:rsid w:val="00B276CA"/>
    <w:rsid w:val="00B32126"/>
    <w:rsid w:val="00B33527"/>
    <w:rsid w:val="00B33A5F"/>
    <w:rsid w:val="00B3530F"/>
    <w:rsid w:val="00B40162"/>
    <w:rsid w:val="00B40A67"/>
    <w:rsid w:val="00B41FBD"/>
    <w:rsid w:val="00B42152"/>
    <w:rsid w:val="00B42642"/>
    <w:rsid w:val="00B42CE4"/>
    <w:rsid w:val="00B43616"/>
    <w:rsid w:val="00B43EFD"/>
    <w:rsid w:val="00B443E4"/>
    <w:rsid w:val="00B45907"/>
    <w:rsid w:val="00B470A6"/>
    <w:rsid w:val="00B4745A"/>
    <w:rsid w:val="00B50616"/>
    <w:rsid w:val="00B533B1"/>
    <w:rsid w:val="00B53D01"/>
    <w:rsid w:val="00B5484D"/>
    <w:rsid w:val="00B54B2F"/>
    <w:rsid w:val="00B55ABE"/>
    <w:rsid w:val="00B563EA"/>
    <w:rsid w:val="00B56C0B"/>
    <w:rsid w:val="00B56CDF"/>
    <w:rsid w:val="00B57285"/>
    <w:rsid w:val="00B57B94"/>
    <w:rsid w:val="00B60127"/>
    <w:rsid w:val="00B60E51"/>
    <w:rsid w:val="00B61619"/>
    <w:rsid w:val="00B6289B"/>
    <w:rsid w:val="00B62DCC"/>
    <w:rsid w:val="00B636FE"/>
    <w:rsid w:val="00B63A54"/>
    <w:rsid w:val="00B63B9E"/>
    <w:rsid w:val="00B64CFB"/>
    <w:rsid w:val="00B67A7D"/>
    <w:rsid w:val="00B70752"/>
    <w:rsid w:val="00B71159"/>
    <w:rsid w:val="00B71E3D"/>
    <w:rsid w:val="00B7225B"/>
    <w:rsid w:val="00B72A6A"/>
    <w:rsid w:val="00B72D0A"/>
    <w:rsid w:val="00B75191"/>
    <w:rsid w:val="00B77D18"/>
    <w:rsid w:val="00B77D23"/>
    <w:rsid w:val="00B8164D"/>
    <w:rsid w:val="00B81B18"/>
    <w:rsid w:val="00B82454"/>
    <w:rsid w:val="00B82745"/>
    <w:rsid w:val="00B8313A"/>
    <w:rsid w:val="00B83483"/>
    <w:rsid w:val="00B83CEF"/>
    <w:rsid w:val="00B84030"/>
    <w:rsid w:val="00B91A14"/>
    <w:rsid w:val="00B91F87"/>
    <w:rsid w:val="00B93503"/>
    <w:rsid w:val="00B9387D"/>
    <w:rsid w:val="00B93D41"/>
    <w:rsid w:val="00B94DD3"/>
    <w:rsid w:val="00B94FF4"/>
    <w:rsid w:val="00B958B0"/>
    <w:rsid w:val="00B96FAD"/>
    <w:rsid w:val="00B97551"/>
    <w:rsid w:val="00BA01BF"/>
    <w:rsid w:val="00BA0276"/>
    <w:rsid w:val="00BA2DDE"/>
    <w:rsid w:val="00BA31E8"/>
    <w:rsid w:val="00BA4435"/>
    <w:rsid w:val="00BA453E"/>
    <w:rsid w:val="00BA491B"/>
    <w:rsid w:val="00BA5312"/>
    <w:rsid w:val="00BA55E0"/>
    <w:rsid w:val="00BA5D80"/>
    <w:rsid w:val="00BA68C4"/>
    <w:rsid w:val="00BA6BD4"/>
    <w:rsid w:val="00BA6C7A"/>
    <w:rsid w:val="00BA746D"/>
    <w:rsid w:val="00BA7966"/>
    <w:rsid w:val="00BB17D1"/>
    <w:rsid w:val="00BB3752"/>
    <w:rsid w:val="00BB4B91"/>
    <w:rsid w:val="00BB5539"/>
    <w:rsid w:val="00BB6688"/>
    <w:rsid w:val="00BC12A2"/>
    <w:rsid w:val="00BC1B00"/>
    <w:rsid w:val="00BC1DF4"/>
    <w:rsid w:val="00BC26D4"/>
    <w:rsid w:val="00BC2C99"/>
    <w:rsid w:val="00BC3584"/>
    <w:rsid w:val="00BC3D56"/>
    <w:rsid w:val="00BC403E"/>
    <w:rsid w:val="00BC5F1F"/>
    <w:rsid w:val="00BC60A6"/>
    <w:rsid w:val="00BC66D4"/>
    <w:rsid w:val="00BD11AA"/>
    <w:rsid w:val="00BD1553"/>
    <w:rsid w:val="00BD1EAE"/>
    <w:rsid w:val="00BD281F"/>
    <w:rsid w:val="00BD2EDA"/>
    <w:rsid w:val="00BD77BB"/>
    <w:rsid w:val="00BD7B10"/>
    <w:rsid w:val="00BE0C80"/>
    <w:rsid w:val="00BE2857"/>
    <w:rsid w:val="00BE3231"/>
    <w:rsid w:val="00BE43DC"/>
    <w:rsid w:val="00BE475B"/>
    <w:rsid w:val="00BE5B70"/>
    <w:rsid w:val="00BE5C61"/>
    <w:rsid w:val="00BE6331"/>
    <w:rsid w:val="00BE6882"/>
    <w:rsid w:val="00BE7CDE"/>
    <w:rsid w:val="00BF0C8C"/>
    <w:rsid w:val="00BF103E"/>
    <w:rsid w:val="00BF2A42"/>
    <w:rsid w:val="00BF3042"/>
    <w:rsid w:val="00BF39F9"/>
    <w:rsid w:val="00BF4BD3"/>
    <w:rsid w:val="00BF5314"/>
    <w:rsid w:val="00BF5F71"/>
    <w:rsid w:val="00BF60A4"/>
    <w:rsid w:val="00BF7158"/>
    <w:rsid w:val="00C026B8"/>
    <w:rsid w:val="00C03D8C"/>
    <w:rsid w:val="00C04060"/>
    <w:rsid w:val="00C04392"/>
    <w:rsid w:val="00C04BB6"/>
    <w:rsid w:val="00C055EC"/>
    <w:rsid w:val="00C0578B"/>
    <w:rsid w:val="00C0590F"/>
    <w:rsid w:val="00C0679D"/>
    <w:rsid w:val="00C06F8B"/>
    <w:rsid w:val="00C077B1"/>
    <w:rsid w:val="00C07D43"/>
    <w:rsid w:val="00C07EF7"/>
    <w:rsid w:val="00C10DC9"/>
    <w:rsid w:val="00C11426"/>
    <w:rsid w:val="00C1168E"/>
    <w:rsid w:val="00C129CA"/>
    <w:rsid w:val="00C12D41"/>
    <w:rsid w:val="00C12FB3"/>
    <w:rsid w:val="00C13278"/>
    <w:rsid w:val="00C14ED8"/>
    <w:rsid w:val="00C15CDA"/>
    <w:rsid w:val="00C164C8"/>
    <w:rsid w:val="00C17341"/>
    <w:rsid w:val="00C173D1"/>
    <w:rsid w:val="00C1777F"/>
    <w:rsid w:val="00C21A30"/>
    <w:rsid w:val="00C229A9"/>
    <w:rsid w:val="00C22D4C"/>
    <w:rsid w:val="00C2309D"/>
    <w:rsid w:val="00C230EF"/>
    <w:rsid w:val="00C2310E"/>
    <w:rsid w:val="00C2317A"/>
    <w:rsid w:val="00C2360A"/>
    <w:rsid w:val="00C24EEF"/>
    <w:rsid w:val="00C24F22"/>
    <w:rsid w:val="00C25727"/>
    <w:rsid w:val="00C25CF6"/>
    <w:rsid w:val="00C26045"/>
    <w:rsid w:val="00C26498"/>
    <w:rsid w:val="00C26C36"/>
    <w:rsid w:val="00C27FEA"/>
    <w:rsid w:val="00C31C2C"/>
    <w:rsid w:val="00C32768"/>
    <w:rsid w:val="00C33084"/>
    <w:rsid w:val="00C34FA5"/>
    <w:rsid w:val="00C35365"/>
    <w:rsid w:val="00C35E22"/>
    <w:rsid w:val="00C3619B"/>
    <w:rsid w:val="00C36660"/>
    <w:rsid w:val="00C37B82"/>
    <w:rsid w:val="00C42166"/>
    <w:rsid w:val="00C431DF"/>
    <w:rsid w:val="00C452A0"/>
    <w:rsid w:val="00C456BD"/>
    <w:rsid w:val="00C466E0"/>
    <w:rsid w:val="00C515A5"/>
    <w:rsid w:val="00C528AF"/>
    <w:rsid w:val="00C530DC"/>
    <w:rsid w:val="00C5350D"/>
    <w:rsid w:val="00C53535"/>
    <w:rsid w:val="00C53E15"/>
    <w:rsid w:val="00C5476C"/>
    <w:rsid w:val="00C54E5B"/>
    <w:rsid w:val="00C55090"/>
    <w:rsid w:val="00C55808"/>
    <w:rsid w:val="00C55E0C"/>
    <w:rsid w:val="00C6123C"/>
    <w:rsid w:val="00C6311A"/>
    <w:rsid w:val="00C6663F"/>
    <w:rsid w:val="00C67A68"/>
    <w:rsid w:val="00C7084D"/>
    <w:rsid w:val="00C7315E"/>
    <w:rsid w:val="00C7441C"/>
    <w:rsid w:val="00C75895"/>
    <w:rsid w:val="00C76B1C"/>
    <w:rsid w:val="00C76CF7"/>
    <w:rsid w:val="00C77069"/>
    <w:rsid w:val="00C77962"/>
    <w:rsid w:val="00C80550"/>
    <w:rsid w:val="00C806E6"/>
    <w:rsid w:val="00C81FB5"/>
    <w:rsid w:val="00C82466"/>
    <w:rsid w:val="00C83397"/>
    <w:rsid w:val="00C8354B"/>
    <w:rsid w:val="00C83A6E"/>
    <w:rsid w:val="00C83C9F"/>
    <w:rsid w:val="00C842C0"/>
    <w:rsid w:val="00C84509"/>
    <w:rsid w:val="00C84E57"/>
    <w:rsid w:val="00C862A0"/>
    <w:rsid w:val="00C86586"/>
    <w:rsid w:val="00C8680C"/>
    <w:rsid w:val="00C9013E"/>
    <w:rsid w:val="00C902AD"/>
    <w:rsid w:val="00C9057D"/>
    <w:rsid w:val="00C905FB"/>
    <w:rsid w:val="00C9074A"/>
    <w:rsid w:val="00C90A77"/>
    <w:rsid w:val="00C91558"/>
    <w:rsid w:val="00C92328"/>
    <w:rsid w:val="00C94840"/>
    <w:rsid w:val="00C94DC8"/>
    <w:rsid w:val="00C95BCE"/>
    <w:rsid w:val="00C95C12"/>
    <w:rsid w:val="00C962FB"/>
    <w:rsid w:val="00C967E6"/>
    <w:rsid w:val="00C97466"/>
    <w:rsid w:val="00C97732"/>
    <w:rsid w:val="00C97C2D"/>
    <w:rsid w:val="00CA06BA"/>
    <w:rsid w:val="00CA1283"/>
    <w:rsid w:val="00CA2D76"/>
    <w:rsid w:val="00CA39B6"/>
    <w:rsid w:val="00CA45CA"/>
    <w:rsid w:val="00CA4DAA"/>
    <w:rsid w:val="00CA4EE3"/>
    <w:rsid w:val="00CA4FFC"/>
    <w:rsid w:val="00CA6174"/>
    <w:rsid w:val="00CA7436"/>
    <w:rsid w:val="00CA7CC1"/>
    <w:rsid w:val="00CB027F"/>
    <w:rsid w:val="00CB0789"/>
    <w:rsid w:val="00CB0BD9"/>
    <w:rsid w:val="00CB1486"/>
    <w:rsid w:val="00CB25F1"/>
    <w:rsid w:val="00CB63C2"/>
    <w:rsid w:val="00CB64F4"/>
    <w:rsid w:val="00CC0B32"/>
    <w:rsid w:val="00CC0D58"/>
    <w:rsid w:val="00CC0EBB"/>
    <w:rsid w:val="00CC42D7"/>
    <w:rsid w:val="00CC43EC"/>
    <w:rsid w:val="00CC4CCD"/>
    <w:rsid w:val="00CC6297"/>
    <w:rsid w:val="00CC6C30"/>
    <w:rsid w:val="00CC6EBD"/>
    <w:rsid w:val="00CC7690"/>
    <w:rsid w:val="00CC798F"/>
    <w:rsid w:val="00CD1986"/>
    <w:rsid w:val="00CD1A01"/>
    <w:rsid w:val="00CD1C97"/>
    <w:rsid w:val="00CD29E9"/>
    <w:rsid w:val="00CD3BD6"/>
    <w:rsid w:val="00CD3E76"/>
    <w:rsid w:val="00CD54BF"/>
    <w:rsid w:val="00CD578F"/>
    <w:rsid w:val="00CD5BBC"/>
    <w:rsid w:val="00CD5E90"/>
    <w:rsid w:val="00CD68A2"/>
    <w:rsid w:val="00CE0BDF"/>
    <w:rsid w:val="00CE164E"/>
    <w:rsid w:val="00CE1B4A"/>
    <w:rsid w:val="00CE36A5"/>
    <w:rsid w:val="00CE38D9"/>
    <w:rsid w:val="00CE3A0D"/>
    <w:rsid w:val="00CE4C5B"/>
    <w:rsid w:val="00CE4D5C"/>
    <w:rsid w:val="00CE4EDC"/>
    <w:rsid w:val="00CE5C6B"/>
    <w:rsid w:val="00CF05DA"/>
    <w:rsid w:val="00CF0ECD"/>
    <w:rsid w:val="00CF152F"/>
    <w:rsid w:val="00CF2A83"/>
    <w:rsid w:val="00CF2D63"/>
    <w:rsid w:val="00CF58EB"/>
    <w:rsid w:val="00CF5D6B"/>
    <w:rsid w:val="00CF5D84"/>
    <w:rsid w:val="00CF6FEC"/>
    <w:rsid w:val="00CF71CB"/>
    <w:rsid w:val="00D00528"/>
    <w:rsid w:val="00D0106E"/>
    <w:rsid w:val="00D01245"/>
    <w:rsid w:val="00D02609"/>
    <w:rsid w:val="00D03300"/>
    <w:rsid w:val="00D03777"/>
    <w:rsid w:val="00D04116"/>
    <w:rsid w:val="00D04C45"/>
    <w:rsid w:val="00D056E5"/>
    <w:rsid w:val="00D06383"/>
    <w:rsid w:val="00D0760F"/>
    <w:rsid w:val="00D076D4"/>
    <w:rsid w:val="00D114D8"/>
    <w:rsid w:val="00D1154B"/>
    <w:rsid w:val="00D12453"/>
    <w:rsid w:val="00D124A0"/>
    <w:rsid w:val="00D130A7"/>
    <w:rsid w:val="00D1363A"/>
    <w:rsid w:val="00D13B26"/>
    <w:rsid w:val="00D164EF"/>
    <w:rsid w:val="00D2058F"/>
    <w:rsid w:val="00D20E85"/>
    <w:rsid w:val="00D2164C"/>
    <w:rsid w:val="00D21D95"/>
    <w:rsid w:val="00D21E25"/>
    <w:rsid w:val="00D22030"/>
    <w:rsid w:val="00D220D7"/>
    <w:rsid w:val="00D235CE"/>
    <w:rsid w:val="00D2451C"/>
    <w:rsid w:val="00D24615"/>
    <w:rsid w:val="00D25574"/>
    <w:rsid w:val="00D2606C"/>
    <w:rsid w:val="00D26924"/>
    <w:rsid w:val="00D26BD0"/>
    <w:rsid w:val="00D276BF"/>
    <w:rsid w:val="00D30FEB"/>
    <w:rsid w:val="00D3191A"/>
    <w:rsid w:val="00D3242A"/>
    <w:rsid w:val="00D32CD8"/>
    <w:rsid w:val="00D333B3"/>
    <w:rsid w:val="00D338DF"/>
    <w:rsid w:val="00D340CD"/>
    <w:rsid w:val="00D35328"/>
    <w:rsid w:val="00D35408"/>
    <w:rsid w:val="00D3635C"/>
    <w:rsid w:val="00D36392"/>
    <w:rsid w:val="00D36DDB"/>
    <w:rsid w:val="00D37842"/>
    <w:rsid w:val="00D40664"/>
    <w:rsid w:val="00D413A4"/>
    <w:rsid w:val="00D419AE"/>
    <w:rsid w:val="00D41EE3"/>
    <w:rsid w:val="00D42DC2"/>
    <w:rsid w:val="00D4337F"/>
    <w:rsid w:val="00D43D21"/>
    <w:rsid w:val="00D444B2"/>
    <w:rsid w:val="00D44AAC"/>
    <w:rsid w:val="00D45E17"/>
    <w:rsid w:val="00D45FC1"/>
    <w:rsid w:val="00D47302"/>
    <w:rsid w:val="00D5044D"/>
    <w:rsid w:val="00D520D8"/>
    <w:rsid w:val="00D52386"/>
    <w:rsid w:val="00D5243B"/>
    <w:rsid w:val="00D52566"/>
    <w:rsid w:val="00D52AB4"/>
    <w:rsid w:val="00D52D45"/>
    <w:rsid w:val="00D537E1"/>
    <w:rsid w:val="00D53BFD"/>
    <w:rsid w:val="00D541F1"/>
    <w:rsid w:val="00D5469C"/>
    <w:rsid w:val="00D5557D"/>
    <w:rsid w:val="00D55BB2"/>
    <w:rsid w:val="00D570C3"/>
    <w:rsid w:val="00D574E3"/>
    <w:rsid w:val="00D57FBF"/>
    <w:rsid w:val="00D6091A"/>
    <w:rsid w:val="00D62CAF"/>
    <w:rsid w:val="00D65671"/>
    <w:rsid w:val="00D6605A"/>
    <w:rsid w:val="00D6695F"/>
    <w:rsid w:val="00D6751E"/>
    <w:rsid w:val="00D71CA0"/>
    <w:rsid w:val="00D73EB5"/>
    <w:rsid w:val="00D74273"/>
    <w:rsid w:val="00D7497B"/>
    <w:rsid w:val="00D74DFF"/>
    <w:rsid w:val="00D75644"/>
    <w:rsid w:val="00D75A66"/>
    <w:rsid w:val="00D75AD7"/>
    <w:rsid w:val="00D81306"/>
    <w:rsid w:val="00D81656"/>
    <w:rsid w:val="00D83D87"/>
    <w:rsid w:val="00D84029"/>
    <w:rsid w:val="00D841D7"/>
    <w:rsid w:val="00D84A6D"/>
    <w:rsid w:val="00D86A30"/>
    <w:rsid w:val="00D9089F"/>
    <w:rsid w:val="00D9159E"/>
    <w:rsid w:val="00D933CF"/>
    <w:rsid w:val="00D9397F"/>
    <w:rsid w:val="00D93D00"/>
    <w:rsid w:val="00D945CE"/>
    <w:rsid w:val="00D94949"/>
    <w:rsid w:val="00D94CE3"/>
    <w:rsid w:val="00D95DB4"/>
    <w:rsid w:val="00D97CB4"/>
    <w:rsid w:val="00D97DD4"/>
    <w:rsid w:val="00DA1251"/>
    <w:rsid w:val="00DA2B5B"/>
    <w:rsid w:val="00DA3F12"/>
    <w:rsid w:val="00DA3F4F"/>
    <w:rsid w:val="00DA5A8A"/>
    <w:rsid w:val="00DA6723"/>
    <w:rsid w:val="00DA6A1E"/>
    <w:rsid w:val="00DA6B50"/>
    <w:rsid w:val="00DA7306"/>
    <w:rsid w:val="00DB1170"/>
    <w:rsid w:val="00DB149A"/>
    <w:rsid w:val="00DB1E55"/>
    <w:rsid w:val="00DB26CD"/>
    <w:rsid w:val="00DB441C"/>
    <w:rsid w:val="00DB44AF"/>
    <w:rsid w:val="00DB4ABB"/>
    <w:rsid w:val="00DB5C8A"/>
    <w:rsid w:val="00DB6F54"/>
    <w:rsid w:val="00DB7341"/>
    <w:rsid w:val="00DC043D"/>
    <w:rsid w:val="00DC1F58"/>
    <w:rsid w:val="00DC339B"/>
    <w:rsid w:val="00DC4A6B"/>
    <w:rsid w:val="00DC4EA2"/>
    <w:rsid w:val="00DC5598"/>
    <w:rsid w:val="00DC5709"/>
    <w:rsid w:val="00DC5D40"/>
    <w:rsid w:val="00DC5EE9"/>
    <w:rsid w:val="00DC69A7"/>
    <w:rsid w:val="00DC717C"/>
    <w:rsid w:val="00DD0203"/>
    <w:rsid w:val="00DD1BC2"/>
    <w:rsid w:val="00DD2BC3"/>
    <w:rsid w:val="00DD30E9"/>
    <w:rsid w:val="00DD49DE"/>
    <w:rsid w:val="00DD4A1D"/>
    <w:rsid w:val="00DD4F47"/>
    <w:rsid w:val="00DD6255"/>
    <w:rsid w:val="00DD7A80"/>
    <w:rsid w:val="00DD7FBB"/>
    <w:rsid w:val="00DE0B9F"/>
    <w:rsid w:val="00DE17F4"/>
    <w:rsid w:val="00DE253A"/>
    <w:rsid w:val="00DE254B"/>
    <w:rsid w:val="00DE2A9E"/>
    <w:rsid w:val="00DE3775"/>
    <w:rsid w:val="00DE4238"/>
    <w:rsid w:val="00DE4679"/>
    <w:rsid w:val="00DE48AD"/>
    <w:rsid w:val="00DE4E49"/>
    <w:rsid w:val="00DE58AC"/>
    <w:rsid w:val="00DE5F50"/>
    <w:rsid w:val="00DE657F"/>
    <w:rsid w:val="00DE6AF3"/>
    <w:rsid w:val="00DF0011"/>
    <w:rsid w:val="00DF0A5C"/>
    <w:rsid w:val="00DF0B57"/>
    <w:rsid w:val="00DF1218"/>
    <w:rsid w:val="00DF243E"/>
    <w:rsid w:val="00DF2440"/>
    <w:rsid w:val="00DF272A"/>
    <w:rsid w:val="00DF2CE2"/>
    <w:rsid w:val="00DF393C"/>
    <w:rsid w:val="00DF4FCF"/>
    <w:rsid w:val="00DF6462"/>
    <w:rsid w:val="00DF6BF3"/>
    <w:rsid w:val="00DF7DE2"/>
    <w:rsid w:val="00E02FA0"/>
    <w:rsid w:val="00E036DC"/>
    <w:rsid w:val="00E03910"/>
    <w:rsid w:val="00E04400"/>
    <w:rsid w:val="00E07073"/>
    <w:rsid w:val="00E07B94"/>
    <w:rsid w:val="00E10454"/>
    <w:rsid w:val="00E10F55"/>
    <w:rsid w:val="00E112E5"/>
    <w:rsid w:val="00E122D8"/>
    <w:rsid w:val="00E124F3"/>
    <w:rsid w:val="00E12CC8"/>
    <w:rsid w:val="00E13273"/>
    <w:rsid w:val="00E136F2"/>
    <w:rsid w:val="00E1467A"/>
    <w:rsid w:val="00E14B63"/>
    <w:rsid w:val="00E14BD5"/>
    <w:rsid w:val="00E14F43"/>
    <w:rsid w:val="00E15352"/>
    <w:rsid w:val="00E15614"/>
    <w:rsid w:val="00E15F43"/>
    <w:rsid w:val="00E16B10"/>
    <w:rsid w:val="00E1760D"/>
    <w:rsid w:val="00E17B06"/>
    <w:rsid w:val="00E2010B"/>
    <w:rsid w:val="00E203E7"/>
    <w:rsid w:val="00E21400"/>
    <w:rsid w:val="00E21CC7"/>
    <w:rsid w:val="00E22272"/>
    <w:rsid w:val="00E23219"/>
    <w:rsid w:val="00E23355"/>
    <w:rsid w:val="00E23505"/>
    <w:rsid w:val="00E23B68"/>
    <w:rsid w:val="00E23D72"/>
    <w:rsid w:val="00E24D9E"/>
    <w:rsid w:val="00E25651"/>
    <w:rsid w:val="00E25849"/>
    <w:rsid w:val="00E260A9"/>
    <w:rsid w:val="00E264B2"/>
    <w:rsid w:val="00E26521"/>
    <w:rsid w:val="00E26948"/>
    <w:rsid w:val="00E26BF6"/>
    <w:rsid w:val="00E3041A"/>
    <w:rsid w:val="00E30C65"/>
    <w:rsid w:val="00E3197E"/>
    <w:rsid w:val="00E31B0C"/>
    <w:rsid w:val="00E31DCE"/>
    <w:rsid w:val="00E32786"/>
    <w:rsid w:val="00E32A34"/>
    <w:rsid w:val="00E3409D"/>
    <w:rsid w:val="00E342F8"/>
    <w:rsid w:val="00E34BE7"/>
    <w:rsid w:val="00E351ED"/>
    <w:rsid w:val="00E35FB3"/>
    <w:rsid w:val="00E37DB2"/>
    <w:rsid w:val="00E402DB"/>
    <w:rsid w:val="00E4196E"/>
    <w:rsid w:val="00E41CA4"/>
    <w:rsid w:val="00E41E14"/>
    <w:rsid w:val="00E42327"/>
    <w:rsid w:val="00E42E55"/>
    <w:rsid w:val="00E43203"/>
    <w:rsid w:val="00E43DFB"/>
    <w:rsid w:val="00E43F2C"/>
    <w:rsid w:val="00E44842"/>
    <w:rsid w:val="00E45607"/>
    <w:rsid w:val="00E46D8E"/>
    <w:rsid w:val="00E46E96"/>
    <w:rsid w:val="00E4784F"/>
    <w:rsid w:val="00E5110C"/>
    <w:rsid w:val="00E513DC"/>
    <w:rsid w:val="00E553A1"/>
    <w:rsid w:val="00E556DC"/>
    <w:rsid w:val="00E56E2E"/>
    <w:rsid w:val="00E56F9F"/>
    <w:rsid w:val="00E6034B"/>
    <w:rsid w:val="00E60653"/>
    <w:rsid w:val="00E606E7"/>
    <w:rsid w:val="00E60CB2"/>
    <w:rsid w:val="00E61241"/>
    <w:rsid w:val="00E639A1"/>
    <w:rsid w:val="00E6471F"/>
    <w:rsid w:val="00E64A23"/>
    <w:rsid w:val="00E6525B"/>
    <w:rsid w:val="00E6549E"/>
    <w:rsid w:val="00E65C92"/>
    <w:rsid w:val="00E65C93"/>
    <w:rsid w:val="00E65EDE"/>
    <w:rsid w:val="00E65F06"/>
    <w:rsid w:val="00E67545"/>
    <w:rsid w:val="00E70382"/>
    <w:rsid w:val="00E7051C"/>
    <w:rsid w:val="00E70F81"/>
    <w:rsid w:val="00E71446"/>
    <w:rsid w:val="00E7224B"/>
    <w:rsid w:val="00E726A9"/>
    <w:rsid w:val="00E73011"/>
    <w:rsid w:val="00E7303F"/>
    <w:rsid w:val="00E73622"/>
    <w:rsid w:val="00E757C7"/>
    <w:rsid w:val="00E77055"/>
    <w:rsid w:val="00E77314"/>
    <w:rsid w:val="00E77460"/>
    <w:rsid w:val="00E80046"/>
    <w:rsid w:val="00E80D68"/>
    <w:rsid w:val="00E81591"/>
    <w:rsid w:val="00E826B6"/>
    <w:rsid w:val="00E829F5"/>
    <w:rsid w:val="00E83826"/>
    <w:rsid w:val="00E83ABC"/>
    <w:rsid w:val="00E83AF4"/>
    <w:rsid w:val="00E844F2"/>
    <w:rsid w:val="00E849B2"/>
    <w:rsid w:val="00E90606"/>
    <w:rsid w:val="00E90AD0"/>
    <w:rsid w:val="00E9147E"/>
    <w:rsid w:val="00E91FA5"/>
    <w:rsid w:val="00E929C3"/>
    <w:rsid w:val="00E929FB"/>
    <w:rsid w:val="00E92AF1"/>
    <w:rsid w:val="00E92FCB"/>
    <w:rsid w:val="00E93C7E"/>
    <w:rsid w:val="00E93F8D"/>
    <w:rsid w:val="00E9653C"/>
    <w:rsid w:val="00E96AC8"/>
    <w:rsid w:val="00EA147F"/>
    <w:rsid w:val="00EA2DE3"/>
    <w:rsid w:val="00EA347B"/>
    <w:rsid w:val="00EA4A27"/>
    <w:rsid w:val="00EA4FA6"/>
    <w:rsid w:val="00EA52EA"/>
    <w:rsid w:val="00EB0EB1"/>
    <w:rsid w:val="00EB1A25"/>
    <w:rsid w:val="00EB2095"/>
    <w:rsid w:val="00EB2261"/>
    <w:rsid w:val="00EB323A"/>
    <w:rsid w:val="00EB44F3"/>
    <w:rsid w:val="00EB5F37"/>
    <w:rsid w:val="00EB60FB"/>
    <w:rsid w:val="00EB63AD"/>
    <w:rsid w:val="00EB6479"/>
    <w:rsid w:val="00EB77C0"/>
    <w:rsid w:val="00EB7828"/>
    <w:rsid w:val="00EC0ADF"/>
    <w:rsid w:val="00EC3C8C"/>
    <w:rsid w:val="00EC4071"/>
    <w:rsid w:val="00EC407F"/>
    <w:rsid w:val="00EC4124"/>
    <w:rsid w:val="00EC4B34"/>
    <w:rsid w:val="00EC4DB8"/>
    <w:rsid w:val="00EC4F0A"/>
    <w:rsid w:val="00EC5494"/>
    <w:rsid w:val="00EC5B99"/>
    <w:rsid w:val="00EC7175"/>
    <w:rsid w:val="00EC7363"/>
    <w:rsid w:val="00EC7382"/>
    <w:rsid w:val="00EC785C"/>
    <w:rsid w:val="00EC79A3"/>
    <w:rsid w:val="00ED0221"/>
    <w:rsid w:val="00ED03AB"/>
    <w:rsid w:val="00ED1963"/>
    <w:rsid w:val="00ED1A86"/>
    <w:rsid w:val="00ED1CD4"/>
    <w:rsid w:val="00ED1D2B"/>
    <w:rsid w:val="00ED1E0B"/>
    <w:rsid w:val="00ED21D7"/>
    <w:rsid w:val="00ED2CA5"/>
    <w:rsid w:val="00ED3600"/>
    <w:rsid w:val="00ED40BE"/>
    <w:rsid w:val="00ED4723"/>
    <w:rsid w:val="00ED4E44"/>
    <w:rsid w:val="00ED5CE8"/>
    <w:rsid w:val="00ED6279"/>
    <w:rsid w:val="00ED64B5"/>
    <w:rsid w:val="00ED6C4F"/>
    <w:rsid w:val="00EE0176"/>
    <w:rsid w:val="00EE029D"/>
    <w:rsid w:val="00EE0730"/>
    <w:rsid w:val="00EE087A"/>
    <w:rsid w:val="00EE0D75"/>
    <w:rsid w:val="00EE2DC6"/>
    <w:rsid w:val="00EE3A73"/>
    <w:rsid w:val="00EE47A2"/>
    <w:rsid w:val="00EE5CDC"/>
    <w:rsid w:val="00EE72DD"/>
    <w:rsid w:val="00EE787D"/>
    <w:rsid w:val="00EE7C24"/>
    <w:rsid w:val="00EE7CCA"/>
    <w:rsid w:val="00EF02F9"/>
    <w:rsid w:val="00EF32E1"/>
    <w:rsid w:val="00EF3748"/>
    <w:rsid w:val="00EF6600"/>
    <w:rsid w:val="00EF7A14"/>
    <w:rsid w:val="00F00F07"/>
    <w:rsid w:val="00F01B62"/>
    <w:rsid w:val="00F02223"/>
    <w:rsid w:val="00F02BD7"/>
    <w:rsid w:val="00F0383D"/>
    <w:rsid w:val="00F03D7F"/>
    <w:rsid w:val="00F0429E"/>
    <w:rsid w:val="00F04CC9"/>
    <w:rsid w:val="00F04E2B"/>
    <w:rsid w:val="00F0522B"/>
    <w:rsid w:val="00F053E6"/>
    <w:rsid w:val="00F06958"/>
    <w:rsid w:val="00F10EB6"/>
    <w:rsid w:val="00F110B2"/>
    <w:rsid w:val="00F117C8"/>
    <w:rsid w:val="00F11FFE"/>
    <w:rsid w:val="00F12424"/>
    <w:rsid w:val="00F15863"/>
    <w:rsid w:val="00F15C7E"/>
    <w:rsid w:val="00F1651A"/>
    <w:rsid w:val="00F16810"/>
    <w:rsid w:val="00F16A14"/>
    <w:rsid w:val="00F16FBF"/>
    <w:rsid w:val="00F17C34"/>
    <w:rsid w:val="00F20188"/>
    <w:rsid w:val="00F2361F"/>
    <w:rsid w:val="00F24AC8"/>
    <w:rsid w:val="00F24DF0"/>
    <w:rsid w:val="00F24FEB"/>
    <w:rsid w:val="00F2668E"/>
    <w:rsid w:val="00F270DB"/>
    <w:rsid w:val="00F313AF"/>
    <w:rsid w:val="00F3155F"/>
    <w:rsid w:val="00F321EA"/>
    <w:rsid w:val="00F32570"/>
    <w:rsid w:val="00F32603"/>
    <w:rsid w:val="00F33DCC"/>
    <w:rsid w:val="00F343E1"/>
    <w:rsid w:val="00F362C0"/>
    <w:rsid w:val="00F362D7"/>
    <w:rsid w:val="00F36F40"/>
    <w:rsid w:val="00F37D7B"/>
    <w:rsid w:val="00F400B1"/>
    <w:rsid w:val="00F4078D"/>
    <w:rsid w:val="00F411EE"/>
    <w:rsid w:val="00F4233F"/>
    <w:rsid w:val="00F42D8B"/>
    <w:rsid w:val="00F44883"/>
    <w:rsid w:val="00F44B0B"/>
    <w:rsid w:val="00F44C6E"/>
    <w:rsid w:val="00F45534"/>
    <w:rsid w:val="00F45AFE"/>
    <w:rsid w:val="00F45FA3"/>
    <w:rsid w:val="00F46DF3"/>
    <w:rsid w:val="00F47A30"/>
    <w:rsid w:val="00F50D5F"/>
    <w:rsid w:val="00F5232E"/>
    <w:rsid w:val="00F52754"/>
    <w:rsid w:val="00F5314C"/>
    <w:rsid w:val="00F542DE"/>
    <w:rsid w:val="00F543BB"/>
    <w:rsid w:val="00F54624"/>
    <w:rsid w:val="00F5688C"/>
    <w:rsid w:val="00F57594"/>
    <w:rsid w:val="00F5781F"/>
    <w:rsid w:val="00F60048"/>
    <w:rsid w:val="00F61A98"/>
    <w:rsid w:val="00F62C7F"/>
    <w:rsid w:val="00F635DD"/>
    <w:rsid w:val="00F63A80"/>
    <w:rsid w:val="00F64A7C"/>
    <w:rsid w:val="00F65731"/>
    <w:rsid w:val="00F65AAA"/>
    <w:rsid w:val="00F6627B"/>
    <w:rsid w:val="00F6641C"/>
    <w:rsid w:val="00F6685C"/>
    <w:rsid w:val="00F710C5"/>
    <w:rsid w:val="00F718D8"/>
    <w:rsid w:val="00F7233E"/>
    <w:rsid w:val="00F7336E"/>
    <w:rsid w:val="00F734F2"/>
    <w:rsid w:val="00F74EC9"/>
    <w:rsid w:val="00F75052"/>
    <w:rsid w:val="00F763FD"/>
    <w:rsid w:val="00F8001A"/>
    <w:rsid w:val="00F804D3"/>
    <w:rsid w:val="00F80B62"/>
    <w:rsid w:val="00F80EC9"/>
    <w:rsid w:val="00F8157A"/>
    <w:rsid w:val="00F816CB"/>
    <w:rsid w:val="00F81CD2"/>
    <w:rsid w:val="00F82641"/>
    <w:rsid w:val="00F82834"/>
    <w:rsid w:val="00F837B6"/>
    <w:rsid w:val="00F8579A"/>
    <w:rsid w:val="00F85B48"/>
    <w:rsid w:val="00F8669E"/>
    <w:rsid w:val="00F86DE9"/>
    <w:rsid w:val="00F8782E"/>
    <w:rsid w:val="00F90F18"/>
    <w:rsid w:val="00F937E4"/>
    <w:rsid w:val="00F93BA4"/>
    <w:rsid w:val="00F9425B"/>
    <w:rsid w:val="00F94CA7"/>
    <w:rsid w:val="00F94DEB"/>
    <w:rsid w:val="00F95EE7"/>
    <w:rsid w:val="00F96699"/>
    <w:rsid w:val="00F970DF"/>
    <w:rsid w:val="00F97896"/>
    <w:rsid w:val="00F97B8D"/>
    <w:rsid w:val="00FA0102"/>
    <w:rsid w:val="00FA0791"/>
    <w:rsid w:val="00FA1C92"/>
    <w:rsid w:val="00FA345A"/>
    <w:rsid w:val="00FA382E"/>
    <w:rsid w:val="00FA39E6"/>
    <w:rsid w:val="00FA478D"/>
    <w:rsid w:val="00FA638B"/>
    <w:rsid w:val="00FA638C"/>
    <w:rsid w:val="00FA70EF"/>
    <w:rsid w:val="00FA7152"/>
    <w:rsid w:val="00FA782B"/>
    <w:rsid w:val="00FA7B5B"/>
    <w:rsid w:val="00FA7BC9"/>
    <w:rsid w:val="00FB0A55"/>
    <w:rsid w:val="00FB0BCE"/>
    <w:rsid w:val="00FB1B58"/>
    <w:rsid w:val="00FB20DC"/>
    <w:rsid w:val="00FB24F5"/>
    <w:rsid w:val="00FB25BD"/>
    <w:rsid w:val="00FB378E"/>
    <w:rsid w:val="00FB37F1"/>
    <w:rsid w:val="00FB475A"/>
    <w:rsid w:val="00FB47C0"/>
    <w:rsid w:val="00FB498F"/>
    <w:rsid w:val="00FB501B"/>
    <w:rsid w:val="00FB5105"/>
    <w:rsid w:val="00FB573A"/>
    <w:rsid w:val="00FB5AB3"/>
    <w:rsid w:val="00FB5C79"/>
    <w:rsid w:val="00FB7770"/>
    <w:rsid w:val="00FC01EF"/>
    <w:rsid w:val="00FC04DD"/>
    <w:rsid w:val="00FC08BD"/>
    <w:rsid w:val="00FC1982"/>
    <w:rsid w:val="00FC1C35"/>
    <w:rsid w:val="00FC3135"/>
    <w:rsid w:val="00FC6BF7"/>
    <w:rsid w:val="00FC6F9F"/>
    <w:rsid w:val="00FC751F"/>
    <w:rsid w:val="00FD0647"/>
    <w:rsid w:val="00FD1730"/>
    <w:rsid w:val="00FD269E"/>
    <w:rsid w:val="00FD3B1B"/>
    <w:rsid w:val="00FD3B91"/>
    <w:rsid w:val="00FD40B9"/>
    <w:rsid w:val="00FD5473"/>
    <w:rsid w:val="00FD576B"/>
    <w:rsid w:val="00FD579E"/>
    <w:rsid w:val="00FD5F85"/>
    <w:rsid w:val="00FD6845"/>
    <w:rsid w:val="00FD6C91"/>
    <w:rsid w:val="00FD6F2B"/>
    <w:rsid w:val="00FD7589"/>
    <w:rsid w:val="00FD7CC2"/>
    <w:rsid w:val="00FE01EC"/>
    <w:rsid w:val="00FE0A12"/>
    <w:rsid w:val="00FE17B7"/>
    <w:rsid w:val="00FE1C51"/>
    <w:rsid w:val="00FE2EA2"/>
    <w:rsid w:val="00FE3AC0"/>
    <w:rsid w:val="00FE3C29"/>
    <w:rsid w:val="00FE3FF7"/>
    <w:rsid w:val="00FE4516"/>
    <w:rsid w:val="00FE4C96"/>
    <w:rsid w:val="00FE58BD"/>
    <w:rsid w:val="00FE64C8"/>
    <w:rsid w:val="00FE7B1E"/>
    <w:rsid w:val="00FE7EFF"/>
    <w:rsid w:val="00FE7FEA"/>
    <w:rsid w:val="00FF06AB"/>
    <w:rsid w:val="00FF2407"/>
    <w:rsid w:val="00FF4492"/>
    <w:rsid w:val="00FF474F"/>
    <w:rsid w:val="00FF55FC"/>
    <w:rsid w:val="00FF6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8162C"/>
  <w15:docId w15:val="{24A4ED0F-CE84-4CEA-8866-C167202E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numPr>
        <w:numId w:val="6"/>
      </w:numPr>
      <w:outlineLvl w:val="0"/>
    </w:pPr>
    <w:rPr>
      <w:rFonts w:hAnsi="Arial"/>
      <w:bCs/>
      <w:kern w:val="32"/>
      <w:szCs w:val="52"/>
    </w:rPr>
  </w:style>
  <w:style w:type="paragraph" w:styleId="2">
    <w:name w:val="heading 2"/>
    <w:aliases w:val="標題110/111,節,節1,一."/>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1"/>
    <w:qFormat/>
    <w:rsid w:val="004F5E57"/>
    <w:pPr>
      <w:numPr>
        <w:ilvl w:val="2"/>
        <w:numId w:val="6"/>
      </w:numPr>
      <w:outlineLvl w:val="2"/>
    </w:pPr>
    <w:rPr>
      <w:rFonts w:hAnsi="Arial"/>
      <w:bCs/>
      <w:kern w:val="32"/>
      <w:szCs w:val="36"/>
    </w:rPr>
  </w:style>
  <w:style w:type="paragraph" w:styleId="4">
    <w:name w:val="heading 4"/>
    <w:aliases w:val="表格,一,1."/>
    <w:basedOn w:val="a7"/>
    <w:link w:val="41"/>
    <w:qFormat/>
    <w:rsid w:val="004F5E57"/>
    <w:pPr>
      <w:numPr>
        <w:ilvl w:val="3"/>
        <w:numId w:val="6"/>
      </w:numPr>
      <w:outlineLvl w:val="3"/>
    </w:pPr>
    <w:rPr>
      <w:rFonts w:hAnsi="Arial"/>
      <w:kern w:val="32"/>
      <w:szCs w:val="36"/>
    </w:rPr>
  </w:style>
  <w:style w:type="paragraph" w:styleId="5">
    <w:name w:val="heading 5"/>
    <w:basedOn w:val="a7"/>
    <w:link w:val="51"/>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aliases w:val="(1)"/>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2">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c">
    <w:name w:val="Emphasis"/>
    <w:basedOn w:val="a8"/>
    <w:uiPriority w:val="20"/>
    <w:qFormat/>
    <w:rsid w:val="008A5CB7"/>
    <w:rPr>
      <w:b w:val="0"/>
      <w:bCs w:val="0"/>
      <w:i w:val="0"/>
      <w:iCs w:val="0"/>
      <w:color w:val="DD4B39"/>
    </w:rPr>
  </w:style>
  <w:style w:type="character" w:customStyle="1" w:styleId="st1">
    <w:name w:val="st1"/>
    <w:basedOn w:val="a8"/>
    <w:rsid w:val="008A5CB7"/>
  </w:style>
  <w:style w:type="character" w:customStyle="1" w:styleId="style1">
    <w:name w:val="style1"/>
    <w:basedOn w:val="a8"/>
    <w:rsid w:val="00057D7F"/>
  </w:style>
  <w:style w:type="character" w:customStyle="1" w:styleId="text6-g">
    <w:name w:val="text6-g"/>
    <w:basedOn w:val="a8"/>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d">
    <w:name w:val="調查委員"/>
    <w:basedOn w:val="ab"/>
    <w:qFormat/>
    <w:rsid w:val="00770396"/>
    <w:pPr>
      <w:spacing w:before="0" w:after="0"/>
      <w:ind w:left="0"/>
      <w:jc w:val="left"/>
    </w:pPr>
    <w:rPr>
      <w:bCs/>
      <w:szCs w:val="28"/>
    </w:rPr>
  </w:style>
  <w:style w:type="paragraph" w:customStyle="1" w:styleId="afe">
    <w:name w:val="協查人員"/>
    <w:basedOn w:val="ab"/>
    <w:qFormat/>
    <w:rsid w:val="00770396"/>
    <w:pPr>
      <w:spacing w:beforeLines="50" w:before="228" w:after="0"/>
      <w:ind w:leftChars="1100" w:left="3742"/>
      <w:jc w:val="left"/>
    </w:pPr>
    <w:rPr>
      <w:b w:val="0"/>
      <w:bCs/>
      <w:snapToGrid/>
      <w:kern w:val="0"/>
      <w:szCs w:val="36"/>
    </w:rPr>
  </w:style>
  <w:style w:type="character" w:customStyle="1" w:styleId="41">
    <w:name w:val="標題 4 字元"/>
    <w:aliases w:val="表格 字元,一 字元,1. 字元"/>
    <w:basedOn w:val="a8"/>
    <w:link w:val="4"/>
    <w:rsid w:val="005079D0"/>
    <w:rPr>
      <w:rFonts w:ascii="標楷體" w:eastAsia="標楷體" w:hAnsi="Arial"/>
      <w:kern w:val="32"/>
      <w:sz w:val="32"/>
      <w:szCs w:val="36"/>
    </w:rPr>
  </w:style>
  <w:style w:type="character" w:customStyle="1" w:styleId="51">
    <w:name w:val="標題 5 字元"/>
    <w:basedOn w:val="a8"/>
    <w:link w:val="5"/>
    <w:rsid w:val="005079D0"/>
    <w:rPr>
      <w:rFonts w:ascii="標楷體" w:eastAsia="標楷體" w:hAnsi="Arial"/>
      <w:bCs/>
      <w:kern w:val="32"/>
      <w:sz w:val="32"/>
      <w:szCs w:val="36"/>
    </w:rPr>
  </w:style>
  <w:style w:type="paragraph" w:styleId="aff">
    <w:name w:val="footnote text"/>
    <w:basedOn w:val="a7"/>
    <w:link w:val="aff0"/>
    <w:uiPriority w:val="99"/>
    <w:semiHidden/>
    <w:unhideWhenUsed/>
    <w:rsid w:val="00083CB0"/>
    <w:pPr>
      <w:snapToGrid w:val="0"/>
      <w:jc w:val="left"/>
    </w:pPr>
    <w:rPr>
      <w:sz w:val="20"/>
    </w:rPr>
  </w:style>
  <w:style w:type="character" w:customStyle="1" w:styleId="aff0">
    <w:name w:val="註腳文字 字元"/>
    <w:basedOn w:val="a8"/>
    <w:link w:val="aff"/>
    <w:uiPriority w:val="99"/>
    <w:semiHidden/>
    <w:rsid w:val="00083CB0"/>
    <w:rPr>
      <w:rFonts w:ascii="標楷體" w:eastAsia="標楷體"/>
      <w:kern w:val="2"/>
    </w:rPr>
  </w:style>
  <w:style w:type="character" w:styleId="aff1">
    <w:name w:val="footnote reference"/>
    <w:basedOn w:val="a8"/>
    <w:uiPriority w:val="99"/>
    <w:semiHidden/>
    <w:unhideWhenUsed/>
    <w:rsid w:val="00083CB0"/>
    <w:rPr>
      <w:vertAlign w:val="superscript"/>
    </w:rPr>
  </w:style>
  <w:style w:type="paragraph" w:customStyle="1" w:styleId="aff2">
    <w:name w:val="公文(後續段落)"/>
    <w:basedOn w:val="a7"/>
    <w:rsid w:val="000470E5"/>
    <w:pPr>
      <w:overflowPunct/>
      <w:autoSpaceDE/>
      <w:autoSpaceDN/>
      <w:spacing w:line="500" w:lineRule="exact"/>
      <w:ind w:left="317"/>
      <w:jc w:val="left"/>
    </w:pPr>
    <w:rPr>
      <w:rFonts w:ascii="Times New Roman"/>
      <w:szCs w:val="24"/>
    </w:rPr>
  </w:style>
  <w:style w:type="paragraph" w:styleId="HTML">
    <w:name w:val="HTML Preformatted"/>
    <w:basedOn w:val="a7"/>
    <w:link w:val="HTML0"/>
    <w:uiPriority w:val="99"/>
    <w:unhideWhenUsed/>
    <w:rsid w:val="00164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1647B0"/>
    <w:rPr>
      <w:rFonts w:ascii="細明體" w:eastAsia="細明體" w:hAnsi="細明體" w:cs="細明體"/>
      <w:sz w:val="24"/>
      <w:szCs w:val="24"/>
    </w:rPr>
  </w:style>
  <w:style w:type="character" w:customStyle="1" w:styleId="highlight1">
    <w:name w:val="highlight1"/>
    <w:basedOn w:val="a8"/>
    <w:rsid w:val="001647B0"/>
    <w:rPr>
      <w:color w:val="FF0000"/>
    </w:rPr>
  </w:style>
  <w:style w:type="paragraph" w:styleId="a">
    <w:name w:val="List Bullet"/>
    <w:basedOn w:val="a7"/>
    <w:uiPriority w:val="99"/>
    <w:unhideWhenUsed/>
    <w:rsid w:val="00693F3E"/>
    <w:pPr>
      <w:numPr>
        <w:numId w:val="16"/>
      </w:numPr>
      <w:contextualSpacing/>
    </w:pPr>
  </w:style>
  <w:style w:type="paragraph" w:customStyle="1" w:styleId="cjk">
    <w:name w:val="cjk"/>
    <w:basedOn w:val="a7"/>
    <w:rsid w:val="00AF2ADD"/>
    <w:pPr>
      <w:widowControl/>
      <w:overflowPunct/>
      <w:autoSpaceDE/>
      <w:autoSpaceDN/>
      <w:spacing w:before="100" w:beforeAutospacing="1"/>
      <w:jc w:val="left"/>
    </w:pPr>
    <w:rPr>
      <w:rFonts w:hAnsi="標楷體" w:cs="新細明體"/>
      <w:kern w:val="0"/>
      <w:szCs w:val="32"/>
    </w:rPr>
  </w:style>
  <w:style w:type="character" w:styleId="aff3">
    <w:name w:val="FollowedHyperlink"/>
    <w:basedOn w:val="a8"/>
    <w:uiPriority w:val="99"/>
    <w:semiHidden/>
    <w:unhideWhenUsed/>
    <w:rsid w:val="003A689A"/>
    <w:rPr>
      <w:color w:val="800080" w:themeColor="followedHyperlink"/>
      <w:u w:val="single"/>
    </w:rPr>
  </w:style>
  <w:style w:type="character" w:customStyle="1" w:styleId="20">
    <w:name w:val="標題 2 字元"/>
    <w:aliases w:val="標題110/111 字元,節 字元,節1 字元,一. 字元"/>
    <w:basedOn w:val="a8"/>
    <w:link w:val="2"/>
    <w:rsid w:val="008F0FF3"/>
    <w:rPr>
      <w:rFonts w:ascii="標楷體" w:eastAsia="標楷體" w:hAnsi="Arial"/>
      <w:bCs/>
      <w:kern w:val="32"/>
      <w:sz w:val="32"/>
      <w:szCs w:val="48"/>
    </w:rPr>
  </w:style>
  <w:style w:type="character" w:customStyle="1" w:styleId="af5">
    <w:name w:val="頁尾 字元"/>
    <w:link w:val="af4"/>
    <w:uiPriority w:val="99"/>
    <w:rsid w:val="00C95C12"/>
    <w:rPr>
      <w:rFonts w:ascii="標楷體" w:eastAsia="標楷體"/>
      <w:kern w:val="2"/>
    </w:rPr>
  </w:style>
  <w:style w:type="paragraph" w:customStyle="1" w:styleId="10">
    <w:name w:val="標題1"/>
    <w:basedOn w:val="a7"/>
    <w:qFormat/>
    <w:rsid w:val="00B53D01"/>
    <w:pPr>
      <w:numPr>
        <w:numId w:val="21"/>
      </w:numPr>
      <w:outlineLvl w:val="0"/>
    </w:pPr>
    <w:rPr>
      <w:kern w:val="28"/>
      <w:sz w:val="28"/>
      <w:szCs w:val="24"/>
    </w:rPr>
  </w:style>
  <w:style w:type="paragraph" w:customStyle="1" w:styleId="30">
    <w:name w:val="標題3"/>
    <w:basedOn w:val="a7"/>
    <w:qFormat/>
    <w:rsid w:val="00B53D01"/>
    <w:pPr>
      <w:numPr>
        <w:ilvl w:val="2"/>
        <w:numId w:val="21"/>
      </w:numPr>
      <w:outlineLvl w:val="2"/>
    </w:pPr>
    <w:rPr>
      <w:kern w:val="28"/>
      <w:sz w:val="28"/>
      <w:szCs w:val="24"/>
    </w:rPr>
  </w:style>
  <w:style w:type="paragraph" w:customStyle="1" w:styleId="40">
    <w:name w:val="標題4"/>
    <w:basedOn w:val="30"/>
    <w:qFormat/>
    <w:rsid w:val="00B53D01"/>
    <w:pPr>
      <w:numPr>
        <w:ilvl w:val="3"/>
      </w:numPr>
      <w:outlineLvl w:val="3"/>
    </w:pPr>
  </w:style>
  <w:style w:type="paragraph" w:customStyle="1" w:styleId="50">
    <w:name w:val="標題5"/>
    <w:basedOn w:val="40"/>
    <w:qFormat/>
    <w:rsid w:val="00B53D01"/>
    <w:pPr>
      <w:numPr>
        <w:ilvl w:val="4"/>
      </w:numPr>
      <w:outlineLvl w:val="4"/>
    </w:pPr>
  </w:style>
  <w:style w:type="character" w:customStyle="1" w:styleId="31">
    <w:name w:val="標題 3 字元"/>
    <w:aliases w:val="(一) 字元"/>
    <w:basedOn w:val="a8"/>
    <w:link w:val="3"/>
    <w:rsid w:val="0005127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85080">
      <w:bodyDiv w:val="1"/>
      <w:marLeft w:val="0"/>
      <w:marRight w:val="0"/>
      <w:marTop w:val="0"/>
      <w:marBottom w:val="0"/>
      <w:divBdr>
        <w:top w:val="none" w:sz="0" w:space="0" w:color="auto"/>
        <w:left w:val="none" w:sz="0" w:space="0" w:color="auto"/>
        <w:bottom w:val="none" w:sz="0" w:space="0" w:color="auto"/>
        <w:right w:val="none" w:sz="0" w:space="0" w:color="auto"/>
      </w:divBdr>
    </w:div>
    <w:div w:id="738097475">
      <w:bodyDiv w:val="1"/>
      <w:marLeft w:val="0"/>
      <w:marRight w:val="0"/>
      <w:marTop w:val="0"/>
      <w:marBottom w:val="0"/>
      <w:divBdr>
        <w:top w:val="none" w:sz="0" w:space="0" w:color="auto"/>
        <w:left w:val="none" w:sz="0" w:space="0" w:color="auto"/>
        <w:bottom w:val="none" w:sz="0" w:space="0" w:color="auto"/>
        <w:right w:val="none" w:sz="0" w:space="0" w:color="auto"/>
      </w:divBdr>
    </w:div>
    <w:div w:id="862404971">
      <w:bodyDiv w:val="1"/>
      <w:marLeft w:val="0"/>
      <w:marRight w:val="0"/>
      <w:marTop w:val="0"/>
      <w:marBottom w:val="0"/>
      <w:divBdr>
        <w:top w:val="none" w:sz="0" w:space="0" w:color="auto"/>
        <w:left w:val="none" w:sz="0" w:space="0" w:color="auto"/>
        <w:bottom w:val="none" w:sz="0" w:space="0" w:color="auto"/>
        <w:right w:val="none" w:sz="0" w:space="0" w:color="auto"/>
      </w:divBdr>
      <w:divsChild>
        <w:div w:id="104810159">
          <w:marLeft w:val="0"/>
          <w:marRight w:val="0"/>
          <w:marTop w:val="0"/>
          <w:marBottom w:val="0"/>
          <w:divBdr>
            <w:top w:val="none" w:sz="0" w:space="0" w:color="auto"/>
            <w:left w:val="none" w:sz="0" w:space="0" w:color="auto"/>
            <w:bottom w:val="none" w:sz="0" w:space="0" w:color="auto"/>
            <w:right w:val="none" w:sz="0" w:space="0" w:color="auto"/>
          </w:divBdr>
          <w:divsChild>
            <w:div w:id="2022009400">
              <w:marLeft w:val="0"/>
              <w:marRight w:val="0"/>
              <w:marTop w:val="100"/>
              <w:marBottom w:val="100"/>
              <w:divBdr>
                <w:top w:val="none" w:sz="0" w:space="0" w:color="auto"/>
                <w:left w:val="none" w:sz="0" w:space="0" w:color="auto"/>
                <w:bottom w:val="none" w:sz="0" w:space="0" w:color="auto"/>
                <w:right w:val="none" w:sz="0" w:space="0" w:color="auto"/>
              </w:divBdr>
              <w:divsChild>
                <w:div w:id="586815096">
                  <w:marLeft w:val="0"/>
                  <w:marRight w:val="0"/>
                  <w:marTop w:val="45"/>
                  <w:marBottom w:val="120"/>
                  <w:divBdr>
                    <w:top w:val="none" w:sz="0" w:space="0" w:color="auto"/>
                    <w:left w:val="none" w:sz="0" w:space="0" w:color="auto"/>
                    <w:bottom w:val="none" w:sz="0" w:space="0" w:color="auto"/>
                    <w:right w:val="none" w:sz="0" w:space="0" w:color="auto"/>
                  </w:divBdr>
                  <w:divsChild>
                    <w:div w:id="721290885">
                      <w:marLeft w:val="0"/>
                      <w:marRight w:val="0"/>
                      <w:marTop w:val="0"/>
                      <w:marBottom w:val="0"/>
                      <w:divBdr>
                        <w:top w:val="none" w:sz="0" w:space="0" w:color="auto"/>
                        <w:left w:val="none" w:sz="0" w:space="0" w:color="auto"/>
                        <w:bottom w:val="none" w:sz="0" w:space="0" w:color="auto"/>
                        <w:right w:val="none" w:sz="0" w:space="0" w:color="auto"/>
                      </w:divBdr>
                      <w:divsChild>
                        <w:div w:id="142838183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76733184">
      <w:bodyDiv w:val="1"/>
      <w:marLeft w:val="0"/>
      <w:marRight w:val="0"/>
      <w:marTop w:val="0"/>
      <w:marBottom w:val="0"/>
      <w:divBdr>
        <w:top w:val="none" w:sz="0" w:space="0" w:color="auto"/>
        <w:left w:val="none" w:sz="0" w:space="0" w:color="auto"/>
        <w:bottom w:val="none" w:sz="0" w:space="0" w:color="auto"/>
        <w:right w:val="none" w:sz="0" w:space="0" w:color="auto"/>
      </w:divBdr>
      <w:divsChild>
        <w:div w:id="135681112">
          <w:marLeft w:val="0"/>
          <w:marRight w:val="0"/>
          <w:marTop w:val="0"/>
          <w:marBottom w:val="0"/>
          <w:divBdr>
            <w:top w:val="none" w:sz="0" w:space="0" w:color="auto"/>
            <w:left w:val="none" w:sz="0" w:space="0" w:color="auto"/>
            <w:bottom w:val="none" w:sz="0" w:space="0" w:color="auto"/>
            <w:right w:val="none" w:sz="0" w:space="0" w:color="auto"/>
          </w:divBdr>
          <w:divsChild>
            <w:div w:id="1876501480">
              <w:marLeft w:val="0"/>
              <w:marRight w:val="0"/>
              <w:marTop w:val="100"/>
              <w:marBottom w:val="100"/>
              <w:divBdr>
                <w:top w:val="none" w:sz="0" w:space="0" w:color="auto"/>
                <w:left w:val="none" w:sz="0" w:space="0" w:color="auto"/>
                <w:bottom w:val="none" w:sz="0" w:space="0" w:color="auto"/>
                <w:right w:val="none" w:sz="0" w:space="0" w:color="auto"/>
              </w:divBdr>
              <w:divsChild>
                <w:div w:id="650645494">
                  <w:marLeft w:val="0"/>
                  <w:marRight w:val="0"/>
                  <w:marTop w:val="45"/>
                  <w:marBottom w:val="120"/>
                  <w:divBdr>
                    <w:top w:val="none" w:sz="0" w:space="0" w:color="auto"/>
                    <w:left w:val="none" w:sz="0" w:space="0" w:color="auto"/>
                    <w:bottom w:val="none" w:sz="0" w:space="0" w:color="auto"/>
                    <w:right w:val="none" w:sz="0" w:space="0" w:color="auto"/>
                  </w:divBdr>
                  <w:divsChild>
                    <w:div w:id="338387232">
                      <w:marLeft w:val="0"/>
                      <w:marRight w:val="0"/>
                      <w:marTop w:val="0"/>
                      <w:marBottom w:val="0"/>
                      <w:divBdr>
                        <w:top w:val="none" w:sz="0" w:space="0" w:color="auto"/>
                        <w:left w:val="none" w:sz="0" w:space="0" w:color="auto"/>
                        <w:bottom w:val="none" w:sz="0" w:space="0" w:color="auto"/>
                        <w:right w:val="none" w:sz="0" w:space="0" w:color="auto"/>
                      </w:divBdr>
                      <w:divsChild>
                        <w:div w:id="1918975424">
                          <w:marLeft w:val="0"/>
                          <w:marRight w:val="0"/>
                          <w:marTop w:val="0"/>
                          <w:marBottom w:val="0"/>
                          <w:divBdr>
                            <w:top w:val="none" w:sz="0" w:space="0" w:color="auto"/>
                            <w:left w:val="none" w:sz="0" w:space="0" w:color="auto"/>
                            <w:bottom w:val="none" w:sz="0" w:space="0" w:color="auto"/>
                            <w:right w:val="none" w:sz="0" w:space="0" w:color="auto"/>
                          </w:divBdr>
                          <w:divsChild>
                            <w:div w:id="238751501">
                              <w:marLeft w:val="0"/>
                              <w:marRight w:val="0"/>
                              <w:marTop w:val="0"/>
                              <w:marBottom w:val="120"/>
                              <w:divBdr>
                                <w:top w:val="single" w:sz="12" w:space="0" w:color="4EA3E9"/>
                                <w:left w:val="none" w:sz="0" w:space="0" w:color="auto"/>
                                <w:bottom w:val="single" w:sz="12" w:space="0" w:color="4EA3E9"/>
                                <w:right w:val="none" w:sz="0" w:space="0" w:color="auto"/>
                              </w:divBdr>
                              <w:divsChild>
                                <w:div w:id="20395041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929579575">
                      <w:marLeft w:val="0"/>
                      <w:marRight w:val="0"/>
                      <w:marTop w:val="0"/>
                      <w:marBottom w:val="0"/>
                      <w:divBdr>
                        <w:top w:val="none" w:sz="0" w:space="0" w:color="auto"/>
                        <w:left w:val="none" w:sz="0" w:space="0" w:color="auto"/>
                        <w:bottom w:val="none" w:sz="0" w:space="0" w:color="auto"/>
                        <w:right w:val="none" w:sz="0" w:space="0" w:color="auto"/>
                      </w:divBdr>
                    </w:div>
                    <w:div w:id="11691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827788607">
                      <w:marLeft w:val="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19487345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b.lawbank.com.tw/FLAW/FLAWDAT01.aspx?lsid=FL0374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FD38-EC05-4C0D-9E31-00174693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43</Pages>
  <Words>12420</Words>
  <Characters>12794</Characters>
  <Application>Microsoft Office Word</Application>
  <DocSecurity>0</DocSecurity>
  <Lines>752</Lines>
  <Paragraphs>434</Paragraphs>
  <ScaleCrop>false</ScaleCrop>
  <Company>cy</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柯博修</cp:lastModifiedBy>
  <cp:revision>2</cp:revision>
  <cp:lastPrinted>2020-01-21T03:24:00Z</cp:lastPrinted>
  <dcterms:created xsi:type="dcterms:W3CDTF">2020-02-06T07:30:00Z</dcterms:created>
  <dcterms:modified xsi:type="dcterms:W3CDTF">2020-02-06T07:30:00Z</dcterms:modified>
</cp:coreProperties>
</file>