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A0E43" w:rsidRDefault="00EA746E" w:rsidP="00F37D7B">
      <w:pPr>
        <w:pStyle w:val="af2"/>
        <w:rPr>
          <w:b w:val="0"/>
        </w:rPr>
      </w:pPr>
      <w:r w:rsidRPr="00DA0E43">
        <w:t xml:space="preserve"> </w:t>
      </w:r>
      <w:r w:rsidR="00D75644" w:rsidRPr="00DA0E43">
        <w:rPr>
          <w:rFonts w:hint="eastAsia"/>
          <w:b w:val="0"/>
        </w:rPr>
        <w:t>調查報告</w:t>
      </w:r>
    </w:p>
    <w:p w:rsidR="00E25849" w:rsidRPr="00DA0E4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1867539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A0E43">
        <w:rPr>
          <w:rFonts w:hint="eastAsia"/>
        </w:rPr>
        <w:t>案　　由：</w:t>
      </w:r>
      <w:bookmarkEnd w:id="0"/>
      <w:bookmarkEnd w:id="1"/>
      <w:bookmarkEnd w:id="2"/>
      <w:bookmarkEnd w:id="3"/>
      <w:bookmarkEnd w:id="4"/>
      <w:bookmarkEnd w:id="5"/>
      <w:bookmarkEnd w:id="6"/>
      <w:bookmarkEnd w:id="7"/>
      <w:bookmarkEnd w:id="8"/>
      <w:bookmarkEnd w:id="9"/>
      <w:r w:rsidR="001C0DA8" w:rsidRPr="00DA0E43">
        <w:fldChar w:fldCharType="begin"/>
      </w:r>
      <w:r w:rsidRPr="00DA0E43">
        <w:instrText xml:space="preserve"> MERGEFIELD </w:instrText>
      </w:r>
      <w:r w:rsidRPr="00DA0E43">
        <w:rPr>
          <w:rFonts w:hint="eastAsia"/>
        </w:rPr>
        <w:instrText>案由</w:instrText>
      </w:r>
      <w:r w:rsidRPr="00DA0E43">
        <w:instrText xml:space="preserve"> </w:instrText>
      </w:r>
      <w:r w:rsidR="001C0DA8" w:rsidRPr="00DA0E43">
        <w:fldChar w:fldCharType="separate"/>
      </w:r>
      <w:bookmarkEnd w:id="11"/>
      <w:r w:rsidR="003F2ABF" w:rsidRPr="00DA0E43">
        <w:rPr>
          <w:rFonts w:hAnsi="標楷體" w:hint="eastAsia"/>
          <w:szCs w:val="32"/>
        </w:rPr>
        <w:t>據訴，臺北市政府環境保護局通過「臺北市士林區住六之六地區細部計畫暨配合修訂主要計畫」案之環境影響評估法案件，業經最高行政法院103年度判字第66號判決駁回臺北市政府上訴確定，惟該府環境影響評估委員會第136次會議疑違法要求開發單位辦理環境影響差異分析報告相關作業，涉有違失等情。</w:t>
      </w:r>
      <w:bookmarkEnd w:id="10"/>
      <w:r w:rsidR="001C0DA8" w:rsidRPr="00DA0E43">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A0E43"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8675675"/>
      <w:r w:rsidRPr="00DA0E4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A0E43" w:rsidRDefault="00953A73" w:rsidP="00A639F4">
      <w:pPr>
        <w:pStyle w:val="11"/>
        <w:ind w:left="680" w:firstLine="680"/>
      </w:pPr>
      <w:bookmarkStart w:id="49" w:name="_Toc524902730"/>
      <w:r w:rsidRPr="00DA0E43">
        <w:rPr>
          <w:rFonts w:hint="eastAsia"/>
          <w:noProof/>
        </w:rPr>
        <w:t>本案係據訴</w:t>
      </w:r>
      <w:r w:rsidRPr="00DA0E43">
        <w:rPr>
          <w:rFonts w:hAnsi="標楷體" w:hint="eastAsia"/>
          <w:szCs w:val="32"/>
        </w:rPr>
        <w:t>臺北市政府環境保護局(下稱臺北市環保局)通過「臺北市士林區住六之六地區細部計畫暨配合修訂主要計畫」案之環境影響評估法（下稱環評法）案件，業經最高行政法院</w:t>
      </w:r>
      <w:proofErr w:type="gramStart"/>
      <w:r w:rsidRPr="00DA0E43">
        <w:rPr>
          <w:rFonts w:hAnsi="標楷體" w:hint="eastAsia"/>
          <w:szCs w:val="32"/>
        </w:rPr>
        <w:t>103</w:t>
      </w:r>
      <w:proofErr w:type="gramEnd"/>
      <w:r w:rsidRPr="00DA0E43">
        <w:rPr>
          <w:rFonts w:hAnsi="標楷體" w:hint="eastAsia"/>
          <w:szCs w:val="32"/>
        </w:rPr>
        <w:t>年度判字第66號判決駁回臺北市政府上訴確定，惟該府</w:t>
      </w:r>
      <w:r w:rsidRPr="00DA0E43">
        <w:rPr>
          <w:rFonts w:hAnsi="標楷體" w:hint="eastAsia"/>
          <w:color w:val="000000" w:themeColor="text1"/>
          <w:szCs w:val="32"/>
        </w:rPr>
        <w:t>環境影響評估審查委員會（下稱環評會）</w:t>
      </w:r>
      <w:r w:rsidRPr="00DA0E43">
        <w:rPr>
          <w:rFonts w:hAnsi="標楷體" w:hint="eastAsia"/>
          <w:szCs w:val="32"/>
        </w:rPr>
        <w:t>第136次會議又要求開發單位辦理環境影響差異分析報告相關作業</w:t>
      </w:r>
      <w:r w:rsidRPr="00DA0E43">
        <w:rPr>
          <w:rFonts w:hAnsi="標楷體" w:hint="eastAsia"/>
        </w:rPr>
        <w:t>等情。</w:t>
      </w:r>
      <w:r w:rsidRPr="00DA0E43">
        <w:rPr>
          <w:rFonts w:hint="eastAsia"/>
          <w:noProof/>
        </w:rPr>
        <w:t>案</w:t>
      </w:r>
      <w:r w:rsidRPr="00DA0E43">
        <w:rPr>
          <w:rFonts w:hint="eastAsia"/>
        </w:rPr>
        <w:t>經</w:t>
      </w:r>
      <w:r w:rsidRPr="00DA0E43">
        <w:rPr>
          <w:rFonts w:hint="eastAsia"/>
          <w:noProof/>
        </w:rPr>
        <w:t>本院調取相關卷證審閱，</w:t>
      </w:r>
      <w:r w:rsidRPr="00DA0E43">
        <w:rPr>
          <w:rFonts w:hint="eastAsia"/>
        </w:rPr>
        <w:t>並於民國(下同)</w:t>
      </w:r>
      <w:r w:rsidRPr="00DA0E43">
        <w:rPr>
          <w:rFonts w:hint="eastAsia"/>
          <w:bCs/>
        </w:rPr>
        <w:t>108年</w:t>
      </w:r>
      <w:r w:rsidRPr="00DA0E43">
        <w:rPr>
          <w:rFonts w:hint="eastAsia"/>
        </w:rPr>
        <w:t>2月15日詢問臺北市政府</w:t>
      </w:r>
      <w:r w:rsidRPr="00DA0E43">
        <w:rPr>
          <w:rFonts w:hAnsi="標楷體" w:hint="eastAsia"/>
          <w:szCs w:val="24"/>
        </w:rPr>
        <w:t>及臺北市</w:t>
      </w:r>
      <w:r w:rsidRPr="00DA0E43">
        <w:rPr>
          <w:rFonts w:hAnsi="標楷體"/>
          <w:szCs w:val="24"/>
          <w:lang w:eastAsia="zh-HK"/>
        </w:rPr>
        <w:t>自來水事業處工程總隊</w:t>
      </w:r>
      <w:r w:rsidRPr="00DA0E43">
        <w:rPr>
          <w:rFonts w:hint="eastAsia"/>
        </w:rPr>
        <w:t>等機關人員，</w:t>
      </w:r>
      <w:r w:rsidRPr="00DA0E43">
        <w:rPr>
          <w:rFonts w:hAnsi="標楷體" w:hint="eastAsia"/>
          <w:szCs w:val="32"/>
        </w:rPr>
        <w:t>2</w:t>
      </w:r>
      <w:r w:rsidRPr="00DA0E43">
        <w:rPr>
          <w:rFonts w:hAnsi="標楷體"/>
          <w:szCs w:val="32"/>
        </w:rPr>
        <w:t>月</w:t>
      </w:r>
      <w:r w:rsidRPr="00DA0E43">
        <w:rPr>
          <w:rFonts w:hAnsi="標楷體" w:hint="eastAsia"/>
          <w:szCs w:val="32"/>
        </w:rPr>
        <w:t>27</w:t>
      </w:r>
      <w:r w:rsidRPr="00DA0E43">
        <w:rPr>
          <w:rFonts w:hAnsi="標楷體"/>
          <w:szCs w:val="32"/>
        </w:rPr>
        <w:t>日</w:t>
      </w:r>
      <w:r w:rsidRPr="00DA0E43">
        <w:rPr>
          <w:rFonts w:hAnsi="標楷體" w:hint="eastAsia"/>
          <w:szCs w:val="32"/>
        </w:rPr>
        <w:t>詢問陳訴人，</w:t>
      </w:r>
      <w:r w:rsidRPr="00DA0E43">
        <w:rPr>
          <w:rFonts w:hint="eastAsia"/>
        </w:rPr>
        <w:t>3月7日諮詢</w:t>
      </w:r>
      <w:r w:rsidR="00EA746E">
        <w:rPr>
          <w:rFonts w:hint="eastAsia"/>
        </w:rPr>
        <w:t>專家學者</w:t>
      </w:r>
      <w:r w:rsidRPr="00DA0E43">
        <w:rPr>
          <w:rFonts w:hint="eastAsia"/>
        </w:rPr>
        <w:t>，3月21日再前往陽明山</w:t>
      </w:r>
      <w:r w:rsidRPr="00DA0E43">
        <w:rPr>
          <w:rFonts w:hAnsi="標楷體" w:hint="eastAsia"/>
          <w:szCs w:val="32"/>
        </w:rPr>
        <w:t>住六之六重劃區實地履</w:t>
      </w:r>
      <w:proofErr w:type="gramStart"/>
      <w:r w:rsidRPr="00DA0E43">
        <w:rPr>
          <w:rFonts w:hAnsi="標楷體" w:hint="eastAsia"/>
          <w:szCs w:val="32"/>
        </w:rPr>
        <w:t>勘</w:t>
      </w:r>
      <w:proofErr w:type="gramEnd"/>
      <w:r w:rsidRPr="00DA0E43">
        <w:rPr>
          <w:rFonts w:hAnsi="標楷體" w:hint="eastAsia"/>
          <w:szCs w:val="32"/>
        </w:rPr>
        <w:t>，5月1日再詢問臺北市士林區住六之六自辦市地重劃區重劃會地主代表等3人，</w:t>
      </w:r>
      <w:r w:rsidR="00152806" w:rsidRPr="004438AB">
        <w:rPr>
          <w:rFonts w:hAnsi="標楷體" w:hint="eastAsia"/>
          <w:color w:val="000000" w:themeColor="text1"/>
          <w:szCs w:val="32"/>
        </w:rPr>
        <w:t>7</w:t>
      </w:r>
      <w:r w:rsidR="00152806" w:rsidRPr="007307D1">
        <w:rPr>
          <w:rFonts w:hAnsi="標楷體" w:hint="eastAsia"/>
          <w:color w:val="000000" w:themeColor="text1"/>
          <w:szCs w:val="32"/>
        </w:rPr>
        <w:t>月</w:t>
      </w:r>
      <w:r w:rsidR="005E6B21">
        <w:rPr>
          <w:rFonts w:hAnsi="標楷體" w:hint="eastAsia"/>
          <w:color w:val="000000" w:themeColor="text1"/>
          <w:szCs w:val="32"/>
        </w:rPr>
        <w:t>29</w:t>
      </w:r>
      <w:bookmarkStart w:id="50" w:name="_GoBack"/>
      <w:bookmarkEnd w:id="50"/>
      <w:r w:rsidR="00152806" w:rsidRPr="007307D1">
        <w:rPr>
          <w:rFonts w:hAnsi="標楷體" w:hint="eastAsia"/>
          <w:color w:val="000000" w:themeColor="text1"/>
          <w:szCs w:val="32"/>
        </w:rPr>
        <w:t>日再詢問臺北市政府相關機關人員，</w:t>
      </w:r>
      <w:r w:rsidRPr="00DA0E43">
        <w:rPr>
          <w:rFonts w:hint="eastAsia"/>
          <w:noProof/>
        </w:rPr>
        <w:t>全案業調查竣事，茲將</w:t>
      </w:r>
      <w:r w:rsidRPr="00DA0E43">
        <w:rPr>
          <w:noProof/>
        </w:rPr>
        <w:t>調查</w:t>
      </w:r>
      <w:r w:rsidRPr="00DA0E43">
        <w:rPr>
          <w:rFonts w:hint="eastAsia"/>
          <w:noProof/>
        </w:rPr>
        <w:t>意見臚陳如下：</w:t>
      </w:r>
    </w:p>
    <w:p w:rsidR="00073CB5" w:rsidRPr="00DA0E43" w:rsidRDefault="00953A73" w:rsidP="00DE4238">
      <w:pPr>
        <w:pStyle w:val="2"/>
      </w:pPr>
      <w:bookmarkStart w:id="51" w:name="_Toc18675676"/>
      <w:r w:rsidRPr="008F4DE4">
        <w:rPr>
          <w:rFonts w:hint="eastAsia"/>
          <w:b/>
          <w:color w:val="000000" w:themeColor="text1"/>
        </w:rPr>
        <w:t>臺北市</w:t>
      </w:r>
      <w:r w:rsidRPr="008F4DE4">
        <w:rPr>
          <w:rFonts w:hAnsi="標楷體" w:hint="eastAsia"/>
          <w:b/>
          <w:color w:val="000000" w:themeColor="text1"/>
          <w:szCs w:val="32"/>
        </w:rPr>
        <w:t>政府前於85年間審查</w:t>
      </w:r>
      <w:r w:rsidR="00C46F89" w:rsidRPr="008F4DE4">
        <w:rPr>
          <w:rFonts w:hAnsi="標楷體" w:hint="eastAsia"/>
          <w:b/>
          <w:color w:val="000000" w:themeColor="text1"/>
          <w:szCs w:val="32"/>
        </w:rPr>
        <w:t>通過之</w:t>
      </w:r>
      <w:r w:rsidRPr="008F4DE4">
        <w:rPr>
          <w:rFonts w:hAnsi="標楷體" w:hint="eastAsia"/>
          <w:b/>
          <w:color w:val="000000" w:themeColor="text1"/>
          <w:szCs w:val="32"/>
        </w:rPr>
        <w:t>「臺北市士林區住六之六地區細部計畫暨配合修訂主要計畫」</w:t>
      </w:r>
      <w:r w:rsidR="00206162" w:rsidRPr="008F4DE4">
        <w:rPr>
          <w:rFonts w:hAnsi="標楷體" w:hint="eastAsia"/>
          <w:b/>
          <w:color w:val="000000" w:themeColor="text1"/>
          <w:szCs w:val="32"/>
        </w:rPr>
        <w:t>環境影響說明書</w:t>
      </w:r>
      <w:r w:rsidRPr="008F4DE4">
        <w:rPr>
          <w:rFonts w:hAnsi="標楷體" w:hint="eastAsia"/>
          <w:b/>
          <w:color w:val="000000" w:themeColor="text1"/>
          <w:szCs w:val="32"/>
        </w:rPr>
        <w:t>，民間團體</w:t>
      </w:r>
      <w:r w:rsidRPr="008F4DE4">
        <w:rPr>
          <w:rFonts w:hint="eastAsia"/>
          <w:b/>
          <w:color w:val="000000" w:themeColor="text1"/>
        </w:rPr>
        <w:t>於94年間</w:t>
      </w:r>
      <w:r w:rsidRPr="008F4DE4">
        <w:rPr>
          <w:rFonts w:hAnsi="標楷體" w:hint="eastAsia"/>
          <w:b/>
          <w:color w:val="000000" w:themeColor="text1"/>
          <w:szCs w:val="32"/>
        </w:rPr>
        <w:t>提</w:t>
      </w:r>
      <w:r w:rsidRPr="008F4DE4">
        <w:rPr>
          <w:rFonts w:hint="eastAsia"/>
          <w:b/>
          <w:color w:val="000000" w:themeColor="text1"/>
        </w:rPr>
        <w:t>起無效告訴，經</w:t>
      </w:r>
      <w:r w:rsidRPr="008F4DE4">
        <w:rPr>
          <w:rFonts w:hAnsi="標楷體" w:hint="eastAsia"/>
          <w:b/>
          <w:color w:val="000000" w:themeColor="text1"/>
          <w:szCs w:val="32"/>
        </w:rPr>
        <w:t>最高行政法院</w:t>
      </w:r>
      <w:proofErr w:type="gramStart"/>
      <w:r w:rsidRPr="008F4DE4">
        <w:rPr>
          <w:rFonts w:hAnsi="標楷體" w:hint="eastAsia"/>
          <w:b/>
          <w:color w:val="000000" w:themeColor="text1"/>
          <w:szCs w:val="32"/>
        </w:rPr>
        <w:t>103</w:t>
      </w:r>
      <w:proofErr w:type="gramEnd"/>
      <w:r w:rsidRPr="008F4DE4">
        <w:rPr>
          <w:rFonts w:hAnsi="標楷體" w:hint="eastAsia"/>
          <w:b/>
          <w:color w:val="000000" w:themeColor="text1"/>
          <w:szCs w:val="32"/>
        </w:rPr>
        <w:t>年度判字第66號判決駁回</w:t>
      </w:r>
      <w:r w:rsidRPr="008F4DE4">
        <w:rPr>
          <w:rFonts w:hint="eastAsia"/>
          <w:b/>
          <w:color w:val="000000" w:themeColor="text1"/>
        </w:rPr>
        <w:t>臺北市</w:t>
      </w:r>
      <w:r w:rsidRPr="008F4DE4">
        <w:rPr>
          <w:rFonts w:hAnsi="標楷體" w:hint="eastAsia"/>
          <w:b/>
          <w:color w:val="000000" w:themeColor="text1"/>
          <w:szCs w:val="32"/>
        </w:rPr>
        <w:t>政府上訴確定。經此判決民間團體</w:t>
      </w:r>
      <w:proofErr w:type="gramStart"/>
      <w:r w:rsidRPr="008F4DE4">
        <w:rPr>
          <w:rFonts w:hAnsi="標楷體" w:hint="eastAsia"/>
          <w:b/>
          <w:color w:val="000000" w:themeColor="text1"/>
          <w:szCs w:val="32"/>
        </w:rPr>
        <w:t>因認</w:t>
      </w:r>
      <w:r w:rsidRPr="008F4DE4">
        <w:rPr>
          <w:rFonts w:hint="eastAsia"/>
          <w:b/>
          <w:color w:val="000000" w:themeColor="text1"/>
        </w:rPr>
        <w:t>依環境</w:t>
      </w:r>
      <w:proofErr w:type="gramEnd"/>
      <w:r w:rsidRPr="008F4DE4">
        <w:rPr>
          <w:rFonts w:hint="eastAsia"/>
          <w:b/>
          <w:color w:val="000000" w:themeColor="text1"/>
        </w:rPr>
        <w:t>影響評估法相關</w:t>
      </w:r>
      <w:r w:rsidRPr="008F4DE4">
        <w:rPr>
          <w:rFonts w:hint="eastAsia"/>
          <w:b/>
          <w:color w:val="000000" w:themeColor="text1"/>
        </w:rPr>
        <w:lastRenderedPageBreak/>
        <w:t>規定</w:t>
      </w:r>
      <w:proofErr w:type="gramStart"/>
      <w:r w:rsidRPr="008F4DE4">
        <w:rPr>
          <w:rFonts w:hint="eastAsia"/>
          <w:b/>
          <w:color w:val="000000" w:themeColor="text1"/>
        </w:rPr>
        <w:t>前揭環評審</w:t>
      </w:r>
      <w:proofErr w:type="gramEnd"/>
      <w:r w:rsidR="001F7228" w:rsidRPr="008F4DE4">
        <w:rPr>
          <w:rFonts w:hint="eastAsia"/>
          <w:b/>
          <w:color w:val="000000" w:themeColor="text1"/>
        </w:rPr>
        <w:t>查</w:t>
      </w:r>
      <w:r w:rsidRPr="008F4DE4">
        <w:rPr>
          <w:rFonts w:hint="eastAsia"/>
          <w:b/>
          <w:color w:val="000000" w:themeColor="text1"/>
        </w:rPr>
        <w:t>結論</w:t>
      </w:r>
      <w:r w:rsidRPr="008F4DE4">
        <w:rPr>
          <w:rFonts w:hAnsi="標楷體" w:hint="eastAsia"/>
          <w:b/>
          <w:color w:val="000000" w:themeColor="text1"/>
          <w:szCs w:val="32"/>
        </w:rPr>
        <w:t>應已自始無效，經</w:t>
      </w:r>
      <w:r w:rsidRPr="008F4DE4">
        <w:rPr>
          <w:rFonts w:hint="eastAsia"/>
          <w:b/>
          <w:color w:val="000000" w:themeColor="text1"/>
        </w:rPr>
        <w:t>查</w:t>
      </w:r>
      <w:r w:rsidRPr="008F4DE4">
        <w:rPr>
          <w:rFonts w:hAnsi="標楷體" w:hint="eastAsia"/>
          <w:b/>
          <w:color w:val="000000" w:themeColor="text1"/>
        </w:rPr>
        <w:t>與事實有間，</w:t>
      </w:r>
      <w:proofErr w:type="gramStart"/>
      <w:r w:rsidRPr="008F4DE4">
        <w:rPr>
          <w:rFonts w:hint="eastAsia"/>
          <w:b/>
          <w:color w:val="000000" w:themeColor="text1"/>
        </w:rPr>
        <w:t>容屬誤解</w:t>
      </w:r>
      <w:proofErr w:type="gramEnd"/>
      <w:r w:rsidRPr="008F4DE4">
        <w:rPr>
          <w:rFonts w:hAnsi="標楷體" w:hint="eastAsia"/>
          <w:b/>
          <w:color w:val="000000" w:themeColor="text1"/>
          <w:szCs w:val="32"/>
        </w:rPr>
        <w:t>，至該</w:t>
      </w:r>
      <w:r w:rsidRPr="008F4DE4">
        <w:rPr>
          <w:rFonts w:hint="eastAsia"/>
          <w:b/>
          <w:color w:val="000000" w:themeColor="text1"/>
        </w:rPr>
        <w:t>府環境影響評估委員會不應於107年間再決議請開發單位辦理環境影響差異分析報告等節</w:t>
      </w:r>
      <w:r w:rsidR="00683362" w:rsidRPr="008F4DE4">
        <w:rPr>
          <w:rFonts w:hint="eastAsia"/>
          <w:b/>
          <w:color w:val="000000" w:themeColor="text1"/>
        </w:rPr>
        <w:t>，</w:t>
      </w:r>
      <w:proofErr w:type="gramStart"/>
      <w:r w:rsidRPr="008F4DE4">
        <w:rPr>
          <w:rFonts w:hint="eastAsia"/>
          <w:b/>
          <w:color w:val="000000" w:themeColor="text1"/>
        </w:rPr>
        <w:t>亦容有</w:t>
      </w:r>
      <w:proofErr w:type="gramEnd"/>
      <w:r w:rsidRPr="008F4DE4">
        <w:rPr>
          <w:rFonts w:hint="eastAsia"/>
          <w:b/>
          <w:color w:val="000000" w:themeColor="text1"/>
        </w:rPr>
        <w:t>誤解</w:t>
      </w:r>
      <w:r w:rsidR="00EA369A" w:rsidRPr="00EA746E">
        <w:rPr>
          <w:rFonts w:hint="eastAsia"/>
          <w:b/>
          <w:color w:val="000000" w:themeColor="text1"/>
        </w:rPr>
        <w:t>。</w:t>
      </w:r>
      <w:r w:rsidR="00E02E15" w:rsidRPr="00EA746E">
        <w:rPr>
          <w:rFonts w:hint="eastAsia"/>
          <w:b/>
          <w:color w:val="000000" w:themeColor="text1"/>
        </w:rPr>
        <w:t>至</w:t>
      </w:r>
      <w:r w:rsidR="00EA369A" w:rsidRPr="00EA746E">
        <w:rPr>
          <w:rFonts w:hint="eastAsia"/>
          <w:b/>
          <w:color w:val="000000" w:themeColor="text1"/>
        </w:rPr>
        <w:t>於</w:t>
      </w:r>
      <w:r w:rsidR="00E02E15" w:rsidRPr="00EA746E">
        <w:rPr>
          <w:rFonts w:hint="eastAsia"/>
          <w:b/>
          <w:color w:val="000000" w:themeColor="text1"/>
        </w:rPr>
        <w:t>本案</w:t>
      </w:r>
      <w:r w:rsidR="008F4DE4" w:rsidRPr="00EA746E">
        <w:rPr>
          <w:rFonts w:hint="eastAsia"/>
          <w:b/>
          <w:color w:val="000000" w:themeColor="text1"/>
        </w:rPr>
        <w:t>可</w:t>
      </w:r>
      <w:r w:rsidR="00E02E15" w:rsidRPr="00EA746E">
        <w:rPr>
          <w:rFonts w:hint="eastAsia"/>
          <w:b/>
          <w:color w:val="000000" w:themeColor="text1"/>
        </w:rPr>
        <w:t>否續行開發，仍須臺北市</w:t>
      </w:r>
      <w:r w:rsidR="00E02E15" w:rsidRPr="00EA746E">
        <w:rPr>
          <w:rFonts w:hAnsi="標楷體" w:hint="eastAsia"/>
          <w:b/>
          <w:color w:val="000000" w:themeColor="text1"/>
          <w:szCs w:val="32"/>
        </w:rPr>
        <w:t>政府衡酌各項環境衝擊疑慮</w:t>
      </w:r>
      <w:r w:rsidR="00D65270" w:rsidRPr="00EA746E">
        <w:rPr>
          <w:rFonts w:hAnsi="標楷體" w:hint="eastAsia"/>
          <w:b/>
          <w:color w:val="000000" w:themeColor="text1"/>
          <w:szCs w:val="32"/>
        </w:rPr>
        <w:t>及爭議事項</w:t>
      </w:r>
      <w:r w:rsidR="008F4DE4" w:rsidRPr="00EA746E">
        <w:rPr>
          <w:rFonts w:hAnsi="標楷體" w:hint="eastAsia"/>
          <w:b/>
          <w:color w:val="000000" w:themeColor="text1"/>
          <w:szCs w:val="32"/>
        </w:rPr>
        <w:t>後</w:t>
      </w:r>
      <w:r w:rsidR="00E02E15" w:rsidRPr="00EA746E">
        <w:rPr>
          <w:rFonts w:hAnsi="標楷體" w:hint="eastAsia"/>
          <w:b/>
          <w:color w:val="000000" w:themeColor="text1"/>
          <w:szCs w:val="32"/>
        </w:rPr>
        <w:t>依法</w:t>
      </w:r>
      <w:r w:rsidR="008F4DE4" w:rsidRPr="00EA746E">
        <w:rPr>
          <w:rFonts w:hAnsi="標楷體" w:hint="eastAsia"/>
          <w:b/>
          <w:color w:val="000000" w:themeColor="text1"/>
          <w:szCs w:val="32"/>
        </w:rPr>
        <w:t>准駁</w:t>
      </w:r>
      <w:r w:rsidRPr="008F4DE4">
        <w:rPr>
          <w:rFonts w:hint="eastAsia"/>
          <w:color w:val="000000" w:themeColor="text1"/>
        </w:rPr>
        <w:t>：</w:t>
      </w:r>
      <w:bookmarkEnd w:id="51"/>
    </w:p>
    <w:p w:rsidR="000A7A15" w:rsidRPr="00DA0E43" w:rsidRDefault="000A7A15" w:rsidP="00DE4238">
      <w:pPr>
        <w:pStyle w:val="3"/>
      </w:pPr>
      <w:bookmarkStart w:id="52" w:name="_Toc18513649"/>
      <w:bookmarkStart w:id="53" w:name="_Toc18594741"/>
      <w:bookmarkStart w:id="54" w:name="_Toc18675677"/>
      <w:bookmarkStart w:id="55" w:name="_Toc421794874"/>
      <w:bookmarkStart w:id="56" w:name="_Toc421795440"/>
      <w:bookmarkStart w:id="57" w:name="_Toc421796021"/>
      <w:r w:rsidRPr="007307D1">
        <w:rPr>
          <w:rFonts w:hint="eastAsia"/>
          <w:color w:val="000000" w:themeColor="text1"/>
        </w:rPr>
        <w:t>依</w:t>
      </w:r>
      <w:proofErr w:type="gramStart"/>
      <w:r w:rsidRPr="007307D1">
        <w:rPr>
          <w:rFonts w:hint="eastAsia"/>
          <w:color w:val="000000" w:themeColor="text1"/>
        </w:rPr>
        <w:t>行為時</w:t>
      </w:r>
      <w:r w:rsidRPr="009B5374">
        <w:rPr>
          <w:rFonts w:hint="eastAsia"/>
          <w:color w:val="000000" w:themeColor="text1"/>
        </w:rPr>
        <w:t>環評</w:t>
      </w:r>
      <w:proofErr w:type="gramEnd"/>
      <w:r w:rsidRPr="009B5374">
        <w:rPr>
          <w:rFonts w:hint="eastAsia"/>
          <w:color w:val="000000" w:themeColor="text1"/>
        </w:rPr>
        <w:t>法</w:t>
      </w:r>
      <w:r w:rsidRPr="007307D1">
        <w:rPr>
          <w:rFonts w:hint="eastAsia"/>
          <w:color w:val="000000" w:themeColor="text1"/>
        </w:rPr>
        <w:t>第16條：「開發單位於通過環境影響說明書或評估書審查，並取得目的事業主管機關核發之開發許可後，逾3年始實施開發行為時，應提出環境現況差異分析及對策檢討報告，送主管機關審查。主管機關未完成審查前，不得實施開發行為。」同法施行細則第37條：「</w:t>
      </w:r>
      <w:r w:rsidRPr="007307D1">
        <w:rPr>
          <w:rFonts w:hAnsi="標楷體" w:cs="Helvetica" w:hint="eastAsia"/>
          <w:color w:val="000000" w:themeColor="text1"/>
          <w:szCs w:val="32"/>
        </w:rPr>
        <w:t>開發單位依本法第16條第1項申請變更環境影響說明書、評估書內容或審查結論，無須依第38條重新進行環境影響評估者，應提出環境影響差異分析報告，由目的事業主管機關核准後，轉送主管機關核准。但符合下列情形之</w:t>
      </w:r>
      <w:proofErr w:type="gramStart"/>
      <w:r w:rsidRPr="007307D1">
        <w:rPr>
          <w:rFonts w:hAnsi="標楷體" w:cs="Helvetica" w:hint="eastAsia"/>
          <w:color w:val="000000" w:themeColor="text1"/>
          <w:szCs w:val="32"/>
        </w:rPr>
        <w:t>一</w:t>
      </w:r>
      <w:proofErr w:type="gramEnd"/>
      <w:r w:rsidRPr="007307D1">
        <w:rPr>
          <w:rFonts w:hAnsi="標楷體" w:cs="Helvetica" w:hint="eastAsia"/>
          <w:color w:val="000000" w:themeColor="text1"/>
          <w:szCs w:val="32"/>
        </w:rPr>
        <w:t>者，得檢附變更內容對照表，由目的事業主管機關核准後，轉送主管機關核准：一、開發基地內環境保護設施調整位置或功能。但不涉及改變承受水體或處理等級效率。二、既有設備改變製程、汰舊換新或更換低能耗、低污染排放量設備，而產能不變或產能提升未達百分之十，且污染總量未增加。三、環境監測計畫變更。四、因開發行為規模降低、環境敏感區位劃定變更、環境影響評估或其他相關法令之修正，致原開發行為未符合應實施環境影響評估而須變更原審查結論。五、其他經主管機關認定對環境影響輕微。」</w:t>
      </w:r>
      <w:r w:rsidR="00D6494C" w:rsidRPr="007307D1">
        <w:rPr>
          <w:rFonts w:hint="eastAsia"/>
          <w:color w:val="000000" w:themeColor="text1"/>
        </w:rPr>
        <w:t>同法施行細則第</w:t>
      </w:r>
      <w:r w:rsidR="00D6494C">
        <w:rPr>
          <w:rFonts w:hint="eastAsia"/>
          <w:color w:val="000000" w:themeColor="text1"/>
        </w:rPr>
        <w:t>38</w:t>
      </w:r>
      <w:r w:rsidR="00D6494C" w:rsidRPr="007307D1">
        <w:rPr>
          <w:rFonts w:hint="eastAsia"/>
          <w:color w:val="000000" w:themeColor="text1"/>
        </w:rPr>
        <w:t>條：</w:t>
      </w:r>
      <w:r w:rsidR="00D6494C" w:rsidRPr="00EA746E">
        <w:rPr>
          <w:rFonts w:hint="eastAsia"/>
          <w:color w:val="000000" w:themeColor="text1"/>
        </w:rPr>
        <w:t>同細則第38條規定：「</w:t>
      </w:r>
      <w:r w:rsidR="00D6494C" w:rsidRPr="00EA746E">
        <w:rPr>
          <w:color w:val="000000" w:themeColor="text1"/>
        </w:rPr>
        <w:t>開發單位變更原申請內容有下列情形之</w:t>
      </w:r>
      <w:proofErr w:type="gramStart"/>
      <w:r w:rsidR="00D6494C" w:rsidRPr="00EA746E">
        <w:rPr>
          <w:color w:val="000000" w:themeColor="text1"/>
        </w:rPr>
        <w:t>一</w:t>
      </w:r>
      <w:proofErr w:type="gramEnd"/>
      <w:r w:rsidR="00D6494C" w:rsidRPr="00EA746E">
        <w:rPr>
          <w:color w:val="000000" w:themeColor="text1"/>
        </w:rPr>
        <w:t>者，應就申請變更部分，重新辦理環境影響評估：</w:t>
      </w:r>
      <w:r w:rsidR="00D6494C" w:rsidRPr="00EA746E">
        <w:rPr>
          <w:rFonts w:hint="eastAsia"/>
          <w:color w:val="000000" w:themeColor="text1"/>
        </w:rPr>
        <w:t>一、</w:t>
      </w:r>
      <w:r w:rsidR="00D6494C" w:rsidRPr="00EA746E">
        <w:rPr>
          <w:color w:val="000000" w:themeColor="text1"/>
        </w:rPr>
        <w:t>計畫產能、規模擴增或路線</w:t>
      </w:r>
      <w:r w:rsidR="00D6494C" w:rsidRPr="00EA746E">
        <w:rPr>
          <w:color w:val="000000" w:themeColor="text1"/>
        </w:rPr>
        <w:lastRenderedPageBreak/>
        <w:t>延伸百分之十以上者。</w:t>
      </w:r>
      <w:r w:rsidR="00D6494C" w:rsidRPr="00EA746E">
        <w:rPr>
          <w:rFonts w:hint="eastAsia"/>
          <w:color w:val="000000" w:themeColor="text1"/>
        </w:rPr>
        <w:t>…</w:t>
      </w:r>
      <w:proofErr w:type="gramStart"/>
      <w:r w:rsidR="00D6494C" w:rsidRPr="00EA746E">
        <w:rPr>
          <w:rFonts w:hint="eastAsia"/>
          <w:color w:val="000000" w:themeColor="text1"/>
        </w:rPr>
        <w:t>…</w:t>
      </w:r>
      <w:proofErr w:type="gramEnd"/>
      <w:r w:rsidR="00D6494C" w:rsidRPr="00EA746E">
        <w:rPr>
          <w:rFonts w:hint="eastAsia"/>
          <w:color w:val="000000" w:themeColor="text1"/>
        </w:rPr>
        <w:t>四、</w:t>
      </w:r>
      <w:r w:rsidR="00D6494C" w:rsidRPr="00EA746E">
        <w:rPr>
          <w:color w:val="000000" w:themeColor="text1"/>
        </w:rPr>
        <w:t>計畫變更對影響範圍內之生活、自然、社會環境或保護對象，有加重影響之虞者。</w:t>
      </w:r>
      <w:r w:rsidR="00D6494C" w:rsidRPr="00EA746E">
        <w:rPr>
          <w:rFonts w:hint="eastAsia"/>
          <w:color w:val="000000" w:themeColor="text1"/>
        </w:rPr>
        <w:t>五、</w:t>
      </w:r>
      <w:r w:rsidR="00D6494C" w:rsidRPr="00EA746E">
        <w:rPr>
          <w:color w:val="000000" w:themeColor="text1"/>
        </w:rPr>
        <w:t>對環境品質之維護，有不利影響者。</w:t>
      </w:r>
      <w:r w:rsidR="00D6494C" w:rsidRPr="00EA746E">
        <w:rPr>
          <w:rFonts w:hint="eastAsia"/>
          <w:color w:val="000000" w:themeColor="text1"/>
        </w:rPr>
        <w:t>」</w:t>
      </w:r>
      <w:proofErr w:type="gramStart"/>
      <w:r w:rsidR="00D6494C">
        <w:rPr>
          <w:rFonts w:hAnsi="標楷體" w:cs="Helvetica" w:hint="eastAsia"/>
          <w:color w:val="000000"/>
          <w:szCs w:val="32"/>
        </w:rPr>
        <w:t>準</w:t>
      </w:r>
      <w:proofErr w:type="gramEnd"/>
      <w:r w:rsidR="00D6494C">
        <w:rPr>
          <w:rFonts w:hAnsi="標楷體" w:cs="Helvetica" w:hint="eastAsia"/>
          <w:color w:val="000000"/>
          <w:szCs w:val="32"/>
        </w:rPr>
        <w:t>此，</w:t>
      </w:r>
      <w:r w:rsidR="00D6494C">
        <w:rPr>
          <w:rFonts w:hint="eastAsia"/>
        </w:rPr>
        <w:t>開發單位依環評法第16條第1項申請變更環境影響說明書或評估書內容，</w:t>
      </w:r>
      <w:r w:rsidR="00D6494C" w:rsidRPr="00D6494C">
        <w:rPr>
          <w:rFonts w:hint="eastAsia"/>
        </w:rPr>
        <w:t>涉及環境保護事項之變更，無須重新進行環境影響評估者，應提出環境影響差異分析報告，由目的事業主管機關審核。但</w:t>
      </w:r>
      <w:r w:rsidR="00D6494C" w:rsidRPr="00D6494C">
        <w:rPr>
          <w:rFonts w:hint="eastAsia"/>
          <w:color w:val="000000" w:themeColor="text1"/>
        </w:rPr>
        <w:t>計畫產能或規模降低、基地內設施局部調整位置、提升環保設施之處理等級或效率、既有設備提升產能而污染總量未增加、變更內容對環境品質有利者、屬環境監測計畫者或其他經主管機關認定者</w:t>
      </w:r>
      <w:r w:rsidR="00D6494C" w:rsidRPr="00D6494C">
        <w:rPr>
          <w:rFonts w:hint="eastAsia"/>
        </w:rPr>
        <w:t>，其變更得檢附變更內容對照表，由目的事業主管機關審核。</w:t>
      </w:r>
      <w:r w:rsidR="00D6494C" w:rsidRPr="00EA746E">
        <w:rPr>
          <w:rFonts w:hint="eastAsia"/>
          <w:color w:val="000000" w:themeColor="text1"/>
        </w:rPr>
        <w:t>而</w:t>
      </w:r>
      <w:r w:rsidR="00D6494C" w:rsidRPr="00EA746E">
        <w:rPr>
          <w:color w:val="000000" w:themeColor="text1"/>
        </w:rPr>
        <w:t>計畫產能、規模擴增或路線延伸百分之十以上者</w:t>
      </w:r>
      <w:r w:rsidR="00D6494C" w:rsidRPr="00EA746E">
        <w:rPr>
          <w:rFonts w:hint="eastAsia"/>
          <w:color w:val="000000" w:themeColor="text1"/>
        </w:rPr>
        <w:t>，</w:t>
      </w:r>
      <w:r w:rsidR="00D6494C" w:rsidRPr="00EA746E">
        <w:rPr>
          <w:color w:val="000000" w:themeColor="text1"/>
        </w:rPr>
        <w:t>重新辦理環境影響評估</w:t>
      </w:r>
      <w:r w:rsidR="00D6494C" w:rsidRPr="00EA746E">
        <w:rPr>
          <w:rFonts w:hint="eastAsia"/>
          <w:color w:val="000000" w:themeColor="text1"/>
        </w:rPr>
        <w:t>。</w:t>
      </w:r>
      <w:bookmarkEnd w:id="52"/>
      <w:bookmarkEnd w:id="53"/>
      <w:bookmarkEnd w:id="54"/>
    </w:p>
    <w:p w:rsidR="000A7A15" w:rsidRPr="007307D1" w:rsidRDefault="000A7A15" w:rsidP="00DE4238">
      <w:pPr>
        <w:pStyle w:val="3"/>
        <w:rPr>
          <w:color w:val="000000" w:themeColor="text1"/>
        </w:rPr>
      </w:pPr>
      <w:bookmarkStart w:id="58" w:name="_Toc18513650"/>
      <w:bookmarkStart w:id="59" w:name="_Toc18594742"/>
      <w:bookmarkStart w:id="60" w:name="_Toc18675678"/>
      <w:r w:rsidRPr="007307D1">
        <w:rPr>
          <w:rFonts w:hAnsi="標楷體" w:hint="eastAsia"/>
          <w:color w:val="000000" w:themeColor="text1"/>
          <w:szCs w:val="32"/>
        </w:rPr>
        <w:t>查臺北市士林區住六之六自辦市地重劃區重劃會（下稱重劃會）為辦理「臺北市士林區住六之六地區細部計畫暨配合修訂主要計畫」（下稱本案）之開發單位，其所提開發案環境影響說明書經審查後，由臺北市政府環境保護局以85年8月7日(85)北市環(</w:t>
      </w:r>
      <w:proofErr w:type="gramStart"/>
      <w:r w:rsidRPr="007307D1">
        <w:rPr>
          <w:rFonts w:hAnsi="標楷體" w:hint="eastAsia"/>
          <w:color w:val="000000" w:themeColor="text1"/>
          <w:szCs w:val="32"/>
        </w:rPr>
        <w:t>一</w:t>
      </w:r>
      <w:proofErr w:type="gramEnd"/>
      <w:r w:rsidRPr="007307D1">
        <w:rPr>
          <w:rFonts w:hAnsi="標楷體" w:hint="eastAsia"/>
          <w:color w:val="000000" w:themeColor="text1"/>
          <w:szCs w:val="32"/>
        </w:rPr>
        <w:t>)字第29065-1號公告</w:t>
      </w:r>
      <w:r w:rsidRPr="007307D1">
        <w:rPr>
          <w:rFonts w:hint="eastAsia"/>
          <w:color w:val="000000" w:themeColor="text1"/>
        </w:rPr>
        <w:t>審查結論為「有條件接受開發」在案。依前開環境影響說明書所示，本案</w:t>
      </w:r>
      <w:proofErr w:type="gramStart"/>
      <w:r w:rsidRPr="007307D1">
        <w:rPr>
          <w:rFonts w:hint="eastAsia"/>
          <w:color w:val="000000" w:themeColor="text1"/>
        </w:rPr>
        <w:t>計畫區挖填</w:t>
      </w:r>
      <w:proofErr w:type="gramEnd"/>
      <w:r w:rsidRPr="007307D1">
        <w:rPr>
          <w:rFonts w:hint="eastAsia"/>
          <w:color w:val="000000" w:themeColor="text1"/>
        </w:rPr>
        <w:t>土石方量約為25萬立方公尺（挖方量約為12萬4,900立方公尺、填方量約為12萬5,100立方公尺），乃規劃估算之數量，另公告之審查結論中明載：「本開發詳細之水土保持計畫書，應依相關法規另送權責機關審查」。</w:t>
      </w:r>
      <w:bookmarkEnd w:id="58"/>
      <w:bookmarkEnd w:id="59"/>
      <w:bookmarkEnd w:id="60"/>
    </w:p>
    <w:p w:rsidR="00C60116" w:rsidRPr="00DA0E43" w:rsidRDefault="009A5C87" w:rsidP="00DE4238">
      <w:pPr>
        <w:pStyle w:val="3"/>
      </w:pPr>
      <w:bookmarkStart w:id="61" w:name="_Toc18594743"/>
      <w:bookmarkStart w:id="62" w:name="_Toc18675679"/>
      <w:bookmarkStart w:id="63" w:name="_Toc18513651"/>
      <w:bookmarkEnd w:id="55"/>
      <w:bookmarkEnd w:id="56"/>
      <w:bookmarkEnd w:id="57"/>
      <w:r w:rsidRPr="007307D1">
        <w:rPr>
          <w:rFonts w:hint="eastAsia"/>
          <w:color w:val="000000" w:themeColor="text1"/>
        </w:rPr>
        <w:t>續</w:t>
      </w:r>
      <w:r w:rsidR="00C60116" w:rsidRPr="007307D1">
        <w:rPr>
          <w:rFonts w:hint="eastAsia"/>
          <w:color w:val="000000" w:themeColor="text1"/>
        </w:rPr>
        <w:t>查臺北市政府建設局</w:t>
      </w:r>
      <w:proofErr w:type="gramStart"/>
      <w:r w:rsidR="00C60116" w:rsidRPr="007307D1">
        <w:rPr>
          <w:rFonts w:hint="eastAsia"/>
          <w:color w:val="000000" w:themeColor="text1"/>
        </w:rPr>
        <w:t>嗣</w:t>
      </w:r>
      <w:proofErr w:type="gramEnd"/>
      <w:r w:rsidR="00C60116" w:rsidRPr="007307D1">
        <w:rPr>
          <w:rFonts w:hint="eastAsia"/>
          <w:color w:val="000000" w:themeColor="text1"/>
        </w:rPr>
        <w:t>於88年1月間核定本案工程水土保持計畫，其所載之挖填土方量約為</w:t>
      </w:r>
      <w:r w:rsidR="00806383" w:rsidRPr="007307D1">
        <w:rPr>
          <w:rFonts w:hAnsi="標楷體" w:hint="eastAsia"/>
          <w:color w:val="000000" w:themeColor="text1"/>
          <w:szCs w:val="32"/>
        </w:rPr>
        <w:t>48萬9</w:t>
      </w:r>
      <w:r w:rsidR="00806383" w:rsidRPr="007307D1">
        <w:rPr>
          <w:rFonts w:hAnsi="標楷體"/>
          <w:color w:val="000000" w:themeColor="text1"/>
          <w:szCs w:val="32"/>
        </w:rPr>
        <w:t>,</w:t>
      </w:r>
      <w:r w:rsidR="00806383" w:rsidRPr="007307D1">
        <w:rPr>
          <w:rFonts w:hAnsi="標楷體" w:hint="eastAsia"/>
          <w:color w:val="000000" w:themeColor="text1"/>
          <w:szCs w:val="32"/>
        </w:rPr>
        <w:t>349立方公尺</w:t>
      </w:r>
      <w:r w:rsidR="00C60116" w:rsidRPr="007307D1">
        <w:rPr>
          <w:rFonts w:hint="eastAsia"/>
          <w:color w:val="000000" w:themeColor="text1"/>
        </w:rPr>
        <w:t>，與前揭環境影響說明書所載之25萬立方公尺，二者數量即有差異。其後臺北市政府</w:t>
      </w:r>
      <w:r w:rsidR="00C60116" w:rsidRPr="007307D1">
        <w:rPr>
          <w:rFonts w:hint="eastAsia"/>
          <w:color w:val="000000" w:themeColor="text1"/>
        </w:rPr>
        <w:lastRenderedPageBreak/>
        <w:t>建設局於94年7月間核定本案水</w:t>
      </w:r>
      <w:r w:rsidR="00884C96">
        <w:rPr>
          <w:rFonts w:hint="eastAsia"/>
          <w:color w:val="000000" w:themeColor="text1"/>
        </w:rPr>
        <w:t>土</w:t>
      </w:r>
      <w:r w:rsidR="00C60116" w:rsidRPr="007307D1">
        <w:rPr>
          <w:rFonts w:hint="eastAsia"/>
          <w:color w:val="000000" w:themeColor="text1"/>
        </w:rPr>
        <w:t>保持計畫第1次變更設計，挖填土石方量為</w:t>
      </w:r>
      <w:r w:rsidR="00806383" w:rsidRPr="007307D1">
        <w:rPr>
          <w:color w:val="000000" w:themeColor="text1"/>
        </w:rPr>
        <w:t>57</w:t>
      </w:r>
      <w:r w:rsidR="00806383" w:rsidRPr="007307D1">
        <w:rPr>
          <w:rFonts w:hint="eastAsia"/>
          <w:color w:val="000000" w:themeColor="text1"/>
        </w:rPr>
        <w:t>萬</w:t>
      </w:r>
      <w:r w:rsidR="00806383" w:rsidRPr="007307D1">
        <w:rPr>
          <w:color w:val="000000" w:themeColor="text1"/>
        </w:rPr>
        <w:t>2</w:t>
      </w:r>
      <w:r w:rsidR="00806383" w:rsidRPr="007307D1">
        <w:rPr>
          <w:rFonts w:hint="eastAsia"/>
          <w:color w:val="000000" w:themeColor="text1"/>
        </w:rPr>
        <w:t>,403立方公尺</w:t>
      </w:r>
      <w:r w:rsidR="00C60116" w:rsidRPr="007307D1">
        <w:rPr>
          <w:rFonts w:hint="eastAsia"/>
          <w:color w:val="000000" w:themeColor="text1"/>
        </w:rPr>
        <w:t>。</w:t>
      </w:r>
      <w:proofErr w:type="gramStart"/>
      <w:r w:rsidR="00C60116" w:rsidRPr="007307D1">
        <w:rPr>
          <w:rFonts w:hint="eastAsia"/>
          <w:color w:val="000000" w:themeColor="text1"/>
          <w:szCs w:val="32"/>
        </w:rPr>
        <w:t>96年6月間再核定</w:t>
      </w:r>
      <w:proofErr w:type="gramEnd"/>
      <w:r w:rsidR="00C60116" w:rsidRPr="007307D1">
        <w:rPr>
          <w:rFonts w:hint="eastAsia"/>
          <w:color w:val="000000" w:themeColor="text1"/>
        </w:rPr>
        <w:t>本案水</w:t>
      </w:r>
      <w:r w:rsidR="00884C96">
        <w:rPr>
          <w:rFonts w:hint="eastAsia"/>
          <w:color w:val="000000" w:themeColor="text1"/>
        </w:rPr>
        <w:t>土</w:t>
      </w:r>
      <w:r w:rsidR="00C60116" w:rsidRPr="007307D1">
        <w:rPr>
          <w:rFonts w:hint="eastAsia"/>
          <w:color w:val="000000" w:themeColor="text1"/>
        </w:rPr>
        <w:t>保持計畫第2次變更設計，</w:t>
      </w:r>
      <w:r w:rsidR="00C60116" w:rsidRPr="007307D1">
        <w:rPr>
          <w:rFonts w:hAnsi="標楷體"/>
          <w:color w:val="000000" w:themeColor="text1"/>
          <w:kern w:val="0"/>
          <w:szCs w:val="32"/>
        </w:rPr>
        <w:t>挖填土石方為</w:t>
      </w:r>
      <w:r w:rsidR="00806383" w:rsidRPr="007307D1">
        <w:rPr>
          <w:rFonts w:hint="eastAsia"/>
          <w:color w:val="000000" w:themeColor="text1"/>
        </w:rPr>
        <w:t>58萬6,667立方公尺</w:t>
      </w:r>
      <w:r w:rsidR="00C60116" w:rsidRPr="007307D1">
        <w:rPr>
          <w:rFonts w:hAnsi="標楷體" w:hint="eastAsia"/>
          <w:color w:val="000000" w:themeColor="text1"/>
          <w:kern w:val="0"/>
          <w:szCs w:val="32"/>
        </w:rPr>
        <w:t>。</w:t>
      </w:r>
      <w:r w:rsidR="00C60116" w:rsidRPr="00DA0E43">
        <w:rPr>
          <w:rFonts w:hAnsi="標楷體" w:hint="eastAsia"/>
          <w:color w:val="000000" w:themeColor="text1"/>
          <w:kern w:val="0"/>
          <w:szCs w:val="32"/>
        </w:rPr>
        <w:t>針對上情臺北市政府查復，</w:t>
      </w:r>
      <w:r w:rsidR="00C60116" w:rsidRPr="00DA0E43">
        <w:rPr>
          <w:rFonts w:hint="eastAsia"/>
          <w:color w:val="000000" w:themeColor="text1"/>
          <w:szCs w:val="32"/>
        </w:rPr>
        <w:t>環評報告核定之挖填土石方總量約25萬立方公尺，僅係</w:t>
      </w:r>
      <w:r w:rsidR="00683362">
        <w:rPr>
          <w:rFonts w:hint="eastAsia"/>
          <w:color w:val="000000" w:themeColor="text1"/>
          <w:szCs w:val="32"/>
        </w:rPr>
        <w:t>初步</w:t>
      </w:r>
      <w:r w:rsidR="00C60116" w:rsidRPr="00DA0E43">
        <w:rPr>
          <w:rFonts w:hint="eastAsia"/>
          <w:color w:val="000000" w:themeColor="text1"/>
          <w:szCs w:val="32"/>
        </w:rPr>
        <w:t>規劃估算數量，並於申請雜項執照時再依細部狀況詳細計算</w:t>
      </w:r>
      <w:r w:rsidR="00683362">
        <w:rPr>
          <w:rFonts w:hint="eastAsia"/>
          <w:color w:val="000000" w:themeColor="text1"/>
          <w:szCs w:val="32"/>
        </w:rPr>
        <w:t>。</w:t>
      </w:r>
      <w:r w:rsidR="00C60116" w:rsidRPr="00DA0E43">
        <w:rPr>
          <w:rFonts w:hint="eastAsia"/>
          <w:color w:val="000000" w:themeColor="text1"/>
          <w:szCs w:val="32"/>
        </w:rPr>
        <w:t>另本案水土保持計畫核定挖填土石方量共計</w:t>
      </w:r>
      <w:r w:rsidR="00806383" w:rsidRPr="00DA0E43">
        <w:rPr>
          <w:rFonts w:hAnsi="標楷體" w:hint="eastAsia"/>
          <w:color w:val="000000" w:themeColor="text1"/>
          <w:szCs w:val="32"/>
        </w:rPr>
        <w:t>48萬9</w:t>
      </w:r>
      <w:r w:rsidR="00806383" w:rsidRPr="00DA0E43">
        <w:rPr>
          <w:rFonts w:hAnsi="標楷體"/>
          <w:color w:val="000000" w:themeColor="text1"/>
          <w:szCs w:val="32"/>
        </w:rPr>
        <w:t>,</w:t>
      </w:r>
      <w:r w:rsidR="00806383" w:rsidRPr="00DA0E43">
        <w:rPr>
          <w:rFonts w:hAnsi="標楷體" w:hint="eastAsia"/>
          <w:color w:val="000000" w:themeColor="text1"/>
          <w:szCs w:val="32"/>
        </w:rPr>
        <w:t>349立方公尺</w:t>
      </w:r>
      <w:r w:rsidR="00C60116" w:rsidRPr="00DA0E43">
        <w:rPr>
          <w:rFonts w:hint="eastAsia"/>
          <w:color w:val="000000" w:themeColor="text1"/>
          <w:szCs w:val="32"/>
        </w:rPr>
        <w:t>，</w:t>
      </w:r>
      <w:r w:rsidR="00683362">
        <w:rPr>
          <w:rFonts w:hint="eastAsia"/>
          <w:color w:val="000000" w:themeColor="text1"/>
          <w:szCs w:val="32"/>
        </w:rPr>
        <w:t>而</w:t>
      </w:r>
      <w:r w:rsidR="00683362" w:rsidRPr="00DA0E43">
        <w:rPr>
          <w:rFonts w:hint="eastAsia"/>
          <w:color w:val="000000" w:themeColor="text1"/>
          <w:szCs w:val="32"/>
        </w:rPr>
        <w:t>水土保持計畫</w:t>
      </w:r>
      <w:r w:rsidR="00C60116" w:rsidRPr="00DA0E43">
        <w:rPr>
          <w:rFonts w:hint="eastAsia"/>
          <w:color w:val="000000" w:themeColor="text1"/>
          <w:szCs w:val="32"/>
        </w:rPr>
        <w:t>第1次變更設計</w:t>
      </w:r>
      <w:r w:rsidR="00806383" w:rsidRPr="00DA0E43">
        <w:rPr>
          <w:rFonts w:hint="eastAsia"/>
          <w:color w:val="000000" w:themeColor="text1"/>
          <w:szCs w:val="32"/>
        </w:rPr>
        <w:t>主要係</w:t>
      </w:r>
      <w:r w:rsidR="00C60116" w:rsidRPr="00DA0E43">
        <w:rPr>
          <w:rFonts w:hint="eastAsia"/>
          <w:color w:val="000000" w:themeColor="text1"/>
          <w:szCs w:val="32"/>
        </w:rPr>
        <w:t>配合閻錫山墓園辦理變更、道路移位、土地利用整地高程</w:t>
      </w:r>
      <w:r w:rsidR="00683362">
        <w:rPr>
          <w:rFonts w:hint="eastAsia"/>
          <w:color w:val="000000" w:themeColor="text1"/>
          <w:szCs w:val="32"/>
        </w:rPr>
        <w:t>；</w:t>
      </w:r>
      <w:r w:rsidR="00C60116" w:rsidRPr="00DA0E43">
        <w:rPr>
          <w:rFonts w:hint="eastAsia"/>
          <w:color w:val="000000" w:themeColor="text1"/>
          <w:szCs w:val="32"/>
        </w:rPr>
        <w:t>第2次變更設計</w:t>
      </w:r>
      <w:r w:rsidR="00806383" w:rsidRPr="00DA0E43">
        <w:rPr>
          <w:rFonts w:hint="eastAsia"/>
          <w:color w:val="000000" w:themeColor="text1"/>
          <w:szCs w:val="32"/>
        </w:rPr>
        <w:t>則將</w:t>
      </w:r>
      <w:r w:rsidR="00C60116" w:rsidRPr="00DA0E43">
        <w:rPr>
          <w:rFonts w:hint="eastAsia"/>
          <w:color w:val="000000" w:themeColor="text1"/>
          <w:szCs w:val="32"/>
        </w:rPr>
        <w:t>9條6米巷道納入規劃檢討</w:t>
      </w:r>
      <w:r w:rsidR="00806383" w:rsidRPr="007307D1">
        <w:rPr>
          <w:rFonts w:hint="eastAsia"/>
          <w:color w:val="000000" w:themeColor="text1"/>
          <w:szCs w:val="32"/>
        </w:rPr>
        <w:t>（詳述於</w:t>
      </w:r>
      <w:r w:rsidR="0005146A" w:rsidRPr="007307D1">
        <w:rPr>
          <w:rFonts w:hint="eastAsia"/>
          <w:color w:val="000000" w:themeColor="text1"/>
          <w:szCs w:val="32"/>
        </w:rPr>
        <w:t>後</w:t>
      </w:r>
      <w:r w:rsidR="00806383" w:rsidRPr="007307D1">
        <w:rPr>
          <w:rFonts w:hint="eastAsia"/>
          <w:color w:val="000000" w:themeColor="text1"/>
          <w:szCs w:val="32"/>
        </w:rPr>
        <w:t>調查意見二）</w:t>
      </w:r>
      <w:r w:rsidR="00C60116" w:rsidRPr="00DA0E43">
        <w:rPr>
          <w:rFonts w:hint="eastAsia"/>
          <w:color w:val="000000" w:themeColor="text1"/>
          <w:szCs w:val="32"/>
        </w:rPr>
        <w:t>。</w:t>
      </w:r>
      <w:r w:rsidR="00C60116" w:rsidRPr="00DA0E43">
        <w:rPr>
          <w:rFonts w:hAnsi="標楷體"/>
          <w:color w:val="000000" w:themeColor="text1"/>
          <w:kern w:val="0"/>
          <w:szCs w:val="32"/>
        </w:rPr>
        <w:t>因</w:t>
      </w:r>
      <w:r w:rsidR="00C60116" w:rsidRPr="00DA0E43">
        <w:rPr>
          <w:rFonts w:hint="eastAsia"/>
          <w:color w:val="000000" w:themeColor="text1"/>
          <w:szCs w:val="32"/>
        </w:rPr>
        <w:t>水土保持計畫土石方量</w:t>
      </w:r>
      <w:r w:rsidR="00C60116" w:rsidRPr="00DA0E43">
        <w:rPr>
          <w:rFonts w:hAnsi="標楷體"/>
          <w:color w:val="000000" w:themeColor="text1"/>
          <w:kern w:val="0"/>
          <w:szCs w:val="32"/>
        </w:rPr>
        <w:t>與原通過之環境影響說明書25萬立方公尺不同</w:t>
      </w:r>
      <w:r w:rsidR="00C60116" w:rsidRPr="00DA0E43">
        <w:rPr>
          <w:rFonts w:hAnsi="標楷體" w:hint="eastAsia"/>
          <w:color w:val="000000" w:themeColor="text1"/>
          <w:kern w:val="0"/>
          <w:szCs w:val="32"/>
        </w:rPr>
        <w:t>，</w:t>
      </w:r>
      <w:proofErr w:type="gramStart"/>
      <w:r w:rsidR="00C60116" w:rsidRPr="00DA0E43">
        <w:rPr>
          <w:rFonts w:hint="eastAsia"/>
        </w:rPr>
        <w:t>該府環評</w:t>
      </w:r>
      <w:proofErr w:type="gramEnd"/>
      <w:r w:rsidR="00C60116" w:rsidRPr="00DA0E43">
        <w:rPr>
          <w:rFonts w:hint="eastAsia"/>
        </w:rPr>
        <w:t>會第67次會議（97年3月召開）</w:t>
      </w:r>
      <w:proofErr w:type="gramStart"/>
      <w:r w:rsidR="00C60116" w:rsidRPr="00DA0E43">
        <w:rPr>
          <w:rFonts w:hint="eastAsia"/>
        </w:rPr>
        <w:t>就土石方</w:t>
      </w:r>
      <w:proofErr w:type="gramEnd"/>
      <w:r w:rsidR="00C60116" w:rsidRPr="00DA0E43">
        <w:rPr>
          <w:rFonts w:hint="eastAsia"/>
        </w:rPr>
        <w:t>量變更事宜決議，要求開發單位先提送變更內容對照表至委員會審查，並說明其變更內容及原因，委員會討論後再行決定是否改以差異分析報告提出變更。同年7月臺北市政府環評會第73次會議決議：「土石方變更內容對照表修正後通過」。</w:t>
      </w:r>
      <w:bookmarkEnd w:id="61"/>
      <w:bookmarkEnd w:id="62"/>
    </w:p>
    <w:p w:rsidR="00550BAE" w:rsidRPr="007E4F31" w:rsidRDefault="00C60116" w:rsidP="00550BAE">
      <w:pPr>
        <w:pStyle w:val="3"/>
        <w:rPr>
          <w:color w:val="FF0000"/>
          <w:sz w:val="24"/>
          <w:szCs w:val="24"/>
        </w:rPr>
      </w:pPr>
      <w:bookmarkStart w:id="64" w:name="_Toc18594744"/>
      <w:bookmarkStart w:id="65" w:name="_Toc18675680"/>
      <w:r w:rsidRPr="007307D1">
        <w:rPr>
          <w:rFonts w:hint="eastAsia"/>
          <w:color w:val="000000" w:themeColor="text1"/>
          <w:szCs w:val="32"/>
        </w:rPr>
        <w:t>查</w:t>
      </w:r>
      <w:r w:rsidR="0023332D" w:rsidRPr="007307D1">
        <w:rPr>
          <w:rFonts w:hint="eastAsia"/>
          <w:color w:val="000000" w:themeColor="text1"/>
          <w:szCs w:val="32"/>
        </w:rPr>
        <w:t>部分民間團體</w:t>
      </w:r>
      <w:r w:rsidRPr="007307D1">
        <w:rPr>
          <w:rFonts w:hAnsi="標楷體" w:hint="eastAsia"/>
          <w:color w:val="000000" w:themeColor="text1"/>
          <w:szCs w:val="32"/>
        </w:rPr>
        <w:t>因不服</w:t>
      </w:r>
      <w:r w:rsidRPr="007307D1">
        <w:rPr>
          <w:rFonts w:hint="eastAsia"/>
          <w:color w:val="000000" w:themeColor="text1"/>
          <w:szCs w:val="32"/>
        </w:rPr>
        <w:t>前揭</w:t>
      </w:r>
      <w:r w:rsidRPr="007307D1">
        <w:rPr>
          <w:rFonts w:hint="eastAsia"/>
          <w:color w:val="000000" w:themeColor="text1"/>
        </w:rPr>
        <w:t>臺北市政府環評會第73次會議決議</w:t>
      </w:r>
      <w:r w:rsidRPr="007307D1">
        <w:rPr>
          <w:rFonts w:hAnsi="標楷體" w:hint="eastAsia"/>
          <w:color w:val="000000" w:themeColor="text1"/>
          <w:szCs w:val="32"/>
        </w:rPr>
        <w:t>，乃提起行政訴訟，經</w:t>
      </w:r>
      <w:proofErr w:type="gramStart"/>
      <w:r w:rsidRPr="007307D1">
        <w:rPr>
          <w:rFonts w:hint="eastAsia"/>
          <w:color w:val="000000" w:themeColor="text1"/>
        </w:rPr>
        <w:t>臺</w:t>
      </w:r>
      <w:proofErr w:type="gramEnd"/>
      <w:r w:rsidRPr="007307D1">
        <w:rPr>
          <w:rFonts w:hint="eastAsia"/>
          <w:color w:val="000000" w:themeColor="text1"/>
        </w:rPr>
        <w:t>北高等行政法院以</w:t>
      </w:r>
      <w:proofErr w:type="gramStart"/>
      <w:r w:rsidRPr="007307D1">
        <w:rPr>
          <w:rFonts w:hint="eastAsia"/>
          <w:color w:val="000000" w:themeColor="text1"/>
        </w:rPr>
        <w:t>100</w:t>
      </w:r>
      <w:proofErr w:type="gramEnd"/>
      <w:r w:rsidRPr="007307D1">
        <w:rPr>
          <w:rFonts w:hint="eastAsia"/>
          <w:color w:val="000000" w:themeColor="text1"/>
        </w:rPr>
        <w:t>年度訴更一字第184號判決，撤銷前揭97年7月7日環境影響評估審查委員會第73次作成之會議決議：「本案變更內容對照表修正後通過」。</w:t>
      </w:r>
      <w:r w:rsidRPr="007307D1">
        <w:rPr>
          <w:rFonts w:hint="eastAsia"/>
          <w:color w:val="000000" w:themeColor="text1"/>
          <w:szCs w:val="32"/>
        </w:rPr>
        <w:t>臺北市政府對於</w:t>
      </w:r>
      <w:proofErr w:type="gramStart"/>
      <w:r w:rsidRPr="007307D1">
        <w:rPr>
          <w:rFonts w:hint="eastAsia"/>
          <w:color w:val="000000" w:themeColor="text1"/>
          <w:szCs w:val="32"/>
        </w:rPr>
        <w:t>臺</w:t>
      </w:r>
      <w:proofErr w:type="gramEnd"/>
      <w:r w:rsidRPr="007307D1">
        <w:rPr>
          <w:rFonts w:hint="eastAsia"/>
          <w:color w:val="000000" w:themeColor="text1"/>
          <w:szCs w:val="32"/>
        </w:rPr>
        <w:t>北高等行政法院</w:t>
      </w:r>
      <w:proofErr w:type="gramStart"/>
      <w:r w:rsidRPr="007307D1">
        <w:rPr>
          <w:rFonts w:hint="eastAsia"/>
          <w:color w:val="000000" w:themeColor="text1"/>
          <w:szCs w:val="32"/>
        </w:rPr>
        <w:t>100</w:t>
      </w:r>
      <w:proofErr w:type="gramEnd"/>
      <w:r w:rsidRPr="007307D1">
        <w:rPr>
          <w:rFonts w:hint="eastAsia"/>
          <w:color w:val="000000" w:themeColor="text1"/>
          <w:szCs w:val="32"/>
        </w:rPr>
        <w:t>年度訴更一字第184號判決，再向最高行政法院提起上訴，經</w:t>
      </w:r>
      <w:r w:rsidRPr="007307D1">
        <w:rPr>
          <w:rFonts w:hAnsi="標楷體" w:hint="eastAsia"/>
          <w:color w:val="000000" w:themeColor="text1"/>
          <w:szCs w:val="32"/>
        </w:rPr>
        <w:t>最高行政法院於103年2月13日以</w:t>
      </w:r>
      <w:proofErr w:type="gramStart"/>
      <w:r w:rsidRPr="007307D1">
        <w:rPr>
          <w:rFonts w:hAnsi="標楷體" w:hint="eastAsia"/>
          <w:color w:val="000000" w:themeColor="text1"/>
          <w:szCs w:val="32"/>
        </w:rPr>
        <w:t>103</w:t>
      </w:r>
      <w:proofErr w:type="gramEnd"/>
      <w:r w:rsidRPr="007307D1">
        <w:rPr>
          <w:rFonts w:hAnsi="標楷體" w:hint="eastAsia"/>
          <w:color w:val="000000" w:themeColor="text1"/>
          <w:szCs w:val="32"/>
        </w:rPr>
        <w:t>年度判字第66號判決駁回該府上訴確定在案。</w:t>
      </w:r>
      <w:proofErr w:type="gramStart"/>
      <w:r w:rsidRPr="00DA0E43">
        <w:rPr>
          <w:rFonts w:hAnsi="標楷體" w:hint="eastAsia"/>
          <w:color w:val="000000" w:themeColor="text1"/>
          <w:szCs w:val="32"/>
        </w:rPr>
        <w:t>嗣</w:t>
      </w:r>
      <w:proofErr w:type="gramEnd"/>
      <w:r w:rsidRPr="00DA0E43">
        <w:rPr>
          <w:rFonts w:hint="eastAsia"/>
          <w:color w:val="000000" w:themeColor="text1"/>
          <w:szCs w:val="32"/>
        </w:rPr>
        <w:t>臺北市政府於103年</w:t>
      </w:r>
      <w:r w:rsidRPr="009B5374">
        <w:rPr>
          <w:rFonts w:hint="eastAsia"/>
          <w:color w:val="000000" w:themeColor="text1"/>
          <w:szCs w:val="32"/>
        </w:rPr>
        <w:t>3月間召開臺北市政府</w:t>
      </w:r>
      <w:r w:rsidRPr="009B5374">
        <w:rPr>
          <w:rFonts w:hint="eastAsia"/>
          <w:color w:val="000000" w:themeColor="text1"/>
        </w:rPr>
        <w:t>環評會</w:t>
      </w:r>
      <w:r w:rsidRPr="009B5374">
        <w:rPr>
          <w:rFonts w:hint="eastAsia"/>
          <w:color w:val="000000" w:themeColor="text1"/>
          <w:szCs w:val="32"/>
        </w:rPr>
        <w:t>136次會議，該次會議報告案為：「最高行政法院</w:t>
      </w:r>
      <w:proofErr w:type="gramStart"/>
      <w:r w:rsidRPr="009B5374">
        <w:rPr>
          <w:rFonts w:hint="eastAsia"/>
          <w:color w:val="000000" w:themeColor="text1"/>
          <w:szCs w:val="32"/>
        </w:rPr>
        <w:t>103</w:t>
      </w:r>
      <w:proofErr w:type="gramEnd"/>
      <w:r w:rsidRPr="009B5374">
        <w:rPr>
          <w:rFonts w:hint="eastAsia"/>
          <w:color w:val="000000" w:themeColor="text1"/>
          <w:szCs w:val="32"/>
        </w:rPr>
        <w:t>年度判字第66號判決</w:t>
      </w:r>
      <w:r w:rsidRPr="009B5374">
        <w:rPr>
          <w:rFonts w:hint="eastAsia"/>
          <w:color w:val="000000" w:themeColor="text1"/>
          <w:szCs w:val="32"/>
        </w:rPr>
        <w:lastRenderedPageBreak/>
        <w:t>撤銷『住六之六土石方量變更內容對照表』處分，報請公</w:t>
      </w:r>
      <w:proofErr w:type="gramStart"/>
      <w:r w:rsidRPr="009B5374">
        <w:rPr>
          <w:rFonts w:hint="eastAsia"/>
          <w:color w:val="000000" w:themeColor="text1"/>
          <w:szCs w:val="32"/>
        </w:rPr>
        <w:t>鑑</w:t>
      </w:r>
      <w:proofErr w:type="gramEnd"/>
      <w:r w:rsidRPr="009B5374">
        <w:rPr>
          <w:rFonts w:hint="eastAsia"/>
          <w:color w:val="000000" w:themeColor="text1"/>
          <w:szCs w:val="32"/>
        </w:rPr>
        <w:t>」。決議為：「依最高行政法院判決，請開發單位辦理環境影響差異分析報告相關作業。」</w:t>
      </w:r>
      <w:r w:rsidRPr="009B5374">
        <w:rPr>
          <w:rFonts w:hAnsi="標楷體" w:hint="eastAsia"/>
          <w:color w:val="000000" w:themeColor="text1"/>
          <w:szCs w:val="32"/>
        </w:rPr>
        <w:t>重劃會依前開會議決議，於106年檢送「臺北市士林區住六之六自辦市地重劃區第2次環境影響差異分析報告（土石方量變更）」，案經臺北市政府於106年5月19日召開第182次環評審查會議、107年1月間召開第191次會議審查，因191次會議程序因民眾抗議中斷，尚無具體結論。</w:t>
      </w:r>
      <w:bookmarkStart w:id="66" w:name="_Toc18513654"/>
      <w:r w:rsidR="00A959D4" w:rsidRPr="009B5374">
        <w:rPr>
          <w:rFonts w:hAnsi="標楷體" w:hint="eastAsia"/>
          <w:color w:val="000000" w:themeColor="text1"/>
          <w:szCs w:val="32"/>
        </w:rPr>
        <w:t>前揭重要歷程如表8所示</w:t>
      </w:r>
      <w:bookmarkEnd w:id="63"/>
      <w:bookmarkEnd w:id="64"/>
      <w:bookmarkEnd w:id="65"/>
      <w:bookmarkEnd w:id="66"/>
      <w:r w:rsidR="001439B4" w:rsidRPr="009B5374">
        <w:rPr>
          <w:rFonts w:hAnsi="標楷體" w:hint="eastAsia"/>
          <w:color w:val="000000" w:themeColor="text1"/>
          <w:szCs w:val="32"/>
        </w:rPr>
        <w:t>。</w:t>
      </w:r>
      <w:r w:rsidR="00550BAE" w:rsidRPr="007E4F31">
        <w:rPr>
          <w:color w:val="FF0000"/>
          <w:sz w:val="24"/>
          <w:szCs w:val="24"/>
        </w:rPr>
        <w:t xml:space="preserve"> </w:t>
      </w:r>
    </w:p>
    <w:p w:rsidR="004F7468" w:rsidRPr="00DA0E43" w:rsidRDefault="004F7468" w:rsidP="003C427B">
      <w:pPr>
        <w:pStyle w:val="3"/>
        <w:rPr>
          <w:sz w:val="28"/>
          <w:szCs w:val="28"/>
        </w:rPr>
      </w:pPr>
      <w:bookmarkStart w:id="67" w:name="_Toc18594815"/>
      <w:bookmarkStart w:id="68" w:name="_Toc18675751"/>
      <w:bookmarkStart w:id="69" w:name="_Toc18513725"/>
      <w:r w:rsidRPr="007307D1">
        <w:rPr>
          <w:rFonts w:hint="eastAsia"/>
          <w:color w:val="000000" w:themeColor="text1"/>
        </w:rPr>
        <w:t>查</w:t>
      </w:r>
      <w:proofErr w:type="gramStart"/>
      <w:r w:rsidRPr="007307D1">
        <w:rPr>
          <w:rFonts w:hint="eastAsia"/>
          <w:color w:val="000000" w:themeColor="text1"/>
        </w:rPr>
        <w:t>臺</w:t>
      </w:r>
      <w:proofErr w:type="gramEnd"/>
      <w:r w:rsidRPr="007307D1">
        <w:rPr>
          <w:rFonts w:hint="eastAsia"/>
          <w:color w:val="000000" w:themeColor="text1"/>
        </w:rPr>
        <w:t>北高等行政法院</w:t>
      </w:r>
      <w:proofErr w:type="gramStart"/>
      <w:r w:rsidRPr="007307D1">
        <w:rPr>
          <w:rFonts w:hint="eastAsia"/>
          <w:color w:val="000000" w:themeColor="text1"/>
        </w:rPr>
        <w:t>100</w:t>
      </w:r>
      <w:proofErr w:type="gramEnd"/>
      <w:r w:rsidRPr="007307D1">
        <w:rPr>
          <w:rFonts w:hint="eastAsia"/>
          <w:color w:val="000000" w:themeColor="text1"/>
        </w:rPr>
        <w:t>年度訴更一字第184號判決撤銷臺北市政府環評會第73次會議決議：「本案變更內容對照表修正後通過」</w:t>
      </w:r>
      <w:r w:rsidRPr="007307D1">
        <w:rPr>
          <w:rFonts w:hAnsi="標楷體" w:hint="eastAsia"/>
          <w:color w:val="000000" w:themeColor="text1"/>
          <w:szCs w:val="32"/>
        </w:rPr>
        <w:t>及97年8月8日</w:t>
      </w:r>
      <w:proofErr w:type="gramStart"/>
      <w:r w:rsidRPr="007307D1">
        <w:rPr>
          <w:rFonts w:hAnsi="標楷體" w:hint="eastAsia"/>
          <w:color w:val="000000" w:themeColor="text1"/>
          <w:szCs w:val="32"/>
        </w:rPr>
        <w:t>府環四</w:t>
      </w:r>
      <w:proofErr w:type="gramEnd"/>
      <w:r w:rsidRPr="007307D1">
        <w:rPr>
          <w:rFonts w:hAnsi="標楷體" w:hint="eastAsia"/>
          <w:color w:val="000000" w:themeColor="text1"/>
          <w:szCs w:val="32"/>
        </w:rPr>
        <w:t>字</w:t>
      </w:r>
      <w:proofErr w:type="gramStart"/>
      <w:r w:rsidRPr="007307D1">
        <w:rPr>
          <w:rFonts w:hAnsi="標楷體" w:hint="eastAsia"/>
          <w:color w:val="000000" w:themeColor="text1"/>
          <w:szCs w:val="32"/>
        </w:rPr>
        <w:t>第09734653000號函土石方</w:t>
      </w:r>
      <w:proofErr w:type="gramEnd"/>
      <w:r w:rsidRPr="007307D1">
        <w:rPr>
          <w:rFonts w:hAnsi="標楷體" w:hint="eastAsia"/>
          <w:color w:val="000000" w:themeColor="text1"/>
          <w:szCs w:val="32"/>
        </w:rPr>
        <w:t>量變更內容對照表通過之處分，而最高行政法院</w:t>
      </w:r>
      <w:proofErr w:type="gramStart"/>
      <w:r w:rsidRPr="007307D1">
        <w:rPr>
          <w:rFonts w:hAnsi="標楷體" w:hint="eastAsia"/>
          <w:color w:val="000000" w:themeColor="text1"/>
          <w:szCs w:val="32"/>
        </w:rPr>
        <w:t>103</w:t>
      </w:r>
      <w:proofErr w:type="gramEnd"/>
      <w:r w:rsidRPr="007307D1">
        <w:rPr>
          <w:rFonts w:hAnsi="標楷體" w:hint="eastAsia"/>
          <w:color w:val="000000" w:themeColor="text1"/>
          <w:szCs w:val="32"/>
        </w:rPr>
        <w:t>年度判字第66號判決，係維持</w:t>
      </w:r>
      <w:proofErr w:type="gramStart"/>
      <w:r w:rsidRPr="007307D1">
        <w:rPr>
          <w:rFonts w:hint="eastAsia"/>
          <w:color w:val="000000" w:themeColor="text1"/>
        </w:rPr>
        <w:t>臺</w:t>
      </w:r>
      <w:proofErr w:type="gramEnd"/>
      <w:r w:rsidRPr="007307D1">
        <w:rPr>
          <w:rFonts w:hint="eastAsia"/>
          <w:color w:val="000000" w:themeColor="text1"/>
        </w:rPr>
        <w:t>北高等行政法院</w:t>
      </w:r>
      <w:r w:rsidRPr="007307D1">
        <w:rPr>
          <w:rFonts w:hAnsi="標楷體" w:hint="eastAsia"/>
          <w:color w:val="000000" w:themeColor="text1"/>
          <w:szCs w:val="32"/>
        </w:rPr>
        <w:t>原判決，駁回臺北市政府上訴，並未撤銷85年8月7日(85)北市</w:t>
      </w:r>
      <w:proofErr w:type="gramStart"/>
      <w:r w:rsidRPr="007307D1">
        <w:rPr>
          <w:rFonts w:hAnsi="標楷體" w:hint="eastAsia"/>
          <w:color w:val="000000" w:themeColor="text1"/>
          <w:szCs w:val="32"/>
        </w:rPr>
        <w:t>環秘(一</w:t>
      </w:r>
      <w:proofErr w:type="gramEnd"/>
      <w:r w:rsidRPr="007307D1">
        <w:rPr>
          <w:rFonts w:hAnsi="標楷體" w:hint="eastAsia"/>
          <w:color w:val="000000" w:themeColor="text1"/>
          <w:szCs w:val="32"/>
        </w:rPr>
        <w:t>)字第29065-1號公告之本案環境影響說明書審查結論，尚無疑義。因本案環境影響說明書審查結論仍屬有效，臺北市政府請開發單位仍應依</w:t>
      </w:r>
      <w:proofErr w:type="gramStart"/>
      <w:r w:rsidRPr="007307D1">
        <w:rPr>
          <w:rFonts w:hAnsi="標楷體" w:hint="eastAsia"/>
          <w:color w:val="000000" w:themeColor="text1"/>
          <w:szCs w:val="32"/>
        </w:rPr>
        <w:t>前揭環評</w:t>
      </w:r>
      <w:proofErr w:type="gramEnd"/>
      <w:r w:rsidRPr="007307D1">
        <w:rPr>
          <w:rFonts w:hAnsi="標楷體" w:hint="eastAsia"/>
          <w:color w:val="000000" w:themeColor="text1"/>
          <w:szCs w:val="32"/>
        </w:rPr>
        <w:t>法第16條及同法施行細則第37條規定，</w:t>
      </w:r>
      <w:proofErr w:type="gramStart"/>
      <w:r w:rsidRPr="007307D1">
        <w:rPr>
          <w:rFonts w:hAnsi="標楷體" w:hint="eastAsia"/>
          <w:color w:val="000000" w:themeColor="text1"/>
          <w:szCs w:val="32"/>
        </w:rPr>
        <w:t>就土石方</w:t>
      </w:r>
      <w:proofErr w:type="gramEnd"/>
      <w:r w:rsidRPr="007307D1">
        <w:rPr>
          <w:rFonts w:hAnsi="標楷體" w:hint="eastAsia"/>
          <w:color w:val="000000" w:themeColor="text1"/>
          <w:szCs w:val="32"/>
        </w:rPr>
        <w:t>數量差異部分申請變更原環境影響說明書內容，</w:t>
      </w:r>
      <w:proofErr w:type="gramStart"/>
      <w:r w:rsidRPr="007307D1">
        <w:rPr>
          <w:rFonts w:hAnsi="標楷體" w:hint="eastAsia"/>
          <w:color w:val="000000" w:themeColor="text1"/>
          <w:szCs w:val="32"/>
        </w:rPr>
        <w:t>爰該府</w:t>
      </w:r>
      <w:r w:rsidRPr="007307D1">
        <w:rPr>
          <w:rFonts w:hint="eastAsia"/>
          <w:color w:val="000000" w:themeColor="text1"/>
        </w:rPr>
        <w:t>環評</w:t>
      </w:r>
      <w:proofErr w:type="gramEnd"/>
      <w:r w:rsidRPr="007307D1">
        <w:rPr>
          <w:rFonts w:hint="eastAsia"/>
          <w:color w:val="000000" w:themeColor="text1"/>
        </w:rPr>
        <w:t>會</w:t>
      </w:r>
      <w:r w:rsidRPr="007307D1">
        <w:rPr>
          <w:rFonts w:hAnsi="標楷體" w:hint="eastAsia"/>
          <w:color w:val="000000" w:themeColor="text1"/>
          <w:szCs w:val="32"/>
        </w:rPr>
        <w:t>第136次會議決議，請開發單位辦理環境影響差異分析報告相關作業等，尚難謂</w:t>
      </w:r>
      <w:proofErr w:type="gramStart"/>
      <w:r w:rsidRPr="007307D1">
        <w:rPr>
          <w:rFonts w:hAnsi="標楷體" w:hint="eastAsia"/>
          <w:color w:val="000000" w:themeColor="text1"/>
          <w:szCs w:val="32"/>
        </w:rPr>
        <w:t>有違環評</w:t>
      </w:r>
      <w:proofErr w:type="gramEnd"/>
      <w:r w:rsidRPr="007307D1">
        <w:rPr>
          <w:rFonts w:hAnsi="標楷體" w:hint="eastAsia"/>
          <w:color w:val="000000" w:themeColor="text1"/>
          <w:szCs w:val="32"/>
        </w:rPr>
        <w:t>法相關規定。</w:t>
      </w:r>
      <w:bookmarkEnd w:id="67"/>
      <w:bookmarkEnd w:id="68"/>
    </w:p>
    <w:p w:rsidR="00D65270" w:rsidRDefault="00A959D4" w:rsidP="003C427B">
      <w:pPr>
        <w:pStyle w:val="3"/>
        <w:rPr>
          <w:rFonts w:hAnsi="標楷體"/>
          <w:color w:val="FF0000"/>
          <w:szCs w:val="32"/>
        </w:rPr>
      </w:pPr>
      <w:bookmarkStart w:id="70" w:name="_Toc18594816"/>
      <w:bookmarkStart w:id="71" w:name="_Toc18675752"/>
      <w:r w:rsidRPr="00DA0E43">
        <w:rPr>
          <w:rFonts w:hAnsi="標楷體" w:hint="eastAsia"/>
          <w:color w:val="000000" w:themeColor="text1"/>
          <w:szCs w:val="32"/>
        </w:rPr>
        <w:t>綜上，</w:t>
      </w:r>
      <w:r w:rsidRPr="007307D1">
        <w:rPr>
          <w:rFonts w:hint="eastAsia"/>
          <w:color w:val="000000" w:themeColor="text1"/>
        </w:rPr>
        <w:t>臺北市</w:t>
      </w:r>
      <w:r w:rsidRPr="007307D1">
        <w:rPr>
          <w:rFonts w:hAnsi="標楷體" w:hint="eastAsia"/>
          <w:color w:val="000000" w:themeColor="text1"/>
          <w:szCs w:val="32"/>
        </w:rPr>
        <w:t>政府前於85年間審查通過之「臺北市士林區住六之六地區細部計畫暨配合修訂主要計畫」環境影響說明書，民間團體</w:t>
      </w:r>
      <w:r w:rsidRPr="007307D1">
        <w:rPr>
          <w:rFonts w:hint="eastAsia"/>
          <w:color w:val="000000" w:themeColor="text1"/>
        </w:rPr>
        <w:t>於94年間</w:t>
      </w:r>
      <w:r w:rsidRPr="007307D1">
        <w:rPr>
          <w:rFonts w:hAnsi="標楷體" w:hint="eastAsia"/>
          <w:color w:val="000000" w:themeColor="text1"/>
          <w:szCs w:val="32"/>
        </w:rPr>
        <w:t>提</w:t>
      </w:r>
      <w:r w:rsidRPr="007307D1">
        <w:rPr>
          <w:rFonts w:hint="eastAsia"/>
          <w:color w:val="000000" w:themeColor="text1"/>
        </w:rPr>
        <w:t>起無效訴</w:t>
      </w:r>
      <w:r w:rsidR="00884C96">
        <w:rPr>
          <w:rFonts w:hint="eastAsia"/>
          <w:color w:val="000000" w:themeColor="text1"/>
        </w:rPr>
        <w:t>訟</w:t>
      </w:r>
      <w:r w:rsidRPr="007307D1">
        <w:rPr>
          <w:rFonts w:hint="eastAsia"/>
          <w:color w:val="000000" w:themeColor="text1"/>
        </w:rPr>
        <w:t>，經</w:t>
      </w:r>
      <w:r w:rsidRPr="007307D1">
        <w:rPr>
          <w:rFonts w:hAnsi="標楷體" w:hint="eastAsia"/>
          <w:color w:val="000000" w:themeColor="text1"/>
          <w:szCs w:val="32"/>
        </w:rPr>
        <w:t>最高行政法院</w:t>
      </w:r>
      <w:proofErr w:type="gramStart"/>
      <w:r w:rsidRPr="007307D1">
        <w:rPr>
          <w:rFonts w:hAnsi="標楷體" w:hint="eastAsia"/>
          <w:color w:val="000000" w:themeColor="text1"/>
          <w:szCs w:val="32"/>
        </w:rPr>
        <w:t>103</w:t>
      </w:r>
      <w:proofErr w:type="gramEnd"/>
      <w:r w:rsidRPr="007307D1">
        <w:rPr>
          <w:rFonts w:hAnsi="標楷體" w:hint="eastAsia"/>
          <w:color w:val="000000" w:themeColor="text1"/>
          <w:szCs w:val="32"/>
        </w:rPr>
        <w:t>年度判字第66號判決駁回</w:t>
      </w:r>
      <w:r w:rsidRPr="007307D1">
        <w:rPr>
          <w:rFonts w:hint="eastAsia"/>
          <w:color w:val="000000" w:themeColor="text1"/>
        </w:rPr>
        <w:t>臺北市</w:t>
      </w:r>
      <w:r w:rsidRPr="007307D1">
        <w:rPr>
          <w:rFonts w:hAnsi="標楷體" w:hint="eastAsia"/>
          <w:color w:val="000000" w:themeColor="text1"/>
          <w:szCs w:val="32"/>
        </w:rPr>
        <w:t>政府上訴確定，經此判決民間團體</w:t>
      </w:r>
      <w:proofErr w:type="gramStart"/>
      <w:r w:rsidRPr="007307D1">
        <w:rPr>
          <w:rFonts w:hAnsi="標楷體" w:hint="eastAsia"/>
          <w:color w:val="000000" w:themeColor="text1"/>
          <w:szCs w:val="32"/>
        </w:rPr>
        <w:t>因認</w:t>
      </w:r>
      <w:r w:rsidRPr="007307D1">
        <w:rPr>
          <w:rFonts w:hint="eastAsia"/>
          <w:color w:val="000000" w:themeColor="text1"/>
        </w:rPr>
        <w:t>依環境</w:t>
      </w:r>
      <w:proofErr w:type="gramEnd"/>
      <w:r w:rsidRPr="007307D1">
        <w:rPr>
          <w:rFonts w:hint="eastAsia"/>
          <w:color w:val="000000" w:themeColor="text1"/>
        </w:rPr>
        <w:t>影響評估法相關規定</w:t>
      </w:r>
      <w:proofErr w:type="gramStart"/>
      <w:r w:rsidRPr="007307D1">
        <w:rPr>
          <w:rFonts w:hint="eastAsia"/>
          <w:color w:val="000000" w:themeColor="text1"/>
        </w:rPr>
        <w:t>前揭環評審</w:t>
      </w:r>
      <w:proofErr w:type="gramEnd"/>
      <w:r w:rsidR="00550BAE" w:rsidRPr="009B5374">
        <w:rPr>
          <w:rFonts w:hint="eastAsia"/>
          <w:color w:val="000000" w:themeColor="text1"/>
        </w:rPr>
        <w:t>查</w:t>
      </w:r>
      <w:r w:rsidRPr="00DA0E43">
        <w:rPr>
          <w:rFonts w:hint="eastAsia"/>
          <w:color w:val="000000" w:themeColor="text1"/>
        </w:rPr>
        <w:t>結論</w:t>
      </w:r>
      <w:r w:rsidRPr="00DA0E43">
        <w:rPr>
          <w:rFonts w:hAnsi="標楷體" w:hint="eastAsia"/>
          <w:color w:val="000000" w:themeColor="text1"/>
          <w:szCs w:val="32"/>
        </w:rPr>
        <w:t>應已</w:t>
      </w:r>
      <w:r w:rsidRPr="00DA0E43">
        <w:rPr>
          <w:rFonts w:hAnsi="標楷體" w:hint="eastAsia"/>
          <w:color w:val="000000" w:themeColor="text1"/>
          <w:szCs w:val="32"/>
        </w:rPr>
        <w:lastRenderedPageBreak/>
        <w:t>自始無效</w:t>
      </w:r>
      <w:r w:rsidRPr="007307D1">
        <w:rPr>
          <w:rFonts w:hAnsi="標楷體" w:hint="eastAsia"/>
          <w:szCs w:val="32"/>
        </w:rPr>
        <w:t>，經</w:t>
      </w:r>
      <w:r w:rsidRPr="007307D1">
        <w:rPr>
          <w:rFonts w:hint="eastAsia"/>
        </w:rPr>
        <w:t>查</w:t>
      </w:r>
      <w:r w:rsidRPr="007307D1">
        <w:rPr>
          <w:rFonts w:hAnsi="標楷體" w:hint="eastAsia"/>
        </w:rPr>
        <w:t>與事實有間，</w:t>
      </w:r>
      <w:proofErr w:type="gramStart"/>
      <w:r w:rsidRPr="007307D1">
        <w:rPr>
          <w:rFonts w:hint="eastAsia"/>
        </w:rPr>
        <w:t>容屬誤解</w:t>
      </w:r>
      <w:proofErr w:type="gramEnd"/>
      <w:r w:rsidRPr="007307D1">
        <w:rPr>
          <w:rFonts w:hAnsi="標楷體" w:hint="eastAsia"/>
          <w:szCs w:val="32"/>
        </w:rPr>
        <w:t>，至該</w:t>
      </w:r>
      <w:r w:rsidRPr="007307D1">
        <w:rPr>
          <w:rFonts w:hint="eastAsia"/>
        </w:rPr>
        <w:t>府環境影響評估委員會不應於107年間再決議請開發單位辦理環境影響差異分析報告等節</w:t>
      </w:r>
      <w:r w:rsidR="00471B30" w:rsidRPr="007307D1">
        <w:rPr>
          <w:rFonts w:hint="eastAsia"/>
        </w:rPr>
        <w:t>，</w:t>
      </w:r>
      <w:proofErr w:type="gramStart"/>
      <w:r w:rsidRPr="007307D1">
        <w:rPr>
          <w:rFonts w:hint="eastAsia"/>
        </w:rPr>
        <w:t>亦容有</w:t>
      </w:r>
      <w:proofErr w:type="gramEnd"/>
      <w:r w:rsidRPr="007307D1">
        <w:rPr>
          <w:rFonts w:hint="eastAsia"/>
        </w:rPr>
        <w:t>誤解。</w:t>
      </w:r>
      <w:bookmarkEnd w:id="70"/>
      <w:bookmarkEnd w:id="71"/>
      <w:r w:rsidR="00D6494C" w:rsidRPr="00EA746E">
        <w:rPr>
          <w:rFonts w:hint="eastAsia"/>
          <w:color w:val="000000" w:themeColor="text1"/>
        </w:rPr>
        <w:t>至</w:t>
      </w:r>
      <w:r w:rsidR="00EA369A" w:rsidRPr="00EA746E">
        <w:rPr>
          <w:rFonts w:hint="eastAsia"/>
          <w:color w:val="000000" w:themeColor="text1"/>
        </w:rPr>
        <w:t>於</w:t>
      </w:r>
      <w:r w:rsidR="00D6494C" w:rsidRPr="00EA746E">
        <w:rPr>
          <w:rFonts w:hint="eastAsia"/>
          <w:color w:val="000000" w:themeColor="text1"/>
        </w:rPr>
        <w:t>本案</w:t>
      </w:r>
      <w:r w:rsidR="00B11AD8" w:rsidRPr="00EA746E">
        <w:rPr>
          <w:rFonts w:hint="eastAsia"/>
          <w:color w:val="000000" w:themeColor="text1"/>
        </w:rPr>
        <w:t>可</w:t>
      </w:r>
      <w:r w:rsidR="00D6494C" w:rsidRPr="00EA746E">
        <w:rPr>
          <w:rFonts w:hint="eastAsia"/>
          <w:color w:val="000000" w:themeColor="text1"/>
        </w:rPr>
        <w:t>否續行開發，仍須臺北市</w:t>
      </w:r>
      <w:r w:rsidR="00D6494C" w:rsidRPr="00EA746E">
        <w:rPr>
          <w:rFonts w:hAnsi="標楷體" w:hint="eastAsia"/>
          <w:color w:val="000000" w:themeColor="text1"/>
          <w:szCs w:val="32"/>
        </w:rPr>
        <w:t>政府衡酌各項環境衝擊疑慮</w:t>
      </w:r>
      <w:r w:rsidR="008F4DE4" w:rsidRPr="00EA746E">
        <w:rPr>
          <w:rFonts w:hAnsi="標楷體" w:hint="eastAsia"/>
          <w:color w:val="000000" w:themeColor="text1"/>
          <w:szCs w:val="32"/>
        </w:rPr>
        <w:t>及爭議事項後</w:t>
      </w:r>
      <w:r w:rsidR="00D6494C" w:rsidRPr="00EA746E">
        <w:rPr>
          <w:rFonts w:hAnsi="標楷體" w:hint="eastAsia"/>
          <w:color w:val="000000" w:themeColor="text1"/>
          <w:szCs w:val="32"/>
        </w:rPr>
        <w:t>依法</w:t>
      </w:r>
      <w:r w:rsidR="008F4DE4" w:rsidRPr="00EA746E">
        <w:rPr>
          <w:rFonts w:hAnsi="標楷體" w:hint="eastAsia"/>
          <w:color w:val="000000" w:themeColor="text1"/>
          <w:szCs w:val="32"/>
        </w:rPr>
        <w:t>准駁</w:t>
      </w:r>
      <w:r w:rsidR="00D6494C" w:rsidRPr="00EA746E">
        <w:rPr>
          <w:rFonts w:hAnsi="標楷體" w:hint="eastAsia"/>
          <w:color w:val="000000" w:themeColor="text1"/>
          <w:szCs w:val="32"/>
        </w:rPr>
        <w:t>。</w:t>
      </w:r>
    </w:p>
    <w:p w:rsidR="00D65270" w:rsidRDefault="00D65270">
      <w:pPr>
        <w:widowControl/>
        <w:overflowPunct/>
        <w:autoSpaceDE/>
        <w:autoSpaceDN/>
        <w:jc w:val="left"/>
        <w:rPr>
          <w:rFonts w:hAnsi="標楷體"/>
          <w:bCs/>
          <w:color w:val="FF0000"/>
          <w:kern w:val="32"/>
          <w:szCs w:val="32"/>
        </w:rPr>
      </w:pPr>
      <w:r>
        <w:rPr>
          <w:rFonts w:hAnsi="標楷體"/>
          <w:color w:val="FF0000"/>
          <w:szCs w:val="32"/>
        </w:rPr>
        <w:br w:type="page"/>
      </w:r>
    </w:p>
    <w:p w:rsidR="00550BAE" w:rsidRPr="007307D1" w:rsidRDefault="00550BAE" w:rsidP="00550BAE">
      <w:pPr>
        <w:pStyle w:val="a3"/>
        <w:ind w:left="697" w:hanging="697"/>
      </w:pPr>
      <w:bookmarkStart w:id="72" w:name="_Toc18661029"/>
      <w:r w:rsidRPr="007307D1">
        <w:rPr>
          <w:rFonts w:hAnsi="標楷體" w:hint="eastAsia"/>
        </w:rPr>
        <w:lastRenderedPageBreak/>
        <w:t>臺北市士林區住六之六自辦市地重劃案重要歷程概要表</w:t>
      </w:r>
      <w:bookmarkEnd w:id="72"/>
    </w:p>
    <w:tbl>
      <w:tblPr>
        <w:tblStyle w:val="af6"/>
        <w:tblW w:w="8840" w:type="dxa"/>
        <w:tblInd w:w="108" w:type="dxa"/>
        <w:tblLayout w:type="fixed"/>
        <w:tblLook w:val="04A0" w:firstRow="1" w:lastRow="0" w:firstColumn="1" w:lastColumn="0" w:noHBand="0" w:noVBand="1"/>
      </w:tblPr>
      <w:tblGrid>
        <w:gridCol w:w="2210"/>
        <w:gridCol w:w="1530"/>
        <w:gridCol w:w="3060"/>
        <w:gridCol w:w="2040"/>
      </w:tblGrid>
      <w:tr w:rsidR="00550BAE" w:rsidRPr="007307D1" w:rsidTr="00AC562D">
        <w:tc>
          <w:tcPr>
            <w:tcW w:w="2210" w:type="dxa"/>
            <w:vAlign w:val="center"/>
          </w:tcPr>
          <w:p w:rsidR="00550BAE" w:rsidRPr="007307D1" w:rsidRDefault="00550BAE" w:rsidP="00AC562D">
            <w:pPr>
              <w:pStyle w:val="3"/>
              <w:numPr>
                <w:ilvl w:val="0"/>
                <w:numId w:val="0"/>
              </w:numPr>
              <w:jc w:val="center"/>
              <w:rPr>
                <w:sz w:val="28"/>
                <w:szCs w:val="28"/>
              </w:rPr>
            </w:pPr>
            <w:bookmarkStart w:id="73" w:name="_Toc18513655"/>
            <w:bookmarkStart w:id="74" w:name="_Toc18594745"/>
            <w:bookmarkStart w:id="75" w:name="_Toc18675681"/>
            <w:r w:rsidRPr="007307D1">
              <w:rPr>
                <w:rFonts w:hint="eastAsia"/>
                <w:sz w:val="28"/>
                <w:szCs w:val="28"/>
              </w:rPr>
              <w:t>時間</w:t>
            </w:r>
            <w:bookmarkEnd w:id="73"/>
            <w:bookmarkEnd w:id="74"/>
            <w:bookmarkEnd w:id="75"/>
          </w:p>
        </w:tc>
        <w:tc>
          <w:tcPr>
            <w:tcW w:w="1530" w:type="dxa"/>
            <w:vAlign w:val="center"/>
          </w:tcPr>
          <w:p w:rsidR="00550BAE" w:rsidRPr="007307D1" w:rsidRDefault="00550BAE" w:rsidP="00AC562D">
            <w:pPr>
              <w:pStyle w:val="3"/>
              <w:numPr>
                <w:ilvl w:val="0"/>
                <w:numId w:val="0"/>
              </w:numPr>
              <w:jc w:val="center"/>
              <w:rPr>
                <w:sz w:val="28"/>
                <w:szCs w:val="28"/>
              </w:rPr>
            </w:pPr>
            <w:bookmarkStart w:id="76" w:name="_Toc18513656"/>
            <w:bookmarkStart w:id="77" w:name="_Toc18594746"/>
            <w:bookmarkStart w:id="78" w:name="_Toc18675682"/>
            <w:r w:rsidRPr="007307D1">
              <w:rPr>
                <w:rFonts w:hint="eastAsia"/>
                <w:sz w:val="28"/>
                <w:szCs w:val="28"/>
              </w:rPr>
              <w:t>事件</w:t>
            </w:r>
            <w:bookmarkEnd w:id="76"/>
            <w:bookmarkEnd w:id="77"/>
            <w:bookmarkEnd w:id="78"/>
          </w:p>
        </w:tc>
        <w:tc>
          <w:tcPr>
            <w:tcW w:w="3060" w:type="dxa"/>
            <w:vAlign w:val="center"/>
          </w:tcPr>
          <w:p w:rsidR="00550BAE" w:rsidRPr="009B5374" w:rsidRDefault="00550BAE" w:rsidP="00AC562D">
            <w:pPr>
              <w:pStyle w:val="3"/>
              <w:numPr>
                <w:ilvl w:val="0"/>
                <w:numId w:val="0"/>
              </w:numPr>
              <w:jc w:val="center"/>
              <w:rPr>
                <w:color w:val="000000" w:themeColor="text1"/>
                <w:sz w:val="28"/>
                <w:szCs w:val="28"/>
              </w:rPr>
            </w:pPr>
            <w:bookmarkStart w:id="79" w:name="_Toc18513657"/>
            <w:bookmarkStart w:id="80" w:name="_Toc18594747"/>
            <w:bookmarkStart w:id="81" w:name="_Toc18675683"/>
            <w:r w:rsidRPr="009B5374">
              <w:rPr>
                <w:rFonts w:hint="eastAsia"/>
                <w:color w:val="000000" w:themeColor="text1"/>
                <w:sz w:val="28"/>
                <w:szCs w:val="28"/>
              </w:rPr>
              <w:t>紀要</w:t>
            </w:r>
            <w:bookmarkEnd w:id="79"/>
            <w:bookmarkEnd w:id="80"/>
            <w:bookmarkEnd w:id="81"/>
          </w:p>
        </w:tc>
        <w:tc>
          <w:tcPr>
            <w:tcW w:w="2040" w:type="dxa"/>
          </w:tcPr>
          <w:p w:rsidR="00550BAE" w:rsidRPr="009B5374" w:rsidRDefault="00550BAE" w:rsidP="00AC562D">
            <w:pPr>
              <w:pStyle w:val="3"/>
              <w:numPr>
                <w:ilvl w:val="0"/>
                <w:numId w:val="0"/>
              </w:numPr>
              <w:jc w:val="center"/>
              <w:rPr>
                <w:color w:val="000000" w:themeColor="text1"/>
                <w:sz w:val="28"/>
                <w:szCs w:val="28"/>
              </w:rPr>
            </w:pPr>
            <w:bookmarkStart w:id="82" w:name="_Toc18513658"/>
            <w:bookmarkStart w:id="83" w:name="_Toc18594748"/>
            <w:bookmarkStart w:id="84" w:name="_Toc18675684"/>
            <w:r w:rsidRPr="009B5374">
              <w:rPr>
                <w:rFonts w:hint="eastAsia"/>
                <w:color w:val="000000" w:themeColor="text1"/>
                <w:sz w:val="28"/>
                <w:szCs w:val="28"/>
              </w:rPr>
              <w:t>列示之</w:t>
            </w:r>
            <w:bookmarkEnd w:id="82"/>
            <w:bookmarkEnd w:id="83"/>
            <w:bookmarkEnd w:id="84"/>
            <w:r w:rsidRPr="009B5374">
              <w:rPr>
                <w:rFonts w:hint="eastAsia"/>
                <w:color w:val="000000" w:themeColor="text1"/>
                <w:sz w:val="28"/>
                <w:szCs w:val="28"/>
              </w:rPr>
              <w:t>挖填</w:t>
            </w:r>
          </w:p>
          <w:p w:rsidR="00550BAE" w:rsidRPr="009B5374" w:rsidRDefault="00550BAE" w:rsidP="00AC562D">
            <w:pPr>
              <w:pStyle w:val="3"/>
              <w:numPr>
                <w:ilvl w:val="0"/>
                <w:numId w:val="0"/>
              </w:numPr>
              <w:jc w:val="center"/>
              <w:rPr>
                <w:color w:val="000000" w:themeColor="text1"/>
                <w:sz w:val="28"/>
                <w:szCs w:val="28"/>
              </w:rPr>
            </w:pPr>
            <w:bookmarkStart w:id="85" w:name="_Toc18513659"/>
            <w:bookmarkStart w:id="86" w:name="_Toc18594749"/>
            <w:bookmarkStart w:id="87" w:name="_Toc18675685"/>
            <w:r w:rsidRPr="009B5374">
              <w:rPr>
                <w:rFonts w:hint="eastAsia"/>
                <w:color w:val="000000" w:themeColor="text1"/>
                <w:sz w:val="28"/>
                <w:szCs w:val="28"/>
              </w:rPr>
              <w:t>土石方量</w:t>
            </w:r>
            <w:bookmarkEnd w:id="85"/>
            <w:bookmarkEnd w:id="86"/>
            <w:bookmarkEnd w:id="87"/>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88" w:name="_Toc18513660"/>
            <w:bookmarkStart w:id="89" w:name="_Toc18594750"/>
            <w:bookmarkStart w:id="90" w:name="_Toc18675686"/>
            <w:r w:rsidRPr="007307D1">
              <w:rPr>
                <w:rFonts w:hint="eastAsia"/>
                <w:sz w:val="28"/>
                <w:szCs w:val="28"/>
              </w:rPr>
              <w:t>85.08.07</w:t>
            </w:r>
            <w:bookmarkEnd w:id="88"/>
            <w:bookmarkEnd w:id="89"/>
            <w:bookmarkEnd w:id="90"/>
          </w:p>
        </w:tc>
        <w:tc>
          <w:tcPr>
            <w:tcW w:w="1530" w:type="dxa"/>
            <w:vAlign w:val="center"/>
          </w:tcPr>
          <w:p w:rsidR="00550BAE" w:rsidRPr="007307D1" w:rsidRDefault="00550BAE" w:rsidP="00AC562D">
            <w:pPr>
              <w:pStyle w:val="3"/>
              <w:numPr>
                <w:ilvl w:val="0"/>
                <w:numId w:val="0"/>
              </w:numPr>
              <w:jc w:val="left"/>
              <w:rPr>
                <w:rFonts w:hAnsi="標楷體"/>
                <w:sz w:val="28"/>
                <w:szCs w:val="28"/>
              </w:rPr>
            </w:pPr>
            <w:bookmarkStart w:id="91" w:name="_Toc18513661"/>
            <w:bookmarkStart w:id="92" w:name="_Toc18594751"/>
            <w:bookmarkStart w:id="93" w:name="_Toc18675687"/>
            <w:r w:rsidRPr="007307D1">
              <w:rPr>
                <w:rFonts w:hAnsi="標楷體" w:hint="eastAsia"/>
                <w:sz w:val="28"/>
                <w:szCs w:val="28"/>
              </w:rPr>
              <w:t>環評審查</w:t>
            </w:r>
            <w:bookmarkEnd w:id="91"/>
            <w:bookmarkEnd w:id="92"/>
            <w:bookmarkEnd w:id="93"/>
          </w:p>
          <w:p w:rsidR="00550BAE" w:rsidRPr="007307D1" w:rsidRDefault="00550BAE" w:rsidP="00AC562D">
            <w:pPr>
              <w:pStyle w:val="3"/>
              <w:numPr>
                <w:ilvl w:val="0"/>
                <w:numId w:val="0"/>
              </w:numPr>
              <w:jc w:val="left"/>
              <w:rPr>
                <w:sz w:val="28"/>
                <w:szCs w:val="28"/>
              </w:rPr>
            </w:pPr>
            <w:bookmarkStart w:id="94" w:name="_Toc18513662"/>
            <w:bookmarkStart w:id="95" w:name="_Toc18594752"/>
            <w:bookmarkStart w:id="96" w:name="_Toc18675688"/>
            <w:r w:rsidRPr="007307D1">
              <w:rPr>
                <w:rFonts w:hAnsi="標楷體" w:hint="eastAsia"/>
                <w:sz w:val="28"/>
                <w:szCs w:val="28"/>
              </w:rPr>
              <w:t>第2次會議</w:t>
            </w:r>
            <w:bookmarkEnd w:id="94"/>
            <w:bookmarkEnd w:id="95"/>
            <w:bookmarkEnd w:id="96"/>
          </w:p>
          <w:p w:rsidR="00550BAE" w:rsidRPr="007307D1" w:rsidRDefault="00550BAE" w:rsidP="00AC562D">
            <w:pPr>
              <w:adjustRightInd w:val="0"/>
              <w:snapToGrid w:val="0"/>
              <w:spacing w:line="240" w:lineRule="atLeast"/>
              <w:rPr>
                <w:sz w:val="28"/>
                <w:szCs w:val="28"/>
              </w:rPr>
            </w:pPr>
          </w:p>
        </w:tc>
        <w:tc>
          <w:tcPr>
            <w:tcW w:w="3060" w:type="dxa"/>
          </w:tcPr>
          <w:p w:rsidR="00550BAE" w:rsidRPr="009B5374" w:rsidRDefault="00550BAE" w:rsidP="00D226F0">
            <w:pPr>
              <w:pStyle w:val="3"/>
              <w:numPr>
                <w:ilvl w:val="0"/>
                <w:numId w:val="0"/>
              </w:numPr>
              <w:ind w:left="600" w:hangingChars="200" w:hanging="600"/>
              <w:rPr>
                <w:rFonts w:hAnsi="標楷體"/>
                <w:color w:val="000000" w:themeColor="text1"/>
                <w:sz w:val="28"/>
                <w:szCs w:val="28"/>
              </w:rPr>
            </w:pPr>
            <w:bookmarkStart w:id="97" w:name="_Toc18513663"/>
            <w:bookmarkStart w:id="98" w:name="_Toc18594753"/>
            <w:bookmarkStart w:id="99" w:name="_Toc18675689"/>
            <w:r w:rsidRPr="009B5374">
              <w:rPr>
                <w:rFonts w:hAnsi="標楷體" w:hint="eastAsia"/>
                <w:color w:val="000000" w:themeColor="text1"/>
                <w:sz w:val="28"/>
                <w:szCs w:val="28"/>
              </w:rPr>
              <w:t>一、據該次會議環評委員發言紀錄略</w:t>
            </w:r>
            <w:proofErr w:type="gramStart"/>
            <w:r w:rsidRPr="009B5374">
              <w:rPr>
                <w:rFonts w:hAnsi="標楷體" w:hint="eastAsia"/>
                <w:color w:val="000000" w:themeColor="text1"/>
                <w:sz w:val="28"/>
                <w:szCs w:val="28"/>
              </w:rPr>
              <w:t>以</w:t>
            </w:r>
            <w:proofErr w:type="gramEnd"/>
            <w:r w:rsidRPr="009B5374">
              <w:rPr>
                <w:rFonts w:hAnsi="標楷體" w:hint="eastAsia"/>
                <w:color w:val="000000" w:themeColor="text1"/>
                <w:sz w:val="28"/>
                <w:szCs w:val="28"/>
              </w:rPr>
              <w:t>：31公頃的社區，挖填土方量為84萬立方公尺，其地貌變更達2.7公尺，即使以全區面積平均，仍有逾1公尺之地貌改變。</w:t>
            </w:r>
            <w:bookmarkEnd w:id="97"/>
            <w:bookmarkEnd w:id="98"/>
            <w:bookmarkEnd w:id="99"/>
          </w:p>
          <w:p w:rsidR="00550BAE" w:rsidRPr="009B5374" w:rsidRDefault="00550BAE" w:rsidP="00D226F0">
            <w:pPr>
              <w:pStyle w:val="3"/>
              <w:numPr>
                <w:ilvl w:val="0"/>
                <w:numId w:val="0"/>
              </w:numPr>
              <w:ind w:left="600" w:hangingChars="200" w:hanging="600"/>
              <w:rPr>
                <w:color w:val="000000" w:themeColor="text1"/>
                <w:sz w:val="28"/>
                <w:szCs w:val="28"/>
              </w:rPr>
            </w:pPr>
            <w:bookmarkStart w:id="100" w:name="_Toc18513664"/>
            <w:bookmarkStart w:id="101" w:name="_Toc18594754"/>
            <w:bookmarkStart w:id="102" w:name="_Toc18675690"/>
            <w:r w:rsidRPr="009B5374">
              <w:rPr>
                <w:rFonts w:hAnsi="標楷體" w:hint="eastAsia"/>
                <w:color w:val="000000" w:themeColor="text1"/>
                <w:sz w:val="28"/>
                <w:szCs w:val="28"/>
              </w:rPr>
              <w:t>二、臺北市政府環評會通過本案工程環境影響說明書審查，認定「有條件接受開發」，核定之土石方數量約25萬立方公尺，至於詳細水土保持計畫另送權責機關審查。</w:t>
            </w:r>
            <w:bookmarkEnd w:id="100"/>
            <w:bookmarkEnd w:id="101"/>
            <w:bookmarkEnd w:id="102"/>
          </w:p>
        </w:tc>
        <w:tc>
          <w:tcPr>
            <w:tcW w:w="2040" w:type="dxa"/>
          </w:tcPr>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bookmarkStart w:id="103" w:name="_Toc18513665"/>
            <w:bookmarkStart w:id="104" w:name="_Toc18594755"/>
            <w:bookmarkStart w:id="105" w:name="_Toc18675691"/>
          </w:p>
          <w:p w:rsidR="00550BAE" w:rsidRPr="009B5374" w:rsidRDefault="00550BAE" w:rsidP="00AC562D">
            <w:pPr>
              <w:pStyle w:val="3"/>
              <w:numPr>
                <w:ilvl w:val="0"/>
                <w:numId w:val="0"/>
              </w:numPr>
              <w:ind w:left="3"/>
              <w:rPr>
                <w:rFonts w:hAnsi="標楷體"/>
                <w:color w:val="000000" w:themeColor="text1"/>
                <w:sz w:val="28"/>
                <w:szCs w:val="28"/>
              </w:rPr>
            </w:pPr>
            <w:r w:rsidRPr="009B5374">
              <w:rPr>
                <w:rFonts w:hAnsi="標楷體" w:hint="eastAsia"/>
                <w:color w:val="000000" w:themeColor="text1"/>
                <w:sz w:val="28"/>
                <w:szCs w:val="28"/>
              </w:rPr>
              <w:t>84萬6,900立方公尺</w:t>
            </w:r>
            <w:bookmarkEnd w:id="103"/>
            <w:bookmarkEnd w:id="104"/>
            <w:bookmarkEnd w:id="105"/>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p>
          <w:p w:rsidR="00550BAE" w:rsidRPr="009B5374" w:rsidRDefault="00550BAE" w:rsidP="00AC562D">
            <w:pPr>
              <w:pStyle w:val="3"/>
              <w:numPr>
                <w:ilvl w:val="0"/>
                <w:numId w:val="0"/>
              </w:numPr>
              <w:ind w:left="3"/>
              <w:rPr>
                <w:rFonts w:hAnsi="標楷體"/>
                <w:color w:val="000000" w:themeColor="text1"/>
                <w:sz w:val="28"/>
                <w:szCs w:val="28"/>
              </w:rPr>
            </w:pPr>
            <w:bookmarkStart w:id="106" w:name="_Toc18513666"/>
            <w:bookmarkStart w:id="107" w:name="_Toc18594756"/>
            <w:bookmarkStart w:id="108" w:name="_Toc18675692"/>
            <w:r w:rsidRPr="009B5374">
              <w:rPr>
                <w:rFonts w:hAnsi="標楷體" w:hint="eastAsia"/>
                <w:color w:val="000000" w:themeColor="text1"/>
                <w:sz w:val="28"/>
                <w:szCs w:val="28"/>
              </w:rPr>
              <w:t>25萬立方公尺</w:t>
            </w:r>
            <w:bookmarkEnd w:id="106"/>
            <w:bookmarkEnd w:id="107"/>
            <w:bookmarkEnd w:id="108"/>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109" w:name="_Toc18513667"/>
            <w:bookmarkStart w:id="110" w:name="_Toc18594757"/>
            <w:bookmarkStart w:id="111" w:name="_Toc18675693"/>
            <w:r w:rsidRPr="007307D1">
              <w:rPr>
                <w:rFonts w:hint="eastAsia"/>
                <w:sz w:val="28"/>
                <w:szCs w:val="28"/>
              </w:rPr>
              <w:t>88.01</w:t>
            </w:r>
            <w:bookmarkEnd w:id="109"/>
            <w:bookmarkEnd w:id="110"/>
            <w:bookmarkEnd w:id="111"/>
          </w:p>
        </w:tc>
        <w:tc>
          <w:tcPr>
            <w:tcW w:w="1530" w:type="dxa"/>
          </w:tcPr>
          <w:p w:rsidR="00550BAE" w:rsidRPr="007307D1" w:rsidRDefault="00550BAE" w:rsidP="00AC562D">
            <w:pPr>
              <w:pStyle w:val="3"/>
              <w:numPr>
                <w:ilvl w:val="0"/>
                <w:numId w:val="0"/>
              </w:numPr>
              <w:rPr>
                <w:sz w:val="28"/>
                <w:szCs w:val="28"/>
              </w:rPr>
            </w:pPr>
            <w:bookmarkStart w:id="112" w:name="_Toc18513668"/>
            <w:bookmarkStart w:id="113" w:name="_Toc18594758"/>
            <w:bookmarkStart w:id="114" w:name="_Toc18675694"/>
            <w:r w:rsidRPr="007307D1">
              <w:rPr>
                <w:rFonts w:hAnsi="標楷體" w:hint="eastAsia"/>
                <w:sz w:val="28"/>
                <w:szCs w:val="28"/>
              </w:rPr>
              <w:t>水土保持計畫審查通過</w:t>
            </w:r>
            <w:bookmarkEnd w:id="112"/>
            <w:bookmarkEnd w:id="113"/>
            <w:bookmarkEnd w:id="114"/>
          </w:p>
        </w:tc>
        <w:tc>
          <w:tcPr>
            <w:tcW w:w="3060" w:type="dxa"/>
          </w:tcPr>
          <w:p w:rsidR="00550BAE" w:rsidRPr="007307D1" w:rsidRDefault="00550BAE" w:rsidP="00AC562D">
            <w:pPr>
              <w:pStyle w:val="3"/>
              <w:numPr>
                <w:ilvl w:val="0"/>
                <w:numId w:val="0"/>
              </w:numPr>
              <w:rPr>
                <w:rFonts w:hAnsi="標楷體"/>
                <w:sz w:val="28"/>
                <w:szCs w:val="28"/>
              </w:rPr>
            </w:pPr>
            <w:bookmarkStart w:id="115" w:name="_Toc18513669"/>
            <w:bookmarkStart w:id="116" w:name="_Toc18594759"/>
            <w:bookmarkStart w:id="117" w:name="_Toc18675695"/>
            <w:r w:rsidRPr="007307D1">
              <w:rPr>
                <w:rFonts w:hAnsi="標楷體" w:hint="eastAsia"/>
                <w:sz w:val="28"/>
                <w:szCs w:val="28"/>
              </w:rPr>
              <w:t>本案工程水土保持計畫通過，挖填土方量為48萬9</w:t>
            </w:r>
            <w:r w:rsidRPr="007307D1">
              <w:rPr>
                <w:rFonts w:hAnsi="標楷體"/>
                <w:sz w:val="28"/>
                <w:szCs w:val="28"/>
              </w:rPr>
              <w:t>,</w:t>
            </w:r>
            <w:r w:rsidRPr="007307D1">
              <w:rPr>
                <w:rFonts w:hAnsi="標楷體" w:hint="eastAsia"/>
                <w:sz w:val="28"/>
                <w:szCs w:val="28"/>
              </w:rPr>
              <w:t>349立方公尺。</w:t>
            </w:r>
            <w:bookmarkEnd w:id="115"/>
            <w:bookmarkEnd w:id="116"/>
            <w:bookmarkEnd w:id="117"/>
          </w:p>
        </w:tc>
        <w:tc>
          <w:tcPr>
            <w:tcW w:w="2040" w:type="dxa"/>
          </w:tcPr>
          <w:p w:rsidR="00550BAE" w:rsidRPr="007307D1" w:rsidRDefault="00550BAE" w:rsidP="00AC562D">
            <w:pPr>
              <w:pStyle w:val="3"/>
              <w:numPr>
                <w:ilvl w:val="0"/>
                <w:numId w:val="0"/>
              </w:numPr>
              <w:ind w:left="3"/>
              <w:jc w:val="left"/>
              <w:rPr>
                <w:rFonts w:hAnsi="標楷體"/>
                <w:sz w:val="28"/>
                <w:szCs w:val="28"/>
              </w:rPr>
            </w:pPr>
            <w:bookmarkStart w:id="118" w:name="_Toc18513670"/>
            <w:bookmarkStart w:id="119" w:name="_Toc18594760"/>
            <w:bookmarkStart w:id="120" w:name="_Toc18675696"/>
          </w:p>
          <w:p w:rsidR="00550BAE" w:rsidRPr="007307D1" w:rsidRDefault="00550BAE" w:rsidP="00AC562D">
            <w:pPr>
              <w:pStyle w:val="3"/>
              <w:numPr>
                <w:ilvl w:val="0"/>
                <w:numId w:val="0"/>
              </w:numPr>
              <w:ind w:left="3"/>
              <w:jc w:val="left"/>
              <w:rPr>
                <w:rFonts w:hAnsi="標楷體"/>
                <w:sz w:val="28"/>
                <w:szCs w:val="28"/>
              </w:rPr>
            </w:pPr>
          </w:p>
          <w:p w:rsidR="00550BAE" w:rsidRPr="007307D1" w:rsidRDefault="00550BAE" w:rsidP="00AC562D">
            <w:pPr>
              <w:pStyle w:val="3"/>
              <w:numPr>
                <w:ilvl w:val="0"/>
                <w:numId w:val="0"/>
              </w:numPr>
              <w:ind w:left="3"/>
              <w:jc w:val="left"/>
              <w:rPr>
                <w:rFonts w:hAnsi="標楷體"/>
                <w:sz w:val="28"/>
                <w:szCs w:val="28"/>
              </w:rPr>
            </w:pPr>
            <w:r w:rsidRPr="007307D1">
              <w:rPr>
                <w:rFonts w:hAnsi="標楷體" w:hint="eastAsia"/>
                <w:sz w:val="28"/>
                <w:szCs w:val="28"/>
              </w:rPr>
              <w:t>48萬9</w:t>
            </w:r>
            <w:r w:rsidRPr="007307D1">
              <w:rPr>
                <w:rFonts w:hAnsi="標楷體"/>
                <w:sz w:val="28"/>
                <w:szCs w:val="28"/>
              </w:rPr>
              <w:t>,</w:t>
            </w:r>
            <w:r w:rsidRPr="007307D1">
              <w:rPr>
                <w:rFonts w:hAnsi="標楷體" w:hint="eastAsia"/>
                <w:sz w:val="28"/>
                <w:szCs w:val="28"/>
              </w:rPr>
              <w:t>349立方</w:t>
            </w:r>
            <w:r w:rsidRPr="007307D1">
              <w:rPr>
                <w:rFonts w:hAnsi="標楷體"/>
                <w:sz w:val="28"/>
                <w:szCs w:val="28"/>
              </w:rPr>
              <w:t>公尺</w:t>
            </w:r>
            <w:bookmarkEnd w:id="118"/>
            <w:bookmarkEnd w:id="119"/>
            <w:bookmarkEnd w:id="120"/>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121" w:name="_Toc18513671"/>
            <w:bookmarkStart w:id="122" w:name="_Toc18594761"/>
            <w:bookmarkStart w:id="123" w:name="_Toc18675697"/>
            <w:r w:rsidRPr="007307D1">
              <w:rPr>
                <w:rFonts w:hint="eastAsia"/>
                <w:sz w:val="28"/>
                <w:szCs w:val="28"/>
              </w:rPr>
              <w:t>93.08.31</w:t>
            </w:r>
            <w:bookmarkEnd w:id="121"/>
            <w:bookmarkEnd w:id="122"/>
            <w:bookmarkEnd w:id="123"/>
          </w:p>
        </w:tc>
        <w:tc>
          <w:tcPr>
            <w:tcW w:w="1530" w:type="dxa"/>
          </w:tcPr>
          <w:p w:rsidR="00550BAE" w:rsidRPr="007307D1" w:rsidRDefault="00550BAE" w:rsidP="00AC562D">
            <w:pPr>
              <w:pStyle w:val="3"/>
              <w:numPr>
                <w:ilvl w:val="0"/>
                <w:numId w:val="0"/>
              </w:numPr>
              <w:rPr>
                <w:rFonts w:hAnsi="標楷體"/>
                <w:sz w:val="28"/>
                <w:szCs w:val="28"/>
              </w:rPr>
            </w:pPr>
            <w:bookmarkStart w:id="124" w:name="_Toc18513672"/>
            <w:bookmarkStart w:id="125" w:name="_Toc18594762"/>
            <w:bookmarkStart w:id="126" w:name="_Toc18675698"/>
            <w:r w:rsidRPr="007307D1">
              <w:rPr>
                <w:rFonts w:hAnsi="標楷體" w:hint="eastAsia"/>
                <w:sz w:val="28"/>
                <w:szCs w:val="28"/>
              </w:rPr>
              <w:t>環評審查</w:t>
            </w:r>
            <w:bookmarkEnd w:id="124"/>
            <w:bookmarkEnd w:id="125"/>
            <w:bookmarkEnd w:id="126"/>
          </w:p>
          <w:p w:rsidR="00550BAE" w:rsidRPr="007307D1" w:rsidRDefault="00550BAE" w:rsidP="00AC562D">
            <w:pPr>
              <w:pStyle w:val="3"/>
              <w:numPr>
                <w:ilvl w:val="0"/>
                <w:numId w:val="0"/>
              </w:numPr>
              <w:rPr>
                <w:sz w:val="28"/>
                <w:szCs w:val="28"/>
              </w:rPr>
            </w:pPr>
            <w:bookmarkStart w:id="127" w:name="_Toc18513673"/>
            <w:bookmarkStart w:id="128" w:name="_Toc18594763"/>
            <w:bookmarkStart w:id="129" w:name="_Toc18675699"/>
            <w:r w:rsidRPr="007307D1">
              <w:rPr>
                <w:rFonts w:hAnsi="標楷體" w:hint="eastAsia"/>
                <w:sz w:val="28"/>
                <w:szCs w:val="28"/>
              </w:rPr>
              <w:t>第35次會議</w:t>
            </w:r>
            <w:bookmarkEnd w:id="127"/>
            <w:bookmarkEnd w:id="128"/>
            <w:bookmarkEnd w:id="129"/>
          </w:p>
        </w:tc>
        <w:tc>
          <w:tcPr>
            <w:tcW w:w="3060" w:type="dxa"/>
          </w:tcPr>
          <w:p w:rsidR="00550BAE" w:rsidRPr="007307D1" w:rsidRDefault="00550BAE" w:rsidP="00AC562D">
            <w:pPr>
              <w:adjustRightInd w:val="0"/>
              <w:snapToGrid w:val="0"/>
              <w:spacing w:line="240" w:lineRule="atLeast"/>
              <w:rPr>
                <w:rFonts w:hAnsi="標楷體"/>
                <w:sz w:val="28"/>
                <w:szCs w:val="28"/>
              </w:rPr>
            </w:pPr>
            <w:r w:rsidRPr="007307D1">
              <w:rPr>
                <w:rFonts w:hAnsi="標楷體" w:hint="eastAsia"/>
                <w:bCs/>
                <w:kern w:val="32"/>
                <w:sz w:val="28"/>
                <w:szCs w:val="28"/>
              </w:rPr>
              <w:t>開發單位（</w:t>
            </w:r>
            <w:r w:rsidRPr="007307D1">
              <w:rPr>
                <w:rFonts w:ascii="Times New Roman" w:hint="eastAsia"/>
                <w:sz w:val="28"/>
                <w:szCs w:val="28"/>
              </w:rPr>
              <w:t>重劃會）</w:t>
            </w:r>
            <w:r w:rsidRPr="007307D1">
              <w:rPr>
                <w:rFonts w:hAnsi="標楷體" w:hint="eastAsia"/>
                <w:bCs/>
                <w:kern w:val="32"/>
                <w:sz w:val="28"/>
                <w:szCs w:val="28"/>
              </w:rPr>
              <w:t>因開發計畫部分內容變更，</w:t>
            </w:r>
            <w:proofErr w:type="gramStart"/>
            <w:r w:rsidRPr="007307D1">
              <w:rPr>
                <w:rFonts w:hAnsi="標楷體" w:hint="eastAsia"/>
                <w:bCs/>
                <w:kern w:val="32"/>
                <w:sz w:val="28"/>
                <w:szCs w:val="28"/>
              </w:rPr>
              <w:t>且欲增設</w:t>
            </w:r>
            <w:proofErr w:type="gramEnd"/>
            <w:r w:rsidRPr="007307D1">
              <w:rPr>
                <w:rFonts w:hAnsi="標楷體" w:hint="eastAsia"/>
                <w:bCs/>
                <w:kern w:val="32"/>
                <w:sz w:val="28"/>
                <w:szCs w:val="28"/>
              </w:rPr>
              <w:t>9條6米巷道，提出環境影響差異分析報告。本次會議審查決議請開發單位重新檢討再送審，未予通過。</w:t>
            </w:r>
          </w:p>
        </w:tc>
        <w:tc>
          <w:tcPr>
            <w:tcW w:w="2040" w:type="dxa"/>
          </w:tcPr>
          <w:p w:rsidR="00550BAE" w:rsidRPr="007307D1" w:rsidRDefault="00550BAE" w:rsidP="00AC562D">
            <w:pPr>
              <w:adjustRightInd w:val="0"/>
              <w:snapToGrid w:val="0"/>
              <w:spacing w:line="240" w:lineRule="atLeast"/>
              <w:rPr>
                <w:rFonts w:hAnsi="標楷體"/>
                <w:bCs/>
                <w:kern w:val="32"/>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130" w:name="_Toc18513674"/>
            <w:bookmarkStart w:id="131" w:name="_Toc18594764"/>
            <w:bookmarkStart w:id="132" w:name="_Toc18675700"/>
            <w:r w:rsidRPr="007307D1">
              <w:rPr>
                <w:rFonts w:hint="eastAsia"/>
                <w:sz w:val="28"/>
                <w:szCs w:val="28"/>
              </w:rPr>
              <w:t>94.07</w:t>
            </w:r>
            <w:bookmarkEnd w:id="130"/>
            <w:bookmarkEnd w:id="131"/>
            <w:bookmarkEnd w:id="132"/>
          </w:p>
        </w:tc>
        <w:tc>
          <w:tcPr>
            <w:tcW w:w="1530" w:type="dxa"/>
          </w:tcPr>
          <w:p w:rsidR="00550BAE" w:rsidRPr="007307D1" w:rsidRDefault="00550BAE" w:rsidP="00AC562D">
            <w:pPr>
              <w:pStyle w:val="3"/>
              <w:numPr>
                <w:ilvl w:val="0"/>
                <w:numId w:val="0"/>
              </w:numPr>
              <w:rPr>
                <w:rFonts w:hAnsi="標楷體"/>
                <w:sz w:val="28"/>
                <w:szCs w:val="28"/>
              </w:rPr>
            </w:pPr>
            <w:bookmarkStart w:id="133" w:name="_Toc18513675"/>
            <w:bookmarkStart w:id="134" w:name="_Toc18594765"/>
            <w:bookmarkStart w:id="135" w:name="_Toc18675701"/>
            <w:r w:rsidRPr="007307D1">
              <w:rPr>
                <w:rFonts w:hAnsi="標楷體" w:hint="eastAsia"/>
                <w:sz w:val="28"/>
                <w:szCs w:val="28"/>
              </w:rPr>
              <w:t>水土保持</w:t>
            </w:r>
            <w:r w:rsidRPr="007307D1">
              <w:rPr>
                <w:rFonts w:hAnsi="標楷體" w:hint="eastAsia"/>
                <w:sz w:val="28"/>
                <w:szCs w:val="28"/>
              </w:rPr>
              <w:lastRenderedPageBreak/>
              <w:t>計畫第1次變更</w:t>
            </w:r>
            <w:bookmarkEnd w:id="133"/>
            <w:bookmarkEnd w:id="134"/>
            <w:bookmarkEnd w:id="135"/>
          </w:p>
        </w:tc>
        <w:tc>
          <w:tcPr>
            <w:tcW w:w="3060" w:type="dxa"/>
          </w:tcPr>
          <w:p w:rsidR="00550BAE" w:rsidRPr="007307D1" w:rsidRDefault="00550BAE" w:rsidP="00AC562D">
            <w:pPr>
              <w:pStyle w:val="3"/>
              <w:numPr>
                <w:ilvl w:val="0"/>
                <w:numId w:val="0"/>
              </w:numPr>
              <w:rPr>
                <w:rFonts w:hAnsi="標楷體"/>
                <w:sz w:val="28"/>
                <w:szCs w:val="28"/>
              </w:rPr>
            </w:pPr>
            <w:bookmarkStart w:id="136" w:name="_Toc18513676"/>
            <w:bookmarkStart w:id="137" w:name="_Toc18594766"/>
            <w:bookmarkStart w:id="138" w:name="_Toc18675702"/>
            <w:r w:rsidRPr="007307D1">
              <w:rPr>
                <w:rFonts w:hAnsi="標楷體" w:hint="eastAsia"/>
                <w:sz w:val="28"/>
                <w:szCs w:val="28"/>
              </w:rPr>
              <w:lastRenderedPageBreak/>
              <w:t>本案工程水土保持計</w:t>
            </w:r>
            <w:r w:rsidRPr="007307D1">
              <w:rPr>
                <w:rFonts w:hAnsi="標楷體" w:hint="eastAsia"/>
                <w:sz w:val="28"/>
                <w:szCs w:val="28"/>
              </w:rPr>
              <w:lastRenderedPageBreak/>
              <w:t>畫第1次變更通過，土石方數量</w:t>
            </w:r>
            <w:r w:rsidRPr="007307D1">
              <w:rPr>
                <w:rFonts w:hAnsi="標楷體"/>
                <w:sz w:val="28"/>
                <w:szCs w:val="28"/>
              </w:rPr>
              <w:t>57</w:t>
            </w:r>
            <w:r w:rsidRPr="007307D1">
              <w:rPr>
                <w:rFonts w:hAnsi="標楷體" w:hint="eastAsia"/>
                <w:sz w:val="28"/>
                <w:szCs w:val="28"/>
              </w:rPr>
              <w:t>萬</w:t>
            </w:r>
            <w:r w:rsidRPr="007307D1">
              <w:rPr>
                <w:rFonts w:hAnsi="標楷體"/>
                <w:sz w:val="28"/>
                <w:szCs w:val="28"/>
              </w:rPr>
              <w:t>2</w:t>
            </w:r>
            <w:r w:rsidRPr="007307D1">
              <w:rPr>
                <w:rFonts w:hAnsi="標楷體" w:hint="eastAsia"/>
                <w:sz w:val="28"/>
                <w:szCs w:val="28"/>
              </w:rPr>
              <w:t>,403立方公尺（挖方28萬6,204立方公尺，填方28萬6,199立方公尺）。</w:t>
            </w:r>
            <w:bookmarkEnd w:id="136"/>
            <w:bookmarkEnd w:id="137"/>
            <w:bookmarkEnd w:id="138"/>
          </w:p>
        </w:tc>
        <w:tc>
          <w:tcPr>
            <w:tcW w:w="2040" w:type="dxa"/>
          </w:tcPr>
          <w:p w:rsidR="00550BAE" w:rsidRPr="007307D1" w:rsidRDefault="00550BAE" w:rsidP="00AC562D">
            <w:pPr>
              <w:pStyle w:val="3"/>
              <w:numPr>
                <w:ilvl w:val="0"/>
                <w:numId w:val="0"/>
              </w:numPr>
              <w:rPr>
                <w:rFonts w:hAnsi="標楷體"/>
                <w:sz w:val="28"/>
                <w:szCs w:val="28"/>
              </w:rPr>
            </w:pPr>
          </w:p>
          <w:p w:rsidR="00550BAE" w:rsidRPr="007307D1" w:rsidRDefault="00550BAE" w:rsidP="00AC562D">
            <w:pPr>
              <w:pStyle w:val="3"/>
              <w:numPr>
                <w:ilvl w:val="0"/>
                <w:numId w:val="0"/>
              </w:numPr>
              <w:rPr>
                <w:rFonts w:hAnsi="標楷體"/>
                <w:sz w:val="28"/>
                <w:szCs w:val="28"/>
              </w:rPr>
            </w:pPr>
          </w:p>
          <w:p w:rsidR="00550BAE" w:rsidRPr="007307D1" w:rsidRDefault="00550BAE" w:rsidP="00AC562D">
            <w:pPr>
              <w:pStyle w:val="3"/>
              <w:numPr>
                <w:ilvl w:val="0"/>
                <w:numId w:val="0"/>
              </w:numPr>
              <w:rPr>
                <w:rFonts w:hAnsi="標楷體"/>
                <w:sz w:val="28"/>
                <w:szCs w:val="28"/>
              </w:rPr>
            </w:pPr>
            <w:bookmarkStart w:id="139" w:name="_Toc18513677"/>
            <w:bookmarkStart w:id="140" w:name="_Toc18594767"/>
            <w:bookmarkStart w:id="141" w:name="_Toc18675703"/>
            <w:r w:rsidRPr="007307D1">
              <w:rPr>
                <w:rFonts w:hAnsi="標楷體"/>
                <w:sz w:val="28"/>
                <w:szCs w:val="28"/>
              </w:rPr>
              <w:t>57</w:t>
            </w:r>
            <w:r w:rsidRPr="007307D1">
              <w:rPr>
                <w:rFonts w:hAnsi="標楷體" w:hint="eastAsia"/>
                <w:sz w:val="28"/>
                <w:szCs w:val="28"/>
              </w:rPr>
              <w:t>萬</w:t>
            </w:r>
            <w:r w:rsidRPr="007307D1">
              <w:rPr>
                <w:rFonts w:hAnsi="標楷體"/>
                <w:sz w:val="28"/>
                <w:szCs w:val="28"/>
              </w:rPr>
              <w:t>2</w:t>
            </w:r>
            <w:r w:rsidRPr="007307D1">
              <w:rPr>
                <w:rFonts w:hAnsi="標楷體" w:hint="eastAsia"/>
                <w:sz w:val="28"/>
                <w:szCs w:val="28"/>
              </w:rPr>
              <w:t>,403立方公尺</w:t>
            </w:r>
            <w:bookmarkEnd w:id="139"/>
            <w:bookmarkEnd w:id="140"/>
            <w:bookmarkEnd w:id="141"/>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142" w:name="_Toc18513678"/>
            <w:bookmarkStart w:id="143" w:name="_Toc18594768"/>
            <w:bookmarkStart w:id="144" w:name="_Toc18675704"/>
            <w:r w:rsidRPr="007307D1">
              <w:rPr>
                <w:rFonts w:hint="eastAsia"/>
                <w:sz w:val="28"/>
                <w:szCs w:val="28"/>
              </w:rPr>
              <w:lastRenderedPageBreak/>
              <w:t>94.09.05</w:t>
            </w:r>
            <w:bookmarkEnd w:id="142"/>
            <w:bookmarkEnd w:id="143"/>
            <w:bookmarkEnd w:id="144"/>
          </w:p>
        </w:tc>
        <w:tc>
          <w:tcPr>
            <w:tcW w:w="1530" w:type="dxa"/>
          </w:tcPr>
          <w:p w:rsidR="00550BAE" w:rsidRPr="007307D1" w:rsidRDefault="00550BAE" w:rsidP="00AC562D">
            <w:pPr>
              <w:pStyle w:val="3"/>
              <w:numPr>
                <w:ilvl w:val="0"/>
                <w:numId w:val="0"/>
              </w:numPr>
              <w:rPr>
                <w:rFonts w:hAnsi="標楷體"/>
                <w:sz w:val="28"/>
                <w:szCs w:val="28"/>
              </w:rPr>
            </w:pPr>
            <w:bookmarkStart w:id="145" w:name="_Toc18513679"/>
            <w:bookmarkStart w:id="146" w:name="_Toc18594769"/>
            <w:bookmarkStart w:id="147" w:name="_Toc18675705"/>
            <w:r w:rsidRPr="007307D1">
              <w:rPr>
                <w:rFonts w:hAnsi="標楷體" w:hint="eastAsia"/>
                <w:sz w:val="28"/>
                <w:szCs w:val="28"/>
              </w:rPr>
              <w:t>環評審查</w:t>
            </w:r>
            <w:bookmarkEnd w:id="145"/>
            <w:bookmarkEnd w:id="146"/>
            <w:bookmarkEnd w:id="147"/>
          </w:p>
          <w:p w:rsidR="00550BAE" w:rsidRPr="007307D1" w:rsidRDefault="00550BAE" w:rsidP="00AC562D">
            <w:pPr>
              <w:pStyle w:val="3"/>
              <w:numPr>
                <w:ilvl w:val="0"/>
                <w:numId w:val="0"/>
              </w:numPr>
              <w:rPr>
                <w:rFonts w:hAnsi="標楷體"/>
                <w:sz w:val="28"/>
                <w:szCs w:val="28"/>
              </w:rPr>
            </w:pPr>
            <w:bookmarkStart w:id="148" w:name="_Toc18513680"/>
            <w:bookmarkStart w:id="149" w:name="_Toc18594770"/>
            <w:bookmarkStart w:id="150" w:name="_Toc18675706"/>
            <w:r w:rsidRPr="007307D1">
              <w:rPr>
                <w:rFonts w:hAnsi="標楷體" w:hint="eastAsia"/>
                <w:sz w:val="28"/>
                <w:szCs w:val="28"/>
              </w:rPr>
              <w:t>第43次會議</w:t>
            </w:r>
            <w:bookmarkEnd w:id="148"/>
            <w:bookmarkEnd w:id="149"/>
            <w:bookmarkEnd w:id="150"/>
          </w:p>
          <w:p w:rsidR="00550BAE" w:rsidRPr="007307D1" w:rsidRDefault="00550BAE" w:rsidP="00AC562D">
            <w:pPr>
              <w:pStyle w:val="3"/>
              <w:numPr>
                <w:ilvl w:val="0"/>
                <w:numId w:val="0"/>
              </w:numPr>
              <w:rPr>
                <w:sz w:val="28"/>
                <w:szCs w:val="28"/>
              </w:rPr>
            </w:pPr>
          </w:p>
        </w:tc>
        <w:tc>
          <w:tcPr>
            <w:tcW w:w="3060" w:type="dxa"/>
          </w:tcPr>
          <w:p w:rsidR="00550BAE" w:rsidRPr="007307D1" w:rsidRDefault="00550BAE" w:rsidP="00AC562D">
            <w:pPr>
              <w:adjustRightInd w:val="0"/>
              <w:snapToGrid w:val="0"/>
              <w:spacing w:line="240" w:lineRule="atLeast"/>
              <w:rPr>
                <w:sz w:val="28"/>
                <w:szCs w:val="28"/>
              </w:rPr>
            </w:pPr>
            <w:r w:rsidRPr="007307D1">
              <w:rPr>
                <w:rFonts w:hAnsi="標楷體" w:hint="eastAsia"/>
                <w:bCs/>
                <w:kern w:val="32"/>
                <w:sz w:val="28"/>
                <w:szCs w:val="28"/>
              </w:rPr>
              <w:t>開發單位（</w:t>
            </w:r>
            <w:r w:rsidRPr="007307D1">
              <w:rPr>
                <w:rFonts w:ascii="Times New Roman" w:hint="eastAsia"/>
                <w:sz w:val="28"/>
                <w:szCs w:val="28"/>
              </w:rPr>
              <w:t>重劃會）再次提出</w:t>
            </w:r>
            <w:r w:rsidRPr="007307D1">
              <w:rPr>
                <w:rFonts w:hAnsi="標楷體" w:hint="eastAsia"/>
                <w:sz w:val="28"/>
                <w:szCs w:val="28"/>
              </w:rPr>
              <w:t>9條6</w:t>
            </w:r>
            <w:r w:rsidRPr="007307D1">
              <w:rPr>
                <w:rFonts w:ascii="Times New Roman" w:hint="eastAsia"/>
                <w:sz w:val="28"/>
                <w:szCs w:val="28"/>
              </w:rPr>
              <w:t>米巷道之環境影響差異分析報告，經本次會議審查決議有條件通過，需</w:t>
            </w:r>
            <w:r w:rsidRPr="007307D1">
              <w:rPr>
                <w:rFonts w:hint="eastAsia"/>
                <w:sz w:val="28"/>
                <w:szCs w:val="28"/>
              </w:rPr>
              <w:t>於9條6米巷道之水土保持計畫經水土保持機關審核通過後，始自動生效定稿。</w:t>
            </w:r>
          </w:p>
        </w:tc>
        <w:tc>
          <w:tcPr>
            <w:tcW w:w="2040" w:type="dxa"/>
          </w:tcPr>
          <w:p w:rsidR="00550BAE" w:rsidRPr="007307D1" w:rsidRDefault="00550BAE" w:rsidP="00AC562D">
            <w:pPr>
              <w:adjustRightInd w:val="0"/>
              <w:snapToGrid w:val="0"/>
              <w:spacing w:line="240" w:lineRule="atLeast"/>
              <w:rPr>
                <w:rFonts w:hAnsi="標楷體"/>
                <w:bCs/>
                <w:kern w:val="32"/>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151" w:name="_Toc18513681"/>
            <w:bookmarkStart w:id="152" w:name="_Toc18594771"/>
            <w:bookmarkStart w:id="153" w:name="_Toc18675707"/>
            <w:r w:rsidRPr="007307D1">
              <w:rPr>
                <w:rFonts w:hint="eastAsia"/>
                <w:sz w:val="28"/>
                <w:szCs w:val="28"/>
              </w:rPr>
              <w:t>95.11.16</w:t>
            </w:r>
            <w:bookmarkEnd w:id="151"/>
            <w:bookmarkEnd w:id="152"/>
            <w:bookmarkEnd w:id="153"/>
          </w:p>
        </w:tc>
        <w:tc>
          <w:tcPr>
            <w:tcW w:w="1530" w:type="dxa"/>
          </w:tcPr>
          <w:p w:rsidR="00550BAE" w:rsidRPr="007307D1" w:rsidRDefault="00550BAE" w:rsidP="00AC562D">
            <w:pPr>
              <w:pStyle w:val="3"/>
              <w:numPr>
                <w:ilvl w:val="0"/>
                <w:numId w:val="0"/>
              </w:numPr>
              <w:rPr>
                <w:rFonts w:hAnsi="標楷體"/>
                <w:sz w:val="28"/>
                <w:szCs w:val="28"/>
              </w:rPr>
            </w:pPr>
            <w:bookmarkStart w:id="154" w:name="_Toc18513682"/>
            <w:bookmarkStart w:id="155" w:name="_Toc18594772"/>
            <w:bookmarkStart w:id="156" w:name="_Toc18675708"/>
            <w:r w:rsidRPr="007307D1">
              <w:rPr>
                <w:rFonts w:hAnsi="標楷體" w:hint="eastAsia"/>
                <w:sz w:val="28"/>
                <w:szCs w:val="28"/>
              </w:rPr>
              <w:t>環評審查</w:t>
            </w:r>
            <w:bookmarkStart w:id="157" w:name="_Toc18513683"/>
            <w:bookmarkStart w:id="158" w:name="_Toc18594773"/>
            <w:bookmarkStart w:id="159" w:name="_Toc18675709"/>
            <w:bookmarkEnd w:id="154"/>
            <w:bookmarkEnd w:id="155"/>
            <w:bookmarkEnd w:id="156"/>
            <w:r w:rsidRPr="007307D1">
              <w:rPr>
                <w:rFonts w:hAnsi="標楷體" w:hint="eastAsia"/>
                <w:sz w:val="28"/>
                <w:szCs w:val="28"/>
              </w:rPr>
              <w:t>第51次會議</w:t>
            </w:r>
            <w:bookmarkEnd w:id="157"/>
            <w:bookmarkEnd w:id="158"/>
            <w:bookmarkEnd w:id="159"/>
          </w:p>
        </w:tc>
        <w:tc>
          <w:tcPr>
            <w:tcW w:w="3060" w:type="dxa"/>
          </w:tcPr>
          <w:p w:rsidR="00550BAE" w:rsidRPr="007307D1" w:rsidRDefault="00550BAE" w:rsidP="00AC562D">
            <w:pPr>
              <w:adjustRightInd w:val="0"/>
              <w:snapToGrid w:val="0"/>
              <w:spacing w:line="240" w:lineRule="atLeast"/>
              <w:rPr>
                <w:sz w:val="28"/>
                <w:szCs w:val="28"/>
              </w:rPr>
            </w:pPr>
            <w:r w:rsidRPr="007307D1">
              <w:rPr>
                <w:rFonts w:hint="eastAsia"/>
                <w:sz w:val="28"/>
                <w:szCs w:val="28"/>
              </w:rPr>
              <w:t>討論：本案山坡地開發限制(原自然地形坡度30%以上不得開發)環評結論執行事宜。</w:t>
            </w:r>
          </w:p>
          <w:p w:rsidR="00550BAE" w:rsidRPr="007307D1" w:rsidRDefault="00550BAE" w:rsidP="00AC562D">
            <w:pPr>
              <w:adjustRightInd w:val="0"/>
              <w:snapToGrid w:val="0"/>
              <w:spacing w:line="240" w:lineRule="atLeast"/>
              <w:ind w:left="1"/>
              <w:rPr>
                <w:rFonts w:hAnsi="標楷體"/>
                <w:sz w:val="28"/>
                <w:szCs w:val="28"/>
              </w:rPr>
            </w:pPr>
            <w:r w:rsidRPr="007307D1">
              <w:rPr>
                <w:rFonts w:ascii="Times New Roman" w:hint="eastAsia"/>
                <w:sz w:val="28"/>
                <w:szCs w:val="28"/>
              </w:rPr>
              <w:t>決議：按原自然地形計算平均坡度。</w:t>
            </w:r>
          </w:p>
        </w:tc>
        <w:tc>
          <w:tcPr>
            <w:tcW w:w="2040" w:type="dxa"/>
          </w:tcPr>
          <w:p w:rsidR="00550BAE" w:rsidRPr="007307D1" w:rsidRDefault="00550BAE" w:rsidP="00AC562D">
            <w:pPr>
              <w:adjustRightInd w:val="0"/>
              <w:snapToGrid w:val="0"/>
              <w:spacing w:line="240" w:lineRule="atLeast"/>
              <w:rPr>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160" w:name="_Toc18513684"/>
            <w:bookmarkStart w:id="161" w:name="_Toc18594774"/>
            <w:bookmarkStart w:id="162" w:name="_Toc18675710"/>
            <w:r w:rsidRPr="007307D1">
              <w:rPr>
                <w:rFonts w:hint="eastAsia"/>
                <w:sz w:val="28"/>
                <w:szCs w:val="28"/>
              </w:rPr>
              <w:t>96.06</w:t>
            </w:r>
            <w:bookmarkEnd w:id="160"/>
            <w:bookmarkEnd w:id="161"/>
            <w:bookmarkEnd w:id="162"/>
          </w:p>
        </w:tc>
        <w:tc>
          <w:tcPr>
            <w:tcW w:w="1530" w:type="dxa"/>
          </w:tcPr>
          <w:p w:rsidR="00550BAE" w:rsidRPr="007307D1" w:rsidRDefault="00550BAE" w:rsidP="00AC562D">
            <w:pPr>
              <w:pStyle w:val="3"/>
              <w:numPr>
                <w:ilvl w:val="0"/>
                <w:numId w:val="0"/>
              </w:numPr>
              <w:rPr>
                <w:rFonts w:hAnsi="標楷體"/>
                <w:sz w:val="28"/>
                <w:szCs w:val="28"/>
              </w:rPr>
            </w:pPr>
            <w:bookmarkStart w:id="163" w:name="_Toc18513685"/>
            <w:bookmarkStart w:id="164" w:name="_Toc18594775"/>
            <w:bookmarkStart w:id="165" w:name="_Toc18675711"/>
            <w:r w:rsidRPr="007307D1">
              <w:rPr>
                <w:rFonts w:hAnsi="標楷體" w:hint="eastAsia"/>
                <w:sz w:val="28"/>
                <w:szCs w:val="28"/>
              </w:rPr>
              <w:t>水土保持計畫第2次變更</w:t>
            </w:r>
            <w:bookmarkEnd w:id="163"/>
            <w:bookmarkEnd w:id="164"/>
            <w:bookmarkEnd w:id="165"/>
          </w:p>
        </w:tc>
        <w:tc>
          <w:tcPr>
            <w:tcW w:w="3060" w:type="dxa"/>
          </w:tcPr>
          <w:p w:rsidR="00550BAE" w:rsidRPr="007307D1" w:rsidRDefault="00550BAE" w:rsidP="00AC562D">
            <w:pPr>
              <w:pStyle w:val="3"/>
              <w:numPr>
                <w:ilvl w:val="0"/>
                <w:numId w:val="0"/>
              </w:numPr>
              <w:rPr>
                <w:rFonts w:hAnsi="標楷體"/>
                <w:sz w:val="28"/>
                <w:szCs w:val="28"/>
              </w:rPr>
            </w:pPr>
            <w:bookmarkStart w:id="166" w:name="_Toc18513686"/>
            <w:bookmarkStart w:id="167" w:name="_Toc18594776"/>
            <w:bookmarkStart w:id="168" w:name="_Toc18675712"/>
            <w:r w:rsidRPr="007307D1">
              <w:rPr>
                <w:rFonts w:hAnsi="標楷體" w:hint="eastAsia"/>
                <w:sz w:val="28"/>
                <w:szCs w:val="28"/>
              </w:rPr>
              <w:t>本案工程水土保持計畫第2次變更通過，土石方數量約為58萬6,667立方公尺。</w:t>
            </w:r>
            <w:bookmarkEnd w:id="166"/>
            <w:bookmarkEnd w:id="167"/>
            <w:bookmarkEnd w:id="168"/>
          </w:p>
        </w:tc>
        <w:tc>
          <w:tcPr>
            <w:tcW w:w="2040" w:type="dxa"/>
          </w:tcPr>
          <w:p w:rsidR="00550BAE" w:rsidRPr="007307D1" w:rsidRDefault="00550BAE" w:rsidP="00AC562D">
            <w:pPr>
              <w:pStyle w:val="3"/>
              <w:numPr>
                <w:ilvl w:val="0"/>
                <w:numId w:val="0"/>
              </w:numPr>
              <w:rPr>
                <w:rFonts w:hAnsi="標楷體"/>
                <w:sz w:val="28"/>
                <w:szCs w:val="28"/>
              </w:rPr>
            </w:pPr>
            <w:bookmarkStart w:id="169" w:name="_Toc18513687"/>
            <w:bookmarkStart w:id="170" w:name="_Toc18594777"/>
            <w:bookmarkStart w:id="171" w:name="_Toc18675713"/>
            <w:r w:rsidRPr="007307D1">
              <w:rPr>
                <w:rFonts w:hAnsi="標楷體" w:hint="eastAsia"/>
                <w:sz w:val="28"/>
                <w:szCs w:val="28"/>
              </w:rPr>
              <w:t>58萬6,667立方公尺</w:t>
            </w:r>
            <w:bookmarkEnd w:id="169"/>
            <w:bookmarkEnd w:id="170"/>
            <w:bookmarkEnd w:id="171"/>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172" w:name="_Toc18513688"/>
            <w:bookmarkStart w:id="173" w:name="_Toc18594778"/>
            <w:bookmarkStart w:id="174" w:name="_Toc18675714"/>
            <w:r w:rsidRPr="007307D1">
              <w:rPr>
                <w:rFonts w:hint="eastAsia"/>
                <w:sz w:val="28"/>
                <w:szCs w:val="28"/>
              </w:rPr>
              <w:t>96.08</w:t>
            </w:r>
            <w:bookmarkEnd w:id="172"/>
            <w:bookmarkEnd w:id="173"/>
            <w:bookmarkEnd w:id="174"/>
          </w:p>
        </w:tc>
        <w:tc>
          <w:tcPr>
            <w:tcW w:w="1530" w:type="dxa"/>
          </w:tcPr>
          <w:p w:rsidR="00550BAE" w:rsidRPr="007307D1" w:rsidRDefault="00550BAE" w:rsidP="00AC562D">
            <w:pPr>
              <w:pStyle w:val="3"/>
              <w:numPr>
                <w:ilvl w:val="0"/>
                <w:numId w:val="0"/>
              </w:numPr>
              <w:rPr>
                <w:rFonts w:hAnsi="標楷體"/>
                <w:sz w:val="28"/>
                <w:szCs w:val="28"/>
              </w:rPr>
            </w:pPr>
            <w:bookmarkStart w:id="175" w:name="_Toc18513689"/>
            <w:bookmarkStart w:id="176" w:name="_Toc18594779"/>
            <w:bookmarkStart w:id="177" w:name="_Toc18675715"/>
            <w:r w:rsidRPr="007307D1">
              <w:rPr>
                <w:rFonts w:hAnsi="標楷體" w:hint="eastAsia"/>
                <w:sz w:val="28"/>
                <w:szCs w:val="28"/>
              </w:rPr>
              <w:t>發現環說書與水土保持計畫土石方數量差異</w:t>
            </w:r>
            <w:bookmarkEnd w:id="175"/>
            <w:bookmarkEnd w:id="176"/>
            <w:bookmarkEnd w:id="177"/>
          </w:p>
        </w:tc>
        <w:tc>
          <w:tcPr>
            <w:tcW w:w="3060" w:type="dxa"/>
          </w:tcPr>
          <w:p w:rsidR="00550BAE" w:rsidRPr="007307D1" w:rsidRDefault="00550BAE" w:rsidP="00AC562D">
            <w:pPr>
              <w:pStyle w:val="3"/>
              <w:numPr>
                <w:ilvl w:val="0"/>
                <w:numId w:val="0"/>
              </w:numPr>
              <w:rPr>
                <w:rFonts w:hAnsi="標楷體"/>
                <w:sz w:val="28"/>
                <w:szCs w:val="28"/>
              </w:rPr>
            </w:pPr>
            <w:bookmarkStart w:id="178" w:name="_Toc18513690"/>
            <w:bookmarkStart w:id="179" w:name="_Toc18594780"/>
            <w:bookmarkStart w:id="180" w:name="_Toc18675716"/>
            <w:r w:rsidRPr="007307D1">
              <w:rPr>
                <w:rFonts w:hAnsi="標楷體" w:hint="eastAsia"/>
                <w:sz w:val="28"/>
                <w:szCs w:val="28"/>
              </w:rPr>
              <w:t>臺北市政府地政處發現環說書與水土保持計畫土石方數量差異，要求開發單位應修正環境影響說明書數據。</w:t>
            </w:r>
            <w:bookmarkEnd w:id="178"/>
            <w:bookmarkEnd w:id="179"/>
            <w:bookmarkEnd w:id="180"/>
          </w:p>
        </w:tc>
        <w:tc>
          <w:tcPr>
            <w:tcW w:w="2040" w:type="dxa"/>
          </w:tcPr>
          <w:p w:rsidR="00550BAE" w:rsidRPr="007307D1" w:rsidRDefault="00550BAE" w:rsidP="00AC562D">
            <w:pPr>
              <w:pStyle w:val="3"/>
              <w:numPr>
                <w:ilvl w:val="0"/>
                <w:numId w:val="0"/>
              </w:numPr>
              <w:rPr>
                <w:rFonts w:hAnsi="標楷體"/>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181" w:name="_Toc18513691"/>
            <w:bookmarkStart w:id="182" w:name="_Toc18594781"/>
            <w:bookmarkStart w:id="183" w:name="_Toc18675717"/>
            <w:r w:rsidRPr="007307D1">
              <w:rPr>
                <w:rFonts w:hint="eastAsia"/>
                <w:sz w:val="28"/>
                <w:szCs w:val="28"/>
              </w:rPr>
              <w:t>97.3.17</w:t>
            </w:r>
            <w:bookmarkEnd w:id="181"/>
            <w:bookmarkEnd w:id="182"/>
            <w:bookmarkEnd w:id="183"/>
          </w:p>
        </w:tc>
        <w:tc>
          <w:tcPr>
            <w:tcW w:w="1530" w:type="dxa"/>
          </w:tcPr>
          <w:p w:rsidR="00550BAE" w:rsidRPr="007307D1" w:rsidRDefault="00550BAE" w:rsidP="00AC562D">
            <w:pPr>
              <w:pStyle w:val="3"/>
              <w:numPr>
                <w:ilvl w:val="0"/>
                <w:numId w:val="0"/>
              </w:numPr>
              <w:rPr>
                <w:sz w:val="28"/>
                <w:szCs w:val="28"/>
              </w:rPr>
            </w:pPr>
            <w:bookmarkStart w:id="184" w:name="_Toc18513692"/>
            <w:bookmarkStart w:id="185" w:name="_Toc18594782"/>
            <w:bookmarkStart w:id="186" w:name="_Toc18675718"/>
            <w:r w:rsidRPr="007307D1">
              <w:rPr>
                <w:rFonts w:hAnsi="標楷體" w:hint="eastAsia"/>
                <w:sz w:val="28"/>
                <w:szCs w:val="28"/>
              </w:rPr>
              <w:t>環評審查</w:t>
            </w:r>
            <w:bookmarkStart w:id="187" w:name="_Toc18513693"/>
            <w:bookmarkStart w:id="188" w:name="_Toc18594783"/>
            <w:bookmarkStart w:id="189" w:name="_Toc18675719"/>
            <w:bookmarkEnd w:id="184"/>
            <w:bookmarkEnd w:id="185"/>
            <w:bookmarkEnd w:id="186"/>
            <w:r w:rsidRPr="007307D1">
              <w:rPr>
                <w:rFonts w:hAnsi="標楷體" w:hint="eastAsia"/>
                <w:sz w:val="28"/>
                <w:szCs w:val="28"/>
              </w:rPr>
              <w:t>第67次會議</w:t>
            </w:r>
            <w:bookmarkEnd w:id="187"/>
            <w:bookmarkEnd w:id="188"/>
            <w:bookmarkEnd w:id="189"/>
          </w:p>
        </w:tc>
        <w:tc>
          <w:tcPr>
            <w:tcW w:w="3060" w:type="dxa"/>
          </w:tcPr>
          <w:p w:rsidR="00550BAE" w:rsidRPr="007307D1" w:rsidRDefault="00550BAE" w:rsidP="00AC562D">
            <w:pPr>
              <w:adjustRightInd w:val="0"/>
              <w:snapToGrid w:val="0"/>
              <w:spacing w:line="240" w:lineRule="atLeast"/>
              <w:rPr>
                <w:rFonts w:hAnsi="標楷體"/>
                <w:sz w:val="28"/>
                <w:szCs w:val="28"/>
              </w:rPr>
            </w:pPr>
            <w:r w:rsidRPr="007307D1">
              <w:rPr>
                <w:rFonts w:hint="eastAsia"/>
                <w:sz w:val="28"/>
                <w:szCs w:val="28"/>
              </w:rPr>
              <w:t>本次會議臨時提案討論本案工程土石方數量變更事宜，決議要求開發單位先提送變更內容對照表送審，</w:t>
            </w:r>
            <w:r w:rsidRPr="007307D1">
              <w:rPr>
                <w:rFonts w:hint="eastAsia"/>
                <w:sz w:val="28"/>
                <w:szCs w:val="28"/>
              </w:rPr>
              <w:lastRenderedPageBreak/>
              <w:t>並說明變更內容及原因。</w:t>
            </w:r>
          </w:p>
        </w:tc>
        <w:tc>
          <w:tcPr>
            <w:tcW w:w="2040" w:type="dxa"/>
          </w:tcPr>
          <w:p w:rsidR="00550BAE" w:rsidRPr="007307D1" w:rsidRDefault="00550BAE" w:rsidP="00AC562D">
            <w:pPr>
              <w:adjustRightInd w:val="0"/>
              <w:snapToGrid w:val="0"/>
              <w:spacing w:line="240" w:lineRule="atLeast"/>
              <w:rPr>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190" w:name="_Toc18513694"/>
            <w:bookmarkStart w:id="191" w:name="_Toc18594784"/>
            <w:bookmarkStart w:id="192" w:name="_Toc18675720"/>
            <w:r w:rsidRPr="007307D1">
              <w:rPr>
                <w:rFonts w:hAnsi="標楷體" w:hint="eastAsia"/>
                <w:sz w:val="28"/>
                <w:szCs w:val="28"/>
              </w:rPr>
              <w:lastRenderedPageBreak/>
              <w:t>97.07.07</w:t>
            </w:r>
            <w:bookmarkEnd w:id="190"/>
            <w:bookmarkEnd w:id="191"/>
            <w:bookmarkEnd w:id="192"/>
          </w:p>
        </w:tc>
        <w:tc>
          <w:tcPr>
            <w:tcW w:w="1530" w:type="dxa"/>
          </w:tcPr>
          <w:p w:rsidR="00550BAE" w:rsidRPr="007307D1" w:rsidRDefault="00550BAE" w:rsidP="00AC562D">
            <w:pPr>
              <w:pStyle w:val="3"/>
              <w:numPr>
                <w:ilvl w:val="0"/>
                <w:numId w:val="0"/>
              </w:numPr>
              <w:rPr>
                <w:rFonts w:hAnsi="標楷體"/>
                <w:sz w:val="28"/>
                <w:szCs w:val="28"/>
              </w:rPr>
            </w:pPr>
            <w:bookmarkStart w:id="193" w:name="_Toc18513695"/>
            <w:bookmarkStart w:id="194" w:name="_Toc18594785"/>
            <w:bookmarkStart w:id="195" w:name="_Toc18675721"/>
            <w:r w:rsidRPr="007307D1">
              <w:rPr>
                <w:rFonts w:hAnsi="標楷體" w:hint="eastAsia"/>
                <w:sz w:val="28"/>
                <w:szCs w:val="28"/>
              </w:rPr>
              <w:t>環評審查</w:t>
            </w:r>
            <w:bookmarkEnd w:id="193"/>
            <w:bookmarkEnd w:id="194"/>
            <w:bookmarkEnd w:id="195"/>
          </w:p>
          <w:p w:rsidR="00550BAE" w:rsidRPr="007307D1" w:rsidRDefault="00550BAE" w:rsidP="00AC562D">
            <w:pPr>
              <w:pStyle w:val="3"/>
              <w:numPr>
                <w:ilvl w:val="0"/>
                <w:numId w:val="0"/>
              </w:numPr>
              <w:rPr>
                <w:sz w:val="28"/>
                <w:szCs w:val="28"/>
              </w:rPr>
            </w:pPr>
            <w:bookmarkStart w:id="196" w:name="_Toc18513696"/>
            <w:bookmarkStart w:id="197" w:name="_Toc18594786"/>
            <w:bookmarkStart w:id="198" w:name="_Toc18675722"/>
            <w:r w:rsidRPr="007307D1">
              <w:rPr>
                <w:rFonts w:hAnsi="標楷體" w:hint="eastAsia"/>
                <w:sz w:val="28"/>
                <w:szCs w:val="28"/>
              </w:rPr>
              <w:t>第73次會議</w:t>
            </w:r>
            <w:bookmarkEnd w:id="196"/>
            <w:bookmarkEnd w:id="197"/>
            <w:bookmarkEnd w:id="198"/>
          </w:p>
        </w:tc>
        <w:tc>
          <w:tcPr>
            <w:tcW w:w="3060" w:type="dxa"/>
          </w:tcPr>
          <w:p w:rsidR="00550BAE" w:rsidRPr="007307D1" w:rsidRDefault="00550BAE" w:rsidP="00AC562D">
            <w:pPr>
              <w:pStyle w:val="3"/>
              <w:numPr>
                <w:ilvl w:val="0"/>
                <w:numId w:val="0"/>
              </w:numPr>
              <w:rPr>
                <w:sz w:val="28"/>
                <w:szCs w:val="28"/>
              </w:rPr>
            </w:pPr>
            <w:bookmarkStart w:id="199" w:name="_Toc18513697"/>
            <w:bookmarkStart w:id="200" w:name="_Toc18594787"/>
            <w:bookmarkStart w:id="201" w:name="_Toc18675723"/>
            <w:r w:rsidRPr="007307D1">
              <w:rPr>
                <w:rFonts w:hAnsi="標楷體" w:hint="eastAsia"/>
                <w:sz w:val="28"/>
                <w:szCs w:val="28"/>
              </w:rPr>
              <w:t>本次會議決議本案變更內容對照表修正後通過。臺北市政府並以97年8月8日</w:t>
            </w:r>
            <w:proofErr w:type="gramStart"/>
            <w:r w:rsidRPr="007307D1">
              <w:rPr>
                <w:rFonts w:hAnsi="標楷體" w:hint="eastAsia"/>
                <w:sz w:val="28"/>
                <w:szCs w:val="28"/>
              </w:rPr>
              <w:t>府環四</w:t>
            </w:r>
            <w:proofErr w:type="gramEnd"/>
            <w:r w:rsidRPr="007307D1">
              <w:rPr>
                <w:rFonts w:hAnsi="標楷體" w:hint="eastAsia"/>
                <w:sz w:val="28"/>
                <w:szCs w:val="28"/>
              </w:rPr>
              <w:t>字第09734653000號函檢送前揭變更內容對照表予目的事業主管機關。</w:t>
            </w:r>
            <w:bookmarkEnd w:id="199"/>
            <w:bookmarkEnd w:id="200"/>
            <w:bookmarkEnd w:id="201"/>
          </w:p>
        </w:tc>
        <w:tc>
          <w:tcPr>
            <w:tcW w:w="2040" w:type="dxa"/>
          </w:tcPr>
          <w:p w:rsidR="00550BAE" w:rsidRPr="007307D1" w:rsidRDefault="00550BAE" w:rsidP="00AC562D">
            <w:pPr>
              <w:pStyle w:val="3"/>
              <w:numPr>
                <w:ilvl w:val="0"/>
                <w:numId w:val="0"/>
              </w:numPr>
              <w:rPr>
                <w:rFonts w:hAnsi="標楷體"/>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202" w:name="_Toc18513698"/>
            <w:bookmarkStart w:id="203" w:name="_Toc18594788"/>
            <w:bookmarkStart w:id="204" w:name="_Toc18675724"/>
            <w:r w:rsidRPr="007307D1">
              <w:rPr>
                <w:rFonts w:hAnsi="標楷體" w:hint="eastAsia"/>
                <w:sz w:val="28"/>
                <w:szCs w:val="28"/>
              </w:rPr>
              <w:t>97.07-08</w:t>
            </w:r>
            <w:bookmarkEnd w:id="202"/>
            <w:bookmarkEnd w:id="203"/>
            <w:bookmarkEnd w:id="204"/>
          </w:p>
        </w:tc>
        <w:tc>
          <w:tcPr>
            <w:tcW w:w="1530" w:type="dxa"/>
          </w:tcPr>
          <w:p w:rsidR="00550BAE" w:rsidRPr="007307D1" w:rsidRDefault="00550BAE" w:rsidP="00AC562D">
            <w:pPr>
              <w:pStyle w:val="3"/>
              <w:numPr>
                <w:ilvl w:val="0"/>
                <w:numId w:val="0"/>
              </w:numPr>
              <w:rPr>
                <w:sz w:val="28"/>
                <w:szCs w:val="28"/>
              </w:rPr>
            </w:pPr>
            <w:bookmarkStart w:id="205" w:name="_Toc18513699"/>
            <w:bookmarkStart w:id="206" w:name="_Toc18594789"/>
            <w:bookmarkStart w:id="207" w:name="_Toc18675725"/>
            <w:r w:rsidRPr="007307D1">
              <w:rPr>
                <w:rFonts w:hAnsi="標楷體" w:hint="eastAsia"/>
                <w:sz w:val="28"/>
                <w:szCs w:val="28"/>
              </w:rPr>
              <w:t>提起行政訴訟</w:t>
            </w:r>
            <w:bookmarkEnd w:id="205"/>
            <w:bookmarkEnd w:id="206"/>
            <w:bookmarkEnd w:id="207"/>
          </w:p>
        </w:tc>
        <w:tc>
          <w:tcPr>
            <w:tcW w:w="3060" w:type="dxa"/>
          </w:tcPr>
          <w:p w:rsidR="00550BAE" w:rsidRPr="007307D1" w:rsidRDefault="00550BAE" w:rsidP="00AC562D">
            <w:pPr>
              <w:pStyle w:val="3"/>
              <w:numPr>
                <w:ilvl w:val="0"/>
                <w:numId w:val="0"/>
              </w:numPr>
              <w:rPr>
                <w:sz w:val="28"/>
                <w:szCs w:val="28"/>
              </w:rPr>
            </w:pPr>
            <w:bookmarkStart w:id="208" w:name="_Toc18513700"/>
            <w:bookmarkStart w:id="209" w:name="_Toc18594790"/>
            <w:bookmarkStart w:id="210" w:name="_Toc18675726"/>
            <w:r w:rsidRPr="007307D1">
              <w:rPr>
                <w:rFonts w:hAnsi="標楷體" w:hint="eastAsia"/>
                <w:sz w:val="28"/>
                <w:szCs w:val="28"/>
              </w:rPr>
              <w:t>部分民間團體不服環評會第73次會議決議，及臺北市政府97年8月8日</w:t>
            </w:r>
            <w:proofErr w:type="gramStart"/>
            <w:r w:rsidRPr="007307D1">
              <w:rPr>
                <w:rFonts w:hAnsi="標楷體" w:hint="eastAsia"/>
                <w:sz w:val="28"/>
                <w:szCs w:val="28"/>
              </w:rPr>
              <w:t>府環四</w:t>
            </w:r>
            <w:proofErr w:type="gramEnd"/>
            <w:r w:rsidRPr="007307D1">
              <w:rPr>
                <w:rFonts w:hAnsi="標楷體" w:hint="eastAsia"/>
                <w:sz w:val="28"/>
                <w:szCs w:val="28"/>
              </w:rPr>
              <w:t>字第09734653000號函，提起行政訴訟。</w:t>
            </w:r>
            <w:bookmarkEnd w:id="208"/>
            <w:bookmarkEnd w:id="209"/>
            <w:bookmarkEnd w:id="210"/>
          </w:p>
        </w:tc>
        <w:tc>
          <w:tcPr>
            <w:tcW w:w="2040" w:type="dxa"/>
          </w:tcPr>
          <w:p w:rsidR="00550BAE" w:rsidRPr="007307D1" w:rsidRDefault="00550BAE" w:rsidP="00AC562D">
            <w:pPr>
              <w:pStyle w:val="3"/>
              <w:numPr>
                <w:ilvl w:val="0"/>
                <w:numId w:val="0"/>
              </w:numPr>
              <w:rPr>
                <w:rFonts w:hAnsi="標楷體"/>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211" w:name="_Toc18513701"/>
            <w:bookmarkStart w:id="212" w:name="_Toc18594791"/>
            <w:bookmarkStart w:id="213" w:name="_Toc18675727"/>
            <w:r w:rsidRPr="007307D1">
              <w:rPr>
                <w:rFonts w:hAnsi="標楷體" w:hint="eastAsia"/>
                <w:sz w:val="28"/>
                <w:szCs w:val="28"/>
              </w:rPr>
              <w:t>102.08.29</w:t>
            </w:r>
            <w:bookmarkEnd w:id="211"/>
            <w:bookmarkEnd w:id="212"/>
            <w:bookmarkEnd w:id="213"/>
          </w:p>
        </w:tc>
        <w:tc>
          <w:tcPr>
            <w:tcW w:w="1530" w:type="dxa"/>
          </w:tcPr>
          <w:p w:rsidR="00550BAE" w:rsidRPr="007307D1" w:rsidRDefault="00550BAE" w:rsidP="00AC562D">
            <w:pPr>
              <w:pStyle w:val="3"/>
              <w:numPr>
                <w:ilvl w:val="0"/>
                <w:numId w:val="0"/>
              </w:numPr>
              <w:rPr>
                <w:sz w:val="28"/>
                <w:szCs w:val="28"/>
              </w:rPr>
            </w:pPr>
            <w:bookmarkStart w:id="214" w:name="_Toc18513702"/>
            <w:bookmarkStart w:id="215" w:name="_Toc18594792"/>
            <w:bookmarkStart w:id="216" w:name="_Toc18675728"/>
            <w:proofErr w:type="gramStart"/>
            <w:r w:rsidRPr="007307D1">
              <w:rPr>
                <w:rFonts w:hAnsi="標楷體" w:hint="eastAsia"/>
                <w:sz w:val="28"/>
                <w:szCs w:val="28"/>
              </w:rPr>
              <w:t>臺</w:t>
            </w:r>
            <w:proofErr w:type="gramEnd"/>
            <w:r w:rsidRPr="007307D1">
              <w:rPr>
                <w:rFonts w:hAnsi="標楷體" w:hint="eastAsia"/>
                <w:sz w:val="28"/>
                <w:szCs w:val="28"/>
              </w:rPr>
              <w:t>北高等行政法院判決</w:t>
            </w:r>
            <w:bookmarkEnd w:id="214"/>
            <w:bookmarkEnd w:id="215"/>
            <w:bookmarkEnd w:id="216"/>
          </w:p>
        </w:tc>
        <w:tc>
          <w:tcPr>
            <w:tcW w:w="3060" w:type="dxa"/>
          </w:tcPr>
          <w:p w:rsidR="00550BAE" w:rsidRPr="007307D1" w:rsidRDefault="00550BAE" w:rsidP="00AC562D">
            <w:pPr>
              <w:pStyle w:val="3"/>
              <w:numPr>
                <w:ilvl w:val="0"/>
                <w:numId w:val="0"/>
              </w:numPr>
              <w:rPr>
                <w:sz w:val="28"/>
                <w:szCs w:val="28"/>
              </w:rPr>
            </w:pPr>
            <w:bookmarkStart w:id="217" w:name="_Toc18513703"/>
            <w:bookmarkStart w:id="218" w:name="_Toc18594793"/>
            <w:bookmarkStart w:id="219" w:name="_Toc18675729"/>
            <w:proofErr w:type="gramStart"/>
            <w:r w:rsidRPr="007307D1">
              <w:rPr>
                <w:rFonts w:hAnsi="標楷體" w:hint="eastAsia"/>
                <w:sz w:val="28"/>
                <w:szCs w:val="28"/>
              </w:rPr>
              <w:t>100</w:t>
            </w:r>
            <w:proofErr w:type="gramEnd"/>
            <w:r w:rsidRPr="007307D1">
              <w:rPr>
                <w:rFonts w:hAnsi="標楷體" w:hint="eastAsia"/>
                <w:sz w:val="28"/>
                <w:szCs w:val="28"/>
              </w:rPr>
              <w:t>年度訴更一字第184號判決撤銷臺北市政府前開處分，臺北市政府不服判決，提起上訴。</w:t>
            </w:r>
            <w:bookmarkEnd w:id="217"/>
            <w:bookmarkEnd w:id="218"/>
            <w:bookmarkEnd w:id="219"/>
          </w:p>
        </w:tc>
        <w:tc>
          <w:tcPr>
            <w:tcW w:w="2040" w:type="dxa"/>
          </w:tcPr>
          <w:p w:rsidR="00550BAE" w:rsidRPr="007307D1" w:rsidRDefault="00550BAE" w:rsidP="00AC562D">
            <w:pPr>
              <w:pStyle w:val="3"/>
              <w:numPr>
                <w:ilvl w:val="0"/>
                <w:numId w:val="0"/>
              </w:numPr>
              <w:rPr>
                <w:rFonts w:hAnsi="標楷體"/>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220" w:name="_Toc18513704"/>
            <w:bookmarkStart w:id="221" w:name="_Toc18594794"/>
            <w:bookmarkStart w:id="222" w:name="_Toc18675730"/>
            <w:r w:rsidRPr="007307D1">
              <w:rPr>
                <w:rFonts w:hint="eastAsia"/>
                <w:sz w:val="28"/>
                <w:szCs w:val="28"/>
              </w:rPr>
              <w:t>103.02.13</w:t>
            </w:r>
            <w:bookmarkEnd w:id="220"/>
            <w:bookmarkEnd w:id="221"/>
            <w:bookmarkEnd w:id="222"/>
          </w:p>
        </w:tc>
        <w:tc>
          <w:tcPr>
            <w:tcW w:w="1530" w:type="dxa"/>
          </w:tcPr>
          <w:p w:rsidR="00550BAE" w:rsidRPr="007307D1" w:rsidRDefault="00550BAE" w:rsidP="00AC562D">
            <w:pPr>
              <w:pStyle w:val="3"/>
              <w:numPr>
                <w:ilvl w:val="0"/>
                <w:numId w:val="0"/>
              </w:numPr>
              <w:rPr>
                <w:sz w:val="28"/>
                <w:szCs w:val="28"/>
              </w:rPr>
            </w:pPr>
            <w:bookmarkStart w:id="223" w:name="_Toc18513705"/>
            <w:bookmarkStart w:id="224" w:name="_Toc18594795"/>
            <w:bookmarkStart w:id="225" w:name="_Toc18675731"/>
            <w:r w:rsidRPr="007307D1">
              <w:rPr>
                <w:rFonts w:hAnsi="標楷體" w:hint="eastAsia"/>
                <w:sz w:val="28"/>
                <w:szCs w:val="28"/>
              </w:rPr>
              <w:t>最高行政法院判決駁回上訴</w:t>
            </w:r>
            <w:bookmarkEnd w:id="223"/>
            <w:bookmarkEnd w:id="224"/>
            <w:bookmarkEnd w:id="225"/>
          </w:p>
        </w:tc>
        <w:tc>
          <w:tcPr>
            <w:tcW w:w="3060" w:type="dxa"/>
          </w:tcPr>
          <w:p w:rsidR="00550BAE" w:rsidRPr="007307D1" w:rsidRDefault="00550BAE" w:rsidP="00AC562D">
            <w:pPr>
              <w:pStyle w:val="3"/>
              <w:numPr>
                <w:ilvl w:val="0"/>
                <w:numId w:val="0"/>
              </w:numPr>
              <w:rPr>
                <w:sz w:val="28"/>
                <w:szCs w:val="28"/>
              </w:rPr>
            </w:pPr>
            <w:bookmarkStart w:id="226" w:name="_Toc18513706"/>
            <w:bookmarkStart w:id="227" w:name="_Toc18594796"/>
            <w:bookmarkStart w:id="228" w:name="_Toc18675732"/>
            <w:r w:rsidRPr="007307D1">
              <w:rPr>
                <w:rFonts w:hAnsi="標楷體" w:hint="eastAsia"/>
                <w:sz w:val="28"/>
                <w:szCs w:val="28"/>
              </w:rPr>
              <w:t>最高行政法院</w:t>
            </w:r>
            <w:proofErr w:type="gramStart"/>
            <w:r w:rsidRPr="007307D1">
              <w:rPr>
                <w:rFonts w:hAnsi="標楷體" w:hint="eastAsia"/>
                <w:sz w:val="28"/>
                <w:szCs w:val="28"/>
              </w:rPr>
              <w:t>103</w:t>
            </w:r>
            <w:proofErr w:type="gramEnd"/>
            <w:r w:rsidRPr="007307D1">
              <w:rPr>
                <w:rFonts w:hAnsi="標楷體" w:hint="eastAsia"/>
                <w:sz w:val="28"/>
                <w:szCs w:val="28"/>
              </w:rPr>
              <w:t>年度判字第66號判決，駁回臺北市政府上訴。</w:t>
            </w:r>
            <w:bookmarkEnd w:id="226"/>
            <w:bookmarkEnd w:id="227"/>
            <w:bookmarkEnd w:id="228"/>
            <w:r w:rsidRPr="007307D1">
              <w:rPr>
                <w:sz w:val="28"/>
                <w:szCs w:val="28"/>
              </w:rPr>
              <w:t xml:space="preserve"> </w:t>
            </w:r>
          </w:p>
        </w:tc>
        <w:tc>
          <w:tcPr>
            <w:tcW w:w="2040" w:type="dxa"/>
          </w:tcPr>
          <w:p w:rsidR="00550BAE" w:rsidRPr="007307D1" w:rsidRDefault="00550BAE" w:rsidP="00AC562D">
            <w:pPr>
              <w:pStyle w:val="3"/>
              <w:numPr>
                <w:ilvl w:val="0"/>
                <w:numId w:val="0"/>
              </w:numPr>
              <w:rPr>
                <w:rFonts w:hAnsi="標楷體"/>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229" w:name="_Toc18513707"/>
            <w:bookmarkStart w:id="230" w:name="_Toc18594797"/>
            <w:bookmarkStart w:id="231" w:name="_Toc18675733"/>
            <w:r w:rsidRPr="007307D1">
              <w:rPr>
                <w:rFonts w:hint="eastAsia"/>
                <w:sz w:val="28"/>
                <w:szCs w:val="28"/>
              </w:rPr>
              <w:t>103.03.26</w:t>
            </w:r>
            <w:bookmarkEnd w:id="229"/>
            <w:bookmarkEnd w:id="230"/>
            <w:bookmarkEnd w:id="231"/>
          </w:p>
        </w:tc>
        <w:tc>
          <w:tcPr>
            <w:tcW w:w="1530" w:type="dxa"/>
          </w:tcPr>
          <w:p w:rsidR="00550BAE" w:rsidRPr="007307D1" w:rsidRDefault="00550BAE" w:rsidP="00AC562D">
            <w:pPr>
              <w:pStyle w:val="3"/>
              <w:numPr>
                <w:ilvl w:val="0"/>
                <w:numId w:val="0"/>
              </w:numPr>
              <w:rPr>
                <w:sz w:val="28"/>
                <w:szCs w:val="28"/>
              </w:rPr>
            </w:pPr>
            <w:bookmarkStart w:id="232" w:name="_Toc18513708"/>
            <w:bookmarkStart w:id="233" w:name="_Toc18594798"/>
            <w:bookmarkStart w:id="234" w:name="_Toc18675734"/>
            <w:r w:rsidRPr="007307D1">
              <w:rPr>
                <w:rFonts w:hAnsi="標楷體" w:hint="eastAsia"/>
                <w:sz w:val="28"/>
                <w:szCs w:val="28"/>
              </w:rPr>
              <w:t>環評審查</w:t>
            </w:r>
            <w:bookmarkStart w:id="235" w:name="_Toc18513709"/>
            <w:bookmarkStart w:id="236" w:name="_Toc18594799"/>
            <w:bookmarkStart w:id="237" w:name="_Toc18675735"/>
            <w:bookmarkEnd w:id="232"/>
            <w:bookmarkEnd w:id="233"/>
            <w:bookmarkEnd w:id="234"/>
            <w:r w:rsidRPr="007307D1">
              <w:rPr>
                <w:rFonts w:hAnsi="標楷體" w:hint="eastAsia"/>
                <w:sz w:val="28"/>
                <w:szCs w:val="28"/>
              </w:rPr>
              <w:t>第136次會議</w:t>
            </w:r>
            <w:bookmarkEnd w:id="235"/>
            <w:bookmarkEnd w:id="236"/>
            <w:bookmarkEnd w:id="237"/>
          </w:p>
        </w:tc>
        <w:tc>
          <w:tcPr>
            <w:tcW w:w="3060" w:type="dxa"/>
          </w:tcPr>
          <w:p w:rsidR="00550BAE" w:rsidRPr="007307D1" w:rsidRDefault="00550BAE" w:rsidP="00AC562D">
            <w:pPr>
              <w:pStyle w:val="3"/>
              <w:numPr>
                <w:ilvl w:val="0"/>
                <w:numId w:val="0"/>
              </w:numPr>
              <w:rPr>
                <w:sz w:val="28"/>
                <w:szCs w:val="28"/>
              </w:rPr>
            </w:pPr>
            <w:bookmarkStart w:id="238" w:name="_Toc18513710"/>
            <w:bookmarkStart w:id="239" w:name="_Toc18594800"/>
            <w:bookmarkStart w:id="240" w:name="_Toc18675736"/>
            <w:r w:rsidRPr="007307D1">
              <w:rPr>
                <w:rFonts w:hAnsi="標楷體" w:hint="eastAsia"/>
                <w:sz w:val="28"/>
                <w:szCs w:val="28"/>
              </w:rPr>
              <w:t>本次會議決議：依最高行政法院判決，請開發單位辦理環境影響差異分析報告相關作業。</w:t>
            </w:r>
            <w:bookmarkEnd w:id="238"/>
            <w:bookmarkEnd w:id="239"/>
            <w:bookmarkEnd w:id="240"/>
          </w:p>
        </w:tc>
        <w:tc>
          <w:tcPr>
            <w:tcW w:w="2040" w:type="dxa"/>
          </w:tcPr>
          <w:p w:rsidR="00550BAE" w:rsidRPr="007307D1" w:rsidRDefault="00550BAE" w:rsidP="00AC562D">
            <w:pPr>
              <w:pStyle w:val="3"/>
              <w:numPr>
                <w:ilvl w:val="0"/>
                <w:numId w:val="0"/>
              </w:numPr>
              <w:rPr>
                <w:rFonts w:hAnsi="標楷體"/>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241" w:name="_Toc18513711"/>
            <w:bookmarkStart w:id="242" w:name="_Toc18594801"/>
            <w:bookmarkStart w:id="243" w:name="_Toc18675737"/>
            <w:r w:rsidRPr="007307D1">
              <w:rPr>
                <w:rFonts w:hint="eastAsia"/>
                <w:sz w:val="28"/>
                <w:szCs w:val="28"/>
              </w:rPr>
              <w:t>106.</w:t>
            </w:r>
            <w:bookmarkEnd w:id="241"/>
            <w:bookmarkEnd w:id="242"/>
            <w:bookmarkEnd w:id="243"/>
          </w:p>
        </w:tc>
        <w:tc>
          <w:tcPr>
            <w:tcW w:w="1530" w:type="dxa"/>
          </w:tcPr>
          <w:p w:rsidR="00550BAE" w:rsidRPr="007307D1" w:rsidRDefault="00550BAE" w:rsidP="00AC562D">
            <w:pPr>
              <w:pStyle w:val="3"/>
              <w:numPr>
                <w:ilvl w:val="0"/>
                <w:numId w:val="0"/>
              </w:numPr>
              <w:rPr>
                <w:rFonts w:hAnsi="標楷體"/>
                <w:sz w:val="28"/>
                <w:szCs w:val="28"/>
              </w:rPr>
            </w:pPr>
            <w:bookmarkStart w:id="244" w:name="_Toc18513712"/>
            <w:bookmarkStart w:id="245" w:name="_Toc18594802"/>
            <w:bookmarkStart w:id="246" w:name="_Toc18675738"/>
            <w:r w:rsidRPr="007307D1">
              <w:rPr>
                <w:rFonts w:hAnsi="標楷體" w:hint="eastAsia"/>
                <w:sz w:val="28"/>
                <w:szCs w:val="28"/>
              </w:rPr>
              <w:t>開發單位提送環境影響差異分析報告</w:t>
            </w:r>
            <w:bookmarkEnd w:id="244"/>
            <w:bookmarkEnd w:id="245"/>
            <w:bookmarkEnd w:id="246"/>
          </w:p>
        </w:tc>
        <w:tc>
          <w:tcPr>
            <w:tcW w:w="3060" w:type="dxa"/>
          </w:tcPr>
          <w:p w:rsidR="00550BAE" w:rsidRPr="007307D1" w:rsidRDefault="00550BAE" w:rsidP="00AC562D">
            <w:pPr>
              <w:pStyle w:val="3"/>
              <w:numPr>
                <w:ilvl w:val="0"/>
                <w:numId w:val="0"/>
              </w:numPr>
              <w:rPr>
                <w:rFonts w:hAnsi="標楷體"/>
                <w:sz w:val="28"/>
                <w:szCs w:val="28"/>
              </w:rPr>
            </w:pPr>
            <w:bookmarkStart w:id="247" w:name="_Toc18513713"/>
            <w:bookmarkStart w:id="248" w:name="_Toc18594803"/>
            <w:bookmarkStart w:id="249" w:name="_Toc18675739"/>
            <w:r w:rsidRPr="007307D1">
              <w:rPr>
                <w:rFonts w:hAnsi="標楷體" w:hint="eastAsia"/>
                <w:sz w:val="28"/>
                <w:szCs w:val="28"/>
              </w:rPr>
              <w:t>開發單位依前開會議決議，提出「臺北市士林區住六之六自辦市地重劃區第2次環境影響差異分析報告（土石方量變更）」</w:t>
            </w:r>
            <w:bookmarkEnd w:id="247"/>
            <w:bookmarkEnd w:id="248"/>
            <w:bookmarkEnd w:id="249"/>
          </w:p>
        </w:tc>
        <w:tc>
          <w:tcPr>
            <w:tcW w:w="2040" w:type="dxa"/>
          </w:tcPr>
          <w:p w:rsidR="00550BAE" w:rsidRPr="007307D1" w:rsidRDefault="00550BAE" w:rsidP="00AC562D">
            <w:pPr>
              <w:pStyle w:val="3"/>
              <w:numPr>
                <w:ilvl w:val="0"/>
                <w:numId w:val="0"/>
              </w:numPr>
              <w:rPr>
                <w:rFonts w:hAnsi="標楷體"/>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250" w:name="_Toc18513714"/>
            <w:bookmarkStart w:id="251" w:name="_Toc18594804"/>
            <w:bookmarkStart w:id="252" w:name="_Toc18675740"/>
            <w:r w:rsidRPr="007307D1">
              <w:rPr>
                <w:rFonts w:hint="eastAsia"/>
                <w:sz w:val="28"/>
                <w:szCs w:val="28"/>
              </w:rPr>
              <w:t>106.05.19</w:t>
            </w:r>
            <w:bookmarkEnd w:id="250"/>
            <w:bookmarkEnd w:id="251"/>
            <w:bookmarkEnd w:id="252"/>
          </w:p>
        </w:tc>
        <w:tc>
          <w:tcPr>
            <w:tcW w:w="1530" w:type="dxa"/>
          </w:tcPr>
          <w:p w:rsidR="00550BAE" w:rsidRPr="007307D1" w:rsidRDefault="00550BAE" w:rsidP="00AC562D">
            <w:pPr>
              <w:pStyle w:val="3"/>
              <w:numPr>
                <w:ilvl w:val="0"/>
                <w:numId w:val="0"/>
              </w:numPr>
              <w:rPr>
                <w:rFonts w:hAnsi="標楷體"/>
                <w:sz w:val="28"/>
                <w:szCs w:val="28"/>
              </w:rPr>
            </w:pPr>
            <w:bookmarkStart w:id="253" w:name="_Toc18513715"/>
            <w:bookmarkStart w:id="254" w:name="_Toc18594805"/>
            <w:bookmarkStart w:id="255" w:name="_Toc18675741"/>
            <w:r w:rsidRPr="007307D1">
              <w:rPr>
                <w:rFonts w:hAnsi="標楷體" w:hint="eastAsia"/>
                <w:sz w:val="28"/>
                <w:szCs w:val="28"/>
              </w:rPr>
              <w:t>環評審查</w:t>
            </w:r>
            <w:bookmarkStart w:id="256" w:name="_Toc18513716"/>
            <w:bookmarkStart w:id="257" w:name="_Toc18594806"/>
            <w:bookmarkStart w:id="258" w:name="_Toc18675742"/>
            <w:bookmarkEnd w:id="253"/>
            <w:bookmarkEnd w:id="254"/>
            <w:bookmarkEnd w:id="255"/>
            <w:r w:rsidRPr="007307D1">
              <w:rPr>
                <w:rFonts w:hAnsi="標楷體" w:hint="eastAsia"/>
                <w:sz w:val="28"/>
                <w:szCs w:val="28"/>
              </w:rPr>
              <w:lastRenderedPageBreak/>
              <w:t>第182次會議</w:t>
            </w:r>
            <w:bookmarkEnd w:id="256"/>
            <w:bookmarkEnd w:id="257"/>
            <w:bookmarkEnd w:id="258"/>
          </w:p>
        </w:tc>
        <w:tc>
          <w:tcPr>
            <w:tcW w:w="3060" w:type="dxa"/>
          </w:tcPr>
          <w:p w:rsidR="00550BAE" w:rsidRPr="007307D1" w:rsidRDefault="00550BAE" w:rsidP="00AC562D">
            <w:pPr>
              <w:pStyle w:val="3"/>
              <w:numPr>
                <w:ilvl w:val="0"/>
                <w:numId w:val="0"/>
              </w:numPr>
              <w:rPr>
                <w:rFonts w:hAnsi="標楷體"/>
                <w:sz w:val="28"/>
                <w:szCs w:val="28"/>
              </w:rPr>
            </w:pPr>
            <w:bookmarkStart w:id="259" w:name="_Toc18513717"/>
            <w:bookmarkStart w:id="260" w:name="_Toc18594807"/>
            <w:bookmarkStart w:id="261" w:name="_Toc18675743"/>
            <w:r w:rsidRPr="007307D1">
              <w:rPr>
                <w:rFonts w:hAnsi="標楷體" w:hint="eastAsia"/>
                <w:sz w:val="28"/>
                <w:szCs w:val="28"/>
              </w:rPr>
              <w:lastRenderedPageBreak/>
              <w:t>決議本案暫停審查，</w:t>
            </w:r>
            <w:r w:rsidRPr="007307D1">
              <w:rPr>
                <w:rFonts w:hAnsi="標楷體" w:hint="eastAsia"/>
                <w:sz w:val="28"/>
                <w:szCs w:val="28"/>
              </w:rPr>
              <w:lastRenderedPageBreak/>
              <w:t>待環保署「開發行為應實施環境影響評估細目及範圍認定標準」修正後再憑辦理。</w:t>
            </w:r>
            <w:bookmarkEnd w:id="259"/>
            <w:bookmarkEnd w:id="260"/>
            <w:bookmarkEnd w:id="261"/>
          </w:p>
        </w:tc>
        <w:tc>
          <w:tcPr>
            <w:tcW w:w="2040" w:type="dxa"/>
          </w:tcPr>
          <w:p w:rsidR="00550BAE" w:rsidRPr="007307D1" w:rsidRDefault="00550BAE" w:rsidP="00AC562D">
            <w:pPr>
              <w:pStyle w:val="3"/>
              <w:numPr>
                <w:ilvl w:val="0"/>
                <w:numId w:val="0"/>
              </w:numPr>
              <w:rPr>
                <w:rFonts w:hAnsi="標楷體"/>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262" w:name="_Toc18513718"/>
            <w:bookmarkStart w:id="263" w:name="_Toc18594808"/>
            <w:bookmarkStart w:id="264" w:name="_Toc18675744"/>
            <w:r w:rsidRPr="007307D1">
              <w:rPr>
                <w:rFonts w:hint="eastAsia"/>
                <w:sz w:val="28"/>
                <w:szCs w:val="28"/>
              </w:rPr>
              <w:lastRenderedPageBreak/>
              <w:t>107.01.05</w:t>
            </w:r>
            <w:bookmarkEnd w:id="262"/>
            <w:bookmarkEnd w:id="263"/>
            <w:bookmarkEnd w:id="264"/>
          </w:p>
        </w:tc>
        <w:tc>
          <w:tcPr>
            <w:tcW w:w="1530" w:type="dxa"/>
          </w:tcPr>
          <w:p w:rsidR="00550BAE" w:rsidRPr="007307D1" w:rsidRDefault="00550BAE" w:rsidP="00AC562D">
            <w:pPr>
              <w:pStyle w:val="3"/>
              <w:numPr>
                <w:ilvl w:val="0"/>
                <w:numId w:val="0"/>
              </w:numPr>
              <w:rPr>
                <w:rFonts w:hAnsi="標楷體"/>
                <w:sz w:val="28"/>
                <w:szCs w:val="28"/>
              </w:rPr>
            </w:pPr>
            <w:bookmarkStart w:id="265" w:name="_Toc18513719"/>
            <w:bookmarkStart w:id="266" w:name="_Toc18594809"/>
            <w:bookmarkStart w:id="267" w:name="_Toc18675745"/>
            <w:r w:rsidRPr="007307D1">
              <w:rPr>
                <w:rFonts w:hAnsi="標楷體" w:hint="eastAsia"/>
                <w:sz w:val="28"/>
                <w:szCs w:val="28"/>
              </w:rPr>
              <w:t>環評審查</w:t>
            </w:r>
            <w:bookmarkEnd w:id="265"/>
            <w:bookmarkEnd w:id="266"/>
            <w:bookmarkEnd w:id="267"/>
          </w:p>
          <w:p w:rsidR="00550BAE" w:rsidRPr="007307D1" w:rsidRDefault="00550BAE" w:rsidP="00AC562D">
            <w:pPr>
              <w:pStyle w:val="3"/>
              <w:numPr>
                <w:ilvl w:val="0"/>
                <w:numId w:val="0"/>
              </w:numPr>
              <w:rPr>
                <w:rFonts w:hAnsi="標楷體"/>
                <w:sz w:val="28"/>
                <w:szCs w:val="28"/>
              </w:rPr>
            </w:pPr>
            <w:bookmarkStart w:id="268" w:name="_Toc18513720"/>
            <w:bookmarkStart w:id="269" w:name="_Toc18594810"/>
            <w:bookmarkStart w:id="270" w:name="_Toc18675746"/>
            <w:r w:rsidRPr="007307D1">
              <w:rPr>
                <w:rFonts w:hAnsi="標楷體" w:hint="eastAsia"/>
                <w:sz w:val="28"/>
                <w:szCs w:val="28"/>
              </w:rPr>
              <w:t>第191次會議</w:t>
            </w:r>
            <w:bookmarkEnd w:id="268"/>
            <w:bookmarkEnd w:id="269"/>
            <w:bookmarkEnd w:id="270"/>
          </w:p>
        </w:tc>
        <w:tc>
          <w:tcPr>
            <w:tcW w:w="3060" w:type="dxa"/>
          </w:tcPr>
          <w:p w:rsidR="00550BAE" w:rsidRPr="007307D1" w:rsidRDefault="00550BAE" w:rsidP="00AC562D">
            <w:pPr>
              <w:pStyle w:val="3"/>
              <w:numPr>
                <w:ilvl w:val="0"/>
                <w:numId w:val="0"/>
              </w:numPr>
              <w:rPr>
                <w:rFonts w:hAnsi="標楷體"/>
                <w:sz w:val="28"/>
                <w:szCs w:val="28"/>
              </w:rPr>
            </w:pPr>
            <w:bookmarkStart w:id="271" w:name="_Toc18513721"/>
            <w:bookmarkStart w:id="272" w:name="_Toc18594811"/>
            <w:bookmarkStart w:id="273" w:name="_Toc18675747"/>
            <w:r w:rsidRPr="007307D1">
              <w:rPr>
                <w:rFonts w:hAnsi="標楷體" w:hint="eastAsia"/>
                <w:sz w:val="28"/>
                <w:szCs w:val="28"/>
              </w:rPr>
              <w:t>本次會議程序因民眾抗議中斷。</w:t>
            </w:r>
            <w:bookmarkEnd w:id="271"/>
            <w:bookmarkEnd w:id="272"/>
            <w:bookmarkEnd w:id="273"/>
          </w:p>
        </w:tc>
        <w:tc>
          <w:tcPr>
            <w:tcW w:w="2040" w:type="dxa"/>
          </w:tcPr>
          <w:p w:rsidR="00550BAE" w:rsidRPr="007307D1" w:rsidRDefault="00550BAE" w:rsidP="00AC562D">
            <w:pPr>
              <w:pStyle w:val="3"/>
              <w:numPr>
                <w:ilvl w:val="0"/>
                <w:numId w:val="0"/>
              </w:numPr>
              <w:rPr>
                <w:rFonts w:hAnsi="標楷體"/>
                <w:sz w:val="28"/>
                <w:szCs w:val="28"/>
              </w:rPr>
            </w:pPr>
          </w:p>
        </w:tc>
      </w:tr>
      <w:tr w:rsidR="00550BAE" w:rsidRPr="007307D1" w:rsidTr="00AC562D">
        <w:tc>
          <w:tcPr>
            <w:tcW w:w="2210" w:type="dxa"/>
          </w:tcPr>
          <w:p w:rsidR="00550BAE" w:rsidRPr="007307D1" w:rsidRDefault="00550BAE" w:rsidP="00AC562D">
            <w:pPr>
              <w:pStyle w:val="3"/>
              <w:numPr>
                <w:ilvl w:val="0"/>
                <w:numId w:val="0"/>
              </w:numPr>
              <w:rPr>
                <w:sz w:val="28"/>
                <w:szCs w:val="28"/>
              </w:rPr>
            </w:pPr>
            <w:bookmarkStart w:id="274" w:name="_Toc18513722"/>
            <w:bookmarkStart w:id="275" w:name="_Toc18594812"/>
            <w:bookmarkStart w:id="276" w:name="_Toc18675748"/>
            <w:r w:rsidRPr="007307D1">
              <w:rPr>
                <w:rFonts w:hint="eastAsia"/>
                <w:sz w:val="28"/>
                <w:szCs w:val="28"/>
              </w:rPr>
              <w:t>107.02.02</w:t>
            </w:r>
            <w:bookmarkEnd w:id="274"/>
            <w:bookmarkEnd w:id="275"/>
            <w:bookmarkEnd w:id="276"/>
          </w:p>
        </w:tc>
        <w:tc>
          <w:tcPr>
            <w:tcW w:w="1530" w:type="dxa"/>
          </w:tcPr>
          <w:p w:rsidR="00550BAE" w:rsidRPr="007307D1" w:rsidRDefault="00550BAE" w:rsidP="00AC562D">
            <w:pPr>
              <w:pStyle w:val="3"/>
              <w:numPr>
                <w:ilvl w:val="0"/>
                <w:numId w:val="0"/>
              </w:numPr>
              <w:rPr>
                <w:rFonts w:hAnsi="標楷體"/>
                <w:sz w:val="28"/>
                <w:szCs w:val="28"/>
              </w:rPr>
            </w:pPr>
            <w:bookmarkStart w:id="277" w:name="_Toc18513723"/>
            <w:bookmarkStart w:id="278" w:name="_Toc18594813"/>
            <w:bookmarkStart w:id="279" w:name="_Toc18675749"/>
            <w:r w:rsidRPr="007307D1">
              <w:rPr>
                <w:rFonts w:hAnsi="標楷體" w:hint="eastAsia"/>
                <w:sz w:val="28"/>
                <w:szCs w:val="28"/>
              </w:rPr>
              <w:t>臺北市政府退回環境影響差異分析報告</w:t>
            </w:r>
            <w:bookmarkEnd w:id="277"/>
            <w:bookmarkEnd w:id="278"/>
            <w:bookmarkEnd w:id="279"/>
          </w:p>
        </w:tc>
        <w:tc>
          <w:tcPr>
            <w:tcW w:w="3060" w:type="dxa"/>
          </w:tcPr>
          <w:p w:rsidR="00550BAE" w:rsidRPr="007307D1" w:rsidRDefault="00550BAE" w:rsidP="00AC562D">
            <w:pPr>
              <w:pStyle w:val="3"/>
              <w:numPr>
                <w:ilvl w:val="0"/>
                <w:numId w:val="0"/>
              </w:numPr>
              <w:rPr>
                <w:rFonts w:hAnsi="標楷體"/>
                <w:sz w:val="28"/>
                <w:szCs w:val="28"/>
              </w:rPr>
            </w:pPr>
            <w:bookmarkStart w:id="280" w:name="_Toc18513724"/>
            <w:bookmarkStart w:id="281" w:name="_Toc18594814"/>
            <w:bookmarkStart w:id="282" w:name="_Toc18675750"/>
            <w:r w:rsidRPr="007307D1">
              <w:rPr>
                <w:rFonts w:hAnsi="標楷體" w:hint="eastAsia"/>
                <w:sz w:val="28"/>
                <w:szCs w:val="28"/>
              </w:rPr>
              <w:t>因開發單位（重劃會）於106年分別提送污水處理廠工程及污水管線工程水土保持計畫，與所送環境影響差異分析報告不同，臺北市政府已退回重劃會，請</w:t>
            </w:r>
            <w:proofErr w:type="gramStart"/>
            <w:r w:rsidRPr="007307D1">
              <w:rPr>
                <w:rFonts w:hAnsi="標楷體" w:hint="eastAsia"/>
                <w:sz w:val="28"/>
                <w:szCs w:val="28"/>
              </w:rPr>
              <w:t>釐</w:t>
            </w:r>
            <w:proofErr w:type="gramEnd"/>
            <w:r w:rsidRPr="007307D1">
              <w:rPr>
                <w:rFonts w:hAnsi="標楷體" w:hint="eastAsia"/>
                <w:sz w:val="28"/>
                <w:szCs w:val="28"/>
              </w:rPr>
              <w:t>清其間之差異。</w:t>
            </w:r>
            <w:bookmarkEnd w:id="280"/>
            <w:bookmarkEnd w:id="281"/>
            <w:bookmarkEnd w:id="282"/>
          </w:p>
        </w:tc>
        <w:tc>
          <w:tcPr>
            <w:tcW w:w="2040" w:type="dxa"/>
          </w:tcPr>
          <w:p w:rsidR="00550BAE" w:rsidRPr="007307D1" w:rsidRDefault="00550BAE" w:rsidP="00AC562D">
            <w:pPr>
              <w:pStyle w:val="3"/>
              <w:numPr>
                <w:ilvl w:val="0"/>
                <w:numId w:val="0"/>
              </w:numPr>
              <w:rPr>
                <w:rFonts w:hAnsi="標楷體"/>
                <w:sz w:val="28"/>
                <w:szCs w:val="28"/>
              </w:rPr>
            </w:pPr>
          </w:p>
        </w:tc>
      </w:tr>
    </w:tbl>
    <w:p w:rsidR="00D11BEE" w:rsidRDefault="00550BAE" w:rsidP="00D65270">
      <w:pPr>
        <w:pStyle w:val="3"/>
        <w:numPr>
          <w:ilvl w:val="0"/>
          <w:numId w:val="0"/>
        </w:numPr>
        <w:ind w:left="159" w:hangingChars="61" w:hanging="159"/>
        <w:rPr>
          <w:sz w:val="24"/>
          <w:szCs w:val="24"/>
        </w:rPr>
      </w:pPr>
      <w:r w:rsidRPr="007307D1">
        <w:rPr>
          <w:rFonts w:hint="eastAsia"/>
          <w:sz w:val="24"/>
          <w:szCs w:val="24"/>
        </w:rPr>
        <w:t>資料來源：</w:t>
      </w:r>
      <w:proofErr w:type="gramStart"/>
      <w:r w:rsidRPr="007307D1">
        <w:rPr>
          <w:rFonts w:hint="eastAsia"/>
          <w:sz w:val="24"/>
          <w:szCs w:val="24"/>
        </w:rPr>
        <w:t>本院彙整</w:t>
      </w:r>
      <w:bookmarkStart w:id="283" w:name="_Toc18675753"/>
      <w:bookmarkEnd w:id="69"/>
      <w:proofErr w:type="gramEnd"/>
    </w:p>
    <w:p w:rsidR="00D65270" w:rsidRDefault="00D65270" w:rsidP="00D65270">
      <w:pPr>
        <w:pStyle w:val="3"/>
        <w:numPr>
          <w:ilvl w:val="0"/>
          <w:numId w:val="0"/>
        </w:numPr>
        <w:ind w:left="208" w:hangingChars="61" w:hanging="208"/>
        <w:rPr>
          <w:b/>
          <w:bCs w:val="0"/>
          <w:szCs w:val="48"/>
        </w:rPr>
      </w:pPr>
    </w:p>
    <w:p w:rsidR="003A5927" w:rsidRPr="00DA0E43" w:rsidRDefault="000649D5" w:rsidP="00F41A4D">
      <w:pPr>
        <w:pStyle w:val="2"/>
      </w:pPr>
      <w:r w:rsidRPr="007307D1">
        <w:rPr>
          <w:rFonts w:hint="eastAsia"/>
          <w:b/>
        </w:rPr>
        <w:t>臺北市</w:t>
      </w:r>
      <w:r w:rsidRPr="007307D1">
        <w:rPr>
          <w:rFonts w:hAnsi="標楷體" w:hint="eastAsia"/>
          <w:b/>
          <w:szCs w:val="32"/>
        </w:rPr>
        <w:t>政府前於85年間審查「臺北市士林區住六之六地區細部計畫暨配合修訂主要計畫」環境影響說明書</w:t>
      </w:r>
      <w:proofErr w:type="gramStart"/>
      <w:r w:rsidRPr="007307D1">
        <w:rPr>
          <w:rFonts w:hAnsi="標楷體" w:hint="eastAsia"/>
          <w:b/>
          <w:szCs w:val="32"/>
        </w:rPr>
        <w:t>期間，</w:t>
      </w:r>
      <w:proofErr w:type="gramEnd"/>
      <w:r w:rsidR="00C46F89" w:rsidRPr="007307D1">
        <w:rPr>
          <w:rFonts w:hAnsi="標楷體" w:hint="eastAsia"/>
          <w:b/>
          <w:szCs w:val="32"/>
        </w:rPr>
        <w:t>未本於權責就其中土石方數量鉅量變更情形妥予提出行政審查意見</w:t>
      </w:r>
      <w:r w:rsidRPr="007307D1">
        <w:rPr>
          <w:rFonts w:hAnsi="標楷體" w:hint="eastAsia"/>
          <w:b/>
          <w:szCs w:val="32"/>
        </w:rPr>
        <w:t>，</w:t>
      </w:r>
      <w:proofErr w:type="gramStart"/>
      <w:r w:rsidR="00471B30" w:rsidRPr="007307D1">
        <w:rPr>
          <w:rFonts w:hint="eastAsia"/>
          <w:b/>
        </w:rPr>
        <w:t>逕</w:t>
      </w:r>
      <w:proofErr w:type="gramEnd"/>
      <w:r w:rsidR="00931F87" w:rsidRPr="007307D1">
        <w:rPr>
          <w:rFonts w:hint="eastAsia"/>
          <w:b/>
        </w:rPr>
        <w:t>由核定水土保持計畫同意其變更，且免除雜項執照申請審核程序，</w:t>
      </w:r>
      <w:r w:rsidR="00931F87" w:rsidRPr="007307D1">
        <w:rPr>
          <w:rFonts w:hAnsi="標楷體" w:hint="eastAsia"/>
          <w:b/>
          <w:szCs w:val="32"/>
        </w:rPr>
        <w:t>即</w:t>
      </w:r>
      <w:proofErr w:type="gramStart"/>
      <w:r w:rsidR="00931F87" w:rsidRPr="007307D1">
        <w:rPr>
          <w:rFonts w:hAnsi="標楷體" w:hint="eastAsia"/>
          <w:b/>
          <w:szCs w:val="32"/>
        </w:rPr>
        <w:t>有疏誤</w:t>
      </w:r>
      <w:proofErr w:type="gramEnd"/>
      <w:r w:rsidR="00C46F89" w:rsidRPr="007307D1">
        <w:rPr>
          <w:rFonts w:hAnsi="標楷體" w:hint="eastAsia"/>
          <w:b/>
          <w:szCs w:val="32"/>
        </w:rPr>
        <w:t>。</w:t>
      </w:r>
      <w:r w:rsidR="00F41A4D" w:rsidRPr="007307D1">
        <w:rPr>
          <w:rFonts w:hAnsi="標楷體" w:hint="eastAsia"/>
          <w:b/>
          <w:szCs w:val="32"/>
        </w:rPr>
        <w:t>針對</w:t>
      </w:r>
      <w:proofErr w:type="gramStart"/>
      <w:r w:rsidR="00F41A4D" w:rsidRPr="007307D1">
        <w:rPr>
          <w:rFonts w:hAnsi="標楷體" w:hint="eastAsia"/>
          <w:b/>
          <w:szCs w:val="32"/>
        </w:rPr>
        <w:t>上情本院</w:t>
      </w:r>
      <w:proofErr w:type="gramEnd"/>
      <w:r w:rsidR="00F41A4D" w:rsidRPr="007307D1">
        <w:rPr>
          <w:rFonts w:hAnsi="標楷體" w:hint="eastAsia"/>
          <w:b/>
          <w:szCs w:val="32"/>
        </w:rPr>
        <w:t>前於90年間曾提案糾正臺北市政府，指摘其環境影響說明書內容嚴重失實。</w:t>
      </w:r>
      <w:proofErr w:type="gramStart"/>
      <w:r w:rsidR="00F41A4D" w:rsidRPr="007307D1">
        <w:rPr>
          <w:rFonts w:hAnsi="標楷體" w:hint="eastAsia"/>
          <w:b/>
          <w:szCs w:val="32"/>
        </w:rPr>
        <w:t>嗣該府環評</w:t>
      </w:r>
      <w:proofErr w:type="gramEnd"/>
      <w:r w:rsidR="00F41A4D" w:rsidRPr="007307D1">
        <w:rPr>
          <w:rFonts w:hAnsi="標楷體" w:hint="eastAsia"/>
          <w:b/>
          <w:szCs w:val="32"/>
        </w:rPr>
        <w:t>會於</w:t>
      </w:r>
      <w:r w:rsidR="00F41A4D" w:rsidRPr="007307D1">
        <w:rPr>
          <w:rFonts w:hint="eastAsia"/>
          <w:b/>
        </w:rPr>
        <w:t>97年3月召開之</w:t>
      </w:r>
      <w:r w:rsidR="00F41A4D" w:rsidRPr="007307D1">
        <w:rPr>
          <w:rFonts w:hAnsi="標楷體" w:hint="eastAsia"/>
          <w:b/>
          <w:szCs w:val="32"/>
        </w:rPr>
        <w:t>第67次會議中要求開發單位提出土石方差異對照表進行審核，且於同</w:t>
      </w:r>
      <w:r w:rsidR="00C46F89" w:rsidRPr="007307D1">
        <w:rPr>
          <w:rFonts w:hAnsi="標楷體" w:hint="eastAsia"/>
          <w:b/>
          <w:szCs w:val="32"/>
        </w:rPr>
        <w:t>年</w:t>
      </w:r>
      <w:r w:rsidR="00F41A4D" w:rsidRPr="0049534D">
        <w:rPr>
          <w:rFonts w:hAnsi="標楷體" w:hint="eastAsia"/>
          <w:b/>
          <w:szCs w:val="32"/>
        </w:rPr>
        <w:t>7月間召開</w:t>
      </w:r>
      <w:r w:rsidR="000D7F88" w:rsidRPr="00BF1F9A">
        <w:rPr>
          <w:rFonts w:hAnsi="標楷體" w:hint="eastAsia"/>
          <w:b/>
          <w:szCs w:val="32"/>
        </w:rPr>
        <w:t>之</w:t>
      </w:r>
      <w:r w:rsidR="00F41A4D" w:rsidRPr="0049534D">
        <w:rPr>
          <w:rFonts w:hAnsi="標楷體" w:hint="eastAsia"/>
          <w:b/>
          <w:szCs w:val="32"/>
        </w:rPr>
        <w:t>第73次會議中決議通過，然隨即衍生相關行政訴訟及審查結論因判斷理由不備遭撤銷等情，再證臺北市政府對於</w:t>
      </w:r>
      <w:proofErr w:type="gramStart"/>
      <w:r w:rsidR="00F41A4D" w:rsidRPr="0049534D">
        <w:rPr>
          <w:rFonts w:hAnsi="標楷體" w:hint="eastAsia"/>
          <w:b/>
          <w:szCs w:val="32"/>
        </w:rPr>
        <w:t>本案土石方</w:t>
      </w:r>
      <w:proofErr w:type="gramEnd"/>
      <w:r w:rsidR="00F41A4D" w:rsidRPr="0049534D">
        <w:rPr>
          <w:rFonts w:hAnsi="標楷體" w:hint="eastAsia"/>
          <w:b/>
          <w:szCs w:val="32"/>
        </w:rPr>
        <w:t>數量審核之行政疏失，</w:t>
      </w:r>
      <w:proofErr w:type="gramStart"/>
      <w:r w:rsidR="00F41A4D" w:rsidRPr="0049534D">
        <w:rPr>
          <w:rFonts w:hAnsi="標楷體" w:hint="eastAsia"/>
          <w:b/>
          <w:szCs w:val="32"/>
        </w:rPr>
        <w:t>洵</w:t>
      </w:r>
      <w:proofErr w:type="gramEnd"/>
      <w:r w:rsidR="00F41A4D" w:rsidRPr="0049534D">
        <w:rPr>
          <w:rFonts w:hAnsi="標楷體" w:hint="eastAsia"/>
          <w:b/>
          <w:szCs w:val="32"/>
        </w:rPr>
        <w:t>有未當，允應賡續檢討及依法審查</w:t>
      </w:r>
      <w:proofErr w:type="gramStart"/>
      <w:r w:rsidR="00F41A4D" w:rsidRPr="0049534D">
        <w:rPr>
          <w:rFonts w:hAnsi="標楷體" w:hint="eastAsia"/>
          <w:b/>
          <w:szCs w:val="32"/>
        </w:rPr>
        <w:t>釐</w:t>
      </w:r>
      <w:proofErr w:type="gramEnd"/>
      <w:r w:rsidR="00F41A4D" w:rsidRPr="0049534D">
        <w:rPr>
          <w:rFonts w:hAnsi="標楷體" w:hint="eastAsia"/>
          <w:b/>
          <w:szCs w:val="32"/>
        </w:rPr>
        <w:t>清，</w:t>
      </w:r>
      <w:proofErr w:type="gramStart"/>
      <w:r w:rsidR="00F41A4D" w:rsidRPr="0049534D">
        <w:rPr>
          <w:rFonts w:hAnsi="標楷體" w:hint="eastAsia"/>
          <w:b/>
          <w:szCs w:val="32"/>
        </w:rPr>
        <w:t>俾恪</w:t>
      </w:r>
      <w:proofErr w:type="gramEnd"/>
      <w:r w:rsidR="00F41A4D" w:rsidRPr="0049534D">
        <w:rPr>
          <w:rFonts w:hAnsi="標楷體" w:hint="eastAsia"/>
          <w:b/>
          <w:szCs w:val="32"/>
        </w:rPr>
        <w:t>盡職責，</w:t>
      </w:r>
      <w:proofErr w:type="gramStart"/>
      <w:r w:rsidR="00F41A4D" w:rsidRPr="0049534D">
        <w:rPr>
          <w:rFonts w:hAnsi="標楷體" w:hint="eastAsia"/>
          <w:b/>
          <w:szCs w:val="32"/>
        </w:rPr>
        <w:t>並杜爭端</w:t>
      </w:r>
      <w:proofErr w:type="gramEnd"/>
      <w:r w:rsidR="00F41A4D" w:rsidRPr="00DA0E43">
        <w:rPr>
          <w:rFonts w:hAnsi="標楷體" w:hint="eastAsia"/>
          <w:szCs w:val="32"/>
        </w:rPr>
        <w:t>：</w:t>
      </w:r>
      <w:bookmarkEnd w:id="283"/>
    </w:p>
    <w:p w:rsidR="00985984" w:rsidRPr="00DA0E43" w:rsidRDefault="00985984" w:rsidP="00985984">
      <w:pPr>
        <w:pStyle w:val="3"/>
      </w:pPr>
      <w:bookmarkStart w:id="284" w:name="_Toc18513729"/>
      <w:bookmarkStart w:id="285" w:name="_Toc18594818"/>
      <w:bookmarkStart w:id="286" w:name="_Toc18675754"/>
      <w:r w:rsidRPr="00DA0E43">
        <w:rPr>
          <w:rFonts w:ascii="Times New Roman" w:hAnsi="Times New Roman" w:hint="eastAsia"/>
          <w:color w:val="000000" w:themeColor="text1"/>
          <w:kern w:val="0"/>
          <w:szCs w:val="32"/>
        </w:rPr>
        <w:t>查臺北市環保局於</w:t>
      </w:r>
      <w:r w:rsidRPr="00DA0E43">
        <w:rPr>
          <w:rFonts w:hAnsi="標楷體" w:hint="eastAsia"/>
          <w:szCs w:val="32"/>
        </w:rPr>
        <w:t>85年8月間公告〔北市環秘(一)字第29065-1號〕</w:t>
      </w:r>
      <w:r w:rsidRPr="00DA0E43">
        <w:rPr>
          <w:rFonts w:ascii="Times New Roman" w:hAnsi="Times New Roman" w:hint="eastAsia"/>
          <w:color w:val="000000" w:themeColor="text1"/>
          <w:kern w:val="0"/>
          <w:szCs w:val="32"/>
        </w:rPr>
        <w:t>本案</w:t>
      </w:r>
      <w:r w:rsidRPr="00DA0E43">
        <w:rPr>
          <w:rFonts w:ascii="Times New Roman" w:hAnsi="Times New Roman"/>
          <w:color w:val="000000" w:themeColor="text1"/>
          <w:kern w:val="0"/>
          <w:szCs w:val="32"/>
        </w:rPr>
        <w:t>環境影響說明書</w:t>
      </w:r>
      <w:r w:rsidRPr="00DA0E43">
        <w:rPr>
          <w:rFonts w:hAnsi="標楷體" w:hint="eastAsia"/>
          <w:szCs w:val="32"/>
        </w:rPr>
        <w:t>審查結論，</w:t>
      </w:r>
      <w:r w:rsidRPr="00DA0E43">
        <w:rPr>
          <w:rFonts w:hAnsi="標楷體" w:hint="eastAsia"/>
          <w:szCs w:val="32"/>
        </w:rPr>
        <w:lastRenderedPageBreak/>
        <w:t>認定「有條件接受開發」，據該環境影響說明書（定稿）</w:t>
      </w:r>
      <w:r w:rsidR="00DA3BE4" w:rsidRPr="009B5374">
        <w:rPr>
          <w:rFonts w:hAnsi="標楷體" w:hint="eastAsia"/>
          <w:color w:val="000000" w:themeColor="text1"/>
          <w:kern w:val="0"/>
          <w:szCs w:val="32"/>
        </w:rPr>
        <w:t>「</w:t>
      </w:r>
      <w:r w:rsidR="00DA3BE4" w:rsidRPr="009B5374">
        <w:rPr>
          <w:rFonts w:hAnsi="標楷體"/>
          <w:color w:val="000000" w:themeColor="text1"/>
          <w:kern w:val="0"/>
          <w:szCs w:val="32"/>
        </w:rPr>
        <w:t>整地計畫</w:t>
      </w:r>
      <w:r w:rsidR="00DA3BE4" w:rsidRPr="009B5374">
        <w:rPr>
          <w:rFonts w:hAnsi="標楷體" w:hint="eastAsia"/>
          <w:color w:val="000000" w:themeColor="text1"/>
          <w:kern w:val="0"/>
          <w:szCs w:val="32"/>
        </w:rPr>
        <w:t>」</w:t>
      </w:r>
      <w:r w:rsidR="00DA3BE4" w:rsidRPr="009B5374">
        <w:rPr>
          <w:rFonts w:hAnsi="標楷體"/>
          <w:color w:val="000000" w:themeColor="text1"/>
          <w:kern w:val="0"/>
          <w:szCs w:val="32"/>
        </w:rPr>
        <w:t>載明：「</w:t>
      </w:r>
      <w:r w:rsidR="00FD0896" w:rsidRPr="009B5374">
        <w:rPr>
          <w:rFonts w:hAnsi="標楷體"/>
          <w:color w:val="000000" w:themeColor="text1"/>
          <w:kern w:val="0"/>
          <w:szCs w:val="32"/>
        </w:rPr>
        <w:t>…</w:t>
      </w:r>
      <w:proofErr w:type="gramStart"/>
      <w:r w:rsidR="00FD0896" w:rsidRPr="009B5374">
        <w:rPr>
          <w:rFonts w:hAnsi="標楷體"/>
          <w:color w:val="000000" w:themeColor="text1"/>
          <w:kern w:val="0"/>
          <w:szCs w:val="32"/>
        </w:rPr>
        <w:t>…</w:t>
      </w:r>
      <w:proofErr w:type="gramEnd"/>
      <w:r w:rsidR="00592F01" w:rsidRPr="009B5374">
        <w:rPr>
          <w:rFonts w:hAnsi="標楷體" w:hint="eastAsia"/>
          <w:color w:val="000000" w:themeColor="text1"/>
          <w:kern w:val="0"/>
          <w:szCs w:val="32"/>
        </w:rPr>
        <w:t>本規劃區之整地計畫，</w:t>
      </w:r>
      <w:r w:rsidR="00DA3BE4" w:rsidRPr="009B5374">
        <w:rPr>
          <w:rFonts w:hAnsi="標楷體"/>
          <w:color w:val="000000" w:themeColor="text1"/>
          <w:kern w:val="0"/>
          <w:szCs w:val="32"/>
        </w:rPr>
        <w:t>其挖填土方在挖方區挖方量約為12</w:t>
      </w:r>
      <w:r w:rsidR="00DA3BE4" w:rsidRPr="009B5374">
        <w:rPr>
          <w:rFonts w:hAnsi="標楷體" w:hint="eastAsia"/>
          <w:color w:val="000000" w:themeColor="text1"/>
          <w:kern w:val="0"/>
          <w:szCs w:val="32"/>
        </w:rPr>
        <w:t>萬</w:t>
      </w:r>
      <w:r w:rsidR="00DA3BE4" w:rsidRPr="009B5374">
        <w:rPr>
          <w:rFonts w:hAnsi="標楷體"/>
          <w:color w:val="000000" w:themeColor="text1"/>
          <w:kern w:val="0"/>
          <w:szCs w:val="32"/>
        </w:rPr>
        <w:t>4,900立方公尺，塡方區塡方量約為12</w:t>
      </w:r>
      <w:r w:rsidR="00DA3BE4" w:rsidRPr="009B5374">
        <w:rPr>
          <w:rFonts w:hAnsi="標楷體" w:hint="eastAsia"/>
          <w:color w:val="000000" w:themeColor="text1"/>
          <w:kern w:val="0"/>
          <w:szCs w:val="32"/>
        </w:rPr>
        <w:t>萬</w:t>
      </w:r>
      <w:r w:rsidR="00DA3BE4" w:rsidRPr="009B5374">
        <w:rPr>
          <w:rFonts w:hAnsi="標楷體"/>
          <w:color w:val="000000" w:themeColor="text1"/>
          <w:kern w:val="0"/>
          <w:szCs w:val="32"/>
        </w:rPr>
        <w:t>5,100立方公尺，以上所列乃規</w:t>
      </w:r>
      <w:r w:rsidR="00DA3BE4" w:rsidRPr="009B5374">
        <w:rPr>
          <w:rFonts w:ascii="Times New Roman" w:hAnsi="Times New Roman"/>
          <w:color w:val="000000" w:themeColor="text1"/>
          <w:kern w:val="0"/>
          <w:szCs w:val="32"/>
        </w:rPr>
        <w:t>劃估算之數量。至於土方量將於申請雜項執照時再依細部狀況作詳細計算</w:t>
      </w:r>
      <w:r w:rsidR="00DA3BE4" w:rsidRPr="009B5374">
        <w:rPr>
          <w:rFonts w:hAnsi="標楷體"/>
          <w:color w:val="000000" w:themeColor="text1"/>
          <w:kern w:val="0"/>
          <w:szCs w:val="32"/>
        </w:rPr>
        <w:t>…</w:t>
      </w:r>
      <w:proofErr w:type="gramStart"/>
      <w:r w:rsidR="00DA3BE4" w:rsidRPr="009B5374">
        <w:rPr>
          <w:rFonts w:hAnsi="標楷體"/>
          <w:color w:val="000000" w:themeColor="text1"/>
          <w:kern w:val="0"/>
          <w:szCs w:val="32"/>
        </w:rPr>
        <w:t>…</w:t>
      </w:r>
      <w:proofErr w:type="gramEnd"/>
      <w:r w:rsidR="00DA3BE4" w:rsidRPr="009B5374">
        <w:rPr>
          <w:rFonts w:ascii="Times New Roman" w:hAnsi="Times New Roman"/>
          <w:color w:val="000000" w:themeColor="text1"/>
          <w:kern w:val="0"/>
          <w:szCs w:val="32"/>
        </w:rPr>
        <w:t>」</w:t>
      </w:r>
      <w:r w:rsidR="00DA3BE4" w:rsidRPr="009B5374">
        <w:rPr>
          <w:rFonts w:hAnsi="標楷體" w:hint="eastAsia"/>
          <w:color w:val="000000" w:themeColor="text1"/>
          <w:kern w:val="0"/>
          <w:szCs w:val="32"/>
        </w:rPr>
        <w:t>，</w:t>
      </w:r>
      <w:r w:rsidRPr="009B5374">
        <w:rPr>
          <w:rFonts w:ascii="Times New Roman" w:hAnsi="Times New Roman" w:hint="eastAsia"/>
          <w:color w:val="000000" w:themeColor="text1"/>
          <w:kern w:val="0"/>
          <w:szCs w:val="32"/>
        </w:rPr>
        <w:t>即本案環境影響說明書核定之土石方數量約</w:t>
      </w:r>
      <w:r w:rsidRPr="009B5374">
        <w:rPr>
          <w:rFonts w:hAnsi="標楷體" w:hint="eastAsia"/>
          <w:color w:val="000000" w:themeColor="text1"/>
          <w:kern w:val="0"/>
          <w:szCs w:val="32"/>
        </w:rPr>
        <w:t>25萬立方公尺</w:t>
      </w:r>
      <w:r w:rsidR="000D7F88" w:rsidRPr="009B5374">
        <w:rPr>
          <w:rFonts w:hAnsi="標楷體" w:hint="eastAsia"/>
          <w:color w:val="000000" w:themeColor="text1"/>
          <w:kern w:val="0"/>
          <w:szCs w:val="32"/>
        </w:rPr>
        <w:t>；</w:t>
      </w:r>
      <w:r w:rsidR="004438AB" w:rsidRPr="009B5374">
        <w:rPr>
          <w:rFonts w:hAnsi="標楷體" w:hint="eastAsia"/>
          <w:color w:val="000000" w:themeColor="text1"/>
          <w:kern w:val="0"/>
          <w:szCs w:val="32"/>
        </w:rPr>
        <w:t>其</w:t>
      </w:r>
      <w:r w:rsidR="000D7F88" w:rsidRPr="009B5374">
        <w:rPr>
          <w:rFonts w:hAnsi="標楷體"/>
          <w:color w:val="000000" w:themeColor="text1"/>
          <w:kern w:val="0"/>
          <w:szCs w:val="32"/>
        </w:rPr>
        <w:t>第</w:t>
      </w:r>
      <w:r w:rsidR="000D7F88" w:rsidRPr="009B5374">
        <w:rPr>
          <w:rFonts w:hAnsi="標楷體" w:hint="eastAsia"/>
          <w:color w:val="000000" w:themeColor="text1"/>
          <w:kern w:val="0"/>
          <w:szCs w:val="32"/>
        </w:rPr>
        <w:t>7</w:t>
      </w:r>
      <w:r w:rsidR="000D7F88" w:rsidRPr="009B5374">
        <w:rPr>
          <w:rFonts w:hAnsi="標楷體"/>
          <w:color w:val="000000" w:themeColor="text1"/>
          <w:kern w:val="0"/>
          <w:szCs w:val="32"/>
        </w:rPr>
        <w:t>章第</w:t>
      </w:r>
      <w:r w:rsidR="000D7F88" w:rsidRPr="009B5374">
        <w:rPr>
          <w:rFonts w:hAnsi="標楷體" w:hint="eastAsia"/>
          <w:color w:val="000000" w:themeColor="text1"/>
          <w:kern w:val="0"/>
          <w:szCs w:val="32"/>
        </w:rPr>
        <w:t>4</w:t>
      </w:r>
      <w:r w:rsidR="000D7F88" w:rsidRPr="009B5374">
        <w:rPr>
          <w:rFonts w:hAnsi="標楷體"/>
          <w:color w:val="000000" w:themeColor="text1"/>
          <w:kern w:val="0"/>
          <w:szCs w:val="32"/>
        </w:rPr>
        <w:t>節</w:t>
      </w:r>
      <w:r w:rsidR="00DA3BE4" w:rsidRPr="009B5374">
        <w:rPr>
          <w:rFonts w:hAnsi="標楷體" w:hint="eastAsia"/>
          <w:color w:val="000000" w:themeColor="text1"/>
          <w:kern w:val="0"/>
          <w:szCs w:val="32"/>
        </w:rPr>
        <w:t>「</w:t>
      </w:r>
      <w:r w:rsidR="00DA3BE4" w:rsidRPr="009B5374">
        <w:rPr>
          <w:rFonts w:hAnsi="標楷體"/>
          <w:color w:val="000000" w:themeColor="text1"/>
          <w:kern w:val="0"/>
          <w:szCs w:val="32"/>
        </w:rPr>
        <w:t>替代方案</w:t>
      </w:r>
      <w:r w:rsidR="00DA3BE4" w:rsidRPr="009B5374">
        <w:rPr>
          <w:rFonts w:hAnsi="標楷體" w:hint="eastAsia"/>
          <w:color w:val="000000" w:themeColor="text1"/>
          <w:kern w:val="0"/>
          <w:szCs w:val="32"/>
        </w:rPr>
        <w:t>」</w:t>
      </w:r>
      <w:r w:rsidR="00DA3BE4" w:rsidRPr="009B5374">
        <w:rPr>
          <w:rFonts w:hAnsi="標楷體"/>
          <w:color w:val="000000" w:themeColor="text1"/>
          <w:kern w:val="0"/>
          <w:szCs w:val="32"/>
        </w:rPr>
        <w:t>圖7-4-3</w:t>
      </w:r>
      <w:r w:rsidR="00592F01" w:rsidRPr="009B5374">
        <w:rPr>
          <w:rFonts w:hAnsi="標楷體" w:hint="eastAsia"/>
          <w:color w:val="000000" w:themeColor="text1"/>
          <w:kern w:val="0"/>
          <w:szCs w:val="32"/>
        </w:rPr>
        <w:t>「</w:t>
      </w:r>
      <w:r w:rsidR="00DA3BE4" w:rsidRPr="009B5374">
        <w:rPr>
          <w:rFonts w:hAnsi="標楷體"/>
          <w:color w:val="000000" w:themeColor="text1"/>
          <w:kern w:val="0"/>
          <w:szCs w:val="32"/>
        </w:rPr>
        <w:t>替代方案工程整地圖</w:t>
      </w:r>
      <w:r w:rsidR="00592F01" w:rsidRPr="009B5374">
        <w:rPr>
          <w:rFonts w:hAnsi="標楷體" w:hint="eastAsia"/>
          <w:color w:val="000000" w:themeColor="text1"/>
          <w:kern w:val="0"/>
          <w:szCs w:val="32"/>
        </w:rPr>
        <w:t>」</w:t>
      </w:r>
      <w:r w:rsidR="00C44A19" w:rsidRPr="009B5374">
        <w:rPr>
          <w:rFonts w:hAnsi="標楷體" w:hint="eastAsia"/>
          <w:color w:val="000000" w:themeColor="text1"/>
          <w:kern w:val="0"/>
          <w:szCs w:val="32"/>
        </w:rPr>
        <w:t>另</w:t>
      </w:r>
      <w:r w:rsidR="00DA3BE4" w:rsidRPr="009B5374">
        <w:rPr>
          <w:rFonts w:hAnsi="標楷體" w:hint="eastAsia"/>
          <w:color w:val="000000" w:themeColor="text1"/>
          <w:kern w:val="0"/>
          <w:szCs w:val="32"/>
        </w:rPr>
        <w:t>列示</w:t>
      </w:r>
      <w:r w:rsidR="00C44A19" w:rsidRPr="009B5374">
        <w:rPr>
          <w:rFonts w:hAnsi="標楷體" w:hint="eastAsia"/>
          <w:color w:val="000000" w:themeColor="text1"/>
          <w:kern w:val="0"/>
          <w:szCs w:val="32"/>
        </w:rPr>
        <w:t>之</w:t>
      </w:r>
      <w:r w:rsidR="00DA3BE4" w:rsidRPr="009B5374">
        <w:rPr>
          <w:rFonts w:hAnsi="標楷體"/>
          <w:color w:val="000000" w:themeColor="text1"/>
          <w:kern w:val="0"/>
          <w:szCs w:val="32"/>
        </w:rPr>
        <w:t>挖填</w:t>
      </w:r>
      <w:r w:rsidR="00C44A19" w:rsidRPr="009B5374">
        <w:rPr>
          <w:rFonts w:hAnsi="標楷體" w:hint="eastAsia"/>
          <w:color w:val="000000" w:themeColor="text1"/>
          <w:kern w:val="0"/>
          <w:szCs w:val="32"/>
        </w:rPr>
        <w:t>土石</w:t>
      </w:r>
      <w:r w:rsidR="00DA3BE4" w:rsidRPr="009B5374">
        <w:rPr>
          <w:rFonts w:hAnsi="標楷體"/>
          <w:color w:val="000000" w:themeColor="text1"/>
          <w:kern w:val="0"/>
          <w:szCs w:val="32"/>
        </w:rPr>
        <w:t>方量</w:t>
      </w:r>
      <w:r w:rsidR="00C44A19" w:rsidRPr="009B5374">
        <w:rPr>
          <w:rFonts w:hAnsi="標楷體" w:hint="eastAsia"/>
          <w:color w:val="000000" w:themeColor="text1"/>
          <w:kern w:val="0"/>
          <w:szCs w:val="32"/>
        </w:rPr>
        <w:t>，</w:t>
      </w:r>
      <w:r w:rsidR="00DA3BE4" w:rsidRPr="009B5374">
        <w:rPr>
          <w:rFonts w:hAnsi="標楷體"/>
          <w:color w:val="000000" w:themeColor="text1"/>
          <w:kern w:val="0"/>
          <w:szCs w:val="32"/>
        </w:rPr>
        <w:t>為84萬6,900立方公尺（挖方為42萬3,500立方公尺、填方42萬3,400立方公尺）</w:t>
      </w:r>
      <w:r w:rsidR="00DA3BE4" w:rsidRPr="009B5374">
        <w:rPr>
          <w:rStyle w:val="afe"/>
          <w:rFonts w:hAnsi="標楷體"/>
          <w:color w:val="000000" w:themeColor="text1"/>
          <w:kern w:val="0"/>
          <w:szCs w:val="32"/>
        </w:rPr>
        <w:footnoteReference w:id="1"/>
      </w:r>
      <w:r w:rsidRPr="009B5374">
        <w:rPr>
          <w:rFonts w:ascii="Times New Roman" w:hAnsi="Times New Roman"/>
          <w:color w:val="000000" w:themeColor="text1"/>
          <w:kern w:val="0"/>
          <w:szCs w:val="32"/>
        </w:rPr>
        <w:t>。</w:t>
      </w:r>
      <w:r w:rsidRPr="00DA0E43">
        <w:rPr>
          <w:rFonts w:ascii="Times New Roman" w:hAnsi="Times New Roman"/>
          <w:color w:val="000000" w:themeColor="text1"/>
          <w:kern w:val="0"/>
          <w:szCs w:val="32"/>
        </w:rPr>
        <w:t>本案</w:t>
      </w:r>
      <w:r w:rsidRPr="00DA0E43">
        <w:rPr>
          <w:rFonts w:ascii="Times New Roman" w:hAnsi="Times New Roman" w:hint="eastAsia"/>
          <w:color w:val="000000" w:themeColor="text1"/>
          <w:kern w:val="0"/>
          <w:szCs w:val="32"/>
        </w:rPr>
        <w:t>環境影響說明書</w:t>
      </w:r>
      <w:r w:rsidRPr="00DA0E43">
        <w:rPr>
          <w:rFonts w:ascii="Times New Roman" w:hAnsi="Times New Roman"/>
          <w:color w:val="000000" w:themeColor="text1"/>
          <w:kern w:val="0"/>
          <w:szCs w:val="32"/>
        </w:rPr>
        <w:t>公告審查</w:t>
      </w:r>
      <w:r w:rsidRPr="00DA0E43">
        <w:rPr>
          <w:rFonts w:hAnsi="標楷體"/>
          <w:color w:val="000000" w:themeColor="text1"/>
          <w:szCs w:val="32"/>
        </w:rPr>
        <w:t>結論</w:t>
      </w:r>
      <w:r w:rsidRPr="00DA0E43">
        <w:rPr>
          <w:rFonts w:ascii="Times New Roman" w:hAnsi="Times New Roman"/>
          <w:color w:val="000000" w:themeColor="text1"/>
          <w:kern w:val="0"/>
          <w:szCs w:val="32"/>
        </w:rPr>
        <w:t>中載明：「</w:t>
      </w:r>
      <w:r w:rsidRPr="00DA0E43">
        <w:rPr>
          <w:rFonts w:hint="eastAsia"/>
          <w:szCs w:val="32"/>
        </w:rPr>
        <w:t>本案環境影響評估審查有關水土保持部分，需將原則性規範納入說明書定稿本；至詳細之水土保持計畫書，應依水土保持法相關規定，送權責機關審查</w:t>
      </w:r>
      <w:r w:rsidRPr="00DA0E43">
        <w:rPr>
          <w:rFonts w:ascii="Times New Roman" w:hAnsi="Times New Roman"/>
          <w:color w:val="000000" w:themeColor="text1"/>
          <w:kern w:val="0"/>
          <w:szCs w:val="32"/>
        </w:rPr>
        <w:t>」</w:t>
      </w:r>
      <w:r w:rsidRPr="00DA0E43">
        <w:rPr>
          <w:rFonts w:ascii="Times New Roman" w:hAnsi="Times New Roman" w:hint="eastAsia"/>
          <w:color w:val="000000" w:themeColor="text1"/>
          <w:kern w:val="0"/>
          <w:szCs w:val="32"/>
        </w:rPr>
        <w:t>。臺北市政府表示，前揭結論即</w:t>
      </w:r>
      <w:r w:rsidRPr="00DA0E43">
        <w:rPr>
          <w:rFonts w:ascii="Times New Roman" w:hAnsi="Times New Roman"/>
          <w:color w:val="000000" w:themeColor="text1"/>
          <w:kern w:val="0"/>
          <w:szCs w:val="32"/>
        </w:rPr>
        <w:t>本案於環評審查時，對於水土保持之審查係依水土保持主管機關之專業意見，如水土保持計畫核定之土石方量與環境影響說明書預估數量不同，應再依</w:t>
      </w:r>
      <w:r w:rsidRPr="009B5374">
        <w:rPr>
          <w:rFonts w:ascii="Times New Roman" w:hAnsi="Times New Roman"/>
          <w:color w:val="000000" w:themeColor="text1"/>
          <w:kern w:val="0"/>
          <w:szCs w:val="32"/>
        </w:rPr>
        <w:t>環評法</w:t>
      </w:r>
      <w:r w:rsidRPr="00DA0E43">
        <w:rPr>
          <w:rFonts w:ascii="Times New Roman" w:hAnsi="Times New Roman"/>
          <w:color w:val="000000" w:themeColor="text1"/>
          <w:kern w:val="0"/>
          <w:szCs w:val="32"/>
        </w:rPr>
        <w:t>相關規定辦理變更</w:t>
      </w:r>
      <w:r w:rsidRPr="00DA0E43">
        <w:rPr>
          <w:rFonts w:ascii="Times New Roman" w:hAnsi="Times New Roman" w:hint="eastAsia"/>
          <w:color w:val="000000" w:themeColor="text1"/>
          <w:kern w:val="0"/>
          <w:szCs w:val="32"/>
        </w:rPr>
        <w:t>等語。</w:t>
      </w:r>
      <w:bookmarkEnd w:id="284"/>
      <w:bookmarkEnd w:id="285"/>
      <w:bookmarkEnd w:id="286"/>
    </w:p>
    <w:p w:rsidR="00B20254" w:rsidRPr="00DA0E43" w:rsidRDefault="00B20254" w:rsidP="00B20254">
      <w:pPr>
        <w:pStyle w:val="3"/>
      </w:pPr>
      <w:bookmarkStart w:id="287" w:name="_Toc18594819"/>
      <w:bookmarkStart w:id="288" w:name="_Toc18675755"/>
      <w:bookmarkStart w:id="289" w:name="_Toc18513730"/>
      <w:r w:rsidRPr="00D11BEE">
        <w:rPr>
          <w:rFonts w:hint="eastAsia"/>
          <w:color w:val="000000" w:themeColor="text1"/>
        </w:rPr>
        <w:t>據本案85</w:t>
      </w:r>
      <w:r w:rsidRPr="00D11BEE">
        <w:rPr>
          <w:rFonts w:hint="eastAsia"/>
          <w:color w:val="000000" w:themeColor="text1"/>
          <w:szCs w:val="48"/>
        </w:rPr>
        <w:t>年間</w:t>
      </w:r>
      <w:r w:rsidRPr="00D11BEE">
        <w:rPr>
          <w:rFonts w:hint="eastAsia"/>
          <w:color w:val="000000" w:themeColor="text1"/>
        </w:rPr>
        <w:t>通過之環境影響說明書內容，有關水土保持之規劃為：道路系統採用乙種設計標準，排水系統</w:t>
      </w:r>
      <w:proofErr w:type="gramStart"/>
      <w:r w:rsidRPr="00D11BEE">
        <w:rPr>
          <w:rFonts w:hint="eastAsia"/>
          <w:color w:val="000000" w:themeColor="text1"/>
        </w:rPr>
        <w:t>採</w:t>
      </w:r>
      <w:proofErr w:type="gramEnd"/>
      <w:r w:rsidRPr="00D11BEE">
        <w:rPr>
          <w:rFonts w:hint="eastAsia"/>
          <w:color w:val="000000" w:themeColor="text1"/>
        </w:rPr>
        <w:t>「臺北市山坡地開發建築基地規範設計標準」，採用20年1次之暴雨強度公式規劃區域內排水網路，粗估之土石方量為25萬立方公尺。</w:t>
      </w:r>
      <w:proofErr w:type="gramStart"/>
      <w:r w:rsidRPr="00D11BEE">
        <w:rPr>
          <w:rFonts w:hint="eastAsia"/>
          <w:color w:val="000000" w:themeColor="text1"/>
        </w:rPr>
        <w:t>嗣</w:t>
      </w:r>
      <w:proofErr w:type="gramEnd"/>
      <w:r w:rsidRPr="00D11BEE">
        <w:rPr>
          <w:rFonts w:hint="eastAsia"/>
          <w:color w:val="000000" w:themeColor="text1"/>
        </w:rPr>
        <w:t>臺北市政府於88年1月間核定本案之水土保持計畫土石方量為</w:t>
      </w:r>
      <w:r w:rsidRPr="00D11BEE">
        <w:rPr>
          <w:color w:val="000000" w:themeColor="text1"/>
        </w:rPr>
        <w:t>48</w:t>
      </w:r>
      <w:r w:rsidRPr="00D11BEE">
        <w:rPr>
          <w:rFonts w:hint="eastAsia"/>
          <w:color w:val="000000" w:themeColor="text1"/>
        </w:rPr>
        <w:t>萬</w:t>
      </w:r>
      <w:r w:rsidRPr="00D11BEE">
        <w:rPr>
          <w:color w:val="000000" w:themeColor="text1"/>
        </w:rPr>
        <w:t>9,348</w:t>
      </w:r>
      <w:r w:rsidRPr="00D11BEE">
        <w:rPr>
          <w:rFonts w:hint="eastAsia"/>
          <w:color w:val="000000" w:themeColor="text1"/>
        </w:rPr>
        <w:t>立方公尺</w:t>
      </w:r>
      <w:r w:rsidRPr="007307D1">
        <w:rPr>
          <w:rFonts w:hint="eastAsia"/>
          <w:color w:val="000000" w:themeColor="text1"/>
        </w:rPr>
        <w:t>，係</w:t>
      </w:r>
      <w:proofErr w:type="gramStart"/>
      <w:r w:rsidRPr="007307D1">
        <w:rPr>
          <w:rFonts w:hint="eastAsia"/>
          <w:color w:val="000000" w:themeColor="text1"/>
        </w:rPr>
        <w:t>採</w:t>
      </w:r>
      <w:proofErr w:type="gramEnd"/>
      <w:r w:rsidRPr="007307D1">
        <w:rPr>
          <w:rFonts w:hint="eastAsia"/>
          <w:color w:val="000000" w:themeColor="text1"/>
        </w:rPr>
        <w:t>行政院農業委員會</w:t>
      </w:r>
      <w:r w:rsidRPr="007307D1">
        <w:rPr>
          <w:rFonts w:hint="eastAsia"/>
          <w:color w:val="000000" w:themeColor="text1"/>
        </w:rPr>
        <w:lastRenderedPageBreak/>
        <w:t>發布之「水土保持技術規範」，以50年1次之暴雨強度公式</w:t>
      </w:r>
      <w:r w:rsidRPr="009B5374">
        <w:rPr>
          <w:rFonts w:hint="eastAsia"/>
          <w:color w:val="000000" w:themeColor="text1"/>
        </w:rPr>
        <w:t>作為設計施工規範，而道路系統亦由原採用乙種林道設計規劃，改</w:t>
      </w:r>
      <w:proofErr w:type="gramStart"/>
      <w:r w:rsidRPr="009B5374">
        <w:rPr>
          <w:rFonts w:hint="eastAsia"/>
          <w:color w:val="000000" w:themeColor="text1"/>
        </w:rPr>
        <w:t>採</w:t>
      </w:r>
      <w:proofErr w:type="gramEnd"/>
      <w:r w:rsidRPr="009B5374">
        <w:rPr>
          <w:rFonts w:hint="eastAsia"/>
          <w:color w:val="000000" w:themeColor="text1"/>
        </w:rPr>
        <w:t>臺北市市區道路規劃設計，致大幅增加挖填</w:t>
      </w:r>
      <w:r w:rsidR="00550BAE" w:rsidRPr="009B5374">
        <w:rPr>
          <w:rFonts w:hint="eastAsia"/>
          <w:color w:val="000000" w:themeColor="text1"/>
        </w:rPr>
        <w:t>土</w:t>
      </w:r>
      <w:r w:rsidR="007307D1" w:rsidRPr="009B5374">
        <w:rPr>
          <w:rFonts w:hint="eastAsia"/>
          <w:color w:val="000000" w:themeColor="text1"/>
        </w:rPr>
        <w:t>石</w:t>
      </w:r>
      <w:r w:rsidRPr="009B5374">
        <w:rPr>
          <w:rFonts w:hint="eastAsia"/>
          <w:color w:val="000000" w:themeColor="text1"/>
        </w:rPr>
        <w:t>方數量。其中道路系統挖方為22萬3,885立方公尺，</w:t>
      </w:r>
      <w:r w:rsidRPr="007307D1">
        <w:rPr>
          <w:rFonts w:hint="eastAsia"/>
          <w:color w:val="000000" w:themeColor="text1"/>
        </w:rPr>
        <w:t>填方為23萬5,959立方公尺，</w:t>
      </w:r>
      <w:proofErr w:type="gramStart"/>
      <w:r w:rsidRPr="007307D1">
        <w:rPr>
          <w:rFonts w:hint="eastAsia"/>
          <w:color w:val="000000" w:themeColor="text1"/>
        </w:rPr>
        <w:t>各滯洪池</w:t>
      </w:r>
      <w:proofErr w:type="gramEnd"/>
      <w:r w:rsidRPr="007307D1">
        <w:rPr>
          <w:rFonts w:hint="eastAsia"/>
          <w:color w:val="000000" w:themeColor="text1"/>
        </w:rPr>
        <w:t>之基礎挖方為2萬1,790立方公尺，填方為8,715立方公尺。</w:t>
      </w:r>
      <w:r w:rsidR="00AE56FC" w:rsidRPr="007307D1">
        <w:rPr>
          <w:rFonts w:hint="eastAsia"/>
          <w:color w:val="000000" w:themeColor="text1"/>
        </w:rPr>
        <w:t>對於前揭環境影響說明書所載土石方數量（25萬立方公尺）與核定之水土保持計畫土石方數量（</w:t>
      </w:r>
      <w:r w:rsidR="00AE56FC" w:rsidRPr="007307D1">
        <w:rPr>
          <w:color w:val="000000" w:themeColor="text1"/>
        </w:rPr>
        <w:t>48</w:t>
      </w:r>
      <w:r w:rsidR="00AE56FC" w:rsidRPr="007307D1">
        <w:rPr>
          <w:rFonts w:hint="eastAsia"/>
          <w:color w:val="000000" w:themeColor="text1"/>
        </w:rPr>
        <w:t>萬</w:t>
      </w:r>
      <w:r w:rsidR="00AE56FC" w:rsidRPr="007307D1">
        <w:rPr>
          <w:color w:val="000000" w:themeColor="text1"/>
        </w:rPr>
        <w:t>9,348</w:t>
      </w:r>
      <w:r w:rsidR="00AE56FC" w:rsidRPr="007307D1">
        <w:rPr>
          <w:rFonts w:hint="eastAsia"/>
          <w:color w:val="000000" w:themeColor="text1"/>
        </w:rPr>
        <w:t>立方公尺）二者數量相差懸殊一節，</w:t>
      </w:r>
      <w:r w:rsidR="00AE56FC" w:rsidRPr="007307D1">
        <w:rPr>
          <w:rFonts w:hAnsi="標楷體" w:hint="eastAsia"/>
          <w:color w:val="000000" w:themeColor="text1"/>
          <w:szCs w:val="32"/>
        </w:rPr>
        <w:t>本院前於90年間曾提案糾正臺北市政府：「</w:t>
      </w:r>
      <w:r w:rsidR="0023332D" w:rsidRPr="007307D1">
        <w:rPr>
          <w:rFonts w:hint="eastAsia"/>
          <w:color w:val="000000" w:themeColor="text1"/>
        </w:rPr>
        <w:t>查85年9月10日臺北市環境保護局通過修正定稿之住六之六地區環境影響說明書內雖附有土石方計算報告書，惟內容粗糙簡略，僅以寥寥數語交代挖方為124,900立方公尺，填方為125,100立方公尺，</w:t>
      </w:r>
      <w:proofErr w:type="gramStart"/>
      <w:r w:rsidR="0023332D" w:rsidRPr="007307D1">
        <w:rPr>
          <w:rFonts w:hint="eastAsia"/>
          <w:color w:val="000000" w:themeColor="text1"/>
        </w:rPr>
        <w:t>惟查該</w:t>
      </w:r>
      <w:proofErr w:type="gramEnd"/>
      <w:r w:rsidR="0023332D" w:rsidRPr="007307D1">
        <w:rPr>
          <w:rFonts w:hint="eastAsia"/>
          <w:color w:val="000000" w:themeColor="text1"/>
        </w:rPr>
        <w:t>地區自辦重劃會送該府建設局委外審查通過之道路及部分公共工程水土保持計畫，係</w:t>
      </w:r>
      <w:proofErr w:type="gramStart"/>
      <w:r w:rsidR="0023332D" w:rsidRPr="007307D1">
        <w:rPr>
          <w:rFonts w:hint="eastAsia"/>
          <w:color w:val="000000" w:themeColor="text1"/>
        </w:rPr>
        <w:t>以總挖填</w:t>
      </w:r>
      <w:proofErr w:type="gramEnd"/>
      <w:r w:rsidR="0023332D" w:rsidRPr="007307D1">
        <w:rPr>
          <w:rFonts w:hint="eastAsia"/>
          <w:color w:val="000000" w:themeColor="text1"/>
        </w:rPr>
        <w:t>面積19.78公頃與45.8萬立方公尺計算，</w:t>
      </w:r>
      <w:proofErr w:type="gramStart"/>
      <w:r w:rsidR="0023332D" w:rsidRPr="007307D1">
        <w:rPr>
          <w:rFonts w:hint="eastAsia"/>
          <w:color w:val="000000" w:themeColor="text1"/>
        </w:rPr>
        <w:t>實際挖</w:t>
      </w:r>
      <w:proofErr w:type="gramEnd"/>
      <w:r w:rsidR="0023332D" w:rsidRPr="007307D1">
        <w:rPr>
          <w:rFonts w:hint="eastAsia"/>
          <w:color w:val="000000" w:themeColor="text1"/>
        </w:rPr>
        <w:t>填深度平均約2.31公尺，計算前後結果相差近1倍，且尚未含</w:t>
      </w:r>
      <w:proofErr w:type="gramStart"/>
      <w:r w:rsidR="0023332D" w:rsidRPr="007307D1">
        <w:rPr>
          <w:rFonts w:hint="eastAsia"/>
          <w:color w:val="000000" w:themeColor="text1"/>
        </w:rPr>
        <w:t>括</w:t>
      </w:r>
      <w:proofErr w:type="gramEnd"/>
      <w:r w:rsidR="0023332D" w:rsidRPr="007307D1">
        <w:rPr>
          <w:rFonts w:hint="eastAsia"/>
          <w:color w:val="000000" w:themeColor="text1"/>
        </w:rPr>
        <w:t>未來基地整地部分，顯見原環境影響說明書所載水土保持部分顯然嚴重失實，應</w:t>
      </w:r>
      <w:proofErr w:type="gramStart"/>
      <w:r w:rsidR="0023332D" w:rsidRPr="007307D1">
        <w:rPr>
          <w:rFonts w:hint="eastAsia"/>
          <w:color w:val="000000" w:themeColor="text1"/>
        </w:rPr>
        <w:t>確實厘正</w:t>
      </w:r>
      <w:proofErr w:type="gramEnd"/>
      <w:r w:rsidR="0023332D" w:rsidRPr="007307D1">
        <w:rPr>
          <w:rFonts w:hint="eastAsia"/>
          <w:color w:val="000000" w:themeColor="text1"/>
        </w:rPr>
        <w:t>。」</w:t>
      </w:r>
      <w:bookmarkEnd w:id="287"/>
      <w:bookmarkEnd w:id="288"/>
    </w:p>
    <w:p w:rsidR="00C07EEB" w:rsidRPr="007307D1" w:rsidRDefault="00C07EEB" w:rsidP="00C07EEB">
      <w:pPr>
        <w:pStyle w:val="3"/>
        <w:rPr>
          <w:color w:val="000000" w:themeColor="text1"/>
        </w:rPr>
      </w:pPr>
      <w:bookmarkStart w:id="290" w:name="_Toc18594820"/>
      <w:bookmarkStart w:id="291" w:name="_Toc18675756"/>
      <w:r w:rsidRPr="007307D1">
        <w:rPr>
          <w:rFonts w:hint="eastAsia"/>
          <w:color w:val="000000" w:themeColor="text1"/>
        </w:rPr>
        <w:t>查</w:t>
      </w:r>
      <w:proofErr w:type="gramStart"/>
      <w:r w:rsidRPr="007307D1">
        <w:rPr>
          <w:rFonts w:hint="eastAsia"/>
          <w:color w:val="000000" w:themeColor="text1"/>
        </w:rPr>
        <w:t>88年8月間本案</w:t>
      </w:r>
      <w:proofErr w:type="gramEnd"/>
      <w:r w:rsidRPr="007307D1">
        <w:rPr>
          <w:rFonts w:hint="eastAsia"/>
          <w:color w:val="000000" w:themeColor="text1"/>
          <w:szCs w:val="48"/>
        </w:rPr>
        <w:t>水土保持</w:t>
      </w:r>
      <w:r w:rsidRPr="007307D1">
        <w:rPr>
          <w:rFonts w:hint="eastAsia"/>
          <w:color w:val="000000" w:themeColor="text1"/>
        </w:rPr>
        <w:t>工程開始施工，迄89年4月間臺北市政府環評會進行現地檢查時，發現重劃區規劃及工程內容與當初所送環境影響說明書有不同之處，請開發單位（重劃會）依</w:t>
      </w:r>
      <w:r w:rsidRPr="00D11BEE">
        <w:rPr>
          <w:rFonts w:hint="eastAsia"/>
          <w:color w:val="000000" w:themeColor="text1"/>
        </w:rPr>
        <w:t>環評法第16條及其施行細則第37條辦理變更手續</w:t>
      </w:r>
      <w:r w:rsidRPr="007307D1">
        <w:rPr>
          <w:rFonts w:hint="eastAsia"/>
          <w:color w:val="000000" w:themeColor="text1"/>
        </w:rPr>
        <w:t>。重劃會於89年4月間提出環境影響差異分析報告，計有公園、綠地等計10項與原環境影響說明書定稿本有差異。</w:t>
      </w:r>
      <w:r w:rsidRPr="007307D1">
        <w:rPr>
          <w:rFonts w:hAnsi="標楷體" w:hint="eastAsia"/>
          <w:color w:val="000000" w:themeColor="text1"/>
          <w:szCs w:val="32"/>
        </w:rPr>
        <w:t>94年7月間，本案水土保持計畫進行</w:t>
      </w:r>
      <w:r w:rsidRPr="00D11BEE">
        <w:rPr>
          <w:rFonts w:hAnsi="標楷體" w:hint="eastAsia"/>
          <w:color w:val="000000" w:themeColor="text1"/>
          <w:szCs w:val="32"/>
        </w:rPr>
        <w:t>第1次變更設計</w:t>
      </w:r>
      <w:r w:rsidRPr="007307D1">
        <w:rPr>
          <w:rFonts w:hAnsi="標楷體" w:hint="eastAsia"/>
          <w:color w:val="000000" w:themeColor="text1"/>
          <w:szCs w:val="32"/>
        </w:rPr>
        <w:t>，包括配合閻錫山墓園變更將RD.3-8道路末</w:t>
      </w:r>
      <w:proofErr w:type="gramStart"/>
      <w:r w:rsidRPr="007307D1">
        <w:rPr>
          <w:rFonts w:hAnsi="標楷體" w:hint="eastAsia"/>
          <w:color w:val="000000" w:themeColor="text1"/>
          <w:szCs w:val="32"/>
        </w:rPr>
        <w:t>段略修</w:t>
      </w:r>
      <w:r w:rsidRPr="007307D1">
        <w:rPr>
          <w:rFonts w:hAnsi="標楷體" w:hint="eastAsia"/>
          <w:color w:val="000000" w:themeColor="text1"/>
          <w:szCs w:val="32"/>
        </w:rPr>
        <w:lastRenderedPageBreak/>
        <w:t>移位</w:t>
      </w:r>
      <w:proofErr w:type="gramEnd"/>
      <w:r w:rsidRPr="007307D1">
        <w:rPr>
          <w:rFonts w:hAnsi="標楷體" w:hint="eastAsia"/>
          <w:color w:val="000000" w:themeColor="text1"/>
          <w:szCs w:val="32"/>
        </w:rPr>
        <w:t>、配合土地利用之整地高程，修正道路縱斷面高程等，挖填土方量合計為</w:t>
      </w:r>
      <w:r w:rsidRPr="004438AB">
        <w:rPr>
          <w:rFonts w:hAnsi="標楷體"/>
          <w:color w:val="000000" w:themeColor="text1"/>
          <w:szCs w:val="32"/>
        </w:rPr>
        <w:t>57</w:t>
      </w:r>
      <w:r w:rsidRPr="004438AB">
        <w:rPr>
          <w:rFonts w:hAnsi="標楷體" w:hint="eastAsia"/>
          <w:color w:val="000000" w:themeColor="text1"/>
          <w:szCs w:val="32"/>
        </w:rPr>
        <w:t>萬</w:t>
      </w:r>
      <w:r w:rsidRPr="004438AB">
        <w:rPr>
          <w:rFonts w:hAnsi="標楷體"/>
          <w:color w:val="000000" w:themeColor="text1"/>
          <w:szCs w:val="32"/>
        </w:rPr>
        <w:t>2</w:t>
      </w:r>
      <w:r w:rsidRPr="004438AB">
        <w:rPr>
          <w:rFonts w:hAnsi="標楷體" w:hint="eastAsia"/>
          <w:color w:val="000000" w:themeColor="text1"/>
          <w:szCs w:val="32"/>
        </w:rPr>
        <w:t>,403立方公尺</w:t>
      </w:r>
      <w:r w:rsidRPr="007307D1">
        <w:rPr>
          <w:rFonts w:hAnsi="標楷體" w:hint="eastAsia"/>
          <w:color w:val="000000" w:themeColor="text1"/>
          <w:szCs w:val="32"/>
        </w:rPr>
        <w:t>（挖方28萬6,204立方公尺，填方28萬6,199立方公尺）。</w:t>
      </w:r>
      <w:bookmarkEnd w:id="290"/>
      <w:bookmarkEnd w:id="291"/>
    </w:p>
    <w:p w:rsidR="008C2D57" w:rsidRPr="008C2D57" w:rsidRDefault="00B15C90" w:rsidP="00C07EEB">
      <w:pPr>
        <w:pStyle w:val="3"/>
      </w:pPr>
      <w:bookmarkStart w:id="292" w:name="_Toc18675757"/>
      <w:bookmarkStart w:id="293" w:name="_Toc18594821"/>
      <w:r w:rsidRPr="007307D1">
        <w:rPr>
          <w:rFonts w:hint="eastAsia"/>
          <w:color w:val="000000" w:themeColor="text1"/>
        </w:rPr>
        <w:t>94年9月間，前揭重劃會提出之差異分析報告歷經8次環評會審查及2次現場勘查後，於第43次環評會議結論：「本案環境差異分析審查於9條6米巷道之水土保持計畫經水土保持機關審核通過後，使自動生效定稿」。</w:t>
      </w:r>
      <w:r w:rsidR="00C07EEB" w:rsidRPr="007307D1">
        <w:rPr>
          <w:rFonts w:hAnsi="標楷體" w:hint="eastAsia"/>
          <w:color w:val="000000" w:themeColor="text1"/>
          <w:szCs w:val="32"/>
        </w:rPr>
        <w:t>96年6月間，本案</w:t>
      </w:r>
      <w:r w:rsidR="00C07EEB" w:rsidRPr="00D11BEE">
        <w:rPr>
          <w:rFonts w:hAnsi="標楷體" w:hint="eastAsia"/>
          <w:color w:val="000000" w:themeColor="text1"/>
          <w:szCs w:val="32"/>
        </w:rPr>
        <w:t>水土保持計畫進行第2次變更設計</w:t>
      </w:r>
      <w:r w:rsidR="00C07EEB" w:rsidRPr="007307D1">
        <w:rPr>
          <w:rFonts w:hAnsi="標楷體" w:hint="eastAsia"/>
          <w:color w:val="000000" w:themeColor="text1"/>
          <w:szCs w:val="32"/>
        </w:rPr>
        <w:t>，重劃會為土地分配需要及維持未參加重劃之現住戶既有交通，提出需增設9條6米重劃道路</w:t>
      </w:r>
      <w:proofErr w:type="gramStart"/>
      <w:r w:rsidR="00C07EEB" w:rsidRPr="009B5374">
        <w:rPr>
          <w:rFonts w:hint="eastAsia"/>
          <w:color w:val="000000" w:themeColor="text1"/>
        </w:rPr>
        <w:t>（</w:t>
      </w:r>
      <w:proofErr w:type="gramEnd"/>
      <w:r w:rsidR="00980618" w:rsidRPr="009B5374">
        <w:rPr>
          <w:rFonts w:hint="eastAsia"/>
          <w:color w:val="000000" w:themeColor="text1"/>
        </w:rPr>
        <w:t>土石方量：挖方7</w:t>
      </w:r>
      <w:r w:rsidR="00980618" w:rsidRPr="009B5374">
        <w:rPr>
          <w:color w:val="000000" w:themeColor="text1"/>
        </w:rPr>
        <w:t>,</w:t>
      </w:r>
      <w:r w:rsidR="00980618" w:rsidRPr="009B5374">
        <w:rPr>
          <w:rFonts w:hint="eastAsia"/>
          <w:color w:val="000000" w:themeColor="text1"/>
        </w:rPr>
        <w:t>131立方公尺、填方7</w:t>
      </w:r>
      <w:r w:rsidR="00980618" w:rsidRPr="009B5374">
        <w:rPr>
          <w:color w:val="000000" w:themeColor="text1"/>
        </w:rPr>
        <w:t>,</w:t>
      </w:r>
      <w:r w:rsidR="00980618" w:rsidRPr="009B5374">
        <w:rPr>
          <w:rFonts w:hint="eastAsia"/>
          <w:color w:val="000000" w:themeColor="text1"/>
        </w:rPr>
        <w:t>133立方公尺，合計1萬4</w:t>
      </w:r>
      <w:r w:rsidR="00980618" w:rsidRPr="009B5374">
        <w:rPr>
          <w:color w:val="000000" w:themeColor="text1"/>
        </w:rPr>
        <w:t>,</w:t>
      </w:r>
      <w:r w:rsidR="00980618" w:rsidRPr="009B5374">
        <w:rPr>
          <w:rFonts w:hint="eastAsia"/>
          <w:color w:val="000000" w:themeColor="text1"/>
        </w:rPr>
        <w:t>264立方公尺</w:t>
      </w:r>
      <w:proofErr w:type="gramStart"/>
      <w:r w:rsidR="00C07EEB" w:rsidRPr="009B5374">
        <w:rPr>
          <w:rFonts w:hint="eastAsia"/>
          <w:color w:val="000000" w:themeColor="text1"/>
        </w:rPr>
        <w:t>）</w:t>
      </w:r>
      <w:proofErr w:type="gramEnd"/>
      <w:r w:rsidR="00C07EEB" w:rsidRPr="009B5374">
        <w:rPr>
          <w:rFonts w:hint="eastAsia"/>
          <w:color w:val="000000" w:themeColor="text1"/>
        </w:rPr>
        <w:t>，</w:t>
      </w:r>
      <w:r w:rsidR="00C07EEB" w:rsidRPr="009B5374">
        <w:rPr>
          <w:rFonts w:hAnsi="標楷體" w:hint="eastAsia"/>
          <w:color w:val="000000" w:themeColor="text1"/>
          <w:szCs w:val="32"/>
        </w:rPr>
        <w:t>挖填土</w:t>
      </w:r>
      <w:r w:rsidR="002230D9" w:rsidRPr="009B5374">
        <w:rPr>
          <w:rFonts w:hAnsi="標楷體" w:hint="eastAsia"/>
          <w:color w:val="000000" w:themeColor="text1"/>
          <w:szCs w:val="32"/>
        </w:rPr>
        <w:t>石</w:t>
      </w:r>
      <w:r w:rsidR="00C07EEB" w:rsidRPr="009B5374">
        <w:rPr>
          <w:rFonts w:hAnsi="標楷體" w:hint="eastAsia"/>
          <w:color w:val="000000" w:themeColor="text1"/>
          <w:szCs w:val="32"/>
        </w:rPr>
        <w:t>方</w:t>
      </w:r>
      <w:r w:rsidR="00C07EEB" w:rsidRPr="007307D1">
        <w:rPr>
          <w:rFonts w:hAnsi="標楷體" w:hint="eastAsia"/>
          <w:color w:val="000000" w:themeColor="text1"/>
          <w:szCs w:val="32"/>
        </w:rPr>
        <w:t>量為</w:t>
      </w:r>
      <w:r w:rsidR="00C07EEB" w:rsidRPr="00D11BEE">
        <w:rPr>
          <w:rFonts w:hAnsi="標楷體" w:hint="eastAsia"/>
          <w:color w:val="000000" w:themeColor="text1"/>
          <w:szCs w:val="32"/>
        </w:rPr>
        <w:t>58萬6,667立方公尺</w:t>
      </w:r>
      <w:r w:rsidR="0049534D" w:rsidRPr="007307D1">
        <w:rPr>
          <w:rFonts w:hint="eastAsia"/>
          <w:color w:val="000000" w:themeColor="text1"/>
          <w:szCs w:val="32"/>
        </w:rPr>
        <w:t>。</w:t>
      </w:r>
      <w:proofErr w:type="gramStart"/>
      <w:r w:rsidR="0049534D" w:rsidRPr="007307D1">
        <w:rPr>
          <w:rFonts w:hint="eastAsia"/>
          <w:color w:val="000000" w:themeColor="text1"/>
          <w:szCs w:val="32"/>
        </w:rPr>
        <w:t>本案土石方</w:t>
      </w:r>
      <w:proofErr w:type="gramEnd"/>
      <w:r w:rsidR="0049534D" w:rsidRPr="007307D1">
        <w:rPr>
          <w:rFonts w:hint="eastAsia"/>
          <w:color w:val="000000" w:themeColor="text1"/>
          <w:szCs w:val="32"/>
        </w:rPr>
        <w:t>量變更情形</w:t>
      </w:r>
      <w:r w:rsidR="008C2D57" w:rsidRPr="007307D1">
        <w:rPr>
          <w:rFonts w:hint="eastAsia"/>
          <w:color w:val="000000" w:themeColor="text1"/>
          <w:szCs w:val="32"/>
        </w:rPr>
        <w:t>如表9</w:t>
      </w:r>
      <w:r w:rsidR="0049534D" w:rsidRPr="007307D1">
        <w:rPr>
          <w:rFonts w:hint="eastAsia"/>
          <w:color w:val="000000" w:themeColor="text1"/>
          <w:szCs w:val="32"/>
        </w:rPr>
        <w:t>所示</w:t>
      </w:r>
      <w:r w:rsidR="00C07EEB" w:rsidRPr="007307D1">
        <w:rPr>
          <w:rFonts w:hAnsi="標楷體" w:hint="eastAsia"/>
          <w:color w:val="000000" w:themeColor="text1"/>
          <w:szCs w:val="32"/>
        </w:rPr>
        <w:t>。</w:t>
      </w:r>
      <w:bookmarkEnd w:id="292"/>
      <w:r w:rsidR="001C4F23" w:rsidRPr="007307D1">
        <w:rPr>
          <w:rFonts w:hAnsi="標楷體" w:hint="eastAsia"/>
          <w:color w:val="000000" w:themeColor="text1"/>
          <w:szCs w:val="32"/>
        </w:rPr>
        <w:t>至於</w:t>
      </w:r>
      <w:proofErr w:type="gramStart"/>
      <w:r w:rsidR="001C4F23" w:rsidRPr="007307D1">
        <w:rPr>
          <w:rFonts w:hAnsi="標楷體" w:hint="eastAsia"/>
          <w:color w:val="000000" w:themeColor="text1"/>
          <w:szCs w:val="32"/>
        </w:rPr>
        <w:t>前揭環說書</w:t>
      </w:r>
      <w:proofErr w:type="gramEnd"/>
      <w:r w:rsidR="001C4F23" w:rsidRPr="007307D1">
        <w:rPr>
          <w:rFonts w:hAnsi="標楷體" w:hint="eastAsia"/>
          <w:color w:val="000000" w:themeColor="text1"/>
          <w:szCs w:val="32"/>
        </w:rPr>
        <w:t>提及</w:t>
      </w:r>
      <w:r w:rsidR="001C4F23" w:rsidRPr="007307D1">
        <w:rPr>
          <w:rFonts w:ascii="Times New Roman" w:hAnsi="Times New Roman"/>
          <w:color w:val="000000" w:themeColor="text1"/>
          <w:kern w:val="0"/>
          <w:szCs w:val="32"/>
        </w:rPr>
        <w:t>土方量將於申請雜項執照時再依細部狀況作詳細計算</w:t>
      </w:r>
      <w:r w:rsidR="001C4F23" w:rsidRPr="007307D1">
        <w:rPr>
          <w:rFonts w:ascii="Times New Roman" w:hAnsi="Times New Roman" w:hint="eastAsia"/>
          <w:color w:val="000000" w:themeColor="text1"/>
          <w:kern w:val="0"/>
          <w:szCs w:val="32"/>
        </w:rPr>
        <w:t>一節，臺北市政府以本案</w:t>
      </w:r>
      <w:r w:rsidR="001C4F23" w:rsidRPr="007307D1">
        <w:rPr>
          <w:rFonts w:hAnsi="標楷體"/>
          <w:color w:val="000000" w:themeColor="text1"/>
          <w:szCs w:val="32"/>
        </w:rPr>
        <w:t>工程尚屬都市計畫程序，如因市地重劃範圍內土地權屬複雜，申請雜項執照確有困難者，得免申請雜項執照</w:t>
      </w:r>
      <w:r w:rsidR="001C4F23" w:rsidRPr="007307D1">
        <w:rPr>
          <w:rFonts w:hAnsi="標楷體" w:hint="eastAsia"/>
          <w:color w:val="000000" w:themeColor="text1"/>
          <w:szCs w:val="32"/>
        </w:rPr>
        <w:t>為由，而免除申請。</w:t>
      </w:r>
    </w:p>
    <w:p w:rsidR="008C2D57" w:rsidRPr="007307D1" w:rsidRDefault="008C2D57" w:rsidP="008C2D57">
      <w:pPr>
        <w:pStyle w:val="a3"/>
        <w:ind w:left="697" w:hanging="697"/>
        <w:rPr>
          <w:color w:val="000000" w:themeColor="text1"/>
        </w:rPr>
      </w:pPr>
      <w:bookmarkStart w:id="294" w:name="_Toc18661030"/>
      <w:proofErr w:type="gramStart"/>
      <w:r w:rsidRPr="007307D1">
        <w:rPr>
          <w:rFonts w:ascii="Times New Roman" w:hint="eastAsia"/>
          <w:color w:val="000000" w:themeColor="text1"/>
        </w:rPr>
        <w:t>本案土石方</w:t>
      </w:r>
      <w:proofErr w:type="gramEnd"/>
      <w:r w:rsidRPr="007307D1">
        <w:rPr>
          <w:rFonts w:ascii="Times New Roman" w:hint="eastAsia"/>
          <w:color w:val="000000" w:themeColor="text1"/>
        </w:rPr>
        <w:t>量變更情形一覽表</w:t>
      </w:r>
      <w:bookmarkEnd w:id="294"/>
    </w:p>
    <w:tbl>
      <w:tblPr>
        <w:tblStyle w:val="af6"/>
        <w:tblW w:w="0" w:type="auto"/>
        <w:tblInd w:w="108" w:type="dxa"/>
        <w:tblLook w:val="04A0" w:firstRow="1" w:lastRow="0" w:firstColumn="1" w:lastColumn="0" w:noHBand="0" w:noVBand="1"/>
      </w:tblPr>
      <w:tblGrid>
        <w:gridCol w:w="502"/>
        <w:gridCol w:w="1855"/>
        <w:gridCol w:w="591"/>
        <w:gridCol w:w="1343"/>
        <w:gridCol w:w="1272"/>
        <w:gridCol w:w="1139"/>
        <w:gridCol w:w="1125"/>
        <w:gridCol w:w="1125"/>
      </w:tblGrid>
      <w:tr w:rsidR="008C2D57" w:rsidRPr="007307D1" w:rsidTr="00E6512C">
        <w:tc>
          <w:tcPr>
            <w:tcW w:w="502" w:type="dxa"/>
            <w:tcBorders>
              <w:bottom w:val="single" w:sz="4" w:space="0" w:color="auto"/>
            </w:tcBorders>
          </w:tcPr>
          <w:p w:rsidR="008C2D57" w:rsidRPr="007307D1" w:rsidRDefault="008C2D57" w:rsidP="00E6512C">
            <w:pPr>
              <w:pStyle w:val="3"/>
              <w:numPr>
                <w:ilvl w:val="0"/>
                <w:numId w:val="0"/>
              </w:numPr>
              <w:ind w:left="3"/>
              <w:rPr>
                <w:rFonts w:hAnsi="標楷體"/>
                <w:color w:val="000000" w:themeColor="text1"/>
                <w:sz w:val="24"/>
                <w:szCs w:val="24"/>
              </w:rPr>
            </w:pPr>
            <w:bookmarkStart w:id="295" w:name="_Toc18675758"/>
            <w:r w:rsidRPr="007307D1">
              <w:rPr>
                <w:rFonts w:hAnsi="標楷體" w:hint="eastAsia"/>
                <w:color w:val="000000" w:themeColor="text1"/>
                <w:sz w:val="24"/>
                <w:szCs w:val="24"/>
              </w:rPr>
              <w:t>項次</w:t>
            </w:r>
            <w:bookmarkEnd w:id="295"/>
          </w:p>
        </w:tc>
        <w:tc>
          <w:tcPr>
            <w:tcW w:w="1855" w:type="dxa"/>
            <w:tcBorders>
              <w:bottom w:val="single" w:sz="4" w:space="0" w:color="auto"/>
            </w:tcBorders>
            <w:vAlign w:val="center"/>
          </w:tcPr>
          <w:p w:rsidR="008C2D57" w:rsidRPr="007307D1" w:rsidRDefault="008C2D57" w:rsidP="00E6512C">
            <w:pPr>
              <w:pStyle w:val="3"/>
              <w:numPr>
                <w:ilvl w:val="0"/>
                <w:numId w:val="0"/>
              </w:numPr>
              <w:ind w:left="3"/>
              <w:jc w:val="center"/>
              <w:rPr>
                <w:rFonts w:hAnsi="標楷體"/>
                <w:color w:val="000000" w:themeColor="text1"/>
                <w:sz w:val="24"/>
                <w:szCs w:val="24"/>
              </w:rPr>
            </w:pPr>
            <w:bookmarkStart w:id="296" w:name="_Toc18675759"/>
            <w:r w:rsidRPr="007307D1">
              <w:rPr>
                <w:rFonts w:hAnsi="標楷體" w:hint="eastAsia"/>
                <w:color w:val="000000" w:themeColor="text1"/>
                <w:sz w:val="24"/>
                <w:szCs w:val="24"/>
              </w:rPr>
              <w:t>項目</w:t>
            </w:r>
            <w:bookmarkEnd w:id="296"/>
          </w:p>
        </w:tc>
        <w:tc>
          <w:tcPr>
            <w:tcW w:w="591" w:type="dxa"/>
            <w:vMerge w:val="restart"/>
            <w:vAlign w:val="center"/>
          </w:tcPr>
          <w:p w:rsidR="008C2D57" w:rsidRPr="007307D1" w:rsidRDefault="008C2D57" w:rsidP="00E6512C">
            <w:pPr>
              <w:pStyle w:val="3"/>
              <w:numPr>
                <w:ilvl w:val="0"/>
                <w:numId w:val="0"/>
              </w:numPr>
              <w:ind w:left="3"/>
              <w:jc w:val="center"/>
              <w:rPr>
                <w:rFonts w:hAnsi="標楷體"/>
                <w:color w:val="000000" w:themeColor="text1"/>
                <w:sz w:val="24"/>
                <w:szCs w:val="24"/>
              </w:rPr>
            </w:pPr>
            <w:bookmarkStart w:id="297" w:name="_Toc18675760"/>
            <w:r w:rsidRPr="007307D1">
              <w:rPr>
                <w:rFonts w:hAnsi="標楷體" w:hint="eastAsia"/>
                <w:color w:val="000000" w:themeColor="text1"/>
                <w:sz w:val="24"/>
                <w:szCs w:val="24"/>
              </w:rPr>
              <w:t>單</w:t>
            </w:r>
            <w:bookmarkEnd w:id="297"/>
          </w:p>
          <w:p w:rsidR="008C2D57" w:rsidRPr="007307D1" w:rsidRDefault="008C2D57" w:rsidP="00E6512C">
            <w:pPr>
              <w:pStyle w:val="3"/>
              <w:numPr>
                <w:ilvl w:val="0"/>
                <w:numId w:val="0"/>
              </w:numPr>
              <w:ind w:left="3"/>
              <w:jc w:val="center"/>
              <w:rPr>
                <w:rFonts w:hAnsi="標楷體"/>
                <w:color w:val="000000" w:themeColor="text1"/>
                <w:sz w:val="24"/>
                <w:szCs w:val="24"/>
              </w:rPr>
            </w:pPr>
            <w:bookmarkStart w:id="298" w:name="_Toc18675761"/>
            <w:r w:rsidRPr="007307D1">
              <w:rPr>
                <w:rFonts w:hAnsi="標楷體" w:hint="eastAsia"/>
                <w:color w:val="000000" w:themeColor="text1"/>
                <w:sz w:val="24"/>
                <w:szCs w:val="24"/>
              </w:rPr>
              <w:t>位</w:t>
            </w:r>
            <w:bookmarkEnd w:id="298"/>
          </w:p>
        </w:tc>
        <w:tc>
          <w:tcPr>
            <w:tcW w:w="2615" w:type="dxa"/>
            <w:gridSpan w:val="2"/>
            <w:tcBorders>
              <w:bottom w:val="single" w:sz="4" w:space="0" w:color="auto"/>
            </w:tcBorders>
            <w:vAlign w:val="center"/>
          </w:tcPr>
          <w:p w:rsidR="008C2D57" w:rsidRPr="007307D1" w:rsidRDefault="008C2D57" w:rsidP="00E6512C">
            <w:pPr>
              <w:pStyle w:val="3"/>
              <w:numPr>
                <w:ilvl w:val="0"/>
                <w:numId w:val="0"/>
              </w:numPr>
              <w:ind w:left="3"/>
              <w:jc w:val="center"/>
              <w:rPr>
                <w:rFonts w:hAnsi="標楷體"/>
                <w:color w:val="000000" w:themeColor="text1"/>
                <w:sz w:val="24"/>
                <w:szCs w:val="24"/>
              </w:rPr>
            </w:pPr>
            <w:bookmarkStart w:id="299" w:name="_Toc18675762"/>
            <w:r w:rsidRPr="007307D1">
              <w:rPr>
                <w:rFonts w:hAnsi="標楷體" w:hint="eastAsia"/>
                <w:color w:val="000000" w:themeColor="text1"/>
                <w:sz w:val="24"/>
                <w:szCs w:val="24"/>
              </w:rPr>
              <w:t>挖方</w:t>
            </w:r>
            <w:bookmarkEnd w:id="299"/>
          </w:p>
        </w:tc>
        <w:tc>
          <w:tcPr>
            <w:tcW w:w="2264" w:type="dxa"/>
            <w:gridSpan w:val="2"/>
            <w:tcBorders>
              <w:bottom w:val="single" w:sz="4" w:space="0" w:color="auto"/>
            </w:tcBorders>
            <w:vAlign w:val="center"/>
          </w:tcPr>
          <w:p w:rsidR="008C2D57" w:rsidRPr="007307D1" w:rsidRDefault="008C2D57" w:rsidP="00E6512C">
            <w:pPr>
              <w:pStyle w:val="3"/>
              <w:numPr>
                <w:ilvl w:val="0"/>
                <w:numId w:val="0"/>
              </w:numPr>
              <w:ind w:left="3"/>
              <w:jc w:val="center"/>
              <w:rPr>
                <w:rFonts w:hAnsi="標楷體"/>
                <w:color w:val="000000" w:themeColor="text1"/>
                <w:sz w:val="24"/>
                <w:szCs w:val="24"/>
              </w:rPr>
            </w:pPr>
            <w:bookmarkStart w:id="300" w:name="_Toc18675763"/>
            <w:r w:rsidRPr="007307D1">
              <w:rPr>
                <w:rFonts w:hAnsi="標楷體" w:hint="eastAsia"/>
                <w:color w:val="000000" w:themeColor="text1"/>
                <w:sz w:val="24"/>
                <w:szCs w:val="24"/>
              </w:rPr>
              <w:t>填方</w:t>
            </w:r>
            <w:bookmarkEnd w:id="300"/>
          </w:p>
        </w:tc>
        <w:tc>
          <w:tcPr>
            <w:tcW w:w="1125" w:type="dxa"/>
            <w:tcBorders>
              <w:bottom w:val="single" w:sz="4" w:space="0" w:color="auto"/>
            </w:tcBorders>
            <w:vAlign w:val="center"/>
          </w:tcPr>
          <w:p w:rsidR="008C2D57" w:rsidRPr="007307D1" w:rsidRDefault="008C2D57" w:rsidP="00E6512C">
            <w:pPr>
              <w:pStyle w:val="3"/>
              <w:numPr>
                <w:ilvl w:val="0"/>
                <w:numId w:val="0"/>
              </w:numPr>
              <w:ind w:left="3"/>
              <w:jc w:val="center"/>
              <w:rPr>
                <w:rFonts w:hAnsi="標楷體"/>
                <w:color w:val="000000" w:themeColor="text1"/>
                <w:sz w:val="24"/>
                <w:szCs w:val="24"/>
              </w:rPr>
            </w:pPr>
          </w:p>
        </w:tc>
      </w:tr>
      <w:tr w:rsidR="008C2D57" w:rsidRPr="007307D1" w:rsidTr="00E6512C">
        <w:tc>
          <w:tcPr>
            <w:tcW w:w="502" w:type="dxa"/>
            <w:tcBorders>
              <w:bottom w:val="single" w:sz="4" w:space="0" w:color="auto"/>
            </w:tcBorders>
          </w:tcPr>
          <w:p w:rsidR="008C2D57" w:rsidRPr="007307D1" w:rsidRDefault="008C2D57" w:rsidP="00E6512C">
            <w:pPr>
              <w:pStyle w:val="3"/>
              <w:numPr>
                <w:ilvl w:val="0"/>
                <w:numId w:val="0"/>
              </w:numPr>
              <w:rPr>
                <w:color w:val="000000" w:themeColor="text1"/>
                <w:szCs w:val="32"/>
              </w:rPr>
            </w:pPr>
          </w:p>
        </w:tc>
        <w:tc>
          <w:tcPr>
            <w:tcW w:w="1855" w:type="dxa"/>
            <w:tcBorders>
              <w:bottom w:val="single" w:sz="4" w:space="0" w:color="auto"/>
            </w:tcBorders>
          </w:tcPr>
          <w:p w:rsidR="008C2D57" w:rsidRPr="007307D1" w:rsidRDefault="008C2D57" w:rsidP="00E6512C">
            <w:pPr>
              <w:pStyle w:val="3"/>
              <w:numPr>
                <w:ilvl w:val="0"/>
                <w:numId w:val="0"/>
              </w:numPr>
              <w:rPr>
                <w:color w:val="000000" w:themeColor="text1"/>
                <w:sz w:val="24"/>
                <w:szCs w:val="24"/>
              </w:rPr>
            </w:pPr>
          </w:p>
        </w:tc>
        <w:tc>
          <w:tcPr>
            <w:tcW w:w="591" w:type="dxa"/>
            <w:vMerge/>
            <w:tcBorders>
              <w:bottom w:val="single" w:sz="4" w:space="0" w:color="auto"/>
            </w:tcBorders>
            <w:vAlign w:val="center"/>
          </w:tcPr>
          <w:p w:rsidR="008C2D57" w:rsidRPr="007307D1" w:rsidRDefault="008C2D57" w:rsidP="00E6512C">
            <w:pPr>
              <w:pStyle w:val="3"/>
              <w:numPr>
                <w:ilvl w:val="0"/>
                <w:numId w:val="0"/>
              </w:numPr>
              <w:jc w:val="center"/>
              <w:rPr>
                <w:color w:val="000000" w:themeColor="text1"/>
                <w:szCs w:val="32"/>
              </w:rPr>
            </w:pPr>
          </w:p>
        </w:tc>
        <w:tc>
          <w:tcPr>
            <w:tcW w:w="1343" w:type="dxa"/>
            <w:tcBorders>
              <w:bottom w:val="single" w:sz="4" w:space="0" w:color="auto"/>
            </w:tcBorders>
            <w:vAlign w:val="center"/>
          </w:tcPr>
          <w:p w:rsidR="008C2D57" w:rsidRPr="007307D1" w:rsidRDefault="008C2D57" w:rsidP="00E6512C">
            <w:pPr>
              <w:pStyle w:val="3"/>
              <w:numPr>
                <w:ilvl w:val="0"/>
                <w:numId w:val="0"/>
              </w:numPr>
              <w:jc w:val="center"/>
              <w:rPr>
                <w:color w:val="000000" w:themeColor="text1"/>
                <w:sz w:val="24"/>
                <w:szCs w:val="24"/>
              </w:rPr>
            </w:pPr>
            <w:bookmarkStart w:id="301" w:name="_Toc18675764"/>
            <w:r w:rsidRPr="007307D1">
              <w:rPr>
                <w:rFonts w:hint="eastAsia"/>
                <w:color w:val="000000" w:themeColor="text1"/>
                <w:sz w:val="24"/>
                <w:szCs w:val="24"/>
              </w:rPr>
              <w:t>數量</w:t>
            </w:r>
            <w:bookmarkEnd w:id="301"/>
          </w:p>
        </w:tc>
        <w:tc>
          <w:tcPr>
            <w:tcW w:w="1272" w:type="dxa"/>
            <w:tcBorders>
              <w:bottom w:val="single" w:sz="4" w:space="0" w:color="auto"/>
            </w:tcBorders>
            <w:vAlign w:val="center"/>
          </w:tcPr>
          <w:p w:rsidR="008C2D57" w:rsidRPr="007307D1" w:rsidRDefault="008C2D57" w:rsidP="00E6512C">
            <w:pPr>
              <w:pStyle w:val="3"/>
              <w:numPr>
                <w:ilvl w:val="0"/>
                <w:numId w:val="0"/>
              </w:numPr>
              <w:jc w:val="center"/>
              <w:rPr>
                <w:color w:val="000000" w:themeColor="text1"/>
                <w:sz w:val="24"/>
                <w:szCs w:val="24"/>
              </w:rPr>
            </w:pPr>
            <w:bookmarkStart w:id="302" w:name="_Toc18675765"/>
            <w:r w:rsidRPr="007307D1">
              <w:rPr>
                <w:rFonts w:hint="eastAsia"/>
                <w:color w:val="000000" w:themeColor="text1"/>
                <w:sz w:val="24"/>
                <w:szCs w:val="24"/>
              </w:rPr>
              <w:t>累計</w:t>
            </w:r>
            <w:bookmarkEnd w:id="302"/>
          </w:p>
        </w:tc>
        <w:tc>
          <w:tcPr>
            <w:tcW w:w="1139" w:type="dxa"/>
            <w:tcBorders>
              <w:bottom w:val="single" w:sz="4" w:space="0" w:color="auto"/>
            </w:tcBorders>
            <w:vAlign w:val="center"/>
          </w:tcPr>
          <w:p w:rsidR="008C2D57" w:rsidRPr="007307D1" w:rsidRDefault="008C2D57" w:rsidP="00E6512C">
            <w:pPr>
              <w:pStyle w:val="3"/>
              <w:numPr>
                <w:ilvl w:val="0"/>
                <w:numId w:val="0"/>
              </w:numPr>
              <w:jc w:val="center"/>
              <w:rPr>
                <w:color w:val="000000" w:themeColor="text1"/>
                <w:sz w:val="24"/>
                <w:szCs w:val="24"/>
              </w:rPr>
            </w:pPr>
            <w:bookmarkStart w:id="303" w:name="_Toc18675766"/>
            <w:r w:rsidRPr="007307D1">
              <w:rPr>
                <w:rFonts w:hint="eastAsia"/>
                <w:color w:val="000000" w:themeColor="text1"/>
                <w:sz w:val="24"/>
                <w:szCs w:val="24"/>
              </w:rPr>
              <w:t>數量</w:t>
            </w:r>
            <w:bookmarkEnd w:id="303"/>
          </w:p>
        </w:tc>
        <w:tc>
          <w:tcPr>
            <w:tcW w:w="1125" w:type="dxa"/>
            <w:tcBorders>
              <w:bottom w:val="single" w:sz="4" w:space="0" w:color="auto"/>
            </w:tcBorders>
            <w:vAlign w:val="center"/>
          </w:tcPr>
          <w:p w:rsidR="008C2D57" w:rsidRPr="007307D1" w:rsidRDefault="008C2D57" w:rsidP="00E6512C">
            <w:pPr>
              <w:pStyle w:val="3"/>
              <w:numPr>
                <w:ilvl w:val="0"/>
                <w:numId w:val="0"/>
              </w:numPr>
              <w:jc w:val="center"/>
              <w:rPr>
                <w:color w:val="000000" w:themeColor="text1"/>
                <w:sz w:val="24"/>
                <w:szCs w:val="24"/>
              </w:rPr>
            </w:pPr>
            <w:bookmarkStart w:id="304" w:name="_Toc18675767"/>
            <w:r w:rsidRPr="007307D1">
              <w:rPr>
                <w:rFonts w:hint="eastAsia"/>
                <w:color w:val="000000" w:themeColor="text1"/>
                <w:sz w:val="24"/>
                <w:szCs w:val="24"/>
              </w:rPr>
              <w:t>累計</w:t>
            </w:r>
            <w:bookmarkEnd w:id="304"/>
          </w:p>
        </w:tc>
        <w:tc>
          <w:tcPr>
            <w:tcW w:w="1125" w:type="dxa"/>
            <w:tcBorders>
              <w:bottom w:val="single" w:sz="4" w:space="0" w:color="auto"/>
            </w:tcBorders>
            <w:vAlign w:val="center"/>
          </w:tcPr>
          <w:p w:rsidR="008C2D57" w:rsidRPr="007307D1" w:rsidRDefault="008C2D57" w:rsidP="00E6512C">
            <w:pPr>
              <w:pStyle w:val="3"/>
              <w:numPr>
                <w:ilvl w:val="0"/>
                <w:numId w:val="0"/>
              </w:numPr>
              <w:jc w:val="center"/>
              <w:rPr>
                <w:color w:val="000000" w:themeColor="text1"/>
                <w:szCs w:val="32"/>
              </w:rPr>
            </w:pPr>
            <w:bookmarkStart w:id="305" w:name="_Toc18675768"/>
            <w:r w:rsidRPr="007307D1">
              <w:rPr>
                <w:rFonts w:hAnsi="標楷體" w:hint="eastAsia"/>
                <w:color w:val="000000" w:themeColor="text1"/>
                <w:sz w:val="24"/>
                <w:szCs w:val="24"/>
              </w:rPr>
              <w:t>總計</w:t>
            </w:r>
            <w:bookmarkEnd w:id="305"/>
          </w:p>
        </w:tc>
      </w:tr>
      <w:tr w:rsidR="008C2D57" w:rsidRPr="007307D1" w:rsidTr="00E6512C">
        <w:tc>
          <w:tcPr>
            <w:tcW w:w="502" w:type="dxa"/>
            <w:tcBorders>
              <w:top w:val="single" w:sz="4" w:space="0" w:color="auto"/>
              <w:bottom w:val="thickThinMediumGap" w:sz="24" w:space="0" w:color="auto"/>
            </w:tcBorders>
          </w:tcPr>
          <w:p w:rsidR="008C2D57" w:rsidRPr="007307D1" w:rsidRDefault="008C2D57" w:rsidP="00E6512C">
            <w:pPr>
              <w:pStyle w:val="3"/>
              <w:numPr>
                <w:ilvl w:val="0"/>
                <w:numId w:val="0"/>
              </w:numPr>
              <w:rPr>
                <w:color w:val="000000" w:themeColor="text1"/>
                <w:szCs w:val="32"/>
              </w:rPr>
            </w:pPr>
          </w:p>
        </w:tc>
        <w:tc>
          <w:tcPr>
            <w:tcW w:w="1855" w:type="dxa"/>
            <w:tcBorders>
              <w:top w:val="single" w:sz="4" w:space="0" w:color="auto"/>
              <w:bottom w:val="thickThinMediumGap" w:sz="24" w:space="0" w:color="auto"/>
            </w:tcBorders>
          </w:tcPr>
          <w:p w:rsidR="008C2D57" w:rsidRPr="007307D1" w:rsidRDefault="008C2D57" w:rsidP="00E6512C">
            <w:pPr>
              <w:pStyle w:val="3"/>
              <w:numPr>
                <w:ilvl w:val="0"/>
                <w:numId w:val="0"/>
              </w:numPr>
              <w:rPr>
                <w:color w:val="000000" w:themeColor="text1"/>
                <w:sz w:val="24"/>
                <w:szCs w:val="24"/>
              </w:rPr>
            </w:pPr>
            <w:bookmarkStart w:id="306" w:name="_Toc18675769"/>
            <w:r w:rsidRPr="007307D1">
              <w:rPr>
                <w:rFonts w:hint="eastAsia"/>
                <w:color w:val="000000" w:themeColor="text1"/>
                <w:sz w:val="24"/>
                <w:szCs w:val="24"/>
              </w:rPr>
              <w:t>原85年通過之</w:t>
            </w:r>
            <w:r w:rsidRPr="007307D1">
              <w:rPr>
                <w:rFonts w:hAnsi="標楷體" w:hint="eastAsia"/>
                <w:color w:val="000000" w:themeColor="text1"/>
                <w:sz w:val="24"/>
                <w:szCs w:val="24"/>
              </w:rPr>
              <w:t>環境影響說明書</w:t>
            </w:r>
            <w:bookmarkEnd w:id="306"/>
          </w:p>
        </w:tc>
        <w:tc>
          <w:tcPr>
            <w:tcW w:w="591" w:type="dxa"/>
            <w:tcBorders>
              <w:top w:val="single" w:sz="4" w:space="0" w:color="auto"/>
              <w:bottom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Cs w:val="32"/>
              </w:rPr>
            </w:pPr>
            <w:bookmarkStart w:id="307" w:name="_Toc18675770"/>
            <w:r w:rsidRPr="007307D1">
              <w:rPr>
                <w:rFonts w:ascii="Times New Roman" w:hAnsi="Times New Roman"/>
                <w:color w:val="000000" w:themeColor="text1"/>
                <w:szCs w:val="32"/>
              </w:rPr>
              <w:t>m</w:t>
            </w:r>
            <w:r w:rsidRPr="007307D1">
              <w:rPr>
                <w:rFonts w:ascii="Times New Roman" w:hAnsi="Times New Roman"/>
                <w:color w:val="000000" w:themeColor="text1"/>
                <w:szCs w:val="32"/>
                <w:vertAlign w:val="superscript"/>
              </w:rPr>
              <w:t>3</w:t>
            </w:r>
            <w:bookmarkEnd w:id="307"/>
          </w:p>
        </w:tc>
        <w:tc>
          <w:tcPr>
            <w:tcW w:w="1343" w:type="dxa"/>
            <w:tcBorders>
              <w:top w:val="single" w:sz="4" w:space="0" w:color="auto"/>
              <w:bottom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08" w:name="_Toc18675771"/>
            <w:r w:rsidRPr="007307D1">
              <w:rPr>
                <w:rFonts w:ascii="Times New Roman" w:hAnsi="Times New Roman"/>
                <w:color w:val="000000" w:themeColor="text1"/>
                <w:sz w:val="24"/>
                <w:szCs w:val="24"/>
              </w:rPr>
              <w:t>124,900</w:t>
            </w:r>
            <w:bookmarkEnd w:id="308"/>
          </w:p>
        </w:tc>
        <w:tc>
          <w:tcPr>
            <w:tcW w:w="1272" w:type="dxa"/>
            <w:tcBorders>
              <w:top w:val="single" w:sz="4" w:space="0" w:color="auto"/>
              <w:bottom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09" w:name="_Toc18675772"/>
            <w:r w:rsidRPr="007307D1">
              <w:rPr>
                <w:rFonts w:ascii="Times New Roman" w:hAnsi="Times New Roman"/>
                <w:color w:val="000000" w:themeColor="text1"/>
                <w:sz w:val="24"/>
                <w:szCs w:val="24"/>
              </w:rPr>
              <w:t>124,900</w:t>
            </w:r>
            <w:bookmarkEnd w:id="309"/>
          </w:p>
        </w:tc>
        <w:tc>
          <w:tcPr>
            <w:tcW w:w="1139" w:type="dxa"/>
            <w:tcBorders>
              <w:top w:val="single" w:sz="4" w:space="0" w:color="auto"/>
              <w:bottom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10" w:name="_Toc18675773"/>
            <w:r w:rsidRPr="007307D1">
              <w:rPr>
                <w:rFonts w:ascii="Times New Roman" w:hAnsi="Times New Roman"/>
                <w:color w:val="000000" w:themeColor="text1"/>
                <w:sz w:val="24"/>
                <w:szCs w:val="24"/>
              </w:rPr>
              <w:t>125,100</w:t>
            </w:r>
            <w:bookmarkEnd w:id="310"/>
          </w:p>
        </w:tc>
        <w:tc>
          <w:tcPr>
            <w:tcW w:w="1125" w:type="dxa"/>
            <w:tcBorders>
              <w:top w:val="single" w:sz="4" w:space="0" w:color="auto"/>
              <w:bottom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11" w:name="_Toc18675774"/>
            <w:r w:rsidRPr="007307D1">
              <w:rPr>
                <w:rFonts w:ascii="Times New Roman" w:hAnsi="Times New Roman"/>
                <w:color w:val="000000" w:themeColor="text1"/>
                <w:sz w:val="24"/>
                <w:szCs w:val="24"/>
              </w:rPr>
              <w:t>125,100</w:t>
            </w:r>
            <w:bookmarkEnd w:id="311"/>
          </w:p>
        </w:tc>
        <w:tc>
          <w:tcPr>
            <w:tcW w:w="1125" w:type="dxa"/>
            <w:tcBorders>
              <w:top w:val="single" w:sz="4" w:space="0" w:color="auto"/>
              <w:bottom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12" w:name="_Toc18675775"/>
            <w:r w:rsidRPr="007307D1">
              <w:rPr>
                <w:rFonts w:ascii="Times New Roman" w:hAnsi="Times New Roman"/>
                <w:color w:val="000000" w:themeColor="text1"/>
                <w:sz w:val="24"/>
                <w:szCs w:val="24"/>
              </w:rPr>
              <w:t>25</w:t>
            </w:r>
            <w:r w:rsidRPr="007307D1">
              <w:rPr>
                <w:rFonts w:ascii="Times New Roman" w:hAnsi="Times New Roman" w:hint="eastAsia"/>
                <w:color w:val="000000" w:themeColor="text1"/>
                <w:sz w:val="24"/>
                <w:szCs w:val="24"/>
              </w:rPr>
              <w:t>0</w:t>
            </w:r>
            <w:r w:rsidRPr="007307D1">
              <w:rPr>
                <w:rFonts w:ascii="Times New Roman" w:hAnsi="Times New Roman"/>
                <w:color w:val="000000" w:themeColor="text1"/>
                <w:sz w:val="24"/>
                <w:szCs w:val="24"/>
              </w:rPr>
              <w:t>,000</w:t>
            </w:r>
            <w:bookmarkEnd w:id="312"/>
          </w:p>
        </w:tc>
      </w:tr>
      <w:tr w:rsidR="008C2D57" w:rsidRPr="007307D1" w:rsidTr="00E6512C">
        <w:tc>
          <w:tcPr>
            <w:tcW w:w="502" w:type="dxa"/>
            <w:tcBorders>
              <w:top w:val="thickThinMediumGap" w:sz="24" w:space="0" w:color="auto"/>
            </w:tcBorders>
          </w:tcPr>
          <w:p w:rsidR="008C2D57" w:rsidRPr="007307D1" w:rsidRDefault="008C2D57" w:rsidP="00E6512C">
            <w:pPr>
              <w:pStyle w:val="3"/>
              <w:numPr>
                <w:ilvl w:val="0"/>
                <w:numId w:val="0"/>
              </w:numPr>
              <w:rPr>
                <w:color w:val="000000" w:themeColor="text1"/>
                <w:szCs w:val="32"/>
              </w:rPr>
            </w:pPr>
            <w:bookmarkStart w:id="313" w:name="_Toc18675776"/>
            <w:r w:rsidRPr="007307D1">
              <w:rPr>
                <w:rFonts w:hint="eastAsia"/>
                <w:color w:val="000000" w:themeColor="text1"/>
                <w:szCs w:val="32"/>
              </w:rPr>
              <w:t>1</w:t>
            </w:r>
            <w:bookmarkEnd w:id="313"/>
          </w:p>
        </w:tc>
        <w:tc>
          <w:tcPr>
            <w:tcW w:w="1855" w:type="dxa"/>
            <w:tcBorders>
              <w:top w:val="thickThinMediumGap" w:sz="24" w:space="0" w:color="auto"/>
            </w:tcBorders>
          </w:tcPr>
          <w:p w:rsidR="008C2D57" w:rsidRPr="007307D1" w:rsidRDefault="008C2D57" w:rsidP="00E6512C">
            <w:pPr>
              <w:pStyle w:val="3"/>
              <w:numPr>
                <w:ilvl w:val="0"/>
                <w:numId w:val="0"/>
              </w:numPr>
              <w:rPr>
                <w:color w:val="000000" w:themeColor="text1"/>
                <w:sz w:val="24"/>
                <w:szCs w:val="24"/>
              </w:rPr>
            </w:pPr>
            <w:bookmarkStart w:id="314" w:name="_Toc18675777"/>
            <w:r w:rsidRPr="007307D1">
              <w:rPr>
                <w:rFonts w:hint="eastAsia"/>
                <w:color w:val="000000" w:themeColor="text1"/>
                <w:sz w:val="24"/>
                <w:szCs w:val="24"/>
              </w:rPr>
              <w:t>原核定之水土保持計畫</w:t>
            </w:r>
            <w:bookmarkEnd w:id="314"/>
          </w:p>
        </w:tc>
        <w:tc>
          <w:tcPr>
            <w:tcW w:w="591" w:type="dxa"/>
            <w:tcBorders>
              <w:top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Cs w:val="32"/>
              </w:rPr>
            </w:pPr>
            <w:bookmarkStart w:id="315" w:name="_Toc18675778"/>
            <w:r w:rsidRPr="007307D1">
              <w:rPr>
                <w:rFonts w:ascii="Times New Roman" w:hAnsi="Times New Roman"/>
                <w:color w:val="000000" w:themeColor="text1"/>
                <w:szCs w:val="32"/>
              </w:rPr>
              <w:t>m</w:t>
            </w:r>
            <w:r w:rsidRPr="007307D1">
              <w:rPr>
                <w:rFonts w:ascii="Times New Roman" w:hAnsi="Times New Roman"/>
                <w:color w:val="000000" w:themeColor="text1"/>
                <w:szCs w:val="32"/>
                <w:vertAlign w:val="superscript"/>
              </w:rPr>
              <w:t>3</w:t>
            </w:r>
            <w:bookmarkEnd w:id="315"/>
          </w:p>
        </w:tc>
        <w:tc>
          <w:tcPr>
            <w:tcW w:w="1343" w:type="dxa"/>
            <w:tcBorders>
              <w:top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16" w:name="_Toc18675779"/>
            <w:r w:rsidRPr="007307D1">
              <w:rPr>
                <w:rFonts w:ascii="Times New Roman" w:hAnsi="Times New Roman"/>
                <w:color w:val="000000" w:themeColor="text1"/>
                <w:sz w:val="24"/>
                <w:szCs w:val="24"/>
              </w:rPr>
              <w:t>244,675</w:t>
            </w:r>
            <w:bookmarkEnd w:id="316"/>
          </w:p>
        </w:tc>
        <w:tc>
          <w:tcPr>
            <w:tcW w:w="1272" w:type="dxa"/>
            <w:tcBorders>
              <w:top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17" w:name="_Toc18675780"/>
            <w:r w:rsidRPr="007307D1">
              <w:rPr>
                <w:rFonts w:ascii="Times New Roman" w:hAnsi="Times New Roman"/>
                <w:color w:val="000000" w:themeColor="text1"/>
                <w:sz w:val="24"/>
                <w:szCs w:val="24"/>
              </w:rPr>
              <w:t>244,675</w:t>
            </w:r>
            <w:bookmarkEnd w:id="317"/>
          </w:p>
        </w:tc>
        <w:tc>
          <w:tcPr>
            <w:tcW w:w="1139" w:type="dxa"/>
            <w:tcBorders>
              <w:top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18" w:name="_Toc18675781"/>
            <w:r w:rsidRPr="007307D1">
              <w:rPr>
                <w:rFonts w:ascii="Times New Roman" w:hAnsi="Times New Roman"/>
                <w:color w:val="000000" w:themeColor="text1"/>
                <w:sz w:val="24"/>
                <w:szCs w:val="24"/>
              </w:rPr>
              <w:t>244,674</w:t>
            </w:r>
            <w:bookmarkEnd w:id="318"/>
          </w:p>
        </w:tc>
        <w:tc>
          <w:tcPr>
            <w:tcW w:w="1125" w:type="dxa"/>
            <w:tcBorders>
              <w:top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19" w:name="_Toc18675782"/>
            <w:r w:rsidRPr="007307D1">
              <w:rPr>
                <w:rFonts w:ascii="Times New Roman" w:hAnsi="Times New Roman"/>
                <w:color w:val="000000" w:themeColor="text1"/>
                <w:sz w:val="24"/>
                <w:szCs w:val="24"/>
              </w:rPr>
              <w:t>244,674</w:t>
            </w:r>
            <w:bookmarkEnd w:id="319"/>
          </w:p>
        </w:tc>
        <w:tc>
          <w:tcPr>
            <w:tcW w:w="1125" w:type="dxa"/>
            <w:tcBorders>
              <w:top w:val="thickThinMediumGap" w:sz="24" w:space="0" w:color="auto"/>
            </w:tcBorders>
            <w:vAlign w:val="center"/>
          </w:tcPr>
          <w:p w:rsidR="008C2D57" w:rsidRPr="007307D1" w:rsidRDefault="008C2D57" w:rsidP="00E6512C">
            <w:pPr>
              <w:pStyle w:val="3"/>
              <w:numPr>
                <w:ilvl w:val="0"/>
                <w:numId w:val="0"/>
              </w:numPr>
              <w:jc w:val="center"/>
              <w:rPr>
                <w:rFonts w:ascii="Times New Roman" w:hAnsi="Times New Roman"/>
                <w:color w:val="000000" w:themeColor="text1"/>
                <w:szCs w:val="32"/>
              </w:rPr>
            </w:pPr>
            <w:bookmarkStart w:id="320" w:name="_Toc18675783"/>
            <w:r w:rsidRPr="007307D1">
              <w:rPr>
                <w:rFonts w:ascii="Times New Roman" w:hAnsi="Times New Roman"/>
                <w:color w:val="000000" w:themeColor="text1"/>
                <w:sz w:val="24"/>
                <w:szCs w:val="24"/>
              </w:rPr>
              <w:t>489,348</w:t>
            </w:r>
            <w:bookmarkEnd w:id="320"/>
          </w:p>
        </w:tc>
      </w:tr>
      <w:tr w:rsidR="008C2D57" w:rsidRPr="007307D1" w:rsidTr="00E6512C">
        <w:tc>
          <w:tcPr>
            <w:tcW w:w="502" w:type="dxa"/>
          </w:tcPr>
          <w:p w:rsidR="008C2D57" w:rsidRPr="007307D1" w:rsidRDefault="008C2D57" w:rsidP="00E6512C">
            <w:pPr>
              <w:pStyle w:val="3"/>
              <w:numPr>
                <w:ilvl w:val="0"/>
                <w:numId w:val="0"/>
              </w:numPr>
              <w:rPr>
                <w:color w:val="000000" w:themeColor="text1"/>
                <w:szCs w:val="32"/>
              </w:rPr>
            </w:pPr>
            <w:bookmarkStart w:id="321" w:name="_Toc18675784"/>
            <w:r w:rsidRPr="007307D1">
              <w:rPr>
                <w:rFonts w:hint="eastAsia"/>
                <w:color w:val="000000" w:themeColor="text1"/>
                <w:szCs w:val="32"/>
              </w:rPr>
              <w:t>2</w:t>
            </w:r>
            <w:bookmarkEnd w:id="321"/>
          </w:p>
        </w:tc>
        <w:tc>
          <w:tcPr>
            <w:tcW w:w="1855" w:type="dxa"/>
          </w:tcPr>
          <w:p w:rsidR="008C2D57" w:rsidRPr="007307D1" w:rsidRDefault="008C2D57" w:rsidP="00E6512C">
            <w:pPr>
              <w:pStyle w:val="3"/>
              <w:numPr>
                <w:ilvl w:val="0"/>
                <w:numId w:val="0"/>
              </w:numPr>
              <w:rPr>
                <w:color w:val="000000" w:themeColor="text1"/>
                <w:sz w:val="24"/>
                <w:szCs w:val="24"/>
              </w:rPr>
            </w:pPr>
            <w:bookmarkStart w:id="322" w:name="_Toc18675785"/>
            <w:r w:rsidRPr="007307D1">
              <w:rPr>
                <w:rFonts w:hint="eastAsia"/>
                <w:color w:val="000000" w:themeColor="text1"/>
                <w:sz w:val="24"/>
                <w:szCs w:val="24"/>
              </w:rPr>
              <w:t>水土保持計畫</w:t>
            </w:r>
            <w:bookmarkEnd w:id="322"/>
          </w:p>
          <w:p w:rsidR="008C2D57" w:rsidRPr="007307D1" w:rsidRDefault="008C2D57" w:rsidP="00E6512C">
            <w:pPr>
              <w:pStyle w:val="3"/>
              <w:numPr>
                <w:ilvl w:val="0"/>
                <w:numId w:val="0"/>
              </w:numPr>
              <w:rPr>
                <w:color w:val="000000" w:themeColor="text1"/>
                <w:sz w:val="24"/>
                <w:szCs w:val="24"/>
              </w:rPr>
            </w:pPr>
            <w:bookmarkStart w:id="323" w:name="_Toc18675786"/>
            <w:r w:rsidRPr="007307D1">
              <w:rPr>
                <w:rFonts w:hint="eastAsia"/>
                <w:color w:val="000000" w:themeColor="text1"/>
                <w:sz w:val="24"/>
                <w:szCs w:val="24"/>
              </w:rPr>
              <w:t>第1次變更</w:t>
            </w:r>
            <w:bookmarkEnd w:id="323"/>
          </w:p>
        </w:tc>
        <w:tc>
          <w:tcPr>
            <w:tcW w:w="591" w:type="dxa"/>
            <w:vAlign w:val="center"/>
          </w:tcPr>
          <w:p w:rsidR="008C2D57" w:rsidRPr="007307D1" w:rsidRDefault="008C2D57" w:rsidP="00E6512C">
            <w:pPr>
              <w:pStyle w:val="3"/>
              <w:numPr>
                <w:ilvl w:val="0"/>
                <w:numId w:val="0"/>
              </w:numPr>
              <w:jc w:val="center"/>
              <w:rPr>
                <w:rFonts w:ascii="Times New Roman" w:hAnsi="Times New Roman"/>
                <w:color w:val="000000" w:themeColor="text1"/>
                <w:szCs w:val="32"/>
              </w:rPr>
            </w:pPr>
            <w:bookmarkStart w:id="324" w:name="_Toc18675787"/>
            <w:r w:rsidRPr="007307D1">
              <w:rPr>
                <w:rFonts w:ascii="Times New Roman" w:hAnsi="Times New Roman"/>
                <w:color w:val="000000" w:themeColor="text1"/>
                <w:szCs w:val="32"/>
              </w:rPr>
              <w:t>m</w:t>
            </w:r>
            <w:r w:rsidRPr="007307D1">
              <w:rPr>
                <w:rFonts w:ascii="Times New Roman" w:hAnsi="Times New Roman"/>
                <w:color w:val="000000" w:themeColor="text1"/>
                <w:szCs w:val="32"/>
                <w:vertAlign w:val="superscript"/>
              </w:rPr>
              <w:t>3</w:t>
            </w:r>
            <w:bookmarkEnd w:id="324"/>
          </w:p>
        </w:tc>
        <w:tc>
          <w:tcPr>
            <w:tcW w:w="1343" w:type="dxa"/>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25" w:name="_Toc18675788"/>
            <w:r w:rsidRPr="007307D1">
              <w:rPr>
                <w:rFonts w:ascii="Times New Roman" w:hAnsi="Times New Roman"/>
                <w:color w:val="000000" w:themeColor="text1"/>
                <w:sz w:val="24"/>
                <w:szCs w:val="24"/>
              </w:rPr>
              <w:t>41,529</w:t>
            </w:r>
            <w:bookmarkEnd w:id="325"/>
          </w:p>
        </w:tc>
        <w:tc>
          <w:tcPr>
            <w:tcW w:w="1272" w:type="dxa"/>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26" w:name="_Toc18675789"/>
            <w:r w:rsidRPr="007307D1">
              <w:rPr>
                <w:rFonts w:ascii="Times New Roman" w:hAnsi="Times New Roman"/>
                <w:color w:val="000000" w:themeColor="text1"/>
                <w:sz w:val="24"/>
                <w:szCs w:val="24"/>
              </w:rPr>
              <w:t>286,204</w:t>
            </w:r>
            <w:bookmarkEnd w:id="326"/>
          </w:p>
        </w:tc>
        <w:tc>
          <w:tcPr>
            <w:tcW w:w="1139" w:type="dxa"/>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27" w:name="_Toc18675790"/>
            <w:r w:rsidRPr="007307D1">
              <w:rPr>
                <w:rFonts w:ascii="Times New Roman" w:hAnsi="Times New Roman"/>
                <w:color w:val="000000" w:themeColor="text1"/>
                <w:sz w:val="24"/>
                <w:szCs w:val="24"/>
              </w:rPr>
              <w:t>41,525</w:t>
            </w:r>
            <w:bookmarkEnd w:id="327"/>
          </w:p>
        </w:tc>
        <w:tc>
          <w:tcPr>
            <w:tcW w:w="1125" w:type="dxa"/>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28" w:name="_Toc18675791"/>
            <w:r w:rsidRPr="007307D1">
              <w:rPr>
                <w:rFonts w:ascii="Times New Roman" w:hAnsi="Times New Roman"/>
                <w:color w:val="000000" w:themeColor="text1"/>
                <w:sz w:val="24"/>
                <w:szCs w:val="24"/>
              </w:rPr>
              <w:t>286,199</w:t>
            </w:r>
            <w:bookmarkEnd w:id="328"/>
          </w:p>
        </w:tc>
        <w:tc>
          <w:tcPr>
            <w:tcW w:w="1125" w:type="dxa"/>
            <w:vAlign w:val="center"/>
          </w:tcPr>
          <w:p w:rsidR="008C2D57" w:rsidRPr="007307D1" w:rsidRDefault="008C2D57" w:rsidP="00E6512C">
            <w:pPr>
              <w:pStyle w:val="3"/>
              <w:numPr>
                <w:ilvl w:val="0"/>
                <w:numId w:val="0"/>
              </w:numPr>
              <w:jc w:val="center"/>
              <w:rPr>
                <w:rFonts w:ascii="Times New Roman" w:hAnsi="Times New Roman"/>
                <w:color w:val="000000" w:themeColor="text1"/>
                <w:szCs w:val="32"/>
              </w:rPr>
            </w:pPr>
            <w:bookmarkStart w:id="329" w:name="_Toc18675792"/>
            <w:r w:rsidRPr="007307D1">
              <w:rPr>
                <w:rFonts w:ascii="Times New Roman" w:hAnsi="Times New Roman"/>
                <w:color w:val="000000" w:themeColor="text1"/>
                <w:sz w:val="24"/>
                <w:szCs w:val="24"/>
              </w:rPr>
              <w:t>572,403</w:t>
            </w:r>
            <w:bookmarkEnd w:id="329"/>
          </w:p>
        </w:tc>
      </w:tr>
      <w:tr w:rsidR="008C2D57" w:rsidRPr="007307D1" w:rsidTr="00E6512C">
        <w:tc>
          <w:tcPr>
            <w:tcW w:w="502" w:type="dxa"/>
          </w:tcPr>
          <w:p w:rsidR="008C2D57" w:rsidRPr="007307D1" w:rsidRDefault="008C2D57" w:rsidP="00E6512C">
            <w:pPr>
              <w:pStyle w:val="3"/>
              <w:numPr>
                <w:ilvl w:val="0"/>
                <w:numId w:val="0"/>
              </w:numPr>
              <w:rPr>
                <w:color w:val="000000" w:themeColor="text1"/>
                <w:szCs w:val="32"/>
              </w:rPr>
            </w:pPr>
            <w:bookmarkStart w:id="330" w:name="_Toc18675793"/>
            <w:r w:rsidRPr="007307D1">
              <w:rPr>
                <w:rFonts w:hint="eastAsia"/>
                <w:color w:val="000000" w:themeColor="text1"/>
                <w:szCs w:val="32"/>
              </w:rPr>
              <w:t>3</w:t>
            </w:r>
            <w:bookmarkEnd w:id="330"/>
          </w:p>
        </w:tc>
        <w:tc>
          <w:tcPr>
            <w:tcW w:w="1855" w:type="dxa"/>
          </w:tcPr>
          <w:p w:rsidR="008C2D57" w:rsidRPr="007307D1" w:rsidRDefault="008C2D57" w:rsidP="00E6512C">
            <w:pPr>
              <w:pStyle w:val="3"/>
              <w:numPr>
                <w:ilvl w:val="0"/>
                <w:numId w:val="0"/>
              </w:numPr>
              <w:rPr>
                <w:color w:val="000000" w:themeColor="text1"/>
                <w:sz w:val="24"/>
                <w:szCs w:val="24"/>
              </w:rPr>
            </w:pPr>
            <w:bookmarkStart w:id="331" w:name="_Toc18675794"/>
            <w:r w:rsidRPr="007307D1">
              <w:rPr>
                <w:rFonts w:hint="eastAsia"/>
                <w:color w:val="000000" w:themeColor="text1"/>
                <w:sz w:val="24"/>
                <w:szCs w:val="24"/>
              </w:rPr>
              <w:t>水土保持計畫</w:t>
            </w:r>
            <w:bookmarkEnd w:id="331"/>
          </w:p>
          <w:p w:rsidR="008C2D57" w:rsidRPr="007307D1" w:rsidRDefault="008C2D57" w:rsidP="00E6512C">
            <w:pPr>
              <w:pStyle w:val="3"/>
              <w:numPr>
                <w:ilvl w:val="0"/>
                <w:numId w:val="0"/>
              </w:numPr>
              <w:rPr>
                <w:color w:val="000000" w:themeColor="text1"/>
                <w:sz w:val="24"/>
                <w:szCs w:val="24"/>
              </w:rPr>
            </w:pPr>
            <w:bookmarkStart w:id="332" w:name="_Toc18675795"/>
            <w:r w:rsidRPr="007307D1">
              <w:rPr>
                <w:rFonts w:hint="eastAsia"/>
                <w:color w:val="000000" w:themeColor="text1"/>
                <w:sz w:val="24"/>
                <w:szCs w:val="24"/>
              </w:rPr>
              <w:t>第2次變更</w:t>
            </w:r>
            <w:bookmarkEnd w:id="332"/>
          </w:p>
        </w:tc>
        <w:tc>
          <w:tcPr>
            <w:tcW w:w="591" w:type="dxa"/>
            <w:vAlign w:val="center"/>
          </w:tcPr>
          <w:p w:rsidR="008C2D57" w:rsidRPr="007307D1" w:rsidRDefault="008C2D57" w:rsidP="00E6512C">
            <w:pPr>
              <w:pStyle w:val="3"/>
              <w:numPr>
                <w:ilvl w:val="0"/>
                <w:numId w:val="0"/>
              </w:numPr>
              <w:jc w:val="center"/>
              <w:rPr>
                <w:rFonts w:ascii="Times New Roman" w:hAnsi="Times New Roman"/>
                <w:color w:val="000000" w:themeColor="text1"/>
                <w:szCs w:val="32"/>
              </w:rPr>
            </w:pPr>
            <w:bookmarkStart w:id="333" w:name="_Toc18675796"/>
            <w:r w:rsidRPr="007307D1">
              <w:rPr>
                <w:rFonts w:ascii="Times New Roman" w:hAnsi="Times New Roman"/>
                <w:color w:val="000000" w:themeColor="text1"/>
                <w:szCs w:val="32"/>
              </w:rPr>
              <w:t>m</w:t>
            </w:r>
            <w:r w:rsidRPr="007307D1">
              <w:rPr>
                <w:rFonts w:ascii="Times New Roman" w:hAnsi="Times New Roman"/>
                <w:color w:val="000000" w:themeColor="text1"/>
                <w:szCs w:val="32"/>
                <w:vertAlign w:val="superscript"/>
              </w:rPr>
              <w:t>3</w:t>
            </w:r>
            <w:bookmarkEnd w:id="333"/>
          </w:p>
        </w:tc>
        <w:tc>
          <w:tcPr>
            <w:tcW w:w="1343" w:type="dxa"/>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34" w:name="_Toc18675797"/>
            <w:r w:rsidRPr="007307D1">
              <w:rPr>
                <w:rFonts w:ascii="Times New Roman" w:hAnsi="Times New Roman"/>
                <w:color w:val="000000" w:themeColor="text1"/>
                <w:sz w:val="24"/>
                <w:szCs w:val="24"/>
              </w:rPr>
              <w:t>7,131</w:t>
            </w:r>
            <w:bookmarkEnd w:id="334"/>
          </w:p>
        </w:tc>
        <w:tc>
          <w:tcPr>
            <w:tcW w:w="1272" w:type="dxa"/>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35" w:name="_Toc18675798"/>
            <w:r w:rsidRPr="007307D1">
              <w:rPr>
                <w:rFonts w:ascii="Times New Roman" w:hAnsi="Times New Roman"/>
                <w:color w:val="000000" w:themeColor="text1"/>
                <w:sz w:val="24"/>
                <w:szCs w:val="24"/>
              </w:rPr>
              <w:t>293,335</w:t>
            </w:r>
            <w:bookmarkEnd w:id="335"/>
          </w:p>
        </w:tc>
        <w:tc>
          <w:tcPr>
            <w:tcW w:w="1139" w:type="dxa"/>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36" w:name="_Toc18675799"/>
            <w:r w:rsidRPr="007307D1">
              <w:rPr>
                <w:rFonts w:ascii="Times New Roman" w:hAnsi="Times New Roman"/>
                <w:color w:val="000000" w:themeColor="text1"/>
                <w:sz w:val="24"/>
                <w:szCs w:val="24"/>
              </w:rPr>
              <w:t>7,133</w:t>
            </w:r>
            <w:bookmarkEnd w:id="336"/>
          </w:p>
        </w:tc>
        <w:tc>
          <w:tcPr>
            <w:tcW w:w="1125" w:type="dxa"/>
            <w:vAlign w:val="center"/>
          </w:tcPr>
          <w:p w:rsidR="008C2D57" w:rsidRPr="007307D1" w:rsidRDefault="008C2D57" w:rsidP="00E6512C">
            <w:pPr>
              <w:pStyle w:val="3"/>
              <w:numPr>
                <w:ilvl w:val="0"/>
                <w:numId w:val="0"/>
              </w:numPr>
              <w:jc w:val="center"/>
              <w:rPr>
                <w:rFonts w:ascii="Times New Roman" w:hAnsi="Times New Roman"/>
                <w:color w:val="000000" w:themeColor="text1"/>
                <w:sz w:val="24"/>
                <w:szCs w:val="24"/>
              </w:rPr>
            </w:pPr>
            <w:bookmarkStart w:id="337" w:name="_Toc18675800"/>
            <w:r w:rsidRPr="007307D1">
              <w:rPr>
                <w:rFonts w:ascii="Times New Roman" w:hAnsi="Times New Roman"/>
                <w:color w:val="000000" w:themeColor="text1"/>
                <w:sz w:val="24"/>
                <w:szCs w:val="24"/>
              </w:rPr>
              <w:t>293,332</w:t>
            </w:r>
            <w:bookmarkEnd w:id="337"/>
          </w:p>
        </w:tc>
        <w:tc>
          <w:tcPr>
            <w:tcW w:w="1125" w:type="dxa"/>
            <w:vAlign w:val="center"/>
          </w:tcPr>
          <w:p w:rsidR="008C2D57" w:rsidRPr="007307D1" w:rsidRDefault="008C2D57" w:rsidP="00E6512C">
            <w:pPr>
              <w:pStyle w:val="3"/>
              <w:numPr>
                <w:ilvl w:val="0"/>
                <w:numId w:val="0"/>
              </w:numPr>
              <w:jc w:val="center"/>
              <w:rPr>
                <w:rFonts w:ascii="Times New Roman" w:hAnsi="Times New Roman"/>
                <w:color w:val="000000" w:themeColor="text1"/>
                <w:szCs w:val="32"/>
              </w:rPr>
            </w:pPr>
            <w:bookmarkStart w:id="338" w:name="_Toc18675801"/>
            <w:r w:rsidRPr="007307D1">
              <w:rPr>
                <w:rFonts w:ascii="Times New Roman" w:hAnsi="Times New Roman"/>
                <w:color w:val="000000" w:themeColor="text1"/>
                <w:sz w:val="24"/>
                <w:szCs w:val="24"/>
              </w:rPr>
              <w:t>586,667</w:t>
            </w:r>
            <w:bookmarkEnd w:id="338"/>
          </w:p>
        </w:tc>
      </w:tr>
    </w:tbl>
    <w:p w:rsidR="008C2D57" w:rsidRDefault="008C2D57" w:rsidP="008C2D57">
      <w:pPr>
        <w:pStyle w:val="3"/>
        <w:numPr>
          <w:ilvl w:val="0"/>
          <w:numId w:val="0"/>
        </w:numPr>
        <w:ind w:left="159" w:hangingChars="61" w:hanging="159"/>
        <w:rPr>
          <w:rFonts w:hAnsi="標楷體"/>
          <w:color w:val="FF0000"/>
          <w:sz w:val="24"/>
          <w:szCs w:val="24"/>
        </w:rPr>
      </w:pPr>
      <w:bookmarkStart w:id="339" w:name="_Toc18675802"/>
      <w:r w:rsidRPr="007307D1">
        <w:rPr>
          <w:rFonts w:hAnsi="標楷體" w:hint="eastAsia"/>
          <w:color w:val="000000" w:themeColor="text1"/>
          <w:sz w:val="24"/>
          <w:szCs w:val="24"/>
        </w:rPr>
        <w:t>資料來源：</w:t>
      </w:r>
      <w:proofErr w:type="gramStart"/>
      <w:r w:rsidRPr="007307D1">
        <w:rPr>
          <w:rFonts w:hAnsi="標楷體" w:hint="eastAsia"/>
          <w:color w:val="000000" w:themeColor="text1"/>
          <w:sz w:val="24"/>
          <w:szCs w:val="24"/>
        </w:rPr>
        <w:t>臺</w:t>
      </w:r>
      <w:proofErr w:type="gramEnd"/>
      <w:r w:rsidRPr="007307D1">
        <w:rPr>
          <w:rFonts w:hAnsi="標楷體" w:hint="eastAsia"/>
          <w:color w:val="000000" w:themeColor="text1"/>
          <w:sz w:val="24"/>
          <w:szCs w:val="24"/>
        </w:rPr>
        <w:t>北高等行政法院卷證資料</w:t>
      </w:r>
      <w:bookmarkEnd w:id="339"/>
    </w:p>
    <w:p w:rsidR="00C07EEB" w:rsidRPr="007307D1" w:rsidRDefault="0049534D" w:rsidP="00C07EEB">
      <w:pPr>
        <w:pStyle w:val="3"/>
        <w:rPr>
          <w:color w:val="000000" w:themeColor="text1"/>
        </w:rPr>
      </w:pPr>
      <w:bookmarkStart w:id="340" w:name="_Toc18675803"/>
      <w:r w:rsidRPr="007307D1">
        <w:rPr>
          <w:rFonts w:hint="eastAsia"/>
          <w:color w:val="000000" w:themeColor="text1"/>
          <w:szCs w:val="32"/>
        </w:rPr>
        <w:lastRenderedPageBreak/>
        <w:t>續查，因</w:t>
      </w:r>
      <w:r w:rsidR="00C07EEB" w:rsidRPr="007307D1">
        <w:rPr>
          <w:rFonts w:hint="eastAsia"/>
          <w:color w:val="000000" w:themeColor="text1"/>
          <w:szCs w:val="32"/>
        </w:rPr>
        <w:t>水土保持計畫2次變更後的土石方量與前揭85年核定之環境影響說明書所載之土石方量不同，97年3月間，環評審查會第67次會議決議，要求開發單位（重劃會）提出變更差異對照表，並說明原因。97年7月間，環評審查會第73次會議審查通過開發單位（重劃會）提出之土石方變更差異對照表。</w:t>
      </w:r>
      <w:r w:rsidR="00AE56FC" w:rsidRPr="007307D1">
        <w:rPr>
          <w:rFonts w:hAnsi="標楷體" w:hint="eastAsia"/>
          <w:color w:val="000000" w:themeColor="text1"/>
          <w:szCs w:val="32"/>
        </w:rPr>
        <w:t>然</w:t>
      </w:r>
      <w:r w:rsidR="0023332D" w:rsidRPr="007307D1">
        <w:rPr>
          <w:rFonts w:hAnsi="標楷體" w:hint="eastAsia"/>
          <w:color w:val="000000" w:themeColor="text1"/>
          <w:szCs w:val="32"/>
        </w:rPr>
        <w:t>部分民間團體</w:t>
      </w:r>
      <w:r w:rsidR="00AE56FC" w:rsidRPr="00DA0E43">
        <w:rPr>
          <w:rFonts w:hAnsi="標楷體" w:hint="eastAsia"/>
          <w:szCs w:val="32"/>
        </w:rPr>
        <w:t>不服前揭會議決議提起行政訴訟，並經</w:t>
      </w:r>
      <w:proofErr w:type="gramStart"/>
      <w:r w:rsidR="00AE56FC" w:rsidRPr="00DA0E43">
        <w:rPr>
          <w:rFonts w:hint="eastAsia"/>
        </w:rPr>
        <w:t>臺</w:t>
      </w:r>
      <w:proofErr w:type="gramEnd"/>
      <w:r w:rsidR="00AE56FC" w:rsidRPr="00DA0E43">
        <w:rPr>
          <w:rFonts w:hint="eastAsia"/>
        </w:rPr>
        <w:t>北高等行政法院判決撤銷該次會議決議，及103年間</w:t>
      </w:r>
      <w:r w:rsidR="00AE56FC" w:rsidRPr="00DA0E43">
        <w:rPr>
          <w:rFonts w:hAnsi="標楷體" w:hint="eastAsia"/>
          <w:color w:val="000000" w:themeColor="text1"/>
          <w:szCs w:val="32"/>
        </w:rPr>
        <w:t>最高行政法院判決駁回</w:t>
      </w:r>
      <w:r w:rsidR="00AE56FC" w:rsidRPr="00DA0E43">
        <w:rPr>
          <w:rFonts w:hint="eastAsia"/>
          <w:color w:val="000000" w:themeColor="text1"/>
        </w:rPr>
        <w:t>臺北市</w:t>
      </w:r>
      <w:r w:rsidR="00AE56FC" w:rsidRPr="00DA0E43">
        <w:rPr>
          <w:rFonts w:hAnsi="標楷體" w:hint="eastAsia"/>
          <w:color w:val="000000" w:themeColor="text1"/>
          <w:szCs w:val="32"/>
        </w:rPr>
        <w:t>政府上訴確定</w:t>
      </w:r>
      <w:r w:rsidR="00140A7F" w:rsidRPr="00DA0E43">
        <w:rPr>
          <w:rFonts w:hAnsi="標楷體" w:hint="eastAsia"/>
          <w:color w:val="000000" w:themeColor="text1"/>
          <w:szCs w:val="32"/>
        </w:rPr>
        <w:t>，同年3月間</w:t>
      </w:r>
      <w:r w:rsidR="00140A7F" w:rsidRPr="00DA0E43">
        <w:rPr>
          <w:rFonts w:hint="eastAsia"/>
          <w:color w:val="000000" w:themeColor="text1"/>
        </w:rPr>
        <w:t>臺北市</w:t>
      </w:r>
      <w:r w:rsidR="00140A7F" w:rsidRPr="00DA0E43">
        <w:rPr>
          <w:rFonts w:hAnsi="標楷體" w:hint="eastAsia"/>
          <w:color w:val="000000" w:themeColor="text1"/>
          <w:szCs w:val="32"/>
        </w:rPr>
        <w:t>政府環評會第136次會議決議，請開發單位辦理環境影響差異分析報告相關作業，</w:t>
      </w:r>
      <w:proofErr w:type="gramStart"/>
      <w:r w:rsidR="00140A7F" w:rsidRPr="00DA0E43">
        <w:rPr>
          <w:rFonts w:hAnsi="標楷體" w:hint="eastAsia"/>
          <w:color w:val="000000" w:themeColor="text1"/>
          <w:szCs w:val="32"/>
        </w:rPr>
        <w:t>嗣</w:t>
      </w:r>
      <w:proofErr w:type="gramEnd"/>
      <w:r w:rsidR="00140A7F" w:rsidRPr="00DA0E43">
        <w:rPr>
          <w:rFonts w:hAnsi="標楷體" w:hint="eastAsia"/>
          <w:color w:val="000000" w:themeColor="text1"/>
          <w:szCs w:val="32"/>
        </w:rPr>
        <w:t>開發單位雖提送「臺北市士林區住六之六自辦市地重劃區第2次環境影響差異分析報告（土石方量變更）」至臺北市政府，惟隨後召開之環評審查會議因</w:t>
      </w:r>
      <w:r w:rsidR="00980618" w:rsidRPr="009B5374">
        <w:rPr>
          <w:rFonts w:hint="eastAsia"/>
          <w:color w:val="000000" w:themeColor="text1"/>
          <w:szCs w:val="32"/>
        </w:rPr>
        <w:t>部分民間團體</w:t>
      </w:r>
      <w:r w:rsidR="00140A7F" w:rsidRPr="00DA0E43">
        <w:rPr>
          <w:rFonts w:hAnsi="標楷體" w:hint="eastAsia"/>
          <w:color w:val="000000" w:themeColor="text1"/>
          <w:szCs w:val="32"/>
        </w:rPr>
        <w:t>抗議中斷，尚無具體結論</w:t>
      </w:r>
      <w:r w:rsidR="00140A7F" w:rsidRPr="007307D1">
        <w:rPr>
          <w:rFonts w:hAnsi="標楷體" w:hint="eastAsia"/>
          <w:color w:val="000000" w:themeColor="text1"/>
          <w:szCs w:val="32"/>
        </w:rPr>
        <w:t>（如前</w:t>
      </w:r>
      <w:r w:rsidR="005B3B06" w:rsidRPr="007307D1">
        <w:rPr>
          <w:rFonts w:hAnsi="標楷體" w:hint="eastAsia"/>
          <w:color w:val="000000" w:themeColor="text1"/>
          <w:szCs w:val="32"/>
        </w:rPr>
        <w:t>調查意見</w:t>
      </w:r>
      <w:proofErr w:type="gramStart"/>
      <w:r w:rsidR="005B3B06" w:rsidRPr="007307D1">
        <w:rPr>
          <w:rFonts w:hAnsi="標楷體" w:hint="eastAsia"/>
          <w:color w:val="000000" w:themeColor="text1"/>
          <w:szCs w:val="32"/>
        </w:rPr>
        <w:t>一所</w:t>
      </w:r>
      <w:r w:rsidR="00140A7F" w:rsidRPr="007307D1">
        <w:rPr>
          <w:rFonts w:hAnsi="標楷體" w:hint="eastAsia"/>
          <w:color w:val="000000" w:themeColor="text1"/>
          <w:szCs w:val="32"/>
        </w:rPr>
        <w:t>述</w:t>
      </w:r>
      <w:proofErr w:type="gramEnd"/>
      <w:r w:rsidR="00140A7F" w:rsidRPr="007307D1">
        <w:rPr>
          <w:rFonts w:hAnsi="標楷體" w:hint="eastAsia"/>
          <w:color w:val="000000" w:themeColor="text1"/>
          <w:szCs w:val="32"/>
        </w:rPr>
        <w:t>）。</w:t>
      </w:r>
      <w:bookmarkEnd w:id="293"/>
      <w:bookmarkEnd w:id="340"/>
    </w:p>
    <w:p w:rsidR="000B04EC" w:rsidRPr="007307D1" w:rsidRDefault="000B04EC" w:rsidP="00B20254">
      <w:pPr>
        <w:pStyle w:val="3"/>
        <w:rPr>
          <w:color w:val="000000" w:themeColor="text1"/>
        </w:rPr>
      </w:pPr>
      <w:bookmarkStart w:id="341" w:name="_Toc18594822"/>
      <w:bookmarkStart w:id="342" w:name="_Toc18675804"/>
      <w:r w:rsidRPr="007307D1">
        <w:rPr>
          <w:rFonts w:hint="eastAsia"/>
          <w:color w:val="000000" w:themeColor="text1"/>
        </w:rPr>
        <w:t>審諸上情，85年間臺北市政府環境影響評估委員會審查本案環境影響說明書</w:t>
      </w:r>
      <w:proofErr w:type="gramStart"/>
      <w:r w:rsidRPr="007307D1">
        <w:rPr>
          <w:rFonts w:hint="eastAsia"/>
          <w:color w:val="000000" w:themeColor="text1"/>
        </w:rPr>
        <w:t>期間，</w:t>
      </w:r>
      <w:proofErr w:type="gramEnd"/>
      <w:r w:rsidRPr="007307D1">
        <w:rPr>
          <w:rFonts w:hint="eastAsia"/>
          <w:color w:val="000000" w:themeColor="text1"/>
        </w:rPr>
        <w:t>即有屬專家學者之環評委員提出質疑：</w:t>
      </w:r>
      <w:r w:rsidR="00B142EA" w:rsidRPr="007307D1">
        <w:rPr>
          <w:rFonts w:hint="eastAsia"/>
          <w:color w:val="000000" w:themeColor="text1"/>
        </w:rPr>
        <w:t>「</w:t>
      </w:r>
      <w:r w:rsidRPr="007307D1">
        <w:rPr>
          <w:rFonts w:hint="eastAsia"/>
          <w:color w:val="000000" w:themeColor="text1"/>
        </w:rPr>
        <w:t>31公頃的社區，挖填土石方量為84萬立方公尺</w:t>
      </w:r>
      <w:r w:rsidRPr="007307D1">
        <w:rPr>
          <w:rFonts w:hint="eastAsia"/>
          <w:color w:val="000000" w:themeColor="text1"/>
          <w:szCs w:val="32"/>
        </w:rPr>
        <w:t>，如以</w:t>
      </w:r>
      <w:r w:rsidRPr="007307D1">
        <w:rPr>
          <w:rFonts w:hAnsi="標楷體" w:hint="eastAsia"/>
          <w:color w:val="000000" w:themeColor="text1"/>
          <w:szCs w:val="32"/>
        </w:rPr>
        <w:t>全區面積計算有逾1公尺之地貌改變</w:t>
      </w:r>
      <w:r w:rsidRPr="007307D1">
        <w:rPr>
          <w:rFonts w:hint="eastAsia"/>
          <w:color w:val="000000" w:themeColor="text1"/>
        </w:rPr>
        <w:t>。</w:t>
      </w:r>
      <w:r w:rsidR="00B142EA" w:rsidRPr="007307D1">
        <w:rPr>
          <w:rFonts w:hint="eastAsia"/>
          <w:color w:val="000000" w:themeColor="text1"/>
        </w:rPr>
        <w:t>」</w:t>
      </w:r>
      <w:r w:rsidRPr="007307D1">
        <w:rPr>
          <w:rFonts w:hint="eastAsia"/>
          <w:color w:val="000000" w:themeColor="text1"/>
        </w:rPr>
        <w:t>然最終審查結論核定之土石方數量為25萬立方公尺，又僅是粗略估計，並授權交由水土保持計畫審查以確定詳細土石方數量</w:t>
      </w:r>
      <w:r w:rsidR="0023332D" w:rsidRPr="007307D1">
        <w:rPr>
          <w:rFonts w:hint="eastAsia"/>
          <w:color w:val="000000" w:themeColor="text1"/>
        </w:rPr>
        <w:t>。</w:t>
      </w:r>
      <w:r w:rsidR="00B142EA" w:rsidRPr="007307D1">
        <w:rPr>
          <w:rFonts w:hint="eastAsia"/>
          <w:color w:val="000000" w:themeColor="text1"/>
        </w:rPr>
        <w:t>斯時臺北市政府各相關機關</w:t>
      </w:r>
      <w:r w:rsidR="00B142EA" w:rsidRPr="007307D1">
        <w:rPr>
          <w:rFonts w:hAnsi="標楷體" w:hint="eastAsia"/>
          <w:color w:val="000000" w:themeColor="text1"/>
          <w:szCs w:val="32"/>
        </w:rPr>
        <w:t>未本於權責就其中土石方數量鉅量變更情形妥予提出行政審查意見，即</w:t>
      </w:r>
      <w:proofErr w:type="gramStart"/>
      <w:r w:rsidR="00B142EA" w:rsidRPr="007307D1">
        <w:rPr>
          <w:rFonts w:hAnsi="標楷體" w:hint="eastAsia"/>
          <w:color w:val="000000" w:themeColor="text1"/>
          <w:szCs w:val="32"/>
        </w:rPr>
        <w:t>有疏誤</w:t>
      </w:r>
      <w:proofErr w:type="gramEnd"/>
      <w:r w:rsidR="00B142EA" w:rsidRPr="007307D1">
        <w:rPr>
          <w:rFonts w:hAnsi="標楷體" w:hint="eastAsia"/>
          <w:color w:val="000000" w:themeColor="text1"/>
          <w:szCs w:val="32"/>
        </w:rPr>
        <w:t>。</w:t>
      </w:r>
      <w:r w:rsidR="00B142EA" w:rsidRPr="007307D1">
        <w:rPr>
          <w:rFonts w:hint="eastAsia"/>
          <w:color w:val="000000" w:themeColor="text1"/>
        </w:rPr>
        <w:t>至96年6月間水土保持計畫完成第2次變更時，土石方數量已</w:t>
      </w:r>
      <w:proofErr w:type="gramStart"/>
      <w:r w:rsidR="00B142EA" w:rsidRPr="007307D1">
        <w:rPr>
          <w:rFonts w:hint="eastAsia"/>
          <w:color w:val="000000" w:themeColor="text1"/>
        </w:rPr>
        <w:t>遽</w:t>
      </w:r>
      <w:proofErr w:type="gramEnd"/>
      <w:r w:rsidR="00B142EA" w:rsidRPr="007307D1">
        <w:rPr>
          <w:rFonts w:hint="eastAsia"/>
          <w:color w:val="000000" w:themeColor="text1"/>
        </w:rPr>
        <w:t>增至58萬</w:t>
      </w:r>
      <w:r w:rsidR="00B142EA" w:rsidRPr="007307D1">
        <w:rPr>
          <w:rFonts w:hAnsi="標楷體" w:hint="eastAsia"/>
          <w:color w:val="000000" w:themeColor="text1"/>
          <w:szCs w:val="32"/>
        </w:rPr>
        <w:t>6,667立方公尺，臺北市政府並以審核「</w:t>
      </w:r>
      <w:r w:rsidR="005B3B06" w:rsidRPr="007307D1">
        <w:rPr>
          <w:rFonts w:hAnsi="標楷體" w:hint="eastAsia"/>
          <w:color w:val="000000" w:themeColor="text1"/>
          <w:szCs w:val="32"/>
        </w:rPr>
        <w:t>土石方</w:t>
      </w:r>
      <w:r w:rsidR="00B142EA" w:rsidRPr="007307D1">
        <w:rPr>
          <w:rFonts w:hAnsi="標楷體" w:hint="eastAsia"/>
          <w:color w:val="000000" w:themeColor="text1"/>
          <w:szCs w:val="32"/>
        </w:rPr>
        <w:t>變更內容對照表」</w:t>
      </w:r>
      <w:r w:rsidR="005B3B06" w:rsidRPr="007307D1">
        <w:rPr>
          <w:rFonts w:hAnsi="標楷體" w:hint="eastAsia"/>
          <w:color w:val="000000" w:themeColor="text1"/>
          <w:szCs w:val="32"/>
        </w:rPr>
        <w:t>方式取代「環境影響差異分析」同意其變更</w:t>
      </w:r>
      <w:r w:rsidR="004B0D4D" w:rsidRPr="007307D1">
        <w:rPr>
          <w:rFonts w:hAnsi="標楷體" w:hint="eastAsia"/>
          <w:color w:val="000000" w:themeColor="text1"/>
          <w:szCs w:val="32"/>
        </w:rPr>
        <w:t>。</w:t>
      </w:r>
      <w:r w:rsidR="004B0D4D" w:rsidRPr="007307D1">
        <w:rPr>
          <w:rFonts w:hint="eastAsia"/>
          <w:color w:val="000000" w:themeColor="text1"/>
        </w:rPr>
        <w:t>因挖填土石方量對地形</w:t>
      </w:r>
      <w:proofErr w:type="gramStart"/>
      <w:r w:rsidR="004B0D4D" w:rsidRPr="007307D1">
        <w:rPr>
          <w:rFonts w:hint="eastAsia"/>
          <w:color w:val="000000" w:themeColor="text1"/>
        </w:rPr>
        <w:t>地貌有重大</w:t>
      </w:r>
      <w:proofErr w:type="gramEnd"/>
      <w:r w:rsidR="004B0D4D" w:rsidRPr="007307D1">
        <w:rPr>
          <w:rFonts w:hint="eastAsia"/>
          <w:color w:val="000000" w:themeColor="text1"/>
        </w:rPr>
        <w:t>影響，</w:t>
      </w:r>
      <w:proofErr w:type="gramStart"/>
      <w:r w:rsidR="004B0D4D" w:rsidRPr="007307D1">
        <w:rPr>
          <w:rFonts w:hint="eastAsia"/>
          <w:color w:val="000000" w:themeColor="text1"/>
        </w:rPr>
        <w:t>屬環評</w:t>
      </w:r>
      <w:proofErr w:type="gramEnd"/>
      <w:r w:rsidR="004B0D4D" w:rsidRPr="007307D1">
        <w:rPr>
          <w:rFonts w:hint="eastAsia"/>
          <w:color w:val="000000" w:themeColor="text1"/>
        </w:rPr>
        <w:t>之必要參照依據，亦</w:t>
      </w:r>
      <w:proofErr w:type="gramStart"/>
      <w:r w:rsidR="004B0D4D" w:rsidRPr="007307D1">
        <w:rPr>
          <w:rFonts w:hint="eastAsia"/>
          <w:color w:val="000000" w:themeColor="text1"/>
        </w:rPr>
        <w:lastRenderedPageBreak/>
        <w:t>為環團矚目</w:t>
      </w:r>
      <w:proofErr w:type="gramEnd"/>
      <w:r w:rsidR="004B0D4D" w:rsidRPr="007307D1">
        <w:rPr>
          <w:rFonts w:hint="eastAsia"/>
          <w:color w:val="000000" w:themeColor="text1"/>
        </w:rPr>
        <w:t>焦點，然臺北市政府未依環評法意旨妥為審查土石方量</w:t>
      </w:r>
      <w:proofErr w:type="gramStart"/>
      <w:r w:rsidR="004B0D4D" w:rsidRPr="007307D1">
        <w:rPr>
          <w:rFonts w:hint="eastAsia"/>
          <w:color w:val="000000" w:themeColor="text1"/>
        </w:rPr>
        <w:t>遽</w:t>
      </w:r>
      <w:proofErr w:type="gramEnd"/>
      <w:r w:rsidR="004B0D4D" w:rsidRPr="007307D1">
        <w:rPr>
          <w:rFonts w:hint="eastAsia"/>
          <w:color w:val="000000" w:themeColor="text1"/>
        </w:rPr>
        <w:t>增對環境之影響，</w:t>
      </w:r>
      <w:proofErr w:type="gramStart"/>
      <w:r w:rsidR="009B5B89" w:rsidRPr="007307D1">
        <w:rPr>
          <w:rFonts w:hint="eastAsia"/>
          <w:color w:val="000000" w:themeColor="text1"/>
        </w:rPr>
        <w:t>逕</w:t>
      </w:r>
      <w:proofErr w:type="gramEnd"/>
      <w:r w:rsidR="004B0D4D" w:rsidRPr="007307D1">
        <w:rPr>
          <w:rFonts w:hint="eastAsia"/>
          <w:color w:val="000000" w:themeColor="text1"/>
        </w:rPr>
        <w:t>由核定水土保持計畫同意其</w:t>
      </w:r>
      <w:r w:rsidR="00310205" w:rsidRPr="007307D1">
        <w:rPr>
          <w:rFonts w:hint="eastAsia"/>
          <w:color w:val="000000" w:themeColor="text1"/>
        </w:rPr>
        <w:t>變更，</w:t>
      </w:r>
      <w:r w:rsidR="0049534D" w:rsidRPr="007307D1">
        <w:rPr>
          <w:rFonts w:hint="eastAsia"/>
          <w:color w:val="000000" w:themeColor="text1"/>
        </w:rPr>
        <w:t>且免除雜項執照申請審核程序，</w:t>
      </w:r>
      <w:r w:rsidRPr="007307D1">
        <w:rPr>
          <w:rFonts w:hAnsi="標楷體" w:hint="eastAsia"/>
          <w:color w:val="000000" w:themeColor="text1"/>
          <w:szCs w:val="32"/>
        </w:rPr>
        <w:t>衍生民間團體</w:t>
      </w:r>
      <w:r w:rsidRPr="007307D1">
        <w:rPr>
          <w:rFonts w:hint="eastAsia"/>
          <w:color w:val="000000" w:themeColor="text1"/>
        </w:rPr>
        <w:t>於94年間</w:t>
      </w:r>
      <w:r w:rsidRPr="007307D1">
        <w:rPr>
          <w:rFonts w:hAnsi="標楷體" w:hint="eastAsia"/>
          <w:color w:val="000000" w:themeColor="text1"/>
          <w:szCs w:val="32"/>
        </w:rPr>
        <w:t>提</w:t>
      </w:r>
      <w:r w:rsidRPr="007307D1">
        <w:rPr>
          <w:rFonts w:hint="eastAsia"/>
          <w:color w:val="000000" w:themeColor="text1"/>
        </w:rPr>
        <w:t>起</w:t>
      </w:r>
      <w:proofErr w:type="gramStart"/>
      <w:r w:rsidRPr="007307D1">
        <w:rPr>
          <w:rFonts w:hint="eastAsia"/>
          <w:color w:val="000000" w:themeColor="text1"/>
        </w:rPr>
        <w:t>前揭</w:t>
      </w:r>
      <w:r w:rsidR="00310205" w:rsidRPr="007307D1">
        <w:rPr>
          <w:rFonts w:hint="eastAsia"/>
          <w:color w:val="000000" w:themeColor="text1"/>
        </w:rPr>
        <w:t>環評</w:t>
      </w:r>
      <w:proofErr w:type="gramEnd"/>
      <w:r w:rsidR="00310205" w:rsidRPr="007307D1">
        <w:rPr>
          <w:rFonts w:hint="eastAsia"/>
          <w:color w:val="000000" w:themeColor="text1"/>
          <w:szCs w:val="32"/>
        </w:rPr>
        <w:t>第73次會議</w:t>
      </w:r>
      <w:r w:rsidRPr="007307D1">
        <w:rPr>
          <w:rFonts w:hint="eastAsia"/>
          <w:color w:val="000000" w:themeColor="text1"/>
        </w:rPr>
        <w:t>審查結論無效告訴，經</w:t>
      </w:r>
      <w:r w:rsidRPr="007307D1">
        <w:rPr>
          <w:rFonts w:hAnsi="標楷體" w:hint="eastAsia"/>
          <w:color w:val="000000" w:themeColor="text1"/>
          <w:szCs w:val="32"/>
        </w:rPr>
        <w:t>最高行政法院</w:t>
      </w:r>
      <w:proofErr w:type="gramStart"/>
      <w:r w:rsidRPr="007307D1">
        <w:rPr>
          <w:rFonts w:hAnsi="標楷體" w:hint="eastAsia"/>
          <w:color w:val="000000" w:themeColor="text1"/>
          <w:szCs w:val="32"/>
        </w:rPr>
        <w:t>103</w:t>
      </w:r>
      <w:proofErr w:type="gramEnd"/>
      <w:r w:rsidRPr="007307D1">
        <w:rPr>
          <w:rFonts w:hAnsi="標楷體" w:hint="eastAsia"/>
          <w:color w:val="000000" w:themeColor="text1"/>
          <w:szCs w:val="32"/>
        </w:rPr>
        <w:t>年度判字第66號判決駁回</w:t>
      </w:r>
      <w:r w:rsidRPr="007307D1">
        <w:rPr>
          <w:rFonts w:hint="eastAsia"/>
          <w:color w:val="000000" w:themeColor="text1"/>
        </w:rPr>
        <w:t>臺北市</w:t>
      </w:r>
      <w:r w:rsidRPr="007307D1">
        <w:rPr>
          <w:rFonts w:hAnsi="標楷體" w:hint="eastAsia"/>
          <w:color w:val="000000" w:themeColor="text1"/>
          <w:szCs w:val="32"/>
        </w:rPr>
        <w:t>政府上訴確定，相關行政作為</w:t>
      </w:r>
      <w:proofErr w:type="gramStart"/>
      <w:r w:rsidR="00A002CF" w:rsidRPr="007307D1">
        <w:rPr>
          <w:rFonts w:hAnsi="標楷體" w:hint="eastAsia"/>
          <w:color w:val="000000" w:themeColor="text1"/>
          <w:szCs w:val="32"/>
        </w:rPr>
        <w:t>洵</w:t>
      </w:r>
      <w:proofErr w:type="gramEnd"/>
      <w:r w:rsidRPr="007307D1">
        <w:rPr>
          <w:rFonts w:hAnsi="標楷體" w:hint="eastAsia"/>
          <w:color w:val="000000" w:themeColor="text1"/>
          <w:szCs w:val="32"/>
        </w:rPr>
        <w:t>有未當。</w:t>
      </w:r>
      <w:bookmarkEnd w:id="341"/>
      <w:bookmarkEnd w:id="342"/>
    </w:p>
    <w:p w:rsidR="005B3B06" w:rsidRPr="00DA0E43" w:rsidRDefault="005B3B06" w:rsidP="00B20254">
      <w:pPr>
        <w:pStyle w:val="3"/>
      </w:pPr>
      <w:bookmarkStart w:id="343" w:name="_Toc18594823"/>
      <w:bookmarkStart w:id="344" w:name="_Toc18675805"/>
      <w:r w:rsidRPr="007307D1">
        <w:rPr>
          <w:rFonts w:hint="eastAsia"/>
          <w:color w:val="000000" w:themeColor="text1"/>
        </w:rPr>
        <w:t>綜上，臺北市</w:t>
      </w:r>
      <w:r w:rsidRPr="007307D1">
        <w:rPr>
          <w:rFonts w:hAnsi="標楷體" w:hint="eastAsia"/>
          <w:color w:val="000000" w:themeColor="text1"/>
          <w:szCs w:val="32"/>
        </w:rPr>
        <w:t>政府前於85年間審查「臺北市士林區住六之六地區細部計畫暨配合修訂主要計畫」環境影響說明書</w:t>
      </w:r>
      <w:proofErr w:type="gramStart"/>
      <w:r w:rsidRPr="007307D1">
        <w:rPr>
          <w:rFonts w:hAnsi="標楷體" w:hint="eastAsia"/>
          <w:color w:val="000000" w:themeColor="text1"/>
          <w:szCs w:val="32"/>
        </w:rPr>
        <w:t>期間，</w:t>
      </w:r>
      <w:proofErr w:type="gramEnd"/>
      <w:r w:rsidRPr="007307D1">
        <w:rPr>
          <w:rFonts w:hAnsi="標楷體" w:hint="eastAsia"/>
          <w:color w:val="000000" w:themeColor="text1"/>
          <w:szCs w:val="32"/>
        </w:rPr>
        <w:t>未本於權責就其中土石方數量鉅量變更情形妥予檢視並提出行政審查意見，</w:t>
      </w:r>
      <w:r w:rsidR="00C82BEF" w:rsidRPr="007307D1">
        <w:rPr>
          <w:rFonts w:hAnsi="標楷體" w:hint="eastAsia"/>
          <w:color w:val="000000" w:themeColor="text1"/>
          <w:szCs w:val="32"/>
        </w:rPr>
        <w:t>斯時即</w:t>
      </w:r>
      <w:proofErr w:type="gramStart"/>
      <w:r w:rsidR="00C82BEF" w:rsidRPr="007307D1">
        <w:rPr>
          <w:rFonts w:hAnsi="標楷體" w:hint="eastAsia"/>
          <w:color w:val="000000" w:themeColor="text1"/>
          <w:szCs w:val="32"/>
        </w:rPr>
        <w:t>有疏誤</w:t>
      </w:r>
      <w:proofErr w:type="gramEnd"/>
      <w:r w:rsidR="00C82BEF" w:rsidRPr="007307D1">
        <w:rPr>
          <w:rFonts w:hAnsi="標楷體" w:hint="eastAsia"/>
          <w:color w:val="000000" w:themeColor="text1"/>
          <w:szCs w:val="32"/>
        </w:rPr>
        <w:t>，而</w:t>
      </w:r>
      <w:r w:rsidRPr="007307D1">
        <w:rPr>
          <w:rFonts w:hAnsi="標楷體" w:hint="eastAsia"/>
          <w:color w:val="000000" w:themeColor="text1"/>
          <w:szCs w:val="32"/>
        </w:rPr>
        <w:t>針對</w:t>
      </w:r>
      <w:proofErr w:type="gramStart"/>
      <w:r w:rsidRPr="007307D1">
        <w:rPr>
          <w:rFonts w:hAnsi="標楷體" w:hint="eastAsia"/>
          <w:color w:val="000000" w:themeColor="text1"/>
          <w:szCs w:val="32"/>
        </w:rPr>
        <w:t>上情本院</w:t>
      </w:r>
      <w:proofErr w:type="gramEnd"/>
      <w:r w:rsidRPr="007307D1">
        <w:rPr>
          <w:rFonts w:hAnsi="標楷體" w:hint="eastAsia"/>
          <w:color w:val="000000" w:themeColor="text1"/>
          <w:szCs w:val="32"/>
        </w:rPr>
        <w:t>前於90年間曾提案糾正臺北市政府，指摘其環境影響說明書內容嚴重失實。</w:t>
      </w:r>
      <w:proofErr w:type="gramStart"/>
      <w:r w:rsidRPr="007307D1">
        <w:rPr>
          <w:rFonts w:hAnsi="標楷體" w:hint="eastAsia"/>
          <w:color w:val="000000" w:themeColor="text1"/>
          <w:szCs w:val="32"/>
        </w:rPr>
        <w:t>嗣該府環評</w:t>
      </w:r>
      <w:proofErr w:type="gramEnd"/>
      <w:r w:rsidRPr="007307D1">
        <w:rPr>
          <w:rFonts w:hAnsi="標楷體" w:hint="eastAsia"/>
          <w:color w:val="000000" w:themeColor="text1"/>
          <w:szCs w:val="32"/>
        </w:rPr>
        <w:t>會要求開發單位提出土石方差異對照表進行審核</w:t>
      </w:r>
      <w:r w:rsidR="00A002CF" w:rsidRPr="007307D1">
        <w:rPr>
          <w:rFonts w:hAnsi="標楷體" w:hint="eastAsia"/>
          <w:color w:val="000000" w:themeColor="text1"/>
          <w:szCs w:val="32"/>
        </w:rPr>
        <w:t>並予</w:t>
      </w:r>
      <w:r w:rsidRPr="007307D1">
        <w:rPr>
          <w:rFonts w:hAnsi="標楷體" w:hint="eastAsia"/>
          <w:color w:val="000000" w:themeColor="text1"/>
          <w:szCs w:val="32"/>
        </w:rPr>
        <w:t>通過，</w:t>
      </w:r>
      <w:r w:rsidRPr="00DA0E43">
        <w:rPr>
          <w:rFonts w:hAnsi="標楷體" w:hint="eastAsia"/>
          <w:color w:val="000000" w:themeColor="text1"/>
          <w:szCs w:val="32"/>
        </w:rPr>
        <w:t>然隨即衍生相關行政訴訟及審查結論因判斷理由不備遭撤銷等情，再證臺北市政府對於</w:t>
      </w:r>
      <w:proofErr w:type="gramStart"/>
      <w:r w:rsidRPr="00DA0E43">
        <w:rPr>
          <w:rFonts w:hAnsi="標楷體" w:hint="eastAsia"/>
          <w:color w:val="000000" w:themeColor="text1"/>
          <w:szCs w:val="32"/>
        </w:rPr>
        <w:t>本案土石方</w:t>
      </w:r>
      <w:proofErr w:type="gramEnd"/>
      <w:r w:rsidRPr="00DA0E43">
        <w:rPr>
          <w:rFonts w:hAnsi="標楷體" w:hint="eastAsia"/>
          <w:color w:val="000000" w:themeColor="text1"/>
          <w:szCs w:val="32"/>
        </w:rPr>
        <w:t>數量審核之行政疏失，</w:t>
      </w:r>
      <w:proofErr w:type="gramStart"/>
      <w:r w:rsidRPr="00DA0E43">
        <w:rPr>
          <w:rFonts w:hAnsi="標楷體" w:hint="eastAsia"/>
          <w:color w:val="000000" w:themeColor="text1"/>
          <w:szCs w:val="32"/>
        </w:rPr>
        <w:t>洵</w:t>
      </w:r>
      <w:proofErr w:type="gramEnd"/>
      <w:r w:rsidRPr="00DA0E43">
        <w:rPr>
          <w:rFonts w:hAnsi="標楷體" w:hint="eastAsia"/>
          <w:color w:val="000000" w:themeColor="text1"/>
          <w:szCs w:val="32"/>
        </w:rPr>
        <w:t>有未當，允應賡續檢討及依法審查</w:t>
      </w:r>
      <w:proofErr w:type="gramStart"/>
      <w:r w:rsidRPr="00DA0E43">
        <w:rPr>
          <w:rFonts w:hAnsi="標楷體" w:hint="eastAsia"/>
          <w:color w:val="000000" w:themeColor="text1"/>
          <w:szCs w:val="32"/>
        </w:rPr>
        <w:t>釐</w:t>
      </w:r>
      <w:proofErr w:type="gramEnd"/>
      <w:r w:rsidRPr="00DA0E43">
        <w:rPr>
          <w:rFonts w:hAnsi="標楷體" w:hint="eastAsia"/>
          <w:color w:val="000000" w:themeColor="text1"/>
          <w:szCs w:val="32"/>
        </w:rPr>
        <w:t>清，</w:t>
      </w:r>
      <w:proofErr w:type="gramStart"/>
      <w:r w:rsidRPr="00DA0E43">
        <w:rPr>
          <w:rFonts w:hAnsi="標楷體" w:hint="eastAsia"/>
          <w:color w:val="000000" w:themeColor="text1"/>
          <w:szCs w:val="32"/>
        </w:rPr>
        <w:t>俾恪</w:t>
      </w:r>
      <w:proofErr w:type="gramEnd"/>
      <w:r w:rsidRPr="00DA0E43">
        <w:rPr>
          <w:rFonts w:hAnsi="標楷體" w:hint="eastAsia"/>
          <w:color w:val="000000" w:themeColor="text1"/>
          <w:szCs w:val="32"/>
        </w:rPr>
        <w:t>盡職責，</w:t>
      </w:r>
      <w:proofErr w:type="gramStart"/>
      <w:r w:rsidRPr="00DA0E43">
        <w:rPr>
          <w:rFonts w:hAnsi="標楷體" w:hint="eastAsia"/>
          <w:color w:val="000000" w:themeColor="text1"/>
          <w:szCs w:val="32"/>
        </w:rPr>
        <w:t>並杜爭端</w:t>
      </w:r>
      <w:proofErr w:type="gramEnd"/>
      <w:r w:rsidR="00A002CF" w:rsidRPr="00DA0E43">
        <w:rPr>
          <w:rFonts w:hAnsi="標楷體" w:hint="eastAsia"/>
          <w:color w:val="000000" w:themeColor="text1"/>
          <w:szCs w:val="32"/>
        </w:rPr>
        <w:t>。</w:t>
      </w:r>
      <w:bookmarkEnd w:id="343"/>
      <w:bookmarkEnd w:id="344"/>
    </w:p>
    <w:p w:rsidR="00985984" w:rsidRPr="00931723" w:rsidRDefault="00985984" w:rsidP="00985984">
      <w:pPr>
        <w:pStyle w:val="2"/>
        <w:rPr>
          <w:b/>
        </w:rPr>
      </w:pPr>
      <w:bookmarkStart w:id="345" w:name="_Toc18675806"/>
      <w:bookmarkEnd w:id="289"/>
      <w:r w:rsidRPr="00931723">
        <w:rPr>
          <w:rFonts w:hint="eastAsia"/>
          <w:b/>
          <w:color w:val="000000" w:themeColor="text1"/>
          <w:szCs w:val="32"/>
        </w:rPr>
        <w:t>查本案重劃區原規劃之污水處理廠因預定用地原自然地形</w:t>
      </w:r>
      <w:r w:rsidRPr="00931723">
        <w:rPr>
          <w:rFonts w:hint="eastAsia"/>
          <w:b/>
          <w:color w:val="000000" w:themeColor="text1"/>
        </w:rPr>
        <w:t>平均坡度超過30</w:t>
      </w:r>
      <w:r w:rsidRPr="00931723">
        <w:rPr>
          <w:rFonts w:hAnsi="標楷體" w:hint="eastAsia"/>
          <w:b/>
          <w:color w:val="000000" w:themeColor="text1"/>
        </w:rPr>
        <w:t>%</w:t>
      </w:r>
      <w:r w:rsidRPr="00931723">
        <w:rPr>
          <w:rFonts w:hint="eastAsia"/>
          <w:b/>
          <w:color w:val="000000" w:themeColor="text1"/>
          <w:szCs w:val="32"/>
        </w:rPr>
        <w:t>，依據臺北市政府88年公告之「臺北市山坡地開發管理要點」相關規定及該府95年間第51次環評會議決議，</w:t>
      </w:r>
      <w:r w:rsidRPr="009B5374">
        <w:rPr>
          <w:rFonts w:hint="eastAsia"/>
          <w:b/>
          <w:color w:val="000000" w:themeColor="text1"/>
          <w:szCs w:val="32"/>
        </w:rPr>
        <w:t>應不得開發</w:t>
      </w:r>
      <w:r w:rsidR="000A3C6F" w:rsidRPr="009B5374">
        <w:rPr>
          <w:rFonts w:hint="eastAsia"/>
          <w:b/>
          <w:color w:val="000000" w:themeColor="text1"/>
          <w:szCs w:val="32"/>
        </w:rPr>
        <w:t>設置</w:t>
      </w:r>
      <w:r w:rsidRPr="009B5374">
        <w:rPr>
          <w:rFonts w:hint="eastAsia"/>
          <w:b/>
          <w:color w:val="000000" w:themeColor="text1"/>
          <w:szCs w:val="32"/>
        </w:rPr>
        <w:t>，惟</w:t>
      </w:r>
      <w:r w:rsidRPr="009B5374">
        <w:rPr>
          <w:rFonts w:hAnsi="標楷體" w:hint="eastAsia"/>
          <w:b/>
          <w:color w:val="000000" w:themeColor="text1"/>
          <w:szCs w:val="32"/>
        </w:rPr>
        <w:t>臺北市政府於90至95年多次函釋可不適用前揭規定，且於</w:t>
      </w:r>
      <w:proofErr w:type="gramStart"/>
      <w:r w:rsidRPr="009B5374">
        <w:rPr>
          <w:rFonts w:hAnsi="標楷體" w:hint="eastAsia"/>
          <w:b/>
          <w:color w:val="000000" w:themeColor="text1"/>
          <w:szCs w:val="32"/>
        </w:rPr>
        <w:t>104年12月間仍核定</w:t>
      </w:r>
      <w:proofErr w:type="gramEnd"/>
      <w:r w:rsidRPr="009B5374">
        <w:rPr>
          <w:rFonts w:hAnsi="標楷體" w:hint="eastAsia"/>
          <w:b/>
          <w:color w:val="000000" w:themeColor="text1"/>
          <w:szCs w:val="32"/>
        </w:rPr>
        <w:t>污水處理廠設計書圖、</w:t>
      </w:r>
      <w:proofErr w:type="gramStart"/>
      <w:r w:rsidRPr="009B5374">
        <w:rPr>
          <w:rFonts w:hAnsi="標楷體" w:hint="eastAsia"/>
          <w:b/>
          <w:color w:val="000000" w:themeColor="text1"/>
          <w:szCs w:val="32"/>
        </w:rPr>
        <w:t>105年2月間再辦理</w:t>
      </w:r>
      <w:proofErr w:type="gramEnd"/>
      <w:r w:rsidRPr="009B5374">
        <w:rPr>
          <w:rFonts w:hAnsi="標楷體" w:hint="eastAsia"/>
          <w:b/>
          <w:color w:val="000000" w:themeColor="text1"/>
          <w:szCs w:val="32"/>
        </w:rPr>
        <w:t>用地無償撥用，105年3月經行政院核准用地無償撥用後，卻於同年</w:t>
      </w:r>
      <w:proofErr w:type="gramStart"/>
      <w:r w:rsidRPr="009B5374">
        <w:rPr>
          <w:rFonts w:hAnsi="標楷體" w:hint="eastAsia"/>
          <w:b/>
          <w:color w:val="000000" w:themeColor="text1"/>
          <w:szCs w:val="32"/>
        </w:rPr>
        <w:t>12月間以污水</w:t>
      </w:r>
      <w:proofErr w:type="gramEnd"/>
      <w:r w:rsidRPr="009B5374">
        <w:rPr>
          <w:rFonts w:hAnsi="標楷體" w:hint="eastAsia"/>
          <w:b/>
          <w:color w:val="000000" w:themeColor="text1"/>
          <w:szCs w:val="32"/>
        </w:rPr>
        <w:t>處理廠用地坡度超過30%</w:t>
      </w:r>
      <w:proofErr w:type="gramStart"/>
      <w:r w:rsidRPr="009B5374">
        <w:rPr>
          <w:rFonts w:hAnsi="標楷體" w:hint="eastAsia"/>
          <w:b/>
          <w:color w:val="000000" w:themeColor="text1"/>
          <w:szCs w:val="32"/>
        </w:rPr>
        <w:t>有違前揭</w:t>
      </w:r>
      <w:proofErr w:type="gramEnd"/>
      <w:r w:rsidRPr="009B5374">
        <w:rPr>
          <w:rFonts w:hAnsi="標楷體" w:hint="eastAsia"/>
          <w:b/>
          <w:color w:val="000000" w:themeColor="text1"/>
          <w:szCs w:val="32"/>
        </w:rPr>
        <w:t>要點為由，建議開發單位另覓平均坡度未逾</w:t>
      </w:r>
      <w:r w:rsidRPr="009B5374">
        <w:rPr>
          <w:rFonts w:hAnsi="標楷體"/>
          <w:b/>
          <w:color w:val="000000" w:themeColor="text1"/>
          <w:szCs w:val="32"/>
        </w:rPr>
        <w:t>30</w:t>
      </w:r>
      <w:r w:rsidRPr="009B5374">
        <w:rPr>
          <w:rFonts w:hAnsi="標楷體" w:hint="eastAsia"/>
          <w:b/>
          <w:color w:val="000000" w:themeColor="text1"/>
          <w:szCs w:val="32"/>
        </w:rPr>
        <w:t>%之土地設置污水處理廠，</w:t>
      </w:r>
      <w:proofErr w:type="gramStart"/>
      <w:r w:rsidRPr="009B5374">
        <w:rPr>
          <w:rFonts w:hAnsi="標楷體" w:hint="eastAsia"/>
          <w:b/>
          <w:color w:val="000000" w:themeColor="text1"/>
          <w:szCs w:val="32"/>
        </w:rPr>
        <w:t>凸</w:t>
      </w:r>
      <w:proofErr w:type="gramEnd"/>
      <w:r w:rsidRPr="009B5374">
        <w:rPr>
          <w:rFonts w:hAnsi="標楷體" w:hint="eastAsia"/>
          <w:b/>
          <w:color w:val="000000" w:themeColor="text1"/>
          <w:szCs w:val="32"/>
        </w:rPr>
        <w:t>顯</w:t>
      </w:r>
      <w:proofErr w:type="gramStart"/>
      <w:r w:rsidRPr="009B5374">
        <w:rPr>
          <w:rFonts w:hAnsi="標楷體" w:hint="eastAsia"/>
          <w:b/>
          <w:color w:val="000000" w:themeColor="text1"/>
          <w:szCs w:val="32"/>
        </w:rPr>
        <w:t>該府認事</w:t>
      </w:r>
      <w:proofErr w:type="gramEnd"/>
      <w:r w:rsidRPr="009B5374">
        <w:rPr>
          <w:rFonts w:hAnsi="標楷體" w:hint="eastAsia"/>
          <w:b/>
          <w:color w:val="000000" w:themeColor="text1"/>
          <w:szCs w:val="32"/>
        </w:rPr>
        <w:t>用法</w:t>
      </w:r>
      <w:r w:rsidR="00BB5FB4" w:rsidRPr="009B5374">
        <w:rPr>
          <w:rFonts w:hAnsi="標楷體" w:hint="eastAsia"/>
          <w:b/>
          <w:color w:val="000000" w:themeColor="text1"/>
          <w:szCs w:val="32"/>
        </w:rPr>
        <w:t>不一，且</w:t>
      </w:r>
      <w:r w:rsidRPr="009B5374">
        <w:rPr>
          <w:rFonts w:hAnsi="標楷體" w:hint="eastAsia"/>
          <w:b/>
          <w:color w:val="000000" w:themeColor="text1"/>
          <w:szCs w:val="32"/>
        </w:rPr>
        <w:t>相關</w:t>
      </w:r>
      <w:r w:rsidR="00931723" w:rsidRPr="009B5374">
        <w:rPr>
          <w:rFonts w:hAnsi="標楷體" w:hint="eastAsia"/>
          <w:b/>
          <w:color w:val="000000" w:themeColor="text1"/>
          <w:szCs w:val="32"/>
        </w:rPr>
        <w:t>審核單位缺乏橫</w:t>
      </w:r>
      <w:r w:rsidR="000A3C6F" w:rsidRPr="009B5374">
        <w:rPr>
          <w:rFonts w:hAnsi="標楷體" w:hint="eastAsia"/>
          <w:b/>
          <w:color w:val="000000" w:themeColor="text1"/>
          <w:szCs w:val="32"/>
        </w:rPr>
        <w:t>向</w:t>
      </w:r>
      <w:r w:rsidR="00931723" w:rsidRPr="009B5374">
        <w:rPr>
          <w:rFonts w:hAnsi="標楷體" w:hint="eastAsia"/>
          <w:b/>
          <w:color w:val="000000" w:themeColor="text1"/>
          <w:szCs w:val="32"/>
        </w:rPr>
        <w:t>聯繫及統籌機</w:t>
      </w:r>
      <w:r w:rsidR="00931723" w:rsidRPr="009B5374">
        <w:rPr>
          <w:rFonts w:hAnsi="標楷體" w:hint="eastAsia"/>
          <w:b/>
          <w:color w:val="000000" w:themeColor="text1"/>
          <w:szCs w:val="32"/>
        </w:rPr>
        <w:lastRenderedPageBreak/>
        <w:t>制，各自依本位立場施政</w:t>
      </w:r>
      <w:r w:rsidRPr="009B5374">
        <w:rPr>
          <w:rFonts w:hAnsi="標楷體" w:hint="eastAsia"/>
          <w:b/>
          <w:color w:val="000000" w:themeColor="text1"/>
          <w:szCs w:val="32"/>
        </w:rPr>
        <w:t>，</w:t>
      </w:r>
      <w:r w:rsidR="0068100A" w:rsidRPr="009B5374">
        <w:rPr>
          <w:rFonts w:hAnsi="標楷體" w:hint="eastAsia"/>
          <w:b/>
          <w:color w:val="000000" w:themeColor="text1"/>
          <w:szCs w:val="32"/>
        </w:rPr>
        <w:t>多有擾民之情事，亦</w:t>
      </w:r>
      <w:r w:rsidRPr="009B5374">
        <w:rPr>
          <w:rFonts w:hAnsi="標楷體" w:hint="eastAsia"/>
          <w:b/>
          <w:color w:val="000000" w:themeColor="text1"/>
          <w:szCs w:val="32"/>
        </w:rPr>
        <w:t>未妥</w:t>
      </w:r>
      <w:proofErr w:type="gramStart"/>
      <w:r w:rsidRPr="009B5374">
        <w:rPr>
          <w:rFonts w:hAnsi="標楷體" w:hint="eastAsia"/>
          <w:b/>
          <w:color w:val="000000" w:themeColor="text1"/>
          <w:szCs w:val="32"/>
        </w:rPr>
        <w:t>予考</w:t>
      </w:r>
      <w:proofErr w:type="gramEnd"/>
      <w:r w:rsidRPr="009B5374">
        <w:rPr>
          <w:rFonts w:hAnsi="標楷體" w:hint="eastAsia"/>
          <w:b/>
          <w:color w:val="000000" w:themeColor="text1"/>
          <w:szCs w:val="32"/>
        </w:rPr>
        <w:t>量法定坡度限制及興建可行性，致污水處理廠自94年規劃迄</w:t>
      </w:r>
      <w:r w:rsidR="000A3C6F" w:rsidRPr="009B5374">
        <w:rPr>
          <w:rFonts w:hAnsi="標楷體" w:hint="eastAsia"/>
          <w:b/>
          <w:color w:val="000000" w:themeColor="text1"/>
          <w:szCs w:val="32"/>
        </w:rPr>
        <w:t>今</w:t>
      </w:r>
      <w:r w:rsidRPr="009B5374">
        <w:rPr>
          <w:rFonts w:hAnsi="標楷體" w:hint="eastAsia"/>
          <w:b/>
          <w:color w:val="000000" w:themeColor="text1"/>
          <w:szCs w:val="32"/>
        </w:rPr>
        <w:t>仍無法興建，徒然耗費行政人力、資源及造成開發單位財務支出，</w:t>
      </w:r>
      <w:r w:rsidRPr="009B5374">
        <w:rPr>
          <w:rFonts w:hint="eastAsia"/>
          <w:b/>
          <w:color w:val="000000" w:themeColor="text1"/>
        </w:rPr>
        <w:t>並生爭端，</w:t>
      </w:r>
      <w:proofErr w:type="gramStart"/>
      <w:r w:rsidRPr="009B5374">
        <w:rPr>
          <w:rFonts w:hint="eastAsia"/>
          <w:b/>
          <w:color w:val="000000" w:themeColor="text1"/>
        </w:rPr>
        <w:t>洵</w:t>
      </w:r>
      <w:proofErr w:type="gramEnd"/>
      <w:r w:rsidRPr="009B5374">
        <w:rPr>
          <w:rFonts w:hint="eastAsia"/>
          <w:b/>
          <w:color w:val="000000" w:themeColor="text1"/>
        </w:rPr>
        <w:t>有未當。</w:t>
      </w:r>
      <w:bookmarkEnd w:id="345"/>
    </w:p>
    <w:p w:rsidR="00985984" w:rsidRPr="00DA0E43" w:rsidRDefault="00985984" w:rsidP="00985984">
      <w:pPr>
        <w:pStyle w:val="3"/>
      </w:pPr>
      <w:bookmarkStart w:id="346" w:name="_Toc18513734"/>
      <w:bookmarkStart w:id="347" w:name="_Toc18594825"/>
      <w:bookmarkStart w:id="348" w:name="_Toc18675807"/>
      <w:r w:rsidRPr="00DA0E43">
        <w:rPr>
          <w:rFonts w:hAnsi="標楷體" w:hint="eastAsia"/>
          <w:color w:val="000000" w:themeColor="text1"/>
          <w:szCs w:val="32"/>
        </w:rPr>
        <w:t>據本案開發單位（重劃會）陳訴略</w:t>
      </w:r>
      <w:proofErr w:type="gramStart"/>
      <w:r w:rsidRPr="00DA0E43">
        <w:rPr>
          <w:rFonts w:hAnsi="標楷體" w:hint="eastAsia"/>
          <w:color w:val="000000" w:themeColor="text1"/>
          <w:szCs w:val="32"/>
        </w:rPr>
        <w:t>以</w:t>
      </w:r>
      <w:proofErr w:type="gramEnd"/>
      <w:r w:rsidRPr="00DA0E43">
        <w:rPr>
          <w:rFonts w:hAnsi="標楷體" w:hint="eastAsia"/>
          <w:color w:val="000000" w:themeColor="text1"/>
          <w:szCs w:val="32"/>
        </w:rPr>
        <w:t>，本案重劃區公共工程已完工移交臺北市政府各主管機關接管養護逾10餘年，依「獎勵土地所有權人辦理市地重劃辦法」第49條規定</w:t>
      </w:r>
      <w:r w:rsidRPr="00DA0E43">
        <w:rPr>
          <w:rStyle w:val="afe"/>
          <w:rFonts w:hAnsi="標楷體"/>
          <w:color w:val="000000" w:themeColor="text1"/>
          <w:szCs w:val="32"/>
        </w:rPr>
        <w:footnoteReference w:id="2"/>
      </w:r>
      <w:r w:rsidRPr="00DA0E43">
        <w:rPr>
          <w:rFonts w:hAnsi="標楷體" w:hint="eastAsia"/>
          <w:color w:val="000000" w:themeColor="text1"/>
          <w:szCs w:val="32"/>
        </w:rPr>
        <w:t>，該府理應儘速整體考量全區污水管線系統，於2年內興建污水處理廠及相關地區之公共設施(含污水管線)。該會於94年11月間繳付9,860萬元予臺北市衛工處，</w:t>
      </w:r>
      <w:r w:rsidRPr="007307D1">
        <w:rPr>
          <w:rFonts w:hAnsi="標楷體" w:hint="eastAsia"/>
          <w:color w:val="000000" w:themeColor="text1"/>
          <w:szCs w:val="32"/>
        </w:rPr>
        <w:t>請該處代辦埋設污水共同管線</w:t>
      </w:r>
      <w:r w:rsidR="008E6923" w:rsidRPr="007307D1">
        <w:rPr>
          <w:rFonts w:hAnsi="標楷體" w:hint="eastAsia"/>
          <w:color w:val="000000" w:themeColor="text1"/>
          <w:szCs w:val="32"/>
        </w:rPr>
        <w:t>，</w:t>
      </w:r>
      <w:proofErr w:type="gramStart"/>
      <w:r w:rsidR="008E6923" w:rsidRPr="007307D1">
        <w:rPr>
          <w:rFonts w:hAnsi="標楷體" w:hint="eastAsia"/>
          <w:color w:val="000000" w:themeColor="text1"/>
          <w:szCs w:val="32"/>
        </w:rPr>
        <w:t>嗣</w:t>
      </w:r>
      <w:proofErr w:type="gramEnd"/>
      <w:r w:rsidR="008E6923" w:rsidRPr="007307D1">
        <w:rPr>
          <w:rFonts w:hint="eastAsia"/>
          <w:color w:val="000000" w:themeColor="text1"/>
        </w:rPr>
        <w:t>臺北市衛工處以污水處理廠用地坡度超過30</w:t>
      </w:r>
      <w:r w:rsidR="008E6923" w:rsidRPr="007307D1">
        <w:rPr>
          <w:rFonts w:hint="eastAsia"/>
          <w:color w:val="000000" w:themeColor="text1"/>
          <w:szCs w:val="48"/>
        </w:rPr>
        <w:t>%以上，無法興</w:t>
      </w:r>
      <w:proofErr w:type="gramStart"/>
      <w:r w:rsidR="008E6923" w:rsidRPr="007307D1">
        <w:rPr>
          <w:rFonts w:hint="eastAsia"/>
          <w:color w:val="000000" w:themeColor="text1"/>
          <w:szCs w:val="48"/>
        </w:rPr>
        <w:t>闢</w:t>
      </w:r>
      <w:proofErr w:type="gramEnd"/>
      <w:r w:rsidR="008E6923" w:rsidRPr="007307D1">
        <w:rPr>
          <w:rFonts w:hint="eastAsia"/>
          <w:color w:val="000000" w:themeColor="text1"/>
          <w:szCs w:val="48"/>
        </w:rPr>
        <w:t>污水處理廠為由，於99年7月</w:t>
      </w:r>
      <w:r w:rsidR="00455137" w:rsidRPr="007307D1">
        <w:rPr>
          <w:rFonts w:hint="eastAsia"/>
          <w:color w:val="000000" w:themeColor="text1"/>
          <w:szCs w:val="48"/>
        </w:rPr>
        <w:t>間</w:t>
      </w:r>
      <w:r w:rsidR="008E6923" w:rsidRPr="007307D1">
        <w:rPr>
          <w:rFonts w:hint="eastAsia"/>
          <w:color w:val="000000" w:themeColor="text1"/>
          <w:szCs w:val="48"/>
        </w:rPr>
        <w:t>退回代辦埋設污水管線工程費用。</w:t>
      </w:r>
      <w:r w:rsidRPr="00DA0E43">
        <w:rPr>
          <w:rFonts w:hAnsi="標楷體" w:hint="eastAsia"/>
          <w:color w:val="000000" w:themeColor="text1"/>
          <w:szCs w:val="32"/>
        </w:rPr>
        <w:t>而污水處理廠興建工程之基本設計報告書及圖說(定稿本)，經臺北市衛工處於104年12月間同意備查，並經檢討興建可行性後，乃申請撥用污水處理廠用地(產權為財政部國有財產署)，並經行政院於105年3月間核定辦理撥用。</w:t>
      </w:r>
      <w:bookmarkEnd w:id="346"/>
      <w:bookmarkEnd w:id="347"/>
      <w:bookmarkEnd w:id="348"/>
    </w:p>
    <w:p w:rsidR="00985984" w:rsidRPr="00DA0E43" w:rsidRDefault="00985984" w:rsidP="00985984">
      <w:pPr>
        <w:pStyle w:val="3"/>
      </w:pPr>
      <w:bookmarkStart w:id="349" w:name="_Toc18513735"/>
      <w:bookmarkStart w:id="350" w:name="_Toc18594826"/>
      <w:bookmarkStart w:id="351" w:name="_Toc18675808"/>
      <w:r w:rsidRPr="00DA0E43">
        <w:rPr>
          <w:rFonts w:hAnsi="標楷體" w:hint="eastAsia"/>
          <w:color w:val="000000" w:themeColor="text1"/>
          <w:szCs w:val="32"/>
        </w:rPr>
        <w:t>針對上情臺北市政府查復略</w:t>
      </w:r>
      <w:proofErr w:type="gramStart"/>
      <w:r w:rsidRPr="00DA0E43">
        <w:rPr>
          <w:rFonts w:hAnsi="標楷體" w:hint="eastAsia"/>
          <w:color w:val="000000" w:themeColor="text1"/>
          <w:szCs w:val="32"/>
        </w:rPr>
        <w:t>以</w:t>
      </w:r>
      <w:proofErr w:type="gramEnd"/>
      <w:r w:rsidRPr="00DA0E43">
        <w:rPr>
          <w:rFonts w:hAnsi="標楷體" w:hint="eastAsia"/>
          <w:color w:val="000000" w:themeColor="text1"/>
          <w:szCs w:val="32"/>
        </w:rPr>
        <w:t>，重劃區內公共污水下水道管線屬重劃工程之一，亦屬重劃會應辦事項，該府衛工處於</w:t>
      </w:r>
      <w:proofErr w:type="gramStart"/>
      <w:r w:rsidRPr="00DA0E43">
        <w:rPr>
          <w:rFonts w:hAnsi="標楷體" w:hint="eastAsia"/>
          <w:color w:val="000000" w:themeColor="text1"/>
          <w:szCs w:val="32"/>
        </w:rPr>
        <w:t>94年11月間簽奉</w:t>
      </w:r>
      <w:proofErr w:type="gramEnd"/>
      <w:r w:rsidRPr="00DA0E43">
        <w:rPr>
          <w:rFonts w:hAnsi="標楷體" w:hint="eastAsia"/>
          <w:color w:val="000000" w:themeColor="text1"/>
          <w:szCs w:val="32"/>
        </w:rPr>
        <w:t>核准代為辦理，</w:t>
      </w:r>
      <w:r w:rsidRPr="00DA0E43">
        <w:rPr>
          <w:rFonts w:hint="eastAsia"/>
          <w:color w:val="FF0000"/>
        </w:rPr>
        <w:t xml:space="preserve"> </w:t>
      </w:r>
      <w:r w:rsidRPr="00DA0E43">
        <w:rPr>
          <w:rFonts w:hint="eastAsia"/>
          <w:color w:val="000000" w:themeColor="text1"/>
        </w:rPr>
        <w:t>95年9月間執行「代辦本市士林區6之6自辦市地重劃區污水下水道管線統包工程」，惟因污水處理廠用地坡度疑慮遲未</w:t>
      </w:r>
      <w:proofErr w:type="gramStart"/>
      <w:r w:rsidRPr="00DA0E43">
        <w:rPr>
          <w:rFonts w:hint="eastAsia"/>
          <w:color w:val="000000" w:themeColor="text1"/>
        </w:rPr>
        <w:t>釐</w:t>
      </w:r>
      <w:proofErr w:type="gramEnd"/>
      <w:r w:rsidRPr="00DA0E43">
        <w:rPr>
          <w:rFonts w:hint="eastAsia"/>
          <w:color w:val="000000" w:themeColor="text1"/>
        </w:rPr>
        <w:t>清，</w:t>
      </w:r>
      <w:proofErr w:type="gramStart"/>
      <w:r w:rsidRPr="00DA0E43">
        <w:rPr>
          <w:rFonts w:hint="eastAsia"/>
          <w:color w:val="000000" w:themeColor="text1"/>
        </w:rPr>
        <w:t>96年5月間即暫停</w:t>
      </w:r>
      <w:proofErr w:type="gramEnd"/>
      <w:r w:rsidRPr="00DA0E43">
        <w:rPr>
          <w:rFonts w:hint="eastAsia"/>
          <w:color w:val="000000" w:themeColor="text1"/>
        </w:rPr>
        <w:t>該項管</w:t>
      </w:r>
      <w:r w:rsidRPr="00DA0E43">
        <w:rPr>
          <w:rFonts w:hint="eastAsia"/>
          <w:color w:val="000000" w:themeColor="text1"/>
        </w:rPr>
        <w:lastRenderedPageBreak/>
        <w:t>線代辦工程（區內污水管線皆未施工），後續待開發單位確認處理廠位置後，再據以施作。</w:t>
      </w:r>
      <w:proofErr w:type="gramStart"/>
      <w:r w:rsidRPr="00DA0E43">
        <w:rPr>
          <w:rFonts w:hint="eastAsia"/>
          <w:color w:val="000000" w:themeColor="text1"/>
        </w:rPr>
        <w:t>嗣</w:t>
      </w:r>
      <w:proofErr w:type="gramEnd"/>
      <w:r w:rsidRPr="00DA0E43">
        <w:rPr>
          <w:rFonts w:hAnsi="標楷體" w:hint="eastAsia"/>
          <w:color w:val="000000" w:themeColor="text1"/>
          <w:szCs w:val="32"/>
        </w:rPr>
        <w:t>重劃會於</w:t>
      </w:r>
      <w:proofErr w:type="gramStart"/>
      <w:r w:rsidRPr="00DA0E43">
        <w:rPr>
          <w:rFonts w:hAnsi="標楷體" w:hint="eastAsia"/>
          <w:color w:val="000000" w:themeColor="text1"/>
          <w:szCs w:val="32"/>
        </w:rPr>
        <w:t>103年1月間函送</w:t>
      </w:r>
      <w:proofErr w:type="gramEnd"/>
      <w:r w:rsidRPr="00DA0E43">
        <w:rPr>
          <w:rFonts w:hAnsi="標楷體" w:hint="eastAsia"/>
          <w:color w:val="000000" w:themeColor="text1"/>
          <w:szCs w:val="32"/>
        </w:rPr>
        <w:t>污水處理廠工程基本設計圖說至該府，並表達願出資興建。而臺北市衛工處於104年12月間同意備查之污水處理廠設計報告，</w:t>
      </w:r>
      <w:proofErr w:type="gramStart"/>
      <w:r w:rsidRPr="00DA0E43">
        <w:rPr>
          <w:rFonts w:hAnsi="標楷體" w:hint="eastAsia"/>
          <w:color w:val="000000" w:themeColor="text1"/>
          <w:szCs w:val="32"/>
        </w:rPr>
        <w:t>係後由</w:t>
      </w:r>
      <w:proofErr w:type="gramEnd"/>
      <w:r w:rsidRPr="00DA0E43">
        <w:rPr>
          <w:rFonts w:hAnsi="標楷體" w:hint="eastAsia"/>
          <w:color w:val="000000" w:themeColor="text1"/>
          <w:szCs w:val="32"/>
        </w:rPr>
        <w:t>該處委託技師公會審查同意，並</w:t>
      </w:r>
      <w:proofErr w:type="gramStart"/>
      <w:r w:rsidRPr="00DA0E43">
        <w:rPr>
          <w:rFonts w:hAnsi="標楷體" w:hint="eastAsia"/>
          <w:color w:val="000000" w:themeColor="text1"/>
          <w:szCs w:val="32"/>
        </w:rPr>
        <w:t>函復該府</w:t>
      </w:r>
      <w:proofErr w:type="gramEnd"/>
      <w:r w:rsidRPr="00DA0E43">
        <w:rPr>
          <w:rFonts w:hAnsi="標楷體" w:hint="eastAsia"/>
          <w:color w:val="000000" w:themeColor="text1"/>
          <w:szCs w:val="32"/>
        </w:rPr>
        <w:t>土地開發總隊審查結果。因該府95年第51次環境影響評估審查會議決議，本案重劃區開發案應按原自然地形計算平均坡度，其污水處理廠預定地有80%以上土地逾原自然地形平均坡度30%以上，且</w:t>
      </w:r>
      <w:r w:rsidRPr="00DA0E43">
        <w:rPr>
          <w:rFonts w:hAnsi="標楷體" w:hint="eastAsia"/>
        </w:rPr>
        <w:t>至今尚未符合市地重劃辦法第3之1條</w:t>
      </w:r>
      <w:r w:rsidRPr="00DA0E43">
        <w:rPr>
          <w:rStyle w:val="afe"/>
          <w:rFonts w:hAnsi="標楷體"/>
        </w:rPr>
        <w:footnoteReference w:id="3"/>
      </w:r>
      <w:r w:rsidRPr="00DA0E43">
        <w:rPr>
          <w:rFonts w:hAnsi="標楷體" w:hint="eastAsia"/>
        </w:rPr>
        <w:t>所稱之重劃完成，</w:t>
      </w:r>
      <w:r w:rsidRPr="00DA0E43">
        <w:rPr>
          <w:rFonts w:hAnsi="標楷體" w:hint="eastAsia"/>
          <w:color w:val="000000" w:themeColor="text1"/>
          <w:szCs w:val="32"/>
        </w:rPr>
        <w:t>與88年公告實施之</w:t>
      </w:r>
      <w:r w:rsidR="000B1F66">
        <w:rPr>
          <w:rFonts w:hAnsi="標楷體" w:hint="eastAsia"/>
          <w:color w:val="000000" w:themeColor="text1"/>
          <w:szCs w:val="32"/>
        </w:rPr>
        <w:t>「</w:t>
      </w:r>
      <w:r w:rsidRPr="00DA0E43">
        <w:rPr>
          <w:rFonts w:hAnsi="標楷體" w:hint="eastAsia"/>
          <w:color w:val="000000" w:themeColor="text1"/>
          <w:szCs w:val="32"/>
        </w:rPr>
        <w:t>臺北市山坡地開發管理要點</w:t>
      </w:r>
      <w:r w:rsidR="000B1F66">
        <w:rPr>
          <w:rFonts w:hAnsi="標楷體" w:hint="eastAsia"/>
          <w:color w:val="000000" w:themeColor="text1"/>
          <w:szCs w:val="32"/>
        </w:rPr>
        <w:t>」</w:t>
      </w:r>
      <w:r w:rsidRPr="00DA0E43">
        <w:rPr>
          <w:rStyle w:val="afe"/>
          <w:rFonts w:hAnsi="標楷體"/>
          <w:color w:val="000000" w:themeColor="text1"/>
          <w:szCs w:val="32"/>
        </w:rPr>
        <w:footnoteReference w:id="4"/>
      </w:r>
      <w:r w:rsidR="000B1F66" w:rsidRPr="007307D1">
        <w:rPr>
          <w:rFonts w:hAnsi="標楷體" w:hint="eastAsia"/>
          <w:color w:val="000000" w:themeColor="text1"/>
          <w:szCs w:val="32"/>
        </w:rPr>
        <w:t>（</w:t>
      </w:r>
      <w:r w:rsidR="00884C96">
        <w:rPr>
          <w:rFonts w:hAnsi="標楷體" w:hint="eastAsia"/>
          <w:color w:val="000000" w:themeColor="text1"/>
          <w:szCs w:val="32"/>
        </w:rPr>
        <w:t>下</w:t>
      </w:r>
      <w:r w:rsidR="000B1F66" w:rsidRPr="007307D1">
        <w:rPr>
          <w:rFonts w:hAnsi="標楷體" w:hint="eastAsia"/>
          <w:color w:val="000000" w:themeColor="text1"/>
          <w:szCs w:val="32"/>
        </w:rPr>
        <w:t>稱山開要點）</w:t>
      </w:r>
      <w:r w:rsidRPr="00DA0E43">
        <w:rPr>
          <w:rFonts w:hAnsi="標楷體" w:hint="eastAsia"/>
          <w:color w:val="000000" w:themeColor="text1"/>
          <w:szCs w:val="32"/>
        </w:rPr>
        <w:t>有違，致無法興建。由於公告之污水處理廠用地權</w:t>
      </w:r>
      <w:proofErr w:type="gramStart"/>
      <w:r w:rsidRPr="00DA0E43">
        <w:rPr>
          <w:rFonts w:hAnsi="標楷體" w:hint="eastAsia"/>
          <w:color w:val="000000" w:themeColor="text1"/>
          <w:szCs w:val="32"/>
        </w:rPr>
        <w:t>管屬後續維管</w:t>
      </w:r>
      <w:proofErr w:type="gramEnd"/>
      <w:r w:rsidRPr="00DA0E43">
        <w:rPr>
          <w:rFonts w:hAnsi="標楷體" w:hint="eastAsia"/>
          <w:color w:val="000000" w:themeColor="text1"/>
          <w:szCs w:val="32"/>
        </w:rPr>
        <w:t>單位(臺北市衛工處)，用地撥用僅為程序，未及處理廠興建之可行與否。</w:t>
      </w:r>
      <w:r w:rsidR="00D11BEE" w:rsidRPr="00DA0E43">
        <w:rPr>
          <w:rFonts w:hAnsi="標楷體" w:hint="eastAsia"/>
          <w:color w:val="000000" w:themeColor="text1"/>
          <w:szCs w:val="32"/>
        </w:rPr>
        <w:t>因環評及山坡地開發管理等相關法令限制仍未解決，</w:t>
      </w:r>
      <w:proofErr w:type="gramStart"/>
      <w:r w:rsidR="00D11BEE" w:rsidRPr="009B5374">
        <w:rPr>
          <w:rFonts w:hAnsi="標楷體" w:hint="eastAsia"/>
          <w:color w:val="000000" w:themeColor="text1"/>
          <w:szCs w:val="32"/>
        </w:rPr>
        <w:t>該府地政局</w:t>
      </w:r>
      <w:proofErr w:type="gramEnd"/>
      <w:r w:rsidR="00D11BEE" w:rsidRPr="009B5374">
        <w:rPr>
          <w:rFonts w:hAnsi="標楷體" w:hint="eastAsia"/>
          <w:color w:val="000000" w:themeColor="text1"/>
          <w:szCs w:val="32"/>
        </w:rPr>
        <w:t>於</w:t>
      </w:r>
      <w:proofErr w:type="gramStart"/>
      <w:r w:rsidR="00D11BEE" w:rsidRPr="009B5374">
        <w:rPr>
          <w:rFonts w:hAnsi="標楷體" w:hint="eastAsia"/>
          <w:color w:val="000000" w:themeColor="text1"/>
          <w:szCs w:val="32"/>
        </w:rPr>
        <w:t>105年</w:t>
      </w:r>
      <w:r w:rsidR="00D11BEE" w:rsidRPr="009B5374">
        <w:rPr>
          <w:rFonts w:hAnsi="標楷體"/>
          <w:color w:val="000000" w:themeColor="text1"/>
          <w:szCs w:val="32"/>
        </w:rPr>
        <w:t>12</w:t>
      </w:r>
      <w:r w:rsidR="00D11BEE" w:rsidRPr="00DA0E43">
        <w:rPr>
          <w:rFonts w:hAnsi="標楷體" w:hint="eastAsia"/>
          <w:color w:val="000000" w:themeColor="text1"/>
          <w:szCs w:val="32"/>
        </w:rPr>
        <w:t>月間簽奉</w:t>
      </w:r>
      <w:proofErr w:type="gramEnd"/>
      <w:r w:rsidR="00D11BEE" w:rsidRPr="00DA0E43">
        <w:rPr>
          <w:rFonts w:hAnsi="標楷體" w:hint="eastAsia"/>
          <w:color w:val="000000" w:themeColor="text1"/>
          <w:szCs w:val="32"/>
        </w:rPr>
        <w:t>核准本案之後續突破方向之一為</w:t>
      </w:r>
      <w:r w:rsidR="00D11BEE" w:rsidRPr="00DA0E43">
        <w:rPr>
          <w:rFonts w:ascii="新細明體" w:eastAsia="新細明體" w:hAnsi="新細明體" w:hint="eastAsia"/>
          <w:color w:val="000000" w:themeColor="text1"/>
          <w:szCs w:val="32"/>
        </w:rPr>
        <w:t>：</w:t>
      </w:r>
      <w:r w:rsidR="00D11BEE" w:rsidRPr="00DA0E43">
        <w:rPr>
          <w:rFonts w:hAnsi="標楷體" w:hint="eastAsia"/>
          <w:color w:val="000000" w:themeColor="text1"/>
          <w:szCs w:val="32"/>
        </w:rPr>
        <w:t>「本案係屬自辦市地重劃，建議重劃會以抵費地或其他土地重新協調分配或交換，將污水處理廠配置於平均坡度未逾</w:t>
      </w:r>
      <w:r w:rsidR="00D11BEE" w:rsidRPr="00DA0E43">
        <w:rPr>
          <w:rFonts w:hAnsi="標楷體"/>
          <w:color w:val="000000" w:themeColor="text1"/>
          <w:szCs w:val="32"/>
        </w:rPr>
        <w:t>30</w:t>
      </w:r>
      <w:r w:rsidR="00D11BEE" w:rsidRPr="00DA0E43">
        <w:rPr>
          <w:rFonts w:hAnsi="標楷體" w:hint="eastAsia"/>
          <w:color w:val="000000" w:themeColor="text1"/>
          <w:szCs w:val="32"/>
        </w:rPr>
        <w:t>%之土地，並依相關規定辦理環境影響評估及都市計畫變更」。</w:t>
      </w:r>
      <w:r w:rsidRPr="00D11BEE">
        <w:rPr>
          <w:rFonts w:hint="eastAsia"/>
          <w:color w:val="000000" w:themeColor="text1"/>
        </w:rPr>
        <w:t>106年11月間</w:t>
      </w:r>
      <w:r w:rsidRPr="00DA0E43">
        <w:rPr>
          <w:rFonts w:hint="eastAsia"/>
          <w:color w:val="000000" w:themeColor="text1"/>
        </w:rPr>
        <w:t>重劃會提送修正後污水管線工程設計圖說、工程預算及施工規範等送臺北市衛工處審查，</w:t>
      </w:r>
      <w:r w:rsidR="00D11BEE">
        <w:rPr>
          <w:rFonts w:hint="eastAsia"/>
          <w:color w:val="000000" w:themeColor="text1"/>
        </w:rPr>
        <w:t>該府</w:t>
      </w:r>
      <w:proofErr w:type="gramStart"/>
      <w:r w:rsidRPr="00DA0E43">
        <w:rPr>
          <w:rFonts w:hint="eastAsia"/>
          <w:color w:val="000000" w:themeColor="text1"/>
        </w:rPr>
        <w:t>鑑</w:t>
      </w:r>
      <w:proofErr w:type="gramEnd"/>
      <w:r w:rsidRPr="00DA0E43">
        <w:rPr>
          <w:rFonts w:hint="eastAsia"/>
          <w:color w:val="000000" w:themeColor="text1"/>
        </w:rPr>
        <w:t>於污水管線配設涉及下游污水處理廠位置，而污水處理廠位置尚未明確，故所提送污水管</w:t>
      </w:r>
      <w:r w:rsidRPr="00DA0E43">
        <w:rPr>
          <w:rFonts w:hint="eastAsia"/>
          <w:color w:val="000000" w:themeColor="text1"/>
        </w:rPr>
        <w:lastRenderedPageBreak/>
        <w:t>線設計資料暫無法審查。</w:t>
      </w:r>
      <w:bookmarkEnd w:id="349"/>
      <w:bookmarkEnd w:id="350"/>
      <w:bookmarkEnd w:id="351"/>
    </w:p>
    <w:p w:rsidR="00985984" w:rsidRPr="00DA0E43" w:rsidRDefault="00985984" w:rsidP="00985984">
      <w:pPr>
        <w:pStyle w:val="3"/>
      </w:pPr>
      <w:bookmarkStart w:id="352" w:name="_Toc18513736"/>
      <w:bookmarkStart w:id="353" w:name="_Toc18594827"/>
      <w:bookmarkStart w:id="354" w:name="_Toc18675809"/>
      <w:r w:rsidRPr="00DA0E43">
        <w:rPr>
          <w:rFonts w:hAnsi="標楷體" w:hint="eastAsia"/>
          <w:color w:val="000000" w:themeColor="text1"/>
          <w:szCs w:val="32"/>
        </w:rPr>
        <w:t>臺北市政府於108年2月15日本院詢問時提出書面說明略</w:t>
      </w:r>
      <w:proofErr w:type="gramStart"/>
      <w:r w:rsidRPr="00DA0E43">
        <w:rPr>
          <w:rFonts w:hAnsi="標楷體" w:hint="eastAsia"/>
          <w:color w:val="000000" w:themeColor="text1"/>
          <w:szCs w:val="32"/>
        </w:rPr>
        <w:t>以</w:t>
      </w:r>
      <w:proofErr w:type="gramEnd"/>
      <w:r w:rsidRPr="00DA0E43">
        <w:rPr>
          <w:rFonts w:hAnsi="標楷體" w:hint="eastAsia"/>
          <w:color w:val="000000" w:themeColor="text1"/>
          <w:szCs w:val="32"/>
        </w:rPr>
        <w:t>，</w:t>
      </w:r>
      <w:proofErr w:type="gramStart"/>
      <w:r w:rsidRPr="00DA0E43">
        <w:rPr>
          <w:rFonts w:hAnsi="標楷體" w:hint="eastAsia"/>
          <w:color w:val="000000" w:themeColor="text1"/>
          <w:szCs w:val="32"/>
        </w:rPr>
        <w:t>鑑</w:t>
      </w:r>
      <w:proofErr w:type="gramEnd"/>
      <w:r w:rsidRPr="00DA0E43">
        <w:rPr>
          <w:rFonts w:hAnsi="標楷體" w:hint="eastAsia"/>
          <w:color w:val="000000" w:themeColor="text1"/>
          <w:szCs w:val="32"/>
        </w:rPr>
        <w:t>於86年間新北市發生林肯大郡重大山坡地災害後，該府即重視山坡地安全管理，故於88年修訂公告</w:t>
      </w:r>
      <w:r w:rsidRPr="007307D1">
        <w:rPr>
          <w:rFonts w:hAnsi="標楷體" w:hint="eastAsia"/>
          <w:color w:val="000000" w:themeColor="text1"/>
          <w:szCs w:val="32"/>
        </w:rPr>
        <w:t>山開要點</w:t>
      </w:r>
      <w:r w:rsidRPr="00DA0E43">
        <w:rPr>
          <w:rFonts w:hAnsi="標楷體" w:hint="eastAsia"/>
          <w:color w:val="000000" w:themeColor="text1"/>
          <w:szCs w:val="32"/>
        </w:rPr>
        <w:t>，後因88年921地震及89年納</w:t>
      </w:r>
      <w:proofErr w:type="gramStart"/>
      <w:r w:rsidRPr="00DA0E43">
        <w:rPr>
          <w:rFonts w:hAnsi="標楷體" w:hint="eastAsia"/>
          <w:color w:val="000000" w:themeColor="text1"/>
          <w:szCs w:val="32"/>
        </w:rPr>
        <w:t>莉</w:t>
      </w:r>
      <w:proofErr w:type="gramEnd"/>
      <w:r w:rsidRPr="00DA0E43">
        <w:rPr>
          <w:rFonts w:hAnsi="標楷體" w:hint="eastAsia"/>
          <w:color w:val="000000" w:themeColor="text1"/>
          <w:szCs w:val="32"/>
        </w:rPr>
        <w:t>風災造成該市山坡地災害，故皆已加強山坡地安全管理及採取嚴格審查方式。</w:t>
      </w:r>
      <w:proofErr w:type="gramStart"/>
      <w:r w:rsidRPr="00DA0E43">
        <w:rPr>
          <w:rFonts w:hAnsi="標楷體" w:hint="eastAsia"/>
          <w:color w:val="000000" w:themeColor="text1"/>
          <w:szCs w:val="32"/>
        </w:rPr>
        <w:t>嗣</w:t>
      </w:r>
      <w:proofErr w:type="gramEnd"/>
      <w:r w:rsidRPr="00DA0E43">
        <w:rPr>
          <w:rFonts w:hAnsi="標楷體" w:hint="eastAsia"/>
          <w:color w:val="000000" w:themeColor="text1"/>
          <w:szCs w:val="32"/>
        </w:rPr>
        <w:t>該</w:t>
      </w:r>
      <w:r w:rsidRPr="00DA0E43">
        <w:rPr>
          <w:rFonts w:hint="eastAsia"/>
          <w:color w:val="000000" w:themeColor="text1"/>
        </w:rPr>
        <w:t>府再提出補充書面資料，說明該府前於90年至95年間已數度召開會議及函示，</w:t>
      </w:r>
      <w:r w:rsidRPr="009B5374">
        <w:rPr>
          <w:rFonts w:hint="eastAsia"/>
          <w:color w:val="000000" w:themeColor="text1"/>
        </w:rPr>
        <w:t>澄清本案重劃區</w:t>
      </w:r>
      <w:r w:rsidR="000A3C6F" w:rsidRPr="009B5374">
        <w:rPr>
          <w:rFonts w:hint="eastAsia"/>
          <w:color w:val="000000" w:themeColor="text1"/>
        </w:rPr>
        <w:t>開發</w:t>
      </w:r>
      <w:r w:rsidR="002A2373" w:rsidRPr="009B5374">
        <w:rPr>
          <w:rFonts w:hint="eastAsia"/>
          <w:color w:val="000000" w:themeColor="text1"/>
        </w:rPr>
        <w:t>範圍</w:t>
      </w:r>
      <w:r w:rsidR="000A3C6F" w:rsidRPr="009B5374">
        <w:rPr>
          <w:rFonts w:hint="eastAsia"/>
          <w:color w:val="000000" w:themeColor="text1"/>
        </w:rPr>
        <w:t>之坡度限制，</w:t>
      </w:r>
      <w:r w:rsidR="004438AB" w:rsidRPr="009B5374">
        <w:rPr>
          <w:rFonts w:hint="eastAsia"/>
          <w:color w:val="000000" w:themeColor="text1"/>
        </w:rPr>
        <w:t>並</w:t>
      </w:r>
      <w:r w:rsidRPr="009B5374">
        <w:rPr>
          <w:rFonts w:hint="eastAsia"/>
          <w:color w:val="000000" w:themeColor="text1"/>
        </w:rPr>
        <w:t>不適用</w:t>
      </w:r>
      <w:r w:rsidRPr="009B5374">
        <w:rPr>
          <w:rFonts w:hAnsi="標楷體" w:hint="eastAsia"/>
          <w:color w:val="000000" w:themeColor="text1"/>
          <w:szCs w:val="32"/>
        </w:rPr>
        <w:t>88年修訂公告山開要點</w:t>
      </w:r>
      <w:r w:rsidR="00653839" w:rsidRPr="009B5374">
        <w:rPr>
          <w:rFonts w:hAnsi="標楷體" w:hint="eastAsia"/>
          <w:color w:val="000000" w:themeColor="text1"/>
          <w:szCs w:val="32"/>
        </w:rPr>
        <w:t>，</w:t>
      </w:r>
      <w:r w:rsidRPr="00DA0E43">
        <w:rPr>
          <w:rFonts w:hAnsi="標楷體" w:hint="eastAsia"/>
          <w:color w:val="000000" w:themeColor="text1"/>
          <w:szCs w:val="32"/>
        </w:rPr>
        <w:t>包括：1.</w:t>
      </w:r>
      <w:r w:rsidRPr="00DA0E43">
        <w:rPr>
          <w:rFonts w:hint="eastAsia"/>
          <w:color w:val="000000" w:themeColor="text1"/>
        </w:rPr>
        <w:t>90年6月11日召開「</w:t>
      </w:r>
      <w:proofErr w:type="gramStart"/>
      <w:r w:rsidRPr="00DA0E43">
        <w:rPr>
          <w:rFonts w:hint="eastAsia"/>
          <w:color w:val="000000" w:themeColor="text1"/>
        </w:rPr>
        <w:t>研</w:t>
      </w:r>
      <w:proofErr w:type="gramEnd"/>
      <w:r w:rsidRPr="00DA0E43">
        <w:rPr>
          <w:rFonts w:hint="eastAsia"/>
          <w:color w:val="000000" w:themeColor="text1"/>
        </w:rPr>
        <w:t>商士林區保變住（編號六之六）自辦市地重劃區開發檢討會」，結論3.略</w:t>
      </w:r>
      <w:proofErr w:type="gramStart"/>
      <w:r w:rsidRPr="00DA0E43">
        <w:rPr>
          <w:rFonts w:hint="eastAsia"/>
          <w:color w:val="000000" w:themeColor="text1"/>
        </w:rPr>
        <w:t>以</w:t>
      </w:r>
      <w:proofErr w:type="gramEnd"/>
      <w:r w:rsidRPr="00DA0E43">
        <w:rPr>
          <w:rFonts w:hint="eastAsia"/>
          <w:color w:val="000000" w:themeColor="text1"/>
        </w:rPr>
        <w:t>：「有關坡度超過30</w:t>
      </w:r>
      <w:r w:rsidRPr="00DA0E43">
        <w:rPr>
          <w:rFonts w:hAnsi="標楷體" w:hint="eastAsia"/>
          <w:color w:val="000000" w:themeColor="text1"/>
          <w:szCs w:val="32"/>
        </w:rPr>
        <w:t>%部分，於都市計畫及環評審議</w:t>
      </w:r>
      <w:proofErr w:type="gramStart"/>
      <w:r w:rsidRPr="00DA0E43">
        <w:rPr>
          <w:rFonts w:hAnsi="標楷體" w:hint="eastAsia"/>
          <w:color w:val="000000" w:themeColor="text1"/>
          <w:szCs w:val="32"/>
        </w:rPr>
        <w:t>階段均有討論</w:t>
      </w:r>
      <w:proofErr w:type="gramEnd"/>
      <w:r w:rsidRPr="00DA0E43">
        <w:rPr>
          <w:rFonts w:hAnsi="標楷體" w:hint="eastAsia"/>
          <w:color w:val="000000" w:themeColor="text1"/>
          <w:szCs w:val="32"/>
        </w:rPr>
        <w:t>，</w:t>
      </w:r>
      <w:r w:rsidRPr="009B5374">
        <w:rPr>
          <w:rFonts w:hAnsi="標楷體" w:hint="eastAsia"/>
          <w:color w:val="000000" w:themeColor="text1"/>
          <w:szCs w:val="32"/>
        </w:rPr>
        <w:t>另說明住六之六並不適用</w:t>
      </w:r>
      <w:r w:rsidR="000B1F66" w:rsidRPr="009B5374">
        <w:rPr>
          <w:rFonts w:hAnsi="標楷體" w:hint="eastAsia"/>
          <w:color w:val="000000" w:themeColor="text1"/>
          <w:szCs w:val="32"/>
        </w:rPr>
        <w:t>山開要點</w:t>
      </w:r>
      <w:r w:rsidRPr="009B5374">
        <w:rPr>
          <w:rFonts w:hAnsi="標楷體" w:hint="eastAsia"/>
          <w:color w:val="000000" w:themeColor="text1"/>
          <w:szCs w:val="32"/>
        </w:rPr>
        <w:t>（88年6月公告）第4條規定。2.該</w:t>
      </w:r>
      <w:r w:rsidRPr="009B5374">
        <w:rPr>
          <w:rFonts w:hint="eastAsia"/>
          <w:color w:val="000000" w:themeColor="text1"/>
        </w:rPr>
        <w:t>府</w:t>
      </w:r>
      <w:r w:rsidRPr="009B5374">
        <w:rPr>
          <w:rFonts w:hAnsi="標楷體" w:hint="eastAsia"/>
          <w:color w:val="000000" w:themeColor="text1"/>
          <w:szCs w:val="32"/>
        </w:rPr>
        <w:t>以90年7月12日府都二字第9007116600號函復</w:t>
      </w:r>
      <w:r w:rsidR="00884C96">
        <w:rPr>
          <w:rFonts w:hAnsi="標楷體" w:hint="eastAsia"/>
          <w:color w:val="000000" w:themeColor="text1"/>
          <w:szCs w:val="32"/>
        </w:rPr>
        <w:t>臺</w:t>
      </w:r>
      <w:r w:rsidRPr="009B5374">
        <w:rPr>
          <w:rFonts w:hAnsi="標楷體" w:hint="eastAsia"/>
          <w:color w:val="000000" w:themeColor="text1"/>
          <w:szCs w:val="32"/>
        </w:rPr>
        <w:t>北市議會第8屆第5次定期大會工務委員會結論四：「陽明山保變住六之六重劃區未申請雜項執照即進行整地，且坡度有超過百分之三十以上，是否應重新檢討修正，請市府都市發展局會同環境保護局等相關單位立即檢討。」一案。回應內容表示，因本案重劃區於實施山開要點前已依規定完成細部計畫、環境影響評估、水土保持計畫等相關計畫並經核准實施，因此並不適用</w:t>
      </w:r>
      <w:r w:rsidR="00654D05" w:rsidRPr="009B5374">
        <w:rPr>
          <w:rFonts w:hAnsi="標楷體" w:hint="eastAsia"/>
          <w:color w:val="000000" w:themeColor="text1"/>
          <w:szCs w:val="32"/>
        </w:rPr>
        <w:t>前揭</w:t>
      </w:r>
      <w:r w:rsidRPr="009B5374">
        <w:rPr>
          <w:rFonts w:hAnsi="標楷體" w:hint="eastAsia"/>
          <w:color w:val="000000" w:themeColor="text1"/>
          <w:szCs w:val="32"/>
        </w:rPr>
        <w:t>88年6月公告</w:t>
      </w:r>
      <w:r w:rsidR="000B1F66" w:rsidRPr="009B5374">
        <w:rPr>
          <w:rFonts w:hAnsi="標楷體" w:hint="eastAsia"/>
          <w:color w:val="000000" w:themeColor="text1"/>
          <w:szCs w:val="32"/>
        </w:rPr>
        <w:t>山開要點</w:t>
      </w:r>
      <w:r w:rsidRPr="009B5374">
        <w:rPr>
          <w:rFonts w:hAnsi="標楷體" w:hint="eastAsia"/>
          <w:color w:val="000000" w:themeColor="text1"/>
          <w:szCs w:val="32"/>
        </w:rPr>
        <w:t>第4條。綜上可</w:t>
      </w:r>
      <w:proofErr w:type="gramStart"/>
      <w:r w:rsidRPr="009B5374">
        <w:rPr>
          <w:rFonts w:hAnsi="標楷體" w:hint="eastAsia"/>
          <w:color w:val="000000" w:themeColor="text1"/>
          <w:szCs w:val="32"/>
        </w:rPr>
        <w:t>徵</w:t>
      </w:r>
      <w:proofErr w:type="gramEnd"/>
      <w:r w:rsidRPr="009B5374">
        <w:rPr>
          <w:rFonts w:hAnsi="標楷體" w:hint="eastAsia"/>
          <w:color w:val="000000" w:themeColor="text1"/>
          <w:szCs w:val="32"/>
        </w:rPr>
        <w:t>，臺北市政府雖稱重視山坡地安全管理，然又認本案重劃區污水處理廠預定地坡度限制並不適用</w:t>
      </w:r>
      <w:proofErr w:type="gramStart"/>
      <w:r w:rsidRPr="009B5374">
        <w:rPr>
          <w:rFonts w:hAnsi="標楷體" w:hint="eastAsia"/>
          <w:color w:val="000000" w:themeColor="text1"/>
          <w:szCs w:val="32"/>
        </w:rPr>
        <w:t>前揭</w:t>
      </w:r>
      <w:r w:rsidR="00931F87" w:rsidRPr="009B5374">
        <w:rPr>
          <w:rFonts w:hAnsi="標楷體" w:hint="eastAsia"/>
          <w:color w:val="000000" w:themeColor="text1"/>
          <w:szCs w:val="32"/>
        </w:rPr>
        <w:t>山開</w:t>
      </w:r>
      <w:proofErr w:type="gramEnd"/>
      <w:r w:rsidR="00931F87" w:rsidRPr="009B5374">
        <w:rPr>
          <w:rFonts w:hAnsi="標楷體" w:hint="eastAsia"/>
          <w:color w:val="000000" w:themeColor="text1"/>
          <w:szCs w:val="32"/>
        </w:rPr>
        <w:t>要點</w:t>
      </w:r>
      <w:r w:rsidRPr="009B5374">
        <w:rPr>
          <w:rFonts w:hAnsi="標楷體" w:hint="eastAsia"/>
          <w:color w:val="000000" w:themeColor="text1"/>
          <w:szCs w:val="32"/>
        </w:rPr>
        <w:t>，認事用法即有不一。</w:t>
      </w:r>
      <w:bookmarkEnd w:id="352"/>
      <w:bookmarkEnd w:id="353"/>
      <w:bookmarkEnd w:id="354"/>
    </w:p>
    <w:p w:rsidR="00985984" w:rsidRPr="00DA0E43" w:rsidRDefault="00985984" w:rsidP="00985984">
      <w:pPr>
        <w:pStyle w:val="3"/>
      </w:pPr>
      <w:bookmarkStart w:id="355" w:name="_Toc18513737"/>
      <w:bookmarkStart w:id="356" w:name="_Toc18594828"/>
      <w:bookmarkStart w:id="357" w:name="_Toc18675810"/>
      <w:r w:rsidRPr="00DA0E43">
        <w:rPr>
          <w:rFonts w:hint="eastAsia"/>
          <w:color w:val="000000" w:themeColor="text1"/>
        </w:rPr>
        <w:t>續查，臺北市政府衛工處於104年12月間同意備查本案污水處理廠設計書圖後，以105年1月30日北市</w:t>
      </w:r>
      <w:proofErr w:type="gramStart"/>
      <w:r w:rsidRPr="00DA0E43">
        <w:rPr>
          <w:rFonts w:hint="eastAsia"/>
          <w:color w:val="000000" w:themeColor="text1"/>
        </w:rPr>
        <w:t>工衛字</w:t>
      </w:r>
      <w:proofErr w:type="gramEnd"/>
      <w:r w:rsidRPr="00DA0E43">
        <w:rPr>
          <w:rFonts w:hint="eastAsia"/>
          <w:color w:val="000000" w:themeColor="text1"/>
        </w:rPr>
        <w:t>第10530363500號函檢具</w:t>
      </w:r>
      <w:r w:rsidRPr="00DA0E43">
        <w:rPr>
          <w:rFonts w:hAnsi="標楷體" w:hint="eastAsia"/>
          <w:color w:val="000000" w:themeColor="text1"/>
        </w:rPr>
        <w:t>檢具撥用不動產計畫</w:t>
      </w:r>
      <w:r w:rsidRPr="00DA0E43">
        <w:rPr>
          <w:rFonts w:hAnsi="標楷體" w:hint="eastAsia"/>
          <w:color w:val="000000" w:themeColor="text1"/>
        </w:rPr>
        <w:lastRenderedPageBreak/>
        <w:t>書一式2份，經該府地政處以</w:t>
      </w:r>
      <w:proofErr w:type="gramStart"/>
      <w:r w:rsidRPr="00DA0E43">
        <w:rPr>
          <w:rFonts w:hint="eastAsia"/>
          <w:color w:val="000000" w:themeColor="text1"/>
        </w:rPr>
        <w:t>105年2月3日府地用</w:t>
      </w:r>
      <w:proofErr w:type="gramEnd"/>
      <w:r w:rsidRPr="00DA0E43">
        <w:rPr>
          <w:rFonts w:hint="eastAsia"/>
          <w:color w:val="000000" w:themeColor="text1"/>
        </w:rPr>
        <w:t>字第10530262400號函轉財政部國有財產署，主旨為：「本府工務局衛生下水道工程處為興建</w:t>
      </w:r>
      <w:r w:rsidRPr="00DA0E43">
        <w:rPr>
          <w:rFonts w:hAnsi="標楷體" w:hint="eastAsia"/>
          <w:color w:val="000000" w:themeColor="text1"/>
        </w:rPr>
        <w:t>『</w:t>
      </w:r>
      <w:r w:rsidRPr="00DA0E43">
        <w:rPr>
          <w:rFonts w:hint="eastAsia"/>
          <w:color w:val="000000" w:themeColor="text1"/>
        </w:rPr>
        <w:t>臺北市士林區保變住</w:t>
      </w:r>
      <w:r w:rsidRPr="00DA0E43">
        <w:rPr>
          <w:rFonts w:hAnsi="標楷體" w:hint="eastAsia"/>
          <w:color w:val="000000" w:themeColor="text1"/>
        </w:rPr>
        <w:t>6-6自辦市地重劃區』污水處理廠使用，需用本</w:t>
      </w:r>
      <w:r w:rsidR="00AF319E">
        <w:rPr>
          <w:rFonts w:hAnsi="標楷體" w:hint="eastAsia"/>
          <w:color w:val="000000" w:themeColor="text1"/>
        </w:rPr>
        <w:t>市</w:t>
      </w:r>
      <w:r w:rsidRPr="00DA0E43">
        <w:rPr>
          <w:rFonts w:hAnsi="標楷體" w:hint="eastAsia"/>
          <w:color w:val="000000" w:themeColor="text1"/>
        </w:rPr>
        <w:t>士林區新安段六小段41地號國有土地，面積2,700.19平方公尺，</w:t>
      </w:r>
      <w:proofErr w:type="gramStart"/>
      <w:r w:rsidRPr="00DA0E43">
        <w:rPr>
          <w:rFonts w:hAnsi="標楷體" w:hint="eastAsia"/>
          <w:color w:val="000000" w:themeColor="text1"/>
        </w:rPr>
        <w:t>茲檢具</w:t>
      </w:r>
      <w:proofErr w:type="gramEnd"/>
      <w:r w:rsidRPr="00DA0E43">
        <w:rPr>
          <w:rFonts w:hAnsi="標楷體" w:hint="eastAsia"/>
          <w:color w:val="000000" w:themeColor="text1"/>
        </w:rPr>
        <w:t>撥用不動產計畫書一式2份，敬請層轉行政院准予無償撥用。」</w:t>
      </w:r>
      <w:proofErr w:type="gramStart"/>
      <w:r w:rsidRPr="00DA0E43">
        <w:rPr>
          <w:rFonts w:hAnsi="標楷體" w:hint="eastAsia"/>
          <w:color w:val="000000" w:themeColor="text1"/>
        </w:rPr>
        <w:t>嗣</w:t>
      </w:r>
      <w:proofErr w:type="gramEnd"/>
      <w:r w:rsidRPr="00DA0E43">
        <w:rPr>
          <w:rFonts w:hAnsi="標楷體" w:hint="eastAsia"/>
          <w:color w:val="000000" w:themeColor="text1"/>
        </w:rPr>
        <w:t>行政院以105年3月1日</w:t>
      </w:r>
      <w:proofErr w:type="gramStart"/>
      <w:r w:rsidRPr="00DA0E43">
        <w:rPr>
          <w:rFonts w:hAnsi="標楷體" w:hint="eastAsia"/>
          <w:color w:val="000000" w:themeColor="text1"/>
        </w:rPr>
        <w:t>院授財產公字</w:t>
      </w:r>
      <w:proofErr w:type="gramEnd"/>
      <w:r w:rsidRPr="00DA0E43">
        <w:rPr>
          <w:rFonts w:hAnsi="標楷體" w:hint="eastAsia"/>
          <w:color w:val="000000" w:themeColor="text1"/>
        </w:rPr>
        <w:t>第10500054900號函復臺北市政府：「貴府工務局衛生下水道工程處為興建污水處理廠用地需要，申請無償</w:t>
      </w:r>
      <w:proofErr w:type="gramStart"/>
      <w:r w:rsidRPr="00DA0E43">
        <w:rPr>
          <w:rFonts w:hAnsi="標楷體" w:hint="eastAsia"/>
          <w:color w:val="000000" w:themeColor="text1"/>
        </w:rPr>
        <w:t>撥用貴市新安</w:t>
      </w:r>
      <w:proofErr w:type="gramEnd"/>
      <w:r w:rsidRPr="00DA0E43">
        <w:rPr>
          <w:rFonts w:hAnsi="標楷體" w:hint="eastAsia"/>
          <w:color w:val="000000" w:themeColor="text1"/>
        </w:rPr>
        <w:t>段六小段41地號國有土地，面積2,700.19平方公尺乙案，准予辦理。」即核准污水處理廠設計書圖後再辦理土地撥用，顯未慮及</w:t>
      </w:r>
      <w:proofErr w:type="gramStart"/>
      <w:r w:rsidRPr="00DA0E43">
        <w:rPr>
          <w:rFonts w:hAnsi="標楷體" w:hint="eastAsia"/>
          <w:color w:val="000000" w:themeColor="text1"/>
        </w:rPr>
        <w:t>前揭該府</w:t>
      </w:r>
      <w:proofErr w:type="gramEnd"/>
      <w:r w:rsidRPr="00DA0E43">
        <w:rPr>
          <w:rFonts w:hint="eastAsia"/>
          <w:color w:val="000000" w:themeColor="text1"/>
          <w:szCs w:val="32"/>
        </w:rPr>
        <w:t>88年公告之</w:t>
      </w:r>
      <w:r w:rsidRPr="004438AB">
        <w:rPr>
          <w:rFonts w:hAnsi="標楷體" w:hint="eastAsia"/>
          <w:color w:val="000000" w:themeColor="text1"/>
        </w:rPr>
        <w:t>山開要點</w:t>
      </w:r>
      <w:r w:rsidRPr="00DA0E43">
        <w:rPr>
          <w:rFonts w:hint="eastAsia"/>
          <w:color w:val="000000" w:themeColor="text1"/>
          <w:szCs w:val="32"/>
        </w:rPr>
        <w:t>相關規定及該府95年間第51次環評會議決議事項。</w:t>
      </w:r>
      <w:bookmarkEnd w:id="355"/>
      <w:bookmarkEnd w:id="356"/>
      <w:bookmarkEnd w:id="357"/>
    </w:p>
    <w:p w:rsidR="00D11BEE" w:rsidRPr="00337D33" w:rsidRDefault="00985984" w:rsidP="00337D33">
      <w:pPr>
        <w:pStyle w:val="3"/>
        <w:widowControl/>
        <w:overflowPunct/>
        <w:autoSpaceDE/>
        <w:autoSpaceDN/>
        <w:jc w:val="left"/>
        <w:rPr>
          <w:b/>
          <w:color w:val="000000" w:themeColor="text1"/>
          <w:szCs w:val="48"/>
        </w:rPr>
      </w:pPr>
      <w:bookmarkStart w:id="358" w:name="_Toc18513738"/>
      <w:bookmarkStart w:id="359" w:name="_Toc18594829"/>
      <w:bookmarkStart w:id="360" w:name="_Toc18675811"/>
      <w:r w:rsidRPr="00337D33">
        <w:rPr>
          <w:rFonts w:hAnsi="標楷體" w:hint="eastAsia"/>
          <w:color w:val="000000" w:themeColor="text1"/>
          <w:szCs w:val="32"/>
        </w:rPr>
        <w:t>審諸上情，</w:t>
      </w:r>
      <w:r w:rsidRPr="00337D33">
        <w:rPr>
          <w:rFonts w:hAnsi="標楷體" w:hint="eastAsia"/>
          <w:color w:val="000000"/>
        </w:rPr>
        <w:t>依臺北市政府88年6月公告之</w:t>
      </w:r>
      <w:r w:rsidR="00931F87" w:rsidRPr="00337D33">
        <w:rPr>
          <w:rFonts w:hAnsi="標楷體" w:hint="eastAsia"/>
          <w:color w:val="000000"/>
        </w:rPr>
        <w:t>山開</w:t>
      </w:r>
      <w:r w:rsidRPr="00337D33">
        <w:rPr>
          <w:rFonts w:hAnsi="標楷體" w:hint="eastAsia"/>
          <w:color w:val="000000"/>
        </w:rPr>
        <w:t>要點第4條規定，開發區域內原自然地形平均坡度超過</w:t>
      </w:r>
      <w:r w:rsidRPr="00337D33">
        <w:rPr>
          <w:rFonts w:hAnsi="標楷體" w:hint="eastAsia"/>
          <w:color w:val="000000" w:themeColor="text1"/>
          <w:szCs w:val="32"/>
        </w:rPr>
        <w:t>30%</w:t>
      </w:r>
      <w:r w:rsidRPr="00337D33">
        <w:rPr>
          <w:rFonts w:hAnsi="標楷體" w:hint="eastAsia"/>
          <w:color w:val="000000"/>
        </w:rPr>
        <w:t>者，除水土保持必要設施外，</w:t>
      </w:r>
      <w:r w:rsidRPr="00337D33">
        <w:rPr>
          <w:rFonts w:hint="eastAsia"/>
          <w:color w:val="000000"/>
        </w:rPr>
        <w:t>不得作為建築使用。</w:t>
      </w:r>
      <w:r w:rsidRPr="00337D33">
        <w:rPr>
          <w:rFonts w:hAnsi="標楷體" w:hint="eastAsia"/>
          <w:color w:val="000000" w:themeColor="text1"/>
          <w:szCs w:val="32"/>
        </w:rPr>
        <w:t>而本案重劃區污水處理廠預定地有80%以上土地逾原自然地形平均坡度30%以上，應不得開發，惟臺北市政府於90年至95年多次</w:t>
      </w:r>
      <w:proofErr w:type="gramStart"/>
      <w:r w:rsidRPr="00337D33">
        <w:rPr>
          <w:rFonts w:hAnsi="標楷體" w:hint="eastAsia"/>
          <w:color w:val="000000" w:themeColor="text1"/>
          <w:szCs w:val="32"/>
        </w:rPr>
        <w:t>函釋本案</w:t>
      </w:r>
      <w:proofErr w:type="gramEnd"/>
      <w:r w:rsidRPr="00337D33">
        <w:rPr>
          <w:rFonts w:hAnsi="標楷體" w:hint="eastAsia"/>
          <w:color w:val="000000" w:themeColor="text1"/>
          <w:szCs w:val="32"/>
        </w:rPr>
        <w:t>重劃區可不適用前揭要點規定，及至</w:t>
      </w:r>
      <w:proofErr w:type="gramStart"/>
      <w:r w:rsidRPr="00337D33">
        <w:rPr>
          <w:rFonts w:hAnsi="標楷體" w:hint="eastAsia"/>
          <w:color w:val="000000" w:themeColor="text1"/>
          <w:szCs w:val="32"/>
        </w:rPr>
        <w:t>95年11月間該府第</w:t>
      </w:r>
      <w:proofErr w:type="gramEnd"/>
      <w:r w:rsidRPr="00337D33">
        <w:rPr>
          <w:rFonts w:hAnsi="標楷體" w:hint="eastAsia"/>
          <w:color w:val="000000" w:themeColor="text1"/>
          <w:szCs w:val="32"/>
        </w:rPr>
        <w:t>51次環境影響評估審查會議決議，應按原自然地形計算平均坡度，即確定本案重劃區污水處理廠因坡度限制不能</w:t>
      </w:r>
      <w:r w:rsidR="00AF319E" w:rsidRPr="00337D33">
        <w:rPr>
          <w:rFonts w:hAnsi="標楷體" w:hint="eastAsia"/>
          <w:color w:val="000000" w:themeColor="text1"/>
          <w:szCs w:val="32"/>
        </w:rPr>
        <w:t>於原址設置</w:t>
      </w:r>
      <w:r w:rsidRPr="00337D33">
        <w:rPr>
          <w:rFonts w:hAnsi="標楷體" w:hint="eastAsia"/>
          <w:color w:val="000000" w:themeColor="text1"/>
          <w:szCs w:val="32"/>
        </w:rPr>
        <w:t>，95年當時臺北市政府應已確知上情無誤，自應恪遵且依法行政。</w:t>
      </w:r>
      <w:proofErr w:type="gramStart"/>
      <w:r w:rsidRPr="00337D33">
        <w:rPr>
          <w:rFonts w:hAnsi="標楷體" w:hint="eastAsia"/>
          <w:color w:val="000000" w:themeColor="text1"/>
          <w:szCs w:val="32"/>
        </w:rPr>
        <w:t>然查臺北市</w:t>
      </w:r>
      <w:proofErr w:type="gramEnd"/>
      <w:r w:rsidRPr="00337D33">
        <w:rPr>
          <w:rFonts w:hAnsi="標楷體" w:hint="eastAsia"/>
          <w:color w:val="000000" w:themeColor="text1"/>
          <w:szCs w:val="32"/>
        </w:rPr>
        <w:t>政府於</w:t>
      </w:r>
      <w:proofErr w:type="gramStart"/>
      <w:r w:rsidRPr="00337D33">
        <w:rPr>
          <w:rFonts w:hAnsi="標楷體" w:hint="eastAsia"/>
          <w:color w:val="000000" w:themeColor="text1"/>
          <w:szCs w:val="32"/>
        </w:rPr>
        <w:t>104年12月間仍同意</w:t>
      </w:r>
      <w:proofErr w:type="gramEnd"/>
      <w:r w:rsidRPr="00337D33">
        <w:rPr>
          <w:rFonts w:hAnsi="標楷體" w:hint="eastAsia"/>
          <w:color w:val="000000" w:themeColor="text1"/>
          <w:szCs w:val="32"/>
        </w:rPr>
        <w:t>備查開發單位所提污水處理廠設計書圖、</w:t>
      </w:r>
      <w:proofErr w:type="gramStart"/>
      <w:r w:rsidRPr="00337D33">
        <w:rPr>
          <w:rFonts w:hAnsi="標楷體" w:hint="eastAsia"/>
          <w:color w:val="000000" w:themeColor="text1"/>
          <w:szCs w:val="32"/>
        </w:rPr>
        <w:t>105年2月間再辦理</w:t>
      </w:r>
      <w:proofErr w:type="gramEnd"/>
      <w:r w:rsidRPr="00337D33">
        <w:rPr>
          <w:rFonts w:hAnsi="標楷體" w:hint="eastAsia"/>
          <w:color w:val="000000" w:themeColor="text1"/>
          <w:szCs w:val="32"/>
        </w:rPr>
        <w:t>其用地撥用，105年3月經行政院核准用地無償撥用後，卻於同年</w:t>
      </w:r>
      <w:proofErr w:type="gramStart"/>
      <w:r w:rsidRPr="00337D33">
        <w:rPr>
          <w:rFonts w:hAnsi="標楷體" w:hint="eastAsia"/>
          <w:color w:val="000000" w:themeColor="text1"/>
          <w:szCs w:val="32"/>
        </w:rPr>
        <w:t>12月間又以</w:t>
      </w:r>
      <w:proofErr w:type="gramEnd"/>
      <w:r w:rsidRPr="00337D33">
        <w:rPr>
          <w:rFonts w:hAnsi="標楷體" w:hint="eastAsia"/>
          <w:color w:val="000000" w:themeColor="text1"/>
          <w:szCs w:val="32"/>
        </w:rPr>
        <w:t>污水處理廠用地坡度超過30%</w:t>
      </w:r>
      <w:r w:rsidR="00AF319E" w:rsidRPr="00337D33">
        <w:rPr>
          <w:rFonts w:hAnsi="標楷體" w:hint="eastAsia"/>
          <w:color w:val="7030A0"/>
          <w:szCs w:val="32"/>
        </w:rPr>
        <w:t>，</w:t>
      </w:r>
      <w:proofErr w:type="gramStart"/>
      <w:r w:rsidRPr="00337D33">
        <w:rPr>
          <w:rFonts w:hAnsi="標楷體" w:hint="eastAsia"/>
          <w:color w:val="000000" w:themeColor="text1"/>
          <w:szCs w:val="32"/>
        </w:rPr>
        <w:lastRenderedPageBreak/>
        <w:t>有違前揭</w:t>
      </w:r>
      <w:proofErr w:type="gramEnd"/>
      <w:r w:rsidRPr="00337D33">
        <w:rPr>
          <w:rFonts w:hAnsi="標楷體" w:hint="eastAsia"/>
          <w:color w:val="000000" w:themeColor="text1"/>
          <w:szCs w:val="32"/>
        </w:rPr>
        <w:t>要點為由，建議開發單位另覓平均坡度未逾</w:t>
      </w:r>
      <w:r w:rsidRPr="00337D33">
        <w:rPr>
          <w:rFonts w:hAnsi="標楷體"/>
          <w:color w:val="000000" w:themeColor="text1"/>
          <w:szCs w:val="32"/>
        </w:rPr>
        <w:t>30</w:t>
      </w:r>
      <w:r w:rsidRPr="00337D33">
        <w:rPr>
          <w:rFonts w:hAnsi="標楷體" w:hint="eastAsia"/>
          <w:color w:val="000000" w:themeColor="text1"/>
          <w:szCs w:val="32"/>
        </w:rPr>
        <w:t>%之土地設置污水處理廠等情，</w:t>
      </w:r>
      <w:proofErr w:type="gramStart"/>
      <w:r w:rsidRPr="00337D33">
        <w:rPr>
          <w:rFonts w:hAnsi="標楷體" w:hint="eastAsia"/>
          <w:color w:val="000000" w:themeColor="text1"/>
          <w:szCs w:val="32"/>
        </w:rPr>
        <w:t>凸</w:t>
      </w:r>
      <w:proofErr w:type="gramEnd"/>
      <w:r w:rsidRPr="00337D33">
        <w:rPr>
          <w:rFonts w:hAnsi="標楷體" w:hint="eastAsia"/>
          <w:color w:val="000000" w:themeColor="text1"/>
          <w:szCs w:val="32"/>
        </w:rPr>
        <w:t>顯</w:t>
      </w:r>
      <w:proofErr w:type="gramStart"/>
      <w:r w:rsidRPr="00337D33">
        <w:rPr>
          <w:rFonts w:hAnsi="標楷體" w:hint="eastAsia"/>
          <w:color w:val="000000" w:themeColor="text1"/>
          <w:szCs w:val="32"/>
        </w:rPr>
        <w:t>該府認事</w:t>
      </w:r>
      <w:proofErr w:type="gramEnd"/>
      <w:r w:rsidRPr="00337D33">
        <w:rPr>
          <w:rFonts w:hAnsi="標楷體" w:hint="eastAsia"/>
          <w:color w:val="000000" w:themeColor="text1"/>
          <w:szCs w:val="32"/>
        </w:rPr>
        <w:t>用法</w:t>
      </w:r>
      <w:r w:rsidR="000B1F66" w:rsidRPr="00337D33">
        <w:rPr>
          <w:rFonts w:hAnsi="標楷體" w:hint="eastAsia"/>
          <w:color w:val="000000" w:themeColor="text1"/>
          <w:szCs w:val="32"/>
        </w:rPr>
        <w:t>不一，且</w:t>
      </w:r>
      <w:r w:rsidRPr="00337D33">
        <w:rPr>
          <w:rFonts w:hAnsi="標楷體" w:hint="eastAsia"/>
          <w:color w:val="000000" w:themeColor="text1"/>
          <w:szCs w:val="32"/>
        </w:rPr>
        <w:t>相關</w:t>
      </w:r>
      <w:r w:rsidR="006C1FC1" w:rsidRPr="00337D33">
        <w:rPr>
          <w:rFonts w:hAnsi="標楷體" w:hint="eastAsia"/>
          <w:color w:val="000000" w:themeColor="text1"/>
          <w:szCs w:val="32"/>
        </w:rPr>
        <w:t>審核單位缺乏橫</w:t>
      </w:r>
      <w:r w:rsidR="00AF319E" w:rsidRPr="00337D33">
        <w:rPr>
          <w:rFonts w:hAnsi="標楷體" w:hint="eastAsia"/>
          <w:color w:val="000000" w:themeColor="text1"/>
          <w:szCs w:val="32"/>
        </w:rPr>
        <w:t>向</w:t>
      </w:r>
      <w:r w:rsidR="006C1FC1" w:rsidRPr="00337D33">
        <w:rPr>
          <w:rFonts w:hAnsi="標楷體" w:hint="eastAsia"/>
          <w:color w:val="000000" w:themeColor="text1"/>
          <w:szCs w:val="32"/>
        </w:rPr>
        <w:t>聯繫及統籌機制</w:t>
      </w:r>
      <w:r w:rsidRPr="00337D33">
        <w:rPr>
          <w:rFonts w:hAnsi="標楷體" w:hint="eastAsia"/>
          <w:color w:val="000000" w:themeColor="text1"/>
          <w:szCs w:val="32"/>
        </w:rPr>
        <w:t>，</w:t>
      </w:r>
      <w:r w:rsidR="006C1FC1" w:rsidRPr="00337D33">
        <w:rPr>
          <w:rFonts w:hAnsi="標楷體" w:hint="eastAsia"/>
          <w:color w:val="000000" w:themeColor="text1"/>
          <w:szCs w:val="32"/>
        </w:rPr>
        <w:t>各自依本位立場施政，多有擾民之情事，</w:t>
      </w:r>
      <w:r w:rsidR="0068100A" w:rsidRPr="00337D33">
        <w:rPr>
          <w:rFonts w:hAnsi="標楷體" w:hint="eastAsia"/>
          <w:color w:val="000000" w:themeColor="text1"/>
          <w:szCs w:val="32"/>
        </w:rPr>
        <w:t>亦</w:t>
      </w:r>
      <w:r w:rsidRPr="00337D33">
        <w:rPr>
          <w:rFonts w:hAnsi="標楷體" w:hint="eastAsia"/>
          <w:color w:val="000000" w:themeColor="text1"/>
          <w:szCs w:val="32"/>
        </w:rPr>
        <w:t>未妥</w:t>
      </w:r>
      <w:proofErr w:type="gramStart"/>
      <w:r w:rsidRPr="00337D33">
        <w:rPr>
          <w:rFonts w:hAnsi="標楷體" w:hint="eastAsia"/>
          <w:color w:val="000000" w:themeColor="text1"/>
          <w:szCs w:val="32"/>
        </w:rPr>
        <w:t>予考</w:t>
      </w:r>
      <w:proofErr w:type="gramEnd"/>
      <w:r w:rsidRPr="00337D33">
        <w:rPr>
          <w:rFonts w:hAnsi="標楷體" w:hint="eastAsia"/>
          <w:color w:val="000000" w:themeColor="text1"/>
          <w:szCs w:val="32"/>
        </w:rPr>
        <w:t>量法定坡度限制及興建可行性，致污水處理廠自94年規劃迄今終仍無法興建，徒然耗費行政人力、資源及造成開發單位財務支出，</w:t>
      </w:r>
      <w:r w:rsidRPr="00337D33">
        <w:rPr>
          <w:rFonts w:hint="eastAsia"/>
          <w:color w:val="000000" w:themeColor="text1"/>
        </w:rPr>
        <w:t>重劃區內地主亦有政府政策反覆，</w:t>
      </w:r>
      <w:r w:rsidRPr="00337D33">
        <w:rPr>
          <w:rFonts w:hAnsi="標楷體" w:hint="eastAsia"/>
          <w:color w:val="000000" w:themeColor="text1"/>
        </w:rPr>
        <w:t>造成重劃案擱置迄今無法完成，</w:t>
      </w:r>
      <w:r w:rsidRPr="00337D33">
        <w:rPr>
          <w:rFonts w:hint="eastAsia"/>
          <w:color w:val="000000" w:themeColor="text1"/>
        </w:rPr>
        <w:t>影響其權益之訴，</w:t>
      </w:r>
      <w:r w:rsidR="00AF319E" w:rsidRPr="00337D33">
        <w:rPr>
          <w:rFonts w:hint="eastAsia"/>
          <w:color w:val="000000" w:themeColor="text1"/>
        </w:rPr>
        <w:t>徒生</w:t>
      </w:r>
      <w:r w:rsidRPr="00337D33">
        <w:rPr>
          <w:rFonts w:hint="eastAsia"/>
          <w:color w:val="000000" w:themeColor="text1"/>
        </w:rPr>
        <w:t>爭端，</w:t>
      </w:r>
      <w:proofErr w:type="gramStart"/>
      <w:r w:rsidRPr="00337D33">
        <w:rPr>
          <w:rFonts w:hAnsi="標楷體" w:hint="eastAsia"/>
          <w:color w:val="000000" w:themeColor="text1"/>
          <w:szCs w:val="32"/>
        </w:rPr>
        <w:t>洵</w:t>
      </w:r>
      <w:proofErr w:type="gramEnd"/>
      <w:r w:rsidRPr="00337D33">
        <w:rPr>
          <w:rFonts w:hAnsi="標楷體" w:hint="eastAsia"/>
          <w:color w:val="000000" w:themeColor="text1"/>
          <w:szCs w:val="32"/>
        </w:rPr>
        <w:t>有未當。</w:t>
      </w:r>
      <w:bookmarkStart w:id="361" w:name="_Toc18675812"/>
      <w:bookmarkEnd w:id="358"/>
      <w:bookmarkEnd w:id="359"/>
      <w:bookmarkEnd w:id="360"/>
    </w:p>
    <w:p w:rsidR="00EB687E" w:rsidRPr="00740BFB" w:rsidRDefault="00EB687E" w:rsidP="00EB687E">
      <w:pPr>
        <w:pStyle w:val="2"/>
        <w:ind w:left="1106" w:hanging="672"/>
        <w:rPr>
          <w:color w:val="000000" w:themeColor="text1"/>
          <w:szCs w:val="36"/>
        </w:rPr>
      </w:pPr>
      <w:r>
        <w:rPr>
          <w:rFonts w:hint="eastAsia"/>
          <w:b/>
          <w:color w:val="000000" w:themeColor="text1"/>
        </w:rPr>
        <w:t>查</w:t>
      </w:r>
      <w:r w:rsidRPr="00740BFB">
        <w:rPr>
          <w:rFonts w:hint="eastAsia"/>
          <w:b/>
          <w:color w:val="000000" w:themeColor="text1"/>
          <w:szCs w:val="32"/>
        </w:rPr>
        <w:t>臺北市</w:t>
      </w:r>
      <w:r w:rsidRPr="001001C9">
        <w:rPr>
          <w:rFonts w:hint="eastAsia"/>
          <w:b/>
          <w:color w:val="000000" w:themeColor="text1"/>
        </w:rPr>
        <w:t>政府已於陽明山地區埋設公共污水管線</w:t>
      </w:r>
      <w:r w:rsidRPr="007C602B">
        <w:rPr>
          <w:rFonts w:hint="eastAsia"/>
          <w:b/>
          <w:color w:val="000000" w:themeColor="text1"/>
        </w:rPr>
        <w:t>，其中埋設之分管網路</w:t>
      </w:r>
      <w:proofErr w:type="gramStart"/>
      <w:r w:rsidRPr="007C602B">
        <w:rPr>
          <w:rFonts w:hint="eastAsia"/>
          <w:b/>
          <w:color w:val="000000" w:themeColor="text1"/>
        </w:rPr>
        <w:t>徑</w:t>
      </w:r>
      <w:proofErr w:type="gramEnd"/>
      <w:r w:rsidRPr="007C602B">
        <w:rPr>
          <w:rFonts w:hint="eastAsia"/>
          <w:b/>
          <w:color w:val="000000" w:themeColor="text1"/>
        </w:rPr>
        <w:t>已經鄰近本案重劃區外，</w:t>
      </w:r>
      <w:r>
        <w:rPr>
          <w:rFonts w:hint="eastAsia"/>
          <w:b/>
          <w:color w:val="000000" w:themeColor="text1"/>
        </w:rPr>
        <w:t>而本案重劃區</w:t>
      </w:r>
      <w:r w:rsidRPr="001001C9">
        <w:rPr>
          <w:rFonts w:hint="eastAsia"/>
          <w:b/>
          <w:color w:val="000000" w:themeColor="text1"/>
        </w:rPr>
        <w:t>開發單位</w:t>
      </w:r>
      <w:r>
        <w:rPr>
          <w:rFonts w:hint="eastAsia"/>
          <w:b/>
          <w:color w:val="000000" w:themeColor="text1"/>
        </w:rPr>
        <w:t>已申請</w:t>
      </w:r>
      <w:r w:rsidRPr="001001C9">
        <w:rPr>
          <w:rFonts w:hint="eastAsia"/>
          <w:b/>
          <w:color w:val="000000" w:themeColor="text1"/>
        </w:rPr>
        <w:t>將重劃區污水管線銜接納入陽明山污水公共管線服務區</w:t>
      </w:r>
      <w:r>
        <w:rPr>
          <w:rFonts w:hint="eastAsia"/>
          <w:b/>
          <w:color w:val="000000" w:themeColor="text1"/>
        </w:rPr>
        <w:t>內</w:t>
      </w:r>
      <w:r w:rsidRPr="001001C9">
        <w:rPr>
          <w:rFonts w:hint="eastAsia"/>
          <w:b/>
          <w:color w:val="000000" w:themeColor="text1"/>
        </w:rPr>
        <w:t>，期</w:t>
      </w:r>
      <w:r>
        <w:rPr>
          <w:rFonts w:hint="eastAsia"/>
          <w:b/>
          <w:color w:val="000000" w:themeColor="text1"/>
        </w:rPr>
        <w:t>能</w:t>
      </w:r>
      <w:r w:rsidRPr="001001C9">
        <w:rPr>
          <w:rFonts w:hint="eastAsia"/>
          <w:b/>
          <w:color w:val="000000" w:themeColor="text1"/>
        </w:rPr>
        <w:t>解決</w:t>
      </w:r>
      <w:r>
        <w:rPr>
          <w:rFonts w:hint="eastAsia"/>
          <w:b/>
          <w:color w:val="000000" w:themeColor="text1"/>
        </w:rPr>
        <w:t>重劃區</w:t>
      </w:r>
      <w:r w:rsidRPr="001001C9">
        <w:rPr>
          <w:rFonts w:hint="eastAsia"/>
          <w:b/>
          <w:color w:val="000000" w:themeColor="text1"/>
        </w:rPr>
        <w:t>污水處理問題</w:t>
      </w:r>
      <w:r>
        <w:rPr>
          <w:rFonts w:hint="eastAsia"/>
          <w:b/>
          <w:color w:val="000000" w:themeColor="text1"/>
        </w:rPr>
        <w:t>，</w:t>
      </w:r>
      <w:r w:rsidRPr="001001C9">
        <w:rPr>
          <w:rFonts w:hint="eastAsia"/>
          <w:b/>
          <w:color w:val="000000" w:themeColor="text1"/>
        </w:rPr>
        <w:t>完成</w:t>
      </w:r>
      <w:r>
        <w:rPr>
          <w:rFonts w:hint="eastAsia"/>
          <w:b/>
          <w:color w:val="000000" w:themeColor="text1"/>
        </w:rPr>
        <w:t>市地</w:t>
      </w:r>
      <w:r w:rsidRPr="001001C9">
        <w:rPr>
          <w:rFonts w:hint="eastAsia"/>
          <w:b/>
          <w:color w:val="000000" w:themeColor="text1"/>
        </w:rPr>
        <w:t>重劃</w:t>
      </w:r>
      <w:r>
        <w:rPr>
          <w:rFonts w:hint="eastAsia"/>
          <w:b/>
          <w:color w:val="000000" w:themeColor="text1"/>
        </w:rPr>
        <w:t>進行開發等</w:t>
      </w:r>
      <w:r w:rsidRPr="001001C9">
        <w:rPr>
          <w:rFonts w:hint="eastAsia"/>
          <w:b/>
          <w:color w:val="000000" w:themeColor="text1"/>
        </w:rPr>
        <w:t>，臺北市政府允應</w:t>
      </w:r>
      <w:r>
        <w:rPr>
          <w:rFonts w:hint="eastAsia"/>
          <w:b/>
          <w:color w:val="000000" w:themeColor="text1"/>
        </w:rPr>
        <w:t>本於權責</w:t>
      </w:r>
      <w:r w:rsidRPr="001001C9">
        <w:rPr>
          <w:rFonts w:hint="eastAsia"/>
          <w:b/>
          <w:color w:val="000000" w:themeColor="text1"/>
        </w:rPr>
        <w:t>依</w:t>
      </w:r>
      <w:r>
        <w:rPr>
          <w:rFonts w:hint="eastAsia"/>
          <w:b/>
          <w:color w:val="000000" w:themeColor="text1"/>
        </w:rPr>
        <w:t>相關法令</w:t>
      </w:r>
      <w:proofErr w:type="gramStart"/>
      <w:r w:rsidRPr="004438AB">
        <w:rPr>
          <w:rFonts w:hint="eastAsia"/>
          <w:b/>
          <w:color w:val="000000" w:themeColor="text1"/>
        </w:rPr>
        <w:t>審查</w:t>
      </w:r>
      <w:r w:rsidRPr="001001C9">
        <w:rPr>
          <w:rFonts w:hint="eastAsia"/>
          <w:b/>
          <w:color w:val="000000" w:themeColor="text1"/>
        </w:rPr>
        <w:t>妥處</w:t>
      </w:r>
      <w:proofErr w:type="gramEnd"/>
      <w:r>
        <w:rPr>
          <w:rFonts w:hint="eastAsia"/>
          <w:b/>
          <w:color w:val="000000" w:themeColor="text1"/>
        </w:rPr>
        <w:t>，避免再生訾議</w:t>
      </w:r>
      <w:r w:rsidRPr="005A4B93">
        <w:rPr>
          <w:rFonts w:hAnsi="標楷體" w:hint="eastAsia"/>
          <w:b/>
          <w:bCs w:val="0"/>
          <w:color w:val="000000" w:themeColor="text1"/>
          <w:szCs w:val="32"/>
        </w:rPr>
        <w:t>：</w:t>
      </w:r>
      <w:bookmarkEnd w:id="361"/>
    </w:p>
    <w:p w:rsidR="00EB687E" w:rsidRDefault="00EB687E" w:rsidP="00EB687E">
      <w:pPr>
        <w:pStyle w:val="3"/>
        <w:ind w:left="1470" w:hanging="672"/>
        <w:rPr>
          <w:color w:val="000000" w:themeColor="text1"/>
        </w:rPr>
      </w:pPr>
      <w:bookmarkStart w:id="362" w:name="_Toc18675813"/>
      <w:r>
        <w:rPr>
          <w:rFonts w:hAnsi="標楷體" w:hint="eastAsia"/>
          <w:color w:val="000000" w:themeColor="text1"/>
          <w:szCs w:val="32"/>
        </w:rPr>
        <w:t>據本案開發單位（</w:t>
      </w:r>
      <w:r w:rsidRPr="007F77A0">
        <w:rPr>
          <w:rFonts w:hAnsi="標楷體" w:hint="eastAsia"/>
          <w:color w:val="000000" w:themeColor="text1"/>
          <w:szCs w:val="32"/>
        </w:rPr>
        <w:t>重劃會</w:t>
      </w:r>
      <w:r>
        <w:rPr>
          <w:rFonts w:hAnsi="標楷體" w:hint="eastAsia"/>
          <w:color w:val="000000" w:themeColor="text1"/>
          <w:szCs w:val="32"/>
        </w:rPr>
        <w:t>）</w:t>
      </w:r>
      <w:r w:rsidRPr="00FD493C">
        <w:rPr>
          <w:rFonts w:hint="eastAsia"/>
          <w:color w:val="000000" w:themeColor="text1"/>
        </w:rPr>
        <w:t>於108年3月</w:t>
      </w:r>
      <w:r>
        <w:rPr>
          <w:rFonts w:hint="eastAsia"/>
          <w:color w:val="000000" w:themeColor="text1"/>
        </w:rPr>
        <w:t>間</w:t>
      </w:r>
      <w:r w:rsidRPr="00FD493C">
        <w:rPr>
          <w:rFonts w:hint="eastAsia"/>
          <w:color w:val="000000" w:themeColor="text1"/>
        </w:rPr>
        <w:t>陳述略</w:t>
      </w:r>
      <w:proofErr w:type="gramStart"/>
      <w:r w:rsidRPr="00FD493C">
        <w:rPr>
          <w:rFonts w:hint="eastAsia"/>
          <w:color w:val="000000" w:themeColor="text1"/>
        </w:rPr>
        <w:t>以</w:t>
      </w:r>
      <w:proofErr w:type="gramEnd"/>
      <w:r>
        <w:rPr>
          <w:rFonts w:hint="eastAsia"/>
          <w:color w:val="000000" w:themeColor="text1"/>
        </w:rPr>
        <w:t>，</w:t>
      </w:r>
      <w:r w:rsidRPr="00FD493C">
        <w:rPr>
          <w:rFonts w:hint="eastAsia"/>
          <w:color w:val="000000" w:themeColor="text1"/>
        </w:rPr>
        <w:t>近年重劃區地主及附近居民皆知</w:t>
      </w:r>
      <w:r w:rsidRPr="004438AB">
        <w:rPr>
          <w:rFonts w:hint="eastAsia"/>
          <w:color w:val="000000" w:themeColor="text1"/>
        </w:rPr>
        <w:t>臺北市政府污水主管機關已在陽明山地區埋設公共污水管線且其中埋設之分管</w:t>
      </w:r>
      <w:proofErr w:type="gramStart"/>
      <w:r w:rsidRPr="004438AB">
        <w:rPr>
          <w:rFonts w:hint="eastAsia"/>
          <w:color w:val="000000" w:themeColor="text1"/>
        </w:rPr>
        <w:t>網路徑已鄰近</w:t>
      </w:r>
      <w:proofErr w:type="gramEnd"/>
      <w:r w:rsidRPr="004438AB">
        <w:rPr>
          <w:rFonts w:hint="eastAsia"/>
          <w:color w:val="000000" w:themeColor="text1"/>
        </w:rPr>
        <w:t>重劃區外</w:t>
      </w:r>
      <w:r w:rsidRPr="00FD493C">
        <w:rPr>
          <w:rFonts w:hint="eastAsia"/>
          <w:color w:val="000000" w:themeColor="text1"/>
        </w:rPr>
        <w:t>，</w:t>
      </w:r>
      <w:r>
        <w:rPr>
          <w:rFonts w:hint="eastAsia"/>
          <w:color w:val="000000" w:themeColor="text1"/>
        </w:rPr>
        <w:t>該會</w:t>
      </w:r>
      <w:r w:rsidRPr="00FD493C">
        <w:rPr>
          <w:rFonts w:hint="eastAsia"/>
          <w:color w:val="000000" w:themeColor="text1"/>
        </w:rPr>
        <w:t>得知陽明山地區現為污水管線可及地區，乃與臺北市政府溝通能否將重劃區污水管線銜接納入陽明山污水公共管線服務區內。臺北市政府基於考量污水處理關係市民居住生活衛生品質，且亦為服務廣大市民所需，及污水集中處理能節省成本及提高處理效率等考量，同意接受重劃區污水管線銜接納入陽明山污水公共管線服務區內。惟將重劃區內污水管線設計書圖送臺北市政府權責機關審查，該府遲遲無法定</w:t>
      </w:r>
      <w:r w:rsidR="00AF319E" w:rsidRPr="009B5374">
        <w:rPr>
          <w:rFonts w:hint="eastAsia"/>
          <w:color w:val="000000" w:themeColor="text1"/>
        </w:rPr>
        <w:t>奪</w:t>
      </w:r>
      <w:r>
        <w:rPr>
          <w:rFonts w:hint="eastAsia"/>
          <w:color w:val="000000" w:themeColor="text1"/>
        </w:rPr>
        <w:t>等情</w:t>
      </w:r>
      <w:r w:rsidRPr="00FD493C">
        <w:rPr>
          <w:rFonts w:hint="eastAsia"/>
          <w:color w:val="000000" w:themeColor="text1"/>
        </w:rPr>
        <w:t>。</w:t>
      </w:r>
      <w:bookmarkEnd w:id="362"/>
    </w:p>
    <w:p w:rsidR="00EB687E" w:rsidRPr="00723667" w:rsidRDefault="00EB687E" w:rsidP="00EB687E">
      <w:pPr>
        <w:pStyle w:val="3"/>
        <w:ind w:left="1470" w:hanging="672"/>
        <w:rPr>
          <w:color w:val="000000" w:themeColor="text1"/>
        </w:rPr>
      </w:pPr>
      <w:bookmarkStart w:id="363" w:name="_Toc18675814"/>
      <w:proofErr w:type="gramStart"/>
      <w:r>
        <w:rPr>
          <w:rFonts w:hint="eastAsia"/>
          <w:color w:val="000000" w:themeColor="text1"/>
        </w:rPr>
        <w:t>嗣</w:t>
      </w:r>
      <w:proofErr w:type="gramEnd"/>
      <w:r>
        <w:rPr>
          <w:rFonts w:hint="eastAsia"/>
          <w:color w:val="000000" w:themeColor="text1"/>
        </w:rPr>
        <w:t>本院於108年</w:t>
      </w:r>
      <w:r w:rsidRPr="005B16BA">
        <w:rPr>
          <w:rFonts w:hint="eastAsia"/>
          <w:color w:val="000000" w:themeColor="text1"/>
        </w:rPr>
        <w:t>3月21日</w:t>
      </w:r>
      <w:r>
        <w:rPr>
          <w:rFonts w:hint="eastAsia"/>
          <w:color w:val="000000" w:themeColor="text1"/>
        </w:rPr>
        <w:t>前往本案重劃區履</w:t>
      </w:r>
      <w:proofErr w:type="gramStart"/>
      <w:r>
        <w:rPr>
          <w:rFonts w:hint="eastAsia"/>
          <w:color w:val="000000" w:themeColor="text1"/>
        </w:rPr>
        <w:t>勘</w:t>
      </w:r>
      <w:proofErr w:type="gramEnd"/>
      <w:r>
        <w:rPr>
          <w:rFonts w:hint="eastAsia"/>
          <w:color w:val="000000" w:themeColor="text1"/>
        </w:rPr>
        <w:t>，經</w:t>
      </w:r>
      <w:r w:rsidRPr="00723667">
        <w:rPr>
          <w:rFonts w:hint="eastAsia"/>
          <w:color w:val="000000" w:themeColor="text1"/>
        </w:rPr>
        <w:t>查重劃區外圍陽明山污水系統（菁山路）建置經過如</w:t>
      </w:r>
      <w:r w:rsidRPr="00723667">
        <w:rPr>
          <w:rFonts w:hint="eastAsia"/>
          <w:color w:val="000000" w:themeColor="text1"/>
        </w:rPr>
        <w:lastRenderedPageBreak/>
        <w:t>下：</w:t>
      </w:r>
      <w:bookmarkEnd w:id="363"/>
    </w:p>
    <w:p w:rsidR="00EB687E" w:rsidRPr="005B16BA" w:rsidRDefault="00EB687E" w:rsidP="00EB687E">
      <w:pPr>
        <w:pStyle w:val="4"/>
        <w:rPr>
          <w:color w:val="000000" w:themeColor="text1"/>
        </w:rPr>
      </w:pPr>
      <w:r>
        <w:rPr>
          <w:rFonts w:hint="eastAsia"/>
          <w:color w:val="000000" w:themeColor="text1"/>
        </w:rPr>
        <w:t>臺北市衛工處</w:t>
      </w:r>
      <w:r w:rsidRPr="005B16BA">
        <w:rPr>
          <w:rFonts w:hint="eastAsia"/>
          <w:color w:val="000000" w:themeColor="text1"/>
        </w:rPr>
        <w:t>查復，85年間考量臺北市人口及社經環境急速變遷及民眾環保意識日趨提升，乃推動「臺北市污水下水道後續發展方案先期規劃」計畫，涵蓋臺北市12行政區及新北市汐止、深坑</w:t>
      </w:r>
      <w:r w:rsidR="00D11BEE">
        <w:rPr>
          <w:rFonts w:hint="eastAsia"/>
          <w:color w:val="000000" w:themeColor="text1"/>
        </w:rPr>
        <w:t>、</w:t>
      </w:r>
      <w:r w:rsidRPr="005B16BA">
        <w:rPr>
          <w:rFonts w:hint="eastAsia"/>
          <w:color w:val="000000" w:themeColor="text1"/>
        </w:rPr>
        <w:t>基隆市七堵、暖暖及八里污水處理廠，</w:t>
      </w:r>
      <w:r w:rsidR="004F0CB3" w:rsidRPr="009B5374">
        <w:rPr>
          <w:rFonts w:hint="eastAsia"/>
          <w:color w:val="000000" w:themeColor="text1"/>
        </w:rPr>
        <w:t>同時</w:t>
      </w:r>
      <w:r w:rsidRPr="005B16BA">
        <w:rPr>
          <w:rFonts w:hint="eastAsia"/>
          <w:color w:val="000000" w:themeColor="text1"/>
        </w:rPr>
        <w:t>已對陽明山華岡地區收集系統進行初步規劃。</w:t>
      </w:r>
    </w:p>
    <w:p w:rsidR="00EB687E" w:rsidRDefault="00EB687E" w:rsidP="00EB687E">
      <w:pPr>
        <w:pStyle w:val="4"/>
        <w:rPr>
          <w:color w:val="000000" w:themeColor="text1"/>
        </w:rPr>
      </w:pPr>
      <w:r w:rsidRPr="000A50F4">
        <w:rPr>
          <w:rFonts w:hint="eastAsia"/>
          <w:color w:val="000000" w:themeColor="text1"/>
        </w:rPr>
        <w:t>98年間</w:t>
      </w:r>
      <w:r>
        <w:rPr>
          <w:rFonts w:hint="eastAsia"/>
          <w:color w:val="000000" w:themeColor="text1"/>
        </w:rPr>
        <w:t>臺北市衛工處</w:t>
      </w:r>
      <w:r w:rsidRPr="000A50F4">
        <w:rPr>
          <w:rFonts w:hint="eastAsia"/>
          <w:color w:val="000000" w:themeColor="text1"/>
        </w:rPr>
        <w:t>依「臺北市污水下水道後續發展方案先期規劃」計畫內有關保護區、農業區及行水區等非都市計畫發展區，屬公共管線較難到達地區（原所稱非服務區），如陽明山、北投貓空等地區，考量休憩遊客日益增加，為重視市民生活品質及減少污水排放情形，完成「臺北市污水下水道非服務區污水收集處置規劃」之檢討。99年間</w:t>
      </w:r>
      <w:r>
        <w:rPr>
          <w:rFonts w:hint="eastAsia"/>
          <w:color w:val="000000" w:themeColor="text1"/>
        </w:rPr>
        <w:t>臺北市衛工處</w:t>
      </w:r>
      <w:r w:rsidRPr="000A50F4">
        <w:rPr>
          <w:rFonts w:hint="eastAsia"/>
          <w:color w:val="000000" w:themeColor="text1"/>
        </w:rPr>
        <w:t>依前揭檢討結果啟動「陽明山華崗地區污水下水道建置規劃設計」。102年間</w:t>
      </w:r>
      <w:r>
        <w:rPr>
          <w:rFonts w:hint="eastAsia"/>
          <w:color w:val="000000" w:themeColor="text1"/>
        </w:rPr>
        <w:t>臺北市衛工處</w:t>
      </w:r>
      <w:r w:rsidRPr="000A50F4">
        <w:rPr>
          <w:rFonts w:hint="eastAsia"/>
          <w:color w:val="000000" w:themeColor="text1"/>
        </w:rPr>
        <w:t>陸續推動華岡污水下水道系統工程建置，預計</w:t>
      </w:r>
      <w:proofErr w:type="gramStart"/>
      <w:r w:rsidRPr="000A50F4">
        <w:rPr>
          <w:rFonts w:hint="eastAsia"/>
          <w:color w:val="000000" w:themeColor="text1"/>
        </w:rPr>
        <w:t>服務里界內</w:t>
      </w:r>
      <w:proofErr w:type="gramEnd"/>
      <w:r w:rsidRPr="000A50F4">
        <w:rPr>
          <w:rFonts w:hint="eastAsia"/>
          <w:color w:val="000000" w:themeColor="text1"/>
        </w:rPr>
        <w:t>接管戶數為2,253戶（文化大學、中庸一路、菁山路附近約1,454戶，格致路麗</w:t>
      </w:r>
      <w:proofErr w:type="gramStart"/>
      <w:r w:rsidRPr="000A50F4">
        <w:rPr>
          <w:rFonts w:hint="eastAsia"/>
          <w:color w:val="000000" w:themeColor="text1"/>
        </w:rPr>
        <w:t>緻</w:t>
      </w:r>
      <w:proofErr w:type="gramEnd"/>
      <w:r w:rsidRPr="000A50F4">
        <w:rPr>
          <w:rFonts w:hint="eastAsia"/>
          <w:color w:val="000000" w:themeColor="text1"/>
        </w:rPr>
        <w:t>飯店周邊約218戶及陽明山中山樓附近約581戶）</w:t>
      </w:r>
      <w:r>
        <w:rPr>
          <w:rFonts w:hint="eastAsia"/>
          <w:color w:val="000000" w:themeColor="text1"/>
        </w:rPr>
        <w:t>。</w:t>
      </w:r>
    </w:p>
    <w:p w:rsidR="00EB687E" w:rsidRDefault="00EB687E" w:rsidP="00EB687E">
      <w:pPr>
        <w:pStyle w:val="4"/>
        <w:rPr>
          <w:color w:val="000000" w:themeColor="text1"/>
        </w:rPr>
      </w:pPr>
      <w:r>
        <w:rPr>
          <w:rFonts w:hint="eastAsia"/>
          <w:color w:val="000000" w:themeColor="text1"/>
        </w:rPr>
        <w:t>臺北市政府於本院履</w:t>
      </w:r>
      <w:proofErr w:type="gramStart"/>
      <w:r>
        <w:rPr>
          <w:rFonts w:hint="eastAsia"/>
          <w:color w:val="000000" w:themeColor="text1"/>
        </w:rPr>
        <w:t>勘</w:t>
      </w:r>
      <w:proofErr w:type="gramEnd"/>
      <w:r>
        <w:rPr>
          <w:rFonts w:hint="eastAsia"/>
          <w:color w:val="000000" w:themeColor="text1"/>
        </w:rPr>
        <w:t>時所提</w:t>
      </w:r>
      <w:r w:rsidRPr="005B16BA">
        <w:rPr>
          <w:rFonts w:hint="eastAsia"/>
          <w:color w:val="000000" w:themeColor="text1"/>
        </w:rPr>
        <w:t>簡報</w:t>
      </w:r>
      <w:r>
        <w:rPr>
          <w:rFonts w:hint="eastAsia"/>
          <w:color w:val="000000" w:themeColor="text1"/>
        </w:rPr>
        <w:t>內載有</w:t>
      </w:r>
      <w:r w:rsidRPr="005B16BA">
        <w:rPr>
          <w:rFonts w:hint="eastAsia"/>
          <w:color w:val="000000" w:themeColor="text1"/>
        </w:rPr>
        <w:t>：</w:t>
      </w:r>
      <w:r>
        <w:rPr>
          <w:rFonts w:hint="eastAsia"/>
          <w:color w:val="000000" w:themeColor="text1"/>
        </w:rPr>
        <w:t>「</w:t>
      </w:r>
      <w:r w:rsidRPr="005B16BA">
        <w:rPr>
          <w:rFonts w:hint="eastAsia"/>
          <w:color w:val="000000" w:themeColor="text1"/>
        </w:rPr>
        <w:t>為降低陽明山格致路及東山路附近地區（文化大學、華岡地區）污水污染水源，依98年臺北市污水下水道華岡地區污水收集處置規劃檢討結果，</w:t>
      </w:r>
      <w:r>
        <w:rPr>
          <w:rFonts w:hint="eastAsia"/>
          <w:color w:val="000000" w:themeColor="text1"/>
        </w:rPr>
        <w:t>臺北市衛工處</w:t>
      </w:r>
      <w:r w:rsidRPr="005B16BA">
        <w:rPr>
          <w:rFonts w:hint="eastAsia"/>
          <w:color w:val="000000" w:themeColor="text1"/>
        </w:rPr>
        <w:t>於99年啟動規劃設計，101年6月定案。102年起陸續建置東山路、格致路、陽明路及菁山路公共污水管線系統。菁山路共管線預計108年完工，109年至111年推動文化大學周邊及中山樓附近地區</w:t>
      </w:r>
      <w:r w:rsidR="00AC562D" w:rsidRPr="009B5374">
        <w:rPr>
          <w:rFonts w:hint="eastAsia"/>
          <w:color w:val="000000" w:themeColor="text1"/>
        </w:rPr>
        <w:t>住</w:t>
      </w:r>
      <w:r w:rsidRPr="005B16BA">
        <w:rPr>
          <w:rFonts w:hint="eastAsia"/>
          <w:color w:val="000000" w:themeColor="text1"/>
        </w:rPr>
        <w:t>戶接管。</w:t>
      </w:r>
      <w:r>
        <w:rPr>
          <w:rFonts w:hint="eastAsia"/>
          <w:color w:val="000000" w:themeColor="text1"/>
        </w:rPr>
        <w:t>」</w:t>
      </w:r>
    </w:p>
    <w:p w:rsidR="00EB687E" w:rsidRPr="000A50F4" w:rsidRDefault="00EB687E" w:rsidP="00EB687E">
      <w:pPr>
        <w:pStyle w:val="4"/>
        <w:rPr>
          <w:color w:val="000000" w:themeColor="text1"/>
        </w:rPr>
      </w:pPr>
      <w:r>
        <w:rPr>
          <w:rFonts w:hint="eastAsia"/>
          <w:color w:val="000000" w:themeColor="text1"/>
        </w:rPr>
        <w:lastRenderedPageBreak/>
        <w:t>另</w:t>
      </w:r>
      <w:r w:rsidRPr="005B16BA">
        <w:rPr>
          <w:rFonts w:hint="eastAsia"/>
          <w:color w:val="000000" w:themeColor="text1"/>
        </w:rPr>
        <w:t>據</w:t>
      </w:r>
      <w:r>
        <w:rPr>
          <w:rFonts w:hint="eastAsia"/>
          <w:color w:val="000000" w:themeColor="text1"/>
        </w:rPr>
        <w:t>臺北市衛工處</w:t>
      </w:r>
      <w:r w:rsidRPr="005B16BA">
        <w:rPr>
          <w:rFonts w:hint="eastAsia"/>
          <w:color w:val="000000" w:themeColor="text1"/>
        </w:rPr>
        <w:t>提出「</w:t>
      </w:r>
      <w:proofErr w:type="gramStart"/>
      <w:r w:rsidRPr="005B16BA">
        <w:rPr>
          <w:rFonts w:hint="eastAsia"/>
          <w:color w:val="000000" w:themeColor="text1"/>
        </w:rPr>
        <w:t>106</w:t>
      </w:r>
      <w:proofErr w:type="gramEnd"/>
      <w:r w:rsidRPr="005B16BA">
        <w:rPr>
          <w:rFonts w:hint="eastAsia"/>
          <w:color w:val="000000" w:themeColor="text1"/>
        </w:rPr>
        <w:t>年度士林區中庸一路附近地區污水接管工程-士林區菁山路管線水理說明」所載，該工程位處陽明山區，施工範圍之菁山路坡度達7.5</w:t>
      </w:r>
      <w:r w:rsidRPr="005B16BA">
        <w:rPr>
          <w:rFonts w:hAnsi="標楷體" w:hint="eastAsia"/>
          <w:color w:val="000000" w:themeColor="text1"/>
        </w:rPr>
        <w:t>%</w:t>
      </w:r>
      <w:r w:rsidRPr="005B16BA">
        <w:rPr>
          <w:rFonts w:hint="eastAsia"/>
          <w:color w:val="000000" w:themeColor="text1"/>
        </w:rPr>
        <w:t>，且道路下方地下維生管線複雜</w:t>
      </w:r>
      <w:r w:rsidR="00AC562D" w:rsidRPr="004F0CB3">
        <w:rPr>
          <w:rFonts w:hint="eastAsia"/>
          <w:color w:val="FF0000"/>
        </w:rPr>
        <w:t>，</w:t>
      </w:r>
      <w:r w:rsidRPr="005B16BA">
        <w:rPr>
          <w:rFonts w:hint="eastAsia"/>
          <w:color w:val="000000" w:themeColor="text1"/>
        </w:rPr>
        <w:t>道路</w:t>
      </w:r>
      <w:proofErr w:type="gramStart"/>
      <w:r w:rsidRPr="005B16BA">
        <w:rPr>
          <w:rFonts w:hint="eastAsia"/>
          <w:color w:val="000000" w:themeColor="text1"/>
        </w:rPr>
        <w:t>路幅受</w:t>
      </w:r>
      <w:proofErr w:type="gramEnd"/>
      <w:r w:rsidRPr="005B16BA">
        <w:rPr>
          <w:rFonts w:hint="eastAsia"/>
          <w:color w:val="000000" w:themeColor="text1"/>
        </w:rPr>
        <w:t>限，無法配合地勢</w:t>
      </w:r>
      <w:proofErr w:type="gramStart"/>
      <w:r w:rsidRPr="005B16BA">
        <w:rPr>
          <w:rFonts w:hint="eastAsia"/>
          <w:color w:val="000000" w:themeColor="text1"/>
        </w:rPr>
        <w:t>採</w:t>
      </w:r>
      <w:proofErr w:type="gramEnd"/>
      <w:r w:rsidRPr="005B16BA">
        <w:rPr>
          <w:rFonts w:hint="eastAsia"/>
          <w:color w:val="000000" w:themeColor="text1"/>
        </w:rPr>
        <w:t>明挖方式施作污水管線，須以推進方式施工。因此，菁山路污水管線設計之初，除需配合現地地勢設計管線坡度之外，並考量</w:t>
      </w:r>
      <w:proofErr w:type="gramStart"/>
      <w:r w:rsidRPr="005B16BA">
        <w:rPr>
          <w:rFonts w:hint="eastAsia"/>
          <w:color w:val="000000" w:themeColor="text1"/>
        </w:rPr>
        <w:t>該處岩盤</w:t>
      </w:r>
      <w:proofErr w:type="gramEnd"/>
      <w:r w:rsidRPr="005B16BA">
        <w:rPr>
          <w:rFonts w:hint="eastAsia"/>
          <w:color w:val="000000" w:themeColor="text1"/>
        </w:rPr>
        <w:t>地層所需施工設備等因素，將原300</w:t>
      </w:r>
      <w:r w:rsidRPr="005B16BA">
        <w:rPr>
          <w:rFonts w:hAnsi="標楷體" w:hint="eastAsia"/>
          <w:color w:val="000000" w:themeColor="text1"/>
        </w:rPr>
        <w:t>mm</w:t>
      </w:r>
      <w:r w:rsidRPr="005B16BA">
        <w:rPr>
          <w:rFonts w:hint="eastAsia"/>
          <w:color w:val="000000" w:themeColor="text1"/>
        </w:rPr>
        <w:t>推進管徑改</w:t>
      </w:r>
      <w:proofErr w:type="gramStart"/>
      <w:r w:rsidRPr="005B16BA">
        <w:rPr>
          <w:rFonts w:hint="eastAsia"/>
          <w:color w:val="000000" w:themeColor="text1"/>
        </w:rPr>
        <w:t>採</w:t>
      </w:r>
      <w:proofErr w:type="gramEnd"/>
      <w:r w:rsidRPr="005B16BA">
        <w:rPr>
          <w:rFonts w:hint="eastAsia"/>
          <w:color w:val="000000" w:themeColor="text1"/>
        </w:rPr>
        <w:t>400</w:t>
      </w:r>
      <w:r w:rsidRPr="005B16BA">
        <w:rPr>
          <w:rFonts w:hAnsi="標楷體" w:hint="eastAsia"/>
          <w:color w:val="000000" w:themeColor="text1"/>
        </w:rPr>
        <w:t>mm管徑設計。菁山路管線設計配合地形、地下管線等因素，</w:t>
      </w:r>
      <w:proofErr w:type="gramStart"/>
      <w:r w:rsidRPr="005B16BA">
        <w:rPr>
          <w:rFonts w:hAnsi="標楷體" w:hint="eastAsia"/>
          <w:color w:val="000000" w:themeColor="text1"/>
        </w:rPr>
        <w:t>採</w:t>
      </w:r>
      <w:proofErr w:type="gramEnd"/>
      <w:r w:rsidRPr="005B16BA">
        <w:rPr>
          <w:rFonts w:hAnsi="標楷體" w:hint="eastAsia"/>
          <w:color w:val="000000" w:themeColor="text1"/>
        </w:rPr>
        <w:t>以推進工法施作，管線坡度</w:t>
      </w:r>
      <w:proofErr w:type="gramStart"/>
      <w:r w:rsidRPr="005B16BA">
        <w:rPr>
          <w:rFonts w:hAnsi="標楷體" w:hint="eastAsia"/>
          <w:color w:val="000000" w:themeColor="text1"/>
        </w:rPr>
        <w:t>採</w:t>
      </w:r>
      <w:proofErr w:type="gramEnd"/>
      <w:r w:rsidRPr="005B16BA">
        <w:rPr>
          <w:rFonts w:hAnsi="標楷體" w:hint="eastAsia"/>
          <w:color w:val="000000" w:themeColor="text1"/>
        </w:rPr>
        <w:t>1.00%、</w:t>
      </w:r>
      <w:proofErr w:type="gramStart"/>
      <w:r w:rsidRPr="005B16BA">
        <w:rPr>
          <w:rFonts w:hAnsi="標楷體" w:hint="eastAsia"/>
          <w:color w:val="000000" w:themeColor="text1"/>
        </w:rPr>
        <w:t>管徑以</w:t>
      </w:r>
      <w:proofErr w:type="gramEnd"/>
      <w:r w:rsidRPr="005B16BA">
        <w:rPr>
          <w:rFonts w:hint="eastAsia"/>
          <w:color w:val="000000" w:themeColor="text1"/>
        </w:rPr>
        <w:t>400</w:t>
      </w:r>
      <w:r w:rsidRPr="005B16BA">
        <w:rPr>
          <w:rFonts w:hAnsi="標楷體" w:hint="eastAsia"/>
          <w:color w:val="000000" w:themeColor="text1"/>
        </w:rPr>
        <w:t>mm之設計，</w:t>
      </w:r>
      <w:proofErr w:type="gramStart"/>
      <w:r w:rsidRPr="005B16BA">
        <w:rPr>
          <w:rFonts w:hAnsi="標楷體" w:hint="eastAsia"/>
          <w:color w:val="000000" w:themeColor="text1"/>
        </w:rPr>
        <w:t>半滿管之</w:t>
      </w:r>
      <w:proofErr w:type="gramEnd"/>
      <w:r w:rsidRPr="005B16BA">
        <w:rPr>
          <w:rFonts w:hAnsi="標楷體" w:hint="eastAsia"/>
          <w:color w:val="000000" w:themeColor="text1"/>
        </w:rPr>
        <w:t>設計條件下，</w:t>
      </w:r>
      <w:r w:rsidRPr="00EB687E">
        <w:rPr>
          <w:rFonts w:hAnsi="標楷體" w:hint="eastAsia"/>
          <w:color w:val="000000" w:themeColor="text1"/>
        </w:rPr>
        <w:t>每日可收納最大污水量為7,797立方公尺，</w:t>
      </w:r>
      <w:proofErr w:type="gramStart"/>
      <w:r w:rsidRPr="00EB687E">
        <w:rPr>
          <w:rFonts w:hAnsi="標楷體" w:hint="eastAsia"/>
          <w:color w:val="000000" w:themeColor="text1"/>
        </w:rPr>
        <w:t>若依住</w:t>
      </w:r>
      <w:proofErr w:type="gramEnd"/>
      <w:r w:rsidRPr="00EB687E">
        <w:rPr>
          <w:rFonts w:hAnsi="標楷體" w:hint="eastAsia"/>
          <w:color w:val="000000" w:themeColor="text1"/>
        </w:rPr>
        <w:t>六之六都市計畫概算之每日最大污水量約為4,833立方公尺，菁山路</w:t>
      </w:r>
      <w:proofErr w:type="gramStart"/>
      <w:r w:rsidRPr="00EB687E">
        <w:rPr>
          <w:rFonts w:hAnsi="標楷體" w:hint="eastAsia"/>
          <w:color w:val="000000" w:themeColor="text1"/>
        </w:rPr>
        <w:t>管段尚</w:t>
      </w:r>
      <w:proofErr w:type="gramEnd"/>
      <w:r w:rsidRPr="00EB687E">
        <w:rPr>
          <w:rFonts w:hAnsi="標楷體" w:hint="eastAsia"/>
          <w:color w:val="000000" w:themeColor="text1"/>
        </w:rPr>
        <w:t>能收納六之六用戶接管後增加之污水量</w:t>
      </w:r>
      <w:r w:rsidRPr="005B16BA">
        <w:rPr>
          <w:rFonts w:hAnsi="標楷體" w:hint="eastAsia"/>
          <w:color w:val="000000" w:themeColor="text1"/>
        </w:rPr>
        <w:t>。</w:t>
      </w:r>
    </w:p>
    <w:p w:rsidR="00EB687E" w:rsidRPr="00EB687E" w:rsidRDefault="00EB687E" w:rsidP="00EB687E">
      <w:pPr>
        <w:pStyle w:val="3"/>
        <w:ind w:left="1470" w:hanging="672"/>
      </w:pPr>
      <w:bookmarkStart w:id="364" w:name="_Toc18675815"/>
      <w:r>
        <w:rPr>
          <w:rFonts w:hint="eastAsia"/>
        </w:rPr>
        <w:t>查</w:t>
      </w:r>
      <w:r w:rsidRPr="00DA0E43">
        <w:rPr>
          <w:rFonts w:hint="eastAsia"/>
        </w:rPr>
        <w:t>重劃會於</w:t>
      </w:r>
      <w:proofErr w:type="gramStart"/>
      <w:r w:rsidRPr="00DA0E43">
        <w:rPr>
          <w:rFonts w:hint="eastAsia"/>
        </w:rPr>
        <w:t>107年12月間函送</w:t>
      </w:r>
      <w:proofErr w:type="gramEnd"/>
      <w:r w:rsidRPr="00DA0E43">
        <w:rPr>
          <w:rFonts w:hint="eastAsia"/>
        </w:rPr>
        <w:t>重劃區外及區內</w:t>
      </w:r>
      <w:proofErr w:type="gramStart"/>
      <w:r w:rsidRPr="00DA0E43">
        <w:rPr>
          <w:rFonts w:hint="eastAsia"/>
        </w:rPr>
        <w:t>污水管渠設計</w:t>
      </w:r>
      <w:proofErr w:type="gramEnd"/>
      <w:r w:rsidRPr="00DA0E43">
        <w:rPr>
          <w:rFonts w:hint="eastAsia"/>
        </w:rPr>
        <w:t>書圖</w:t>
      </w:r>
      <w:r w:rsidRPr="004438AB">
        <w:rPr>
          <w:rFonts w:hint="eastAsia"/>
          <w:color w:val="000000" w:themeColor="text1"/>
        </w:rPr>
        <w:t>「臺北市士林區菁山路90號</w:t>
      </w:r>
      <w:proofErr w:type="gramStart"/>
      <w:r w:rsidRPr="004438AB">
        <w:rPr>
          <w:rFonts w:hint="eastAsia"/>
          <w:color w:val="000000" w:themeColor="text1"/>
        </w:rPr>
        <w:t>起迄</w:t>
      </w:r>
      <w:proofErr w:type="gramEnd"/>
      <w:r w:rsidRPr="004438AB">
        <w:rPr>
          <w:rFonts w:hint="eastAsia"/>
          <w:color w:val="000000" w:themeColor="text1"/>
        </w:rPr>
        <w:t>菁山路與永公路245巷34弄口污水下水道統包工程」、「臺北市士林區住六-六自辦市地重劃區污水管線工程」等細部設計報告書及細部設計書圖（申請納接菁山路公共污水下水道系統）至臺北市政府審核。</w:t>
      </w:r>
      <w:proofErr w:type="gramStart"/>
      <w:r w:rsidRPr="004438AB">
        <w:rPr>
          <w:rFonts w:hint="eastAsia"/>
          <w:color w:val="000000" w:themeColor="text1"/>
        </w:rPr>
        <w:t>該府地政局</w:t>
      </w:r>
      <w:proofErr w:type="gramEnd"/>
      <w:r w:rsidRPr="004438AB">
        <w:rPr>
          <w:rFonts w:hint="eastAsia"/>
          <w:color w:val="000000" w:themeColor="text1"/>
        </w:rPr>
        <w:t>土地開發總隊收件後，以107年12月21日北市</w:t>
      </w:r>
      <w:proofErr w:type="gramStart"/>
      <w:r w:rsidRPr="004438AB">
        <w:rPr>
          <w:rFonts w:hint="eastAsia"/>
          <w:color w:val="000000" w:themeColor="text1"/>
        </w:rPr>
        <w:t>地發工字</w:t>
      </w:r>
      <w:proofErr w:type="gramEnd"/>
      <w:r w:rsidRPr="004438AB">
        <w:rPr>
          <w:rFonts w:hint="eastAsia"/>
          <w:color w:val="000000" w:themeColor="text1"/>
        </w:rPr>
        <w:t>第1076003404號函送請該府衛工處審查。該府衛工處</w:t>
      </w:r>
      <w:proofErr w:type="gramStart"/>
      <w:r w:rsidRPr="004438AB">
        <w:rPr>
          <w:rFonts w:hint="eastAsia"/>
          <w:color w:val="000000" w:themeColor="text1"/>
        </w:rPr>
        <w:t>嗣</w:t>
      </w:r>
      <w:proofErr w:type="gramEnd"/>
      <w:r w:rsidRPr="004438AB">
        <w:rPr>
          <w:rFonts w:hint="eastAsia"/>
          <w:color w:val="000000" w:themeColor="text1"/>
        </w:rPr>
        <w:t>以108年7月30日北市衛</w:t>
      </w:r>
      <w:proofErr w:type="gramStart"/>
      <w:r w:rsidRPr="004438AB">
        <w:rPr>
          <w:rFonts w:hint="eastAsia"/>
          <w:color w:val="000000" w:themeColor="text1"/>
        </w:rPr>
        <w:t>工設字</w:t>
      </w:r>
      <w:proofErr w:type="gramEnd"/>
      <w:r w:rsidRPr="004438AB">
        <w:rPr>
          <w:rFonts w:hint="eastAsia"/>
          <w:color w:val="000000" w:themeColor="text1"/>
        </w:rPr>
        <w:t>第1083035847號函</w:t>
      </w:r>
      <w:proofErr w:type="gramStart"/>
      <w:r w:rsidRPr="004438AB">
        <w:rPr>
          <w:rFonts w:hint="eastAsia"/>
          <w:color w:val="000000" w:themeColor="text1"/>
        </w:rPr>
        <w:t>復該府地</w:t>
      </w:r>
      <w:proofErr w:type="gramEnd"/>
      <w:r w:rsidRPr="004438AB">
        <w:rPr>
          <w:rFonts w:hint="eastAsia"/>
          <w:color w:val="000000" w:themeColor="text1"/>
        </w:rPr>
        <w:t>政局土地開發總隊略</w:t>
      </w:r>
      <w:proofErr w:type="gramStart"/>
      <w:r w:rsidRPr="004438AB">
        <w:rPr>
          <w:rFonts w:hint="eastAsia"/>
          <w:color w:val="000000" w:themeColor="text1"/>
        </w:rPr>
        <w:t>以</w:t>
      </w:r>
      <w:proofErr w:type="gramEnd"/>
      <w:r w:rsidRPr="004438AB">
        <w:rPr>
          <w:rFonts w:hint="eastAsia"/>
          <w:color w:val="000000" w:themeColor="text1"/>
        </w:rPr>
        <w:t>，因設計書圖與85年間核准之環境影響說明書內容有異，無法審查，並檢還前揭設計書圖，</w:t>
      </w:r>
      <w:proofErr w:type="gramStart"/>
      <w:r w:rsidRPr="004438AB">
        <w:rPr>
          <w:rFonts w:hint="eastAsia"/>
          <w:color w:val="000000" w:themeColor="text1"/>
        </w:rPr>
        <w:t>同函副</w:t>
      </w:r>
      <w:proofErr w:type="gramEnd"/>
      <w:r w:rsidRPr="004438AB">
        <w:rPr>
          <w:rFonts w:hint="eastAsia"/>
          <w:color w:val="000000" w:themeColor="text1"/>
        </w:rPr>
        <w:t>知開發單位（重劃會）。</w:t>
      </w:r>
      <w:bookmarkEnd w:id="364"/>
      <w:r w:rsidR="00984A06" w:rsidRPr="004438AB">
        <w:rPr>
          <w:rFonts w:hint="eastAsia"/>
          <w:color w:val="000000" w:themeColor="text1"/>
        </w:rPr>
        <w:t>同年8月1日</w:t>
      </w:r>
      <w:proofErr w:type="gramStart"/>
      <w:r w:rsidR="00984A06" w:rsidRPr="004438AB">
        <w:rPr>
          <w:rFonts w:hint="eastAsia"/>
          <w:color w:val="000000" w:themeColor="text1"/>
        </w:rPr>
        <w:t>該府地政局</w:t>
      </w:r>
      <w:proofErr w:type="gramEnd"/>
      <w:r w:rsidR="00984A06" w:rsidRPr="004438AB">
        <w:rPr>
          <w:rFonts w:hint="eastAsia"/>
          <w:color w:val="000000" w:themeColor="text1"/>
        </w:rPr>
        <w:t>土地開發總隊以北市</w:t>
      </w:r>
      <w:proofErr w:type="gramStart"/>
      <w:r w:rsidR="00984A06" w:rsidRPr="004438AB">
        <w:rPr>
          <w:rFonts w:hint="eastAsia"/>
          <w:color w:val="000000" w:themeColor="text1"/>
        </w:rPr>
        <w:t>地發工字</w:t>
      </w:r>
      <w:proofErr w:type="gramEnd"/>
      <w:r w:rsidR="00984A06" w:rsidRPr="004438AB">
        <w:rPr>
          <w:rFonts w:hint="eastAsia"/>
          <w:color w:val="000000" w:themeColor="text1"/>
        </w:rPr>
        <w:t>第1087002497</w:t>
      </w:r>
      <w:r w:rsidR="00984A06" w:rsidRPr="004438AB">
        <w:rPr>
          <w:rFonts w:hint="eastAsia"/>
          <w:color w:val="000000" w:themeColor="text1"/>
        </w:rPr>
        <w:lastRenderedPageBreak/>
        <w:t>號函檢還前揭設計</w:t>
      </w:r>
      <w:proofErr w:type="gramStart"/>
      <w:r w:rsidR="00984A06" w:rsidRPr="004438AB">
        <w:rPr>
          <w:rFonts w:hint="eastAsia"/>
          <w:color w:val="000000" w:themeColor="text1"/>
        </w:rPr>
        <w:t>書圖予重劃</w:t>
      </w:r>
      <w:proofErr w:type="gramEnd"/>
      <w:r w:rsidR="00984A06" w:rsidRPr="004438AB">
        <w:rPr>
          <w:rFonts w:hint="eastAsia"/>
          <w:color w:val="000000" w:themeColor="text1"/>
        </w:rPr>
        <w:t>會。</w:t>
      </w:r>
    </w:p>
    <w:p w:rsidR="00EB687E" w:rsidRPr="004C670D" w:rsidRDefault="00EB687E" w:rsidP="00EB687E">
      <w:pPr>
        <w:pStyle w:val="3"/>
        <w:ind w:left="1470" w:hanging="672"/>
      </w:pPr>
      <w:bookmarkStart w:id="365" w:name="_Toc18675816"/>
      <w:r w:rsidRPr="00967B48">
        <w:rPr>
          <w:rFonts w:hint="eastAsia"/>
          <w:color w:val="000000" w:themeColor="text1"/>
        </w:rPr>
        <w:t>對於本院</w:t>
      </w:r>
      <w:proofErr w:type="gramStart"/>
      <w:r w:rsidRPr="00967B48">
        <w:rPr>
          <w:rFonts w:hint="eastAsia"/>
          <w:color w:val="000000" w:themeColor="text1"/>
        </w:rPr>
        <w:t>詢</w:t>
      </w:r>
      <w:proofErr w:type="gramEnd"/>
      <w:r w:rsidRPr="00967B48">
        <w:rPr>
          <w:rFonts w:hint="eastAsia"/>
          <w:color w:val="000000" w:themeColor="text1"/>
        </w:rPr>
        <w:t>及陽明山污水系統（菁山路）是否配合本案</w:t>
      </w:r>
      <w:r w:rsidRPr="00967B48">
        <w:rPr>
          <w:rFonts w:hint="eastAsia"/>
          <w:color w:val="000000" w:themeColor="text1"/>
          <w:szCs w:val="32"/>
        </w:rPr>
        <w:t>六之六</w:t>
      </w:r>
      <w:r w:rsidRPr="00967B48">
        <w:rPr>
          <w:rFonts w:hint="eastAsia"/>
          <w:color w:val="000000" w:themeColor="text1"/>
        </w:rPr>
        <w:t>重劃區開發施工、是否已同意接管等，臺北市</w:t>
      </w:r>
      <w:r w:rsidR="00931F87" w:rsidRPr="004438AB">
        <w:rPr>
          <w:rFonts w:hint="eastAsia"/>
          <w:color w:val="000000" w:themeColor="text1"/>
        </w:rPr>
        <w:t>政府</w:t>
      </w:r>
      <w:r w:rsidRPr="00967B48">
        <w:rPr>
          <w:rFonts w:hint="eastAsia"/>
          <w:color w:val="000000" w:themeColor="text1"/>
        </w:rPr>
        <w:t>復</w:t>
      </w:r>
      <w:proofErr w:type="gramStart"/>
      <w:r w:rsidRPr="00967B48">
        <w:rPr>
          <w:rFonts w:hint="eastAsia"/>
          <w:color w:val="000000" w:themeColor="text1"/>
        </w:rPr>
        <w:t>以</w:t>
      </w:r>
      <w:proofErr w:type="gramEnd"/>
      <w:r w:rsidRPr="00967B48">
        <w:rPr>
          <w:rFonts w:hint="eastAsia"/>
          <w:color w:val="000000" w:themeColor="text1"/>
        </w:rPr>
        <w:t>，陽明山菁山路污水系統為106年開始建置，主要係為服務菁山路周邊建物接管使用，含</w:t>
      </w:r>
      <w:proofErr w:type="gramStart"/>
      <w:r w:rsidRPr="00967B48">
        <w:rPr>
          <w:rFonts w:hint="eastAsia"/>
          <w:color w:val="000000" w:themeColor="text1"/>
        </w:rPr>
        <w:t>括</w:t>
      </w:r>
      <w:proofErr w:type="gramEnd"/>
      <w:r w:rsidRPr="00967B48">
        <w:rPr>
          <w:rFonts w:hint="eastAsia"/>
          <w:color w:val="000000" w:themeColor="text1"/>
        </w:rPr>
        <w:t>菁山路2號至108號、菁山路45至65號及所延伸菁山路各項內建物等（不包含</w:t>
      </w:r>
      <w:r w:rsidRPr="00967B48">
        <w:rPr>
          <w:rFonts w:hint="eastAsia"/>
          <w:color w:val="000000" w:themeColor="text1"/>
          <w:szCs w:val="32"/>
        </w:rPr>
        <w:t>六之六</w:t>
      </w:r>
      <w:r w:rsidRPr="00967B48">
        <w:rPr>
          <w:rFonts w:hint="eastAsia"/>
          <w:color w:val="000000" w:themeColor="text1"/>
        </w:rPr>
        <w:t>重劃區）。目前重劃會計畫改</w:t>
      </w:r>
      <w:proofErr w:type="gramStart"/>
      <w:r w:rsidRPr="00967B48">
        <w:rPr>
          <w:rFonts w:hint="eastAsia"/>
          <w:color w:val="000000" w:themeColor="text1"/>
        </w:rPr>
        <w:t>採</w:t>
      </w:r>
      <w:proofErr w:type="gramEnd"/>
      <w:r w:rsidRPr="00967B48">
        <w:rPr>
          <w:rFonts w:hint="eastAsia"/>
          <w:color w:val="000000" w:themeColor="text1"/>
        </w:rPr>
        <w:t>申請自行興建污水管線約1.1公里接入公共污水下水道系統，</w:t>
      </w:r>
      <w:r>
        <w:rPr>
          <w:rFonts w:hint="eastAsia"/>
          <w:color w:val="000000" w:themeColor="text1"/>
        </w:rPr>
        <w:t>並</w:t>
      </w:r>
      <w:r w:rsidRPr="005B16BA">
        <w:rPr>
          <w:rFonts w:hint="eastAsia"/>
          <w:color w:val="000000" w:themeColor="text1"/>
        </w:rPr>
        <w:t>於107年12月提送重劃區內污水接入公共污水下水道相關</w:t>
      </w:r>
      <w:proofErr w:type="gramStart"/>
      <w:r w:rsidRPr="005B16BA">
        <w:rPr>
          <w:rFonts w:hint="eastAsia"/>
          <w:color w:val="000000" w:themeColor="text1"/>
        </w:rPr>
        <w:t>設計圖資送審</w:t>
      </w:r>
      <w:proofErr w:type="gramEnd"/>
      <w:r w:rsidRPr="005B16BA">
        <w:rPr>
          <w:rFonts w:hint="eastAsia"/>
          <w:color w:val="000000" w:themeColor="text1"/>
        </w:rPr>
        <w:t>，</w:t>
      </w:r>
      <w:r w:rsidRPr="00967B48">
        <w:rPr>
          <w:rFonts w:hint="eastAsia"/>
          <w:color w:val="000000" w:themeColor="text1"/>
        </w:rPr>
        <w:t>雖經</w:t>
      </w:r>
      <w:r>
        <w:rPr>
          <w:rFonts w:hint="eastAsia"/>
          <w:color w:val="000000" w:themeColor="text1"/>
        </w:rPr>
        <w:t>該</w:t>
      </w:r>
      <w:r w:rsidRPr="00967B48">
        <w:rPr>
          <w:rFonts w:hint="eastAsia"/>
          <w:color w:val="000000" w:themeColor="text1"/>
        </w:rPr>
        <w:t>處檢討公共污水系統尚可容納，</w:t>
      </w:r>
      <w:proofErr w:type="gramStart"/>
      <w:r w:rsidRPr="00967B48">
        <w:rPr>
          <w:rFonts w:hint="eastAsia"/>
          <w:color w:val="000000" w:themeColor="text1"/>
        </w:rPr>
        <w:t>惟</w:t>
      </w:r>
      <w:r w:rsidRPr="004438AB">
        <w:rPr>
          <w:rFonts w:hint="eastAsia"/>
          <w:color w:val="000000" w:themeColor="text1"/>
        </w:rPr>
        <w:t>前揭</w:t>
      </w:r>
      <w:proofErr w:type="gramEnd"/>
      <w:r w:rsidRPr="004438AB">
        <w:rPr>
          <w:rFonts w:hint="eastAsia"/>
          <w:color w:val="000000" w:themeColor="text1"/>
        </w:rPr>
        <w:t>設計書圖與85年間核准之環境影響說明書內容及相關計畫已有不同，仍須先行完成各權管機關權責之環評差異分析、公設用地變更及水保計畫（含土</w:t>
      </w:r>
      <w:r w:rsidR="00BA7441">
        <w:rPr>
          <w:rFonts w:hint="eastAsia"/>
          <w:color w:val="000000" w:themeColor="text1"/>
        </w:rPr>
        <w:t>石</w:t>
      </w:r>
      <w:r w:rsidRPr="004438AB">
        <w:rPr>
          <w:rFonts w:hint="eastAsia"/>
          <w:color w:val="000000" w:themeColor="text1"/>
        </w:rPr>
        <w:t>方量）與區內污水管線重新配置送審等程序，</w:t>
      </w:r>
      <w:proofErr w:type="gramStart"/>
      <w:r w:rsidRPr="004438AB">
        <w:rPr>
          <w:rFonts w:hint="eastAsia"/>
          <w:color w:val="000000" w:themeColor="text1"/>
        </w:rPr>
        <w:t>故區內</w:t>
      </w:r>
      <w:proofErr w:type="gramEnd"/>
      <w:r w:rsidRPr="004438AB">
        <w:rPr>
          <w:rFonts w:hint="eastAsia"/>
          <w:color w:val="000000" w:themeColor="text1"/>
        </w:rPr>
        <w:t>污水管線及預計接入公共污水下水道系統外部管線等，皆尚未審查同意等語</w:t>
      </w:r>
      <w:r w:rsidR="0049534D" w:rsidRPr="004438AB">
        <w:rPr>
          <w:rFonts w:hint="eastAsia"/>
          <w:color w:val="000000" w:themeColor="text1"/>
        </w:rPr>
        <w:t>。</w:t>
      </w:r>
      <w:bookmarkEnd w:id="365"/>
    </w:p>
    <w:p w:rsidR="001B7705" w:rsidRPr="00337D33" w:rsidRDefault="00EB687E" w:rsidP="00EB687E">
      <w:pPr>
        <w:pStyle w:val="3"/>
        <w:ind w:left="1470" w:hanging="672"/>
      </w:pPr>
      <w:bookmarkStart w:id="366" w:name="_Toc18675817"/>
      <w:r w:rsidRPr="00424229">
        <w:rPr>
          <w:rFonts w:hint="eastAsia"/>
          <w:color w:val="000000" w:themeColor="text1"/>
        </w:rPr>
        <w:t>綜上，</w:t>
      </w:r>
      <w:r w:rsidRPr="00424229">
        <w:rPr>
          <w:rFonts w:hint="eastAsia"/>
          <w:color w:val="000000" w:themeColor="text1"/>
          <w:szCs w:val="32"/>
        </w:rPr>
        <w:t>查本案重劃區原規劃之污水處理廠因預定用地</w:t>
      </w:r>
      <w:r w:rsidRPr="00424229">
        <w:rPr>
          <w:rFonts w:hint="eastAsia"/>
          <w:color w:val="000000" w:themeColor="text1"/>
        </w:rPr>
        <w:t>平均坡度超過30</w:t>
      </w:r>
      <w:r w:rsidRPr="00424229">
        <w:rPr>
          <w:rFonts w:hAnsi="標楷體" w:hint="eastAsia"/>
          <w:color w:val="000000" w:themeColor="text1"/>
        </w:rPr>
        <w:t>%</w:t>
      </w:r>
      <w:r w:rsidRPr="00424229">
        <w:rPr>
          <w:rFonts w:hint="eastAsia"/>
          <w:color w:val="000000" w:themeColor="text1"/>
          <w:szCs w:val="32"/>
        </w:rPr>
        <w:t>，依據臺北市政府88年</w:t>
      </w:r>
      <w:r>
        <w:rPr>
          <w:rFonts w:hint="eastAsia"/>
          <w:color w:val="000000" w:themeColor="text1"/>
          <w:szCs w:val="32"/>
        </w:rPr>
        <w:t>6月</w:t>
      </w:r>
      <w:r w:rsidRPr="00424229">
        <w:rPr>
          <w:rFonts w:hint="eastAsia"/>
          <w:color w:val="000000" w:themeColor="text1"/>
          <w:szCs w:val="32"/>
        </w:rPr>
        <w:t>公告之「臺北市山坡地開發管理要點」規定及該府95年間第51次環評會議決議</w:t>
      </w:r>
      <w:r>
        <w:rPr>
          <w:rFonts w:hint="eastAsia"/>
          <w:color w:val="000000" w:themeColor="text1"/>
          <w:szCs w:val="32"/>
        </w:rPr>
        <w:t>，</w:t>
      </w:r>
      <w:r w:rsidRPr="00424229">
        <w:rPr>
          <w:rFonts w:hint="eastAsia"/>
          <w:color w:val="000000" w:themeColor="text1"/>
          <w:szCs w:val="32"/>
        </w:rPr>
        <w:t>應不得開發</w:t>
      </w:r>
      <w:r>
        <w:rPr>
          <w:rFonts w:hint="eastAsia"/>
          <w:color w:val="000000" w:themeColor="text1"/>
          <w:szCs w:val="32"/>
        </w:rPr>
        <w:t>，致本案重劃區未能完成重劃而無法開發（詳如調查意見</w:t>
      </w:r>
      <w:proofErr w:type="gramStart"/>
      <w:r>
        <w:rPr>
          <w:rFonts w:hint="eastAsia"/>
          <w:color w:val="000000" w:themeColor="text1"/>
          <w:szCs w:val="32"/>
        </w:rPr>
        <w:t>三所述</w:t>
      </w:r>
      <w:proofErr w:type="gramEnd"/>
      <w:r>
        <w:rPr>
          <w:rFonts w:hint="eastAsia"/>
          <w:color w:val="000000" w:themeColor="text1"/>
          <w:szCs w:val="32"/>
        </w:rPr>
        <w:t>）。</w:t>
      </w:r>
      <w:proofErr w:type="gramStart"/>
      <w:r w:rsidRPr="00D91130">
        <w:rPr>
          <w:rFonts w:hint="eastAsia"/>
          <w:color w:val="000000" w:themeColor="text1"/>
        </w:rPr>
        <w:t>今查臺北市</w:t>
      </w:r>
      <w:proofErr w:type="gramEnd"/>
      <w:r w:rsidRPr="00D91130">
        <w:rPr>
          <w:rFonts w:hint="eastAsia"/>
          <w:color w:val="000000" w:themeColor="text1"/>
        </w:rPr>
        <w:t>政府已於陽明山地區埋設公共污水管線且其分管網路已鄰近本案重劃區外，而開發單位已申請將重劃區污水管線銜接納入陽明山污水公共管線服務區，期能解決重劃區污水處理問題，完成市地重劃進行開發等</w:t>
      </w:r>
      <w:r w:rsidRPr="00424229">
        <w:rPr>
          <w:rFonts w:hint="eastAsia"/>
          <w:color w:val="000000" w:themeColor="text1"/>
        </w:rPr>
        <w:t>，臺北市政府允應本於權責依相關法令</w:t>
      </w:r>
      <w:proofErr w:type="gramStart"/>
      <w:r>
        <w:rPr>
          <w:rFonts w:hint="eastAsia"/>
          <w:color w:val="000000" w:themeColor="text1"/>
        </w:rPr>
        <w:t>審查</w:t>
      </w:r>
      <w:r w:rsidRPr="00424229">
        <w:rPr>
          <w:rFonts w:hint="eastAsia"/>
          <w:color w:val="000000" w:themeColor="text1"/>
        </w:rPr>
        <w:t>妥處</w:t>
      </w:r>
      <w:proofErr w:type="gramEnd"/>
      <w:r w:rsidRPr="00424229">
        <w:rPr>
          <w:rFonts w:hint="eastAsia"/>
          <w:color w:val="000000" w:themeColor="text1"/>
        </w:rPr>
        <w:t>，避免再生訾議</w:t>
      </w:r>
      <w:r w:rsidRPr="00D91130">
        <w:rPr>
          <w:rFonts w:hint="eastAsia"/>
          <w:color w:val="000000" w:themeColor="text1"/>
        </w:rPr>
        <w:t>。</w:t>
      </w:r>
      <w:bookmarkEnd w:id="366"/>
    </w:p>
    <w:p w:rsidR="00337D33" w:rsidRDefault="00337D33" w:rsidP="00337D33">
      <w:pPr>
        <w:pStyle w:val="1"/>
        <w:numPr>
          <w:ilvl w:val="0"/>
          <w:numId w:val="0"/>
        </w:numPr>
        <w:ind w:left="2381" w:hanging="2381"/>
      </w:pPr>
    </w:p>
    <w:p w:rsidR="00337D33" w:rsidRPr="001B7705" w:rsidRDefault="00337D33" w:rsidP="00337D33">
      <w:pPr>
        <w:pStyle w:val="1"/>
        <w:numPr>
          <w:ilvl w:val="0"/>
          <w:numId w:val="0"/>
        </w:numPr>
        <w:ind w:left="2381" w:hanging="2381"/>
      </w:pPr>
    </w:p>
    <w:p w:rsidR="00985984" w:rsidRPr="00DA0E43" w:rsidRDefault="00985984" w:rsidP="00985984">
      <w:pPr>
        <w:pStyle w:val="2"/>
      </w:pPr>
      <w:bookmarkStart w:id="367" w:name="_Toc18675818"/>
      <w:r w:rsidRPr="009B5374">
        <w:rPr>
          <w:rFonts w:hint="eastAsia"/>
          <w:b/>
          <w:color w:val="000000" w:themeColor="text1"/>
        </w:rPr>
        <w:lastRenderedPageBreak/>
        <w:t>臺北市政府環評會歷次審查</w:t>
      </w:r>
      <w:r w:rsidR="00BD7EEF" w:rsidRPr="009B5374">
        <w:rPr>
          <w:rFonts w:hint="eastAsia"/>
          <w:b/>
          <w:color w:val="000000" w:themeColor="text1"/>
        </w:rPr>
        <w:t>「臺北市住六之六地區細部計畫暨配合修訂主要計畫</w:t>
      </w:r>
      <w:r w:rsidR="00550BAE" w:rsidRPr="009B5374">
        <w:rPr>
          <w:rFonts w:hint="eastAsia"/>
          <w:b/>
          <w:color w:val="000000" w:themeColor="text1"/>
        </w:rPr>
        <w:t>」</w:t>
      </w:r>
      <w:r w:rsidR="00393A84" w:rsidRPr="009B5374">
        <w:rPr>
          <w:rFonts w:hAnsi="標楷體" w:hint="eastAsia"/>
          <w:b/>
          <w:color w:val="000000" w:themeColor="text1"/>
          <w:szCs w:val="32"/>
        </w:rPr>
        <w:t>環評相關報告</w:t>
      </w:r>
      <w:r w:rsidR="00393A84" w:rsidRPr="009B5374">
        <w:rPr>
          <w:rFonts w:hint="eastAsia"/>
          <w:b/>
          <w:color w:val="000000" w:themeColor="text1"/>
        </w:rPr>
        <w:t>之會議中，引發諸多環境衝擊疑慮</w:t>
      </w:r>
      <w:r w:rsidRPr="009B5374">
        <w:rPr>
          <w:rFonts w:hint="eastAsia"/>
          <w:b/>
          <w:color w:val="000000" w:themeColor="text1"/>
        </w:rPr>
        <w:t>，相關主管單位及開發單位多有點到即止甚至虛應故事的回應，現市政府環評</w:t>
      </w:r>
      <w:proofErr w:type="gramStart"/>
      <w:r w:rsidRPr="009B5374">
        <w:rPr>
          <w:rFonts w:hint="eastAsia"/>
          <w:b/>
          <w:color w:val="000000" w:themeColor="text1"/>
        </w:rPr>
        <w:t>會既依最高法院</w:t>
      </w:r>
      <w:proofErr w:type="gramEnd"/>
      <w:r w:rsidRPr="009B5374">
        <w:rPr>
          <w:rFonts w:hint="eastAsia"/>
          <w:b/>
          <w:color w:val="000000" w:themeColor="text1"/>
        </w:rPr>
        <w:t>判決結果，決議要求開發單位重提本案環境影響差異分析報告，</w:t>
      </w:r>
      <w:r w:rsidR="00272492" w:rsidRPr="00EA746E">
        <w:rPr>
          <w:rFonts w:hint="eastAsia"/>
          <w:b/>
          <w:color w:val="000000" w:themeColor="text1"/>
        </w:rPr>
        <w:t>允應針對各項環境衝擊疑慮及爭議事項、應否重新辦理環境影響評估等再妥</w:t>
      </w:r>
      <w:proofErr w:type="gramStart"/>
      <w:r w:rsidR="00272492" w:rsidRPr="00EA746E">
        <w:rPr>
          <w:rFonts w:hint="eastAsia"/>
          <w:b/>
          <w:color w:val="000000" w:themeColor="text1"/>
        </w:rPr>
        <w:t>予審</w:t>
      </w:r>
      <w:proofErr w:type="gramEnd"/>
      <w:r w:rsidR="00272492" w:rsidRPr="00EA746E">
        <w:rPr>
          <w:rFonts w:hint="eastAsia"/>
          <w:b/>
          <w:color w:val="000000" w:themeColor="text1"/>
        </w:rPr>
        <w:t>評</w:t>
      </w:r>
      <w:r w:rsidRPr="004438AB">
        <w:rPr>
          <w:rFonts w:hAnsi="標楷體" w:hint="eastAsia"/>
          <w:bCs w:val="0"/>
          <w:color w:val="000000" w:themeColor="text1"/>
          <w:szCs w:val="32"/>
        </w:rPr>
        <w:t>：</w:t>
      </w:r>
      <w:bookmarkEnd w:id="367"/>
    </w:p>
    <w:p w:rsidR="00A56133" w:rsidRPr="009267A0" w:rsidRDefault="009267A0" w:rsidP="00985984">
      <w:pPr>
        <w:pStyle w:val="3"/>
        <w:rPr>
          <w:color w:val="FF0000"/>
        </w:rPr>
      </w:pPr>
      <w:bookmarkStart w:id="368" w:name="_Toc18513740"/>
      <w:bookmarkStart w:id="369" w:name="_Toc18594831"/>
      <w:bookmarkStart w:id="370" w:name="_Toc18675819"/>
      <w:r w:rsidRPr="004438AB">
        <w:rPr>
          <w:rFonts w:hint="eastAsia"/>
          <w:color w:val="000000" w:themeColor="text1"/>
        </w:rPr>
        <w:t>依環評法第16條：「開發單位於通過環境影響說明書或評估書審查，並取得目的事業主管機關核發之開發許可後，逾3年始實施開發行為時，應提出環境現況差異分析及對策檢討報告，送主管機關審查。</w:t>
      </w:r>
      <w:r w:rsidR="003B6028" w:rsidRPr="004438AB">
        <w:rPr>
          <w:rFonts w:hint="eastAsia"/>
          <w:color w:val="000000" w:themeColor="text1"/>
        </w:rPr>
        <w:t>…</w:t>
      </w:r>
      <w:proofErr w:type="gramStart"/>
      <w:r w:rsidR="003B6028" w:rsidRPr="004438AB">
        <w:rPr>
          <w:rFonts w:hint="eastAsia"/>
          <w:color w:val="000000" w:themeColor="text1"/>
        </w:rPr>
        <w:t>…</w:t>
      </w:r>
      <w:proofErr w:type="gramEnd"/>
      <w:r w:rsidRPr="004438AB">
        <w:rPr>
          <w:rFonts w:hint="eastAsia"/>
          <w:color w:val="000000" w:themeColor="text1"/>
        </w:rPr>
        <w:t>」同法施行細則第37條：「</w:t>
      </w:r>
      <w:r w:rsidRPr="004438AB">
        <w:rPr>
          <w:rFonts w:hAnsi="標楷體" w:cs="Helvetica" w:hint="eastAsia"/>
          <w:color w:val="000000" w:themeColor="text1"/>
          <w:szCs w:val="32"/>
        </w:rPr>
        <w:t>開發單位依本法第16條第1項申請變更環境影響說明書、評估書內容或審查結論，無須依第38條重新進行環境影響評估者，應提出環境影響差異分析報告，</w:t>
      </w:r>
      <w:r w:rsidR="003B6028" w:rsidRPr="004438AB">
        <w:rPr>
          <w:rFonts w:hint="eastAsia"/>
          <w:color w:val="000000" w:themeColor="text1"/>
        </w:rPr>
        <w:t>…</w:t>
      </w:r>
      <w:proofErr w:type="gramStart"/>
      <w:r w:rsidR="003B6028" w:rsidRPr="004438AB">
        <w:rPr>
          <w:rFonts w:hint="eastAsia"/>
          <w:color w:val="000000" w:themeColor="text1"/>
        </w:rPr>
        <w:t>…</w:t>
      </w:r>
      <w:proofErr w:type="gramEnd"/>
      <w:r w:rsidRPr="004438AB">
        <w:rPr>
          <w:rFonts w:hAnsi="標楷體" w:cs="Helvetica"/>
          <w:color w:val="000000" w:themeColor="text1"/>
          <w:szCs w:val="32"/>
        </w:rPr>
        <w:t>」</w:t>
      </w:r>
      <w:r w:rsidRPr="004438AB">
        <w:rPr>
          <w:rFonts w:hint="eastAsia"/>
          <w:color w:val="000000" w:themeColor="text1"/>
        </w:rPr>
        <w:t>同細則第38條</w:t>
      </w:r>
      <w:r w:rsidR="003B6028" w:rsidRPr="004438AB">
        <w:rPr>
          <w:rFonts w:hint="eastAsia"/>
          <w:color w:val="000000" w:themeColor="text1"/>
        </w:rPr>
        <w:t>則</w:t>
      </w:r>
      <w:r w:rsidRPr="004438AB">
        <w:rPr>
          <w:rFonts w:hint="eastAsia"/>
          <w:color w:val="000000" w:themeColor="text1"/>
        </w:rPr>
        <w:t>規定：「</w:t>
      </w:r>
      <w:r w:rsidRPr="004438AB">
        <w:rPr>
          <w:color w:val="000000" w:themeColor="text1"/>
        </w:rPr>
        <w:t>開發單位變更原申請內容有下列情形之</w:t>
      </w:r>
      <w:proofErr w:type="gramStart"/>
      <w:r w:rsidRPr="004438AB">
        <w:rPr>
          <w:color w:val="000000" w:themeColor="text1"/>
        </w:rPr>
        <w:t>一</w:t>
      </w:r>
      <w:proofErr w:type="gramEnd"/>
      <w:r w:rsidRPr="004438AB">
        <w:rPr>
          <w:color w:val="000000" w:themeColor="text1"/>
        </w:rPr>
        <w:t>者，應就申請變更部分，重新辦理環境影響評估：</w:t>
      </w:r>
      <w:r w:rsidRPr="004438AB">
        <w:rPr>
          <w:rFonts w:hint="eastAsia"/>
          <w:color w:val="000000" w:themeColor="text1"/>
        </w:rPr>
        <w:t>一、</w:t>
      </w:r>
      <w:r w:rsidRPr="004438AB">
        <w:rPr>
          <w:color w:val="000000" w:themeColor="text1"/>
        </w:rPr>
        <w:t>計畫產能、規模擴增或路線延伸百分之十以上者。</w:t>
      </w:r>
      <w:r w:rsidRPr="004438AB">
        <w:rPr>
          <w:rFonts w:hint="eastAsia"/>
          <w:color w:val="000000" w:themeColor="text1"/>
        </w:rPr>
        <w:t>…</w:t>
      </w:r>
      <w:proofErr w:type="gramStart"/>
      <w:r w:rsidRPr="004438AB">
        <w:rPr>
          <w:rFonts w:hint="eastAsia"/>
          <w:color w:val="000000" w:themeColor="text1"/>
        </w:rPr>
        <w:t>…</w:t>
      </w:r>
      <w:proofErr w:type="gramEnd"/>
      <w:r w:rsidRPr="004438AB">
        <w:rPr>
          <w:rFonts w:hint="eastAsia"/>
          <w:color w:val="000000" w:themeColor="text1"/>
        </w:rPr>
        <w:t>四、</w:t>
      </w:r>
      <w:r w:rsidRPr="004438AB">
        <w:rPr>
          <w:color w:val="000000" w:themeColor="text1"/>
        </w:rPr>
        <w:t>計畫變更對影響範圍內之生活、自然、社會環境或保護對象，有加重影響之虞者。</w:t>
      </w:r>
      <w:r w:rsidRPr="004438AB">
        <w:rPr>
          <w:rFonts w:hint="eastAsia"/>
          <w:color w:val="000000" w:themeColor="text1"/>
        </w:rPr>
        <w:t>五、</w:t>
      </w:r>
      <w:r w:rsidRPr="004438AB">
        <w:rPr>
          <w:color w:val="000000" w:themeColor="text1"/>
        </w:rPr>
        <w:t>對環境品質之維護，有不利影響者。</w:t>
      </w:r>
      <w:r w:rsidRPr="004438AB">
        <w:rPr>
          <w:rFonts w:hint="eastAsia"/>
          <w:color w:val="000000" w:themeColor="text1"/>
        </w:rPr>
        <w:t>」</w:t>
      </w:r>
      <w:proofErr w:type="gramStart"/>
      <w:r w:rsidRPr="004438AB">
        <w:rPr>
          <w:rFonts w:hAnsi="標楷體" w:cs="Helvetica" w:hint="eastAsia"/>
          <w:color w:val="000000" w:themeColor="text1"/>
          <w:szCs w:val="32"/>
        </w:rPr>
        <w:t>準</w:t>
      </w:r>
      <w:proofErr w:type="gramEnd"/>
      <w:r w:rsidRPr="004438AB">
        <w:rPr>
          <w:rFonts w:hAnsi="標楷體" w:cs="Helvetica" w:hint="eastAsia"/>
          <w:color w:val="000000" w:themeColor="text1"/>
          <w:szCs w:val="32"/>
        </w:rPr>
        <w:t>此，</w:t>
      </w:r>
      <w:r w:rsidRPr="004438AB">
        <w:rPr>
          <w:rFonts w:hint="eastAsia"/>
          <w:color w:val="000000" w:themeColor="text1"/>
        </w:rPr>
        <w:t>開發單位依環評法第16條第1項申請變更環境影響說明書或評估書內容，涉及環境保護事項之變更，無須重新進行環境影響評估者，應提出環境影響差異分析報告，由目的事業主管機關審核。而</w:t>
      </w:r>
      <w:r w:rsidRPr="004438AB">
        <w:rPr>
          <w:color w:val="000000" w:themeColor="text1"/>
        </w:rPr>
        <w:t>計畫產能、規模擴增或路線延伸百分之十以上者</w:t>
      </w:r>
      <w:r w:rsidRPr="004438AB">
        <w:rPr>
          <w:rFonts w:hint="eastAsia"/>
          <w:color w:val="000000" w:themeColor="text1"/>
        </w:rPr>
        <w:t>，應</w:t>
      </w:r>
      <w:r w:rsidR="00AD30C6" w:rsidRPr="004438AB">
        <w:rPr>
          <w:color w:val="000000" w:themeColor="text1"/>
        </w:rPr>
        <w:t>就申請變更部分</w:t>
      </w:r>
      <w:r w:rsidRPr="004438AB">
        <w:rPr>
          <w:color w:val="000000" w:themeColor="text1"/>
        </w:rPr>
        <w:t>重新辦理環境影響評估</w:t>
      </w:r>
      <w:r w:rsidRPr="004438AB">
        <w:rPr>
          <w:rFonts w:hint="eastAsia"/>
          <w:color w:val="000000" w:themeColor="text1"/>
        </w:rPr>
        <w:t>。</w:t>
      </w:r>
    </w:p>
    <w:p w:rsidR="00985984" w:rsidRPr="006C1FC1" w:rsidRDefault="00985984" w:rsidP="00985984">
      <w:pPr>
        <w:pStyle w:val="3"/>
        <w:rPr>
          <w:color w:val="FF0000"/>
        </w:rPr>
      </w:pPr>
      <w:r w:rsidRPr="009B5374">
        <w:rPr>
          <w:rFonts w:hint="eastAsia"/>
          <w:color w:val="000000" w:themeColor="text1"/>
        </w:rPr>
        <w:t>查臺北市政府環評會歷次審查</w:t>
      </w:r>
      <w:r w:rsidR="00AC562D" w:rsidRPr="009B5374">
        <w:rPr>
          <w:rFonts w:hAnsi="標楷體" w:hint="eastAsia"/>
          <w:color w:val="000000" w:themeColor="text1"/>
          <w:szCs w:val="32"/>
        </w:rPr>
        <w:t>「臺北市士林區住六之六地區細部計畫暨配合修訂主要計畫」</w:t>
      </w:r>
      <w:r w:rsidR="004F0CB3" w:rsidRPr="009B5374">
        <w:rPr>
          <w:rFonts w:hAnsi="標楷體" w:hint="eastAsia"/>
          <w:color w:val="000000" w:themeColor="text1"/>
          <w:szCs w:val="32"/>
        </w:rPr>
        <w:t>環評相關</w:t>
      </w:r>
      <w:r w:rsidR="004F0CB3" w:rsidRPr="009B5374">
        <w:rPr>
          <w:rFonts w:hAnsi="標楷體" w:hint="eastAsia"/>
          <w:color w:val="000000" w:themeColor="text1"/>
          <w:szCs w:val="32"/>
        </w:rPr>
        <w:lastRenderedPageBreak/>
        <w:t>報告</w:t>
      </w:r>
      <w:r w:rsidRPr="009B5374">
        <w:rPr>
          <w:rFonts w:hint="eastAsia"/>
          <w:color w:val="000000" w:themeColor="text1"/>
        </w:rPr>
        <w:t>之會議中</w:t>
      </w:r>
      <w:r w:rsidR="004F0CB3" w:rsidRPr="009B5374">
        <w:rPr>
          <w:rFonts w:hint="eastAsia"/>
          <w:color w:val="000000" w:themeColor="text1"/>
        </w:rPr>
        <w:t>，</w:t>
      </w:r>
      <w:r w:rsidRPr="009B5374">
        <w:rPr>
          <w:rFonts w:hint="eastAsia"/>
          <w:color w:val="000000" w:themeColor="text1"/>
        </w:rPr>
        <w:t>引發諸多環境衝擊疑慮，包括：1.交通：</w:t>
      </w:r>
      <w:r w:rsidRPr="009B5374">
        <w:rPr>
          <w:rFonts w:hint="eastAsia"/>
          <w:color w:val="000000" w:themeColor="text1"/>
          <w:szCs w:val="32"/>
        </w:rPr>
        <w:t>本案開發後</w:t>
      </w:r>
      <w:r w:rsidRPr="009B5374">
        <w:rPr>
          <w:rFonts w:hAnsi="標楷體" w:hint="eastAsia"/>
          <w:color w:val="000000" w:themeColor="text1"/>
          <w:szCs w:val="32"/>
        </w:rPr>
        <w:t>將引進4,700人，</w:t>
      </w:r>
      <w:r w:rsidRPr="009B5374">
        <w:rPr>
          <w:rFonts w:hint="eastAsia"/>
          <w:color w:val="000000" w:themeColor="text1"/>
        </w:rPr>
        <w:t>對於陽明山地區聯外道路造成之交通衝擊未有改善對策；2.聯外排水：本案</w:t>
      </w:r>
      <w:r w:rsidRPr="009B5374">
        <w:rPr>
          <w:rFonts w:hint="eastAsia"/>
          <w:color w:val="000000" w:themeColor="text1"/>
          <w:szCs w:val="32"/>
        </w:rPr>
        <w:t>區域內對區域外排水系統之衝擊，未有衝擊評估及改善對策，</w:t>
      </w:r>
      <w:r w:rsidR="00AC562D" w:rsidRPr="009B5374">
        <w:rPr>
          <w:rFonts w:hint="eastAsia"/>
          <w:color w:val="000000" w:themeColor="text1"/>
          <w:szCs w:val="32"/>
        </w:rPr>
        <w:t>雖加大滯</w:t>
      </w:r>
      <w:proofErr w:type="gramStart"/>
      <w:r w:rsidR="00AC562D" w:rsidRPr="009B5374">
        <w:rPr>
          <w:rFonts w:hint="eastAsia"/>
          <w:color w:val="000000" w:themeColor="text1"/>
          <w:szCs w:val="32"/>
        </w:rPr>
        <w:t>洪池</w:t>
      </w:r>
      <w:r w:rsidRPr="004438AB">
        <w:rPr>
          <w:rFonts w:hint="eastAsia"/>
          <w:color w:val="000000" w:themeColor="text1"/>
          <w:szCs w:val="32"/>
        </w:rPr>
        <w:t>對</w:t>
      </w:r>
      <w:proofErr w:type="gramEnd"/>
      <w:r w:rsidRPr="004438AB">
        <w:rPr>
          <w:rFonts w:hint="eastAsia"/>
          <w:color w:val="000000" w:themeColor="text1"/>
          <w:szCs w:val="32"/>
        </w:rPr>
        <w:t>下游地區排水衝擊仍有疑慮</w:t>
      </w:r>
      <w:r w:rsidRPr="004438AB">
        <w:rPr>
          <w:rFonts w:hint="eastAsia"/>
          <w:color w:val="000000" w:themeColor="text1"/>
        </w:rPr>
        <w:t>；</w:t>
      </w:r>
      <w:r w:rsidRPr="004438AB">
        <w:rPr>
          <w:rFonts w:hint="eastAsia"/>
          <w:color w:val="000000" w:themeColor="text1"/>
          <w:szCs w:val="32"/>
        </w:rPr>
        <w:t>3.污水處理：</w:t>
      </w:r>
      <w:r w:rsidRPr="004438AB">
        <w:rPr>
          <w:rFonts w:hint="eastAsia"/>
          <w:color w:val="000000" w:themeColor="text1"/>
        </w:rPr>
        <w:t>本案區域內污水處理</w:t>
      </w:r>
      <w:r w:rsidRPr="004438AB">
        <w:rPr>
          <w:rFonts w:hint="eastAsia"/>
          <w:color w:val="000000" w:themeColor="text1"/>
          <w:szCs w:val="32"/>
        </w:rPr>
        <w:t>從原施作污水下水道系統，改</w:t>
      </w:r>
      <w:proofErr w:type="gramStart"/>
      <w:r w:rsidRPr="004438AB">
        <w:rPr>
          <w:rFonts w:hint="eastAsia"/>
          <w:color w:val="000000" w:themeColor="text1"/>
          <w:szCs w:val="32"/>
        </w:rPr>
        <w:t>採</w:t>
      </w:r>
      <w:proofErr w:type="gramEnd"/>
      <w:r w:rsidRPr="004438AB">
        <w:rPr>
          <w:rFonts w:hint="eastAsia"/>
          <w:color w:val="000000" w:themeColor="text1"/>
          <w:szCs w:val="32"/>
        </w:rPr>
        <w:t>住戶個別設置污水處理設備，</w:t>
      </w:r>
      <w:r w:rsidRPr="004438AB">
        <w:rPr>
          <w:rFonts w:hint="eastAsia"/>
          <w:color w:val="000000" w:themeColor="text1"/>
        </w:rPr>
        <w:t>未評估衝擊，污水處理未完善。</w:t>
      </w:r>
      <w:bookmarkEnd w:id="368"/>
      <w:bookmarkEnd w:id="369"/>
      <w:bookmarkEnd w:id="370"/>
    </w:p>
    <w:p w:rsidR="00985984" w:rsidRPr="006C1FC1" w:rsidRDefault="00985984" w:rsidP="00985984">
      <w:pPr>
        <w:pStyle w:val="3"/>
        <w:rPr>
          <w:color w:val="FF0000"/>
        </w:rPr>
      </w:pPr>
      <w:bookmarkStart w:id="371" w:name="_Toc18513741"/>
      <w:bookmarkStart w:id="372" w:name="_Toc18594832"/>
      <w:bookmarkStart w:id="373" w:name="_Toc18675820"/>
      <w:r w:rsidRPr="004438AB">
        <w:rPr>
          <w:rFonts w:hint="eastAsia"/>
          <w:color w:val="000000" w:themeColor="text1"/>
          <w:szCs w:val="32"/>
        </w:rPr>
        <w:t>據臺北市政府查復，依本案85年間審核通過之環境影響說明書，涉交通事項之結論為：</w:t>
      </w:r>
      <w:r w:rsidRPr="004438AB">
        <w:rPr>
          <w:rFonts w:hAnsi="標楷體"/>
          <w:color w:val="000000" w:themeColor="text1"/>
          <w:szCs w:val="32"/>
        </w:rPr>
        <w:t>「開發單位於施工前，應擬訂交通維持計畫，送交通主管機關審核」</w:t>
      </w:r>
      <w:r w:rsidRPr="004438AB">
        <w:rPr>
          <w:rFonts w:hAnsi="標楷體" w:hint="eastAsia"/>
          <w:color w:val="000000" w:themeColor="text1"/>
          <w:szCs w:val="32"/>
        </w:rPr>
        <w:t>，開發單位（重劃會）提出之</w:t>
      </w:r>
      <w:r w:rsidRPr="004438AB">
        <w:rPr>
          <w:rFonts w:hAnsi="標楷體"/>
          <w:color w:val="000000" w:themeColor="text1"/>
          <w:szCs w:val="32"/>
        </w:rPr>
        <w:t>交通因應對策</w:t>
      </w:r>
      <w:r w:rsidRPr="004438AB">
        <w:rPr>
          <w:rFonts w:hAnsi="標楷體" w:hint="eastAsia"/>
          <w:color w:val="000000" w:themeColor="text1"/>
          <w:szCs w:val="32"/>
        </w:rPr>
        <w:t>概為：</w:t>
      </w:r>
      <w:r w:rsidRPr="004438AB">
        <w:rPr>
          <w:rFonts w:hAnsi="標楷體"/>
          <w:color w:val="000000" w:themeColor="text1"/>
          <w:szCs w:val="32"/>
        </w:rPr>
        <w:t>於上下午交通尖峰時間加派社區警衛人員指揮疏導</w:t>
      </w:r>
      <w:r w:rsidRPr="004438AB">
        <w:rPr>
          <w:rFonts w:hAnsi="標楷體" w:hint="eastAsia"/>
          <w:color w:val="000000" w:themeColor="text1"/>
          <w:szCs w:val="32"/>
        </w:rPr>
        <w:t>、</w:t>
      </w:r>
      <w:proofErr w:type="gramStart"/>
      <w:r w:rsidRPr="004438AB">
        <w:rPr>
          <w:rFonts w:hAnsi="標楷體"/>
          <w:color w:val="000000" w:themeColor="text1"/>
          <w:szCs w:val="32"/>
        </w:rPr>
        <w:t>闢</w:t>
      </w:r>
      <w:proofErr w:type="gramEnd"/>
      <w:r w:rsidRPr="004438AB">
        <w:rPr>
          <w:rFonts w:hAnsi="標楷體"/>
          <w:color w:val="000000" w:themeColor="text1"/>
          <w:szCs w:val="32"/>
        </w:rPr>
        <w:t>駛社區免費接駁巴士</w:t>
      </w:r>
      <w:r w:rsidRPr="004438AB">
        <w:rPr>
          <w:rFonts w:hAnsi="標楷體" w:hint="eastAsia"/>
          <w:color w:val="000000" w:themeColor="text1"/>
          <w:szCs w:val="32"/>
        </w:rPr>
        <w:t>、</w:t>
      </w:r>
      <w:r w:rsidRPr="004438AB">
        <w:rPr>
          <w:rFonts w:hAnsi="標楷體"/>
          <w:color w:val="000000" w:themeColor="text1"/>
          <w:szCs w:val="32"/>
        </w:rPr>
        <w:t>鼓勵</w:t>
      </w:r>
      <w:r w:rsidRPr="004438AB">
        <w:rPr>
          <w:rFonts w:hAnsi="標楷體" w:hint="eastAsia"/>
          <w:color w:val="000000" w:themeColor="text1"/>
          <w:szCs w:val="32"/>
        </w:rPr>
        <w:t>民眾</w:t>
      </w:r>
      <w:r w:rsidRPr="004438AB">
        <w:rPr>
          <w:rFonts w:hAnsi="標楷體"/>
          <w:color w:val="000000" w:themeColor="text1"/>
          <w:szCs w:val="32"/>
        </w:rPr>
        <w:t>搭乘大眾運</w:t>
      </w:r>
      <w:r w:rsidRPr="004438AB">
        <w:rPr>
          <w:rFonts w:hAnsi="標楷體" w:hint="eastAsia"/>
          <w:color w:val="000000" w:themeColor="text1"/>
          <w:szCs w:val="32"/>
        </w:rPr>
        <w:t>具、協助警方巡查加強取締周邊道路違規停車等。另該府交</w:t>
      </w:r>
      <w:r w:rsidRPr="004438AB">
        <w:rPr>
          <w:rFonts w:hint="eastAsia"/>
          <w:color w:val="000000" w:themeColor="text1"/>
          <w:szCs w:val="32"/>
        </w:rPr>
        <w:t>通局</w:t>
      </w:r>
      <w:r w:rsidRPr="004438AB">
        <w:rPr>
          <w:color w:val="000000" w:themeColor="text1"/>
          <w:szCs w:val="32"/>
        </w:rPr>
        <w:t>針對本案聯外交通</w:t>
      </w:r>
      <w:r w:rsidRPr="004438AB">
        <w:rPr>
          <w:rFonts w:hint="eastAsia"/>
          <w:color w:val="000000" w:themeColor="text1"/>
          <w:szCs w:val="32"/>
        </w:rPr>
        <w:t>採取之</w:t>
      </w:r>
      <w:r w:rsidRPr="004438AB">
        <w:rPr>
          <w:color w:val="000000" w:themeColor="text1"/>
          <w:szCs w:val="32"/>
        </w:rPr>
        <w:t>改善措施</w:t>
      </w:r>
      <w:r w:rsidRPr="004438AB">
        <w:rPr>
          <w:rFonts w:hint="eastAsia"/>
          <w:color w:val="000000" w:themeColor="text1"/>
          <w:szCs w:val="32"/>
        </w:rPr>
        <w:t>包括：</w:t>
      </w:r>
      <w:r w:rsidRPr="004438AB">
        <w:rPr>
          <w:color w:val="000000" w:themeColor="text1"/>
          <w:szCs w:val="32"/>
        </w:rPr>
        <w:t>仰德大道復興橋為陽明山進出市區及士林地區通往內湖地區之重要節點</w:t>
      </w:r>
      <w:r w:rsidRPr="004438AB">
        <w:rPr>
          <w:rFonts w:hint="eastAsia"/>
          <w:color w:val="000000" w:themeColor="text1"/>
          <w:szCs w:val="32"/>
        </w:rPr>
        <w:t>，</w:t>
      </w:r>
      <w:r w:rsidRPr="004438AB">
        <w:rPr>
          <w:color w:val="000000" w:themeColor="text1"/>
          <w:szCs w:val="32"/>
        </w:rPr>
        <w:t>為維持該橋頭兩端車流順暢，</w:t>
      </w:r>
      <w:proofErr w:type="gramStart"/>
      <w:r w:rsidRPr="004438AB">
        <w:rPr>
          <w:color w:val="000000" w:themeColor="text1"/>
          <w:szCs w:val="32"/>
        </w:rPr>
        <w:t>已視車流</w:t>
      </w:r>
      <w:proofErr w:type="gramEnd"/>
      <w:r w:rsidRPr="004438AB">
        <w:rPr>
          <w:color w:val="000000" w:themeColor="text1"/>
          <w:szCs w:val="32"/>
        </w:rPr>
        <w:t>紓解情形適時調整號</w:t>
      </w:r>
      <w:proofErr w:type="gramStart"/>
      <w:r w:rsidRPr="004438AB">
        <w:rPr>
          <w:color w:val="000000" w:themeColor="text1"/>
          <w:szCs w:val="32"/>
        </w:rPr>
        <w:t>誌</w:t>
      </w:r>
      <w:proofErr w:type="gramEnd"/>
      <w:r w:rsidRPr="004438AB">
        <w:rPr>
          <w:color w:val="000000" w:themeColor="text1"/>
          <w:szCs w:val="32"/>
        </w:rPr>
        <w:t>秒數</w:t>
      </w:r>
      <w:r w:rsidRPr="004438AB">
        <w:rPr>
          <w:rFonts w:hint="eastAsia"/>
          <w:color w:val="000000" w:themeColor="text1"/>
          <w:szCs w:val="32"/>
        </w:rPr>
        <w:t>及</w:t>
      </w:r>
      <w:r w:rsidRPr="004438AB">
        <w:rPr>
          <w:color w:val="000000" w:themeColor="text1"/>
          <w:szCs w:val="32"/>
        </w:rPr>
        <w:t>交通標誌（線）</w:t>
      </w:r>
      <w:r w:rsidRPr="004438AB">
        <w:rPr>
          <w:rFonts w:hint="eastAsia"/>
          <w:color w:val="000000" w:themeColor="text1"/>
          <w:szCs w:val="32"/>
        </w:rPr>
        <w:t>，並</w:t>
      </w:r>
      <w:r w:rsidRPr="004438AB">
        <w:rPr>
          <w:color w:val="000000" w:themeColor="text1"/>
          <w:szCs w:val="32"/>
        </w:rPr>
        <w:t>提供相關替代道路資</w:t>
      </w:r>
      <w:r w:rsidRPr="004438AB">
        <w:rPr>
          <w:rFonts w:hint="eastAsia"/>
          <w:color w:val="000000" w:themeColor="text1"/>
          <w:szCs w:val="32"/>
        </w:rPr>
        <w:t>訊、</w:t>
      </w:r>
      <w:r w:rsidRPr="004438AB">
        <w:rPr>
          <w:color w:val="000000" w:themeColor="text1"/>
          <w:szCs w:val="32"/>
        </w:rPr>
        <w:t>導引牌面</w:t>
      </w:r>
      <w:r w:rsidRPr="004438AB">
        <w:rPr>
          <w:rFonts w:hint="eastAsia"/>
          <w:color w:val="000000" w:themeColor="text1"/>
          <w:szCs w:val="32"/>
        </w:rPr>
        <w:t>等導引車流，另於例假日</w:t>
      </w:r>
      <w:r w:rsidRPr="004438AB">
        <w:rPr>
          <w:color w:val="000000" w:themeColor="text1"/>
          <w:szCs w:val="32"/>
        </w:rPr>
        <w:t>或花季期間均實施通行管制，以控制車流量</w:t>
      </w:r>
      <w:r w:rsidRPr="004438AB">
        <w:rPr>
          <w:rFonts w:hint="eastAsia"/>
          <w:color w:val="000000" w:themeColor="text1"/>
          <w:szCs w:val="32"/>
        </w:rPr>
        <w:t>等。</w:t>
      </w:r>
      <w:bookmarkEnd w:id="371"/>
      <w:bookmarkEnd w:id="372"/>
      <w:bookmarkEnd w:id="373"/>
    </w:p>
    <w:p w:rsidR="00985984" w:rsidRPr="006C1FC1" w:rsidRDefault="00985984" w:rsidP="00985984">
      <w:pPr>
        <w:pStyle w:val="3"/>
        <w:rPr>
          <w:color w:val="FF0000"/>
        </w:rPr>
      </w:pPr>
      <w:bookmarkStart w:id="374" w:name="_Toc18513742"/>
      <w:bookmarkStart w:id="375" w:name="_Toc18594833"/>
      <w:bookmarkStart w:id="376" w:name="_Toc18675821"/>
      <w:r w:rsidRPr="004438AB">
        <w:rPr>
          <w:rFonts w:hint="eastAsia"/>
          <w:color w:val="000000" w:themeColor="text1"/>
        </w:rPr>
        <w:t>至</w:t>
      </w:r>
      <w:proofErr w:type="gramStart"/>
      <w:r w:rsidRPr="004438AB">
        <w:rPr>
          <w:rFonts w:hint="eastAsia"/>
          <w:color w:val="000000" w:themeColor="text1"/>
        </w:rPr>
        <w:t>本案區內</w:t>
      </w:r>
      <w:proofErr w:type="gramEnd"/>
      <w:r w:rsidRPr="004438AB">
        <w:rPr>
          <w:rFonts w:hint="eastAsia"/>
          <w:color w:val="000000" w:themeColor="text1"/>
        </w:rPr>
        <w:t>聯外排水部分，據臺北市政府90年10間召開之「</w:t>
      </w:r>
      <w:proofErr w:type="gramStart"/>
      <w:r w:rsidRPr="004438AB">
        <w:rPr>
          <w:rFonts w:hint="eastAsia"/>
          <w:color w:val="000000" w:themeColor="text1"/>
        </w:rPr>
        <w:t>研</w:t>
      </w:r>
      <w:proofErr w:type="gramEnd"/>
      <w:r w:rsidRPr="004438AB">
        <w:rPr>
          <w:rFonts w:hint="eastAsia"/>
          <w:color w:val="000000" w:themeColor="text1"/>
        </w:rPr>
        <w:t>商士林區住六之六重劃區後續開發建築、排水系統及污水處理等相關會議」結論紀錄所載：「…</w:t>
      </w:r>
      <w:proofErr w:type="gramStart"/>
      <w:r w:rsidRPr="004438AB">
        <w:rPr>
          <w:rFonts w:hint="eastAsia"/>
          <w:color w:val="000000" w:themeColor="text1"/>
        </w:rPr>
        <w:t>…</w:t>
      </w:r>
      <w:proofErr w:type="gramEnd"/>
      <w:r w:rsidRPr="004438AB">
        <w:rPr>
          <w:rFonts w:hint="eastAsia"/>
          <w:color w:val="000000" w:themeColor="text1"/>
        </w:rPr>
        <w:t>有關整個陽明山地區大區域</w:t>
      </w:r>
      <w:proofErr w:type="gramStart"/>
      <w:r w:rsidRPr="004438AB">
        <w:rPr>
          <w:rFonts w:hint="eastAsia"/>
          <w:color w:val="000000" w:themeColor="text1"/>
        </w:rPr>
        <w:t>之水系分析</w:t>
      </w:r>
      <w:proofErr w:type="gramEnd"/>
      <w:r w:rsidRPr="004438AB">
        <w:rPr>
          <w:rFonts w:hint="eastAsia"/>
          <w:color w:val="000000" w:themeColor="text1"/>
        </w:rPr>
        <w:t>，仍請建設局儘速以專案檢討簽報市府並編列相關預算分階段辦理。並以六之六自辦重劃地區範圍為優先處理地區…</w:t>
      </w:r>
      <w:proofErr w:type="gramStart"/>
      <w:r w:rsidRPr="004438AB">
        <w:rPr>
          <w:rFonts w:hint="eastAsia"/>
          <w:color w:val="000000" w:themeColor="text1"/>
        </w:rPr>
        <w:t>…</w:t>
      </w:r>
      <w:proofErr w:type="gramEnd"/>
      <w:r w:rsidRPr="004438AB">
        <w:rPr>
          <w:rFonts w:hint="eastAsia"/>
          <w:color w:val="000000" w:themeColor="text1"/>
        </w:rPr>
        <w:t>。對於六之六重劃區聯外排水改善方案，中庸一路部分由養工處編列91年度預算</w:t>
      </w:r>
      <w:r w:rsidRPr="004438AB">
        <w:rPr>
          <w:rFonts w:hint="eastAsia"/>
          <w:color w:val="000000" w:themeColor="text1"/>
        </w:rPr>
        <w:lastRenderedPageBreak/>
        <w:t>辦理，永公路245巷於變更都市計畫為水溝用地後由養工處編列92年度預算辦理。」又據臺北市政府工務局養護工程處93年12月21日北市</w:t>
      </w:r>
      <w:proofErr w:type="gramStart"/>
      <w:r w:rsidRPr="004438AB">
        <w:rPr>
          <w:rFonts w:hint="eastAsia"/>
          <w:color w:val="000000" w:themeColor="text1"/>
        </w:rPr>
        <w:t>工養字</w:t>
      </w:r>
      <w:proofErr w:type="gramEnd"/>
      <w:r w:rsidRPr="004438AB">
        <w:rPr>
          <w:rFonts w:hint="eastAsia"/>
          <w:color w:val="000000" w:themeColor="text1"/>
        </w:rPr>
        <w:t>第09367111100號函略</w:t>
      </w:r>
      <w:proofErr w:type="gramStart"/>
      <w:r w:rsidRPr="004438AB">
        <w:rPr>
          <w:rFonts w:hint="eastAsia"/>
          <w:color w:val="000000" w:themeColor="text1"/>
        </w:rPr>
        <w:t>以</w:t>
      </w:r>
      <w:proofErr w:type="gramEnd"/>
      <w:r w:rsidRPr="004438AB">
        <w:rPr>
          <w:rFonts w:hint="eastAsia"/>
          <w:color w:val="000000" w:themeColor="text1"/>
        </w:rPr>
        <w:t>，中庸一路聯外排水將納入93、94及95年度連續預算辦理，業已完成發包作業並要求廠商依合約規範品質嚴格施工辦理中庸一路道路工程（下設排水）等。再據該府於</w:t>
      </w:r>
      <w:proofErr w:type="gramStart"/>
      <w:r w:rsidRPr="004438AB">
        <w:rPr>
          <w:rFonts w:hint="eastAsia"/>
          <w:color w:val="000000" w:themeColor="text1"/>
        </w:rPr>
        <w:t>108年7月間查復</w:t>
      </w:r>
      <w:proofErr w:type="gramEnd"/>
      <w:r w:rsidRPr="004438AB">
        <w:rPr>
          <w:rFonts w:hint="eastAsia"/>
          <w:color w:val="000000" w:themeColor="text1"/>
        </w:rPr>
        <w:t>略</w:t>
      </w:r>
      <w:proofErr w:type="gramStart"/>
      <w:r w:rsidRPr="004438AB">
        <w:rPr>
          <w:rFonts w:hint="eastAsia"/>
          <w:color w:val="000000" w:themeColor="text1"/>
        </w:rPr>
        <w:t>以</w:t>
      </w:r>
      <w:proofErr w:type="gramEnd"/>
      <w:r w:rsidRPr="004438AB">
        <w:rPr>
          <w:rFonts w:hint="eastAsia"/>
          <w:color w:val="000000" w:themeColor="text1"/>
        </w:rPr>
        <w:t>，重劃區內計有6處永久性</w:t>
      </w:r>
      <w:proofErr w:type="gramStart"/>
      <w:r w:rsidRPr="004438AB">
        <w:rPr>
          <w:rFonts w:hint="eastAsia"/>
          <w:color w:val="000000" w:themeColor="text1"/>
        </w:rPr>
        <w:t>滯洪池</w:t>
      </w:r>
      <w:proofErr w:type="gramEnd"/>
      <w:r w:rsidRPr="004438AB">
        <w:rPr>
          <w:rFonts w:hint="eastAsia"/>
          <w:color w:val="000000" w:themeColor="text1"/>
        </w:rPr>
        <w:t>，其中</w:t>
      </w:r>
      <w:proofErr w:type="gramStart"/>
      <w:r w:rsidRPr="004438AB">
        <w:rPr>
          <w:rFonts w:hint="eastAsia"/>
          <w:color w:val="000000" w:themeColor="text1"/>
        </w:rPr>
        <w:t>1處滯洪池</w:t>
      </w:r>
      <w:proofErr w:type="gramEnd"/>
      <w:r w:rsidRPr="004438AB">
        <w:rPr>
          <w:rFonts w:hint="eastAsia"/>
          <w:color w:val="000000" w:themeColor="text1"/>
        </w:rPr>
        <w:t>內雨水經由排水管路排放至中庸一路雨水下水道，</w:t>
      </w:r>
      <w:proofErr w:type="gramStart"/>
      <w:r w:rsidRPr="004438AB">
        <w:rPr>
          <w:rFonts w:hint="eastAsia"/>
          <w:color w:val="000000" w:themeColor="text1"/>
        </w:rPr>
        <w:t>1處滯洪池</w:t>
      </w:r>
      <w:proofErr w:type="gramEnd"/>
      <w:r w:rsidRPr="004438AB">
        <w:rPr>
          <w:rFonts w:hint="eastAsia"/>
          <w:color w:val="000000" w:themeColor="text1"/>
        </w:rPr>
        <w:t>內雨水經由排水管路排放至菁山路既有山溝，其餘</w:t>
      </w:r>
      <w:proofErr w:type="gramStart"/>
      <w:r w:rsidRPr="004438AB">
        <w:rPr>
          <w:rFonts w:hint="eastAsia"/>
          <w:color w:val="000000" w:themeColor="text1"/>
        </w:rPr>
        <w:t>4處滯洪池</w:t>
      </w:r>
      <w:proofErr w:type="gramEnd"/>
      <w:r w:rsidRPr="004438AB">
        <w:rPr>
          <w:rFonts w:hint="eastAsia"/>
          <w:color w:val="000000" w:themeColor="text1"/>
        </w:rPr>
        <w:t>內雨水則經由排水管路自然排放至山溝。</w:t>
      </w:r>
      <w:bookmarkEnd w:id="374"/>
      <w:bookmarkEnd w:id="375"/>
      <w:bookmarkEnd w:id="376"/>
    </w:p>
    <w:p w:rsidR="00FB3BE2" w:rsidRPr="006C1FC1" w:rsidRDefault="0012243A" w:rsidP="00985984">
      <w:pPr>
        <w:pStyle w:val="3"/>
        <w:rPr>
          <w:color w:val="FF0000"/>
        </w:rPr>
      </w:pPr>
      <w:bookmarkStart w:id="377" w:name="_Toc18513743"/>
      <w:bookmarkStart w:id="378" w:name="_Toc18594834"/>
      <w:bookmarkStart w:id="379" w:name="_Toc18675822"/>
      <w:r w:rsidRPr="009B5374">
        <w:rPr>
          <w:rFonts w:hint="eastAsia"/>
          <w:color w:val="000000" w:themeColor="text1"/>
        </w:rPr>
        <w:t>續查</w:t>
      </w:r>
      <w:r w:rsidR="00FD1DA6" w:rsidRPr="009B5374">
        <w:rPr>
          <w:rFonts w:hint="eastAsia"/>
          <w:color w:val="000000" w:themeColor="text1"/>
        </w:rPr>
        <w:t>，</w:t>
      </w:r>
      <w:r w:rsidRPr="009B5374">
        <w:rPr>
          <w:rFonts w:hint="eastAsia"/>
          <w:color w:val="000000" w:themeColor="text1"/>
        </w:rPr>
        <w:t>本案</w:t>
      </w:r>
      <w:r w:rsidR="00017310" w:rsidRPr="009B5374">
        <w:rPr>
          <w:rFonts w:hint="eastAsia"/>
          <w:color w:val="000000" w:themeColor="text1"/>
        </w:rPr>
        <w:t>重劃區</w:t>
      </w:r>
      <w:r w:rsidRPr="009B5374">
        <w:rPr>
          <w:rFonts w:hint="eastAsia"/>
          <w:color w:val="000000" w:themeColor="text1"/>
        </w:rPr>
        <w:t>污水處理廠因坡度限制</w:t>
      </w:r>
      <w:r w:rsidR="00017310" w:rsidRPr="009B5374">
        <w:rPr>
          <w:rFonts w:hint="eastAsia"/>
          <w:color w:val="000000" w:themeColor="text1"/>
        </w:rPr>
        <w:t>不能於原址設置，</w:t>
      </w:r>
      <w:r w:rsidR="00E95EBE" w:rsidRPr="009B5374">
        <w:rPr>
          <w:rFonts w:hint="eastAsia"/>
          <w:color w:val="000000" w:themeColor="text1"/>
        </w:rPr>
        <w:t>而</w:t>
      </w:r>
      <w:r w:rsidRPr="009B5374">
        <w:rPr>
          <w:rFonts w:hint="eastAsia"/>
          <w:color w:val="000000" w:themeColor="text1"/>
        </w:rPr>
        <w:t>開發單位（重劃會）</w:t>
      </w:r>
      <w:r w:rsidR="00E95EBE" w:rsidRPr="009B5374">
        <w:rPr>
          <w:rFonts w:hint="eastAsia"/>
          <w:color w:val="000000" w:themeColor="text1"/>
        </w:rPr>
        <w:t>已向臺北市政府申請將重劃區污水管線銜接納入陽明山污水公共管線服務區內，期能解決重劃區污水處理問題。據臺北市政府查復，開發單位</w:t>
      </w:r>
      <w:r w:rsidRPr="009B5374">
        <w:rPr>
          <w:rFonts w:hint="eastAsia"/>
          <w:color w:val="000000" w:themeColor="text1"/>
        </w:rPr>
        <w:t>於</w:t>
      </w:r>
      <w:r w:rsidR="00E95EBE" w:rsidRPr="009B5374">
        <w:rPr>
          <w:rFonts w:hint="eastAsia"/>
          <w:color w:val="000000" w:themeColor="text1"/>
        </w:rPr>
        <w:t>案關</w:t>
      </w:r>
      <w:proofErr w:type="gramStart"/>
      <w:r w:rsidRPr="009B5374">
        <w:rPr>
          <w:rFonts w:hint="eastAsia"/>
          <w:color w:val="000000" w:themeColor="text1"/>
        </w:rPr>
        <w:t>污水管渠設計</w:t>
      </w:r>
      <w:proofErr w:type="gramEnd"/>
      <w:r w:rsidRPr="009B5374">
        <w:rPr>
          <w:rFonts w:hint="eastAsia"/>
          <w:color w:val="000000" w:themeColor="text1"/>
        </w:rPr>
        <w:t>書圖未經</w:t>
      </w:r>
      <w:r w:rsidR="00A70C5F" w:rsidRPr="009B5374">
        <w:rPr>
          <w:rFonts w:hint="eastAsia"/>
          <w:color w:val="000000" w:themeColor="text1"/>
        </w:rPr>
        <w:t>該府</w:t>
      </w:r>
      <w:r w:rsidRPr="009B5374">
        <w:rPr>
          <w:rFonts w:hint="eastAsia"/>
          <w:color w:val="000000" w:themeColor="text1"/>
        </w:rPr>
        <w:t>核定情形下，已有違規施築情形，</w:t>
      </w:r>
      <w:r w:rsidRPr="004438AB">
        <w:rPr>
          <w:color w:val="000000" w:themeColor="text1"/>
        </w:rPr>
        <w:t>現場</w:t>
      </w:r>
      <w:proofErr w:type="gramStart"/>
      <w:r w:rsidRPr="004438AB">
        <w:rPr>
          <w:color w:val="000000" w:themeColor="text1"/>
        </w:rPr>
        <w:t>污水管渠已</w:t>
      </w:r>
      <w:proofErr w:type="gramEnd"/>
      <w:r w:rsidRPr="004438AB">
        <w:rPr>
          <w:color w:val="000000" w:themeColor="text1"/>
        </w:rPr>
        <w:t>埋設</w:t>
      </w:r>
      <w:proofErr w:type="gramStart"/>
      <w:r w:rsidRPr="004438AB">
        <w:rPr>
          <w:color w:val="000000" w:themeColor="text1"/>
        </w:rPr>
        <w:t>重力管約</w:t>
      </w:r>
      <w:proofErr w:type="gramEnd"/>
      <w:r w:rsidRPr="004438AB">
        <w:rPr>
          <w:color w:val="000000" w:themeColor="text1"/>
        </w:rPr>
        <w:t>1,944公尺</w:t>
      </w:r>
      <w:r w:rsidRPr="004438AB">
        <w:rPr>
          <w:rFonts w:hint="eastAsia"/>
          <w:color w:val="000000" w:themeColor="text1"/>
        </w:rPr>
        <w:t>、</w:t>
      </w:r>
      <w:proofErr w:type="gramStart"/>
      <w:r w:rsidRPr="004438AB">
        <w:rPr>
          <w:color w:val="000000" w:themeColor="text1"/>
        </w:rPr>
        <w:t>壓力管約257公尺</w:t>
      </w:r>
      <w:proofErr w:type="gramEnd"/>
      <w:r w:rsidRPr="004438AB">
        <w:rPr>
          <w:rFonts w:hint="eastAsia"/>
          <w:color w:val="000000" w:themeColor="text1"/>
        </w:rPr>
        <w:t>，</w:t>
      </w:r>
      <w:r w:rsidRPr="004438AB">
        <w:rPr>
          <w:color w:val="000000" w:themeColor="text1"/>
        </w:rPr>
        <w:t>已埋設</w:t>
      </w:r>
      <w:proofErr w:type="gramStart"/>
      <w:r w:rsidRPr="004438AB">
        <w:rPr>
          <w:color w:val="000000" w:themeColor="text1"/>
        </w:rPr>
        <w:t>污水管渠長度</w:t>
      </w:r>
      <w:proofErr w:type="gramEnd"/>
      <w:r w:rsidRPr="004438AB">
        <w:rPr>
          <w:color w:val="000000" w:themeColor="text1"/>
        </w:rPr>
        <w:t>約</w:t>
      </w:r>
      <w:r w:rsidRPr="004438AB">
        <w:rPr>
          <w:rFonts w:hint="eastAsia"/>
          <w:color w:val="000000" w:themeColor="text1"/>
        </w:rPr>
        <w:t>占</w:t>
      </w:r>
      <w:r w:rsidRPr="004438AB">
        <w:rPr>
          <w:color w:val="000000" w:themeColor="text1"/>
        </w:rPr>
        <w:t>重劃</w:t>
      </w:r>
      <w:proofErr w:type="gramStart"/>
      <w:r w:rsidRPr="004438AB">
        <w:rPr>
          <w:color w:val="000000" w:themeColor="text1"/>
        </w:rPr>
        <w:t>概估管渠總長</w:t>
      </w:r>
      <w:proofErr w:type="gramEnd"/>
      <w:r w:rsidRPr="004438AB">
        <w:rPr>
          <w:color w:val="000000" w:themeColor="text1"/>
        </w:rPr>
        <w:t>29%</w:t>
      </w:r>
      <w:r w:rsidR="004D058A" w:rsidRPr="004438AB">
        <w:rPr>
          <w:rFonts w:hint="eastAsia"/>
          <w:color w:val="000000" w:themeColor="text1"/>
        </w:rPr>
        <w:t xml:space="preserve"> </w:t>
      </w:r>
      <w:r w:rsidRPr="004438AB">
        <w:rPr>
          <w:rStyle w:val="afe"/>
          <w:color w:val="000000" w:themeColor="text1"/>
        </w:rPr>
        <w:footnoteReference w:id="5"/>
      </w:r>
      <w:r w:rsidR="00BA7441">
        <w:rPr>
          <w:rFonts w:hint="eastAsia"/>
          <w:color w:val="000000" w:themeColor="text1"/>
        </w:rPr>
        <w:t>。</w:t>
      </w:r>
      <w:proofErr w:type="gramStart"/>
      <w:r w:rsidR="00E95EBE" w:rsidRPr="004438AB">
        <w:rPr>
          <w:rFonts w:hint="eastAsia"/>
          <w:color w:val="000000" w:themeColor="text1"/>
        </w:rPr>
        <w:t>該</w:t>
      </w:r>
      <w:r w:rsidRPr="004438AB">
        <w:rPr>
          <w:rFonts w:hint="eastAsia"/>
          <w:color w:val="000000" w:themeColor="text1"/>
        </w:rPr>
        <w:t>府經檢討</w:t>
      </w:r>
      <w:proofErr w:type="gramEnd"/>
      <w:r w:rsidRPr="004438AB">
        <w:rPr>
          <w:rFonts w:hint="eastAsia"/>
          <w:color w:val="000000" w:themeColor="text1"/>
        </w:rPr>
        <w:t>公共污水系統雖尚可容納，惟此污水處理方式與本案原85年間核定之環境影響說明書內容不同，因此請開發單位仍應重提環境影響差異分析報告送審，以符法制程序</w:t>
      </w:r>
      <w:r w:rsidR="00FD1DA6" w:rsidRPr="004438AB">
        <w:rPr>
          <w:rFonts w:hint="eastAsia"/>
          <w:color w:val="000000" w:themeColor="text1"/>
        </w:rPr>
        <w:t>等。</w:t>
      </w:r>
      <w:r w:rsidR="00FD1DA6" w:rsidRPr="009B5374">
        <w:rPr>
          <w:rFonts w:hint="eastAsia"/>
          <w:color w:val="000000" w:themeColor="text1"/>
        </w:rPr>
        <w:t>仍</w:t>
      </w:r>
      <w:r w:rsidR="004D058A" w:rsidRPr="009B5374">
        <w:rPr>
          <w:rFonts w:hint="eastAsia"/>
          <w:color w:val="000000" w:themeColor="text1"/>
        </w:rPr>
        <w:t>未見</w:t>
      </w:r>
      <w:r w:rsidRPr="004438AB">
        <w:rPr>
          <w:rFonts w:hint="eastAsia"/>
          <w:color w:val="000000" w:themeColor="text1"/>
        </w:rPr>
        <w:t>具體處理方式規劃。</w:t>
      </w:r>
      <w:bookmarkEnd w:id="377"/>
      <w:bookmarkEnd w:id="378"/>
      <w:bookmarkEnd w:id="379"/>
    </w:p>
    <w:p w:rsidR="0012243A" w:rsidRPr="00DA0E43" w:rsidRDefault="0012243A" w:rsidP="00985984">
      <w:pPr>
        <w:pStyle w:val="3"/>
      </w:pPr>
      <w:bookmarkStart w:id="380" w:name="_Toc18513744"/>
      <w:bookmarkStart w:id="381" w:name="_Toc18594835"/>
      <w:bookmarkStart w:id="382" w:name="_Toc18675823"/>
      <w:r w:rsidRPr="004438AB">
        <w:rPr>
          <w:rFonts w:hint="eastAsia"/>
          <w:color w:val="000000" w:themeColor="text1"/>
        </w:rPr>
        <w:t>衡諸本案引發交通衝擊、聯外排水、污水處理等諸多環境衝擊疑慮，於該府歷次</w:t>
      </w:r>
      <w:r w:rsidRPr="009B5374">
        <w:rPr>
          <w:rFonts w:hint="eastAsia"/>
          <w:color w:val="000000" w:themeColor="text1"/>
        </w:rPr>
        <w:t>環評會</w:t>
      </w:r>
      <w:proofErr w:type="gramStart"/>
      <w:r w:rsidR="00C44A19" w:rsidRPr="009B5374">
        <w:rPr>
          <w:rFonts w:hint="eastAsia"/>
          <w:color w:val="000000" w:themeColor="text1"/>
        </w:rPr>
        <w:t>中</w:t>
      </w:r>
      <w:r w:rsidRPr="009B5374">
        <w:rPr>
          <w:rFonts w:hint="eastAsia"/>
          <w:color w:val="000000" w:themeColor="text1"/>
        </w:rPr>
        <w:t>均有審查</w:t>
      </w:r>
      <w:proofErr w:type="gramEnd"/>
      <w:r w:rsidRPr="009B5374">
        <w:rPr>
          <w:rFonts w:hint="eastAsia"/>
          <w:color w:val="000000" w:themeColor="text1"/>
        </w:rPr>
        <w:t>委員提及，</w:t>
      </w:r>
      <w:proofErr w:type="gramStart"/>
      <w:r w:rsidRPr="009B5374">
        <w:rPr>
          <w:rFonts w:hint="eastAsia"/>
          <w:color w:val="000000" w:themeColor="text1"/>
        </w:rPr>
        <w:t>並迭遭民眾</w:t>
      </w:r>
      <w:proofErr w:type="gramEnd"/>
      <w:r w:rsidRPr="009B5374">
        <w:rPr>
          <w:rFonts w:hint="eastAsia"/>
          <w:color w:val="000000" w:themeColor="text1"/>
        </w:rPr>
        <w:t>及環保團體指出臺北市政府對</w:t>
      </w:r>
      <w:r w:rsidR="00795463" w:rsidRPr="009B5374">
        <w:rPr>
          <w:rFonts w:hint="eastAsia"/>
          <w:color w:val="000000" w:themeColor="text1"/>
        </w:rPr>
        <w:lastRenderedPageBreak/>
        <w:t>此</w:t>
      </w:r>
      <w:r w:rsidRPr="009B5374">
        <w:rPr>
          <w:rFonts w:hint="eastAsia"/>
          <w:color w:val="000000" w:themeColor="text1"/>
        </w:rPr>
        <w:t>未有明確有效之處理策略，</w:t>
      </w:r>
      <w:proofErr w:type="gramStart"/>
      <w:r w:rsidRPr="009B5374">
        <w:rPr>
          <w:rFonts w:hint="eastAsia"/>
          <w:color w:val="000000" w:themeColor="text1"/>
        </w:rPr>
        <w:t>此觀諸</w:t>
      </w:r>
      <w:proofErr w:type="gramEnd"/>
      <w:r w:rsidRPr="009B5374">
        <w:rPr>
          <w:rFonts w:hint="eastAsia"/>
          <w:color w:val="000000" w:themeColor="text1"/>
        </w:rPr>
        <w:t>前揭臺北市政府各項措施可見一斑，難謂允當。</w:t>
      </w:r>
      <w:r w:rsidR="009267A0" w:rsidRPr="009B5374">
        <w:rPr>
          <w:rFonts w:hint="eastAsia"/>
          <w:color w:val="000000" w:themeColor="text1"/>
        </w:rPr>
        <w:t>又</w:t>
      </w:r>
      <w:proofErr w:type="gramStart"/>
      <w:r w:rsidR="003B6028" w:rsidRPr="009B5374">
        <w:rPr>
          <w:rFonts w:hint="eastAsia"/>
          <w:color w:val="000000" w:themeColor="text1"/>
        </w:rPr>
        <w:t>本</w:t>
      </w:r>
      <w:r w:rsidR="00B30B48" w:rsidRPr="009B5374">
        <w:rPr>
          <w:rFonts w:hint="eastAsia"/>
          <w:color w:val="000000" w:themeColor="text1"/>
        </w:rPr>
        <w:t>案土石方</w:t>
      </w:r>
      <w:proofErr w:type="gramEnd"/>
      <w:r w:rsidR="00B30B48" w:rsidRPr="009B5374">
        <w:rPr>
          <w:rFonts w:hint="eastAsia"/>
          <w:color w:val="000000" w:themeColor="text1"/>
        </w:rPr>
        <w:t>量</w:t>
      </w:r>
      <w:r w:rsidR="003B6028" w:rsidRPr="009B5374">
        <w:rPr>
          <w:rFonts w:hint="eastAsia"/>
          <w:color w:val="000000" w:themeColor="text1"/>
        </w:rPr>
        <w:t>由</w:t>
      </w:r>
      <w:r w:rsidR="009267A0" w:rsidRPr="009B5374">
        <w:rPr>
          <w:rFonts w:hint="eastAsia"/>
          <w:color w:val="000000" w:themeColor="text1"/>
        </w:rPr>
        <w:t>85年間</w:t>
      </w:r>
      <w:r w:rsidR="00B30B48" w:rsidRPr="009B5374">
        <w:rPr>
          <w:rFonts w:hint="eastAsia"/>
          <w:color w:val="000000" w:themeColor="text1"/>
        </w:rPr>
        <w:t>環境影響說明書所載</w:t>
      </w:r>
      <w:r w:rsidR="003B6028" w:rsidRPr="009B5374">
        <w:rPr>
          <w:rFonts w:hint="eastAsia"/>
          <w:color w:val="000000" w:themeColor="text1"/>
        </w:rPr>
        <w:t>之</w:t>
      </w:r>
      <w:r w:rsidR="00B30B48" w:rsidRPr="009B5374">
        <w:rPr>
          <w:rFonts w:hint="eastAsia"/>
          <w:color w:val="000000" w:themeColor="text1"/>
        </w:rPr>
        <w:t>25萬立方公尺，至96年6月間水土保持計畫第2次變更後</w:t>
      </w:r>
      <w:proofErr w:type="gramStart"/>
      <w:r w:rsidR="00B30B48" w:rsidRPr="009B5374">
        <w:rPr>
          <w:rFonts w:hint="eastAsia"/>
          <w:color w:val="000000" w:themeColor="text1"/>
        </w:rPr>
        <w:t>遽</w:t>
      </w:r>
      <w:proofErr w:type="gramEnd"/>
      <w:r w:rsidR="00B30B48" w:rsidRPr="009B5374">
        <w:rPr>
          <w:rFonts w:hint="eastAsia"/>
          <w:color w:val="000000" w:themeColor="text1"/>
        </w:rPr>
        <w:t>增</w:t>
      </w:r>
      <w:r w:rsidR="00C44A19" w:rsidRPr="009B5374">
        <w:rPr>
          <w:rFonts w:hint="eastAsia"/>
          <w:color w:val="000000" w:themeColor="text1"/>
        </w:rPr>
        <w:t>為</w:t>
      </w:r>
      <w:r w:rsidR="00B30B48" w:rsidRPr="009B5374">
        <w:rPr>
          <w:rFonts w:hint="eastAsia"/>
          <w:color w:val="000000" w:themeColor="text1"/>
        </w:rPr>
        <w:t>58萬</w:t>
      </w:r>
      <w:r w:rsidR="00DA5E3D" w:rsidRPr="009B5374">
        <w:rPr>
          <w:rFonts w:hint="eastAsia"/>
          <w:color w:val="000000" w:themeColor="text1"/>
        </w:rPr>
        <w:t>6,667立方公尺，</w:t>
      </w:r>
      <w:r w:rsidR="00AD30C6" w:rsidRPr="009B5374">
        <w:rPr>
          <w:rFonts w:hint="eastAsia"/>
          <w:color w:val="000000" w:themeColor="text1"/>
        </w:rPr>
        <w:t>增加</w:t>
      </w:r>
      <w:r w:rsidR="00272492" w:rsidRPr="009B5374">
        <w:rPr>
          <w:rFonts w:hint="eastAsia"/>
          <w:color w:val="000000" w:themeColor="text1"/>
        </w:rPr>
        <w:t>數量逾2.3倍，</w:t>
      </w:r>
      <w:r w:rsidR="0053725F" w:rsidRPr="009B5374">
        <w:rPr>
          <w:rFonts w:hint="eastAsia"/>
          <w:color w:val="000000" w:themeColor="text1"/>
        </w:rPr>
        <w:t>應</w:t>
      </w:r>
      <w:r w:rsidR="00DA5E3D" w:rsidRPr="009B5374">
        <w:rPr>
          <w:rFonts w:hint="eastAsia"/>
          <w:color w:val="000000" w:themeColor="text1"/>
        </w:rPr>
        <w:t>否重辦環境影響評估</w:t>
      </w:r>
      <w:r w:rsidR="00610D7A" w:rsidRPr="009B5374">
        <w:rPr>
          <w:rFonts w:hint="eastAsia"/>
          <w:color w:val="000000" w:themeColor="text1"/>
        </w:rPr>
        <w:t>，</w:t>
      </w:r>
      <w:proofErr w:type="gramStart"/>
      <w:r w:rsidR="004D058A" w:rsidRPr="009B5374">
        <w:rPr>
          <w:rFonts w:hint="eastAsia"/>
          <w:color w:val="000000" w:themeColor="text1"/>
        </w:rPr>
        <w:t>允宜</w:t>
      </w:r>
      <w:r w:rsidR="00610D7A" w:rsidRPr="009B5374">
        <w:rPr>
          <w:rFonts w:hint="eastAsia"/>
          <w:color w:val="000000" w:themeColor="text1"/>
        </w:rPr>
        <w:t>審酌</w:t>
      </w:r>
      <w:proofErr w:type="gramEnd"/>
      <w:r w:rsidR="00610D7A" w:rsidRPr="009B5374">
        <w:rPr>
          <w:rFonts w:hint="eastAsia"/>
          <w:color w:val="000000" w:themeColor="text1"/>
        </w:rPr>
        <w:t>。綜上，</w:t>
      </w:r>
      <w:r w:rsidR="00C44A19" w:rsidRPr="009B5374">
        <w:rPr>
          <w:rFonts w:hint="eastAsia"/>
          <w:color w:val="000000" w:themeColor="text1"/>
        </w:rPr>
        <w:t>臺北市</w:t>
      </w:r>
      <w:r w:rsidRPr="009B5374">
        <w:rPr>
          <w:rFonts w:hint="eastAsia"/>
          <w:color w:val="000000" w:themeColor="text1"/>
        </w:rPr>
        <w:t>政府環評</w:t>
      </w:r>
      <w:proofErr w:type="gramStart"/>
      <w:r w:rsidRPr="009B5374">
        <w:rPr>
          <w:rFonts w:hint="eastAsia"/>
          <w:color w:val="000000" w:themeColor="text1"/>
        </w:rPr>
        <w:t>會既依最高法院</w:t>
      </w:r>
      <w:proofErr w:type="gramEnd"/>
      <w:r w:rsidRPr="009B5374">
        <w:rPr>
          <w:rFonts w:hint="eastAsia"/>
          <w:color w:val="000000" w:themeColor="text1"/>
        </w:rPr>
        <w:t>判決結果，決議要求開發單位重提本案環境影響差異分析報告，</w:t>
      </w:r>
      <w:r w:rsidRPr="00EA746E">
        <w:rPr>
          <w:rFonts w:hint="eastAsia"/>
          <w:color w:val="000000" w:themeColor="text1"/>
        </w:rPr>
        <w:t>允應針對各項環境衝擊疑慮及爭議事項</w:t>
      </w:r>
      <w:r w:rsidR="004D058A" w:rsidRPr="00EA746E">
        <w:rPr>
          <w:rFonts w:hint="eastAsia"/>
          <w:color w:val="000000" w:themeColor="text1"/>
        </w:rPr>
        <w:t>、應否重新辦理環境影響評估等</w:t>
      </w:r>
      <w:r w:rsidRPr="00EA746E">
        <w:rPr>
          <w:rFonts w:hint="eastAsia"/>
          <w:color w:val="000000" w:themeColor="text1"/>
        </w:rPr>
        <w:t>再妥</w:t>
      </w:r>
      <w:proofErr w:type="gramStart"/>
      <w:r w:rsidRPr="00EA746E">
        <w:rPr>
          <w:rFonts w:hint="eastAsia"/>
          <w:color w:val="000000" w:themeColor="text1"/>
        </w:rPr>
        <w:t>予審</w:t>
      </w:r>
      <w:proofErr w:type="gramEnd"/>
      <w:r w:rsidRPr="00EA746E">
        <w:rPr>
          <w:rFonts w:hint="eastAsia"/>
          <w:color w:val="000000" w:themeColor="text1"/>
        </w:rPr>
        <w:t>評</w:t>
      </w:r>
      <w:bookmarkEnd w:id="380"/>
      <w:bookmarkEnd w:id="381"/>
      <w:bookmarkEnd w:id="382"/>
      <w:r w:rsidR="00610D7A" w:rsidRPr="00EA746E">
        <w:rPr>
          <w:rFonts w:hint="eastAsia"/>
          <w:color w:val="000000" w:themeColor="text1"/>
        </w:rPr>
        <w:t>。</w:t>
      </w:r>
    </w:p>
    <w:p w:rsidR="00E25849" w:rsidRPr="00DA0E43" w:rsidRDefault="00E25849" w:rsidP="004E05A1">
      <w:pPr>
        <w:pStyle w:val="1"/>
        <w:ind w:left="2380" w:hanging="2380"/>
      </w:pPr>
      <w:bookmarkStart w:id="383" w:name="_Toc524895648"/>
      <w:bookmarkStart w:id="384" w:name="_Toc524896194"/>
      <w:bookmarkStart w:id="385" w:name="_Toc524896224"/>
      <w:bookmarkStart w:id="386" w:name="_Toc524902734"/>
      <w:bookmarkStart w:id="387" w:name="_Toc525066148"/>
      <w:bookmarkStart w:id="388" w:name="_Toc525070839"/>
      <w:bookmarkStart w:id="389" w:name="_Toc525938379"/>
      <w:bookmarkStart w:id="390" w:name="_Toc525939227"/>
      <w:bookmarkStart w:id="391" w:name="_Toc525939732"/>
      <w:bookmarkStart w:id="392" w:name="_Toc529218272"/>
      <w:bookmarkEnd w:id="49"/>
      <w:r w:rsidRPr="00DA0E43">
        <w:br w:type="page"/>
      </w:r>
      <w:bookmarkStart w:id="393" w:name="_Toc529222689"/>
      <w:bookmarkStart w:id="394" w:name="_Toc529223111"/>
      <w:bookmarkStart w:id="395" w:name="_Toc529223862"/>
      <w:bookmarkStart w:id="396" w:name="_Toc529228265"/>
      <w:bookmarkStart w:id="397" w:name="_Toc2400395"/>
      <w:bookmarkStart w:id="398" w:name="_Toc4316189"/>
      <w:bookmarkStart w:id="399" w:name="_Toc4473330"/>
      <w:bookmarkStart w:id="400" w:name="_Toc69556897"/>
      <w:bookmarkStart w:id="401" w:name="_Toc69556946"/>
      <w:bookmarkStart w:id="402" w:name="_Toc69609820"/>
      <w:bookmarkStart w:id="403" w:name="_Toc70241816"/>
      <w:bookmarkStart w:id="404" w:name="_Toc70242205"/>
      <w:bookmarkStart w:id="405" w:name="_Toc421794875"/>
      <w:bookmarkStart w:id="406" w:name="_Toc18675824"/>
      <w:r w:rsidRPr="00DA0E43">
        <w:rPr>
          <w:rFonts w:hint="eastAsia"/>
        </w:rPr>
        <w:lastRenderedPageBreak/>
        <w:t>處理辦法：</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0012243A" w:rsidRPr="00DA0E43">
        <w:t xml:space="preserve"> </w:t>
      </w:r>
    </w:p>
    <w:p w:rsidR="00FB7770" w:rsidRPr="00DA0E43" w:rsidRDefault="0012243A" w:rsidP="00770453">
      <w:pPr>
        <w:pStyle w:val="2"/>
        <w:spacing w:beforeLines="25" w:before="114"/>
        <w:ind w:left="1020" w:hanging="680"/>
      </w:pPr>
      <w:bookmarkStart w:id="407" w:name="_Toc524895649"/>
      <w:bookmarkStart w:id="408" w:name="_Toc524896195"/>
      <w:bookmarkStart w:id="409" w:name="_Toc524896225"/>
      <w:bookmarkStart w:id="410" w:name="_Toc18675825"/>
      <w:bookmarkStart w:id="411" w:name="_Toc2400396"/>
      <w:bookmarkStart w:id="412" w:name="_Toc4316190"/>
      <w:bookmarkStart w:id="413" w:name="_Toc4473331"/>
      <w:bookmarkStart w:id="414" w:name="_Toc69556898"/>
      <w:bookmarkStart w:id="415" w:name="_Toc69556947"/>
      <w:bookmarkStart w:id="416" w:name="_Toc69609821"/>
      <w:bookmarkStart w:id="417" w:name="_Toc70241817"/>
      <w:bookmarkStart w:id="418" w:name="_Toc70242206"/>
      <w:bookmarkStart w:id="419" w:name="_Toc524902735"/>
      <w:bookmarkStart w:id="420" w:name="_Toc525066149"/>
      <w:bookmarkStart w:id="421" w:name="_Toc525070840"/>
      <w:bookmarkStart w:id="422" w:name="_Toc525938380"/>
      <w:bookmarkStart w:id="423" w:name="_Toc525939228"/>
      <w:bookmarkStart w:id="424" w:name="_Toc525939733"/>
      <w:bookmarkStart w:id="425" w:name="_Toc529218273"/>
      <w:bookmarkStart w:id="426" w:name="_Toc529222690"/>
      <w:bookmarkStart w:id="427" w:name="_Toc529223112"/>
      <w:bookmarkStart w:id="428" w:name="_Toc529223863"/>
      <w:bookmarkStart w:id="429" w:name="_Toc529228266"/>
      <w:bookmarkEnd w:id="407"/>
      <w:bookmarkEnd w:id="408"/>
      <w:bookmarkEnd w:id="409"/>
      <w:r w:rsidRPr="00DA0E43">
        <w:rPr>
          <w:rFonts w:hint="eastAsia"/>
        </w:rPr>
        <w:t>調查意見函復陳訴人。</w:t>
      </w:r>
      <w:bookmarkEnd w:id="410"/>
    </w:p>
    <w:p w:rsidR="00E25849" w:rsidRPr="00DA0E43" w:rsidRDefault="0012243A">
      <w:pPr>
        <w:pStyle w:val="2"/>
      </w:pPr>
      <w:bookmarkStart w:id="430" w:name="_Toc421794877"/>
      <w:bookmarkStart w:id="431" w:name="_Toc421795443"/>
      <w:bookmarkStart w:id="432" w:name="_Toc421796024"/>
      <w:bookmarkStart w:id="433" w:name="_Toc422728959"/>
      <w:bookmarkStart w:id="434" w:name="_Toc422834162"/>
      <w:bookmarkStart w:id="435" w:name="_Toc18675826"/>
      <w:r w:rsidRPr="00DA0E43">
        <w:rPr>
          <w:rFonts w:hint="eastAsia"/>
        </w:rPr>
        <w:t>調查意見</w:t>
      </w:r>
      <w:r w:rsidR="00A459A5">
        <w:rPr>
          <w:rFonts w:hint="eastAsia"/>
        </w:rPr>
        <w:t>二至</w:t>
      </w:r>
      <w:r w:rsidR="00A16F6F">
        <w:rPr>
          <w:rFonts w:hint="eastAsia"/>
        </w:rPr>
        <w:t>五</w:t>
      </w:r>
      <w:r w:rsidRPr="00DA0E43">
        <w:rPr>
          <w:rFonts w:hint="eastAsia"/>
        </w:rPr>
        <w:t>函請臺北市政府檢討</w:t>
      </w:r>
      <w:proofErr w:type="gramStart"/>
      <w:r w:rsidR="00A16F6F">
        <w:rPr>
          <w:rFonts w:hint="eastAsia"/>
        </w:rPr>
        <w:t>妥處</w:t>
      </w:r>
      <w:r w:rsidRPr="00DA0E43">
        <w:rPr>
          <w:rFonts w:hint="eastAsia"/>
        </w:rPr>
        <w:t>見復。</w:t>
      </w:r>
      <w:bookmarkEnd w:id="411"/>
      <w:bookmarkEnd w:id="412"/>
      <w:bookmarkEnd w:id="413"/>
      <w:bookmarkEnd w:id="414"/>
      <w:bookmarkEnd w:id="415"/>
      <w:bookmarkEnd w:id="416"/>
      <w:bookmarkEnd w:id="417"/>
      <w:bookmarkEnd w:id="418"/>
      <w:bookmarkEnd w:id="430"/>
      <w:bookmarkEnd w:id="431"/>
      <w:bookmarkEnd w:id="432"/>
      <w:bookmarkEnd w:id="433"/>
      <w:bookmarkEnd w:id="434"/>
      <w:bookmarkEnd w:id="435"/>
      <w:proofErr w:type="gramEnd"/>
    </w:p>
    <w:p w:rsidR="00560DDA" w:rsidRPr="00DA0E43" w:rsidRDefault="0012243A" w:rsidP="00560DDA">
      <w:pPr>
        <w:pStyle w:val="2"/>
      </w:pPr>
      <w:bookmarkStart w:id="436" w:name="_Toc70241820"/>
      <w:bookmarkStart w:id="437" w:name="_Toc70242209"/>
      <w:bookmarkStart w:id="438" w:name="_Toc18675827"/>
      <w:bookmarkStart w:id="439" w:name="_Toc70241818"/>
      <w:bookmarkStart w:id="440" w:name="_Toc70242207"/>
      <w:r w:rsidRPr="00DA0E43">
        <w:rPr>
          <w:rFonts w:hint="eastAsia"/>
        </w:rPr>
        <w:t>調查意見上網公布</w:t>
      </w:r>
      <w:r w:rsidRPr="00DA0E43">
        <w:rPr>
          <w:rFonts w:hAnsi="標楷體" w:hint="eastAsia"/>
        </w:rPr>
        <w:t>。</w:t>
      </w:r>
      <w:bookmarkEnd w:id="436"/>
      <w:bookmarkEnd w:id="437"/>
      <w:bookmarkEnd w:id="438"/>
    </w:p>
    <w:p w:rsidR="00560DDA" w:rsidRPr="00DA0E43" w:rsidRDefault="0012243A" w:rsidP="00560DDA">
      <w:pPr>
        <w:pStyle w:val="2"/>
      </w:pPr>
      <w:bookmarkStart w:id="441" w:name="_Toc18675828"/>
      <w:bookmarkEnd w:id="439"/>
      <w:bookmarkEnd w:id="440"/>
      <w:r w:rsidRPr="00DA0E43">
        <w:rPr>
          <w:rFonts w:hint="eastAsia"/>
        </w:rPr>
        <w:t>檢</w:t>
      </w:r>
      <w:proofErr w:type="gramStart"/>
      <w:r w:rsidRPr="00DA0E43">
        <w:rPr>
          <w:rFonts w:hint="eastAsia"/>
        </w:rPr>
        <w:t>附派查函</w:t>
      </w:r>
      <w:proofErr w:type="gramEnd"/>
      <w:r w:rsidRPr="00DA0E43">
        <w:rPr>
          <w:rFonts w:hint="eastAsia"/>
        </w:rPr>
        <w:t>及相關附件，送</w:t>
      </w:r>
      <w:r w:rsidRPr="00017310">
        <w:rPr>
          <w:rFonts w:hint="eastAsia"/>
          <w:color w:val="000000" w:themeColor="text1"/>
        </w:rPr>
        <w:t>請</w:t>
      </w:r>
      <w:r w:rsidR="00C14297" w:rsidRPr="00017310">
        <w:rPr>
          <w:rFonts w:hint="eastAsia"/>
          <w:color w:val="000000" w:themeColor="text1"/>
        </w:rPr>
        <w:t>內政及少數民族委員會、</w:t>
      </w:r>
      <w:r w:rsidRPr="00017310">
        <w:rPr>
          <w:rFonts w:hint="eastAsia"/>
          <w:color w:val="000000" w:themeColor="text1"/>
        </w:rPr>
        <w:t>司法及獄政委員會</w:t>
      </w:r>
      <w:r w:rsidR="00C14297" w:rsidRPr="00017310">
        <w:rPr>
          <w:rFonts w:hint="eastAsia"/>
          <w:color w:val="000000" w:themeColor="text1"/>
        </w:rPr>
        <w:t>聯席會議</w:t>
      </w:r>
      <w:r w:rsidRPr="00DA0E43">
        <w:rPr>
          <w:rFonts w:hint="eastAsia"/>
        </w:rPr>
        <w:t>處理。</w:t>
      </w:r>
      <w:bookmarkEnd w:id="441"/>
    </w:p>
    <w:p w:rsidR="00A16F6F" w:rsidRDefault="00843D0F" w:rsidP="00A16F6F">
      <w:pPr>
        <w:pStyle w:val="2"/>
        <w:numPr>
          <w:ilvl w:val="0"/>
          <w:numId w:val="0"/>
        </w:numPr>
        <w:spacing w:beforeLines="50" w:before="228" w:afterLines="100" w:after="457"/>
        <w:ind w:left="3742"/>
      </w:pPr>
      <w:bookmarkStart w:id="442" w:name="_Toc69556899"/>
      <w:bookmarkStart w:id="443" w:name="_Toc69556948"/>
      <w:bookmarkStart w:id="444" w:name="_Toc69609822"/>
      <w:r w:rsidRPr="00DA0E43">
        <w:rPr>
          <w:rFonts w:hint="eastAsia"/>
        </w:rPr>
        <w:tab/>
      </w:r>
      <w:bookmarkEnd w:id="419"/>
      <w:bookmarkEnd w:id="420"/>
      <w:bookmarkEnd w:id="421"/>
      <w:bookmarkEnd w:id="422"/>
      <w:bookmarkEnd w:id="423"/>
      <w:bookmarkEnd w:id="424"/>
      <w:bookmarkEnd w:id="425"/>
      <w:bookmarkEnd w:id="426"/>
      <w:bookmarkEnd w:id="427"/>
      <w:bookmarkEnd w:id="428"/>
      <w:bookmarkEnd w:id="429"/>
      <w:bookmarkEnd w:id="442"/>
      <w:bookmarkEnd w:id="443"/>
      <w:bookmarkEnd w:id="444"/>
    </w:p>
    <w:p w:rsidR="00E25849" w:rsidRDefault="00E25849" w:rsidP="00EA746E">
      <w:pPr>
        <w:pStyle w:val="2"/>
        <w:numPr>
          <w:ilvl w:val="0"/>
          <w:numId w:val="0"/>
        </w:numPr>
        <w:spacing w:beforeLines="50" w:before="228"/>
        <w:ind w:left="3742"/>
        <w:rPr>
          <w:b/>
          <w:bCs w:val="0"/>
          <w:spacing w:val="12"/>
          <w:kern w:val="0"/>
          <w:sz w:val="40"/>
        </w:rPr>
      </w:pPr>
      <w:r w:rsidRPr="00DA0E43">
        <w:rPr>
          <w:rFonts w:hint="eastAsia"/>
          <w:b/>
          <w:bCs w:val="0"/>
          <w:spacing w:val="12"/>
          <w:kern w:val="0"/>
          <w:sz w:val="40"/>
        </w:rPr>
        <w:t>調查委員：</w:t>
      </w:r>
      <w:r w:rsidR="00EA746E">
        <w:rPr>
          <w:rFonts w:hint="eastAsia"/>
          <w:b/>
          <w:bCs w:val="0"/>
          <w:spacing w:val="12"/>
          <w:kern w:val="0"/>
          <w:sz w:val="40"/>
        </w:rPr>
        <w:t>陳委員師孟</w:t>
      </w:r>
    </w:p>
    <w:p w:rsidR="00EA746E" w:rsidRPr="00DA0E43" w:rsidRDefault="00EA746E" w:rsidP="00EA746E">
      <w:pPr>
        <w:pStyle w:val="2"/>
        <w:numPr>
          <w:ilvl w:val="0"/>
          <w:numId w:val="0"/>
        </w:numPr>
        <w:spacing w:beforeLines="50" w:before="228"/>
        <w:ind w:left="3742" w:firstLineChars="500" w:firstLine="2223"/>
        <w:rPr>
          <w:b/>
          <w:bCs w:val="0"/>
          <w:spacing w:val="12"/>
          <w:kern w:val="0"/>
          <w:sz w:val="40"/>
        </w:rPr>
      </w:pPr>
      <w:r>
        <w:rPr>
          <w:rFonts w:hint="eastAsia"/>
          <w:b/>
          <w:bCs w:val="0"/>
          <w:spacing w:val="12"/>
          <w:kern w:val="0"/>
          <w:sz w:val="40"/>
        </w:rPr>
        <w:t>張委員武修</w:t>
      </w:r>
    </w:p>
    <w:p w:rsidR="00770453" w:rsidRPr="00DA0E43" w:rsidRDefault="00770453" w:rsidP="00770453">
      <w:pPr>
        <w:pStyle w:val="aa"/>
        <w:spacing w:before="0" w:after="0"/>
        <w:ind w:leftChars="1100" w:left="3742"/>
        <w:rPr>
          <w:rFonts w:ascii="Times New Roman"/>
          <w:b w:val="0"/>
          <w:bCs/>
          <w:snapToGrid/>
          <w:spacing w:val="0"/>
          <w:kern w:val="0"/>
          <w:sz w:val="40"/>
        </w:rPr>
      </w:pPr>
    </w:p>
    <w:p w:rsidR="00E25849" w:rsidRPr="00DA0E43" w:rsidRDefault="00E25849">
      <w:pPr>
        <w:pStyle w:val="af"/>
        <w:rPr>
          <w:rFonts w:hAnsi="標楷體"/>
          <w:bCs/>
        </w:rPr>
      </w:pPr>
      <w:r w:rsidRPr="00DA0E43">
        <w:rPr>
          <w:rFonts w:hAnsi="標楷體" w:hint="eastAsia"/>
          <w:bCs/>
        </w:rPr>
        <w:t>中</w:t>
      </w:r>
      <w:r w:rsidR="00B5484D" w:rsidRPr="00DA0E43">
        <w:rPr>
          <w:rFonts w:hAnsi="標楷體" w:hint="eastAsia"/>
          <w:bCs/>
        </w:rPr>
        <w:t xml:space="preserve">  </w:t>
      </w:r>
      <w:r w:rsidRPr="00DA0E43">
        <w:rPr>
          <w:rFonts w:hAnsi="標楷體" w:hint="eastAsia"/>
          <w:bCs/>
        </w:rPr>
        <w:t>華</w:t>
      </w:r>
      <w:r w:rsidR="00B5484D" w:rsidRPr="00DA0E43">
        <w:rPr>
          <w:rFonts w:hAnsi="標楷體" w:hint="eastAsia"/>
          <w:bCs/>
        </w:rPr>
        <w:t xml:space="preserve">  </w:t>
      </w:r>
      <w:r w:rsidRPr="00DA0E43">
        <w:rPr>
          <w:rFonts w:hAnsi="標楷體" w:hint="eastAsia"/>
          <w:bCs/>
        </w:rPr>
        <w:t>民</w:t>
      </w:r>
      <w:r w:rsidR="00B5484D" w:rsidRPr="00DA0E43">
        <w:rPr>
          <w:rFonts w:hAnsi="標楷體" w:hint="eastAsia"/>
          <w:bCs/>
        </w:rPr>
        <w:t xml:space="preserve">  </w:t>
      </w:r>
      <w:r w:rsidRPr="00DA0E43">
        <w:rPr>
          <w:rFonts w:hAnsi="標楷體" w:hint="eastAsia"/>
          <w:bCs/>
        </w:rPr>
        <w:t xml:space="preserve">國　</w:t>
      </w:r>
      <w:r w:rsidR="001E74C2" w:rsidRPr="00DA0E43">
        <w:rPr>
          <w:rFonts w:hAnsi="標楷體" w:hint="eastAsia"/>
          <w:bCs/>
        </w:rPr>
        <w:t>10</w:t>
      </w:r>
      <w:r w:rsidR="005D71B7" w:rsidRPr="00DA0E43">
        <w:rPr>
          <w:rFonts w:hAnsi="標楷體" w:hint="eastAsia"/>
          <w:bCs/>
        </w:rPr>
        <w:t>8</w:t>
      </w:r>
      <w:r w:rsidRPr="00DA0E43">
        <w:rPr>
          <w:rFonts w:hAnsi="標楷體" w:hint="eastAsia"/>
          <w:bCs/>
        </w:rPr>
        <w:t xml:space="preserve">　年　</w:t>
      </w:r>
      <w:r w:rsidR="00EA746E">
        <w:rPr>
          <w:rFonts w:hAnsi="標楷體" w:hint="eastAsia"/>
          <w:bCs/>
        </w:rPr>
        <w:t>10</w:t>
      </w:r>
      <w:r w:rsidRPr="00DA0E43">
        <w:rPr>
          <w:rFonts w:hAnsi="標楷體" w:hint="eastAsia"/>
          <w:bCs/>
        </w:rPr>
        <w:t xml:space="preserve">　月　</w:t>
      </w:r>
      <w:r w:rsidR="00EA746E">
        <w:rPr>
          <w:rFonts w:hAnsi="標楷體" w:hint="eastAsia"/>
          <w:bCs/>
        </w:rPr>
        <w:t>15</w:t>
      </w:r>
      <w:r w:rsidRPr="00DA0E43">
        <w:rPr>
          <w:rFonts w:hAnsi="標楷體" w:hint="eastAsia"/>
          <w:bCs/>
        </w:rPr>
        <w:t xml:space="preserve">　日</w:t>
      </w:r>
    </w:p>
    <w:sectPr w:rsidR="00E25849" w:rsidRPr="00DA0E4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8D8" w:rsidRDefault="004D48D8">
      <w:r>
        <w:separator/>
      </w:r>
    </w:p>
  </w:endnote>
  <w:endnote w:type="continuationSeparator" w:id="0">
    <w:p w:rsidR="004D48D8" w:rsidRDefault="004D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1D" w:rsidRDefault="009A7A1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E6B21">
      <w:rPr>
        <w:rStyle w:val="ac"/>
        <w:noProof/>
        <w:sz w:val="24"/>
      </w:rPr>
      <w:t>1</w:t>
    </w:r>
    <w:r>
      <w:rPr>
        <w:rStyle w:val="ac"/>
        <w:sz w:val="24"/>
      </w:rPr>
      <w:fldChar w:fldCharType="end"/>
    </w:r>
  </w:p>
  <w:p w:rsidR="009A7A1D" w:rsidRDefault="009A7A1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8D8" w:rsidRDefault="004D48D8">
      <w:r>
        <w:separator/>
      </w:r>
    </w:p>
  </w:footnote>
  <w:footnote w:type="continuationSeparator" w:id="0">
    <w:p w:rsidR="004D48D8" w:rsidRDefault="004D48D8">
      <w:r>
        <w:continuationSeparator/>
      </w:r>
    </w:p>
  </w:footnote>
  <w:footnote w:id="1">
    <w:p w:rsidR="009A7A1D" w:rsidRPr="00DA3BE4" w:rsidRDefault="009A7A1D" w:rsidP="00D65270">
      <w:pPr>
        <w:pStyle w:val="afc"/>
        <w:ind w:left="110" w:hangingChars="50" w:hanging="110"/>
      </w:pPr>
      <w:r w:rsidRPr="00FD0896">
        <w:rPr>
          <w:rStyle w:val="afe"/>
          <w:color w:val="C00000"/>
        </w:rPr>
        <w:footnoteRef/>
      </w:r>
      <w:r w:rsidRPr="009B5374">
        <w:rPr>
          <w:rFonts w:hAnsi="標楷體" w:hint="eastAsia"/>
          <w:color w:val="000000" w:themeColor="text1"/>
          <w:szCs w:val="32"/>
        </w:rPr>
        <w:t>據本案環境影響說明書（定稿）</w:t>
      </w:r>
      <w:r w:rsidRPr="009B5374">
        <w:rPr>
          <w:rFonts w:hAnsi="標楷體"/>
          <w:color w:val="000000" w:themeColor="text1"/>
          <w:kern w:val="0"/>
          <w:szCs w:val="32"/>
        </w:rPr>
        <w:t>第</w:t>
      </w:r>
      <w:r w:rsidRPr="009B5374">
        <w:rPr>
          <w:rFonts w:hAnsi="標楷體" w:hint="eastAsia"/>
          <w:color w:val="000000" w:themeColor="text1"/>
          <w:kern w:val="0"/>
          <w:szCs w:val="32"/>
        </w:rPr>
        <w:t>7</w:t>
      </w:r>
      <w:r w:rsidRPr="009B5374">
        <w:rPr>
          <w:rFonts w:hAnsi="標楷體"/>
          <w:color w:val="000000" w:themeColor="text1"/>
          <w:kern w:val="0"/>
          <w:szCs w:val="32"/>
        </w:rPr>
        <w:t>章第</w:t>
      </w:r>
      <w:r w:rsidRPr="009B5374">
        <w:rPr>
          <w:rFonts w:hAnsi="標楷體" w:hint="eastAsia"/>
          <w:color w:val="000000" w:themeColor="text1"/>
          <w:kern w:val="0"/>
          <w:szCs w:val="32"/>
        </w:rPr>
        <w:t>4</w:t>
      </w:r>
      <w:r w:rsidRPr="009B5374">
        <w:rPr>
          <w:rFonts w:hAnsi="標楷體"/>
          <w:color w:val="000000" w:themeColor="text1"/>
          <w:kern w:val="0"/>
          <w:szCs w:val="32"/>
        </w:rPr>
        <w:t>節</w:t>
      </w:r>
      <w:r w:rsidRPr="009B5374">
        <w:rPr>
          <w:rFonts w:hAnsi="標楷體" w:hint="eastAsia"/>
          <w:color w:val="000000" w:themeColor="text1"/>
          <w:kern w:val="0"/>
          <w:szCs w:val="32"/>
        </w:rPr>
        <w:t>「替代方案」二、局部替代方案、（一）「工程措施替代方案」所載：「本替代方案挖填方為一般山坡地社區整地之方法，開挖率較大，但土地為整理好之單元，可有效引導工程整地之次序，減少別人已蓋好，自己還在施工之干擾現象。」</w:t>
      </w:r>
    </w:p>
  </w:footnote>
  <w:footnote w:id="2">
    <w:p w:rsidR="009A7A1D" w:rsidRPr="00B959C9" w:rsidRDefault="009A7A1D" w:rsidP="00C00344">
      <w:pPr>
        <w:pStyle w:val="afc"/>
        <w:ind w:left="330" w:hangingChars="150" w:hanging="330"/>
        <w:jc w:val="both"/>
      </w:pPr>
      <w:r>
        <w:rPr>
          <w:rStyle w:val="afe"/>
        </w:rPr>
        <w:footnoteRef/>
      </w:r>
      <w:r>
        <w:t xml:space="preserve"> </w:t>
      </w:r>
      <w:r w:rsidRPr="00B959C9">
        <w:rPr>
          <w:rFonts w:ascii="標楷體" w:eastAsia="標楷體" w:hAnsi="Arial" w:hint="eastAsia"/>
        </w:rPr>
        <w:t>「獎勵土地所有權人辦理市地重劃辦法」第49</w:t>
      </w:r>
      <w:r w:rsidRPr="00B959C9">
        <w:rPr>
          <w:rFonts w:ascii="標楷體" w:eastAsia="標楷體" w:hAnsi="Arial" w:hint="eastAsia"/>
        </w:rPr>
        <w:t>條：</w:t>
      </w:r>
      <w:r w:rsidRPr="00B959C9">
        <w:rPr>
          <w:rFonts w:hint="eastAsia"/>
        </w:rPr>
        <w:t>「</w:t>
      </w:r>
      <w:r w:rsidRPr="00B959C9">
        <w:rPr>
          <w:rFonts w:ascii="標楷體" w:eastAsia="標楷體" w:hAnsi="Arial" w:hint="eastAsia"/>
        </w:rPr>
        <w:t>自辦市地重劃區之公共設施，除土地所有權人依本條例施行細則第</w:t>
      </w:r>
      <w:r w:rsidRPr="00B959C9">
        <w:rPr>
          <w:rFonts w:hint="eastAsia"/>
        </w:rPr>
        <w:t>83</w:t>
      </w:r>
      <w:r w:rsidRPr="00B959C9">
        <w:rPr>
          <w:rFonts w:ascii="標楷體" w:eastAsia="標楷體" w:hAnsi="Arial" w:hint="eastAsia"/>
        </w:rPr>
        <w:t>條規定之順序負擔公共設施用地，並依同細則第</w:t>
      </w:r>
      <w:r w:rsidRPr="00B959C9">
        <w:rPr>
          <w:rFonts w:hint="eastAsia"/>
        </w:rPr>
        <w:t>82</w:t>
      </w:r>
      <w:r w:rsidRPr="00B959C9">
        <w:rPr>
          <w:rFonts w:ascii="標楷體" w:eastAsia="標楷體" w:hAnsi="Arial" w:hint="eastAsia"/>
        </w:rPr>
        <w:t>條負擔工程費用興建者外，其餘由直轄市或縣（市）主管機關依下列規定辦理：一、依規定應列入共同負擔之公共設施用地而未興建者，應協調有關機關優先編列預算配合施工。二、前款以外之公共設施，應協調有關機關於重劃完成後</w:t>
      </w:r>
      <w:r w:rsidRPr="00B959C9">
        <w:rPr>
          <w:rFonts w:hint="eastAsia"/>
        </w:rPr>
        <w:t>2</w:t>
      </w:r>
      <w:r w:rsidRPr="00B959C9">
        <w:rPr>
          <w:rFonts w:ascii="標楷體" w:eastAsia="標楷體" w:hAnsi="Arial" w:hint="eastAsia"/>
        </w:rPr>
        <w:t>年內優先興建。自辦市地重劃區之相關地區公共設施，直轄市或縣（市）主管機關應協調有關機關於重劃完成後</w:t>
      </w:r>
      <w:r w:rsidRPr="00B959C9">
        <w:rPr>
          <w:rFonts w:hint="eastAsia"/>
        </w:rPr>
        <w:t>2</w:t>
      </w:r>
      <w:r w:rsidRPr="00B959C9">
        <w:rPr>
          <w:rFonts w:ascii="標楷體" w:eastAsia="標楷體" w:hAnsi="Arial" w:hint="eastAsia"/>
        </w:rPr>
        <w:t>年內優先興建。</w:t>
      </w:r>
      <w:r w:rsidRPr="00B959C9">
        <w:rPr>
          <w:rFonts w:hint="eastAsia"/>
        </w:rPr>
        <w:t>」</w:t>
      </w:r>
    </w:p>
  </w:footnote>
  <w:footnote w:id="3">
    <w:p w:rsidR="009A7A1D" w:rsidRPr="00DC3AD7" w:rsidRDefault="009A7A1D" w:rsidP="00C00344">
      <w:pPr>
        <w:pStyle w:val="afc"/>
        <w:ind w:left="220" w:hangingChars="100" w:hanging="220"/>
        <w:jc w:val="both"/>
      </w:pPr>
      <w:r>
        <w:rPr>
          <w:rStyle w:val="afe"/>
        </w:rPr>
        <w:footnoteRef/>
      </w:r>
      <w:r>
        <w:rPr>
          <w:rFonts w:hint="eastAsia"/>
        </w:rPr>
        <w:t>市地重劃實施辦法第</w:t>
      </w:r>
      <w:r>
        <w:rPr>
          <w:rFonts w:hint="eastAsia"/>
        </w:rPr>
        <w:t>3-1</w:t>
      </w:r>
      <w:r>
        <w:rPr>
          <w:rFonts w:hint="eastAsia"/>
        </w:rPr>
        <w:t>條：「</w:t>
      </w:r>
      <w:r>
        <w:rPr>
          <w:rFonts w:ascii="細明體" w:eastAsia="細明體" w:hAnsi="細明體" w:cs="Helvetica" w:hint="eastAsia"/>
          <w:color w:val="000000"/>
          <w:sz w:val="21"/>
          <w:szCs w:val="21"/>
        </w:rPr>
        <w:t>本辦法所稱重劃完成之日，係指地籍測量、土地登記、工程驗收、</w:t>
      </w:r>
      <w:proofErr w:type="gramStart"/>
      <w:r>
        <w:rPr>
          <w:rFonts w:ascii="細明體" w:eastAsia="細明體" w:hAnsi="細明體" w:cs="Helvetica" w:hint="eastAsia"/>
          <w:color w:val="000000"/>
          <w:sz w:val="21"/>
          <w:szCs w:val="21"/>
        </w:rPr>
        <w:t>實地指界及</w:t>
      </w:r>
      <w:proofErr w:type="gramEnd"/>
      <w:r>
        <w:rPr>
          <w:rFonts w:ascii="細明體" w:eastAsia="細明體" w:hAnsi="細明體" w:cs="Helvetica" w:hint="eastAsia"/>
          <w:color w:val="000000"/>
          <w:sz w:val="21"/>
          <w:szCs w:val="21"/>
        </w:rPr>
        <w:t>交接土地等各項工作均完成之日。」</w:t>
      </w:r>
    </w:p>
  </w:footnote>
  <w:footnote w:id="4">
    <w:p w:rsidR="009A7A1D" w:rsidRDefault="009A7A1D" w:rsidP="00C00344">
      <w:pPr>
        <w:pStyle w:val="afc"/>
        <w:ind w:left="170" w:hangingChars="77" w:hanging="170"/>
        <w:jc w:val="both"/>
        <w:rPr>
          <w:color w:val="000000"/>
        </w:rPr>
      </w:pPr>
      <w:r>
        <w:rPr>
          <w:rStyle w:val="afe"/>
        </w:rPr>
        <w:footnoteRef/>
      </w:r>
      <w:r w:rsidRPr="00372662">
        <w:rPr>
          <w:rFonts w:hAnsi="標楷體" w:hint="eastAsia"/>
          <w:color w:val="000000"/>
        </w:rPr>
        <w:t>依</w:t>
      </w:r>
      <w:r w:rsidRPr="00372662">
        <w:rPr>
          <w:rFonts w:hAnsi="標楷體" w:hint="eastAsia"/>
          <w:color w:val="000000"/>
        </w:rPr>
        <w:t>88</w:t>
      </w:r>
      <w:r w:rsidRPr="00372662">
        <w:rPr>
          <w:rFonts w:hAnsi="標楷體" w:hint="eastAsia"/>
          <w:color w:val="000000"/>
        </w:rPr>
        <w:t>年</w:t>
      </w:r>
      <w:r w:rsidRPr="00372662">
        <w:rPr>
          <w:rFonts w:hAnsi="標楷體" w:hint="eastAsia"/>
          <w:color w:val="000000"/>
        </w:rPr>
        <w:t>6</w:t>
      </w:r>
      <w:r w:rsidRPr="00372662">
        <w:rPr>
          <w:rFonts w:hAnsi="標楷體" w:hint="eastAsia"/>
          <w:color w:val="000000"/>
        </w:rPr>
        <w:t>月</w:t>
      </w:r>
      <w:r w:rsidRPr="00372662">
        <w:rPr>
          <w:rFonts w:hAnsi="標楷體" w:hint="eastAsia"/>
          <w:color w:val="000000"/>
        </w:rPr>
        <w:t>7</w:t>
      </w:r>
      <w:r w:rsidRPr="00372662">
        <w:rPr>
          <w:rFonts w:hAnsi="標楷體" w:hint="eastAsia"/>
          <w:color w:val="000000"/>
        </w:rPr>
        <w:t>日（</w:t>
      </w:r>
      <w:r w:rsidRPr="00372662">
        <w:rPr>
          <w:rFonts w:hAnsi="標楷體" w:hint="eastAsia"/>
          <w:color w:val="000000"/>
        </w:rPr>
        <w:t>88</w:t>
      </w:r>
      <w:r w:rsidRPr="00372662">
        <w:rPr>
          <w:rFonts w:hAnsi="標楷體" w:hint="eastAsia"/>
          <w:color w:val="000000"/>
        </w:rPr>
        <w:t>）府都二字第</w:t>
      </w:r>
      <w:r w:rsidRPr="00372662">
        <w:rPr>
          <w:rFonts w:hAnsi="標楷體" w:hint="eastAsia"/>
          <w:color w:val="000000"/>
        </w:rPr>
        <w:t>8802293600</w:t>
      </w:r>
      <w:r w:rsidRPr="00372662">
        <w:rPr>
          <w:rFonts w:hAnsi="標楷體" w:hint="eastAsia"/>
          <w:color w:val="000000"/>
        </w:rPr>
        <w:t>號公告之臺北市山坡地開發建築要點第</w:t>
      </w:r>
      <w:r w:rsidRPr="00372662">
        <w:rPr>
          <w:rFonts w:hAnsi="標楷體" w:hint="eastAsia"/>
          <w:color w:val="000000"/>
        </w:rPr>
        <w:t>4</w:t>
      </w:r>
      <w:r w:rsidRPr="00372662">
        <w:rPr>
          <w:rFonts w:hAnsi="標楷體" w:hint="eastAsia"/>
          <w:color w:val="000000"/>
        </w:rPr>
        <w:t>條規定：「開發區域內原自然地形平均坡度超過百分之三十者，除水土保持必要設施外，</w:t>
      </w:r>
      <w:r w:rsidRPr="00372662">
        <w:rPr>
          <w:rFonts w:hint="eastAsia"/>
          <w:color w:val="000000"/>
        </w:rPr>
        <w:t>不得作為建築使用，也</w:t>
      </w:r>
      <w:proofErr w:type="gramStart"/>
      <w:r w:rsidRPr="00372662">
        <w:rPr>
          <w:rFonts w:hint="eastAsia"/>
          <w:color w:val="000000"/>
        </w:rPr>
        <w:t>不</w:t>
      </w:r>
      <w:proofErr w:type="gramEnd"/>
      <w:r w:rsidRPr="00372662">
        <w:rPr>
          <w:rFonts w:hint="eastAsia"/>
          <w:color w:val="000000"/>
        </w:rPr>
        <w:t>得計入建築基地面積檢討建蔽率與容積率，但可計入開發範圍。</w:t>
      </w:r>
      <w:r>
        <w:rPr>
          <w:rFonts w:hint="eastAsia"/>
          <w:color w:val="000000"/>
        </w:rPr>
        <w:t>本</w:t>
      </w:r>
      <w:r w:rsidRPr="00372662">
        <w:rPr>
          <w:rFonts w:hint="eastAsia"/>
          <w:color w:val="000000"/>
        </w:rPr>
        <w:t>要點修正實施前已完成市地重劃及區段徵收地區，不在此限」。</w:t>
      </w:r>
    </w:p>
    <w:p w:rsidR="009A7A1D" w:rsidRDefault="009A7A1D" w:rsidP="00C00344">
      <w:pPr>
        <w:pStyle w:val="afc"/>
        <w:ind w:left="170" w:hangingChars="77" w:hanging="170"/>
        <w:jc w:val="both"/>
      </w:pPr>
    </w:p>
  </w:footnote>
  <w:footnote w:id="5">
    <w:p w:rsidR="009A7A1D" w:rsidRDefault="009A7A1D" w:rsidP="00C00458">
      <w:pPr>
        <w:pStyle w:val="afc"/>
        <w:ind w:left="110" w:hangingChars="50" w:hanging="110"/>
        <w:jc w:val="both"/>
      </w:pPr>
      <w:r>
        <w:rPr>
          <w:rStyle w:val="afe"/>
        </w:rPr>
        <w:footnoteRef/>
      </w:r>
      <w:r w:rsidRPr="004438AB">
        <w:rPr>
          <w:rFonts w:hint="eastAsia"/>
          <w:color w:val="000000" w:themeColor="text1"/>
        </w:rPr>
        <w:t>臺北市政府</w:t>
      </w:r>
      <w:r w:rsidRPr="004438AB">
        <w:rPr>
          <w:rFonts w:hint="eastAsia"/>
          <w:color w:val="000000" w:themeColor="text1"/>
        </w:rPr>
        <w:t>108</w:t>
      </w:r>
      <w:r w:rsidRPr="004438AB">
        <w:rPr>
          <w:rFonts w:hint="eastAsia"/>
          <w:color w:val="000000" w:themeColor="text1"/>
        </w:rPr>
        <w:t>年</w:t>
      </w:r>
      <w:r w:rsidRPr="004438AB">
        <w:rPr>
          <w:rFonts w:hint="eastAsia"/>
          <w:color w:val="000000" w:themeColor="text1"/>
        </w:rPr>
        <w:t>8</w:t>
      </w:r>
      <w:r w:rsidRPr="004438AB">
        <w:rPr>
          <w:rFonts w:hint="eastAsia"/>
          <w:color w:val="000000" w:themeColor="text1"/>
        </w:rPr>
        <w:t>月</w:t>
      </w:r>
      <w:r w:rsidRPr="004438AB">
        <w:rPr>
          <w:rFonts w:hint="eastAsia"/>
          <w:color w:val="000000" w:themeColor="text1"/>
        </w:rPr>
        <w:t>19</w:t>
      </w:r>
      <w:r w:rsidRPr="004438AB">
        <w:rPr>
          <w:rFonts w:hint="eastAsia"/>
          <w:color w:val="000000" w:themeColor="text1"/>
        </w:rPr>
        <w:t>日府都</w:t>
      </w:r>
      <w:proofErr w:type="gramStart"/>
      <w:r w:rsidRPr="004438AB">
        <w:rPr>
          <w:rFonts w:hint="eastAsia"/>
          <w:color w:val="000000" w:themeColor="text1"/>
        </w:rPr>
        <w:t>規</w:t>
      </w:r>
      <w:proofErr w:type="gramEnd"/>
      <w:r w:rsidRPr="004438AB">
        <w:rPr>
          <w:rFonts w:hint="eastAsia"/>
          <w:color w:val="000000" w:themeColor="text1"/>
        </w:rPr>
        <w:t>字第</w:t>
      </w:r>
      <w:r w:rsidRPr="004438AB">
        <w:rPr>
          <w:rFonts w:hint="eastAsia"/>
          <w:color w:val="000000" w:themeColor="text1"/>
        </w:rPr>
        <w:t>1083072177</w:t>
      </w:r>
      <w:r w:rsidRPr="004438AB">
        <w:rPr>
          <w:rFonts w:hint="eastAsia"/>
          <w:color w:val="000000" w:themeColor="text1"/>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300C"/>
    <w:multiLevelType w:val="hybridMultilevel"/>
    <w:tmpl w:val="CFC2ED76"/>
    <w:lvl w:ilvl="0" w:tplc="23DC2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6DEC950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799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357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AFF6A85"/>
    <w:multiLevelType w:val="hybridMultilevel"/>
    <w:tmpl w:val="8F2863D0"/>
    <w:lvl w:ilvl="0" w:tplc="793C73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680118"/>
    <w:multiLevelType w:val="hybridMultilevel"/>
    <w:tmpl w:val="26E47808"/>
    <w:lvl w:ilvl="0" w:tplc="9E9A27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2EF69B3"/>
    <w:multiLevelType w:val="hybridMultilevel"/>
    <w:tmpl w:val="C08067F4"/>
    <w:lvl w:ilvl="0" w:tplc="04090015">
      <w:start w:val="1"/>
      <w:numFmt w:val="taiwaneseCountingThousand"/>
      <w:lvlText w:val="%1、"/>
      <w:lvlJc w:val="left"/>
      <w:pPr>
        <w:ind w:left="439" w:hanging="360"/>
      </w:pPr>
      <w:rPr>
        <w:rFonts w:hint="default"/>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7">
    <w:nsid w:val="2DF30BC6"/>
    <w:multiLevelType w:val="hybridMultilevel"/>
    <w:tmpl w:val="E1FE8E3A"/>
    <w:lvl w:ilvl="0" w:tplc="014E4D1E">
      <w:start w:val="1"/>
      <w:numFmt w:val="decimal"/>
      <w:lvlText w:val="%1."/>
      <w:lvlJc w:val="left"/>
      <w:pPr>
        <w:ind w:left="439" w:hanging="360"/>
      </w:pPr>
      <w:rPr>
        <w:rFonts w:hint="default"/>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8">
    <w:nsid w:val="3A284E58"/>
    <w:multiLevelType w:val="hybridMultilevel"/>
    <w:tmpl w:val="642E9D38"/>
    <w:lvl w:ilvl="0" w:tplc="5FCC8BF2">
      <w:start w:val="1"/>
      <w:numFmt w:val="taiwaneseCountingThousand"/>
      <w:suff w:val="nothing"/>
      <w:lvlText w:val="例%1、"/>
      <w:lvlJc w:val="left"/>
      <w:pPr>
        <w:ind w:left="414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5F5684"/>
    <w:multiLevelType w:val="hybridMultilevel"/>
    <w:tmpl w:val="52A4F018"/>
    <w:lvl w:ilvl="0" w:tplc="50E0182C">
      <w:start w:val="1"/>
      <w:numFmt w:val="decimal"/>
      <w:pStyle w:val="a3"/>
      <w:lvlText w:val="表%1　"/>
      <w:lvlJc w:val="left"/>
      <w:pPr>
        <w:ind w:left="1160"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BA770F"/>
    <w:multiLevelType w:val="hybridMultilevel"/>
    <w:tmpl w:val="F8F090FE"/>
    <w:lvl w:ilvl="0" w:tplc="E0A0E0C8">
      <w:start w:val="1"/>
      <w:numFmt w:val="upperLetter"/>
      <w:pStyle w:val="a4"/>
      <w:lvlText w:val="附錄%1、"/>
      <w:lvlJc w:val="left"/>
      <w:pPr>
        <w:ind w:left="881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290" w:hanging="480"/>
      </w:pPr>
    </w:lvl>
    <w:lvl w:ilvl="2" w:tplc="0409001B" w:tentative="1">
      <w:start w:val="1"/>
      <w:numFmt w:val="lowerRoman"/>
      <w:lvlText w:val="%3."/>
      <w:lvlJc w:val="right"/>
      <w:pPr>
        <w:ind w:left="9770" w:hanging="480"/>
      </w:pPr>
    </w:lvl>
    <w:lvl w:ilvl="3" w:tplc="0409000F" w:tentative="1">
      <w:start w:val="1"/>
      <w:numFmt w:val="decimal"/>
      <w:lvlText w:val="%4."/>
      <w:lvlJc w:val="left"/>
      <w:pPr>
        <w:ind w:left="10250" w:hanging="480"/>
      </w:pPr>
    </w:lvl>
    <w:lvl w:ilvl="4" w:tplc="04090019" w:tentative="1">
      <w:start w:val="1"/>
      <w:numFmt w:val="ideographTraditional"/>
      <w:lvlText w:val="%5、"/>
      <w:lvlJc w:val="left"/>
      <w:pPr>
        <w:ind w:left="10730" w:hanging="480"/>
      </w:pPr>
    </w:lvl>
    <w:lvl w:ilvl="5" w:tplc="0409001B" w:tentative="1">
      <w:start w:val="1"/>
      <w:numFmt w:val="lowerRoman"/>
      <w:lvlText w:val="%6."/>
      <w:lvlJc w:val="right"/>
      <w:pPr>
        <w:ind w:left="11210" w:hanging="480"/>
      </w:pPr>
    </w:lvl>
    <w:lvl w:ilvl="6" w:tplc="0409000F" w:tentative="1">
      <w:start w:val="1"/>
      <w:numFmt w:val="decimal"/>
      <w:lvlText w:val="%7."/>
      <w:lvlJc w:val="left"/>
      <w:pPr>
        <w:ind w:left="11690" w:hanging="480"/>
      </w:pPr>
    </w:lvl>
    <w:lvl w:ilvl="7" w:tplc="04090019" w:tentative="1">
      <w:start w:val="1"/>
      <w:numFmt w:val="ideographTraditional"/>
      <w:lvlText w:val="%8、"/>
      <w:lvlJc w:val="left"/>
      <w:pPr>
        <w:ind w:left="12170" w:hanging="480"/>
      </w:pPr>
    </w:lvl>
    <w:lvl w:ilvl="8" w:tplc="0409001B" w:tentative="1">
      <w:start w:val="1"/>
      <w:numFmt w:val="lowerRoman"/>
      <w:lvlText w:val="%9."/>
      <w:lvlJc w:val="right"/>
      <w:pPr>
        <w:ind w:left="12650" w:hanging="480"/>
      </w:pPr>
    </w:lvl>
  </w:abstractNum>
  <w:abstractNum w:abstractNumId="13">
    <w:nsid w:val="53C1586A"/>
    <w:multiLevelType w:val="hybridMultilevel"/>
    <w:tmpl w:val="4C56E056"/>
    <w:lvl w:ilvl="0" w:tplc="793C738E">
      <w:start w:val="1"/>
      <w:numFmt w:val="taiwaneseCountingThousand"/>
      <w:lvlText w:val="(%1)"/>
      <w:lvlJc w:val="left"/>
      <w:pPr>
        <w:ind w:left="919" w:hanging="480"/>
      </w:pPr>
      <w:rPr>
        <w:rFonts w:hint="eastAsia"/>
      </w:rPr>
    </w:lvl>
    <w:lvl w:ilvl="1" w:tplc="04090019" w:tentative="1">
      <w:start w:val="1"/>
      <w:numFmt w:val="ideographTraditional"/>
      <w:lvlText w:val="%2、"/>
      <w:lvlJc w:val="left"/>
      <w:pPr>
        <w:ind w:left="1399" w:hanging="480"/>
      </w:p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abstractNum w:abstractNumId="14">
    <w:nsid w:val="56E54857"/>
    <w:multiLevelType w:val="hybridMultilevel"/>
    <w:tmpl w:val="DD243272"/>
    <w:lvl w:ilvl="0" w:tplc="9D2669BE">
      <w:start w:val="1"/>
      <w:numFmt w:val="decimal"/>
      <w:pStyle w:val="a5"/>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num w:numId="1">
    <w:abstractNumId w:val="3"/>
  </w:num>
  <w:num w:numId="2">
    <w:abstractNumId w:val="1"/>
  </w:num>
  <w:num w:numId="3">
    <w:abstractNumId w:val="3"/>
    <w:lvlOverride w:ilvl="0">
      <w:startOverride w:val="1"/>
    </w:lvlOverride>
  </w:num>
  <w:num w:numId="4">
    <w:abstractNumId w:val="11"/>
  </w:num>
  <w:num w:numId="5">
    <w:abstractNumId w:val="9"/>
  </w:num>
  <w:num w:numId="6">
    <w:abstractNumId w:val="12"/>
  </w:num>
  <w:num w:numId="7">
    <w:abstractNumId w:val="2"/>
  </w:num>
  <w:num w:numId="8">
    <w:abstractNumId w:val="14"/>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4"/>
  </w:num>
  <w:num w:numId="14">
    <w:abstractNumId w:val="7"/>
  </w:num>
  <w:num w:numId="15">
    <w:abstractNumId w:val="6"/>
  </w:num>
  <w:num w:numId="16">
    <w:abstractNumId w:val="13"/>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81B"/>
    <w:rsid w:val="00006961"/>
    <w:rsid w:val="000112BF"/>
    <w:rsid w:val="00012233"/>
    <w:rsid w:val="00017310"/>
    <w:rsid w:val="00017318"/>
    <w:rsid w:val="000229AD"/>
    <w:rsid w:val="000246F7"/>
    <w:rsid w:val="000269A6"/>
    <w:rsid w:val="0003114D"/>
    <w:rsid w:val="00031468"/>
    <w:rsid w:val="00031AFC"/>
    <w:rsid w:val="00036D76"/>
    <w:rsid w:val="0005146A"/>
    <w:rsid w:val="00056BFE"/>
    <w:rsid w:val="00057F32"/>
    <w:rsid w:val="00062A25"/>
    <w:rsid w:val="000649D5"/>
    <w:rsid w:val="00073CB5"/>
    <w:rsid w:val="0007425C"/>
    <w:rsid w:val="00077553"/>
    <w:rsid w:val="000851A2"/>
    <w:rsid w:val="00085448"/>
    <w:rsid w:val="0009352E"/>
    <w:rsid w:val="00096B96"/>
    <w:rsid w:val="000A2F3F"/>
    <w:rsid w:val="000A3C6F"/>
    <w:rsid w:val="000A7A15"/>
    <w:rsid w:val="000B04EC"/>
    <w:rsid w:val="000B0B4A"/>
    <w:rsid w:val="000B1F66"/>
    <w:rsid w:val="000B279A"/>
    <w:rsid w:val="000B3070"/>
    <w:rsid w:val="000B52E3"/>
    <w:rsid w:val="000B61D2"/>
    <w:rsid w:val="000B70A7"/>
    <w:rsid w:val="000B73DD"/>
    <w:rsid w:val="000C1EE3"/>
    <w:rsid w:val="000C495F"/>
    <w:rsid w:val="000C6BDF"/>
    <w:rsid w:val="000D16A8"/>
    <w:rsid w:val="000D5B06"/>
    <w:rsid w:val="000D65BE"/>
    <w:rsid w:val="000D66D9"/>
    <w:rsid w:val="000D7F88"/>
    <w:rsid w:val="000E1E63"/>
    <w:rsid w:val="000E4E95"/>
    <w:rsid w:val="000E6431"/>
    <w:rsid w:val="000E6DA9"/>
    <w:rsid w:val="000F21A5"/>
    <w:rsid w:val="00100DD1"/>
    <w:rsid w:val="00102B9F"/>
    <w:rsid w:val="00112637"/>
    <w:rsid w:val="00112ABC"/>
    <w:rsid w:val="00117A31"/>
    <w:rsid w:val="0012001E"/>
    <w:rsid w:val="0012243A"/>
    <w:rsid w:val="00123DD9"/>
    <w:rsid w:val="00126A55"/>
    <w:rsid w:val="00133F08"/>
    <w:rsid w:val="001345E6"/>
    <w:rsid w:val="001378B0"/>
    <w:rsid w:val="00140A7F"/>
    <w:rsid w:val="00142E00"/>
    <w:rsid w:val="001439B4"/>
    <w:rsid w:val="001456EA"/>
    <w:rsid w:val="0015187C"/>
    <w:rsid w:val="00152793"/>
    <w:rsid w:val="00152806"/>
    <w:rsid w:val="00153220"/>
    <w:rsid w:val="00153B7E"/>
    <w:rsid w:val="001545A9"/>
    <w:rsid w:val="00157DDF"/>
    <w:rsid w:val="001637C7"/>
    <w:rsid w:val="0016480E"/>
    <w:rsid w:val="00167D96"/>
    <w:rsid w:val="00174297"/>
    <w:rsid w:val="00177C9A"/>
    <w:rsid w:val="00180E06"/>
    <w:rsid w:val="001817B3"/>
    <w:rsid w:val="00183014"/>
    <w:rsid w:val="001959C2"/>
    <w:rsid w:val="001A51E3"/>
    <w:rsid w:val="001A7968"/>
    <w:rsid w:val="001B148E"/>
    <w:rsid w:val="001B2E98"/>
    <w:rsid w:val="001B3483"/>
    <w:rsid w:val="001B3B23"/>
    <w:rsid w:val="001B3C1E"/>
    <w:rsid w:val="001B4494"/>
    <w:rsid w:val="001B7705"/>
    <w:rsid w:val="001C053A"/>
    <w:rsid w:val="001C0D8B"/>
    <w:rsid w:val="001C0DA8"/>
    <w:rsid w:val="001C4F23"/>
    <w:rsid w:val="001D4AD7"/>
    <w:rsid w:val="001E0D8A"/>
    <w:rsid w:val="001E67BA"/>
    <w:rsid w:val="001E74C2"/>
    <w:rsid w:val="001F4F82"/>
    <w:rsid w:val="001F5A48"/>
    <w:rsid w:val="001F6260"/>
    <w:rsid w:val="001F7228"/>
    <w:rsid w:val="00200007"/>
    <w:rsid w:val="002030A5"/>
    <w:rsid w:val="00203131"/>
    <w:rsid w:val="00206162"/>
    <w:rsid w:val="00212E88"/>
    <w:rsid w:val="00213C9C"/>
    <w:rsid w:val="0022009E"/>
    <w:rsid w:val="002230D9"/>
    <w:rsid w:val="00223241"/>
    <w:rsid w:val="0022425C"/>
    <w:rsid w:val="002246DE"/>
    <w:rsid w:val="002307CF"/>
    <w:rsid w:val="00232285"/>
    <w:rsid w:val="0023332D"/>
    <w:rsid w:val="002429E2"/>
    <w:rsid w:val="00252BC4"/>
    <w:rsid w:val="00254014"/>
    <w:rsid w:val="00254B39"/>
    <w:rsid w:val="0026504D"/>
    <w:rsid w:val="00272492"/>
    <w:rsid w:val="00273A2F"/>
    <w:rsid w:val="00274447"/>
    <w:rsid w:val="00280986"/>
    <w:rsid w:val="00281ECE"/>
    <w:rsid w:val="002831C7"/>
    <w:rsid w:val="002840C6"/>
    <w:rsid w:val="002851AC"/>
    <w:rsid w:val="00295174"/>
    <w:rsid w:val="00296172"/>
    <w:rsid w:val="00296B92"/>
    <w:rsid w:val="002A2373"/>
    <w:rsid w:val="002A2C22"/>
    <w:rsid w:val="002B02EB"/>
    <w:rsid w:val="002B739D"/>
    <w:rsid w:val="002C0602"/>
    <w:rsid w:val="002C41AC"/>
    <w:rsid w:val="002D5C16"/>
    <w:rsid w:val="002E014E"/>
    <w:rsid w:val="002E586C"/>
    <w:rsid w:val="002F2476"/>
    <w:rsid w:val="002F3DFF"/>
    <w:rsid w:val="002F5E05"/>
    <w:rsid w:val="00307A76"/>
    <w:rsid w:val="00310205"/>
    <w:rsid w:val="0031455E"/>
    <w:rsid w:val="00315A16"/>
    <w:rsid w:val="00317053"/>
    <w:rsid w:val="0032109C"/>
    <w:rsid w:val="00322B45"/>
    <w:rsid w:val="00323809"/>
    <w:rsid w:val="00323D41"/>
    <w:rsid w:val="00325414"/>
    <w:rsid w:val="003302F1"/>
    <w:rsid w:val="00337D33"/>
    <w:rsid w:val="0034470E"/>
    <w:rsid w:val="00350760"/>
    <w:rsid w:val="00352DB0"/>
    <w:rsid w:val="0035437A"/>
    <w:rsid w:val="00361063"/>
    <w:rsid w:val="00362C49"/>
    <w:rsid w:val="00367140"/>
    <w:rsid w:val="0037094A"/>
    <w:rsid w:val="00371ED3"/>
    <w:rsid w:val="00372659"/>
    <w:rsid w:val="00372FFC"/>
    <w:rsid w:val="0037728A"/>
    <w:rsid w:val="00380B7D"/>
    <w:rsid w:val="00381A99"/>
    <w:rsid w:val="003829C2"/>
    <w:rsid w:val="003830B2"/>
    <w:rsid w:val="00384724"/>
    <w:rsid w:val="003860B1"/>
    <w:rsid w:val="0038677B"/>
    <w:rsid w:val="00391356"/>
    <w:rsid w:val="003918C5"/>
    <w:rsid w:val="003919B7"/>
    <w:rsid w:val="00391D57"/>
    <w:rsid w:val="00392292"/>
    <w:rsid w:val="00393A84"/>
    <w:rsid w:val="00394F45"/>
    <w:rsid w:val="003A2D90"/>
    <w:rsid w:val="003A5927"/>
    <w:rsid w:val="003A64FD"/>
    <w:rsid w:val="003B1017"/>
    <w:rsid w:val="003B3C07"/>
    <w:rsid w:val="003B6028"/>
    <w:rsid w:val="003B6081"/>
    <w:rsid w:val="003B6775"/>
    <w:rsid w:val="003B67BB"/>
    <w:rsid w:val="003C32FC"/>
    <w:rsid w:val="003C427B"/>
    <w:rsid w:val="003C5FE2"/>
    <w:rsid w:val="003D05FB"/>
    <w:rsid w:val="003D1B16"/>
    <w:rsid w:val="003D45BF"/>
    <w:rsid w:val="003D508A"/>
    <w:rsid w:val="003D537F"/>
    <w:rsid w:val="003D7B75"/>
    <w:rsid w:val="003E0208"/>
    <w:rsid w:val="003E17A3"/>
    <w:rsid w:val="003E3B28"/>
    <w:rsid w:val="003E4B57"/>
    <w:rsid w:val="003F27E1"/>
    <w:rsid w:val="003F2ABF"/>
    <w:rsid w:val="003F437A"/>
    <w:rsid w:val="003F5C2B"/>
    <w:rsid w:val="00402240"/>
    <w:rsid w:val="004023E9"/>
    <w:rsid w:val="0040454A"/>
    <w:rsid w:val="00413F83"/>
    <w:rsid w:val="0041490C"/>
    <w:rsid w:val="00416191"/>
    <w:rsid w:val="00416721"/>
    <w:rsid w:val="00416DBB"/>
    <w:rsid w:val="00421EF0"/>
    <w:rsid w:val="004224FA"/>
    <w:rsid w:val="00423D07"/>
    <w:rsid w:val="004254C8"/>
    <w:rsid w:val="00427936"/>
    <w:rsid w:val="00434C84"/>
    <w:rsid w:val="004372F3"/>
    <w:rsid w:val="00441BD8"/>
    <w:rsid w:val="0044346F"/>
    <w:rsid w:val="004438AB"/>
    <w:rsid w:val="00447E4E"/>
    <w:rsid w:val="00453FF6"/>
    <w:rsid w:val="00455137"/>
    <w:rsid w:val="0046195F"/>
    <w:rsid w:val="00462C05"/>
    <w:rsid w:val="004635DD"/>
    <w:rsid w:val="0046520A"/>
    <w:rsid w:val="004672AB"/>
    <w:rsid w:val="004714FE"/>
    <w:rsid w:val="00471B30"/>
    <w:rsid w:val="004737C7"/>
    <w:rsid w:val="00477BAA"/>
    <w:rsid w:val="00494250"/>
    <w:rsid w:val="004946AD"/>
    <w:rsid w:val="00495053"/>
    <w:rsid w:val="0049534D"/>
    <w:rsid w:val="004A1F59"/>
    <w:rsid w:val="004A1F8F"/>
    <w:rsid w:val="004A29BE"/>
    <w:rsid w:val="004A3225"/>
    <w:rsid w:val="004A33EE"/>
    <w:rsid w:val="004A3AA8"/>
    <w:rsid w:val="004B0D4D"/>
    <w:rsid w:val="004B13C7"/>
    <w:rsid w:val="004B778F"/>
    <w:rsid w:val="004C0609"/>
    <w:rsid w:val="004C639F"/>
    <w:rsid w:val="004C6594"/>
    <w:rsid w:val="004D058A"/>
    <w:rsid w:val="004D141F"/>
    <w:rsid w:val="004D2742"/>
    <w:rsid w:val="004D48D8"/>
    <w:rsid w:val="004D6310"/>
    <w:rsid w:val="004E0062"/>
    <w:rsid w:val="004E05A1"/>
    <w:rsid w:val="004E7177"/>
    <w:rsid w:val="004F0CB3"/>
    <w:rsid w:val="004F472A"/>
    <w:rsid w:val="004F5E57"/>
    <w:rsid w:val="004F6710"/>
    <w:rsid w:val="004F7468"/>
    <w:rsid w:val="00500C3E"/>
    <w:rsid w:val="00502849"/>
    <w:rsid w:val="00504334"/>
    <w:rsid w:val="0050497E"/>
    <w:rsid w:val="0050498D"/>
    <w:rsid w:val="005104D7"/>
    <w:rsid w:val="00510B9E"/>
    <w:rsid w:val="00517C5B"/>
    <w:rsid w:val="005350AC"/>
    <w:rsid w:val="005359DA"/>
    <w:rsid w:val="00536BC2"/>
    <w:rsid w:val="0053725F"/>
    <w:rsid w:val="005425E1"/>
    <w:rsid w:val="005427C5"/>
    <w:rsid w:val="00542CF6"/>
    <w:rsid w:val="00550BAE"/>
    <w:rsid w:val="0055124D"/>
    <w:rsid w:val="00553C03"/>
    <w:rsid w:val="00554A94"/>
    <w:rsid w:val="00560DDA"/>
    <w:rsid w:val="00563692"/>
    <w:rsid w:val="005701C7"/>
    <w:rsid w:val="00571679"/>
    <w:rsid w:val="00580657"/>
    <w:rsid w:val="00584235"/>
    <w:rsid w:val="005844E7"/>
    <w:rsid w:val="005908B8"/>
    <w:rsid w:val="00592F01"/>
    <w:rsid w:val="005939AD"/>
    <w:rsid w:val="0059512E"/>
    <w:rsid w:val="005A6DD2"/>
    <w:rsid w:val="005B3B06"/>
    <w:rsid w:val="005B4C76"/>
    <w:rsid w:val="005B6F39"/>
    <w:rsid w:val="005C385D"/>
    <w:rsid w:val="005C59D3"/>
    <w:rsid w:val="005C76AF"/>
    <w:rsid w:val="005D0524"/>
    <w:rsid w:val="005D3B20"/>
    <w:rsid w:val="005D625A"/>
    <w:rsid w:val="005D71B7"/>
    <w:rsid w:val="005E4759"/>
    <w:rsid w:val="005E5C68"/>
    <w:rsid w:val="005E65C0"/>
    <w:rsid w:val="005E6B21"/>
    <w:rsid w:val="005F0390"/>
    <w:rsid w:val="005F0C90"/>
    <w:rsid w:val="005F6078"/>
    <w:rsid w:val="006072CD"/>
    <w:rsid w:val="00610D7A"/>
    <w:rsid w:val="00612023"/>
    <w:rsid w:val="00613A46"/>
    <w:rsid w:val="00614190"/>
    <w:rsid w:val="00622A99"/>
    <w:rsid w:val="00622E67"/>
    <w:rsid w:val="00626B57"/>
    <w:rsid w:val="00626EDC"/>
    <w:rsid w:val="00643B2A"/>
    <w:rsid w:val="006452D3"/>
    <w:rsid w:val="006470EC"/>
    <w:rsid w:val="00653839"/>
    <w:rsid w:val="006542D6"/>
    <w:rsid w:val="00654D05"/>
    <w:rsid w:val="0065598E"/>
    <w:rsid w:val="00655AF2"/>
    <w:rsid w:val="00655BC5"/>
    <w:rsid w:val="006568BE"/>
    <w:rsid w:val="0066025D"/>
    <w:rsid w:val="0066091A"/>
    <w:rsid w:val="006773EC"/>
    <w:rsid w:val="00680504"/>
    <w:rsid w:val="0068100A"/>
    <w:rsid w:val="00681CD9"/>
    <w:rsid w:val="00682316"/>
    <w:rsid w:val="00683362"/>
    <w:rsid w:val="00683E30"/>
    <w:rsid w:val="00687024"/>
    <w:rsid w:val="00692C3B"/>
    <w:rsid w:val="00692E1A"/>
    <w:rsid w:val="006938FF"/>
    <w:rsid w:val="00695E22"/>
    <w:rsid w:val="00696F43"/>
    <w:rsid w:val="006B7093"/>
    <w:rsid w:val="006B7417"/>
    <w:rsid w:val="006C1FC1"/>
    <w:rsid w:val="006C3942"/>
    <w:rsid w:val="006D31F9"/>
    <w:rsid w:val="006D3691"/>
    <w:rsid w:val="006E5EF0"/>
    <w:rsid w:val="006F1A47"/>
    <w:rsid w:val="006F3563"/>
    <w:rsid w:val="006F42B9"/>
    <w:rsid w:val="006F5488"/>
    <w:rsid w:val="006F6103"/>
    <w:rsid w:val="00704E00"/>
    <w:rsid w:val="007209E7"/>
    <w:rsid w:val="007233BE"/>
    <w:rsid w:val="00726182"/>
    <w:rsid w:val="00727635"/>
    <w:rsid w:val="007307D1"/>
    <w:rsid w:val="00732329"/>
    <w:rsid w:val="007337CA"/>
    <w:rsid w:val="00734CE4"/>
    <w:rsid w:val="00735123"/>
    <w:rsid w:val="007375DB"/>
    <w:rsid w:val="00740755"/>
    <w:rsid w:val="0074125B"/>
    <w:rsid w:val="00741837"/>
    <w:rsid w:val="00744ACB"/>
    <w:rsid w:val="007453E6"/>
    <w:rsid w:val="00756732"/>
    <w:rsid w:val="00757104"/>
    <w:rsid w:val="0076441E"/>
    <w:rsid w:val="00770453"/>
    <w:rsid w:val="0077309D"/>
    <w:rsid w:val="007774EE"/>
    <w:rsid w:val="00781822"/>
    <w:rsid w:val="00783F21"/>
    <w:rsid w:val="00787159"/>
    <w:rsid w:val="0079043A"/>
    <w:rsid w:val="00791668"/>
    <w:rsid w:val="00791AA1"/>
    <w:rsid w:val="007944B3"/>
    <w:rsid w:val="00795463"/>
    <w:rsid w:val="007A3793"/>
    <w:rsid w:val="007A547E"/>
    <w:rsid w:val="007B3B23"/>
    <w:rsid w:val="007B6971"/>
    <w:rsid w:val="007C1BA2"/>
    <w:rsid w:val="007C2B48"/>
    <w:rsid w:val="007C695D"/>
    <w:rsid w:val="007D20E9"/>
    <w:rsid w:val="007D7881"/>
    <w:rsid w:val="007D7E3A"/>
    <w:rsid w:val="007E0E10"/>
    <w:rsid w:val="007E4768"/>
    <w:rsid w:val="007E4F31"/>
    <w:rsid w:val="007E6788"/>
    <w:rsid w:val="007E777B"/>
    <w:rsid w:val="007F2070"/>
    <w:rsid w:val="007F63C1"/>
    <w:rsid w:val="008053F5"/>
    <w:rsid w:val="00806383"/>
    <w:rsid w:val="00807AF7"/>
    <w:rsid w:val="00810198"/>
    <w:rsid w:val="00815DA8"/>
    <w:rsid w:val="0082194D"/>
    <w:rsid w:val="008221F9"/>
    <w:rsid w:val="00826EF5"/>
    <w:rsid w:val="00827D96"/>
    <w:rsid w:val="00831693"/>
    <w:rsid w:val="00832FD5"/>
    <w:rsid w:val="00840104"/>
    <w:rsid w:val="00840C1F"/>
    <w:rsid w:val="008411C9"/>
    <w:rsid w:val="00841FC5"/>
    <w:rsid w:val="00843D0F"/>
    <w:rsid w:val="00845709"/>
    <w:rsid w:val="008576BD"/>
    <w:rsid w:val="00857BA7"/>
    <w:rsid w:val="00860463"/>
    <w:rsid w:val="008733DA"/>
    <w:rsid w:val="008810C8"/>
    <w:rsid w:val="00882E71"/>
    <w:rsid w:val="00884C96"/>
    <w:rsid w:val="008850E4"/>
    <w:rsid w:val="008877D1"/>
    <w:rsid w:val="008939AB"/>
    <w:rsid w:val="008A12F5"/>
    <w:rsid w:val="008A5BF5"/>
    <w:rsid w:val="008B05F8"/>
    <w:rsid w:val="008B1587"/>
    <w:rsid w:val="008B1B01"/>
    <w:rsid w:val="008B280A"/>
    <w:rsid w:val="008B3BCD"/>
    <w:rsid w:val="008B6DF8"/>
    <w:rsid w:val="008C106C"/>
    <w:rsid w:val="008C10F1"/>
    <w:rsid w:val="008C1926"/>
    <w:rsid w:val="008C1E99"/>
    <w:rsid w:val="008C2D57"/>
    <w:rsid w:val="008C3F99"/>
    <w:rsid w:val="008C63BE"/>
    <w:rsid w:val="008E0085"/>
    <w:rsid w:val="008E2AA6"/>
    <w:rsid w:val="008E311B"/>
    <w:rsid w:val="008E6923"/>
    <w:rsid w:val="008F46E7"/>
    <w:rsid w:val="008F4DE4"/>
    <w:rsid w:val="008F64CA"/>
    <w:rsid w:val="008F6F0B"/>
    <w:rsid w:val="008F7E4B"/>
    <w:rsid w:val="00903374"/>
    <w:rsid w:val="00905B00"/>
    <w:rsid w:val="00907BA7"/>
    <w:rsid w:val="00907E2A"/>
    <w:rsid w:val="0091064E"/>
    <w:rsid w:val="00911FC5"/>
    <w:rsid w:val="00914FE0"/>
    <w:rsid w:val="00915C4E"/>
    <w:rsid w:val="00924F3B"/>
    <w:rsid w:val="0092500C"/>
    <w:rsid w:val="009267A0"/>
    <w:rsid w:val="00931723"/>
    <w:rsid w:val="00931A10"/>
    <w:rsid w:val="00931F87"/>
    <w:rsid w:val="0093645C"/>
    <w:rsid w:val="0093787E"/>
    <w:rsid w:val="00947967"/>
    <w:rsid w:val="00953A73"/>
    <w:rsid w:val="00954C90"/>
    <w:rsid w:val="00955201"/>
    <w:rsid w:val="00965200"/>
    <w:rsid w:val="009668B3"/>
    <w:rsid w:val="00971471"/>
    <w:rsid w:val="00980618"/>
    <w:rsid w:val="009849C2"/>
    <w:rsid w:val="00984A06"/>
    <w:rsid w:val="00984D24"/>
    <w:rsid w:val="00985141"/>
    <w:rsid w:val="009858EB"/>
    <w:rsid w:val="00985984"/>
    <w:rsid w:val="009942D7"/>
    <w:rsid w:val="009A3F47"/>
    <w:rsid w:val="009A5C87"/>
    <w:rsid w:val="009A7A1D"/>
    <w:rsid w:val="009B0046"/>
    <w:rsid w:val="009B5374"/>
    <w:rsid w:val="009B5B89"/>
    <w:rsid w:val="009B7563"/>
    <w:rsid w:val="009C1440"/>
    <w:rsid w:val="009C2107"/>
    <w:rsid w:val="009C5213"/>
    <w:rsid w:val="009C5234"/>
    <w:rsid w:val="009C5D9E"/>
    <w:rsid w:val="009D2C3E"/>
    <w:rsid w:val="009E0625"/>
    <w:rsid w:val="009E3034"/>
    <w:rsid w:val="009E549F"/>
    <w:rsid w:val="009F28A8"/>
    <w:rsid w:val="009F2E9A"/>
    <w:rsid w:val="009F473E"/>
    <w:rsid w:val="009F5247"/>
    <w:rsid w:val="009F682A"/>
    <w:rsid w:val="00A002CF"/>
    <w:rsid w:val="00A022BE"/>
    <w:rsid w:val="00A07B4B"/>
    <w:rsid w:val="00A1551E"/>
    <w:rsid w:val="00A16F6F"/>
    <w:rsid w:val="00A233F7"/>
    <w:rsid w:val="00A23F8D"/>
    <w:rsid w:val="00A2458B"/>
    <w:rsid w:val="00A24C95"/>
    <w:rsid w:val="00A2599A"/>
    <w:rsid w:val="00A26094"/>
    <w:rsid w:val="00A27C2D"/>
    <w:rsid w:val="00A301BF"/>
    <w:rsid w:val="00A302B2"/>
    <w:rsid w:val="00A31B27"/>
    <w:rsid w:val="00A331B4"/>
    <w:rsid w:val="00A33518"/>
    <w:rsid w:val="00A3484E"/>
    <w:rsid w:val="00A356D3"/>
    <w:rsid w:val="00A36ADA"/>
    <w:rsid w:val="00A37C4D"/>
    <w:rsid w:val="00A438D8"/>
    <w:rsid w:val="00A459A5"/>
    <w:rsid w:val="00A473F5"/>
    <w:rsid w:val="00A51F9D"/>
    <w:rsid w:val="00A5416A"/>
    <w:rsid w:val="00A56133"/>
    <w:rsid w:val="00A639F4"/>
    <w:rsid w:val="00A65864"/>
    <w:rsid w:val="00A65FAE"/>
    <w:rsid w:val="00A70025"/>
    <w:rsid w:val="00A70C5F"/>
    <w:rsid w:val="00A72A4C"/>
    <w:rsid w:val="00A74CFB"/>
    <w:rsid w:val="00A8034C"/>
    <w:rsid w:val="00A81A32"/>
    <w:rsid w:val="00A835BD"/>
    <w:rsid w:val="00A93FCC"/>
    <w:rsid w:val="00A959D4"/>
    <w:rsid w:val="00A97B15"/>
    <w:rsid w:val="00AA42D5"/>
    <w:rsid w:val="00AA48B8"/>
    <w:rsid w:val="00AB2FAB"/>
    <w:rsid w:val="00AB5C14"/>
    <w:rsid w:val="00AB6355"/>
    <w:rsid w:val="00AC1EE7"/>
    <w:rsid w:val="00AC333F"/>
    <w:rsid w:val="00AC562D"/>
    <w:rsid w:val="00AC585C"/>
    <w:rsid w:val="00AD1925"/>
    <w:rsid w:val="00AD2D54"/>
    <w:rsid w:val="00AD30C6"/>
    <w:rsid w:val="00AE067D"/>
    <w:rsid w:val="00AE56FC"/>
    <w:rsid w:val="00AE713F"/>
    <w:rsid w:val="00AF1181"/>
    <w:rsid w:val="00AF2F79"/>
    <w:rsid w:val="00AF319E"/>
    <w:rsid w:val="00AF4653"/>
    <w:rsid w:val="00AF7DB7"/>
    <w:rsid w:val="00B07405"/>
    <w:rsid w:val="00B10D02"/>
    <w:rsid w:val="00B11AD8"/>
    <w:rsid w:val="00B142EA"/>
    <w:rsid w:val="00B15C90"/>
    <w:rsid w:val="00B201E2"/>
    <w:rsid w:val="00B20254"/>
    <w:rsid w:val="00B30B48"/>
    <w:rsid w:val="00B443E4"/>
    <w:rsid w:val="00B45159"/>
    <w:rsid w:val="00B50F4B"/>
    <w:rsid w:val="00B5484D"/>
    <w:rsid w:val="00B563EA"/>
    <w:rsid w:val="00B56CDF"/>
    <w:rsid w:val="00B60E51"/>
    <w:rsid w:val="00B62CED"/>
    <w:rsid w:val="00B63A54"/>
    <w:rsid w:val="00B65810"/>
    <w:rsid w:val="00B77D18"/>
    <w:rsid w:val="00B8313A"/>
    <w:rsid w:val="00B925E8"/>
    <w:rsid w:val="00B93503"/>
    <w:rsid w:val="00BA31E8"/>
    <w:rsid w:val="00BA36F5"/>
    <w:rsid w:val="00BA55E0"/>
    <w:rsid w:val="00BA6BD4"/>
    <w:rsid w:val="00BA6C7A"/>
    <w:rsid w:val="00BA7441"/>
    <w:rsid w:val="00BB17D1"/>
    <w:rsid w:val="00BB3752"/>
    <w:rsid w:val="00BB5FB4"/>
    <w:rsid w:val="00BB6688"/>
    <w:rsid w:val="00BC26D4"/>
    <w:rsid w:val="00BC4F81"/>
    <w:rsid w:val="00BC7DA0"/>
    <w:rsid w:val="00BD7EEF"/>
    <w:rsid w:val="00BE0C80"/>
    <w:rsid w:val="00BE6CFB"/>
    <w:rsid w:val="00BF1F9A"/>
    <w:rsid w:val="00BF2A42"/>
    <w:rsid w:val="00C00344"/>
    <w:rsid w:val="00C00458"/>
    <w:rsid w:val="00C03D8C"/>
    <w:rsid w:val="00C055EC"/>
    <w:rsid w:val="00C07EEB"/>
    <w:rsid w:val="00C10DC9"/>
    <w:rsid w:val="00C129CF"/>
    <w:rsid w:val="00C12FB3"/>
    <w:rsid w:val="00C14297"/>
    <w:rsid w:val="00C17341"/>
    <w:rsid w:val="00C22500"/>
    <w:rsid w:val="00C24EEF"/>
    <w:rsid w:val="00C25CF6"/>
    <w:rsid w:val="00C26C36"/>
    <w:rsid w:val="00C32768"/>
    <w:rsid w:val="00C431DF"/>
    <w:rsid w:val="00C44A19"/>
    <w:rsid w:val="00C456BD"/>
    <w:rsid w:val="00C460B3"/>
    <w:rsid w:val="00C46F89"/>
    <w:rsid w:val="00C530DC"/>
    <w:rsid w:val="00C5350D"/>
    <w:rsid w:val="00C60116"/>
    <w:rsid w:val="00C6123C"/>
    <w:rsid w:val="00C6311A"/>
    <w:rsid w:val="00C64C99"/>
    <w:rsid w:val="00C67238"/>
    <w:rsid w:val="00C7084D"/>
    <w:rsid w:val="00C7315E"/>
    <w:rsid w:val="00C738BE"/>
    <w:rsid w:val="00C75895"/>
    <w:rsid w:val="00C82BEF"/>
    <w:rsid w:val="00C83C9F"/>
    <w:rsid w:val="00C94840"/>
    <w:rsid w:val="00CA4EE3"/>
    <w:rsid w:val="00CB027F"/>
    <w:rsid w:val="00CC0EBB"/>
    <w:rsid w:val="00CC309A"/>
    <w:rsid w:val="00CC6297"/>
    <w:rsid w:val="00CC7690"/>
    <w:rsid w:val="00CD1986"/>
    <w:rsid w:val="00CD2424"/>
    <w:rsid w:val="00CD54BF"/>
    <w:rsid w:val="00CE4D5C"/>
    <w:rsid w:val="00CF05DA"/>
    <w:rsid w:val="00CF58EB"/>
    <w:rsid w:val="00CF6FEC"/>
    <w:rsid w:val="00D0106E"/>
    <w:rsid w:val="00D02D75"/>
    <w:rsid w:val="00D06383"/>
    <w:rsid w:val="00D11BEE"/>
    <w:rsid w:val="00D14D2A"/>
    <w:rsid w:val="00D20E85"/>
    <w:rsid w:val="00D226F0"/>
    <w:rsid w:val="00D24615"/>
    <w:rsid w:val="00D25A82"/>
    <w:rsid w:val="00D35417"/>
    <w:rsid w:val="00D37842"/>
    <w:rsid w:val="00D40C86"/>
    <w:rsid w:val="00D42DC2"/>
    <w:rsid w:val="00D4302B"/>
    <w:rsid w:val="00D44E3E"/>
    <w:rsid w:val="00D537E1"/>
    <w:rsid w:val="00D55BB2"/>
    <w:rsid w:val="00D6091A"/>
    <w:rsid w:val="00D6494C"/>
    <w:rsid w:val="00D65270"/>
    <w:rsid w:val="00D6605A"/>
    <w:rsid w:val="00D6695F"/>
    <w:rsid w:val="00D75644"/>
    <w:rsid w:val="00D81656"/>
    <w:rsid w:val="00D828CC"/>
    <w:rsid w:val="00D83D87"/>
    <w:rsid w:val="00D84A6D"/>
    <w:rsid w:val="00D86A30"/>
    <w:rsid w:val="00D97CB4"/>
    <w:rsid w:val="00D97DD4"/>
    <w:rsid w:val="00DA0E43"/>
    <w:rsid w:val="00DA3BE4"/>
    <w:rsid w:val="00DA5A8A"/>
    <w:rsid w:val="00DA5E3D"/>
    <w:rsid w:val="00DA7D56"/>
    <w:rsid w:val="00DB1170"/>
    <w:rsid w:val="00DB26CD"/>
    <w:rsid w:val="00DB441C"/>
    <w:rsid w:val="00DB44AF"/>
    <w:rsid w:val="00DB476D"/>
    <w:rsid w:val="00DC1F58"/>
    <w:rsid w:val="00DC339B"/>
    <w:rsid w:val="00DC5D40"/>
    <w:rsid w:val="00DC69A7"/>
    <w:rsid w:val="00DD30E9"/>
    <w:rsid w:val="00DD4F47"/>
    <w:rsid w:val="00DD6C2E"/>
    <w:rsid w:val="00DD7FBB"/>
    <w:rsid w:val="00DE0B9F"/>
    <w:rsid w:val="00DE2A9E"/>
    <w:rsid w:val="00DE4238"/>
    <w:rsid w:val="00DE657F"/>
    <w:rsid w:val="00DF1218"/>
    <w:rsid w:val="00DF18B5"/>
    <w:rsid w:val="00DF6462"/>
    <w:rsid w:val="00E02E15"/>
    <w:rsid w:val="00E02FA0"/>
    <w:rsid w:val="00E036DC"/>
    <w:rsid w:val="00E10454"/>
    <w:rsid w:val="00E111B4"/>
    <w:rsid w:val="00E111F4"/>
    <w:rsid w:val="00E112E5"/>
    <w:rsid w:val="00E122D8"/>
    <w:rsid w:val="00E12CC8"/>
    <w:rsid w:val="00E15352"/>
    <w:rsid w:val="00E21CC7"/>
    <w:rsid w:val="00E24D9E"/>
    <w:rsid w:val="00E25849"/>
    <w:rsid w:val="00E312D1"/>
    <w:rsid w:val="00E3197E"/>
    <w:rsid w:val="00E342F8"/>
    <w:rsid w:val="00E351ED"/>
    <w:rsid w:val="00E428BB"/>
    <w:rsid w:val="00E42B19"/>
    <w:rsid w:val="00E47E86"/>
    <w:rsid w:val="00E57191"/>
    <w:rsid w:val="00E6034B"/>
    <w:rsid w:val="00E6512C"/>
    <w:rsid w:val="00E6549E"/>
    <w:rsid w:val="00E65EDE"/>
    <w:rsid w:val="00E70F81"/>
    <w:rsid w:val="00E77055"/>
    <w:rsid w:val="00E77460"/>
    <w:rsid w:val="00E83ABC"/>
    <w:rsid w:val="00E844F2"/>
    <w:rsid w:val="00E862F9"/>
    <w:rsid w:val="00E9060E"/>
    <w:rsid w:val="00E90AD0"/>
    <w:rsid w:val="00E92FCB"/>
    <w:rsid w:val="00E95BC1"/>
    <w:rsid w:val="00E95EBE"/>
    <w:rsid w:val="00EA147F"/>
    <w:rsid w:val="00EA1864"/>
    <w:rsid w:val="00EA369A"/>
    <w:rsid w:val="00EA389A"/>
    <w:rsid w:val="00EA4A27"/>
    <w:rsid w:val="00EA4FA6"/>
    <w:rsid w:val="00EA746E"/>
    <w:rsid w:val="00EB1A25"/>
    <w:rsid w:val="00EB687E"/>
    <w:rsid w:val="00EC7363"/>
    <w:rsid w:val="00ED03AB"/>
    <w:rsid w:val="00ED1963"/>
    <w:rsid w:val="00ED1CD4"/>
    <w:rsid w:val="00ED1D2B"/>
    <w:rsid w:val="00ED64B5"/>
    <w:rsid w:val="00EE2166"/>
    <w:rsid w:val="00EE4EDD"/>
    <w:rsid w:val="00EE7CCA"/>
    <w:rsid w:val="00F00A20"/>
    <w:rsid w:val="00F05875"/>
    <w:rsid w:val="00F06E53"/>
    <w:rsid w:val="00F16A14"/>
    <w:rsid w:val="00F362D7"/>
    <w:rsid w:val="00F37D7B"/>
    <w:rsid w:val="00F41A4D"/>
    <w:rsid w:val="00F42AD8"/>
    <w:rsid w:val="00F5314C"/>
    <w:rsid w:val="00F5688C"/>
    <w:rsid w:val="00F60048"/>
    <w:rsid w:val="00F635DD"/>
    <w:rsid w:val="00F6627B"/>
    <w:rsid w:val="00F7253C"/>
    <w:rsid w:val="00F7336E"/>
    <w:rsid w:val="00F734F2"/>
    <w:rsid w:val="00F74692"/>
    <w:rsid w:val="00F74BAC"/>
    <w:rsid w:val="00F75052"/>
    <w:rsid w:val="00F804D3"/>
    <w:rsid w:val="00F816CB"/>
    <w:rsid w:val="00F81CD2"/>
    <w:rsid w:val="00F82641"/>
    <w:rsid w:val="00F82A86"/>
    <w:rsid w:val="00F85AE3"/>
    <w:rsid w:val="00F90F18"/>
    <w:rsid w:val="00F937E4"/>
    <w:rsid w:val="00F95EE7"/>
    <w:rsid w:val="00FA39E6"/>
    <w:rsid w:val="00FA7BC9"/>
    <w:rsid w:val="00FB378E"/>
    <w:rsid w:val="00FB37F1"/>
    <w:rsid w:val="00FB3BE2"/>
    <w:rsid w:val="00FB47C0"/>
    <w:rsid w:val="00FB501B"/>
    <w:rsid w:val="00FB635A"/>
    <w:rsid w:val="00FB719A"/>
    <w:rsid w:val="00FB7770"/>
    <w:rsid w:val="00FB7C5B"/>
    <w:rsid w:val="00FC412E"/>
    <w:rsid w:val="00FC66CD"/>
    <w:rsid w:val="00FD0896"/>
    <w:rsid w:val="00FD1DA6"/>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ind w:left="1361"/>
      <w:outlineLvl w:val="2"/>
    </w:pPr>
    <w:rPr>
      <w:rFonts w:hAnsi="Arial"/>
      <w:bCs/>
      <w:kern w:val="32"/>
      <w:szCs w:val="36"/>
    </w:rPr>
  </w:style>
  <w:style w:type="paragraph" w:styleId="4">
    <w:name w:val="heading 4"/>
    <w:aliases w:val="表格,一"/>
    <w:basedOn w:val="a6"/>
    <w:link w:val="40"/>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7944B3"/>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F2ABF"/>
    <w:pPr>
      <w:overflowPunct/>
      <w:autoSpaceDE/>
      <w:autoSpaceDN/>
      <w:snapToGrid w:val="0"/>
      <w:jc w:val="left"/>
    </w:pPr>
    <w:rPr>
      <w:rFonts w:ascii="Times New Roman" w:eastAsia="新細明體"/>
      <w:sz w:val="20"/>
    </w:rPr>
  </w:style>
  <w:style w:type="character" w:customStyle="1" w:styleId="afd">
    <w:name w:val="註腳文字 字元"/>
    <w:basedOn w:val="a7"/>
    <w:link w:val="afc"/>
    <w:uiPriority w:val="99"/>
    <w:semiHidden/>
    <w:rsid w:val="003F2ABF"/>
    <w:rPr>
      <w:kern w:val="2"/>
    </w:rPr>
  </w:style>
  <w:style w:type="character" w:styleId="afe">
    <w:name w:val="footnote reference"/>
    <w:uiPriority w:val="99"/>
    <w:semiHidden/>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6"/>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939AD"/>
    <w:rPr>
      <w:rFonts w:ascii="細明體" w:eastAsia="細明體" w:hAnsi="細明體" w:cs="細明體"/>
      <w:sz w:val="24"/>
      <w:szCs w:val="24"/>
    </w:rPr>
  </w:style>
  <w:style w:type="paragraph" w:customStyle="1" w:styleId="045-2">
    <w:name w:val="045-2"/>
    <w:basedOn w:val="a6"/>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
    <w:name w:val="分項段落"/>
    <w:basedOn w:val="a6"/>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7"/>
    <w:link w:val="4"/>
    <w:rsid w:val="005939AD"/>
    <w:rPr>
      <w:rFonts w:ascii="標楷體" w:eastAsia="標楷體" w:hAnsi="Arial"/>
      <w:kern w:val="32"/>
      <w:sz w:val="32"/>
      <w:szCs w:val="36"/>
    </w:rPr>
  </w:style>
  <w:style w:type="paragraph" w:styleId="Web">
    <w:name w:val="Normal (Web)"/>
    <w:basedOn w:val="a6"/>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ind w:left="1361"/>
      <w:outlineLvl w:val="2"/>
    </w:pPr>
    <w:rPr>
      <w:rFonts w:hAnsi="Arial"/>
      <w:bCs/>
      <w:kern w:val="32"/>
      <w:szCs w:val="36"/>
    </w:rPr>
  </w:style>
  <w:style w:type="paragraph" w:styleId="4">
    <w:name w:val="heading 4"/>
    <w:aliases w:val="表格,一"/>
    <w:basedOn w:val="a6"/>
    <w:link w:val="40"/>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7944B3"/>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F2ABF"/>
    <w:pPr>
      <w:overflowPunct/>
      <w:autoSpaceDE/>
      <w:autoSpaceDN/>
      <w:snapToGrid w:val="0"/>
      <w:jc w:val="left"/>
    </w:pPr>
    <w:rPr>
      <w:rFonts w:ascii="Times New Roman" w:eastAsia="新細明體"/>
      <w:sz w:val="20"/>
    </w:rPr>
  </w:style>
  <w:style w:type="character" w:customStyle="1" w:styleId="afd">
    <w:name w:val="註腳文字 字元"/>
    <w:basedOn w:val="a7"/>
    <w:link w:val="afc"/>
    <w:uiPriority w:val="99"/>
    <w:semiHidden/>
    <w:rsid w:val="003F2ABF"/>
    <w:rPr>
      <w:kern w:val="2"/>
    </w:rPr>
  </w:style>
  <w:style w:type="character" w:styleId="afe">
    <w:name w:val="footnote reference"/>
    <w:uiPriority w:val="99"/>
    <w:semiHidden/>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6"/>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939AD"/>
    <w:rPr>
      <w:rFonts w:ascii="細明體" w:eastAsia="細明體" w:hAnsi="細明體" w:cs="細明體"/>
      <w:sz w:val="24"/>
      <w:szCs w:val="24"/>
    </w:rPr>
  </w:style>
  <w:style w:type="paragraph" w:customStyle="1" w:styleId="045-2">
    <w:name w:val="045-2"/>
    <w:basedOn w:val="a6"/>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
    <w:name w:val="分項段落"/>
    <w:basedOn w:val="a6"/>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7"/>
    <w:link w:val="4"/>
    <w:rsid w:val="005939AD"/>
    <w:rPr>
      <w:rFonts w:ascii="標楷體" w:eastAsia="標楷體" w:hAnsi="Arial"/>
      <w:kern w:val="32"/>
      <w:sz w:val="32"/>
      <w:szCs w:val="36"/>
    </w:rPr>
  </w:style>
  <w:style w:type="paragraph" w:styleId="Web">
    <w:name w:val="Normal (Web)"/>
    <w:basedOn w:val="a6"/>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EBFEE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EF54-5E5F-4973-A056-A64A05DB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TotalTime>
  <Pages>28</Pages>
  <Words>2391</Words>
  <Characters>13635</Characters>
  <Application>Microsoft Office Word</Application>
  <DocSecurity>0</DocSecurity>
  <Lines>113</Lines>
  <Paragraphs>31</Paragraphs>
  <ScaleCrop>false</ScaleCrop>
  <Company>cy</Company>
  <LinksUpToDate>false</LinksUpToDate>
  <CharactersWithSpaces>15995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4</cp:revision>
  <cp:lastPrinted>2019-09-20T06:24:00Z</cp:lastPrinted>
  <dcterms:created xsi:type="dcterms:W3CDTF">2019-10-29T07:40:00Z</dcterms:created>
  <dcterms:modified xsi:type="dcterms:W3CDTF">2019-10-29T09:15:00Z</dcterms:modified>
</cp:coreProperties>
</file>