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8E4" w:rsidRPr="00EA6BA7" w:rsidRDefault="005568E4" w:rsidP="005568E4">
      <w:pPr>
        <w:pStyle w:val="1"/>
        <w:ind w:left="2296" w:hanging="2296"/>
        <w:rPr>
          <w:rFonts w:hAnsi="標楷體"/>
        </w:rPr>
      </w:pPr>
      <w:bookmarkStart w:id="0" w:name="_Toc421794882"/>
      <w:bookmarkStart w:id="1" w:name="_Toc422834167"/>
      <w:bookmarkStart w:id="2" w:name="_Toc4467127"/>
      <w:bookmarkStart w:id="3" w:name="_Toc524892368"/>
      <w:bookmarkStart w:id="4" w:name="_Toc524895638"/>
      <w:bookmarkStart w:id="5" w:name="_Toc524896184"/>
      <w:bookmarkStart w:id="6" w:name="_Toc524896214"/>
      <w:bookmarkStart w:id="7" w:name="_Toc524902720"/>
      <w:bookmarkStart w:id="8" w:name="_Toc525066139"/>
      <w:bookmarkStart w:id="9" w:name="_Toc525070829"/>
      <w:bookmarkStart w:id="10" w:name="_Toc525938369"/>
      <w:bookmarkStart w:id="11" w:name="_Toc525939217"/>
      <w:bookmarkStart w:id="12" w:name="_Toc525939722"/>
      <w:bookmarkStart w:id="13" w:name="_Toc421794865"/>
      <w:bookmarkStart w:id="14" w:name="_Toc422834150"/>
      <w:bookmarkStart w:id="15" w:name="_Toc529218256"/>
      <w:bookmarkStart w:id="16" w:name="_Toc529222679"/>
      <w:bookmarkStart w:id="17" w:name="_Toc529223101"/>
      <w:bookmarkStart w:id="18" w:name="_Toc529223852"/>
      <w:bookmarkStart w:id="19" w:name="_Toc529228248"/>
      <w:bookmarkStart w:id="20" w:name="_Toc2400384"/>
      <w:bookmarkStart w:id="21" w:name="_Toc4316179"/>
      <w:bookmarkStart w:id="22" w:name="_Toc4473320"/>
      <w:bookmarkStart w:id="23" w:name="_Toc69556887"/>
      <w:bookmarkStart w:id="24" w:name="_Toc69556936"/>
      <w:bookmarkStart w:id="25" w:name="_Toc69609810"/>
      <w:bookmarkStart w:id="26" w:name="_Toc70241806"/>
      <w:bookmarkStart w:id="27" w:name="_Toc70242195"/>
      <w:r w:rsidRPr="00EA6BA7">
        <w:rPr>
          <w:rFonts w:hAnsi="標楷體" w:hint="eastAsia"/>
        </w:rPr>
        <w:t>案　　由：</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EA6BA7">
        <w:rPr>
          <w:rFonts w:hAnsi="標楷體" w:hint="eastAsia"/>
        </w:rPr>
        <w:t>西元2015年3月國際癌症研究中心將除草劑「</w:t>
      </w:r>
      <w:proofErr w:type="gramStart"/>
      <w:r w:rsidRPr="00EA6BA7">
        <w:rPr>
          <w:rFonts w:hAnsi="標楷體" w:hint="eastAsia"/>
        </w:rPr>
        <w:t>嘉磷塞</w:t>
      </w:r>
      <w:proofErr w:type="gramEnd"/>
      <w:r w:rsidRPr="00EA6BA7">
        <w:rPr>
          <w:rFonts w:hAnsi="標楷體" w:hint="eastAsia"/>
        </w:rPr>
        <w:t>（Glyphosate）」的致癌風險提高到「很可能致癌（Group 2A）」；而歐盟食品安全局雖容許</w:t>
      </w:r>
      <w:r w:rsidR="00C13B1B" w:rsidRPr="00EA6BA7">
        <w:rPr>
          <w:rFonts w:hAnsi="標楷體" w:hint="eastAsia"/>
        </w:rPr>
        <w:t>「</w:t>
      </w:r>
      <w:proofErr w:type="gramStart"/>
      <w:r w:rsidRPr="00EA6BA7">
        <w:rPr>
          <w:rFonts w:hAnsi="標楷體" w:hint="eastAsia"/>
        </w:rPr>
        <w:t>嘉磷塞</w:t>
      </w:r>
      <w:proofErr w:type="gramEnd"/>
      <w:r w:rsidR="00C13B1B" w:rsidRPr="00EA6BA7">
        <w:rPr>
          <w:rFonts w:hAnsi="標楷體" w:hint="eastAsia"/>
        </w:rPr>
        <w:t>」</w:t>
      </w:r>
      <w:r w:rsidRPr="00EA6BA7">
        <w:rPr>
          <w:rFonts w:hAnsi="標楷體" w:hint="eastAsia"/>
        </w:rPr>
        <w:t>的每日容許攝取量，但仍規範為0.5毫克</w:t>
      </w:r>
      <w:r w:rsidR="00DA42D8" w:rsidRPr="00EA6BA7">
        <w:rPr>
          <w:rFonts w:hAnsi="標楷體" w:hint="eastAsia"/>
        </w:rPr>
        <w:t>/公斤體重/天</w:t>
      </w:r>
      <w:r w:rsidRPr="00EA6BA7">
        <w:rPr>
          <w:rFonts w:hAnsi="標楷體" w:hint="eastAsia"/>
        </w:rPr>
        <w:t>。</w:t>
      </w:r>
      <w:r w:rsidR="00DA42D8" w:rsidRPr="00EA6BA7">
        <w:rPr>
          <w:rFonts w:hAnsi="標楷體" w:hint="eastAsia"/>
        </w:rPr>
        <w:t>我國</w:t>
      </w:r>
      <w:r w:rsidRPr="00EA6BA7">
        <w:rPr>
          <w:rFonts w:hAnsi="標楷體" w:hint="eastAsia"/>
        </w:rPr>
        <w:t>「</w:t>
      </w:r>
      <w:proofErr w:type="gramStart"/>
      <w:r w:rsidR="00DA42D8" w:rsidRPr="00EA6BA7">
        <w:rPr>
          <w:rFonts w:hAnsi="標楷體" w:hint="eastAsia"/>
        </w:rPr>
        <w:t>嘉磷塞</w:t>
      </w:r>
      <w:proofErr w:type="gramEnd"/>
      <w:r w:rsidRPr="00EA6BA7">
        <w:rPr>
          <w:rFonts w:hAnsi="標楷體" w:hint="eastAsia"/>
        </w:rPr>
        <w:t>」</w:t>
      </w:r>
      <w:r w:rsidR="00DA42D8" w:rsidRPr="00EA6BA7">
        <w:rPr>
          <w:rFonts w:hAnsi="標楷體" w:hint="eastAsia"/>
        </w:rPr>
        <w:t>農藥產品多達98項</w:t>
      </w:r>
      <w:r w:rsidR="00F05A03" w:rsidRPr="00EA6BA7">
        <w:rPr>
          <w:rFonts w:hAnsi="標楷體" w:hint="eastAsia"/>
        </w:rPr>
        <w:t>，年</w:t>
      </w:r>
      <w:r w:rsidR="00DA42D8" w:rsidRPr="00EA6BA7">
        <w:rPr>
          <w:rFonts w:hAnsi="標楷體" w:hint="eastAsia"/>
        </w:rPr>
        <w:t>使用量高達1,500公噸以上，且</w:t>
      </w:r>
      <w:r w:rsidRPr="00EA6BA7">
        <w:rPr>
          <w:rFonts w:hAnsi="標楷體" w:hint="eastAsia"/>
        </w:rPr>
        <w:t>國外種植基改黃豆多使用大量「</w:t>
      </w:r>
      <w:proofErr w:type="gramStart"/>
      <w:r w:rsidRPr="00EA6BA7">
        <w:rPr>
          <w:rFonts w:hAnsi="標楷體" w:hint="eastAsia"/>
        </w:rPr>
        <w:t>嘉磷塞</w:t>
      </w:r>
      <w:proofErr w:type="gramEnd"/>
      <w:r w:rsidRPr="00EA6BA7">
        <w:rPr>
          <w:rFonts w:hAnsi="標楷體" w:hint="eastAsia"/>
        </w:rPr>
        <w:t>」除草劑，而</w:t>
      </w:r>
      <w:r w:rsidR="00DA42D8" w:rsidRPr="00EA6BA7">
        <w:rPr>
          <w:rFonts w:hAnsi="標楷體" w:hint="eastAsia"/>
        </w:rPr>
        <w:t>我國</w:t>
      </w:r>
      <w:r w:rsidRPr="00EA6BA7">
        <w:rPr>
          <w:rFonts w:hAnsi="標楷體" w:hint="eastAsia"/>
        </w:rPr>
        <w:t>每年仍進口240萬噸之基改黃豆</w:t>
      </w:r>
      <w:r w:rsidR="00F05A03" w:rsidRPr="00EA6BA7">
        <w:rPr>
          <w:rFonts w:hAnsi="標楷體" w:hint="eastAsia"/>
        </w:rPr>
        <w:t>，在國際紛紛重新檢視「</w:t>
      </w:r>
      <w:proofErr w:type="gramStart"/>
      <w:r w:rsidR="00F05A03" w:rsidRPr="00EA6BA7">
        <w:rPr>
          <w:rFonts w:hAnsi="標楷體" w:hint="eastAsia"/>
        </w:rPr>
        <w:t>嘉磷塞</w:t>
      </w:r>
      <w:proofErr w:type="gramEnd"/>
      <w:r w:rsidR="00F05A03" w:rsidRPr="00EA6BA7">
        <w:rPr>
          <w:rFonts w:hAnsi="標楷體" w:hint="eastAsia"/>
        </w:rPr>
        <w:t>」安全風險之際，我國衛生</w:t>
      </w:r>
      <w:proofErr w:type="gramStart"/>
      <w:r w:rsidR="00F05A03" w:rsidRPr="00EA6BA7">
        <w:rPr>
          <w:rFonts w:hAnsi="標楷體" w:hint="eastAsia"/>
        </w:rPr>
        <w:t>福利部卻預告</w:t>
      </w:r>
      <w:proofErr w:type="gramEnd"/>
      <w:r w:rsidR="00F05A03" w:rsidRPr="00EA6BA7">
        <w:rPr>
          <w:rFonts w:hAnsi="標楷體" w:hint="eastAsia"/>
        </w:rPr>
        <w:t>修正放寬10項穀類之殘留標準，究該部反其道而行放寬該標準之緣由及依據為何？且</w:t>
      </w:r>
      <w:r w:rsidRPr="00EA6BA7">
        <w:rPr>
          <w:rFonts w:hAnsi="標楷體" w:hint="eastAsia"/>
        </w:rPr>
        <w:t>行政院農業委員會是否有合理修正「</w:t>
      </w:r>
      <w:proofErr w:type="gramStart"/>
      <w:r w:rsidR="00DA42D8" w:rsidRPr="00EA6BA7">
        <w:rPr>
          <w:rFonts w:hAnsi="標楷體" w:hint="eastAsia"/>
        </w:rPr>
        <w:t>嘉磷塞</w:t>
      </w:r>
      <w:proofErr w:type="gramEnd"/>
      <w:r w:rsidRPr="00EA6BA7">
        <w:rPr>
          <w:rFonts w:hAnsi="標楷體" w:hint="eastAsia"/>
        </w:rPr>
        <w:t>」除草劑之使用</w:t>
      </w:r>
      <w:r w:rsidR="00F05A03" w:rsidRPr="00EA6BA7">
        <w:rPr>
          <w:rFonts w:hAnsi="標楷體" w:hint="eastAsia"/>
        </w:rPr>
        <w:t>規定</w:t>
      </w:r>
      <w:r w:rsidRPr="00EA6BA7">
        <w:rPr>
          <w:rFonts w:hAnsi="標楷體" w:hint="eastAsia"/>
        </w:rPr>
        <w:t>及國人暴露風險之合理管制？又因「</w:t>
      </w:r>
      <w:proofErr w:type="gramStart"/>
      <w:r w:rsidRPr="00EA6BA7">
        <w:rPr>
          <w:rFonts w:hAnsi="標楷體" w:hint="eastAsia"/>
        </w:rPr>
        <w:t>嘉磷塞</w:t>
      </w:r>
      <w:proofErr w:type="gramEnd"/>
      <w:r w:rsidRPr="00EA6BA7">
        <w:rPr>
          <w:rFonts w:hAnsi="標楷體" w:hint="eastAsia"/>
        </w:rPr>
        <w:t>」會進入食物鏈，衛生福利部食品藥物管理署對於漿果、小麥、玉米等</w:t>
      </w:r>
      <w:proofErr w:type="gramStart"/>
      <w:r w:rsidRPr="00EA6BA7">
        <w:rPr>
          <w:rFonts w:hAnsi="標楷體" w:hint="eastAsia"/>
        </w:rPr>
        <w:t>類均有設定</w:t>
      </w:r>
      <w:proofErr w:type="gramEnd"/>
      <w:r w:rsidR="00DA42D8" w:rsidRPr="00EA6BA7">
        <w:rPr>
          <w:rFonts w:hAnsi="標楷體" w:hint="eastAsia"/>
        </w:rPr>
        <w:t>「</w:t>
      </w:r>
      <w:proofErr w:type="gramStart"/>
      <w:r w:rsidRPr="00EA6BA7">
        <w:rPr>
          <w:rFonts w:hAnsi="標楷體" w:hint="eastAsia"/>
        </w:rPr>
        <w:t>嘉磷塞</w:t>
      </w:r>
      <w:proofErr w:type="gramEnd"/>
      <w:r w:rsidR="00DA42D8" w:rsidRPr="00EA6BA7">
        <w:rPr>
          <w:rFonts w:hAnsi="標楷體" w:hint="eastAsia"/>
        </w:rPr>
        <w:t>」</w:t>
      </w:r>
      <w:r w:rsidRPr="00EA6BA7">
        <w:rPr>
          <w:rFonts w:hAnsi="標楷體" w:hint="eastAsia"/>
        </w:rPr>
        <w:t>的殘留</w:t>
      </w:r>
      <w:r w:rsidR="00DA42D8" w:rsidRPr="00EA6BA7">
        <w:rPr>
          <w:rFonts w:hAnsi="標楷體" w:hint="eastAsia"/>
        </w:rPr>
        <w:t>限</w:t>
      </w:r>
      <w:r w:rsidRPr="00EA6BA7">
        <w:rPr>
          <w:rFonts w:hAnsi="標楷體" w:hint="eastAsia"/>
        </w:rPr>
        <w:t>量，基改黃豆進口數量非常龐大，國人每天食用量不低，遠非歐美各國可比，所規範</w:t>
      </w:r>
      <w:r w:rsidR="00DA42D8" w:rsidRPr="00EA6BA7">
        <w:rPr>
          <w:rFonts w:hAnsi="標楷體" w:hint="eastAsia"/>
        </w:rPr>
        <w:t>「</w:t>
      </w:r>
      <w:proofErr w:type="gramStart"/>
      <w:r w:rsidRPr="00EA6BA7">
        <w:rPr>
          <w:rFonts w:hAnsi="標楷體" w:hint="eastAsia"/>
        </w:rPr>
        <w:t>嘉磷塞</w:t>
      </w:r>
      <w:proofErr w:type="gramEnd"/>
      <w:r w:rsidR="00DA42D8" w:rsidRPr="00EA6BA7">
        <w:rPr>
          <w:rFonts w:hAnsi="標楷體" w:hint="eastAsia"/>
        </w:rPr>
        <w:t>」</w:t>
      </w:r>
      <w:r w:rsidRPr="00EA6BA7">
        <w:rPr>
          <w:rFonts w:hAnsi="標楷體" w:hint="eastAsia"/>
        </w:rPr>
        <w:t>殘留量容許值是否恰當？凡此，</w:t>
      </w:r>
      <w:proofErr w:type="gramStart"/>
      <w:r w:rsidRPr="00EA6BA7">
        <w:rPr>
          <w:rFonts w:hAnsi="標楷體" w:hint="eastAsia"/>
        </w:rPr>
        <w:t>均有究</w:t>
      </w:r>
      <w:proofErr w:type="gramEnd"/>
      <w:r w:rsidRPr="00EA6BA7">
        <w:rPr>
          <w:rFonts w:hAnsi="標楷體" w:hint="eastAsia"/>
        </w:rPr>
        <w:t>明之必要案。</w:t>
      </w:r>
    </w:p>
    <w:p w:rsidR="00EA6BA7" w:rsidRPr="00EA6BA7" w:rsidRDefault="00EA6BA7" w:rsidP="00EA6BA7">
      <w:pPr>
        <w:pStyle w:val="1"/>
        <w:numPr>
          <w:ilvl w:val="0"/>
          <w:numId w:val="0"/>
        </w:numPr>
        <w:ind w:left="2381" w:hanging="2381"/>
        <w:rPr>
          <w:rFonts w:hAnsi="標楷體"/>
        </w:rPr>
      </w:pPr>
    </w:p>
    <w:p w:rsidR="00EA6BA7" w:rsidRPr="00EA6BA7" w:rsidRDefault="00EA6BA7" w:rsidP="00EA6BA7">
      <w:pPr>
        <w:pStyle w:val="1"/>
        <w:numPr>
          <w:ilvl w:val="0"/>
          <w:numId w:val="0"/>
        </w:numPr>
        <w:ind w:left="2381" w:hanging="2381"/>
        <w:rPr>
          <w:rFonts w:hAnsi="標楷體"/>
        </w:rPr>
      </w:pPr>
    </w:p>
    <w:p w:rsidR="00EA6BA7" w:rsidRPr="00EA6BA7" w:rsidRDefault="00EA6BA7" w:rsidP="00EA6BA7">
      <w:pPr>
        <w:pStyle w:val="1"/>
        <w:numPr>
          <w:ilvl w:val="0"/>
          <w:numId w:val="0"/>
        </w:numPr>
        <w:ind w:left="2381" w:hanging="2381"/>
        <w:rPr>
          <w:rFonts w:hAnsi="標楷體"/>
        </w:rPr>
      </w:pPr>
    </w:p>
    <w:p w:rsidR="00EA6BA7" w:rsidRPr="00EA6BA7" w:rsidRDefault="00EA6BA7" w:rsidP="00EA6BA7">
      <w:pPr>
        <w:pStyle w:val="1"/>
        <w:numPr>
          <w:ilvl w:val="0"/>
          <w:numId w:val="0"/>
        </w:numPr>
        <w:ind w:left="2381" w:hanging="2381"/>
        <w:rPr>
          <w:rFonts w:hAnsi="標楷體"/>
        </w:rPr>
      </w:pPr>
    </w:p>
    <w:p w:rsidR="00EA6BA7" w:rsidRPr="00EA6BA7" w:rsidRDefault="00EA6BA7" w:rsidP="00EA6BA7">
      <w:pPr>
        <w:pStyle w:val="1"/>
        <w:numPr>
          <w:ilvl w:val="0"/>
          <w:numId w:val="0"/>
        </w:numPr>
        <w:ind w:left="2381" w:hanging="2381"/>
        <w:rPr>
          <w:rFonts w:hAnsi="標楷體"/>
        </w:rPr>
      </w:pPr>
    </w:p>
    <w:p w:rsidR="00EA6BA7" w:rsidRPr="00EA6BA7" w:rsidRDefault="00EA6BA7" w:rsidP="00EA6BA7">
      <w:pPr>
        <w:pStyle w:val="1"/>
        <w:numPr>
          <w:ilvl w:val="0"/>
          <w:numId w:val="0"/>
        </w:numPr>
        <w:ind w:left="2381" w:hanging="2381"/>
        <w:rPr>
          <w:rFonts w:hAnsi="標楷體"/>
        </w:rPr>
      </w:pPr>
    </w:p>
    <w:p w:rsidR="00EA6BA7" w:rsidRPr="00EA6BA7" w:rsidRDefault="00EA6BA7" w:rsidP="00EA6BA7">
      <w:pPr>
        <w:pStyle w:val="1"/>
        <w:numPr>
          <w:ilvl w:val="0"/>
          <w:numId w:val="0"/>
        </w:numPr>
        <w:ind w:left="2381" w:hanging="2381"/>
        <w:rPr>
          <w:rFonts w:hAnsi="標楷體"/>
        </w:rPr>
      </w:pPr>
    </w:p>
    <w:p w:rsidR="00EA6BA7" w:rsidRPr="00EA6BA7" w:rsidRDefault="00EA6BA7" w:rsidP="00EA6BA7">
      <w:pPr>
        <w:pStyle w:val="1"/>
        <w:numPr>
          <w:ilvl w:val="0"/>
          <w:numId w:val="0"/>
        </w:numPr>
        <w:ind w:left="2381" w:hanging="2381"/>
        <w:rPr>
          <w:rFonts w:hAnsi="標楷體"/>
        </w:rPr>
      </w:pPr>
    </w:p>
    <w:p w:rsidR="00EA6BA7" w:rsidRPr="00EA6BA7" w:rsidRDefault="00EA6BA7" w:rsidP="00EA6BA7">
      <w:pPr>
        <w:pStyle w:val="1"/>
        <w:numPr>
          <w:ilvl w:val="0"/>
          <w:numId w:val="0"/>
        </w:numPr>
        <w:ind w:left="2381" w:hanging="2381"/>
        <w:rPr>
          <w:rFonts w:hAnsi="標楷體"/>
        </w:rPr>
      </w:pPr>
    </w:p>
    <w:p w:rsidR="00EA6BA7" w:rsidRPr="00EA6BA7" w:rsidRDefault="00EA6BA7" w:rsidP="00EA6BA7">
      <w:pPr>
        <w:pStyle w:val="1"/>
        <w:numPr>
          <w:ilvl w:val="0"/>
          <w:numId w:val="0"/>
        </w:numPr>
        <w:ind w:left="2381" w:hanging="2381"/>
        <w:rPr>
          <w:rFonts w:hAnsi="標楷體" w:hint="eastAsia"/>
        </w:rPr>
      </w:pPr>
    </w:p>
    <w:bookmarkEnd w:id="0"/>
    <w:bookmarkEnd w:id="1"/>
    <w:bookmarkEnd w:id="2"/>
    <w:p w:rsidR="008C40D8" w:rsidRPr="00EA6BA7" w:rsidRDefault="008C40D8" w:rsidP="008C40D8">
      <w:pPr>
        <w:pStyle w:val="1"/>
        <w:rPr>
          <w:rFonts w:hAnsi="標楷體"/>
        </w:rPr>
      </w:pPr>
      <w:r w:rsidRPr="00EA6BA7">
        <w:rPr>
          <w:rFonts w:hAnsi="標楷體" w:hint="eastAsia"/>
        </w:rPr>
        <w:lastRenderedPageBreak/>
        <w:t>調查意見</w:t>
      </w:r>
    </w:p>
    <w:p w:rsidR="008C40D8" w:rsidRPr="00EA6BA7" w:rsidRDefault="008C40D8" w:rsidP="008C40D8">
      <w:pPr>
        <w:pStyle w:val="2"/>
        <w:numPr>
          <w:ilvl w:val="0"/>
          <w:numId w:val="0"/>
        </w:numPr>
        <w:wordWrap w:val="0"/>
        <w:spacing w:line="460" w:lineRule="exact"/>
        <w:ind w:left="720" w:firstLineChars="210" w:firstLine="714"/>
        <w:rPr>
          <w:rFonts w:hAnsi="標楷體"/>
        </w:rPr>
      </w:pPr>
      <w:r w:rsidRPr="00EA6BA7">
        <w:rPr>
          <w:rFonts w:hAnsi="標楷體" w:hint="eastAsia"/>
        </w:rPr>
        <w:t>國際癌症研究中心於西元2015年3月將</w:t>
      </w:r>
      <w:r w:rsidR="00C62DB4" w:rsidRPr="00EA6BA7">
        <w:rPr>
          <w:rFonts w:hAnsi="標楷體" w:hint="eastAsia"/>
        </w:rPr>
        <w:t>除草劑</w:t>
      </w:r>
      <w:r w:rsidRPr="00EA6BA7">
        <w:rPr>
          <w:rFonts w:hAnsi="標楷體" w:hint="eastAsia"/>
        </w:rPr>
        <w:t>「</w:t>
      </w:r>
      <w:proofErr w:type="gramStart"/>
      <w:r w:rsidRPr="00EA6BA7">
        <w:rPr>
          <w:rFonts w:hAnsi="標楷體" w:hint="eastAsia"/>
        </w:rPr>
        <w:t>嘉磷塞</w:t>
      </w:r>
      <w:proofErr w:type="gramEnd"/>
      <w:r w:rsidRPr="00EA6BA7">
        <w:rPr>
          <w:rFonts w:hAnsi="標楷體" w:hint="eastAsia"/>
        </w:rPr>
        <w:t>（</w:t>
      </w:r>
      <w:r w:rsidRPr="00EA6BA7">
        <w:rPr>
          <w:rFonts w:hAnsi="標楷體" w:hint="eastAsia"/>
          <w:spacing w:val="2"/>
        </w:rPr>
        <w:t>Glyphosate，下同）」致癌風險提高至「很可能致癌（Group 2A），此引起各國關注，甚至重新檢討其安全性；</w:t>
      </w:r>
      <w:proofErr w:type="gramStart"/>
      <w:r w:rsidRPr="00EA6BA7">
        <w:rPr>
          <w:rFonts w:hAnsi="標楷體" w:hint="eastAsia"/>
          <w:spacing w:val="2"/>
        </w:rPr>
        <w:t>惟</w:t>
      </w:r>
      <w:proofErr w:type="gramEnd"/>
      <w:r w:rsidRPr="00EA6BA7">
        <w:rPr>
          <w:rFonts w:hAnsi="標楷體" w:hint="eastAsia"/>
          <w:spacing w:val="2"/>
        </w:rPr>
        <w:t>我國衛生福利部(下稱衛福部)</w:t>
      </w:r>
      <w:r w:rsidR="00D273DA" w:rsidRPr="00EA6BA7">
        <w:rPr>
          <w:rFonts w:hAnsi="標楷體" w:hint="eastAsia"/>
          <w:spacing w:val="2"/>
        </w:rPr>
        <w:t>竟</w:t>
      </w:r>
      <w:r w:rsidRPr="00EA6BA7">
        <w:rPr>
          <w:rFonts w:hAnsi="標楷體" w:hint="eastAsia"/>
          <w:spacing w:val="2"/>
        </w:rPr>
        <w:t>於民國(下同)10</w:t>
      </w:r>
      <w:r w:rsidRPr="00EA6BA7">
        <w:rPr>
          <w:rFonts w:hAnsi="標楷體" w:hint="eastAsia"/>
        </w:rPr>
        <w:t>8年4月23日預告修正「農藥殘留容許量標準」，大幅放寬燕麥、蕎麥與大麥等10項穀類之「</w:t>
      </w:r>
      <w:proofErr w:type="gramStart"/>
      <w:r w:rsidRPr="00EA6BA7">
        <w:rPr>
          <w:rFonts w:hAnsi="標楷體" w:hint="eastAsia"/>
        </w:rPr>
        <w:t>嘉磷塞</w:t>
      </w:r>
      <w:proofErr w:type="gramEnd"/>
      <w:r w:rsidRPr="00EA6BA7">
        <w:rPr>
          <w:rFonts w:hAnsi="標楷體" w:hint="eastAsia"/>
        </w:rPr>
        <w:t>」殘留容許量標準，由不得檢出統一調升至10ppm</w:t>
      </w:r>
      <w:r w:rsidR="00F736A8" w:rsidRPr="00EA6BA7">
        <w:rPr>
          <w:rFonts w:hAnsi="標楷體" w:hint="eastAsia"/>
        </w:rPr>
        <w:t>。</w:t>
      </w:r>
      <w:r w:rsidRPr="00EA6BA7">
        <w:rPr>
          <w:rFonts w:hAnsi="標楷體" w:hint="eastAsia"/>
        </w:rPr>
        <w:t>國內有使</w:t>
      </w:r>
      <w:r w:rsidR="00F736A8" w:rsidRPr="00EA6BA7">
        <w:rPr>
          <w:rFonts w:hAnsi="標楷體" w:hint="eastAsia"/>
        </w:rPr>
        <w:t>用「</w:t>
      </w:r>
      <w:proofErr w:type="gramStart"/>
      <w:r w:rsidR="00F736A8" w:rsidRPr="00EA6BA7">
        <w:rPr>
          <w:rFonts w:hAnsi="標楷體" w:hint="eastAsia"/>
        </w:rPr>
        <w:t>嘉磷塞</w:t>
      </w:r>
      <w:proofErr w:type="gramEnd"/>
      <w:r w:rsidR="00F736A8" w:rsidRPr="00EA6BA7">
        <w:rPr>
          <w:rFonts w:hAnsi="標楷體" w:hint="eastAsia"/>
        </w:rPr>
        <w:t>」除草劑之需求與必要，惟衛福部為何不能維持現有標準？</w:t>
      </w:r>
      <w:r w:rsidRPr="00EA6BA7">
        <w:rPr>
          <w:rFonts w:hAnsi="標楷體" w:hint="eastAsia"/>
        </w:rPr>
        <w:t>反其道而行放寬該標準之緣由及依據為何？相關專家會議之討論</w:t>
      </w:r>
      <w:r w:rsidR="00F736A8" w:rsidRPr="00EA6BA7">
        <w:rPr>
          <w:rFonts w:hAnsi="標楷體" w:hint="eastAsia"/>
        </w:rPr>
        <w:t>經過與</w:t>
      </w:r>
      <w:r w:rsidRPr="00EA6BA7">
        <w:rPr>
          <w:rFonts w:hAnsi="標楷體" w:hint="eastAsia"/>
        </w:rPr>
        <w:t>結果？以及行政院農業委員會(下稱農委會)對於「嘉</w:t>
      </w:r>
      <w:proofErr w:type="gramStart"/>
      <w:r w:rsidRPr="00EA6BA7">
        <w:rPr>
          <w:rFonts w:hAnsi="標楷體" w:hint="eastAsia"/>
        </w:rPr>
        <w:t>磷塞」毒理</w:t>
      </w:r>
      <w:proofErr w:type="gramEnd"/>
      <w:r w:rsidRPr="00EA6BA7">
        <w:rPr>
          <w:rFonts w:hAnsi="標楷體" w:hint="eastAsia"/>
        </w:rPr>
        <w:t>安全是否重啟評估作業等，</w:t>
      </w:r>
      <w:proofErr w:type="gramStart"/>
      <w:r w:rsidRPr="00EA6BA7">
        <w:rPr>
          <w:rFonts w:hAnsi="標楷體" w:hint="eastAsia"/>
        </w:rPr>
        <w:t>均有詳加</w:t>
      </w:r>
      <w:proofErr w:type="gramEnd"/>
      <w:r w:rsidRPr="00EA6BA7">
        <w:rPr>
          <w:rFonts w:hAnsi="標楷體" w:hint="eastAsia"/>
        </w:rPr>
        <w:t>瞭解之必要，</w:t>
      </w:r>
      <w:proofErr w:type="gramStart"/>
      <w:r w:rsidRPr="00EA6BA7">
        <w:rPr>
          <w:rFonts w:hAnsi="標楷體" w:hint="eastAsia"/>
        </w:rPr>
        <w:t>爰</w:t>
      </w:r>
      <w:proofErr w:type="gramEnd"/>
      <w:r w:rsidRPr="00EA6BA7">
        <w:rPr>
          <w:rFonts w:hAnsi="標楷體" w:hint="eastAsia"/>
        </w:rPr>
        <w:t>立案調查。</w:t>
      </w:r>
    </w:p>
    <w:p w:rsidR="008C40D8" w:rsidRPr="00EA6BA7" w:rsidRDefault="00C62DB4" w:rsidP="008C40D8">
      <w:pPr>
        <w:pStyle w:val="2"/>
        <w:numPr>
          <w:ilvl w:val="0"/>
          <w:numId w:val="0"/>
        </w:numPr>
        <w:wordWrap w:val="0"/>
        <w:spacing w:line="460" w:lineRule="exact"/>
        <w:ind w:left="720" w:firstLineChars="210" w:firstLine="714"/>
        <w:rPr>
          <w:rFonts w:hAnsi="標楷體"/>
          <w:szCs w:val="32"/>
        </w:rPr>
      </w:pPr>
      <w:r w:rsidRPr="00EA6BA7">
        <w:rPr>
          <w:rFonts w:hAnsi="標楷體" w:hint="eastAsia"/>
        </w:rPr>
        <w:t>案經調</w:t>
      </w:r>
      <w:r w:rsidR="00111F4D" w:rsidRPr="00EA6BA7">
        <w:rPr>
          <w:rFonts w:hAnsi="標楷體" w:hint="eastAsia"/>
        </w:rPr>
        <w:t>閱</w:t>
      </w:r>
      <w:r w:rsidRPr="00EA6BA7">
        <w:rPr>
          <w:rFonts w:hAnsi="標楷體" w:hint="eastAsia"/>
        </w:rPr>
        <w:t>衛福部、食品藥物管理署(下稱衛福</w:t>
      </w:r>
      <w:proofErr w:type="gramStart"/>
      <w:r w:rsidRPr="00EA6BA7">
        <w:rPr>
          <w:rFonts w:hAnsi="標楷體" w:hint="eastAsia"/>
        </w:rPr>
        <w:t>部食藥署</w:t>
      </w:r>
      <w:proofErr w:type="gramEnd"/>
      <w:r w:rsidRPr="00EA6BA7">
        <w:rPr>
          <w:rFonts w:hAnsi="標楷體" w:hint="eastAsia"/>
        </w:rPr>
        <w:t>)及農委會相關卷證後；為瞭解「</w:t>
      </w:r>
      <w:proofErr w:type="gramStart"/>
      <w:r w:rsidRPr="00EA6BA7">
        <w:rPr>
          <w:rFonts w:hAnsi="標楷體" w:hint="eastAsia"/>
        </w:rPr>
        <w:t>嘉磷塞</w:t>
      </w:r>
      <w:proofErr w:type="gramEnd"/>
      <w:r w:rsidRPr="00EA6BA7">
        <w:rPr>
          <w:rFonts w:hAnsi="標楷體" w:hint="eastAsia"/>
        </w:rPr>
        <w:t>」作用原理、</w:t>
      </w:r>
      <w:proofErr w:type="gramStart"/>
      <w:r w:rsidRPr="00EA6BA7">
        <w:rPr>
          <w:rFonts w:hAnsi="標楷體" w:hint="eastAsia"/>
        </w:rPr>
        <w:t>毒理及</w:t>
      </w:r>
      <w:proofErr w:type="gramEnd"/>
      <w:r w:rsidRPr="00EA6BA7">
        <w:rPr>
          <w:rFonts w:hAnsi="標楷體" w:hint="eastAsia"/>
        </w:rPr>
        <w:t>使用情況等情，分別於</w:t>
      </w:r>
      <w:r w:rsidRPr="00EA6BA7">
        <w:rPr>
          <w:rFonts w:hAnsi="標楷體" w:hint="eastAsia"/>
          <w:szCs w:val="32"/>
        </w:rPr>
        <w:t>108年5月27日、9月12日邀請國立臺灣大學農藝學系暨研究所郭華仁教授、國立臺灣大學昆蟲系黃榮南教授、林口長庚醫院臨床毒物科譚敦慈</w:t>
      </w:r>
      <w:r w:rsidR="00111F4D" w:rsidRPr="00EA6BA7">
        <w:rPr>
          <w:rFonts w:hAnsi="標楷體" w:hint="eastAsia"/>
          <w:szCs w:val="32"/>
        </w:rPr>
        <w:t>護理師</w:t>
      </w:r>
      <w:r w:rsidRPr="00EA6BA7">
        <w:rPr>
          <w:rFonts w:hAnsi="標楷體" w:hint="eastAsia"/>
          <w:szCs w:val="32"/>
        </w:rPr>
        <w:t>、林口長庚紀念醫院臨床毒物中心顏宗海</w:t>
      </w:r>
      <w:r w:rsidR="00111F4D" w:rsidRPr="00EA6BA7">
        <w:rPr>
          <w:rFonts w:hAnsi="標楷體" w:hint="eastAsia"/>
          <w:szCs w:val="32"/>
        </w:rPr>
        <w:t>主任</w:t>
      </w:r>
      <w:r w:rsidRPr="00EA6BA7">
        <w:rPr>
          <w:rFonts w:hAnsi="標楷體" w:hint="eastAsia"/>
          <w:szCs w:val="32"/>
        </w:rPr>
        <w:t>到院諮詢；另為瞭解歐盟及日本等國家對於</w:t>
      </w:r>
      <w:r w:rsidRPr="00EA6BA7">
        <w:rPr>
          <w:rFonts w:hAnsi="標楷體" w:hint="eastAsia"/>
        </w:rPr>
        <w:t>「</w:t>
      </w:r>
      <w:proofErr w:type="gramStart"/>
      <w:r w:rsidRPr="00EA6BA7">
        <w:rPr>
          <w:rFonts w:hAnsi="標楷體" w:hint="eastAsia"/>
        </w:rPr>
        <w:t>嘉磷塞</w:t>
      </w:r>
      <w:proofErr w:type="gramEnd"/>
      <w:r w:rsidRPr="00EA6BA7">
        <w:rPr>
          <w:rFonts w:hAnsi="標楷體" w:hint="eastAsia"/>
        </w:rPr>
        <w:t>」之核准與限制實情，</w:t>
      </w:r>
      <w:proofErr w:type="gramStart"/>
      <w:r w:rsidRPr="00EA6BA7">
        <w:rPr>
          <w:rFonts w:hAnsi="標楷體" w:hint="eastAsia"/>
        </w:rPr>
        <w:t>特</w:t>
      </w:r>
      <w:proofErr w:type="gramEnd"/>
      <w:r w:rsidRPr="00EA6BA7">
        <w:rPr>
          <w:rFonts w:hAnsi="標楷體" w:hint="eastAsia"/>
        </w:rPr>
        <w:t>函請外交部轉請各相關駐外單位提供相關訊息；再經向</w:t>
      </w:r>
      <w:proofErr w:type="gramStart"/>
      <w:r w:rsidRPr="00EA6BA7">
        <w:rPr>
          <w:rFonts w:hAnsi="標楷體" w:hint="eastAsia"/>
        </w:rPr>
        <w:t>衛福部及農委會</w:t>
      </w:r>
      <w:proofErr w:type="gramEnd"/>
      <w:r w:rsidRPr="00EA6BA7">
        <w:rPr>
          <w:rFonts w:hAnsi="標楷體" w:hint="eastAsia"/>
        </w:rPr>
        <w:t>調閱相關資料，並請</w:t>
      </w:r>
      <w:r w:rsidRPr="00EA6BA7">
        <w:rPr>
          <w:rFonts w:hAnsi="標楷體" w:hint="eastAsia"/>
          <w:szCs w:val="32"/>
        </w:rPr>
        <w:t>農委會黃副主任委員率動植物防疫檢疫局（下稱農委會防檢局）、農業藥物毒物試驗所（下稱農委會藥毒所）、</w:t>
      </w:r>
      <w:proofErr w:type="gramStart"/>
      <w:r w:rsidRPr="00EA6BA7">
        <w:rPr>
          <w:rFonts w:hAnsi="標楷體" w:hint="eastAsia"/>
          <w:szCs w:val="32"/>
        </w:rPr>
        <w:t>農糧署等</w:t>
      </w:r>
      <w:proofErr w:type="gramEnd"/>
      <w:r w:rsidRPr="00EA6BA7">
        <w:rPr>
          <w:rFonts w:hAnsi="標楷體" w:hint="eastAsia"/>
          <w:szCs w:val="32"/>
        </w:rPr>
        <w:t>主管人員，以及</w:t>
      </w:r>
      <w:proofErr w:type="gramStart"/>
      <w:r w:rsidRPr="00EA6BA7">
        <w:rPr>
          <w:rFonts w:hAnsi="標楷體" w:hint="eastAsia"/>
          <w:szCs w:val="32"/>
        </w:rPr>
        <w:t>衛福部何政務</w:t>
      </w:r>
      <w:proofErr w:type="gramEnd"/>
      <w:r w:rsidRPr="00EA6BA7">
        <w:rPr>
          <w:rFonts w:hAnsi="標楷體" w:hint="eastAsia"/>
          <w:szCs w:val="32"/>
        </w:rPr>
        <w:t>次長</w:t>
      </w:r>
      <w:proofErr w:type="gramStart"/>
      <w:r w:rsidRPr="00EA6BA7">
        <w:rPr>
          <w:rFonts w:hAnsi="標楷體" w:hint="eastAsia"/>
          <w:szCs w:val="32"/>
        </w:rPr>
        <w:t>率食藥署</w:t>
      </w:r>
      <w:proofErr w:type="gramEnd"/>
      <w:r w:rsidRPr="00EA6BA7">
        <w:rPr>
          <w:rFonts w:hAnsi="標楷體" w:hint="eastAsia"/>
          <w:szCs w:val="32"/>
        </w:rPr>
        <w:t>及財團法人國家衛生研究院(</w:t>
      </w:r>
      <w:proofErr w:type="gramStart"/>
      <w:r w:rsidRPr="00EA6BA7">
        <w:rPr>
          <w:rFonts w:hAnsi="標楷體" w:hint="eastAsia"/>
          <w:szCs w:val="32"/>
        </w:rPr>
        <w:t>下稱國衛</w:t>
      </w:r>
      <w:proofErr w:type="gramEnd"/>
      <w:r w:rsidRPr="00EA6BA7">
        <w:rPr>
          <w:rFonts w:hAnsi="標楷體" w:hint="eastAsia"/>
          <w:szCs w:val="32"/>
        </w:rPr>
        <w:t>院)相關人員到院說明；嗣後就</w:t>
      </w:r>
      <w:r w:rsidR="00111F4D" w:rsidRPr="00EA6BA7">
        <w:rPr>
          <w:rFonts w:hAnsi="標楷體" w:hint="eastAsia"/>
          <w:szCs w:val="32"/>
        </w:rPr>
        <w:t>相關</w:t>
      </w:r>
      <w:r w:rsidRPr="00EA6BA7">
        <w:rPr>
          <w:rFonts w:hAnsi="標楷體" w:hint="eastAsia"/>
          <w:szCs w:val="32"/>
        </w:rPr>
        <w:t>爭點，再於108年10月28日函</w:t>
      </w:r>
      <w:proofErr w:type="gramStart"/>
      <w:r w:rsidRPr="00EA6BA7">
        <w:rPr>
          <w:rFonts w:hAnsi="標楷體" w:hint="eastAsia"/>
          <w:szCs w:val="32"/>
        </w:rPr>
        <w:t>詢</w:t>
      </w:r>
      <w:proofErr w:type="gramEnd"/>
      <w:r w:rsidRPr="00EA6BA7">
        <w:rPr>
          <w:rFonts w:hAnsi="標楷體" w:hint="eastAsia"/>
          <w:szCs w:val="32"/>
        </w:rPr>
        <w:t>農委會及衛福部，經</w:t>
      </w:r>
      <w:proofErr w:type="gramStart"/>
      <w:r w:rsidRPr="00EA6BA7">
        <w:rPr>
          <w:rFonts w:hAnsi="標楷體" w:hint="eastAsia"/>
          <w:szCs w:val="32"/>
        </w:rPr>
        <w:t>研析函</w:t>
      </w:r>
      <w:proofErr w:type="gramEnd"/>
      <w:r w:rsidRPr="00EA6BA7">
        <w:rPr>
          <w:rFonts w:hAnsi="標楷體" w:hint="eastAsia"/>
          <w:szCs w:val="32"/>
        </w:rPr>
        <w:t>復資料後，業</w:t>
      </w:r>
      <w:proofErr w:type="gramStart"/>
      <w:r w:rsidRPr="00EA6BA7">
        <w:rPr>
          <w:rFonts w:hAnsi="標楷體" w:hint="eastAsia"/>
          <w:szCs w:val="32"/>
        </w:rPr>
        <w:t>調查竣事</w:t>
      </w:r>
      <w:proofErr w:type="gramEnd"/>
      <w:r w:rsidRPr="00EA6BA7">
        <w:rPr>
          <w:rFonts w:hAnsi="標楷體" w:hint="eastAsia"/>
          <w:szCs w:val="32"/>
        </w:rPr>
        <w:t>，</w:t>
      </w:r>
      <w:r w:rsidR="008C40D8" w:rsidRPr="00EA6BA7">
        <w:rPr>
          <w:rFonts w:hAnsi="標楷體" w:hint="eastAsia"/>
          <w:szCs w:val="32"/>
        </w:rPr>
        <w:t>茲</w:t>
      </w:r>
      <w:r w:rsidRPr="00EA6BA7">
        <w:rPr>
          <w:rFonts w:hAnsi="標楷體" w:hint="eastAsia"/>
          <w:szCs w:val="32"/>
        </w:rPr>
        <w:t>陳列調查意見</w:t>
      </w:r>
      <w:r w:rsidR="008C40D8" w:rsidRPr="00EA6BA7">
        <w:rPr>
          <w:rFonts w:hAnsi="標楷體" w:hint="eastAsia"/>
          <w:szCs w:val="32"/>
        </w:rPr>
        <w:t>如下：</w:t>
      </w:r>
    </w:p>
    <w:p w:rsidR="008C40D8" w:rsidRPr="00EA6BA7" w:rsidRDefault="002268E9" w:rsidP="005D49CB">
      <w:pPr>
        <w:pStyle w:val="2"/>
        <w:rPr>
          <w:rFonts w:hAnsi="標楷體"/>
          <w:b/>
        </w:rPr>
      </w:pPr>
      <w:r w:rsidRPr="00EA6BA7">
        <w:rPr>
          <w:rFonts w:ascii="Times New Roman" w:hAnsi="標楷體" w:hint="eastAsia"/>
          <w:b/>
        </w:rPr>
        <w:lastRenderedPageBreak/>
        <w:t>衛福</w:t>
      </w:r>
      <w:proofErr w:type="gramStart"/>
      <w:r w:rsidR="008660F1" w:rsidRPr="00EA6BA7">
        <w:rPr>
          <w:rFonts w:ascii="Times New Roman" w:hAnsi="標楷體" w:hint="eastAsia"/>
          <w:b/>
        </w:rPr>
        <w:t>部</w:t>
      </w:r>
      <w:r w:rsidRPr="00EA6BA7">
        <w:rPr>
          <w:rFonts w:ascii="Times New Roman" w:hAnsi="標楷體" w:hint="eastAsia"/>
          <w:b/>
        </w:rPr>
        <w:t>及食藥署</w:t>
      </w:r>
      <w:r w:rsidR="008660F1" w:rsidRPr="00EA6BA7">
        <w:rPr>
          <w:rFonts w:ascii="Times New Roman" w:hAnsi="標楷體" w:hint="eastAsia"/>
          <w:b/>
        </w:rPr>
        <w:t>罔</w:t>
      </w:r>
      <w:proofErr w:type="gramEnd"/>
      <w:r w:rsidR="008660F1" w:rsidRPr="00EA6BA7">
        <w:rPr>
          <w:rFonts w:ascii="Times New Roman" w:hAnsi="標楷體" w:hint="eastAsia"/>
          <w:b/>
        </w:rPr>
        <w:t>顧食品衛生安全與營養</w:t>
      </w:r>
      <w:proofErr w:type="gramStart"/>
      <w:r w:rsidR="008660F1" w:rsidRPr="00EA6BA7">
        <w:rPr>
          <w:rFonts w:ascii="Times New Roman" w:hAnsi="標楷體" w:hint="eastAsia"/>
          <w:b/>
        </w:rPr>
        <w:t>諮</w:t>
      </w:r>
      <w:proofErr w:type="gramEnd"/>
      <w:r w:rsidR="008660F1" w:rsidRPr="00EA6BA7">
        <w:rPr>
          <w:rFonts w:ascii="Times New Roman" w:hAnsi="標楷體" w:hint="eastAsia"/>
          <w:b/>
        </w:rPr>
        <w:t>議會審查委員建議，以及國際癌症研究中心將「</w:t>
      </w:r>
      <w:proofErr w:type="gramStart"/>
      <w:r w:rsidR="008660F1" w:rsidRPr="00EA6BA7">
        <w:rPr>
          <w:rFonts w:ascii="Times New Roman" w:hAnsi="標楷體" w:hint="eastAsia"/>
          <w:b/>
        </w:rPr>
        <w:t>嘉磷塞</w:t>
      </w:r>
      <w:proofErr w:type="gramEnd"/>
      <w:r w:rsidR="008660F1" w:rsidRPr="00EA6BA7">
        <w:rPr>
          <w:rFonts w:ascii="Times New Roman" w:hAnsi="標楷體" w:hint="eastAsia"/>
          <w:b/>
        </w:rPr>
        <w:t>」致癌風險提高至「很可能致癌（</w:t>
      </w:r>
      <w:r w:rsidR="008660F1" w:rsidRPr="00EA6BA7">
        <w:rPr>
          <w:rFonts w:ascii="Times New Roman" w:hAnsi="標楷體" w:hint="eastAsia"/>
          <w:b/>
        </w:rPr>
        <w:t>Group 2A</w:t>
      </w:r>
      <w:r w:rsidR="0060209C" w:rsidRPr="00EA6BA7">
        <w:rPr>
          <w:rFonts w:ascii="Times New Roman" w:hAnsi="標楷體" w:hint="eastAsia"/>
          <w:b/>
        </w:rPr>
        <w:t>）」與</w:t>
      </w:r>
      <w:r w:rsidR="008660F1" w:rsidRPr="00EA6BA7">
        <w:rPr>
          <w:rFonts w:ascii="Times New Roman" w:hAnsi="標楷體" w:hint="eastAsia"/>
          <w:b/>
        </w:rPr>
        <w:t>各國</w:t>
      </w:r>
      <w:proofErr w:type="gramStart"/>
      <w:r w:rsidR="008660F1" w:rsidRPr="00EA6BA7">
        <w:rPr>
          <w:rFonts w:ascii="Times New Roman" w:hAnsi="標楷體" w:hint="eastAsia"/>
          <w:b/>
        </w:rPr>
        <w:t>紛</w:t>
      </w:r>
      <w:proofErr w:type="gramEnd"/>
      <w:r w:rsidR="008660F1" w:rsidRPr="00EA6BA7">
        <w:rPr>
          <w:rFonts w:ascii="Times New Roman" w:hAnsi="標楷體" w:hint="eastAsia"/>
          <w:b/>
        </w:rPr>
        <w:t>起</w:t>
      </w:r>
      <w:r w:rsidR="008660F1" w:rsidRPr="00EA6BA7">
        <w:rPr>
          <w:rFonts w:hAnsi="標楷體" w:hint="eastAsia"/>
          <w:b/>
        </w:rPr>
        <w:t>反對及禁用</w:t>
      </w:r>
      <w:r w:rsidR="003453CC" w:rsidRPr="00EA6BA7">
        <w:rPr>
          <w:rFonts w:hAnsi="標楷體" w:hint="eastAsia"/>
          <w:b/>
        </w:rPr>
        <w:t>等</w:t>
      </w:r>
      <w:r w:rsidR="008660F1" w:rsidRPr="00EA6BA7">
        <w:rPr>
          <w:rFonts w:ascii="Times New Roman" w:hAnsi="標楷體" w:hint="eastAsia"/>
          <w:b/>
        </w:rPr>
        <w:t>情勢，</w:t>
      </w:r>
      <w:r w:rsidR="00ED346D" w:rsidRPr="00EA6BA7">
        <w:rPr>
          <w:rFonts w:ascii="Times New Roman" w:hAnsi="標楷體" w:hint="eastAsia"/>
          <w:b/>
        </w:rPr>
        <w:t>且</w:t>
      </w:r>
      <w:r w:rsidRPr="00EA6BA7">
        <w:rPr>
          <w:rFonts w:ascii="Times New Roman" w:hAnsi="標楷體" w:hint="eastAsia"/>
          <w:b/>
        </w:rPr>
        <w:t>在</w:t>
      </w:r>
      <w:r w:rsidRPr="00EA6BA7">
        <w:rPr>
          <w:rFonts w:hAnsi="標楷體" w:hint="eastAsia"/>
          <w:b/>
        </w:rPr>
        <w:t>欠缺科學</w:t>
      </w:r>
      <w:r w:rsidR="00ED346D" w:rsidRPr="00EA6BA7">
        <w:rPr>
          <w:rFonts w:hAnsi="標楷體" w:hint="eastAsia"/>
          <w:b/>
        </w:rPr>
        <w:t>與</w:t>
      </w:r>
      <w:r w:rsidRPr="00EA6BA7">
        <w:rPr>
          <w:rFonts w:hAnsi="標楷體" w:hint="eastAsia"/>
          <w:b/>
        </w:rPr>
        <w:t>客觀之確實評估作為情形下，</w:t>
      </w:r>
      <w:r w:rsidR="00ED346D" w:rsidRPr="00EA6BA7">
        <w:rPr>
          <w:rFonts w:hAnsi="標楷體" w:hint="eastAsia"/>
          <w:b/>
        </w:rPr>
        <w:t>竟</w:t>
      </w:r>
      <w:r w:rsidR="008C40D8" w:rsidRPr="00EA6BA7">
        <w:rPr>
          <w:rFonts w:hAnsi="標楷體" w:hint="eastAsia"/>
          <w:b/>
        </w:rPr>
        <w:t>於108年4月23日預告修正「農藥殘留容許量標準」</w:t>
      </w:r>
      <w:r w:rsidR="00E4752E" w:rsidRPr="00EA6BA7">
        <w:rPr>
          <w:rStyle w:val="aff"/>
          <w:rFonts w:hAnsi="標楷體"/>
          <w:b/>
        </w:rPr>
        <w:footnoteReference w:id="1"/>
      </w:r>
      <w:r w:rsidR="008C40D8" w:rsidRPr="00EA6BA7">
        <w:rPr>
          <w:rFonts w:hAnsi="標楷體" w:hint="eastAsia"/>
          <w:b/>
        </w:rPr>
        <w:t>，率爾大幅放寬燕麥、蕎麥與大麥等10項穀類之「</w:t>
      </w:r>
      <w:proofErr w:type="gramStart"/>
      <w:r w:rsidR="008C40D8" w:rsidRPr="00EA6BA7">
        <w:rPr>
          <w:rFonts w:hAnsi="標楷體" w:hint="eastAsia"/>
          <w:b/>
        </w:rPr>
        <w:t>嘉磷塞</w:t>
      </w:r>
      <w:proofErr w:type="gramEnd"/>
      <w:r w:rsidR="008C40D8" w:rsidRPr="00EA6BA7">
        <w:rPr>
          <w:rFonts w:hAnsi="標楷體" w:hint="eastAsia"/>
          <w:b/>
        </w:rPr>
        <w:t>」殘留容許量，由不得檢出統一調升至10ppm</w:t>
      </w:r>
      <w:r w:rsidR="00E4752E" w:rsidRPr="00EA6BA7">
        <w:rPr>
          <w:rFonts w:hAnsi="標楷體" w:hint="eastAsia"/>
          <w:b/>
        </w:rPr>
        <w:t>；再</w:t>
      </w:r>
      <w:proofErr w:type="gramStart"/>
      <w:r w:rsidR="00E4752E" w:rsidRPr="00EA6BA7">
        <w:rPr>
          <w:rFonts w:hAnsi="標楷體" w:hint="eastAsia"/>
          <w:b/>
        </w:rPr>
        <w:t>且</w:t>
      </w:r>
      <w:proofErr w:type="gramEnd"/>
      <w:r w:rsidR="00E4752E" w:rsidRPr="00EA6BA7">
        <w:rPr>
          <w:rFonts w:hAnsi="標楷體" w:hint="eastAsia"/>
          <w:b/>
        </w:rPr>
        <w:t>，本案詢問</w:t>
      </w:r>
      <w:r w:rsidR="008660F1" w:rsidRPr="00EA6BA7">
        <w:rPr>
          <w:rFonts w:hAnsi="標楷體" w:hint="eastAsia"/>
          <w:b/>
        </w:rPr>
        <w:t>該部署</w:t>
      </w:r>
      <w:r w:rsidR="00E4752E" w:rsidRPr="00EA6BA7">
        <w:rPr>
          <w:rFonts w:hAnsi="標楷體" w:hint="eastAsia"/>
          <w:b/>
        </w:rPr>
        <w:t>主管人員，放寬該標準對於國人健康之</w:t>
      </w:r>
      <w:r w:rsidR="000969DD" w:rsidRPr="00EA6BA7">
        <w:rPr>
          <w:rFonts w:hAnsi="標楷體" w:hint="eastAsia"/>
          <w:b/>
        </w:rPr>
        <w:t>正向影響</w:t>
      </w:r>
      <w:r w:rsidR="00E4752E" w:rsidRPr="00EA6BA7">
        <w:rPr>
          <w:rFonts w:hAnsi="標楷體" w:hint="eastAsia"/>
          <w:b/>
        </w:rPr>
        <w:t>，其均緘默不語，與</w:t>
      </w:r>
      <w:r w:rsidR="000969DD" w:rsidRPr="00EA6BA7">
        <w:rPr>
          <w:rFonts w:hAnsi="標楷體" w:hint="eastAsia"/>
          <w:b/>
        </w:rPr>
        <w:t>其</w:t>
      </w:r>
      <w:r w:rsidR="00E4752E" w:rsidRPr="00EA6BA7">
        <w:rPr>
          <w:rFonts w:hAnsi="標楷體" w:hint="eastAsia"/>
          <w:b/>
        </w:rPr>
        <w:t>逕自決定預告該放寬標準之積極作為，前後應處態度</w:t>
      </w:r>
      <w:proofErr w:type="gramStart"/>
      <w:r w:rsidR="00E4752E" w:rsidRPr="00EA6BA7">
        <w:rPr>
          <w:rFonts w:hAnsi="標楷體"/>
          <w:b/>
        </w:rPr>
        <w:t>迥</w:t>
      </w:r>
      <w:proofErr w:type="gramEnd"/>
      <w:r w:rsidR="000969DD" w:rsidRPr="00EA6BA7">
        <w:rPr>
          <w:rFonts w:hAnsi="標楷體" w:hint="eastAsia"/>
          <w:b/>
        </w:rPr>
        <w:t>異，</w:t>
      </w:r>
      <w:r w:rsidR="00E4752E" w:rsidRPr="00EA6BA7">
        <w:rPr>
          <w:rFonts w:hAnsi="標楷體" w:hint="eastAsia"/>
          <w:b/>
        </w:rPr>
        <w:t>有失維護國人健康之責，殊有未當。</w:t>
      </w:r>
    </w:p>
    <w:p w:rsidR="008C40D8" w:rsidRPr="00EA6BA7" w:rsidRDefault="008C40D8" w:rsidP="008C40D8">
      <w:pPr>
        <w:pStyle w:val="3"/>
        <w:ind w:left="1276"/>
        <w:rPr>
          <w:rFonts w:hAnsi="標楷體"/>
        </w:rPr>
      </w:pPr>
      <w:r w:rsidRPr="00EA6BA7">
        <w:rPr>
          <w:rFonts w:hAnsi="標楷體" w:hint="eastAsia"/>
        </w:rPr>
        <w:t>按食品安全衛生管理法(</w:t>
      </w:r>
      <w:proofErr w:type="gramStart"/>
      <w:r w:rsidRPr="00EA6BA7">
        <w:rPr>
          <w:rFonts w:hAnsi="標楷體" w:hint="eastAsia"/>
        </w:rPr>
        <w:t>下稱食安</w:t>
      </w:r>
      <w:proofErr w:type="gramEnd"/>
      <w:r w:rsidRPr="00EA6BA7">
        <w:rPr>
          <w:rFonts w:hAnsi="標楷體" w:hint="eastAsia"/>
        </w:rPr>
        <w:t>法)第2條規定：「本法所稱主管機關：在中央為衛生福利主管機關；在直轄市為直轄市政府；在縣（市）為縣（市）政府。」</w:t>
      </w:r>
      <w:proofErr w:type="gramStart"/>
      <w:r w:rsidRPr="00EA6BA7">
        <w:rPr>
          <w:rFonts w:hAnsi="標楷體" w:hint="eastAsia"/>
        </w:rPr>
        <w:t>復按同</w:t>
      </w:r>
      <w:proofErr w:type="gramEnd"/>
      <w:r w:rsidRPr="00EA6BA7">
        <w:rPr>
          <w:rFonts w:hAnsi="標楷體" w:hint="eastAsia"/>
        </w:rPr>
        <w:t>法第15條第2項及第17條分別規定：「前項第五款、第六款殘留農藥或動物用藥安全容許量及食品中原子塵或放射能污染安全容許量之標準，由中央主管機關會商相關機關定之。」「販賣之食品、食品</w:t>
      </w:r>
      <w:proofErr w:type="gramStart"/>
      <w:r w:rsidRPr="00EA6BA7">
        <w:rPr>
          <w:rFonts w:hAnsi="標楷體" w:hint="eastAsia"/>
        </w:rPr>
        <w:t>用洗潔劑</w:t>
      </w:r>
      <w:proofErr w:type="gramEnd"/>
      <w:r w:rsidRPr="00EA6BA7">
        <w:rPr>
          <w:rFonts w:hAnsi="標楷體" w:hint="eastAsia"/>
        </w:rPr>
        <w:t>及其器具、容器或包裝，應符合衛生安全及品質之標準；其標準由中央主管機關定之。」</w:t>
      </w:r>
      <w:proofErr w:type="gramStart"/>
      <w:r w:rsidRPr="00EA6BA7">
        <w:rPr>
          <w:rFonts w:hAnsi="標楷體" w:hint="eastAsia"/>
        </w:rPr>
        <w:t>爰</w:t>
      </w:r>
      <w:proofErr w:type="gramEnd"/>
      <w:r w:rsidRPr="00EA6BA7">
        <w:rPr>
          <w:rFonts w:hAnsi="標楷體" w:hint="eastAsia"/>
        </w:rPr>
        <w:t>此，原行政院衛生署(現衛福部)於65年2月20日公告訂定「殘留農藥安全容許量標準」，肆應行政程序法之施行，該署自97年10月21日訂定發布「農藥殘留容許量標準」。</w:t>
      </w:r>
    </w:p>
    <w:p w:rsidR="008C40D8" w:rsidRPr="00EA6BA7" w:rsidRDefault="008C40D8" w:rsidP="008C40D8">
      <w:pPr>
        <w:pStyle w:val="3"/>
        <w:ind w:left="1276"/>
        <w:rPr>
          <w:rFonts w:hAnsi="標楷體"/>
        </w:rPr>
      </w:pPr>
      <w:r w:rsidRPr="00EA6BA7">
        <w:rPr>
          <w:rFonts w:hAnsi="標楷體" w:hint="eastAsia"/>
        </w:rPr>
        <w:t>查</w:t>
      </w:r>
      <w:proofErr w:type="gramStart"/>
      <w:r w:rsidRPr="00EA6BA7">
        <w:rPr>
          <w:rFonts w:hAnsi="標楷體" w:hint="eastAsia"/>
        </w:rPr>
        <w:t>衛福部於108年4月23日</w:t>
      </w:r>
      <w:proofErr w:type="gramEnd"/>
      <w:r w:rsidRPr="00EA6BA7">
        <w:rPr>
          <w:rFonts w:hAnsi="標楷體" w:hint="eastAsia"/>
        </w:rPr>
        <w:t>預告修正「農藥殘留容許量標準」，主要為增列燕麥、蕎麥與大麥等10項</w:t>
      </w:r>
      <w:r w:rsidR="000969DD" w:rsidRPr="00EA6BA7">
        <w:rPr>
          <w:rFonts w:hAnsi="標楷體" w:hint="eastAsia"/>
        </w:rPr>
        <w:t>穀類</w:t>
      </w:r>
      <w:r w:rsidRPr="00EA6BA7">
        <w:rPr>
          <w:rFonts w:hAnsi="標楷體" w:hint="eastAsia"/>
        </w:rPr>
        <w:t>之「</w:t>
      </w:r>
      <w:proofErr w:type="gramStart"/>
      <w:r w:rsidRPr="00EA6BA7">
        <w:rPr>
          <w:rFonts w:hAnsi="標楷體" w:hint="eastAsia"/>
        </w:rPr>
        <w:t>嘉磷塞</w:t>
      </w:r>
      <w:proofErr w:type="gramEnd"/>
      <w:r w:rsidRPr="00EA6BA7">
        <w:rPr>
          <w:rFonts w:hAnsi="標楷體" w:hint="eastAsia"/>
        </w:rPr>
        <w:t>」殘留容許量標準，由不得檢出調至10ppm，亦即該等</w:t>
      </w:r>
      <w:r w:rsidR="000969DD" w:rsidRPr="00EA6BA7">
        <w:rPr>
          <w:rFonts w:hAnsi="標楷體" w:hint="eastAsia"/>
        </w:rPr>
        <w:t>穀類</w:t>
      </w:r>
      <w:r w:rsidRPr="00EA6BA7">
        <w:rPr>
          <w:rFonts w:hAnsi="標楷體" w:hint="eastAsia"/>
        </w:rPr>
        <w:t>之「</w:t>
      </w:r>
      <w:proofErr w:type="gramStart"/>
      <w:r w:rsidRPr="00EA6BA7">
        <w:rPr>
          <w:rFonts w:hAnsi="標楷體" w:hint="eastAsia"/>
        </w:rPr>
        <w:t>嘉磷塞</w:t>
      </w:r>
      <w:proofErr w:type="gramEnd"/>
      <w:r w:rsidRPr="00EA6BA7">
        <w:rPr>
          <w:rFonts w:hAnsi="標楷體" w:hint="eastAsia"/>
        </w:rPr>
        <w:t>」殘留容許量大幅</w:t>
      </w:r>
      <w:r w:rsidRPr="00EA6BA7">
        <w:rPr>
          <w:rFonts w:hAnsi="標楷體" w:hint="eastAsia"/>
        </w:rPr>
        <w:lastRenderedPageBreak/>
        <w:t>放寬，茲就該次預告修正前後之殘留容許量標準比較如下。</w:t>
      </w:r>
    </w:p>
    <w:p w:rsidR="008C40D8" w:rsidRPr="00EA6BA7" w:rsidRDefault="008C40D8" w:rsidP="000969DD">
      <w:pPr>
        <w:pStyle w:val="a3"/>
        <w:ind w:left="993" w:hanging="993"/>
        <w:rPr>
          <w:rFonts w:hAnsi="標楷體"/>
          <w:spacing w:val="0"/>
        </w:rPr>
      </w:pPr>
      <w:r w:rsidRPr="00EA6BA7">
        <w:rPr>
          <w:rFonts w:hAnsi="標楷體" w:hint="eastAsia"/>
          <w:spacing w:val="0"/>
        </w:rPr>
        <w:t>衛福部108年4月23日預告修正燕麥、蕎麥與大麥等10項</w:t>
      </w:r>
      <w:r w:rsidR="00C96719" w:rsidRPr="00EA6BA7">
        <w:rPr>
          <w:rFonts w:hAnsi="標楷體" w:hint="eastAsia"/>
          <w:spacing w:val="0"/>
        </w:rPr>
        <w:t>穀類</w:t>
      </w:r>
      <w:r w:rsidRPr="00EA6BA7">
        <w:rPr>
          <w:rFonts w:hAnsi="標楷體" w:hint="eastAsia"/>
          <w:spacing w:val="0"/>
        </w:rPr>
        <w:t>之「</w:t>
      </w:r>
      <w:proofErr w:type="gramStart"/>
      <w:r w:rsidRPr="00EA6BA7">
        <w:rPr>
          <w:rFonts w:hAnsi="標楷體" w:hint="eastAsia"/>
          <w:spacing w:val="0"/>
        </w:rPr>
        <w:t>嘉磷塞</w:t>
      </w:r>
      <w:proofErr w:type="gramEnd"/>
      <w:r w:rsidRPr="00EA6BA7">
        <w:rPr>
          <w:rFonts w:hAnsi="標楷體" w:hint="eastAsia"/>
          <w:spacing w:val="0"/>
        </w:rPr>
        <w:t>」殘留容許量標準之情形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2194"/>
        <w:gridCol w:w="2303"/>
      </w:tblGrid>
      <w:tr w:rsidR="00EA6BA7" w:rsidRPr="00EA6BA7" w:rsidTr="00446F71">
        <w:trPr>
          <w:trHeight w:val="604"/>
          <w:jc w:val="center"/>
        </w:trPr>
        <w:tc>
          <w:tcPr>
            <w:tcW w:w="1756"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hint="eastAsia"/>
                <w:sz w:val="28"/>
                <w:szCs w:val="28"/>
              </w:rPr>
              <w:t>預告</w:t>
            </w:r>
            <w:r w:rsidRPr="00EA6BA7">
              <w:rPr>
                <w:rFonts w:hAnsi="標楷體"/>
                <w:sz w:val="28"/>
                <w:szCs w:val="28"/>
              </w:rPr>
              <w:t>作物</w:t>
            </w:r>
          </w:p>
        </w:tc>
        <w:tc>
          <w:tcPr>
            <w:tcW w:w="2194"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sz w:val="28"/>
                <w:szCs w:val="28"/>
              </w:rPr>
              <w:t>修正後容許量(ppm)</w:t>
            </w:r>
          </w:p>
        </w:tc>
        <w:tc>
          <w:tcPr>
            <w:tcW w:w="2303"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sz w:val="28"/>
                <w:szCs w:val="28"/>
              </w:rPr>
              <w:t>修正前容許量(ppm)</w:t>
            </w:r>
          </w:p>
        </w:tc>
      </w:tr>
      <w:tr w:rsidR="00EA6BA7" w:rsidRPr="00EA6BA7" w:rsidTr="00446F71">
        <w:trPr>
          <w:trHeight w:val="467"/>
          <w:jc w:val="center"/>
        </w:trPr>
        <w:tc>
          <w:tcPr>
            <w:tcW w:w="1756" w:type="dxa"/>
            <w:shd w:val="clear" w:color="auto" w:fill="auto"/>
            <w:vAlign w:val="center"/>
          </w:tcPr>
          <w:p w:rsidR="008C40D8" w:rsidRPr="00EA6BA7" w:rsidRDefault="008C40D8" w:rsidP="00446F71">
            <w:pPr>
              <w:spacing w:line="280" w:lineRule="exact"/>
              <w:jc w:val="left"/>
              <w:rPr>
                <w:rFonts w:hAnsi="標楷體"/>
                <w:sz w:val="28"/>
                <w:szCs w:val="28"/>
              </w:rPr>
            </w:pPr>
            <w:r w:rsidRPr="00EA6BA7">
              <w:rPr>
                <w:rFonts w:hAnsi="標楷體"/>
                <w:sz w:val="28"/>
                <w:szCs w:val="28"/>
              </w:rPr>
              <w:t>大麥</w:t>
            </w:r>
          </w:p>
        </w:tc>
        <w:tc>
          <w:tcPr>
            <w:tcW w:w="2194"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sz w:val="28"/>
                <w:szCs w:val="28"/>
              </w:rPr>
              <w:t>10.0</w:t>
            </w:r>
          </w:p>
        </w:tc>
        <w:tc>
          <w:tcPr>
            <w:tcW w:w="2303"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hint="eastAsia"/>
                <w:sz w:val="28"/>
                <w:szCs w:val="28"/>
              </w:rPr>
              <w:t>-</w:t>
            </w:r>
          </w:p>
        </w:tc>
      </w:tr>
      <w:tr w:rsidR="00EA6BA7" w:rsidRPr="00EA6BA7" w:rsidTr="00446F71">
        <w:trPr>
          <w:trHeight w:val="467"/>
          <w:jc w:val="center"/>
        </w:trPr>
        <w:tc>
          <w:tcPr>
            <w:tcW w:w="1756" w:type="dxa"/>
            <w:shd w:val="clear" w:color="auto" w:fill="auto"/>
            <w:vAlign w:val="center"/>
          </w:tcPr>
          <w:p w:rsidR="008C40D8" w:rsidRPr="00EA6BA7" w:rsidRDefault="008C40D8" w:rsidP="00446F71">
            <w:pPr>
              <w:spacing w:line="280" w:lineRule="exact"/>
              <w:jc w:val="left"/>
              <w:rPr>
                <w:rFonts w:hAnsi="標楷體"/>
                <w:sz w:val="28"/>
                <w:szCs w:val="28"/>
              </w:rPr>
            </w:pPr>
            <w:r w:rsidRPr="00EA6BA7">
              <w:rPr>
                <w:rFonts w:hAnsi="標楷體"/>
                <w:sz w:val="28"/>
                <w:szCs w:val="28"/>
              </w:rPr>
              <w:t>蕎麥</w:t>
            </w:r>
          </w:p>
        </w:tc>
        <w:tc>
          <w:tcPr>
            <w:tcW w:w="2194"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sz w:val="28"/>
                <w:szCs w:val="28"/>
              </w:rPr>
              <w:t>10.0</w:t>
            </w:r>
          </w:p>
        </w:tc>
        <w:tc>
          <w:tcPr>
            <w:tcW w:w="2303"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hint="eastAsia"/>
                <w:sz w:val="28"/>
                <w:szCs w:val="28"/>
              </w:rPr>
              <w:t>-</w:t>
            </w:r>
          </w:p>
        </w:tc>
      </w:tr>
      <w:tr w:rsidR="00EA6BA7" w:rsidRPr="00EA6BA7" w:rsidTr="00446F71">
        <w:trPr>
          <w:trHeight w:val="467"/>
          <w:jc w:val="center"/>
        </w:trPr>
        <w:tc>
          <w:tcPr>
            <w:tcW w:w="1756" w:type="dxa"/>
            <w:shd w:val="clear" w:color="auto" w:fill="auto"/>
            <w:vAlign w:val="center"/>
          </w:tcPr>
          <w:p w:rsidR="008C40D8" w:rsidRPr="00EA6BA7" w:rsidRDefault="008C40D8" w:rsidP="00446F71">
            <w:pPr>
              <w:spacing w:line="280" w:lineRule="exact"/>
              <w:jc w:val="left"/>
              <w:rPr>
                <w:rFonts w:hAnsi="標楷體"/>
                <w:sz w:val="28"/>
                <w:szCs w:val="28"/>
              </w:rPr>
            </w:pPr>
            <w:r w:rsidRPr="00EA6BA7">
              <w:rPr>
                <w:rFonts w:hAnsi="標楷體"/>
                <w:sz w:val="28"/>
                <w:szCs w:val="28"/>
              </w:rPr>
              <w:t>杜蘭小麥</w:t>
            </w:r>
          </w:p>
        </w:tc>
        <w:tc>
          <w:tcPr>
            <w:tcW w:w="2194"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sz w:val="28"/>
                <w:szCs w:val="28"/>
              </w:rPr>
              <w:t>10.0</w:t>
            </w:r>
          </w:p>
        </w:tc>
        <w:tc>
          <w:tcPr>
            <w:tcW w:w="2303"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hint="eastAsia"/>
                <w:sz w:val="28"/>
                <w:szCs w:val="28"/>
              </w:rPr>
              <w:t>5.0 (小麥)</w:t>
            </w:r>
          </w:p>
        </w:tc>
      </w:tr>
      <w:tr w:rsidR="00EA6BA7" w:rsidRPr="00EA6BA7" w:rsidTr="00446F71">
        <w:trPr>
          <w:trHeight w:val="467"/>
          <w:jc w:val="center"/>
        </w:trPr>
        <w:tc>
          <w:tcPr>
            <w:tcW w:w="1756" w:type="dxa"/>
            <w:shd w:val="clear" w:color="auto" w:fill="auto"/>
            <w:vAlign w:val="center"/>
          </w:tcPr>
          <w:p w:rsidR="008C40D8" w:rsidRPr="00EA6BA7" w:rsidRDefault="008C40D8" w:rsidP="00446F71">
            <w:pPr>
              <w:spacing w:line="280" w:lineRule="exact"/>
              <w:jc w:val="left"/>
              <w:rPr>
                <w:rFonts w:hAnsi="標楷體"/>
                <w:sz w:val="28"/>
                <w:szCs w:val="28"/>
              </w:rPr>
            </w:pPr>
            <w:r w:rsidRPr="00EA6BA7">
              <w:rPr>
                <w:rFonts w:hAnsi="標楷體"/>
                <w:sz w:val="28"/>
                <w:szCs w:val="28"/>
              </w:rPr>
              <w:t>燕麥</w:t>
            </w:r>
          </w:p>
        </w:tc>
        <w:tc>
          <w:tcPr>
            <w:tcW w:w="2194"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sz w:val="28"/>
                <w:szCs w:val="28"/>
              </w:rPr>
              <w:t>10.0</w:t>
            </w:r>
          </w:p>
        </w:tc>
        <w:tc>
          <w:tcPr>
            <w:tcW w:w="2303" w:type="dxa"/>
            <w:shd w:val="clear" w:color="auto" w:fill="auto"/>
            <w:vAlign w:val="center"/>
          </w:tcPr>
          <w:p w:rsidR="008C40D8" w:rsidRPr="00EA6BA7" w:rsidRDefault="008C40D8" w:rsidP="00446F71">
            <w:pPr>
              <w:jc w:val="center"/>
              <w:rPr>
                <w:rFonts w:hAnsi="標楷體"/>
                <w:sz w:val="28"/>
                <w:szCs w:val="28"/>
              </w:rPr>
            </w:pPr>
            <w:r w:rsidRPr="00EA6BA7">
              <w:rPr>
                <w:rFonts w:hAnsi="標楷體" w:hint="eastAsia"/>
                <w:sz w:val="28"/>
                <w:szCs w:val="28"/>
              </w:rPr>
              <w:t>-</w:t>
            </w:r>
          </w:p>
        </w:tc>
      </w:tr>
      <w:tr w:rsidR="00EA6BA7" w:rsidRPr="00EA6BA7" w:rsidTr="00446F71">
        <w:trPr>
          <w:trHeight w:val="467"/>
          <w:jc w:val="center"/>
        </w:trPr>
        <w:tc>
          <w:tcPr>
            <w:tcW w:w="1756" w:type="dxa"/>
            <w:shd w:val="clear" w:color="auto" w:fill="auto"/>
            <w:vAlign w:val="center"/>
          </w:tcPr>
          <w:p w:rsidR="008C40D8" w:rsidRPr="00EA6BA7" w:rsidRDefault="008C40D8" w:rsidP="00446F71">
            <w:pPr>
              <w:spacing w:line="280" w:lineRule="exact"/>
              <w:jc w:val="left"/>
              <w:rPr>
                <w:rFonts w:hAnsi="標楷體"/>
                <w:sz w:val="28"/>
                <w:szCs w:val="28"/>
              </w:rPr>
            </w:pPr>
            <w:r w:rsidRPr="00EA6BA7">
              <w:rPr>
                <w:rFonts w:hAnsi="標楷體"/>
                <w:sz w:val="28"/>
                <w:szCs w:val="28"/>
              </w:rPr>
              <w:t>黑麥</w:t>
            </w:r>
          </w:p>
        </w:tc>
        <w:tc>
          <w:tcPr>
            <w:tcW w:w="2194"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sz w:val="28"/>
                <w:szCs w:val="28"/>
              </w:rPr>
              <w:t>10.0</w:t>
            </w:r>
          </w:p>
        </w:tc>
        <w:tc>
          <w:tcPr>
            <w:tcW w:w="2303" w:type="dxa"/>
            <w:shd w:val="clear" w:color="auto" w:fill="auto"/>
            <w:vAlign w:val="center"/>
          </w:tcPr>
          <w:p w:rsidR="008C40D8" w:rsidRPr="00EA6BA7" w:rsidRDefault="008C40D8" w:rsidP="00446F71">
            <w:pPr>
              <w:jc w:val="center"/>
              <w:rPr>
                <w:rFonts w:hAnsi="標楷體"/>
                <w:sz w:val="28"/>
                <w:szCs w:val="28"/>
              </w:rPr>
            </w:pPr>
            <w:r w:rsidRPr="00EA6BA7">
              <w:rPr>
                <w:rFonts w:hAnsi="標楷體" w:hint="eastAsia"/>
                <w:sz w:val="28"/>
                <w:szCs w:val="28"/>
              </w:rPr>
              <w:t>-</w:t>
            </w:r>
          </w:p>
        </w:tc>
      </w:tr>
      <w:tr w:rsidR="00EA6BA7" w:rsidRPr="00EA6BA7" w:rsidTr="00446F71">
        <w:trPr>
          <w:trHeight w:val="467"/>
          <w:jc w:val="center"/>
        </w:trPr>
        <w:tc>
          <w:tcPr>
            <w:tcW w:w="1756" w:type="dxa"/>
            <w:shd w:val="clear" w:color="auto" w:fill="auto"/>
            <w:vAlign w:val="center"/>
          </w:tcPr>
          <w:p w:rsidR="008C40D8" w:rsidRPr="00EA6BA7" w:rsidRDefault="008C40D8" w:rsidP="00446F71">
            <w:pPr>
              <w:spacing w:line="280" w:lineRule="exact"/>
              <w:jc w:val="left"/>
              <w:rPr>
                <w:rFonts w:hAnsi="標楷體"/>
                <w:sz w:val="28"/>
                <w:szCs w:val="28"/>
              </w:rPr>
            </w:pPr>
            <w:r w:rsidRPr="00EA6BA7">
              <w:rPr>
                <w:rFonts w:hAnsi="標楷體"/>
                <w:sz w:val="28"/>
                <w:szCs w:val="28"/>
              </w:rPr>
              <w:t>黑小麥</w:t>
            </w:r>
          </w:p>
        </w:tc>
        <w:tc>
          <w:tcPr>
            <w:tcW w:w="2194"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sz w:val="28"/>
                <w:szCs w:val="28"/>
              </w:rPr>
              <w:t>10.0</w:t>
            </w:r>
          </w:p>
        </w:tc>
        <w:tc>
          <w:tcPr>
            <w:tcW w:w="2303"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hint="eastAsia"/>
                <w:sz w:val="28"/>
                <w:szCs w:val="28"/>
              </w:rPr>
              <w:t>5.0 (小麥)</w:t>
            </w:r>
          </w:p>
        </w:tc>
      </w:tr>
      <w:tr w:rsidR="00EA6BA7" w:rsidRPr="00EA6BA7" w:rsidTr="00446F71">
        <w:trPr>
          <w:trHeight w:val="467"/>
          <w:jc w:val="center"/>
        </w:trPr>
        <w:tc>
          <w:tcPr>
            <w:tcW w:w="1756" w:type="dxa"/>
            <w:shd w:val="clear" w:color="auto" w:fill="auto"/>
            <w:vAlign w:val="center"/>
          </w:tcPr>
          <w:p w:rsidR="008C40D8" w:rsidRPr="00EA6BA7" w:rsidRDefault="008C40D8" w:rsidP="00446F71">
            <w:pPr>
              <w:spacing w:line="280" w:lineRule="exact"/>
              <w:jc w:val="left"/>
              <w:rPr>
                <w:rFonts w:hAnsi="標楷體"/>
                <w:sz w:val="28"/>
                <w:szCs w:val="28"/>
              </w:rPr>
            </w:pPr>
            <w:r w:rsidRPr="00EA6BA7">
              <w:rPr>
                <w:rFonts w:hAnsi="標楷體"/>
                <w:sz w:val="28"/>
                <w:szCs w:val="28"/>
              </w:rPr>
              <w:t>小米</w:t>
            </w:r>
          </w:p>
        </w:tc>
        <w:tc>
          <w:tcPr>
            <w:tcW w:w="2194"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sz w:val="28"/>
                <w:szCs w:val="28"/>
              </w:rPr>
              <w:t>10.0</w:t>
            </w:r>
          </w:p>
        </w:tc>
        <w:tc>
          <w:tcPr>
            <w:tcW w:w="2303" w:type="dxa"/>
            <w:shd w:val="clear" w:color="auto" w:fill="auto"/>
            <w:vAlign w:val="center"/>
          </w:tcPr>
          <w:p w:rsidR="008C40D8" w:rsidRPr="00EA6BA7" w:rsidRDefault="008C40D8" w:rsidP="00446F71">
            <w:pPr>
              <w:jc w:val="center"/>
              <w:rPr>
                <w:rFonts w:hAnsi="標楷體"/>
                <w:sz w:val="28"/>
                <w:szCs w:val="28"/>
              </w:rPr>
            </w:pPr>
            <w:r w:rsidRPr="00EA6BA7">
              <w:rPr>
                <w:rFonts w:hAnsi="標楷體" w:hint="eastAsia"/>
                <w:sz w:val="28"/>
                <w:szCs w:val="28"/>
              </w:rPr>
              <w:t>-</w:t>
            </w:r>
          </w:p>
        </w:tc>
      </w:tr>
      <w:tr w:rsidR="00EA6BA7" w:rsidRPr="00EA6BA7" w:rsidTr="00446F71">
        <w:trPr>
          <w:trHeight w:val="467"/>
          <w:jc w:val="center"/>
        </w:trPr>
        <w:tc>
          <w:tcPr>
            <w:tcW w:w="1756" w:type="dxa"/>
            <w:shd w:val="clear" w:color="auto" w:fill="auto"/>
            <w:vAlign w:val="center"/>
          </w:tcPr>
          <w:p w:rsidR="008C40D8" w:rsidRPr="00EA6BA7" w:rsidRDefault="008C40D8" w:rsidP="00446F71">
            <w:pPr>
              <w:spacing w:line="280" w:lineRule="exact"/>
              <w:jc w:val="left"/>
              <w:rPr>
                <w:rFonts w:hAnsi="標楷體"/>
                <w:sz w:val="28"/>
                <w:szCs w:val="28"/>
              </w:rPr>
            </w:pPr>
            <w:proofErr w:type="gramStart"/>
            <w:r w:rsidRPr="00EA6BA7">
              <w:rPr>
                <w:rFonts w:hAnsi="標楷體" w:hint="eastAsia"/>
                <w:sz w:val="28"/>
                <w:szCs w:val="28"/>
              </w:rPr>
              <w:t>藜</w:t>
            </w:r>
            <w:proofErr w:type="gramEnd"/>
            <w:r w:rsidRPr="00EA6BA7">
              <w:rPr>
                <w:rFonts w:hAnsi="標楷體"/>
                <w:sz w:val="28"/>
                <w:szCs w:val="28"/>
              </w:rPr>
              <w:t>麥</w:t>
            </w:r>
          </w:p>
        </w:tc>
        <w:tc>
          <w:tcPr>
            <w:tcW w:w="2194"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sz w:val="28"/>
                <w:szCs w:val="28"/>
              </w:rPr>
              <w:t>10.0</w:t>
            </w:r>
          </w:p>
        </w:tc>
        <w:tc>
          <w:tcPr>
            <w:tcW w:w="2303" w:type="dxa"/>
            <w:shd w:val="clear" w:color="auto" w:fill="auto"/>
            <w:vAlign w:val="center"/>
          </w:tcPr>
          <w:p w:rsidR="008C40D8" w:rsidRPr="00EA6BA7" w:rsidRDefault="008C40D8" w:rsidP="00446F71">
            <w:pPr>
              <w:jc w:val="center"/>
              <w:rPr>
                <w:rFonts w:hAnsi="標楷體"/>
                <w:sz w:val="28"/>
                <w:szCs w:val="28"/>
              </w:rPr>
            </w:pPr>
            <w:r w:rsidRPr="00EA6BA7">
              <w:rPr>
                <w:rFonts w:hAnsi="標楷體" w:hint="eastAsia"/>
                <w:sz w:val="28"/>
                <w:szCs w:val="28"/>
              </w:rPr>
              <w:t>-</w:t>
            </w:r>
          </w:p>
        </w:tc>
      </w:tr>
      <w:tr w:rsidR="00EA6BA7" w:rsidRPr="00EA6BA7" w:rsidTr="00446F71">
        <w:trPr>
          <w:trHeight w:val="467"/>
          <w:jc w:val="center"/>
        </w:trPr>
        <w:tc>
          <w:tcPr>
            <w:tcW w:w="1756" w:type="dxa"/>
            <w:shd w:val="clear" w:color="auto" w:fill="auto"/>
            <w:vAlign w:val="center"/>
          </w:tcPr>
          <w:p w:rsidR="008C40D8" w:rsidRPr="00EA6BA7" w:rsidRDefault="008C40D8" w:rsidP="00446F71">
            <w:pPr>
              <w:spacing w:line="280" w:lineRule="exact"/>
              <w:jc w:val="left"/>
              <w:rPr>
                <w:rFonts w:hAnsi="標楷體"/>
                <w:sz w:val="28"/>
                <w:szCs w:val="28"/>
              </w:rPr>
            </w:pPr>
            <w:r w:rsidRPr="00EA6BA7">
              <w:rPr>
                <w:rFonts w:hAnsi="標楷體"/>
                <w:sz w:val="28"/>
                <w:szCs w:val="28"/>
              </w:rPr>
              <w:t>高粱</w:t>
            </w:r>
          </w:p>
        </w:tc>
        <w:tc>
          <w:tcPr>
            <w:tcW w:w="2194"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sz w:val="28"/>
                <w:szCs w:val="28"/>
              </w:rPr>
              <w:t>10.0</w:t>
            </w:r>
          </w:p>
        </w:tc>
        <w:tc>
          <w:tcPr>
            <w:tcW w:w="2303" w:type="dxa"/>
            <w:shd w:val="clear" w:color="auto" w:fill="auto"/>
            <w:vAlign w:val="center"/>
          </w:tcPr>
          <w:p w:rsidR="008C40D8" w:rsidRPr="00EA6BA7" w:rsidRDefault="008C40D8" w:rsidP="00446F71">
            <w:pPr>
              <w:jc w:val="center"/>
              <w:rPr>
                <w:rFonts w:hAnsi="標楷體"/>
                <w:sz w:val="28"/>
                <w:szCs w:val="28"/>
              </w:rPr>
            </w:pPr>
            <w:r w:rsidRPr="00EA6BA7">
              <w:rPr>
                <w:rFonts w:hAnsi="標楷體" w:hint="eastAsia"/>
                <w:sz w:val="28"/>
                <w:szCs w:val="28"/>
              </w:rPr>
              <w:t>-</w:t>
            </w:r>
          </w:p>
        </w:tc>
      </w:tr>
      <w:tr w:rsidR="00EA6BA7" w:rsidRPr="00EA6BA7" w:rsidTr="00446F71">
        <w:trPr>
          <w:trHeight w:val="467"/>
          <w:jc w:val="center"/>
        </w:trPr>
        <w:tc>
          <w:tcPr>
            <w:tcW w:w="1756" w:type="dxa"/>
            <w:shd w:val="clear" w:color="auto" w:fill="auto"/>
            <w:vAlign w:val="center"/>
          </w:tcPr>
          <w:p w:rsidR="008C40D8" w:rsidRPr="00EA6BA7" w:rsidRDefault="008C40D8" w:rsidP="00446F71">
            <w:pPr>
              <w:spacing w:line="280" w:lineRule="exact"/>
              <w:jc w:val="left"/>
              <w:rPr>
                <w:rFonts w:hAnsi="標楷體"/>
                <w:sz w:val="28"/>
                <w:szCs w:val="28"/>
              </w:rPr>
            </w:pPr>
            <w:r w:rsidRPr="00EA6BA7">
              <w:rPr>
                <w:rFonts w:hAnsi="標楷體"/>
                <w:sz w:val="28"/>
                <w:szCs w:val="28"/>
              </w:rPr>
              <w:t>油菜籽</w:t>
            </w:r>
          </w:p>
        </w:tc>
        <w:tc>
          <w:tcPr>
            <w:tcW w:w="2194" w:type="dxa"/>
            <w:shd w:val="clear" w:color="auto" w:fill="auto"/>
            <w:vAlign w:val="center"/>
          </w:tcPr>
          <w:p w:rsidR="008C40D8" w:rsidRPr="00EA6BA7" w:rsidRDefault="008C40D8" w:rsidP="00446F71">
            <w:pPr>
              <w:spacing w:line="280" w:lineRule="exact"/>
              <w:jc w:val="center"/>
              <w:rPr>
                <w:rFonts w:hAnsi="標楷體"/>
                <w:sz w:val="28"/>
                <w:szCs w:val="28"/>
              </w:rPr>
            </w:pPr>
            <w:r w:rsidRPr="00EA6BA7">
              <w:rPr>
                <w:rFonts w:hAnsi="標楷體"/>
                <w:sz w:val="28"/>
                <w:szCs w:val="28"/>
              </w:rPr>
              <w:t>6.0</w:t>
            </w:r>
          </w:p>
        </w:tc>
        <w:tc>
          <w:tcPr>
            <w:tcW w:w="2303" w:type="dxa"/>
            <w:shd w:val="clear" w:color="auto" w:fill="auto"/>
            <w:vAlign w:val="center"/>
          </w:tcPr>
          <w:p w:rsidR="008C40D8" w:rsidRPr="00EA6BA7" w:rsidRDefault="008C40D8" w:rsidP="00446F71">
            <w:pPr>
              <w:jc w:val="center"/>
              <w:rPr>
                <w:rFonts w:hAnsi="標楷體"/>
                <w:sz w:val="28"/>
                <w:szCs w:val="28"/>
              </w:rPr>
            </w:pPr>
            <w:r w:rsidRPr="00EA6BA7">
              <w:rPr>
                <w:rFonts w:hAnsi="標楷體" w:hint="eastAsia"/>
                <w:sz w:val="28"/>
                <w:szCs w:val="28"/>
              </w:rPr>
              <w:t>-</w:t>
            </w:r>
          </w:p>
        </w:tc>
      </w:tr>
    </w:tbl>
    <w:p w:rsidR="008C40D8" w:rsidRPr="00EA6BA7" w:rsidRDefault="008C40D8" w:rsidP="008C40D8">
      <w:pPr>
        <w:pStyle w:val="3"/>
        <w:numPr>
          <w:ilvl w:val="0"/>
          <w:numId w:val="0"/>
        </w:numPr>
        <w:spacing w:line="360" w:lineRule="exact"/>
        <w:ind w:left="1276"/>
        <w:jc w:val="left"/>
        <w:rPr>
          <w:rFonts w:hAnsi="標楷體"/>
          <w:sz w:val="24"/>
          <w:szCs w:val="24"/>
        </w:rPr>
      </w:pPr>
      <w:proofErr w:type="gramStart"/>
      <w:r w:rsidRPr="00EA6BA7">
        <w:rPr>
          <w:rFonts w:hAnsi="標楷體" w:hint="eastAsia"/>
          <w:sz w:val="24"/>
          <w:szCs w:val="24"/>
        </w:rPr>
        <w:t>註</w:t>
      </w:r>
      <w:proofErr w:type="gramEnd"/>
      <w:r w:rsidRPr="00EA6BA7">
        <w:rPr>
          <w:rFonts w:hAnsi="標楷體" w:hint="eastAsia"/>
          <w:sz w:val="24"/>
          <w:szCs w:val="24"/>
        </w:rPr>
        <w:t>：「-」表示未訂定容許量標準，由於「農藥殘留容許量標準」係</w:t>
      </w:r>
      <w:proofErr w:type="gramStart"/>
      <w:r w:rsidRPr="00EA6BA7">
        <w:rPr>
          <w:rFonts w:hAnsi="標楷體" w:hint="eastAsia"/>
          <w:sz w:val="24"/>
          <w:szCs w:val="24"/>
        </w:rPr>
        <w:t>採</w:t>
      </w:r>
      <w:proofErr w:type="gramEnd"/>
      <w:r w:rsidRPr="00EA6BA7">
        <w:rPr>
          <w:rFonts w:hAnsi="標楷體" w:hint="eastAsia"/>
          <w:sz w:val="24"/>
          <w:szCs w:val="24"/>
        </w:rPr>
        <w:t>正面表列，故未訂定容許量標準即表示不得檢出該農藥殘留，若檢出即不符合該</w:t>
      </w:r>
      <w:r w:rsidR="00765E45" w:rsidRPr="00EA6BA7">
        <w:rPr>
          <w:rFonts w:hAnsi="標楷體" w:hint="eastAsia"/>
          <w:sz w:val="24"/>
          <w:szCs w:val="24"/>
        </w:rPr>
        <w:t>規定</w:t>
      </w:r>
      <w:r w:rsidRPr="00EA6BA7">
        <w:rPr>
          <w:rFonts w:hAnsi="標楷體" w:hint="eastAsia"/>
          <w:sz w:val="24"/>
          <w:szCs w:val="24"/>
        </w:rPr>
        <w:t>。</w:t>
      </w:r>
    </w:p>
    <w:p w:rsidR="008C40D8" w:rsidRPr="00EA6BA7" w:rsidRDefault="008C40D8" w:rsidP="008C40D8">
      <w:pPr>
        <w:pStyle w:val="3"/>
        <w:numPr>
          <w:ilvl w:val="0"/>
          <w:numId w:val="0"/>
        </w:numPr>
        <w:spacing w:line="360" w:lineRule="exact"/>
        <w:ind w:left="1276"/>
        <w:rPr>
          <w:rFonts w:hAnsi="標楷體"/>
          <w:sz w:val="24"/>
          <w:szCs w:val="24"/>
        </w:rPr>
      </w:pPr>
      <w:r w:rsidRPr="00EA6BA7">
        <w:rPr>
          <w:rFonts w:hAnsi="標楷體" w:hint="eastAsia"/>
          <w:sz w:val="24"/>
          <w:szCs w:val="24"/>
        </w:rPr>
        <w:t>資料來源：衛福部。</w:t>
      </w:r>
    </w:p>
    <w:p w:rsidR="008C40D8" w:rsidRPr="00EA6BA7" w:rsidRDefault="008C40D8" w:rsidP="008C40D8">
      <w:pPr>
        <w:pStyle w:val="2"/>
        <w:numPr>
          <w:ilvl w:val="0"/>
          <w:numId w:val="0"/>
        </w:numPr>
        <w:ind w:left="1021"/>
        <w:rPr>
          <w:rFonts w:hAnsi="標楷體"/>
        </w:rPr>
      </w:pPr>
    </w:p>
    <w:p w:rsidR="008C40D8" w:rsidRPr="00EA6BA7" w:rsidRDefault="008C40D8" w:rsidP="008C40D8">
      <w:pPr>
        <w:pStyle w:val="3"/>
        <w:ind w:left="1276"/>
        <w:rPr>
          <w:rFonts w:hAnsi="標楷體"/>
        </w:rPr>
      </w:pPr>
      <w:r w:rsidRPr="00EA6BA7">
        <w:rPr>
          <w:rFonts w:hAnsi="標楷體" w:hint="eastAsia"/>
        </w:rPr>
        <w:t>復查衛福部預告修正前揭「農藥殘留容許量標準」之緣由，係因105年8月5日</w:t>
      </w:r>
      <w:r w:rsidR="00A0550C" w:rsidRPr="00EA6BA7">
        <w:rPr>
          <w:rFonts w:hAnsi="標楷體" w:hint="eastAsia"/>
        </w:rPr>
        <w:t>業者</w:t>
      </w:r>
      <w:r w:rsidRPr="00EA6BA7">
        <w:rPr>
          <w:rFonts w:hAnsi="標楷體" w:hint="eastAsia"/>
        </w:rPr>
        <w:t>依據「增修訂農產品農藥殘留容許量」之作業規定，向該部提出申請，申請內容為「</w:t>
      </w:r>
      <w:proofErr w:type="gramStart"/>
      <w:r w:rsidRPr="00EA6BA7">
        <w:rPr>
          <w:rFonts w:hAnsi="標楷體" w:hint="eastAsia"/>
        </w:rPr>
        <w:t>嘉磷塞</w:t>
      </w:r>
      <w:proofErr w:type="gramEnd"/>
      <w:r w:rsidRPr="00EA6BA7">
        <w:rPr>
          <w:rFonts w:hAnsi="標楷體" w:hint="eastAsia"/>
        </w:rPr>
        <w:t>」於</w:t>
      </w:r>
      <w:proofErr w:type="gramStart"/>
      <w:r w:rsidRPr="00EA6BA7">
        <w:rPr>
          <w:rFonts w:hAnsi="標楷體" w:hint="eastAsia"/>
        </w:rPr>
        <w:t>榖</w:t>
      </w:r>
      <w:proofErr w:type="gramEnd"/>
      <w:r w:rsidRPr="00EA6BA7">
        <w:rPr>
          <w:rFonts w:hAnsi="標楷體" w:hint="eastAsia"/>
        </w:rPr>
        <w:t>物(包括小麥、燕麥、大麥、高粱、蕎麥、</w:t>
      </w:r>
      <w:proofErr w:type="gramStart"/>
      <w:r w:rsidRPr="00EA6BA7">
        <w:rPr>
          <w:rFonts w:hAnsi="標楷體" w:hint="eastAsia"/>
        </w:rPr>
        <w:t>蔾</w:t>
      </w:r>
      <w:proofErr w:type="gramEnd"/>
      <w:r w:rsidRPr="00EA6BA7">
        <w:rPr>
          <w:rFonts w:hAnsi="標楷體" w:hint="eastAsia"/>
        </w:rPr>
        <w:t>、小米、黑麥、杜蘭小麥…</w:t>
      </w:r>
      <w:proofErr w:type="gramStart"/>
      <w:r w:rsidRPr="00EA6BA7">
        <w:rPr>
          <w:rFonts w:hAnsi="標楷體" w:hint="eastAsia"/>
        </w:rPr>
        <w:t>…</w:t>
      </w:r>
      <w:proofErr w:type="gramEnd"/>
      <w:r w:rsidRPr="00EA6BA7">
        <w:rPr>
          <w:rFonts w:hAnsi="標楷體" w:hint="eastAsia"/>
        </w:rPr>
        <w:t>等)之容許量為30ppm等；</w:t>
      </w:r>
      <w:r w:rsidR="00C62DB4" w:rsidRPr="00EA6BA7">
        <w:rPr>
          <w:rFonts w:hAnsi="標楷體" w:hint="eastAsia"/>
        </w:rPr>
        <w:t>衛福</w:t>
      </w:r>
      <w:proofErr w:type="gramStart"/>
      <w:r w:rsidR="00C62DB4" w:rsidRPr="00EA6BA7">
        <w:rPr>
          <w:rFonts w:hAnsi="標楷體" w:hint="eastAsia"/>
        </w:rPr>
        <w:t>部食藥署</w:t>
      </w:r>
      <w:proofErr w:type="gramEnd"/>
      <w:r w:rsidRPr="00EA6BA7">
        <w:rPr>
          <w:rFonts w:hAnsi="標楷體" w:hint="eastAsia"/>
        </w:rPr>
        <w:t>於105年8月10日函請</w:t>
      </w:r>
      <w:proofErr w:type="gramStart"/>
      <w:r w:rsidR="00C62DB4" w:rsidRPr="00EA6BA7">
        <w:rPr>
          <w:rFonts w:hAnsi="標楷體" w:hint="eastAsia"/>
        </w:rPr>
        <w:t>農委會藥毒所</w:t>
      </w:r>
      <w:proofErr w:type="gramEnd"/>
      <w:r w:rsidRPr="00EA6BA7">
        <w:rPr>
          <w:rFonts w:hAnsi="標楷體" w:hint="eastAsia"/>
        </w:rPr>
        <w:t>審查，該所於106年12月26日函送評估報告，結論為：「除苔</w:t>
      </w:r>
      <w:proofErr w:type="gramStart"/>
      <w:r w:rsidRPr="00EA6BA7">
        <w:rPr>
          <w:rFonts w:hAnsi="標楷體" w:hint="eastAsia"/>
        </w:rPr>
        <w:t>麩</w:t>
      </w:r>
      <w:proofErr w:type="gramEnd"/>
      <w:r w:rsidRPr="00EA6BA7">
        <w:rPr>
          <w:rFonts w:hAnsi="標楷體" w:hint="eastAsia"/>
        </w:rPr>
        <w:t>、大</w:t>
      </w:r>
      <w:proofErr w:type="gramStart"/>
      <w:r w:rsidRPr="00EA6BA7">
        <w:rPr>
          <w:rFonts w:hAnsi="標楷體" w:hint="eastAsia"/>
        </w:rPr>
        <w:t>芻</w:t>
      </w:r>
      <w:proofErr w:type="gramEnd"/>
      <w:r w:rsidRPr="00EA6BA7">
        <w:rPr>
          <w:rFonts w:hAnsi="標楷體" w:hint="eastAsia"/>
        </w:rPr>
        <w:t>草2項不建議增訂</w:t>
      </w:r>
      <w:proofErr w:type="gramStart"/>
      <w:r w:rsidRPr="00EA6BA7">
        <w:rPr>
          <w:rFonts w:hAnsi="標楷體" w:hint="eastAsia"/>
        </w:rPr>
        <w:t>容許量外</w:t>
      </w:r>
      <w:proofErr w:type="gramEnd"/>
      <w:r w:rsidRPr="00EA6BA7">
        <w:rPr>
          <w:rFonts w:hAnsi="標楷體" w:hint="eastAsia"/>
        </w:rPr>
        <w:t>，大麥等10項建議增訂容許量10ppm」。</w:t>
      </w:r>
    </w:p>
    <w:p w:rsidR="008C40D8" w:rsidRPr="00EA6BA7" w:rsidRDefault="00C62DB4" w:rsidP="00765E45">
      <w:pPr>
        <w:pStyle w:val="3"/>
        <w:numPr>
          <w:ilvl w:val="0"/>
          <w:numId w:val="0"/>
        </w:numPr>
        <w:ind w:left="1276" w:firstLineChars="208" w:firstLine="708"/>
        <w:rPr>
          <w:rFonts w:hAnsi="標楷體"/>
        </w:rPr>
      </w:pPr>
      <w:r w:rsidRPr="00EA6BA7">
        <w:rPr>
          <w:rFonts w:hAnsi="標楷體" w:hint="eastAsia"/>
        </w:rPr>
        <w:lastRenderedPageBreak/>
        <w:t>衛福</w:t>
      </w:r>
      <w:proofErr w:type="gramStart"/>
      <w:r w:rsidRPr="00EA6BA7">
        <w:rPr>
          <w:rFonts w:hAnsi="標楷體" w:hint="eastAsia"/>
        </w:rPr>
        <w:t>部食藥署</w:t>
      </w:r>
      <w:r w:rsidR="008C40D8" w:rsidRPr="00EA6BA7">
        <w:rPr>
          <w:rFonts w:hAnsi="標楷體" w:hint="eastAsia"/>
        </w:rPr>
        <w:t>爰</w:t>
      </w:r>
      <w:proofErr w:type="gramEnd"/>
      <w:r w:rsidR="008C40D8" w:rsidRPr="00EA6BA7">
        <w:rPr>
          <w:rFonts w:hAnsi="標楷體" w:hint="eastAsia"/>
        </w:rPr>
        <w:t>於107年9月17日及11月5日召開「食品衛生安全與營養</w:t>
      </w:r>
      <w:proofErr w:type="gramStart"/>
      <w:r w:rsidR="008C40D8" w:rsidRPr="00EA6BA7">
        <w:rPr>
          <w:rFonts w:hAnsi="標楷體" w:hint="eastAsia"/>
        </w:rPr>
        <w:t>諮</w:t>
      </w:r>
      <w:proofErr w:type="gramEnd"/>
      <w:r w:rsidR="008C40D8" w:rsidRPr="00EA6BA7">
        <w:rPr>
          <w:rFonts w:hAnsi="標楷體" w:hint="eastAsia"/>
        </w:rPr>
        <w:t>議會」(</w:t>
      </w:r>
      <w:r w:rsidR="00C96719" w:rsidRPr="00EA6BA7">
        <w:rPr>
          <w:rFonts w:hAnsi="標楷體" w:hint="eastAsia"/>
        </w:rPr>
        <w:t>下稱衛福部食品</w:t>
      </w:r>
      <w:r w:rsidR="008C40D8" w:rsidRPr="00EA6BA7">
        <w:rPr>
          <w:rFonts w:hAnsi="標楷體" w:hint="eastAsia"/>
        </w:rPr>
        <w:t>安全營養</w:t>
      </w:r>
      <w:proofErr w:type="gramStart"/>
      <w:r w:rsidR="008C40D8" w:rsidRPr="00EA6BA7">
        <w:rPr>
          <w:rFonts w:hAnsi="標楷體" w:hint="eastAsia"/>
        </w:rPr>
        <w:t>諮</w:t>
      </w:r>
      <w:proofErr w:type="gramEnd"/>
      <w:r w:rsidR="008C40D8" w:rsidRPr="00EA6BA7">
        <w:rPr>
          <w:rFonts w:hAnsi="標楷體" w:hint="eastAsia"/>
        </w:rPr>
        <w:t>議會)，討論事項為：「評估『增修訂農藥殘留容許量標準(</w:t>
      </w:r>
      <w:r w:rsidR="00C96719" w:rsidRPr="00EA6BA7">
        <w:rPr>
          <w:rFonts w:hAnsi="標楷體" w:hint="eastAsia"/>
        </w:rPr>
        <w:t>「</w:t>
      </w:r>
      <w:proofErr w:type="gramStart"/>
      <w:r w:rsidR="008C40D8" w:rsidRPr="00EA6BA7">
        <w:rPr>
          <w:rFonts w:hAnsi="標楷體" w:hint="eastAsia"/>
        </w:rPr>
        <w:t>嘉磷塞</w:t>
      </w:r>
      <w:proofErr w:type="gramEnd"/>
      <w:r w:rsidR="00C96719" w:rsidRPr="00EA6BA7">
        <w:rPr>
          <w:rFonts w:hAnsi="標楷體" w:hint="eastAsia"/>
        </w:rPr>
        <w:t>」</w:t>
      </w:r>
      <w:r w:rsidR="008C40D8" w:rsidRPr="00EA6BA7">
        <w:rPr>
          <w:rFonts w:hAnsi="標楷體" w:hint="eastAsia"/>
        </w:rPr>
        <w:t>等2種農藥12項殘留容許量)』」會議決議略</w:t>
      </w:r>
      <w:proofErr w:type="gramStart"/>
      <w:r w:rsidR="008C40D8" w:rsidRPr="00EA6BA7">
        <w:rPr>
          <w:rFonts w:hAnsi="標楷體" w:hint="eastAsia"/>
        </w:rPr>
        <w:t>以</w:t>
      </w:r>
      <w:proofErr w:type="gramEnd"/>
      <w:r w:rsidR="008C40D8" w:rsidRPr="00EA6BA7">
        <w:rPr>
          <w:rFonts w:hAnsi="標楷體" w:hint="eastAsia"/>
        </w:rPr>
        <w:t>：</w:t>
      </w:r>
    </w:p>
    <w:p w:rsidR="008C40D8" w:rsidRPr="00EA6BA7" w:rsidRDefault="008C40D8" w:rsidP="008C40D8">
      <w:pPr>
        <w:pStyle w:val="4"/>
        <w:rPr>
          <w:rFonts w:hAnsi="標楷體"/>
          <w:bCs/>
        </w:rPr>
      </w:pPr>
      <w:r w:rsidRPr="00EA6BA7">
        <w:rPr>
          <w:rFonts w:hAnsi="標楷體" w:hint="eastAsia"/>
          <w:bCs/>
        </w:rPr>
        <w:t>同意增修「</w:t>
      </w:r>
      <w:proofErr w:type="gramStart"/>
      <w:r w:rsidRPr="00EA6BA7">
        <w:rPr>
          <w:rFonts w:hAnsi="標楷體" w:hint="eastAsia"/>
          <w:bCs/>
        </w:rPr>
        <w:t>嘉磷塞</w:t>
      </w:r>
      <w:proofErr w:type="gramEnd"/>
      <w:r w:rsidRPr="00EA6BA7">
        <w:rPr>
          <w:rFonts w:hAnsi="標楷體" w:hint="eastAsia"/>
          <w:bCs/>
        </w:rPr>
        <w:t>」10項殘留容許量標準。</w:t>
      </w:r>
    </w:p>
    <w:p w:rsidR="008C40D8" w:rsidRPr="00EA6BA7" w:rsidRDefault="008C40D8" w:rsidP="008C40D8">
      <w:pPr>
        <w:pStyle w:val="4"/>
        <w:rPr>
          <w:rFonts w:hAnsi="標楷體"/>
          <w:bCs/>
        </w:rPr>
      </w:pPr>
      <w:r w:rsidRPr="00EA6BA7">
        <w:rPr>
          <w:rFonts w:hAnsi="標楷體" w:hint="eastAsia"/>
          <w:bCs/>
        </w:rPr>
        <w:t>「</w:t>
      </w:r>
      <w:proofErr w:type="gramStart"/>
      <w:r w:rsidRPr="00EA6BA7">
        <w:rPr>
          <w:rFonts w:hAnsi="標楷體" w:hint="eastAsia"/>
          <w:bCs/>
        </w:rPr>
        <w:t>嘉磷塞</w:t>
      </w:r>
      <w:proofErr w:type="gramEnd"/>
      <w:r w:rsidRPr="00EA6BA7">
        <w:rPr>
          <w:rFonts w:hAnsi="標楷體" w:hint="eastAsia"/>
          <w:bCs/>
        </w:rPr>
        <w:t>」於小麥之殘留容許仍維持現行容許量5.0ppm。</w:t>
      </w:r>
    </w:p>
    <w:p w:rsidR="008C40D8" w:rsidRPr="00EA6BA7" w:rsidRDefault="008C40D8" w:rsidP="008C40D8">
      <w:pPr>
        <w:pStyle w:val="3"/>
        <w:ind w:left="1276"/>
        <w:rPr>
          <w:rFonts w:hAnsi="標楷體"/>
        </w:rPr>
      </w:pPr>
      <w:proofErr w:type="gramStart"/>
      <w:r w:rsidRPr="00EA6BA7">
        <w:rPr>
          <w:rFonts w:hAnsi="標楷體" w:hint="eastAsia"/>
        </w:rPr>
        <w:t>惟查上</w:t>
      </w:r>
      <w:proofErr w:type="gramEnd"/>
      <w:r w:rsidRPr="00EA6BA7">
        <w:rPr>
          <w:rFonts w:hAnsi="標楷體" w:hint="eastAsia"/>
        </w:rPr>
        <w:t>開107年11月5日</w:t>
      </w:r>
      <w:r w:rsidR="00C96719" w:rsidRPr="00EA6BA7">
        <w:rPr>
          <w:rFonts w:hAnsi="標楷體" w:hint="eastAsia"/>
        </w:rPr>
        <w:t>衛福部食品</w:t>
      </w:r>
      <w:r w:rsidRPr="00EA6BA7">
        <w:rPr>
          <w:rFonts w:hAnsi="標楷體" w:hint="eastAsia"/>
        </w:rPr>
        <w:t>安全營養</w:t>
      </w:r>
      <w:proofErr w:type="gramStart"/>
      <w:r w:rsidRPr="00EA6BA7">
        <w:rPr>
          <w:rFonts w:hAnsi="標楷體" w:hint="eastAsia"/>
        </w:rPr>
        <w:t>諮</w:t>
      </w:r>
      <w:proofErr w:type="gramEnd"/>
      <w:r w:rsidRPr="00EA6BA7">
        <w:rPr>
          <w:rFonts w:hAnsi="標楷體" w:hint="eastAsia"/>
        </w:rPr>
        <w:t>議會之會議紀錄</w:t>
      </w:r>
      <w:proofErr w:type="gramStart"/>
      <w:r w:rsidRPr="00EA6BA7">
        <w:rPr>
          <w:rFonts w:hAnsi="標楷體" w:hint="eastAsia"/>
        </w:rPr>
        <w:t>逐字稿</w:t>
      </w:r>
      <w:proofErr w:type="gramEnd"/>
      <w:r w:rsidRPr="00EA6BA7">
        <w:rPr>
          <w:rFonts w:hAnsi="標楷體" w:hint="eastAsia"/>
        </w:rPr>
        <w:t>，各出席委員之發言紀要如下：</w:t>
      </w:r>
    </w:p>
    <w:p w:rsidR="008C40D8" w:rsidRPr="00EA6BA7" w:rsidRDefault="00A0550C" w:rsidP="008C40D8">
      <w:pPr>
        <w:pStyle w:val="4"/>
        <w:ind w:left="1560"/>
        <w:rPr>
          <w:rFonts w:hAnsi="標楷體"/>
        </w:rPr>
      </w:pPr>
      <w:r w:rsidRPr="00EA6BA7">
        <w:rPr>
          <w:rFonts w:hAnsi="標楷體" w:hint="eastAsia"/>
        </w:rPr>
        <w:t>蘇</w:t>
      </w:r>
      <w:r w:rsidR="008C40D8" w:rsidRPr="00EA6BA7">
        <w:rPr>
          <w:rFonts w:hAnsi="標楷體" w:hint="eastAsia"/>
        </w:rPr>
        <w:t>委員：</w:t>
      </w:r>
    </w:p>
    <w:p w:rsidR="008C40D8" w:rsidRPr="00EA6BA7" w:rsidRDefault="008C40D8" w:rsidP="008C40D8">
      <w:pPr>
        <w:pStyle w:val="5"/>
        <w:rPr>
          <w:rFonts w:hAnsi="標楷體"/>
        </w:rPr>
      </w:pPr>
      <w:r w:rsidRPr="00EA6BA7">
        <w:rPr>
          <w:rFonts w:hAnsi="標楷體" w:hint="eastAsia"/>
        </w:rPr>
        <w:t>我國對於小麥的攝取量很高，因此還是必須考慮攝食量及田間試驗結果。</w:t>
      </w:r>
    </w:p>
    <w:p w:rsidR="008C40D8" w:rsidRPr="00EA6BA7" w:rsidRDefault="008C40D8" w:rsidP="008C40D8">
      <w:pPr>
        <w:pStyle w:val="5"/>
        <w:rPr>
          <w:rFonts w:hAnsi="標楷體"/>
        </w:rPr>
      </w:pPr>
      <w:r w:rsidRPr="00EA6BA7">
        <w:rPr>
          <w:rFonts w:hAnsi="標楷體" w:hint="eastAsia"/>
        </w:rPr>
        <w:t>小麥及燕麥的部分，我們保留(指不同</w:t>
      </w:r>
      <w:r w:rsidR="00765E45" w:rsidRPr="00EA6BA7">
        <w:rPr>
          <w:rFonts w:hAnsi="標楷體" w:hint="eastAsia"/>
        </w:rPr>
        <w:t>意</w:t>
      </w:r>
      <w:r w:rsidRPr="00EA6BA7">
        <w:rPr>
          <w:rFonts w:hAnsi="標楷體" w:hint="eastAsia"/>
        </w:rPr>
        <w:t>修正)，其他的話就是依</w:t>
      </w:r>
      <w:r w:rsidR="00765E45" w:rsidRPr="00EA6BA7">
        <w:rPr>
          <w:rFonts w:hAnsi="標楷體" w:hint="eastAsia"/>
        </w:rPr>
        <w:t>照</w:t>
      </w:r>
      <w:r w:rsidRPr="00EA6BA7">
        <w:rPr>
          <w:rFonts w:hAnsi="標楷體" w:hint="eastAsia"/>
        </w:rPr>
        <w:t>上面所列，我們希望把它降到愈低愈好。</w:t>
      </w:r>
    </w:p>
    <w:p w:rsidR="008C40D8" w:rsidRPr="00EA6BA7" w:rsidRDefault="00A0550C" w:rsidP="008C40D8">
      <w:pPr>
        <w:pStyle w:val="4"/>
        <w:ind w:left="1560"/>
        <w:rPr>
          <w:rFonts w:hAnsi="標楷體"/>
        </w:rPr>
      </w:pPr>
      <w:r w:rsidRPr="00EA6BA7">
        <w:rPr>
          <w:rFonts w:hAnsi="標楷體" w:hint="eastAsia"/>
        </w:rPr>
        <w:t>王</w:t>
      </w:r>
      <w:r w:rsidR="008C40D8" w:rsidRPr="00EA6BA7">
        <w:rPr>
          <w:rFonts w:hAnsi="標楷體" w:hint="eastAsia"/>
        </w:rPr>
        <w:t>委員：</w:t>
      </w:r>
    </w:p>
    <w:p w:rsidR="008C40D8" w:rsidRPr="00EA6BA7" w:rsidRDefault="008C40D8" w:rsidP="008C40D8">
      <w:pPr>
        <w:pStyle w:val="5"/>
        <w:rPr>
          <w:rFonts w:hAnsi="標楷體"/>
        </w:rPr>
      </w:pPr>
      <w:r w:rsidRPr="00EA6BA7">
        <w:rPr>
          <w:rFonts w:hAnsi="標楷體" w:hint="eastAsia"/>
        </w:rPr>
        <w:t>應該要考慮國人對於各種穀類的攝取量，比方我們很少吃高粱，但是</w:t>
      </w:r>
      <w:r w:rsidR="00765E45" w:rsidRPr="00EA6BA7">
        <w:rPr>
          <w:rFonts w:hAnsi="標楷體" w:hint="eastAsia"/>
        </w:rPr>
        <w:t>統一</w:t>
      </w:r>
      <w:r w:rsidRPr="00EA6BA7">
        <w:rPr>
          <w:rFonts w:hAnsi="標楷體" w:hint="eastAsia"/>
        </w:rPr>
        <w:t>將高粱、小麥、大麥及燕麥等4種作物的田間試驗結果，訂定其「</w:t>
      </w:r>
      <w:proofErr w:type="gramStart"/>
      <w:r w:rsidRPr="00EA6BA7">
        <w:rPr>
          <w:rFonts w:hAnsi="標楷體" w:hint="eastAsia"/>
        </w:rPr>
        <w:t>嘉磷塞</w:t>
      </w:r>
      <w:proofErr w:type="gramEnd"/>
      <w:r w:rsidRPr="00EA6BA7">
        <w:rPr>
          <w:rFonts w:hAnsi="標楷體" w:hint="eastAsia"/>
        </w:rPr>
        <w:t>」為某一數值，其實不合適。</w:t>
      </w:r>
    </w:p>
    <w:p w:rsidR="008C40D8" w:rsidRPr="00EA6BA7" w:rsidRDefault="008C40D8" w:rsidP="008C40D8">
      <w:pPr>
        <w:pStyle w:val="5"/>
        <w:rPr>
          <w:rFonts w:hAnsi="標楷體"/>
        </w:rPr>
      </w:pPr>
      <w:r w:rsidRPr="00EA6BA7">
        <w:rPr>
          <w:rFonts w:hAnsi="標楷體" w:hint="eastAsia"/>
        </w:rPr>
        <w:t>燕麥等的殘留容許量訂定也應該要同小麥一樣(必須考慮攝食量及田間試驗結果)。</w:t>
      </w:r>
    </w:p>
    <w:p w:rsidR="008C40D8" w:rsidRPr="00EA6BA7" w:rsidRDefault="00A0550C" w:rsidP="008C40D8">
      <w:pPr>
        <w:pStyle w:val="4"/>
        <w:ind w:left="1560"/>
        <w:rPr>
          <w:rFonts w:hAnsi="標楷體"/>
        </w:rPr>
      </w:pPr>
      <w:r w:rsidRPr="00EA6BA7">
        <w:rPr>
          <w:rFonts w:hAnsi="標楷體" w:hint="eastAsia"/>
        </w:rPr>
        <w:t>李</w:t>
      </w:r>
      <w:r w:rsidR="008C40D8" w:rsidRPr="00EA6BA7">
        <w:rPr>
          <w:rFonts w:hAnsi="標楷體" w:hint="eastAsia"/>
        </w:rPr>
        <w:t>委員：</w:t>
      </w:r>
    </w:p>
    <w:p w:rsidR="008C40D8" w:rsidRPr="00EA6BA7" w:rsidRDefault="008C40D8" w:rsidP="008C40D8">
      <w:pPr>
        <w:pStyle w:val="5"/>
        <w:rPr>
          <w:rFonts w:hAnsi="標楷體"/>
        </w:rPr>
      </w:pPr>
      <w:r w:rsidRPr="00EA6BA7">
        <w:rPr>
          <w:rFonts w:hAnsi="標楷體" w:hint="eastAsia"/>
        </w:rPr>
        <w:t>依</w:t>
      </w:r>
      <w:r w:rsidR="00C62DB4" w:rsidRPr="00EA6BA7">
        <w:rPr>
          <w:rFonts w:hAnsi="標楷體" w:hint="eastAsia"/>
        </w:rPr>
        <w:t>衛福</w:t>
      </w:r>
      <w:proofErr w:type="gramStart"/>
      <w:r w:rsidR="00C62DB4" w:rsidRPr="00EA6BA7">
        <w:rPr>
          <w:rFonts w:hAnsi="標楷體" w:hint="eastAsia"/>
        </w:rPr>
        <w:t>部食藥署</w:t>
      </w:r>
      <w:proofErr w:type="gramEnd"/>
      <w:r w:rsidRPr="00EA6BA7">
        <w:rPr>
          <w:rFonts w:hAnsi="標楷體" w:hint="eastAsia"/>
        </w:rPr>
        <w:t>提供105年輸入穀物產品之檢驗資料，殘留量介於0.1至0.58</w:t>
      </w:r>
      <w:r w:rsidR="00765E45" w:rsidRPr="00EA6BA7">
        <w:rPr>
          <w:rFonts w:hAnsi="標楷體" w:hint="eastAsia"/>
        </w:rPr>
        <w:t>ppm</w:t>
      </w:r>
      <w:proofErr w:type="gramStart"/>
      <w:r w:rsidRPr="00EA6BA7">
        <w:rPr>
          <w:rFonts w:hAnsi="標楷體" w:hint="eastAsia"/>
        </w:rPr>
        <w:t>之間，</w:t>
      </w:r>
      <w:proofErr w:type="gramEnd"/>
      <w:r w:rsidRPr="00EA6BA7">
        <w:rPr>
          <w:rFonts w:hAnsi="標楷體" w:hint="eastAsia"/>
        </w:rPr>
        <w:t>其實都遠遠低於10ppm，以往有檢出的都屬於不合格，但如果現在訂為10ppm，就全部可以合格輸入了，所以這部分</w:t>
      </w:r>
      <w:proofErr w:type="gramStart"/>
      <w:r w:rsidRPr="00EA6BA7">
        <w:rPr>
          <w:rFonts w:hAnsi="標楷體" w:hint="eastAsia"/>
        </w:rPr>
        <w:t>應該要擋</w:t>
      </w:r>
      <w:proofErr w:type="gramEnd"/>
      <w:r w:rsidRPr="00EA6BA7">
        <w:rPr>
          <w:rFonts w:hAnsi="標楷體" w:hint="eastAsia"/>
        </w:rPr>
        <w:t>，因為過去如果輸入的都是「</w:t>
      </w:r>
      <w:proofErr w:type="gramStart"/>
      <w:r w:rsidRPr="00EA6BA7">
        <w:rPr>
          <w:rFonts w:hAnsi="標楷體" w:hint="eastAsia"/>
        </w:rPr>
        <w:t>嘉磷塞</w:t>
      </w:r>
      <w:proofErr w:type="gramEnd"/>
      <w:r w:rsidRPr="00EA6BA7">
        <w:rPr>
          <w:rFonts w:hAnsi="標楷體" w:hint="eastAsia"/>
        </w:rPr>
        <w:t>」殘留量比較低的，那為什</w:t>
      </w:r>
      <w:r w:rsidRPr="00EA6BA7">
        <w:rPr>
          <w:rFonts w:hAnsi="標楷體" w:hint="eastAsia"/>
        </w:rPr>
        <w:lastRenderedPageBreak/>
        <w:t>麼現在要放寬，讓這些過去原本不合格的變成合格？</w:t>
      </w:r>
    </w:p>
    <w:p w:rsidR="008C40D8" w:rsidRPr="00EA6BA7" w:rsidRDefault="008C40D8" w:rsidP="008C40D8">
      <w:pPr>
        <w:pStyle w:val="5"/>
        <w:rPr>
          <w:rFonts w:hAnsi="標楷體"/>
        </w:rPr>
      </w:pPr>
      <w:r w:rsidRPr="00EA6BA7">
        <w:rPr>
          <w:rFonts w:hAnsi="標楷體" w:hint="eastAsia"/>
        </w:rPr>
        <w:t>既然小麥田間試驗結果「</w:t>
      </w:r>
      <w:proofErr w:type="gramStart"/>
      <w:r w:rsidRPr="00EA6BA7">
        <w:rPr>
          <w:rFonts w:hAnsi="標楷體" w:hint="eastAsia"/>
        </w:rPr>
        <w:t>嘉磷塞</w:t>
      </w:r>
      <w:proofErr w:type="gramEnd"/>
      <w:r w:rsidRPr="00EA6BA7">
        <w:rPr>
          <w:rFonts w:hAnsi="標楷體" w:hint="eastAsia"/>
        </w:rPr>
        <w:t>」殘留量最高為4.86ppm，則建議標準維持為5ppm(不建議修正為10ppm)，另燕麥的部分，</w:t>
      </w:r>
      <w:r w:rsidR="00C62DB4" w:rsidRPr="00EA6BA7">
        <w:rPr>
          <w:rFonts w:hAnsi="標楷體" w:hint="eastAsia"/>
        </w:rPr>
        <w:t>衛福</w:t>
      </w:r>
      <w:proofErr w:type="gramStart"/>
      <w:r w:rsidR="00C62DB4" w:rsidRPr="00EA6BA7">
        <w:rPr>
          <w:rFonts w:hAnsi="標楷體" w:hint="eastAsia"/>
        </w:rPr>
        <w:t>部食藥署</w:t>
      </w:r>
      <w:proofErr w:type="gramEnd"/>
      <w:r w:rsidRPr="00EA6BA7">
        <w:rPr>
          <w:rFonts w:hAnsi="標楷體" w:hint="eastAsia"/>
        </w:rPr>
        <w:t>可否應</w:t>
      </w:r>
      <w:proofErr w:type="gramStart"/>
      <w:r w:rsidRPr="00EA6BA7">
        <w:rPr>
          <w:rFonts w:hAnsi="標楷體" w:hint="eastAsia"/>
        </w:rPr>
        <w:t>釐</w:t>
      </w:r>
      <w:proofErr w:type="gramEnd"/>
      <w:r w:rsidRPr="00EA6BA7">
        <w:rPr>
          <w:rFonts w:hAnsi="標楷體" w:hint="eastAsia"/>
        </w:rPr>
        <w:t>清其田間試驗結果再據以訂定。</w:t>
      </w:r>
    </w:p>
    <w:p w:rsidR="008C40D8" w:rsidRPr="00EA6BA7" w:rsidRDefault="008C40D8" w:rsidP="008C40D8">
      <w:pPr>
        <w:pStyle w:val="5"/>
        <w:rPr>
          <w:rFonts w:hAnsi="標楷體"/>
        </w:rPr>
      </w:pPr>
      <w:r w:rsidRPr="00EA6BA7">
        <w:rPr>
          <w:rFonts w:hAnsi="標楷體" w:hint="eastAsia"/>
        </w:rPr>
        <w:t>歐盟規定蕎麥之「</w:t>
      </w:r>
      <w:proofErr w:type="gramStart"/>
      <w:r w:rsidRPr="00EA6BA7">
        <w:rPr>
          <w:rFonts w:hAnsi="標楷體" w:hint="eastAsia"/>
        </w:rPr>
        <w:t>嘉磷塞</w:t>
      </w:r>
      <w:proofErr w:type="gramEnd"/>
      <w:r w:rsidRPr="00EA6BA7">
        <w:rPr>
          <w:rFonts w:hAnsi="標楷體" w:hint="eastAsia"/>
        </w:rPr>
        <w:t>」殘留容許量為0.1ppm，幾乎是禁止使用於蕎麥。</w:t>
      </w:r>
    </w:p>
    <w:p w:rsidR="008C40D8" w:rsidRPr="00EA6BA7" w:rsidRDefault="00A0550C" w:rsidP="008C40D8">
      <w:pPr>
        <w:pStyle w:val="4"/>
        <w:ind w:left="1560"/>
        <w:rPr>
          <w:rFonts w:hAnsi="標楷體"/>
        </w:rPr>
      </w:pPr>
      <w:r w:rsidRPr="00EA6BA7">
        <w:rPr>
          <w:rFonts w:hAnsi="標楷體" w:hint="eastAsia"/>
        </w:rPr>
        <w:t>吳</w:t>
      </w:r>
      <w:r w:rsidR="008C40D8" w:rsidRPr="00EA6BA7">
        <w:rPr>
          <w:rFonts w:hAnsi="標楷體" w:hint="eastAsia"/>
        </w:rPr>
        <w:t>委員：</w:t>
      </w:r>
    </w:p>
    <w:p w:rsidR="008C40D8" w:rsidRPr="00EA6BA7" w:rsidRDefault="008C40D8" w:rsidP="00765E45">
      <w:pPr>
        <w:pStyle w:val="4"/>
        <w:numPr>
          <w:ilvl w:val="0"/>
          <w:numId w:val="0"/>
        </w:numPr>
        <w:ind w:left="1560" w:firstLineChars="208" w:firstLine="708"/>
        <w:rPr>
          <w:rFonts w:hAnsi="標楷體"/>
        </w:rPr>
      </w:pPr>
      <w:r w:rsidRPr="00EA6BA7">
        <w:rPr>
          <w:rFonts w:hAnsi="標楷體" w:hint="eastAsia"/>
        </w:rPr>
        <w:t>如果過去輸入穀類的查驗結果，「</w:t>
      </w:r>
      <w:proofErr w:type="gramStart"/>
      <w:r w:rsidRPr="00EA6BA7">
        <w:rPr>
          <w:rFonts w:hAnsi="標楷體" w:hint="eastAsia"/>
        </w:rPr>
        <w:t>嘉磷塞</w:t>
      </w:r>
      <w:proofErr w:type="gramEnd"/>
      <w:r w:rsidRPr="00EA6BA7">
        <w:rPr>
          <w:rFonts w:hAnsi="標楷體" w:hint="eastAsia"/>
        </w:rPr>
        <w:t>」不合格件數不是太多，那表示這些穀物還算安全，但現在要修正殘留容許量為10ppm或許過高了。</w:t>
      </w:r>
    </w:p>
    <w:p w:rsidR="008C40D8" w:rsidRPr="00EA6BA7" w:rsidRDefault="00765E45" w:rsidP="00C96719">
      <w:pPr>
        <w:pStyle w:val="3"/>
        <w:numPr>
          <w:ilvl w:val="0"/>
          <w:numId w:val="0"/>
        </w:numPr>
        <w:wordWrap w:val="0"/>
        <w:ind w:left="1360" w:firstLineChars="183" w:firstLine="622"/>
        <w:rPr>
          <w:rFonts w:hAnsi="標楷體"/>
        </w:rPr>
      </w:pPr>
      <w:r w:rsidRPr="00EA6BA7">
        <w:rPr>
          <w:rFonts w:hAnsi="標楷體" w:hint="eastAsia"/>
        </w:rPr>
        <w:t>承前述</w:t>
      </w:r>
      <w:r w:rsidR="008C40D8" w:rsidRPr="00EA6BA7">
        <w:rPr>
          <w:rFonts w:hAnsi="標楷體" w:hint="eastAsia"/>
        </w:rPr>
        <w:t>，與會審查委員表示，「</w:t>
      </w:r>
      <w:proofErr w:type="gramStart"/>
      <w:r w:rsidR="008C40D8" w:rsidRPr="00EA6BA7">
        <w:rPr>
          <w:rFonts w:hAnsi="標楷體" w:hint="eastAsia"/>
        </w:rPr>
        <w:t>嘉磷塞</w:t>
      </w:r>
      <w:proofErr w:type="gramEnd"/>
      <w:r w:rsidR="008C40D8" w:rsidRPr="00EA6BA7">
        <w:rPr>
          <w:rFonts w:hAnsi="標楷體" w:hint="eastAsia"/>
        </w:rPr>
        <w:t>」殘留容許量之訂定，應考慮國人飲食習慣與攝取量；另應以</w:t>
      </w:r>
      <w:r w:rsidRPr="00EA6BA7">
        <w:rPr>
          <w:rFonts w:hAnsi="標楷體" w:hint="eastAsia"/>
        </w:rPr>
        <w:t>「</w:t>
      </w:r>
      <w:r w:rsidR="008C40D8" w:rsidRPr="00EA6BA7">
        <w:rPr>
          <w:rFonts w:hAnsi="標楷體" w:hint="eastAsia"/>
        </w:rPr>
        <w:t>個別</w:t>
      </w:r>
      <w:r w:rsidRPr="00EA6BA7">
        <w:rPr>
          <w:rFonts w:hAnsi="標楷體" w:hint="eastAsia"/>
        </w:rPr>
        <w:t>」</w:t>
      </w:r>
      <w:r w:rsidR="008C40D8" w:rsidRPr="00EA6BA7">
        <w:rPr>
          <w:rFonts w:hAnsi="標楷體" w:hint="eastAsia"/>
        </w:rPr>
        <w:t>作物之田間試驗結果，訂定其殘留容許量，而非統一訂定此10種穀類之「</w:t>
      </w:r>
      <w:proofErr w:type="gramStart"/>
      <w:r w:rsidR="008C40D8" w:rsidRPr="00EA6BA7">
        <w:rPr>
          <w:rFonts w:hAnsi="標楷體" w:hint="eastAsia"/>
        </w:rPr>
        <w:t>嘉磷塞</w:t>
      </w:r>
      <w:proofErr w:type="gramEnd"/>
      <w:r w:rsidR="008C40D8" w:rsidRPr="00EA6BA7">
        <w:rPr>
          <w:rFonts w:hAnsi="標楷體" w:hint="eastAsia"/>
        </w:rPr>
        <w:t>」殘留容許量為10ppm；再</w:t>
      </w:r>
      <w:proofErr w:type="gramStart"/>
      <w:r w:rsidR="008C40D8" w:rsidRPr="00EA6BA7">
        <w:rPr>
          <w:rFonts w:hAnsi="標楷體" w:hint="eastAsia"/>
        </w:rPr>
        <w:t>且</w:t>
      </w:r>
      <w:proofErr w:type="gramEnd"/>
      <w:r w:rsidR="008C40D8" w:rsidRPr="00EA6BA7">
        <w:rPr>
          <w:rFonts w:hAnsi="標楷體" w:hint="eastAsia"/>
        </w:rPr>
        <w:t>，部分審查委員一再表示，殘留標準愈低愈好等語。顯見，與會審查委員對於放寬穀類「</w:t>
      </w:r>
      <w:proofErr w:type="gramStart"/>
      <w:r w:rsidR="008C40D8" w:rsidRPr="00EA6BA7">
        <w:rPr>
          <w:rFonts w:hAnsi="標楷體" w:hint="eastAsia"/>
        </w:rPr>
        <w:t>嘉磷塞</w:t>
      </w:r>
      <w:proofErr w:type="gramEnd"/>
      <w:r w:rsidR="008C40D8" w:rsidRPr="00EA6BA7">
        <w:rPr>
          <w:rFonts w:hAnsi="標楷體" w:hint="eastAsia"/>
        </w:rPr>
        <w:t>」殘留容許量標準事宜，多</w:t>
      </w:r>
      <w:proofErr w:type="gramStart"/>
      <w:r w:rsidR="008C40D8" w:rsidRPr="00EA6BA7">
        <w:rPr>
          <w:rFonts w:hAnsi="標楷體" w:hint="eastAsia"/>
        </w:rPr>
        <w:t>採</w:t>
      </w:r>
      <w:proofErr w:type="gramEnd"/>
      <w:r w:rsidR="008C40D8" w:rsidRPr="00EA6BA7">
        <w:rPr>
          <w:rFonts w:hAnsi="標楷體" w:hint="eastAsia"/>
        </w:rPr>
        <w:t>保留態度；</w:t>
      </w:r>
      <w:proofErr w:type="gramStart"/>
      <w:r w:rsidR="008C40D8" w:rsidRPr="00EA6BA7">
        <w:rPr>
          <w:rFonts w:hAnsi="標楷體" w:hint="eastAsia"/>
        </w:rPr>
        <w:t>詎</w:t>
      </w:r>
      <w:proofErr w:type="gramEnd"/>
      <w:r w:rsidR="00C62DB4" w:rsidRPr="00EA6BA7">
        <w:rPr>
          <w:rFonts w:hAnsi="標楷體" w:hint="eastAsia"/>
        </w:rPr>
        <w:t>衛福</w:t>
      </w:r>
      <w:proofErr w:type="gramStart"/>
      <w:r w:rsidR="00C62DB4" w:rsidRPr="00EA6BA7">
        <w:rPr>
          <w:rFonts w:hAnsi="標楷體" w:hint="eastAsia"/>
        </w:rPr>
        <w:t>部食藥署</w:t>
      </w:r>
      <w:proofErr w:type="gramEnd"/>
      <w:r w:rsidR="008C40D8" w:rsidRPr="00EA6BA7">
        <w:rPr>
          <w:rFonts w:hAnsi="標楷體" w:hint="eastAsia"/>
        </w:rPr>
        <w:t>卻仍表示該次會議決議為：同意增修「</w:t>
      </w:r>
      <w:proofErr w:type="gramStart"/>
      <w:r w:rsidR="008C40D8" w:rsidRPr="00EA6BA7">
        <w:rPr>
          <w:rFonts w:hAnsi="標楷體" w:hint="eastAsia"/>
        </w:rPr>
        <w:t>嘉磷塞</w:t>
      </w:r>
      <w:proofErr w:type="gramEnd"/>
      <w:r w:rsidR="008C40D8" w:rsidRPr="00EA6BA7">
        <w:rPr>
          <w:rFonts w:hAnsi="標楷體" w:hint="eastAsia"/>
        </w:rPr>
        <w:t>」10項殘留容許量標準(小麥除外)。</w:t>
      </w:r>
    </w:p>
    <w:p w:rsidR="008C40D8" w:rsidRPr="00EA6BA7" w:rsidRDefault="008C40D8" w:rsidP="003D1A20">
      <w:pPr>
        <w:pStyle w:val="3"/>
        <w:wordWrap w:val="0"/>
        <w:ind w:left="1360" w:hanging="680"/>
        <w:rPr>
          <w:rFonts w:hAnsi="標楷體"/>
        </w:rPr>
      </w:pPr>
      <w:r w:rsidRPr="00EA6BA7">
        <w:rPr>
          <w:rFonts w:hAnsi="標楷體" w:hint="eastAsia"/>
        </w:rPr>
        <w:t>再查，有關穀類之「</w:t>
      </w:r>
      <w:proofErr w:type="gramStart"/>
      <w:r w:rsidRPr="00EA6BA7">
        <w:rPr>
          <w:rFonts w:hAnsi="標楷體" w:hint="eastAsia"/>
        </w:rPr>
        <w:t>嘉磷塞</w:t>
      </w:r>
      <w:proofErr w:type="gramEnd"/>
      <w:r w:rsidRPr="00EA6BA7">
        <w:rPr>
          <w:rFonts w:hAnsi="標楷體" w:hint="eastAsia"/>
        </w:rPr>
        <w:t xml:space="preserve">」殘留容許量，按歐盟第293/2013號法令之規定(Commission Regulation (EU) No 293/2013 of 20 March 2013 amending Annexes II and III to Regulation (EC) No 396/2005 of the European Parliament and of the Council as regards maximum residue levels for emamectin benzoate, etofenprox, etoxazole, flutriafol, glyphosate, phosmet, pyraclostrobin, spinosad and spirotetramat in </w:t>
      </w:r>
      <w:r w:rsidRPr="00EA6BA7">
        <w:rPr>
          <w:rFonts w:hAnsi="標楷體" w:hint="eastAsia"/>
          <w:szCs w:val="32"/>
        </w:rPr>
        <w:t>or on</w:t>
      </w:r>
      <w:r w:rsidR="002268E9" w:rsidRPr="00EA6BA7">
        <w:rPr>
          <w:rFonts w:hAnsi="標楷體" w:hint="eastAsia"/>
          <w:szCs w:val="32"/>
        </w:rPr>
        <w:t xml:space="preserve">  </w:t>
      </w:r>
      <w:r w:rsidRPr="00EA6BA7">
        <w:rPr>
          <w:rFonts w:hAnsi="標楷體" w:hint="eastAsia"/>
          <w:szCs w:val="32"/>
        </w:rPr>
        <w:t xml:space="preserve"> </w:t>
      </w:r>
      <w:r w:rsidRPr="00EA6BA7">
        <w:rPr>
          <w:rFonts w:hAnsi="標楷體" w:hint="eastAsia"/>
          <w:szCs w:val="32"/>
        </w:rPr>
        <w:lastRenderedPageBreak/>
        <w:t>certain products Text with EEA relevance)，歐盟委員會於</w:t>
      </w:r>
      <w:r w:rsidR="00765E45" w:rsidRPr="00EA6BA7">
        <w:rPr>
          <w:rFonts w:hAnsi="標楷體" w:hint="eastAsia"/>
          <w:szCs w:val="32"/>
        </w:rPr>
        <w:t>西元</w:t>
      </w:r>
      <w:r w:rsidRPr="00EA6BA7">
        <w:rPr>
          <w:rFonts w:hAnsi="標楷體" w:hint="eastAsia"/>
          <w:szCs w:val="32"/>
        </w:rPr>
        <w:t>2017年11月根據成員國投票結果，「</w:t>
      </w:r>
      <w:proofErr w:type="gramStart"/>
      <w:r w:rsidRPr="00EA6BA7">
        <w:rPr>
          <w:rFonts w:hAnsi="標楷體" w:hint="eastAsia"/>
          <w:szCs w:val="32"/>
        </w:rPr>
        <w:t>嘉磷塞</w:t>
      </w:r>
      <w:proofErr w:type="gramEnd"/>
      <w:r w:rsidRPr="00EA6BA7">
        <w:rPr>
          <w:rFonts w:hAnsi="標楷體" w:hint="eastAsia"/>
          <w:szCs w:val="32"/>
        </w:rPr>
        <w:t>」許可證的核准期限延長5年(至2022年12月15日)</w:t>
      </w:r>
      <w:r w:rsidR="0041490E" w:rsidRPr="00EA6BA7">
        <w:rPr>
          <w:rFonts w:hAnsi="標楷體" w:hint="eastAsia"/>
          <w:szCs w:val="32"/>
        </w:rPr>
        <w:t>。</w:t>
      </w:r>
      <w:proofErr w:type="gramStart"/>
      <w:r w:rsidR="0041490E" w:rsidRPr="00EA6BA7">
        <w:rPr>
          <w:rFonts w:hAnsi="標楷體" w:hint="eastAsia"/>
          <w:szCs w:val="32"/>
        </w:rPr>
        <w:t>惟</w:t>
      </w:r>
      <w:proofErr w:type="gramEnd"/>
      <w:r w:rsidR="0041490E" w:rsidRPr="00EA6BA7">
        <w:rPr>
          <w:rFonts w:hAnsi="標楷體" w:hint="eastAsia"/>
          <w:szCs w:val="32"/>
        </w:rPr>
        <w:t>儘</w:t>
      </w:r>
      <w:r w:rsidRPr="00EA6BA7">
        <w:rPr>
          <w:rFonts w:hAnsi="標楷體" w:hint="eastAsia"/>
          <w:szCs w:val="32"/>
        </w:rPr>
        <w:t>管如此，由於考量「</w:t>
      </w:r>
      <w:proofErr w:type="gramStart"/>
      <w:r w:rsidRPr="00EA6BA7">
        <w:rPr>
          <w:rFonts w:hAnsi="標楷體" w:hint="eastAsia"/>
          <w:szCs w:val="32"/>
        </w:rPr>
        <w:t>嘉磷塞</w:t>
      </w:r>
      <w:proofErr w:type="gramEnd"/>
      <w:r w:rsidRPr="00EA6BA7">
        <w:rPr>
          <w:rFonts w:hAnsi="標楷體" w:hint="eastAsia"/>
          <w:szCs w:val="32"/>
        </w:rPr>
        <w:t>」有潛在性危害身體健康之慮，以及影響昆蟲棲息之生態平衡與植物保護等因素，仍有部分歐盟成員國</w:t>
      </w:r>
      <w:r w:rsidR="00765E45" w:rsidRPr="00EA6BA7">
        <w:rPr>
          <w:rFonts w:hAnsi="標楷體" w:hint="eastAsia"/>
          <w:szCs w:val="32"/>
        </w:rPr>
        <w:t>強烈</w:t>
      </w:r>
      <w:r w:rsidRPr="00EA6BA7">
        <w:rPr>
          <w:rFonts w:hAnsi="標楷體" w:hint="eastAsia"/>
          <w:szCs w:val="32"/>
        </w:rPr>
        <w:t>反對使用「</w:t>
      </w:r>
      <w:proofErr w:type="gramStart"/>
      <w:r w:rsidRPr="00EA6BA7">
        <w:rPr>
          <w:rFonts w:hAnsi="標楷體" w:hint="eastAsia"/>
          <w:szCs w:val="32"/>
        </w:rPr>
        <w:t>嘉磷塞</w:t>
      </w:r>
      <w:proofErr w:type="gramEnd"/>
      <w:r w:rsidRPr="00EA6BA7">
        <w:rPr>
          <w:rFonts w:hAnsi="標楷體" w:hint="eastAsia"/>
          <w:szCs w:val="32"/>
        </w:rPr>
        <w:t>」</w:t>
      </w:r>
      <w:r w:rsidR="00C96719" w:rsidRPr="00EA6BA7">
        <w:rPr>
          <w:rFonts w:hAnsi="標楷體" w:hint="eastAsia"/>
          <w:szCs w:val="32"/>
        </w:rPr>
        <w:t>，分述如下</w:t>
      </w:r>
      <w:r w:rsidRPr="00EA6BA7">
        <w:rPr>
          <w:rFonts w:hAnsi="標楷體" w:hint="eastAsia"/>
          <w:szCs w:val="32"/>
        </w:rPr>
        <w:t>：</w:t>
      </w:r>
    </w:p>
    <w:p w:rsidR="008C40D8" w:rsidRPr="00EA6BA7" w:rsidRDefault="008C40D8" w:rsidP="008C40D8">
      <w:pPr>
        <w:pStyle w:val="4"/>
        <w:ind w:left="1512"/>
        <w:rPr>
          <w:rFonts w:hAnsi="標楷體"/>
        </w:rPr>
      </w:pPr>
      <w:r w:rsidRPr="00EA6BA7">
        <w:rPr>
          <w:rFonts w:hAnsi="標楷體" w:hint="eastAsia"/>
        </w:rPr>
        <w:t>奧地利國會雖於西元2019年7月2日決議全面禁止使用</w:t>
      </w:r>
      <w:r w:rsidR="00765E45" w:rsidRPr="00EA6BA7">
        <w:rPr>
          <w:rFonts w:hAnsi="標楷體" w:hint="eastAsia"/>
        </w:rPr>
        <w:t>「</w:t>
      </w:r>
      <w:proofErr w:type="gramStart"/>
      <w:r w:rsidR="00765E45" w:rsidRPr="00EA6BA7">
        <w:rPr>
          <w:rFonts w:hAnsi="標楷體" w:hint="eastAsia"/>
        </w:rPr>
        <w:t>嘉磷塞</w:t>
      </w:r>
      <w:proofErr w:type="gramEnd"/>
      <w:r w:rsidR="00765E45" w:rsidRPr="00EA6BA7">
        <w:rPr>
          <w:rFonts w:hAnsi="標楷體" w:hint="eastAsia"/>
        </w:rPr>
        <w:t>」</w:t>
      </w:r>
      <w:r w:rsidRPr="00EA6BA7">
        <w:rPr>
          <w:rFonts w:hAnsi="標楷體" w:hint="eastAsia"/>
        </w:rPr>
        <w:t>，禁令將自2020年1月1日起生效，惟該法牴觸歐盟現行規定。但奧地利政府仍將國會決議「草案」送交歐盟執委會裁決是否合法，目前奧國仍在等待歐盟裁決中。</w:t>
      </w:r>
    </w:p>
    <w:p w:rsidR="008C40D8" w:rsidRPr="00EA6BA7" w:rsidRDefault="008C40D8" w:rsidP="008C40D8">
      <w:pPr>
        <w:pStyle w:val="4"/>
        <w:ind w:left="1512"/>
        <w:rPr>
          <w:rFonts w:hAnsi="標楷體"/>
        </w:rPr>
      </w:pPr>
      <w:r w:rsidRPr="00EA6BA7">
        <w:rPr>
          <w:rFonts w:hAnsi="標楷體" w:hint="eastAsia"/>
        </w:rPr>
        <w:t>法國於西元2018年12月1日成立「停</w:t>
      </w:r>
      <w:proofErr w:type="gramStart"/>
      <w:r w:rsidRPr="00EA6BA7">
        <w:rPr>
          <w:rFonts w:hAnsi="標楷體" w:hint="eastAsia"/>
        </w:rPr>
        <w:t>用嘉磷塞及</w:t>
      </w:r>
      <w:proofErr w:type="gramEnd"/>
      <w:r w:rsidRPr="00EA6BA7">
        <w:rPr>
          <w:rFonts w:hAnsi="標楷體" w:hint="eastAsia"/>
        </w:rPr>
        <w:t>減少使用植物用藥」跨部會專案小組，任命法國中央大區(région Centre)區長Pierre-Étienne Bisch擔任召集人，另據法國農業部網站登載行動計畫目標為：「2020年減少植物用藥(包括殺真菌劑、除草劑、殺蟲劑)使用量達25%，至2025年減少用量達50%，並於替代品出現之前提下，於2020年底停</w:t>
      </w:r>
      <w:proofErr w:type="gramStart"/>
      <w:r w:rsidRPr="00EA6BA7">
        <w:rPr>
          <w:rFonts w:hAnsi="標楷體" w:hint="eastAsia"/>
        </w:rPr>
        <w:t>用嘉磷塞</w:t>
      </w:r>
      <w:proofErr w:type="gramEnd"/>
      <w:r w:rsidRPr="00EA6BA7">
        <w:rPr>
          <w:rFonts w:hAnsi="標楷體" w:hint="eastAsia"/>
        </w:rPr>
        <w:t>。」</w:t>
      </w:r>
    </w:p>
    <w:p w:rsidR="008C40D8" w:rsidRPr="00EA6BA7" w:rsidRDefault="008C40D8" w:rsidP="008C40D8">
      <w:pPr>
        <w:pStyle w:val="4"/>
        <w:ind w:left="1512"/>
        <w:rPr>
          <w:rFonts w:hAnsi="標楷體"/>
        </w:rPr>
      </w:pPr>
      <w:r w:rsidRPr="00EA6BA7">
        <w:rPr>
          <w:rFonts w:hAnsi="標楷體" w:hint="eastAsia"/>
        </w:rPr>
        <w:t>德國農</w:t>
      </w:r>
      <w:proofErr w:type="gramStart"/>
      <w:r w:rsidRPr="00EA6BA7">
        <w:rPr>
          <w:rFonts w:hAnsi="標楷體" w:hint="eastAsia"/>
        </w:rPr>
        <w:t>糧部已於</w:t>
      </w:r>
      <w:proofErr w:type="gramEnd"/>
      <w:r w:rsidRPr="00EA6BA7">
        <w:rPr>
          <w:rFonts w:hAnsi="標楷體" w:hint="eastAsia"/>
        </w:rPr>
        <w:t>西元2018年4月表示將執行減少</w:t>
      </w:r>
      <w:r w:rsidR="00765E45" w:rsidRPr="00EA6BA7">
        <w:rPr>
          <w:rFonts w:hAnsi="標楷體" w:hint="eastAsia"/>
        </w:rPr>
        <w:t>「</w:t>
      </w:r>
      <w:proofErr w:type="gramStart"/>
      <w:r w:rsidR="00765E45" w:rsidRPr="00EA6BA7">
        <w:rPr>
          <w:rFonts w:hAnsi="標楷體" w:hint="eastAsia"/>
        </w:rPr>
        <w:t>嘉磷塞</w:t>
      </w:r>
      <w:proofErr w:type="gramEnd"/>
      <w:r w:rsidR="00765E45" w:rsidRPr="00EA6BA7">
        <w:rPr>
          <w:rFonts w:hAnsi="標楷體" w:hint="eastAsia"/>
        </w:rPr>
        <w:t>」</w:t>
      </w:r>
      <w:r w:rsidRPr="00EA6BA7">
        <w:rPr>
          <w:rFonts w:hAnsi="標楷體" w:hint="eastAsia"/>
        </w:rPr>
        <w:t>使用的措施，聯邦政府並於2019年9月4日通過「昆蟲保護行動方案」</w:t>
      </w:r>
      <w:r w:rsidR="00765E45" w:rsidRPr="00EA6BA7">
        <w:rPr>
          <w:rStyle w:val="aff"/>
          <w:rFonts w:hAnsi="標楷體"/>
        </w:rPr>
        <w:footnoteReference w:id="2"/>
      </w:r>
      <w:r w:rsidR="00765E45" w:rsidRPr="00EA6BA7">
        <w:rPr>
          <w:rFonts w:hAnsi="標楷體" w:hint="eastAsia"/>
        </w:rPr>
        <w:t>(</w:t>
      </w:r>
      <w:r w:rsidRPr="00EA6BA7">
        <w:rPr>
          <w:rFonts w:hAnsi="標楷體" w:hint="eastAsia"/>
        </w:rPr>
        <w:t>Aktionsprogramm Insektenschutz-Insekten besser schützen)，旨在透過減少</w:t>
      </w:r>
      <w:r w:rsidR="00FF16D5" w:rsidRPr="00EA6BA7">
        <w:rPr>
          <w:rFonts w:hAnsi="標楷體" w:hint="eastAsia"/>
        </w:rPr>
        <w:t>「</w:t>
      </w:r>
      <w:proofErr w:type="gramStart"/>
      <w:r w:rsidRPr="00EA6BA7">
        <w:rPr>
          <w:rFonts w:hAnsi="標楷體" w:hint="eastAsia"/>
        </w:rPr>
        <w:t>嘉磷塞</w:t>
      </w:r>
      <w:proofErr w:type="gramEnd"/>
      <w:r w:rsidR="00FF16D5" w:rsidRPr="00EA6BA7">
        <w:rPr>
          <w:rFonts w:hAnsi="標楷體" w:hint="eastAsia"/>
        </w:rPr>
        <w:t>」</w:t>
      </w:r>
      <w:r w:rsidRPr="00EA6BA7">
        <w:rPr>
          <w:rFonts w:hAnsi="標楷體" w:hint="eastAsia"/>
        </w:rPr>
        <w:t>等除草劑之使用，</w:t>
      </w:r>
      <w:r w:rsidR="00D273DA" w:rsidRPr="00EA6BA7">
        <w:rPr>
          <w:rFonts w:hAnsi="標楷體" w:hint="eastAsia"/>
        </w:rPr>
        <w:t>降低</w:t>
      </w:r>
      <w:r w:rsidRPr="00EA6BA7">
        <w:rPr>
          <w:rFonts w:hAnsi="標楷體" w:hint="eastAsia"/>
        </w:rPr>
        <w:t>對生態的破壞，並訂定自2023年12月31日禁用，惟是否完全</w:t>
      </w:r>
      <w:proofErr w:type="gramStart"/>
      <w:r w:rsidRPr="00EA6BA7">
        <w:rPr>
          <w:rFonts w:hAnsi="標楷體" w:hint="eastAsia"/>
        </w:rPr>
        <w:t>禁用仍需</w:t>
      </w:r>
      <w:proofErr w:type="gramEnd"/>
      <w:r w:rsidRPr="00EA6BA7">
        <w:rPr>
          <w:rFonts w:hAnsi="標楷體" w:hint="eastAsia"/>
        </w:rPr>
        <w:t>遵行歐盟決議。但德國針對非耕地，</w:t>
      </w:r>
      <w:r w:rsidRPr="00EA6BA7">
        <w:rPr>
          <w:rFonts w:hAnsi="標楷體" w:hint="eastAsia"/>
        </w:rPr>
        <w:lastRenderedPageBreak/>
        <w:t>例如:公園、花園、運動休閒區、校園和兒童遊樂場等公共區域，已限制使用</w:t>
      </w:r>
      <w:r w:rsidR="00765E45" w:rsidRPr="00EA6BA7">
        <w:rPr>
          <w:rFonts w:hAnsi="標楷體" w:hint="eastAsia"/>
        </w:rPr>
        <w:t>「</w:t>
      </w:r>
      <w:proofErr w:type="gramStart"/>
      <w:r w:rsidR="00765E45" w:rsidRPr="00EA6BA7">
        <w:rPr>
          <w:rFonts w:hAnsi="標楷體" w:hint="eastAsia"/>
        </w:rPr>
        <w:t>嘉磷塞</w:t>
      </w:r>
      <w:proofErr w:type="gramEnd"/>
      <w:r w:rsidR="00765E45" w:rsidRPr="00EA6BA7">
        <w:rPr>
          <w:rFonts w:hAnsi="標楷體" w:hint="eastAsia"/>
        </w:rPr>
        <w:t>」</w:t>
      </w:r>
      <w:r w:rsidRPr="00EA6BA7">
        <w:rPr>
          <w:rFonts w:hAnsi="標楷體" w:hint="eastAsia"/>
        </w:rPr>
        <w:t>，且規定不可施用於鋪設人行道之區域。</w:t>
      </w:r>
    </w:p>
    <w:p w:rsidR="007F46B0" w:rsidRPr="00EA6BA7" w:rsidRDefault="008C40D8" w:rsidP="007F46B0">
      <w:pPr>
        <w:pStyle w:val="3"/>
        <w:ind w:left="1276"/>
        <w:rPr>
          <w:rFonts w:hAnsi="標楷體"/>
        </w:rPr>
      </w:pPr>
      <w:r w:rsidRPr="00EA6BA7">
        <w:rPr>
          <w:rFonts w:hAnsi="標楷體" w:hint="eastAsia"/>
        </w:rPr>
        <w:t>綜上，西元2015年3月國際癌症研究中心將除草劑「</w:t>
      </w:r>
      <w:proofErr w:type="gramStart"/>
      <w:r w:rsidRPr="00EA6BA7">
        <w:rPr>
          <w:rFonts w:hAnsi="標楷體" w:hint="eastAsia"/>
        </w:rPr>
        <w:t>嘉磷塞</w:t>
      </w:r>
      <w:proofErr w:type="gramEnd"/>
      <w:r w:rsidRPr="00EA6BA7">
        <w:rPr>
          <w:rFonts w:hAnsi="標楷體" w:hint="eastAsia"/>
        </w:rPr>
        <w:t>」致癌風險提高到「很可能致癌（Group 2A）</w:t>
      </w:r>
      <w:r w:rsidR="003D1A20" w:rsidRPr="00EA6BA7">
        <w:rPr>
          <w:rFonts w:hAnsi="標楷體" w:hint="eastAsia"/>
        </w:rPr>
        <w:t>」</w:t>
      </w:r>
      <w:r w:rsidRPr="00EA6BA7">
        <w:rPr>
          <w:rFonts w:hAnsi="標楷體" w:hint="eastAsia"/>
        </w:rPr>
        <w:t>，在各國群起反對及禁用「</w:t>
      </w:r>
      <w:proofErr w:type="gramStart"/>
      <w:r w:rsidRPr="00EA6BA7">
        <w:rPr>
          <w:rFonts w:hAnsi="標楷體" w:hint="eastAsia"/>
        </w:rPr>
        <w:t>嘉磷塞</w:t>
      </w:r>
      <w:proofErr w:type="gramEnd"/>
      <w:r w:rsidRPr="00EA6BA7">
        <w:rPr>
          <w:rFonts w:hAnsi="標楷體" w:hint="eastAsia"/>
        </w:rPr>
        <w:t>」之際，</w:t>
      </w:r>
      <w:proofErr w:type="gramStart"/>
      <w:r w:rsidRPr="00EA6BA7">
        <w:rPr>
          <w:rFonts w:hAnsi="標楷體" w:hint="eastAsia"/>
        </w:rPr>
        <w:t>衛福部竟於</w:t>
      </w:r>
      <w:proofErr w:type="gramEnd"/>
      <w:r w:rsidRPr="00EA6BA7">
        <w:rPr>
          <w:rFonts w:hAnsi="標楷體" w:hint="eastAsia"/>
        </w:rPr>
        <w:t>108年4月23日預告修正「農藥殘留容許量標準」，率爾大幅放寬燕麥、蕎麥與大麥等10項穀類之「</w:t>
      </w:r>
      <w:proofErr w:type="gramStart"/>
      <w:r w:rsidRPr="00EA6BA7">
        <w:rPr>
          <w:rFonts w:hAnsi="標楷體" w:hint="eastAsia"/>
        </w:rPr>
        <w:t>嘉磷塞</w:t>
      </w:r>
      <w:proofErr w:type="gramEnd"/>
      <w:r w:rsidRPr="00EA6BA7">
        <w:rPr>
          <w:rFonts w:hAnsi="標楷體" w:hint="eastAsia"/>
        </w:rPr>
        <w:t>」殘留容許量標準，由不得檢出統一調升至10ppm；</w:t>
      </w:r>
      <w:r w:rsidR="00765E45" w:rsidRPr="00EA6BA7">
        <w:rPr>
          <w:rFonts w:hAnsi="標楷體" w:hint="eastAsia"/>
        </w:rPr>
        <w:t>核其</w:t>
      </w:r>
      <w:proofErr w:type="gramStart"/>
      <w:r w:rsidRPr="00EA6BA7">
        <w:rPr>
          <w:rFonts w:hAnsi="標楷體" w:hint="eastAsia"/>
        </w:rPr>
        <w:t>研</w:t>
      </w:r>
      <w:proofErr w:type="gramEnd"/>
      <w:r w:rsidRPr="00EA6BA7">
        <w:rPr>
          <w:rFonts w:hAnsi="標楷體" w:hint="eastAsia"/>
        </w:rPr>
        <w:t>議階段，</w:t>
      </w:r>
      <w:proofErr w:type="gramStart"/>
      <w:r w:rsidRPr="00EA6BA7">
        <w:rPr>
          <w:rFonts w:hAnsi="標楷體" w:hint="eastAsia"/>
        </w:rPr>
        <w:t>罔</w:t>
      </w:r>
      <w:proofErr w:type="gramEnd"/>
      <w:r w:rsidRPr="00EA6BA7">
        <w:rPr>
          <w:rFonts w:hAnsi="標楷體" w:hint="eastAsia"/>
        </w:rPr>
        <w:t>顧</w:t>
      </w:r>
      <w:r w:rsidR="00E4752E" w:rsidRPr="00EA6BA7">
        <w:rPr>
          <w:rFonts w:hAnsi="標楷體" w:hint="eastAsia"/>
        </w:rPr>
        <w:t>該部</w:t>
      </w:r>
      <w:r w:rsidR="00FF16D5" w:rsidRPr="00EA6BA7">
        <w:rPr>
          <w:rFonts w:hAnsi="標楷體" w:hint="eastAsia"/>
        </w:rPr>
        <w:t>食品</w:t>
      </w:r>
      <w:r w:rsidRPr="00EA6BA7">
        <w:rPr>
          <w:rFonts w:hAnsi="標楷體" w:hint="eastAsia"/>
        </w:rPr>
        <w:t>安全營養</w:t>
      </w:r>
      <w:proofErr w:type="gramStart"/>
      <w:r w:rsidRPr="00EA6BA7">
        <w:rPr>
          <w:rFonts w:hAnsi="標楷體" w:hint="eastAsia"/>
        </w:rPr>
        <w:t>諮</w:t>
      </w:r>
      <w:proofErr w:type="gramEnd"/>
      <w:r w:rsidRPr="00EA6BA7">
        <w:rPr>
          <w:rFonts w:hAnsi="標楷體" w:hint="eastAsia"/>
        </w:rPr>
        <w:t>議會審查委員</w:t>
      </w:r>
      <w:proofErr w:type="gramStart"/>
      <w:r w:rsidRPr="00EA6BA7">
        <w:rPr>
          <w:rFonts w:hAnsi="標楷體" w:hint="eastAsia"/>
        </w:rPr>
        <w:t>所提應考量</w:t>
      </w:r>
      <w:proofErr w:type="gramEnd"/>
      <w:r w:rsidRPr="00EA6BA7">
        <w:rPr>
          <w:rFonts w:hAnsi="標楷體" w:hint="eastAsia"/>
        </w:rPr>
        <w:t>國人對於各</w:t>
      </w:r>
      <w:r w:rsidR="00FF16D5" w:rsidRPr="00EA6BA7">
        <w:rPr>
          <w:rFonts w:hAnsi="標楷體" w:hint="eastAsia"/>
        </w:rPr>
        <w:t>穀類之飲食習慣及攝取量，以及應依「個別」穀類之田間殘留試驗結果</w:t>
      </w:r>
      <w:r w:rsidR="00E4752E" w:rsidRPr="00EA6BA7">
        <w:rPr>
          <w:rFonts w:hAnsi="標楷體" w:hint="eastAsia"/>
        </w:rPr>
        <w:t>訂定標準等建議，明顯</w:t>
      </w:r>
      <w:r w:rsidRPr="00EA6BA7">
        <w:rPr>
          <w:rFonts w:hAnsi="標楷體" w:hint="eastAsia"/>
        </w:rPr>
        <w:t>欠缺科學且客觀之審慎評估</w:t>
      </w:r>
      <w:r w:rsidR="00E4752E" w:rsidRPr="00EA6BA7">
        <w:rPr>
          <w:rFonts w:hAnsi="標楷體" w:hint="eastAsia"/>
        </w:rPr>
        <w:t>措施</w:t>
      </w:r>
      <w:r w:rsidRPr="00EA6BA7">
        <w:rPr>
          <w:rFonts w:hAnsi="標楷體" w:hint="eastAsia"/>
        </w:rPr>
        <w:t>；再</w:t>
      </w:r>
      <w:proofErr w:type="gramStart"/>
      <w:r w:rsidRPr="00EA6BA7">
        <w:rPr>
          <w:rFonts w:hAnsi="標楷體" w:hint="eastAsia"/>
        </w:rPr>
        <w:t>且</w:t>
      </w:r>
      <w:proofErr w:type="gramEnd"/>
      <w:r w:rsidRPr="00EA6BA7">
        <w:rPr>
          <w:rFonts w:hAnsi="標楷體" w:hint="eastAsia"/>
        </w:rPr>
        <w:t>，本案詢問衛福</w:t>
      </w:r>
      <w:proofErr w:type="gramStart"/>
      <w:r w:rsidRPr="00EA6BA7">
        <w:rPr>
          <w:rFonts w:hAnsi="標楷體" w:hint="eastAsia"/>
        </w:rPr>
        <w:t>部及食藥署</w:t>
      </w:r>
      <w:proofErr w:type="gramEnd"/>
      <w:r w:rsidRPr="00EA6BA7">
        <w:rPr>
          <w:rFonts w:hAnsi="標楷體" w:hint="eastAsia"/>
        </w:rPr>
        <w:t>主管人員，放寬該標準對於國人健康之</w:t>
      </w:r>
      <w:r w:rsidR="00FF16D5" w:rsidRPr="00EA6BA7">
        <w:rPr>
          <w:rFonts w:hAnsi="標楷體" w:hint="eastAsia"/>
        </w:rPr>
        <w:t>正面影響</w:t>
      </w:r>
      <w:r w:rsidRPr="00EA6BA7">
        <w:rPr>
          <w:rFonts w:hAnsi="標楷體" w:hint="eastAsia"/>
        </w:rPr>
        <w:t>，其均緘默不語，與逕自決定預告該放寬標準之積極作為，前後應處態度</w:t>
      </w:r>
      <w:proofErr w:type="gramStart"/>
      <w:r w:rsidRPr="00EA6BA7">
        <w:rPr>
          <w:rFonts w:hAnsi="標楷體"/>
        </w:rPr>
        <w:t>迥</w:t>
      </w:r>
      <w:proofErr w:type="gramEnd"/>
      <w:r w:rsidRPr="00EA6BA7">
        <w:rPr>
          <w:rFonts w:hAnsi="標楷體" w:hint="eastAsia"/>
        </w:rPr>
        <w:t>異，有失維護國人健康之責，殊有未當。</w:t>
      </w:r>
    </w:p>
    <w:p w:rsidR="006B06CB" w:rsidRPr="00EA6BA7" w:rsidRDefault="006B06CB" w:rsidP="006B06CB">
      <w:pPr>
        <w:pStyle w:val="2"/>
        <w:rPr>
          <w:rFonts w:hAnsi="標楷體"/>
          <w:b/>
        </w:rPr>
      </w:pPr>
      <w:r w:rsidRPr="00EA6BA7">
        <w:rPr>
          <w:rFonts w:hint="eastAsia"/>
          <w:b/>
        </w:rPr>
        <w:t>目前</w:t>
      </w:r>
      <w:proofErr w:type="gramStart"/>
      <w:r w:rsidRPr="00EA6BA7">
        <w:rPr>
          <w:rFonts w:hint="eastAsia"/>
          <w:b/>
        </w:rPr>
        <w:t>農委會藥毒所</w:t>
      </w:r>
      <w:proofErr w:type="gramEnd"/>
      <w:r w:rsidRPr="00EA6BA7">
        <w:rPr>
          <w:rFonts w:hint="eastAsia"/>
          <w:b/>
        </w:rPr>
        <w:t>依規定負責農藥</w:t>
      </w:r>
      <w:proofErr w:type="gramStart"/>
      <w:r w:rsidRPr="00EA6BA7">
        <w:rPr>
          <w:rFonts w:hint="eastAsia"/>
          <w:b/>
        </w:rPr>
        <w:t>之毒理安全</w:t>
      </w:r>
      <w:proofErr w:type="gramEnd"/>
      <w:r w:rsidRPr="00EA6BA7">
        <w:rPr>
          <w:rFonts w:hint="eastAsia"/>
          <w:b/>
        </w:rPr>
        <w:t>評估業務，惟其評估方式係</w:t>
      </w:r>
      <w:r w:rsidR="000D39A3" w:rsidRPr="00EA6BA7">
        <w:rPr>
          <w:rFonts w:hint="eastAsia"/>
          <w:b/>
        </w:rPr>
        <w:t>蒐集</w:t>
      </w:r>
      <w:r w:rsidRPr="00EA6BA7">
        <w:rPr>
          <w:rFonts w:hint="eastAsia"/>
          <w:b/>
        </w:rPr>
        <w:t>國際相關研究報告</w:t>
      </w:r>
      <w:r w:rsidR="000D39A3" w:rsidRPr="00EA6BA7">
        <w:rPr>
          <w:rFonts w:hint="eastAsia"/>
          <w:b/>
        </w:rPr>
        <w:t>進行書面審查</w:t>
      </w:r>
      <w:r w:rsidR="007F46B0" w:rsidRPr="00EA6BA7">
        <w:rPr>
          <w:rFonts w:hint="eastAsia"/>
          <w:b/>
        </w:rPr>
        <w:t>，</w:t>
      </w:r>
      <w:r w:rsidR="003262E2" w:rsidRPr="00EA6BA7">
        <w:rPr>
          <w:rFonts w:hint="eastAsia"/>
          <w:b/>
        </w:rPr>
        <w:t>其中</w:t>
      </w:r>
      <w:r w:rsidR="007F46B0" w:rsidRPr="00EA6BA7">
        <w:rPr>
          <w:rFonts w:hint="eastAsia"/>
          <w:b/>
        </w:rPr>
        <w:t>甚</w:t>
      </w:r>
      <w:r w:rsidRPr="00EA6BA7">
        <w:rPr>
          <w:rFonts w:hint="eastAsia"/>
          <w:b/>
        </w:rPr>
        <w:t>至包括申請</w:t>
      </w:r>
      <w:r w:rsidR="007F46B0" w:rsidRPr="00EA6BA7">
        <w:rPr>
          <w:rFonts w:hint="eastAsia"/>
          <w:b/>
        </w:rPr>
        <w:t>業者</w:t>
      </w:r>
      <w:r w:rsidRPr="00EA6BA7">
        <w:rPr>
          <w:rFonts w:hint="eastAsia"/>
          <w:b/>
        </w:rPr>
        <w:t>提供之研究資料，</w:t>
      </w:r>
      <w:r w:rsidR="007F46B0" w:rsidRPr="00EA6BA7">
        <w:rPr>
          <w:rFonts w:hint="eastAsia"/>
          <w:b/>
        </w:rPr>
        <w:t>其</w:t>
      </w:r>
      <w:r w:rsidRPr="00EA6BA7">
        <w:rPr>
          <w:rFonts w:hint="eastAsia"/>
          <w:b/>
        </w:rPr>
        <w:t>評估</w:t>
      </w:r>
      <w:r w:rsidR="00D536D2" w:rsidRPr="00EA6BA7">
        <w:rPr>
          <w:rFonts w:hint="eastAsia"/>
          <w:b/>
        </w:rPr>
        <w:t>結果</w:t>
      </w:r>
      <w:r w:rsidRPr="00EA6BA7">
        <w:rPr>
          <w:rFonts w:hint="eastAsia"/>
          <w:b/>
        </w:rPr>
        <w:t>恐有失偏頗，是該所未能實際進行相關試驗以求證，其評估基準與方式，顯</w:t>
      </w:r>
      <w:proofErr w:type="gramStart"/>
      <w:r w:rsidRPr="00EA6BA7">
        <w:rPr>
          <w:rFonts w:hint="eastAsia"/>
          <w:b/>
        </w:rPr>
        <w:t>未盡周妥</w:t>
      </w:r>
      <w:proofErr w:type="gramEnd"/>
      <w:r w:rsidRPr="00EA6BA7">
        <w:rPr>
          <w:rFonts w:hint="eastAsia"/>
          <w:b/>
        </w:rPr>
        <w:t>；</w:t>
      </w:r>
      <w:proofErr w:type="gramStart"/>
      <w:r w:rsidRPr="00EA6BA7">
        <w:rPr>
          <w:rFonts w:hint="eastAsia"/>
          <w:b/>
        </w:rPr>
        <w:t>復該所</w:t>
      </w:r>
      <w:proofErr w:type="gramEnd"/>
      <w:r w:rsidRPr="00EA6BA7">
        <w:rPr>
          <w:rFonts w:hint="eastAsia"/>
          <w:b/>
        </w:rPr>
        <w:t>資源及量能有限，農藥安全評估範圍難以確實擴及</w:t>
      </w:r>
      <w:proofErr w:type="gramStart"/>
      <w:r w:rsidR="003B6B3E" w:rsidRPr="00EA6BA7">
        <w:rPr>
          <w:rFonts w:hint="eastAsia"/>
          <w:b/>
        </w:rPr>
        <w:t>攸</w:t>
      </w:r>
      <w:proofErr w:type="gramEnd"/>
      <w:r w:rsidR="003B6B3E" w:rsidRPr="00EA6BA7">
        <w:rPr>
          <w:rFonts w:hint="eastAsia"/>
          <w:b/>
        </w:rPr>
        <w:t>關人體健康之</w:t>
      </w:r>
      <w:r w:rsidRPr="00EA6BA7">
        <w:rPr>
          <w:rFonts w:hint="eastAsia"/>
          <w:b/>
        </w:rPr>
        <w:t>流行病學調查與環境影響等面向，而國衛院擁有更為充足</w:t>
      </w:r>
      <w:proofErr w:type="gramStart"/>
      <w:r w:rsidRPr="00EA6BA7">
        <w:rPr>
          <w:rFonts w:hint="eastAsia"/>
          <w:b/>
        </w:rPr>
        <w:t>之毒理研究</w:t>
      </w:r>
      <w:proofErr w:type="gramEnd"/>
      <w:r w:rsidRPr="00EA6BA7">
        <w:rPr>
          <w:rFonts w:hint="eastAsia"/>
          <w:b/>
        </w:rPr>
        <w:t>量能與資源，且環保署為國內主責環境保護業務之最高主管機關，當能分別協助農藥</w:t>
      </w:r>
      <w:r w:rsidR="003B6B3E" w:rsidRPr="00EA6BA7">
        <w:rPr>
          <w:rFonts w:hint="eastAsia"/>
          <w:b/>
        </w:rPr>
        <w:t>關於人體健康</w:t>
      </w:r>
      <w:proofErr w:type="gramStart"/>
      <w:r w:rsidR="003B6B3E" w:rsidRPr="00EA6BA7">
        <w:rPr>
          <w:rFonts w:hint="eastAsia"/>
          <w:b/>
        </w:rPr>
        <w:t>之</w:t>
      </w:r>
      <w:r w:rsidRPr="00EA6BA7">
        <w:rPr>
          <w:rFonts w:hint="eastAsia"/>
          <w:b/>
        </w:rPr>
        <w:t>毒理評估</w:t>
      </w:r>
      <w:proofErr w:type="gramEnd"/>
      <w:r w:rsidRPr="00EA6BA7">
        <w:rPr>
          <w:rFonts w:hint="eastAsia"/>
          <w:b/>
        </w:rPr>
        <w:t>與環境流布影響等作業，並建立各</w:t>
      </w:r>
      <w:proofErr w:type="gramStart"/>
      <w:r w:rsidRPr="00EA6BA7">
        <w:rPr>
          <w:rFonts w:hint="eastAsia"/>
          <w:b/>
        </w:rPr>
        <w:t>農藥毒裡與</w:t>
      </w:r>
      <w:proofErr w:type="gramEnd"/>
      <w:r w:rsidRPr="00EA6BA7">
        <w:rPr>
          <w:rFonts w:hint="eastAsia"/>
          <w:b/>
        </w:rPr>
        <w:t>環境評估之本土資料庫，有待行政院</w:t>
      </w:r>
      <w:r w:rsidRPr="00EA6BA7">
        <w:rPr>
          <w:rFonts w:hAnsi="標楷體" w:hint="eastAsia"/>
          <w:b/>
        </w:rPr>
        <w:t>協調衛福部、環境保護署及農委會共同</w:t>
      </w:r>
      <w:proofErr w:type="gramStart"/>
      <w:r w:rsidRPr="00EA6BA7">
        <w:rPr>
          <w:rFonts w:hAnsi="標楷體" w:hint="eastAsia"/>
          <w:b/>
        </w:rPr>
        <w:t>研</w:t>
      </w:r>
      <w:proofErr w:type="gramEnd"/>
      <w:r w:rsidRPr="00EA6BA7">
        <w:rPr>
          <w:rFonts w:hAnsi="標楷體" w:hint="eastAsia"/>
          <w:b/>
        </w:rPr>
        <w:t>議並妥為處理。</w:t>
      </w:r>
    </w:p>
    <w:p w:rsidR="008C40D8" w:rsidRPr="00EA6BA7" w:rsidRDefault="008C40D8" w:rsidP="001A764F">
      <w:pPr>
        <w:pStyle w:val="3"/>
        <w:ind w:left="1276"/>
        <w:rPr>
          <w:rFonts w:hAnsi="標楷體"/>
        </w:rPr>
      </w:pPr>
      <w:r w:rsidRPr="00EA6BA7">
        <w:rPr>
          <w:rFonts w:hAnsi="標楷體" w:hint="eastAsia"/>
        </w:rPr>
        <w:lastRenderedPageBreak/>
        <w:t>按「行政院農業委員會農業藥物毒物試驗所暫行組織規程」第2條規定：「行政院農業委員會農業藥物毒物試驗所掌理下列事項：一、農產品中農藥</w:t>
      </w:r>
      <w:proofErr w:type="gramStart"/>
      <w:r w:rsidRPr="00EA6BA7">
        <w:rPr>
          <w:rFonts w:hAnsi="標楷體" w:hint="eastAsia"/>
        </w:rPr>
        <w:t>殘毒與毒性</w:t>
      </w:r>
      <w:proofErr w:type="gramEnd"/>
      <w:r w:rsidRPr="00EA6BA7">
        <w:rPr>
          <w:rFonts w:hAnsi="標楷體" w:hint="eastAsia"/>
        </w:rPr>
        <w:t>物質之分析、調查、預防、管制、安全評估標準之</w:t>
      </w:r>
      <w:proofErr w:type="gramStart"/>
      <w:r w:rsidRPr="00EA6BA7">
        <w:rPr>
          <w:rFonts w:hAnsi="標楷體" w:hint="eastAsia"/>
        </w:rPr>
        <w:t>研</w:t>
      </w:r>
      <w:proofErr w:type="gramEnd"/>
      <w:r w:rsidRPr="00EA6BA7">
        <w:rPr>
          <w:rFonts w:hAnsi="標楷體" w:hint="eastAsia"/>
        </w:rPr>
        <w:t>訂及農民安全用藥之指導事項。二、農藥與代謝產物或其他毒性物質之毒性測試及協助安全使用農藥之試驗研究事項。…</w:t>
      </w:r>
      <w:proofErr w:type="gramStart"/>
      <w:r w:rsidRPr="00EA6BA7">
        <w:rPr>
          <w:rFonts w:hAnsi="標楷體" w:hint="eastAsia"/>
        </w:rPr>
        <w:t>…</w:t>
      </w:r>
      <w:proofErr w:type="gramEnd"/>
      <w:r w:rsidRPr="00EA6BA7">
        <w:rPr>
          <w:rFonts w:hAnsi="標楷體" w:hint="eastAsia"/>
        </w:rPr>
        <w:t>」</w:t>
      </w:r>
      <w:proofErr w:type="gramStart"/>
      <w:r w:rsidRPr="00EA6BA7">
        <w:rPr>
          <w:rFonts w:hAnsi="標楷體" w:hint="eastAsia"/>
        </w:rPr>
        <w:t>另按食安</w:t>
      </w:r>
      <w:proofErr w:type="gramEnd"/>
      <w:r w:rsidRPr="00EA6BA7">
        <w:rPr>
          <w:rFonts w:hAnsi="標楷體" w:hint="eastAsia"/>
        </w:rPr>
        <w:t>法第15條第2項規定：「前項第五款、第六款殘留農藥或動物用藥安全容許量及食品中原子塵或放射能污染安全容許量之標準，由中央主管機關會商相關機關定之。」</w:t>
      </w:r>
      <w:proofErr w:type="gramStart"/>
      <w:r w:rsidRPr="00EA6BA7">
        <w:rPr>
          <w:rFonts w:hAnsi="標楷體" w:hint="eastAsia"/>
        </w:rPr>
        <w:t>爰</w:t>
      </w:r>
      <w:proofErr w:type="gramEnd"/>
      <w:r w:rsidRPr="00EA6BA7">
        <w:rPr>
          <w:rFonts w:hAnsi="標楷體" w:hint="eastAsia"/>
        </w:rPr>
        <w:t>此，有關農藥之核准與管理權責分工，</w:t>
      </w:r>
      <w:proofErr w:type="gramStart"/>
      <w:r w:rsidR="00C62DB4" w:rsidRPr="00EA6BA7">
        <w:rPr>
          <w:rFonts w:hAnsi="標楷體" w:hint="eastAsia"/>
        </w:rPr>
        <w:t>農委會藥毒所</w:t>
      </w:r>
      <w:proofErr w:type="gramEnd"/>
      <w:r w:rsidRPr="00EA6BA7">
        <w:rPr>
          <w:rFonts w:hAnsi="標楷體" w:hint="eastAsia"/>
        </w:rPr>
        <w:t>負責農藥</w:t>
      </w:r>
      <w:proofErr w:type="gramStart"/>
      <w:r w:rsidRPr="00EA6BA7">
        <w:rPr>
          <w:rFonts w:hAnsi="標楷體" w:hint="eastAsia"/>
        </w:rPr>
        <w:t>之毒理安全</w:t>
      </w:r>
      <w:proofErr w:type="gramEnd"/>
      <w:r w:rsidRPr="00EA6BA7">
        <w:rPr>
          <w:rFonts w:hAnsi="標楷體" w:hint="eastAsia"/>
        </w:rPr>
        <w:t>性及農藥殘留消退等</w:t>
      </w:r>
      <w:proofErr w:type="gramStart"/>
      <w:r w:rsidRPr="00EA6BA7">
        <w:rPr>
          <w:rFonts w:hAnsi="標楷體" w:hint="eastAsia"/>
        </w:rPr>
        <w:t>研</w:t>
      </w:r>
      <w:proofErr w:type="gramEnd"/>
      <w:r w:rsidRPr="00EA6BA7">
        <w:rPr>
          <w:rFonts w:hAnsi="標楷體" w:hint="eastAsia"/>
        </w:rPr>
        <w:t>析作業，並</w:t>
      </w:r>
      <w:proofErr w:type="gramStart"/>
      <w:r w:rsidRPr="00EA6BA7">
        <w:rPr>
          <w:rFonts w:hAnsi="標楷體" w:hint="eastAsia"/>
        </w:rPr>
        <w:t>研</w:t>
      </w:r>
      <w:proofErr w:type="gramEnd"/>
      <w:r w:rsidRPr="00EA6BA7">
        <w:rPr>
          <w:rFonts w:hAnsi="標楷體" w:hint="eastAsia"/>
        </w:rPr>
        <w:t>提農藥殘留建議值，再將相關</w:t>
      </w:r>
      <w:proofErr w:type="gramStart"/>
      <w:r w:rsidRPr="00EA6BA7">
        <w:rPr>
          <w:rFonts w:hAnsi="標楷體" w:hint="eastAsia"/>
        </w:rPr>
        <w:t>研</w:t>
      </w:r>
      <w:proofErr w:type="gramEnd"/>
      <w:r w:rsidRPr="00EA6BA7">
        <w:rPr>
          <w:rFonts w:hAnsi="標楷體" w:hint="eastAsia"/>
        </w:rPr>
        <w:t>析結果提供予</w:t>
      </w:r>
      <w:r w:rsidR="00FF16D5" w:rsidRPr="00EA6BA7">
        <w:rPr>
          <w:rFonts w:hAnsi="標楷體" w:hint="eastAsia"/>
        </w:rPr>
        <w:t>衛福</w:t>
      </w:r>
      <w:proofErr w:type="gramStart"/>
      <w:r w:rsidR="00FF16D5" w:rsidRPr="00EA6BA7">
        <w:rPr>
          <w:rFonts w:hAnsi="標楷體" w:hint="eastAsia"/>
        </w:rPr>
        <w:t>部</w:t>
      </w:r>
      <w:r w:rsidRPr="00EA6BA7">
        <w:rPr>
          <w:rFonts w:hAnsi="標楷體" w:hint="eastAsia"/>
        </w:rPr>
        <w:t>食藥署</w:t>
      </w:r>
      <w:proofErr w:type="gramEnd"/>
      <w:r w:rsidRPr="00EA6BA7">
        <w:rPr>
          <w:rFonts w:hAnsi="標楷體" w:hint="eastAsia"/>
        </w:rPr>
        <w:t>，該署經考量</w:t>
      </w:r>
      <w:r w:rsidR="00D0617D" w:rsidRPr="00EA6BA7">
        <w:rPr>
          <w:rFonts w:hAnsi="標楷體"/>
        </w:rPr>
        <w:t>每日可接受攝取量(Acceptable Daily Intake</w:t>
      </w:r>
      <w:r w:rsidR="00D0617D" w:rsidRPr="00EA6BA7">
        <w:rPr>
          <w:rFonts w:hAnsi="標楷體" w:hint="eastAsia"/>
        </w:rPr>
        <w:t>，下稱</w:t>
      </w:r>
      <w:r w:rsidR="00D0617D" w:rsidRPr="00EA6BA7">
        <w:rPr>
          <w:rFonts w:hAnsi="標楷體"/>
        </w:rPr>
        <w:t>ADI)</w:t>
      </w:r>
      <w:r w:rsidRPr="00EA6BA7">
        <w:rPr>
          <w:rFonts w:hAnsi="標楷體" w:hint="eastAsia"/>
        </w:rPr>
        <w:t>及其他相關因素後，負責訂定</w:t>
      </w:r>
      <w:r w:rsidR="00D0617D" w:rsidRPr="00EA6BA7">
        <w:rPr>
          <w:rFonts w:hAnsi="標楷體" w:hint="eastAsia"/>
        </w:rPr>
        <w:t>食品中</w:t>
      </w:r>
      <w:r w:rsidRPr="00EA6BA7">
        <w:rPr>
          <w:rFonts w:hAnsi="標楷體" w:hint="eastAsia"/>
        </w:rPr>
        <w:t>各種農藥之殘留標準。</w:t>
      </w:r>
    </w:p>
    <w:p w:rsidR="008C40D8" w:rsidRPr="00EA6BA7" w:rsidRDefault="008C40D8" w:rsidP="008C40D8">
      <w:pPr>
        <w:pStyle w:val="3"/>
        <w:ind w:left="1276"/>
        <w:rPr>
          <w:rFonts w:hAnsi="標楷體"/>
        </w:rPr>
      </w:pPr>
      <w:r w:rsidRPr="00EA6BA7">
        <w:rPr>
          <w:rFonts w:hAnsi="標楷體" w:hint="eastAsia"/>
        </w:rPr>
        <w:t>案關國際癌症中心於西元2015年3月將「</w:t>
      </w:r>
      <w:proofErr w:type="gramStart"/>
      <w:r w:rsidRPr="00EA6BA7">
        <w:rPr>
          <w:rFonts w:hAnsi="標楷體" w:hint="eastAsia"/>
        </w:rPr>
        <w:t>嘉磷塞</w:t>
      </w:r>
      <w:proofErr w:type="gramEnd"/>
      <w:r w:rsidRPr="00EA6BA7">
        <w:rPr>
          <w:rFonts w:hAnsi="標楷體" w:hint="eastAsia"/>
        </w:rPr>
        <w:t>」致腫瘤潛力提升為2A等級，判定為極可能對人類具致腫瘤性，引發各界強烈關切，各國際機構紛紛重新啟動評估機制，國內</w:t>
      </w:r>
      <w:proofErr w:type="gramStart"/>
      <w:r w:rsidR="00C62DB4" w:rsidRPr="00EA6BA7">
        <w:rPr>
          <w:rFonts w:hAnsi="標楷體" w:hint="eastAsia"/>
        </w:rPr>
        <w:t>農委會藥毒所</w:t>
      </w:r>
      <w:proofErr w:type="gramEnd"/>
      <w:r w:rsidRPr="00EA6BA7">
        <w:rPr>
          <w:rFonts w:hAnsi="標楷體" w:hint="eastAsia"/>
        </w:rPr>
        <w:t>也進行重新評估，於107年10月完成「</w:t>
      </w:r>
      <w:proofErr w:type="gramStart"/>
      <w:r w:rsidRPr="00EA6BA7">
        <w:rPr>
          <w:rFonts w:hAnsi="標楷體" w:hint="eastAsia"/>
        </w:rPr>
        <w:t>嘉磷塞</w:t>
      </w:r>
      <w:proofErr w:type="gramEnd"/>
      <w:r w:rsidRPr="00EA6BA7">
        <w:rPr>
          <w:rFonts w:hAnsi="標楷體" w:hint="eastAsia"/>
        </w:rPr>
        <w:t>」</w:t>
      </w:r>
      <w:proofErr w:type="gramStart"/>
      <w:r w:rsidRPr="00EA6BA7">
        <w:rPr>
          <w:rFonts w:hAnsi="標楷體" w:hint="eastAsia"/>
        </w:rPr>
        <w:t>之毒理安全</w:t>
      </w:r>
      <w:proofErr w:type="gramEnd"/>
      <w:r w:rsidRPr="00EA6BA7">
        <w:rPr>
          <w:rFonts w:hAnsi="標楷體" w:hint="eastAsia"/>
        </w:rPr>
        <w:t>評估報告；查該報告</w:t>
      </w:r>
      <w:proofErr w:type="gramStart"/>
      <w:r w:rsidRPr="00EA6BA7">
        <w:rPr>
          <w:rFonts w:hAnsi="標楷體" w:hint="eastAsia"/>
        </w:rPr>
        <w:t>對於毒理安全</w:t>
      </w:r>
      <w:proofErr w:type="gramEnd"/>
      <w:r w:rsidRPr="00EA6BA7">
        <w:rPr>
          <w:rFonts w:hAnsi="標楷體" w:hint="eastAsia"/>
        </w:rPr>
        <w:t>評估之結論如下：</w:t>
      </w:r>
    </w:p>
    <w:p w:rsidR="008C40D8" w:rsidRPr="00EA6BA7" w:rsidRDefault="008C40D8" w:rsidP="008C40D8">
      <w:pPr>
        <w:pStyle w:val="4"/>
        <w:ind w:left="1418"/>
        <w:rPr>
          <w:rFonts w:hAnsi="標楷體"/>
        </w:rPr>
      </w:pPr>
      <w:r w:rsidRPr="00EA6BA7">
        <w:rPr>
          <w:rFonts w:hAnsi="標楷體" w:hint="eastAsia"/>
        </w:rPr>
        <w:t>「</w:t>
      </w:r>
      <w:proofErr w:type="gramStart"/>
      <w:r w:rsidRPr="00EA6BA7">
        <w:rPr>
          <w:rFonts w:hAnsi="標楷體" w:hint="eastAsia"/>
        </w:rPr>
        <w:t>嘉磷塞</w:t>
      </w:r>
      <w:proofErr w:type="gramEnd"/>
      <w:r w:rsidRPr="00EA6BA7">
        <w:rPr>
          <w:rFonts w:hAnsi="標楷體" w:hint="eastAsia"/>
        </w:rPr>
        <w:t>」不具明顯的急毒性，無明顯的神經毒性、無致變異性及無明顯的生殖毒性、惟具刺激性。</w:t>
      </w:r>
    </w:p>
    <w:p w:rsidR="008C40D8" w:rsidRPr="00EA6BA7" w:rsidRDefault="008C40D8" w:rsidP="008C40D8">
      <w:pPr>
        <w:pStyle w:val="4"/>
        <w:ind w:left="1418"/>
        <w:rPr>
          <w:rFonts w:hAnsi="標楷體"/>
        </w:rPr>
      </w:pPr>
      <w:r w:rsidRPr="00EA6BA7">
        <w:rPr>
          <w:rFonts w:hAnsi="標楷體" w:hint="eastAsia"/>
        </w:rPr>
        <w:t>長期餵食毒性高劑量下標的器官為消化道，在17個實驗動物的腫瘤試驗顯示「</w:t>
      </w:r>
      <w:proofErr w:type="gramStart"/>
      <w:r w:rsidRPr="00EA6BA7">
        <w:rPr>
          <w:rFonts w:hAnsi="標楷體" w:hint="eastAsia"/>
        </w:rPr>
        <w:t>嘉磷塞</w:t>
      </w:r>
      <w:proofErr w:type="gramEnd"/>
      <w:r w:rsidRPr="00EA6BA7">
        <w:rPr>
          <w:rFonts w:hAnsi="標楷體" w:hint="eastAsia"/>
        </w:rPr>
        <w:t>」對小鼠產生淋巴瘤(lymphoma)，對</w:t>
      </w:r>
      <w:proofErr w:type="gramStart"/>
      <w:r w:rsidRPr="00EA6BA7">
        <w:rPr>
          <w:rFonts w:hAnsi="標楷體" w:hint="eastAsia"/>
        </w:rPr>
        <w:t>大鼠則</w:t>
      </w:r>
      <w:proofErr w:type="gramEnd"/>
      <w:r w:rsidRPr="00EA6BA7">
        <w:rPr>
          <w:rFonts w:hAnsi="標楷體" w:hint="eastAsia"/>
        </w:rPr>
        <w:t>無明顯致腫瘤性。</w:t>
      </w:r>
    </w:p>
    <w:p w:rsidR="008C40D8" w:rsidRPr="00EA6BA7" w:rsidRDefault="008C40D8" w:rsidP="008C40D8">
      <w:pPr>
        <w:pStyle w:val="4"/>
        <w:ind w:left="1418"/>
        <w:rPr>
          <w:rFonts w:hAnsi="標楷體"/>
        </w:rPr>
      </w:pPr>
      <w:r w:rsidRPr="00EA6BA7">
        <w:rPr>
          <w:rFonts w:hAnsi="標楷體" w:hint="eastAsia"/>
        </w:rPr>
        <w:t>經由動物皮膚較長期</w:t>
      </w:r>
      <w:proofErr w:type="gramStart"/>
      <w:r w:rsidRPr="00EA6BA7">
        <w:rPr>
          <w:rFonts w:hAnsi="標楷體" w:hint="eastAsia"/>
        </w:rPr>
        <w:t>之亞急毒性</w:t>
      </w:r>
      <w:proofErr w:type="gramEnd"/>
      <w:r w:rsidRPr="00EA6BA7">
        <w:rPr>
          <w:rFonts w:hAnsi="標楷體" w:hint="eastAsia"/>
        </w:rPr>
        <w:t>暴露途</w:t>
      </w:r>
      <w:proofErr w:type="gramStart"/>
      <w:r w:rsidRPr="00EA6BA7">
        <w:rPr>
          <w:rFonts w:hAnsi="標楷體" w:hint="eastAsia"/>
        </w:rPr>
        <w:t>逕</w:t>
      </w:r>
      <w:proofErr w:type="gramEnd"/>
      <w:r w:rsidRPr="00EA6BA7">
        <w:rPr>
          <w:rFonts w:hAnsi="標楷體" w:hint="eastAsia"/>
        </w:rPr>
        <w:t>後，</w:t>
      </w:r>
      <w:proofErr w:type="gramStart"/>
      <w:r w:rsidRPr="00EA6BA7">
        <w:rPr>
          <w:rFonts w:hAnsi="標楷體" w:hint="eastAsia"/>
        </w:rPr>
        <w:t>均未出現</w:t>
      </w:r>
      <w:proofErr w:type="gramEnd"/>
      <w:r w:rsidRPr="00EA6BA7">
        <w:rPr>
          <w:rFonts w:hAnsi="標楷體" w:hint="eastAsia"/>
        </w:rPr>
        <w:t>明顯毒性相關反應。</w:t>
      </w:r>
    </w:p>
    <w:p w:rsidR="008C40D8" w:rsidRPr="00EA6BA7" w:rsidRDefault="008C40D8" w:rsidP="008C40D8">
      <w:pPr>
        <w:pStyle w:val="4"/>
        <w:ind w:left="1418"/>
        <w:rPr>
          <w:rFonts w:hAnsi="標楷體"/>
        </w:rPr>
      </w:pPr>
      <w:r w:rsidRPr="00EA6BA7">
        <w:rPr>
          <w:rFonts w:hAnsi="標楷體" w:hint="eastAsia"/>
        </w:rPr>
        <w:t>最後導入國人暴露估算攝取量進行致腫瘤潛力估</w:t>
      </w:r>
      <w:r w:rsidRPr="00EA6BA7">
        <w:rPr>
          <w:rFonts w:hAnsi="標楷體" w:hint="eastAsia"/>
        </w:rPr>
        <w:lastRenderedPageBreak/>
        <w:t>算，顯示與可接受標準100的距離限值達52倍以上。綜合上述結果顯示，</w:t>
      </w:r>
      <w:proofErr w:type="gramStart"/>
      <w:r w:rsidRPr="00EA6BA7">
        <w:rPr>
          <w:rFonts w:hAnsi="標楷體" w:hint="eastAsia"/>
        </w:rPr>
        <w:t>從毒理學</w:t>
      </w:r>
      <w:proofErr w:type="gramEnd"/>
      <w:r w:rsidRPr="00EA6BA7">
        <w:rPr>
          <w:rFonts w:hAnsi="標楷體" w:hint="eastAsia"/>
        </w:rPr>
        <w:t>之暴露危害觀點，可給予類似糧食及農業組織/世界衛生組織農藥殘留聯席會議(JMPR)之「經由飲食暴露下，嘉</w:t>
      </w:r>
      <w:proofErr w:type="gramStart"/>
      <w:r w:rsidRPr="00EA6BA7">
        <w:rPr>
          <w:rFonts w:hAnsi="標楷體" w:hint="eastAsia"/>
        </w:rPr>
        <w:t>磷塞對</w:t>
      </w:r>
      <w:proofErr w:type="gramEnd"/>
      <w:r w:rsidRPr="00EA6BA7">
        <w:rPr>
          <w:rFonts w:hAnsi="標楷體" w:hint="eastAsia"/>
        </w:rPr>
        <w:t>人類不具致腫瘤危害性」的論點。</w:t>
      </w:r>
    </w:p>
    <w:p w:rsidR="008C40D8" w:rsidRPr="00EA6BA7" w:rsidRDefault="008C40D8" w:rsidP="008C40D8">
      <w:pPr>
        <w:pStyle w:val="3"/>
        <w:ind w:left="1276"/>
        <w:rPr>
          <w:rFonts w:hAnsi="標楷體"/>
        </w:rPr>
      </w:pPr>
      <w:proofErr w:type="gramStart"/>
      <w:r w:rsidRPr="00EA6BA7">
        <w:rPr>
          <w:rFonts w:hAnsi="標楷體" w:hint="eastAsia"/>
        </w:rPr>
        <w:t>惟查上開毒理</w:t>
      </w:r>
      <w:proofErr w:type="gramEnd"/>
      <w:r w:rsidRPr="00EA6BA7">
        <w:rPr>
          <w:rFonts w:hAnsi="標楷體" w:hint="eastAsia"/>
        </w:rPr>
        <w:t>安全評估報告之論點依據，</w:t>
      </w:r>
      <w:proofErr w:type="gramStart"/>
      <w:r w:rsidRPr="00EA6BA7">
        <w:rPr>
          <w:rFonts w:hAnsi="標楷體" w:hint="eastAsia"/>
        </w:rPr>
        <w:t>均為國際</w:t>
      </w:r>
      <w:proofErr w:type="gramEnd"/>
      <w:r w:rsidRPr="00EA6BA7">
        <w:rPr>
          <w:rFonts w:hAnsi="標楷體" w:hint="eastAsia"/>
        </w:rPr>
        <w:t>評估報告，其中</w:t>
      </w:r>
      <w:r w:rsidR="00FF16D5" w:rsidRPr="00EA6BA7">
        <w:rPr>
          <w:rFonts w:hAnsi="標楷體" w:hint="eastAsia"/>
        </w:rPr>
        <w:t>甚至包括</w:t>
      </w:r>
      <w:r w:rsidRPr="00EA6BA7">
        <w:rPr>
          <w:rFonts w:hAnsi="標楷體" w:hint="eastAsia"/>
        </w:rPr>
        <w:t>申請廠商提供之試驗結果，</w:t>
      </w:r>
      <w:proofErr w:type="gramStart"/>
      <w:r w:rsidRPr="00EA6BA7">
        <w:rPr>
          <w:rFonts w:hAnsi="標楷體" w:hint="eastAsia"/>
        </w:rPr>
        <w:t>亦即均為文獻</w:t>
      </w:r>
      <w:proofErr w:type="gramEnd"/>
      <w:r w:rsidRPr="00EA6BA7">
        <w:rPr>
          <w:rFonts w:hAnsi="標楷體" w:hint="eastAsia"/>
        </w:rPr>
        <w:t>期刊之彙集</w:t>
      </w:r>
      <w:proofErr w:type="gramStart"/>
      <w:r w:rsidRPr="00EA6BA7">
        <w:rPr>
          <w:rFonts w:hAnsi="標楷體" w:hint="eastAsia"/>
        </w:rPr>
        <w:t>研</w:t>
      </w:r>
      <w:proofErr w:type="gramEnd"/>
      <w:r w:rsidRPr="00EA6BA7">
        <w:rPr>
          <w:rFonts w:hAnsi="標楷體" w:hint="eastAsia"/>
        </w:rPr>
        <w:t>析，並非國內政府機關或委託單位之實際試驗結果；且「</w:t>
      </w:r>
      <w:proofErr w:type="gramStart"/>
      <w:r w:rsidRPr="00EA6BA7">
        <w:rPr>
          <w:rFonts w:hAnsi="標楷體" w:hint="eastAsia"/>
        </w:rPr>
        <w:t>嘉磷塞</w:t>
      </w:r>
      <w:proofErr w:type="gramEnd"/>
      <w:r w:rsidRPr="00EA6BA7">
        <w:rPr>
          <w:rFonts w:hAnsi="標楷體" w:hint="eastAsia"/>
        </w:rPr>
        <w:t>」於西元</w:t>
      </w:r>
      <w:proofErr w:type="gramStart"/>
      <w:r w:rsidRPr="00EA6BA7">
        <w:rPr>
          <w:rFonts w:hAnsi="標楷體" w:hint="eastAsia"/>
        </w:rPr>
        <w:t>1950</w:t>
      </w:r>
      <w:proofErr w:type="gramEnd"/>
      <w:r w:rsidRPr="00EA6BA7">
        <w:rPr>
          <w:rFonts w:hAnsi="標楷體" w:hint="eastAsia"/>
        </w:rPr>
        <w:t>年代即被合成，初期作為潛在藥物之開發，</w:t>
      </w:r>
      <w:proofErr w:type="gramStart"/>
      <w:r w:rsidRPr="00EA6BA7">
        <w:rPr>
          <w:rFonts w:hAnsi="標楷體" w:hint="eastAsia"/>
        </w:rPr>
        <w:t>1970</w:t>
      </w:r>
      <w:proofErr w:type="gramEnd"/>
      <w:r w:rsidRPr="00EA6BA7">
        <w:rPr>
          <w:rFonts w:hAnsi="標楷體" w:hint="eastAsia"/>
        </w:rPr>
        <w:t>年代發現其具有除草特性後，</w:t>
      </w:r>
      <w:r w:rsidR="00FF16D5" w:rsidRPr="00EA6BA7">
        <w:rPr>
          <w:rFonts w:hAnsi="標楷體" w:hint="eastAsia"/>
        </w:rPr>
        <w:t>瞬間</w:t>
      </w:r>
      <w:r w:rsidRPr="00EA6BA7">
        <w:rPr>
          <w:rFonts w:hAnsi="標楷體" w:hint="eastAsia"/>
        </w:rPr>
        <w:t>躍升為全世界使用量最高之除草劑，要言之，國際上「</w:t>
      </w:r>
      <w:proofErr w:type="gramStart"/>
      <w:r w:rsidRPr="00EA6BA7">
        <w:rPr>
          <w:rFonts w:hAnsi="標楷體" w:hint="eastAsia"/>
        </w:rPr>
        <w:t>嘉磷塞</w:t>
      </w:r>
      <w:proofErr w:type="gramEnd"/>
      <w:r w:rsidRPr="00EA6BA7">
        <w:rPr>
          <w:rFonts w:hAnsi="標楷體" w:hint="eastAsia"/>
        </w:rPr>
        <w:t>」使用時間已近50年，</w:t>
      </w:r>
      <w:r w:rsidR="00D0617D" w:rsidRPr="00EA6BA7">
        <w:rPr>
          <w:rFonts w:hAnsi="標楷體" w:hint="eastAsia"/>
        </w:rPr>
        <w:t>故</w:t>
      </w:r>
      <w:proofErr w:type="gramStart"/>
      <w:r w:rsidR="00C62DB4" w:rsidRPr="00EA6BA7">
        <w:rPr>
          <w:rFonts w:hAnsi="標楷體" w:hint="eastAsia"/>
        </w:rPr>
        <w:t>農委會藥毒所</w:t>
      </w:r>
      <w:proofErr w:type="gramEnd"/>
      <w:r w:rsidRPr="00EA6BA7">
        <w:rPr>
          <w:rFonts w:hAnsi="標楷體" w:hint="eastAsia"/>
        </w:rPr>
        <w:t>藉以評估之研究資料或已年代久遠；</w:t>
      </w:r>
      <w:proofErr w:type="gramStart"/>
      <w:r w:rsidRPr="00EA6BA7">
        <w:rPr>
          <w:rFonts w:hAnsi="標楷體" w:hint="eastAsia"/>
        </w:rPr>
        <w:t>再者，</w:t>
      </w:r>
      <w:proofErr w:type="gramEnd"/>
      <w:r w:rsidRPr="00EA6BA7">
        <w:rPr>
          <w:rFonts w:hAnsi="標楷體" w:hint="eastAsia"/>
        </w:rPr>
        <w:t>國際癌症中心於2015年3月將「</w:t>
      </w:r>
      <w:proofErr w:type="gramStart"/>
      <w:r w:rsidRPr="00EA6BA7">
        <w:rPr>
          <w:rFonts w:hAnsi="標楷體" w:hint="eastAsia"/>
        </w:rPr>
        <w:t>嘉磷塞</w:t>
      </w:r>
      <w:proofErr w:type="gramEnd"/>
      <w:r w:rsidRPr="00EA6BA7">
        <w:rPr>
          <w:rFonts w:hAnsi="標楷體" w:hint="eastAsia"/>
        </w:rPr>
        <w:t>」致腫瘤潛力提升為</w:t>
      </w:r>
      <w:r w:rsidR="00957593" w:rsidRPr="00EA6BA7">
        <w:rPr>
          <w:rFonts w:hAnsi="標楷體" w:hint="eastAsia"/>
        </w:rPr>
        <w:t>「很可能致癌（Group 2A）」</w:t>
      </w:r>
      <w:r w:rsidRPr="00EA6BA7">
        <w:rPr>
          <w:rFonts w:hAnsi="標楷體" w:hint="eastAsia"/>
        </w:rPr>
        <w:t>等級，此對於該農藥之重新評估結果發現，在有限證據下，「</w:t>
      </w:r>
      <w:proofErr w:type="gramStart"/>
      <w:r w:rsidRPr="00EA6BA7">
        <w:rPr>
          <w:rFonts w:hAnsi="標楷體" w:hint="eastAsia"/>
        </w:rPr>
        <w:t>嘉磷塞</w:t>
      </w:r>
      <w:proofErr w:type="gramEnd"/>
      <w:r w:rsidRPr="00EA6BA7">
        <w:rPr>
          <w:rFonts w:hAnsi="標楷體" w:hint="eastAsia"/>
        </w:rPr>
        <w:t>」可能會引起人類之非何</w:t>
      </w:r>
      <w:proofErr w:type="gramStart"/>
      <w:r w:rsidRPr="00EA6BA7">
        <w:rPr>
          <w:rFonts w:hAnsi="標楷體" w:hint="eastAsia"/>
        </w:rPr>
        <w:t>杰</w:t>
      </w:r>
      <w:proofErr w:type="gramEnd"/>
      <w:r w:rsidRPr="00EA6BA7">
        <w:rPr>
          <w:rFonts w:hAnsi="標楷體" w:hint="eastAsia"/>
        </w:rPr>
        <w:t>金氏淋巴瘤，且有足夠證據顯示，會引起小鼠的腫瘤(腎小管腫瘤及血管肉瘤)，</w:t>
      </w:r>
      <w:r w:rsidR="00D0617D" w:rsidRPr="00EA6BA7">
        <w:rPr>
          <w:rFonts w:hAnsi="標楷體" w:hint="eastAsia"/>
        </w:rPr>
        <w:t>但</w:t>
      </w:r>
      <w:proofErr w:type="gramStart"/>
      <w:r w:rsidR="00C62DB4" w:rsidRPr="00EA6BA7">
        <w:rPr>
          <w:rFonts w:hAnsi="標楷體" w:hint="eastAsia"/>
        </w:rPr>
        <w:t>農委會藥毒所</w:t>
      </w:r>
      <w:proofErr w:type="gramEnd"/>
      <w:r w:rsidR="00D0617D" w:rsidRPr="00EA6BA7">
        <w:rPr>
          <w:rFonts w:hAnsi="標楷體" w:hint="eastAsia"/>
        </w:rPr>
        <w:t>卻未有考量，</w:t>
      </w:r>
      <w:r w:rsidRPr="00EA6BA7">
        <w:rPr>
          <w:rFonts w:hAnsi="標楷體" w:hint="eastAsia"/>
        </w:rPr>
        <w:t>此亦可印證</w:t>
      </w:r>
      <w:r w:rsidR="00C62DB4" w:rsidRPr="00EA6BA7">
        <w:rPr>
          <w:rFonts w:hAnsi="標楷體" w:hint="eastAsia"/>
        </w:rPr>
        <w:t>該</w:t>
      </w:r>
      <w:r w:rsidRPr="00EA6BA7">
        <w:rPr>
          <w:rFonts w:hAnsi="標楷體" w:hint="eastAsia"/>
        </w:rPr>
        <w:t>所藉以評估之研究報告</w:t>
      </w:r>
      <w:r w:rsidR="00C62DB4" w:rsidRPr="00EA6BA7">
        <w:rPr>
          <w:rFonts w:hAnsi="標楷體" w:hint="eastAsia"/>
        </w:rPr>
        <w:t>確實</w:t>
      </w:r>
      <w:r w:rsidRPr="00EA6BA7">
        <w:rPr>
          <w:rFonts w:hAnsi="標楷體" w:hint="eastAsia"/>
        </w:rPr>
        <w:t>有限。</w:t>
      </w:r>
    </w:p>
    <w:p w:rsidR="00504BB4" w:rsidRPr="00EA6BA7" w:rsidRDefault="00D0617D" w:rsidP="001A764F">
      <w:pPr>
        <w:pStyle w:val="3"/>
      </w:pPr>
      <w:r w:rsidRPr="00EA6BA7">
        <w:rPr>
          <w:rFonts w:hint="eastAsia"/>
        </w:rPr>
        <w:t>復</w:t>
      </w:r>
      <w:r w:rsidR="008C40D8" w:rsidRPr="00EA6BA7">
        <w:rPr>
          <w:rFonts w:hint="eastAsia"/>
        </w:rPr>
        <w:t>查</w:t>
      </w:r>
      <w:proofErr w:type="gramStart"/>
      <w:r w:rsidR="00C62DB4" w:rsidRPr="00EA6BA7">
        <w:rPr>
          <w:rFonts w:hint="eastAsia"/>
        </w:rPr>
        <w:t>農委會藥毒所</w:t>
      </w:r>
      <w:proofErr w:type="gramEnd"/>
      <w:r w:rsidR="008C40D8" w:rsidRPr="00EA6BA7">
        <w:rPr>
          <w:rFonts w:hint="eastAsia"/>
        </w:rPr>
        <w:t>組織編制，該所設有「安全評估組」、「檢驗研發組」、「安全資財組」、「應用技術組」及「技術服務組」等，其中「安全評估組」負責農藥之農藥毒性評估及研究業務，進而判定可否核准使用，然其正式編制研究人員之員額僅11人，卻要承擔國內所有農藥及新申請農藥之毒性分析評估，</w:t>
      </w:r>
      <w:r w:rsidR="00A91152" w:rsidRPr="00EA6BA7">
        <w:rPr>
          <w:rFonts w:hint="eastAsia"/>
        </w:rPr>
        <w:t>另</w:t>
      </w:r>
      <w:r w:rsidR="00FF16D5" w:rsidRPr="00EA6BA7">
        <w:rPr>
          <w:rFonts w:hint="eastAsia"/>
        </w:rPr>
        <w:t>又</w:t>
      </w:r>
      <w:r w:rsidR="008C40D8" w:rsidRPr="00EA6BA7">
        <w:rPr>
          <w:rFonts w:hint="eastAsia"/>
        </w:rPr>
        <w:t>包括重新檢視已核准農藥</w:t>
      </w:r>
      <w:r w:rsidRPr="00EA6BA7">
        <w:rPr>
          <w:rFonts w:hint="eastAsia"/>
        </w:rPr>
        <w:t>(例如本案「</w:t>
      </w:r>
      <w:proofErr w:type="gramStart"/>
      <w:r w:rsidRPr="00EA6BA7">
        <w:rPr>
          <w:rFonts w:hint="eastAsia"/>
        </w:rPr>
        <w:t>嘉磷塞</w:t>
      </w:r>
      <w:proofErr w:type="gramEnd"/>
      <w:r w:rsidRPr="00EA6BA7">
        <w:rPr>
          <w:rFonts w:hint="eastAsia"/>
        </w:rPr>
        <w:t>」)</w:t>
      </w:r>
      <w:r w:rsidR="008C40D8" w:rsidRPr="00EA6BA7">
        <w:rPr>
          <w:rFonts w:hint="eastAsia"/>
        </w:rPr>
        <w:t>之毒性等，負擔甚為繁重。再</w:t>
      </w:r>
      <w:proofErr w:type="gramStart"/>
      <w:r w:rsidR="008C40D8" w:rsidRPr="00EA6BA7">
        <w:rPr>
          <w:rFonts w:hint="eastAsia"/>
        </w:rPr>
        <w:t>且</w:t>
      </w:r>
      <w:proofErr w:type="gramEnd"/>
      <w:r w:rsidR="008C40D8" w:rsidRPr="00EA6BA7">
        <w:rPr>
          <w:rFonts w:hint="eastAsia"/>
        </w:rPr>
        <w:t>，農藥的毒理性研究，不宜僅局限於動物或細胞實驗，尤其對於</w:t>
      </w:r>
      <w:r w:rsidR="008C40D8" w:rsidRPr="00EA6BA7">
        <w:rPr>
          <w:rFonts w:hint="eastAsia"/>
        </w:rPr>
        <w:lastRenderedPageBreak/>
        <w:t>國內使用量大且普及之農藥，或者國際上認為有重新評估其安全性</w:t>
      </w:r>
      <w:r w:rsidR="009B5B8B" w:rsidRPr="00EA6BA7">
        <w:rPr>
          <w:rFonts w:hint="eastAsia"/>
        </w:rPr>
        <w:t>必要</w:t>
      </w:r>
      <w:r w:rsidR="008C40D8" w:rsidRPr="00EA6BA7">
        <w:rPr>
          <w:rFonts w:hint="eastAsia"/>
        </w:rPr>
        <w:t>者，國內應自行建有長期之流行病學調查與研究，</w:t>
      </w:r>
      <w:r w:rsidR="00A91152" w:rsidRPr="00EA6BA7">
        <w:rPr>
          <w:rFonts w:hint="eastAsia"/>
        </w:rPr>
        <w:t>包括</w:t>
      </w:r>
      <w:r w:rsidR="008C40D8" w:rsidRPr="00EA6BA7">
        <w:rPr>
          <w:rFonts w:hint="eastAsia"/>
        </w:rPr>
        <w:t>我國土壤、環境、栽種面積、施藥方式與習慣…</w:t>
      </w:r>
      <w:proofErr w:type="gramStart"/>
      <w:r w:rsidR="008C40D8" w:rsidRPr="00EA6BA7">
        <w:rPr>
          <w:rFonts w:hint="eastAsia"/>
        </w:rPr>
        <w:t>…</w:t>
      </w:r>
      <w:proofErr w:type="gramEnd"/>
      <w:r w:rsidR="008C40D8" w:rsidRPr="00EA6BA7">
        <w:rPr>
          <w:rFonts w:hint="eastAsia"/>
        </w:rPr>
        <w:t>等</w:t>
      </w:r>
      <w:r w:rsidR="00A91152" w:rsidRPr="00EA6BA7">
        <w:rPr>
          <w:rFonts w:hint="eastAsia"/>
        </w:rPr>
        <w:t>面向，並</w:t>
      </w:r>
      <w:r w:rsidR="006B06CB" w:rsidRPr="00EA6BA7">
        <w:rPr>
          <w:rFonts w:hint="eastAsia"/>
        </w:rPr>
        <w:t>宜</w:t>
      </w:r>
      <w:r w:rsidR="008C40D8" w:rsidRPr="00EA6BA7">
        <w:rPr>
          <w:rFonts w:hint="eastAsia"/>
        </w:rPr>
        <w:t>掌握國內</w:t>
      </w:r>
      <w:proofErr w:type="gramStart"/>
      <w:r w:rsidR="008C40D8" w:rsidRPr="00EA6BA7">
        <w:rPr>
          <w:rFonts w:hint="eastAsia"/>
        </w:rPr>
        <w:t>施藥者基本資料</w:t>
      </w:r>
      <w:proofErr w:type="gramEnd"/>
      <w:r w:rsidR="008C40D8" w:rsidRPr="00EA6BA7">
        <w:rPr>
          <w:rFonts w:hint="eastAsia"/>
        </w:rPr>
        <w:t>及健康狀況，</w:t>
      </w:r>
      <w:r w:rsidR="009B5B8B" w:rsidRPr="00EA6BA7">
        <w:rPr>
          <w:rFonts w:hint="eastAsia"/>
        </w:rPr>
        <w:t>建立</w:t>
      </w:r>
      <w:r w:rsidR="008C40D8" w:rsidRPr="00EA6BA7">
        <w:rPr>
          <w:rFonts w:hint="eastAsia"/>
        </w:rPr>
        <w:t>國人</w:t>
      </w:r>
      <w:r w:rsidR="009B5B8B" w:rsidRPr="00EA6BA7">
        <w:rPr>
          <w:rFonts w:hint="eastAsia"/>
        </w:rPr>
        <w:t>對於</w:t>
      </w:r>
      <w:proofErr w:type="gramStart"/>
      <w:r w:rsidR="009B5B8B" w:rsidRPr="00EA6BA7">
        <w:rPr>
          <w:rFonts w:hint="eastAsia"/>
        </w:rPr>
        <w:t>農藥</w:t>
      </w:r>
      <w:r w:rsidR="006B06CB" w:rsidRPr="00EA6BA7">
        <w:rPr>
          <w:rFonts w:hint="eastAsia"/>
        </w:rPr>
        <w:t>毒理</w:t>
      </w:r>
      <w:r w:rsidR="008C40D8" w:rsidRPr="00EA6BA7">
        <w:rPr>
          <w:rFonts w:hint="eastAsia"/>
        </w:rPr>
        <w:t>評估</w:t>
      </w:r>
      <w:proofErr w:type="gramEnd"/>
      <w:r w:rsidR="008C40D8" w:rsidRPr="00EA6BA7">
        <w:rPr>
          <w:rFonts w:hint="eastAsia"/>
        </w:rPr>
        <w:t>資料庫</w:t>
      </w:r>
      <w:r w:rsidR="00504BB4" w:rsidRPr="00EA6BA7">
        <w:rPr>
          <w:rFonts w:hint="eastAsia"/>
        </w:rPr>
        <w:t>；</w:t>
      </w:r>
      <w:r w:rsidR="009B5B8B" w:rsidRPr="00EA6BA7">
        <w:rPr>
          <w:rFonts w:hAnsi="標楷體" w:hint="eastAsia"/>
        </w:rPr>
        <w:t>國衛院</w:t>
      </w:r>
      <w:r w:rsidR="00E666C4" w:rsidRPr="00EA6BA7">
        <w:rPr>
          <w:rFonts w:hAnsi="標楷體" w:hint="eastAsia"/>
        </w:rPr>
        <w:t>以增進國人健康福祉為</w:t>
      </w:r>
      <w:r w:rsidR="006B06CB" w:rsidRPr="00EA6BA7">
        <w:rPr>
          <w:rFonts w:hAnsi="標楷體" w:hint="eastAsia"/>
        </w:rPr>
        <w:t>設立</w:t>
      </w:r>
      <w:r w:rsidR="00E666C4" w:rsidRPr="00EA6BA7">
        <w:rPr>
          <w:rFonts w:hAnsi="標楷體" w:hint="eastAsia"/>
        </w:rPr>
        <w:t>宗旨，且</w:t>
      </w:r>
      <w:r w:rsidR="006B06CB" w:rsidRPr="00EA6BA7">
        <w:rPr>
          <w:rFonts w:hAnsi="標楷體" w:hint="eastAsia"/>
        </w:rPr>
        <w:t>置</w:t>
      </w:r>
      <w:r w:rsidR="00504BB4" w:rsidRPr="00EA6BA7">
        <w:rPr>
          <w:rFonts w:hAnsi="標楷體" w:hint="eastAsia"/>
        </w:rPr>
        <w:t>有12個研究單位(癌症研究所、</w:t>
      </w:r>
      <w:r w:rsidR="00E666C4" w:rsidRPr="00EA6BA7">
        <w:rPr>
          <w:rFonts w:hAnsi="標楷體" w:hint="eastAsia"/>
        </w:rPr>
        <w:t>細胞及系統醫學研究所、分子與基因醫學研究所…</w:t>
      </w:r>
      <w:proofErr w:type="gramStart"/>
      <w:r w:rsidR="00E666C4" w:rsidRPr="00EA6BA7">
        <w:rPr>
          <w:rFonts w:hAnsi="標楷體" w:hint="eastAsia"/>
        </w:rPr>
        <w:t>…</w:t>
      </w:r>
      <w:proofErr w:type="gramEnd"/>
      <w:r w:rsidR="00E666C4" w:rsidRPr="00EA6BA7">
        <w:rPr>
          <w:rFonts w:hAnsi="標楷體" w:hint="eastAsia"/>
        </w:rPr>
        <w:t>等</w:t>
      </w:r>
      <w:r w:rsidR="00504BB4" w:rsidRPr="00EA6BA7">
        <w:rPr>
          <w:rFonts w:hAnsi="標楷體" w:hint="eastAsia"/>
        </w:rPr>
        <w:t>)</w:t>
      </w:r>
      <w:r w:rsidR="006D229C" w:rsidRPr="00EA6BA7">
        <w:rPr>
          <w:rFonts w:hAnsi="標楷體" w:hint="eastAsia"/>
        </w:rPr>
        <w:t>，擁有先進設備與頂尖人才，</w:t>
      </w:r>
      <w:r w:rsidR="00F209EF" w:rsidRPr="00EA6BA7">
        <w:rPr>
          <w:rFonts w:hAnsi="標楷體" w:hint="eastAsia"/>
        </w:rPr>
        <w:t>並與國內各大醫</w:t>
      </w:r>
      <w:r w:rsidR="003B6B3E" w:rsidRPr="00EA6BA7">
        <w:rPr>
          <w:rFonts w:hAnsi="標楷體" w:hint="eastAsia"/>
        </w:rPr>
        <w:t>學</w:t>
      </w:r>
      <w:r w:rsidR="00F209EF" w:rsidRPr="00EA6BA7">
        <w:rPr>
          <w:rFonts w:hAnsi="標楷體" w:hint="eastAsia"/>
        </w:rPr>
        <w:t>中心及美國國家衛生總署、法國國家科學研究中心等建</w:t>
      </w:r>
      <w:r w:rsidR="009B5B8B" w:rsidRPr="00EA6BA7">
        <w:rPr>
          <w:rFonts w:hAnsi="標楷體" w:hint="eastAsia"/>
        </w:rPr>
        <w:t>有</w:t>
      </w:r>
      <w:r w:rsidR="00F209EF" w:rsidRPr="00EA6BA7">
        <w:rPr>
          <w:rFonts w:hAnsi="標楷體" w:hint="eastAsia"/>
        </w:rPr>
        <w:t>學術合作交流</w:t>
      </w:r>
      <w:r w:rsidR="009B5B8B" w:rsidRPr="00EA6BA7">
        <w:rPr>
          <w:rFonts w:hAnsi="標楷體" w:hint="eastAsia"/>
        </w:rPr>
        <w:t>機制</w:t>
      </w:r>
      <w:r w:rsidR="00F209EF" w:rsidRPr="00EA6BA7">
        <w:rPr>
          <w:rFonts w:hAnsi="標楷體" w:hint="eastAsia"/>
        </w:rPr>
        <w:t>，歷年來研發成果</w:t>
      </w:r>
      <w:r w:rsidR="009B5B8B" w:rsidRPr="00EA6BA7">
        <w:rPr>
          <w:rFonts w:hAnsi="標楷體" w:hint="eastAsia"/>
        </w:rPr>
        <w:t>更是</w:t>
      </w:r>
      <w:r w:rsidR="00F209EF" w:rsidRPr="00EA6BA7">
        <w:rPr>
          <w:rFonts w:hAnsi="標楷體" w:hint="eastAsia"/>
        </w:rPr>
        <w:t>獲獎</w:t>
      </w:r>
      <w:proofErr w:type="gramStart"/>
      <w:r w:rsidR="00F209EF" w:rsidRPr="00EA6BA7">
        <w:rPr>
          <w:rFonts w:hAnsi="標楷體" w:hint="eastAsia"/>
        </w:rPr>
        <w:t>無數，</w:t>
      </w:r>
      <w:proofErr w:type="gramEnd"/>
      <w:r w:rsidR="009B5B8B" w:rsidRPr="00EA6BA7">
        <w:rPr>
          <w:rFonts w:hAnsi="標楷體" w:hint="eastAsia"/>
        </w:rPr>
        <w:t>允為</w:t>
      </w:r>
      <w:r w:rsidR="00F209EF" w:rsidRPr="00EA6BA7">
        <w:rPr>
          <w:rFonts w:hAnsi="標楷體" w:hint="eastAsia"/>
        </w:rPr>
        <w:t>國內</w:t>
      </w:r>
      <w:r w:rsidR="00F209EF" w:rsidRPr="00EA6BA7">
        <w:rPr>
          <w:rFonts w:hAnsi="標楷體"/>
        </w:rPr>
        <w:t>首屈一指</w:t>
      </w:r>
      <w:r w:rsidR="00F209EF" w:rsidRPr="00EA6BA7">
        <w:rPr>
          <w:rFonts w:hAnsi="標楷體" w:hint="eastAsia"/>
        </w:rPr>
        <w:t>之醫學研究</w:t>
      </w:r>
      <w:r w:rsidR="00F76A51" w:rsidRPr="00EA6BA7">
        <w:rPr>
          <w:rFonts w:hAnsi="標楷體" w:hint="eastAsia"/>
        </w:rPr>
        <w:t>機構，且按</w:t>
      </w:r>
      <w:r w:rsidR="009B5B8B" w:rsidRPr="00EA6BA7">
        <w:rPr>
          <w:rFonts w:hAnsi="標楷體" w:hint="eastAsia"/>
        </w:rPr>
        <w:t>「</w:t>
      </w:r>
      <w:r w:rsidR="00F76A51" w:rsidRPr="00EA6BA7">
        <w:rPr>
          <w:rFonts w:hAnsi="標楷體"/>
        </w:rPr>
        <w:t>財團法人國家衛生研究院設置條例</w:t>
      </w:r>
      <w:r w:rsidR="009B5B8B" w:rsidRPr="00EA6BA7">
        <w:rPr>
          <w:rFonts w:hAnsi="標楷體" w:hint="eastAsia"/>
        </w:rPr>
        <w:t>」</w:t>
      </w:r>
      <w:r w:rsidR="00F76A51" w:rsidRPr="00EA6BA7">
        <w:rPr>
          <w:rFonts w:hAnsi="標楷體" w:hint="eastAsia"/>
        </w:rPr>
        <w:t>規定，其主管機關為衛福部，是不論研究量能、資源、技術與</w:t>
      </w:r>
      <w:r w:rsidR="009B5B8B" w:rsidRPr="00EA6BA7">
        <w:rPr>
          <w:rFonts w:hAnsi="標楷體" w:hint="eastAsia"/>
        </w:rPr>
        <w:t>職責</w:t>
      </w:r>
      <w:r w:rsidR="00F76A51" w:rsidRPr="00EA6BA7">
        <w:rPr>
          <w:rFonts w:hAnsi="標楷體" w:hint="eastAsia"/>
        </w:rPr>
        <w:t>，</w:t>
      </w:r>
      <w:r w:rsidR="009B5B8B" w:rsidRPr="00EA6BA7">
        <w:rPr>
          <w:rFonts w:hAnsi="標楷體" w:hint="eastAsia"/>
        </w:rPr>
        <w:t>該院</w:t>
      </w:r>
      <w:r w:rsidR="00F76A51" w:rsidRPr="00EA6BA7">
        <w:rPr>
          <w:rFonts w:hAnsi="標楷體" w:hint="eastAsia"/>
        </w:rPr>
        <w:t>當能協助辦理</w:t>
      </w:r>
      <w:proofErr w:type="gramStart"/>
      <w:r w:rsidR="00F76A51" w:rsidRPr="00EA6BA7">
        <w:rPr>
          <w:rFonts w:hAnsi="標楷體" w:hint="eastAsia"/>
        </w:rPr>
        <w:t>農藥毒理評估</w:t>
      </w:r>
      <w:proofErr w:type="gramEnd"/>
      <w:r w:rsidR="00F76A51" w:rsidRPr="00EA6BA7">
        <w:rPr>
          <w:rFonts w:hAnsi="標楷體" w:hint="eastAsia"/>
        </w:rPr>
        <w:t>作業；另</w:t>
      </w:r>
      <w:r w:rsidR="009B5B8B" w:rsidRPr="00EA6BA7">
        <w:rPr>
          <w:rFonts w:hAnsi="標楷體" w:hint="eastAsia"/>
        </w:rPr>
        <w:t>行政院</w:t>
      </w:r>
      <w:r w:rsidR="00F76A51" w:rsidRPr="00EA6BA7">
        <w:rPr>
          <w:rFonts w:hAnsi="標楷體" w:hint="eastAsia"/>
        </w:rPr>
        <w:t>環</w:t>
      </w:r>
      <w:r w:rsidR="009B5B8B" w:rsidRPr="00EA6BA7">
        <w:rPr>
          <w:rFonts w:hAnsi="標楷體" w:hint="eastAsia"/>
        </w:rPr>
        <w:t>境</w:t>
      </w:r>
      <w:r w:rsidR="00F76A51" w:rsidRPr="00EA6BA7">
        <w:rPr>
          <w:rFonts w:hAnsi="標楷體" w:hint="eastAsia"/>
        </w:rPr>
        <w:t>保</w:t>
      </w:r>
      <w:r w:rsidR="009B5B8B" w:rsidRPr="00EA6BA7">
        <w:rPr>
          <w:rFonts w:hAnsi="標楷體" w:hint="eastAsia"/>
        </w:rPr>
        <w:t>護</w:t>
      </w:r>
      <w:r w:rsidR="00F76A51" w:rsidRPr="00EA6BA7">
        <w:rPr>
          <w:rFonts w:hAnsi="標楷體" w:hint="eastAsia"/>
        </w:rPr>
        <w:t>署</w:t>
      </w:r>
      <w:r w:rsidR="009B5B8B" w:rsidRPr="00EA6BA7">
        <w:rPr>
          <w:rFonts w:hAnsi="標楷體" w:hint="eastAsia"/>
        </w:rPr>
        <w:t>(下稱環保署)為國內職司環境保護事務的最高主管機關，主管各環境保護相關法規外，尚負責</w:t>
      </w:r>
      <w:r w:rsidR="00291A0F" w:rsidRPr="00EA6BA7">
        <w:rPr>
          <w:rFonts w:hAnsi="標楷體" w:hint="eastAsia"/>
        </w:rPr>
        <w:t>相關稽查與研究業務，且依各污染別分設有水質保護處、廢棄物管理處、空氣品質保護及噪音管制處等，更於105年12月28日「行政院環境保</w:t>
      </w:r>
      <w:r w:rsidR="006B06CB" w:rsidRPr="00EA6BA7">
        <w:rPr>
          <w:rFonts w:hAnsi="標楷體" w:hint="eastAsia"/>
        </w:rPr>
        <w:t>護署</w:t>
      </w:r>
      <w:r w:rsidR="00291A0F" w:rsidRPr="00EA6BA7">
        <w:rPr>
          <w:rFonts w:hAnsi="標楷體" w:hint="eastAsia"/>
        </w:rPr>
        <w:t>毒物及化學物質局組織法」通過後</w:t>
      </w:r>
      <w:r w:rsidR="006B06CB" w:rsidRPr="00EA6BA7">
        <w:rPr>
          <w:rFonts w:hAnsi="標楷體" w:hint="eastAsia"/>
        </w:rPr>
        <w:t>，</w:t>
      </w:r>
      <w:r w:rsidR="00291A0F" w:rsidRPr="00EA6BA7">
        <w:rPr>
          <w:rFonts w:hAnsi="標楷體" w:hint="eastAsia"/>
        </w:rPr>
        <w:t>成立獨立專責毒物及化學物質管理與稽查之</w:t>
      </w:r>
      <w:r w:rsidR="006B06CB" w:rsidRPr="00EA6BA7">
        <w:rPr>
          <w:rFonts w:hAnsi="標楷體" w:hint="eastAsia"/>
        </w:rPr>
        <w:t>中央</w:t>
      </w:r>
      <w:r w:rsidR="00291A0F" w:rsidRPr="00EA6BA7">
        <w:rPr>
          <w:rFonts w:hAnsi="標楷體" w:hint="eastAsia"/>
        </w:rPr>
        <w:t>三級機關，因此環保署對於農藥於空氣、水、土壤等流布與影響等，自有</w:t>
      </w:r>
      <w:r w:rsidR="00D11DA4" w:rsidRPr="00EA6BA7">
        <w:rPr>
          <w:rFonts w:hAnsi="標楷體" w:hint="eastAsia"/>
        </w:rPr>
        <w:t>評估與</w:t>
      </w:r>
      <w:proofErr w:type="gramStart"/>
      <w:r w:rsidR="00D11DA4" w:rsidRPr="00EA6BA7">
        <w:rPr>
          <w:rFonts w:hAnsi="標楷體" w:hint="eastAsia"/>
        </w:rPr>
        <w:t>研</w:t>
      </w:r>
      <w:proofErr w:type="gramEnd"/>
      <w:r w:rsidR="00D11DA4" w:rsidRPr="00EA6BA7">
        <w:rPr>
          <w:rFonts w:hAnsi="標楷體" w:hint="eastAsia"/>
        </w:rPr>
        <w:t>析能力與權限。要言之，農藥之</w:t>
      </w:r>
      <w:proofErr w:type="gramStart"/>
      <w:r w:rsidR="00D11DA4" w:rsidRPr="00EA6BA7">
        <w:rPr>
          <w:rFonts w:hAnsi="標楷體" w:hint="eastAsia"/>
        </w:rPr>
        <w:t>安全毒理</w:t>
      </w:r>
      <w:proofErr w:type="gramEnd"/>
      <w:r w:rsidR="00D11DA4" w:rsidRPr="00EA6BA7">
        <w:rPr>
          <w:rFonts w:hAnsi="標楷體" w:hint="eastAsia"/>
        </w:rPr>
        <w:t>評估與環境流布影響等，有待行政院協調</w:t>
      </w:r>
      <w:proofErr w:type="gramStart"/>
      <w:r w:rsidR="00D11DA4" w:rsidRPr="00EA6BA7">
        <w:rPr>
          <w:rFonts w:hAnsi="標楷體" w:hint="eastAsia"/>
        </w:rPr>
        <w:t>衛福部與環保署</w:t>
      </w:r>
      <w:proofErr w:type="gramEnd"/>
      <w:r w:rsidR="00D11DA4" w:rsidRPr="00EA6BA7">
        <w:rPr>
          <w:rFonts w:hAnsi="標楷體" w:hint="eastAsia"/>
        </w:rPr>
        <w:t>協助辦理。</w:t>
      </w:r>
    </w:p>
    <w:p w:rsidR="006B06CB" w:rsidRPr="00EA6BA7" w:rsidRDefault="008C40D8" w:rsidP="006B06CB">
      <w:pPr>
        <w:pStyle w:val="3"/>
        <w:rPr>
          <w:rFonts w:hAnsi="標楷體"/>
        </w:rPr>
      </w:pPr>
      <w:r w:rsidRPr="00EA6BA7">
        <w:rPr>
          <w:rFonts w:hAnsi="標楷體" w:hint="eastAsia"/>
        </w:rPr>
        <w:t>據上，</w:t>
      </w:r>
      <w:r w:rsidR="006B06CB" w:rsidRPr="00EA6BA7">
        <w:rPr>
          <w:rFonts w:hint="eastAsia"/>
        </w:rPr>
        <w:t>目前</w:t>
      </w:r>
      <w:proofErr w:type="gramStart"/>
      <w:r w:rsidR="006B06CB" w:rsidRPr="00EA6BA7">
        <w:rPr>
          <w:rFonts w:hint="eastAsia"/>
        </w:rPr>
        <w:t>農委會藥毒所</w:t>
      </w:r>
      <w:proofErr w:type="gramEnd"/>
      <w:r w:rsidR="006B06CB" w:rsidRPr="00EA6BA7">
        <w:rPr>
          <w:rFonts w:hint="eastAsia"/>
        </w:rPr>
        <w:t>依規定負責農藥</w:t>
      </w:r>
      <w:proofErr w:type="gramStart"/>
      <w:r w:rsidR="006B06CB" w:rsidRPr="00EA6BA7">
        <w:rPr>
          <w:rFonts w:hint="eastAsia"/>
        </w:rPr>
        <w:t>之毒理安全</w:t>
      </w:r>
      <w:proofErr w:type="gramEnd"/>
      <w:r w:rsidR="006B06CB" w:rsidRPr="00EA6BA7">
        <w:rPr>
          <w:rFonts w:hint="eastAsia"/>
        </w:rPr>
        <w:t>評估業務，</w:t>
      </w:r>
      <w:r w:rsidR="003B6B3E" w:rsidRPr="00EA6BA7">
        <w:rPr>
          <w:rFonts w:hint="eastAsia"/>
        </w:rPr>
        <w:t>惟其評估方式係蒐集國際相關研究報告進行書面審查，</w:t>
      </w:r>
      <w:r w:rsidR="003262E2" w:rsidRPr="00EA6BA7">
        <w:rPr>
          <w:rFonts w:hint="eastAsia"/>
        </w:rPr>
        <w:t>其中</w:t>
      </w:r>
      <w:r w:rsidR="006B06CB" w:rsidRPr="00EA6BA7">
        <w:rPr>
          <w:rFonts w:hint="eastAsia"/>
        </w:rPr>
        <w:t>甚至包括申請</w:t>
      </w:r>
      <w:r w:rsidR="00D536D2" w:rsidRPr="00EA6BA7">
        <w:rPr>
          <w:rFonts w:hint="eastAsia"/>
        </w:rPr>
        <w:t>業者</w:t>
      </w:r>
      <w:r w:rsidR="006B06CB" w:rsidRPr="00EA6BA7">
        <w:rPr>
          <w:rFonts w:hint="eastAsia"/>
        </w:rPr>
        <w:t>提供之研究資料，評估</w:t>
      </w:r>
      <w:r w:rsidR="00D536D2" w:rsidRPr="00EA6BA7">
        <w:rPr>
          <w:rFonts w:hint="eastAsia"/>
        </w:rPr>
        <w:t>結果</w:t>
      </w:r>
      <w:r w:rsidR="006B06CB" w:rsidRPr="00EA6BA7">
        <w:rPr>
          <w:rFonts w:hint="eastAsia"/>
        </w:rPr>
        <w:t>恐有失偏頗，是該所未能實際進</w:t>
      </w:r>
      <w:r w:rsidR="006B06CB" w:rsidRPr="00EA6BA7">
        <w:rPr>
          <w:rFonts w:hint="eastAsia"/>
        </w:rPr>
        <w:lastRenderedPageBreak/>
        <w:t>行相關試驗以求證，其評估基準與方式，顯</w:t>
      </w:r>
      <w:proofErr w:type="gramStart"/>
      <w:r w:rsidR="006B06CB" w:rsidRPr="00EA6BA7">
        <w:rPr>
          <w:rFonts w:hint="eastAsia"/>
        </w:rPr>
        <w:t>未盡周妥</w:t>
      </w:r>
      <w:proofErr w:type="gramEnd"/>
      <w:r w:rsidR="006B06CB" w:rsidRPr="00EA6BA7">
        <w:rPr>
          <w:rFonts w:hint="eastAsia"/>
        </w:rPr>
        <w:t>；</w:t>
      </w:r>
      <w:proofErr w:type="gramStart"/>
      <w:r w:rsidR="006B06CB" w:rsidRPr="00EA6BA7">
        <w:rPr>
          <w:rFonts w:hint="eastAsia"/>
        </w:rPr>
        <w:t>復該所</w:t>
      </w:r>
      <w:proofErr w:type="gramEnd"/>
      <w:r w:rsidR="006B06CB" w:rsidRPr="00EA6BA7">
        <w:rPr>
          <w:rFonts w:hint="eastAsia"/>
        </w:rPr>
        <w:t>資源及量能有限，農藥安全評估範圍難以確實擴及</w:t>
      </w:r>
      <w:proofErr w:type="gramStart"/>
      <w:r w:rsidR="003B6B3E" w:rsidRPr="00EA6BA7">
        <w:rPr>
          <w:rFonts w:hint="eastAsia"/>
        </w:rPr>
        <w:t>攸</w:t>
      </w:r>
      <w:proofErr w:type="gramEnd"/>
      <w:r w:rsidR="003B6B3E" w:rsidRPr="00EA6BA7">
        <w:rPr>
          <w:rFonts w:hint="eastAsia"/>
        </w:rPr>
        <w:t>關人體健康之</w:t>
      </w:r>
      <w:r w:rsidR="006B06CB" w:rsidRPr="00EA6BA7">
        <w:rPr>
          <w:rFonts w:hint="eastAsia"/>
        </w:rPr>
        <w:t>流行病學調查與環境影響等面向，而國衛院擁有更為充足</w:t>
      </w:r>
      <w:proofErr w:type="gramStart"/>
      <w:r w:rsidR="006B06CB" w:rsidRPr="00EA6BA7">
        <w:rPr>
          <w:rFonts w:hint="eastAsia"/>
        </w:rPr>
        <w:t>之毒理研究</w:t>
      </w:r>
      <w:proofErr w:type="gramEnd"/>
      <w:r w:rsidR="006B06CB" w:rsidRPr="00EA6BA7">
        <w:rPr>
          <w:rFonts w:hint="eastAsia"/>
        </w:rPr>
        <w:t>量能與資源，且環保署為國內主責環境保護業務之最高主管機關，當能分別協助</w:t>
      </w:r>
      <w:r w:rsidR="003B6B3E" w:rsidRPr="00EA6BA7">
        <w:rPr>
          <w:rFonts w:hint="eastAsia"/>
        </w:rPr>
        <w:t>關於人體健康之</w:t>
      </w:r>
      <w:proofErr w:type="gramStart"/>
      <w:r w:rsidR="006B06CB" w:rsidRPr="00EA6BA7">
        <w:rPr>
          <w:rFonts w:hint="eastAsia"/>
        </w:rPr>
        <w:t>農藥毒理評估</w:t>
      </w:r>
      <w:proofErr w:type="gramEnd"/>
      <w:r w:rsidR="006B06CB" w:rsidRPr="00EA6BA7">
        <w:rPr>
          <w:rFonts w:hint="eastAsia"/>
        </w:rPr>
        <w:t>與環境流布影響等作業，並建立各</w:t>
      </w:r>
      <w:proofErr w:type="gramStart"/>
      <w:r w:rsidR="006B06CB" w:rsidRPr="00EA6BA7">
        <w:rPr>
          <w:rFonts w:hint="eastAsia"/>
        </w:rPr>
        <w:t>農藥毒裡與</w:t>
      </w:r>
      <w:proofErr w:type="gramEnd"/>
      <w:r w:rsidR="006B06CB" w:rsidRPr="00EA6BA7">
        <w:rPr>
          <w:rFonts w:hint="eastAsia"/>
        </w:rPr>
        <w:t>環境評估之本土資料庫，有待行政院</w:t>
      </w:r>
      <w:r w:rsidR="006B06CB" w:rsidRPr="00EA6BA7">
        <w:rPr>
          <w:rFonts w:hAnsi="標楷體" w:hint="eastAsia"/>
        </w:rPr>
        <w:t>協調衛福部、</w:t>
      </w:r>
      <w:r w:rsidR="00C904FF" w:rsidRPr="00EA6BA7">
        <w:rPr>
          <w:rFonts w:hAnsi="標楷體" w:hint="eastAsia"/>
        </w:rPr>
        <w:t>環保署</w:t>
      </w:r>
      <w:r w:rsidR="006B06CB" w:rsidRPr="00EA6BA7">
        <w:rPr>
          <w:rFonts w:hAnsi="標楷體" w:hint="eastAsia"/>
        </w:rPr>
        <w:t>及農委會共同</w:t>
      </w:r>
      <w:proofErr w:type="gramStart"/>
      <w:r w:rsidR="006B06CB" w:rsidRPr="00EA6BA7">
        <w:rPr>
          <w:rFonts w:hAnsi="標楷體" w:hint="eastAsia"/>
        </w:rPr>
        <w:t>研</w:t>
      </w:r>
      <w:proofErr w:type="gramEnd"/>
      <w:r w:rsidR="006B06CB" w:rsidRPr="00EA6BA7">
        <w:rPr>
          <w:rFonts w:hAnsi="標楷體" w:hint="eastAsia"/>
        </w:rPr>
        <w:t>議並妥為處理。</w:t>
      </w:r>
    </w:p>
    <w:p w:rsidR="008C40D8" w:rsidRPr="00EA6BA7" w:rsidRDefault="00C904FF" w:rsidP="008C40D8">
      <w:pPr>
        <w:pStyle w:val="2"/>
        <w:numPr>
          <w:ilvl w:val="1"/>
          <w:numId w:val="1"/>
        </w:numPr>
        <w:rPr>
          <w:rFonts w:hAnsi="標楷體"/>
          <w:b/>
        </w:rPr>
      </w:pPr>
      <w:r w:rsidRPr="00EA6BA7">
        <w:rPr>
          <w:rFonts w:hAnsi="標楷體" w:hint="eastAsia"/>
          <w:b/>
        </w:rPr>
        <w:t>農委會對於農民用藥教育宣導，</w:t>
      </w:r>
      <w:r w:rsidR="003B6B3E" w:rsidRPr="00EA6BA7">
        <w:rPr>
          <w:rFonts w:hAnsi="標楷體" w:hint="eastAsia"/>
          <w:b/>
        </w:rPr>
        <w:t>對象主要局</w:t>
      </w:r>
      <w:r w:rsidRPr="00EA6BA7">
        <w:rPr>
          <w:rFonts w:hAnsi="標楷體" w:hint="eastAsia"/>
          <w:b/>
        </w:rPr>
        <w:t>限於</w:t>
      </w:r>
      <w:r w:rsidR="008C40D8" w:rsidRPr="00EA6BA7">
        <w:rPr>
          <w:rFonts w:hAnsi="標楷體" w:hint="eastAsia"/>
          <w:b/>
        </w:rPr>
        <w:t>農作物農藥殘留抽檢結果為</w:t>
      </w:r>
      <w:proofErr w:type="gramStart"/>
      <w:r w:rsidR="008C40D8" w:rsidRPr="00EA6BA7">
        <w:rPr>
          <w:rFonts w:hAnsi="標楷體" w:hint="eastAsia"/>
          <w:b/>
        </w:rPr>
        <w:t>不</w:t>
      </w:r>
      <w:proofErr w:type="gramEnd"/>
      <w:r w:rsidR="008C40D8" w:rsidRPr="00EA6BA7">
        <w:rPr>
          <w:rFonts w:hAnsi="標楷體" w:hint="eastAsia"/>
          <w:b/>
        </w:rPr>
        <w:t>合格者，且教育內容主要為如何正確選用藥劑及合理使用量</w:t>
      </w:r>
      <w:r w:rsidR="006971C5" w:rsidRPr="00EA6BA7">
        <w:rPr>
          <w:rFonts w:hAnsi="標楷體" w:hint="eastAsia"/>
          <w:b/>
        </w:rPr>
        <w:t>、</w:t>
      </w:r>
      <w:r w:rsidR="008C40D8" w:rsidRPr="00EA6BA7">
        <w:rPr>
          <w:rFonts w:hAnsi="標楷體" w:hint="eastAsia"/>
          <w:b/>
        </w:rPr>
        <w:t>避免農藥殘留不符合規定，明顯輕忽</w:t>
      </w:r>
      <w:r w:rsidR="006971C5" w:rsidRPr="00EA6BA7">
        <w:rPr>
          <w:rFonts w:hAnsi="標楷體" w:hint="eastAsia"/>
          <w:b/>
        </w:rPr>
        <w:t>保護農民之</w:t>
      </w:r>
      <w:r w:rsidR="008C40D8" w:rsidRPr="00EA6BA7">
        <w:rPr>
          <w:rFonts w:hAnsi="標楷體" w:hint="eastAsia"/>
          <w:b/>
        </w:rPr>
        <w:t>「施藥安全</w:t>
      </w:r>
      <w:r w:rsidR="00957593" w:rsidRPr="00EA6BA7">
        <w:rPr>
          <w:rFonts w:hAnsi="標楷體" w:hint="eastAsia"/>
          <w:b/>
        </w:rPr>
        <w:t>防護</w:t>
      </w:r>
      <w:r w:rsidR="006971C5" w:rsidRPr="00EA6BA7">
        <w:rPr>
          <w:rFonts w:hAnsi="標楷體" w:hint="eastAsia"/>
          <w:b/>
        </w:rPr>
        <w:t>」</w:t>
      </w:r>
      <w:r w:rsidR="008C40D8" w:rsidRPr="00EA6BA7">
        <w:rPr>
          <w:rFonts w:hAnsi="標楷體" w:hint="eastAsia"/>
          <w:b/>
        </w:rPr>
        <w:t>教育；且該會雖有辦理</w:t>
      </w:r>
      <w:r w:rsidR="008C40D8" w:rsidRPr="00EA6BA7">
        <w:rPr>
          <w:rFonts w:hAnsi="標楷體" w:hint="eastAsia"/>
          <w:b/>
          <w:bCs w:val="0"/>
        </w:rPr>
        <w:t>施藥安全之防護宣導，惟主要宣導對象為「</w:t>
      </w:r>
      <w:proofErr w:type="gramStart"/>
      <w:r w:rsidR="008C40D8" w:rsidRPr="00EA6BA7">
        <w:rPr>
          <w:rFonts w:hAnsi="標楷體" w:hint="eastAsia"/>
          <w:b/>
          <w:bCs w:val="0"/>
        </w:rPr>
        <w:t>農藥代噴技術人員</w:t>
      </w:r>
      <w:proofErr w:type="gramEnd"/>
      <w:r w:rsidRPr="00EA6BA7">
        <w:rPr>
          <w:rFonts w:hAnsi="標楷體" w:hint="eastAsia"/>
          <w:b/>
          <w:bCs w:val="0"/>
        </w:rPr>
        <w:t>」，對於一般農民施藥安全並無例行且系統性教育，致其對於農藥毒性</w:t>
      </w:r>
      <w:r w:rsidR="008C40D8" w:rsidRPr="00EA6BA7">
        <w:rPr>
          <w:rFonts w:hAnsi="標楷體" w:hint="eastAsia"/>
          <w:b/>
          <w:bCs w:val="0"/>
        </w:rPr>
        <w:t>知能與自我防護意識薄弱，進而未能採取周全防護施藥措施，尤其</w:t>
      </w:r>
      <w:r w:rsidR="008C40D8" w:rsidRPr="00EA6BA7">
        <w:rPr>
          <w:rFonts w:hAnsi="標楷體" w:hint="eastAsia"/>
          <w:b/>
        </w:rPr>
        <w:t>「</w:t>
      </w:r>
      <w:proofErr w:type="gramStart"/>
      <w:r w:rsidR="008C40D8" w:rsidRPr="00EA6BA7">
        <w:rPr>
          <w:rFonts w:hAnsi="標楷體" w:hint="eastAsia"/>
          <w:b/>
        </w:rPr>
        <w:t>嘉磷塞</w:t>
      </w:r>
      <w:proofErr w:type="gramEnd"/>
      <w:r w:rsidR="008C40D8" w:rsidRPr="00EA6BA7">
        <w:rPr>
          <w:rFonts w:hAnsi="標楷體" w:hint="eastAsia"/>
          <w:b/>
        </w:rPr>
        <w:t>」過去被認為對人體不具毒性，但近年其安全性已受重新檢視，甚至西元2015年3月國際癌症研究中心已將「</w:t>
      </w:r>
      <w:proofErr w:type="gramStart"/>
      <w:r w:rsidR="008C40D8" w:rsidRPr="00EA6BA7">
        <w:rPr>
          <w:rFonts w:hAnsi="標楷體" w:hint="eastAsia"/>
          <w:b/>
        </w:rPr>
        <w:t>嘉磷塞</w:t>
      </w:r>
      <w:proofErr w:type="gramEnd"/>
      <w:r w:rsidR="008C40D8" w:rsidRPr="00EA6BA7">
        <w:rPr>
          <w:rFonts w:hAnsi="標楷體" w:hint="eastAsia"/>
          <w:b/>
        </w:rPr>
        <w:t>」的致癌風險提高到「很可能致癌（Group 2A</w:t>
      </w:r>
      <w:r w:rsidR="00957593" w:rsidRPr="00EA6BA7">
        <w:rPr>
          <w:rFonts w:hAnsi="標楷體" w:hint="eastAsia"/>
          <w:b/>
        </w:rPr>
        <w:t>）」，再</w:t>
      </w:r>
      <w:r w:rsidR="008C40D8" w:rsidRPr="00EA6BA7">
        <w:rPr>
          <w:rFonts w:hAnsi="標楷體" w:hint="eastAsia"/>
          <w:b/>
        </w:rPr>
        <w:t>且農委會對於該農藥之核准使用範圍，除特定農糧作物外，尚包括草皮、花卉及非耕作農地等，是該會應即刻重新檢討現行施藥安全防護教育，強化及周延相關執行措施，以保護農藥使用者之健康安全。</w:t>
      </w:r>
    </w:p>
    <w:p w:rsidR="008C40D8" w:rsidRPr="00EA6BA7" w:rsidRDefault="008C40D8" w:rsidP="008C40D8">
      <w:pPr>
        <w:pStyle w:val="3"/>
        <w:ind w:left="1276"/>
        <w:rPr>
          <w:rFonts w:hAnsi="標楷體"/>
        </w:rPr>
      </w:pPr>
      <w:r w:rsidRPr="00EA6BA7">
        <w:rPr>
          <w:rFonts w:hAnsi="標楷體" w:hint="eastAsia"/>
        </w:rPr>
        <w:t>按農藥管理法第33條規定：「(第1項)使用農藥者，應使用經中央主管機關核准之農藥。(第2項)農作物或其產物上市前之農藥</w:t>
      </w:r>
      <w:proofErr w:type="gramStart"/>
      <w:r w:rsidRPr="00EA6BA7">
        <w:rPr>
          <w:rFonts w:hAnsi="標楷體" w:hint="eastAsia"/>
        </w:rPr>
        <w:t>殘留量經檢驗</w:t>
      </w:r>
      <w:proofErr w:type="gramEnd"/>
      <w:r w:rsidRPr="00EA6BA7">
        <w:rPr>
          <w:rFonts w:hAnsi="標楷體" w:hint="eastAsia"/>
        </w:rPr>
        <w:t>結果，超過衛生主管機關所定農藥殘留容許量標準者，應經</w:t>
      </w:r>
      <w:proofErr w:type="gramStart"/>
      <w:r w:rsidRPr="00EA6BA7">
        <w:rPr>
          <w:rFonts w:hAnsi="標楷體" w:hint="eastAsia"/>
        </w:rPr>
        <w:t>複</w:t>
      </w:r>
      <w:proofErr w:type="gramEnd"/>
      <w:r w:rsidRPr="00EA6BA7">
        <w:rPr>
          <w:rFonts w:hAnsi="標楷體" w:hint="eastAsia"/>
        </w:rPr>
        <w:t>驗或重新抽樣檢驗合格，始得販售。(第3項)為維護人</w:t>
      </w:r>
      <w:r w:rsidRPr="00EA6BA7">
        <w:rPr>
          <w:rFonts w:hAnsi="標楷體" w:hint="eastAsia"/>
        </w:rPr>
        <w:lastRenderedPageBreak/>
        <w:t>體安全、環境保護及生態保育，中央主管機關應訂定農藥使用、農產品農藥殘留抽驗及其他應遵行事項之辦法」。次按「</w:t>
      </w:r>
      <w:hyperlink r:id="rId9" w:history="1">
        <w:r w:rsidRPr="00EA6BA7">
          <w:rPr>
            <w:rFonts w:hAnsi="標楷體" w:hint="eastAsia"/>
          </w:rPr>
          <w:t>農藥使用及農產品農藥殘留抽驗辦法</w:t>
        </w:r>
      </w:hyperlink>
      <w:r w:rsidRPr="00EA6BA7">
        <w:rPr>
          <w:rFonts w:hAnsi="標楷體" w:hint="eastAsia"/>
        </w:rPr>
        <w:t>」第7條第1項規定：「為確保使用農藥安全，主管機關得派員至田間、集貨、理貨、加工、分裝或貯存等場所無償抽取農作物或農產品，並得向生產者或貨主查詢農藥使用種類或方法，以及農產品來源或進出貨交易憑證資料，任何人不得規避、妨礙或拒絕。」同辦法第9條第2項規定：「主管機關接獲農藥殘留量檢驗報告後，應將檢驗結果以書面轉知生產者或貨主，檢驗結果超過衛生主管機關所定安全容許量時，主管機關</w:t>
      </w:r>
      <w:proofErr w:type="gramStart"/>
      <w:r w:rsidRPr="00EA6BA7">
        <w:rPr>
          <w:rFonts w:hAnsi="標楷體" w:hint="eastAsia"/>
        </w:rPr>
        <w:t>除應命生產者</w:t>
      </w:r>
      <w:proofErr w:type="gramEnd"/>
      <w:r w:rsidRPr="00EA6BA7">
        <w:rPr>
          <w:rFonts w:hAnsi="標楷體" w:hint="eastAsia"/>
        </w:rPr>
        <w:t>或貨主不得販售該農作物或農產品外，並得派員進行追蹤管理。」基此，農委會每年辦理「農產品農藥殘留監測與管制計畫」，針對抽驗結果不合格之農產品，經追查後辦理農民訪談、用藥安全講習及罰緩。</w:t>
      </w:r>
    </w:p>
    <w:p w:rsidR="008C40D8" w:rsidRPr="00EA6BA7" w:rsidRDefault="008C40D8" w:rsidP="008C40D8">
      <w:pPr>
        <w:pStyle w:val="3"/>
        <w:ind w:left="1276"/>
        <w:rPr>
          <w:rFonts w:hAnsi="標楷體"/>
        </w:rPr>
      </w:pPr>
      <w:r w:rsidRPr="00EA6BA7">
        <w:rPr>
          <w:rFonts w:hAnsi="標楷體" w:hint="eastAsia"/>
        </w:rPr>
        <w:t>經</w:t>
      </w:r>
      <w:proofErr w:type="gramStart"/>
      <w:r w:rsidRPr="00EA6BA7">
        <w:rPr>
          <w:rFonts w:hAnsi="標楷體" w:hint="eastAsia"/>
        </w:rPr>
        <w:t>查農糧署</w:t>
      </w:r>
      <w:proofErr w:type="gramEnd"/>
      <w:r w:rsidRPr="00EA6BA7">
        <w:rPr>
          <w:rFonts w:hAnsi="標楷體" w:hint="eastAsia"/>
        </w:rPr>
        <w:t>103及104年「農產品農藥殘留監測與管制計畫」經費編列分別為(新臺幣，下同)20,000千元及23,460千元，辦理田間、集貨場之蔬果農藥殘留抽驗分別計7,267件與7,234件，不合格案件則分別計296件及382件，詳如下表所示。</w:t>
      </w:r>
    </w:p>
    <w:p w:rsidR="008C40D8" w:rsidRPr="00EA6BA7" w:rsidRDefault="008C40D8" w:rsidP="00957593">
      <w:pPr>
        <w:pStyle w:val="3"/>
        <w:numPr>
          <w:ilvl w:val="0"/>
          <w:numId w:val="0"/>
        </w:numPr>
        <w:ind w:left="1276" w:firstLineChars="208" w:firstLine="708"/>
        <w:rPr>
          <w:rFonts w:hAnsi="標楷體"/>
        </w:rPr>
      </w:pPr>
      <w:r w:rsidRPr="00EA6BA7">
        <w:rPr>
          <w:rFonts w:hAnsi="標楷體" w:hint="eastAsia"/>
        </w:rPr>
        <w:t>另105年該計畫經費原編列23,140千元，下半年為落實「食安五環」改革政策，另追加10,220千元，除加強辦理田間及集貨場蔬果抽驗，並針對學校午餐蔬果食材抽驗，</w:t>
      </w:r>
      <w:r w:rsidR="00C904FF" w:rsidRPr="00EA6BA7">
        <w:rPr>
          <w:rFonts w:hAnsi="標楷體" w:hint="eastAsia"/>
        </w:rPr>
        <w:t>農委會強化學校午餐食材把關之管理作為，</w:t>
      </w:r>
      <w:proofErr w:type="gramStart"/>
      <w:r w:rsidR="00C904FF" w:rsidRPr="00EA6BA7">
        <w:rPr>
          <w:rFonts w:hAnsi="標楷體" w:hint="eastAsia"/>
        </w:rPr>
        <w:t>殊值肯認</w:t>
      </w:r>
      <w:proofErr w:type="gramEnd"/>
      <w:r w:rsidR="00C904FF" w:rsidRPr="00EA6BA7">
        <w:rPr>
          <w:rFonts w:hAnsi="標楷體" w:hint="eastAsia"/>
        </w:rPr>
        <w:t>；該年度</w:t>
      </w:r>
      <w:r w:rsidRPr="00EA6BA7">
        <w:rPr>
          <w:rFonts w:hAnsi="標楷體" w:hint="eastAsia"/>
        </w:rPr>
        <w:t>合計辦理10,337件，分析311種農藥殘留，其中9,848件檢驗合格，不合格計489件。106年起計畫預算則維持提升至五千餘萬元，106及107年經費編列為52,910千元及54,806千元，抽驗件數計13</w:t>
      </w:r>
      <w:r w:rsidRPr="00EA6BA7">
        <w:rPr>
          <w:rFonts w:hAnsi="標楷體"/>
        </w:rPr>
        <w:t>,</w:t>
      </w:r>
      <w:r w:rsidRPr="00EA6BA7">
        <w:rPr>
          <w:rFonts w:hAnsi="標楷體" w:hint="eastAsia"/>
        </w:rPr>
        <w:t>781件及</w:t>
      </w:r>
      <w:r w:rsidRPr="00EA6BA7">
        <w:rPr>
          <w:rFonts w:hAnsi="標楷體"/>
        </w:rPr>
        <w:t>14,991</w:t>
      </w:r>
      <w:r w:rsidRPr="00EA6BA7">
        <w:rPr>
          <w:rFonts w:hAnsi="標楷體" w:hint="eastAsia"/>
        </w:rPr>
        <w:t>件，不合格件數則分</w:t>
      </w:r>
      <w:r w:rsidRPr="00EA6BA7">
        <w:rPr>
          <w:rFonts w:hAnsi="標楷體" w:hint="eastAsia"/>
        </w:rPr>
        <w:lastRenderedPageBreak/>
        <w:t>別為558件及660件，詳如下表所示。</w:t>
      </w:r>
    </w:p>
    <w:p w:rsidR="008C40D8" w:rsidRPr="00EA6BA7" w:rsidRDefault="008C40D8" w:rsidP="00C904FF">
      <w:pPr>
        <w:pStyle w:val="a3"/>
        <w:ind w:left="851" w:hanging="851"/>
        <w:rPr>
          <w:rFonts w:hAnsi="標楷體"/>
        </w:rPr>
      </w:pPr>
      <w:r w:rsidRPr="00EA6BA7">
        <w:rPr>
          <w:rFonts w:hAnsi="標楷體" w:hint="eastAsia"/>
        </w:rPr>
        <w:t>103至107年</w:t>
      </w:r>
      <w:r w:rsidR="00C904FF" w:rsidRPr="00EA6BA7">
        <w:rPr>
          <w:rFonts w:hAnsi="標楷體" w:hint="eastAsia"/>
        </w:rPr>
        <w:t>農委會</w:t>
      </w:r>
      <w:proofErr w:type="gramStart"/>
      <w:r w:rsidRPr="00EA6BA7">
        <w:rPr>
          <w:rFonts w:hAnsi="標楷體" w:hint="eastAsia"/>
        </w:rPr>
        <w:t>農糧署</w:t>
      </w:r>
      <w:proofErr w:type="gramEnd"/>
      <w:r w:rsidRPr="00EA6BA7">
        <w:rPr>
          <w:rFonts w:hAnsi="標楷體" w:hint="eastAsia"/>
        </w:rPr>
        <w:t>「農產品農藥殘留監測與管制計畫」執行結果</w:t>
      </w:r>
    </w:p>
    <w:p w:rsidR="008C40D8" w:rsidRPr="00EA6BA7" w:rsidRDefault="008C40D8" w:rsidP="00957593">
      <w:pPr>
        <w:jc w:val="right"/>
        <w:rPr>
          <w:rFonts w:hAnsi="標楷體"/>
          <w:sz w:val="24"/>
          <w:szCs w:val="24"/>
        </w:rPr>
      </w:pPr>
      <w:r w:rsidRPr="00EA6BA7">
        <w:rPr>
          <w:rFonts w:hAnsi="標楷體" w:hint="eastAsia"/>
          <w:sz w:val="24"/>
          <w:szCs w:val="24"/>
        </w:rPr>
        <w:t>單位：件數；</w:t>
      </w:r>
      <w:r w:rsidRPr="00EA6BA7">
        <w:rPr>
          <w:rFonts w:hAnsi="標楷體"/>
          <w:spacing w:val="-8"/>
          <w:sz w:val="24"/>
          <w:szCs w:val="24"/>
        </w:rPr>
        <w:t>％</w:t>
      </w:r>
    </w:p>
    <w:tbl>
      <w:tblPr>
        <w:tblW w:w="9198" w:type="dxa"/>
        <w:tblInd w:w="-1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0"/>
        <w:gridCol w:w="1153"/>
        <w:gridCol w:w="895"/>
        <w:gridCol w:w="889"/>
        <w:gridCol w:w="954"/>
        <w:gridCol w:w="897"/>
        <w:gridCol w:w="945"/>
        <w:gridCol w:w="850"/>
        <w:gridCol w:w="1135"/>
        <w:gridCol w:w="850"/>
      </w:tblGrid>
      <w:tr w:rsidR="00EA6BA7" w:rsidRPr="00EA6BA7" w:rsidTr="00446F71">
        <w:trPr>
          <w:trHeight w:val="895"/>
        </w:trPr>
        <w:tc>
          <w:tcPr>
            <w:tcW w:w="630" w:type="dxa"/>
            <w:vMerge w:val="restart"/>
            <w:shd w:val="clear" w:color="auto" w:fill="auto"/>
            <w:tcMar>
              <w:top w:w="15" w:type="dxa"/>
              <w:left w:w="23" w:type="dxa"/>
              <w:bottom w:w="0" w:type="dxa"/>
              <w:right w:w="23" w:type="dxa"/>
            </w:tcMar>
            <w:vAlign w:val="center"/>
            <w:hideMark/>
          </w:tcPr>
          <w:p w:rsidR="008C40D8" w:rsidRPr="00EA6BA7" w:rsidRDefault="008C40D8" w:rsidP="00446F71">
            <w:pPr>
              <w:jc w:val="left"/>
              <w:rPr>
                <w:rFonts w:hAnsi="標楷體"/>
                <w:spacing w:val="-8"/>
                <w:sz w:val="28"/>
                <w:szCs w:val="28"/>
              </w:rPr>
            </w:pPr>
            <w:r w:rsidRPr="00EA6BA7">
              <w:rPr>
                <w:rFonts w:hAnsi="標楷體"/>
                <w:spacing w:val="-8"/>
                <w:sz w:val="28"/>
                <w:szCs w:val="28"/>
              </w:rPr>
              <w:t>年度</w:t>
            </w:r>
          </w:p>
        </w:tc>
        <w:tc>
          <w:tcPr>
            <w:tcW w:w="1153" w:type="dxa"/>
            <w:vMerge w:val="restart"/>
            <w:shd w:val="clear" w:color="auto" w:fill="auto"/>
            <w:tcMar>
              <w:top w:w="15" w:type="dxa"/>
              <w:left w:w="23" w:type="dxa"/>
              <w:bottom w:w="0" w:type="dxa"/>
              <w:right w:w="23" w:type="dxa"/>
            </w:tcMar>
            <w:vAlign w:val="center"/>
            <w:hideMark/>
          </w:tcPr>
          <w:p w:rsidR="008C40D8" w:rsidRPr="00EA6BA7" w:rsidRDefault="008C40D8" w:rsidP="00446F71">
            <w:pPr>
              <w:jc w:val="left"/>
              <w:rPr>
                <w:rFonts w:hAnsi="標楷體"/>
                <w:spacing w:val="-12"/>
                <w:sz w:val="28"/>
                <w:szCs w:val="28"/>
              </w:rPr>
            </w:pPr>
            <w:r w:rsidRPr="00EA6BA7">
              <w:rPr>
                <w:rFonts w:hAnsi="標楷體"/>
                <w:spacing w:val="-12"/>
                <w:sz w:val="28"/>
                <w:szCs w:val="28"/>
              </w:rPr>
              <w:t>抽驗件數</w:t>
            </w:r>
          </w:p>
        </w:tc>
        <w:tc>
          <w:tcPr>
            <w:tcW w:w="1784" w:type="dxa"/>
            <w:gridSpan w:val="2"/>
            <w:shd w:val="clear" w:color="auto" w:fill="auto"/>
            <w:tcMar>
              <w:top w:w="15" w:type="dxa"/>
              <w:left w:w="23" w:type="dxa"/>
              <w:bottom w:w="0" w:type="dxa"/>
              <w:right w:w="23" w:type="dxa"/>
            </w:tcMar>
            <w:vAlign w:val="center"/>
            <w:hideMark/>
          </w:tcPr>
          <w:p w:rsidR="008C40D8" w:rsidRPr="00EA6BA7" w:rsidRDefault="008C40D8" w:rsidP="00446F71">
            <w:pPr>
              <w:jc w:val="left"/>
              <w:rPr>
                <w:rFonts w:hAnsi="標楷體"/>
                <w:spacing w:val="-8"/>
                <w:sz w:val="28"/>
                <w:szCs w:val="28"/>
              </w:rPr>
            </w:pPr>
            <w:r w:rsidRPr="00EA6BA7">
              <w:rPr>
                <w:rFonts w:hAnsi="標楷體"/>
                <w:spacing w:val="-8"/>
                <w:sz w:val="28"/>
                <w:szCs w:val="28"/>
              </w:rPr>
              <w:t>不符規定案件</w:t>
            </w:r>
          </w:p>
        </w:tc>
        <w:tc>
          <w:tcPr>
            <w:tcW w:w="1851" w:type="dxa"/>
            <w:gridSpan w:val="2"/>
            <w:shd w:val="clear" w:color="auto" w:fill="auto"/>
            <w:tcMar>
              <w:top w:w="15" w:type="dxa"/>
              <w:left w:w="23" w:type="dxa"/>
              <w:bottom w:w="0" w:type="dxa"/>
              <w:right w:w="23" w:type="dxa"/>
            </w:tcMar>
            <w:vAlign w:val="center"/>
            <w:hideMark/>
          </w:tcPr>
          <w:p w:rsidR="008C40D8" w:rsidRPr="00EA6BA7" w:rsidRDefault="008C40D8" w:rsidP="00446F71">
            <w:pPr>
              <w:jc w:val="left"/>
              <w:rPr>
                <w:rFonts w:hAnsi="標楷體"/>
                <w:spacing w:val="-8"/>
                <w:sz w:val="28"/>
                <w:szCs w:val="28"/>
              </w:rPr>
            </w:pPr>
            <w:r w:rsidRPr="00EA6BA7">
              <w:rPr>
                <w:rFonts w:hAnsi="標楷體"/>
                <w:spacing w:val="-8"/>
                <w:sz w:val="28"/>
                <w:szCs w:val="28"/>
              </w:rPr>
              <w:t>農藥殘留超量</w:t>
            </w:r>
          </w:p>
        </w:tc>
        <w:tc>
          <w:tcPr>
            <w:tcW w:w="1795" w:type="dxa"/>
            <w:gridSpan w:val="2"/>
            <w:shd w:val="clear" w:color="auto" w:fill="auto"/>
            <w:tcMar>
              <w:top w:w="15" w:type="dxa"/>
              <w:left w:w="23" w:type="dxa"/>
              <w:bottom w:w="0" w:type="dxa"/>
              <w:right w:w="23" w:type="dxa"/>
            </w:tcMar>
            <w:vAlign w:val="center"/>
            <w:hideMark/>
          </w:tcPr>
          <w:p w:rsidR="008C40D8" w:rsidRPr="00EA6BA7" w:rsidRDefault="008C40D8" w:rsidP="00446F71">
            <w:pPr>
              <w:jc w:val="left"/>
              <w:rPr>
                <w:rFonts w:hAnsi="標楷體"/>
                <w:spacing w:val="-8"/>
                <w:sz w:val="28"/>
                <w:szCs w:val="28"/>
              </w:rPr>
            </w:pPr>
            <w:r w:rsidRPr="00EA6BA7">
              <w:rPr>
                <w:rFonts w:hAnsi="標楷體"/>
                <w:spacing w:val="-8"/>
                <w:sz w:val="28"/>
                <w:szCs w:val="28"/>
              </w:rPr>
              <w:t>超出使用範圍</w:t>
            </w:r>
          </w:p>
        </w:tc>
        <w:tc>
          <w:tcPr>
            <w:tcW w:w="1985" w:type="dxa"/>
            <w:gridSpan w:val="2"/>
            <w:shd w:val="clear" w:color="auto" w:fill="auto"/>
            <w:tcMar>
              <w:top w:w="15" w:type="dxa"/>
              <w:left w:w="23" w:type="dxa"/>
              <w:bottom w:w="0" w:type="dxa"/>
              <w:right w:w="23" w:type="dxa"/>
            </w:tcMar>
            <w:vAlign w:val="center"/>
            <w:hideMark/>
          </w:tcPr>
          <w:p w:rsidR="008C40D8" w:rsidRPr="00EA6BA7" w:rsidRDefault="008C40D8" w:rsidP="00446F71">
            <w:pPr>
              <w:jc w:val="left"/>
              <w:rPr>
                <w:rFonts w:hAnsi="標楷體"/>
                <w:spacing w:val="-12"/>
                <w:sz w:val="28"/>
                <w:szCs w:val="28"/>
              </w:rPr>
            </w:pPr>
            <w:r w:rsidRPr="00EA6BA7">
              <w:rPr>
                <w:rFonts w:hAnsi="標楷體"/>
                <w:spacing w:val="-12"/>
                <w:sz w:val="28"/>
                <w:szCs w:val="28"/>
              </w:rPr>
              <w:t>農藥殘留</w:t>
            </w:r>
            <w:proofErr w:type="gramStart"/>
            <w:r w:rsidRPr="00EA6BA7">
              <w:rPr>
                <w:rFonts w:hAnsi="標楷體"/>
                <w:spacing w:val="-12"/>
                <w:sz w:val="28"/>
                <w:szCs w:val="28"/>
              </w:rPr>
              <w:t>超量且超出</w:t>
            </w:r>
            <w:proofErr w:type="gramEnd"/>
            <w:r w:rsidRPr="00EA6BA7">
              <w:rPr>
                <w:rFonts w:hAnsi="標楷體"/>
                <w:spacing w:val="-12"/>
                <w:sz w:val="28"/>
                <w:szCs w:val="28"/>
              </w:rPr>
              <w:t>使用範圍</w:t>
            </w:r>
          </w:p>
        </w:tc>
      </w:tr>
      <w:tr w:rsidR="00EA6BA7" w:rsidRPr="00EA6BA7" w:rsidTr="00446F71">
        <w:trPr>
          <w:trHeight w:val="312"/>
        </w:trPr>
        <w:tc>
          <w:tcPr>
            <w:tcW w:w="630" w:type="dxa"/>
            <w:vMerge/>
            <w:shd w:val="clear" w:color="auto" w:fill="auto"/>
            <w:vAlign w:val="center"/>
            <w:hideMark/>
          </w:tcPr>
          <w:p w:rsidR="008C40D8" w:rsidRPr="00EA6BA7" w:rsidRDefault="008C40D8" w:rsidP="00446F71">
            <w:pPr>
              <w:jc w:val="left"/>
              <w:rPr>
                <w:rFonts w:hAnsi="標楷體"/>
                <w:spacing w:val="-8"/>
                <w:sz w:val="28"/>
                <w:szCs w:val="28"/>
              </w:rPr>
            </w:pPr>
          </w:p>
        </w:tc>
        <w:tc>
          <w:tcPr>
            <w:tcW w:w="1153" w:type="dxa"/>
            <w:vMerge/>
            <w:shd w:val="clear" w:color="auto" w:fill="auto"/>
            <w:vAlign w:val="center"/>
            <w:hideMark/>
          </w:tcPr>
          <w:p w:rsidR="008C40D8" w:rsidRPr="00EA6BA7" w:rsidRDefault="008C40D8" w:rsidP="00446F71">
            <w:pPr>
              <w:jc w:val="left"/>
              <w:rPr>
                <w:rFonts w:hAnsi="標楷體"/>
                <w:spacing w:val="-8"/>
                <w:sz w:val="28"/>
                <w:szCs w:val="28"/>
              </w:rPr>
            </w:pPr>
          </w:p>
        </w:tc>
        <w:tc>
          <w:tcPr>
            <w:tcW w:w="895" w:type="dxa"/>
            <w:shd w:val="clear" w:color="auto" w:fill="auto"/>
            <w:vAlign w:val="center"/>
            <w:hideMark/>
          </w:tcPr>
          <w:p w:rsidR="008C40D8" w:rsidRPr="00EA6BA7" w:rsidRDefault="008C40D8" w:rsidP="00446F71">
            <w:pPr>
              <w:jc w:val="center"/>
              <w:rPr>
                <w:rFonts w:hAnsi="標楷體"/>
                <w:spacing w:val="-8"/>
                <w:sz w:val="28"/>
                <w:szCs w:val="28"/>
              </w:rPr>
            </w:pPr>
            <w:r w:rsidRPr="00EA6BA7">
              <w:rPr>
                <w:rFonts w:hAnsi="標楷體" w:hint="eastAsia"/>
                <w:spacing w:val="-8"/>
                <w:sz w:val="28"/>
                <w:szCs w:val="28"/>
              </w:rPr>
              <w:t>件數</w:t>
            </w:r>
          </w:p>
        </w:tc>
        <w:tc>
          <w:tcPr>
            <w:tcW w:w="889" w:type="dxa"/>
            <w:shd w:val="clear" w:color="auto" w:fill="auto"/>
            <w:vAlign w:val="center"/>
          </w:tcPr>
          <w:p w:rsidR="008C40D8" w:rsidRPr="00EA6BA7" w:rsidRDefault="008C40D8" w:rsidP="00446F71">
            <w:pPr>
              <w:jc w:val="center"/>
              <w:rPr>
                <w:rFonts w:hAnsi="標楷體"/>
                <w:spacing w:val="-8"/>
                <w:sz w:val="28"/>
                <w:szCs w:val="28"/>
              </w:rPr>
            </w:pPr>
            <w:r w:rsidRPr="00EA6BA7">
              <w:rPr>
                <w:rFonts w:hAnsi="標楷體"/>
                <w:spacing w:val="-8"/>
                <w:sz w:val="28"/>
                <w:szCs w:val="28"/>
              </w:rPr>
              <w:t>％</w:t>
            </w:r>
          </w:p>
        </w:tc>
        <w:tc>
          <w:tcPr>
            <w:tcW w:w="954" w:type="dxa"/>
            <w:shd w:val="clear" w:color="auto" w:fill="auto"/>
            <w:tcMar>
              <w:top w:w="15" w:type="dxa"/>
              <w:left w:w="23" w:type="dxa"/>
              <w:bottom w:w="0" w:type="dxa"/>
              <w:right w:w="23" w:type="dxa"/>
            </w:tcMar>
            <w:vAlign w:val="center"/>
            <w:hideMark/>
          </w:tcPr>
          <w:p w:rsidR="008C40D8" w:rsidRPr="00EA6BA7" w:rsidRDefault="008C40D8" w:rsidP="00446F71">
            <w:pPr>
              <w:jc w:val="center"/>
              <w:rPr>
                <w:rFonts w:hAnsi="標楷體"/>
                <w:spacing w:val="-8"/>
                <w:sz w:val="28"/>
                <w:szCs w:val="28"/>
              </w:rPr>
            </w:pPr>
            <w:r w:rsidRPr="00EA6BA7">
              <w:rPr>
                <w:rFonts w:hAnsi="標楷體"/>
                <w:spacing w:val="-8"/>
                <w:sz w:val="28"/>
                <w:szCs w:val="28"/>
              </w:rPr>
              <w:t>件數</w:t>
            </w:r>
          </w:p>
        </w:tc>
        <w:tc>
          <w:tcPr>
            <w:tcW w:w="897" w:type="dxa"/>
            <w:shd w:val="clear" w:color="auto" w:fill="auto"/>
            <w:tcMar>
              <w:top w:w="15" w:type="dxa"/>
              <w:left w:w="23" w:type="dxa"/>
              <w:bottom w:w="0" w:type="dxa"/>
              <w:right w:w="23" w:type="dxa"/>
            </w:tcMar>
            <w:vAlign w:val="center"/>
            <w:hideMark/>
          </w:tcPr>
          <w:p w:rsidR="008C40D8" w:rsidRPr="00EA6BA7" w:rsidRDefault="008C40D8" w:rsidP="00446F71">
            <w:pPr>
              <w:jc w:val="center"/>
              <w:rPr>
                <w:rFonts w:hAnsi="標楷體"/>
                <w:spacing w:val="-8"/>
                <w:sz w:val="28"/>
                <w:szCs w:val="28"/>
              </w:rPr>
            </w:pPr>
            <w:r w:rsidRPr="00EA6BA7">
              <w:rPr>
                <w:rFonts w:hAnsi="標楷體"/>
                <w:spacing w:val="-8"/>
                <w:sz w:val="28"/>
                <w:szCs w:val="28"/>
              </w:rPr>
              <w:t>％</w:t>
            </w:r>
          </w:p>
        </w:tc>
        <w:tc>
          <w:tcPr>
            <w:tcW w:w="945" w:type="dxa"/>
            <w:shd w:val="clear" w:color="auto" w:fill="auto"/>
            <w:tcMar>
              <w:top w:w="15" w:type="dxa"/>
              <w:left w:w="23" w:type="dxa"/>
              <w:bottom w:w="0" w:type="dxa"/>
              <w:right w:w="23" w:type="dxa"/>
            </w:tcMar>
            <w:vAlign w:val="center"/>
            <w:hideMark/>
          </w:tcPr>
          <w:p w:rsidR="008C40D8" w:rsidRPr="00EA6BA7" w:rsidRDefault="008C40D8" w:rsidP="00446F71">
            <w:pPr>
              <w:jc w:val="center"/>
              <w:rPr>
                <w:rFonts w:hAnsi="標楷體"/>
                <w:spacing w:val="-8"/>
                <w:sz w:val="28"/>
                <w:szCs w:val="28"/>
              </w:rPr>
            </w:pPr>
            <w:r w:rsidRPr="00EA6BA7">
              <w:rPr>
                <w:rFonts w:hAnsi="標楷體"/>
                <w:spacing w:val="-8"/>
                <w:sz w:val="28"/>
                <w:szCs w:val="28"/>
              </w:rPr>
              <w:t>件數</w:t>
            </w:r>
          </w:p>
        </w:tc>
        <w:tc>
          <w:tcPr>
            <w:tcW w:w="850" w:type="dxa"/>
            <w:shd w:val="clear" w:color="auto" w:fill="auto"/>
            <w:tcMar>
              <w:top w:w="15" w:type="dxa"/>
              <w:left w:w="23" w:type="dxa"/>
              <w:bottom w:w="0" w:type="dxa"/>
              <w:right w:w="23" w:type="dxa"/>
            </w:tcMar>
            <w:vAlign w:val="center"/>
            <w:hideMark/>
          </w:tcPr>
          <w:p w:rsidR="008C40D8" w:rsidRPr="00EA6BA7" w:rsidRDefault="008C40D8" w:rsidP="00446F71">
            <w:pPr>
              <w:jc w:val="center"/>
              <w:rPr>
                <w:rFonts w:hAnsi="標楷體"/>
                <w:spacing w:val="-8"/>
                <w:sz w:val="28"/>
                <w:szCs w:val="28"/>
              </w:rPr>
            </w:pPr>
            <w:r w:rsidRPr="00EA6BA7">
              <w:rPr>
                <w:rFonts w:hAnsi="標楷體"/>
                <w:spacing w:val="-8"/>
                <w:sz w:val="28"/>
                <w:szCs w:val="28"/>
              </w:rPr>
              <w:t>％</w:t>
            </w:r>
          </w:p>
        </w:tc>
        <w:tc>
          <w:tcPr>
            <w:tcW w:w="1135" w:type="dxa"/>
            <w:shd w:val="clear" w:color="auto" w:fill="auto"/>
            <w:tcMar>
              <w:top w:w="15" w:type="dxa"/>
              <w:left w:w="23" w:type="dxa"/>
              <w:bottom w:w="0" w:type="dxa"/>
              <w:right w:w="23" w:type="dxa"/>
            </w:tcMar>
            <w:vAlign w:val="center"/>
            <w:hideMark/>
          </w:tcPr>
          <w:p w:rsidR="008C40D8" w:rsidRPr="00EA6BA7" w:rsidRDefault="008C40D8" w:rsidP="00446F71">
            <w:pPr>
              <w:jc w:val="center"/>
              <w:rPr>
                <w:rFonts w:hAnsi="標楷體"/>
                <w:spacing w:val="-8"/>
                <w:sz w:val="28"/>
                <w:szCs w:val="28"/>
              </w:rPr>
            </w:pPr>
            <w:r w:rsidRPr="00EA6BA7">
              <w:rPr>
                <w:rFonts w:hAnsi="標楷體"/>
                <w:spacing w:val="-8"/>
                <w:sz w:val="28"/>
                <w:szCs w:val="28"/>
              </w:rPr>
              <w:t>件數</w:t>
            </w:r>
          </w:p>
        </w:tc>
        <w:tc>
          <w:tcPr>
            <w:tcW w:w="850" w:type="dxa"/>
            <w:shd w:val="clear" w:color="auto" w:fill="auto"/>
            <w:tcMar>
              <w:top w:w="15" w:type="dxa"/>
              <w:left w:w="23" w:type="dxa"/>
              <w:bottom w:w="0" w:type="dxa"/>
              <w:right w:w="23" w:type="dxa"/>
            </w:tcMar>
            <w:vAlign w:val="center"/>
            <w:hideMark/>
          </w:tcPr>
          <w:p w:rsidR="008C40D8" w:rsidRPr="00EA6BA7" w:rsidRDefault="008C40D8" w:rsidP="00446F71">
            <w:pPr>
              <w:jc w:val="center"/>
              <w:rPr>
                <w:rFonts w:hAnsi="標楷體"/>
                <w:spacing w:val="-8"/>
                <w:sz w:val="28"/>
                <w:szCs w:val="28"/>
              </w:rPr>
            </w:pPr>
            <w:r w:rsidRPr="00EA6BA7">
              <w:rPr>
                <w:rFonts w:hAnsi="標楷體"/>
                <w:spacing w:val="-8"/>
                <w:sz w:val="28"/>
                <w:szCs w:val="28"/>
              </w:rPr>
              <w:t>％</w:t>
            </w:r>
          </w:p>
        </w:tc>
      </w:tr>
      <w:tr w:rsidR="00EA6BA7" w:rsidRPr="00EA6BA7" w:rsidTr="00C904FF">
        <w:trPr>
          <w:trHeight w:val="456"/>
        </w:trPr>
        <w:tc>
          <w:tcPr>
            <w:tcW w:w="630" w:type="dxa"/>
            <w:shd w:val="clear" w:color="auto" w:fill="auto"/>
            <w:tcMar>
              <w:top w:w="15" w:type="dxa"/>
              <w:left w:w="23" w:type="dxa"/>
              <w:bottom w:w="0" w:type="dxa"/>
              <w:right w:w="23" w:type="dxa"/>
            </w:tcMar>
            <w:vAlign w:val="center"/>
            <w:hideMark/>
          </w:tcPr>
          <w:p w:rsidR="008C40D8" w:rsidRPr="00EA6BA7" w:rsidRDefault="008C40D8" w:rsidP="00446F71">
            <w:pPr>
              <w:jc w:val="center"/>
              <w:rPr>
                <w:rFonts w:hAnsi="標楷體"/>
                <w:sz w:val="28"/>
                <w:szCs w:val="28"/>
              </w:rPr>
            </w:pPr>
            <w:r w:rsidRPr="00EA6BA7">
              <w:rPr>
                <w:rFonts w:hAnsi="標楷體"/>
                <w:sz w:val="28"/>
                <w:szCs w:val="28"/>
              </w:rPr>
              <w:t>103</w:t>
            </w:r>
          </w:p>
        </w:tc>
        <w:tc>
          <w:tcPr>
            <w:tcW w:w="1153"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7,267</w:t>
            </w:r>
          </w:p>
        </w:tc>
        <w:tc>
          <w:tcPr>
            <w:tcW w:w="89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296</w:t>
            </w:r>
          </w:p>
        </w:tc>
        <w:tc>
          <w:tcPr>
            <w:tcW w:w="889" w:type="dxa"/>
            <w:shd w:val="clear" w:color="auto" w:fill="auto"/>
            <w:vAlign w:val="center"/>
          </w:tcPr>
          <w:p w:rsidR="008C40D8" w:rsidRPr="00EA6BA7" w:rsidRDefault="008C40D8" w:rsidP="00446F71">
            <w:pPr>
              <w:jc w:val="right"/>
              <w:rPr>
                <w:rFonts w:hAnsi="標楷體"/>
                <w:sz w:val="28"/>
                <w:szCs w:val="28"/>
              </w:rPr>
            </w:pPr>
            <w:r w:rsidRPr="00EA6BA7">
              <w:rPr>
                <w:rFonts w:hAnsi="標楷體"/>
                <w:sz w:val="28"/>
                <w:szCs w:val="28"/>
              </w:rPr>
              <w:t>4.07</w:t>
            </w:r>
          </w:p>
        </w:tc>
        <w:tc>
          <w:tcPr>
            <w:tcW w:w="954"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40</w:t>
            </w:r>
          </w:p>
        </w:tc>
        <w:tc>
          <w:tcPr>
            <w:tcW w:w="897"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13.5</w:t>
            </w:r>
          </w:p>
        </w:tc>
        <w:tc>
          <w:tcPr>
            <w:tcW w:w="94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244</w:t>
            </w:r>
          </w:p>
        </w:tc>
        <w:tc>
          <w:tcPr>
            <w:tcW w:w="850"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82.4</w:t>
            </w:r>
          </w:p>
        </w:tc>
        <w:tc>
          <w:tcPr>
            <w:tcW w:w="113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12</w:t>
            </w:r>
          </w:p>
        </w:tc>
        <w:tc>
          <w:tcPr>
            <w:tcW w:w="850"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4.1</w:t>
            </w:r>
          </w:p>
        </w:tc>
      </w:tr>
      <w:tr w:rsidR="00EA6BA7" w:rsidRPr="00EA6BA7" w:rsidTr="00C904FF">
        <w:trPr>
          <w:trHeight w:val="534"/>
        </w:trPr>
        <w:tc>
          <w:tcPr>
            <w:tcW w:w="630" w:type="dxa"/>
            <w:shd w:val="clear" w:color="auto" w:fill="auto"/>
            <w:tcMar>
              <w:top w:w="15" w:type="dxa"/>
              <w:left w:w="23" w:type="dxa"/>
              <w:bottom w:w="0" w:type="dxa"/>
              <w:right w:w="23" w:type="dxa"/>
            </w:tcMar>
            <w:vAlign w:val="center"/>
            <w:hideMark/>
          </w:tcPr>
          <w:p w:rsidR="008C40D8" w:rsidRPr="00EA6BA7" w:rsidRDefault="008C40D8" w:rsidP="00446F71">
            <w:pPr>
              <w:jc w:val="center"/>
              <w:rPr>
                <w:rFonts w:hAnsi="標楷體"/>
                <w:sz w:val="28"/>
                <w:szCs w:val="28"/>
              </w:rPr>
            </w:pPr>
            <w:r w:rsidRPr="00EA6BA7">
              <w:rPr>
                <w:rFonts w:hAnsi="標楷體"/>
                <w:sz w:val="28"/>
                <w:szCs w:val="28"/>
              </w:rPr>
              <w:t>104</w:t>
            </w:r>
          </w:p>
        </w:tc>
        <w:tc>
          <w:tcPr>
            <w:tcW w:w="1153"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7,234</w:t>
            </w:r>
          </w:p>
        </w:tc>
        <w:tc>
          <w:tcPr>
            <w:tcW w:w="89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382</w:t>
            </w:r>
          </w:p>
        </w:tc>
        <w:tc>
          <w:tcPr>
            <w:tcW w:w="889" w:type="dxa"/>
            <w:shd w:val="clear" w:color="auto" w:fill="auto"/>
            <w:vAlign w:val="center"/>
          </w:tcPr>
          <w:p w:rsidR="008C40D8" w:rsidRPr="00EA6BA7" w:rsidRDefault="008C40D8" w:rsidP="00446F71">
            <w:pPr>
              <w:jc w:val="right"/>
              <w:rPr>
                <w:rFonts w:hAnsi="標楷體"/>
                <w:sz w:val="28"/>
                <w:szCs w:val="28"/>
              </w:rPr>
            </w:pPr>
            <w:r w:rsidRPr="00EA6BA7">
              <w:rPr>
                <w:rFonts w:hAnsi="標楷體"/>
                <w:sz w:val="28"/>
                <w:szCs w:val="28"/>
              </w:rPr>
              <w:t>5.28</w:t>
            </w:r>
          </w:p>
        </w:tc>
        <w:tc>
          <w:tcPr>
            <w:tcW w:w="954"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33</w:t>
            </w:r>
          </w:p>
        </w:tc>
        <w:tc>
          <w:tcPr>
            <w:tcW w:w="897"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8.6</w:t>
            </w:r>
          </w:p>
        </w:tc>
        <w:tc>
          <w:tcPr>
            <w:tcW w:w="94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317</w:t>
            </w:r>
          </w:p>
        </w:tc>
        <w:tc>
          <w:tcPr>
            <w:tcW w:w="850"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83.0</w:t>
            </w:r>
          </w:p>
        </w:tc>
        <w:tc>
          <w:tcPr>
            <w:tcW w:w="113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32</w:t>
            </w:r>
          </w:p>
        </w:tc>
        <w:tc>
          <w:tcPr>
            <w:tcW w:w="850"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8.4</w:t>
            </w:r>
          </w:p>
        </w:tc>
      </w:tr>
      <w:tr w:rsidR="00EA6BA7" w:rsidRPr="00EA6BA7" w:rsidTr="00446F71">
        <w:trPr>
          <w:trHeight w:val="491"/>
        </w:trPr>
        <w:tc>
          <w:tcPr>
            <w:tcW w:w="630" w:type="dxa"/>
            <w:shd w:val="clear" w:color="auto" w:fill="auto"/>
            <w:tcMar>
              <w:top w:w="15" w:type="dxa"/>
              <w:left w:w="23" w:type="dxa"/>
              <w:bottom w:w="0" w:type="dxa"/>
              <w:right w:w="23" w:type="dxa"/>
            </w:tcMar>
            <w:vAlign w:val="center"/>
            <w:hideMark/>
          </w:tcPr>
          <w:p w:rsidR="008C40D8" w:rsidRPr="00EA6BA7" w:rsidRDefault="008C40D8" w:rsidP="00446F71">
            <w:pPr>
              <w:jc w:val="center"/>
              <w:rPr>
                <w:rFonts w:hAnsi="標楷體"/>
                <w:sz w:val="28"/>
                <w:szCs w:val="28"/>
              </w:rPr>
            </w:pPr>
            <w:r w:rsidRPr="00EA6BA7">
              <w:rPr>
                <w:rFonts w:hAnsi="標楷體"/>
                <w:sz w:val="28"/>
                <w:szCs w:val="28"/>
              </w:rPr>
              <w:t>105</w:t>
            </w:r>
          </w:p>
        </w:tc>
        <w:tc>
          <w:tcPr>
            <w:tcW w:w="1153"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10,337</w:t>
            </w:r>
          </w:p>
        </w:tc>
        <w:tc>
          <w:tcPr>
            <w:tcW w:w="89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489</w:t>
            </w:r>
          </w:p>
        </w:tc>
        <w:tc>
          <w:tcPr>
            <w:tcW w:w="889" w:type="dxa"/>
            <w:shd w:val="clear" w:color="auto" w:fill="auto"/>
            <w:vAlign w:val="center"/>
          </w:tcPr>
          <w:p w:rsidR="008C40D8" w:rsidRPr="00EA6BA7" w:rsidRDefault="008C40D8" w:rsidP="00446F71">
            <w:pPr>
              <w:jc w:val="right"/>
              <w:rPr>
                <w:rFonts w:hAnsi="標楷體"/>
                <w:sz w:val="28"/>
                <w:szCs w:val="28"/>
              </w:rPr>
            </w:pPr>
            <w:r w:rsidRPr="00EA6BA7">
              <w:rPr>
                <w:rFonts w:hAnsi="標楷體"/>
                <w:sz w:val="28"/>
                <w:szCs w:val="28"/>
              </w:rPr>
              <w:t>4.73</w:t>
            </w:r>
          </w:p>
        </w:tc>
        <w:tc>
          <w:tcPr>
            <w:tcW w:w="954"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96</w:t>
            </w:r>
          </w:p>
        </w:tc>
        <w:tc>
          <w:tcPr>
            <w:tcW w:w="897"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19.6</w:t>
            </w:r>
          </w:p>
        </w:tc>
        <w:tc>
          <w:tcPr>
            <w:tcW w:w="94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349</w:t>
            </w:r>
          </w:p>
        </w:tc>
        <w:tc>
          <w:tcPr>
            <w:tcW w:w="850"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71.4</w:t>
            </w:r>
          </w:p>
        </w:tc>
        <w:tc>
          <w:tcPr>
            <w:tcW w:w="113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44</w:t>
            </w:r>
          </w:p>
        </w:tc>
        <w:tc>
          <w:tcPr>
            <w:tcW w:w="850"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9.0</w:t>
            </w:r>
          </w:p>
        </w:tc>
      </w:tr>
      <w:tr w:rsidR="00EA6BA7" w:rsidRPr="00EA6BA7" w:rsidTr="00446F71">
        <w:trPr>
          <w:trHeight w:val="491"/>
        </w:trPr>
        <w:tc>
          <w:tcPr>
            <w:tcW w:w="630" w:type="dxa"/>
            <w:shd w:val="clear" w:color="auto" w:fill="auto"/>
            <w:tcMar>
              <w:top w:w="15" w:type="dxa"/>
              <w:left w:w="23" w:type="dxa"/>
              <w:bottom w:w="0" w:type="dxa"/>
              <w:right w:w="23" w:type="dxa"/>
            </w:tcMar>
            <w:vAlign w:val="center"/>
            <w:hideMark/>
          </w:tcPr>
          <w:p w:rsidR="008C40D8" w:rsidRPr="00EA6BA7" w:rsidRDefault="008C40D8" w:rsidP="00446F71">
            <w:pPr>
              <w:jc w:val="center"/>
              <w:rPr>
                <w:rFonts w:hAnsi="標楷體"/>
                <w:sz w:val="28"/>
                <w:szCs w:val="28"/>
              </w:rPr>
            </w:pPr>
            <w:r w:rsidRPr="00EA6BA7">
              <w:rPr>
                <w:rFonts w:hAnsi="標楷體"/>
                <w:sz w:val="28"/>
                <w:szCs w:val="28"/>
              </w:rPr>
              <w:t>106</w:t>
            </w:r>
          </w:p>
        </w:tc>
        <w:tc>
          <w:tcPr>
            <w:tcW w:w="1153"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13,781</w:t>
            </w:r>
          </w:p>
        </w:tc>
        <w:tc>
          <w:tcPr>
            <w:tcW w:w="89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558</w:t>
            </w:r>
          </w:p>
        </w:tc>
        <w:tc>
          <w:tcPr>
            <w:tcW w:w="889" w:type="dxa"/>
            <w:shd w:val="clear" w:color="auto" w:fill="auto"/>
            <w:vAlign w:val="center"/>
          </w:tcPr>
          <w:p w:rsidR="008C40D8" w:rsidRPr="00EA6BA7" w:rsidRDefault="008C40D8" w:rsidP="00446F71">
            <w:pPr>
              <w:jc w:val="right"/>
              <w:rPr>
                <w:rFonts w:hAnsi="標楷體"/>
                <w:sz w:val="28"/>
                <w:szCs w:val="28"/>
              </w:rPr>
            </w:pPr>
            <w:r w:rsidRPr="00EA6BA7">
              <w:rPr>
                <w:rFonts w:hAnsi="標楷體"/>
                <w:sz w:val="28"/>
                <w:szCs w:val="28"/>
              </w:rPr>
              <w:t>4.05</w:t>
            </w:r>
          </w:p>
        </w:tc>
        <w:tc>
          <w:tcPr>
            <w:tcW w:w="954"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119</w:t>
            </w:r>
          </w:p>
        </w:tc>
        <w:tc>
          <w:tcPr>
            <w:tcW w:w="897"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21.3</w:t>
            </w:r>
          </w:p>
        </w:tc>
        <w:tc>
          <w:tcPr>
            <w:tcW w:w="94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401</w:t>
            </w:r>
          </w:p>
        </w:tc>
        <w:tc>
          <w:tcPr>
            <w:tcW w:w="850"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71.9</w:t>
            </w:r>
          </w:p>
        </w:tc>
        <w:tc>
          <w:tcPr>
            <w:tcW w:w="113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38</w:t>
            </w:r>
          </w:p>
        </w:tc>
        <w:tc>
          <w:tcPr>
            <w:tcW w:w="850"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6.8</w:t>
            </w:r>
          </w:p>
        </w:tc>
      </w:tr>
      <w:tr w:rsidR="00EA6BA7" w:rsidRPr="00EA6BA7" w:rsidTr="00446F71">
        <w:trPr>
          <w:trHeight w:val="491"/>
        </w:trPr>
        <w:tc>
          <w:tcPr>
            <w:tcW w:w="630" w:type="dxa"/>
            <w:shd w:val="clear" w:color="auto" w:fill="auto"/>
            <w:tcMar>
              <w:top w:w="15" w:type="dxa"/>
              <w:left w:w="23" w:type="dxa"/>
              <w:bottom w:w="0" w:type="dxa"/>
              <w:right w:w="23" w:type="dxa"/>
            </w:tcMar>
            <w:vAlign w:val="center"/>
            <w:hideMark/>
          </w:tcPr>
          <w:p w:rsidR="008C40D8" w:rsidRPr="00EA6BA7" w:rsidRDefault="008C40D8" w:rsidP="00446F71">
            <w:pPr>
              <w:jc w:val="center"/>
              <w:rPr>
                <w:rFonts w:hAnsi="標楷體"/>
                <w:sz w:val="28"/>
                <w:szCs w:val="28"/>
              </w:rPr>
            </w:pPr>
            <w:r w:rsidRPr="00EA6BA7">
              <w:rPr>
                <w:rFonts w:hAnsi="標楷體"/>
                <w:sz w:val="28"/>
                <w:szCs w:val="28"/>
              </w:rPr>
              <w:t>107</w:t>
            </w:r>
          </w:p>
        </w:tc>
        <w:tc>
          <w:tcPr>
            <w:tcW w:w="1153"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14,991</w:t>
            </w:r>
          </w:p>
        </w:tc>
        <w:tc>
          <w:tcPr>
            <w:tcW w:w="89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660</w:t>
            </w:r>
          </w:p>
        </w:tc>
        <w:tc>
          <w:tcPr>
            <w:tcW w:w="889" w:type="dxa"/>
            <w:shd w:val="clear" w:color="auto" w:fill="auto"/>
            <w:vAlign w:val="center"/>
          </w:tcPr>
          <w:p w:rsidR="008C40D8" w:rsidRPr="00EA6BA7" w:rsidRDefault="008C40D8" w:rsidP="00446F71">
            <w:pPr>
              <w:jc w:val="right"/>
              <w:rPr>
                <w:rFonts w:hAnsi="標楷體"/>
                <w:sz w:val="28"/>
                <w:szCs w:val="28"/>
              </w:rPr>
            </w:pPr>
            <w:r w:rsidRPr="00EA6BA7">
              <w:rPr>
                <w:rFonts w:hAnsi="標楷體"/>
                <w:sz w:val="28"/>
                <w:szCs w:val="28"/>
              </w:rPr>
              <w:t>4.40</w:t>
            </w:r>
          </w:p>
        </w:tc>
        <w:tc>
          <w:tcPr>
            <w:tcW w:w="954"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134</w:t>
            </w:r>
          </w:p>
        </w:tc>
        <w:tc>
          <w:tcPr>
            <w:tcW w:w="897"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20.3</w:t>
            </w:r>
          </w:p>
        </w:tc>
        <w:tc>
          <w:tcPr>
            <w:tcW w:w="94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476</w:t>
            </w:r>
          </w:p>
        </w:tc>
        <w:tc>
          <w:tcPr>
            <w:tcW w:w="850"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72.1</w:t>
            </w:r>
          </w:p>
        </w:tc>
        <w:tc>
          <w:tcPr>
            <w:tcW w:w="1135"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50</w:t>
            </w:r>
          </w:p>
        </w:tc>
        <w:tc>
          <w:tcPr>
            <w:tcW w:w="850" w:type="dxa"/>
            <w:shd w:val="clear" w:color="auto" w:fill="auto"/>
            <w:tcMar>
              <w:top w:w="15" w:type="dxa"/>
              <w:left w:w="23" w:type="dxa"/>
              <w:bottom w:w="0" w:type="dxa"/>
              <w:right w:w="23" w:type="dxa"/>
            </w:tcMar>
            <w:vAlign w:val="center"/>
            <w:hideMark/>
          </w:tcPr>
          <w:p w:rsidR="008C40D8" w:rsidRPr="00EA6BA7" w:rsidRDefault="008C40D8" w:rsidP="00446F71">
            <w:pPr>
              <w:jc w:val="right"/>
              <w:rPr>
                <w:rFonts w:hAnsi="標楷體"/>
                <w:sz w:val="28"/>
                <w:szCs w:val="28"/>
              </w:rPr>
            </w:pPr>
            <w:r w:rsidRPr="00EA6BA7">
              <w:rPr>
                <w:rFonts w:hAnsi="標楷體"/>
                <w:sz w:val="28"/>
                <w:szCs w:val="28"/>
              </w:rPr>
              <w:t>7.6</w:t>
            </w:r>
          </w:p>
        </w:tc>
      </w:tr>
    </w:tbl>
    <w:p w:rsidR="008C40D8" w:rsidRPr="00EA6BA7" w:rsidRDefault="008C40D8" w:rsidP="00957593">
      <w:pPr>
        <w:pStyle w:val="3"/>
        <w:numPr>
          <w:ilvl w:val="0"/>
          <w:numId w:val="0"/>
        </w:numPr>
        <w:ind w:left="1276"/>
        <w:rPr>
          <w:rFonts w:hAnsi="標楷體"/>
          <w:sz w:val="24"/>
          <w:szCs w:val="24"/>
        </w:rPr>
      </w:pPr>
      <w:r w:rsidRPr="00EA6BA7">
        <w:rPr>
          <w:rFonts w:hAnsi="標楷體" w:hint="eastAsia"/>
          <w:sz w:val="24"/>
          <w:szCs w:val="24"/>
        </w:rPr>
        <w:t>資料來源：農委會</w:t>
      </w:r>
      <w:r w:rsidR="00C904FF" w:rsidRPr="00EA6BA7">
        <w:rPr>
          <w:rFonts w:hAnsi="標楷體" w:hint="eastAsia"/>
          <w:sz w:val="24"/>
          <w:szCs w:val="24"/>
        </w:rPr>
        <w:t>。</w:t>
      </w:r>
    </w:p>
    <w:p w:rsidR="008C40D8" w:rsidRPr="00EA6BA7" w:rsidRDefault="008C40D8" w:rsidP="00957593">
      <w:pPr>
        <w:pStyle w:val="3"/>
        <w:numPr>
          <w:ilvl w:val="0"/>
          <w:numId w:val="0"/>
        </w:numPr>
        <w:ind w:left="1276"/>
        <w:rPr>
          <w:rFonts w:hAnsi="標楷體"/>
          <w:sz w:val="24"/>
          <w:szCs w:val="24"/>
        </w:rPr>
      </w:pPr>
    </w:p>
    <w:p w:rsidR="008C40D8" w:rsidRPr="00EA6BA7" w:rsidRDefault="008C40D8" w:rsidP="00957593">
      <w:pPr>
        <w:pStyle w:val="3"/>
        <w:numPr>
          <w:ilvl w:val="0"/>
          <w:numId w:val="0"/>
        </w:numPr>
        <w:ind w:left="1276" w:firstLineChars="208" w:firstLine="708"/>
        <w:rPr>
          <w:rFonts w:hAnsi="標楷體"/>
        </w:rPr>
      </w:pPr>
      <w:r w:rsidRPr="00EA6BA7">
        <w:rPr>
          <w:rFonts w:hAnsi="標楷體" w:hint="eastAsia"/>
        </w:rPr>
        <w:t>農委會表示，針對抽檢不合格之案件，皆由地方政府依農藥管理法查處，並辦理農民安全用藥教育，由地方政府邀請學校或農委會農業試驗改良場所人員講授安全用藥觀念及方法，以強化農民安全用藥之觀念</w:t>
      </w:r>
      <w:r w:rsidR="00957593" w:rsidRPr="00EA6BA7">
        <w:rPr>
          <w:rFonts w:hAnsi="標楷體" w:hint="eastAsia"/>
        </w:rPr>
        <w:t>；</w:t>
      </w:r>
      <w:r w:rsidRPr="00EA6BA7">
        <w:rPr>
          <w:rFonts w:hAnsi="標楷體"/>
        </w:rPr>
        <w:t>105</w:t>
      </w:r>
      <w:r w:rsidRPr="00EA6BA7">
        <w:rPr>
          <w:rFonts w:hAnsi="標楷體" w:hint="eastAsia"/>
        </w:rPr>
        <w:t>至</w:t>
      </w:r>
      <w:r w:rsidRPr="00EA6BA7">
        <w:rPr>
          <w:rFonts w:hAnsi="標楷體"/>
        </w:rPr>
        <w:t>108</w:t>
      </w:r>
      <w:r w:rsidRPr="00EA6BA7">
        <w:rPr>
          <w:rFonts w:hAnsi="標楷體" w:hint="eastAsia"/>
        </w:rPr>
        <w:t>年</w:t>
      </w:r>
      <w:r w:rsidRPr="00EA6BA7">
        <w:rPr>
          <w:rFonts w:hAnsi="標楷體"/>
        </w:rPr>
        <w:t>6</w:t>
      </w:r>
      <w:r w:rsidRPr="00EA6BA7">
        <w:rPr>
          <w:rFonts w:hAnsi="標楷體" w:hint="eastAsia"/>
        </w:rPr>
        <w:t>月底</w:t>
      </w:r>
      <w:proofErr w:type="gramStart"/>
      <w:r w:rsidRPr="00EA6BA7">
        <w:rPr>
          <w:rFonts w:hAnsi="標楷體" w:hint="eastAsia"/>
        </w:rPr>
        <w:t>止</w:t>
      </w:r>
      <w:proofErr w:type="gramEnd"/>
      <w:r w:rsidRPr="00EA6BA7">
        <w:rPr>
          <w:rFonts w:hAnsi="標楷體" w:hint="eastAsia"/>
        </w:rPr>
        <w:t>辦理農民用藥教育宣導場次分別計85、88、63及47場次</w:t>
      </w:r>
      <w:r w:rsidR="00957593" w:rsidRPr="00EA6BA7">
        <w:rPr>
          <w:rFonts w:hAnsi="標楷體" w:hint="eastAsia"/>
        </w:rPr>
        <w:t>。</w:t>
      </w:r>
      <w:r w:rsidR="00051291" w:rsidRPr="00EA6BA7">
        <w:rPr>
          <w:rFonts w:hAnsi="標楷體" w:hint="eastAsia"/>
        </w:rPr>
        <w:t>由上可</w:t>
      </w:r>
      <w:proofErr w:type="gramStart"/>
      <w:r w:rsidR="00051291" w:rsidRPr="00EA6BA7">
        <w:rPr>
          <w:rFonts w:hAnsi="標楷體" w:hint="eastAsia"/>
        </w:rPr>
        <w:t>徵</w:t>
      </w:r>
      <w:proofErr w:type="gramEnd"/>
      <w:r w:rsidR="00051291" w:rsidRPr="00EA6BA7">
        <w:rPr>
          <w:rFonts w:hAnsi="標楷體" w:hint="eastAsia"/>
        </w:rPr>
        <w:t>，</w:t>
      </w:r>
      <w:r w:rsidRPr="00EA6BA7">
        <w:rPr>
          <w:rFonts w:hAnsi="標楷體" w:hint="eastAsia"/>
        </w:rPr>
        <w:t>農委會所辦理農民用藥教育宣導，主要局限於抽檢不合格之農民，且教育內容主要為如何正確選用藥劑及合理使用量。</w:t>
      </w:r>
    </w:p>
    <w:p w:rsidR="008C40D8" w:rsidRPr="00EA6BA7" w:rsidRDefault="008C40D8" w:rsidP="00957593">
      <w:pPr>
        <w:pStyle w:val="3"/>
        <w:rPr>
          <w:rFonts w:hAnsi="標楷體"/>
        </w:rPr>
      </w:pPr>
      <w:proofErr w:type="gramStart"/>
      <w:r w:rsidRPr="00EA6BA7">
        <w:rPr>
          <w:rFonts w:hAnsi="標楷體" w:hint="eastAsia"/>
        </w:rPr>
        <w:t>惟</w:t>
      </w:r>
      <w:proofErr w:type="gramEnd"/>
      <w:r w:rsidRPr="00EA6BA7">
        <w:rPr>
          <w:rFonts w:hAnsi="標楷體" w:hint="eastAsia"/>
        </w:rPr>
        <w:t>有關農民施藥之「安全防護」相關教育，農委會</w:t>
      </w:r>
      <w:r w:rsidRPr="00EA6BA7">
        <w:rPr>
          <w:rFonts w:hAnsi="標楷體" w:hint="eastAsia"/>
          <w:spacing w:val="-2"/>
        </w:rPr>
        <w:t>查復表示，每年會辦理「</w:t>
      </w:r>
      <w:proofErr w:type="gramStart"/>
      <w:r w:rsidR="00957593" w:rsidRPr="00EA6BA7">
        <w:rPr>
          <w:rFonts w:hAnsi="標楷體" w:hint="eastAsia"/>
          <w:spacing w:val="-2"/>
        </w:rPr>
        <w:t>農</w:t>
      </w:r>
      <w:r w:rsidRPr="00EA6BA7">
        <w:rPr>
          <w:rFonts w:hAnsi="標楷體" w:hint="eastAsia"/>
          <w:spacing w:val="-2"/>
        </w:rPr>
        <w:t>藥代噴技術人員</w:t>
      </w:r>
      <w:proofErr w:type="gramEnd"/>
      <w:r w:rsidRPr="00EA6BA7">
        <w:rPr>
          <w:rFonts w:hAnsi="標楷體" w:hint="eastAsia"/>
          <w:spacing w:val="-2"/>
        </w:rPr>
        <w:t>」田間用藥安全及安全防護等相關知識與技術，包括農藥毒性與安全性、</w:t>
      </w:r>
      <w:proofErr w:type="gramStart"/>
      <w:r w:rsidRPr="00EA6BA7">
        <w:rPr>
          <w:rFonts w:hAnsi="標楷體" w:hint="eastAsia"/>
          <w:spacing w:val="-2"/>
        </w:rPr>
        <w:t>施藥者之</w:t>
      </w:r>
      <w:proofErr w:type="gramEnd"/>
      <w:r w:rsidRPr="00EA6BA7">
        <w:rPr>
          <w:rFonts w:hAnsi="標楷體" w:hint="eastAsia"/>
          <w:spacing w:val="-2"/>
        </w:rPr>
        <w:t>農藥暴露評估及安全防護措施、農藥中毒急救、農藥管理法規、農藥施藥技術、農藥製劑與調配等專業課程，除</w:t>
      </w:r>
      <w:proofErr w:type="gramStart"/>
      <w:r w:rsidRPr="00EA6BA7">
        <w:rPr>
          <w:rFonts w:hAnsi="標楷體" w:hint="eastAsia"/>
          <w:spacing w:val="-2"/>
        </w:rPr>
        <w:t>強化其施藥</w:t>
      </w:r>
      <w:proofErr w:type="gramEnd"/>
      <w:r w:rsidRPr="00EA6BA7">
        <w:rPr>
          <w:rFonts w:hAnsi="標楷體" w:hint="eastAsia"/>
          <w:spacing w:val="-2"/>
        </w:rPr>
        <w:t>安全防</w:t>
      </w:r>
      <w:r w:rsidRPr="00EA6BA7">
        <w:rPr>
          <w:rFonts w:hAnsi="標楷體" w:hint="eastAsia"/>
          <w:spacing w:val="-2"/>
        </w:rPr>
        <w:lastRenderedPageBreak/>
        <w:t>護觀念外，亦提供正確農藥中毒急救處置方式，以</w:t>
      </w:r>
      <w:proofErr w:type="gramStart"/>
      <w:r w:rsidRPr="00EA6BA7">
        <w:rPr>
          <w:rFonts w:hAnsi="標楷體" w:hint="eastAsia"/>
          <w:spacing w:val="-2"/>
        </w:rPr>
        <w:t>落實代噴人員</w:t>
      </w:r>
      <w:proofErr w:type="gramEnd"/>
      <w:r w:rsidRPr="00EA6BA7">
        <w:rPr>
          <w:rFonts w:hAnsi="標楷體" w:hint="eastAsia"/>
          <w:spacing w:val="-2"/>
        </w:rPr>
        <w:t>防護安全，且已製作「用藥安全」、「減少農藥飄散」及「無人飛行載具飄散防止對策」等宣導摺頁。顯見農委會對於施藥安全之防護的主要宣導與教育重點在於「</w:t>
      </w:r>
      <w:proofErr w:type="gramStart"/>
      <w:r w:rsidRPr="00EA6BA7">
        <w:rPr>
          <w:rFonts w:hAnsi="標楷體" w:hint="eastAsia"/>
          <w:spacing w:val="-2"/>
        </w:rPr>
        <w:t>農藥代噴技術人員</w:t>
      </w:r>
      <w:proofErr w:type="gramEnd"/>
      <w:r w:rsidRPr="00EA6BA7">
        <w:rPr>
          <w:rFonts w:hAnsi="標楷體" w:hint="eastAsia"/>
          <w:spacing w:val="-2"/>
        </w:rPr>
        <w:t>」，對於一般農民施藥安全並無例行且系統性教育宣導，</w:t>
      </w:r>
      <w:r w:rsidR="00957593" w:rsidRPr="00EA6BA7">
        <w:rPr>
          <w:rFonts w:hAnsi="標楷體" w:hint="eastAsia"/>
          <w:spacing w:val="-2"/>
        </w:rPr>
        <w:t>肇致其對</w:t>
      </w:r>
      <w:r w:rsidRPr="00EA6BA7">
        <w:rPr>
          <w:rFonts w:hAnsi="標楷體" w:hint="eastAsia"/>
          <w:spacing w:val="-2"/>
        </w:rPr>
        <w:t>於農藥毒性之知能與體認過於薄弱。</w:t>
      </w:r>
    </w:p>
    <w:p w:rsidR="008C40D8" w:rsidRPr="00EA6BA7" w:rsidRDefault="008C40D8" w:rsidP="008C40D8">
      <w:pPr>
        <w:pStyle w:val="3"/>
        <w:ind w:left="1276"/>
        <w:rPr>
          <w:rFonts w:hAnsi="標楷體"/>
        </w:rPr>
      </w:pPr>
      <w:r w:rsidRPr="00EA6BA7">
        <w:rPr>
          <w:rFonts w:hAnsi="標楷體" w:hint="eastAsia"/>
        </w:rPr>
        <w:t>再</w:t>
      </w:r>
      <w:proofErr w:type="gramStart"/>
      <w:r w:rsidRPr="00EA6BA7">
        <w:rPr>
          <w:rFonts w:hAnsi="標楷體" w:hint="eastAsia"/>
        </w:rPr>
        <w:t>且</w:t>
      </w:r>
      <w:proofErr w:type="gramEnd"/>
      <w:r w:rsidRPr="00EA6BA7">
        <w:rPr>
          <w:rFonts w:hAnsi="標楷體" w:hint="eastAsia"/>
        </w:rPr>
        <w:t>，「</w:t>
      </w:r>
      <w:proofErr w:type="gramStart"/>
      <w:r w:rsidRPr="00EA6BA7">
        <w:rPr>
          <w:rFonts w:hAnsi="標楷體" w:hint="eastAsia"/>
        </w:rPr>
        <w:t>嘉磷塞</w:t>
      </w:r>
      <w:proofErr w:type="gramEnd"/>
      <w:r w:rsidRPr="00EA6BA7">
        <w:rPr>
          <w:rFonts w:hAnsi="標楷體" w:hint="eastAsia"/>
        </w:rPr>
        <w:t>」過去被認為對人體不具毒性，惟近年其安全性重新被檢視，認為與導致腫瘤有關，西元2015年3月國際癌症研究中心已將「</w:t>
      </w:r>
      <w:proofErr w:type="gramStart"/>
      <w:r w:rsidRPr="00EA6BA7">
        <w:rPr>
          <w:rFonts w:hAnsi="標楷體" w:hint="eastAsia"/>
        </w:rPr>
        <w:t>嘉磷塞</w:t>
      </w:r>
      <w:proofErr w:type="gramEnd"/>
      <w:r w:rsidRPr="00EA6BA7">
        <w:rPr>
          <w:rFonts w:hAnsi="標楷體" w:hint="eastAsia"/>
        </w:rPr>
        <w:t>」的致癌風險提高到「很可能致癌（Group 2A）」；而「</w:t>
      </w:r>
      <w:proofErr w:type="gramStart"/>
      <w:r w:rsidRPr="00EA6BA7">
        <w:rPr>
          <w:rFonts w:hAnsi="標楷體" w:hint="eastAsia"/>
        </w:rPr>
        <w:t>嘉磷塞</w:t>
      </w:r>
      <w:proofErr w:type="gramEnd"/>
      <w:r w:rsidRPr="00EA6BA7">
        <w:rPr>
          <w:rFonts w:hAnsi="標楷體" w:hint="eastAsia"/>
        </w:rPr>
        <w:t>」之使用範圍，據農委會公告及核准登記除草劑使用範圍包括：糧食作物（如水稻及雜糧作物等）、園藝作物（如蔬菜園及果樹園等）、特用作物（如茶園、</w:t>
      </w:r>
      <w:proofErr w:type="gramStart"/>
      <w:r w:rsidRPr="00EA6BA7">
        <w:rPr>
          <w:rFonts w:hAnsi="標楷體" w:hint="eastAsia"/>
        </w:rPr>
        <w:t>蔗</w:t>
      </w:r>
      <w:proofErr w:type="gramEnd"/>
      <w:r w:rsidRPr="00EA6BA7">
        <w:rPr>
          <w:rFonts w:hAnsi="標楷體" w:hint="eastAsia"/>
        </w:rPr>
        <w:t>園、菸草園、亞麻園及風</w:t>
      </w:r>
      <w:proofErr w:type="gramStart"/>
      <w:r w:rsidRPr="00EA6BA7">
        <w:rPr>
          <w:rFonts w:hAnsi="標楷體" w:hint="eastAsia"/>
        </w:rPr>
        <w:t>茹</w:t>
      </w:r>
      <w:proofErr w:type="gramEnd"/>
      <w:r w:rsidRPr="00EA6BA7">
        <w:rPr>
          <w:rFonts w:hAnsi="標楷體" w:hint="eastAsia"/>
        </w:rPr>
        <w:t>園等）、森林（如造林地）、花卉（如玫瑰盆花）、草皮（如百慕達草及地毯草）及非耕作農地（非耕作期間之農業用土地）等</w:t>
      </w:r>
      <w:r w:rsidR="00957593" w:rsidRPr="00EA6BA7">
        <w:rPr>
          <w:rFonts w:hAnsi="標楷體" w:hint="eastAsia"/>
        </w:rPr>
        <w:t>。</w:t>
      </w:r>
      <w:r w:rsidR="00051291" w:rsidRPr="00EA6BA7">
        <w:rPr>
          <w:rFonts w:hAnsi="標楷體" w:hint="eastAsia"/>
        </w:rPr>
        <w:t>足見</w:t>
      </w:r>
      <w:r w:rsidRPr="00EA6BA7">
        <w:rPr>
          <w:rFonts w:hAnsi="標楷體" w:hint="eastAsia"/>
        </w:rPr>
        <w:t>除草劑「</w:t>
      </w:r>
      <w:proofErr w:type="gramStart"/>
      <w:r w:rsidRPr="00EA6BA7">
        <w:rPr>
          <w:rFonts w:hAnsi="標楷體" w:hint="eastAsia"/>
        </w:rPr>
        <w:t>嘉磷塞</w:t>
      </w:r>
      <w:proofErr w:type="gramEnd"/>
      <w:r w:rsidRPr="00EA6BA7">
        <w:rPr>
          <w:rFonts w:hAnsi="標楷體" w:hint="eastAsia"/>
        </w:rPr>
        <w:t>」之使用，不局限於農糧作物，尚包括草皮、花卉及非耕作農地等，是其「施藥安全</w:t>
      </w:r>
      <w:r w:rsidR="00E133C3" w:rsidRPr="00EA6BA7">
        <w:rPr>
          <w:rFonts w:hAnsi="標楷體" w:hint="eastAsia"/>
        </w:rPr>
        <w:t>防護</w:t>
      </w:r>
      <w:r w:rsidRPr="00EA6BA7">
        <w:rPr>
          <w:rFonts w:hAnsi="標楷體" w:hint="eastAsia"/>
        </w:rPr>
        <w:t>」更不容忽視。</w:t>
      </w:r>
    </w:p>
    <w:p w:rsidR="00E133C3" w:rsidRPr="00EA6BA7" w:rsidRDefault="008C40D8" w:rsidP="00E133C3">
      <w:pPr>
        <w:pStyle w:val="3"/>
        <w:rPr>
          <w:rFonts w:hAnsi="標楷體"/>
          <w:b/>
        </w:rPr>
      </w:pPr>
      <w:r w:rsidRPr="00EA6BA7">
        <w:rPr>
          <w:rFonts w:hAnsi="標楷體" w:hint="eastAsia"/>
        </w:rPr>
        <w:t>承上述，</w:t>
      </w:r>
      <w:r w:rsidR="00051291" w:rsidRPr="00EA6BA7">
        <w:rPr>
          <w:rFonts w:hAnsi="標楷體" w:hint="eastAsia"/>
        </w:rPr>
        <w:t>農委會對於農民用藥教育宣導，</w:t>
      </w:r>
      <w:r w:rsidR="006971C5" w:rsidRPr="00EA6BA7">
        <w:rPr>
          <w:rFonts w:hAnsi="標楷體" w:hint="eastAsia"/>
        </w:rPr>
        <w:t>對象主要局限</w:t>
      </w:r>
      <w:r w:rsidR="00051291" w:rsidRPr="00EA6BA7">
        <w:rPr>
          <w:rFonts w:hAnsi="標楷體" w:hint="eastAsia"/>
        </w:rPr>
        <w:t>於</w:t>
      </w:r>
      <w:r w:rsidR="00E133C3" w:rsidRPr="00EA6BA7">
        <w:rPr>
          <w:rFonts w:hAnsi="標楷體" w:hint="eastAsia"/>
        </w:rPr>
        <w:t>農作物農藥殘留抽檢結果為</w:t>
      </w:r>
      <w:proofErr w:type="gramStart"/>
      <w:r w:rsidR="00E133C3" w:rsidRPr="00EA6BA7">
        <w:rPr>
          <w:rFonts w:hAnsi="標楷體" w:hint="eastAsia"/>
        </w:rPr>
        <w:t>不</w:t>
      </w:r>
      <w:proofErr w:type="gramEnd"/>
      <w:r w:rsidR="00E133C3" w:rsidRPr="00EA6BA7">
        <w:rPr>
          <w:rFonts w:hAnsi="標楷體" w:hint="eastAsia"/>
        </w:rPr>
        <w:t>合格者，且教育內容主要為如何正確選用藥劑及合理使用量</w:t>
      </w:r>
      <w:r w:rsidR="006971C5" w:rsidRPr="00EA6BA7">
        <w:rPr>
          <w:rFonts w:hAnsi="標楷體" w:hint="eastAsia"/>
        </w:rPr>
        <w:t>、</w:t>
      </w:r>
      <w:r w:rsidR="00E133C3" w:rsidRPr="00EA6BA7">
        <w:rPr>
          <w:rFonts w:hAnsi="標楷體" w:hint="eastAsia"/>
        </w:rPr>
        <w:t>避免農藥殘留不符合規定，明顯輕忽</w:t>
      </w:r>
      <w:r w:rsidR="006971C5" w:rsidRPr="00EA6BA7">
        <w:rPr>
          <w:rFonts w:hAnsi="標楷體" w:hint="eastAsia"/>
        </w:rPr>
        <w:t>保護農民之「施藥安全防護」</w:t>
      </w:r>
      <w:r w:rsidR="00E133C3" w:rsidRPr="00EA6BA7">
        <w:rPr>
          <w:rFonts w:hAnsi="標楷體" w:hint="eastAsia"/>
        </w:rPr>
        <w:t>教育；且該會雖有辦理施藥安全之防護宣導，惟主要宣導對象為「</w:t>
      </w:r>
      <w:proofErr w:type="gramStart"/>
      <w:r w:rsidR="00E133C3" w:rsidRPr="00EA6BA7">
        <w:rPr>
          <w:rFonts w:hAnsi="標楷體" w:hint="eastAsia"/>
        </w:rPr>
        <w:t>農藥代噴技術人員</w:t>
      </w:r>
      <w:proofErr w:type="gramEnd"/>
      <w:r w:rsidR="00E133C3" w:rsidRPr="00EA6BA7">
        <w:rPr>
          <w:rFonts w:hAnsi="標楷體" w:hint="eastAsia"/>
        </w:rPr>
        <w:t>」，對於一般農民施藥安全並無例行且系統性教育，致其對於農藥毒性之知能與自我防護意識薄弱，進而未能採取周全防護施藥措施，尤其「</w:t>
      </w:r>
      <w:proofErr w:type="gramStart"/>
      <w:r w:rsidR="00E133C3" w:rsidRPr="00EA6BA7">
        <w:rPr>
          <w:rFonts w:hAnsi="標楷體" w:hint="eastAsia"/>
        </w:rPr>
        <w:t>嘉磷塞</w:t>
      </w:r>
      <w:proofErr w:type="gramEnd"/>
      <w:r w:rsidR="00E133C3" w:rsidRPr="00EA6BA7">
        <w:rPr>
          <w:rFonts w:hAnsi="標楷體" w:hint="eastAsia"/>
        </w:rPr>
        <w:t>」過去被認為對人體不具毒性，但近年其安全性已受重新</w:t>
      </w:r>
      <w:r w:rsidR="00E133C3" w:rsidRPr="00EA6BA7">
        <w:rPr>
          <w:rFonts w:hAnsi="標楷體" w:hint="eastAsia"/>
        </w:rPr>
        <w:lastRenderedPageBreak/>
        <w:t>檢視，甚至西元2015年3月國際癌症研究中心已將「</w:t>
      </w:r>
      <w:proofErr w:type="gramStart"/>
      <w:r w:rsidR="00E133C3" w:rsidRPr="00EA6BA7">
        <w:rPr>
          <w:rFonts w:hAnsi="標楷體" w:hint="eastAsia"/>
        </w:rPr>
        <w:t>嘉磷塞</w:t>
      </w:r>
      <w:proofErr w:type="gramEnd"/>
      <w:r w:rsidR="00E133C3" w:rsidRPr="00EA6BA7">
        <w:rPr>
          <w:rFonts w:hAnsi="標楷體" w:hint="eastAsia"/>
        </w:rPr>
        <w:t>」的致癌風險提高到「很可能致癌（Group 2A）」，再且農委會對於該農藥之核准使用範圍，除特定農糧作物外，尚包括草皮、花卉及非耕作農地等，是該會應即刻重新檢討現行施藥安全防護教育，強化及周延相關執行措施，以保護農藥使用者之健康安全。</w:t>
      </w:r>
    </w:p>
    <w:p w:rsidR="008C40D8" w:rsidRPr="00EA6BA7" w:rsidRDefault="008C40D8" w:rsidP="008C40D8">
      <w:pPr>
        <w:pStyle w:val="2"/>
        <w:numPr>
          <w:ilvl w:val="1"/>
          <w:numId w:val="1"/>
        </w:numPr>
        <w:rPr>
          <w:rFonts w:hAnsi="標楷體"/>
          <w:b/>
        </w:rPr>
      </w:pPr>
      <w:r w:rsidRPr="00EA6BA7">
        <w:rPr>
          <w:rFonts w:hAnsi="標楷體" w:hint="eastAsia"/>
          <w:b/>
        </w:rPr>
        <w:t>西元2015年3月國際癌症研究中心已將「</w:t>
      </w:r>
      <w:proofErr w:type="gramStart"/>
      <w:r w:rsidRPr="00EA6BA7">
        <w:rPr>
          <w:rFonts w:hAnsi="標楷體" w:hint="eastAsia"/>
          <w:b/>
        </w:rPr>
        <w:t>嘉磷塞</w:t>
      </w:r>
      <w:proofErr w:type="gramEnd"/>
      <w:r w:rsidRPr="00EA6BA7">
        <w:rPr>
          <w:rFonts w:hAnsi="標楷體" w:hint="eastAsia"/>
          <w:b/>
        </w:rPr>
        <w:t>」的致癌風險提高到「很可能致癌（Group 2A）」，且世界各國多已重新檢視其安全性，歐盟部分國家甚已逐步禁用及限用，加以美國「</w:t>
      </w:r>
      <w:proofErr w:type="gramStart"/>
      <w:r w:rsidRPr="00EA6BA7">
        <w:rPr>
          <w:rFonts w:hAnsi="標楷體" w:hint="eastAsia"/>
          <w:b/>
        </w:rPr>
        <w:t>嘉磷塞</w:t>
      </w:r>
      <w:proofErr w:type="gramEnd"/>
      <w:r w:rsidRPr="00EA6BA7">
        <w:rPr>
          <w:rFonts w:hAnsi="標楷體" w:hint="eastAsia"/>
          <w:b/>
        </w:rPr>
        <w:t>」致癌</w:t>
      </w:r>
      <w:r w:rsidR="00E133C3" w:rsidRPr="00EA6BA7">
        <w:rPr>
          <w:rFonts w:hAnsi="標楷體" w:hint="eastAsia"/>
          <w:b/>
        </w:rPr>
        <w:t>事件，</w:t>
      </w:r>
      <w:r w:rsidR="00D536D2" w:rsidRPr="00EA6BA7">
        <w:rPr>
          <w:rFonts w:hAnsi="標楷體" w:hint="eastAsia"/>
          <w:b/>
        </w:rPr>
        <w:t>業者</w:t>
      </w:r>
      <w:r w:rsidR="00E133C3" w:rsidRPr="00EA6BA7">
        <w:rPr>
          <w:rFonts w:hAnsi="標楷體" w:hint="eastAsia"/>
          <w:b/>
        </w:rPr>
        <w:t>連續</w:t>
      </w:r>
      <w:r w:rsidRPr="00EA6BA7">
        <w:rPr>
          <w:rFonts w:hAnsi="標楷體" w:hint="eastAsia"/>
          <w:b/>
        </w:rPr>
        <w:t>敗訴</w:t>
      </w:r>
      <w:r w:rsidR="006971C5" w:rsidRPr="00EA6BA7">
        <w:rPr>
          <w:rFonts w:hAnsi="標楷體" w:hint="eastAsia"/>
          <w:b/>
        </w:rPr>
        <w:t>並</w:t>
      </w:r>
      <w:proofErr w:type="gramStart"/>
      <w:r w:rsidR="006971C5" w:rsidRPr="00EA6BA7">
        <w:rPr>
          <w:rFonts w:hAnsi="標楷體" w:hint="eastAsia"/>
          <w:b/>
        </w:rPr>
        <w:t>判賠天價</w:t>
      </w:r>
      <w:proofErr w:type="gramEnd"/>
      <w:r w:rsidRPr="00EA6BA7">
        <w:rPr>
          <w:rFonts w:hAnsi="標楷體" w:hint="eastAsia"/>
          <w:b/>
        </w:rPr>
        <w:t>案例，農委會</w:t>
      </w:r>
      <w:r w:rsidR="00E133C3" w:rsidRPr="00EA6BA7">
        <w:rPr>
          <w:rFonts w:hAnsi="標楷體" w:hint="eastAsia"/>
          <w:b/>
        </w:rPr>
        <w:t>自</w:t>
      </w:r>
      <w:r w:rsidRPr="00EA6BA7">
        <w:rPr>
          <w:rFonts w:hAnsi="標楷體" w:hint="eastAsia"/>
          <w:b/>
        </w:rPr>
        <w:t>應重視原本被視為安全卻</w:t>
      </w:r>
      <w:r w:rsidR="00EB0A8C" w:rsidRPr="00EA6BA7">
        <w:rPr>
          <w:rFonts w:hAnsi="標楷體" w:hint="eastAsia"/>
          <w:b/>
        </w:rPr>
        <w:t>變更</w:t>
      </w:r>
      <w:r w:rsidRPr="00EA6BA7">
        <w:rPr>
          <w:rFonts w:hAnsi="標楷體" w:hint="eastAsia"/>
          <w:b/>
        </w:rPr>
        <w:t>為對人體</w:t>
      </w:r>
      <w:r w:rsidR="00A740FA" w:rsidRPr="00EA6BA7">
        <w:rPr>
          <w:rFonts w:hAnsi="標楷體" w:hint="eastAsia"/>
          <w:b/>
        </w:rPr>
        <w:t>有</w:t>
      </w:r>
      <w:r w:rsidRPr="00EA6BA7">
        <w:rPr>
          <w:rFonts w:hAnsi="標楷體" w:hint="eastAsia"/>
          <w:b/>
        </w:rPr>
        <w:t>致癌</w:t>
      </w:r>
      <w:r w:rsidR="00A740FA" w:rsidRPr="00EA6BA7">
        <w:rPr>
          <w:rFonts w:hAnsi="標楷體" w:hint="eastAsia"/>
          <w:b/>
        </w:rPr>
        <w:t>風險</w:t>
      </w:r>
      <w:r w:rsidRPr="00EA6BA7">
        <w:rPr>
          <w:rFonts w:hAnsi="標楷體" w:hint="eastAsia"/>
          <w:b/>
        </w:rPr>
        <w:t>之警訊，</w:t>
      </w:r>
      <w:r w:rsidR="00A740FA" w:rsidRPr="00EA6BA7">
        <w:rPr>
          <w:rFonts w:hAnsi="標楷體" w:hint="eastAsia"/>
          <w:b/>
        </w:rPr>
        <w:t>並</w:t>
      </w:r>
      <w:r w:rsidRPr="00EA6BA7">
        <w:rPr>
          <w:rFonts w:hAnsi="標楷體" w:hint="eastAsia"/>
          <w:b/>
        </w:rPr>
        <w:t>儘速</w:t>
      </w:r>
      <w:proofErr w:type="gramStart"/>
      <w:r w:rsidRPr="00EA6BA7">
        <w:rPr>
          <w:rFonts w:hAnsi="標楷體" w:hint="eastAsia"/>
          <w:b/>
        </w:rPr>
        <w:t>研</w:t>
      </w:r>
      <w:proofErr w:type="gramEnd"/>
      <w:r w:rsidRPr="00EA6BA7">
        <w:rPr>
          <w:rFonts w:hAnsi="標楷體" w:hint="eastAsia"/>
          <w:b/>
        </w:rPr>
        <w:t>議於成品農藥加</w:t>
      </w:r>
      <w:proofErr w:type="gramStart"/>
      <w:r w:rsidRPr="00EA6BA7">
        <w:rPr>
          <w:rFonts w:hAnsi="標楷體" w:hint="eastAsia"/>
          <w:b/>
        </w:rPr>
        <w:t>註</w:t>
      </w:r>
      <w:proofErr w:type="gramEnd"/>
      <w:r w:rsidRPr="00EA6BA7">
        <w:rPr>
          <w:rFonts w:hAnsi="標楷體" w:hint="eastAsia"/>
          <w:b/>
        </w:rPr>
        <w:t>使用警語，揭露其危害風險，維護使用者知情權</w:t>
      </w:r>
      <w:r w:rsidR="00A740FA" w:rsidRPr="00EA6BA7">
        <w:rPr>
          <w:rFonts w:hAnsi="標楷體" w:hint="eastAsia"/>
          <w:b/>
        </w:rPr>
        <w:t>益</w:t>
      </w:r>
      <w:r w:rsidRPr="00EA6BA7">
        <w:rPr>
          <w:rFonts w:hAnsi="標楷體" w:hint="eastAsia"/>
          <w:b/>
        </w:rPr>
        <w:t>，避免誤認為安全而忽略防護，甚至波及鄰近住家或學童。</w:t>
      </w:r>
    </w:p>
    <w:p w:rsidR="008C40D8" w:rsidRPr="00EA6BA7" w:rsidRDefault="008C40D8" w:rsidP="008C40D8">
      <w:pPr>
        <w:pStyle w:val="3"/>
        <w:numPr>
          <w:ilvl w:val="2"/>
          <w:numId w:val="1"/>
        </w:numPr>
        <w:ind w:left="1276"/>
        <w:rPr>
          <w:rFonts w:hAnsi="標楷體"/>
          <w:sz w:val="28"/>
          <w:szCs w:val="28"/>
        </w:rPr>
      </w:pPr>
      <w:r w:rsidRPr="00EA6BA7">
        <w:rPr>
          <w:rFonts w:hAnsi="標楷體" w:hint="eastAsia"/>
        </w:rPr>
        <w:t>按農藥管理法第14條規定：「(第1項)農藥標示之使用或變更，應先經中央主管機關核准。標示變更後，原標示應於六個月內更換之。(第2項)前項農藥標示所用文字、應記載事項、警告與注意標誌樣式及應遵行事項之辦法，由中央主管機關定之。」次按「農藥標示管理辦法」第5條規定：「成品農藥標示，應記載下列事項：一、農藥許可證字號。二、農藥許可證權利人名稱、地址及電話號碼。三、製造日期、批號及有效期間。四、農藥普通名稱。五、預防中毒及解毒方法。</w:t>
      </w:r>
      <w:r w:rsidR="00CD3201" w:rsidRPr="00EA6BA7">
        <w:rPr>
          <w:rFonts w:hAnsi="標楷體" w:hint="eastAsia"/>
        </w:rPr>
        <w:t>六、</w:t>
      </w:r>
      <w:r w:rsidRPr="00EA6BA7">
        <w:rPr>
          <w:rFonts w:hAnsi="標楷體" w:hint="eastAsia"/>
        </w:rPr>
        <w:t>劇毒性成品農藥，應註明劇毒農藥字樣；基因改造成品農藥應註明基因改造字樣；其他成品農藥，應註明農用藥劑字樣。…</w:t>
      </w:r>
      <w:proofErr w:type="gramStart"/>
      <w:r w:rsidRPr="00EA6BA7">
        <w:rPr>
          <w:rFonts w:hAnsi="標楷體" w:hint="eastAsia"/>
        </w:rPr>
        <w:t>…</w:t>
      </w:r>
      <w:proofErr w:type="gramEnd"/>
      <w:r w:rsidRPr="00EA6BA7">
        <w:rPr>
          <w:rFonts w:hAnsi="標楷體" w:hint="eastAsia"/>
        </w:rPr>
        <w:t>九、危害圖式、危害防範圖式、</w:t>
      </w:r>
      <w:proofErr w:type="gramStart"/>
      <w:r w:rsidRPr="00EA6BA7">
        <w:rPr>
          <w:rFonts w:hAnsi="標楷體" w:hint="eastAsia"/>
        </w:rPr>
        <w:t>警示語及</w:t>
      </w:r>
      <w:proofErr w:type="gramEnd"/>
      <w:r w:rsidRPr="00EA6BA7">
        <w:rPr>
          <w:rFonts w:hAnsi="標楷體" w:hint="eastAsia"/>
        </w:rPr>
        <w:t>危害警告訊息。…</w:t>
      </w:r>
      <w:proofErr w:type="gramStart"/>
      <w:r w:rsidRPr="00EA6BA7">
        <w:rPr>
          <w:rFonts w:hAnsi="標楷體" w:hint="eastAsia"/>
        </w:rPr>
        <w:t>…</w:t>
      </w:r>
      <w:proofErr w:type="gramEnd"/>
      <w:r w:rsidR="00CD3201" w:rsidRPr="00EA6BA7">
        <w:rPr>
          <w:rFonts w:hAnsi="標楷體" w:hint="eastAsia"/>
        </w:rPr>
        <w:t>十五、劑型、物理性狀、有效成分與其他成分之種類及含量。</w:t>
      </w:r>
      <w:r w:rsidRPr="00EA6BA7">
        <w:rPr>
          <w:rFonts w:hAnsi="標楷體" w:hint="eastAsia"/>
        </w:rPr>
        <w:lastRenderedPageBreak/>
        <w:t>十六、使用方法及其範圍。十七、儲藏及使用時應注意事項。…</w:t>
      </w:r>
      <w:proofErr w:type="gramStart"/>
      <w:r w:rsidRPr="00EA6BA7">
        <w:rPr>
          <w:rFonts w:hAnsi="標楷體" w:hint="eastAsia"/>
        </w:rPr>
        <w:t>…</w:t>
      </w:r>
      <w:proofErr w:type="gramEnd"/>
      <w:r w:rsidRPr="00EA6BA7">
        <w:rPr>
          <w:rFonts w:hAnsi="標楷體" w:hint="eastAsia"/>
        </w:rPr>
        <w:t>」故農委會對於成品農藥應標示事項，定有明文；另其中危害圖式、危害防範圖式、</w:t>
      </w:r>
      <w:proofErr w:type="gramStart"/>
      <w:r w:rsidRPr="00EA6BA7">
        <w:rPr>
          <w:rFonts w:hAnsi="標楷體" w:hint="eastAsia"/>
        </w:rPr>
        <w:t>警示語及</w:t>
      </w:r>
      <w:proofErr w:type="gramEnd"/>
      <w:r w:rsidRPr="00EA6BA7">
        <w:rPr>
          <w:rFonts w:hAnsi="標楷體" w:hint="eastAsia"/>
        </w:rPr>
        <w:t>危害警告訊息等事項，係該會為符合「化學品分類及標示全球調和制度</w:t>
      </w:r>
      <w:proofErr w:type="gramStart"/>
      <w:r w:rsidRPr="00EA6BA7">
        <w:rPr>
          <w:rFonts w:hAnsi="標楷體" w:hint="eastAsia"/>
        </w:rPr>
        <w:t>（</w:t>
      </w:r>
      <w:proofErr w:type="gramEnd"/>
      <w:r w:rsidRPr="00EA6BA7">
        <w:rPr>
          <w:rFonts w:hAnsi="標楷體"/>
        </w:rPr>
        <w:t>Globally</w:t>
      </w:r>
      <w:r w:rsidRPr="00EA6BA7">
        <w:rPr>
          <w:rFonts w:hAnsi="標楷體" w:hint="eastAsia"/>
        </w:rPr>
        <w:t xml:space="preserve"> </w:t>
      </w:r>
      <w:r w:rsidRPr="00EA6BA7">
        <w:rPr>
          <w:rFonts w:hAnsi="標楷體"/>
        </w:rPr>
        <w:t>Harmonized System of Classification and Labelling of Chemicals</w:t>
      </w:r>
      <w:r w:rsidRPr="00EA6BA7">
        <w:rPr>
          <w:rFonts w:hAnsi="標楷體" w:hint="eastAsia"/>
        </w:rPr>
        <w:t>」及國家標準</w:t>
      </w:r>
      <w:r w:rsidRPr="00EA6BA7">
        <w:rPr>
          <w:rFonts w:hAnsi="標楷體"/>
        </w:rPr>
        <w:t>CNS 15030108</w:t>
      </w:r>
      <w:r w:rsidRPr="00EA6BA7">
        <w:rPr>
          <w:rFonts w:hAnsi="標楷體" w:hint="eastAsia"/>
        </w:rPr>
        <w:t>等規範</w:t>
      </w:r>
      <w:r w:rsidR="00A740FA" w:rsidRPr="00EA6BA7">
        <w:rPr>
          <w:rFonts w:hAnsi="標楷體" w:hint="eastAsia"/>
        </w:rPr>
        <w:t>，</w:t>
      </w:r>
      <w:r w:rsidRPr="00EA6BA7">
        <w:rPr>
          <w:rFonts w:hAnsi="標楷體" w:hint="eastAsia"/>
        </w:rPr>
        <w:t>於</w:t>
      </w:r>
      <w:r w:rsidRPr="00EA6BA7">
        <w:rPr>
          <w:rFonts w:hAnsi="標楷體"/>
        </w:rPr>
        <w:t>108</w:t>
      </w:r>
      <w:r w:rsidRPr="00EA6BA7">
        <w:rPr>
          <w:rFonts w:hAnsi="標楷體" w:hint="eastAsia"/>
        </w:rPr>
        <w:t>年</w:t>
      </w:r>
      <w:r w:rsidRPr="00EA6BA7">
        <w:rPr>
          <w:rFonts w:hAnsi="標楷體"/>
        </w:rPr>
        <w:t>8</w:t>
      </w:r>
      <w:r w:rsidRPr="00EA6BA7">
        <w:rPr>
          <w:rFonts w:hAnsi="標楷體" w:hint="eastAsia"/>
        </w:rPr>
        <w:t>月</w:t>
      </w:r>
      <w:r w:rsidRPr="00EA6BA7">
        <w:rPr>
          <w:rFonts w:hAnsi="標楷體"/>
        </w:rPr>
        <w:t>5</w:t>
      </w:r>
      <w:r w:rsidRPr="00EA6BA7">
        <w:rPr>
          <w:rFonts w:hAnsi="標楷體" w:hint="eastAsia"/>
        </w:rPr>
        <w:t>日所增訂，依</w:t>
      </w:r>
      <w:r w:rsidR="00A740FA" w:rsidRPr="00EA6BA7">
        <w:rPr>
          <w:rFonts w:hAnsi="標楷體" w:hint="eastAsia"/>
        </w:rPr>
        <w:t>「</w:t>
      </w:r>
      <w:r w:rsidRPr="00EA6BA7">
        <w:rPr>
          <w:rFonts w:hAnsi="標楷體" w:hint="eastAsia"/>
        </w:rPr>
        <w:t>農藥標示管理辦法</w:t>
      </w:r>
      <w:r w:rsidR="00A740FA" w:rsidRPr="00EA6BA7">
        <w:rPr>
          <w:rFonts w:hAnsi="標楷體" w:hint="eastAsia"/>
        </w:rPr>
        <w:t>」</w:t>
      </w:r>
      <w:r w:rsidRPr="00EA6BA7">
        <w:rPr>
          <w:rFonts w:hAnsi="標楷體" w:hint="eastAsia"/>
        </w:rPr>
        <w:t>第</w:t>
      </w:r>
      <w:r w:rsidRPr="00EA6BA7">
        <w:rPr>
          <w:rFonts w:hAnsi="標楷體"/>
        </w:rPr>
        <w:t>13</w:t>
      </w:r>
      <w:r w:rsidRPr="00EA6BA7">
        <w:rPr>
          <w:rFonts w:hAnsi="標楷體" w:hint="eastAsia"/>
        </w:rPr>
        <w:t>條規定，農藥生產業者應於該辦法修正施行之日起</w:t>
      </w:r>
      <w:r w:rsidRPr="00EA6BA7">
        <w:rPr>
          <w:rFonts w:hAnsi="標楷體"/>
        </w:rPr>
        <w:t>3</w:t>
      </w:r>
      <w:r w:rsidRPr="00EA6BA7">
        <w:rPr>
          <w:rFonts w:hAnsi="標楷體" w:hint="eastAsia"/>
        </w:rPr>
        <w:t>年內完成農藥標示變更。</w:t>
      </w:r>
    </w:p>
    <w:p w:rsidR="008C40D8" w:rsidRPr="00EA6BA7" w:rsidRDefault="008C40D8" w:rsidP="008C40D8">
      <w:pPr>
        <w:pStyle w:val="3"/>
        <w:ind w:left="1276"/>
        <w:rPr>
          <w:rFonts w:hAnsi="標楷體"/>
        </w:rPr>
      </w:pPr>
      <w:r w:rsidRPr="00EA6BA7">
        <w:rPr>
          <w:rFonts w:hAnsi="標楷體" w:hint="eastAsia"/>
        </w:rPr>
        <w:t>查截至107年10月4日止，經</w:t>
      </w:r>
      <w:r w:rsidR="00C62DB4" w:rsidRPr="00EA6BA7">
        <w:rPr>
          <w:rFonts w:hAnsi="標楷體" w:hint="eastAsia"/>
        </w:rPr>
        <w:t>農委會防檢局</w:t>
      </w:r>
      <w:r w:rsidRPr="00EA6BA7">
        <w:rPr>
          <w:rFonts w:hAnsi="標楷體" w:hint="eastAsia"/>
        </w:rPr>
        <w:t>核准登記之「</w:t>
      </w:r>
      <w:proofErr w:type="gramStart"/>
      <w:r w:rsidRPr="00EA6BA7">
        <w:rPr>
          <w:rFonts w:hAnsi="標楷體" w:hint="eastAsia"/>
        </w:rPr>
        <w:t>嘉磷塞</w:t>
      </w:r>
      <w:proofErr w:type="gramEnd"/>
      <w:r w:rsidRPr="00EA6BA7">
        <w:rPr>
          <w:rFonts w:hAnsi="標楷體" w:hint="eastAsia"/>
        </w:rPr>
        <w:t>」農藥產品計有98件，按上開標示規定，因「</w:t>
      </w:r>
      <w:proofErr w:type="gramStart"/>
      <w:r w:rsidRPr="00EA6BA7">
        <w:rPr>
          <w:rFonts w:hAnsi="標楷體" w:hint="eastAsia"/>
        </w:rPr>
        <w:t>嘉磷塞</w:t>
      </w:r>
      <w:proofErr w:type="gramEnd"/>
      <w:r w:rsidRPr="00EA6BA7">
        <w:rPr>
          <w:rFonts w:hAnsi="標楷體" w:hint="eastAsia"/>
        </w:rPr>
        <w:t>」非屬於劇毒農藥，故除劇毒農藥相關標示外，其成品農藥應標示農藥許可證字號、農藥許可證權利人名稱、地址及電話號碼、預防中毒及解毒方法…</w:t>
      </w:r>
      <w:proofErr w:type="gramStart"/>
      <w:r w:rsidRPr="00EA6BA7">
        <w:rPr>
          <w:rFonts w:hAnsi="標楷體" w:hint="eastAsia"/>
        </w:rPr>
        <w:t>…</w:t>
      </w:r>
      <w:proofErr w:type="gramEnd"/>
      <w:r w:rsidRPr="00EA6BA7">
        <w:rPr>
          <w:rFonts w:hAnsi="標楷體" w:hint="eastAsia"/>
        </w:rPr>
        <w:t>等；</w:t>
      </w:r>
      <w:proofErr w:type="gramStart"/>
      <w:r w:rsidRPr="00EA6BA7">
        <w:rPr>
          <w:rFonts w:hAnsi="標楷體" w:hint="eastAsia"/>
        </w:rPr>
        <w:t>惟</w:t>
      </w:r>
      <w:proofErr w:type="gramEnd"/>
      <w:r w:rsidRPr="00EA6BA7">
        <w:rPr>
          <w:rFonts w:hAnsi="標楷體" w:hint="eastAsia"/>
        </w:rPr>
        <w:t>過去「</w:t>
      </w:r>
      <w:proofErr w:type="gramStart"/>
      <w:r w:rsidRPr="00EA6BA7">
        <w:rPr>
          <w:rFonts w:hAnsi="標楷體" w:hint="eastAsia"/>
        </w:rPr>
        <w:t>嘉磷塞</w:t>
      </w:r>
      <w:proofErr w:type="gramEnd"/>
      <w:r w:rsidRPr="00EA6BA7">
        <w:rPr>
          <w:rFonts w:hAnsi="標楷體" w:hint="eastAsia"/>
        </w:rPr>
        <w:t>」被認為對人體沒有危害，</w:t>
      </w:r>
      <w:r w:rsidR="00E133C3" w:rsidRPr="00EA6BA7">
        <w:rPr>
          <w:rFonts w:hAnsi="標楷體" w:hint="eastAsia"/>
        </w:rPr>
        <w:t>直到</w:t>
      </w:r>
      <w:r w:rsidRPr="00EA6BA7">
        <w:rPr>
          <w:rFonts w:hAnsi="標楷體" w:hint="eastAsia"/>
        </w:rPr>
        <w:t>西元2015年3月國際癌症研究中心將「</w:t>
      </w:r>
      <w:proofErr w:type="gramStart"/>
      <w:r w:rsidRPr="00EA6BA7">
        <w:rPr>
          <w:rFonts w:hAnsi="標楷體" w:hint="eastAsia"/>
        </w:rPr>
        <w:t>嘉磷塞</w:t>
      </w:r>
      <w:proofErr w:type="gramEnd"/>
      <w:r w:rsidRPr="00EA6BA7">
        <w:rPr>
          <w:rFonts w:hAnsi="標楷體" w:hint="eastAsia"/>
        </w:rPr>
        <w:t>」的致癌風險提高到「很可能致癌（Group 2A）」，且2018年8月美國舊金山之州法院判決拜耳公司因在其農藥產品「</w:t>
      </w:r>
      <w:proofErr w:type="gramStart"/>
      <w:r w:rsidRPr="00EA6BA7">
        <w:rPr>
          <w:rFonts w:hAnsi="標楷體" w:hint="eastAsia"/>
        </w:rPr>
        <w:t>嘉磷塞</w:t>
      </w:r>
      <w:proofErr w:type="gramEnd"/>
      <w:r w:rsidRPr="00EA6BA7">
        <w:rPr>
          <w:rFonts w:hAnsi="標楷體" w:hint="eastAsia"/>
        </w:rPr>
        <w:t>」之標示上沒有提醒使用或誤用時會造成傷害，應賠償加州</w:t>
      </w:r>
      <w:proofErr w:type="gramStart"/>
      <w:r w:rsidRPr="00EA6BA7">
        <w:rPr>
          <w:rFonts w:hAnsi="標楷體" w:hint="eastAsia"/>
        </w:rPr>
        <w:t>罹癌校</w:t>
      </w:r>
      <w:proofErr w:type="gramEnd"/>
      <w:r w:rsidRPr="00EA6BA7">
        <w:rPr>
          <w:rFonts w:hAnsi="標楷體" w:hint="eastAsia"/>
        </w:rPr>
        <w:t>工2億8千9</w:t>
      </w:r>
      <w:proofErr w:type="gramStart"/>
      <w:r w:rsidRPr="00EA6BA7">
        <w:rPr>
          <w:rFonts w:hAnsi="標楷體" w:hint="eastAsia"/>
        </w:rPr>
        <w:t>百萬</w:t>
      </w:r>
      <w:proofErr w:type="gramEnd"/>
      <w:r w:rsidRPr="00EA6BA7">
        <w:rPr>
          <w:rFonts w:hAnsi="標楷體" w:hint="eastAsia"/>
        </w:rPr>
        <w:t>美元，後經加州舊金山高等法院改判，將賠償金額降為7千8</w:t>
      </w:r>
      <w:proofErr w:type="gramStart"/>
      <w:r w:rsidRPr="00EA6BA7">
        <w:rPr>
          <w:rFonts w:hAnsi="標楷體" w:hint="eastAsia"/>
        </w:rPr>
        <w:t>百萬</w:t>
      </w:r>
      <w:proofErr w:type="gramEnd"/>
      <w:r w:rsidRPr="00EA6BA7">
        <w:rPr>
          <w:rFonts w:hAnsi="標楷體" w:hint="eastAsia"/>
        </w:rPr>
        <w:t>美元；2019年3月美國聯邦法院陪審團認為</w:t>
      </w:r>
      <w:r w:rsidR="00E133C3" w:rsidRPr="00EA6BA7">
        <w:rPr>
          <w:rFonts w:hAnsi="標楷體" w:hint="eastAsia"/>
        </w:rPr>
        <w:t>「</w:t>
      </w:r>
      <w:proofErr w:type="gramStart"/>
      <w:r w:rsidR="00E133C3" w:rsidRPr="00EA6BA7">
        <w:rPr>
          <w:rFonts w:hAnsi="標楷體" w:hint="eastAsia"/>
        </w:rPr>
        <w:t>嘉磷塞</w:t>
      </w:r>
      <w:proofErr w:type="gramEnd"/>
      <w:r w:rsidR="00E133C3" w:rsidRPr="00EA6BA7">
        <w:rPr>
          <w:rFonts w:hAnsi="標楷體" w:hint="eastAsia"/>
        </w:rPr>
        <w:t>」</w:t>
      </w:r>
      <w:r w:rsidRPr="00EA6BA7">
        <w:rPr>
          <w:rFonts w:hAnsi="標楷體" w:hint="eastAsia"/>
        </w:rPr>
        <w:t>為加州男子</w:t>
      </w:r>
      <w:proofErr w:type="gramStart"/>
      <w:r w:rsidRPr="00EA6BA7">
        <w:rPr>
          <w:rFonts w:hAnsi="標楷體" w:hint="eastAsia"/>
        </w:rPr>
        <w:t>罹患非何杰</w:t>
      </w:r>
      <w:proofErr w:type="gramEnd"/>
      <w:r w:rsidRPr="00EA6BA7">
        <w:rPr>
          <w:rFonts w:hAnsi="標楷體" w:hint="eastAsia"/>
        </w:rPr>
        <w:t>金氏淋巴瘤（Non-Hodgkin’s lymphoma）之重要因素，判決拜耳公司應賠償8</w:t>
      </w:r>
      <w:proofErr w:type="gramStart"/>
      <w:r w:rsidRPr="00EA6BA7">
        <w:rPr>
          <w:rFonts w:hAnsi="標楷體" w:hint="eastAsia"/>
        </w:rPr>
        <w:t>千萬</w:t>
      </w:r>
      <w:proofErr w:type="gramEnd"/>
      <w:r w:rsidRPr="00EA6BA7">
        <w:rPr>
          <w:rFonts w:hAnsi="標楷體" w:hint="eastAsia"/>
        </w:rPr>
        <w:t>美元；2019年5月美國加州奧克蘭Alameda County高等法院陪審團認為</w:t>
      </w:r>
      <w:r w:rsidR="00E133C3" w:rsidRPr="00EA6BA7">
        <w:rPr>
          <w:rFonts w:hAnsi="標楷體" w:hint="eastAsia"/>
        </w:rPr>
        <w:t>「</w:t>
      </w:r>
      <w:proofErr w:type="gramStart"/>
      <w:r w:rsidR="00E133C3" w:rsidRPr="00EA6BA7">
        <w:rPr>
          <w:rFonts w:hAnsi="標楷體" w:hint="eastAsia"/>
        </w:rPr>
        <w:t>嘉磷塞</w:t>
      </w:r>
      <w:proofErr w:type="gramEnd"/>
      <w:r w:rsidR="00E133C3" w:rsidRPr="00EA6BA7">
        <w:rPr>
          <w:rFonts w:hAnsi="標楷體" w:hint="eastAsia"/>
        </w:rPr>
        <w:t>」</w:t>
      </w:r>
      <w:r w:rsidRPr="00EA6BA7">
        <w:rPr>
          <w:rFonts w:hAnsi="標楷體" w:hint="eastAsia"/>
        </w:rPr>
        <w:t>與Pilliod夫婦</w:t>
      </w:r>
      <w:proofErr w:type="gramStart"/>
      <w:r w:rsidRPr="00EA6BA7">
        <w:rPr>
          <w:rFonts w:hAnsi="標楷體" w:hint="eastAsia"/>
        </w:rPr>
        <w:t>罹患非何杰</w:t>
      </w:r>
      <w:proofErr w:type="gramEnd"/>
      <w:r w:rsidRPr="00EA6BA7">
        <w:rPr>
          <w:rFonts w:hAnsi="標楷體" w:hint="eastAsia"/>
        </w:rPr>
        <w:t>金氏淋巴瘤有關，判決拜耳公司應賠償其20億5千5</w:t>
      </w:r>
      <w:proofErr w:type="gramStart"/>
      <w:r w:rsidRPr="00EA6BA7">
        <w:rPr>
          <w:rFonts w:hAnsi="標楷體" w:hint="eastAsia"/>
        </w:rPr>
        <w:t>百萬</w:t>
      </w:r>
      <w:proofErr w:type="gramEnd"/>
      <w:r w:rsidRPr="00EA6BA7">
        <w:rPr>
          <w:rFonts w:hAnsi="標楷體" w:hint="eastAsia"/>
        </w:rPr>
        <w:t>美元。前揭訴訟，拜耳公司接連敗訴，</w:t>
      </w:r>
      <w:r w:rsidR="00E133C3" w:rsidRPr="00EA6BA7">
        <w:rPr>
          <w:rFonts w:hAnsi="標楷體" w:hint="eastAsia"/>
        </w:rPr>
        <w:t>且判賠鉅額賠償，</w:t>
      </w:r>
      <w:r w:rsidRPr="00EA6BA7">
        <w:rPr>
          <w:rFonts w:hAnsi="標楷體" w:hint="eastAsia"/>
        </w:rPr>
        <w:t>雖該公司皆已提</w:t>
      </w:r>
      <w:r w:rsidRPr="00EA6BA7">
        <w:rPr>
          <w:rFonts w:hAnsi="標楷體" w:hint="eastAsia"/>
        </w:rPr>
        <w:lastRenderedPageBreak/>
        <w:t>起上訴，惟「</w:t>
      </w:r>
      <w:proofErr w:type="gramStart"/>
      <w:r w:rsidRPr="00EA6BA7">
        <w:rPr>
          <w:rFonts w:hAnsi="標楷體" w:hint="eastAsia"/>
        </w:rPr>
        <w:t>嘉磷塞</w:t>
      </w:r>
      <w:proofErr w:type="gramEnd"/>
      <w:r w:rsidRPr="00EA6BA7">
        <w:rPr>
          <w:rFonts w:hAnsi="標楷體" w:hint="eastAsia"/>
        </w:rPr>
        <w:t>」致癌風險已引發世界各國關注。</w:t>
      </w:r>
    </w:p>
    <w:p w:rsidR="008C40D8" w:rsidRPr="00EA6BA7" w:rsidRDefault="008C40D8" w:rsidP="008C40D8">
      <w:pPr>
        <w:pStyle w:val="3"/>
        <w:ind w:left="1276"/>
        <w:rPr>
          <w:rFonts w:hAnsi="標楷體"/>
        </w:rPr>
      </w:pPr>
      <w:r w:rsidRPr="00EA6BA7">
        <w:rPr>
          <w:rFonts w:hAnsi="標楷體" w:hint="eastAsia"/>
        </w:rPr>
        <w:t>「</w:t>
      </w:r>
      <w:proofErr w:type="gramStart"/>
      <w:r w:rsidRPr="00EA6BA7">
        <w:rPr>
          <w:rFonts w:hAnsi="標楷體" w:hint="eastAsia"/>
        </w:rPr>
        <w:t>嘉磷塞</w:t>
      </w:r>
      <w:proofErr w:type="gramEnd"/>
      <w:r w:rsidRPr="00EA6BA7">
        <w:rPr>
          <w:rFonts w:hAnsi="標楷體" w:hint="eastAsia"/>
        </w:rPr>
        <w:t>」為非選擇性除草劑，其主要作用原理為抑制芳香族胺</w:t>
      </w:r>
      <w:proofErr w:type="gramStart"/>
      <w:r w:rsidRPr="00EA6BA7">
        <w:rPr>
          <w:rFonts w:hAnsi="標楷體" w:hint="eastAsia"/>
        </w:rPr>
        <w:t>基酸生合成</w:t>
      </w:r>
      <w:proofErr w:type="gramEnd"/>
      <w:r w:rsidRPr="00EA6BA7">
        <w:rPr>
          <w:rFonts w:hAnsi="標楷體" w:hint="eastAsia"/>
        </w:rPr>
        <w:t>路徑中</w:t>
      </w:r>
      <w:r w:rsidRPr="00EA6BA7">
        <w:rPr>
          <w:rFonts w:hAnsi="標楷體"/>
        </w:rPr>
        <w:t>5-enol-pyruvylshikimate-3-phosphatesynthase</w:t>
      </w:r>
      <w:r w:rsidRPr="00EA6BA7">
        <w:rPr>
          <w:rFonts w:hAnsi="標楷體" w:hint="eastAsia"/>
        </w:rPr>
        <w:t xml:space="preserve"> </w:t>
      </w:r>
      <w:r w:rsidRPr="00EA6BA7">
        <w:rPr>
          <w:rFonts w:hAnsi="標楷體"/>
        </w:rPr>
        <w:t>(EPSPS)</w:t>
      </w:r>
      <w:r w:rsidRPr="00EA6BA7">
        <w:rPr>
          <w:rFonts w:hAnsi="標楷體" w:hint="eastAsia"/>
        </w:rPr>
        <w:t>酵素之作用，造成苯丙胺酸</w:t>
      </w:r>
      <w:r w:rsidRPr="00EA6BA7">
        <w:rPr>
          <w:rFonts w:hAnsi="標楷體"/>
        </w:rPr>
        <w:t>(phenylalanine)</w:t>
      </w:r>
      <w:r w:rsidRPr="00EA6BA7">
        <w:rPr>
          <w:rFonts w:hAnsi="標楷體" w:hint="eastAsia"/>
        </w:rPr>
        <w:t>、酪胺酸</w:t>
      </w:r>
      <w:r w:rsidRPr="00EA6BA7">
        <w:rPr>
          <w:rFonts w:hAnsi="標楷體"/>
        </w:rPr>
        <w:t>(tyrosine)</w:t>
      </w:r>
      <w:r w:rsidRPr="00EA6BA7">
        <w:rPr>
          <w:rFonts w:hAnsi="標楷體" w:hint="eastAsia"/>
        </w:rPr>
        <w:t>及色胺酸</w:t>
      </w:r>
      <w:r w:rsidRPr="00EA6BA7">
        <w:rPr>
          <w:rFonts w:hAnsi="標楷體"/>
        </w:rPr>
        <w:t>(tryptophan)</w:t>
      </w:r>
      <w:r w:rsidR="00A740FA" w:rsidRPr="00EA6BA7">
        <w:rPr>
          <w:rFonts w:hAnsi="標楷體" w:hint="eastAsia"/>
        </w:rPr>
        <w:t>等</w:t>
      </w:r>
      <w:r w:rsidRPr="00EA6BA7">
        <w:rPr>
          <w:rFonts w:hAnsi="標楷體" w:hint="eastAsia"/>
        </w:rPr>
        <w:t>3種芳香族胺基酸含量降低，影響蛋白質之生合成，進而抑制植物生長，達到除草之目的</w:t>
      </w:r>
      <w:r w:rsidRPr="00EA6BA7">
        <w:rPr>
          <w:rFonts w:hAnsi="標楷體"/>
          <w:vertAlign w:val="superscript"/>
        </w:rPr>
        <w:footnoteReference w:id="3"/>
      </w:r>
      <w:r w:rsidRPr="00EA6BA7">
        <w:rPr>
          <w:rFonts w:hAnsi="標楷體" w:hint="eastAsia"/>
        </w:rPr>
        <w:t>；當初認為其作用對象為「植物」，因此對於哺乳動物(人類)幾乎沒有毒害。基此，許多該農藥之</w:t>
      </w:r>
      <w:proofErr w:type="gramStart"/>
      <w:r w:rsidRPr="00EA6BA7">
        <w:rPr>
          <w:rFonts w:hAnsi="標楷體" w:hint="eastAsia"/>
        </w:rPr>
        <w:t>施藥者</w:t>
      </w:r>
      <w:proofErr w:type="gramEnd"/>
      <w:r w:rsidRPr="00EA6BA7">
        <w:rPr>
          <w:rFonts w:hAnsi="標楷體" w:hint="eastAsia"/>
        </w:rPr>
        <w:t>，並無穿戴防護裝備，此亦可由上開美國法院判敗耳公司敗訴之案件中，得以印證。</w:t>
      </w:r>
    </w:p>
    <w:p w:rsidR="00E4078B" w:rsidRPr="00EA6BA7" w:rsidRDefault="008C40D8" w:rsidP="00E133C3">
      <w:pPr>
        <w:pStyle w:val="3"/>
        <w:rPr>
          <w:rFonts w:hAnsi="標楷體"/>
        </w:rPr>
        <w:sectPr w:rsidR="00E4078B" w:rsidRPr="00EA6BA7" w:rsidSect="00931A10">
          <w:footerReference w:type="default" r:id="rId10"/>
          <w:pgSz w:w="11907" w:h="16840" w:code="9"/>
          <w:pgMar w:top="1701" w:right="1418" w:bottom="1418" w:left="1418" w:header="851" w:footer="851" w:gutter="227"/>
          <w:pgNumType w:start="1"/>
          <w:cols w:space="425"/>
          <w:docGrid w:type="linesAndChars" w:linePitch="457" w:charSpace="4127"/>
        </w:sectPr>
      </w:pPr>
      <w:r w:rsidRPr="00EA6BA7">
        <w:rPr>
          <w:rFonts w:hAnsi="標楷體" w:hint="eastAsia"/>
        </w:rPr>
        <w:t>要言之，</w:t>
      </w:r>
      <w:r w:rsidR="00E133C3" w:rsidRPr="00EA6BA7">
        <w:rPr>
          <w:rFonts w:hAnsi="標楷體" w:hint="eastAsia"/>
        </w:rPr>
        <w:t>西元2015年3月國際癌症研究中心已將「</w:t>
      </w:r>
      <w:proofErr w:type="gramStart"/>
      <w:r w:rsidR="00E133C3" w:rsidRPr="00EA6BA7">
        <w:rPr>
          <w:rFonts w:hAnsi="標楷體" w:hint="eastAsia"/>
        </w:rPr>
        <w:t>嘉磷塞</w:t>
      </w:r>
      <w:proofErr w:type="gramEnd"/>
      <w:r w:rsidR="00E133C3" w:rsidRPr="00EA6BA7">
        <w:rPr>
          <w:rFonts w:hAnsi="標楷體" w:hint="eastAsia"/>
        </w:rPr>
        <w:t>」的致癌風險提高到「很可能致癌（Group 2A）」，且世界各國多已重新檢視其安全性，歐盟部分國家甚已逐步禁用及限用，加以美國「</w:t>
      </w:r>
      <w:proofErr w:type="gramStart"/>
      <w:r w:rsidR="00E133C3" w:rsidRPr="00EA6BA7">
        <w:rPr>
          <w:rFonts w:hAnsi="標楷體" w:hint="eastAsia"/>
        </w:rPr>
        <w:t>嘉磷塞</w:t>
      </w:r>
      <w:proofErr w:type="gramEnd"/>
      <w:r w:rsidR="00E133C3" w:rsidRPr="00EA6BA7">
        <w:rPr>
          <w:rFonts w:hAnsi="標楷體" w:hint="eastAsia"/>
        </w:rPr>
        <w:t>」致癌事件，</w:t>
      </w:r>
      <w:r w:rsidR="00A740FA" w:rsidRPr="00EA6BA7">
        <w:rPr>
          <w:rFonts w:hAnsi="標楷體" w:hint="eastAsia"/>
        </w:rPr>
        <w:t>業者</w:t>
      </w:r>
      <w:r w:rsidR="00E133C3" w:rsidRPr="00EA6BA7">
        <w:rPr>
          <w:rFonts w:hAnsi="標楷體" w:hint="eastAsia"/>
        </w:rPr>
        <w:t>連續敗訴</w:t>
      </w:r>
      <w:r w:rsidR="006971C5" w:rsidRPr="00EA6BA7">
        <w:rPr>
          <w:rFonts w:hAnsi="標楷體" w:hint="eastAsia"/>
        </w:rPr>
        <w:t>並</w:t>
      </w:r>
      <w:proofErr w:type="gramStart"/>
      <w:r w:rsidR="006971C5" w:rsidRPr="00EA6BA7">
        <w:rPr>
          <w:rFonts w:hAnsi="標楷體" w:hint="eastAsia"/>
        </w:rPr>
        <w:t>判賠天價</w:t>
      </w:r>
      <w:proofErr w:type="gramEnd"/>
      <w:r w:rsidR="00E133C3" w:rsidRPr="00EA6BA7">
        <w:rPr>
          <w:rFonts w:hAnsi="標楷體" w:hint="eastAsia"/>
        </w:rPr>
        <w:t>案例，農委會自應重視原本被視為安全卻</w:t>
      </w:r>
      <w:r w:rsidR="00EB0A8C" w:rsidRPr="00EA6BA7">
        <w:rPr>
          <w:rFonts w:hAnsi="標楷體" w:hint="eastAsia"/>
        </w:rPr>
        <w:t>變更</w:t>
      </w:r>
      <w:r w:rsidR="00E133C3" w:rsidRPr="00EA6BA7">
        <w:rPr>
          <w:rFonts w:hAnsi="標楷體" w:hint="eastAsia"/>
        </w:rPr>
        <w:t>為</w:t>
      </w:r>
      <w:r w:rsidR="00EB0A8C" w:rsidRPr="00EA6BA7">
        <w:rPr>
          <w:rFonts w:hAnsi="標楷體" w:hint="eastAsia"/>
        </w:rPr>
        <w:t>對人體有致癌風險之警訊</w:t>
      </w:r>
      <w:r w:rsidR="00E133C3" w:rsidRPr="00EA6BA7">
        <w:rPr>
          <w:rFonts w:hAnsi="標楷體" w:hint="eastAsia"/>
        </w:rPr>
        <w:t>，</w:t>
      </w:r>
      <w:r w:rsidR="00EB0A8C" w:rsidRPr="00EA6BA7">
        <w:rPr>
          <w:rFonts w:hAnsi="標楷體" w:hint="eastAsia"/>
        </w:rPr>
        <w:t>並</w:t>
      </w:r>
      <w:r w:rsidR="00E133C3" w:rsidRPr="00EA6BA7">
        <w:rPr>
          <w:rFonts w:hAnsi="標楷體" w:hint="eastAsia"/>
        </w:rPr>
        <w:t>儘速</w:t>
      </w:r>
      <w:proofErr w:type="gramStart"/>
      <w:r w:rsidR="00E133C3" w:rsidRPr="00EA6BA7">
        <w:rPr>
          <w:rFonts w:hAnsi="標楷體" w:hint="eastAsia"/>
        </w:rPr>
        <w:t>研</w:t>
      </w:r>
      <w:proofErr w:type="gramEnd"/>
      <w:r w:rsidR="00E133C3" w:rsidRPr="00EA6BA7">
        <w:rPr>
          <w:rFonts w:hAnsi="標楷體" w:hint="eastAsia"/>
        </w:rPr>
        <w:t>議於成品農藥加</w:t>
      </w:r>
      <w:proofErr w:type="gramStart"/>
      <w:r w:rsidR="00E133C3" w:rsidRPr="00EA6BA7">
        <w:rPr>
          <w:rFonts w:hAnsi="標楷體" w:hint="eastAsia"/>
        </w:rPr>
        <w:t>註</w:t>
      </w:r>
      <w:proofErr w:type="gramEnd"/>
      <w:r w:rsidR="00E133C3" w:rsidRPr="00EA6BA7">
        <w:rPr>
          <w:rFonts w:hAnsi="標楷體" w:hint="eastAsia"/>
        </w:rPr>
        <w:t>使用警語，揭露其危害風險，維護使用者知情權</w:t>
      </w:r>
      <w:r w:rsidR="00EB0A8C" w:rsidRPr="00EA6BA7">
        <w:rPr>
          <w:rFonts w:hAnsi="標楷體" w:hint="eastAsia"/>
        </w:rPr>
        <w:t>益</w:t>
      </w:r>
      <w:r w:rsidR="00E133C3" w:rsidRPr="00EA6BA7">
        <w:rPr>
          <w:rFonts w:hAnsi="標楷體" w:hint="eastAsia"/>
        </w:rPr>
        <w:t>，避免誤認為安全而忽略防護，甚至波及鄰近住家或學童。</w:t>
      </w:r>
    </w:p>
    <w:p w:rsidR="00F816CB" w:rsidRPr="00EA6BA7" w:rsidRDefault="00E4078B" w:rsidP="00E4078B">
      <w:pPr>
        <w:pStyle w:val="1"/>
        <w:rPr>
          <w:rFonts w:hAnsi="標楷體"/>
        </w:rPr>
      </w:pPr>
      <w:r w:rsidRPr="00EA6BA7">
        <w:rPr>
          <w:rFonts w:hAnsi="標楷體" w:hint="eastAsia"/>
        </w:rPr>
        <w:lastRenderedPageBreak/>
        <w:t>處理辦法</w:t>
      </w:r>
    </w:p>
    <w:p w:rsidR="00E4078B" w:rsidRPr="00EA6BA7" w:rsidRDefault="00E4078B" w:rsidP="00E4078B">
      <w:pPr>
        <w:pStyle w:val="2"/>
        <w:rPr>
          <w:rFonts w:hAnsi="標楷體"/>
        </w:rPr>
      </w:pPr>
      <w:bookmarkStart w:id="28" w:name="_Toc70241820"/>
      <w:bookmarkStart w:id="29" w:name="_Toc70242209"/>
      <w:bookmarkStart w:id="30" w:name="_Toc421794876"/>
      <w:bookmarkStart w:id="31" w:name="_Toc421795442"/>
      <w:bookmarkStart w:id="32" w:name="_Toc421796023"/>
      <w:bookmarkStart w:id="33" w:name="_Toc422728958"/>
      <w:bookmarkStart w:id="34" w:name="_Toc422834161"/>
      <w:bookmarkStart w:id="35" w:name="_Toc2400396"/>
      <w:bookmarkStart w:id="36" w:name="_Toc4316190"/>
      <w:bookmarkStart w:id="37" w:name="_Toc4473331"/>
      <w:bookmarkStart w:id="38" w:name="_Toc69556898"/>
      <w:bookmarkStart w:id="39" w:name="_Toc69556947"/>
      <w:bookmarkStart w:id="40" w:name="_Toc69609821"/>
      <w:bookmarkStart w:id="41" w:name="_Toc70241817"/>
      <w:bookmarkStart w:id="42" w:name="_Toc70242206"/>
      <w:bookmarkStart w:id="43" w:name="_Toc524902735"/>
      <w:bookmarkStart w:id="44" w:name="_Toc525066149"/>
      <w:bookmarkStart w:id="45" w:name="_Toc525070840"/>
      <w:bookmarkStart w:id="46" w:name="_Toc525938380"/>
      <w:bookmarkStart w:id="47" w:name="_Toc525939228"/>
      <w:bookmarkStart w:id="48" w:name="_Toc525939733"/>
      <w:bookmarkStart w:id="49" w:name="_Toc529218273"/>
      <w:bookmarkStart w:id="50" w:name="_Toc529222690"/>
      <w:bookmarkStart w:id="51" w:name="_Toc529223112"/>
      <w:bookmarkStart w:id="52" w:name="_Toc529223863"/>
      <w:bookmarkStart w:id="53" w:name="_Toc529228266"/>
      <w:r w:rsidRPr="00EA6BA7">
        <w:rPr>
          <w:rFonts w:hAnsi="標楷體" w:hint="eastAsia"/>
        </w:rPr>
        <w:t>調查意見一，提案糾正衛生</w:t>
      </w:r>
      <w:proofErr w:type="gramStart"/>
      <w:r w:rsidRPr="00EA6BA7">
        <w:rPr>
          <w:rFonts w:hAnsi="標楷體" w:hint="eastAsia"/>
        </w:rPr>
        <w:t>福利部</w:t>
      </w:r>
      <w:bookmarkEnd w:id="28"/>
      <w:bookmarkEnd w:id="29"/>
      <w:bookmarkEnd w:id="30"/>
      <w:bookmarkEnd w:id="31"/>
      <w:bookmarkEnd w:id="32"/>
      <w:bookmarkEnd w:id="33"/>
      <w:bookmarkEnd w:id="34"/>
      <w:r w:rsidRPr="00EA6BA7">
        <w:rPr>
          <w:rFonts w:hAnsi="標楷體" w:hint="eastAsia"/>
        </w:rPr>
        <w:t>及所屬</w:t>
      </w:r>
      <w:proofErr w:type="gramEnd"/>
      <w:r w:rsidRPr="00EA6BA7">
        <w:rPr>
          <w:rFonts w:hAnsi="標楷體" w:hint="eastAsia"/>
        </w:rPr>
        <w:t>食品藥物管理署。</w:t>
      </w:r>
    </w:p>
    <w:p w:rsidR="00E4078B" w:rsidRPr="00EA6BA7" w:rsidRDefault="00E4078B" w:rsidP="00E4078B">
      <w:pPr>
        <w:pStyle w:val="2"/>
        <w:rPr>
          <w:rFonts w:hAnsi="標楷體"/>
        </w:rPr>
      </w:pPr>
      <w:bookmarkStart w:id="54" w:name="_Toc70241819"/>
      <w:bookmarkStart w:id="55" w:name="_Toc70242208"/>
      <w:bookmarkStart w:id="56" w:name="_Toc421794878"/>
      <w:bookmarkStart w:id="57" w:name="_Toc421795444"/>
      <w:bookmarkStart w:id="58" w:name="_Toc421796025"/>
      <w:bookmarkStart w:id="59" w:name="_Toc422728960"/>
      <w:bookmarkStart w:id="60" w:name="_Toc422834163"/>
      <w:bookmarkStart w:id="61" w:name="_Toc70241818"/>
      <w:bookmarkStart w:id="62" w:name="_Toc70242207"/>
      <w:bookmarkStart w:id="63" w:name="_Toc69556899"/>
      <w:bookmarkStart w:id="64" w:name="_Toc69556948"/>
      <w:bookmarkStart w:id="65" w:name="_Toc69609822"/>
      <w:bookmarkEnd w:id="35"/>
      <w:bookmarkEnd w:id="36"/>
      <w:bookmarkEnd w:id="37"/>
      <w:bookmarkEnd w:id="38"/>
      <w:bookmarkEnd w:id="39"/>
      <w:bookmarkEnd w:id="40"/>
      <w:bookmarkEnd w:id="41"/>
      <w:bookmarkEnd w:id="42"/>
      <w:r w:rsidRPr="00EA6BA7">
        <w:rPr>
          <w:rFonts w:hAnsi="標楷體" w:hint="eastAsia"/>
        </w:rPr>
        <w:t>調查意見二，函請行政院督同</w:t>
      </w:r>
      <w:r w:rsidR="00EB0A8C" w:rsidRPr="00EA6BA7">
        <w:rPr>
          <w:rFonts w:hAnsi="標楷體" w:hint="eastAsia"/>
        </w:rPr>
        <w:t>所屬</w:t>
      </w:r>
      <w:r w:rsidRPr="00EA6BA7">
        <w:rPr>
          <w:rFonts w:hAnsi="標楷體" w:hint="eastAsia"/>
        </w:rPr>
        <w:t>農業委員會</w:t>
      </w:r>
      <w:r w:rsidR="00EB0A8C" w:rsidRPr="00EA6BA7">
        <w:rPr>
          <w:rFonts w:hAnsi="標楷體" w:hint="eastAsia"/>
        </w:rPr>
        <w:t>、環境保護署</w:t>
      </w:r>
      <w:r w:rsidRPr="00EA6BA7">
        <w:rPr>
          <w:rFonts w:hAnsi="標楷體" w:hint="eastAsia"/>
        </w:rPr>
        <w:t>及衛生福利部檢討改善</w:t>
      </w:r>
      <w:proofErr w:type="gramStart"/>
      <w:r w:rsidRPr="00EA6BA7">
        <w:rPr>
          <w:rFonts w:hAnsi="標楷體" w:hint="eastAsia"/>
        </w:rPr>
        <w:t>見復。</w:t>
      </w:r>
      <w:proofErr w:type="gramEnd"/>
    </w:p>
    <w:p w:rsidR="00E4078B" w:rsidRPr="00EA6BA7" w:rsidRDefault="00E4078B" w:rsidP="00E4078B">
      <w:pPr>
        <w:pStyle w:val="2"/>
        <w:rPr>
          <w:rFonts w:hAnsi="標楷體"/>
        </w:rPr>
      </w:pPr>
      <w:r w:rsidRPr="00EA6BA7">
        <w:rPr>
          <w:rFonts w:hAnsi="標楷體" w:hint="eastAsia"/>
        </w:rPr>
        <w:t>調查意見三及四，函請行政院農業委員會檢討改善</w:t>
      </w:r>
      <w:proofErr w:type="gramStart"/>
      <w:r w:rsidRPr="00EA6BA7">
        <w:rPr>
          <w:rFonts w:hAnsi="標楷體" w:hint="eastAsia"/>
        </w:rPr>
        <w:t>見復。</w:t>
      </w:r>
      <w:proofErr w:type="gramEnd"/>
    </w:p>
    <w:p w:rsidR="00E4078B" w:rsidRPr="00EA6BA7" w:rsidRDefault="00E4078B" w:rsidP="00E4078B">
      <w:pPr>
        <w:pStyle w:val="2"/>
        <w:numPr>
          <w:ilvl w:val="1"/>
          <w:numId w:val="1"/>
        </w:numPr>
        <w:kinsoku w:val="0"/>
        <w:overflowPunct/>
        <w:autoSpaceDE/>
        <w:autoSpaceDN/>
        <w:ind w:left="1020" w:hanging="680"/>
        <w:rPr>
          <w:rFonts w:hAnsi="標楷體"/>
        </w:rPr>
      </w:pPr>
      <w:bookmarkStart w:id="66" w:name="_Toc69556900"/>
      <w:bookmarkStart w:id="67" w:name="_Toc69556949"/>
      <w:bookmarkStart w:id="68" w:name="_Toc69609823"/>
      <w:bookmarkStart w:id="69" w:name="_Toc70241821"/>
      <w:bookmarkStart w:id="70" w:name="_Toc70242210"/>
      <w:r w:rsidRPr="00EA6BA7">
        <w:rPr>
          <w:rFonts w:hAnsi="標楷體" w:hint="eastAsia"/>
        </w:rPr>
        <w:t>本調查報告審議通過後，調查意見</w:t>
      </w:r>
      <w:r w:rsidR="00DA42D8" w:rsidRPr="00EA6BA7">
        <w:rPr>
          <w:rFonts w:hAnsi="標楷體" w:hint="eastAsia"/>
        </w:rPr>
        <w:t>所涉</w:t>
      </w:r>
      <w:proofErr w:type="gramStart"/>
      <w:r w:rsidR="00DA42D8" w:rsidRPr="00EA6BA7">
        <w:rPr>
          <w:rFonts w:hAnsi="標楷體" w:hint="eastAsia"/>
        </w:rPr>
        <w:t>個</w:t>
      </w:r>
      <w:proofErr w:type="gramEnd"/>
      <w:r w:rsidR="00DA42D8" w:rsidRPr="00EA6BA7">
        <w:rPr>
          <w:rFonts w:hAnsi="標楷體" w:hint="eastAsia"/>
        </w:rPr>
        <w:t>資經保護處理後</w:t>
      </w:r>
      <w:r w:rsidRPr="00EA6BA7">
        <w:rPr>
          <w:rFonts w:hAnsi="標楷體" w:hint="eastAsia"/>
        </w:rPr>
        <w:t>上網公布。</w:t>
      </w:r>
      <w:bookmarkEnd w:id="66"/>
      <w:bookmarkEnd w:id="67"/>
      <w:bookmarkEnd w:id="68"/>
      <w:bookmarkEnd w:id="69"/>
      <w:bookmarkEnd w:id="70"/>
    </w:p>
    <w:p w:rsidR="00E4078B" w:rsidRPr="00EA6BA7" w:rsidRDefault="00E4078B" w:rsidP="00E4078B">
      <w:pPr>
        <w:pStyle w:val="2"/>
        <w:rPr>
          <w:rFonts w:hAnsi="標楷體"/>
        </w:rPr>
      </w:pPr>
      <w:bookmarkStart w:id="71" w:name="_Toc2400397"/>
      <w:bookmarkStart w:id="72" w:name="_Toc4316191"/>
      <w:bookmarkStart w:id="73" w:name="_Toc4473332"/>
      <w:bookmarkStart w:id="74" w:name="_Toc69556901"/>
      <w:bookmarkStart w:id="75" w:name="_Toc69556950"/>
      <w:bookmarkStart w:id="76" w:name="_Toc69609824"/>
      <w:bookmarkStart w:id="77" w:name="_Toc70241822"/>
      <w:bookmarkStart w:id="78" w:name="_Toc70242211"/>
      <w:bookmarkStart w:id="79" w:name="_Toc421794881"/>
      <w:bookmarkStart w:id="80" w:name="_Toc421795447"/>
      <w:bookmarkStart w:id="81" w:name="_Toc421796028"/>
      <w:bookmarkStart w:id="82" w:name="_Toc422728963"/>
      <w:bookmarkStart w:id="83" w:name="_Toc42283416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EA6BA7">
        <w:rPr>
          <w:rFonts w:hAnsi="標楷體" w:hint="eastAsia"/>
        </w:rPr>
        <w:t>檢</w:t>
      </w:r>
      <w:proofErr w:type="gramStart"/>
      <w:r w:rsidRPr="00EA6BA7">
        <w:rPr>
          <w:rFonts w:hAnsi="標楷體" w:hint="eastAsia"/>
        </w:rPr>
        <w:t>附派查函</w:t>
      </w:r>
      <w:proofErr w:type="gramEnd"/>
      <w:r w:rsidRPr="00EA6BA7">
        <w:rPr>
          <w:rFonts w:hAnsi="標楷體" w:hint="eastAsia"/>
        </w:rPr>
        <w:t>及相關附件，送請內政及</w:t>
      </w:r>
      <w:r w:rsidR="00EB0A8C" w:rsidRPr="00EA6BA7">
        <w:rPr>
          <w:rFonts w:hAnsi="標楷體" w:hint="eastAsia"/>
        </w:rPr>
        <w:t>族群</w:t>
      </w:r>
      <w:r w:rsidRPr="00EA6BA7">
        <w:rPr>
          <w:rFonts w:hAnsi="標楷體" w:hint="eastAsia"/>
        </w:rPr>
        <w:t>委員會、財政及經濟委員會聯席會議處理。</w:t>
      </w:r>
      <w:bookmarkEnd w:id="71"/>
      <w:bookmarkEnd w:id="72"/>
      <w:bookmarkEnd w:id="73"/>
      <w:bookmarkEnd w:id="74"/>
      <w:bookmarkEnd w:id="75"/>
      <w:bookmarkEnd w:id="76"/>
      <w:bookmarkEnd w:id="77"/>
      <w:bookmarkEnd w:id="78"/>
      <w:bookmarkEnd w:id="79"/>
      <w:bookmarkEnd w:id="80"/>
      <w:bookmarkEnd w:id="81"/>
      <w:bookmarkEnd w:id="82"/>
      <w:bookmarkEnd w:id="83"/>
    </w:p>
    <w:p w:rsidR="00E4078B" w:rsidRPr="00EA6BA7" w:rsidRDefault="00E4078B" w:rsidP="00EA6BA7">
      <w:pPr>
        <w:pStyle w:val="aa"/>
        <w:spacing w:beforeLines="150" w:before="685" w:after="0"/>
        <w:ind w:left="0"/>
        <w:jc w:val="center"/>
        <w:rPr>
          <w:rFonts w:hAnsi="標楷體"/>
          <w:bCs/>
          <w:snapToGrid/>
          <w:spacing w:val="0"/>
          <w:kern w:val="0"/>
          <w:sz w:val="40"/>
        </w:rPr>
      </w:pPr>
      <w:bookmarkStart w:id="84" w:name="_GoBack"/>
      <w:r w:rsidRPr="00EA6BA7">
        <w:rPr>
          <w:rFonts w:hAnsi="標楷體" w:hint="eastAsia"/>
          <w:bCs/>
          <w:snapToGrid/>
          <w:spacing w:val="12"/>
          <w:kern w:val="0"/>
          <w:sz w:val="40"/>
        </w:rPr>
        <w:t>調查委員：</w:t>
      </w:r>
      <w:r w:rsidR="00EA6BA7" w:rsidRPr="00EA6BA7">
        <w:rPr>
          <w:rFonts w:hAnsi="標楷體" w:hint="eastAsia"/>
          <w:bCs/>
          <w:snapToGrid/>
          <w:spacing w:val="12"/>
          <w:kern w:val="0"/>
          <w:sz w:val="40"/>
        </w:rPr>
        <w:t>田秋</w:t>
      </w:r>
      <w:proofErr w:type="gramStart"/>
      <w:r w:rsidR="00EA6BA7" w:rsidRPr="00EA6BA7">
        <w:rPr>
          <w:rFonts w:hAnsi="標楷體" w:hint="eastAsia"/>
          <w:bCs/>
          <w:snapToGrid/>
          <w:spacing w:val="12"/>
          <w:kern w:val="0"/>
          <w:sz w:val="40"/>
        </w:rPr>
        <w:t>堇</w:t>
      </w:r>
      <w:proofErr w:type="gramEnd"/>
      <w:r w:rsidR="00EA6BA7" w:rsidRPr="00EA6BA7">
        <w:rPr>
          <w:rFonts w:hAnsi="標楷體" w:hint="eastAsia"/>
          <w:bCs/>
          <w:snapToGrid/>
          <w:spacing w:val="12"/>
          <w:kern w:val="0"/>
          <w:sz w:val="40"/>
        </w:rPr>
        <w:t>、蔡崇義、林盛豐</w:t>
      </w:r>
    </w:p>
    <w:bookmarkEnd w:id="84"/>
    <w:p w:rsidR="00E4078B" w:rsidRPr="00EA6BA7" w:rsidRDefault="00E4078B" w:rsidP="00E4078B">
      <w:pPr>
        <w:pStyle w:val="aa"/>
        <w:spacing w:before="0" w:after="0"/>
        <w:ind w:leftChars="1100" w:left="3742" w:firstLineChars="500" w:firstLine="2021"/>
        <w:rPr>
          <w:rFonts w:hAnsi="標楷體"/>
          <w:b w:val="0"/>
          <w:bCs/>
          <w:snapToGrid/>
          <w:spacing w:val="12"/>
          <w:kern w:val="0"/>
        </w:rPr>
      </w:pPr>
    </w:p>
    <w:p w:rsidR="00E4078B" w:rsidRPr="00EA6BA7" w:rsidRDefault="00E4078B" w:rsidP="00E4078B">
      <w:pPr>
        <w:pStyle w:val="aa"/>
        <w:spacing w:before="0" w:after="0"/>
        <w:ind w:leftChars="1100" w:left="3742" w:firstLineChars="500" w:firstLine="2021"/>
        <w:rPr>
          <w:rFonts w:hAnsi="標楷體"/>
          <w:b w:val="0"/>
          <w:bCs/>
          <w:snapToGrid/>
          <w:spacing w:val="12"/>
          <w:kern w:val="0"/>
        </w:rPr>
      </w:pPr>
    </w:p>
    <w:p w:rsidR="00DA42D8" w:rsidRPr="00EA6BA7" w:rsidRDefault="00DA42D8">
      <w:pPr>
        <w:pStyle w:val="af1"/>
        <w:kinsoku/>
        <w:autoSpaceDE w:val="0"/>
        <w:spacing w:beforeLines="50" w:before="228"/>
        <w:ind w:left="1020" w:hanging="1020"/>
        <w:rPr>
          <w:rFonts w:hAnsi="標楷體"/>
        </w:rPr>
      </w:pPr>
    </w:p>
    <w:sectPr w:rsidR="00DA42D8" w:rsidRPr="00EA6BA7" w:rsidSect="00E4078B">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58E" w:rsidRDefault="00E6058E">
      <w:r>
        <w:separator/>
      </w:r>
    </w:p>
  </w:endnote>
  <w:endnote w:type="continuationSeparator" w:id="0">
    <w:p w:rsidR="00E6058E" w:rsidRDefault="00E6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BE7" w:rsidRDefault="00B94BE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EA6BA7">
      <w:rPr>
        <w:rStyle w:val="ad"/>
        <w:noProof/>
        <w:sz w:val="24"/>
      </w:rPr>
      <w:t>19</w:t>
    </w:r>
    <w:r>
      <w:rPr>
        <w:rStyle w:val="ad"/>
        <w:sz w:val="24"/>
      </w:rPr>
      <w:fldChar w:fldCharType="end"/>
    </w:r>
  </w:p>
  <w:p w:rsidR="00B94BE7" w:rsidRDefault="00B94BE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58E" w:rsidRDefault="00E6058E">
      <w:r>
        <w:separator/>
      </w:r>
    </w:p>
  </w:footnote>
  <w:footnote w:type="continuationSeparator" w:id="0">
    <w:p w:rsidR="00E6058E" w:rsidRDefault="00E6058E">
      <w:r>
        <w:continuationSeparator/>
      </w:r>
    </w:p>
  </w:footnote>
  <w:footnote w:id="1">
    <w:p w:rsidR="00B94BE7" w:rsidRPr="00E4752E" w:rsidRDefault="00B94BE7">
      <w:pPr>
        <w:pStyle w:val="afd"/>
      </w:pPr>
      <w:r w:rsidRPr="00EA6BA7">
        <w:rPr>
          <w:rStyle w:val="aff"/>
        </w:rPr>
        <w:footnoteRef/>
      </w:r>
      <w:r w:rsidRPr="00EA6BA7">
        <w:t xml:space="preserve"> </w:t>
      </w:r>
      <w:proofErr w:type="gramStart"/>
      <w:r w:rsidRPr="00EA6BA7">
        <w:rPr>
          <w:rFonts w:hAnsi="標楷體" w:hint="eastAsia"/>
        </w:rPr>
        <w:t>衛福部於108年4月23日</w:t>
      </w:r>
      <w:proofErr w:type="gramEnd"/>
      <w:r w:rsidRPr="00EA6BA7">
        <w:rPr>
          <w:rFonts w:hAnsi="標楷體" w:hint="eastAsia"/>
        </w:rPr>
        <w:t>預告修正「農藥殘留容許量標準」，完成法規修正之預告程序。</w:t>
      </w:r>
    </w:p>
  </w:footnote>
  <w:footnote w:id="2">
    <w:p w:rsidR="00B94BE7" w:rsidRPr="00765E45" w:rsidRDefault="00B94BE7">
      <w:pPr>
        <w:pStyle w:val="afd"/>
      </w:pPr>
      <w:r>
        <w:rPr>
          <w:rStyle w:val="aff"/>
        </w:rPr>
        <w:footnoteRef/>
      </w:r>
      <w:r>
        <w:t xml:space="preserve"> </w:t>
      </w:r>
      <w:r w:rsidRPr="002C09DA">
        <w:rPr>
          <w:rFonts w:hint="eastAsia"/>
        </w:rPr>
        <w:t>「昆蟲保護行動方案」 ( Aktionsprogramm Insektenschutz-Insekten besser schützen)</w:t>
      </w:r>
      <w:r>
        <w:rPr>
          <w:rFonts w:hint="eastAsia"/>
        </w:rPr>
        <w:t>，其具體措施包含</w:t>
      </w:r>
      <w:r w:rsidRPr="002C09DA">
        <w:rPr>
          <w:rFonts w:hint="eastAsia"/>
        </w:rPr>
        <w:t>每年投入1億歐元資金，用於推廣對生態影響較低之農業用藥及強化昆蟲研究，以避免過多化學物質侵入昆蟲棲息地</w:t>
      </w:r>
      <w:r>
        <w:rPr>
          <w:rFonts w:hint="eastAsia"/>
        </w:rPr>
        <w:t>。</w:t>
      </w:r>
    </w:p>
  </w:footnote>
  <w:footnote w:id="3">
    <w:p w:rsidR="00B94BE7" w:rsidRDefault="00B94BE7" w:rsidP="008C40D8">
      <w:pPr>
        <w:overflowPunct/>
        <w:adjustRightInd w:val="0"/>
        <w:jc w:val="left"/>
        <w:rPr>
          <w:rFonts w:ascii="TimesNewRomanPSMT" w:eastAsia="新細明體" w:hAnsi="TimesNewRomanPSMT" w:cs="TimesNewRomanPSMT"/>
          <w:kern w:val="0"/>
          <w:sz w:val="24"/>
          <w:szCs w:val="24"/>
        </w:rPr>
      </w:pPr>
      <w:r>
        <w:rPr>
          <w:rStyle w:val="aff"/>
        </w:rPr>
        <w:footnoteRef/>
      </w:r>
      <w:r>
        <w:rPr>
          <w:rFonts w:ascii="TimesNewRomanPSMT" w:eastAsia="新細明體" w:hAnsi="TimesNewRomanPSMT" w:cs="TimesNewRomanPSMT"/>
          <w:kern w:val="0"/>
          <w:sz w:val="24"/>
          <w:szCs w:val="24"/>
        </w:rPr>
        <w:t>Kishore GM, DM Shah (1988) Amino acid biosynthesis inhibitors as herbicides.</w:t>
      </w:r>
    </w:p>
    <w:p w:rsidR="00B94BE7" w:rsidRPr="00C427AE" w:rsidRDefault="00B94BE7" w:rsidP="00C13B1B">
      <w:pPr>
        <w:pStyle w:val="afd"/>
        <w:ind w:left="142"/>
      </w:pPr>
      <w:r>
        <w:rPr>
          <w:rFonts w:ascii="TimesNewRomanPSMT" w:eastAsia="新細明體" w:hAnsi="TimesNewRomanPSMT" w:cs="TimesNewRomanPSMT"/>
          <w:kern w:val="0"/>
          <w:sz w:val="24"/>
          <w:szCs w:val="24"/>
        </w:rPr>
        <w:t>Annu. Rev. Biochem</w:t>
      </w:r>
      <w:r>
        <w:rPr>
          <w:rFonts w:ascii="TimesNewRomanPS-ItalicMT" w:eastAsia="新細明體" w:hAnsi="TimesNewRomanPS-ItalicMT" w:cs="TimesNewRomanPS-ItalicMT"/>
          <w:i/>
          <w:iCs/>
          <w:kern w:val="0"/>
          <w:sz w:val="24"/>
          <w:szCs w:val="24"/>
        </w:rPr>
        <w:t xml:space="preserve">. </w:t>
      </w:r>
      <w:r>
        <w:rPr>
          <w:rFonts w:ascii="TimesNewRomanPSMT" w:eastAsia="新細明體" w:hAnsi="TimesNewRomanPSMT" w:cs="TimesNewRomanPSMT"/>
          <w:kern w:val="0"/>
          <w:sz w:val="24"/>
          <w:szCs w:val="24"/>
        </w:rPr>
        <w:t>57: 627-663.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2CAE"/>
    <w:multiLevelType w:val="hybridMultilevel"/>
    <w:tmpl w:val="68AC2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BCA4944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277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A6E28B7"/>
    <w:multiLevelType w:val="hybridMultilevel"/>
    <w:tmpl w:val="68AC26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010DC3"/>
    <w:multiLevelType w:val="hybridMultilevel"/>
    <w:tmpl w:val="1A7A11BE"/>
    <w:lvl w:ilvl="0" w:tplc="5D8ACA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5B567780"/>
    <w:lvl w:ilvl="0" w:tplc="EC924DA4">
      <w:start w:val="1"/>
      <w:numFmt w:val="decimal"/>
      <w:pStyle w:val="a3"/>
      <w:lvlText w:val="表%1　"/>
      <w:lvlJc w:val="left"/>
      <w:pPr>
        <w:ind w:left="2040" w:hanging="480"/>
      </w:pPr>
      <w:rPr>
        <w:rFonts w:ascii="標楷體" w:eastAsia="標楷體" w:hint="eastAsia"/>
        <w:b w:val="0"/>
        <w:i w:val="0"/>
        <w:color w:val="auto"/>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9"/>
  </w:num>
  <w:num w:numId="23">
    <w:abstractNumId w:val="6"/>
  </w:num>
  <w:num w:numId="24">
    <w:abstractNumId w:val="10"/>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1"/>
  </w:num>
  <w:num w:numId="29">
    <w:abstractNumId w:val="11"/>
  </w:num>
  <w:num w:numId="30">
    <w:abstractNumId w:val="8"/>
  </w:num>
  <w:num w:numId="31">
    <w:abstractNumId w:val="8"/>
  </w:num>
  <w:num w:numId="32">
    <w:abstractNumId w:val="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7"/>
  </w:num>
  <w:num w:numId="36">
    <w:abstractNumId w:val="2"/>
  </w:num>
  <w:num w:numId="37">
    <w:abstractNumId w:val="2"/>
  </w:num>
  <w:num w:numId="38">
    <w:abstractNumId w:val="4"/>
  </w:num>
  <w:num w:numId="39">
    <w:abstractNumId w:val="0"/>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2"/>
  </w:num>
  <w:num w:numId="43">
    <w:abstractNumId w:val="2"/>
  </w:num>
  <w:num w:numId="44">
    <w:abstractNumId w:val="2"/>
  </w:num>
  <w:num w:numId="4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3114D"/>
    <w:rsid w:val="000341CE"/>
    <w:rsid w:val="00036D76"/>
    <w:rsid w:val="00051291"/>
    <w:rsid w:val="00057F32"/>
    <w:rsid w:val="00062A25"/>
    <w:rsid w:val="00073CB5"/>
    <w:rsid w:val="0007425C"/>
    <w:rsid w:val="00077553"/>
    <w:rsid w:val="000851A2"/>
    <w:rsid w:val="0009352E"/>
    <w:rsid w:val="000969DD"/>
    <w:rsid w:val="00096B96"/>
    <w:rsid w:val="000A2F3F"/>
    <w:rsid w:val="000B0B4A"/>
    <w:rsid w:val="000B279A"/>
    <w:rsid w:val="000B61D2"/>
    <w:rsid w:val="000B70A7"/>
    <w:rsid w:val="000B73DD"/>
    <w:rsid w:val="000C495F"/>
    <w:rsid w:val="000D39A3"/>
    <w:rsid w:val="000D66D9"/>
    <w:rsid w:val="000E6431"/>
    <w:rsid w:val="000F21A5"/>
    <w:rsid w:val="00100F32"/>
    <w:rsid w:val="00102989"/>
    <w:rsid w:val="00102B9F"/>
    <w:rsid w:val="00111F4D"/>
    <w:rsid w:val="00112637"/>
    <w:rsid w:val="00112ABC"/>
    <w:rsid w:val="0012001E"/>
    <w:rsid w:val="0012257D"/>
    <w:rsid w:val="00126A55"/>
    <w:rsid w:val="00133F08"/>
    <w:rsid w:val="001345E6"/>
    <w:rsid w:val="001378B0"/>
    <w:rsid w:val="00142E00"/>
    <w:rsid w:val="00152793"/>
    <w:rsid w:val="00153B7E"/>
    <w:rsid w:val="001545A9"/>
    <w:rsid w:val="001637C7"/>
    <w:rsid w:val="0016480E"/>
    <w:rsid w:val="00174297"/>
    <w:rsid w:val="00175E58"/>
    <w:rsid w:val="00180E06"/>
    <w:rsid w:val="001817B3"/>
    <w:rsid w:val="00183014"/>
    <w:rsid w:val="00191CD8"/>
    <w:rsid w:val="001959C2"/>
    <w:rsid w:val="00197168"/>
    <w:rsid w:val="001A51E3"/>
    <w:rsid w:val="001A764F"/>
    <w:rsid w:val="001A7968"/>
    <w:rsid w:val="001B2E98"/>
    <w:rsid w:val="001B3483"/>
    <w:rsid w:val="001B3C1E"/>
    <w:rsid w:val="001B4494"/>
    <w:rsid w:val="001C0D8B"/>
    <w:rsid w:val="001C0DA8"/>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268E9"/>
    <w:rsid w:val="002429E2"/>
    <w:rsid w:val="00252BC4"/>
    <w:rsid w:val="00254014"/>
    <w:rsid w:val="00254B39"/>
    <w:rsid w:val="0026504D"/>
    <w:rsid w:val="00273A2F"/>
    <w:rsid w:val="00280986"/>
    <w:rsid w:val="00281ECE"/>
    <w:rsid w:val="002831C7"/>
    <w:rsid w:val="002840C6"/>
    <w:rsid w:val="00291A0F"/>
    <w:rsid w:val="00295174"/>
    <w:rsid w:val="00296172"/>
    <w:rsid w:val="00296B92"/>
    <w:rsid w:val="002A2C22"/>
    <w:rsid w:val="002A3AB4"/>
    <w:rsid w:val="002B02EB"/>
    <w:rsid w:val="002C0602"/>
    <w:rsid w:val="002D5C16"/>
    <w:rsid w:val="002E1407"/>
    <w:rsid w:val="002F2476"/>
    <w:rsid w:val="002F3DFF"/>
    <w:rsid w:val="002F5E05"/>
    <w:rsid w:val="00307A76"/>
    <w:rsid w:val="0031455E"/>
    <w:rsid w:val="00315A16"/>
    <w:rsid w:val="00317053"/>
    <w:rsid w:val="0032109C"/>
    <w:rsid w:val="00322B45"/>
    <w:rsid w:val="00323809"/>
    <w:rsid w:val="00323D41"/>
    <w:rsid w:val="00325414"/>
    <w:rsid w:val="003262E2"/>
    <w:rsid w:val="003302F1"/>
    <w:rsid w:val="0034470E"/>
    <w:rsid w:val="003453CC"/>
    <w:rsid w:val="00352DB0"/>
    <w:rsid w:val="0035739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150A"/>
    <w:rsid w:val="003A5927"/>
    <w:rsid w:val="003B1017"/>
    <w:rsid w:val="003B2F8C"/>
    <w:rsid w:val="003B3C07"/>
    <w:rsid w:val="003B6081"/>
    <w:rsid w:val="003B6775"/>
    <w:rsid w:val="003B69A3"/>
    <w:rsid w:val="003B6B3E"/>
    <w:rsid w:val="003C5FE2"/>
    <w:rsid w:val="003D05FB"/>
    <w:rsid w:val="003D1A20"/>
    <w:rsid w:val="003D1B16"/>
    <w:rsid w:val="003D45BF"/>
    <w:rsid w:val="003D508A"/>
    <w:rsid w:val="003D537F"/>
    <w:rsid w:val="003D6E47"/>
    <w:rsid w:val="003D7B75"/>
    <w:rsid w:val="003E0208"/>
    <w:rsid w:val="003E4B57"/>
    <w:rsid w:val="003F27E1"/>
    <w:rsid w:val="003F437A"/>
    <w:rsid w:val="003F5C2B"/>
    <w:rsid w:val="00402240"/>
    <w:rsid w:val="004023E9"/>
    <w:rsid w:val="0040454A"/>
    <w:rsid w:val="00413F83"/>
    <w:rsid w:val="0041490C"/>
    <w:rsid w:val="0041490E"/>
    <w:rsid w:val="00416191"/>
    <w:rsid w:val="00416721"/>
    <w:rsid w:val="00421EF0"/>
    <w:rsid w:val="004224FA"/>
    <w:rsid w:val="00423D07"/>
    <w:rsid w:val="00425E0E"/>
    <w:rsid w:val="00427936"/>
    <w:rsid w:val="0044346F"/>
    <w:rsid w:val="00446F71"/>
    <w:rsid w:val="00453FF6"/>
    <w:rsid w:val="0046520A"/>
    <w:rsid w:val="004672AB"/>
    <w:rsid w:val="004714FE"/>
    <w:rsid w:val="00477BAA"/>
    <w:rsid w:val="00495053"/>
    <w:rsid w:val="004A0CAC"/>
    <w:rsid w:val="004A1F59"/>
    <w:rsid w:val="004A29BE"/>
    <w:rsid w:val="004A3225"/>
    <w:rsid w:val="004A33EE"/>
    <w:rsid w:val="004A3AA8"/>
    <w:rsid w:val="004B13C7"/>
    <w:rsid w:val="004B778F"/>
    <w:rsid w:val="004C0609"/>
    <w:rsid w:val="004C639F"/>
    <w:rsid w:val="004D141F"/>
    <w:rsid w:val="004D2742"/>
    <w:rsid w:val="004D6310"/>
    <w:rsid w:val="004E0062"/>
    <w:rsid w:val="004E05A1"/>
    <w:rsid w:val="004F1AF5"/>
    <w:rsid w:val="004F472A"/>
    <w:rsid w:val="004F5E57"/>
    <w:rsid w:val="004F6710"/>
    <w:rsid w:val="00500C3E"/>
    <w:rsid w:val="00502849"/>
    <w:rsid w:val="00504334"/>
    <w:rsid w:val="0050498D"/>
    <w:rsid w:val="00504BB4"/>
    <w:rsid w:val="005104D7"/>
    <w:rsid w:val="00510B9E"/>
    <w:rsid w:val="0052774E"/>
    <w:rsid w:val="00536BC2"/>
    <w:rsid w:val="005425E1"/>
    <w:rsid w:val="005427C5"/>
    <w:rsid w:val="00542CF6"/>
    <w:rsid w:val="00553C03"/>
    <w:rsid w:val="005568E4"/>
    <w:rsid w:val="00560DDA"/>
    <w:rsid w:val="00563692"/>
    <w:rsid w:val="00571679"/>
    <w:rsid w:val="00584235"/>
    <w:rsid w:val="005844E7"/>
    <w:rsid w:val="005908B8"/>
    <w:rsid w:val="0059512E"/>
    <w:rsid w:val="005A6DD2"/>
    <w:rsid w:val="005C385D"/>
    <w:rsid w:val="005D3B20"/>
    <w:rsid w:val="005D71B7"/>
    <w:rsid w:val="005E4759"/>
    <w:rsid w:val="005E5C68"/>
    <w:rsid w:val="005E65C0"/>
    <w:rsid w:val="005F0390"/>
    <w:rsid w:val="0060209C"/>
    <w:rsid w:val="006072CD"/>
    <w:rsid w:val="00612023"/>
    <w:rsid w:val="00614190"/>
    <w:rsid w:val="00622A99"/>
    <w:rsid w:val="00622E67"/>
    <w:rsid w:val="00626B57"/>
    <w:rsid w:val="00626EDC"/>
    <w:rsid w:val="006452D3"/>
    <w:rsid w:val="006470EC"/>
    <w:rsid w:val="0065224B"/>
    <w:rsid w:val="006542D6"/>
    <w:rsid w:val="0065598E"/>
    <w:rsid w:val="00655AF2"/>
    <w:rsid w:val="00655BC5"/>
    <w:rsid w:val="006568BE"/>
    <w:rsid w:val="0066025D"/>
    <w:rsid w:val="0066091A"/>
    <w:rsid w:val="00665C98"/>
    <w:rsid w:val="006773EC"/>
    <w:rsid w:val="00680504"/>
    <w:rsid w:val="00681CD9"/>
    <w:rsid w:val="00683E30"/>
    <w:rsid w:val="00687024"/>
    <w:rsid w:val="00695E22"/>
    <w:rsid w:val="006971C5"/>
    <w:rsid w:val="006B06CB"/>
    <w:rsid w:val="006B7093"/>
    <w:rsid w:val="006B7417"/>
    <w:rsid w:val="006D229C"/>
    <w:rsid w:val="006D31F9"/>
    <w:rsid w:val="006D3691"/>
    <w:rsid w:val="006E5EF0"/>
    <w:rsid w:val="006F3563"/>
    <w:rsid w:val="006F42B9"/>
    <w:rsid w:val="006F6103"/>
    <w:rsid w:val="00704E00"/>
    <w:rsid w:val="007209E7"/>
    <w:rsid w:val="00726182"/>
    <w:rsid w:val="00727635"/>
    <w:rsid w:val="00732329"/>
    <w:rsid w:val="007337CA"/>
    <w:rsid w:val="00734CE4"/>
    <w:rsid w:val="00735123"/>
    <w:rsid w:val="00741837"/>
    <w:rsid w:val="007453E6"/>
    <w:rsid w:val="00765E45"/>
    <w:rsid w:val="00770453"/>
    <w:rsid w:val="0077309D"/>
    <w:rsid w:val="007774EE"/>
    <w:rsid w:val="0077752D"/>
    <w:rsid w:val="00781822"/>
    <w:rsid w:val="00783F21"/>
    <w:rsid w:val="00787159"/>
    <w:rsid w:val="0079043A"/>
    <w:rsid w:val="00791668"/>
    <w:rsid w:val="00791AA1"/>
    <w:rsid w:val="007A3793"/>
    <w:rsid w:val="007C1BA2"/>
    <w:rsid w:val="007C2B48"/>
    <w:rsid w:val="007D0013"/>
    <w:rsid w:val="007D20E9"/>
    <w:rsid w:val="007D7881"/>
    <w:rsid w:val="007D7E3A"/>
    <w:rsid w:val="007E0E10"/>
    <w:rsid w:val="007E4768"/>
    <w:rsid w:val="007E777B"/>
    <w:rsid w:val="007F2070"/>
    <w:rsid w:val="007F46B0"/>
    <w:rsid w:val="007F63C1"/>
    <w:rsid w:val="008053F5"/>
    <w:rsid w:val="00807AF7"/>
    <w:rsid w:val="00810198"/>
    <w:rsid w:val="00813267"/>
    <w:rsid w:val="00815DA8"/>
    <w:rsid w:val="0082194D"/>
    <w:rsid w:val="008221F9"/>
    <w:rsid w:val="00826EF5"/>
    <w:rsid w:val="00831693"/>
    <w:rsid w:val="00840104"/>
    <w:rsid w:val="00840C1F"/>
    <w:rsid w:val="008411C9"/>
    <w:rsid w:val="00841FC5"/>
    <w:rsid w:val="00843D0F"/>
    <w:rsid w:val="00845709"/>
    <w:rsid w:val="008576BD"/>
    <w:rsid w:val="00860463"/>
    <w:rsid w:val="008660F1"/>
    <w:rsid w:val="008733DA"/>
    <w:rsid w:val="008850E4"/>
    <w:rsid w:val="008939AB"/>
    <w:rsid w:val="008A12F5"/>
    <w:rsid w:val="008B1587"/>
    <w:rsid w:val="008B1B01"/>
    <w:rsid w:val="008B3BCD"/>
    <w:rsid w:val="008B6DF8"/>
    <w:rsid w:val="008C106C"/>
    <w:rsid w:val="008C10F1"/>
    <w:rsid w:val="008C1926"/>
    <w:rsid w:val="008C1E99"/>
    <w:rsid w:val="008C40D8"/>
    <w:rsid w:val="008E0085"/>
    <w:rsid w:val="008E2AA6"/>
    <w:rsid w:val="008E311B"/>
    <w:rsid w:val="008F46E7"/>
    <w:rsid w:val="008F64CA"/>
    <w:rsid w:val="008F6F0B"/>
    <w:rsid w:val="008F7E4B"/>
    <w:rsid w:val="00907BA7"/>
    <w:rsid w:val="0091064E"/>
    <w:rsid w:val="00911FC5"/>
    <w:rsid w:val="00931A10"/>
    <w:rsid w:val="00947967"/>
    <w:rsid w:val="009506A8"/>
    <w:rsid w:val="00955201"/>
    <w:rsid w:val="00957593"/>
    <w:rsid w:val="00965200"/>
    <w:rsid w:val="00965791"/>
    <w:rsid w:val="009668B3"/>
    <w:rsid w:val="00971471"/>
    <w:rsid w:val="009849C2"/>
    <w:rsid w:val="00984D24"/>
    <w:rsid w:val="009858EB"/>
    <w:rsid w:val="009A3F47"/>
    <w:rsid w:val="009A7461"/>
    <w:rsid w:val="009B0046"/>
    <w:rsid w:val="009B5B8B"/>
    <w:rsid w:val="009C1440"/>
    <w:rsid w:val="009C2107"/>
    <w:rsid w:val="009C5D9E"/>
    <w:rsid w:val="009D2C3E"/>
    <w:rsid w:val="009E0625"/>
    <w:rsid w:val="009E3034"/>
    <w:rsid w:val="009E549F"/>
    <w:rsid w:val="009F28A8"/>
    <w:rsid w:val="009F473E"/>
    <w:rsid w:val="009F5247"/>
    <w:rsid w:val="009F5C1A"/>
    <w:rsid w:val="009F682A"/>
    <w:rsid w:val="00A022BE"/>
    <w:rsid w:val="00A0550C"/>
    <w:rsid w:val="00A07B4B"/>
    <w:rsid w:val="00A215A9"/>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572C1"/>
    <w:rsid w:val="00A639F4"/>
    <w:rsid w:val="00A65864"/>
    <w:rsid w:val="00A65FAE"/>
    <w:rsid w:val="00A667C1"/>
    <w:rsid w:val="00A740FA"/>
    <w:rsid w:val="00A81A32"/>
    <w:rsid w:val="00A835BD"/>
    <w:rsid w:val="00A91152"/>
    <w:rsid w:val="00A97B15"/>
    <w:rsid w:val="00AA42D5"/>
    <w:rsid w:val="00AB2FAB"/>
    <w:rsid w:val="00AB5C14"/>
    <w:rsid w:val="00AC1EE7"/>
    <w:rsid w:val="00AC333F"/>
    <w:rsid w:val="00AC585C"/>
    <w:rsid w:val="00AD1925"/>
    <w:rsid w:val="00AE067D"/>
    <w:rsid w:val="00AE667C"/>
    <w:rsid w:val="00AF1181"/>
    <w:rsid w:val="00AF2F79"/>
    <w:rsid w:val="00AF4653"/>
    <w:rsid w:val="00AF7DB7"/>
    <w:rsid w:val="00B10D02"/>
    <w:rsid w:val="00B201E2"/>
    <w:rsid w:val="00B3288B"/>
    <w:rsid w:val="00B443E4"/>
    <w:rsid w:val="00B5484D"/>
    <w:rsid w:val="00B563EA"/>
    <w:rsid w:val="00B56CDF"/>
    <w:rsid w:val="00B60E51"/>
    <w:rsid w:val="00B63A54"/>
    <w:rsid w:val="00B77D18"/>
    <w:rsid w:val="00B8313A"/>
    <w:rsid w:val="00B93503"/>
    <w:rsid w:val="00B94BE7"/>
    <w:rsid w:val="00B969FC"/>
    <w:rsid w:val="00BA31E8"/>
    <w:rsid w:val="00BA55E0"/>
    <w:rsid w:val="00BA6BD4"/>
    <w:rsid w:val="00BA6C7A"/>
    <w:rsid w:val="00BB17D1"/>
    <w:rsid w:val="00BB3752"/>
    <w:rsid w:val="00BB6688"/>
    <w:rsid w:val="00BC26D4"/>
    <w:rsid w:val="00BE0C80"/>
    <w:rsid w:val="00BE5514"/>
    <w:rsid w:val="00BF2A42"/>
    <w:rsid w:val="00C03D8C"/>
    <w:rsid w:val="00C055EC"/>
    <w:rsid w:val="00C10DC9"/>
    <w:rsid w:val="00C12FB3"/>
    <w:rsid w:val="00C13B1B"/>
    <w:rsid w:val="00C17341"/>
    <w:rsid w:val="00C22500"/>
    <w:rsid w:val="00C24EEF"/>
    <w:rsid w:val="00C25CF6"/>
    <w:rsid w:val="00C26C36"/>
    <w:rsid w:val="00C32768"/>
    <w:rsid w:val="00C431DF"/>
    <w:rsid w:val="00C438CB"/>
    <w:rsid w:val="00C456BD"/>
    <w:rsid w:val="00C460B3"/>
    <w:rsid w:val="00C530DC"/>
    <w:rsid w:val="00C5350D"/>
    <w:rsid w:val="00C6123C"/>
    <w:rsid w:val="00C62DB4"/>
    <w:rsid w:val="00C6311A"/>
    <w:rsid w:val="00C7084D"/>
    <w:rsid w:val="00C7315E"/>
    <w:rsid w:val="00C74003"/>
    <w:rsid w:val="00C75895"/>
    <w:rsid w:val="00C83C9F"/>
    <w:rsid w:val="00C904FF"/>
    <w:rsid w:val="00C94840"/>
    <w:rsid w:val="00C96719"/>
    <w:rsid w:val="00CA4EE3"/>
    <w:rsid w:val="00CB027F"/>
    <w:rsid w:val="00CC0EBB"/>
    <w:rsid w:val="00CC6297"/>
    <w:rsid w:val="00CC7690"/>
    <w:rsid w:val="00CD1986"/>
    <w:rsid w:val="00CD3201"/>
    <w:rsid w:val="00CD54BF"/>
    <w:rsid w:val="00CE4D5C"/>
    <w:rsid w:val="00CF05DA"/>
    <w:rsid w:val="00CF58EB"/>
    <w:rsid w:val="00CF6FEC"/>
    <w:rsid w:val="00D0106E"/>
    <w:rsid w:val="00D0617D"/>
    <w:rsid w:val="00D06383"/>
    <w:rsid w:val="00D11DA4"/>
    <w:rsid w:val="00D20E85"/>
    <w:rsid w:val="00D24147"/>
    <w:rsid w:val="00D24615"/>
    <w:rsid w:val="00D273DA"/>
    <w:rsid w:val="00D37842"/>
    <w:rsid w:val="00D42DC2"/>
    <w:rsid w:val="00D4302B"/>
    <w:rsid w:val="00D43384"/>
    <w:rsid w:val="00D536D2"/>
    <w:rsid w:val="00D537E1"/>
    <w:rsid w:val="00D55BB2"/>
    <w:rsid w:val="00D6091A"/>
    <w:rsid w:val="00D6605A"/>
    <w:rsid w:val="00D6695F"/>
    <w:rsid w:val="00D75644"/>
    <w:rsid w:val="00D81656"/>
    <w:rsid w:val="00D83D87"/>
    <w:rsid w:val="00D84A6D"/>
    <w:rsid w:val="00D86A30"/>
    <w:rsid w:val="00D97CB4"/>
    <w:rsid w:val="00D97DD4"/>
    <w:rsid w:val="00DA184E"/>
    <w:rsid w:val="00DA3612"/>
    <w:rsid w:val="00DA42D8"/>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DF7E6C"/>
    <w:rsid w:val="00E02FA0"/>
    <w:rsid w:val="00E036DC"/>
    <w:rsid w:val="00E10454"/>
    <w:rsid w:val="00E112E5"/>
    <w:rsid w:val="00E122D8"/>
    <w:rsid w:val="00E12CC8"/>
    <w:rsid w:val="00E133C3"/>
    <w:rsid w:val="00E15352"/>
    <w:rsid w:val="00E17647"/>
    <w:rsid w:val="00E21CC7"/>
    <w:rsid w:val="00E24D9E"/>
    <w:rsid w:val="00E25849"/>
    <w:rsid w:val="00E3197E"/>
    <w:rsid w:val="00E342F8"/>
    <w:rsid w:val="00E351ED"/>
    <w:rsid w:val="00E4078B"/>
    <w:rsid w:val="00E42B19"/>
    <w:rsid w:val="00E4752E"/>
    <w:rsid w:val="00E6034B"/>
    <w:rsid w:val="00E6058E"/>
    <w:rsid w:val="00E64035"/>
    <w:rsid w:val="00E6549E"/>
    <w:rsid w:val="00E65EDE"/>
    <w:rsid w:val="00E666C4"/>
    <w:rsid w:val="00E70F81"/>
    <w:rsid w:val="00E77055"/>
    <w:rsid w:val="00E77460"/>
    <w:rsid w:val="00E83ABC"/>
    <w:rsid w:val="00E844F2"/>
    <w:rsid w:val="00E90AD0"/>
    <w:rsid w:val="00E92FCB"/>
    <w:rsid w:val="00EA147F"/>
    <w:rsid w:val="00EA4A27"/>
    <w:rsid w:val="00EA4FA6"/>
    <w:rsid w:val="00EA6BA7"/>
    <w:rsid w:val="00EB0A8C"/>
    <w:rsid w:val="00EB1A25"/>
    <w:rsid w:val="00EC7363"/>
    <w:rsid w:val="00ED03AB"/>
    <w:rsid w:val="00ED09CD"/>
    <w:rsid w:val="00ED1963"/>
    <w:rsid w:val="00ED1CD4"/>
    <w:rsid w:val="00ED1D2B"/>
    <w:rsid w:val="00ED346D"/>
    <w:rsid w:val="00ED64B5"/>
    <w:rsid w:val="00EE42A6"/>
    <w:rsid w:val="00EE7CCA"/>
    <w:rsid w:val="00F05A03"/>
    <w:rsid w:val="00F06E53"/>
    <w:rsid w:val="00F16A14"/>
    <w:rsid w:val="00F209EF"/>
    <w:rsid w:val="00F362D7"/>
    <w:rsid w:val="00F37D7B"/>
    <w:rsid w:val="00F5314C"/>
    <w:rsid w:val="00F5688C"/>
    <w:rsid w:val="00F60048"/>
    <w:rsid w:val="00F635DD"/>
    <w:rsid w:val="00F6627B"/>
    <w:rsid w:val="00F7336E"/>
    <w:rsid w:val="00F734F2"/>
    <w:rsid w:val="00F736A8"/>
    <w:rsid w:val="00F75052"/>
    <w:rsid w:val="00F76A51"/>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D2C11"/>
    <w:rsid w:val="00FD3B91"/>
    <w:rsid w:val="00FD576B"/>
    <w:rsid w:val="00FD579E"/>
    <w:rsid w:val="00FD6845"/>
    <w:rsid w:val="00FE4516"/>
    <w:rsid w:val="00FE64C8"/>
    <w:rsid w:val="00FF16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31EB50-BF0C-4F83-9644-9F8160E7C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A7461"/>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ind w:left="1701"/>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40">
    <w:name w:val="標題 4 字元"/>
    <w:basedOn w:val="a7"/>
    <w:link w:val="4"/>
    <w:rsid w:val="005568E4"/>
    <w:rPr>
      <w:rFonts w:ascii="標楷體" w:eastAsia="標楷體" w:hAnsi="Arial"/>
      <w:kern w:val="32"/>
      <w:sz w:val="32"/>
      <w:szCs w:val="36"/>
    </w:rPr>
  </w:style>
  <w:style w:type="paragraph" w:styleId="afd">
    <w:name w:val="footnote text"/>
    <w:basedOn w:val="a6"/>
    <w:link w:val="afe"/>
    <w:uiPriority w:val="99"/>
    <w:unhideWhenUsed/>
    <w:rsid w:val="005568E4"/>
    <w:pPr>
      <w:snapToGrid w:val="0"/>
      <w:jc w:val="left"/>
    </w:pPr>
    <w:rPr>
      <w:sz w:val="20"/>
    </w:rPr>
  </w:style>
  <w:style w:type="character" w:customStyle="1" w:styleId="afe">
    <w:name w:val="註腳文字 字元"/>
    <w:basedOn w:val="a7"/>
    <w:link w:val="afd"/>
    <w:uiPriority w:val="99"/>
    <w:rsid w:val="005568E4"/>
    <w:rPr>
      <w:rFonts w:ascii="標楷體" w:eastAsia="標楷體"/>
      <w:kern w:val="2"/>
    </w:rPr>
  </w:style>
  <w:style w:type="character" w:styleId="aff">
    <w:name w:val="footnote reference"/>
    <w:basedOn w:val="a7"/>
    <w:uiPriority w:val="99"/>
    <w:semiHidden/>
    <w:unhideWhenUsed/>
    <w:rsid w:val="005568E4"/>
    <w:rPr>
      <w:vertAlign w:val="superscript"/>
    </w:rPr>
  </w:style>
  <w:style w:type="character" w:customStyle="1" w:styleId="30">
    <w:name w:val="標題 3 字元"/>
    <w:basedOn w:val="a7"/>
    <w:link w:val="3"/>
    <w:rsid w:val="00EE42A6"/>
    <w:rPr>
      <w:rFonts w:ascii="標楷體" w:eastAsia="標楷體" w:hAnsi="Arial"/>
      <w:bCs/>
      <w:kern w:val="32"/>
      <w:sz w:val="32"/>
      <w:szCs w:val="36"/>
    </w:rPr>
  </w:style>
  <w:style w:type="character" w:customStyle="1" w:styleId="50">
    <w:name w:val="標題 5 字元"/>
    <w:basedOn w:val="a7"/>
    <w:link w:val="5"/>
    <w:rsid w:val="00DA3612"/>
    <w:rPr>
      <w:rFonts w:ascii="標楷體" w:eastAsia="標楷體" w:hAnsi="Arial"/>
      <w:bCs/>
      <w:kern w:val="32"/>
      <w:sz w:val="32"/>
      <w:szCs w:val="36"/>
    </w:rPr>
  </w:style>
  <w:style w:type="character" w:customStyle="1" w:styleId="60">
    <w:name w:val="標題 6 字元"/>
    <w:basedOn w:val="a7"/>
    <w:link w:val="6"/>
    <w:rsid w:val="00DA3612"/>
    <w:rPr>
      <w:rFonts w:ascii="標楷體" w:eastAsia="標楷體" w:hAnsi="Arial"/>
      <w:kern w:val="32"/>
      <w:sz w:val="32"/>
      <w:szCs w:val="36"/>
    </w:rPr>
  </w:style>
  <w:style w:type="character" w:customStyle="1" w:styleId="70">
    <w:name w:val="標題 7 字元"/>
    <w:basedOn w:val="a7"/>
    <w:link w:val="7"/>
    <w:rsid w:val="00DA3612"/>
    <w:rPr>
      <w:rFonts w:ascii="標楷體" w:eastAsia="標楷體" w:hAnsi="Arial"/>
      <w:bCs/>
      <w:kern w:val="32"/>
      <w:sz w:val="32"/>
      <w:szCs w:val="36"/>
    </w:rPr>
  </w:style>
  <w:style w:type="character" w:customStyle="1" w:styleId="80">
    <w:name w:val="標題 8 字元"/>
    <w:basedOn w:val="a7"/>
    <w:link w:val="8"/>
    <w:rsid w:val="00DA3612"/>
    <w:rPr>
      <w:rFonts w:ascii="標楷體" w:eastAsia="標楷體" w:hAnsi="Arial"/>
      <w:kern w:val="32"/>
      <w:sz w:val="32"/>
      <w:szCs w:val="36"/>
    </w:rPr>
  </w:style>
  <w:style w:type="table" w:customStyle="1" w:styleId="73">
    <w:name w:val="表格格線7"/>
    <w:basedOn w:val="a8"/>
    <w:next w:val="af7"/>
    <w:uiPriority w:val="59"/>
    <w:rsid w:val="0052774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表格格線8"/>
    <w:basedOn w:val="a8"/>
    <w:next w:val="af7"/>
    <w:uiPriority w:val="59"/>
    <w:rsid w:val="0052774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簽名 字元"/>
    <w:basedOn w:val="a7"/>
    <w:link w:val="aa"/>
    <w:semiHidden/>
    <w:rsid w:val="00E4078B"/>
    <w:rPr>
      <w:rFonts w:ascii="標楷體" w:eastAsia="標楷體"/>
      <w:b/>
      <w:snapToGrid w:val="0"/>
      <w:spacing w:val="10"/>
      <w:kern w:val="2"/>
      <w:sz w:val="36"/>
    </w:rPr>
  </w:style>
  <w:style w:type="character" w:styleId="aff0">
    <w:name w:val="Emphasis"/>
    <w:basedOn w:val="a7"/>
    <w:uiPriority w:val="20"/>
    <w:qFormat/>
    <w:rsid w:val="00F209EF"/>
    <w:rPr>
      <w:b w:val="0"/>
      <w:bCs w:val="0"/>
      <w:i w:val="0"/>
      <w:iCs w:val="0"/>
      <w:color w:val="DD4B39"/>
    </w:rPr>
  </w:style>
  <w:style w:type="character" w:customStyle="1" w:styleId="st1">
    <w:name w:val="st1"/>
    <w:basedOn w:val="a7"/>
    <w:rsid w:val="00F20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4656807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law.moj.gov.tw/LawClass/LawAll.aspx?pcode=M01400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A7BA3-7D98-40A6-AD7D-9C76D210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19</Pages>
  <Words>1775</Words>
  <Characters>10119</Characters>
  <Application>Microsoft Office Word</Application>
  <DocSecurity>0</DocSecurity>
  <Lines>84</Lines>
  <Paragraphs>23</Paragraphs>
  <ScaleCrop>false</ScaleCrop>
  <Company>cy</Company>
  <LinksUpToDate>false</LinksUpToDate>
  <CharactersWithSpaces>11871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3</cp:revision>
  <cp:lastPrinted>2020-01-15T06:25:00Z</cp:lastPrinted>
  <dcterms:created xsi:type="dcterms:W3CDTF">2020-01-22T06:53:00Z</dcterms:created>
  <dcterms:modified xsi:type="dcterms:W3CDTF">2020-01-22T07:00:00Z</dcterms:modified>
</cp:coreProperties>
</file>